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513"/>
        <w:spacing w:before="149" w:line="216" w:lineRule="auto"/>
        <w:outlineLvl w:val="0"/>
        <w:rPr>
          <w:rFonts w:ascii="SimSun" w:hAnsi="SimSun" w:eastAsia="SimSun" w:cs="SimSun"/>
          <w:sz w:val="46"/>
          <w:szCs w:val="46"/>
        </w:rPr>
      </w:pPr>
      <w:r>
        <w:rPr>
          <w:rFonts w:ascii="SimSun" w:hAnsi="SimSun" w:eastAsia="SimSun" w:cs="SimSun"/>
          <w:sz w:val="46"/>
          <w:szCs w:val="46"/>
          <w:b/>
          <w:bCs/>
          <w:spacing w:val="9"/>
        </w:rPr>
        <w:t>减轻企业负担政策汇编</w:t>
      </w:r>
    </w:p>
    <w:p>
      <w:pPr>
        <w:ind w:left="2203"/>
        <w:spacing w:line="222" w:lineRule="auto"/>
        <w:outlineLvl w:val="0"/>
        <w:rPr>
          <w:rFonts w:ascii="SimSun" w:hAnsi="SimSun" w:eastAsia="SimSun" w:cs="SimSun"/>
          <w:sz w:val="46"/>
          <w:szCs w:val="46"/>
        </w:rPr>
      </w:pPr>
      <w:r>
        <w:rPr>
          <w:rFonts w:ascii="SimSun" w:hAnsi="SimSun" w:eastAsia="SimSun" w:cs="SimSun"/>
          <w:sz w:val="46"/>
          <w:szCs w:val="46"/>
          <w:b/>
          <w:bCs/>
          <w:spacing w:val="-19"/>
        </w:rPr>
        <w:t>(2023)</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1"/>
        <w:spacing w:before="91" w:line="453" w:lineRule="exact"/>
        <w:rPr>
          <w:rFonts w:ascii="KaiTi" w:hAnsi="KaiTi" w:eastAsia="KaiTi" w:cs="KaiTi"/>
          <w:sz w:val="28"/>
          <w:szCs w:val="28"/>
        </w:rPr>
      </w:pPr>
      <w:r>
        <w:rPr>
          <w:rFonts w:ascii="KaiTi" w:hAnsi="KaiTi" w:eastAsia="KaiTi" w:cs="KaiTi"/>
          <w:sz w:val="28"/>
          <w:szCs w:val="28"/>
          <w:b/>
          <w:bCs/>
          <w:spacing w:val="-8"/>
          <w:position w:val="12"/>
        </w:rPr>
        <w:t>国务院减轻企业负担部际联席会议办公室</w:t>
      </w:r>
    </w:p>
    <w:p>
      <w:pPr>
        <w:ind w:left="1781"/>
        <w:spacing w:line="225" w:lineRule="auto"/>
        <w:rPr>
          <w:rFonts w:ascii="KaiTi" w:hAnsi="KaiTi" w:eastAsia="KaiTi" w:cs="KaiTi"/>
          <w:sz w:val="28"/>
          <w:szCs w:val="28"/>
        </w:rPr>
      </w:pPr>
      <w:r>
        <w:rPr>
          <w:rFonts w:ascii="KaiTi" w:hAnsi="KaiTi" w:eastAsia="KaiTi" w:cs="KaiTi"/>
          <w:sz w:val="28"/>
          <w:szCs w:val="28"/>
          <w:b/>
          <w:bCs/>
          <w:spacing w:val="-5"/>
        </w:rPr>
        <w:t>二○二三年十二月</w:t>
      </w:r>
    </w:p>
    <w:p>
      <w:pPr>
        <w:spacing w:line="225" w:lineRule="auto"/>
        <w:sectPr>
          <w:pgSz w:w="8220" w:h="11910"/>
          <w:pgMar w:top="1012" w:right="1233" w:bottom="0" w:left="1233" w:header="0" w:footer="0" w:gutter="0"/>
        </w:sectPr>
        <w:rPr>
          <w:rFonts w:ascii="KaiTi" w:hAnsi="KaiTi" w:eastAsia="KaiTi" w:cs="KaiTi"/>
          <w:sz w:val="28"/>
          <w:szCs w:val="28"/>
        </w:rPr>
      </w:pPr>
    </w:p>
    <w:p>
      <w:pPr>
        <w:pStyle w:val="BodyText"/>
        <w:rPr/>
      </w:pPr>
      <w:r/>
    </w:p>
    <w:p>
      <w:pPr>
        <w:sectPr>
          <w:headerReference w:type="default" r:id="rId1"/>
          <w:footerReference w:type="default" r:id="rId2"/>
          <w:pgSz w:w="8220" w:h="11910"/>
          <w:pgMar w:top="0" w:right="0" w:bottom="0" w:left="0" w:header="0" w:footer="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295"/>
        <w:spacing w:before="130" w:line="221" w:lineRule="auto"/>
        <w:rPr>
          <w:rFonts w:ascii="SimHei" w:hAnsi="SimHei" w:eastAsia="SimHei" w:cs="SimHei"/>
          <w:sz w:val="40"/>
          <w:szCs w:val="40"/>
        </w:rPr>
      </w:pPr>
      <w:r>
        <w:rPr>
          <w:rFonts w:ascii="SimHei" w:hAnsi="SimHei" w:eastAsia="SimHei" w:cs="SimHei"/>
          <w:sz w:val="40"/>
          <w:szCs w:val="40"/>
          <w:b/>
          <w:bCs/>
          <w:spacing w:val="5"/>
        </w:rPr>
        <w:t>编写说明</w:t>
      </w:r>
    </w:p>
    <w:p>
      <w:pPr>
        <w:pStyle w:val="BodyText"/>
        <w:spacing w:line="316" w:lineRule="auto"/>
        <w:rPr/>
      </w:pPr>
      <w:r/>
    </w:p>
    <w:p>
      <w:pPr>
        <w:pStyle w:val="BodyText"/>
        <w:spacing w:line="317" w:lineRule="auto"/>
        <w:rPr/>
      </w:pPr>
      <w:r/>
    </w:p>
    <w:p>
      <w:pPr>
        <w:ind w:right="50" w:firstLine="430"/>
        <w:spacing w:before="69" w:line="297" w:lineRule="auto"/>
        <w:rPr>
          <w:rFonts w:ascii="FangSong" w:hAnsi="FangSong" w:eastAsia="FangSong" w:cs="FangSong"/>
          <w:sz w:val="21"/>
          <w:szCs w:val="21"/>
        </w:rPr>
      </w:pPr>
      <w:r>
        <w:rPr>
          <w:rFonts w:ascii="FangSong" w:hAnsi="FangSong" w:eastAsia="FangSong" w:cs="FangSong"/>
          <w:sz w:val="21"/>
          <w:szCs w:val="21"/>
          <w:spacing w:val="3"/>
        </w:rPr>
        <w:t>党中央、国务院高度重视减轻企业负担工作，多次就推进减税</w:t>
      </w:r>
      <w:r>
        <w:rPr>
          <w:rFonts w:ascii="FangSong" w:hAnsi="FangSong" w:eastAsia="FangSong" w:cs="FangSong"/>
          <w:sz w:val="21"/>
          <w:szCs w:val="21"/>
          <w:spacing w:val="12"/>
        </w:rPr>
        <w:t xml:space="preserve"> </w:t>
      </w:r>
      <w:r>
        <w:rPr>
          <w:rFonts w:ascii="FangSong" w:hAnsi="FangSong" w:eastAsia="FangSong" w:cs="FangSong"/>
          <w:sz w:val="21"/>
          <w:szCs w:val="21"/>
          <w:spacing w:val="4"/>
        </w:rPr>
        <w:t>降费、降低制度性交易成本、优化营商环境</w:t>
      </w:r>
      <w:r>
        <w:rPr>
          <w:rFonts w:ascii="FangSong" w:hAnsi="FangSong" w:eastAsia="FangSong" w:cs="FangSong"/>
          <w:sz w:val="21"/>
          <w:szCs w:val="21"/>
          <w:spacing w:val="3"/>
        </w:rPr>
        <w:t>等作出部署，出台了一</w:t>
      </w:r>
      <w:r>
        <w:rPr>
          <w:rFonts w:ascii="FangSong" w:hAnsi="FangSong" w:eastAsia="FangSong" w:cs="FangSong"/>
          <w:sz w:val="21"/>
          <w:szCs w:val="21"/>
        </w:rPr>
        <w:t xml:space="preserve"> </w:t>
      </w:r>
      <w:r>
        <w:rPr>
          <w:rFonts w:ascii="FangSong" w:hAnsi="FangSong" w:eastAsia="FangSong" w:cs="FangSong"/>
          <w:sz w:val="21"/>
          <w:szCs w:val="21"/>
          <w:spacing w:val="-2"/>
        </w:rPr>
        <w:t>系列政策举措。2023年《政府工作报告》提出，完善税费优惠</w:t>
      </w:r>
      <w:r>
        <w:rPr>
          <w:rFonts w:ascii="FangSong" w:hAnsi="FangSong" w:eastAsia="FangSong" w:cs="FangSong"/>
          <w:sz w:val="21"/>
          <w:szCs w:val="21"/>
          <w:spacing w:val="-3"/>
        </w:rPr>
        <w:t>政策，</w:t>
      </w:r>
      <w:r>
        <w:rPr>
          <w:rFonts w:ascii="FangSong" w:hAnsi="FangSong" w:eastAsia="FangSong" w:cs="FangSong"/>
          <w:sz w:val="21"/>
          <w:szCs w:val="21"/>
        </w:rPr>
        <w:t xml:space="preserve"> </w:t>
      </w:r>
      <w:r>
        <w:rPr>
          <w:rFonts w:ascii="FangSong" w:hAnsi="FangSong" w:eastAsia="FangSong" w:cs="FangSong"/>
          <w:sz w:val="21"/>
          <w:szCs w:val="21"/>
          <w:spacing w:val="-4"/>
        </w:rPr>
        <w:t>对现行减税降费、退税缓税等措施，该延续的延续，该优化的优化。</w:t>
      </w:r>
      <w:r>
        <w:rPr>
          <w:rFonts w:ascii="FangSong" w:hAnsi="FangSong" w:eastAsia="FangSong" w:cs="FangSong"/>
          <w:sz w:val="21"/>
          <w:szCs w:val="21"/>
          <w:spacing w:val="3"/>
        </w:rPr>
        <w:t xml:space="preserve"> </w:t>
      </w:r>
      <w:r>
        <w:rPr>
          <w:rFonts w:ascii="FangSong" w:hAnsi="FangSong" w:eastAsia="FangSong" w:cs="FangSong"/>
          <w:sz w:val="21"/>
          <w:szCs w:val="21"/>
          <w:spacing w:val="8"/>
        </w:rPr>
        <w:t>国务院减轻企业负担部际联席会议(办公室设在工业和信息化部)</w:t>
      </w:r>
      <w:r>
        <w:rPr>
          <w:rFonts w:ascii="FangSong" w:hAnsi="FangSong" w:eastAsia="FangSong" w:cs="FangSong"/>
          <w:sz w:val="21"/>
          <w:szCs w:val="21"/>
          <w:spacing w:val="6"/>
        </w:rPr>
        <w:t xml:space="preserve">  </w:t>
      </w:r>
      <w:r>
        <w:rPr>
          <w:rFonts w:ascii="FangSong" w:hAnsi="FangSong" w:eastAsia="FangSong" w:cs="FangSong"/>
          <w:sz w:val="21"/>
          <w:szCs w:val="21"/>
          <w:spacing w:val="4"/>
        </w:rPr>
        <w:t>认真贯彻落实党中央、国务院决策部署，将推动</w:t>
      </w:r>
      <w:r>
        <w:rPr>
          <w:rFonts w:ascii="FangSong" w:hAnsi="FangSong" w:eastAsia="FangSong" w:cs="FangSong"/>
          <w:sz w:val="21"/>
          <w:szCs w:val="21"/>
          <w:spacing w:val="3"/>
        </w:rPr>
        <w:t>惠企减负政策落实</w:t>
      </w:r>
      <w:r>
        <w:rPr>
          <w:rFonts w:ascii="FangSong" w:hAnsi="FangSong" w:eastAsia="FangSong" w:cs="FangSong"/>
          <w:sz w:val="21"/>
          <w:szCs w:val="21"/>
        </w:rPr>
        <w:t xml:space="preserve"> </w:t>
      </w:r>
      <w:r>
        <w:rPr>
          <w:rFonts w:ascii="FangSong" w:hAnsi="FangSong" w:eastAsia="FangSong" w:cs="FangSong"/>
          <w:sz w:val="21"/>
          <w:szCs w:val="21"/>
          <w:spacing w:val="-4"/>
        </w:rPr>
        <w:t>作为每年减轻企业负担工作的重要内容扎实推进，为稳定经济增长、</w:t>
      </w:r>
      <w:r>
        <w:rPr>
          <w:rFonts w:ascii="FangSong" w:hAnsi="FangSong" w:eastAsia="FangSong" w:cs="FangSong"/>
          <w:sz w:val="21"/>
          <w:szCs w:val="21"/>
          <w:spacing w:val="4"/>
        </w:rPr>
        <w:t xml:space="preserve"> </w:t>
      </w:r>
      <w:r>
        <w:rPr>
          <w:rFonts w:ascii="FangSong" w:hAnsi="FangSong" w:eastAsia="FangSong" w:cs="FangSong"/>
          <w:sz w:val="21"/>
          <w:szCs w:val="21"/>
          <w:spacing w:val="-3"/>
        </w:rPr>
        <w:t>激发市场活力发挥了积极作用。</w:t>
      </w:r>
    </w:p>
    <w:p>
      <w:pPr>
        <w:ind w:right="91" w:firstLine="430"/>
        <w:spacing w:before="122" w:line="286" w:lineRule="auto"/>
        <w:rPr>
          <w:rFonts w:ascii="FangSong" w:hAnsi="FangSong" w:eastAsia="FangSong" w:cs="FangSong"/>
          <w:sz w:val="21"/>
          <w:szCs w:val="21"/>
        </w:rPr>
      </w:pPr>
      <w:r>
        <w:rPr>
          <w:rFonts w:ascii="FangSong" w:hAnsi="FangSong" w:eastAsia="FangSong" w:cs="FangSong"/>
          <w:sz w:val="21"/>
          <w:szCs w:val="21"/>
        </w:rPr>
        <w:t>自</w:t>
      </w:r>
      <w:r>
        <w:rPr>
          <w:rFonts w:ascii="FangSong" w:hAnsi="FangSong" w:eastAsia="FangSong" w:cs="FangSong"/>
          <w:sz w:val="21"/>
          <w:szCs w:val="21"/>
          <w:b/>
          <w:bCs/>
        </w:rPr>
        <w:t>2012</w:t>
      </w:r>
      <w:r>
        <w:rPr>
          <w:rFonts w:ascii="FangSong" w:hAnsi="FangSong" w:eastAsia="FangSong" w:cs="FangSong"/>
          <w:sz w:val="21"/>
          <w:szCs w:val="21"/>
          <w:spacing w:val="-38"/>
        </w:rPr>
        <w:t xml:space="preserve"> </w:t>
      </w:r>
      <w:r>
        <w:rPr>
          <w:rFonts w:ascii="FangSong" w:hAnsi="FangSong" w:eastAsia="FangSong" w:cs="FangSong"/>
          <w:sz w:val="21"/>
          <w:szCs w:val="21"/>
        </w:rPr>
        <w:t>年起，国务院减轻企业负担部际</w:t>
      </w:r>
      <w:r>
        <w:rPr>
          <w:rFonts w:ascii="FangSong" w:hAnsi="FangSong" w:eastAsia="FangSong" w:cs="FangSong"/>
          <w:sz w:val="21"/>
          <w:szCs w:val="21"/>
          <w:spacing w:val="-1"/>
        </w:rPr>
        <w:t>联席会议每年对国务院</w:t>
      </w:r>
      <w:r>
        <w:rPr>
          <w:rFonts w:ascii="FangSong" w:hAnsi="FangSong" w:eastAsia="FangSong" w:cs="FangSong"/>
          <w:sz w:val="21"/>
          <w:szCs w:val="21"/>
        </w:rPr>
        <w:t xml:space="preserve"> </w:t>
      </w:r>
      <w:r>
        <w:rPr>
          <w:rFonts w:ascii="FangSong" w:hAnsi="FangSong" w:eastAsia="FangSong" w:cs="FangSong"/>
          <w:sz w:val="21"/>
          <w:szCs w:val="21"/>
          <w:spacing w:val="3"/>
        </w:rPr>
        <w:t>及有关部门出台的惠企减负政策措施进行梳理，编印出版减轻企业</w:t>
      </w:r>
      <w:r>
        <w:rPr>
          <w:rFonts w:ascii="FangSong" w:hAnsi="FangSong" w:eastAsia="FangSong" w:cs="FangSong"/>
          <w:sz w:val="21"/>
          <w:szCs w:val="21"/>
          <w:spacing w:val="16"/>
        </w:rPr>
        <w:t xml:space="preserve"> </w:t>
      </w:r>
      <w:r>
        <w:rPr>
          <w:rFonts w:ascii="FangSong" w:hAnsi="FangSong" w:eastAsia="FangSong" w:cs="FangSong"/>
          <w:sz w:val="21"/>
          <w:szCs w:val="21"/>
          <w:spacing w:val="3"/>
        </w:rPr>
        <w:t>负担政策手册发送广大企业，为企业了解和享受国家政策、维护合</w:t>
      </w:r>
      <w:r>
        <w:rPr>
          <w:rFonts w:ascii="FangSong" w:hAnsi="FangSong" w:eastAsia="FangSong" w:cs="FangSong"/>
          <w:sz w:val="21"/>
          <w:szCs w:val="21"/>
          <w:spacing w:val="13"/>
        </w:rPr>
        <w:t xml:space="preserve"> </w:t>
      </w:r>
      <w:r>
        <w:rPr>
          <w:rFonts w:ascii="FangSong" w:hAnsi="FangSong" w:eastAsia="FangSong" w:cs="FangSong"/>
          <w:sz w:val="21"/>
          <w:szCs w:val="21"/>
          <w:spacing w:val="-6"/>
        </w:rPr>
        <w:t>法权益提供帮助。</w:t>
      </w:r>
    </w:p>
    <w:p>
      <w:pPr>
        <w:ind w:left="325"/>
        <w:spacing w:before="105" w:line="219" w:lineRule="auto"/>
        <w:rPr>
          <w:rFonts w:ascii="FangSong" w:hAnsi="FangSong" w:eastAsia="FangSong" w:cs="FangSong"/>
          <w:sz w:val="21"/>
          <w:szCs w:val="21"/>
        </w:rPr>
      </w:pPr>
      <w:r>
        <w:rPr>
          <w:rFonts w:ascii="FangSong" w:hAnsi="FangSong" w:eastAsia="FangSong" w:cs="FangSong"/>
          <w:sz w:val="21"/>
          <w:szCs w:val="21"/>
          <w:spacing w:val="4"/>
        </w:rPr>
        <w:t>《减轻企业负担政策汇编(2023)》是在历年政策汇编基础</w:t>
      </w:r>
      <w:r>
        <w:rPr>
          <w:rFonts w:ascii="FangSong" w:hAnsi="FangSong" w:eastAsia="FangSong" w:cs="FangSong"/>
          <w:sz w:val="21"/>
          <w:szCs w:val="21"/>
          <w:spacing w:val="3"/>
        </w:rPr>
        <w:t>上，</w:t>
      </w:r>
    </w:p>
    <w:p>
      <w:pPr>
        <w:spacing w:before="99" w:line="297" w:lineRule="auto"/>
        <w:rPr>
          <w:rFonts w:ascii="FangSong" w:hAnsi="FangSong" w:eastAsia="FangSong" w:cs="FangSong"/>
          <w:sz w:val="21"/>
          <w:szCs w:val="21"/>
        </w:rPr>
      </w:pPr>
      <w:r>
        <w:rPr>
          <w:rFonts w:ascii="FangSong" w:hAnsi="FangSong" w:eastAsia="FangSong" w:cs="FangSong"/>
          <w:sz w:val="21"/>
          <w:szCs w:val="21"/>
          <w:spacing w:val="-1"/>
        </w:rPr>
        <w:t>结合今年国务院及有关部门出台的减轻企业负担政策措施编印而成。</w:t>
      </w:r>
      <w:r>
        <w:rPr>
          <w:rFonts w:ascii="FangSong" w:hAnsi="FangSong" w:eastAsia="FangSong" w:cs="FangSong"/>
          <w:sz w:val="21"/>
          <w:szCs w:val="21"/>
          <w:spacing w:val="14"/>
        </w:rPr>
        <w:t xml:space="preserve"> </w:t>
      </w:r>
      <w:r>
        <w:rPr>
          <w:rFonts w:ascii="FangSong" w:hAnsi="FangSong" w:eastAsia="FangSong" w:cs="FangSong"/>
          <w:sz w:val="21"/>
          <w:szCs w:val="21"/>
          <w:spacing w:val="3"/>
        </w:rPr>
        <w:t>汇编采取目录清单形式，更新了2023年国务院及有关部门出台的惠</w:t>
      </w:r>
      <w:r>
        <w:rPr>
          <w:rFonts w:ascii="FangSong" w:hAnsi="FangSong" w:eastAsia="FangSong" w:cs="FangSong"/>
          <w:sz w:val="21"/>
          <w:szCs w:val="21"/>
          <w:spacing w:val="3"/>
        </w:rPr>
        <w:t xml:space="preserve"> </w:t>
      </w:r>
      <w:r>
        <w:rPr>
          <w:rFonts w:ascii="FangSong" w:hAnsi="FangSong" w:eastAsia="FangSong" w:cs="FangSong"/>
          <w:sz w:val="21"/>
          <w:szCs w:val="21"/>
          <w:spacing w:val="16"/>
        </w:rPr>
        <w:t>企减负政策39条。截至11月底，汇编收录了收费减免(19条)、</w:t>
      </w:r>
      <w:r>
        <w:rPr>
          <w:rFonts w:ascii="FangSong" w:hAnsi="FangSong" w:eastAsia="FangSong" w:cs="FangSong"/>
          <w:sz w:val="21"/>
          <w:szCs w:val="21"/>
          <w:spacing w:val="9"/>
        </w:rPr>
        <w:t xml:space="preserve">  </w:t>
      </w:r>
      <w:r>
        <w:rPr>
          <w:rFonts w:ascii="FangSong" w:hAnsi="FangSong" w:eastAsia="FangSong" w:cs="FangSong"/>
          <w:sz w:val="21"/>
          <w:szCs w:val="21"/>
          <w:spacing w:val="7"/>
        </w:rPr>
        <w:t>税收优惠(97条)和降低企业制度性交易成本(31条)、</w:t>
      </w:r>
      <w:r>
        <w:rPr>
          <w:rFonts w:ascii="FangSong" w:hAnsi="FangSong" w:eastAsia="FangSong" w:cs="FangSong"/>
          <w:sz w:val="21"/>
          <w:szCs w:val="21"/>
          <w:spacing w:val="6"/>
        </w:rPr>
        <w:t>人工成本(14</w:t>
      </w:r>
      <w:r>
        <w:rPr>
          <w:rFonts w:ascii="FangSong" w:hAnsi="FangSong" w:eastAsia="FangSong" w:cs="FangSong"/>
          <w:sz w:val="21"/>
          <w:szCs w:val="21"/>
        </w:rPr>
        <w:t xml:space="preserve"> </w:t>
      </w:r>
      <w:r>
        <w:rPr>
          <w:rFonts w:ascii="FangSong" w:hAnsi="FangSong" w:eastAsia="FangSong" w:cs="FangSong"/>
          <w:sz w:val="21"/>
          <w:szCs w:val="21"/>
          <w:spacing w:val="18"/>
        </w:rPr>
        <w:t>条)、融资成本(25条)、用能用地成本(15条)、</w:t>
      </w:r>
      <w:r>
        <w:rPr>
          <w:rFonts w:ascii="FangSong" w:hAnsi="FangSong" w:eastAsia="FangSong" w:cs="FangSong"/>
          <w:sz w:val="21"/>
          <w:szCs w:val="21"/>
          <w:spacing w:val="17"/>
        </w:rPr>
        <w:t>物流成本(6条)</w:t>
      </w:r>
      <w:r>
        <w:rPr>
          <w:rFonts w:ascii="FangSong" w:hAnsi="FangSong" w:eastAsia="FangSong" w:cs="FangSong"/>
          <w:sz w:val="21"/>
          <w:szCs w:val="21"/>
        </w:rPr>
        <w:t xml:space="preserve"> </w:t>
      </w:r>
      <w:r>
        <w:rPr>
          <w:rFonts w:ascii="FangSong" w:hAnsi="FangSong" w:eastAsia="FangSong" w:cs="FangSong"/>
          <w:sz w:val="21"/>
          <w:szCs w:val="21"/>
          <w:spacing w:val="11"/>
        </w:rPr>
        <w:t>等7个方面共计207条正在执行的政策措施，方便企业查询。本书</w:t>
      </w:r>
      <w:r>
        <w:rPr>
          <w:rFonts w:ascii="FangSong" w:hAnsi="FangSong" w:eastAsia="FangSong" w:cs="FangSong"/>
          <w:sz w:val="21"/>
          <w:szCs w:val="21"/>
          <w:spacing w:val="2"/>
        </w:rPr>
        <w:t xml:space="preserve"> </w:t>
      </w:r>
      <w:r>
        <w:rPr>
          <w:rFonts w:ascii="FangSong" w:hAnsi="FangSong" w:eastAsia="FangSong" w:cs="FangSong"/>
          <w:sz w:val="21"/>
          <w:szCs w:val="21"/>
          <w:spacing w:val="3"/>
        </w:rPr>
        <w:t>在编写过程中，得到了国务院减轻企业负担部际联席会议成员单位</w:t>
      </w:r>
      <w:r>
        <w:rPr>
          <w:rFonts w:ascii="FangSong" w:hAnsi="FangSong" w:eastAsia="FangSong" w:cs="FangSong"/>
          <w:sz w:val="21"/>
          <w:szCs w:val="21"/>
          <w:spacing w:val="7"/>
        </w:rPr>
        <w:t xml:space="preserve">  </w:t>
      </w:r>
      <w:r>
        <w:rPr>
          <w:rFonts w:ascii="FangSong" w:hAnsi="FangSong" w:eastAsia="FangSong" w:cs="FangSong"/>
          <w:sz w:val="21"/>
          <w:szCs w:val="21"/>
          <w:spacing w:val="5"/>
        </w:rPr>
        <w:t>及有关部门、各省(区、市)减轻企业负担工作领导小组(联席会议)</w:t>
      </w:r>
    </w:p>
    <w:p>
      <w:pPr>
        <w:spacing w:line="297" w:lineRule="auto"/>
        <w:sectPr>
          <w:pgSz w:w="8220" w:h="11910"/>
          <w:pgMar w:top="400" w:right="934" w:bottom="400" w:left="999" w:header="0" w:footer="0" w:gutter="0"/>
        </w:sectPr>
        <w:rPr>
          <w:rFonts w:ascii="FangSong" w:hAnsi="FangSong" w:eastAsia="FangSong" w:cs="FangSong"/>
          <w:sz w:val="21"/>
          <w:szCs w:val="21"/>
        </w:rPr>
      </w:pPr>
    </w:p>
    <w:p>
      <w:pPr>
        <w:pStyle w:val="BodyText"/>
        <w:spacing w:line="320" w:lineRule="auto"/>
        <w:rPr/>
      </w:pPr>
      <w:r/>
    </w:p>
    <w:p>
      <w:pPr>
        <w:pStyle w:val="BodyText"/>
        <w:spacing w:line="320" w:lineRule="auto"/>
        <w:rPr/>
      </w:pPr>
      <w:r/>
    </w:p>
    <w:p>
      <w:pPr>
        <w:ind w:right="16"/>
        <w:spacing w:before="71" w:line="260" w:lineRule="auto"/>
        <w:rPr>
          <w:rFonts w:ascii="FangSong" w:hAnsi="FangSong" w:eastAsia="FangSong" w:cs="FangSong"/>
          <w:sz w:val="22"/>
          <w:szCs w:val="22"/>
        </w:rPr>
      </w:pPr>
      <w:r>
        <w:rPr>
          <w:rFonts w:ascii="FangSong" w:hAnsi="FangSong" w:eastAsia="FangSong" w:cs="FangSong"/>
          <w:sz w:val="22"/>
          <w:szCs w:val="22"/>
          <w:spacing w:val="-6"/>
        </w:rPr>
        <w:t>的大力支持，并由中国中小企业发展促进中心承</w:t>
      </w:r>
      <w:r>
        <w:rPr>
          <w:rFonts w:ascii="FangSong" w:hAnsi="FangSong" w:eastAsia="FangSong" w:cs="FangSong"/>
          <w:sz w:val="22"/>
          <w:szCs w:val="22"/>
          <w:spacing w:val="-7"/>
        </w:rPr>
        <w:t>担了文件梳理和编</w:t>
      </w:r>
      <w:r>
        <w:rPr>
          <w:rFonts w:ascii="FangSong" w:hAnsi="FangSong" w:eastAsia="FangSong" w:cs="FangSong"/>
          <w:sz w:val="22"/>
          <w:szCs w:val="22"/>
        </w:rPr>
        <w:t xml:space="preserve"> </w:t>
      </w:r>
      <w:r>
        <w:rPr>
          <w:rFonts w:ascii="FangSong" w:hAnsi="FangSong" w:eastAsia="FangSong" w:cs="FangSong"/>
          <w:sz w:val="22"/>
          <w:szCs w:val="22"/>
          <w:spacing w:val="-22"/>
        </w:rPr>
        <w:t>印出版工作。在此，</w:t>
      </w:r>
      <w:r>
        <w:rPr>
          <w:rFonts w:ascii="FangSong" w:hAnsi="FangSong" w:eastAsia="FangSong" w:cs="FangSong"/>
          <w:sz w:val="22"/>
          <w:szCs w:val="22"/>
          <w:spacing w:val="58"/>
        </w:rPr>
        <w:t xml:space="preserve"> </w:t>
      </w:r>
      <w:r>
        <w:rPr>
          <w:rFonts w:ascii="FangSong" w:hAnsi="FangSong" w:eastAsia="FangSong" w:cs="FangSong"/>
          <w:sz w:val="22"/>
          <w:szCs w:val="22"/>
          <w:spacing w:val="-22"/>
        </w:rPr>
        <w:t>一并表示感谢!</w:t>
      </w:r>
    </w:p>
    <w:p>
      <w:pPr>
        <w:ind w:firstLine="440"/>
        <w:spacing w:before="79" w:line="259" w:lineRule="auto"/>
        <w:rPr>
          <w:rFonts w:ascii="FangSong" w:hAnsi="FangSong" w:eastAsia="FangSong" w:cs="FangSong"/>
          <w:sz w:val="22"/>
          <w:szCs w:val="22"/>
        </w:rPr>
      </w:pPr>
      <w:r>
        <w:rPr>
          <w:rFonts w:ascii="FangSong" w:hAnsi="FangSong" w:eastAsia="FangSong" w:cs="FangSong"/>
          <w:sz w:val="22"/>
          <w:szCs w:val="22"/>
          <w:spacing w:val="-6"/>
        </w:rPr>
        <w:t>由于减轻企业负担政策涉及面广，难免存在疏漏之处</w:t>
      </w:r>
      <w:r>
        <w:rPr>
          <w:rFonts w:ascii="FangSong" w:hAnsi="FangSong" w:eastAsia="FangSong" w:cs="FangSong"/>
          <w:sz w:val="22"/>
          <w:szCs w:val="22"/>
          <w:spacing w:val="-7"/>
        </w:rPr>
        <w:t>，敬请社</w:t>
      </w:r>
      <w:r>
        <w:rPr>
          <w:rFonts w:ascii="FangSong" w:hAnsi="FangSong" w:eastAsia="FangSong" w:cs="FangSong"/>
          <w:sz w:val="22"/>
          <w:szCs w:val="22"/>
        </w:rPr>
        <w:t xml:space="preserve"> </w:t>
      </w:r>
      <w:r>
        <w:rPr>
          <w:rFonts w:ascii="FangSong" w:hAnsi="FangSong" w:eastAsia="FangSong" w:cs="FangSong"/>
          <w:sz w:val="22"/>
          <w:szCs w:val="22"/>
          <w:spacing w:val="-16"/>
        </w:rPr>
        <w:t>会各界批评指正。</w:t>
      </w:r>
    </w:p>
    <w:p>
      <w:pPr>
        <w:pStyle w:val="BodyText"/>
        <w:spacing w:line="320" w:lineRule="auto"/>
        <w:rPr/>
      </w:pPr>
      <w:r/>
    </w:p>
    <w:p>
      <w:pPr>
        <w:pStyle w:val="BodyText"/>
        <w:spacing w:line="320" w:lineRule="auto"/>
        <w:rPr/>
      </w:pPr>
      <w:r/>
    </w:p>
    <w:p>
      <w:pPr>
        <w:ind w:left="3709" w:right="16" w:hanging="1239"/>
        <w:spacing w:before="72" w:line="245" w:lineRule="auto"/>
        <w:rPr>
          <w:rFonts w:ascii="FangSong" w:hAnsi="FangSong" w:eastAsia="FangSong" w:cs="FangSong"/>
          <w:sz w:val="22"/>
          <w:szCs w:val="22"/>
        </w:rPr>
      </w:pPr>
      <w:r>
        <w:rPr>
          <w:rFonts w:ascii="FangSong" w:hAnsi="FangSong" w:eastAsia="FangSong" w:cs="FangSong"/>
          <w:sz w:val="22"/>
          <w:szCs w:val="22"/>
          <w:spacing w:val="-13"/>
        </w:rPr>
        <w:t>国务院减轻企业负担部际联席会议办公室</w:t>
      </w:r>
      <w:r>
        <w:rPr>
          <w:rFonts w:ascii="FangSong" w:hAnsi="FangSong" w:eastAsia="FangSong" w:cs="FangSong"/>
          <w:sz w:val="22"/>
          <w:szCs w:val="22"/>
          <w:spacing w:val="2"/>
        </w:rPr>
        <w:t xml:space="preserve"> </w:t>
      </w:r>
      <w:r>
        <w:rPr>
          <w:rFonts w:ascii="FangSong" w:hAnsi="FangSong" w:eastAsia="FangSong" w:cs="FangSong"/>
          <w:sz w:val="22"/>
          <w:szCs w:val="22"/>
          <w:spacing w:val="14"/>
        </w:rPr>
        <w:t>2023年12月</w:t>
      </w:r>
    </w:p>
    <w:p>
      <w:pPr>
        <w:spacing w:line="245" w:lineRule="auto"/>
        <w:sectPr>
          <w:pgSz w:w="8220" w:h="11910"/>
          <w:pgMar w:top="400" w:right="994" w:bottom="400" w:left="1009" w:header="0" w:footer="0" w:gutter="0"/>
        </w:sectPr>
        <w:rPr>
          <w:rFonts w:ascii="FangSong" w:hAnsi="FangSong" w:eastAsia="FangSong" w:cs="FangSong"/>
          <w:sz w:val="22"/>
          <w:szCs w:val="22"/>
        </w:rPr>
      </w:pP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2565"/>
        <w:spacing w:before="133" w:line="222" w:lineRule="auto"/>
        <w:rPr>
          <w:rFonts w:ascii="SimHei" w:hAnsi="SimHei" w:eastAsia="SimHei" w:cs="SimHei"/>
          <w:sz w:val="41"/>
          <w:szCs w:val="41"/>
        </w:rPr>
      </w:pPr>
      <w:r>
        <w:rPr>
          <w:rFonts w:ascii="SimHei" w:hAnsi="SimHei" w:eastAsia="SimHei" w:cs="SimHei"/>
          <w:sz w:val="41"/>
          <w:szCs w:val="41"/>
          <w:b/>
          <w:bCs/>
          <w:spacing w:val="-38"/>
        </w:rPr>
        <w:t>目</w:t>
      </w:r>
      <w:r>
        <w:rPr>
          <w:rFonts w:ascii="SimHei" w:hAnsi="SimHei" w:eastAsia="SimHei" w:cs="SimHei"/>
          <w:sz w:val="41"/>
          <w:szCs w:val="41"/>
          <w:spacing w:val="2"/>
        </w:rPr>
        <w:t xml:space="preserve">  </w:t>
      </w:r>
      <w:r>
        <w:rPr>
          <w:rFonts w:ascii="SimHei" w:hAnsi="SimHei" w:eastAsia="SimHei" w:cs="SimHei"/>
          <w:sz w:val="41"/>
          <w:szCs w:val="41"/>
          <w:b/>
          <w:bCs/>
          <w:spacing w:val="-38"/>
        </w:rPr>
        <w:t>录</w:t>
      </w:r>
    </w:p>
    <w:p>
      <w:pPr>
        <w:pStyle w:val="BodyText"/>
        <w:spacing w:line="323" w:lineRule="auto"/>
        <w:rPr/>
      </w:pPr>
      <w:r/>
    </w:p>
    <w:p>
      <w:pPr>
        <w:pStyle w:val="BodyText"/>
        <w:spacing w:line="323" w:lineRule="auto"/>
        <w:rPr/>
      </w:pPr>
      <w:r/>
    </w:p>
    <w:p>
      <w:pPr>
        <w:ind w:left="2"/>
        <w:spacing w:before="61" w:line="221" w:lineRule="auto"/>
        <w:rPr>
          <w:rFonts w:ascii="SimHei" w:hAnsi="SimHei" w:eastAsia="SimHei" w:cs="SimHei"/>
          <w:sz w:val="19"/>
          <w:szCs w:val="19"/>
        </w:rPr>
      </w:pPr>
      <w:r>
        <w:rPr>
          <w:rFonts w:ascii="SimHei" w:hAnsi="SimHei" w:eastAsia="SimHei" w:cs="SimHei"/>
          <w:sz w:val="19"/>
          <w:szCs w:val="19"/>
          <w:b/>
          <w:bCs/>
          <w:spacing w:val="6"/>
        </w:rPr>
        <w:t>编写说明</w:t>
      </w:r>
    </w:p>
    <w:sdt>
      <w:sdtPr>
        <w:rPr>
          <w:rFonts w:ascii="SimHei" w:hAnsi="SimHei" w:eastAsia="SimHei" w:cs="SimHei"/>
          <w:sz w:val="19"/>
          <w:szCs w:val="19"/>
        </w:rPr>
        <w:docPartObj>
          <w:docPartGallery w:val="Table of Contents"/>
          <w:docPartUnique/>
        </w:docPartObj>
      </w:sdtPr>
      <w:sdtEndPr>
        <w:rPr>
          <w:rFonts w:ascii="Times New Roman" w:hAnsi="Times New Roman" w:eastAsia="Times New Roman" w:cs="Times New Roman"/>
          <w:sz w:val="19"/>
          <w:szCs w:val="19"/>
        </w:rPr>
      </w:sdtEndPr>
      <w:sdtContent>
        <w:p>
          <w:pPr>
            <w:spacing w:before="95" w:line="222" w:lineRule="auto"/>
            <w:tabs>
              <w:tab w:val="right" w:leader="dot" w:pos="6172"/>
            </w:tabs>
            <w:rPr>
              <w:rFonts w:ascii="Times New Roman" w:hAnsi="Times New Roman" w:eastAsia="Times New Roman" w:cs="Times New Roman"/>
              <w:sz w:val="19"/>
              <w:szCs w:val="19"/>
            </w:rPr>
          </w:pPr>
          <w:r>
            <w:rPr>
              <w:rFonts w:ascii="SimHei" w:hAnsi="SimHei" w:eastAsia="SimHei" w:cs="SimHei"/>
              <w:sz w:val="19"/>
              <w:szCs w:val="19"/>
              <w:spacing w:val="5"/>
            </w:rPr>
            <w:t>一、收费减免政策</w:t>
          </w:r>
          <w:r>
            <w:rPr>
              <w:rFonts w:ascii="SimHei" w:hAnsi="SimHei" w:eastAsia="SimHei" w:cs="SimHei"/>
              <w:sz w:val="19"/>
              <w:szCs w:val="19"/>
              <w:spacing w:val="43"/>
              <w:w w:val="101"/>
            </w:rPr>
            <w:t xml:space="preserve"> </w:t>
          </w:r>
          <w:r>
            <w:rPr>
              <w:rFonts w:ascii="SimHei" w:hAnsi="SimHei" w:eastAsia="SimHei" w:cs="SimHei"/>
              <w:sz w:val="19"/>
              <w:szCs w:val="19"/>
            </w:rPr>
            <w:tab/>
          </w:r>
          <w:r>
            <w:rPr>
              <w:rFonts w:ascii="SimHei" w:hAnsi="SimHei" w:eastAsia="SimHei" w:cs="SimHei"/>
              <w:sz w:val="19"/>
              <w:szCs w:val="19"/>
              <w:spacing w:val="-44"/>
            </w:rPr>
            <w:t xml:space="preserve"> </w:t>
          </w:r>
          <w:hyperlink w:history="true" w:anchor="bookmark1">
            <w:r>
              <w:rPr>
                <w:rFonts w:ascii="Times New Roman" w:hAnsi="Times New Roman" w:eastAsia="Times New Roman" w:cs="Times New Roman"/>
                <w:sz w:val="19"/>
                <w:szCs w:val="19"/>
                <w:spacing w:val="-23"/>
              </w:rPr>
              <w:t>1</w:t>
            </w:r>
          </w:hyperlink>
        </w:p>
        <w:p>
          <w:pPr>
            <w:ind w:left="2"/>
            <w:spacing w:before="58" w:line="221" w:lineRule="auto"/>
            <w:tabs>
              <w:tab w:val="right" w:leader="dot" w:pos="6167"/>
            </w:tabs>
            <w:rPr>
              <w:rFonts w:ascii="Times New Roman" w:hAnsi="Times New Roman" w:eastAsia="Times New Roman" w:cs="Times New Roman"/>
              <w:sz w:val="19"/>
              <w:szCs w:val="19"/>
            </w:rPr>
          </w:pPr>
          <w:r>
            <w:rPr>
              <w:rFonts w:ascii="SimHei" w:hAnsi="SimHei" w:eastAsia="SimHei" w:cs="SimHei"/>
              <w:sz w:val="19"/>
              <w:szCs w:val="19"/>
              <w:b/>
              <w:bCs/>
              <w:spacing w:val="5"/>
            </w:rPr>
            <w:t>二、税收优惠政策</w:t>
          </w:r>
          <w:r>
            <w:rPr>
              <w:rFonts w:ascii="SimHei" w:hAnsi="SimHei" w:eastAsia="SimHei" w:cs="SimHei"/>
              <w:sz w:val="19"/>
              <w:szCs w:val="19"/>
              <w:spacing w:val="-65"/>
            </w:rPr>
            <w:t xml:space="preserve"> </w:t>
          </w:r>
          <w:r>
            <w:rPr>
              <w:rFonts w:ascii="SimHei" w:hAnsi="SimHei" w:eastAsia="SimHei" w:cs="SimHei"/>
              <w:sz w:val="19"/>
              <w:szCs w:val="19"/>
            </w:rPr>
            <w:tab/>
          </w:r>
          <w:r>
            <w:rPr>
              <w:rFonts w:ascii="SimHei" w:hAnsi="SimHei" w:eastAsia="SimHei" w:cs="SimHei"/>
              <w:sz w:val="19"/>
              <w:szCs w:val="19"/>
              <w:spacing w:val="-68"/>
            </w:rPr>
            <w:t xml:space="preserve"> </w:t>
          </w:r>
          <w:hyperlink w:history="true" w:anchor="bookmark2">
            <w:r>
              <w:rPr>
                <w:rFonts w:ascii="Times New Roman" w:hAnsi="Times New Roman" w:eastAsia="Times New Roman" w:cs="Times New Roman"/>
                <w:sz w:val="19"/>
                <w:szCs w:val="19"/>
                <w:b/>
                <w:bCs/>
                <w:spacing w:val="-4"/>
              </w:rPr>
              <w:t>11</w:t>
            </w:r>
          </w:hyperlink>
        </w:p>
        <w:p>
          <w:pPr>
            <w:ind w:left="2"/>
            <w:spacing w:before="73" w:line="222" w:lineRule="auto"/>
            <w:tabs>
              <w:tab w:val="right" w:leader="dot" w:pos="6162"/>
            </w:tabs>
            <w:rPr>
              <w:rFonts w:ascii="Times New Roman" w:hAnsi="Times New Roman" w:eastAsia="Times New Roman" w:cs="Times New Roman"/>
              <w:sz w:val="19"/>
              <w:szCs w:val="19"/>
            </w:rPr>
          </w:pPr>
          <w:r>
            <w:rPr>
              <w:rFonts w:ascii="SimHei" w:hAnsi="SimHei" w:eastAsia="SimHei" w:cs="SimHei"/>
              <w:sz w:val="19"/>
              <w:szCs w:val="19"/>
              <w:b/>
              <w:bCs/>
              <w:spacing w:val="1"/>
            </w:rPr>
            <w:t>三</w:t>
          </w:r>
          <w:r>
            <w:rPr>
              <w:rFonts w:ascii="SimHei" w:hAnsi="SimHei" w:eastAsia="SimHei" w:cs="SimHei"/>
              <w:sz w:val="19"/>
              <w:szCs w:val="19"/>
              <w:spacing w:val="-19"/>
            </w:rPr>
            <w:t xml:space="preserve"> </w:t>
          </w:r>
          <w:r>
            <w:rPr>
              <w:rFonts w:ascii="SimHei" w:hAnsi="SimHei" w:eastAsia="SimHei" w:cs="SimHei"/>
              <w:sz w:val="19"/>
              <w:szCs w:val="19"/>
              <w:b/>
              <w:bCs/>
              <w:spacing w:val="1"/>
            </w:rPr>
            <w:t>、降低企业制度性交易成本政策</w:t>
          </w:r>
          <w:r>
            <w:rPr>
              <w:rFonts w:ascii="SimHei" w:hAnsi="SimHei" w:eastAsia="SimHei" w:cs="SimHei"/>
              <w:sz w:val="19"/>
              <w:szCs w:val="19"/>
              <w:spacing w:val="-70"/>
            </w:rPr>
            <w:t xml:space="preserve"> </w:t>
          </w:r>
          <w:r>
            <w:rPr>
              <w:rFonts w:ascii="SimHei" w:hAnsi="SimHei" w:eastAsia="SimHei" w:cs="SimHei"/>
              <w:sz w:val="19"/>
              <w:szCs w:val="19"/>
            </w:rPr>
            <w:tab/>
          </w:r>
          <w:hyperlink w:history="true" w:anchor="bookmark3">
            <w:r>
              <w:rPr>
                <w:rFonts w:ascii="Times New Roman" w:hAnsi="Times New Roman" w:eastAsia="Times New Roman" w:cs="Times New Roman"/>
                <w:sz w:val="19"/>
                <w:szCs w:val="19"/>
                <w:b/>
                <w:bCs/>
                <w:spacing w:val="3"/>
              </w:rPr>
              <w:t>61</w:t>
            </w:r>
          </w:hyperlink>
        </w:p>
        <w:p>
          <w:pPr>
            <w:ind w:left="2"/>
            <w:spacing w:before="82" w:line="222" w:lineRule="auto"/>
            <w:tabs>
              <w:tab w:val="right" w:leader="dot" w:pos="6154"/>
            </w:tabs>
            <w:rPr>
              <w:rFonts w:ascii="Times New Roman" w:hAnsi="Times New Roman" w:eastAsia="Times New Roman" w:cs="Times New Roman"/>
              <w:sz w:val="19"/>
              <w:szCs w:val="19"/>
            </w:rPr>
          </w:pPr>
          <w:r>
            <w:rPr>
              <w:rFonts w:ascii="SimHei" w:hAnsi="SimHei" w:eastAsia="SimHei" w:cs="SimHei"/>
              <w:sz w:val="19"/>
              <w:szCs w:val="19"/>
              <w:b/>
              <w:bCs/>
              <w:spacing w:val="-1"/>
            </w:rPr>
            <w:t>四、</w:t>
          </w:r>
          <w:r>
            <w:rPr>
              <w:rFonts w:ascii="SimHei" w:hAnsi="SimHei" w:eastAsia="SimHei" w:cs="SimHei"/>
              <w:sz w:val="19"/>
              <w:szCs w:val="19"/>
              <w:spacing w:val="-27"/>
            </w:rPr>
            <w:t xml:space="preserve"> </w:t>
          </w:r>
          <w:r>
            <w:rPr>
              <w:rFonts w:ascii="SimHei" w:hAnsi="SimHei" w:eastAsia="SimHei" w:cs="SimHei"/>
              <w:sz w:val="19"/>
              <w:szCs w:val="19"/>
              <w:b/>
              <w:bCs/>
              <w:spacing w:val="-1"/>
            </w:rPr>
            <w:t>降低企业人工成本政策</w:t>
          </w:r>
          <w:r>
            <w:rPr>
              <w:rFonts w:ascii="SimHei" w:hAnsi="SimHei" w:eastAsia="SimHei" w:cs="SimHei"/>
              <w:sz w:val="19"/>
              <w:szCs w:val="19"/>
              <w:spacing w:val="-69"/>
            </w:rPr>
            <w:t xml:space="preserve"> </w:t>
          </w:r>
          <w:r>
            <w:rPr>
              <w:rFonts w:ascii="SimHei" w:hAnsi="SimHei" w:eastAsia="SimHei" w:cs="SimHei"/>
              <w:sz w:val="19"/>
              <w:szCs w:val="19"/>
            </w:rPr>
            <w:tab/>
          </w:r>
          <w:hyperlink w:history="true" w:anchor="bookmark4">
            <w:r>
              <w:rPr>
                <w:rFonts w:ascii="Times New Roman" w:hAnsi="Times New Roman" w:eastAsia="Times New Roman" w:cs="Times New Roman"/>
                <w:sz w:val="19"/>
                <w:szCs w:val="19"/>
                <w:b/>
                <w:bCs/>
                <w:spacing w:val="4"/>
              </w:rPr>
              <w:t>95</w:t>
            </w:r>
          </w:hyperlink>
        </w:p>
        <w:p>
          <w:pPr>
            <w:ind w:left="2"/>
            <w:spacing w:before="71" w:line="222" w:lineRule="auto"/>
            <w:tabs>
              <w:tab w:val="right" w:leader="dot" w:pos="6162"/>
            </w:tabs>
            <w:rPr>
              <w:rFonts w:ascii="Times New Roman" w:hAnsi="Times New Roman" w:eastAsia="Times New Roman" w:cs="Times New Roman"/>
              <w:sz w:val="19"/>
              <w:szCs w:val="19"/>
            </w:rPr>
          </w:pPr>
          <w:r>
            <w:rPr>
              <w:rFonts w:ascii="SimHei" w:hAnsi="SimHei" w:eastAsia="SimHei" w:cs="SimHei"/>
              <w:sz w:val="19"/>
              <w:szCs w:val="19"/>
              <w:b/>
              <w:bCs/>
              <w:spacing w:val="-2"/>
            </w:rPr>
            <w:t>五</w:t>
          </w:r>
          <w:r>
            <w:rPr>
              <w:rFonts w:ascii="SimHei" w:hAnsi="SimHei" w:eastAsia="SimHei" w:cs="SimHei"/>
              <w:sz w:val="19"/>
              <w:szCs w:val="19"/>
              <w:spacing w:val="-2"/>
            </w:rPr>
            <w:t xml:space="preserve"> </w:t>
          </w:r>
          <w:r>
            <w:rPr>
              <w:rFonts w:ascii="SimHei" w:hAnsi="SimHei" w:eastAsia="SimHei" w:cs="SimHei"/>
              <w:sz w:val="19"/>
              <w:szCs w:val="19"/>
              <w:b/>
              <w:bCs/>
              <w:spacing w:val="-2"/>
            </w:rPr>
            <w:t>、降低企业融资成本政策</w:t>
          </w:r>
          <w:r>
            <w:rPr>
              <w:rFonts w:ascii="SimHei" w:hAnsi="SimHei" w:eastAsia="SimHei" w:cs="SimHei"/>
              <w:sz w:val="19"/>
              <w:szCs w:val="19"/>
              <w:spacing w:val="-62"/>
            </w:rPr>
            <w:t xml:space="preserve"> </w:t>
          </w:r>
          <w:r>
            <w:rPr>
              <w:rFonts w:ascii="SimHei" w:hAnsi="SimHei" w:eastAsia="SimHei" w:cs="SimHei"/>
              <w:sz w:val="19"/>
              <w:szCs w:val="19"/>
            </w:rPr>
            <w:tab/>
          </w:r>
          <w:r>
            <w:rPr>
              <w:rFonts w:ascii="SimHei" w:hAnsi="SimHei" w:eastAsia="SimHei" w:cs="SimHei"/>
              <w:sz w:val="19"/>
              <w:szCs w:val="19"/>
              <w:spacing w:val="-19"/>
            </w:rPr>
            <w:t xml:space="preserve"> </w:t>
          </w:r>
          <w:hyperlink w:history="true" w:anchor="bookmark5">
            <w:r>
              <w:rPr>
                <w:rFonts w:ascii="Times New Roman" w:hAnsi="Times New Roman" w:eastAsia="Times New Roman" w:cs="Times New Roman"/>
                <w:sz w:val="19"/>
                <w:szCs w:val="19"/>
                <w:b/>
                <w:bCs/>
                <w:spacing w:val="-3"/>
              </w:rPr>
              <w:t>105</w:t>
            </w:r>
          </w:hyperlink>
        </w:p>
        <w:p>
          <w:pPr>
            <w:ind w:left="2"/>
            <w:spacing w:before="62" w:line="222" w:lineRule="auto"/>
            <w:tabs>
              <w:tab w:val="right" w:leader="dot" w:pos="6172"/>
            </w:tabs>
            <w:rPr>
              <w:rFonts w:ascii="Times New Roman" w:hAnsi="Times New Roman" w:eastAsia="Times New Roman" w:cs="Times New Roman"/>
              <w:sz w:val="19"/>
              <w:szCs w:val="19"/>
            </w:rPr>
          </w:pPr>
          <w:r>
            <w:rPr>
              <w:rFonts w:ascii="SimHei" w:hAnsi="SimHei" w:eastAsia="SimHei" w:cs="SimHei"/>
              <w:sz w:val="19"/>
              <w:szCs w:val="19"/>
              <w:b/>
              <w:bCs/>
              <w:spacing w:val="1"/>
            </w:rPr>
            <w:t>六</w:t>
          </w:r>
          <w:r>
            <w:rPr>
              <w:rFonts w:ascii="SimHei" w:hAnsi="SimHei" w:eastAsia="SimHei" w:cs="SimHei"/>
              <w:sz w:val="19"/>
              <w:szCs w:val="19"/>
              <w:spacing w:val="-16"/>
            </w:rPr>
            <w:t xml:space="preserve"> </w:t>
          </w:r>
          <w:r>
            <w:rPr>
              <w:rFonts w:ascii="SimHei" w:hAnsi="SimHei" w:eastAsia="SimHei" w:cs="SimHei"/>
              <w:sz w:val="19"/>
              <w:szCs w:val="19"/>
              <w:b/>
              <w:bCs/>
              <w:spacing w:val="1"/>
            </w:rPr>
            <w:t>、降低企业用能用地成本政策</w:t>
          </w:r>
          <w:r>
            <w:rPr>
              <w:rFonts w:ascii="SimHei" w:hAnsi="SimHei" w:eastAsia="SimHei" w:cs="SimHei"/>
              <w:sz w:val="19"/>
              <w:szCs w:val="19"/>
              <w:spacing w:val="-70"/>
            </w:rPr>
            <w:t xml:space="preserve"> </w:t>
          </w:r>
          <w:r>
            <w:rPr>
              <w:rFonts w:ascii="SimHei" w:hAnsi="SimHei" w:eastAsia="SimHei" w:cs="SimHei"/>
              <w:sz w:val="19"/>
              <w:szCs w:val="19"/>
            </w:rPr>
            <w:tab/>
          </w:r>
          <w:r>
            <w:rPr>
              <w:rFonts w:ascii="SimHei" w:hAnsi="SimHei" w:eastAsia="SimHei" w:cs="SimHei"/>
              <w:sz w:val="19"/>
              <w:szCs w:val="19"/>
              <w:spacing w:val="-29"/>
            </w:rPr>
            <w:t xml:space="preserve"> </w:t>
          </w:r>
          <w:hyperlink w:history="true" w:anchor="bookmark6">
            <w:r>
              <w:rPr>
                <w:rFonts w:ascii="Times New Roman" w:hAnsi="Times New Roman" w:eastAsia="Times New Roman" w:cs="Times New Roman"/>
                <w:sz w:val="19"/>
                <w:szCs w:val="19"/>
                <w:b/>
                <w:bCs/>
                <w:spacing w:val="-3"/>
              </w:rPr>
              <w:t>141</w:t>
            </w:r>
          </w:hyperlink>
        </w:p>
        <w:p>
          <w:pPr>
            <w:ind w:left="2"/>
            <w:spacing w:before="71" w:line="221" w:lineRule="auto"/>
            <w:tabs>
              <w:tab w:val="right" w:leader="dot" w:pos="6142"/>
            </w:tabs>
            <w:rPr>
              <w:rFonts w:ascii="Times New Roman" w:hAnsi="Times New Roman" w:eastAsia="Times New Roman" w:cs="Times New Roman"/>
              <w:sz w:val="19"/>
              <w:szCs w:val="19"/>
            </w:rPr>
          </w:pPr>
          <w:r>
            <w:rPr>
              <w:rFonts w:ascii="SimHei" w:hAnsi="SimHei" w:eastAsia="SimHei" w:cs="SimHei"/>
              <w:sz w:val="19"/>
              <w:szCs w:val="19"/>
              <w:b/>
              <w:bCs/>
              <w:spacing w:val="7"/>
            </w:rPr>
            <w:t>七、降低企业物流成本政策</w:t>
          </w:r>
          <w:r>
            <w:rPr>
              <w:rFonts w:ascii="SimHei" w:hAnsi="SimHei" w:eastAsia="SimHei" w:cs="SimHei"/>
              <w:sz w:val="19"/>
              <w:szCs w:val="19"/>
              <w:spacing w:val="-67"/>
            </w:rPr>
            <w:t xml:space="preserve"> </w:t>
          </w:r>
          <w:r>
            <w:rPr>
              <w:rFonts w:ascii="SimHei" w:hAnsi="SimHei" w:eastAsia="SimHei" w:cs="SimHei"/>
              <w:sz w:val="19"/>
              <w:szCs w:val="19"/>
            </w:rPr>
            <w:tab/>
          </w:r>
          <w:r>
            <w:rPr>
              <w:rFonts w:ascii="SimHei" w:hAnsi="SimHei" w:eastAsia="SimHei" w:cs="SimHei"/>
              <w:sz w:val="19"/>
              <w:szCs w:val="19"/>
              <w:spacing w:val="-49"/>
            </w:rPr>
            <w:t xml:space="preserve"> </w:t>
          </w:r>
          <w:hyperlink w:history="true" w:anchor="bookmark7">
            <w:r>
              <w:rPr>
                <w:rFonts w:ascii="Times New Roman" w:hAnsi="Times New Roman" w:eastAsia="Times New Roman" w:cs="Times New Roman"/>
                <w:sz w:val="19"/>
                <w:szCs w:val="19"/>
                <w:b/>
                <w:bCs/>
                <w:spacing w:val="-3"/>
              </w:rPr>
              <w:t>149</w:t>
            </w:r>
          </w:hyperlink>
        </w:p>
        <w:p>
          <w:pPr>
            <w:ind w:left="2"/>
            <w:spacing w:before="83" w:line="221" w:lineRule="auto"/>
            <w:tabs>
              <w:tab w:val="right" w:leader="dot" w:pos="6162"/>
            </w:tabs>
            <w:rPr>
              <w:rFonts w:ascii="Times New Roman" w:hAnsi="Times New Roman" w:eastAsia="Times New Roman" w:cs="Times New Roman"/>
              <w:sz w:val="19"/>
              <w:szCs w:val="19"/>
            </w:rPr>
          </w:pPr>
          <w:r>
            <w:rPr>
              <w:rFonts w:ascii="SimHei" w:hAnsi="SimHei" w:eastAsia="SimHei" w:cs="SimHei"/>
              <w:sz w:val="19"/>
              <w:szCs w:val="19"/>
              <w:b/>
              <w:bCs/>
              <w:spacing w:val="-1"/>
            </w:rPr>
            <w:t>八、</w:t>
          </w:r>
          <w:r>
            <w:rPr>
              <w:rFonts w:ascii="SimHei" w:hAnsi="SimHei" w:eastAsia="SimHei" w:cs="SimHei"/>
              <w:sz w:val="19"/>
              <w:szCs w:val="19"/>
              <w:spacing w:val="-41"/>
            </w:rPr>
            <w:t xml:space="preserve"> </w:t>
          </w:r>
          <w:r>
            <w:rPr>
              <w:rFonts w:ascii="SimHei" w:hAnsi="SimHei" w:eastAsia="SimHei" w:cs="SimHei"/>
              <w:sz w:val="19"/>
              <w:szCs w:val="19"/>
              <w:b/>
              <w:bCs/>
              <w:spacing w:val="-1"/>
            </w:rPr>
            <w:t>政策解读说明</w:t>
          </w:r>
          <w:r>
            <w:rPr>
              <w:rFonts w:ascii="SimHei" w:hAnsi="SimHei" w:eastAsia="SimHei" w:cs="SimHei"/>
              <w:sz w:val="19"/>
              <w:szCs w:val="19"/>
              <w:spacing w:val="-81"/>
            </w:rPr>
            <w:t xml:space="preserve"> </w:t>
          </w:r>
          <w:r>
            <w:rPr>
              <w:rFonts w:ascii="SimHei" w:hAnsi="SimHei" w:eastAsia="SimHei" w:cs="SimHei"/>
              <w:sz w:val="19"/>
              <w:szCs w:val="19"/>
            </w:rPr>
            <w:tab/>
          </w:r>
          <w:hyperlink w:history="true" w:anchor="bookmark8">
            <w:r>
              <w:rPr>
                <w:rFonts w:ascii="Times New Roman" w:hAnsi="Times New Roman" w:eastAsia="Times New Roman" w:cs="Times New Roman"/>
                <w:sz w:val="19"/>
                <w:szCs w:val="19"/>
                <w:b/>
                <w:bCs/>
              </w:rPr>
              <w:t>153</w:t>
            </w:r>
          </w:hyperlink>
        </w:p>
        <w:p>
          <w:pPr>
            <w:pStyle w:val="BodyText"/>
            <w:spacing w:line="309" w:lineRule="auto"/>
            <w:rPr/>
          </w:pPr>
          <w:r/>
        </w:p>
        <w:p>
          <w:pPr>
            <w:ind w:left="2"/>
            <w:spacing w:before="62" w:line="222" w:lineRule="auto"/>
            <w:tabs>
              <w:tab w:val="right" w:leader="dot" w:pos="6132"/>
            </w:tabs>
            <w:rPr>
              <w:rFonts w:ascii="Times New Roman" w:hAnsi="Times New Roman" w:eastAsia="Times New Roman" w:cs="Times New Roman"/>
              <w:sz w:val="19"/>
              <w:szCs w:val="19"/>
            </w:rPr>
          </w:pPr>
          <w:r>
            <w:rPr>
              <w:rFonts w:ascii="SimHei" w:hAnsi="SimHei" w:eastAsia="SimHei" w:cs="SimHei"/>
              <w:sz w:val="19"/>
              <w:szCs w:val="19"/>
              <w:b/>
              <w:bCs/>
              <w:spacing w:val="5"/>
            </w:rPr>
            <w:t>附录一：全国政府性基金目录清单</w:t>
          </w:r>
          <w:r>
            <w:rPr>
              <w:rFonts w:ascii="SimHei" w:hAnsi="SimHei" w:eastAsia="SimHei" w:cs="SimHei"/>
              <w:sz w:val="19"/>
              <w:szCs w:val="19"/>
              <w:spacing w:val="-54"/>
            </w:rPr>
            <w:t xml:space="preserve"> </w:t>
          </w:r>
          <w:r>
            <w:rPr>
              <w:rFonts w:ascii="SimHei" w:hAnsi="SimHei" w:eastAsia="SimHei" w:cs="SimHei"/>
              <w:sz w:val="19"/>
              <w:szCs w:val="19"/>
            </w:rPr>
            <w:tab/>
          </w:r>
          <w:r>
            <w:rPr>
              <w:rFonts w:ascii="SimHei" w:hAnsi="SimHei" w:eastAsia="SimHei" w:cs="SimHei"/>
              <w:sz w:val="19"/>
              <w:szCs w:val="19"/>
              <w:spacing w:val="-69"/>
            </w:rPr>
            <w:t xml:space="preserve"> </w:t>
          </w:r>
          <w:hyperlink w:history="true" w:anchor="bookmark9">
            <w:r>
              <w:rPr>
                <w:rFonts w:ascii="Times New Roman" w:hAnsi="Times New Roman" w:eastAsia="Times New Roman" w:cs="Times New Roman"/>
                <w:sz w:val="19"/>
                <w:szCs w:val="19"/>
                <w:b/>
                <w:bCs/>
                <w:spacing w:val="-3"/>
              </w:rPr>
              <w:t>158</w:t>
            </w:r>
          </w:hyperlink>
        </w:p>
        <w:p>
          <w:pPr>
            <w:ind w:left="19"/>
            <w:spacing w:before="73" w:line="221" w:lineRule="auto"/>
            <w:rPr>
              <w:rFonts w:ascii="SimHei" w:hAnsi="SimHei" w:eastAsia="SimHei" w:cs="SimHei"/>
              <w:sz w:val="19"/>
              <w:szCs w:val="19"/>
            </w:rPr>
          </w:pPr>
          <w:r>
            <w:rPr>
              <w:rFonts w:ascii="SimHei" w:hAnsi="SimHei" w:eastAsia="SimHei" w:cs="SimHei"/>
              <w:sz w:val="19"/>
              <w:szCs w:val="19"/>
              <w:spacing w:val="8"/>
            </w:rPr>
            <w:t>附录二：法律、行政法规、国务院决定设定的行政许可事项清单</w:t>
          </w:r>
        </w:p>
        <w:p>
          <w:pPr>
            <w:ind w:left="879"/>
            <w:spacing w:before="53" w:line="212" w:lineRule="auto"/>
            <w:tabs>
              <w:tab w:val="right" w:leader="dot" w:pos="6162"/>
            </w:tabs>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(2023</w:t>
          </w:r>
          <w:r>
            <w:rPr>
              <w:rFonts w:ascii="Times New Roman" w:hAnsi="Times New Roman" w:eastAsia="Times New Roman" w:cs="Times New Roman"/>
              <w:sz w:val="19"/>
              <w:szCs w:val="19"/>
              <w:spacing w:val="4"/>
            </w:rPr>
            <w:t xml:space="preserve">   </w:t>
          </w:r>
          <w:r>
            <w:rPr>
              <w:rFonts w:ascii="SimHei" w:hAnsi="SimHei" w:eastAsia="SimHei" w:cs="SimHei"/>
              <w:sz w:val="19"/>
              <w:szCs w:val="19"/>
              <w:spacing w:val="-4"/>
            </w:rPr>
            <w:t>年</w:t>
          </w:r>
          <w:r>
            <w:rPr>
              <w:rFonts w:ascii="SimHei" w:hAnsi="SimHei" w:eastAsia="SimHei" w:cs="SimHei"/>
              <w:sz w:val="19"/>
              <w:szCs w:val="19"/>
              <w:spacing w:val="-36"/>
            </w:rPr>
            <w:t xml:space="preserve"> </w:t>
          </w:r>
          <w:r>
            <w:rPr>
              <w:rFonts w:ascii="SimHei" w:hAnsi="SimHei" w:eastAsia="SimHei" w:cs="SimHei"/>
              <w:sz w:val="19"/>
              <w:szCs w:val="19"/>
              <w:spacing w:val="-4"/>
            </w:rPr>
            <w:t>版</w:t>
          </w:r>
          <w:r>
            <w:rPr>
              <w:rFonts w:ascii="SimHei" w:hAnsi="SimHei" w:eastAsia="SimHei" w:cs="SimHei"/>
              <w:sz w:val="19"/>
              <w:szCs w:val="19"/>
              <w:spacing w:val="-41"/>
            </w:rPr>
            <w:t xml:space="preserve"> </w:t>
          </w:r>
          <w:r>
            <w:rPr>
              <w:rFonts w:ascii="SimHei" w:hAnsi="SimHei" w:eastAsia="SimHei" w:cs="SimHei"/>
              <w:sz w:val="19"/>
              <w:szCs w:val="19"/>
              <w:spacing w:val="-4"/>
            </w:rPr>
            <w:t>)</w:t>
          </w:r>
          <w:r>
            <w:rPr>
              <w:rFonts w:ascii="SimHei" w:hAnsi="SimHei" w:eastAsia="SimHei" w:cs="SimHei"/>
              <w:sz w:val="19"/>
              <w:szCs w:val="19"/>
            </w:rPr>
            <w:tab/>
          </w:r>
          <w:hyperlink w:history="true" w:anchor="bookmark10">
            <w:r>
              <w:rPr>
                <w:rFonts w:ascii="Times New Roman" w:hAnsi="Times New Roman" w:eastAsia="Times New Roman" w:cs="Times New Roman"/>
                <w:sz w:val="19"/>
                <w:szCs w:val="19"/>
                <w:spacing w:val="-3"/>
              </w:rPr>
              <w:t>161</w:t>
            </w:r>
          </w:hyperlink>
        </w:p>
        <w:p>
          <w:pPr>
            <w:spacing w:before="102" w:line="221" w:lineRule="auto"/>
            <w:tabs>
              <w:tab w:val="right" w:leader="dot" w:pos="6120"/>
            </w:tabs>
            <w:rPr>
              <w:rFonts w:ascii="Times New Roman" w:hAnsi="Times New Roman" w:eastAsia="Times New Roman" w:cs="Times New Roman"/>
              <w:sz w:val="19"/>
              <w:szCs w:val="19"/>
            </w:rPr>
          </w:pPr>
          <w:r>
            <w:rPr>
              <w:rFonts w:ascii="SimHei" w:hAnsi="SimHei" w:eastAsia="SimHei" w:cs="SimHei"/>
              <w:sz w:val="19"/>
              <w:szCs w:val="19"/>
              <w:spacing w:val="9"/>
            </w:rPr>
            <w:t>附录三：全国性及中央部门和单位涉企行政事业性收费目录</w:t>
          </w:r>
          <w:r>
            <w:rPr>
              <w:rFonts w:ascii="SimHei" w:hAnsi="SimHei" w:eastAsia="SimHei" w:cs="SimHei"/>
              <w:sz w:val="19"/>
              <w:szCs w:val="19"/>
              <w:spacing w:val="8"/>
            </w:rPr>
            <w:t>清单</w:t>
          </w:r>
          <w:r>
            <w:rPr>
              <w:rFonts w:ascii="SimHei" w:hAnsi="SimHei" w:eastAsia="SimHei" w:cs="SimHei"/>
              <w:sz w:val="19"/>
              <w:szCs w:val="19"/>
              <w:spacing w:val="-76"/>
            </w:rPr>
            <w:t xml:space="preserve"> </w:t>
          </w:r>
          <w:r>
            <w:rPr>
              <w:rFonts w:ascii="SimHei" w:hAnsi="SimHei" w:eastAsia="SimHei" w:cs="SimHei"/>
              <w:sz w:val="19"/>
              <w:szCs w:val="19"/>
            </w:rPr>
            <w:tab/>
          </w:r>
          <w:r>
            <w:rPr>
              <w:rFonts w:ascii="SimHei" w:hAnsi="SimHei" w:eastAsia="SimHei" w:cs="SimHei"/>
              <w:sz w:val="19"/>
              <w:szCs w:val="19"/>
              <w:spacing w:val="-14"/>
            </w:rPr>
            <w:t xml:space="preserve"> </w:t>
          </w:r>
          <w:r>
            <w:rPr>
              <w:rFonts w:ascii="Times New Roman" w:hAnsi="Times New Roman" w:eastAsia="Times New Roman" w:cs="Times New Roman"/>
              <w:sz w:val="19"/>
              <w:szCs w:val="19"/>
              <w:spacing w:val="-1"/>
            </w:rPr>
            <w:t>264</w:t>
          </w:r>
        </w:p>
        <w:p>
          <w:pPr>
            <w:ind w:left="2"/>
            <w:spacing w:before="70" w:line="221" w:lineRule="auto"/>
            <w:tabs>
              <w:tab w:val="right" w:leader="dot" w:pos="6180"/>
            </w:tabs>
            <w:rPr>
              <w:rFonts w:ascii="Times New Roman" w:hAnsi="Times New Roman" w:eastAsia="Times New Roman" w:cs="Times New Roman"/>
              <w:sz w:val="19"/>
              <w:szCs w:val="19"/>
            </w:rPr>
          </w:pPr>
          <w:r>
            <w:rPr>
              <w:rFonts w:ascii="SimHei" w:hAnsi="SimHei" w:eastAsia="SimHei" w:cs="SimHei"/>
              <w:sz w:val="19"/>
              <w:szCs w:val="19"/>
              <w:b/>
              <w:bCs/>
              <w:spacing w:val="15"/>
            </w:rPr>
            <w:t>附录四：政府定价的经营服务性收费目录清单(2023版)</w:t>
          </w:r>
          <w:r>
            <w:rPr>
              <w:rFonts w:ascii="SimHei" w:hAnsi="SimHei" w:eastAsia="SimHei" w:cs="SimHei"/>
              <w:sz w:val="19"/>
              <w:szCs w:val="19"/>
              <w:b/>
              <w:bCs/>
            </w:rPr>
            <w:tab/>
          </w:r>
          <w:hyperlink w:history="true" w:anchor="bookmark11">
            <w:r>
              <w:rPr>
                <w:rFonts w:ascii="Times New Roman" w:hAnsi="Times New Roman" w:eastAsia="Times New Roman" w:cs="Times New Roman"/>
                <w:sz w:val="19"/>
                <w:szCs w:val="19"/>
                <w:b/>
                <w:bCs/>
                <w:spacing w:val="3"/>
              </w:rPr>
              <w:t>271</w:t>
            </w:r>
          </w:hyperlink>
        </w:p>
        <w:p>
          <w:pPr>
            <w:ind w:left="30"/>
            <w:spacing w:before="75" w:line="221" w:lineRule="auto"/>
            <w:rPr>
              <w:rFonts w:ascii="SimHei" w:hAnsi="SimHei" w:eastAsia="SimHei" w:cs="SimHei"/>
              <w:sz w:val="19"/>
              <w:szCs w:val="19"/>
            </w:rPr>
          </w:pPr>
          <w:r>
            <w:rPr>
              <w:rFonts w:ascii="SimHei" w:hAnsi="SimHei" w:eastAsia="SimHei" w:cs="SimHei"/>
              <w:sz w:val="19"/>
              <w:szCs w:val="19"/>
              <w:spacing w:val="8"/>
            </w:rPr>
            <w:t>附录五：保留为国务院部门行政审批必要条件的中介服务事项</w:t>
          </w:r>
        </w:p>
        <w:p>
          <w:pPr>
            <w:ind w:left="812"/>
            <w:spacing w:before="72" w:line="223" w:lineRule="auto"/>
            <w:tabs>
              <w:tab w:val="right" w:leader="dot" w:pos="6140"/>
            </w:tabs>
            <w:rPr>
              <w:rFonts w:ascii="Times New Roman" w:hAnsi="Times New Roman" w:eastAsia="Times New Roman" w:cs="Times New Roman"/>
              <w:sz w:val="19"/>
              <w:szCs w:val="19"/>
            </w:rPr>
          </w:pPr>
          <w:r>
            <w:rPr>
              <w:rFonts w:ascii="SimHei" w:hAnsi="SimHei" w:eastAsia="SimHei" w:cs="SimHei"/>
              <w:sz w:val="19"/>
              <w:szCs w:val="19"/>
              <w:b/>
              <w:bCs/>
              <w:spacing w:val="-5"/>
            </w:rPr>
            <w:t>汇总清单</w:t>
          </w:r>
          <w:r>
            <w:rPr>
              <w:rFonts w:ascii="SimHei" w:hAnsi="SimHei" w:eastAsia="SimHei" w:cs="SimHei"/>
              <w:sz w:val="19"/>
              <w:szCs w:val="19"/>
              <w:spacing w:val="33"/>
            </w:rPr>
            <w:t xml:space="preserve"> </w:t>
          </w:r>
          <w:r>
            <w:rPr>
              <w:rFonts w:ascii="SimHei" w:hAnsi="SimHei" w:eastAsia="SimHei" w:cs="SimHei"/>
              <w:sz w:val="19"/>
              <w:szCs w:val="19"/>
            </w:rPr>
            <w:tab/>
          </w:r>
          <w:hyperlink w:history="true" w:anchor="bookmark12">
            <w:r>
              <w:rPr>
                <w:rFonts w:ascii="Times New Roman" w:hAnsi="Times New Roman" w:eastAsia="Times New Roman" w:cs="Times New Roman"/>
                <w:sz w:val="19"/>
                <w:szCs w:val="19"/>
                <w:b/>
                <w:bCs/>
              </w:rPr>
              <w:t>275</w:t>
            </w:r>
          </w:hyperlink>
        </w:p>
        <w:p>
          <w:pPr>
            <w:ind w:left="2"/>
            <w:spacing w:before="58" w:line="221" w:lineRule="auto"/>
            <w:tabs>
              <w:tab w:val="right" w:leader="dot" w:pos="6120"/>
            </w:tabs>
            <w:rPr>
              <w:rFonts w:ascii="Times New Roman" w:hAnsi="Times New Roman" w:eastAsia="Times New Roman" w:cs="Times New Roman"/>
              <w:sz w:val="19"/>
              <w:szCs w:val="19"/>
            </w:rPr>
          </w:pPr>
          <w:r>
            <w:rPr>
              <w:rFonts w:ascii="SimHei" w:hAnsi="SimHei" w:eastAsia="SimHei" w:cs="SimHei"/>
              <w:sz w:val="19"/>
              <w:szCs w:val="19"/>
              <w:b/>
              <w:bCs/>
              <w:spacing w:val="16"/>
            </w:rPr>
            <w:t>附录六：国务院部门涉企保证金目录清单(2023</w:t>
          </w:r>
          <w:r>
            <w:rPr>
              <w:rFonts w:ascii="SimHei" w:hAnsi="SimHei" w:eastAsia="SimHei" w:cs="SimHei"/>
              <w:sz w:val="19"/>
              <w:szCs w:val="19"/>
              <w:b/>
              <w:bCs/>
              <w:spacing w:val="15"/>
            </w:rPr>
            <w:t>版)</w:t>
          </w:r>
          <w:r>
            <w:rPr>
              <w:rFonts w:ascii="SimHei" w:hAnsi="SimHei" w:eastAsia="SimHei" w:cs="SimHei"/>
              <w:sz w:val="19"/>
              <w:szCs w:val="19"/>
              <w:b/>
              <w:bCs/>
            </w:rPr>
            <w:tab/>
          </w:r>
          <w:hyperlink w:history="true" w:anchor="bookmark13">
            <w:r>
              <w:rPr>
                <w:rFonts w:ascii="Times New Roman" w:hAnsi="Times New Roman" w:eastAsia="Times New Roman" w:cs="Times New Roman"/>
                <w:sz w:val="19"/>
                <w:szCs w:val="19"/>
                <w:b/>
                <w:bCs/>
                <w:spacing w:val="4"/>
              </w:rPr>
              <w:t>342</w:t>
            </w:r>
          </w:hyperlink>
        </w:p>
        <w:p>
          <w:pPr>
            <w:ind w:left="2"/>
            <w:spacing w:before="73" w:line="222" w:lineRule="auto"/>
            <w:tabs>
              <w:tab w:val="right" w:leader="dot" w:pos="6130"/>
            </w:tabs>
            <w:rPr>
              <w:rFonts w:ascii="Times New Roman" w:hAnsi="Times New Roman" w:eastAsia="Times New Roman" w:cs="Times New Roman"/>
              <w:sz w:val="19"/>
              <w:szCs w:val="19"/>
            </w:rPr>
          </w:pPr>
          <w:r>
            <w:rPr>
              <w:rFonts w:ascii="SimHei" w:hAnsi="SimHei" w:eastAsia="SimHei" w:cs="SimHei"/>
              <w:sz w:val="19"/>
              <w:szCs w:val="19"/>
              <w:b/>
              <w:bCs/>
              <w:spacing w:val="6"/>
            </w:rPr>
            <w:t>附录七：保障中小企业款项支付条例</w:t>
          </w:r>
          <w:r>
            <w:rPr>
              <w:rFonts w:ascii="SimHei" w:hAnsi="SimHei" w:eastAsia="SimHei" w:cs="SimHei"/>
              <w:sz w:val="19"/>
              <w:szCs w:val="19"/>
              <w:spacing w:val="-67"/>
            </w:rPr>
            <w:t xml:space="preserve"> </w:t>
          </w:r>
          <w:r>
            <w:rPr>
              <w:rFonts w:ascii="SimHei" w:hAnsi="SimHei" w:eastAsia="SimHei" w:cs="SimHei"/>
              <w:sz w:val="19"/>
              <w:szCs w:val="19"/>
            </w:rPr>
            <w:tab/>
          </w:r>
          <w:hyperlink w:history="true" w:anchor="bookmark14">
            <w:r>
              <w:rPr>
                <w:rFonts w:ascii="Times New Roman" w:hAnsi="Times New Roman" w:eastAsia="Times New Roman" w:cs="Times New Roman"/>
                <w:sz w:val="19"/>
                <w:szCs w:val="19"/>
                <w:b/>
                <w:bCs/>
                <w:spacing w:val="1"/>
              </w:rPr>
              <w:t>356</w:t>
            </w:r>
          </w:hyperlink>
        </w:p>
      </w:sdtContent>
    </w:sdt>
    <w:p>
      <w:pPr>
        <w:spacing w:line="222" w:lineRule="auto"/>
        <w:sectPr>
          <w:pgSz w:w="8220" w:h="11910"/>
          <w:pgMar w:top="400" w:right="1049" w:bottom="400" w:left="990" w:header="0" w:footer="0" w:gutter="0"/>
        </w:sectPr>
        <w:rPr>
          <w:rFonts w:ascii="Times New Roman" w:hAnsi="Times New Roman" w:eastAsia="Times New Roman" w:cs="Times New Roman"/>
          <w:sz w:val="19"/>
          <w:szCs w:val="19"/>
        </w:rPr>
      </w:pPr>
    </w:p>
    <w:p>
      <w:pPr>
        <w:pStyle w:val="BodyText"/>
        <w:rPr/>
      </w:pPr>
      <w:r/>
    </w:p>
    <w:p>
      <w:pPr>
        <w:sectPr>
          <w:pgSz w:w="8220" w:h="11910"/>
          <w:pgMar w:top="0" w:right="0" w:bottom="0" w:left="0" w:header="0" w:footer="0" w:gutter="0"/>
        </w:sectPr>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1651"/>
        <w:spacing w:before="101" w:line="222" w:lineRule="auto"/>
        <w:outlineLvl w:val="0"/>
        <w:rPr>
          <w:rFonts w:ascii="SimHei" w:hAnsi="SimHei" w:eastAsia="SimHei" w:cs="SimHei"/>
          <w:sz w:val="31"/>
          <w:szCs w:val="31"/>
        </w:rPr>
      </w:pPr>
      <w:r>
        <w:rPr>
          <w:rFonts w:ascii="SimHei" w:hAnsi="SimHei" w:eastAsia="SimHei" w:cs="SimHei"/>
          <w:sz w:val="31"/>
          <w:szCs w:val="31"/>
          <w:b/>
          <w:bCs/>
          <w:spacing w:val="-10"/>
        </w:rPr>
        <w:t>一、收费减免政策</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spacing w:before="23" w:line="184" w:lineRule="auto"/>
        <w:jc w:val="right"/>
        <w:rPr>
          <w:rFonts w:ascii="SimSun" w:hAnsi="SimSun" w:eastAsia="SimSun" w:cs="SimSun"/>
          <w:sz w:val="7"/>
          <w:szCs w:val="7"/>
        </w:rPr>
      </w:pPr>
      <w:r>
        <w:rPr>
          <w:rFonts w:ascii="SimSun" w:hAnsi="SimSun" w:eastAsia="SimSun" w:cs="SimSun"/>
          <w:sz w:val="7"/>
          <w:szCs w:val="7"/>
          <w:spacing w:val="-8"/>
        </w:rPr>
        <w:t>1</w:t>
      </w:r>
    </w:p>
    <w:p>
      <w:pPr>
        <w:spacing w:line="184" w:lineRule="auto"/>
        <w:sectPr>
          <w:pgSz w:w="8220" w:h="11910"/>
          <w:pgMar w:top="400" w:right="1172" w:bottom="400" w:left="1233" w:header="0" w:footer="0" w:gutter="0"/>
        </w:sectPr>
        <w:rPr>
          <w:rFonts w:ascii="SimSun" w:hAnsi="SimSun" w:eastAsia="SimSun" w:cs="SimSun"/>
          <w:sz w:val="7"/>
          <w:szCs w:val="7"/>
        </w:rPr>
      </w:pPr>
    </w:p>
    <w:p>
      <w:pPr>
        <w:pStyle w:val="BodyText"/>
        <w:spacing w:line="264" w:lineRule="auto"/>
        <w:rPr/>
      </w:pPr>
      <w:r/>
    </w:p>
    <w:p>
      <w:pPr>
        <w:pStyle w:val="BodyText"/>
        <w:spacing w:line="264" w:lineRule="auto"/>
        <w:rPr/>
      </w:pPr>
      <w:r/>
    </w:p>
    <w:p>
      <w:pPr>
        <w:spacing w:before="75" w:line="219" w:lineRule="auto"/>
        <w:rPr>
          <w:rFonts w:ascii="SimSun" w:hAnsi="SimSun" w:eastAsia="SimSun" w:cs="SimSun"/>
          <w:sz w:val="23"/>
          <w:szCs w:val="23"/>
        </w:rPr>
      </w:pPr>
      <w:r>
        <w:rPr>
          <w:rFonts w:ascii="Times New Roman" w:hAnsi="Times New Roman" w:eastAsia="Times New Roman" w:cs="Times New Roman"/>
          <w:sz w:val="12"/>
          <w:szCs w:val="12"/>
          <w:position w:val="1"/>
        </w:rPr>
        <w:t>U                                                                                                                                                </w:t>
      </w:r>
      <w:r>
        <w:rPr>
          <w:rFonts w:ascii="SimSun" w:hAnsi="SimSun" w:eastAsia="SimSun" w:cs="SimSun"/>
          <w:sz w:val="23"/>
          <w:szCs w:val="23"/>
          <w:b/>
          <w:bCs/>
        </w:rPr>
        <w:t>收费减免政策</w:t>
      </w:r>
    </w:p>
    <w:p>
      <w:pPr>
        <w:spacing w:line="60" w:lineRule="auto"/>
        <w:rPr>
          <w:rFonts w:ascii="Arial"/>
          <w:sz w:val="2"/>
        </w:rPr>
      </w:pPr>
      <w:r>
        <w:rPr>
          <w:rFonts w:ascii="Arial"/>
          <w:sz w:val="2"/>
        </w:r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09"/>
        <w:gridCol w:w="839"/>
        <w:gridCol w:w="1029"/>
        <w:gridCol w:w="464"/>
      </w:tblGrid>
      <w:tr>
        <w:trPr>
          <w:trHeight w:val="494" w:hRule="atLeast"/>
        </w:trPr>
        <w:tc>
          <w:tcPr>
            <w:tcW w:w="284" w:type="dxa"/>
            <w:vAlign w:val="top"/>
            <w:textDirection w:val="tbRlV"/>
          </w:tcPr>
          <w:p>
            <w:pPr>
              <w:pStyle w:val="TableText"/>
              <w:ind w:left="62"/>
              <w:spacing w:before="74" w:line="210" w:lineRule="auto"/>
              <w:rPr/>
            </w:pPr>
            <w:r>
              <w:rPr>
                <w:spacing w:val="-1"/>
              </w:rPr>
              <w:t>序</w:t>
            </w:r>
            <w:r>
              <w:rPr>
                <w:spacing w:val="-25"/>
              </w:rPr>
              <w:t xml:space="preserve"> </w:t>
            </w:r>
            <w:r>
              <w:rPr>
                <w:spacing w:val="-1"/>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39" w:type="dxa"/>
            <w:vAlign w:val="top"/>
          </w:tcPr>
          <w:p>
            <w:pPr>
              <w:pStyle w:val="TableText"/>
              <w:ind w:left="267" w:right="113" w:hanging="14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260" w:hRule="atLeast"/>
        </w:trPr>
        <w:tc>
          <w:tcPr>
            <w:shd w:val="clear" w:fill="DBDCDC"/>
            <w:tcW w:w="9639" w:type="dxa"/>
            <w:vAlign w:val="top"/>
            <w:gridSpan w:val="7"/>
          </w:tcPr>
          <w:p>
            <w:pPr>
              <w:pStyle w:val="TableText"/>
              <w:ind w:left="4317"/>
              <w:spacing w:before="54" w:line="219" w:lineRule="auto"/>
              <w:rPr/>
            </w:pPr>
            <w:r>
              <w:rPr>
                <w:b/>
                <w:bCs/>
                <w:spacing w:val="-4"/>
              </w:rPr>
              <w:t>一、政府性基金</w:t>
            </w:r>
          </w:p>
        </w:tc>
      </w:tr>
      <w:tr>
        <w:trPr>
          <w:trHeight w:val="1797" w:hRule="atLeast"/>
        </w:trPr>
        <w:tc>
          <w:tcPr>
            <w:tcW w:w="284"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94"/>
              <w:spacing w:before="49" w:line="184" w:lineRule="auto"/>
              <w:rPr/>
            </w:pPr>
            <w:r>
              <w:rPr/>
              <w:t>1</w:t>
            </w:r>
          </w:p>
        </w:tc>
        <w:tc>
          <w:tcPr>
            <w:tcW w:w="3986" w:type="dxa"/>
            <w:vAlign w:val="top"/>
          </w:tcPr>
          <w:p>
            <w:pPr>
              <w:pStyle w:val="TableText"/>
              <w:ind w:left="31" w:right="52" w:firstLine="4"/>
              <w:spacing w:before="45" w:line="238" w:lineRule="auto"/>
              <w:jc w:val="both"/>
              <w:rPr/>
            </w:pPr>
            <w:r>
              <w:rPr>
                <w:spacing w:val="-1"/>
              </w:rPr>
              <w:t>《财政部关于延续实施残疾人就业保障金优惠政策的公告》</w:t>
            </w:r>
            <w:r>
              <w:rPr>
                <w:spacing w:val="12"/>
              </w:rPr>
              <w:t xml:space="preserve"> </w:t>
            </w:r>
            <w:r>
              <w:rPr>
                <w:spacing w:val="26"/>
              </w:rPr>
              <w:t>(财政部公告2023年第8号),自2023年1月1日</w:t>
            </w:r>
            <w:r>
              <w:rPr>
                <w:spacing w:val="25"/>
              </w:rPr>
              <w:t>起至</w:t>
            </w:r>
            <w:r>
              <w:rPr/>
              <w:t xml:space="preserve"> </w:t>
            </w:r>
            <w:r>
              <w:rPr>
                <w:spacing w:val="-5"/>
              </w:rPr>
              <w:t>2027年12月31日，</w:t>
            </w:r>
            <w:r>
              <w:rPr>
                <w:spacing w:val="45"/>
                <w:w w:val="101"/>
              </w:rPr>
              <w:t xml:space="preserve"> </w:t>
            </w:r>
            <w:r>
              <w:rPr>
                <w:spacing w:val="-5"/>
              </w:rPr>
              <w:t>一、延续实施残疾人就业保障金分档</w:t>
            </w:r>
          </w:p>
          <w:p>
            <w:pPr>
              <w:pStyle w:val="TableText"/>
              <w:ind w:left="31" w:right="11"/>
              <w:spacing w:before="12" w:line="241" w:lineRule="auto"/>
              <w:jc w:val="both"/>
              <w:rPr/>
            </w:pPr>
            <w:r>
              <w:rPr>
                <w:spacing w:val="1"/>
              </w:rPr>
              <w:t>减缴政策。其中：用人单位安排残疾人就业比例达到1%(含)</w:t>
            </w:r>
            <w:r>
              <w:rPr>
                <w:spacing w:val="4"/>
              </w:rPr>
              <w:t xml:space="preserve"> </w:t>
            </w:r>
            <w:r>
              <w:rPr/>
              <w:t>以上，但未达到所在地省、自治区、直辖市人民政府规定比</w:t>
            </w:r>
            <w:r>
              <w:rPr>
                <w:spacing w:val="8"/>
              </w:rPr>
              <w:t xml:space="preserve"> </w:t>
            </w:r>
            <w:r>
              <w:rPr/>
              <w:t>例的，按规定应缴费额的50%缴纳残疾人就业保障金；用</w:t>
            </w:r>
          </w:p>
          <w:p>
            <w:pPr>
              <w:pStyle w:val="TableText"/>
              <w:ind w:left="51" w:right="122" w:firstLine="59"/>
              <w:spacing w:before="21" w:line="228" w:lineRule="auto"/>
              <w:rPr/>
            </w:pPr>
            <w:r>
              <w:rPr>
                <w:spacing w:val="-1"/>
              </w:rPr>
              <w:t>人单位安排残疾人就业比例在1%以下的，按规定应缴费额</w:t>
            </w:r>
            <w:r>
              <w:rPr>
                <w:spacing w:val="17"/>
              </w:rPr>
              <w:t xml:space="preserve"> </w:t>
            </w:r>
            <w:r>
              <w:rPr>
                <w:spacing w:val="-1"/>
              </w:rPr>
              <w:t>的90%缴纳残疾人就业保障金。二、在职职工人数在30人</w:t>
            </w:r>
          </w:p>
          <w:p>
            <w:pPr>
              <w:pStyle w:val="TableText"/>
              <w:ind w:left="110"/>
              <w:spacing w:line="209" w:lineRule="auto"/>
              <w:rPr/>
            </w:pPr>
            <w:r>
              <w:rPr>
                <w:spacing w:val="-1"/>
              </w:rPr>
              <w:t>(含)以下的企业，继续免征残疾人就业保障金。</w:t>
            </w:r>
          </w:p>
        </w:tc>
        <w:tc>
          <w:tcPr>
            <w:tcW w:w="2128" w:type="dxa"/>
            <w:vAlign w:val="top"/>
          </w:tcPr>
          <w:p>
            <w:pPr>
              <w:pStyle w:val="TableText"/>
              <w:ind w:left="40"/>
              <w:spacing w:before="57" w:line="219" w:lineRule="auto"/>
              <w:rPr/>
            </w:pPr>
            <w:r>
              <w:rPr>
                <w:spacing w:val="-1"/>
              </w:rPr>
              <w:t>《财政部关于延续实施残疾人</w:t>
            </w:r>
          </w:p>
          <w:p>
            <w:pPr>
              <w:pStyle w:val="TableText"/>
              <w:ind w:left="115"/>
              <w:spacing w:line="218" w:lineRule="auto"/>
              <w:rPr/>
            </w:pPr>
            <w:r>
              <w:rPr>
                <w:spacing w:val="-1"/>
              </w:rPr>
              <w:t>就业保障金优惠政策的公告》</w:t>
            </w:r>
          </w:p>
          <w:p>
            <w:pPr>
              <w:pStyle w:val="TableText"/>
              <w:ind w:left="194"/>
              <w:spacing w:before="32" w:line="218" w:lineRule="auto"/>
              <w:rPr/>
            </w:pPr>
            <w:r>
              <w:rPr>
                <w:spacing w:val="1"/>
              </w:rPr>
              <w:t>(财政部公告2023年第8号)</w:t>
            </w:r>
          </w:p>
        </w:tc>
        <w:tc>
          <w:tcPr>
            <w:tcW w:w="909" w:type="dxa"/>
            <w:vAlign w:val="top"/>
          </w:tcPr>
          <w:p>
            <w:pPr>
              <w:pStyle w:val="TableText"/>
              <w:ind w:left="25" w:hanging="19"/>
              <w:spacing w:before="38" w:line="239" w:lineRule="auto"/>
              <w:jc w:val="both"/>
              <w:rPr/>
            </w:pPr>
            <w:r>
              <w:rPr>
                <w:spacing w:val="-10"/>
              </w:rPr>
              <w:t>2</w:t>
            </w:r>
            <w:r>
              <w:rPr>
                <w:spacing w:val="10"/>
              </w:rPr>
              <w:t xml:space="preserve"> </w:t>
            </w:r>
            <w:r>
              <w:rPr>
                <w:spacing w:val="-10"/>
              </w:rPr>
              <w:t>0</w:t>
            </w:r>
            <w:r>
              <w:rPr>
                <w:spacing w:val="7"/>
              </w:rPr>
              <w:t xml:space="preserve"> </w:t>
            </w:r>
            <w:r>
              <w:rPr>
                <w:spacing w:val="-10"/>
              </w:rPr>
              <w:t>2</w:t>
            </w:r>
            <w:r>
              <w:rPr>
                <w:spacing w:val="10"/>
              </w:rPr>
              <w:t xml:space="preserve"> </w:t>
            </w:r>
            <w:r>
              <w:rPr>
                <w:spacing w:val="-10"/>
              </w:rPr>
              <w:t>3</w:t>
            </w:r>
            <w:r>
              <w:rPr>
                <w:spacing w:val="6"/>
              </w:rPr>
              <w:t xml:space="preserve"> </w:t>
            </w:r>
            <w:r>
              <w:rPr>
                <w:spacing w:val="-10"/>
              </w:rPr>
              <w:t>年</w:t>
            </w:r>
            <w:r>
              <w:rPr>
                <w:spacing w:val="18"/>
              </w:rPr>
              <w:t xml:space="preserve"> </w:t>
            </w:r>
            <w:r>
              <w:rPr>
                <w:spacing w:val="-10"/>
              </w:rPr>
              <w:t>1</w:t>
            </w:r>
            <w:r>
              <w:rPr/>
              <w:t xml:space="preserve"> </w:t>
            </w:r>
            <w:r>
              <w:rPr>
                <w:spacing w:val="-15"/>
              </w:rPr>
              <w:t>月</w:t>
            </w:r>
            <w:r>
              <w:rPr>
                <w:spacing w:val="-13"/>
              </w:rPr>
              <w:t xml:space="preserve"> </w:t>
            </w:r>
            <w:r>
              <w:rPr>
                <w:spacing w:val="-15"/>
              </w:rPr>
              <w:t>1</w:t>
            </w:r>
            <w:r>
              <w:rPr>
                <w:spacing w:val="2"/>
              </w:rPr>
              <w:t xml:space="preserve"> </w:t>
            </w:r>
            <w:r>
              <w:rPr>
                <w:spacing w:val="-15"/>
              </w:rPr>
              <w:t>日</w:t>
            </w:r>
            <w:r>
              <w:rPr>
                <w:spacing w:val="-23"/>
              </w:rPr>
              <w:t xml:space="preserve"> </w:t>
            </w:r>
            <w:r>
              <w:rPr>
                <w:spacing w:val="-15"/>
              </w:rPr>
              <w:t>起</w:t>
            </w:r>
            <w:r>
              <w:rPr>
                <w:spacing w:val="-23"/>
              </w:rPr>
              <w:t xml:space="preserve"> </w:t>
            </w:r>
            <w:r>
              <w:rPr>
                <w:spacing w:val="-15"/>
              </w:rPr>
              <w:t>至</w:t>
            </w:r>
            <w:r>
              <w:rPr/>
              <w:t xml:space="preserve"> </w:t>
            </w:r>
            <w:r>
              <w:rPr>
                <w:spacing w:val="-10"/>
              </w:rPr>
              <w:t>2</w:t>
            </w:r>
            <w:r>
              <w:rPr>
                <w:spacing w:val="-22"/>
              </w:rPr>
              <w:t xml:space="preserve"> </w:t>
            </w:r>
            <w:r>
              <w:rPr>
                <w:spacing w:val="-10"/>
              </w:rPr>
              <w:t>0</w:t>
            </w:r>
            <w:r>
              <w:rPr>
                <w:spacing w:val="-24"/>
              </w:rPr>
              <w:t xml:space="preserve"> </w:t>
            </w:r>
            <w:r>
              <w:rPr>
                <w:spacing w:val="-10"/>
              </w:rPr>
              <w:t>2</w:t>
            </w:r>
            <w:r>
              <w:rPr>
                <w:spacing w:val="-23"/>
              </w:rPr>
              <w:t xml:space="preserve"> </w:t>
            </w:r>
            <w:r>
              <w:rPr>
                <w:spacing w:val="-10"/>
              </w:rPr>
              <w:t>7</w:t>
            </w:r>
            <w:r>
              <w:rPr>
                <w:spacing w:val="-26"/>
              </w:rPr>
              <w:t xml:space="preserve"> </w:t>
            </w:r>
            <w:r>
              <w:rPr>
                <w:spacing w:val="-10"/>
              </w:rPr>
              <w:t>年</w:t>
            </w:r>
            <w:r>
              <w:rPr>
                <w:spacing w:val="-16"/>
              </w:rPr>
              <w:t xml:space="preserve"> </w:t>
            </w:r>
            <w:r>
              <w:rPr>
                <w:spacing w:val="-10"/>
              </w:rPr>
              <w:t>1</w:t>
            </w:r>
            <w:r>
              <w:rPr>
                <w:spacing w:val="-24"/>
              </w:rPr>
              <w:t xml:space="preserve"> </w:t>
            </w:r>
            <w:r>
              <w:rPr>
                <w:spacing w:val="-10"/>
              </w:rPr>
              <w:t>2</w:t>
            </w:r>
            <w:r>
              <w:rPr/>
              <w:t xml:space="preserve"> </w:t>
            </w:r>
            <w:r>
              <w:rPr>
                <w:spacing w:val="6"/>
              </w:rPr>
              <w:t>月31日</w:t>
            </w:r>
          </w:p>
        </w:tc>
        <w:tc>
          <w:tcPr>
            <w:tcW w:w="839" w:type="dxa"/>
            <w:vAlign w:val="top"/>
          </w:tcPr>
          <w:p>
            <w:pPr>
              <w:pStyle w:val="TableText"/>
              <w:ind w:left="18"/>
              <w:spacing w:before="27" w:line="219" w:lineRule="auto"/>
              <w:rPr/>
            </w:pPr>
            <w:r>
              <w:rPr>
                <w:spacing w:val="-3"/>
              </w:rPr>
              <w:t>收费对象</w:t>
            </w:r>
          </w:p>
        </w:tc>
        <w:tc>
          <w:tcPr>
            <w:tcW w:w="1029" w:type="dxa"/>
            <w:vAlign w:val="top"/>
          </w:tcPr>
          <w:p>
            <w:pPr>
              <w:pStyle w:val="TableText"/>
              <w:ind w:left="49"/>
              <w:spacing w:before="36" w:line="219" w:lineRule="auto"/>
              <w:rPr/>
            </w:pPr>
            <w:r>
              <w:rPr>
                <w:spacing w:val="-1"/>
              </w:rPr>
              <w:t>政府性基金</w:t>
            </w:r>
          </w:p>
        </w:tc>
        <w:tc>
          <w:tcPr>
            <w:tcW w:w="464" w:type="dxa"/>
            <w:vAlign w:val="top"/>
          </w:tcPr>
          <w:p>
            <w:pPr>
              <w:pStyle w:val="TableText"/>
              <w:ind w:left="19" w:firstLine="51"/>
              <w:spacing w:before="37" w:line="237" w:lineRule="auto"/>
              <w:rPr/>
            </w:pPr>
            <w:r>
              <w:rPr>
                <w:spacing w:val="-11"/>
                <w:w w:val="91"/>
              </w:rPr>
              <w:t>分档</w:t>
            </w:r>
            <w:r>
              <w:rPr/>
              <w:t xml:space="preserve">   </w:t>
            </w:r>
            <w:r>
              <w:rPr>
                <w:spacing w:val="-17"/>
              </w:rPr>
              <w:t>减缴</w:t>
            </w:r>
            <w:r>
              <w:rPr>
                <w:spacing w:val="-41"/>
              </w:rPr>
              <w:t xml:space="preserve"> </w:t>
            </w:r>
            <w:r>
              <w:rPr>
                <w:spacing w:val="-17"/>
              </w:rPr>
              <w:t>、</w:t>
            </w:r>
            <w:r>
              <w:rPr/>
              <w:t xml:space="preserve"> </w:t>
            </w:r>
            <w:r>
              <w:rPr/>
              <w:t>免征</w:t>
            </w:r>
          </w:p>
        </w:tc>
      </w:tr>
      <w:tr>
        <w:trPr>
          <w:trHeight w:val="1248" w:hRule="atLeast"/>
        </w:trPr>
        <w:tc>
          <w:tcPr>
            <w:tcW w:w="284" w:type="dxa"/>
            <w:vAlign w:val="top"/>
          </w:tcPr>
          <w:p>
            <w:pPr>
              <w:spacing w:line="268" w:lineRule="auto"/>
              <w:rPr>
                <w:rFonts w:ascii="Arial"/>
                <w:sz w:val="21"/>
              </w:rPr>
            </w:pPr>
            <w:r/>
          </w:p>
          <w:p>
            <w:pPr>
              <w:spacing w:line="268" w:lineRule="auto"/>
              <w:rPr>
                <w:rFonts w:ascii="Arial"/>
                <w:sz w:val="21"/>
              </w:rPr>
            </w:pPr>
            <w:r/>
          </w:p>
          <w:p>
            <w:pPr>
              <w:pStyle w:val="TableText"/>
              <w:ind w:left="94"/>
              <w:spacing w:before="49" w:line="183" w:lineRule="auto"/>
              <w:rPr/>
            </w:pPr>
            <w:r>
              <w:rPr/>
              <w:t>2</w:t>
            </w:r>
          </w:p>
        </w:tc>
        <w:tc>
          <w:tcPr>
            <w:tcW w:w="3986" w:type="dxa"/>
            <w:vAlign w:val="top"/>
          </w:tcPr>
          <w:p>
            <w:pPr>
              <w:pStyle w:val="TableText"/>
              <w:ind w:left="35"/>
              <w:spacing w:before="29" w:line="219" w:lineRule="auto"/>
              <w:rPr/>
            </w:pPr>
            <w:r>
              <w:rPr>
                <w:spacing w:val="-1"/>
              </w:rPr>
              <w:t>《财政部关于取消、调整部分政府性基金有关政策的通知》</w:t>
            </w:r>
          </w:p>
          <w:p>
            <w:pPr>
              <w:pStyle w:val="TableText"/>
              <w:ind w:left="110"/>
              <w:spacing w:before="42" w:line="219" w:lineRule="auto"/>
              <w:rPr/>
            </w:pPr>
            <w:r>
              <w:rPr/>
              <w:t>(财税〔2017〕18号)根据第三条省、自治区、直辖市人民</w:t>
            </w:r>
          </w:p>
          <w:p>
            <w:pPr>
              <w:pStyle w:val="TableText"/>
              <w:ind w:left="31"/>
              <w:spacing w:before="22" w:line="219" w:lineRule="auto"/>
              <w:rPr/>
            </w:pPr>
            <w:r>
              <w:rPr/>
              <w:t>政府可以结合当地经济发展水平、相关公共</w:t>
            </w:r>
            <w:r>
              <w:rPr>
                <w:spacing w:val="-1"/>
              </w:rPr>
              <w:t>事业和设施保障</w:t>
            </w:r>
          </w:p>
          <w:p>
            <w:pPr>
              <w:pStyle w:val="TableText"/>
              <w:ind w:left="31"/>
              <w:spacing w:before="22" w:line="219" w:lineRule="auto"/>
              <w:rPr/>
            </w:pPr>
            <w:r>
              <w:rPr/>
              <w:t>状况、社会承受能力等因素，自主决定免征</w:t>
            </w:r>
            <w:r>
              <w:rPr>
                <w:spacing w:val="-1"/>
              </w:rPr>
              <w:t>、停征或减征地</w:t>
            </w:r>
          </w:p>
          <w:p>
            <w:pPr>
              <w:pStyle w:val="TableText"/>
              <w:ind w:left="31"/>
              <w:spacing w:before="23" w:line="219" w:lineRule="auto"/>
              <w:rPr/>
            </w:pPr>
            <w:r>
              <w:rPr>
                <w:spacing w:val="-1"/>
              </w:rPr>
              <w:t>方水利建设基金、地方水库移民扶持基金的内容，规定地方</w:t>
            </w:r>
          </w:p>
          <w:p>
            <w:pPr>
              <w:pStyle w:val="TableText"/>
              <w:ind w:left="31"/>
              <w:spacing w:before="22" w:line="219" w:lineRule="auto"/>
              <w:rPr/>
            </w:pPr>
            <w:r>
              <w:rPr>
                <w:spacing w:val="1"/>
              </w:rPr>
              <w:t>水库移民扶持基金政策，执行期限延长至2023年12月</w:t>
            </w:r>
            <w:r>
              <w:rPr/>
              <w:t>31日</w:t>
            </w:r>
          </w:p>
        </w:tc>
        <w:tc>
          <w:tcPr>
            <w:tcW w:w="2128" w:type="dxa"/>
            <w:vAlign w:val="top"/>
          </w:tcPr>
          <w:p>
            <w:pPr>
              <w:pStyle w:val="TableText"/>
              <w:ind w:left="34" w:right="89" w:firstLine="50"/>
              <w:spacing w:before="29" w:line="245" w:lineRule="auto"/>
              <w:jc w:val="both"/>
              <w:rPr/>
            </w:pPr>
            <w:r>
              <w:rPr>
                <w:spacing w:val="-1"/>
              </w:rPr>
              <w:t>财政部、发展改革委《关于延</w:t>
            </w:r>
            <w:r>
              <w:rPr>
                <w:spacing w:val="5"/>
              </w:rPr>
              <w:t xml:space="preserve"> </w:t>
            </w:r>
            <w:r>
              <w:rPr>
                <w:spacing w:val="3"/>
              </w:rPr>
              <w:t>长部分行政事业性收费、政府 </w:t>
            </w:r>
            <w:r>
              <w:rPr>
                <w:spacing w:val="3"/>
              </w:rPr>
              <w:t>性基金优惠政策执行期限的公</w:t>
            </w:r>
            <w:r>
              <w:rPr>
                <w:spacing w:val="2"/>
              </w:rPr>
              <w:t xml:space="preserve"> </w:t>
            </w:r>
            <w:r>
              <w:rPr>
                <w:spacing w:val="-1"/>
              </w:rPr>
              <w:t>告》2022年第5号</w:t>
            </w:r>
          </w:p>
        </w:tc>
        <w:tc>
          <w:tcPr>
            <w:tcW w:w="909" w:type="dxa"/>
            <w:vAlign w:val="top"/>
          </w:tcPr>
          <w:p>
            <w:pPr>
              <w:pStyle w:val="TableText"/>
              <w:ind w:left="16" w:right="16" w:firstLine="60"/>
              <w:spacing w:before="32" w:line="248" w:lineRule="auto"/>
              <w:jc w:val="both"/>
              <w:rPr/>
            </w:pPr>
            <w:r>
              <w:rPr>
                <w:spacing w:val="-1"/>
              </w:rPr>
              <w:t>延长至2023</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39" w:type="dxa"/>
            <w:vAlign w:val="top"/>
          </w:tcPr>
          <w:p>
            <w:pPr>
              <w:pStyle w:val="TableText"/>
              <w:ind w:left="18"/>
              <w:spacing w:before="40" w:line="219" w:lineRule="auto"/>
              <w:rPr/>
            </w:pPr>
            <w:r>
              <w:rPr>
                <w:spacing w:val="-3"/>
              </w:rPr>
              <w:t>收费对象</w:t>
            </w:r>
          </w:p>
        </w:tc>
        <w:tc>
          <w:tcPr>
            <w:tcW w:w="1029" w:type="dxa"/>
            <w:vAlign w:val="top"/>
          </w:tcPr>
          <w:p>
            <w:pPr>
              <w:pStyle w:val="TableText"/>
              <w:ind w:left="49"/>
              <w:spacing w:before="39" w:line="219" w:lineRule="auto"/>
              <w:rPr/>
            </w:pPr>
            <w:r>
              <w:rPr>
                <w:spacing w:val="-1"/>
              </w:rPr>
              <w:t>政府性基金</w:t>
            </w:r>
          </w:p>
        </w:tc>
        <w:tc>
          <w:tcPr>
            <w:tcW w:w="464" w:type="dxa"/>
            <w:vAlign w:val="top"/>
          </w:tcPr>
          <w:p>
            <w:pPr>
              <w:pStyle w:val="TableText"/>
              <w:spacing w:before="30" w:line="219" w:lineRule="auto"/>
              <w:jc w:val="right"/>
              <w:rPr/>
            </w:pPr>
            <w:r>
              <w:rPr>
                <w:spacing w:val="-17"/>
              </w:rPr>
              <w:t>免征</w:t>
            </w:r>
            <w:r>
              <w:rPr>
                <w:spacing w:val="-41"/>
              </w:rPr>
              <w:t xml:space="preserve"> </w:t>
            </w:r>
            <w:r>
              <w:rPr>
                <w:spacing w:val="-17"/>
              </w:rPr>
              <w:t>、</w:t>
            </w:r>
          </w:p>
          <w:p>
            <w:pPr>
              <w:pStyle w:val="TableText"/>
              <w:ind w:left="80"/>
              <w:spacing w:before="22" w:line="219" w:lineRule="auto"/>
              <w:rPr/>
            </w:pPr>
            <w:r>
              <w:rPr>
                <w:spacing w:val="-2"/>
              </w:rPr>
              <w:t>停征</w:t>
            </w:r>
          </w:p>
          <w:p>
            <w:pPr>
              <w:pStyle w:val="TableText"/>
              <w:ind w:left="80"/>
              <w:spacing w:before="22" w:line="221" w:lineRule="auto"/>
              <w:rPr/>
            </w:pPr>
            <w:r>
              <w:rPr>
                <w:spacing w:val="-2"/>
              </w:rPr>
              <w:t>或减</w:t>
            </w:r>
          </w:p>
          <w:p>
            <w:pPr>
              <w:pStyle w:val="TableText"/>
              <w:ind w:left="149"/>
              <w:spacing w:before="19" w:line="219" w:lineRule="auto"/>
              <w:rPr/>
            </w:pPr>
            <w:r>
              <w:rPr/>
              <w:t>征</w:t>
            </w:r>
          </w:p>
        </w:tc>
      </w:tr>
      <w:tr>
        <w:trPr>
          <w:trHeight w:val="1447" w:hRule="atLeast"/>
        </w:trPr>
        <w:tc>
          <w:tcPr>
            <w:tcW w:w="284" w:type="dxa"/>
            <w:vAlign w:val="top"/>
          </w:tcPr>
          <w:p>
            <w:pPr>
              <w:spacing w:line="319" w:lineRule="auto"/>
              <w:rPr>
                <w:rFonts w:ascii="Arial"/>
                <w:sz w:val="21"/>
              </w:rPr>
            </w:pPr>
            <w:r/>
          </w:p>
          <w:p>
            <w:pPr>
              <w:spacing w:line="319" w:lineRule="auto"/>
              <w:rPr>
                <w:rFonts w:ascii="Arial"/>
                <w:sz w:val="21"/>
              </w:rPr>
            </w:pPr>
            <w:r/>
          </w:p>
          <w:p>
            <w:pPr>
              <w:pStyle w:val="TableText"/>
              <w:ind w:left="94"/>
              <w:spacing w:before="48" w:line="183" w:lineRule="auto"/>
              <w:rPr/>
            </w:pPr>
            <w:r>
              <w:rPr/>
              <w:t>3</w:t>
            </w:r>
          </w:p>
        </w:tc>
        <w:tc>
          <w:tcPr>
            <w:tcW w:w="3986" w:type="dxa"/>
            <w:vAlign w:val="top"/>
          </w:tcPr>
          <w:p>
            <w:pPr>
              <w:pStyle w:val="TableText"/>
              <w:ind w:left="41"/>
              <w:spacing w:before="32" w:line="219" w:lineRule="auto"/>
              <w:rPr/>
            </w:pPr>
            <w:r>
              <w:rPr>
                <w:spacing w:val="-1"/>
              </w:rPr>
              <w:t>一、自2021年1月1日起取消港口建设费。</w:t>
            </w:r>
          </w:p>
          <w:p>
            <w:pPr>
              <w:pStyle w:val="TableText"/>
              <w:ind w:left="180"/>
              <w:spacing w:before="42" w:line="219" w:lineRule="auto"/>
              <w:rPr/>
            </w:pPr>
            <w:r>
              <w:rPr>
                <w:spacing w:val="-1"/>
              </w:rPr>
              <w:t>二、自2021年4月1日起，将航空公司应缴纳民航发展基</w:t>
            </w:r>
          </w:p>
          <w:p>
            <w:pPr>
              <w:pStyle w:val="TableText"/>
              <w:ind w:left="31" w:right="52"/>
              <w:spacing w:before="11" w:line="239" w:lineRule="auto"/>
              <w:rPr/>
            </w:pPr>
            <w:r>
              <w:rPr>
                <w:spacing w:val="-1"/>
              </w:rPr>
              <w:t>金的征收标准，在按照《财政部关于调整部分政府性基金有</w:t>
            </w:r>
            <w:r>
              <w:rPr>
                <w:spacing w:val="17"/>
              </w:rPr>
              <w:t xml:space="preserve"> </w:t>
            </w:r>
            <w:r>
              <w:rPr/>
              <w:t>关政策的通知》(财税〔2019〕46号)</w:t>
            </w:r>
            <w:r>
              <w:rPr>
                <w:spacing w:val="-1"/>
              </w:rPr>
              <w:t>降低50%的基础上</w:t>
            </w:r>
          </w:p>
          <w:p>
            <w:pPr>
              <w:pStyle w:val="TableText"/>
              <w:ind w:left="41"/>
              <w:spacing w:before="22" w:line="219" w:lineRule="auto"/>
              <w:rPr/>
            </w:pPr>
            <w:r>
              <w:rPr>
                <w:spacing w:val="-2"/>
              </w:rPr>
              <w:t>再降低20%</w:t>
            </w:r>
          </w:p>
        </w:tc>
        <w:tc>
          <w:tcPr>
            <w:tcW w:w="2128" w:type="dxa"/>
            <w:vAlign w:val="top"/>
          </w:tcPr>
          <w:p>
            <w:pPr>
              <w:pStyle w:val="TableText"/>
              <w:ind w:left="14" w:right="73" w:firstLine="70"/>
              <w:spacing w:before="52" w:line="234" w:lineRule="auto"/>
              <w:jc w:val="both"/>
              <w:rPr/>
            </w:pPr>
            <w:r>
              <w:rPr>
                <w:spacing w:val="-1"/>
              </w:rPr>
              <w:t>财政部《关于取消港口建设费</w:t>
            </w:r>
            <w:r>
              <w:rPr>
                <w:spacing w:val="5"/>
              </w:rPr>
              <w:t xml:space="preserve"> </w:t>
            </w:r>
            <w:r>
              <w:rPr>
                <w:spacing w:val="4"/>
              </w:rPr>
              <w:t>和调整民航发展基金有关政策</w:t>
            </w:r>
            <w:r>
              <w:rPr>
                <w:spacing w:val="10"/>
              </w:rPr>
              <w:t xml:space="preserve"> </w:t>
            </w:r>
            <w:r>
              <w:rPr>
                <w:spacing w:val="5"/>
              </w:rPr>
              <w:t>的公告》财政部公告2021年第</w:t>
            </w:r>
            <w:r>
              <w:rPr>
                <w:spacing w:val="3"/>
              </w:rPr>
              <w:t xml:space="preserve"> </w:t>
            </w:r>
            <w:r>
              <w:rPr>
                <w:spacing w:val="-2"/>
              </w:rPr>
              <w:t>8号</w:t>
            </w:r>
          </w:p>
        </w:tc>
        <w:tc>
          <w:tcPr>
            <w:tcW w:w="909" w:type="dxa"/>
            <w:vAlign w:val="top"/>
          </w:tcPr>
          <w:p>
            <w:pPr>
              <w:pStyle w:val="TableText"/>
              <w:ind w:left="16" w:firstLine="9"/>
              <w:spacing w:before="49" w:line="243" w:lineRule="auto"/>
              <w:rPr/>
            </w:pPr>
            <w:r>
              <w:rPr>
                <w:spacing w:val="-14"/>
              </w:rPr>
              <w:t>自</w:t>
            </w:r>
            <w:r>
              <w:rPr>
                <w:spacing w:val="-32"/>
              </w:rPr>
              <w:t xml:space="preserve"> </w:t>
            </w:r>
            <w:r>
              <w:rPr>
                <w:spacing w:val="-14"/>
              </w:rPr>
              <w:t>2</w:t>
            </w:r>
            <w:r>
              <w:rPr>
                <w:spacing w:val="-33"/>
              </w:rPr>
              <w:t xml:space="preserve"> </w:t>
            </w:r>
            <w:r>
              <w:rPr>
                <w:spacing w:val="-14"/>
              </w:rPr>
              <w:t>0</w:t>
            </w:r>
            <w:r>
              <w:rPr>
                <w:spacing w:val="-32"/>
              </w:rPr>
              <w:t xml:space="preserve"> </w:t>
            </w:r>
            <w:r>
              <w:rPr>
                <w:spacing w:val="-14"/>
              </w:rPr>
              <w:t>2</w:t>
            </w:r>
            <w:r>
              <w:rPr>
                <w:spacing w:val="-23"/>
              </w:rPr>
              <w:t xml:space="preserve"> </w:t>
            </w:r>
            <w:r>
              <w:rPr>
                <w:spacing w:val="-14"/>
              </w:rPr>
              <w:t>1</w:t>
            </w:r>
            <w:r>
              <w:rPr>
                <w:spacing w:val="-34"/>
              </w:rPr>
              <w:t xml:space="preserve"> </w:t>
            </w:r>
            <w:r>
              <w:rPr>
                <w:spacing w:val="-14"/>
              </w:rPr>
              <w:t>年</w:t>
            </w:r>
            <w:r>
              <w:rPr>
                <w:spacing w:val="-23"/>
              </w:rPr>
              <w:t xml:space="preserve"> </w:t>
            </w:r>
            <w:r>
              <w:rPr>
                <w:spacing w:val="-14"/>
              </w:rPr>
              <w:t>1</w:t>
            </w:r>
            <w:r>
              <w:rPr/>
              <w:t xml:space="preserve"> </w:t>
            </w:r>
            <w:r>
              <w:rPr>
                <w:spacing w:val="-13"/>
              </w:rPr>
              <w:t>月 1</w:t>
            </w:r>
            <w:r>
              <w:rPr>
                <w:spacing w:val="1"/>
              </w:rPr>
              <w:t xml:space="preserve"> </w:t>
            </w:r>
            <w:r>
              <w:rPr>
                <w:spacing w:val="-13"/>
              </w:rPr>
              <w:t>日</w:t>
            </w:r>
            <w:r>
              <w:rPr>
                <w:spacing w:val="-24"/>
              </w:rPr>
              <w:t xml:space="preserve"> </w:t>
            </w:r>
            <w:r>
              <w:rPr>
                <w:spacing w:val="-13"/>
              </w:rPr>
              <w:t>起</w:t>
            </w:r>
            <w:r>
              <w:rPr>
                <w:spacing w:val="-22"/>
              </w:rPr>
              <w:t xml:space="preserve"> </w:t>
            </w:r>
            <w:r>
              <w:rPr>
                <w:spacing w:val="-13"/>
              </w:rPr>
              <w:t>取</w:t>
            </w:r>
            <w:r>
              <w:rPr/>
              <w:t xml:space="preserve"> </w:t>
            </w:r>
            <w:r>
              <w:rPr>
                <w:spacing w:val="9"/>
              </w:rPr>
              <w:t>消港口建设</w:t>
            </w:r>
            <w:r>
              <w:rPr/>
              <w:t xml:space="preserve">  </w:t>
            </w:r>
            <w:r>
              <w:rPr>
                <w:spacing w:val="-14"/>
              </w:rPr>
              <w:t>费；</w:t>
            </w:r>
            <w:r>
              <w:rPr>
                <w:spacing w:val="1"/>
              </w:rPr>
              <w:t xml:space="preserve">   </w:t>
            </w:r>
            <w:r>
              <w:rPr>
                <w:spacing w:val="-14"/>
              </w:rPr>
              <w:t>自2021</w:t>
            </w:r>
            <w:r>
              <w:rPr>
                <w:spacing w:val="1"/>
              </w:rPr>
              <w:t xml:space="preserve"> </w:t>
            </w:r>
            <w:r>
              <w:rPr>
                <w:spacing w:val="-9"/>
              </w:rPr>
              <w:t>年 4 月</w:t>
            </w:r>
            <w:r>
              <w:rPr>
                <w:spacing w:val="5"/>
              </w:rPr>
              <w:t xml:space="preserve"> </w:t>
            </w:r>
            <w:r>
              <w:rPr>
                <w:spacing w:val="-9"/>
              </w:rPr>
              <w:t>1</w:t>
            </w:r>
            <w:r>
              <w:rPr>
                <w:spacing w:val="20"/>
              </w:rPr>
              <w:t xml:space="preserve"> </w:t>
            </w:r>
            <w:r>
              <w:rPr>
                <w:spacing w:val="-9"/>
              </w:rPr>
              <w:t>日</w:t>
            </w:r>
            <w:r>
              <w:rPr/>
              <w:t xml:space="preserve"> </w:t>
            </w:r>
            <w:r>
              <w:rPr>
                <w:spacing w:val="10"/>
              </w:rPr>
              <w:t>起调整民航</w:t>
            </w:r>
            <w:r>
              <w:rPr/>
              <w:t xml:space="preserve">  </w:t>
            </w:r>
            <w:r>
              <w:rPr>
                <w:spacing w:val="-3"/>
              </w:rPr>
              <w:t>发展基金</w:t>
            </w:r>
          </w:p>
        </w:tc>
        <w:tc>
          <w:tcPr>
            <w:tcW w:w="839" w:type="dxa"/>
            <w:vAlign w:val="top"/>
          </w:tcPr>
          <w:p>
            <w:pPr>
              <w:pStyle w:val="TableText"/>
              <w:ind w:left="18"/>
              <w:spacing w:before="32" w:line="219" w:lineRule="auto"/>
              <w:rPr/>
            </w:pPr>
            <w:r>
              <w:rPr>
                <w:spacing w:val="-3"/>
              </w:rPr>
              <w:t>收费对象</w:t>
            </w:r>
          </w:p>
        </w:tc>
        <w:tc>
          <w:tcPr>
            <w:tcW w:w="1029" w:type="dxa"/>
            <w:vAlign w:val="top"/>
          </w:tcPr>
          <w:p>
            <w:pPr>
              <w:pStyle w:val="TableText"/>
              <w:ind w:left="49"/>
              <w:spacing w:before="31" w:line="219" w:lineRule="auto"/>
              <w:rPr/>
            </w:pPr>
            <w:r>
              <w:rPr>
                <w:spacing w:val="-1"/>
              </w:rPr>
              <w:t>政府性基金</w:t>
            </w:r>
          </w:p>
        </w:tc>
        <w:tc>
          <w:tcPr>
            <w:tcW w:w="464" w:type="dxa"/>
            <w:vAlign w:val="top"/>
          </w:tcPr>
          <w:p>
            <w:pPr>
              <w:pStyle w:val="TableText"/>
              <w:ind w:left="80" w:right="64"/>
              <w:spacing w:before="31" w:line="238" w:lineRule="auto"/>
              <w:jc w:val="both"/>
              <w:rPr/>
            </w:pPr>
            <w:r>
              <w:rPr>
                <w:spacing w:val="4"/>
              </w:rPr>
              <w:t>降低</w:t>
            </w:r>
            <w:r>
              <w:rPr/>
              <w:t xml:space="preserve"> </w:t>
            </w:r>
            <w:r>
              <w:rPr>
                <w:spacing w:val="-4"/>
              </w:rPr>
              <w:t>征收</w:t>
            </w:r>
            <w:r>
              <w:rPr/>
              <w:t xml:space="preserve"> </w:t>
            </w:r>
            <w:r>
              <w:rPr>
                <w:spacing w:val="-2"/>
              </w:rPr>
              <w:t>标准</w:t>
            </w:r>
          </w:p>
        </w:tc>
      </w:tr>
      <w:tr>
        <w:trPr>
          <w:trHeight w:val="814" w:hRule="atLeast"/>
        </w:trPr>
        <w:tc>
          <w:tcPr>
            <w:tcW w:w="284" w:type="dxa"/>
            <w:vAlign w:val="top"/>
          </w:tcPr>
          <w:p>
            <w:pPr>
              <w:spacing w:line="323" w:lineRule="auto"/>
              <w:rPr>
                <w:rFonts w:ascii="Arial"/>
                <w:sz w:val="21"/>
              </w:rPr>
            </w:pPr>
            <w:r/>
          </w:p>
          <w:p>
            <w:pPr>
              <w:pStyle w:val="TableText"/>
              <w:ind w:left="94"/>
              <w:spacing w:before="48" w:line="183" w:lineRule="auto"/>
              <w:rPr/>
            </w:pPr>
            <w:r>
              <w:rPr/>
              <w:t>4</w:t>
            </w:r>
          </w:p>
        </w:tc>
        <w:tc>
          <w:tcPr>
            <w:tcW w:w="3986" w:type="dxa"/>
            <w:vAlign w:val="top"/>
          </w:tcPr>
          <w:p>
            <w:pPr>
              <w:pStyle w:val="TableText"/>
              <w:ind w:left="31" w:right="52" w:firstLine="79"/>
              <w:spacing w:before="64" w:line="229" w:lineRule="auto"/>
              <w:jc w:val="both"/>
              <w:rPr/>
            </w:pPr>
            <w:r>
              <w:rPr/>
              <w:t>2020年12月31日前已开征地方水利建设基金的省、自治区 </w:t>
            </w:r>
            <w:r>
              <w:rPr>
                <w:spacing w:val="-1"/>
              </w:rPr>
              <w:t>直辖市，省级财政部门可提出免征、停征或减征地方水利建</w:t>
            </w:r>
            <w:r>
              <w:rPr>
                <w:spacing w:val="17"/>
              </w:rPr>
              <w:t xml:space="preserve"> </w:t>
            </w:r>
            <w:r>
              <w:rPr/>
              <w:t>设基金的方案，报省级人民政府批准后执行</w:t>
            </w:r>
          </w:p>
        </w:tc>
        <w:tc>
          <w:tcPr>
            <w:tcW w:w="2128" w:type="dxa"/>
            <w:vAlign w:val="top"/>
          </w:tcPr>
          <w:p>
            <w:pPr>
              <w:pStyle w:val="TableText"/>
              <w:ind w:left="34" w:firstLine="9"/>
              <w:spacing w:before="75" w:line="221" w:lineRule="auto"/>
              <w:jc w:val="both"/>
              <w:rPr/>
            </w:pPr>
            <w:r>
              <w:rPr>
                <w:spacing w:val="-2"/>
              </w:rPr>
              <w:t>财政部《关于民航发展基金等3</w:t>
            </w:r>
            <w:r>
              <w:rPr>
                <w:spacing w:val="4"/>
              </w:rPr>
              <w:t xml:space="preserve">  </w:t>
            </w:r>
            <w:r>
              <w:rPr>
                <w:spacing w:val="-2"/>
              </w:rPr>
              <w:t>项政府性基金有关政策的通知》</w:t>
            </w:r>
            <w:r>
              <w:rPr>
                <w:spacing w:val="10"/>
              </w:rPr>
              <w:t xml:space="preserve"> </w:t>
            </w:r>
            <w:r>
              <w:rPr>
                <w:spacing w:val="-2"/>
              </w:rPr>
              <w:t>财税〔2020〕72号</w:t>
            </w:r>
          </w:p>
        </w:tc>
        <w:tc>
          <w:tcPr>
            <w:tcW w:w="909" w:type="dxa"/>
            <w:vAlign w:val="top"/>
          </w:tcPr>
          <w:p>
            <w:pPr>
              <w:pStyle w:val="TableText"/>
              <w:ind w:left="16" w:right="12"/>
              <w:spacing w:before="74" w:line="233" w:lineRule="auto"/>
              <w:rPr/>
            </w:pPr>
            <w:r>
              <w:rPr>
                <w:spacing w:val="-9"/>
              </w:rPr>
              <w:t>2</w:t>
            </w:r>
            <w:r>
              <w:rPr>
                <w:spacing w:val="-21"/>
              </w:rPr>
              <w:t xml:space="preserve"> </w:t>
            </w:r>
            <w:r>
              <w:rPr>
                <w:spacing w:val="-9"/>
              </w:rPr>
              <w:t>0</w:t>
            </w:r>
            <w:r>
              <w:rPr>
                <w:spacing w:val="-21"/>
              </w:rPr>
              <w:t xml:space="preserve"> </w:t>
            </w:r>
            <w:r>
              <w:rPr>
                <w:spacing w:val="-9"/>
              </w:rPr>
              <w:t>2</w:t>
            </w:r>
            <w:r>
              <w:rPr>
                <w:spacing w:val="-22"/>
              </w:rPr>
              <w:t xml:space="preserve"> </w:t>
            </w:r>
            <w:r>
              <w:rPr>
                <w:spacing w:val="-9"/>
              </w:rPr>
              <w:t>0</w:t>
            </w:r>
            <w:r>
              <w:rPr>
                <w:spacing w:val="-22"/>
              </w:rPr>
              <w:t xml:space="preserve"> </w:t>
            </w:r>
            <w:r>
              <w:rPr>
                <w:spacing w:val="-9"/>
              </w:rPr>
              <w:t>年</w:t>
            </w:r>
            <w:r>
              <w:rPr>
                <w:spacing w:val="-12"/>
              </w:rPr>
              <w:t xml:space="preserve"> </w:t>
            </w:r>
            <w:r>
              <w:rPr>
                <w:spacing w:val="-9"/>
              </w:rPr>
              <w:t>1</w:t>
            </w:r>
            <w:r>
              <w:rPr>
                <w:spacing w:val="-21"/>
              </w:rPr>
              <w:t xml:space="preserve"> </w:t>
            </w:r>
            <w:r>
              <w:rPr>
                <w:spacing w:val="-9"/>
              </w:rPr>
              <w:t>2</w:t>
            </w:r>
            <w:r>
              <w:rPr/>
              <w:t xml:space="preserve"> </w:t>
            </w:r>
            <w:r>
              <w:rPr>
                <w:spacing w:val="-2"/>
              </w:rPr>
              <w:t>月31日起</w:t>
            </w:r>
          </w:p>
        </w:tc>
        <w:tc>
          <w:tcPr>
            <w:tcW w:w="839" w:type="dxa"/>
            <w:vAlign w:val="top"/>
          </w:tcPr>
          <w:p>
            <w:pPr>
              <w:pStyle w:val="TableText"/>
              <w:ind w:left="18" w:right="49"/>
              <w:spacing w:before="55" w:line="233" w:lineRule="auto"/>
              <w:jc w:val="both"/>
              <w:rPr/>
            </w:pPr>
            <w:r>
              <w:rPr>
                <w:spacing w:val="-2"/>
              </w:rPr>
              <w:t>地方水利建</w:t>
            </w:r>
            <w:r>
              <w:rPr>
                <w:spacing w:val="3"/>
              </w:rPr>
              <w:t xml:space="preserve"> </w:t>
            </w:r>
            <w:r>
              <w:rPr>
                <w:spacing w:val="2"/>
              </w:rPr>
              <w:t>设基金收费</w:t>
            </w:r>
            <w:r>
              <w:rPr/>
              <w:t xml:space="preserve"> </w:t>
            </w:r>
            <w:r>
              <w:rPr>
                <w:spacing w:val="-2"/>
              </w:rPr>
              <w:t>对象</w:t>
            </w:r>
          </w:p>
        </w:tc>
        <w:tc>
          <w:tcPr>
            <w:tcW w:w="1029" w:type="dxa"/>
            <w:vAlign w:val="top"/>
          </w:tcPr>
          <w:p>
            <w:pPr>
              <w:pStyle w:val="TableText"/>
              <w:ind w:left="49"/>
              <w:spacing w:before="54" w:line="219" w:lineRule="auto"/>
              <w:rPr/>
            </w:pPr>
            <w:r>
              <w:rPr>
                <w:spacing w:val="-1"/>
              </w:rPr>
              <w:t>政府性基金</w:t>
            </w:r>
          </w:p>
        </w:tc>
        <w:tc>
          <w:tcPr>
            <w:tcW w:w="464" w:type="dxa"/>
            <w:vAlign w:val="top"/>
          </w:tcPr>
          <w:p>
            <w:pPr>
              <w:pStyle w:val="TableText"/>
              <w:spacing w:before="45" w:line="219" w:lineRule="auto"/>
              <w:jc w:val="right"/>
              <w:rPr/>
            </w:pPr>
            <w:r>
              <w:rPr>
                <w:spacing w:val="-17"/>
              </w:rPr>
              <w:t>免征</w:t>
            </w:r>
            <w:r>
              <w:rPr>
                <w:spacing w:val="-41"/>
              </w:rPr>
              <w:t xml:space="preserve"> </w:t>
            </w:r>
            <w:r>
              <w:rPr>
                <w:spacing w:val="-17"/>
              </w:rPr>
              <w:t>、</w:t>
            </w:r>
          </w:p>
          <w:p>
            <w:pPr>
              <w:pStyle w:val="TableText"/>
              <w:ind w:left="80"/>
              <w:spacing w:before="22" w:line="219" w:lineRule="auto"/>
              <w:rPr/>
            </w:pPr>
            <w:r>
              <w:rPr>
                <w:spacing w:val="-2"/>
              </w:rPr>
              <w:t>停征</w:t>
            </w:r>
          </w:p>
          <w:p>
            <w:pPr>
              <w:pStyle w:val="TableText"/>
              <w:ind w:left="80"/>
              <w:spacing w:before="22" w:line="221" w:lineRule="auto"/>
              <w:rPr/>
            </w:pPr>
            <w:r>
              <w:rPr>
                <w:spacing w:val="-2"/>
              </w:rPr>
              <w:t>或减</w:t>
            </w:r>
          </w:p>
          <w:p>
            <w:pPr>
              <w:pStyle w:val="TableText"/>
              <w:ind w:left="149"/>
              <w:spacing w:before="29" w:line="183" w:lineRule="auto"/>
              <w:rPr/>
            </w:pPr>
            <w:r>
              <w:rPr/>
              <w:t>征</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658240" behindDoc="0" locked="0" layoutInCell="0" allowOverlap="1">
            <wp:simplePos x="0" y="0"/>
            <wp:positionH relativeFrom="page">
              <wp:posOffset>514349</wp:posOffset>
            </wp:positionH>
            <wp:positionV relativeFrom="page">
              <wp:posOffset>4451360</wp:posOffset>
            </wp:positionV>
            <wp:extent cx="107921" cy="63471"/>
            <wp:effectExtent l="0" t="0" r="0" b="0"/>
            <wp:wrapNone/>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07921" cy="63471"/>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909"/>
        <w:gridCol w:w="829"/>
        <w:gridCol w:w="1029"/>
        <w:gridCol w:w="464"/>
      </w:tblGrid>
      <w:tr>
        <w:trPr>
          <w:trHeight w:val="494" w:hRule="atLeast"/>
        </w:trPr>
        <w:tc>
          <w:tcPr>
            <w:tcW w:w="284" w:type="dxa"/>
            <w:vAlign w:val="top"/>
            <w:textDirection w:val="tbRlV"/>
          </w:tcPr>
          <w:p>
            <w:pPr>
              <w:pStyle w:val="TableText"/>
              <w:ind w:left="76"/>
              <w:spacing w:before="59" w:line="217" w:lineRule="auto"/>
              <w:rPr>
                <w:sz w:val="16"/>
                <w:szCs w:val="16"/>
              </w:rPr>
            </w:pPr>
            <w:r>
              <w:rPr>
                <w:sz w:val="16"/>
                <w:szCs w:val="16"/>
              </w:rPr>
              <w:t>序号</w:t>
            </w:r>
          </w:p>
        </w:tc>
        <w:tc>
          <w:tcPr>
            <w:tcW w:w="3956" w:type="dxa"/>
            <w:vAlign w:val="top"/>
          </w:tcPr>
          <w:p>
            <w:pPr>
              <w:pStyle w:val="TableText"/>
              <w:ind w:left="1651"/>
              <w:spacing w:before="171" w:line="219" w:lineRule="auto"/>
              <w:rPr>
                <w:sz w:val="16"/>
                <w:szCs w:val="16"/>
              </w:rPr>
            </w:pPr>
            <w:r>
              <w:rPr>
                <w:sz w:val="16"/>
                <w:szCs w:val="16"/>
                <w:spacing w:val="-2"/>
              </w:rPr>
              <w:t>主要内容</w:t>
            </w:r>
          </w:p>
        </w:tc>
        <w:tc>
          <w:tcPr>
            <w:tcW w:w="2158" w:type="dxa"/>
            <w:vAlign w:val="top"/>
          </w:tcPr>
          <w:p>
            <w:pPr>
              <w:pStyle w:val="TableText"/>
              <w:ind w:left="754"/>
              <w:spacing w:before="170" w:line="219" w:lineRule="auto"/>
              <w:rPr>
                <w:sz w:val="16"/>
                <w:szCs w:val="16"/>
              </w:rPr>
            </w:pPr>
            <w:r>
              <w:rPr>
                <w:sz w:val="16"/>
                <w:szCs w:val="16"/>
                <w:spacing w:val="-2"/>
              </w:rPr>
              <w:t>政策依据</w:t>
            </w:r>
          </w:p>
        </w:tc>
        <w:tc>
          <w:tcPr>
            <w:tcW w:w="909" w:type="dxa"/>
            <w:vAlign w:val="top"/>
          </w:tcPr>
          <w:p>
            <w:pPr>
              <w:pStyle w:val="TableText"/>
              <w:ind w:left="147"/>
              <w:spacing w:before="171" w:line="219" w:lineRule="auto"/>
              <w:rPr>
                <w:sz w:val="16"/>
                <w:szCs w:val="16"/>
              </w:rPr>
            </w:pPr>
            <w:r>
              <w:rPr>
                <w:sz w:val="16"/>
                <w:szCs w:val="16"/>
                <w:spacing w:val="3"/>
              </w:rPr>
              <w:t>执行时间</w:t>
            </w:r>
          </w:p>
        </w:tc>
        <w:tc>
          <w:tcPr>
            <w:tcW w:w="829" w:type="dxa"/>
            <w:vAlign w:val="top"/>
          </w:tcPr>
          <w:p>
            <w:pPr>
              <w:pStyle w:val="TableText"/>
              <w:ind w:left="267" w:right="74" w:hanging="150"/>
              <w:spacing w:before="74" w:line="229" w:lineRule="auto"/>
              <w:rPr>
                <w:sz w:val="16"/>
                <w:szCs w:val="16"/>
              </w:rPr>
            </w:pPr>
            <w:r>
              <w:rPr>
                <w:sz w:val="16"/>
                <w:szCs w:val="16"/>
                <w:spacing w:val="-4"/>
              </w:rPr>
              <w:t>惠及企业</w:t>
            </w:r>
            <w:r>
              <w:rPr>
                <w:sz w:val="16"/>
                <w:szCs w:val="16"/>
                <w:spacing w:val="1"/>
              </w:rPr>
              <w:t xml:space="preserve"> </w:t>
            </w:r>
            <w:r>
              <w:rPr>
                <w:sz w:val="16"/>
                <w:szCs w:val="16"/>
                <w:spacing w:val="-2"/>
              </w:rPr>
              <w:t>类型</w:t>
            </w:r>
          </w:p>
        </w:tc>
        <w:tc>
          <w:tcPr>
            <w:tcW w:w="1029" w:type="dxa"/>
            <w:vAlign w:val="top"/>
          </w:tcPr>
          <w:p>
            <w:pPr>
              <w:pStyle w:val="TableText"/>
              <w:ind w:left="198"/>
              <w:spacing w:before="171" w:line="219" w:lineRule="auto"/>
              <w:rPr>
                <w:sz w:val="16"/>
                <w:szCs w:val="16"/>
              </w:rPr>
            </w:pPr>
            <w:r>
              <w:rPr>
                <w:sz w:val="16"/>
                <w:szCs w:val="16"/>
                <w:spacing w:val="-2"/>
              </w:rPr>
              <w:t>政策类别</w:t>
            </w:r>
          </w:p>
        </w:tc>
        <w:tc>
          <w:tcPr>
            <w:tcW w:w="464" w:type="dxa"/>
            <w:vAlign w:val="top"/>
          </w:tcPr>
          <w:p>
            <w:pPr>
              <w:pStyle w:val="TableText"/>
              <w:ind w:left="70" w:right="69"/>
              <w:spacing w:before="61" w:line="238" w:lineRule="auto"/>
              <w:rPr>
                <w:sz w:val="16"/>
                <w:szCs w:val="16"/>
              </w:rPr>
            </w:pPr>
            <w:r>
              <w:rPr>
                <w:sz w:val="16"/>
                <w:szCs w:val="16"/>
                <w:spacing w:val="-3"/>
              </w:rPr>
              <w:t>政策</w:t>
            </w:r>
            <w:r>
              <w:rPr>
                <w:sz w:val="16"/>
                <w:szCs w:val="16"/>
              </w:rPr>
              <w:t xml:space="preserve"> </w:t>
            </w:r>
            <w:r>
              <w:rPr>
                <w:sz w:val="16"/>
                <w:szCs w:val="16"/>
                <w:spacing w:val="-5"/>
              </w:rPr>
              <w:t>形式</w:t>
            </w:r>
          </w:p>
        </w:tc>
      </w:tr>
      <w:tr>
        <w:trPr>
          <w:trHeight w:val="2496" w:hRule="atLeast"/>
        </w:trPr>
        <w:tc>
          <w:tcPr>
            <w:tcW w:w="284"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94"/>
              <w:spacing w:before="52" w:line="182" w:lineRule="auto"/>
              <w:rPr>
                <w:sz w:val="16"/>
                <w:szCs w:val="16"/>
              </w:rPr>
            </w:pPr>
            <w:r>
              <w:rPr>
                <w:sz w:val="16"/>
                <w:szCs w:val="16"/>
              </w:rPr>
              <w:t>5</w:t>
            </w:r>
          </w:p>
        </w:tc>
        <w:tc>
          <w:tcPr>
            <w:tcW w:w="3956" w:type="dxa"/>
            <w:vAlign w:val="top"/>
          </w:tcPr>
          <w:p>
            <w:pPr>
              <w:pStyle w:val="TableText"/>
              <w:ind w:left="11"/>
              <w:spacing w:before="138" w:line="218" w:lineRule="auto"/>
              <w:rPr>
                <w:sz w:val="16"/>
                <w:szCs w:val="16"/>
              </w:rPr>
            </w:pPr>
            <w:r>
              <w:rPr>
                <w:sz w:val="16"/>
                <w:szCs w:val="16"/>
                <w:spacing w:val="-3"/>
              </w:rPr>
              <w:t>修订了《国家税务总局关于营业税改征增值税试点有关文</w:t>
            </w:r>
            <w:r>
              <w:rPr>
                <w:sz w:val="16"/>
                <w:szCs w:val="16"/>
                <w:spacing w:val="8"/>
              </w:rPr>
              <w:t xml:space="preserve"> </w:t>
            </w:r>
            <w:r>
              <w:rPr>
                <w:sz w:val="16"/>
                <w:szCs w:val="16"/>
                <w:spacing w:val="-1"/>
              </w:rPr>
              <w:t>化事业建设费登记与申报事项的公告》(国家税务总局公</w:t>
            </w:r>
            <w:r>
              <w:rPr>
                <w:sz w:val="16"/>
                <w:szCs w:val="16"/>
                <w:spacing w:val="13"/>
              </w:rPr>
              <w:t xml:space="preserve"> </w:t>
            </w:r>
            <w:r>
              <w:rPr>
                <w:sz w:val="16"/>
                <w:szCs w:val="16"/>
                <w:spacing w:val="1"/>
              </w:rPr>
              <w:t>告2013年第64号)附件2《文化事业建设费申报表》的</w:t>
            </w:r>
          </w:p>
          <w:p>
            <w:pPr>
              <w:pStyle w:val="TableText"/>
              <w:ind w:left="30" w:hanging="19"/>
              <w:spacing w:before="31" w:line="224" w:lineRule="auto"/>
              <w:rPr>
                <w:sz w:val="16"/>
                <w:szCs w:val="16"/>
              </w:rPr>
            </w:pPr>
            <w:r>
              <w:rPr>
                <w:sz w:val="16"/>
                <w:szCs w:val="16"/>
                <w:spacing w:val="-3"/>
              </w:rPr>
              <w:t>计算公式及填表说明。将《文化事业建设费申报表》第18</w:t>
            </w:r>
            <w:r>
              <w:rPr>
                <w:sz w:val="16"/>
                <w:szCs w:val="16"/>
                <w:spacing w:val="11"/>
              </w:rPr>
              <w:t xml:space="preserve"> </w:t>
            </w:r>
            <w:r>
              <w:rPr>
                <w:sz w:val="16"/>
                <w:szCs w:val="16"/>
              </w:rPr>
              <w:t>栏次中“18=10-13”修改为“18=10×(1</w:t>
            </w:r>
            <w:r>
              <w:rPr>
                <w:sz w:val="16"/>
                <w:szCs w:val="16"/>
                <w:spacing w:val="-1"/>
              </w:rPr>
              <w:t>-减征比例)-</w:t>
            </w:r>
          </w:p>
          <w:p>
            <w:pPr>
              <w:pStyle w:val="TableText"/>
              <w:ind w:left="31" w:right="7" w:hanging="20"/>
              <w:spacing w:line="226" w:lineRule="auto"/>
              <w:rPr>
                <w:sz w:val="16"/>
                <w:szCs w:val="16"/>
              </w:rPr>
            </w:pPr>
            <w:r>
              <w:rPr>
                <w:sz w:val="16"/>
                <w:szCs w:val="16"/>
              </w:rPr>
              <w:t>13”,将《文化事业建设费申报表》填表说明中“二、有</w:t>
            </w:r>
            <w:r>
              <w:rPr>
                <w:sz w:val="16"/>
                <w:szCs w:val="16"/>
                <w:spacing w:val="6"/>
              </w:rPr>
              <w:t xml:space="preserve"> </w:t>
            </w:r>
            <w:r>
              <w:rPr>
                <w:sz w:val="16"/>
                <w:szCs w:val="16"/>
                <w:spacing w:val="1"/>
              </w:rPr>
              <w:t>关栏目填写说明”下“(十八)第18栏‘本期应补(退)</w:t>
            </w:r>
          </w:p>
          <w:p>
            <w:pPr>
              <w:pStyle w:val="TableText"/>
              <w:ind w:left="80" w:hanging="69"/>
              <w:spacing w:before="2" w:line="234" w:lineRule="auto"/>
              <w:rPr>
                <w:sz w:val="16"/>
                <w:szCs w:val="16"/>
              </w:rPr>
            </w:pPr>
            <w:r>
              <w:rPr>
                <w:sz w:val="16"/>
                <w:szCs w:val="16"/>
                <w:spacing w:val="-3"/>
              </w:rPr>
              <w:t>费额’”的内容，修改为“反映本期应缴费额中应补缴或</w:t>
            </w:r>
            <w:r>
              <w:rPr>
                <w:sz w:val="16"/>
                <w:szCs w:val="16"/>
                <w:spacing w:val="8"/>
              </w:rPr>
              <w:t xml:space="preserve"> </w:t>
            </w:r>
            <w:r>
              <w:rPr>
                <w:sz w:val="16"/>
                <w:szCs w:val="16"/>
                <w:spacing w:val="1"/>
              </w:rPr>
              <w:t>退回的数额。计算公式：18=10×归属中央收入比例×</w:t>
            </w:r>
            <w:r>
              <w:rPr>
                <w:sz w:val="16"/>
                <w:szCs w:val="16"/>
                <w:spacing w:val="5"/>
              </w:rPr>
              <w:t xml:space="preserve">  </w:t>
            </w:r>
            <w:r>
              <w:rPr>
                <w:sz w:val="16"/>
                <w:szCs w:val="16"/>
              </w:rPr>
              <w:t>(1-50%)+10×归属地方收入比例×(1-归属地方收入</w:t>
            </w:r>
          </w:p>
          <w:p>
            <w:pPr>
              <w:pStyle w:val="TableText"/>
              <w:ind w:left="11"/>
              <w:spacing w:before="10" w:line="219" w:lineRule="auto"/>
              <w:rPr>
                <w:sz w:val="16"/>
                <w:szCs w:val="16"/>
              </w:rPr>
            </w:pPr>
            <w:r>
              <w:rPr>
                <w:sz w:val="16"/>
                <w:szCs w:val="16"/>
              </w:rPr>
              <w:t>减征比例)-13。</w:t>
            </w:r>
          </w:p>
        </w:tc>
        <w:tc>
          <w:tcPr>
            <w:tcW w:w="2158" w:type="dxa"/>
            <w:vAlign w:val="top"/>
          </w:tcPr>
          <w:p>
            <w:pPr>
              <w:pStyle w:val="TableText"/>
              <w:ind w:left="34" w:right="26"/>
              <w:spacing w:before="138" w:line="218" w:lineRule="auto"/>
              <w:jc w:val="both"/>
              <w:rPr>
                <w:sz w:val="16"/>
                <w:szCs w:val="16"/>
              </w:rPr>
            </w:pPr>
            <w:r>
              <w:rPr>
                <w:sz w:val="16"/>
                <w:szCs w:val="16"/>
              </w:rPr>
              <w:t>国家税务总局《关于调整部分</w:t>
            </w:r>
            <w:r>
              <w:rPr>
                <w:sz w:val="16"/>
                <w:szCs w:val="16"/>
                <w:spacing w:val="5"/>
              </w:rPr>
              <w:t xml:space="preserve"> </w:t>
            </w:r>
            <w:r>
              <w:rPr>
                <w:sz w:val="16"/>
                <w:szCs w:val="16"/>
                <w:spacing w:val="-1"/>
              </w:rPr>
              <w:t>政府性基金有关征管事项的公</w:t>
            </w:r>
            <w:r>
              <w:rPr>
                <w:sz w:val="16"/>
                <w:szCs w:val="16"/>
                <w:spacing w:val="6"/>
              </w:rPr>
              <w:t xml:space="preserve"> </w:t>
            </w:r>
            <w:r>
              <w:rPr>
                <w:sz w:val="16"/>
                <w:szCs w:val="16"/>
                <w:spacing w:val="2"/>
              </w:rPr>
              <w:t>告》〔2018〕第24号公告</w:t>
            </w:r>
          </w:p>
        </w:tc>
        <w:tc>
          <w:tcPr>
            <w:tcW w:w="909" w:type="dxa"/>
            <w:vAlign w:val="top"/>
          </w:tcPr>
          <w:p>
            <w:pPr>
              <w:pStyle w:val="TableText"/>
              <w:ind w:left="16" w:right="129"/>
              <w:spacing w:before="137" w:line="220" w:lineRule="auto"/>
              <w:rPr>
                <w:sz w:val="16"/>
                <w:szCs w:val="16"/>
              </w:rPr>
            </w:pPr>
            <w:r>
              <w:rPr>
                <w:sz w:val="16"/>
                <w:szCs w:val="16"/>
                <w:spacing w:val="4"/>
              </w:rPr>
              <w:t>2019年7月</w:t>
            </w:r>
            <w:r>
              <w:rPr>
                <w:sz w:val="16"/>
                <w:szCs w:val="16"/>
                <w:spacing w:val="3"/>
              </w:rPr>
              <w:t xml:space="preserve"> </w:t>
            </w:r>
            <w:r>
              <w:rPr>
                <w:sz w:val="16"/>
                <w:szCs w:val="16"/>
                <w:spacing w:val="2"/>
              </w:rPr>
              <w:t>1日起</w:t>
            </w:r>
          </w:p>
        </w:tc>
        <w:tc>
          <w:tcPr>
            <w:tcW w:w="829" w:type="dxa"/>
            <w:vAlign w:val="top"/>
          </w:tcPr>
          <w:p>
            <w:pPr>
              <w:pStyle w:val="TableText"/>
              <w:ind w:left="18"/>
              <w:spacing w:before="127" w:line="219" w:lineRule="auto"/>
              <w:rPr>
                <w:sz w:val="16"/>
                <w:szCs w:val="16"/>
              </w:rPr>
            </w:pPr>
            <w:r>
              <w:rPr>
                <w:sz w:val="16"/>
                <w:szCs w:val="16"/>
                <w:spacing w:val="-3"/>
              </w:rPr>
              <w:t>收费对象</w:t>
            </w:r>
          </w:p>
        </w:tc>
        <w:tc>
          <w:tcPr>
            <w:tcW w:w="1029" w:type="dxa"/>
            <w:vAlign w:val="top"/>
          </w:tcPr>
          <w:p>
            <w:pPr>
              <w:pStyle w:val="TableText"/>
              <w:ind w:left="29"/>
              <w:spacing w:before="136" w:line="219" w:lineRule="auto"/>
              <w:rPr>
                <w:sz w:val="16"/>
                <w:szCs w:val="16"/>
              </w:rPr>
            </w:pPr>
            <w:r>
              <w:rPr>
                <w:sz w:val="16"/>
                <w:szCs w:val="16"/>
                <w:spacing w:val="-1"/>
              </w:rPr>
              <w:t>政府性基金</w:t>
            </w:r>
          </w:p>
        </w:tc>
        <w:tc>
          <w:tcPr>
            <w:tcW w:w="464" w:type="dxa"/>
            <w:vAlign w:val="top"/>
          </w:tcPr>
          <w:p>
            <w:pPr>
              <w:pStyle w:val="TableText"/>
              <w:ind w:left="70" w:right="53"/>
              <w:spacing w:before="118" w:line="227" w:lineRule="auto"/>
              <w:jc w:val="both"/>
              <w:rPr>
                <w:sz w:val="16"/>
                <w:szCs w:val="16"/>
              </w:rPr>
            </w:pPr>
            <w:r>
              <w:rPr>
                <w:sz w:val="16"/>
                <w:szCs w:val="16"/>
                <w:spacing w:val="5"/>
              </w:rPr>
              <w:t>降低</w:t>
            </w:r>
            <w:r>
              <w:rPr>
                <w:sz w:val="16"/>
                <w:szCs w:val="16"/>
              </w:rPr>
              <w:t xml:space="preserve"> </w:t>
            </w:r>
            <w:r>
              <w:rPr>
                <w:sz w:val="16"/>
                <w:szCs w:val="16"/>
                <w:spacing w:val="-5"/>
              </w:rPr>
              <w:t>征收</w:t>
            </w:r>
            <w:r>
              <w:rPr>
                <w:sz w:val="16"/>
                <w:szCs w:val="16"/>
              </w:rPr>
              <w:t xml:space="preserve"> </w:t>
            </w:r>
            <w:r>
              <w:rPr>
                <w:sz w:val="16"/>
                <w:szCs w:val="16"/>
                <w:spacing w:val="-2"/>
              </w:rPr>
              <w:t>标准</w:t>
            </w:r>
          </w:p>
        </w:tc>
      </w:tr>
      <w:tr>
        <w:trPr>
          <w:trHeight w:val="1986" w:hRule="atLeast"/>
        </w:trPr>
        <w:tc>
          <w:tcPr>
            <w:tcW w:w="284" w:type="dxa"/>
            <w:vAlign w:val="top"/>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94"/>
              <w:spacing w:before="52" w:line="183" w:lineRule="auto"/>
              <w:rPr>
                <w:sz w:val="16"/>
                <w:szCs w:val="16"/>
              </w:rPr>
            </w:pPr>
            <w:r>
              <w:rPr>
                <w:sz w:val="16"/>
                <w:szCs w:val="16"/>
              </w:rPr>
              <w:t>6</w:t>
            </w:r>
          </w:p>
        </w:tc>
        <w:tc>
          <w:tcPr>
            <w:tcW w:w="3956" w:type="dxa"/>
            <w:vAlign w:val="top"/>
          </w:tcPr>
          <w:p>
            <w:pPr>
              <w:pStyle w:val="TableText"/>
              <w:ind w:left="11"/>
              <w:spacing w:before="131" w:line="219" w:lineRule="auto"/>
              <w:rPr>
                <w:sz w:val="16"/>
                <w:szCs w:val="16"/>
              </w:rPr>
            </w:pPr>
            <w:r>
              <w:rPr>
                <w:sz w:val="16"/>
                <w:szCs w:val="16"/>
                <w:spacing w:val="-1"/>
              </w:rPr>
              <w:t>一、自2019年7月1日至2024年12月31日，对归属中央</w:t>
            </w:r>
          </w:p>
          <w:p>
            <w:pPr>
              <w:pStyle w:val="TableText"/>
              <w:ind w:left="11" w:right="26"/>
              <w:spacing w:before="9" w:line="214" w:lineRule="auto"/>
              <w:rPr>
                <w:sz w:val="16"/>
                <w:szCs w:val="16"/>
              </w:rPr>
            </w:pPr>
            <w:r>
              <w:rPr>
                <w:sz w:val="16"/>
                <w:szCs w:val="16"/>
                <w:spacing w:val="-1"/>
              </w:rPr>
              <w:t>收入的文化事业建设费，按照缴纳义务人应缴费额的50%</w:t>
            </w:r>
            <w:r>
              <w:rPr>
                <w:sz w:val="16"/>
                <w:szCs w:val="16"/>
                <w:spacing w:val="13"/>
              </w:rPr>
              <w:t xml:space="preserve"> </w:t>
            </w:r>
            <w:r>
              <w:rPr>
                <w:sz w:val="16"/>
                <w:szCs w:val="16"/>
                <w:spacing w:val="-1"/>
              </w:rPr>
              <w:t>减征。</w:t>
            </w:r>
          </w:p>
          <w:p>
            <w:pPr>
              <w:pStyle w:val="TableText"/>
              <w:ind w:left="31" w:right="63" w:firstLine="20"/>
              <w:spacing w:before="30" w:line="219" w:lineRule="auto"/>
              <w:rPr>
                <w:sz w:val="16"/>
                <w:szCs w:val="16"/>
              </w:rPr>
            </w:pPr>
            <w:r>
              <w:rPr>
                <w:sz w:val="16"/>
                <w:szCs w:val="16"/>
                <w:spacing w:val="-1"/>
              </w:rPr>
              <w:t>二、2019年7月1日起，将国家重大水利工程建设基金征</w:t>
            </w:r>
            <w:r>
              <w:rPr>
                <w:sz w:val="16"/>
                <w:szCs w:val="16"/>
                <w:spacing w:val="17"/>
              </w:rPr>
              <w:t xml:space="preserve"> </w:t>
            </w:r>
            <w:r>
              <w:rPr>
                <w:sz w:val="16"/>
                <w:szCs w:val="16"/>
              </w:rPr>
              <w:t>收标准降低50%。</w:t>
            </w:r>
          </w:p>
          <w:p>
            <w:pPr>
              <w:pStyle w:val="TableText"/>
              <w:ind w:left="11" w:firstLine="39"/>
              <w:spacing w:before="8" w:line="228" w:lineRule="auto"/>
              <w:jc w:val="both"/>
              <w:rPr>
                <w:sz w:val="16"/>
                <w:szCs w:val="16"/>
              </w:rPr>
            </w:pPr>
            <w:r>
              <w:rPr>
                <w:sz w:val="16"/>
                <w:szCs w:val="16"/>
                <w:spacing w:val="-1"/>
              </w:rPr>
              <w:t>三、自2019年1月1日起，纳入产教融合型企业建设培育</w:t>
            </w:r>
            <w:r>
              <w:rPr>
                <w:sz w:val="16"/>
                <w:szCs w:val="16"/>
                <w:spacing w:val="6"/>
              </w:rPr>
              <w:t xml:space="preserve">  </w:t>
            </w:r>
            <w:r>
              <w:rPr>
                <w:sz w:val="16"/>
                <w:szCs w:val="16"/>
                <w:spacing w:val="-3"/>
              </w:rPr>
              <w:t>范围的试点企业，兴办职业教育的投资符合本通知规定的</w:t>
            </w:r>
            <w:r>
              <w:rPr>
                <w:sz w:val="16"/>
                <w:szCs w:val="16"/>
                <w:spacing w:val="8"/>
              </w:rPr>
              <w:t xml:space="preserve"> </w:t>
            </w:r>
            <w:r>
              <w:rPr>
                <w:sz w:val="16"/>
                <w:szCs w:val="16"/>
                <w:spacing w:val="-1"/>
              </w:rPr>
              <w:t>可按投资额的30%比例，抵免该企业当年应缴教育费附加</w:t>
            </w:r>
            <w:r>
              <w:rPr>
                <w:sz w:val="16"/>
                <w:szCs w:val="16"/>
                <w:spacing w:val="10"/>
              </w:rPr>
              <w:t xml:space="preserve"> </w:t>
            </w:r>
            <w:r>
              <w:rPr>
                <w:sz w:val="16"/>
                <w:szCs w:val="16"/>
                <w:spacing w:val="2"/>
              </w:rPr>
              <w:t>和地方教育附加。</w:t>
            </w:r>
          </w:p>
        </w:tc>
        <w:tc>
          <w:tcPr>
            <w:tcW w:w="2158" w:type="dxa"/>
            <w:vAlign w:val="top"/>
          </w:tcPr>
          <w:p>
            <w:pPr>
              <w:pStyle w:val="TableText"/>
              <w:ind w:left="114" w:right="39" w:hanging="80"/>
              <w:spacing w:before="130" w:line="215" w:lineRule="auto"/>
              <w:rPr>
                <w:sz w:val="16"/>
                <w:szCs w:val="16"/>
              </w:rPr>
            </w:pPr>
            <w:r>
              <w:rPr>
                <w:sz w:val="16"/>
                <w:szCs w:val="16"/>
                <w:spacing w:val="-1"/>
              </w:rPr>
              <w:t>财政部《关于调整部分政府性</w:t>
            </w:r>
            <w:r>
              <w:rPr>
                <w:sz w:val="16"/>
                <w:szCs w:val="16"/>
                <w:spacing w:val="5"/>
              </w:rPr>
              <w:t xml:space="preserve"> </w:t>
            </w:r>
            <w:r>
              <w:rPr>
                <w:sz w:val="16"/>
                <w:szCs w:val="16"/>
                <w:spacing w:val="-1"/>
              </w:rPr>
              <w:t>基金有关政策的通知》财税</w:t>
            </w:r>
          </w:p>
          <w:p>
            <w:pPr>
              <w:pStyle w:val="TableText"/>
              <w:ind w:left="15"/>
              <w:spacing w:before="29" w:line="221" w:lineRule="auto"/>
              <w:rPr>
                <w:sz w:val="16"/>
                <w:szCs w:val="16"/>
              </w:rPr>
            </w:pPr>
            <w:r>
              <w:rPr>
                <w:sz w:val="16"/>
                <w:szCs w:val="16"/>
                <w:spacing w:val="8"/>
              </w:rPr>
              <w:t>〔2019〕46号</w:t>
            </w:r>
          </w:p>
        </w:tc>
        <w:tc>
          <w:tcPr>
            <w:tcW w:w="909" w:type="dxa"/>
            <w:vAlign w:val="top"/>
          </w:tcPr>
          <w:p>
            <w:pPr>
              <w:pStyle w:val="TableText"/>
              <w:ind w:left="16" w:right="25" w:firstLine="30"/>
              <w:spacing w:before="130" w:line="214" w:lineRule="auto"/>
              <w:rPr>
                <w:sz w:val="16"/>
                <w:szCs w:val="16"/>
              </w:rPr>
            </w:pPr>
            <w:r>
              <w:rPr>
                <w:sz w:val="16"/>
                <w:szCs w:val="16"/>
                <w:spacing w:val="-14"/>
              </w:rPr>
              <w:t>自</w:t>
            </w:r>
            <w:r>
              <w:rPr>
                <w:sz w:val="16"/>
                <w:szCs w:val="16"/>
                <w:spacing w:val="-25"/>
              </w:rPr>
              <w:t xml:space="preserve"> </w:t>
            </w:r>
            <w:r>
              <w:rPr>
                <w:sz w:val="16"/>
                <w:szCs w:val="16"/>
                <w:spacing w:val="-14"/>
              </w:rPr>
              <w:t>2</w:t>
            </w:r>
            <w:r>
              <w:rPr>
                <w:sz w:val="16"/>
                <w:szCs w:val="16"/>
                <w:spacing w:val="-29"/>
              </w:rPr>
              <w:t xml:space="preserve"> </w:t>
            </w:r>
            <w:r>
              <w:rPr>
                <w:sz w:val="16"/>
                <w:szCs w:val="16"/>
                <w:spacing w:val="-14"/>
              </w:rPr>
              <w:t>0</w:t>
            </w:r>
            <w:r>
              <w:rPr>
                <w:sz w:val="16"/>
                <w:szCs w:val="16"/>
                <w:spacing w:val="-18"/>
              </w:rPr>
              <w:t xml:space="preserve"> </w:t>
            </w:r>
            <w:r>
              <w:rPr>
                <w:sz w:val="16"/>
                <w:szCs w:val="16"/>
                <w:spacing w:val="-14"/>
              </w:rPr>
              <w:t>1</w:t>
            </w:r>
            <w:r>
              <w:rPr>
                <w:sz w:val="16"/>
                <w:szCs w:val="16"/>
                <w:spacing w:val="-29"/>
              </w:rPr>
              <w:t xml:space="preserve"> </w:t>
            </w:r>
            <w:r>
              <w:rPr>
                <w:sz w:val="16"/>
                <w:szCs w:val="16"/>
                <w:spacing w:val="-14"/>
              </w:rPr>
              <w:t>9</w:t>
            </w:r>
            <w:r>
              <w:rPr>
                <w:sz w:val="16"/>
                <w:szCs w:val="16"/>
                <w:spacing w:val="-30"/>
              </w:rPr>
              <w:t xml:space="preserve"> </w:t>
            </w:r>
            <w:r>
              <w:rPr>
                <w:sz w:val="16"/>
                <w:szCs w:val="16"/>
                <w:spacing w:val="-14"/>
              </w:rPr>
              <w:t>年</w:t>
            </w:r>
            <w:r>
              <w:rPr>
                <w:sz w:val="16"/>
                <w:szCs w:val="16"/>
              </w:rPr>
              <w:t xml:space="preserve"> </w:t>
            </w:r>
            <w:r>
              <w:rPr>
                <w:sz w:val="16"/>
                <w:szCs w:val="16"/>
                <w:spacing w:val="-3"/>
              </w:rPr>
              <w:t>7月1日</w:t>
            </w:r>
            <w:r>
              <w:rPr>
                <w:sz w:val="16"/>
                <w:szCs w:val="16"/>
                <w:spacing w:val="11"/>
              </w:rPr>
              <w:t xml:space="preserve"> </w:t>
            </w:r>
            <w:r>
              <w:rPr>
                <w:sz w:val="16"/>
                <w:szCs w:val="16"/>
                <w:spacing w:val="-3"/>
              </w:rPr>
              <w:t>至</w:t>
            </w:r>
          </w:p>
          <w:p>
            <w:pPr>
              <w:pStyle w:val="TableText"/>
              <w:ind w:left="16" w:right="32"/>
              <w:spacing w:before="29" w:line="225" w:lineRule="auto"/>
              <w:rPr>
                <w:sz w:val="16"/>
                <w:szCs w:val="16"/>
              </w:rPr>
            </w:pPr>
            <w:r>
              <w:rPr>
                <w:sz w:val="16"/>
                <w:szCs w:val="16"/>
                <w:spacing w:val="17"/>
                <w:w w:val="114"/>
              </w:rPr>
              <w:t>2024年12</w:t>
            </w:r>
            <w:r>
              <w:rPr>
                <w:sz w:val="16"/>
                <w:szCs w:val="16"/>
              </w:rPr>
              <w:t xml:space="preserve"> </w:t>
            </w:r>
            <w:r>
              <w:rPr>
                <w:sz w:val="16"/>
                <w:szCs w:val="16"/>
                <w:spacing w:val="7"/>
              </w:rPr>
              <w:t>月31日</w:t>
            </w:r>
          </w:p>
        </w:tc>
        <w:tc>
          <w:tcPr>
            <w:tcW w:w="829" w:type="dxa"/>
            <w:vAlign w:val="top"/>
          </w:tcPr>
          <w:p>
            <w:pPr>
              <w:pStyle w:val="TableText"/>
              <w:ind w:left="18"/>
              <w:spacing w:before="121" w:line="219" w:lineRule="auto"/>
              <w:rPr>
                <w:sz w:val="16"/>
                <w:szCs w:val="16"/>
              </w:rPr>
            </w:pPr>
            <w:r>
              <w:rPr>
                <w:sz w:val="16"/>
                <w:szCs w:val="16"/>
                <w:spacing w:val="-3"/>
              </w:rPr>
              <w:t>收费对象</w:t>
            </w:r>
          </w:p>
        </w:tc>
        <w:tc>
          <w:tcPr>
            <w:tcW w:w="1029" w:type="dxa"/>
            <w:vAlign w:val="top"/>
          </w:tcPr>
          <w:p>
            <w:pPr>
              <w:pStyle w:val="TableText"/>
              <w:ind w:left="29" w:right="18" w:firstLine="20"/>
              <w:spacing w:before="121" w:line="226" w:lineRule="auto"/>
              <w:rPr>
                <w:sz w:val="16"/>
                <w:szCs w:val="16"/>
              </w:rPr>
            </w:pPr>
            <w:r>
              <w:rPr>
                <w:sz w:val="16"/>
                <w:szCs w:val="16"/>
                <w:spacing w:val="-2"/>
              </w:rPr>
              <w:t>部分政府性基</w:t>
            </w:r>
            <w:r>
              <w:rPr>
                <w:sz w:val="16"/>
                <w:szCs w:val="16"/>
                <w:spacing w:val="2"/>
              </w:rPr>
              <w:t xml:space="preserve"> </w:t>
            </w:r>
            <w:r>
              <w:rPr>
                <w:sz w:val="16"/>
                <w:szCs w:val="16"/>
              </w:rPr>
              <w:t>金</w:t>
            </w:r>
          </w:p>
        </w:tc>
        <w:tc>
          <w:tcPr>
            <w:tcW w:w="464" w:type="dxa"/>
            <w:vAlign w:val="top"/>
          </w:tcPr>
          <w:p>
            <w:pPr>
              <w:pStyle w:val="TableText"/>
              <w:ind w:left="70" w:right="53"/>
              <w:spacing w:before="112" w:line="227" w:lineRule="auto"/>
              <w:jc w:val="both"/>
              <w:rPr>
                <w:sz w:val="16"/>
                <w:szCs w:val="16"/>
              </w:rPr>
            </w:pPr>
            <w:r>
              <w:rPr>
                <w:sz w:val="16"/>
                <w:szCs w:val="16"/>
                <w:spacing w:val="5"/>
              </w:rPr>
              <w:t>降低</w:t>
            </w:r>
            <w:r>
              <w:rPr>
                <w:sz w:val="16"/>
                <w:szCs w:val="16"/>
              </w:rPr>
              <w:t xml:space="preserve"> </w:t>
            </w:r>
            <w:r>
              <w:rPr>
                <w:sz w:val="16"/>
                <w:szCs w:val="16"/>
                <w:spacing w:val="-5"/>
              </w:rPr>
              <w:t>征收</w:t>
            </w:r>
            <w:r>
              <w:rPr>
                <w:sz w:val="16"/>
                <w:szCs w:val="16"/>
              </w:rPr>
              <w:t xml:space="preserve"> </w:t>
            </w:r>
            <w:r>
              <w:rPr>
                <w:sz w:val="16"/>
                <w:szCs w:val="16"/>
                <w:spacing w:val="-2"/>
              </w:rPr>
              <w:t>标准</w:t>
            </w:r>
          </w:p>
        </w:tc>
      </w:tr>
      <w:tr>
        <w:trPr>
          <w:trHeight w:val="1193" w:hRule="atLeast"/>
        </w:trPr>
        <w:tc>
          <w:tcPr>
            <w:tcW w:w="284" w:type="dxa"/>
            <w:vAlign w:val="top"/>
          </w:tcPr>
          <w:p>
            <w:pPr>
              <w:spacing w:line="256" w:lineRule="auto"/>
              <w:rPr>
                <w:rFonts w:ascii="Arial"/>
                <w:sz w:val="21"/>
              </w:rPr>
            </w:pPr>
            <w:r/>
          </w:p>
          <w:p>
            <w:pPr>
              <w:spacing w:line="256" w:lineRule="auto"/>
              <w:rPr>
                <w:rFonts w:ascii="Arial"/>
                <w:sz w:val="21"/>
              </w:rPr>
            </w:pPr>
            <w:r/>
          </w:p>
          <w:p>
            <w:pPr>
              <w:pStyle w:val="TableText"/>
              <w:ind w:left="94"/>
              <w:spacing w:before="52" w:line="182" w:lineRule="auto"/>
              <w:rPr>
                <w:sz w:val="16"/>
                <w:szCs w:val="16"/>
              </w:rPr>
            </w:pPr>
            <w:r>
              <w:rPr>
                <w:sz w:val="16"/>
                <w:szCs w:val="16"/>
              </w:rPr>
              <w:t>7</w:t>
            </w:r>
          </w:p>
        </w:tc>
        <w:tc>
          <w:tcPr>
            <w:tcW w:w="3956" w:type="dxa"/>
            <w:vAlign w:val="top"/>
          </w:tcPr>
          <w:p>
            <w:pPr>
              <w:pStyle w:val="TableText"/>
              <w:ind w:left="11"/>
              <w:spacing w:before="136" w:line="228" w:lineRule="auto"/>
              <w:jc w:val="both"/>
              <w:rPr>
                <w:sz w:val="16"/>
                <w:szCs w:val="16"/>
              </w:rPr>
            </w:pPr>
            <w:r>
              <w:rPr>
                <w:sz w:val="16"/>
                <w:szCs w:val="16"/>
                <w:spacing w:val="-9"/>
              </w:rPr>
              <w:t>将残疾人就业保障金征收标准上限，由当地社会平均工资的</w:t>
            </w:r>
            <w:r>
              <w:rPr>
                <w:sz w:val="16"/>
                <w:szCs w:val="16"/>
                <w:spacing w:val="7"/>
              </w:rPr>
              <w:t xml:space="preserve"> </w:t>
            </w:r>
            <w:r>
              <w:rPr>
                <w:sz w:val="16"/>
                <w:szCs w:val="16"/>
                <w:spacing w:val="-3"/>
              </w:rPr>
              <w:t>3倍降低至2倍。其中，用人单位在职职工平均工资未超过</w:t>
            </w:r>
            <w:r>
              <w:rPr>
                <w:sz w:val="16"/>
                <w:szCs w:val="16"/>
                <w:spacing w:val="6"/>
              </w:rPr>
              <w:t xml:space="preserve"> </w:t>
            </w:r>
            <w:r>
              <w:rPr>
                <w:sz w:val="16"/>
                <w:szCs w:val="16"/>
              </w:rPr>
              <w:t>当地社会平均工资2倍(含)的，按用人单位在职职工年平 </w:t>
            </w:r>
            <w:r>
              <w:rPr>
                <w:sz w:val="16"/>
                <w:szCs w:val="16"/>
                <w:spacing w:val="-6"/>
              </w:rPr>
              <w:t>均工资计征残疾人就业保障金；超过当地社会平均工资2倍</w:t>
            </w:r>
            <w:r>
              <w:rPr>
                <w:sz w:val="16"/>
                <w:szCs w:val="16"/>
                <w:spacing w:val="4"/>
              </w:rPr>
              <w:t xml:space="preserve"> </w:t>
            </w:r>
            <w:r>
              <w:rPr>
                <w:sz w:val="16"/>
                <w:szCs w:val="16"/>
              </w:rPr>
              <w:t>的，按当地社会平均工资2倍计征残疾人就业保障金</w:t>
            </w:r>
          </w:p>
        </w:tc>
        <w:tc>
          <w:tcPr>
            <w:tcW w:w="2158" w:type="dxa"/>
            <w:vAlign w:val="top"/>
          </w:tcPr>
          <w:p>
            <w:pPr>
              <w:pStyle w:val="TableText"/>
              <w:ind w:left="34" w:right="33"/>
              <w:spacing w:before="135" w:line="224" w:lineRule="auto"/>
              <w:jc w:val="both"/>
              <w:rPr>
                <w:sz w:val="16"/>
                <w:szCs w:val="16"/>
              </w:rPr>
            </w:pPr>
            <w:r>
              <w:rPr>
                <w:sz w:val="16"/>
                <w:szCs w:val="16"/>
                <w:spacing w:val="-1"/>
              </w:rPr>
              <w:t>财政部《关于降低部分政府性</w:t>
            </w:r>
            <w:r>
              <w:rPr>
                <w:sz w:val="16"/>
                <w:szCs w:val="16"/>
                <w:spacing w:val="5"/>
              </w:rPr>
              <w:t xml:space="preserve"> </w:t>
            </w:r>
            <w:r>
              <w:rPr>
                <w:sz w:val="16"/>
                <w:szCs w:val="16"/>
              </w:rPr>
              <w:t>基金征收标准的通知》财税〔 </w:t>
            </w:r>
            <w:r>
              <w:rPr>
                <w:sz w:val="16"/>
                <w:szCs w:val="16"/>
                <w:spacing w:val="-1"/>
              </w:rPr>
              <w:t>2018〕39号</w:t>
            </w:r>
          </w:p>
        </w:tc>
        <w:tc>
          <w:tcPr>
            <w:tcW w:w="909" w:type="dxa"/>
            <w:vAlign w:val="top"/>
          </w:tcPr>
          <w:p>
            <w:pPr>
              <w:pStyle w:val="TableText"/>
              <w:ind w:left="16" w:right="129"/>
              <w:spacing w:before="135" w:line="220" w:lineRule="auto"/>
              <w:rPr>
                <w:sz w:val="16"/>
                <w:szCs w:val="16"/>
              </w:rPr>
            </w:pPr>
            <w:r>
              <w:rPr>
                <w:sz w:val="16"/>
                <w:szCs w:val="16"/>
                <w:spacing w:val="4"/>
              </w:rPr>
              <w:t>2018年4月</w:t>
            </w:r>
            <w:r>
              <w:rPr>
                <w:sz w:val="16"/>
                <w:szCs w:val="16"/>
                <w:spacing w:val="3"/>
              </w:rPr>
              <w:t xml:space="preserve"> </w:t>
            </w:r>
            <w:r>
              <w:rPr>
                <w:sz w:val="16"/>
                <w:szCs w:val="16"/>
                <w:spacing w:val="2"/>
              </w:rPr>
              <w:t>1日起</w:t>
            </w:r>
          </w:p>
        </w:tc>
        <w:tc>
          <w:tcPr>
            <w:tcW w:w="829" w:type="dxa"/>
            <w:vAlign w:val="top"/>
          </w:tcPr>
          <w:p>
            <w:pPr>
              <w:pStyle w:val="TableText"/>
              <w:ind w:left="18"/>
              <w:spacing w:before="125" w:line="219" w:lineRule="auto"/>
              <w:rPr>
                <w:sz w:val="16"/>
                <w:szCs w:val="16"/>
              </w:rPr>
            </w:pPr>
            <w:r>
              <w:rPr>
                <w:sz w:val="16"/>
                <w:szCs w:val="16"/>
                <w:spacing w:val="-3"/>
              </w:rPr>
              <w:t>收费对象</w:t>
            </w:r>
          </w:p>
        </w:tc>
        <w:tc>
          <w:tcPr>
            <w:tcW w:w="1029" w:type="dxa"/>
            <w:vAlign w:val="top"/>
          </w:tcPr>
          <w:p>
            <w:pPr>
              <w:pStyle w:val="TableText"/>
              <w:ind w:left="29"/>
              <w:spacing w:before="124" w:line="219" w:lineRule="auto"/>
              <w:rPr>
                <w:sz w:val="16"/>
                <w:szCs w:val="16"/>
              </w:rPr>
            </w:pPr>
            <w:r>
              <w:rPr>
                <w:sz w:val="16"/>
                <w:szCs w:val="16"/>
                <w:spacing w:val="-1"/>
              </w:rPr>
              <w:t>政府性基金</w:t>
            </w:r>
          </w:p>
        </w:tc>
        <w:tc>
          <w:tcPr>
            <w:tcW w:w="464" w:type="dxa"/>
            <w:vAlign w:val="top"/>
          </w:tcPr>
          <w:p>
            <w:pPr>
              <w:pStyle w:val="TableText"/>
              <w:ind w:left="70" w:right="53"/>
              <w:spacing w:before="116" w:line="228" w:lineRule="auto"/>
              <w:jc w:val="both"/>
              <w:rPr>
                <w:sz w:val="16"/>
                <w:szCs w:val="16"/>
              </w:rPr>
            </w:pPr>
            <w:r>
              <w:rPr>
                <w:sz w:val="16"/>
                <w:szCs w:val="16"/>
                <w:spacing w:val="5"/>
              </w:rPr>
              <w:t>降低</w:t>
            </w:r>
            <w:r>
              <w:rPr>
                <w:sz w:val="16"/>
                <w:szCs w:val="16"/>
              </w:rPr>
              <w:t xml:space="preserve"> </w:t>
            </w:r>
            <w:r>
              <w:rPr>
                <w:sz w:val="16"/>
                <w:szCs w:val="16"/>
                <w:spacing w:val="-5"/>
              </w:rPr>
              <w:t>征收</w:t>
            </w:r>
            <w:r>
              <w:rPr>
                <w:sz w:val="16"/>
                <w:szCs w:val="16"/>
              </w:rPr>
              <w:t xml:space="preserve"> </w:t>
            </w:r>
            <w:r>
              <w:rPr>
                <w:sz w:val="16"/>
                <w:szCs w:val="16"/>
                <w:spacing w:val="-4"/>
              </w:rPr>
              <w:t>标准</w:t>
            </w:r>
            <w:r>
              <w:rPr>
                <w:sz w:val="16"/>
                <w:szCs w:val="16"/>
              </w:rPr>
              <w:t xml:space="preserve"> </w:t>
            </w:r>
            <w:r>
              <w:rPr>
                <w:sz w:val="16"/>
                <w:szCs w:val="16"/>
                <w:spacing w:val="-2"/>
              </w:rPr>
              <w:t>上限</w:t>
            </w:r>
          </w:p>
        </w:tc>
      </w:tr>
    </w:tbl>
    <w:p>
      <w:pPr>
        <w:pStyle w:val="BodyText"/>
        <w:rPr/>
      </w:pPr>
      <w:r/>
    </w:p>
    <w:p>
      <w:pPr>
        <w:sectPr>
          <w:pgSz w:w="11910" w:h="8220"/>
          <w:pgMar w:top="400" w:right="1145" w:bottom="400" w:left="809" w:header="0" w:footer="0" w:gutter="0"/>
        </w:sectPr>
        <w:rPr/>
      </w:pPr>
    </w:p>
    <w:p>
      <w:pPr>
        <w:spacing w:before="16"/>
        <w:rPr/>
      </w:pPr>
      <w:r>
        <w:pict>
          <v:shape id="_x0000_s2" style="position:absolute;margin-left:38.9997pt;margin-top:53.3525pt;mso-position-vertical-relative:page;mso-position-horizontal-relative:page;width:7.25pt;height:8.8pt;z-index:251659264;" o:allowincell="f" filled="false" stroked="false" type="#_x0000_t202">
            <v:fill on="false"/>
            <v:stroke on="false"/>
            <v:path/>
            <v:imagedata o:title=""/>
            <o:lock v:ext="edit" aspectratio="false"/>
            <v:textbox inset="0mm,0mm,0mm,0mm">
              <w:txbxContent>
                <w:p>
                  <w:pPr>
                    <w:ind w:left="20"/>
                    <w:spacing w:before="19" w:line="227" w:lineRule="auto"/>
                    <w:rPr>
                      <w:rFonts w:ascii="SimHei" w:hAnsi="SimHei" w:eastAsia="SimHei" w:cs="SimHei"/>
                      <w:sz w:val="11"/>
                      <w:szCs w:val="11"/>
                    </w:rPr>
                  </w:pPr>
                  <w:r>
                    <w:rPr>
                      <w:rFonts w:ascii="SimHei" w:hAnsi="SimHei" w:eastAsia="SimHei" w:cs="SimHei"/>
                      <w:sz w:val="11"/>
                      <w:szCs w:val="11"/>
                    </w:rPr>
                    <w:t>十</w:t>
                  </w:r>
                </w:p>
              </w:txbxContent>
            </v:textbox>
          </v:shape>
        </w:pict>
      </w:r>
      <w:r/>
    </w:p>
    <w:p>
      <w:pPr>
        <w:spacing w:before="1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48"/>
        <w:gridCol w:w="889"/>
        <w:gridCol w:w="84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48" w:type="dxa"/>
            <w:vAlign w:val="top"/>
          </w:tcPr>
          <w:p>
            <w:pPr>
              <w:pStyle w:val="TableText"/>
              <w:ind w:left="764"/>
              <w:spacing w:before="180" w:line="219" w:lineRule="auto"/>
              <w:rPr/>
            </w:pPr>
            <w:r>
              <w:rPr>
                <w:spacing w:val="-1"/>
              </w:rPr>
              <w:t>政策依据</w:t>
            </w:r>
          </w:p>
        </w:tc>
        <w:tc>
          <w:tcPr>
            <w:tcW w:w="889" w:type="dxa"/>
            <w:vAlign w:val="top"/>
          </w:tcPr>
          <w:p>
            <w:pPr>
              <w:pStyle w:val="TableText"/>
              <w:ind w:left="157"/>
              <w:spacing w:before="181" w:line="219" w:lineRule="auto"/>
              <w:rPr/>
            </w:pPr>
            <w:r>
              <w:rPr>
                <w:spacing w:val="3"/>
              </w:rPr>
              <w:t>执行时间</w:t>
            </w:r>
          </w:p>
        </w:tc>
        <w:tc>
          <w:tcPr>
            <w:tcW w:w="849" w:type="dxa"/>
            <w:vAlign w:val="top"/>
          </w:tcPr>
          <w:p>
            <w:pPr>
              <w:pStyle w:val="TableText"/>
              <w:ind w:left="267" w:right="123" w:hanging="140"/>
              <w:spacing w:before="8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438" w:hRule="atLeast"/>
        </w:trPr>
        <w:tc>
          <w:tcPr>
            <w:tcW w:w="284" w:type="dxa"/>
            <w:vAlign w:val="top"/>
          </w:tcPr>
          <w:p>
            <w:pPr>
              <w:spacing w:line="316" w:lineRule="auto"/>
              <w:rPr>
                <w:rFonts w:ascii="Arial"/>
                <w:sz w:val="21"/>
              </w:rPr>
            </w:pPr>
            <w:r/>
          </w:p>
          <w:p>
            <w:pPr>
              <w:spacing w:line="317" w:lineRule="auto"/>
              <w:rPr>
                <w:rFonts w:ascii="Arial"/>
                <w:sz w:val="21"/>
              </w:rPr>
            </w:pPr>
            <w:r/>
          </w:p>
          <w:p>
            <w:pPr>
              <w:pStyle w:val="TableText"/>
              <w:ind w:left="94"/>
              <w:spacing w:before="49" w:line="183" w:lineRule="auto"/>
              <w:rPr/>
            </w:pPr>
            <w:r>
              <w:rPr/>
              <w:t>8</w:t>
            </w:r>
          </w:p>
        </w:tc>
        <w:tc>
          <w:tcPr>
            <w:tcW w:w="3976" w:type="dxa"/>
            <w:vAlign w:val="top"/>
          </w:tcPr>
          <w:p>
            <w:pPr>
              <w:pStyle w:val="TableText"/>
              <w:ind w:left="31" w:right="39"/>
              <w:spacing w:before="67" w:line="241" w:lineRule="auto"/>
              <w:jc w:val="both"/>
              <w:rPr/>
            </w:pPr>
            <w:r>
              <w:rPr/>
              <w:t>将国家重大水利工程建设基金征收标准，在按</w:t>
            </w:r>
            <w:r>
              <w:rPr>
                <w:spacing w:val="-1"/>
              </w:rPr>
              <w:t>照《财政部关</w:t>
            </w:r>
            <w:r>
              <w:rPr/>
              <w:t xml:space="preserve"> </w:t>
            </w:r>
            <w:r>
              <w:rPr>
                <w:spacing w:val="-1"/>
              </w:rPr>
              <w:t>于降低国家重大水利工程建设基金和大中型水库移民后期扶</w:t>
            </w:r>
            <w:r>
              <w:rPr>
                <w:spacing w:val="16"/>
              </w:rPr>
              <w:t xml:space="preserve"> </w:t>
            </w:r>
            <w:r>
              <w:rPr/>
              <w:t>持基金征收标准的通知》(财税〔2017〕51号)降低25%</w:t>
            </w:r>
          </w:p>
          <w:p>
            <w:pPr>
              <w:pStyle w:val="TableText"/>
              <w:ind w:left="41" w:right="109" w:firstLine="59"/>
              <w:spacing w:before="1" w:line="245" w:lineRule="auto"/>
              <w:rPr/>
            </w:pPr>
            <w:r>
              <w:rPr/>
              <w:t>的基础上，再统一降低25%。调整后的征收标准=按照《财</w:t>
            </w:r>
            <w:r>
              <w:rPr>
                <w:spacing w:val="4"/>
              </w:rPr>
              <w:t xml:space="preserve"> </w:t>
            </w:r>
            <w:r>
              <w:rPr>
                <w:spacing w:val="-1"/>
              </w:rPr>
              <w:t>政部国家发展改革委水利部关于印发&lt;国家重大水利工程</w:t>
            </w:r>
          </w:p>
          <w:p>
            <w:pPr>
              <w:pStyle w:val="TableText"/>
              <w:ind w:left="21" w:right="39" w:firstLine="79"/>
              <w:spacing w:before="21" w:line="216" w:lineRule="auto"/>
              <w:rPr/>
            </w:pPr>
            <w:r>
              <w:rPr>
                <w:spacing w:val="2"/>
              </w:rPr>
              <w:t>建设基金征收使用管理暂行办法&gt;的通知》(财综〔2009〕</w:t>
            </w:r>
            <w:r>
              <w:rPr>
                <w:spacing w:val="18"/>
              </w:rPr>
              <w:t xml:space="preserve"> </w:t>
            </w:r>
            <w:r>
              <w:rPr>
                <w:spacing w:val="19"/>
              </w:rPr>
              <w:t>90号)规定的征收标准x(1</w:t>
            </w:r>
            <w:r>
              <w:rPr>
                <w:spacing w:val="-33"/>
              </w:rPr>
              <w:t xml:space="preserve"> </w:t>
            </w:r>
            <w:r>
              <w:rPr>
                <w:spacing w:val="19"/>
              </w:rPr>
              <w:t>-</w:t>
            </w:r>
            <w:r>
              <w:rPr>
                <w:spacing w:val="-42"/>
              </w:rPr>
              <w:t xml:space="preserve"> </w:t>
            </w:r>
            <w:r>
              <w:rPr>
                <w:spacing w:val="19"/>
              </w:rPr>
              <w:t>25%)×(1</w:t>
            </w:r>
            <w:r>
              <w:rPr>
                <w:spacing w:val="-45"/>
              </w:rPr>
              <w:t xml:space="preserve"> </w:t>
            </w:r>
            <w:r>
              <w:rPr>
                <w:spacing w:val="19"/>
              </w:rPr>
              <w:t>-</w:t>
            </w:r>
            <w:r>
              <w:rPr>
                <w:spacing w:val="-42"/>
              </w:rPr>
              <w:t xml:space="preserve"> </w:t>
            </w:r>
            <w:r>
              <w:rPr>
                <w:spacing w:val="19"/>
              </w:rPr>
              <w:t>25%)</w:t>
            </w:r>
          </w:p>
        </w:tc>
        <w:tc>
          <w:tcPr>
            <w:tcW w:w="2148" w:type="dxa"/>
            <w:vAlign w:val="top"/>
          </w:tcPr>
          <w:p>
            <w:pPr>
              <w:pStyle w:val="TableText"/>
              <w:ind w:left="34" w:right="93" w:firstLine="60"/>
              <w:spacing w:before="67" w:line="238" w:lineRule="auto"/>
              <w:jc w:val="both"/>
              <w:rPr/>
            </w:pPr>
            <w:r>
              <w:rPr>
                <w:spacing w:val="-1"/>
              </w:rPr>
              <w:t>财政部《关于降低部分政府性</w:t>
            </w:r>
            <w:r>
              <w:rPr>
                <w:spacing w:val="5"/>
              </w:rPr>
              <w:t xml:space="preserve"> </w:t>
            </w:r>
            <w:r>
              <w:rPr>
                <w:spacing w:val="4"/>
              </w:rPr>
              <w:t>基金征收标准的通知》财税〔</w:t>
            </w:r>
            <w:r>
              <w:rPr>
                <w:spacing w:val="6"/>
              </w:rPr>
              <w:t xml:space="preserve"> </w:t>
            </w:r>
            <w:r>
              <w:rPr>
                <w:spacing w:val="-1"/>
              </w:rPr>
              <w:t>2018〕39号</w:t>
            </w:r>
          </w:p>
        </w:tc>
        <w:tc>
          <w:tcPr>
            <w:tcW w:w="889" w:type="dxa"/>
            <w:vAlign w:val="top"/>
          </w:tcPr>
          <w:p>
            <w:pPr>
              <w:pStyle w:val="TableText"/>
              <w:ind w:left="25" w:hanging="9"/>
              <w:spacing w:before="67" w:line="233" w:lineRule="auto"/>
              <w:rPr/>
            </w:pPr>
            <w:r>
              <w:rPr>
                <w:spacing w:val="17"/>
                <w:w w:val="110"/>
              </w:rPr>
              <w:t>2018年7月</w:t>
            </w:r>
            <w:r>
              <w:rPr/>
              <w:t xml:space="preserve"> </w:t>
            </w:r>
            <w:r>
              <w:rPr>
                <w:spacing w:val="-5"/>
              </w:rPr>
              <w:t>1日起</w:t>
            </w:r>
          </w:p>
        </w:tc>
        <w:tc>
          <w:tcPr>
            <w:tcW w:w="849" w:type="dxa"/>
            <w:vAlign w:val="top"/>
          </w:tcPr>
          <w:p>
            <w:pPr>
              <w:pStyle w:val="TableText"/>
              <w:ind w:left="28"/>
              <w:spacing w:before="57" w:line="219" w:lineRule="auto"/>
              <w:rPr/>
            </w:pPr>
            <w:r>
              <w:rPr>
                <w:spacing w:val="-3"/>
              </w:rPr>
              <w:t>收费对象</w:t>
            </w:r>
          </w:p>
        </w:tc>
        <w:tc>
          <w:tcPr>
            <w:tcW w:w="1029" w:type="dxa"/>
            <w:vAlign w:val="top"/>
          </w:tcPr>
          <w:p>
            <w:pPr>
              <w:pStyle w:val="TableText"/>
              <w:ind w:left="49"/>
              <w:spacing w:before="66" w:line="219" w:lineRule="auto"/>
              <w:rPr/>
            </w:pPr>
            <w:r>
              <w:rPr>
                <w:spacing w:val="-1"/>
              </w:rPr>
              <w:t>政府性基金</w:t>
            </w:r>
          </w:p>
        </w:tc>
        <w:tc>
          <w:tcPr>
            <w:tcW w:w="464" w:type="dxa"/>
            <w:vAlign w:val="top"/>
          </w:tcPr>
          <w:p>
            <w:pPr>
              <w:pStyle w:val="TableText"/>
              <w:ind w:left="80" w:right="64"/>
              <w:spacing w:before="46" w:line="242" w:lineRule="auto"/>
              <w:jc w:val="both"/>
              <w:rPr/>
            </w:pPr>
            <w:r>
              <w:rPr>
                <w:spacing w:val="4"/>
              </w:rPr>
              <w:t>降低</w:t>
            </w:r>
            <w:r>
              <w:rPr/>
              <w:t xml:space="preserve"> </w:t>
            </w:r>
            <w:r>
              <w:rPr>
                <w:spacing w:val="-4"/>
              </w:rPr>
              <w:t>征收</w:t>
            </w:r>
            <w:r>
              <w:rPr/>
              <w:t xml:space="preserve"> </w:t>
            </w:r>
            <w:r>
              <w:rPr>
                <w:spacing w:val="-2"/>
              </w:rPr>
              <w:t>标准</w:t>
            </w:r>
          </w:p>
        </w:tc>
      </w:tr>
      <w:tr>
        <w:trPr>
          <w:trHeight w:val="290" w:hRule="atLeast"/>
        </w:trPr>
        <w:tc>
          <w:tcPr>
            <w:shd w:val="clear" w:fill="DCDDDD"/>
            <w:tcW w:w="9639" w:type="dxa"/>
            <w:vAlign w:val="top"/>
            <w:gridSpan w:val="7"/>
          </w:tcPr>
          <w:p>
            <w:pPr>
              <w:pStyle w:val="TableText"/>
              <w:ind w:left="3997"/>
              <w:spacing w:before="67" w:line="219" w:lineRule="auto"/>
              <w:rPr/>
            </w:pPr>
            <w:r>
              <w:rPr>
                <w:b/>
                <w:bCs/>
                <w:spacing w:val="-3"/>
              </w:rPr>
              <w:t>二、涉企行政事业性收费</w:t>
            </w:r>
          </w:p>
        </w:tc>
      </w:tr>
      <w:tr>
        <w:trPr>
          <w:trHeight w:val="988" w:hRule="atLeast"/>
        </w:trPr>
        <w:tc>
          <w:tcPr>
            <w:tcW w:w="284" w:type="dxa"/>
            <w:vAlign w:val="top"/>
          </w:tcPr>
          <w:p>
            <w:pPr>
              <w:spacing w:line="405" w:lineRule="auto"/>
              <w:rPr>
                <w:rFonts w:ascii="Arial"/>
                <w:sz w:val="21"/>
              </w:rPr>
            </w:pPr>
            <w:r/>
          </w:p>
          <w:p>
            <w:pPr>
              <w:pStyle w:val="TableText"/>
              <w:ind w:left="94"/>
              <w:spacing w:before="49" w:line="184" w:lineRule="auto"/>
              <w:rPr/>
            </w:pPr>
            <w:r>
              <w:rPr/>
              <w:t>1</w:t>
            </w:r>
          </w:p>
        </w:tc>
        <w:tc>
          <w:tcPr>
            <w:tcW w:w="3976" w:type="dxa"/>
            <w:vAlign w:val="top"/>
          </w:tcPr>
          <w:p>
            <w:pPr>
              <w:pStyle w:val="TableText"/>
              <w:ind w:left="61"/>
              <w:spacing w:before="29" w:line="219" w:lineRule="auto"/>
              <w:rPr/>
            </w:pPr>
            <w:r>
              <w:rPr/>
              <w:t>自2024年1月1日至2027年12月31日，继续执行《财政部</w:t>
            </w:r>
          </w:p>
          <w:p>
            <w:pPr>
              <w:pStyle w:val="TableText"/>
              <w:ind w:left="31"/>
              <w:spacing w:before="22" w:line="219" w:lineRule="auto"/>
              <w:rPr/>
            </w:pPr>
            <w:r>
              <w:rPr/>
              <w:t>国家发展改革委关于继续免征相关防疫药品和医疗器械注册</w:t>
            </w:r>
          </w:p>
          <w:p>
            <w:pPr>
              <w:pStyle w:val="TableText"/>
              <w:ind w:left="140"/>
              <w:spacing w:before="20" w:line="218" w:lineRule="auto"/>
              <w:rPr/>
            </w:pPr>
            <w:r>
              <w:rPr/>
              <w:t>费的公告》(财政部国家发展改革委公告2021年第9号)和</w:t>
            </w:r>
          </w:p>
          <w:p>
            <w:pPr>
              <w:pStyle w:val="TableText"/>
              <w:ind w:left="91" w:hanging="92"/>
              <w:spacing w:before="23" w:line="215" w:lineRule="auto"/>
              <w:rPr/>
            </w:pPr>
            <w:r>
              <w:rPr>
                <w:spacing w:val="-8"/>
              </w:rPr>
              <w:t>《财政部关于取消、调整部分政府性基金有关政策的通知》(财 </w:t>
            </w:r>
            <w:r>
              <w:rPr>
                <w:spacing w:val="-4"/>
              </w:rPr>
              <w:t>税〔2017〕18号)第三条规定的地方水库移民扶持基金政策。</w:t>
            </w:r>
          </w:p>
        </w:tc>
        <w:tc>
          <w:tcPr>
            <w:tcW w:w="2148" w:type="dxa"/>
            <w:vAlign w:val="top"/>
          </w:tcPr>
          <w:p>
            <w:pPr>
              <w:pStyle w:val="TableText"/>
              <w:ind w:left="95" w:right="17"/>
              <w:spacing w:before="7" w:line="245" w:lineRule="auto"/>
              <w:jc w:val="both"/>
              <w:rPr/>
            </w:pPr>
            <w:r>
              <w:rPr>
                <w:spacing w:val="-1"/>
              </w:rPr>
              <w:t>财政部、发展改革委《关于继</w:t>
            </w:r>
            <w:r>
              <w:rPr>
                <w:spacing w:val="2"/>
              </w:rPr>
              <w:t xml:space="preserve">  </w:t>
            </w:r>
            <w:r>
              <w:rPr>
                <w:spacing w:val="5"/>
              </w:rPr>
              <w:t>续执行部分行政事业性收费、</w:t>
            </w:r>
            <w:r>
              <w:rPr>
                <w:spacing w:val="8"/>
              </w:rPr>
              <w:t xml:space="preserve"> </w:t>
            </w:r>
            <w:r>
              <w:rPr>
                <w:spacing w:val="1"/>
              </w:rPr>
              <w:t>政府性基金优惠政策的公告》</w:t>
            </w:r>
          </w:p>
          <w:p>
            <w:pPr>
              <w:pStyle w:val="TableText"/>
              <w:ind w:left="34"/>
              <w:spacing w:before="22" w:line="218" w:lineRule="auto"/>
              <w:rPr/>
            </w:pPr>
            <w:r>
              <w:rPr>
                <w:spacing w:val="-1"/>
              </w:rPr>
              <w:t>2023年第45号公告</w:t>
            </w:r>
          </w:p>
        </w:tc>
        <w:tc>
          <w:tcPr>
            <w:tcW w:w="889" w:type="dxa"/>
            <w:vAlign w:val="top"/>
          </w:tcPr>
          <w:p>
            <w:pPr>
              <w:pStyle w:val="TableText"/>
              <w:ind w:left="16" w:right="6"/>
              <w:spacing w:before="23" w:line="243" w:lineRule="auto"/>
              <w:rPr/>
            </w:pPr>
            <w:r>
              <w:rPr>
                <w:spacing w:val="-1"/>
              </w:rPr>
              <w:t>延长至2027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28"/>
              <w:spacing w:before="9" w:line="219" w:lineRule="auto"/>
              <w:rPr/>
            </w:pPr>
            <w:r>
              <w:rPr>
                <w:spacing w:val="-3"/>
              </w:rPr>
              <w:t>收费对象</w:t>
            </w:r>
          </w:p>
        </w:tc>
        <w:tc>
          <w:tcPr>
            <w:tcW w:w="1029" w:type="dxa"/>
            <w:vAlign w:val="top"/>
          </w:tcPr>
          <w:p>
            <w:pPr>
              <w:pStyle w:val="TableText"/>
              <w:ind w:left="49" w:right="97" w:hanging="20"/>
              <w:spacing w:before="20" w:line="232"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19" w:line="219" w:lineRule="auto"/>
              <w:rPr/>
            </w:pPr>
            <w:r>
              <w:rPr>
                <w:spacing w:val="-3"/>
              </w:rPr>
              <w:t>免征</w:t>
            </w:r>
          </w:p>
        </w:tc>
      </w:tr>
      <w:tr>
        <w:trPr>
          <w:trHeight w:val="849" w:hRule="atLeast"/>
        </w:trPr>
        <w:tc>
          <w:tcPr>
            <w:tcW w:w="284" w:type="dxa"/>
            <w:vAlign w:val="top"/>
          </w:tcPr>
          <w:p>
            <w:pPr>
              <w:spacing w:line="339" w:lineRule="auto"/>
              <w:rPr>
                <w:rFonts w:ascii="Arial"/>
                <w:sz w:val="21"/>
              </w:rPr>
            </w:pPr>
            <w:r/>
          </w:p>
          <w:p>
            <w:pPr>
              <w:pStyle w:val="TableText"/>
              <w:ind w:left="94"/>
              <w:spacing w:before="48" w:line="183" w:lineRule="auto"/>
              <w:rPr/>
            </w:pPr>
            <w:r>
              <w:rPr/>
              <w:t>2</w:t>
            </w:r>
          </w:p>
        </w:tc>
        <w:tc>
          <w:tcPr>
            <w:tcW w:w="3976" w:type="dxa"/>
            <w:vAlign w:val="top"/>
          </w:tcPr>
          <w:p>
            <w:pPr>
              <w:pStyle w:val="TableText"/>
              <w:ind w:left="51"/>
              <w:spacing w:before="31" w:line="219" w:lineRule="auto"/>
              <w:rPr/>
            </w:pPr>
            <w:r>
              <w:rPr>
                <w:spacing w:val="-1"/>
              </w:rPr>
              <w:t>一、取消普通护照加注收费。</w:t>
            </w:r>
          </w:p>
          <w:p>
            <w:pPr>
              <w:pStyle w:val="TableText"/>
              <w:ind w:left="41" w:right="43" w:hanging="10"/>
              <w:spacing w:before="41" w:line="220" w:lineRule="auto"/>
              <w:rPr/>
            </w:pPr>
            <w:r>
              <w:rPr>
                <w:spacing w:val="-1"/>
              </w:rPr>
              <w:t>二、免征港澳流动渔船内地渔工、珠澳小额贸易人员和深圳</w:t>
            </w:r>
            <w:r>
              <w:rPr>
                <w:spacing w:val="16"/>
              </w:rPr>
              <w:t xml:space="preserve"> </w:t>
            </w:r>
            <w:r>
              <w:rPr>
                <w:spacing w:val="-1"/>
              </w:rPr>
              <w:t>过境耕作人员的中华人民共和国出入境通行证收费</w:t>
            </w:r>
          </w:p>
          <w:p>
            <w:pPr>
              <w:pStyle w:val="TableText"/>
              <w:ind w:left="31"/>
              <w:spacing w:before="41" w:line="218" w:lineRule="auto"/>
              <w:rPr/>
            </w:pPr>
            <w:r>
              <w:rPr>
                <w:spacing w:val="-1"/>
              </w:rPr>
              <w:t>三、本公告自2021年6月10日起执行</w:t>
            </w:r>
          </w:p>
        </w:tc>
        <w:tc>
          <w:tcPr>
            <w:tcW w:w="2148" w:type="dxa"/>
            <w:vAlign w:val="top"/>
          </w:tcPr>
          <w:p>
            <w:pPr>
              <w:pStyle w:val="TableText"/>
              <w:ind w:left="95"/>
              <w:spacing w:before="51" w:line="219" w:lineRule="auto"/>
              <w:rPr/>
            </w:pPr>
            <w:r>
              <w:rPr>
                <w:spacing w:val="-1"/>
              </w:rPr>
              <w:t>财政部、国家发展改革委《关</w:t>
            </w:r>
          </w:p>
          <w:p>
            <w:pPr>
              <w:pStyle w:val="TableText"/>
              <w:ind w:left="95"/>
              <w:spacing w:before="22" w:line="219" w:lineRule="auto"/>
              <w:rPr/>
            </w:pPr>
            <w:r>
              <w:rPr>
                <w:spacing w:val="-1"/>
              </w:rPr>
              <w:t>于取消、免征部分出入境证件</w:t>
            </w:r>
          </w:p>
          <w:p>
            <w:pPr>
              <w:pStyle w:val="TableText"/>
              <w:ind w:left="14" w:right="104" w:firstLine="80"/>
              <w:spacing w:line="232" w:lineRule="auto"/>
              <w:rPr/>
            </w:pPr>
            <w:r>
              <w:rPr>
                <w:spacing w:val="-1"/>
              </w:rPr>
              <w:t>收费的公告》2021年第22号公</w:t>
            </w:r>
            <w:r>
              <w:rPr>
                <w:spacing w:val="3"/>
              </w:rPr>
              <w:t xml:space="preserve"> </w:t>
            </w:r>
            <w:r>
              <w:rPr/>
              <w:t>告</w:t>
            </w:r>
          </w:p>
        </w:tc>
        <w:tc>
          <w:tcPr>
            <w:tcW w:w="889" w:type="dxa"/>
            <w:vAlign w:val="top"/>
          </w:tcPr>
          <w:p>
            <w:pPr>
              <w:pStyle w:val="TableText"/>
              <w:ind w:left="26"/>
              <w:spacing w:before="51" w:line="221" w:lineRule="auto"/>
              <w:rPr/>
            </w:pPr>
            <w:r>
              <w:rPr>
                <w:spacing w:val="17"/>
                <w:w w:val="108"/>
              </w:rPr>
              <w:t>2021年6月</w:t>
            </w:r>
            <w:r>
              <w:rPr>
                <w:spacing w:val="3"/>
              </w:rPr>
              <w:t xml:space="preserve"> </w:t>
            </w:r>
            <w:r>
              <w:rPr>
                <w:spacing w:val="-1"/>
              </w:rPr>
              <w:t>10日起</w:t>
            </w:r>
          </w:p>
        </w:tc>
        <w:tc>
          <w:tcPr>
            <w:tcW w:w="849" w:type="dxa"/>
            <w:vAlign w:val="top"/>
          </w:tcPr>
          <w:p>
            <w:pPr>
              <w:pStyle w:val="TableText"/>
              <w:ind w:left="28"/>
              <w:spacing w:before="31" w:line="219" w:lineRule="auto"/>
              <w:rPr/>
            </w:pPr>
            <w:r>
              <w:rPr>
                <w:spacing w:val="-3"/>
              </w:rPr>
              <w:t>收费对象</w:t>
            </w:r>
          </w:p>
        </w:tc>
        <w:tc>
          <w:tcPr>
            <w:tcW w:w="1029" w:type="dxa"/>
            <w:vAlign w:val="top"/>
          </w:tcPr>
          <w:p>
            <w:pPr>
              <w:pStyle w:val="TableText"/>
              <w:ind w:left="49" w:right="97" w:hanging="20"/>
              <w:spacing w:before="32" w:line="232" w:lineRule="auto"/>
              <w:rPr/>
            </w:pPr>
            <w:r>
              <w:rPr>
                <w:spacing w:val="-2"/>
              </w:rPr>
              <w:t>涉企行政事业</w:t>
            </w:r>
            <w:r>
              <w:rPr>
                <w:spacing w:val="3"/>
              </w:rPr>
              <w:t xml:space="preserve"> </w:t>
            </w:r>
            <w:r>
              <w:rPr>
                <w:spacing w:val="-2"/>
              </w:rPr>
              <w:t>性收费</w:t>
            </w:r>
          </w:p>
        </w:tc>
        <w:tc>
          <w:tcPr>
            <w:tcW w:w="464" w:type="dxa"/>
            <w:vAlign w:val="top"/>
          </w:tcPr>
          <w:p>
            <w:pPr>
              <w:pStyle w:val="TableText"/>
              <w:ind w:left="70" w:hanging="51"/>
              <w:spacing w:before="31" w:line="226" w:lineRule="auto"/>
              <w:rPr/>
            </w:pPr>
            <w:r>
              <w:rPr>
                <w:spacing w:val="-17"/>
              </w:rPr>
              <w:t>取消</w:t>
            </w:r>
            <w:r>
              <w:rPr>
                <w:spacing w:val="-41"/>
              </w:rPr>
              <w:t xml:space="preserve"> </w:t>
            </w:r>
            <w:r>
              <w:rPr>
                <w:spacing w:val="-17"/>
              </w:rPr>
              <w:t>、</w:t>
            </w:r>
            <w:r>
              <w:rPr/>
              <w:t xml:space="preserve"> </w:t>
            </w:r>
            <w:r>
              <w:rPr>
                <w:spacing w:val="-13"/>
              </w:rPr>
              <w:t>免征</w:t>
            </w:r>
          </w:p>
        </w:tc>
      </w:tr>
      <w:tr>
        <w:trPr>
          <w:trHeight w:val="2201" w:hRule="atLeast"/>
        </w:trPr>
        <w:tc>
          <w:tcPr>
            <w:tcW w:w="284"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94"/>
              <w:spacing w:before="49" w:line="183" w:lineRule="auto"/>
              <w:rPr/>
            </w:pPr>
            <w:r>
              <w:rPr/>
              <w:t>3</w:t>
            </w:r>
          </w:p>
        </w:tc>
        <w:tc>
          <w:tcPr>
            <w:tcW w:w="3976" w:type="dxa"/>
            <w:vAlign w:val="top"/>
          </w:tcPr>
          <w:p>
            <w:pPr>
              <w:pStyle w:val="TableText"/>
              <w:ind w:left="31" w:right="256"/>
              <w:spacing w:before="51" w:line="234" w:lineRule="auto"/>
              <w:jc w:val="both"/>
              <w:rPr/>
            </w:pPr>
            <w:r>
              <w:rPr>
                <w:spacing w:val="-1"/>
              </w:rPr>
              <w:t>一、摩托车(包括普通摩托车、轻便摩托车、教练摩托车</w:t>
            </w:r>
            <w:r>
              <w:rPr>
                <w:spacing w:val="9"/>
              </w:rPr>
              <w:t xml:space="preserve"> </w:t>
            </w:r>
            <w:r>
              <w:rPr/>
              <w:t>使馆摩托车、领馆摩托车)号牌工本费收费标准由每副70</w:t>
            </w:r>
            <w:r>
              <w:rPr>
                <w:spacing w:val="2"/>
              </w:rPr>
              <w:t xml:space="preserve"> </w:t>
            </w:r>
            <w:r>
              <w:rPr>
                <w:spacing w:val="-1"/>
              </w:rPr>
              <w:t>元调整为35元。</w:t>
            </w:r>
          </w:p>
          <w:p>
            <w:pPr>
              <w:pStyle w:val="TableText"/>
              <w:ind w:left="21" w:right="333" w:firstLine="20"/>
              <w:spacing w:before="29" w:line="238" w:lineRule="auto"/>
              <w:jc w:val="both"/>
              <w:rPr/>
            </w:pPr>
            <w:r>
              <w:rPr>
                <w:spacing w:val="-1"/>
              </w:rPr>
              <w:t>二、往来台湾通行证(电子)收费标准由每本80元调整为</w:t>
            </w:r>
            <w:r>
              <w:rPr>
                <w:spacing w:val="16"/>
              </w:rPr>
              <w:t xml:space="preserve"> </w:t>
            </w:r>
            <w:r>
              <w:rPr>
                <w:spacing w:val="-1"/>
              </w:rPr>
              <w:t>60元；台湾居民来往大陆通行证(补办)收费标准由每本</w:t>
            </w:r>
            <w:r>
              <w:rPr>
                <w:spacing w:val="17"/>
              </w:rPr>
              <w:t xml:space="preserve"> </w:t>
            </w:r>
            <w:r>
              <w:rPr/>
              <w:t>500元调整为200元。</w:t>
            </w:r>
          </w:p>
          <w:p>
            <w:pPr>
              <w:pStyle w:val="TableText"/>
              <w:ind w:left="31"/>
              <w:spacing w:before="8" w:line="234" w:lineRule="auto"/>
              <w:jc w:val="both"/>
              <w:rPr/>
            </w:pPr>
            <w:r>
              <w:rPr/>
              <w:t>三、各地区、各有关部门要严格执行本通知</w:t>
            </w:r>
            <w:r>
              <w:rPr>
                <w:spacing w:val="-1"/>
              </w:rPr>
              <w:t>规定，对降低的</w:t>
            </w:r>
            <w:r>
              <w:rPr/>
              <w:t xml:space="preserve"> </w:t>
            </w:r>
            <w:r>
              <w:rPr>
                <w:spacing w:val="1"/>
              </w:rPr>
              <w:t>行政事业性收费标准，不得以任何理由拖延或者拒绝执行。</w:t>
            </w:r>
            <w:r>
              <w:rPr>
                <w:spacing w:val="7"/>
              </w:rPr>
              <w:t xml:space="preserve"> </w:t>
            </w:r>
            <w:r>
              <w:rPr/>
              <w:t>四、各级市场监管、财政、价格主管部门要加强对政策落实</w:t>
            </w:r>
            <w:r>
              <w:rPr>
                <w:spacing w:val="6"/>
              </w:rPr>
              <w:t xml:space="preserve"> </w:t>
            </w:r>
            <w:r>
              <w:rPr>
                <w:spacing w:val="-1"/>
              </w:rPr>
              <w:t>情况的监督检查，对违反政策规定的收费行为，依据有关法</w:t>
            </w:r>
            <w:r>
              <w:rPr>
                <w:spacing w:val="18"/>
              </w:rPr>
              <w:t xml:space="preserve"> </w:t>
            </w:r>
            <w:r>
              <w:rPr>
                <w:spacing w:val="-1"/>
              </w:rPr>
              <w:t>律、法规予以处罚。</w:t>
            </w:r>
          </w:p>
        </w:tc>
        <w:tc>
          <w:tcPr>
            <w:tcW w:w="2148" w:type="dxa"/>
            <w:vAlign w:val="top"/>
          </w:tcPr>
          <w:p>
            <w:pPr>
              <w:pStyle w:val="TableText"/>
              <w:ind w:left="20" w:right="36" w:firstLine="74"/>
              <w:spacing w:before="52" w:line="234" w:lineRule="auto"/>
              <w:jc w:val="both"/>
              <w:rPr/>
            </w:pPr>
            <w:r>
              <w:rPr/>
              <w:t>国家发展改革委、财政部《关 </w:t>
            </w:r>
            <w:r>
              <w:rPr>
                <w:spacing w:val="5"/>
              </w:rPr>
              <w:t>于降低部分行政事业性收费标</w:t>
            </w:r>
            <w:r>
              <w:rPr/>
              <w:t xml:space="preserve">  </w:t>
            </w:r>
            <w:r>
              <w:rPr>
                <w:spacing w:val="-6"/>
              </w:rPr>
              <w:t>准 的 通 知</w:t>
            </w:r>
            <w:r>
              <w:rPr>
                <w:spacing w:val="13"/>
              </w:rPr>
              <w:t xml:space="preserve"> </w:t>
            </w:r>
            <w:r>
              <w:rPr>
                <w:spacing w:val="-6"/>
              </w:rPr>
              <w:t>》 发 改 价 格 规</w:t>
            </w:r>
            <w:r>
              <w:rPr/>
              <w:t xml:space="preserve"> </w:t>
            </w:r>
            <w:r>
              <w:rPr>
                <w:spacing w:val="6"/>
              </w:rPr>
              <w:t>〔2019〕1931号</w:t>
            </w:r>
          </w:p>
        </w:tc>
        <w:tc>
          <w:tcPr>
            <w:tcW w:w="889" w:type="dxa"/>
            <w:vAlign w:val="top"/>
          </w:tcPr>
          <w:p>
            <w:pPr>
              <w:pStyle w:val="TableText"/>
              <w:ind w:left="26"/>
              <w:spacing w:before="52" w:line="221" w:lineRule="auto"/>
              <w:rPr/>
            </w:pPr>
            <w:r>
              <w:rPr>
                <w:spacing w:val="17"/>
                <w:w w:val="108"/>
              </w:rPr>
              <w:t>2020年1月</w:t>
            </w:r>
            <w:r>
              <w:rPr>
                <w:spacing w:val="3"/>
              </w:rPr>
              <w:t xml:space="preserve"> </w:t>
            </w:r>
            <w:r>
              <w:rPr>
                <w:spacing w:val="-5"/>
              </w:rPr>
              <w:t>1日起</w:t>
            </w:r>
          </w:p>
        </w:tc>
        <w:tc>
          <w:tcPr>
            <w:tcW w:w="849" w:type="dxa"/>
            <w:vAlign w:val="top"/>
          </w:tcPr>
          <w:p>
            <w:pPr>
              <w:pStyle w:val="TableText"/>
              <w:ind w:left="28"/>
              <w:spacing w:before="32" w:line="219" w:lineRule="auto"/>
              <w:rPr/>
            </w:pPr>
            <w:r>
              <w:rPr>
                <w:spacing w:val="-3"/>
              </w:rPr>
              <w:t>收费对象</w:t>
            </w:r>
          </w:p>
        </w:tc>
        <w:tc>
          <w:tcPr>
            <w:tcW w:w="1029" w:type="dxa"/>
            <w:vAlign w:val="top"/>
          </w:tcPr>
          <w:p>
            <w:pPr>
              <w:pStyle w:val="TableText"/>
              <w:ind w:left="49" w:right="77"/>
              <w:spacing w:before="33" w:line="232"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22" w:line="219" w:lineRule="auto"/>
              <w:rPr/>
            </w:pPr>
            <w:r>
              <w:rPr>
                <w:spacing w:val="4"/>
              </w:rPr>
              <w:t>降低</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660288" behindDoc="0" locked="0" layoutInCell="0" allowOverlap="1">
            <wp:simplePos x="0" y="0"/>
            <wp:positionH relativeFrom="page">
              <wp:posOffset>514349</wp:posOffset>
            </wp:positionH>
            <wp:positionV relativeFrom="page">
              <wp:posOffset>4451360</wp:posOffset>
            </wp:positionV>
            <wp:extent cx="107921" cy="63471"/>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107921" cy="63471"/>
                    </a:xfrm>
                    <a:prstGeom prst="rect">
                      <a:avLst/>
                    </a:prstGeom>
                  </pic:spPr>
                </pic:pic>
              </a:graphicData>
            </a:graphic>
          </wp:anchor>
        </w:drawing>
      </w:r>
      <w:r/>
    </w:p>
    <w:p>
      <w:pPr>
        <w:spacing w:before="51"/>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64"/>
      </w:tblGrid>
      <w:tr>
        <w:trPr>
          <w:trHeight w:val="494" w:hRule="atLeast"/>
        </w:trPr>
        <w:tc>
          <w:tcPr>
            <w:tcW w:w="284" w:type="dxa"/>
            <w:vAlign w:val="top"/>
            <w:textDirection w:val="tbRlV"/>
          </w:tcPr>
          <w:p>
            <w:pPr>
              <w:pStyle w:val="TableText"/>
              <w:ind w:left="37"/>
              <w:spacing w:before="69" w:line="217" w:lineRule="auto"/>
              <w:rPr/>
            </w:pPr>
            <w:bookmarkStart w:name="bookmark2" w:id="1"/>
            <w:bookmarkEnd w:id="1"/>
            <w:r>
              <w:rPr/>
              <w:t>序</w:t>
            </w:r>
            <w:r>
              <w:rPr>
                <w:spacing w:val="36"/>
                <w:w w:val="101"/>
              </w:rPr>
              <w:t xml:space="preserve"> </w:t>
            </w:r>
            <w:r>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29" w:type="dxa"/>
            <w:vAlign w:val="top"/>
          </w:tcPr>
          <w:p>
            <w:pPr>
              <w:pStyle w:val="TableText"/>
              <w:ind w:left="267" w:right="113" w:hanging="150"/>
              <w:spacing w:before="62"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2" w:line="252" w:lineRule="auto"/>
              <w:rPr/>
            </w:pPr>
            <w:r>
              <w:rPr>
                <w:spacing w:val="-3"/>
              </w:rPr>
              <w:t>政策</w:t>
            </w:r>
            <w:r>
              <w:rPr/>
              <w:t xml:space="preserve"> </w:t>
            </w:r>
            <w:r>
              <w:rPr>
                <w:spacing w:val="-4"/>
              </w:rPr>
              <w:t>形式</w:t>
            </w:r>
          </w:p>
        </w:tc>
      </w:tr>
      <w:tr>
        <w:trPr>
          <w:trHeight w:val="2047" w:hRule="atLeast"/>
        </w:trPr>
        <w:tc>
          <w:tcPr>
            <w:tcW w:w="284"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94"/>
              <w:spacing w:before="49" w:line="183" w:lineRule="auto"/>
              <w:rPr/>
            </w:pPr>
            <w:r>
              <w:rPr/>
              <w:t>4</w:t>
            </w:r>
          </w:p>
        </w:tc>
        <w:tc>
          <w:tcPr>
            <w:tcW w:w="3986" w:type="dxa"/>
            <w:vAlign w:val="top"/>
          </w:tcPr>
          <w:p>
            <w:pPr>
              <w:pStyle w:val="TableText"/>
              <w:ind w:left="31"/>
              <w:spacing w:before="75" w:line="218" w:lineRule="auto"/>
              <w:rPr/>
            </w:pPr>
            <w:r>
              <w:rPr>
                <w:spacing w:val="-1"/>
              </w:rPr>
              <w:t>一、商业银行等机构查询企业信用报告基准服务费标准由每</w:t>
            </w:r>
          </w:p>
          <w:p>
            <w:pPr>
              <w:pStyle w:val="TableText"/>
              <w:ind w:left="110"/>
              <w:spacing w:before="22" w:line="218" w:lineRule="auto"/>
              <w:rPr/>
            </w:pPr>
            <w:r>
              <w:rPr/>
              <w:t>份40元降低至20元，查询个人信用报告基准服务费标准由</w:t>
            </w:r>
          </w:p>
          <w:p>
            <w:pPr>
              <w:pStyle w:val="TableText"/>
              <w:ind w:left="110"/>
              <w:spacing w:before="23" w:line="219" w:lineRule="auto"/>
              <w:rPr/>
            </w:pPr>
            <w:r>
              <w:rPr/>
              <w:t>每份4元降低至2元，实际收费标准根据用户机构向征信系</w:t>
            </w:r>
          </w:p>
          <w:p>
            <w:pPr>
              <w:pStyle w:val="TableText"/>
              <w:ind w:left="31"/>
              <w:spacing w:before="12" w:line="219" w:lineRule="auto"/>
              <w:rPr/>
            </w:pPr>
            <w:r>
              <w:rPr>
                <w:spacing w:val="-1"/>
              </w:rPr>
              <w:t>统提供的数据量和查询量计算确定；农村商业银行、农村合</w:t>
            </w:r>
          </w:p>
          <w:p>
            <w:pPr>
              <w:pStyle w:val="TableText"/>
              <w:ind w:left="31"/>
              <w:spacing w:before="32" w:line="219" w:lineRule="auto"/>
              <w:rPr/>
            </w:pPr>
            <w:r>
              <w:rPr>
                <w:spacing w:val="-1"/>
              </w:rPr>
              <w:t>作银行、农村信用社、村镇银行、小额贷款公司、消费金融</w:t>
            </w:r>
          </w:p>
          <w:p>
            <w:pPr>
              <w:pStyle w:val="TableText"/>
              <w:ind w:left="31"/>
              <w:spacing w:before="23" w:line="220" w:lineRule="auto"/>
              <w:rPr/>
            </w:pPr>
            <w:r>
              <w:rPr>
                <w:spacing w:val="-1"/>
              </w:rPr>
              <w:t>公司、融资租赁公司、融资性担保公司、民营银行、独立法</w:t>
            </w:r>
          </w:p>
          <w:p>
            <w:pPr>
              <w:pStyle w:val="TableText"/>
              <w:ind w:left="110"/>
              <w:spacing w:before="20" w:line="218" w:lineRule="auto"/>
              <w:rPr/>
            </w:pPr>
            <w:r>
              <w:rPr>
                <w:spacing w:val="-1"/>
              </w:rPr>
              <w:t>人直销银行等10类金融机构查询企业和个人信用报告实行</w:t>
            </w:r>
          </w:p>
          <w:p>
            <w:pPr>
              <w:pStyle w:val="TableText"/>
              <w:ind w:left="21" w:right="50" w:firstLine="10"/>
              <w:spacing w:before="3" w:line="244" w:lineRule="auto"/>
              <w:rPr/>
            </w:pPr>
            <w:r>
              <w:rPr/>
              <w:t>优惠收费标准。上述享受优惠政策的机构查</w:t>
            </w:r>
            <w:r>
              <w:rPr>
                <w:spacing w:val="-1"/>
              </w:rPr>
              <w:t>询企业信用报告</w:t>
            </w:r>
            <w:r>
              <w:rPr/>
              <w:t xml:space="preserve"> </w:t>
            </w:r>
            <w:r>
              <w:rPr/>
              <w:t>收费标准由每份15元降低至10元，查询个人信用报告收费</w:t>
            </w:r>
          </w:p>
          <w:p>
            <w:pPr>
              <w:pStyle w:val="TableText"/>
              <w:ind w:left="31"/>
              <w:spacing w:before="14" w:line="209" w:lineRule="auto"/>
              <w:rPr/>
            </w:pPr>
            <w:r>
              <w:rPr>
                <w:spacing w:val="-1"/>
              </w:rPr>
              <w:t>标准继续维持每份1元。</w:t>
            </w:r>
          </w:p>
        </w:tc>
        <w:tc>
          <w:tcPr>
            <w:tcW w:w="2128" w:type="dxa"/>
            <w:vAlign w:val="top"/>
          </w:tcPr>
          <w:p>
            <w:pPr>
              <w:pStyle w:val="TableText"/>
              <w:ind w:left="34" w:right="75" w:firstLine="50"/>
              <w:spacing w:before="77"/>
              <w:jc w:val="both"/>
              <w:rPr/>
            </w:pPr>
            <w:r>
              <w:rPr/>
              <w:t>国家发展改革委《关于进一步</w:t>
            </w:r>
            <w:r>
              <w:rPr>
                <w:spacing w:val="6"/>
              </w:rPr>
              <w:t xml:space="preserve"> </w:t>
            </w:r>
            <w:r>
              <w:rPr>
                <w:spacing w:val="4"/>
              </w:rPr>
              <w:t>降低中国人民银行征信中心服</w:t>
            </w:r>
            <w:r>
              <w:rPr>
                <w:spacing w:val="2"/>
              </w:rPr>
              <w:t xml:space="preserve"> </w:t>
            </w:r>
            <w:r>
              <w:rPr>
                <w:spacing w:val="3"/>
              </w:rPr>
              <w:t>务收费标准的通知》发改价格</w:t>
            </w:r>
            <w:r>
              <w:rPr>
                <w:spacing w:val="2"/>
              </w:rPr>
              <w:t xml:space="preserve"> </w:t>
            </w:r>
            <w:r>
              <w:rPr>
                <w:spacing w:val="-1"/>
              </w:rPr>
              <w:t>规〔2019〕1318号</w:t>
            </w:r>
          </w:p>
        </w:tc>
        <w:tc>
          <w:tcPr>
            <w:tcW w:w="919" w:type="dxa"/>
            <w:vAlign w:val="top"/>
          </w:tcPr>
          <w:p>
            <w:pPr>
              <w:pStyle w:val="TableText"/>
              <w:ind w:left="26" w:right="11" w:firstLine="20"/>
              <w:spacing w:before="77" w:line="233" w:lineRule="auto"/>
              <w:rPr/>
            </w:pPr>
            <w:r>
              <w:rPr>
                <w:spacing w:val="16"/>
                <w:w w:val="109"/>
              </w:rPr>
              <w:t>2019年8月</w:t>
            </w:r>
            <w:r>
              <w:rPr>
                <w:spacing w:val="1"/>
              </w:rPr>
              <w:t xml:space="preserve"> </w:t>
            </w:r>
            <w:r>
              <w:rPr>
                <w:spacing w:val="-4"/>
              </w:rPr>
              <w:t>1日起</w:t>
            </w:r>
          </w:p>
        </w:tc>
        <w:tc>
          <w:tcPr>
            <w:tcW w:w="829" w:type="dxa"/>
            <w:vAlign w:val="top"/>
          </w:tcPr>
          <w:p>
            <w:pPr>
              <w:pStyle w:val="TableText"/>
              <w:ind w:left="18"/>
              <w:spacing w:before="67" w:line="219" w:lineRule="auto"/>
              <w:rPr/>
            </w:pPr>
            <w:r>
              <w:rPr>
                <w:spacing w:val="-3"/>
              </w:rPr>
              <w:t>收费对象</w:t>
            </w:r>
          </w:p>
        </w:tc>
        <w:tc>
          <w:tcPr>
            <w:tcW w:w="1029" w:type="dxa"/>
            <w:vAlign w:val="top"/>
          </w:tcPr>
          <w:p>
            <w:pPr>
              <w:pStyle w:val="TableText"/>
              <w:ind w:left="29" w:right="67" w:firstLine="30"/>
              <w:spacing w:before="78" w:line="232"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57" w:line="219" w:lineRule="auto"/>
              <w:rPr/>
            </w:pPr>
            <w:r>
              <w:rPr>
                <w:spacing w:val="4"/>
              </w:rPr>
              <w:t>降低</w:t>
            </w:r>
          </w:p>
        </w:tc>
      </w:tr>
      <w:tr>
        <w:trPr>
          <w:trHeight w:val="868" w:hRule="atLeast"/>
        </w:trPr>
        <w:tc>
          <w:tcPr>
            <w:tcW w:w="284" w:type="dxa"/>
            <w:vAlign w:val="top"/>
          </w:tcPr>
          <w:p>
            <w:pPr>
              <w:spacing w:line="348" w:lineRule="auto"/>
              <w:rPr>
                <w:rFonts w:ascii="Arial"/>
                <w:sz w:val="21"/>
              </w:rPr>
            </w:pPr>
            <w:r/>
          </w:p>
          <w:p>
            <w:pPr>
              <w:pStyle w:val="TableText"/>
              <w:ind w:left="94"/>
              <w:spacing w:before="49" w:line="182" w:lineRule="auto"/>
              <w:rPr/>
            </w:pPr>
            <w:r>
              <w:rPr/>
              <w:t>5</w:t>
            </w:r>
          </w:p>
        </w:tc>
        <w:tc>
          <w:tcPr>
            <w:tcW w:w="3986" w:type="dxa"/>
            <w:vAlign w:val="top"/>
          </w:tcPr>
          <w:p>
            <w:pPr>
              <w:pStyle w:val="TableText"/>
              <w:ind w:left="31"/>
              <w:spacing w:before="70" w:line="219" w:lineRule="auto"/>
              <w:rPr/>
            </w:pPr>
            <w:r>
              <w:rPr/>
              <w:t>应收账款质押登记收费标准由每件每年60</w:t>
            </w:r>
            <w:r>
              <w:rPr>
                <w:spacing w:val="-1"/>
              </w:rPr>
              <w:t>元降低至30元</w:t>
            </w:r>
          </w:p>
          <w:p>
            <w:pPr>
              <w:pStyle w:val="TableText"/>
              <w:ind w:left="31" w:right="120" w:firstLine="79"/>
              <w:spacing w:before="31" w:line="233" w:lineRule="auto"/>
              <w:rPr/>
            </w:pPr>
            <w:r>
              <w:rPr/>
              <w:t>变更登记、异议登记收费标准由每件每次20</w:t>
            </w:r>
            <w:r>
              <w:rPr>
                <w:spacing w:val="-1"/>
              </w:rPr>
              <w:t>元降低至10元</w:t>
            </w:r>
            <w:r>
              <w:rPr/>
              <w:t xml:space="preserve"> </w:t>
            </w:r>
            <w:r>
              <w:rPr>
                <w:spacing w:val="-1"/>
              </w:rPr>
              <w:t>查询登记信息免费。</w:t>
            </w:r>
          </w:p>
        </w:tc>
        <w:tc>
          <w:tcPr>
            <w:tcW w:w="2128" w:type="dxa"/>
            <w:vAlign w:val="top"/>
          </w:tcPr>
          <w:p>
            <w:pPr>
              <w:pStyle w:val="TableText"/>
              <w:ind w:left="34" w:right="75" w:firstLine="50"/>
              <w:spacing w:before="70"/>
              <w:jc w:val="both"/>
              <w:rPr/>
            </w:pPr>
            <w:r>
              <w:rPr/>
              <w:t>国家发展改革委《关于进一步</w:t>
            </w:r>
            <w:r>
              <w:rPr>
                <w:spacing w:val="6"/>
              </w:rPr>
              <w:t xml:space="preserve"> </w:t>
            </w:r>
            <w:r>
              <w:rPr>
                <w:spacing w:val="4"/>
              </w:rPr>
              <w:t>降低中国人民银行征信中心服</w:t>
            </w:r>
            <w:r>
              <w:rPr>
                <w:spacing w:val="2"/>
              </w:rPr>
              <w:t xml:space="preserve"> </w:t>
            </w:r>
            <w:r>
              <w:rPr>
                <w:spacing w:val="3"/>
              </w:rPr>
              <w:t>务收费标准的通知》发改价格</w:t>
            </w:r>
            <w:r>
              <w:rPr>
                <w:spacing w:val="2"/>
              </w:rPr>
              <w:t xml:space="preserve"> </w:t>
            </w:r>
            <w:r>
              <w:rPr>
                <w:spacing w:val="-1"/>
              </w:rPr>
              <w:t>规〔2019〕1318号</w:t>
            </w:r>
          </w:p>
        </w:tc>
        <w:tc>
          <w:tcPr>
            <w:tcW w:w="919" w:type="dxa"/>
            <w:vAlign w:val="top"/>
          </w:tcPr>
          <w:p>
            <w:pPr>
              <w:pStyle w:val="TableText"/>
              <w:ind w:left="26" w:right="1" w:firstLine="10"/>
              <w:spacing w:before="59"/>
              <w:rPr/>
            </w:pPr>
            <w:r>
              <w:rPr>
                <w:spacing w:val="16"/>
                <w:w w:val="112"/>
              </w:rPr>
              <w:t>2019年8月</w:t>
            </w:r>
            <w:r>
              <w:rPr>
                <w:spacing w:val="1"/>
              </w:rPr>
              <w:t xml:space="preserve"> </w:t>
            </w:r>
            <w:r>
              <w:rPr>
                <w:spacing w:val="-4"/>
              </w:rPr>
              <w:t>1日起</w:t>
            </w:r>
          </w:p>
        </w:tc>
        <w:tc>
          <w:tcPr>
            <w:tcW w:w="829" w:type="dxa"/>
            <w:vAlign w:val="top"/>
          </w:tcPr>
          <w:p>
            <w:pPr>
              <w:pStyle w:val="TableText"/>
              <w:ind w:left="18"/>
              <w:spacing w:before="60" w:line="219" w:lineRule="auto"/>
              <w:rPr/>
            </w:pPr>
            <w:r>
              <w:rPr>
                <w:spacing w:val="-3"/>
              </w:rPr>
              <w:t>收费对象</w:t>
            </w:r>
          </w:p>
        </w:tc>
        <w:tc>
          <w:tcPr>
            <w:tcW w:w="1029" w:type="dxa"/>
            <w:vAlign w:val="top"/>
          </w:tcPr>
          <w:p>
            <w:pPr>
              <w:pStyle w:val="TableText"/>
              <w:ind w:left="29" w:right="67" w:firstLine="30"/>
              <w:spacing w:before="70" w:line="226"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60" w:line="219" w:lineRule="auto"/>
              <w:rPr/>
            </w:pPr>
            <w:r>
              <w:rPr>
                <w:spacing w:val="4"/>
              </w:rPr>
              <w:t>降低</w:t>
            </w:r>
          </w:p>
        </w:tc>
      </w:tr>
      <w:tr>
        <w:trPr>
          <w:trHeight w:val="2840" w:hRule="atLeast"/>
        </w:trPr>
        <w:tc>
          <w:tcPr>
            <w:tcW w:w="284"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94"/>
              <w:spacing w:before="49" w:line="183" w:lineRule="auto"/>
              <w:rPr/>
            </w:pPr>
            <w:r>
              <w:rPr/>
              <w:t>6</w:t>
            </w:r>
          </w:p>
        </w:tc>
        <w:tc>
          <w:tcPr>
            <w:tcW w:w="3986" w:type="dxa"/>
            <w:vAlign w:val="top"/>
          </w:tcPr>
          <w:p>
            <w:pPr>
              <w:pStyle w:val="TableText"/>
              <w:ind w:left="41"/>
              <w:spacing w:before="41" w:line="219" w:lineRule="auto"/>
              <w:rPr/>
            </w:pPr>
            <w:r>
              <w:rPr/>
              <w:t>(一)223-235MHz频段无线数据传输系统收费标准。降低</w:t>
            </w:r>
          </w:p>
          <w:p>
            <w:pPr>
              <w:pStyle w:val="TableText"/>
              <w:ind w:left="31"/>
              <w:spacing w:before="52" w:line="219" w:lineRule="auto"/>
              <w:rPr/>
            </w:pPr>
            <w:r>
              <w:rPr/>
              <w:t>223-235MHz频段电力等行业采用载波聚合的基站频率占用</w:t>
            </w:r>
          </w:p>
          <w:p>
            <w:pPr>
              <w:pStyle w:val="TableText"/>
              <w:ind w:left="41" w:right="108" w:firstLine="69"/>
              <w:spacing w:before="2" w:line="245" w:lineRule="auto"/>
              <w:rPr/>
            </w:pPr>
            <w:r>
              <w:rPr/>
              <w:t>费标准，由按每频点(25kHz)每基站征收改为按每MHz每基</w:t>
            </w:r>
            <w:r>
              <w:rPr>
                <w:spacing w:val="5"/>
              </w:rPr>
              <w:t xml:space="preserve"> </w:t>
            </w:r>
            <w:r>
              <w:rPr/>
              <w:t>站征收，即由现行800元/频点/基站调整为10</w:t>
            </w:r>
            <w:r>
              <w:rPr>
                <w:spacing w:val="-1"/>
              </w:rPr>
              <w:t>00元/MHz/</w:t>
            </w:r>
          </w:p>
          <w:p>
            <w:pPr>
              <w:pStyle w:val="TableText"/>
              <w:ind w:left="21"/>
              <w:spacing w:before="4" w:line="222" w:lineRule="auto"/>
              <w:rPr/>
            </w:pPr>
            <w:r>
              <w:rPr>
                <w:spacing w:val="-2"/>
              </w:rPr>
              <w:t>基站。</w:t>
            </w:r>
          </w:p>
          <w:p>
            <w:pPr>
              <w:pStyle w:val="TableText"/>
              <w:ind w:left="41" w:right="249" w:firstLine="20"/>
              <w:spacing w:before="26" w:line="239" w:lineRule="auto"/>
              <w:rPr/>
            </w:pPr>
            <w:r>
              <w:rPr>
                <w:spacing w:val="-1"/>
              </w:rPr>
              <w:t>原窄带无线数据传输系统(每频点信道带宽25kHz)的收费</w:t>
            </w:r>
            <w:r>
              <w:rPr>
                <w:spacing w:val="17"/>
              </w:rPr>
              <w:t xml:space="preserve"> </w:t>
            </w:r>
            <w:r>
              <w:rPr>
                <w:spacing w:val="-1"/>
              </w:rPr>
              <w:t>标准仍按现行规定执行，即800元/频点/基站</w:t>
            </w:r>
          </w:p>
          <w:p>
            <w:pPr>
              <w:pStyle w:val="TableText"/>
              <w:ind w:left="31" w:right="88" w:firstLine="40"/>
              <w:spacing w:before="12" w:line="226" w:lineRule="auto"/>
              <w:rPr/>
            </w:pPr>
            <w:r>
              <w:rPr/>
              <w:t>二)5905-5925MHz频段车联网直连通信</w:t>
            </w:r>
            <w:r>
              <w:rPr>
                <w:spacing w:val="-1"/>
              </w:rPr>
              <w:t>系统收费标准。1.在</w:t>
            </w:r>
            <w:r>
              <w:rPr/>
              <w:t xml:space="preserve"> </w:t>
            </w:r>
            <w:r>
              <w:rPr/>
              <w:t>省(自治区、直辖市)范围使用的，按照15</w:t>
            </w:r>
            <w:r>
              <w:rPr>
                <w:spacing w:val="-1"/>
              </w:rPr>
              <w:t>万元/MHz/年收</w:t>
            </w:r>
          </w:p>
          <w:p>
            <w:pPr>
              <w:pStyle w:val="TableText"/>
              <w:ind w:left="51"/>
              <w:spacing w:before="22" w:line="219" w:lineRule="auto"/>
              <w:rPr/>
            </w:pPr>
            <w:r>
              <w:rPr/>
              <w:t>取；在市(地、州)范围使用的，按照1.5万元/MH</w:t>
            </w:r>
            <w:r>
              <w:rPr>
                <w:spacing w:val="-1"/>
              </w:rPr>
              <w:t>z/年。</w:t>
            </w:r>
          </w:p>
          <w:p>
            <w:pPr>
              <w:pStyle w:val="TableText"/>
              <w:ind w:left="31" w:right="256" w:firstLine="20"/>
              <w:spacing w:before="33" w:line="237" w:lineRule="auto"/>
              <w:jc w:val="both"/>
              <w:rPr/>
            </w:pPr>
            <w:r>
              <w:rPr/>
              <w:t>使用范围在10个省(自治区、直辖市)及以</w:t>
            </w:r>
            <w:r>
              <w:rPr>
                <w:spacing w:val="-1"/>
              </w:rPr>
              <w:t>上的，按照150</w:t>
            </w:r>
            <w:r>
              <w:rPr/>
              <w:t xml:space="preserve"> </w:t>
            </w:r>
            <w:r>
              <w:rPr>
                <w:spacing w:val="-1"/>
              </w:rPr>
              <w:t>万元/MHz/年收取；使用范围在10个市(地、州)及以上的</w:t>
            </w:r>
            <w:r>
              <w:rPr>
                <w:spacing w:val="18"/>
              </w:rPr>
              <w:t xml:space="preserve"> </w:t>
            </w:r>
            <w:r>
              <w:rPr/>
              <w:t>按照15万元/MHz/年收取。2.为鼓励</w:t>
            </w:r>
            <w:r>
              <w:rPr>
                <w:spacing w:val="-1"/>
              </w:rPr>
              <w:t>新技术新业务的发展</w:t>
            </w:r>
          </w:p>
          <w:p>
            <w:pPr>
              <w:pStyle w:val="TableText"/>
              <w:ind w:left="110"/>
              <w:spacing w:before="22" w:line="207" w:lineRule="auto"/>
              <w:rPr/>
            </w:pPr>
            <w:r>
              <w:rPr/>
              <w:t>对5905-5925MHz频段车联网直连通信系统</w:t>
            </w:r>
            <w:r>
              <w:rPr>
                <w:spacing w:val="-1"/>
              </w:rPr>
              <w:t>频率占用费标准</w:t>
            </w:r>
          </w:p>
        </w:tc>
        <w:tc>
          <w:tcPr>
            <w:tcW w:w="2128" w:type="dxa"/>
            <w:vAlign w:val="top"/>
          </w:tcPr>
          <w:p>
            <w:pPr>
              <w:pStyle w:val="TableText"/>
              <w:ind w:left="14" w:right="75" w:firstLine="70"/>
              <w:spacing w:before="72"/>
              <w:rPr/>
            </w:pPr>
            <w:r>
              <w:rPr/>
              <w:t>国家发展改革委、财政部《关</w:t>
            </w:r>
            <w:r>
              <w:rPr>
                <w:spacing w:val="6"/>
              </w:rPr>
              <w:t xml:space="preserve"> </w:t>
            </w:r>
            <w:r>
              <w:rPr>
                <w:spacing w:val="4"/>
              </w:rPr>
              <w:t>于降低部分行政事业性收费标</w:t>
            </w:r>
            <w:r>
              <w:rPr>
                <w:spacing w:val="8"/>
              </w:rPr>
              <w:t xml:space="preserve"> </w:t>
            </w:r>
            <w:r>
              <w:rPr>
                <w:spacing w:val="1"/>
              </w:rPr>
              <w:t>准的通知》发改价格〔2019`  </w:t>
            </w:r>
            <w:r>
              <w:rPr>
                <w:spacing w:val="-1"/>
              </w:rPr>
              <w:t>914号</w:t>
            </w:r>
          </w:p>
        </w:tc>
        <w:tc>
          <w:tcPr>
            <w:tcW w:w="919" w:type="dxa"/>
            <w:vAlign w:val="top"/>
          </w:tcPr>
          <w:p>
            <w:pPr>
              <w:pStyle w:val="TableText"/>
              <w:ind w:left="26" w:right="1" w:firstLine="10"/>
              <w:spacing w:before="71" w:line="215" w:lineRule="auto"/>
              <w:rPr/>
            </w:pPr>
            <w:r>
              <w:rPr>
                <w:spacing w:val="17"/>
                <w:w w:val="111"/>
              </w:rPr>
              <w:t>2019年7月</w:t>
            </w:r>
            <w:r>
              <w:rPr>
                <w:spacing w:val="1"/>
              </w:rPr>
              <w:t xml:space="preserve"> </w:t>
            </w:r>
            <w:r>
              <w:rPr>
                <w:spacing w:val="-4"/>
              </w:rPr>
              <w:t>1日起</w:t>
            </w:r>
          </w:p>
        </w:tc>
        <w:tc>
          <w:tcPr>
            <w:tcW w:w="829" w:type="dxa"/>
            <w:vAlign w:val="top"/>
          </w:tcPr>
          <w:p>
            <w:pPr>
              <w:pStyle w:val="TableText"/>
              <w:ind w:left="18"/>
              <w:spacing w:before="62" w:line="219" w:lineRule="auto"/>
              <w:rPr/>
            </w:pPr>
            <w:r>
              <w:rPr>
                <w:spacing w:val="-3"/>
              </w:rPr>
              <w:t>收费对象</w:t>
            </w:r>
          </w:p>
        </w:tc>
        <w:tc>
          <w:tcPr>
            <w:tcW w:w="1029" w:type="dxa"/>
            <w:vAlign w:val="top"/>
          </w:tcPr>
          <w:p>
            <w:pPr>
              <w:pStyle w:val="TableText"/>
              <w:ind w:left="29" w:right="67" w:firstLine="30"/>
              <w:spacing w:before="72" w:line="226"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52" w:line="219" w:lineRule="auto"/>
              <w:rPr/>
            </w:pPr>
            <w:r>
              <w:rPr>
                <w:spacing w:val="4"/>
              </w:rPr>
              <w:t>降低</w:t>
            </w:r>
          </w:p>
        </w:tc>
      </w:tr>
    </w:tbl>
    <w:p>
      <w:pPr>
        <w:pStyle w:val="BodyText"/>
        <w:rPr/>
      </w:pPr>
      <w:r/>
    </w:p>
    <w:p>
      <w:pPr>
        <w:sectPr>
          <w:pgSz w:w="11910" w:h="8220"/>
          <w:pgMar w:top="400" w:right="1145" w:bottom="400" w:left="809" w:header="0" w:footer="0" w:gutter="0"/>
        </w:sectPr>
        <w:rPr/>
      </w:pPr>
    </w:p>
    <w:p>
      <w:pPr>
        <w:spacing w:before="46"/>
        <w:rPr/>
      </w:pPr>
      <w:r>
        <w:pict>
          <v:shape id="_x0000_s4" style="position:absolute;margin-left:38.9997pt;margin-top:54.1505pt;mso-position-vertical-relative:page;mso-position-horizontal-relative:page;width:6.4pt;height:8.4pt;z-index:251661312;" o:allowincell="f" filled="false" stroked="false" type="#_x0000_t202">
            <v:fill on="false"/>
            <v:stroke on="false"/>
            <v:path/>
            <v:imagedata o:title=""/>
            <o:lock v:ext="edit" aspectratio="false"/>
            <v:textbox inset="0mm,0mm,0mm,0mm">
              <w:txbxContent>
                <w:p>
                  <w:pPr>
                    <w:ind w:left="20"/>
                    <w:spacing w:before="19" w:line="236" w:lineRule="auto"/>
                    <w:rPr>
                      <w:rFonts w:ascii="SimSun" w:hAnsi="SimSun" w:eastAsia="SimSun" w:cs="SimSun"/>
                      <w:sz w:val="10"/>
                      <w:szCs w:val="10"/>
                    </w:rPr>
                  </w:pPr>
                  <w:r>
                    <w:rPr>
                      <w:rFonts w:ascii="SimSun" w:hAnsi="SimSun" w:eastAsia="SimSun" w:cs="SimSun"/>
                      <w:sz w:val="10"/>
                      <w:szCs w:val="10"/>
                    </w:rPr>
                    <w:t>○</w:t>
                  </w:r>
                </w:p>
              </w:txbxContent>
            </v:textbox>
          </v:shape>
        </w:pict>
      </w:r>
      <w:r/>
    </w:p>
    <w:p>
      <w:pPr>
        <w:spacing w:before="46"/>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38"/>
        <w:gridCol w:w="909"/>
        <w:gridCol w:w="859"/>
        <w:gridCol w:w="1009"/>
        <w:gridCol w:w="47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38" w:type="dxa"/>
            <w:vAlign w:val="top"/>
          </w:tcPr>
          <w:p>
            <w:pPr>
              <w:pStyle w:val="TableText"/>
              <w:ind w:left="774"/>
              <w:spacing w:before="170" w:line="219" w:lineRule="auto"/>
              <w:rPr/>
            </w:pPr>
            <w:r>
              <w:rPr>
                <w:spacing w:val="-1"/>
              </w:rPr>
              <w:t>政策依据</w:t>
            </w:r>
          </w:p>
        </w:tc>
        <w:tc>
          <w:tcPr>
            <w:tcW w:w="90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83" w:line="231" w:lineRule="auto"/>
              <w:rPr/>
            </w:pPr>
            <w:r>
              <w:rPr>
                <w:spacing w:val="-4"/>
              </w:rPr>
              <w:t>惠及企业</w:t>
            </w:r>
            <w:r>
              <w:rPr>
                <w:spacing w:val="2"/>
              </w:rPr>
              <w:t xml:space="preserve"> </w:t>
            </w:r>
            <w:r>
              <w:rPr>
                <w:spacing w:val="-2"/>
              </w:rPr>
              <w:t>类型</w:t>
            </w:r>
          </w:p>
        </w:tc>
        <w:tc>
          <w:tcPr>
            <w:tcW w:w="1009" w:type="dxa"/>
            <w:vAlign w:val="top"/>
          </w:tcPr>
          <w:p>
            <w:pPr>
              <w:pStyle w:val="TableText"/>
              <w:ind w:left="18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716" w:hRule="atLeast"/>
        </w:trPr>
        <w:tc>
          <w:tcPr>
            <w:tcW w:w="294"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94"/>
              <w:spacing w:before="48" w:line="183" w:lineRule="auto"/>
              <w:rPr/>
            </w:pPr>
            <w:r>
              <w:rPr/>
              <w:t>6</w:t>
            </w:r>
          </w:p>
        </w:tc>
        <w:tc>
          <w:tcPr>
            <w:tcW w:w="3966" w:type="dxa"/>
            <w:vAlign w:val="top"/>
          </w:tcPr>
          <w:p>
            <w:pPr>
              <w:pStyle w:val="TableText"/>
              <w:ind w:left="21"/>
              <w:spacing w:before="257" w:line="219" w:lineRule="auto"/>
              <w:rPr/>
            </w:pPr>
            <w:r>
              <w:rPr>
                <w:spacing w:val="-1"/>
              </w:rPr>
              <w:t>实行“头三年免收”的优惠政策，即自频率使用许可证发放</w:t>
            </w:r>
          </w:p>
          <w:p>
            <w:pPr>
              <w:pStyle w:val="TableText"/>
              <w:ind w:left="11" w:right="27" w:firstLine="89"/>
              <w:spacing w:before="12" w:line="233" w:lineRule="auto"/>
              <w:rPr/>
            </w:pPr>
            <w:r>
              <w:rPr>
                <w:spacing w:val="-1"/>
              </w:rPr>
              <w:t>之日起，第一至第三年(按财务年度计算，下同)免收无线</w:t>
            </w:r>
            <w:r>
              <w:rPr>
                <w:spacing w:val="8"/>
              </w:rPr>
              <w:t xml:space="preserve">  </w:t>
            </w:r>
            <w:r>
              <w:rPr/>
              <w:t>电频率占用费；第四年及以后按照国家规定的收费标准收取</w:t>
            </w:r>
            <w:r>
              <w:rPr>
                <w:spacing w:val="16"/>
              </w:rPr>
              <w:t xml:space="preserve"> </w:t>
            </w:r>
            <w:r>
              <w:rPr>
                <w:spacing w:val="-1"/>
              </w:rPr>
              <w:t>频率占用费。</w:t>
            </w:r>
          </w:p>
          <w:p>
            <w:pPr>
              <w:pStyle w:val="TableText"/>
              <w:ind w:left="41"/>
              <w:spacing w:before="22" w:line="219" w:lineRule="auto"/>
              <w:rPr/>
            </w:pPr>
            <w:r>
              <w:rPr>
                <w:spacing w:val="-1"/>
              </w:rPr>
              <w:t>(三)卫星通信系统频率占用费收费标准。</w:t>
            </w:r>
          </w:p>
          <w:p>
            <w:pPr>
              <w:pStyle w:val="TableText"/>
              <w:ind w:left="21" w:right="20" w:firstLine="10"/>
              <w:spacing w:before="19"/>
              <w:rPr/>
            </w:pPr>
            <w:r>
              <w:rPr>
                <w:spacing w:val="-6"/>
              </w:rPr>
              <w:t>1 . 调 整 网 络 化 运 营 的 对 地 静 止 轨 道 </w:t>
            </w:r>
            <w:r>
              <w:rPr>
                <w:spacing w:val="-7"/>
              </w:rPr>
              <w:t>K u 频 段</w:t>
            </w:r>
            <w:r>
              <w:rPr/>
              <w:t xml:space="preserve"> </w:t>
            </w:r>
            <w:r>
              <w:rPr/>
              <w:t>(12.2-12.75GHz/14-14.5GHz)高通量卫星系统业务频率的频</w:t>
            </w:r>
            <w:r>
              <w:rPr>
                <w:spacing w:val="4"/>
              </w:rPr>
              <w:t xml:space="preserve"> </w:t>
            </w:r>
            <w:r>
              <w:rPr/>
              <w:t>率占用费收费方式。根据其技术和运营特点，由原按照空间</w:t>
            </w:r>
            <w:r>
              <w:rPr>
                <w:spacing w:val="13"/>
              </w:rPr>
              <w:t xml:space="preserve"> </w:t>
            </w:r>
            <w:r>
              <w:rPr/>
              <w:t>电台500元/MHz/年(发射)、地球站250元/MHz/年(发射</w:t>
            </w:r>
          </w:p>
          <w:p>
            <w:pPr>
              <w:pStyle w:val="TableText"/>
              <w:ind w:left="51" w:right="42" w:hanging="30"/>
              <w:spacing w:before="11" w:line="227" w:lineRule="auto"/>
              <w:rPr/>
            </w:pPr>
            <w:r>
              <w:rPr>
                <w:spacing w:val="-1"/>
              </w:rPr>
              <w:t>分别向卫星运营商和网内终端用户收取，改为根据卫星系统</w:t>
            </w:r>
            <w:r>
              <w:rPr>
                <w:spacing w:val="17"/>
              </w:rPr>
              <w:t xml:space="preserve"> </w:t>
            </w:r>
            <w:r>
              <w:rPr/>
              <w:t>业务频率实际占用带宽，只向卫星运营商按照5</w:t>
            </w:r>
            <w:r>
              <w:rPr>
                <w:spacing w:val="-1"/>
              </w:rPr>
              <w:t>00元/MHz</w:t>
            </w:r>
          </w:p>
          <w:p>
            <w:pPr>
              <w:pStyle w:val="TableText"/>
              <w:ind w:left="21"/>
              <w:spacing w:before="22" w:line="219" w:lineRule="auto"/>
              <w:rPr/>
            </w:pPr>
            <w:r>
              <w:rPr>
                <w:spacing w:val="-1"/>
              </w:rPr>
              <w:t>年标准收取，此频段内不再对网内终端用户收取频率占用费</w:t>
            </w:r>
          </w:p>
          <w:p>
            <w:pPr>
              <w:pStyle w:val="TableText"/>
              <w:ind w:left="11"/>
              <w:spacing w:before="21" w:line="209" w:lineRule="auto"/>
              <w:rPr/>
            </w:pPr>
            <w:r>
              <w:rPr>
                <w:spacing w:val="-1"/>
              </w:rPr>
              <w:t>2.免收卫星业余业务频率占用费</w:t>
            </w:r>
          </w:p>
          <w:p>
            <w:pPr>
              <w:pStyle w:val="TableText"/>
              <w:ind w:left="51"/>
              <w:spacing w:before="1" w:line="233" w:lineRule="auto"/>
              <w:rPr/>
            </w:pPr>
            <w:r>
              <w:rPr>
                <w:spacing w:val="-1"/>
              </w:rPr>
              <w:t>(四)其他收费项目，按现行标准执行。</w:t>
            </w:r>
          </w:p>
          <w:p>
            <w:pPr>
              <w:pStyle w:val="TableText"/>
              <w:ind w:left="51"/>
              <w:spacing w:line="219" w:lineRule="auto"/>
              <w:rPr/>
            </w:pPr>
            <w:r>
              <w:rPr>
                <w:spacing w:val="1"/>
              </w:rPr>
              <w:t>二、移民和出入境管理部门</w:t>
            </w:r>
          </w:p>
          <w:p>
            <w:pPr>
              <w:pStyle w:val="TableText"/>
              <w:ind w:left="41"/>
              <w:spacing w:before="1" w:line="219" w:lineRule="auto"/>
              <w:rPr/>
            </w:pPr>
            <w:r>
              <w:rPr/>
              <w:t>(一)因私普通护照收费标准，由160元/本降为120元/</w:t>
            </w:r>
          </w:p>
          <w:p>
            <w:pPr>
              <w:pStyle w:val="TableText"/>
              <w:ind w:left="31" w:right="110" w:hanging="10"/>
              <w:spacing w:before="32" w:line="233" w:lineRule="auto"/>
              <w:rPr/>
            </w:pPr>
            <w:r>
              <w:rPr/>
              <w:t>本；(二)往来港澳通行证收费标准，由80元/张降为60</w:t>
            </w:r>
            <w:r>
              <w:rPr>
                <w:spacing w:val="-1"/>
              </w:rPr>
              <w:t>元，</w:t>
            </w:r>
            <w:r>
              <w:rPr/>
              <w:t xml:space="preserve"> </w:t>
            </w:r>
            <w:r>
              <w:rPr>
                <w:spacing w:val="-1"/>
              </w:rPr>
              <w:t>张；(三)其他收费项目，按现行标准执行</w:t>
            </w:r>
          </w:p>
          <w:p>
            <w:pPr>
              <w:pStyle w:val="TableText"/>
              <w:ind w:left="31"/>
              <w:spacing w:before="13" w:line="219" w:lineRule="auto"/>
              <w:rPr/>
            </w:pPr>
            <w:r>
              <w:rPr>
                <w:spacing w:val="2"/>
              </w:rPr>
              <w:t>三、知识产权部门</w:t>
            </w:r>
          </w:p>
          <w:p>
            <w:pPr>
              <w:pStyle w:val="TableText"/>
              <w:spacing w:before="2" w:line="219" w:lineRule="auto"/>
              <w:jc w:val="right"/>
              <w:rPr/>
            </w:pPr>
            <w:r>
              <w:rPr>
                <w:spacing w:val="2"/>
              </w:rPr>
              <w:t>(一)受理商标续展注册费收费标准，由1000元降为500元；</w:t>
            </w:r>
          </w:p>
          <w:p>
            <w:pPr>
              <w:pStyle w:val="TableText"/>
              <w:ind w:left="31"/>
              <w:spacing w:before="12" w:line="219" w:lineRule="auto"/>
              <w:rPr/>
            </w:pPr>
            <w:r>
              <w:rPr/>
              <w:t>(二)变更费收费标准，由250元降为150元；(三)对提交</w:t>
            </w:r>
          </w:p>
          <w:p>
            <w:pPr>
              <w:pStyle w:val="TableText"/>
              <w:ind w:left="21" w:right="28"/>
              <w:spacing w:before="51" w:line="234" w:lineRule="auto"/>
              <w:rPr/>
            </w:pPr>
            <w:r>
              <w:rPr/>
              <w:t>网上申请并接受电子发文的商标业务，免收变更费，其他收</w:t>
            </w:r>
            <w:r>
              <w:rPr>
                <w:spacing w:val="4"/>
              </w:rPr>
              <w:t xml:space="preserve"> </w:t>
            </w:r>
            <w:r>
              <w:rPr/>
              <w:t>费项目，包括受理商标注册费、补发商标注册证费、受理转</w:t>
            </w:r>
            <w:r>
              <w:rPr>
                <w:spacing w:val="5"/>
              </w:rPr>
              <w:t xml:space="preserve"> </w:t>
            </w:r>
            <w:r>
              <w:rPr>
                <w:spacing w:val="-1"/>
              </w:rPr>
              <w:t>让注册商标费、受理商标续展注册费、受理续展注册迟延费</w:t>
            </w:r>
          </w:p>
          <w:p>
            <w:pPr>
              <w:pStyle w:val="TableText"/>
              <w:ind w:left="21" w:right="16" w:firstLine="79"/>
              <w:spacing w:before="10" w:line="233" w:lineRule="auto"/>
              <w:rPr/>
            </w:pPr>
            <w:r>
              <w:rPr>
                <w:spacing w:val="-1"/>
              </w:rPr>
              <w:t>受理商标评审费、出据商标证明费、受理集体商标注册费</w:t>
            </w:r>
            <w:r>
              <w:rPr>
                <w:spacing w:val="7"/>
              </w:rPr>
              <w:t xml:space="preserve">  </w:t>
            </w:r>
            <w:r>
              <w:rPr/>
              <w:t>受理证明商标注册费、商标异议费、撤销商标费、商标使用</w:t>
            </w:r>
            <w:r>
              <w:rPr>
                <w:spacing w:val="17"/>
              </w:rPr>
              <w:t xml:space="preserve"> </w:t>
            </w:r>
            <w:r>
              <w:rPr/>
              <w:t>许可合同备案费，按现行标准的90%收费</w:t>
            </w:r>
          </w:p>
        </w:tc>
        <w:tc>
          <w:tcPr>
            <w:tcW w:w="2138" w:type="dxa"/>
            <w:vAlign w:val="top"/>
          </w:tcPr>
          <w:p>
            <w:pPr>
              <w:rPr>
                <w:rFonts w:ascii="Arial"/>
                <w:sz w:val="21"/>
              </w:rPr>
            </w:pPr>
            <w:r/>
          </w:p>
        </w:tc>
        <w:tc>
          <w:tcPr>
            <w:tcW w:w="909" w:type="dxa"/>
            <w:vAlign w:val="top"/>
          </w:tcPr>
          <w:p>
            <w:pPr>
              <w:rPr>
                <w:rFonts w:ascii="Arial"/>
                <w:sz w:val="21"/>
              </w:rPr>
            </w:pPr>
            <w:r/>
          </w:p>
        </w:tc>
        <w:tc>
          <w:tcPr>
            <w:tcW w:w="859" w:type="dxa"/>
            <w:vAlign w:val="top"/>
          </w:tcPr>
          <w:p>
            <w:pPr>
              <w:rPr>
                <w:rFonts w:ascii="Arial"/>
                <w:sz w:val="21"/>
              </w:rPr>
            </w:pPr>
            <w:r/>
          </w:p>
        </w:tc>
        <w:tc>
          <w:tcPr>
            <w:tcW w:w="100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21"/>
        <w:rPr/>
      </w:pPr>
      <w:r>
        <w:drawing>
          <wp:anchor distT="0" distB="0" distL="0" distR="0" simplePos="0" relativeHeight="251662336" behindDoc="0" locked="0" layoutInCell="0" allowOverlap="1">
            <wp:simplePos x="0" y="0"/>
            <wp:positionH relativeFrom="page">
              <wp:posOffset>514349</wp:posOffset>
            </wp:positionH>
            <wp:positionV relativeFrom="page">
              <wp:posOffset>4451360</wp:posOffset>
            </wp:positionV>
            <wp:extent cx="107921" cy="63471"/>
            <wp:effectExtent l="0" t="0" r="0" b="0"/>
            <wp:wrapNone/>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107921" cy="63471"/>
                    </a:xfrm>
                    <a:prstGeom prst="rect">
                      <a:avLst/>
                    </a:prstGeom>
                  </pic:spPr>
                </pic:pic>
              </a:graphicData>
            </a:graphic>
          </wp:anchor>
        </w:drawing>
      </w:r>
      <w:r/>
    </w:p>
    <w:p>
      <w:pPr>
        <w:spacing w:before="2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909"/>
        <w:gridCol w:w="829"/>
        <w:gridCol w:w="1029"/>
        <w:gridCol w:w="464"/>
      </w:tblGrid>
      <w:tr>
        <w:trPr>
          <w:trHeight w:val="494" w:hRule="atLeast"/>
        </w:trPr>
        <w:tc>
          <w:tcPr>
            <w:tcW w:w="284" w:type="dxa"/>
            <w:vAlign w:val="top"/>
            <w:textDirection w:val="tbRlV"/>
          </w:tcPr>
          <w:p>
            <w:pPr>
              <w:pStyle w:val="TableText"/>
              <w:ind w:left="76"/>
              <w:spacing w:before="59" w:line="217" w:lineRule="auto"/>
              <w:rPr>
                <w:sz w:val="16"/>
                <w:szCs w:val="16"/>
              </w:rPr>
            </w:pPr>
            <w:r>
              <w:rPr>
                <w:sz w:val="16"/>
                <w:szCs w:val="16"/>
              </w:rPr>
              <w:t>序号</w:t>
            </w:r>
          </w:p>
        </w:tc>
        <w:tc>
          <w:tcPr>
            <w:tcW w:w="3956" w:type="dxa"/>
            <w:vAlign w:val="top"/>
          </w:tcPr>
          <w:p>
            <w:pPr>
              <w:pStyle w:val="TableText"/>
              <w:ind w:left="1651"/>
              <w:spacing w:before="171" w:line="219" w:lineRule="auto"/>
              <w:rPr>
                <w:sz w:val="16"/>
                <w:szCs w:val="16"/>
              </w:rPr>
            </w:pPr>
            <w:r>
              <w:rPr>
                <w:sz w:val="16"/>
                <w:szCs w:val="16"/>
                <w:spacing w:val="-2"/>
              </w:rPr>
              <w:t>主要内容</w:t>
            </w:r>
          </w:p>
        </w:tc>
        <w:tc>
          <w:tcPr>
            <w:tcW w:w="2158" w:type="dxa"/>
            <w:vAlign w:val="top"/>
          </w:tcPr>
          <w:p>
            <w:pPr>
              <w:pStyle w:val="TableText"/>
              <w:ind w:left="754"/>
              <w:spacing w:before="170" w:line="219" w:lineRule="auto"/>
              <w:rPr>
                <w:sz w:val="16"/>
                <w:szCs w:val="16"/>
              </w:rPr>
            </w:pPr>
            <w:r>
              <w:rPr>
                <w:sz w:val="16"/>
                <w:szCs w:val="16"/>
                <w:spacing w:val="-2"/>
              </w:rPr>
              <w:t>政策依据</w:t>
            </w:r>
          </w:p>
        </w:tc>
        <w:tc>
          <w:tcPr>
            <w:tcW w:w="909" w:type="dxa"/>
            <w:vAlign w:val="top"/>
          </w:tcPr>
          <w:p>
            <w:pPr>
              <w:pStyle w:val="TableText"/>
              <w:ind w:left="127"/>
              <w:spacing w:before="171" w:line="219" w:lineRule="auto"/>
              <w:rPr>
                <w:sz w:val="16"/>
                <w:szCs w:val="16"/>
              </w:rPr>
            </w:pPr>
            <w:r>
              <w:rPr>
                <w:sz w:val="16"/>
                <w:szCs w:val="16"/>
                <w:spacing w:val="3"/>
              </w:rPr>
              <w:t>执行时间</w:t>
            </w:r>
          </w:p>
        </w:tc>
        <w:tc>
          <w:tcPr>
            <w:tcW w:w="829" w:type="dxa"/>
            <w:vAlign w:val="top"/>
          </w:tcPr>
          <w:p>
            <w:pPr>
              <w:pStyle w:val="TableText"/>
              <w:ind w:left="267" w:right="64" w:hanging="140"/>
              <w:spacing w:before="63" w:line="241" w:lineRule="auto"/>
              <w:rPr>
                <w:sz w:val="16"/>
                <w:szCs w:val="16"/>
              </w:rPr>
            </w:pPr>
            <w:r>
              <w:rPr>
                <w:sz w:val="16"/>
                <w:szCs w:val="16"/>
                <w:spacing w:val="-4"/>
              </w:rPr>
              <w:t>惠及企业</w:t>
            </w:r>
            <w:r>
              <w:rPr>
                <w:sz w:val="16"/>
                <w:szCs w:val="16"/>
                <w:spacing w:val="1"/>
              </w:rPr>
              <w:t xml:space="preserve"> </w:t>
            </w:r>
            <w:r>
              <w:rPr>
                <w:sz w:val="16"/>
                <w:szCs w:val="16"/>
                <w:spacing w:val="-2"/>
              </w:rPr>
              <w:t>类型</w:t>
            </w:r>
          </w:p>
        </w:tc>
        <w:tc>
          <w:tcPr>
            <w:tcW w:w="1029" w:type="dxa"/>
            <w:vAlign w:val="top"/>
          </w:tcPr>
          <w:p>
            <w:pPr>
              <w:pStyle w:val="TableText"/>
              <w:ind w:left="188"/>
              <w:spacing w:before="171" w:line="219" w:lineRule="auto"/>
              <w:rPr>
                <w:sz w:val="16"/>
                <w:szCs w:val="16"/>
              </w:rPr>
            </w:pPr>
            <w:r>
              <w:rPr>
                <w:sz w:val="16"/>
                <w:szCs w:val="16"/>
                <w:spacing w:val="-2"/>
              </w:rPr>
              <w:t>政策类别</w:t>
            </w:r>
          </w:p>
        </w:tc>
        <w:tc>
          <w:tcPr>
            <w:tcW w:w="464" w:type="dxa"/>
            <w:vAlign w:val="top"/>
          </w:tcPr>
          <w:p>
            <w:pPr>
              <w:pStyle w:val="TableText"/>
              <w:ind w:left="70" w:right="69"/>
              <w:spacing w:before="62" w:line="243" w:lineRule="auto"/>
              <w:rPr>
                <w:sz w:val="16"/>
                <w:szCs w:val="16"/>
              </w:rPr>
            </w:pPr>
            <w:r>
              <w:rPr>
                <w:sz w:val="16"/>
                <w:szCs w:val="16"/>
                <w:spacing w:val="-3"/>
              </w:rPr>
              <w:t>政策</w:t>
            </w:r>
            <w:r>
              <w:rPr>
                <w:sz w:val="16"/>
                <w:szCs w:val="16"/>
              </w:rPr>
              <w:t xml:space="preserve"> </w:t>
            </w:r>
            <w:r>
              <w:rPr>
                <w:sz w:val="16"/>
                <w:szCs w:val="16"/>
                <w:spacing w:val="-5"/>
              </w:rPr>
              <w:t>形式</w:t>
            </w:r>
          </w:p>
        </w:tc>
      </w:tr>
      <w:tr>
        <w:trPr>
          <w:trHeight w:val="859" w:hRule="atLeast"/>
        </w:trPr>
        <w:tc>
          <w:tcPr>
            <w:tcW w:w="284" w:type="dxa"/>
            <w:vAlign w:val="top"/>
          </w:tcPr>
          <w:p>
            <w:pPr>
              <w:spacing w:line="335" w:lineRule="auto"/>
              <w:rPr>
                <w:rFonts w:ascii="Arial"/>
                <w:sz w:val="21"/>
              </w:rPr>
            </w:pPr>
            <w:r/>
          </w:p>
          <w:p>
            <w:pPr>
              <w:pStyle w:val="TableText"/>
              <w:ind w:left="94"/>
              <w:spacing w:before="52" w:line="182" w:lineRule="auto"/>
              <w:rPr>
                <w:sz w:val="16"/>
                <w:szCs w:val="16"/>
              </w:rPr>
            </w:pPr>
            <w:r>
              <w:rPr>
                <w:sz w:val="16"/>
                <w:szCs w:val="16"/>
              </w:rPr>
              <w:t>7</w:t>
            </w:r>
          </w:p>
        </w:tc>
        <w:tc>
          <w:tcPr>
            <w:tcW w:w="3956" w:type="dxa"/>
            <w:vAlign w:val="top"/>
          </w:tcPr>
          <w:p>
            <w:pPr>
              <w:pStyle w:val="TableText"/>
              <w:ind w:left="51"/>
              <w:spacing w:before="77" w:line="219" w:lineRule="auto"/>
              <w:rPr>
                <w:sz w:val="16"/>
                <w:szCs w:val="16"/>
              </w:rPr>
            </w:pPr>
            <w:r>
              <w:rPr>
                <w:sz w:val="16"/>
                <w:szCs w:val="16"/>
              </w:rPr>
              <w:t>自2019年7月1日起，减免不动产登记费，调整专利收费</w:t>
            </w:r>
          </w:p>
        </w:tc>
        <w:tc>
          <w:tcPr>
            <w:tcW w:w="2158" w:type="dxa"/>
            <w:vAlign w:val="top"/>
          </w:tcPr>
          <w:p>
            <w:pPr>
              <w:pStyle w:val="TableText"/>
              <w:ind w:left="14" w:firstLine="19"/>
              <w:spacing w:before="75" w:line="223" w:lineRule="auto"/>
              <w:jc w:val="both"/>
              <w:rPr>
                <w:sz w:val="16"/>
                <w:szCs w:val="16"/>
              </w:rPr>
            </w:pPr>
            <w:r>
              <w:rPr>
                <w:sz w:val="16"/>
                <w:szCs w:val="16"/>
                <w:spacing w:val="-4"/>
              </w:rPr>
              <w:t>财政部、国家发展改革委《关</w:t>
            </w:r>
            <w:r>
              <w:rPr>
                <w:sz w:val="16"/>
                <w:szCs w:val="16"/>
              </w:rPr>
              <w:t xml:space="preserve">  </w:t>
            </w:r>
            <w:r>
              <w:rPr>
                <w:sz w:val="16"/>
                <w:szCs w:val="16"/>
                <w:spacing w:val="-3"/>
              </w:rPr>
              <w:t>于减免部分行政事业性收费有</w:t>
            </w:r>
            <w:r>
              <w:rPr>
                <w:sz w:val="16"/>
                <w:szCs w:val="16"/>
                <w:spacing w:val="2"/>
              </w:rPr>
              <w:t xml:space="preserve">  </w:t>
            </w:r>
            <w:r>
              <w:rPr>
                <w:sz w:val="16"/>
                <w:szCs w:val="16"/>
                <w:spacing w:val="3"/>
              </w:rPr>
              <w:t>关政策的通知》财税〔2019〕</w:t>
            </w:r>
            <w:r>
              <w:rPr>
                <w:sz w:val="16"/>
                <w:szCs w:val="16"/>
                <w:spacing w:val="7"/>
              </w:rPr>
              <w:t xml:space="preserve"> </w:t>
            </w:r>
            <w:r>
              <w:rPr>
                <w:sz w:val="16"/>
                <w:szCs w:val="16"/>
                <w:spacing w:val="-3"/>
              </w:rPr>
              <w:t>45号</w:t>
            </w:r>
          </w:p>
        </w:tc>
        <w:tc>
          <w:tcPr>
            <w:tcW w:w="909" w:type="dxa"/>
            <w:vAlign w:val="top"/>
          </w:tcPr>
          <w:p>
            <w:pPr>
              <w:pStyle w:val="TableText"/>
              <w:ind w:left="16" w:right="82" w:firstLine="70"/>
              <w:spacing w:before="77" w:line="225" w:lineRule="auto"/>
              <w:rPr>
                <w:sz w:val="16"/>
                <w:szCs w:val="16"/>
              </w:rPr>
            </w:pPr>
            <w:r>
              <w:rPr>
                <w:sz w:val="16"/>
                <w:szCs w:val="16"/>
                <w:spacing w:val="1"/>
              </w:rPr>
              <w:t>自2019年7 </w:t>
            </w:r>
            <w:r>
              <w:rPr>
                <w:sz w:val="16"/>
                <w:szCs w:val="16"/>
                <w:spacing w:val="-2"/>
              </w:rPr>
              <w:t>月1日起</w:t>
            </w:r>
          </w:p>
        </w:tc>
        <w:tc>
          <w:tcPr>
            <w:tcW w:w="829" w:type="dxa"/>
            <w:vAlign w:val="top"/>
          </w:tcPr>
          <w:p>
            <w:pPr>
              <w:pStyle w:val="TableText"/>
              <w:ind w:left="18" w:right="9"/>
              <w:spacing w:before="67" w:line="231" w:lineRule="auto"/>
              <w:rPr>
                <w:sz w:val="16"/>
                <w:szCs w:val="16"/>
              </w:rPr>
            </w:pPr>
            <w:r>
              <w:rPr>
                <w:sz w:val="16"/>
                <w:szCs w:val="16"/>
                <w:spacing w:val="-2"/>
              </w:rPr>
              <w:t>部分行政事</w:t>
            </w:r>
            <w:r>
              <w:rPr>
                <w:sz w:val="16"/>
                <w:szCs w:val="16"/>
              </w:rPr>
              <w:t xml:space="preserve"> </w:t>
            </w:r>
            <w:r>
              <w:rPr>
                <w:sz w:val="16"/>
                <w:szCs w:val="16"/>
                <w:spacing w:val="-2"/>
              </w:rPr>
              <w:t>业性收费</w:t>
            </w:r>
          </w:p>
        </w:tc>
        <w:tc>
          <w:tcPr>
            <w:tcW w:w="1029" w:type="dxa"/>
            <w:vAlign w:val="top"/>
          </w:tcPr>
          <w:p>
            <w:pPr>
              <w:pStyle w:val="TableText"/>
              <w:ind w:left="19" w:right="38" w:firstLine="10"/>
              <w:spacing w:before="77" w:line="219" w:lineRule="auto"/>
              <w:rPr>
                <w:sz w:val="16"/>
                <w:szCs w:val="16"/>
              </w:rPr>
            </w:pPr>
            <w:r>
              <w:rPr>
                <w:sz w:val="16"/>
                <w:szCs w:val="16"/>
                <w:spacing w:val="-2"/>
              </w:rPr>
              <w:t>部分行政事业</w:t>
            </w:r>
            <w:r>
              <w:rPr>
                <w:sz w:val="16"/>
                <w:szCs w:val="16"/>
                <w:spacing w:val="2"/>
              </w:rPr>
              <w:t xml:space="preserve"> </w:t>
            </w:r>
            <w:r>
              <w:rPr>
                <w:sz w:val="16"/>
                <w:szCs w:val="16"/>
                <w:spacing w:val="-2"/>
              </w:rPr>
              <w:t>性收费</w:t>
            </w:r>
          </w:p>
        </w:tc>
        <w:tc>
          <w:tcPr>
            <w:tcW w:w="464" w:type="dxa"/>
            <w:vAlign w:val="top"/>
          </w:tcPr>
          <w:p>
            <w:pPr>
              <w:pStyle w:val="TableText"/>
              <w:ind w:left="70"/>
              <w:spacing w:before="58" w:line="220" w:lineRule="auto"/>
              <w:rPr>
                <w:sz w:val="16"/>
                <w:szCs w:val="16"/>
              </w:rPr>
            </w:pPr>
            <w:r>
              <w:rPr>
                <w:sz w:val="16"/>
                <w:szCs w:val="16"/>
                <w:spacing w:val="-2"/>
              </w:rPr>
              <w:t>减免</w:t>
            </w:r>
          </w:p>
        </w:tc>
      </w:tr>
      <w:tr>
        <w:trPr>
          <w:trHeight w:val="1677" w:hRule="atLeast"/>
        </w:trPr>
        <w:tc>
          <w:tcPr>
            <w:tcW w:w="284"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94"/>
              <w:spacing w:before="52" w:line="183" w:lineRule="auto"/>
              <w:rPr>
                <w:sz w:val="16"/>
                <w:szCs w:val="16"/>
              </w:rPr>
            </w:pPr>
            <w:r>
              <w:rPr>
                <w:sz w:val="16"/>
                <w:szCs w:val="16"/>
              </w:rPr>
              <w:t>8</w:t>
            </w:r>
          </w:p>
        </w:tc>
        <w:tc>
          <w:tcPr>
            <w:tcW w:w="3956" w:type="dxa"/>
            <w:vAlign w:val="top"/>
          </w:tcPr>
          <w:p>
            <w:pPr>
              <w:pStyle w:val="TableText"/>
              <w:ind w:left="11" w:firstLine="39"/>
              <w:spacing w:before="70" w:line="229" w:lineRule="auto"/>
              <w:rPr>
                <w:sz w:val="16"/>
                <w:szCs w:val="16"/>
              </w:rPr>
            </w:pPr>
            <w:r>
              <w:rPr>
                <w:sz w:val="16"/>
                <w:szCs w:val="16"/>
                <w:spacing w:val="-2"/>
              </w:rPr>
              <w:t>停征专利收费(国内部分)中的专利登记费、公告印刷费</w:t>
            </w:r>
            <w:r>
              <w:rPr>
                <w:sz w:val="16"/>
                <w:szCs w:val="16"/>
                <w:spacing w:val="6"/>
              </w:rPr>
              <w:t xml:space="preserve">  </w:t>
            </w:r>
            <w:r>
              <w:rPr>
                <w:sz w:val="16"/>
                <w:szCs w:val="16"/>
                <w:spacing w:val="-3"/>
              </w:rPr>
              <w:t>著录事项变更费(专利代理机构、代理人委托关系的变更)</w:t>
            </w:r>
            <w:r>
              <w:rPr>
                <w:sz w:val="16"/>
                <w:szCs w:val="16"/>
                <w:spacing w:val="11"/>
              </w:rPr>
              <w:t xml:space="preserve"> </w:t>
            </w:r>
            <w:r>
              <w:rPr>
                <w:sz w:val="16"/>
                <w:szCs w:val="16"/>
              </w:rPr>
              <w:t>PCT</w:t>
            </w:r>
            <w:r>
              <w:rPr>
                <w:sz w:val="16"/>
                <w:szCs w:val="16"/>
                <w:spacing w:val="3"/>
              </w:rPr>
              <w:t>(《专利合作条约》)专利申请收费(国际阶段部分)</w:t>
            </w:r>
            <w:r>
              <w:rPr>
                <w:sz w:val="16"/>
                <w:szCs w:val="16"/>
                <w:spacing w:val="6"/>
              </w:rPr>
              <w:t xml:space="preserve">  </w:t>
            </w:r>
            <w:r>
              <w:rPr>
                <w:sz w:val="16"/>
                <w:szCs w:val="16"/>
                <w:spacing w:val="-4"/>
              </w:rPr>
              <w:t>中的传送费；对符合条件的申请人，专利年费的减缴期限</w:t>
            </w:r>
            <w:r>
              <w:rPr>
                <w:sz w:val="16"/>
                <w:szCs w:val="16"/>
                <w:spacing w:val="8"/>
              </w:rPr>
              <w:t xml:space="preserve"> </w:t>
            </w:r>
            <w:r>
              <w:rPr>
                <w:sz w:val="16"/>
                <w:szCs w:val="16"/>
                <w:spacing w:val="-1"/>
              </w:rPr>
              <w:t>由自授予专利权当年起6年内，延长至10年内；对符合条</w:t>
            </w:r>
            <w:r>
              <w:rPr>
                <w:sz w:val="16"/>
                <w:szCs w:val="16"/>
                <w:spacing w:val="2"/>
              </w:rPr>
              <w:t xml:space="preserve"> </w:t>
            </w:r>
            <w:r>
              <w:rPr>
                <w:sz w:val="16"/>
                <w:szCs w:val="16"/>
                <w:spacing w:val="-10"/>
              </w:rPr>
              <w:t>件的发明专利申请，在第一次审查意见通知书答复期限届满</w:t>
            </w:r>
            <w:r>
              <w:rPr>
                <w:sz w:val="16"/>
                <w:szCs w:val="16"/>
                <w:spacing w:val="6"/>
              </w:rPr>
              <w:t xml:space="preserve"> </w:t>
            </w:r>
            <w:r>
              <w:rPr>
                <w:sz w:val="16"/>
                <w:szCs w:val="16"/>
                <w:spacing w:val="-2"/>
              </w:rPr>
              <w:t>前(已提交答复意见的除外),主动申请撤回的，允许退还 </w:t>
            </w:r>
            <w:r>
              <w:rPr>
                <w:sz w:val="16"/>
                <w:szCs w:val="16"/>
                <w:spacing w:val="-2"/>
              </w:rPr>
              <w:t>50%的专利申请实质审查费</w:t>
            </w:r>
          </w:p>
        </w:tc>
        <w:tc>
          <w:tcPr>
            <w:tcW w:w="2158" w:type="dxa"/>
            <w:vAlign w:val="top"/>
          </w:tcPr>
          <w:p>
            <w:pPr>
              <w:pStyle w:val="TableText"/>
              <w:ind w:left="34" w:right="5"/>
              <w:spacing w:before="69" w:line="228" w:lineRule="auto"/>
              <w:jc w:val="both"/>
              <w:rPr>
                <w:sz w:val="16"/>
                <w:szCs w:val="16"/>
              </w:rPr>
            </w:pPr>
            <w:r>
              <w:rPr>
                <w:sz w:val="16"/>
                <w:szCs w:val="16"/>
                <w:spacing w:val="-1"/>
              </w:rPr>
              <w:t>财政部、国家发展改革委《关</w:t>
            </w:r>
            <w:r>
              <w:rPr>
                <w:sz w:val="16"/>
                <w:szCs w:val="16"/>
                <w:spacing w:val="5"/>
              </w:rPr>
              <w:t xml:space="preserve"> </w:t>
            </w:r>
            <w:r>
              <w:rPr>
                <w:sz w:val="16"/>
                <w:szCs w:val="16"/>
                <w:spacing w:val="-1"/>
              </w:rPr>
              <w:t>于停征、免征和调整部分行政</w:t>
            </w:r>
            <w:r>
              <w:rPr>
                <w:sz w:val="16"/>
                <w:szCs w:val="16"/>
                <w:spacing w:val="3"/>
              </w:rPr>
              <w:t xml:space="preserve"> </w:t>
            </w:r>
            <w:r>
              <w:rPr>
                <w:sz w:val="16"/>
                <w:szCs w:val="16"/>
                <w:spacing w:val="2"/>
              </w:rPr>
              <w:t>事业性收费有关政策的通知》</w:t>
            </w:r>
            <w:r>
              <w:rPr>
                <w:sz w:val="16"/>
                <w:szCs w:val="16"/>
              </w:rPr>
              <w:t xml:space="preserve"> </w:t>
            </w:r>
            <w:r>
              <w:rPr>
                <w:sz w:val="16"/>
                <w:szCs w:val="16"/>
                <w:spacing w:val="-1"/>
              </w:rPr>
              <w:t>财税〔2018〕37号</w:t>
            </w:r>
          </w:p>
        </w:tc>
        <w:tc>
          <w:tcPr>
            <w:tcW w:w="909" w:type="dxa"/>
            <w:vAlign w:val="top"/>
          </w:tcPr>
          <w:p>
            <w:pPr>
              <w:pStyle w:val="TableText"/>
              <w:ind w:left="16" w:right="59" w:firstLine="70"/>
              <w:spacing w:before="68" w:line="220" w:lineRule="auto"/>
              <w:rPr>
                <w:sz w:val="16"/>
                <w:szCs w:val="16"/>
              </w:rPr>
            </w:pPr>
            <w:r>
              <w:rPr>
                <w:sz w:val="16"/>
                <w:szCs w:val="16"/>
                <w:spacing w:val="4"/>
              </w:rPr>
              <w:t>2018年8月</w:t>
            </w:r>
            <w:r>
              <w:rPr>
                <w:sz w:val="16"/>
                <w:szCs w:val="16"/>
                <w:spacing w:val="3"/>
              </w:rPr>
              <w:t xml:space="preserve"> </w:t>
            </w:r>
            <w:r>
              <w:rPr>
                <w:sz w:val="16"/>
                <w:szCs w:val="16"/>
                <w:spacing w:val="2"/>
              </w:rPr>
              <w:t>1日起</w:t>
            </w:r>
          </w:p>
        </w:tc>
        <w:tc>
          <w:tcPr>
            <w:tcW w:w="829" w:type="dxa"/>
            <w:vAlign w:val="top"/>
          </w:tcPr>
          <w:p>
            <w:pPr>
              <w:pStyle w:val="TableText"/>
              <w:ind w:left="18"/>
              <w:spacing w:before="68" w:line="219" w:lineRule="auto"/>
              <w:rPr>
                <w:sz w:val="16"/>
                <w:szCs w:val="16"/>
              </w:rPr>
            </w:pPr>
            <w:r>
              <w:rPr>
                <w:sz w:val="16"/>
                <w:szCs w:val="16"/>
                <w:spacing w:val="-3"/>
              </w:rPr>
              <w:t>收费对象</w:t>
            </w:r>
          </w:p>
        </w:tc>
        <w:tc>
          <w:tcPr>
            <w:tcW w:w="1029" w:type="dxa"/>
            <w:vAlign w:val="top"/>
          </w:tcPr>
          <w:p>
            <w:pPr>
              <w:pStyle w:val="TableText"/>
              <w:ind w:left="29" w:right="37"/>
              <w:spacing w:before="68" w:line="219" w:lineRule="auto"/>
              <w:rPr>
                <w:sz w:val="16"/>
                <w:szCs w:val="16"/>
              </w:rPr>
            </w:pPr>
            <w:r>
              <w:rPr>
                <w:sz w:val="16"/>
                <w:szCs w:val="16"/>
                <w:spacing w:val="-2"/>
              </w:rPr>
              <w:t>涉企行政事业</w:t>
            </w:r>
            <w:r>
              <w:rPr>
                <w:sz w:val="16"/>
                <w:szCs w:val="16"/>
                <w:spacing w:val="3"/>
              </w:rPr>
              <w:t xml:space="preserve"> </w:t>
            </w:r>
            <w:r>
              <w:rPr>
                <w:sz w:val="16"/>
                <w:szCs w:val="16"/>
                <w:spacing w:val="-2"/>
              </w:rPr>
              <w:t>性收费</w:t>
            </w:r>
          </w:p>
        </w:tc>
        <w:tc>
          <w:tcPr>
            <w:tcW w:w="464" w:type="dxa"/>
            <w:vAlign w:val="top"/>
          </w:tcPr>
          <w:p>
            <w:pPr>
              <w:pStyle w:val="TableText"/>
              <w:ind w:left="70"/>
              <w:spacing w:before="48" w:line="219" w:lineRule="auto"/>
              <w:rPr>
                <w:sz w:val="16"/>
                <w:szCs w:val="16"/>
              </w:rPr>
            </w:pPr>
            <w:r>
              <w:rPr>
                <w:sz w:val="16"/>
                <w:szCs w:val="16"/>
                <w:spacing w:val="-2"/>
              </w:rPr>
              <w:t>停征</w:t>
            </w:r>
          </w:p>
        </w:tc>
      </w:tr>
      <w:tr>
        <w:trPr>
          <w:trHeight w:val="3250" w:hRule="atLeast"/>
        </w:trPr>
        <w:tc>
          <w:tcPr>
            <w:tcW w:w="28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94"/>
              <w:spacing w:before="52" w:line="183" w:lineRule="auto"/>
              <w:rPr>
                <w:sz w:val="16"/>
                <w:szCs w:val="16"/>
              </w:rPr>
            </w:pPr>
            <w:r>
              <w:rPr>
                <w:sz w:val="16"/>
                <w:szCs w:val="16"/>
              </w:rPr>
              <w:t>9</w:t>
            </w:r>
          </w:p>
        </w:tc>
        <w:tc>
          <w:tcPr>
            <w:tcW w:w="3956" w:type="dxa"/>
            <w:vAlign w:val="top"/>
          </w:tcPr>
          <w:p>
            <w:pPr>
              <w:pStyle w:val="TableText"/>
              <w:ind w:left="21"/>
              <w:spacing w:before="81" w:line="219" w:lineRule="auto"/>
              <w:rPr>
                <w:sz w:val="16"/>
                <w:szCs w:val="16"/>
              </w:rPr>
            </w:pPr>
            <w:r>
              <w:rPr>
                <w:sz w:val="16"/>
                <w:szCs w:val="16"/>
                <w:spacing w:val="-1"/>
              </w:rPr>
              <w:t>一、公众移动通信系统频率占用费标准</w:t>
            </w:r>
          </w:p>
          <w:p>
            <w:pPr>
              <w:pStyle w:val="TableText"/>
              <w:ind w:left="21" w:right="45" w:firstLine="30"/>
              <w:spacing w:line="226" w:lineRule="auto"/>
              <w:rPr>
                <w:sz w:val="16"/>
                <w:szCs w:val="16"/>
              </w:rPr>
            </w:pPr>
            <w:r>
              <w:rPr>
                <w:sz w:val="16"/>
                <w:szCs w:val="16"/>
              </w:rPr>
              <w:t>(一)降低3000兆赫以上频段频率占用费标准。在全国范</w:t>
            </w:r>
            <w:r>
              <w:rPr>
                <w:sz w:val="16"/>
                <w:szCs w:val="16"/>
                <w:spacing w:val="8"/>
              </w:rPr>
              <w:t xml:space="preserve"> </w:t>
            </w:r>
            <w:r>
              <w:rPr>
                <w:sz w:val="16"/>
                <w:szCs w:val="16"/>
                <w:spacing w:val="1"/>
              </w:rPr>
              <w:t>围内使用的频段，3000-4000兆赫频段由800万元/兆赫/</w:t>
            </w:r>
            <w:r>
              <w:rPr>
                <w:sz w:val="16"/>
                <w:szCs w:val="16"/>
                <w:spacing w:val="4"/>
              </w:rPr>
              <w:t xml:space="preserve"> </w:t>
            </w:r>
            <w:r>
              <w:rPr>
                <w:sz w:val="16"/>
                <w:szCs w:val="16"/>
                <w:spacing w:val="2"/>
              </w:rPr>
              <w:t>年降为500万元/兆赫/年，4000-6000兆赫</w:t>
            </w:r>
            <w:r>
              <w:rPr>
                <w:sz w:val="16"/>
                <w:szCs w:val="16"/>
                <w:spacing w:val="1"/>
              </w:rPr>
              <w:t>频段由800万 </w:t>
            </w:r>
            <w:r>
              <w:rPr>
                <w:sz w:val="16"/>
                <w:szCs w:val="16"/>
                <w:spacing w:val="2"/>
              </w:rPr>
              <w:t>元/兆赫/年降为300万元/兆赫/年，6000兆赫以上频</w:t>
            </w:r>
            <w:r>
              <w:rPr>
                <w:sz w:val="16"/>
                <w:szCs w:val="16"/>
                <w:spacing w:val="1"/>
              </w:rPr>
              <w:t>段 </w:t>
            </w:r>
            <w:r>
              <w:rPr>
                <w:sz w:val="16"/>
                <w:szCs w:val="16"/>
              </w:rPr>
              <w:t>由800万元/兆赫/年降为50万元/兆赫/年。在省(自治</w:t>
            </w:r>
          </w:p>
          <w:p>
            <w:pPr>
              <w:pStyle w:val="TableText"/>
              <w:ind w:left="20" w:hanging="9"/>
              <w:spacing w:before="19" w:line="227" w:lineRule="auto"/>
              <w:rPr>
                <w:sz w:val="16"/>
                <w:szCs w:val="16"/>
              </w:rPr>
            </w:pPr>
            <w:r>
              <w:rPr>
                <w:sz w:val="16"/>
                <w:szCs w:val="16"/>
                <w:spacing w:val="-2"/>
              </w:rPr>
              <w:t>区、直辖市)范围内使用的频段，3000-4000兆赫</w:t>
            </w:r>
            <w:r>
              <w:rPr>
                <w:sz w:val="16"/>
                <w:szCs w:val="16"/>
                <w:spacing w:val="-3"/>
              </w:rPr>
              <w:t>频段由80</w:t>
            </w:r>
            <w:r>
              <w:rPr>
                <w:sz w:val="16"/>
                <w:szCs w:val="16"/>
              </w:rPr>
              <w:t xml:space="preserve"> </w:t>
            </w:r>
            <w:r>
              <w:rPr>
                <w:sz w:val="16"/>
                <w:szCs w:val="16"/>
                <w:spacing w:val="2"/>
              </w:rPr>
              <w:t>万元/兆赫/年降为50万元/兆赫/年，4000-</w:t>
            </w:r>
            <w:r>
              <w:rPr>
                <w:sz w:val="16"/>
                <w:szCs w:val="16"/>
                <w:spacing w:val="1"/>
              </w:rPr>
              <w:t>6000兆赫频</w:t>
            </w:r>
            <w:r>
              <w:rPr>
                <w:sz w:val="16"/>
                <w:szCs w:val="16"/>
              </w:rPr>
              <w:t xml:space="preserve">  </w:t>
            </w:r>
            <w:r>
              <w:rPr>
                <w:sz w:val="16"/>
                <w:szCs w:val="16"/>
                <w:spacing w:val="-1"/>
              </w:rPr>
              <w:t>段由80万元/兆赫/年降为30万元/兆赫/年，6000兆赫</w:t>
            </w:r>
          </w:p>
          <w:p>
            <w:pPr>
              <w:pStyle w:val="TableText"/>
              <w:ind w:left="31" w:right="36" w:firstLine="59"/>
              <w:spacing w:before="20" w:line="226" w:lineRule="auto"/>
              <w:rPr>
                <w:sz w:val="16"/>
                <w:szCs w:val="16"/>
              </w:rPr>
            </w:pPr>
            <w:r>
              <w:rPr>
                <w:sz w:val="16"/>
                <w:szCs w:val="16"/>
              </w:rPr>
              <w:t>以上频段由80万元/兆赫/年降为5万元/兆赫7年。</w:t>
            </w:r>
            <w:r>
              <w:rPr>
                <w:sz w:val="16"/>
                <w:szCs w:val="16"/>
                <w:spacing w:val="-1"/>
              </w:rPr>
              <w:t>在市 </w:t>
            </w:r>
            <w:r>
              <w:rPr>
                <w:sz w:val="16"/>
                <w:szCs w:val="16"/>
                <w:spacing w:val="1"/>
              </w:rPr>
              <w:t>(地、州)范围内使用的频段，3000-4000兆赫频段由</w:t>
            </w:r>
            <w:r>
              <w:rPr>
                <w:sz w:val="16"/>
                <w:szCs w:val="16"/>
              </w:rPr>
              <w:t>8万 </w:t>
            </w:r>
            <w:r>
              <w:rPr>
                <w:sz w:val="16"/>
                <w:szCs w:val="16"/>
                <w:spacing w:val="1"/>
              </w:rPr>
              <w:t>元/兆赫/年降为5万元/兆赫/年，4000-6000兆赫频段由</w:t>
            </w:r>
            <w:r>
              <w:rPr>
                <w:sz w:val="16"/>
                <w:szCs w:val="16"/>
                <w:spacing w:val="6"/>
              </w:rPr>
              <w:t xml:space="preserve"> </w:t>
            </w:r>
            <w:r>
              <w:rPr>
                <w:sz w:val="16"/>
                <w:szCs w:val="16"/>
              </w:rPr>
              <w:t>8万元/兆赫/年降为3万元/兆赫/年，6000兆赫以上频段</w:t>
            </w:r>
            <w:r>
              <w:rPr>
                <w:sz w:val="16"/>
                <w:szCs w:val="16"/>
                <w:spacing w:val="12"/>
              </w:rPr>
              <w:t xml:space="preserve"> </w:t>
            </w:r>
            <w:r>
              <w:rPr>
                <w:sz w:val="16"/>
                <w:szCs w:val="16"/>
              </w:rPr>
              <w:t>由8万元/兆赫/年降为0.5万元/兆赫/年</w:t>
            </w:r>
          </w:p>
          <w:p>
            <w:pPr>
              <w:pStyle w:val="TableText"/>
              <w:ind w:left="11" w:firstLine="39"/>
              <w:spacing w:before="1" w:line="218" w:lineRule="auto"/>
              <w:rPr>
                <w:sz w:val="16"/>
                <w:szCs w:val="16"/>
              </w:rPr>
            </w:pPr>
            <w:r>
              <w:rPr>
                <w:sz w:val="16"/>
                <w:szCs w:val="16"/>
              </w:rPr>
              <w:t>(二)降低5G公众移动通信系统频率占用费标</w:t>
            </w:r>
            <w:r>
              <w:rPr>
                <w:sz w:val="16"/>
                <w:szCs w:val="16"/>
                <w:spacing w:val="-1"/>
              </w:rPr>
              <w:t>准。为鼓励 </w:t>
            </w:r>
            <w:r>
              <w:rPr>
                <w:sz w:val="16"/>
                <w:szCs w:val="16"/>
                <w:spacing w:val="-3"/>
              </w:rPr>
              <w:t>新技术新业务的发展，对5G公众移动通信系统频率占用费</w:t>
            </w:r>
          </w:p>
        </w:tc>
        <w:tc>
          <w:tcPr>
            <w:tcW w:w="2158" w:type="dxa"/>
            <w:vAlign w:val="top"/>
          </w:tcPr>
          <w:p>
            <w:pPr>
              <w:pStyle w:val="TableText"/>
              <w:ind w:left="34" w:right="25"/>
              <w:spacing w:before="82" w:line="221" w:lineRule="auto"/>
              <w:jc w:val="both"/>
              <w:rPr>
                <w:sz w:val="16"/>
                <w:szCs w:val="16"/>
              </w:rPr>
            </w:pPr>
            <w:r>
              <w:rPr>
                <w:sz w:val="16"/>
                <w:szCs w:val="16"/>
              </w:rPr>
              <w:t>国家发展改革委、财政部《关</w:t>
            </w:r>
            <w:r>
              <w:rPr>
                <w:sz w:val="16"/>
                <w:szCs w:val="16"/>
                <w:spacing w:val="6"/>
              </w:rPr>
              <w:t xml:space="preserve"> </w:t>
            </w:r>
            <w:r>
              <w:rPr>
                <w:sz w:val="16"/>
                <w:szCs w:val="16"/>
                <w:spacing w:val="-1"/>
              </w:rPr>
              <w:t>于降低部分无线电频率占用费</w:t>
            </w:r>
            <w:r>
              <w:rPr>
                <w:sz w:val="16"/>
                <w:szCs w:val="16"/>
                <w:spacing w:val="3"/>
              </w:rPr>
              <w:t xml:space="preserve"> </w:t>
            </w:r>
            <w:r>
              <w:rPr>
                <w:sz w:val="16"/>
                <w:szCs w:val="16"/>
                <w:spacing w:val="-1"/>
              </w:rPr>
              <w:t>标准等有关问题的通知》发改</w:t>
            </w:r>
            <w:r>
              <w:rPr>
                <w:sz w:val="16"/>
                <w:szCs w:val="16"/>
                <w:spacing w:val="5"/>
              </w:rPr>
              <w:t xml:space="preserve"> </w:t>
            </w:r>
            <w:r>
              <w:rPr>
                <w:sz w:val="16"/>
                <w:szCs w:val="16"/>
                <w:spacing w:val="1"/>
              </w:rPr>
              <w:t>价格〔2018〕601号</w:t>
            </w:r>
          </w:p>
        </w:tc>
        <w:tc>
          <w:tcPr>
            <w:tcW w:w="909" w:type="dxa"/>
            <w:vAlign w:val="top"/>
          </w:tcPr>
          <w:p>
            <w:pPr>
              <w:pStyle w:val="TableText"/>
              <w:ind w:left="16" w:right="59" w:firstLine="70"/>
              <w:spacing w:before="61" w:line="226" w:lineRule="auto"/>
              <w:rPr>
                <w:sz w:val="16"/>
                <w:szCs w:val="16"/>
              </w:rPr>
            </w:pPr>
            <w:r>
              <w:rPr>
                <w:sz w:val="16"/>
                <w:szCs w:val="16"/>
                <w:spacing w:val="4"/>
              </w:rPr>
              <w:t>2018年4月</w:t>
            </w:r>
            <w:r>
              <w:rPr>
                <w:sz w:val="16"/>
                <w:szCs w:val="16"/>
                <w:spacing w:val="3"/>
              </w:rPr>
              <w:t xml:space="preserve"> </w:t>
            </w:r>
            <w:r>
              <w:rPr>
                <w:sz w:val="16"/>
                <w:szCs w:val="16"/>
                <w:spacing w:val="2"/>
              </w:rPr>
              <w:t>1日起</w:t>
            </w:r>
          </w:p>
        </w:tc>
        <w:tc>
          <w:tcPr>
            <w:tcW w:w="829" w:type="dxa"/>
            <w:vAlign w:val="top"/>
          </w:tcPr>
          <w:p>
            <w:pPr>
              <w:pStyle w:val="TableText"/>
              <w:ind w:left="18"/>
              <w:spacing w:before="61" w:line="219" w:lineRule="auto"/>
              <w:rPr>
                <w:sz w:val="16"/>
                <w:szCs w:val="16"/>
              </w:rPr>
            </w:pPr>
            <w:r>
              <w:rPr>
                <w:sz w:val="16"/>
                <w:szCs w:val="16"/>
                <w:spacing w:val="-3"/>
              </w:rPr>
              <w:t>收费对象</w:t>
            </w:r>
          </w:p>
        </w:tc>
        <w:tc>
          <w:tcPr>
            <w:tcW w:w="1029" w:type="dxa"/>
            <w:vAlign w:val="top"/>
          </w:tcPr>
          <w:p>
            <w:pPr>
              <w:pStyle w:val="TableText"/>
              <w:ind w:left="39" w:right="37" w:hanging="10"/>
              <w:spacing w:before="61" w:line="225" w:lineRule="auto"/>
              <w:rPr>
                <w:sz w:val="16"/>
                <w:szCs w:val="16"/>
              </w:rPr>
            </w:pPr>
            <w:r>
              <w:rPr>
                <w:sz w:val="16"/>
                <w:szCs w:val="16"/>
                <w:spacing w:val="-2"/>
              </w:rPr>
              <w:t>涉企行政事业</w:t>
            </w:r>
            <w:r>
              <w:rPr>
                <w:sz w:val="16"/>
                <w:szCs w:val="16"/>
                <w:spacing w:val="3"/>
              </w:rPr>
              <w:t xml:space="preserve"> </w:t>
            </w:r>
            <w:r>
              <w:rPr>
                <w:sz w:val="16"/>
                <w:szCs w:val="16"/>
                <w:spacing w:val="-2"/>
              </w:rPr>
              <w:t>性收费</w:t>
            </w:r>
          </w:p>
        </w:tc>
        <w:tc>
          <w:tcPr>
            <w:tcW w:w="464" w:type="dxa"/>
            <w:vAlign w:val="top"/>
          </w:tcPr>
          <w:p>
            <w:pPr>
              <w:pStyle w:val="TableText"/>
              <w:ind w:left="70"/>
              <w:spacing w:before="51" w:line="219" w:lineRule="auto"/>
              <w:rPr>
                <w:sz w:val="16"/>
                <w:szCs w:val="16"/>
              </w:rPr>
            </w:pPr>
            <w:r>
              <w:rPr>
                <w:sz w:val="16"/>
                <w:szCs w:val="16"/>
                <w:spacing w:val="5"/>
              </w:rPr>
              <w:t>降低</w:t>
            </w:r>
          </w:p>
        </w:tc>
      </w:tr>
    </w:tbl>
    <w:p>
      <w:pPr>
        <w:pStyle w:val="BodyText"/>
        <w:rPr/>
      </w:pPr>
      <w:r/>
    </w:p>
    <w:p>
      <w:pPr>
        <w:sectPr>
          <w:pgSz w:w="11910" w:h="8220"/>
          <w:pgMar w:top="400" w:right="1145" w:bottom="400" w:left="809" w:header="0" w:footer="0" w:gutter="0"/>
        </w:sectPr>
        <w:rPr/>
      </w:pPr>
    </w:p>
    <w:p>
      <w:pPr>
        <w:spacing w:before="46"/>
        <w:rPr/>
      </w:pPr>
      <w:r>
        <w:pict>
          <v:shape id="_x0000_s6" style="position:absolute;margin-left:38.9997pt;margin-top:53.2505pt;mso-position-vertical-relative:page;mso-position-horizontal-relative:page;width:10.65pt;height:8.65pt;z-index:251663360;" o:allowincell="f" filled="false" stroked="false" type="#_x0000_t202">
            <v:fill on="false"/>
            <v:stroke on="false"/>
            <v:path/>
            <v:imagedata o:title=""/>
            <o:lock v:ext="edit" aspectratio="false"/>
            <v:textbox inset="0mm,0mm,0mm,0mm">
              <w:txbxContent>
                <w:p>
                  <w:pPr>
                    <w:pStyle w:val="BodyText"/>
                    <w:ind w:left="20"/>
                    <w:spacing w:before="20" w:line="198" w:lineRule="auto"/>
                    <w:rPr>
                      <w:sz w:val="14"/>
                      <w:szCs w:val="14"/>
                    </w:rPr>
                  </w:pPr>
                  <w:r>
                    <w:rPr>
                      <w:sz w:val="14"/>
                      <w:szCs w:val="14"/>
                      <w:b/>
                      <w:bCs/>
                      <w:spacing w:val="-2"/>
                    </w:rPr>
                    <w:t>C0</w:t>
                  </w:r>
                </w:p>
              </w:txbxContent>
            </v:textbox>
          </v:shape>
        </w:pict>
      </w:r>
      <w:r/>
    </w:p>
    <w:p>
      <w:pPr>
        <w:spacing w:before="46"/>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38"/>
        <w:gridCol w:w="909"/>
        <w:gridCol w:w="859"/>
        <w:gridCol w:w="1009"/>
        <w:gridCol w:w="474"/>
      </w:tblGrid>
      <w:tr>
        <w:trPr>
          <w:trHeight w:val="50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81" w:line="219" w:lineRule="auto"/>
              <w:rPr/>
            </w:pPr>
            <w:r>
              <w:rPr>
                <w:spacing w:val="-2"/>
              </w:rPr>
              <w:t>主要内容</w:t>
            </w:r>
          </w:p>
        </w:tc>
        <w:tc>
          <w:tcPr>
            <w:tcW w:w="2138" w:type="dxa"/>
            <w:vAlign w:val="top"/>
          </w:tcPr>
          <w:p>
            <w:pPr>
              <w:pStyle w:val="TableText"/>
              <w:ind w:left="774"/>
              <w:spacing w:before="180" w:line="219" w:lineRule="auto"/>
              <w:rPr/>
            </w:pPr>
            <w:r>
              <w:rPr>
                <w:spacing w:val="-1"/>
              </w:rPr>
              <w:t>政策依据</w:t>
            </w:r>
          </w:p>
        </w:tc>
        <w:tc>
          <w:tcPr>
            <w:tcW w:w="909" w:type="dxa"/>
            <w:vAlign w:val="top"/>
          </w:tcPr>
          <w:p>
            <w:pPr>
              <w:pStyle w:val="TableText"/>
              <w:ind w:left="157"/>
              <w:spacing w:before="181" w:line="219" w:lineRule="auto"/>
              <w:rPr/>
            </w:pPr>
            <w:r>
              <w:rPr>
                <w:spacing w:val="3"/>
              </w:rPr>
              <w:t>执行时间</w:t>
            </w:r>
          </w:p>
        </w:tc>
        <w:tc>
          <w:tcPr>
            <w:tcW w:w="859" w:type="dxa"/>
            <w:vAlign w:val="top"/>
          </w:tcPr>
          <w:p>
            <w:pPr>
              <w:pStyle w:val="TableText"/>
              <w:ind w:left="277" w:right="133" w:hanging="150"/>
              <w:spacing w:before="8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88"/>
              <w:spacing w:before="181" w:line="219" w:lineRule="auto"/>
              <w:rPr/>
            </w:pPr>
            <w:r>
              <w:rPr>
                <w:spacing w:val="-1"/>
              </w:rPr>
              <w:t>政策类别</w:t>
            </w:r>
          </w:p>
        </w:tc>
        <w:tc>
          <w:tcPr>
            <w:tcW w:w="474" w:type="dxa"/>
            <w:vAlign w:val="top"/>
          </w:tcPr>
          <w:p>
            <w:pPr>
              <w:pStyle w:val="TableText"/>
              <w:ind w:left="80" w:right="89"/>
              <w:spacing w:before="71" w:line="246" w:lineRule="auto"/>
              <w:rPr/>
            </w:pPr>
            <w:r>
              <w:rPr>
                <w:spacing w:val="-3"/>
              </w:rPr>
              <w:t>政策</w:t>
            </w:r>
            <w:r>
              <w:rPr/>
              <w:t xml:space="preserve"> </w:t>
            </w:r>
            <w:r>
              <w:rPr>
                <w:spacing w:val="-4"/>
              </w:rPr>
              <w:t>形式</w:t>
            </w:r>
          </w:p>
        </w:tc>
      </w:tr>
      <w:tr>
        <w:trPr>
          <w:trHeight w:val="5646" w:hRule="atLeast"/>
        </w:trPr>
        <w:tc>
          <w:tcPr>
            <w:tcW w:w="29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94"/>
              <w:spacing w:before="49" w:line="183" w:lineRule="auto"/>
              <w:rPr/>
            </w:pPr>
            <w:r>
              <w:rPr/>
              <w:t>9</w:t>
            </w:r>
          </w:p>
        </w:tc>
        <w:tc>
          <w:tcPr>
            <w:tcW w:w="3966" w:type="dxa"/>
            <w:vAlign w:val="top"/>
          </w:tcPr>
          <w:p>
            <w:pPr>
              <w:pStyle w:val="TableText"/>
              <w:ind w:left="21"/>
              <w:spacing w:before="77" w:line="219" w:lineRule="auto"/>
              <w:rPr/>
            </w:pPr>
            <w:r>
              <w:rPr/>
              <w:t>标准实行“头三年减免，后三年逐步到位”的优惠政策，即</w:t>
            </w:r>
          </w:p>
          <w:p>
            <w:pPr>
              <w:pStyle w:val="TableText"/>
              <w:ind w:left="31" w:right="97" w:firstLine="69"/>
              <w:spacing w:before="21" w:line="233" w:lineRule="auto"/>
              <w:rPr/>
            </w:pPr>
            <w:r>
              <w:rPr/>
              <w:t>自5G公众通信系统频率使用许可证发放之日起，第一年至</w:t>
            </w:r>
            <w:r>
              <w:rPr>
                <w:spacing w:val="6"/>
              </w:rPr>
              <w:t xml:space="preserve"> </w:t>
            </w:r>
            <w:r>
              <w:rPr>
                <w:spacing w:val="-1"/>
              </w:rPr>
              <w:t>第三年(按财务年度计算，下同)免收无线电频率占用费</w:t>
            </w:r>
          </w:p>
          <w:p>
            <w:pPr>
              <w:pStyle w:val="TableText"/>
              <w:ind w:left="41"/>
              <w:spacing w:before="22" w:line="219" w:lineRule="auto"/>
              <w:rPr/>
            </w:pPr>
            <w:r>
              <w:rPr/>
              <w:t>第四年至第六年分别按照国家规定收费标准的</w:t>
            </w:r>
            <w:r>
              <w:rPr>
                <w:spacing w:val="-1"/>
              </w:rPr>
              <w:t>25%、50%</w:t>
            </w:r>
          </w:p>
          <w:p>
            <w:pPr>
              <w:pStyle w:val="TableText"/>
              <w:ind w:left="41" w:right="79" w:firstLine="20"/>
              <w:spacing w:before="21" w:line="233" w:lineRule="auto"/>
              <w:rPr/>
            </w:pPr>
            <w:r>
              <w:rPr>
                <w:spacing w:val="-1"/>
              </w:rPr>
              <w:t>75%收取无线电频率占用费，第七年及以后按照国家规定收</w:t>
            </w:r>
            <w:r>
              <w:rPr>
                <w:spacing w:val="16"/>
              </w:rPr>
              <w:t xml:space="preserve"> </w:t>
            </w:r>
            <w:r>
              <w:rPr>
                <w:spacing w:val="-1"/>
              </w:rPr>
              <w:t>费标准的100%收取无线电频率占用费。</w:t>
            </w:r>
          </w:p>
          <w:p>
            <w:pPr>
              <w:pStyle w:val="TableText"/>
              <w:ind w:left="21" w:right="245" w:firstLine="59"/>
              <w:spacing w:before="22" w:line="237" w:lineRule="auto"/>
              <w:jc w:val="both"/>
              <w:rPr/>
            </w:pPr>
            <w:r>
              <w:rPr/>
              <w:t>(三)对使用范围受限(如仅限于室内使用)的公众移动通</w:t>
            </w:r>
            <w:r>
              <w:rPr>
                <w:spacing w:val="4"/>
              </w:rPr>
              <w:t xml:space="preserve"> </w:t>
            </w:r>
            <w:r>
              <w:rPr/>
              <w:t>信系统频段，按照国家规定收费标准的30%收取无线电频</w:t>
            </w:r>
            <w:r>
              <w:rPr>
                <w:spacing w:val="13"/>
              </w:rPr>
              <w:t xml:space="preserve"> </w:t>
            </w:r>
            <w:r>
              <w:rPr>
                <w:spacing w:val="-1"/>
              </w:rPr>
              <w:t>率占用费。</w:t>
            </w:r>
          </w:p>
          <w:p>
            <w:pPr>
              <w:pStyle w:val="TableText"/>
              <w:ind w:left="41"/>
              <w:spacing w:before="12" w:line="219" w:lineRule="auto"/>
              <w:rPr/>
            </w:pPr>
            <w:r>
              <w:rPr>
                <w:spacing w:val="-1"/>
              </w:rPr>
              <w:t>二、卫星通信系统频率占用费标准</w:t>
            </w:r>
          </w:p>
          <w:p>
            <w:pPr>
              <w:pStyle w:val="TableText"/>
              <w:ind w:left="41" w:right="86" w:firstLine="59"/>
              <w:spacing w:before="33" w:line="239" w:lineRule="auto"/>
              <w:rPr/>
            </w:pPr>
            <w:r>
              <w:rPr/>
              <w:t>(一)调整网络化运营的高通量卫星系统频率占用费收费方</w:t>
            </w:r>
            <w:r>
              <w:rPr>
                <w:spacing w:val="4"/>
              </w:rPr>
              <w:t xml:space="preserve"> </w:t>
            </w:r>
            <w:r>
              <w:rPr>
                <w:spacing w:val="2"/>
              </w:rPr>
              <w:t>式。根据高通量卫星系统的技术和运营特点，调整</w:t>
            </w:r>
            <w:r>
              <w:rPr/>
              <w:t>Ka</w:t>
            </w:r>
            <w:r>
              <w:rPr>
                <w:spacing w:val="2"/>
              </w:rPr>
              <w:t>频段 </w:t>
            </w:r>
            <w:r>
              <w:rPr>
                <w:spacing w:val="2"/>
              </w:rPr>
              <w:t>(17.7-21.2吉赫、27.5-31吉赫)高通量卫星系统频率占用</w:t>
            </w:r>
            <w:r>
              <w:rPr>
                <w:spacing w:val="9"/>
              </w:rPr>
              <w:t xml:space="preserve"> </w:t>
            </w:r>
            <w:r>
              <w:rPr>
                <w:spacing w:val="1"/>
              </w:rPr>
              <w:t>费收费方式，即由按照空间电台500元/兆赫/年(发射)</w:t>
            </w:r>
          </w:p>
          <w:p>
            <w:pPr>
              <w:pStyle w:val="TableText"/>
              <w:ind w:left="41"/>
              <w:spacing w:before="12" w:line="219" w:lineRule="auto"/>
              <w:rPr/>
            </w:pPr>
            <w:r>
              <w:rPr/>
              <w:t>地球站250元/兆赫/年(发射)分别向卫</w:t>
            </w:r>
            <w:r>
              <w:rPr>
                <w:spacing w:val="-1"/>
              </w:rPr>
              <w:t>星业务运营商和</w:t>
            </w:r>
          </w:p>
          <w:p>
            <w:pPr>
              <w:pStyle w:val="TableText"/>
              <w:ind w:left="31" w:right="86" w:firstLine="69"/>
              <w:spacing w:before="31" w:line="233" w:lineRule="auto"/>
              <w:rPr/>
            </w:pPr>
            <w:r>
              <w:rPr/>
              <w:t>网内终端用户收取，改为根据卫星系统业务频率实际占用</w:t>
            </w:r>
            <w:r>
              <w:rPr>
                <w:spacing w:val="17"/>
              </w:rPr>
              <w:t xml:space="preserve"> </w:t>
            </w:r>
            <w:r>
              <w:rPr>
                <w:spacing w:val="-1"/>
              </w:rPr>
              <w:t>带宽，按照500元/兆赫/年向卫星业务运营商收取，不再</w:t>
            </w:r>
          </w:p>
          <w:p>
            <w:pPr>
              <w:pStyle w:val="TableText"/>
              <w:ind w:left="11" w:right="17" w:firstLine="10"/>
              <w:spacing w:before="1"/>
              <w:rPr/>
            </w:pPr>
            <w:r>
              <w:rPr/>
              <w:t>收取网内终端用户地球站和卫星业务运营商关口站频率占用</w:t>
            </w:r>
            <w:r>
              <w:rPr>
                <w:spacing w:val="16"/>
              </w:rPr>
              <w:t xml:space="preserve"> </w:t>
            </w:r>
            <w:r>
              <w:rPr>
                <w:spacing w:val="-2"/>
              </w:rPr>
              <w:t>费。</w:t>
            </w:r>
          </w:p>
          <w:p>
            <w:pPr>
              <w:pStyle w:val="TableText"/>
              <w:ind w:left="80"/>
              <w:spacing w:before="30" w:line="219" w:lineRule="auto"/>
              <w:rPr/>
            </w:pPr>
            <w:r>
              <w:rPr/>
              <w:t>(二)降低开展空间科学研究的卫星系统频率占用费标准</w:t>
            </w:r>
          </w:p>
          <w:p>
            <w:pPr>
              <w:pStyle w:val="TableText"/>
              <w:ind w:left="21"/>
              <w:spacing w:before="2" w:line="219" w:lineRule="auto"/>
              <w:rPr/>
            </w:pPr>
            <w:r>
              <w:rPr/>
              <w:t>对列入国家重大专项，用于开展空间科学研</w:t>
            </w:r>
            <w:r>
              <w:rPr>
                <w:spacing w:val="-1"/>
              </w:rPr>
              <w:t>究的空间电台和</w:t>
            </w:r>
          </w:p>
          <w:p>
            <w:pPr>
              <w:pStyle w:val="TableText"/>
              <w:ind w:left="31" w:right="395" w:firstLine="10"/>
              <w:spacing w:before="42" w:line="233" w:lineRule="auto"/>
              <w:rPr/>
            </w:pPr>
            <w:r>
              <w:rPr>
                <w:spacing w:val="-1"/>
              </w:rPr>
              <w:t>地球站，按照国家规定收费标准的50%收取频率占用费</w:t>
            </w:r>
            <w:r>
              <w:rPr>
                <w:spacing w:val="18"/>
              </w:rPr>
              <w:t xml:space="preserve"> </w:t>
            </w:r>
            <w:r>
              <w:rPr/>
              <w:t>即空间电台250元/兆赫/年(发射)、地球站125元/兆</w:t>
            </w:r>
          </w:p>
          <w:p>
            <w:pPr>
              <w:pStyle w:val="TableText"/>
              <w:ind w:left="41"/>
              <w:spacing w:before="2" w:line="219" w:lineRule="auto"/>
              <w:rPr/>
            </w:pPr>
            <w:r>
              <w:rPr>
                <w:spacing w:val="-8"/>
              </w:rPr>
              <w:t>赫</w:t>
            </w:r>
            <w:r>
              <w:rPr>
                <w:spacing w:val="-28"/>
              </w:rPr>
              <w:t xml:space="preserve"> </w:t>
            </w:r>
            <w:r>
              <w:rPr>
                <w:spacing w:val="-8"/>
              </w:rPr>
              <w:t>/</w:t>
            </w:r>
            <w:r>
              <w:rPr>
                <w:spacing w:val="-27"/>
              </w:rPr>
              <w:t xml:space="preserve"> </w:t>
            </w:r>
            <w:r>
              <w:rPr>
                <w:spacing w:val="-8"/>
              </w:rPr>
              <w:t>年 (</w:t>
            </w:r>
            <w:r>
              <w:rPr>
                <w:spacing w:val="-25"/>
              </w:rPr>
              <w:t xml:space="preserve"> </w:t>
            </w:r>
            <w:r>
              <w:rPr>
                <w:spacing w:val="-8"/>
              </w:rPr>
              <w:t>发</w:t>
            </w:r>
            <w:r>
              <w:rPr>
                <w:spacing w:val="-27"/>
              </w:rPr>
              <w:t xml:space="preserve"> </w:t>
            </w:r>
            <w:r>
              <w:rPr>
                <w:spacing w:val="-8"/>
              </w:rPr>
              <w:t>射</w:t>
            </w:r>
            <w:r>
              <w:rPr>
                <w:spacing w:val="-26"/>
              </w:rPr>
              <w:t xml:space="preserve"> </w:t>
            </w:r>
            <w:r>
              <w:rPr>
                <w:spacing w:val="-8"/>
              </w:rPr>
              <w:t>)</w:t>
            </w:r>
          </w:p>
          <w:p>
            <w:pPr>
              <w:pStyle w:val="TableText"/>
              <w:ind w:left="21" w:right="16" w:firstLine="79"/>
              <w:spacing w:before="42" w:line="226" w:lineRule="auto"/>
              <w:rPr/>
            </w:pPr>
            <w:r>
              <w:rPr/>
              <w:t>除网络化运营的Ka频段高通量卫星系统、开展空间科学研</w:t>
            </w:r>
            <w:r>
              <w:rPr>
                <w:spacing w:val="2"/>
              </w:rPr>
              <w:t xml:space="preserve">  </w:t>
            </w:r>
            <w:r>
              <w:rPr/>
              <w:t>究的国家重大专项卫星系统外，其他卫星通信系统频率占用</w:t>
            </w:r>
          </w:p>
          <w:p>
            <w:pPr>
              <w:pStyle w:val="TableText"/>
              <w:ind w:left="21" w:right="98" w:firstLine="79"/>
              <w:spacing w:before="33" w:line="221" w:lineRule="auto"/>
              <w:rPr/>
            </w:pPr>
            <w:r>
              <w:rPr/>
              <w:t>费标准仍按现行规定执行，即空间电台500元/兆赫/年(发</w:t>
            </w:r>
            <w:r>
              <w:rPr>
                <w:spacing w:val="5"/>
              </w:rPr>
              <w:t xml:space="preserve"> </w:t>
            </w:r>
            <w:r>
              <w:rPr>
                <w:spacing w:val="-1"/>
              </w:rPr>
              <w:t>射)、地球站250元/兆赫/年(发射)。</w:t>
            </w:r>
          </w:p>
        </w:tc>
        <w:tc>
          <w:tcPr>
            <w:tcW w:w="2138" w:type="dxa"/>
            <w:vAlign w:val="top"/>
          </w:tcPr>
          <w:p>
            <w:pPr>
              <w:rPr>
                <w:rFonts w:ascii="Arial"/>
                <w:sz w:val="21"/>
              </w:rPr>
            </w:pPr>
            <w:r/>
          </w:p>
        </w:tc>
        <w:tc>
          <w:tcPr>
            <w:tcW w:w="909" w:type="dxa"/>
            <w:vAlign w:val="top"/>
          </w:tcPr>
          <w:p>
            <w:pPr>
              <w:rPr>
                <w:rFonts w:ascii="Arial"/>
                <w:sz w:val="21"/>
              </w:rPr>
            </w:pPr>
            <w:r/>
          </w:p>
        </w:tc>
        <w:tc>
          <w:tcPr>
            <w:tcW w:w="859" w:type="dxa"/>
            <w:vAlign w:val="top"/>
          </w:tcPr>
          <w:p>
            <w:pPr>
              <w:rPr>
                <w:rFonts w:ascii="Arial"/>
                <w:sz w:val="21"/>
              </w:rPr>
            </w:pPr>
            <w:r/>
          </w:p>
        </w:tc>
        <w:tc>
          <w:tcPr>
            <w:tcW w:w="100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46"/>
        <w:rPr/>
      </w:pPr>
      <w:r/>
    </w:p>
    <w:p>
      <w:pPr>
        <w:spacing w:before="46"/>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909"/>
        <w:gridCol w:w="829"/>
        <w:gridCol w:w="1029"/>
        <w:gridCol w:w="464"/>
      </w:tblGrid>
      <w:tr>
        <w:trPr>
          <w:trHeight w:val="493"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29" w:type="dxa"/>
            <w:vAlign w:val="top"/>
          </w:tcPr>
          <w:p>
            <w:pPr>
              <w:pStyle w:val="TableText"/>
              <w:ind w:left="267" w:right="93" w:hanging="13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1296" w:hRule="atLeast"/>
        </w:trPr>
        <w:tc>
          <w:tcPr>
            <w:tcW w:w="284" w:type="dxa"/>
            <w:vAlign w:val="top"/>
          </w:tcPr>
          <w:p>
            <w:pPr>
              <w:spacing w:line="281" w:lineRule="auto"/>
              <w:rPr>
                <w:rFonts w:ascii="Arial"/>
                <w:sz w:val="21"/>
              </w:rPr>
            </w:pPr>
            <w:r/>
          </w:p>
          <w:p>
            <w:pPr>
              <w:spacing w:line="282" w:lineRule="auto"/>
              <w:rPr>
                <w:rFonts w:ascii="Arial"/>
                <w:sz w:val="21"/>
              </w:rPr>
            </w:pPr>
            <w:r/>
          </w:p>
          <w:p>
            <w:pPr>
              <w:pStyle w:val="TableText"/>
              <w:ind w:left="55"/>
              <w:spacing w:before="49" w:line="184" w:lineRule="auto"/>
              <w:rPr/>
            </w:pPr>
            <w:r>
              <w:rPr>
                <w:spacing w:val="-5"/>
              </w:rPr>
              <w:t>10</w:t>
            </w:r>
          </w:p>
        </w:tc>
        <w:tc>
          <w:tcPr>
            <w:tcW w:w="3956" w:type="dxa"/>
            <w:vAlign w:val="top"/>
          </w:tcPr>
          <w:p>
            <w:pPr>
              <w:pStyle w:val="TableText"/>
              <w:ind w:left="21" w:right="8"/>
              <w:spacing w:before="186" w:line="246" w:lineRule="auto"/>
              <w:jc w:val="both"/>
              <w:rPr/>
            </w:pPr>
            <w:r>
              <w:rPr/>
              <w:t>在全国范围内统一停征排污费和海洋工程污水排污费。其中</w:t>
            </w:r>
            <w:r>
              <w:rPr>
                <w:spacing w:val="15"/>
              </w:rPr>
              <w:t xml:space="preserve"> </w:t>
            </w:r>
            <w:r>
              <w:rPr/>
              <w:t>排污费包括：污水排污费、废气排污费、固</w:t>
            </w:r>
            <w:r>
              <w:rPr>
                <w:spacing w:val="-1"/>
              </w:rPr>
              <w:t>体废物及危险废</w:t>
            </w:r>
            <w:r>
              <w:rPr/>
              <w:t xml:space="preserve"> </w:t>
            </w:r>
            <w:r>
              <w:rPr/>
              <w:t>物排污费、噪声超标排污费和挥发性有机物</w:t>
            </w:r>
            <w:r>
              <w:rPr>
                <w:spacing w:val="-1"/>
              </w:rPr>
              <w:t>排污收费；海洋</w:t>
            </w:r>
            <w:r>
              <w:rPr/>
              <w:t xml:space="preserve"> </w:t>
            </w:r>
            <w:r>
              <w:rPr>
                <w:spacing w:val="-1"/>
              </w:rPr>
              <w:t>工程污水排污费包括：生产污水与机舱污水排污费、钻井泥</w:t>
            </w:r>
            <w:r>
              <w:rPr>
                <w:spacing w:val="17"/>
              </w:rPr>
              <w:t xml:space="preserve"> </w:t>
            </w:r>
            <w:r>
              <w:rPr>
                <w:spacing w:val="-1"/>
              </w:rPr>
              <w:t>浆与钻屑排污费、生活污水排污费和生活垃圾排污费</w:t>
            </w:r>
          </w:p>
        </w:tc>
        <w:tc>
          <w:tcPr>
            <w:tcW w:w="2158" w:type="dxa"/>
            <w:vAlign w:val="top"/>
          </w:tcPr>
          <w:p>
            <w:pPr>
              <w:pStyle w:val="TableText"/>
              <w:ind w:left="40" w:right="46" w:firstLine="54"/>
              <w:spacing w:before="189" w:line="241" w:lineRule="auto"/>
              <w:jc w:val="both"/>
              <w:rPr/>
            </w:pPr>
            <w:r>
              <w:rPr>
                <w:spacing w:val="-1"/>
              </w:rPr>
              <w:t>财政部、国家发展改革委、环</w:t>
            </w:r>
            <w:r>
              <w:rPr>
                <w:spacing w:val="2"/>
              </w:rPr>
              <w:t xml:space="preserve">  </w:t>
            </w:r>
            <w:r>
              <w:rPr>
                <w:spacing w:val="3"/>
              </w:rPr>
              <w:t>境保护部、国家海洋局《关于</w:t>
            </w:r>
            <w:r>
              <w:rPr>
                <w:spacing w:val="4"/>
              </w:rPr>
              <w:t xml:space="preserve">  </w:t>
            </w:r>
            <w:r>
              <w:rPr>
                <w:spacing w:val="3"/>
              </w:rPr>
              <w:t>停征排污费等行政事业性收费</w:t>
            </w:r>
            <w:r>
              <w:rPr>
                <w:spacing w:val="4"/>
              </w:rPr>
              <w:t xml:space="preserve">  </w:t>
            </w:r>
            <w:r>
              <w:rPr>
                <w:spacing w:val="-6"/>
              </w:rPr>
              <w:t>有 关 事 项 的 通 知 》 财 税</w:t>
            </w:r>
            <w:r>
              <w:rPr/>
              <w:t xml:space="preserve"> </w:t>
            </w:r>
            <w:r>
              <w:rPr>
                <w:spacing w:val="8"/>
              </w:rPr>
              <w:t>〔2018〕4号</w:t>
            </w:r>
          </w:p>
        </w:tc>
        <w:tc>
          <w:tcPr>
            <w:tcW w:w="909" w:type="dxa"/>
            <w:vAlign w:val="top"/>
          </w:tcPr>
          <w:p>
            <w:pPr>
              <w:pStyle w:val="TableText"/>
              <w:ind w:left="26" w:right="1"/>
              <w:spacing w:before="188" w:line="233" w:lineRule="auto"/>
              <w:rPr/>
            </w:pPr>
            <w:r>
              <w:rPr>
                <w:spacing w:val="19"/>
                <w:w w:val="109"/>
              </w:rPr>
              <w:t>2018年1月</w:t>
            </w:r>
            <w:r>
              <w:rPr/>
              <w:t xml:space="preserve"> </w:t>
            </w:r>
            <w:r>
              <w:rPr>
                <w:spacing w:val="-4"/>
              </w:rPr>
              <w:t>1日起</w:t>
            </w:r>
          </w:p>
        </w:tc>
        <w:tc>
          <w:tcPr>
            <w:tcW w:w="829" w:type="dxa"/>
            <w:vAlign w:val="top"/>
          </w:tcPr>
          <w:p>
            <w:pPr>
              <w:pStyle w:val="TableText"/>
              <w:ind w:left="18"/>
              <w:spacing w:before="188" w:line="219" w:lineRule="auto"/>
              <w:rPr/>
            </w:pPr>
            <w:r>
              <w:rPr>
                <w:spacing w:val="-3"/>
              </w:rPr>
              <w:t>收费对象</w:t>
            </w:r>
          </w:p>
        </w:tc>
        <w:tc>
          <w:tcPr>
            <w:tcW w:w="1029" w:type="dxa"/>
            <w:vAlign w:val="top"/>
          </w:tcPr>
          <w:p>
            <w:pPr>
              <w:pStyle w:val="TableText"/>
              <w:ind w:left="39" w:right="67" w:firstLine="20"/>
              <w:spacing w:before="189" w:line="226" w:lineRule="auto"/>
              <w:rPr/>
            </w:pPr>
            <w:r>
              <w:rPr>
                <w:spacing w:val="-2"/>
              </w:rPr>
              <w:t>涉企行政事业</w:t>
            </w:r>
            <w:r>
              <w:rPr>
                <w:spacing w:val="3"/>
              </w:rPr>
              <w:t xml:space="preserve"> </w:t>
            </w:r>
            <w:r>
              <w:rPr>
                <w:spacing w:val="-2"/>
              </w:rPr>
              <w:t>性收费</w:t>
            </w:r>
          </w:p>
        </w:tc>
        <w:tc>
          <w:tcPr>
            <w:tcW w:w="464" w:type="dxa"/>
            <w:vAlign w:val="top"/>
          </w:tcPr>
          <w:p>
            <w:pPr>
              <w:pStyle w:val="TableText"/>
              <w:ind w:left="80"/>
              <w:spacing w:before="188" w:line="219" w:lineRule="auto"/>
              <w:rPr/>
            </w:pPr>
            <w:r>
              <w:rPr>
                <w:spacing w:val="-2"/>
              </w:rPr>
              <w:t>停征</w:t>
            </w:r>
          </w:p>
        </w:tc>
      </w:tr>
      <w:tr>
        <w:trPr>
          <w:trHeight w:val="409" w:hRule="atLeast"/>
        </w:trPr>
        <w:tc>
          <w:tcPr>
            <w:shd w:val="clear" w:fill="DCDDDD"/>
            <w:tcW w:w="9629" w:type="dxa"/>
            <w:vAlign w:val="top"/>
            <w:gridSpan w:val="7"/>
          </w:tcPr>
          <w:p>
            <w:pPr>
              <w:pStyle w:val="TableText"/>
              <w:ind w:left="4017"/>
              <w:spacing w:before="130" w:line="219" w:lineRule="auto"/>
              <w:rPr/>
            </w:pPr>
            <w:r>
              <w:rPr>
                <w:b/>
                <w:bCs/>
                <w:spacing w:val="-3"/>
              </w:rPr>
              <w:t>三、涉企经营服务性收费</w:t>
            </w:r>
          </w:p>
        </w:tc>
      </w:tr>
      <w:tr>
        <w:trPr>
          <w:trHeight w:val="1081" w:hRule="atLeast"/>
        </w:trPr>
        <w:tc>
          <w:tcPr>
            <w:tcW w:w="284" w:type="dxa"/>
            <w:vAlign w:val="top"/>
          </w:tcPr>
          <w:p>
            <w:pPr>
              <w:spacing w:line="250" w:lineRule="auto"/>
              <w:rPr>
                <w:rFonts w:ascii="Arial"/>
                <w:sz w:val="21"/>
              </w:rPr>
            </w:pPr>
            <w:r/>
          </w:p>
          <w:p>
            <w:pPr>
              <w:spacing w:line="251" w:lineRule="auto"/>
              <w:rPr>
                <w:rFonts w:ascii="Arial"/>
                <w:sz w:val="21"/>
              </w:rPr>
            </w:pPr>
            <w:r/>
          </w:p>
          <w:p>
            <w:pPr>
              <w:pStyle w:val="TableText"/>
              <w:ind w:left="114"/>
              <w:spacing w:before="20" w:line="184" w:lineRule="auto"/>
              <w:rPr>
                <w:sz w:val="6"/>
                <w:szCs w:val="6"/>
              </w:rPr>
            </w:pPr>
            <w:r>
              <w:rPr>
                <w:sz w:val="6"/>
                <w:szCs w:val="6"/>
              </w:rPr>
              <w:t>1</w:t>
            </w:r>
          </w:p>
        </w:tc>
        <w:tc>
          <w:tcPr>
            <w:tcW w:w="3956" w:type="dxa"/>
            <w:vAlign w:val="top"/>
          </w:tcPr>
          <w:p>
            <w:pPr>
              <w:pStyle w:val="TableText"/>
              <w:ind w:left="31" w:right="110" w:firstLine="59"/>
              <w:spacing w:before="183" w:line="232" w:lineRule="auto"/>
              <w:rPr/>
            </w:pPr>
            <w:r>
              <w:rPr/>
              <w:t>推动企业降低中小企业宽带和专线平均资费，</w:t>
            </w:r>
            <w:r>
              <w:rPr>
                <w:spacing w:val="-1"/>
              </w:rPr>
              <w:t>2021年再降</w:t>
            </w:r>
            <w:r>
              <w:rPr/>
              <w:t xml:space="preserve"> </w:t>
            </w:r>
            <w:r>
              <w:rPr>
                <w:spacing w:val="-6"/>
              </w:rPr>
              <w:t>10%。</w:t>
            </w:r>
          </w:p>
        </w:tc>
        <w:tc>
          <w:tcPr>
            <w:tcW w:w="2158" w:type="dxa"/>
            <w:vAlign w:val="top"/>
          </w:tcPr>
          <w:p>
            <w:pPr>
              <w:pStyle w:val="TableText"/>
              <w:ind w:left="93" w:hanging="79"/>
              <w:spacing w:before="164" w:line="245" w:lineRule="auto"/>
              <w:rPr/>
            </w:pPr>
            <w:r>
              <w:rPr>
                <w:spacing w:val="-8"/>
              </w:rPr>
              <w:t>工业和信息化部《关于印发《“双</w:t>
            </w:r>
            <w:r>
              <w:rPr>
                <w:spacing w:val="2"/>
              </w:rPr>
              <w:t xml:space="preserve"> </w:t>
            </w:r>
            <w:r>
              <w:rPr>
                <w:spacing w:val="-2"/>
              </w:rPr>
              <w:t>千兆”网络协同发展行动计划  </w:t>
            </w:r>
            <w:r>
              <w:rPr>
                <w:spacing w:val="2"/>
              </w:rPr>
              <w:t>(2021-2023年)》的通知》工</w:t>
            </w:r>
          </w:p>
          <w:p>
            <w:pPr>
              <w:pStyle w:val="TableText"/>
              <w:ind w:left="54"/>
              <w:spacing w:before="12" w:line="219" w:lineRule="auto"/>
              <w:rPr/>
            </w:pPr>
            <w:r>
              <w:rPr>
                <w:spacing w:val="-1"/>
              </w:rPr>
              <w:t>信部通信〔2021〕34号</w:t>
            </w:r>
          </w:p>
        </w:tc>
        <w:tc>
          <w:tcPr>
            <w:tcW w:w="909" w:type="dxa"/>
            <w:vAlign w:val="top"/>
          </w:tcPr>
          <w:p>
            <w:pPr>
              <w:pStyle w:val="TableText"/>
              <w:ind w:left="26" w:right="1"/>
              <w:spacing w:before="152" w:line="246" w:lineRule="auto"/>
              <w:jc w:val="both"/>
              <w:rPr/>
            </w:pPr>
            <w:r>
              <w:rPr>
                <w:spacing w:val="17"/>
                <w:w w:val="111"/>
              </w:rPr>
              <w:t>2021年3月</w:t>
            </w:r>
            <w:r>
              <w:rPr>
                <w:spacing w:val="1"/>
              </w:rPr>
              <w:t xml:space="preserve"> </w:t>
            </w:r>
            <w:r>
              <w:rPr>
                <w:spacing w:val="-14"/>
              </w:rPr>
              <w:t>2</w:t>
            </w:r>
            <w:r>
              <w:rPr>
                <w:spacing w:val="-28"/>
              </w:rPr>
              <w:t xml:space="preserve"> </w:t>
            </w:r>
            <w:r>
              <w:rPr>
                <w:spacing w:val="-14"/>
              </w:rPr>
              <w:t>4 日 (</w:t>
            </w:r>
            <w:r>
              <w:rPr>
                <w:spacing w:val="-31"/>
              </w:rPr>
              <w:t xml:space="preserve"> </w:t>
            </w:r>
            <w:r>
              <w:rPr>
                <w:spacing w:val="-14"/>
              </w:rPr>
              <w:t>成</w:t>
            </w:r>
            <w:r>
              <w:rPr>
                <w:spacing w:val="-32"/>
              </w:rPr>
              <w:t xml:space="preserve"> </w:t>
            </w:r>
            <w:r>
              <w:rPr>
                <w:spacing w:val="-14"/>
              </w:rPr>
              <w:t>文</w:t>
            </w:r>
            <w:r>
              <w:rPr/>
              <w:t xml:space="preserve"> </w:t>
            </w:r>
            <w:r>
              <w:rPr>
                <w:spacing w:val="9"/>
              </w:rPr>
              <w:t>日期)</w:t>
            </w:r>
          </w:p>
        </w:tc>
        <w:tc>
          <w:tcPr>
            <w:tcW w:w="829" w:type="dxa"/>
            <w:vAlign w:val="top"/>
          </w:tcPr>
          <w:p>
            <w:pPr>
              <w:pStyle w:val="TableText"/>
              <w:ind w:left="18"/>
              <w:spacing w:before="163" w:line="220" w:lineRule="auto"/>
              <w:rPr/>
            </w:pPr>
            <w:r>
              <w:rPr>
                <w:spacing w:val="1"/>
              </w:rPr>
              <w:t>中小企业</w:t>
            </w:r>
          </w:p>
        </w:tc>
        <w:tc>
          <w:tcPr>
            <w:tcW w:w="1029" w:type="dxa"/>
            <w:vAlign w:val="top"/>
          </w:tcPr>
          <w:p>
            <w:pPr>
              <w:pStyle w:val="TableText"/>
              <w:ind w:left="29" w:right="52" w:firstLine="30"/>
              <w:spacing w:before="152"/>
              <w:rPr/>
            </w:pPr>
            <w:r>
              <w:rPr>
                <w:spacing w:val="1"/>
              </w:rPr>
              <w:t>宽带和专线平</w:t>
            </w:r>
            <w:r>
              <w:rPr/>
              <w:t xml:space="preserve"> </w:t>
            </w:r>
            <w:r>
              <w:rPr>
                <w:spacing w:val="-2"/>
              </w:rPr>
              <w:t>均资费</w:t>
            </w:r>
          </w:p>
        </w:tc>
        <w:tc>
          <w:tcPr>
            <w:tcW w:w="464" w:type="dxa"/>
            <w:vAlign w:val="top"/>
          </w:tcPr>
          <w:p>
            <w:pPr>
              <w:pStyle w:val="TableText"/>
              <w:ind w:left="80"/>
              <w:spacing w:before="163" w:line="219" w:lineRule="auto"/>
              <w:rPr/>
            </w:pPr>
            <w:r>
              <w:rPr>
                <w:spacing w:val="4"/>
              </w:rPr>
              <w:t>降费</w:t>
            </w:r>
          </w:p>
        </w:tc>
      </w:tr>
    </w:tbl>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before="34" w:line="198" w:lineRule="auto"/>
        <w:rPr>
          <w:sz w:val="12"/>
          <w:szCs w:val="12"/>
        </w:rPr>
      </w:pPr>
      <w:r>
        <w:rPr>
          <w:sz w:val="12"/>
          <w:szCs w:val="12"/>
        </w:rPr>
        <w:t>O</w:t>
      </w:r>
    </w:p>
    <w:p>
      <w:pPr>
        <w:spacing w:line="198" w:lineRule="auto"/>
        <w:sectPr>
          <w:pgSz w:w="11910" w:h="8220"/>
          <w:pgMar w:top="400" w:right="1145" w:bottom="400" w:left="799" w:header="0" w:footer="0" w:gutter="0"/>
        </w:sectPr>
        <w:rPr>
          <w:sz w:val="12"/>
          <w:szCs w:val="12"/>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spacing w:before="52" w:line="184" w:lineRule="auto"/>
        <w:rPr>
          <w:rFonts w:ascii="SimSun" w:hAnsi="SimSun" w:eastAsia="SimSun" w:cs="SimSun"/>
          <w:sz w:val="16"/>
          <w:szCs w:val="16"/>
        </w:rPr>
      </w:pPr>
      <w:r>
        <w:rPr>
          <w:rFonts w:ascii="SimSun" w:hAnsi="SimSun" w:eastAsia="SimSun" w:cs="SimSun"/>
          <w:sz w:val="16"/>
          <w:szCs w:val="16"/>
          <w:b/>
          <w:bCs/>
          <w:spacing w:val="-7"/>
        </w:rPr>
        <w:t>10</w:t>
      </w:r>
    </w:p>
    <w:p>
      <w:pPr>
        <w:spacing w:line="184" w:lineRule="auto"/>
        <w:sectPr>
          <w:pgSz w:w="8220" w:h="11910"/>
          <w:pgMar w:top="400" w:right="1233" w:bottom="400" w:left="1062" w:header="0" w:footer="0" w:gutter="0"/>
        </w:sectPr>
        <w:rPr>
          <w:rFonts w:ascii="SimSun" w:hAnsi="SimSun" w:eastAsia="SimSun" w:cs="SimSun"/>
          <w:sz w:val="16"/>
          <w:szCs w:val="16"/>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637"/>
        <w:spacing w:before="98" w:line="221" w:lineRule="auto"/>
        <w:tabs>
          <w:tab w:val="left" w:pos="1666"/>
        </w:tabs>
        <w:rPr>
          <w:rFonts w:ascii="SimHei" w:hAnsi="SimHei" w:eastAsia="SimHei" w:cs="SimHei"/>
          <w:sz w:val="30"/>
          <w:szCs w:val="30"/>
        </w:rPr>
      </w:pPr>
      <w:r>
        <w:rPr>
          <w:rFonts w:ascii="SimHei" w:hAnsi="SimHei" w:eastAsia="SimHei" w:cs="SimHei"/>
          <w:sz w:val="30"/>
          <w:szCs w:val="30"/>
          <w:u w:val="single" w:color="auto"/>
        </w:rPr>
        <w:tab/>
      </w:r>
      <w:r>
        <w:rPr>
          <w:rFonts w:ascii="SimHei" w:hAnsi="SimHei" w:eastAsia="SimHei" w:cs="SimHei"/>
          <w:sz w:val="30"/>
          <w:szCs w:val="30"/>
          <w:position w:val="19"/>
        </w:rPr>
        <w:drawing>
          <wp:inline distT="0" distB="0" distL="0" distR="0">
            <wp:extent cx="152425" cy="6352"/>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152425" cy="6352"/>
                    </a:xfrm>
                    <a:prstGeom prst="rect">
                      <a:avLst/>
                    </a:prstGeom>
                  </pic:spPr>
                </pic:pic>
              </a:graphicData>
            </a:graphic>
          </wp:inline>
        </w:drawing>
      </w:r>
      <w:r>
        <w:rPr>
          <w:rFonts w:ascii="SimHei" w:hAnsi="SimHei" w:eastAsia="SimHei" w:cs="SimHei"/>
          <w:sz w:val="30"/>
          <w:szCs w:val="30"/>
          <w:u w:val="single" w:color="auto"/>
          <w:spacing w:val="-118"/>
        </w:rPr>
        <w:t xml:space="preserve"> </w:t>
      </w:r>
      <w:r>
        <w:rPr>
          <w:rFonts w:ascii="SimHei" w:hAnsi="SimHei" w:eastAsia="SimHei" w:cs="SimHei"/>
          <w:sz w:val="30"/>
          <w:szCs w:val="30"/>
          <w:spacing w:val="-136"/>
        </w:rPr>
        <w:t xml:space="preserve"> </w:t>
      </w:r>
      <w:r>
        <w:rPr>
          <w:rFonts w:ascii="SimHei" w:hAnsi="SimHei" w:eastAsia="SimHei" w:cs="SimHei"/>
          <w:sz w:val="30"/>
          <w:szCs w:val="30"/>
          <w:b/>
          <w:bCs/>
          <w:spacing w:val="-2"/>
        </w:rPr>
        <w:t>、税收优惠政策</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spacing w:before="52" w:line="184" w:lineRule="auto"/>
        <w:jc w:val="right"/>
        <w:rPr>
          <w:rFonts w:ascii="SimSun" w:hAnsi="SimSun" w:eastAsia="SimSun" w:cs="SimSun"/>
          <w:sz w:val="16"/>
          <w:szCs w:val="16"/>
        </w:rPr>
      </w:pPr>
      <w:r>
        <w:rPr>
          <w:rFonts w:ascii="SimSun" w:hAnsi="SimSun" w:eastAsia="SimSun" w:cs="SimSun"/>
          <w:sz w:val="16"/>
          <w:szCs w:val="16"/>
          <w:b/>
          <w:bCs/>
          <w:spacing w:val="-11"/>
        </w:rPr>
        <w:t>11</w:t>
      </w:r>
    </w:p>
    <w:p>
      <w:pPr>
        <w:spacing w:line="184" w:lineRule="auto"/>
        <w:sectPr>
          <w:pgSz w:w="8220" w:h="11910"/>
          <w:pgMar w:top="400" w:right="1095" w:bottom="400" w:left="1233" w:header="0" w:footer="0" w:gutter="0"/>
        </w:sectPr>
        <w:rPr>
          <w:rFonts w:ascii="SimSun" w:hAnsi="SimSun" w:eastAsia="SimSun" w:cs="SimSun"/>
          <w:sz w:val="16"/>
          <w:szCs w:val="16"/>
        </w:rPr>
      </w:pPr>
    </w:p>
    <w:p>
      <w:pPr>
        <w:pStyle w:val="BodyText"/>
        <w:spacing w:line="255" w:lineRule="auto"/>
        <w:rPr/>
      </w:pPr>
      <w:r/>
    </w:p>
    <w:p>
      <w:pPr>
        <w:pStyle w:val="BodyText"/>
        <w:spacing w:line="256" w:lineRule="auto"/>
        <w:rPr/>
      </w:pPr>
      <w:r/>
    </w:p>
    <w:p>
      <w:pPr>
        <w:spacing w:before="81" w:line="199" w:lineRule="auto"/>
        <w:rPr>
          <w:rFonts w:ascii="SimSun" w:hAnsi="SimSun" w:eastAsia="SimSun" w:cs="SimSun"/>
          <w:sz w:val="23"/>
          <w:szCs w:val="23"/>
        </w:rPr>
      </w:pPr>
      <w:r>
        <w:rPr>
          <w:rFonts w:ascii="KaiTi" w:hAnsi="KaiTi" w:eastAsia="KaiTi" w:cs="KaiTi"/>
          <w:sz w:val="25"/>
          <w:szCs w:val="25"/>
          <w:spacing w:val="-15"/>
          <w:position w:val="-3"/>
        </w:rPr>
        <w:t>云</w:t>
      </w:r>
      <w:r>
        <w:rPr>
          <w:rFonts w:ascii="KaiTi" w:hAnsi="KaiTi" w:eastAsia="KaiTi" w:cs="KaiTi"/>
          <w:sz w:val="25"/>
          <w:szCs w:val="25"/>
          <w:position w:val="-3"/>
        </w:rPr>
        <w:t xml:space="preserve">                                  </w:t>
      </w:r>
      <w:r>
        <w:rPr>
          <w:rFonts w:ascii="SimSun" w:hAnsi="SimSun" w:eastAsia="SimSun" w:cs="SimSun"/>
          <w:sz w:val="23"/>
          <w:szCs w:val="23"/>
          <w:b/>
          <w:bCs/>
          <w:spacing w:val="-15"/>
        </w:rPr>
        <w:t>税收优惠政策</w:t>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9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279" w:hRule="atLeast"/>
        </w:trPr>
        <w:tc>
          <w:tcPr>
            <w:shd w:val="clear" w:fill="DCDDDD"/>
            <w:tcW w:w="9639" w:type="dxa"/>
            <w:vAlign w:val="top"/>
            <w:gridSpan w:val="7"/>
          </w:tcPr>
          <w:p>
            <w:pPr>
              <w:pStyle w:val="TableText"/>
              <w:ind w:left="4457"/>
              <w:spacing w:before="65" w:line="219" w:lineRule="auto"/>
              <w:rPr/>
            </w:pPr>
            <w:r>
              <w:rPr>
                <w:b/>
                <w:bCs/>
                <w:spacing w:val="-5"/>
              </w:rPr>
              <w:t>一、增值税</w:t>
            </w:r>
          </w:p>
        </w:tc>
      </w:tr>
      <w:tr>
        <w:trPr>
          <w:trHeight w:val="5126" w:hRule="atLeast"/>
        </w:trPr>
        <w:tc>
          <w:tcPr>
            <w:tcW w:w="28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4"/>
              <w:spacing w:before="48" w:line="184" w:lineRule="auto"/>
              <w:rPr/>
            </w:pPr>
            <w:r>
              <w:rPr/>
              <w:t>1</w:t>
            </w:r>
          </w:p>
        </w:tc>
        <w:tc>
          <w:tcPr>
            <w:tcW w:w="3986" w:type="dxa"/>
            <w:vAlign w:val="top"/>
          </w:tcPr>
          <w:p>
            <w:pPr>
              <w:pStyle w:val="TableText"/>
              <w:ind w:left="61"/>
              <w:spacing w:before="158" w:line="219" w:lineRule="auto"/>
              <w:rPr/>
            </w:pPr>
            <w:r>
              <w:rPr>
                <w:spacing w:val="-1"/>
              </w:rPr>
              <w:t>一、企业7月份预缴申报第2季度(按季预缴)或6月份(按</w:t>
            </w:r>
          </w:p>
          <w:p>
            <w:pPr>
              <w:pStyle w:val="TableText"/>
              <w:ind w:left="31" w:right="54" w:firstLine="40"/>
              <w:spacing w:before="51" w:line="229" w:lineRule="auto"/>
              <w:rPr/>
            </w:pPr>
            <w:r>
              <w:rPr>
                <w:spacing w:val="-1"/>
              </w:rPr>
              <w:t>月预缴)企业所得税时，能准确归集核算研发费用的，可以</w:t>
            </w:r>
            <w:r>
              <w:rPr>
                <w:spacing w:val="15"/>
              </w:rPr>
              <w:t xml:space="preserve"> </w:t>
            </w:r>
            <w:r>
              <w:rPr>
                <w:spacing w:val="-1"/>
              </w:rPr>
              <w:t>结合自身生产经营实际情况，自主选择就当年上半年研发费</w:t>
            </w:r>
            <w:r>
              <w:rPr>
                <w:spacing w:val="15"/>
              </w:rPr>
              <w:t xml:space="preserve"> </w:t>
            </w:r>
            <w:r>
              <w:rPr>
                <w:spacing w:val="-1"/>
              </w:rPr>
              <w:t>用享受加计扣除政策。</w:t>
            </w:r>
          </w:p>
          <w:p>
            <w:pPr>
              <w:pStyle w:val="TableText"/>
              <w:ind w:left="31"/>
              <w:spacing w:before="42" w:line="219" w:lineRule="auto"/>
              <w:rPr/>
            </w:pPr>
            <w:r>
              <w:rPr/>
              <w:t>对7月份预缴申报期未选择享受优惠的企业</w:t>
            </w:r>
            <w:r>
              <w:rPr>
                <w:spacing w:val="-1"/>
              </w:rPr>
              <w:t>，在10月份预</w:t>
            </w:r>
          </w:p>
          <w:p>
            <w:pPr>
              <w:pStyle w:val="TableText"/>
              <w:ind w:left="31"/>
              <w:spacing w:before="2" w:line="219" w:lineRule="auto"/>
              <w:rPr/>
            </w:pPr>
            <w:r>
              <w:rPr/>
              <w:t>缴申报或年度汇算清缴时能够准确归集核算研</w:t>
            </w:r>
            <w:r>
              <w:rPr>
                <w:spacing w:val="-1"/>
              </w:rPr>
              <w:t>发费用的，可</w:t>
            </w:r>
          </w:p>
          <w:p>
            <w:pPr>
              <w:pStyle w:val="TableText"/>
              <w:ind w:left="31" w:right="124" w:firstLine="79"/>
              <w:spacing w:before="11" w:line="245" w:lineRule="auto"/>
              <w:rPr/>
            </w:pPr>
            <w:r>
              <w:rPr>
                <w:spacing w:val="-1"/>
              </w:rPr>
              <w:t>结合自身生产经营实际情况，自主选择在10月份预缴申报</w:t>
            </w:r>
            <w:r>
              <w:rPr>
                <w:spacing w:val="15"/>
              </w:rPr>
              <w:t xml:space="preserve"> </w:t>
            </w:r>
            <w:r>
              <w:rPr/>
              <w:t>或年度汇算清缴时统一享受。</w:t>
            </w:r>
          </w:p>
          <w:p>
            <w:pPr>
              <w:pStyle w:val="TableText"/>
              <w:ind w:left="31"/>
              <w:spacing w:before="32" w:line="219" w:lineRule="auto"/>
              <w:rPr/>
            </w:pPr>
            <w:r>
              <w:rPr/>
              <w:t>二、企业10月份预缴申报第3季度(按季</w:t>
            </w:r>
            <w:r>
              <w:rPr>
                <w:spacing w:val="-1"/>
              </w:rPr>
              <w:t>预缴)或9月份(按</w:t>
            </w:r>
          </w:p>
          <w:p>
            <w:pPr>
              <w:pStyle w:val="TableText"/>
              <w:ind w:left="31" w:right="52" w:firstLine="40"/>
              <w:spacing w:before="12" w:line="237" w:lineRule="auto"/>
              <w:rPr/>
            </w:pPr>
            <w:r>
              <w:rPr>
                <w:spacing w:val="-1"/>
              </w:rPr>
              <w:t>月预缴)企业所得税时，能准确归集核算研发费用的，企业</w:t>
            </w:r>
            <w:r>
              <w:rPr>
                <w:spacing w:val="15"/>
              </w:rPr>
              <w:t xml:space="preserve"> </w:t>
            </w:r>
            <w:r>
              <w:rPr>
                <w:spacing w:val="-1"/>
              </w:rPr>
              <w:t>可结合自身生产经营实际情况，自主选择就当年前三季度研</w:t>
            </w:r>
            <w:r>
              <w:rPr>
                <w:spacing w:val="17"/>
              </w:rPr>
              <w:t xml:space="preserve"> </w:t>
            </w:r>
            <w:r>
              <w:rPr/>
              <w:t>发费用享受加计扣除政策。</w:t>
            </w:r>
          </w:p>
          <w:p>
            <w:pPr>
              <w:pStyle w:val="TableText"/>
              <w:ind w:left="31" w:right="50" w:firstLine="79"/>
              <w:spacing w:before="23" w:line="241" w:lineRule="auto"/>
              <w:jc w:val="both"/>
              <w:rPr/>
            </w:pPr>
            <w:r>
              <w:rPr/>
              <w:t>对10月份预缴申报期未选择享受优惠的企</w:t>
            </w:r>
            <w:r>
              <w:rPr>
                <w:spacing w:val="-1"/>
              </w:rPr>
              <w:t>业，在年度汇算</w:t>
            </w:r>
            <w:r>
              <w:rPr/>
              <w:t xml:space="preserve">  </w:t>
            </w:r>
            <w:r>
              <w:rPr/>
              <w:t>清缴时能够准确归集核算研发费用的，可结</w:t>
            </w:r>
            <w:r>
              <w:rPr>
                <w:spacing w:val="-1"/>
              </w:rPr>
              <w:t>合自身生产经营</w:t>
            </w:r>
            <w:r>
              <w:rPr/>
              <w:t xml:space="preserve"> </w:t>
            </w:r>
            <w:r>
              <w:rPr>
                <w:spacing w:val="-1"/>
              </w:rPr>
              <w:t>实际情况，自主选择在年度汇算清缴时统一享受</w:t>
            </w:r>
          </w:p>
          <w:p>
            <w:pPr>
              <w:pStyle w:val="TableText"/>
              <w:ind w:left="31"/>
              <w:spacing w:before="10" w:line="219" w:lineRule="auto"/>
              <w:rPr/>
            </w:pPr>
            <w:r>
              <w:rPr>
                <w:spacing w:val="-1"/>
              </w:rPr>
              <w:t>三、企业享受研发费用加计扣除优惠政策采取“真实发生</w:t>
            </w:r>
          </w:p>
          <w:p>
            <w:pPr>
              <w:pStyle w:val="TableText"/>
              <w:ind w:left="61"/>
              <w:spacing w:before="14" w:line="219" w:lineRule="auto"/>
              <w:rPr/>
            </w:pPr>
            <w:r>
              <w:rPr/>
              <w:t>自行判别、申报享受、相关资料留存备查”的办理方式</w:t>
            </w:r>
          </w:p>
          <w:p>
            <w:pPr>
              <w:pStyle w:val="TableText"/>
              <w:ind w:left="110"/>
              <w:spacing w:before="41" w:line="219" w:lineRule="auto"/>
              <w:rPr/>
            </w:pPr>
            <w:r>
              <w:rPr/>
              <w:t>由企业依据实际发生的研发费用支出，自行计算加计扣除</w:t>
            </w:r>
          </w:p>
          <w:p>
            <w:pPr>
              <w:pStyle w:val="TableText"/>
              <w:ind w:left="31" w:right="322" w:firstLine="30"/>
              <w:spacing w:before="11" w:line="244" w:lineRule="auto"/>
              <w:rPr/>
            </w:pPr>
            <w:r>
              <w:rPr>
                <w:spacing w:val="-1"/>
              </w:rPr>
              <w:t>金额，填报《中华人民共和国企业所得税月(季)度预缴</w:t>
            </w:r>
            <w:r>
              <w:rPr>
                <w:spacing w:val="16"/>
              </w:rPr>
              <w:t xml:space="preserve"> </w:t>
            </w:r>
            <w:r>
              <w:rPr/>
              <w:t>纳税申报表(A类)》享受税收优惠，并根据享受加计扣</w:t>
            </w:r>
            <w:r>
              <w:rPr>
                <w:spacing w:val="5"/>
              </w:rPr>
              <w:t xml:space="preserve">  </w:t>
            </w:r>
            <w:r>
              <w:rPr/>
              <w:t>除优惠的研发费用情况(上半年或前三季度)填写《研发</w:t>
            </w:r>
            <w:r>
              <w:rPr>
                <w:spacing w:val="5"/>
              </w:rPr>
              <w:t xml:space="preserve"> </w:t>
            </w:r>
            <w:r>
              <w:rPr>
                <w:spacing w:val="1"/>
              </w:rPr>
              <w:t>费用加计扣除优惠明细表》(A107012)。《研发</w:t>
            </w:r>
            <w:r>
              <w:rPr/>
              <w:t>费用加  </w:t>
            </w:r>
            <w:r>
              <w:rPr/>
              <w:t>计扣除优惠明细表》(A107012)与规定的其他资料一并</w:t>
            </w:r>
            <w:r>
              <w:rPr>
                <w:spacing w:val="6"/>
              </w:rPr>
              <w:t xml:space="preserve">  </w:t>
            </w:r>
            <w:r>
              <w:rPr/>
              <w:t>留存备查。</w:t>
            </w:r>
          </w:p>
        </w:tc>
        <w:tc>
          <w:tcPr>
            <w:tcW w:w="2128" w:type="dxa"/>
            <w:vAlign w:val="top"/>
          </w:tcPr>
          <w:p>
            <w:pPr>
              <w:pStyle w:val="TableText"/>
              <w:ind w:left="14" w:right="76" w:firstLine="70"/>
              <w:spacing w:before="169" w:line="236" w:lineRule="auto"/>
              <w:jc w:val="both"/>
              <w:rPr/>
            </w:pPr>
            <w:r>
              <w:rPr/>
              <w:t>国家税务总局财政部关于优化</w:t>
            </w:r>
            <w:r>
              <w:rPr>
                <w:spacing w:val="5"/>
              </w:rPr>
              <w:t xml:space="preserve"> </w:t>
            </w:r>
            <w:r>
              <w:rPr>
                <w:spacing w:val="4"/>
              </w:rPr>
              <w:t>预缴申报享受研发费用加计扣</w:t>
            </w:r>
            <w:r>
              <w:rPr>
                <w:spacing w:val="9"/>
              </w:rPr>
              <w:t xml:space="preserve"> </w:t>
            </w:r>
            <w:r>
              <w:rPr>
                <w:spacing w:val="5"/>
              </w:rPr>
              <w:t>除政策有关事项的公告国家税</w:t>
            </w:r>
            <w:r>
              <w:rPr>
                <w:spacing w:val="10"/>
              </w:rPr>
              <w:t xml:space="preserve"> </w:t>
            </w:r>
            <w:r>
              <w:rPr>
                <w:spacing w:val="4"/>
              </w:rPr>
              <w:t>务总局</w:t>
            </w:r>
          </w:p>
          <w:p>
            <w:pPr>
              <w:pStyle w:val="TableText"/>
              <w:ind w:left="24"/>
              <w:spacing w:before="30" w:line="218" w:lineRule="auto"/>
              <w:rPr/>
            </w:pPr>
            <w:r>
              <w:rPr>
                <w:spacing w:val="-1"/>
              </w:rPr>
              <w:t>财政部公告2023年第11号</w:t>
            </w:r>
          </w:p>
        </w:tc>
        <w:tc>
          <w:tcPr>
            <w:tcW w:w="899" w:type="dxa"/>
            <w:vAlign w:val="top"/>
          </w:tcPr>
          <w:p>
            <w:pPr>
              <w:pStyle w:val="TableText"/>
              <w:ind w:left="16" w:right="15" w:firstLine="10"/>
              <w:spacing w:before="171" w:line="244" w:lineRule="auto"/>
              <w:jc w:val="both"/>
              <w:rPr/>
            </w:pPr>
            <w:r>
              <w:rPr>
                <w:spacing w:val="-12"/>
              </w:rPr>
              <w:t>自</w:t>
            </w:r>
            <w:r>
              <w:rPr>
                <w:spacing w:val="-10"/>
              </w:rPr>
              <w:t xml:space="preserve"> </w:t>
            </w:r>
            <w:r>
              <w:rPr>
                <w:spacing w:val="-12"/>
              </w:rPr>
              <w:t>2 0 2</w:t>
            </w:r>
            <w:r>
              <w:rPr>
                <w:spacing w:val="-11"/>
              </w:rPr>
              <w:t xml:space="preserve"> </w:t>
            </w:r>
            <w:r>
              <w:rPr>
                <w:spacing w:val="-12"/>
              </w:rPr>
              <w:t>3</w:t>
            </w:r>
            <w:r>
              <w:rPr>
                <w:spacing w:val="-13"/>
              </w:rPr>
              <w:t xml:space="preserve"> </w:t>
            </w:r>
            <w:r>
              <w:rPr>
                <w:spacing w:val="-12"/>
              </w:rPr>
              <w:t>年</w:t>
            </w:r>
            <w:r>
              <w:rPr/>
              <w:t xml:space="preserve"> </w:t>
            </w:r>
            <w:r>
              <w:rPr>
                <w:spacing w:val="-13"/>
              </w:rPr>
              <w:t>1</w:t>
            </w:r>
            <w:r>
              <w:rPr>
                <w:spacing w:val="-28"/>
              </w:rPr>
              <w:t xml:space="preserve"> </w:t>
            </w:r>
            <w:r>
              <w:rPr>
                <w:spacing w:val="-13"/>
              </w:rPr>
              <w:t>月</w:t>
            </w:r>
            <w:r>
              <w:rPr>
                <w:spacing w:val="-21"/>
              </w:rPr>
              <w:t xml:space="preserve"> </w:t>
            </w:r>
            <w:r>
              <w:rPr>
                <w:spacing w:val="-13"/>
              </w:rPr>
              <w:t>1 日</w:t>
            </w:r>
            <w:r>
              <w:rPr>
                <w:spacing w:val="3"/>
              </w:rPr>
              <w:t xml:space="preserve">  </w:t>
            </w:r>
            <w:r>
              <w:rPr>
                <w:spacing w:val="-13"/>
              </w:rPr>
              <w:t>起</w:t>
            </w:r>
            <w:r>
              <w:rPr>
                <w:spacing w:val="1"/>
              </w:rPr>
              <w:t xml:space="preserve"> </w:t>
            </w:r>
            <w:r>
              <w:rPr>
                <w:spacing w:val="13"/>
              </w:rPr>
              <w:t>施行。《国</w:t>
            </w:r>
            <w:r>
              <w:rPr/>
              <w:t xml:space="preserve"> </w:t>
            </w:r>
            <w:r>
              <w:rPr>
                <w:spacing w:val="12"/>
              </w:rPr>
              <w:t>家税务总局</w:t>
            </w:r>
            <w:r>
              <w:rPr>
                <w:spacing w:val="2"/>
              </w:rPr>
              <w:t xml:space="preserve"> </w:t>
            </w:r>
            <w:r>
              <w:rPr>
                <w:spacing w:val="8"/>
              </w:rPr>
              <w:t>关于企业预</w:t>
            </w:r>
            <w:r>
              <w:rPr/>
              <w:t xml:space="preserve">  </w:t>
            </w:r>
            <w:r>
              <w:rPr>
                <w:spacing w:val="9"/>
              </w:rPr>
              <w:t>缴申报享受</w:t>
            </w:r>
            <w:r>
              <w:rPr/>
              <w:t xml:space="preserve">  </w:t>
            </w:r>
            <w:r>
              <w:rPr>
                <w:spacing w:val="8"/>
              </w:rPr>
              <w:t>研发费用加</w:t>
            </w:r>
            <w:r>
              <w:rPr>
                <w:spacing w:val="1"/>
              </w:rPr>
              <w:t xml:space="preserve">  </w:t>
            </w:r>
            <w:r>
              <w:rPr>
                <w:spacing w:val="12"/>
              </w:rPr>
              <w:t>计扣除优惠</w:t>
            </w:r>
            <w:r>
              <w:rPr>
                <w:spacing w:val="3"/>
              </w:rPr>
              <w:t xml:space="preserve"> </w:t>
            </w:r>
            <w:r>
              <w:rPr>
                <w:spacing w:val="8"/>
              </w:rPr>
              <w:t>政策有关事</w:t>
            </w:r>
            <w:r>
              <w:rPr>
                <w:spacing w:val="1"/>
              </w:rPr>
              <w:t xml:space="preserve">  </w:t>
            </w:r>
            <w:r>
              <w:rPr>
                <w:spacing w:val="-3"/>
              </w:rPr>
              <w:t>项的公告》</w:t>
            </w:r>
          </w:p>
          <w:p>
            <w:pPr>
              <w:pStyle w:val="TableText"/>
              <w:ind w:left="16" w:right="13" w:firstLine="90"/>
              <w:spacing w:before="13" w:line="242" w:lineRule="auto"/>
              <w:rPr/>
            </w:pPr>
            <w:r>
              <w:rPr/>
              <w:t>(2022年第</w:t>
            </w:r>
            <w:r>
              <w:rPr>
                <w:spacing w:val="1"/>
              </w:rPr>
              <w:t xml:space="preserve">  </w:t>
            </w:r>
            <w:r>
              <w:rPr>
                <w:spacing w:val="-11"/>
              </w:rPr>
              <w:t>1</w:t>
            </w:r>
            <w:r>
              <w:rPr>
                <w:spacing w:val="-29"/>
              </w:rPr>
              <w:t xml:space="preserve"> </w:t>
            </w:r>
            <w:r>
              <w:rPr>
                <w:spacing w:val="-11"/>
              </w:rPr>
              <w:t>0</w:t>
            </w:r>
            <w:r>
              <w:rPr>
                <w:spacing w:val="-27"/>
              </w:rPr>
              <w:t xml:space="preserve"> </w:t>
            </w:r>
            <w:r>
              <w:rPr>
                <w:spacing w:val="-11"/>
              </w:rPr>
              <w:t>号</w:t>
            </w:r>
            <w:r>
              <w:rPr>
                <w:spacing w:val="-30"/>
              </w:rPr>
              <w:t xml:space="preserve"> </w:t>
            </w:r>
            <w:r>
              <w:rPr>
                <w:spacing w:val="-11"/>
              </w:rPr>
              <w:t>)</w:t>
            </w:r>
            <w:r>
              <w:rPr>
                <w:spacing w:val="-17"/>
              </w:rPr>
              <w:t xml:space="preserve"> </w:t>
            </w:r>
            <w:r>
              <w:rPr>
                <w:spacing w:val="-11"/>
              </w:rPr>
              <w:t>同</w:t>
            </w:r>
            <w:r>
              <w:rPr>
                <w:spacing w:val="-24"/>
              </w:rPr>
              <w:t xml:space="preserve"> </w:t>
            </w:r>
            <w:r>
              <w:rPr>
                <w:spacing w:val="-11"/>
              </w:rPr>
              <w:t>时</w:t>
            </w:r>
            <w:r>
              <w:rPr/>
              <w:t xml:space="preserve"> </w:t>
            </w:r>
            <w:r>
              <w:rPr>
                <w:spacing w:val="-2"/>
              </w:rPr>
              <w:t>废止。</w:t>
            </w:r>
          </w:p>
        </w:tc>
        <w:tc>
          <w:tcPr>
            <w:tcW w:w="849" w:type="dxa"/>
            <w:vAlign w:val="top"/>
          </w:tcPr>
          <w:p>
            <w:pPr>
              <w:pStyle w:val="TableText"/>
              <w:ind w:left="348" w:right="50" w:hanging="300"/>
              <w:spacing w:before="167" w:line="236" w:lineRule="auto"/>
              <w:rPr/>
            </w:pPr>
            <w:r>
              <w:rPr>
                <w:spacing w:val="-2"/>
              </w:rPr>
              <w:t>小规模纳税</w:t>
            </w:r>
            <w:r>
              <w:rPr/>
              <w:t xml:space="preserve"> </w:t>
            </w:r>
            <w:r>
              <w:rPr/>
              <w:t>人</w:t>
            </w:r>
          </w:p>
        </w:tc>
        <w:tc>
          <w:tcPr>
            <w:tcW w:w="1029" w:type="dxa"/>
            <w:vAlign w:val="top"/>
          </w:tcPr>
          <w:p>
            <w:pPr>
              <w:pStyle w:val="TableText"/>
              <w:ind w:left="289"/>
              <w:spacing w:before="158" w:line="219" w:lineRule="auto"/>
              <w:rPr/>
            </w:pPr>
            <w:r>
              <w:rPr>
                <w:spacing w:val="-2"/>
              </w:rPr>
              <w:t>增值税</w:t>
            </w:r>
          </w:p>
        </w:tc>
        <w:tc>
          <w:tcPr>
            <w:tcW w:w="464" w:type="dxa"/>
            <w:vAlign w:val="top"/>
          </w:tcPr>
          <w:p>
            <w:pPr>
              <w:pStyle w:val="TableText"/>
              <w:ind w:left="70" w:hanging="51"/>
              <w:spacing w:before="167" w:line="233" w:lineRule="auto"/>
              <w:rPr/>
            </w:pPr>
            <w:r>
              <w:rPr>
                <w:spacing w:val="-17"/>
              </w:rPr>
              <w:t>免征</w:t>
            </w:r>
            <w:r>
              <w:rPr>
                <w:spacing w:val="-41"/>
              </w:rPr>
              <w:t xml:space="preserve"> </w:t>
            </w:r>
            <w:r>
              <w:rPr>
                <w:spacing w:val="-17"/>
              </w:rPr>
              <w:t>、</w:t>
            </w:r>
            <w:r>
              <w:rPr/>
              <w:t xml:space="preserve"> </w:t>
            </w:r>
            <w:r>
              <w:rPr>
                <w:spacing w:val="-12"/>
              </w:rPr>
              <w:t>停征</w:t>
            </w:r>
          </w:p>
        </w:tc>
      </w:tr>
    </w:tbl>
    <w:p>
      <w:pPr>
        <w:pStyle w:val="BodyText"/>
        <w:rPr/>
      </w:pPr>
      <w:r/>
    </w:p>
    <w:p>
      <w:pPr>
        <w:sectPr>
          <w:pgSz w:w="11910" w:h="8220"/>
          <w:pgMar w:top="400" w:right="1145" w:bottom="400" w:left="799" w:header="0" w:footer="0" w:gutter="0"/>
        </w:sectPr>
        <w:rPr/>
      </w:pPr>
    </w:p>
    <w:p>
      <w:pPr>
        <w:spacing w:before="51"/>
        <w:rPr/>
      </w:pPr>
      <w:r>
        <w:pict>
          <v:shape id="_x0000_s8" style="position:absolute;margin-left:38.9997pt;margin-top:347.333pt;mso-position-vertical-relative:page;mso-position-horizontal-relative:page;width:10.95pt;height:13.95pt;z-index:251668480;" o:allowincell="f" filled="false" stroked="false" type="#_x0000_t202">
            <v:fill on="false"/>
            <v:stroke on="false"/>
            <v:path/>
            <v:imagedata o:title=""/>
            <o:lock v:ext="edit" aspectratio="false"/>
            <v:textbox inset="0mm,0mm,0mm,0mm">
              <w:txbxContent>
                <w:p>
                  <w:pPr>
                    <w:ind w:left="20"/>
                    <w:spacing w:before="19" w:line="225" w:lineRule="auto"/>
                    <w:rPr>
                      <w:rFonts w:ascii="STHupo" w:hAnsi="STHupo" w:eastAsia="STHupo" w:cs="STHupo"/>
                      <w:sz w:val="19"/>
                      <w:szCs w:val="19"/>
                    </w:rPr>
                  </w:pPr>
                  <w:r>
                    <w:rPr>
                      <w:rFonts w:ascii="STHupo" w:hAnsi="STHupo" w:eastAsia="STHupo" w:cs="STHupo"/>
                      <w:sz w:val="19"/>
                      <w:szCs w:val="19"/>
                    </w:rPr>
                    <w:t>云</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6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3335" w:hRule="atLeast"/>
        </w:trPr>
        <w:tc>
          <w:tcPr>
            <w:tcW w:w="29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4"/>
              <w:spacing w:before="49" w:line="183" w:lineRule="auto"/>
              <w:rPr/>
            </w:pPr>
            <w:r>
              <w:rPr/>
              <w:t>2</w:t>
            </w:r>
          </w:p>
        </w:tc>
        <w:tc>
          <w:tcPr>
            <w:tcW w:w="3966" w:type="dxa"/>
            <w:vAlign w:val="top"/>
          </w:tcPr>
          <w:p>
            <w:pPr>
              <w:pStyle w:val="TableText"/>
              <w:ind w:left="31" w:right="84" w:firstLine="29"/>
              <w:spacing w:before="117" w:line="220" w:lineRule="auto"/>
              <w:rPr/>
            </w:pPr>
            <w:r>
              <w:rPr>
                <w:spacing w:val="-1"/>
              </w:rPr>
              <w:t>一、对小型微利企业年应纳税所得额不超过100万元的部分</w:t>
            </w:r>
            <w:r>
              <w:rPr>
                <w:spacing w:val="11"/>
              </w:rPr>
              <w:t xml:space="preserve"> </w:t>
            </w:r>
            <w:r>
              <w:rPr/>
              <w:t>减按25%计入应纳税所得额，按20%的税</w:t>
            </w:r>
            <w:r>
              <w:rPr>
                <w:spacing w:val="-1"/>
              </w:rPr>
              <w:t>率缴纳企业所得</w:t>
            </w:r>
          </w:p>
          <w:p>
            <w:pPr>
              <w:pStyle w:val="TableText"/>
              <w:ind w:left="11"/>
              <w:spacing w:before="22" w:line="220" w:lineRule="auto"/>
              <w:rPr/>
            </w:pPr>
            <w:r>
              <w:rPr>
                <w:spacing w:val="-2"/>
              </w:rPr>
              <w:t>税。</w:t>
            </w:r>
          </w:p>
          <w:p>
            <w:pPr>
              <w:pStyle w:val="TableText"/>
              <w:ind w:left="21" w:right="248" w:firstLine="20"/>
              <w:spacing w:before="20" w:line="245" w:lineRule="auto"/>
              <w:rPr/>
            </w:pPr>
            <w:r>
              <w:rPr>
                <w:spacing w:val="-1"/>
              </w:rPr>
              <w:t>二、对个体工商户年应纳税所得额不超过100万元的部分</w:t>
            </w:r>
            <w:r>
              <w:rPr>
                <w:spacing w:val="16"/>
              </w:rPr>
              <w:t xml:space="preserve"> </w:t>
            </w:r>
            <w:r>
              <w:rPr>
                <w:spacing w:val="-1"/>
              </w:rPr>
              <w:t>在现行优惠政策基础上，减半征收个人所得税</w:t>
            </w:r>
          </w:p>
          <w:p>
            <w:pPr>
              <w:pStyle w:val="TableText"/>
              <w:ind w:left="31" w:right="40" w:hanging="10"/>
              <w:spacing w:before="19" w:line="238" w:lineRule="auto"/>
              <w:rPr/>
            </w:pPr>
            <w:r>
              <w:rPr/>
              <w:t>三、本公告所称小型微利企业，是指从事国</w:t>
            </w:r>
            <w:r>
              <w:rPr>
                <w:spacing w:val="-1"/>
              </w:rPr>
              <w:t>家非限制和禁止</w:t>
            </w:r>
            <w:r>
              <w:rPr/>
              <w:t xml:space="preserve"> </w:t>
            </w:r>
            <w:r>
              <w:rPr>
                <w:spacing w:val="1"/>
              </w:rPr>
              <w:t>行业，且同时符合年度应纳税所得额不超过3</w:t>
            </w:r>
            <w:r>
              <w:rPr/>
              <w:t>00万元、从业 </w:t>
            </w:r>
            <w:r>
              <w:rPr/>
              <w:t>人数不超过300人、资产总额不超过500</w:t>
            </w:r>
            <w:r>
              <w:rPr>
                <w:spacing w:val="-1"/>
              </w:rPr>
              <w:t>0万元等三个条件</w:t>
            </w:r>
          </w:p>
          <w:p>
            <w:pPr>
              <w:pStyle w:val="TableText"/>
              <w:ind w:left="11"/>
              <w:spacing w:before="15" w:line="222" w:lineRule="auto"/>
              <w:rPr/>
            </w:pPr>
            <w:r>
              <w:rPr>
                <w:spacing w:val="-1"/>
              </w:rPr>
              <w:t>的企业。</w:t>
            </w:r>
          </w:p>
          <w:p>
            <w:pPr>
              <w:pStyle w:val="TableText"/>
              <w:ind w:left="21" w:right="26"/>
              <w:spacing w:before="27" w:line="229" w:lineRule="auto"/>
              <w:jc w:val="both"/>
              <w:rPr/>
            </w:pPr>
            <w:r>
              <w:rPr>
                <w:spacing w:val="-1"/>
              </w:rPr>
              <w:t>从业人数，包括与企业建立劳动关系的职工人数和企业接受</w:t>
            </w:r>
            <w:r>
              <w:rPr>
                <w:spacing w:val="17"/>
              </w:rPr>
              <w:t xml:space="preserve"> </w:t>
            </w:r>
            <w:r>
              <w:rPr/>
              <w:t>的劳务派遣用工人数。所称从业人数和资产总额指标，应按</w:t>
            </w:r>
            <w:r>
              <w:rPr>
                <w:spacing w:val="7"/>
              </w:rPr>
              <w:t xml:space="preserve"> </w:t>
            </w:r>
            <w:r>
              <w:rPr>
                <w:spacing w:val="-1"/>
              </w:rPr>
              <w:t>企业全年的季度平均值确定。具体计算公式如下</w:t>
            </w:r>
          </w:p>
          <w:p>
            <w:pPr>
              <w:pStyle w:val="TableText"/>
              <w:ind w:left="31"/>
              <w:spacing w:before="42" w:line="219" w:lineRule="auto"/>
              <w:rPr/>
            </w:pPr>
            <w:r>
              <w:rPr>
                <w:spacing w:val="-1"/>
              </w:rPr>
              <w:t>季度平均值=(季初值+季末值)÷2</w:t>
            </w:r>
          </w:p>
          <w:p>
            <w:pPr>
              <w:pStyle w:val="TableText"/>
              <w:ind w:left="21"/>
              <w:spacing w:before="12" w:line="219" w:lineRule="auto"/>
              <w:rPr/>
            </w:pPr>
            <w:r>
              <w:rPr>
                <w:spacing w:val="-1"/>
              </w:rPr>
              <w:t>全年季度平均值=全年各季度平均值之和÷4</w:t>
            </w:r>
          </w:p>
          <w:p>
            <w:pPr>
              <w:pStyle w:val="TableText"/>
              <w:ind w:left="21" w:right="41"/>
              <w:spacing w:before="12" w:line="245" w:lineRule="auto"/>
              <w:rPr/>
            </w:pPr>
            <w:r>
              <w:rPr>
                <w:spacing w:val="-1"/>
              </w:rPr>
              <w:t>年度中间开业或者终止经营活动的，以其实际经营期作为一</w:t>
            </w:r>
            <w:r>
              <w:rPr>
                <w:spacing w:val="18"/>
              </w:rPr>
              <w:t xml:space="preserve"> </w:t>
            </w:r>
            <w:r>
              <w:rPr>
                <w:spacing w:val="-1"/>
              </w:rPr>
              <w:t>个纳税年度确定上述相关指标</w:t>
            </w:r>
          </w:p>
        </w:tc>
        <w:tc>
          <w:tcPr>
            <w:tcW w:w="2118" w:type="dxa"/>
            <w:vAlign w:val="top"/>
          </w:tcPr>
          <w:p>
            <w:pPr>
              <w:pStyle w:val="TableText"/>
              <w:ind w:left="34" w:right="131"/>
              <w:spacing w:before="117" w:line="219" w:lineRule="auto"/>
              <w:rPr/>
            </w:pPr>
            <w:r>
              <w:rPr>
                <w:spacing w:val="-1"/>
              </w:rPr>
              <w:t>关于小微企业和个体工商户所</w:t>
            </w:r>
            <w:r>
              <w:rPr>
                <w:spacing w:val="3"/>
              </w:rPr>
              <w:t xml:space="preserve"> </w:t>
            </w:r>
            <w:r>
              <w:rPr>
                <w:spacing w:val="-1"/>
              </w:rPr>
              <w:t>得税优惠政策的公告财政部</w:t>
            </w:r>
          </w:p>
          <w:p>
            <w:pPr>
              <w:pStyle w:val="TableText"/>
              <w:ind w:left="34"/>
              <w:spacing w:before="42" w:line="218" w:lineRule="auto"/>
              <w:rPr/>
            </w:pPr>
            <w:r>
              <w:rPr>
                <w:spacing w:val="-1"/>
              </w:rPr>
              <w:t>税务总局公告2023年第6号</w:t>
            </w:r>
          </w:p>
        </w:tc>
        <w:tc>
          <w:tcPr>
            <w:tcW w:w="919" w:type="dxa"/>
            <w:vAlign w:val="top"/>
          </w:tcPr>
          <w:p>
            <w:pPr>
              <w:pStyle w:val="TableText"/>
              <w:ind w:left="26" w:right="1" w:firstLine="10"/>
              <w:spacing w:before="116" w:line="236" w:lineRule="auto"/>
              <w:rPr/>
            </w:pPr>
            <w:r>
              <w:rPr>
                <w:spacing w:val="17"/>
                <w:w w:val="111"/>
              </w:rPr>
              <w:t>2023年1月</w:t>
            </w:r>
            <w:r>
              <w:rPr>
                <w:spacing w:val="1"/>
              </w:rPr>
              <w:t xml:space="preserve"> </w:t>
            </w:r>
            <w:r>
              <w:rPr>
                <w:spacing w:val="5"/>
              </w:rPr>
              <w:t>1日</w:t>
            </w:r>
            <w:r>
              <w:rPr>
                <w:spacing w:val="19"/>
              </w:rPr>
              <w:t xml:space="preserve"> </w:t>
            </w:r>
            <w:r>
              <w:rPr>
                <w:spacing w:val="5"/>
              </w:rPr>
              <w:t>至2024</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59" w:type="dxa"/>
            <w:vAlign w:val="top"/>
          </w:tcPr>
          <w:p>
            <w:pPr>
              <w:pStyle w:val="TableText"/>
              <w:ind w:left="348" w:right="60" w:hanging="300"/>
              <w:spacing w:before="97" w:line="245" w:lineRule="auto"/>
              <w:rPr/>
            </w:pPr>
            <w:r>
              <w:rPr>
                <w:spacing w:val="-2"/>
              </w:rPr>
              <w:t>小型微利企</w:t>
            </w:r>
            <w:r>
              <w:rPr/>
              <w:t xml:space="preserve"> </w:t>
            </w:r>
            <w:r>
              <w:rPr/>
              <w:t>业</w:t>
            </w:r>
          </w:p>
        </w:tc>
        <w:tc>
          <w:tcPr>
            <w:tcW w:w="1009" w:type="dxa"/>
            <w:vAlign w:val="top"/>
          </w:tcPr>
          <w:p>
            <w:pPr>
              <w:pStyle w:val="TableText"/>
              <w:ind w:left="279"/>
              <w:spacing w:before="97" w:line="219" w:lineRule="auto"/>
              <w:rPr/>
            </w:pPr>
            <w:r>
              <w:rPr>
                <w:spacing w:val="-2"/>
              </w:rPr>
              <w:t>所得税</w:t>
            </w:r>
          </w:p>
        </w:tc>
        <w:tc>
          <w:tcPr>
            <w:tcW w:w="464" w:type="dxa"/>
            <w:vAlign w:val="top"/>
          </w:tcPr>
          <w:p>
            <w:pPr>
              <w:pStyle w:val="TableText"/>
              <w:ind w:left="80"/>
              <w:spacing w:before="97" w:line="219" w:lineRule="auto"/>
              <w:rPr/>
            </w:pPr>
            <w:r>
              <w:rPr>
                <w:spacing w:val="-2"/>
              </w:rPr>
              <w:t>减征</w:t>
            </w:r>
          </w:p>
        </w:tc>
      </w:tr>
      <w:tr>
        <w:trPr>
          <w:trHeight w:val="2341" w:hRule="atLeast"/>
        </w:trPr>
        <w:tc>
          <w:tcPr>
            <w:tcW w:w="294"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94"/>
              <w:spacing w:before="49" w:line="183" w:lineRule="auto"/>
              <w:rPr/>
            </w:pPr>
            <w:r>
              <w:rPr/>
              <w:t>3</w:t>
            </w:r>
          </w:p>
        </w:tc>
        <w:tc>
          <w:tcPr>
            <w:tcW w:w="3966" w:type="dxa"/>
            <w:vAlign w:val="top"/>
          </w:tcPr>
          <w:p>
            <w:pPr>
              <w:pStyle w:val="TableText"/>
              <w:ind w:left="21"/>
              <w:spacing w:before="112" w:line="220" w:lineRule="auto"/>
              <w:rPr/>
            </w:pPr>
            <w:r>
              <w:rPr>
                <w:spacing w:val="-1"/>
              </w:rPr>
              <w:t>一、企业开展研发活动中实际发生的研发费用，未形成无</w:t>
            </w:r>
          </w:p>
          <w:p>
            <w:pPr>
              <w:pStyle w:val="TableText"/>
              <w:ind w:left="21" w:right="80" w:firstLine="79"/>
              <w:spacing w:line="245" w:lineRule="auto"/>
              <w:rPr/>
            </w:pPr>
            <w:r>
              <w:rPr>
                <w:spacing w:val="1"/>
              </w:rPr>
              <w:t>形资产计入当期损益的，在按规定据实扣除的基础上</w:t>
            </w:r>
            <w:r>
              <w:rPr/>
              <w:t>，自 </w:t>
            </w:r>
            <w:r>
              <w:rPr/>
              <w:t>2023年1月1日起，再按照实际发生额的</w:t>
            </w:r>
            <w:r>
              <w:rPr>
                <w:spacing w:val="-1"/>
              </w:rPr>
              <w:t>100%在税前加计</w:t>
            </w:r>
          </w:p>
          <w:p>
            <w:pPr>
              <w:pStyle w:val="TableText"/>
              <w:ind w:left="31" w:right="343" w:hanging="10"/>
              <w:spacing w:before="21" w:line="220" w:lineRule="auto"/>
              <w:rPr/>
            </w:pPr>
            <w:r>
              <w:rPr>
                <w:spacing w:val="-1"/>
              </w:rPr>
              <w:t>扣除；形成无形资产的，自2023年1月1日起，按照无形</w:t>
            </w:r>
            <w:r>
              <w:rPr>
                <w:spacing w:val="17"/>
              </w:rPr>
              <w:t xml:space="preserve"> </w:t>
            </w:r>
            <w:r>
              <w:rPr>
                <w:spacing w:val="-1"/>
              </w:rPr>
              <w:t>资产成本的200%在税前摊销。</w:t>
            </w:r>
          </w:p>
          <w:p>
            <w:pPr>
              <w:pStyle w:val="TableText"/>
              <w:ind w:left="55" w:hanging="34"/>
              <w:spacing w:before="31" w:line="241" w:lineRule="auto"/>
              <w:jc w:val="right"/>
              <w:rPr/>
            </w:pPr>
            <w:r>
              <w:rPr>
                <w:spacing w:val="-1"/>
              </w:rPr>
              <w:t>二、企业享受研发费用加计扣除政策的其他政策口径和管理 </w:t>
            </w:r>
            <w:r>
              <w:rPr/>
              <w:t>要求，按照《财政部国家税务总局科技部关于完善研究开  </w:t>
            </w:r>
            <w:r>
              <w:rPr>
                <w:spacing w:val="2"/>
              </w:rPr>
              <w:t>发费用税前加计扣除政策的通知》(财税〔2015〕119号)、</w:t>
            </w:r>
            <w:r>
              <w:rPr>
                <w:spacing w:val="13"/>
              </w:rPr>
              <w:t xml:space="preserve"> </w:t>
            </w:r>
            <w:r>
              <w:rPr/>
              <w:t>《财政部税务总局科技部关于企业委托境外研究开发费用</w:t>
            </w:r>
            <w:r>
              <w:rPr>
                <w:spacing w:val="1"/>
              </w:rPr>
              <w:t xml:space="preserve">   </w:t>
            </w:r>
            <w:r>
              <w:rPr>
                <w:spacing w:val="1"/>
              </w:rPr>
              <w:t>税前加计扣除有关政策问题的通知》(财税〔2018〕64号)</w:t>
            </w:r>
          </w:p>
          <w:p>
            <w:pPr>
              <w:pStyle w:val="TableText"/>
              <w:ind w:left="21"/>
              <w:spacing w:before="12" w:line="219" w:lineRule="auto"/>
              <w:rPr/>
            </w:pPr>
            <w:r>
              <w:rPr>
                <w:spacing w:val="-1"/>
              </w:rPr>
              <w:t>等文件相关规定执行</w:t>
            </w:r>
          </w:p>
        </w:tc>
        <w:tc>
          <w:tcPr>
            <w:tcW w:w="2118" w:type="dxa"/>
            <w:vAlign w:val="top"/>
          </w:tcPr>
          <w:p>
            <w:pPr>
              <w:pStyle w:val="TableText"/>
              <w:ind w:left="34" w:right="131"/>
              <w:spacing w:before="112" w:line="225" w:lineRule="auto"/>
              <w:rPr/>
            </w:pPr>
            <w:r>
              <w:rPr>
                <w:spacing w:val="-1"/>
              </w:rPr>
              <w:t>关于进一步完善研发费用税前</w:t>
            </w:r>
            <w:r>
              <w:rPr>
                <w:spacing w:val="3"/>
              </w:rPr>
              <w:t xml:space="preserve"> </w:t>
            </w:r>
            <w:r>
              <w:rPr>
                <w:spacing w:val="-1"/>
              </w:rPr>
              <w:t>加计扣除政策的公告财政部</w:t>
            </w:r>
          </w:p>
          <w:p>
            <w:pPr>
              <w:pStyle w:val="TableText"/>
              <w:ind w:left="34"/>
              <w:spacing w:before="32" w:line="218" w:lineRule="auto"/>
              <w:rPr/>
            </w:pPr>
            <w:r>
              <w:rPr>
                <w:spacing w:val="-1"/>
              </w:rPr>
              <w:t>税务总局公告2023年第7号</w:t>
            </w:r>
          </w:p>
        </w:tc>
        <w:tc>
          <w:tcPr>
            <w:tcW w:w="919" w:type="dxa"/>
            <w:vAlign w:val="top"/>
          </w:tcPr>
          <w:p>
            <w:pPr>
              <w:pStyle w:val="TableText"/>
              <w:ind w:left="16" w:right="16" w:firstLine="20"/>
              <w:spacing w:before="110" w:line="230" w:lineRule="auto"/>
              <w:jc w:val="both"/>
              <w:rPr/>
            </w:pPr>
            <w:r>
              <w:rPr>
                <w:spacing w:val="-13"/>
              </w:rPr>
              <w:t>自</w:t>
            </w:r>
            <w:r>
              <w:rPr>
                <w:spacing w:val="-28"/>
              </w:rPr>
              <w:t xml:space="preserve"> </w:t>
            </w:r>
            <w:r>
              <w:rPr>
                <w:spacing w:val="-13"/>
              </w:rPr>
              <w:t>2</w:t>
            </w:r>
            <w:r>
              <w:rPr>
                <w:spacing w:val="-33"/>
              </w:rPr>
              <w:t xml:space="preserve"> </w:t>
            </w:r>
            <w:r>
              <w:rPr>
                <w:spacing w:val="-13"/>
              </w:rPr>
              <w:t>0</w:t>
            </w:r>
            <w:r>
              <w:rPr>
                <w:spacing w:val="-32"/>
              </w:rPr>
              <w:t xml:space="preserve"> </w:t>
            </w:r>
            <w:r>
              <w:rPr>
                <w:spacing w:val="-13"/>
              </w:rPr>
              <w:t>2</w:t>
            </w:r>
            <w:r>
              <w:rPr>
                <w:spacing w:val="-31"/>
              </w:rPr>
              <w:t xml:space="preserve"> </w:t>
            </w:r>
            <w:r>
              <w:rPr>
                <w:spacing w:val="-13"/>
              </w:rPr>
              <w:t>3</w:t>
            </w:r>
            <w:r>
              <w:rPr>
                <w:spacing w:val="-33"/>
              </w:rPr>
              <w:t xml:space="preserve"> </w:t>
            </w:r>
            <w:r>
              <w:rPr>
                <w:spacing w:val="-13"/>
              </w:rPr>
              <w:t>年</w:t>
            </w:r>
            <w:r>
              <w:rPr>
                <w:spacing w:val="-23"/>
              </w:rPr>
              <w:t xml:space="preserve"> </w:t>
            </w:r>
            <w:r>
              <w:rPr>
                <w:spacing w:val="-13"/>
              </w:rPr>
              <w:t>1</w:t>
            </w:r>
            <w:r>
              <w:rPr/>
              <w:t xml:space="preserve"> </w:t>
            </w:r>
            <w:r>
              <w:rPr>
                <w:spacing w:val="-11"/>
              </w:rPr>
              <w:t>月</w:t>
            </w:r>
            <w:r>
              <w:rPr>
                <w:spacing w:val="-10"/>
              </w:rPr>
              <w:t xml:space="preserve"> </w:t>
            </w:r>
            <w:r>
              <w:rPr>
                <w:spacing w:val="-11"/>
              </w:rPr>
              <w:t>1</w:t>
            </w:r>
            <w:r>
              <w:rPr>
                <w:spacing w:val="2"/>
              </w:rPr>
              <w:t xml:space="preserve"> </w:t>
            </w:r>
            <w:r>
              <w:rPr>
                <w:spacing w:val="-11"/>
              </w:rPr>
              <w:t>日</w:t>
            </w:r>
            <w:r>
              <w:rPr>
                <w:spacing w:val="-23"/>
              </w:rPr>
              <w:t xml:space="preserve"> </w:t>
            </w:r>
            <w:r>
              <w:rPr>
                <w:spacing w:val="-11"/>
              </w:rPr>
              <w:t>起</w:t>
            </w:r>
            <w:r>
              <w:rPr>
                <w:spacing w:val="-24"/>
              </w:rPr>
              <w:t xml:space="preserve"> </w:t>
            </w:r>
            <w:r>
              <w:rPr>
                <w:spacing w:val="-11"/>
              </w:rPr>
              <w:t>执</w:t>
            </w:r>
            <w:r>
              <w:rPr/>
              <w:t xml:space="preserve"> </w:t>
            </w:r>
            <w:r>
              <w:rPr/>
              <w:t>行</w:t>
            </w:r>
          </w:p>
        </w:tc>
        <w:tc>
          <w:tcPr>
            <w:tcW w:w="859" w:type="dxa"/>
            <w:vAlign w:val="top"/>
          </w:tcPr>
          <w:p>
            <w:pPr>
              <w:pStyle w:val="TableText"/>
              <w:ind w:left="348" w:right="58" w:hanging="300"/>
              <w:spacing w:before="101" w:line="239" w:lineRule="auto"/>
              <w:rPr/>
            </w:pPr>
            <w:r>
              <w:rPr>
                <w:spacing w:val="-2"/>
              </w:rPr>
              <w:t>从事研发企</w:t>
            </w:r>
            <w:r>
              <w:rPr>
                <w:spacing w:val="1"/>
              </w:rPr>
              <w:t xml:space="preserve"> </w:t>
            </w:r>
            <w:r>
              <w:rPr/>
              <w:t>业</w:t>
            </w:r>
          </w:p>
        </w:tc>
        <w:tc>
          <w:tcPr>
            <w:tcW w:w="1009" w:type="dxa"/>
            <w:vAlign w:val="top"/>
          </w:tcPr>
          <w:p>
            <w:pPr>
              <w:pStyle w:val="TableText"/>
              <w:ind w:left="279"/>
              <w:spacing w:before="102" w:line="219" w:lineRule="auto"/>
              <w:rPr/>
            </w:pPr>
            <w:r>
              <w:rPr>
                <w:spacing w:val="-2"/>
              </w:rPr>
              <w:t>所得税</w:t>
            </w:r>
          </w:p>
        </w:tc>
        <w:tc>
          <w:tcPr>
            <w:tcW w:w="464" w:type="dxa"/>
            <w:vAlign w:val="top"/>
          </w:tcPr>
          <w:p>
            <w:pPr>
              <w:pStyle w:val="TableText"/>
              <w:ind w:left="80"/>
              <w:spacing w:before="92"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pict>
          <v:shape id="_x0000_s10" style="position:absolute;margin-left:38.9997pt;margin-top:51.0034pt;mso-position-vertical-relative:page;mso-position-horizontal-relative:page;width:10.65pt;height:14.6pt;z-index:251669504;" o:allowincell="f" filled="false" stroked="false" type="#_x0000_t202">
            <v:fill on="false"/>
            <v:stroke on="false"/>
            <v:path/>
            <v:imagedata o:title=""/>
            <o:lock v:ext="edit" aspectratio="false"/>
            <v:textbox inset="0mm,0mm,0mm,0mm">
              <w:txbxContent>
                <w:p>
                  <w:pPr>
                    <w:spacing w:before="19" w:line="221" w:lineRule="auto"/>
                    <w:jc w:val="right"/>
                    <w:rPr>
                      <w:rFonts w:ascii="SimSun" w:hAnsi="SimSun" w:eastAsia="SimSun" w:cs="SimSun"/>
                      <w:sz w:val="21"/>
                      <w:szCs w:val="21"/>
                    </w:rPr>
                  </w:pPr>
                  <w:r>
                    <w:rPr>
                      <w:rFonts w:ascii="SimSun" w:hAnsi="SimSun" w:eastAsia="SimSun" w:cs="SimSun"/>
                      <w:sz w:val="21"/>
                      <w:szCs w:val="21"/>
                      <w:spacing w:val="-26"/>
                      <w:w w:val="94"/>
                    </w:rPr>
                    <w:t>下</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4044" w:hRule="atLeast"/>
        </w:trPr>
        <w:tc>
          <w:tcPr>
            <w:tcW w:w="294"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94"/>
              <w:spacing w:before="48" w:line="183" w:lineRule="auto"/>
              <w:rPr/>
            </w:pPr>
            <w:r>
              <w:rPr/>
              <w:t>4</w:t>
            </w:r>
          </w:p>
        </w:tc>
        <w:tc>
          <w:tcPr>
            <w:tcW w:w="3966" w:type="dxa"/>
            <w:vAlign w:val="top"/>
          </w:tcPr>
          <w:p>
            <w:pPr>
              <w:pStyle w:val="TableText"/>
              <w:ind w:left="21" w:right="86" w:firstLine="39"/>
              <w:spacing w:before="66" w:line="241" w:lineRule="auto"/>
              <w:rPr/>
            </w:pPr>
            <w:r>
              <w:rPr>
                <w:spacing w:val="-1"/>
              </w:rPr>
              <w:t>一、对自本公告印发之日起1年内在跨境电子商务海关监管</w:t>
            </w:r>
            <w:r>
              <w:rPr>
                <w:spacing w:val="8"/>
              </w:rPr>
              <w:t xml:space="preserve"> </w:t>
            </w:r>
            <w:r>
              <w:rPr>
                <w:spacing w:val="2"/>
              </w:rPr>
              <w:t>代码(1210、9610、9710、9810)项下申报出口，因滞销、</w:t>
            </w:r>
            <w:r>
              <w:rPr>
                <w:spacing w:val="6"/>
              </w:rPr>
              <w:t xml:space="preserve"> </w:t>
            </w:r>
            <w:r>
              <w:rPr>
                <w:spacing w:val="-1"/>
              </w:rPr>
              <w:t>退货原因，自出口之日起6个月内原状退运进境的商品(不</w:t>
            </w:r>
          </w:p>
          <w:p>
            <w:pPr>
              <w:pStyle w:val="TableText"/>
              <w:ind w:left="21" w:right="26" w:firstLine="79"/>
              <w:spacing w:before="19" w:line="238" w:lineRule="auto"/>
              <w:jc w:val="both"/>
              <w:rPr/>
            </w:pPr>
            <w:r>
              <w:rPr>
                <w:spacing w:val="1"/>
              </w:rPr>
              <w:t>含食品),免征进口关税和进口环节增值税、消</w:t>
            </w:r>
            <w:r>
              <w:rPr/>
              <w:t>费税；出口  </w:t>
            </w:r>
            <w:r>
              <w:rPr>
                <w:spacing w:val="-1"/>
              </w:rPr>
              <w:t>时已征收的出口关税准予退还，出口时已征收的增值税、浩</w:t>
            </w:r>
            <w:r>
              <w:rPr>
                <w:spacing w:val="12"/>
              </w:rPr>
              <w:t xml:space="preserve"> </w:t>
            </w:r>
            <w:r>
              <w:rPr/>
              <w:t>费税参照内销货物发生退货有关税收规定执行。其中，监管</w:t>
            </w:r>
          </w:p>
          <w:p>
            <w:pPr>
              <w:pStyle w:val="TableText"/>
              <w:ind w:left="31" w:right="110" w:firstLine="69"/>
              <w:spacing w:before="22" w:line="227" w:lineRule="auto"/>
              <w:jc w:val="both"/>
              <w:rPr/>
            </w:pPr>
            <w:r>
              <w:rPr/>
              <w:t>代码1210项下出口商品，应自海关特殊监</w:t>
            </w:r>
            <w:r>
              <w:rPr>
                <w:spacing w:val="-1"/>
              </w:rPr>
              <w:t>管区域或保税物</w:t>
            </w:r>
            <w:r>
              <w:rPr/>
              <w:t xml:space="preserve"> </w:t>
            </w:r>
            <w:r>
              <w:rPr/>
              <w:t>流中心(B型)出区离境之日起6个月内退运</w:t>
            </w:r>
            <w:r>
              <w:rPr>
                <w:spacing w:val="-1"/>
              </w:rPr>
              <w:t>至境内区外。</w:t>
            </w:r>
          </w:p>
          <w:p>
            <w:pPr>
              <w:pStyle w:val="TableText"/>
              <w:ind w:left="21"/>
              <w:spacing w:before="22" w:line="219" w:lineRule="auto"/>
              <w:rPr/>
            </w:pPr>
            <w:r>
              <w:rPr>
                <w:spacing w:val="-1"/>
              </w:rPr>
              <w:t>二、对符合第一条规定的商品，已办理出口退税的，企业应</w:t>
            </w:r>
          </w:p>
          <w:p>
            <w:pPr>
              <w:pStyle w:val="TableText"/>
              <w:ind w:left="21"/>
              <w:spacing w:before="30" w:line="219" w:lineRule="auto"/>
              <w:rPr/>
            </w:pPr>
            <w:r>
              <w:rPr/>
              <w:t>当按现行规定补缴已退的税款。企业应当凭主管税务机关出</w:t>
            </w:r>
          </w:p>
          <w:p>
            <w:pPr>
              <w:pStyle w:val="TableText"/>
              <w:ind w:left="100"/>
              <w:spacing w:before="21" w:line="216" w:lineRule="auto"/>
              <w:rPr/>
            </w:pPr>
            <w:r>
              <w:rPr>
                <w:spacing w:val="1"/>
              </w:rPr>
              <w:t>具的《出口货物已补税/未退税证明》,申请办</w:t>
            </w:r>
            <w:r>
              <w:rPr/>
              <w:t>理免征进口</w:t>
            </w:r>
          </w:p>
          <w:p>
            <w:pPr>
              <w:pStyle w:val="TableText"/>
              <w:ind w:left="21"/>
              <w:spacing w:before="27" w:line="219" w:lineRule="auto"/>
              <w:rPr/>
            </w:pPr>
            <w:r>
              <w:rPr>
                <w:spacing w:val="-1"/>
              </w:rPr>
              <w:t>关税和进口环节增值税、消费税，退还出口关税手续</w:t>
            </w:r>
          </w:p>
          <w:p>
            <w:pPr>
              <w:pStyle w:val="TableText"/>
              <w:ind w:left="21" w:right="23"/>
              <w:spacing w:before="12" w:line="241" w:lineRule="auto"/>
              <w:rPr/>
            </w:pPr>
            <w:r>
              <w:rPr/>
              <w:t>三、对符合第一、二、三条规定的商品，企业应当提交</w:t>
            </w:r>
            <w:r>
              <w:rPr>
                <w:spacing w:val="-1"/>
              </w:rPr>
              <w:t>出口</w:t>
            </w:r>
            <w:r>
              <w:rPr/>
              <w:t xml:space="preserve"> </w:t>
            </w:r>
            <w:r>
              <w:rPr/>
              <w:t>商品申报清单或出口报关单、退运原因说明等证明该商品确</w:t>
            </w:r>
            <w:r>
              <w:rPr>
                <w:spacing w:val="10"/>
              </w:rPr>
              <w:t xml:space="preserve"> </w:t>
            </w:r>
            <w:r>
              <w:rPr>
                <w:spacing w:val="-1"/>
              </w:rPr>
              <w:t>为因滞销、退货原因而退运进境的材料，并对材料的真实性</w:t>
            </w:r>
            <w:r>
              <w:rPr>
                <w:spacing w:val="17"/>
              </w:rPr>
              <w:t xml:space="preserve"> </w:t>
            </w:r>
            <w:r>
              <w:rPr/>
              <w:t>承担法律责任。对因滞销退运的商品，企业</w:t>
            </w:r>
            <w:r>
              <w:rPr>
                <w:spacing w:val="-1"/>
              </w:rPr>
              <w:t>应提供“自我声</w:t>
            </w:r>
            <w:r>
              <w:rPr/>
              <w:t xml:space="preserve"> </w:t>
            </w:r>
            <w:r>
              <w:rPr/>
              <w:t>明”作为退运原因说明材料，承诺为因滞销退运；对因退货</w:t>
            </w:r>
            <w:r>
              <w:rPr>
                <w:spacing w:val="10"/>
              </w:rPr>
              <w:t xml:space="preserve"> </w:t>
            </w:r>
            <w:r>
              <w:rPr>
                <w:spacing w:val="1"/>
              </w:rPr>
              <w:t>退运的商品，企业应提供退货记录(含跨境电子商务平台上 </w:t>
            </w:r>
            <w:r>
              <w:rPr>
                <w:spacing w:val="1"/>
              </w:rPr>
              <w:t>的退货记录或拒收记录)、返货协议等作为退</w:t>
            </w:r>
            <w:r>
              <w:rPr/>
              <w:t>运原因说明材  </w:t>
            </w:r>
            <w:r>
              <w:rPr>
                <w:spacing w:val="-1"/>
              </w:rPr>
              <w:t>料。海关据此办理退运免税等手续</w:t>
            </w:r>
          </w:p>
        </w:tc>
        <w:tc>
          <w:tcPr>
            <w:tcW w:w="2118" w:type="dxa"/>
            <w:vAlign w:val="top"/>
          </w:tcPr>
          <w:p>
            <w:pPr>
              <w:pStyle w:val="TableText"/>
              <w:ind w:left="14" w:right="75" w:firstLine="60"/>
              <w:spacing w:before="76" w:line="230" w:lineRule="auto"/>
              <w:jc w:val="both"/>
              <w:rPr/>
            </w:pPr>
            <w:r>
              <w:rPr>
                <w:spacing w:val="-1"/>
              </w:rPr>
              <w:t>关于跨境电子商务出口退运商</w:t>
            </w:r>
            <w:r>
              <w:rPr>
                <w:spacing w:val="3"/>
              </w:rPr>
              <w:t xml:space="preserve"> </w:t>
            </w:r>
            <w:r>
              <w:rPr>
                <w:spacing w:val="5"/>
              </w:rPr>
              <w:t>品税收政策的公告财政部海关</w:t>
            </w:r>
            <w:r>
              <w:rPr>
                <w:spacing w:val="1"/>
              </w:rPr>
              <w:t xml:space="preserve"> </w:t>
            </w:r>
            <w:r>
              <w:rPr>
                <w:spacing w:val="-3"/>
              </w:rPr>
              <w:t>总署</w:t>
            </w:r>
          </w:p>
          <w:p>
            <w:pPr>
              <w:pStyle w:val="TableText"/>
              <w:ind w:left="44"/>
              <w:spacing w:before="28" w:line="218" w:lineRule="auto"/>
              <w:rPr/>
            </w:pPr>
            <w:r>
              <w:rPr>
                <w:spacing w:val="-1"/>
              </w:rPr>
              <w:t>税务总局公告2023年第4号</w:t>
            </w:r>
          </w:p>
        </w:tc>
        <w:tc>
          <w:tcPr>
            <w:tcW w:w="919" w:type="dxa"/>
            <w:vAlign w:val="top"/>
          </w:tcPr>
          <w:p>
            <w:pPr>
              <w:pStyle w:val="TableText"/>
              <w:ind w:left="36" w:right="32" w:firstLine="40"/>
              <w:spacing w:before="74" w:line="237" w:lineRule="auto"/>
              <w:jc w:val="both"/>
              <w:rPr/>
            </w:pPr>
            <w:r>
              <w:rPr>
                <w:spacing w:val="2"/>
              </w:rPr>
              <w:t>自本公告印 </w:t>
            </w:r>
            <w:r>
              <w:rPr>
                <w:spacing w:val="1"/>
              </w:rPr>
              <w:t>发之日(2023</w:t>
            </w:r>
            <w:r>
              <w:rPr>
                <w:spacing w:val="5"/>
              </w:rPr>
              <w:t xml:space="preserve"> </w:t>
            </w:r>
            <w:r>
              <w:rPr>
                <w:spacing w:val="10"/>
              </w:rPr>
              <w:t>年1月30日)</w:t>
            </w:r>
            <w:r>
              <w:rPr>
                <w:spacing w:val="1"/>
              </w:rPr>
              <w:t xml:space="preserve"> </w:t>
            </w:r>
            <w:r>
              <w:rPr>
                <w:spacing w:val="3"/>
              </w:rPr>
              <w:t>起1年内</w:t>
            </w:r>
          </w:p>
        </w:tc>
        <w:tc>
          <w:tcPr>
            <w:tcW w:w="859" w:type="dxa"/>
            <w:vAlign w:val="top"/>
          </w:tcPr>
          <w:p>
            <w:pPr>
              <w:pStyle w:val="TableText"/>
              <w:ind w:left="48"/>
              <w:spacing w:before="77" w:line="220" w:lineRule="auto"/>
              <w:rPr/>
            </w:pPr>
            <w:r>
              <w:rPr>
                <w:spacing w:val="-1"/>
              </w:rPr>
              <w:t>跨境电子商</w:t>
            </w:r>
          </w:p>
          <w:p>
            <w:pPr>
              <w:pStyle w:val="TableText"/>
              <w:ind w:left="48"/>
              <w:spacing w:before="20" w:line="219" w:lineRule="auto"/>
              <w:rPr/>
            </w:pPr>
            <w:r>
              <w:rPr>
                <w:spacing w:val="-2"/>
              </w:rPr>
              <w:t>务进出口企</w:t>
            </w:r>
          </w:p>
          <w:p>
            <w:pPr>
              <w:pStyle w:val="TableText"/>
              <w:ind w:left="348"/>
              <w:spacing w:before="21" w:line="232" w:lineRule="auto"/>
              <w:rPr/>
            </w:pPr>
            <w:r>
              <w:rPr/>
              <w:t>业</w:t>
            </w:r>
          </w:p>
        </w:tc>
        <w:tc>
          <w:tcPr>
            <w:tcW w:w="1009" w:type="dxa"/>
            <w:vAlign w:val="top"/>
          </w:tcPr>
          <w:p>
            <w:pPr>
              <w:pStyle w:val="TableText"/>
              <w:ind w:left="128" w:right="54" w:hanging="80"/>
              <w:spacing w:before="78" w:line="229" w:lineRule="auto"/>
              <w:rPr/>
            </w:pPr>
            <w:r>
              <w:rPr>
                <w:spacing w:val="-1"/>
              </w:rPr>
              <w:t>进口关税和进</w:t>
            </w:r>
            <w:r>
              <w:rPr/>
              <w:t xml:space="preserve"> </w:t>
            </w:r>
            <w:r>
              <w:rPr>
                <w:spacing w:val="1"/>
              </w:rPr>
              <w:t>口环节增值</w:t>
            </w:r>
            <w:r>
              <w:rPr/>
              <w:t xml:space="preserve">  </w:t>
            </w:r>
            <w:r>
              <w:rPr>
                <w:spacing w:val="-1"/>
              </w:rPr>
              <w:t>税、消费税</w:t>
            </w:r>
          </w:p>
        </w:tc>
        <w:tc>
          <w:tcPr>
            <w:tcW w:w="464" w:type="dxa"/>
            <w:vAlign w:val="top"/>
          </w:tcPr>
          <w:p>
            <w:pPr>
              <w:pStyle w:val="TableText"/>
              <w:ind w:left="70" w:hanging="51"/>
              <w:spacing w:before="57" w:line="233" w:lineRule="auto"/>
              <w:rPr/>
            </w:pPr>
            <w:r>
              <w:rPr>
                <w:spacing w:val="-17"/>
              </w:rPr>
              <w:t>免征</w:t>
            </w:r>
            <w:r>
              <w:rPr>
                <w:spacing w:val="-41"/>
              </w:rPr>
              <w:t xml:space="preserve"> </w:t>
            </w:r>
            <w:r>
              <w:rPr>
                <w:spacing w:val="-17"/>
              </w:rPr>
              <w:t>、</w:t>
            </w:r>
            <w:r>
              <w:rPr/>
              <w:t xml:space="preserve"> </w:t>
            </w:r>
            <w:r>
              <w:rPr>
                <w:spacing w:val="-11"/>
                <w:w w:val="99"/>
              </w:rPr>
              <w:t>退税</w:t>
            </w:r>
          </w:p>
        </w:tc>
      </w:tr>
      <w:tr>
        <w:trPr>
          <w:trHeight w:val="1662" w:hRule="atLeast"/>
        </w:trPr>
        <w:tc>
          <w:tcPr>
            <w:tcW w:w="294"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9" w:line="182" w:lineRule="auto"/>
              <w:rPr/>
            </w:pPr>
            <w:r>
              <w:rPr/>
              <w:t>5</w:t>
            </w:r>
          </w:p>
        </w:tc>
        <w:tc>
          <w:tcPr>
            <w:tcW w:w="3966" w:type="dxa"/>
            <w:vAlign w:val="top"/>
          </w:tcPr>
          <w:p>
            <w:pPr>
              <w:pStyle w:val="TableText"/>
              <w:ind w:left="41"/>
              <w:spacing w:before="73" w:line="219" w:lineRule="auto"/>
              <w:rPr/>
            </w:pPr>
            <w:r>
              <w:rPr>
                <w:spacing w:val="-1"/>
              </w:rPr>
              <w:t>一、自2023年1月1日至2023年12月31日，对月销售额</w:t>
            </w:r>
          </w:p>
          <w:p>
            <w:pPr>
              <w:pStyle w:val="TableText"/>
              <w:spacing w:before="30" w:line="219" w:lineRule="auto"/>
              <w:jc w:val="right"/>
              <w:rPr/>
            </w:pPr>
            <w:r>
              <w:rPr/>
              <w:t>10万元以下(含本数)的增值税小规模纳税人</w:t>
            </w:r>
            <w:r>
              <w:rPr>
                <w:spacing w:val="-1"/>
              </w:rPr>
              <w:t>，免征增值税。</w:t>
            </w:r>
          </w:p>
          <w:p>
            <w:pPr>
              <w:pStyle w:val="TableText"/>
              <w:ind w:left="31"/>
              <w:spacing w:before="23" w:line="219" w:lineRule="auto"/>
              <w:rPr/>
            </w:pPr>
            <w:r>
              <w:rPr/>
              <w:t>二、自2023年1月1日至2023年12月</w:t>
            </w:r>
            <w:r>
              <w:rPr>
                <w:spacing w:val="-1"/>
              </w:rPr>
              <w:t>31日，增值税小规</w:t>
            </w:r>
          </w:p>
          <w:p>
            <w:pPr>
              <w:pStyle w:val="TableText"/>
              <w:ind w:left="21" w:right="320" w:firstLine="20"/>
              <w:spacing w:before="22" w:line="237" w:lineRule="auto"/>
              <w:rPr/>
            </w:pPr>
            <w:r>
              <w:rPr/>
              <w:t>模纳税人适用3%征收率的应税销售收入，</w:t>
            </w:r>
            <w:r>
              <w:rPr>
                <w:spacing w:val="-1"/>
              </w:rPr>
              <w:t>减按1%征收率</w:t>
            </w:r>
            <w:r>
              <w:rPr/>
              <w:t xml:space="preserve"> </w:t>
            </w:r>
            <w:r>
              <w:rPr/>
              <w:t>征收增值税；适用3%预征率的预缴增值税项目，减按1%</w:t>
            </w:r>
            <w:r>
              <w:rPr>
                <w:spacing w:val="11"/>
              </w:rPr>
              <w:t xml:space="preserve"> </w:t>
            </w:r>
            <w:r>
              <w:rPr>
                <w:spacing w:val="-1"/>
              </w:rPr>
              <w:t>预征率预缴增值税</w:t>
            </w:r>
          </w:p>
          <w:p>
            <w:pPr>
              <w:pStyle w:val="TableText"/>
              <w:ind w:left="21" w:right="470" w:firstLine="20"/>
              <w:spacing w:before="12" w:line="233" w:lineRule="auto"/>
              <w:rPr/>
            </w:pPr>
            <w:r>
              <w:rPr/>
              <w:t>三、自2023年1月1日至2023年12月31</w:t>
            </w:r>
            <w:r>
              <w:rPr>
                <w:spacing w:val="-1"/>
              </w:rPr>
              <w:t>日，增值税加计</w:t>
            </w:r>
            <w:r>
              <w:rPr/>
              <w:t xml:space="preserve"> </w:t>
            </w:r>
            <w:r>
              <w:rPr>
                <w:spacing w:val="-1"/>
              </w:rPr>
              <w:t>抵减政策按照以下规定执行</w:t>
            </w:r>
          </w:p>
        </w:tc>
        <w:tc>
          <w:tcPr>
            <w:tcW w:w="2118" w:type="dxa"/>
            <w:vAlign w:val="top"/>
          </w:tcPr>
          <w:p>
            <w:pPr>
              <w:pStyle w:val="TableText"/>
              <w:ind w:left="14" w:right="89" w:firstLine="60"/>
              <w:spacing w:before="71" w:line="229" w:lineRule="auto"/>
              <w:rPr/>
            </w:pPr>
            <w:r>
              <w:rPr>
                <w:spacing w:val="-1"/>
              </w:rPr>
              <w:t>财政部税务总局公告2023年第</w:t>
            </w:r>
            <w:r>
              <w:rPr>
                <w:spacing w:val="7"/>
              </w:rPr>
              <w:t xml:space="preserve"> </w:t>
            </w:r>
            <w:r>
              <w:rPr>
                <w:spacing w:val="2"/>
              </w:rPr>
              <w:t>1号</w:t>
            </w:r>
          </w:p>
        </w:tc>
        <w:tc>
          <w:tcPr>
            <w:tcW w:w="919" w:type="dxa"/>
            <w:vAlign w:val="top"/>
          </w:tcPr>
          <w:p>
            <w:pPr>
              <w:pStyle w:val="TableText"/>
              <w:ind w:left="26" w:right="11" w:firstLine="20"/>
              <w:spacing w:before="82" w:line="239" w:lineRule="auto"/>
              <w:jc w:val="both"/>
              <w:rPr/>
            </w:pPr>
            <w:r>
              <w:rPr>
                <w:spacing w:val="17"/>
                <w:w w:val="108"/>
              </w:rPr>
              <w:t>2023年1月</w:t>
            </w:r>
            <w:r>
              <w:rPr>
                <w:spacing w:val="1"/>
              </w:rPr>
              <w:t xml:space="preserve"> </w:t>
            </w:r>
            <w:r>
              <w:rPr>
                <w:spacing w:val="6"/>
              </w:rPr>
              <w:t>1日</w:t>
            </w:r>
            <w:r>
              <w:rPr>
                <w:spacing w:val="16"/>
              </w:rPr>
              <w:t xml:space="preserve"> </w:t>
            </w:r>
            <w:r>
              <w:rPr>
                <w:spacing w:val="6"/>
              </w:rPr>
              <w:t>至2023</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59" w:type="dxa"/>
            <w:vAlign w:val="top"/>
          </w:tcPr>
          <w:p>
            <w:pPr>
              <w:pStyle w:val="TableText"/>
              <w:ind w:left="348" w:right="60" w:hanging="300"/>
              <w:spacing w:before="82" w:line="230" w:lineRule="auto"/>
              <w:rPr/>
            </w:pPr>
            <w:r>
              <w:rPr>
                <w:spacing w:val="-2"/>
              </w:rPr>
              <w:t>小规模纳税</w:t>
            </w:r>
            <w:r>
              <w:rPr/>
              <w:t xml:space="preserve"> </w:t>
            </w:r>
            <w:r>
              <w:rPr/>
              <w:t>人</w:t>
            </w:r>
          </w:p>
        </w:tc>
        <w:tc>
          <w:tcPr>
            <w:tcW w:w="1009" w:type="dxa"/>
            <w:vAlign w:val="top"/>
          </w:tcPr>
          <w:p>
            <w:pPr>
              <w:pStyle w:val="TableText"/>
              <w:ind w:left="279"/>
              <w:spacing w:before="63" w:line="219" w:lineRule="auto"/>
              <w:rPr/>
            </w:pPr>
            <w:r>
              <w:rPr>
                <w:spacing w:val="-2"/>
              </w:rPr>
              <w:t>增值税</w:t>
            </w:r>
          </w:p>
        </w:tc>
        <w:tc>
          <w:tcPr>
            <w:tcW w:w="464" w:type="dxa"/>
            <w:vAlign w:val="top"/>
          </w:tcPr>
          <w:p>
            <w:pPr>
              <w:pStyle w:val="TableText"/>
              <w:ind w:left="70" w:hanging="51"/>
              <w:spacing w:before="62" w:line="233" w:lineRule="auto"/>
              <w:rPr/>
            </w:pPr>
            <w:r>
              <w:rPr>
                <w:spacing w:val="-17"/>
              </w:rPr>
              <w:t>免征</w:t>
            </w:r>
            <w:r>
              <w:rPr>
                <w:spacing w:val="-41"/>
              </w:rPr>
              <w:t xml:space="preserve"> </w:t>
            </w:r>
            <w:r>
              <w:rPr>
                <w:spacing w:val="-17"/>
              </w:rPr>
              <w:t>、</w:t>
            </w:r>
            <w:r>
              <w:rPr/>
              <w:t xml:space="preserve"> </w:t>
            </w:r>
            <w:r>
              <w:rPr>
                <w:spacing w:val="-12"/>
              </w:rPr>
              <w:t>减征</w:t>
            </w:r>
          </w:p>
        </w:tc>
      </w:tr>
    </w:tbl>
    <w:p>
      <w:pPr>
        <w:pStyle w:val="BodyText"/>
        <w:rPr/>
      </w:pPr>
      <w:r/>
    </w:p>
    <w:p>
      <w:pPr>
        <w:sectPr>
          <w:pgSz w:w="11910" w:h="8220"/>
          <w:pgMar w:top="400" w:right="1145" w:bottom="400" w:left="799" w:header="0" w:footer="0" w:gutter="0"/>
        </w:sectPr>
        <w:rPr/>
      </w:pPr>
    </w:p>
    <w:p>
      <w:pPr>
        <w:spacing w:before="51"/>
        <w:rPr/>
      </w:pPr>
      <w:r>
        <w:pict>
          <v:shape id="_x0000_s12" style="position:absolute;margin-left:38.9997pt;margin-top:347.698pt;mso-position-vertical-relative:page;mso-position-horizontal-relative:page;width:10.5pt;height:13.25pt;z-index:251670528;" o:allowincell="f" filled="false" stroked="false" type="#_x0000_t202">
            <v:fill on="false"/>
            <v:stroke on="false"/>
            <v:path/>
            <v:imagedata o:title=""/>
            <o:lock v:ext="edit" aspectratio="false"/>
            <v:textbox inset="0mm,0mm,0mm,0mm">
              <w:txbxContent>
                <w:p>
                  <w:pPr>
                    <w:ind w:left="20"/>
                    <w:spacing w:before="20" w:line="222" w:lineRule="auto"/>
                    <w:rPr>
                      <w:rFonts w:ascii="STCaiyun" w:hAnsi="STCaiyun" w:eastAsia="STCaiyun" w:cs="STCaiyun"/>
                      <w:sz w:val="18"/>
                      <w:szCs w:val="18"/>
                    </w:rPr>
                  </w:pPr>
                  <w:r>
                    <w:rPr>
                      <w:rFonts w:ascii="STCaiyun" w:hAnsi="STCaiyun" w:eastAsia="STCaiyun" w:cs="STCaiyun"/>
                      <w:sz w:val="18"/>
                      <w:szCs w:val="18"/>
                    </w:rPr>
                    <w:t>云</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3335" w:hRule="atLeast"/>
        </w:trPr>
        <w:tc>
          <w:tcPr>
            <w:tcW w:w="294"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4"/>
              <w:spacing w:before="48" w:line="182" w:lineRule="auto"/>
              <w:rPr/>
            </w:pPr>
            <w:r>
              <w:rPr/>
              <w:t>5</w:t>
            </w:r>
          </w:p>
        </w:tc>
        <w:tc>
          <w:tcPr>
            <w:tcW w:w="3966" w:type="dxa"/>
            <w:vAlign w:val="top"/>
          </w:tcPr>
          <w:p>
            <w:pPr>
              <w:pStyle w:val="TableText"/>
              <w:ind w:left="100"/>
              <w:spacing w:before="117" w:line="219" w:lineRule="auto"/>
              <w:rPr/>
            </w:pPr>
            <w:r>
              <w:rPr/>
              <w:t>(一)允许生产性服务业纳税人按照当期可抵扣进项税额加</w:t>
            </w:r>
          </w:p>
          <w:p>
            <w:pPr>
              <w:pStyle w:val="TableText"/>
              <w:ind w:left="21" w:right="40" w:firstLine="79"/>
              <w:spacing w:before="21" w:line="229" w:lineRule="auto"/>
              <w:rPr/>
            </w:pPr>
            <w:r>
              <w:rPr/>
              <w:t>计5%抵减应纳税额。生产性服务业纳税人</w:t>
            </w:r>
            <w:r>
              <w:rPr>
                <w:spacing w:val="-1"/>
              </w:rPr>
              <w:t>，是指提供邮政</w:t>
            </w:r>
            <w:r>
              <w:rPr/>
              <w:t xml:space="preserve">  </w:t>
            </w:r>
            <w:r>
              <w:rPr/>
              <w:t>服务、电信服务、现代服务、生活服务取得</w:t>
            </w:r>
            <w:r>
              <w:rPr>
                <w:spacing w:val="-1"/>
              </w:rPr>
              <w:t>的销售额占全部</w:t>
            </w:r>
            <w:r>
              <w:rPr/>
              <w:t xml:space="preserve"> </w:t>
            </w:r>
            <w:r>
              <w:rPr/>
              <w:t>销售额的比重超过50%的纳税人</w:t>
            </w:r>
          </w:p>
          <w:p>
            <w:pPr>
              <w:pStyle w:val="TableText"/>
              <w:ind w:left="41" w:right="93" w:firstLine="59"/>
              <w:spacing w:before="42" w:line="232" w:lineRule="auto"/>
              <w:rPr/>
            </w:pPr>
            <w:r>
              <w:rPr/>
              <w:t>(二)允许生活性服务业纳税人按照当期可抵扣进项税额加</w:t>
            </w:r>
            <w:r>
              <w:rPr>
                <w:spacing w:val="10"/>
              </w:rPr>
              <w:t xml:space="preserve"> </w:t>
            </w:r>
            <w:r>
              <w:rPr/>
              <w:t>计10%抵减应纳税额。生活性服务业纳税</w:t>
            </w:r>
            <w:r>
              <w:rPr>
                <w:spacing w:val="-1"/>
              </w:rPr>
              <w:t>人，是指提供生</w:t>
            </w:r>
          </w:p>
          <w:p>
            <w:pPr>
              <w:pStyle w:val="TableText"/>
              <w:ind w:left="11" w:right="268" w:firstLine="10"/>
              <w:spacing w:before="23" w:line="217" w:lineRule="auto"/>
              <w:rPr/>
            </w:pPr>
            <w:r>
              <w:rPr>
                <w:spacing w:val="-1"/>
              </w:rPr>
              <w:t>活服务取得的销售额占全部销售额的比重超过50%的纳税</w:t>
            </w:r>
            <w:r>
              <w:rPr>
                <w:spacing w:val="16"/>
              </w:rPr>
              <w:t xml:space="preserve"> </w:t>
            </w:r>
            <w:r>
              <w:rPr>
                <w:spacing w:val="-2"/>
              </w:rPr>
              <w:t>人。</w:t>
            </w:r>
          </w:p>
          <w:p>
            <w:pPr>
              <w:pStyle w:val="TableText"/>
              <w:ind w:left="41" w:right="99" w:firstLine="59"/>
              <w:spacing w:before="27" w:line="236" w:lineRule="auto"/>
              <w:jc w:val="both"/>
              <w:rPr/>
            </w:pPr>
            <w:r>
              <w:rPr/>
              <w:t>(三)纳税人适用加计抵减政策的其他有关事项，按照《财</w:t>
            </w:r>
            <w:r>
              <w:rPr>
                <w:spacing w:val="4"/>
              </w:rPr>
              <w:t xml:space="preserve"> </w:t>
            </w:r>
            <w:r>
              <w:rPr>
                <w:spacing w:val="2"/>
              </w:rPr>
              <w:t>政部税务总局海关总署关于深化增值税改革有关政策的公</w:t>
            </w:r>
            <w:r>
              <w:rPr>
                <w:spacing w:val="3"/>
              </w:rPr>
              <w:t xml:space="preserve"> </w:t>
            </w:r>
            <w:r>
              <w:rPr>
                <w:spacing w:val="1"/>
              </w:rPr>
              <w:t>告》(财政部税务总局海关总署公告2019年第39号)</w:t>
            </w:r>
          </w:p>
          <w:p>
            <w:pPr>
              <w:pStyle w:val="TableText"/>
              <w:ind w:left="31" w:right="164" w:firstLine="24"/>
              <w:spacing w:before="24" w:line="231" w:lineRule="auto"/>
              <w:rPr/>
            </w:pPr>
            <w:r>
              <w:rPr>
                <w:spacing w:val="-1"/>
              </w:rPr>
              <w:t>《财政部税务总局关于明确生活性服务业增值税加计抵减</w:t>
            </w:r>
            <w:r>
              <w:rPr>
                <w:spacing w:val="9"/>
              </w:rPr>
              <w:t xml:space="preserve"> </w:t>
            </w:r>
            <w:r>
              <w:rPr/>
              <w:t>政策的公告》(财政部税务总局公告2019</w:t>
            </w:r>
            <w:r>
              <w:rPr>
                <w:spacing w:val="-1"/>
              </w:rPr>
              <w:t>年第87号)等</w:t>
            </w:r>
          </w:p>
          <w:p>
            <w:pPr>
              <w:pStyle w:val="TableText"/>
              <w:ind w:left="21"/>
              <w:spacing w:before="24" w:line="219" w:lineRule="auto"/>
              <w:rPr/>
            </w:pPr>
            <w:r>
              <w:rPr>
                <w:spacing w:val="-1"/>
              </w:rPr>
              <w:t>有关规定执行。</w:t>
            </w:r>
          </w:p>
          <w:p>
            <w:pPr>
              <w:pStyle w:val="TableText"/>
              <w:ind w:left="11" w:firstLine="9"/>
              <w:spacing w:before="42" w:line="233" w:lineRule="auto"/>
              <w:rPr/>
            </w:pPr>
            <w:r>
              <w:rPr>
                <w:spacing w:val="-2"/>
              </w:rPr>
              <w:t>四、按照本公告规定，应予减免的增值税，在本公告下</w:t>
            </w:r>
            <w:r>
              <w:rPr>
                <w:spacing w:val="-3"/>
              </w:rPr>
              <w:t>发前</w:t>
            </w:r>
            <w:r>
              <w:rPr/>
              <w:t xml:space="preserve">  </w:t>
            </w:r>
            <w:r>
              <w:rPr>
                <w:spacing w:val="-4"/>
              </w:rPr>
              <w:t>已征收的，可抵减纳税人以后纳税期应缴纳税款或予以退还。</w:t>
            </w:r>
          </w:p>
        </w:tc>
        <w:tc>
          <w:tcPr>
            <w:tcW w:w="2118" w:type="dxa"/>
            <w:vAlign w:val="top"/>
          </w:tcPr>
          <w:p>
            <w:pPr>
              <w:rPr>
                <w:rFonts w:ascii="Arial"/>
                <w:sz w:val="21"/>
              </w:rPr>
            </w:pPr>
            <w:r/>
          </w:p>
        </w:tc>
        <w:tc>
          <w:tcPr>
            <w:tcW w:w="919" w:type="dxa"/>
            <w:vAlign w:val="top"/>
          </w:tcPr>
          <w:p>
            <w:pPr>
              <w:rPr>
                <w:rFonts w:ascii="Arial"/>
                <w:sz w:val="21"/>
              </w:rPr>
            </w:pPr>
            <w:r/>
          </w:p>
        </w:tc>
        <w:tc>
          <w:tcPr>
            <w:tcW w:w="859" w:type="dxa"/>
            <w:vAlign w:val="top"/>
          </w:tcPr>
          <w:p>
            <w:pPr>
              <w:rPr>
                <w:rFonts w:ascii="Arial"/>
                <w:sz w:val="21"/>
              </w:rPr>
            </w:pPr>
            <w:r/>
          </w:p>
        </w:tc>
        <w:tc>
          <w:tcPr>
            <w:tcW w:w="1009" w:type="dxa"/>
            <w:vAlign w:val="top"/>
          </w:tcPr>
          <w:p>
            <w:pPr>
              <w:rPr>
                <w:rFonts w:ascii="Arial"/>
                <w:sz w:val="21"/>
              </w:rPr>
            </w:pPr>
            <w:r/>
          </w:p>
        </w:tc>
        <w:tc>
          <w:tcPr>
            <w:tcW w:w="464" w:type="dxa"/>
            <w:vAlign w:val="top"/>
          </w:tcPr>
          <w:p>
            <w:pPr>
              <w:rPr>
                <w:rFonts w:ascii="Arial"/>
                <w:sz w:val="21"/>
              </w:rPr>
            </w:pPr>
            <w:r/>
          </w:p>
        </w:tc>
      </w:tr>
      <w:tr>
        <w:trPr>
          <w:trHeight w:val="2341" w:hRule="atLeast"/>
        </w:trPr>
        <w:tc>
          <w:tcPr>
            <w:tcW w:w="294"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94"/>
              <w:spacing w:before="49" w:line="183" w:lineRule="auto"/>
              <w:rPr/>
            </w:pPr>
            <w:r>
              <w:rPr/>
              <w:t>6</w:t>
            </w:r>
          </w:p>
        </w:tc>
        <w:tc>
          <w:tcPr>
            <w:tcW w:w="3966" w:type="dxa"/>
            <w:vAlign w:val="top"/>
          </w:tcPr>
          <w:p>
            <w:pPr>
              <w:pStyle w:val="TableText"/>
              <w:ind w:left="21" w:right="35"/>
              <w:spacing w:before="111" w:line="238" w:lineRule="auto"/>
              <w:jc w:val="both"/>
              <w:rPr/>
            </w:pPr>
            <w:r>
              <w:rPr/>
              <w:t>一、对金融机构向小型企业、微型企业和个体工商户发</w:t>
            </w:r>
            <w:r>
              <w:rPr>
                <w:spacing w:val="-1"/>
              </w:rPr>
              <w:t>放小</w:t>
            </w:r>
            <w:r>
              <w:rPr/>
              <w:t xml:space="preserve"> </w:t>
            </w:r>
            <w:r>
              <w:rPr/>
              <w:t>额贷款取得的利息收入，免征增值税。金融</w:t>
            </w:r>
            <w:r>
              <w:rPr>
                <w:spacing w:val="-1"/>
              </w:rPr>
              <w:t>机构可以选择以</w:t>
            </w:r>
            <w:r>
              <w:rPr/>
              <w:t xml:space="preserve"> </w:t>
            </w:r>
            <w:r>
              <w:rPr>
                <w:spacing w:val="1"/>
              </w:rPr>
              <w:t>下两种方法之一适用免税：</w:t>
            </w:r>
          </w:p>
          <w:p>
            <w:pPr>
              <w:pStyle w:val="TableText"/>
              <w:ind w:left="21" w:right="26" w:firstLine="79"/>
              <w:spacing w:before="21" w:line="232" w:lineRule="auto"/>
              <w:jc w:val="both"/>
              <w:rPr/>
            </w:pPr>
            <w:r>
              <w:rPr/>
              <w:t>(一)对金融机构向小型企业、微型企业和个体工商户发放</w:t>
            </w:r>
            <w:r>
              <w:rPr>
                <w:spacing w:val="2"/>
              </w:rPr>
              <w:t xml:space="preserve">  </w:t>
            </w:r>
            <w:r>
              <w:rPr/>
              <w:t>的，利率水平不高于全国银行间同业拆借中心公布的贷款市</w:t>
            </w:r>
            <w:r>
              <w:rPr>
                <w:spacing w:val="7"/>
              </w:rPr>
              <w:t xml:space="preserve"> </w:t>
            </w:r>
            <w:r>
              <w:rPr/>
              <w:t>场报价利率(LPR)150%(含本数)的单笔小额贷款取得的</w:t>
            </w:r>
          </w:p>
          <w:p>
            <w:pPr>
              <w:pStyle w:val="TableText"/>
              <w:ind w:left="31" w:right="41" w:hanging="10"/>
              <w:spacing w:before="22" w:line="232" w:lineRule="auto"/>
              <w:rPr/>
            </w:pPr>
            <w:r>
              <w:rPr>
                <w:spacing w:val="-1"/>
              </w:rPr>
              <w:t>利息收入，免征增值税；高于全国银行间同业拆借中心公布</w:t>
            </w:r>
            <w:r>
              <w:rPr>
                <w:spacing w:val="18"/>
              </w:rPr>
              <w:t xml:space="preserve"> </w:t>
            </w:r>
            <w:r>
              <w:rPr/>
              <w:t>的贷款市场报价利率(LPR)150%的单笔小额贷款取得的</w:t>
            </w:r>
          </w:p>
          <w:p>
            <w:pPr>
              <w:pStyle w:val="TableText"/>
              <w:ind w:left="41"/>
              <w:spacing w:before="24" w:line="219" w:lineRule="auto"/>
              <w:rPr/>
            </w:pPr>
            <w:r>
              <w:rPr>
                <w:spacing w:val="-1"/>
              </w:rPr>
              <w:t>利息收入，按照现行政策规定缴纳增值税</w:t>
            </w:r>
          </w:p>
          <w:p>
            <w:pPr>
              <w:pStyle w:val="TableText"/>
              <w:ind w:left="21" w:right="19" w:firstLine="79"/>
              <w:spacing w:before="21" w:line="233" w:lineRule="auto"/>
              <w:rPr/>
            </w:pPr>
            <w:r>
              <w:rPr/>
              <w:t>(二)对金融机构向小型企业、微型企业和个体工商户发放</w:t>
            </w:r>
            <w:r>
              <w:rPr>
                <w:spacing w:val="2"/>
              </w:rPr>
              <w:t xml:space="preserve">  </w:t>
            </w:r>
            <w:r>
              <w:rPr/>
              <w:t>单笔小额贷款取得的利息收入中，不高于该笔贷款按照全国</w:t>
            </w:r>
          </w:p>
        </w:tc>
        <w:tc>
          <w:tcPr>
            <w:tcW w:w="2118" w:type="dxa"/>
            <w:vAlign w:val="top"/>
          </w:tcPr>
          <w:p>
            <w:pPr>
              <w:pStyle w:val="TableText"/>
              <w:ind w:left="24" w:right="89" w:firstLine="50"/>
              <w:spacing w:before="112" w:line="232" w:lineRule="auto"/>
              <w:jc w:val="both"/>
              <w:rPr/>
            </w:pPr>
            <w:r>
              <w:rPr>
                <w:spacing w:val="-1"/>
              </w:rPr>
              <w:t>财政部、税务总局关于金融机</w:t>
            </w:r>
            <w:r>
              <w:rPr>
                <w:spacing w:val="5"/>
              </w:rPr>
              <w:t xml:space="preserve"> </w:t>
            </w:r>
            <w:r>
              <w:rPr>
                <w:spacing w:val="3"/>
              </w:rPr>
              <w:t>构小微企业贷款利息收入免征</w:t>
            </w:r>
            <w:r>
              <w:rPr>
                <w:spacing w:val="2"/>
              </w:rPr>
              <w:t xml:space="preserve"> </w:t>
            </w:r>
            <w:r>
              <w:rPr>
                <w:spacing w:val="-1"/>
              </w:rPr>
              <w:t>增值税政策的公告</w:t>
            </w:r>
          </w:p>
        </w:tc>
        <w:tc>
          <w:tcPr>
            <w:tcW w:w="919" w:type="dxa"/>
            <w:vAlign w:val="top"/>
          </w:tcPr>
          <w:p>
            <w:pPr>
              <w:pStyle w:val="TableText"/>
              <w:ind w:left="16" w:right="1" w:firstLine="20"/>
              <w:spacing w:before="111" w:line="236" w:lineRule="auto"/>
              <w:jc w:val="both"/>
              <w:rPr/>
            </w:pPr>
            <w:r>
              <w:rPr>
                <w:spacing w:val="15"/>
                <w:w w:val="113"/>
              </w:rPr>
              <w:t>2023年8月</w:t>
            </w:r>
            <w:r>
              <w:rPr>
                <w:spacing w:val="1"/>
              </w:rPr>
              <w:t xml:space="preserve"> </w:t>
            </w:r>
            <w:r>
              <w:rPr>
                <w:spacing w:val="23"/>
                <w:w w:val="104"/>
              </w:rPr>
              <w:t>1日至2027</w:t>
            </w:r>
            <w:r>
              <w:rPr>
                <w:spacing w:val="4"/>
              </w:rPr>
              <w:t xml:space="preserve"> </w:t>
            </w:r>
            <w:r>
              <w:rPr>
                <w:spacing w:val="-8"/>
              </w:rPr>
              <w:t>年 1</w:t>
            </w:r>
            <w:r>
              <w:rPr>
                <w:spacing w:val="-10"/>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59" w:type="dxa"/>
            <w:vAlign w:val="top"/>
          </w:tcPr>
          <w:p>
            <w:pPr>
              <w:pStyle w:val="TableText"/>
              <w:ind w:left="48" w:right="30" w:firstLine="79"/>
              <w:spacing w:before="114" w:line="232" w:lineRule="auto"/>
              <w:rPr/>
            </w:pPr>
            <w:r>
              <w:rPr>
                <w:spacing w:val="-3"/>
              </w:rPr>
              <w:t>小型企业</w:t>
            </w:r>
            <w:r>
              <w:rPr/>
              <w:t xml:space="preserve">  </w:t>
            </w:r>
            <w:r>
              <w:rPr>
                <w:spacing w:val="-2"/>
              </w:rPr>
              <w:t>微型企业和</w:t>
            </w:r>
            <w:r>
              <w:rPr>
                <w:spacing w:val="3"/>
              </w:rPr>
              <w:t xml:space="preserve"> </w:t>
            </w:r>
            <w:r>
              <w:rPr>
                <w:spacing w:val="4"/>
              </w:rPr>
              <w:t>个体工商户</w:t>
            </w:r>
          </w:p>
        </w:tc>
        <w:tc>
          <w:tcPr>
            <w:tcW w:w="1009" w:type="dxa"/>
            <w:vAlign w:val="top"/>
          </w:tcPr>
          <w:p>
            <w:pPr>
              <w:pStyle w:val="TableText"/>
              <w:ind w:left="279"/>
              <w:spacing w:before="102" w:line="219" w:lineRule="auto"/>
              <w:rPr/>
            </w:pPr>
            <w:r>
              <w:rPr>
                <w:spacing w:val="-2"/>
              </w:rPr>
              <w:t>增值税</w:t>
            </w:r>
          </w:p>
        </w:tc>
        <w:tc>
          <w:tcPr>
            <w:tcW w:w="464" w:type="dxa"/>
            <w:vAlign w:val="top"/>
          </w:tcPr>
          <w:p>
            <w:pPr>
              <w:pStyle w:val="TableText"/>
              <w:ind w:left="80"/>
              <w:spacing w:before="92"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46"/>
        <w:rPr/>
      </w:pPr>
      <w:r>
        <w:pict>
          <v:shape id="_x0000_s14" style="position:absolute;margin-left:38.9997pt;margin-top:51.2094pt;mso-position-vertical-relative:page;mso-position-horizontal-relative:page;width:11.4pt;height:14.5pt;z-index:251671552;" o:allowincell="f" filled="false" stroked="false" type="#_x0000_t202">
            <v:fill on="false"/>
            <v:stroke on="false"/>
            <v:path/>
            <v:imagedata o:title=""/>
            <o:lock v:ext="edit" aspectratio="false"/>
            <v:textbox inset="0mm,0mm,0mm,0mm">
              <w:txbxContent>
                <w:p>
                  <w:pPr>
                    <w:ind w:left="20"/>
                    <w:spacing w:before="20" w:line="222" w:lineRule="auto"/>
                    <w:rPr>
                      <w:rFonts w:ascii="STCaiyun" w:hAnsi="STCaiyun" w:eastAsia="STCaiyun" w:cs="STCaiyun"/>
                      <w:sz w:val="20"/>
                      <w:szCs w:val="20"/>
                    </w:rPr>
                  </w:pPr>
                  <w:r>
                    <w:rPr>
                      <w:rFonts w:ascii="STCaiyun" w:hAnsi="STCaiyun" w:eastAsia="STCaiyun" w:cs="STCaiyun"/>
                      <w:sz w:val="20"/>
                      <w:szCs w:val="20"/>
                    </w:rPr>
                    <w:t>司</w:t>
                  </w:r>
                </w:p>
              </w:txbxContent>
            </v:textbox>
          </v:shape>
        </w:pict>
      </w:r>
      <w:r/>
    </w:p>
    <w:p>
      <w:pPr>
        <w:spacing w:before="46"/>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514" w:hRule="atLeast"/>
        </w:trPr>
        <w:tc>
          <w:tcPr>
            <w:tcW w:w="294" w:type="dxa"/>
            <w:vAlign w:val="top"/>
            <w:textDirection w:val="tbRlV"/>
          </w:tcPr>
          <w:p>
            <w:pPr>
              <w:pStyle w:val="TableText"/>
              <w:ind w:left="57"/>
              <w:spacing w:before="69" w:line="217" w:lineRule="auto"/>
              <w:rPr/>
            </w:pPr>
            <w:r>
              <w:rPr/>
              <w:t>序</w:t>
            </w:r>
            <w:r>
              <w:rPr>
                <w:spacing w:val="16"/>
              </w:rPr>
              <w:t xml:space="preserve"> </w:t>
            </w:r>
            <w:r>
              <w:rPr/>
              <w:t>号</w:t>
            </w:r>
          </w:p>
        </w:tc>
        <w:tc>
          <w:tcPr>
            <w:tcW w:w="3966" w:type="dxa"/>
            <w:vAlign w:val="top"/>
          </w:tcPr>
          <w:p>
            <w:pPr>
              <w:pStyle w:val="TableText"/>
              <w:ind w:left="1671"/>
              <w:spacing w:before="181" w:line="219" w:lineRule="auto"/>
              <w:rPr/>
            </w:pPr>
            <w:r>
              <w:rPr>
                <w:spacing w:val="-2"/>
              </w:rPr>
              <w:t>主要内容</w:t>
            </w:r>
          </w:p>
        </w:tc>
        <w:tc>
          <w:tcPr>
            <w:tcW w:w="2118" w:type="dxa"/>
            <w:vAlign w:val="top"/>
          </w:tcPr>
          <w:p>
            <w:pPr>
              <w:pStyle w:val="TableText"/>
              <w:ind w:left="764"/>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859" w:type="dxa"/>
            <w:vAlign w:val="top"/>
          </w:tcPr>
          <w:p>
            <w:pPr>
              <w:pStyle w:val="TableText"/>
              <w:ind w:left="277" w:right="133" w:hanging="150"/>
              <w:spacing w:before="9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81" w:line="219" w:lineRule="auto"/>
              <w:rPr/>
            </w:pPr>
            <w:r>
              <w:rPr>
                <w:spacing w:val="-1"/>
              </w:rPr>
              <w:t>政策类别</w:t>
            </w:r>
          </w:p>
        </w:tc>
        <w:tc>
          <w:tcPr>
            <w:tcW w:w="474" w:type="dxa"/>
            <w:vAlign w:val="top"/>
          </w:tcPr>
          <w:p>
            <w:pPr>
              <w:pStyle w:val="TableText"/>
              <w:ind w:left="80" w:right="89"/>
              <w:spacing w:before="72" w:line="252" w:lineRule="auto"/>
              <w:rPr/>
            </w:pPr>
            <w:r>
              <w:rPr>
                <w:spacing w:val="-3"/>
              </w:rPr>
              <w:t>政策</w:t>
            </w:r>
            <w:r>
              <w:rPr/>
              <w:t xml:space="preserve"> </w:t>
            </w:r>
            <w:r>
              <w:rPr>
                <w:spacing w:val="-4"/>
              </w:rPr>
              <w:t>形式</w:t>
            </w:r>
          </w:p>
        </w:tc>
      </w:tr>
      <w:tr>
        <w:trPr>
          <w:trHeight w:val="5726" w:hRule="atLeast"/>
        </w:trPr>
        <w:tc>
          <w:tcPr>
            <w:tcW w:w="294"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94"/>
              <w:spacing w:before="48" w:line="183" w:lineRule="auto"/>
              <w:rPr/>
            </w:pPr>
            <w:r>
              <w:rPr/>
              <w:t>6</w:t>
            </w:r>
          </w:p>
        </w:tc>
        <w:tc>
          <w:tcPr>
            <w:tcW w:w="3966" w:type="dxa"/>
            <w:vAlign w:val="top"/>
          </w:tcPr>
          <w:p>
            <w:pPr>
              <w:pStyle w:val="TableText"/>
              <w:ind w:left="41"/>
              <w:spacing w:before="95" w:line="218" w:lineRule="auto"/>
              <w:rPr/>
            </w:pPr>
            <w:r>
              <w:rPr/>
              <w:t>银行间同业拆借中心公布的贷款市场报价利率(</w:t>
            </w:r>
            <w:r>
              <w:rPr>
                <w:spacing w:val="-1"/>
              </w:rPr>
              <w:t>LPR)150%</w:t>
            </w:r>
          </w:p>
          <w:p>
            <w:pPr>
              <w:pStyle w:val="TableText"/>
              <w:ind w:left="21" w:right="96" w:firstLine="79"/>
              <w:spacing w:before="23" w:line="233" w:lineRule="auto"/>
              <w:rPr/>
            </w:pPr>
            <w:r>
              <w:rPr/>
              <w:t>(含本数)计算的利息收入部分，免征增值税；超过部分按</w:t>
            </w:r>
            <w:r>
              <w:rPr>
                <w:spacing w:val="7"/>
              </w:rPr>
              <w:t xml:space="preserve"> </w:t>
            </w:r>
            <w:r>
              <w:rPr>
                <w:spacing w:val="-1"/>
              </w:rPr>
              <w:t>照现行政策规定缴纳增值税。</w:t>
            </w:r>
          </w:p>
          <w:p>
            <w:pPr>
              <w:pStyle w:val="TableText"/>
              <w:ind w:left="21"/>
              <w:spacing w:before="21" w:line="219" w:lineRule="auto"/>
              <w:rPr/>
            </w:pPr>
            <w:r>
              <w:rPr>
                <w:spacing w:val="-1"/>
              </w:rPr>
              <w:t>金融机构可按会计年度在以上两种方法之间选定其一作为该</w:t>
            </w:r>
          </w:p>
          <w:p>
            <w:pPr>
              <w:pStyle w:val="TableText"/>
              <w:ind w:left="21"/>
              <w:spacing w:before="22" w:line="219" w:lineRule="auto"/>
              <w:rPr/>
            </w:pPr>
            <w:r>
              <w:rPr>
                <w:spacing w:val="-5"/>
              </w:rPr>
              <w:t>年的免税适用方法，</w:t>
            </w:r>
            <w:r>
              <w:rPr>
                <w:spacing w:val="42"/>
              </w:rPr>
              <w:t xml:space="preserve"> </w:t>
            </w:r>
            <w:r>
              <w:rPr>
                <w:spacing w:val="-5"/>
              </w:rPr>
              <w:t>一经选定，该会计年度</w:t>
            </w:r>
            <w:r>
              <w:rPr>
                <w:spacing w:val="-6"/>
              </w:rPr>
              <w:t>内不得变更</w:t>
            </w:r>
          </w:p>
          <w:p>
            <w:pPr>
              <w:pStyle w:val="TableText"/>
              <w:ind w:left="21" w:right="22"/>
              <w:spacing w:before="20" w:line="242" w:lineRule="auto"/>
              <w:rPr/>
            </w:pPr>
            <w:r>
              <w:rPr>
                <w:spacing w:val="-1"/>
              </w:rPr>
              <w:t>二、本条公告所称金融机构，是指经中国人民银行、金融监</w:t>
            </w:r>
            <w:r>
              <w:rPr>
                <w:spacing w:val="16"/>
              </w:rPr>
              <w:t xml:space="preserve"> </w:t>
            </w:r>
            <w:r>
              <w:rPr>
                <w:spacing w:val="-1"/>
              </w:rPr>
              <w:t>管总局批准成立的已实现监管部门上一年度提出的小微企业</w:t>
            </w:r>
            <w:r>
              <w:rPr>
                <w:spacing w:val="15"/>
              </w:rPr>
              <w:t xml:space="preserve"> </w:t>
            </w:r>
            <w:r>
              <w:rPr/>
              <w:t>贷款增长目标的机构，以及经中国人民银行、</w:t>
            </w:r>
            <w:r>
              <w:rPr>
                <w:spacing w:val="-1"/>
              </w:rPr>
              <w:t>金融监管总局</w:t>
            </w:r>
            <w:r>
              <w:rPr/>
              <w:t xml:space="preserve"> </w:t>
            </w:r>
            <w:r>
              <w:rPr/>
              <w:t>中国证监会批准成立的开发银行及政策性银行、外资银行和</w:t>
            </w:r>
            <w:r>
              <w:rPr>
                <w:spacing w:val="11"/>
              </w:rPr>
              <w:t xml:space="preserve"> </w:t>
            </w:r>
            <w:r>
              <w:rPr>
                <w:spacing w:val="-1"/>
              </w:rPr>
              <w:t>非银行业金融机构。金融机构实现小微企业贷款增长目标情</w:t>
            </w:r>
            <w:r>
              <w:rPr>
                <w:spacing w:val="16"/>
              </w:rPr>
              <w:t xml:space="preserve"> </w:t>
            </w:r>
            <w:r>
              <w:rPr>
                <w:spacing w:val="-1"/>
              </w:rPr>
              <w:t>况，以金融监管总局及其派出机构考核结果为准</w:t>
            </w:r>
          </w:p>
          <w:p>
            <w:pPr>
              <w:pStyle w:val="TableText"/>
              <w:ind w:left="41" w:right="40" w:hanging="20"/>
              <w:spacing w:before="22" w:line="233" w:lineRule="auto"/>
              <w:rPr/>
            </w:pPr>
            <w:r>
              <w:rPr/>
              <w:t>三、本公告所称小型企业、微型企业，是指</w:t>
            </w:r>
            <w:r>
              <w:rPr>
                <w:spacing w:val="-1"/>
              </w:rPr>
              <w:t>符合《中小企业</w:t>
            </w:r>
            <w:r>
              <w:rPr/>
              <w:t xml:space="preserve"> </w:t>
            </w:r>
            <w:r>
              <w:rPr/>
              <w:t>划型标准规定》(工信部联企业〔2011〕30</w:t>
            </w:r>
            <w:r>
              <w:rPr>
                <w:spacing w:val="-1"/>
              </w:rPr>
              <w:t>0号)的小型企</w:t>
            </w:r>
          </w:p>
          <w:p>
            <w:pPr>
              <w:pStyle w:val="TableText"/>
              <w:ind w:left="21" w:right="40"/>
              <w:spacing w:before="11" w:line="239" w:lineRule="auto"/>
              <w:rPr/>
            </w:pPr>
            <w:r>
              <w:rPr/>
              <w:t>业和微型企业。其中，资产总额和从业人员</w:t>
            </w:r>
            <w:r>
              <w:rPr>
                <w:spacing w:val="-1"/>
              </w:rPr>
              <w:t>指标均以贷款发</w:t>
            </w:r>
            <w:r>
              <w:rPr/>
              <w:t xml:space="preserve"> </w:t>
            </w:r>
            <w:r>
              <w:rPr>
                <w:spacing w:val="1"/>
              </w:rPr>
              <w:t>放时的实际状态确定；营业收入指标以贷款发放前12</w:t>
            </w:r>
            <w:r>
              <w:rPr/>
              <w:t>个自</w:t>
            </w:r>
          </w:p>
          <w:p>
            <w:pPr>
              <w:pStyle w:val="TableText"/>
              <w:spacing w:before="22" w:line="219" w:lineRule="auto"/>
              <w:jc w:val="right"/>
              <w:rPr/>
            </w:pPr>
            <w:r>
              <w:rPr>
                <w:spacing w:val="-4"/>
              </w:rPr>
              <w:t>然月的累计数确定，不满12个自然月的，按照以下公式计算：</w:t>
            </w:r>
          </w:p>
          <w:p>
            <w:pPr>
              <w:pStyle w:val="TableText"/>
              <w:ind w:left="11" w:right="345" w:firstLine="10"/>
              <w:spacing w:before="12" w:line="239" w:lineRule="auto"/>
              <w:rPr/>
            </w:pPr>
            <w:r>
              <w:rPr>
                <w:spacing w:val="-1"/>
              </w:rPr>
              <w:t>营业收入(年)=企业实际存续期间营业收入/企业实际存</w:t>
            </w:r>
            <w:r>
              <w:rPr>
                <w:spacing w:val="14"/>
              </w:rPr>
              <w:t xml:space="preserve"> </w:t>
            </w:r>
            <w:r>
              <w:rPr>
                <w:spacing w:val="-2"/>
              </w:rPr>
              <w:t>续月数x12</w:t>
            </w:r>
          </w:p>
          <w:p>
            <w:pPr>
              <w:pStyle w:val="TableText"/>
              <w:ind w:left="21" w:right="67" w:firstLine="39"/>
              <w:spacing w:before="22" w:line="239" w:lineRule="auto"/>
              <w:jc w:val="both"/>
              <w:rPr/>
            </w:pPr>
            <w:r>
              <w:rPr/>
              <w:t>四、本公告所称小额贷款，是指单户授信小于1000万元(含</w:t>
            </w:r>
            <w:r>
              <w:rPr>
                <w:spacing w:val="1"/>
              </w:rPr>
              <w:t xml:space="preserve"> </w:t>
            </w:r>
            <w:r>
              <w:rPr>
                <w:spacing w:val="1"/>
              </w:rPr>
              <w:t>本数)的小型企业、微型企业或个体工商户贷款；没有授信</w:t>
            </w:r>
            <w:r>
              <w:rPr>
                <w:spacing w:val="6"/>
              </w:rPr>
              <w:t xml:space="preserve"> </w:t>
            </w:r>
            <w:r>
              <w:rPr>
                <w:spacing w:val="1"/>
              </w:rPr>
              <w:t>额度的，是指单户贷款合同金额且贷款余额在1000万元(含</w:t>
            </w:r>
            <w:r>
              <w:rPr>
                <w:spacing w:val="5"/>
              </w:rPr>
              <w:t xml:space="preserve"> </w:t>
            </w:r>
            <w:r>
              <w:rPr>
                <w:spacing w:val="-1"/>
              </w:rPr>
              <w:t>本数)以下的贷款</w:t>
            </w:r>
          </w:p>
          <w:p>
            <w:pPr>
              <w:pStyle w:val="TableText"/>
              <w:ind w:left="21" w:right="41"/>
              <w:spacing w:before="24" w:line="237" w:lineRule="auto"/>
              <w:jc w:val="both"/>
              <w:rPr/>
            </w:pPr>
            <w:r>
              <w:rPr>
                <w:spacing w:val="-1"/>
              </w:rPr>
              <w:t>五、金融机构应将相关免税证明材料留存备查，单独核算符</w:t>
            </w:r>
            <w:r>
              <w:rPr>
                <w:spacing w:val="16"/>
              </w:rPr>
              <w:t xml:space="preserve"> </w:t>
            </w:r>
            <w:r>
              <w:rPr>
                <w:spacing w:val="-1"/>
              </w:rPr>
              <w:t>合免税条件的小额贷款利息收入，按现行规定向主管税务机</w:t>
            </w:r>
            <w:r>
              <w:rPr>
                <w:spacing w:val="18"/>
              </w:rPr>
              <w:t xml:space="preserve"> </w:t>
            </w:r>
            <w:r>
              <w:rPr/>
              <w:t>构办理纳税申报；未单独核算的，不得免征增值税</w:t>
            </w:r>
          </w:p>
          <w:p>
            <w:pPr>
              <w:pStyle w:val="TableText"/>
              <w:ind w:left="21" w:right="39"/>
              <w:spacing w:before="22" w:line="233" w:lineRule="auto"/>
              <w:jc w:val="both"/>
              <w:rPr/>
            </w:pPr>
            <w:r>
              <w:rPr>
                <w:spacing w:val="-5"/>
              </w:rPr>
              <w:t>金融机构应依法依规享受增值税优惠政策，</w:t>
            </w:r>
            <w:r>
              <w:rPr>
                <w:spacing w:val="46"/>
                <w:w w:val="101"/>
              </w:rPr>
              <w:t xml:space="preserve"> </w:t>
            </w:r>
            <w:r>
              <w:rPr>
                <w:spacing w:val="-5"/>
              </w:rPr>
              <w:t>一经发现存在虚</w:t>
            </w:r>
            <w:r>
              <w:rPr/>
              <w:t xml:space="preserve"> </w:t>
            </w:r>
            <w:r>
              <w:rPr/>
              <w:t>报或造假骗取本项税收优惠情形的，停止享受</w:t>
            </w:r>
            <w:r>
              <w:rPr>
                <w:spacing w:val="-1"/>
              </w:rPr>
              <w:t>本公告有关增</w:t>
            </w:r>
            <w:r>
              <w:rPr/>
              <w:t xml:space="preserve"> </w:t>
            </w:r>
            <w:r>
              <w:rPr>
                <w:spacing w:val="-1"/>
              </w:rPr>
              <w:t>值税优惠政策。</w:t>
            </w:r>
          </w:p>
        </w:tc>
        <w:tc>
          <w:tcPr>
            <w:tcW w:w="2118" w:type="dxa"/>
            <w:vAlign w:val="top"/>
          </w:tcPr>
          <w:p>
            <w:pPr>
              <w:rPr>
                <w:rFonts w:ascii="Arial"/>
                <w:sz w:val="21"/>
              </w:rPr>
            </w:pPr>
            <w:r/>
          </w:p>
        </w:tc>
        <w:tc>
          <w:tcPr>
            <w:tcW w:w="919" w:type="dxa"/>
            <w:vAlign w:val="top"/>
          </w:tcPr>
          <w:p>
            <w:pPr>
              <w:rPr>
                <w:rFonts w:ascii="Arial"/>
                <w:sz w:val="21"/>
              </w:rPr>
            </w:pPr>
            <w:r/>
          </w:p>
        </w:tc>
        <w:tc>
          <w:tcPr>
            <w:tcW w:w="859" w:type="dxa"/>
            <w:vAlign w:val="top"/>
          </w:tcPr>
          <w:p>
            <w:pPr>
              <w:rPr>
                <w:rFonts w:ascii="Arial"/>
                <w:sz w:val="21"/>
              </w:rPr>
            </w:pPr>
            <w:r/>
          </w:p>
        </w:tc>
        <w:tc>
          <w:tcPr>
            <w:tcW w:w="100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51"/>
        <w:rPr/>
      </w:pPr>
      <w:r>
        <w:pict>
          <v:shape id="_x0000_s16" style="position:absolute;margin-left:38.9997pt;margin-top:350.601pt;mso-position-vertical-relative:page;mso-position-horizontal-relative:page;width:5.75pt;height:10.4pt;z-index:251672576;" o:allowincell="f" filled="false" stroked="false" type="#_x0000_t202">
            <v:fill on="false"/>
            <v:stroke on="false"/>
            <v:path/>
            <v:imagedata o:title=""/>
            <o:lock v:ext="edit" aspectratio="false"/>
            <v:textbox inset="0mm,0mm,0mm,0mm">
              <w:txbxContent>
                <w:p>
                  <w:pPr>
                    <w:ind w:left="20"/>
                    <w:spacing w:before="19" w:line="182" w:lineRule="auto"/>
                    <w:rPr>
                      <w:rFonts w:ascii="SimSun" w:hAnsi="SimSun" w:eastAsia="SimSun" w:cs="SimSun"/>
                      <w:sz w:val="17"/>
                      <w:szCs w:val="17"/>
                    </w:rPr>
                  </w:pPr>
                  <w:r>
                    <w:rPr>
                      <w:rFonts w:ascii="SimSun" w:hAnsi="SimSun" w:eastAsia="SimSun" w:cs="SimSun"/>
                      <w:sz w:val="17"/>
                      <w:szCs w:val="17"/>
                    </w:rPr>
                    <w:t>5</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867" w:hRule="atLeast"/>
        </w:trPr>
        <w:tc>
          <w:tcPr>
            <w:tcW w:w="284"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94"/>
              <w:spacing w:before="49" w:line="183" w:lineRule="auto"/>
              <w:rPr/>
            </w:pPr>
            <w:r>
              <w:rPr/>
              <w:t>6</w:t>
            </w:r>
          </w:p>
        </w:tc>
        <w:tc>
          <w:tcPr>
            <w:tcW w:w="3956" w:type="dxa"/>
            <w:vAlign w:val="top"/>
          </w:tcPr>
          <w:p>
            <w:pPr>
              <w:pStyle w:val="TableText"/>
              <w:ind w:left="21" w:right="32"/>
              <w:spacing w:before="86" w:line="238" w:lineRule="auto"/>
              <w:jc w:val="both"/>
              <w:rPr/>
            </w:pPr>
            <w:r>
              <w:rPr>
                <w:spacing w:val="-1"/>
              </w:rPr>
              <w:t>金融机构应持续跟踪贷款投向，确保贷款资金真正流向小型</w:t>
            </w:r>
            <w:r>
              <w:rPr>
                <w:spacing w:val="17"/>
              </w:rPr>
              <w:t xml:space="preserve"> </w:t>
            </w:r>
            <w:r>
              <w:rPr>
                <w:spacing w:val="-1"/>
              </w:rPr>
              <w:t>企业、微型企业和个体工商户，贷款的实际使用主体与申请</w:t>
            </w:r>
            <w:r>
              <w:rPr>
                <w:spacing w:val="16"/>
              </w:rPr>
              <w:t xml:space="preserve"> </w:t>
            </w:r>
            <w:r>
              <w:rPr>
                <w:spacing w:val="1"/>
              </w:rPr>
              <w:t>主体一致。</w:t>
            </w:r>
          </w:p>
          <w:p>
            <w:pPr>
              <w:pStyle w:val="TableText"/>
              <w:ind w:left="11" w:right="4" w:firstLine="10"/>
              <w:spacing w:before="19" w:line="218" w:lineRule="auto"/>
              <w:rPr/>
            </w:pPr>
            <w:r>
              <w:rPr>
                <w:spacing w:val="1"/>
              </w:rPr>
              <w:t>六、金融机构向小型企业、微型企业及个体</w:t>
            </w:r>
            <w:r>
              <w:rPr/>
              <w:t>工商户发放单户 </w:t>
            </w:r>
            <w:r>
              <w:rPr/>
              <w:t>授信小于100万元(含本数),或者没有授</w:t>
            </w:r>
            <w:r>
              <w:rPr>
                <w:spacing w:val="-1"/>
              </w:rPr>
              <w:t>信额度，单户贷</w:t>
            </w:r>
          </w:p>
          <w:p>
            <w:pPr>
              <w:pStyle w:val="TableText"/>
              <w:ind w:left="31"/>
              <w:spacing w:before="45" w:line="219" w:lineRule="auto"/>
              <w:rPr/>
            </w:pPr>
            <w:r>
              <w:rPr/>
              <w:t>款合同金额且贷款余额在100万元(含本</w:t>
            </w:r>
            <w:r>
              <w:rPr>
                <w:spacing w:val="-1"/>
              </w:rPr>
              <w:t>数)以下的贷款取</w:t>
            </w:r>
          </w:p>
          <w:p>
            <w:pPr>
              <w:pStyle w:val="TableText"/>
              <w:ind w:left="21" w:right="111" w:firstLine="69"/>
              <w:spacing w:before="23" w:line="231" w:lineRule="auto"/>
              <w:rPr/>
            </w:pPr>
            <w:r>
              <w:rPr>
                <w:spacing w:val="-1"/>
              </w:rPr>
              <w:t>得的利息收入，可按照《财政部税务总局关于支持小微企</w:t>
            </w:r>
            <w:r>
              <w:rPr>
                <w:spacing w:val="17"/>
              </w:rPr>
              <w:t xml:space="preserve"> </w:t>
            </w:r>
            <w:r>
              <w:rPr/>
              <w:t>业融资有关税收政策的公告》(财政部税务总</w:t>
            </w:r>
            <w:r>
              <w:rPr>
                <w:spacing w:val="-1"/>
              </w:rPr>
              <w:t>局公告2023</w:t>
            </w:r>
          </w:p>
          <w:p>
            <w:pPr>
              <w:pStyle w:val="TableText"/>
              <w:ind w:left="11"/>
              <w:spacing w:before="24" w:line="209" w:lineRule="auto"/>
              <w:rPr/>
            </w:pPr>
            <w:r>
              <w:rPr/>
              <w:t>年第13号)的规定免征增值税。</w:t>
            </w:r>
          </w:p>
        </w:tc>
        <w:tc>
          <w:tcPr>
            <w:tcW w:w="2158" w:type="dxa"/>
            <w:vAlign w:val="top"/>
          </w:tcPr>
          <w:p>
            <w:pPr>
              <w:rPr>
                <w:rFonts w:ascii="Arial"/>
                <w:sz w:val="21"/>
              </w:rPr>
            </w:pPr>
            <w:r/>
          </w:p>
        </w:tc>
        <w:tc>
          <w:tcPr>
            <w:tcW w:w="88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1058" w:hRule="atLeast"/>
        </w:trPr>
        <w:tc>
          <w:tcPr>
            <w:tcW w:w="284" w:type="dxa"/>
            <w:vAlign w:val="top"/>
          </w:tcPr>
          <w:p>
            <w:pPr>
              <w:spacing w:line="448" w:lineRule="auto"/>
              <w:rPr>
                <w:rFonts w:ascii="Arial"/>
                <w:sz w:val="21"/>
              </w:rPr>
            </w:pPr>
            <w:r/>
          </w:p>
          <w:p>
            <w:pPr>
              <w:pStyle w:val="TableText"/>
              <w:ind w:left="94"/>
              <w:spacing w:before="48" w:line="182" w:lineRule="auto"/>
              <w:rPr/>
            </w:pPr>
            <w:r>
              <w:rPr/>
              <w:t>7</w:t>
            </w:r>
          </w:p>
        </w:tc>
        <w:tc>
          <w:tcPr>
            <w:tcW w:w="3956" w:type="dxa"/>
            <w:vAlign w:val="top"/>
          </w:tcPr>
          <w:p>
            <w:pPr>
              <w:pStyle w:val="TableText"/>
              <w:ind w:left="31" w:right="343" w:hanging="10"/>
              <w:spacing w:before="79" w:line="227" w:lineRule="auto"/>
              <w:rPr/>
            </w:pPr>
            <w:r>
              <w:rPr>
                <w:spacing w:val="-1"/>
              </w:rPr>
              <w:t>一、对月销售额10万元以下(含本数)的增值税小规模纳</w:t>
            </w:r>
            <w:r>
              <w:rPr>
                <w:spacing w:val="6"/>
              </w:rPr>
              <w:t xml:space="preserve"> </w:t>
            </w:r>
            <w:r>
              <w:rPr>
                <w:spacing w:val="-1"/>
              </w:rPr>
              <w:t>税人，免征增值税</w:t>
            </w:r>
          </w:p>
          <w:p>
            <w:pPr>
              <w:pStyle w:val="TableText"/>
              <w:ind w:left="21"/>
              <w:spacing w:before="42" w:line="219" w:lineRule="auto"/>
              <w:rPr/>
            </w:pPr>
            <w:r>
              <w:rPr>
                <w:spacing w:val="-1"/>
              </w:rPr>
              <w:t>二、增值税小规模纳税人适用3%征收率的应税销售收入</w:t>
            </w:r>
          </w:p>
          <w:p>
            <w:pPr>
              <w:pStyle w:val="TableText"/>
              <w:ind w:left="11" w:right="180" w:firstLine="159"/>
              <w:spacing w:before="22" w:line="220" w:lineRule="auto"/>
              <w:rPr/>
            </w:pPr>
            <w:r>
              <w:rPr/>
              <w:t>减按1%征收率征收增值税；适用3%预征</w:t>
            </w:r>
            <w:r>
              <w:rPr>
                <w:spacing w:val="-1"/>
              </w:rPr>
              <w:t>率的预缴增值税</w:t>
            </w:r>
            <w:r>
              <w:rPr/>
              <w:t xml:space="preserve"> </w:t>
            </w:r>
            <w:r>
              <w:rPr>
                <w:spacing w:val="-1"/>
              </w:rPr>
              <w:t>项目，减按1%预征率预缴增值税。</w:t>
            </w:r>
          </w:p>
        </w:tc>
        <w:tc>
          <w:tcPr>
            <w:tcW w:w="2158" w:type="dxa"/>
            <w:vAlign w:val="top"/>
          </w:tcPr>
          <w:p>
            <w:pPr>
              <w:pStyle w:val="TableText"/>
              <w:ind w:left="34" w:right="109" w:firstLine="60"/>
              <w:spacing w:before="60"/>
              <w:jc w:val="both"/>
              <w:rPr/>
            </w:pPr>
            <w:r>
              <w:rPr>
                <w:spacing w:val="-1"/>
              </w:rPr>
              <w:t>财政部、税务总局关于增值税</w:t>
            </w:r>
            <w:r>
              <w:rPr>
                <w:spacing w:val="5"/>
              </w:rPr>
              <w:t xml:space="preserve"> </w:t>
            </w:r>
            <w:r>
              <w:rPr>
                <w:spacing w:val="3"/>
              </w:rPr>
              <w:t>小规模纳税人减免增值税政策</w:t>
            </w:r>
            <w:r>
              <w:rPr>
                <w:spacing w:val="10"/>
              </w:rPr>
              <w:t xml:space="preserve"> </w:t>
            </w:r>
            <w:r>
              <w:rPr>
                <w:spacing w:val="3"/>
              </w:rPr>
              <w:t>的公告</w:t>
            </w:r>
          </w:p>
        </w:tc>
        <w:tc>
          <w:tcPr>
            <w:tcW w:w="889" w:type="dxa"/>
            <w:vAlign w:val="top"/>
          </w:tcPr>
          <w:p>
            <w:pPr>
              <w:pStyle w:val="TableText"/>
              <w:ind w:left="16"/>
              <w:spacing w:before="69" w:line="242" w:lineRule="auto"/>
              <w:jc w:val="both"/>
              <w:rPr/>
            </w:pPr>
            <w:r>
              <w:rPr>
                <w:spacing w:val="15"/>
                <w:w w:val="112"/>
              </w:rPr>
              <w:t>2023年8月</w:t>
            </w:r>
            <w:r>
              <w:rPr/>
              <w:t xml:space="preserve"> </w:t>
            </w:r>
            <w:r>
              <w:rPr>
                <w:spacing w:val="5"/>
              </w:rPr>
              <w:t>1日</w:t>
            </w:r>
            <w:r>
              <w:rPr>
                <w:spacing w:val="14"/>
              </w:rPr>
              <w:t xml:space="preserve"> </w:t>
            </w:r>
            <w:r>
              <w:rPr>
                <w:spacing w:val="5"/>
              </w:rPr>
              <w:t>至2027</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48" w:right="20"/>
              <w:spacing w:before="69" w:line="227" w:lineRule="auto"/>
              <w:rPr/>
            </w:pPr>
            <w:r>
              <w:rPr>
                <w:spacing w:val="2"/>
              </w:rPr>
              <w:t>小微企业和</w:t>
            </w:r>
            <w:r>
              <w:rPr>
                <w:spacing w:val="1"/>
              </w:rPr>
              <w:t xml:space="preserve"> </w:t>
            </w:r>
            <w:r>
              <w:rPr>
                <w:spacing w:val="4"/>
              </w:rPr>
              <w:t>个体工商户</w:t>
            </w:r>
          </w:p>
        </w:tc>
        <w:tc>
          <w:tcPr>
            <w:tcW w:w="1029" w:type="dxa"/>
            <w:vAlign w:val="top"/>
          </w:tcPr>
          <w:p>
            <w:pPr>
              <w:pStyle w:val="TableText"/>
              <w:ind w:left="289"/>
              <w:spacing w:before="60" w:line="219" w:lineRule="auto"/>
              <w:rPr/>
            </w:pPr>
            <w:r>
              <w:rPr>
                <w:spacing w:val="-2"/>
              </w:rPr>
              <w:t>增值税</w:t>
            </w:r>
          </w:p>
        </w:tc>
        <w:tc>
          <w:tcPr>
            <w:tcW w:w="464" w:type="dxa"/>
            <w:vAlign w:val="top"/>
          </w:tcPr>
          <w:p>
            <w:pPr>
              <w:pStyle w:val="TableText"/>
              <w:ind w:left="80"/>
              <w:spacing w:before="60" w:line="219" w:lineRule="auto"/>
              <w:rPr/>
            </w:pPr>
            <w:r>
              <w:rPr>
                <w:spacing w:val="-2"/>
              </w:rPr>
              <w:t>减征</w:t>
            </w:r>
          </w:p>
        </w:tc>
      </w:tr>
      <w:tr>
        <w:trPr>
          <w:trHeight w:val="1468" w:hRule="atLeast"/>
        </w:trPr>
        <w:tc>
          <w:tcPr>
            <w:tcW w:w="284" w:type="dxa"/>
            <w:vAlign w:val="top"/>
          </w:tcPr>
          <w:p>
            <w:pPr>
              <w:spacing w:line="324" w:lineRule="auto"/>
              <w:rPr>
                <w:rFonts w:ascii="Arial"/>
                <w:sz w:val="21"/>
              </w:rPr>
            </w:pPr>
            <w:r/>
          </w:p>
          <w:p>
            <w:pPr>
              <w:spacing w:line="324" w:lineRule="auto"/>
              <w:rPr>
                <w:rFonts w:ascii="Arial"/>
                <w:sz w:val="21"/>
              </w:rPr>
            </w:pPr>
            <w:r/>
          </w:p>
          <w:p>
            <w:pPr>
              <w:pStyle w:val="TableText"/>
              <w:ind w:left="94"/>
              <w:spacing w:before="48" w:line="183" w:lineRule="auto"/>
              <w:rPr/>
            </w:pPr>
            <w:r>
              <w:rPr/>
              <w:t>8</w:t>
            </w:r>
          </w:p>
        </w:tc>
        <w:tc>
          <w:tcPr>
            <w:tcW w:w="3956" w:type="dxa"/>
            <w:vAlign w:val="top"/>
          </w:tcPr>
          <w:p>
            <w:pPr>
              <w:pStyle w:val="TableText"/>
              <w:ind w:left="21" w:right="16"/>
              <w:spacing w:before="111" w:line="236" w:lineRule="auto"/>
              <w:jc w:val="both"/>
              <w:rPr/>
            </w:pPr>
            <w:r>
              <w:rPr/>
              <w:t>一、对金融机构向小型企业、微型企业及个体工商户发</w:t>
            </w:r>
            <w:r>
              <w:rPr>
                <w:spacing w:val="-1"/>
              </w:rPr>
              <w:t>放小</w:t>
            </w:r>
            <w:r>
              <w:rPr/>
              <w:t xml:space="preserve"> </w:t>
            </w:r>
            <w:r>
              <w:rPr/>
              <w:t>额贷款取得的利息收入，免征增值税。金融</w:t>
            </w:r>
            <w:r>
              <w:rPr>
                <w:spacing w:val="-1"/>
              </w:rPr>
              <w:t>机构应将相关免</w:t>
            </w:r>
            <w:r>
              <w:rPr/>
              <w:t xml:space="preserve"> </w:t>
            </w:r>
            <w:r>
              <w:rPr/>
              <w:t>税证明材料留存备查，单独核算符合免税条</w:t>
            </w:r>
            <w:r>
              <w:rPr>
                <w:spacing w:val="-1"/>
              </w:rPr>
              <w:t>件的小额贷款利</w:t>
            </w:r>
            <w:r>
              <w:rPr/>
              <w:t xml:space="preserve"> </w:t>
            </w:r>
            <w:r>
              <w:rPr/>
              <w:t>息收入，按现行规定向主管税务机关办理纳税申报；未单独</w:t>
            </w:r>
            <w:r>
              <w:rPr>
                <w:spacing w:val="7"/>
              </w:rPr>
              <w:t xml:space="preserve"> </w:t>
            </w:r>
            <w:r>
              <w:rPr/>
              <w:t>核算的，不得免征增值税</w:t>
            </w:r>
          </w:p>
          <w:p>
            <w:pPr>
              <w:pStyle w:val="TableText"/>
              <w:ind w:left="21" w:right="33"/>
              <w:spacing w:before="20" w:line="226" w:lineRule="auto"/>
              <w:rPr/>
            </w:pPr>
            <w:r>
              <w:rPr>
                <w:spacing w:val="-1"/>
              </w:rPr>
              <w:t>二、对金融机构与小型企业、微型企业签订的借款合同免征</w:t>
            </w:r>
            <w:r>
              <w:rPr>
                <w:spacing w:val="16"/>
              </w:rPr>
              <w:t xml:space="preserve"> </w:t>
            </w:r>
            <w:r>
              <w:rPr>
                <w:spacing w:val="-1"/>
              </w:rPr>
              <w:t>印花税。</w:t>
            </w:r>
          </w:p>
        </w:tc>
        <w:tc>
          <w:tcPr>
            <w:tcW w:w="2158" w:type="dxa"/>
            <w:vAlign w:val="top"/>
          </w:tcPr>
          <w:p>
            <w:pPr>
              <w:pStyle w:val="TableText"/>
              <w:ind w:left="95"/>
              <w:spacing w:before="102" w:line="219" w:lineRule="auto"/>
              <w:rPr/>
            </w:pPr>
            <w:r>
              <w:rPr>
                <w:spacing w:val="-1"/>
              </w:rPr>
              <w:t>财政部、税务总局关于支持小</w:t>
            </w:r>
          </w:p>
          <w:p>
            <w:pPr>
              <w:pStyle w:val="TableText"/>
              <w:ind w:left="14" w:right="108" w:firstLine="80"/>
              <w:spacing w:before="11" w:line="219" w:lineRule="auto"/>
              <w:rPr/>
            </w:pPr>
            <w:r>
              <w:rPr>
                <w:spacing w:val="-1"/>
              </w:rPr>
              <w:t>微企业融资有关税收政策的公</w:t>
            </w:r>
            <w:r>
              <w:rPr>
                <w:spacing w:val="6"/>
              </w:rPr>
              <w:t xml:space="preserve"> </w:t>
            </w:r>
            <w:r>
              <w:rPr/>
              <w:t>告</w:t>
            </w:r>
          </w:p>
        </w:tc>
        <w:tc>
          <w:tcPr>
            <w:tcW w:w="889" w:type="dxa"/>
            <w:vAlign w:val="top"/>
          </w:tcPr>
          <w:p>
            <w:pPr>
              <w:pStyle w:val="TableText"/>
              <w:ind w:left="16"/>
              <w:spacing w:before="92" w:line="242" w:lineRule="auto"/>
              <w:rPr/>
            </w:pPr>
            <w:r>
              <w:rPr>
                <w:spacing w:val="15"/>
                <w:w w:val="112"/>
              </w:rPr>
              <w:t>2023年8月</w:t>
            </w:r>
            <w:r>
              <w:rPr/>
              <w:t xml:space="preserve"> </w:t>
            </w:r>
            <w:r>
              <w:rPr>
                <w:spacing w:val="4"/>
              </w:rPr>
              <w:t>2日 至2027</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117"/>
              <w:spacing w:before="92" w:line="219" w:lineRule="auto"/>
              <w:rPr/>
            </w:pPr>
            <w:r>
              <w:rPr>
                <w:spacing w:val="-2"/>
              </w:rPr>
              <w:t>小微企业</w:t>
            </w:r>
          </w:p>
        </w:tc>
        <w:tc>
          <w:tcPr>
            <w:tcW w:w="1029" w:type="dxa"/>
            <w:vAlign w:val="top"/>
          </w:tcPr>
          <w:p>
            <w:pPr>
              <w:pStyle w:val="TableText"/>
              <w:ind w:left="438" w:right="66" w:hanging="379"/>
              <w:spacing w:before="92" w:line="227" w:lineRule="auto"/>
              <w:rPr/>
            </w:pPr>
            <w:r>
              <w:rPr>
                <w:spacing w:val="-2"/>
              </w:rPr>
              <w:t>增值税、印花</w:t>
            </w:r>
            <w:r>
              <w:rPr>
                <w:spacing w:val="4"/>
              </w:rPr>
              <w:t xml:space="preserve"> </w:t>
            </w:r>
            <w:r>
              <w:rPr/>
              <w:t>税</w:t>
            </w:r>
          </w:p>
        </w:tc>
        <w:tc>
          <w:tcPr>
            <w:tcW w:w="464" w:type="dxa"/>
            <w:vAlign w:val="top"/>
          </w:tcPr>
          <w:p>
            <w:pPr>
              <w:pStyle w:val="TableText"/>
              <w:ind w:left="80"/>
              <w:spacing w:before="82" w:line="219" w:lineRule="auto"/>
              <w:rPr/>
            </w:pPr>
            <w:r>
              <w:rPr>
                <w:spacing w:val="-3"/>
              </w:rPr>
              <w:t>免征</w:t>
            </w:r>
          </w:p>
        </w:tc>
      </w:tr>
      <w:tr>
        <w:trPr>
          <w:trHeight w:val="1263" w:hRule="atLeast"/>
        </w:trPr>
        <w:tc>
          <w:tcPr>
            <w:tcW w:w="284" w:type="dxa"/>
            <w:vAlign w:val="top"/>
          </w:tcPr>
          <w:p>
            <w:pPr>
              <w:spacing w:line="275" w:lineRule="auto"/>
              <w:rPr>
                <w:rFonts w:ascii="Arial"/>
                <w:sz w:val="21"/>
              </w:rPr>
            </w:pPr>
            <w:r/>
          </w:p>
          <w:p>
            <w:pPr>
              <w:spacing w:line="275" w:lineRule="auto"/>
              <w:rPr>
                <w:rFonts w:ascii="Arial"/>
                <w:sz w:val="21"/>
              </w:rPr>
            </w:pPr>
            <w:r/>
          </w:p>
          <w:p>
            <w:pPr>
              <w:pStyle w:val="TableText"/>
              <w:ind w:left="94"/>
              <w:spacing w:before="49" w:line="183" w:lineRule="auto"/>
              <w:rPr/>
            </w:pPr>
            <w:r>
              <w:rPr/>
              <w:t>9</w:t>
            </w:r>
          </w:p>
        </w:tc>
        <w:tc>
          <w:tcPr>
            <w:tcW w:w="3956" w:type="dxa"/>
            <w:vAlign w:val="top"/>
          </w:tcPr>
          <w:p>
            <w:pPr>
              <w:pStyle w:val="TableText"/>
              <w:ind w:left="21" w:right="30"/>
              <w:spacing w:before="91" w:line="236" w:lineRule="auto"/>
              <w:rPr/>
            </w:pPr>
            <w:r>
              <w:rPr>
                <w:spacing w:val="-1"/>
              </w:rPr>
              <w:t>纳税人为农户、小型企业、微型企业及个体工商户借款、发</w:t>
            </w:r>
            <w:r>
              <w:rPr>
                <w:spacing w:val="17"/>
              </w:rPr>
              <w:t xml:space="preserve"> </w:t>
            </w:r>
            <w:r>
              <w:rPr>
                <w:spacing w:val="-1"/>
              </w:rPr>
              <w:t>行债券提供融资担保取得的担保费收入，以及为上述融资担</w:t>
            </w:r>
            <w:r>
              <w:rPr>
                <w:spacing w:val="16"/>
              </w:rPr>
              <w:t xml:space="preserve"> </w:t>
            </w:r>
            <w:r>
              <w:rPr>
                <w:spacing w:val="2"/>
              </w:rPr>
              <w:t>保(以下称原担保)提供再担保取得的再担保费收入，免征</w:t>
            </w:r>
            <w:r>
              <w:rPr>
                <w:spacing w:val="5"/>
              </w:rPr>
              <w:t xml:space="preserve">  </w:t>
            </w:r>
            <w:r>
              <w:rPr>
                <w:spacing w:val="-1"/>
              </w:rPr>
              <w:t>增值税。再担保合同对应多个原担保合同的，原担保合同应</w:t>
            </w:r>
            <w:r>
              <w:rPr>
                <w:spacing w:val="18"/>
              </w:rPr>
              <w:t xml:space="preserve"> </w:t>
            </w:r>
            <w:r>
              <w:rPr/>
              <w:t>全部适用免征增值税政策。否则，再担保合</w:t>
            </w:r>
            <w:r>
              <w:rPr>
                <w:spacing w:val="-1"/>
              </w:rPr>
              <w:t>同应按规定缴纳</w:t>
            </w:r>
            <w:r>
              <w:rPr/>
              <w:t xml:space="preserve"> </w:t>
            </w:r>
            <w:r>
              <w:rPr>
                <w:spacing w:val="-1"/>
              </w:rPr>
              <w:t>增值税。</w:t>
            </w:r>
          </w:p>
        </w:tc>
        <w:tc>
          <w:tcPr>
            <w:tcW w:w="2158" w:type="dxa"/>
            <w:vAlign w:val="top"/>
          </w:tcPr>
          <w:p>
            <w:pPr>
              <w:pStyle w:val="TableText"/>
              <w:ind w:left="95" w:right="109"/>
              <w:spacing w:before="94" w:line="228" w:lineRule="auto"/>
              <w:jc w:val="both"/>
              <w:rPr/>
            </w:pPr>
            <w:r>
              <w:rPr>
                <w:spacing w:val="-1"/>
              </w:rPr>
              <w:t>财政部、税务总局关于延续执</w:t>
            </w:r>
            <w:r>
              <w:rPr>
                <w:spacing w:val="5"/>
              </w:rPr>
              <w:t xml:space="preserve"> </w:t>
            </w:r>
            <w:r>
              <w:rPr>
                <w:spacing w:val="-1"/>
              </w:rPr>
              <w:t>行农户、小微企业和个体工商</w:t>
            </w:r>
            <w:r>
              <w:rPr>
                <w:spacing w:val="3"/>
              </w:rPr>
              <w:t xml:space="preserve"> </w:t>
            </w:r>
            <w:r>
              <w:rPr>
                <w:spacing w:val="-1"/>
              </w:rPr>
              <w:t>户融资担保增值税政策的公告</w:t>
            </w:r>
          </w:p>
        </w:tc>
        <w:tc>
          <w:tcPr>
            <w:tcW w:w="889" w:type="dxa"/>
            <w:vAlign w:val="top"/>
          </w:tcPr>
          <w:p>
            <w:pPr>
              <w:pStyle w:val="TableText"/>
              <w:ind w:left="16" w:right="6" w:firstLine="50"/>
              <w:spacing w:before="95" w:line="236"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48"/>
              <w:spacing w:before="84" w:line="220" w:lineRule="auto"/>
              <w:rPr/>
            </w:pPr>
            <w:r>
              <w:rPr>
                <w:spacing w:val="-1"/>
              </w:rPr>
              <w:t>农户、小型</w:t>
            </w:r>
          </w:p>
          <w:p>
            <w:pPr>
              <w:pStyle w:val="TableText"/>
              <w:ind w:left="48"/>
              <w:spacing w:before="20" w:line="219" w:lineRule="auto"/>
              <w:rPr/>
            </w:pPr>
            <w:r>
              <w:rPr>
                <w:spacing w:val="-2"/>
              </w:rPr>
              <w:t>企业、微型</w:t>
            </w:r>
          </w:p>
          <w:p>
            <w:pPr>
              <w:pStyle w:val="TableText"/>
              <w:ind w:left="48"/>
              <w:spacing w:before="12" w:line="219" w:lineRule="auto"/>
              <w:rPr/>
            </w:pPr>
            <w:r>
              <w:rPr>
                <w:spacing w:val="-2"/>
              </w:rPr>
              <w:t>企业及个体</w:t>
            </w:r>
          </w:p>
          <w:p>
            <w:pPr>
              <w:pStyle w:val="TableText"/>
              <w:ind w:left="197"/>
              <w:spacing w:before="22" w:line="220" w:lineRule="auto"/>
              <w:rPr/>
            </w:pPr>
            <w:r>
              <w:rPr>
                <w:spacing w:val="6"/>
              </w:rPr>
              <w:t>工商户</w:t>
            </w:r>
          </w:p>
        </w:tc>
        <w:tc>
          <w:tcPr>
            <w:tcW w:w="1029" w:type="dxa"/>
            <w:vAlign w:val="top"/>
          </w:tcPr>
          <w:p>
            <w:pPr>
              <w:pStyle w:val="TableText"/>
              <w:ind w:left="289"/>
              <w:spacing w:before="74" w:line="219" w:lineRule="auto"/>
              <w:rPr/>
            </w:pPr>
            <w:r>
              <w:rPr>
                <w:spacing w:val="-2"/>
              </w:rPr>
              <w:t>增值税</w:t>
            </w:r>
          </w:p>
        </w:tc>
        <w:tc>
          <w:tcPr>
            <w:tcW w:w="464" w:type="dxa"/>
            <w:vAlign w:val="top"/>
          </w:tcPr>
          <w:p>
            <w:pPr>
              <w:pStyle w:val="TableText"/>
              <w:ind w:left="80"/>
              <w:spacing w:before="74"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673600" behindDoc="0" locked="0" layoutInCell="0" allowOverlap="1">
            <wp:simplePos x="0" y="0"/>
            <wp:positionH relativeFrom="page">
              <wp:posOffset>507996</wp:posOffset>
            </wp:positionH>
            <wp:positionV relativeFrom="page">
              <wp:posOffset>673080</wp:posOffset>
            </wp:positionV>
            <wp:extent cx="114274" cy="126995"/>
            <wp:effectExtent l="0" t="0" r="0" b="0"/>
            <wp:wrapNone/>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114274" cy="126995"/>
                    </a:xfrm>
                    <a:prstGeom prst="rect">
                      <a:avLst/>
                    </a:prstGeom>
                  </pic:spPr>
                </pic:pic>
              </a:graphicData>
            </a:graphic>
          </wp:anchor>
        </w:drawing>
      </w:r>
      <w:r/>
    </w:p>
    <w:p>
      <w:pPr>
        <w:spacing w:before="51"/>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8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2" w:line="252" w:lineRule="auto"/>
              <w:rPr/>
            </w:pPr>
            <w:r>
              <w:rPr>
                <w:spacing w:val="-3"/>
              </w:rPr>
              <w:t>政策</w:t>
            </w:r>
            <w:r>
              <w:rPr/>
              <w:t xml:space="preserve"> </w:t>
            </w:r>
            <w:r>
              <w:rPr>
                <w:spacing w:val="-4"/>
              </w:rPr>
              <w:t>形式</w:t>
            </w:r>
          </w:p>
        </w:tc>
      </w:tr>
      <w:tr>
        <w:trPr>
          <w:trHeight w:val="572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5"/>
              <w:spacing w:before="49" w:line="184" w:lineRule="auto"/>
              <w:rPr/>
            </w:pPr>
            <w:r>
              <w:rPr>
                <w:spacing w:val="-5"/>
              </w:rPr>
              <w:t>10</w:t>
            </w:r>
          </w:p>
        </w:tc>
        <w:tc>
          <w:tcPr>
            <w:tcW w:w="3966" w:type="dxa"/>
            <w:vAlign w:val="top"/>
          </w:tcPr>
          <w:p>
            <w:pPr>
              <w:pStyle w:val="TableText"/>
              <w:ind w:left="20" w:hanging="9"/>
              <w:spacing w:before="98" w:line="239" w:lineRule="auto"/>
              <w:jc w:val="both"/>
              <w:rPr/>
            </w:pPr>
            <w:r>
              <w:rPr>
                <w:spacing w:val="-4"/>
              </w:rPr>
              <w:t>一、企业按照《中华人民共和国公司法》有关规定整体改制，</w:t>
            </w:r>
            <w:r>
              <w:rPr>
                <w:spacing w:val="1"/>
              </w:rPr>
              <w:t xml:space="preserve"> </w:t>
            </w:r>
            <w:r>
              <w:rPr>
                <w:spacing w:val="-4"/>
              </w:rPr>
              <w:t>包括非公司制企业改制为有限责任公司或股份有限公司，有  </w:t>
            </w:r>
            <w:r>
              <w:rPr>
                <w:spacing w:val="-2"/>
              </w:rPr>
              <w:t>限责任公司变更为股份有限公司，股份有限公司变更</w:t>
            </w:r>
            <w:r>
              <w:rPr>
                <w:spacing w:val="-3"/>
              </w:rPr>
              <w:t>为有限</w:t>
            </w:r>
            <w:r>
              <w:rPr/>
              <w:t xml:space="preserve">  </w:t>
            </w:r>
            <w:r>
              <w:rPr>
                <w:spacing w:val="-3"/>
              </w:rPr>
              <w:t>责任公司，对改制前的企业将国有土地使用权、地上的建筑</w:t>
            </w:r>
          </w:p>
          <w:p>
            <w:pPr>
              <w:pStyle w:val="TableText"/>
              <w:ind w:left="21" w:right="110" w:firstLine="79"/>
              <w:spacing w:before="31" w:line="233" w:lineRule="auto"/>
              <w:rPr/>
            </w:pPr>
            <w:r>
              <w:rPr/>
              <w:t>物及其附着物(以下称房地产)转移、变更</w:t>
            </w:r>
            <w:r>
              <w:rPr>
                <w:spacing w:val="-1"/>
              </w:rPr>
              <w:t>到改制后的企业</w:t>
            </w:r>
            <w:r>
              <w:rPr/>
              <w:t xml:space="preserve"> </w:t>
            </w:r>
            <w:r>
              <w:rPr>
                <w:spacing w:val="-1"/>
              </w:rPr>
              <w:t>暂不征收土地增值税。</w:t>
            </w:r>
          </w:p>
          <w:p>
            <w:pPr>
              <w:pStyle w:val="TableText"/>
              <w:ind w:left="31" w:right="41" w:hanging="10"/>
              <w:spacing w:before="11" w:line="233" w:lineRule="auto"/>
              <w:rPr/>
            </w:pPr>
            <w:r>
              <w:rPr>
                <w:spacing w:val="-1"/>
              </w:rPr>
              <w:t>本公告所称整体改制是指不改变原企业的投资主体，并承继</w:t>
            </w:r>
            <w:r>
              <w:rPr>
                <w:spacing w:val="18"/>
              </w:rPr>
              <w:t xml:space="preserve"> </w:t>
            </w:r>
            <w:r>
              <w:rPr>
                <w:spacing w:val="-1"/>
              </w:rPr>
              <w:t>原企业权利、义务的行为。</w:t>
            </w:r>
          </w:p>
          <w:p>
            <w:pPr>
              <w:pStyle w:val="TableText"/>
              <w:ind w:left="21" w:right="42"/>
              <w:spacing w:before="32" w:line="237" w:lineRule="auto"/>
              <w:jc w:val="both"/>
              <w:rPr/>
            </w:pPr>
            <w:r>
              <w:rPr>
                <w:spacing w:val="-1"/>
              </w:rPr>
              <w:t>二、按照法律规定或者合同约定，两个或两个以上企业合并</w:t>
            </w:r>
            <w:r>
              <w:rPr>
                <w:spacing w:val="16"/>
              </w:rPr>
              <w:t xml:space="preserve"> </w:t>
            </w:r>
            <w:r>
              <w:rPr>
                <w:spacing w:val="-1"/>
              </w:rPr>
              <w:t>为一个企业，且原企业投资主体存续的，对原企业将房地产</w:t>
            </w:r>
            <w:r>
              <w:rPr>
                <w:spacing w:val="17"/>
              </w:rPr>
              <w:t xml:space="preserve"> </w:t>
            </w:r>
            <w:r>
              <w:rPr/>
              <w:t>转移、变更到合并后的企业，暂不征收土地增值税</w:t>
            </w:r>
          </w:p>
          <w:p>
            <w:pPr>
              <w:pStyle w:val="TableText"/>
              <w:ind w:left="21"/>
              <w:spacing w:before="12" w:line="219" w:lineRule="auto"/>
              <w:rPr/>
            </w:pPr>
            <w:r>
              <w:rPr/>
              <w:t>三、按照法律规定或者合同约定，企业分设</w:t>
            </w:r>
            <w:r>
              <w:rPr>
                <w:spacing w:val="-1"/>
              </w:rPr>
              <w:t>为两个或两个以</w:t>
            </w:r>
          </w:p>
          <w:p>
            <w:pPr>
              <w:pStyle w:val="TableText"/>
              <w:ind w:left="31" w:right="112" w:firstLine="69"/>
              <w:spacing w:before="31" w:line="227" w:lineRule="auto"/>
              <w:rPr/>
            </w:pPr>
            <w:r>
              <w:rPr>
                <w:spacing w:val="-1"/>
              </w:rPr>
              <w:t>上与原企业投资主体相同的企业，对原企业将房地产转移</w:t>
            </w:r>
            <w:r>
              <w:rPr>
                <w:spacing w:val="16"/>
              </w:rPr>
              <w:t xml:space="preserve"> </w:t>
            </w:r>
            <w:r>
              <w:rPr>
                <w:spacing w:val="-1"/>
              </w:rPr>
              <w:t>变更到分立后的企业，暂不征收土地增值税</w:t>
            </w:r>
          </w:p>
          <w:p>
            <w:pPr>
              <w:pStyle w:val="TableText"/>
              <w:ind w:left="11" w:right="40" w:firstLine="89"/>
              <w:spacing w:before="31" w:line="229" w:lineRule="auto"/>
              <w:rPr/>
            </w:pPr>
            <w:r>
              <w:rPr/>
              <w:t>四、单位、个人在改制重组时以房地产作价入股进行投资 </w:t>
            </w:r>
            <w:r>
              <w:rPr/>
              <w:t>对其将房地产转移、变更到被投资的企业，暂不征收土地增</w:t>
            </w:r>
            <w:r>
              <w:rPr>
                <w:spacing w:val="3"/>
              </w:rPr>
              <w:t xml:space="preserve"> </w:t>
            </w:r>
            <w:r>
              <w:rPr>
                <w:spacing w:val="-2"/>
              </w:rPr>
              <w:t>值税。</w:t>
            </w:r>
          </w:p>
          <w:p>
            <w:pPr>
              <w:pStyle w:val="TableText"/>
              <w:ind w:left="31" w:right="43" w:hanging="10"/>
              <w:spacing w:before="41" w:line="227" w:lineRule="auto"/>
              <w:rPr/>
            </w:pPr>
            <w:r>
              <w:rPr>
                <w:spacing w:val="-1"/>
              </w:rPr>
              <w:t>五、上述改制重组有关土地增值税政策不适用于房地产转移</w:t>
            </w:r>
            <w:r>
              <w:rPr>
                <w:spacing w:val="16"/>
              </w:rPr>
              <w:t xml:space="preserve"> </w:t>
            </w:r>
            <w:r>
              <w:rPr>
                <w:spacing w:val="-1"/>
              </w:rPr>
              <w:t>任意一方为房地产开发企业的情形，</w:t>
            </w:r>
          </w:p>
          <w:p>
            <w:pPr>
              <w:pStyle w:val="TableText"/>
              <w:ind w:right="42" w:firstLine="34"/>
              <w:spacing w:before="21" w:line="242" w:lineRule="auto"/>
              <w:rPr/>
            </w:pPr>
            <w:r>
              <w:rPr>
                <w:spacing w:val="-1"/>
              </w:rPr>
              <w:t>六、改制重组后再转让房地产并申报缴纳土地增值税时，对</w:t>
            </w:r>
            <w:r>
              <w:rPr>
                <w:spacing w:val="3"/>
              </w:rPr>
              <w:t xml:space="preserve"> </w:t>
            </w:r>
            <w:r>
              <w:rPr>
                <w:spacing w:val="2"/>
              </w:rPr>
              <w:t>“取得土地使用权所支付的金额”,按照改制重组前取得该</w:t>
            </w:r>
            <w:r>
              <w:rPr>
                <w:spacing w:val="10"/>
              </w:rPr>
              <w:t xml:space="preserve"> </w:t>
            </w:r>
            <w:r>
              <w:rPr/>
              <w:t>宗国有土地使用权所支付的地价款和按国家统一规定缴纳的</w:t>
            </w:r>
            <w:r>
              <w:rPr>
                <w:spacing w:val="12"/>
              </w:rPr>
              <w:t xml:space="preserve"> </w:t>
            </w:r>
            <w:r>
              <w:rPr/>
              <w:t>有关费用确定；经批准以国有土地使用权作价出资入股的</w:t>
            </w:r>
          </w:p>
          <w:p>
            <w:pPr>
              <w:pStyle w:val="TableText"/>
              <w:ind w:left="21" w:right="39"/>
              <w:spacing w:before="24" w:line="237" w:lineRule="auto"/>
              <w:rPr/>
            </w:pPr>
            <w:r>
              <w:rPr>
                <w:spacing w:val="-1"/>
              </w:rPr>
              <w:t>为作价入股时县级及以上自然资源部门批准的评估价格。按</w:t>
            </w:r>
            <w:r>
              <w:rPr>
                <w:spacing w:val="17"/>
              </w:rPr>
              <w:t xml:space="preserve"> </w:t>
            </w:r>
            <w:r>
              <w:rPr/>
              <w:t>购房发票确定扣除项目金额的，按照改制重组</w:t>
            </w:r>
            <w:r>
              <w:rPr>
                <w:spacing w:val="-1"/>
              </w:rPr>
              <w:t>前购房发票所</w:t>
            </w:r>
            <w:r>
              <w:rPr/>
              <w:t xml:space="preserve"> </w:t>
            </w:r>
            <w:r>
              <w:rPr>
                <w:spacing w:val="-1"/>
              </w:rPr>
              <w:t>载金额并从购买年度起至本次转让年度止每年加计5%计算</w:t>
            </w:r>
          </w:p>
          <w:p>
            <w:pPr>
              <w:pStyle w:val="TableText"/>
              <w:ind w:left="21"/>
              <w:spacing w:before="3" w:line="219" w:lineRule="auto"/>
              <w:rPr/>
            </w:pPr>
            <w:r>
              <w:rPr>
                <w:spacing w:val="-1"/>
              </w:rPr>
              <w:t>扣除项目金额，购买年度是指购房发票所载日期的当年</w:t>
            </w:r>
          </w:p>
          <w:p>
            <w:pPr>
              <w:pStyle w:val="TableText"/>
              <w:ind w:left="41"/>
              <w:spacing w:before="42" w:line="219" w:lineRule="auto"/>
              <w:rPr/>
            </w:pPr>
            <w:r>
              <w:rPr>
                <w:spacing w:val="-1"/>
              </w:rPr>
              <w:t>七、纳税人享受上述税收政策，应按相关规定办理</w:t>
            </w:r>
          </w:p>
        </w:tc>
        <w:tc>
          <w:tcPr>
            <w:tcW w:w="2118" w:type="dxa"/>
            <w:vAlign w:val="top"/>
          </w:tcPr>
          <w:p>
            <w:pPr>
              <w:pStyle w:val="TableText"/>
              <w:ind w:left="24" w:right="88" w:firstLine="50"/>
              <w:spacing w:before="107" w:line="232" w:lineRule="auto"/>
              <w:jc w:val="both"/>
              <w:rPr/>
            </w:pPr>
            <w:r>
              <w:rPr>
                <w:spacing w:val="-1"/>
              </w:rPr>
              <w:t>财政部、税务总局关于继续实</w:t>
            </w:r>
            <w:r>
              <w:rPr>
                <w:spacing w:val="5"/>
              </w:rPr>
              <w:t xml:space="preserve"> </w:t>
            </w:r>
            <w:r>
              <w:rPr>
                <w:spacing w:val="3"/>
              </w:rPr>
              <w:t>施企业改制重组有关土地增值</w:t>
            </w:r>
            <w:r>
              <w:rPr>
                <w:spacing w:val="4"/>
              </w:rPr>
              <w:t xml:space="preserve"> </w:t>
            </w:r>
            <w:r>
              <w:rPr>
                <w:spacing w:val="-1"/>
              </w:rPr>
              <w:t>税政策的公告</w:t>
            </w:r>
          </w:p>
        </w:tc>
        <w:tc>
          <w:tcPr>
            <w:tcW w:w="919" w:type="dxa"/>
            <w:vAlign w:val="top"/>
          </w:tcPr>
          <w:p>
            <w:pPr>
              <w:pStyle w:val="TableText"/>
              <w:ind w:left="16" w:right="16" w:firstLine="60"/>
              <w:spacing w:before="107" w:line="228" w:lineRule="auto"/>
              <w:jc w:val="both"/>
              <w:rPr/>
            </w:pPr>
            <w:r>
              <w:rPr>
                <w:spacing w:val="-1"/>
              </w:rPr>
              <w:t>延期至2027</w:t>
            </w:r>
            <w:r>
              <w:rPr/>
              <w:t xml:space="preserve">  </w:t>
            </w:r>
            <w:r>
              <w:rPr>
                <w:spacing w:val="-8"/>
              </w:rPr>
              <w:t>年 1</w:t>
            </w:r>
            <w:r>
              <w:rPr>
                <w:spacing w:val="-10"/>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59" w:type="dxa"/>
            <w:vAlign w:val="top"/>
          </w:tcPr>
          <w:p>
            <w:pPr>
              <w:pStyle w:val="TableText"/>
              <w:ind w:left="348" w:right="62" w:hanging="300"/>
              <w:spacing w:before="106" w:line="233" w:lineRule="auto"/>
              <w:rPr/>
            </w:pPr>
            <w:r>
              <w:rPr>
                <w:spacing w:val="-3"/>
              </w:rPr>
              <w:t>改制重组企</w:t>
            </w:r>
            <w:r>
              <w:rPr>
                <w:spacing w:val="2"/>
              </w:rPr>
              <w:t xml:space="preserve"> </w:t>
            </w:r>
            <w:r>
              <w:rPr/>
              <w:t>业</w:t>
            </w:r>
          </w:p>
        </w:tc>
        <w:tc>
          <w:tcPr>
            <w:tcW w:w="1009" w:type="dxa"/>
            <w:vAlign w:val="top"/>
          </w:tcPr>
          <w:p>
            <w:pPr>
              <w:pStyle w:val="TableText"/>
              <w:ind w:left="128"/>
              <w:spacing w:before="107" w:line="219" w:lineRule="auto"/>
              <w:rPr/>
            </w:pPr>
            <w:r>
              <w:rPr>
                <w:spacing w:val="-2"/>
              </w:rPr>
              <w:t>土地增值税</w:t>
            </w:r>
          </w:p>
        </w:tc>
        <w:tc>
          <w:tcPr>
            <w:tcW w:w="474" w:type="dxa"/>
            <w:vAlign w:val="top"/>
          </w:tcPr>
          <w:p>
            <w:pPr>
              <w:pStyle w:val="TableText"/>
              <w:ind w:left="80" w:right="91"/>
              <w:spacing w:before="97" w:line="226" w:lineRule="auto"/>
              <w:rPr/>
            </w:pPr>
            <w:r>
              <w:rPr>
                <w:spacing w:val="-6"/>
              </w:rPr>
              <w:t>暂不</w:t>
            </w:r>
            <w:r>
              <w:rPr/>
              <w:t xml:space="preserve"> </w:t>
            </w:r>
            <w:r>
              <w:rPr>
                <w:spacing w:val="-4"/>
              </w:rPr>
              <w:t>征收</w:t>
            </w:r>
          </w:p>
        </w:tc>
      </w:tr>
    </w:tbl>
    <w:p>
      <w:pPr>
        <w:pStyle w:val="BodyText"/>
        <w:rPr/>
      </w:pPr>
      <w:r/>
    </w:p>
    <w:p>
      <w:pPr>
        <w:sectPr>
          <w:pgSz w:w="11910" w:h="8220"/>
          <w:pgMar w:top="400" w:right="1135" w:bottom="400" w:left="799" w:header="0" w:footer="0" w:gutter="0"/>
        </w:sectPr>
        <w:rPr/>
      </w:pPr>
    </w:p>
    <w:p>
      <w:pPr>
        <w:spacing w:before="51"/>
        <w:rPr/>
      </w:pPr>
      <w:r>
        <w:drawing>
          <wp:anchor distT="0" distB="0" distL="0" distR="0" simplePos="0" relativeHeight="251674624" behindDoc="0" locked="0" layoutInCell="0" allowOverlap="1">
            <wp:simplePos x="0" y="0"/>
            <wp:positionH relativeFrom="page">
              <wp:posOffset>514349</wp:posOffset>
            </wp:positionH>
            <wp:positionV relativeFrom="page">
              <wp:posOffset>4438624</wp:posOffset>
            </wp:positionV>
            <wp:extent cx="107921" cy="114311"/>
            <wp:effectExtent l="0" t="0" r="0" b="0"/>
            <wp:wrapNone/>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107921" cy="114311"/>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858" w:hRule="atLeast"/>
        </w:trPr>
        <w:tc>
          <w:tcPr>
            <w:tcW w:w="284" w:type="dxa"/>
            <w:vAlign w:val="top"/>
          </w:tcPr>
          <w:p>
            <w:pPr>
              <w:spacing w:line="344" w:lineRule="auto"/>
              <w:rPr>
                <w:rFonts w:ascii="Arial"/>
                <w:sz w:val="21"/>
              </w:rPr>
            </w:pPr>
            <w:r/>
          </w:p>
          <w:p>
            <w:pPr>
              <w:pStyle w:val="TableText"/>
              <w:ind w:left="55"/>
              <w:spacing w:before="48" w:line="184" w:lineRule="auto"/>
              <w:rPr/>
            </w:pPr>
            <w:r>
              <w:rPr>
                <w:spacing w:val="-5"/>
              </w:rPr>
              <w:t>10</w:t>
            </w:r>
          </w:p>
        </w:tc>
        <w:tc>
          <w:tcPr>
            <w:tcW w:w="3956" w:type="dxa"/>
            <w:vAlign w:val="top"/>
          </w:tcPr>
          <w:p>
            <w:pPr>
              <w:pStyle w:val="TableText"/>
              <w:ind w:left="11" w:right="32" w:firstLine="10"/>
              <w:spacing w:before="87" w:line="234" w:lineRule="auto"/>
              <w:jc w:val="both"/>
              <w:rPr/>
            </w:pPr>
            <w:r>
              <w:rPr>
                <w:spacing w:val="-1"/>
              </w:rPr>
              <w:t>八、本公告所称不改变原企业投资主体、投资主体相同，是</w:t>
            </w:r>
            <w:r>
              <w:rPr>
                <w:spacing w:val="16"/>
              </w:rPr>
              <w:t xml:space="preserve"> </w:t>
            </w:r>
            <w:r>
              <w:rPr/>
              <w:t>指企业改制重组前后出资人不发生变动，出资人的出资比例</w:t>
            </w:r>
            <w:r>
              <w:rPr>
                <w:spacing w:val="1"/>
              </w:rPr>
              <w:t xml:space="preserve"> </w:t>
            </w:r>
            <w:r>
              <w:rPr/>
              <w:t>可以发生变动；投资主体存续，是指原企业出资人必须存在</w:t>
            </w:r>
            <w:r>
              <w:rPr>
                <w:spacing w:val="1"/>
              </w:rPr>
              <w:t xml:space="preserve"> </w:t>
            </w:r>
            <w:r>
              <w:rPr/>
              <w:t>于改制重组后的企业，出资人的出资比例可</w:t>
            </w:r>
            <w:r>
              <w:rPr>
                <w:spacing w:val="-1"/>
              </w:rPr>
              <w:t>以发生变动。</w:t>
            </w:r>
          </w:p>
        </w:tc>
        <w:tc>
          <w:tcPr>
            <w:tcW w:w="2158" w:type="dxa"/>
            <w:vAlign w:val="top"/>
          </w:tcPr>
          <w:p>
            <w:pPr>
              <w:rPr>
                <w:rFonts w:ascii="Arial"/>
                <w:sz w:val="21"/>
              </w:rPr>
            </w:pPr>
            <w:r/>
          </w:p>
        </w:tc>
        <w:tc>
          <w:tcPr>
            <w:tcW w:w="88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869" w:hRule="atLeast"/>
        </w:trPr>
        <w:tc>
          <w:tcPr>
            <w:tcW w:w="284" w:type="dxa"/>
            <w:vAlign w:val="top"/>
          </w:tcPr>
          <w:p>
            <w:pPr>
              <w:spacing w:line="346" w:lineRule="auto"/>
              <w:rPr>
                <w:rFonts w:ascii="Arial"/>
                <w:sz w:val="21"/>
              </w:rPr>
            </w:pPr>
            <w:r/>
          </w:p>
          <w:p>
            <w:pPr>
              <w:pStyle w:val="TableText"/>
              <w:ind w:left="55"/>
              <w:spacing w:before="48" w:line="184" w:lineRule="auto"/>
              <w:rPr/>
            </w:pPr>
            <w:r>
              <w:rPr>
                <w:spacing w:val="-5"/>
              </w:rPr>
              <w:t>11</w:t>
            </w:r>
          </w:p>
        </w:tc>
        <w:tc>
          <w:tcPr>
            <w:tcW w:w="3956" w:type="dxa"/>
            <w:vAlign w:val="top"/>
          </w:tcPr>
          <w:p>
            <w:pPr>
              <w:pStyle w:val="TableText"/>
              <w:ind w:left="11" w:right="124" w:firstLine="79"/>
              <w:spacing w:before="88" w:line="239" w:lineRule="auto"/>
              <w:rPr/>
            </w:pPr>
            <w:r>
              <w:rPr>
                <w:spacing w:val="-1"/>
              </w:rPr>
              <w:t>一、对边销茶生产企业(企业名单见附件)销售自产的边销</w:t>
            </w:r>
            <w:r>
              <w:rPr>
                <w:spacing w:val="5"/>
              </w:rPr>
              <w:t xml:space="preserve"> </w:t>
            </w:r>
            <w:r>
              <w:rPr>
                <w:spacing w:val="-1"/>
              </w:rPr>
              <w:t>茶及经销企业销售的边销茶免征增值税</w:t>
            </w:r>
          </w:p>
        </w:tc>
        <w:tc>
          <w:tcPr>
            <w:tcW w:w="2158" w:type="dxa"/>
            <w:vAlign w:val="top"/>
          </w:tcPr>
          <w:p>
            <w:pPr>
              <w:pStyle w:val="TableText"/>
              <w:ind w:left="44" w:right="109" w:firstLine="50"/>
              <w:spacing w:before="99" w:line="231" w:lineRule="auto"/>
              <w:rPr/>
            </w:pPr>
            <w:r>
              <w:rPr>
                <w:spacing w:val="-1"/>
              </w:rPr>
              <w:t>财政部、税务总局关于延续实</w:t>
            </w:r>
            <w:r>
              <w:rPr>
                <w:spacing w:val="5"/>
              </w:rPr>
              <w:t xml:space="preserve"> </w:t>
            </w:r>
            <w:r>
              <w:rPr>
                <w:spacing w:val="-1"/>
              </w:rPr>
              <w:t>施边销茶增值税政策的公告</w:t>
            </w:r>
          </w:p>
        </w:tc>
        <w:tc>
          <w:tcPr>
            <w:tcW w:w="889" w:type="dxa"/>
            <w:vAlign w:val="top"/>
          </w:tcPr>
          <w:p>
            <w:pPr>
              <w:pStyle w:val="TableText"/>
              <w:ind w:left="16" w:right="1" w:firstLine="10"/>
              <w:spacing w:before="98" w:line="234" w:lineRule="auto"/>
              <w:jc w:val="both"/>
              <w:rPr/>
            </w:pPr>
            <w:r>
              <w:rPr>
                <w:spacing w:val="15"/>
                <w:w w:val="110"/>
              </w:rPr>
              <w:t>2023年9月</w:t>
            </w:r>
            <w:r>
              <w:rPr>
                <w:spacing w:val="1"/>
              </w:rPr>
              <w:t xml:space="preserve"> </w:t>
            </w:r>
            <w:r>
              <w:rPr>
                <w:spacing w:val="5"/>
              </w:rPr>
              <w:t>22日至2027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48"/>
              <w:spacing w:before="89" w:line="219" w:lineRule="auto"/>
              <w:rPr/>
            </w:pPr>
            <w:r>
              <w:rPr>
                <w:spacing w:val="-1"/>
              </w:rPr>
              <w:t>适用增值税</w:t>
            </w:r>
          </w:p>
          <w:p>
            <w:pPr>
              <w:pStyle w:val="TableText"/>
              <w:ind w:left="48"/>
              <w:spacing w:before="12" w:line="220" w:lineRule="auto"/>
              <w:rPr/>
            </w:pPr>
            <w:r>
              <w:rPr>
                <w:spacing w:val="2"/>
              </w:rPr>
              <w:t>免税政策的</w:t>
            </w:r>
          </w:p>
          <w:p>
            <w:pPr>
              <w:pStyle w:val="TableText"/>
              <w:ind w:left="48"/>
              <w:spacing w:before="30" w:line="219" w:lineRule="auto"/>
              <w:rPr/>
            </w:pPr>
            <w:r>
              <w:rPr>
                <w:spacing w:val="-1"/>
              </w:rPr>
              <w:t>边销茶生产</w:t>
            </w:r>
          </w:p>
          <w:p>
            <w:pPr>
              <w:pStyle w:val="TableText"/>
              <w:ind w:left="267"/>
              <w:spacing w:before="20" w:line="211" w:lineRule="auto"/>
              <w:rPr/>
            </w:pPr>
            <w:r>
              <w:rPr>
                <w:spacing w:val="-3"/>
              </w:rPr>
              <w:t>企业</w:t>
            </w:r>
          </w:p>
        </w:tc>
        <w:tc>
          <w:tcPr>
            <w:tcW w:w="1029" w:type="dxa"/>
            <w:vAlign w:val="top"/>
          </w:tcPr>
          <w:p>
            <w:pPr>
              <w:pStyle w:val="TableText"/>
              <w:ind w:left="289"/>
              <w:spacing w:before="79" w:line="219" w:lineRule="auto"/>
              <w:rPr/>
            </w:pPr>
            <w:r>
              <w:rPr>
                <w:spacing w:val="-2"/>
              </w:rPr>
              <w:t>增值税</w:t>
            </w:r>
          </w:p>
        </w:tc>
        <w:tc>
          <w:tcPr>
            <w:tcW w:w="464" w:type="dxa"/>
            <w:vAlign w:val="top"/>
          </w:tcPr>
          <w:p>
            <w:pPr>
              <w:pStyle w:val="TableText"/>
              <w:ind w:left="80"/>
              <w:spacing w:before="79" w:line="219" w:lineRule="auto"/>
              <w:rPr/>
            </w:pPr>
            <w:r>
              <w:rPr>
                <w:spacing w:val="-3"/>
              </w:rPr>
              <w:t>免征</w:t>
            </w:r>
          </w:p>
        </w:tc>
      </w:tr>
      <w:tr>
        <w:trPr>
          <w:trHeight w:val="2057" w:hRule="atLeast"/>
        </w:trPr>
        <w:tc>
          <w:tcPr>
            <w:tcW w:w="284" w:type="dxa"/>
            <w:vAlign w:val="top"/>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pStyle w:val="TableText"/>
              <w:ind w:left="55"/>
              <w:spacing w:before="49" w:line="184" w:lineRule="auto"/>
              <w:rPr/>
            </w:pPr>
            <w:r>
              <w:rPr>
                <w:spacing w:val="-5"/>
              </w:rPr>
              <w:t>12</w:t>
            </w:r>
          </w:p>
        </w:tc>
        <w:tc>
          <w:tcPr>
            <w:tcW w:w="3956" w:type="dxa"/>
            <w:vAlign w:val="top"/>
          </w:tcPr>
          <w:p>
            <w:pPr>
              <w:pStyle w:val="TableText"/>
              <w:ind w:left="51" w:right="58" w:firstLine="39"/>
              <w:spacing w:before="91" w:line="236" w:lineRule="auto"/>
              <w:rPr/>
            </w:pPr>
            <w:r>
              <w:rPr>
                <w:spacing w:val="-1"/>
              </w:rPr>
              <w:t>一、对电影主管部门(包括中央、省、地市及县级)按照职</w:t>
            </w:r>
            <w:r>
              <w:rPr>
                <w:spacing w:val="4"/>
              </w:rPr>
              <w:t xml:space="preserve">  </w:t>
            </w:r>
            <w:r>
              <w:rPr/>
              <w:t>能权限批准从事电影制片、发行、放映的电影集团公司(含</w:t>
            </w:r>
            <w:r>
              <w:rPr>
                <w:spacing w:val="10"/>
              </w:rPr>
              <w:t xml:space="preserve"> </w:t>
            </w:r>
            <w:r>
              <w:rPr>
                <w:spacing w:val="-1"/>
              </w:rPr>
              <w:t>成员企业)、电影制片厂及其他电影企业取得的销售电影拷</w:t>
            </w:r>
            <w:r>
              <w:rPr>
                <w:spacing w:val="17"/>
              </w:rPr>
              <w:t xml:space="preserve"> </w:t>
            </w:r>
            <w:r>
              <w:rPr>
                <w:spacing w:val="-1"/>
              </w:rPr>
              <w:t>贝(含数字拷贝)收入、转让电影版权(包括转让和许可使</w:t>
            </w:r>
          </w:p>
          <w:p>
            <w:pPr>
              <w:pStyle w:val="TableText"/>
              <w:ind w:left="51"/>
              <w:spacing w:before="21" w:line="219" w:lineRule="auto"/>
              <w:rPr/>
            </w:pPr>
            <w:r>
              <w:rPr>
                <w:spacing w:val="-1"/>
              </w:rPr>
              <w:t>用)收入、电影发行收入以及在农村取得的电影放映收入</w:t>
            </w:r>
          </w:p>
          <w:p>
            <w:pPr>
              <w:pStyle w:val="TableText"/>
              <w:ind w:left="21" w:right="34"/>
              <w:spacing w:before="33" w:line="232" w:lineRule="auto"/>
              <w:rPr/>
            </w:pPr>
            <w:r>
              <w:rPr>
                <w:spacing w:val="-5"/>
              </w:rPr>
              <w:t>免征增值税。</w:t>
            </w:r>
            <w:r>
              <w:rPr>
                <w:spacing w:val="44"/>
              </w:rPr>
              <w:t xml:space="preserve"> </w:t>
            </w:r>
            <w:r>
              <w:rPr>
                <w:spacing w:val="-5"/>
              </w:rPr>
              <w:t>一般纳税人提供的城市电影放映服务，可以按</w:t>
            </w:r>
            <w:r>
              <w:rPr/>
              <w:t xml:space="preserve"> </w:t>
            </w:r>
            <w:r>
              <w:rPr>
                <w:spacing w:val="-1"/>
              </w:rPr>
              <w:t>现行政策规定，选择按照简易计税办法计算缴纳增值税。</w:t>
            </w:r>
          </w:p>
          <w:p>
            <w:pPr>
              <w:pStyle w:val="TableText"/>
              <w:ind w:left="11" w:right="33" w:firstLine="10"/>
              <w:spacing w:before="22" w:line="232" w:lineRule="auto"/>
              <w:rPr/>
            </w:pPr>
            <w:r>
              <w:rPr>
                <w:spacing w:val="-1"/>
              </w:rPr>
              <w:t>二、对广播电视运营服务企业收取的有线数字电视基本收视</w:t>
            </w:r>
            <w:r>
              <w:rPr>
                <w:spacing w:val="16"/>
              </w:rPr>
              <w:t xml:space="preserve"> </w:t>
            </w:r>
            <w:r>
              <w:rPr>
                <w:spacing w:val="-1"/>
              </w:rPr>
              <w:t>维护费和农村有线电视基本收视费，免征增值税</w:t>
            </w:r>
          </w:p>
        </w:tc>
        <w:tc>
          <w:tcPr>
            <w:tcW w:w="2158" w:type="dxa"/>
            <w:vAlign w:val="top"/>
          </w:tcPr>
          <w:p>
            <w:pPr>
              <w:pStyle w:val="TableText"/>
              <w:ind w:left="54" w:right="108" w:firstLine="40"/>
              <w:spacing w:before="90" w:line="228" w:lineRule="auto"/>
              <w:jc w:val="both"/>
              <w:rPr/>
            </w:pPr>
            <w:r>
              <w:rPr>
                <w:spacing w:val="-1"/>
              </w:rPr>
              <w:t>财政部、税务总局关于延续实</w:t>
            </w:r>
            <w:r>
              <w:rPr>
                <w:spacing w:val="5"/>
              </w:rPr>
              <w:t xml:space="preserve"> </w:t>
            </w:r>
            <w:r>
              <w:rPr>
                <w:spacing w:val="2"/>
              </w:rPr>
              <w:t>施支持文化企业发展增值税政</w:t>
            </w:r>
            <w:r>
              <w:rPr>
                <w:spacing w:val="7"/>
              </w:rPr>
              <w:t xml:space="preserve"> </w:t>
            </w:r>
            <w:r>
              <w:rPr>
                <w:spacing w:val="-2"/>
              </w:rPr>
              <w:t>策的公告</w:t>
            </w:r>
          </w:p>
        </w:tc>
        <w:tc>
          <w:tcPr>
            <w:tcW w:w="889" w:type="dxa"/>
            <w:vAlign w:val="top"/>
          </w:tcPr>
          <w:p>
            <w:pPr>
              <w:pStyle w:val="TableText"/>
              <w:ind w:left="16" w:right="6" w:firstLine="50"/>
              <w:spacing w:before="91" w:line="232"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48"/>
              <w:spacing w:before="90" w:line="220" w:lineRule="auto"/>
              <w:rPr/>
            </w:pPr>
            <w:r>
              <w:rPr>
                <w:spacing w:val="2"/>
              </w:rPr>
              <w:t>从事电影制</w:t>
            </w:r>
          </w:p>
          <w:p>
            <w:pPr>
              <w:pStyle w:val="TableText"/>
              <w:spacing w:before="1" w:line="220" w:lineRule="auto"/>
              <w:jc w:val="right"/>
              <w:rPr/>
            </w:pPr>
            <w:r>
              <w:rPr>
                <w:spacing w:val="-16"/>
              </w:rPr>
              <w:t>片、发</w:t>
            </w:r>
            <w:r>
              <w:rPr>
                <w:spacing w:val="-15"/>
              </w:rPr>
              <w:t>行、</w:t>
            </w:r>
            <w:r>
              <w:rPr>
                <w:spacing w:val="-6"/>
              </w:rPr>
              <w:t>放</w:t>
            </w:r>
          </w:p>
          <w:p>
            <w:pPr>
              <w:pStyle w:val="TableText"/>
              <w:ind w:left="48"/>
              <w:spacing w:before="20" w:line="219" w:lineRule="auto"/>
              <w:rPr/>
            </w:pPr>
            <w:r>
              <w:rPr>
                <w:spacing w:val="-3"/>
              </w:rPr>
              <w:t>映的电影集</w:t>
            </w:r>
          </w:p>
          <w:p>
            <w:pPr>
              <w:pStyle w:val="TableText"/>
              <w:ind w:left="78"/>
              <w:spacing w:before="42" w:line="219" w:lineRule="auto"/>
              <w:rPr/>
            </w:pPr>
            <w:r>
              <w:rPr>
                <w:spacing w:val="2"/>
              </w:rPr>
              <w:t>团公司(含</w:t>
            </w:r>
          </w:p>
          <w:p>
            <w:pPr>
              <w:pStyle w:val="TableText"/>
              <w:ind w:left="78"/>
              <w:spacing w:before="22" w:line="221" w:lineRule="auto"/>
              <w:rPr/>
            </w:pPr>
            <w:r>
              <w:rPr>
                <w:spacing w:val="7"/>
              </w:rPr>
              <w:t>成员企业)</w:t>
            </w:r>
          </w:p>
          <w:p>
            <w:pPr>
              <w:pStyle w:val="TableText"/>
              <w:ind w:left="48"/>
              <w:spacing w:line="220" w:lineRule="auto"/>
              <w:rPr/>
            </w:pPr>
            <w:r>
              <w:rPr>
                <w:spacing w:val="1"/>
              </w:rPr>
              <w:t>电影制片厂</w:t>
            </w:r>
          </w:p>
          <w:p>
            <w:pPr>
              <w:pStyle w:val="TableText"/>
              <w:ind w:left="48"/>
              <w:spacing w:before="31" w:line="220" w:lineRule="auto"/>
              <w:rPr/>
            </w:pPr>
            <w:r>
              <w:rPr>
                <w:spacing w:val="-1"/>
              </w:rPr>
              <w:t>及其他电影</w:t>
            </w:r>
          </w:p>
          <w:p>
            <w:pPr>
              <w:pStyle w:val="TableText"/>
              <w:ind w:left="48"/>
              <w:spacing w:before="11" w:line="219" w:lineRule="auto"/>
              <w:rPr/>
            </w:pPr>
            <w:r>
              <w:rPr>
                <w:spacing w:val="-2"/>
              </w:rPr>
              <w:t>企业；广播</w:t>
            </w:r>
          </w:p>
          <w:p>
            <w:pPr>
              <w:pStyle w:val="TableText"/>
              <w:ind w:left="48"/>
              <w:spacing w:before="23" w:line="220" w:lineRule="auto"/>
              <w:rPr/>
            </w:pPr>
            <w:r>
              <w:rPr>
                <w:spacing w:val="1"/>
              </w:rPr>
              <w:t>电视运营服</w:t>
            </w:r>
          </w:p>
          <w:p>
            <w:pPr>
              <w:pStyle w:val="TableText"/>
              <w:ind w:left="197"/>
              <w:spacing w:before="30" w:line="206" w:lineRule="auto"/>
              <w:rPr/>
            </w:pPr>
            <w:r>
              <w:rPr>
                <w:spacing w:val="-2"/>
              </w:rPr>
              <w:t>务企业</w:t>
            </w:r>
          </w:p>
        </w:tc>
        <w:tc>
          <w:tcPr>
            <w:tcW w:w="1029" w:type="dxa"/>
            <w:vAlign w:val="top"/>
          </w:tcPr>
          <w:p>
            <w:pPr>
              <w:pStyle w:val="TableText"/>
              <w:ind w:left="289"/>
              <w:spacing w:before="60" w:line="219" w:lineRule="auto"/>
              <w:rPr/>
            </w:pPr>
            <w:r>
              <w:rPr>
                <w:spacing w:val="-2"/>
              </w:rPr>
              <w:t>增值税</w:t>
            </w:r>
          </w:p>
        </w:tc>
        <w:tc>
          <w:tcPr>
            <w:tcW w:w="464" w:type="dxa"/>
            <w:vAlign w:val="top"/>
          </w:tcPr>
          <w:p>
            <w:pPr>
              <w:pStyle w:val="TableText"/>
              <w:ind w:left="80"/>
              <w:spacing w:before="80" w:line="219" w:lineRule="auto"/>
              <w:rPr/>
            </w:pPr>
            <w:r>
              <w:rPr>
                <w:spacing w:val="-3"/>
              </w:rPr>
              <w:t>免征</w:t>
            </w:r>
          </w:p>
        </w:tc>
      </w:tr>
      <w:tr>
        <w:trPr>
          <w:trHeight w:val="1872" w:hRule="atLeast"/>
        </w:trPr>
        <w:tc>
          <w:tcPr>
            <w:tcW w:w="284"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55"/>
              <w:spacing w:before="48" w:line="184" w:lineRule="auto"/>
              <w:rPr/>
            </w:pPr>
            <w:r>
              <w:rPr>
                <w:spacing w:val="-5"/>
              </w:rPr>
              <w:t>13</w:t>
            </w:r>
          </w:p>
        </w:tc>
        <w:tc>
          <w:tcPr>
            <w:tcW w:w="3956" w:type="dxa"/>
            <w:vAlign w:val="top"/>
          </w:tcPr>
          <w:p>
            <w:pPr>
              <w:pStyle w:val="TableText"/>
              <w:ind w:left="41" w:right="40" w:hanging="20"/>
              <w:spacing w:before="63" w:line="238" w:lineRule="auto"/>
              <w:rPr/>
            </w:pPr>
            <w:r>
              <w:rPr>
                <w:spacing w:val="-1"/>
              </w:rPr>
              <w:t>一、继续对国产抗艾滋病病毒药品免征生产环节和流通环节</w:t>
            </w:r>
            <w:r>
              <w:rPr>
                <w:spacing w:val="9"/>
              </w:rPr>
              <w:t xml:space="preserve"> </w:t>
            </w:r>
            <w:r>
              <w:rPr/>
              <w:t>增值税(国产抗艾滋病病毒药物免税品种清</w:t>
            </w:r>
            <w:r>
              <w:rPr>
                <w:spacing w:val="-1"/>
              </w:rPr>
              <w:t>单见附件)。</w:t>
            </w:r>
          </w:p>
          <w:p>
            <w:pPr>
              <w:pStyle w:val="TableText"/>
              <w:ind w:left="21" w:right="13"/>
              <w:spacing w:before="35" w:line="242" w:lineRule="auto"/>
              <w:rPr/>
            </w:pPr>
            <w:r>
              <w:rPr>
                <w:spacing w:val="-1"/>
              </w:rPr>
              <w:t>二、享受上述免征增值税政策的国产抗艾滋病病毒药品，须</w:t>
            </w:r>
            <w:r>
              <w:rPr>
                <w:spacing w:val="16"/>
              </w:rPr>
              <w:t xml:space="preserve"> </w:t>
            </w:r>
            <w:r>
              <w:rPr>
                <w:spacing w:val="2"/>
              </w:rPr>
              <w:t>为各省(自治区、直辖市)艾滋病药品管理部门按照政府采</w:t>
            </w:r>
            <w:r>
              <w:rPr>
                <w:spacing w:val="4"/>
              </w:rPr>
              <w:t xml:space="preserve">  </w:t>
            </w:r>
            <w:r>
              <w:rPr/>
              <w:t>购有关规定采购的，并向艾滋病病毒感染者和</w:t>
            </w:r>
            <w:r>
              <w:rPr>
                <w:spacing w:val="-1"/>
              </w:rPr>
              <w:t>病人免费提供</w:t>
            </w:r>
            <w:r>
              <w:rPr/>
              <w:t xml:space="preserve"> </w:t>
            </w:r>
            <w:r>
              <w:rPr/>
              <w:t>的抗艾滋病病毒药品。药品生产企业和流通企业应将药品供</w:t>
            </w:r>
            <w:r>
              <w:rPr>
                <w:spacing w:val="4"/>
              </w:rPr>
              <w:t xml:space="preserve"> </w:t>
            </w:r>
            <w:r>
              <w:rPr/>
              <w:t>货合同留存，以备税务机关查验。三、抗艾滋病病毒药品的</w:t>
            </w:r>
            <w:r>
              <w:rPr>
                <w:spacing w:val="10"/>
              </w:rPr>
              <w:t xml:space="preserve"> </w:t>
            </w:r>
            <w:r>
              <w:rPr>
                <w:spacing w:val="-1"/>
              </w:rPr>
              <w:t>生产企业和流通企业应分别核算免税药品和其他货物的销售</w:t>
            </w:r>
            <w:r>
              <w:rPr>
                <w:spacing w:val="17"/>
              </w:rPr>
              <w:t xml:space="preserve"> </w:t>
            </w:r>
            <w:r>
              <w:rPr>
                <w:spacing w:val="-1"/>
              </w:rPr>
              <w:t>额；未分别核算的，不得享受增值税免税政策</w:t>
            </w:r>
          </w:p>
        </w:tc>
        <w:tc>
          <w:tcPr>
            <w:tcW w:w="2158" w:type="dxa"/>
            <w:vAlign w:val="top"/>
          </w:tcPr>
          <w:p>
            <w:pPr>
              <w:pStyle w:val="TableText"/>
              <w:ind w:left="44" w:right="109" w:firstLine="50"/>
              <w:spacing w:before="93" w:line="232" w:lineRule="auto"/>
              <w:jc w:val="both"/>
              <w:rPr/>
            </w:pPr>
            <w:r>
              <w:rPr>
                <w:spacing w:val="-1"/>
              </w:rPr>
              <w:t>财政部、税务总局关于延续免</w:t>
            </w:r>
            <w:r>
              <w:rPr>
                <w:spacing w:val="5"/>
              </w:rPr>
              <w:t xml:space="preserve"> </w:t>
            </w:r>
            <w:r>
              <w:rPr>
                <w:spacing w:val="3"/>
              </w:rPr>
              <w:t>征国产抗艾滋病病毒药品增值</w:t>
            </w:r>
            <w:r>
              <w:rPr>
                <w:spacing w:val="2"/>
              </w:rPr>
              <w:t xml:space="preserve"> </w:t>
            </w:r>
            <w:r>
              <w:rPr>
                <w:spacing w:val="-1"/>
              </w:rPr>
              <w:t>税政策的公告</w:t>
            </w:r>
          </w:p>
        </w:tc>
        <w:tc>
          <w:tcPr>
            <w:tcW w:w="889" w:type="dxa"/>
            <w:vAlign w:val="top"/>
          </w:tcPr>
          <w:p>
            <w:pPr>
              <w:pStyle w:val="TableText"/>
              <w:ind w:left="6" w:firstLine="9"/>
              <w:spacing w:before="83" w:line="242" w:lineRule="auto"/>
              <w:rPr/>
            </w:pPr>
            <w:r>
              <w:rPr>
                <w:spacing w:val="15"/>
                <w:w w:val="112"/>
              </w:rPr>
              <w:t>2023年9月</w:t>
            </w:r>
            <w:r>
              <w:rPr/>
              <w:t xml:space="preserve"> </w:t>
            </w:r>
            <w:r>
              <w:rPr>
                <w:spacing w:val="5"/>
              </w:rPr>
              <w:t>22日至2027</w:t>
            </w:r>
            <w:r>
              <w:rPr>
                <w:spacing w:val="1"/>
              </w:rPr>
              <w:t xml:space="preserve">  </w:t>
            </w:r>
            <w:r>
              <w:rPr>
                <w:spacing w:val="-11"/>
              </w:rPr>
              <w:t>年</w:t>
            </w:r>
            <w:r>
              <w:rPr/>
              <w:t xml:space="preserve"> </w:t>
            </w:r>
            <w:r>
              <w:rPr>
                <w:spacing w:val="-11"/>
              </w:rPr>
              <w:t>1 2 月 3 1</w:t>
            </w:r>
            <w:r>
              <w:rPr/>
              <w:t xml:space="preserve"> </w:t>
            </w:r>
            <w:r>
              <w:rPr/>
              <w:t>日</w:t>
            </w:r>
          </w:p>
        </w:tc>
        <w:tc>
          <w:tcPr>
            <w:tcW w:w="849" w:type="dxa"/>
            <w:vAlign w:val="top"/>
          </w:tcPr>
          <w:p>
            <w:pPr>
              <w:pStyle w:val="TableText"/>
              <w:ind w:left="48"/>
              <w:spacing w:before="83" w:line="219" w:lineRule="auto"/>
              <w:rPr/>
            </w:pPr>
            <w:r>
              <w:rPr>
                <w:spacing w:val="-1"/>
              </w:rPr>
              <w:t>抗艾滋病病</w:t>
            </w:r>
          </w:p>
          <w:p>
            <w:pPr>
              <w:pStyle w:val="TableText"/>
              <w:ind w:left="48"/>
              <w:spacing w:before="22" w:line="219" w:lineRule="auto"/>
              <w:rPr/>
            </w:pPr>
            <w:r>
              <w:rPr>
                <w:spacing w:val="-2"/>
              </w:rPr>
              <w:t>毒药品的生</w:t>
            </w:r>
          </w:p>
          <w:p>
            <w:pPr>
              <w:pStyle w:val="TableText"/>
              <w:ind w:left="48"/>
              <w:spacing w:before="22" w:line="219" w:lineRule="auto"/>
              <w:rPr/>
            </w:pPr>
            <w:r>
              <w:rPr>
                <w:spacing w:val="-1"/>
              </w:rPr>
              <w:t>产企业和流</w:t>
            </w:r>
          </w:p>
          <w:p>
            <w:pPr>
              <w:pStyle w:val="TableText"/>
              <w:ind w:left="197"/>
              <w:spacing w:before="17" w:line="227" w:lineRule="auto"/>
              <w:rPr/>
            </w:pPr>
            <w:r>
              <w:rPr>
                <w:spacing w:val="-2"/>
              </w:rPr>
              <w:t>通企业</w:t>
            </w:r>
          </w:p>
        </w:tc>
        <w:tc>
          <w:tcPr>
            <w:tcW w:w="1029" w:type="dxa"/>
            <w:vAlign w:val="top"/>
          </w:tcPr>
          <w:p>
            <w:pPr>
              <w:pStyle w:val="TableText"/>
              <w:ind w:left="289"/>
              <w:spacing w:before="73" w:line="219" w:lineRule="auto"/>
              <w:rPr/>
            </w:pPr>
            <w:r>
              <w:rPr>
                <w:spacing w:val="-2"/>
              </w:rPr>
              <w:t>增值税</w:t>
            </w:r>
          </w:p>
        </w:tc>
        <w:tc>
          <w:tcPr>
            <w:tcW w:w="464" w:type="dxa"/>
            <w:vAlign w:val="top"/>
          </w:tcPr>
          <w:p>
            <w:pPr>
              <w:pStyle w:val="TableText"/>
              <w:ind w:left="80"/>
              <w:spacing w:before="73" w:line="219" w:lineRule="auto"/>
              <w:rPr/>
            </w:pPr>
            <w:r>
              <w:rPr>
                <w:spacing w:val="-3"/>
              </w:rPr>
              <w:t>免征</w:t>
            </w:r>
          </w:p>
        </w:tc>
      </w:tr>
    </w:tbl>
    <w:p>
      <w:pPr>
        <w:pStyle w:val="BodyText"/>
        <w:rPr/>
      </w:pPr>
      <w:r/>
    </w:p>
    <w:p>
      <w:pPr>
        <w:sectPr>
          <w:pgSz w:w="11910" w:h="8220"/>
          <w:pgMar w:top="400" w:right="1145" w:bottom="400" w:left="809" w:header="0" w:footer="0" w:gutter="0"/>
        </w:sectPr>
        <w:rPr/>
      </w:pPr>
    </w:p>
    <w:p>
      <w:pPr>
        <w:spacing w:before="51"/>
        <w:rPr/>
      </w:pPr>
      <w:r>
        <w:pict>
          <v:shape id="_x0000_s18" style="position:absolute;margin-left:38.9997pt;margin-top:50.1754pt;mso-position-vertical-relative:page;mso-position-horizontal-relative:page;width:10.2pt;height:15.7pt;z-index:251675648;"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5"/>
                      <w:w w:val="76"/>
                    </w:rPr>
                    <w:t>台</w:t>
                  </w:r>
                </w:p>
              </w:txbxContent>
            </v:textbox>
          </v:shape>
        </w:pict>
      </w:r>
      <w:r/>
    </w:p>
    <w:p>
      <w:pPr>
        <w:spacing w:before="51"/>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7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9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4543" w:hRule="atLeast"/>
        </w:trPr>
        <w:tc>
          <w:tcPr>
            <w:tcW w:w="284"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55"/>
              <w:spacing w:before="49" w:line="184" w:lineRule="auto"/>
              <w:rPr/>
            </w:pPr>
            <w:r>
              <w:rPr>
                <w:spacing w:val="-5"/>
              </w:rPr>
              <w:t>14</w:t>
            </w:r>
          </w:p>
        </w:tc>
        <w:tc>
          <w:tcPr>
            <w:tcW w:w="3986" w:type="dxa"/>
            <w:vAlign w:val="top"/>
          </w:tcPr>
          <w:p>
            <w:pPr>
              <w:pStyle w:val="TableText"/>
              <w:ind w:left="41" w:right="129" w:firstLine="69"/>
              <w:spacing w:before="96" w:line="233" w:lineRule="auto"/>
              <w:rPr/>
            </w:pPr>
            <w:r>
              <w:rPr>
                <w:spacing w:val="-1"/>
              </w:rPr>
              <w:t>一、对供热企业向居民个人(以下称居民)供热取得的采暖</w:t>
            </w:r>
            <w:r>
              <w:rPr>
                <w:spacing w:val="10"/>
              </w:rPr>
              <w:t xml:space="preserve"> </w:t>
            </w:r>
            <w:r>
              <w:rPr>
                <w:spacing w:val="-1"/>
              </w:rPr>
              <w:t>费收入免征增值税。</w:t>
            </w:r>
          </w:p>
          <w:p>
            <w:pPr>
              <w:pStyle w:val="TableText"/>
              <w:ind w:left="21" w:right="39" w:firstLine="10"/>
              <w:spacing w:before="40" w:line="230" w:lineRule="auto"/>
              <w:jc w:val="both"/>
              <w:rPr/>
            </w:pPr>
            <w:r>
              <w:rPr/>
              <w:t>向居民供热取得的采暖费收入，包括供热企业直接向居民收</w:t>
            </w:r>
            <w:r>
              <w:rPr>
                <w:spacing w:val="4"/>
              </w:rPr>
              <w:t xml:space="preserve"> </w:t>
            </w:r>
            <w:r>
              <w:rPr/>
              <w:t>取的、通过其他单位向居民收取的和由单位代居民缴纳的采</w:t>
            </w:r>
            <w:r>
              <w:rPr>
                <w:spacing w:val="1"/>
              </w:rPr>
              <w:t xml:space="preserve"> </w:t>
            </w:r>
            <w:r>
              <w:rPr>
                <w:spacing w:val="-2"/>
              </w:rPr>
              <w:t>暖费。</w:t>
            </w:r>
          </w:p>
          <w:p>
            <w:pPr>
              <w:pStyle w:val="TableText"/>
              <w:ind w:left="31" w:right="31"/>
              <w:spacing w:before="38"/>
              <w:jc w:val="both"/>
              <w:rPr/>
            </w:pPr>
            <w:r>
              <w:rPr>
                <w:spacing w:val="-1"/>
              </w:rPr>
              <w:t>免征增值税的采暖费收入应当单独核算。通过热力产品经营</w:t>
            </w:r>
            <w:r>
              <w:rPr>
                <w:spacing w:val="15"/>
              </w:rPr>
              <w:t xml:space="preserve"> </w:t>
            </w:r>
            <w:r>
              <w:rPr>
                <w:spacing w:val="-1"/>
              </w:rPr>
              <w:t>企业向居民供热的热力产品生产企业，应当根据热力产品经</w:t>
            </w:r>
            <w:r>
              <w:rPr>
                <w:spacing w:val="16"/>
              </w:rPr>
              <w:t xml:space="preserve"> </w:t>
            </w:r>
            <w:r>
              <w:rPr/>
              <w:t>营企业实际从居民取得的采暖费收入占该经营企业采暖费总</w:t>
            </w:r>
            <w:r>
              <w:rPr>
                <w:spacing w:val="11"/>
              </w:rPr>
              <w:t xml:space="preserve"> </w:t>
            </w:r>
            <w:r>
              <w:rPr>
                <w:spacing w:val="-1"/>
              </w:rPr>
              <w:t>收入的比例，计算免征的增值税。</w:t>
            </w:r>
          </w:p>
          <w:p>
            <w:pPr>
              <w:pStyle w:val="TableText"/>
              <w:ind w:left="31"/>
              <w:spacing w:before="22" w:line="238" w:lineRule="auto"/>
              <w:rPr/>
            </w:pPr>
            <w:r>
              <w:rPr>
                <w:spacing w:val="-3"/>
              </w:rPr>
              <w:t>二、对向居民供热收取采暖费的供热企业，为居民供热所</w:t>
            </w:r>
            <w:r>
              <w:rPr>
                <w:spacing w:val="-4"/>
              </w:rPr>
              <w:t>使  </w:t>
            </w:r>
            <w:r>
              <w:rPr>
                <w:spacing w:val="-3"/>
              </w:rPr>
              <w:t>用的厂房及土地免征房产税、城镇土地使用税；对供热企</w:t>
            </w:r>
            <w:r>
              <w:rPr>
                <w:spacing w:val="-4"/>
              </w:rPr>
              <w:t>业  </w:t>
            </w:r>
            <w:r>
              <w:rPr>
                <w:spacing w:val="-9"/>
              </w:rPr>
              <w:t>其他厂房及土地，应当按照规定征收房产税、城镇土</w:t>
            </w:r>
            <w:r>
              <w:rPr>
                <w:spacing w:val="-10"/>
              </w:rPr>
              <w:t>地使用税。</w:t>
            </w:r>
            <w:r>
              <w:rPr/>
              <w:t xml:space="preserve"> </w:t>
            </w:r>
            <w:r>
              <w:rPr>
                <w:spacing w:val="-3"/>
              </w:rPr>
              <w:t>对专业供热企业，按其向居民供热取得的采暖费收入占全</w:t>
            </w:r>
            <w:r>
              <w:rPr>
                <w:spacing w:val="-4"/>
              </w:rPr>
              <w:t>部  </w:t>
            </w:r>
            <w:r>
              <w:rPr>
                <w:spacing w:val="-3"/>
              </w:rPr>
              <w:t>采暖费收入的比例，计算免征的房产税、城镇土地使用税</w:t>
            </w:r>
          </w:p>
          <w:p>
            <w:pPr>
              <w:pStyle w:val="TableText"/>
              <w:ind w:left="11" w:firstLine="19"/>
              <w:spacing w:before="2" w:line="246" w:lineRule="auto"/>
              <w:rPr/>
            </w:pPr>
            <w:r>
              <w:rPr>
                <w:spacing w:val="-3"/>
              </w:rPr>
              <w:t>对兼营供热企业，视其供热所使用的厂房及土地与其他生产</w:t>
            </w:r>
            <w:r>
              <w:rPr>
                <w:spacing w:val="-4"/>
              </w:rPr>
              <w:t xml:space="preserve">  </w:t>
            </w:r>
            <w:r>
              <w:rPr>
                <w:spacing w:val="-3"/>
              </w:rPr>
              <w:t>经营活动所使用的厂房及土地是否可以区分，按照不同方法  </w:t>
            </w:r>
            <w:r>
              <w:rPr>
                <w:spacing w:val="-3"/>
              </w:rPr>
              <w:t>计算免征的房产税、城镇土地使用税。可以区分的，对其供  </w:t>
            </w:r>
            <w:r>
              <w:rPr>
                <w:spacing w:val="-3"/>
              </w:rPr>
              <w:t>热所使用厂房及土地，按向居民供热取得的采暖费收入占全  </w:t>
            </w:r>
            <w:r>
              <w:rPr>
                <w:spacing w:val="-3"/>
              </w:rPr>
              <w:t>部采暖费收入的比例，计算免征的房产税、城镇</w:t>
            </w:r>
            <w:r>
              <w:rPr>
                <w:spacing w:val="-4"/>
              </w:rPr>
              <w:t>土地使用税。</w:t>
            </w:r>
            <w:r>
              <w:rPr/>
              <w:t xml:space="preserve"> </w:t>
            </w:r>
            <w:r>
              <w:rPr>
                <w:spacing w:val="-3"/>
              </w:rPr>
              <w:t>难以区分的，对其全部厂房及土地，按向居民供热取得的采  </w:t>
            </w:r>
            <w:r>
              <w:rPr>
                <w:spacing w:val="-3"/>
              </w:rPr>
              <w:t>暖费收入占其营业收入的比例，计算免征的房产税、城镇土  </w:t>
            </w:r>
            <w:r>
              <w:rPr>
                <w:spacing w:val="-1"/>
              </w:rPr>
              <w:t>地使用税。</w:t>
            </w:r>
          </w:p>
        </w:tc>
        <w:tc>
          <w:tcPr>
            <w:tcW w:w="2128" w:type="dxa"/>
            <w:vAlign w:val="top"/>
          </w:tcPr>
          <w:p>
            <w:pPr>
              <w:pStyle w:val="TableText"/>
              <w:ind w:left="14" w:right="88" w:firstLine="70"/>
              <w:spacing w:before="116" w:line="224" w:lineRule="auto"/>
              <w:jc w:val="both"/>
              <w:rPr/>
            </w:pPr>
            <w:r>
              <w:rPr>
                <w:spacing w:val="-1"/>
              </w:rPr>
              <w:t>财政部、税务总局关于延续实</w:t>
            </w:r>
            <w:r>
              <w:rPr>
                <w:spacing w:val="5"/>
              </w:rPr>
              <w:t xml:space="preserve"> </w:t>
            </w:r>
            <w:r>
              <w:rPr>
                <w:spacing w:val="4"/>
              </w:rPr>
              <w:t>施供热企业有关税收政策的公</w:t>
            </w:r>
            <w:r>
              <w:rPr>
                <w:spacing w:val="11"/>
              </w:rPr>
              <w:t xml:space="preserve"> </w:t>
            </w:r>
            <w:r>
              <w:rPr/>
              <w:t>告</w:t>
            </w:r>
          </w:p>
        </w:tc>
        <w:tc>
          <w:tcPr>
            <w:tcW w:w="899" w:type="dxa"/>
            <w:vAlign w:val="top"/>
          </w:tcPr>
          <w:p>
            <w:pPr>
              <w:pStyle w:val="TableText"/>
              <w:ind w:left="16" w:right="6" w:firstLine="50"/>
              <w:spacing w:before="117" w:line="224" w:lineRule="auto"/>
              <w:jc w:val="both"/>
              <w:rPr/>
            </w:pPr>
            <w:r>
              <w:rPr>
                <w:spacing w:val="-1"/>
              </w:rPr>
              <w:t>延期至2027</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49" w:type="dxa"/>
            <w:vAlign w:val="top"/>
          </w:tcPr>
          <w:p>
            <w:pPr>
              <w:pStyle w:val="TableText"/>
              <w:ind w:left="117"/>
              <w:spacing w:before="96" w:line="219" w:lineRule="auto"/>
              <w:rPr/>
            </w:pPr>
            <w:r>
              <w:rPr>
                <w:spacing w:val="-2"/>
              </w:rPr>
              <w:t>供热企业</w:t>
            </w:r>
          </w:p>
        </w:tc>
        <w:tc>
          <w:tcPr>
            <w:tcW w:w="1029" w:type="dxa"/>
            <w:vAlign w:val="top"/>
          </w:tcPr>
          <w:p>
            <w:pPr>
              <w:pStyle w:val="TableText"/>
              <w:ind w:left="59"/>
              <w:spacing w:before="97" w:line="219" w:lineRule="auto"/>
              <w:rPr/>
            </w:pPr>
            <w:r>
              <w:rPr>
                <w:spacing w:val="-1"/>
              </w:rPr>
              <w:t>增值税、房产</w:t>
            </w:r>
          </w:p>
          <w:p>
            <w:pPr>
              <w:pStyle w:val="TableText"/>
              <w:ind w:left="59"/>
              <w:spacing w:before="22" w:line="219" w:lineRule="auto"/>
              <w:rPr/>
            </w:pPr>
            <w:r>
              <w:rPr>
                <w:spacing w:val="-1"/>
              </w:rPr>
              <w:t>税、城镇土地</w:t>
            </w:r>
          </w:p>
          <w:p>
            <w:pPr>
              <w:pStyle w:val="TableText"/>
              <w:ind w:left="289"/>
              <w:spacing w:before="22" w:line="219" w:lineRule="auto"/>
              <w:rPr/>
            </w:pPr>
            <w:r>
              <w:rPr>
                <w:spacing w:val="-2"/>
              </w:rPr>
              <w:t>使用税</w:t>
            </w:r>
          </w:p>
        </w:tc>
        <w:tc>
          <w:tcPr>
            <w:tcW w:w="474" w:type="dxa"/>
            <w:vAlign w:val="top"/>
          </w:tcPr>
          <w:p>
            <w:pPr>
              <w:pStyle w:val="TableText"/>
              <w:ind w:left="80"/>
              <w:spacing w:before="97" w:line="219" w:lineRule="auto"/>
              <w:rPr/>
            </w:pPr>
            <w:r>
              <w:rPr>
                <w:spacing w:val="-3"/>
              </w:rPr>
              <w:t>免征</w:t>
            </w:r>
          </w:p>
        </w:tc>
      </w:tr>
      <w:tr>
        <w:trPr>
          <w:trHeight w:val="1133" w:hRule="atLeast"/>
        </w:trPr>
        <w:tc>
          <w:tcPr>
            <w:tcW w:w="284" w:type="dxa"/>
            <w:vAlign w:val="top"/>
          </w:tcPr>
          <w:p>
            <w:pPr>
              <w:rPr>
                <w:rFonts w:ascii="Arial"/>
                <w:sz w:val="21"/>
              </w:rPr>
            </w:pPr>
            <w:r/>
          </w:p>
          <w:p>
            <w:pPr>
              <w:rPr>
                <w:rFonts w:ascii="Arial"/>
                <w:sz w:val="21"/>
              </w:rPr>
            </w:pPr>
            <w:r/>
          </w:p>
          <w:p>
            <w:pPr>
              <w:pStyle w:val="TableText"/>
              <w:ind w:left="55"/>
              <w:spacing w:before="49" w:line="184" w:lineRule="auto"/>
              <w:rPr/>
            </w:pPr>
            <w:r>
              <w:rPr>
                <w:spacing w:val="-5"/>
              </w:rPr>
              <w:t>15</w:t>
            </w:r>
          </w:p>
        </w:tc>
        <w:tc>
          <w:tcPr>
            <w:tcW w:w="3986" w:type="dxa"/>
            <w:vAlign w:val="top"/>
          </w:tcPr>
          <w:p>
            <w:pPr>
              <w:pStyle w:val="TableText"/>
              <w:ind w:left="41" w:right="62" w:hanging="10"/>
              <w:spacing w:before="93" w:line="233" w:lineRule="auto"/>
              <w:rPr/>
            </w:pPr>
            <w:r>
              <w:rPr>
                <w:spacing w:val="-1"/>
              </w:rPr>
              <w:t>一、对经省级地方金融监督管理部门批准成立的小额贷款公</w:t>
            </w:r>
            <w:r>
              <w:rPr>
                <w:spacing w:val="7"/>
              </w:rPr>
              <w:t xml:space="preserve"> </w:t>
            </w:r>
            <w:r>
              <w:rPr>
                <w:spacing w:val="-1"/>
              </w:rPr>
              <w:t>司取得的农户小额贷款利息收入，免征增值税</w:t>
            </w:r>
          </w:p>
          <w:p>
            <w:pPr>
              <w:pStyle w:val="TableText"/>
              <w:ind w:left="31"/>
              <w:spacing w:before="22" w:line="219" w:lineRule="auto"/>
              <w:rPr/>
            </w:pPr>
            <w:r>
              <w:rPr>
                <w:spacing w:val="-1"/>
              </w:rPr>
              <w:t>二、对经省级地方金融监督管理部门批准成立的小额贷款公</w:t>
            </w:r>
          </w:p>
          <w:p>
            <w:pPr>
              <w:pStyle w:val="TableText"/>
              <w:ind w:left="31" w:right="106" w:firstLine="79"/>
              <w:spacing w:before="31" w:line="233" w:lineRule="auto"/>
              <w:rPr/>
            </w:pPr>
            <w:r>
              <w:rPr/>
              <w:t>司取得的农户小额贷款利息收入，在计算应纳税所得额时</w:t>
            </w:r>
            <w:r>
              <w:rPr>
                <w:spacing w:val="7"/>
              </w:rPr>
              <w:t xml:space="preserve"> </w:t>
            </w:r>
            <w:r>
              <w:rPr/>
              <w:t>按90%计人收人总额。</w:t>
            </w:r>
          </w:p>
        </w:tc>
        <w:tc>
          <w:tcPr>
            <w:tcW w:w="2128" w:type="dxa"/>
            <w:vAlign w:val="top"/>
          </w:tcPr>
          <w:p>
            <w:pPr>
              <w:pStyle w:val="TableText"/>
              <w:ind w:left="24" w:right="88" w:firstLine="60"/>
              <w:spacing w:before="104" w:line="232" w:lineRule="auto"/>
              <w:jc w:val="both"/>
              <w:rPr/>
            </w:pPr>
            <w:r>
              <w:rPr>
                <w:spacing w:val="-1"/>
              </w:rPr>
              <w:t>财政部、税务总局关于延续实</w:t>
            </w:r>
            <w:r>
              <w:rPr>
                <w:spacing w:val="5"/>
              </w:rPr>
              <w:t xml:space="preserve"> </w:t>
            </w:r>
            <w:r>
              <w:rPr>
                <w:spacing w:val="4"/>
              </w:rPr>
              <w:t>施小额贷款公司有关税收优惠</w:t>
            </w:r>
            <w:r>
              <w:rPr>
                <w:spacing w:val="1"/>
              </w:rPr>
              <w:t xml:space="preserve"> </w:t>
            </w:r>
            <w:r>
              <w:rPr>
                <w:spacing w:val="-1"/>
              </w:rPr>
              <w:t>政策的公告</w:t>
            </w:r>
          </w:p>
        </w:tc>
        <w:tc>
          <w:tcPr>
            <w:tcW w:w="899" w:type="dxa"/>
            <w:vAlign w:val="top"/>
          </w:tcPr>
          <w:p>
            <w:pPr>
              <w:pStyle w:val="TableText"/>
              <w:ind w:left="16" w:right="12" w:firstLine="50"/>
              <w:spacing w:before="104" w:line="232" w:lineRule="auto"/>
              <w:jc w:val="both"/>
              <w:rPr/>
            </w:pPr>
            <w:r>
              <w:rPr>
                <w:spacing w:val="-1"/>
              </w:rPr>
              <w:t>延期至2027</w:t>
            </w:r>
            <w:r>
              <w:rPr/>
              <w:t xml:space="preserve">  </w:t>
            </w:r>
            <w:r>
              <w:rPr>
                <w:spacing w:val="-8"/>
              </w:rPr>
              <w:t>年</w:t>
            </w:r>
            <w:r>
              <w:rPr>
                <w:spacing w:val="24"/>
              </w:rPr>
              <w:t xml:space="preserve"> </w:t>
            </w:r>
            <w:r>
              <w:rPr>
                <w:spacing w:val="-8"/>
              </w:rPr>
              <w:t>1</w:t>
            </w:r>
            <w:r>
              <w:rPr>
                <w:spacing w:val="15"/>
              </w:rPr>
              <w:t xml:space="preserve"> </w:t>
            </w:r>
            <w:r>
              <w:rPr>
                <w:spacing w:val="-8"/>
              </w:rPr>
              <w:t>2</w:t>
            </w:r>
            <w:r>
              <w:rPr>
                <w:spacing w:val="17"/>
              </w:rPr>
              <w:t xml:space="preserve"> </w:t>
            </w:r>
            <w:r>
              <w:rPr>
                <w:spacing w:val="-8"/>
              </w:rPr>
              <w:t>月</w:t>
            </w:r>
            <w:r>
              <w:rPr>
                <w:spacing w:val="17"/>
              </w:rPr>
              <w:t xml:space="preserve"> </w:t>
            </w:r>
            <w:r>
              <w:rPr>
                <w:spacing w:val="-8"/>
              </w:rPr>
              <w:t>3</w:t>
            </w:r>
            <w:r>
              <w:rPr/>
              <w:t xml:space="preserve"> </w:t>
            </w:r>
            <w:r>
              <w:rPr/>
              <w:t>日</w:t>
            </w:r>
          </w:p>
        </w:tc>
        <w:tc>
          <w:tcPr>
            <w:tcW w:w="849" w:type="dxa"/>
            <w:vAlign w:val="top"/>
          </w:tcPr>
          <w:p>
            <w:pPr>
              <w:pStyle w:val="TableText"/>
              <w:ind w:left="348" w:right="50" w:hanging="300"/>
              <w:spacing w:before="93" w:line="229" w:lineRule="auto"/>
              <w:rPr/>
            </w:pPr>
            <w:r>
              <w:rPr>
                <w:spacing w:val="-2"/>
              </w:rPr>
              <w:t>小额贷款公</w:t>
            </w:r>
            <w:r>
              <w:rPr/>
              <w:t xml:space="preserve"> </w:t>
            </w:r>
            <w:r>
              <w:rPr/>
              <w:t>司</w:t>
            </w:r>
          </w:p>
        </w:tc>
        <w:tc>
          <w:tcPr>
            <w:tcW w:w="1029" w:type="dxa"/>
            <w:vAlign w:val="top"/>
          </w:tcPr>
          <w:p>
            <w:pPr>
              <w:pStyle w:val="TableText"/>
              <w:ind w:left="289"/>
              <w:spacing w:before="74" w:line="219" w:lineRule="auto"/>
              <w:rPr/>
            </w:pPr>
            <w:r>
              <w:rPr>
                <w:spacing w:val="-2"/>
              </w:rPr>
              <w:t>增值税</w:t>
            </w:r>
          </w:p>
        </w:tc>
        <w:tc>
          <w:tcPr>
            <w:tcW w:w="474" w:type="dxa"/>
            <w:vAlign w:val="top"/>
          </w:tcPr>
          <w:p>
            <w:pPr>
              <w:pStyle w:val="TableText"/>
              <w:ind w:left="69" w:hanging="50"/>
              <w:spacing w:before="83" w:line="227" w:lineRule="auto"/>
              <w:rPr/>
            </w:pPr>
            <w:r>
              <w:rPr>
                <w:spacing w:val="-17"/>
              </w:rPr>
              <w:t>免征</w:t>
            </w:r>
            <w:r>
              <w:rPr>
                <w:spacing w:val="-31"/>
              </w:rPr>
              <w:t xml:space="preserve"> </w:t>
            </w:r>
            <w:r>
              <w:rPr>
                <w:spacing w:val="-17"/>
              </w:rPr>
              <w:t>、</w:t>
            </w:r>
            <w:r>
              <w:rPr/>
              <w:t xml:space="preserve"> </w:t>
            </w:r>
            <w:r>
              <w:rPr>
                <w:spacing w:val="-13"/>
              </w:rPr>
              <w:t>减征</w:t>
            </w:r>
          </w:p>
        </w:tc>
      </w:tr>
    </w:tbl>
    <w:p>
      <w:pPr>
        <w:pStyle w:val="BodyText"/>
        <w:rPr/>
      </w:pPr>
      <w:r/>
    </w:p>
    <w:p>
      <w:pPr>
        <w:sectPr>
          <w:pgSz w:w="11910" w:h="8220"/>
          <w:pgMar w:top="400" w:right="1135" w:bottom="400" w:left="799" w:header="0" w:footer="0" w:gutter="0"/>
        </w:sectPr>
        <w:rPr/>
      </w:pPr>
    </w:p>
    <w:p>
      <w:pPr>
        <w:spacing w:before="46"/>
        <w:rPr/>
      </w:pPr>
      <w:r>
        <w:drawing>
          <wp:anchor distT="0" distB="0" distL="0" distR="0" simplePos="0" relativeHeight="251676672" behindDoc="0" locked="0" layoutInCell="0" allowOverlap="1">
            <wp:simplePos x="0" y="0"/>
            <wp:positionH relativeFrom="page">
              <wp:posOffset>514349</wp:posOffset>
            </wp:positionH>
            <wp:positionV relativeFrom="page">
              <wp:posOffset>4425940</wp:posOffset>
            </wp:positionV>
            <wp:extent cx="107921" cy="120679"/>
            <wp:effectExtent l="0" t="0" r="0" b="0"/>
            <wp:wrapNone/>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107921" cy="120679"/>
                    </a:xfrm>
                    <a:prstGeom prst="rect">
                      <a:avLst/>
                    </a:prstGeom>
                  </pic:spPr>
                </pic:pic>
              </a:graphicData>
            </a:graphic>
          </wp:anchor>
        </w:drawing>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56" w:type="dxa"/>
            <w:vAlign w:val="top"/>
          </w:tcPr>
          <w:p>
            <w:pPr>
              <w:pStyle w:val="TableText"/>
              <w:ind w:left="1691"/>
              <w:spacing w:before="181" w:line="219" w:lineRule="auto"/>
              <w:rPr/>
            </w:pPr>
            <w:r>
              <w:rPr>
                <w:spacing w:val="-2"/>
              </w:rPr>
              <w:t>主要内容</w:t>
            </w:r>
          </w:p>
        </w:tc>
        <w:tc>
          <w:tcPr>
            <w:tcW w:w="2158" w:type="dxa"/>
            <w:vAlign w:val="top"/>
          </w:tcPr>
          <w:p>
            <w:pPr>
              <w:pStyle w:val="TableText"/>
              <w:ind w:left="774"/>
              <w:spacing w:before="180" w:line="219" w:lineRule="auto"/>
              <w:rPr/>
            </w:pPr>
            <w:r>
              <w:rPr>
                <w:spacing w:val="-1"/>
              </w:rPr>
              <w:t>政策依据</w:t>
            </w:r>
          </w:p>
        </w:tc>
        <w:tc>
          <w:tcPr>
            <w:tcW w:w="889" w:type="dxa"/>
            <w:vAlign w:val="top"/>
          </w:tcPr>
          <w:p>
            <w:pPr>
              <w:pStyle w:val="TableText"/>
              <w:ind w:left="137"/>
              <w:spacing w:before="181" w:line="219" w:lineRule="auto"/>
              <w:rPr/>
            </w:pPr>
            <w:r>
              <w:rPr>
                <w:spacing w:val="3"/>
              </w:rPr>
              <w:t>执行时间</w:t>
            </w:r>
          </w:p>
        </w:tc>
        <w:tc>
          <w:tcPr>
            <w:tcW w:w="849" w:type="dxa"/>
            <w:vAlign w:val="top"/>
          </w:tcPr>
          <w:p>
            <w:pPr>
              <w:pStyle w:val="TableText"/>
              <w:ind w:left="267" w:right="133" w:hanging="150"/>
              <w:spacing w:before="73" w:line="256"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517" w:hRule="atLeast"/>
        </w:trPr>
        <w:tc>
          <w:tcPr>
            <w:tcW w:w="284" w:type="dxa"/>
            <w:vAlign w:val="top"/>
          </w:tcPr>
          <w:p>
            <w:pPr>
              <w:spacing w:line="336" w:lineRule="auto"/>
              <w:rPr>
                <w:rFonts w:ascii="Arial"/>
                <w:sz w:val="21"/>
              </w:rPr>
            </w:pPr>
            <w:r/>
          </w:p>
          <w:p>
            <w:pPr>
              <w:spacing w:line="336" w:lineRule="auto"/>
              <w:rPr>
                <w:rFonts w:ascii="Arial"/>
                <w:sz w:val="21"/>
              </w:rPr>
            </w:pPr>
            <w:r/>
          </w:p>
          <w:p>
            <w:pPr>
              <w:pStyle w:val="TableText"/>
              <w:ind w:left="55"/>
              <w:spacing w:before="48" w:line="184" w:lineRule="auto"/>
              <w:rPr/>
            </w:pPr>
            <w:r>
              <w:rPr>
                <w:spacing w:val="-5"/>
              </w:rPr>
              <w:t>15</w:t>
            </w:r>
          </w:p>
        </w:tc>
        <w:tc>
          <w:tcPr>
            <w:tcW w:w="3956" w:type="dxa"/>
            <w:vAlign w:val="top"/>
          </w:tcPr>
          <w:p>
            <w:pPr>
              <w:pStyle w:val="TableText"/>
              <w:ind w:left="51" w:right="20" w:hanging="20"/>
              <w:spacing w:before="96" w:line="227" w:lineRule="auto"/>
              <w:rPr/>
            </w:pPr>
            <w:r>
              <w:rPr/>
              <w:t>三、对经省级地方金融监督管理部门批准成</w:t>
            </w:r>
            <w:r>
              <w:rPr>
                <w:spacing w:val="-1"/>
              </w:rPr>
              <w:t>立的小额贷款公</w:t>
            </w:r>
            <w:r>
              <w:rPr/>
              <w:t xml:space="preserve"> </w:t>
            </w:r>
            <w:r>
              <w:rPr>
                <w:spacing w:val="-1"/>
              </w:rPr>
              <w:t>司按年末贷款余额的1%计提的贷款损失准备金准予在企业</w:t>
            </w:r>
          </w:p>
          <w:p>
            <w:pPr>
              <w:pStyle w:val="TableText"/>
              <w:ind w:left="31" w:right="170"/>
              <w:spacing w:before="32" w:line="236" w:lineRule="auto"/>
              <w:rPr/>
            </w:pPr>
            <w:r>
              <w:rPr>
                <w:spacing w:val="-1"/>
              </w:rPr>
              <w:t>所得税税前扣除。具体政策口径按照《财政部税务总局关</w:t>
            </w:r>
            <w:r>
              <w:rPr>
                <w:spacing w:val="18"/>
              </w:rPr>
              <w:t xml:space="preserve"> </w:t>
            </w:r>
            <w:r>
              <w:rPr>
                <w:spacing w:val="-1"/>
              </w:rPr>
              <w:t>于延长部分税收优惠政策执行期限的公告》(财政部税务</w:t>
            </w:r>
            <w:r>
              <w:rPr>
                <w:spacing w:val="7"/>
              </w:rPr>
              <w:t xml:space="preserve">  </w:t>
            </w:r>
            <w:r>
              <w:rPr>
                <w:spacing w:val="-3"/>
              </w:rPr>
              <w:t>总局公告2021年第6号)附件2中“6. 《财政部税务总局</w:t>
            </w:r>
          </w:p>
          <w:p>
            <w:pPr>
              <w:pStyle w:val="TableText"/>
              <w:ind w:left="21" w:right="33"/>
              <w:spacing w:before="24" w:line="231" w:lineRule="auto"/>
              <w:rPr/>
            </w:pPr>
            <w:r>
              <w:rPr>
                <w:spacing w:val="-1"/>
              </w:rPr>
              <w:t>关于金融企业贷款损失准备金企业所得税税前扣除有关政策</w:t>
            </w:r>
            <w:r>
              <w:rPr>
                <w:spacing w:val="16"/>
              </w:rPr>
              <w:t xml:space="preserve"> </w:t>
            </w:r>
            <w:r>
              <w:rPr/>
              <w:t>的公告》(财政部税务总局公告2019年第86号)”执行</w:t>
            </w:r>
          </w:p>
        </w:tc>
        <w:tc>
          <w:tcPr>
            <w:tcW w:w="2158" w:type="dxa"/>
            <w:vAlign w:val="top"/>
          </w:tcPr>
          <w:p>
            <w:pPr>
              <w:rPr>
                <w:rFonts w:ascii="Arial"/>
                <w:sz w:val="21"/>
              </w:rPr>
            </w:pPr>
            <w:r/>
          </w:p>
        </w:tc>
        <w:tc>
          <w:tcPr>
            <w:tcW w:w="88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749" w:hRule="atLeast"/>
        </w:trPr>
        <w:tc>
          <w:tcPr>
            <w:tcW w:w="284" w:type="dxa"/>
            <w:vAlign w:val="top"/>
          </w:tcPr>
          <w:p>
            <w:pPr>
              <w:spacing w:line="287" w:lineRule="auto"/>
              <w:rPr>
                <w:rFonts w:ascii="Arial"/>
                <w:sz w:val="21"/>
              </w:rPr>
            </w:pPr>
            <w:r/>
          </w:p>
          <w:p>
            <w:pPr>
              <w:pStyle w:val="TableText"/>
              <w:ind w:left="55"/>
              <w:spacing w:before="49" w:line="184" w:lineRule="auto"/>
              <w:rPr/>
            </w:pPr>
            <w:r>
              <w:rPr>
                <w:spacing w:val="-5"/>
              </w:rPr>
              <w:t>16</w:t>
            </w:r>
          </w:p>
        </w:tc>
        <w:tc>
          <w:tcPr>
            <w:tcW w:w="3956" w:type="dxa"/>
            <w:vAlign w:val="top"/>
          </w:tcPr>
          <w:p>
            <w:pPr>
              <w:pStyle w:val="TableText"/>
              <w:ind w:left="31" w:right="25" w:hanging="10"/>
              <w:spacing w:before="80" w:line="238" w:lineRule="auto"/>
              <w:rPr/>
            </w:pPr>
            <w:r>
              <w:rPr/>
              <w:t>一、对从事二手车经销的纳税人销售其收购的二手车，</w:t>
            </w:r>
            <w:r>
              <w:rPr>
                <w:spacing w:val="-1"/>
              </w:rPr>
              <w:t>按照</w:t>
            </w:r>
            <w:r>
              <w:rPr/>
              <w:t xml:space="preserve"> </w:t>
            </w:r>
            <w:r>
              <w:rPr>
                <w:spacing w:val="-1"/>
              </w:rPr>
              <w:t>简易办法依3%征收率减按0.5%征收增值税。</w:t>
            </w:r>
          </w:p>
        </w:tc>
        <w:tc>
          <w:tcPr>
            <w:tcW w:w="2158" w:type="dxa"/>
            <w:vAlign w:val="top"/>
          </w:tcPr>
          <w:p>
            <w:pPr>
              <w:pStyle w:val="TableText"/>
              <w:ind w:left="24" w:right="108" w:firstLine="70"/>
              <w:spacing w:before="110" w:line="228" w:lineRule="auto"/>
              <w:jc w:val="both"/>
              <w:rPr/>
            </w:pPr>
            <w:r>
              <w:rPr>
                <w:spacing w:val="-1"/>
              </w:rPr>
              <w:t>财政部、税务总局关于延续实</w:t>
            </w:r>
            <w:r>
              <w:rPr>
                <w:spacing w:val="5"/>
              </w:rPr>
              <w:t xml:space="preserve"> </w:t>
            </w:r>
            <w:r>
              <w:rPr>
                <w:spacing w:val="4"/>
              </w:rPr>
              <w:t>施二手车经销有关增值税政策</w:t>
            </w:r>
            <w:r>
              <w:rPr>
                <w:spacing w:val="11"/>
              </w:rPr>
              <w:t xml:space="preserve"> </w:t>
            </w:r>
            <w:r>
              <w:rPr>
                <w:spacing w:val="3"/>
              </w:rPr>
              <w:t>的公告</w:t>
            </w:r>
          </w:p>
        </w:tc>
        <w:tc>
          <w:tcPr>
            <w:tcW w:w="889" w:type="dxa"/>
            <w:vAlign w:val="top"/>
          </w:tcPr>
          <w:p>
            <w:pPr>
              <w:pStyle w:val="TableText"/>
              <w:ind w:left="16" w:right="6" w:firstLine="50"/>
              <w:spacing w:before="111"/>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267" w:right="49" w:hanging="219"/>
              <w:spacing w:before="99" w:line="237" w:lineRule="auto"/>
              <w:rPr/>
            </w:pPr>
            <w:r>
              <w:rPr>
                <w:spacing w:val="-2"/>
              </w:rPr>
              <w:t>二手车经销</w:t>
            </w:r>
            <w:r>
              <w:rPr/>
              <w:t xml:space="preserve"> </w:t>
            </w:r>
            <w:r>
              <w:rPr>
                <w:spacing w:val="-3"/>
              </w:rPr>
              <w:t>企业</w:t>
            </w:r>
          </w:p>
        </w:tc>
        <w:tc>
          <w:tcPr>
            <w:tcW w:w="1029" w:type="dxa"/>
            <w:vAlign w:val="top"/>
          </w:tcPr>
          <w:p>
            <w:pPr>
              <w:pStyle w:val="TableText"/>
              <w:ind w:left="289"/>
              <w:spacing w:before="90" w:line="219" w:lineRule="auto"/>
              <w:rPr/>
            </w:pPr>
            <w:r>
              <w:rPr>
                <w:spacing w:val="-2"/>
              </w:rPr>
              <w:t>增值税</w:t>
            </w:r>
          </w:p>
        </w:tc>
        <w:tc>
          <w:tcPr>
            <w:tcW w:w="464" w:type="dxa"/>
            <w:vAlign w:val="top"/>
          </w:tcPr>
          <w:p>
            <w:pPr>
              <w:pStyle w:val="TableText"/>
              <w:ind w:left="80"/>
              <w:spacing w:before="80" w:line="219" w:lineRule="auto"/>
              <w:rPr/>
            </w:pPr>
            <w:r>
              <w:rPr>
                <w:spacing w:val="-2"/>
              </w:rPr>
              <w:t>减征</w:t>
            </w:r>
          </w:p>
        </w:tc>
      </w:tr>
      <w:tr>
        <w:trPr>
          <w:trHeight w:val="3479" w:hRule="atLeast"/>
        </w:trPr>
        <w:tc>
          <w:tcPr>
            <w:tcW w:w="28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55"/>
              <w:spacing w:before="48" w:line="184" w:lineRule="auto"/>
              <w:rPr/>
            </w:pPr>
            <w:r>
              <w:rPr>
                <w:spacing w:val="-5"/>
              </w:rPr>
              <w:t>17</w:t>
            </w:r>
          </w:p>
        </w:tc>
        <w:tc>
          <w:tcPr>
            <w:tcW w:w="3956" w:type="dxa"/>
            <w:vAlign w:val="top"/>
          </w:tcPr>
          <w:p>
            <w:pPr>
              <w:pStyle w:val="TableText"/>
              <w:ind w:left="31" w:right="249" w:firstLine="59"/>
              <w:spacing w:before="91" w:line="233" w:lineRule="auto"/>
              <w:rPr/>
            </w:pPr>
            <w:r>
              <w:rPr/>
              <w:t>(一)对下列出版物在出版环节执行增值税100%先征后退</w:t>
            </w:r>
            <w:r>
              <w:rPr>
                <w:spacing w:val="4"/>
              </w:rPr>
              <w:t xml:space="preserve"> </w:t>
            </w:r>
            <w:r>
              <w:rPr>
                <w:spacing w:val="2"/>
              </w:rPr>
              <w:t>的政策</w:t>
            </w:r>
          </w:p>
          <w:p>
            <w:pPr>
              <w:pStyle w:val="TableText"/>
              <w:ind w:left="21" w:right="5" w:firstLine="10"/>
              <w:spacing w:before="19" w:line="245" w:lineRule="auto"/>
              <w:rPr/>
            </w:pPr>
            <w:r>
              <w:rPr/>
              <w:t>1.中国共产党和各民主党派的各级组织的机关报纸和机关期</w:t>
            </w:r>
            <w:r>
              <w:rPr>
                <w:spacing w:val="8"/>
              </w:rPr>
              <w:t xml:space="preserve"> </w:t>
            </w:r>
            <w:r>
              <w:rPr>
                <w:spacing w:val="-1"/>
              </w:rPr>
              <w:t>刊，各级人大、政协、政府、工会、共青团、妇联、残联</w:t>
            </w:r>
          </w:p>
          <w:p>
            <w:pPr>
              <w:pStyle w:val="TableText"/>
              <w:ind w:left="21" w:right="10" w:firstLine="20"/>
              <w:spacing w:before="12" w:line="226" w:lineRule="auto"/>
              <w:rPr/>
            </w:pPr>
            <w:r>
              <w:rPr/>
              <w:t>科协的机关报纸和机关期刊，新华社的机关</w:t>
            </w:r>
            <w:r>
              <w:rPr>
                <w:spacing w:val="-1"/>
              </w:rPr>
              <w:t>报纸和机关期刊</w:t>
            </w:r>
            <w:r>
              <w:rPr/>
              <w:t xml:space="preserve"> </w:t>
            </w:r>
            <w:r>
              <w:rPr>
                <w:spacing w:val="-1"/>
              </w:rPr>
              <w:t>军事部门的机关报纸和机关期刊。</w:t>
            </w:r>
          </w:p>
          <w:p>
            <w:pPr>
              <w:pStyle w:val="TableText"/>
              <w:ind w:left="11" w:right="2" w:firstLine="40"/>
              <w:spacing w:before="42" w:line="227" w:lineRule="auto"/>
              <w:rPr/>
            </w:pPr>
            <w:r>
              <w:rPr>
                <w:spacing w:val="-1"/>
              </w:rPr>
              <w:t>上述各级组织不含其所属部门。机关报纸和机关期刊增值税</w:t>
            </w:r>
            <w:r>
              <w:rPr>
                <w:spacing w:val="17"/>
              </w:rPr>
              <w:t xml:space="preserve"> </w:t>
            </w:r>
            <w:r>
              <w:rPr>
                <w:spacing w:val="1"/>
              </w:rPr>
              <w:t>先征后退范围掌握在一个单位一份报纸和一</w:t>
            </w:r>
            <w:r>
              <w:rPr/>
              <w:t>份期刊以内</w:t>
            </w:r>
          </w:p>
          <w:p>
            <w:pPr>
              <w:pStyle w:val="TableText"/>
              <w:spacing w:before="21" w:line="219" w:lineRule="auto"/>
              <w:jc w:val="right"/>
              <w:rPr/>
            </w:pPr>
            <w:r>
              <w:rPr>
                <w:spacing w:val="-9"/>
              </w:rPr>
              <w:t>2.专为少年儿童出版发行的报纸和期刊，中小学的</w:t>
            </w:r>
            <w:r>
              <w:rPr>
                <w:spacing w:val="-10"/>
              </w:rPr>
              <w:t>学生教科书。</w:t>
            </w:r>
          </w:p>
          <w:p>
            <w:pPr>
              <w:pStyle w:val="TableText"/>
              <w:ind w:left="11"/>
              <w:spacing w:before="33" w:line="219" w:lineRule="auto"/>
              <w:rPr/>
            </w:pPr>
            <w:r>
              <w:rPr>
                <w:spacing w:val="-1"/>
              </w:rPr>
              <w:t>3.专为老年人出版发行的报纸和期刊。</w:t>
            </w:r>
          </w:p>
          <w:p>
            <w:pPr>
              <w:pStyle w:val="TableText"/>
              <w:ind w:left="11"/>
              <w:spacing w:before="2" w:line="233" w:lineRule="auto"/>
              <w:rPr/>
            </w:pPr>
            <w:r>
              <w:rPr>
                <w:spacing w:val="-1"/>
              </w:rPr>
              <w:t>4.少数民族文字出版物</w:t>
            </w:r>
          </w:p>
          <w:p>
            <w:pPr>
              <w:pStyle w:val="TableText"/>
              <w:ind w:left="21"/>
              <w:spacing w:line="218" w:lineRule="auto"/>
              <w:rPr/>
            </w:pPr>
            <w:r>
              <w:rPr>
                <w:spacing w:val="-1"/>
              </w:rPr>
              <w:t>5.盲文图书和盲文期刊。</w:t>
            </w:r>
          </w:p>
          <w:p>
            <w:pPr>
              <w:pStyle w:val="TableText"/>
              <w:ind w:left="11" w:firstLine="19"/>
              <w:spacing w:before="43" w:line="234" w:lineRule="auto"/>
              <w:rPr/>
            </w:pPr>
            <w:r>
              <w:rPr/>
              <w:t>6.经批准在内蒙古、广西、西藏、宁夏、新疆五个自治区内</w:t>
            </w:r>
            <w:r>
              <w:rPr>
                <w:spacing w:val="14"/>
              </w:rPr>
              <w:t xml:space="preserve"> </w:t>
            </w:r>
            <w:r>
              <w:rPr>
                <w:spacing w:val="-1"/>
              </w:rPr>
              <w:t>注册的出版单位出版的出版物</w:t>
            </w:r>
          </w:p>
          <w:p>
            <w:pPr>
              <w:pStyle w:val="TableText"/>
              <w:ind w:left="41"/>
              <w:spacing w:before="9" w:line="218" w:lineRule="auto"/>
              <w:rPr/>
            </w:pPr>
            <w:r>
              <w:rPr>
                <w:spacing w:val="-1"/>
              </w:rPr>
              <w:t>7.列入本公告附件1的图书、报纸和期刊。</w:t>
            </w:r>
          </w:p>
          <w:p>
            <w:pPr>
              <w:pStyle w:val="TableText"/>
              <w:ind w:left="11" w:right="329" w:firstLine="79"/>
              <w:spacing w:before="35" w:line="226" w:lineRule="auto"/>
              <w:rPr/>
            </w:pPr>
            <w:r>
              <w:rPr/>
              <w:t>(二)对下列出版物在出版环节执行增值税50%先征后退 </w:t>
            </w:r>
            <w:r>
              <w:rPr>
                <w:spacing w:val="2"/>
              </w:rPr>
              <w:t>的政策</w:t>
            </w:r>
          </w:p>
        </w:tc>
        <w:tc>
          <w:tcPr>
            <w:tcW w:w="2158" w:type="dxa"/>
            <w:vAlign w:val="top"/>
          </w:tcPr>
          <w:p>
            <w:pPr>
              <w:pStyle w:val="TableText"/>
              <w:ind w:left="95"/>
              <w:spacing w:before="101" w:line="219" w:lineRule="auto"/>
              <w:rPr/>
            </w:pPr>
            <w:r>
              <w:rPr>
                <w:spacing w:val="-1"/>
              </w:rPr>
              <w:t>财政部、税务总局关于延续实</w:t>
            </w:r>
          </w:p>
          <w:p>
            <w:pPr>
              <w:pStyle w:val="TableText"/>
              <w:ind w:left="14" w:right="108" w:firstLine="80"/>
              <w:spacing w:before="10" w:line="232" w:lineRule="auto"/>
              <w:rPr/>
            </w:pPr>
            <w:r>
              <w:rPr>
                <w:spacing w:val="-1"/>
              </w:rPr>
              <w:t>施宣传文化增值税优惠政策的</w:t>
            </w:r>
            <w:r>
              <w:rPr>
                <w:spacing w:val="6"/>
              </w:rPr>
              <w:t xml:space="preserve"> </w:t>
            </w:r>
            <w:r>
              <w:rPr>
                <w:spacing w:val="5"/>
              </w:rPr>
              <w:t>公告</w:t>
            </w:r>
          </w:p>
        </w:tc>
        <w:tc>
          <w:tcPr>
            <w:tcW w:w="889" w:type="dxa"/>
            <w:vAlign w:val="top"/>
          </w:tcPr>
          <w:p>
            <w:pPr>
              <w:pStyle w:val="TableText"/>
              <w:ind w:left="16"/>
              <w:spacing w:before="110" w:line="236" w:lineRule="auto"/>
              <w:rPr/>
            </w:pPr>
            <w:r>
              <w:rPr>
                <w:spacing w:val="15"/>
                <w:w w:val="112"/>
              </w:rPr>
              <w:t>2023年9月</w:t>
            </w:r>
            <w:r>
              <w:rPr/>
              <w:t xml:space="preserve"> </w:t>
            </w:r>
            <w:r>
              <w:rPr>
                <w:spacing w:val="4"/>
              </w:rPr>
              <w:t>22日至2027</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348" w:right="48" w:hanging="300"/>
              <w:spacing w:before="92" w:line="232" w:lineRule="auto"/>
              <w:rPr/>
            </w:pPr>
            <w:r>
              <w:rPr>
                <w:spacing w:val="-2"/>
              </w:rPr>
              <w:t>文化事业企</w:t>
            </w:r>
            <w:r>
              <w:rPr>
                <w:spacing w:val="1"/>
              </w:rPr>
              <w:t xml:space="preserve"> </w:t>
            </w:r>
            <w:r>
              <w:rPr/>
              <w:t>业</w:t>
            </w:r>
          </w:p>
        </w:tc>
        <w:tc>
          <w:tcPr>
            <w:tcW w:w="1029" w:type="dxa"/>
            <w:vAlign w:val="top"/>
          </w:tcPr>
          <w:p>
            <w:pPr>
              <w:pStyle w:val="TableText"/>
              <w:ind w:left="289"/>
              <w:spacing w:before="81" w:line="219" w:lineRule="auto"/>
              <w:rPr/>
            </w:pPr>
            <w:r>
              <w:rPr>
                <w:spacing w:val="-2"/>
              </w:rPr>
              <w:t>增值税</w:t>
            </w:r>
          </w:p>
        </w:tc>
        <w:tc>
          <w:tcPr>
            <w:tcW w:w="464" w:type="dxa"/>
            <w:vAlign w:val="top"/>
          </w:tcPr>
          <w:p>
            <w:pPr>
              <w:pStyle w:val="TableText"/>
              <w:ind w:left="80" w:right="81"/>
              <w:spacing w:before="81" w:line="233" w:lineRule="auto"/>
              <w:rPr/>
            </w:pPr>
            <w:r>
              <w:rPr>
                <w:spacing w:val="-5"/>
              </w:rPr>
              <w:t>先征</w:t>
            </w:r>
            <w:r>
              <w:rPr/>
              <w:t xml:space="preserve"> </w:t>
            </w:r>
            <w:r>
              <w:rPr>
                <w:spacing w:val="-4"/>
              </w:rPr>
              <w:t>后退</w:t>
            </w:r>
          </w:p>
        </w:tc>
      </w:tr>
    </w:tbl>
    <w:p>
      <w:pPr>
        <w:pStyle w:val="BodyText"/>
        <w:rPr/>
      </w:pPr>
      <w:r/>
    </w:p>
    <w:p>
      <w:pPr>
        <w:sectPr>
          <w:pgSz w:w="11910" w:h="8220"/>
          <w:pgMar w:top="400" w:right="1145" w:bottom="400" w:left="809" w:header="0" w:footer="0" w:gutter="0"/>
        </w:sectPr>
        <w:rPr/>
      </w:pPr>
    </w:p>
    <w:p>
      <w:pPr>
        <w:spacing w:before="51"/>
        <w:rPr/>
      </w:pPr>
      <w:r>
        <w:pict>
          <v:shape id="_x0000_s20" style="position:absolute;margin-left:39.5pt;margin-top:51.0931pt;mso-position-vertical-relative:page;mso-position-horizontal-relative:page;width:10.9pt;height:16.1pt;z-index:251677696;" o:allowincell="f" filled="false" stroked="false" type="#_x0000_t202">
            <v:fill on="false"/>
            <v:stroke on="false"/>
            <v:path/>
            <v:imagedata o:title=""/>
            <o:lock v:ext="edit" aspectratio="false"/>
            <v:textbox inset="0mm,0mm,0mm,0mm">
              <w:txbxContent>
                <w:p>
                  <w:pPr>
                    <w:pStyle w:val="BodyText"/>
                    <w:spacing w:before="19" w:line="196" w:lineRule="auto"/>
                    <w:jc w:val="right"/>
                    <w:rPr>
                      <w:sz w:val="30"/>
                      <w:szCs w:val="30"/>
                    </w:rPr>
                  </w:pPr>
                  <w:r>
                    <w:rPr>
                      <w:sz w:val="30"/>
                      <w:szCs w:val="30"/>
                      <w:spacing w:val="-23"/>
                    </w:rPr>
                    <w:t>B</w:t>
                  </w:r>
                </w:p>
              </w:txbxContent>
            </v:textbox>
          </v:shape>
        </w:pict>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9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717" w:hRule="atLeast"/>
        </w:trPr>
        <w:tc>
          <w:tcPr>
            <w:tcW w:w="284"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5"/>
              <w:spacing w:before="49" w:line="184" w:lineRule="auto"/>
              <w:rPr/>
            </w:pPr>
            <w:r>
              <w:rPr>
                <w:spacing w:val="-5"/>
              </w:rPr>
              <w:t>17</w:t>
            </w:r>
          </w:p>
        </w:tc>
        <w:tc>
          <w:tcPr>
            <w:tcW w:w="3956" w:type="dxa"/>
            <w:vAlign w:val="top"/>
          </w:tcPr>
          <w:p>
            <w:pPr>
              <w:pStyle w:val="TableText"/>
              <w:ind w:left="50" w:hanging="9"/>
              <w:spacing w:before="115" w:line="215" w:lineRule="auto"/>
              <w:rPr/>
            </w:pPr>
            <w:r>
              <w:rPr/>
              <w:t>1.各类图书、期刊、音像制品、电子出版物，但本公告第一</w:t>
            </w:r>
            <w:r>
              <w:rPr>
                <w:spacing w:val="3"/>
              </w:rPr>
              <w:t xml:space="preserve"> </w:t>
            </w:r>
            <w:r>
              <w:rPr/>
              <w:t>条第(一)项规定执行增值税100%先征</w:t>
            </w:r>
            <w:r>
              <w:rPr>
                <w:spacing w:val="-1"/>
              </w:rPr>
              <w:t>后退的出版物除外。</w:t>
            </w:r>
          </w:p>
          <w:p>
            <w:pPr>
              <w:pStyle w:val="TableText"/>
              <w:ind w:left="21"/>
              <w:spacing w:before="40" w:line="218" w:lineRule="auto"/>
              <w:rPr/>
            </w:pPr>
            <w:r>
              <w:rPr>
                <w:spacing w:val="-1"/>
              </w:rPr>
              <w:t>2.列入本公告附件2的报纸。</w:t>
            </w:r>
          </w:p>
          <w:p>
            <w:pPr>
              <w:pStyle w:val="TableText"/>
              <w:ind w:left="11" w:right="253" w:firstLine="69"/>
              <w:spacing w:before="14" w:line="233" w:lineRule="auto"/>
              <w:rPr/>
            </w:pPr>
            <w:r>
              <w:rPr/>
              <w:t>(三)对下列印刷、制作业务执行增值税100%先征后退的</w:t>
            </w:r>
            <w:r>
              <w:rPr>
                <w:spacing w:val="10"/>
              </w:rPr>
              <w:t xml:space="preserve"> </w:t>
            </w:r>
            <w:r>
              <w:rPr>
                <w:spacing w:val="-2"/>
              </w:rPr>
              <w:t>政策：</w:t>
            </w:r>
          </w:p>
          <w:p>
            <w:pPr>
              <w:pStyle w:val="TableText"/>
              <w:ind w:left="51"/>
              <w:spacing w:before="31" w:line="219" w:lineRule="auto"/>
              <w:rPr/>
            </w:pPr>
            <w:r>
              <w:rPr>
                <w:spacing w:val="-1"/>
              </w:rPr>
              <w:t>1.对少数民族文字出版物的印刷或制作业务。</w:t>
            </w:r>
          </w:p>
          <w:p>
            <w:pPr>
              <w:pStyle w:val="TableText"/>
              <w:ind w:left="11" w:right="117"/>
              <w:spacing w:before="30" w:line="215" w:lineRule="auto"/>
              <w:rPr/>
            </w:pPr>
            <w:r>
              <w:rPr>
                <w:spacing w:val="-1"/>
              </w:rPr>
              <w:t>2.列入本公告附件3的新疆维吾尔自治区印刷企业的印刷业</w:t>
            </w:r>
            <w:r>
              <w:rPr>
                <w:spacing w:val="18"/>
              </w:rPr>
              <w:t xml:space="preserve"> </w:t>
            </w:r>
            <w:r>
              <w:rPr>
                <w:spacing w:val="-2"/>
              </w:rPr>
              <w:t>务。</w:t>
            </w:r>
          </w:p>
        </w:tc>
        <w:tc>
          <w:tcPr>
            <w:tcW w:w="2158" w:type="dxa"/>
            <w:vAlign w:val="top"/>
          </w:tcPr>
          <w:p>
            <w:pPr>
              <w:rPr>
                <w:rFonts w:ascii="Arial"/>
                <w:sz w:val="21"/>
              </w:rPr>
            </w:pPr>
            <w:r/>
          </w:p>
        </w:tc>
        <w:tc>
          <w:tcPr>
            <w:tcW w:w="88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1088" w:hRule="atLeast"/>
        </w:trPr>
        <w:tc>
          <w:tcPr>
            <w:tcW w:w="284" w:type="dxa"/>
            <w:vAlign w:val="top"/>
          </w:tcPr>
          <w:p>
            <w:pPr>
              <w:spacing w:line="456" w:lineRule="auto"/>
              <w:rPr>
                <w:rFonts w:ascii="Arial"/>
                <w:sz w:val="21"/>
              </w:rPr>
            </w:pPr>
            <w:r/>
          </w:p>
          <w:p>
            <w:pPr>
              <w:pStyle w:val="TableText"/>
              <w:ind w:left="55"/>
              <w:spacing w:before="49" w:line="184" w:lineRule="auto"/>
              <w:rPr/>
            </w:pPr>
            <w:r>
              <w:rPr>
                <w:spacing w:val="-5"/>
              </w:rPr>
              <w:t>18</w:t>
            </w:r>
          </w:p>
        </w:tc>
        <w:tc>
          <w:tcPr>
            <w:tcW w:w="3956" w:type="dxa"/>
            <w:vAlign w:val="top"/>
          </w:tcPr>
          <w:p>
            <w:pPr>
              <w:pStyle w:val="TableText"/>
              <w:ind w:left="11" w:firstLine="39"/>
              <w:spacing w:before="90" w:line="243" w:lineRule="auto"/>
              <w:rPr/>
            </w:pPr>
            <w:r>
              <w:rPr>
                <w:spacing w:val="-6"/>
              </w:rPr>
              <w:t>一、中国邮政储蓄银行纳入“三农金融事业部”改革的各省、</w:t>
            </w:r>
            <w:r>
              <w:rPr>
                <w:spacing w:val="6"/>
              </w:rPr>
              <w:t xml:space="preserve"> </w:t>
            </w:r>
            <w:r>
              <w:rPr>
                <w:spacing w:val="-1"/>
              </w:rPr>
              <w:t>自治区、直辖市、计划单列市分行下辖的县域支行，提供农</w:t>
            </w:r>
            <w:r>
              <w:rPr>
                <w:spacing w:val="2"/>
              </w:rPr>
              <w:t xml:space="preserve">  </w:t>
            </w:r>
            <w:r>
              <w:rPr>
                <w:spacing w:val="-2"/>
              </w:rPr>
              <w:t>户贷款、农村企业和农村各类组织贷款(具体贷款业务清单</w:t>
            </w:r>
            <w:r>
              <w:rPr>
                <w:spacing w:val="2"/>
              </w:rPr>
              <w:t xml:space="preserve">   </w:t>
            </w:r>
            <w:r>
              <w:rPr>
                <w:spacing w:val="-3"/>
              </w:rPr>
              <w:t>见附件)取得的利息收入，可以选择适用简</w:t>
            </w:r>
            <w:r>
              <w:rPr>
                <w:spacing w:val="-4"/>
              </w:rPr>
              <w:t>易计税方法按照   </w:t>
            </w:r>
            <w:r>
              <w:rPr>
                <w:spacing w:val="-3"/>
              </w:rPr>
              <w:t>3%的征收率计算缴纳增值税</w:t>
            </w:r>
          </w:p>
        </w:tc>
        <w:tc>
          <w:tcPr>
            <w:tcW w:w="2158" w:type="dxa"/>
            <w:vAlign w:val="top"/>
          </w:tcPr>
          <w:p>
            <w:pPr>
              <w:pStyle w:val="TableText"/>
              <w:ind w:left="94" w:right="29" w:hanging="70"/>
              <w:spacing w:before="90" w:line="233" w:lineRule="auto"/>
              <w:jc w:val="both"/>
              <w:rPr/>
            </w:pPr>
            <w:r>
              <w:rPr>
                <w:spacing w:val="-1"/>
              </w:rPr>
              <w:t>财政部、税务总局关于延续实施</w:t>
            </w:r>
            <w:r>
              <w:rPr>
                <w:spacing w:val="6"/>
              </w:rPr>
              <w:t xml:space="preserve"> </w:t>
            </w:r>
            <w:r>
              <w:rPr/>
              <w:t>中国邮政储蓄银行三农金融事</w:t>
            </w:r>
            <w:r>
              <w:rPr>
                <w:spacing w:val="3"/>
              </w:rPr>
              <w:t xml:space="preserve">  </w:t>
            </w:r>
            <w:r>
              <w:rPr>
                <w:spacing w:val="-1"/>
              </w:rPr>
              <w:t>业部涉农贷款增值税政策的公</w:t>
            </w:r>
          </w:p>
          <w:p>
            <w:pPr>
              <w:pStyle w:val="TableText"/>
              <w:ind w:left="14"/>
              <w:spacing w:before="20" w:line="218" w:lineRule="auto"/>
              <w:rPr/>
            </w:pPr>
            <w:r>
              <w:rPr/>
              <w:t>告</w:t>
            </w:r>
          </w:p>
        </w:tc>
        <w:tc>
          <w:tcPr>
            <w:tcW w:w="889" w:type="dxa"/>
            <w:vAlign w:val="top"/>
          </w:tcPr>
          <w:p>
            <w:pPr>
              <w:pStyle w:val="TableText"/>
              <w:ind w:left="16" w:right="6" w:firstLine="50"/>
              <w:spacing w:before="100" w:line="232"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197" w:right="34" w:hanging="149"/>
              <w:spacing w:before="100" w:line="220" w:lineRule="auto"/>
              <w:rPr/>
            </w:pPr>
            <w:r>
              <w:rPr>
                <w:spacing w:val="1"/>
              </w:rPr>
              <w:t>中国邮政储</w:t>
            </w:r>
            <w:r>
              <w:rPr/>
              <w:t xml:space="preserve"> </w:t>
            </w:r>
            <w:r>
              <w:rPr>
                <w:spacing w:val="-3"/>
              </w:rPr>
              <w:t>蓄银行</w:t>
            </w:r>
          </w:p>
        </w:tc>
        <w:tc>
          <w:tcPr>
            <w:tcW w:w="1029" w:type="dxa"/>
            <w:vAlign w:val="top"/>
          </w:tcPr>
          <w:p>
            <w:pPr>
              <w:pStyle w:val="TableText"/>
              <w:ind w:left="289"/>
              <w:spacing w:before="80" w:line="219" w:lineRule="auto"/>
              <w:rPr/>
            </w:pPr>
            <w:r>
              <w:rPr>
                <w:spacing w:val="-2"/>
              </w:rPr>
              <w:t>增值税</w:t>
            </w:r>
          </w:p>
        </w:tc>
        <w:tc>
          <w:tcPr>
            <w:tcW w:w="464" w:type="dxa"/>
            <w:vAlign w:val="top"/>
          </w:tcPr>
          <w:p>
            <w:pPr>
              <w:pStyle w:val="TableText"/>
              <w:ind w:left="80"/>
              <w:spacing w:before="80" w:line="219" w:lineRule="auto"/>
              <w:rPr/>
            </w:pPr>
            <w:r>
              <w:rPr>
                <w:spacing w:val="-2"/>
              </w:rPr>
              <w:t>减征</w:t>
            </w:r>
          </w:p>
        </w:tc>
      </w:tr>
      <w:tr>
        <w:trPr>
          <w:trHeight w:val="918" w:hRule="atLeast"/>
        </w:trPr>
        <w:tc>
          <w:tcPr>
            <w:tcW w:w="284" w:type="dxa"/>
            <w:vAlign w:val="top"/>
          </w:tcPr>
          <w:p>
            <w:pPr>
              <w:spacing w:line="378" w:lineRule="auto"/>
              <w:rPr>
                <w:rFonts w:ascii="Arial"/>
                <w:sz w:val="21"/>
              </w:rPr>
            </w:pPr>
            <w:r/>
          </w:p>
          <w:p>
            <w:pPr>
              <w:pStyle w:val="TableText"/>
              <w:ind w:left="55"/>
              <w:spacing w:before="49" w:line="184" w:lineRule="auto"/>
              <w:rPr/>
            </w:pPr>
            <w:r>
              <w:rPr>
                <w:spacing w:val="-5"/>
              </w:rPr>
              <w:t>19</w:t>
            </w:r>
          </w:p>
        </w:tc>
        <w:tc>
          <w:tcPr>
            <w:tcW w:w="3956" w:type="dxa"/>
            <w:vAlign w:val="top"/>
          </w:tcPr>
          <w:p>
            <w:pPr>
              <w:pStyle w:val="TableText"/>
              <w:ind w:left="21" w:right="20" w:firstLine="20"/>
              <w:spacing w:before="112" w:line="239" w:lineRule="auto"/>
              <w:jc w:val="both"/>
              <w:rPr/>
            </w:pPr>
            <w:r>
              <w:rPr>
                <w:spacing w:val="-1"/>
              </w:rPr>
              <w:t>一、对金融机构向农户发放小额贷款取得的利息收入，免征</w:t>
            </w:r>
            <w:r>
              <w:rPr>
                <w:spacing w:val="9"/>
              </w:rPr>
              <w:t xml:space="preserve"> </w:t>
            </w:r>
            <w:r>
              <w:rPr>
                <w:spacing w:val="-1"/>
              </w:rPr>
              <w:t>增值税。金融机构应将相关免税证明材料留存备查，单独核</w:t>
            </w:r>
            <w:r>
              <w:rPr>
                <w:spacing w:val="18"/>
              </w:rPr>
              <w:t xml:space="preserve"> </w:t>
            </w:r>
            <w:r>
              <w:rPr>
                <w:spacing w:val="-1"/>
              </w:rPr>
              <w:t>算符合免税条件的小额贷款利息收入，按现行规定向主管税</w:t>
            </w:r>
            <w:r>
              <w:rPr>
                <w:spacing w:val="17"/>
              </w:rPr>
              <w:t xml:space="preserve"> </w:t>
            </w:r>
            <w:r>
              <w:rPr/>
              <w:t>务机关办理纳税申报；未单独核算的，不得免征增值税</w:t>
            </w:r>
          </w:p>
        </w:tc>
        <w:tc>
          <w:tcPr>
            <w:tcW w:w="2158" w:type="dxa"/>
            <w:vAlign w:val="top"/>
          </w:tcPr>
          <w:p>
            <w:pPr>
              <w:pStyle w:val="TableText"/>
              <w:ind w:left="34" w:right="29" w:hanging="10"/>
              <w:spacing w:before="112" w:line="232" w:lineRule="auto"/>
              <w:rPr/>
            </w:pPr>
            <w:r>
              <w:rPr>
                <w:spacing w:val="-1"/>
              </w:rPr>
              <w:t>财政部、税务总局关于延续实施</w:t>
            </w:r>
            <w:r>
              <w:rPr>
                <w:spacing w:val="6"/>
              </w:rPr>
              <w:t xml:space="preserve"> </w:t>
            </w:r>
            <w:r>
              <w:rPr>
                <w:spacing w:val="4"/>
              </w:rPr>
              <w:t>金融机构农户贷款利息收入免</w:t>
            </w:r>
            <w:r>
              <w:rPr/>
              <w:t xml:space="preserve">  </w:t>
            </w:r>
            <w:r>
              <w:rPr>
                <w:spacing w:val="-1"/>
              </w:rPr>
              <w:t>征增值税政策的公告</w:t>
            </w:r>
          </w:p>
        </w:tc>
        <w:tc>
          <w:tcPr>
            <w:tcW w:w="889" w:type="dxa"/>
            <w:vAlign w:val="top"/>
          </w:tcPr>
          <w:p>
            <w:pPr>
              <w:pStyle w:val="TableText"/>
              <w:ind w:left="16" w:right="6" w:firstLine="50"/>
              <w:spacing w:before="113" w:line="232"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117"/>
              <w:spacing w:before="111" w:line="219" w:lineRule="auto"/>
              <w:rPr/>
            </w:pPr>
            <w:r>
              <w:rPr>
                <w:spacing w:val="-2"/>
              </w:rPr>
              <w:t>金融机构</w:t>
            </w:r>
          </w:p>
        </w:tc>
        <w:tc>
          <w:tcPr>
            <w:tcW w:w="1029" w:type="dxa"/>
            <w:vAlign w:val="top"/>
          </w:tcPr>
          <w:p>
            <w:pPr>
              <w:pStyle w:val="TableText"/>
              <w:ind w:left="289"/>
              <w:spacing w:before="92" w:line="219" w:lineRule="auto"/>
              <w:rPr/>
            </w:pPr>
            <w:r>
              <w:rPr>
                <w:spacing w:val="-2"/>
              </w:rPr>
              <w:t>增值税</w:t>
            </w:r>
          </w:p>
        </w:tc>
        <w:tc>
          <w:tcPr>
            <w:tcW w:w="464" w:type="dxa"/>
            <w:vAlign w:val="top"/>
          </w:tcPr>
          <w:p>
            <w:pPr>
              <w:pStyle w:val="TableText"/>
              <w:ind w:left="80"/>
              <w:spacing w:before="102" w:line="219" w:lineRule="auto"/>
              <w:rPr/>
            </w:pPr>
            <w:r>
              <w:rPr>
                <w:spacing w:val="-3"/>
              </w:rPr>
              <w:t>免征</w:t>
            </w:r>
          </w:p>
        </w:tc>
      </w:tr>
      <w:tr>
        <w:trPr>
          <w:trHeight w:val="1912" w:hRule="atLeast"/>
        </w:trPr>
        <w:tc>
          <w:tcPr>
            <w:tcW w:w="284"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pStyle w:val="TableText"/>
              <w:ind w:left="55"/>
              <w:spacing w:before="49" w:line="183" w:lineRule="auto"/>
              <w:rPr/>
            </w:pPr>
            <w:r>
              <w:rPr>
                <w:spacing w:val="-2"/>
              </w:rPr>
              <w:t>20</w:t>
            </w:r>
          </w:p>
        </w:tc>
        <w:tc>
          <w:tcPr>
            <w:tcW w:w="3956" w:type="dxa"/>
            <w:vAlign w:val="top"/>
          </w:tcPr>
          <w:p>
            <w:pPr>
              <w:pStyle w:val="TableText"/>
              <w:ind w:left="31"/>
              <w:spacing w:before="93" w:line="219" w:lineRule="auto"/>
              <w:rPr/>
            </w:pPr>
            <w:r>
              <w:rPr/>
              <w:t>一、医疗机构接受其他医疗机构委托，按照不高于地(</w:t>
            </w:r>
            <w:r>
              <w:rPr>
                <w:spacing w:val="-1"/>
              </w:rPr>
              <w:t>市)</w:t>
            </w:r>
          </w:p>
          <w:p>
            <w:pPr>
              <w:pStyle w:val="TableText"/>
              <w:ind w:left="11" w:firstLine="20"/>
              <w:spacing w:before="41" w:line="236" w:lineRule="auto"/>
              <w:rPr/>
            </w:pPr>
            <w:r>
              <w:rPr/>
              <w:t>级以上价格主管部门会同同级卫生主管部门及其他相关部门</w:t>
            </w:r>
            <w:r>
              <w:rPr>
                <w:spacing w:val="13"/>
              </w:rPr>
              <w:t xml:space="preserve"> </w:t>
            </w:r>
            <w:r>
              <w:rPr>
                <w:spacing w:val="-1"/>
              </w:rPr>
              <w:t>制定的医疗服务指导价格(包括政府指导价和按照规定由供  </w:t>
            </w:r>
            <w:r>
              <w:rPr>
                <w:spacing w:val="1"/>
              </w:rPr>
              <w:t>需双方协商确定的价格等),提供《全国医疗服务价格项目</w:t>
            </w:r>
          </w:p>
          <w:p>
            <w:pPr>
              <w:pStyle w:val="TableText"/>
              <w:ind w:left="21"/>
              <w:spacing w:before="26" w:line="219" w:lineRule="auto"/>
              <w:rPr/>
            </w:pPr>
            <w:r>
              <w:rPr>
                <w:spacing w:val="-1"/>
              </w:rPr>
              <w:t>规范》所列的各项服务，可适用《营业税改征增值税试点过</w:t>
            </w:r>
          </w:p>
          <w:p>
            <w:pPr>
              <w:pStyle w:val="TableText"/>
              <w:ind w:left="21" w:right="470" w:firstLine="10"/>
              <w:spacing w:before="11" w:line="233" w:lineRule="auto"/>
              <w:rPr/>
            </w:pPr>
            <w:r>
              <w:rPr/>
              <w:t>渡政策的规定》(财税〔2016〕36号)第</w:t>
            </w:r>
            <w:r>
              <w:rPr>
                <w:spacing w:val="-1"/>
              </w:rPr>
              <w:t>一条第(七)项</w:t>
            </w:r>
            <w:r>
              <w:rPr/>
              <w:t xml:space="preserve"> </w:t>
            </w:r>
            <w:r>
              <w:rPr>
                <w:spacing w:val="-1"/>
              </w:rPr>
              <w:t>规定的免征增值税政策。</w:t>
            </w:r>
          </w:p>
          <w:p>
            <w:pPr>
              <w:pStyle w:val="TableText"/>
              <w:ind w:left="21" w:right="183"/>
              <w:spacing w:before="11" w:line="245" w:lineRule="auto"/>
              <w:rPr/>
            </w:pPr>
            <w:r>
              <w:rPr>
                <w:spacing w:val="-1"/>
              </w:rPr>
              <w:t>二、对企业集团内单位(含企业集团)之间的资金无偿借贷</w:t>
            </w:r>
            <w:r>
              <w:rPr>
                <w:spacing w:val="16"/>
              </w:rPr>
              <w:t xml:space="preserve"> </w:t>
            </w:r>
            <w:r>
              <w:rPr>
                <w:spacing w:val="-1"/>
              </w:rPr>
              <w:t>行为，免征增值税</w:t>
            </w:r>
          </w:p>
        </w:tc>
        <w:tc>
          <w:tcPr>
            <w:tcW w:w="2158" w:type="dxa"/>
            <w:vAlign w:val="top"/>
          </w:tcPr>
          <w:p>
            <w:pPr>
              <w:pStyle w:val="TableText"/>
              <w:ind w:left="94" w:right="29" w:hanging="70"/>
              <w:spacing w:before="113" w:line="233" w:lineRule="auto"/>
              <w:rPr/>
            </w:pPr>
            <w:r>
              <w:rPr>
                <w:spacing w:val="-1"/>
              </w:rPr>
              <w:t>财政部、税务总局关于延续实施</w:t>
            </w:r>
            <w:r>
              <w:rPr>
                <w:spacing w:val="6"/>
              </w:rPr>
              <w:t xml:space="preserve"> </w:t>
            </w:r>
            <w:r>
              <w:rPr/>
              <w:t>医疗服务免征增值税等政策的</w:t>
            </w:r>
          </w:p>
          <w:p>
            <w:pPr>
              <w:pStyle w:val="TableText"/>
              <w:ind w:left="14"/>
              <w:spacing w:line="218" w:lineRule="auto"/>
              <w:rPr/>
            </w:pPr>
            <w:r>
              <w:rPr>
                <w:spacing w:val="5"/>
              </w:rPr>
              <w:t>公告</w:t>
            </w:r>
          </w:p>
        </w:tc>
        <w:tc>
          <w:tcPr>
            <w:tcW w:w="889" w:type="dxa"/>
            <w:vAlign w:val="top"/>
          </w:tcPr>
          <w:p>
            <w:pPr>
              <w:pStyle w:val="TableText"/>
              <w:ind w:left="16" w:right="6" w:firstLine="50"/>
              <w:spacing w:before="104" w:line="228"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348" w:right="53" w:hanging="300"/>
              <w:spacing w:before="94" w:line="221" w:lineRule="auto"/>
              <w:rPr/>
            </w:pPr>
            <w:r>
              <w:rPr>
                <w:spacing w:val="-3"/>
              </w:rPr>
              <w:t>医疗服务机</w:t>
            </w:r>
            <w:r>
              <w:rPr>
                <w:spacing w:val="1"/>
              </w:rPr>
              <w:t xml:space="preserve"> </w:t>
            </w:r>
            <w:r>
              <w:rPr/>
              <w:t>构</w:t>
            </w:r>
          </w:p>
        </w:tc>
        <w:tc>
          <w:tcPr>
            <w:tcW w:w="1029" w:type="dxa"/>
            <w:vAlign w:val="top"/>
          </w:tcPr>
          <w:p>
            <w:pPr>
              <w:pStyle w:val="TableText"/>
              <w:ind w:left="289"/>
              <w:spacing w:before="84" w:line="219" w:lineRule="auto"/>
              <w:rPr/>
            </w:pPr>
            <w:r>
              <w:rPr>
                <w:spacing w:val="-2"/>
              </w:rPr>
              <w:t>增值税</w:t>
            </w:r>
          </w:p>
        </w:tc>
        <w:tc>
          <w:tcPr>
            <w:tcW w:w="464" w:type="dxa"/>
            <w:vAlign w:val="top"/>
          </w:tcPr>
          <w:p>
            <w:pPr>
              <w:pStyle w:val="TableText"/>
              <w:ind w:left="80"/>
              <w:spacing w:before="84" w:line="219" w:lineRule="auto"/>
              <w:rPr/>
            </w:pPr>
            <w:r>
              <w:rPr>
                <w:spacing w:val="-3"/>
              </w:rPr>
              <w:t>免征</w:t>
            </w:r>
          </w:p>
        </w:tc>
      </w:tr>
    </w:tbl>
    <w:p>
      <w:pPr>
        <w:pStyle w:val="BodyText"/>
        <w:rPr/>
      </w:pPr>
      <w:r/>
    </w:p>
    <w:p>
      <w:pPr>
        <w:sectPr>
          <w:pgSz w:w="11910" w:h="8220"/>
          <w:pgMar w:top="400" w:right="1145" w:bottom="400" w:left="809" w:header="0" w:footer="0" w:gutter="0"/>
        </w:sectPr>
        <w:rPr/>
      </w:pPr>
    </w:p>
    <w:p>
      <w:pPr>
        <w:spacing w:before="51"/>
        <w:rPr/>
      </w:pPr>
      <w:r>
        <w:drawing>
          <wp:anchor distT="0" distB="0" distL="0" distR="0" simplePos="0" relativeHeight="251678720"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16" name="IM 16"/>
            <wp:cNvGraphicFramePr/>
            <a:graphic>
              <a:graphicData uri="http://schemas.openxmlformats.org/drawingml/2006/picture">
                <pic:pic>
                  <pic:nvPicPr>
                    <pic:cNvPr id="16" name="IM 16"/>
                    <pic:cNvPicPr/>
                  </pic:nvPicPr>
                  <pic:blipFill>
                    <a:blip r:embed="rId10"/>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38"/>
        <w:gridCol w:w="889"/>
        <w:gridCol w:w="879"/>
        <w:gridCol w:w="1009"/>
        <w:gridCol w:w="46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700"/>
              <w:spacing w:before="171" w:line="219" w:lineRule="auto"/>
              <w:rPr/>
            </w:pPr>
            <w:r>
              <w:rPr>
                <w:spacing w:val="-2"/>
              </w:rPr>
              <w:t>主要内容</w:t>
            </w:r>
          </w:p>
        </w:tc>
        <w:tc>
          <w:tcPr>
            <w:tcW w:w="2138" w:type="dxa"/>
            <w:vAlign w:val="top"/>
          </w:tcPr>
          <w:p>
            <w:pPr>
              <w:pStyle w:val="TableText"/>
              <w:ind w:left="76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79" w:type="dxa"/>
            <w:vAlign w:val="top"/>
          </w:tcPr>
          <w:p>
            <w:pPr>
              <w:pStyle w:val="TableText"/>
              <w:ind w:left="287" w:right="143" w:hanging="150"/>
              <w:spacing w:before="7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4832" w:hRule="atLeast"/>
        </w:trPr>
        <w:tc>
          <w:tcPr>
            <w:tcW w:w="294"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65"/>
              <w:spacing w:before="49" w:line="184" w:lineRule="auto"/>
              <w:rPr/>
            </w:pPr>
            <w:r>
              <w:rPr>
                <w:spacing w:val="-2"/>
              </w:rPr>
              <w:t>21</w:t>
            </w:r>
          </w:p>
        </w:tc>
        <w:tc>
          <w:tcPr>
            <w:tcW w:w="3966" w:type="dxa"/>
            <w:vAlign w:val="top"/>
          </w:tcPr>
          <w:p>
            <w:pPr>
              <w:pStyle w:val="TableText"/>
              <w:ind w:left="31"/>
              <w:spacing w:before="67" w:line="219" w:lineRule="auto"/>
              <w:rPr/>
            </w:pPr>
            <w:r>
              <w:rPr>
                <w:spacing w:val="-1"/>
              </w:rPr>
              <w:t>一、自2023年1月1日至2023年12月31日，对月销售额</w:t>
            </w:r>
          </w:p>
          <w:p>
            <w:pPr>
              <w:pStyle w:val="TableText"/>
              <w:ind w:left="51"/>
              <w:spacing w:before="31" w:line="219" w:lineRule="auto"/>
              <w:rPr/>
            </w:pPr>
            <w:r>
              <w:rPr/>
              <w:t>10万元以下(含本数)的增值税小规模纳税人</w:t>
            </w:r>
            <w:r>
              <w:rPr>
                <w:spacing w:val="-1"/>
              </w:rPr>
              <w:t>，免征增值税。</w:t>
            </w:r>
          </w:p>
          <w:p>
            <w:pPr>
              <w:pStyle w:val="TableText"/>
              <w:ind w:left="61"/>
              <w:spacing w:before="13" w:line="219" w:lineRule="auto"/>
              <w:rPr/>
            </w:pPr>
            <w:r>
              <w:rPr/>
              <w:t>二、自2023年1月1日至2023年12月</w:t>
            </w:r>
            <w:r>
              <w:rPr>
                <w:spacing w:val="-1"/>
              </w:rPr>
              <w:t>31日，增值税小规</w:t>
            </w:r>
          </w:p>
          <w:p>
            <w:pPr>
              <w:pStyle w:val="TableText"/>
              <w:ind w:left="31" w:right="310" w:firstLine="20"/>
              <w:spacing w:before="42" w:line="233" w:lineRule="auto"/>
              <w:rPr/>
            </w:pPr>
            <w:r>
              <w:rPr/>
              <w:t>模纳税人适用3%征收率的应税销售收入，</w:t>
            </w:r>
            <w:r>
              <w:rPr>
                <w:spacing w:val="-1"/>
              </w:rPr>
              <w:t>减按1%征收率</w:t>
            </w:r>
            <w:r>
              <w:rPr/>
              <w:t xml:space="preserve"> </w:t>
            </w:r>
            <w:r>
              <w:rPr>
                <w:spacing w:val="-1"/>
              </w:rPr>
              <w:t>征收增值税；适用3%预征率的预缴增值税项目，减按1%</w:t>
            </w:r>
            <w:r>
              <w:rPr>
                <w:spacing w:val="17"/>
              </w:rPr>
              <w:t xml:space="preserve"> </w:t>
            </w:r>
            <w:r>
              <w:rPr>
                <w:spacing w:val="-1"/>
              </w:rPr>
              <w:t>预征率预缴增值税</w:t>
            </w:r>
          </w:p>
          <w:p>
            <w:pPr>
              <w:pStyle w:val="TableText"/>
              <w:ind w:left="31" w:right="450" w:firstLine="30"/>
              <w:spacing w:before="11" w:line="239" w:lineRule="auto"/>
              <w:rPr/>
            </w:pPr>
            <w:r>
              <w:rPr/>
              <w:t>三、自2023年1月1日至2023年12月31</w:t>
            </w:r>
            <w:r>
              <w:rPr>
                <w:spacing w:val="-1"/>
              </w:rPr>
              <w:t>日，增值税加计</w:t>
            </w:r>
            <w:r>
              <w:rPr/>
              <w:t xml:space="preserve"> </w:t>
            </w:r>
            <w:r>
              <w:rPr>
                <w:spacing w:val="-1"/>
              </w:rPr>
              <w:t>抵减政策按照以下规定执行</w:t>
            </w:r>
          </w:p>
          <w:p>
            <w:pPr>
              <w:pStyle w:val="TableText"/>
              <w:ind w:left="51" w:right="93" w:firstLine="49"/>
              <w:spacing w:before="12" w:line="238" w:lineRule="auto"/>
              <w:rPr/>
            </w:pPr>
            <w:r>
              <w:rPr/>
              <w:t>(一)允许生产性服务业纳税人按照当期可抵扣进项税额加</w:t>
            </w:r>
            <w:r>
              <w:rPr>
                <w:spacing w:val="10"/>
              </w:rPr>
              <w:t xml:space="preserve"> </w:t>
            </w:r>
            <w:r>
              <w:rPr/>
              <w:t>计5%抵减应纳税额。生产性服务业纳税人</w:t>
            </w:r>
            <w:r>
              <w:rPr>
                <w:spacing w:val="-1"/>
              </w:rPr>
              <w:t>，是指提供邮政</w:t>
            </w:r>
          </w:p>
          <w:p>
            <w:pPr>
              <w:pStyle w:val="TableText"/>
              <w:ind w:left="41" w:right="10" w:firstLine="10"/>
              <w:spacing w:before="22" w:line="227" w:lineRule="auto"/>
              <w:rPr/>
            </w:pPr>
            <w:r>
              <w:rPr/>
              <w:t>服务、电信服务、现代服务、生活服务取得</w:t>
            </w:r>
            <w:r>
              <w:rPr>
                <w:spacing w:val="-1"/>
              </w:rPr>
              <w:t>的销售额占全部</w:t>
            </w:r>
            <w:r>
              <w:rPr/>
              <w:t xml:space="preserve"> </w:t>
            </w:r>
            <w:r>
              <w:rPr>
                <w:spacing w:val="-1"/>
              </w:rPr>
              <w:t>销售额的比重超过50%的纳税人</w:t>
            </w:r>
          </w:p>
          <w:p>
            <w:pPr>
              <w:pStyle w:val="TableText"/>
              <w:ind w:left="41" w:right="93" w:firstLine="59"/>
              <w:spacing w:before="12" w:line="245" w:lineRule="auto"/>
              <w:rPr/>
            </w:pPr>
            <w:r>
              <w:rPr/>
              <w:t>(二)允许生活性服务业纳税人按照当期可抵扣进项税额加</w:t>
            </w:r>
            <w:r>
              <w:rPr>
                <w:spacing w:val="10"/>
              </w:rPr>
              <w:t xml:space="preserve"> </w:t>
            </w:r>
            <w:r>
              <w:rPr/>
              <w:t>计10%抵减应纳税额。生活性服务业纳税人，是指提供生</w:t>
            </w:r>
            <w:r>
              <w:rPr>
                <w:spacing w:val="4"/>
              </w:rPr>
              <w:t xml:space="preserve">   </w:t>
            </w:r>
            <w:r>
              <w:rPr>
                <w:spacing w:val="-1"/>
              </w:rPr>
              <w:t>活服务取得的销售额占全部销售额的比重超过50%的纳税</w:t>
            </w:r>
          </w:p>
          <w:p>
            <w:pPr>
              <w:pStyle w:val="TableText"/>
              <w:ind w:left="11"/>
              <w:spacing w:before="4" w:line="222" w:lineRule="auto"/>
              <w:rPr/>
            </w:pPr>
            <w:r>
              <w:rPr>
                <w:spacing w:val="-2"/>
              </w:rPr>
              <w:t>人。</w:t>
            </w:r>
          </w:p>
          <w:p>
            <w:pPr>
              <w:pStyle w:val="TableText"/>
              <w:ind w:left="51" w:right="99" w:firstLine="49"/>
              <w:spacing w:before="28" w:line="232" w:lineRule="auto"/>
              <w:rPr/>
            </w:pPr>
            <w:r>
              <w:rPr/>
              <w:t>(三)纳税人适用加计抵减政策的其他有关事项，按照《财</w:t>
            </w:r>
            <w:r>
              <w:rPr>
                <w:spacing w:val="4"/>
              </w:rPr>
              <w:t xml:space="preserve"> </w:t>
            </w:r>
            <w:r>
              <w:rPr/>
              <w:t>政部税务总局海关总署关于深化增值税改革有关政策的公 </w:t>
            </w:r>
            <w:r>
              <w:rPr>
                <w:spacing w:val="3"/>
              </w:rPr>
              <w:t>告》(财政部税务总局海关总署公告201</w:t>
            </w:r>
            <w:r>
              <w:rPr>
                <w:spacing w:val="2"/>
              </w:rPr>
              <w:t>9年第39号)、</w:t>
            </w:r>
          </w:p>
          <w:p>
            <w:pPr>
              <w:pStyle w:val="TableText"/>
              <w:ind w:left="40" w:right="194" w:hanging="15"/>
              <w:spacing w:before="23" w:line="238" w:lineRule="auto"/>
              <w:rPr/>
            </w:pPr>
            <w:r>
              <w:rPr>
                <w:spacing w:val="-1"/>
              </w:rPr>
              <w:t>《财政部税务总局关于明确生活性服务业增值税加计抵减</w:t>
            </w:r>
            <w:r>
              <w:rPr>
                <w:spacing w:val="9"/>
              </w:rPr>
              <w:t xml:space="preserve"> </w:t>
            </w:r>
            <w:r>
              <w:rPr/>
              <w:t>政策的公告》(财政部税务总局公告2019</w:t>
            </w:r>
            <w:r>
              <w:rPr>
                <w:spacing w:val="-1"/>
              </w:rPr>
              <w:t>年第87号)等</w:t>
            </w:r>
          </w:p>
          <w:p>
            <w:pPr>
              <w:pStyle w:val="TableText"/>
              <w:ind w:left="31"/>
              <w:spacing w:before="4" w:line="219" w:lineRule="auto"/>
              <w:rPr/>
            </w:pPr>
            <w:r>
              <w:rPr>
                <w:spacing w:val="-1"/>
              </w:rPr>
              <w:t>有关规定执行。</w:t>
            </w:r>
          </w:p>
          <w:p>
            <w:pPr>
              <w:pStyle w:val="TableText"/>
              <w:ind w:left="60" w:hanging="9"/>
              <w:spacing w:before="31" w:line="225" w:lineRule="auto"/>
              <w:rPr/>
            </w:pPr>
            <w:r>
              <w:rPr>
                <w:spacing w:val="-3"/>
              </w:rPr>
              <w:t>四、按照本公告规定，应予减免的增值税，在本公告下发前</w:t>
            </w:r>
            <w:r>
              <w:rPr>
                <w:spacing w:val="7"/>
              </w:rPr>
              <w:t xml:space="preserve">  </w:t>
            </w:r>
            <w:r>
              <w:rPr>
                <w:spacing w:val="-6"/>
              </w:rPr>
              <w:t>已征收的，可抵减纳税人以后纳税期应缴纳税款或予以退还。</w:t>
            </w:r>
          </w:p>
        </w:tc>
        <w:tc>
          <w:tcPr>
            <w:tcW w:w="2138" w:type="dxa"/>
            <w:vAlign w:val="top"/>
          </w:tcPr>
          <w:p>
            <w:pPr>
              <w:pStyle w:val="TableText"/>
              <w:ind w:left="14" w:right="99" w:firstLine="70"/>
              <w:spacing w:before="75" w:line="223" w:lineRule="auto"/>
              <w:rPr/>
            </w:pPr>
            <w:r>
              <w:rPr>
                <w:spacing w:val="-1"/>
              </w:rPr>
              <w:t>财政部税务总局公告2023年第</w:t>
            </w:r>
            <w:r>
              <w:rPr>
                <w:spacing w:val="7"/>
              </w:rPr>
              <w:t xml:space="preserve"> </w:t>
            </w:r>
            <w:r>
              <w:rPr>
                <w:spacing w:val="2"/>
              </w:rPr>
              <w:t>1号</w:t>
            </w:r>
          </w:p>
        </w:tc>
        <w:tc>
          <w:tcPr>
            <w:tcW w:w="889" w:type="dxa"/>
            <w:vAlign w:val="top"/>
          </w:tcPr>
          <w:p>
            <w:pPr>
              <w:pStyle w:val="TableText"/>
              <w:ind w:left="16"/>
              <w:spacing w:before="77" w:line="242" w:lineRule="auto"/>
              <w:jc w:val="both"/>
              <w:rPr/>
            </w:pPr>
            <w:r>
              <w:rPr>
                <w:spacing w:val="17"/>
                <w:w w:val="110"/>
              </w:rPr>
              <w:t>2023年1月</w:t>
            </w:r>
            <w:r>
              <w:rPr/>
              <w:t xml:space="preserve"> </w:t>
            </w:r>
            <w:r>
              <w:rPr>
                <w:spacing w:val="5"/>
              </w:rPr>
              <w:t>1日</w:t>
            </w:r>
            <w:r>
              <w:rPr>
                <w:spacing w:val="15"/>
              </w:rPr>
              <w:t xml:space="preserve"> </w:t>
            </w:r>
            <w:r>
              <w:rPr>
                <w:spacing w:val="5"/>
              </w:rPr>
              <w:t>至2023</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79" w:type="dxa"/>
            <w:vAlign w:val="top"/>
          </w:tcPr>
          <w:p>
            <w:pPr>
              <w:pStyle w:val="TableText"/>
              <w:ind w:left="358" w:right="70" w:hanging="300"/>
              <w:spacing w:before="77" w:line="223" w:lineRule="auto"/>
              <w:rPr/>
            </w:pPr>
            <w:r>
              <w:rPr>
                <w:spacing w:val="-2"/>
              </w:rPr>
              <w:t>小规模纳税</w:t>
            </w:r>
            <w:r>
              <w:rPr/>
              <w:t xml:space="preserve"> </w:t>
            </w:r>
            <w:r>
              <w:rPr/>
              <w:t>人</w:t>
            </w:r>
          </w:p>
        </w:tc>
        <w:tc>
          <w:tcPr>
            <w:tcW w:w="1009" w:type="dxa"/>
            <w:vAlign w:val="top"/>
          </w:tcPr>
          <w:p>
            <w:pPr>
              <w:pStyle w:val="TableText"/>
              <w:ind w:left="279"/>
              <w:spacing w:before="57" w:line="219" w:lineRule="auto"/>
              <w:rPr/>
            </w:pPr>
            <w:r>
              <w:rPr>
                <w:spacing w:val="-2"/>
              </w:rPr>
              <w:t>增值税</w:t>
            </w:r>
          </w:p>
        </w:tc>
        <w:tc>
          <w:tcPr>
            <w:tcW w:w="464" w:type="dxa"/>
            <w:vAlign w:val="top"/>
          </w:tcPr>
          <w:p>
            <w:pPr>
              <w:pStyle w:val="TableText"/>
              <w:ind w:left="70" w:hanging="51"/>
              <w:spacing w:before="66" w:line="227" w:lineRule="auto"/>
              <w:rPr/>
            </w:pPr>
            <w:r>
              <w:rPr>
                <w:spacing w:val="-17"/>
              </w:rPr>
              <w:t>免征</w:t>
            </w:r>
            <w:r>
              <w:rPr>
                <w:spacing w:val="-41"/>
              </w:rPr>
              <w:t xml:space="preserve"> </w:t>
            </w:r>
            <w:r>
              <w:rPr>
                <w:spacing w:val="-17"/>
              </w:rPr>
              <w:t>、</w:t>
            </w:r>
            <w:r>
              <w:rPr/>
              <w:t xml:space="preserve"> </w:t>
            </w:r>
            <w:r>
              <w:rPr>
                <w:spacing w:val="-12"/>
              </w:rPr>
              <w:t>减征</w:t>
            </w:r>
          </w:p>
        </w:tc>
      </w:tr>
      <w:tr>
        <w:trPr>
          <w:trHeight w:val="863" w:hRule="atLeast"/>
        </w:trPr>
        <w:tc>
          <w:tcPr>
            <w:tcW w:w="294" w:type="dxa"/>
            <w:vAlign w:val="top"/>
          </w:tcPr>
          <w:p>
            <w:pPr>
              <w:spacing w:line="352" w:lineRule="auto"/>
              <w:rPr>
                <w:rFonts w:ascii="Arial"/>
                <w:sz w:val="21"/>
              </w:rPr>
            </w:pPr>
            <w:r/>
          </w:p>
          <w:p>
            <w:pPr>
              <w:pStyle w:val="TableText"/>
              <w:ind w:left="65"/>
              <w:spacing w:before="49" w:line="183" w:lineRule="auto"/>
              <w:rPr/>
            </w:pPr>
            <w:r>
              <w:rPr>
                <w:spacing w:val="-2"/>
              </w:rPr>
              <w:t>22</w:t>
            </w:r>
          </w:p>
        </w:tc>
        <w:tc>
          <w:tcPr>
            <w:tcW w:w="3966" w:type="dxa"/>
            <w:vAlign w:val="top"/>
          </w:tcPr>
          <w:p>
            <w:pPr>
              <w:pStyle w:val="TableText"/>
              <w:ind w:left="51"/>
              <w:spacing w:before="65" w:line="219" w:lineRule="auto"/>
              <w:rPr/>
            </w:pPr>
            <w:r>
              <w:rPr>
                <w:spacing w:val="-1"/>
              </w:rPr>
              <w:t>一、增值税小规模纳税人适用3%征收率应税销售收入免征</w:t>
            </w:r>
          </w:p>
          <w:p>
            <w:pPr>
              <w:pStyle w:val="TableText"/>
              <w:ind w:left="51" w:right="21" w:hanging="10"/>
              <w:spacing w:before="41" w:line="227" w:lineRule="auto"/>
              <w:rPr/>
            </w:pPr>
            <w:r>
              <w:rPr>
                <w:spacing w:val="-1"/>
              </w:rPr>
              <w:t>增值税的，应按规定开具免税普通发票。纳税人选择放弃免</w:t>
            </w:r>
            <w:r>
              <w:rPr>
                <w:spacing w:val="18"/>
              </w:rPr>
              <w:t xml:space="preserve"> </w:t>
            </w:r>
            <w:r>
              <w:rPr/>
              <w:t>税并开具增值税专用发票的，应开具征收率</w:t>
            </w:r>
            <w:r>
              <w:rPr>
                <w:spacing w:val="-1"/>
              </w:rPr>
              <w:t>为3%的增值税</w:t>
            </w:r>
          </w:p>
          <w:p>
            <w:pPr>
              <w:pStyle w:val="TableText"/>
              <w:ind w:left="31"/>
              <w:spacing w:before="21" w:line="219" w:lineRule="auto"/>
              <w:rPr/>
            </w:pPr>
            <w:r>
              <w:rPr>
                <w:spacing w:val="-2"/>
              </w:rPr>
              <w:t>专用发票</w:t>
            </w:r>
          </w:p>
        </w:tc>
        <w:tc>
          <w:tcPr>
            <w:tcW w:w="2138" w:type="dxa"/>
            <w:vAlign w:val="top"/>
          </w:tcPr>
          <w:p>
            <w:pPr>
              <w:pStyle w:val="TableText"/>
              <w:ind w:left="34" w:right="6" w:hanging="20"/>
              <w:spacing w:before="95" w:line="228" w:lineRule="auto"/>
              <w:rPr/>
            </w:pPr>
            <w:r>
              <w:rPr/>
              <w:t>国家税务总局《关于小规模纳税</w:t>
            </w:r>
            <w:r>
              <w:rPr>
                <w:spacing w:val="5"/>
              </w:rPr>
              <w:t xml:space="preserve"> </w:t>
            </w:r>
            <w:r>
              <w:rPr>
                <w:spacing w:val="3"/>
              </w:rPr>
              <w:t>人免征增值税等征收管理事项</w:t>
            </w:r>
            <w:r>
              <w:rPr>
                <w:spacing w:val="1"/>
              </w:rPr>
              <w:t xml:space="preserve">  </w:t>
            </w:r>
            <w:r>
              <w:rPr/>
              <w:t>的公告》2022年第6号公告</w:t>
            </w:r>
          </w:p>
        </w:tc>
        <w:tc>
          <w:tcPr>
            <w:tcW w:w="889" w:type="dxa"/>
            <w:vAlign w:val="top"/>
          </w:tcPr>
          <w:p>
            <w:pPr>
              <w:pStyle w:val="TableText"/>
              <w:ind w:left="25" w:hanging="9"/>
              <w:spacing w:before="74"/>
              <w:rPr/>
            </w:pPr>
            <w:r>
              <w:rPr>
                <w:spacing w:val="14"/>
                <w:w w:val="113"/>
              </w:rPr>
              <w:t>2022年4月</w:t>
            </w:r>
            <w:r>
              <w:rPr/>
              <w:t xml:space="preserve"> </w:t>
            </w:r>
            <w:r>
              <w:rPr>
                <w:spacing w:val="-5"/>
              </w:rPr>
              <w:t>1日起</w:t>
            </w:r>
          </w:p>
        </w:tc>
        <w:tc>
          <w:tcPr>
            <w:tcW w:w="879" w:type="dxa"/>
            <w:vAlign w:val="top"/>
          </w:tcPr>
          <w:p>
            <w:pPr>
              <w:pStyle w:val="TableText"/>
              <w:ind w:left="358" w:right="70" w:hanging="300"/>
              <w:spacing w:before="74" w:line="242" w:lineRule="auto"/>
              <w:rPr/>
            </w:pPr>
            <w:r>
              <w:rPr>
                <w:spacing w:val="-2"/>
              </w:rPr>
              <w:t>小规模纳税</w:t>
            </w:r>
            <w:r>
              <w:rPr/>
              <w:t xml:space="preserve"> </w:t>
            </w:r>
            <w:r>
              <w:rPr/>
              <w:t>人</w:t>
            </w:r>
          </w:p>
        </w:tc>
        <w:tc>
          <w:tcPr>
            <w:tcW w:w="1009" w:type="dxa"/>
            <w:vAlign w:val="top"/>
          </w:tcPr>
          <w:p>
            <w:pPr>
              <w:pStyle w:val="TableText"/>
              <w:ind w:left="279"/>
              <w:spacing w:before="55" w:line="219" w:lineRule="auto"/>
              <w:rPr/>
            </w:pPr>
            <w:r>
              <w:rPr>
                <w:spacing w:val="-2"/>
              </w:rPr>
              <w:t>增值税</w:t>
            </w:r>
          </w:p>
        </w:tc>
        <w:tc>
          <w:tcPr>
            <w:tcW w:w="464" w:type="dxa"/>
            <w:vAlign w:val="top"/>
          </w:tcPr>
          <w:p>
            <w:pPr>
              <w:pStyle w:val="TableText"/>
              <w:ind w:left="80"/>
              <w:spacing w:before="65" w:line="219" w:lineRule="auto"/>
              <w:rPr/>
            </w:pPr>
            <w:r>
              <w:rPr>
                <w:spacing w:val="-3"/>
              </w:rPr>
              <w:t>免征</w:t>
            </w:r>
          </w:p>
        </w:tc>
      </w:tr>
    </w:tbl>
    <w:p>
      <w:pPr>
        <w:pStyle w:val="BodyText"/>
        <w:rPr/>
      </w:pPr>
      <w:r/>
    </w:p>
    <w:p>
      <w:pPr>
        <w:sectPr>
          <w:pgSz w:w="11910" w:h="8220"/>
          <w:pgMar w:top="400" w:right="1145" w:bottom="400" w:left="809" w:header="0" w:footer="0" w:gutter="0"/>
        </w:sectPr>
        <w:rPr/>
      </w:pPr>
    </w:p>
    <w:p>
      <w:pPr>
        <w:spacing w:before="11"/>
        <w:rPr/>
      </w:pPr>
      <w:r>
        <w:pict>
          <v:shape id="_x0000_s22" style="position:absolute;margin-left:38.9997pt;margin-top:53.6704pt;mso-position-vertical-relative:page;mso-position-horizontal-relative:page;width:7pt;height:12.4pt;z-index:251679744;" o:allowincell="f" filled="false" stroked="false" type="#_x0000_t202">
            <v:fill on="false"/>
            <v:stroke on="false"/>
            <v:path/>
            <v:imagedata o:title=""/>
            <o:lock v:ext="edit" aspectratio="false"/>
            <v:textbox inset="0mm,0mm,0mm,0mm">
              <w:txbxContent>
                <w:p>
                  <w:pPr>
                    <w:ind w:left="20"/>
                    <w:spacing w:before="20" w:line="182" w:lineRule="auto"/>
                    <w:rPr>
                      <w:rFonts w:ascii="SimSun" w:hAnsi="SimSun" w:eastAsia="SimSun" w:cs="SimSun"/>
                      <w:sz w:val="21"/>
                      <w:szCs w:val="21"/>
                    </w:rPr>
                  </w:pPr>
                  <w:r>
                    <w:rPr>
                      <w:rFonts w:ascii="SimSun" w:hAnsi="SimSun" w:eastAsia="SimSun" w:cs="SimSun"/>
                      <w:sz w:val="21"/>
                      <w:szCs w:val="21"/>
                    </w:rPr>
                    <w:t>¥</w:t>
                  </w:r>
                </w:p>
              </w:txbxContent>
            </v:textbox>
          </v:shape>
        </w:pict>
      </w:r>
      <w:r/>
    </w:p>
    <w:p>
      <w:pPr>
        <w:spacing w:before="11"/>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76"/>
        <w:gridCol w:w="2128"/>
        <w:gridCol w:w="899"/>
        <w:gridCol w:w="849"/>
        <w:gridCol w:w="1029"/>
        <w:gridCol w:w="474"/>
      </w:tblGrid>
      <w:tr>
        <w:trPr>
          <w:trHeight w:val="514" w:hRule="atLeast"/>
        </w:trPr>
        <w:tc>
          <w:tcPr>
            <w:tcW w:w="29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64"/>
              <w:spacing w:before="180" w:line="219" w:lineRule="auto"/>
              <w:rPr/>
            </w:pPr>
            <w:r>
              <w:rPr>
                <w:spacing w:val="-1"/>
              </w:rPr>
              <w:t>政策依据</w:t>
            </w:r>
          </w:p>
        </w:tc>
        <w:tc>
          <w:tcPr>
            <w:tcW w:w="899" w:type="dxa"/>
            <w:vAlign w:val="top"/>
          </w:tcPr>
          <w:p>
            <w:pPr>
              <w:pStyle w:val="TableText"/>
              <w:ind w:left="147"/>
              <w:spacing w:before="181" w:line="219" w:lineRule="auto"/>
              <w:rPr/>
            </w:pPr>
            <w:r>
              <w:rPr>
                <w:spacing w:val="3"/>
              </w:rPr>
              <w:t>执行时间</w:t>
            </w:r>
          </w:p>
        </w:tc>
        <w:tc>
          <w:tcPr>
            <w:tcW w:w="849" w:type="dxa"/>
            <w:vAlign w:val="top"/>
          </w:tcPr>
          <w:p>
            <w:pPr>
              <w:pStyle w:val="TableText"/>
              <w:ind w:left="267" w:right="133" w:hanging="150"/>
              <w:spacing w:before="8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74" w:type="dxa"/>
            <w:vAlign w:val="top"/>
          </w:tcPr>
          <w:p>
            <w:pPr>
              <w:pStyle w:val="TableText"/>
              <w:ind w:left="80" w:right="89"/>
              <w:spacing w:before="71" w:line="246" w:lineRule="auto"/>
              <w:rPr/>
            </w:pPr>
            <w:r>
              <w:rPr>
                <w:spacing w:val="-3"/>
              </w:rPr>
              <w:t>政策</w:t>
            </w:r>
            <w:r>
              <w:rPr/>
              <w:t xml:space="preserve"> </w:t>
            </w:r>
            <w:r>
              <w:rPr>
                <w:spacing w:val="-4"/>
              </w:rPr>
              <w:t>形式</w:t>
            </w:r>
          </w:p>
        </w:tc>
      </w:tr>
      <w:tr>
        <w:trPr>
          <w:trHeight w:val="5835" w:hRule="atLeast"/>
        </w:trPr>
        <w:tc>
          <w:tcPr>
            <w:tcW w:w="294"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65"/>
              <w:spacing w:before="49" w:line="183" w:lineRule="auto"/>
              <w:rPr/>
            </w:pPr>
            <w:r>
              <w:rPr>
                <w:spacing w:val="-2"/>
              </w:rPr>
              <w:t>22</w:t>
            </w:r>
          </w:p>
        </w:tc>
        <w:tc>
          <w:tcPr>
            <w:tcW w:w="3976" w:type="dxa"/>
            <w:vAlign w:val="top"/>
          </w:tcPr>
          <w:p>
            <w:pPr>
              <w:pStyle w:val="TableText"/>
              <w:ind w:left="31" w:right="43"/>
              <w:spacing w:before="66" w:line="239" w:lineRule="auto"/>
              <w:rPr/>
            </w:pPr>
            <w:r>
              <w:rPr>
                <w:spacing w:val="-1"/>
              </w:rPr>
              <w:t>二、增值税小规模纳税人取得应税销售收入，纳税义务发生</w:t>
            </w:r>
            <w:r>
              <w:rPr>
                <w:spacing w:val="16"/>
              </w:rPr>
              <w:t xml:space="preserve"> </w:t>
            </w:r>
            <w:r>
              <w:rPr>
                <w:spacing w:val="-1"/>
              </w:rPr>
              <w:t>时间在2022年3月31日前，已按3%或者1%征收率开具</w:t>
            </w:r>
          </w:p>
          <w:p>
            <w:pPr>
              <w:pStyle w:val="TableText"/>
              <w:ind w:left="31" w:right="41"/>
              <w:spacing w:before="23" w:line="239" w:lineRule="auto"/>
              <w:jc w:val="both"/>
              <w:rPr/>
            </w:pPr>
            <w:r>
              <w:rPr>
                <w:spacing w:val="-1"/>
              </w:rPr>
              <w:t>增值税发票，发生销售折让、中止或者退回等情形需要开具</w:t>
            </w:r>
            <w:r>
              <w:rPr>
                <w:spacing w:val="18"/>
              </w:rPr>
              <w:t xml:space="preserve"> </w:t>
            </w:r>
            <w:r>
              <w:rPr>
                <w:spacing w:val="-1"/>
              </w:rPr>
              <w:t>红字发票的，应按照对应征收率开具红字发票；开票有误需</w:t>
            </w:r>
            <w:r>
              <w:rPr>
                <w:spacing w:val="15"/>
              </w:rPr>
              <w:t xml:space="preserve"> </w:t>
            </w:r>
            <w:r>
              <w:rPr>
                <w:spacing w:val="-1"/>
              </w:rPr>
              <w:t>要重新开具的，应按照对应征收率开具红字发票，再重新开</w:t>
            </w:r>
            <w:r>
              <w:rPr>
                <w:spacing w:val="18"/>
              </w:rPr>
              <w:t xml:space="preserve"> </w:t>
            </w:r>
            <w:r>
              <w:rPr>
                <w:spacing w:val="-1"/>
              </w:rPr>
              <w:t>具正确的蓝字发票。</w:t>
            </w:r>
          </w:p>
          <w:p>
            <w:pPr>
              <w:pStyle w:val="TableText"/>
              <w:ind w:left="31" w:right="4"/>
              <w:spacing w:before="11" w:line="239" w:lineRule="auto"/>
              <w:rPr/>
            </w:pPr>
            <w:r>
              <w:rPr>
                <w:spacing w:val="1"/>
              </w:rPr>
              <w:t>三、增值税小规模纳税人发生增值税应税销售行为，合计月</w:t>
            </w:r>
            <w:r>
              <w:rPr>
                <w:spacing w:val="3"/>
              </w:rPr>
              <w:t xml:space="preserve"> </w:t>
            </w:r>
            <w:r>
              <w:rPr>
                <w:spacing w:val="-1"/>
              </w:rPr>
              <w:t>销售额未超过15万元(以1个季度为1个纳税期的，季度</w:t>
            </w:r>
          </w:p>
          <w:p>
            <w:pPr>
              <w:pStyle w:val="TableText"/>
              <w:ind w:left="41"/>
              <w:spacing w:before="22" w:line="219" w:lineRule="auto"/>
              <w:rPr/>
            </w:pPr>
            <w:r>
              <w:rPr>
                <w:spacing w:val="-1"/>
              </w:rPr>
              <w:t>销售额未超过45万元，下同)的，免征增值税的销售额等</w:t>
            </w:r>
          </w:p>
          <w:p>
            <w:pPr>
              <w:pStyle w:val="TableText"/>
              <w:ind w:left="21" w:right="85" w:firstLine="40"/>
              <w:spacing w:before="21" w:line="229" w:lineRule="auto"/>
              <w:rPr/>
            </w:pPr>
            <w:r>
              <w:rPr>
                <w:spacing w:val="-1"/>
              </w:rPr>
              <w:t>项目应当填写在《增值税及附加税费申报表(小规模纳税人</w:t>
            </w:r>
            <w:r>
              <w:rPr>
                <w:spacing w:val="16"/>
              </w:rPr>
              <w:t xml:space="preserve"> </w:t>
            </w:r>
            <w:r>
              <w:rPr>
                <w:spacing w:val="1"/>
              </w:rPr>
              <w:t>适用)》“小微企业免税销售额”或者“未达起征点销售额</w:t>
            </w:r>
            <w:r>
              <w:rPr>
                <w:spacing w:val="7"/>
              </w:rPr>
              <w:t xml:space="preserve"> </w:t>
            </w:r>
            <w:r>
              <w:rPr>
                <w:spacing w:val="-1"/>
              </w:rPr>
              <w:t>相关栏次。</w:t>
            </w:r>
          </w:p>
          <w:p>
            <w:pPr>
              <w:pStyle w:val="TableText"/>
              <w:ind w:left="41" w:right="58" w:firstLine="59"/>
              <w:spacing w:before="20" w:line="243" w:lineRule="auto"/>
              <w:jc w:val="both"/>
              <w:rPr/>
            </w:pPr>
            <w:r>
              <w:rPr>
                <w:spacing w:val="-1"/>
              </w:rPr>
              <w:t>合计月销售额超过15万元的，免征增值税的全部销售额等</w:t>
            </w:r>
            <w:r>
              <w:rPr>
                <w:spacing w:val="9"/>
              </w:rPr>
              <w:t xml:space="preserve">  </w:t>
            </w:r>
            <w:r>
              <w:rPr/>
              <w:t>项目应当填写在《增值税及附加税费申报表(小规模纳税人</w:t>
            </w:r>
            <w:r>
              <w:rPr>
                <w:spacing w:val="10"/>
              </w:rPr>
              <w:t xml:space="preserve"> </w:t>
            </w:r>
            <w:r>
              <w:rPr>
                <w:spacing w:val="1"/>
              </w:rPr>
              <w:t>适用)》“其他免税销售额”栏次及《增值税减免税申报明</w:t>
            </w:r>
            <w:r>
              <w:rPr>
                <w:spacing w:val="14"/>
              </w:rPr>
              <w:t xml:space="preserve"> </w:t>
            </w:r>
            <w:r>
              <w:rPr>
                <w:spacing w:val="-1"/>
              </w:rPr>
              <w:t>细表》对应栏次</w:t>
            </w:r>
          </w:p>
          <w:p>
            <w:pPr>
              <w:pStyle w:val="TableText"/>
              <w:ind w:left="41" w:right="108" w:firstLine="59"/>
              <w:spacing w:before="12" w:line="245" w:lineRule="auto"/>
              <w:rPr/>
            </w:pPr>
            <w:r>
              <w:rPr/>
              <w:t>四、此前已按照《财政部税务总局关于统一增值税小规模</w:t>
            </w:r>
            <w:r>
              <w:rPr>
                <w:spacing w:val="5"/>
              </w:rPr>
              <w:t xml:space="preserve"> </w:t>
            </w:r>
            <w:r>
              <w:rPr/>
              <w:t>纳税人标准的通知》(财税〔2018〕33号)第二条、《国</w:t>
            </w:r>
          </w:p>
          <w:p>
            <w:pPr>
              <w:pStyle w:val="TableText"/>
              <w:ind w:left="51" w:right="42" w:hanging="20"/>
              <w:spacing w:before="22" w:line="213" w:lineRule="auto"/>
              <w:rPr/>
            </w:pPr>
            <w:r>
              <w:rPr>
                <w:spacing w:val="-1"/>
              </w:rPr>
              <w:t>家税务总局关于小规模纳税人免征增值税政策有关征管问题</w:t>
            </w:r>
            <w:r>
              <w:rPr>
                <w:spacing w:val="17"/>
              </w:rPr>
              <w:t xml:space="preserve"> </w:t>
            </w:r>
            <w:r>
              <w:rPr/>
              <w:t>的公告》(2019年第4号)第五条、《国家税务总局关于</w:t>
            </w:r>
          </w:p>
          <w:p>
            <w:pPr>
              <w:pStyle w:val="TableText"/>
              <w:ind w:left="41"/>
              <w:spacing w:before="43" w:line="218" w:lineRule="auto"/>
              <w:rPr/>
            </w:pPr>
            <w:r>
              <w:rPr/>
              <w:t>明确二手车经销等若干增值税征管问题的公告》(2020年</w:t>
            </w:r>
          </w:p>
          <w:p>
            <w:pPr>
              <w:pStyle w:val="TableText"/>
              <w:ind w:left="31" w:firstLine="68"/>
              <w:spacing w:before="34" w:line="239" w:lineRule="auto"/>
              <w:rPr/>
            </w:pPr>
            <w:r>
              <w:rPr>
                <w:spacing w:val="-3"/>
              </w:rPr>
              <w:t>第9号)第六条规定转登记的纳税人，根据《国家税务总局</w:t>
            </w:r>
            <w:r>
              <w:rPr>
                <w:spacing w:val="-4"/>
              </w:rPr>
              <w:t xml:space="preserve">   </w:t>
            </w:r>
            <w:r>
              <w:rPr>
                <w:spacing w:val="-1"/>
              </w:rPr>
              <w:t>关于统一小规模纳税人标准等若干增值税问题的公告X2018</w:t>
            </w:r>
            <w:r>
              <w:rPr/>
              <w:t xml:space="preserve">   </w:t>
            </w:r>
            <w:r>
              <w:rPr>
                <w:spacing w:val="4"/>
              </w:rPr>
              <w:t>年第18号)相关规定计入“应交税费——待抵扣进项税额”</w:t>
            </w:r>
            <w:r>
              <w:rPr/>
              <w:t xml:space="preserve"> </w:t>
            </w:r>
            <w:r>
              <w:rPr>
                <w:spacing w:val="-2"/>
              </w:rPr>
              <w:t>科目核算、截至2022年3月31日的余</w:t>
            </w:r>
            <w:r>
              <w:rPr>
                <w:spacing w:val="-3"/>
              </w:rPr>
              <w:t>额，在2022年度可</w:t>
            </w:r>
          </w:p>
          <w:p>
            <w:pPr>
              <w:pStyle w:val="TableText"/>
              <w:ind w:left="31" w:right="6"/>
              <w:spacing w:before="23" w:line="230" w:lineRule="auto"/>
              <w:rPr/>
            </w:pPr>
            <w:r>
              <w:rPr>
                <w:spacing w:val="1"/>
              </w:rPr>
              <w:t>分别计入固定资产、无形资产、投资资产、存货等相关科目 </w:t>
            </w:r>
            <w:r>
              <w:rPr>
                <w:spacing w:val="-1"/>
              </w:rPr>
              <w:t>按规定在企业所得税或个人所得税税前扣除，对此前已税前</w:t>
            </w:r>
            <w:r>
              <w:rPr>
                <w:spacing w:val="17"/>
              </w:rPr>
              <w:t xml:space="preserve"> </w:t>
            </w:r>
            <w:r>
              <w:rPr>
                <w:spacing w:val="1"/>
              </w:rPr>
              <w:t>扣除的折旧、摊销不再调整；对无法划分的部分，在2022  </w:t>
            </w:r>
            <w:r>
              <w:rPr/>
              <w:t>年度可一次性在企业所得税或个人所得税税前扣除</w:t>
            </w:r>
          </w:p>
        </w:tc>
        <w:tc>
          <w:tcPr>
            <w:tcW w:w="2128" w:type="dxa"/>
            <w:vAlign w:val="top"/>
          </w:tcPr>
          <w:p>
            <w:pPr>
              <w:rPr>
                <w:rFonts w:ascii="Arial"/>
                <w:sz w:val="21"/>
              </w:rPr>
            </w:pPr>
            <w:r/>
          </w:p>
        </w:tc>
        <w:tc>
          <w:tcPr>
            <w:tcW w:w="89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51"/>
        <w:rPr/>
      </w:pPr>
      <w:r>
        <w:pict>
          <v:shape id="_x0000_s24" style="position:absolute;margin-left:38.9997pt;margin-top:346.354pt;mso-position-vertical-relative:page;mso-position-horizontal-relative:page;width:10.25pt;height:15.8pt;z-index:251680768;" o:allowincell="f" filled="false" stroked="false" type="#_x0000_t202">
            <v:fill on="false"/>
            <v:stroke on="false"/>
            <v:path/>
            <v:imagedata o:title=""/>
            <o:lock v:ext="edit" aspectratio="false"/>
            <v:textbox inset="0mm,0mm,0mm,0mm">
              <w:txbxContent>
                <w:p>
                  <w:pPr>
                    <w:spacing w:before="20" w:line="224" w:lineRule="auto"/>
                    <w:jc w:val="right"/>
                    <w:rPr>
                      <w:rFonts w:ascii="STHupo" w:hAnsi="STHupo" w:eastAsia="STHupo" w:cs="STHupo"/>
                      <w:sz w:val="22"/>
                      <w:szCs w:val="22"/>
                    </w:rPr>
                  </w:pPr>
                  <w:r>
                    <w:rPr>
                      <w:rFonts w:ascii="STHupo" w:hAnsi="STHupo" w:eastAsia="STHupo" w:cs="STHupo"/>
                      <w:sz w:val="22"/>
                      <w:szCs w:val="22"/>
                      <w:spacing w:val="-8"/>
                      <w:w w:val="78"/>
                    </w:rPr>
                    <w:t>只</w:t>
                  </w:r>
                </w:p>
              </w:txbxContent>
            </v:textbox>
          </v:shape>
        </w:pict>
      </w:r>
      <w:r/>
    </w:p>
    <w:p>
      <w:pPr>
        <w:spacing w:before="51"/>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7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9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4233" w:hRule="atLeast"/>
        </w:trPr>
        <w:tc>
          <w:tcPr>
            <w:tcW w:w="28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55"/>
              <w:spacing w:before="49" w:line="183" w:lineRule="auto"/>
              <w:rPr/>
            </w:pPr>
            <w:r>
              <w:rPr>
                <w:spacing w:val="-2"/>
              </w:rPr>
              <w:t>23</w:t>
            </w:r>
          </w:p>
        </w:tc>
        <w:tc>
          <w:tcPr>
            <w:tcW w:w="3986" w:type="dxa"/>
            <w:vAlign w:val="top"/>
          </w:tcPr>
          <w:p>
            <w:pPr>
              <w:pStyle w:val="TableText"/>
              <w:ind w:left="41" w:right="53" w:hanging="10"/>
              <w:spacing w:before="176" w:line="233" w:lineRule="auto"/>
              <w:rPr/>
            </w:pPr>
            <w:r>
              <w:rPr>
                <w:spacing w:val="-1"/>
              </w:rPr>
              <w:t>二、在计算允许退还的留抵税额的进项构成比例时，纳税人</w:t>
            </w:r>
            <w:r>
              <w:rPr>
                <w:spacing w:val="16"/>
              </w:rPr>
              <w:t xml:space="preserve"> </w:t>
            </w:r>
            <w:r>
              <w:rPr/>
              <w:t>在2019年4月至申请退税前一税款所属期</w:t>
            </w:r>
            <w:r>
              <w:rPr>
                <w:spacing w:val="-1"/>
              </w:rPr>
              <w:t>内按规定转出的</w:t>
            </w:r>
          </w:p>
          <w:p>
            <w:pPr>
              <w:pStyle w:val="TableText"/>
              <w:ind w:left="21" w:right="28" w:firstLine="50"/>
              <w:spacing w:before="22" w:line="236" w:lineRule="auto"/>
              <w:rPr/>
            </w:pPr>
            <w:r>
              <w:rPr/>
              <w:t>进项税额，无需从已抵扣的增值税专用发票(</w:t>
            </w:r>
            <w:r>
              <w:rPr>
                <w:spacing w:val="-1"/>
              </w:rPr>
              <w:t>含带有“增值</w:t>
            </w:r>
            <w:r>
              <w:rPr/>
              <w:t xml:space="preserve">  </w:t>
            </w:r>
            <w:r>
              <w:rPr/>
              <w:t>税专用发票”字样全面数字化的电子发票、税控机动车销售</w:t>
            </w:r>
            <w:r>
              <w:rPr>
                <w:spacing w:val="3"/>
              </w:rPr>
              <w:t xml:space="preserve"> </w:t>
            </w:r>
            <w:r>
              <w:rPr>
                <w:spacing w:val="1"/>
              </w:rPr>
              <w:t>统一发票)、收费公路通行费增值税电子普通发票、海关进</w:t>
            </w:r>
            <w:r>
              <w:rPr>
                <w:spacing w:val="6"/>
              </w:rPr>
              <w:t xml:space="preserve">  </w:t>
            </w:r>
            <w:r>
              <w:rPr>
                <w:spacing w:val="1"/>
              </w:rPr>
              <w:t>口增值税专用缴款书、解缴税款完税凭证注明的增值税额中</w:t>
            </w:r>
            <w:r>
              <w:rPr/>
              <w:t xml:space="preserve"> </w:t>
            </w:r>
            <w:r>
              <w:rPr>
                <w:spacing w:val="-2"/>
              </w:rPr>
              <w:t>扣减。</w:t>
            </w:r>
          </w:p>
          <w:p>
            <w:pPr>
              <w:pStyle w:val="TableText"/>
              <w:ind w:left="31" w:right="32"/>
              <w:spacing w:before="29" w:line="244" w:lineRule="auto"/>
              <w:jc w:val="both"/>
              <w:rPr/>
            </w:pPr>
            <w:r>
              <w:rPr/>
              <w:t>四、适用增值税一般计税方法的个体工商户，可自本公告发</w:t>
            </w:r>
            <w:r>
              <w:rPr>
                <w:spacing w:val="5"/>
              </w:rPr>
              <w:t xml:space="preserve"> </w:t>
            </w:r>
            <w:r>
              <w:rPr/>
              <w:t>布之日起，自愿向主管税务机关申请参照企</w:t>
            </w:r>
            <w:r>
              <w:rPr>
                <w:spacing w:val="-1"/>
              </w:rPr>
              <w:t>业纳税信用评价</w:t>
            </w:r>
            <w:r>
              <w:rPr/>
              <w:t xml:space="preserve"> </w:t>
            </w:r>
            <w:r>
              <w:rPr>
                <w:spacing w:val="-1"/>
              </w:rPr>
              <w:t>指标和评价方式参加评价，并在以后的存续期内适用国家税</w:t>
            </w:r>
            <w:r>
              <w:rPr>
                <w:spacing w:val="17"/>
              </w:rPr>
              <w:t xml:space="preserve"> </w:t>
            </w:r>
            <w:r>
              <w:rPr>
                <w:spacing w:val="-1"/>
              </w:rPr>
              <w:t>务总局纳税信用管理相关规定。对于已按照省税务机关公布</w:t>
            </w:r>
            <w:r>
              <w:rPr>
                <w:spacing w:val="17"/>
              </w:rPr>
              <w:t xml:space="preserve"> </w:t>
            </w:r>
            <w:r>
              <w:rPr/>
              <w:t>的纳税信用管理办法参加纳税信用评价的，也可选择沿用原</w:t>
            </w:r>
            <w:r>
              <w:rPr>
                <w:spacing w:val="11"/>
              </w:rPr>
              <w:t xml:space="preserve"> </w:t>
            </w:r>
            <w:r>
              <w:rPr>
                <w:spacing w:val="-1"/>
              </w:rPr>
              <w:t>纳税信用级别，符合条件的可申请办理留抵退税</w:t>
            </w:r>
          </w:p>
          <w:p>
            <w:pPr>
              <w:pStyle w:val="TableText"/>
              <w:ind w:left="31" w:right="31"/>
              <w:spacing w:before="22" w:line="237" w:lineRule="auto"/>
              <w:jc w:val="both"/>
              <w:rPr/>
            </w:pPr>
            <w:r>
              <w:rPr/>
              <w:t>五、对符合条件、低风险的纳税人，税务机关进一步优化留</w:t>
            </w:r>
            <w:r>
              <w:rPr>
                <w:spacing w:val="12"/>
              </w:rPr>
              <w:t xml:space="preserve"> </w:t>
            </w:r>
            <w:r>
              <w:rPr/>
              <w:t>抵退税办理流程，提升留抵退税服务水平，</w:t>
            </w:r>
            <w:r>
              <w:rPr>
                <w:spacing w:val="-1"/>
              </w:rPr>
              <w:t>简化退税审核程</w:t>
            </w:r>
            <w:r>
              <w:rPr/>
              <w:t xml:space="preserve"> </w:t>
            </w:r>
            <w:r>
              <w:rPr/>
              <w:t>序，帮助纳税人快捷获取留抵退税</w:t>
            </w:r>
          </w:p>
          <w:p>
            <w:pPr>
              <w:pStyle w:val="TableText"/>
              <w:ind w:left="61" w:right="31" w:hanging="30"/>
              <w:spacing w:before="21" w:line="229" w:lineRule="auto"/>
              <w:rPr/>
            </w:pPr>
            <w:r>
              <w:rPr/>
              <w:t>六、纳税人办理留抵退税的其他事项，按照《国家税务总局</w:t>
            </w:r>
            <w:r>
              <w:rPr>
                <w:spacing w:val="12"/>
              </w:rPr>
              <w:t xml:space="preserve"> </w:t>
            </w:r>
            <w:r>
              <w:rPr/>
              <w:t>关于办理增值税期末留抵税额退税有关事项的公告》(2019  </w:t>
            </w:r>
            <w:r>
              <w:rPr>
                <w:spacing w:val="-1"/>
              </w:rPr>
              <w:t>年第20号)的规定执行，其中办理增量留抵退税的相关征</w:t>
            </w:r>
          </w:p>
          <w:p>
            <w:pPr>
              <w:pStyle w:val="TableText"/>
              <w:ind w:left="31"/>
              <w:spacing w:before="42" w:line="219" w:lineRule="auto"/>
              <w:rPr/>
            </w:pPr>
            <w:r>
              <w:rPr>
                <w:spacing w:val="-1"/>
              </w:rPr>
              <w:t>管规定适用于存量留抵退税</w:t>
            </w:r>
          </w:p>
        </w:tc>
        <w:tc>
          <w:tcPr>
            <w:tcW w:w="2128" w:type="dxa"/>
            <w:vAlign w:val="top"/>
          </w:tcPr>
          <w:p>
            <w:pPr>
              <w:pStyle w:val="TableText"/>
              <w:ind w:left="4"/>
              <w:spacing w:before="177" w:line="219" w:lineRule="auto"/>
              <w:rPr/>
            </w:pPr>
            <w:r>
              <w:rPr/>
              <w:t>国家税务总局《关于进一步加大</w:t>
            </w:r>
          </w:p>
          <w:p>
            <w:pPr>
              <w:pStyle w:val="TableText"/>
              <w:ind w:left="4" w:right="21" w:firstLine="80"/>
              <w:spacing w:before="22" w:line="236" w:lineRule="auto"/>
              <w:jc w:val="both"/>
              <w:rPr/>
            </w:pPr>
            <w:r>
              <w:rPr>
                <w:spacing w:val="-1"/>
              </w:rPr>
              <w:t>增值税期末留抵退税政策实施</w:t>
            </w:r>
            <w:r>
              <w:rPr>
                <w:spacing w:val="2"/>
              </w:rPr>
              <w:t xml:space="preserve">  </w:t>
            </w:r>
            <w:r>
              <w:rPr>
                <w:spacing w:val="-1"/>
              </w:rPr>
              <w:t>力度有关征管事项的公告》2022</w:t>
            </w:r>
            <w:r>
              <w:rPr>
                <w:spacing w:val="6"/>
              </w:rPr>
              <w:t xml:space="preserve"> </w:t>
            </w:r>
            <w:r>
              <w:rPr>
                <w:spacing w:val="3"/>
              </w:rPr>
              <w:t>年第4号公告</w:t>
            </w:r>
          </w:p>
        </w:tc>
        <w:tc>
          <w:tcPr>
            <w:tcW w:w="899" w:type="dxa"/>
            <w:vAlign w:val="top"/>
          </w:tcPr>
          <w:p>
            <w:pPr>
              <w:pStyle w:val="TableText"/>
              <w:ind w:left="16" w:firstLine="9"/>
              <w:spacing w:before="177" w:line="227" w:lineRule="auto"/>
              <w:rPr/>
            </w:pPr>
            <w:r>
              <w:rPr>
                <w:spacing w:val="14"/>
                <w:w w:val="113"/>
              </w:rPr>
              <w:t>2022年4月</w:t>
            </w:r>
            <w:r>
              <w:rPr/>
              <w:t xml:space="preserve"> </w:t>
            </w:r>
            <w:r>
              <w:rPr>
                <w:spacing w:val="-5"/>
              </w:rPr>
              <w:t>1日起</w:t>
            </w:r>
          </w:p>
        </w:tc>
        <w:tc>
          <w:tcPr>
            <w:tcW w:w="849" w:type="dxa"/>
            <w:vAlign w:val="top"/>
          </w:tcPr>
          <w:p>
            <w:pPr>
              <w:pStyle w:val="TableText"/>
              <w:ind w:left="48" w:right="20" w:firstLine="69"/>
              <w:spacing w:before="156" w:line="239" w:lineRule="auto"/>
              <w:rPr/>
            </w:pPr>
            <w:r>
              <w:rPr>
                <w:spacing w:val="-3"/>
              </w:rPr>
              <w:t>小微企业</w:t>
            </w:r>
            <w:r>
              <w:rPr/>
              <w:t xml:space="preserve">  </w:t>
            </w:r>
            <w:r>
              <w:rPr>
                <w:spacing w:val="4"/>
              </w:rPr>
              <w:t>个体工商户</w:t>
            </w:r>
          </w:p>
        </w:tc>
        <w:tc>
          <w:tcPr>
            <w:tcW w:w="1029" w:type="dxa"/>
            <w:vAlign w:val="top"/>
          </w:tcPr>
          <w:p>
            <w:pPr>
              <w:pStyle w:val="TableText"/>
              <w:ind w:left="289"/>
              <w:spacing w:before="157" w:line="219" w:lineRule="auto"/>
              <w:rPr/>
            </w:pPr>
            <w:r>
              <w:rPr>
                <w:spacing w:val="-2"/>
              </w:rPr>
              <w:t>增值税</w:t>
            </w:r>
          </w:p>
        </w:tc>
        <w:tc>
          <w:tcPr>
            <w:tcW w:w="474" w:type="dxa"/>
            <w:vAlign w:val="top"/>
          </w:tcPr>
          <w:p>
            <w:pPr>
              <w:pStyle w:val="TableText"/>
              <w:ind w:left="80" w:right="77"/>
              <w:spacing w:before="157" w:line="233" w:lineRule="auto"/>
              <w:rPr/>
            </w:pPr>
            <w:r>
              <w:rPr>
                <w:spacing w:val="3"/>
              </w:rPr>
              <w:t>留抵</w:t>
            </w:r>
            <w:r>
              <w:rPr/>
              <w:t xml:space="preserve"> </w:t>
            </w:r>
            <w:r>
              <w:rPr>
                <w:spacing w:val="-2"/>
              </w:rPr>
              <w:t>退税</w:t>
            </w:r>
          </w:p>
        </w:tc>
      </w:tr>
      <w:tr>
        <w:trPr>
          <w:trHeight w:val="1443" w:hRule="atLeast"/>
        </w:trPr>
        <w:tc>
          <w:tcPr>
            <w:tcW w:w="284" w:type="dxa"/>
            <w:vAlign w:val="top"/>
          </w:tcPr>
          <w:p>
            <w:pPr>
              <w:spacing w:line="320" w:lineRule="auto"/>
              <w:rPr>
                <w:rFonts w:ascii="Arial"/>
                <w:sz w:val="21"/>
              </w:rPr>
            </w:pPr>
            <w:r/>
          </w:p>
          <w:p>
            <w:pPr>
              <w:spacing w:line="320" w:lineRule="auto"/>
              <w:rPr>
                <w:rFonts w:ascii="Arial"/>
                <w:sz w:val="21"/>
              </w:rPr>
            </w:pPr>
            <w:r/>
          </w:p>
          <w:p>
            <w:pPr>
              <w:pStyle w:val="TableText"/>
              <w:ind w:left="55"/>
              <w:spacing w:before="48" w:line="183" w:lineRule="auto"/>
              <w:rPr/>
            </w:pPr>
            <w:r>
              <w:rPr>
                <w:spacing w:val="-2"/>
              </w:rPr>
              <w:t>24</w:t>
            </w:r>
          </w:p>
        </w:tc>
        <w:tc>
          <w:tcPr>
            <w:tcW w:w="3986" w:type="dxa"/>
            <w:vAlign w:val="top"/>
          </w:tcPr>
          <w:p>
            <w:pPr>
              <w:pStyle w:val="TableText"/>
              <w:ind w:left="31" w:right="267" w:firstLine="20"/>
              <w:spacing w:before="164" w:line="241" w:lineRule="auto"/>
              <w:jc w:val="both"/>
              <w:rPr/>
            </w:pPr>
            <w:r>
              <w:rPr>
                <w:spacing w:val="-1"/>
              </w:rPr>
              <w:t>一、自2021年4月1日起，符合条件的先进制造业纳税人</w:t>
            </w:r>
            <w:r>
              <w:rPr>
                <w:spacing w:val="5"/>
              </w:rPr>
              <w:t xml:space="preserve">  </w:t>
            </w:r>
            <w:r>
              <w:rPr/>
              <w:t>可以自2021年5月及以后纳税申报期向主管税务机关申请</w:t>
            </w:r>
            <w:r>
              <w:rPr>
                <w:spacing w:val="1"/>
              </w:rPr>
              <w:t xml:space="preserve"> </w:t>
            </w:r>
            <w:r>
              <w:rPr>
                <w:spacing w:val="-1"/>
              </w:rPr>
              <w:t>退还增量留抵税额</w:t>
            </w:r>
          </w:p>
          <w:p>
            <w:pPr>
              <w:pStyle w:val="TableText"/>
              <w:ind w:left="31" w:right="32"/>
              <w:spacing w:before="21" w:line="233" w:lineRule="auto"/>
              <w:rPr/>
            </w:pPr>
            <w:r>
              <w:rPr/>
              <w:t>二、先进制造业纳税人当期允许退还的增量留抵税额，按照</w:t>
            </w:r>
            <w:r>
              <w:rPr>
                <w:spacing w:val="11"/>
              </w:rPr>
              <w:t xml:space="preserve"> </w:t>
            </w:r>
            <w:r>
              <w:rPr>
                <w:spacing w:val="1"/>
              </w:rPr>
              <w:t>以下公式计算</w:t>
            </w:r>
          </w:p>
          <w:p>
            <w:pPr>
              <w:pStyle w:val="TableText"/>
              <w:ind w:left="51"/>
              <w:spacing w:before="12" w:line="219" w:lineRule="auto"/>
              <w:rPr/>
            </w:pPr>
            <w:r>
              <w:rPr/>
              <w:t>允许退还的增量留抵税额=增量留抵税额x进</w:t>
            </w:r>
            <w:r>
              <w:rPr>
                <w:spacing w:val="-1"/>
              </w:rPr>
              <w:t>项构成比例。</w:t>
            </w:r>
          </w:p>
        </w:tc>
        <w:tc>
          <w:tcPr>
            <w:tcW w:w="2128" w:type="dxa"/>
            <w:vAlign w:val="top"/>
          </w:tcPr>
          <w:p>
            <w:pPr>
              <w:pStyle w:val="TableText"/>
              <w:ind w:left="84" w:right="19" w:hanging="80"/>
              <w:spacing w:before="174" w:line="236" w:lineRule="auto"/>
              <w:rPr/>
            </w:pPr>
            <w:r>
              <w:rPr>
                <w:spacing w:val="-1"/>
              </w:rPr>
              <w:t>财政部、税务总局《关于明确先</w:t>
            </w:r>
            <w:r>
              <w:rPr>
                <w:spacing w:val="6"/>
              </w:rPr>
              <w:t xml:space="preserve"> </w:t>
            </w:r>
            <w:r>
              <w:rPr>
                <w:spacing w:val="-1"/>
              </w:rPr>
              <w:t>进制造业增值税期末留抵退税</w:t>
            </w:r>
            <w:r>
              <w:rPr>
                <w:spacing w:val="3"/>
              </w:rPr>
              <w:t xml:space="preserve">  </w:t>
            </w:r>
            <w:r>
              <w:rPr>
                <w:spacing w:val="-1"/>
              </w:rPr>
              <w:t>政策的公告》2021年第15号公</w:t>
            </w:r>
          </w:p>
          <w:p>
            <w:pPr>
              <w:pStyle w:val="TableText"/>
              <w:ind w:left="14"/>
              <w:spacing w:before="12" w:line="218" w:lineRule="auto"/>
              <w:rPr/>
            </w:pPr>
            <w:r>
              <w:rPr/>
              <w:t>告</w:t>
            </w:r>
          </w:p>
        </w:tc>
        <w:tc>
          <w:tcPr>
            <w:tcW w:w="899" w:type="dxa"/>
            <w:vAlign w:val="top"/>
          </w:tcPr>
          <w:p>
            <w:pPr>
              <w:pStyle w:val="TableText"/>
              <w:ind w:left="26"/>
              <w:spacing w:before="163" w:line="242" w:lineRule="auto"/>
              <w:jc w:val="both"/>
              <w:rPr/>
            </w:pPr>
            <w:r>
              <w:rPr>
                <w:spacing w:val="16"/>
                <w:w w:val="111"/>
              </w:rPr>
              <w:t>2021年4月</w:t>
            </w:r>
            <w:r>
              <w:rPr/>
              <w:t xml:space="preserve"> </w:t>
            </w:r>
            <w:r>
              <w:rPr>
                <w:spacing w:val="-15"/>
              </w:rPr>
              <w:t>2</w:t>
            </w:r>
            <w:r>
              <w:rPr>
                <w:spacing w:val="-27"/>
              </w:rPr>
              <w:t xml:space="preserve"> </w:t>
            </w:r>
            <w:r>
              <w:rPr>
                <w:spacing w:val="-15"/>
              </w:rPr>
              <w:t>3 日 (</w:t>
            </w:r>
            <w:r>
              <w:rPr>
                <w:spacing w:val="-32"/>
              </w:rPr>
              <w:t xml:space="preserve"> </w:t>
            </w:r>
            <w:r>
              <w:rPr>
                <w:spacing w:val="-15"/>
              </w:rPr>
              <w:t>发</w:t>
            </w:r>
            <w:r>
              <w:rPr>
                <w:spacing w:val="-33"/>
              </w:rPr>
              <w:t xml:space="preserve"> </w:t>
            </w:r>
            <w:r>
              <w:rPr>
                <w:spacing w:val="-15"/>
              </w:rPr>
              <w:t>布</w:t>
            </w:r>
            <w:r>
              <w:rPr/>
              <w:t xml:space="preserve"> </w:t>
            </w:r>
            <w:r>
              <w:rPr>
                <w:spacing w:val="7"/>
              </w:rPr>
              <w:t>日期)</w:t>
            </w:r>
          </w:p>
        </w:tc>
        <w:tc>
          <w:tcPr>
            <w:tcW w:w="849" w:type="dxa"/>
            <w:vAlign w:val="top"/>
          </w:tcPr>
          <w:p>
            <w:pPr>
              <w:pStyle w:val="TableText"/>
              <w:ind w:left="48"/>
              <w:spacing w:before="174" w:line="219" w:lineRule="auto"/>
              <w:rPr/>
            </w:pPr>
            <w:r>
              <w:rPr>
                <w:spacing w:val="-2"/>
              </w:rPr>
              <w:t>先进制造业</w:t>
            </w:r>
          </w:p>
        </w:tc>
        <w:tc>
          <w:tcPr>
            <w:tcW w:w="1029" w:type="dxa"/>
            <w:vAlign w:val="top"/>
          </w:tcPr>
          <w:p>
            <w:pPr>
              <w:pStyle w:val="TableText"/>
              <w:ind w:left="289"/>
              <w:spacing w:before="154" w:line="219" w:lineRule="auto"/>
              <w:rPr/>
            </w:pPr>
            <w:r>
              <w:rPr>
                <w:spacing w:val="-2"/>
              </w:rPr>
              <w:t>增值税</w:t>
            </w:r>
          </w:p>
        </w:tc>
        <w:tc>
          <w:tcPr>
            <w:tcW w:w="474" w:type="dxa"/>
            <w:vAlign w:val="top"/>
          </w:tcPr>
          <w:p>
            <w:pPr>
              <w:pStyle w:val="TableText"/>
              <w:ind w:left="80" w:right="77"/>
              <w:spacing w:before="154" w:line="233" w:lineRule="auto"/>
              <w:rPr/>
            </w:pPr>
            <w:r>
              <w:rPr>
                <w:spacing w:val="3"/>
              </w:rPr>
              <w:t>留抵</w:t>
            </w:r>
            <w:r>
              <w:rPr/>
              <w:t xml:space="preserve"> </w:t>
            </w:r>
            <w:r>
              <w:rPr>
                <w:spacing w:val="-2"/>
              </w:rPr>
              <w:t>退税</w:t>
            </w:r>
          </w:p>
        </w:tc>
      </w:tr>
    </w:tbl>
    <w:p>
      <w:pPr>
        <w:pStyle w:val="BodyText"/>
        <w:rPr/>
      </w:pPr>
      <w:r/>
    </w:p>
    <w:p>
      <w:pPr>
        <w:sectPr>
          <w:pgSz w:w="11910" w:h="8220"/>
          <w:pgMar w:top="400" w:right="1135" w:bottom="400" w:left="799" w:header="0" w:footer="0" w:gutter="0"/>
        </w:sectPr>
        <w:rPr/>
      </w:pPr>
    </w:p>
    <w:p>
      <w:pPr>
        <w:spacing w:before="46"/>
        <w:rPr/>
      </w:pPr>
      <w:r>
        <w:drawing>
          <wp:anchor distT="0" distB="0" distL="0" distR="0" simplePos="0" relativeHeight="251681792" behindDoc="0" locked="0" layoutInCell="0" allowOverlap="1">
            <wp:simplePos x="0" y="0"/>
            <wp:positionH relativeFrom="page">
              <wp:posOffset>514349</wp:posOffset>
            </wp:positionH>
            <wp:positionV relativeFrom="page">
              <wp:posOffset>666764</wp:posOffset>
            </wp:positionV>
            <wp:extent cx="107921" cy="120627"/>
            <wp:effectExtent l="0" t="0" r="0" b="0"/>
            <wp:wrapNone/>
            <wp:docPr id="18" name="IM 18"/>
            <wp:cNvGraphicFramePr/>
            <a:graphic>
              <a:graphicData uri="http://schemas.openxmlformats.org/drawingml/2006/picture">
                <pic:pic>
                  <pic:nvPicPr>
                    <pic:cNvPr id="18" name="IM 18"/>
                    <pic:cNvPicPr/>
                  </pic:nvPicPr>
                  <pic:blipFill>
                    <a:blip r:embed="rId11"/>
                    <a:stretch>
                      <a:fillRect/>
                    </a:stretch>
                  </pic:blipFill>
                  <pic:spPr>
                    <a:xfrm rot="0">
                      <a:off x="0" y="0"/>
                      <a:ext cx="107921" cy="120627"/>
                    </a:xfrm>
                    <a:prstGeom prst="rect">
                      <a:avLst/>
                    </a:prstGeom>
                  </pic:spPr>
                </pic:pic>
              </a:graphicData>
            </a:graphic>
          </wp:anchor>
        </w:drawing>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514" w:hRule="atLeast"/>
        </w:trPr>
        <w:tc>
          <w:tcPr>
            <w:tcW w:w="284" w:type="dxa"/>
            <w:vAlign w:val="top"/>
            <w:textDirection w:val="tbRlV"/>
          </w:tcPr>
          <w:p>
            <w:pPr>
              <w:pStyle w:val="TableText"/>
              <w:ind w:left="86"/>
              <w:spacing w:before="59" w:line="217" w:lineRule="auto"/>
              <w:rPr>
                <w:sz w:val="16"/>
                <w:szCs w:val="16"/>
              </w:rPr>
            </w:pPr>
            <w:r>
              <w:rPr>
                <w:sz w:val="16"/>
                <w:szCs w:val="16"/>
              </w:rPr>
              <w:t>序号</w:t>
            </w:r>
          </w:p>
        </w:tc>
        <w:tc>
          <w:tcPr>
            <w:tcW w:w="3956" w:type="dxa"/>
            <w:vAlign w:val="top"/>
          </w:tcPr>
          <w:p>
            <w:pPr>
              <w:pStyle w:val="TableText"/>
              <w:ind w:left="1651"/>
              <w:spacing w:before="181" w:line="219" w:lineRule="auto"/>
              <w:rPr>
                <w:sz w:val="16"/>
                <w:szCs w:val="16"/>
              </w:rPr>
            </w:pPr>
            <w:r>
              <w:rPr>
                <w:sz w:val="16"/>
                <w:szCs w:val="16"/>
                <w:spacing w:val="-2"/>
              </w:rPr>
              <w:t>主要内容</w:t>
            </w:r>
          </w:p>
        </w:tc>
        <w:tc>
          <w:tcPr>
            <w:tcW w:w="2158" w:type="dxa"/>
            <w:vAlign w:val="top"/>
          </w:tcPr>
          <w:p>
            <w:pPr>
              <w:pStyle w:val="TableText"/>
              <w:ind w:left="754"/>
              <w:spacing w:before="180" w:line="219" w:lineRule="auto"/>
              <w:rPr>
                <w:sz w:val="16"/>
                <w:szCs w:val="16"/>
              </w:rPr>
            </w:pPr>
            <w:r>
              <w:rPr>
                <w:sz w:val="16"/>
                <w:szCs w:val="16"/>
                <w:spacing w:val="-2"/>
              </w:rPr>
              <w:t>政策依据</w:t>
            </w:r>
          </w:p>
        </w:tc>
        <w:tc>
          <w:tcPr>
            <w:tcW w:w="889" w:type="dxa"/>
            <w:vAlign w:val="top"/>
          </w:tcPr>
          <w:p>
            <w:pPr>
              <w:pStyle w:val="TableText"/>
              <w:ind w:left="117"/>
              <w:spacing w:before="181" w:line="219" w:lineRule="auto"/>
              <w:rPr>
                <w:sz w:val="16"/>
                <w:szCs w:val="16"/>
              </w:rPr>
            </w:pPr>
            <w:r>
              <w:rPr>
                <w:sz w:val="16"/>
                <w:szCs w:val="16"/>
                <w:spacing w:val="3"/>
              </w:rPr>
              <w:t>执行时间</w:t>
            </w:r>
          </w:p>
        </w:tc>
        <w:tc>
          <w:tcPr>
            <w:tcW w:w="849" w:type="dxa"/>
            <w:vAlign w:val="top"/>
          </w:tcPr>
          <w:p>
            <w:pPr>
              <w:pStyle w:val="TableText"/>
              <w:ind w:left="257" w:right="114" w:hanging="159"/>
              <w:spacing w:before="84" w:line="235" w:lineRule="auto"/>
              <w:rPr>
                <w:sz w:val="16"/>
                <w:szCs w:val="16"/>
              </w:rPr>
            </w:pPr>
            <w:r>
              <w:rPr>
                <w:sz w:val="16"/>
                <w:szCs w:val="16"/>
                <w:spacing w:val="-4"/>
              </w:rPr>
              <w:t>惠及企业</w:t>
            </w:r>
            <w:r>
              <w:rPr>
                <w:sz w:val="16"/>
                <w:szCs w:val="16"/>
                <w:spacing w:val="1"/>
              </w:rPr>
              <w:t xml:space="preserve"> </w:t>
            </w:r>
            <w:r>
              <w:rPr>
                <w:sz w:val="16"/>
                <w:szCs w:val="16"/>
                <w:spacing w:val="-2"/>
              </w:rPr>
              <w:t>类型</w:t>
            </w:r>
          </w:p>
        </w:tc>
        <w:tc>
          <w:tcPr>
            <w:tcW w:w="1029" w:type="dxa"/>
            <w:vAlign w:val="top"/>
          </w:tcPr>
          <w:p>
            <w:pPr>
              <w:pStyle w:val="TableText"/>
              <w:ind w:left="188"/>
              <w:spacing w:before="181" w:line="219" w:lineRule="auto"/>
              <w:rPr>
                <w:sz w:val="16"/>
                <w:szCs w:val="16"/>
              </w:rPr>
            </w:pPr>
            <w:r>
              <w:rPr>
                <w:sz w:val="16"/>
                <w:szCs w:val="16"/>
                <w:spacing w:val="-2"/>
              </w:rPr>
              <w:t>政策类别</w:t>
            </w:r>
          </w:p>
        </w:tc>
        <w:tc>
          <w:tcPr>
            <w:tcW w:w="464" w:type="dxa"/>
            <w:vAlign w:val="top"/>
          </w:tcPr>
          <w:p>
            <w:pPr>
              <w:pStyle w:val="TableText"/>
              <w:ind w:left="70" w:right="69"/>
              <w:spacing w:before="71" w:line="238" w:lineRule="auto"/>
              <w:rPr>
                <w:sz w:val="16"/>
                <w:szCs w:val="16"/>
              </w:rPr>
            </w:pPr>
            <w:r>
              <w:rPr>
                <w:sz w:val="16"/>
                <w:szCs w:val="16"/>
                <w:spacing w:val="-3"/>
              </w:rPr>
              <w:t>政策</w:t>
            </w:r>
            <w:r>
              <w:rPr>
                <w:sz w:val="16"/>
                <w:szCs w:val="16"/>
              </w:rPr>
              <w:t xml:space="preserve"> </w:t>
            </w:r>
            <w:r>
              <w:rPr>
                <w:sz w:val="16"/>
                <w:szCs w:val="16"/>
                <w:spacing w:val="-5"/>
              </w:rPr>
              <w:t>形式</w:t>
            </w:r>
          </w:p>
        </w:tc>
      </w:tr>
      <w:tr>
        <w:trPr>
          <w:trHeight w:val="2806" w:hRule="atLeast"/>
        </w:trPr>
        <w:tc>
          <w:tcPr>
            <w:tcW w:w="284"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55"/>
              <w:spacing w:before="52" w:line="183" w:lineRule="auto"/>
              <w:rPr>
                <w:sz w:val="16"/>
                <w:szCs w:val="16"/>
              </w:rPr>
            </w:pPr>
            <w:r>
              <w:rPr>
                <w:sz w:val="16"/>
                <w:szCs w:val="16"/>
                <w:spacing w:val="-3"/>
              </w:rPr>
              <w:t>25</w:t>
            </w:r>
          </w:p>
        </w:tc>
        <w:tc>
          <w:tcPr>
            <w:tcW w:w="3956" w:type="dxa"/>
            <w:vAlign w:val="top"/>
          </w:tcPr>
          <w:p>
            <w:pPr>
              <w:pStyle w:val="TableText"/>
              <w:ind w:left="11" w:right="134" w:firstLine="119"/>
              <w:spacing w:before="136" w:line="237" w:lineRule="auto"/>
              <w:rPr>
                <w:sz w:val="16"/>
                <w:szCs w:val="16"/>
              </w:rPr>
            </w:pPr>
            <w:r>
              <w:rPr>
                <w:sz w:val="16"/>
                <w:szCs w:val="16"/>
              </w:rPr>
              <w:t>一、自2021年1月1日起至2023年12月31日，执行下列 </w:t>
            </w:r>
            <w:r>
              <w:rPr>
                <w:sz w:val="16"/>
                <w:szCs w:val="16"/>
                <w:spacing w:val="-1"/>
              </w:rPr>
              <w:t>增值税先征后退政策。</w:t>
            </w:r>
          </w:p>
          <w:p>
            <w:pPr>
              <w:pStyle w:val="TableText"/>
              <w:ind w:left="31" w:right="47" w:firstLine="20"/>
              <w:spacing w:before="9" w:line="220" w:lineRule="auto"/>
              <w:rPr>
                <w:sz w:val="16"/>
                <w:szCs w:val="16"/>
              </w:rPr>
            </w:pPr>
            <w:r>
              <w:rPr>
                <w:sz w:val="16"/>
                <w:szCs w:val="16"/>
              </w:rPr>
              <w:t>(一)对部分种类出版物在出版环节执行增值税100%先征</w:t>
            </w:r>
            <w:r>
              <w:rPr>
                <w:sz w:val="16"/>
                <w:szCs w:val="16"/>
                <w:spacing w:val="6"/>
              </w:rPr>
              <w:t xml:space="preserve"> </w:t>
            </w:r>
            <w:r>
              <w:rPr>
                <w:sz w:val="16"/>
                <w:szCs w:val="16"/>
                <w:spacing w:val="-2"/>
              </w:rPr>
              <w:t>后退的政策</w:t>
            </w:r>
          </w:p>
          <w:p>
            <w:pPr>
              <w:pStyle w:val="TableText"/>
              <w:ind w:left="31" w:right="91" w:firstLine="59"/>
              <w:spacing w:before="8" w:line="226" w:lineRule="auto"/>
              <w:rPr>
                <w:sz w:val="16"/>
                <w:szCs w:val="16"/>
              </w:rPr>
            </w:pPr>
            <w:r>
              <w:rPr>
                <w:sz w:val="16"/>
                <w:szCs w:val="16"/>
              </w:rPr>
              <w:t>(二)对部分出版物在出版环节执行增值税先征后退50%</w:t>
            </w:r>
            <w:r>
              <w:rPr>
                <w:sz w:val="16"/>
                <w:szCs w:val="16"/>
                <w:spacing w:val="2"/>
              </w:rPr>
              <w:t xml:space="preserve"> </w:t>
            </w:r>
            <w:r>
              <w:rPr>
                <w:sz w:val="16"/>
                <w:szCs w:val="16"/>
                <w:spacing w:val="2"/>
              </w:rPr>
              <w:t>的政策</w:t>
            </w:r>
          </w:p>
          <w:p>
            <w:pPr>
              <w:pStyle w:val="TableText"/>
              <w:ind w:left="11" w:right="42" w:firstLine="40"/>
              <w:spacing w:before="19" w:line="214" w:lineRule="auto"/>
              <w:rPr>
                <w:sz w:val="16"/>
                <w:szCs w:val="16"/>
              </w:rPr>
            </w:pPr>
            <w:r>
              <w:rPr>
                <w:sz w:val="16"/>
                <w:szCs w:val="16"/>
              </w:rPr>
              <w:t>(三)对部分印刷、制作业务执行增值税100%先征后退的</w:t>
            </w:r>
            <w:r>
              <w:rPr>
                <w:sz w:val="16"/>
                <w:szCs w:val="16"/>
                <w:spacing w:val="11"/>
              </w:rPr>
              <w:t xml:space="preserve"> </w:t>
            </w:r>
            <w:r>
              <w:rPr>
                <w:sz w:val="16"/>
                <w:szCs w:val="16"/>
                <w:spacing w:val="-2"/>
              </w:rPr>
              <w:t>政策</w:t>
            </w:r>
          </w:p>
          <w:p>
            <w:pPr>
              <w:pStyle w:val="TableText"/>
              <w:ind w:left="11" w:right="263"/>
              <w:spacing w:before="27" w:line="220" w:lineRule="auto"/>
              <w:rPr>
                <w:sz w:val="16"/>
                <w:szCs w:val="16"/>
              </w:rPr>
            </w:pPr>
            <w:r>
              <w:rPr>
                <w:sz w:val="16"/>
                <w:szCs w:val="16"/>
              </w:rPr>
              <w:t>二、自2021年1月1日起至2023年1</w:t>
            </w:r>
            <w:r>
              <w:rPr>
                <w:sz w:val="16"/>
                <w:szCs w:val="16"/>
                <w:spacing w:val="-1"/>
              </w:rPr>
              <w:t>2月31日，免征图书</w:t>
            </w:r>
            <w:r>
              <w:rPr>
                <w:sz w:val="16"/>
                <w:szCs w:val="16"/>
              </w:rPr>
              <w:t xml:space="preserve"> </w:t>
            </w:r>
            <w:r>
              <w:rPr>
                <w:sz w:val="16"/>
                <w:szCs w:val="16"/>
              </w:rPr>
              <w:t>批发、零售环节增值税。</w:t>
            </w:r>
          </w:p>
          <w:p>
            <w:pPr>
              <w:pStyle w:val="TableText"/>
              <w:ind w:left="21"/>
              <w:spacing w:before="9" w:line="219" w:lineRule="auto"/>
              <w:rPr>
                <w:sz w:val="16"/>
                <w:szCs w:val="16"/>
              </w:rPr>
            </w:pPr>
            <w:r>
              <w:rPr>
                <w:sz w:val="16"/>
                <w:szCs w:val="16"/>
              </w:rPr>
              <w:t>三、自2021年1月1日起至2023年12月3</w:t>
            </w:r>
            <w:r>
              <w:rPr>
                <w:sz w:val="16"/>
                <w:szCs w:val="16"/>
                <w:spacing w:val="-1"/>
              </w:rPr>
              <w:t>1日，对科普单</w:t>
            </w:r>
          </w:p>
          <w:p>
            <w:pPr>
              <w:pStyle w:val="TableText"/>
              <w:ind w:left="21" w:firstLine="10"/>
              <w:spacing w:before="21" w:line="225" w:lineRule="auto"/>
              <w:rPr>
                <w:sz w:val="16"/>
                <w:szCs w:val="16"/>
              </w:rPr>
            </w:pPr>
            <w:r>
              <w:rPr>
                <w:sz w:val="16"/>
                <w:szCs w:val="16"/>
                <w:spacing w:val="-11"/>
              </w:rPr>
              <w:t>位的门</w:t>
            </w:r>
            <w:r>
              <w:rPr>
                <w:sz w:val="16"/>
                <w:szCs w:val="16"/>
                <w:spacing w:val="-10"/>
              </w:rPr>
              <w:t>票收入，以及县级及以上党政部门和科协开展科普</w:t>
            </w:r>
            <w:r>
              <w:rPr>
                <w:sz w:val="16"/>
                <w:szCs w:val="16"/>
                <w:spacing w:val="-7"/>
              </w:rPr>
              <w:t>活</w:t>
            </w:r>
            <w:r>
              <w:rPr>
                <w:sz w:val="16"/>
                <w:szCs w:val="16"/>
                <w:spacing w:val="13"/>
              </w:rPr>
              <w:t xml:space="preserve"> </w:t>
            </w:r>
            <w:r>
              <w:rPr>
                <w:sz w:val="16"/>
                <w:szCs w:val="16"/>
                <w:spacing w:val="-1"/>
              </w:rPr>
              <w:t>动的门票收入免征增值税。</w:t>
            </w:r>
          </w:p>
        </w:tc>
        <w:tc>
          <w:tcPr>
            <w:tcW w:w="2158" w:type="dxa"/>
            <w:vAlign w:val="top"/>
          </w:tcPr>
          <w:p>
            <w:pPr>
              <w:pStyle w:val="TableText"/>
              <w:ind w:left="34" w:right="39"/>
              <w:spacing w:before="147" w:line="222" w:lineRule="auto"/>
              <w:jc w:val="both"/>
              <w:rPr>
                <w:sz w:val="16"/>
                <w:szCs w:val="16"/>
              </w:rPr>
            </w:pPr>
            <w:r>
              <w:rPr>
                <w:sz w:val="16"/>
                <w:szCs w:val="16"/>
                <w:spacing w:val="-1"/>
              </w:rPr>
              <w:t>财政部、税务总局《关于延续</w:t>
            </w:r>
            <w:r>
              <w:rPr>
                <w:sz w:val="16"/>
                <w:szCs w:val="16"/>
                <w:spacing w:val="5"/>
              </w:rPr>
              <w:t xml:space="preserve"> </w:t>
            </w:r>
            <w:r>
              <w:rPr>
                <w:sz w:val="16"/>
                <w:szCs w:val="16"/>
                <w:spacing w:val="-1"/>
              </w:rPr>
              <w:t>宣传文化增值税优惠政策的公</w:t>
            </w:r>
            <w:r>
              <w:rPr>
                <w:sz w:val="16"/>
                <w:szCs w:val="16"/>
                <w:spacing w:val="3"/>
              </w:rPr>
              <w:t xml:space="preserve"> </w:t>
            </w:r>
            <w:r>
              <w:rPr>
                <w:sz w:val="16"/>
                <w:szCs w:val="16"/>
                <w:spacing w:val="1"/>
              </w:rPr>
              <w:t>告》2021年第10号公告</w:t>
            </w:r>
          </w:p>
        </w:tc>
        <w:tc>
          <w:tcPr>
            <w:tcW w:w="889" w:type="dxa"/>
            <w:vAlign w:val="top"/>
          </w:tcPr>
          <w:p>
            <w:pPr>
              <w:pStyle w:val="TableText"/>
              <w:ind w:left="16" w:right="9" w:firstLine="60"/>
              <w:spacing w:before="149" w:line="230" w:lineRule="auto"/>
              <w:rPr>
                <w:sz w:val="16"/>
                <w:szCs w:val="16"/>
              </w:rPr>
            </w:pPr>
            <w:r>
              <w:rPr>
                <w:sz w:val="16"/>
                <w:szCs w:val="16"/>
                <w:spacing w:val="1"/>
              </w:rPr>
              <w:t>自2021年1 </w:t>
            </w:r>
            <w:r>
              <w:rPr>
                <w:sz w:val="16"/>
                <w:szCs w:val="16"/>
                <w:spacing w:val="9"/>
              </w:rPr>
              <w:t>月1日起至</w:t>
            </w:r>
            <w:r>
              <w:rPr>
                <w:sz w:val="16"/>
                <w:szCs w:val="16"/>
                <w:spacing w:val="1"/>
              </w:rPr>
              <w:t xml:space="preserve">  </w:t>
            </w:r>
            <w:r>
              <w:rPr>
                <w:sz w:val="16"/>
                <w:szCs w:val="16"/>
                <w:spacing w:val="6"/>
              </w:rPr>
              <w:t>2023年12月</w:t>
            </w:r>
            <w:r>
              <w:rPr>
                <w:sz w:val="16"/>
                <w:szCs w:val="16"/>
                <w:spacing w:val="3"/>
              </w:rPr>
              <w:t xml:space="preserve"> </w:t>
            </w:r>
            <w:r>
              <w:rPr>
                <w:sz w:val="16"/>
                <w:szCs w:val="16"/>
                <w:spacing w:val="9"/>
              </w:rPr>
              <w:t>31日</w:t>
            </w:r>
          </w:p>
        </w:tc>
        <w:tc>
          <w:tcPr>
            <w:tcW w:w="849" w:type="dxa"/>
            <w:vAlign w:val="top"/>
          </w:tcPr>
          <w:p>
            <w:pPr>
              <w:pStyle w:val="TableText"/>
              <w:ind w:left="177" w:right="29" w:hanging="159"/>
              <w:spacing w:before="146" w:line="230" w:lineRule="auto"/>
              <w:rPr>
                <w:sz w:val="16"/>
                <w:szCs w:val="16"/>
              </w:rPr>
            </w:pPr>
            <w:r>
              <w:rPr>
                <w:sz w:val="16"/>
                <w:szCs w:val="16"/>
                <w:spacing w:val="-2"/>
              </w:rPr>
              <w:t>宣传文化行</w:t>
            </w:r>
            <w:r>
              <w:rPr>
                <w:sz w:val="16"/>
                <w:szCs w:val="16"/>
              </w:rPr>
              <w:t xml:space="preserve"> </w:t>
            </w:r>
            <w:r>
              <w:rPr>
                <w:sz w:val="16"/>
                <w:szCs w:val="16"/>
                <w:spacing w:val="-2"/>
              </w:rPr>
              <w:t>业企业</w:t>
            </w:r>
          </w:p>
        </w:tc>
        <w:tc>
          <w:tcPr>
            <w:tcW w:w="1029" w:type="dxa"/>
            <w:vAlign w:val="top"/>
          </w:tcPr>
          <w:p>
            <w:pPr>
              <w:pStyle w:val="TableText"/>
              <w:ind w:left="269"/>
              <w:spacing w:before="137" w:line="219" w:lineRule="auto"/>
              <w:rPr>
                <w:sz w:val="16"/>
                <w:szCs w:val="16"/>
              </w:rPr>
            </w:pPr>
            <w:r>
              <w:rPr>
                <w:sz w:val="16"/>
                <w:szCs w:val="16"/>
                <w:spacing w:val="-2"/>
              </w:rPr>
              <w:t>增值税</w:t>
            </w:r>
          </w:p>
        </w:tc>
        <w:tc>
          <w:tcPr>
            <w:tcW w:w="464" w:type="dxa"/>
            <w:vAlign w:val="top"/>
          </w:tcPr>
          <w:p>
            <w:pPr>
              <w:pStyle w:val="TableText"/>
              <w:ind w:left="61" w:hanging="42"/>
              <w:spacing w:before="137" w:line="225" w:lineRule="auto"/>
              <w:rPr>
                <w:sz w:val="16"/>
                <w:szCs w:val="16"/>
              </w:rPr>
            </w:pPr>
            <w:r>
              <w:rPr>
                <w:sz w:val="16"/>
                <w:szCs w:val="16"/>
                <w:spacing w:val="-16"/>
              </w:rPr>
              <w:t>免征、</w:t>
            </w:r>
            <w:r>
              <w:rPr>
                <w:sz w:val="16"/>
                <w:szCs w:val="16"/>
                <w:spacing w:val="1"/>
              </w:rPr>
              <w:t xml:space="preserve"> </w:t>
            </w:r>
            <w:r>
              <w:rPr>
                <w:sz w:val="16"/>
                <w:szCs w:val="16"/>
                <w:spacing w:val="-14"/>
              </w:rPr>
              <w:t>减征</w:t>
            </w:r>
          </w:p>
        </w:tc>
      </w:tr>
      <w:tr>
        <w:trPr>
          <w:trHeight w:val="1228" w:hRule="atLeast"/>
        </w:trPr>
        <w:tc>
          <w:tcPr>
            <w:tcW w:w="284" w:type="dxa"/>
            <w:vAlign w:val="top"/>
          </w:tcPr>
          <w:p>
            <w:pPr>
              <w:spacing w:line="263" w:lineRule="auto"/>
              <w:rPr>
                <w:rFonts w:ascii="Arial"/>
                <w:sz w:val="21"/>
              </w:rPr>
            </w:pPr>
            <w:r/>
          </w:p>
          <w:p>
            <w:pPr>
              <w:spacing w:line="264" w:lineRule="auto"/>
              <w:rPr>
                <w:rFonts w:ascii="Arial"/>
                <w:sz w:val="21"/>
              </w:rPr>
            </w:pPr>
            <w:r/>
          </w:p>
          <w:p>
            <w:pPr>
              <w:pStyle w:val="TableText"/>
              <w:ind w:left="55"/>
              <w:spacing w:before="52" w:line="183" w:lineRule="auto"/>
              <w:rPr>
                <w:sz w:val="16"/>
                <w:szCs w:val="16"/>
              </w:rPr>
            </w:pPr>
            <w:r>
              <w:rPr>
                <w:sz w:val="16"/>
                <w:szCs w:val="16"/>
                <w:spacing w:val="-3"/>
              </w:rPr>
              <w:t>26</w:t>
            </w:r>
          </w:p>
        </w:tc>
        <w:tc>
          <w:tcPr>
            <w:tcW w:w="3956" w:type="dxa"/>
            <w:vAlign w:val="top"/>
          </w:tcPr>
          <w:p>
            <w:pPr>
              <w:pStyle w:val="TableText"/>
              <w:ind w:left="11"/>
              <w:spacing w:before="174" w:line="223" w:lineRule="auto"/>
              <w:rPr>
                <w:sz w:val="16"/>
                <w:szCs w:val="16"/>
              </w:rPr>
            </w:pPr>
            <w:r>
              <w:rPr>
                <w:sz w:val="16"/>
                <w:szCs w:val="16"/>
                <w:spacing w:val="-10"/>
              </w:rPr>
              <w:t>制造业企业开展研发活动中实际发生的研发费用，未形成无</w:t>
            </w:r>
            <w:r>
              <w:rPr>
                <w:sz w:val="16"/>
                <w:szCs w:val="16"/>
                <w:spacing w:val="13"/>
              </w:rPr>
              <w:t xml:space="preserve"> </w:t>
            </w:r>
            <w:r>
              <w:rPr>
                <w:sz w:val="16"/>
                <w:szCs w:val="16"/>
                <w:spacing w:val="-3"/>
              </w:rPr>
              <w:t>形资产计入当期损益的，在按规定据实扣除的基础上，自</w:t>
            </w:r>
            <w:r>
              <w:rPr>
                <w:sz w:val="16"/>
                <w:szCs w:val="16"/>
                <w:spacing w:val="8"/>
              </w:rPr>
              <w:t xml:space="preserve"> </w:t>
            </w:r>
            <w:r>
              <w:rPr>
                <w:sz w:val="16"/>
                <w:szCs w:val="16"/>
              </w:rPr>
              <w:t>2021年1月1日起，再按照实际发生额的100%在税前加计</w:t>
            </w:r>
            <w:r>
              <w:rPr>
                <w:sz w:val="16"/>
                <w:szCs w:val="16"/>
                <w:spacing w:val="4"/>
              </w:rPr>
              <w:t xml:space="preserve">  </w:t>
            </w:r>
            <w:r>
              <w:rPr>
                <w:sz w:val="16"/>
                <w:szCs w:val="16"/>
              </w:rPr>
              <w:t>扣除；形成无形资产的，自2021年1月1日起，按照无形</w:t>
            </w:r>
            <w:r>
              <w:rPr>
                <w:sz w:val="16"/>
                <w:szCs w:val="16"/>
                <w:spacing w:val="4"/>
              </w:rPr>
              <w:t xml:space="preserve">  </w:t>
            </w:r>
            <w:r>
              <w:rPr>
                <w:sz w:val="16"/>
                <w:szCs w:val="16"/>
              </w:rPr>
              <w:t>资产成本的200%在税前摊销。</w:t>
            </w:r>
          </w:p>
        </w:tc>
        <w:tc>
          <w:tcPr>
            <w:tcW w:w="2158" w:type="dxa"/>
            <w:vAlign w:val="top"/>
          </w:tcPr>
          <w:p>
            <w:pPr>
              <w:pStyle w:val="TableText"/>
              <w:ind w:left="14" w:right="38" w:firstLine="20"/>
              <w:spacing w:before="172" w:line="221" w:lineRule="auto"/>
              <w:jc w:val="both"/>
              <w:rPr>
                <w:sz w:val="16"/>
                <w:szCs w:val="16"/>
              </w:rPr>
            </w:pPr>
            <w:r>
              <w:rPr>
                <w:sz w:val="16"/>
                <w:szCs w:val="16"/>
                <w:spacing w:val="-1"/>
              </w:rPr>
              <w:t>财政部、税务总局《关于进一</w:t>
            </w:r>
            <w:r>
              <w:rPr>
                <w:sz w:val="16"/>
                <w:szCs w:val="16"/>
                <w:spacing w:val="5"/>
              </w:rPr>
              <w:t xml:space="preserve"> </w:t>
            </w:r>
            <w:r>
              <w:rPr>
                <w:sz w:val="16"/>
                <w:szCs w:val="16"/>
              </w:rPr>
              <w:t>步完善研发费用税前加计扣除</w:t>
            </w:r>
            <w:r>
              <w:rPr>
                <w:sz w:val="16"/>
                <w:szCs w:val="16"/>
                <w:spacing w:val="10"/>
              </w:rPr>
              <w:t xml:space="preserve"> </w:t>
            </w:r>
            <w:r>
              <w:rPr>
                <w:sz w:val="16"/>
                <w:szCs w:val="16"/>
              </w:rPr>
              <w:t>政策的公告》2021年第13号公</w:t>
            </w:r>
            <w:r>
              <w:rPr>
                <w:sz w:val="16"/>
                <w:szCs w:val="16"/>
                <w:spacing w:val="13"/>
              </w:rPr>
              <w:t xml:space="preserve"> </w:t>
            </w:r>
            <w:r>
              <w:rPr>
                <w:sz w:val="16"/>
                <w:szCs w:val="16"/>
              </w:rPr>
              <w:t>告</w:t>
            </w:r>
          </w:p>
        </w:tc>
        <w:tc>
          <w:tcPr>
            <w:tcW w:w="889" w:type="dxa"/>
            <w:vAlign w:val="top"/>
          </w:tcPr>
          <w:p>
            <w:pPr>
              <w:pStyle w:val="TableText"/>
              <w:ind w:left="36" w:right="65" w:firstLine="40"/>
              <w:spacing w:before="170" w:line="214" w:lineRule="auto"/>
              <w:rPr>
                <w:sz w:val="16"/>
                <w:szCs w:val="16"/>
              </w:rPr>
            </w:pPr>
            <w:r>
              <w:rPr>
                <w:sz w:val="16"/>
                <w:szCs w:val="16"/>
                <w:spacing w:val="2"/>
              </w:rPr>
              <w:t>自2021年1</w:t>
            </w:r>
            <w:r>
              <w:rPr>
                <w:sz w:val="16"/>
                <w:szCs w:val="16"/>
                <w:spacing w:val="1"/>
              </w:rPr>
              <w:t xml:space="preserve"> </w:t>
            </w:r>
            <w:r>
              <w:rPr>
                <w:sz w:val="16"/>
                <w:szCs w:val="16"/>
                <w:spacing w:val="-2"/>
              </w:rPr>
              <w:t>月1日起</w:t>
            </w:r>
          </w:p>
        </w:tc>
        <w:tc>
          <w:tcPr>
            <w:tcW w:w="849" w:type="dxa"/>
            <w:vAlign w:val="top"/>
          </w:tcPr>
          <w:p>
            <w:pPr>
              <w:pStyle w:val="TableText"/>
              <w:ind w:left="18"/>
              <w:spacing w:before="172" w:line="220" w:lineRule="auto"/>
              <w:rPr>
                <w:sz w:val="16"/>
                <w:szCs w:val="16"/>
              </w:rPr>
            </w:pPr>
            <w:r>
              <w:rPr>
                <w:sz w:val="16"/>
                <w:szCs w:val="16"/>
                <w:spacing w:val="-2"/>
              </w:rPr>
              <w:t>制造业企业</w:t>
            </w:r>
          </w:p>
        </w:tc>
        <w:tc>
          <w:tcPr>
            <w:tcW w:w="1029" w:type="dxa"/>
            <w:vAlign w:val="top"/>
          </w:tcPr>
          <w:p>
            <w:pPr>
              <w:pStyle w:val="TableText"/>
              <w:ind w:left="269"/>
              <w:spacing w:before="151" w:line="219" w:lineRule="auto"/>
              <w:rPr>
                <w:sz w:val="16"/>
                <w:szCs w:val="16"/>
              </w:rPr>
            </w:pPr>
            <w:r>
              <w:rPr>
                <w:sz w:val="16"/>
                <w:szCs w:val="16"/>
                <w:spacing w:val="-2"/>
              </w:rPr>
              <w:t>增值税</w:t>
            </w:r>
          </w:p>
        </w:tc>
        <w:tc>
          <w:tcPr>
            <w:tcW w:w="464" w:type="dxa"/>
            <w:vAlign w:val="top"/>
          </w:tcPr>
          <w:p>
            <w:pPr>
              <w:pStyle w:val="TableText"/>
              <w:ind w:left="70"/>
              <w:spacing w:before="151" w:line="219" w:lineRule="auto"/>
              <w:rPr>
                <w:sz w:val="16"/>
                <w:szCs w:val="16"/>
              </w:rPr>
            </w:pPr>
            <w:r>
              <w:rPr>
                <w:sz w:val="16"/>
                <w:szCs w:val="16"/>
                <w:spacing w:val="-2"/>
              </w:rPr>
              <w:t>减征</w:t>
            </w:r>
          </w:p>
        </w:tc>
      </w:tr>
      <w:tr>
        <w:trPr>
          <w:trHeight w:val="1622" w:hRule="atLeast"/>
        </w:trPr>
        <w:tc>
          <w:tcPr>
            <w:tcW w:w="284" w:type="dxa"/>
            <w:vAlign w:val="top"/>
          </w:tcPr>
          <w:p>
            <w:pPr>
              <w:spacing w:line="359" w:lineRule="auto"/>
              <w:rPr>
                <w:rFonts w:ascii="Arial"/>
                <w:sz w:val="21"/>
              </w:rPr>
            </w:pPr>
            <w:r/>
          </w:p>
          <w:p>
            <w:pPr>
              <w:spacing w:line="359" w:lineRule="auto"/>
              <w:rPr>
                <w:rFonts w:ascii="Arial"/>
                <w:sz w:val="21"/>
              </w:rPr>
            </w:pPr>
            <w:r/>
          </w:p>
          <w:p>
            <w:pPr>
              <w:pStyle w:val="TableText"/>
              <w:ind w:left="55"/>
              <w:spacing w:before="52" w:line="183" w:lineRule="auto"/>
              <w:rPr>
                <w:sz w:val="16"/>
                <w:szCs w:val="16"/>
              </w:rPr>
            </w:pPr>
            <w:r>
              <w:rPr>
                <w:sz w:val="16"/>
                <w:szCs w:val="16"/>
                <w:spacing w:val="-3"/>
              </w:rPr>
              <w:t>27</w:t>
            </w:r>
          </w:p>
        </w:tc>
        <w:tc>
          <w:tcPr>
            <w:tcW w:w="3956" w:type="dxa"/>
            <w:vAlign w:val="top"/>
          </w:tcPr>
          <w:p>
            <w:pPr>
              <w:pStyle w:val="TableText"/>
              <w:ind w:left="11" w:firstLine="117"/>
              <w:spacing w:before="163" w:line="225" w:lineRule="auto"/>
              <w:rPr>
                <w:sz w:val="16"/>
                <w:szCs w:val="16"/>
              </w:rPr>
            </w:pPr>
            <w:r>
              <w:rPr>
                <w:sz w:val="16"/>
                <w:szCs w:val="16"/>
                <w:spacing w:val="-3"/>
              </w:rPr>
              <w:t>自2020年5月1日至2023年12月31日，从事二手车经销   </w:t>
            </w:r>
            <w:r>
              <w:rPr>
                <w:sz w:val="16"/>
                <w:szCs w:val="16"/>
                <w:spacing w:val="-6"/>
              </w:rPr>
              <w:t>的纳税人销售其收购的二手车，由原按照简易办法依3%征</w:t>
            </w:r>
            <w:r>
              <w:rPr>
                <w:sz w:val="16"/>
                <w:szCs w:val="16"/>
                <w:spacing w:val="9"/>
              </w:rPr>
              <w:t xml:space="preserve">  </w:t>
            </w:r>
            <w:r>
              <w:rPr>
                <w:sz w:val="16"/>
                <w:szCs w:val="16"/>
                <w:spacing w:val="-2"/>
              </w:rPr>
              <w:t>收率减按2%征收增值税，改为减按0.5%征收增值税，并</w:t>
            </w:r>
            <w:r>
              <w:rPr>
                <w:sz w:val="16"/>
                <w:szCs w:val="16"/>
                <w:spacing w:val="4"/>
              </w:rPr>
              <w:t xml:space="preserve">  </w:t>
            </w:r>
            <w:r>
              <w:rPr>
                <w:sz w:val="16"/>
                <w:szCs w:val="16"/>
                <w:spacing w:val="-2"/>
              </w:rPr>
              <w:t>按下列公式计算销售额：销售额=含税销售额/(1</w:t>
            </w:r>
            <w:r>
              <w:rPr>
                <w:sz w:val="16"/>
                <w:szCs w:val="16"/>
                <w:spacing w:val="-3"/>
              </w:rPr>
              <w:t>+0.5%)、</w:t>
            </w:r>
          </w:p>
        </w:tc>
        <w:tc>
          <w:tcPr>
            <w:tcW w:w="2158" w:type="dxa"/>
            <w:vAlign w:val="top"/>
          </w:tcPr>
          <w:p>
            <w:pPr>
              <w:pStyle w:val="TableText"/>
              <w:ind w:left="34" w:right="20" w:firstLine="40"/>
              <w:spacing w:before="163" w:line="219" w:lineRule="auto"/>
              <w:rPr>
                <w:sz w:val="16"/>
                <w:szCs w:val="16"/>
              </w:rPr>
            </w:pPr>
            <w:r>
              <w:rPr>
                <w:sz w:val="16"/>
                <w:szCs w:val="16"/>
              </w:rPr>
              <w:t>(1)财政部、税务总局《关于</w:t>
            </w:r>
            <w:r>
              <w:rPr>
                <w:sz w:val="16"/>
                <w:szCs w:val="16"/>
                <w:spacing w:val="8"/>
              </w:rPr>
              <w:t xml:space="preserve"> </w:t>
            </w:r>
            <w:r>
              <w:rPr>
                <w:sz w:val="16"/>
                <w:szCs w:val="16"/>
              </w:rPr>
              <w:t>二手车经销有关增值税政策的</w:t>
            </w:r>
          </w:p>
          <w:p>
            <w:pPr>
              <w:pStyle w:val="TableText"/>
              <w:ind w:left="44"/>
              <w:spacing w:before="8" w:line="218" w:lineRule="auto"/>
              <w:rPr>
                <w:sz w:val="16"/>
                <w:szCs w:val="16"/>
              </w:rPr>
            </w:pPr>
            <w:r>
              <w:rPr>
                <w:sz w:val="16"/>
                <w:szCs w:val="16"/>
              </w:rPr>
              <w:t>公告》2020年第17号公告</w:t>
            </w:r>
          </w:p>
          <w:p>
            <w:pPr>
              <w:pStyle w:val="TableText"/>
              <w:ind w:left="24" w:right="41" w:firstLine="50"/>
              <w:spacing w:before="13" w:line="227" w:lineRule="auto"/>
              <w:rPr>
                <w:sz w:val="16"/>
                <w:szCs w:val="16"/>
              </w:rPr>
            </w:pPr>
            <w:r>
              <w:rPr>
                <w:sz w:val="16"/>
                <w:szCs w:val="16"/>
              </w:rPr>
              <w:t>(2)国家税务总局《关于明确</w:t>
            </w:r>
            <w:r>
              <w:rPr>
                <w:sz w:val="16"/>
                <w:szCs w:val="16"/>
                <w:spacing w:val="11"/>
              </w:rPr>
              <w:t xml:space="preserve"> </w:t>
            </w:r>
            <w:r>
              <w:rPr>
                <w:sz w:val="16"/>
                <w:szCs w:val="16"/>
              </w:rPr>
              <w:t>二手车经销等若干增值税征管 </w:t>
            </w:r>
            <w:r>
              <w:rPr>
                <w:sz w:val="16"/>
                <w:szCs w:val="16"/>
                <w:spacing w:val="3"/>
              </w:rPr>
              <w:t>问题的公告》2020年第9号公</w:t>
            </w:r>
            <w:r>
              <w:rPr>
                <w:sz w:val="16"/>
                <w:szCs w:val="16"/>
                <w:spacing w:val="13"/>
              </w:rPr>
              <w:t xml:space="preserve"> </w:t>
            </w:r>
            <w:r>
              <w:rPr>
                <w:sz w:val="16"/>
                <w:szCs w:val="16"/>
              </w:rPr>
              <w:t>告</w:t>
            </w:r>
          </w:p>
        </w:tc>
        <w:tc>
          <w:tcPr>
            <w:tcW w:w="889" w:type="dxa"/>
            <w:vAlign w:val="top"/>
          </w:tcPr>
          <w:p>
            <w:pPr>
              <w:pStyle w:val="TableText"/>
              <w:ind w:left="16" w:right="9"/>
              <w:spacing w:before="154" w:line="230" w:lineRule="auto"/>
              <w:rPr>
                <w:sz w:val="16"/>
                <w:szCs w:val="16"/>
              </w:rPr>
            </w:pPr>
            <w:r>
              <w:rPr>
                <w:sz w:val="16"/>
                <w:szCs w:val="16"/>
                <w:spacing w:val="-12"/>
              </w:rPr>
              <w:t>自</w:t>
            </w:r>
            <w:r>
              <w:rPr>
                <w:sz w:val="16"/>
                <w:szCs w:val="16"/>
                <w:spacing w:val="-24"/>
              </w:rPr>
              <w:t xml:space="preserve"> </w:t>
            </w:r>
            <w:r>
              <w:rPr>
                <w:sz w:val="16"/>
                <w:szCs w:val="16"/>
                <w:spacing w:val="-12"/>
              </w:rPr>
              <w:t>2</w:t>
            </w:r>
            <w:r>
              <w:rPr>
                <w:sz w:val="16"/>
                <w:szCs w:val="16"/>
                <w:spacing w:val="-25"/>
              </w:rPr>
              <w:t xml:space="preserve"> </w:t>
            </w:r>
            <w:r>
              <w:rPr>
                <w:sz w:val="16"/>
                <w:szCs w:val="16"/>
                <w:spacing w:val="-12"/>
              </w:rPr>
              <w:t>0</w:t>
            </w:r>
            <w:r>
              <w:rPr>
                <w:sz w:val="16"/>
                <w:szCs w:val="16"/>
                <w:spacing w:val="-24"/>
              </w:rPr>
              <w:t xml:space="preserve"> </w:t>
            </w:r>
            <w:r>
              <w:rPr>
                <w:sz w:val="16"/>
                <w:szCs w:val="16"/>
                <w:spacing w:val="-12"/>
              </w:rPr>
              <w:t>2</w:t>
            </w:r>
            <w:r>
              <w:rPr>
                <w:sz w:val="16"/>
                <w:szCs w:val="16"/>
                <w:spacing w:val="-24"/>
              </w:rPr>
              <w:t xml:space="preserve"> </w:t>
            </w:r>
            <w:r>
              <w:rPr>
                <w:sz w:val="16"/>
                <w:szCs w:val="16"/>
                <w:spacing w:val="-12"/>
              </w:rPr>
              <w:t>0</w:t>
            </w:r>
            <w:r>
              <w:rPr>
                <w:sz w:val="16"/>
                <w:szCs w:val="16"/>
                <w:spacing w:val="-26"/>
              </w:rPr>
              <w:t xml:space="preserve"> </w:t>
            </w:r>
            <w:r>
              <w:rPr>
                <w:sz w:val="16"/>
                <w:szCs w:val="16"/>
                <w:spacing w:val="-12"/>
              </w:rPr>
              <w:t>年</w:t>
            </w:r>
            <w:r>
              <w:rPr>
                <w:sz w:val="16"/>
                <w:szCs w:val="16"/>
              </w:rPr>
              <w:t xml:space="preserve"> </w:t>
            </w:r>
            <w:r>
              <w:rPr>
                <w:sz w:val="16"/>
                <w:szCs w:val="16"/>
                <w:spacing w:val="8"/>
              </w:rPr>
              <w:t>5月1日 至</w:t>
            </w:r>
            <w:r>
              <w:rPr>
                <w:sz w:val="16"/>
                <w:szCs w:val="16"/>
              </w:rPr>
              <w:t xml:space="preserve">  </w:t>
            </w:r>
            <w:r>
              <w:rPr>
                <w:sz w:val="16"/>
                <w:szCs w:val="16"/>
                <w:spacing w:val="6"/>
              </w:rPr>
              <w:t>2023年12月</w:t>
            </w:r>
            <w:r>
              <w:rPr>
                <w:sz w:val="16"/>
                <w:szCs w:val="16"/>
                <w:spacing w:val="3"/>
              </w:rPr>
              <w:t xml:space="preserve"> </w:t>
            </w:r>
            <w:r>
              <w:rPr>
                <w:sz w:val="16"/>
                <w:szCs w:val="16"/>
                <w:spacing w:val="9"/>
              </w:rPr>
              <w:t>31日</w:t>
            </w:r>
          </w:p>
        </w:tc>
        <w:tc>
          <w:tcPr>
            <w:tcW w:w="849" w:type="dxa"/>
            <w:vAlign w:val="top"/>
          </w:tcPr>
          <w:p>
            <w:pPr>
              <w:pStyle w:val="TableText"/>
              <w:ind w:left="18"/>
              <w:spacing w:before="153" w:line="219" w:lineRule="auto"/>
              <w:rPr>
                <w:sz w:val="16"/>
                <w:szCs w:val="16"/>
              </w:rPr>
            </w:pPr>
            <w:r>
              <w:rPr>
                <w:sz w:val="16"/>
                <w:szCs w:val="16"/>
                <w:spacing w:val="-2"/>
              </w:rPr>
              <w:t>从事二手车</w:t>
            </w:r>
          </w:p>
          <w:p>
            <w:pPr>
              <w:pStyle w:val="TableText"/>
              <w:ind w:left="18"/>
              <w:spacing w:before="20" w:line="210" w:lineRule="auto"/>
              <w:rPr>
                <w:sz w:val="16"/>
                <w:szCs w:val="16"/>
              </w:rPr>
            </w:pPr>
            <w:r>
              <w:rPr>
                <w:sz w:val="16"/>
                <w:szCs w:val="16"/>
                <w:spacing w:val="-2"/>
              </w:rPr>
              <w:t>经销的纳税</w:t>
            </w:r>
          </w:p>
          <w:p>
            <w:pPr>
              <w:pStyle w:val="TableText"/>
              <w:ind w:left="338"/>
              <w:spacing w:line="222" w:lineRule="auto"/>
              <w:rPr>
                <w:sz w:val="16"/>
                <w:szCs w:val="16"/>
              </w:rPr>
            </w:pPr>
            <w:r>
              <w:rPr>
                <w:sz w:val="16"/>
                <w:szCs w:val="16"/>
              </w:rPr>
              <w:t>人</w:t>
            </w:r>
          </w:p>
        </w:tc>
        <w:tc>
          <w:tcPr>
            <w:tcW w:w="1029" w:type="dxa"/>
            <w:vAlign w:val="top"/>
          </w:tcPr>
          <w:p>
            <w:pPr>
              <w:pStyle w:val="TableText"/>
              <w:ind w:left="269"/>
              <w:spacing w:before="143" w:line="219" w:lineRule="auto"/>
              <w:rPr>
                <w:sz w:val="16"/>
                <w:szCs w:val="16"/>
              </w:rPr>
            </w:pPr>
            <w:r>
              <w:rPr>
                <w:sz w:val="16"/>
                <w:szCs w:val="16"/>
                <w:spacing w:val="-2"/>
              </w:rPr>
              <w:t>增值税</w:t>
            </w:r>
          </w:p>
        </w:tc>
        <w:tc>
          <w:tcPr>
            <w:tcW w:w="464" w:type="dxa"/>
            <w:vAlign w:val="top"/>
          </w:tcPr>
          <w:p>
            <w:pPr>
              <w:pStyle w:val="TableText"/>
              <w:ind w:left="70"/>
              <w:spacing w:before="143" w:line="219" w:lineRule="auto"/>
              <w:rPr>
                <w:sz w:val="16"/>
                <w:szCs w:val="16"/>
              </w:rPr>
            </w:pPr>
            <w:r>
              <w:rPr>
                <w:sz w:val="16"/>
                <w:szCs w:val="16"/>
                <w:spacing w:val="-2"/>
              </w:rPr>
              <w:t>减征</w:t>
            </w:r>
          </w:p>
        </w:tc>
      </w:tr>
    </w:tbl>
    <w:p>
      <w:pPr>
        <w:pStyle w:val="BodyText"/>
        <w:rPr/>
      </w:pPr>
      <w:r/>
    </w:p>
    <w:p>
      <w:pPr>
        <w:sectPr>
          <w:pgSz w:w="11910" w:h="8220"/>
          <w:pgMar w:top="400" w:right="1145" w:bottom="400" w:left="809" w:header="0" w:footer="0" w:gutter="0"/>
        </w:sectPr>
        <w:rPr/>
      </w:pPr>
    </w:p>
    <w:p>
      <w:pPr>
        <w:spacing w:before="51"/>
        <w:rPr/>
      </w:pPr>
      <w:r>
        <w:pict>
          <v:shape id="_x0000_s26" style="position:absolute;margin-left:38.9997pt;margin-top:349.992pt;mso-position-vertical-relative:page;mso-position-horizontal-relative:page;width:6.45pt;height:11.95pt;z-index:251682816;"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0"/>
                      <w:szCs w:val="20"/>
                    </w:rPr>
                  </w:pPr>
                  <w:r>
                    <w:rPr>
                      <w:rFonts w:ascii="SimSun" w:hAnsi="SimSun" w:eastAsia="SimSun" w:cs="SimSun"/>
                      <w:sz w:val="20"/>
                      <w:szCs w:val="20"/>
                    </w:rPr>
                    <w:t>3</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9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098" w:hRule="atLeast"/>
        </w:trPr>
        <w:tc>
          <w:tcPr>
            <w:tcW w:w="284" w:type="dxa"/>
            <w:vAlign w:val="top"/>
          </w:tcPr>
          <w:p>
            <w:pPr>
              <w:spacing w:line="464" w:lineRule="auto"/>
              <w:rPr>
                <w:rFonts w:ascii="Arial"/>
                <w:sz w:val="21"/>
              </w:rPr>
            </w:pPr>
            <w:r/>
          </w:p>
          <w:p>
            <w:pPr>
              <w:pStyle w:val="TableText"/>
              <w:ind w:left="55"/>
              <w:spacing w:before="49" w:line="183" w:lineRule="auto"/>
              <w:rPr/>
            </w:pPr>
            <w:r>
              <w:rPr>
                <w:spacing w:val="-2"/>
              </w:rPr>
              <w:t>28</w:t>
            </w:r>
          </w:p>
        </w:tc>
        <w:tc>
          <w:tcPr>
            <w:tcW w:w="3986" w:type="dxa"/>
            <w:vAlign w:val="top"/>
          </w:tcPr>
          <w:p>
            <w:pPr>
              <w:pStyle w:val="TableText"/>
              <w:ind w:left="31"/>
              <w:spacing w:before="197" w:line="219" w:lineRule="auto"/>
              <w:rPr/>
            </w:pPr>
            <w:r>
              <w:rPr/>
              <w:t>对国际航行船舶在我国沿海港口加注的燃料</w:t>
            </w:r>
            <w:r>
              <w:rPr>
                <w:spacing w:val="-1"/>
              </w:rPr>
              <w:t>油，实行出口退</w:t>
            </w:r>
          </w:p>
          <w:p>
            <w:pPr>
              <w:pStyle w:val="TableText"/>
              <w:ind w:left="110"/>
              <w:spacing w:before="2" w:line="219" w:lineRule="auto"/>
              <w:rPr/>
            </w:pPr>
            <w:r>
              <w:rPr>
                <w:spacing w:val="-1"/>
              </w:rPr>
              <w:t>(免)税政策，增值税出口退税率为13%。</w:t>
            </w:r>
          </w:p>
        </w:tc>
        <w:tc>
          <w:tcPr>
            <w:tcW w:w="2128" w:type="dxa"/>
            <w:vAlign w:val="top"/>
          </w:tcPr>
          <w:p>
            <w:pPr>
              <w:pStyle w:val="TableText"/>
              <w:ind w:left="24" w:firstLine="59"/>
              <w:spacing w:before="195" w:line="236" w:lineRule="auto"/>
              <w:tabs>
                <w:tab w:val="left" w:pos="2116"/>
              </w:tabs>
              <w:jc w:val="both"/>
              <w:rPr/>
            </w:pPr>
            <w:r>
              <w:rPr>
                <w:spacing w:val="-2"/>
              </w:rPr>
              <w:t>财政部、税务总局、海关总署</w:t>
            </w:r>
            <w:r>
              <w:rPr>
                <w:spacing w:val="2"/>
              </w:rPr>
              <w:t xml:space="preserve">  </w:t>
            </w:r>
            <w:r>
              <w:rPr>
                <w:spacing w:val="-1"/>
              </w:rPr>
              <w:t>《关于对国际航行船舶加注燃</w:t>
            </w:r>
            <w:r>
              <w:rPr/>
              <w:tab/>
            </w:r>
            <w:r>
              <w:rPr/>
              <w:t xml:space="preserve"> </w:t>
            </w:r>
            <w:r>
              <w:rPr>
                <w:spacing w:val="-1"/>
              </w:rPr>
              <w:t>料油实行出口退税政策的公告》</w:t>
            </w:r>
            <w:r>
              <w:rPr>
                <w:spacing w:val="6"/>
              </w:rPr>
              <w:t xml:space="preserve"> </w:t>
            </w:r>
            <w:r>
              <w:rPr>
                <w:spacing w:val="-2"/>
              </w:rPr>
              <w:t>2020年第4号公告</w:t>
            </w:r>
          </w:p>
        </w:tc>
        <w:tc>
          <w:tcPr>
            <w:tcW w:w="899" w:type="dxa"/>
            <w:vAlign w:val="top"/>
          </w:tcPr>
          <w:p>
            <w:pPr>
              <w:pStyle w:val="TableText"/>
              <w:ind w:left="26" w:firstLine="19"/>
              <w:spacing w:before="186" w:line="233" w:lineRule="auto"/>
              <w:rPr/>
            </w:pPr>
            <w:r>
              <w:rPr>
                <w:spacing w:val="23"/>
              </w:rPr>
              <w:t>自2020年2</w:t>
            </w:r>
            <w:r>
              <w:rPr>
                <w:spacing w:val="5"/>
              </w:rPr>
              <w:t xml:space="preserve"> </w:t>
            </w:r>
            <w:r>
              <w:rPr>
                <w:spacing w:val="-3"/>
              </w:rPr>
              <w:t>月1日起</w:t>
            </w:r>
          </w:p>
        </w:tc>
        <w:tc>
          <w:tcPr>
            <w:tcW w:w="849" w:type="dxa"/>
            <w:vAlign w:val="top"/>
          </w:tcPr>
          <w:p>
            <w:pPr>
              <w:pStyle w:val="TableText"/>
              <w:ind w:left="348" w:right="35" w:hanging="300"/>
              <w:spacing w:before="187" w:line="214" w:lineRule="auto"/>
              <w:rPr/>
            </w:pPr>
            <w:r>
              <w:rPr>
                <w:spacing w:val="1"/>
              </w:rPr>
              <w:t>国际航行船</w:t>
            </w:r>
            <w:r>
              <w:rPr/>
              <w:t xml:space="preserve"> </w:t>
            </w:r>
            <w:r>
              <w:rPr/>
              <w:t>舶</w:t>
            </w:r>
          </w:p>
        </w:tc>
        <w:tc>
          <w:tcPr>
            <w:tcW w:w="1029" w:type="dxa"/>
            <w:vAlign w:val="top"/>
          </w:tcPr>
          <w:p>
            <w:pPr>
              <w:pStyle w:val="TableText"/>
              <w:ind w:left="289"/>
              <w:spacing w:before="187" w:line="219" w:lineRule="auto"/>
              <w:rPr/>
            </w:pPr>
            <w:r>
              <w:rPr>
                <w:spacing w:val="-2"/>
              </w:rPr>
              <w:t>增值税</w:t>
            </w:r>
          </w:p>
        </w:tc>
        <w:tc>
          <w:tcPr>
            <w:tcW w:w="464" w:type="dxa"/>
            <w:vAlign w:val="top"/>
          </w:tcPr>
          <w:p>
            <w:pPr>
              <w:pStyle w:val="TableText"/>
              <w:ind w:left="80"/>
              <w:spacing w:before="177" w:line="220" w:lineRule="auto"/>
              <w:rPr/>
            </w:pPr>
            <w:r>
              <w:rPr>
                <w:spacing w:val="-2"/>
              </w:rPr>
              <w:t>退税</w:t>
            </w:r>
          </w:p>
        </w:tc>
      </w:tr>
      <w:tr>
        <w:trPr>
          <w:trHeight w:val="3664" w:hRule="atLeast"/>
        </w:trPr>
        <w:tc>
          <w:tcPr>
            <w:tcW w:w="28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5"/>
              <w:spacing w:before="49" w:line="183" w:lineRule="auto"/>
              <w:rPr/>
            </w:pPr>
            <w:r>
              <w:rPr>
                <w:spacing w:val="-2"/>
              </w:rPr>
              <w:t>29</w:t>
            </w:r>
          </w:p>
        </w:tc>
        <w:tc>
          <w:tcPr>
            <w:tcW w:w="3986" w:type="dxa"/>
            <w:vAlign w:val="top"/>
          </w:tcPr>
          <w:p>
            <w:pPr>
              <w:pStyle w:val="TableText"/>
              <w:ind w:left="31" w:right="212"/>
              <w:spacing w:before="188" w:line="227" w:lineRule="auto"/>
              <w:rPr/>
            </w:pPr>
            <w:r>
              <w:rPr>
                <w:spacing w:val="-1"/>
              </w:rPr>
              <w:t>一、纳税人将国有农用地出租给农业生产者用于农业生产</w:t>
            </w:r>
            <w:r>
              <w:rPr>
                <w:spacing w:val="6"/>
              </w:rPr>
              <w:t xml:space="preserve"> </w:t>
            </w:r>
            <w:r>
              <w:rPr>
                <w:spacing w:val="-1"/>
              </w:rPr>
              <w:t>免征增值税。</w:t>
            </w:r>
          </w:p>
          <w:p>
            <w:pPr>
              <w:pStyle w:val="TableText"/>
              <w:ind w:left="31" w:right="53"/>
              <w:spacing w:before="31" w:line="233" w:lineRule="auto"/>
              <w:rPr/>
            </w:pPr>
            <w:r>
              <w:rPr>
                <w:spacing w:val="-1"/>
              </w:rPr>
              <w:t>二、房地产开发企业中的一般纳税人购入未完工的房地产老</w:t>
            </w:r>
            <w:r>
              <w:rPr>
                <w:spacing w:val="16"/>
              </w:rPr>
              <w:t xml:space="preserve"> </w:t>
            </w:r>
            <w:r>
              <w:rPr>
                <w:spacing w:val="-1"/>
              </w:rPr>
              <w:t>项目继续开发后，以自己名义立项销售的不动产，属于房地</w:t>
            </w:r>
          </w:p>
          <w:p>
            <w:pPr>
              <w:pStyle w:val="TableText"/>
              <w:ind w:left="21" w:right="120" w:firstLine="89"/>
              <w:spacing w:before="11" w:line="233" w:lineRule="auto"/>
              <w:rPr/>
            </w:pPr>
            <w:r>
              <w:rPr/>
              <w:t>产老项目，可以选择适用简易计税方法按照</w:t>
            </w:r>
            <w:r>
              <w:rPr>
                <w:spacing w:val="-1"/>
              </w:rPr>
              <w:t>5%的征收率计</w:t>
            </w:r>
            <w:r>
              <w:rPr/>
              <w:t xml:space="preserve"> </w:t>
            </w:r>
            <w:r>
              <w:rPr>
                <w:spacing w:val="-1"/>
              </w:rPr>
              <w:t>算缴纳增值税。</w:t>
            </w:r>
          </w:p>
          <w:p>
            <w:pPr>
              <w:pStyle w:val="TableText"/>
              <w:ind w:left="41" w:right="120" w:firstLine="69"/>
              <w:spacing w:before="31" w:line="227" w:lineRule="auto"/>
              <w:rPr/>
            </w:pPr>
            <w:r>
              <w:rPr>
                <w:spacing w:val="-1"/>
              </w:rPr>
              <w:t>三、保险公司按照《财政部税务总局关于明确养老机构免</w:t>
            </w:r>
            <w:r>
              <w:rPr>
                <w:spacing w:val="18"/>
              </w:rPr>
              <w:t xml:space="preserve"> </w:t>
            </w:r>
            <w:r>
              <w:rPr/>
              <w:t>征增值税等政策的通知》(财税〔2019</w:t>
            </w:r>
            <w:r>
              <w:rPr>
                <w:spacing w:val="-1"/>
              </w:rPr>
              <w:t>〕20号)第四条第</w:t>
            </w:r>
          </w:p>
          <w:p>
            <w:pPr>
              <w:pStyle w:val="TableText"/>
              <w:ind w:left="21" w:right="213" w:firstLine="10"/>
              <w:spacing w:before="31" w:line="228" w:lineRule="auto"/>
              <w:rPr/>
            </w:pPr>
            <w:r>
              <w:rPr>
                <w:spacing w:val="1"/>
              </w:rPr>
              <w:t>三项规定抵减以后月份应缴纳增值税，截至2020年12月  </w:t>
            </w:r>
            <w:r>
              <w:rPr>
                <w:spacing w:val="-1"/>
              </w:rPr>
              <w:t>31日抵减不完的，可以向主管税务机关申请一次性办理退</w:t>
            </w:r>
          </w:p>
          <w:p>
            <w:pPr>
              <w:pStyle w:val="TableText"/>
              <w:ind w:left="11"/>
              <w:spacing w:line="220" w:lineRule="auto"/>
              <w:rPr/>
            </w:pPr>
            <w:r>
              <w:rPr>
                <w:spacing w:val="-2"/>
              </w:rPr>
              <w:t>税。</w:t>
            </w:r>
          </w:p>
          <w:p>
            <w:pPr>
              <w:pStyle w:val="TableText"/>
              <w:ind w:left="31"/>
              <w:spacing w:before="29" w:line="219" w:lineRule="auto"/>
              <w:rPr/>
            </w:pPr>
            <w:r>
              <w:rPr/>
              <w:t>四、纳税人出口货物劳务、发生跨境应税行为，未在规定期</w:t>
            </w:r>
          </w:p>
          <w:p>
            <w:pPr>
              <w:pStyle w:val="TableText"/>
              <w:ind w:left="110" w:right="96" w:hanging="79"/>
              <w:spacing w:before="42" w:line="215" w:lineRule="auto"/>
              <w:rPr/>
            </w:pPr>
            <w:r>
              <w:rPr/>
              <w:t>限内申报出口退(免)税或者开具《代理出口货物证明》的</w:t>
            </w:r>
            <w:r>
              <w:rPr>
                <w:spacing w:val="5"/>
              </w:rPr>
              <w:t xml:space="preserve">  </w:t>
            </w:r>
            <w:r>
              <w:rPr/>
              <w:t>在收齐退(免)税凭证及相关电子信息后，即可申报办理出</w:t>
            </w:r>
          </w:p>
          <w:p>
            <w:pPr>
              <w:pStyle w:val="TableText"/>
              <w:ind w:left="11" w:right="12" w:firstLine="99"/>
              <w:spacing w:before="21" w:line="242" w:lineRule="auto"/>
              <w:rPr/>
            </w:pPr>
            <w:r>
              <w:rPr/>
              <w:t>口退(免)税；未在规定期限内收汇或者办理不能收汇手续</w:t>
            </w:r>
            <w:r>
              <w:rPr>
                <w:spacing w:val="3"/>
              </w:rPr>
              <w:t xml:space="preserve">  </w:t>
            </w:r>
            <w:r>
              <w:rPr>
                <w:spacing w:val="2"/>
              </w:rPr>
              <w:t>的，在收汇或者办理不能收汇手续后，即可申报办理退</w:t>
            </w:r>
            <w:r>
              <w:rPr>
                <w:spacing w:val="1"/>
              </w:rPr>
              <w:t>(免)</w:t>
            </w:r>
            <w:r>
              <w:rPr/>
              <w:t xml:space="preserve"> </w:t>
            </w:r>
            <w:r>
              <w:rPr>
                <w:spacing w:val="-2"/>
              </w:rPr>
              <w:t>税。</w:t>
            </w:r>
          </w:p>
        </w:tc>
        <w:tc>
          <w:tcPr>
            <w:tcW w:w="2128" w:type="dxa"/>
            <w:vAlign w:val="top"/>
          </w:tcPr>
          <w:p>
            <w:pPr>
              <w:pStyle w:val="TableText"/>
              <w:ind w:left="34" w:right="76" w:firstLine="50"/>
              <w:spacing w:before="169"/>
              <w:jc w:val="both"/>
              <w:rPr/>
            </w:pPr>
            <w:r>
              <w:rPr>
                <w:spacing w:val="-1"/>
              </w:rPr>
              <w:t>财政部、税务总局《关于明确</w:t>
            </w:r>
            <w:r>
              <w:rPr>
                <w:spacing w:val="5"/>
              </w:rPr>
              <w:t xml:space="preserve"> </w:t>
            </w:r>
            <w:r>
              <w:rPr>
                <w:spacing w:val="4"/>
              </w:rPr>
              <w:t>国有农用地出租等增值税政策</w:t>
            </w:r>
            <w:r>
              <w:rPr>
                <w:spacing w:val="3"/>
              </w:rPr>
              <w:t xml:space="preserve"> </w:t>
            </w:r>
            <w:r>
              <w:rPr/>
              <w:t>的公告》2020年第2号公告</w:t>
            </w:r>
          </w:p>
        </w:tc>
        <w:tc>
          <w:tcPr>
            <w:tcW w:w="899" w:type="dxa"/>
            <w:vAlign w:val="top"/>
          </w:tcPr>
          <w:p>
            <w:pPr>
              <w:pStyle w:val="TableText"/>
              <w:ind w:left="16" w:right="136" w:firstLine="50"/>
              <w:spacing w:before="168" w:line="239" w:lineRule="auto"/>
              <w:rPr/>
            </w:pPr>
            <w:r>
              <w:rPr>
                <w:spacing w:val="1"/>
              </w:rPr>
              <w:t>自2020年1</w:t>
            </w:r>
            <w:r>
              <w:rPr>
                <w:spacing w:val="2"/>
              </w:rPr>
              <w:t xml:space="preserve"> </w:t>
            </w:r>
            <w:r>
              <w:rPr>
                <w:spacing w:val="-2"/>
              </w:rPr>
              <w:t>月23日起</w:t>
            </w:r>
          </w:p>
        </w:tc>
        <w:tc>
          <w:tcPr>
            <w:tcW w:w="849" w:type="dxa"/>
            <w:vAlign w:val="top"/>
          </w:tcPr>
          <w:p>
            <w:pPr>
              <w:pStyle w:val="TableText"/>
              <w:ind w:left="48"/>
              <w:spacing w:before="179" w:line="220" w:lineRule="auto"/>
              <w:rPr/>
            </w:pPr>
            <w:r>
              <w:rPr>
                <w:spacing w:val="1"/>
              </w:rPr>
              <w:t>出租国有农</w:t>
            </w:r>
          </w:p>
          <w:p>
            <w:pPr>
              <w:pStyle w:val="TableText"/>
              <w:ind w:left="117"/>
              <w:spacing w:before="11" w:line="220" w:lineRule="auto"/>
              <w:rPr/>
            </w:pPr>
            <w:r>
              <w:rPr>
                <w:spacing w:val="-2"/>
              </w:rPr>
              <w:t>用地纳税</w:t>
            </w:r>
          </w:p>
          <w:p>
            <w:pPr>
              <w:pStyle w:val="TableText"/>
              <w:ind w:left="48"/>
              <w:spacing w:before="30" w:line="219" w:lineRule="auto"/>
              <w:rPr/>
            </w:pPr>
            <w:r>
              <w:rPr>
                <w:spacing w:val="-2"/>
              </w:rPr>
              <w:t>人、房地产</w:t>
            </w:r>
          </w:p>
          <w:p>
            <w:pPr>
              <w:pStyle w:val="TableText"/>
              <w:ind w:left="48"/>
              <w:spacing w:before="22" w:line="209" w:lineRule="auto"/>
              <w:rPr/>
            </w:pPr>
            <w:r>
              <w:rPr>
                <w:spacing w:val="-2"/>
              </w:rPr>
              <w:t>开发企业一</w:t>
            </w:r>
          </w:p>
          <w:p>
            <w:pPr>
              <w:pStyle w:val="TableText"/>
              <w:ind w:left="117"/>
              <w:spacing w:line="220" w:lineRule="auto"/>
              <w:rPr/>
            </w:pPr>
            <w:r>
              <w:rPr>
                <w:spacing w:val="-1"/>
              </w:rPr>
              <w:t>般纳税人</w:t>
            </w:r>
          </w:p>
          <w:p>
            <w:pPr>
              <w:pStyle w:val="TableText"/>
              <w:spacing w:before="51" w:line="220" w:lineRule="auto"/>
              <w:jc w:val="right"/>
              <w:rPr/>
            </w:pPr>
            <w:r>
              <w:rPr>
                <w:spacing w:val="8"/>
              </w:rPr>
              <w:t>保险公司、</w:t>
            </w:r>
          </w:p>
          <w:p>
            <w:pPr>
              <w:pStyle w:val="TableText"/>
              <w:ind w:left="48"/>
              <w:spacing w:before="20" w:line="219" w:lineRule="auto"/>
              <w:rPr/>
            </w:pPr>
            <w:r>
              <w:rPr>
                <w:spacing w:val="1"/>
              </w:rPr>
              <w:t>出口货物劳</w:t>
            </w:r>
          </w:p>
          <w:p>
            <w:pPr>
              <w:pStyle w:val="TableText"/>
              <w:ind w:left="117"/>
              <w:spacing w:before="23" w:line="219" w:lineRule="auto"/>
              <w:rPr/>
            </w:pPr>
            <w:r>
              <w:rPr>
                <w:spacing w:val="6"/>
              </w:rPr>
              <w:t>务(跨境)</w:t>
            </w:r>
          </w:p>
          <w:p>
            <w:pPr>
              <w:pStyle w:val="TableText"/>
              <w:ind w:left="197"/>
              <w:spacing w:before="13" w:line="220" w:lineRule="auto"/>
              <w:rPr/>
            </w:pPr>
            <w:r>
              <w:rPr>
                <w:spacing w:val="-2"/>
              </w:rPr>
              <w:t>纳税人</w:t>
            </w:r>
          </w:p>
        </w:tc>
        <w:tc>
          <w:tcPr>
            <w:tcW w:w="1029" w:type="dxa"/>
            <w:vAlign w:val="top"/>
          </w:tcPr>
          <w:p>
            <w:pPr>
              <w:pStyle w:val="TableText"/>
              <w:ind w:left="289"/>
              <w:spacing w:before="159" w:line="219" w:lineRule="auto"/>
              <w:rPr/>
            </w:pPr>
            <w:r>
              <w:rPr>
                <w:spacing w:val="-2"/>
              </w:rPr>
              <w:t>增值税</w:t>
            </w:r>
          </w:p>
        </w:tc>
        <w:tc>
          <w:tcPr>
            <w:tcW w:w="464" w:type="dxa"/>
            <w:vAlign w:val="top"/>
          </w:tcPr>
          <w:p>
            <w:pPr>
              <w:pStyle w:val="TableText"/>
              <w:ind w:left="70" w:hanging="51"/>
              <w:spacing w:before="168" w:line="233" w:lineRule="auto"/>
              <w:rPr/>
            </w:pPr>
            <w:r>
              <w:rPr>
                <w:spacing w:val="-17"/>
              </w:rPr>
              <w:t>免征</w:t>
            </w:r>
            <w:r>
              <w:rPr>
                <w:spacing w:val="-41"/>
              </w:rPr>
              <w:t xml:space="preserve"> </w:t>
            </w:r>
            <w:r>
              <w:rPr>
                <w:spacing w:val="-17"/>
              </w:rPr>
              <w:t>、</w:t>
            </w:r>
            <w:r>
              <w:rPr/>
              <w:t xml:space="preserve"> </w:t>
            </w:r>
            <w:r>
              <w:rPr>
                <w:spacing w:val="-12"/>
              </w:rPr>
              <w:t>减征</w:t>
            </w:r>
          </w:p>
        </w:tc>
      </w:tr>
      <w:tr>
        <w:trPr>
          <w:trHeight w:val="904" w:hRule="atLeast"/>
        </w:trPr>
        <w:tc>
          <w:tcPr>
            <w:tcW w:w="284" w:type="dxa"/>
            <w:vAlign w:val="top"/>
          </w:tcPr>
          <w:p>
            <w:pPr>
              <w:spacing w:line="372" w:lineRule="auto"/>
              <w:rPr>
                <w:rFonts w:ascii="Arial"/>
                <w:sz w:val="21"/>
              </w:rPr>
            </w:pPr>
            <w:r/>
          </w:p>
          <w:p>
            <w:pPr>
              <w:pStyle w:val="TableText"/>
              <w:ind w:left="55"/>
              <w:spacing w:before="49" w:line="183" w:lineRule="auto"/>
              <w:rPr/>
            </w:pPr>
            <w:r>
              <w:rPr>
                <w:spacing w:val="-3"/>
              </w:rPr>
              <w:t>30</w:t>
            </w:r>
          </w:p>
        </w:tc>
        <w:tc>
          <w:tcPr>
            <w:tcW w:w="3986" w:type="dxa"/>
            <w:vAlign w:val="top"/>
          </w:tcPr>
          <w:p>
            <w:pPr>
              <w:pStyle w:val="TableText"/>
              <w:ind w:left="31" w:right="199" w:firstLine="149"/>
              <w:spacing w:before="184" w:line="251" w:lineRule="auto"/>
              <w:rPr/>
            </w:pPr>
            <w:r>
              <w:rPr/>
              <w:t>将瓷制卫生器具等1084项产品出口退税率提高</w:t>
            </w:r>
            <w:r>
              <w:rPr>
                <w:spacing w:val="-1"/>
              </w:rPr>
              <w:t>至13%;将</w:t>
            </w:r>
            <w:r>
              <w:rPr/>
              <w:t xml:space="preserve"> </w:t>
            </w:r>
            <w:r>
              <w:rPr/>
              <w:t>植物生长调节剂等380项产品出口退税率提高至9%。</w:t>
            </w:r>
          </w:p>
        </w:tc>
        <w:tc>
          <w:tcPr>
            <w:tcW w:w="2128" w:type="dxa"/>
            <w:vAlign w:val="top"/>
          </w:tcPr>
          <w:p>
            <w:pPr>
              <w:pStyle w:val="TableText"/>
              <w:ind w:left="115" w:right="66" w:hanging="30"/>
              <w:spacing w:before="195" w:line="231" w:lineRule="auto"/>
              <w:rPr/>
            </w:pPr>
            <w:r>
              <w:rPr>
                <w:spacing w:val="-1"/>
              </w:rPr>
              <w:t>财政部、税务总局《关于提高</w:t>
            </w:r>
            <w:r>
              <w:rPr>
                <w:spacing w:val="5"/>
              </w:rPr>
              <w:t xml:space="preserve"> </w:t>
            </w:r>
            <w:r>
              <w:rPr>
                <w:spacing w:val="-2"/>
              </w:rPr>
              <w:t>部分产品出口退税率的公告》</w:t>
            </w:r>
          </w:p>
          <w:p>
            <w:pPr>
              <w:pStyle w:val="TableText"/>
              <w:ind w:left="34"/>
              <w:spacing w:before="22" w:line="218" w:lineRule="auto"/>
              <w:rPr/>
            </w:pPr>
            <w:r>
              <w:rPr>
                <w:spacing w:val="-1"/>
              </w:rPr>
              <w:t>2020年第15号公告</w:t>
            </w:r>
          </w:p>
        </w:tc>
        <w:tc>
          <w:tcPr>
            <w:tcW w:w="899" w:type="dxa"/>
            <w:vAlign w:val="top"/>
          </w:tcPr>
          <w:p>
            <w:pPr>
              <w:pStyle w:val="TableText"/>
              <w:ind w:left="36" w:firstLine="29"/>
              <w:spacing w:before="195" w:line="245" w:lineRule="auto"/>
              <w:rPr/>
            </w:pPr>
            <w:r>
              <w:rPr>
                <w:spacing w:val="21"/>
              </w:rPr>
              <w:t>自2020年3</w:t>
            </w:r>
            <w:r>
              <w:rPr/>
              <w:t xml:space="preserve"> </w:t>
            </w:r>
            <w:r>
              <w:rPr>
                <w:spacing w:val="-3"/>
              </w:rPr>
              <w:t>月20日起</w:t>
            </w:r>
          </w:p>
        </w:tc>
        <w:tc>
          <w:tcPr>
            <w:tcW w:w="849" w:type="dxa"/>
            <w:vAlign w:val="top"/>
          </w:tcPr>
          <w:p>
            <w:pPr>
              <w:pStyle w:val="TableText"/>
              <w:ind w:left="48" w:right="49"/>
              <w:spacing w:before="196" w:line="245" w:lineRule="auto"/>
              <w:rPr/>
            </w:pPr>
            <w:r>
              <w:rPr>
                <w:spacing w:val="-2"/>
              </w:rPr>
              <w:t>瓷制卫生器</w:t>
            </w:r>
            <w:r>
              <w:rPr/>
              <w:t xml:space="preserve"> </w:t>
            </w:r>
            <w:r>
              <w:rPr>
                <w:spacing w:val="-2"/>
              </w:rPr>
              <w:t>具相关企业</w:t>
            </w:r>
          </w:p>
        </w:tc>
        <w:tc>
          <w:tcPr>
            <w:tcW w:w="1029" w:type="dxa"/>
            <w:vAlign w:val="top"/>
          </w:tcPr>
          <w:p>
            <w:pPr>
              <w:pStyle w:val="TableText"/>
              <w:ind w:left="289"/>
              <w:spacing w:before="175" w:line="219" w:lineRule="auto"/>
              <w:rPr/>
            </w:pPr>
            <w:r>
              <w:rPr>
                <w:spacing w:val="-2"/>
              </w:rPr>
              <w:t>增值税</w:t>
            </w:r>
          </w:p>
        </w:tc>
        <w:tc>
          <w:tcPr>
            <w:tcW w:w="464" w:type="dxa"/>
            <w:vAlign w:val="top"/>
          </w:tcPr>
          <w:p>
            <w:pPr>
              <w:pStyle w:val="TableText"/>
              <w:ind w:left="80"/>
              <w:spacing w:before="175"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26"/>
        <w:rPr/>
      </w:pPr>
      <w:r>
        <w:drawing>
          <wp:anchor distT="0" distB="0" distL="0" distR="0" simplePos="0" relativeHeight="251683840" behindDoc="0" locked="0" layoutInCell="0" allowOverlap="1">
            <wp:simplePos x="0" y="0"/>
            <wp:positionH relativeFrom="page">
              <wp:posOffset>514349</wp:posOffset>
            </wp:positionH>
            <wp:positionV relativeFrom="page">
              <wp:posOffset>666764</wp:posOffset>
            </wp:positionV>
            <wp:extent cx="107921" cy="133311"/>
            <wp:effectExtent l="0" t="0" r="0" b="0"/>
            <wp:wrapNone/>
            <wp:docPr id="20" name="IM 20"/>
            <wp:cNvGraphicFramePr/>
            <a:graphic>
              <a:graphicData uri="http://schemas.openxmlformats.org/drawingml/2006/picture">
                <pic:pic>
                  <pic:nvPicPr>
                    <pic:cNvPr id="20" name="IM 20"/>
                    <pic:cNvPicPr/>
                  </pic:nvPicPr>
                  <pic:blipFill>
                    <a:blip r:embed="rId12"/>
                    <a:stretch>
                      <a:fillRect/>
                    </a:stretch>
                  </pic:blipFill>
                  <pic:spPr>
                    <a:xfrm rot="0">
                      <a:off x="0" y="0"/>
                      <a:ext cx="107921" cy="133311"/>
                    </a:xfrm>
                    <a:prstGeom prst="rect">
                      <a:avLst/>
                    </a:prstGeom>
                  </pic:spPr>
                </pic:pic>
              </a:graphicData>
            </a:graphic>
          </wp:anchor>
        </w:drawing>
      </w:r>
      <w:r/>
    </w:p>
    <w:p>
      <w:pPr>
        <w:spacing w:before="26"/>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514" w:hRule="atLeast"/>
        </w:trPr>
        <w:tc>
          <w:tcPr>
            <w:tcW w:w="284" w:type="dxa"/>
            <w:vAlign w:val="top"/>
            <w:textDirection w:val="tbRlV"/>
          </w:tcPr>
          <w:p>
            <w:pPr>
              <w:pStyle w:val="TableText"/>
              <w:ind w:left="67"/>
              <w:spacing w:before="69" w:line="217" w:lineRule="auto"/>
              <w:rPr/>
            </w:pPr>
            <w:r>
              <w:rPr>
                <w:spacing w:val="-2"/>
              </w:rPr>
              <w:t>序 号</w:t>
            </w:r>
          </w:p>
        </w:tc>
        <w:tc>
          <w:tcPr>
            <w:tcW w:w="398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899" w:type="dxa"/>
            <w:vAlign w:val="top"/>
          </w:tcPr>
          <w:p>
            <w:pPr>
              <w:pStyle w:val="TableText"/>
              <w:ind w:left="167"/>
              <w:spacing w:before="181" w:line="219" w:lineRule="auto"/>
              <w:rPr/>
            </w:pPr>
            <w:r>
              <w:rPr>
                <w:spacing w:val="3"/>
              </w:rPr>
              <w:t>执行时间</w:t>
            </w:r>
          </w:p>
        </w:tc>
        <w:tc>
          <w:tcPr>
            <w:tcW w:w="849" w:type="dxa"/>
            <w:vAlign w:val="top"/>
          </w:tcPr>
          <w:p>
            <w:pPr>
              <w:pStyle w:val="TableText"/>
              <w:ind w:left="267" w:right="133" w:hanging="150"/>
              <w:spacing w:before="72"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3344" w:hRule="atLeast"/>
        </w:trPr>
        <w:tc>
          <w:tcPr>
            <w:tcW w:w="284"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5"/>
              <w:spacing w:before="49" w:line="184" w:lineRule="auto"/>
              <w:rPr/>
            </w:pPr>
            <w:r>
              <w:rPr>
                <w:spacing w:val="-3"/>
              </w:rPr>
              <w:t>31</w:t>
            </w:r>
          </w:p>
        </w:tc>
        <w:tc>
          <w:tcPr>
            <w:tcW w:w="3986" w:type="dxa"/>
            <w:vAlign w:val="top"/>
          </w:tcPr>
          <w:p>
            <w:pPr>
              <w:pStyle w:val="TableText"/>
              <w:ind w:left="51" w:right="250" w:firstLine="20"/>
              <w:spacing w:before="215" w:line="229" w:lineRule="auto"/>
              <w:jc w:val="both"/>
              <w:rPr/>
            </w:pPr>
            <w:r>
              <w:rPr/>
              <w:t>自2019年9月1日起，纳税人销售自产磷石膏资源综合</w:t>
            </w:r>
            <w:r>
              <w:rPr>
                <w:spacing w:val="-1"/>
              </w:rPr>
              <w:t>利 </w:t>
            </w:r>
            <w:r>
              <w:rPr/>
              <w:t>用产品，可享受增值税即征即退政策，退税比例为70</w:t>
            </w:r>
            <w:r>
              <w:rPr>
                <w:spacing w:val="-1"/>
              </w:rPr>
              <w:t>%。</w:t>
            </w:r>
            <w:r>
              <w:rPr/>
              <w:t xml:space="preserve"> </w:t>
            </w:r>
            <w:r>
              <w:rPr/>
              <w:t>二、自2019年9月1日起，将财税〔2015〕78号文件附件</w:t>
            </w:r>
          </w:p>
          <w:p>
            <w:pPr>
              <w:pStyle w:val="TableText"/>
              <w:ind w:left="29" w:hanging="24"/>
              <w:spacing w:before="43" w:line="233" w:lineRule="auto"/>
              <w:rPr/>
            </w:pPr>
            <w:r>
              <w:rPr>
                <w:spacing w:val="-3"/>
              </w:rPr>
              <w:t>《资源综合利用产品和劳务增值税优惠目录》3.12“废玻璃”</w:t>
            </w:r>
            <w:r>
              <w:rPr>
                <w:spacing w:val="6"/>
              </w:rPr>
              <w:t xml:space="preserve"> </w:t>
            </w:r>
            <w:r>
              <w:rPr>
                <w:spacing w:val="-5"/>
              </w:rPr>
              <w:t>项目退税比例调整为70%。</w:t>
            </w:r>
          </w:p>
          <w:p>
            <w:pPr>
              <w:pStyle w:val="TableText"/>
              <w:ind w:left="45" w:firstLine="63"/>
              <w:spacing w:before="3"/>
              <w:rPr/>
            </w:pPr>
            <w:r>
              <w:rPr>
                <w:spacing w:val="-3"/>
              </w:rPr>
              <w:t>三、《财政部国家税务总局关于新型墙体材料增值</w:t>
            </w:r>
            <w:r>
              <w:rPr>
                <w:spacing w:val="-4"/>
              </w:rPr>
              <w:t>税政策   </w:t>
            </w:r>
            <w:r>
              <w:rPr>
                <w:spacing w:val="-1"/>
              </w:rPr>
              <w:t>的通知》(财税〔2015〕73号，以下称财税〔</w:t>
            </w:r>
            <w:r>
              <w:rPr>
                <w:spacing w:val="-2"/>
              </w:rPr>
              <w:t>2015〕73号文</w:t>
            </w:r>
            <w:r>
              <w:rPr/>
              <w:t xml:space="preserve">   </w:t>
            </w:r>
            <w:r>
              <w:rPr>
                <w:spacing w:val="-2"/>
              </w:rPr>
              <w:t>件)第二条第一项和财税〔2015〕78号文件第二条第二项中</w:t>
            </w:r>
            <w:r>
              <w:rPr>
                <w:spacing w:val="3"/>
              </w:rPr>
              <w:t xml:space="preserve">   </w:t>
            </w:r>
            <w:r>
              <w:rPr>
                <w:spacing w:val="-2"/>
              </w:rPr>
              <w:t>“《产业结构调整指导目录》中的禁止类、限制类项目”修</w:t>
            </w:r>
            <w:r>
              <w:rPr>
                <w:spacing w:val="6"/>
              </w:rPr>
              <w:t xml:space="preserve">  </w:t>
            </w:r>
            <w:r>
              <w:rPr>
                <w:spacing w:val="-10"/>
              </w:rPr>
              <w:t>改为“《产业结构调整指导目录》中的淘汰类、限制类项目”。</w:t>
            </w:r>
          </w:p>
          <w:p>
            <w:pPr>
              <w:pStyle w:val="TableText"/>
              <w:ind w:left="31" w:right="40" w:firstLine="79"/>
              <w:spacing w:before="41" w:line="227" w:lineRule="auto"/>
              <w:rPr/>
            </w:pPr>
            <w:r>
              <w:rPr>
                <w:spacing w:val="2"/>
              </w:rPr>
              <w:t>四、财税〔2015〕73号文件第二条第二项和财税〔2015〕</w:t>
            </w:r>
            <w:r>
              <w:rPr>
                <w:spacing w:val="13"/>
              </w:rPr>
              <w:t xml:space="preserve"> </w:t>
            </w:r>
            <w:r>
              <w:rPr/>
              <w:t>78号文件第二条第三项中“高污染、高环境风险”产品</w:t>
            </w:r>
          </w:p>
          <w:p>
            <w:pPr>
              <w:pStyle w:val="TableText"/>
              <w:ind w:left="51" w:right="98" w:hanging="10"/>
              <w:spacing w:before="32" w:line="225" w:lineRule="auto"/>
              <w:rPr/>
            </w:pPr>
            <w:r>
              <w:rPr>
                <w:spacing w:val="6"/>
              </w:rPr>
              <w:t>是指在《环境保护综合名录》中标注特性为“</w:t>
            </w:r>
            <w:r>
              <w:rPr/>
              <w:t>GHW</w:t>
            </w:r>
            <w:r>
              <w:rPr>
                <w:spacing w:val="6"/>
              </w:rPr>
              <w:t>/</w:t>
            </w:r>
            <w:r>
              <w:rPr/>
              <w:t>GHF</w:t>
            </w:r>
            <w:r>
              <w:rPr>
                <w:spacing w:val="6"/>
              </w:rPr>
              <w:t>”</w:t>
            </w:r>
            <w:r>
              <w:rPr>
                <w:spacing w:val="9"/>
              </w:rPr>
              <w:t xml:space="preserve"> </w:t>
            </w:r>
            <w:r>
              <w:rPr/>
              <w:t>的产品，但纳税人生产销售的资源综合利用产品满足“GHW </w:t>
            </w:r>
            <w:r>
              <w:rPr/>
              <w:t>GHF”例外条款规定的技术和条件的除外。</w:t>
            </w:r>
          </w:p>
        </w:tc>
        <w:tc>
          <w:tcPr>
            <w:tcW w:w="2128" w:type="dxa"/>
            <w:vAlign w:val="top"/>
          </w:tcPr>
          <w:p>
            <w:pPr>
              <w:pStyle w:val="TableText"/>
              <w:ind w:left="115" w:right="66" w:hanging="30"/>
              <w:spacing w:before="216" w:line="207" w:lineRule="auto"/>
              <w:rPr/>
            </w:pPr>
            <w:r>
              <w:rPr>
                <w:spacing w:val="-1"/>
              </w:rPr>
              <w:t>财政部、税务总局《关于资源</w:t>
            </w:r>
            <w:r>
              <w:rPr>
                <w:spacing w:val="5"/>
              </w:rPr>
              <w:t xml:space="preserve"> </w:t>
            </w:r>
            <w:r>
              <w:rPr>
                <w:spacing w:val="-2"/>
              </w:rPr>
              <w:t>综合利用增值税政策的公告》</w:t>
            </w:r>
          </w:p>
          <w:p>
            <w:pPr>
              <w:pStyle w:val="TableText"/>
              <w:ind w:left="24"/>
              <w:spacing w:before="62" w:line="218" w:lineRule="auto"/>
              <w:rPr/>
            </w:pPr>
            <w:r>
              <w:rPr>
                <w:spacing w:val="-1"/>
              </w:rPr>
              <w:t>2019年第90号公告</w:t>
            </w:r>
          </w:p>
        </w:tc>
        <w:tc>
          <w:tcPr>
            <w:tcW w:w="899" w:type="dxa"/>
            <w:vAlign w:val="top"/>
          </w:tcPr>
          <w:p>
            <w:pPr>
              <w:pStyle w:val="TableText"/>
              <w:ind w:left="16" w:right="21"/>
              <w:spacing w:before="217" w:line="221" w:lineRule="auto"/>
              <w:rPr/>
            </w:pPr>
            <w:r>
              <w:rPr>
                <w:spacing w:val="16"/>
                <w:w w:val="109"/>
              </w:rPr>
              <w:t>2019年9月</w:t>
            </w:r>
            <w:r>
              <w:rPr>
                <w:spacing w:val="1"/>
              </w:rPr>
              <w:t xml:space="preserve"> </w:t>
            </w:r>
            <w:r>
              <w:rPr>
                <w:spacing w:val="-4"/>
              </w:rPr>
              <w:t>1日起</w:t>
            </w:r>
          </w:p>
        </w:tc>
        <w:tc>
          <w:tcPr>
            <w:tcW w:w="849" w:type="dxa"/>
            <w:vAlign w:val="top"/>
          </w:tcPr>
          <w:p>
            <w:pPr>
              <w:pStyle w:val="TableText"/>
              <w:ind w:left="117"/>
              <w:spacing w:before="217" w:line="220" w:lineRule="auto"/>
              <w:rPr/>
            </w:pPr>
            <w:r>
              <w:rPr>
                <w:spacing w:val="-2"/>
              </w:rPr>
              <w:t>所有企业</w:t>
            </w:r>
          </w:p>
        </w:tc>
        <w:tc>
          <w:tcPr>
            <w:tcW w:w="1029" w:type="dxa"/>
            <w:vAlign w:val="top"/>
          </w:tcPr>
          <w:p>
            <w:pPr>
              <w:pStyle w:val="TableText"/>
              <w:ind w:left="289"/>
              <w:spacing w:before="187" w:line="219" w:lineRule="auto"/>
              <w:rPr/>
            </w:pPr>
            <w:r>
              <w:rPr>
                <w:spacing w:val="-2"/>
              </w:rPr>
              <w:t>增值税</w:t>
            </w:r>
          </w:p>
        </w:tc>
        <w:tc>
          <w:tcPr>
            <w:tcW w:w="464" w:type="dxa"/>
            <w:vAlign w:val="top"/>
          </w:tcPr>
          <w:p>
            <w:pPr>
              <w:pStyle w:val="TableText"/>
              <w:ind w:left="80"/>
              <w:spacing w:before="187" w:line="219" w:lineRule="auto"/>
              <w:rPr/>
            </w:pPr>
            <w:r>
              <w:rPr>
                <w:spacing w:val="-2"/>
              </w:rPr>
              <w:t>减征</w:t>
            </w:r>
          </w:p>
        </w:tc>
      </w:tr>
      <w:tr>
        <w:trPr>
          <w:trHeight w:val="2371" w:hRule="atLeast"/>
        </w:trPr>
        <w:tc>
          <w:tcPr>
            <w:tcW w:w="284"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55"/>
              <w:spacing w:before="49" w:line="183" w:lineRule="auto"/>
              <w:rPr/>
            </w:pPr>
            <w:r>
              <w:rPr>
                <w:spacing w:val="-3"/>
              </w:rPr>
              <w:t>32</w:t>
            </w:r>
          </w:p>
        </w:tc>
        <w:tc>
          <w:tcPr>
            <w:tcW w:w="3986" w:type="dxa"/>
            <w:vAlign w:val="top"/>
          </w:tcPr>
          <w:p>
            <w:pPr>
              <w:pStyle w:val="TableText"/>
              <w:ind w:left="31" w:right="285"/>
              <w:spacing w:before="222" w:line="233" w:lineRule="auto"/>
              <w:rPr/>
            </w:pPr>
            <w:r>
              <w:rPr>
                <w:spacing w:val="-1"/>
              </w:rPr>
              <w:t>一、对个人投资者转让创新企业CDR取得的差价收入，暂</w:t>
            </w:r>
            <w:r>
              <w:rPr>
                <w:spacing w:val="9"/>
              </w:rPr>
              <w:t xml:space="preserve"> </w:t>
            </w:r>
            <w:r>
              <w:rPr>
                <w:spacing w:val="-1"/>
              </w:rPr>
              <w:t>免征收增值税。</w:t>
            </w:r>
          </w:p>
          <w:p>
            <w:pPr>
              <w:pStyle w:val="TableText"/>
              <w:ind w:left="41" w:right="248" w:firstLine="20"/>
              <w:spacing w:before="9"/>
              <w:rPr/>
            </w:pPr>
            <w:r>
              <w:rPr>
                <w:spacing w:val="-1"/>
              </w:rPr>
              <w:t>二、对单位投资者转让创新企业CDR取得的差价收入，按</w:t>
            </w:r>
            <w:r>
              <w:rPr>
                <w:spacing w:val="16"/>
              </w:rPr>
              <w:t xml:space="preserve"> </w:t>
            </w:r>
            <w:r>
              <w:rPr>
                <w:spacing w:val="-1"/>
              </w:rPr>
              <w:t>金融商品转让政策规定征免增值税</w:t>
            </w:r>
          </w:p>
          <w:p>
            <w:pPr>
              <w:pStyle w:val="TableText"/>
              <w:ind w:left="41" w:right="85" w:firstLine="30"/>
              <w:spacing w:before="22" w:line="236" w:lineRule="auto"/>
              <w:rPr/>
            </w:pPr>
            <w:r>
              <w:rPr/>
              <w:t>三、自试点开始之日起，对公募证券投资基</w:t>
            </w:r>
            <w:r>
              <w:rPr>
                <w:spacing w:val="-1"/>
              </w:rPr>
              <w:t>金(封闭式证券</w:t>
            </w:r>
            <w:r>
              <w:rPr/>
              <w:t xml:space="preserve"> </w:t>
            </w:r>
            <w:r>
              <w:rPr>
                <w:spacing w:val="1"/>
              </w:rPr>
              <w:t>投资基金、开放式证券投资基金)管理人运营基</w:t>
            </w:r>
            <w:r>
              <w:rPr/>
              <w:t>金过程中转 </w:t>
            </w:r>
            <w:r>
              <w:rPr>
                <w:spacing w:val="-1"/>
              </w:rPr>
              <w:t>让创新企业CDR取得的差价收入，三年内暂免征收增值税</w:t>
            </w:r>
          </w:p>
          <w:p>
            <w:pPr>
              <w:pStyle w:val="TableText"/>
              <w:ind w:left="61" w:right="104" w:firstLine="49"/>
              <w:spacing w:before="23" w:line="233" w:lineRule="auto"/>
              <w:rPr/>
            </w:pPr>
            <w:r>
              <w:rPr/>
              <w:t>四、对合格境外机构投资者(QFⅡ)、人民币合格境外机构</w:t>
            </w:r>
            <w:r>
              <w:rPr>
                <w:spacing w:val="9"/>
              </w:rPr>
              <w:t xml:space="preserve"> </w:t>
            </w:r>
            <w:r>
              <w:rPr/>
              <w:t>投资者(RQFⅡ)委托境内公司转让创新</w:t>
            </w:r>
            <w:r>
              <w:rPr>
                <w:spacing w:val="-1"/>
              </w:rPr>
              <w:t>企业CDR取得的差</w:t>
            </w:r>
          </w:p>
          <w:p>
            <w:pPr>
              <w:pStyle w:val="TableText"/>
              <w:ind w:left="41"/>
              <w:spacing w:before="21" w:line="218" w:lineRule="auto"/>
              <w:rPr/>
            </w:pPr>
            <w:r>
              <w:rPr>
                <w:spacing w:val="-1"/>
              </w:rPr>
              <w:t>价收入，暂免征收增值税</w:t>
            </w:r>
          </w:p>
        </w:tc>
        <w:tc>
          <w:tcPr>
            <w:tcW w:w="2128" w:type="dxa"/>
            <w:vAlign w:val="top"/>
          </w:tcPr>
          <w:p>
            <w:pPr>
              <w:pStyle w:val="TableText"/>
              <w:ind w:left="34" w:right="88" w:firstLine="50"/>
              <w:spacing w:before="222" w:line="239" w:lineRule="auto"/>
              <w:jc w:val="both"/>
              <w:rPr/>
            </w:pPr>
            <w:r>
              <w:rPr>
                <w:spacing w:val="-1"/>
              </w:rPr>
              <w:t>财政部、税务总局、证监会公</w:t>
            </w:r>
            <w:r>
              <w:rPr>
                <w:spacing w:val="5"/>
              </w:rPr>
              <w:t xml:space="preserve"> </w:t>
            </w:r>
            <w:r>
              <w:rPr>
                <w:spacing w:val="3"/>
              </w:rPr>
              <w:t>告《关于创新企业境内发行存</w:t>
            </w:r>
            <w:r>
              <w:rPr/>
              <w:t xml:space="preserve"> </w:t>
            </w:r>
            <w:r>
              <w:rPr>
                <w:spacing w:val="3"/>
              </w:rPr>
              <w:t>托凭证试点阶段有关税收政策</w:t>
            </w:r>
            <w:r>
              <w:rPr>
                <w:spacing w:val="4"/>
              </w:rPr>
              <w:t xml:space="preserve"> </w:t>
            </w:r>
            <w:r>
              <w:rPr/>
              <w:t>的公告》2019年第52号公告</w:t>
            </w:r>
          </w:p>
        </w:tc>
        <w:tc>
          <w:tcPr>
            <w:tcW w:w="899" w:type="dxa"/>
            <w:vAlign w:val="top"/>
          </w:tcPr>
          <w:p>
            <w:pPr>
              <w:pStyle w:val="TableText"/>
              <w:ind w:left="16" w:right="21"/>
              <w:spacing w:before="223" w:line="233" w:lineRule="auto"/>
              <w:rPr/>
            </w:pPr>
            <w:r>
              <w:rPr>
                <w:spacing w:val="16"/>
                <w:w w:val="109"/>
              </w:rPr>
              <w:t>2019年4月</w:t>
            </w:r>
            <w:r>
              <w:rPr>
                <w:spacing w:val="1"/>
              </w:rPr>
              <w:t xml:space="preserve"> </w:t>
            </w:r>
            <w:r>
              <w:rPr>
                <w:spacing w:val="-2"/>
              </w:rPr>
              <w:t>3日起</w:t>
            </w:r>
          </w:p>
        </w:tc>
        <w:tc>
          <w:tcPr>
            <w:tcW w:w="849" w:type="dxa"/>
            <w:vAlign w:val="top"/>
          </w:tcPr>
          <w:p>
            <w:pPr>
              <w:pStyle w:val="TableText"/>
              <w:ind w:left="117"/>
              <w:spacing w:before="223" w:line="220" w:lineRule="auto"/>
              <w:rPr/>
            </w:pPr>
            <w:r>
              <w:rPr>
                <w:spacing w:val="-2"/>
              </w:rPr>
              <w:t>创新企业</w:t>
            </w:r>
          </w:p>
        </w:tc>
        <w:tc>
          <w:tcPr>
            <w:tcW w:w="1029" w:type="dxa"/>
            <w:vAlign w:val="top"/>
          </w:tcPr>
          <w:p>
            <w:pPr>
              <w:pStyle w:val="TableText"/>
              <w:ind w:left="289"/>
              <w:spacing w:before="213" w:line="219" w:lineRule="auto"/>
              <w:rPr/>
            </w:pPr>
            <w:r>
              <w:rPr>
                <w:spacing w:val="-2"/>
              </w:rPr>
              <w:t>增值税</w:t>
            </w:r>
          </w:p>
        </w:tc>
        <w:tc>
          <w:tcPr>
            <w:tcW w:w="464" w:type="dxa"/>
            <w:vAlign w:val="top"/>
          </w:tcPr>
          <w:p>
            <w:pPr>
              <w:pStyle w:val="TableText"/>
              <w:ind w:left="80"/>
              <w:spacing w:before="203" w:line="219" w:lineRule="auto"/>
              <w:rPr/>
            </w:pPr>
            <w:r>
              <w:rPr>
                <w:spacing w:val="-3"/>
              </w:rPr>
              <w:t>免征</w:t>
            </w:r>
          </w:p>
        </w:tc>
      </w:tr>
    </w:tbl>
    <w:p>
      <w:pPr>
        <w:pStyle w:val="BodyText"/>
        <w:rPr/>
      </w:pPr>
      <w:r/>
    </w:p>
    <w:p>
      <w:pPr>
        <w:sectPr>
          <w:pgSz w:w="11910" w:h="8220"/>
          <w:pgMar w:top="400" w:right="1145" w:bottom="400" w:left="809" w:header="0" w:footer="0" w:gutter="0"/>
        </w:sectPr>
        <w:rPr/>
      </w:pPr>
    </w:p>
    <w:p>
      <w:pPr>
        <w:spacing w:before="51"/>
        <w:rPr/>
      </w:pPr>
      <w:r>
        <w:pict>
          <v:shape id="_x0000_s28" style="position:absolute;margin-left:38.9997pt;margin-top:345.95pt;mso-position-vertical-relative:page;mso-position-horizontal-relative:page;width:10.4pt;height:16.5pt;z-index:251684864;" o:allowincell="f" filled="false" stroked="false" type="#_x0000_t202">
            <v:fill on="false"/>
            <v:stroke on="false"/>
            <v:path/>
            <v:imagedata o:title=""/>
            <o:lock v:ext="edit" aspectratio="false"/>
            <v:textbox inset="0mm,0mm,0mm,0mm">
              <w:txbxContent>
                <w:p>
                  <w:pPr>
                    <w:spacing w:before="20" w:line="225" w:lineRule="auto"/>
                    <w:jc w:val="right"/>
                    <w:rPr>
                      <w:rFonts w:ascii="STHupo" w:hAnsi="STHupo" w:eastAsia="STHupo" w:cs="STHupo"/>
                      <w:sz w:val="23"/>
                      <w:szCs w:val="23"/>
                    </w:rPr>
                  </w:pPr>
                  <w:r>
                    <w:rPr>
                      <w:rFonts w:ascii="STHupo" w:hAnsi="STHupo" w:eastAsia="STHupo" w:cs="STHupo"/>
                      <w:sz w:val="23"/>
                      <w:szCs w:val="23"/>
                      <w:spacing w:val="-15"/>
                      <w:w w:val="79"/>
                    </w:rPr>
                    <w:t>品</w:t>
                  </w:r>
                </w:p>
              </w:txbxContent>
            </v:textbox>
          </v:shape>
        </w:pict>
      </w:r>
      <w:r/>
    </w:p>
    <w:p>
      <w:pPr>
        <w:spacing w:before="51"/>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70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5"/>
              <w:spacing w:before="48" w:line="183" w:lineRule="auto"/>
              <w:rPr/>
            </w:pPr>
            <w:r>
              <w:rPr>
                <w:spacing w:val="-3"/>
              </w:rPr>
              <w:t>33</w:t>
            </w:r>
          </w:p>
        </w:tc>
        <w:tc>
          <w:tcPr>
            <w:tcW w:w="3966" w:type="dxa"/>
            <w:vAlign w:val="top"/>
          </w:tcPr>
          <w:p>
            <w:pPr>
              <w:pStyle w:val="TableText"/>
              <w:ind w:left="31" w:right="246"/>
              <w:spacing w:before="237" w:line="241" w:lineRule="auto"/>
              <w:rPr/>
            </w:pPr>
            <w:r>
              <w:rPr>
                <w:spacing w:val="-1"/>
              </w:rPr>
              <w:t>一、增值税一般纳税人(以下称纳税人)发生增值税应税</w:t>
            </w:r>
            <w:r>
              <w:rPr>
                <w:spacing w:val="7"/>
              </w:rPr>
              <w:t xml:space="preserve">  </w:t>
            </w:r>
            <w:r>
              <w:rPr/>
              <w:t>销售行为或者进口货物，原适用16%税率的，税率调整为</w:t>
            </w:r>
            <w:r>
              <w:rPr>
                <w:spacing w:val="2"/>
              </w:rPr>
              <w:t xml:space="preserve"> </w:t>
            </w:r>
            <w:r>
              <w:rPr>
                <w:spacing w:val="-1"/>
              </w:rPr>
              <w:t>13%;原适用10%税率的，税率调整为9%</w:t>
            </w:r>
          </w:p>
          <w:p>
            <w:pPr>
              <w:pStyle w:val="TableText"/>
              <w:ind w:left="31" w:right="246" w:hanging="10"/>
              <w:spacing w:before="22" w:line="237" w:lineRule="auto"/>
              <w:jc w:val="both"/>
              <w:rPr/>
            </w:pPr>
            <w:r>
              <w:rPr>
                <w:spacing w:val="-1"/>
              </w:rPr>
              <w:t>二、纳税人购进农产品，原适用10%扣除率的，扣除率调</w:t>
            </w:r>
            <w:r>
              <w:rPr>
                <w:spacing w:val="16"/>
              </w:rPr>
              <w:t xml:space="preserve"> </w:t>
            </w:r>
            <w:r>
              <w:rPr/>
              <w:t>整为9%。纳税人购进用于生产或者委托加工13%税率货物</w:t>
            </w:r>
            <w:r>
              <w:rPr>
                <w:spacing w:val="2"/>
              </w:rPr>
              <w:t xml:space="preserve"> </w:t>
            </w:r>
            <w:r>
              <w:rPr/>
              <w:t>的农产品，按照10%的扣除率计算进项税额。</w:t>
            </w:r>
          </w:p>
          <w:p>
            <w:pPr>
              <w:pStyle w:val="TableText"/>
              <w:ind w:left="11" w:right="397" w:firstLine="10"/>
              <w:spacing w:before="22"/>
              <w:rPr/>
            </w:pPr>
            <w:r>
              <w:rPr/>
              <w:t>三、原适用16%税率且出口退税率为16</w:t>
            </w:r>
            <w:r>
              <w:rPr>
                <w:spacing w:val="-1"/>
              </w:rPr>
              <w:t>%的出口货物劳</w:t>
            </w:r>
            <w:r>
              <w:rPr/>
              <w:t xml:space="preserve">  </w:t>
            </w:r>
            <w:r>
              <w:rPr>
                <w:spacing w:val="1"/>
              </w:rPr>
              <w:t>务，出口退税率调整为13%;原适用10%税</w:t>
            </w:r>
            <w:r>
              <w:rPr/>
              <w:t>率且出口退税 </w:t>
            </w:r>
            <w:r>
              <w:rPr/>
              <w:t>率为10%的出口货物、跨境应税行为，出口退税率调整</w:t>
            </w:r>
            <w:r>
              <w:rPr>
                <w:spacing w:val="1"/>
              </w:rPr>
              <w:t xml:space="preserve"> </w:t>
            </w:r>
            <w:r>
              <w:rPr>
                <w:spacing w:val="-4"/>
              </w:rPr>
              <w:t>为</w:t>
            </w:r>
            <w:r>
              <w:rPr>
                <w:spacing w:val="-24"/>
              </w:rPr>
              <w:t xml:space="preserve"> </w:t>
            </w:r>
            <w:r>
              <w:rPr>
                <w:spacing w:val="-4"/>
              </w:rPr>
              <w:t>9</w:t>
            </w:r>
            <w:r>
              <w:rPr>
                <w:spacing w:val="-29"/>
              </w:rPr>
              <w:t xml:space="preserve"> </w:t>
            </w:r>
            <w:r>
              <w:rPr>
                <w:spacing w:val="-4"/>
              </w:rPr>
              <w:t>%</w:t>
            </w:r>
            <w:r>
              <w:rPr>
                <w:spacing w:val="-31"/>
              </w:rPr>
              <w:t xml:space="preserve"> </w:t>
            </w:r>
            <w:r>
              <w:rPr>
                <w:spacing w:val="-4"/>
              </w:rPr>
              <w:t>。</w:t>
            </w:r>
          </w:p>
          <w:p>
            <w:pPr>
              <w:pStyle w:val="TableText"/>
              <w:ind w:left="21" w:right="237" w:firstLine="20"/>
              <w:spacing w:before="19" w:line="237" w:lineRule="auto"/>
              <w:rPr/>
            </w:pPr>
            <w:r>
              <w:rPr/>
              <w:t>四、适用13%税率的境外旅客购物离境退税物品，退税率</w:t>
            </w:r>
            <w:r>
              <w:rPr>
                <w:spacing w:val="1"/>
              </w:rPr>
              <w:t xml:space="preserve"> </w:t>
            </w:r>
            <w:r>
              <w:rPr/>
              <w:t>为11%;适用9%税率的境外旅客购物离境退税物品，退税</w:t>
            </w:r>
            <w:r>
              <w:rPr>
                <w:spacing w:val="5"/>
              </w:rPr>
              <w:t xml:space="preserve">  </w:t>
            </w:r>
            <w:r>
              <w:rPr>
                <w:spacing w:val="-1"/>
              </w:rPr>
              <w:t>率为8%。</w:t>
            </w:r>
          </w:p>
          <w:p>
            <w:pPr>
              <w:pStyle w:val="TableText"/>
              <w:ind w:left="41"/>
              <w:spacing w:before="22" w:line="219" w:lineRule="auto"/>
              <w:rPr/>
            </w:pPr>
            <w:r>
              <w:rPr>
                <w:spacing w:val="-1"/>
              </w:rPr>
              <w:t>五、自2019年4月1日起，《营业税改征增值税试点有关</w:t>
            </w:r>
          </w:p>
          <w:p>
            <w:pPr>
              <w:pStyle w:val="TableText"/>
              <w:ind w:left="21" w:firstLine="19"/>
              <w:spacing w:before="10" w:line="243" w:lineRule="auto"/>
              <w:rPr/>
            </w:pPr>
            <w:r>
              <w:rPr>
                <w:spacing w:val="-4"/>
              </w:rPr>
              <w:t>事项的规定》(财税〔2016〕36号印</w:t>
            </w:r>
            <w:r>
              <w:rPr>
                <w:spacing w:val="-5"/>
              </w:rPr>
              <w:t>发)第一条第四项第一点、</w:t>
            </w:r>
            <w:r>
              <w:rPr/>
              <w:t xml:space="preserve"> </w:t>
            </w:r>
            <w:r>
              <w:rPr>
                <w:spacing w:val="-4"/>
              </w:rPr>
              <w:t>第二条第一项第一点停止执行，纳税人取得不动产或者不动  </w:t>
            </w:r>
            <w:r>
              <w:rPr>
                <w:spacing w:val="-2"/>
              </w:rPr>
              <w:t>产在建工程的进项税额不再分2年抵扣。此前按照上述规定</w:t>
            </w:r>
            <w:r>
              <w:rPr>
                <w:spacing w:val="5"/>
              </w:rPr>
              <w:t xml:space="preserve">   </w:t>
            </w:r>
            <w:r>
              <w:rPr>
                <w:spacing w:val="-2"/>
              </w:rPr>
              <w:t>尚未抵扣完毕的待抵扣进项税额，可自2019年4月税款所</w:t>
            </w:r>
          </w:p>
          <w:p>
            <w:pPr>
              <w:pStyle w:val="TableText"/>
              <w:ind w:left="31"/>
              <w:spacing w:before="22" w:line="219" w:lineRule="auto"/>
              <w:rPr/>
            </w:pPr>
            <w:r>
              <w:rPr>
                <w:spacing w:val="-1"/>
              </w:rPr>
              <w:t>属期起从销项税额中抵扣。</w:t>
            </w:r>
          </w:p>
          <w:p>
            <w:pPr>
              <w:pStyle w:val="TableText"/>
              <w:ind w:left="31" w:right="342" w:hanging="10"/>
              <w:spacing w:before="22" w:line="233" w:lineRule="auto"/>
              <w:rPr/>
            </w:pPr>
            <w:r>
              <w:rPr>
                <w:spacing w:val="-1"/>
              </w:rPr>
              <w:t>六、自2019年4月1日起，纳税人购进国内旅客运输服务</w:t>
            </w:r>
            <w:r>
              <w:rPr>
                <w:spacing w:val="18"/>
                <w:w w:val="101"/>
              </w:rPr>
              <w:t xml:space="preserve"> </w:t>
            </w:r>
            <w:r>
              <w:rPr>
                <w:spacing w:val="-1"/>
              </w:rPr>
              <w:t>其进项税额允许从销项税额中抵扣。</w:t>
            </w:r>
          </w:p>
          <w:p>
            <w:pPr>
              <w:pStyle w:val="TableText"/>
              <w:ind w:left="31"/>
              <w:spacing w:before="22" w:line="219" w:lineRule="auto"/>
              <w:rPr/>
            </w:pPr>
            <w:r>
              <w:rPr/>
              <w:t>七、自2019年4月1日至2021年12月3</w:t>
            </w:r>
            <w:r>
              <w:rPr>
                <w:spacing w:val="-1"/>
              </w:rPr>
              <w:t>1日，允许生产</w:t>
            </w:r>
          </w:p>
          <w:p>
            <w:pPr>
              <w:pStyle w:val="TableText"/>
              <w:ind w:left="21" w:right="192"/>
              <w:spacing w:before="19" w:line="234" w:lineRule="auto"/>
              <w:rPr/>
            </w:pPr>
            <w:r>
              <w:rPr>
                <w:spacing w:val="-1"/>
              </w:rPr>
              <w:t>生活性服务业纳税人按照当期可抵扣进项税额加计10%,抵</w:t>
            </w:r>
            <w:r>
              <w:rPr>
                <w:spacing w:val="18"/>
                <w:w w:val="101"/>
              </w:rPr>
              <w:t xml:space="preserve"> </w:t>
            </w:r>
            <w:r>
              <w:rPr>
                <w:spacing w:val="2"/>
              </w:rPr>
              <w:t>减应纳税额(以下称加计抵减政策)</w:t>
            </w:r>
          </w:p>
          <w:p>
            <w:pPr>
              <w:pStyle w:val="TableText"/>
              <w:ind w:left="11" w:right="323" w:firstLine="30"/>
              <w:spacing w:before="13" w:line="227" w:lineRule="auto"/>
              <w:rPr/>
            </w:pPr>
            <w:r>
              <w:rPr>
                <w:spacing w:val="-1"/>
              </w:rPr>
              <w:t>八、自2019年4月1日起，试行增值税期末留抵税额退税</w:t>
            </w:r>
            <w:r>
              <w:rPr>
                <w:spacing w:val="17"/>
              </w:rPr>
              <w:t xml:space="preserve"> </w:t>
            </w:r>
            <w:r>
              <w:rPr>
                <w:spacing w:val="-2"/>
              </w:rPr>
              <w:t>制度。</w:t>
            </w:r>
          </w:p>
        </w:tc>
        <w:tc>
          <w:tcPr>
            <w:tcW w:w="2118" w:type="dxa"/>
            <w:vAlign w:val="top"/>
          </w:tcPr>
          <w:p>
            <w:pPr>
              <w:pStyle w:val="TableText"/>
              <w:ind w:left="33" w:hanging="19"/>
              <w:spacing w:before="247" w:line="232" w:lineRule="auto"/>
              <w:rPr/>
            </w:pPr>
            <w:r>
              <w:rPr>
                <w:spacing w:val="-12"/>
              </w:rPr>
              <w:t>财政部</w:t>
            </w:r>
            <w:r>
              <w:rPr>
                <w:spacing w:val="-11"/>
              </w:rPr>
              <w:t>、税务总局、海关总署《</w:t>
            </w:r>
            <w:r>
              <w:rPr>
                <w:spacing w:val="-8"/>
              </w:rPr>
              <w:t>关</w:t>
            </w:r>
            <w:r>
              <w:rPr>
                <w:spacing w:val="7"/>
              </w:rPr>
              <w:t xml:space="preserve"> </w:t>
            </w:r>
            <w:r>
              <w:rPr>
                <w:spacing w:val="2"/>
              </w:rPr>
              <w:t>于深化增值税改革有关政策的</w:t>
            </w:r>
            <w:r>
              <w:rPr/>
              <w:t xml:space="preserve">  </w:t>
            </w:r>
            <w:r>
              <w:rPr/>
              <w:t>公告》2019年第39号公告</w:t>
            </w:r>
          </w:p>
        </w:tc>
        <w:tc>
          <w:tcPr>
            <w:tcW w:w="919" w:type="dxa"/>
            <w:vAlign w:val="top"/>
          </w:tcPr>
          <w:p>
            <w:pPr>
              <w:pStyle w:val="TableText"/>
              <w:ind w:left="26" w:right="1" w:firstLine="10"/>
              <w:spacing w:before="247" w:line="233" w:lineRule="auto"/>
              <w:rPr/>
            </w:pPr>
            <w:r>
              <w:rPr>
                <w:spacing w:val="16"/>
                <w:w w:val="112"/>
              </w:rPr>
              <w:t>2019年4月</w:t>
            </w:r>
            <w:r>
              <w:rPr>
                <w:spacing w:val="1"/>
              </w:rPr>
              <w:t xml:space="preserve"> </w:t>
            </w:r>
            <w:r>
              <w:rPr>
                <w:spacing w:val="-4"/>
              </w:rPr>
              <w:t>1日起</w:t>
            </w:r>
          </w:p>
        </w:tc>
        <w:tc>
          <w:tcPr>
            <w:tcW w:w="859" w:type="dxa"/>
            <w:vAlign w:val="top"/>
          </w:tcPr>
          <w:p>
            <w:pPr>
              <w:pStyle w:val="TableText"/>
              <w:ind w:left="197" w:right="57" w:hanging="149"/>
              <w:spacing w:before="236"/>
              <w:rPr/>
            </w:pPr>
            <w:r>
              <w:rPr>
                <w:spacing w:val="-2"/>
              </w:rPr>
              <w:t>增值税一般</w:t>
            </w:r>
            <w:r>
              <w:rPr>
                <w:spacing w:val="2"/>
              </w:rPr>
              <w:t xml:space="preserve"> </w:t>
            </w:r>
            <w:r>
              <w:rPr>
                <w:spacing w:val="-2"/>
              </w:rPr>
              <w:t>纳税人</w:t>
            </w:r>
          </w:p>
        </w:tc>
        <w:tc>
          <w:tcPr>
            <w:tcW w:w="1009" w:type="dxa"/>
            <w:vAlign w:val="top"/>
          </w:tcPr>
          <w:p>
            <w:pPr>
              <w:pStyle w:val="TableText"/>
              <w:ind w:left="279"/>
              <w:spacing w:before="237" w:line="219" w:lineRule="auto"/>
              <w:rPr/>
            </w:pPr>
            <w:r>
              <w:rPr>
                <w:spacing w:val="-2"/>
              </w:rPr>
              <w:t>增值税</w:t>
            </w:r>
          </w:p>
        </w:tc>
        <w:tc>
          <w:tcPr>
            <w:tcW w:w="474" w:type="dxa"/>
            <w:vAlign w:val="top"/>
          </w:tcPr>
          <w:p>
            <w:pPr>
              <w:pStyle w:val="TableText"/>
              <w:ind w:left="80"/>
              <w:spacing w:before="227" w:line="219" w:lineRule="auto"/>
              <w:rPr/>
            </w:pPr>
            <w:r>
              <w:rPr>
                <w:spacing w:val="-2"/>
              </w:rPr>
              <w:t>减征</w:t>
            </w:r>
          </w:p>
        </w:tc>
      </w:tr>
    </w:tbl>
    <w:p>
      <w:pPr>
        <w:pStyle w:val="BodyText"/>
        <w:rPr/>
      </w:pPr>
      <w:r/>
    </w:p>
    <w:p>
      <w:pPr>
        <w:sectPr>
          <w:pgSz w:w="11910" w:h="8220"/>
          <w:pgMar w:top="400" w:right="1135" w:bottom="400" w:left="799" w:header="0" w:footer="0" w:gutter="0"/>
        </w:sectPr>
        <w:rPr/>
      </w:pPr>
    </w:p>
    <w:p>
      <w:pPr>
        <w:spacing w:before="51"/>
        <w:rPr/>
      </w:pPr>
      <w:r>
        <w:pict>
          <v:shape id="_x0000_s30" style="position:absolute;margin-left:38.9997pt;margin-top:50.1754pt;mso-position-vertical-relative:page;mso-position-horizontal-relative:page;width:10.2pt;height:15.7pt;z-index:251685888;"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5"/>
                      <w:w w:val="76"/>
                    </w:rPr>
                    <w:t>台</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2316" w:hRule="atLeast"/>
        </w:trPr>
        <w:tc>
          <w:tcPr>
            <w:tcW w:w="284"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55"/>
              <w:spacing w:before="49" w:line="183" w:lineRule="auto"/>
              <w:rPr/>
            </w:pPr>
            <w:r>
              <w:rPr>
                <w:spacing w:val="-3"/>
              </w:rPr>
              <w:t>34</w:t>
            </w:r>
          </w:p>
        </w:tc>
        <w:tc>
          <w:tcPr>
            <w:tcW w:w="3956" w:type="dxa"/>
            <w:vAlign w:val="top"/>
          </w:tcPr>
          <w:p>
            <w:pPr>
              <w:pStyle w:val="TableText"/>
              <w:ind w:left="21" w:right="4" w:firstLine="69"/>
              <w:spacing w:before="197" w:line="233" w:lineRule="auto"/>
              <w:rPr/>
            </w:pPr>
            <w:r>
              <w:rPr>
                <w:spacing w:val="-1"/>
              </w:rPr>
              <w:t>一、对电影主管部门(包括中央、省、地市及县级)按照</w:t>
            </w:r>
            <w:r>
              <w:rPr>
                <w:spacing w:val="-2"/>
              </w:rPr>
              <w:t>各  </w:t>
            </w:r>
            <w:r>
              <w:rPr>
                <w:spacing w:val="1"/>
              </w:rPr>
              <w:t>自职能权限批准从事电影制片、发行、放映</w:t>
            </w:r>
            <w:r>
              <w:rPr/>
              <w:t>的电影集团公司 </w:t>
            </w:r>
            <w:r>
              <w:rPr>
                <w:spacing w:val="3"/>
              </w:rPr>
              <w:t>(含成员企业)、电影制片厂及其他电影企业取得的销售电</w:t>
            </w:r>
            <w:r>
              <w:rPr/>
              <w:t xml:space="preserve">  </w:t>
            </w:r>
            <w:r>
              <w:rPr/>
              <w:t>影拷贝(含数字拷贝)收入、转让电影版权</w:t>
            </w:r>
            <w:r>
              <w:rPr>
                <w:spacing w:val="-1"/>
              </w:rPr>
              <w:t>(包括转让和许</w:t>
            </w:r>
          </w:p>
          <w:p>
            <w:pPr>
              <w:pStyle w:val="TableText"/>
              <w:ind w:left="31" w:right="77" w:firstLine="20"/>
              <w:spacing w:before="30" w:line="239" w:lineRule="auto"/>
              <w:rPr/>
            </w:pPr>
            <w:r>
              <w:rPr>
                <w:spacing w:val="-1"/>
              </w:rPr>
              <w:t>可使用)收入、电影发行收入以及在农村取得的电影放映收</w:t>
            </w:r>
            <w:r>
              <w:rPr>
                <w:spacing w:val="17"/>
              </w:rPr>
              <w:t xml:space="preserve"> </w:t>
            </w:r>
            <w:r>
              <w:rPr>
                <w:spacing w:val="-5"/>
              </w:rPr>
              <w:t>入，免征增值税。</w:t>
            </w:r>
            <w:r>
              <w:rPr>
                <w:spacing w:val="44"/>
              </w:rPr>
              <w:t xml:space="preserve"> </w:t>
            </w:r>
            <w:r>
              <w:rPr>
                <w:spacing w:val="-5"/>
              </w:rPr>
              <w:t>一般纳税人提供的城市电影放映服务，</w:t>
            </w:r>
          </w:p>
          <w:p>
            <w:pPr>
              <w:pStyle w:val="TableText"/>
              <w:ind w:left="11" w:right="112" w:firstLine="79"/>
              <w:spacing w:before="11" w:line="221" w:lineRule="auto"/>
              <w:rPr/>
            </w:pPr>
            <w:r>
              <w:rPr>
                <w:spacing w:val="-1"/>
              </w:rPr>
              <w:t>可以按现行政策规定，选择按照简易计税办法计算缴纳增</w:t>
            </w:r>
            <w:r>
              <w:rPr>
                <w:spacing w:val="16"/>
              </w:rPr>
              <w:t xml:space="preserve"> </w:t>
            </w:r>
            <w:r>
              <w:rPr>
                <w:spacing w:val="-2"/>
              </w:rPr>
              <w:t>值税。</w:t>
            </w:r>
          </w:p>
          <w:p>
            <w:pPr>
              <w:pStyle w:val="TableText"/>
              <w:ind w:left="11" w:right="33" w:firstLine="10"/>
              <w:spacing w:before="41" w:line="239" w:lineRule="auto"/>
              <w:rPr/>
            </w:pPr>
            <w:r>
              <w:rPr>
                <w:spacing w:val="-1"/>
              </w:rPr>
              <w:t>二、对广播电视运营服务企业收取的有线数字电视基本收视</w:t>
            </w:r>
            <w:r>
              <w:rPr>
                <w:spacing w:val="16"/>
              </w:rPr>
              <w:t xml:space="preserve"> </w:t>
            </w:r>
            <w:r>
              <w:rPr>
                <w:spacing w:val="-1"/>
              </w:rPr>
              <w:t>维护费和农村有线电视基本收视费，免征增值税</w:t>
            </w:r>
          </w:p>
        </w:tc>
        <w:tc>
          <w:tcPr>
            <w:tcW w:w="2158" w:type="dxa"/>
            <w:vAlign w:val="top"/>
          </w:tcPr>
          <w:p>
            <w:pPr>
              <w:pStyle w:val="TableText"/>
              <w:ind w:left="34" w:right="108" w:firstLine="60"/>
              <w:spacing w:before="197" w:line="234" w:lineRule="auto"/>
              <w:jc w:val="both"/>
              <w:rPr/>
            </w:pPr>
            <w:r>
              <w:rPr>
                <w:spacing w:val="-1"/>
              </w:rPr>
              <w:t>财政部、税务总局《关于继续</w:t>
            </w:r>
            <w:r>
              <w:rPr>
                <w:spacing w:val="5"/>
              </w:rPr>
              <w:t xml:space="preserve"> </w:t>
            </w:r>
            <w:r>
              <w:rPr>
                <w:spacing w:val="3"/>
              </w:rPr>
              <w:t>实施支持文化企业发展增值税</w:t>
            </w:r>
            <w:r>
              <w:rPr>
                <w:spacing w:val="10"/>
              </w:rPr>
              <w:t xml:space="preserve"> </w:t>
            </w:r>
            <w:r>
              <w:rPr>
                <w:spacing w:val="3"/>
              </w:rPr>
              <w:t>政策的通知》财税〔2019〕17</w:t>
            </w:r>
            <w:r>
              <w:rPr>
                <w:spacing w:val="5"/>
              </w:rPr>
              <w:t xml:space="preserve"> </w:t>
            </w:r>
            <w:r>
              <w:rPr/>
              <w:t>号</w:t>
            </w:r>
          </w:p>
        </w:tc>
        <w:tc>
          <w:tcPr>
            <w:tcW w:w="889" w:type="dxa"/>
            <w:vAlign w:val="top"/>
          </w:tcPr>
          <w:p>
            <w:pPr>
              <w:pStyle w:val="TableText"/>
              <w:ind w:left="16"/>
              <w:spacing w:before="196" w:line="236" w:lineRule="auto"/>
              <w:jc w:val="both"/>
              <w:rPr/>
            </w:pPr>
            <w:r>
              <w:rPr>
                <w:spacing w:val="19"/>
                <w:w w:val="108"/>
              </w:rPr>
              <w:t>2019年1月</w:t>
            </w:r>
            <w:r>
              <w:rPr/>
              <w:t xml:space="preserve"> </w:t>
            </w:r>
            <w:r>
              <w:rPr>
                <w:spacing w:val="5"/>
              </w:rPr>
              <w:t>1日</w:t>
            </w:r>
            <w:r>
              <w:rPr>
                <w:spacing w:val="15"/>
              </w:rPr>
              <w:t xml:space="preserve"> </w:t>
            </w:r>
            <w:r>
              <w:rPr>
                <w:spacing w:val="5"/>
              </w:rPr>
              <w:t>至2023</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48" w:right="48" w:firstLine="30"/>
              <w:spacing w:before="188" w:line="233" w:lineRule="auto"/>
              <w:jc w:val="both"/>
              <w:rPr/>
            </w:pPr>
            <w:r>
              <w:rPr>
                <w:spacing w:val="-2"/>
              </w:rPr>
              <w:t>文化企业/</w:t>
            </w:r>
            <w:r>
              <w:rPr>
                <w:spacing w:val="1"/>
              </w:rPr>
              <w:t xml:space="preserve"> </w:t>
            </w:r>
            <w:r>
              <w:rPr>
                <w:spacing w:val="-2"/>
              </w:rPr>
              <w:t>文化企业一</w:t>
            </w:r>
            <w:r>
              <w:rPr>
                <w:spacing w:val="1"/>
              </w:rPr>
              <w:t xml:space="preserve"> </w:t>
            </w:r>
            <w:r>
              <w:rPr>
                <w:spacing w:val="16"/>
              </w:rPr>
              <w:t>般纳税人</w:t>
            </w:r>
          </w:p>
        </w:tc>
        <w:tc>
          <w:tcPr>
            <w:tcW w:w="1029" w:type="dxa"/>
            <w:vAlign w:val="top"/>
          </w:tcPr>
          <w:p>
            <w:pPr>
              <w:pStyle w:val="TableText"/>
              <w:ind w:left="289"/>
              <w:spacing w:before="177" w:line="219" w:lineRule="auto"/>
              <w:rPr/>
            </w:pPr>
            <w:r>
              <w:rPr>
                <w:spacing w:val="-2"/>
              </w:rPr>
              <w:t>增值税</w:t>
            </w:r>
          </w:p>
        </w:tc>
        <w:tc>
          <w:tcPr>
            <w:tcW w:w="464" w:type="dxa"/>
            <w:vAlign w:val="top"/>
          </w:tcPr>
          <w:p>
            <w:pPr>
              <w:pStyle w:val="TableText"/>
              <w:ind w:left="80"/>
              <w:spacing w:before="177" w:line="219" w:lineRule="auto"/>
              <w:rPr/>
            </w:pPr>
            <w:r>
              <w:rPr>
                <w:spacing w:val="-3"/>
              </w:rPr>
              <w:t>免征</w:t>
            </w:r>
          </w:p>
        </w:tc>
      </w:tr>
      <w:tr>
        <w:trPr>
          <w:trHeight w:val="918" w:hRule="atLeast"/>
        </w:trPr>
        <w:tc>
          <w:tcPr>
            <w:tcW w:w="284" w:type="dxa"/>
            <w:vAlign w:val="top"/>
          </w:tcPr>
          <w:p>
            <w:pPr>
              <w:spacing w:line="378" w:lineRule="auto"/>
              <w:rPr>
                <w:rFonts w:ascii="Arial"/>
                <w:sz w:val="21"/>
              </w:rPr>
            </w:pPr>
            <w:r/>
          </w:p>
          <w:p>
            <w:pPr>
              <w:pStyle w:val="TableText"/>
              <w:ind w:left="55"/>
              <w:spacing w:before="49" w:line="183" w:lineRule="auto"/>
              <w:rPr/>
            </w:pPr>
            <w:r>
              <w:rPr>
                <w:spacing w:val="-3"/>
              </w:rPr>
              <w:t>35</w:t>
            </w:r>
          </w:p>
        </w:tc>
        <w:tc>
          <w:tcPr>
            <w:tcW w:w="3956" w:type="dxa"/>
            <w:vAlign w:val="top"/>
          </w:tcPr>
          <w:p>
            <w:pPr>
              <w:pStyle w:val="TableText"/>
              <w:ind w:left="11" w:right="19" w:firstLine="10"/>
              <w:spacing w:before="200" w:line="227" w:lineRule="auto"/>
              <w:rPr/>
            </w:pPr>
            <w:r>
              <w:rPr/>
              <w:t>四、对饮水工程运营管理单位向农村居民提供生活用水取得</w:t>
            </w:r>
            <w:r>
              <w:rPr>
                <w:spacing w:val="4"/>
              </w:rPr>
              <w:t xml:space="preserve"> </w:t>
            </w:r>
            <w:r>
              <w:rPr/>
              <w:t>的自来水销售收入，免征增值税</w:t>
            </w:r>
          </w:p>
        </w:tc>
        <w:tc>
          <w:tcPr>
            <w:tcW w:w="2158" w:type="dxa"/>
            <w:vAlign w:val="top"/>
          </w:tcPr>
          <w:p>
            <w:pPr>
              <w:pStyle w:val="TableText"/>
              <w:ind w:left="24" w:right="29"/>
              <w:spacing w:before="201" w:line="228" w:lineRule="auto"/>
              <w:jc w:val="both"/>
              <w:rPr/>
            </w:pPr>
            <w:r>
              <w:rPr>
                <w:spacing w:val="-1"/>
              </w:rPr>
              <w:t>财政部、税务总局《关于继续实</w:t>
            </w:r>
            <w:r>
              <w:rPr>
                <w:spacing w:val="6"/>
              </w:rPr>
              <w:t xml:space="preserve"> </w:t>
            </w:r>
            <w:r>
              <w:rPr>
                <w:spacing w:val="-1"/>
              </w:rPr>
              <w:t>行农村饮水安全工程税收优惠政</w:t>
            </w:r>
            <w:r>
              <w:rPr>
                <w:spacing w:val="4"/>
              </w:rPr>
              <w:t xml:space="preserve"> </w:t>
            </w:r>
            <w:r>
              <w:rPr>
                <w:spacing w:val="3"/>
              </w:rPr>
              <w:t>策的公告》2019年第67号公告</w:t>
            </w:r>
          </w:p>
        </w:tc>
        <w:tc>
          <w:tcPr>
            <w:tcW w:w="889" w:type="dxa"/>
            <w:vAlign w:val="top"/>
          </w:tcPr>
          <w:p>
            <w:pPr>
              <w:pStyle w:val="TableText"/>
              <w:ind w:left="36" w:right="46" w:firstLine="30"/>
              <w:spacing w:before="191" w:line="233" w:lineRule="auto"/>
              <w:jc w:val="both"/>
              <w:rPr/>
            </w:pPr>
            <w:r>
              <w:rPr>
                <w:spacing w:val="1"/>
              </w:rPr>
              <w:t>2019年1月1</w:t>
            </w:r>
            <w:r>
              <w:rPr>
                <w:spacing w:val="6"/>
              </w:rPr>
              <w:t xml:space="preserve"> </w:t>
            </w:r>
            <w:r>
              <w:rPr>
                <w:spacing w:val="5"/>
              </w:rPr>
              <w:t>日至2023年</w:t>
            </w:r>
            <w:r>
              <w:rPr/>
              <w:t xml:space="preserve"> </w:t>
            </w:r>
            <w:r>
              <w:rPr>
                <w:spacing w:val="4"/>
              </w:rPr>
              <w:t>12月31日</w:t>
            </w:r>
          </w:p>
        </w:tc>
        <w:tc>
          <w:tcPr>
            <w:tcW w:w="849" w:type="dxa"/>
            <w:vAlign w:val="top"/>
          </w:tcPr>
          <w:p>
            <w:pPr>
              <w:pStyle w:val="TableText"/>
              <w:ind w:left="48" w:right="46"/>
              <w:spacing w:before="191" w:line="220" w:lineRule="auto"/>
              <w:rPr/>
            </w:pPr>
            <w:r>
              <w:rPr>
                <w:spacing w:val="-2"/>
              </w:rPr>
              <w:t>饮水工程运</w:t>
            </w:r>
            <w:r>
              <w:rPr>
                <w:spacing w:val="3"/>
              </w:rPr>
              <w:t xml:space="preserve"> </w:t>
            </w:r>
            <w:r>
              <w:rPr>
                <w:spacing w:val="-2"/>
              </w:rPr>
              <w:t>营管理单位</w:t>
            </w:r>
          </w:p>
        </w:tc>
        <w:tc>
          <w:tcPr>
            <w:tcW w:w="1029" w:type="dxa"/>
            <w:vAlign w:val="top"/>
          </w:tcPr>
          <w:p>
            <w:pPr>
              <w:pStyle w:val="TableText"/>
              <w:ind w:left="289"/>
              <w:spacing w:before="181" w:line="219" w:lineRule="auto"/>
              <w:rPr/>
            </w:pPr>
            <w:r>
              <w:rPr>
                <w:spacing w:val="-2"/>
              </w:rPr>
              <w:t>增值税</w:t>
            </w:r>
          </w:p>
        </w:tc>
        <w:tc>
          <w:tcPr>
            <w:tcW w:w="464" w:type="dxa"/>
            <w:vAlign w:val="top"/>
          </w:tcPr>
          <w:p>
            <w:pPr>
              <w:pStyle w:val="TableText"/>
              <w:ind w:left="80"/>
              <w:spacing w:before="181" w:line="219" w:lineRule="auto"/>
              <w:rPr/>
            </w:pPr>
            <w:r>
              <w:rPr>
                <w:spacing w:val="-3"/>
              </w:rPr>
              <w:t>免征</w:t>
            </w:r>
          </w:p>
        </w:tc>
      </w:tr>
      <w:tr>
        <w:trPr>
          <w:trHeight w:val="1118" w:hRule="atLeast"/>
        </w:trPr>
        <w:tc>
          <w:tcPr>
            <w:tcW w:w="284" w:type="dxa"/>
            <w:vAlign w:val="top"/>
          </w:tcPr>
          <w:p>
            <w:pPr>
              <w:rPr>
                <w:rFonts w:ascii="Arial"/>
                <w:sz w:val="21"/>
              </w:rPr>
            </w:pPr>
            <w:r/>
          </w:p>
          <w:p>
            <w:pPr>
              <w:rPr>
                <w:rFonts w:ascii="Arial"/>
                <w:sz w:val="21"/>
              </w:rPr>
            </w:pPr>
            <w:r/>
          </w:p>
          <w:p>
            <w:pPr>
              <w:pStyle w:val="TableText"/>
              <w:ind w:left="55"/>
              <w:spacing w:before="48" w:line="183" w:lineRule="auto"/>
              <w:rPr/>
            </w:pPr>
            <w:r>
              <w:rPr>
                <w:spacing w:val="-3"/>
              </w:rPr>
              <w:t>36</w:t>
            </w:r>
          </w:p>
        </w:tc>
        <w:tc>
          <w:tcPr>
            <w:tcW w:w="3956" w:type="dxa"/>
            <w:vAlign w:val="top"/>
          </w:tcPr>
          <w:p>
            <w:pPr>
              <w:pStyle w:val="TableText"/>
              <w:ind w:left="31" w:right="119" w:firstLine="59"/>
              <w:spacing w:before="172" w:line="239" w:lineRule="auto"/>
              <w:rPr/>
            </w:pPr>
            <w:r>
              <w:rPr>
                <w:spacing w:val="-1"/>
              </w:rPr>
              <w:t>一、对供热企业向居民个人(以下称居民)供热取得的采暖</w:t>
            </w:r>
            <w:r>
              <w:rPr>
                <w:spacing w:val="10"/>
              </w:rPr>
              <w:t xml:space="preserve"> </w:t>
            </w:r>
            <w:r>
              <w:rPr/>
              <w:t>费收入免征增值税</w:t>
            </w:r>
          </w:p>
        </w:tc>
        <w:tc>
          <w:tcPr>
            <w:tcW w:w="2158" w:type="dxa"/>
            <w:vAlign w:val="top"/>
          </w:tcPr>
          <w:p>
            <w:pPr>
              <w:pStyle w:val="TableText"/>
              <w:ind w:left="44" w:right="108" w:firstLine="50"/>
              <w:spacing w:before="192"/>
              <w:jc w:val="both"/>
              <w:rPr/>
            </w:pPr>
            <w:r>
              <w:rPr>
                <w:spacing w:val="-1"/>
              </w:rPr>
              <w:t>财政部、税务总局《关于延续</w:t>
            </w:r>
            <w:r>
              <w:rPr>
                <w:spacing w:val="5"/>
              </w:rPr>
              <w:t xml:space="preserve"> </w:t>
            </w:r>
            <w:r>
              <w:rPr>
                <w:spacing w:val="3"/>
              </w:rPr>
              <w:t>供热企业增值税房产税城镇土</w:t>
            </w:r>
            <w:r>
              <w:rPr>
                <w:spacing w:val="4"/>
              </w:rPr>
              <w:t xml:space="preserve"> </w:t>
            </w:r>
            <w:r>
              <w:rPr>
                <w:spacing w:val="3"/>
              </w:rPr>
              <w:t>地使用税优惠政策的通知》财</w:t>
            </w:r>
            <w:r>
              <w:rPr>
                <w:spacing w:val="4"/>
              </w:rPr>
              <w:t xml:space="preserve"> </w:t>
            </w:r>
            <w:r>
              <w:rPr>
                <w:spacing w:val="-1"/>
              </w:rPr>
              <w:t>税〔2019〕38号</w:t>
            </w:r>
          </w:p>
        </w:tc>
        <w:tc>
          <w:tcPr>
            <w:tcW w:w="889" w:type="dxa"/>
            <w:vAlign w:val="top"/>
          </w:tcPr>
          <w:p>
            <w:pPr>
              <w:pStyle w:val="TableText"/>
              <w:ind w:left="16" w:right="14"/>
              <w:spacing w:before="183" w:line="233" w:lineRule="auto"/>
              <w:jc w:val="both"/>
              <w:rPr/>
            </w:pPr>
            <w:r>
              <w:rPr>
                <w:spacing w:val="-13"/>
              </w:rPr>
              <w:t>自</w:t>
            </w:r>
            <w:r>
              <w:rPr>
                <w:spacing w:val="-10"/>
              </w:rPr>
              <w:t xml:space="preserve"> </w:t>
            </w:r>
            <w:r>
              <w:rPr>
                <w:spacing w:val="-13"/>
              </w:rPr>
              <w:t>2 0</w:t>
            </w:r>
            <w:r>
              <w:rPr>
                <w:spacing w:val="-3"/>
              </w:rPr>
              <w:t xml:space="preserve"> </w:t>
            </w:r>
            <w:r>
              <w:rPr>
                <w:spacing w:val="-13"/>
              </w:rPr>
              <w:t>1 9 年</w:t>
            </w:r>
            <w:r>
              <w:rPr/>
              <w:t xml:space="preserve"> </w:t>
            </w:r>
            <w:r>
              <w:rPr>
                <w:spacing w:val="-15"/>
              </w:rPr>
              <w:t>1</w:t>
            </w:r>
            <w:r>
              <w:rPr>
                <w:spacing w:val="-27"/>
              </w:rPr>
              <w:t xml:space="preserve"> </w:t>
            </w:r>
            <w:r>
              <w:rPr>
                <w:spacing w:val="-15"/>
              </w:rPr>
              <w:t>月</w:t>
            </w:r>
            <w:r>
              <w:rPr>
                <w:spacing w:val="-20"/>
              </w:rPr>
              <w:t xml:space="preserve"> </w:t>
            </w:r>
            <w:r>
              <w:rPr>
                <w:spacing w:val="-15"/>
              </w:rPr>
              <w:t>1 日</w:t>
            </w:r>
            <w:r>
              <w:rPr>
                <w:spacing w:val="4"/>
              </w:rPr>
              <w:t xml:space="preserve">  </w:t>
            </w:r>
            <w:r>
              <w:rPr>
                <w:spacing w:val="-15"/>
              </w:rPr>
              <w:t>至</w:t>
            </w:r>
            <w:r>
              <w:rPr/>
              <w:t xml:space="preserve"> </w:t>
            </w:r>
            <w:r>
              <w:rPr>
                <w:spacing w:val="5"/>
              </w:rPr>
              <w:t>2023年供暖 </w:t>
            </w:r>
            <w:r>
              <w:rPr>
                <w:spacing w:val="-2"/>
              </w:rPr>
              <w:t>期结束</w:t>
            </w:r>
          </w:p>
        </w:tc>
        <w:tc>
          <w:tcPr>
            <w:tcW w:w="849" w:type="dxa"/>
            <w:vAlign w:val="top"/>
          </w:tcPr>
          <w:p>
            <w:pPr>
              <w:pStyle w:val="TableText"/>
              <w:ind w:left="117"/>
              <w:spacing w:before="172" w:line="219" w:lineRule="auto"/>
              <w:rPr/>
            </w:pPr>
            <w:r>
              <w:rPr>
                <w:spacing w:val="-2"/>
              </w:rPr>
              <w:t>供热企业</w:t>
            </w:r>
          </w:p>
        </w:tc>
        <w:tc>
          <w:tcPr>
            <w:tcW w:w="1029" w:type="dxa"/>
            <w:vAlign w:val="top"/>
          </w:tcPr>
          <w:p>
            <w:pPr>
              <w:pStyle w:val="TableText"/>
              <w:ind w:left="289"/>
              <w:spacing w:before="173" w:line="219" w:lineRule="auto"/>
              <w:rPr/>
            </w:pPr>
            <w:r>
              <w:rPr>
                <w:spacing w:val="-2"/>
              </w:rPr>
              <w:t>增值税</w:t>
            </w:r>
          </w:p>
        </w:tc>
        <w:tc>
          <w:tcPr>
            <w:tcW w:w="464" w:type="dxa"/>
            <w:vAlign w:val="top"/>
          </w:tcPr>
          <w:p>
            <w:pPr>
              <w:pStyle w:val="TableText"/>
              <w:ind w:left="80"/>
              <w:spacing w:before="163" w:line="219" w:lineRule="auto"/>
              <w:rPr/>
            </w:pPr>
            <w:r>
              <w:rPr>
                <w:spacing w:val="-3"/>
              </w:rPr>
              <w:t>免征</w:t>
            </w:r>
          </w:p>
        </w:tc>
      </w:tr>
      <w:tr>
        <w:trPr>
          <w:trHeight w:val="1323" w:hRule="atLeast"/>
        </w:trPr>
        <w:tc>
          <w:tcPr>
            <w:tcW w:w="284" w:type="dxa"/>
            <w:vAlign w:val="top"/>
          </w:tcPr>
          <w:p>
            <w:pPr>
              <w:spacing w:line="290" w:lineRule="auto"/>
              <w:rPr>
                <w:rFonts w:ascii="Arial"/>
                <w:sz w:val="21"/>
              </w:rPr>
            </w:pPr>
            <w:r/>
          </w:p>
          <w:p>
            <w:pPr>
              <w:spacing w:line="291" w:lineRule="auto"/>
              <w:rPr>
                <w:rFonts w:ascii="Arial"/>
                <w:sz w:val="21"/>
              </w:rPr>
            </w:pPr>
            <w:r/>
          </w:p>
          <w:p>
            <w:pPr>
              <w:pStyle w:val="TableText"/>
              <w:ind w:left="55"/>
              <w:spacing w:before="49" w:line="183" w:lineRule="auto"/>
              <w:rPr/>
            </w:pPr>
            <w:r>
              <w:rPr>
                <w:spacing w:val="-3"/>
              </w:rPr>
              <w:t>37</w:t>
            </w:r>
          </w:p>
        </w:tc>
        <w:tc>
          <w:tcPr>
            <w:tcW w:w="3956" w:type="dxa"/>
            <w:vAlign w:val="top"/>
          </w:tcPr>
          <w:p>
            <w:pPr>
              <w:pStyle w:val="TableText"/>
              <w:ind w:left="90" w:hanging="39"/>
              <w:spacing w:before="194" w:line="226" w:lineRule="auto"/>
              <w:rPr/>
            </w:pPr>
            <w:r>
              <w:rPr/>
              <w:t>一、增值税一般纳税人生产销售和批发、零</w:t>
            </w:r>
            <w:r>
              <w:rPr>
                <w:spacing w:val="-1"/>
              </w:rPr>
              <w:t>售罕见病药品，</w:t>
            </w:r>
            <w:r>
              <w:rPr/>
              <w:t xml:space="preserve"> </w:t>
            </w:r>
            <w:r>
              <w:rPr>
                <w:spacing w:val="-1"/>
              </w:rPr>
              <w:t>可选择按照简易办法依照3%征收率计算缴纳增值税。上述</w:t>
            </w:r>
          </w:p>
          <w:p>
            <w:pPr>
              <w:pStyle w:val="TableText"/>
              <w:ind w:left="11" w:right="112" w:firstLine="79"/>
              <w:spacing w:before="33" w:line="234" w:lineRule="auto"/>
              <w:rPr/>
            </w:pPr>
            <w:r>
              <w:rPr>
                <w:spacing w:val="-1"/>
              </w:rPr>
              <w:t>纳税人选择简易办法计算缴纳增值税后，36个月内不得变</w:t>
            </w:r>
            <w:r>
              <w:rPr>
                <w:spacing w:val="17"/>
              </w:rPr>
              <w:t xml:space="preserve"> </w:t>
            </w:r>
            <w:r>
              <w:rPr>
                <w:spacing w:val="-2"/>
              </w:rPr>
              <w:t>更。</w:t>
            </w:r>
          </w:p>
          <w:p>
            <w:pPr>
              <w:pStyle w:val="TableText"/>
              <w:ind w:left="21"/>
              <w:spacing w:before="19" w:line="219" w:lineRule="auto"/>
              <w:rPr/>
            </w:pPr>
            <w:r>
              <w:rPr/>
              <w:t>二、对进口罕见病药品，减按3%征收进口</w:t>
            </w:r>
            <w:r>
              <w:rPr>
                <w:spacing w:val="-1"/>
              </w:rPr>
              <w:t>环节增值税。</w:t>
            </w:r>
          </w:p>
        </w:tc>
        <w:tc>
          <w:tcPr>
            <w:tcW w:w="2158" w:type="dxa"/>
            <w:vAlign w:val="top"/>
          </w:tcPr>
          <w:p>
            <w:pPr>
              <w:pStyle w:val="TableText"/>
              <w:ind w:left="24"/>
              <w:spacing w:before="195" w:line="237" w:lineRule="auto"/>
              <w:rPr/>
            </w:pPr>
            <w:r>
              <w:rPr>
                <w:spacing w:val="1"/>
              </w:rPr>
              <w:t>财政部、海关总署、税务总局、</w:t>
            </w:r>
            <w:r>
              <w:rPr>
                <w:spacing w:val="8"/>
              </w:rPr>
              <w:t xml:space="preserve"> </w:t>
            </w:r>
            <w:r>
              <w:rPr>
                <w:spacing w:val="1"/>
              </w:rPr>
              <w:t>药监局《关于罕见病药品增值</w:t>
            </w:r>
            <w:r>
              <w:rPr/>
              <w:t xml:space="preserve">   </w:t>
            </w:r>
            <w:r>
              <w:rPr>
                <w:spacing w:val="6"/>
              </w:rPr>
              <w:t>税政策的通知》财税〔2019〕</w:t>
            </w:r>
            <w:r>
              <w:rPr>
                <w:spacing w:val="2"/>
              </w:rPr>
              <w:t xml:space="preserve">  </w:t>
            </w:r>
            <w:r>
              <w:rPr>
                <w:spacing w:val="-3"/>
              </w:rPr>
              <w:t>24号</w:t>
            </w:r>
          </w:p>
        </w:tc>
        <w:tc>
          <w:tcPr>
            <w:tcW w:w="889" w:type="dxa"/>
            <w:vAlign w:val="top"/>
          </w:tcPr>
          <w:p>
            <w:pPr>
              <w:pStyle w:val="TableText"/>
              <w:ind w:left="16" w:right="1" w:firstLine="10"/>
              <w:spacing w:before="195" w:line="227" w:lineRule="auto"/>
              <w:rPr/>
            </w:pPr>
            <w:r>
              <w:rPr>
                <w:spacing w:val="17"/>
                <w:w w:val="108"/>
              </w:rPr>
              <w:t>2019年3月</w:t>
            </w:r>
            <w:r>
              <w:rPr>
                <w:spacing w:val="1"/>
              </w:rPr>
              <w:t xml:space="preserve"> </w:t>
            </w:r>
            <w:r>
              <w:rPr>
                <w:spacing w:val="-4"/>
              </w:rPr>
              <w:t>1日起</w:t>
            </w:r>
          </w:p>
        </w:tc>
        <w:tc>
          <w:tcPr>
            <w:tcW w:w="849" w:type="dxa"/>
            <w:vAlign w:val="top"/>
          </w:tcPr>
          <w:p>
            <w:pPr>
              <w:pStyle w:val="TableText"/>
              <w:ind w:left="48"/>
              <w:spacing w:before="195" w:line="219" w:lineRule="auto"/>
              <w:rPr/>
            </w:pPr>
            <w:r>
              <w:rPr>
                <w:spacing w:val="-2"/>
              </w:rPr>
              <w:t>罕见药品生</w:t>
            </w:r>
          </w:p>
          <w:p>
            <w:pPr>
              <w:pStyle w:val="TableText"/>
              <w:ind w:left="48"/>
              <w:spacing w:before="2" w:line="219" w:lineRule="auto"/>
              <w:rPr/>
            </w:pPr>
            <w:r>
              <w:rPr>
                <w:spacing w:val="-1"/>
              </w:rPr>
              <w:t>产销售和批</w:t>
            </w:r>
          </w:p>
          <w:p>
            <w:pPr>
              <w:pStyle w:val="TableText"/>
              <w:ind w:left="48"/>
              <w:spacing w:before="42" w:line="219" w:lineRule="auto"/>
              <w:rPr/>
            </w:pPr>
            <w:r>
              <w:rPr>
                <w:spacing w:val="-2"/>
              </w:rPr>
              <w:t>发、零售企</w:t>
            </w:r>
          </w:p>
          <w:p>
            <w:pPr>
              <w:pStyle w:val="TableText"/>
              <w:ind w:left="348"/>
              <w:spacing w:before="1" w:line="232" w:lineRule="auto"/>
              <w:rPr/>
            </w:pPr>
            <w:r>
              <w:rPr/>
              <w:t>业</w:t>
            </w:r>
          </w:p>
        </w:tc>
        <w:tc>
          <w:tcPr>
            <w:tcW w:w="1029" w:type="dxa"/>
            <w:vAlign w:val="top"/>
          </w:tcPr>
          <w:p>
            <w:pPr>
              <w:pStyle w:val="TableText"/>
              <w:ind w:left="289"/>
              <w:spacing w:before="175" w:line="219" w:lineRule="auto"/>
              <w:rPr/>
            </w:pPr>
            <w:r>
              <w:rPr>
                <w:spacing w:val="-2"/>
              </w:rPr>
              <w:t>增值税</w:t>
            </w:r>
          </w:p>
        </w:tc>
        <w:tc>
          <w:tcPr>
            <w:tcW w:w="464" w:type="dxa"/>
            <w:vAlign w:val="top"/>
          </w:tcPr>
          <w:p>
            <w:pPr>
              <w:pStyle w:val="TableText"/>
              <w:ind w:left="80"/>
              <w:spacing w:before="175"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686912" behindDoc="0" locked="0" layoutInCell="0" allowOverlap="1">
            <wp:simplePos x="0" y="0"/>
            <wp:positionH relativeFrom="page">
              <wp:posOffset>514349</wp:posOffset>
            </wp:positionH>
            <wp:positionV relativeFrom="page">
              <wp:posOffset>4419624</wp:posOffset>
            </wp:positionV>
            <wp:extent cx="107921" cy="114259"/>
            <wp:effectExtent l="0" t="0" r="0" b="0"/>
            <wp:wrapNone/>
            <wp:docPr id="22" name="IM 22"/>
            <wp:cNvGraphicFramePr/>
            <a:graphic>
              <a:graphicData uri="http://schemas.openxmlformats.org/drawingml/2006/picture">
                <pic:pic>
                  <pic:nvPicPr>
                    <pic:cNvPr id="22" name="IM 22"/>
                    <pic:cNvPicPr/>
                  </pic:nvPicPr>
                  <pic:blipFill>
                    <a:blip r:embed="rId13"/>
                    <a:stretch>
                      <a:fillRect/>
                    </a:stretch>
                  </pic:blipFill>
                  <pic:spPr>
                    <a:xfrm rot="0">
                      <a:off x="0" y="0"/>
                      <a:ext cx="107921" cy="114259"/>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2106" w:hRule="atLeast"/>
        </w:trPr>
        <w:tc>
          <w:tcPr>
            <w:tcW w:w="284"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55"/>
              <w:spacing w:before="48" w:line="183" w:lineRule="auto"/>
              <w:rPr/>
            </w:pPr>
            <w:r>
              <w:rPr>
                <w:spacing w:val="-3"/>
              </w:rPr>
              <w:t>38</w:t>
            </w:r>
          </w:p>
        </w:tc>
        <w:tc>
          <w:tcPr>
            <w:tcW w:w="3956" w:type="dxa"/>
            <w:vAlign w:val="top"/>
          </w:tcPr>
          <w:p>
            <w:pPr>
              <w:pStyle w:val="TableText"/>
              <w:ind w:left="21" w:right="4" w:firstLine="69"/>
              <w:spacing w:before="197" w:line="220" w:lineRule="auto"/>
              <w:rPr/>
            </w:pPr>
            <w:r>
              <w:rPr>
                <w:spacing w:val="-1"/>
              </w:rPr>
              <w:t>一、对电影主管部门(包括中央、省、地市及县级)按照</w:t>
            </w:r>
            <w:r>
              <w:rPr>
                <w:spacing w:val="-2"/>
              </w:rPr>
              <w:t>各  </w:t>
            </w:r>
            <w:r>
              <w:rPr>
                <w:spacing w:val="1"/>
              </w:rPr>
              <w:t>自职能权限批准从事电影制片、发行、放映</w:t>
            </w:r>
            <w:r>
              <w:rPr/>
              <w:t>的电影集团公司</w:t>
            </w:r>
          </w:p>
          <w:p>
            <w:pPr>
              <w:pStyle w:val="TableText"/>
              <w:ind w:left="21" w:right="96" w:firstLine="69"/>
              <w:spacing w:before="42" w:line="220" w:lineRule="auto"/>
              <w:rPr/>
            </w:pPr>
            <w:r>
              <w:rPr/>
              <w:t>(含成员企业)、电影制片厂及其他电影企业取得的销售电</w:t>
            </w:r>
            <w:r>
              <w:rPr>
                <w:spacing w:val="7"/>
              </w:rPr>
              <w:t xml:space="preserve"> </w:t>
            </w:r>
            <w:r>
              <w:rPr/>
              <w:t>影拷贝(含数字拷贝)收入、转让电影版权</w:t>
            </w:r>
            <w:r>
              <w:rPr>
                <w:spacing w:val="-1"/>
              </w:rPr>
              <w:t>(包括转让和许</w:t>
            </w:r>
          </w:p>
          <w:p>
            <w:pPr>
              <w:pStyle w:val="TableText"/>
              <w:ind w:left="11" w:firstLine="39"/>
              <w:spacing w:before="29" w:line="241" w:lineRule="auto"/>
              <w:rPr/>
            </w:pPr>
            <w:r>
              <w:rPr>
                <w:spacing w:val="-3"/>
              </w:rPr>
              <w:t>可使用)收入、电影发行收入以及在农村取得的电影放映收</w:t>
            </w:r>
            <w:r>
              <w:rPr/>
              <w:t xml:space="preserve">   </w:t>
            </w:r>
            <w:r>
              <w:rPr>
                <w:spacing w:val="-7"/>
              </w:rPr>
              <w:t>入，免征增值税。</w:t>
            </w:r>
            <w:r>
              <w:rPr>
                <w:spacing w:val="28"/>
                <w:w w:val="101"/>
              </w:rPr>
              <w:t xml:space="preserve"> </w:t>
            </w:r>
            <w:r>
              <w:rPr>
                <w:spacing w:val="-7"/>
              </w:rPr>
              <w:t>一般纳税人提供的城市电影放映服务</w:t>
            </w:r>
            <w:r>
              <w:rPr>
                <w:spacing w:val="-8"/>
              </w:rPr>
              <w:t>，可  </w:t>
            </w:r>
            <w:r>
              <w:rPr>
                <w:spacing w:val="-5"/>
              </w:rPr>
              <w:t>以按现行政策规定，选择按照简易计税办法计算缴纳增值税。</w:t>
            </w:r>
            <w:r>
              <w:rPr>
                <w:spacing w:val="18"/>
                <w:w w:val="101"/>
              </w:rPr>
              <w:t xml:space="preserve"> </w:t>
            </w:r>
            <w:r>
              <w:rPr>
                <w:spacing w:val="-3"/>
              </w:rPr>
              <w:t>二、对广播电视运营服务企业收取的有线数字电视基本收视</w:t>
            </w:r>
            <w:r>
              <w:rPr>
                <w:spacing w:val="5"/>
              </w:rPr>
              <w:t xml:space="preserve">  </w:t>
            </w:r>
            <w:r>
              <w:rPr>
                <w:spacing w:val="-2"/>
              </w:rPr>
              <w:t>维护费和农村有线电视基本收视费，免征增值税</w:t>
            </w:r>
          </w:p>
        </w:tc>
        <w:tc>
          <w:tcPr>
            <w:tcW w:w="2158" w:type="dxa"/>
            <w:vAlign w:val="top"/>
          </w:tcPr>
          <w:p>
            <w:pPr>
              <w:pStyle w:val="TableText"/>
              <w:ind w:left="34" w:right="108" w:firstLine="60"/>
              <w:spacing w:before="197" w:line="234" w:lineRule="auto"/>
              <w:jc w:val="both"/>
              <w:rPr/>
            </w:pPr>
            <w:r>
              <w:rPr>
                <w:spacing w:val="-1"/>
              </w:rPr>
              <w:t>财政部、税务总局《关于继续</w:t>
            </w:r>
            <w:r>
              <w:rPr>
                <w:spacing w:val="5"/>
              </w:rPr>
              <w:t xml:space="preserve"> </w:t>
            </w:r>
            <w:r>
              <w:rPr>
                <w:spacing w:val="3"/>
              </w:rPr>
              <w:t>实施支持文化企业发展增值税</w:t>
            </w:r>
            <w:r>
              <w:rPr>
                <w:spacing w:val="10"/>
              </w:rPr>
              <w:t xml:space="preserve"> </w:t>
            </w:r>
            <w:r>
              <w:rPr>
                <w:spacing w:val="3"/>
              </w:rPr>
              <w:t>政策的通知》财税〔2019〕17</w:t>
            </w:r>
            <w:r>
              <w:rPr>
                <w:spacing w:val="5"/>
              </w:rPr>
              <w:t xml:space="preserve"> </w:t>
            </w:r>
            <w:r>
              <w:rPr/>
              <w:t>号</w:t>
            </w:r>
          </w:p>
        </w:tc>
        <w:tc>
          <w:tcPr>
            <w:tcW w:w="889" w:type="dxa"/>
            <w:vAlign w:val="top"/>
          </w:tcPr>
          <w:p>
            <w:pPr>
              <w:pStyle w:val="TableText"/>
              <w:ind w:left="16"/>
              <w:spacing w:before="196" w:line="236" w:lineRule="auto"/>
              <w:jc w:val="both"/>
              <w:rPr/>
            </w:pPr>
            <w:r>
              <w:rPr>
                <w:spacing w:val="19"/>
                <w:w w:val="108"/>
              </w:rPr>
              <w:t>2019年1月</w:t>
            </w:r>
            <w:r>
              <w:rPr/>
              <w:t xml:space="preserve"> </w:t>
            </w:r>
            <w:r>
              <w:rPr>
                <w:spacing w:val="5"/>
              </w:rPr>
              <w:t>1日</w:t>
            </w:r>
            <w:r>
              <w:rPr>
                <w:spacing w:val="15"/>
              </w:rPr>
              <w:t xml:space="preserve"> </w:t>
            </w:r>
            <w:r>
              <w:rPr>
                <w:spacing w:val="5"/>
              </w:rPr>
              <w:t>至2023</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117"/>
              <w:spacing w:before="188" w:line="221" w:lineRule="auto"/>
              <w:rPr/>
            </w:pPr>
            <w:r>
              <w:rPr>
                <w:spacing w:val="-2"/>
              </w:rPr>
              <w:t>文化企业</w:t>
            </w:r>
          </w:p>
        </w:tc>
        <w:tc>
          <w:tcPr>
            <w:tcW w:w="1029" w:type="dxa"/>
            <w:vAlign w:val="top"/>
          </w:tcPr>
          <w:p>
            <w:pPr>
              <w:pStyle w:val="TableText"/>
              <w:ind w:left="289"/>
              <w:spacing w:before="177" w:line="219" w:lineRule="auto"/>
              <w:rPr/>
            </w:pPr>
            <w:r>
              <w:rPr>
                <w:spacing w:val="-2"/>
              </w:rPr>
              <w:t>增值税</w:t>
            </w:r>
          </w:p>
        </w:tc>
        <w:tc>
          <w:tcPr>
            <w:tcW w:w="464" w:type="dxa"/>
            <w:vAlign w:val="top"/>
          </w:tcPr>
          <w:p>
            <w:pPr>
              <w:pStyle w:val="TableText"/>
              <w:ind w:left="80"/>
              <w:spacing w:before="177" w:line="219" w:lineRule="auto"/>
              <w:rPr/>
            </w:pPr>
            <w:r>
              <w:rPr>
                <w:spacing w:val="-3"/>
              </w:rPr>
              <w:t>免征</w:t>
            </w:r>
          </w:p>
        </w:tc>
      </w:tr>
      <w:tr>
        <w:trPr>
          <w:trHeight w:val="1288" w:hRule="atLeast"/>
        </w:trPr>
        <w:tc>
          <w:tcPr>
            <w:tcW w:w="284" w:type="dxa"/>
            <w:vAlign w:val="top"/>
          </w:tcPr>
          <w:p>
            <w:pPr>
              <w:spacing w:line="278" w:lineRule="auto"/>
              <w:rPr>
                <w:rFonts w:ascii="Arial"/>
                <w:sz w:val="21"/>
              </w:rPr>
            </w:pPr>
            <w:r/>
          </w:p>
          <w:p>
            <w:pPr>
              <w:spacing w:line="279" w:lineRule="auto"/>
              <w:rPr>
                <w:rFonts w:ascii="Arial"/>
                <w:sz w:val="21"/>
              </w:rPr>
            </w:pPr>
            <w:r/>
          </w:p>
          <w:p>
            <w:pPr>
              <w:pStyle w:val="TableText"/>
              <w:ind w:left="55"/>
              <w:spacing w:before="49" w:line="183" w:lineRule="auto"/>
              <w:rPr/>
            </w:pPr>
            <w:r>
              <w:rPr>
                <w:spacing w:val="-3"/>
              </w:rPr>
              <w:t>39</w:t>
            </w:r>
          </w:p>
        </w:tc>
        <w:tc>
          <w:tcPr>
            <w:tcW w:w="3956" w:type="dxa"/>
            <w:vAlign w:val="top"/>
          </w:tcPr>
          <w:p>
            <w:pPr>
              <w:pStyle w:val="TableText"/>
              <w:ind w:left="41" w:right="29" w:hanging="20"/>
              <w:spacing w:before="180" w:line="233" w:lineRule="auto"/>
              <w:rPr/>
            </w:pPr>
            <w:r>
              <w:rPr/>
              <w:t>将多元件集成电路、非电磁干扰滤波器、书籍</w:t>
            </w:r>
            <w:r>
              <w:rPr>
                <w:spacing w:val="-1"/>
              </w:rPr>
              <w:t>、报纸等产品</w:t>
            </w:r>
            <w:r>
              <w:rPr/>
              <w:t xml:space="preserve"> </w:t>
            </w:r>
            <w:r>
              <w:rPr>
                <w:spacing w:val="-1"/>
              </w:rPr>
              <w:t>出口退税率提高至16%。</w:t>
            </w:r>
          </w:p>
          <w:p>
            <w:pPr>
              <w:pStyle w:val="TableText"/>
              <w:ind w:left="11"/>
              <w:spacing w:before="22" w:line="219" w:lineRule="auto"/>
              <w:rPr/>
            </w:pPr>
            <w:r>
              <w:rPr/>
              <w:t>将竹刻、木扇等产品出口退税率提高至13%。</w:t>
            </w:r>
          </w:p>
          <w:p>
            <w:pPr>
              <w:pStyle w:val="TableText"/>
              <w:ind w:left="11" w:right="29" w:firstLine="10"/>
              <w:spacing w:before="22" w:line="238" w:lineRule="auto"/>
              <w:rPr/>
            </w:pPr>
            <w:r>
              <w:rPr/>
              <w:t>将玄武岩纤维及其制品、安全别针等产品出口</w:t>
            </w:r>
            <w:r>
              <w:rPr>
                <w:spacing w:val="-1"/>
              </w:rPr>
              <w:t>退税率提高至</w:t>
            </w:r>
            <w:r>
              <w:rPr/>
              <w:t xml:space="preserve"> </w:t>
            </w:r>
            <w:r>
              <w:rPr>
                <w:spacing w:val="-5"/>
              </w:rPr>
              <w:t>9%。</w:t>
            </w:r>
          </w:p>
        </w:tc>
        <w:tc>
          <w:tcPr>
            <w:tcW w:w="2158" w:type="dxa"/>
            <w:vAlign w:val="top"/>
          </w:tcPr>
          <w:p>
            <w:pPr>
              <w:pStyle w:val="TableText"/>
              <w:ind w:left="64" w:right="108" w:firstLine="30"/>
              <w:spacing w:before="179" w:line="230" w:lineRule="auto"/>
              <w:jc w:val="both"/>
              <w:rPr/>
            </w:pPr>
            <w:r>
              <w:rPr>
                <w:spacing w:val="-1"/>
              </w:rPr>
              <w:t>财政部、税务总局《关于提高</w:t>
            </w:r>
            <w:r>
              <w:rPr>
                <w:spacing w:val="5"/>
              </w:rPr>
              <w:t xml:space="preserve"> </w:t>
            </w:r>
            <w:r>
              <w:rPr>
                <w:spacing w:val="1"/>
              </w:rPr>
              <w:t>机电、文化等产品出口退税率</w:t>
            </w:r>
            <w:r>
              <w:rPr>
                <w:spacing w:val="10"/>
              </w:rPr>
              <w:t xml:space="preserve"> </w:t>
            </w:r>
            <w:r>
              <w:rPr/>
              <w:t>的通知》财税〔2018〕93号</w:t>
            </w:r>
          </w:p>
        </w:tc>
        <w:tc>
          <w:tcPr>
            <w:tcW w:w="889" w:type="dxa"/>
            <w:vAlign w:val="top"/>
          </w:tcPr>
          <w:p>
            <w:pPr>
              <w:pStyle w:val="TableText"/>
              <w:ind w:left="36" w:right="1" w:hanging="10"/>
              <w:spacing w:before="181" w:line="227" w:lineRule="auto"/>
              <w:rPr/>
            </w:pPr>
            <w:r>
              <w:rPr>
                <w:spacing w:val="16"/>
                <w:w w:val="109"/>
              </w:rPr>
              <w:t>2018年9月</w:t>
            </w:r>
            <w:r>
              <w:rPr>
                <w:spacing w:val="1"/>
              </w:rPr>
              <w:t xml:space="preserve"> </w:t>
            </w:r>
            <w:r>
              <w:rPr>
                <w:spacing w:val="1"/>
              </w:rPr>
              <w:t>15日起</w:t>
            </w:r>
          </w:p>
        </w:tc>
        <w:tc>
          <w:tcPr>
            <w:tcW w:w="849" w:type="dxa"/>
            <w:vAlign w:val="top"/>
          </w:tcPr>
          <w:p>
            <w:pPr>
              <w:pStyle w:val="TableText"/>
              <w:ind w:left="48" w:right="22"/>
              <w:spacing w:before="171" w:line="239" w:lineRule="auto"/>
              <w:jc w:val="both"/>
              <w:rPr/>
            </w:pPr>
            <w:r>
              <w:rPr>
                <w:spacing w:val="-2"/>
              </w:rPr>
              <w:t>对机电、文</w:t>
            </w:r>
            <w:r>
              <w:rPr>
                <w:spacing w:val="3"/>
              </w:rPr>
              <w:t xml:space="preserve"> </w:t>
            </w:r>
            <w:r>
              <w:rPr>
                <w:spacing w:val="3"/>
              </w:rPr>
              <w:t>化等产品出</w:t>
            </w:r>
            <w:r>
              <w:rPr>
                <w:spacing w:val="2"/>
              </w:rPr>
              <w:t xml:space="preserve"> </w:t>
            </w:r>
            <w:r>
              <w:rPr>
                <w:spacing w:val="18"/>
              </w:rPr>
              <w:t>口的企业</w:t>
            </w:r>
          </w:p>
        </w:tc>
        <w:tc>
          <w:tcPr>
            <w:tcW w:w="1029" w:type="dxa"/>
            <w:vAlign w:val="top"/>
          </w:tcPr>
          <w:p>
            <w:pPr>
              <w:pStyle w:val="TableText"/>
              <w:ind w:left="289"/>
              <w:spacing w:before="161" w:line="219" w:lineRule="auto"/>
              <w:rPr/>
            </w:pPr>
            <w:r>
              <w:rPr>
                <w:spacing w:val="-2"/>
              </w:rPr>
              <w:t>增值税</w:t>
            </w:r>
          </w:p>
        </w:tc>
        <w:tc>
          <w:tcPr>
            <w:tcW w:w="464" w:type="dxa"/>
            <w:vAlign w:val="top"/>
          </w:tcPr>
          <w:p>
            <w:pPr>
              <w:pStyle w:val="TableText"/>
              <w:ind w:left="80"/>
              <w:spacing w:before="161" w:line="219" w:lineRule="auto"/>
              <w:rPr/>
            </w:pPr>
            <w:r>
              <w:rPr>
                <w:spacing w:val="-2"/>
              </w:rPr>
              <w:t>减征</w:t>
            </w:r>
          </w:p>
        </w:tc>
      </w:tr>
      <w:tr>
        <w:trPr>
          <w:trHeight w:val="2291" w:hRule="atLeast"/>
        </w:trPr>
        <w:tc>
          <w:tcPr>
            <w:tcW w:w="28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55"/>
              <w:spacing w:before="49" w:line="183" w:lineRule="auto"/>
              <w:rPr/>
            </w:pPr>
            <w:r>
              <w:rPr>
                <w:spacing w:val="-2"/>
              </w:rPr>
              <w:t>40</w:t>
            </w:r>
          </w:p>
        </w:tc>
        <w:tc>
          <w:tcPr>
            <w:tcW w:w="3956" w:type="dxa"/>
            <w:vAlign w:val="top"/>
          </w:tcPr>
          <w:p>
            <w:pPr>
              <w:pStyle w:val="TableText"/>
              <w:ind w:left="21"/>
              <w:spacing w:before="202" w:line="219" w:lineRule="auto"/>
              <w:rPr/>
            </w:pPr>
            <w:r>
              <w:rPr>
                <w:spacing w:val="-1"/>
              </w:rPr>
              <w:t>金融机构可以选择以下两种方法之一适用免税</w:t>
            </w:r>
          </w:p>
          <w:p>
            <w:pPr>
              <w:pStyle w:val="TableText"/>
              <w:ind w:left="31" w:right="99" w:firstLine="59"/>
              <w:spacing w:before="2" w:line="245" w:lineRule="auto"/>
              <w:rPr/>
            </w:pPr>
            <w:r>
              <w:rPr/>
              <w:t>(一)对金融机构向小型企业、微型企业和个体工商户发放</w:t>
            </w:r>
            <w:r>
              <w:rPr>
                <w:spacing w:val="4"/>
              </w:rPr>
              <w:t xml:space="preserve"> </w:t>
            </w:r>
            <w:r>
              <w:rPr/>
              <w:t>的，利率水平不高于人民银行同期贷款基准利率150%(含</w:t>
            </w:r>
          </w:p>
          <w:p>
            <w:pPr>
              <w:pStyle w:val="TableText"/>
              <w:ind w:left="31" w:right="56" w:firstLine="20"/>
              <w:spacing w:before="22" w:line="237" w:lineRule="auto"/>
              <w:rPr/>
            </w:pPr>
            <w:r>
              <w:rPr/>
              <w:t>本数)的单笔小额贷款取得的利息收入，免征增值税；高于</w:t>
            </w:r>
            <w:r>
              <w:rPr>
                <w:spacing w:val="12"/>
              </w:rPr>
              <w:t xml:space="preserve"> </w:t>
            </w:r>
            <w:r>
              <w:rPr>
                <w:spacing w:val="2"/>
              </w:rPr>
              <w:t>人民银行同期贷款基准利率150%的单笔小额贷款取</w:t>
            </w:r>
            <w:r>
              <w:rPr>
                <w:spacing w:val="1"/>
              </w:rPr>
              <w:t>得的利 </w:t>
            </w:r>
            <w:r>
              <w:rPr>
                <w:spacing w:val="-1"/>
              </w:rPr>
              <w:t>息收入，按照现行政策规定缴纳增值税。</w:t>
            </w:r>
          </w:p>
          <w:p>
            <w:pPr>
              <w:pStyle w:val="TableText"/>
              <w:ind w:left="21" w:right="32" w:firstLine="69"/>
              <w:spacing w:before="19"/>
              <w:rPr/>
            </w:pPr>
            <w:r>
              <w:rPr/>
              <w:t>(二)对金融机构向小型企业、微型企业和个体工商户发放</w:t>
            </w:r>
            <w:r>
              <w:rPr>
                <w:spacing w:val="2"/>
              </w:rPr>
              <w:t xml:space="preserve">  </w:t>
            </w:r>
            <w:r>
              <w:rPr>
                <w:spacing w:val="-1"/>
              </w:rPr>
              <w:t>单笔小额贷款取得的利息收人中，不高于该笔贷款按照人民</w:t>
            </w:r>
            <w:r>
              <w:rPr>
                <w:spacing w:val="17"/>
              </w:rPr>
              <w:t xml:space="preserve"> </w:t>
            </w:r>
            <w:r>
              <w:rPr>
                <w:spacing w:val="2"/>
              </w:rPr>
              <w:t>银行同期贷款基准利率150%(含本数)计算的利息收入部分</w:t>
            </w:r>
            <w:r>
              <w:rPr>
                <w:spacing w:val="3"/>
              </w:rPr>
              <w:t xml:space="preserve">  </w:t>
            </w:r>
            <w:r>
              <w:rPr/>
              <w:t>免征增值税；超过部分按照现行政策规定缴纳增值税</w:t>
            </w:r>
          </w:p>
        </w:tc>
        <w:tc>
          <w:tcPr>
            <w:tcW w:w="2158" w:type="dxa"/>
            <w:vAlign w:val="top"/>
          </w:tcPr>
          <w:p>
            <w:pPr>
              <w:pStyle w:val="TableText"/>
              <w:ind w:left="34" w:right="102" w:firstLine="60"/>
              <w:spacing w:before="203" w:line="234" w:lineRule="auto"/>
              <w:jc w:val="both"/>
              <w:rPr/>
            </w:pPr>
            <w:r>
              <w:rPr>
                <w:spacing w:val="-1"/>
              </w:rPr>
              <w:t>财政部、税务总局《关于金融</w:t>
            </w:r>
            <w:r>
              <w:rPr>
                <w:spacing w:val="5"/>
              </w:rPr>
              <w:t xml:space="preserve"> </w:t>
            </w:r>
            <w:r>
              <w:rPr>
                <w:spacing w:val="4"/>
              </w:rPr>
              <w:t>机构小微企业贷款利息收入免</w:t>
            </w:r>
            <w:r>
              <w:rPr>
                <w:spacing w:val="1"/>
              </w:rPr>
              <w:t xml:space="preserve"> </w:t>
            </w:r>
            <w:r>
              <w:rPr>
                <w:spacing w:val="4"/>
              </w:rPr>
              <w:t>征增值税政策的通知》财税〔</w:t>
            </w:r>
            <w:r>
              <w:rPr>
                <w:spacing w:val="7"/>
              </w:rPr>
              <w:t xml:space="preserve"> </w:t>
            </w:r>
            <w:r>
              <w:rPr>
                <w:spacing w:val="-1"/>
              </w:rPr>
              <w:t>2018〕91号</w:t>
            </w:r>
          </w:p>
        </w:tc>
        <w:tc>
          <w:tcPr>
            <w:tcW w:w="889" w:type="dxa"/>
            <w:vAlign w:val="top"/>
          </w:tcPr>
          <w:p>
            <w:pPr>
              <w:pStyle w:val="TableText"/>
              <w:ind w:left="6" w:firstLine="9"/>
              <w:spacing w:before="194" w:line="236" w:lineRule="auto"/>
              <w:jc w:val="both"/>
              <w:rPr/>
            </w:pPr>
            <w:r>
              <w:rPr>
                <w:spacing w:val="-11"/>
              </w:rPr>
              <w:t>2</w:t>
            </w:r>
            <w:r>
              <w:rPr>
                <w:spacing w:val="6"/>
              </w:rPr>
              <w:t xml:space="preserve"> </w:t>
            </w:r>
            <w:r>
              <w:rPr>
                <w:spacing w:val="-10"/>
              </w:rPr>
              <w:t>0</w:t>
            </w:r>
            <w:r>
              <w:rPr>
                <w:spacing w:val="11"/>
              </w:rPr>
              <w:t xml:space="preserve"> </w:t>
            </w:r>
            <w:r>
              <w:rPr>
                <w:spacing w:val="-10"/>
              </w:rPr>
              <w:t>1</w:t>
            </w:r>
            <w:r>
              <w:rPr>
                <w:spacing w:val="1"/>
              </w:rPr>
              <w:t xml:space="preserve"> </w:t>
            </w:r>
            <w:r>
              <w:rPr>
                <w:spacing w:val="-10"/>
              </w:rPr>
              <w:t>8</w:t>
            </w:r>
            <w:r>
              <w:rPr>
                <w:spacing w:val="2"/>
              </w:rPr>
              <w:t xml:space="preserve"> </w:t>
            </w:r>
            <w:r>
              <w:rPr>
                <w:spacing w:val="-10"/>
              </w:rPr>
              <w:t>年</w:t>
            </w:r>
            <w:r>
              <w:rPr>
                <w:spacing w:val="1"/>
              </w:rPr>
              <w:t xml:space="preserve"> </w:t>
            </w:r>
            <w:r>
              <w:rPr>
                <w:spacing w:val="-9"/>
              </w:rPr>
              <w:t>9</w:t>
            </w:r>
            <w:r>
              <w:rPr/>
              <w:t xml:space="preserve"> </w:t>
            </w:r>
            <w:r>
              <w:rPr>
                <w:spacing w:val="-14"/>
              </w:rPr>
              <w:t>月</w:t>
            </w:r>
            <w:r>
              <w:rPr>
                <w:spacing w:val="-10"/>
              </w:rPr>
              <w:t xml:space="preserve"> </w:t>
            </w:r>
            <w:r>
              <w:rPr>
                <w:spacing w:val="-14"/>
              </w:rPr>
              <w:t>1</w:t>
            </w:r>
            <w:r>
              <w:rPr>
                <w:spacing w:val="1"/>
              </w:rPr>
              <w:t xml:space="preserve"> </w:t>
            </w:r>
            <w:r>
              <w:rPr>
                <w:spacing w:val="-14"/>
              </w:rPr>
              <w:t>日</w:t>
            </w:r>
            <w:r>
              <w:rPr>
                <w:spacing w:val="-23"/>
              </w:rPr>
              <w:t xml:space="preserve"> </w:t>
            </w:r>
            <w:r>
              <w:rPr>
                <w:spacing w:val="-14"/>
              </w:rPr>
              <w:t>起</w:t>
            </w:r>
            <w:r>
              <w:rPr>
                <w:spacing w:val="-23"/>
              </w:rPr>
              <w:t xml:space="preserve"> </w:t>
            </w:r>
            <w:r>
              <w:rPr>
                <w:spacing w:val="-14"/>
              </w:rPr>
              <w:t>至</w:t>
            </w:r>
            <w:r>
              <w:rPr/>
              <w:t xml:space="preserve"> </w:t>
            </w:r>
            <w:r>
              <w:rPr>
                <w:spacing w:val="-10"/>
              </w:rPr>
              <w:t>2</w:t>
            </w:r>
            <w:r>
              <w:rPr>
                <w:spacing w:val="-20"/>
              </w:rPr>
              <w:t xml:space="preserve"> </w:t>
            </w:r>
            <w:r>
              <w:rPr>
                <w:spacing w:val="-10"/>
              </w:rPr>
              <w:t>0</w:t>
            </w:r>
            <w:r>
              <w:rPr>
                <w:spacing w:val="-21"/>
              </w:rPr>
              <w:t xml:space="preserve"> </w:t>
            </w:r>
            <w:r>
              <w:rPr>
                <w:spacing w:val="-10"/>
              </w:rPr>
              <w:t>2</w:t>
            </w:r>
            <w:r>
              <w:rPr>
                <w:spacing w:val="-21"/>
              </w:rPr>
              <w:t xml:space="preserve"> </w:t>
            </w:r>
            <w:r>
              <w:rPr>
                <w:spacing w:val="-10"/>
              </w:rPr>
              <w:t>3</w:t>
            </w:r>
            <w:r>
              <w:rPr>
                <w:spacing w:val="-22"/>
              </w:rPr>
              <w:t xml:space="preserve"> </w:t>
            </w:r>
            <w:r>
              <w:rPr>
                <w:spacing w:val="-10"/>
              </w:rPr>
              <w:t>年</w:t>
            </w:r>
            <w:r>
              <w:rPr>
                <w:spacing w:val="-13"/>
              </w:rPr>
              <w:t xml:space="preserve"> </w:t>
            </w:r>
            <w:r>
              <w:rPr>
                <w:spacing w:val="-10"/>
              </w:rPr>
              <w:t>1</w:t>
            </w:r>
            <w:r>
              <w:rPr>
                <w:spacing w:val="-21"/>
              </w:rPr>
              <w:t xml:space="preserve"> </w:t>
            </w:r>
            <w:r>
              <w:rPr>
                <w:spacing w:val="-10"/>
              </w:rPr>
              <w:t>2</w:t>
            </w:r>
            <w:r>
              <w:rPr/>
              <w:t xml:space="preserve"> </w:t>
            </w:r>
            <w:r>
              <w:rPr>
                <w:spacing w:val="8"/>
              </w:rPr>
              <w:t>月31日</w:t>
            </w:r>
          </w:p>
        </w:tc>
        <w:tc>
          <w:tcPr>
            <w:tcW w:w="849" w:type="dxa"/>
            <w:vAlign w:val="top"/>
          </w:tcPr>
          <w:p>
            <w:pPr>
              <w:pStyle w:val="TableText"/>
              <w:ind w:left="38"/>
              <w:spacing w:before="182" w:line="219" w:lineRule="auto"/>
              <w:rPr/>
            </w:pPr>
            <w:r>
              <w:rPr>
                <w:spacing w:val="-2"/>
              </w:rPr>
              <w:t>金融机构</w:t>
            </w:r>
          </w:p>
        </w:tc>
        <w:tc>
          <w:tcPr>
            <w:tcW w:w="1029" w:type="dxa"/>
            <w:vAlign w:val="top"/>
          </w:tcPr>
          <w:p>
            <w:pPr>
              <w:pStyle w:val="TableText"/>
              <w:ind w:left="289"/>
              <w:spacing w:before="183" w:line="219" w:lineRule="auto"/>
              <w:rPr/>
            </w:pPr>
            <w:r>
              <w:rPr>
                <w:spacing w:val="-2"/>
              </w:rPr>
              <w:t>增值税</w:t>
            </w:r>
          </w:p>
        </w:tc>
        <w:tc>
          <w:tcPr>
            <w:tcW w:w="464" w:type="dxa"/>
            <w:vAlign w:val="top"/>
          </w:tcPr>
          <w:p>
            <w:pPr>
              <w:pStyle w:val="TableText"/>
              <w:ind w:left="80"/>
              <w:spacing w:before="173" w:line="219" w:lineRule="auto"/>
              <w:rPr/>
            </w:pPr>
            <w:r>
              <w:rPr>
                <w:spacing w:val="-3"/>
              </w:rPr>
              <w:t>免征</w:t>
            </w:r>
          </w:p>
        </w:tc>
      </w:tr>
    </w:tbl>
    <w:p>
      <w:pPr>
        <w:pStyle w:val="BodyText"/>
        <w:rPr/>
      </w:pPr>
      <w:r/>
    </w:p>
    <w:p>
      <w:pPr>
        <w:sectPr>
          <w:pgSz w:w="11910" w:h="8220"/>
          <w:pgMar w:top="400" w:right="1145" w:bottom="400" w:left="809" w:header="0" w:footer="0" w:gutter="0"/>
        </w:sectPr>
        <w:rPr/>
      </w:pPr>
    </w:p>
    <w:p>
      <w:pPr>
        <w:spacing w:before="51"/>
        <w:rPr/>
      </w:pPr>
      <w:r>
        <w:pict>
          <v:shape id="_x0000_s32" style="position:absolute;margin-left:38.9997pt;margin-top:49.7685pt;mso-position-vertical-relative:page;mso-position-horizontal-relative:page;width:10.65pt;height:20.45pt;z-index:251687936;" o:allowincell="f" filled="false" stroked="false" type="#_x0000_t202">
            <v:fill on="false"/>
            <v:stroke on="false"/>
            <v:path/>
            <v:imagedata o:title=""/>
            <o:lock v:ext="edit" aspectratio="false"/>
            <v:textbox inset="0mm,0mm,0mm,0mm">
              <w:txbxContent>
                <w:p>
                  <w:pPr>
                    <w:spacing w:before="20" w:line="234" w:lineRule="auto"/>
                    <w:jc w:val="right"/>
                    <w:rPr>
                      <w:rFonts w:ascii="SimSun" w:hAnsi="SimSun" w:eastAsia="SimSun" w:cs="SimSun"/>
                      <w:sz w:val="29"/>
                      <w:szCs w:val="29"/>
                    </w:rPr>
                  </w:pPr>
                  <w:r>
                    <w:rPr>
                      <w:rFonts w:ascii="SimSun" w:hAnsi="SimSun" w:eastAsia="SimSun" w:cs="SimSun"/>
                      <w:sz w:val="29"/>
                      <w:szCs w:val="29"/>
                      <w:spacing w:val="-25"/>
                      <w:w w:val="68"/>
                    </w:rPr>
                    <w:t>心</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48"/>
        <w:gridCol w:w="889"/>
        <w:gridCol w:w="849"/>
        <w:gridCol w:w="1029"/>
        <w:gridCol w:w="46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3976" w:type="dxa"/>
            <w:vAlign w:val="top"/>
          </w:tcPr>
          <w:p>
            <w:pPr>
              <w:pStyle w:val="TableText"/>
              <w:ind w:left="1681"/>
              <w:spacing w:before="171" w:line="219" w:lineRule="auto"/>
              <w:rPr/>
            </w:pPr>
            <w:r>
              <w:rPr>
                <w:spacing w:val="-2"/>
              </w:rPr>
              <w:t>主要内容</w:t>
            </w:r>
          </w:p>
        </w:tc>
        <w:tc>
          <w:tcPr>
            <w:tcW w:w="2148" w:type="dxa"/>
            <w:vAlign w:val="top"/>
          </w:tcPr>
          <w:p>
            <w:pPr>
              <w:pStyle w:val="TableText"/>
              <w:ind w:left="764"/>
              <w:spacing w:before="170" w:line="219" w:lineRule="auto"/>
              <w:rPr/>
            </w:pPr>
            <w:r>
              <w:rPr>
                <w:spacing w:val="-1"/>
              </w:rPr>
              <w:t>政策依据</w:t>
            </w:r>
          </w:p>
        </w:tc>
        <w:tc>
          <w:tcPr>
            <w:tcW w:w="88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208" w:hRule="atLeast"/>
        </w:trPr>
        <w:tc>
          <w:tcPr>
            <w:tcW w:w="284" w:type="dxa"/>
            <w:vAlign w:val="top"/>
          </w:tcPr>
          <w:p>
            <w:pPr>
              <w:spacing w:line="256" w:lineRule="auto"/>
              <w:rPr>
                <w:rFonts w:ascii="Arial"/>
                <w:sz w:val="21"/>
              </w:rPr>
            </w:pPr>
            <w:r/>
          </w:p>
          <w:p>
            <w:pPr>
              <w:spacing w:line="257" w:lineRule="auto"/>
              <w:rPr>
                <w:rFonts w:ascii="Arial"/>
                <w:sz w:val="21"/>
              </w:rPr>
            </w:pPr>
            <w:r/>
          </w:p>
          <w:p>
            <w:pPr>
              <w:pStyle w:val="TableText"/>
              <w:ind w:left="55"/>
              <w:spacing w:before="48" w:line="184" w:lineRule="auto"/>
              <w:rPr/>
            </w:pPr>
            <w:r>
              <w:rPr>
                <w:spacing w:val="-2"/>
              </w:rPr>
              <w:t>41</w:t>
            </w:r>
          </w:p>
        </w:tc>
        <w:tc>
          <w:tcPr>
            <w:tcW w:w="3976" w:type="dxa"/>
            <w:vAlign w:val="top"/>
          </w:tcPr>
          <w:p>
            <w:pPr>
              <w:pStyle w:val="TableText"/>
              <w:ind w:left="31" w:right="40"/>
              <w:spacing w:before="137" w:line="233" w:lineRule="auto"/>
              <w:rPr/>
            </w:pPr>
            <w:r>
              <w:rPr/>
              <w:t>对实行增值税期末留抵退税的纳税人，允许</w:t>
            </w:r>
            <w:r>
              <w:rPr>
                <w:spacing w:val="-1"/>
              </w:rPr>
              <w:t>其从城市维护建</w:t>
            </w:r>
            <w:r>
              <w:rPr/>
              <w:t xml:space="preserve"> </w:t>
            </w:r>
            <w:r>
              <w:rPr>
                <w:spacing w:val="2"/>
              </w:rPr>
              <w:t>设税、教育费附加和地方教育附加的计税(征)依据中扣除</w:t>
            </w:r>
            <w:r>
              <w:rPr>
                <w:spacing w:val="4"/>
              </w:rPr>
              <w:t xml:space="preserve">  </w:t>
            </w:r>
            <w:r>
              <w:rPr>
                <w:spacing w:val="-1"/>
              </w:rPr>
              <w:t>退还的增值税税额。</w:t>
            </w:r>
          </w:p>
        </w:tc>
        <w:tc>
          <w:tcPr>
            <w:tcW w:w="2148" w:type="dxa"/>
            <w:vAlign w:val="top"/>
          </w:tcPr>
          <w:p>
            <w:pPr>
              <w:pStyle w:val="TableText"/>
              <w:ind w:left="164"/>
              <w:spacing w:before="137" w:line="219" w:lineRule="auto"/>
              <w:rPr/>
            </w:pPr>
            <w:r>
              <w:rPr>
                <w:spacing w:val="-1"/>
              </w:rPr>
              <w:t>财政部、税务总局《关于增</w:t>
            </w:r>
          </w:p>
          <w:p>
            <w:pPr>
              <w:pStyle w:val="TableText"/>
              <w:ind w:left="54" w:right="92" w:firstLine="109"/>
              <w:spacing w:before="12" w:line="237" w:lineRule="auto"/>
              <w:rPr/>
            </w:pPr>
            <w:r>
              <w:rPr>
                <w:spacing w:val="-1"/>
              </w:rPr>
              <w:t>值税期末留抵退税有关城市</w:t>
            </w:r>
            <w:r>
              <w:rPr>
                <w:spacing w:val="2"/>
              </w:rPr>
              <w:t xml:space="preserve">  </w:t>
            </w:r>
            <w:r>
              <w:rPr>
                <w:spacing w:val="2"/>
              </w:rPr>
              <w:t>维护建设税教育费附加和地方</w:t>
            </w:r>
            <w:r>
              <w:rPr>
                <w:spacing w:val="4"/>
              </w:rPr>
              <w:t xml:space="preserve"> </w:t>
            </w:r>
            <w:r>
              <w:rPr>
                <w:spacing w:val="3"/>
              </w:rPr>
              <w:t>教育附加政策的通知》财税〔</w:t>
            </w:r>
            <w:r>
              <w:rPr/>
              <w:t xml:space="preserve"> </w:t>
            </w:r>
            <w:r>
              <w:rPr>
                <w:spacing w:val="-1"/>
              </w:rPr>
              <w:t>2018〕80号</w:t>
            </w:r>
          </w:p>
        </w:tc>
        <w:tc>
          <w:tcPr>
            <w:tcW w:w="889" w:type="dxa"/>
            <w:vAlign w:val="top"/>
          </w:tcPr>
          <w:p>
            <w:pPr>
              <w:pStyle w:val="TableText"/>
              <w:ind w:left="16"/>
              <w:spacing w:before="137" w:line="221" w:lineRule="auto"/>
              <w:rPr/>
            </w:pPr>
            <w:r>
              <w:rPr>
                <w:spacing w:val="17"/>
                <w:w w:val="110"/>
              </w:rPr>
              <w:t>2018年7月</w:t>
            </w:r>
            <w:r>
              <w:rPr/>
              <w:t xml:space="preserve"> </w:t>
            </w:r>
            <w:r>
              <w:rPr>
                <w:spacing w:val="-2"/>
              </w:rPr>
              <w:t>27日起</w:t>
            </w:r>
          </w:p>
        </w:tc>
        <w:tc>
          <w:tcPr>
            <w:tcW w:w="849" w:type="dxa"/>
            <w:vAlign w:val="top"/>
          </w:tcPr>
          <w:p>
            <w:pPr>
              <w:pStyle w:val="TableText"/>
              <w:ind w:left="48" w:right="46"/>
              <w:spacing w:before="135" w:line="234" w:lineRule="auto"/>
              <w:jc w:val="both"/>
              <w:rPr/>
            </w:pPr>
            <w:r>
              <w:rPr>
                <w:spacing w:val="-2"/>
              </w:rPr>
              <w:t>实行增值税</w:t>
            </w:r>
            <w:r>
              <w:rPr/>
              <w:t xml:space="preserve"> </w:t>
            </w:r>
            <w:r>
              <w:rPr>
                <w:spacing w:val="-2"/>
              </w:rPr>
              <w:t>期末留抵退</w:t>
            </w:r>
            <w:r>
              <w:rPr>
                <w:spacing w:val="1"/>
              </w:rPr>
              <w:t xml:space="preserve"> </w:t>
            </w:r>
            <w:r>
              <w:rPr>
                <w:spacing w:val="-2"/>
              </w:rPr>
              <w:t>税的纳税人</w:t>
            </w:r>
          </w:p>
        </w:tc>
        <w:tc>
          <w:tcPr>
            <w:tcW w:w="1029" w:type="dxa"/>
            <w:vAlign w:val="top"/>
          </w:tcPr>
          <w:p>
            <w:pPr>
              <w:pStyle w:val="TableText"/>
              <w:ind w:left="289"/>
              <w:spacing w:before="117" w:line="219" w:lineRule="auto"/>
              <w:rPr/>
            </w:pPr>
            <w:r>
              <w:rPr>
                <w:spacing w:val="-2"/>
              </w:rPr>
              <w:t>增值税</w:t>
            </w:r>
          </w:p>
        </w:tc>
        <w:tc>
          <w:tcPr>
            <w:tcW w:w="464" w:type="dxa"/>
            <w:vAlign w:val="top"/>
          </w:tcPr>
          <w:p>
            <w:pPr>
              <w:pStyle w:val="TableText"/>
              <w:ind w:left="149" w:right="80" w:hanging="69"/>
              <w:spacing w:before="117" w:line="221" w:lineRule="auto"/>
              <w:rPr/>
            </w:pPr>
            <w:r>
              <w:rPr>
                <w:spacing w:val="-4"/>
              </w:rPr>
              <w:t>增值</w:t>
            </w:r>
            <w:r>
              <w:rPr/>
              <w:t xml:space="preserve"> </w:t>
            </w:r>
            <w:r>
              <w:rPr/>
              <w:t>税</w:t>
            </w:r>
          </w:p>
        </w:tc>
      </w:tr>
      <w:tr>
        <w:trPr>
          <w:trHeight w:val="1208" w:hRule="atLeast"/>
        </w:trPr>
        <w:tc>
          <w:tcPr>
            <w:tcW w:w="284" w:type="dxa"/>
            <w:vAlign w:val="top"/>
          </w:tcPr>
          <w:p>
            <w:pPr>
              <w:spacing w:line="257" w:lineRule="auto"/>
              <w:rPr>
                <w:rFonts w:ascii="Arial"/>
                <w:sz w:val="21"/>
              </w:rPr>
            </w:pPr>
            <w:r/>
          </w:p>
          <w:p>
            <w:pPr>
              <w:spacing w:line="258" w:lineRule="auto"/>
              <w:rPr>
                <w:rFonts w:ascii="Arial"/>
                <w:sz w:val="21"/>
              </w:rPr>
            </w:pPr>
            <w:r/>
          </w:p>
          <w:p>
            <w:pPr>
              <w:pStyle w:val="TableText"/>
              <w:ind w:left="55"/>
              <w:spacing w:before="49" w:line="183" w:lineRule="auto"/>
              <w:rPr/>
            </w:pPr>
            <w:r>
              <w:rPr>
                <w:spacing w:val="-2"/>
              </w:rPr>
              <w:t>42</w:t>
            </w:r>
          </w:p>
        </w:tc>
        <w:tc>
          <w:tcPr>
            <w:tcW w:w="3976" w:type="dxa"/>
            <w:vAlign w:val="top"/>
          </w:tcPr>
          <w:p>
            <w:pPr>
              <w:pStyle w:val="TableText"/>
              <w:ind w:left="31" w:right="29"/>
              <w:spacing w:before="119" w:line="243" w:lineRule="auto"/>
              <w:jc w:val="both"/>
              <w:rPr/>
            </w:pPr>
            <w:r>
              <w:rPr/>
              <w:t>对部分行业增值税期末留抵税额予以退还，</w:t>
            </w:r>
            <w:r>
              <w:rPr>
                <w:spacing w:val="-1"/>
              </w:rPr>
              <w:t>退还增值税期末</w:t>
            </w:r>
            <w:r>
              <w:rPr/>
              <w:t xml:space="preserve"> </w:t>
            </w:r>
            <w:r>
              <w:rPr/>
              <w:t>留抵税额的行业包括装备制造等先进制造业、研发等现代服</w:t>
            </w:r>
            <w:r>
              <w:rPr>
                <w:spacing w:val="4"/>
              </w:rPr>
              <w:t xml:space="preserve"> </w:t>
            </w:r>
            <w:r>
              <w:rPr>
                <w:spacing w:val="-1"/>
              </w:rPr>
              <w:t>务业和电网企业，退还期末留抵税额纳税人的纳税信用等级</w:t>
            </w:r>
            <w:r>
              <w:rPr>
                <w:spacing w:val="17"/>
              </w:rPr>
              <w:t xml:space="preserve"> </w:t>
            </w:r>
            <w:r>
              <w:rPr>
                <w:spacing w:val="-5"/>
              </w:rPr>
              <w:t>为</w:t>
            </w:r>
            <w:r>
              <w:rPr>
                <w:spacing w:val="-23"/>
              </w:rPr>
              <w:t xml:space="preserve"> </w:t>
            </w:r>
            <w:r>
              <w:rPr>
                <w:spacing w:val="-5"/>
              </w:rPr>
              <w:t>A</w:t>
            </w:r>
            <w:r>
              <w:rPr>
                <w:spacing w:val="-17"/>
              </w:rPr>
              <w:t xml:space="preserve"> </w:t>
            </w:r>
            <w:r>
              <w:rPr>
                <w:spacing w:val="-5"/>
              </w:rPr>
              <w:t>级</w:t>
            </w:r>
            <w:r>
              <w:rPr>
                <w:spacing w:val="-18"/>
              </w:rPr>
              <w:t xml:space="preserve"> </w:t>
            </w:r>
            <w:r>
              <w:rPr>
                <w:spacing w:val="-5"/>
              </w:rPr>
              <w:t>或</w:t>
            </w:r>
            <w:r>
              <w:rPr>
                <w:spacing w:val="-24"/>
              </w:rPr>
              <w:t xml:space="preserve"> </w:t>
            </w:r>
            <w:r>
              <w:rPr>
                <w:spacing w:val="-5"/>
              </w:rPr>
              <w:t>B</w:t>
            </w:r>
            <w:r>
              <w:rPr>
                <w:spacing w:val="-17"/>
              </w:rPr>
              <w:t xml:space="preserve"> </w:t>
            </w:r>
            <w:r>
              <w:rPr>
                <w:spacing w:val="-5"/>
              </w:rPr>
              <w:t>级</w:t>
            </w:r>
          </w:p>
        </w:tc>
        <w:tc>
          <w:tcPr>
            <w:tcW w:w="2148" w:type="dxa"/>
            <w:vAlign w:val="top"/>
          </w:tcPr>
          <w:p>
            <w:pPr>
              <w:pStyle w:val="TableText"/>
              <w:ind w:left="30" w:right="98" w:firstLine="64"/>
              <w:spacing w:before="119" w:line="243" w:lineRule="auto"/>
              <w:jc w:val="both"/>
              <w:rPr/>
            </w:pPr>
            <w:r>
              <w:rPr>
                <w:spacing w:val="-1"/>
              </w:rPr>
              <w:t>财政部、税务总局《关于2018</w:t>
            </w:r>
            <w:r>
              <w:rPr>
                <w:spacing w:val="7"/>
              </w:rPr>
              <w:t xml:space="preserve"> </w:t>
            </w:r>
            <w:r>
              <w:rPr>
                <w:spacing w:val="4"/>
              </w:rPr>
              <w:t>年退还部分行业增值税留抵税</w:t>
            </w:r>
            <w:r>
              <w:rPr>
                <w:spacing w:val="5"/>
              </w:rPr>
              <w:t xml:space="preserve"> </w:t>
            </w:r>
            <w:r>
              <w:rPr>
                <w:spacing w:val="4"/>
              </w:rPr>
              <w:t>额有关税收政策的通知》财税</w:t>
            </w:r>
            <w:r>
              <w:rPr>
                <w:spacing w:val="6"/>
              </w:rPr>
              <w:t xml:space="preserve"> </w:t>
            </w:r>
            <w:r>
              <w:rPr>
                <w:spacing w:val="8"/>
              </w:rPr>
              <w:t>〔2018〕70号</w:t>
            </w:r>
          </w:p>
        </w:tc>
        <w:tc>
          <w:tcPr>
            <w:tcW w:w="889" w:type="dxa"/>
            <w:vAlign w:val="top"/>
          </w:tcPr>
          <w:p>
            <w:pPr>
              <w:pStyle w:val="TableText"/>
              <w:ind w:left="16" w:right="11"/>
              <w:spacing w:before="119" w:line="233" w:lineRule="auto"/>
              <w:rPr/>
            </w:pPr>
            <w:r>
              <w:rPr>
                <w:spacing w:val="17"/>
                <w:w w:val="108"/>
              </w:rPr>
              <w:t>2018年6月</w:t>
            </w:r>
            <w:r>
              <w:rPr>
                <w:spacing w:val="1"/>
              </w:rPr>
              <w:t xml:space="preserve"> </w:t>
            </w:r>
            <w:r>
              <w:rPr>
                <w:spacing w:val="-2"/>
              </w:rPr>
              <w:t>27日起</w:t>
            </w:r>
          </w:p>
        </w:tc>
        <w:tc>
          <w:tcPr>
            <w:tcW w:w="849" w:type="dxa"/>
            <w:vAlign w:val="top"/>
          </w:tcPr>
          <w:p>
            <w:pPr>
              <w:pStyle w:val="TableText"/>
              <w:ind w:left="48" w:right="46"/>
              <w:spacing w:before="108" w:line="247" w:lineRule="auto"/>
              <w:rPr/>
            </w:pPr>
            <w:r>
              <w:rPr>
                <w:spacing w:val="-2"/>
              </w:rPr>
              <w:t>装备制造等</w:t>
            </w:r>
            <w:r>
              <w:rPr>
                <w:spacing w:val="3"/>
              </w:rPr>
              <w:t xml:space="preserve"> </w:t>
            </w:r>
            <w:r>
              <w:rPr>
                <w:spacing w:val="15"/>
              </w:rPr>
              <w:t>先进制造</w:t>
            </w:r>
            <w:r>
              <w:rPr/>
              <w:t xml:space="preserve">  </w:t>
            </w:r>
            <w:r>
              <w:rPr>
                <w:spacing w:val="-2"/>
              </w:rPr>
              <w:t>业、研发等</w:t>
            </w:r>
            <w:r>
              <w:rPr>
                <w:spacing w:val="3"/>
              </w:rPr>
              <w:t xml:space="preserve"> </w:t>
            </w:r>
            <w:r>
              <w:rPr>
                <w:spacing w:val="-2"/>
              </w:rPr>
              <w:t>现代服务业</w:t>
            </w:r>
            <w:r>
              <w:rPr>
                <w:spacing w:val="1"/>
              </w:rPr>
              <w:t xml:space="preserve"> </w:t>
            </w:r>
            <w:r>
              <w:rPr>
                <w:spacing w:val="-2"/>
              </w:rPr>
              <w:t>和电网企业</w:t>
            </w:r>
          </w:p>
        </w:tc>
        <w:tc>
          <w:tcPr>
            <w:tcW w:w="1029" w:type="dxa"/>
            <w:vAlign w:val="top"/>
          </w:tcPr>
          <w:p>
            <w:pPr>
              <w:pStyle w:val="TableText"/>
              <w:ind w:left="289"/>
              <w:spacing w:before="99" w:line="219" w:lineRule="auto"/>
              <w:rPr/>
            </w:pPr>
            <w:r>
              <w:rPr>
                <w:spacing w:val="-2"/>
              </w:rPr>
              <w:t>增值税</w:t>
            </w:r>
          </w:p>
        </w:tc>
        <w:tc>
          <w:tcPr>
            <w:tcW w:w="464" w:type="dxa"/>
            <w:vAlign w:val="top"/>
          </w:tcPr>
          <w:p>
            <w:pPr>
              <w:pStyle w:val="TableText"/>
              <w:ind w:left="80" w:right="67"/>
              <w:spacing w:before="100" w:line="245" w:lineRule="auto"/>
              <w:rPr/>
            </w:pPr>
            <w:r>
              <w:rPr>
                <w:spacing w:val="3"/>
              </w:rPr>
              <w:t>留抵</w:t>
            </w:r>
            <w:r>
              <w:rPr/>
              <w:t xml:space="preserve"> </w:t>
            </w:r>
            <w:r>
              <w:rPr>
                <w:spacing w:val="-2"/>
              </w:rPr>
              <w:t>退税</w:t>
            </w:r>
          </w:p>
        </w:tc>
      </w:tr>
      <w:tr>
        <w:trPr>
          <w:trHeight w:val="829" w:hRule="atLeast"/>
        </w:trPr>
        <w:tc>
          <w:tcPr>
            <w:tcW w:w="284" w:type="dxa"/>
            <w:vAlign w:val="top"/>
          </w:tcPr>
          <w:p>
            <w:pPr>
              <w:spacing w:line="329" w:lineRule="auto"/>
              <w:rPr>
                <w:rFonts w:ascii="Arial"/>
                <w:sz w:val="21"/>
              </w:rPr>
            </w:pPr>
            <w:r/>
          </w:p>
          <w:p>
            <w:pPr>
              <w:pStyle w:val="TableText"/>
              <w:ind w:left="55"/>
              <w:spacing w:before="48" w:line="183" w:lineRule="auto"/>
              <w:rPr/>
            </w:pPr>
            <w:r>
              <w:rPr>
                <w:spacing w:val="-2"/>
              </w:rPr>
              <w:t>43</w:t>
            </w:r>
          </w:p>
        </w:tc>
        <w:tc>
          <w:tcPr>
            <w:tcW w:w="3976" w:type="dxa"/>
            <w:vAlign w:val="top"/>
          </w:tcPr>
          <w:p>
            <w:pPr>
              <w:pStyle w:val="TableText"/>
              <w:ind w:left="31"/>
              <w:spacing w:before="151" w:line="219" w:lineRule="auto"/>
              <w:rPr/>
            </w:pPr>
            <w:r>
              <w:rPr/>
              <w:t>对动漫企业增值税一般纳税人销售其自主开</w:t>
            </w:r>
            <w:r>
              <w:rPr>
                <w:spacing w:val="-1"/>
              </w:rPr>
              <w:t>发生产的动漫软</w:t>
            </w:r>
          </w:p>
          <w:p>
            <w:pPr>
              <w:pStyle w:val="TableText"/>
              <w:ind w:left="31" w:right="155" w:firstLine="109"/>
              <w:spacing w:before="11" w:line="233" w:lineRule="auto"/>
              <w:rPr/>
            </w:pPr>
            <w:r>
              <w:rPr/>
              <w:t>件，按照16%的税率征收增值税后，对其</w:t>
            </w:r>
            <w:r>
              <w:rPr>
                <w:spacing w:val="-1"/>
              </w:rPr>
              <w:t>增值税实际税负</w:t>
            </w:r>
            <w:r>
              <w:rPr/>
              <w:t xml:space="preserve"> </w:t>
            </w:r>
            <w:r>
              <w:rPr>
                <w:spacing w:val="-1"/>
              </w:rPr>
              <w:t>超过3%的部分，实行即征即退政策。</w:t>
            </w:r>
          </w:p>
        </w:tc>
        <w:tc>
          <w:tcPr>
            <w:tcW w:w="2148" w:type="dxa"/>
            <w:vAlign w:val="top"/>
          </w:tcPr>
          <w:p>
            <w:pPr>
              <w:pStyle w:val="TableText"/>
              <w:ind w:left="125" w:right="75" w:hanging="30"/>
              <w:spacing w:before="150" w:line="227" w:lineRule="auto"/>
              <w:rPr/>
            </w:pPr>
            <w:r>
              <w:rPr>
                <w:spacing w:val="-1"/>
              </w:rPr>
              <w:t>财政部、税务总局《关于延续</w:t>
            </w:r>
            <w:r>
              <w:rPr>
                <w:spacing w:val="5"/>
              </w:rPr>
              <w:t xml:space="preserve"> </w:t>
            </w:r>
            <w:r>
              <w:rPr>
                <w:spacing w:val="-1"/>
              </w:rPr>
              <w:t>动漫产业增值税政策的通知》</w:t>
            </w:r>
          </w:p>
          <w:p>
            <w:pPr>
              <w:pStyle w:val="TableText"/>
              <w:ind w:left="44"/>
              <w:spacing w:before="32" w:line="220" w:lineRule="auto"/>
              <w:rPr/>
            </w:pPr>
            <w:r>
              <w:rPr>
                <w:spacing w:val="-1"/>
              </w:rPr>
              <w:t>财税〔2018〕38号</w:t>
            </w:r>
          </w:p>
        </w:tc>
        <w:tc>
          <w:tcPr>
            <w:tcW w:w="889" w:type="dxa"/>
            <w:vAlign w:val="top"/>
          </w:tcPr>
          <w:p>
            <w:pPr>
              <w:pStyle w:val="TableText"/>
              <w:ind w:left="16"/>
              <w:spacing w:before="151" w:line="233" w:lineRule="auto"/>
              <w:rPr/>
            </w:pPr>
            <w:r>
              <w:rPr>
                <w:spacing w:val="17"/>
                <w:w w:val="110"/>
              </w:rPr>
              <w:t>2018年5月</w:t>
            </w:r>
            <w:r>
              <w:rPr/>
              <w:t xml:space="preserve"> </w:t>
            </w:r>
            <w:r>
              <w:rPr>
                <w:spacing w:val="-1"/>
              </w:rPr>
              <w:t>1日</w:t>
            </w:r>
            <w:r>
              <w:rPr>
                <w:spacing w:val="17"/>
              </w:rPr>
              <w:t xml:space="preserve"> </w:t>
            </w:r>
            <w:r>
              <w:rPr>
                <w:spacing w:val="-1"/>
              </w:rPr>
              <w:t>至2023</w:t>
            </w:r>
            <w:r>
              <w:rPr/>
              <w:t xml:space="preserve">  </w:t>
            </w:r>
            <w:r>
              <w:rPr>
                <w:spacing w:val="2"/>
              </w:rPr>
              <w:t>年12月31日</w:t>
            </w:r>
          </w:p>
        </w:tc>
        <w:tc>
          <w:tcPr>
            <w:tcW w:w="849" w:type="dxa"/>
            <w:vAlign w:val="top"/>
          </w:tcPr>
          <w:p>
            <w:pPr>
              <w:pStyle w:val="TableText"/>
              <w:ind w:left="117"/>
              <w:spacing w:before="131" w:line="220" w:lineRule="auto"/>
              <w:rPr/>
            </w:pPr>
            <w:r>
              <w:rPr>
                <w:spacing w:val="-2"/>
              </w:rPr>
              <w:t>动漫企业</w:t>
            </w:r>
          </w:p>
        </w:tc>
        <w:tc>
          <w:tcPr>
            <w:tcW w:w="1029" w:type="dxa"/>
            <w:vAlign w:val="top"/>
          </w:tcPr>
          <w:p>
            <w:pPr>
              <w:pStyle w:val="TableText"/>
              <w:ind w:left="289"/>
              <w:spacing w:before="131" w:line="219" w:lineRule="auto"/>
              <w:rPr/>
            </w:pPr>
            <w:r>
              <w:rPr>
                <w:spacing w:val="-2"/>
              </w:rPr>
              <w:t>增值税</w:t>
            </w:r>
          </w:p>
        </w:tc>
        <w:tc>
          <w:tcPr>
            <w:tcW w:w="464" w:type="dxa"/>
            <w:vAlign w:val="top"/>
          </w:tcPr>
          <w:p>
            <w:pPr>
              <w:pStyle w:val="TableText"/>
              <w:ind w:left="80"/>
              <w:spacing w:before="131" w:line="219" w:lineRule="auto"/>
              <w:rPr/>
            </w:pPr>
            <w:r>
              <w:rPr>
                <w:spacing w:val="-2"/>
              </w:rPr>
              <w:t>减征</w:t>
            </w:r>
          </w:p>
        </w:tc>
      </w:tr>
      <w:tr>
        <w:trPr>
          <w:trHeight w:val="1388" w:hRule="atLeast"/>
        </w:trPr>
        <w:tc>
          <w:tcPr>
            <w:tcW w:w="284" w:type="dxa"/>
            <w:vAlign w:val="top"/>
          </w:tcPr>
          <w:p>
            <w:pPr>
              <w:spacing w:line="304" w:lineRule="auto"/>
              <w:rPr>
                <w:rFonts w:ascii="Arial"/>
                <w:sz w:val="21"/>
              </w:rPr>
            </w:pPr>
            <w:r/>
          </w:p>
          <w:p>
            <w:pPr>
              <w:spacing w:line="304" w:lineRule="auto"/>
              <w:rPr>
                <w:rFonts w:ascii="Arial"/>
                <w:sz w:val="21"/>
              </w:rPr>
            </w:pPr>
            <w:r/>
          </w:p>
          <w:p>
            <w:pPr>
              <w:pStyle w:val="TableText"/>
              <w:ind w:left="55"/>
              <w:spacing w:before="49" w:line="183" w:lineRule="auto"/>
              <w:rPr/>
            </w:pPr>
            <w:r>
              <w:rPr>
                <w:spacing w:val="-2"/>
              </w:rPr>
              <w:t>44</w:t>
            </w:r>
          </w:p>
        </w:tc>
        <w:tc>
          <w:tcPr>
            <w:tcW w:w="3976" w:type="dxa"/>
            <w:vAlign w:val="top"/>
          </w:tcPr>
          <w:p>
            <w:pPr>
              <w:pStyle w:val="TableText"/>
              <w:ind w:left="31" w:right="43"/>
              <w:spacing w:before="143" w:line="239" w:lineRule="auto"/>
              <w:rPr/>
            </w:pPr>
            <w:r>
              <w:rPr>
                <w:spacing w:val="-1"/>
              </w:rPr>
              <w:t>一、增值税一般纳税人生产销售和批发、零售抗癌药品，可</w:t>
            </w:r>
            <w:r>
              <w:rPr>
                <w:spacing w:val="16"/>
              </w:rPr>
              <w:t xml:space="preserve"> </w:t>
            </w:r>
            <w:r>
              <w:rPr>
                <w:spacing w:val="2"/>
              </w:rPr>
              <w:t>选择按照简易办法依照3%征收率计算缴纳增值税。上述纳</w:t>
            </w:r>
            <w:r>
              <w:rPr>
                <w:spacing w:val="5"/>
              </w:rPr>
              <w:t xml:space="preserve">  </w:t>
            </w:r>
            <w:r>
              <w:rPr>
                <w:spacing w:val="2"/>
              </w:rPr>
              <w:t>税人选择简易办法计算缴纳增值税后，36个月内不得变更</w:t>
            </w:r>
            <w:r>
              <w:rPr>
                <w:spacing w:val="5"/>
              </w:rPr>
              <w:t xml:space="preserve">  </w:t>
            </w:r>
            <w:r>
              <w:rPr>
                <w:spacing w:val="-1"/>
              </w:rPr>
              <w:t>二、对进口抗癌药品，减按3%征收进口环节增值税。</w:t>
            </w:r>
          </w:p>
          <w:p>
            <w:pPr>
              <w:pStyle w:val="TableText"/>
              <w:ind w:left="41" w:right="120" w:firstLine="59"/>
              <w:spacing w:before="11" w:line="220" w:lineRule="auto"/>
              <w:rPr/>
            </w:pPr>
            <w:r>
              <w:rPr>
                <w:spacing w:val="-1"/>
              </w:rPr>
              <w:t>三、纳税人应单独核算抗癌药品的销售额。未单独核算的</w:t>
            </w:r>
            <w:r>
              <w:rPr>
                <w:spacing w:val="18"/>
              </w:rPr>
              <w:t xml:space="preserve"> </w:t>
            </w:r>
            <w:r>
              <w:rPr>
                <w:spacing w:val="-1"/>
              </w:rPr>
              <w:t>不得适用本通知第一条规定的简易征收政策</w:t>
            </w:r>
          </w:p>
        </w:tc>
        <w:tc>
          <w:tcPr>
            <w:tcW w:w="2148" w:type="dxa"/>
            <w:vAlign w:val="top"/>
          </w:tcPr>
          <w:p>
            <w:pPr>
              <w:pStyle w:val="TableText"/>
              <w:ind w:left="44" w:right="87" w:firstLine="50"/>
              <w:spacing w:before="141" w:line="237" w:lineRule="auto"/>
              <w:jc w:val="both"/>
              <w:rPr/>
            </w:pPr>
            <w:r>
              <w:rPr>
                <w:spacing w:val="-1"/>
              </w:rPr>
              <w:t>财政部、海关总署、税务总局</w:t>
            </w:r>
            <w:r>
              <w:rPr>
                <w:spacing w:val="5"/>
              </w:rPr>
              <w:t xml:space="preserve"> </w:t>
            </w:r>
            <w:r>
              <w:rPr>
                <w:spacing w:val="4"/>
              </w:rPr>
              <w:t>国家药品监督管理局《关于抗</w:t>
            </w:r>
            <w:r>
              <w:rPr>
                <w:spacing w:val="2"/>
              </w:rPr>
              <w:t xml:space="preserve"> </w:t>
            </w:r>
            <w:r>
              <w:rPr>
                <w:spacing w:val="3"/>
              </w:rPr>
              <w:t>癌药品增值税政策的通知》财</w:t>
            </w:r>
            <w:r>
              <w:rPr>
                <w:spacing w:val="4"/>
              </w:rPr>
              <w:t xml:space="preserve"> </w:t>
            </w:r>
            <w:r>
              <w:rPr>
                <w:spacing w:val="-1"/>
              </w:rPr>
              <w:t>税〔2018〕47号</w:t>
            </w:r>
          </w:p>
        </w:tc>
        <w:tc>
          <w:tcPr>
            <w:tcW w:w="889" w:type="dxa"/>
            <w:vAlign w:val="top"/>
          </w:tcPr>
          <w:p>
            <w:pPr>
              <w:pStyle w:val="TableText"/>
              <w:ind w:left="16" w:right="11"/>
              <w:spacing w:before="122" w:line="227" w:lineRule="auto"/>
              <w:rPr/>
            </w:pPr>
            <w:r>
              <w:rPr>
                <w:spacing w:val="17"/>
                <w:w w:val="108"/>
              </w:rPr>
              <w:t>2018年5月</w:t>
            </w:r>
            <w:r>
              <w:rPr>
                <w:spacing w:val="1"/>
              </w:rPr>
              <w:t xml:space="preserve"> </w:t>
            </w:r>
            <w:r>
              <w:rPr>
                <w:spacing w:val="-4"/>
              </w:rPr>
              <w:t>1日起</w:t>
            </w:r>
          </w:p>
        </w:tc>
        <w:tc>
          <w:tcPr>
            <w:tcW w:w="849" w:type="dxa"/>
            <w:vAlign w:val="top"/>
          </w:tcPr>
          <w:p>
            <w:pPr>
              <w:pStyle w:val="TableText"/>
              <w:ind w:left="348" w:right="46" w:hanging="300"/>
              <w:spacing w:before="121" w:line="233" w:lineRule="auto"/>
              <w:rPr/>
            </w:pPr>
            <w:r>
              <w:rPr>
                <w:spacing w:val="-2"/>
              </w:rPr>
              <w:t>抗癌制药企</w:t>
            </w:r>
            <w:r>
              <w:rPr>
                <w:spacing w:val="3"/>
              </w:rPr>
              <w:t xml:space="preserve"> </w:t>
            </w:r>
            <w:r>
              <w:rPr/>
              <w:t>业</w:t>
            </w:r>
          </w:p>
        </w:tc>
        <w:tc>
          <w:tcPr>
            <w:tcW w:w="1029" w:type="dxa"/>
            <w:vAlign w:val="top"/>
          </w:tcPr>
          <w:p>
            <w:pPr>
              <w:pStyle w:val="TableText"/>
              <w:ind w:left="289"/>
              <w:spacing w:before="102" w:line="219" w:lineRule="auto"/>
              <w:rPr/>
            </w:pPr>
            <w:r>
              <w:rPr>
                <w:spacing w:val="-2"/>
              </w:rPr>
              <w:t>增值税</w:t>
            </w:r>
          </w:p>
        </w:tc>
        <w:tc>
          <w:tcPr>
            <w:tcW w:w="464" w:type="dxa"/>
            <w:vAlign w:val="top"/>
          </w:tcPr>
          <w:p>
            <w:pPr>
              <w:pStyle w:val="TableText"/>
              <w:ind w:left="80"/>
              <w:spacing w:before="102" w:line="219" w:lineRule="auto"/>
              <w:rPr/>
            </w:pPr>
            <w:r>
              <w:rPr>
                <w:spacing w:val="-2"/>
              </w:rPr>
              <w:t>减征</w:t>
            </w:r>
          </w:p>
        </w:tc>
      </w:tr>
      <w:tr>
        <w:trPr>
          <w:trHeight w:val="1013" w:hRule="atLeast"/>
        </w:trPr>
        <w:tc>
          <w:tcPr>
            <w:tcW w:w="284" w:type="dxa"/>
            <w:vAlign w:val="top"/>
          </w:tcPr>
          <w:p>
            <w:pPr>
              <w:spacing w:line="421" w:lineRule="auto"/>
              <w:rPr>
                <w:rFonts w:ascii="Arial"/>
                <w:sz w:val="21"/>
              </w:rPr>
            </w:pPr>
            <w:r/>
          </w:p>
          <w:p>
            <w:pPr>
              <w:pStyle w:val="TableText"/>
              <w:ind w:left="55"/>
              <w:spacing w:before="49" w:line="183" w:lineRule="auto"/>
              <w:rPr/>
            </w:pPr>
            <w:r>
              <w:rPr>
                <w:spacing w:val="-2"/>
              </w:rPr>
              <w:t>45</w:t>
            </w:r>
          </w:p>
        </w:tc>
        <w:tc>
          <w:tcPr>
            <w:tcW w:w="3976" w:type="dxa"/>
            <w:vAlign w:val="top"/>
          </w:tcPr>
          <w:p>
            <w:pPr>
              <w:pStyle w:val="TableText"/>
              <w:ind w:left="31" w:right="41"/>
              <w:spacing w:before="132"/>
              <w:jc w:val="both"/>
              <w:rPr/>
            </w:pPr>
            <w:r>
              <w:rPr>
                <w:spacing w:val="-1"/>
              </w:rPr>
              <w:t>金融机构开展贴现、转贴现业务，以其实际持有票据期间取</w:t>
            </w:r>
            <w:r>
              <w:rPr>
                <w:spacing w:val="17"/>
              </w:rPr>
              <w:t xml:space="preserve"> </w:t>
            </w:r>
            <w:r>
              <w:rPr>
                <w:spacing w:val="-1"/>
              </w:rPr>
              <w:t>得的利息收入作为贷款服务销售额计算缴纳增值税。此前贴</w:t>
            </w:r>
            <w:r>
              <w:rPr>
                <w:spacing w:val="18"/>
              </w:rPr>
              <w:t xml:space="preserve"> </w:t>
            </w:r>
            <w:r>
              <w:rPr>
                <w:spacing w:val="-1"/>
              </w:rPr>
              <w:t>现机构已就贴现利息收入全额缴纳增值税的票据，转贴现机</w:t>
            </w:r>
            <w:r>
              <w:rPr>
                <w:spacing w:val="17"/>
              </w:rPr>
              <w:t xml:space="preserve"> </w:t>
            </w:r>
            <w:r>
              <w:rPr/>
              <w:t>构转贴现利息收入继续免征增值税。</w:t>
            </w:r>
          </w:p>
        </w:tc>
        <w:tc>
          <w:tcPr>
            <w:tcW w:w="2148" w:type="dxa"/>
            <w:vAlign w:val="top"/>
          </w:tcPr>
          <w:p>
            <w:pPr>
              <w:pStyle w:val="TableText"/>
              <w:ind w:left="24" w:firstLine="69"/>
              <w:spacing w:before="142" w:line="234" w:lineRule="auto"/>
              <w:jc w:val="both"/>
              <w:rPr/>
            </w:pPr>
            <w:r>
              <w:rPr>
                <w:spacing w:val="-1"/>
              </w:rPr>
              <w:t>财政部、税务总局《关于建筑</w:t>
            </w:r>
            <w:r>
              <w:rPr/>
              <w:t xml:space="preserve">  </w:t>
            </w:r>
            <w:r>
              <w:rPr/>
              <w:t>服务等营改增试点政策的通知》</w:t>
            </w:r>
            <w:r>
              <w:rPr>
                <w:spacing w:val="12"/>
              </w:rPr>
              <w:t xml:space="preserve"> </w:t>
            </w:r>
            <w:r>
              <w:rPr>
                <w:spacing w:val="-1"/>
              </w:rPr>
              <w:t>财税〔2017〕58号</w:t>
            </w:r>
          </w:p>
        </w:tc>
        <w:tc>
          <w:tcPr>
            <w:tcW w:w="889" w:type="dxa"/>
            <w:vAlign w:val="top"/>
          </w:tcPr>
          <w:p>
            <w:pPr>
              <w:pStyle w:val="TableText"/>
              <w:ind w:left="16" w:right="11"/>
              <w:spacing w:before="134" w:line="233" w:lineRule="auto"/>
              <w:rPr/>
            </w:pPr>
            <w:r>
              <w:rPr>
                <w:spacing w:val="19"/>
                <w:w w:val="106"/>
              </w:rPr>
              <w:t>2018年1月</w:t>
            </w:r>
            <w:r>
              <w:rPr/>
              <w:t xml:space="preserve"> </w:t>
            </w:r>
            <w:r>
              <w:rPr>
                <w:spacing w:val="-4"/>
              </w:rPr>
              <w:t>1日起</w:t>
            </w:r>
          </w:p>
        </w:tc>
        <w:tc>
          <w:tcPr>
            <w:tcW w:w="849" w:type="dxa"/>
            <w:vAlign w:val="top"/>
          </w:tcPr>
          <w:p>
            <w:pPr>
              <w:pStyle w:val="TableText"/>
              <w:ind w:left="117"/>
              <w:spacing w:before="143" w:line="219" w:lineRule="auto"/>
              <w:rPr/>
            </w:pPr>
            <w:r>
              <w:rPr>
                <w:spacing w:val="-2"/>
              </w:rPr>
              <w:t>金融机构</w:t>
            </w:r>
          </w:p>
        </w:tc>
        <w:tc>
          <w:tcPr>
            <w:tcW w:w="1029" w:type="dxa"/>
            <w:vAlign w:val="top"/>
          </w:tcPr>
          <w:p>
            <w:pPr>
              <w:pStyle w:val="TableText"/>
              <w:ind w:left="289"/>
              <w:spacing w:before="124" w:line="219" w:lineRule="auto"/>
              <w:rPr/>
            </w:pPr>
            <w:r>
              <w:rPr>
                <w:spacing w:val="-2"/>
              </w:rPr>
              <w:t>增值税</w:t>
            </w:r>
          </w:p>
        </w:tc>
        <w:tc>
          <w:tcPr>
            <w:tcW w:w="464" w:type="dxa"/>
            <w:vAlign w:val="top"/>
          </w:tcPr>
          <w:p>
            <w:pPr>
              <w:pStyle w:val="TableText"/>
              <w:ind w:left="80"/>
              <w:spacing w:before="124"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46"/>
        <w:rPr/>
      </w:pPr>
      <w:r>
        <w:pict>
          <v:shape id="_x0000_s34" style="position:absolute;margin-left:38.9997pt;margin-top:346.71pt;mso-position-vertical-relative:page;mso-position-horizontal-relative:page;width:10.45pt;height:14.5pt;z-index:251688960;" o:allowincell="f" filled="false" stroked="false" type="#_x0000_t202">
            <v:fill on="false"/>
            <v:stroke on="false"/>
            <v:path/>
            <v:imagedata o:title=""/>
            <o:lock v:ext="edit" aspectratio="false"/>
            <v:textbox inset="0mm,0mm,0mm,0mm">
              <w:txbxContent>
                <w:p>
                  <w:pPr>
                    <w:spacing w:before="20" w:line="222" w:lineRule="auto"/>
                    <w:jc w:val="right"/>
                    <w:rPr>
                      <w:rFonts w:ascii="STCaiyun" w:hAnsi="STCaiyun" w:eastAsia="STCaiyun" w:cs="STCaiyun"/>
                      <w:sz w:val="20"/>
                      <w:szCs w:val="20"/>
                    </w:rPr>
                  </w:pPr>
                  <w:r>
                    <w:rPr>
                      <w:rFonts w:ascii="STCaiyun" w:hAnsi="STCaiyun" w:eastAsia="STCaiyun" w:cs="STCaiyun"/>
                      <w:sz w:val="20"/>
                      <w:szCs w:val="20"/>
                      <w:spacing w:val="-16"/>
                      <w:w w:val="92"/>
                    </w:rPr>
                    <w:t>出</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514" w:hRule="atLeast"/>
        </w:trPr>
        <w:tc>
          <w:tcPr>
            <w:tcW w:w="284" w:type="dxa"/>
            <w:vAlign w:val="top"/>
            <w:textDirection w:val="tbRlV"/>
          </w:tcPr>
          <w:p>
            <w:pPr>
              <w:pStyle w:val="TableText"/>
              <w:ind w:left="47"/>
              <w:spacing w:before="79" w:line="217" w:lineRule="auto"/>
              <w:rPr/>
            </w:pPr>
            <w:r>
              <w:rPr/>
              <w:t>序</w:t>
            </w:r>
            <w:r>
              <w:rPr>
                <w:spacing w:val="36"/>
                <w:w w:val="101"/>
              </w:rPr>
              <w:t xml:space="preserve"> </w:t>
            </w:r>
            <w:r>
              <w:rPr/>
              <w:t>号</w:t>
            </w:r>
          </w:p>
        </w:tc>
        <w:tc>
          <w:tcPr>
            <w:tcW w:w="398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899" w:type="dxa"/>
            <w:vAlign w:val="top"/>
          </w:tcPr>
          <w:p>
            <w:pPr>
              <w:pStyle w:val="TableText"/>
              <w:ind w:left="147"/>
              <w:spacing w:before="181" w:line="219" w:lineRule="auto"/>
              <w:rPr/>
            </w:pPr>
            <w:r>
              <w:rPr>
                <w:spacing w:val="3"/>
              </w:rPr>
              <w:t>执行时间</w:t>
            </w:r>
          </w:p>
        </w:tc>
        <w:tc>
          <w:tcPr>
            <w:tcW w:w="849" w:type="dxa"/>
            <w:vAlign w:val="top"/>
          </w:tcPr>
          <w:p>
            <w:pPr>
              <w:pStyle w:val="TableText"/>
              <w:ind w:left="267" w:right="133" w:hanging="150"/>
              <w:spacing w:before="8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359" w:hRule="atLeast"/>
        </w:trPr>
        <w:tc>
          <w:tcPr>
            <w:shd w:val="clear" w:fill="DCDDDD"/>
            <w:tcW w:w="9639" w:type="dxa"/>
            <w:vAlign w:val="top"/>
            <w:gridSpan w:val="7"/>
          </w:tcPr>
          <w:p>
            <w:pPr>
              <w:pStyle w:val="TableText"/>
              <w:ind w:left="4307"/>
              <w:spacing w:before="105" w:line="219" w:lineRule="auto"/>
              <w:rPr/>
            </w:pPr>
            <w:r>
              <w:rPr>
                <w:b/>
                <w:bCs/>
                <w:spacing w:val="-3"/>
              </w:rPr>
              <w:t>二、企业所得税</w:t>
            </w:r>
          </w:p>
        </w:tc>
      </w:tr>
      <w:tr>
        <w:trPr>
          <w:trHeight w:val="5307" w:hRule="atLeast"/>
        </w:trPr>
        <w:tc>
          <w:tcPr>
            <w:tcW w:w="284" w:type="dxa"/>
            <w:vAlign w:val="top"/>
          </w:tcPr>
          <w:p>
            <w:pPr>
              <w:rPr>
                <w:rFonts w:ascii="Arial"/>
                <w:sz w:val="21"/>
              </w:rPr>
            </w:pPr>
            <w:r/>
          </w:p>
        </w:tc>
        <w:tc>
          <w:tcPr>
            <w:tcW w:w="3986" w:type="dxa"/>
            <w:vAlign w:val="top"/>
          </w:tcPr>
          <w:p>
            <w:pPr>
              <w:pStyle w:val="TableText"/>
              <w:ind w:left="31" w:right="9" w:firstLine="40"/>
              <w:spacing w:before="198" w:line="229" w:lineRule="auto"/>
              <w:jc w:val="both"/>
              <w:rPr/>
            </w:pPr>
            <w:r>
              <w:rPr>
                <w:spacing w:val="-1"/>
              </w:rPr>
              <w:t>一、对个体工商户经营所得年应纳税所得额不超过100万元</w:t>
            </w:r>
            <w:r>
              <w:rPr>
                <w:spacing w:val="5"/>
              </w:rPr>
              <w:t xml:space="preserve">  </w:t>
            </w:r>
            <w:r>
              <w:rPr>
                <w:spacing w:val="1"/>
              </w:rPr>
              <w:t>的部分，在现行优惠政策基础上，再减半征收个人所得税。</w:t>
            </w:r>
            <w:r>
              <w:rPr>
                <w:spacing w:val="8"/>
              </w:rPr>
              <w:t xml:space="preserve"> </w:t>
            </w:r>
            <w:r>
              <w:rPr>
                <w:spacing w:val="-1"/>
              </w:rPr>
              <w:t>个体工商户不区分征收方式，均可享受。</w:t>
            </w:r>
          </w:p>
          <w:p>
            <w:pPr>
              <w:pStyle w:val="TableText"/>
              <w:ind w:left="31" w:right="53"/>
              <w:spacing w:before="20" w:line="243" w:lineRule="auto"/>
              <w:jc w:val="right"/>
              <w:rPr/>
            </w:pPr>
            <w:r>
              <w:rPr>
                <w:spacing w:val="-1"/>
              </w:rPr>
              <w:t>二、个体工商户在预缴税款时即可享受，其年应纳税所得额</w:t>
            </w:r>
            <w:r>
              <w:rPr>
                <w:spacing w:val="16"/>
              </w:rPr>
              <w:t xml:space="preserve"> </w:t>
            </w:r>
            <w:r>
              <w:rPr>
                <w:spacing w:val="-1"/>
              </w:rPr>
              <w:t>暂按截至本期申报所属期末的情况进行判断，并在年度汇算</w:t>
            </w:r>
            <w:r>
              <w:rPr>
                <w:spacing w:val="14"/>
              </w:rPr>
              <w:t xml:space="preserve"> </w:t>
            </w:r>
            <w:r>
              <w:rPr>
                <w:spacing w:val="3"/>
              </w:rPr>
              <w:t>清缴时按年计算、多退少补。若个体工商户从两处以</w:t>
            </w:r>
            <w:r>
              <w:rPr>
                <w:spacing w:val="2"/>
              </w:rPr>
              <w:t>上取</w:t>
            </w:r>
            <w:r>
              <w:rPr/>
              <w:t xml:space="preserve">  </w:t>
            </w:r>
            <w:r>
              <w:rPr>
                <w:spacing w:val="-1"/>
              </w:rPr>
              <w:t>得经营所得，需在办理年度汇总纳税申报时，合并个体工</w:t>
            </w:r>
          </w:p>
          <w:p>
            <w:pPr>
              <w:pStyle w:val="TableText"/>
              <w:ind w:left="21" w:right="123" w:firstLine="89"/>
              <w:spacing w:before="12" w:line="227" w:lineRule="auto"/>
              <w:rPr/>
            </w:pPr>
            <w:r>
              <w:rPr>
                <w:spacing w:val="-1"/>
              </w:rPr>
              <w:t>商户经营所得年应纳税所得额，重新计算减免税额，多退</w:t>
            </w:r>
            <w:r>
              <w:rPr>
                <w:spacing w:val="15"/>
              </w:rPr>
              <w:t xml:space="preserve"> </w:t>
            </w:r>
            <w:r>
              <w:rPr>
                <w:spacing w:val="-2"/>
              </w:rPr>
              <w:t>少补。</w:t>
            </w:r>
          </w:p>
          <w:p>
            <w:pPr>
              <w:pStyle w:val="TableText"/>
              <w:ind w:left="31"/>
              <w:spacing w:before="50" w:line="219" w:lineRule="auto"/>
              <w:rPr/>
            </w:pPr>
            <w:r>
              <w:rPr/>
              <w:t>三、个体工商户按照以下方法计算减免税额：</w:t>
            </w:r>
            <w:r>
              <w:rPr>
                <w:spacing w:val="-1"/>
              </w:rPr>
              <w:t>减免税额=(个</w:t>
            </w:r>
          </w:p>
          <w:p>
            <w:pPr>
              <w:pStyle w:val="TableText"/>
              <w:ind w:left="31" w:right="255" w:firstLine="20"/>
              <w:spacing w:before="11" w:line="238" w:lineRule="auto"/>
              <w:rPr/>
            </w:pPr>
            <w:r>
              <w:rPr/>
              <w:t>体工商户经营所得应纳税所得额不超过10</w:t>
            </w:r>
            <w:r>
              <w:rPr>
                <w:spacing w:val="-1"/>
              </w:rPr>
              <w:t>0万元部分的应</w:t>
            </w:r>
            <w:r>
              <w:rPr/>
              <w:t xml:space="preserve"> </w:t>
            </w:r>
            <w:r>
              <w:rPr/>
              <w:t>纳税额-其他政策减免税额x个体工商户经营所得应纳税  </w:t>
            </w:r>
            <w:r>
              <w:rPr>
                <w:spacing w:val="1"/>
              </w:rPr>
              <w:t>所得额不超过100万元部分÷经营所得应纳税所得额)×  </w:t>
            </w:r>
            <w:r>
              <w:rPr/>
              <w:t>(1-50%)、</w:t>
            </w:r>
          </w:p>
          <w:p>
            <w:pPr>
              <w:pStyle w:val="TableText"/>
              <w:ind w:left="31" w:right="38"/>
              <w:spacing w:before="25" w:line="242" w:lineRule="auto"/>
              <w:jc w:val="both"/>
              <w:rPr/>
            </w:pPr>
            <w:r>
              <w:rPr/>
              <w:t>四、个体工商户需将按上述方法计算得出的减免税额填入对</w:t>
            </w:r>
            <w:r>
              <w:rPr>
                <w:spacing w:val="5"/>
              </w:rPr>
              <w:t xml:space="preserve"> </w:t>
            </w:r>
            <w:r>
              <w:rPr/>
              <w:t>应经营所得纳税申报表“减免税额”栏次，</w:t>
            </w:r>
            <w:r>
              <w:rPr>
                <w:spacing w:val="-1"/>
              </w:rPr>
              <w:t>并附报《个人所</w:t>
            </w:r>
            <w:r>
              <w:rPr/>
              <w:t xml:space="preserve"> </w:t>
            </w:r>
            <w:r>
              <w:rPr>
                <w:spacing w:val="-1"/>
              </w:rPr>
              <w:t>得税减免税事项报告表》。对于通过电子税务局申报的个体</w:t>
            </w:r>
            <w:r>
              <w:rPr>
                <w:spacing w:val="18"/>
              </w:rPr>
              <w:t xml:space="preserve"> </w:t>
            </w:r>
            <w:r>
              <w:rPr>
                <w:spacing w:val="-1"/>
              </w:rPr>
              <w:t>工商户，税务机关将提供该优惠政策减免税额和报告表的预</w:t>
            </w:r>
            <w:r>
              <w:rPr>
                <w:spacing w:val="17"/>
              </w:rPr>
              <w:t xml:space="preserve"> </w:t>
            </w:r>
            <w:r>
              <w:rPr>
                <w:spacing w:val="-1"/>
              </w:rPr>
              <w:t>填服务。实行简易申报的定期定额个体工商户，税务机关按</w:t>
            </w:r>
            <w:r>
              <w:rPr>
                <w:spacing w:val="17"/>
              </w:rPr>
              <w:t xml:space="preserve"> </w:t>
            </w:r>
            <w:r>
              <w:rPr>
                <w:spacing w:val="-1"/>
              </w:rPr>
              <w:t>照减免后的税额进行税款划缴</w:t>
            </w:r>
          </w:p>
          <w:p>
            <w:pPr>
              <w:pStyle w:val="TableText"/>
              <w:ind w:left="31" w:right="324" w:firstLine="10"/>
              <w:spacing w:before="11" w:line="238" w:lineRule="auto"/>
              <w:rPr/>
            </w:pPr>
            <w:r>
              <w:rPr>
                <w:spacing w:val="1"/>
              </w:rPr>
              <w:t>五、本公告自2023年1月1日起施行，2024年12</w:t>
            </w:r>
            <w:r>
              <w:rPr/>
              <w:t>月31日   </w:t>
            </w:r>
            <w:r>
              <w:rPr>
                <w:spacing w:val="1"/>
              </w:rPr>
              <w:t>终止执行。2023年1月1日至本公告发</w:t>
            </w:r>
            <w:r>
              <w:rPr/>
              <w:t>布前，个体工商户</w:t>
            </w:r>
          </w:p>
          <w:p>
            <w:pPr>
              <w:pStyle w:val="TableText"/>
              <w:ind w:left="31" w:right="24"/>
              <w:spacing w:before="23" w:line="238" w:lineRule="auto"/>
              <w:jc w:val="both"/>
              <w:rPr/>
            </w:pPr>
            <w:r>
              <w:rPr/>
              <w:t>已经缴纳经营所得个人所得税的，可自动抵减以后月份的税</w:t>
            </w:r>
            <w:r>
              <w:rPr>
                <w:spacing w:val="5"/>
              </w:rPr>
              <w:t xml:space="preserve"> </w:t>
            </w:r>
            <w:r>
              <w:rPr>
                <w:spacing w:val="1"/>
              </w:rPr>
              <w:t>款，当年抵减不完的可在汇算清缴时办理退</w:t>
            </w:r>
            <w:r>
              <w:rPr/>
              <w:t>税；也可直接申 </w:t>
            </w:r>
            <w:r>
              <w:rPr>
                <w:spacing w:val="-1"/>
              </w:rPr>
              <w:t>请退还应减免的税款。</w:t>
            </w:r>
          </w:p>
        </w:tc>
        <w:tc>
          <w:tcPr>
            <w:tcW w:w="2128" w:type="dxa"/>
            <w:vAlign w:val="top"/>
          </w:tcPr>
          <w:p>
            <w:pPr>
              <w:pStyle w:val="TableText"/>
              <w:ind w:left="24" w:right="113" w:firstLine="90"/>
              <w:spacing w:before="186" w:line="223" w:lineRule="auto"/>
              <w:rPr/>
            </w:pPr>
            <w:r>
              <w:rPr/>
              <w:t>国家税务总局公告2023年第5</w:t>
            </w:r>
            <w:r>
              <w:rPr>
                <w:spacing w:val="13"/>
              </w:rPr>
              <w:t xml:space="preserve"> </w:t>
            </w:r>
            <w:r>
              <w:rPr/>
              <w:t>号</w:t>
            </w:r>
          </w:p>
        </w:tc>
        <w:tc>
          <w:tcPr>
            <w:tcW w:w="899" w:type="dxa"/>
            <w:vAlign w:val="top"/>
          </w:tcPr>
          <w:p>
            <w:pPr>
              <w:pStyle w:val="TableText"/>
              <w:ind w:left="16"/>
              <w:spacing w:before="187" w:line="236" w:lineRule="auto"/>
              <w:rPr/>
            </w:pPr>
            <w:r>
              <w:rPr>
                <w:spacing w:val="17"/>
                <w:w w:val="110"/>
              </w:rPr>
              <w:t>2023年1月</w:t>
            </w:r>
            <w:r>
              <w:rPr>
                <w:spacing w:val="4"/>
              </w:rPr>
              <w:t xml:space="preserve"> </w:t>
            </w:r>
            <w:r>
              <w:rPr>
                <w:spacing w:val="1"/>
              </w:rPr>
              <w:t>1日</w:t>
            </w:r>
            <w:r>
              <w:rPr>
                <w:spacing w:val="14"/>
              </w:rPr>
              <w:t xml:space="preserve"> </w:t>
            </w:r>
            <w:r>
              <w:rPr>
                <w:spacing w:val="1"/>
              </w:rPr>
              <w:t>至2024</w:t>
            </w:r>
            <w:r>
              <w:rPr/>
              <w:t xml:space="preserve">  </w:t>
            </w:r>
            <w:r>
              <w:rPr>
                <w:spacing w:val="-8"/>
              </w:rPr>
              <w:t>年 1</w:t>
            </w:r>
            <w:r>
              <w:rPr>
                <w:spacing w:val="-13"/>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49" w:type="dxa"/>
            <w:vAlign w:val="top"/>
          </w:tcPr>
          <w:p>
            <w:pPr>
              <w:pStyle w:val="TableText"/>
              <w:ind w:left="48"/>
              <w:spacing w:before="178" w:line="219" w:lineRule="auto"/>
              <w:rPr/>
            </w:pPr>
            <w:r>
              <w:rPr>
                <w:spacing w:val="4"/>
              </w:rPr>
              <w:t>个体工商户</w:t>
            </w:r>
          </w:p>
        </w:tc>
        <w:tc>
          <w:tcPr>
            <w:tcW w:w="1029" w:type="dxa"/>
            <w:vAlign w:val="top"/>
          </w:tcPr>
          <w:p>
            <w:pPr>
              <w:pStyle w:val="TableText"/>
              <w:ind w:left="138"/>
              <w:spacing w:before="178" w:line="219" w:lineRule="auto"/>
              <w:rPr/>
            </w:pPr>
            <w:r>
              <w:rPr>
                <w:spacing w:val="-1"/>
              </w:rPr>
              <w:t>个人所得税</w:t>
            </w:r>
          </w:p>
        </w:tc>
        <w:tc>
          <w:tcPr>
            <w:tcW w:w="464" w:type="dxa"/>
            <w:vAlign w:val="top"/>
          </w:tcPr>
          <w:p>
            <w:pPr>
              <w:pStyle w:val="TableText"/>
              <w:ind w:left="80"/>
              <w:spacing w:before="168"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163"/>
        <w:rPr/>
      </w:pPr>
      <w:r>
        <w:pict>
          <v:shape id="_x0000_s36" style="position:absolute;margin-left:38.9997pt;margin-top:50.1424pt;mso-position-vertical-relative:page;mso-position-horizontal-relative:page;width:10.25pt;height:15.65pt;z-index:251689984;" o:allowincell="f" filled="false" stroked="false" type="#_x0000_t202">
            <v:fill on="false"/>
            <v:stroke on="false"/>
            <v:path/>
            <v:imagedata o:title=""/>
            <o:lock v:ext="edit" aspectratio="false"/>
            <v:textbox inset="0mm,0mm,0mm,0mm">
              <w:txbxContent>
                <w:p>
                  <w:pPr>
                    <w:spacing w:before="19" w:line="221" w:lineRule="auto"/>
                    <w:jc w:val="right"/>
                    <w:rPr>
                      <w:rFonts w:ascii="STCaiyun" w:hAnsi="STCaiyun" w:eastAsia="STCaiyun" w:cs="STCaiyun"/>
                      <w:sz w:val="22"/>
                      <w:szCs w:val="22"/>
                    </w:rPr>
                  </w:pPr>
                  <w:r>
                    <w:rPr>
                      <w:rFonts w:ascii="STCaiyun" w:hAnsi="STCaiyun" w:eastAsia="STCaiyun" w:cs="STCaiyun"/>
                      <w:sz w:val="22"/>
                      <w:szCs w:val="22"/>
                      <w:spacing w:val="-8"/>
                      <w:w w:val="78"/>
                    </w:rPr>
                    <w:t>华</w:t>
                  </w:r>
                </w:p>
              </w:txbxContent>
            </v:textbox>
          </v:shape>
        </w:pict>
      </w: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504" w:hRule="atLeast"/>
        </w:trPr>
        <w:tc>
          <w:tcPr>
            <w:tcW w:w="294" w:type="dxa"/>
            <w:vAlign w:val="top"/>
            <w:textDirection w:val="tbRlV"/>
          </w:tcPr>
          <w:p>
            <w:pPr>
              <w:pStyle w:val="TableText"/>
              <w:ind w:left="27"/>
              <w:spacing w:before="69" w:line="217" w:lineRule="auto"/>
              <w:rPr/>
            </w:pPr>
            <w:r>
              <w:rPr/>
              <w:t>序</w:t>
            </w:r>
            <w:r>
              <w:rPr>
                <w:spacing w:val="56"/>
                <w:w w:val="101"/>
              </w:rPr>
              <w:t xml:space="preserve"> </w:t>
            </w:r>
            <w:r>
              <w:rPr/>
              <w:t>号</w:t>
            </w:r>
          </w:p>
        </w:tc>
        <w:tc>
          <w:tcPr>
            <w:tcW w:w="3966" w:type="dxa"/>
            <w:vAlign w:val="top"/>
          </w:tcPr>
          <w:p>
            <w:pPr>
              <w:pStyle w:val="TableText"/>
              <w:ind w:left="1671"/>
              <w:spacing w:before="181" w:line="219" w:lineRule="auto"/>
              <w:rPr/>
            </w:pPr>
            <w:r>
              <w:rPr>
                <w:spacing w:val="-2"/>
              </w:rPr>
              <w:t>主要内容</w:t>
            </w:r>
          </w:p>
        </w:tc>
        <w:tc>
          <w:tcPr>
            <w:tcW w:w="2118" w:type="dxa"/>
            <w:vAlign w:val="top"/>
          </w:tcPr>
          <w:p>
            <w:pPr>
              <w:pStyle w:val="TableText"/>
              <w:ind w:left="754"/>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859" w:type="dxa"/>
            <w:vAlign w:val="top"/>
          </w:tcPr>
          <w:p>
            <w:pPr>
              <w:pStyle w:val="TableText"/>
              <w:ind w:left="277" w:right="133" w:hanging="150"/>
              <w:spacing w:before="8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3834" w:hRule="atLeast"/>
        </w:trPr>
        <w:tc>
          <w:tcPr>
            <w:tcW w:w="294"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94"/>
              <w:spacing w:before="49" w:line="183" w:lineRule="auto"/>
              <w:rPr/>
            </w:pPr>
            <w:r>
              <w:rPr/>
              <w:t>2</w:t>
            </w:r>
          </w:p>
        </w:tc>
        <w:tc>
          <w:tcPr>
            <w:tcW w:w="3966" w:type="dxa"/>
            <w:vAlign w:val="top"/>
          </w:tcPr>
          <w:p>
            <w:pPr>
              <w:pStyle w:val="TableText"/>
              <w:ind w:left="21" w:right="119" w:firstLine="79"/>
              <w:spacing w:before="67" w:line="237" w:lineRule="auto"/>
              <w:rPr/>
            </w:pPr>
            <w:r>
              <w:rPr>
                <w:spacing w:val="-1"/>
              </w:rPr>
              <w:t>一、企业开展研发活动中实际发生的研发费用，未形成无</w:t>
            </w:r>
            <w:r>
              <w:rPr>
                <w:spacing w:val="9"/>
              </w:rPr>
              <w:t xml:space="preserve"> </w:t>
            </w:r>
            <w:r>
              <w:rPr>
                <w:spacing w:val="1"/>
              </w:rPr>
              <w:t>形资产计入当期损益的，在按规定据实扣除的基础上</w:t>
            </w:r>
            <w:r>
              <w:rPr/>
              <w:t>，自 </w:t>
            </w:r>
            <w:r>
              <w:rPr/>
              <w:t>2023年1月1日起，再按照实际发生额的</w:t>
            </w:r>
            <w:r>
              <w:rPr>
                <w:spacing w:val="-1"/>
              </w:rPr>
              <w:t>100%在税前加计</w:t>
            </w:r>
          </w:p>
          <w:p>
            <w:pPr>
              <w:pStyle w:val="TableText"/>
              <w:ind w:left="21" w:right="343"/>
              <w:spacing w:before="31" w:line="226" w:lineRule="auto"/>
              <w:rPr/>
            </w:pPr>
            <w:r>
              <w:rPr>
                <w:spacing w:val="-1"/>
              </w:rPr>
              <w:t>扣除；形成无形资产的，自2023年1月1日起，按照无形</w:t>
            </w:r>
            <w:r>
              <w:rPr>
                <w:spacing w:val="17"/>
              </w:rPr>
              <w:t xml:space="preserve"> </w:t>
            </w:r>
            <w:r>
              <w:rPr>
                <w:spacing w:val="-1"/>
              </w:rPr>
              <w:t>资产成本的200%在税前摊销。</w:t>
            </w:r>
          </w:p>
          <w:p>
            <w:pPr>
              <w:pStyle w:val="TableText"/>
              <w:ind w:left="21" w:right="43"/>
              <w:spacing w:before="23" w:line="238" w:lineRule="auto"/>
              <w:rPr/>
            </w:pPr>
            <w:r>
              <w:rPr>
                <w:spacing w:val="-1"/>
              </w:rPr>
              <w:t>二、企业享受研发费用加计扣除政策的其他政策口径和管理</w:t>
            </w:r>
            <w:r>
              <w:rPr>
                <w:spacing w:val="16"/>
              </w:rPr>
              <w:t xml:space="preserve"> </w:t>
            </w:r>
            <w:r>
              <w:rPr>
                <w:spacing w:val="-1"/>
              </w:rPr>
              <w:t>要求，按照《财政部国家税务总局科技部关于完善研究开</w:t>
            </w:r>
          </w:p>
          <w:p>
            <w:pPr>
              <w:pStyle w:val="TableText"/>
              <w:ind w:left="11" w:right="144" w:firstLine="30"/>
              <w:spacing w:before="11" w:line="243" w:lineRule="auto"/>
              <w:rPr/>
            </w:pPr>
            <w:r>
              <w:rPr>
                <w:spacing w:val="1"/>
              </w:rPr>
              <w:t>发费用税前加计扣除政策的通知》(财税〔2015〕11</w:t>
            </w:r>
            <w:r>
              <w:rPr/>
              <w:t>9号)  </w:t>
            </w:r>
            <w:r>
              <w:rPr>
                <w:spacing w:val="2"/>
              </w:rPr>
              <w:t>《财政部税务总局科技部关于企业委托境外研究开发费用</w:t>
            </w:r>
            <w:r>
              <w:rPr/>
              <w:t xml:space="preserve"> </w:t>
            </w:r>
            <w:r>
              <w:rPr>
                <w:spacing w:val="1"/>
              </w:rPr>
              <w:t>税前加计扣除有关政策问题的通知》(财税〔2018〕64号)</w:t>
            </w:r>
            <w:r>
              <w:rPr>
                <w:spacing w:val="12"/>
              </w:rPr>
              <w:t xml:space="preserve"> </w:t>
            </w:r>
            <w:r>
              <w:rPr>
                <w:spacing w:val="-1"/>
              </w:rPr>
              <w:t>等文件相关规定执行。</w:t>
            </w:r>
          </w:p>
          <w:p>
            <w:pPr>
              <w:pStyle w:val="TableText"/>
              <w:ind w:left="21" w:right="268" w:firstLine="10"/>
              <w:spacing w:line="245" w:lineRule="auto"/>
              <w:rPr/>
            </w:pPr>
            <w:r>
              <w:rPr/>
              <w:t>三、本公告自2023年1月1日起执行，《</w:t>
            </w:r>
            <w:r>
              <w:rPr>
                <w:spacing w:val="-1"/>
              </w:rPr>
              <w:t>财政部税务总局</w:t>
            </w:r>
            <w:r>
              <w:rPr/>
              <w:t xml:space="preserve">  </w:t>
            </w:r>
            <w:r>
              <w:rPr>
                <w:spacing w:val="-1"/>
              </w:rPr>
              <w:t>关于进一步完善研发费用税前加计扣除政策的公告》(财</w:t>
            </w:r>
            <w:r>
              <w:rPr>
                <w:spacing w:val="15"/>
              </w:rPr>
              <w:t xml:space="preserve"> </w:t>
            </w:r>
            <w:r>
              <w:rPr/>
              <w:t>政部税务总局公告2021年第13号)、</w:t>
            </w:r>
            <w:r>
              <w:rPr>
                <w:spacing w:val="-1"/>
              </w:rPr>
              <w:t>《财政部税务总</w:t>
            </w:r>
          </w:p>
          <w:p>
            <w:pPr>
              <w:pStyle w:val="TableText"/>
              <w:ind w:left="51" w:right="112" w:firstLine="49"/>
              <w:spacing w:before="24" w:line="225" w:lineRule="auto"/>
              <w:rPr/>
            </w:pPr>
            <w:r>
              <w:rPr>
                <w:spacing w:val="-1"/>
              </w:rPr>
              <w:t>局科技部关于进一步提高科技型中小企业研发费用税前加</w:t>
            </w:r>
            <w:r>
              <w:rPr>
                <w:spacing w:val="16"/>
              </w:rPr>
              <w:t xml:space="preserve"> </w:t>
            </w:r>
            <w:r>
              <w:rPr/>
              <w:t>计扣除比例的公告》(财政部税务总局科技</w:t>
            </w:r>
            <w:r>
              <w:rPr>
                <w:spacing w:val="-1"/>
              </w:rPr>
              <w:t>部公告2022</w:t>
            </w:r>
          </w:p>
          <w:p>
            <w:pPr>
              <w:pStyle w:val="TableText"/>
              <w:ind w:left="31"/>
              <w:spacing w:before="33" w:line="219" w:lineRule="auto"/>
              <w:rPr/>
            </w:pPr>
            <w:r>
              <w:rPr>
                <w:spacing w:val="-1"/>
              </w:rPr>
              <w:t>年第16号)、《财政部税务总局科技部关于加大支持科</w:t>
            </w:r>
          </w:p>
          <w:p>
            <w:pPr>
              <w:pStyle w:val="TableText"/>
              <w:ind w:left="11" w:right="266" w:firstLine="10"/>
              <w:spacing w:before="23" w:line="214" w:lineRule="auto"/>
              <w:rPr/>
            </w:pPr>
            <w:r>
              <w:rPr>
                <w:spacing w:val="-1"/>
              </w:rPr>
              <w:t>技创新税前扣除力度的公告》(财政部税务总局科技部公</w:t>
            </w:r>
            <w:r>
              <w:rPr>
                <w:spacing w:val="17"/>
              </w:rPr>
              <w:t xml:space="preserve"> </w:t>
            </w:r>
            <w:r>
              <w:rPr>
                <w:spacing w:val="-1"/>
              </w:rPr>
              <w:t>告2022年第28号)同时废止。</w:t>
            </w:r>
          </w:p>
        </w:tc>
        <w:tc>
          <w:tcPr>
            <w:tcW w:w="2118" w:type="dxa"/>
            <w:vAlign w:val="top"/>
          </w:tcPr>
          <w:p>
            <w:pPr>
              <w:pStyle w:val="TableText"/>
              <w:ind w:left="14" w:right="89" w:firstLine="60"/>
              <w:spacing w:before="75" w:line="223" w:lineRule="auto"/>
              <w:rPr/>
            </w:pPr>
            <w:r>
              <w:rPr>
                <w:spacing w:val="-1"/>
              </w:rPr>
              <w:t>财政部税务总局公告2023年第</w:t>
            </w:r>
            <w:r>
              <w:rPr>
                <w:spacing w:val="7"/>
              </w:rPr>
              <w:t xml:space="preserve"> </w:t>
            </w:r>
            <w:r>
              <w:rPr>
                <w:spacing w:val="-2"/>
              </w:rPr>
              <w:t>7号</w:t>
            </w:r>
          </w:p>
        </w:tc>
        <w:tc>
          <w:tcPr>
            <w:tcW w:w="919" w:type="dxa"/>
            <w:vAlign w:val="top"/>
          </w:tcPr>
          <w:p>
            <w:pPr>
              <w:pStyle w:val="TableText"/>
              <w:ind w:left="36" w:right="11" w:firstLine="10"/>
              <w:spacing w:before="77" w:line="227" w:lineRule="auto"/>
              <w:rPr/>
            </w:pPr>
            <w:r>
              <w:rPr>
                <w:spacing w:val="17"/>
                <w:w w:val="108"/>
              </w:rPr>
              <w:t>2023年1月</w:t>
            </w:r>
            <w:r>
              <w:rPr>
                <w:spacing w:val="1"/>
              </w:rPr>
              <w:t xml:space="preserve"> </w:t>
            </w:r>
            <w:r>
              <w:rPr>
                <w:spacing w:val="-4"/>
              </w:rPr>
              <w:t>1日起</w:t>
            </w:r>
          </w:p>
        </w:tc>
        <w:tc>
          <w:tcPr>
            <w:tcW w:w="859" w:type="dxa"/>
            <w:vAlign w:val="top"/>
          </w:tcPr>
          <w:p>
            <w:pPr>
              <w:pStyle w:val="TableText"/>
              <w:ind w:left="127"/>
              <w:spacing w:before="67" w:line="220" w:lineRule="auto"/>
              <w:rPr/>
            </w:pPr>
            <w:r>
              <w:rPr>
                <w:spacing w:val="-2"/>
              </w:rPr>
              <w:t>相关企业</w:t>
            </w:r>
          </w:p>
        </w:tc>
        <w:tc>
          <w:tcPr>
            <w:tcW w:w="1009" w:type="dxa"/>
            <w:vAlign w:val="top"/>
          </w:tcPr>
          <w:p>
            <w:pPr>
              <w:pStyle w:val="TableText"/>
              <w:ind w:left="279"/>
              <w:spacing w:before="57" w:line="219" w:lineRule="auto"/>
              <w:rPr/>
            </w:pPr>
            <w:r>
              <w:rPr>
                <w:spacing w:val="-2"/>
              </w:rPr>
              <w:t>所得税</w:t>
            </w:r>
          </w:p>
        </w:tc>
        <w:tc>
          <w:tcPr>
            <w:tcW w:w="464" w:type="dxa"/>
            <w:vAlign w:val="top"/>
          </w:tcPr>
          <w:p>
            <w:pPr>
              <w:pStyle w:val="TableText"/>
              <w:ind w:left="80"/>
              <w:spacing w:before="47" w:line="219" w:lineRule="auto"/>
              <w:rPr/>
            </w:pPr>
            <w:r>
              <w:rPr>
                <w:spacing w:val="-2"/>
              </w:rPr>
              <w:t>减征</w:t>
            </w:r>
          </w:p>
        </w:tc>
      </w:tr>
      <w:tr>
        <w:trPr>
          <w:trHeight w:val="2272" w:hRule="atLeast"/>
        </w:trPr>
        <w:tc>
          <w:tcPr>
            <w:tcW w:w="294"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94"/>
              <w:spacing w:before="49" w:line="183" w:lineRule="auto"/>
              <w:rPr/>
            </w:pPr>
            <w:r>
              <w:rPr/>
              <w:t>3</w:t>
            </w:r>
          </w:p>
        </w:tc>
        <w:tc>
          <w:tcPr>
            <w:tcW w:w="3966" w:type="dxa"/>
            <w:vAlign w:val="top"/>
          </w:tcPr>
          <w:p>
            <w:pPr>
              <w:pStyle w:val="TableText"/>
              <w:ind w:left="21"/>
              <w:spacing w:before="103" w:line="219" w:lineRule="auto"/>
              <w:rPr/>
            </w:pPr>
            <w:r>
              <w:rPr>
                <w:spacing w:val="-1"/>
              </w:rPr>
              <w:t>一、自2023年1月1日至2027年12月31日，对个体工商</w:t>
            </w:r>
          </w:p>
          <w:p>
            <w:pPr>
              <w:pStyle w:val="TableText"/>
              <w:ind w:left="21" w:right="41" w:firstLine="39"/>
              <w:spacing w:before="11" w:line="233" w:lineRule="auto"/>
              <w:jc w:val="both"/>
              <w:rPr/>
            </w:pPr>
            <w:r>
              <w:rPr/>
              <w:t>户年应纳税所得额不超过200万元的部分</w:t>
            </w:r>
            <w:r>
              <w:rPr>
                <w:spacing w:val="-1"/>
              </w:rPr>
              <w:t>，减半征收个人所</w:t>
            </w:r>
            <w:r>
              <w:rPr/>
              <w:t xml:space="preserve"> </w:t>
            </w:r>
            <w:r>
              <w:rPr>
                <w:spacing w:val="-1"/>
              </w:rPr>
              <w:t>得税。个体工商户在享受现行其他个人所得税优惠政策的基</w:t>
            </w:r>
            <w:r>
              <w:rPr>
                <w:spacing w:val="18"/>
              </w:rPr>
              <w:t xml:space="preserve"> </w:t>
            </w:r>
            <w:r>
              <w:rPr>
                <w:spacing w:val="1"/>
              </w:rPr>
              <w:t>础上，可叠加享受本条优惠政策。</w:t>
            </w:r>
          </w:p>
          <w:p>
            <w:pPr>
              <w:pStyle w:val="TableText"/>
              <w:ind w:left="41"/>
              <w:spacing w:before="13" w:line="219" w:lineRule="auto"/>
              <w:rPr/>
            </w:pPr>
            <w:r>
              <w:rPr/>
              <w:t>二、自2023年1月1日至2027年12月31日，对增值税小</w:t>
            </w:r>
          </w:p>
          <w:p>
            <w:pPr>
              <w:pStyle w:val="TableText"/>
              <w:ind w:left="20" w:hanging="9"/>
              <w:spacing w:before="42" w:line="239" w:lineRule="auto"/>
              <w:rPr/>
            </w:pPr>
            <w:r>
              <w:rPr>
                <w:spacing w:val="-3"/>
              </w:rPr>
              <w:t>规模纳税人、小型微利企业和个体工商户减半征收资源税(不</w:t>
            </w:r>
            <w:r>
              <w:rPr>
                <w:spacing w:val="13"/>
              </w:rPr>
              <w:t xml:space="preserve"> </w:t>
            </w:r>
            <w:r>
              <w:rPr>
                <w:spacing w:val="-1"/>
              </w:rPr>
              <w:t>含水资源税)、城市维护建设税、房产税、城镇土地使用税  </w:t>
            </w:r>
            <w:r>
              <w:rPr>
                <w:spacing w:val="1"/>
              </w:rPr>
              <w:t>印花税(不含证券交易印花税)、耕地占用税和教育费附加、</w:t>
            </w:r>
            <w:r>
              <w:rPr>
                <w:spacing w:val="7"/>
              </w:rPr>
              <w:t xml:space="preserve"> </w:t>
            </w:r>
            <w:r>
              <w:rPr>
                <w:spacing w:val="-2"/>
              </w:rPr>
              <w:t>地方教育附加。</w:t>
            </w:r>
          </w:p>
          <w:p>
            <w:pPr>
              <w:pStyle w:val="TableText"/>
              <w:ind w:left="31"/>
              <w:spacing w:before="33" w:line="219" w:lineRule="auto"/>
              <w:rPr/>
            </w:pPr>
            <w:r>
              <w:rPr/>
              <w:t>三、对小型微利企业减按25%计算应纳税所</w:t>
            </w:r>
            <w:r>
              <w:rPr>
                <w:spacing w:val="-1"/>
              </w:rPr>
              <w:t>得额，按20%</w:t>
            </w:r>
          </w:p>
          <w:p>
            <w:pPr>
              <w:pStyle w:val="TableText"/>
              <w:spacing w:before="1" w:line="219" w:lineRule="auto"/>
              <w:jc w:val="right"/>
              <w:rPr/>
            </w:pPr>
            <w:r>
              <w:rPr/>
              <w:t>的税率缴纳企业所得税政策，延续执行至2027年</w:t>
            </w:r>
            <w:r>
              <w:rPr>
                <w:spacing w:val="-1"/>
              </w:rPr>
              <w:t>12月31日。</w:t>
            </w:r>
          </w:p>
        </w:tc>
        <w:tc>
          <w:tcPr>
            <w:tcW w:w="2118" w:type="dxa"/>
            <w:vAlign w:val="top"/>
          </w:tcPr>
          <w:p>
            <w:pPr>
              <w:pStyle w:val="TableText"/>
              <w:ind w:left="24" w:right="89" w:firstLine="50"/>
              <w:spacing w:before="93" w:line="232" w:lineRule="auto"/>
              <w:jc w:val="both"/>
              <w:rPr/>
            </w:pPr>
            <w:r>
              <w:rPr>
                <w:spacing w:val="-1"/>
              </w:rPr>
              <w:t>财政部、税务总局关于进一步</w:t>
            </w:r>
            <w:r>
              <w:rPr>
                <w:spacing w:val="5"/>
              </w:rPr>
              <w:t xml:space="preserve"> </w:t>
            </w:r>
            <w:r>
              <w:rPr>
                <w:spacing w:val="3"/>
              </w:rPr>
              <w:t>支持小微企业和个体工商户发 </w:t>
            </w:r>
            <w:r>
              <w:rPr>
                <w:spacing w:val="-1"/>
              </w:rPr>
              <w:t>展有关税费政策的公告</w:t>
            </w:r>
          </w:p>
        </w:tc>
        <w:tc>
          <w:tcPr>
            <w:tcW w:w="919" w:type="dxa"/>
            <w:vAlign w:val="top"/>
          </w:tcPr>
          <w:p>
            <w:pPr>
              <w:pStyle w:val="TableText"/>
              <w:ind w:left="26" w:right="11" w:firstLine="20"/>
              <w:spacing w:before="92" w:line="239" w:lineRule="auto"/>
              <w:jc w:val="both"/>
              <w:rPr/>
            </w:pPr>
            <w:r>
              <w:rPr>
                <w:spacing w:val="17"/>
                <w:w w:val="108"/>
              </w:rPr>
              <w:t>2023年1月</w:t>
            </w:r>
            <w:r>
              <w:rPr>
                <w:spacing w:val="1"/>
              </w:rPr>
              <w:t xml:space="preserve"> </w:t>
            </w:r>
            <w:r>
              <w:rPr>
                <w:spacing w:val="6"/>
              </w:rPr>
              <w:t>1日</w:t>
            </w:r>
            <w:r>
              <w:rPr>
                <w:spacing w:val="15"/>
              </w:rPr>
              <w:t xml:space="preserve"> </w:t>
            </w:r>
            <w:r>
              <w:rPr>
                <w:spacing w:val="6"/>
              </w:rPr>
              <w:t>至2027</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59" w:type="dxa"/>
            <w:vAlign w:val="top"/>
          </w:tcPr>
          <w:p>
            <w:pPr>
              <w:pStyle w:val="TableText"/>
              <w:ind w:left="48" w:right="30"/>
              <w:spacing w:before="82" w:line="233" w:lineRule="auto"/>
              <w:rPr/>
            </w:pPr>
            <w:r>
              <w:rPr>
                <w:spacing w:val="2"/>
              </w:rPr>
              <w:t>小微企业和</w:t>
            </w:r>
            <w:r>
              <w:rPr>
                <w:spacing w:val="1"/>
              </w:rPr>
              <w:t xml:space="preserve"> </w:t>
            </w:r>
            <w:r>
              <w:rPr>
                <w:spacing w:val="4"/>
              </w:rPr>
              <w:t>个体工商户</w:t>
            </w:r>
          </w:p>
        </w:tc>
        <w:tc>
          <w:tcPr>
            <w:tcW w:w="1009" w:type="dxa"/>
            <w:vAlign w:val="top"/>
          </w:tcPr>
          <w:p>
            <w:pPr>
              <w:pStyle w:val="TableText"/>
              <w:ind w:left="48"/>
              <w:spacing w:before="83" w:line="219" w:lineRule="auto"/>
              <w:rPr/>
            </w:pPr>
            <w:r>
              <w:rPr>
                <w:spacing w:val="-1"/>
              </w:rPr>
              <w:t>增值税、所得</w:t>
            </w:r>
          </w:p>
          <w:p>
            <w:pPr>
              <w:pStyle w:val="TableText"/>
              <w:ind w:left="9"/>
              <w:spacing w:before="2" w:line="220" w:lineRule="auto"/>
              <w:rPr/>
            </w:pPr>
            <w:r>
              <w:rPr>
                <w:spacing w:val="-1"/>
              </w:rPr>
              <w:t>税、资源税(不</w:t>
            </w:r>
          </w:p>
          <w:p>
            <w:pPr>
              <w:pStyle w:val="TableText"/>
              <w:ind w:left="88"/>
              <w:spacing w:line="219" w:lineRule="auto"/>
              <w:rPr/>
            </w:pPr>
            <w:r>
              <w:rPr>
                <w:spacing w:val="4"/>
              </w:rPr>
              <w:t>含水资源税)</w:t>
            </w:r>
          </w:p>
          <w:p>
            <w:pPr>
              <w:pStyle w:val="TableText"/>
              <w:ind w:left="48"/>
              <w:spacing w:before="2" w:line="219" w:lineRule="auto"/>
              <w:rPr/>
            </w:pPr>
            <w:r>
              <w:rPr>
                <w:spacing w:val="-1"/>
              </w:rPr>
              <w:t>城市维护建设</w:t>
            </w:r>
          </w:p>
          <w:p>
            <w:pPr>
              <w:pStyle w:val="TableText"/>
              <w:spacing w:before="2" w:line="219" w:lineRule="auto"/>
              <w:jc w:val="right"/>
              <w:rPr/>
            </w:pPr>
            <w:r>
              <w:rPr>
                <w:spacing w:val="8"/>
              </w:rPr>
              <w:t>税、房产税、</w:t>
            </w:r>
          </w:p>
          <w:p>
            <w:pPr>
              <w:pStyle w:val="TableText"/>
              <w:ind w:left="48"/>
              <w:spacing w:before="1" w:line="209" w:lineRule="auto"/>
              <w:rPr/>
            </w:pPr>
            <w:r>
              <w:rPr>
                <w:spacing w:val="3"/>
              </w:rPr>
              <w:t>城镇土地使用</w:t>
            </w:r>
          </w:p>
          <w:p>
            <w:pPr>
              <w:pStyle w:val="TableText"/>
              <w:ind w:left="9"/>
              <w:spacing w:line="219" w:lineRule="auto"/>
              <w:rPr/>
            </w:pPr>
            <w:r>
              <w:rPr>
                <w:spacing w:val="-1"/>
              </w:rPr>
              <w:t>税、印花税(不</w:t>
            </w:r>
          </w:p>
          <w:p>
            <w:pPr>
              <w:pStyle w:val="TableText"/>
              <w:ind w:left="48"/>
              <w:spacing w:before="13" w:line="219" w:lineRule="auto"/>
              <w:rPr/>
            </w:pPr>
            <w:r>
              <w:rPr>
                <w:spacing w:val="-1"/>
              </w:rPr>
              <w:t>含证券交易印</w:t>
            </w:r>
          </w:p>
          <w:p>
            <w:pPr>
              <w:pStyle w:val="TableText"/>
              <w:ind w:left="88"/>
              <w:spacing w:before="1" w:line="219" w:lineRule="auto"/>
              <w:rPr/>
            </w:pPr>
            <w:r>
              <w:rPr>
                <w:spacing w:val="-1"/>
              </w:rPr>
              <w:t>花税)、耕地</w:t>
            </w:r>
          </w:p>
          <w:p>
            <w:pPr>
              <w:pStyle w:val="TableText"/>
              <w:ind w:left="48"/>
              <w:spacing w:before="3" w:line="219" w:lineRule="auto"/>
              <w:rPr/>
            </w:pPr>
            <w:r>
              <w:rPr>
                <w:spacing w:val="2"/>
              </w:rPr>
              <w:t>占用税和教育</w:t>
            </w:r>
          </w:p>
          <w:p>
            <w:pPr>
              <w:pStyle w:val="TableText"/>
              <w:ind w:left="48"/>
              <w:spacing w:before="1" w:line="197" w:lineRule="auto"/>
              <w:rPr/>
            </w:pPr>
            <w:r>
              <w:rPr>
                <w:spacing w:val="-2"/>
              </w:rPr>
              <w:t>费附加、地方</w:t>
            </w:r>
          </w:p>
          <w:p>
            <w:pPr>
              <w:pStyle w:val="TableText"/>
              <w:ind w:left="198"/>
              <w:spacing w:line="218" w:lineRule="auto"/>
              <w:rPr/>
            </w:pPr>
            <w:r>
              <w:rPr>
                <w:spacing w:val="-2"/>
              </w:rPr>
              <w:t>教育附加</w:t>
            </w:r>
          </w:p>
        </w:tc>
        <w:tc>
          <w:tcPr>
            <w:tcW w:w="464" w:type="dxa"/>
            <w:vAlign w:val="top"/>
          </w:tcPr>
          <w:p>
            <w:pPr>
              <w:pStyle w:val="TableText"/>
              <w:ind w:left="80"/>
              <w:spacing w:before="63"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223"/>
        <w:rPr/>
      </w:pPr>
      <w:r>
        <w:pict>
          <v:shape id="_x0000_s38" style="position:absolute;margin-left:38.9997pt;margin-top:346.722pt;mso-position-vertical-relative:page;mso-position-horizontal-relative:page;width:10.45pt;height:15.1pt;z-index:251691008;" o:allowincell="f" filled="false" stroked="false" type="#_x0000_t202">
            <v:fill on="false"/>
            <v:stroke on="false"/>
            <v:path/>
            <v:imagedata o:title=""/>
            <o:lock v:ext="edit" aspectratio="false"/>
            <v:textbox inset="0mm,0mm,0mm,0mm">
              <w:txbxContent>
                <w:p>
                  <w:pPr>
                    <w:spacing w:before="20" w:line="222" w:lineRule="auto"/>
                    <w:jc w:val="right"/>
                    <w:rPr>
                      <w:rFonts w:ascii="STCaiyun" w:hAnsi="STCaiyun" w:eastAsia="STCaiyun" w:cs="STCaiyun"/>
                      <w:sz w:val="21"/>
                      <w:szCs w:val="21"/>
                    </w:rPr>
                  </w:pPr>
                  <w:r>
                    <w:rPr>
                      <w:rFonts w:ascii="STCaiyun" w:hAnsi="STCaiyun" w:eastAsia="STCaiyun" w:cs="STCaiyun"/>
                      <w:sz w:val="21"/>
                      <w:szCs w:val="21"/>
                      <w:spacing w:val="-16"/>
                      <w:w w:val="87"/>
                    </w:rPr>
                    <w:t>出</w:t>
                  </w:r>
                </w:p>
              </w:txbxContent>
            </v:textbox>
          </v:shape>
        </w:pict>
      </w: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86" w:type="dxa"/>
            <w:vAlign w:val="top"/>
          </w:tcPr>
          <w:p>
            <w:pPr>
              <w:pStyle w:val="TableText"/>
              <w:ind w:left="1710"/>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899" w:type="dxa"/>
            <w:vAlign w:val="top"/>
          </w:tcPr>
          <w:p>
            <w:pPr>
              <w:pStyle w:val="TableText"/>
              <w:ind w:left="147"/>
              <w:spacing w:before="181" w:line="219" w:lineRule="auto"/>
              <w:rPr/>
            </w:pPr>
            <w:r>
              <w:rPr>
                <w:spacing w:val="3"/>
              </w:rPr>
              <w:t>执行时间</w:t>
            </w:r>
          </w:p>
        </w:tc>
        <w:tc>
          <w:tcPr>
            <w:tcW w:w="849" w:type="dxa"/>
            <w:vAlign w:val="top"/>
          </w:tcPr>
          <w:p>
            <w:pPr>
              <w:pStyle w:val="TableText"/>
              <w:ind w:left="267" w:right="133" w:hanging="150"/>
              <w:spacing w:before="8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467" w:hRule="atLeast"/>
        </w:trPr>
        <w:tc>
          <w:tcPr>
            <w:tcW w:w="284" w:type="dxa"/>
            <w:vAlign w:val="top"/>
          </w:tcPr>
          <w:p>
            <w:pPr>
              <w:spacing w:line="321" w:lineRule="auto"/>
              <w:rPr>
                <w:rFonts w:ascii="Arial"/>
                <w:sz w:val="21"/>
              </w:rPr>
            </w:pPr>
            <w:r/>
          </w:p>
          <w:p>
            <w:pPr>
              <w:spacing w:line="322" w:lineRule="auto"/>
              <w:rPr>
                <w:rFonts w:ascii="Arial"/>
                <w:sz w:val="21"/>
              </w:rPr>
            </w:pPr>
            <w:r/>
          </w:p>
          <w:p>
            <w:pPr>
              <w:pStyle w:val="TableText"/>
              <w:ind w:left="94"/>
              <w:spacing w:before="48" w:line="183" w:lineRule="auto"/>
              <w:rPr/>
            </w:pPr>
            <w:r>
              <w:rPr/>
              <w:t>3</w:t>
            </w:r>
          </w:p>
        </w:tc>
        <w:tc>
          <w:tcPr>
            <w:tcW w:w="3986" w:type="dxa"/>
            <w:vAlign w:val="top"/>
          </w:tcPr>
          <w:p>
            <w:pPr>
              <w:pStyle w:val="TableText"/>
              <w:ind w:left="31" w:right="16" w:firstLine="20"/>
              <w:spacing w:before="76" w:line="239" w:lineRule="auto"/>
              <w:jc w:val="both"/>
              <w:rPr/>
            </w:pPr>
            <w:r>
              <w:rPr/>
              <w:t>四、增值税小规模纳税人、小型微利企业和个体工商户已依</w:t>
            </w:r>
            <w:r>
              <w:rPr>
                <w:spacing w:val="7"/>
              </w:rPr>
              <w:t xml:space="preserve"> </w:t>
            </w:r>
            <w:r>
              <w:rPr/>
              <w:t>法享受资源税、城市维护建设税、房产税、城镇土地使用税</w:t>
            </w:r>
            <w:r>
              <w:rPr>
                <w:spacing w:val="12"/>
              </w:rPr>
              <w:t xml:space="preserve"> </w:t>
            </w:r>
            <w:r>
              <w:rPr/>
              <w:t>印花税、耕地占用税、教育费附加、地方教育附加等其他优</w:t>
            </w:r>
            <w:r>
              <w:rPr>
                <w:spacing w:val="15"/>
              </w:rPr>
              <w:t xml:space="preserve"> </w:t>
            </w:r>
            <w:r>
              <w:rPr>
                <w:spacing w:val="-1"/>
              </w:rPr>
              <w:t>惠政策的，可叠加享受本公告第二条规定的优惠政策</w:t>
            </w:r>
          </w:p>
          <w:p>
            <w:pPr>
              <w:pStyle w:val="TableText"/>
              <w:ind w:left="31" w:firstLine="19"/>
              <w:spacing w:before="23" w:line="238" w:lineRule="auto"/>
              <w:jc w:val="both"/>
              <w:rPr/>
            </w:pPr>
            <w:r>
              <w:rPr>
                <w:spacing w:val="-5"/>
              </w:rPr>
              <w:t>五、本公告所称小型微利企业，是指从事国家非限制和禁止行</w:t>
            </w:r>
            <w:r>
              <w:rPr>
                <w:spacing w:val="8"/>
              </w:rPr>
              <w:t xml:space="preserve"> </w:t>
            </w:r>
            <w:r>
              <w:rPr>
                <w:spacing w:val="-1"/>
              </w:rPr>
              <w:t>业，且同时符合年度应纳税所得额不超过300万元</w:t>
            </w:r>
            <w:r>
              <w:rPr>
                <w:spacing w:val="-2"/>
              </w:rPr>
              <w:t>、从业人数</w:t>
            </w:r>
            <w:r>
              <w:rPr/>
              <w:t xml:space="preserve"> </w:t>
            </w:r>
            <w:r>
              <w:rPr>
                <w:spacing w:val="-1"/>
              </w:rPr>
              <w:t>不超过300人、资产总额不超过5000万元等三个条件的企业</w:t>
            </w:r>
          </w:p>
        </w:tc>
        <w:tc>
          <w:tcPr>
            <w:tcW w:w="2128" w:type="dxa"/>
            <w:vAlign w:val="top"/>
          </w:tcPr>
          <w:p>
            <w:pPr>
              <w:rPr>
                <w:rFonts w:ascii="Arial"/>
                <w:sz w:val="21"/>
              </w:rPr>
            </w:pPr>
            <w:r/>
          </w:p>
        </w:tc>
        <w:tc>
          <w:tcPr>
            <w:tcW w:w="89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4458" w:hRule="atLeast"/>
        </w:trPr>
        <w:tc>
          <w:tcPr>
            <w:tcW w:w="284"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94"/>
              <w:spacing w:before="49" w:line="183" w:lineRule="auto"/>
              <w:rPr/>
            </w:pPr>
            <w:r>
              <w:rPr/>
              <w:t>4</w:t>
            </w:r>
          </w:p>
        </w:tc>
        <w:tc>
          <w:tcPr>
            <w:tcW w:w="3986" w:type="dxa"/>
            <w:vAlign w:val="top"/>
          </w:tcPr>
          <w:p>
            <w:pPr>
              <w:pStyle w:val="TableText"/>
              <w:ind w:left="31" w:firstLine="29"/>
              <w:spacing w:before="80" w:line="233" w:lineRule="auto"/>
              <w:rPr/>
            </w:pPr>
            <w:r>
              <w:rPr>
                <w:spacing w:val="-3"/>
              </w:rPr>
              <w:t>一、对中国保险保障基金有限责任公司(以下简称保险保障</w:t>
            </w:r>
            <w:r>
              <w:rPr>
                <w:spacing w:val="1"/>
              </w:rPr>
              <w:t xml:space="preserve">   </w:t>
            </w:r>
            <w:r>
              <w:rPr>
                <w:spacing w:val="-1"/>
              </w:rPr>
              <w:t>基金公司)根据《保险保障基金管理办法》取得的</w:t>
            </w:r>
            <w:r>
              <w:rPr>
                <w:spacing w:val="-2"/>
              </w:rPr>
              <w:t>下列收入，</w:t>
            </w:r>
            <w:r>
              <w:rPr/>
              <w:t xml:space="preserve"> </w:t>
            </w:r>
            <w:r>
              <w:rPr>
                <w:spacing w:val="-4"/>
              </w:rPr>
              <w:t>免征企业所得税</w:t>
            </w:r>
          </w:p>
          <w:p>
            <w:pPr>
              <w:pStyle w:val="TableText"/>
              <w:ind w:left="31"/>
              <w:spacing w:before="31" w:line="219" w:lineRule="auto"/>
              <w:rPr/>
            </w:pPr>
            <w:r>
              <w:rPr/>
              <w:t>1.境内保险公司依法缴纳的保险保障基金</w:t>
            </w:r>
          </w:p>
          <w:p>
            <w:pPr>
              <w:pStyle w:val="TableText"/>
              <w:ind w:left="41" w:right="22" w:firstLine="20"/>
              <w:spacing w:before="13" w:line="238" w:lineRule="auto"/>
              <w:rPr/>
            </w:pPr>
            <w:r>
              <w:rPr>
                <w:spacing w:val="-1"/>
              </w:rPr>
              <w:t>2.依法从撤销或破产保险公司清算财产中获得的受偿收入和</w:t>
            </w:r>
            <w:r>
              <w:rPr>
                <w:spacing w:val="18"/>
              </w:rPr>
              <w:t xml:space="preserve"> </w:t>
            </w:r>
            <w:r>
              <w:rPr/>
              <w:t>向有关责任方追偿所得，以及依法从保险公司风险处置中获</w:t>
            </w:r>
          </w:p>
          <w:p>
            <w:pPr>
              <w:pStyle w:val="TableText"/>
              <w:ind w:left="31"/>
              <w:spacing w:before="33" w:line="219" w:lineRule="auto"/>
              <w:rPr/>
            </w:pPr>
            <w:r>
              <w:rPr>
                <w:spacing w:val="-1"/>
              </w:rPr>
              <w:t>得的财产转让所得</w:t>
            </w:r>
          </w:p>
          <w:p>
            <w:pPr>
              <w:pStyle w:val="TableText"/>
              <w:ind w:left="31"/>
              <w:spacing w:before="12" w:line="219" w:lineRule="auto"/>
              <w:rPr/>
            </w:pPr>
            <w:r>
              <w:rPr>
                <w:spacing w:val="8"/>
              </w:rPr>
              <w:t>3.接受捐赠收入；</w:t>
            </w:r>
          </w:p>
          <w:p>
            <w:pPr>
              <w:pStyle w:val="TableText"/>
              <w:ind w:left="31"/>
              <w:spacing w:before="22" w:line="219" w:lineRule="auto"/>
              <w:rPr/>
            </w:pPr>
            <w:r>
              <w:rPr>
                <w:spacing w:val="-1"/>
              </w:rPr>
              <w:t>4.银行存款利息收入</w:t>
            </w:r>
          </w:p>
          <w:p>
            <w:pPr>
              <w:pStyle w:val="TableText"/>
              <w:ind w:left="31" w:right="63" w:hanging="10"/>
              <w:spacing w:before="21" w:line="239" w:lineRule="auto"/>
              <w:rPr/>
            </w:pPr>
            <w:r>
              <w:rPr>
                <w:spacing w:val="-1"/>
              </w:rPr>
              <w:t>5.购买政府债券、中央银行、中央企业和中央级金融机构发</w:t>
            </w:r>
            <w:r>
              <w:rPr>
                <w:spacing w:val="17"/>
              </w:rPr>
              <w:t xml:space="preserve"> </w:t>
            </w:r>
            <w:r>
              <w:rPr>
                <w:spacing w:val="-1"/>
              </w:rPr>
              <w:t>行债券的利息收入</w:t>
            </w:r>
          </w:p>
          <w:p>
            <w:pPr>
              <w:pStyle w:val="TableText"/>
              <w:ind w:left="31"/>
              <w:spacing w:before="12" w:line="219" w:lineRule="auto"/>
              <w:rPr/>
            </w:pPr>
            <w:r>
              <w:rPr>
                <w:spacing w:val="-1"/>
              </w:rPr>
              <w:t>6.国务院批准的其他资金运用取得的收入</w:t>
            </w:r>
          </w:p>
          <w:p>
            <w:pPr>
              <w:pStyle w:val="TableText"/>
              <w:ind w:left="31" w:right="503"/>
              <w:spacing w:before="11" w:line="232" w:lineRule="auto"/>
              <w:rPr/>
            </w:pPr>
            <w:r>
              <w:rPr>
                <w:spacing w:val="-1"/>
              </w:rPr>
              <w:t>二、对保险保障基金公司下列应税凭证，免征印花税</w:t>
            </w:r>
            <w:r>
              <w:rPr>
                <w:spacing w:val="13"/>
              </w:rPr>
              <w:t xml:space="preserve"> </w:t>
            </w:r>
            <w:r>
              <w:rPr>
                <w:spacing w:val="6"/>
              </w:rPr>
              <w:t>1.新设立的营业账簿；</w:t>
            </w:r>
          </w:p>
          <w:p>
            <w:pPr>
              <w:pStyle w:val="TableText"/>
              <w:ind w:left="31" w:right="62" w:hanging="10"/>
              <w:spacing w:before="33" w:line="226" w:lineRule="auto"/>
              <w:rPr/>
            </w:pPr>
            <w:r>
              <w:rPr>
                <w:spacing w:val="-1"/>
              </w:rPr>
              <w:t>2.在对保险公司进行风险处置和破产救助过程中签订的产权</w:t>
            </w:r>
            <w:r>
              <w:rPr>
                <w:spacing w:val="18"/>
              </w:rPr>
              <w:t xml:space="preserve"> </w:t>
            </w:r>
            <w:r>
              <w:rPr>
                <w:spacing w:val="15"/>
              </w:rPr>
              <w:t>转移书据；</w:t>
            </w:r>
          </w:p>
          <w:p>
            <w:pPr>
              <w:pStyle w:val="TableText"/>
              <w:ind w:left="31" w:right="33"/>
              <w:spacing w:before="43" w:line="220" w:lineRule="auto"/>
              <w:rPr/>
            </w:pPr>
            <w:r>
              <w:rPr/>
              <w:t>3.在对保险公司进行风险处置过程中与中国人民银行签订的</w:t>
            </w:r>
            <w:r>
              <w:rPr>
                <w:spacing w:val="10"/>
              </w:rPr>
              <w:t xml:space="preserve"> </w:t>
            </w:r>
            <w:r>
              <w:rPr>
                <w:spacing w:val="12"/>
              </w:rPr>
              <w:t>再贷款合同；</w:t>
            </w:r>
          </w:p>
          <w:p>
            <w:pPr>
              <w:pStyle w:val="TableText"/>
              <w:ind w:left="31" w:right="60" w:hanging="10"/>
              <w:spacing w:before="31" w:line="227" w:lineRule="auto"/>
              <w:rPr/>
            </w:pPr>
            <w:r>
              <w:rPr/>
              <w:t>4.以保险保障基金自有财产和接收的受偿资</w:t>
            </w:r>
            <w:r>
              <w:rPr>
                <w:spacing w:val="-1"/>
              </w:rPr>
              <w:t>产与保险公司签</w:t>
            </w:r>
            <w:r>
              <w:rPr/>
              <w:t xml:space="preserve"> </w:t>
            </w:r>
            <w:r>
              <w:rPr>
                <w:spacing w:val="1"/>
              </w:rPr>
              <w:t>订的财产保险合同</w:t>
            </w:r>
          </w:p>
          <w:p>
            <w:pPr>
              <w:pStyle w:val="TableText"/>
              <w:ind w:left="31" w:right="20" w:firstLine="30"/>
              <w:spacing w:before="22" w:line="226" w:lineRule="auto"/>
              <w:rPr/>
            </w:pPr>
            <w:r>
              <w:rPr/>
              <w:t>对与保险保障基金公司签订上述产权转移书</w:t>
            </w:r>
            <w:r>
              <w:rPr>
                <w:spacing w:val="-1"/>
              </w:rPr>
              <w:t>据或应税合同的</w:t>
            </w:r>
            <w:r>
              <w:rPr/>
              <w:t xml:space="preserve"> </w:t>
            </w:r>
            <w:r>
              <w:rPr>
                <w:spacing w:val="-1"/>
              </w:rPr>
              <w:t>其他当事人照章征收印花税。</w:t>
            </w:r>
          </w:p>
        </w:tc>
        <w:tc>
          <w:tcPr>
            <w:tcW w:w="2128" w:type="dxa"/>
            <w:vAlign w:val="top"/>
          </w:tcPr>
          <w:p>
            <w:pPr>
              <w:pStyle w:val="TableText"/>
              <w:ind w:left="24" w:right="89" w:firstLine="60"/>
              <w:spacing w:before="89" w:line="227" w:lineRule="auto"/>
              <w:rPr/>
            </w:pPr>
            <w:r>
              <w:rPr>
                <w:spacing w:val="-1"/>
              </w:rPr>
              <w:t>财政部、税务总局关于保险保</w:t>
            </w:r>
            <w:r>
              <w:rPr>
                <w:spacing w:val="5"/>
              </w:rPr>
              <w:t xml:space="preserve"> </w:t>
            </w:r>
            <w:r>
              <w:rPr/>
              <w:t>障基金有关税收政策的通知</w:t>
            </w:r>
          </w:p>
        </w:tc>
        <w:tc>
          <w:tcPr>
            <w:tcW w:w="899" w:type="dxa"/>
            <w:vAlign w:val="top"/>
          </w:tcPr>
          <w:p>
            <w:pPr>
              <w:pStyle w:val="TableText"/>
              <w:ind w:left="16" w:firstLine="9"/>
              <w:spacing w:before="79" w:line="239" w:lineRule="auto"/>
              <w:rPr/>
            </w:pPr>
            <w:r>
              <w:rPr>
                <w:spacing w:val="15"/>
                <w:w w:val="112"/>
              </w:rPr>
              <w:t>2023年9月</w:t>
            </w:r>
            <w:r>
              <w:rPr/>
              <w:t xml:space="preserve"> </w:t>
            </w:r>
            <w:r>
              <w:rPr>
                <w:spacing w:val="4"/>
              </w:rPr>
              <w:t>22日至2027</w:t>
            </w:r>
            <w:r>
              <w:rPr/>
              <w:t xml:space="preserve">  </w:t>
            </w:r>
            <w:r>
              <w:rPr>
                <w:spacing w:val="-10"/>
              </w:rPr>
              <w:t>年 1</w:t>
            </w:r>
            <w:r>
              <w:rPr>
                <w:spacing w:val="-11"/>
              </w:rPr>
              <w:t xml:space="preserve"> </w:t>
            </w:r>
            <w:r>
              <w:rPr>
                <w:spacing w:val="-10"/>
              </w:rPr>
              <w:t>2</w:t>
            </w:r>
            <w:r>
              <w:rPr>
                <w:spacing w:val="-14"/>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197" w:right="47" w:hanging="149"/>
              <w:spacing w:before="79" w:line="229" w:lineRule="auto"/>
              <w:rPr/>
            </w:pPr>
            <w:r>
              <w:rPr>
                <w:spacing w:val="-2"/>
              </w:rPr>
              <w:t>保险保障基</w:t>
            </w:r>
            <w:r>
              <w:rPr>
                <w:spacing w:val="2"/>
              </w:rPr>
              <w:t xml:space="preserve"> </w:t>
            </w:r>
            <w:r>
              <w:rPr>
                <w:spacing w:val="6"/>
              </w:rPr>
              <w:t>金公司</w:t>
            </w:r>
          </w:p>
        </w:tc>
        <w:tc>
          <w:tcPr>
            <w:tcW w:w="1029" w:type="dxa"/>
            <w:vAlign w:val="top"/>
          </w:tcPr>
          <w:p>
            <w:pPr>
              <w:pStyle w:val="TableText"/>
              <w:ind w:left="438" w:right="65" w:hanging="379"/>
              <w:spacing w:before="79" w:line="209" w:lineRule="auto"/>
              <w:rPr/>
            </w:pPr>
            <w:r>
              <w:rPr>
                <w:spacing w:val="-1"/>
              </w:rPr>
              <w:t>所得税、印花</w:t>
            </w:r>
            <w:r>
              <w:rPr/>
              <w:t xml:space="preserve"> </w:t>
            </w:r>
            <w:r>
              <w:rPr/>
              <w:t>税</w:t>
            </w:r>
          </w:p>
        </w:tc>
        <w:tc>
          <w:tcPr>
            <w:tcW w:w="464" w:type="dxa"/>
            <w:vAlign w:val="top"/>
          </w:tcPr>
          <w:p>
            <w:pPr>
              <w:pStyle w:val="TableText"/>
              <w:ind w:left="80"/>
              <w:spacing w:before="70"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pict>
          <v:shape id="_x0000_s40" style="position:absolute;margin-left:38.9997pt;margin-top:51.0454pt;mso-position-vertical-relative:page;mso-position-horizontal-relative:page;width:11.45pt;height:14.8pt;z-index:251692032;" o:allowincell="f" filled="false" stroked="false" type="#_x0000_t202">
            <v:fill on="false"/>
            <v:stroke on="false"/>
            <v:path/>
            <v:imagedata o:title=""/>
            <o:lock v:ext="edit" aspectratio="false"/>
            <v:textbox inset="0mm,0mm,0mm,0mm">
              <w:txbxContent>
                <w:p>
                  <w:pPr>
                    <w:spacing w:before="20" w:line="224" w:lineRule="auto"/>
                    <w:jc w:val="right"/>
                    <w:rPr>
                      <w:rFonts w:ascii="SimHei" w:hAnsi="SimHei" w:eastAsia="SimHei" w:cs="SimHei"/>
                      <w:sz w:val="21"/>
                      <w:szCs w:val="21"/>
                    </w:rPr>
                  </w:pPr>
                  <w:r>
                    <w:rPr>
                      <w:rFonts w:ascii="SimHei" w:hAnsi="SimHei" w:eastAsia="SimHei" w:cs="SimHei"/>
                      <w:sz w:val="21"/>
                      <w:szCs w:val="21"/>
                      <w:spacing w:val="-22"/>
                    </w:rPr>
                    <w:t>台</w:t>
                  </w:r>
                </w:p>
              </w:txbxContent>
            </v:textbox>
          </v:shape>
        </w:pict>
      </w:r>
      <w:r/>
    </w:p>
    <w:p>
      <w:pPr>
        <w:spacing w:before="51"/>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38"/>
        <w:gridCol w:w="889"/>
        <w:gridCol w:w="879"/>
        <w:gridCol w:w="1009"/>
        <w:gridCol w:w="47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38" w:type="dxa"/>
            <w:vAlign w:val="top"/>
          </w:tcPr>
          <w:p>
            <w:pPr>
              <w:pStyle w:val="TableText"/>
              <w:ind w:left="76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79" w:type="dxa"/>
            <w:vAlign w:val="top"/>
          </w:tcPr>
          <w:p>
            <w:pPr>
              <w:pStyle w:val="TableText"/>
              <w:ind w:left="287" w:right="14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70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9" w:line="182" w:lineRule="auto"/>
              <w:rPr/>
            </w:pPr>
            <w:r>
              <w:rPr/>
              <w:t>5</w:t>
            </w:r>
          </w:p>
        </w:tc>
        <w:tc>
          <w:tcPr>
            <w:tcW w:w="3966" w:type="dxa"/>
            <w:vAlign w:val="top"/>
          </w:tcPr>
          <w:p>
            <w:pPr>
              <w:spacing w:line="246" w:lineRule="auto"/>
              <w:rPr>
                <w:rFonts w:ascii="Arial"/>
                <w:sz w:val="21"/>
              </w:rPr>
            </w:pPr>
            <w:r/>
          </w:p>
          <w:p>
            <w:pPr>
              <w:pStyle w:val="TableText"/>
              <w:ind w:left="61"/>
              <w:spacing w:before="49" w:line="219" w:lineRule="auto"/>
              <w:rPr/>
            </w:pPr>
            <w:r>
              <w:rPr>
                <w:spacing w:val="-1"/>
              </w:rPr>
              <w:t>一、对符合下列条件的居民企业，免征企业所得税</w:t>
            </w:r>
          </w:p>
          <w:p>
            <w:pPr>
              <w:pStyle w:val="TableText"/>
              <w:ind w:left="41" w:right="19" w:hanging="20"/>
              <w:spacing w:before="31" w:line="233" w:lineRule="auto"/>
              <w:rPr/>
            </w:pPr>
            <w:r>
              <w:rPr/>
              <w:t>1.生产和装配伤残人员专门用品，且在民政部发布的《中国</w:t>
            </w:r>
            <w:r>
              <w:rPr>
                <w:spacing w:val="14"/>
              </w:rPr>
              <w:t xml:space="preserve"> </w:t>
            </w:r>
            <w:r>
              <w:rPr>
                <w:spacing w:val="-1"/>
              </w:rPr>
              <w:t>伤残人员专门用品目录》范围之内，</w:t>
            </w:r>
          </w:p>
          <w:p>
            <w:pPr>
              <w:pStyle w:val="TableText"/>
              <w:ind w:left="31" w:right="42" w:hanging="10"/>
              <w:spacing w:before="10" w:line="242" w:lineRule="auto"/>
              <w:jc w:val="both"/>
              <w:rPr/>
            </w:pPr>
            <w:r>
              <w:rPr>
                <w:spacing w:val="-1"/>
              </w:rPr>
              <w:t>2.以销售本企业生产或者装配的伤残人员专门用品为主，其</w:t>
            </w:r>
            <w:r>
              <w:rPr>
                <w:spacing w:val="18"/>
              </w:rPr>
              <w:t xml:space="preserve"> </w:t>
            </w:r>
            <w:r>
              <w:rPr>
                <w:spacing w:val="1"/>
              </w:rPr>
              <w:t>所取得的年度伤残人员专门用品销售收入(不含出口</w:t>
            </w:r>
            <w:r>
              <w:rPr/>
              <w:t>取得的 </w:t>
            </w:r>
            <w:r>
              <w:rPr>
                <w:spacing w:val="-1"/>
              </w:rPr>
              <w:t>收入)占企业收入总额60%以上</w:t>
            </w:r>
          </w:p>
          <w:p>
            <w:pPr>
              <w:pStyle w:val="TableText"/>
              <w:ind w:left="21" w:right="46"/>
              <w:spacing w:before="11" w:line="239" w:lineRule="auto"/>
              <w:rPr/>
            </w:pPr>
            <w:r>
              <w:rPr>
                <w:spacing w:val="-1"/>
              </w:rPr>
              <w:t>收入总额，是指《中华人民共和国企业所得税法》第六条规</w:t>
            </w:r>
            <w:r>
              <w:rPr>
                <w:spacing w:val="13"/>
              </w:rPr>
              <w:t xml:space="preserve"> </w:t>
            </w:r>
            <w:r>
              <w:rPr>
                <w:spacing w:val="-1"/>
              </w:rPr>
              <w:t>定的收入总额。</w:t>
            </w:r>
          </w:p>
          <w:p>
            <w:pPr>
              <w:pStyle w:val="TableText"/>
              <w:ind w:left="21" w:right="40"/>
              <w:spacing w:before="10" w:line="242" w:lineRule="auto"/>
              <w:jc w:val="both"/>
              <w:rPr/>
            </w:pPr>
            <w:r>
              <w:rPr>
                <w:spacing w:val="-1"/>
              </w:rPr>
              <w:t>3.企业账证健全，能够准确、完整地向主管税务机关提供纳</w:t>
            </w:r>
            <w:r>
              <w:rPr>
                <w:spacing w:val="17"/>
              </w:rPr>
              <w:t xml:space="preserve"> </w:t>
            </w:r>
            <w:r>
              <w:rPr/>
              <w:t>税资料，且本企业生产或者装配的伤残人员</w:t>
            </w:r>
            <w:r>
              <w:rPr>
                <w:spacing w:val="-1"/>
              </w:rPr>
              <w:t>专门用品所取得</w:t>
            </w:r>
            <w:r>
              <w:rPr/>
              <w:t xml:space="preserve"> </w:t>
            </w:r>
            <w:r>
              <w:rPr/>
              <w:t>的收入能够单独、准确核算。</w:t>
            </w:r>
          </w:p>
          <w:p>
            <w:pPr>
              <w:pStyle w:val="TableText"/>
              <w:ind w:left="31" w:right="40" w:hanging="10"/>
              <w:spacing w:before="21" w:line="233" w:lineRule="auto"/>
              <w:rPr/>
            </w:pPr>
            <w:r>
              <w:rPr/>
              <w:t>4.企业拥有假肢制作师、矫形器制作师资格</w:t>
            </w:r>
            <w:r>
              <w:rPr>
                <w:spacing w:val="-1"/>
              </w:rPr>
              <w:t>证书的专业技术</w:t>
            </w:r>
            <w:r>
              <w:rPr/>
              <w:t xml:space="preserve"> </w:t>
            </w:r>
            <w:r>
              <w:rPr>
                <w:spacing w:val="-1"/>
              </w:rPr>
              <w:t>人员不得少于1人；其企业生产人员如超过20人，则其拥</w:t>
            </w:r>
          </w:p>
          <w:p>
            <w:pPr>
              <w:pStyle w:val="TableText"/>
              <w:ind w:left="31" w:right="41" w:hanging="10"/>
              <w:spacing w:before="21" w:line="233" w:lineRule="auto"/>
              <w:rPr/>
            </w:pPr>
            <w:r>
              <w:rPr>
                <w:spacing w:val="-1"/>
              </w:rPr>
              <w:t>有假肢制作师、矫形器制作师资格证书的专业技术人员不得</w:t>
            </w:r>
            <w:r>
              <w:rPr>
                <w:spacing w:val="18"/>
              </w:rPr>
              <w:t xml:space="preserve"> </w:t>
            </w:r>
            <w:r>
              <w:rPr>
                <w:spacing w:val="-1"/>
              </w:rPr>
              <w:t>少于全部生产人员的1/6</w:t>
            </w:r>
          </w:p>
          <w:p>
            <w:pPr>
              <w:pStyle w:val="TableText"/>
              <w:ind w:left="21" w:right="113" w:firstLine="79"/>
              <w:spacing w:before="21" w:line="227" w:lineRule="auto"/>
              <w:rPr/>
            </w:pPr>
            <w:r>
              <w:rPr>
                <w:spacing w:val="-1"/>
              </w:rPr>
              <w:t>5.具有与业务相适应的测量取型、模型加工、接受腔成型</w:t>
            </w:r>
            <w:r>
              <w:rPr>
                <w:spacing w:val="16"/>
              </w:rPr>
              <w:t xml:space="preserve"> </w:t>
            </w:r>
            <w:r>
              <w:rPr>
                <w:spacing w:val="-1"/>
              </w:rPr>
              <w:t>打磨、对线组装、功能训练等生产装配专用设备和工具</w:t>
            </w:r>
          </w:p>
          <w:p>
            <w:pPr>
              <w:pStyle w:val="TableText"/>
              <w:ind w:left="21" w:right="202" w:hanging="10"/>
              <w:spacing w:before="32" w:line="232" w:lineRule="auto"/>
              <w:rPr/>
            </w:pPr>
            <w:r>
              <w:rPr>
                <w:spacing w:val="-1"/>
              </w:rPr>
              <w:t>6.具有独立的接待室、假肢或者矫形器(辅助器具)制作室</w:t>
            </w:r>
            <w:r>
              <w:rPr>
                <w:spacing w:val="18"/>
                <w:w w:val="101"/>
              </w:rPr>
              <w:t xml:space="preserve"> </w:t>
            </w:r>
            <w:r>
              <w:rPr>
                <w:spacing w:val="-1"/>
              </w:rPr>
              <w:t>和假肢功能训练室，使用面积不少于115平方米</w:t>
            </w:r>
          </w:p>
          <w:p>
            <w:pPr>
              <w:pStyle w:val="TableText"/>
              <w:ind w:left="61" w:right="9" w:hanging="40"/>
              <w:spacing w:before="11" w:line="237" w:lineRule="auto"/>
              <w:rPr/>
            </w:pPr>
            <w:r>
              <w:rPr>
                <w:spacing w:val="-1"/>
              </w:rPr>
              <w:t>二、符合本公告规定条件的企业，按照《国家税务总局关于</w:t>
            </w:r>
            <w:r>
              <w:rPr>
                <w:spacing w:val="16"/>
              </w:rPr>
              <w:t xml:space="preserve"> </w:t>
            </w:r>
            <w:r>
              <w:rPr>
                <w:spacing w:val="-1"/>
              </w:rPr>
              <w:t>发布修订后的&lt;企业所得税优惠政策事项办理办法&gt;的公告》</w:t>
            </w:r>
            <w:r>
              <w:rPr>
                <w:spacing w:val="11"/>
              </w:rPr>
              <w:t xml:space="preserve"> </w:t>
            </w:r>
            <w:r>
              <w:rPr>
                <w:spacing w:val="1"/>
              </w:rPr>
              <w:t>(国家税务总局公告2018年第23号)的规定，采取“自行</w:t>
            </w:r>
          </w:p>
          <w:p>
            <w:pPr>
              <w:pStyle w:val="TableText"/>
              <w:ind w:left="21" w:right="40"/>
              <w:spacing w:before="24" w:line="239" w:lineRule="auto"/>
              <w:rPr/>
            </w:pPr>
            <w:r>
              <w:rPr/>
              <w:t>判别、申报享受、相关资料留存备查”的办</w:t>
            </w:r>
            <w:r>
              <w:rPr>
                <w:spacing w:val="-1"/>
              </w:rPr>
              <w:t>理方式享受税收</w:t>
            </w:r>
            <w:r>
              <w:rPr/>
              <w:t xml:space="preserve"> </w:t>
            </w:r>
            <w:r>
              <w:rPr>
                <w:spacing w:val="-1"/>
              </w:rPr>
              <w:t>优惠政策。</w:t>
            </w:r>
          </w:p>
        </w:tc>
        <w:tc>
          <w:tcPr>
            <w:tcW w:w="2138" w:type="dxa"/>
            <w:vAlign w:val="top"/>
          </w:tcPr>
          <w:p>
            <w:pPr>
              <w:spacing w:line="257" w:lineRule="auto"/>
              <w:rPr>
                <w:rFonts w:ascii="Arial"/>
                <w:sz w:val="21"/>
              </w:rPr>
            </w:pPr>
            <w:r/>
          </w:p>
          <w:p>
            <w:pPr>
              <w:pStyle w:val="TableText"/>
              <w:ind w:left="85" w:right="74"/>
              <w:spacing w:before="48" w:line="232" w:lineRule="auto"/>
              <w:jc w:val="both"/>
              <w:rPr/>
            </w:pPr>
            <w:r>
              <w:rPr>
                <w:spacing w:val="-1"/>
              </w:rPr>
              <w:t>财政部、税务总局、民政部关</w:t>
            </w:r>
            <w:r>
              <w:rPr>
                <w:spacing w:val="5"/>
              </w:rPr>
              <w:t xml:space="preserve"> </w:t>
            </w:r>
            <w:r>
              <w:rPr>
                <w:spacing w:val="1"/>
              </w:rPr>
              <w:t>于生产和装配伤残人员专门用</w:t>
            </w:r>
            <w:r>
              <w:rPr>
                <w:spacing w:val="4"/>
              </w:rPr>
              <w:t xml:space="preserve"> </w:t>
            </w:r>
            <w:r>
              <w:rPr/>
              <w:t>品企业免征企业所得税的公告</w:t>
            </w:r>
          </w:p>
        </w:tc>
        <w:tc>
          <w:tcPr>
            <w:tcW w:w="889" w:type="dxa"/>
            <w:vAlign w:val="top"/>
          </w:tcPr>
          <w:p>
            <w:pPr>
              <w:spacing w:line="246" w:lineRule="auto"/>
              <w:rPr>
                <w:rFonts w:ascii="Arial"/>
                <w:sz w:val="21"/>
              </w:rPr>
            </w:pPr>
            <w:r/>
          </w:p>
          <w:p>
            <w:pPr>
              <w:pStyle w:val="TableText"/>
              <w:ind w:left="16"/>
              <w:spacing w:before="49" w:line="239" w:lineRule="auto"/>
              <w:rPr/>
            </w:pPr>
            <w:r>
              <w:rPr>
                <w:spacing w:val="15"/>
                <w:w w:val="112"/>
              </w:rPr>
              <w:t>2023年9月</w:t>
            </w:r>
            <w:r>
              <w:rPr/>
              <w:t xml:space="preserve"> </w:t>
            </w:r>
            <w:r>
              <w:rPr>
                <w:spacing w:val="4"/>
              </w:rPr>
              <w:t>25日至2027</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79" w:type="dxa"/>
            <w:vAlign w:val="top"/>
          </w:tcPr>
          <w:p>
            <w:pPr>
              <w:spacing w:line="256" w:lineRule="auto"/>
              <w:rPr>
                <w:rFonts w:ascii="Arial"/>
                <w:sz w:val="21"/>
              </w:rPr>
            </w:pPr>
            <w:r/>
          </w:p>
          <w:p>
            <w:pPr>
              <w:pStyle w:val="TableText"/>
              <w:ind w:left="58"/>
              <w:spacing w:before="49" w:line="219" w:lineRule="auto"/>
              <w:rPr/>
            </w:pPr>
            <w:r>
              <w:rPr>
                <w:spacing w:val="-2"/>
              </w:rPr>
              <w:t>生产和装配</w:t>
            </w:r>
          </w:p>
          <w:p>
            <w:pPr>
              <w:pStyle w:val="TableText"/>
              <w:ind w:left="58"/>
              <w:spacing w:before="12" w:line="219" w:lineRule="auto"/>
              <w:rPr/>
            </w:pPr>
            <w:r>
              <w:rPr>
                <w:spacing w:val="-1"/>
              </w:rPr>
              <w:t>伤残人员专</w:t>
            </w:r>
          </w:p>
          <w:p>
            <w:pPr>
              <w:pStyle w:val="TableText"/>
              <w:ind w:left="58"/>
              <w:spacing w:before="22" w:line="221" w:lineRule="auto"/>
              <w:rPr/>
            </w:pPr>
            <w:r>
              <w:rPr>
                <w:spacing w:val="1"/>
              </w:rPr>
              <w:t>门用品的企</w:t>
            </w:r>
          </w:p>
          <w:p>
            <w:pPr>
              <w:pStyle w:val="TableText"/>
              <w:ind w:left="358"/>
              <w:spacing w:before="19" w:line="232" w:lineRule="auto"/>
              <w:rPr/>
            </w:pPr>
            <w:r>
              <w:rPr/>
              <w:t>业</w:t>
            </w:r>
          </w:p>
        </w:tc>
        <w:tc>
          <w:tcPr>
            <w:tcW w:w="1009" w:type="dxa"/>
            <w:vAlign w:val="top"/>
          </w:tcPr>
          <w:p>
            <w:pPr>
              <w:pStyle w:val="TableText"/>
              <w:ind w:left="279"/>
              <w:spacing w:before="287" w:line="219" w:lineRule="auto"/>
              <w:rPr/>
            </w:pPr>
            <w:r>
              <w:rPr>
                <w:spacing w:val="-2"/>
              </w:rPr>
              <w:t>所得税</w:t>
            </w:r>
          </w:p>
        </w:tc>
        <w:tc>
          <w:tcPr>
            <w:tcW w:w="474" w:type="dxa"/>
            <w:vAlign w:val="top"/>
          </w:tcPr>
          <w:p>
            <w:pPr>
              <w:pStyle w:val="TableText"/>
              <w:ind w:left="80"/>
              <w:spacing w:before="287" w:line="219" w:lineRule="auto"/>
              <w:rPr/>
            </w:pPr>
            <w:r>
              <w:rPr>
                <w:spacing w:val="-3"/>
              </w:rPr>
              <w:t>免征</w:t>
            </w:r>
          </w:p>
        </w:tc>
      </w:tr>
    </w:tbl>
    <w:p>
      <w:pPr>
        <w:pStyle w:val="BodyText"/>
        <w:rPr/>
      </w:pPr>
      <w:r/>
    </w:p>
    <w:p>
      <w:pPr>
        <w:sectPr>
          <w:pgSz w:w="11910" w:h="8220"/>
          <w:pgMar w:top="400" w:right="1135" w:bottom="400" w:left="799" w:header="0" w:footer="0" w:gutter="0"/>
        </w:sectPr>
        <w:rPr/>
      </w:pPr>
    </w:p>
    <w:p>
      <w:pPr>
        <w:spacing w:before="46"/>
        <w:rPr/>
      </w:pPr>
      <w:r>
        <w:drawing>
          <wp:anchor distT="0" distB="0" distL="0" distR="0" simplePos="0" relativeHeight="251693056"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24" name="IM 24"/>
            <wp:cNvGraphicFramePr/>
            <a:graphic>
              <a:graphicData uri="http://schemas.openxmlformats.org/drawingml/2006/picture">
                <pic:pic>
                  <pic:nvPicPr>
                    <pic:cNvPr id="24" name="IM 24"/>
                    <pic:cNvPicPr/>
                  </pic:nvPicPr>
                  <pic:blipFill>
                    <a:blip r:embed="rId14"/>
                    <a:stretch>
                      <a:fillRect/>
                    </a:stretch>
                  </pic:blipFill>
                  <pic:spPr>
                    <a:xfrm rot="0">
                      <a:off x="0" y="0"/>
                      <a:ext cx="107921" cy="126995"/>
                    </a:xfrm>
                    <a:prstGeom prst="rect">
                      <a:avLst/>
                    </a:prstGeom>
                  </pic:spPr>
                </pic:pic>
              </a:graphicData>
            </a:graphic>
          </wp:anchor>
        </w:drawing>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514" w:hRule="atLeast"/>
        </w:trPr>
        <w:tc>
          <w:tcPr>
            <w:tcW w:w="284" w:type="dxa"/>
            <w:vAlign w:val="top"/>
            <w:textDirection w:val="tbRlV"/>
          </w:tcPr>
          <w:p>
            <w:pPr>
              <w:pStyle w:val="TableText"/>
              <w:ind w:left="57"/>
              <w:spacing w:before="69" w:line="217" w:lineRule="auto"/>
              <w:rPr/>
            </w:pPr>
            <w:r>
              <w:rPr/>
              <w:t>序</w:t>
            </w:r>
            <w:r>
              <w:rPr>
                <w:spacing w:val="16"/>
              </w:rPr>
              <w:t xml:space="preserve"> </w:t>
            </w:r>
            <w:r>
              <w:rPr/>
              <w:t>号</w:t>
            </w:r>
          </w:p>
        </w:tc>
        <w:tc>
          <w:tcPr>
            <w:tcW w:w="3956" w:type="dxa"/>
            <w:vAlign w:val="top"/>
          </w:tcPr>
          <w:p>
            <w:pPr>
              <w:pStyle w:val="TableText"/>
              <w:ind w:left="1671"/>
              <w:spacing w:before="181" w:line="219" w:lineRule="auto"/>
              <w:rPr/>
            </w:pPr>
            <w:r>
              <w:rPr>
                <w:spacing w:val="-2"/>
              </w:rPr>
              <w:t>主要内容</w:t>
            </w:r>
          </w:p>
        </w:tc>
        <w:tc>
          <w:tcPr>
            <w:tcW w:w="2158" w:type="dxa"/>
            <w:vAlign w:val="top"/>
          </w:tcPr>
          <w:p>
            <w:pPr>
              <w:pStyle w:val="TableText"/>
              <w:ind w:left="774"/>
              <w:spacing w:before="180" w:line="219" w:lineRule="auto"/>
              <w:rPr/>
            </w:pPr>
            <w:r>
              <w:rPr>
                <w:spacing w:val="-1"/>
              </w:rPr>
              <w:t>政策依据</w:t>
            </w:r>
          </w:p>
        </w:tc>
        <w:tc>
          <w:tcPr>
            <w:tcW w:w="889" w:type="dxa"/>
            <w:vAlign w:val="top"/>
          </w:tcPr>
          <w:p>
            <w:pPr>
              <w:pStyle w:val="TableText"/>
              <w:ind w:left="137"/>
              <w:spacing w:before="181" w:line="219" w:lineRule="auto"/>
              <w:rPr/>
            </w:pPr>
            <w:r>
              <w:rPr>
                <w:spacing w:val="3"/>
              </w:rPr>
              <w:t>执行时间</w:t>
            </w:r>
          </w:p>
        </w:tc>
        <w:tc>
          <w:tcPr>
            <w:tcW w:w="849" w:type="dxa"/>
            <w:vAlign w:val="top"/>
          </w:tcPr>
          <w:p>
            <w:pPr>
              <w:pStyle w:val="TableText"/>
              <w:ind w:left="267" w:right="133" w:hanging="150"/>
              <w:spacing w:before="8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1947" w:hRule="atLeast"/>
        </w:trPr>
        <w:tc>
          <w:tcPr>
            <w:tcW w:w="284" w:type="dxa"/>
            <w:vAlign w:val="top"/>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94"/>
              <w:spacing w:before="49" w:line="183" w:lineRule="auto"/>
              <w:rPr/>
            </w:pPr>
            <w:r>
              <w:rPr/>
              <w:t>6</w:t>
            </w:r>
          </w:p>
        </w:tc>
        <w:tc>
          <w:tcPr>
            <w:tcW w:w="3956" w:type="dxa"/>
            <w:vAlign w:val="top"/>
          </w:tcPr>
          <w:p>
            <w:pPr>
              <w:spacing w:line="246" w:lineRule="auto"/>
              <w:rPr>
                <w:rFonts w:ascii="Arial"/>
                <w:sz w:val="21"/>
              </w:rPr>
            </w:pPr>
            <w:r/>
          </w:p>
          <w:p>
            <w:pPr>
              <w:pStyle w:val="TableText"/>
              <w:ind w:left="31" w:right="30" w:hanging="10"/>
              <w:spacing w:before="49" w:line="233" w:lineRule="auto"/>
              <w:rPr/>
            </w:pPr>
            <w:r>
              <w:rPr/>
              <w:t>对于初创科技型企业需符合的条件，从业人</w:t>
            </w:r>
            <w:r>
              <w:rPr>
                <w:spacing w:val="-1"/>
              </w:rPr>
              <w:t>数继续按不超过</w:t>
            </w:r>
            <w:r>
              <w:rPr/>
              <w:t xml:space="preserve"> </w:t>
            </w:r>
            <w:r>
              <w:rPr>
                <w:spacing w:val="-1"/>
              </w:rPr>
              <w:t>300人、资产总额和年销售收入按均不超过5000万元执行</w:t>
            </w:r>
          </w:p>
          <w:p>
            <w:pPr>
              <w:pStyle w:val="TableText"/>
              <w:ind w:left="55"/>
              <w:spacing w:before="12" w:line="219" w:lineRule="auto"/>
              <w:rPr/>
            </w:pPr>
            <w:r>
              <w:rPr>
                <w:spacing w:val="-1"/>
              </w:rPr>
              <w:t>《财政部税务总局关于创业投资企业和天使投资个人有关</w:t>
            </w:r>
          </w:p>
          <w:p>
            <w:pPr>
              <w:pStyle w:val="TableText"/>
              <w:ind w:left="30" w:hanging="19"/>
              <w:spacing w:before="21" w:line="239" w:lineRule="auto"/>
              <w:rPr/>
            </w:pPr>
            <w:r>
              <w:rPr>
                <w:spacing w:val="-4"/>
              </w:rPr>
              <w:t>税收政策的通知》(财税〔2018〕55号)规定的其他条件不变。</w:t>
            </w:r>
            <w:r>
              <w:rPr>
                <w:spacing w:val="7"/>
              </w:rPr>
              <w:t xml:space="preserve"> </w:t>
            </w:r>
            <w:r>
              <w:rPr>
                <w:spacing w:val="-3"/>
              </w:rPr>
              <w:t>在此期间已投资满2年及新发生的投资，可按财税〔</w:t>
            </w:r>
            <w:r>
              <w:rPr>
                <w:spacing w:val="-4"/>
              </w:rPr>
              <w:t>2018</w:t>
            </w:r>
          </w:p>
          <w:p>
            <w:pPr>
              <w:pStyle w:val="TableText"/>
              <w:ind w:left="51"/>
              <w:spacing w:before="10" w:line="218" w:lineRule="auto"/>
              <w:rPr/>
            </w:pPr>
            <w:r>
              <w:rPr>
                <w:spacing w:val="-1"/>
              </w:rPr>
              <w:t>55号文件和本公告规定适用有关税收政策。</w:t>
            </w:r>
          </w:p>
          <w:p>
            <w:pPr>
              <w:pStyle w:val="TableText"/>
              <w:ind w:left="31"/>
              <w:spacing w:before="22" w:line="218" w:lineRule="auto"/>
              <w:rPr/>
            </w:pPr>
            <w:r>
              <w:rPr>
                <w:spacing w:val="-1"/>
              </w:rPr>
              <w:t>本公告执行至2027年12月31日。</w:t>
            </w:r>
          </w:p>
        </w:tc>
        <w:tc>
          <w:tcPr>
            <w:tcW w:w="2158" w:type="dxa"/>
            <w:vAlign w:val="top"/>
          </w:tcPr>
          <w:p>
            <w:pPr>
              <w:spacing w:line="245" w:lineRule="auto"/>
              <w:rPr>
                <w:rFonts w:ascii="Arial"/>
                <w:sz w:val="21"/>
              </w:rPr>
            </w:pPr>
            <w:r/>
          </w:p>
          <w:p>
            <w:pPr>
              <w:pStyle w:val="TableText"/>
              <w:ind w:left="34" w:right="109" w:firstLine="60"/>
              <w:spacing w:before="49" w:line="236" w:lineRule="auto"/>
              <w:jc w:val="both"/>
              <w:rPr/>
            </w:pPr>
            <w:r>
              <w:rPr>
                <w:spacing w:val="-1"/>
              </w:rPr>
              <w:t>财政部、税务总局关于延续执</w:t>
            </w:r>
            <w:r>
              <w:rPr>
                <w:spacing w:val="5"/>
              </w:rPr>
              <w:t xml:space="preserve"> </w:t>
            </w:r>
            <w:r>
              <w:rPr>
                <w:spacing w:val="3"/>
              </w:rPr>
              <w:t>行创业投资企业和天使投资个</w:t>
            </w:r>
            <w:r>
              <w:rPr>
                <w:spacing w:val="11"/>
              </w:rPr>
              <w:t xml:space="preserve"> </w:t>
            </w:r>
            <w:r>
              <w:rPr>
                <w:spacing w:val="4"/>
              </w:rPr>
              <w:t>人投资初创科技型企业有关政</w:t>
            </w:r>
            <w:r>
              <w:rPr/>
              <w:t xml:space="preserve"> </w:t>
            </w:r>
            <w:r>
              <w:rPr>
                <w:spacing w:val="-1"/>
              </w:rPr>
              <w:t>策条件的公告</w:t>
            </w:r>
          </w:p>
        </w:tc>
        <w:tc>
          <w:tcPr>
            <w:tcW w:w="889" w:type="dxa"/>
            <w:vAlign w:val="top"/>
          </w:tcPr>
          <w:p>
            <w:pPr>
              <w:spacing w:line="248" w:lineRule="auto"/>
              <w:rPr>
                <w:rFonts w:ascii="Arial"/>
                <w:sz w:val="21"/>
              </w:rPr>
            </w:pPr>
            <w:r/>
          </w:p>
          <w:p>
            <w:pPr>
              <w:pStyle w:val="TableText"/>
              <w:ind w:left="16" w:right="6" w:firstLine="50"/>
              <w:spacing w:before="49"/>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spacing w:line="247" w:lineRule="auto"/>
              <w:rPr>
                <w:rFonts w:ascii="Arial"/>
                <w:sz w:val="21"/>
              </w:rPr>
            </w:pPr>
            <w:r/>
          </w:p>
          <w:p>
            <w:pPr>
              <w:pStyle w:val="TableText"/>
              <w:ind w:left="48"/>
              <w:spacing w:before="49" w:line="220" w:lineRule="auto"/>
              <w:rPr/>
            </w:pPr>
            <w:r>
              <w:rPr>
                <w:spacing w:val="-1"/>
              </w:rPr>
              <w:t>创业投资企</w:t>
            </w:r>
          </w:p>
          <w:p>
            <w:pPr>
              <w:pStyle w:val="TableText"/>
              <w:ind w:left="48"/>
              <w:spacing w:before="10" w:line="219" w:lineRule="auto"/>
              <w:rPr/>
            </w:pPr>
            <w:r>
              <w:rPr>
                <w:spacing w:val="-1"/>
              </w:rPr>
              <w:t>业和天使投</w:t>
            </w:r>
          </w:p>
          <w:p>
            <w:pPr>
              <w:pStyle w:val="TableText"/>
              <w:ind w:left="48"/>
              <w:spacing w:before="22" w:line="219" w:lineRule="auto"/>
              <w:rPr/>
            </w:pPr>
            <w:r>
              <w:rPr>
                <w:spacing w:val="2"/>
              </w:rPr>
              <w:t>资个人投资</w:t>
            </w:r>
          </w:p>
          <w:p>
            <w:pPr>
              <w:pStyle w:val="TableText"/>
              <w:ind w:left="48"/>
              <w:spacing w:before="11" w:line="219" w:lineRule="auto"/>
              <w:rPr/>
            </w:pPr>
            <w:r>
              <w:rPr>
                <w:spacing w:val="-1"/>
              </w:rPr>
              <w:t>初创科技型</w:t>
            </w:r>
          </w:p>
          <w:p>
            <w:pPr>
              <w:pStyle w:val="TableText"/>
              <w:ind w:left="267"/>
              <w:spacing w:before="31" w:line="229" w:lineRule="auto"/>
              <w:rPr/>
            </w:pPr>
            <w:r>
              <w:rPr>
                <w:spacing w:val="-3"/>
              </w:rPr>
              <w:t>企业</w:t>
            </w:r>
          </w:p>
        </w:tc>
        <w:tc>
          <w:tcPr>
            <w:tcW w:w="1029" w:type="dxa"/>
            <w:vAlign w:val="top"/>
          </w:tcPr>
          <w:p>
            <w:pPr>
              <w:pStyle w:val="TableText"/>
              <w:ind w:left="289"/>
              <w:spacing w:before="277" w:line="219" w:lineRule="auto"/>
              <w:rPr/>
            </w:pPr>
            <w:r>
              <w:rPr>
                <w:spacing w:val="-2"/>
              </w:rPr>
              <w:t>所得税</w:t>
            </w:r>
          </w:p>
        </w:tc>
        <w:tc>
          <w:tcPr>
            <w:tcW w:w="464" w:type="dxa"/>
            <w:vAlign w:val="top"/>
          </w:tcPr>
          <w:p>
            <w:pPr>
              <w:pStyle w:val="TableText"/>
              <w:ind w:left="80"/>
              <w:spacing w:before="277" w:line="219" w:lineRule="auto"/>
              <w:rPr/>
            </w:pPr>
            <w:r>
              <w:rPr>
                <w:spacing w:val="-2"/>
              </w:rPr>
              <w:t>减征</w:t>
            </w:r>
          </w:p>
        </w:tc>
      </w:tr>
      <w:tr>
        <w:trPr>
          <w:trHeight w:val="1368" w:hRule="atLeast"/>
        </w:trPr>
        <w:tc>
          <w:tcPr>
            <w:tcW w:w="284" w:type="dxa"/>
            <w:vAlign w:val="top"/>
          </w:tcPr>
          <w:p>
            <w:pPr>
              <w:spacing w:line="298" w:lineRule="auto"/>
              <w:rPr>
                <w:rFonts w:ascii="Arial"/>
                <w:sz w:val="21"/>
              </w:rPr>
            </w:pPr>
            <w:r/>
          </w:p>
          <w:p>
            <w:pPr>
              <w:spacing w:line="299" w:lineRule="auto"/>
              <w:rPr>
                <w:rFonts w:ascii="Arial"/>
                <w:sz w:val="21"/>
              </w:rPr>
            </w:pPr>
            <w:r/>
          </w:p>
          <w:p>
            <w:pPr>
              <w:pStyle w:val="TableText"/>
              <w:ind w:left="94"/>
              <w:spacing w:before="49" w:line="182" w:lineRule="auto"/>
              <w:rPr/>
            </w:pPr>
            <w:r>
              <w:rPr/>
              <w:t>7</w:t>
            </w:r>
          </w:p>
        </w:tc>
        <w:tc>
          <w:tcPr>
            <w:tcW w:w="3956" w:type="dxa"/>
            <w:vAlign w:val="top"/>
          </w:tcPr>
          <w:p>
            <w:pPr>
              <w:spacing w:line="249" w:lineRule="auto"/>
              <w:rPr>
                <w:rFonts w:ascii="Arial"/>
                <w:sz w:val="21"/>
              </w:rPr>
            </w:pPr>
            <w:r/>
          </w:p>
          <w:p>
            <w:pPr>
              <w:pStyle w:val="TableText"/>
              <w:ind w:left="21" w:right="38"/>
              <w:spacing w:before="48" w:line="227" w:lineRule="auto"/>
              <w:rPr/>
            </w:pPr>
            <w:r>
              <w:rPr>
                <w:spacing w:val="-1"/>
              </w:rPr>
              <w:t>一、对金融机构农户小额贷款的利息收入，在计算应纳税所</w:t>
            </w:r>
            <w:r>
              <w:rPr>
                <w:spacing w:val="11"/>
              </w:rPr>
              <w:t xml:space="preserve"> </w:t>
            </w:r>
            <w:r>
              <w:rPr>
                <w:spacing w:val="-1"/>
              </w:rPr>
              <w:t>得额时，按90%计入收入总额</w:t>
            </w:r>
          </w:p>
          <w:p>
            <w:pPr>
              <w:pStyle w:val="TableText"/>
              <w:ind w:left="21" w:right="33"/>
              <w:spacing w:before="31" w:line="233" w:lineRule="auto"/>
              <w:rPr/>
            </w:pPr>
            <w:r>
              <w:rPr>
                <w:spacing w:val="-1"/>
              </w:rPr>
              <w:t>二、对保险公司为种植业、养殖业提供保险业务取得的保费</w:t>
            </w:r>
            <w:r>
              <w:rPr>
                <w:spacing w:val="16"/>
              </w:rPr>
              <w:t xml:space="preserve"> </w:t>
            </w:r>
            <w:r>
              <w:rPr>
                <w:spacing w:val="-1"/>
              </w:rPr>
              <w:t>收入，在计算应纳税所得额时，按90%计入收入总额</w:t>
            </w:r>
          </w:p>
        </w:tc>
        <w:tc>
          <w:tcPr>
            <w:tcW w:w="2158" w:type="dxa"/>
            <w:vAlign w:val="top"/>
          </w:tcPr>
          <w:p>
            <w:pPr>
              <w:spacing w:line="250" w:lineRule="auto"/>
              <w:rPr>
                <w:rFonts w:ascii="Arial"/>
                <w:sz w:val="21"/>
              </w:rPr>
            </w:pPr>
            <w:r/>
          </w:p>
          <w:p>
            <w:pPr>
              <w:pStyle w:val="TableText"/>
              <w:ind w:left="34" w:right="108" w:firstLine="60"/>
              <w:spacing w:before="49" w:line="236" w:lineRule="auto"/>
              <w:jc w:val="both"/>
              <w:rPr/>
            </w:pPr>
            <w:r>
              <w:rPr>
                <w:spacing w:val="-1"/>
              </w:rPr>
              <w:t>财政部、税务总局关于延续实</w:t>
            </w:r>
            <w:r>
              <w:rPr>
                <w:spacing w:val="5"/>
              </w:rPr>
              <w:t xml:space="preserve"> </w:t>
            </w:r>
            <w:r>
              <w:rPr>
                <w:spacing w:val="4"/>
              </w:rPr>
              <w:t>施支持农村金融发展企业所得</w:t>
            </w:r>
            <w:r>
              <w:rPr>
                <w:spacing w:val="1"/>
              </w:rPr>
              <w:t xml:space="preserve"> </w:t>
            </w:r>
            <w:r>
              <w:rPr>
                <w:spacing w:val="-1"/>
              </w:rPr>
              <w:t>税政策的公告</w:t>
            </w:r>
          </w:p>
        </w:tc>
        <w:tc>
          <w:tcPr>
            <w:tcW w:w="889" w:type="dxa"/>
            <w:vAlign w:val="top"/>
          </w:tcPr>
          <w:p>
            <w:pPr>
              <w:spacing w:line="251" w:lineRule="auto"/>
              <w:rPr>
                <w:rFonts w:ascii="Arial"/>
                <w:sz w:val="21"/>
              </w:rPr>
            </w:pPr>
            <w:r/>
          </w:p>
          <w:p>
            <w:pPr>
              <w:pStyle w:val="TableText"/>
              <w:ind w:left="16" w:right="6" w:firstLine="50"/>
              <w:spacing w:before="48"/>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spacing w:line="248" w:lineRule="auto"/>
              <w:rPr>
                <w:rFonts w:ascii="Arial"/>
                <w:sz w:val="21"/>
              </w:rPr>
            </w:pPr>
            <w:r/>
          </w:p>
          <w:p>
            <w:pPr>
              <w:pStyle w:val="TableText"/>
              <w:ind w:left="48" w:right="47"/>
              <w:spacing w:before="49" w:line="228" w:lineRule="auto"/>
              <w:rPr/>
            </w:pPr>
            <w:r>
              <w:rPr>
                <w:spacing w:val="-2"/>
              </w:rPr>
              <w:t>支持农村金</w:t>
            </w:r>
            <w:r>
              <w:rPr>
                <w:spacing w:val="2"/>
              </w:rPr>
              <w:t xml:space="preserve"> </w:t>
            </w:r>
            <w:r>
              <w:rPr>
                <w:spacing w:val="-2"/>
              </w:rPr>
              <w:t>融发展企业</w:t>
            </w:r>
          </w:p>
        </w:tc>
        <w:tc>
          <w:tcPr>
            <w:tcW w:w="1029" w:type="dxa"/>
            <w:vAlign w:val="top"/>
          </w:tcPr>
          <w:p>
            <w:pPr>
              <w:pStyle w:val="TableText"/>
              <w:ind w:left="289"/>
              <w:spacing w:before="280" w:line="219" w:lineRule="auto"/>
              <w:rPr/>
            </w:pPr>
            <w:r>
              <w:rPr>
                <w:spacing w:val="-2"/>
              </w:rPr>
              <w:t>所得税</w:t>
            </w:r>
          </w:p>
        </w:tc>
        <w:tc>
          <w:tcPr>
            <w:tcW w:w="464" w:type="dxa"/>
            <w:vAlign w:val="top"/>
          </w:tcPr>
          <w:p>
            <w:pPr>
              <w:pStyle w:val="TableText"/>
              <w:ind w:left="80"/>
              <w:spacing w:before="280" w:line="219" w:lineRule="auto"/>
              <w:rPr/>
            </w:pPr>
            <w:r>
              <w:rPr>
                <w:spacing w:val="-2"/>
              </w:rPr>
              <w:t>减征</w:t>
            </w:r>
          </w:p>
        </w:tc>
      </w:tr>
      <w:tr>
        <w:trPr>
          <w:trHeight w:val="2361" w:hRule="atLeast"/>
        </w:trPr>
        <w:tc>
          <w:tcPr>
            <w:tcW w:w="284"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94"/>
              <w:spacing w:before="49" w:line="183" w:lineRule="auto"/>
              <w:rPr/>
            </w:pPr>
            <w:r>
              <w:rPr/>
              <w:t>8</w:t>
            </w:r>
          </w:p>
        </w:tc>
        <w:tc>
          <w:tcPr>
            <w:tcW w:w="3956" w:type="dxa"/>
            <w:vAlign w:val="top"/>
          </w:tcPr>
          <w:p>
            <w:pPr>
              <w:spacing w:line="251" w:lineRule="auto"/>
              <w:rPr>
                <w:rFonts w:ascii="Arial"/>
                <w:sz w:val="21"/>
              </w:rPr>
            </w:pPr>
            <w:r/>
          </w:p>
          <w:p>
            <w:pPr>
              <w:pStyle w:val="TableText"/>
              <w:ind w:left="31" w:right="84" w:firstLine="20"/>
              <w:spacing w:before="48" w:line="227" w:lineRule="auto"/>
              <w:rPr/>
            </w:pPr>
            <w:r>
              <w:rPr>
                <w:spacing w:val="-1"/>
              </w:rPr>
              <w:t>一、对小型微利企业年应纳税所得额不超过100万元的部分</w:t>
            </w:r>
            <w:r>
              <w:rPr>
                <w:spacing w:val="11"/>
              </w:rPr>
              <w:t xml:space="preserve"> </w:t>
            </w:r>
            <w:r>
              <w:rPr/>
              <w:t>减按25%计入应纳税所得额，按20%的税</w:t>
            </w:r>
            <w:r>
              <w:rPr>
                <w:spacing w:val="-1"/>
              </w:rPr>
              <w:t>率缴纳企业所得</w:t>
            </w:r>
          </w:p>
          <w:p>
            <w:pPr>
              <w:pStyle w:val="TableText"/>
              <w:ind w:left="11"/>
              <w:spacing w:before="22" w:line="220" w:lineRule="auto"/>
              <w:rPr/>
            </w:pPr>
            <w:r>
              <w:rPr>
                <w:spacing w:val="-2"/>
              </w:rPr>
              <w:t>税。</w:t>
            </w:r>
          </w:p>
          <w:p>
            <w:pPr>
              <w:pStyle w:val="TableText"/>
              <w:ind w:left="41"/>
              <w:spacing w:before="20" w:line="219" w:lineRule="auto"/>
              <w:rPr/>
            </w:pPr>
            <w:r>
              <w:rPr>
                <w:spacing w:val="-1"/>
              </w:rPr>
              <w:t>二、对个体工商户年应纳税所得额不超过100万元的部分</w:t>
            </w:r>
          </w:p>
          <w:p>
            <w:pPr>
              <w:pStyle w:val="TableText"/>
              <w:ind w:left="21"/>
              <w:spacing w:before="42" w:line="219" w:lineRule="auto"/>
              <w:rPr/>
            </w:pPr>
            <w:r>
              <w:rPr>
                <w:spacing w:val="-1"/>
              </w:rPr>
              <w:t>在现行优惠政策基础上，减半征收个人所得税</w:t>
            </w:r>
          </w:p>
          <w:p>
            <w:pPr>
              <w:pStyle w:val="TableText"/>
              <w:ind w:left="21" w:right="30"/>
              <w:spacing w:before="10" w:line="242" w:lineRule="auto"/>
              <w:rPr/>
            </w:pPr>
            <w:r>
              <w:rPr/>
              <w:t>三、本公告所称小型微利企业，是指从事国</w:t>
            </w:r>
            <w:r>
              <w:rPr>
                <w:spacing w:val="-1"/>
              </w:rPr>
              <w:t>家非限制和禁止</w:t>
            </w:r>
            <w:r>
              <w:rPr/>
              <w:t xml:space="preserve"> </w:t>
            </w:r>
            <w:r>
              <w:rPr/>
              <w:t>行业，且同时符合年度应纳税所得额不超过300万元、从业 </w:t>
            </w:r>
            <w:r>
              <w:rPr/>
              <w:t>人数不超过300人、资产总额不超过500</w:t>
            </w:r>
            <w:r>
              <w:rPr>
                <w:spacing w:val="-1"/>
              </w:rPr>
              <w:t>0万元等三个条件</w:t>
            </w:r>
          </w:p>
          <w:p>
            <w:pPr>
              <w:pStyle w:val="TableText"/>
              <w:ind w:left="21"/>
              <w:spacing w:before="4" w:line="222" w:lineRule="auto"/>
              <w:rPr/>
            </w:pPr>
            <w:r>
              <w:rPr>
                <w:spacing w:val="-1"/>
              </w:rPr>
              <w:t>的企业。</w:t>
            </w:r>
          </w:p>
        </w:tc>
        <w:tc>
          <w:tcPr>
            <w:tcW w:w="2158" w:type="dxa"/>
            <w:vAlign w:val="top"/>
          </w:tcPr>
          <w:p>
            <w:pPr>
              <w:spacing w:line="242" w:lineRule="auto"/>
              <w:rPr>
                <w:rFonts w:ascii="Arial"/>
                <w:sz w:val="21"/>
              </w:rPr>
            </w:pPr>
            <w:r/>
          </w:p>
          <w:p>
            <w:pPr>
              <w:pStyle w:val="TableText"/>
              <w:ind w:left="95" w:right="88"/>
              <w:spacing w:before="49"/>
              <w:jc w:val="both"/>
              <w:rPr/>
            </w:pPr>
            <w:r>
              <w:rPr>
                <w:spacing w:val="-1"/>
              </w:rPr>
              <w:t>财政部、税务总局《关于小微</w:t>
            </w:r>
            <w:r>
              <w:rPr>
                <w:spacing w:val="5"/>
              </w:rPr>
              <w:t xml:space="preserve"> </w:t>
            </w:r>
            <w:r>
              <w:rPr>
                <w:spacing w:val="1"/>
              </w:rPr>
              <w:t>企业和个体工商户所得税优惠</w:t>
            </w:r>
            <w:r>
              <w:rPr/>
              <w:t xml:space="preserve"> </w:t>
            </w:r>
            <w:r>
              <w:rPr>
                <w:spacing w:val="2"/>
              </w:rPr>
              <w:t>政策的公告》2023年第6号公</w:t>
            </w:r>
          </w:p>
          <w:p>
            <w:pPr>
              <w:pStyle w:val="TableText"/>
              <w:ind w:left="24"/>
              <w:spacing w:before="2" w:line="218" w:lineRule="auto"/>
              <w:rPr/>
            </w:pPr>
            <w:r>
              <w:rPr/>
              <w:t>告</w:t>
            </w:r>
          </w:p>
        </w:tc>
        <w:tc>
          <w:tcPr>
            <w:tcW w:w="889" w:type="dxa"/>
            <w:vAlign w:val="top"/>
          </w:tcPr>
          <w:p>
            <w:pPr>
              <w:spacing w:line="251" w:lineRule="auto"/>
              <w:rPr>
                <w:rFonts w:ascii="Arial"/>
                <w:sz w:val="21"/>
              </w:rPr>
            </w:pPr>
            <w:r/>
          </w:p>
          <w:p>
            <w:pPr>
              <w:pStyle w:val="TableText"/>
              <w:ind w:left="16"/>
              <w:spacing w:before="48" w:line="236" w:lineRule="auto"/>
              <w:jc w:val="both"/>
              <w:rPr/>
            </w:pPr>
            <w:r>
              <w:rPr>
                <w:spacing w:val="17"/>
                <w:w w:val="110"/>
              </w:rPr>
              <w:t>2023年1月</w:t>
            </w:r>
            <w:r>
              <w:rPr/>
              <w:t xml:space="preserve"> </w:t>
            </w:r>
            <w:r>
              <w:rPr>
                <w:spacing w:val="4"/>
              </w:rPr>
              <w:t>1日</w:t>
            </w:r>
            <w:r>
              <w:rPr>
                <w:spacing w:val="18"/>
              </w:rPr>
              <w:t xml:space="preserve"> </w:t>
            </w:r>
            <w:r>
              <w:rPr>
                <w:spacing w:val="4"/>
              </w:rPr>
              <w:t>至2024</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spacing w:line="242" w:lineRule="auto"/>
              <w:rPr>
                <w:rFonts w:ascii="Arial"/>
                <w:sz w:val="21"/>
              </w:rPr>
            </w:pPr>
            <w:r/>
          </w:p>
          <w:p>
            <w:pPr>
              <w:pStyle w:val="TableText"/>
              <w:ind w:left="48"/>
              <w:spacing w:before="48" w:line="219" w:lineRule="auto"/>
              <w:rPr/>
            </w:pPr>
            <w:r>
              <w:rPr>
                <w:spacing w:val="-2"/>
              </w:rPr>
              <w:t>小型微利企</w:t>
            </w:r>
          </w:p>
          <w:p>
            <w:pPr>
              <w:pStyle w:val="TableText"/>
              <w:ind w:left="48"/>
              <w:spacing w:before="22" w:line="219" w:lineRule="auto"/>
              <w:rPr/>
            </w:pPr>
            <w:r>
              <w:rPr>
                <w:spacing w:val="-1"/>
              </w:rPr>
              <w:t>业、个体工</w:t>
            </w:r>
          </w:p>
          <w:p>
            <w:pPr>
              <w:pStyle w:val="TableText"/>
              <w:ind w:left="267"/>
              <w:spacing w:before="12" w:line="220" w:lineRule="auto"/>
              <w:rPr/>
            </w:pPr>
            <w:r>
              <w:rPr>
                <w:spacing w:val="10"/>
              </w:rPr>
              <w:t>商户</w:t>
            </w:r>
          </w:p>
        </w:tc>
        <w:tc>
          <w:tcPr>
            <w:tcW w:w="1029" w:type="dxa"/>
            <w:vAlign w:val="top"/>
          </w:tcPr>
          <w:p>
            <w:pPr>
              <w:pStyle w:val="TableText"/>
              <w:ind w:left="138"/>
              <w:spacing w:before="282" w:line="219" w:lineRule="auto"/>
              <w:rPr/>
            </w:pPr>
            <w:r>
              <w:rPr>
                <w:spacing w:val="-2"/>
              </w:rPr>
              <w:t>企业所得税</w:t>
            </w:r>
          </w:p>
        </w:tc>
        <w:tc>
          <w:tcPr>
            <w:tcW w:w="464" w:type="dxa"/>
            <w:vAlign w:val="top"/>
          </w:tcPr>
          <w:p>
            <w:pPr>
              <w:spacing w:line="242" w:lineRule="auto"/>
              <w:rPr>
                <w:rFonts w:ascii="Arial"/>
                <w:sz w:val="21"/>
              </w:rPr>
            </w:pPr>
            <w:r/>
          </w:p>
          <w:p>
            <w:pPr>
              <w:pStyle w:val="TableText"/>
              <w:ind w:left="80"/>
              <w:spacing w:before="48" w:line="219" w:lineRule="auto"/>
              <w:rPr/>
            </w:pPr>
            <w:r>
              <w:rPr>
                <w:spacing w:val="-2"/>
              </w:rPr>
              <w:t>减征</w:t>
            </w:r>
          </w:p>
        </w:tc>
      </w:tr>
    </w:tbl>
    <w:p>
      <w:pPr>
        <w:pStyle w:val="BodyText"/>
        <w:rPr/>
      </w:pPr>
      <w:r/>
    </w:p>
    <w:p>
      <w:pPr>
        <w:sectPr>
          <w:pgSz w:w="11910" w:h="8220"/>
          <w:pgMar w:top="400" w:right="1145" w:bottom="400" w:left="809" w:header="0" w:footer="0" w:gutter="0"/>
        </w:sectPr>
        <w:rPr/>
      </w:pPr>
    </w:p>
    <w:p>
      <w:pPr>
        <w:spacing w:before="51"/>
        <w:rPr/>
      </w:pPr>
      <w:r>
        <w:drawing>
          <wp:anchor distT="0" distB="0" distL="0" distR="0" simplePos="0" relativeHeight="251694080" behindDoc="0" locked="0" layoutInCell="0" allowOverlap="1">
            <wp:simplePos x="0" y="0"/>
            <wp:positionH relativeFrom="page">
              <wp:posOffset>507996</wp:posOffset>
            </wp:positionH>
            <wp:positionV relativeFrom="page">
              <wp:posOffset>666764</wp:posOffset>
            </wp:positionV>
            <wp:extent cx="114274" cy="133311"/>
            <wp:effectExtent l="0" t="0" r="0" b="0"/>
            <wp:wrapNone/>
            <wp:docPr id="26" name="IM 26"/>
            <wp:cNvGraphicFramePr/>
            <a:graphic>
              <a:graphicData uri="http://schemas.openxmlformats.org/drawingml/2006/picture">
                <pic:pic>
                  <pic:nvPicPr>
                    <pic:cNvPr id="26" name="IM 26"/>
                    <pic:cNvPicPr/>
                  </pic:nvPicPr>
                  <pic:blipFill>
                    <a:blip r:embed="rId15"/>
                    <a:stretch>
                      <a:fillRect/>
                    </a:stretch>
                  </pic:blipFill>
                  <pic:spPr>
                    <a:xfrm rot="0">
                      <a:off x="0" y="0"/>
                      <a:ext cx="114274" cy="133311"/>
                    </a:xfrm>
                    <a:prstGeom prst="rect">
                      <a:avLst/>
                    </a:prstGeom>
                  </pic:spPr>
                </pic:pic>
              </a:graphicData>
            </a:graphic>
          </wp:anchor>
        </w:drawing>
      </w:r>
      <w:r/>
    </w:p>
    <w:p>
      <w:pPr>
        <w:spacing w:before="51"/>
        <w:rPr/>
      </w:pPr>
      <w:r/>
    </w:p>
    <w:tbl>
      <w:tblPr>
        <w:tblStyle w:val="TableNormal"/>
        <w:tblW w:w="9629" w:type="dxa"/>
        <w:tblInd w:w="3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569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9</w:t>
            </w:r>
          </w:p>
        </w:tc>
        <w:tc>
          <w:tcPr>
            <w:tcW w:w="3966" w:type="dxa"/>
            <w:vAlign w:val="top"/>
          </w:tcPr>
          <w:p>
            <w:pPr>
              <w:spacing w:line="247" w:lineRule="auto"/>
              <w:rPr>
                <w:rFonts w:ascii="Arial"/>
                <w:sz w:val="21"/>
              </w:rPr>
            </w:pPr>
            <w:r/>
          </w:p>
          <w:p>
            <w:pPr>
              <w:pStyle w:val="TableText"/>
              <w:ind w:left="21" w:right="84" w:firstLine="39"/>
              <w:spacing w:before="49" w:line="241" w:lineRule="auto"/>
              <w:rPr/>
            </w:pPr>
            <w:r>
              <w:rPr>
                <w:spacing w:val="-1"/>
              </w:rPr>
              <w:t>一、对个体工商户经营所得年应纳税所得额不超过100万元</w:t>
            </w:r>
            <w:r>
              <w:rPr>
                <w:spacing w:val="11"/>
              </w:rPr>
              <w:t xml:space="preserve"> </w:t>
            </w:r>
            <w:r>
              <w:rPr/>
              <w:t>的部分，在现行优惠政策基础上，再减半征收个人所得税</w:t>
            </w:r>
            <w:r>
              <w:rPr>
                <w:spacing w:val="2"/>
              </w:rPr>
              <w:t xml:space="preserve">  </w:t>
            </w:r>
            <w:r>
              <w:rPr>
                <w:spacing w:val="-1"/>
              </w:rPr>
              <w:t>个体工商户不区分征收方式，均可享受</w:t>
            </w:r>
          </w:p>
          <w:p>
            <w:pPr>
              <w:pStyle w:val="TableText"/>
              <w:ind w:left="11" w:right="14" w:firstLine="10"/>
              <w:spacing w:before="12" w:line="243" w:lineRule="auto"/>
              <w:rPr/>
            </w:pPr>
            <w:r>
              <w:rPr>
                <w:spacing w:val="-1"/>
              </w:rPr>
              <w:t>二、个体工商户在预缴税款时即可享受，其年应纳税所得额</w:t>
            </w:r>
            <w:r>
              <w:rPr>
                <w:spacing w:val="16"/>
              </w:rPr>
              <w:t xml:space="preserve"> </w:t>
            </w:r>
            <w:r>
              <w:rPr/>
              <w:t>暂按截至本期申报所属期末的情况进行判断，并在年度</w:t>
            </w:r>
            <w:r>
              <w:rPr>
                <w:spacing w:val="-1"/>
              </w:rPr>
              <w:t>汇算</w:t>
            </w:r>
            <w:r>
              <w:rPr/>
              <w:t xml:space="preserve"> </w:t>
            </w:r>
            <w:r>
              <w:rPr/>
              <w:t>清缴时按年计算、多退少补。若个体工商户从两处以上取得</w:t>
            </w:r>
            <w:r>
              <w:rPr>
                <w:spacing w:val="3"/>
              </w:rPr>
              <w:t xml:space="preserve"> </w:t>
            </w:r>
            <w:r>
              <w:rPr>
                <w:spacing w:val="1"/>
              </w:rPr>
              <w:t>经营所得，需在办理年度汇总纳税申报时，合并个体工商户</w:t>
            </w:r>
            <w:r>
              <w:rPr>
                <w:spacing w:val="3"/>
              </w:rPr>
              <w:t xml:space="preserve"> </w:t>
            </w:r>
            <w:r>
              <w:rPr>
                <w:spacing w:val="-1"/>
              </w:rPr>
              <w:t>经营所得年应纳税所得额，重新计算减免税额，多退少补</w:t>
            </w:r>
          </w:p>
          <w:p>
            <w:pPr>
              <w:pStyle w:val="TableText"/>
              <w:ind w:left="21" w:right="40"/>
              <w:spacing w:before="21" w:line="227" w:lineRule="auto"/>
              <w:rPr/>
            </w:pPr>
            <w:r>
              <w:rPr/>
              <w:t>三、个体工商户按照以下方法计算减免税额：</w:t>
            </w:r>
            <w:r>
              <w:rPr>
                <w:spacing w:val="-1"/>
              </w:rPr>
              <w:t>减免税额=(个</w:t>
            </w:r>
            <w:r>
              <w:rPr/>
              <w:t xml:space="preserve"> </w:t>
            </w:r>
            <w:r>
              <w:rPr/>
              <w:t>体工商户经营所得应纳税所得额不超过10</w:t>
            </w:r>
            <w:r>
              <w:rPr>
                <w:spacing w:val="-1"/>
              </w:rPr>
              <w:t>0万元部分的应</w:t>
            </w:r>
          </w:p>
          <w:p>
            <w:pPr>
              <w:pStyle w:val="TableText"/>
              <w:ind w:left="21" w:right="305" w:firstLine="10"/>
              <w:spacing w:before="31" w:line="235" w:lineRule="auto"/>
              <w:jc w:val="both"/>
              <w:rPr/>
            </w:pPr>
            <w:r>
              <w:rPr>
                <w:spacing w:val="-1"/>
              </w:rPr>
              <w:t>纳税额-其他政策减免税额x个体工商户经营所得应纳税</w:t>
            </w:r>
            <w:r>
              <w:rPr>
                <w:spacing w:val="16"/>
              </w:rPr>
              <w:t xml:space="preserve"> </w:t>
            </w:r>
            <w:r>
              <w:rPr>
                <w:spacing w:val="1"/>
              </w:rPr>
              <w:t>所得额不超过100万元部分÷经营所得应纳税所得额)×</w:t>
            </w:r>
            <w:r>
              <w:rPr>
                <w:spacing w:val="2"/>
              </w:rPr>
              <w:t xml:space="preserve"> </w:t>
            </w:r>
            <w:r>
              <w:rPr>
                <w:spacing w:val="2"/>
              </w:rPr>
              <w:t>(1-50%)</w:t>
            </w:r>
          </w:p>
          <w:p>
            <w:pPr>
              <w:pStyle w:val="TableText"/>
              <w:ind w:left="21" w:right="28"/>
              <w:spacing w:before="25"/>
              <w:jc w:val="both"/>
              <w:rPr/>
            </w:pPr>
            <w:r>
              <w:rPr/>
              <w:t>四、个体工商户需将按上述方法计算得出的减免税额填入对</w:t>
            </w:r>
            <w:r>
              <w:rPr>
                <w:spacing w:val="5"/>
              </w:rPr>
              <w:t xml:space="preserve"> </w:t>
            </w:r>
            <w:r>
              <w:rPr/>
              <w:t>应经营所得纳税申报表“减免税额”栏次，</w:t>
            </w:r>
            <w:r>
              <w:rPr>
                <w:spacing w:val="-1"/>
              </w:rPr>
              <w:t>并附报《个人所</w:t>
            </w:r>
            <w:r>
              <w:rPr/>
              <w:t xml:space="preserve"> </w:t>
            </w:r>
            <w:r>
              <w:rPr>
                <w:spacing w:val="-1"/>
              </w:rPr>
              <w:t>得税减免税事项报告表》。对于通过电子税务局申报的个体</w:t>
            </w:r>
            <w:r>
              <w:rPr>
                <w:spacing w:val="18"/>
              </w:rPr>
              <w:t xml:space="preserve"> </w:t>
            </w:r>
            <w:r>
              <w:rPr>
                <w:spacing w:val="-1"/>
              </w:rPr>
              <w:t>工商户，税务机关将提供该优惠政策减免税额和报告表的预</w:t>
            </w:r>
            <w:r>
              <w:rPr>
                <w:spacing w:val="17"/>
              </w:rPr>
              <w:t xml:space="preserve"> </w:t>
            </w:r>
            <w:r>
              <w:rPr>
                <w:spacing w:val="-1"/>
              </w:rPr>
              <w:t>填服务。实行简易申报的定期定额个体工商户，税务机关按</w:t>
            </w:r>
            <w:r>
              <w:rPr>
                <w:spacing w:val="17"/>
              </w:rPr>
              <w:t xml:space="preserve"> </w:t>
            </w:r>
            <w:r>
              <w:rPr>
                <w:spacing w:val="-1"/>
              </w:rPr>
              <w:t>照减免后的税额进行税款划缴</w:t>
            </w:r>
          </w:p>
          <w:p>
            <w:pPr>
              <w:pStyle w:val="TableText"/>
              <w:ind w:left="21"/>
              <w:spacing w:before="30" w:line="218" w:lineRule="auto"/>
              <w:rPr/>
            </w:pPr>
            <w:r>
              <w:rPr/>
              <w:t>五、本公告自2023年1月1日起施行，2024年1</w:t>
            </w:r>
            <w:r>
              <w:rPr>
                <w:spacing w:val="-1"/>
              </w:rPr>
              <w:t>2月31 E</w:t>
            </w:r>
          </w:p>
          <w:p>
            <w:pPr>
              <w:pStyle w:val="TableText"/>
              <w:ind w:left="11"/>
              <w:spacing w:before="23" w:line="218" w:lineRule="auto"/>
              <w:rPr/>
            </w:pPr>
            <w:r>
              <w:rPr>
                <w:spacing w:val="1"/>
              </w:rPr>
              <w:t>终止执行。2023年1月1日至本公告发</w:t>
            </w:r>
            <w:r>
              <w:rPr/>
              <w:t>布前，个体工商户</w:t>
            </w:r>
          </w:p>
          <w:p>
            <w:pPr>
              <w:pStyle w:val="TableText"/>
              <w:ind w:left="21" w:right="14"/>
              <w:spacing w:before="24" w:line="238" w:lineRule="auto"/>
              <w:jc w:val="both"/>
              <w:rPr/>
            </w:pPr>
            <w:r>
              <w:rPr/>
              <w:t>已经缴纳经营所得个人所得税的，可自动抵减以后月份的税</w:t>
            </w:r>
            <w:r>
              <w:rPr>
                <w:spacing w:val="5"/>
              </w:rPr>
              <w:t xml:space="preserve"> </w:t>
            </w:r>
            <w:r>
              <w:rPr>
                <w:spacing w:val="1"/>
              </w:rPr>
              <w:t>款，当年抵减不完的可在汇算清缴时办理退</w:t>
            </w:r>
            <w:r>
              <w:rPr/>
              <w:t>税；也可直接申 </w:t>
            </w:r>
            <w:r>
              <w:rPr>
                <w:spacing w:val="-1"/>
              </w:rPr>
              <w:t>请退还应减免的税款。</w:t>
            </w:r>
          </w:p>
        </w:tc>
        <w:tc>
          <w:tcPr>
            <w:tcW w:w="2118" w:type="dxa"/>
            <w:vAlign w:val="top"/>
          </w:tcPr>
          <w:p>
            <w:pPr>
              <w:spacing w:line="257" w:lineRule="auto"/>
              <w:rPr>
                <w:rFonts w:ascii="Arial"/>
                <w:sz w:val="21"/>
              </w:rPr>
            </w:pPr>
            <w:r/>
          </w:p>
          <w:p>
            <w:pPr>
              <w:pStyle w:val="TableText"/>
              <w:ind w:left="24" w:right="89" w:firstLine="50"/>
              <w:spacing w:before="48" w:line="232" w:lineRule="auto"/>
              <w:jc w:val="both"/>
              <w:rPr/>
            </w:pPr>
            <w:r>
              <w:rPr>
                <w:spacing w:val="-1"/>
              </w:rPr>
              <w:t>财政部、税务总局《关于企业</w:t>
            </w:r>
            <w:r>
              <w:rPr>
                <w:spacing w:val="5"/>
              </w:rPr>
              <w:t xml:space="preserve"> </w:t>
            </w:r>
            <w:r>
              <w:rPr>
                <w:spacing w:val="3"/>
              </w:rPr>
              <w:t>投入基础研究税收优惠政策的</w:t>
            </w:r>
            <w:r>
              <w:rPr>
                <w:spacing w:val="2"/>
              </w:rPr>
              <w:t xml:space="preserve"> </w:t>
            </w:r>
            <w:r>
              <w:rPr/>
              <w:t>公告》2022年第32号公告</w:t>
            </w:r>
          </w:p>
        </w:tc>
        <w:tc>
          <w:tcPr>
            <w:tcW w:w="919" w:type="dxa"/>
            <w:vAlign w:val="top"/>
          </w:tcPr>
          <w:p>
            <w:pPr>
              <w:spacing w:line="246" w:lineRule="auto"/>
              <w:rPr>
                <w:rFonts w:ascii="Arial"/>
                <w:sz w:val="21"/>
              </w:rPr>
            </w:pPr>
            <w:r/>
          </w:p>
          <w:p>
            <w:pPr>
              <w:pStyle w:val="TableText"/>
              <w:ind w:left="16" w:right="36" w:firstLine="40"/>
              <w:spacing w:before="49" w:line="239" w:lineRule="auto"/>
              <w:rPr/>
            </w:pPr>
            <w:r>
              <w:rPr>
                <w:spacing w:val="20"/>
              </w:rPr>
              <w:t>自2022年1</w:t>
            </w:r>
            <w:r>
              <w:rPr/>
              <w:t xml:space="preserve"> </w:t>
            </w:r>
            <w:r>
              <w:rPr>
                <w:spacing w:val="-2"/>
              </w:rPr>
              <w:t>月1日起</w:t>
            </w:r>
          </w:p>
        </w:tc>
        <w:tc>
          <w:tcPr>
            <w:tcW w:w="859" w:type="dxa"/>
            <w:vAlign w:val="top"/>
          </w:tcPr>
          <w:p>
            <w:pPr>
              <w:spacing w:line="255" w:lineRule="auto"/>
              <w:rPr>
                <w:rFonts w:ascii="Arial"/>
                <w:sz w:val="21"/>
              </w:rPr>
            </w:pPr>
            <w:r/>
          </w:p>
          <w:p>
            <w:pPr>
              <w:pStyle w:val="TableText"/>
              <w:ind w:left="277"/>
              <w:spacing w:before="49" w:line="229" w:lineRule="auto"/>
              <w:rPr/>
            </w:pPr>
            <w:r>
              <w:rPr>
                <w:spacing w:val="-3"/>
              </w:rPr>
              <w:t>企业</w:t>
            </w:r>
          </w:p>
        </w:tc>
        <w:tc>
          <w:tcPr>
            <w:tcW w:w="1009" w:type="dxa"/>
            <w:vAlign w:val="top"/>
          </w:tcPr>
          <w:p>
            <w:pPr>
              <w:spacing w:line="256" w:lineRule="auto"/>
              <w:rPr>
                <w:rFonts w:ascii="Arial"/>
                <w:sz w:val="21"/>
              </w:rPr>
            </w:pPr>
            <w:r/>
          </w:p>
          <w:p>
            <w:pPr>
              <w:pStyle w:val="TableText"/>
              <w:ind w:left="128"/>
              <w:spacing w:before="49" w:line="219" w:lineRule="auto"/>
              <w:rPr/>
            </w:pPr>
            <w:r>
              <w:rPr>
                <w:spacing w:val="-2"/>
              </w:rPr>
              <w:t>企业所得税</w:t>
            </w:r>
          </w:p>
        </w:tc>
        <w:tc>
          <w:tcPr>
            <w:tcW w:w="464" w:type="dxa"/>
            <w:vAlign w:val="top"/>
          </w:tcPr>
          <w:p>
            <w:pPr>
              <w:pStyle w:val="TableText"/>
              <w:ind w:left="80"/>
              <w:spacing w:before="287" w:line="219" w:lineRule="auto"/>
              <w:rPr/>
            </w:pPr>
            <w:r>
              <w:rPr>
                <w:spacing w:val="-3"/>
              </w:rPr>
              <w:t>免征</w:t>
            </w:r>
          </w:p>
        </w:tc>
      </w:tr>
    </w:tbl>
    <w:p>
      <w:pPr>
        <w:pStyle w:val="BodyText"/>
        <w:rPr/>
      </w:pPr>
      <w:r/>
    </w:p>
    <w:p>
      <w:pPr>
        <w:sectPr>
          <w:pgSz w:w="11910" w:h="8220"/>
          <w:pgMar w:top="400" w:right="1135" w:bottom="400" w:left="799" w:header="0" w:footer="0" w:gutter="0"/>
        </w:sectPr>
        <w:rPr/>
      </w:pPr>
    </w:p>
    <w:p>
      <w:pPr>
        <w:spacing w:before="51"/>
        <w:rPr/>
      </w:pPr>
      <w:r>
        <w:pict>
          <v:shape id="_x0000_s42" style="position:absolute;margin-left:38.9997pt;margin-top:346.233pt;mso-position-vertical-relative:page;mso-position-horizontal-relative:page;width:10.45pt;height:15.75pt;z-index:251695104;" o:allowincell="f" filled="false" stroked="false" type="#_x0000_t202">
            <v:fill on="false"/>
            <v:stroke on="false"/>
            <v:path/>
            <v:imagedata o:title=""/>
            <o:lock v:ext="edit" aspectratio="false"/>
            <v:textbox inset="0mm,0mm,0mm,0mm">
              <w:txbxContent>
                <w:p>
                  <w:pPr>
                    <w:spacing w:before="20" w:line="222" w:lineRule="auto"/>
                    <w:jc w:val="right"/>
                    <w:rPr>
                      <w:rFonts w:ascii="STCaiyun" w:hAnsi="STCaiyun" w:eastAsia="STCaiyun" w:cs="STCaiyun"/>
                      <w:sz w:val="22"/>
                      <w:szCs w:val="22"/>
                    </w:rPr>
                  </w:pPr>
                  <w:r>
                    <w:rPr>
                      <w:rFonts w:ascii="STCaiyun" w:hAnsi="STCaiyun" w:eastAsia="STCaiyun" w:cs="STCaiyun"/>
                      <w:sz w:val="22"/>
                      <w:szCs w:val="22"/>
                      <w:spacing w:val="-16"/>
                      <w:w w:val="83"/>
                    </w:rPr>
                    <w:t>出</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4153" w:hRule="atLeast"/>
        </w:trPr>
        <w:tc>
          <w:tcPr>
            <w:tcW w:w="29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65"/>
              <w:spacing w:before="48" w:line="184" w:lineRule="auto"/>
              <w:rPr/>
            </w:pPr>
            <w:r>
              <w:rPr>
                <w:spacing w:val="-5"/>
              </w:rPr>
              <w:t>10</w:t>
            </w:r>
          </w:p>
        </w:tc>
        <w:tc>
          <w:tcPr>
            <w:tcW w:w="3966" w:type="dxa"/>
            <w:vAlign w:val="top"/>
          </w:tcPr>
          <w:p>
            <w:pPr>
              <w:pStyle w:val="TableText"/>
              <w:ind w:left="21" w:right="119" w:firstLine="79"/>
              <w:spacing w:before="177" w:line="241" w:lineRule="auto"/>
              <w:rPr/>
            </w:pPr>
            <w:r>
              <w:rPr>
                <w:spacing w:val="-1"/>
              </w:rPr>
              <w:t>一、企业开展研发活动中实际发生的研发费用，未形成无</w:t>
            </w:r>
            <w:r>
              <w:rPr>
                <w:spacing w:val="9"/>
              </w:rPr>
              <w:t xml:space="preserve"> </w:t>
            </w:r>
            <w:r>
              <w:rPr>
                <w:spacing w:val="1"/>
              </w:rPr>
              <w:t>形资产计入当期损益的，在按规定据实扣除的基础上</w:t>
            </w:r>
            <w:r>
              <w:rPr/>
              <w:t>，自 </w:t>
            </w:r>
            <w:r>
              <w:rPr/>
              <w:t>2023年1月1日起，再按照实际发生额的100%在税前加计</w:t>
            </w:r>
          </w:p>
          <w:p>
            <w:pPr>
              <w:pStyle w:val="TableText"/>
              <w:ind w:left="21" w:right="343"/>
              <w:spacing w:before="31" w:line="226" w:lineRule="auto"/>
              <w:rPr/>
            </w:pPr>
            <w:r>
              <w:rPr>
                <w:spacing w:val="-1"/>
              </w:rPr>
              <w:t>扣除；形成无形资产的，自2023年1月1日起，按照无形</w:t>
            </w:r>
            <w:r>
              <w:rPr>
                <w:spacing w:val="17"/>
              </w:rPr>
              <w:t xml:space="preserve"> </w:t>
            </w:r>
            <w:r>
              <w:rPr>
                <w:spacing w:val="-1"/>
              </w:rPr>
              <w:t>资产成本的200%在税前摊销。</w:t>
            </w:r>
          </w:p>
          <w:p>
            <w:pPr>
              <w:pStyle w:val="TableText"/>
              <w:ind w:left="21" w:right="43"/>
              <w:spacing w:before="33" w:line="232" w:lineRule="auto"/>
              <w:rPr/>
            </w:pPr>
            <w:r>
              <w:rPr>
                <w:spacing w:val="-1"/>
              </w:rPr>
              <w:t>二、企业享受研发费用加计扣除政策的其他政策口径和管理</w:t>
            </w:r>
            <w:r>
              <w:rPr>
                <w:spacing w:val="16"/>
              </w:rPr>
              <w:t xml:space="preserve"> </w:t>
            </w:r>
            <w:r>
              <w:rPr>
                <w:spacing w:val="-1"/>
              </w:rPr>
              <w:t>要求，按照《财政部国家税务总局科技部关于完善研究开</w:t>
            </w:r>
          </w:p>
          <w:p>
            <w:pPr>
              <w:pStyle w:val="TableText"/>
              <w:ind w:left="55" w:right="144" w:hanging="34"/>
              <w:spacing w:before="22" w:line="232" w:lineRule="auto"/>
              <w:rPr/>
            </w:pPr>
            <w:r>
              <w:rPr>
                <w:spacing w:val="1"/>
              </w:rPr>
              <w:t>发费用税前加计扣除政策的通知》(财税〔2015〕11</w:t>
            </w:r>
            <w:r>
              <w:rPr/>
              <w:t>9号)  </w:t>
            </w:r>
            <w:r>
              <w:rPr/>
              <w:t>《财政部税务总局科技部关于企业委托境外研究开发费用</w:t>
            </w:r>
          </w:p>
          <w:p>
            <w:pPr>
              <w:pStyle w:val="TableText"/>
              <w:ind w:left="21" w:right="72" w:firstLine="79"/>
              <w:spacing w:before="3" w:line="245" w:lineRule="auto"/>
              <w:rPr/>
            </w:pPr>
            <w:r>
              <w:rPr>
                <w:spacing w:val="1"/>
              </w:rPr>
              <w:t>税前加计扣除有关政策问题的通知》(财税〔2018〕64号)</w:t>
            </w:r>
            <w:r>
              <w:rPr>
                <w:spacing w:val="2"/>
              </w:rPr>
              <w:t xml:space="preserve"> </w:t>
            </w:r>
            <w:r>
              <w:rPr>
                <w:spacing w:val="-1"/>
              </w:rPr>
              <w:t>等文件相关规定执行。</w:t>
            </w:r>
          </w:p>
          <w:p>
            <w:pPr>
              <w:pStyle w:val="TableText"/>
              <w:ind w:left="21" w:right="268" w:firstLine="10"/>
              <w:spacing w:before="20" w:line="237" w:lineRule="auto"/>
              <w:jc w:val="both"/>
              <w:rPr/>
            </w:pPr>
            <w:r>
              <w:rPr/>
              <w:t>三、本公告自2023年1月1日起执行，《</w:t>
            </w:r>
            <w:r>
              <w:rPr>
                <w:spacing w:val="-1"/>
              </w:rPr>
              <w:t>财政部税务总局</w:t>
            </w:r>
            <w:r>
              <w:rPr/>
              <w:t xml:space="preserve">  </w:t>
            </w:r>
            <w:r>
              <w:rPr>
                <w:spacing w:val="-1"/>
              </w:rPr>
              <w:t>关于进一步完善研发费用税前加计扣除政策的公告》(财</w:t>
            </w:r>
            <w:r>
              <w:rPr>
                <w:spacing w:val="15"/>
              </w:rPr>
              <w:t xml:space="preserve"> </w:t>
            </w:r>
            <w:r>
              <w:rPr/>
              <w:t>政部税务总局公告2021年第13号)、</w:t>
            </w:r>
            <w:r>
              <w:rPr>
                <w:spacing w:val="-1"/>
              </w:rPr>
              <w:t>《财政部税务总</w:t>
            </w:r>
          </w:p>
          <w:p>
            <w:pPr>
              <w:pStyle w:val="TableText"/>
              <w:ind w:left="51" w:right="112" w:firstLine="49"/>
              <w:spacing w:before="13" w:line="238" w:lineRule="auto"/>
              <w:rPr/>
            </w:pPr>
            <w:r>
              <w:rPr>
                <w:spacing w:val="-1"/>
              </w:rPr>
              <w:t>局科技部关于进一步提高科技型中小企业研发费用税前加</w:t>
            </w:r>
            <w:r>
              <w:rPr>
                <w:spacing w:val="16"/>
              </w:rPr>
              <w:t xml:space="preserve"> </w:t>
            </w:r>
            <w:r>
              <w:rPr/>
              <w:t>计扣除比例的公告》(财政部税务总局科技</w:t>
            </w:r>
            <w:r>
              <w:rPr>
                <w:spacing w:val="-1"/>
              </w:rPr>
              <w:t>部公告2022</w:t>
            </w:r>
          </w:p>
          <w:p>
            <w:pPr>
              <w:pStyle w:val="TableText"/>
              <w:ind w:left="11" w:right="276" w:firstLine="20"/>
              <w:spacing w:before="25" w:line="236" w:lineRule="auto"/>
              <w:rPr/>
            </w:pPr>
            <w:r>
              <w:rPr>
                <w:spacing w:val="-1"/>
              </w:rPr>
              <w:t>年第16号)、《财政部税务总局科技部关于加大支持科</w:t>
            </w:r>
            <w:r>
              <w:rPr>
                <w:spacing w:val="8"/>
              </w:rPr>
              <w:t xml:space="preserve">  </w:t>
            </w:r>
            <w:r>
              <w:rPr>
                <w:spacing w:val="-1"/>
              </w:rPr>
              <w:t>技创新税前扣除力度的公告》(财政部税务总局科技部公</w:t>
            </w:r>
            <w:r>
              <w:rPr>
                <w:spacing w:val="17"/>
              </w:rPr>
              <w:t xml:space="preserve"> </w:t>
            </w:r>
            <w:r>
              <w:rPr/>
              <w:t>告2022年第28号)同时废止</w:t>
            </w:r>
          </w:p>
        </w:tc>
        <w:tc>
          <w:tcPr>
            <w:tcW w:w="2118" w:type="dxa"/>
            <w:vAlign w:val="top"/>
          </w:tcPr>
          <w:p>
            <w:pPr>
              <w:pStyle w:val="TableText"/>
              <w:ind w:left="14" w:right="89" w:firstLine="60"/>
              <w:spacing w:before="195" w:line="223" w:lineRule="auto"/>
              <w:rPr/>
            </w:pPr>
            <w:r>
              <w:rPr>
                <w:spacing w:val="-1"/>
              </w:rPr>
              <w:t>财政部税务总局公告2023年第</w:t>
            </w:r>
            <w:r>
              <w:rPr>
                <w:spacing w:val="7"/>
              </w:rPr>
              <w:t xml:space="preserve"> </w:t>
            </w:r>
            <w:r>
              <w:rPr>
                <w:spacing w:val="-2"/>
              </w:rPr>
              <w:t>7号</w:t>
            </w:r>
          </w:p>
        </w:tc>
        <w:tc>
          <w:tcPr>
            <w:tcW w:w="919" w:type="dxa"/>
            <w:vAlign w:val="top"/>
          </w:tcPr>
          <w:p>
            <w:pPr>
              <w:pStyle w:val="TableText"/>
              <w:ind w:left="36" w:right="21" w:firstLine="20"/>
              <w:spacing w:before="197" w:line="221" w:lineRule="auto"/>
              <w:rPr/>
            </w:pPr>
            <w:r>
              <w:rPr>
                <w:spacing w:val="22"/>
              </w:rPr>
              <w:t>2023年1月</w:t>
            </w:r>
            <w:r>
              <w:rPr/>
              <w:t xml:space="preserve"> </w:t>
            </w:r>
            <w:r>
              <w:rPr>
                <w:spacing w:val="-4"/>
              </w:rPr>
              <w:t>1日起</w:t>
            </w:r>
          </w:p>
        </w:tc>
        <w:tc>
          <w:tcPr>
            <w:tcW w:w="859" w:type="dxa"/>
            <w:vAlign w:val="top"/>
          </w:tcPr>
          <w:p>
            <w:pPr>
              <w:pStyle w:val="TableText"/>
              <w:ind w:left="127"/>
              <w:spacing w:before="177" w:line="220" w:lineRule="auto"/>
              <w:rPr/>
            </w:pPr>
            <w:r>
              <w:rPr>
                <w:spacing w:val="-2"/>
              </w:rPr>
              <w:t>相关企业</w:t>
            </w:r>
          </w:p>
        </w:tc>
        <w:tc>
          <w:tcPr>
            <w:tcW w:w="1009" w:type="dxa"/>
            <w:vAlign w:val="top"/>
          </w:tcPr>
          <w:p>
            <w:pPr>
              <w:pStyle w:val="TableText"/>
              <w:ind w:left="279"/>
              <w:spacing w:before="187" w:line="219" w:lineRule="auto"/>
              <w:rPr/>
            </w:pPr>
            <w:r>
              <w:rPr>
                <w:spacing w:val="-2"/>
              </w:rPr>
              <w:t>所得税</w:t>
            </w:r>
          </w:p>
        </w:tc>
        <w:tc>
          <w:tcPr>
            <w:tcW w:w="464" w:type="dxa"/>
            <w:vAlign w:val="top"/>
          </w:tcPr>
          <w:p>
            <w:pPr>
              <w:pStyle w:val="TableText"/>
              <w:ind w:left="80"/>
              <w:spacing w:before="177" w:line="219" w:lineRule="auto"/>
              <w:rPr/>
            </w:pPr>
            <w:r>
              <w:rPr>
                <w:spacing w:val="-2"/>
              </w:rPr>
              <w:t>减征</w:t>
            </w:r>
          </w:p>
        </w:tc>
      </w:tr>
      <w:tr>
        <w:trPr>
          <w:trHeight w:val="1542" w:hRule="atLeast"/>
        </w:trPr>
        <w:tc>
          <w:tcPr>
            <w:tcW w:w="294" w:type="dxa"/>
            <w:vAlign w:val="top"/>
          </w:tcPr>
          <w:p>
            <w:pPr>
              <w:spacing w:line="344" w:lineRule="auto"/>
              <w:rPr>
                <w:rFonts w:ascii="Arial"/>
                <w:sz w:val="21"/>
              </w:rPr>
            </w:pPr>
            <w:r/>
          </w:p>
          <w:p>
            <w:pPr>
              <w:spacing w:line="345" w:lineRule="auto"/>
              <w:rPr>
                <w:rFonts w:ascii="Arial"/>
                <w:sz w:val="21"/>
              </w:rPr>
            </w:pPr>
            <w:r/>
          </w:p>
          <w:p>
            <w:pPr>
              <w:pStyle w:val="TableText"/>
              <w:ind w:left="65"/>
              <w:spacing w:before="48" w:line="184" w:lineRule="auto"/>
              <w:rPr/>
            </w:pPr>
            <w:r>
              <w:rPr>
                <w:spacing w:val="-5"/>
              </w:rPr>
              <w:t>11</w:t>
            </w:r>
          </w:p>
        </w:tc>
        <w:tc>
          <w:tcPr>
            <w:tcW w:w="3966" w:type="dxa"/>
            <w:vAlign w:val="top"/>
          </w:tcPr>
          <w:p>
            <w:pPr>
              <w:pStyle w:val="TableText"/>
              <w:ind w:left="21" w:right="43" w:firstLine="39"/>
              <w:spacing w:before="182"/>
              <w:jc w:val="both"/>
              <w:rPr/>
            </w:pPr>
            <w:r>
              <w:rPr/>
              <w:t>对企业出资给非营利性科学技术研究开发机</w:t>
            </w:r>
            <w:r>
              <w:rPr>
                <w:spacing w:val="-1"/>
              </w:rPr>
              <w:t>构(科学技术研</w:t>
            </w:r>
            <w:r>
              <w:rPr/>
              <w:t xml:space="preserve"> </w:t>
            </w:r>
            <w:r>
              <w:rPr>
                <w:spacing w:val="1"/>
              </w:rPr>
              <w:t>究开发机构以下简称科研机构)、高等学校和政府性自然科</w:t>
            </w:r>
            <w:r>
              <w:rPr/>
              <w:t xml:space="preserve"> </w:t>
            </w:r>
            <w:r>
              <w:rPr>
                <w:spacing w:val="-1"/>
              </w:rPr>
              <w:t>学基金用于基础研究的支出，在计算应纳税所得额时可按实</w:t>
            </w:r>
            <w:r>
              <w:rPr>
                <w:spacing w:val="16"/>
              </w:rPr>
              <w:t xml:space="preserve"> </w:t>
            </w:r>
            <w:r>
              <w:rPr/>
              <w:t>际发生额在税前扣除，并可按100%在税</w:t>
            </w:r>
            <w:r>
              <w:rPr>
                <w:spacing w:val="-1"/>
              </w:rPr>
              <w:t>前加计扣除。</w:t>
            </w:r>
          </w:p>
          <w:p>
            <w:pPr>
              <w:pStyle w:val="TableText"/>
              <w:ind w:left="41" w:right="40" w:hanging="20"/>
              <w:spacing w:before="20" w:line="239" w:lineRule="auto"/>
              <w:rPr/>
            </w:pPr>
            <w:r>
              <w:rPr/>
              <w:t>对非营利性科研机构、高等学校接收企业、</w:t>
            </w:r>
            <w:r>
              <w:rPr>
                <w:spacing w:val="-1"/>
              </w:rPr>
              <w:t>个人和其他组织</w:t>
            </w:r>
            <w:r>
              <w:rPr/>
              <w:t xml:space="preserve"> </w:t>
            </w:r>
            <w:r>
              <w:rPr>
                <w:spacing w:val="-1"/>
              </w:rPr>
              <w:t>机构基础研究资金收入，免征企业所得税</w:t>
            </w:r>
          </w:p>
        </w:tc>
        <w:tc>
          <w:tcPr>
            <w:tcW w:w="2118" w:type="dxa"/>
            <w:vAlign w:val="top"/>
          </w:tcPr>
          <w:p>
            <w:pPr>
              <w:pStyle w:val="TableText"/>
              <w:ind w:left="34" w:right="89" w:firstLine="40"/>
              <w:spacing w:before="184" w:line="232" w:lineRule="auto"/>
              <w:jc w:val="both"/>
              <w:rPr/>
            </w:pPr>
            <w:r>
              <w:rPr>
                <w:spacing w:val="-1"/>
              </w:rPr>
              <w:t>财政部、税务总局《关于企业</w:t>
            </w:r>
            <w:r>
              <w:rPr>
                <w:spacing w:val="5"/>
              </w:rPr>
              <w:t xml:space="preserve"> </w:t>
            </w:r>
            <w:r>
              <w:rPr>
                <w:spacing w:val="2"/>
              </w:rPr>
              <w:t>投入基础研究税收优惠政策的</w:t>
            </w:r>
            <w:r>
              <w:rPr>
                <w:spacing w:val="5"/>
              </w:rPr>
              <w:t xml:space="preserve"> </w:t>
            </w:r>
            <w:r>
              <w:rPr/>
              <w:t>公告》2022年第32号公告</w:t>
            </w:r>
          </w:p>
        </w:tc>
        <w:tc>
          <w:tcPr>
            <w:tcW w:w="919" w:type="dxa"/>
            <w:vAlign w:val="top"/>
          </w:tcPr>
          <w:p>
            <w:pPr>
              <w:pStyle w:val="TableText"/>
              <w:ind w:left="26" w:right="36" w:firstLine="30"/>
              <w:spacing w:before="184" w:line="220" w:lineRule="auto"/>
              <w:rPr/>
            </w:pPr>
            <w:r>
              <w:rPr>
                <w:spacing w:val="20"/>
              </w:rPr>
              <w:t>自2022年1</w:t>
            </w:r>
            <w:r>
              <w:rPr/>
              <w:t xml:space="preserve"> </w:t>
            </w:r>
            <w:r>
              <w:rPr>
                <w:spacing w:val="-2"/>
              </w:rPr>
              <w:t>月1日起</w:t>
            </w:r>
          </w:p>
        </w:tc>
        <w:tc>
          <w:tcPr>
            <w:tcW w:w="859" w:type="dxa"/>
            <w:vAlign w:val="top"/>
          </w:tcPr>
          <w:p>
            <w:pPr>
              <w:pStyle w:val="TableText"/>
              <w:ind w:left="278"/>
              <w:spacing w:before="172" w:line="229" w:lineRule="auto"/>
              <w:rPr/>
            </w:pPr>
            <w:r>
              <w:rPr>
                <w:spacing w:val="-3"/>
              </w:rPr>
              <w:t>企业</w:t>
            </w:r>
          </w:p>
        </w:tc>
        <w:tc>
          <w:tcPr>
            <w:tcW w:w="1009" w:type="dxa"/>
            <w:vAlign w:val="top"/>
          </w:tcPr>
          <w:p>
            <w:pPr>
              <w:pStyle w:val="TableText"/>
              <w:ind w:left="128"/>
              <w:spacing w:before="184" w:line="219" w:lineRule="auto"/>
              <w:rPr/>
            </w:pPr>
            <w:r>
              <w:rPr>
                <w:spacing w:val="-2"/>
              </w:rPr>
              <w:t>企业所得税</w:t>
            </w:r>
          </w:p>
        </w:tc>
        <w:tc>
          <w:tcPr>
            <w:tcW w:w="464" w:type="dxa"/>
            <w:vAlign w:val="top"/>
          </w:tcPr>
          <w:p>
            <w:pPr>
              <w:pStyle w:val="TableText"/>
              <w:ind w:left="80"/>
              <w:spacing w:before="174"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pict>
          <v:shape id="_x0000_s44" style="position:absolute;margin-left:38.9997pt;margin-top:50.1534pt;mso-position-vertical-relative:page;mso-position-horizontal-relative:page;width:10.3pt;height:15.65pt;z-index:251696128;"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11"/>
                      <w:w w:val="80"/>
                    </w:rPr>
                    <w:t>古</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6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62" w:line="250"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2" w:line="252" w:lineRule="auto"/>
              <w:rPr/>
            </w:pPr>
            <w:r>
              <w:rPr>
                <w:spacing w:val="-3"/>
              </w:rPr>
              <w:t>政策</w:t>
            </w:r>
            <w:r>
              <w:rPr/>
              <w:t xml:space="preserve"> </w:t>
            </w:r>
            <w:r>
              <w:rPr>
                <w:spacing w:val="-4"/>
              </w:rPr>
              <w:t>形式</w:t>
            </w:r>
          </w:p>
        </w:tc>
      </w:tr>
      <w:tr>
        <w:trPr>
          <w:trHeight w:val="1487" w:hRule="atLeast"/>
        </w:trPr>
        <w:tc>
          <w:tcPr>
            <w:tcW w:w="294" w:type="dxa"/>
            <w:vAlign w:val="top"/>
          </w:tcPr>
          <w:p>
            <w:pPr>
              <w:spacing w:line="326" w:lineRule="auto"/>
              <w:rPr>
                <w:rFonts w:ascii="Arial"/>
                <w:sz w:val="21"/>
              </w:rPr>
            </w:pPr>
            <w:r/>
          </w:p>
          <w:p>
            <w:pPr>
              <w:spacing w:line="326" w:lineRule="auto"/>
              <w:rPr>
                <w:rFonts w:ascii="Arial"/>
                <w:sz w:val="21"/>
              </w:rPr>
            </w:pPr>
            <w:r/>
          </w:p>
          <w:p>
            <w:pPr>
              <w:pStyle w:val="TableText"/>
              <w:ind w:left="65"/>
              <w:spacing w:before="48" w:line="184" w:lineRule="auto"/>
              <w:rPr/>
            </w:pPr>
            <w:r>
              <w:rPr>
                <w:spacing w:val="-5"/>
              </w:rPr>
              <w:t>12</w:t>
            </w:r>
          </w:p>
        </w:tc>
        <w:tc>
          <w:tcPr>
            <w:tcW w:w="3966" w:type="dxa"/>
            <w:vAlign w:val="top"/>
          </w:tcPr>
          <w:p>
            <w:pPr>
              <w:pStyle w:val="TableText"/>
              <w:ind w:left="21" w:right="84" w:firstLine="39"/>
              <w:spacing w:before="96" w:line="233" w:lineRule="auto"/>
              <w:rPr/>
            </w:pPr>
            <w:r>
              <w:rPr>
                <w:spacing w:val="-1"/>
              </w:rPr>
              <w:t>一、对小型微利企业年应纳税所得额超过100万元但不超过</w:t>
            </w:r>
            <w:r>
              <w:rPr>
                <w:spacing w:val="11"/>
              </w:rPr>
              <w:t xml:space="preserve"> </w:t>
            </w:r>
            <w:r>
              <w:rPr>
                <w:spacing w:val="-1"/>
              </w:rPr>
              <w:t>300万元的部分，减按25%计入应纳税所得额，按20%的</w:t>
            </w:r>
          </w:p>
          <w:p>
            <w:pPr>
              <w:pStyle w:val="TableText"/>
              <w:ind w:left="31"/>
              <w:spacing w:before="12" w:line="219" w:lineRule="auto"/>
              <w:rPr/>
            </w:pPr>
            <w:r>
              <w:rPr>
                <w:spacing w:val="-1"/>
              </w:rPr>
              <w:t>税率缴纳企业所得税</w:t>
            </w:r>
          </w:p>
          <w:p>
            <w:pPr>
              <w:pStyle w:val="TableText"/>
              <w:ind w:left="51" w:right="43" w:hanging="30"/>
              <w:spacing w:before="29" w:line="234" w:lineRule="auto"/>
              <w:rPr/>
            </w:pPr>
            <w:r>
              <w:rPr>
                <w:spacing w:val="-1"/>
              </w:rPr>
              <w:t>二、本公告所称小型微利企业，是指从事国家非限制和禁止</w:t>
            </w:r>
            <w:r>
              <w:rPr>
                <w:spacing w:val="16"/>
              </w:rPr>
              <w:t xml:space="preserve"> </w:t>
            </w:r>
            <w:r>
              <w:rPr/>
              <w:t>行业，且同时符合年度应纳税所得额不超过300万元、从业 </w:t>
            </w:r>
            <w:r>
              <w:rPr/>
              <w:t>人数不超过300人、资产总额不超过500</w:t>
            </w:r>
            <w:r>
              <w:rPr>
                <w:spacing w:val="-1"/>
              </w:rPr>
              <w:t>0万元等三个条件</w:t>
            </w:r>
          </w:p>
          <w:p>
            <w:pPr>
              <w:pStyle w:val="TableText"/>
              <w:ind w:left="11"/>
              <w:spacing w:before="14" w:line="222" w:lineRule="auto"/>
              <w:rPr/>
            </w:pPr>
            <w:r>
              <w:rPr>
                <w:spacing w:val="-1"/>
              </w:rPr>
              <w:t>的企业。</w:t>
            </w:r>
          </w:p>
        </w:tc>
        <w:tc>
          <w:tcPr>
            <w:tcW w:w="2118" w:type="dxa"/>
            <w:vAlign w:val="top"/>
          </w:tcPr>
          <w:p>
            <w:pPr>
              <w:pStyle w:val="TableText"/>
              <w:ind w:left="75" w:right="89"/>
              <w:spacing w:before="78" w:line="244" w:lineRule="auto"/>
              <w:jc w:val="both"/>
              <w:rPr/>
            </w:pPr>
            <w:r>
              <w:rPr>
                <w:spacing w:val="-1"/>
              </w:rPr>
              <w:t>财政部、税务总局《关于进一</w:t>
            </w:r>
            <w:r>
              <w:rPr>
                <w:spacing w:val="5"/>
              </w:rPr>
              <w:t xml:space="preserve"> </w:t>
            </w:r>
            <w:r>
              <w:rPr>
                <w:spacing w:val="-1"/>
              </w:rPr>
              <w:t>步实施小微企业所得税优惠政</w:t>
            </w:r>
            <w:r>
              <w:rPr>
                <w:spacing w:val="4"/>
              </w:rPr>
              <w:t xml:space="preserve"> </w:t>
            </w:r>
            <w:r>
              <w:rPr>
                <w:spacing w:val="-1"/>
              </w:rPr>
              <w:t>策的公告》2022年第13号公告</w:t>
            </w:r>
          </w:p>
        </w:tc>
        <w:tc>
          <w:tcPr>
            <w:tcW w:w="919" w:type="dxa"/>
            <w:vAlign w:val="top"/>
          </w:tcPr>
          <w:p>
            <w:pPr>
              <w:pStyle w:val="TableText"/>
              <w:ind w:left="16" w:right="1" w:firstLine="20"/>
              <w:spacing w:before="86" w:line="239" w:lineRule="auto"/>
              <w:rPr/>
            </w:pPr>
            <w:r>
              <w:rPr>
                <w:spacing w:val="17"/>
                <w:w w:val="111"/>
              </w:rPr>
              <w:t>2022年1月</w:t>
            </w:r>
            <w:r>
              <w:rPr>
                <w:spacing w:val="1"/>
              </w:rPr>
              <w:t xml:space="preserve"> </w:t>
            </w:r>
            <w:r>
              <w:rPr>
                <w:spacing w:val="7"/>
              </w:rPr>
              <w:t>1日</w:t>
            </w:r>
            <w:r>
              <w:rPr>
                <w:spacing w:val="15"/>
              </w:rPr>
              <w:t xml:space="preserve"> </w:t>
            </w:r>
            <w:r>
              <w:rPr>
                <w:spacing w:val="7"/>
              </w:rPr>
              <w:t>至2024</w:t>
            </w:r>
            <w:r>
              <w:rPr/>
              <w:t xml:space="preserve">  </w:t>
            </w:r>
            <w:r>
              <w:rPr>
                <w:spacing w:val="-8"/>
              </w:rPr>
              <w:t>年 1</w:t>
            </w:r>
            <w:r>
              <w:rPr>
                <w:spacing w:val="-10"/>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59" w:type="dxa"/>
            <w:vAlign w:val="top"/>
          </w:tcPr>
          <w:p>
            <w:pPr>
              <w:pStyle w:val="TableText"/>
              <w:ind w:left="348" w:right="60" w:hanging="300"/>
              <w:spacing w:before="86" w:line="227" w:lineRule="auto"/>
              <w:rPr/>
            </w:pPr>
            <w:r>
              <w:rPr>
                <w:spacing w:val="-2"/>
              </w:rPr>
              <w:t>小型微利企</w:t>
            </w:r>
            <w:r>
              <w:rPr/>
              <w:t xml:space="preserve"> </w:t>
            </w:r>
            <w:r>
              <w:rPr/>
              <w:t>业</w:t>
            </w:r>
          </w:p>
        </w:tc>
        <w:tc>
          <w:tcPr>
            <w:tcW w:w="1009" w:type="dxa"/>
            <w:vAlign w:val="top"/>
          </w:tcPr>
          <w:p>
            <w:pPr>
              <w:pStyle w:val="TableText"/>
              <w:ind w:left="128"/>
              <w:spacing w:before="87" w:line="219" w:lineRule="auto"/>
              <w:rPr/>
            </w:pPr>
            <w:r>
              <w:rPr>
                <w:spacing w:val="-2"/>
              </w:rPr>
              <w:t>企业所得税</w:t>
            </w:r>
          </w:p>
        </w:tc>
        <w:tc>
          <w:tcPr>
            <w:tcW w:w="464" w:type="dxa"/>
            <w:vAlign w:val="top"/>
          </w:tcPr>
          <w:p>
            <w:pPr>
              <w:pStyle w:val="TableText"/>
              <w:ind w:left="80"/>
              <w:spacing w:before="77" w:line="219" w:lineRule="auto"/>
              <w:rPr/>
            </w:pPr>
            <w:r>
              <w:rPr>
                <w:spacing w:val="-2"/>
              </w:rPr>
              <w:t>减征</w:t>
            </w:r>
          </w:p>
        </w:tc>
      </w:tr>
      <w:tr>
        <w:trPr>
          <w:trHeight w:val="4258" w:hRule="atLeast"/>
        </w:trPr>
        <w:tc>
          <w:tcPr>
            <w:tcW w:w="29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65"/>
              <w:spacing w:before="49" w:line="184" w:lineRule="auto"/>
              <w:rPr/>
            </w:pPr>
            <w:r>
              <w:rPr>
                <w:spacing w:val="-5"/>
              </w:rPr>
              <w:t>13</w:t>
            </w:r>
          </w:p>
        </w:tc>
        <w:tc>
          <w:tcPr>
            <w:tcW w:w="3966" w:type="dxa"/>
            <w:vAlign w:val="top"/>
          </w:tcPr>
          <w:p>
            <w:pPr>
              <w:pStyle w:val="TableText"/>
              <w:ind w:left="130" w:right="48" w:hanging="109"/>
              <w:spacing w:before="79" w:line="218" w:lineRule="auto"/>
              <w:rPr/>
            </w:pPr>
            <w:r>
              <w:rPr>
                <w:spacing w:val="-1"/>
              </w:rPr>
              <w:t>一、符合财政部、税务总局规定的小型微利企业条件的企业</w:t>
            </w:r>
            <w:r>
              <w:rPr>
                <w:spacing w:val="11"/>
              </w:rPr>
              <w:t xml:space="preserve"> </w:t>
            </w:r>
            <w:r>
              <w:rPr/>
              <w:t>(以下简称小型微利企业),按照相关政策规定享受小型微</w:t>
            </w:r>
          </w:p>
          <w:p>
            <w:pPr>
              <w:pStyle w:val="TableText"/>
              <w:ind w:left="41"/>
              <w:spacing w:before="46" w:line="219" w:lineRule="auto"/>
              <w:rPr/>
            </w:pPr>
            <w:r>
              <w:rPr>
                <w:spacing w:val="-1"/>
              </w:rPr>
              <w:t>利企业所得税优惠政策</w:t>
            </w:r>
          </w:p>
          <w:p>
            <w:pPr>
              <w:pStyle w:val="TableText"/>
              <w:ind w:left="21" w:right="43"/>
              <w:spacing w:before="21" w:line="233" w:lineRule="auto"/>
              <w:rPr/>
            </w:pPr>
            <w:r>
              <w:rPr>
                <w:spacing w:val="-1"/>
              </w:rPr>
              <w:t>二、小型微利企业无论按查账征收方式或核定征收方式缴纳</w:t>
            </w:r>
            <w:r>
              <w:rPr>
                <w:spacing w:val="16"/>
              </w:rPr>
              <w:t xml:space="preserve"> </w:t>
            </w:r>
            <w:r>
              <w:rPr>
                <w:spacing w:val="-1"/>
              </w:rPr>
              <w:t>企业所得税，均可享受小型微利企业所得税优惠政策</w:t>
            </w:r>
          </w:p>
          <w:p>
            <w:pPr>
              <w:pStyle w:val="TableText"/>
              <w:ind w:left="21" w:firstLine="9"/>
              <w:spacing w:before="12" w:line="241" w:lineRule="auto"/>
              <w:jc w:val="both"/>
              <w:rPr/>
            </w:pPr>
            <w:r>
              <w:rPr>
                <w:spacing w:val="-5"/>
              </w:rPr>
              <w:t>四、小型微利企业预缴企业所得税时，资产总额、从业人数、</w:t>
            </w:r>
            <w:r>
              <w:rPr>
                <w:spacing w:val="9"/>
              </w:rPr>
              <w:t xml:space="preserve"> </w:t>
            </w:r>
            <w:r>
              <w:rPr>
                <w:spacing w:val="-4"/>
              </w:rPr>
              <w:t>年度应纳税所得额指标，暂按当年度截至本期预缴申报所属  </w:t>
            </w:r>
            <w:r>
              <w:rPr>
                <w:spacing w:val="-4"/>
              </w:rPr>
              <w:t>期末的情况进行判断。</w:t>
            </w:r>
          </w:p>
          <w:p>
            <w:pPr>
              <w:pStyle w:val="TableText"/>
              <w:ind w:left="21" w:right="20"/>
              <w:spacing w:before="21"/>
              <w:jc w:val="both"/>
              <w:rPr/>
            </w:pPr>
            <w:r>
              <w:rPr>
                <w:spacing w:val="-1"/>
              </w:rPr>
              <w:t>五、原不符合小型微利企业条件的企业，在年度中间预缴企</w:t>
            </w:r>
            <w:r>
              <w:rPr>
                <w:spacing w:val="16"/>
              </w:rPr>
              <w:t xml:space="preserve"> </w:t>
            </w:r>
            <w:r>
              <w:rPr/>
              <w:t>业所得税时，按照相关政策标准判断符合小</w:t>
            </w:r>
            <w:r>
              <w:rPr>
                <w:spacing w:val="-1"/>
              </w:rPr>
              <w:t>型微利企业条件</w:t>
            </w:r>
            <w:r>
              <w:rPr/>
              <w:t xml:space="preserve"> </w:t>
            </w:r>
            <w:r>
              <w:rPr/>
              <w:t>的，应按照截至本期预缴申报所属期末的累计情况，计算减</w:t>
            </w:r>
            <w:r>
              <w:rPr>
                <w:spacing w:val="6"/>
              </w:rPr>
              <w:t xml:space="preserve"> </w:t>
            </w:r>
            <w:r>
              <w:rPr/>
              <w:t>免税额。当年度此前期间如因不符合小型微利企业条件而多</w:t>
            </w:r>
            <w:r>
              <w:rPr>
                <w:spacing w:val="13"/>
              </w:rPr>
              <w:t xml:space="preserve"> </w:t>
            </w:r>
            <w:r>
              <w:rPr>
                <w:spacing w:val="-1"/>
              </w:rPr>
              <w:t>预缴的企业所得税税款，可在以后季度应预缴的企业所得税</w:t>
            </w:r>
            <w:r>
              <w:rPr>
                <w:spacing w:val="17"/>
              </w:rPr>
              <w:t xml:space="preserve"> </w:t>
            </w:r>
            <w:r>
              <w:rPr>
                <w:spacing w:val="-1"/>
              </w:rPr>
              <w:t>税款中抵减。</w:t>
            </w:r>
          </w:p>
          <w:p>
            <w:pPr>
              <w:pStyle w:val="TableText"/>
              <w:ind w:left="21" w:right="20"/>
              <w:spacing w:before="40" w:line="233" w:lineRule="auto"/>
              <w:jc w:val="both"/>
              <w:rPr/>
            </w:pPr>
            <w:r>
              <w:rPr/>
              <w:t>六、企业预缴企业所得税时享受了小型微利企业所得税优惠</w:t>
            </w:r>
            <w:r>
              <w:rPr>
                <w:spacing w:val="13"/>
              </w:rPr>
              <w:t xml:space="preserve"> </w:t>
            </w:r>
            <w:r>
              <w:rPr/>
              <w:t>政策，但在汇算清缴时发现不符合相关政策</w:t>
            </w:r>
            <w:r>
              <w:rPr>
                <w:spacing w:val="-1"/>
              </w:rPr>
              <w:t>标准的，应当按</w:t>
            </w:r>
            <w:r>
              <w:rPr/>
              <w:t xml:space="preserve"> </w:t>
            </w:r>
            <w:r>
              <w:rPr>
                <w:spacing w:val="-1"/>
              </w:rPr>
              <w:t>照规定补缴企业所得税税款</w:t>
            </w:r>
          </w:p>
          <w:p>
            <w:pPr>
              <w:pStyle w:val="TableText"/>
              <w:ind w:left="21" w:firstLine="19"/>
              <w:spacing w:before="23" w:line="236" w:lineRule="auto"/>
              <w:jc w:val="both"/>
              <w:rPr/>
            </w:pPr>
            <w:r>
              <w:rPr>
                <w:spacing w:val="-6"/>
              </w:rPr>
              <w:t>七、小型微利企业所得税统一实行按季度预缴。按月度预缴企</w:t>
            </w:r>
            <w:r>
              <w:rPr>
                <w:spacing w:val="12"/>
              </w:rPr>
              <w:t xml:space="preserve"> </w:t>
            </w:r>
            <w:r>
              <w:rPr>
                <w:spacing w:val="-1"/>
              </w:rPr>
              <w:t>业所得税的企业，在当年度4月、7月、10月预缴申报时，若</w:t>
            </w:r>
            <w:r>
              <w:rPr>
                <w:spacing w:val="7"/>
              </w:rPr>
              <w:t xml:space="preserve"> </w:t>
            </w:r>
            <w:r>
              <w:rPr>
                <w:spacing w:val="-5"/>
              </w:rPr>
              <w:t>按相关政策标准判断符合小型微利企业条件的，下一个预缴申</w:t>
            </w:r>
            <w:r>
              <w:rPr>
                <w:spacing w:val="18"/>
                <w:w w:val="101"/>
              </w:rPr>
              <w:t xml:space="preserve"> </w:t>
            </w:r>
            <w:r>
              <w:rPr>
                <w:spacing w:val="-9"/>
              </w:rPr>
              <w:t>报期起调整为按季度预缴申报，</w:t>
            </w:r>
            <w:r>
              <w:rPr>
                <w:spacing w:val="43"/>
                <w:w w:val="101"/>
              </w:rPr>
              <w:t xml:space="preserve"> </w:t>
            </w:r>
            <w:r>
              <w:rPr>
                <w:spacing w:val="-9"/>
              </w:rPr>
              <w:t>一经调整，当年度内不再变更</w:t>
            </w:r>
          </w:p>
        </w:tc>
        <w:tc>
          <w:tcPr>
            <w:tcW w:w="2118" w:type="dxa"/>
            <w:vAlign w:val="top"/>
          </w:tcPr>
          <w:p>
            <w:pPr>
              <w:pStyle w:val="TableText"/>
              <w:ind w:left="34" w:right="71" w:firstLine="40"/>
              <w:spacing w:before="80" w:line="232" w:lineRule="auto"/>
              <w:jc w:val="both"/>
              <w:rPr/>
            </w:pPr>
            <w:r>
              <w:rPr/>
              <w:t>国家税务总局《关于小型微利</w:t>
            </w:r>
            <w:r>
              <w:rPr>
                <w:spacing w:val="10"/>
              </w:rPr>
              <w:t xml:space="preserve"> </w:t>
            </w:r>
            <w:r>
              <w:rPr>
                <w:spacing w:val="2"/>
              </w:rPr>
              <w:t>企业所得税优惠政策征管问题</w:t>
            </w:r>
            <w:r>
              <w:rPr>
                <w:spacing w:val="4"/>
              </w:rPr>
              <w:t xml:space="preserve"> </w:t>
            </w:r>
            <w:r>
              <w:rPr/>
              <w:t>的公告》2022年第5号公告</w:t>
            </w:r>
          </w:p>
        </w:tc>
        <w:tc>
          <w:tcPr>
            <w:tcW w:w="919" w:type="dxa"/>
            <w:vAlign w:val="top"/>
          </w:tcPr>
          <w:p>
            <w:pPr>
              <w:pStyle w:val="TableText"/>
              <w:ind w:left="26" w:right="1" w:firstLine="10"/>
              <w:spacing w:before="80" w:line="227" w:lineRule="auto"/>
              <w:rPr/>
            </w:pPr>
            <w:r>
              <w:rPr>
                <w:spacing w:val="17"/>
                <w:w w:val="111"/>
              </w:rPr>
              <w:t>2022年1月</w:t>
            </w:r>
            <w:r>
              <w:rPr>
                <w:spacing w:val="1"/>
              </w:rPr>
              <w:t xml:space="preserve"> </w:t>
            </w:r>
            <w:r>
              <w:rPr>
                <w:spacing w:val="-4"/>
              </w:rPr>
              <w:t>1日起</w:t>
            </w:r>
          </w:p>
        </w:tc>
        <w:tc>
          <w:tcPr>
            <w:tcW w:w="859" w:type="dxa"/>
            <w:vAlign w:val="top"/>
          </w:tcPr>
          <w:p>
            <w:pPr>
              <w:pStyle w:val="TableText"/>
              <w:ind w:left="348" w:right="60" w:hanging="300"/>
              <w:spacing w:before="69" w:line="227" w:lineRule="auto"/>
              <w:rPr/>
            </w:pPr>
            <w:r>
              <w:rPr>
                <w:spacing w:val="-2"/>
              </w:rPr>
              <w:t>小型微利企</w:t>
            </w:r>
            <w:r>
              <w:rPr/>
              <w:t xml:space="preserve"> </w:t>
            </w:r>
            <w:r>
              <w:rPr/>
              <w:t>业</w:t>
            </w:r>
          </w:p>
        </w:tc>
        <w:tc>
          <w:tcPr>
            <w:tcW w:w="1009" w:type="dxa"/>
            <w:vAlign w:val="top"/>
          </w:tcPr>
          <w:p>
            <w:pPr>
              <w:pStyle w:val="TableText"/>
              <w:ind w:left="128"/>
              <w:spacing w:before="70" w:line="219" w:lineRule="auto"/>
              <w:rPr/>
            </w:pPr>
            <w:r>
              <w:rPr>
                <w:spacing w:val="-2"/>
              </w:rPr>
              <w:t>企业所得税</w:t>
            </w:r>
          </w:p>
        </w:tc>
        <w:tc>
          <w:tcPr>
            <w:tcW w:w="464" w:type="dxa"/>
            <w:vAlign w:val="top"/>
          </w:tcPr>
          <w:p>
            <w:pPr>
              <w:pStyle w:val="TableText"/>
              <w:ind w:left="80"/>
              <w:spacing w:before="50"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pict>
          <v:shape id="_x0000_s46" style="position:absolute;margin-left:38.9997pt;margin-top:346.948pt;mso-position-vertical-relative:page;mso-position-horizontal-relative:page;width:10.45pt;height:15.55pt;z-index:251697152;" o:allowincell="f" filled="false" stroked="false" type="#_x0000_t202">
            <v:fill on="false"/>
            <v:stroke on="false"/>
            <v:path/>
            <v:imagedata o:title=""/>
            <o:lock v:ext="edit" aspectratio="false"/>
            <v:textbox inset="0mm,0mm,0mm,0mm">
              <w:txbxContent>
                <w:p>
                  <w:pPr>
                    <w:spacing w:before="20" w:line="237" w:lineRule="auto"/>
                    <w:jc w:val="right"/>
                    <w:rPr>
                      <w:rFonts w:ascii="SimSun" w:hAnsi="SimSun" w:eastAsia="SimSun" w:cs="SimSun"/>
                      <w:sz w:val="21"/>
                      <w:szCs w:val="21"/>
                    </w:rPr>
                  </w:pPr>
                  <w:r>
                    <w:rPr>
                      <w:rFonts w:ascii="SimSun" w:hAnsi="SimSun" w:eastAsia="SimSun" w:cs="SimSun"/>
                      <w:sz w:val="21"/>
                      <w:szCs w:val="21"/>
                      <w:spacing w:val="-15"/>
                      <w:w w:val="87"/>
                    </w:rPr>
                    <w:t>土</w:t>
                  </w:r>
                </w:p>
              </w:txbxContent>
            </v:textbox>
          </v:shape>
        </w:pict>
      </w:r>
      <w:r/>
    </w:p>
    <w:p>
      <w:pPr>
        <w:spacing w:before="51"/>
        <w:rPr/>
      </w:pPr>
      <w:r/>
    </w:p>
    <w:tbl>
      <w:tblPr>
        <w:tblStyle w:val="TableNormal"/>
        <w:tblW w:w="9629" w:type="dxa"/>
        <w:tblInd w:w="3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2" w:line="252" w:lineRule="auto"/>
              <w:rPr/>
            </w:pPr>
            <w:r>
              <w:rPr>
                <w:spacing w:val="-3"/>
              </w:rPr>
              <w:t>政策</w:t>
            </w:r>
            <w:r>
              <w:rPr/>
              <w:t xml:space="preserve"> </w:t>
            </w:r>
            <w:r>
              <w:rPr>
                <w:spacing w:val="-4"/>
              </w:rPr>
              <w:t>形式</w:t>
            </w:r>
          </w:p>
        </w:tc>
      </w:tr>
      <w:tr>
        <w:trPr>
          <w:trHeight w:val="978" w:hRule="atLeast"/>
        </w:trPr>
        <w:tc>
          <w:tcPr>
            <w:tcW w:w="284" w:type="dxa"/>
            <w:vAlign w:val="top"/>
          </w:tcPr>
          <w:p>
            <w:pPr>
              <w:spacing w:line="403" w:lineRule="auto"/>
              <w:rPr>
                <w:rFonts w:ascii="Arial"/>
                <w:sz w:val="21"/>
              </w:rPr>
            </w:pPr>
            <w:r/>
          </w:p>
          <w:p>
            <w:pPr>
              <w:pStyle w:val="TableText"/>
              <w:ind w:left="55"/>
              <w:spacing w:before="49" w:line="184" w:lineRule="auto"/>
              <w:rPr/>
            </w:pPr>
            <w:r>
              <w:rPr>
                <w:spacing w:val="-5"/>
              </w:rPr>
              <w:t>14</w:t>
            </w:r>
          </w:p>
        </w:tc>
        <w:tc>
          <w:tcPr>
            <w:tcW w:w="3956" w:type="dxa"/>
            <w:vAlign w:val="top"/>
          </w:tcPr>
          <w:p>
            <w:pPr>
              <w:pStyle w:val="TableText"/>
              <w:ind w:left="21"/>
              <w:spacing w:before="137" w:line="219" w:lineRule="auto"/>
              <w:rPr/>
            </w:pPr>
            <w:r>
              <w:rPr/>
              <w:t>对设在西部地区的鼓励类产业企业减按15</w:t>
            </w:r>
            <w:r>
              <w:rPr>
                <w:spacing w:val="-1"/>
              </w:rPr>
              <w:t>%的税率征收企</w:t>
            </w:r>
          </w:p>
          <w:p>
            <w:pPr>
              <w:pStyle w:val="TableText"/>
              <w:ind w:left="21" w:right="30"/>
              <w:spacing w:before="22" w:line="237" w:lineRule="auto"/>
              <w:rPr/>
            </w:pPr>
            <w:r>
              <w:rPr/>
              <w:t>业所得税。本条所称鼓励类产业企业是指以</w:t>
            </w:r>
            <w:r>
              <w:rPr>
                <w:spacing w:val="-1"/>
              </w:rPr>
              <w:t>《西部地区鼓励</w:t>
            </w:r>
            <w:r>
              <w:rPr/>
              <w:t xml:space="preserve"> </w:t>
            </w:r>
            <w:r>
              <w:rPr/>
              <w:t>类产业目录》中规定的产业项目为主营业务</w:t>
            </w:r>
            <w:r>
              <w:rPr>
                <w:spacing w:val="-1"/>
              </w:rPr>
              <w:t>，且其主营业务</w:t>
            </w:r>
            <w:r>
              <w:rPr/>
              <w:t xml:space="preserve"> </w:t>
            </w:r>
            <w:r>
              <w:rPr>
                <w:spacing w:val="-1"/>
              </w:rPr>
              <w:t>收入占企业收入总额60%以上的企业</w:t>
            </w:r>
          </w:p>
        </w:tc>
        <w:tc>
          <w:tcPr>
            <w:tcW w:w="2158" w:type="dxa"/>
            <w:vAlign w:val="top"/>
          </w:tcPr>
          <w:p>
            <w:pPr>
              <w:pStyle w:val="TableText"/>
              <w:ind w:left="34" w:right="109" w:firstLine="60"/>
              <w:spacing w:before="135" w:line="236" w:lineRule="auto"/>
              <w:jc w:val="both"/>
              <w:rPr/>
            </w:pPr>
            <w:r>
              <w:rPr>
                <w:spacing w:val="-1"/>
              </w:rPr>
              <w:t>财政部、税务总局、国家发展</w:t>
            </w:r>
            <w:r>
              <w:rPr>
                <w:spacing w:val="5"/>
              </w:rPr>
              <w:t xml:space="preserve"> </w:t>
            </w:r>
            <w:r>
              <w:rPr>
                <w:spacing w:val="3"/>
              </w:rPr>
              <w:t>改革委《关于延续西部大开发</w:t>
            </w:r>
            <w:r>
              <w:rPr>
                <w:spacing w:val="8"/>
              </w:rPr>
              <w:t xml:space="preserve"> </w:t>
            </w:r>
            <w:r>
              <w:rPr>
                <w:spacing w:val="3"/>
              </w:rPr>
              <w:t>企业所得税政策的公告》2020</w:t>
            </w:r>
            <w:r>
              <w:rPr>
                <w:spacing w:val="5"/>
              </w:rPr>
              <w:t xml:space="preserve"> </w:t>
            </w:r>
            <w:r>
              <w:rPr>
                <w:spacing w:val="-1"/>
              </w:rPr>
              <w:t>年第23号公告</w:t>
            </w:r>
          </w:p>
        </w:tc>
        <w:tc>
          <w:tcPr>
            <w:tcW w:w="889" w:type="dxa"/>
            <w:vAlign w:val="top"/>
          </w:tcPr>
          <w:p>
            <w:pPr>
              <w:pStyle w:val="TableText"/>
              <w:ind w:left="6" w:right="2" w:firstLine="20"/>
              <w:spacing w:before="138" w:line="239" w:lineRule="auto"/>
              <w:jc w:val="both"/>
              <w:rPr/>
            </w:pPr>
            <w:r>
              <w:rPr>
                <w:spacing w:val="-12"/>
              </w:rPr>
              <w:t>自</w:t>
            </w:r>
            <w:r>
              <w:rPr>
                <w:spacing w:val="-16"/>
              </w:rPr>
              <w:t xml:space="preserve"> </w:t>
            </w:r>
            <w:r>
              <w:rPr>
                <w:spacing w:val="-12"/>
              </w:rPr>
              <w:t>2</w:t>
            </w:r>
            <w:r>
              <w:rPr>
                <w:spacing w:val="-17"/>
              </w:rPr>
              <w:t xml:space="preserve"> </w:t>
            </w:r>
            <w:r>
              <w:rPr>
                <w:spacing w:val="-12"/>
              </w:rPr>
              <w:t>0</w:t>
            </w:r>
            <w:r>
              <w:rPr>
                <w:spacing w:val="-16"/>
              </w:rPr>
              <w:t xml:space="preserve"> </w:t>
            </w:r>
            <w:r>
              <w:rPr>
                <w:spacing w:val="-12"/>
              </w:rPr>
              <w:t>2 1</w:t>
            </w:r>
            <w:r>
              <w:rPr>
                <w:spacing w:val="-17"/>
              </w:rPr>
              <w:t xml:space="preserve"> </w:t>
            </w:r>
            <w:r>
              <w:rPr>
                <w:spacing w:val="-12"/>
              </w:rPr>
              <w:t>年</w:t>
            </w:r>
            <w:r>
              <w:rPr/>
              <w:t xml:space="preserve"> </w:t>
            </w:r>
            <w:r>
              <w:rPr>
                <w:spacing w:val="-13"/>
              </w:rPr>
              <w:t>1</w:t>
            </w:r>
            <w:r>
              <w:rPr>
                <w:spacing w:val="-28"/>
              </w:rPr>
              <w:t xml:space="preserve"> </w:t>
            </w:r>
            <w:r>
              <w:rPr>
                <w:spacing w:val="-13"/>
              </w:rPr>
              <w:t>月</w:t>
            </w:r>
            <w:r>
              <w:rPr>
                <w:spacing w:val="-21"/>
              </w:rPr>
              <w:t xml:space="preserve"> </w:t>
            </w:r>
            <w:r>
              <w:rPr>
                <w:spacing w:val="-13"/>
              </w:rPr>
              <w:t>1 日</w:t>
            </w:r>
            <w:r>
              <w:rPr>
                <w:spacing w:val="4"/>
              </w:rPr>
              <w:t xml:space="preserve">  </w:t>
            </w:r>
            <w:r>
              <w:rPr>
                <w:spacing w:val="-13"/>
              </w:rPr>
              <w:t>至</w:t>
            </w:r>
            <w:r>
              <w:rPr/>
              <w:t xml:space="preserve"> </w:t>
            </w:r>
            <w:r>
              <w:rPr>
                <w:spacing w:val="-9"/>
              </w:rPr>
              <w:t>2</w:t>
            </w:r>
            <w:r>
              <w:rPr>
                <w:spacing w:val="-22"/>
              </w:rPr>
              <w:t xml:space="preserve"> </w:t>
            </w:r>
            <w:r>
              <w:rPr>
                <w:spacing w:val="-9"/>
              </w:rPr>
              <w:t>0</w:t>
            </w:r>
            <w:r>
              <w:rPr>
                <w:spacing w:val="-20"/>
              </w:rPr>
              <w:t xml:space="preserve"> </w:t>
            </w:r>
            <w:r>
              <w:rPr>
                <w:spacing w:val="-9"/>
              </w:rPr>
              <w:t>3</w:t>
            </w:r>
            <w:r>
              <w:rPr>
                <w:spacing w:val="-22"/>
              </w:rPr>
              <w:t xml:space="preserve"> </w:t>
            </w:r>
            <w:r>
              <w:rPr>
                <w:spacing w:val="-9"/>
              </w:rPr>
              <w:t>0</w:t>
            </w:r>
            <w:r>
              <w:rPr>
                <w:spacing w:val="-22"/>
              </w:rPr>
              <w:t xml:space="preserve"> </w:t>
            </w:r>
            <w:r>
              <w:rPr>
                <w:spacing w:val="-9"/>
              </w:rPr>
              <w:t>年</w:t>
            </w:r>
            <w:r>
              <w:rPr>
                <w:spacing w:val="-12"/>
              </w:rPr>
              <w:t xml:space="preserve"> </w:t>
            </w:r>
            <w:r>
              <w:rPr>
                <w:spacing w:val="-9"/>
              </w:rPr>
              <w:t>1</w:t>
            </w:r>
            <w:r>
              <w:rPr>
                <w:spacing w:val="-21"/>
              </w:rPr>
              <w:t xml:space="preserve"> </w:t>
            </w:r>
            <w:r>
              <w:rPr>
                <w:spacing w:val="-9"/>
              </w:rPr>
              <w:t>2</w:t>
            </w:r>
            <w:r>
              <w:rPr/>
              <w:t xml:space="preserve"> </w:t>
            </w:r>
            <w:r>
              <w:rPr>
                <w:spacing w:val="9"/>
              </w:rPr>
              <w:t>月31日</w:t>
            </w:r>
          </w:p>
        </w:tc>
        <w:tc>
          <w:tcPr>
            <w:tcW w:w="849" w:type="dxa"/>
            <w:vAlign w:val="top"/>
          </w:tcPr>
          <w:p>
            <w:pPr>
              <w:pStyle w:val="TableText"/>
              <w:ind w:left="48"/>
              <w:spacing w:before="137" w:line="219" w:lineRule="auto"/>
              <w:rPr/>
            </w:pPr>
            <w:r>
              <w:rPr>
                <w:spacing w:val="2"/>
              </w:rPr>
              <w:t>西部地区的</w:t>
            </w:r>
          </w:p>
          <w:p>
            <w:pPr>
              <w:pStyle w:val="TableText"/>
              <w:ind w:left="48"/>
              <w:spacing w:before="12" w:line="219" w:lineRule="auto"/>
              <w:rPr/>
            </w:pPr>
            <w:r>
              <w:rPr>
                <w:spacing w:val="-2"/>
              </w:rPr>
              <w:t>鼓励类产业</w:t>
            </w:r>
          </w:p>
          <w:p>
            <w:pPr>
              <w:pStyle w:val="TableText"/>
              <w:ind w:left="267"/>
              <w:spacing w:before="30" w:line="229" w:lineRule="auto"/>
              <w:rPr/>
            </w:pPr>
            <w:r>
              <w:rPr>
                <w:spacing w:val="-3"/>
              </w:rPr>
              <w:t>企业</w:t>
            </w:r>
          </w:p>
        </w:tc>
        <w:tc>
          <w:tcPr>
            <w:tcW w:w="1029" w:type="dxa"/>
            <w:vAlign w:val="top"/>
          </w:tcPr>
          <w:p>
            <w:pPr>
              <w:pStyle w:val="TableText"/>
              <w:ind w:left="138"/>
              <w:spacing w:before="127" w:line="219" w:lineRule="auto"/>
              <w:rPr/>
            </w:pPr>
            <w:r>
              <w:rPr>
                <w:spacing w:val="-2"/>
              </w:rPr>
              <w:t>企业所得税</w:t>
            </w:r>
          </w:p>
        </w:tc>
        <w:tc>
          <w:tcPr>
            <w:tcW w:w="464" w:type="dxa"/>
            <w:vAlign w:val="top"/>
          </w:tcPr>
          <w:p>
            <w:pPr>
              <w:pStyle w:val="TableText"/>
              <w:ind w:left="80"/>
              <w:spacing w:before="127" w:line="219" w:lineRule="auto"/>
              <w:rPr/>
            </w:pPr>
            <w:r>
              <w:rPr>
                <w:spacing w:val="-2"/>
              </w:rPr>
              <w:t>减征</w:t>
            </w:r>
          </w:p>
        </w:tc>
      </w:tr>
      <w:tr>
        <w:trPr>
          <w:trHeight w:val="1168" w:hRule="atLeast"/>
        </w:trPr>
        <w:tc>
          <w:tcPr>
            <w:tcW w:w="284" w:type="dxa"/>
            <w:vAlign w:val="top"/>
          </w:tcPr>
          <w:p>
            <w:pPr>
              <w:spacing w:line="247" w:lineRule="auto"/>
              <w:rPr>
                <w:rFonts w:ascii="Arial"/>
                <w:sz w:val="21"/>
              </w:rPr>
            </w:pPr>
            <w:r/>
          </w:p>
          <w:p>
            <w:pPr>
              <w:spacing w:line="248" w:lineRule="auto"/>
              <w:rPr>
                <w:rFonts w:ascii="Arial"/>
                <w:sz w:val="21"/>
              </w:rPr>
            </w:pPr>
            <w:r/>
          </w:p>
          <w:p>
            <w:pPr>
              <w:pStyle w:val="TableText"/>
              <w:ind w:left="55"/>
              <w:spacing w:before="49" w:line="184" w:lineRule="auto"/>
              <w:rPr/>
            </w:pPr>
            <w:r>
              <w:rPr>
                <w:spacing w:val="-5"/>
              </w:rPr>
              <w:t>15</w:t>
            </w:r>
          </w:p>
        </w:tc>
        <w:tc>
          <w:tcPr>
            <w:tcW w:w="3956" w:type="dxa"/>
            <w:vAlign w:val="top"/>
          </w:tcPr>
          <w:p>
            <w:pPr>
              <w:pStyle w:val="TableText"/>
              <w:ind w:left="51"/>
              <w:spacing w:before="129" w:line="219" w:lineRule="auto"/>
              <w:rPr/>
            </w:pPr>
            <w:r>
              <w:rPr/>
              <w:t>自2019年1月1日至2023年12月31日，经营性文化事业</w:t>
            </w:r>
          </w:p>
          <w:p>
            <w:pPr>
              <w:pStyle w:val="TableText"/>
              <w:spacing w:before="22" w:line="219" w:lineRule="auto"/>
              <w:jc w:val="right"/>
              <w:rPr/>
            </w:pPr>
            <w:r>
              <w:rPr>
                <w:spacing w:val="-5"/>
              </w:rPr>
              <w:t>单位转制为企业，自转制注册之日起五年内免征企业所得税。</w:t>
            </w:r>
          </w:p>
        </w:tc>
        <w:tc>
          <w:tcPr>
            <w:tcW w:w="2158" w:type="dxa"/>
            <w:vAlign w:val="top"/>
          </w:tcPr>
          <w:p>
            <w:pPr>
              <w:pStyle w:val="TableText"/>
              <w:ind w:left="95" w:right="76"/>
              <w:spacing w:before="129" w:line="239" w:lineRule="auto"/>
              <w:jc w:val="both"/>
              <w:rPr/>
            </w:pPr>
            <w:r>
              <w:rPr>
                <w:spacing w:val="-1"/>
              </w:rPr>
              <w:t>财政部、税务总局、中央宣传</w:t>
            </w:r>
            <w:r>
              <w:rPr>
                <w:spacing w:val="5"/>
              </w:rPr>
              <w:t xml:space="preserve"> </w:t>
            </w:r>
            <w:r>
              <w:rPr>
                <w:spacing w:val="-1"/>
              </w:rPr>
              <w:t>部《关于继续实施文化体制改</w:t>
            </w:r>
            <w:r>
              <w:rPr>
                <w:spacing w:val="4"/>
              </w:rPr>
              <w:t xml:space="preserve"> </w:t>
            </w:r>
            <w:r>
              <w:rPr>
                <w:spacing w:val="-1"/>
              </w:rPr>
              <w:t>革中经营性文化事业单位转制</w:t>
            </w:r>
            <w:r>
              <w:rPr>
                <w:spacing w:val="5"/>
              </w:rPr>
              <w:t xml:space="preserve"> </w:t>
            </w:r>
            <w:r>
              <w:rPr>
                <w:spacing w:val="2"/>
              </w:rPr>
              <w:t>为企业若干税收政策的通知》</w:t>
            </w:r>
          </w:p>
          <w:p>
            <w:pPr>
              <w:pStyle w:val="TableText"/>
              <w:ind w:left="34"/>
              <w:spacing w:before="23" w:line="220" w:lineRule="auto"/>
              <w:rPr/>
            </w:pPr>
            <w:r>
              <w:rPr>
                <w:spacing w:val="-1"/>
              </w:rPr>
              <w:t>财税〔2019〕16号</w:t>
            </w:r>
          </w:p>
        </w:tc>
        <w:tc>
          <w:tcPr>
            <w:tcW w:w="889" w:type="dxa"/>
            <w:vAlign w:val="top"/>
          </w:tcPr>
          <w:p>
            <w:pPr>
              <w:pStyle w:val="TableText"/>
              <w:ind w:left="16"/>
              <w:spacing w:before="117" w:line="243" w:lineRule="auto"/>
              <w:jc w:val="both"/>
              <w:rPr/>
            </w:pPr>
            <w:r>
              <w:rPr>
                <w:spacing w:val="-14"/>
              </w:rPr>
              <w:t>自</w:t>
            </w:r>
            <w:r>
              <w:rPr>
                <w:spacing w:val="-9"/>
              </w:rPr>
              <w:t xml:space="preserve"> </w:t>
            </w:r>
            <w:r>
              <w:rPr>
                <w:spacing w:val="-14"/>
              </w:rPr>
              <w:t>2</w:t>
            </w:r>
            <w:r>
              <w:rPr>
                <w:spacing w:val="-13"/>
              </w:rPr>
              <w:t xml:space="preserve"> </w:t>
            </w:r>
            <w:r>
              <w:rPr>
                <w:spacing w:val="-14"/>
              </w:rPr>
              <w:t>0</w:t>
            </w:r>
            <w:r>
              <w:rPr>
                <w:spacing w:val="-4"/>
              </w:rPr>
              <w:t xml:space="preserve"> </w:t>
            </w:r>
            <w:r>
              <w:rPr>
                <w:spacing w:val="-14"/>
              </w:rPr>
              <w:t>1</w:t>
            </w:r>
            <w:r>
              <w:rPr>
                <w:spacing w:val="-13"/>
              </w:rPr>
              <w:t xml:space="preserve"> </w:t>
            </w:r>
            <w:r>
              <w:rPr>
                <w:spacing w:val="-14"/>
              </w:rPr>
              <w:t>9 年</w:t>
            </w:r>
            <w:r>
              <w:rPr/>
              <w:t xml:space="preserve"> </w:t>
            </w:r>
            <w:r>
              <w:rPr>
                <w:spacing w:val="-16"/>
              </w:rPr>
              <w:t>1</w:t>
            </w:r>
            <w:r>
              <w:rPr>
                <w:spacing w:val="-26"/>
              </w:rPr>
              <w:t xml:space="preserve"> </w:t>
            </w:r>
            <w:r>
              <w:rPr>
                <w:spacing w:val="-16"/>
              </w:rPr>
              <w:t>月</w:t>
            </w:r>
            <w:r>
              <w:rPr>
                <w:spacing w:val="-21"/>
              </w:rPr>
              <w:t xml:space="preserve"> </w:t>
            </w:r>
            <w:r>
              <w:rPr>
                <w:spacing w:val="-16"/>
              </w:rPr>
              <w:t>1 日</w:t>
            </w:r>
            <w:r>
              <w:rPr>
                <w:spacing w:val="3"/>
              </w:rPr>
              <w:t xml:space="preserve">  </w:t>
            </w:r>
            <w:r>
              <w:rPr>
                <w:spacing w:val="-16"/>
              </w:rPr>
              <w:t>至</w:t>
            </w:r>
            <w:r>
              <w:rPr>
                <w:spacing w:val="1"/>
              </w:rPr>
              <w:t xml:space="preserve"> </w:t>
            </w:r>
            <w:r>
              <w:rPr>
                <w:spacing w:val="-10"/>
              </w:rPr>
              <w:t>2</w:t>
            </w:r>
            <w:r>
              <w:rPr>
                <w:spacing w:val="-20"/>
              </w:rPr>
              <w:t xml:space="preserve"> </w:t>
            </w:r>
            <w:r>
              <w:rPr>
                <w:spacing w:val="-10"/>
              </w:rPr>
              <w:t>0</w:t>
            </w:r>
            <w:r>
              <w:rPr>
                <w:spacing w:val="-22"/>
              </w:rPr>
              <w:t xml:space="preserve"> </w:t>
            </w:r>
            <w:r>
              <w:rPr>
                <w:spacing w:val="-10"/>
              </w:rPr>
              <w:t>2</w:t>
            </w:r>
            <w:r>
              <w:rPr>
                <w:spacing w:val="-21"/>
              </w:rPr>
              <w:t xml:space="preserve"> </w:t>
            </w:r>
            <w:r>
              <w:rPr>
                <w:spacing w:val="-10"/>
              </w:rPr>
              <w:t>3</w:t>
            </w:r>
            <w:r>
              <w:rPr>
                <w:spacing w:val="-22"/>
              </w:rPr>
              <w:t xml:space="preserve"> </w:t>
            </w:r>
            <w:r>
              <w:rPr>
                <w:spacing w:val="-10"/>
              </w:rPr>
              <w:t>年</w:t>
            </w:r>
            <w:r>
              <w:rPr>
                <w:spacing w:val="-13"/>
              </w:rPr>
              <w:t xml:space="preserve"> </w:t>
            </w:r>
            <w:r>
              <w:rPr>
                <w:spacing w:val="-10"/>
              </w:rPr>
              <w:t>1</w:t>
            </w:r>
            <w:r>
              <w:rPr>
                <w:spacing w:val="-21"/>
              </w:rPr>
              <w:t xml:space="preserve"> </w:t>
            </w:r>
            <w:r>
              <w:rPr>
                <w:spacing w:val="-10"/>
              </w:rPr>
              <w:t>2</w:t>
            </w:r>
            <w:r>
              <w:rPr/>
              <w:t xml:space="preserve"> </w:t>
            </w:r>
            <w:r>
              <w:rPr>
                <w:spacing w:val="5"/>
              </w:rPr>
              <w:t>月31日</w:t>
            </w:r>
          </w:p>
        </w:tc>
        <w:tc>
          <w:tcPr>
            <w:tcW w:w="849" w:type="dxa"/>
            <w:vAlign w:val="top"/>
          </w:tcPr>
          <w:p>
            <w:pPr>
              <w:pStyle w:val="TableText"/>
              <w:ind w:left="48" w:right="32"/>
              <w:spacing w:before="120" w:line="233" w:lineRule="auto"/>
              <w:jc w:val="both"/>
              <w:rPr/>
            </w:pPr>
            <w:r>
              <w:rPr>
                <w:spacing w:val="-2"/>
              </w:rPr>
              <w:t>转制为企业</w:t>
            </w:r>
            <w:r>
              <w:rPr>
                <w:spacing w:val="2"/>
              </w:rPr>
              <w:t xml:space="preserve"> </w:t>
            </w:r>
            <w:r>
              <w:rPr>
                <w:spacing w:val="1"/>
              </w:rPr>
              <w:t>的经营性文</w:t>
            </w:r>
            <w:r>
              <w:rPr>
                <w:spacing w:val="2"/>
              </w:rPr>
              <w:t xml:space="preserve"> </w:t>
            </w:r>
            <w:r>
              <w:rPr>
                <w:spacing w:val="-2"/>
              </w:rPr>
              <w:t>化事业单位</w:t>
            </w:r>
          </w:p>
        </w:tc>
        <w:tc>
          <w:tcPr>
            <w:tcW w:w="1029" w:type="dxa"/>
            <w:vAlign w:val="top"/>
          </w:tcPr>
          <w:p>
            <w:pPr>
              <w:pStyle w:val="TableText"/>
              <w:ind w:left="138"/>
              <w:spacing w:before="119" w:line="219" w:lineRule="auto"/>
              <w:rPr/>
            </w:pPr>
            <w:r>
              <w:rPr>
                <w:spacing w:val="-2"/>
              </w:rPr>
              <w:t>企业所得税</w:t>
            </w:r>
          </w:p>
        </w:tc>
        <w:tc>
          <w:tcPr>
            <w:tcW w:w="464" w:type="dxa"/>
            <w:vAlign w:val="top"/>
          </w:tcPr>
          <w:p>
            <w:pPr>
              <w:pStyle w:val="TableText"/>
              <w:ind w:left="80"/>
              <w:spacing w:before="109" w:line="219" w:lineRule="auto"/>
              <w:rPr/>
            </w:pPr>
            <w:r>
              <w:rPr>
                <w:spacing w:val="-3"/>
              </w:rPr>
              <w:t>免征</w:t>
            </w:r>
          </w:p>
        </w:tc>
      </w:tr>
      <w:tr>
        <w:trPr>
          <w:trHeight w:val="998" w:hRule="atLeast"/>
        </w:trPr>
        <w:tc>
          <w:tcPr>
            <w:tcW w:w="284" w:type="dxa"/>
            <w:vAlign w:val="top"/>
          </w:tcPr>
          <w:p>
            <w:pPr>
              <w:spacing w:line="417" w:lineRule="auto"/>
              <w:rPr>
                <w:rFonts w:ascii="Arial"/>
                <w:sz w:val="21"/>
              </w:rPr>
            </w:pPr>
            <w:r/>
          </w:p>
          <w:p>
            <w:pPr>
              <w:pStyle w:val="TableText"/>
              <w:ind w:left="55"/>
              <w:spacing w:before="49" w:line="184" w:lineRule="auto"/>
              <w:rPr/>
            </w:pPr>
            <w:r>
              <w:rPr>
                <w:spacing w:val="-5"/>
              </w:rPr>
              <w:t>16</w:t>
            </w:r>
          </w:p>
        </w:tc>
        <w:tc>
          <w:tcPr>
            <w:tcW w:w="3956" w:type="dxa"/>
            <w:vAlign w:val="top"/>
          </w:tcPr>
          <w:p>
            <w:pPr>
              <w:pStyle w:val="TableText"/>
              <w:ind w:left="11" w:right="243" w:firstLine="229"/>
              <w:spacing w:before="130" w:line="233" w:lineRule="auto"/>
              <w:rPr/>
            </w:pPr>
            <w:r>
              <w:rPr/>
              <w:t>自2019年1月1日起，企业发行的永续债可以适用股息</w:t>
            </w:r>
            <w:r>
              <w:rPr>
                <w:spacing w:val="10"/>
              </w:rPr>
              <w:t xml:space="preserve"> </w:t>
            </w:r>
            <w:r>
              <w:rPr>
                <w:spacing w:val="-1"/>
              </w:rPr>
              <w:t>红利政策免征企业所得税。</w:t>
            </w:r>
          </w:p>
        </w:tc>
        <w:tc>
          <w:tcPr>
            <w:tcW w:w="2158" w:type="dxa"/>
            <w:vAlign w:val="top"/>
          </w:tcPr>
          <w:p>
            <w:pPr>
              <w:pStyle w:val="TableText"/>
              <w:ind w:left="54" w:right="5" w:firstLine="40"/>
              <w:spacing w:before="131" w:line="236" w:lineRule="auto"/>
              <w:jc w:val="both"/>
              <w:rPr/>
            </w:pPr>
            <w:r>
              <w:rPr>
                <w:spacing w:val="-1"/>
              </w:rPr>
              <w:t>财政部、税务总局《关于永续</w:t>
            </w:r>
            <w:r>
              <w:rPr>
                <w:spacing w:val="2"/>
              </w:rPr>
              <w:t xml:space="preserve">  </w:t>
            </w:r>
            <w:r>
              <w:rPr>
                <w:spacing w:val="-1"/>
              </w:rPr>
              <w:t>债企业所得税政策问题的公告》</w:t>
            </w:r>
            <w:r>
              <w:rPr/>
              <w:t xml:space="preserve"> </w:t>
            </w:r>
            <w:r>
              <w:rPr/>
              <w:t>2019年第64号公告</w:t>
            </w:r>
          </w:p>
        </w:tc>
        <w:tc>
          <w:tcPr>
            <w:tcW w:w="889" w:type="dxa"/>
            <w:vAlign w:val="top"/>
          </w:tcPr>
          <w:p>
            <w:pPr>
              <w:pStyle w:val="TableText"/>
              <w:ind w:left="16"/>
              <w:spacing w:before="131" w:line="227" w:lineRule="auto"/>
              <w:rPr/>
            </w:pPr>
            <w:r>
              <w:rPr>
                <w:spacing w:val="19"/>
                <w:w w:val="108"/>
              </w:rPr>
              <w:t>2019年1月</w:t>
            </w:r>
            <w:r>
              <w:rPr/>
              <w:t xml:space="preserve"> </w:t>
            </w:r>
            <w:r>
              <w:rPr>
                <w:spacing w:val="-5"/>
              </w:rPr>
              <w:t>1日起</w:t>
            </w:r>
          </w:p>
        </w:tc>
        <w:tc>
          <w:tcPr>
            <w:tcW w:w="849" w:type="dxa"/>
            <w:vAlign w:val="top"/>
          </w:tcPr>
          <w:p>
            <w:pPr>
              <w:pStyle w:val="TableText"/>
              <w:ind w:left="197" w:right="48" w:hanging="149"/>
              <w:spacing w:before="121" w:line="228" w:lineRule="auto"/>
              <w:rPr/>
            </w:pPr>
            <w:r>
              <w:rPr>
                <w:spacing w:val="-2"/>
              </w:rPr>
              <w:t>永续债发行</w:t>
            </w:r>
            <w:r>
              <w:rPr>
                <w:spacing w:val="1"/>
              </w:rPr>
              <w:t xml:space="preserve"> </w:t>
            </w:r>
            <w:r>
              <w:rPr>
                <w:spacing w:val="-2"/>
              </w:rPr>
              <w:t>方企业</w:t>
            </w:r>
          </w:p>
        </w:tc>
        <w:tc>
          <w:tcPr>
            <w:tcW w:w="1029" w:type="dxa"/>
            <w:vAlign w:val="top"/>
          </w:tcPr>
          <w:p>
            <w:pPr>
              <w:pStyle w:val="TableText"/>
              <w:ind w:left="138"/>
              <w:spacing w:before="121" w:line="219" w:lineRule="auto"/>
              <w:rPr/>
            </w:pPr>
            <w:r>
              <w:rPr>
                <w:spacing w:val="-2"/>
              </w:rPr>
              <w:t>企业所得税</w:t>
            </w:r>
          </w:p>
        </w:tc>
        <w:tc>
          <w:tcPr>
            <w:tcW w:w="464" w:type="dxa"/>
            <w:vAlign w:val="top"/>
          </w:tcPr>
          <w:p>
            <w:pPr>
              <w:pStyle w:val="TableText"/>
              <w:ind w:left="80"/>
              <w:spacing w:before="111" w:line="219" w:lineRule="auto"/>
              <w:rPr/>
            </w:pPr>
            <w:r>
              <w:rPr>
                <w:spacing w:val="-3"/>
              </w:rPr>
              <w:t>免征</w:t>
            </w:r>
          </w:p>
        </w:tc>
      </w:tr>
      <w:tr>
        <w:trPr>
          <w:trHeight w:val="978" w:hRule="atLeast"/>
        </w:trPr>
        <w:tc>
          <w:tcPr>
            <w:tcW w:w="284" w:type="dxa"/>
            <w:vAlign w:val="top"/>
          </w:tcPr>
          <w:p>
            <w:pPr>
              <w:spacing w:line="409" w:lineRule="auto"/>
              <w:rPr>
                <w:rFonts w:ascii="Arial"/>
                <w:sz w:val="21"/>
              </w:rPr>
            </w:pPr>
            <w:r/>
          </w:p>
          <w:p>
            <w:pPr>
              <w:pStyle w:val="TableText"/>
              <w:ind w:left="55"/>
              <w:spacing w:before="49" w:line="184" w:lineRule="auto"/>
              <w:rPr/>
            </w:pPr>
            <w:r>
              <w:rPr>
                <w:spacing w:val="-5"/>
              </w:rPr>
              <w:t>17</w:t>
            </w:r>
          </w:p>
        </w:tc>
        <w:tc>
          <w:tcPr>
            <w:tcW w:w="3956" w:type="dxa"/>
            <w:vAlign w:val="top"/>
          </w:tcPr>
          <w:p>
            <w:pPr>
              <w:pStyle w:val="TableText"/>
              <w:ind w:left="130" w:right="112" w:hanging="40"/>
              <w:spacing w:before="143" w:line="237" w:lineRule="auto"/>
              <w:jc w:val="right"/>
              <w:rPr/>
            </w:pPr>
            <w:r>
              <w:rPr>
                <w:spacing w:val="-1"/>
              </w:rPr>
              <w:t>依法成立且符合条件的集成电路设计企业和软件企业，在</w:t>
            </w:r>
            <w:r>
              <w:rPr>
                <w:spacing w:val="16"/>
              </w:rPr>
              <w:t xml:space="preserve"> </w:t>
            </w:r>
            <w:r>
              <w:rPr>
                <w:spacing w:val="1"/>
              </w:rPr>
              <w:t>2018年12月31日前自获利年度起计算优惠期，第一年至  </w:t>
            </w:r>
            <w:r>
              <w:rPr/>
              <w:t>第二年免征企业所得税，第三年至第五年按</w:t>
            </w:r>
            <w:r>
              <w:rPr>
                <w:spacing w:val="-1"/>
              </w:rPr>
              <w:t>照25%的法定</w:t>
            </w:r>
          </w:p>
          <w:p>
            <w:pPr>
              <w:pStyle w:val="TableText"/>
              <w:ind w:left="21"/>
              <w:spacing w:before="22" w:line="219" w:lineRule="auto"/>
              <w:rPr/>
            </w:pPr>
            <w:r>
              <w:rPr>
                <w:spacing w:val="-1"/>
              </w:rPr>
              <w:t>税率减半征收企业所得税，并享受至期满为止</w:t>
            </w:r>
          </w:p>
        </w:tc>
        <w:tc>
          <w:tcPr>
            <w:tcW w:w="2158" w:type="dxa"/>
            <w:vAlign w:val="top"/>
          </w:tcPr>
          <w:p>
            <w:pPr>
              <w:pStyle w:val="TableText"/>
              <w:ind w:left="44" w:right="108" w:firstLine="15"/>
              <w:spacing w:before="122" w:line="246" w:lineRule="auto"/>
              <w:jc w:val="both"/>
              <w:rPr/>
            </w:pPr>
            <w:r>
              <w:rPr>
                <w:spacing w:val="-2"/>
              </w:rPr>
              <w:t>《关于集成电路设计和软件产 </w:t>
            </w:r>
            <w:r>
              <w:rPr>
                <w:spacing w:val="3"/>
              </w:rPr>
              <w:t>业企业所得税政策的公告》财</w:t>
            </w:r>
            <w:r>
              <w:rPr>
                <w:spacing w:val="4"/>
              </w:rPr>
              <w:t xml:space="preserve"> </w:t>
            </w:r>
            <w:r>
              <w:rPr>
                <w:spacing w:val="-1"/>
              </w:rPr>
              <w:t>税〔2019〕68号</w:t>
            </w:r>
          </w:p>
        </w:tc>
        <w:tc>
          <w:tcPr>
            <w:tcW w:w="889" w:type="dxa"/>
            <w:vAlign w:val="top"/>
          </w:tcPr>
          <w:p>
            <w:pPr>
              <w:pStyle w:val="TableText"/>
              <w:ind w:left="36" w:right="12" w:hanging="20"/>
              <w:spacing w:before="143" w:line="220" w:lineRule="auto"/>
              <w:rPr/>
            </w:pPr>
            <w:r>
              <w:rPr>
                <w:spacing w:val="-10"/>
              </w:rPr>
              <w:t>2</w:t>
            </w:r>
            <w:r>
              <w:rPr>
                <w:spacing w:val="-26"/>
              </w:rPr>
              <w:t xml:space="preserve"> </w:t>
            </w:r>
            <w:r>
              <w:rPr>
                <w:spacing w:val="-10"/>
              </w:rPr>
              <w:t>0</w:t>
            </w:r>
            <w:r>
              <w:rPr>
                <w:spacing w:val="-15"/>
              </w:rPr>
              <w:t xml:space="preserve"> </w:t>
            </w:r>
            <w:r>
              <w:rPr>
                <w:spacing w:val="-10"/>
              </w:rPr>
              <w:t>1</w:t>
            </w:r>
            <w:r>
              <w:rPr>
                <w:spacing w:val="-26"/>
              </w:rPr>
              <w:t xml:space="preserve"> </w:t>
            </w:r>
            <w:r>
              <w:rPr>
                <w:spacing w:val="-10"/>
              </w:rPr>
              <w:t>8</w:t>
            </w:r>
            <w:r>
              <w:rPr>
                <w:spacing w:val="-25"/>
              </w:rPr>
              <w:t xml:space="preserve"> </w:t>
            </w:r>
            <w:r>
              <w:rPr>
                <w:spacing w:val="-10"/>
              </w:rPr>
              <w:t>年</w:t>
            </w:r>
            <w:r>
              <w:rPr>
                <w:spacing w:val="-16"/>
              </w:rPr>
              <w:t xml:space="preserve"> </w:t>
            </w:r>
            <w:r>
              <w:rPr>
                <w:spacing w:val="-10"/>
              </w:rPr>
              <w:t>1</w:t>
            </w:r>
            <w:r>
              <w:rPr>
                <w:spacing w:val="-24"/>
              </w:rPr>
              <w:t xml:space="preserve"> </w:t>
            </w:r>
            <w:r>
              <w:rPr>
                <w:spacing w:val="-10"/>
              </w:rPr>
              <w:t>2</w:t>
            </w:r>
            <w:r>
              <w:rPr/>
              <w:t xml:space="preserve"> </w:t>
            </w:r>
            <w:r>
              <w:rPr>
                <w:spacing w:val="-2"/>
              </w:rPr>
              <w:t>月31日起</w:t>
            </w:r>
          </w:p>
        </w:tc>
        <w:tc>
          <w:tcPr>
            <w:tcW w:w="849" w:type="dxa"/>
            <w:vAlign w:val="top"/>
          </w:tcPr>
          <w:p>
            <w:pPr>
              <w:pStyle w:val="TableText"/>
              <w:ind w:left="48" w:right="46"/>
              <w:spacing w:before="122" w:line="242" w:lineRule="auto"/>
              <w:jc w:val="both"/>
              <w:rPr/>
            </w:pPr>
            <w:r>
              <w:rPr>
                <w:spacing w:val="-2"/>
              </w:rPr>
              <w:t>集成电路设</w:t>
            </w:r>
            <w:r>
              <w:rPr>
                <w:spacing w:val="3"/>
              </w:rPr>
              <w:t xml:space="preserve"> </w:t>
            </w:r>
            <w:r>
              <w:rPr>
                <w:spacing w:val="-2"/>
              </w:rPr>
              <w:t>计和软件产</w:t>
            </w:r>
            <w:r>
              <w:rPr>
                <w:spacing w:val="3"/>
              </w:rPr>
              <w:t xml:space="preserve"> </w:t>
            </w:r>
            <w:r>
              <w:rPr>
                <w:spacing w:val="-2"/>
              </w:rPr>
              <w:t>业发展企业</w:t>
            </w:r>
          </w:p>
        </w:tc>
        <w:tc>
          <w:tcPr>
            <w:tcW w:w="1029" w:type="dxa"/>
            <w:vAlign w:val="top"/>
          </w:tcPr>
          <w:p>
            <w:pPr>
              <w:pStyle w:val="TableText"/>
              <w:ind w:left="138"/>
              <w:spacing w:before="123" w:line="219" w:lineRule="auto"/>
              <w:rPr/>
            </w:pPr>
            <w:r>
              <w:rPr>
                <w:spacing w:val="-2"/>
              </w:rPr>
              <w:t>企业所得税</w:t>
            </w:r>
          </w:p>
        </w:tc>
        <w:tc>
          <w:tcPr>
            <w:tcW w:w="464" w:type="dxa"/>
            <w:vAlign w:val="top"/>
          </w:tcPr>
          <w:p>
            <w:pPr>
              <w:pStyle w:val="TableText"/>
              <w:ind w:left="80"/>
              <w:spacing w:before="103" w:line="219" w:lineRule="auto"/>
              <w:rPr/>
            </w:pPr>
            <w:r>
              <w:rPr>
                <w:spacing w:val="-2"/>
              </w:rPr>
              <w:t>减征</w:t>
            </w:r>
          </w:p>
        </w:tc>
      </w:tr>
      <w:tr>
        <w:trPr>
          <w:trHeight w:val="1563" w:hRule="atLeast"/>
        </w:trPr>
        <w:tc>
          <w:tcPr>
            <w:tcW w:w="284" w:type="dxa"/>
            <w:vAlign w:val="top"/>
          </w:tcPr>
          <w:p>
            <w:pPr>
              <w:spacing w:line="350" w:lineRule="auto"/>
              <w:rPr>
                <w:rFonts w:ascii="Arial"/>
                <w:sz w:val="21"/>
              </w:rPr>
            </w:pPr>
            <w:r/>
          </w:p>
          <w:p>
            <w:pPr>
              <w:spacing w:line="350" w:lineRule="auto"/>
              <w:rPr>
                <w:rFonts w:ascii="Arial"/>
                <w:sz w:val="21"/>
              </w:rPr>
            </w:pPr>
            <w:r/>
          </w:p>
          <w:p>
            <w:pPr>
              <w:pStyle w:val="TableText"/>
              <w:ind w:left="55"/>
              <w:spacing w:before="48" w:line="184" w:lineRule="auto"/>
              <w:rPr/>
            </w:pPr>
            <w:r>
              <w:rPr>
                <w:spacing w:val="-5"/>
              </w:rPr>
              <w:t>18</w:t>
            </w:r>
          </w:p>
        </w:tc>
        <w:tc>
          <w:tcPr>
            <w:tcW w:w="3956" w:type="dxa"/>
            <w:vAlign w:val="top"/>
          </w:tcPr>
          <w:p>
            <w:pPr>
              <w:pStyle w:val="TableText"/>
              <w:ind w:left="31" w:right="245"/>
              <w:spacing w:before="142" w:line="234" w:lineRule="auto"/>
              <w:jc w:val="both"/>
              <w:rPr/>
            </w:pPr>
            <w:r>
              <w:rPr>
                <w:spacing w:val="-1"/>
              </w:rPr>
              <w:t>1.对企业投资者转让创新企业CDR取得的差价所得和持有</w:t>
            </w:r>
            <w:r>
              <w:rPr>
                <w:spacing w:val="9"/>
              </w:rPr>
              <w:t xml:space="preserve"> </w:t>
            </w:r>
            <w:r>
              <w:rPr/>
              <w:t>创新企业CDR取得的股息红利所得，按转</w:t>
            </w:r>
            <w:r>
              <w:rPr>
                <w:spacing w:val="-1"/>
              </w:rPr>
              <w:t>让股票差价所得</w:t>
            </w:r>
            <w:r>
              <w:rPr/>
              <w:t xml:space="preserve"> </w:t>
            </w:r>
            <w:r>
              <w:rPr>
                <w:spacing w:val="-1"/>
              </w:rPr>
              <w:t>和持有股票的股息红利所得政策规定征免企业所得税</w:t>
            </w:r>
          </w:p>
          <w:p>
            <w:pPr>
              <w:pStyle w:val="TableText"/>
              <w:ind w:left="21" w:right="77" w:firstLine="30"/>
              <w:spacing w:before="42" w:line="231" w:lineRule="auto"/>
              <w:rPr/>
            </w:pPr>
            <w:r>
              <w:rPr>
                <w:spacing w:val="-1"/>
              </w:rPr>
              <w:t>2.对公募证券投资基金(封闭式证券投资基金、开放式证券</w:t>
            </w:r>
            <w:r>
              <w:rPr>
                <w:spacing w:val="18"/>
              </w:rPr>
              <w:t xml:space="preserve"> </w:t>
            </w:r>
            <w:r>
              <w:rPr>
                <w:spacing w:val="-1"/>
              </w:rPr>
              <w:t>投资基金)转让创新企业CDR取得的差价所得和持有创新</w:t>
            </w:r>
          </w:p>
          <w:p>
            <w:pPr>
              <w:pStyle w:val="TableText"/>
              <w:ind w:left="11" w:right="258" w:firstLine="10"/>
              <w:spacing w:before="33" w:line="233" w:lineRule="auto"/>
              <w:rPr/>
            </w:pPr>
            <w:r>
              <w:rPr>
                <w:spacing w:val="-1"/>
              </w:rPr>
              <w:t>企业CDR取得的股息红利所得，按公募证券投资基金税收</w:t>
            </w:r>
            <w:r>
              <w:rPr>
                <w:spacing w:val="16"/>
              </w:rPr>
              <w:t xml:space="preserve"> </w:t>
            </w:r>
            <w:r>
              <w:rPr>
                <w:spacing w:val="-1"/>
              </w:rPr>
              <w:t>政策规定暂不征收企业所得税</w:t>
            </w:r>
          </w:p>
        </w:tc>
        <w:tc>
          <w:tcPr>
            <w:tcW w:w="2158" w:type="dxa"/>
            <w:vAlign w:val="top"/>
          </w:tcPr>
          <w:p>
            <w:pPr>
              <w:pStyle w:val="TableText"/>
              <w:ind w:left="54" w:right="4" w:hanging="30"/>
              <w:spacing w:before="144" w:line="239" w:lineRule="auto"/>
              <w:rPr/>
            </w:pPr>
            <w:r>
              <w:rPr>
                <w:spacing w:val="-1"/>
              </w:rPr>
              <w:t>财政部、税务总局、证监会《关</w:t>
            </w:r>
            <w:r>
              <w:rPr>
                <w:spacing w:val="6"/>
              </w:rPr>
              <w:t xml:space="preserve"> </w:t>
            </w:r>
            <w:r>
              <w:rPr>
                <w:spacing w:val="2"/>
              </w:rPr>
              <w:t>于创新企业境内发行存托凭证  </w:t>
            </w:r>
            <w:r>
              <w:rPr>
                <w:spacing w:val="-1"/>
              </w:rPr>
              <w:t>试点阶段有关税收政策的公告》</w:t>
            </w:r>
            <w:r>
              <w:rPr>
                <w:spacing w:val="1"/>
              </w:rPr>
              <w:t xml:space="preserve"> </w:t>
            </w:r>
            <w:r>
              <w:rPr>
                <w:spacing w:val="-1"/>
              </w:rPr>
              <w:t>2019年第52号公告</w:t>
            </w:r>
          </w:p>
        </w:tc>
        <w:tc>
          <w:tcPr>
            <w:tcW w:w="889" w:type="dxa"/>
            <w:vAlign w:val="top"/>
          </w:tcPr>
          <w:p>
            <w:pPr>
              <w:pStyle w:val="TableText"/>
              <w:ind w:left="16" w:right="16" w:firstLine="50"/>
              <w:spacing w:before="144"/>
              <w:jc w:val="both"/>
              <w:rPr/>
            </w:pPr>
            <w:r>
              <w:rPr>
                <w:spacing w:val="-2"/>
              </w:rPr>
              <w:t>首只创新企 </w:t>
            </w:r>
            <w:r>
              <w:rPr>
                <w:spacing w:val="-6"/>
              </w:rPr>
              <w:t>业</w:t>
            </w:r>
            <w:r>
              <w:rPr>
                <w:spacing w:val="-32"/>
              </w:rPr>
              <w:t xml:space="preserve"> </w:t>
            </w:r>
            <w:r>
              <w:rPr>
                <w:spacing w:val="-6"/>
              </w:rPr>
              <w:t>C</w:t>
            </w:r>
            <w:r>
              <w:rPr>
                <w:spacing w:val="-37"/>
              </w:rPr>
              <w:t xml:space="preserve"> </w:t>
            </w:r>
            <w:r>
              <w:rPr>
                <w:spacing w:val="-6"/>
              </w:rPr>
              <w:t>D</w:t>
            </w:r>
            <w:r>
              <w:rPr>
                <w:spacing w:val="-35"/>
              </w:rPr>
              <w:t xml:space="preserve"> </w:t>
            </w:r>
            <w:r>
              <w:rPr>
                <w:spacing w:val="-6"/>
              </w:rPr>
              <w:t>R</w:t>
            </w:r>
            <w:r>
              <w:rPr>
                <w:spacing w:val="-32"/>
              </w:rPr>
              <w:t xml:space="preserve"> </w:t>
            </w:r>
            <w:r>
              <w:rPr>
                <w:spacing w:val="-6"/>
              </w:rPr>
              <w:t>取</w:t>
            </w:r>
            <w:r>
              <w:rPr>
                <w:spacing w:val="-34"/>
              </w:rPr>
              <w:t xml:space="preserve"> </w:t>
            </w:r>
            <w:r>
              <w:rPr>
                <w:spacing w:val="-6"/>
              </w:rPr>
              <w:t>得</w:t>
            </w:r>
            <w:r>
              <w:rPr/>
              <w:t xml:space="preserve"> </w:t>
            </w:r>
            <w:r>
              <w:rPr>
                <w:spacing w:val="11"/>
              </w:rPr>
              <w:t>国务院证券</w:t>
            </w:r>
            <w:r>
              <w:rPr/>
              <w:t xml:space="preserve"> </w:t>
            </w:r>
            <w:r>
              <w:rPr>
                <w:spacing w:val="6"/>
              </w:rPr>
              <w:t>监督管理机 </w:t>
            </w:r>
            <w:r>
              <w:rPr>
                <w:spacing w:val="6"/>
              </w:rPr>
              <w:t>构的发行批 </w:t>
            </w:r>
            <w:r>
              <w:rPr>
                <w:spacing w:val="-2"/>
              </w:rPr>
              <w:t>文之日起</w:t>
            </w:r>
          </w:p>
        </w:tc>
        <w:tc>
          <w:tcPr>
            <w:tcW w:w="849" w:type="dxa"/>
            <w:vAlign w:val="top"/>
          </w:tcPr>
          <w:p>
            <w:pPr>
              <w:pStyle w:val="TableText"/>
              <w:ind w:left="117"/>
              <w:spacing w:before="125" w:line="220" w:lineRule="auto"/>
              <w:rPr/>
            </w:pPr>
            <w:r>
              <w:rPr>
                <w:spacing w:val="-2"/>
              </w:rPr>
              <w:t>创新企业</w:t>
            </w:r>
          </w:p>
        </w:tc>
        <w:tc>
          <w:tcPr>
            <w:tcW w:w="1029" w:type="dxa"/>
            <w:vAlign w:val="top"/>
          </w:tcPr>
          <w:p>
            <w:pPr>
              <w:pStyle w:val="TableText"/>
              <w:ind w:left="138"/>
              <w:spacing w:before="125" w:line="219" w:lineRule="auto"/>
              <w:rPr/>
            </w:pPr>
            <w:r>
              <w:rPr>
                <w:spacing w:val="-2"/>
              </w:rPr>
              <w:t>企业所得税</w:t>
            </w:r>
          </w:p>
        </w:tc>
        <w:tc>
          <w:tcPr>
            <w:tcW w:w="464" w:type="dxa"/>
            <w:vAlign w:val="top"/>
          </w:tcPr>
          <w:p>
            <w:pPr>
              <w:pStyle w:val="TableText"/>
              <w:ind w:left="80"/>
              <w:spacing w:before="115" w:line="219" w:lineRule="auto"/>
              <w:rPr/>
            </w:pPr>
            <w:r>
              <w:rPr>
                <w:spacing w:val="-3"/>
              </w:rPr>
              <w:t>免征</w:t>
            </w:r>
          </w:p>
        </w:tc>
      </w:tr>
    </w:tbl>
    <w:p>
      <w:pPr>
        <w:pStyle w:val="BodyText"/>
        <w:rPr/>
      </w:pPr>
      <w:r/>
    </w:p>
    <w:p>
      <w:pPr>
        <w:sectPr>
          <w:pgSz w:w="11910" w:h="8220"/>
          <w:pgMar w:top="400" w:right="1135" w:bottom="400" w:left="799" w:header="0" w:footer="0" w:gutter="0"/>
        </w:sectPr>
        <w:rPr/>
      </w:pPr>
    </w:p>
    <w:p>
      <w:pPr>
        <w:spacing w:before="11"/>
        <w:rPr/>
      </w:pPr>
      <w:r>
        <w:pict>
          <v:shape id="_x0000_s48" style="position:absolute;margin-left:38.9997pt;margin-top:50.1534pt;mso-position-vertical-relative:page;mso-position-horizontal-relative:page;width:10.3pt;height:15.65pt;z-index:251698176;"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11"/>
                      <w:w w:val="80"/>
                    </w:rPr>
                    <w:t>古</w:t>
                  </w:r>
                </w:p>
              </w:txbxContent>
            </v:textbox>
          </v:shape>
        </w:pict>
      </w:r>
      <w:r/>
    </w:p>
    <w:p>
      <w:pPr>
        <w:spacing w:before="1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889"/>
        <w:gridCol w:w="849"/>
        <w:gridCol w:w="1029"/>
        <w:gridCol w:w="46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49" w:type="dxa"/>
            <w:vAlign w:val="top"/>
          </w:tcPr>
          <w:p>
            <w:pPr>
              <w:pStyle w:val="TableText"/>
              <w:ind w:left="267" w:right="133" w:hanging="150"/>
              <w:spacing w:before="6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148" w:hRule="atLeast"/>
        </w:trPr>
        <w:tc>
          <w:tcPr>
            <w:tcW w:w="284" w:type="dxa"/>
            <w:vAlign w:val="top"/>
          </w:tcPr>
          <w:p>
            <w:pPr>
              <w:spacing w:line="241" w:lineRule="auto"/>
              <w:rPr>
                <w:rFonts w:ascii="Arial"/>
                <w:sz w:val="21"/>
              </w:rPr>
            </w:pPr>
            <w:r/>
          </w:p>
          <w:p>
            <w:pPr>
              <w:spacing w:line="242" w:lineRule="auto"/>
              <w:rPr>
                <w:rFonts w:ascii="Arial"/>
                <w:sz w:val="21"/>
              </w:rPr>
            </w:pPr>
            <w:r/>
          </w:p>
          <w:p>
            <w:pPr>
              <w:pStyle w:val="TableText"/>
              <w:ind w:left="55"/>
              <w:spacing w:before="49" w:line="184" w:lineRule="auto"/>
              <w:rPr/>
            </w:pPr>
            <w:r>
              <w:rPr>
                <w:spacing w:val="-5"/>
              </w:rPr>
              <w:t>18</w:t>
            </w:r>
          </w:p>
        </w:tc>
        <w:tc>
          <w:tcPr>
            <w:tcW w:w="3956" w:type="dxa"/>
            <w:vAlign w:val="top"/>
          </w:tcPr>
          <w:p>
            <w:pPr>
              <w:pStyle w:val="TableText"/>
              <w:ind w:left="130" w:right="146"/>
              <w:spacing w:before="115" w:line="249" w:lineRule="auto"/>
              <w:jc w:val="both"/>
              <w:rPr/>
            </w:pPr>
            <w:r>
              <w:rPr>
                <w:spacing w:val="-1"/>
              </w:rPr>
              <w:t>3.对合格境外机构投资者(QFH)、人民币合格境外机构投</w:t>
            </w:r>
            <w:r>
              <w:rPr>
                <w:spacing w:val="18"/>
              </w:rPr>
              <w:t xml:space="preserve"> </w:t>
            </w:r>
            <w:r>
              <w:rPr>
                <w:spacing w:val="2"/>
              </w:rPr>
              <w:t>资者(</w:t>
            </w:r>
            <w:r>
              <w:rPr/>
              <w:t>RQF</w:t>
            </w:r>
            <w:r>
              <w:rPr>
                <w:spacing w:val="2"/>
              </w:rPr>
              <w:t>Ⅱ)转让创新企业</w:t>
            </w:r>
            <w:r>
              <w:rPr/>
              <w:t>CDR</w:t>
            </w:r>
            <w:r>
              <w:rPr>
                <w:spacing w:val="2"/>
              </w:rPr>
              <w:t>取得的差价所得和持有创</w:t>
            </w:r>
            <w:r>
              <w:rPr>
                <w:spacing w:val="5"/>
              </w:rPr>
              <w:t xml:space="preserve"> </w:t>
            </w:r>
            <w:r>
              <w:rPr>
                <w:spacing w:val="-1"/>
              </w:rPr>
              <w:t>新企业CDR取得的股息红利所得，视同转让或持有据以发</w:t>
            </w:r>
            <w:r>
              <w:rPr>
                <w:spacing w:val="18"/>
              </w:rPr>
              <w:t xml:space="preserve"> </w:t>
            </w:r>
            <w:r>
              <w:rPr>
                <w:spacing w:val="-1"/>
              </w:rPr>
              <w:t>行创新企业CDR的基础股票取得的权益性资产转让所得和</w:t>
            </w:r>
          </w:p>
          <w:p>
            <w:pPr>
              <w:pStyle w:val="TableText"/>
              <w:ind w:left="11"/>
              <w:spacing w:before="22" w:line="219" w:lineRule="auto"/>
              <w:rPr/>
            </w:pPr>
            <w:r>
              <w:rPr>
                <w:spacing w:val="-1"/>
              </w:rPr>
              <w:t>股息红利所得征免企业所得税</w:t>
            </w:r>
          </w:p>
        </w:tc>
        <w:tc>
          <w:tcPr>
            <w:tcW w:w="2158" w:type="dxa"/>
            <w:vAlign w:val="top"/>
          </w:tcPr>
          <w:p>
            <w:pPr>
              <w:rPr>
                <w:rFonts w:ascii="Arial"/>
                <w:sz w:val="21"/>
              </w:rPr>
            </w:pPr>
            <w:r/>
          </w:p>
        </w:tc>
        <w:tc>
          <w:tcPr>
            <w:tcW w:w="88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1158" w:hRule="atLeast"/>
        </w:trPr>
        <w:tc>
          <w:tcPr>
            <w:tcW w:w="284" w:type="dxa"/>
            <w:vAlign w:val="top"/>
          </w:tcPr>
          <w:p>
            <w:pPr>
              <w:spacing w:line="247" w:lineRule="auto"/>
              <w:rPr>
                <w:rFonts w:ascii="Arial"/>
                <w:sz w:val="21"/>
              </w:rPr>
            </w:pPr>
            <w:r/>
          </w:p>
          <w:p>
            <w:pPr>
              <w:spacing w:line="248" w:lineRule="auto"/>
              <w:rPr>
                <w:rFonts w:ascii="Arial"/>
                <w:sz w:val="21"/>
              </w:rPr>
            </w:pPr>
            <w:r/>
          </w:p>
          <w:p>
            <w:pPr>
              <w:pStyle w:val="TableText"/>
              <w:ind w:left="55"/>
              <w:spacing w:before="48" w:line="184" w:lineRule="auto"/>
              <w:rPr/>
            </w:pPr>
            <w:r>
              <w:rPr>
                <w:spacing w:val="-5"/>
              </w:rPr>
              <w:t>19</w:t>
            </w:r>
          </w:p>
        </w:tc>
        <w:tc>
          <w:tcPr>
            <w:tcW w:w="3956" w:type="dxa"/>
            <w:vAlign w:val="top"/>
          </w:tcPr>
          <w:p>
            <w:pPr>
              <w:pStyle w:val="TableText"/>
              <w:ind w:left="170"/>
              <w:spacing w:before="109" w:line="219" w:lineRule="auto"/>
              <w:rPr/>
            </w:pPr>
            <w:r>
              <w:rPr>
                <w:spacing w:val="1"/>
              </w:rPr>
              <w:t>五、对饮水工程运营管理单位从事《公共基础设施项目</w:t>
            </w:r>
          </w:p>
          <w:p>
            <w:pPr>
              <w:pStyle w:val="TableText"/>
              <w:ind w:left="21" w:right="183" w:firstLine="149"/>
              <w:spacing w:before="41" w:line="239" w:lineRule="auto"/>
              <w:rPr/>
            </w:pPr>
            <w:r>
              <w:rPr>
                <w:spacing w:val="-1"/>
              </w:rPr>
              <w:t>企业所得税优惠目录》规定的饮水工程新建项目投资经</w:t>
            </w:r>
            <w:r>
              <w:rPr>
                <w:spacing w:val="14"/>
              </w:rPr>
              <w:t xml:space="preserve"> </w:t>
            </w:r>
            <w:r>
              <w:rPr>
                <w:spacing w:val="-1"/>
              </w:rPr>
              <w:t>营的所得，自项目取得第一笔生产经营收入所属纳税年</w:t>
            </w:r>
          </w:p>
          <w:p>
            <w:pPr>
              <w:pStyle w:val="TableText"/>
              <w:ind w:left="21" w:right="180" w:firstLine="149"/>
              <w:spacing w:before="31" w:line="233" w:lineRule="auto"/>
              <w:rPr/>
            </w:pPr>
            <w:r>
              <w:rPr>
                <w:spacing w:val="-1"/>
              </w:rPr>
              <w:t>度起，第一年至第三年免征企业所得税，第四年至第六</w:t>
            </w:r>
            <w:r>
              <w:rPr>
                <w:spacing w:val="17"/>
              </w:rPr>
              <w:t xml:space="preserve"> </w:t>
            </w:r>
            <w:r>
              <w:rPr>
                <w:spacing w:val="-1"/>
              </w:rPr>
              <w:t>年减半征收企业所得税。</w:t>
            </w:r>
          </w:p>
        </w:tc>
        <w:tc>
          <w:tcPr>
            <w:tcW w:w="2158" w:type="dxa"/>
            <w:vAlign w:val="top"/>
          </w:tcPr>
          <w:p>
            <w:pPr>
              <w:pStyle w:val="TableText"/>
              <w:ind w:left="24" w:right="93" w:firstLine="70"/>
              <w:spacing w:before="108" w:line="245" w:lineRule="auto"/>
              <w:jc w:val="both"/>
              <w:rPr/>
            </w:pPr>
            <w:r>
              <w:rPr>
                <w:spacing w:val="-1"/>
              </w:rPr>
              <w:t>财政部、税务总局《关于继续</w:t>
            </w:r>
            <w:r>
              <w:rPr>
                <w:spacing w:val="5"/>
              </w:rPr>
              <w:t xml:space="preserve"> </w:t>
            </w:r>
            <w:r>
              <w:rPr>
                <w:spacing w:val="4"/>
              </w:rPr>
              <w:t>实行农村饮水安全工程税收优</w:t>
            </w:r>
            <w:r>
              <w:rPr>
                <w:spacing w:val="7"/>
              </w:rPr>
              <w:t xml:space="preserve"> </w:t>
            </w:r>
            <w:r>
              <w:rPr>
                <w:spacing w:val="4"/>
              </w:rPr>
              <w:t>惠政策的公告》2019年第67号</w:t>
            </w:r>
            <w:r>
              <w:rPr>
                <w:spacing w:val="14"/>
              </w:rPr>
              <w:t xml:space="preserve"> </w:t>
            </w:r>
            <w:r>
              <w:rPr>
                <w:spacing w:val="5"/>
              </w:rPr>
              <w:t>公告</w:t>
            </w:r>
          </w:p>
        </w:tc>
        <w:tc>
          <w:tcPr>
            <w:tcW w:w="889" w:type="dxa"/>
            <w:vAlign w:val="top"/>
          </w:tcPr>
          <w:p>
            <w:pPr>
              <w:pStyle w:val="TableText"/>
              <w:ind w:left="16"/>
              <w:spacing w:before="119" w:line="245" w:lineRule="auto"/>
              <w:jc w:val="both"/>
              <w:rPr/>
            </w:pPr>
            <w:r>
              <w:rPr>
                <w:spacing w:val="19"/>
                <w:w w:val="108"/>
              </w:rPr>
              <w:t>2019年1月</w:t>
            </w:r>
            <w:r>
              <w:rPr/>
              <w:t xml:space="preserve"> </w:t>
            </w:r>
            <w:r>
              <w:rPr>
                <w:spacing w:val="5"/>
              </w:rPr>
              <w:t>1日</w:t>
            </w:r>
            <w:r>
              <w:rPr>
                <w:spacing w:val="15"/>
              </w:rPr>
              <w:t xml:space="preserve"> </w:t>
            </w:r>
            <w:r>
              <w:rPr>
                <w:spacing w:val="5"/>
              </w:rPr>
              <w:t>至2023</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48" w:right="46"/>
              <w:spacing w:before="118" w:line="239" w:lineRule="auto"/>
              <w:rPr/>
            </w:pPr>
            <w:r>
              <w:rPr>
                <w:spacing w:val="-2"/>
              </w:rPr>
              <w:t>饮水工程运</w:t>
            </w:r>
            <w:r>
              <w:rPr>
                <w:spacing w:val="3"/>
              </w:rPr>
              <w:t xml:space="preserve"> </w:t>
            </w:r>
            <w:r>
              <w:rPr>
                <w:spacing w:val="-2"/>
              </w:rPr>
              <w:t>营管理单位</w:t>
            </w:r>
          </w:p>
        </w:tc>
        <w:tc>
          <w:tcPr>
            <w:tcW w:w="1029" w:type="dxa"/>
            <w:vAlign w:val="top"/>
          </w:tcPr>
          <w:p>
            <w:pPr>
              <w:pStyle w:val="TableText"/>
              <w:ind w:left="138"/>
              <w:spacing w:before="119" w:line="219" w:lineRule="auto"/>
              <w:rPr/>
            </w:pPr>
            <w:r>
              <w:rPr>
                <w:spacing w:val="-2"/>
              </w:rPr>
              <w:t>企业所得税</w:t>
            </w:r>
          </w:p>
        </w:tc>
        <w:tc>
          <w:tcPr>
            <w:tcW w:w="464" w:type="dxa"/>
            <w:vAlign w:val="top"/>
          </w:tcPr>
          <w:p>
            <w:pPr>
              <w:pStyle w:val="TableText"/>
              <w:ind w:left="80"/>
              <w:spacing w:before="109" w:line="219" w:lineRule="auto"/>
              <w:rPr/>
            </w:pPr>
            <w:r>
              <w:rPr>
                <w:spacing w:val="-2"/>
              </w:rPr>
              <w:t>减征</w:t>
            </w:r>
          </w:p>
        </w:tc>
      </w:tr>
      <w:tr>
        <w:trPr>
          <w:trHeight w:val="3529" w:hRule="atLeast"/>
        </w:trPr>
        <w:tc>
          <w:tcPr>
            <w:tcW w:w="284"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55"/>
              <w:spacing w:before="49" w:line="183" w:lineRule="auto"/>
              <w:rPr/>
            </w:pPr>
            <w:r>
              <w:rPr>
                <w:spacing w:val="-2"/>
              </w:rPr>
              <w:t>20</w:t>
            </w:r>
          </w:p>
        </w:tc>
        <w:tc>
          <w:tcPr>
            <w:tcW w:w="3956" w:type="dxa"/>
            <w:vAlign w:val="top"/>
          </w:tcPr>
          <w:p>
            <w:pPr>
              <w:pStyle w:val="TableText"/>
              <w:ind w:left="21"/>
              <w:spacing w:before="131" w:line="219" w:lineRule="auto"/>
              <w:rPr/>
            </w:pPr>
            <w:r>
              <w:rPr>
                <w:spacing w:val="-1"/>
              </w:rPr>
              <w:t>一、2018年1月1日后投资新设的集成电路线宽小于130</w:t>
            </w:r>
          </w:p>
          <w:p>
            <w:pPr>
              <w:pStyle w:val="TableText"/>
              <w:ind w:left="31"/>
              <w:spacing w:before="22" w:line="219" w:lineRule="auto"/>
              <w:rPr/>
            </w:pPr>
            <w:r>
              <w:rPr>
                <w:spacing w:val="1"/>
              </w:rPr>
              <w:t>纳米，且经营期在10年以上的集成电路生产企业或项目</w:t>
            </w:r>
          </w:p>
          <w:p>
            <w:pPr>
              <w:pStyle w:val="TableText"/>
              <w:ind w:left="31" w:right="75" w:firstLine="20"/>
              <w:spacing w:before="21" w:line="233" w:lineRule="auto"/>
              <w:rPr/>
            </w:pPr>
            <w:r>
              <w:rPr/>
              <w:t>第一年至第二年免征企业所得税，第三年至第</w:t>
            </w:r>
            <w:r>
              <w:rPr>
                <w:spacing w:val="-1"/>
              </w:rPr>
              <w:t>五年按照25%</w:t>
            </w:r>
            <w:r>
              <w:rPr/>
              <w:t xml:space="preserve"> </w:t>
            </w:r>
            <w:r>
              <w:rPr>
                <w:spacing w:val="-1"/>
              </w:rPr>
              <w:t>的法定税率减半征收企业所得税，并享受至期满为止。</w:t>
            </w:r>
          </w:p>
          <w:p>
            <w:pPr>
              <w:pStyle w:val="TableText"/>
              <w:ind w:left="11" w:firstLine="9"/>
              <w:spacing w:before="20" w:line="241" w:lineRule="auto"/>
              <w:jc w:val="both"/>
              <w:rPr/>
            </w:pPr>
            <w:r>
              <w:rPr>
                <w:spacing w:val="-3"/>
              </w:rPr>
              <w:t>二、2018年1月1日后投资新设的集成电路线宽小于65纳米或</w:t>
            </w:r>
            <w:r>
              <w:rPr>
                <w:spacing w:val="6"/>
              </w:rPr>
              <w:t xml:space="preserve">  </w:t>
            </w:r>
            <w:r>
              <w:rPr>
                <w:spacing w:val="-4"/>
              </w:rPr>
              <w:t>投资额超过150亿元，且经营期在15年以上的集成电路生产企</w:t>
            </w:r>
            <w:r>
              <w:rPr>
                <w:spacing w:val="3"/>
              </w:rPr>
              <w:t xml:space="preserve">  </w:t>
            </w:r>
            <w:r>
              <w:rPr>
                <w:spacing w:val="-7"/>
              </w:rPr>
              <w:t>业或项目，第一年至第五年免征企业所得税，第六年至第十年</w:t>
            </w:r>
            <w:r>
              <w:rPr>
                <w:spacing w:val="2"/>
              </w:rPr>
              <w:t xml:space="preserve">  </w:t>
            </w:r>
            <w:r>
              <w:rPr>
                <w:spacing w:val="-7"/>
              </w:rPr>
              <w:t>按照25%的法定税率减半征收企业所得税，并享受至期满为止。</w:t>
            </w:r>
            <w:r>
              <w:rPr>
                <w:spacing w:val="11"/>
              </w:rPr>
              <w:t xml:space="preserve"> </w:t>
            </w:r>
            <w:r>
              <w:rPr>
                <w:spacing w:val="-2"/>
              </w:rPr>
              <w:t>三、2017年12月31日前设立但未获利的集成电路线宽小</w:t>
            </w:r>
          </w:p>
          <w:p>
            <w:pPr>
              <w:pStyle w:val="TableText"/>
              <w:ind w:left="51"/>
              <w:spacing w:before="12" w:line="219" w:lineRule="auto"/>
              <w:rPr/>
            </w:pPr>
            <w:r>
              <w:rPr>
                <w:spacing w:val="-1"/>
              </w:rPr>
              <w:t>于0.25微米或投资额超过80亿元，且经营期在15年以上</w:t>
            </w:r>
          </w:p>
          <w:p>
            <w:pPr>
              <w:pStyle w:val="TableText"/>
              <w:ind w:left="51" w:right="18" w:hanging="30"/>
              <w:spacing w:before="31" w:line="233" w:lineRule="auto"/>
              <w:rPr/>
            </w:pPr>
            <w:r>
              <w:rPr/>
              <w:t>的集成电路生产企业，自获利年度起第一年至第五年免征企</w:t>
            </w:r>
            <w:r>
              <w:rPr>
                <w:spacing w:val="5"/>
              </w:rPr>
              <w:t xml:space="preserve"> </w:t>
            </w:r>
            <w:r>
              <w:rPr/>
              <w:t>业所得税，第六年至第十年按照25%的法</w:t>
            </w:r>
            <w:r>
              <w:rPr>
                <w:spacing w:val="-1"/>
              </w:rPr>
              <w:t>定税率减半征收</w:t>
            </w:r>
          </w:p>
          <w:p>
            <w:pPr>
              <w:pStyle w:val="TableText"/>
              <w:ind w:left="21"/>
              <w:spacing w:before="22" w:line="219" w:lineRule="auto"/>
              <w:rPr/>
            </w:pPr>
            <w:r>
              <w:rPr>
                <w:spacing w:val="-1"/>
              </w:rPr>
              <w:t>企业所得税，并享受至期满为止。</w:t>
            </w:r>
          </w:p>
          <w:p>
            <w:pPr>
              <w:pStyle w:val="TableText"/>
              <w:ind w:left="11" w:right="236" w:firstLine="30"/>
              <w:spacing w:before="23" w:line="239" w:lineRule="auto"/>
              <w:jc w:val="both"/>
              <w:rPr/>
            </w:pPr>
            <w:r>
              <w:rPr/>
              <w:t>四、2017年12月31日前设立但未获利的集成电路线宽小</w:t>
            </w:r>
            <w:r>
              <w:rPr>
                <w:spacing w:val="5"/>
              </w:rPr>
              <w:t xml:space="preserve">  </w:t>
            </w:r>
            <w:r>
              <w:rPr/>
              <w:t>于0.8微米(含)的集成电路生产企业，自获利年度起第一</w:t>
            </w:r>
            <w:r>
              <w:rPr>
                <w:spacing w:val="10"/>
              </w:rPr>
              <w:t xml:space="preserve"> </w:t>
            </w:r>
            <w:r>
              <w:rPr>
                <w:spacing w:val="1"/>
              </w:rPr>
              <w:t>年至第二年免征企业所得税，第三年至第五年按照</w:t>
            </w:r>
            <w:r>
              <w:rPr/>
              <w:t>25%的 </w:t>
            </w:r>
            <w:r>
              <w:rPr>
                <w:spacing w:val="-1"/>
              </w:rPr>
              <w:t>法定税率减半征收企业所得税，并享受至期满为止</w:t>
            </w:r>
          </w:p>
        </w:tc>
        <w:tc>
          <w:tcPr>
            <w:tcW w:w="2158" w:type="dxa"/>
            <w:vAlign w:val="top"/>
          </w:tcPr>
          <w:p>
            <w:pPr>
              <w:pStyle w:val="TableText"/>
              <w:ind w:left="20" w:right="108" w:firstLine="74"/>
              <w:spacing w:before="132" w:line="241" w:lineRule="auto"/>
              <w:jc w:val="both"/>
              <w:rPr/>
            </w:pPr>
            <w:r>
              <w:rPr>
                <w:spacing w:val="-1"/>
              </w:rPr>
              <w:t>财政部、税务总局、国家发展</w:t>
            </w:r>
            <w:r>
              <w:rPr>
                <w:spacing w:val="5"/>
              </w:rPr>
              <w:t xml:space="preserve"> </w:t>
            </w:r>
            <w:r>
              <w:rPr>
                <w:spacing w:val="4"/>
              </w:rPr>
              <w:t>改革委、工业和信息化部《关</w:t>
            </w:r>
            <w:r>
              <w:rPr>
                <w:spacing w:val="10"/>
              </w:rPr>
              <w:t xml:space="preserve"> </w:t>
            </w:r>
            <w:r>
              <w:rPr>
                <w:spacing w:val="5"/>
              </w:rPr>
              <w:t>于集成电路生产企业有关企业</w:t>
            </w:r>
            <w:r>
              <w:rPr/>
              <w:t xml:space="preserve"> </w:t>
            </w:r>
            <w:r>
              <w:rPr>
                <w:spacing w:val="5"/>
              </w:rPr>
              <w:t>所得税政策问题的通知》财税</w:t>
            </w:r>
            <w:r>
              <w:rPr>
                <w:spacing w:val="3"/>
              </w:rPr>
              <w:t xml:space="preserve"> </w:t>
            </w:r>
            <w:r>
              <w:rPr>
                <w:spacing w:val="8"/>
              </w:rPr>
              <w:t>〔2018〕27号</w:t>
            </w:r>
          </w:p>
        </w:tc>
        <w:tc>
          <w:tcPr>
            <w:tcW w:w="889" w:type="dxa"/>
            <w:vAlign w:val="top"/>
          </w:tcPr>
          <w:p>
            <w:pPr>
              <w:pStyle w:val="TableText"/>
              <w:ind w:left="16" w:right="1" w:firstLine="10"/>
              <w:spacing w:before="131" w:line="221" w:lineRule="auto"/>
              <w:rPr/>
            </w:pPr>
            <w:r>
              <w:rPr>
                <w:spacing w:val="19"/>
                <w:w w:val="106"/>
              </w:rPr>
              <w:t>2018年1月</w:t>
            </w:r>
            <w:r>
              <w:rPr/>
              <w:t xml:space="preserve"> </w:t>
            </w:r>
            <w:r>
              <w:rPr>
                <w:spacing w:val="-4"/>
              </w:rPr>
              <w:t>1日起</w:t>
            </w:r>
          </w:p>
        </w:tc>
        <w:tc>
          <w:tcPr>
            <w:tcW w:w="849" w:type="dxa"/>
            <w:vAlign w:val="top"/>
          </w:tcPr>
          <w:p>
            <w:pPr>
              <w:pStyle w:val="TableText"/>
              <w:ind w:left="117" w:right="48" w:hanging="69"/>
              <w:spacing w:before="130" w:line="233" w:lineRule="auto"/>
              <w:rPr/>
            </w:pPr>
            <w:r>
              <w:rPr>
                <w:spacing w:val="-2"/>
              </w:rPr>
              <w:t>生产集成电</w:t>
            </w:r>
            <w:r>
              <w:rPr>
                <w:spacing w:val="1"/>
              </w:rPr>
              <w:t xml:space="preserve"> </w:t>
            </w:r>
            <w:r>
              <w:rPr>
                <w:spacing w:val="-2"/>
              </w:rPr>
              <w:t>路的企业</w:t>
            </w:r>
          </w:p>
        </w:tc>
        <w:tc>
          <w:tcPr>
            <w:tcW w:w="1029" w:type="dxa"/>
            <w:vAlign w:val="top"/>
          </w:tcPr>
          <w:p>
            <w:pPr>
              <w:pStyle w:val="TableText"/>
              <w:ind w:left="138"/>
              <w:spacing w:before="131" w:line="219" w:lineRule="auto"/>
              <w:rPr/>
            </w:pPr>
            <w:r>
              <w:rPr>
                <w:spacing w:val="-2"/>
              </w:rPr>
              <w:t>企业所得税</w:t>
            </w:r>
          </w:p>
        </w:tc>
        <w:tc>
          <w:tcPr>
            <w:tcW w:w="464" w:type="dxa"/>
            <w:vAlign w:val="top"/>
          </w:tcPr>
          <w:p>
            <w:pPr>
              <w:pStyle w:val="TableText"/>
              <w:ind w:left="80"/>
              <w:spacing w:before="111"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pict>
          <v:shape id="_x0000_s50" style="position:absolute;margin-left:38.9997pt;margin-top:344.834pt;mso-position-vertical-relative:page;mso-position-horizontal-relative:page;width:10.6pt;height:17.75pt;z-index:251699200;" o:allowincell="f" filled="false" stroked="false" type="#_x0000_t202">
            <v:fill on="false"/>
            <v:stroke on="false"/>
            <v:path/>
            <v:imagedata o:title=""/>
            <o:lock v:ext="edit" aspectratio="false"/>
            <v:textbox inset="0mm,0mm,0mm,0mm">
              <w:txbxContent>
                <w:p>
                  <w:pPr>
                    <w:spacing w:before="19" w:line="224" w:lineRule="auto"/>
                    <w:jc w:val="right"/>
                    <w:rPr>
                      <w:rFonts w:ascii="SimSun" w:hAnsi="SimSun" w:eastAsia="SimSun" w:cs="SimSun"/>
                      <w:sz w:val="26"/>
                      <w:szCs w:val="26"/>
                    </w:rPr>
                  </w:pPr>
                  <w:r>
                    <w:rPr>
                      <w:rFonts w:ascii="SimSun" w:hAnsi="SimSun" w:eastAsia="SimSun" w:cs="SimSun"/>
                      <w:sz w:val="26"/>
                      <w:szCs w:val="26"/>
                      <w:spacing w:val="-20"/>
                      <w:w w:val="73"/>
                    </w:rPr>
                    <w:t>去</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48"/>
        <w:gridCol w:w="889"/>
        <w:gridCol w:w="849"/>
        <w:gridCol w:w="102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76" w:type="dxa"/>
            <w:vAlign w:val="top"/>
          </w:tcPr>
          <w:p>
            <w:pPr>
              <w:pStyle w:val="TableText"/>
              <w:ind w:left="1681"/>
              <w:spacing w:before="171" w:line="219" w:lineRule="auto"/>
              <w:rPr/>
            </w:pPr>
            <w:r>
              <w:rPr>
                <w:spacing w:val="-2"/>
              </w:rPr>
              <w:t>主要内容</w:t>
            </w:r>
          </w:p>
        </w:tc>
        <w:tc>
          <w:tcPr>
            <w:tcW w:w="2148" w:type="dxa"/>
            <w:vAlign w:val="top"/>
          </w:tcPr>
          <w:p>
            <w:pPr>
              <w:pStyle w:val="TableText"/>
              <w:ind w:left="764"/>
              <w:spacing w:before="170" w:line="219" w:lineRule="auto"/>
              <w:rPr/>
            </w:pPr>
            <w:r>
              <w:rPr>
                <w:spacing w:val="-1"/>
              </w:rPr>
              <w:t>政策依据</w:t>
            </w:r>
          </w:p>
        </w:tc>
        <w:tc>
          <w:tcPr>
            <w:tcW w:w="88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458" w:hRule="atLeast"/>
        </w:trPr>
        <w:tc>
          <w:tcPr>
            <w:tcW w:w="284" w:type="dxa"/>
            <w:vAlign w:val="top"/>
          </w:tcPr>
          <w:p>
            <w:pPr>
              <w:spacing w:line="321" w:lineRule="auto"/>
              <w:rPr>
                <w:rFonts w:ascii="Arial"/>
                <w:sz w:val="21"/>
              </w:rPr>
            </w:pPr>
            <w:r/>
          </w:p>
          <w:p>
            <w:pPr>
              <w:spacing w:line="321" w:lineRule="auto"/>
              <w:rPr>
                <w:rFonts w:ascii="Arial"/>
                <w:sz w:val="21"/>
              </w:rPr>
            </w:pPr>
            <w:r/>
          </w:p>
          <w:p>
            <w:pPr>
              <w:pStyle w:val="TableText"/>
              <w:ind w:left="55"/>
              <w:spacing w:before="49" w:line="184" w:lineRule="auto"/>
              <w:rPr/>
            </w:pPr>
            <w:r>
              <w:rPr>
                <w:spacing w:val="-2"/>
              </w:rPr>
              <w:t>21</w:t>
            </w:r>
          </w:p>
        </w:tc>
        <w:tc>
          <w:tcPr>
            <w:tcW w:w="3976" w:type="dxa"/>
            <w:vAlign w:val="top"/>
          </w:tcPr>
          <w:p>
            <w:pPr>
              <w:pStyle w:val="TableText"/>
              <w:ind w:left="21" w:right="190" w:firstLine="159"/>
              <w:spacing w:before="155"/>
              <w:rPr/>
            </w:pPr>
            <w:r>
              <w:rPr/>
              <w:t>对经认定的技术先进型服务企业(服务贸易类</w:t>
            </w:r>
            <w:r>
              <w:rPr>
                <w:spacing w:val="-1"/>
              </w:rPr>
              <w:t>),减按15%</w:t>
            </w:r>
            <w:r>
              <w:rPr/>
              <w:t xml:space="preserve"> </w:t>
            </w:r>
            <w:r>
              <w:rPr>
                <w:spacing w:val="-1"/>
              </w:rPr>
              <w:t>的税率征收企业所得税。</w:t>
            </w:r>
          </w:p>
        </w:tc>
        <w:tc>
          <w:tcPr>
            <w:tcW w:w="2148" w:type="dxa"/>
            <w:vAlign w:val="top"/>
          </w:tcPr>
          <w:p>
            <w:pPr>
              <w:pStyle w:val="TableText"/>
              <w:ind w:left="34" w:right="17" w:firstLine="60"/>
              <w:spacing w:before="155" w:line="244" w:lineRule="auto"/>
              <w:rPr/>
            </w:pPr>
            <w:r>
              <w:rPr>
                <w:spacing w:val="5"/>
              </w:rPr>
              <w:t>财政部、税务总局、商务部、</w:t>
            </w:r>
            <w:r>
              <w:rPr>
                <w:spacing w:val="8"/>
              </w:rPr>
              <w:t xml:space="preserve"> </w:t>
            </w:r>
            <w:r>
              <w:rPr>
                <w:spacing w:val="4"/>
              </w:rPr>
              <w:t>科技部、国家发展改革委《关</w:t>
            </w:r>
            <w:r>
              <w:rPr/>
              <w:t xml:space="preserve">  </w:t>
            </w:r>
            <w:r>
              <w:rPr>
                <w:spacing w:val="3"/>
              </w:rPr>
              <w:t>于将服务贸易创新发展试点地</w:t>
            </w:r>
            <w:r>
              <w:rPr>
                <w:spacing w:val="5"/>
              </w:rPr>
              <w:t xml:space="preserve">  </w:t>
            </w:r>
            <w:r>
              <w:rPr>
                <w:spacing w:val="5"/>
              </w:rPr>
              <w:t>区技术先进型服务企业所得税</w:t>
            </w:r>
            <w:r>
              <w:rPr/>
              <w:t xml:space="preserve">  </w:t>
            </w:r>
            <w:r>
              <w:rPr>
                <w:spacing w:val="-1"/>
              </w:rPr>
              <w:t>政策推广至全国实施的通知》</w:t>
            </w:r>
          </w:p>
          <w:p>
            <w:pPr>
              <w:pStyle w:val="TableText"/>
              <w:ind w:left="34"/>
              <w:spacing w:before="21" w:line="220" w:lineRule="auto"/>
              <w:rPr/>
            </w:pPr>
            <w:r>
              <w:rPr>
                <w:spacing w:val="-1"/>
              </w:rPr>
              <w:t>财税〔2018〕44号</w:t>
            </w:r>
          </w:p>
        </w:tc>
        <w:tc>
          <w:tcPr>
            <w:tcW w:w="889" w:type="dxa"/>
            <w:vAlign w:val="top"/>
          </w:tcPr>
          <w:p>
            <w:pPr>
              <w:pStyle w:val="TableText"/>
              <w:ind w:left="16"/>
              <w:spacing w:before="157" w:line="227" w:lineRule="auto"/>
              <w:rPr/>
            </w:pPr>
            <w:r>
              <w:rPr>
                <w:spacing w:val="19"/>
                <w:w w:val="108"/>
              </w:rPr>
              <w:t>2018年1月</w:t>
            </w:r>
            <w:r>
              <w:rPr/>
              <w:t xml:space="preserve"> </w:t>
            </w:r>
            <w:r>
              <w:rPr>
                <w:spacing w:val="-5"/>
              </w:rPr>
              <w:t>1日起</w:t>
            </w:r>
          </w:p>
        </w:tc>
        <w:tc>
          <w:tcPr>
            <w:tcW w:w="849" w:type="dxa"/>
            <w:vAlign w:val="top"/>
          </w:tcPr>
          <w:p>
            <w:pPr>
              <w:pStyle w:val="TableText"/>
              <w:ind w:left="48" w:right="48"/>
              <w:spacing w:before="148" w:line="242" w:lineRule="auto"/>
              <w:jc w:val="both"/>
              <w:rPr/>
            </w:pPr>
            <w:r>
              <w:rPr>
                <w:spacing w:val="-2"/>
              </w:rPr>
              <w:t>经认定的技</w:t>
            </w:r>
            <w:r>
              <w:rPr>
                <w:spacing w:val="1"/>
              </w:rPr>
              <w:t xml:space="preserve"> </w:t>
            </w:r>
            <w:r>
              <w:rPr>
                <w:spacing w:val="-2"/>
              </w:rPr>
              <w:t>术先进型服</w:t>
            </w:r>
            <w:r>
              <w:rPr>
                <w:spacing w:val="1"/>
              </w:rPr>
              <w:t xml:space="preserve"> </w:t>
            </w:r>
            <w:r>
              <w:rPr>
                <w:spacing w:val="4"/>
              </w:rPr>
              <w:t>务企业(服</w:t>
            </w:r>
            <w:r>
              <w:rPr>
                <w:spacing w:val="1"/>
              </w:rPr>
              <w:t xml:space="preserve"> </w:t>
            </w:r>
            <w:r>
              <w:rPr>
                <w:spacing w:val="13"/>
              </w:rPr>
              <w:t>务贸易类)</w:t>
            </w:r>
          </w:p>
        </w:tc>
        <w:tc>
          <w:tcPr>
            <w:tcW w:w="1029" w:type="dxa"/>
            <w:vAlign w:val="top"/>
          </w:tcPr>
          <w:p>
            <w:pPr>
              <w:pStyle w:val="TableText"/>
              <w:ind w:left="138"/>
              <w:spacing w:before="147" w:line="219" w:lineRule="auto"/>
              <w:rPr/>
            </w:pPr>
            <w:r>
              <w:rPr>
                <w:spacing w:val="-2"/>
              </w:rPr>
              <w:t>企业所得税</w:t>
            </w:r>
          </w:p>
        </w:tc>
        <w:tc>
          <w:tcPr>
            <w:tcW w:w="464" w:type="dxa"/>
            <w:vAlign w:val="top"/>
          </w:tcPr>
          <w:p>
            <w:pPr>
              <w:pStyle w:val="TableText"/>
              <w:ind w:left="80"/>
              <w:spacing w:before="147" w:line="219" w:lineRule="auto"/>
              <w:rPr/>
            </w:pPr>
            <w:r>
              <w:rPr>
                <w:spacing w:val="-2"/>
              </w:rPr>
              <w:t>减征</w:t>
            </w:r>
          </w:p>
        </w:tc>
      </w:tr>
      <w:tr>
        <w:trPr>
          <w:trHeight w:val="868" w:hRule="atLeast"/>
        </w:trPr>
        <w:tc>
          <w:tcPr>
            <w:tcW w:w="284" w:type="dxa"/>
            <w:vAlign w:val="top"/>
          </w:tcPr>
          <w:p>
            <w:pPr>
              <w:spacing w:line="346" w:lineRule="auto"/>
              <w:rPr>
                <w:rFonts w:ascii="Arial"/>
                <w:sz w:val="21"/>
              </w:rPr>
            </w:pPr>
            <w:r/>
          </w:p>
          <w:p>
            <w:pPr>
              <w:pStyle w:val="TableText"/>
              <w:ind w:left="55"/>
              <w:spacing w:before="49" w:line="183" w:lineRule="auto"/>
              <w:rPr/>
            </w:pPr>
            <w:r>
              <w:rPr>
                <w:spacing w:val="-2"/>
              </w:rPr>
              <w:t>22</w:t>
            </w:r>
          </w:p>
        </w:tc>
        <w:tc>
          <w:tcPr>
            <w:tcW w:w="3976" w:type="dxa"/>
            <w:vAlign w:val="top"/>
          </w:tcPr>
          <w:p>
            <w:pPr>
              <w:pStyle w:val="TableText"/>
              <w:ind w:left="31" w:right="42" w:firstLine="69"/>
              <w:spacing w:before="179" w:line="237" w:lineRule="auto"/>
              <w:jc w:val="both"/>
              <w:rPr/>
            </w:pPr>
            <w:r>
              <w:rPr/>
              <w:t>企业发生的职工教育经费支出，不超过工资薪金总额8%的</w:t>
            </w:r>
            <w:r>
              <w:rPr>
                <w:spacing w:val="5"/>
              </w:rPr>
              <w:t xml:space="preserve">  </w:t>
            </w:r>
            <w:r>
              <w:rPr>
                <w:spacing w:val="-1"/>
              </w:rPr>
              <w:t>部分，准予在计算企业所得税应纳税所得额时扣除；超过部</w:t>
            </w:r>
            <w:r>
              <w:rPr>
                <w:spacing w:val="17"/>
              </w:rPr>
              <w:t xml:space="preserve"> </w:t>
            </w:r>
            <w:r>
              <w:rPr/>
              <w:t>分，准予在以后纳税年度结转扣除，</w:t>
            </w:r>
          </w:p>
        </w:tc>
        <w:tc>
          <w:tcPr>
            <w:tcW w:w="2148" w:type="dxa"/>
            <w:vAlign w:val="top"/>
          </w:tcPr>
          <w:p>
            <w:pPr>
              <w:pStyle w:val="TableText"/>
              <w:ind w:left="95" w:right="99"/>
              <w:spacing w:before="178" w:line="238" w:lineRule="auto"/>
              <w:jc w:val="both"/>
              <w:rPr/>
            </w:pPr>
            <w:r>
              <w:rPr>
                <w:spacing w:val="-1"/>
              </w:rPr>
              <w:t>财政部、国家税务总局《关于</w:t>
            </w:r>
            <w:r>
              <w:rPr>
                <w:spacing w:val="5"/>
              </w:rPr>
              <w:t xml:space="preserve"> </w:t>
            </w:r>
            <w:r>
              <w:rPr>
                <w:spacing w:val="-1"/>
              </w:rPr>
              <w:t>企业职工教育经费税前扣除政</w:t>
            </w:r>
            <w:r>
              <w:rPr>
                <w:spacing w:val="3"/>
              </w:rPr>
              <w:t xml:space="preserve"> </w:t>
            </w:r>
            <w:r>
              <w:rPr>
                <w:spacing w:val="-1"/>
              </w:rPr>
              <w:t>策的通知》财税〔2018〕51号</w:t>
            </w:r>
          </w:p>
        </w:tc>
        <w:tc>
          <w:tcPr>
            <w:tcW w:w="889" w:type="dxa"/>
            <w:vAlign w:val="top"/>
          </w:tcPr>
          <w:p>
            <w:pPr>
              <w:pStyle w:val="TableText"/>
              <w:ind w:left="16" w:right="1" w:firstLine="10"/>
              <w:spacing w:before="169" w:line="227" w:lineRule="auto"/>
              <w:rPr/>
            </w:pPr>
            <w:r>
              <w:rPr>
                <w:spacing w:val="19"/>
                <w:w w:val="106"/>
              </w:rPr>
              <w:t>2018年1月</w:t>
            </w:r>
            <w:r>
              <w:rPr/>
              <w:t xml:space="preserve"> </w:t>
            </w:r>
            <w:r>
              <w:rPr>
                <w:spacing w:val="-4"/>
              </w:rPr>
              <w:t>1日起</w:t>
            </w:r>
          </w:p>
        </w:tc>
        <w:tc>
          <w:tcPr>
            <w:tcW w:w="849" w:type="dxa"/>
            <w:vAlign w:val="top"/>
          </w:tcPr>
          <w:p>
            <w:pPr>
              <w:pStyle w:val="TableText"/>
              <w:ind w:left="48"/>
              <w:spacing w:before="179" w:line="219" w:lineRule="auto"/>
              <w:rPr/>
            </w:pPr>
            <w:r>
              <w:rPr>
                <w:spacing w:val="-2"/>
              </w:rPr>
              <w:t>发生职工教</w:t>
            </w:r>
          </w:p>
          <w:p>
            <w:pPr>
              <w:pStyle w:val="TableText"/>
              <w:ind w:left="48"/>
              <w:spacing w:before="22" w:line="219" w:lineRule="auto"/>
              <w:rPr/>
            </w:pPr>
            <w:r>
              <w:rPr>
                <w:spacing w:val="3"/>
              </w:rPr>
              <w:t>育经费支出</w:t>
            </w:r>
          </w:p>
          <w:p>
            <w:pPr>
              <w:pStyle w:val="TableText"/>
              <w:ind w:left="197"/>
              <w:spacing w:before="14" w:line="222" w:lineRule="auto"/>
              <w:rPr/>
            </w:pPr>
            <w:r>
              <w:rPr>
                <w:spacing w:val="1"/>
              </w:rPr>
              <w:t>的企业</w:t>
            </w:r>
          </w:p>
        </w:tc>
        <w:tc>
          <w:tcPr>
            <w:tcW w:w="1029" w:type="dxa"/>
            <w:vAlign w:val="top"/>
          </w:tcPr>
          <w:p>
            <w:pPr>
              <w:pStyle w:val="TableText"/>
              <w:ind w:left="138"/>
              <w:spacing w:before="169" w:line="219" w:lineRule="auto"/>
              <w:rPr/>
            </w:pPr>
            <w:r>
              <w:rPr>
                <w:spacing w:val="-2"/>
              </w:rPr>
              <w:t>企业所得税</w:t>
            </w:r>
          </w:p>
        </w:tc>
        <w:tc>
          <w:tcPr>
            <w:tcW w:w="464" w:type="dxa"/>
            <w:vAlign w:val="top"/>
          </w:tcPr>
          <w:p>
            <w:pPr>
              <w:pStyle w:val="TableText"/>
              <w:ind w:left="80"/>
              <w:spacing w:before="159" w:line="219" w:lineRule="auto"/>
              <w:rPr/>
            </w:pPr>
            <w:r>
              <w:rPr>
                <w:spacing w:val="-2"/>
              </w:rPr>
              <w:t>减征</w:t>
            </w:r>
          </w:p>
        </w:tc>
      </w:tr>
      <w:tr>
        <w:trPr>
          <w:trHeight w:val="1078" w:hRule="atLeast"/>
        </w:trPr>
        <w:tc>
          <w:tcPr>
            <w:tcW w:w="284" w:type="dxa"/>
            <w:vAlign w:val="top"/>
          </w:tcPr>
          <w:p>
            <w:pPr>
              <w:spacing w:line="458" w:lineRule="auto"/>
              <w:rPr>
                <w:rFonts w:ascii="Arial"/>
                <w:sz w:val="21"/>
              </w:rPr>
            </w:pPr>
            <w:r/>
          </w:p>
          <w:p>
            <w:pPr>
              <w:pStyle w:val="TableText"/>
              <w:ind w:left="55"/>
              <w:spacing w:before="49" w:line="183" w:lineRule="auto"/>
              <w:rPr/>
            </w:pPr>
            <w:r>
              <w:rPr>
                <w:spacing w:val="-2"/>
              </w:rPr>
              <w:t>23</w:t>
            </w:r>
          </w:p>
        </w:tc>
        <w:tc>
          <w:tcPr>
            <w:tcW w:w="3976" w:type="dxa"/>
            <w:vAlign w:val="top"/>
          </w:tcPr>
          <w:p>
            <w:pPr>
              <w:pStyle w:val="TableText"/>
              <w:ind w:left="31" w:right="44" w:firstLine="30"/>
              <w:spacing w:before="169" w:line="238" w:lineRule="auto"/>
              <w:jc w:val="both"/>
              <w:rPr/>
            </w:pPr>
            <w:r>
              <w:rPr/>
              <w:t>新购进的设备、器具，单位价值不超过50</w:t>
            </w:r>
            <w:r>
              <w:rPr>
                <w:spacing w:val="-1"/>
              </w:rPr>
              <w:t>0万元的，允许一</w:t>
            </w:r>
            <w:r>
              <w:rPr/>
              <w:t xml:space="preserve"> </w:t>
            </w:r>
            <w:r>
              <w:rPr>
                <w:spacing w:val="-1"/>
              </w:rPr>
              <w:t>次性计入当期成本费用在计算应纳税所得额时扣除，不再分</w:t>
            </w:r>
            <w:r>
              <w:rPr>
                <w:spacing w:val="15"/>
              </w:rPr>
              <w:t xml:space="preserve"> </w:t>
            </w:r>
            <w:r>
              <w:rPr>
                <w:spacing w:val="-1"/>
              </w:rPr>
              <w:t>年度计算折旧。</w:t>
            </w:r>
          </w:p>
        </w:tc>
        <w:tc>
          <w:tcPr>
            <w:tcW w:w="2148" w:type="dxa"/>
            <w:vAlign w:val="top"/>
          </w:tcPr>
          <w:p>
            <w:pPr>
              <w:pStyle w:val="TableText"/>
              <w:ind w:left="54" w:right="98" w:firstLine="40"/>
              <w:spacing w:before="170" w:line="238" w:lineRule="auto"/>
              <w:jc w:val="both"/>
              <w:rPr/>
            </w:pPr>
            <w:r>
              <w:rPr>
                <w:spacing w:val="-1"/>
              </w:rPr>
              <w:t>财政部、税务总局《关于设备</w:t>
            </w:r>
            <w:r>
              <w:rPr>
                <w:spacing w:val="5"/>
              </w:rPr>
              <w:t xml:space="preserve"> </w:t>
            </w:r>
            <w:r>
              <w:rPr>
                <w:spacing w:val="2"/>
              </w:rPr>
              <w:t>器具扣除有关企业所得税政策</w:t>
            </w:r>
            <w:r>
              <w:rPr>
                <w:spacing w:val="7"/>
              </w:rPr>
              <w:t xml:space="preserve"> </w:t>
            </w:r>
            <w:r>
              <w:rPr/>
              <w:t>的通知》财税〔2018〕54号</w:t>
            </w:r>
          </w:p>
        </w:tc>
        <w:tc>
          <w:tcPr>
            <w:tcW w:w="889" w:type="dxa"/>
            <w:vAlign w:val="top"/>
          </w:tcPr>
          <w:p>
            <w:pPr>
              <w:pStyle w:val="TableText"/>
              <w:ind w:left="16"/>
              <w:spacing w:before="171" w:line="242" w:lineRule="auto"/>
              <w:rPr/>
            </w:pPr>
            <w:r>
              <w:rPr>
                <w:spacing w:val="19"/>
                <w:w w:val="108"/>
              </w:rPr>
              <w:t>2018年1月</w:t>
            </w:r>
            <w:r>
              <w:rPr/>
              <w:t xml:space="preserve"> </w:t>
            </w:r>
            <w:r>
              <w:rPr>
                <w:spacing w:val="-2"/>
              </w:rPr>
              <w:t>1日</w:t>
            </w:r>
            <w:r>
              <w:rPr>
                <w:spacing w:val="14"/>
              </w:rPr>
              <w:t xml:space="preserve"> </w:t>
            </w:r>
            <w:r>
              <w:rPr>
                <w:spacing w:val="-2"/>
              </w:rPr>
              <w:t>至2023</w:t>
            </w:r>
            <w:r>
              <w:rPr/>
              <w:t xml:space="preserve">  </w:t>
            </w:r>
            <w:r>
              <w:rPr>
                <w:spacing w:val="-11"/>
              </w:rPr>
              <w:t>年 1</w:t>
            </w:r>
            <w:r>
              <w:rPr>
                <w:spacing w:val="-13"/>
              </w:rPr>
              <w:t xml:space="preserve"> </w:t>
            </w:r>
            <w:r>
              <w:rPr>
                <w:spacing w:val="-11"/>
              </w:rPr>
              <w:t>2</w:t>
            </w:r>
            <w:r>
              <w:rPr>
                <w:spacing w:val="-14"/>
              </w:rPr>
              <w:t xml:space="preserve"> </w:t>
            </w:r>
            <w:r>
              <w:rPr>
                <w:spacing w:val="-11"/>
              </w:rPr>
              <w:t>月</w:t>
            </w:r>
            <w:r>
              <w:rPr>
                <w:spacing w:val="-14"/>
              </w:rPr>
              <w:t xml:space="preserve"> </w:t>
            </w:r>
            <w:r>
              <w:rPr>
                <w:spacing w:val="-11"/>
              </w:rPr>
              <w:t>3 1</w:t>
            </w:r>
            <w:r>
              <w:rPr/>
              <w:t xml:space="preserve"> </w:t>
            </w:r>
            <w:r>
              <w:rPr/>
              <w:t>日</w:t>
            </w:r>
          </w:p>
        </w:tc>
        <w:tc>
          <w:tcPr>
            <w:tcW w:w="849" w:type="dxa"/>
            <w:vAlign w:val="top"/>
          </w:tcPr>
          <w:p>
            <w:pPr>
              <w:pStyle w:val="TableText"/>
              <w:ind w:left="117"/>
              <w:spacing w:before="161" w:line="220" w:lineRule="auto"/>
              <w:rPr/>
            </w:pPr>
            <w:r>
              <w:rPr>
                <w:spacing w:val="-2"/>
              </w:rPr>
              <w:t>新购进设</w:t>
            </w:r>
          </w:p>
          <w:p>
            <w:pPr>
              <w:pStyle w:val="TableText"/>
              <w:ind w:left="48"/>
              <w:spacing w:before="30" w:line="219" w:lineRule="auto"/>
              <w:rPr/>
            </w:pPr>
            <w:r>
              <w:rPr>
                <w:spacing w:val="-2"/>
              </w:rPr>
              <w:t>备、器具符</w:t>
            </w:r>
          </w:p>
          <w:p>
            <w:pPr>
              <w:pStyle w:val="TableText"/>
              <w:ind w:left="48"/>
              <w:spacing w:before="22" w:line="219" w:lineRule="auto"/>
              <w:rPr/>
            </w:pPr>
            <w:r>
              <w:rPr>
                <w:spacing w:val="-2"/>
              </w:rPr>
              <w:t>合条件的企</w:t>
            </w:r>
          </w:p>
          <w:p>
            <w:pPr>
              <w:pStyle w:val="TableText"/>
              <w:ind w:left="348"/>
              <w:spacing w:before="31" w:line="232" w:lineRule="auto"/>
              <w:rPr/>
            </w:pPr>
            <w:r>
              <w:rPr/>
              <w:t>业</w:t>
            </w:r>
          </w:p>
        </w:tc>
        <w:tc>
          <w:tcPr>
            <w:tcW w:w="1029" w:type="dxa"/>
            <w:vAlign w:val="top"/>
          </w:tcPr>
          <w:p>
            <w:pPr>
              <w:pStyle w:val="TableText"/>
              <w:ind w:left="138"/>
              <w:spacing w:before="171" w:line="219" w:lineRule="auto"/>
              <w:rPr/>
            </w:pPr>
            <w:r>
              <w:rPr>
                <w:spacing w:val="-2"/>
              </w:rPr>
              <w:t>企业所得税</w:t>
            </w:r>
          </w:p>
        </w:tc>
        <w:tc>
          <w:tcPr>
            <w:tcW w:w="464" w:type="dxa"/>
            <w:vAlign w:val="top"/>
          </w:tcPr>
          <w:p>
            <w:pPr>
              <w:pStyle w:val="TableText"/>
              <w:ind w:left="80"/>
              <w:spacing w:before="151" w:line="219" w:lineRule="auto"/>
              <w:rPr/>
            </w:pPr>
            <w:r>
              <w:rPr>
                <w:spacing w:val="-2"/>
              </w:rPr>
              <w:t>减征</w:t>
            </w:r>
          </w:p>
        </w:tc>
      </w:tr>
      <w:tr>
        <w:trPr>
          <w:trHeight w:val="2271" w:hRule="atLeast"/>
        </w:trPr>
        <w:tc>
          <w:tcPr>
            <w:tcW w:w="284"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55"/>
              <w:spacing w:before="49" w:line="183" w:lineRule="auto"/>
              <w:rPr/>
            </w:pPr>
            <w:r>
              <w:rPr>
                <w:spacing w:val="-2"/>
              </w:rPr>
              <w:t>24</w:t>
            </w:r>
          </w:p>
        </w:tc>
        <w:tc>
          <w:tcPr>
            <w:tcW w:w="3976" w:type="dxa"/>
            <w:vAlign w:val="top"/>
          </w:tcPr>
          <w:p>
            <w:pPr>
              <w:pStyle w:val="TableText"/>
              <w:ind w:left="41" w:right="319" w:firstLine="20"/>
              <w:spacing w:before="143" w:line="245" w:lineRule="auto"/>
              <w:rPr/>
            </w:pPr>
            <w:r>
              <w:rPr>
                <w:spacing w:val="-1"/>
              </w:rPr>
              <w:t>一、企业可以选择按国(地区)别分别计算(即“分国(地</w:t>
            </w:r>
            <w:r>
              <w:rPr>
                <w:spacing w:val="10"/>
              </w:rPr>
              <w:t xml:space="preserve"> </w:t>
            </w:r>
            <w:r>
              <w:rPr>
                <w:spacing w:val="1"/>
              </w:rPr>
              <w:t>区)不分项”),或者不按国(地区)别汇总计算(即</w:t>
            </w:r>
            <w:r>
              <w:rPr/>
              <w:t>“不  </w:t>
            </w:r>
            <w:r>
              <w:rPr>
                <w:spacing w:val="-1"/>
              </w:rPr>
              <w:t>分国(地区)不分项”)其来源于境外的应纳税所得额</w:t>
            </w:r>
          </w:p>
          <w:p>
            <w:pPr>
              <w:pStyle w:val="TableText"/>
              <w:ind w:left="100" w:right="120" w:hanging="49"/>
              <w:spacing w:before="21" w:line="227" w:lineRule="auto"/>
              <w:rPr/>
            </w:pPr>
            <w:r>
              <w:rPr>
                <w:spacing w:val="-1"/>
              </w:rPr>
              <w:t>并按照财税〔2009〕125号文件第八条规定的税率，分别  </w:t>
            </w:r>
            <w:r>
              <w:rPr>
                <w:spacing w:val="-1"/>
              </w:rPr>
              <w:t>计算其可抵免境外所得税税额和抵免限额。上述方式一经</w:t>
            </w:r>
          </w:p>
          <w:p>
            <w:pPr>
              <w:pStyle w:val="TableText"/>
              <w:ind w:left="31"/>
              <w:spacing w:before="52" w:line="219" w:lineRule="auto"/>
              <w:rPr/>
            </w:pPr>
            <w:r>
              <w:rPr>
                <w:spacing w:val="-1"/>
              </w:rPr>
              <w:t>选择，5年内不得改变。</w:t>
            </w:r>
          </w:p>
          <w:p>
            <w:pPr>
              <w:pStyle w:val="TableText"/>
              <w:ind w:left="31" w:right="43" w:firstLine="69"/>
              <w:spacing w:before="22" w:line="233" w:lineRule="auto"/>
              <w:rPr/>
            </w:pPr>
            <w:r>
              <w:rPr>
                <w:spacing w:val="-1"/>
              </w:rPr>
              <w:t>二、企业在境外取得的股息所得，在按规定计算该企业境</w:t>
            </w:r>
            <w:r>
              <w:rPr>
                <w:spacing w:val="7"/>
              </w:rPr>
              <w:t xml:space="preserve">  </w:t>
            </w:r>
            <w:r>
              <w:rPr>
                <w:spacing w:val="-1"/>
              </w:rPr>
              <w:t>外股息所得的可抵免所得税额和抵免限额时，由该企业直接</w:t>
            </w:r>
            <w:r>
              <w:rPr>
                <w:spacing w:val="16"/>
              </w:rPr>
              <w:t xml:space="preserve"> </w:t>
            </w:r>
            <w:r>
              <w:rPr/>
              <w:t>或者间接持有20%以上股份的外国企业，限于按照财税〔</w:t>
            </w:r>
          </w:p>
          <w:p>
            <w:pPr>
              <w:pStyle w:val="TableText"/>
              <w:spacing w:before="50" w:line="218" w:lineRule="auto"/>
              <w:jc w:val="right"/>
              <w:rPr/>
            </w:pPr>
            <w:r>
              <w:rPr>
                <w:spacing w:val="-6"/>
              </w:rPr>
              <w:t>2009 J125号文件第六条规定的持股方式</w:t>
            </w:r>
            <w:r>
              <w:rPr>
                <w:spacing w:val="-7"/>
              </w:rPr>
              <w:t>确定的五层外国企业。</w:t>
            </w:r>
          </w:p>
        </w:tc>
        <w:tc>
          <w:tcPr>
            <w:tcW w:w="2148" w:type="dxa"/>
            <w:vAlign w:val="top"/>
          </w:tcPr>
          <w:p>
            <w:pPr>
              <w:pStyle w:val="TableText"/>
              <w:ind w:left="95" w:right="75"/>
              <w:spacing w:before="162" w:line="238" w:lineRule="auto"/>
              <w:jc w:val="both"/>
              <w:rPr/>
            </w:pPr>
            <w:r>
              <w:rPr>
                <w:spacing w:val="-1"/>
              </w:rPr>
              <w:t>财政部、税务总局《关于完善</w:t>
            </w:r>
            <w:r>
              <w:rPr>
                <w:spacing w:val="5"/>
              </w:rPr>
              <w:t xml:space="preserve"> </w:t>
            </w:r>
            <w:r>
              <w:rPr>
                <w:spacing w:val="1"/>
              </w:rPr>
              <w:t>企业境外所得税收抵免政策问</w:t>
            </w:r>
            <w:r>
              <w:rPr>
                <w:spacing w:val="3"/>
              </w:rPr>
              <w:t xml:space="preserve"> </w:t>
            </w:r>
            <w:r>
              <w:rPr>
                <w:spacing w:val="4"/>
              </w:rPr>
              <w:t>题的通知》财税[2017]84号</w:t>
            </w:r>
          </w:p>
        </w:tc>
        <w:tc>
          <w:tcPr>
            <w:tcW w:w="889" w:type="dxa"/>
            <w:vAlign w:val="top"/>
          </w:tcPr>
          <w:p>
            <w:pPr>
              <w:pStyle w:val="TableText"/>
              <w:ind w:left="16" w:right="11"/>
              <w:spacing w:before="153" w:line="233" w:lineRule="auto"/>
              <w:rPr/>
            </w:pPr>
            <w:r>
              <w:rPr>
                <w:spacing w:val="20"/>
                <w:w w:val="105"/>
              </w:rPr>
              <w:t>2017年1月</w:t>
            </w:r>
            <w:r>
              <w:rPr/>
              <w:t xml:space="preserve"> </w:t>
            </w:r>
            <w:r>
              <w:rPr>
                <w:spacing w:val="-4"/>
              </w:rPr>
              <w:t>1日起</w:t>
            </w:r>
          </w:p>
        </w:tc>
        <w:tc>
          <w:tcPr>
            <w:tcW w:w="849" w:type="dxa"/>
            <w:vAlign w:val="top"/>
          </w:tcPr>
          <w:p>
            <w:pPr>
              <w:pStyle w:val="TableText"/>
              <w:ind w:left="48" w:right="45"/>
              <w:spacing w:before="142" w:line="239" w:lineRule="auto"/>
              <w:rPr/>
            </w:pPr>
            <w:r>
              <w:rPr>
                <w:spacing w:val="-1"/>
              </w:rPr>
              <w:t>缴纳境外所</w:t>
            </w:r>
            <w:r>
              <w:rPr/>
              <w:t xml:space="preserve"> </w:t>
            </w:r>
            <w:r>
              <w:rPr>
                <w:spacing w:val="-2"/>
              </w:rPr>
              <w:t>得税的企业</w:t>
            </w:r>
          </w:p>
        </w:tc>
        <w:tc>
          <w:tcPr>
            <w:tcW w:w="1029" w:type="dxa"/>
            <w:vAlign w:val="top"/>
          </w:tcPr>
          <w:p>
            <w:pPr>
              <w:pStyle w:val="TableText"/>
              <w:ind w:left="138"/>
              <w:spacing w:before="143" w:line="219" w:lineRule="auto"/>
              <w:rPr/>
            </w:pPr>
            <w:r>
              <w:rPr>
                <w:spacing w:val="-2"/>
              </w:rPr>
              <w:t>企业所得税</w:t>
            </w:r>
          </w:p>
        </w:tc>
        <w:tc>
          <w:tcPr>
            <w:tcW w:w="464" w:type="dxa"/>
            <w:vAlign w:val="top"/>
          </w:tcPr>
          <w:p>
            <w:pPr>
              <w:pStyle w:val="TableText"/>
              <w:ind w:left="80"/>
              <w:spacing w:before="133"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46"/>
        <w:rPr/>
      </w:pPr>
      <w:r>
        <w:pict>
          <v:shape id="_x0000_s52" style="position:absolute;margin-left:38.9997pt;margin-top:50.5273pt;mso-position-vertical-relative:page;mso-position-horizontal-relative:page;width:10.35pt;height:15.2pt;z-index:251700224;" o:allowincell="f" filled="false" stroked="false" type="#_x0000_t202">
            <v:fill on="false"/>
            <v:stroke on="false"/>
            <v:path/>
            <v:imagedata o:title=""/>
            <o:lock v:ext="edit" aspectratio="false"/>
            <v:textbox inset="0mm,0mm,0mm,0mm">
              <w:txbxContent>
                <w:p>
                  <w:pPr>
                    <w:spacing w:before="19" w:line="221" w:lineRule="auto"/>
                    <w:jc w:val="right"/>
                    <w:rPr>
                      <w:rFonts w:ascii="SimSun" w:hAnsi="SimSun" w:eastAsia="SimSun" w:cs="SimSun"/>
                      <w:sz w:val="22"/>
                      <w:szCs w:val="22"/>
                    </w:rPr>
                  </w:pPr>
                  <w:r>
                    <w:rPr>
                      <w:rFonts w:ascii="SimSun" w:hAnsi="SimSun" w:eastAsia="SimSun" w:cs="SimSun"/>
                      <w:sz w:val="22"/>
                      <w:szCs w:val="22"/>
                      <w:spacing w:val="-13"/>
                      <w:w w:val="81"/>
                    </w:rPr>
                    <w:t>式</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48"/>
        <w:gridCol w:w="889"/>
        <w:gridCol w:w="84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48" w:type="dxa"/>
            <w:vAlign w:val="top"/>
          </w:tcPr>
          <w:p>
            <w:pPr>
              <w:pStyle w:val="TableText"/>
              <w:ind w:left="764"/>
              <w:spacing w:before="180" w:line="219" w:lineRule="auto"/>
              <w:rPr/>
            </w:pPr>
            <w:r>
              <w:rPr>
                <w:spacing w:val="-1"/>
              </w:rPr>
              <w:t>政策依据</w:t>
            </w:r>
          </w:p>
        </w:tc>
        <w:tc>
          <w:tcPr>
            <w:tcW w:w="889" w:type="dxa"/>
            <w:vAlign w:val="top"/>
          </w:tcPr>
          <w:p>
            <w:pPr>
              <w:pStyle w:val="TableText"/>
              <w:ind w:left="137"/>
              <w:spacing w:before="181" w:line="219" w:lineRule="auto"/>
              <w:rPr/>
            </w:pPr>
            <w:r>
              <w:rPr>
                <w:spacing w:val="3"/>
              </w:rPr>
              <w:t>执行时间</w:t>
            </w:r>
          </w:p>
        </w:tc>
        <w:tc>
          <w:tcPr>
            <w:tcW w:w="849" w:type="dxa"/>
            <w:vAlign w:val="top"/>
          </w:tcPr>
          <w:p>
            <w:pPr>
              <w:pStyle w:val="TableText"/>
              <w:ind w:left="267" w:right="133" w:hanging="150"/>
              <w:spacing w:before="8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108" w:hRule="atLeast"/>
        </w:trPr>
        <w:tc>
          <w:tcPr>
            <w:tcW w:w="284" w:type="dxa"/>
            <w:vAlign w:val="top"/>
          </w:tcPr>
          <w:p>
            <w:pPr>
              <w:spacing w:line="464" w:lineRule="auto"/>
              <w:rPr>
                <w:rFonts w:ascii="Arial"/>
                <w:sz w:val="21"/>
              </w:rPr>
            </w:pPr>
            <w:r/>
          </w:p>
          <w:p>
            <w:pPr>
              <w:pStyle w:val="TableText"/>
              <w:ind w:left="55"/>
              <w:spacing w:before="48" w:line="183" w:lineRule="auto"/>
              <w:rPr/>
            </w:pPr>
            <w:r>
              <w:rPr>
                <w:spacing w:val="-2"/>
              </w:rPr>
              <w:t>25</w:t>
            </w:r>
          </w:p>
        </w:tc>
        <w:tc>
          <w:tcPr>
            <w:tcW w:w="3976" w:type="dxa"/>
            <w:vAlign w:val="top"/>
          </w:tcPr>
          <w:p>
            <w:pPr>
              <w:pStyle w:val="TableText"/>
              <w:ind w:left="31" w:right="266" w:firstLine="10"/>
              <w:spacing w:before="56" w:line="239" w:lineRule="auto"/>
              <w:rPr/>
            </w:pPr>
            <w:r>
              <w:rPr>
                <w:spacing w:val="-1"/>
              </w:rPr>
              <w:t>1.对经认定的技术先进型服务企业，减按15%的税率征收</w:t>
            </w:r>
            <w:r>
              <w:rPr>
                <w:spacing w:val="9"/>
              </w:rPr>
              <w:t xml:space="preserve"> </w:t>
            </w:r>
            <w:r>
              <w:rPr>
                <w:spacing w:val="-1"/>
              </w:rPr>
              <w:t>企业所得税。</w:t>
            </w:r>
          </w:p>
          <w:p>
            <w:pPr>
              <w:pStyle w:val="TableText"/>
              <w:ind w:left="100"/>
              <w:spacing w:before="32" w:line="219" w:lineRule="auto"/>
              <w:rPr/>
            </w:pPr>
            <w:r>
              <w:rPr/>
              <w:t>2.经认定的技术先进型服务企业发生的职工教育经费支出</w:t>
            </w:r>
          </w:p>
          <w:p>
            <w:pPr>
              <w:pStyle w:val="TableText"/>
              <w:ind w:left="21" w:right="123" w:firstLine="79"/>
              <w:spacing w:before="21" w:line="239" w:lineRule="auto"/>
              <w:rPr/>
            </w:pPr>
            <w:r>
              <w:rPr>
                <w:spacing w:val="-1"/>
              </w:rPr>
              <w:t>不超过工资薪金总额8%的部分，准予在计算应纳税所得额</w:t>
            </w:r>
            <w:r>
              <w:rPr>
                <w:spacing w:val="16"/>
              </w:rPr>
              <w:t xml:space="preserve"> </w:t>
            </w:r>
            <w:r>
              <w:rPr/>
              <w:t>时扣除；超过部分，准予在以后纳税年度结转扣除</w:t>
            </w:r>
          </w:p>
        </w:tc>
        <w:tc>
          <w:tcPr>
            <w:tcW w:w="2148" w:type="dxa"/>
            <w:vAlign w:val="top"/>
          </w:tcPr>
          <w:p>
            <w:pPr>
              <w:pStyle w:val="TableText"/>
              <w:ind w:left="34" w:firstLine="59"/>
              <w:spacing w:before="67" w:line="246" w:lineRule="auto"/>
              <w:jc w:val="both"/>
              <w:rPr/>
            </w:pPr>
            <w:r>
              <w:rPr>
                <w:spacing w:val="5"/>
              </w:rPr>
              <w:t>财政部、税务总局、商务部、</w:t>
            </w:r>
            <w:r>
              <w:rPr>
                <w:spacing w:val="3"/>
              </w:rPr>
              <w:t xml:space="preserve"> </w:t>
            </w:r>
            <w:r>
              <w:rPr>
                <w:spacing w:val="3"/>
              </w:rPr>
              <w:t>科技部、国家发展改革委《关</w:t>
            </w:r>
            <w:r>
              <w:rPr>
                <w:spacing w:val="4"/>
              </w:rPr>
              <w:t xml:space="preserve">  </w:t>
            </w:r>
            <w:r>
              <w:rPr>
                <w:spacing w:val="3"/>
              </w:rPr>
              <w:t>于将技术先进型服务企业所得  </w:t>
            </w:r>
            <w:r>
              <w:rPr/>
              <w:t>税政策推广至全国实施的通知》</w:t>
            </w:r>
            <w:r>
              <w:rPr>
                <w:spacing w:val="2"/>
              </w:rPr>
              <w:t xml:space="preserve"> </w:t>
            </w:r>
            <w:r>
              <w:rPr>
                <w:spacing w:val="-1"/>
              </w:rPr>
              <w:t>财税〔2017〕79号</w:t>
            </w:r>
          </w:p>
        </w:tc>
        <w:tc>
          <w:tcPr>
            <w:tcW w:w="889" w:type="dxa"/>
            <w:vAlign w:val="top"/>
          </w:tcPr>
          <w:p>
            <w:pPr>
              <w:pStyle w:val="TableText"/>
              <w:ind w:left="16" w:right="1" w:firstLine="10"/>
              <w:spacing w:before="67" w:line="221" w:lineRule="auto"/>
              <w:rPr/>
            </w:pPr>
            <w:r>
              <w:rPr>
                <w:spacing w:val="20"/>
                <w:w w:val="105"/>
              </w:rPr>
              <w:t>2017年1月</w:t>
            </w:r>
            <w:r>
              <w:rPr/>
              <w:t xml:space="preserve"> </w:t>
            </w:r>
            <w:r>
              <w:rPr>
                <w:spacing w:val="-4"/>
              </w:rPr>
              <w:t>1日起</w:t>
            </w:r>
          </w:p>
        </w:tc>
        <w:tc>
          <w:tcPr>
            <w:tcW w:w="849" w:type="dxa"/>
            <w:vAlign w:val="top"/>
          </w:tcPr>
          <w:p>
            <w:pPr>
              <w:pStyle w:val="TableText"/>
              <w:ind w:left="48" w:right="47"/>
              <w:spacing w:before="67" w:line="237" w:lineRule="auto"/>
              <w:jc w:val="both"/>
              <w:rPr/>
            </w:pPr>
            <w:r>
              <w:rPr>
                <w:spacing w:val="-2"/>
              </w:rPr>
              <w:t>符合条件的</w:t>
            </w:r>
            <w:r>
              <w:rPr>
                <w:spacing w:val="1"/>
              </w:rPr>
              <w:t xml:space="preserve"> </w:t>
            </w:r>
            <w:r>
              <w:rPr>
                <w:spacing w:val="-2"/>
              </w:rPr>
              <w:t>技术先进型</w:t>
            </w:r>
            <w:r>
              <w:rPr>
                <w:spacing w:val="2"/>
              </w:rPr>
              <w:t xml:space="preserve"> </w:t>
            </w:r>
            <w:r>
              <w:rPr>
                <w:spacing w:val="16"/>
              </w:rPr>
              <w:t>服务企业</w:t>
            </w:r>
          </w:p>
        </w:tc>
        <w:tc>
          <w:tcPr>
            <w:tcW w:w="1029" w:type="dxa"/>
            <w:vAlign w:val="top"/>
          </w:tcPr>
          <w:p>
            <w:pPr>
              <w:pStyle w:val="TableText"/>
              <w:ind w:left="138"/>
              <w:spacing w:before="67" w:line="219" w:lineRule="auto"/>
              <w:rPr/>
            </w:pPr>
            <w:r>
              <w:rPr>
                <w:spacing w:val="-2"/>
              </w:rPr>
              <w:t>企业所得税</w:t>
            </w:r>
          </w:p>
        </w:tc>
        <w:tc>
          <w:tcPr>
            <w:tcW w:w="464" w:type="dxa"/>
            <w:vAlign w:val="top"/>
          </w:tcPr>
          <w:p>
            <w:pPr>
              <w:pStyle w:val="TableText"/>
              <w:ind w:left="80"/>
              <w:spacing w:before="47" w:line="219" w:lineRule="auto"/>
              <w:rPr/>
            </w:pPr>
            <w:r>
              <w:rPr>
                <w:spacing w:val="-2"/>
              </w:rPr>
              <w:t>减征</w:t>
            </w:r>
          </w:p>
        </w:tc>
      </w:tr>
      <w:tr>
        <w:trPr>
          <w:trHeight w:val="2746" w:hRule="atLeast"/>
        </w:trPr>
        <w:tc>
          <w:tcPr>
            <w:tcW w:w="284"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55"/>
              <w:spacing w:before="48" w:line="183" w:lineRule="auto"/>
              <w:rPr/>
            </w:pPr>
            <w:r>
              <w:rPr>
                <w:spacing w:val="-2"/>
              </w:rPr>
              <w:t>26</w:t>
            </w:r>
          </w:p>
        </w:tc>
        <w:tc>
          <w:tcPr>
            <w:tcW w:w="3976" w:type="dxa"/>
            <w:vAlign w:val="top"/>
          </w:tcPr>
          <w:p>
            <w:pPr>
              <w:pStyle w:val="TableText"/>
              <w:ind w:left="51" w:right="63" w:firstLine="10"/>
              <w:spacing w:before="58" w:line="254" w:lineRule="auto"/>
              <w:jc w:val="both"/>
              <w:rPr/>
            </w:pPr>
            <w:r>
              <w:rPr>
                <w:spacing w:val="-1"/>
              </w:rPr>
              <w:t>一、对化妆品制造或销售、医药制造和饮料制造(不含酒类</w:t>
            </w:r>
            <w:r>
              <w:rPr>
                <w:spacing w:val="10"/>
              </w:rPr>
              <w:t xml:space="preserve"> </w:t>
            </w:r>
            <w:r>
              <w:rPr>
                <w:spacing w:val="1"/>
              </w:rPr>
              <w:t>制造)企业发生的广告费和业务宣传费支出，不超过当年销</w:t>
            </w:r>
            <w:r>
              <w:rPr/>
              <w:t xml:space="preserve"> </w:t>
            </w:r>
            <w:r>
              <w:rPr/>
              <w:t>售(营业)收入30%的部分，准予扣除；</w:t>
            </w:r>
            <w:r>
              <w:rPr>
                <w:spacing w:val="-1"/>
              </w:rPr>
              <w:t>超过部分，准予</w:t>
            </w:r>
          </w:p>
          <w:p>
            <w:pPr>
              <w:pStyle w:val="TableText"/>
              <w:ind w:left="41"/>
              <w:spacing w:before="22" w:line="219" w:lineRule="auto"/>
              <w:rPr/>
            </w:pPr>
            <w:r>
              <w:rPr>
                <w:spacing w:val="-1"/>
              </w:rPr>
              <w:t>在以后纳税年度结转扣除</w:t>
            </w:r>
          </w:p>
          <w:p>
            <w:pPr>
              <w:pStyle w:val="TableText"/>
              <w:ind w:left="41" w:right="66" w:firstLine="20"/>
              <w:spacing w:before="10" w:line="246" w:lineRule="auto"/>
              <w:rPr/>
            </w:pPr>
            <w:r>
              <w:rPr/>
              <w:t>二、对签订广告费和业务宣传费分摊协议(以下简称分摊协</w:t>
            </w:r>
            <w:r>
              <w:rPr>
                <w:spacing w:val="12"/>
              </w:rPr>
              <w:t xml:space="preserve"> </w:t>
            </w:r>
            <w:r>
              <w:rPr>
                <w:spacing w:val="1"/>
              </w:rPr>
              <w:t>议)的关联企业，其中一方发生的不超过当年销售(营业)</w:t>
            </w:r>
          </w:p>
          <w:p>
            <w:pPr>
              <w:pStyle w:val="TableText"/>
              <w:ind w:left="31" w:right="28"/>
              <w:spacing w:before="22" w:line="245" w:lineRule="auto"/>
              <w:rPr/>
            </w:pPr>
            <w:r>
              <w:rPr>
                <w:spacing w:val="-1"/>
              </w:rPr>
              <w:t>收入税前扣除限额比例内的广告费和业务宣传费支出可以在</w:t>
            </w:r>
            <w:r>
              <w:rPr>
                <w:spacing w:val="13"/>
              </w:rPr>
              <w:t xml:space="preserve"> </w:t>
            </w:r>
            <w:r>
              <w:rPr>
                <w:spacing w:val="-1"/>
              </w:rPr>
              <w:t>本企业扣除，也可以将其中的部分或全部按照分摊协议归集</w:t>
            </w:r>
            <w:r>
              <w:rPr>
                <w:spacing w:val="18"/>
              </w:rPr>
              <w:t xml:space="preserve"> </w:t>
            </w:r>
            <w:r>
              <w:rPr>
                <w:spacing w:val="-1"/>
              </w:rPr>
              <w:t>至另一方扣除。另一方在计算本企业广告费和业务宣传费支</w:t>
            </w:r>
            <w:r>
              <w:rPr>
                <w:spacing w:val="17"/>
              </w:rPr>
              <w:t xml:space="preserve"> </w:t>
            </w:r>
            <w:r>
              <w:rPr/>
              <w:t>出企业所得税税前扣除限额时，可将按照上述办法归集至本</w:t>
            </w:r>
            <w:r>
              <w:rPr>
                <w:spacing w:val="5"/>
              </w:rPr>
              <w:t xml:space="preserve"> </w:t>
            </w:r>
            <w:r>
              <w:rPr>
                <w:spacing w:val="1"/>
              </w:rPr>
              <w:t>企业的广告费和业务宣传费不计算在内</w:t>
            </w:r>
          </w:p>
          <w:p>
            <w:pPr>
              <w:pStyle w:val="TableText"/>
              <w:ind w:left="41" w:right="40" w:hanging="10"/>
              <w:spacing w:before="23" w:line="233" w:lineRule="auto"/>
              <w:rPr/>
            </w:pPr>
            <w:r>
              <w:rPr>
                <w:spacing w:val="-5"/>
              </w:rPr>
              <w:t>三、烟草企业的烟草广告费和业务宣传费支出，</w:t>
            </w:r>
            <w:r>
              <w:rPr>
                <w:spacing w:val="48"/>
              </w:rPr>
              <w:t xml:space="preserve"> </w:t>
            </w:r>
            <w:r>
              <w:rPr>
                <w:spacing w:val="-5"/>
              </w:rPr>
              <w:t>一律不得在</w:t>
            </w:r>
            <w:r>
              <w:rPr/>
              <w:t xml:space="preserve"> </w:t>
            </w:r>
            <w:r>
              <w:rPr>
                <w:spacing w:val="-1"/>
              </w:rPr>
              <w:t>计算应纳税所得额时扣除</w:t>
            </w:r>
          </w:p>
        </w:tc>
        <w:tc>
          <w:tcPr>
            <w:tcW w:w="2148" w:type="dxa"/>
            <w:vAlign w:val="top"/>
          </w:tcPr>
          <w:p>
            <w:pPr>
              <w:pStyle w:val="TableText"/>
              <w:ind w:left="54" w:right="85" w:firstLine="40"/>
              <w:spacing w:before="68" w:line="242" w:lineRule="auto"/>
              <w:jc w:val="both"/>
              <w:rPr/>
            </w:pPr>
            <w:r>
              <w:rPr>
                <w:spacing w:val="-1"/>
              </w:rPr>
              <w:t>财政部、税务总局《关于广告</w:t>
            </w:r>
            <w:r>
              <w:rPr>
                <w:spacing w:val="5"/>
              </w:rPr>
              <w:t xml:space="preserve"> </w:t>
            </w:r>
            <w:r>
              <w:rPr>
                <w:spacing w:val="3"/>
              </w:rPr>
              <w:t>费和业务宣传费支出税前扣除</w:t>
            </w:r>
            <w:r>
              <w:rPr>
                <w:spacing w:val="7"/>
              </w:rPr>
              <w:t xml:space="preserve"> </w:t>
            </w:r>
            <w:r>
              <w:rPr>
                <w:spacing w:val="2"/>
              </w:rPr>
              <w:t>有关事项的公告》财政部税务</w:t>
            </w:r>
            <w:r>
              <w:rPr>
                <w:spacing w:val="6"/>
              </w:rPr>
              <w:t xml:space="preserve"> </w:t>
            </w:r>
            <w:r>
              <w:rPr>
                <w:spacing w:val="-1"/>
              </w:rPr>
              <w:t>总局公告2020年第43号</w:t>
            </w:r>
          </w:p>
        </w:tc>
        <w:tc>
          <w:tcPr>
            <w:tcW w:w="889" w:type="dxa"/>
            <w:vAlign w:val="top"/>
          </w:tcPr>
          <w:p>
            <w:pPr>
              <w:pStyle w:val="TableText"/>
              <w:ind w:left="16" w:right="12" w:firstLine="20"/>
              <w:spacing w:before="67" w:line="243" w:lineRule="auto"/>
              <w:jc w:val="both"/>
              <w:rPr/>
            </w:pPr>
            <w:r>
              <w:rPr>
                <w:spacing w:val="20"/>
              </w:rPr>
              <w:t>自2021年1</w:t>
            </w:r>
            <w:r>
              <w:rPr/>
              <w:t xml:space="preserve"> </w:t>
            </w:r>
            <w:r>
              <w:rPr>
                <w:spacing w:val="-15"/>
              </w:rPr>
              <w:t>月</w:t>
            </w:r>
            <w:r>
              <w:rPr>
                <w:spacing w:val="-11"/>
              </w:rPr>
              <w:t xml:space="preserve"> </w:t>
            </w:r>
            <w:r>
              <w:rPr>
                <w:spacing w:val="-15"/>
              </w:rPr>
              <w:t>1</w:t>
            </w:r>
            <w:r>
              <w:rPr>
                <w:spacing w:val="3"/>
              </w:rPr>
              <w:t xml:space="preserve"> </w:t>
            </w:r>
            <w:r>
              <w:rPr>
                <w:spacing w:val="-15"/>
              </w:rPr>
              <w:t>日</w:t>
            </w:r>
            <w:r>
              <w:rPr>
                <w:spacing w:val="-23"/>
              </w:rPr>
              <w:t xml:space="preserve"> </w:t>
            </w:r>
            <w:r>
              <w:rPr>
                <w:spacing w:val="-15"/>
              </w:rPr>
              <w:t>起</w:t>
            </w:r>
            <w:r>
              <w:rPr>
                <w:spacing w:val="-23"/>
              </w:rPr>
              <w:t xml:space="preserve"> </w:t>
            </w:r>
            <w:r>
              <w:rPr>
                <w:spacing w:val="-15"/>
              </w:rPr>
              <w:t>至</w:t>
            </w:r>
            <w:r>
              <w:rPr/>
              <w:t xml:space="preserve"> </w:t>
            </w:r>
            <w:r>
              <w:rPr>
                <w:spacing w:val="-9"/>
              </w:rPr>
              <w:t>2</w:t>
            </w:r>
            <w:r>
              <w:rPr>
                <w:spacing w:val="-26"/>
              </w:rPr>
              <w:t xml:space="preserve"> </w:t>
            </w:r>
            <w:r>
              <w:rPr>
                <w:spacing w:val="-9"/>
              </w:rPr>
              <w:t>0</w:t>
            </w:r>
            <w:r>
              <w:rPr>
                <w:spacing w:val="-24"/>
              </w:rPr>
              <w:t xml:space="preserve"> </w:t>
            </w:r>
            <w:r>
              <w:rPr>
                <w:spacing w:val="-9"/>
              </w:rPr>
              <w:t>2</w:t>
            </w:r>
            <w:r>
              <w:rPr>
                <w:spacing w:val="-24"/>
              </w:rPr>
              <w:t xml:space="preserve"> </w:t>
            </w:r>
            <w:r>
              <w:rPr>
                <w:spacing w:val="-9"/>
              </w:rPr>
              <w:t>5</w:t>
            </w:r>
            <w:r>
              <w:rPr>
                <w:spacing w:val="-25"/>
              </w:rPr>
              <w:t xml:space="preserve"> </w:t>
            </w:r>
            <w:r>
              <w:rPr>
                <w:spacing w:val="-9"/>
              </w:rPr>
              <w:t>年</w:t>
            </w:r>
            <w:r>
              <w:rPr>
                <w:spacing w:val="-16"/>
              </w:rPr>
              <w:t xml:space="preserve"> </w:t>
            </w:r>
            <w:r>
              <w:rPr>
                <w:spacing w:val="-9"/>
              </w:rPr>
              <w:t>1</w:t>
            </w:r>
            <w:r>
              <w:rPr>
                <w:spacing w:val="-24"/>
              </w:rPr>
              <w:t xml:space="preserve"> </w:t>
            </w:r>
            <w:r>
              <w:rPr>
                <w:spacing w:val="-9"/>
              </w:rPr>
              <w:t>2</w:t>
            </w:r>
            <w:r>
              <w:rPr/>
              <w:t xml:space="preserve"> </w:t>
            </w:r>
            <w:r>
              <w:rPr>
                <w:spacing w:val="9"/>
              </w:rPr>
              <w:t>月31日</w:t>
            </w:r>
          </w:p>
        </w:tc>
        <w:tc>
          <w:tcPr>
            <w:tcW w:w="849" w:type="dxa"/>
            <w:vAlign w:val="top"/>
          </w:tcPr>
          <w:p>
            <w:pPr>
              <w:pStyle w:val="TableText"/>
              <w:ind w:left="48"/>
              <w:spacing w:before="69" w:line="219" w:lineRule="auto"/>
              <w:rPr/>
            </w:pPr>
            <w:r>
              <w:rPr>
                <w:spacing w:val="-2"/>
              </w:rPr>
              <w:t>化妆品制造</w:t>
            </w:r>
          </w:p>
          <w:p>
            <w:pPr>
              <w:pStyle w:val="TableText"/>
              <w:ind w:left="48"/>
              <w:spacing w:before="32" w:line="221" w:lineRule="auto"/>
              <w:rPr/>
            </w:pPr>
            <w:r>
              <w:rPr>
                <w:spacing w:val="-2"/>
              </w:rPr>
              <w:t>或销售、医</w:t>
            </w:r>
          </w:p>
          <w:p>
            <w:pPr>
              <w:pStyle w:val="TableText"/>
              <w:ind w:left="48"/>
              <w:spacing w:before="20" w:line="220" w:lineRule="auto"/>
              <w:rPr/>
            </w:pPr>
            <w:r>
              <w:rPr>
                <w:spacing w:val="-2"/>
              </w:rPr>
              <w:t>药制造和饮</w:t>
            </w:r>
          </w:p>
          <w:p>
            <w:pPr>
              <w:pStyle w:val="TableText"/>
              <w:ind w:left="78"/>
              <w:spacing w:before="21" w:line="220" w:lineRule="auto"/>
              <w:rPr/>
            </w:pPr>
            <w:r>
              <w:rPr>
                <w:spacing w:val="-1"/>
              </w:rPr>
              <w:t>料制造(不</w:t>
            </w:r>
          </w:p>
          <w:p>
            <w:pPr>
              <w:pStyle w:val="TableText"/>
              <w:ind w:left="117"/>
              <w:spacing w:before="30" w:line="219" w:lineRule="auto"/>
              <w:rPr/>
            </w:pPr>
            <w:r>
              <w:rPr>
                <w:spacing w:val="-2"/>
              </w:rPr>
              <w:t>含酒类制</w:t>
            </w:r>
          </w:p>
          <w:p>
            <w:pPr>
              <w:pStyle w:val="TableText"/>
              <w:ind w:left="157"/>
              <w:spacing w:before="34" w:line="222" w:lineRule="auto"/>
              <w:rPr/>
            </w:pPr>
            <w:r>
              <w:rPr>
                <w:spacing w:val="-1"/>
              </w:rPr>
              <w:t>造)企业</w:t>
            </w:r>
          </w:p>
        </w:tc>
        <w:tc>
          <w:tcPr>
            <w:tcW w:w="1029" w:type="dxa"/>
            <w:vAlign w:val="top"/>
          </w:tcPr>
          <w:p>
            <w:pPr>
              <w:pStyle w:val="TableText"/>
              <w:ind w:left="138"/>
              <w:spacing w:before="69" w:line="219" w:lineRule="auto"/>
              <w:rPr/>
            </w:pPr>
            <w:r>
              <w:rPr>
                <w:spacing w:val="-2"/>
              </w:rPr>
              <w:t>企业所得税</w:t>
            </w:r>
          </w:p>
        </w:tc>
        <w:tc>
          <w:tcPr>
            <w:tcW w:w="464" w:type="dxa"/>
            <w:vAlign w:val="top"/>
          </w:tcPr>
          <w:p>
            <w:pPr>
              <w:pStyle w:val="TableText"/>
              <w:ind w:left="80"/>
              <w:spacing w:before="69" w:line="219" w:lineRule="auto"/>
              <w:rPr/>
            </w:pPr>
            <w:r>
              <w:rPr>
                <w:spacing w:val="-2"/>
              </w:rPr>
              <w:t>减征</w:t>
            </w:r>
          </w:p>
        </w:tc>
      </w:tr>
      <w:tr>
        <w:trPr>
          <w:trHeight w:val="279" w:hRule="atLeast"/>
        </w:trPr>
        <w:tc>
          <w:tcPr>
            <w:shd w:val="clear" w:fill="DCDDDD"/>
            <w:tcW w:w="9639" w:type="dxa"/>
            <w:vAlign w:val="top"/>
            <w:gridSpan w:val="7"/>
          </w:tcPr>
          <w:p>
            <w:pPr>
              <w:pStyle w:val="TableText"/>
              <w:ind w:left="4157"/>
              <w:spacing w:before="121" w:line="182" w:lineRule="auto"/>
              <w:rPr/>
            </w:pPr>
            <w:r>
              <w:rPr>
                <w:b/>
                <w:bCs/>
                <w:spacing w:val="-3"/>
              </w:rPr>
              <w:t>三、城镇土地使用税</w:t>
            </w:r>
          </w:p>
        </w:tc>
      </w:tr>
      <w:tr>
        <w:trPr>
          <w:trHeight w:val="1543" w:hRule="atLeast"/>
        </w:trPr>
        <w:tc>
          <w:tcPr>
            <w:tcW w:w="284" w:type="dxa"/>
            <w:vAlign w:val="top"/>
          </w:tcPr>
          <w:p>
            <w:pPr>
              <w:spacing w:line="344" w:lineRule="auto"/>
              <w:rPr>
                <w:rFonts w:ascii="Arial"/>
                <w:sz w:val="21"/>
              </w:rPr>
            </w:pPr>
            <w:r/>
          </w:p>
          <w:p>
            <w:pPr>
              <w:spacing w:line="345" w:lineRule="auto"/>
              <w:rPr>
                <w:rFonts w:ascii="Arial"/>
                <w:sz w:val="21"/>
              </w:rPr>
            </w:pPr>
            <w:r/>
          </w:p>
          <w:p>
            <w:pPr>
              <w:pStyle w:val="TableText"/>
              <w:ind w:left="94"/>
              <w:spacing w:before="48" w:line="184" w:lineRule="auto"/>
              <w:rPr/>
            </w:pPr>
            <w:r>
              <w:rPr/>
              <w:t>1</w:t>
            </w:r>
          </w:p>
        </w:tc>
        <w:tc>
          <w:tcPr>
            <w:tcW w:w="3976" w:type="dxa"/>
            <w:vAlign w:val="top"/>
          </w:tcPr>
          <w:p>
            <w:pPr>
              <w:pStyle w:val="TableText"/>
              <w:ind w:left="41"/>
              <w:spacing w:before="64" w:line="219" w:lineRule="auto"/>
              <w:rPr/>
            </w:pPr>
            <w:r>
              <w:rPr>
                <w:spacing w:val="-1"/>
              </w:rPr>
              <w:t>一、自2023年1月1日起至2027年12月31日止，对物流</w:t>
            </w:r>
          </w:p>
          <w:p>
            <w:pPr>
              <w:pStyle w:val="TableText"/>
              <w:ind w:left="51" w:right="96" w:firstLine="49"/>
              <w:spacing w:before="41" w:line="233" w:lineRule="auto"/>
              <w:rPr/>
            </w:pPr>
            <w:r>
              <w:rPr/>
              <w:t>企业自有(包括自用和出租)或承租的大宗商品仓储设施用</w:t>
            </w:r>
            <w:r>
              <w:rPr>
                <w:spacing w:val="17"/>
              </w:rPr>
              <w:t xml:space="preserve"> </w:t>
            </w:r>
            <w:r>
              <w:rPr/>
              <w:t>地，减按所属土地等级适用税额标准的50</w:t>
            </w:r>
            <w:r>
              <w:rPr>
                <w:spacing w:val="-1"/>
              </w:rPr>
              <w:t>%计征城镇土地</w:t>
            </w:r>
          </w:p>
          <w:p>
            <w:pPr>
              <w:pStyle w:val="TableText"/>
              <w:ind w:left="21"/>
              <w:spacing w:before="12" w:line="219" w:lineRule="auto"/>
              <w:rPr/>
            </w:pPr>
            <w:r>
              <w:rPr>
                <w:spacing w:val="-1"/>
              </w:rPr>
              <w:t>使用税。</w:t>
            </w:r>
          </w:p>
          <w:p>
            <w:pPr>
              <w:pStyle w:val="TableText"/>
              <w:ind w:left="100" w:right="120"/>
              <w:spacing w:before="30" w:line="246" w:lineRule="auto"/>
              <w:jc w:val="both"/>
              <w:rPr/>
            </w:pPr>
            <w:r>
              <w:rPr>
                <w:spacing w:val="-1"/>
              </w:rPr>
              <w:t>二、本公告所称物流企业，是指至少从事仓储或运输一种</w:t>
            </w:r>
            <w:r>
              <w:rPr>
                <w:spacing w:val="15"/>
              </w:rPr>
              <w:t xml:space="preserve"> </w:t>
            </w:r>
            <w:r>
              <w:rPr>
                <w:spacing w:val="-1"/>
              </w:rPr>
              <w:t>经营业务，为工农业生产、流通、进出口和居民生活提供</w:t>
            </w:r>
            <w:r>
              <w:rPr>
                <w:spacing w:val="16"/>
              </w:rPr>
              <w:t xml:space="preserve"> </w:t>
            </w:r>
            <w:r>
              <w:rPr>
                <w:spacing w:val="-1"/>
              </w:rPr>
              <w:t>仓储、配送等第三方物流服务，实行独立核算、独立承担</w:t>
            </w:r>
          </w:p>
        </w:tc>
        <w:tc>
          <w:tcPr>
            <w:tcW w:w="2148" w:type="dxa"/>
            <w:vAlign w:val="top"/>
          </w:tcPr>
          <w:p>
            <w:pPr>
              <w:pStyle w:val="TableText"/>
              <w:ind w:left="14" w:right="99" w:firstLine="80"/>
              <w:spacing w:before="52" w:line="241" w:lineRule="auto"/>
              <w:rPr/>
            </w:pPr>
            <w:r>
              <w:rPr>
                <w:spacing w:val="-1"/>
              </w:rPr>
              <w:t>财政部税务总局公告2023年第</w:t>
            </w:r>
            <w:r>
              <w:rPr>
                <w:spacing w:val="7"/>
              </w:rPr>
              <w:t xml:space="preserve"> </w:t>
            </w:r>
            <w:r>
              <w:rPr>
                <w:spacing w:val="-2"/>
              </w:rPr>
              <w:t>5号</w:t>
            </w:r>
          </w:p>
        </w:tc>
        <w:tc>
          <w:tcPr>
            <w:tcW w:w="889" w:type="dxa"/>
            <w:vAlign w:val="top"/>
          </w:tcPr>
          <w:p>
            <w:pPr>
              <w:pStyle w:val="TableText"/>
              <w:ind w:left="15" w:hanging="9"/>
              <w:spacing w:before="62" w:line="249" w:lineRule="auto"/>
              <w:jc w:val="both"/>
              <w:rPr/>
            </w:pPr>
            <w:r>
              <w:rPr>
                <w:spacing w:val="-10"/>
              </w:rPr>
              <w:t>2</w:t>
            </w:r>
            <w:r>
              <w:rPr>
                <w:spacing w:val="3"/>
              </w:rPr>
              <w:t xml:space="preserve"> </w:t>
            </w:r>
            <w:r>
              <w:rPr>
                <w:spacing w:val="-10"/>
              </w:rPr>
              <w:t>0</w:t>
            </w:r>
            <w:r>
              <w:rPr>
                <w:spacing w:val="4"/>
              </w:rPr>
              <w:t xml:space="preserve"> </w:t>
            </w:r>
            <w:r>
              <w:rPr>
                <w:spacing w:val="-10"/>
              </w:rPr>
              <w:t>2</w:t>
            </w:r>
            <w:r>
              <w:rPr>
                <w:spacing w:val="4"/>
              </w:rPr>
              <w:t xml:space="preserve"> </w:t>
            </w:r>
            <w:r>
              <w:rPr>
                <w:spacing w:val="-10"/>
              </w:rPr>
              <w:t>3</w:t>
            </w:r>
            <w:r>
              <w:rPr>
                <w:spacing w:val="3"/>
              </w:rPr>
              <w:t xml:space="preserve"> </w:t>
            </w:r>
            <w:r>
              <w:rPr>
                <w:spacing w:val="-10"/>
              </w:rPr>
              <w:t>年</w:t>
            </w:r>
            <w:r>
              <w:rPr>
                <w:spacing w:val="13"/>
              </w:rPr>
              <w:t xml:space="preserve"> </w:t>
            </w:r>
            <w:r>
              <w:rPr>
                <w:spacing w:val="-10"/>
              </w:rPr>
              <w:t>1</w:t>
            </w:r>
            <w:r>
              <w:rPr/>
              <w:t xml:space="preserve"> </w:t>
            </w:r>
            <w:r>
              <w:rPr>
                <w:spacing w:val="-16"/>
              </w:rPr>
              <w:t>月</w:t>
            </w:r>
            <w:r>
              <w:rPr>
                <w:spacing w:val="-11"/>
              </w:rPr>
              <w:t xml:space="preserve"> </w:t>
            </w:r>
            <w:r>
              <w:rPr>
                <w:spacing w:val="-16"/>
              </w:rPr>
              <w:t>1</w:t>
            </w:r>
            <w:r>
              <w:rPr>
                <w:spacing w:val="1"/>
              </w:rPr>
              <w:t xml:space="preserve"> </w:t>
            </w:r>
            <w:r>
              <w:rPr>
                <w:spacing w:val="-16"/>
              </w:rPr>
              <w:t>日</w:t>
            </w:r>
            <w:r>
              <w:rPr>
                <w:spacing w:val="-23"/>
              </w:rPr>
              <w:t xml:space="preserve"> </w:t>
            </w:r>
            <w:r>
              <w:rPr>
                <w:spacing w:val="-16"/>
              </w:rPr>
              <w:t>起</w:t>
            </w:r>
            <w:r>
              <w:rPr>
                <w:spacing w:val="-23"/>
              </w:rPr>
              <w:t xml:space="preserve"> </w:t>
            </w:r>
            <w:r>
              <w:rPr>
                <w:spacing w:val="-16"/>
              </w:rPr>
              <w:t>至</w:t>
            </w:r>
            <w:r>
              <w:rPr/>
              <w:t xml:space="preserve"> </w:t>
            </w:r>
            <w:r>
              <w:rPr>
                <w:spacing w:val="-10"/>
              </w:rPr>
              <w:t>2</w:t>
            </w:r>
            <w:r>
              <w:rPr>
                <w:spacing w:val="-21"/>
              </w:rPr>
              <w:t xml:space="preserve"> </w:t>
            </w:r>
            <w:r>
              <w:rPr>
                <w:spacing w:val="-10"/>
              </w:rPr>
              <w:t>0</w:t>
            </w:r>
            <w:r>
              <w:rPr>
                <w:spacing w:val="-22"/>
              </w:rPr>
              <w:t xml:space="preserve"> </w:t>
            </w:r>
            <w:r>
              <w:rPr>
                <w:spacing w:val="-10"/>
              </w:rPr>
              <w:t>2</w:t>
            </w:r>
            <w:r>
              <w:rPr>
                <w:spacing w:val="-20"/>
              </w:rPr>
              <w:t xml:space="preserve"> </w:t>
            </w:r>
            <w:r>
              <w:rPr>
                <w:spacing w:val="-10"/>
              </w:rPr>
              <w:t>7</w:t>
            </w:r>
            <w:r>
              <w:rPr>
                <w:spacing w:val="-22"/>
              </w:rPr>
              <w:t xml:space="preserve"> </w:t>
            </w:r>
            <w:r>
              <w:rPr>
                <w:spacing w:val="-10"/>
              </w:rPr>
              <w:t>年</w:t>
            </w:r>
            <w:r>
              <w:rPr>
                <w:spacing w:val="-13"/>
              </w:rPr>
              <w:t xml:space="preserve"> </w:t>
            </w:r>
            <w:r>
              <w:rPr>
                <w:spacing w:val="-10"/>
              </w:rPr>
              <w:t>1</w:t>
            </w:r>
            <w:r>
              <w:rPr>
                <w:spacing w:val="-21"/>
              </w:rPr>
              <w:t xml:space="preserve"> </w:t>
            </w:r>
            <w:r>
              <w:rPr>
                <w:spacing w:val="-10"/>
              </w:rPr>
              <w:t>2</w:t>
            </w:r>
            <w:r>
              <w:rPr/>
              <w:t xml:space="preserve"> </w:t>
            </w:r>
            <w:r>
              <w:rPr>
                <w:spacing w:val="-3"/>
              </w:rPr>
              <w:t>月31日止</w:t>
            </w:r>
          </w:p>
        </w:tc>
        <w:tc>
          <w:tcPr>
            <w:tcW w:w="849" w:type="dxa"/>
            <w:vAlign w:val="top"/>
          </w:tcPr>
          <w:p>
            <w:pPr>
              <w:pStyle w:val="TableText"/>
              <w:ind w:left="78"/>
              <w:spacing w:before="64" w:line="220" w:lineRule="auto"/>
              <w:rPr/>
            </w:pPr>
            <w:r>
              <w:rPr>
                <w:spacing w:val="2"/>
              </w:rPr>
              <w:t>自有(包括</w:t>
            </w:r>
          </w:p>
          <w:p>
            <w:pPr>
              <w:pStyle w:val="TableText"/>
              <w:ind w:left="117"/>
              <w:spacing w:before="31" w:line="220" w:lineRule="auto"/>
              <w:rPr/>
            </w:pPr>
            <w:r>
              <w:rPr>
                <w:spacing w:val="4"/>
              </w:rPr>
              <w:t>自用和出</w:t>
            </w:r>
          </w:p>
          <w:p>
            <w:pPr>
              <w:pStyle w:val="TableText"/>
              <w:ind w:left="78"/>
              <w:spacing w:before="40" w:line="219" w:lineRule="auto"/>
              <w:rPr/>
            </w:pPr>
            <w:r>
              <w:rPr>
                <w:spacing w:val="-2"/>
              </w:rPr>
              <w:t>租)或承租</w:t>
            </w:r>
          </w:p>
          <w:p>
            <w:pPr>
              <w:pStyle w:val="TableText"/>
              <w:ind w:left="48"/>
              <w:spacing w:before="22" w:line="220" w:lineRule="auto"/>
              <w:rPr/>
            </w:pPr>
            <w:r>
              <w:rPr>
                <w:spacing w:val="3"/>
              </w:rPr>
              <w:t>的大宗商品</w:t>
            </w:r>
          </w:p>
          <w:p>
            <w:pPr>
              <w:pStyle w:val="TableText"/>
              <w:ind w:left="48"/>
              <w:spacing w:before="21" w:line="220" w:lineRule="auto"/>
              <w:rPr/>
            </w:pPr>
            <w:r>
              <w:rPr>
                <w:spacing w:val="3"/>
              </w:rPr>
              <w:t>仓储设施用</w:t>
            </w:r>
          </w:p>
          <w:p>
            <w:pPr>
              <w:pStyle w:val="TableText"/>
              <w:ind w:left="48"/>
              <w:spacing w:before="32" w:line="221" w:lineRule="auto"/>
              <w:rPr/>
            </w:pPr>
            <w:r>
              <w:rPr>
                <w:spacing w:val="-1"/>
              </w:rPr>
              <w:t>地的物流企</w:t>
            </w:r>
          </w:p>
          <w:p>
            <w:pPr>
              <w:pStyle w:val="TableText"/>
              <w:ind w:left="348"/>
              <w:spacing w:before="9" w:line="232" w:lineRule="auto"/>
              <w:rPr/>
            </w:pPr>
            <w:r>
              <w:rPr/>
              <w:t>业</w:t>
            </w:r>
          </w:p>
        </w:tc>
        <w:tc>
          <w:tcPr>
            <w:tcW w:w="1029" w:type="dxa"/>
            <w:vAlign w:val="top"/>
          </w:tcPr>
          <w:p>
            <w:pPr>
              <w:pStyle w:val="TableText"/>
              <w:ind w:left="438" w:right="41" w:hanging="379"/>
              <w:spacing w:before="64" w:line="227" w:lineRule="auto"/>
              <w:rPr/>
            </w:pPr>
            <w:r>
              <w:rPr>
                <w:spacing w:val="3"/>
              </w:rPr>
              <w:t>城镇土地使用</w:t>
            </w:r>
            <w:r>
              <w:rPr/>
              <w:t xml:space="preserve"> </w:t>
            </w:r>
            <w:r>
              <w:rPr/>
              <w:t>税</w:t>
            </w:r>
          </w:p>
        </w:tc>
        <w:tc>
          <w:tcPr>
            <w:tcW w:w="464" w:type="dxa"/>
            <w:vAlign w:val="top"/>
          </w:tcPr>
          <w:p>
            <w:pPr>
              <w:pStyle w:val="TableText"/>
              <w:ind w:left="80"/>
              <w:spacing w:before="54"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pict>
          <v:shape id="_x0000_s54" style="position:absolute;margin-left:38.9997pt;margin-top:346.68pt;mso-position-vertical-relative:page;mso-position-horizontal-relative:page;width:10.3pt;height:15.1pt;z-index:251701248;" o:allowincell="f" filled="false" stroked="false" type="#_x0000_t202">
            <v:fill on="false"/>
            <v:stroke on="false"/>
            <v:path/>
            <v:imagedata o:title=""/>
            <o:lock v:ext="edit" aspectratio="false"/>
            <v:textbox inset="0mm,0mm,0mm,0mm">
              <w:txbxContent>
                <w:p>
                  <w:pPr>
                    <w:spacing w:before="19" w:line="222" w:lineRule="auto"/>
                    <w:jc w:val="right"/>
                    <w:rPr>
                      <w:rFonts w:ascii="STCaiyun" w:hAnsi="STCaiyun" w:eastAsia="STCaiyun" w:cs="STCaiyun"/>
                      <w:sz w:val="21"/>
                      <w:szCs w:val="21"/>
                    </w:rPr>
                  </w:pPr>
                  <w:r>
                    <w:rPr>
                      <w:rFonts w:ascii="STCaiyun" w:hAnsi="STCaiyun" w:eastAsia="STCaiyun" w:cs="STCaiyun"/>
                      <w:sz w:val="21"/>
                      <w:szCs w:val="21"/>
                      <w:spacing w:val="-11"/>
                      <w:w w:val="84"/>
                    </w:rPr>
                    <w:t>去</w:t>
                  </w:r>
                </w:p>
              </w:txbxContent>
            </v:textbox>
          </v:shape>
        </w:pict>
      </w:r>
      <w:r/>
    </w:p>
    <w:p>
      <w:pPr>
        <w:spacing w:before="51"/>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6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705" w:hRule="atLeast"/>
        </w:trPr>
        <w:tc>
          <w:tcPr>
            <w:tcW w:w="29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94"/>
              <w:spacing w:before="49" w:line="184" w:lineRule="auto"/>
              <w:rPr/>
            </w:pPr>
            <w:r>
              <w:rPr/>
              <w:t>1</w:t>
            </w:r>
          </w:p>
        </w:tc>
        <w:tc>
          <w:tcPr>
            <w:tcW w:w="3966" w:type="dxa"/>
            <w:vAlign w:val="top"/>
          </w:tcPr>
          <w:p>
            <w:pPr>
              <w:spacing w:line="247" w:lineRule="auto"/>
              <w:rPr>
                <w:rFonts w:ascii="Arial"/>
                <w:sz w:val="21"/>
              </w:rPr>
            </w:pPr>
            <w:r/>
          </w:p>
          <w:p>
            <w:pPr>
              <w:pStyle w:val="TableText"/>
              <w:ind w:left="31" w:right="93" w:firstLine="69"/>
              <w:spacing w:before="49" w:line="233" w:lineRule="auto"/>
              <w:rPr/>
            </w:pPr>
            <w:r>
              <w:rPr/>
              <w:t>民事责任，并在工商部门注册登记为物流、仓储或运输的</w:t>
            </w:r>
            <w:r>
              <w:rPr>
                <w:spacing w:val="10"/>
              </w:rPr>
              <w:t xml:space="preserve"> </w:t>
            </w:r>
            <w:r>
              <w:rPr>
                <w:spacing w:val="-1"/>
              </w:rPr>
              <w:t>专业物流企业。</w:t>
            </w:r>
          </w:p>
          <w:p>
            <w:pPr>
              <w:pStyle w:val="TableText"/>
              <w:ind w:left="21"/>
              <w:spacing w:before="39" w:line="218" w:lineRule="auto"/>
              <w:rPr/>
            </w:pPr>
            <w:r>
              <w:rPr>
                <w:spacing w:val="-1"/>
              </w:rPr>
              <w:t>本公告所称大宗商品仓储设施，是指同一仓储设施占地面积</w:t>
            </w:r>
          </w:p>
          <w:p>
            <w:pPr>
              <w:pStyle w:val="TableText"/>
              <w:spacing w:before="23" w:line="219" w:lineRule="auto"/>
              <w:jc w:val="right"/>
              <w:rPr/>
            </w:pPr>
            <w:r>
              <w:rPr>
                <w:spacing w:val="-5"/>
              </w:rPr>
              <w:t>在6000平方米及以上，且主要储存粮食、棉花、油料、糖料、</w:t>
            </w:r>
          </w:p>
          <w:p>
            <w:pPr>
              <w:pStyle w:val="TableText"/>
              <w:ind w:left="21"/>
              <w:spacing w:before="32" w:line="219" w:lineRule="auto"/>
              <w:rPr/>
            </w:pPr>
            <w:r>
              <w:rPr>
                <w:spacing w:val="-1"/>
              </w:rPr>
              <w:t>蔬菜、水果、肉类、水产品、化肥、农药、种子、饲料等农</w:t>
            </w:r>
          </w:p>
          <w:p>
            <w:pPr>
              <w:pStyle w:val="TableText"/>
              <w:ind w:left="100"/>
              <w:spacing w:before="23" w:line="219" w:lineRule="auto"/>
              <w:rPr/>
            </w:pPr>
            <w:r>
              <w:rPr/>
              <w:t>产品和农业生产资料，煤炭、焦炭、矿砂、非金属矿产品</w:t>
            </w:r>
          </w:p>
          <w:p>
            <w:pPr>
              <w:pStyle w:val="TableText"/>
              <w:ind w:left="21" w:right="40"/>
              <w:spacing w:before="11" w:line="245" w:lineRule="auto"/>
              <w:jc w:val="both"/>
              <w:rPr/>
            </w:pPr>
            <w:r>
              <w:rPr>
                <w:spacing w:val="-1"/>
              </w:rPr>
              <w:t>原油、成品油、化工原料、木材、橡胶、纸浆及纸制品、钢</w:t>
            </w:r>
            <w:r>
              <w:rPr>
                <w:spacing w:val="15"/>
              </w:rPr>
              <w:t xml:space="preserve"> </w:t>
            </w:r>
            <w:r>
              <w:rPr/>
              <w:t>材、水泥、有色金属、建材、塑料、纺织原</w:t>
            </w:r>
            <w:r>
              <w:rPr>
                <w:spacing w:val="-1"/>
              </w:rPr>
              <w:t>料等矿产品和工</w:t>
            </w:r>
            <w:r>
              <w:rPr/>
              <w:t xml:space="preserve"> </w:t>
            </w:r>
            <w:r>
              <w:rPr>
                <w:spacing w:val="-1"/>
              </w:rPr>
              <w:t>业原材料的仓储设施。</w:t>
            </w:r>
          </w:p>
          <w:p>
            <w:pPr>
              <w:pStyle w:val="TableText"/>
              <w:ind w:left="21" w:right="76" w:firstLine="39"/>
              <w:spacing w:before="31" w:line="233" w:lineRule="auto"/>
              <w:rPr/>
            </w:pPr>
            <w:r>
              <w:rPr>
                <w:spacing w:val="-1"/>
              </w:rPr>
              <w:t>本公告所称仓储设施用地，包括仓库库区内的各类仓房(含</w:t>
            </w:r>
            <w:r>
              <w:rPr>
                <w:spacing w:val="18"/>
              </w:rPr>
              <w:t xml:space="preserve"> </w:t>
            </w:r>
            <w:r>
              <w:rPr/>
              <w:t>配送中心)、油罐(池)、货场、晒场(堆</w:t>
            </w:r>
            <w:r>
              <w:rPr>
                <w:spacing w:val="-1"/>
              </w:rPr>
              <w:t>场)、罩棚等储</w:t>
            </w:r>
          </w:p>
          <w:p>
            <w:pPr>
              <w:pStyle w:val="TableText"/>
              <w:ind w:left="21" w:right="40"/>
              <w:spacing w:before="22"/>
              <w:rPr/>
            </w:pPr>
            <w:r>
              <w:rPr/>
              <w:t>存设施和铁路专用线、码头、道路、装卸搬</w:t>
            </w:r>
            <w:r>
              <w:rPr>
                <w:spacing w:val="-1"/>
              </w:rPr>
              <w:t>运区域等物流作</w:t>
            </w:r>
            <w:r>
              <w:rPr/>
              <w:t xml:space="preserve"> </w:t>
            </w:r>
            <w:r>
              <w:rPr>
                <w:spacing w:val="-1"/>
              </w:rPr>
              <w:t>业配套设施的用地。</w:t>
            </w:r>
          </w:p>
          <w:p>
            <w:pPr>
              <w:pStyle w:val="TableText"/>
              <w:ind w:left="21" w:right="28"/>
              <w:spacing w:before="21" w:line="233" w:lineRule="auto"/>
              <w:jc w:val="both"/>
              <w:rPr/>
            </w:pPr>
            <w:r>
              <w:rPr/>
              <w:t>三、物流企业的办公、生活区用地及其他非</w:t>
            </w:r>
            <w:r>
              <w:rPr>
                <w:spacing w:val="-1"/>
              </w:rPr>
              <w:t>直接用于大宗商</w:t>
            </w:r>
            <w:r>
              <w:rPr/>
              <w:t xml:space="preserve"> </w:t>
            </w:r>
            <w:r>
              <w:rPr/>
              <w:t>品仓储的土地，不属于本公告规定的减税范围，应按规定征</w:t>
            </w:r>
            <w:r>
              <w:rPr>
                <w:spacing w:val="5"/>
              </w:rPr>
              <w:t xml:space="preserve"> </w:t>
            </w:r>
            <w:r>
              <w:rPr>
                <w:spacing w:val="-1"/>
              </w:rPr>
              <w:t>收城镇土地使用税。</w:t>
            </w:r>
          </w:p>
          <w:p>
            <w:pPr>
              <w:pStyle w:val="TableText"/>
              <w:ind w:left="31" w:right="28" w:hanging="10"/>
              <w:spacing w:before="41" w:line="233" w:lineRule="auto"/>
              <w:rPr/>
            </w:pPr>
            <w:r>
              <w:rPr/>
              <w:t>四、本公告印发之日前已缴纳的应予减征的税款，在纳税人</w:t>
            </w:r>
            <w:r>
              <w:rPr>
                <w:spacing w:val="5"/>
              </w:rPr>
              <w:t xml:space="preserve"> </w:t>
            </w:r>
            <w:r>
              <w:rPr>
                <w:spacing w:val="-1"/>
              </w:rPr>
              <w:t>以后应缴税款中抵减或者予以退还，</w:t>
            </w:r>
          </w:p>
          <w:p>
            <w:pPr>
              <w:pStyle w:val="TableText"/>
              <w:ind w:left="11" w:right="40" w:firstLine="10"/>
              <w:spacing w:before="20" w:line="242" w:lineRule="auto"/>
              <w:jc w:val="both"/>
              <w:rPr/>
            </w:pPr>
            <w:r>
              <w:rPr>
                <w:spacing w:val="-1"/>
              </w:rPr>
              <w:t>五、纳税人享受本公告规定的减税政策，应按规定进行减免</w:t>
            </w:r>
            <w:r>
              <w:rPr>
                <w:spacing w:val="16"/>
              </w:rPr>
              <w:t xml:space="preserve"> </w:t>
            </w:r>
            <w:r>
              <w:rPr/>
              <w:t>税申报，并将不动产权属证明、土地用途证明、租赁协议等</w:t>
            </w:r>
            <w:r>
              <w:rPr>
                <w:spacing w:val="3"/>
              </w:rPr>
              <w:t xml:space="preserve"> </w:t>
            </w:r>
            <w:r>
              <w:rPr>
                <w:spacing w:val="-1"/>
              </w:rPr>
              <w:t>资料留存备查。</w:t>
            </w:r>
          </w:p>
        </w:tc>
        <w:tc>
          <w:tcPr>
            <w:tcW w:w="2118" w:type="dxa"/>
            <w:vAlign w:val="top"/>
          </w:tcPr>
          <w:p>
            <w:pPr>
              <w:rPr>
                <w:rFonts w:ascii="Arial"/>
                <w:sz w:val="21"/>
              </w:rPr>
            </w:pPr>
            <w:r/>
          </w:p>
        </w:tc>
        <w:tc>
          <w:tcPr>
            <w:tcW w:w="919" w:type="dxa"/>
            <w:vAlign w:val="top"/>
          </w:tcPr>
          <w:p>
            <w:pPr>
              <w:rPr>
                <w:rFonts w:ascii="Arial"/>
                <w:sz w:val="21"/>
              </w:rPr>
            </w:pPr>
            <w:r/>
          </w:p>
        </w:tc>
        <w:tc>
          <w:tcPr>
            <w:tcW w:w="859" w:type="dxa"/>
            <w:vAlign w:val="top"/>
          </w:tcPr>
          <w:p>
            <w:pPr>
              <w:rPr>
                <w:rFonts w:ascii="Arial"/>
                <w:sz w:val="21"/>
              </w:rPr>
            </w:pPr>
            <w:r/>
          </w:p>
        </w:tc>
        <w:tc>
          <w:tcPr>
            <w:tcW w:w="100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193"/>
        <w:rPr/>
      </w:pPr>
      <w:r>
        <w:pict>
          <v:shape id="_x0000_s56" style="position:absolute;margin-left:38.9997pt;margin-top:50.5714pt;mso-position-vertical-relative:page;mso-position-horizontal-relative:page;width:10.3pt;height:15.4pt;z-index:251702272;" o:allowincell="f" filled="false" stroked="false" type="#_x0000_t202">
            <v:fill on="false"/>
            <v:stroke on="false"/>
            <v:path/>
            <v:imagedata o:title=""/>
            <o:lock v:ext="edit" aspectratio="false"/>
            <v:textbox inset="0mm,0mm,0mm,0mm">
              <w:txbxContent>
                <w:p>
                  <w:pPr>
                    <w:spacing w:before="20" w:line="224" w:lineRule="auto"/>
                    <w:jc w:val="right"/>
                    <w:rPr>
                      <w:rFonts w:ascii="SimHei" w:hAnsi="SimHei" w:eastAsia="SimHei" w:cs="SimHei"/>
                      <w:sz w:val="22"/>
                      <w:szCs w:val="22"/>
                    </w:rPr>
                  </w:pPr>
                  <w:r>
                    <w:rPr>
                      <w:rFonts w:ascii="SimHei" w:hAnsi="SimHei" w:eastAsia="SimHei" w:cs="SimHei"/>
                      <w:sz w:val="22"/>
                      <w:szCs w:val="22"/>
                      <w:spacing w:val="-12"/>
                      <w:w w:val="80"/>
                    </w:rPr>
                    <w:t>古</w:t>
                  </w:r>
                </w:p>
              </w:txbxContent>
            </v:textbox>
          </v:shape>
        </w:pict>
      </w: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18"/>
        <w:gridCol w:w="919"/>
        <w:gridCol w:w="859"/>
        <w:gridCol w:w="1009"/>
        <w:gridCol w:w="464"/>
      </w:tblGrid>
      <w:tr>
        <w:trPr>
          <w:trHeight w:val="50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18" w:type="dxa"/>
            <w:vAlign w:val="top"/>
          </w:tcPr>
          <w:p>
            <w:pPr>
              <w:pStyle w:val="TableText"/>
              <w:ind w:left="754"/>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859" w:type="dxa"/>
            <w:vAlign w:val="top"/>
          </w:tcPr>
          <w:p>
            <w:pPr>
              <w:pStyle w:val="TableText"/>
              <w:ind w:left="277" w:right="133" w:hanging="150"/>
              <w:spacing w:before="8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4134" w:hRule="atLeast"/>
        </w:trPr>
        <w:tc>
          <w:tcPr>
            <w:tcW w:w="28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4"/>
              <w:spacing w:before="49" w:line="183" w:lineRule="auto"/>
              <w:rPr/>
            </w:pPr>
            <w:r>
              <w:rPr/>
              <w:t>2</w:t>
            </w:r>
          </w:p>
        </w:tc>
        <w:tc>
          <w:tcPr>
            <w:tcW w:w="3976" w:type="dxa"/>
            <w:vAlign w:val="top"/>
          </w:tcPr>
          <w:p>
            <w:pPr>
              <w:pStyle w:val="TableText"/>
              <w:ind w:left="31" w:right="49"/>
              <w:spacing w:before="66" w:line="239" w:lineRule="auto"/>
              <w:rPr/>
            </w:pPr>
            <w:r>
              <w:rPr>
                <w:spacing w:val="-1"/>
              </w:rPr>
              <w:t>一、对城市公交站场、道路客运站场、城市轨道交通系统运</w:t>
            </w:r>
            <w:r>
              <w:rPr>
                <w:spacing w:val="10"/>
              </w:rPr>
              <w:t xml:space="preserve"> </w:t>
            </w:r>
            <w:r>
              <w:rPr>
                <w:spacing w:val="-1"/>
              </w:rPr>
              <w:t>营用地，免征城镇土地使用税。</w:t>
            </w:r>
          </w:p>
          <w:p>
            <w:pPr>
              <w:pStyle w:val="TableText"/>
              <w:ind w:left="41" w:right="43" w:hanging="10"/>
              <w:spacing w:before="21" w:line="239" w:lineRule="auto"/>
              <w:rPr/>
            </w:pPr>
            <w:r>
              <w:rPr>
                <w:spacing w:val="-1"/>
              </w:rPr>
              <w:t>二、城市公交站场运营用地，包括城市公交首末车站、停车</w:t>
            </w:r>
            <w:r>
              <w:rPr>
                <w:spacing w:val="16"/>
              </w:rPr>
              <w:t xml:space="preserve"> </w:t>
            </w:r>
            <w:r>
              <w:rPr>
                <w:spacing w:val="-1"/>
              </w:rPr>
              <w:t>场、保养场、站场办公用地、生产辅助用地</w:t>
            </w:r>
          </w:p>
          <w:p>
            <w:pPr>
              <w:pStyle w:val="TableText"/>
              <w:ind w:left="21" w:right="120" w:firstLine="79"/>
              <w:spacing w:before="31" w:line="233" w:lineRule="auto"/>
              <w:rPr/>
            </w:pPr>
            <w:r>
              <w:rPr>
                <w:spacing w:val="-1"/>
              </w:rPr>
              <w:t>道路客运站场运营用地，包括站前广场、停车场、发车位</w:t>
            </w:r>
            <w:r>
              <w:rPr>
                <w:spacing w:val="18"/>
                <w:w w:val="101"/>
              </w:rPr>
              <w:t xml:space="preserve"> </w:t>
            </w:r>
            <w:r>
              <w:rPr>
                <w:spacing w:val="-1"/>
              </w:rPr>
              <w:t>站务用地、站场办公用地、生产辅助用地</w:t>
            </w:r>
          </w:p>
          <w:p>
            <w:pPr>
              <w:pStyle w:val="TableText"/>
              <w:ind w:left="31"/>
              <w:spacing w:before="22" w:line="219" w:lineRule="auto"/>
              <w:rPr/>
            </w:pPr>
            <w:r>
              <w:rPr>
                <w:spacing w:val="-1"/>
              </w:rPr>
              <w:t>城市轨道交通系统运营用地，包括车站(含出入口、通道</w:t>
            </w:r>
          </w:p>
          <w:p>
            <w:pPr>
              <w:pStyle w:val="TableText"/>
              <w:ind w:left="11" w:firstLine="88"/>
              <w:spacing w:before="32" w:line="237" w:lineRule="auto"/>
              <w:rPr/>
            </w:pPr>
            <w:r>
              <w:rPr>
                <w:spacing w:val="-3"/>
              </w:rPr>
              <w:t>公共配套及附属设施)、运营控制中心、车辆基地(含单独</w:t>
            </w:r>
            <w:r>
              <w:rPr>
                <w:spacing w:val="-4"/>
              </w:rPr>
              <w:t xml:space="preserve">   </w:t>
            </w:r>
            <w:r>
              <w:rPr>
                <w:spacing w:val="-1"/>
              </w:rPr>
              <w:t>的综合维修中心、车辆段)以及线路用地，不包括购物中心、</w:t>
            </w:r>
            <w:r>
              <w:rPr>
                <w:spacing w:val="5"/>
              </w:rPr>
              <w:t xml:space="preserve"> </w:t>
            </w:r>
            <w:r>
              <w:rPr>
                <w:spacing w:val="-2"/>
              </w:rPr>
              <w:t>商铺等商业设施用地。</w:t>
            </w:r>
          </w:p>
          <w:p>
            <w:pPr>
              <w:pStyle w:val="TableText"/>
              <w:ind w:left="21" w:right="85" w:firstLine="40"/>
              <w:spacing w:before="31" w:line="241" w:lineRule="auto"/>
              <w:jc w:val="both"/>
              <w:rPr/>
            </w:pPr>
            <w:r>
              <w:rPr/>
              <w:t>三、城市公交站场、道路客运站场，是指经</w:t>
            </w:r>
            <w:r>
              <w:rPr>
                <w:spacing w:val="-1"/>
              </w:rPr>
              <w:t>县级以上(含县</w:t>
            </w:r>
            <w:r>
              <w:rPr/>
              <w:t xml:space="preserve"> </w:t>
            </w:r>
            <w:r>
              <w:rPr>
                <w:spacing w:val="1"/>
              </w:rPr>
              <w:t>级)人民政府交通运输主管部门等批准建设的，为公众及旅</w:t>
            </w:r>
            <w:r>
              <w:rPr>
                <w:spacing w:val="4"/>
              </w:rPr>
              <w:t xml:space="preserve"> </w:t>
            </w:r>
            <w:r>
              <w:rPr>
                <w:spacing w:val="-1"/>
              </w:rPr>
              <w:t>客、运输经营者提供站务服务的场所。</w:t>
            </w:r>
          </w:p>
          <w:p>
            <w:pPr>
              <w:pStyle w:val="TableText"/>
              <w:ind w:left="31"/>
              <w:spacing w:before="24" w:line="243" w:lineRule="auto"/>
              <w:jc w:val="both"/>
              <w:rPr/>
            </w:pPr>
            <w:r>
              <w:rPr>
                <w:spacing w:val="-2"/>
              </w:rPr>
              <w:t>城市轨道交通系统，是指依规定批准建设的，采用专用轨道</w:t>
            </w:r>
            <w:r>
              <w:rPr>
                <w:spacing w:val="3"/>
              </w:rPr>
              <w:t xml:space="preserve">  </w:t>
            </w:r>
            <w:r>
              <w:rPr>
                <w:spacing w:val="-1"/>
              </w:rPr>
              <w:t>导向运行的城市公共客运交通系统，包括地铁系统、轻轨系</w:t>
            </w:r>
            <w:r>
              <w:rPr/>
              <w:t xml:space="preserve">  </w:t>
            </w:r>
            <w:r>
              <w:rPr>
                <w:spacing w:val="1"/>
              </w:rPr>
              <w:t>统、单轨系统、有轨电车、磁浮系统、自动导向轨道系统、</w:t>
            </w:r>
            <w:r>
              <w:rPr>
                <w:spacing w:val="7"/>
              </w:rPr>
              <w:t xml:space="preserve"> </w:t>
            </w:r>
            <w:r>
              <w:rPr>
                <w:spacing w:val="-2"/>
              </w:rPr>
              <w:t>市域快速轨道系统，不包括旅游景区等单位内部为特定人群</w:t>
            </w:r>
            <w:r>
              <w:rPr>
                <w:spacing w:val="1"/>
              </w:rPr>
              <w:t xml:space="preserve">  </w:t>
            </w:r>
            <w:r>
              <w:rPr>
                <w:spacing w:val="-2"/>
              </w:rPr>
              <w:t>服务的轨道系统</w:t>
            </w:r>
          </w:p>
          <w:p>
            <w:pPr>
              <w:pStyle w:val="TableText"/>
              <w:ind w:left="11" w:firstLine="19"/>
              <w:spacing w:before="20" w:line="239" w:lineRule="auto"/>
              <w:rPr/>
            </w:pPr>
            <w:r>
              <w:rPr>
                <w:spacing w:val="-3"/>
              </w:rPr>
              <w:t>四、纳税人享受本公告规定的免税政策，应按规定进行免税</w:t>
            </w:r>
            <w:r>
              <w:rPr>
                <w:spacing w:val="7"/>
              </w:rPr>
              <w:t xml:space="preserve">  </w:t>
            </w:r>
            <w:r>
              <w:rPr>
                <w:spacing w:val="-4"/>
              </w:rPr>
              <w:t>申报，并将不动产权属证明、土地用途证明等资料留存备查。</w:t>
            </w:r>
          </w:p>
        </w:tc>
        <w:tc>
          <w:tcPr>
            <w:tcW w:w="2118" w:type="dxa"/>
            <w:vAlign w:val="top"/>
          </w:tcPr>
          <w:p>
            <w:pPr>
              <w:pStyle w:val="TableText"/>
              <w:ind w:left="14" w:right="88" w:firstLine="60"/>
              <w:spacing w:before="87"/>
              <w:jc w:val="both"/>
              <w:rPr/>
            </w:pPr>
            <w:r>
              <w:rPr>
                <w:spacing w:val="-1"/>
              </w:rPr>
              <w:t>财政部、税务总局关于继续实</w:t>
            </w:r>
            <w:r>
              <w:rPr>
                <w:spacing w:val="5"/>
              </w:rPr>
              <w:t xml:space="preserve"> </w:t>
            </w:r>
            <w:r>
              <w:rPr>
                <w:spacing w:val="4"/>
              </w:rPr>
              <w:t>施对城市公交站场、道路客运</w:t>
            </w:r>
            <w:r>
              <w:rPr>
                <w:spacing w:val="1"/>
              </w:rPr>
              <w:t xml:space="preserve"> </w:t>
            </w:r>
            <w:r>
              <w:rPr>
                <w:spacing w:val="4"/>
              </w:rPr>
              <w:t>站场、城市轨道交通系统减免</w:t>
            </w:r>
            <w:r>
              <w:rPr/>
              <w:t xml:space="preserve"> </w:t>
            </w:r>
            <w:r>
              <w:rPr>
                <w:spacing w:val="4"/>
              </w:rPr>
              <w:t>城镇土地使用税优惠政策的公</w:t>
            </w:r>
            <w:r>
              <w:rPr>
                <w:spacing w:val="1"/>
              </w:rPr>
              <w:t xml:space="preserve"> </w:t>
            </w:r>
            <w:r>
              <w:rPr/>
              <w:t>告</w:t>
            </w:r>
          </w:p>
        </w:tc>
        <w:tc>
          <w:tcPr>
            <w:tcW w:w="919" w:type="dxa"/>
            <w:vAlign w:val="top"/>
          </w:tcPr>
          <w:p>
            <w:pPr>
              <w:pStyle w:val="TableText"/>
              <w:ind w:left="26" w:right="11" w:firstLine="20"/>
              <w:spacing w:before="86" w:line="242" w:lineRule="auto"/>
              <w:rPr/>
            </w:pPr>
            <w:r>
              <w:rPr>
                <w:spacing w:val="15"/>
                <w:w w:val="110"/>
              </w:rPr>
              <w:t>2023年9月</w:t>
            </w:r>
            <w:r>
              <w:rPr>
                <w:spacing w:val="1"/>
              </w:rPr>
              <w:t xml:space="preserve"> </w:t>
            </w:r>
            <w:r>
              <w:rPr>
                <w:spacing w:val="5"/>
              </w:rPr>
              <w:t>22日至2027</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59" w:type="dxa"/>
            <w:vAlign w:val="top"/>
          </w:tcPr>
          <w:p>
            <w:pPr>
              <w:pStyle w:val="TableText"/>
              <w:ind w:left="48"/>
              <w:spacing w:before="77" w:line="219" w:lineRule="auto"/>
              <w:rPr/>
            </w:pPr>
            <w:r>
              <w:rPr>
                <w:spacing w:val="-1"/>
              </w:rPr>
              <w:t>城市公交站</w:t>
            </w:r>
          </w:p>
          <w:p>
            <w:pPr>
              <w:pStyle w:val="TableText"/>
              <w:ind w:left="48"/>
              <w:spacing w:before="22" w:line="219" w:lineRule="auto"/>
              <w:rPr/>
            </w:pPr>
            <w:r>
              <w:rPr>
                <w:spacing w:val="-1"/>
              </w:rPr>
              <w:t>场、道路客</w:t>
            </w:r>
          </w:p>
          <w:p>
            <w:pPr>
              <w:pStyle w:val="TableText"/>
              <w:ind w:left="48"/>
              <w:spacing w:before="22" w:line="219" w:lineRule="auto"/>
              <w:rPr/>
            </w:pPr>
            <w:r>
              <w:rPr>
                <w:spacing w:val="-1"/>
              </w:rPr>
              <w:t>运站场、城</w:t>
            </w:r>
          </w:p>
          <w:p>
            <w:pPr>
              <w:pStyle w:val="TableText"/>
              <w:ind w:left="48"/>
              <w:spacing w:before="32" w:line="219" w:lineRule="auto"/>
              <w:rPr/>
            </w:pPr>
            <w:r>
              <w:rPr>
                <w:spacing w:val="-2"/>
              </w:rPr>
              <w:t>市轨道交通</w:t>
            </w:r>
          </w:p>
          <w:p>
            <w:pPr>
              <w:pStyle w:val="TableText"/>
              <w:ind w:left="48"/>
              <w:spacing w:before="22" w:line="220" w:lineRule="auto"/>
              <w:rPr/>
            </w:pPr>
            <w:r>
              <w:rPr>
                <w:spacing w:val="3"/>
              </w:rPr>
              <w:t>系统运营用</w:t>
            </w:r>
          </w:p>
          <w:p>
            <w:pPr>
              <w:pStyle w:val="TableText"/>
              <w:ind w:left="348"/>
              <w:spacing w:before="28" w:line="229" w:lineRule="auto"/>
              <w:rPr/>
            </w:pPr>
            <w:r>
              <w:rPr/>
              <w:t>地</w:t>
            </w:r>
          </w:p>
        </w:tc>
        <w:tc>
          <w:tcPr>
            <w:tcW w:w="1009" w:type="dxa"/>
            <w:vAlign w:val="top"/>
          </w:tcPr>
          <w:p>
            <w:pPr>
              <w:pStyle w:val="TableText"/>
              <w:ind w:left="428" w:right="31" w:hanging="380"/>
              <w:spacing w:before="77" w:line="215" w:lineRule="auto"/>
              <w:rPr/>
            </w:pPr>
            <w:r>
              <w:rPr>
                <w:spacing w:val="3"/>
              </w:rPr>
              <w:t>城镇土地使用</w:t>
            </w:r>
            <w:r>
              <w:rPr/>
              <w:t xml:space="preserve"> </w:t>
            </w:r>
            <w:r>
              <w:rPr/>
              <w:t>税</w:t>
            </w:r>
          </w:p>
        </w:tc>
        <w:tc>
          <w:tcPr>
            <w:tcW w:w="464" w:type="dxa"/>
            <w:vAlign w:val="top"/>
          </w:tcPr>
          <w:p>
            <w:pPr>
              <w:pStyle w:val="TableText"/>
              <w:ind w:left="80"/>
              <w:spacing w:before="57" w:line="219" w:lineRule="auto"/>
              <w:rPr/>
            </w:pPr>
            <w:r>
              <w:rPr>
                <w:spacing w:val="-3"/>
              </w:rPr>
              <w:t>免征</w:t>
            </w:r>
          </w:p>
        </w:tc>
      </w:tr>
      <w:tr>
        <w:trPr>
          <w:trHeight w:val="1058" w:hRule="atLeast"/>
        </w:trPr>
        <w:tc>
          <w:tcPr>
            <w:tcW w:w="284" w:type="dxa"/>
            <w:vAlign w:val="top"/>
          </w:tcPr>
          <w:p>
            <w:pPr>
              <w:spacing w:line="450" w:lineRule="auto"/>
              <w:rPr>
                <w:rFonts w:ascii="Arial"/>
                <w:sz w:val="21"/>
              </w:rPr>
            </w:pPr>
            <w:r/>
          </w:p>
          <w:p>
            <w:pPr>
              <w:pStyle w:val="TableText"/>
              <w:ind w:left="94"/>
              <w:spacing w:before="49" w:line="183" w:lineRule="auto"/>
              <w:rPr/>
            </w:pPr>
            <w:r>
              <w:rPr/>
              <w:t>3</w:t>
            </w:r>
          </w:p>
        </w:tc>
        <w:tc>
          <w:tcPr>
            <w:tcW w:w="3976" w:type="dxa"/>
            <w:vAlign w:val="top"/>
          </w:tcPr>
          <w:p>
            <w:pPr>
              <w:pStyle w:val="TableText"/>
              <w:spacing w:before="62" w:line="219" w:lineRule="auto"/>
              <w:jc w:val="right"/>
              <w:rPr/>
            </w:pPr>
            <w:r>
              <w:rPr>
                <w:spacing w:val="1"/>
              </w:rPr>
              <w:t>一、对商品储备管理公司及其直属库营业账簿免征印花税；</w:t>
            </w:r>
          </w:p>
          <w:p>
            <w:pPr>
              <w:pStyle w:val="TableText"/>
              <w:ind w:left="21" w:right="120" w:firstLine="79"/>
              <w:spacing w:before="21" w:line="239" w:lineRule="auto"/>
              <w:rPr/>
            </w:pPr>
            <w:r>
              <w:rPr>
                <w:spacing w:val="-1"/>
              </w:rPr>
              <w:t>对其承担商品储备业务过程中书立的买卖合同免征印花税</w:t>
            </w:r>
            <w:r>
              <w:rPr>
                <w:spacing w:val="18"/>
                <w:w w:val="101"/>
              </w:rPr>
              <w:t xml:space="preserve"> </w:t>
            </w:r>
            <w:r>
              <w:rPr>
                <w:spacing w:val="-1"/>
              </w:rPr>
              <w:t>对合同其他各方当事人应缴纳的印花税照章征收。</w:t>
            </w:r>
          </w:p>
          <w:p>
            <w:pPr>
              <w:pStyle w:val="TableText"/>
              <w:ind w:left="41" w:right="43" w:hanging="10"/>
              <w:spacing w:before="32" w:line="225" w:lineRule="auto"/>
              <w:rPr/>
            </w:pPr>
            <w:r>
              <w:rPr>
                <w:spacing w:val="-1"/>
              </w:rPr>
              <w:t>二、对商品储备管理公司及其直属库自用的承担商品储备业</w:t>
            </w:r>
            <w:r>
              <w:rPr>
                <w:spacing w:val="16"/>
              </w:rPr>
              <w:t xml:space="preserve"> </w:t>
            </w:r>
            <w:r>
              <w:rPr>
                <w:spacing w:val="-1"/>
              </w:rPr>
              <w:t>务的房产、土地，免征房产税、城镇土地使用税</w:t>
            </w:r>
          </w:p>
        </w:tc>
        <w:tc>
          <w:tcPr>
            <w:tcW w:w="2118" w:type="dxa"/>
            <w:vAlign w:val="top"/>
          </w:tcPr>
          <w:p>
            <w:pPr>
              <w:pStyle w:val="TableText"/>
              <w:ind w:left="24" w:right="88" w:firstLine="50"/>
              <w:spacing w:before="83" w:line="228" w:lineRule="auto"/>
              <w:jc w:val="both"/>
              <w:rPr/>
            </w:pPr>
            <w:r>
              <w:rPr>
                <w:spacing w:val="-1"/>
              </w:rPr>
              <w:t>财政部、税务总局关于继续实</w:t>
            </w:r>
            <w:r>
              <w:rPr>
                <w:spacing w:val="5"/>
              </w:rPr>
              <w:t xml:space="preserve"> </w:t>
            </w:r>
            <w:r>
              <w:rPr>
                <w:spacing w:val="3"/>
              </w:rPr>
              <w:t>施部分国家商品储备税收优惠</w:t>
            </w:r>
            <w:r>
              <w:rPr>
                <w:spacing w:val="4"/>
              </w:rPr>
              <w:t xml:space="preserve"> </w:t>
            </w:r>
            <w:r>
              <w:rPr>
                <w:spacing w:val="-1"/>
              </w:rPr>
              <w:t>政策的公告</w:t>
            </w:r>
          </w:p>
        </w:tc>
        <w:tc>
          <w:tcPr>
            <w:tcW w:w="919" w:type="dxa"/>
            <w:vAlign w:val="top"/>
          </w:tcPr>
          <w:p>
            <w:pPr>
              <w:pStyle w:val="TableText"/>
              <w:ind w:left="16" w:right="1" w:firstLine="20"/>
              <w:spacing w:before="63" w:line="248" w:lineRule="auto"/>
              <w:jc w:val="both"/>
              <w:rPr/>
            </w:pPr>
            <w:r>
              <w:rPr>
                <w:spacing w:val="16"/>
                <w:w w:val="112"/>
              </w:rPr>
              <w:t>2024年1月</w:t>
            </w:r>
            <w:r>
              <w:rPr>
                <w:spacing w:val="1"/>
              </w:rPr>
              <w:t xml:space="preserve"> </w:t>
            </w:r>
            <w:r>
              <w:rPr>
                <w:spacing w:val="7"/>
              </w:rPr>
              <w:t>1日</w:t>
            </w:r>
            <w:r>
              <w:rPr>
                <w:spacing w:val="18"/>
                <w:w w:val="101"/>
              </w:rPr>
              <w:t xml:space="preserve"> </w:t>
            </w:r>
            <w:r>
              <w:rPr>
                <w:spacing w:val="7"/>
              </w:rPr>
              <w:t>至2027</w:t>
            </w:r>
            <w:r>
              <w:rPr/>
              <w:t xml:space="preserve">  </w:t>
            </w:r>
            <w:r>
              <w:rPr>
                <w:spacing w:val="-8"/>
              </w:rPr>
              <w:t>年 1</w:t>
            </w:r>
            <w:r>
              <w:rPr>
                <w:spacing w:val="-10"/>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59" w:type="dxa"/>
            <w:vAlign w:val="top"/>
          </w:tcPr>
          <w:p>
            <w:pPr>
              <w:pStyle w:val="TableText"/>
              <w:ind w:left="48"/>
              <w:spacing w:before="63" w:line="219" w:lineRule="auto"/>
              <w:rPr/>
            </w:pPr>
            <w:r>
              <w:rPr>
                <w:spacing w:val="-2"/>
              </w:rPr>
              <w:t>商品储备管</w:t>
            </w:r>
          </w:p>
          <w:p>
            <w:pPr>
              <w:pStyle w:val="TableText"/>
              <w:ind w:left="48"/>
              <w:spacing w:before="22" w:line="221" w:lineRule="auto"/>
              <w:rPr/>
            </w:pPr>
            <w:r>
              <w:rPr>
                <w:spacing w:val="-2"/>
              </w:rPr>
              <w:t>理公司及其</w:t>
            </w:r>
          </w:p>
          <w:p>
            <w:pPr>
              <w:pStyle w:val="TableText"/>
              <w:ind w:left="197"/>
              <w:spacing w:before="19" w:line="219" w:lineRule="auto"/>
              <w:rPr/>
            </w:pPr>
            <w:r>
              <w:rPr>
                <w:spacing w:val="-2"/>
              </w:rPr>
              <w:t>直属库</w:t>
            </w:r>
          </w:p>
        </w:tc>
        <w:tc>
          <w:tcPr>
            <w:tcW w:w="1009" w:type="dxa"/>
            <w:vAlign w:val="top"/>
          </w:tcPr>
          <w:p>
            <w:pPr>
              <w:pStyle w:val="TableText"/>
              <w:ind w:left="48"/>
              <w:spacing w:before="63" w:line="219" w:lineRule="auto"/>
              <w:rPr/>
            </w:pPr>
            <w:r>
              <w:rPr>
                <w:spacing w:val="1"/>
              </w:rPr>
              <w:t>印花税、房产</w:t>
            </w:r>
          </w:p>
          <w:p>
            <w:pPr>
              <w:pStyle w:val="TableText"/>
              <w:ind w:left="48"/>
              <w:spacing w:before="22" w:line="219" w:lineRule="auto"/>
              <w:rPr/>
            </w:pPr>
            <w:r>
              <w:rPr>
                <w:spacing w:val="-1"/>
              </w:rPr>
              <w:t>税、城镇土地</w:t>
            </w:r>
          </w:p>
          <w:p>
            <w:pPr>
              <w:pStyle w:val="TableText"/>
              <w:ind w:left="279"/>
              <w:spacing w:before="22" w:line="219" w:lineRule="auto"/>
              <w:rPr/>
            </w:pPr>
            <w:r>
              <w:rPr>
                <w:spacing w:val="-2"/>
              </w:rPr>
              <w:t>使用税</w:t>
            </w:r>
          </w:p>
        </w:tc>
        <w:tc>
          <w:tcPr>
            <w:tcW w:w="464" w:type="dxa"/>
            <w:vAlign w:val="top"/>
          </w:tcPr>
          <w:p>
            <w:pPr>
              <w:pStyle w:val="TableText"/>
              <w:ind w:left="80"/>
              <w:spacing w:before="53" w:line="219" w:lineRule="auto"/>
              <w:rPr/>
            </w:pPr>
            <w:r>
              <w:rPr>
                <w:spacing w:val="-3"/>
              </w:rPr>
              <w:t>免征</w:t>
            </w:r>
          </w:p>
        </w:tc>
      </w:tr>
      <w:tr>
        <w:trPr>
          <w:trHeight w:val="864" w:hRule="atLeast"/>
        </w:trPr>
        <w:tc>
          <w:tcPr>
            <w:tcW w:w="284" w:type="dxa"/>
            <w:vAlign w:val="top"/>
          </w:tcPr>
          <w:p>
            <w:pPr>
              <w:spacing w:line="352" w:lineRule="auto"/>
              <w:rPr>
                <w:rFonts w:ascii="Arial"/>
                <w:sz w:val="21"/>
              </w:rPr>
            </w:pPr>
            <w:r/>
          </w:p>
          <w:p>
            <w:pPr>
              <w:pStyle w:val="TableText"/>
              <w:ind w:left="94"/>
              <w:spacing w:before="49" w:line="183" w:lineRule="auto"/>
              <w:rPr/>
            </w:pPr>
            <w:r>
              <w:rPr/>
              <w:t>4</w:t>
            </w:r>
          </w:p>
        </w:tc>
        <w:tc>
          <w:tcPr>
            <w:tcW w:w="3976" w:type="dxa"/>
            <w:vAlign w:val="top"/>
          </w:tcPr>
          <w:p>
            <w:pPr>
              <w:pStyle w:val="TableText"/>
              <w:ind w:left="140" w:right="79" w:firstLine="110"/>
              <w:spacing w:before="74" w:line="239" w:lineRule="auto"/>
              <w:rPr/>
            </w:pPr>
            <w:r>
              <w:rPr>
                <w:spacing w:val="-1"/>
              </w:rPr>
              <w:t>自2023年1月1日起至2027年12月31日止，对物流企业   </w:t>
            </w:r>
            <w:r>
              <w:rPr/>
              <w:t>自有(包括自用和出租)或承租的大宗商品仓</w:t>
            </w:r>
            <w:r>
              <w:rPr>
                <w:spacing w:val="-1"/>
              </w:rPr>
              <w:t>储设施用地，</w:t>
            </w:r>
          </w:p>
          <w:p>
            <w:pPr>
              <w:pStyle w:val="TableText"/>
              <w:ind w:left="11" w:right="155" w:firstLine="129"/>
              <w:spacing w:before="31" w:line="221" w:lineRule="auto"/>
              <w:rPr/>
            </w:pPr>
            <w:r>
              <w:rPr/>
              <w:t>减按所属土地等级适用税额标准的50%计</w:t>
            </w:r>
            <w:r>
              <w:rPr>
                <w:spacing w:val="-1"/>
              </w:rPr>
              <w:t>征城镇土地使用</w:t>
            </w:r>
            <w:r>
              <w:rPr/>
              <w:t xml:space="preserve"> </w:t>
            </w:r>
            <w:r>
              <w:rPr>
                <w:spacing w:val="-2"/>
              </w:rPr>
              <w:t>税。</w:t>
            </w:r>
          </w:p>
        </w:tc>
        <w:tc>
          <w:tcPr>
            <w:tcW w:w="2118" w:type="dxa"/>
            <w:vAlign w:val="top"/>
          </w:tcPr>
          <w:p>
            <w:pPr>
              <w:pStyle w:val="TableText"/>
              <w:ind w:left="75" w:right="88"/>
              <w:spacing w:before="74"/>
              <w:jc w:val="both"/>
              <w:rPr/>
            </w:pPr>
            <w:r>
              <w:rPr>
                <w:spacing w:val="-1"/>
              </w:rPr>
              <w:t>财政部、税务总局《关于继续</w:t>
            </w:r>
            <w:r>
              <w:rPr>
                <w:spacing w:val="5"/>
              </w:rPr>
              <w:t xml:space="preserve"> </w:t>
            </w:r>
            <w:r>
              <w:rPr>
                <w:spacing w:val="-1"/>
              </w:rPr>
              <w:t>实施物流企业大宗商品仓储设</w:t>
            </w:r>
            <w:r>
              <w:rPr>
                <w:spacing w:val="2"/>
              </w:rPr>
              <w:t xml:space="preserve"> </w:t>
            </w:r>
            <w:r>
              <w:rPr>
                <w:spacing w:val="-1"/>
              </w:rPr>
              <w:t>施用地城镇土地使用税优惠政</w:t>
            </w:r>
            <w:r>
              <w:rPr>
                <w:spacing w:val="6"/>
              </w:rPr>
              <w:t xml:space="preserve"> </w:t>
            </w:r>
            <w:r>
              <w:rPr>
                <w:spacing w:val="2"/>
              </w:rPr>
              <w:t>策的公告》2023年第5号公告</w:t>
            </w:r>
          </w:p>
        </w:tc>
        <w:tc>
          <w:tcPr>
            <w:tcW w:w="919" w:type="dxa"/>
            <w:vAlign w:val="top"/>
          </w:tcPr>
          <w:p>
            <w:pPr>
              <w:pStyle w:val="TableText"/>
              <w:ind w:left="26" w:right="12" w:firstLine="10"/>
              <w:spacing w:before="76" w:line="239" w:lineRule="auto"/>
              <w:jc w:val="both"/>
              <w:rPr/>
            </w:pPr>
            <w:r>
              <w:rPr>
                <w:spacing w:val="-10"/>
              </w:rPr>
              <w:t>2</w:t>
            </w:r>
            <w:r>
              <w:rPr>
                <w:spacing w:val="4"/>
              </w:rPr>
              <w:t xml:space="preserve"> </w:t>
            </w:r>
            <w:r>
              <w:rPr>
                <w:spacing w:val="-10"/>
              </w:rPr>
              <w:t>0</w:t>
            </w:r>
            <w:r>
              <w:rPr/>
              <w:t xml:space="preserve"> </w:t>
            </w:r>
            <w:r>
              <w:rPr>
                <w:spacing w:val="-10"/>
              </w:rPr>
              <w:t>2</w:t>
            </w:r>
            <w:r>
              <w:rPr>
                <w:spacing w:val="1"/>
              </w:rPr>
              <w:t xml:space="preserve"> </w:t>
            </w:r>
            <w:r>
              <w:rPr>
                <w:spacing w:val="-10"/>
              </w:rPr>
              <w:t>3</w:t>
            </w:r>
            <w:r>
              <w:rPr>
                <w:spacing w:val="-1"/>
              </w:rPr>
              <w:t xml:space="preserve"> </w:t>
            </w:r>
            <w:r>
              <w:rPr>
                <w:spacing w:val="-10"/>
              </w:rPr>
              <w:t>年</w:t>
            </w:r>
            <w:r>
              <w:rPr>
                <w:spacing w:val="10"/>
              </w:rPr>
              <w:t xml:space="preserve"> </w:t>
            </w:r>
            <w:r>
              <w:rPr>
                <w:spacing w:val="-10"/>
              </w:rPr>
              <w:t>1</w:t>
            </w:r>
            <w:r>
              <w:rPr/>
              <w:t xml:space="preserve"> </w:t>
            </w:r>
            <w:r>
              <w:rPr>
                <w:spacing w:val="-13"/>
              </w:rPr>
              <w:t>月</w:t>
            </w:r>
            <w:r>
              <w:rPr>
                <w:spacing w:val="-11"/>
              </w:rPr>
              <w:t xml:space="preserve"> </w:t>
            </w:r>
            <w:r>
              <w:rPr>
                <w:spacing w:val="-13"/>
              </w:rPr>
              <w:t>1</w:t>
            </w:r>
            <w:r>
              <w:rPr>
                <w:spacing w:val="3"/>
              </w:rPr>
              <w:t xml:space="preserve"> </w:t>
            </w:r>
            <w:r>
              <w:rPr>
                <w:spacing w:val="-13"/>
              </w:rPr>
              <w:t>日</w:t>
            </w:r>
            <w:r>
              <w:rPr>
                <w:spacing w:val="-23"/>
              </w:rPr>
              <w:t xml:space="preserve"> </w:t>
            </w:r>
            <w:r>
              <w:rPr>
                <w:spacing w:val="-13"/>
              </w:rPr>
              <w:t>起</w:t>
            </w:r>
            <w:r>
              <w:rPr>
                <w:spacing w:val="-23"/>
              </w:rPr>
              <w:t xml:space="preserve"> </w:t>
            </w:r>
            <w:r>
              <w:rPr>
                <w:spacing w:val="-13"/>
              </w:rPr>
              <w:t>至</w:t>
            </w:r>
            <w:r>
              <w:rPr/>
              <w:t xml:space="preserve"> </w:t>
            </w:r>
            <w:r>
              <w:rPr>
                <w:spacing w:val="-9"/>
              </w:rPr>
              <w:t>2</w:t>
            </w:r>
            <w:r>
              <w:rPr>
                <w:spacing w:val="-22"/>
              </w:rPr>
              <w:t xml:space="preserve"> </w:t>
            </w:r>
            <w:r>
              <w:rPr>
                <w:spacing w:val="-9"/>
              </w:rPr>
              <w:t>0</w:t>
            </w:r>
            <w:r>
              <w:rPr>
                <w:spacing w:val="-22"/>
              </w:rPr>
              <w:t xml:space="preserve"> </w:t>
            </w:r>
            <w:r>
              <w:rPr>
                <w:spacing w:val="-9"/>
              </w:rPr>
              <w:t>2</w:t>
            </w:r>
            <w:r>
              <w:rPr>
                <w:spacing w:val="-20"/>
              </w:rPr>
              <w:t xml:space="preserve"> </w:t>
            </w:r>
            <w:r>
              <w:rPr>
                <w:spacing w:val="-9"/>
              </w:rPr>
              <w:t>7</w:t>
            </w:r>
            <w:r>
              <w:rPr>
                <w:spacing w:val="-22"/>
              </w:rPr>
              <w:t xml:space="preserve"> </w:t>
            </w:r>
            <w:r>
              <w:rPr>
                <w:spacing w:val="-9"/>
              </w:rPr>
              <w:t>年</w:t>
            </w:r>
            <w:r>
              <w:rPr>
                <w:spacing w:val="-12"/>
              </w:rPr>
              <w:t xml:space="preserve"> </w:t>
            </w:r>
            <w:r>
              <w:rPr>
                <w:spacing w:val="-9"/>
              </w:rPr>
              <w:t>1</w:t>
            </w:r>
            <w:r>
              <w:rPr>
                <w:spacing w:val="-21"/>
              </w:rPr>
              <w:t xml:space="preserve"> </w:t>
            </w:r>
            <w:r>
              <w:rPr>
                <w:spacing w:val="-9"/>
              </w:rPr>
              <w:t>2</w:t>
            </w:r>
            <w:r>
              <w:rPr/>
              <w:t xml:space="preserve"> </w:t>
            </w:r>
            <w:r>
              <w:rPr>
                <w:spacing w:val="9"/>
              </w:rPr>
              <w:t>月31日</w:t>
            </w:r>
          </w:p>
        </w:tc>
        <w:tc>
          <w:tcPr>
            <w:tcW w:w="859" w:type="dxa"/>
            <w:vAlign w:val="top"/>
          </w:tcPr>
          <w:p>
            <w:pPr>
              <w:pStyle w:val="TableText"/>
              <w:ind w:left="127"/>
              <w:spacing w:before="56" w:line="221" w:lineRule="auto"/>
              <w:rPr/>
            </w:pPr>
            <w:r>
              <w:rPr>
                <w:spacing w:val="-2"/>
              </w:rPr>
              <w:t>物流企业</w:t>
            </w:r>
          </w:p>
        </w:tc>
        <w:tc>
          <w:tcPr>
            <w:tcW w:w="1009" w:type="dxa"/>
            <w:vAlign w:val="top"/>
          </w:tcPr>
          <w:p>
            <w:pPr>
              <w:pStyle w:val="TableText"/>
              <w:ind w:left="428" w:right="31" w:hanging="380"/>
              <w:spacing w:before="75" w:line="227" w:lineRule="auto"/>
              <w:rPr/>
            </w:pPr>
            <w:r>
              <w:rPr>
                <w:spacing w:val="3"/>
              </w:rPr>
              <w:t>城镇土地使用</w:t>
            </w:r>
            <w:r>
              <w:rPr/>
              <w:t xml:space="preserve"> </w:t>
            </w:r>
            <w:r>
              <w:rPr/>
              <w:t>税</w:t>
            </w:r>
          </w:p>
        </w:tc>
        <w:tc>
          <w:tcPr>
            <w:tcW w:w="464" w:type="dxa"/>
            <w:vAlign w:val="top"/>
          </w:tcPr>
          <w:p>
            <w:pPr>
              <w:pStyle w:val="TableText"/>
              <w:ind w:left="80"/>
              <w:spacing w:before="55"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pict>
          <v:shape id="_x0000_s58" style="position:absolute;margin-left:38.9997pt;margin-top:347.174pt;mso-position-vertical-relative:page;mso-position-horizontal-relative:page;width:10.6pt;height:14.75pt;z-index:251703296;" o:allowincell="f" filled="false" stroked="false" type="#_x0000_t202">
            <v:fill on="false"/>
            <v:stroke on="false"/>
            <v:path/>
            <v:imagedata o:title=""/>
            <o:lock v:ext="edit" aspectratio="false"/>
            <v:textbox inset="0mm,0mm,0mm,0mm">
              <w:txbxContent>
                <w:p>
                  <w:pPr>
                    <w:spacing w:before="19" w:line="224" w:lineRule="auto"/>
                    <w:jc w:val="right"/>
                    <w:rPr>
                      <w:rFonts w:ascii="SimSun" w:hAnsi="SimSun" w:eastAsia="SimSun" w:cs="SimSun"/>
                      <w:sz w:val="21"/>
                      <w:szCs w:val="21"/>
                    </w:rPr>
                  </w:pPr>
                  <w:r>
                    <w:rPr>
                      <w:rFonts w:ascii="SimSun" w:hAnsi="SimSun" w:eastAsia="SimSun" w:cs="SimSun"/>
                      <w:sz w:val="21"/>
                      <w:szCs w:val="21"/>
                      <w:spacing w:val="-21"/>
                      <w:w w:val="91"/>
                    </w:rPr>
                    <w:t>去</w:t>
                  </w:r>
                </w:p>
              </w:txbxContent>
            </v:textbox>
          </v:shape>
        </w:pict>
      </w:r>
      <w:r/>
    </w:p>
    <w:p>
      <w:pPr>
        <w:spacing w:before="51"/>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494" w:hRule="atLeast"/>
        </w:trPr>
        <w:tc>
          <w:tcPr>
            <w:tcW w:w="29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70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9" w:line="182" w:lineRule="auto"/>
              <w:rPr/>
            </w:pPr>
            <w:r>
              <w:rPr/>
              <w:t>5</w:t>
            </w:r>
          </w:p>
        </w:tc>
        <w:tc>
          <w:tcPr>
            <w:tcW w:w="3966" w:type="dxa"/>
            <w:vAlign w:val="top"/>
          </w:tcPr>
          <w:p>
            <w:pPr>
              <w:pStyle w:val="TableText"/>
              <w:ind w:left="41"/>
              <w:spacing w:before="87" w:line="219" w:lineRule="auto"/>
              <w:rPr/>
            </w:pPr>
            <w:r>
              <w:rPr>
                <w:spacing w:val="-1"/>
              </w:rPr>
              <w:t>一、自2023年1月1日起至2027年12月31日止，对物流</w:t>
            </w:r>
          </w:p>
          <w:p>
            <w:pPr>
              <w:pStyle w:val="TableText"/>
              <w:ind w:left="31" w:right="86" w:firstLine="69"/>
              <w:spacing w:before="21" w:line="227" w:lineRule="auto"/>
              <w:rPr/>
            </w:pPr>
            <w:r>
              <w:rPr/>
              <w:t>企业自有(包括自用和出租)或承租的大宗商品仓储设施用</w:t>
            </w:r>
            <w:r>
              <w:rPr>
                <w:spacing w:val="17"/>
              </w:rPr>
              <w:t xml:space="preserve"> </w:t>
            </w:r>
            <w:r>
              <w:rPr/>
              <w:t>地，减按所属土地等级适用税额标准的50</w:t>
            </w:r>
            <w:r>
              <w:rPr>
                <w:spacing w:val="-1"/>
              </w:rPr>
              <w:t>%计征城镇土地</w:t>
            </w:r>
          </w:p>
          <w:p>
            <w:pPr>
              <w:pStyle w:val="TableText"/>
              <w:ind w:left="41"/>
              <w:spacing w:before="22" w:line="219" w:lineRule="auto"/>
              <w:rPr/>
            </w:pPr>
            <w:r>
              <w:rPr>
                <w:spacing w:val="-1"/>
              </w:rPr>
              <w:t>使用税。</w:t>
            </w:r>
          </w:p>
          <w:p>
            <w:pPr>
              <w:pStyle w:val="TableText"/>
              <w:ind w:left="11" w:firstLine="9"/>
              <w:spacing w:before="41" w:line="247" w:lineRule="auto"/>
              <w:jc w:val="both"/>
              <w:rPr/>
            </w:pPr>
            <w:r>
              <w:rPr>
                <w:spacing w:val="-4"/>
              </w:rPr>
              <w:t>二、本公告所称物流企业，是指至少从事仓储或运输一种经  </w:t>
            </w:r>
            <w:r>
              <w:rPr>
                <w:spacing w:val="-4"/>
              </w:rPr>
              <w:t>营业务，为工农业生产、流通、进出口和居民生活提供仓储、</w:t>
            </w:r>
            <w:r>
              <w:rPr/>
              <w:t xml:space="preserve"> </w:t>
            </w:r>
            <w:r>
              <w:rPr>
                <w:spacing w:val="-4"/>
              </w:rPr>
              <w:t>配送等第三方物流服务，实行独立核算、独立承担</w:t>
            </w:r>
            <w:r>
              <w:rPr>
                <w:spacing w:val="-5"/>
              </w:rPr>
              <w:t>民事责任，</w:t>
            </w:r>
            <w:r>
              <w:rPr/>
              <w:t xml:space="preserve"> </w:t>
            </w:r>
            <w:r>
              <w:rPr>
                <w:spacing w:val="-4"/>
              </w:rPr>
              <w:t>并在工商部门注册登记为物流、仓储或运输的专业物流企业。</w:t>
            </w:r>
            <w:r>
              <w:rPr>
                <w:spacing w:val="1"/>
              </w:rPr>
              <w:t xml:space="preserve"> </w:t>
            </w:r>
            <w:r>
              <w:rPr>
                <w:spacing w:val="-3"/>
              </w:rPr>
              <w:t>本公告所称大宗商品仓储设施，是指同一仓储设施占地面</w:t>
            </w:r>
            <w:r>
              <w:rPr>
                <w:spacing w:val="-4"/>
              </w:rPr>
              <w:t>积  </w:t>
            </w:r>
            <w:r>
              <w:rPr>
                <w:spacing w:val="-3"/>
              </w:rPr>
              <w:t>在6000平方米及以上，且主要储存粮食、棉花、油料、糖料  </w:t>
            </w:r>
            <w:r>
              <w:rPr>
                <w:spacing w:val="-3"/>
              </w:rPr>
              <w:t>蔬菜、水果、肉类、水产品、化肥、农药、种子、饲料等</w:t>
            </w:r>
            <w:r>
              <w:rPr>
                <w:spacing w:val="-4"/>
              </w:rPr>
              <w:t>农  </w:t>
            </w:r>
            <w:r>
              <w:rPr/>
              <w:t>产品和农业生产资料，煤炭、焦炭、矿砂、非金属矿产品、</w:t>
            </w:r>
            <w:r>
              <w:rPr>
                <w:spacing w:val="12"/>
              </w:rPr>
              <w:t xml:space="preserve"> </w:t>
            </w:r>
            <w:r>
              <w:rPr>
                <w:spacing w:val="-3"/>
              </w:rPr>
              <w:t>原油、成品油、化工原料、木材、橡胶、纸浆及纸制品、</w:t>
            </w:r>
            <w:r>
              <w:rPr>
                <w:spacing w:val="-4"/>
              </w:rPr>
              <w:t>钢  </w:t>
            </w:r>
            <w:r>
              <w:rPr>
                <w:spacing w:val="-3"/>
              </w:rPr>
              <w:t>材、水泥、有色金属、建材、塑料、纺织原料等矿产品和</w:t>
            </w:r>
            <w:r>
              <w:rPr>
                <w:spacing w:val="-4"/>
              </w:rPr>
              <w:t>工  </w:t>
            </w:r>
            <w:r>
              <w:rPr>
                <w:spacing w:val="-2"/>
              </w:rPr>
              <w:t>业原材料的仓储设施</w:t>
            </w:r>
          </w:p>
          <w:p>
            <w:pPr>
              <w:pStyle w:val="TableText"/>
              <w:ind w:left="21" w:right="76" w:firstLine="39"/>
              <w:spacing w:before="31" w:line="239" w:lineRule="auto"/>
              <w:rPr/>
            </w:pPr>
            <w:r>
              <w:rPr>
                <w:spacing w:val="-1"/>
              </w:rPr>
              <w:t>本公告所称仓储设施用地，包括仓库库区内的各类仓房(含</w:t>
            </w:r>
            <w:r>
              <w:rPr>
                <w:spacing w:val="18"/>
              </w:rPr>
              <w:t xml:space="preserve"> </w:t>
            </w:r>
            <w:r>
              <w:rPr/>
              <w:t>配送中心)、油罐(池)、货场、晒场(堆</w:t>
            </w:r>
            <w:r>
              <w:rPr>
                <w:spacing w:val="-1"/>
              </w:rPr>
              <w:t>场)、罩棚等储</w:t>
            </w:r>
          </w:p>
          <w:p>
            <w:pPr>
              <w:pStyle w:val="TableText"/>
              <w:ind w:left="31" w:right="40" w:hanging="10"/>
              <w:spacing w:before="23" w:line="221" w:lineRule="auto"/>
              <w:rPr/>
            </w:pPr>
            <w:r>
              <w:rPr/>
              <w:t>存设施和铁路专用线、码头、道路、装卸搬</w:t>
            </w:r>
            <w:r>
              <w:rPr>
                <w:spacing w:val="-1"/>
              </w:rPr>
              <w:t>运区域等物流作</w:t>
            </w:r>
            <w:r>
              <w:rPr/>
              <w:t xml:space="preserve"> </w:t>
            </w:r>
            <w:r>
              <w:rPr>
                <w:spacing w:val="-1"/>
              </w:rPr>
              <w:t>业配套设施的用地。</w:t>
            </w:r>
          </w:p>
          <w:p>
            <w:pPr>
              <w:pStyle w:val="TableText"/>
              <w:ind w:left="21" w:right="28"/>
              <w:spacing w:before="41" w:line="237" w:lineRule="auto"/>
              <w:jc w:val="both"/>
              <w:rPr/>
            </w:pPr>
            <w:r>
              <w:rPr/>
              <w:t>三、物流企业的办公、生活区用地及其他非</w:t>
            </w:r>
            <w:r>
              <w:rPr>
                <w:spacing w:val="-1"/>
              </w:rPr>
              <w:t>直接用于大宗商</w:t>
            </w:r>
            <w:r>
              <w:rPr/>
              <w:t xml:space="preserve"> </w:t>
            </w:r>
            <w:r>
              <w:rPr/>
              <w:t>品仓储的土地，不属于本公告规定的减税范围，应按规定征</w:t>
            </w:r>
            <w:r>
              <w:rPr>
                <w:spacing w:val="5"/>
              </w:rPr>
              <w:t xml:space="preserve"> </w:t>
            </w:r>
            <w:r>
              <w:rPr>
                <w:spacing w:val="-1"/>
              </w:rPr>
              <w:t>收城镇土地使用税。</w:t>
            </w:r>
          </w:p>
          <w:p>
            <w:pPr>
              <w:pStyle w:val="TableText"/>
              <w:ind w:left="31" w:right="28" w:hanging="10"/>
              <w:spacing w:before="31" w:line="227" w:lineRule="auto"/>
              <w:rPr/>
            </w:pPr>
            <w:r>
              <w:rPr/>
              <w:t>四、本公告印发之日前已缴纳的应予减征的税款，在纳税人</w:t>
            </w:r>
            <w:r>
              <w:rPr>
                <w:spacing w:val="5"/>
              </w:rPr>
              <w:t xml:space="preserve"> </w:t>
            </w:r>
            <w:r>
              <w:rPr>
                <w:spacing w:val="-1"/>
              </w:rPr>
              <w:t>以后应缴税款中抵减或者予以退还。</w:t>
            </w:r>
          </w:p>
          <w:p>
            <w:pPr>
              <w:pStyle w:val="TableText"/>
              <w:ind w:left="21" w:right="40"/>
              <w:spacing w:before="39" w:line="234" w:lineRule="auto"/>
              <w:jc w:val="both"/>
              <w:rPr/>
            </w:pPr>
            <w:r>
              <w:rPr>
                <w:spacing w:val="-1"/>
              </w:rPr>
              <w:t>五、纳税人享受本公告规定的减税政策，应按规定进行减免</w:t>
            </w:r>
            <w:r>
              <w:rPr>
                <w:spacing w:val="16"/>
              </w:rPr>
              <w:t xml:space="preserve"> </w:t>
            </w:r>
            <w:r>
              <w:rPr/>
              <w:t>税申报，并将不动产权属证明、土地用途证</w:t>
            </w:r>
            <w:r>
              <w:rPr>
                <w:spacing w:val="-1"/>
              </w:rPr>
              <w:t>明、租赁协议等</w:t>
            </w:r>
            <w:r>
              <w:rPr/>
              <w:t xml:space="preserve"> </w:t>
            </w:r>
            <w:r>
              <w:rPr>
                <w:spacing w:val="-1"/>
              </w:rPr>
              <w:t>资料留存备查。</w:t>
            </w:r>
          </w:p>
        </w:tc>
        <w:tc>
          <w:tcPr>
            <w:tcW w:w="2118" w:type="dxa"/>
            <w:vAlign w:val="top"/>
          </w:tcPr>
          <w:p>
            <w:pPr>
              <w:pStyle w:val="TableText"/>
              <w:ind w:left="14" w:right="89" w:firstLine="60"/>
              <w:spacing w:before="75" w:line="223" w:lineRule="auto"/>
              <w:rPr/>
            </w:pPr>
            <w:r>
              <w:rPr>
                <w:spacing w:val="-1"/>
              </w:rPr>
              <w:t>财政部税务总局公告2023年第</w:t>
            </w:r>
            <w:r>
              <w:rPr>
                <w:spacing w:val="7"/>
              </w:rPr>
              <w:t xml:space="preserve"> </w:t>
            </w:r>
            <w:r>
              <w:rPr>
                <w:spacing w:val="-2"/>
              </w:rPr>
              <w:t>5号</w:t>
            </w:r>
          </w:p>
        </w:tc>
        <w:tc>
          <w:tcPr>
            <w:tcW w:w="919" w:type="dxa"/>
            <w:vAlign w:val="top"/>
          </w:tcPr>
          <w:p>
            <w:pPr>
              <w:pStyle w:val="TableText"/>
              <w:ind w:left="16" w:right="2" w:firstLine="20"/>
              <w:spacing w:before="75" w:line="243" w:lineRule="auto"/>
              <w:jc w:val="both"/>
              <w:rPr/>
            </w:pPr>
            <w:r>
              <w:rPr>
                <w:spacing w:val="-10"/>
              </w:rPr>
              <w:t>2</w:t>
            </w:r>
            <w:r>
              <w:rPr>
                <w:spacing w:val="4"/>
              </w:rPr>
              <w:t xml:space="preserve"> </w:t>
            </w:r>
            <w:r>
              <w:rPr>
                <w:spacing w:val="-10"/>
              </w:rPr>
              <w:t>0</w:t>
            </w:r>
            <w:r>
              <w:rPr/>
              <w:t xml:space="preserve"> </w:t>
            </w:r>
            <w:r>
              <w:rPr>
                <w:spacing w:val="-10"/>
              </w:rPr>
              <w:t>2</w:t>
            </w:r>
            <w:r>
              <w:rPr>
                <w:spacing w:val="1"/>
              </w:rPr>
              <w:t xml:space="preserve"> </w:t>
            </w:r>
            <w:r>
              <w:rPr>
                <w:spacing w:val="-10"/>
              </w:rPr>
              <w:t>3</w:t>
            </w:r>
            <w:r>
              <w:rPr>
                <w:spacing w:val="-1"/>
              </w:rPr>
              <w:t xml:space="preserve"> </w:t>
            </w:r>
            <w:r>
              <w:rPr>
                <w:spacing w:val="-10"/>
              </w:rPr>
              <w:t>年</w:t>
            </w:r>
            <w:r>
              <w:rPr>
                <w:spacing w:val="10"/>
              </w:rPr>
              <w:t xml:space="preserve"> </w:t>
            </w:r>
            <w:r>
              <w:rPr>
                <w:spacing w:val="-10"/>
              </w:rPr>
              <w:t>1</w:t>
            </w:r>
            <w:r>
              <w:rPr/>
              <w:t xml:space="preserve"> </w:t>
            </w:r>
            <w:r>
              <w:rPr>
                <w:spacing w:val="-11"/>
              </w:rPr>
              <w:t>月 1</w:t>
            </w:r>
            <w:r>
              <w:rPr>
                <w:spacing w:val="3"/>
              </w:rPr>
              <w:t xml:space="preserve"> </w:t>
            </w:r>
            <w:r>
              <w:rPr>
                <w:spacing w:val="-11"/>
              </w:rPr>
              <w:t>日</w:t>
            </w:r>
            <w:r>
              <w:rPr>
                <w:spacing w:val="-23"/>
              </w:rPr>
              <w:t xml:space="preserve"> </w:t>
            </w:r>
            <w:r>
              <w:rPr>
                <w:spacing w:val="-11"/>
              </w:rPr>
              <w:t>起</w:t>
            </w:r>
            <w:r>
              <w:rPr>
                <w:spacing w:val="-23"/>
              </w:rPr>
              <w:t xml:space="preserve"> </w:t>
            </w:r>
            <w:r>
              <w:rPr>
                <w:spacing w:val="-11"/>
              </w:rPr>
              <w:t>至</w:t>
            </w:r>
            <w:r>
              <w:rPr/>
              <w:t xml:space="preserve"> </w:t>
            </w:r>
            <w:r>
              <w:rPr>
                <w:spacing w:val="-9"/>
              </w:rPr>
              <w:t>2</w:t>
            </w:r>
            <w:r>
              <w:rPr>
                <w:spacing w:val="-19"/>
              </w:rPr>
              <w:t xml:space="preserve"> </w:t>
            </w:r>
            <w:r>
              <w:rPr>
                <w:spacing w:val="-9"/>
              </w:rPr>
              <w:t>0</w:t>
            </w:r>
            <w:r>
              <w:rPr>
                <w:spacing w:val="-18"/>
              </w:rPr>
              <w:t xml:space="preserve"> </w:t>
            </w:r>
            <w:r>
              <w:rPr>
                <w:spacing w:val="-9"/>
              </w:rPr>
              <w:t>2</w:t>
            </w:r>
            <w:r>
              <w:rPr>
                <w:spacing w:val="-16"/>
              </w:rPr>
              <w:t xml:space="preserve"> </w:t>
            </w:r>
            <w:r>
              <w:rPr>
                <w:spacing w:val="-9"/>
              </w:rPr>
              <w:t>7</w:t>
            </w:r>
            <w:r>
              <w:rPr>
                <w:spacing w:val="-19"/>
              </w:rPr>
              <w:t xml:space="preserve"> </w:t>
            </w:r>
            <w:r>
              <w:rPr>
                <w:spacing w:val="-9"/>
              </w:rPr>
              <w:t>年 1</w:t>
            </w:r>
            <w:r>
              <w:rPr>
                <w:spacing w:val="-18"/>
              </w:rPr>
              <w:t xml:space="preserve"> </w:t>
            </w:r>
            <w:r>
              <w:rPr>
                <w:spacing w:val="-9"/>
              </w:rPr>
              <w:t>2</w:t>
            </w:r>
            <w:r>
              <w:rPr/>
              <w:t xml:space="preserve"> </w:t>
            </w:r>
            <w:r>
              <w:rPr/>
              <w:t>月31日止</w:t>
            </w:r>
          </w:p>
        </w:tc>
        <w:tc>
          <w:tcPr>
            <w:tcW w:w="859" w:type="dxa"/>
            <w:vAlign w:val="top"/>
          </w:tcPr>
          <w:p>
            <w:pPr>
              <w:pStyle w:val="TableText"/>
              <w:ind w:left="88"/>
              <w:spacing w:before="77" w:line="220" w:lineRule="auto"/>
              <w:rPr/>
            </w:pPr>
            <w:r>
              <w:rPr/>
              <w:t>自有(包括</w:t>
            </w:r>
          </w:p>
          <w:p>
            <w:pPr>
              <w:pStyle w:val="TableText"/>
              <w:ind w:left="127"/>
              <w:spacing w:before="11" w:line="220" w:lineRule="auto"/>
              <w:rPr/>
            </w:pPr>
            <w:r>
              <w:rPr>
                <w:spacing w:val="4"/>
              </w:rPr>
              <w:t>自用和出</w:t>
            </w:r>
          </w:p>
          <w:p>
            <w:pPr>
              <w:pStyle w:val="TableText"/>
              <w:ind w:left="88"/>
              <w:spacing w:before="30" w:line="219" w:lineRule="auto"/>
              <w:rPr/>
            </w:pPr>
            <w:r>
              <w:rPr>
                <w:spacing w:val="-2"/>
              </w:rPr>
              <w:t>租)或承租</w:t>
            </w:r>
          </w:p>
          <w:p>
            <w:pPr>
              <w:pStyle w:val="TableText"/>
              <w:ind w:left="48"/>
              <w:spacing w:before="22" w:line="220" w:lineRule="auto"/>
              <w:rPr/>
            </w:pPr>
            <w:r>
              <w:rPr>
                <w:spacing w:val="3"/>
              </w:rPr>
              <w:t>的大宗商品</w:t>
            </w:r>
          </w:p>
          <w:p>
            <w:pPr>
              <w:pStyle w:val="TableText"/>
              <w:ind w:left="48"/>
              <w:spacing w:before="41" w:line="220" w:lineRule="auto"/>
              <w:rPr/>
            </w:pPr>
            <w:r>
              <w:rPr>
                <w:spacing w:val="3"/>
              </w:rPr>
              <w:t>仓储设施用</w:t>
            </w:r>
          </w:p>
          <w:p>
            <w:pPr>
              <w:pStyle w:val="TableText"/>
              <w:ind w:left="48"/>
              <w:spacing w:before="22" w:line="221" w:lineRule="auto"/>
              <w:rPr/>
            </w:pPr>
            <w:r>
              <w:rPr>
                <w:spacing w:val="-1"/>
              </w:rPr>
              <w:t>地的物流企</w:t>
            </w:r>
          </w:p>
          <w:p>
            <w:pPr>
              <w:pStyle w:val="TableText"/>
              <w:ind w:left="348"/>
              <w:spacing w:before="19" w:line="232" w:lineRule="auto"/>
              <w:rPr/>
            </w:pPr>
            <w:r>
              <w:rPr/>
              <w:t>业</w:t>
            </w:r>
          </w:p>
        </w:tc>
        <w:tc>
          <w:tcPr>
            <w:tcW w:w="1009" w:type="dxa"/>
            <w:vAlign w:val="top"/>
          </w:tcPr>
          <w:p>
            <w:pPr>
              <w:pStyle w:val="TableText"/>
              <w:ind w:left="428" w:right="31" w:hanging="380"/>
              <w:spacing w:before="77" w:line="215" w:lineRule="auto"/>
              <w:rPr/>
            </w:pPr>
            <w:r>
              <w:rPr>
                <w:spacing w:val="3"/>
              </w:rPr>
              <w:t>城镇土地使用</w:t>
            </w:r>
            <w:r>
              <w:rPr/>
              <w:t xml:space="preserve"> </w:t>
            </w:r>
            <w:r>
              <w:rPr/>
              <w:t>税</w:t>
            </w:r>
          </w:p>
        </w:tc>
        <w:tc>
          <w:tcPr>
            <w:tcW w:w="474" w:type="dxa"/>
            <w:vAlign w:val="top"/>
          </w:tcPr>
          <w:p>
            <w:pPr>
              <w:pStyle w:val="TableText"/>
              <w:ind w:left="80"/>
              <w:spacing w:before="57" w:line="219" w:lineRule="auto"/>
              <w:rPr/>
            </w:pPr>
            <w:r>
              <w:rPr>
                <w:spacing w:val="-2"/>
              </w:rPr>
              <w:t>减征</w:t>
            </w:r>
          </w:p>
        </w:tc>
      </w:tr>
    </w:tbl>
    <w:p>
      <w:pPr>
        <w:pStyle w:val="BodyText"/>
        <w:rPr/>
      </w:pPr>
      <w:r/>
    </w:p>
    <w:p>
      <w:pPr>
        <w:sectPr>
          <w:pgSz w:w="11910" w:h="8220"/>
          <w:pgMar w:top="400" w:right="1135" w:bottom="400" w:left="799" w:header="0" w:footer="0" w:gutter="0"/>
        </w:sectPr>
        <w:rPr/>
      </w:pPr>
    </w:p>
    <w:p>
      <w:pPr>
        <w:spacing w:before="51"/>
        <w:rPr/>
      </w:pPr>
      <w:r>
        <w:pict>
          <v:shape id="_x0000_s60" style="position:absolute;margin-left:38.9997pt;margin-top:51.3404pt;mso-position-vertical-relative:page;mso-position-horizontal-relative:page;width:11.1pt;height:15.75pt;z-index:251704320;" o:allowincell="f" filled="false" stroked="false" type="#_x0000_t202">
            <v:fill on="false"/>
            <v:stroke on="false"/>
            <v:path/>
            <v:imagedata o:title=""/>
            <o:lock v:ext="edit" aspectratio="false"/>
            <v:textbox inset="0mm,0mm,0mm,0mm">
              <w:txbxContent>
                <w:p>
                  <w:pPr>
                    <w:spacing w:before="19" w:line="192" w:lineRule="auto"/>
                    <w:jc w:val="right"/>
                    <w:rPr>
                      <w:rFonts w:ascii="STXinwei" w:hAnsi="STXinwei" w:eastAsia="STXinwei" w:cs="STXinwei"/>
                      <w:sz w:val="26"/>
                      <w:szCs w:val="26"/>
                    </w:rPr>
                  </w:pPr>
                  <w:r>
                    <w:rPr>
                      <w:rFonts w:ascii="STXinwei" w:hAnsi="STXinwei" w:eastAsia="STXinwei" w:cs="STXinwei"/>
                      <w:sz w:val="26"/>
                      <w:szCs w:val="26"/>
                      <w:spacing w:val="-48"/>
                      <w:w w:val="88"/>
                    </w:rPr>
                    <w:t>古</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09"/>
        <w:gridCol w:w="849"/>
        <w:gridCol w:w="1019"/>
        <w:gridCol w:w="464"/>
      </w:tblGrid>
      <w:tr>
        <w:trPr>
          <w:trHeight w:val="484" w:hRule="atLeast"/>
        </w:trPr>
        <w:tc>
          <w:tcPr>
            <w:tcW w:w="284" w:type="dxa"/>
            <w:vAlign w:val="top"/>
            <w:textDirection w:val="tbRlV"/>
          </w:tcPr>
          <w:p>
            <w:pPr>
              <w:pStyle w:val="TableText"/>
              <w:ind w:left="47"/>
              <w:spacing w:before="69" w:line="217" w:lineRule="auto"/>
              <w:rPr/>
            </w:pPr>
            <w:r>
              <w:rPr>
                <w:spacing w:val="-2"/>
              </w:rPr>
              <w:t>序 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1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290" w:hRule="atLeast"/>
        </w:trPr>
        <w:tc>
          <w:tcPr>
            <w:shd w:val="clear" w:fill="DBDCDC"/>
            <w:tcW w:w="9639" w:type="dxa"/>
            <w:vAlign w:val="top"/>
            <w:gridSpan w:val="7"/>
          </w:tcPr>
          <w:p>
            <w:pPr>
              <w:pStyle w:val="TableText"/>
              <w:ind w:left="4437"/>
              <w:spacing w:before="65" w:line="220" w:lineRule="auto"/>
              <w:rPr/>
            </w:pPr>
            <w:r>
              <w:rPr>
                <w:b/>
                <w:bCs/>
                <w:spacing w:val="-2"/>
              </w:rPr>
              <w:t>四、资源税</w:t>
            </w:r>
          </w:p>
        </w:tc>
      </w:tr>
      <w:tr>
        <w:trPr>
          <w:trHeight w:val="968" w:hRule="atLeast"/>
        </w:trPr>
        <w:tc>
          <w:tcPr>
            <w:tcW w:w="284" w:type="dxa"/>
            <w:vAlign w:val="top"/>
          </w:tcPr>
          <w:p>
            <w:pPr>
              <w:spacing w:line="393" w:lineRule="auto"/>
              <w:rPr>
                <w:rFonts w:ascii="Arial"/>
                <w:sz w:val="21"/>
              </w:rPr>
            </w:pPr>
            <w:r/>
          </w:p>
          <w:p>
            <w:pPr>
              <w:pStyle w:val="TableText"/>
              <w:ind w:left="94"/>
              <w:spacing w:before="49" w:line="184" w:lineRule="auto"/>
              <w:rPr/>
            </w:pPr>
            <w:r>
              <w:rPr/>
              <w:t>1</w:t>
            </w:r>
          </w:p>
        </w:tc>
        <w:tc>
          <w:tcPr>
            <w:tcW w:w="3986" w:type="dxa"/>
            <w:vAlign w:val="top"/>
          </w:tcPr>
          <w:p>
            <w:pPr>
              <w:pStyle w:val="TableText"/>
              <w:ind w:left="100" w:right="258" w:firstLine="160"/>
              <w:spacing w:before="116" w:line="239" w:lineRule="auto"/>
              <w:rPr/>
            </w:pPr>
            <w:r>
              <w:rPr/>
              <w:t>自2018年4月1日至2023年12月31日，对页岩气资源税</w:t>
            </w:r>
            <w:r>
              <w:rPr>
                <w:spacing w:val="5"/>
              </w:rPr>
              <w:t xml:space="preserve"> </w:t>
            </w:r>
            <w:r>
              <w:rPr/>
              <w:t>(按6%的规定税率)减征30%。</w:t>
            </w:r>
          </w:p>
        </w:tc>
        <w:tc>
          <w:tcPr>
            <w:tcW w:w="2128" w:type="dxa"/>
            <w:vAlign w:val="top"/>
          </w:tcPr>
          <w:p>
            <w:pPr>
              <w:pStyle w:val="TableText"/>
              <w:ind w:left="20" w:right="88" w:firstLine="64"/>
              <w:spacing w:before="126" w:line="230" w:lineRule="auto"/>
              <w:jc w:val="both"/>
              <w:rPr/>
            </w:pPr>
            <w:r>
              <w:rPr>
                <w:spacing w:val="-1"/>
              </w:rPr>
              <w:t>财政部、税务总局《关于对页</w:t>
            </w:r>
            <w:r>
              <w:rPr>
                <w:spacing w:val="5"/>
              </w:rPr>
              <w:t xml:space="preserve"> </w:t>
            </w:r>
            <w:r>
              <w:rPr>
                <w:spacing w:val="4"/>
              </w:rPr>
              <w:t>岩气减征资源税的通知》财税</w:t>
            </w:r>
            <w:r>
              <w:rPr>
                <w:spacing w:val="6"/>
              </w:rPr>
              <w:t xml:space="preserve"> </w:t>
            </w:r>
            <w:r>
              <w:rPr>
                <w:spacing w:val="8"/>
              </w:rPr>
              <w:t>〔2018〕26号</w:t>
            </w:r>
          </w:p>
        </w:tc>
        <w:tc>
          <w:tcPr>
            <w:tcW w:w="909" w:type="dxa"/>
            <w:vAlign w:val="top"/>
          </w:tcPr>
          <w:p>
            <w:pPr>
              <w:pStyle w:val="TableText"/>
              <w:ind w:left="16" w:right="12" w:firstLine="10"/>
              <w:spacing w:before="105" w:line="249" w:lineRule="auto"/>
              <w:jc w:val="both"/>
              <w:rPr/>
            </w:pPr>
            <w:r>
              <w:rPr>
                <w:spacing w:val="-13"/>
              </w:rPr>
              <w:t>自</w:t>
            </w:r>
            <w:r>
              <w:rPr>
                <w:spacing w:val="-10"/>
              </w:rPr>
              <w:t xml:space="preserve"> </w:t>
            </w:r>
            <w:r>
              <w:rPr>
                <w:spacing w:val="-13"/>
              </w:rPr>
              <w:t>2 0</w:t>
            </w:r>
            <w:r>
              <w:rPr>
                <w:spacing w:val="-3"/>
              </w:rPr>
              <w:t xml:space="preserve"> </w:t>
            </w:r>
            <w:r>
              <w:rPr>
                <w:spacing w:val="-13"/>
              </w:rPr>
              <w:t>1 8 年</w:t>
            </w:r>
            <w:r>
              <w:rPr/>
              <w:t xml:space="preserve"> </w:t>
            </w:r>
            <w:r>
              <w:rPr>
                <w:spacing w:val="-15"/>
              </w:rPr>
              <w:t>4</w:t>
            </w:r>
            <w:r>
              <w:rPr>
                <w:spacing w:val="6"/>
              </w:rPr>
              <w:t xml:space="preserve"> </w:t>
            </w:r>
            <w:r>
              <w:rPr>
                <w:spacing w:val="-15"/>
              </w:rPr>
              <w:t>月</w:t>
            </w:r>
            <w:r>
              <w:rPr>
                <w:spacing w:val="10"/>
              </w:rPr>
              <w:t xml:space="preserve"> </w:t>
            </w:r>
            <w:r>
              <w:rPr>
                <w:spacing w:val="-15"/>
              </w:rPr>
              <w:t>1</w:t>
            </w:r>
            <w:r>
              <w:rPr>
                <w:spacing w:val="25"/>
              </w:rPr>
              <w:t xml:space="preserve"> </w:t>
            </w:r>
            <w:r>
              <w:rPr>
                <w:spacing w:val="-15"/>
              </w:rPr>
              <w:t>日</w:t>
            </w:r>
            <w:r>
              <w:rPr/>
              <w:t xml:space="preserve"> </w:t>
            </w:r>
            <w:r>
              <w:rPr>
                <w:spacing w:val="-15"/>
              </w:rPr>
              <w:t>至</w:t>
            </w:r>
            <w:r>
              <w:rPr/>
              <w:t xml:space="preserve"> </w:t>
            </w:r>
            <w:r>
              <w:rPr>
                <w:spacing w:val="-9"/>
              </w:rPr>
              <w:t>2</w:t>
            </w:r>
            <w:r>
              <w:rPr>
                <w:spacing w:val="-22"/>
              </w:rPr>
              <w:t xml:space="preserve"> </w:t>
            </w:r>
            <w:r>
              <w:rPr>
                <w:spacing w:val="-9"/>
              </w:rPr>
              <w:t>0</w:t>
            </w:r>
            <w:r>
              <w:rPr>
                <w:spacing w:val="-22"/>
              </w:rPr>
              <w:t xml:space="preserve"> </w:t>
            </w:r>
            <w:r>
              <w:rPr>
                <w:spacing w:val="-9"/>
              </w:rPr>
              <w:t>2</w:t>
            </w:r>
            <w:r>
              <w:rPr>
                <w:spacing w:val="-20"/>
              </w:rPr>
              <w:t xml:space="preserve"> </w:t>
            </w:r>
            <w:r>
              <w:rPr>
                <w:spacing w:val="-9"/>
              </w:rPr>
              <w:t>3</w:t>
            </w:r>
            <w:r>
              <w:rPr>
                <w:spacing w:val="-22"/>
              </w:rPr>
              <w:t xml:space="preserve"> </w:t>
            </w:r>
            <w:r>
              <w:rPr>
                <w:spacing w:val="-9"/>
              </w:rPr>
              <w:t>年</w:t>
            </w:r>
            <w:r>
              <w:rPr>
                <w:spacing w:val="-12"/>
              </w:rPr>
              <w:t xml:space="preserve"> </w:t>
            </w:r>
            <w:r>
              <w:rPr>
                <w:spacing w:val="-9"/>
              </w:rPr>
              <w:t>1</w:t>
            </w:r>
            <w:r>
              <w:rPr>
                <w:spacing w:val="-21"/>
              </w:rPr>
              <w:t xml:space="preserve"> </w:t>
            </w:r>
            <w:r>
              <w:rPr>
                <w:spacing w:val="-9"/>
              </w:rPr>
              <w:t>2</w:t>
            </w:r>
            <w:r>
              <w:rPr/>
              <w:t xml:space="preserve"> </w:t>
            </w:r>
            <w:r>
              <w:rPr>
                <w:spacing w:val="6"/>
              </w:rPr>
              <w:t>月31日</w:t>
            </w:r>
          </w:p>
        </w:tc>
        <w:tc>
          <w:tcPr>
            <w:tcW w:w="849" w:type="dxa"/>
            <w:vAlign w:val="top"/>
          </w:tcPr>
          <w:p>
            <w:pPr>
              <w:pStyle w:val="TableText"/>
              <w:ind w:left="267" w:right="50" w:hanging="219"/>
              <w:spacing w:before="118" w:line="236" w:lineRule="auto"/>
              <w:rPr/>
            </w:pPr>
            <w:r>
              <w:rPr>
                <w:spacing w:val="-2"/>
              </w:rPr>
              <w:t>页岩气相关</w:t>
            </w:r>
            <w:r>
              <w:rPr/>
              <w:t xml:space="preserve"> </w:t>
            </w:r>
            <w:r>
              <w:rPr>
                <w:spacing w:val="-3"/>
              </w:rPr>
              <w:t>企业</w:t>
            </w:r>
          </w:p>
        </w:tc>
        <w:tc>
          <w:tcPr>
            <w:tcW w:w="1019" w:type="dxa"/>
            <w:vAlign w:val="top"/>
          </w:tcPr>
          <w:p>
            <w:pPr>
              <w:pStyle w:val="TableText"/>
              <w:ind w:left="279"/>
              <w:spacing w:before="107" w:line="220" w:lineRule="auto"/>
              <w:rPr/>
            </w:pPr>
            <w:r>
              <w:rPr>
                <w:spacing w:val="-3"/>
              </w:rPr>
              <w:t>资源税</w:t>
            </w:r>
          </w:p>
        </w:tc>
        <w:tc>
          <w:tcPr>
            <w:tcW w:w="464" w:type="dxa"/>
            <w:vAlign w:val="top"/>
          </w:tcPr>
          <w:p>
            <w:pPr>
              <w:pStyle w:val="TableText"/>
              <w:ind w:left="80"/>
              <w:spacing w:before="107" w:line="219" w:lineRule="auto"/>
              <w:rPr/>
            </w:pPr>
            <w:r>
              <w:rPr>
                <w:spacing w:val="-2"/>
              </w:rPr>
              <w:t>减征</w:t>
            </w:r>
          </w:p>
        </w:tc>
      </w:tr>
      <w:tr>
        <w:trPr>
          <w:trHeight w:val="279" w:hRule="atLeast"/>
        </w:trPr>
        <w:tc>
          <w:tcPr>
            <w:shd w:val="clear" w:fill="DCDDDD"/>
            <w:tcW w:w="9639" w:type="dxa"/>
            <w:vAlign w:val="top"/>
            <w:gridSpan w:val="7"/>
          </w:tcPr>
          <w:p>
            <w:pPr>
              <w:pStyle w:val="TableText"/>
              <w:ind w:left="4437"/>
              <w:spacing w:before="67" w:line="219" w:lineRule="auto"/>
              <w:rPr/>
            </w:pPr>
            <w:r>
              <w:rPr>
                <w:b/>
                <w:bCs/>
                <w:spacing w:val="-3"/>
              </w:rPr>
              <w:t>五、印花税</w:t>
            </w:r>
          </w:p>
        </w:tc>
      </w:tr>
      <w:tr>
        <w:trPr>
          <w:trHeight w:val="968" w:hRule="atLeast"/>
        </w:trPr>
        <w:tc>
          <w:tcPr>
            <w:tcW w:w="284" w:type="dxa"/>
            <w:vAlign w:val="top"/>
          </w:tcPr>
          <w:p>
            <w:pPr>
              <w:spacing w:line="396" w:lineRule="auto"/>
              <w:rPr>
                <w:rFonts w:ascii="Arial"/>
                <w:sz w:val="21"/>
              </w:rPr>
            </w:pPr>
            <w:r/>
          </w:p>
          <w:p>
            <w:pPr>
              <w:pStyle w:val="TableText"/>
              <w:ind w:left="94"/>
              <w:spacing w:before="49" w:line="184" w:lineRule="auto"/>
              <w:rPr/>
            </w:pPr>
            <w:r>
              <w:rPr/>
              <w:t>1</w:t>
            </w:r>
          </w:p>
        </w:tc>
        <w:tc>
          <w:tcPr>
            <w:tcW w:w="3986" w:type="dxa"/>
            <w:vAlign w:val="top"/>
          </w:tcPr>
          <w:p>
            <w:pPr>
              <w:pStyle w:val="TableText"/>
              <w:ind w:left="31"/>
              <w:spacing w:before="140" w:line="219" w:lineRule="auto"/>
              <w:rPr/>
            </w:pPr>
            <w:r>
              <w:rPr/>
              <w:t>自试点开始之日起三年内，在上海证券交易所、深圳证券交</w:t>
            </w:r>
          </w:p>
          <w:p>
            <w:pPr>
              <w:pStyle w:val="TableText"/>
              <w:ind w:left="110"/>
              <w:spacing w:before="19" w:line="216" w:lineRule="auto"/>
              <w:rPr/>
            </w:pPr>
            <w:r>
              <w:rPr>
                <w:spacing w:val="-1"/>
              </w:rPr>
              <w:t>易所转让创新企业CDR,按照实际成交金额，由出让方按1%</w:t>
            </w:r>
          </w:p>
          <w:p>
            <w:pPr>
              <w:pStyle w:val="TableText"/>
              <w:ind w:left="31"/>
              <w:spacing w:before="26" w:line="219" w:lineRule="auto"/>
              <w:rPr/>
            </w:pPr>
            <w:r>
              <w:rPr/>
              <w:t>的税率缴纳证券交易印花税</w:t>
            </w:r>
          </w:p>
        </w:tc>
        <w:tc>
          <w:tcPr>
            <w:tcW w:w="2128" w:type="dxa"/>
            <w:vAlign w:val="top"/>
          </w:tcPr>
          <w:p>
            <w:pPr>
              <w:pStyle w:val="TableText"/>
              <w:ind w:left="84" w:right="19" w:hanging="80"/>
              <w:spacing w:before="120" w:line="245" w:lineRule="auto"/>
              <w:rPr/>
            </w:pPr>
            <w:r>
              <w:rPr>
                <w:spacing w:val="-1"/>
              </w:rPr>
              <w:t>财政部、税务总局、证监会《关</w:t>
            </w:r>
            <w:r>
              <w:rPr>
                <w:spacing w:val="6"/>
              </w:rPr>
              <w:t xml:space="preserve"> </w:t>
            </w:r>
            <w:r>
              <w:rPr>
                <w:spacing w:val="-1"/>
              </w:rPr>
              <w:t>于创新企业境内发行存托凭证</w:t>
            </w:r>
          </w:p>
          <w:p>
            <w:pPr>
              <w:pStyle w:val="TableText"/>
              <w:spacing w:before="20" w:line="218" w:lineRule="auto"/>
              <w:jc w:val="right"/>
              <w:rPr/>
            </w:pPr>
            <w:r>
              <w:rPr>
                <w:spacing w:val="-2"/>
              </w:rPr>
              <w:t>试点阶段有关税收政策的公告》</w:t>
            </w:r>
          </w:p>
          <w:p>
            <w:pPr>
              <w:pStyle w:val="TableText"/>
              <w:ind w:left="24"/>
              <w:spacing w:before="2" w:line="218" w:lineRule="auto"/>
              <w:rPr/>
            </w:pPr>
            <w:r>
              <w:rPr>
                <w:spacing w:val="-1"/>
              </w:rPr>
              <w:t>2019年第52号公告</w:t>
            </w:r>
          </w:p>
        </w:tc>
        <w:tc>
          <w:tcPr>
            <w:tcW w:w="909" w:type="dxa"/>
            <w:vAlign w:val="top"/>
          </w:tcPr>
          <w:p>
            <w:pPr>
              <w:pStyle w:val="TableText"/>
              <w:ind w:left="16" w:right="1" w:firstLine="10"/>
              <w:spacing w:before="120" w:line="233" w:lineRule="auto"/>
              <w:rPr/>
            </w:pPr>
            <w:r>
              <w:rPr>
                <w:spacing w:val="16"/>
                <w:w w:val="112"/>
              </w:rPr>
              <w:t>2019年4月</w:t>
            </w:r>
            <w:r>
              <w:rPr>
                <w:spacing w:val="1"/>
              </w:rPr>
              <w:t xml:space="preserve"> </w:t>
            </w:r>
            <w:r>
              <w:rPr>
                <w:spacing w:val="-2"/>
              </w:rPr>
              <w:t>3日起</w:t>
            </w:r>
          </w:p>
        </w:tc>
        <w:tc>
          <w:tcPr>
            <w:tcW w:w="849" w:type="dxa"/>
            <w:vAlign w:val="top"/>
          </w:tcPr>
          <w:p>
            <w:pPr>
              <w:pStyle w:val="TableText"/>
              <w:ind w:left="117"/>
              <w:spacing w:before="110" w:line="220" w:lineRule="auto"/>
              <w:rPr/>
            </w:pPr>
            <w:r>
              <w:rPr>
                <w:spacing w:val="-2"/>
              </w:rPr>
              <w:t>创新企业</w:t>
            </w:r>
          </w:p>
        </w:tc>
        <w:tc>
          <w:tcPr>
            <w:tcW w:w="1019" w:type="dxa"/>
            <w:vAlign w:val="top"/>
          </w:tcPr>
          <w:p>
            <w:pPr>
              <w:pStyle w:val="TableText"/>
              <w:ind w:left="279"/>
              <w:spacing w:before="110" w:line="219" w:lineRule="auto"/>
              <w:rPr/>
            </w:pPr>
            <w:r>
              <w:rPr>
                <w:spacing w:val="2"/>
              </w:rPr>
              <w:t>印花税</w:t>
            </w:r>
          </w:p>
        </w:tc>
        <w:tc>
          <w:tcPr>
            <w:tcW w:w="464" w:type="dxa"/>
            <w:vAlign w:val="top"/>
          </w:tcPr>
          <w:p>
            <w:pPr>
              <w:pStyle w:val="TableText"/>
              <w:ind w:left="80"/>
              <w:spacing w:before="110" w:line="219" w:lineRule="auto"/>
              <w:rPr/>
            </w:pPr>
            <w:r>
              <w:rPr>
                <w:spacing w:val="-2"/>
              </w:rPr>
              <w:t>减征</w:t>
            </w:r>
          </w:p>
        </w:tc>
      </w:tr>
      <w:tr>
        <w:trPr>
          <w:trHeight w:val="779" w:hRule="atLeast"/>
        </w:trPr>
        <w:tc>
          <w:tcPr>
            <w:tcW w:w="284" w:type="dxa"/>
            <w:vAlign w:val="top"/>
          </w:tcPr>
          <w:p>
            <w:pPr>
              <w:spacing w:line="310" w:lineRule="auto"/>
              <w:rPr>
                <w:rFonts w:ascii="Arial"/>
                <w:sz w:val="21"/>
              </w:rPr>
            </w:pPr>
            <w:r/>
          </w:p>
          <w:p>
            <w:pPr>
              <w:pStyle w:val="TableText"/>
              <w:ind w:left="94"/>
              <w:spacing w:before="48" w:line="183" w:lineRule="auto"/>
              <w:rPr/>
            </w:pPr>
            <w:r>
              <w:rPr/>
              <w:t>2</w:t>
            </w:r>
          </w:p>
        </w:tc>
        <w:tc>
          <w:tcPr>
            <w:tcW w:w="3986" w:type="dxa"/>
            <w:vAlign w:val="top"/>
          </w:tcPr>
          <w:p>
            <w:pPr>
              <w:pStyle w:val="TableText"/>
              <w:ind w:left="21" w:right="50" w:firstLine="10"/>
              <w:spacing w:before="141" w:line="239" w:lineRule="auto"/>
              <w:rPr/>
            </w:pPr>
            <w:r>
              <w:rPr/>
              <w:t>对按万分之五税率贴花的资金账簿减半征收</w:t>
            </w:r>
            <w:r>
              <w:rPr>
                <w:spacing w:val="-1"/>
              </w:rPr>
              <w:t>印花税，对按件</w:t>
            </w:r>
            <w:r>
              <w:rPr/>
              <w:t xml:space="preserve"> </w:t>
            </w:r>
            <w:r>
              <w:rPr>
                <w:spacing w:val="-1"/>
              </w:rPr>
              <w:t>贴花五元的其他账薄免征印花税</w:t>
            </w:r>
          </w:p>
        </w:tc>
        <w:tc>
          <w:tcPr>
            <w:tcW w:w="2128" w:type="dxa"/>
            <w:vAlign w:val="top"/>
          </w:tcPr>
          <w:p>
            <w:pPr>
              <w:pStyle w:val="TableText"/>
              <w:ind w:left="55" w:right="88" w:firstLine="30"/>
              <w:spacing w:before="143" w:line="229" w:lineRule="auto"/>
              <w:jc w:val="both"/>
              <w:rPr/>
            </w:pPr>
            <w:r>
              <w:rPr>
                <w:spacing w:val="-1"/>
              </w:rPr>
              <w:t>财政部、税务总局《关于对营</w:t>
            </w:r>
            <w:r>
              <w:rPr>
                <w:spacing w:val="5"/>
              </w:rPr>
              <w:t xml:space="preserve"> </w:t>
            </w:r>
            <w:r>
              <w:rPr>
                <w:spacing w:val="1"/>
              </w:rPr>
              <w:t>业账簿减免印花税的通知》财</w:t>
            </w:r>
            <w:r>
              <w:rPr>
                <w:spacing w:val="10"/>
              </w:rPr>
              <w:t xml:space="preserve"> </w:t>
            </w:r>
            <w:r>
              <w:rPr>
                <w:spacing w:val="-1"/>
              </w:rPr>
              <w:t>税〔2018〕50号</w:t>
            </w:r>
          </w:p>
        </w:tc>
        <w:tc>
          <w:tcPr>
            <w:tcW w:w="909" w:type="dxa"/>
            <w:vAlign w:val="top"/>
          </w:tcPr>
          <w:p>
            <w:pPr>
              <w:pStyle w:val="TableText"/>
              <w:ind w:left="16" w:right="56" w:firstLine="60"/>
              <w:spacing w:before="142" w:line="227" w:lineRule="auto"/>
              <w:rPr/>
            </w:pPr>
            <w:r>
              <w:rPr>
                <w:spacing w:val="1"/>
              </w:rPr>
              <w:t>2018年5月1</w:t>
            </w:r>
            <w:r>
              <w:rPr>
                <w:spacing w:val="6"/>
              </w:rPr>
              <w:t xml:space="preserve"> </w:t>
            </w:r>
            <w:r>
              <w:rPr>
                <w:spacing w:val="6"/>
              </w:rPr>
              <w:t>日起</w:t>
            </w:r>
          </w:p>
        </w:tc>
        <w:tc>
          <w:tcPr>
            <w:tcW w:w="849" w:type="dxa"/>
            <w:vAlign w:val="top"/>
          </w:tcPr>
          <w:p>
            <w:pPr>
              <w:pStyle w:val="TableText"/>
              <w:ind w:left="267" w:right="48" w:hanging="219"/>
              <w:spacing w:before="122" w:line="249" w:lineRule="auto"/>
              <w:rPr/>
            </w:pPr>
            <w:r>
              <w:rPr>
                <w:spacing w:val="-2"/>
              </w:rPr>
              <w:t>符合条件的</w:t>
            </w:r>
            <w:r>
              <w:rPr>
                <w:spacing w:val="1"/>
              </w:rPr>
              <w:t xml:space="preserve"> </w:t>
            </w:r>
            <w:r>
              <w:rPr>
                <w:spacing w:val="-3"/>
              </w:rPr>
              <w:t>企业</w:t>
            </w:r>
          </w:p>
        </w:tc>
        <w:tc>
          <w:tcPr>
            <w:tcW w:w="1019" w:type="dxa"/>
            <w:vAlign w:val="top"/>
          </w:tcPr>
          <w:p>
            <w:pPr>
              <w:pStyle w:val="TableText"/>
              <w:ind w:left="279"/>
              <w:spacing w:before="122" w:line="219" w:lineRule="auto"/>
              <w:rPr/>
            </w:pPr>
            <w:r>
              <w:rPr>
                <w:spacing w:val="2"/>
              </w:rPr>
              <w:t>印花税</w:t>
            </w:r>
          </w:p>
        </w:tc>
        <w:tc>
          <w:tcPr>
            <w:tcW w:w="464" w:type="dxa"/>
            <w:vAlign w:val="top"/>
          </w:tcPr>
          <w:p>
            <w:pPr>
              <w:pStyle w:val="TableText"/>
              <w:ind w:left="80"/>
              <w:spacing w:before="112" w:line="219" w:lineRule="auto"/>
              <w:rPr/>
            </w:pPr>
            <w:r>
              <w:rPr>
                <w:spacing w:val="-3"/>
              </w:rPr>
              <w:t>免征</w:t>
            </w:r>
          </w:p>
        </w:tc>
      </w:tr>
      <w:tr>
        <w:trPr>
          <w:trHeight w:val="260" w:hRule="atLeast"/>
        </w:trPr>
        <w:tc>
          <w:tcPr>
            <w:shd w:val="clear" w:fill="DCDDDD"/>
            <w:tcW w:w="9639" w:type="dxa"/>
            <w:vAlign w:val="top"/>
            <w:gridSpan w:val="7"/>
          </w:tcPr>
          <w:p>
            <w:pPr>
              <w:pStyle w:val="TableText"/>
              <w:ind w:left="4437"/>
              <w:spacing w:before="61" w:line="219" w:lineRule="auto"/>
              <w:rPr/>
            </w:pPr>
            <w:r>
              <w:rPr>
                <w:b/>
                <w:bCs/>
                <w:spacing w:val="-3"/>
              </w:rPr>
              <w:t>六、车船税</w:t>
            </w:r>
          </w:p>
        </w:tc>
      </w:tr>
      <w:tr>
        <w:trPr>
          <w:trHeight w:val="2062" w:hRule="atLeast"/>
        </w:trPr>
        <w:tc>
          <w:tcPr>
            <w:tcW w:w="284" w:type="dxa"/>
            <w:vAlign w:val="top"/>
          </w:tcPr>
          <w:p>
            <w:pPr>
              <w:spacing w:line="315" w:lineRule="auto"/>
              <w:rPr>
                <w:rFonts w:ascii="Arial"/>
                <w:sz w:val="21"/>
              </w:rPr>
            </w:pPr>
            <w:r/>
          </w:p>
          <w:p>
            <w:pPr>
              <w:spacing w:line="315" w:lineRule="auto"/>
              <w:rPr>
                <w:rFonts w:ascii="Arial"/>
                <w:sz w:val="21"/>
              </w:rPr>
            </w:pPr>
            <w:r/>
          </w:p>
          <w:p>
            <w:pPr>
              <w:spacing w:line="316" w:lineRule="auto"/>
              <w:rPr>
                <w:rFonts w:ascii="Arial"/>
                <w:sz w:val="21"/>
              </w:rPr>
            </w:pPr>
            <w:r/>
          </w:p>
          <w:p>
            <w:pPr>
              <w:pStyle w:val="TableText"/>
              <w:ind w:left="94"/>
              <w:spacing w:before="49" w:line="184" w:lineRule="auto"/>
              <w:rPr/>
            </w:pPr>
            <w:r>
              <w:rPr/>
              <w:t>1</w:t>
            </w:r>
          </w:p>
        </w:tc>
        <w:tc>
          <w:tcPr>
            <w:tcW w:w="3986" w:type="dxa"/>
            <w:vAlign w:val="top"/>
          </w:tcPr>
          <w:p>
            <w:pPr>
              <w:pStyle w:val="TableText"/>
              <w:ind w:left="31" w:right="503" w:firstLine="10"/>
              <w:spacing w:before="142" w:line="233" w:lineRule="auto"/>
              <w:rPr/>
            </w:pPr>
            <w:r>
              <w:rPr>
                <w:spacing w:val="-1"/>
              </w:rPr>
              <w:t>一、对购置日期在2023年1月1日至2023年12月31日期</w:t>
            </w:r>
            <w:r>
              <w:rPr>
                <w:spacing w:val="10"/>
              </w:rPr>
              <w:t xml:space="preserve"> </w:t>
            </w:r>
            <w:r>
              <w:rPr/>
              <w:t>间内的新能源汽车，免征车辆购置税</w:t>
            </w:r>
          </w:p>
          <w:p>
            <w:pPr>
              <w:pStyle w:val="TableText"/>
              <w:ind w:left="11" w:firstLine="19"/>
              <w:spacing w:before="10" w:line="249" w:lineRule="auto"/>
              <w:rPr/>
            </w:pPr>
            <w:r>
              <w:rPr>
                <w:spacing w:val="1"/>
              </w:rPr>
              <w:t>二、免征车辆购置税的新能源汽车，通过工业和信息化部、</w:t>
            </w:r>
            <w:r>
              <w:rPr>
                <w:spacing w:val="18"/>
              </w:rPr>
              <w:t xml:space="preserve"> </w:t>
            </w:r>
            <w:r>
              <w:rPr>
                <w:spacing w:val="-2"/>
              </w:rPr>
              <w:t>税务总局发布《免征车辆购置税的新能源汽车车型目录》(以</w:t>
            </w:r>
            <w:r>
              <w:rPr>
                <w:spacing w:val="17"/>
              </w:rPr>
              <w:t xml:space="preserve"> </w:t>
            </w:r>
            <w:r>
              <w:rPr/>
              <w:t>下简称《目录》)实施管理。自《目录》发布之日起购置的  </w:t>
            </w:r>
            <w:r>
              <w:rPr>
                <w:spacing w:val="1"/>
              </w:rPr>
              <w:t>列入《目录》的纯电动汽车、插电式混合动力(含增</w:t>
            </w:r>
            <w:r>
              <w:rPr/>
              <w:t>程式)</w:t>
            </w:r>
          </w:p>
          <w:p>
            <w:pPr>
              <w:pStyle w:val="TableText"/>
              <w:ind w:left="31"/>
              <w:spacing w:before="22" w:line="219" w:lineRule="auto"/>
              <w:rPr/>
            </w:pPr>
            <w:r>
              <w:rPr>
                <w:spacing w:val="-1"/>
              </w:rPr>
              <w:t>汽车、燃料电池汽车，属于符合免税条件的新能源汽车</w:t>
            </w:r>
          </w:p>
          <w:p>
            <w:pPr>
              <w:pStyle w:val="TableText"/>
              <w:ind w:left="31" w:right="50"/>
              <w:spacing w:before="32" w:line="238" w:lineRule="auto"/>
              <w:rPr/>
            </w:pPr>
            <w:r>
              <w:rPr/>
              <w:t>三、购置日期按照机动车销售统一发票或海</w:t>
            </w:r>
            <w:r>
              <w:rPr>
                <w:spacing w:val="-1"/>
              </w:rPr>
              <w:t>关关税专用缴款</w:t>
            </w:r>
            <w:r>
              <w:rPr/>
              <w:t xml:space="preserve"> </w:t>
            </w:r>
            <w:r>
              <w:rPr>
                <w:spacing w:val="-1"/>
              </w:rPr>
              <w:t>书等有效凭证的开具日期确定</w:t>
            </w:r>
          </w:p>
        </w:tc>
        <w:tc>
          <w:tcPr>
            <w:tcW w:w="2128" w:type="dxa"/>
            <w:vAlign w:val="top"/>
          </w:tcPr>
          <w:p>
            <w:pPr>
              <w:pStyle w:val="TableText"/>
              <w:ind w:left="14" w:right="75" w:firstLine="70"/>
              <w:spacing w:before="143"/>
              <w:jc w:val="both"/>
              <w:rPr/>
            </w:pPr>
            <w:r>
              <w:rPr/>
              <w:t>中华人民共和国财政部、税务</w:t>
            </w:r>
            <w:r>
              <w:rPr>
                <w:spacing w:val="6"/>
              </w:rPr>
              <w:t xml:space="preserve"> </w:t>
            </w:r>
            <w:r>
              <w:rPr>
                <w:spacing w:val="4"/>
              </w:rPr>
              <w:t>总局、工业和信息化部《关于</w:t>
            </w:r>
            <w:r>
              <w:rPr>
                <w:spacing w:val="7"/>
              </w:rPr>
              <w:t xml:space="preserve"> </w:t>
            </w:r>
            <w:r>
              <w:rPr>
                <w:spacing w:val="4"/>
              </w:rPr>
              <w:t>延续新能源汽车免征车辆购置</w:t>
            </w:r>
            <w:r>
              <w:rPr>
                <w:spacing w:val="10"/>
              </w:rPr>
              <w:t xml:space="preserve"> </w:t>
            </w:r>
            <w:r>
              <w:rPr>
                <w:spacing w:val="4"/>
              </w:rPr>
              <w:t>税政策的公告》2022年第27号</w:t>
            </w:r>
            <w:r>
              <w:rPr/>
              <w:t xml:space="preserve"> </w:t>
            </w:r>
            <w:r>
              <w:rPr>
                <w:spacing w:val="5"/>
              </w:rPr>
              <w:t>公告</w:t>
            </w:r>
          </w:p>
        </w:tc>
        <w:tc>
          <w:tcPr>
            <w:tcW w:w="909" w:type="dxa"/>
            <w:vAlign w:val="top"/>
          </w:tcPr>
          <w:p>
            <w:pPr>
              <w:pStyle w:val="TableText"/>
              <w:ind w:left="26" w:right="1"/>
              <w:spacing w:before="133" w:line="251" w:lineRule="auto"/>
              <w:jc w:val="both"/>
              <w:rPr/>
            </w:pPr>
            <w:r>
              <w:rPr>
                <w:spacing w:val="17"/>
                <w:w w:val="111"/>
              </w:rPr>
              <w:t>2023年1月</w:t>
            </w:r>
            <w:r>
              <w:rPr>
                <w:spacing w:val="1"/>
              </w:rPr>
              <w:t xml:space="preserve"> </w:t>
            </w:r>
            <w:r>
              <w:rPr>
                <w:spacing w:val="6"/>
              </w:rPr>
              <w:t>1日</w:t>
            </w:r>
            <w:r>
              <w:rPr>
                <w:spacing w:val="16"/>
              </w:rPr>
              <w:t xml:space="preserve"> </w:t>
            </w:r>
            <w:r>
              <w:rPr>
                <w:spacing w:val="6"/>
              </w:rPr>
              <w:t>至2023</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117" w:right="47" w:hanging="69"/>
              <w:spacing w:before="143" w:line="221" w:lineRule="auto"/>
              <w:rPr/>
            </w:pPr>
            <w:r>
              <w:rPr>
                <w:spacing w:val="-2"/>
              </w:rPr>
              <w:t>新能源汽车</w:t>
            </w:r>
            <w:r>
              <w:rPr>
                <w:spacing w:val="2"/>
              </w:rPr>
              <w:t xml:space="preserve"> </w:t>
            </w:r>
            <w:r>
              <w:rPr>
                <w:spacing w:val="-1"/>
              </w:rPr>
              <w:t>购置企业</w:t>
            </w:r>
          </w:p>
        </w:tc>
        <w:tc>
          <w:tcPr>
            <w:tcW w:w="1019" w:type="dxa"/>
            <w:vAlign w:val="top"/>
          </w:tcPr>
          <w:p>
            <w:pPr>
              <w:pStyle w:val="TableText"/>
              <w:ind w:left="128"/>
              <w:spacing w:before="143" w:line="219" w:lineRule="auto"/>
              <w:rPr/>
            </w:pPr>
            <w:r>
              <w:rPr>
                <w:spacing w:val="-2"/>
              </w:rPr>
              <w:t>车辆购置税</w:t>
            </w:r>
          </w:p>
        </w:tc>
        <w:tc>
          <w:tcPr>
            <w:tcW w:w="464" w:type="dxa"/>
            <w:vAlign w:val="top"/>
          </w:tcPr>
          <w:p>
            <w:pPr>
              <w:pStyle w:val="TableText"/>
              <w:ind w:left="80"/>
              <w:spacing w:before="113"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pict>
          <v:shape id="_x0000_s62" style="position:absolute;margin-left:38.9997pt;margin-top:346.156pt;mso-position-vertical-relative:page;mso-position-horizontal-relative:page;width:10.3pt;height:15.65pt;z-index:251705344;"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11"/>
                      <w:w w:val="80"/>
                    </w:rPr>
                    <w:t>古</w:t>
                  </w:r>
                </w:p>
              </w:txbxContent>
            </v:textbox>
          </v:shape>
        </w:pict>
      </w:r>
      <w:r/>
    </w:p>
    <w:p>
      <w:pPr>
        <w:spacing w:before="51"/>
        <w:rPr/>
      </w:pPr>
      <w:r/>
    </w:p>
    <w:tbl>
      <w:tblPr>
        <w:tblStyle w:val="TableNormal"/>
        <w:tblW w:w="9619" w:type="dxa"/>
        <w:tblInd w:w="3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4"/>
        <w:gridCol w:w="3986"/>
        <w:gridCol w:w="2128"/>
        <w:gridCol w:w="909"/>
        <w:gridCol w:w="849"/>
        <w:gridCol w:w="1019"/>
        <w:gridCol w:w="464"/>
      </w:tblGrid>
      <w:tr>
        <w:trPr>
          <w:trHeight w:val="494" w:hRule="atLeast"/>
        </w:trPr>
        <w:tc>
          <w:tcPr>
            <w:tcW w:w="264" w:type="dxa"/>
            <w:vAlign w:val="top"/>
            <w:textDirection w:val="tbRlV"/>
          </w:tcPr>
          <w:p>
            <w:pPr>
              <w:pStyle w:val="TableText"/>
              <w:ind w:left="57"/>
              <w:spacing w:before="59" w:line="217" w:lineRule="auto"/>
              <w:rPr/>
            </w:pPr>
            <w:r>
              <w:rPr>
                <w:spacing w:val="-2"/>
              </w:rPr>
              <w:t>序 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1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807" w:hRule="atLeast"/>
        </w:trPr>
        <w:tc>
          <w:tcPr>
            <w:tcW w:w="264"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84"/>
              <w:spacing w:before="49" w:line="184" w:lineRule="auto"/>
              <w:rPr/>
            </w:pPr>
            <w:r>
              <w:rPr/>
              <w:t>1</w:t>
            </w:r>
          </w:p>
        </w:tc>
        <w:tc>
          <w:tcPr>
            <w:tcW w:w="3986" w:type="dxa"/>
            <w:vAlign w:val="top"/>
          </w:tcPr>
          <w:p>
            <w:pPr>
              <w:pStyle w:val="TableText"/>
              <w:ind w:left="61"/>
              <w:spacing w:before="137" w:line="219" w:lineRule="auto"/>
              <w:rPr/>
            </w:pPr>
            <w:r>
              <w:rPr/>
              <w:t>四、2022年12月31日前已列入《目录》的新能源汽车可</w:t>
            </w:r>
          </w:p>
          <w:p>
            <w:pPr>
              <w:pStyle w:val="TableText"/>
              <w:ind w:left="31"/>
              <w:spacing w:before="20" w:line="218" w:lineRule="auto"/>
              <w:rPr/>
            </w:pPr>
            <w:r>
              <w:rPr>
                <w:spacing w:val="-1"/>
              </w:rPr>
              <w:t>按照本公告继续适用免征车辆购置税政策。新能源汽车免征</w:t>
            </w:r>
          </w:p>
          <w:p>
            <w:pPr>
              <w:pStyle w:val="TableText"/>
              <w:ind w:left="31" w:right="57" w:firstLine="79"/>
              <w:spacing w:before="25" w:line="244" w:lineRule="auto"/>
              <w:rPr/>
            </w:pPr>
            <w:r>
              <w:rPr>
                <w:spacing w:val="-1"/>
              </w:rPr>
              <w:t>车辆购置税的其他事项，按照《财政部税务总局工业和信</w:t>
            </w:r>
            <w:r>
              <w:rPr>
                <w:spacing w:val="8"/>
              </w:rPr>
              <w:t xml:space="preserve">  </w:t>
            </w:r>
            <w:r>
              <w:rPr>
                <w:spacing w:val="-1"/>
              </w:rPr>
              <w:t>息化部关于新能源汽车免征车辆购置税有关政策的公告》财</w:t>
            </w:r>
            <w:r>
              <w:rPr>
                <w:spacing w:val="12"/>
              </w:rPr>
              <w:t xml:space="preserve"> </w:t>
            </w:r>
            <w:r>
              <w:rPr/>
              <w:t>政部税务总局工业和信息化部公告2020年第21号)、《工</w:t>
            </w:r>
          </w:p>
          <w:p>
            <w:pPr>
              <w:pStyle w:val="TableText"/>
              <w:ind w:left="51" w:right="120" w:firstLine="59"/>
              <w:spacing w:before="24" w:line="231" w:lineRule="auto"/>
              <w:rPr/>
            </w:pPr>
            <w:r>
              <w:rPr>
                <w:spacing w:val="-1"/>
              </w:rPr>
              <w:t>业和信息化部财政部税务总局关于调整免征车辆购置税新</w:t>
            </w:r>
            <w:r>
              <w:rPr>
                <w:spacing w:val="18"/>
                <w:w w:val="101"/>
              </w:rPr>
              <w:t xml:space="preserve"> </w:t>
            </w:r>
            <w:r>
              <w:rPr>
                <w:spacing w:val="-1"/>
              </w:rPr>
              <w:t>能源汽车产品技术要求的公告》(工业和信息化部财政部</w:t>
            </w:r>
          </w:p>
          <w:p>
            <w:pPr>
              <w:pStyle w:val="TableText"/>
              <w:ind w:left="41"/>
              <w:spacing w:before="22" w:line="218" w:lineRule="auto"/>
              <w:rPr/>
            </w:pPr>
            <w:r>
              <w:rPr>
                <w:spacing w:val="-1"/>
              </w:rPr>
              <w:t>税务总局公告2021年第13号)等文件有关规定执行</w:t>
            </w:r>
          </w:p>
        </w:tc>
        <w:tc>
          <w:tcPr>
            <w:tcW w:w="2128" w:type="dxa"/>
            <w:vAlign w:val="top"/>
          </w:tcPr>
          <w:p>
            <w:pPr>
              <w:rPr>
                <w:rFonts w:ascii="Arial"/>
                <w:sz w:val="21"/>
              </w:rPr>
            </w:pPr>
            <w:r/>
          </w:p>
        </w:tc>
        <w:tc>
          <w:tcPr>
            <w:tcW w:w="909" w:type="dxa"/>
            <w:vAlign w:val="top"/>
          </w:tcPr>
          <w:p>
            <w:pPr>
              <w:rPr>
                <w:rFonts w:ascii="Arial"/>
                <w:sz w:val="21"/>
              </w:rPr>
            </w:pPr>
            <w:r/>
          </w:p>
        </w:tc>
        <w:tc>
          <w:tcPr>
            <w:tcW w:w="849" w:type="dxa"/>
            <w:vAlign w:val="top"/>
          </w:tcPr>
          <w:p>
            <w:pPr>
              <w:rPr>
                <w:rFonts w:ascii="Arial"/>
                <w:sz w:val="21"/>
              </w:rPr>
            </w:pPr>
            <w:r/>
          </w:p>
        </w:tc>
        <w:tc>
          <w:tcPr>
            <w:tcW w:w="1019" w:type="dxa"/>
            <w:vAlign w:val="top"/>
          </w:tcPr>
          <w:p>
            <w:pPr>
              <w:rPr>
                <w:rFonts w:ascii="Arial"/>
                <w:sz w:val="21"/>
              </w:rPr>
            </w:pPr>
            <w:r/>
          </w:p>
        </w:tc>
        <w:tc>
          <w:tcPr>
            <w:tcW w:w="464" w:type="dxa"/>
            <w:vAlign w:val="top"/>
          </w:tcPr>
          <w:p>
            <w:pPr>
              <w:rPr>
                <w:rFonts w:ascii="Arial"/>
                <w:sz w:val="21"/>
              </w:rPr>
            </w:pPr>
            <w:r/>
          </w:p>
        </w:tc>
      </w:tr>
      <w:tr>
        <w:trPr>
          <w:trHeight w:val="948" w:hRule="atLeast"/>
        </w:trPr>
        <w:tc>
          <w:tcPr>
            <w:tcW w:w="264" w:type="dxa"/>
            <w:vAlign w:val="top"/>
          </w:tcPr>
          <w:p>
            <w:pPr>
              <w:spacing w:line="387" w:lineRule="auto"/>
              <w:rPr>
                <w:rFonts w:ascii="Arial"/>
                <w:sz w:val="21"/>
              </w:rPr>
            </w:pPr>
            <w:r/>
          </w:p>
          <w:p>
            <w:pPr>
              <w:pStyle w:val="TableText"/>
              <w:ind w:left="84"/>
              <w:spacing w:before="49" w:line="183" w:lineRule="auto"/>
              <w:rPr/>
            </w:pPr>
            <w:r>
              <w:rPr/>
              <w:t>2</w:t>
            </w:r>
          </w:p>
        </w:tc>
        <w:tc>
          <w:tcPr>
            <w:tcW w:w="3986" w:type="dxa"/>
            <w:vAlign w:val="top"/>
          </w:tcPr>
          <w:p>
            <w:pPr>
              <w:pStyle w:val="TableText"/>
              <w:spacing w:before="120" w:line="219" w:lineRule="auto"/>
              <w:jc w:val="right"/>
              <w:rPr/>
            </w:pPr>
            <w:r>
              <w:rPr>
                <w:spacing w:val="-3"/>
              </w:rPr>
              <w:t>对节能汽车，减半征收车船税；对新能源车船，</w:t>
            </w:r>
            <w:r>
              <w:rPr>
                <w:spacing w:val="-4"/>
              </w:rPr>
              <w:t>免征车船税。</w:t>
            </w:r>
          </w:p>
        </w:tc>
        <w:tc>
          <w:tcPr>
            <w:tcW w:w="2128" w:type="dxa"/>
            <w:vAlign w:val="top"/>
          </w:tcPr>
          <w:p>
            <w:pPr>
              <w:pStyle w:val="TableText"/>
              <w:ind w:left="4" w:right="25" w:firstLine="80"/>
              <w:spacing w:before="119" w:line="246" w:lineRule="auto"/>
              <w:jc w:val="right"/>
              <w:rPr/>
            </w:pPr>
            <w:r>
              <w:rPr>
                <w:spacing w:val="-1"/>
              </w:rPr>
              <w:t>财政部、税务总局、工业和信</w:t>
            </w:r>
            <w:r>
              <w:rPr>
                <w:spacing w:val="2"/>
              </w:rPr>
              <w:t xml:space="preserve">  </w:t>
            </w:r>
            <w:r>
              <w:rPr>
                <w:spacing w:val="-1"/>
              </w:rPr>
              <w:t>息化部、交通运输部《关于节能</w:t>
            </w:r>
            <w:r>
              <w:rPr/>
              <w:t xml:space="preserve"> </w:t>
            </w:r>
            <w:r>
              <w:rPr>
                <w:spacing w:val="5"/>
              </w:rPr>
              <w:t>新能源车船享受车船税优惠政</w:t>
            </w:r>
            <w:r>
              <w:rPr>
                <w:spacing w:val="3"/>
              </w:rPr>
              <w:t xml:space="preserve">  </w:t>
            </w:r>
            <w:r>
              <w:rPr>
                <w:spacing w:val="-1"/>
              </w:rPr>
              <w:t>策的通知》(财税〔2018〕74号</w:t>
            </w:r>
          </w:p>
        </w:tc>
        <w:tc>
          <w:tcPr>
            <w:tcW w:w="909" w:type="dxa"/>
            <w:vAlign w:val="top"/>
          </w:tcPr>
          <w:p>
            <w:pPr>
              <w:pStyle w:val="TableText"/>
              <w:ind w:left="36" w:right="11"/>
              <w:spacing w:before="109" w:line="252" w:lineRule="auto"/>
              <w:rPr/>
            </w:pPr>
            <w:r>
              <w:rPr>
                <w:spacing w:val="17"/>
                <w:w w:val="108"/>
              </w:rPr>
              <w:t>2018年7月</w:t>
            </w:r>
            <w:r>
              <w:rPr>
                <w:spacing w:val="1"/>
              </w:rPr>
              <w:t xml:space="preserve"> </w:t>
            </w:r>
            <w:r>
              <w:rPr>
                <w:spacing w:val="1"/>
              </w:rPr>
              <w:t>10日起</w:t>
            </w:r>
          </w:p>
        </w:tc>
        <w:tc>
          <w:tcPr>
            <w:tcW w:w="849" w:type="dxa"/>
            <w:vAlign w:val="top"/>
          </w:tcPr>
          <w:p>
            <w:pPr>
              <w:pStyle w:val="TableText"/>
              <w:ind w:left="117"/>
              <w:spacing w:before="100" w:line="220" w:lineRule="auto"/>
              <w:rPr/>
            </w:pPr>
            <w:r>
              <w:rPr>
                <w:spacing w:val="-2"/>
              </w:rPr>
              <w:t>相关企业</w:t>
            </w:r>
          </w:p>
        </w:tc>
        <w:tc>
          <w:tcPr>
            <w:tcW w:w="1019" w:type="dxa"/>
            <w:vAlign w:val="top"/>
          </w:tcPr>
          <w:p>
            <w:pPr>
              <w:pStyle w:val="TableText"/>
              <w:ind w:left="279"/>
              <w:spacing w:before="100" w:line="219" w:lineRule="auto"/>
              <w:rPr/>
            </w:pPr>
            <w:r>
              <w:rPr>
                <w:spacing w:val="-2"/>
              </w:rPr>
              <w:t>车船税</w:t>
            </w:r>
          </w:p>
        </w:tc>
        <w:tc>
          <w:tcPr>
            <w:tcW w:w="464" w:type="dxa"/>
            <w:vAlign w:val="top"/>
          </w:tcPr>
          <w:p>
            <w:pPr>
              <w:pStyle w:val="TableText"/>
              <w:ind w:left="80" w:right="79"/>
              <w:spacing w:before="99" w:line="239" w:lineRule="auto"/>
              <w:rPr/>
            </w:pPr>
            <w:r>
              <w:rPr>
                <w:spacing w:val="-3"/>
              </w:rPr>
              <w:t>减征</w:t>
            </w:r>
            <w:r>
              <w:rPr/>
              <w:t xml:space="preserve"> </w:t>
            </w:r>
            <w:r>
              <w:rPr>
                <w:spacing w:val="-5"/>
              </w:rPr>
              <w:t>免征</w:t>
            </w:r>
          </w:p>
        </w:tc>
      </w:tr>
      <w:tr>
        <w:trPr>
          <w:trHeight w:val="280" w:hRule="atLeast"/>
        </w:trPr>
        <w:tc>
          <w:tcPr>
            <w:shd w:val="clear" w:fill="DCDDDD"/>
            <w:tcW w:w="9619" w:type="dxa"/>
            <w:vAlign w:val="top"/>
            <w:gridSpan w:val="7"/>
          </w:tcPr>
          <w:p>
            <w:pPr>
              <w:pStyle w:val="TableText"/>
              <w:ind w:left="4507"/>
              <w:spacing w:before="70" w:line="219" w:lineRule="auto"/>
              <w:rPr/>
            </w:pPr>
            <w:r>
              <w:rPr>
                <w:b/>
                <w:bCs/>
                <w:spacing w:val="-3"/>
              </w:rPr>
              <w:t>七、契税</w:t>
            </w:r>
          </w:p>
        </w:tc>
      </w:tr>
      <w:tr>
        <w:trPr>
          <w:trHeight w:val="2621" w:hRule="atLeast"/>
        </w:trPr>
        <w:tc>
          <w:tcPr>
            <w:tcW w:w="264"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84"/>
              <w:spacing w:before="49" w:line="184" w:lineRule="auto"/>
              <w:rPr/>
            </w:pPr>
            <w:r>
              <w:rPr/>
              <w:t>1</w:t>
            </w:r>
          </w:p>
        </w:tc>
        <w:tc>
          <w:tcPr>
            <w:tcW w:w="3986" w:type="dxa"/>
            <w:vAlign w:val="top"/>
          </w:tcPr>
          <w:p>
            <w:pPr>
              <w:pStyle w:val="TableText"/>
              <w:ind w:left="31"/>
              <w:spacing w:before="122" w:line="219" w:lineRule="auto"/>
              <w:rPr/>
            </w:pPr>
            <w:r>
              <w:rPr>
                <w:spacing w:val="-1"/>
              </w:rPr>
              <w:t>一、企业改制</w:t>
            </w:r>
          </w:p>
          <w:p>
            <w:pPr>
              <w:pStyle w:val="TableText"/>
              <w:ind w:left="31" w:right="35"/>
              <w:spacing w:before="42" w:line="241" w:lineRule="auto"/>
              <w:rPr/>
            </w:pPr>
            <w:r>
              <w:rPr>
                <w:spacing w:val="-1"/>
              </w:rPr>
              <w:t>企业按照《中华人民共和国公司法》有关规定整体改制，包</w:t>
            </w:r>
            <w:r>
              <w:rPr>
                <w:spacing w:val="16"/>
              </w:rPr>
              <w:t xml:space="preserve"> </w:t>
            </w:r>
            <w:r>
              <w:rPr/>
              <w:t>括非公司制企业改制为有限责任公司或股份</w:t>
            </w:r>
            <w:r>
              <w:rPr>
                <w:spacing w:val="-1"/>
              </w:rPr>
              <w:t>有限公司，有限</w:t>
            </w:r>
            <w:r>
              <w:rPr/>
              <w:t xml:space="preserve"> </w:t>
            </w:r>
            <w:r>
              <w:rPr/>
              <w:t>责任公司变更为股份有限公司，股份有限公司变更为有限责</w:t>
            </w:r>
          </w:p>
          <w:p>
            <w:pPr>
              <w:pStyle w:val="TableText"/>
              <w:ind w:left="51" w:right="98" w:firstLine="59"/>
              <w:spacing w:before="21" w:line="230" w:lineRule="auto"/>
              <w:rPr/>
            </w:pPr>
            <w:r>
              <w:rPr/>
              <w:t>任公司，原企业投资主体存续并在改制(变更)后的公司中</w:t>
            </w:r>
            <w:r>
              <w:rPr>
                <w:spacing w:val="15"/>
              </w:rPr>
              <w:t xml:space="preserve"> </w:t>
            </w:r>
            <w:r>
              <w:rPr/>
              <w:t>所持股权(股份)比例超过75%,且改制(</w:t>
            </w:r>
            <w:r>
              <w:rPr>
                <w:spacing w:val="-1"/>
              </w:rPr>
              <w:t>变更)后公司承</w:t>
            </w:r>
          </w:p>
          <w:p>
            <w:pPr>
              <w:pStyle w:val="TableText"/>
              <w:ind w:left="31" w:right="123" w:firstLine="79"/>
              <w:spacing w:before="45" w:line="233" w:lineRule="auto"/>
              <w:rPr/>
            </w:pPr>
            <w:r>
              <w:rPr>
                <w:spacing w:val="-1"/>
              </w:rPr>
              <w:t>继原企业权利、义务的，对改制(变更)后公司承受原企业</w:t>
            </w:r>
            <w:r>
              <w:rPr>
                <w:spacing w:val="16"/>
              </w:rPr>
              <w:t xml:space="preserve"> </w:t>
            </w:r>
            <w:r>
              <w:rPr>
                <w:spacing w:val="-1"/>
              </w:rPr>
              <w:t>土地、房屋权属，免征契税</w:t>
            </w:r>
          </w:p>
          <w:p>
            <w:pPr>
              <w:pStyle w:val="TableText"/>
              <w:ind w:left="31"/>
              <w:spacing w:before="12" w:line="219" w:lineRule="auto"/>
              <w:rPr/>
            </w:pPr>
            <w:r>
              <w:rPr>
                <w:spacing w:val="-1"/>
              </w:rPr>
              <w:t>三、公司合并</w:t>
            </w:r>
          </w:p>
          <w:p>
            <w:pPr>
              <w:pStyle w:val="TableText"/>
              <w:ind w:left="31" w:right="51"/>
              <w:spacing w:before="40" w:line="242" w:lineRule="auto"/>
              <w:jc w:val="both"/>
              <w:rPr/>
            </w:pPr>
            <w:r>
              <w:rPr>
                <w:spacing w:val="-1"/>
              </w:rPr>
              <w:t>两个或两个以上的公司，依照法律规定、合同约定，合并为</w:t>
            </w:r>
            <w:r>
              <w:rPr>
                <w:spacing w:val="18"/>
              </w:rPr>
              <w:t xml:space="preserve"> </w:t>
            </w:r>
            <w:r>
              <w:rPr>
                <w:spacing w:val="-1"/>
              </w:rPr>
              <w:t>一个公司，且原投资主体存续的，对合并后公司承受原合并</w:t>
            </w:r>
            <w:r>
              <w:rPr>
                <w:spacing w:val="16"/>
              </w:rPr>
              <w:t xml:space="preserve"> </w:t>
            </w:r>
            <w:r>
              <w:rPr/>
              <w:t>各方土地、房屋权属，免征契税</w:t>
            </w:r>
          </w:p>
        </w:tc>
        <w:tc>
          <w:tcPr>
            <w:tcW w:w="2128" w:type="dxa"/>
            <w:vAlign w:val="top"/>
          </w:tcPr>
          <w:p>
            <w:pPr>
              <w:pStyle w:val="TableText"/>
              <w:ind w:left="44" w:right="88" w:firstLine="40"/>
              <w:spacing w:before="133"/>
              <w:jc w:val="both"/>
              <w:rPr/>
            </w:pPr>
            <w:r>
              <w:rPr>
                <w:spacing w:val="-1"/>
              </w:rPr>
              <w:t>财政部、税务总局关于继续实</w:t>
            </w:r>
            <w:r>
              <w:rPr>
                <w:spacing w:val="5"/>
              </w:rPr>
              <w:t xml:space="preserve"> </w:t>
            </w:r>
            <w:r>
              <w:rPr>
                <w:spacing w:val="2"/>
              </w:rPr>
              <w:t>施企业、事业单位改制重组有</w:t>
            </w:r>
            <w:r>
              <w:rPr>
                <w:spacing w:val="7"/>
              </w:rPr>
              <w:t xml:space="preserve"> </w:t>
            </w:r>
            <w:r>
              <w:rPr>
                <w:spacing w:val="-1"/>
              </w:rPr>
              <w:t>关契税政策的公告</w:t>
            </w:r>
          </w:p>
        </w:tc>
        <w:tc>
          <w:tcPr>
            <w:tcW w:w="909" w:type="dxa"/>
            <w:vAlign w:val="top"/>
          </w:tcPr>
          <w:p>
            <w:pPr>
              <w:pStyle w:val="TableText"/>
              <w:ind w:left="26" w:right="16" w:firstLine="50"/>
              <w:spacing w:before="133" w:line="236" w:lineRule="auto"/>
              <w:jc w:val="both"/>
              <w:rPr/>
            </w:pPr>
            <w:r>
              <w:rPr>
                <w:spacing w:val="-1"/>
              </w:rPr>
              <w:t>延期至2027</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49" w:type="dxa"/>
            <w:vAlign w:val="top"/>
          </w:tcPr>
          <w:p>
            <w:pPr>
              <w:pStyle w:val="TableText"/>
              <w:ind w:left="348" w:right="52" w:hanging="300"/>
              <w:spacing w:before="122" w:line="251" w:lineRule="auto"/>
              <w:rPr/>
            </w:pPr>
            <w:r>
              <w:rPr>
                <w:spacing w:val="-3"/>
              </w:rPr>
              <w:t>改制重组企</w:t>
            </w:r>
            <w:r>
              <w:rPr>
                <w:spacing w:val="2"/>
              </w:rPr>
              <w:t xml:space="preserve"> </w:t>
            </w:r>
            <w:r>
              <w:rPr/>
              <w:t>业</w:t>
            </w:r>
          </w:p>
        </w:tc>
        <w:tc>
          <w:tcPr>
            <w:tcW w:w="1019" w:type="dxa"/>
            <w:vAlign w:val="top"/>
          </w:tcPr>
          <w:p>
            <w:pPr>
              <w:pStyle w:val="TableText"/>
              <w:ind w:left="358"/>
              <w:spacing w:before="112" w:line="219" w:lineRule="auto"/>
              <w:rPr/>
            </w:pPr>
            <w:r>
              <w:rPr>
                <w:spacing w:val="-2"/>
              </w:rPr>
              <w:t>契税</w:t>
            </w:r>
          </w:p>
        </w:tc>
        <w:tc>
          <w:tcPr>
            <w:tcW w:w="464" w:type="dxa"/>
            <w:vAlign w:val="top"/>
          </w:tcPr>
          <w:p>
            <w:pPr>
              <w:pStyle w:val="TableText"/>
              <w:ind w:left="70" w:hanging="51"/>
              <w:spacing w:before="121" w:line="233" w:lineRule="auto"/>
              <w:rPr/>
            </w:pPr>
            <w:r>
              <w:rPr>
                <w:spacing w:val="-17"/>
              </w:rPr>
              <w:t>免征</w:t>
            </w:r>
            <w:r>
              <w:rPr>
                <w:spacing w:val="-41"/>
              </w:rPr>
              <w:t xml:space="preserve"> </w:t>
            </w:r>
            <w:r>
              <w:rPr>
                <w:spacing w:val="-17"/>
              </w:rPr>
              <w:t>、</w:t>
            </w:r>
            <w:r>
              <w:rPr/>
              <w:t xml:space="preserve"> </w:t>
            </w:r>
            <w:r>
              <w:rPr>
                <w:spacing w:val="-12"/>
              </w:rPr>
              <w:t>减征</w:t>
            </w:r>
          </w:p>
        </w:tc>
      </w:tr>
    </w:tbl>
    <w:p>
      <w:pPr>
        <w:pStyle w:val="BodyText"/>
        <w:rPr/>
      </w:pPr>
      <w:r/>
    </w:p>
    <w:p>
      <w:pPr>
        <w:sectPr>
          <w:pgSz w:w="11910" w:h="8220"/>
          <w:pgMar w:top="400" w:right="1145" w:bottom="400" w:left="799" w:header="0" w:footer="0" w:gutter="0"/>
        </w:sectPr>
        <w:rPr/>
      </w:pPr>
    </w:p>
    <w:p>
      <w:pPr>
        <w:spacing w:before="51"/>
        <w:rPr/>
      </w:pPr>
      <w:r>
        <w:pict>
          <v:shape id="_x0000_s64" style="position:absolute;margin-left:38.9997pt;margin-top:50.1754pt;mso-position-vertical-relative:page;mso-position-horizontal-relative:page;width:10.2pt;height:15.7pt;z-index:251706368;"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5"/>
                      <w:w w:val="76"/>
                    </w:rPr>
                    <w:t>台</w:t>
                  </w:r>
                </w:p>
              </w:txbxContent>
            </v:textbox>
          </v:shape>
        </w:pict>
      </w:r>
      <w:r/>
    </w:p>
    <w:p>
      <w:pPr>
        <w:spacing w:before="51"/>
        <w:rPr/>
      </w:pPr>
      <w:r/>
    </w:p>
    <w:tbl>
      <w:tblPr>
        <w:tblStyle w:val="TableNormal"/>
        <w:tblW w:w="9629" w:type="dxa"/>
        <w:tblInd w:w="3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
        <w:gridCol w:w="3976"/>
        <w:gridCol w:w="2128"/>
        <w:gridCol w:w="919"/>
        <w:gridCol w:w="829"/>
        <w:gridCol w:w="1029"/>
        <w:gridCol w:w="474"/>
      </w:tblGrid>
      <w:tr>
        <w:trPr>
          <w:trHeight w:val="494" w:hRule="atLeast"/>
        </w:trPr>
        <w:tc>
          <w:tcPr>
            <w:tcW w:w="274" w:type="dxa"/>
            <w:vAlign w:val="top"/>
            <w:textDirection w:val="tbRlV"/>
          </w:tcPr>
          <w:p>
            <w:pPr>
              <w:pStyle w:val="TableText"/>
              <w:ind w:left="57"/>
              <w:spacing w:before="59" w:line="217" w:lineRule="auto"/>
              <w:rPr/>
            </w:pPr>
            <w:r>
              <w:rPr>
                <w:spacing w:val="-2"/>
              </w:rPr>
              <w:t>序 号</w:t>
            </w:r>
          </w:p>
        </w:tc>
        <w:tc>
          <w:tcPr>
            <w:tcW w:w="397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64"/>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829" w:type="dxa"/>
            <w:vAlign w:val="top"/>
          </w:tcPr>
          <w:p>
            <w:pPr>
              <w:pStyle w:val="TableText"/>
              <w:ind w:left="257" w:right="12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1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695" w:hRule="atLeast"/>
        </w:trPr>
        <w:tc>
          <w:tcPr>
            <w:tcW w:w="274"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84"/>
              <w:spacing w:before="49" w:line="184" w:lineRule="auto"/>
              <w:rPr/>
            </w:pPr>
            <w:r>
              <w:rPr/>
              <w:t>1</w:t>
            </w:r>
          </w:p>
        </w:tc>
        <w:tc>
          <w:tcPr>
            <w:tcW w:w="3976" w:type="dxa"/>
            <w:vAlign w:val="top"/>
          </w:tcPr>
          <w:p>
            <w:pPr>
              <w:pStyle w:val="TableText"/>
              <w:ind w:left="21"/>
              <w:spacing w:before="137" w:line="220" w:lineRule="auto"/>
              <w:rPr/>
            </w:pPr>
            <w:r>
              <w:rPr/>
              <w:t>四、公司分立</w:t>
            </w:r>
          </w:p>
          <w:p>
            <w:pPr>
              <w:pStyle w:val="TableText"/>
              <w:ind w:left="31" w:right="24"/>
              <w:spacing w:before="21" w:line="241" w:lineRule="auto"/>
              <w:jc w:val="both"/>
              <w:rPr/>
            </w:pPr>
            <w:r>
              <w:rPr>
                <w:spacing w:val="-1"/>
              </w:rPr>
              <w:t>公司依照法律规定、合同约定分立为两个或两个以上与原公</w:t>
            </w:r>
            <w:r>
              <w:rPr>
                <w:spacing w:val="14"/>
              </w:rPr>
              <w:t xml:space="preserve"> </w:t>
            </w:r>
            <w:r>
              <w:rPr/>
              <w:t>司投资主体相同的公司，对分立后公司承受原公司土地、房</w:t>
            </w:r>
            <w:r>
              <w:rPr>
                <w:spacing w:val="9"/>
              </w:rPr>
              <w:t xml:space="preserve"> </w:t>
            </w:r>
            <w:r>
              <w:rPr>
                <w:spacing w:val="-1"/>
              </w:rPr>
              <w:t>屋权属，免征契税。</w:t>
            </w:r>
          </w:p>
          <w:p>
            <w:pPr>
              <w:pStyle w:val="TableText"/>
              <w:ind w:left="41"/>
              <w:spacing w:before="22" w:line="219" w:lineRule="auto"/>
              <w:rPr/>
            </w:pPr>
            <w:r>
              <w:rPr>
                <w:spacing w:val="-2"/>
              </w:rPr>
              <w:t>五、企业破产</w:t>
            </w:r>
          </w:p>
          <w:p>
            <w:pPr>
              <w:pStyle w:val="TableText"/>
              <w:ind w:left="11" w:firstLine="49"/>
              <w:spacing w:before="30" w:line="246" w:lineRule="auto"/>
              <w:rPr/>
            </w:pPr>
            <w:r>
              <w:rPr>
                <w:spacing w:val="-3"/>
              </w:rPr>
              <w:t>企业依照有关法律法规规定实施破产，债权人(包括破产企</w:t>
            </w:r>
            <w:r>
              <w:rPr>
                <w:spacing w:val="5"/>
              </w:rPr>
              <w:t xml:space="preserve">   </w:t>
            </w:r>
            <w:r>
              <w:rPr>
                <w:spacing w:val="-1"/>
              </w:rPr>
              <w:t>业职工)承受破产企业抵偿债务的土地、房屋权属，免征契</w:t>
            </w:r>
            <w:r>
              <w:rPr>
                <w:spacing w:val="5"/>
              </w:rPr>
              <w:t xml:space="preserve">   </w:t>
            </w:r>
            <w:r>
              <w:rPr>
                <w:spacing w:val="-1"/>
              </w:rPr>
              <w:t>税；对非债权人承受破产企业土地、房屋权属，凡按照《中</w:t>
            </w:r>
            <w:r>
              <w:rPr>
                <w:spacing w:val="3"/>
              </w:rPr>
              <w:t xml:space="preserve">  </w:t>
            </w:r>
            <w:r>
              <w:rPr>
                <w:spacing w:val="-2"/>
              </w:rPr>
              <w:t>华人民共和国劳动法》等国家有关法律法规政策妥善安置原</w:t>
            </w:r>
            <w:r>
              <w:rPr>
                <w:spacing w:val="5"/>
              </w:rPr>
              <w:t xml:space="preserve">  </w:t>
            </w:r>
            <w:r>
              <w:rPr>
                <w:spacing w:val="-2"/>
              </w:rPr>
              <w:t>企业全部职工规定，与原企业全部职工签订服务年限不少于</w:t>
            </w:r>
            <w:r>
              <w:rPr>
                <w:spacing w:val="4"/>
              </w:rPr>
              <w:t xml:space="preserve">  </w:t>
            </w:r>
            <w:r>
              <w:rPr>
                <w:spacing w:val="-4"/>
              </w:rPr>
              <w:t>三年的劳动用工合同的，对其承受所购企业土地、房屋权属，</w:t>
            </w:r>
            <w:r>
              <w:rPr>
                <w:spacing w:val="11"/>
              </w:rPr>
              <w:t xml:space="preserve"> </w:t>
            </w:r>
            <w:r>
              <w:rPr>
                <w:spacing w:val="-1"/>
              </w:rPr>
              <w:t>免征契税；与原企业超过30%的职工签订服务</w:t>
            </w:r>
            <w:r>
              <w:rPr>
                <w:spacing w:val="-2"/>
              </w:rPr>
              <w:t>年限不少于</w:t>
            </w:r>
          </w:p>
          <w:p>
            <w:pPr>
              <w:pStyle w:val="TableText"/>
              <w:ind w:left="21"/>
              <w:spacing w:before="32" w:line="219" w:lineRule="auto"/>
              <w:rPr/>
            </w:pPr>
            <w:r>
              <w:rPr>
                <w:spacing w:val="-1"/>
              </w:rPr>
              <w:t>三年的劳动用工合同的，减半征收契税</w:t>
            </w:r>
          </w:p>
          <w:p>
            <w:pPr>
              <w:pStyle w:val="TableText"/>
              <w:ind w:left="21"/>
              <w:spacing w:before="12" w:line="219" w:lineRule="auto"/>
              <w:rPr/>
            </w:pPr>
            <w:r>
              <w:rPr>
                <w:spacing w:val="-1"/>
              </w:rPr>
              <w:t>六、资产划转</w:t>
            </w:r>
          </w:p>
          <w:p>
            <w:pPr>
              <w:pStyle w:val="TableText"/>
              <w:ind w:left="31" w:right="40"/>
              <w:spacing w:before="31" w:line="239" w:lineRule="auto"/>
              <w:rPr/>
            </w:pPr>
            <w:r>
              <w:rPr/>
              <w:t>对承受县级以上人民政府或国有资产管理部</w:t>
            </w:r>
            <w:r>
              <w:rPr>
                <w:spacing w:val="-1"/>
              </w:rPr>
              <w:t>门按规定进行行</w:t>
            </w:r>
            <w:r>
              <w:rPr/>
              <w:t xml:space="preserve"> </w:t>
            </w:r>
            <w:r>
              <w:rPr>
                <w:spacing w:val="-1"/>
              </w:rPr>
              <w:t>政性调整、划转国有土地、房屋权属的单位，免征契税</w:t>
            </w:r>
          </w:p>
          <w:p>
            <w:pPr>
              <w:pStyle w:val="TableText"/>
              <w:ind w:left="31" w:right="28"/>
              <w:spacing w:before="22" w:line="233" w:lineRule="auto"/>
              <w:jc w:val="both"/>
              <w:rPr/>
            </w:pPr>
            <w:r>
              <w:rPr/>
              <w:t>同一投资主体内部所属企业之间土地、房屋权属的划转，包</w:t>
            </w:r>
            <w:r>
              <w:rPr>
                <w:spacing w:val="5"/>
              </w:rPr>
              <w:t xml:space="preserve"> </w:t>
            </w:r>
            <w:r>
              <w:rPr/>
              <w:t>括母公司与其全资子公司之间，同一公司所</w:t>
            </w:r>
            <w:r>
              <w:rPr>
                <w:spacing w:val="-1"/>
              </w:rPr>
              <w:t>属全资子公司之</w:t>
            </w:r>
            <w:r>
              <w:rPr/>
              <w:t xml:space="preserve"> </w:t>
            </w:r>
            <w:r>
              <w:rPr>
                <w:spacing w:val="-4"/>
              </w:rPr>
              <w:t>间，同一自然人与其设立的个人独资企业、</w:t>
            </w:r>
            <w:r>
              <w:rPr>
                <w:spacing w:val="33"/>
                <w:w w:val="101"/>
              </w:rPr>
              <w:t xml:space="preserve"> </w:t>
            </w:r>
            <w:r>
              <w:rPr>
                <w:spacing w:val="-4"/>
              </w:rPr>
              <w:t>一人有限公司之</w:t>
            </w:r>
          </w:p>
          <w:p>
            <w:pPr>
              <w:pStyle w:val="TableText"/>
              <w:ind w:left="31"/>
              <w:spacing w:before="52" w:line="219" w:lineRule="auto"/>
              <w:rPr/>
            </w:pPr>
            <w:r>
              <w:rPr/>
              <w:t>间土地、房屋权属的划转，免征契税</w:t>
            </w:r>
          </w:p>
          <w:p>
            <w:pPr>
              <w:pStyle w:val="TableText"/>
              <w:ind w:left="31" w:right="120" w:firstLine="69"/>
              <w:spacing w:before="11" w:line="227" w:lineRule="auto"/>
              <w:rPr/>
            </w:pPr>
            <w:r>
              <w:rPr>
                <w:spacing w:val="-1"/>
              </w:rPr>
              <w:t>母公司以土地、房屋权属向其全资子公司增资，视同划转</w:t>
            </w:r>
            <w:r>
              <w:rPr>
                <w:spacing w:val="18"/>
              </w:rPr>
              <w:t xml:space="preserve"> </w:t>
            </w:r>
            <w:r>
              <w:rPr>
                <w:spacing w:val="-1"/>
              </w:rPr>
              <w:t>免征契税。</w:t>
            </w:r>
          </w:p>
          <w:p>
            <w:pPr>
              <w:pStyle w:val="TableText"/>
              <w:ind w:left="41"/>
              <w:spacing w:before="22" w:line="219" w:lineRule="auto"/>
              <w:rPr/>
            </w:pPr>
            <w:r>
              <w:rPr>
                <w:spacing w:val="-1"/>
              </w:rPr>
              <w:t>七、债权转股权</w:t>
            </w:r>
          </w:p>
          <w:p>
            <w:pPr>
              <w:pStyle w:val="TableText"/>
              <w:ind w:left="31"/>
              <w:spacing w:before="53" w:line="219" w:lineRule="auto"/>
              <w:rPr/>
            </w:pPr>
            <w:r>
              <w:rPr>
                <w:spacing w:val="-1"/>
              </w:rPr>
              <w:t>经国务院批准实施债权转股权的企业，对债权转股权后新设</w:t>
            </w:r>
          </w:p>
          <w:p>
            <w:pPr>
              <w:pStyle w:val="TableText"/>
              <w:ind w:left="31" w:right="640"/>
              <w:spacing w:before="31" w:line="219" w:lineRule="auto"/>
              <w:rPr/>
            </w:pPr>
            <w:r>
              <w:rPr>
                <w:spacing w:val="-1"/>
              </w:rPr>
              <w:t>立的公司承受原企业的土地、房屋权属，免征契税</w:t>
            </w:r>
            <w:r>
              <w:rPr>
                <w:spacing w:val="15"/>
              </w:rPr>
              <w:t xml:space="preserve"> </w:t>
            </w:r>
            <w:r>
              <w:rPr>
                <w:spacing w:val="-1"/>
              </w:rPr>
              <w:t>八、划拨用地出让或作价出资</w:t>
            </w:r>
          </w:p>
          <w:p>
            <w:pPr>
              <w:pStyle w:val="TableText"/>
              <w:ind w:left="100"/>
              <w:spacing w:before="43" w:line="218" w:lineRule="auto"/>
              <w:rPr/>
            </w:pPr>
            <w:r>
              <w:rPr/>
              <w:t>以出让方式或国家作价出资(入股)方式承受原改制重组企</w:t>
            </w:r>
          </w:p>
        </w:tc>
        <w:tc>
          <w:tcPr>
            <w:tcW w:w="2128" w:type="dxa"/>
            <w:vAlign w:val="top"/>
          </w:tcPr>
          <w:p>
            <w:pPr>
              <w:rPr>
                <w:rFonts w:ascii="Arial"/>
                <w:sz w:val="21"/>
              </w:rPr>
            </w:pPr>
            <w:r/>
          </w:p>
        </w:tc>
        <w:tc>
          <w:tcPr>
            <w:tcW w:w="919" w:type="dxa"/>
            <w:vAlign w:val="top"/>
          </w:tcPr>
          <w:p>
            <w:pPr>
              <w:rPr>
                <w:rFonts w:ascii="Arial"/>
                <w:sz w:val="21"/>
              </w:rPr>
            </w:pPr>
            <w:r/>
          </w:p>
        </w:tc>
        <w:tc>
          <w:tcPr>
            <w:tcW w:w="829" w:type="dxa"/>
            <w:vAlign w:val="top"/>
          </w:tcPr>
          <w:p>
            <w:pPr>
              <w:rPr>
                <w:rFonts w:ascii="Arial"/>
                <w:sz w:val="21"/>
              </w:rPr>
            </w:pPr>
            <w:r/>
          </w:p>
        </w:tc>
        <w:tc>
          <w:tcPr>
            <w:tcW w:w="1029" w:type="dxa"/>
            <w:vAlign w:val="top"/>
          </w:tcPr>
          <w:p>
            <w:pPr>
              <w:rPr>
                <w:rFonts w:ascii="Arial"/>
                <w:sz w:val="21"/>
              </w:rPr>
            </w:pPr>
            <w:r/>
          </w:p>
        </w:tc>
        <w:tc>
          <w:tcPr>
            <w:tcW w:w="474" w:type="dxa"/>
            <w:vAlign w:val="top"/>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46"/>
        <w:rPr/>
      </w:pPr>
      <w:r>
        <w:pict>
          <v:shape id="_x0000_s66" style="position:absolute;margin-left:38.9997pt;margin-top:346.706pt;mso-position-vertical-relative:page;mso-position-horizontal-relative:page;width:11.85pt;height:16.2pt;z-index:251707392;" o:allowincell="f" filled="false" stroked="false" type="#_x0000_t202">
            <v:fill on="false"/>
            <v:stroke on="false"/>
            <v:path/>
            <v:imagedata o:title=""/>
            <o:lock v:ext="edit" aspectratio="false"/>
            <v:textbox inset="0mm,0mm,0mm,0mm">
              <w:txbxContent>
                <w:p>
                  <w:pPr>
                    <w:spacing w:before="19" w:line="230" w:lineRule="auto"/>
                    <w:jc w:val="right"/>
                    <w:rPr>
                      <w:rFonts w:ascii="STCaiyun" w:hAnsi="STCaiyun" w:eastAsia="STCaiyun" w:cs="STCaiyun"/>
                      <w:sz w:val="22"/>
                      <w:szCs w:val="22"/>
                    </w:rPr>
                  </w:pPr>
                  <w:r>
                    <w:rPr>
                      <w:rFonts w:ascii="STCaiyun" w:hAnsi="STCaiyun" w:eastAsia="STCaiyun" w:cs="STCaiyun"/>
                      <w:sz w:val="22"/>
                      <w:szCs w:val="22"/>
                      <w:spacing w:val="-24"/>
                    </w:rPr>
                    <w:t>口</w:t>
                  </w:r>
                </w:p>
              </w:txbxContent>
            </v:textbox>
          </v:shape>
        </w:pict>
      </w:r>
      <w:r/>
    </w:p>
    <w:p>
      <w:pPr>
        <w:spacing w:before="46"/>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38"/>
        <w:gridCol w:w="909"/>
        <w:gridCol w:w="829"/>
        <w:gridCol w:w="1029"/>
        <w:gridCol w:w="464"/>
      </w:tblGrid>
      <w:tr>
        <w:trPr>
          <w:trHeight w:val="514" w:hRule="atLeast"/>
        </w:trPr>
        <w:tc>
          <w:tcPr>
            <w:tcW w:w="284" w:type="dxa"/>
            <w:vAlign w:val="top"/>
            <w:textDirection w:val="tbRlV"/>
          </w:tcPr>
          <w:p>
            <w:pPr>
              <w:pStyle w:val="TableText"/>
              <w:ind w:left="57"/>
              <w:spacing w:before="69" w:line="217" w:lineRule="auto"/>
              <w:rPr/>
            </w:pPr>
            <w:r>
              <w:rPr/>
              <w:t>序</w:t>
            </w:r>
            <w:r>
              <w:rPr>
                <w:spacing w:val="16"/>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38" w:type="dxa"/>
            <w:vAlign w:val="top"/>
          </w:tcPr>
          <w:p>
            <w:pPr>
              <w:pStyle w:val="TableText"/>
              <w:ind w:left="754"/>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829" w:type="dxa"/>
            <w:vAlign w:val="top"/>
          </w:tcPr>
          <w:p>
            <w:pPr>
              <w:pStyle w:val="TableText"/>
              <w:ind w:left="257" w:right="123" w:hanging="150"/>
              <w:spacing w:before="8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1338" w:hRule="atLeast"/>
        </w:trPr>
        <w:tc>
          <w:tcPr>
            <w:tcW w:w="284" w:type="dxa"/>
            <w:vAlign w:val="top"/>
          </w:tcPr>
          <w:p>
            <w:pPr>
              <w:spacing w:line="291" w:lineRule="auto"/>
              <w:rPr>
                <w:rFonts w:ascii="Arial"/>
                <w:sz w:val="21"/>
              </w:rPr>
            </w:pPr>
            <w:r/>
          </w:p>
          <w:p>
            <w:pPr>
              <w:spacing w:line="291" w:lineRule="auto"/>
              <w:rPr>
                <w:rFonts w:ascii="Arial"/>
                <w:sz w:val="21"/>
              </w:rPr>
            </w:pPr>
            <w:r/>
          </w:p>
          <w:p>
            <w:pPr>
              <w:pStyle w:val="TableText"/>
              <w:ind w:left="94"/>
              <w:spacing w:before="49" w:line="184" w:lineRule="auto"/>
              <w:rPr/>
            </w:pPr>
            <w:r>
              <w:rPr/>
              <w:t>1</w:t>
            </w:r>
          </w:p>
        </w:tc>
        <w:tc>
          <w:tcPr>
            <w:tcW w:w="3976" w:type="dxa"/>
            <w:vAlign w:val="top"/>
          </w:tcPr>
          <w:p>
            <w:pPr>
              <w:pStyle w:val="TableText"/>
              <w:ind w:left="41" w:right="40" w:hanging="10"/>
              <w:spacing w:before="187" w:line="220" w:lineRule="auto"/>
              <w:rPr/>
            </w:pPr>
            <w:r>
              <w:rPr/>
              <w:t>业、事业单位划拨用地的，不属上述规定的</w:t>
            </w:r>
            <w:r>
              <w:rPr>
                <w:spacing w:val="-1"/>
              </w:rPr>
              <w:t>免税范围，对承</w:t>
            </w:r>
            <w:r>
              <w:rPr/>
              <w:t xml:space="preserve"> </w:t>
            </w:r>
            <w:r>
              <w:rPr>
                <w:spacing w:val="-1"/>
              </w:rPr>
              <w:t>受方应按规定征收契税。</w:t>
            </w:r>
          </w:p>
          <w:p>
            <w:pPr>
              <w:pStyle w:val="TableText"/>
              <w:ind w:left="41"/>
              <w:spacing w:before="52" w:line="219" w:lineRule="auto"/>
              <w:rPr/>
            </w:pPr>
            <w:r>
              <w:rPr>
                <w:spacing w:val="-1"/>
              </w:rPr>
              <w:t>九、公司股权(股份)转让</w:t>
            </w:r>
          </w:p>
          <w:p>
            <w:pPr>
              <w:pStyle w:val="TableText"/>
              <w:ind w:left="31" w:right="152" w:firstLine="149"/>
              <w:spacing w:before="11" w:line="239" w:lineRule="auto"/>
              <w:rPr/>
            </w:pPr>
            <w:r>
              <w:rPr>
                <w:spacing w:val="1"/>
              </w:rPr>
              <w:t>在股权(股份)转让中，单位、个人承受公司股权(股份)</w:t>
            </w:r>
            <w:r>
              <w:rPr>
                <w:spacing w:val="5"/>
              </w:rPr>
              <w:t xml:space="preserve"> </w:t>
            </w:r>
            <w:r>
              <w:rPr>
                <w:spacing w:val="-1"/>
              </w:rPr>
              <w:t>公司土地、房屋权属不发生转移，不征收契税。</w:t>
            </w:r>
          </w:p>
        </w:tc>
        <w:tc>
          <w:tcPr>
            <w:tcW w:w="2138" w:type="dxa"/>
            <w:vAlign w:val="top"/>
          </w:tcPr>
          <w:p>
            <w:pPr>
              <w:rPr>
                <w:rFonts w:ascii="Arial"/>
                <w:sz w:val="21"/>
              </w:rPr>
            </w:pPr>
            <w:r/>
          </w:p>
        </w:tc>
        <w:tc>
          <w:tcPr>
            <w:tcW w:w="909" w:type="dxa"/>
            <w:vAlign w:val="top"/>
          </w:tcPr>
          <w:p>
            <w:pPr>
              <w:rPr>
                <w:rFonts w:ascii="Arial"/>
                <w:sz w:val="21"/>
              </w:rPr>
            </w:pPr>
            <w:r/>
          </w:p>
        </w:tc>
        <w:tc>
          <w:tcPr>
            <w:tcW w:w="82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3185" w:hRule="atLeast"/>
        </w:trPr>
        <w:tc>
          <w:tcPr>
            <w:tcW w:w="284"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9" w:line="183" w:lineRule="auto"/>
              <w:rPr/>
            </w:pPr>
            <w:r>
              <w:rPr/>
              <w:t>2</w:t>
            </w:r>
          </w:p>
        </w:tc>
        <w:tc>
          <w:tcPr>
            <w:tcW w:w="3976" w:type="dxa"/>
            <w:vAlign w:val="top"/>
          </w:tcPr>
          <w:p>
            <w:pPr>
              <w:pStyle w:val="TableText"/>
              <w:ind w:left="21" w:right="50" w:firstLine="10"/>
              <w:spacing w:before="188" w:line="233" w:lineRule="auto"/>
              <w:rPr/>
            </w:pPr>
            <w:r>
              <w:rPr>
                <w:spacing w:val="-1"/>
              </w:rPr>
              <w:t>一、对饮水工程运营管理单位为建设饮水工程而承受土地使</w:t>
            </w:r>
            <w:r>
              <w:rPr>
                <w:spacing w:val="9"/>
              </w:rPr>
              <w:t xml:space="preserve"> </w:t>
            </w:r>
            <w:r>
              <w:rPr>
                <w:spacing w:val="-1"/>
              </w:rPr>
              <w:t>用权，免征契税</w:t>
            </w:r>
          </w:p>
          <w:p>
            <w:pPr>
              <w:pStyle w:val="TableText"/>
              <w:ind w:left="31" w:right="16"/>
              <w:spacing w:before="12" w:line="245" w:lineRule="auto"/>
              <w:jc w:val="both"/>
              <w:rPr/>
            </w:pPr>
            <w:r>
              <w:rPr/>
              <w:t>二、对饮水工程运营管理单位为建设饮水工程取得土地使用</w:t>
            </w:r>
            <w:r>
              <w:rPr>
                <w:spacing w:val="17"/>
              </w:rPr>
              <w:t xml:space="preserve"> </w:t>
            </w:r>
            <w:r>
              <w:rPr/>
              <w:t>权而签订的产权转移书据，以及与施工单位</w:t>
            </w:r>
            <w:r>
              <w:rPr>
                <w:spacing w:val="-1"/>
              </w:rPr>
              <w:t>签订的建设工程</w:t>
            </w:r>
            <w:r>
              <w:rPr/>
              <w:t xml:space="preserve"> </w:t>
            </w:r>
            <w:r>
              <w:rPr>
                <w:spacing w:val="-1"/>
              </w:rPr>
              <w:t>合同，免征印花税。</w:t>
            </w:r>
          </w:p>
          <w:p>
            <w:pPr>
              <w:pStyle w:val="TableText"/>
              <w:ind w:left="31" w:right="40"/>
              <w:spacing w:before="41" w:line="233" w:lineRule="auto"/>
              <w:rPr/>
            </w:pPr>
            <w:r>
              <w:rPr/>
              <w:t>三、对饮水工程运营管理单位自用的生产、</w:t>
            </w:r>
            <w:r>
              <w:rPr>
                <w:spacing w:val="-1"/>
              </w:rPr>
              <w:t>办公用房产、土</w:t>
            </w:r>
            <w:r>
              <w:rPr/>
              <w:t xml:space="preserve"> </w:t>
            </w:r>
            <w:r>
              <w:rPr>
                <w:spacing w:val="-1"/>
              </w:rPr>
              <w:t>地，免征房产税、城镇土地使用税</w:t>
            </w:r>
          </w:p>
          <w:p>
            <w:pPr>
              <w:pStyle w:val="TableText"/>
              <w:ind w:left="31" w:right="29"/>
              <w:spacing w:before="21" w:line="239" w:lineRule="auto"/>
              <w:rPr/>
            </w:pPr>
            <w:r>
              <w:rPr/>
              <w:t>四、对饮水工程运营管理单位向农村居民提供生活用水取得</w:t>
            </w:r>
            <w:r>
              <w:rPr>
                <w:spacing w:val="4"/>
              </w:rPr>
              <w:t xml:space="preserve"> </w:t>
            </w:r>
            <w:r>
              <w:rPr/>
              <w:t>的自来水销售收入，免征增值税</w:t>
            </w:r>
          </w:p>
          <w:p>
            <w:pPr>
              <w:pStyle w:val="TableText"/>
              <w:ind w:left="11" w:right="27" w:firstLine="20"/>
              <w:spacing w:before="22" w:line="241" w:lineRule="auto"/>
              <w:jc w:val="both"/>
              <w:rPr/>
            </w:pPr>
            <w:r>
              <w:rPr>
                <w:spacing w:val="-1"/>
              </w:rPr>
              <w:t>五、对饮水工程运营管理单位从事《公共基础设施项目企业</w:t>
            </w:r>
            <w:r>
              <w:rPr>
                <w:spacing w:val="16"/>
              </w:rPr>
              <w:t xml:space="preserve"> </w:t>
            </w:r>
            <w:r>
              <w:rPr/>
              <w:t>所得税优惠目录》规定的饮水工程新建项目投资经营的所得</w:t>
            </w:r>
            <w:r>
              <w:rPr>
                <w:spacing w:val="13"/>
              </w:rPr>
              <w:t xml:space="preserve"> </w:t>
            </w:r>
            <w:r>
              <w:rPr>
                <w:spacing w:val="1"/>
              </w:rPr>
              <w:t>自项目取得第一笔生产经营收入所属纳税年度起，第一年至</w:t>
            </w:r>
            <w:r>
              <w:rPr/>
              <w:t xml:space="preserve"> </w:t>
            </w:r>
            <w:r>
              <w:rPr/>
              <w:t>第三年免征企业所得税，第四年至第六年减半征收企业所得</w:t>
            </w:r>
            <w:r>
              <w:rPr>
                <w:spacing w:val="13"/>
              </w:rPr>
              <w:t xml:space="preserve"> </w:t>
            </w:r>
            <w:r>
              <w:rPr>
                <w:spacing w:val="-2"/>
              </w:rPr>
              <w:t>税。</w:t>
            </w:r>
          </w:p>
        </w:tc>
        <w:tc>
          <w:tcPr>
            <w:tcW w:w="2138" w:type="dxa"/>
            <w:vAlign w:val="top"/>
          </w:tcPr>
          <w:p>
            <w:pPr>
              <w:pStyle w:val="TableText"/>
              <w:ind w:left="14" w:right="158"/>
              <w:spacing w:before="209" w:line="236" w:lineRule="auto"/>
              <w:jc w:val="both"/>
              <w:rPr/>
            </w:pPr>
            <w:r>
              <w:rPr>
                <w:spacing w:val="-1"/>
              </w:rPr>
              <w:t>财政部、税务总局关于继续实</w:t>
            </w:r>
            <w:r>
              <w:rPr>
                <w:spacing w:val="5"/>
              </w:rPr>
              <w:t xml:space="preserve"> </w:t>
            </w:r>
            <w:r>
              <w:rPr/>
              <w:t>施农村饮水安全工程税收优惠</w:t>
            </w:r>
            <w:r>
              <w:rPr>
                <w:spacing w:val="3"/>
              </w:rPr>
              <w:t xml:space="preserve"> </w:t>
            </w:r>
            <w:r>
              <w:rPr>
                <w:spacing w:val="-1"/>
              </w:rPr>
              <w:t>政策的公告</w:t>
            </w:r>
          </w:p>
        </w:tc>
        <w:tc>
          <w:tcPr>
            <w:tcW w:w="909" w:type="dxa"/>
            <w:vAlign w:val="top"/>
          </w:tcPr>
          <w:p>
            <w:pPr>
              <w:pStyle w:val="TableText"/>
              <w:ind w:left="16" w:right="16" w:firstLine="60"/>
              <w:spacing w:before="190" w:line="236" w:lineRule="auto"/>
              <w:jc w:val="both"/>
              <w:rPr/>
            </w:pPr>
            <w:r>
              <w:rPr>
                <w:spacing w:val="-1"/>
              </w:rPr>
              <w:t>延期至2027</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29" w:type="dxa"/>
            <w:vAlign w:val="top"/>
          </w:tcPr>
          <w:p>
            <w:pPr>
              <w:pStyle w:val="TableText"/>
              <w:ind w:left="38" w:right="36"/>
              <w:spacing w:before="198" w:line="233" w:lineRule="auto"/>
              <w:rPr/>
            </w:pPr>
            <w:r>
              <w:rPr>
                <w:spacing w:val="-2"/>
              </w:rPr>
              <w:t>饮水工程运</w:t>
            </w:r>
            <w:r>
              <w:rPr>
                <w:spacing w:val="3"/>
              </w:rPr>
              <w:t xml:space="preserve"> </w:t>
            </w:r>
            <w:r>
              <w:rPr>
                <w:spacing w:val="-2"/>
              </w:rPr>
              <w:t>营管理企业</w:t>
            </w:r>
          </w:p>
        </w:tc>
        <w:tc>
          <w:tcPr>
            <w:tcW w:w="1029" w:type="dxa"/>
            <w:vAlign w:val="top"/>
          </w:tcPr>
          <w:p>
            <w:pPr>
              <w:pStyle w:val="TableText"/>
              <w:spacing w:before="189" w:line="219" w:lineRule="auto"/>
              <w:jc w:val="right"/>
              <w:rPr/>
            </w:pPr>
            <w:r>
              <w:rPr>
                <w:spacing w:val="-8"/>
              </w:rPr>
              <w:t>契税、印花税、</w:t>
            </w:r>
          </w:p>
          <w:p>
            <w:pPr>
              <w:pStyle w:val="TableText"/>
              <w:ind w:left="59"/>
              <w:spacing w:before="32" w:line="219" w:lineRule="auto"/>
              <w:rPr/>
            </w:pPr>
            <w:r>
              <w:rPr>
                <w:spacing w:val="-1"/>
              </w:rPr>
              <w:t>房产税、城镇</w:t>
            </w:r>
          </w:p>
          <w:p>
            <w:pPr>
              <w:pStyle w:val="TableText"/>
              <w:ind w:left="59"/>
              <w:spacing w:before="22" w:line="219" w:lineRule="auto"/>
              <w:rPr/>
            </w:pPr>
            <w:r>
              <w:rPr>
                <w:spacing w:val="-1"/>
              </w:rPr>
              <w:t>土地使用税和</w:t>
            </w:r>
          </w:p>
          <w:p>
            <w:pPr>
              <w:pStyle w:val="TableText"/>
              <w:ind w:left="289"/>
              <w:spacing w:before="12" w:line="219" w:lineRule="auto"/>
              <w:rPr/>
            </w:pPr>
            <w:r>
              <w:rPr>
                <w:spacing w:val="-2"/>
              </w:rPr>
              <w:t>增值税</w:t>
            </w:r>
          </w:p>
        </w:tc>
        <w:tc>
          <w:tcPr>
            <w:tcW w:w="464" w:type="dxa"/>
            <w:vAlign w:val="top"/>
          </w:tcPr>
          <w:p>
            <w:pPr>
              <w:pStyle w:val="TableText"/>
              <w:ind w:left="80"/>
              <w:spacing w:before="179" w:line="219" w:lineRule="auto"/>
              <w:rPr/>
            </w:pPr>
            <w:r>
              <w:rPr>
                <w:spacing w:val="-3"/>
              </w:rPr>
              <w:t>免征</w:t>
            </w:r>
          </w:p>
        </w:tc>
      </w:tr>
      <w:tr>
        <w:trPr>
          <w:trHeight w:val="1153" w:hRule="atLeast"/>
        </w:trPr>
        <w:tc>
          <w:tcPr>
            <w:tcW w:w="284" w:type="dxa"/>
            <w:vAlign w:val="top"/>
          </w:tcPr>
          <w:p>
            <w:pPr>
              <w:spacing w:line="245" w:lineRule="auto"/>
              <w:rPr>
                <w:rFonts w:ascii="Arial"/>
                <w:sz w:val="21"/>
              </w:rPr>
            </w:pPr>
            <w:r/>
          </w:p>
          <w:p>
            <w:pPr>
              <w:spacing w:line="246" w:lineRule="auto"/>
              <w:rPr>
                <w:rFonts w:ascii="Arial"/>
                <w:sz w:val="21"/>
              </w:rPr>
            </w:pPr>
            <w:r/>
          </w:p>
          <w:p>
            <w:pPr>
              <w:pStyle w:val="TableText"/>
              <w:ind w:left="94"/>
              <w:spacing w:before="48" w:line="183" w:lineRule="auto"/>
              <w:rPr/>
            </w:pPr>
            <w:r>
              <w:rPr/>
              <w:t>3</w:t>
            </w:r>
          </w:p>
        </w:tc>
        <w:tc>
          <w:tcPr>
            <w:tcW w:w="3976" w:type="dxa"/>
            <w:vAlign w:val="top"/>
          </w:tcPr>
          <w:p>
            <w:pPr>
              <w:pStyle w:val="TableText"/>
              <w:ind w:left="31" w:right="96" w:firstLine="69"/>
              <w:spacing w:before="213" w:line="227" w:lineRule="auto"/>
              <w:rPr/>
            </w:pPr>
            <w:r>
              <w:rPr/>
              <w:t>对饮水工程运营管理单位为建设饮水工程而承受土地使用</w:t>
            </w:r>
            <w:r>
              <w:rPr>
                <w:spacing w:val="17"/>
              </w:rPr>
              <w:t xml:space="preserve"> </w:t>
            </w:r>
            <w:r>
              <w:rPr>
                <w:spacing w:val="-1"/>
              </w:rPr>
              <w:t>权，免征契税。</w:t>
            </w:r>
          </w:p>
        </w:tc>
        <w:tc>
          <w:tcPr>
            <w:tcW w:w="2138" w:type="dxa"/>
            <w:vAlign w:val="top"/>
          </w:tcPr>
          <w:p>
            <w:pPr>
              <w:pStyle w:val="TableText"/>
              <w:ind w:left="14" w:right="138"/>
              <w:spacing w:before="212" w:line="233" w:lineRule="auto"/>
              <w:jc w:val="both"/>
              <w:rPr/>
            </w:pPr>
            <w:r>
              <w:rPr>
                <w:spacing w:val="-1"/>
              </w:rPr>
              <w:t>财政部税务总局《关于继续实</w:t>
            </w:r>
            <w:r>
              <w:rPr>
                <w:spacing w:val="5"/>
              </w:rPr>
              <w:t xml:space="preserve"> </w:t>
            </w:r>
            <w:r>
              <w:rPr>
                <w:spacing w:val="1"/>
              </w:rPr>
              <w:t>行农村饮水安全工程税收优惠</w:t>
            </w:r>
            <w:r>
              <w:rPr>
                <w:spacing w:val="10"/>
              </w:rPr>
              <w:t xml:space="preserve"> </w:t>
            </w:r>
            <w:r>
              <w:rPr/>
              <w:t>政策的公告》〔2019〕第67号</w:t>
            </w:r>
            <w:r>
              <w:rPr>
                <w:spacing w:val="3"/>
              </w:rPr>
              <w:t xml:space="preserve"> </w:t>
            </w:r>
            <w:r>
              <w:rPr>
                <w:spacing w:val="5"/>
              </w:rPr>
              <w:t>公告</w:t>
            </w:r>
          </w:p>
        </w:tc>
        <w:tc>
          <w:tcPr>
            <w:tcW w:w="909" w:type="dxa"/>
            <w:vAlign w:val="top"/>
          </w:tcPr>
          <w:p>
            <w:pPr>
              <w:pStyle w:val="TableText"/>
              <w:ind w:left="26" w:right="1"/>
              <w:spacing w:before="213" w:line="236" w:lineRule="auto"/>
              <w:jc w:val="both"/>
              <w:rPr/>
            </w:pPr>
            <w:r>
              <w:rPr>
                <w:spacing w:val="19"/>
                <w:w w:val="109"/>
              </w:rPr>
              <w:t>2019年1月</w:t>
            </w:r>
            <w:r>
              <w:rPr/>
              <w:t xml:space="preserve"> </w:t>
            </w:r>
            <w:r>
              <w:rPr>
                <w:spacing w:val="23"/>
                <w:w w:val="101"/>
              </w:rPr>
              <w:t>1日至2023</w:t>
            </w:r>
            <w:r>
              <w:rPr>
                <w:spacing w:val="5"/>
              </w:rPr>
              <w:t xml:space="preserve"> </w:t>
            </w:r>
            <w:r>
              <w:rPr>
                <w:spacing w:val="-10"/>
              </w:rPr>
              <w:t>年</w:t>
            </w:r>
            <w:r>
              <w:rPr>
                <w:spacing w:val="-7"/>
              </w:rPr>
              <w:t xml:space="preserve"> </w:t>
            </w:r>
            <w:r>
              <w:rPr>
                <w:spacing w:val="-10"/>
              </w:rPr>
              <w:t>1</w:t>
            </w:r>
            <w:r>
              <w:rPr>
                <w:spacing w:val="-19"/>
              </w:rPr>
              <w:t xml:space="preserve"> </w:t>
            </w:r>
            <w:r>
              <w:rPr>
                <w:spacing w:val="-10"/>
              </w:rPr>
              <w:t>2</w:t>
            </w:r>
            <w:r>
              <w:rPr>
                <w:spacing w:val="-18"/>
              </w:rPr>
              <w:t xml:space="preserve"> </w:t>
            </w:r>
            <w:r>
              <w:rPr>
                <w:spacing w:val="-10"/>
              </w:rPr>
              <w:t>月</w:t>
            </w:r>
            <w:r>
              <w:rPr>
                <w:spacing w:val="-17"/>
              </w:rPr>
              <w:t xml:space="preserve"> </w:t>
            </w:r>
            <w:r>
              <w:rPr>
                <w:spacing w:val="-10"/>
              </w:rPr>
              <w:t>3 1</w:t>
            </w:r>
            <w:r>
              <w:rPr/>
              <w:t xml:space="preserve"> </w:t>
            </w:r>
            <w:r>
              <w:rPr/>
              <w:t>日</w:t>
            </w:r>
          </w:p>
        </w:tc>
        <w:tc>
          <w:tcPr>
            <w:tcW w:w="829" w:type="dxa"/>
            <w:vAlign w:val="top"/>
          </w:tcPr>
          <w:p>
            <w:pPr>
              <w:pStyle w:val="TableText"/>
              <w:ind w:left="107"/>
              <w:spacing w:before="204" w:line="220" w:lineRule="auto"/>
              <w:rPr/>
            </w:pPr>
            <w:r>
              <w:rPr>
                <w:spacing w:val="-2"/>
              </w:rPr>
              <w:t>相关企业</w:t>
            </w:r>
          </w:p>
        </w:tc>
        <w:tc>
          <w:tcPr>
            <w:tcW w:w="1029" w:type="dxa"/>
            <w:vAlign w:val="top"/>
          </w:tcPr>
          <w:p>
            <w:pPr>
              <w:pStyle w:val="TableText"/>
              <w:ind w:left="358"/>
              <w:spacing w:before="194" w:line="219" w:lineRule="auto"/>
              <w:rPr/>
            </w:pPr>
            <w:r>
              <w:rPr>
                <w:spacing w:val="-2"/>
              </w:rPr>
              <w:t>契税</w:t>
            </w:r>
          </w:p>
        </w:tc>
        <w:tc>
          <w:tcPr>
            <w:tcW w:w="464" w:type="dxa"/>
            <w:vAlign w:val="top"/>
          </w:tcPr>
          <w:p>
            <w:pPr>
              <w:pStyle w:val="TableText"/>
              <w:ind w:left="80"/>
              <w:spacing w:before="174"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46"/>
        <w:rPr/>
      </w:pPr>
      <w:r>
        <w:drawing>
          <wp:anchor distT="0" distB="0" distL="0" distR="0" simplePos="0" relativeHeight="251708416" behindDoc="0" locked="0" layoutInCell="0" allowOverlap="1">
            <wp:simplePos x="0" y="0"/>
            <wp:positionH relativeFrom="page">
              <wp:posOffset>507996</wp:posOffset>
            </wp:positionH>
            <wp:positionV relativeFrom="page">
              <wp:posOffset>666764</wp:posOffset>
            </wp:positionV>
            <wp:extent cx="114274" cy="133311"/>
            <wp:effectExtent l="0" t="0" r="0" b="0"/>
            <wp:wrapNone/>
            <wp:docPr id="28" name="IM 28"/>
            <wp:cNvGraphicFramePr/>
            <a:graphic>
              <a:graphicData uri="http://schemas.openxmlformats.org/drawingml/2006/picture">
                <pic:pic>
                  <pic:nvPicPr>
                    <pic:cNvPr id="28" name="IM 28"/>
                    <pic:cNvPicPr/>
                  </pic:nvPicPr>
                  <pic:blipFill>
                    <a:blip r:embed="rId16"/>
                    <a:stretch>
                      <a:fillRect/>
                    </a:stretch>
                  </pic:blipFill>
                  <pic:spPr>
                    <a:xfrm rot="0">
                      <a:off x="0" y="0"/>
                      <a:ext cx="114274" cy="133311"/>
                    </a:xfrm>
                    <a:prstGeom prst="rect">
                      <a:avLst/>
                    </a:prstGeom>
                  </pic:spPr>
                </pic:pic>
              </a:graphicData>
            </a:graphic>
          </wp:anchor>
        </w:drawing>
      </w:r>
      <w:r/>
    </w:p>
    <w:p>
      <w:pPr>
        <w:spacing w:before="46"/>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38"/>
        <w:gridCol w:w="909"/>
        <w:gridCol w:w="829"/>
        <w:gridCol w:w="1029"/>
        <w:gridCol w:w="464"/>
      </w:tblGrid>
      <w:tr>
        <w:trPr>
          <w:trHeight w:val="50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76" w:type="dxa"/>
            <w:vAlign w:val="top"/>
          </w:tcPr>
          <w:p>
            <w:pPr>
              <w:pStyle w:val="TableText"/>
              <w:ind w:left="1681"/>
              <w:spacing w:before="181" w:line="219" w:lineRule="auto"/>
              <w:rPr/>
            </w:pPr>
            <w:r>
              <w:rPr>
                <w:spacing w:val="-2"/>
              </w:rPr>
              <w:t>主要内容</w:t>
            </w:r>
          </w:p>
        </w:tc>
        <w:tc>
          <w:tcPr>
            <w:tcW w:w="2138" w:type="dxa"/>
            <w:vAlign w:val="top"/>
          </w:tcPr>
          <w:p>
            <w:pPr>
              <w:pStyle w:val="TableText"/>
              <w:ind w:left="754"/>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829" w:type="dxa"/>
            <w:vAlign w:val="top"/>
          </w:tcPr>
          <w:p>
            <w:pPr>
              <w:pStyle w:val="TableText"/>
              <w:ind w:left="257" w:right="123" w:hanging="150"/>
              <w:spacing w:before="73"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270" w:hRule="atLeast"/>
        </w:trPr>
        <w:tc>
          <w:tcPr>
            <w:shd w:val="clear" w:fill="DCDDDD"/>
            <w:tcW w:w="9629" w:type="dxa"/>
            <w:vAlign w:val="top"/>
            <w:gridSpan w:val="7"/>
          </w:tcPr>
          <w:p>
            <w:pPr>
              <w:pStyle w:val="TableText"/>
              <w:ind w:left="4537"/>
              <w:spacing w:before="55" w:line="220" w:lineRule="auto"/>
              <w:rPr/>
            </w:pPr>
            <w:r>
              <w:rPr>
                <w:b/>
                <w:bCs/>
                <w:spacing w:val="-4"/>
              </w:rPr>
              <w:t>八、其他</w:t>
            </w:r>
          </w:p>
        </w:tc>
      </w:tr>
      <w:tr>
        <w:trPr>
          <w:trHeight w:val="5436" w:hRule="atLeast"/>
        </w:trPr>
        <w:tc>
          <w:tcPr>
            <w:tcW w:w="284"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94"/>
              <w:spacing w:before="48" w:line="184" w:lineRule="auto"/>
              <w:rPr/>
            </w:pPr>
            <w:r>
              <w:rPr/>
              <w:t>1</w:t>
            </w:r>
          </w:p>
        </w:tc>
        <w:tc>
          <w:tcPr>
            <w:tcW w:w="3976" w:type="dxa"/>
            <w:vAlign w:val="top"/>
          </w:tcPr>
          <w:p>
            <w:pPr>
              <w:pStyle w:val="TableText"/>
              <w:ind w:left="31" w:right="40"/>
              <w:spacing w:before="107" w:line="236" w:lineRule="auto"/>
              <w:jc w:val="both"/>
              <w:rPr/>
            </w:pPr>
            <w:r>
              <w:rPr>
                <w:spacing w:val="-1"/>
              </w:rPr>
              <w:t>为继续支持促进资源综合利用和环境保护，现对以回收的废</w:t>
            </w:r>
            <w:r>
              <w:rPr>
                <w:spacing w:val="17"/>
              </w:rPr>
              <w:t xml:space="preserve"> </w:t>
            </w:r>
            <w:r>
              <w:rPr/>
              <w:t>矿物油为原料生产的润滑油基础油、汽油、</w:t>
            </w:r>
            <w:r>
              <w:rPr>
                <w:spacing w:val="-1"/>
              </w:rPr>
              <w:t>柴油等工业油料</w:t>
            </w:r>
            <w:r>
              <w:rPr/>
              <w:t xml:space="preserve"> </w:t>
            </w:r>
            <w:r>
              <w:rPr>
                <w:spacing w:val="-1"/>
              </w:rPr>
              <w:t>免征消费税政策公告如下：</w:t>
            </w:r>
          </w:p>
          <w:p>
            <w:pPr>
              <w:pStyle w:val="TableText"/>
              <w:ind w:left="31"/>
              <w:spacing w:before="12" w:line="249" w:lineRule="auto"/>
              <w:jc w:val="both"/>
              <w:rPr/>
            </w:pPr>
            <w:r>
              <w:rPr>
                <w:spacing w:val="-1"/>
              </w:rPr>
              <w:t>一、废矿物油，是指工业生产领域机械设备及汽车、船舶等 </w:t>
            </w:r>
            <w:r>
              <w:rPr>
                <w:spacing w:val="1"/>
              </w:rPr>
              <w:t>交通运输设备使用后失去或降低功效更换下来的废润滑油。</w:t>
            </w:r>
            <w:r>
              <w:rPr>
                <w:spacing w:val="7"/>
              </w:rPr>
              <w:t xml:space="preserve"> </w:t>
            </w:r>
            <w:r>
              <w:rPr/>
              <w:t>二、纳税人利用废矿物油生产的润滑油基础油、汽油、柴油</w:t>
            </w:r>
            <w:r>
              <w:rPr>
                <w:spacing w:val="14"/>
              </w:rPr>
              <w:t xml:space="preserve"> </w:t>
            </w:r>
            <w:r>
              <w:rPr>
                <w:spacing w:val="-1"/>
              </w:rPr>
              <w:t>等工业油料免征消费税，应同时符合下列条件</w:t>
            </w:r>
          </w:p>
          <w:p>
            <w:pPr>
              <w:pStyle w:val="TableText"/>
              <w:ind w:left="11" w:firstLine="19"/>
              <w:spacing w:before="12" w:line="248" w:lineRule="auto"/>
              <w:rPr/>
            </w:pPr>
            <w:r>
              <w:rPr>
                <w:spacing w:val="-4"/>
              </w:rPr>
              <w:t>(一)纳税人必须取得生态环境部门颁发的《危险废物(综合)</w:t>
            </w:r>
            <w:r>
              <w:rPr>
                <w:spacing w:val="2"/>
              </w:rPr>
              <w:t xml:space="preserve">   </w:t>
            </w:r>
            <w:r>
              <w:rPr>
                <w:spacing w:val="-1"/>
              </w:rPr>
              <w:t>经营许可证》,且该证件上核准生产经营范围应包括“利用”</w:t>
            </w:r>
            <w:r>
              <w:rPr>
                <w:spacing w:val="5"/>
              </w:rPr>
              <w:t xml:space="preserve"> </w:t>
            </w:r>
            <w:r>
              <w:rPr>
                <w:spacing w:val="-9"/>
              </w:rPr>
              <w:t>或“综合经营”字样。生产经营范围为“综合经营”的纳税人</w:t>
            </w:r>
            <w:r>
              <w:rPr>
                <w:spacing w:val="3"/>
              </w:rPr>
              <w:t xml:space="preserve">   </w:t>
            </w:r>
            <w:r>
              <w:rPr>
                <w:spacing w:val="-5"/>
              </w:rPr>
              <w:t>还应同时提供颁发《危险废物(综合)经营许可证》的生态</w:t>
            </w:r>
          </w:p>
          <w:p>
            <w:pPr>
              <w:pStyle w:val="TableText"/>
              <w:ind w:left="31" w:right="40"/>
              <w:spacing w:before="11" w:line="246" w:lineRule="auto"/>
              <w:rPr/>
            </w:pPr>
            <w:r>
              <w:rPr/>
              <w:t>环境部门出具的能证明其生产经营范围包括</w:t>
            </w:r>
            <w:r>
              <w:rPr>
                <w:spacing w:val="-1"/>
              </w:rPr>
              <w:t>“利用”的材料</w:t>
            </w:r>
            <w:r>
              <w:rPr/>
              <w:t xml:space="preserve"> </w:t>
            </w:r>
            <w:r>
              <w:rPr>
                <w:spacing w:val="-1"/>
              </w:rPr>
              <w:t>纳税人在申请办理免征消费税备案时，应同时提交污染物排</w:t>
            </w:r>
            <w:r>
              <w:rPr>
                <w:spacing w:val="17"/>
              </w:rPr>
              <w:t xml:space="preserve"> </w:t>
            </w:r>
            <w:r>
              <w:rPr/>
              <w:t>放地生态环境部门确定的该纳税人应予执行</w:t>
            </w:r>
            <w:r>
              <w:rPr>
                <w:spacing w:val="-1"/>
              </w:rPr>
              <w:t>的污染物排放标</w:t>
            </w:r>
            <w:r>
              <w:rPr/>
              <w:t xml:space="preserve"> </w:t>
            </w:r>
            <w:r>
              <w:rPr>
                <w:spacing w:val="1"/>
              </w:rPr>
              <w:t>准，以及污染物排放地生态环境部门在此前6个月以内出具</w:t>
            </w:r>
            <w:r>
              <w:rPr>
                <w:spacing w:val="15"/>
              </w:rPr>
              <w:t xml:space="preserve"> </w:t>
            </w:r>
            <w:r>
              <w:rPr/>
              <w:t>的该纳税人的污染物排放符合上述标准的证明材料</w:t>
            </w:r>
          </w:p>
          <w:p>
            <w:pPr>
              <w:pStyle w:val="TableText"/>
              <w:ind w:left="21" w:right="122" w:firstLine="79"/>
              <w:spacing w:before="32" w:line="233" w:lineRule="auto"/>
              <w:rPr/>
            </w:pPr>
            <w:r>
              <w:rPr>
                <w:spacing w:val="-1"/>
              </w:rPr>
              <w:t>纳税人回收的废矿物油应具备能显示其名称、特性、数量</w:t>
            </w:r>
            <w:r>
              <w:rPr>
                <w:spacing w:val="16"/>
              </w:rPr>
              <w:t xml:space="preserve"> </w:t>
            </w:r>
            <w:r>
              <w:rPr>
                <w:spacing w:val="-1"/>
              </w:rPr>
              <w:t>接受日期等项目的《危险废物转移联单》。</w:t>
            </w:r>
          </w:p>
          <w:p>
            <w:pPr>
              <w:pStyle w:val="TableText"/>
              <w:ind w:left="90"/>
              <w:spacing w:before="12" w:line="219" w:lineRule="auto"/>
              <w:rPr/>
            </w:pPr>
            <w:r>
              <w:rPr/>
              <w:t>(二)生产原料中废矿物油重量必须占到90%以上。产成</w:t>
            </w:r>
          </w:p>
          <w:p>
            <w:pPr>
              <w:pStyle w:val="TableText"/>
              <w:ind w:left="21" w:right="19" w:firstLine="10"/>
              <w:spacing w:before="22" w:line="247" w:lineRule="auto"/>
              <w:rPr/>
            </w:pPr>
            <w:r>
              <w:rPr/>
              <w:t>品中必须包括润滑油基础油，且每吨废矿物油生产的润滑油</w:t>
            </w:r>
            <w:r>
              <w:rPr>
                <w:spacing w:val="14"/>
              </w:rPr>
              <w:t xml:space="preserve"> </w:t>
            </w:r>
            <w:r>
              <w:rPr>
                <w:spacing w:val="-1"/>
              </w:rPr>
              <w:t>基础油应不少于0.65吨。</w:t>
            </w:r>
          </w:p>
          <w:p>
            <w:pPr>
              <w:pStyle w:val="TableText"/>
              <w:ind w:left="31" w:right="99" w:firstLine="69"/>
              <w:spacing w:before="29" w:line="220" w:lineRule="auto"/>
              <w:rPr/>
            </w:pPr>
            <w:r>
              <w:rPr/>
              <w:t>(三)利用废矿物油生产的产品与利用其他原料生产的产品</w:t>
            </w:r>
            <w:r>
              <w:rPr>
                <w:spacing w:val="14"/>
              </w:rPr>
              <w:t xml:space="preserve"> </w:t>
            </w:r>
            <w:r>
              <w:rPr>
                <w:spacing w:val="-1"/>
              </w:rPr>
              <w:t>应分别核算。</w:t>
            </w:r>
          </w:p>
          <w:p>
            <w:pPr>
              <w:pStyle w:val="TableText"/>
              <w:ind w:left="11" w:firstLine="19"/>
              <w:spacing w:before="31" w:line="246" w:lineRule="auto"/>
              <w:jc w:val="both"/>
              <w:rPr/>
            </w:pPr>
            <w:r>
              <w:rPr>
                <w:spacing w:val="-1"/>
              </w:rPr>
              <w:t>三、符合本公告第二条规定的纳税人销售免税油品时，应在 </w:t>
            </w:r>
            <w:r>
              <w:rPr>
                <w:spacing w:val="-1"/>
              </w:rPr>
              <w:t>增值税专用发票上注明产品名称，并在产品名称后加注“(废</w:t>
            </w:r>
            <w:r>
              <w:rPr>
                <w:spacing w:val="5"/>
              </w:rPr>
              <w:t xml:space="preserve"> </w:t>
            </w:r>
            <w:r>
              <w:rPr>
                <w:spacing w:val="-2"/>
              </w:rPr>
              <w:t>矿物油)”c</w:t>
            </w:r>
          </w:p>
        </w:tc>
        <w:tc>
          <w:tcPr>
            <w:tcW w:w="2138" w:type="dxa"/>
            <w:vAlign w:val="top"/>
          </w:tcPr>
          <w:p>
            <w:pPr>
              <w:pStyle w:val="TableText"/>
              <w:ind w:left="14" w:right="168"/>
              <w:spacing w:before="97" w:line="232" w:lineRule="auto"/>
              <w:jc w:val="both"/>
              <w:rPr/>
            </w:pPr>
            <w:r>
              <w:rPr>
                <w:spacing w:val="-1"/>
              </w:rPr>
              <w:t>财政部、税务总局关于继续对</w:t>
            </w:r>
            <w:r>
              <w:rPr>
                <w:spacing w:val="5"/>
              </w:rPr>
              <w:t xml:space="preserve"> </w:t>
            </w:r>
            <w:r>
              <w:rPr>
                <w:spacing w:val="-1"/>
              </w:rPr>
              <w:t>废矿物油再生油品免征消费税</w:t>
            </w:r>
            <w:r>
              <w:rPr>
                <w:spacing w:val="6"/>
              </w:rPr>
              <w:t xml:space="preserve"> </w:t>
            </w:r>
            <w:r>
              <w:rPr>
                <w:spacing w:val="3"/>
              </w:rPr>
              <w:t>的公告</w:t>
            </w:r>
          </w:p>
        </w:tc>
        <w:tc>
          <w:tcPr>
            <w:tcW w:w="909" w:type="dxa"/>
            <w:vAlign w:val="top"/>
          </w:tcPr>
          <w:p>
            <w:pPr>
              <w:pStyle w:val="TableText"/>
              <w:ind w:left="16" w:right="16" w:firstLine="60"/>
              <w:spacing w:before="107" w:line="228" w:lineRule="auto"/>
              <w:jc w:val="both"/>
              <w:rPr/>
            </w:pPr>
            <w:r>
              <w:rPr>
                <w:spacing w:val="-1"/>
              </w:rPr>
              <w:t>延期至2027</w:t>
            </w:r>
            <w:r>
              <w:rPr/>
              <w:t xml:space="preserve">  </w:t>
            </w:r>
            <w:r>
              <w:rPr>
                <w:spacing w:val="-9"/>
              </w:rPr>
              <w:t>年 1</w:t>
            </w:r>
            <w:r>
              <w:rPr>
                <w:spacing w:val="-12"/>
              </w:rPr>
              <w:t xml:space="preserve"> </w:t>
            </w:r>
            <w:r>
              <w:rPr>
                <w:spacing w:val="-9"/>
              </w:rPr>
              <w:t>2</w:t>
            </w:r>
            <w:r>
              <w:rPr>
                <w:spacing w:val="-13"/>
              </w:rPr>
              <w:t xml:space="preserve"> </w:t>
            </w:r>
            <w:r>
              <w:rPr>
                <w:spacing w:val="-9"/>
              </w:rPr>
              <w:t>月</w:t>
            </w:r>
            <w:r>
              <w:rPr>
                <w:spacing w:val="-14"/>
              </w:rPr>
              <w:t xml:space="preserve"> </w:t>
            </w:r>
            <w:r>
              <w:rPr>
                <w:spacing w:val="-9"/>
              </w:rPr>
              <w:t>3 1</w:t>
            </w:r>
            <w:r>
              <w:rPr/>
              <w:t xml:space="preserve"> </w:t>
            </w:r>
            <w:r>
              <w:rPr/>
              <w:t>日</w:t>
            </w:r>
          </w:p>
        </w:tc>
        <w:tc>
          <w:tcPr>
            <w:tcW w:w="829" w:type="dxa"/>
            <w:vAlign w:val="top"/>
          </w:tcPr>
          <w:p>
            <w:pPr>
              <w:pStyle w:val="TableText"/>
              <w:ind w:left="38"/>
              <w:spacing w:before="138" w:line="244" w:lineRule="auto"/>
              <w:rPr/>
            </w:pPr>
            <w:r>
              <w:rPr>
                <w:spacing w:val="-7"/>
              </w:rPr>
              <w:t>以回收的废</w:t>
            </w:r>
            <w:r>
              <w:rPr/>
              <w:t xml:space="preserve">  </w:t>
            </w:r>
            <w:r>
              <w:rPr>
                <w:spacing w:val="-9"/>
              </w:rPr>
              <w:t>矿物油为原</w:t>
            </w:r>
            <w:r>
              <w:rPr/>
              <w:t xml:space="preserve">  </w:t>
            </w:r>
            <w:r>
              <w:rPr>
                <w:spacing w:val="-10"/>
              </w:rPr>
              <w:t>料生产的润</w:t>
            </w:r>
            <w:r>
              <w:rPr>
                <w:spacing w:val="1"/>
              </w:rPr>
              <w:t xml:space="preserve">  </w:t>
            </w:r>
            <w:r>
              <w:rPr>
                <w:spacing w:val="7"/>
              </w:rPr>
              <w:t>滑油基础</w:t>
            </w:r>
            <w:r>
              <w:rPr/>
              <w:t xml:space="preserve">   </w:t>
            </w:r>
            <w:r>
              <w:rPr>
                <w:spacing w:val="6"/>
              </w:rPr>
              <w:t>油、汽油、</w:t>
            </w:r>
            <w:r>
              <w:rPr/>
              <w:t xml:space="preserve"> </w:t>
            </w:r>
            <w:r>
              <w:rPr>
                <w:spacing w:val="-10"/>
              </w:rPr>
              <w:t>柴油等工业</w:t>
            </w:r>
            <w:r>
              <w:rPr>
                <w:spacing w:val="1"/>
              </w:rPr>
              <w:t xml:space="preserve">  </w:t>
            </w:r>
            <w:r>
              <w:rPr>
                <w:spacing w:val="6"/>
              </w:rPr>
              <w:t>油料企业</w:t>
            </w:r>
          </w:p>
        </w:tc>
        <w:tc>
          <w:tcPr>
            <w:tcW w:w="1029" w:type="dxa"/>
            <w:vAlign w:val="top"/>
          </w:tcPr>
          <w:p>
            <w:pPr>
              <w:pStyle w:val="TableText"/>
              <w:ind w:left="289"/>
              <w:spacing w:before="107" w:line="220" w:lineRule="auto"/>
              <w:rPr/>
            </w:pPr>
            <w:r>
              <w:rPr>
                <w:spacing w:val="-2"/>
              </w:rPr>
              <w:t>消费税</w:t>
            </w:r>
          </w:p>
        </w:tc>
        <w:tc>
          <w:tcPr>
            <w:tcW w:w="464" w:type="dxa"/>
            <w:vAlign w:val="top"/>
          </w:tcPr>
          <w:p>
            <w:pPr>
              <w:pStyle w:val="TableText"/>
              <w:ind w:left="80"/>
              <w:spacing w:before="117" w:line="219" w:lineRule="auto"/>
              <w:rPr/>
            </w:pPr>
            <w:r>
              <w:rPr>
                <w:spacing w:val="-3"/>
              </w:rPr>
              <w:t>免征</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709440"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30" name="IM 30"/>
            <wp:cNvGraphicFramePr/>
            <a:graphic>
              <a:graphicData uri="http://schemas.openxmlformats.org/drawingml/2006/picture">
                <pic:pic>
                  <pic:nvPicPr>
                    <pic:cNvPr id="30" name="IM 30"/>
                    <pic:cNvPicPr/>
                  </pic:nvPicPr>
                  <pic:blipFill>
                    <a:blip r:embed="rId17"/>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4"/>
        <w:gridCol w:w="3986"/>
        <w:gridCol w:w="2128"/>
        <w:gridCol w:w="919"/>
        <w:gridCol w:w="829"/>
        <w:gridCol w:w="1029"/>
        <w:gridCol w:w="474"/>
      </w:tblGrid>
      <w:tr>
        <w:trPr>
          <w:trHeight w:val="494" w:hRule="atLeast"/>
        </w:trPr>
        <w:tc>
          <w:tcPr>
            <w:tcW w:w="264" w:type="dxa"/>
            <w:vAlign w:val="top"/>
            <w:textDirection w:val="tbRlV"/>
          </w:tcPr>
          <w:p>
            <w:pPr>
              <w:pStyle w:val="TableText"/>
              <w:ind w:left="47"/>
              <w:spacing w:before="59" w:line="217" w:lineRule="auto"/>
              <w:rPr/>
            </w:pPr>
            <w:r>
              <w:rPr/>
              <w:t>序</w:t>
            </w:r>
            <w:r>
              <w:rPr>
                <w:spacing w:val="16"/>
              </w:rPr>
              <w:t xml:space="preserve"> </w:t>
            </w:r>
            <w:r>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829" w:type="dxa"/>
            <w:vAlign w:val="top"/>
          </w:tcPr>
          <w:p>
            <w:pPr>
              <w:pStyle w:val="TableText"/>
              <w:ind w:left="257" w:right="12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4482" w:hRule="atLeast"/>
        </w:trPr>
        <w:tc>
          <w:tcPr>
            <w:tcW w:w="264"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84"/>
              <w:spacing w:before="48" w:line="184" w:lineRule="auto"/>
              <w:rPr/>
            </w:pPr>
            <w:r>
              <w:rPr/>
              <w:t>1</w:t>
            </w:r>
          </w:p>
        </w:tc>
        <w:tc>
          <w:tcPr>
            <w:tcW w:w="3986" w:type="dxa"/>
            <w:vAlign w:val="top"/>
          </w:tcPr>
          <w:p>
            <w:pPr>
              <w:pStyle w:val="TableText"/>
              <w:ind w:left="31" w:right="33"/>
              <w:spacing w:before="145" w:line="244" w:lineRule="auto"/>
              <w:jc w:val="both"/>
              <w:rPr/>
            </w:pPr>
            <w:r>
              <w:rPr/>
              <w:t>四、符合本公告第二条规定的纳税人利用废矿物油生产的润</w:t>
            </w:r>
            <w:r>
              <w:rPr>
                <w:spacing w:val="10"/>
              </w:rPr>
              <w:t xml:space="preserve"> </w:t>
            </w:r>
            <w:r>
              <w:rPr>
                <w:spacing w:val="1"/>
              </w:rPr>
              <w:t>滑油基础油连续加工生产润滑油，或纳税人(包括符合本公 </w:t>
            </w:r>
            <w:r>
              <w:rPr>
                <w:spacing w:val="1"/>
              </w:rPr>
              <w:t>告第二条规定的纳税人及其他纳税人)外购利用废矿物油生  </w:t>
            </w:r>
            <w:r>
              <w:rPr/>
              <w:t>产的润滑油基础油加工生产润滑油，在申报</w:t>
            </w:r>
            <w:r>
              <w:rPr>
                <w:spacing w:val="-1"/>
              </w:rPr>
              <w:t>润滑油消费税额</w:t>
            </w:r>
            <w:r>
              <w:rPr/>
              <w:t xml:space="preserve"> </w:t>
            </w:r>
            <w:r>
              <w:rPr/>
              <w:t>时按当期销售的润滑油数量扣减其耗用的符合本公告规定的</w:t>
            </w:r>
            <w:r>
              <w:rPr>
                <w:spacing w:val="10"/>
              </w:rPr>
              <w:t xml:space="preserve"> </w:t>
            </w:r>
            <w:r>
              <w:rPr>
                <w:spacing w:val="-1"/>
              </w:rPr>
              <w:t>润滑油基础油数量的余额计算缴纳消费税。</w:t>
            </w:r>
          </w:p>
          <w:p>
            <w:pPr>
              <w:pStyle w:val="TableText"/>
              <w:ind w:left="11"/>
              <w:spacing w:before="21"/>
              <w:rPr/>
            </w:pPr>
            <w:r>
              <w:rPr>
                <w:spacing w:val="-1"/>
              </w:rPr>
              <w:t>五、对未达到相应的污染物排放标准或被取消《危险废物(综</w:t>
            </w:r>
            <w:r>
              <w:rPr>
                <w:spacing w:val="14"/>
              </w:rPr>
              <w:t xml:space="preserve"> </w:t>
            </w:r>
            <w:r>
              <w:rPr>
                <w:spacing w:val="-1"/>
              </w:rPr>
              <w:t>合)经营许可证》的纳税人，自发生违规排放行为之日或《危</w:t>
            </w:r>
          </w:p>
          <w:p>
            <w:pPr>
              <w:pStyle w:val="TableText"/>
              <w:ind w:left="11" w:firstLine="98"/>
              <w:spacing w:before="31" w:line="236" w:lineRule="auto"/>
              <w:rPr/>
            </w:pPr>
            <w:r>
              <w:rPr>
                <w:spacing w:val="-2"/>
              </w:rPr>
              <w:t>险废物(综合)经营许可证》被取消之日起，取消其享受本</w:t>
            </w:r>
            <w:r>
              <w:rPr>
                <w:spacing w:val="3"/>
              </w:rPr>
              <w:t xml:space="preserve">   </w:t>
            </w:r>
            <w:r>
              <w:rPr>
                <w:spacing w:val="-3"/>
              </w:rPr>
              <w:t>公告规定的免征消费税政策的资格，且三年内不</w:t>
            </w:r>
            <w:r>
              <w:rPr>
                <w:spacing w:val="-4"/>
              </w:rPr>
              <w:t>得再次申请。</w:t>
            </w:r>
            <w:r>
              <w:rPr/>
              <w:t xml:space="preserve"> </w:t>
            </w:r>
            <w:r>
              <w:rPr>
                <w:spacing w:val="-3"/>
              </w:rPr>
              <w:t>纳税人自发生违规排放行为之日起已申请并办理免税的，应  </w:t>
            </w:r>
            <w:r>
              <w:rPr>
                <w:spacing w:val="4"/>
              </w:rPr>
              <w:t>予追缴。</w:t>
            </w:r>
          </w:p>
          <w:p>
            <w:pPr>
              <w:pStyle w:val="TableText"/>
              <w:ind w:left="31" w:right="49"/>
              <w:spacing w:before="50" w:line="244" w:lineRule="auto"/>
              <w:jc w:val="both"/>
              <w:rPr/>
            </w:pPr>
            <w:r>
              <w:rPr>
                <w:spacing w:val="-1"/>
              </w:rPr>
              <w:t>六、各级税务机关应采取严密措施，对享受本公告规定的免</w:t>
            </w:r>
            <w:r>
              <w:rPr>
                <w:spacing w:val="17"/>
              </w:rPr>
              <w:t xml:space="preserve"> </w:t>
            </w:r>
            <w:r>
              <w:rPr>
                <w:spacing w:val="-1"/>
              </w:rPr>
              <w:t>征消费税政策的纳税人加强动态监管。凡经核实纳税人弄虚</w:t>
            </w:r>
            <w:r>
              <w:rPr>
                <w:spacing w:val="17"/>
              </w:rPr>
              <w:t xml:space="preserve"> </w:t>
            </w:r>
            <w:r>
              <w:rPr>
                <w:spacing w:val="-1"/>
              </w:rPr>
              <w:t>作假骗取享受本公告规定的免征消费税政策的，税务机关追</w:t>
            </w:r>
            <w:r>
              <w:rPr>
                <w:spacing w:val="18"/>
              </w:rPr>
              <w:t xml:space="preserve"> </w:t>
            </w:r>
            <w:r>
              <w:rPr/>
              <w:t>缴其此前骗取的免税税款，并自纳税人发生上</w:t>
            </w:r>
            <w:r>
              <w:rPr>
                <w:spacing w:val="-1"/>
              </w:rPr>
              <w:t>述违法违规行</w:t>
            </w:r>
            <w:r>
              <w:rPr/>
              <w:t xml:space="preserve"> </w:t>
            </w:r>
            <w:r>
              <w:rPr>
                <w:spacing w:val="-1"/>
              </w:rPr>
              <w:t>为年度起，取消其享受本公告规定的免征消费税政策的资格</w:t>
            </w:r>
            <w:r>
              <w:rPr>
                <w:spacing w:val="17"/>
              </w:rPr>
              <w:t xml:space="preserve"> </w:t>
            </w:r>
            <w:r>
              <w:rPr/>
              <w:t>且纳税人三年内不得再次申请</w:t>
            </w:r>
          </w:p>
          <w:p>
            <w:pPr>
              <w:pStyle w:val="TableText"/>
              <w:ind w:left="21" w:right="39" w:firstLine="10"/>
              <w:spacing w:before="21" w:line="238" w:lineRule="auto"/>
              <w:jc w:val="both"/>
              <w:rPr/>
            </w:pPr>
            <w:r>
              <w:rPr>
                <w:spacing w:val="-1"/>
              </w:rPr>
              <w:t>发生违规排放行为之日，是指已由污染物排放地生态环境部</w:t>
            </w:r>
            <w:r>
              <w:rPr>
                <w:spacing w:val="16"/>
              </w:rPr>
              <w:t xml:space="preserve"> </w:t>
            </w:r>
            <w:r>
              <w:rPr/>
              <w:t>门查证确认的、纳税人发生未达到应予执行的污染物排放标</w:t>
            </w:r>
            <w:r>
              <w:rPr>
                <w:spacing w:val="14"/>
              </w:rPr>
              <w:t xml:space="preserve"> </w:t>
            </w:r>
            <w:r>
              <w:rPr>
                <w:spacing w:val="-1"/>
              </w:rPr>
              <w:t>准行为的当日。</w:t>
            </w:r>
          </w:p>
        </w:tc>
        <w:tc>
          <w:tcPr>
            <w:tcW w:w="2128" w:type="dxa"/>
            <w:vAlign w:val="top"/>
          </w:tcPr>
          <w:p>
            <w:pPr>
              <w:rPr>
                <w:rFonts w:ascii="Arial"/>
                <w:sz w:val="21"/>
              </w:rPr>
            </w:pPr>
            <w:r/>
          </w:p>
        </w:tc>
        <w:tc>
          <w:tcPr>
            <w:tcW w:w="919" w:type="dxa"/>
            <w:vAlign w:val="top"/>
          </w:tcPr>
          <w:p>
            <w:pPr>
              <w:rPr>
                <w:rFonts w:ascii="Arial"/>
                <w:sz w:val="21"/>
              </w:rPr>
            </w:pPr>
            <w:r/>
          </w:p>
        </w:tc>
        <w:tc>
          <w:tcPr>
            <w:tcW w:w="829" w:type="dxa"/>
            <w:vAlign w:val="top"/>
          </w:tcPr>
          <w:p>
            <w:pPr>
              <w:rPr>
                <w:rFonts w:ascii="Arial"/>
                <w:sz w:val="21"/>
              </w:rPr>
            </w:pPr>
            <w:r/>
          </w:p>
        </w:tc>
        <w:tc>
          <w:tcPr>
            <w:tcW w:w="1029" w:type="dxa"/>
            <w:vAlign w:val="top"/>
          </w:tcPr>
          <w:p>
            <w:pPr>
              <w:rPr>
                <w:rFonts w:ascii="Arial"/>
                <w:sz w:val="21"/>
              </w:rPr>
            </w:pPr>
            <w:r/>
          </w:p>
        </w:tc>
        <w:tc>
          <w:tcPr>
            <w:tcW w:w="474" w:type="dxa"/>
            <w:vAlign w:val="top"/>
          </w:tcPr>
          <w:p>
            <w:pPr>
              <w:rPr>
                <w:rFonts w:ascii="Arial"/>
                <w:sz w:val="21"/>
              </w:rPr>
            </w:pPr>
            <w:r/>
          </w:p>
        </w:tc>
      </w:tr>
      <w:tr>
        <w:trPr>
          <w:trHeight w:val="1213" w:hRule="atLeast"/>
        </w:trPr>
        <w:tc>
          <w:tcPr>
            <w:tcW w:w="264" w:type="dxa"/>
            <w:vAlign w:val="top"/>
          </w:tcPr>
          <w:p>
            <w:pPr>
              <w:spacing w:line="260" w:lineRule="auto"/>
              <w:rPr>
                <w:rFonts w:ascii="Arial"/>
                <w:sz w:val="21"/>
              </w:rPr>
            </w:pPr>
            <w:r/>
          </w:p>
          <w:p>
            <w:pPr>
              <w:spacing w:line="261" w:lineRule="auto"/>
              <w:rPr>
                <w:rFonts w:ascii="Arial"/>
                <w:sz w:val="21"/>
              </w:rPr>
            </w:pPr>
            <w:r/>
          </w:p>
          <w:p>
            <w:pPr>
              <w:pStyle w:val="TableText"/>
              <w:ind w:left="84"/>
              <w:spacing w:before="49" w:line="183" w:lineRule="auto"/>
              <w:rPr/>
            </w:pPr>
            <w:r>
              <w:rPr/>
              <w:t>2</w:t>
            </w:r>
          </w:p>
        </w:tc>
        <w:tc>
          <w:tcPr>
            <w:tcW w:w="3986" w:type="dxa"/>
            <w:vAlign w:val="top"/>
          </w:tcPr>
          <w:p>
            <w:pPr>
              <w:pStyle w:val="TableText"/>
              <w:ind w:left="31" w:right="54" w:firstLine="79"/>
              <w:spacing w:before="144" w:line="239" w:lineRule="auto"/>
              <w:rPr/>
            </w:pPr>
            <w:r>
              <w:rPr>
                <w:spacing w:val="-1"/>
              </w:rPr>
              <w:t>对购买使用进口煤炭的燃煤发电企业，符合《财政部税务</w:t>
            </w:r>
            <w:r>
              <w:rPr>
                <w:spacing w:val="9"/>
              </w:rPr>
              <w:t xml:space="preserve">  </w:t>
            </w:r>
            <w:r>
              <w:rPr>
                <w:spacing w:val="-1"/>
              </w:rPr>
              <w:t>总局关于进一步加大增值税期末留抵退税政策实施力度的公</w:t>
            </w:r>
          </w:p>
          <w:p>
            <w:pPr>
              <w:pStyle w:val="TableText"/>
              <w:ind w:left="260"/>
              <w:spacing w:before="20" w:line="218" w:lineRule="auto"/>
              <w:rPr/>
            </w:pPr>
            <w:r>
              <w:rPr>
                <w:spacing w:val="-1"/>
              </w:rPr>
              <w:t>告》(财政部税务总局公告2022年第14号)规定的，在</w:t>
            </w:r>
          </w:p>
          <w:p>
            <w:pPr>
              <w:pStyle w:val="TableText"/>
              <w:ind w:left="51" w:right="122" w:firstLine="59"/>
              <w:spacing w:before="13" w:line="227" w:lineRule="auto"/>
              <w:rPr/>
            </w:pPr>
            <w:r>
              <w:rPr>
                <w:spacing w:val="-1"/>
              </w:rPr>
              <w:t>纳税人自愿申请的基础上，进一步加快留抵退税办理进度</w:t>
            </w:r>
            <w:r>
              <w:rPr>
                <w:spacing w:val="16"/>
              </w:rPr>
              <w:t xml:space="preserve"> </w:t>
            </w:r>
            <w:r>
              <w:rPr>
                <w:spacing w:val="-1"/>
              </w:rPr>
              <w:t>规范高效便捷为其办理留抵退税</w:t>
            </w:r>
          </w:p>
        </w:tc>
        <w:tc>
          <w:tcPr>
            <w:tcW w:w="2128" w:type="dxa"/>
            <w:vAlign w:val="top"/>
          </w:tcPr>
          <w:p>
            <w:pPr>
              <w:pStyle w:val="TableText"/>
              <w:ind w:left="34" w:right="89" w:firstLine="50"/>
              <w:spacing w:before="144"/>
              <w:jc w:val="both"/>
              <w:rPr/>
            </w:pPr>
            <w:r>
              <w:rPr>
                <w:spacing w:val="-1"/>
              </w:rPr>
              <w:t>财政部、税务总局《关于切实</w:t>
            </w:r>
            <w:r>
              <w:rPr>
                <w:spacing w:val="5"/>
              </w:rPr>
              <w:t xml:space="preserve"> </w:t>
            </w:r>
            <w:r>
              <w:rPr>
                <w:spacing w:val="3"/>
              </w:rPr>
              <w:t>落实燃煤发电企业增值税留抵</w:t>
            </w:r>
            <w:r>
              <w:rPr>
                <w:spacing w:val="2"/>
              </w:rPr>
              <w:t xml:space="preserve"> </w:t>
            </w:r>
            <w:r>
              <w:rPr>
                <w:spacing w:val="3"/>
              </w:rPr>
              <w:t>退税政策做好电力保供工作的 </w:t>
            </w:r>
            <w:r>
              <w:rPr>
                <w:spacing w:val="-1"/>
              </w:rPr>
              <w:t>通知》财税〔2022〕25号</w:t>
            </w:r>
          </w:p>
        </w:tc>
        <w:tc>
          <w:tcPr>
            <w:tcW w:w="919" w:type="dxa"/>
            <w:vAlign w:val="top"/>
          </w:tcPr>
          <w:p>
            <w:pPr>
              <w:pStyle w:val="TableText"/>
              <w:ind w:left="16" w:right="11" w:firstLine="10"/>
              <w:spacing w:before="134" w:line="238" w:lineRule="auto"/>
              <w:jc w:val="both"/>
              <w:rPr/>
            </w:pPr>
            <w:r>
              <w:rPr>
                <w:spacing w:val="15"/>
                <w:w w:val="113"/>
              </w:rPr>
              <w:t>2022年6月</w:t>
            </w:r>
            <w:r>
              <w:rPr>
                <w:spacing w:val="1"/>
              </w:rPr>
              <w:t xml:space="preserve"> </w:t>
            </w:r>
            <w:r>
              <w:rPr>
                <w:spacing w:val="-14"/>
              </w:rPr>
              <w:t>2</w:t>
            </w:r>
            <w:r>
              <w:rPr>
                <w:spacing w:val="-26"/>
              </w:rPr>
              <w:t xml:space="preserve"> </w:t>
            </w:r>
            <w:r>
              <w:rPr>
                <w:spacing w:val="-14"/>
              </w:rPr>
              <w:t>4 日</w:t>
            </w:r>
            <w:r>
              <w:rPr>
                <w:spacing w:val="-3"/>
              </w:rPr>
              <w:t xml:space="preserve"> </w:t>
            </w:r>
            <w:r>
              <w:rPr>
                <w:spacing w:val="-14"/>
              </w:rPr>
              <w:t>(</w:t>
            </w:r>
            <w:r>
              <w:rPr>
                <w:spacing w:val="-28"/>
              </w:rPr>
              <w:t xml:space="preserve"> </w:t>
            </w:r>
            <w:r>
              <w:rPr>
                <w:spacing w:val="-14"/>
              </w:rPr>
              <w:t>文</w:t>
            </w:r>
            <w:r>
              <w:rPr>
                <w:spacing w:val="-30"/>
              </w:rPr>
              <w:t xml:space="preserve"> </w:t>
            </w:r>
            <w:r>
              <w:rPr>
                <w:spacing w:val="-14"/>
              </w:rPr>
              <w:t>件</w:t>
            </w:r>
            <w:r>
              <w:rPr/>
              <w:t xml:space="preserve"> </w:t>
            </w:r>
            <w:r>
              <w:rPr>
                <w:spacing w:val="-2"/>
              </w:rPr>
              <w:t>签发日期</w:t>
            </w:r>
          </w:p>
        </w:tc>
        <w:tc>
          <w:tcPr>
            <w:tcW w:w="829" w:type="dxa"/>
            <w:vAlign w:val="top"/>
          </w:tcPr>
          <w:p>
            <w:pPr>
              <w:pStyle w:val="TableText"/>
              <w:ind w:left="338" w:right="37" w:hanging="300"/>
              <w:spacing w:before="125" w:line="245" w:lineRule="auto"/>
              <w:rPr/>
            </w:pPr>
            <w:r>
              <w:rPr>
                <w:spacing w:val="-2"/>
              </w:rPr>
              <w:t>燃煤发电企</w:t>
            </w:r>
            <w:r>
              <w:rPr>
                <w:spacing w:val="2"/>
              </w:rPr>
              <w:t xml:space="preserve"> </w:t>
            </w:r>
            <w:r>
              <w:rPr/>
              <w:t>业</w:t>
            </w:r>
          </w:p>
        </w:tc>
        <w:tc>
          <w:tcPr>
            <w:tcW w:w="1029" w:type="dxa"/>
            <w:vAlign w:val="top"/>
          </w:tcPr>
          <w:p>
            <w:pPr>
              <w:pStyle w:val="TableText"/>
              <w:ind w:left="208"/>
              <w:spacing w:before="105" w:line="220" w:lineRule="auto"/>
              <w:rPr/>
            </w:pPr>
            <w:r>
              <w:rPr>
                <w:spacing w:val="1"/>
              </w:rPr>
              <w:t>留抵退税</w:t>
            </w:r>
          </w:p>
        </w:tc>
        <w:tc>
          <w:tcPr>
            <w:tcW w:w="474" w:type="dxa"/>
            <w:vAlign w:val="top"/>
          </w:tcPr>
          <w:p>
            <w:pPr>
              <w:pStyle w:val="TableText"/>
              <w:ind w:left="80" w:right="77"/>
              <w:spacing w:before="116" w:line="239" w:lineRule="auto"/>
              <w:rPr/>
            </w:pPr>
            <w:r>
              <w:rPr>
                <w:spacing w:val="3"/>
              </w:rPr>
              <w:t>留抵</w:t>
            </w:r>
            <w:r>
              <w:rPr/>
              <w:t xml:space="preserve"> </w:t>
            </w:r>
            <w:r>
              <w:rPr>
                <w:spacing w:val="-2"/>
              </w:rPr>
              <w:t>退税</w:t>
            </w:r>
          </w:p>
        </w:tc>
      </w:tr>
    </w:tbl>
    <w:p>
      <w:pPr>
        <w:pStyle w:val="BodyText"/>
        <w:rPr/>
      </w:pPr>
      <w:r/>
    </w:p>
    <w:p>
      <w:pPr>
        <w:sectPr>
          <w:pgSz w:w="11910" w:h="8220"/>
          <w:pgMar w:top="400" w:right="1135" w:bottom="400" w:left="809" w:header="0" w:footer="0" w:gutter="0"/>
        </w:sectPr>
        <w:rPr/>
      </w:pPr>
    </w:p>
    <w:p>
      <w:pPr>
        <w:spacing w:before="51"/>
        <w:rPr/>
      </w:pPr>
      <w:r>
        <w:pict>
          <v:shape id="_x0000_s68" style="position:absolute;margin-left:38.9997pt;margin-top:53.6704pt;mso-position-vertical-relative:page;mso-position-horizontal-relative:page;width:7pt;height:12.4pt;z-index:251710464;" o:allowincell="f" filled="false" stroked="false" type="#_x0000_t202">
            <v:fill on="false"/>
            <v:stroke on="false"/>
            <v:path/>
            <v:imagedata o:title=""/>
            <o:lock v:ext="edit" aspectratio="false"/>
            <v:textbox inset="0mm,0mm,0mm,0mm">
              <w:txbxContent>
                <w:p>
                  <w:pPr>
                    <w:ind w:left="20"/>
                    <w:spacing w:before="20" w:line="182" w:lineRule="auto"/>
                    <w:rPr>
                      <w:rFonts w:ascii="SimSun" w:hAnsi="SimSun" w:eastAsia="SimSun" w:cs="SimSun"/>
                      <w:sz w:val="21"/>
                      <w:szCs w:val="21"/>
                    </w:rPr>
                  </w:pPr>
                  <w:r>
                    <w:rPr>
                      <w:rFonts w:ascii="SimSun" w:hAnsi="SimSun" w:eastAsia="SimSun" w:cs="SimSun"/>
                      <w:sz w:val="21"/>
                      <w:szCs w:val="21"/>
                    </w:rPr>
                    <w:t>¥</w:t>
                  </w:r>
                </w:p>
              </w:txbxContent>
            </v:textbox>
          </v:shape>
        </w:pict>
      </w:r>
      <w:r/>
    </w:p>
    <w:p>
      <w:pPr>
        <w:spacing w:before="51"/>
        <w:rPr/>
      </w:pPr>
      <w:r/>
    </w:p>
    <w:tbl>
      <w:tblPr>
        <w:tblStyle w:val="TableNormal"/>
        <w:tblW w:w="963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2201"/>
        <w:gridCol w:w="1764"/>
        <w:gridCol w:w="2118"/>
        <w:gridCol w:w="919"/>
        <w:gridCol w:w="859"/>
        <w:gridCol w:w="1009"/>
        <w:gridCol w:w="47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3965" w:type="dxa"/>
            <w:vAlign w:val="top"/>
            <w:gridSpan w:val="2"/>
          </w:tcPr>
          <w:p>
            <w:pPr>
              <w:pStyle w:val="TableText"/>
              <w:ind w:left="1670"/>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3345" w:hRule="atLeast"/>
        </w:trPr>
        <w:tc>
          <w:tcPr>
            <w:tcW w:w="29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84"/>
              <w:spacing w:before="65" w:line="183" w:lineRule="auto"/>
              <w:rPr>
                <w:sz w:val="20"/>
                <w:szCs w:val="20"/>
              </w:rPr>
            </w:pPr>
            <w:r>
              <w:rPr>
                <w:sz w:val="20"/>
                <w:szCs w:val="20"/>
              </w:rPr>
              <w:t>3</w:t>
            </w:r>
          </w:p>
        </w:tc>
        <w:tc>
          <w:tcPr>
            <w:tcW w:w="3965" w:type="dxa"/>
            <w:vAlign w:val="top"/>
            <w:gridSpan w:val="2"/>
            <w:tcBorders>
              <w:bottom w:val="nil"/>
            </w:tcBorders>
          </w:tcPr>
          <w:p>
            <w:pPr>
              <w:pStyle w:val="TableText"/>
              <w:ind w:left="20"/>
              <w:spacing w:before="117" w:line="219" w:lineRule="auto"/>
              <w:rPr/>
            </w:pPr>
            <w:r>
              <w:rPr>
                <w:spacing w:val="-1"/>
              </w:rPr>
              <w:t>一、扩大全额退还增值税留抵税额政策行业范围，将《财政</w:t>
            </w:r>
          </w:p>
          <w:p>
            <w:pPr>
              <w:pStyle w:val="TableText"/>
              <w:ind w:left="99"/>
              <w:spacing w:before="12" w:line="219" w:lineRule="auto"/>
              <w:rPr/>
            </w:pPr>
            <w:r>
              <w:rPr>
                <w:spacing w:val="-1"/>
              </w:rPr>
              <w:t>部税务总局关于进一步加大增值税期末留抵退税政策实施</w:t>
            </w:r>
          </w:p>
          <w:p>
            <w:pPr>
              <w:pStyle w:val="TableText"/>
              <w:ind w:left="20"/>
              <w:spacing w:before="30" w:line="218" w:lineRule="auto"/>
              <w:rPr/>
            </w:pPr>
            <w:r>
              <w:rPr>
                <w:spacing w:val="-1"/>
              </w:rPr>
              <w:t>力度的公告》(财政部税务总局公告2022年第14号，以</w:t>
            </w:r>
          </w:p>
          <w:p>
            <w:pPr>
              <w:pStyle w:val="TableText"/>
              <w:ind w:left="40"/>
              <w:spacing w:before="22" w:line="218" w:lineRule="auto"/>
              <w:rPr/>
            </w:pPr>
            <w:r>
              <w:rPr>
                <w:spacing w:val="1"/>
              </w:rPr>
              <w:t>下称2022年第14号公告)第二条规定的制造业等</w:t>
            </w:r>
            <w:r>
              <w:rPr/>
              <w:t>行业按月</w:t>
            </w:r>
          </w:p>
          <w:p>
            <w:pPr>
              <w:pStyle w:val="TableText"/>
              <w:ind w:firstLine="52"/>
              <w:spacing w:before="35" w:line="243" w:lineRule="auto"/>
              <w:rPr/>
            </w:pPr>
            <w:r>
              <w:rPr>
                <w:spacing w:val="-11"/>
              </w:rPr>
              <w:t>全额退还增值税增量留抵税额、</w:t>
            </w:r>
            <w:r>
              <w:rPr>
                <w:spacing w:val="40"/>
              </w:rPr>
              <w:t xml:space="preserve"> </w:t>
            </w:r>
            <w:r>
              <w:rPr>
                <w:spacing w:val="-11"/>
              </w:rPr>
              <w:t>一次性退还存量留抵税额的   </w:t>
            </w:r>
            <w:r>
              <w:rPr>
                <w:spacing w:val="-4"/>
              </w:rPr>
              <w:t>政策范围，扩大至“批发和零售业”、“农、林、牧、渔业”</w:t>
            </w:r>
            <w:r>
              <w:rPr>
                <w:spacing w:val="11"/>
              </w:rPr>
              <w:t xml:space="preserve"> </w:t>
            </w:r>
            <w:r>
              <w:rPr>
                <w:spacing w:val="-9"/>
              </w:rPr>
              <w:t>“住宿和餐饮业”、“居民服务、修理和其他服务业”、“教</w:t>
            </w:r>
            <w:r>
              <w:rPr>
                <w:spacing w:val="3"/>
              </w:rPr>
              <w:t xml:space="preserve">   </w:t>
            </w:r>
            <w:r>
              <w:rPr>
                <w:spacing w:val="-10"/>
              </w:rPr>
              <w:t>育”、</w:t>
            </w:r>
            <w:r>
              <w:rPr>
                <w:spacing w:val="17"/>
              </w:rPr>
              <w:t xml:space="preserve">   </w:t>
            </w:r>
            <w:r>
              <w:rPr>
                <w:spacing w:val="-10"/>
              </w:rPr>
              <w:t>“卫生和社会工作”和“文化、体育和娱乐业”(以  </w:t>
            </w:r>
            <w:r>
              <w:rPr>
                <w:spacing w:val="-1"/>
              </w:rPr>
              <w:t>下称批发零售业等行业)企业(含个体工商户</w:t>
            </w:r>
            <w:r>
              <w:rPr>
                <w:spacing w:val="-2"/>
              </w:rPr>
              <w:t>，下同)</w:t>
            </w:r>
          </w:p>
          <w:p>
            <w:pPr>
              <w:pStyle w:val="TableText"/>
              <w:ind w:left="79"/>
              <w:spacing w:before="22" w:line="219" w:lineRule="auto"/>
              <w:rPr/>
            </w:pPr>
            <w:r>
              <w:rPr/>
              <w:t>(一)符合条件的批发零售业等行业企业，可以自2022年</w:t>
            </w:r>
          </w:p>
          <w:p>
            <w:pPr>
              <w:pStyle w:val="TableText"/>
              <w:ind w:left="79" w:right="110" w:hanging="59"/>
              <w:spacing w:before="41" w:line="233" w:lineRule="auto"/>
              <w:rPr/>
            </w:pPr>
            <w:r>
              <w:rPr/>
              <w:t>7月纳税申报期起向主管税务机关申请退还增量留抵税</w:t>
            </w:r>
            <w:r>
              <w:rPr>
                <w:spacing w:val="-1"/>
              </w:rPr>
              <w:t>额。</w:t>
            </w:r>
            <w:r>
              <w:rPr/>
              <w:t xml:space="preserve"> </w:t>
            </w:r>
            <w:r>
              <w:rPr/>
              <w:t>(二)符合条件的批发零售业等行业企业，可以自2022年</w:t>
            </w:r>
          </w:p>
          <w:p>
            <w:pPr>
              <w:pStyle w:val="TableText"/>
              <w:ind w:left="10" w:right="79" w:firstLine="49"/>
              <w:spacing w:before="21" w:line="233" w:lineRule="auto"/>
              <w:rPr/>
            </w:pPr>
            <w:r>
              <w:rPr>
                <w:spacing w:val="-1"/>
              </w:rPr>
              <w:t>7月纳税申报期起向主管税务机关申请一次性退还存量留抵</w:t>
            </w:r>
            <w:r>
              <w:rPr>
                <w:spacing w:val="15"/>
              </w:rPr>
              <w:t xml:space="preserve"> </w:t>
            </w:r>
            <w:r>
              <w:rPr>
                <w:spacing w:val="-2"/>
              </w:rPr>
              <w:t>税额。</w:t>
            </w:r>
          </w:p>
          <w:p>
            <w:pPr>
              <w:pStyle w:val="TableText"/>
              <w:ind w:left="20" w:right="42" w:firstLine="79"/>
              <w:spacing w:before="21" w:line="233" w:lineRule="auto"/>
              <w:rPr/>
            </w:pPr>
            <w:r>
              <w:rPr>
                <w:spacing w:val="-1"/>
              </w:rPr>
              <w:t>二、2022年第14号公告和本公告所称制造业、批发零售业</w:t>
            </w:r>
            <w:r>
              <w:rPr>
                <w:spacing w:val="9"/>
              </w:rPr>
              <w:t xml:space="preserve">  </w:t>
            </w:r>
            <w:r>
              <w:rPr>
                <w:spacing w:val="-1"/>
              </w:rPr>
              <w:t>等行业企业，是指从事《国民经济行业分类》中“批发和零</w:t>
            </w:r>
          </w:p>
        </w:tc>
        <w:tc>
          <w:tcPr>
            <w:tcW w:w="2118" w:type="dxa"/>
            <w:vAlign w:val="top"/>
            <w:vMerge w:val="restart"/>
            <w:tcBorders>
              <w:bottom w:val="nil"/>
            </w:tcBorders>
          </w:tcPr>
          <w:p>
            <w:pPr>
              <w:pStyle w:val="TableText"/>
              <w:ind w:left="34" w:right="67" w:firstLine="40"/>
              <w:spacing w:before="105" w:line="236" w:lineRule="auto"/>
              <w:jc w:val="both"/>
              <w:rPr/>
            </w:pPr>
            <w:r>
              <w:rPr>
                <w:spacing w:val="-1"/>
              </w:rPr>
              <w:t>财政部、税务总局《关于扩大</w:t>
            </w:r>
            <w:r>
              <w:rPr>
                <w:spacing w:val="5"/>
              </w:rPr>
              <w:t xml:space="preserve"> </w:t>
            </w:r>
            <w:r>
              <w:rPr>
                <w:spacing w:val="2"/>
              </w:rPr>
              <w:t>全额退还增值税留抵税额政策</w:t>
            </w:r>
            <w:r>
              <w:rPr>
                <w:spacing w:val="7"/>
              </w:rPr>
              <w:t xml:space="preserve"> </w:t>
            </w:r>
            <w:r>
              <w:rPr>
                <w:spacing w:val="3"/>
              </w:rPr>
              <w:t>行业范围的公告》2022年第21</w:t>
            </w:r>
            <w:r>
              <w:rPr>
                <w:spacing w:val="6"/>
              </w:rPr>
              <w:t xml:space="preserve"> </w:t>
            </w:r>
            <w:r>
              <w:rPr>
                <w:spacing w:val="-3"/>
              </w:rPr>
              <w:t>号公告</w:t>
            </w:r>
          </w:p>
        </w:tc>
        <w:tc>
          <w:tcPr>
            <w:tcW w:w="919" w:type="dxa"/>
            <w:vAlign w:val="top"/>
            <w:vMerge w:val="restart"/>
            <w:tcBorders>
              <w:bottom w:val="nil"/>
            </w:tcBorders>
          </w:tcPr>
          <w:p>
            <w:pPr>
              <w:pStyle w:val="TableText"/>
              <w:ind w:left="16" w:right="5" w:firstLine="60"/>
              <w:spacing w:before="96" w:line="246" w:lineRule="auto"/>
              <w:rPr/>
            </w:pPr>
            <w:r>
              <w:rPr>
                <w:spacing w:val="-2"/>
              </w:rPr>
              <w:t>第一条和第</w:t>
            </w:r>
            <w:r>
              <w:rPr>
                <w:spacing w:val="1"/>
              </w:rPr>
              <w:t xml:space="preserve">  </w:t>
            </w:r>
            <w:r>
              <w:rPr>
                <w:spacing w:val="7"/>
              </w:rPr>
              <w:t>二条自2022</w:t>
            </w:r>
            <w:r>
              <w:rPr/>
              <w:t xml:space="preserve">  </w:t>
            </w:r>
            <w:r>
              <w:rPr>
                <w:spacing w:val="-11"/>
              </w:rPr>
              <w:t>年</w:t>
            </w:r>
            <w:r>
              <w:rPr>
                <w:spacing w:val="2"/>
              </w:rPr>
              <w:t xml:space="preserve"> </w:t>
            </w:r>
            <w:r>
              <w:rPr>
                <w:spacing w:val="-11"/>
              </w:rPr>
              <w:t>7</w:t>
            </w:r>
            <w:r>
              <w:rPr>
                <w:spacing w:val="3"/>
              </w:rPr>
              <w:t xml:space="preserve"> </w:t>
            </w:r>
            <w:r>
              <w:rPr>
                <w:spacing w:val="-11"/>
              </w:rPr>
              <w:t>月</w:t>
            </w:r>
            <w:r>
              <w:rPr>
                <w:spacing w:val="10"/>
              </w:rPr>
              <w:t xml:space="preserve"> </w:t>
            </w:r>
            <w:r>
              <w:rPr>
                <w:spacing w:val="-11"/>
              </w:rPr>
              <w:t>1</w:t>
            </w:r>
            <w:r>
              <w:rPr>
                <w:spacing w:val="25"/>
                <w:w w:val="101"/>
              </w:rPr>
              <w:t xml:space="preserve"> </w:t>
            </w:r>
            <w:r>
              <w:rPr>
                <w:spacing w:val="-11"/>
              </w:rPr>
              <w:t>日</w:t>
            </w:r>
            <w:r>
              <w:rPr/>
              <w:t xml:space="preserve"> </w:t>
            </w:r>
            <w:r>
              <w:rPr>
                <w:spacing w:val="10"/>
              </w:rPr>
              <w:t>起执行；第</w:t>
            </w:r>
            <w:r>
              <w:rPr>
                <w:spacing w:val="1"/>
              </w:rPr>
              <w:t xml:space="preserve">  </w:t>
            </w:r>
            <w:r>
              <w:rPr>
                <w:spacing w:val="-9"/>
              </w:rPr>
              <w:t>三</w:t>
            </w:r>
            <w:r>
              <w:rPr>
                <w:spacing w:val="18"/>
              </w:rPr>
              <w:t xml:space="preserve"> </w:t>
            </w:r>
            <w:r>
              <w:rPr>
                <w:spacing w:val="-9"/>
              </w:rPr>
              <w:t>条</w:t>
            </w:r>
            <w:r>
              <w:rPr>
                <w:spacing w:val="40"/>
              </w:rPr>
              <w:t xml:space="preserve"> </w:t>
            </w:r>
            <w:r>
              <w:rPr>
                <w:spacing w:val="-9"/>
              </w:rPr>
              <w:t>自</w:t>
            </w:r>
            <w:r>
              <w:rPr>
                <w:spacing w:val="20"/>
                <w:w w:val="101"/>
              </w:rPr>
              <w:t xml:space="preserve"> </w:t>
            </w:r>
            <w:r>
              <w:rPr>
                <w:spacing w:val="-9"/>
              </w:rPr>
              <w:t>公</w:t>
            </w:r>
            <w:r>
              <w:rPr/>
              <w:t xml:space="preserve"> </w:t>
            </w:r>
            <w:r>
              <w:rPr>
                <w:spacing w:val="17"/>
              </w:rPr>
              <w:t>告发布之日</w:t>
            </w:r>
            <w:r>
              <w:rPr/>
              <w:t xml:space="preserve"> </w:t>
            </w:r>
            <w:r>
              <w:rPr>
                <w:spacing w:val="-6"/>
              </w:rPr>
              <w:t>(</w:t>
            </w:r>
            <w:r>
              <w:rPr>
                <w:spacing w:val="-23"/>
              </w:rPr>
              <w:t xml:space="preserve"> </w:t>
            </w:r>
            <w:r>
              <w:rPr>
                <w:spacing w:val="-6"/>
              </w:rPr>
              <w:t>2</w:t>
            </w:r>
            <w:r>
              <w:rPr>
                <w:spacing w:val="-28"/>
              </w:rPr>
              <w:t xml:space="preserve"> </w:t>
            </w:r>
            <w:r>
              <w:rPr>
                <w:spacing w:val="-6"/>
              </w:rPr>
              <w:t>0</w:t>
            </w:r>
            <w:r>
              <w:rPr>
                <w:spacing w:val="-27"/>
              </w:rPr>
              <w:t xml:space="preserve"> </w:t>
            </w:r>
            <w:r>
              <w:rPr>
                <w:spacing w:val="-6"/>
              </w:rPr>
              <w:t>2</w:t>
            </w:r>
            <w:r>
              <w:rPr>
                <w:spacing w:val="-27"/>
              </w:rPr>
              <w:t xml:space="preserve"> </w:t>
            </w:r>
            <w:r>
              <w:rPr>
                <w:spacing w:val="-6"/>
              </w:rPr>
              <w:t>2</w:t>
            </w:r>
            <w:r>
              <w:rPr>
                <w:spacing w:val="-29"/>
              </w:rPr>
              <w:t xml:space="preserve"> </w:t>
            </w:r>
            <w:r>
              <w:rPr>
                <w:spacing w:val="-6"/>
              </w:rPr>
              <w:t>年</w:t>
            </w:r>
            <w:r>
              <w:rPr>
                <w:spacing w:val="-28"/>
              </w:rPr>
              <w:t xml:space="preserve"> </w:t>
            </w:r>
            <w:r>
              <w:rPr>
                <w:spacing w:val="-6"/>
              </w:rPr>
              <w:t>6</w:t>
            </w:r>
            <w:r>
              <w:rPr/>
              <w:t xml:space="preserve"> </w:t>
            </w:r>
            <w:r>
              <w:rPr>
                <w:spacing w:val="-7"/>
              </w:rPr>
              <w:t>月 7</w:t>
            </w:r>
            <w:r>
              <w:rPr>
                <w:spacing w:val="21"/>
              </w:rPr>
              <w:t xml:space="preserve"> </w:t>
            </w:r>
            <w:r>
              <w:rPr>
                <w:spacing w:val="-7"/>
              </w:rPr>
              <w:t>日 ) 起</w:t>
            </w:r>
            <w:r>
              <w:rPr/>
              <w:t xml:space="preserve"> </w:t>
            </w:r>
            <w:r>
              <w:rPr>
                <w:spacing w:val="-2"/>
              </w:rPr>
              <w:t>执行</w:t>
            </w:r>
          </w:p>
        </w:tc>
        <w:tc>
          <w:tcPr>
            <w:tcW w:w="859" w:type="dxa"/>
            <w:vAlign w:val="top"/>
            <w:vMerge w:val="restart"/>
            <w:tcBorders>
              <w:bottom w:val="nil"/>
            </w:tcBorders>
          </w:tcPr>
          <w:p>
            <w:pPr>
              <w:pStyle w:val="TableText"/>
              <w:ind w:left="127"/>
              <w:spacing w:before="127" w:line="220" w:lineRule="auto"/>
              <w:rPr/>
            </w:pPr>
            <w:r>
              <w:rPr>
                <w:spacing w:val="-2"/>
              </w:rPr>
              <w:t>相关企业</w:t>
            </w:r>
          </w:p>
        </w:tc>
        <w:tc>
          <w:tcPr>
            <w:tcW w:w="1009" w:type="dxa"/>
            <w:vAlign w:val="top"/>
            <w:vMerge w:val="restart"/>
            <w:tcBorders>
              <w:bottom w:val="nil"/>
            </w:tcBorders>
          </w:tcPr>
          <w:p>
            <w:pPr>
              <w:pStyle w:val="TableText"/>
              <w:ind w:left="348" w:right="55" w:hanging="300"/>
              <w:spacing w:before="137" w:line="227" w:lineRule="auto"/>
              <w:rPr/>
            </w:pPr>
            <w:r>
              <w:rPr>
                <w:spacing w:val="-1"/>
              </w:rPr>
              <w:t>扩大全额退还</w:t>
            </w:r>
            <w:r>
              <w:rPr/>
              <w:t xml:space="preserve"> </w:t>
            </w:r>
            <w:r>
              <w:rPr>
                <w:spacing w:val="7"/>
              </w:rPr>
              <w:t>范围</w:t>
            </w:r>
          </w:p>
        </w:tc>
        <w:tc>
          <w:tcPr>
            <w:tcW w:w="474" w:type="dxa"/>
            <w:vAlign w:val="top"/>
            <w:vMerge w:val="restart"/>
            <w:tcBorders>
              <w:bottom w:val="nil"/>
            </w:tcBorders>
          </w:tcPr>
          <w:p>
            <w:pPr>
              <w:pStyle w:val="TableText"/>
              <w:ind w:left="80" w:right="77"/>
              <w:spacing w:before="117" w:line="233" w:lineRule="auto"/>
              <w:rPr/>
            </w:pPr>
            <w:r>
              <w:rPr>
                <w:spacing w:val="3"/>
              </w:rPr>
              <w:t>留抵</w:t>
            </w:r>
            <w:r>
              <w:rPr/>
              <w:t xml:space="preserve"> </w:t>
            </w:r>
            <w:r>
              <w:rPr>
                <w:spacing w:val="-2"/>
              </w:rPr>
              <w:t>退税</w:t>
            </w:r>
          </w:p>
        </w:tc>
      </w:tr>
      <w:tr>
        <w:trPr>
          <w:trHeight w:val="608" w:hRule="atLeast"/>
        </w:trPr>
        <w:tc>
          <w:tcPr>
            <w:tcW w:w="295" w:type="dxa"/>
            <w:vAlign w:val="top"/>
            <w:vMerge w:val="continue"/>
            <w:tcBorders>
              <w:top w:val="nil"/>
              <w:bottom w:val="nil"/>
            </w:tcBorders>
          </w:tcPr>
          <w:p>
            <w:pPr>
              <w:rPr>
                <w:rFonts w:ascii="Arial"/>
                <w:sz w:val="21"/>
              </w:rPr>
            </w:pPr>
            <w:r/>
          </w:p>
        </w:tc>
        <w:tc>
          <w:tcPr>
            <w:tcW w:w="2201" w:type="dxa"/>
            <w:vAlign w:val="top"/>
            <w:tcBorders>
              <w:bottom w:val="nil"/>
              <w:right w:val="nil"/>
              <w:top w:val="nil"/>
            </w:tcBorders>
          </w:tcPr>
          <w:p>
            <w:pPr>
              <w:pStyle w:val="TableText"/>
              <w:ind w:left="40" w:right="9"/>
              <w:spacing w:before="32" w:line="226" w:lineRule="auto"/>
              <w:rPr/>
            </w:pPr>
            <w:r>
              <w:rPr>
                <w:spacing w:val="-24"/>
              </w:rPr>
              <w:t>售业”、</w:t>
            </w:r>
            <w:r>
              <w:rPr>
                <w:spacing w:val="10"/>
              </w:rPr>
              <w:t xml:space="preserve">   </w:t>
            </w:r>
            <w:r>
              <w:rPr>
                <w:spacing w:val="-24"/>
              </w:rPr>
              <w:t>“农、林、牧、渔业”、</w:t>
            </w:r>
            <w:r>
              <w:rPr/>
              <w:t xml:space="preserve"> </w:t>
            </w:r>
            <w:r>
              <w:rPr>
                <w:spacing w:val="-7"/>
              </w:rPr>
              <w:t>民服务、修理和其他服务业”、</w:t>
            </w:r>
          </w:p>
          <w:p>
            <w:pPr>
              <w:pStyle w:val="TableText"/>
              <w:spacing w:before="52" w:line="180" w:lineRule="auto"/>
              <w:jc w:val="right"/>
              <w:rPr/>
            </w:pPr>
            <w:r>
              <w:rPr>
                <w:spacing w:val="-23"/>
              </w:rPr>
              <w:t>作”、</w:t>
            </w:r>
            <w:r>
              <w:rPr>
                <w:spacing w:val="5"/>
              </w:rPr>
              <w:t xml:space="preserve">   </w:t>
            </w:r>
            <w:r>
              <w:rPr>
                <w:spacing w:val="-23"/>
              </w:rPr>
              <w:t>“文化、体育和娱乐业”、</w:t>
            </w:r>
          </w:p>
        </w:tc>
        <w:tc>
          <w:tcPr>
            <w:tcW w:w="1764" w:type="dxa"/>
            <w:vAlign w:val="top"/>
            <w:tcBorders>
              <w:left w:val="nil"/>
              <w:bottom w:val="nil"/>
              <w:top w:val="nil"/>
            </w:tcBorders>
          </w:tcPr>
          <w:p>
            <w:pPr>
              <w:pStyle w:val="TableText"/>
              <w:ind w:left="5" w:firstLine="121"/>
              <w:spacing w:before="32" w:line="232" w:lineRule="auto"/>
              <w:jc w:val="both"/>
              <w:rPr/>
            </w:pPr>
            <w:r>
              <w:rPr>
                <w:spacing w:val="-24"/>
              </w:rPr>
              <w:t>“住宿</w:t>
            </w:r>
            <w:r>
              <w:rPr>
                <w:spacing w:val="-23"/>
              </w:rPr>
              <w:t>和餐饮业”、</w:t>
            </w:r>
            <w:r>
              <w:rPr>
                <w:spacing w:val="36"/>
              </w:rPr>
              <w:t xml:space="preserve">  </w:t>
            </w:r>
            <w:r>
              <w:rPr>
                <w:spacing w:val="-23"/>
              </w:rPr>
              <w:t>“</w:t>
            </w:r>
            <w:r>
              <w:rPr>
                <w:spacing w:val="-9"/>
              </w:rPr>
              <w:t>居</w:t>
            </w:r>
            <w:r>
              <w:rPr/>
              <w:t xml:space="preserve"> </w:t>
            </w:r>
            <w:r>
              <w:rPr>
                <w:spacing w:val="-4"/>
              </w:rPr>
              <w:t>“教育”、“卫生和社会工</w:t>
            </w:r>
            <w:r>
              <w:rPr/>
              <w:t xml:space="preserve"> </w:t>
            </w:r>
            <w:r>
              <w:rPr>
                <w:spacing w:val="-16"/>
              </w:rPr>
              <w:t>“制造业”、</w:t>
            </w:r>
            <w:r>
              <w:rPr>
                <w:spacing w:val="14"/>
              </w:rPr>
              <w:t xml:space="preserve">   </w:t>
            </w:r>
            <w:r>
              <w:rPr>
                <w:spacing w:val="-15"/>
              </w:rPr>
              <w:t>“科学研</w:t>
            </w:r>
            <w:r>
              <w:rPr>
                <w:spacing w:val="-9"/>
              </w:rPr>
              <w:t>究</w:t>
            </w:r>
          </w:p>
        </w:tc>
        <w:tc>
          <w:tcPr>
            <w:tcW w:w="2118" w:type="dxa"/>
            <w:vAlign w:val="top"/>
            <w:vMerge w:val="continue"/>
            <w:tcBorders>
              <w:top w:val="nil"/>
              <w:bottom w:val="nil"/>
            </w:tcBorders>
          </w:tcPr>
          <w:p>
            <w:pPr>
              <w:rPr>
                <w:rFonts w:ascii="Arial"/>
                <w:sz w:val="21"/>
              </w:rPr>
            </w:pPr>
            <w:r/>
          </w:p>
        </w:tc>
        <w:tc>
          <w:tcPr>
            <w:tcW w:w="919" w:type="dxa"/>
            <w:vAlign w:val="top"/>
            <w:vMerge w:val="continue"/>
            <w:tcBorders>
              <w:top w:val="nil"/>
              <w:bottom w:val="nil"/>
            </w:tcBorders>
          </w:tcPr>
          <w:p>
            <w:pPr>
              <w:rPr>
                <w:rFonts w:ascii="Arial"/>
                <w:sz w:val="21"/>
              </w:rPr>
            </w:pPr>
            <w:r/>
          </w:p>
        </w:tc>
        <w:tc>
          <w:tcPr>
            <w:tcW w:w="859" w:type="dxa"/>
            <w:vAlign w:val="top"/>
            <w:vMerge w:val="continue"/>
            <w:tcBorders>
              <w:top w:val="nil"/>
              <w:bottom w:val="nil"/>
            </w:tcBorders>
          </w:tcPr>
          <w:p>
            <w:pPr>
              <w:rPr>
                <w:rFonts w:ascii="Arial"/>
                <w:sz w:val="21"/>
              </w:rPr>
            </w:pPr>
            <w:r/>
          </w:p>
        </w:tc>
        <w:tc>
          <w:tcPr>
            <w:tcW w:w="1009" w:type="dxa"/>
            <w:vAlign w:val="top"/>
            <w:vMerge w:val="continue"/>
            <w:tcBorders>
              <w:top w:val="nil"/>
              <w:bottom w:val="nil"/>
            </w:tcBorders>
          </w:tcPr>
          <w:p>
            <w:pPr>
              <w:rPr>
                <w:rFonts w:ascii="Arial"/>
                <w:sz w:val="21"/>
              </w:rPr>
            </w:pPr>
            <w:r/>
          </w:p>
        </w:tc>
        <w:tc>
          <w:tcPr>
            <w:tcW w:w="474" w:type="dxa"/>
            <w:vAlign w:val="top"/>
            <w:vMerge w:val="continue"/>
            <w:tcBorders>
              <w:top w:val="nil"/>
              <w:bottom w:val="nil"/>
            </w:tcBorders>
          </w:tcPr>
          <w:p>
            <w:pPr>
              <w:rPr>
                <w:rFonts w:ascii="Arial"/>
                <w:sz w:val="21"/>
              </w:rPr>
            </w:pPr>
            <w:r/>
          </w:p>
        </w:tc>
      </w:tr>
      <w:tr>
        <w:trPr>
          <w:trHeight w:val="1752" w:hRule="atLeast"/>
        </w:trPr>
        <w:tc>
          <w:tcPr>
            <w:tcW w:w="295" w:type="dxa"/>
            <w:vAlign w:val="top"/>
            <w:vMerge w:val="continue"/>
            <w:tcBorders>
              <w:top w:val="nil"/>
            </w:tcBorders>
          </w:tcPr>
          <w:p>
            <w:pPr>
              <w:rPr>
                <w:rFonts w:ascii="Arial"/>
                <w:sz w:val="21"/>
              </w:rPr>
            </w:pPr>
            <w:r/>
          </w:p>
        </w:tc>
        <w:tc>
          <w:tcPr>
            <w:tcW w:w="3965" w:type="dxa"/>
            <w:vAlign w:val="top"/>
            <w:gridSpan w:val="2"/>
            <w:tcBorders>
              <w:top w:val="nil"/>
            </w:tcBorders>
          </w:tcPr>
          <w:p>
            <w:pPr>
              <w:pStyle w:val="TableText"/>
              <w:ind w:firstLine="92"/>
              <w:spacing w:before="22" w:line="246" w:lineRule="auto"/>
              <w:jc w:val="both"/>
              <w:rPr/>
            </w:pPr>
            <w:r>
              <w:rPr>
                <w:spacing w:val="-7"/>
              </w:rPr>
              <w:t>和技术服务业”、“电力、热力、燃气及水生产和供应业”、</w:t>
            </w:r>
            <w:r>
              <w:rPr/>
              <w:t xml:space="preserve"> </w:t>
            </w:r>
            <w:r>
              <w:rPr>
                <w:spacing w:val="-10"/>
              </w:rPr>
              <w:t>“软件和信息技术服务业”、    “生态保护</w:t>
            </w:r>
            <w:r>
              <w:rPr>
                <w:spacing w:val="-11"/>
              </w:rPr>
              <w:t>和环境治理业”和</w:t>
            </w:r>
            <w:r>
              <w:rPr/>
              <w:t xml:space="preserve">  </w:t>
            </w:r>
            <w:r>
              <w:rPr>
                <w:spacing w:val="-2"/>
              </w:rPr>
              <w:t>“交通运输、仓储和邮政业”业务相应发生的增值税销售额</w:t>
            </w:r>
            <w:r>
              <w:rPr>
                <w:spacing w:val="4"/>
              </w:rPr>
              <w:t xml:space="preserve">  </w:t>
            </w:r>
            <w:r>
              <w:rPr>
                <w:spacing w:val="-1"/>
              </w:rPr>
              <w:t>占全部增值税销售额的比重超过50%的纳税人。上述销售</w:t>
            </w:r>
          </w:p>
          <w:p>
            <w:pPr>
              <w:pStyle w:val="TableText"/>
              <w:ind w:left="20" w:right="110" w:firstLine="79"/>
              <w:spacing w:before="21" w:line="233" w:lineRule="auto"/>
              <w:rPr/>
            </w:pPr>
            <w:r>
              <w:rPr/>
              <w:t>额比重根据纳税人申请退税前连续12个月</w:t>
            </w:r>
            <w:r>
              <w:rPr>
                <w:spacing w:val="-1"/>
              </w:rPr>
              <w:t>的销售额计算确</w:t>
            </w:r>
            <w:r>
              <w:rPr/>
              <w:t xml:space="preserve"> </w:t>
            </w:r>
            <w:r>
              <w:rPr>
                <w:spacing w:val="-1"/>
              </w:rPr>
              <w:t>定；申请退税前经营期不满12个月但满3个月的，按照实</w:t>
            </w:r>
          </w:p>
          <w:p>
            <w:pPr>
              <w:pStyle w:val="TableText"/>
              <w:ind w:left="20"/>
              <w:spacing w:before="42" w:line="219" w:lineRule="auto"/>
              <w:rPr/>
            </w:pPr>
            <w:r>
              <w:rPr>
                <w:spacing w:val="-1"/>
              </w:rPr>
              <w:t>际经营期的销售额计算确定。</w:t>
            </w:r>
          </w:p>
          <w:p>
            <w:pPr>
              <w:pStyle w:val="TableText"/>
              <w:ind w:left="20"/>
              <w:spacing w:before="20" w:line="218" w:lineRule="auto"/>
              <w:rPr/>
            </w:pPr>
            <w:r>
              <w:rPr/>
              <w:t>三、按照2022年第14号公告第六条规定适</w:t>
            </w:r>
            <w:r>
              <w:rPr>
                <w:spacing w:val="-1"/>
              </w:rPr>
              <w:t>用《中小企业划</w:t>
            </w:r>
          </w:p>
        </w:tc>
        <w:tc>
          <w:tcPr>
            <w:tcW w:w="2118"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859" w:type="dxa"/>
            <w:vAlign w:val="top"/>
            <w:vMerge w:val="continue"/>
            <w:tcBorders>
              <w:top w:val="nil"/>
            </w:tcBorders>
          </w:tcPr>
          <w:p>
            <w:pPr>
              <w:rPr>
                <w:rFonts w:ascii="Arial"/>
                <w:sz w:val="21"/>
              </w:rPr>
            </w:pPr>
            <w:r/>
          </w:p>
        </w:tc>
        <w:tc>
          <w:tcPr>
            <w:tcW w:w="1009" w:type="dxa"/>
            <w:vAlign w:val="top"/>
            <w:vMerge w:val="continue"/>
            <w:tcBorders>
              <w:top w:val="nil"/>
            </w:tcBorders>
          </w:tcPr>
          <w:p>
            <w:pPr>
              <w:rPr>
                <w:rFonts w:ascii="Arial"/>
                <w:sz w:val="21"/>
              </w:rPr>
            </w:pPr>
            <w:r/>
          </w:p>
        </w:tc>
        <w:tc>
          <w:tcPr>
            <w:tcW w:w="474" w:type="dxa"/>
            <w:vAlign w:val="top"/>
            <w:vMerge w:val="continue"/>
            <w:tcBorders>
              <w:top w:val="nil"/>
            </w:tcBorders>
          </w:tcPr>
          <w:p>
            <w:pPr>
              <w:rPr>
                <w:rFonts w:ascii="Arial"/>
                <w:sz w:val="21"/>
              </w:rPr>
            </w:pPr>
            <w:r/>
          </w:p>
        </w:tc>
      </w:tr>
    </w:tbl>
    <w:p>
      <w:pPr>
        <w:pStyle w:val="BodyText"/>
        <w:rPr/>
      </w:pPr>
      <w:r/>
    </w:p>
    <w:p>
      <w:pPr>
        <w:sectPr>
          <w:pgSz w:w="11910" w:h="8220"/>
          <w:pgMar w:top="400" w:right="1135" w:bottom="400" w:left="799" w:header="0" w:footer="0" w:gutter="0"/>
        </w:sectPr>
        <w:rPr/>
      </w:pPr>
    </w:p>
    <w:p>
      <w:pPr>
        <w:spacing w:before="46"/>
        <w:rPr/>
      </w:pPr>
      <w:r>
        <w:drawing>
          <wp:anchor distT="0" distB="0" distL="0" distR="0" simplePos="0" relativeHeight="251711488" behindDoc="0" locked="0" layoutInCell="0" allowOverlap="1">
            <wp:simplePos x="0" y="0"/>
            <wp:positionH relativeFrom="page">
              <wp:posOffset>514349</wp:posOffset>
            </wp:positionH>
            <wp:positionV relativeFrom="page">
              <wp:posOffset>4425940</wp:posOffset>
            </wp:positionV>
            <wp:extent cx="107921" cy="120679"/>
            <wp:effectExtent l="0" t="0" r="0" b="0"/>
            <wp:wrapNone/>
            <wp:docPr id="32" name="IM 32"/>
            <wp:cNvGraphicFramePr/>
            <a:graphic>
              <a:graphicData uri="http://schemas.openxmlformats.org/drawingml/2006/picture">
                <pic:pic>
                  <pic:nvPicPr>
                    <pic:cNvPr id="32" name="IM 32"/>
                    <pic:cNvPicPr/>
                  </pic:nvPicPr>
                  <pic:blipFill>
                    <a:blip r:embed="rId18"/>
                    <a:stretch>
                      <a:fillRect/>
                    </a:stretch>
                  </pic:blipFill>
                  <pic:spPr>
                    <a:xfrm rot="0">
                      <a:off x="0" y="0"/>
                      <a:ext cx="107921" cy="120679"/>
                    </a:xfrm>
                    <a:prstGeom prst="rect">
                      <a:avLst/>
                    </a:prstGeom>
                  </pic:spPr>
                </pic:pic>
              </a:graphicData>
            </a:graphic>
          </wp:anchor>
        </w:drawing>
      </w:r>
      <w:r/>
    </w:p>
    <w:p>
      <w:pPr>
        <w:spacing w:before="46"/>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64"/>
      </w:tblGrid>
      <w:tr>
        <w:trPr>
          <w:trHeight w:val="514" w:hRule="atLeast"/>
        </w:trPr>
        <w:tc>
          <w:tcPr>
            <w:tcW w:w="284" w:type="dxa"/>
            <w:vAlign w:val="top"/>
            <w:textDirection w:val="tbRlV"/>
          </w:tcPr>
          <w:p>
            <w:pPr>
              <w:pStyle w:val="TableText"/>
              <w:ind w:left="57"/>
              <w:spacing w:before="69" w:line="217" w:lineRule="auto"/>
              <w:rPr/>
            </w:pPr>
            <w:bookmarkStart w:name="bookmark3" w:id="2"/>
            <w:bookmarkEnd w:id="2"/>
            <w:r>
              <w:rPr/>
              <w:t>序</w:t>
            </w:r>
            <w:r>
              <w:rPr>
                <w:spacing w:val="16"/>
              </w:rPr>
              <w:t xml:space="preserve"> </w:t>
            </w:r>
            <w:r>
              <w:rPr/>
              <w:t>号</w:t>
            </w:r>
          </w:p>
        </w:tc>
        <w:tc>
          <w:tcPr>
            <w:tcW w:w="398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829" w:type="dxa"/>
            <w:vAlign w:val="top"/>
          </w:tcPr>
          <w:p>
            <w:pPr>
              <w:pStyle w:val="TableText"/>
              <w:ind w:left="257" w:right="123" w:hanging="150"/>
              <w:spacing w:before="73"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757" w:hRule="atLeast"/>
        </w:trPr>
        <w:tc>
          <w:tcPr>
            <w:tcW w:w="28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94"/>
              <w:spacing w:before="49" w:line="183" w:lineRule="auto"/>
              <w:rPr/>
            </w:pPr>
            <w:r>
              <w:rPr/>
              <w:t>3</w:t>
            </w:r>
          </w:p>
        </w:tc>
        <w:tc>
          <w:tcPr>
            <w:tcW w:w="3986" w:type="dxa"/>
            <w:vAlign w:val="top"/>
          </w:tcPr>
          <w:p>
            <w:pPr>
              <w:pStyle w:val="TableText"/>
              <w:ind w:left="61"/>
              <w:spacing w:before="97" w:line="219" w:lineRule="auto"/>
              <w:rPr/>
            </w:pPr>
            <w:r>
              <w:rPr>
                <w:spacing w:val="-1"/>
              </w:rPr>
              <w:t>型标准规定》(工信部联企业〔2011〕300号)和《金融业</w:t>
            </w:r>
          </w:p>
          <w:p>
            <w:pPr>
              <w:pStyle w:val="TableText"/>
              <w:ind w:left="51"/>
              <w:spacing w:before="22" w:line="220" w:lineRule="auto"/>
              <w:rPr/>
            </w:pPr>
            <w:r>
              <w:rPr/>
              <w:t>企业划型标准规定》(银发〔2015〕30</w:t>
            </w:r>
            <w:r>
              <w:rPr>
                <w:spacing w:val="-1"/>
              </w:rPr>
              <w:t>9号)时，纳税人的</w:t>
            </w:r>
          </w:p>
          <w:p>
            <w:pPr>
              <w:pStyle w:val="TableText"/>
              <w:ind w:left="31" w:right="38"/>
              <w:spacing w:before="29" w:line="243" w:lineRule="auto"/>
              <w:rPr/>
            </w:pPr>
            <w:r>
              <w:rPr>
                <w:spacing w:val="-1"/>
              </w:rPr>
              <w:t>行业归属，根据《国民经济行业分类》关于以主要经济活动</w:t>
            </w:r>
            <w:r>
              <w:rPr>
                <w:spacing w:val="16"/>
              </w:rPr>
              <w:t xml:space="preserve"> </w:t>
            </w:r>
            <w:r>
              <w:rPr/>
              <w:t>确定行业归属的原则，以上一会计年度从事</w:t>
            </w:r>
            <w:r>
              <w:rPr>
                <w:spacing w:val="-1"/>
              </w:rPr>
              <w:t>《国民经济行业</w:t>
            </w:r>
            <w:r>
              <w:rPr/>
              <w:t xml:space="preserve"> </w:t>
            </w:r>
            <w:r>
              <w:rPr>
                <w:spacing w:val="-1"/>
              </w:rPr>
              <w:t>分类》对应业务增值税销售额占全部增值税销售额比重最高</w:t>
            </w:r>
            <w:r>
              <w:rPr>
                <w:spacing w:val="17"/>
              </w:rPr>
              <w:t xml:space="preserve"> </w:t>
            </w:r>
            <w:r>
              <w:rPr/>
              <w:t>的行业确定。四、制造业、批发零售业等行业企业申请留抵</w:t>
            </w:r>
          </w:p>
          <w:p>
            <w:pPr>
              <w:pStyle w:val="TableText"/>
              <w:ind w:left="21" w:right="121" w:firstLine="89"/>
              <w:spacing w:before="21" w:line="227" w:lineRule="auto"/>
              <w:rPr/>
            </w:pPr>
            <w:r>
              <w:rPr/>
              <w:t>退税的其他规定，继续按照2022年第14</w:t>
            </w:r>
            <w:r>
              <w:rPr>
                <w:spacing w:val="-1"/>
              </w:rPr>
              <w:t>号公告等有关规定</w:t>
            </w:r>
            <w:r>
              <w:rPr/>
              <w:t xml:space="preserve"> </w:t>
            </w:r>
            <w:r>
              <w:rPr>
                <w:spacing w:val="-2"/>
              </w:rPr>
              <w:t>执行。</w:t>
            </w:r>
          </w:p>
        </w:tc>
        <w:tc>
          <w:tcPr>
            <w:tcW w:w="2128" w:type="dxa"/>
            <w:vAlign w:val="top"/>
          </w:tcPr>
          <w:p>
            <w:pPr>
              <w:rPr>
                <w:rFonts w:ascii="Arial"/>
                <w:sz w:val="21"/>
              </w:rPr>
            </w:pPr>
            <w:r/>
          </w:p>
        </w:tc>
        <w:tc>
          <w:tcPr>
            <w:tcW w:w="919" w:type="dxa"/>
            <w:vAlign w:val="top"/>
          </w:tcPr>
          <w:p>
            <w:pPr>
              <w:rPr>
                <w:rFonts w:ascii="Arial"/>
                <w:sz w:val="21"/>
              </w:rPr>
            </w:pPr>
            <w:r/>
          </w:p>
        </w:tc>
        <w:tc>
          <w:tcPr>
            <w:tcW w:w="82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2985" w:hRule="atLeast"/>
        </w:trPr>
        <w:tc>
          <w:tcPr>
            <w:tcW w:w="284"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94"/>
              <w:spacing w:before="49" w:line="183" w:lineRule="auto"/>
              <w:rPr/>
            </w:pPr>
            <w:r>
              <w:rPr/>
              <w:t>4</w:t>
            </w:r>
          </w:p>
        </w:tc>
        <w:tc>
          <w:tcPr>
            <w:tcW w:w="3986" w:type="dxa"/>
            <w:vAlign w:val="top"/>
          </w:tcPr>
          <w:p>
            <w:pPr>
              <w:pStyle w:val="TableText"/>
              <w:ind w:left="31" w:right="53" w:firstLine="79"/>
              <w:spacing w:before="78" w:line="242" w:lineRule="auto"/>
              <w:jc w:val="both"/>
              <w:rPr/>
            </w:pPr>
            <w:r>
              <w:rPr/>
              <w:t>一、科技型中小企业开展研发活动中实际发生的研发</w:t>
            </w:r>
            <w:r>
              <w:rPr>
                <w:spacing w:val="-1"/>
              </w:rPr>
              <w:t>费用</w:t>
            </w:r>
            <w:r>
              <w:rPr/>
              <w:t xml:space="preserve">  </w:t>
            </w:r>
            <w:r>
              <w:rPr>
                <w:spacing w:val="-1"/>
              </w:rPr>
              <w:t>未形成无形资产计入当期损益的，在按规定据实扣除的基础</w:t>
            </w:r>
            <w:r>
              <w:rPr>
                <w:spacing w:val="16"/>
              </w:rPr>
              <w:t xml:space="preserve"> </w:t>
            </w:r>
            <w:r>
              <w:rPr>
                <w:spacing w:val="1"/>
              </w:rPr>
              <w:t>上，自2022年1月1日起，再按照实际发生额的100%在</w:t>
            </w:r>
          </w:p>
          <w:p>
            <w:pPr>
              <w:pStyle w:val="TableText"/>
              <w:ind w:left="41" w:right="319" w:firstLine="20"/>
              <w:spacing w:before="22" w:line="244" w:lineRule="auto"/>
              <w:rPr/>
            </w:pPr>
            <w:r>
              <w:rPr/>
              <w:t>税前加计扣除；形成无形资产的，自2022年</w:t>
            </w:r>
            <w:r>
              <w:rPr>
                <w:spacing w:val="-1"/>
              </w:rPr>
              <w:t>1月1日起，</w:t>
            </w:r>
            <w:r>
              <w:rPr/>
              <w:t xml:space="preserve"> </w:t>
            </w:r>
            <w:r>
              <w:rPr>
                <w:spacing w:val="-1"/>
              </w:rPr>
              <w:t>按照无形资产成本的200%在税前摊销。</w:t>
            </w:r>
          </w:p>
          <w:p>
            <w:pPr>
              <w:pStyle w:val="TableText"/>
              <w:ind w:left="71" w:right="10" w:hanging="40"/>
              <w:spacing w:before="42" w:line="237" w:lineRule="auto"/>
              <w:rPr/>
            </w:pPr>
            <w:r>
              <w:rPr>
                <w:spacing w:val="-1"/>
              </w:rPr>
              <w:t>二、科技型中小企业条件和管理办法按照《科技部财政部   </w:t>
            </w:r>
            <w:r>
              <w:rPr/>
              <w:t>国家税务总局关于印发&lt;科技型中小企业评价</w:t>
            </w:r>
            <w:r>
              <w:rPr>
                <w:spacing w:val="-1"/>
              </w:rPr>
              <w:t>办法&gt;的通知》</w:t>
            </w:r>
            <w:r>
              <w:rPr/>
              <w:t xml:space="preserve"> </w:t>
            </w:r>
            <w:r>
              <w:rPr>
                <w:spacing w:val="1"/>
              </w:rPr>
              <w:t>(国科发政〔2017〕115号)执行。</w:t>
            </w:r>
          </w:p>
          <w:p>
            <w:pPr>
              <w:pStyle w:val="TableText"/>
              <w:ind w:left="31"/>
              <w:spacing w:before="12" w:line="219" w:lineRule="auto"/>
              <w:rPr/>
            </w:pPr>
            <w:r>
              <w:rPr/>
              <w:t>三、科技型中小企业享受研发费用税前加计</w:t>
            </w:r>
            <w:r>
              <w:rPr>
                <w:spacing w:val="-1"/>
              </w:rPr>
              <w:t>扣除政策的其他</w:t>
            </w:r>
          </w:p>
          <w:p>
            <w:pPr>
              <w:pStyle w:val="TableText"/>
              <w:ind w:left="41" w:right="84" w:hanging="10"/>
              <w:spacing w:before="32" w:line="245" w:lineRule="auto"/>
              <w:rPr/>
            </w:pPr>
            <w:r>
              <w:rPr>
                <w:spacing w:val="-1"/>
              </w:rPr>
              <w:t>政策口径和管理要求，按照《财政部国家税务总局科技部  </w:t>
            </w:r>
            <w:r>
              <w:rPr>
                <w:spacing w:val="1"/>
              </w:rPr>
              <w:t>关于完善研究开发费用税前加计扣除政策的通知》(财</w:t>
            </w:r>
            <w:r>
              <w:rPr/>
              <w:t>税「 </w:t>
            </w:r>
            <w:r>
              <w:rPr/>
              <w:t>2015〕119号)、《财政部税务总局</w:t>
            </w:r>
            <w:r>
              <w:rPr>
                <w:spacing w:val="-1"/>
              </w:rPr>
              <w:t>科技部关于企业委托</w:t>
            </w:r>
          </w:p>
          <w:p>
            <w:pPr>
              <w:pStyle w:val="TableText"/>
              <w:ind w:left="41" w:right="86" w:firstLine="30"/>
              <w:spacing w:before="12" w:line="239" w:lineRule="auto"/>
              <w:rPr/>
            </w:pPr>
            <w:r>
              <w:rPr>
                <w:spacing w:val="-1"/>
              </w:rPr>
              <w:t>境外研究开发费用税前加计扣除有关政策问题的通知》(财</w:t>
            </w:r>
            <w:r>
              <w:rPr>
                <w:spacing w:val="18"/>
              </w:rPr>
              <w:t xml:space="preserve"> </w:t>
            </w:r>
            <w:r>
              <w:rPr>
                <w:spacing w:val="-1"/>
              </w:rPr>
              <w:t>税〔2018〕64号)等文件相关规定执行</w:t>
            </w:r>
          </w:p>
        </w:tc>
        <w:tc>
          <w:tcPr>
            <w:tcW w:w="2128" w:type="dxa"/>
            <w:vAlign w:val="top"/>
          </w:tcPr>
          <w:p>
            <w:pPr>
              <w:pStyle w:val="TableText"/>
              <w:ind w:left="84" w:right="19" w:hanging="80"/>
              <w:spacing w:before="90" w:line="237" w:lineRule="auto"/>
              <w:rPr/>
            </w:pPr>
            <w:r>
              <w:rPr>
                <w:spacing w:val="-1"/>
              </w:rPr>
              <w:t>财政部、税务总局、科技部《关</w:t>
            </w:r>
            <w:r>
              <w:rPr>
                <w:spacing w:val="6"/>
              </w:rPr>
              <w:t xml:space="preserve"> </w:t>
            </w:r>
            <w:r>
              <w:rPr>
                <w:spacing w:val="-1"/>
              </w:rPr>
              <w:t>于进一步提高科技型中小企业</w:t>
            </w:r>
            <w:r>
              <w:rPr>
                <w:spacing w:val="1"/>
              </w:rPr>
              <w:t xml:space="preserve">  </w:t>
            </w:r>
            <w:r>
              <w:rPr>
                <w:spacing w:val="-1"/>
              </w:rPr>
              <w:t>研发费用税前加计扣除比例的</w:t>
            </w:r>
          </w:p>
          <w:p>
            <w:pPr>
              <w:pStyle w:val="TableText"/>
              <w:ind w:left="34"/>
              <w:spacing w:before="20" w:line="218" w:lineRule="auto"/>
              <w:rPr/>
            </w:pPr>
            <w:r>
              <w:rPr/>
              <w:t>公告》2022年第16号公告</w:t>
            </w:r>
          </w:p>
        </w:tc>
        <w:tc>
          <w:tcPr>
            <w:tcW w:w="919" w:type="dxa"/>
            <w:vAlign w:val="top"/>
          </w:tcPr>
          <w:p>
            <w:pPr>
              <w:pStyle w:val="TableText"/>
              <w:ind w:left="26" w:right="1" w:firstLine="10"/>
              <w:spacing w:before="90" w:line="233" w:lineRule="auto"/>
              <w:rPr/>
            </w:pPr>
            <w:r>
              <w:rPr>
                <w:spacing w:val="17"/>
                <w:w w:val="111"/>
              </w:rPr>
              <w:t>2022年1月</w:t>
            </w:r>
            <w:r>
              <w:rPr>
                <w:spacing w:val="1"/>
              </w:rPr>
              <w:t xml:space="preserve"> </w:t>
            </w:r>
            <w:r>
              <w:rPr>
                <w:spacing w:val="-4"/>
              </w:rPr>
              <w:t>1日起</w:t>
            </w:r>
          </w:p>
        </w:tc>
        <w:tc>
          <w:tcPr>
            <w:tcW w:w="829" w:type="dxa"/>
            <w:vAlign w:val="top"/>
          </w:tcPr>
          <w:p>
            <w:pPr>
              <w:pStyle w:val="TableText"/>
              <w:ind w:left="257" w:right="36" w:hanging="219"/>
              <w:spacing w:before="89" w:line="243" w:lineRule="auto"/>
              <w:rPr/>
            </w:pPr>
            <w:r>
              <w:rPr>
                <w:spacing w:val="-2"/>
              </w:rPr>
              <w:t>科技型中小</w:t>
            </w:r>
            <w:r>
              <w:rPr>
                <w:spacing w:val="3"/>
              </w:rPr>
              <w:t xml:space="preserve"> </w:t>
            </w:r>
            <w:r>
              <w:rPr>
                <w:spacing w:val="-3"/>
              </w:rPr>
              <w:t>企业</w:t>
            </w:r>
          </w:p>
        </w:tc>
        <w:tc>
          <w:tcPr>
            <w:tcW w:w="1029" w:type="dxa"/>
            <w:vAlign w:val="top"/>
          </w:tcPr>
          <w:p>
            <w:pPr>
              <w:pStyle w:val="TableText"/>
              <w:ind w:left="208"/>
              <w:spacing w:before="90" w:line="219" w:lineRule="auto"/>
              <w:rPr/>
            </w:pPr>
            <w:r>
              <w:rPr>
                <w:spacing w:val="-2"/>
              </w:rPr>
              <w:t>加计扣除</w:t>
            </w:r>
          </w:p>
        </w:tc>
        <w:tc>
          <w:tcPr>
            <w:tcW w:w="464" w:type="dxa"/>
            <w:vAlign w:val="top"/>
          </w:tcPr>
          <w:p>
            <w:pPr>
              <w:pStyle w:val="TableText"/>
              <w:ind w:left="80"/>
              <w:spacing w:before="90" w:line="219" w:lineRule="auto"/>
              <w:rPr/>
            </w:pPr>
            <w:r>
              <w:rPr>
                <w:spacing w:val="-2"/>
              </w:rPr>
              <w:t>减征</w:t>
            </w:r>
          </w:p>
        </w:tc>
      </w:tr>
      <w:tr>
        <w:trPr>
          <w:trHeight w:val="944" w:hRule="atLeast"/>
        </w:trPr>
        <w:tc>
          <w:tcPr>
            <w:tcW w:w="284" w:type="dxa"/>
            <w:vAlign w:val="top"/>
          </w:tcPr>
          <w:p>
            <w:pPr>
              <w:spacing w:line="393" w:lineRule="auto"/>
              <w:rPr>
                <w:rFonts w:ascii="Arial"/>
                <w:sz w:val="21"/>
              </w:rPr>
            </w:pPr>
            <w:r/>
          </w:p>
          <w:p>
            <w:pPr>
              <w:pStyle w:val="TableText"/>
              <w:ind w:left="94"/>
              <w:spacing w:before="49" w:line="182" w:lineRule="auto"/>
              <w:rPr/>
            </w:pPr>
            <w:r>
              <w:rPr/>
              <w:t>5</w:t>
            </w:r>
          </w:p>
        </w:tc>
        <w:tc>
          <w:tcPr>
            <w:tcW w:w="3986" w:type="dxa"/>
            <w:vAlign w:val="top"/>
          </w:tcPr>
          <w:p>
            <w:pPr>
              <w:pStyle w:val="TableText"/>
              <w:ind w:left="31" w:right="33" w:firstLine="79"/>
              <w:spacing w:before="94" w:line="233" w:lineRule="auto"/>
              <w:rPr/>
            </w:pPr>
            <w:r>
              <w:rPr>
                <w:spacing w:val="-1"/>
              </w:rPr>
              <w:t>一、由省、自治区、直辖市人民政府根据本地区实际情况</w:t>
            </w:r>
            <w:r>
              <w:rPr>
                <w:spacing w:val="4"/>
              </w:rPr>
              <w:t xml:space="preserve">  </w:t>
            </w:r>
            <w:r>
              <w:rPr/>
              <w:t>以及宏观调控需要确定，对增值税小规模纳税人、小型微利</w:t>
            </w:r>
          </w:p>
          <w:p>
            <w:pPr>
              <w:pStyle w:val="TableText"/>
              <w:ind w:left="71" w:right="80" w:firstLine="69"/>
              <w:spacing w:before="30"/>
              <w:rPr/>
            </w:pPr>
            <w:r>
              <w:rPr>
                <w:spacing w:val="3"/>
              </w:rPr>
              <w:t>企业和个体工商户可以在50%的税额幅度内减征资源税、</w:t>
            </w:r>
            <w:r>
              <w:rPr>
                <w:spacing w:val="1"/>
              </w:rPr>
              <w:t xml:space="preserve"> </w:t>
            </w:r>
            <w:r>
              <w:rPr/>
              <w:t>城市维护建设税、房产税、城镇土地使用税</w:t>
            </w:r>
            <w:r>
              <w:rPr>
                <w:spacing w:val="-1"/>
              </w:rPr>
              <w:t>、印花税(不含</w:t>
            </w:r>
          </w:p>
        </w:tc>
        <w:tc>
          <w:tcPr>
            <w:tcW w:w="2128" w:type="dxa"/>
            <w:vAlign w:val="top"/>
          </w:tcPr>
          <w:p>
            <w:pPr>
              <w:pStyle w:val="TableText"/>
              <w:ind w:left="24" w:firstLine="58"/>
              <w:spacing w:before="113" w:line="233" w:lineRule="auto"/>
              <w:rPr/>
            </w:pPr>
            <w:r>
              <w:rPr>
                <w:spacing w:val="-5"/>
              </w:rPr>
              <w:t>财政部、税务总局《关于进一</w:t>
            </w:r>
            <w:r>
              <w:rPr/>
              <w:t xml:space="preserve">   </w:t>
            </w:r>
            <w:r>
              <w:rPr>
                <w:spacing w:val="11"/>
              </w:rPr>
              <w:t>步实施小微企业“六税两费”</w:t>
            </w:r>
            <w:r>
              <w:rPr/>
              <w:t xml:space="preserve"> </w:t>
            </w:r>
            <w:r>
              <w:rPr>
                <w:spacing w:val="-1"/>
              </w:rPr>
              <w:t>减免政策的公告》2022年第10</w:t>
            </w:r>
            <w:r>
              <w:rPr>
                <w:spacing w:val="3"/>
              </w:rPr>
              <w:t xml:space="preserve">   </w:t>
            </w:r>
            <w:r>
              <w:rPr>
                <w:spacing w:val="-6"/>
              </w:rPr>
              <w:t>号公告</w:t>
            </w:r>
          </w:p>
        </w:tc>
        <w:tc>
          <w:tcPr>
            <w:tcW w:w="919" w:type="dxa"/>
            <w:vAlign w:val="top"/>
          </w:tcPr>
          <w:p>
            <w:pPr>
              <w:pStyle w:val="TableText"/>
              <w:ind w:left="16" w:right="1" w:firstLine="20"/>
              <w:spacing w:before="114" w:line="236" w:lineRule="auto"/>
              <w:rPr/>
            </w:pPr>
            <w:r>
              <w:rPr>
                <w:spacing w:val="17"/>
                <w:w w:val="111"/>
              </w:rPr>
              <w:t>2022年1月</w:t>
            </w:r>
            <w:r>
              <w:rPr>
                <w:spacing w:val="1"/>
              </w:rPr>
              <w:t xml:space="preserve"> </w:t>
            </w:r>
            <w:r>
              <w:rPr>
                <w:spacing w:val="7"/>
              </w:rPr>
              <w:t>1日</w:t>
            </w:r>
            <w:r>
              <w:rPr>
                <w:spacing w:val="15"/>
              </w:rPr>
              <w:t xml:space="preserve"> </w:t>
            </w:r>
            <w:r>
              <w:rPr>
                <w:spacing w:val="7"/>
              </w:rPr>
              <w:t>至2024</w:t>
            </w:r>
            <w:r>
              <w:rPr/>
              <w:t xml:space="preserve">  </w:t>
            </w:r>
            <w:r>
              <w:rPr>
                <w:spacing w:val="-8"/>
              </w:rPr>
              <w:t>年 1</w:t>
            </w:r>
            <w:r>
              <w:rPr>
                <w:spacing w:val="-10"/>
              </w:rPr>
              <w:t xml:space="preserve"> </w:t>
            </w:r>
            <w:r>
              <w:rPr>
                <w:spacing w:val="-8"/>
              </w:rPr>
              <w:t>2</w:t>
            </w:r>
            <w:r>
              <w:rPr>
                <w:spacing w:val="-13"/>
              </w:rPr>
              <w:t xml:space="preserve"> </w:t>
            </w:r>
            <w:r>
              <w:rPr>
                <w:spacing w:val="-8"/>
              </w:rPr>
              <w:t>月</w:t>
            </w:r>
            <w:r>
              <w:rPr>
                <w:spacing w:val="-14"/>
              </w:rPr>
              <w:t xml:space="preserve"> </w:t>
            </w:r>
            <w:r>
              <w:rPr>
                <w:spacing w:val="-8"/>
              </w:rPr>
              <w:t>3 1</w:t>
            </w:r>
            <w:r>
              <w:rPr/>
              <w:t xml:space="preserve"> </w:t>
            </w:r>
            <w:r>
              <w:rPr/>
              <w:t>日</w:t>
            </w:r>
          </w:p>
        </w:tc>
        <w:tc>
          <w:tcPr>
            <w:tcW w:w="829" w:type="dxa"/>
            <w:vAlign w:val="top"/>
          </w:tcPr>
          <w:p>
            <w:pPr>
              <w:pStyle w:val="TableText"/>
              <w:ind w:left="107"/>
              <w:spacing w:before="85" w:line="219" w:lineRule="auto"/>
              <w:rPr/>
            </w:pPr>
            <w:r>
              <w:rPr>
                <w:spacing w:val="-2"/>
              </w:rPr>
              <w:t>小微企业</w:t>
            </w:r>
          </w:p>
        </w:tc>
        <w:tc>
          <w:tcPr>
            <w:tcW w:w="1029" w:type="dxa"/>
            <w:vAlign w:val="top"/>
          </w:tcPr>
          <w:p>
            <w:pPr>
              <w:pStyle w:val="TableText"/>
              <w:ind w:left="358"/>
              <w:spacing w:before="85" w:line="220" w:lineRule="auto"/>
              <w:rPr/>
            </w:pPr>
            <w:r>
              <w:rPr>
                <w:spacing w:val="-2"/>
              </w:rPr>
              <w:t>减免</w:t>
            </w:r>
          </w:p>
        </w:tc>
        <w:tc>
          <w:tcPr>
            <w:tcW w:w="464" w:type="dxa"/>
            <w:vAlign w:val="top"/>
          </w:tcPr>
          <w:p>
            <w:pPr>
              <w:pStyle w:val="TableText"/>
              <w:ind w:left="80"/>
              <w:spacing w:before="85" w:line="219" w:lineRule="auto"/>
              <w:rPr/>
            </w:pPr>
            <w:r>
              <w:rPr>
                <w:spacing w:val="-2"/>
              </w:rPr>
              <w:t>减征</w:t>
            </w:r>
          </w:p>
        </w:tc>
      </w:tr>
    </w:tbl>
    <w:p>
      <w:pPr>
        <w:pStyle w:val="BodyText"/>
        <w:rPr/>
      </w:pPr>
      <w:r/>
    </w:p>
    <w:p>
      <w:pPr>
        <w:sectPr>
          <w:pgSz w:w="11910" w:h="8220"/>
          <w:pgMar w:top="400" w:right="1145" w:bottom="400" w:left="809" w:header="0" w:footer="0" w:gutter="0"/>
        </w:sectPr>
        <w:rPr/>
      </w:pPr>
    </w:p>
    <w:p>
      <w:pPr>
        <w:spacing w:before="31"/>
        <w:rPr/>
      </w:pPr>
      <w:r>
        <w:pict>
          <v:shape id="_x0000_s70" style="position:absolute;margin-left:38.9997pt;margin-top:49.678pt;mso-position-vertical-relative:page;mso-position-horizontal-relative:page;width:10.2pt;height:15.7pt;z-index:251712512;"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2"/>
                      <w:szCs w:val="22"/>
                    </w:rPr>
                  </w:pPr>
                  <w:r>
                    <w:rPr>
                      <w:rFonts w:ascii="STCaiyun" w:hAnsi="STCaiyun" w:eastAsia="STCaiyun" w:cs="STCaiyun"/>
                      <w:sz w:val="22"/>
                      <w:szCs w:val="22"/>
                      <w:spacing w:val="-5"/>
                      <w:w w:val="76"/>
                    </w:rPr>
                    <w:t>台</w:t>
                  </w:r>
                </w:p>
              </w:txbxContent>
            </v:textbox>
          </v:shape>
        </w:pict>
      </w:r>
      <w:r/>
    </w:p>
    <w:p>
      <w:pPr>
        <w:spacing w:before="3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8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899" w:type="dxa"/>
            <w:vAlign w:val="top"/>
          </w:tcPr>
          <w:p>
            <w:pPr>
              <w:pStyle w:val="TableText"/>
              <w:ind w:left="147"/>
              <w:spacing w:before="181" w:line="219" w:lineRule="auto"/>
              <w:rPr/>
            </w:pPr>
            <w:r>
              <w:rPr>
                <w:spacing w:val="3"/>
              </w:rPr>
              <w:t>执行时间</w:t>
            </w:r>
          </w:p>
        </w:tc>
        <w:tc>
          <w:tcPr>
            <w:tcW w:w="849" w:type="dxa"/>
            <w:vAlign w:val="top"/>
          </w:tcPr>
          <w:p>
            <w:pPr>
              <w:pStyle w:val="TableText"/>
              <w:ind w:left="267" w:right="133" w:hanging="150"/>
              <w:spacing w:before="73" w:line="250"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1867" w:hRule="atLeast"/>
        </w:trPr>
        <w:tc>
          <w:tcPr>
            <w:tcW w:w="284" w:type="dxa"/>
            <w:vAlign w:val="top"/>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94"/>
              <w:spacing w:before="49" w:line="182" w:lineRule="auto"/>
              <w:rPr/>
            </w:pPr>
            <w:r>
              <w:rPr/>
              <w:t>5</w:t>
            </w:r>
          </w:p>
        </w:tc>
        <w:tc>
          <w:tcPr>
            <w:tcW w:w="3986" w:type="dxa"/>
            <w:vAlign w:val="top"/>
          </w:tcPr>
          <w:p>
            <w:pPr>
              <w:pStyle w:val="TableText"/>
              <w:ind w:left="31" w:firstLine="19"/>
              <w:spacing w:before="67" w:line="245" w:lineRule="auto"/>
              <w:jc w:val="both"/>
              <w:rPr/>
            </w:pPr>
            <w:r>
              <w:rPr>
                <w:spacing w:val="-7"/>
              </w:rPr>
              <w:t>证券交易印花税)、耕地占用税和教育费附加、地方</w:t>
            </w:r>
            <w:r>
              <w:rPr>
                <w:spacing w:val="-8"/>
              </w:rPr>
              <w:t>教育附加。</w:t>
            </w:r>
            <w:r>
              <w:rPr/>
              <w:t xml:space="preserve"> </w:t>
            </w:r>
            <w:r>
              <w:rPr>
                <w:spacing w:val="-3"/>
              </w:rPr>
              <w:t>二、增值税小规模纳税人、小型微利企业和个体工商户已</w:t>
            </w:r>
            <w:r>
              <w:rPr>
                <w:spacing w:val="-4"/>
              </w:rPr>
              <w:t>依  </w:t>
            </w:r>
            <w:r>
              <w:rPr>
                <w:spacing w:val="-3"/>
              </w:rPr>
              <w:t>法享受资源税、城市维护建设税、房产税、城镇土地使用</w:t>
            </w:r>
            <w:r>
              <w:rPr>
                <w:spacing w:val="-4"/>
              </w:rPr>
              <w:t>税  </w:t>
            </w:r>
            <w:r>
              <w:rPr>
                <w:spacing w:val="-2"/>
              </w:rPr>
              <w:t>印花税、耕地占用税、教育费附加、地方教育附加其</w:t>
            </w:r>
            <w:r>
              <w:rPr>
                <w:spacing w:val="-3"/>
              </w:rPr>
              <w:t>他优惠</w:t>
            </w:r>
            <w:r>
              <w:rPr/>
              <w:t xml:space="preserve">  </w:t>
            </w:r>
            <w:r>
              <w:rPr>
                <w:spacing w:val="-3"/>
              </w:rPr>
              <w:t>政策的，可叠加享受本公告第一条规定的优惠政策。</w:t>
            </w:r>
          </w:p>
          <w:p>
            <w:pPr>
              <w:pStyle w:val="TableText"/>
              <w:ind w:left="51" w:right="50" w:hanging="20"/>
              <w:spacing w:before="32" w:line="238" w:lineRule="auto"/>
              <w:rPr/>
            </w:pPr>
            <w:r>
              <w:rPr/>
              <w:t>三、本公告所称小型微利企业，是指从事国</w:t>
            </w:r>
            <w:r>
              <w:rPr>
                <w:spacing w:val="-1"/>
              </w:rPr>
              <w:t>家非限制和禁止</w:t>
            </w:r>
            <w:r>
              <w:rPr/>
              <w:t xml:space="preserve"> </w:t>
            </w:r>
            <w:r>
              <w:rPr/>
              <w:t>行业，且同时符合年度应纳税所得额不超过300万元、从业</w:t>
            </w:r>
            <w:r>
              <w:rPr>
                <w:spacing w:val="10"/>
              </w:rPr>
              <w:t xml:space="preserve"> </w:t>
            </w:r>
            <w:r>
              <w:rPr/>
              <w:t>人数不超过300人、资产总额不超过500</w:t>
            </w:r>
            <w:r>
              <w:rPr>
                <w:spacing w:val="-1"/>
              </w:rPr>
              <w:t>0万元等三个条件</w:t>
            </w:r>
          </w:p>
          <w:p>
            <w:pPr>
              <w:pStyle w:val="TableText"/>
              <w:ind w:left="11"/>
              <w:spacing w:before="14" w:line="206" w:lineRule="auto"/>
              <w:rPr/>
            </w:pPr>
            <w:r>
              <w:rPr>
                <w:spacing w:val="-1"/>
              </w:rPr>
              <w:t>的企业。</w:t>
            </w:r>
          </w:p>
        </w:tc>
        <w:tc>
          <w:tcPr>
            <w:tcW w:w="2128" w:type="dxa"/>
            <w:vAlign w:val="top"/>
          </w:tcPr>
          <w:p>
            <w:pPr>
              <w:rPr>
                <w:rFonts w:ascii="Arial"/>
                <w:sz w:val="21"/>
              </w:rPr>
            </w:pPr>
            <w:r/>
          </w:p>
        </w:tc>
        <w:tc>
          <w:tcPr>
            <w:tcW w:w="899" w:type="dxa"/>
            <w:vAlign w:val="top"/>
          </w:tcPr>
          <w:p>
            <w:pPr>
              <w:rPr>
                <w:rFonts w:ascii="Arial"/>
                <w:sz w:val="21"/>
              </w:rPr>
            </w:pPr>
            <w:r/>
          </w:p>
        </w:tc>
        <w:tc>
          <w:tcPr>
            <w:tcW w:w="84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3929" w:hRule="atLeast"/>
        </w:trPr>
        <w:tc>
          <w:tcPr>
            <w:tcW w:w="284"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94"/>
              <w:spacing w:before="49" w:line="183" w:lineRule="auto"/>
              <w:rPr/>
            </w:pPr>
            <w:r>
              <w:rPr/>
              <w:t>6</w:t>
            </w:r>
          </w:p>
        </w:tc>
        <w:tc>
          <w:tcPr>
            <w:tcW w:w="3986" w:type="dxa"/>
            <w:vAlign w:val="top"/>
          </w:tcPr>
          <w:p>
            <w:pPr>
              <w:pStyle w:val="TableText"/>
              <w:ind w:left="51" w:right="129" w:firstLine="59"/>
              <w:spacing w:before="80" w:line="232" w:lineRule="auto"/>
              <w:rPr/>
            </w:pPr>
            <w:r>
              <w:rPr>
                <w:spacing w:val="-1"/>
              </w:rPr>
              <w:t>一、《财政部税务总局科技部教育部关于科技企业孵化器</w:t>
            </w:r>
            <w:r>
              <w:rPr>
                <w:spacing w:val="9"/>
              </w:rPr>
              <w:t xml:space="preserve"> </w:t>
            </w:r>
            <w:r>
              <w:rPr>
                <w:spacing w:val="2"/>
              </w:rPr>
              <w:t>大学科技园和众创空间税收政策的通知》(财税〔2018〕</w:t>
            </w:r>
          </w:p>
          <w:p>
            <w:pPr>
              <w:pStyle w:val="TableText"/>
              <w:ind w:left="61"/>
              <w:spacing w:before="13" w:line="219" w:lineRule="auto"/>
              <w:rPr/>
            </w:pPr>
            <w:r>
              <w:rPr/>
              <w:t>120号)、《财政部税务总局关于继续对城市公交站场道</w:t>
            </w:r>
          </w:p>
          <w:p>
            <w:pPr>
              <w:pStyle w:val="TableText"/>
              <w:ind w:left="61" w:right="122" w:firstLine="49"/>
              <w:spacing w:before="51" w:line="227" w:lineRule="auto"/>
              <w:rPr/>
            </w:pPr>
            <w:r>
              <w:rPr>
                <w:spacing w:val="-1"/>
              </w:rPr>
              <w:t>路客运站场城市轨道交通系统减免城镇土地使用税优惠政</w:t>
            </w:r>
            <w:r>
              <w:rPr>
                <w:spacing w:val="16"/>
              </w:rPr>
              <w:t xml:space="preserve"> </w:t>
            </w:r>
            <w:r>
              <w:rPr/>
              <w:t>策的通知》(财税〔2019〕11号)、《</w:t>
            </w:r>
            <w:r>
              <w:rPr>
                <w:spacing w:val="-1"/>
              </w:rPr>
              <w:t>财政部税务总局关</w:t>
            </w:r>
          </w:p>
          <w:p>
            <w:pPr>
              <w:pStyle w:val="TableText"/>
              <w:ind w:left="61" w:right="96" w:firstLine="49"/>
              <w:spacing w:before="41" w:line="227" w:lineRule="auto"/>
              <w:rPr/>
            </w:pPr>
            <w:r>
              <w:rPr/>
              <w:t>于继续实行农产品批发市场农贸市场房产税城镇土地使用</w:t>
            </w:r>
            <w:r>
              <w:rPr>
                <w:spacing w:val="17"/>
              </w:rPr>
              <w:t xml:space="preserve"> </w:t>
            </w:r>
            <w:r>
              <w:rPr/>
              <w:t>税优惠政策的通知》(财税〔2019〕12号</w:t>
            </w:r>
            <w:r>
              <w:rPr>
                <w:spacing w:val="-1"/>
              </w:rPr>
              <w:t>)、《财政部税</w:t>
            </w:r>
          </w:p>
          <w:p>
            <w:pPr>
              <w:pStyle w:val="TableText"/>
              <w:ind w:left="51"/>
              <w:spacing w:before="42" w:line="219" w:lineRule="auto"/>
              <w:rPr/>
            </w:pPr>
            <w:r>
              <w:rPr>
                <w:spacing w:val="-1"/>
              </w:rPr>
              <w:t>务总局关于高校学生公寓房产税印花税政策的通知》(财</w:t>
            </w:r>
          </w:p>
          <w:p>
            <w:pPr>
              <w:pStyle w:val="TableText"/>
              <w:ind w:left="61"/>
              <w:spacing w:before="21" w:line="219" w:lineRule="auto"/>
              <w:rPr/>
            </w:pPr>
            <w:r>
              <w:rPr/>
              <w:t>税〔2019〕14号)、《财政部税务总局退</w:t>
            </w:r>
            <w:r>
              <w:rPr>
                <w:spacing w:val="-1"/>
              </w:rPr>
              <w:t>役军人部关于进</w:t>
            </w:r>
          </w:p>
          <w:p>
            <w:pPr>
              <w:pStyle w:val="TableText"/>
              <w:ind w:left="90" w:right="19" w:hanging="19"/>
              <w:spacing w:before="22" w:line="227" w:lineRule="auto"/>
              <w:rPr/>
            </w:pPr>
            <w:r>
              <w:rPr>
                <w:spacing w:val="-1"/>
              </w:rPr>
              <w:t>一步扶持自主就业退役士兵创业就业有关税收政策的通知》</w:t>
            </w:r>
            <w:r>
              <w:rPr>
                <w:spacing w:val="10"/>
              </w:rPr>
              <w:t xml:space="preserve"> </w:t>
            </w:r>
            <w:r>
              <w:rPr/>
              <w:t>(财税〔2019〕21号)、《财政部税务总局国家发展改革</w:t>
            </w:r>
          </w:p>
          <w:p>
            <w:pPr>
              <w:pStyle w:val="TableText"/>
              <w:ind w:left="41" w:right="120" w:firstLine="69"/>
              <w:spacing w:before="31" w:line="219" w:lineRule="auto"/>
              <w:rPr/>
            </w:pPr>
            <w:r>
              <w:rPr>
                <w:spacing w:val="-1"/>
              </w:rPr>
              <w:t>委生态环境部关于从事污染防治的第三方企业所得税政策</w:t>
            </w:r>
            <w:r>
              <w:rPr>
                <w:spacing w:val="18"/>
                <w:w w:val="101"/>
              </w:rPr>
              <w:t xml:space="preserve"> </w:t>
            </w:r>
            <w:r>
              <w:rPr/>
              <w:t>问题的公告》(财政部税务总局国家发展改革委生态环境</w:t>
            </w:r>
          </w:p>
          <w:p>
            <w:pPr>
              <w:pStyle w:val="TableText"/>
              <w:ind w:left="61"/>
              <w:spacing w:before="52" w:line="218" w:lineRule="auto"/>
              <w:rPr/>
            </w:pPr>
            <w:r>
              <w:rPr>
                <w:spacing w:val="-1"/>
              </w:rPr>
              <w:t>部公告2019年第60号)、《财政部税务总局关于支持新</w:t>
            </w:r>
          </w:p>
          <w:p>
            <w:pPr>
              <w:pStyle w:val="TableText"/>
              <w:ind w:left="110"/>
              <w:spacing w:before="24" w:line="219" w:lineRule="auto"/>
              <w:rPr/>
            </w:pPr>
            <w:r>
              <w:rPr>
                <w:spacing w:val="-1"/>
              </w:rPr>
              <w:t>型冠状病毒感染的肺炎疫情防控有关个人所得税政策的公</w:t>
            </w:r>
          </w:p>
          <w:p>
            <w:pPr>
              <w:pStyle w:val="TableText"/>
              <w:ind w:left="31" w:right="494" w:firstLine="10"/>
              <w:spacing w:before="42" w:line="233" w:lineRule="auto"/>
              <w:rPr/>
            </w:pPr>
            <w:r>
              <w:rPr>
                <w:spacing w:val="-1"/>
              </w:rPr>
              <w:t>告》(财政部税务总局公告2020年第10号)中规定的税</w:t>
            </w:r>
            <w:r>
              <w:rPr>
                <w:spacing w:val="16"/>
              </w:rPr>
              <w:t xml:space="preserve"> </w:t>
            </w:r>
            <w:r>
              <w:rPr/>
              <w:t>收优惠政策，执行期限延长至2023年1</w:t>
            </w:r>
            <w:r>
              <w:rPr>
                <w:spacing w:val="-1"/>
              </w:rPr>
              <w:t>2月31日。</w:t>
            </w:r>
          </w:p>
          <w:p>
            <w:pPr>
              <w:pStyle w:val="TableText"/>
              <w:ind w:left="31" w:right="31"/>
              <w:spacing w:before="20" w:line="228" w:lineRule="auto"/>
              <w:rPr/>
            </w:pPr>
            <w:r>
              <w:rPr/>
              <w:t>二、本公告发布之日前，已征的相关税款，可抵减纳税人以</w:t>
            </w:r>
            <w:r>
              <w:rPr>
                <w:spacing w:val="12"/>
              </w:rPr>
              <w:t xml:space="preserve"> </w:t>
            </w:r>
            <w:r>
              <w:rPr>
                <w:spacing w:val="-1"/>
              </w:rPr>
              <w:t>后月份应缴纳税款或予以退还。</w:t>
            </w:r>
          </w:p>
        </w:tc>
        <w:tc>
          <w:tcPr>
            <w:tcW w:w="2128" w:type="dxa"/>
            <w:vAlign w:val="top"/>
          </w:tcPr>
          <w:p>
            <w:pPr>
              <w:pStyle w:val="TableText"/>
              <w:ind w:left="34" w:right="89" w:firstLine="50"/>
              <w:spacing w:before="90" w:line="232" w:lineRule="auto"/>
              <w:jc w:val="both"/>
              <w:rPr/>
            </w:pPr>
            <w:r>
              <w:rPr>
                <w:spacing w:val="-1"/>
              </w:rPr>
              <w:t>财政部、税务总局《关于延长</w:t>
            </w:r>
            <w:r>
              <w:rPr>
                <w:spacing w:val="5"/>
              </w:rPr>
              <w:t xml:space="preserve"> </w:t>
            </w:r>
            <w:r>
              <w:rPr>
                <w:spacing w:val="3"/>
              </w:rPr>
              <w:t>部分税收优惠政策执行期限的</w:t>
            </w:r>
            <w:r>
              <w:rPr>
                <w:spacing w:val="2"/>
              </w:rPr>
              <w:t xml:space="preserve"> </w:t>
            </w:r>
            <w:r>
              <w:rPr>
                <w:spacing w:val="-1"/>
              </w:rPr>
              <w:t>公告》2022年第4号公告</w:t>
            </w:r>
          </w:p>
        </w:tc>
        <w:tc>
          <w:tcPr>
            <w:tcW w:w="899" w:type="dxa"/>
            <w:vAlign w:val="top"/>
          </w:tcPr>
          <w:p>
            <w:pPr>
              <w:pStyle w:val="TableText"/>
              <w:ind w:left="16"/>
              <w:spacing w:before="79" w:line="238" w:lineRule="auto"/>
              <w:jc w:val="both"/>
              <w:rPr/>
            </w:pPr>
            <w:r>
              <w:rPr>
                <w:spacing w:val="17"/>
                <w:w w:val="109"/>
              </w:rPr>
              <w:t>2022年1月</w:t>
            </w:r>
            <w:r>
              <w:rPr/>
              <w:t xml:space="preserve"> </w:t>
            </w:r>
            <w:r>
              <w:rPr>
                <w:spacing w:val="-19"/>
              </w:rPr>
              <w:t>2</w:t>
            </w:r>
            <w:r>
              <w:rPr>
                <w:spacing w:val="-25"/>
              </w:rPr>
              <w:t xml:space="preserve"> </w:t>
            </w:r>
            <w:r>
              <w:rPr>
                <w:spacing w:val="-19"/>
              </w:rPr>
              <w:t>9</w:t>
            </w:r>
            <w:r>
              <w:rPr>
                <w:spacing w:val="-1"/>
              </w:rPr>
              <w:t xml:space="preserve"> </w:t>
            </w:r>
            <w:r>
              <w:rPr>
                <w:spacing w:val="-19"/>
              </w:rPr>
              <w:t>日</w:t>
            </w:r>
            <w:r>
              <w:rPr/>
              <w:t xml:space="preserve"> </w:t>
            </w:r>
            <w:r>
              <w:rPr>
                <w:spacing w:val="-19"/>
              </w:rPr>
              <w:t>(</w:t>
            </w:r>
            <w:r>
              <w:rPr>
                <w:spacing w:val="-25"/>
              </w:rPr>
              <w:t xml:space="preserve"> </w:t>
            </w:r>
            <w:r>
              <w:rPr>
                <w:spacing w:val="-19"/>
              </w:rPr>
              <w:t>文</w:t>
            </w:r>
            <w:r>
              <w:rPr>
                <w:spacing w:val="-26"/>
              </w:rPr>
              <w:t xml:space="preserve"> </w:t>
            </w:r>
            <w:r>
              <w:rPr>
                <w:spacing w:val="-7"/>
              </w:rPr>
              <w:t>件</w:t>
            </w:r>
            <w:r>
              <w:rPr/>
              <w:t xml:space="preserve"> </w:t>
            </w:r>
            <w:r>
              <w:rPr>
                <w:spacing w:val="-3"/>
              </w:rPr>
              <w:t>签发日期</w:t>
            </w:r>
          </w:p>
        </w:tc>
        <w:tc>
          <w:tcPr>
            <w:tcW w:w="849" w:type="dxa"/>
            <w:vAlign w:val="top"/>
          </w:tcPr>
          <w:p>
            <w:pPr>
              <w:pStyle w:val="TableText"/>
              <w:ind w:left="117"/>
              <w:spacing w:before="80" w:line="220" w:lineRule="auto"/>
              <w:rPr/>
            </w:pPr>
            <w:r>
              <w:rPr>
                <w:spacing w:val="-2"/>
              </w:rPr>
              <w:t>相关企业</w:t>
            </w:r>
          </w:p>
        </w:tc>
        <w:tc>
          <w:tcPr>
            <w:tcW w:w="1029" w:type="dxa"/>
            <w:vAlign w:val="top"/>
          </w:tcPr>
          <w:p>
            <w:pPr>
              <w:pStyle w:val="TableText"/>
              <w:ind w:left="358" w:right="45" w:hanging="299"/>
              <w:spacing w:before="90" w:line="221" w:lineRule="auto"/>
              <w:rPr/>
            </w:pPr>
            <w:r>
              <w:rPr>
                <w:spacing w:val="2"/>
              </w:rPr>
              <w:t>延长税收优惠</w:t>
            </w:r>
            <w:r>
              <w:rPr>
                <w:spacing w:val="1"/>
              </w:rPr>
              <w:t xml:space="preserve"> </w:t>
            </w:r>
            <w:r>
              <w:rPr>
                <w:spacing w:val="-2"/>
              </w:rPr>
              <w:t>政策</w:t>
            </w:r>
          </w:p>
        </w:tc>
        <w:tc>
          <w:tcPr>
            <w:tcW w:w="464" w:type="dxa"/>
            <w:vAlign w:val="top"/>
          </w:tcPr>
          <w:p>
            <w:pPr>
              <w:pStyle w:val="TableText"/>
              <w:ind w:left="80"/>
              <w:spacing w:before="60" w:line="219" w:lineRule="auto"/>
              <w:rPr/>
            </w:pPr>
            <w:r>
              <w:rPr>
                <w:spacing w:val="-2"/>
              </w:rPr>
              <w:t>减征</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713536"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34" name="IM 34"/>
            <wp:cNvGraphicFramePr/>
            <a:graphic>
              <a:graphicData uri="http://schemas.openxmlformats.org/drawingml/2006/picture">
                <pic:pic>
                  <pic:nvPicPr>
                    <pic:cNvPr id="34" name="IM 34"/>
                    <pic:cNvPicPr/>
                  </pic:nvPicPr>
                  <pic:blipFill>
                    <a:blip r:embed="rId19"/>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4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899"/>
        <w:gridCol w:w="849"/>
        <w:gridCol w:w="1029"/>
        <w:gridCol w:w="47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9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3853" w:hRule="atLeast"/>
        </w:trPr>
        <w:tc>
          <w:tcPr>
            <w:tcW w:w="284"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4"/>
              <w:spacing w:before="49" w:line="182" w:lineRule="auto"/>
              <w:rPr/>
            </w:pPr>
            <w:r>
              <w:rPr/>
              <w:t>7</w:t>
            </w:r>
          </w:p>
        </w:tc>
        <w:tc>
          <w:tcPr>
            <w:tcW w:w="3986" w:type="dxa"/>
            <w:vAlign w:val="top"/>
          </w:tcPr>
          <w:p>
            <w:pPr>
              <w:pStyle w:val="TableText"/>
              <w:ind w:left="61"/>
              <w:spacing w:before="137" w:line="219" w:lineRule="auto"/>
              <w:rPr/>
            </w:pPr>
            <w:r>
              <w:rPr>
                <w:spacing w:val="-1"/>
              </w:rPr>
              <w:t>一、企业10月份预缴申报第3季度(按季预缴)或9月份(按</w:t>
            </w:r>
          </w:p>
          <w:p>
            <w:pPr>
              <w:pStyle w:val="TableText"/>
              <w:ind w:left="41" w:right="89" w:firstLine="30"/>
              <w:spacing w:before="21" w:line="233" w:lineRule="auto"/>
              <w:rPr/>
            </w:pPr>
            <w:r>
              <w:rPr>
                <w:spacing w:val="-1"/>
              </w:rPr>
              <w:t>月预缴)企业所得税时，可以自主选择就当年前三季度研发</w:t>
            </w:r>
            <w:r>
              <w:rPr>
                <w:spacing w:val="15"/>
              </w:rPr>
              <w:t xml:space="preserve"> </w:t>
            </w:r>
            <w:r>
              <w:rPr/>
              <w:t>费用享受加计扣除优惠政策</w:t>
            </w:r>
          </w:p>
          <w:p>
            <w:pPr>
              <w:pStyle w:val="TableText"/>
              <w:ind w:left="31" w:right="120" w:firstLine="79"/>
              <w:spacing w:before="41" w:line="233" w:lineRule="auto"/>
              <w:rPr/>
            </w:pPr>
            <w:r>
              <w:rPr/>
              <w:t>对10月份预缴申报期未选择享受研发费用</w:t>
            </w:r>
            <w:r>
              <w:rPr>
                <w:spacing w:val="-1"/>
              </w:rPr>
              <w:t>加计扣除优惠政</w:t>
            </w:r>
            <w:r>
              <w:rPr/>
              <w:t xml:space="preserve"> </w:t>
            </w:r>
            <w:r>
              <w:rPr>
                <w:spacing w:val="-1"/>
              </w:rPr>
              <w:t>策的，可以在办理当年度企业所得税汇算清缴时统一享受</w:t>
            </w:r>
          </w:p>
          <w:p>
            <w:pPr>
              <w:pStyle w:val="TableText"/>
              <w:ind w:left="31" w:right="10" w:firstLine="79"/>
              <w:spacing w:before="21" w:line="237" w:lineRule="auto"/>
              <w:rPr/>
            </w:pPr>
            <w:r>
              <w:rPr>
                <w:spacing w:val="-1"/>
              </w:rPr>
              <w:t>二、企业享受研发费用加计扣除优惠政策采取“真实发生  </w:t>
            </w:r>
            <w:r>
              <w:rPr/>
              <w:t>自行判别、申报享受、相关资料留存备查”办理方式，由企</w:t>
            </w:r>
            <w:r>
              <w:rPr>
                <w:spacing w:val="5"/>
              </w:rPr>
              <w:t xml:space="preserve"> </w:t>
            </w:r>
            <w:r>
              <w:rPr>
                <w:spacing w:val="1"/>
              </w:rPr>
              <w:t>业依据实际发生的研发费用支出，自行计算加计扣除金额，</w:t>
            </w:r>
          </w:p>
          <w:p>
            <w:pPr>
              <w:pStyle w:val="TableText"/>
              <w:ind w:left="51" w:right="122" w:firstLine="59"/>
              <w:spacing w:before="32" w:line="239" w:lineRule="auto"/>
              <w:rPr/>
            </w:pPr>
            <w:r>
              <w:rPr>
                <w:spacing w:val="-1"/>
              </w:rPr>
              <w:t>填报《中华人民共和国企业所得税月(季)度预缴纳税申报</w:t>
            </w:r>
            <w:r>
              <w:rPr>
                <w:spacing w:val="17"/>
              </w:rPr>
              <w:t xml:space="preserve"> </w:t>
            </w:r>
            <w:r>
              <w:rPr/>
              <w:t>表(A类)》享受税收优惠，并根据享受加</w:t>
            </w:r>
            <w:r>
              <w:rPr>
                <w:spacing w:val="-1"/>
              </w:rPr>
              <w:t>计扣除优惠的研</w:t>
            </w:r>
          </w:p>
          <w:p>
            <w:pPr>
              <w:pStyle w:val="TableText"/>
              <w:ind w:left="30" w:hanging="19"/>
              <w:spacing w:before="11" w:line="245" w:lineRule="auto"/>
              <w:rPr/>
            </w:pPr>
            <w:r>
              <w:rPr>
                <w:spacing w:val="-3"/>
              </w:rPr>
              <w:t>发费用情况(前三季度)填写《研发费用加计扣除优惠明</w:t>
            </w:r>
            <w:r>
              <w:rPr>
                <w:spacing w:val="-4"/>
              </w:rPr>
              <w:t>细表》</w:t>
            </w:r>
            <w:r>
              <w:rPr/>
              <w:t xml:space="preserve"> </w:t>
            </w:r>
            <w:r>
              <w:rPr>
                <w:spacing w:val="-1"/>
              </w:rPr>
              <w:t>(A107012)。《研发费用加计扣除优惠明细表》(A107012)</w:t>
            </w:r>
          </w:p>
          <w:p>
            <w:pPr>
              <w:pStyle w:val="TableText"/>
              <w:ind w:left="51"/>
              <w:spacing w:before="32" w:line="219" w:lineRule="auto"/>
              <w:rPr/>
            </w:pPr>
            <w:r>
              <w:rPr>
                <w:spacing w:val="-1"/>
              </w:rPr>
              <w:t>与规定的其他资料一并留存备查</w:t>
            </w:r>
          </w:p>
          <w:p>
            <w:pPr>
              <w:pStyle w:val="TableText"/>
              <w:ind w:left="31" w:right="26" w:firstLine="79"/>
              <w:spacing w:before="23" w:line="243" w:lineRule="auto"/>
              <w:rPr/>
            </w:pPr>
            <w:r>
              <w:rPr/>
              <w:t>三、企业在10月份预缴申报时，自行判断</w:t>
            </w:r>
            <w:r>
              <w:rPr>
                <w:spacing w:val="-1"/>
              </w:rPr>
              <w:t>本年度符合科技</w:t>
            </w:r>
            <w:r>
              <w:rPr/>
              <w:t xml:space="preserve">  </w:t>
            </w:r>
            <w:r>
              <w:rPr>
                <w:spacing w:val="-1"/>
              </w:rPr>
              <w:t>型中小企业条件的，可选择暂按规定享受科技型中小企业研</w:t>
            </w:r>
            <w:r>
              <w:rPr>
                <w:spacing w:val="14"/>
              </w:rPr>
              <w:t xml:space="preserve"> </w:t>
            </w:r>
            <w:r>
              <w:rPr>
                <w:spacing w:val="-1"/>
              </w:rPr>
              <w:t>发费用加计扣除优惠政策，年度汇算清缴时再按照取得入库</w:t>
            </w:r>
            <w:r>
              <w:rPr>
                <w:spacing w:val="16"/>
              </w:rPr>
              <w:t xml:space="preserve"> </w:t>
            </w:r>
            <w:r>
              <w:rPr/>
              <w:t>登记编号的情况确定是否可以享受科技型中小企业研发费用</w:t>
            </w:r>
            <w:r>
              <w:rPr>
                <w:spacing w:val="17"/>
              </w:rPr>
              <w:t xml:space="preserve"> </w:t>
            </w:r>
            <w:r>
              <w:rPr>
                <w:spacing w:val="-1"/>
              </w:rPr>
              <w:t>加计扣除优惠政策，</w:t>
            </w:r>
          </w:p>
        </w:tc>
        <w:tc>
          <w:tcPr>
            <w:tcW w:w="2128" w:type="dxa"/>
            <w:vAlign w:val="top"/>
          </w:tcPr>
          <w:p>
            <w:pPr>
              <w:pStyle w:val="TableText"/>
              <w:ind w:left="24" w:right="73" w:firstLine="60"/>
              <w:spacing w:before="136" w:line="239" w:lineRule="auto"/>
              <w:jc w:val="both"/>
              <w:rPr/>
            </w:pPr>
            <w:r>
              <w:rPr/>
              <w:t>国家税务总局《关于企业预缴</w:t>
            </w:r>
            <w:r>
              <w:rPr>
                <w:spacing w:val="4"/>
              </w:rPr>
              <w:t xml:space="preserve"> </w:t>
            </w:r>
            <w:r>
              <w:rPr>
                <w:spacing w:val="5"/>
              </w:rPr>
              <w:t>申报享受研发费用加计扣除优</w:t>
            </w:r>
            <w:r>
              <w:rPr/>
              <w:t xml:space="preserve"> </w:t>
            </w:r>
            <w:r>
              <w:rPr>
                <w:spacing w:val="4"/>
              </w:rPr>
              <w:t>惠政策有关事项的公告》2022</w:t>
            </w:r>
            <w:r>
              <w:rPr>
                <w:spacing w:val="8"/>
              </w:rPr>
              <w:t xml:space="preserve"> </w:t>
            </w:r>
            <w:r>
              <w:rPr>
                <w:spacing w:val="-1"/>
              </w:rPr>
              <w:t>年第10号公告</w:t>
            </w:r>
          </w:p>
        </w:tc>
        <w:tc>
          <w:tcPr>
            <w:tcW w:w="899" w:type="dxa"/>
            <w:vAlign w:val="top"/>
          </w:tcPr>
          <w:p>
            <w:pPr>
              <w:pStyle w:val="TableText"/>
              <w:ind w:left="16" w:right="1" w:firstLine="20"/>
              <w:spacing w:before="137" w:line="221" w:lineRule="auto"/>
              <w:rPr/>
            </w:pPr>
            <w:r>
              <w:rPr>
                <w:spacing w:val="17"/>
                <w:w w:val="108"/>
              </w:rPr>
              <w:t>2022年1月</w:t>
            </w:r>
            <w:r>
              <w:rPr>
                <w:spacing w:val="1"/>
              </w:rPr>
              <w:t xml:space="preserve"> </w:t>
            </w:r>
            <w:r>
              <w:rPr>
                <w:spacing w:val="-4"/>
              </w:rPr>
              <w:t>1日起</w:t>
            </w:r>
          </w:p>
        </w:tc>
        <w:tc>
          <w:tcPr>
            <w:tcW w:w="849" w:type="dxa"/>
            <w:vAlign w:val="top"/>
          </w:tcPr>
          <w:p>
            <w:pPr>
              <w:pStyle w:val="TableText"/>
              <w:ind w:left="117"/>
              <w:spacing w:before="137" w:line="220" w:lineRule="auto"/>
              <w:rPr/>
            </w:pPr>
            <w:r>
              <w:rPr>
                <w:spacing w:val="-2"/>
              </w:rPr>
              <w:t>相关企业</w:t>
            </w:r>
          </w:p>
        </w:tc>
        <w:tc>
          <w:tcPr>
            <w:tcW w:w="1029" w:type="dxa"/>
            <w:vAlign w:val="top"/>
          </w:tcPr>
          <w:p>
            <w:pPr>
              <w:pStyle w:val="TableText"/>
              <w:ind w:left="208"/>
              <w:spacing w:before="117" w:line="219" w:lineRule="auto"/>
              <w:rPr/>
            </w:pPr>
            <w:r>
              <w:rPr>
                <w:spacing w:val="-2"/>
              </w:rPr>
              <w:t>加计扣除</w:t>
            </w:r>
          </w:p>
        </w:tc>
        <w:tc>
          <w:tcPr>
            <w:tcW w:w="474" w:type="dxa"/>
            <w:vAlign w:val="top"/>
          </w:tcPr>
          <w:p>
            <w:pPr>
              <w:pStyle w:val="TableText"/>
              <w:ind w:left="80"/>
              <w:spacing w:before="117" w:line="219" w:lineRule="auto"/>
              <w:rPr/>
            </w:pPr>
            <w:r>
              <w:rPr>
                <w:spacing w:val="-2"/>
              </w:rPr>
              <w:t>减征</w:t>
            </w:r>
          </w:p>
        </w:tc>
      </w:tr>
      <w:tr>
        <w:trPr>
          <w:trHeight w:val="1832" w:hRule="atLeast"/>
        </w:trPr>
        <w:tc>
          <w:tcPr>
            <w:tcW w:w="284"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TableText"/>
              <w:ind w:left="94"/>
              <w:spacing w:before="48" w:line="183" w:lineRule="auto"/>
              <w:rPr/>
            </w:pPr>
            <w:r>
              <w:rPr/>
              <w:t>8</w:t>
            </w:r>
          </w:p>
        </w:tc>
        <w:tc>
          <w:tcPr>
            <w:tcW w:w="3986" w:type="dxa"/>
            <w:vAlign w:val="top"/>
          </w:tcPr>
          <w:p>
            <w:pPr>
              <w:pStyle w:val="TableText"/>
              <w:ind w:left="31"/>
              <w:spacing w:before="154" w:line="219" w:lineRule="auto"/>
              <w:rPr/>
            </w:pPr>
            <w:r>
              <w:rPr>
                <w:spacing w:val="-1"/>
              </w:rPr>
              <w:t>一、完善出口退(免)税企业分类管理</w:t>
            </w:r>
          </w:p>
          <w:p>
            <w:pPr>
              <w:pStyle w:val="TableText"/>
              <w:ind w:left="41" w:right="38" w:hanging="10"/>
              <w:spacing w:before="21" w:line="233" w:lineRule="auto"/>
              <w:rPr/>
            </w:pPr>
            <w:r>
              <w:rPr/>
              <w:t>出口企业管理类别年度评定工作应于企业纳税信用级别评价</w:t>
            </w:r>
            <w:r>
              <w:rPr>
                <w:spacing w:val="5"/>
              </w:rPr>
              <w:t xml:space="preserve"> </w:t>
            </w:r>
            <w:r>
              <w:rPr>
                <w:spacing w:val="-1"/>
              </w:rPr>
              <w:t>结果确定后1个月内完成</w:t>
            </w:r>
          </w:p>
          <w:p>
            <w:pPr>
              <w:pStyle w:val="TableText"/>
              <w:ind w:left="31" w:right="27"/>
              <w:spacing w:before="22" w:line="237" w:lineRule="auto"/>
              <w:rPr/>
            </w:pPr>
            <w:r>
              <w:rPr/>
              <w:t>纳税人发生纳税信用修复情形的，可以书面向税务机关提出</w:t>
            </w:r>
            <w:r>
              <w:rPr>
                <w:spacing w:val="16"/>
              </w:rPr>
              <w:t xml:space="preserve"> </w:t>
            </w:r>
            <w:r>
              <w:rPr>
                <w:spacing w:val="-1"/>
              </w:rPr>
              <w:t>重新评定管理类别。因纳税信用修复原因重新评定的纳税人</w:t>
            </w:r>
            <w:r>
              <w:rPr>
                <w:spacing w:val="18"/>
              </w:rPr>
              <w:t xml:space="preserve"> </w:t>
            </w:r>
            <w:r>
              <w:rPr/>
              <w:t>不受《出口退(免)税企业分类管理办法》(国家税务总局</w:t>
            </w:r>
          </w:p>
          <w:p>
            <w:pPr>
              <w:pStyle w:val="TableText"/>
              <w:ind w:left="41"/>
              <w:spacing w:before="40" w:line="218" w:lineRule="auto"/>
              <w:rPr/>
            </w:pPr>
            <w:r>
              <w:rPr>
                <w:spacing w:val="-1"/>
              </w:rPr>
              <w:t>公告2016年第46号发布，2018年第31号修改)第十四条</w:t>
            </w:r>
          </w:p>
          <w:p>
            <w:pPr>
              <w:pStyle w:val="TableText"/>
              <w:ind w:left="110"/>
              <w:spacing w:before="24" w:line="219" w:lineRule="auto"/>
              <w:rPr/>
            </w:pPr>
            <w:r>
              <w:rPr/>
              <w:t>中“四类出口企业自评定之日起，12个月内不得评定为其</w:t>
            </w:r>
          </w:p>
        </w:tc>
        <w:tc>
          <w:tcPr>
            <w:tcW w:w="2128" w:type="dxa"/>
            <w:vAlign w:val="top"/>
          </w:tcPr>
          <w:p>
            <w:pPr>
              <w:pStyle w:val="TableText"/>
              <w:ind w:left="24" w:right="75" w:firstLine="60"/>
              <w:spacing w:before="133" w:line="239" w:lineRule="auto"/>
              <w:jc w:val="both"/>
              <w:rPr/>
            </w:pPr>
            <w:r>
              <w:rPr/>
              <w:t>国家税务总局《关于进一步便</w:t>
            </w:r>
            <w:r>
              <w:rPr>
                <w:spacing w:val="6"/>
              </w:rPr>
              <w:t xml:space="preserve"> </w:t>
            </w:r>
            <w:r>
              <w:rPr>
                <w:spacing w:val="4"/>
              </w:rPr>
              <w:t>利出口退税办理、促进外贸平</w:t>
            </w:r>
            <w:r>
              <w:rPr/>
              <w:t xml:space="preserve"> </w:t>
            </w:r>
            <w:r>
              <w:rPr>
                <w:spacing w:val="3"/>
              </w:rPr>
              <w:t>稳发展有关事项的公告》2022</w:t>
            </w:r>
            <w:r>
              <w:rPr>
                <w:spacing w:val="7"/>
              </w:rPr>
              <w:t xml:space="preserve"> </w:t>
            </w:r>
            <w:r>
              <w:rPr>
                <w:spacing w:val="-1"/>
              </w:rPr>
              <w:t>年第9号公告</w:t>
            </w:r>
          </w:p>
        </w:tc>
        <w:tc>
          <w:tcPr>
            <w:tcW w:w="899" w:type="dxa"/>
            <w:vAlign w:val="top"/>
          </w:tcPr>
          <w:p>
            <w:pPr>
              <w:pStyle w:val="TableText"/>
              <w:ind w:left="16" w:right="5" w:firstLine="50"/>
              <w:spacing w:before="133" w:line="246" w:lineRule="auto"/>
              <w:jc w:val="both"/>
              <w:rPr/>
            </w:pPr>
            <w:r>
              <w:rPr>
                <w:spacing w:val="-2"/>
              </w:rPr>
              <w:t>第一条、第</w:t>
            </w:r>
            <w:r>
              <w:rPr>
                <w:spacing w:val="1"/>
              </w:rPr>
              <w:t xml:space="preserve">  </w:t>
            </w:r>
            <w:r>
              <w:rPr>
                <w:spacing w:val="8"/>
              </w:rPr>
              <w:t>二条、第三</w:t>
            </w:r>
            <w:r>
              <w:rPr/>
              <w:t xml:space="preserve">  </w:t>
            </w:r>
            <w:r>
              <w:rPr>
                <w:spacing w:val="6"/>
              </w:rPr>
              <w:t>条自2022年</w:t>
            </w:r>
            <w:r>
              <w:rPr/>
              <w:t xml:space="preserve">  </w:t>
            </w:r>
            <w:r>
              <w:rPr>
                <w:spacing w:val="-13"/>
              </w:rPr>
              <w:t>5</w:t>
            </w:r>
            <w:r>
              <w:rPr>
                <w:spacing w:val="-26"/>
              </w:rPr>
              <w:t xml:space="preserve"> </w:t>
            </w:r>
            <w:r>
              <w:rPr>
                <w:spacing w:val="-13"/>
              </w:rPr>
              <w:t>月</w:t>
            </w:r>
            <w:r>
              <w:rPr>
                <w:spacing w:val="-18"/>
              </w:rPr>
              <w:t xml:space="preserve"> </w:t>
            </w:r>
            <w:r>
              <w:rPr>
                <w:spacing w:val="-13"/>
              </w:rPr>
              <w:t>1 日</w:t>
            </w:r>
            <w:r>
              <w:rPr>
                <w:spacing w:val="6"/>
              </w:rPr>
              <w:t xml:space="preserve">  </w:t>
            </w:r>
            <w:r>
              <w:rPr>
                <w:spacing w:val="-13"/>
              </w:rPr>
              <w:t>起</w:t>
            </w:r>
            <w:r>
              <w:rPr/>
              <w:t xml:space="preserve"> </w:t>
            </w:r>
            <w:r>
              <w:rPr>
                <w:spacing w:val="13"/>
              </w:rPr>
              <w:t>施行，第四</w:t>
            </w:r>
            <w:r>
              <w:rPr/>
              <w:t xml:space="preserve"> </w:t>
            </w:r>
            <w:r>
              <w:rPr>
                <w:spacing w:val="8"/>
              </w:rPr>
              <w:t>条、第五条</w:t>
            </w:r>
            <w:r>
              <w:rPr/>
              <w:t xml:space="preserve">  </w:t>
            </w:r>
            <w:r>
              <w:rPr>
                <w:spacing w:val="19"/>
                <w:w w:val="107"/>
              </w:rPr>
              <w:t>自2022年6</w:t>
            </w:r>
            <w:r>
              <w:rPr>
                <w:spacing w:val="1"/>
              </w:rPr>
              <w:t xml:space="preserve"> </w:t>
            </w:r>
            <w:r>
              <w:rPr>
                <w:spacing w:val="-2"/>
              </w:rPr>
              <w:t>月1日起施</w:t>
            </w:r>
          </w:p>
        </w:tc>
        <w:tc>
          <w:tcPr>
            <w:tcW w:w="849" w:type="dxa"/>
            <w:vAlign w:val="top"/>
          </w:tcPr>
          <w:p>
            <w:pPr>
              <w:pStyle w:val="TableText"/>
              <w:ind w:left="117"/>
              <w:spacing w:before="146" w:line="223" w:lineRule="auto"/>
              <w:rPr/>
            </w:pPr>
            <w:r>
              <w:rPr>
                <w:spacing w:val="1"/>
              </w:rPr>
              <w:t>出口企业</w:t>
            </w:r>
          </w:p>
        </w:tc>
        <w:tc>
          <w:tcPr>
            <w:tcW w:w="1029" w:type="dxa"/>
            <w:vAlign w:val="top"/>
          </w:tcPr>
          <w:p>
            <w:pPr>
              <w:pStyle w:val="TableText"/>
              <w:ind w:left="138"/>
              <w:spacing w:before="134" w:line="220" w:lineRule="auto"/>
              <w:rPr/>
            </w:pPr>
            <w:r>
              <w:rPr>
                <w:spacing w:val="1"/>
              </w:rPr>
              <w:t>出口退免税</w:t>
            </w:r>
          </w:p>
        </w:tc>
        <w:tc>
          <w:tcPr>
            <w:tcW w:w="474" w:type="dxa"/>
            <w:vAlign w:val="top"/>
          </w:tcPr>
          <w:p>
            <w:pPr>
              <w:pStyle w:val="TableText"/>
              <w:ind w:left="80"/>
              <w:spacing w:before="124" w:line="220" w:lineRule="auto"/>
              <w:rPr/>
            </w:pPr>
            <w:r>
              <w:rPr>
                <w:spacing w:val="-2"/>
              </w:rPr>
              <w:t>退税</w:t>
            </w:r>
          </w:p>
        </w:tc>
      </w:tr>
    </w:tbl>
    <w:p>
      <w:pPr>
        <w:pStyle w:val="BodyText"/>
        <w:rPr/>
      </w:pPr>
      <w:r/>
    </w:p>
    <w:p>
      <w:pPr>
        <w:sectPr>
          <w:pgSz w:w="11910" w:h="8220"/>
          <w:pgMar w:top="400" w:right="1135" w:bottom="400" w:left="809" w:header="0" w:footer="0" w:gutter="0"/>
        </w:sectPr>
        <w:rPr/>
      </w:pPr>
    </w:p>
    <w:p>
      <w:pPr>
        <w:spacing w:before="51"/>
        <w:rPr/>
      </w:pPr>
      <w:r>
        <w:drawing>
          <wp:anchor distT="0" distB="0" distL="0" distR="0" simplePos="0" relativeHeight="251714560" behindDoc="0" locked="0" layoutInCell="0" allowOverlap="1">
            <wp:simplePos x="0" y="0"/>
            <wp:positionH relativeFrom="page">
              <wp:posOffset>514349</wp:posOffset>
            </wp:positionH>
            <wp:positionV relativeFrom="page">
              <wp:posOffset>660396</wp:posOffset>
            </wp:positionV>
            <wp:extent cx="107921" cy="126995"/>
            <wp:effectExtent l="0" t="0" r="0" b="0"/>
            <wp:wrapNone/>
            <wp:docPr id="36" name="IM 36"/>
            <wp:cNvGraphicFramePr/>
            <a:graphic>
              <a:graphicData uri="http://schemas.openxmlformats.org/drawingml/2006/picture">
                <pic:pic>
                  <pic:nvPicPr>
                    <pic:cNvPr id="36" name="IM 36"/>
                    <pic:cNvPicPr/>
                  </pic:nvPicPr>
                  <pic:blipFill>
                    <a:blip r:embed="rId20"/>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1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4"/>
        <w:gridCol w:w="3986"/>
        <w:gridCol w:w="2128"/>
        <w:gridCol w:w="919"/>
        <w:gridCol w:w="829"/>
        <w:gridCol w:w="1029"/>
        <w:gridCol w:w="464"/>
      </w:tblGrid>
      <w:tr>
        <w:trPr>
          <w:trHeight w:val="494" w:hRule="atLeast"/>
        </w:trPr>
        <w:tc>
          <w:tcPr>
            <w:tcW w:w="264" w:type="dxa"/>
            <w:vAlign w:val="top"/>
            <w:textDirection w:val="tbRlV"/>
          </w:tcPr>
          <w:p>
            <w:pPr>
              <w:pStyle w:val="TableText"/>
              <w:ind w:left="57"/>
              <w:spacing w:before="59" w:line="217" w:lineRule="auto"/>
              <w:rPr/>
            </w:pPr>
            <w:r>
              <w:rPr>
                <w:spacing w:val="-2"/>
              </w:rPr>
              <w:t>序 号</w:t>
            </w:r>
          </w:p>
        </w:tc>
        <w:tc>
          <w:tcPr>
            <w:tcW w:w="398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29" w:type="dxa"/>
            <w:vAlign w:val="top"/>
          </w:tcPr>
          <w:p>
            <w:pPr>
              <w:pStyle w:val="TableText"/>
              <w:ind w:left="257" w:right="12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4053" w:hRule="atLeast"/>
        </w:trPr>
        <w:tc>
          <w:tcPr>
            <w:tcW w:w="264"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84"/>
              <w:spacing w:before="48" w:line="183" w:lineRule="auto"/>
              <w:rPr/>
            </w:pPr>
            <w:r>
              <w:rPr/>
              <w:t>8</w:t>
            </w:r>
          </w:p>
        </w:tc>
        <w:tc>
          <w:tcPr>
            <w:tcW w:w="3986" w:type="dxa"/>
            <w:vAlign w:val="top"/>
          </w:tcPr>
          <w:p>
            <w:pPr>
              <w:pStyle w:val="TableText"/>
              <w:ind w:left="51"/>
              <w:spacing w:before="137" w:line="219" w:lineRule="auto"/>
              <w:rPr/>
            </w:pPr>
            <w:r>
              <w:rPr>
                <w:spacing w:val="-1"/>
              </w:rPr>
              <w:t>他管理类别”规定限制。</w:t>
            </w:r>
          </w:p>
          <w:p>
            <w:pPr>
              <w:pStyle w:val="TableText"/>
              <w:ind w:left="41"/>
              <w:spacing w:before="22" w:line="219" w:lineRule="auto"/>
              <w:rPr/>
            </w:pPr>
            <w:r>
              <w:rPr>
                <w:spacing w:val="-1"/>
              </w:rPr>
              <w:t>二、优化出口退(免)税备案单证管理</w:t>
            </w:r>
          </w:p>
          <w:p>
            <w:pPr>
              <w:pStyle w:val="TableText"/>
              <w:ind w:left="100"/>
              <w:spacing w:before="22" w:line="219" w:lineRule="auto"/>
              <w:rPr/>
            </w:pPr>
            <w:r>
              <w:rPr/>
              <w:t>(一)纳税人应在申报出口退(免)税后15日内，将下列</w:t>
            </w:r>
          </w:p>
          <w:p>
            <w:pPr>
              <w:pStyle w:val="TableText"/>
              <w:ind w:left="41" w:right="102" w:firstLine="69"/>
              <w:spacing w:before="21" w:line="241" w:lineRule="auto"/>
              <w:jc w:val="both"/>
              <w:rPr/>
            </w:pPr>
            <w:r>
              <w:rPr/>
              <w:t>备案单证要善留存，并按照申报退(免)税的时间顺序，制</w:t>
            </w:r>
            <w:r>
              <w:rPr>
                <w:spacing w:val="11"/>
              </w:rPr>
              <w:t xml:space="preserve"> </w:t>
            </w:r>
            <w:r>
              <w:rPr>
                <w:spacing w:val="2"/>
              </w:rPr>
              <w:t>作出口退(免)税备案单证目录，注明单证存放方式，以备</w:t>
            </w:r>
            <w:r>
              <w:rPr>
                <w:spacing w:val="10"/>
              </w:rPr>
              <w:t xml:space="preserve"> </w:t>
            </w:r>
            <w:r>
              <w:rPr>
                <w:spacing w:val="-1"/>
              </w:rPr>
              <w:t>税务机关核查。</w:t>
            </w:r>
          </w:p>
          <w:p>
            <w:pPr>
              <w:pStyle w:val="TableText"/>
              <w:ind w:left="31" w:right="39" w:firstLine="79"/>
              <w:spacing w:before="33" w:line="241" w:lineRule="auto"/>
              <w:jc w:val="both"/>
              <w:rPr/>
            </w:pPr>
            <w:r>
              <w:rPr/>
              <w:t>(二)纳税人可以自行选择纸质化、影像化或者数字化方式</w:t>
            </w:r>
            <w:r>
              <w:rPr>
                <w:spacing w:val="2"/>
              </w:rPr>
              <w:t xml:space="preserve">  </w:t>
            </w:r>
            <w:r>
              <w:rPr/>
              <w:t>留存保管上述备案单证。选择纸质化方式的，还需在出口退</w:t>
            </w:r>
            <w:r>
              <w:rPr>
                <w:spacing w:val="4"/>
              </w:rPr>
              <w:t xml:space="preserve"> </w:t>
            </w:r>
            <w:r>
              <w:rPr>
                <w:spacing w:val="3"/>
              </w:rPr>
              <w:t>(免)税备案单证目录中注明备案单证的存放地点</w:t>
            </w:r>
          </w:p>
          <w:p>
            <w:pPr>
              <w:pStyle w:val="TableText"/>
              <w:ind w:left="110"/>
              <w:spacing w:before="21" w:line="219" w:lineRule="auto"/>
              <w:rPr/>
            </w:pPr>
            <w:r>
              <w:rPr/>
              <w:t>(三)税务机关按规定查验备案单证时，纳税人按要求将影</w:t>
            </w:r>
          </w:p>
          <w:p>
            <w:pPr>
              <w:pStyle w:val="TableText"/>
              <w:ind w:left="11" w:right="36" w:firstLine="99"/>
              <w:spacing w:before="2" w:line="246" w:lineRule="auto"/>
              <w:rPr/>
            </w:pPr>
            <w:r>
              <w:rPr>
                <w:spacing w:val="-1"/>
              </w:rPr>
              <w:t>像化或者数字化备案单证转换为纸质化备案单证以供查验</w:t>
            </w:r>
            <w:r>
              <w:rPr>
                <w:spacing w:val="9"/>
              </w:rPr>
              <w:t xml:space="preserve">  </w:t>
            </w:r>
            <w:r>
              <w:rPr>
                <w:spacing w:val="1"/>
              </w:rPr>
              <w:t>的，应在纸质化单证上加盖企业印章并签字声明与原数据一 </w:t>
            </w:r>
            <w:r>
              <w:rPr>
                <w:spacing w:val="-2"/>
              </w:rPr>
              <w:t>致。</w:t>
            </w:r>
          </w:p>
          <w:p>
            <w:pPr>
              <w:pStyle w:val="TableText"/>
              <w:ind w:left="31"/>
              <w:spacing w:before="41" w:line="219" w:lineRule="auto"/>
              <w:rPr/>
            </w:pPr>
            <w:r>
              <w:rPr>
                <w:spacing w:val="-1"/>
              </w:rPr>
              <w:t>三、完善加工贸易出口退税政策</w:t>
            </w:r>
          </w:p>
          <w:p>
            <w:pPr>
              <w:pStyle w:val="TableText"/>
              <w:ind w:left="21" w:right="57" w:firstLine="10"/>
              <w:spacing w:before="12" w:line="245" w:lineRule="auto"/>
              <w:jc w:val="right"/>
              <w:rPr/>
            </w:pPr>
            <w:r>
              <w:rPr/>
              <w:t>实行免抵退税办法的进料加工出口企业，在国家实行出口  </w:t>
            </w:r>
            <w:r>
              <w:rPr>
                <w:spacing w:val="4"/>
              </w:rPr>
              <w:t>产品征退税率一致政策后，因前期征退税率不一致等原因 </w:t>
            </w:r>
            <w:r>
              <w:rPr>
                <w:spacing w:val="6"/>
              </w:rPr>
              <w:t>结转未能抵减的免抵退税“不得免征和抵扣税额</w:t>
            </w:r>
            <w:r>
              <w:rPr>
                <w:spacing w:val="5"/>
              </w:rPr>
              <w:t>抵减额”</w:t>
            </w:r>
          </w:p>
          <w:p>
            <w:pPr>
              <w:pStyle w:val="TableText"/>
              <w:ind w:left="11" w:right="123" w:firstLine="99"/>
              <w:spacing w:before="21" w:line="227" w:lineRule="auto"/>
              <w:rPr/>
            </w:pPr>
            <w:r>
              <w:rPr>
                <w:spacing w:val="-1"/>
              </w:rPr>
              <w:t>企业进行核对确认后，可调转为相应数额的增值税进项税</w:t>
            </w:r>
            <w:r>
              <w:rPr>
                <w:spacing w:val="15"/>
              </w:rPr>
              <w:t xml:space="preserve"> </w:t>
            </w:r>
            <w:r>
              <w:rPr>
                <w:spacing w:val="-2"/>
              </w:rPr>
              <w:t>额。</w:t>
            </w:r>
          </w:p>
        </w:tc>
        <w:tc>
          <w:tcPr>
            <w:tcW w:w="2128" w:type="dxa"/>
            <w:vAlign w:val="top"/>
          </w:tcPr>
          <w:p>
            <w:pPr>
              <w:rPr>
                <w:rFonts w:ascii="Arial"/>
                <w:sz w:val="21"/>
              </w:rPr>
            </w:pPr>
            <w:r/>
          </w:p>
        </w:tc>
        <w:tc>
          <w:tcPr>
            <w:tcW w:w="919" w:type="dxa"/>
            <w:vAlign w:val="top"/>
          </w:tcPr>
          <w:p>
            <w:pPr>
              <w:pStyle w:val="TableText"/>
              <w:ind w:left="16" w:firstLine="57"/>
              <w:spacing w:before="129" w:line="247" w:lineRule="auto"/>
              <w:rPr/>
            </w:pPr>
            <w:r>
              <w:rPr>
                <w:spacing w:val="-7"/>
              </w:rPr>
              <w:t>行，第六条  </w:t>
            </w:r>
            <w:r>
              <w:rPr>
                <w:spacing w:val="5"/>
              </w:rPr>
              <w:t>第七条、第</w:t>
            </w:r>
            <w:r>
              <w:rPr/>
              <w:t xml:space="preserve">  </w:t>
            </w:r>
            <w:r>
              <w:rPr>
                <w:spacing w:val="3"/>
              </w:rPr>
              <w:t>八条自2022</w:t>
            </w:r>
            <w:r>
              <w:rPr/>
              <w:t xml:space="preserve">  </w:t>
            </w:r>
            <w:r>
              <w:rPr>
                <w:spacing w:val="-12"/>
              </w:rPr>
              <w:t>年</w:t>
            </w:r>
            <w:r>
              <w:rPr>
                <w:spacing w:val="-32"/>
              </w:rPr>
              <w:t xml:space="preserve"> </w:t>
            </w:r>
            <w:r>
              <w:rPr>
                <w:spacing w:val="-12"/>
              </w:rPr>
              <w:t>6</w:t>
            </w:r>
            <w:r>
              <w:rPr>
                <w:spacing w:val="-31"/>
              </w:rPr>
              <w:t xml:space="preserve"> </w:t>
            </w:r>
            <w:r>
              <w:rPr>
                <w:spacing w:val="-12"/>
              </w:rPr>
              <w:t>月</w:t>
            </w:r>
            <w:r>
              <w:rPr>
                <w:spacing w:val="-33"/>
              </w:rPr>
              <w:t xml:space="preserve"> </w:t>
            </w:r>
            <w:r>
              <w:rPr>
                <w:spacing w:val="-12"/>
              </w:rPr>
              <w:t>2</w:t>
            </w:r>
            <w:r>
              <w:rPr>
                <w:spacing w:val="-24"/>
              </w:rPr>
              <w:t xml:space="preserve"> </w:t>
            </w:r>
            <w:r>
              <w:rPr>
                <w:spacing w:val="-12"/>
              </w:rPr>
              <w:t>1</w:t>
            </w:r>
            <w:r>
              <w:rPr>
                <w:spacing w:val="-10"/>
              </w:rPr>
              <w:t xml:space="preserve"> </w:t>
            </w:r>
            <w:r>
              <w:rPr>
                <w:spacing w:val="-12"/>
              </w:rPr>
              <w:t>日 </w:t>
            </w:r>
            <w:r>
              <w:rPr>
                <w:spacing w:val="-7"/>
              </w:rPr>
              <w:t>起施行。《废</w:t>
            </w:r>
            <w:r>
              <w:rPr>
                <w:spacing w:val="2"/>
              </w:rPr>
              <w:t xml:space="preserve"> </w:t>
            </w:r>
            <w:r>
              <w:rPr>
                <w:spacing w:val="4"/>
              </w:rPr>
              <w:t>止的文件条</w:t>
            </w:r>
            <w:r>
              <w:rPr>
                <w:spacing w:val="1"/>
              </w:rPr>
              <w:t xml:space="preserve">  </w:t>
            </w:r>
            <w:r>
              <w:rPr>
                <w:spacing w:val="-3"/>
              </w:rPr>
              <w:t>款目录》(附</w:t>
            </w:r>
            <w:r>
              <w:rPr/>
              <w:t xml:space="preserve">  </w:t>
            </w:r>
            <w:r>
              <w:rPr>
                <w:spacing w:val="-9"/>
              </w:rPr>
              <w:t>件</w:t>
            </w:r>
            <w:r>
              <w:rPr>
                <w:spacing w:val="-6"/>
              </w:rPr>
              <w:t xml:space="preserve"> </w:t>
            </w:r>
            <w:r>
              <w:rPr>
                <w:spacing w:val="-9"/>
              </w:rPr>
              <w:t>3</w:t>
            </w:r>
            <w:r>
              <w:rPr>
                <w:spacing w:val="-11"/>
              </w:rPr>
              <w:t xml:space="preserve"> </w:t>
            </w:r>
            <w:r>
              <w:rPr>
                <w:spacing w:val="-9"/>
              </w:rPr>
              <w:t>)</w:t>
            </w:r>
            <w:r>
              <w:rPr>
                <w:spacing w:val="1"/>
              </w:rPr>
              <w:t xml:space="preserve"> </w:t>
            </w:r>
            <w:r>
              <w:rPr>
                <w:spacing w:val="-9"/>
              </w:rPr>
              <w:t>中 列</w:t>
            </w:r>
            <w:r>
              <w:rPr/>
              <w:t xml:space="preserve">  </w:t>
            </w:r>
            <w:r>
              <w:rPr>
                <w:spacing w:val="8"/>
              </w:rPr>
              <w:t>明的条款相</w:t>
            </w:r>
            <w:r>
              <w:rPr>
                <w:spacing w:val="1"/>
              </w:rPr>
              <w:t xml:space="preserve">  </w:t>
            </w:r>
            <w:r>
              <w:rPr>
                <w:spacing w:val="-2"/>
              </w:rPr>
              <w:t>应停止施行。</w:t>
            </w:r>
          </w:p>
        </w:tc>
        <w:tc>
          <w:tcPr>
            <w:tcW w:w="829" w:type="dxa"/>
            <w:vAlign w:val="top"/>
          </w:tcPr>
          <w:p>
            <w:pPr>
              <w:rPr>
                <w:rFonts w:ascii="Arial"/>
                <w:sz w:val="21"/>
              </w:rPr>
            </w:pPr>
            <w:r/>
          </w:p>
        </w:tc>
        <w:tc>
          <w:tcPr>
            <w:tcW w:w="1029" w:type="dxa"/>
            <w:vAlign w:val="top"/>
          </w:tcPr>
          <w:p>
            <w:pPr>
              <w:rPr>
                <w:rFonts w:ascii="Arial"/>
                <w:sz w:val="21"/>
              </w:rPr>
            </w:pPr>
            <w:r/>
          </w:p>
        </w:tc>
        <w:tc>
          <w:tcPr>
            <w:tcW w:w="464" w:type="dxa"/>
            <w:vAlign w:val="top"/>
          </w:tcPr>
          <w:p>
            <w:pPr>
              <w:rPr>
                <w:rFonts w:ascii="Arial"/>
                <w:sz w:val="21"/>
              </w:rPr>
            </w:pPr>
            <w:r/>
          </w:p>
        </w:tc>
      </w:tr>
      <w:tr>
        <w:trPr>
          <w:trHeight w:val="1642" w:hRule="atLeast"/>
        </w:trPr>
        <w:tc>
          <w:tcPr>
            <w:tcW w:w="26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84"/>
              <w:spacing w:before="49" w:line="183" w:lineRule="auto"/>
              <w:rPr/>
            </w:pPr>
            <w:r>
              <w:rPr/>
              <w:t>9</w:t>
            </w:r>
          </w:p>
        </w:tc>
        <w:tc>
          <w:tcPr>
            <w:tcW w:w="3986" w:type="dxa"/>
            <w:vAlign w:val="top"/>
          </w:tcPr>
          <w:p>
            <w:pPr>
              <w:pStyle w:val="TableText"/>
              <w:ind w:left="31" w:right="26"/>
              <w:spacing w:before="154" w:line="237" w:lineRule="auto"/>
              <w:jc w:val="both"/>
              <w:rPr/>
            </w:pPr>
            <w:r>
              <w:rPr/>
              <w:t>助力外贸企业缓解困难、促进进出口平稳发展，更好发挥出</w:t>
            </w:r>
            <w:r>
              <w:rPr>
                <w:spacing w:val="17"/>
              </w:rPr>
              <w:t xml:space="preserve"> </w:t>
            </w:r>
            <w:r>
              <w:rPr/>
              <w:t>口退税这一普惠公平、符合国际规则政策的效用，并从多方</w:t>
            </w:r>
            <w:r>
              <w:rPr>
                <w:spacing w:val="4"/>
              </w:rPr>
              <w:t xml:space="preserve"> </w:t>
            </w:r>
            <w:r>
              <w:rPr/>
              <w:t>面优化外贸营商环境</w:t>
            </w:r>
          </w:p>
        </w:tc>
        <w:tc>
          <w:tcPr>
            <w:tcW w:w="2128" w:type="dxa"/>
            <w:vAlign w:val="top"/>
          </w:tcPr>
          <w:p>
            <w:pPr>
              <w:pStyle w:val="TableText"/>
              <w:ind w:left="34"/>
              <w:spacing w:before="134" w:line="219" w:lineRule="auto"/>
              <w:rPr/>
            </w:pPr>
            <w:r>
              <w:rPr>
                <w:spacing w:val="-1"/>
              </w:rPr>
              <w:t>税务总局、公安部、财政部</w:t>
            </w:r>
          </w:p>
          <w:p>
            <w:pPr>
              <w:pStyle w:val="TableText"/>
              <w:ind w:left="44" w:right="70" w:firstLine="40"/>
              <w:spacing w:before="39" w:line="244" w:lineRule="auto"/>
              <w:rPr/>
            </w:pPr>
            <w:r>
              <w:rPr/>
              <w:t>交通运输部、商务部、文化和</w:t>
            </w:r>
            <w:r>
              <w:rPr>
                <w:spacing w:val="11"/>
              </w:rPr>
              <w:t xml:space="preserve"> </w:t>
            </w:r>
            <w:r>
              <w:rPr>
                <w:spacing w:val="2"/>
              </w:rPr>
              <w:t>旅游部、人民银行、海关总署</w:t>
            </w:r>
            <w:r>
              <w:rPr>
                <w:spacing w:val="7"/>
              </w:rPr>
              <w:t xml:space="preserve"> </w:t>
            </w:r>
            <w:r>
              <w:rPr>
                <w:spacing w:val="2"/>
              </w:rPr>
              <w:t>外汇局、银保监会《关于进一</w:t>
            </w:r>
            <w:r>
              <w:rPr>
                <w:spacing w:val="4"/>
              </w:rPr>
              <w:t xml:space="preserve"> </w:t>
            </w:r>
            <w:r>
              <w:rPr>
                <w:spacing w:val="2"/>
              </w:rPr>
              <w:t>步加大出口退税支持力度、促</w:t>
            </w:r>
            <w:r>
              <w:rPr>
                <w:spacing w:val="5"/>
              </w:rPr>
              <w:t xml:space="preserve"> </w:t>
            </w:r>
            <w:r>
              <w:rPr>
                <w:spacing w:val="2"/>
              </w:rPr>
              <w:t>进外贸平稳发展的通知》税总</w:t>
            </w:r>
            <w:r>
              <w:rPr>
                <w:spacing w:val="8"/>
              </w:rPr>
              <w:t xml:space="preserve"> </w:t>
            </w:r>
            <w:r>
              <w:rPr>
                <w:spacing w:val="-1"/>
              </w:rPr>
              <w:t>货劳发〔2022〕36号</w:t>
            </w:r>
          </w:p>
        </w:tc>
        <w:tc>
          <w:tcPr>
            <w:tcW w:w="919" w:type="dxa"/>
            <w:vAlign w:val="top"/>
          </w:tcPr>
          <w:p>
            <w:pPr>
              <w:pStyle w:val="TableText"/>
              <w:ind w:left="26" w:right="11" w:firstLine="20"/>
              <w:spacing w:before="133" w:line="242" w:lineRule="auto"/>
              <w:jc w:val="both"/>
              <w:rPr/>
            </w:pPr>
            <w:r>
              <w:rPr>
                <w:spacing w:val="14"/>
                <w:w w:val="111"/>
              </w:rPr>
              <w:t>2022年4月</w:t>
            </w:r>
            <w:r>
              <w:rPr>
                <w:spacing w:val="2"/>
              </w:rPr>
              <w:t xml:space="preserve"> </w:t>
            </w:r>
            <w:r>
              <w:rPr>
                <w:spacing w:val="-12"/>
              </w:rPr>
              <w:t>2</w:t>
            </w:r>
            <w:r>
              <w:rPr>
                <w:spacing w:val="-33"/>
              </w:rPr>
              <w:t xml:space="preserve"> </w:t>
            </w:r>
            <w:r>
              <w:rPr>
                <w:spacing w:val="-12"/>
              </w:rPr>
              <w:t>0 日 (</w:t>
            </w:r>
            <w:r>
              <w:rPr>
                <w:spacing w:val="-32"/>
              </w:rPr>
              <w:t xml:space="preserve"> </w:t>
            </w:r>
            <w:r>
              <w:rPr>
                <w:spacing w:val="-12"/>
              </w:rPr>
              <w:t>文</w:t>
            </w:r>
            <w:r>
              <w:rPr>
                <w:spacing w:val="-34"/>
              </w:rPr>
              <w:t xml:space="preserve"> </w:t>
            </w:r>
            <w:r>
              <w:rPr>
                <w:spacing w:val="-12"/>
              </w:rPr>
              <w:t>件</w:t>
            </w:r>
            <w:r>
              <w:rPr/>
              <w:t xml:space="preserve"> </w:t>
            </w:r>
            <w:r>
              <w:rPr>
                <w:spacing w:val="5"/>
              </w:rPr>
              <w:t>签发时间)</w:t>
            </w:r>
          </w:p>
        </w:tc>
        <w:tc>
          <w:tcPr>
            <w:tcW w:w="829" w:type="dxa"/>
            <w:vAlign w:val="top"/>
          </w:tcPr>
          <w:p>
            <w:pPr>
              <w:pStyle w:val="TableText"/>
              <w:ind w:left="107"/>
              <w:spacing w:before="134" w:line="220" w:lineRule="auto"/>
              <w:rPr/>
            </w:pPr>
            <w:r>
              <w:rPr>
                <w:spacing w:val="-2"/>
              </w:rPr>
              <w:t>外贸企业</w:t>
            </w:r>
          </w:p>
        </w:tc>
        <w:tc>
          <w:tcPr>
            <w:tcW w:w="1029" w:type="dxa"/>
            <w:vAlign w:val="top"/>
          </w:tcPr>
          <w:p>
            <w:pPr>
              <w:pStyle w:val="TableText"/>
              <w:ind w:left="208"/>
              <w:spacing w:before="134" w:line="220" w:lineRule="auto"/>
              <w:rPr/>
            </w:pPr>
            <w:r>
              <w:rPr>
                <w:spacing w:val="1"/>
              </w:rPr>
              <w:t>出口退税</w:t>
            </w:r>
          </w:p>
        </w:tc>
        <w:tc>
          <w:tcPr>
            <w:tcW w:w="464" w:type="dxa"/>
            <w:vAlign w:val="top"/>
          </w:tcPr>
          <w:p>
            <w:pPr>
              <w:pStyle w:val="TableText"/>
              <w:ind w:left="80"/>
              <w:spacing w:before="124" w:line="220" w:lineRule="auto"/>
              <w:rPr/>
            </w:pPr>
            <w:r>
              <w:rPr>
                <w:spacing w:val="-2"/>
              </w:rPr>
              <w:t>退税</w:t>
            </w:r>
          </w:p>
        </w:tc>
      </w:tr>
    </w:tbl>
    <w:p>
      <w:pPr>
        <w:pStyle w:val="BodyText"/>
        <w:rPr/>
      </w:pPr>
      <w:r/>
    </w:p>
    <w:p>
      <w:pPr>
        <w:sectPr>
          <w:pgSz w:w="11910" w:h="8220"/>
          <w:pgMar w:top="400" w:right="1145" w:bottom="400" w:left="809" w:header="0" w:footer="0" w:gutter="0"/>
        </w:sectPr>
        <w:rPr/>
      </w:pPr>
    </w:p>
    <w:p>
      <w:pPr>
        <w:spacing w:before="51"/>
        <w:rPr/>
      </w:pPr>
      <w:r>
        <w:pict>
          <v:shape id="_x0000_s72" style="position:absolute;margin-left:38.9997pt;margin-top:346.183pt;mso-position-vertical-relative:page;mso-position-horizontal-relative:page;width:10.2pt;height:16.3pt;z-index:251715584;"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3"/>
                      <w:szCs w:val="23"/>
                    </w:rPr>
                  </w:pPr>
                  <w:r>
                    <w:rPr>
                      <w:rFonts w:ascii="STCaiyun" w:hAnsi="STCaiyun" w:eastAsia="STCaiyun" w:cs="STCaiyun"/>
                      <w:sz w:val="23"/>
                      <w:szCs w:val="23"/>
                      <w:spacing w:val="-5"/>
                      <w:w w:val="73"/>
                    </w:rPr>
                    <w:t>台</w:t>
                  </w:r>
                </w:p>
              </w:txbxContent>
            </v:textbox>
          </v:shape>
        </w:pict>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38"/>
        <w:gridCol w:w="909"/>
        <w:gridCol w:w="849"/>
        <w:gridCol w:w="100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76" w:type="dxa"/>
            <w:vAlign w:val="top"/>
          </w:tcPr>
          <w:p>
            <w:pPr>
              <w:pStyle w:val="TableText"/>
              <w:ind w:left="1681"/>
              <w:spacing w:before="171" w:line="219" w:lineRule="auto"/>
              <w:rPr/>
            </w:pPr>
            <w:r>
              <w:rPr>
                <w:spacing w:val="-2"/>
              </w:rPr>
              <w:t>主要内容</w:t>
            </w:r>
          </w:p>
        </w:tc>
        <w:tc>
          <w:tcPr>
            <w:tcW w:w="2138" w:type="dxa"/>
            <w:vAlign w:val="top"/>
          </w:tcPr>
          <w:p>
            <w:pPr>
              <w:pStyle w:val="TableText"/>
              <w:ind w:left="76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49" w:type="dxa"/>
            <w:vAlign w:val="top"/>
          </w:tcPr>
          <w:p>
            <w:pPr>
              <w:pStyle w:val="TableText"/>
              <w:ind w:left="267" w:right="133" w:hanging="150"/>
              <w:spacing w:before="7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617" w:hRule="atLeast"/>
        </w:trPr>
        <w:tc>
          <w:tcPr>
            <w:tcW w:w="284" w:type="dxa"/>
            <w:vAlign w:val="top"/>
          </w:tcPr>
          <w:p>
            <w:pPr>
              <w:rPr>
                <w:rFonts w:ascii="Arial"/>
                <w:sz w:val="21"/>
              </w:rPr>
            </w:pPr>
            <w:r/>
          </w:p>
          <w:p>
            <w:pPr>
              <w:rPr>
                <w:rFonts w:ascii="Arial"/>
                <w:sz w:val="21"/>
              </w:rPr>
            </w:pPr>
            <w:r/>
          </w:p>
          <w:p>
            <w:pPr>
              <w:spacing w:line="241" w:lineRule="auto"/>
              <w:rPr>
                <w:rFonts w:ascii="Arial"/>
                <w:sz w:val="21"/>
              </w:rPr>
            </w:pPr>
            <w:r/>
          </w:p>
          <w:p>
            <w:pPr>
              <w:pStyle w:val="TableText"/>
              <w:ind w:left="55"/>
              <w:spacing w:before="49" w:line="184" w:lineRule="auto"/>
              <w:rPr/>
            </w:pPr>
            <w:r>
              <w:rPr>
                <w:spacing w:val="-5"/>
              </w:rPr>
              <w:t>10</w:t>
            </w:r>
          </w:p>
        </w:tc>
        <w:tc>
          <w:tcPr>
            <w:tcW w:w="3976" w:type="dxa"/>
            <w:vAlign w:val="top"/>
          </w:tcPr>
          <w:p>
            <w:pPr>
              <w:spacing w:line="266" w:lineRule="auto"/>
              <w:rPr>
                <w:rFonts w:ascii="Arial"/>
                <w:sz w:val="21"/>
              </w:rPr>
            </w:pPr>
            <w:r/>
          </w:p>
          <w:p>
            <w:pPr>
              <w:pStyle w:val="TableText"/>
              <w:spacing w:before="49" w:line="219" w:lineRule="auto"/>
              <w:jc w:val="right"/>
              <w:rPr/>
            </w:pPr>
            <w:r>
              <w:rPr>
                <w:spacing w:val="-4"/>
              </w:rPr>
              <w:t>根据《财政部税务总局关于进一步实施小微企业“六税两费”</w:t>
            </w:r>
          </w:p>
          <w:p>
            <w:pPr>
              <w:pStyle w:val="TableText"/>
              <w:ind w:left="210"/>
              <w:spacing w:before="19" w:line="216" w:lineRule="auto"/>
              <w:rPr/>
            </w:pPr>
            <w:r>
              <w:rPr/>
              <w:t>减免政策的公告》(2022年第10号),现</w:t>
            </w:r>
            <w:r>
              <w:rPr>
                <w:spacing w:val="-1"/>
              </w:rPr>
              <w:t>就资源税、城市</w:t>
            </w:r>
          </w:p>
          <w:p>
            <w:pPr>
              <w:pStyle w:val="TableText"/>
              <w:ind w:left="31" w:right="21" w:firstLine="30"/>
              <w:spacing w:before="16" w:line="245" w:lineRule="auto"/>
              <w:rPr/>
            </w:pPr>
            <w:r>
              <w:rPr>
                <w:spacing w:val="-1"/>
              </w:rPr>
              <w:t>维护建设税、房产税、城镇土地使用税、印花税(不含证券</w:t>
            </w:r>
            <w:r>
              <w:rPr>
                <w:spacing w:val="8"/>
              </w:rPr>
              <w:t xml:space="preserve">  </w:t>
            </w:r>
            <w:r>
              <w:rPr/>
              <w:t>交易印花税)、耕地占用税和教育费附加、地方教育附加(以</w:t>
            </w:r>
            <w:r>
              <w:rPr>
                <w:spacing w:val="12"/>
              </w:rPr>
              <w:t xml:space="preserve"> </w:t>
            </w:r>
            <w:r>
              <w:rPr>
                <w:spacing w:val="1"/>
              </w:rPr>
              <w:t>下简称“六税两费”)减免政策进一步实施。</w:t>
            </w:r>
          </w:p>
        </w:tc>
        <w:tc>
          <w:tcPr>
            <w:tcW w:w="2138" w:type="dxa"/>
            <w:vAlign w:val="top"/>
          </w:tcPr>
          <w:p>
            <w:pPr>
              <w:spacing w:line="265" w:lineRule="auto"/>
              <w:rPr>
                <w:rFonts w:ascii="Arial"/>
                <w:sz w:val="21"/>
              </w:rPr>
            </w:pPr>
            <w:r/>
          </w:p>
          <w:p>
            <w:pPr>
              <w:pStyle w:val="TableText"/>
              <w:ind w:left="34" w:right="75" w:firstLine="50"/>
              <w:spacing w:before="49" w:line="239" w:lineRule="auto"/>
              <w:jc w:val="both"/>
              <w:rPr/>
            </w:pPr>
            <w:r>
              <w:rPr>
                <w:spacing w:val="1"/>
              </w:rPr>
              <w:t>国家税务总局《国家税务总局</w:t>
            </w:r>
            <w:r>
              <w:rPr/>
              <w:t xml:space="preserve"> </w:t>
            </w:r>
            <w:r>
              <w:rPr>
                <w:spacing w:val="3"/>
              </w:rPr>
              <w:t>关于进一步实施小微企业“六</w:t>
            </w:r>
            <w:r>
              <w:rPr>
                <w:spacing w:val="1"/>
              </w:rPr>
              <w:t xml:space="preserve"> </w:t>
            </w:r>
            <w:r>
              <w:rPr>
                <w:spacing w:val="5"/>
              </w:rPr>
              <w:t>税两费”减免政策有关征管问</w:t>
            </w:r>
            <w:r>
              <w:rPr>
                <w:spacing w:val="1"/>
              </w:rPr>
              <w:t xml:space="preserve"> </w:t>
            </w:r>
            <w:r>
              <w:rPr>
                <w:spacing w:val="-1"/>
              </w:rPr>
              <w:t>题的公告》2022年第3号公告</w:t>
            </w:r>
          </w:p>
        </w:tc>
        <w:tc>
          <w:tcPr>
            <w:tcW w:w="909" w:type="dxa"/>
            <w:vAlign w:val="top"/>
          </w:tcPr>
          <w:p>
            <w:pPr>
              <w:spacing w:line="247" w:lineRule="auto"/>
              <w:rPr>
                <w:rFonts w:ascii="Arial"/>
                <w:sz w:val="21"/>
              </w:rPr>
            </w:pPr>
            <w:r/>
          </w:p>
          <w:p>
            <w:pPr>
              <w:pStyle w:val="TableText"/>
              <w:ind w:left="26" w:right="21" w:firstLine="20"/>
              <w:spacing w:before="49" w:line="248" w:lineRule="auto"/>
              <w:jc w:val="both"/>
              <w:rPr/>
            </w:pPr>
            <w:r>
              <w:rPr>
                <w:spacing w:val="22"/>
              </w:rPr>
              <w:t>2022年1月</w:t>
            </w:r>
            <w:r>
              <w:rPr/>
              <w:t xml:space="preserve"> </w:t>
            </w:r>
            <w:r>
              <w:rPr>
                <w:spacing w:val="5"/>
              </w:rPr>
              <w:t>1日</w:t>
            </w:r>
            <w:r>
              <w:rPr>
                <w:spacing w:val="19"/>
              </w:rPr>
              <w:t xml:space="preserve"> </w:t>
            </w:r>
            <w:r>
              <w:rPr>
                <w:spacing w:val="5"/>
              </w:rPr>
              <w:t>至2024</w:t>
            </w:r>
            <w:r>
              <w:rPr/>
              <w:t xml:space="preserve"> </w:t>
            </w:r>
            <w:r>
              <w:rPr>
                <w:spacing w:val="-8"/>
              </w:rPr>
              <w:t>年</w:t>
            </w:r>
            <w:r>
              <w:rPr>
                <w:spacing w:val="-14"/>
              </w:rPr>
              <w:t xml:space="preserve"> </w:t>
            </w:r>
            <w:r>
              <w:rPr>
                <w:spacing w:val="-8"/>
              </w:rPr>
              <w:t>1</w:t>
            </w:r>
            <w:r>
              <w:rPr>
                <w:spacing w:val="-23"/>
              </w:rPr>
              <w:t xml:space="preserve"> </w:t>
            </w:r>
            <w:r>
              <w:rPr>
                <w:spacing w:val="-8"/>
              </w:rPr>
              <w:t>2</w:t>
            </w:r>
            <w:r>
              <w:rPr>
                <w:spacing w:val="-21"/>
              </w:rPr>
              <w:t xml:space="preserve"> </w:t>
            </w:r>
            <w:r>
              <w:rPr>
                <w:spacing w:val="-8"/>
              </w:rPr>
              <w:t>月</w:t>
            </w:r>
            <w:r>
              <w:rPr>
                <w:spacing w:val="-22"/>
              </w:rPr>
              <w:t xml:space="preserve"> </w:t>
            </w:r>
            <w:r>
              <w:rPr>
                <w:spacing w:val="-8"/>
              </w:rPr>
              <w:t>3</w:t>
            </w:r>
            <w:r>
              <w:rPr>
                <w:spacing w:val="-13"/>
              </w:rPr>
              <w:t xml:space="preserve"> </w:t>
            </w:r>
            <w:r>
              <w:rPr>
                <w:spacing w:val="-8"/>
              </w:rPr>
              <w:t>1</w:t>
            </w:r>
            <w:r>
              <w:rPr/>
              <w:t xml:space="preserve"> </w:t>
            </w:r>
            <w:r>
              <w:rPr/>
              <w:t>日</w:t>
            </w:r>
          </w:p>
        </w:tc>
        <w:tc>
          <w:tcPr>
            <w:tcW w:w="849" w:type="dxa"/>
            <w:vAlign w:val="top"/>
          </w:tcPr>
          <w:p>
            <w:pPr>
              <w:spacing w:line="246" w:lineRule="auto"/>
              <w:rPr>
                <w:rFonts w:ascii="Arial"/>
                <w:sz w:val="21"/>
              </w:rPr>
            </w:pPr>
            <w:r/>
          </w:p>
          <w:p>
            <w:pPr>
              <w:pStyle w:val="TableText"/>
              <w:ind w:left="117"/>
              <w:spacing w:before="49" w:line="219" w:lineRule="auto"/>
              <w:rPr/>
            </w:pPr>
            <w:r>
              <w:rPr>
                <w:spacing w:val="-2"/>
              </w:rPr>
              <w:t>小微企业</w:t>
            </w:r>
          </w:p>
        </w:tc>
        <w:tc>
          <w:tcPr>
            <w:tcW w:w="1009" w:type="dxa"/>
            <w:vAlign w:val="top"/>
          </w:tcPr>
          <w:p>
            <w:pPr>
              <w:spacing w:line="246" w:lineRule="auto"/>
              <w:rPr>
                <w:rFonts w:ascii="Arial"/>
                <w:sz w:val="21"/>
              </w:rPr>
            </w:pPr>
            <w:r/>
          </w:p>
          <w:p>
            <w:pPr>
              <w:pStyle w:val="TableText"/>
              <w:ind w:left="198"/>
              <w:spacing w:before="49" w:line="219" w:lineRule="auto"/>
              <w:rPr/>
            </w:pPr>
            <w:r>
              <w:rPr>
                <w:spacing w:val="-1"/>
              </w:rPr>
              <w:t>税收减免</w:t>
            </w:r>
          </w:p>
        </w:tc>
        <w:tc>
          <w:tcPr>
            <w:tcW w:w="464" w:type="dxa"/>
            <w:vAlign w:val="top"/>
          </w:tcPr>
          <w:p>
            <w:pPr>
              <w:spacing w:line="246" w:lineRule="auto"/>
              <w:rPr>
                <w:rFonts w:ascii="Arial"/>
                <w:sz w:val="21"/>
              </w:rPr>
            </w:pPr>
            <w:r/>
          </w:p>
          <w:p>
            <w:pPr>
              <w:pStyle w:val="TableText"/>
              <w:ind w:left="80"/>
              <w:spacing w:before="49" w:line="219" w:lineRule="auto"/>
              <w:rPr/>
            </w:pPr>
            <w:r>
              <w:rPr>
                <w:spacing w:val="-2"/>
              </w:rPr>
              <w:t>减征</w:t>
            </w:r>
          </w:p>
        </w:tc>
      </w:tr>
      <w:tr>
        <w:trPr>
          <w:trHeight w:val="4038" w:hRule="atLeast"/>
        </w:trPr>
        <w:tc>
          <w:tcPr>
            <w:tcW w:w="284"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5"/>
              <w:spacing w:before="49" w:line="184" w:lineRule="auto"/>
              <w:rPr/>
            </w:pPr>
            <w:r>
              <w:rPr>
                <w:spacing w:val="-5"/>
              </w:rPr>
              <w:t>11</w:t>
            </w:r>
          </w:p>
        </w:tc>
        <w:tc>
          <w:tcPr>
            <w:tcW w:w="3976" w:type="dxa"/>
            <w:vAlign w:val="top"/>
          </w:tcPr>
          <w:p>
            <w:pPr>
              <w:spacing w:line="248" w:lineRule="auto"/>
              <w:rPr>
                <w:rFonts w:ascii="Arial"/>
                <w:sz w:val="21"/>
              </w:rPr>
            </w:pPr>
            <w:r/>
          </w:p>
          <w:p>
            <w:pPr>
              <w:pStyle w:val="TableText"/>
              <w:ind w:left="80"/>
              <w:spacing w:before="49" w:line="219" w:lineRule="auto"/>
              <w:rPr/>
            </w:pPr>
            <w:r>
              <w:rPr/>
              <w:t>(四)2022年，各地对符合条件的养老托育服务机构按照</w:t>
            </w:r>
          </w:p>
          <w:p>
            <w:pPr>
              <w:pStyle w:val="TableText"/>
              <w:ind w:left="41" w:right="88" w:firstLine="20"/>
              <w:spacing w:before="22" w:line="237" w:lineRule="auto"/>
              <w:rPr/>
            </w:pPr>
            <w:r>
              <w:rPr>
                <w:spacing w:val="-1"/>
              </w:rPr>
              <w:t>50%税额顶格减征资源税、城市维护建设税、房产税、城镇</w:t>
            </w:r>
            <w:r>
              <w:rPr>
                <w:spacing w:val="17"/>
              </w:rPr>
              <w:t xml:space="preserve"> </w:t>
            </w:r>
            <w:r>
              <w:rPr>
                <w:spacing w:val="2"/>
              </w:rPr>
              <w:t>土地使用税、印花税(不含证券交易印花税)、耕地占用税</w:t>
            </w:r>
            <w:r>
              <w:rPr/>
              <w:t xml:space="preserve"> </w:t>
            </w:r>
            <w:r>
              <w:rPr>
                <w:spacing w:val="-1"/>
              </w:rPr>
              <w:t>和教育费附加、地方教育附加等“六税两费”。</w:t>
            </w:r>
          </w:p>
          <w:p>
            <w:pPr>
              <w:pStyle w:val="TableText"/>
              <w:ind w:left="31" w:right="40" w:firstLine="69"/>
              <w:spacing w:before="32" w:line="238" w:lineRule="auto"/>
              <w:rPr/>
            </w:pPr>
            <w:r>
              <w:rPr>
                <w:spacing w:val="3"/>
              </w:rPr>
              <w:t>(五)养老托育服务机构可按规定享受《关于养</w:t>
            </w:r>
            <w:r>
              <w:rPr>
                <w:spacing w:val="2"/>
              </w:rPr>
              <w:t>老、托育、</w:t>
            </w:r>
            <w:r>
              <w:rPr/>
              <w:t xml:space="preserve"> </w:t>
            </w:r>
            <w:r>
              <w:rPr>
                <w:spacing w:val="-1"/>
              </w:rPr>
              <w:t>家政等社区家庭服务业税费优惠政策的公告》(财政部税</w:t>
            </w:r>
          </w:p>
          <w:p>
            <w:pPr>
              <w:pStyle w:val="TableText"/>
              <w:ind w:left="31" w:right="342"/>
              <w:spacing w:before="23" w:line="233" w:lineRule="auto"/>
              <w:rPr/>
            </w:pPr>
            <w:r>
              <w:rPr>
                <w:spacing w:val="-1"/>
              </w:rPr>
              <w:t>务总局发展改革委民政部商务部卫生健康委公告2019年</w:t>
            </w:r>
            <w:r>
              <w:rPr>
                <w:spacing w:val="17"/>
              </w:rPr>
              <w:t xml:space="preserve"> </w:t>
            </w:r>
            <w:r>
              <w:rPr>
                <w:spacing w:val="-1"/>
              </w:rPr>
              <w:t>第76号)规定的税费优惠政策</w:t>
            </w:r>
          </w:p>
          <w:p>
            <w:pPr>
              <w:pStyle w:val="TableText"/>
              <w:ind w:left="31" w:right="39" w:firstLine="69"/>
              <w:spacing w:before="13" w:line="247" w:lineRule="auto"/>
              <w:rPr/>
            </w:pPr>
            <w:r>
              <w:rPr/>
              <w:t>(六)养老托育行业纳税人可按规定享受按月全额退还增量</w:t>
            </w:r>
            <w:r>
              <w:rPr>
                <w:spacing w:val="2"/>
              </w:rPr>
              <w:t xml:space="preserve">  </w:t>
            </w:r>
            <w:r>
              <w:rPr>
                <w:spacing w:val="-1"/>
              </w:rPr>
              <w:t>留抵税额、</w:t>
            </w:r>
            <w:r>
              <w:rPr>
                <w:spacing w:val="31"/>
              </w:rPr>
              <w:t xml:space="preserve"> </w:t>
            </w:r>
            <w:r>
              <w:rPr>
                <w:spacing w:val="-1"/>
              </w:rPr>
              <w:t>一次性全额退还存量留抵税额的</w:t>
            </w:r>
            <w:r>
              <w:rPr>
                <w:spacing w:val="-2"/>
              </w:rPr>
              <w:t>留抵退税政策</w:t>
            </w:r>
            <w:r>
              <w:rPr/>
              <w:t xml:space="preserve">  </w:t>
            </w:r>
            <w:r>
              <w:rPr>
                <w:spacing w:val="3"/>
              </w:rPr>
              <w:t>(七)严格落实养老托育服务机构用电、用水、用气、用热</w:t>
            </w:r>
            <w:r>
              <w:rPr/>
              <w:t xml:space="preserve">  </w:t>
            </w:r>
            <w:r>
              <w:rPr>
                <w:spacing w:val="2"/>
              </w:rPr>
              <w:t>按居民生活类价格执行的政策，鼓励地方2022年视情给予</w:t>
            </w:r>
            <w:r>
              <w:rPr>
                <w:spacing w:val="3"/>
              </w:rPr>
              <w:t xml:space="preserve">  </w:t>
            </w:r>
            <w:r>
              <w:rPr/>
              <w:t>进一步减免优惠。落实对受疫情影响封闭管理</w:t>
            </w:r>
            <w:r>
              <w:rPr>
                <w:spacing w:val="-1"/>
              </w:rPr>
              <w:t>的养老托育服</w:t>
            </w:r>
            <w:r>
              <w:rPr/>
              <w:t xml:space="preserve"> </w:t>
            </w:r>
            <w:r>
              <w:rPr>
                <w:spacing w:val="2"/>
              </w:rPr>
              <w:t>务机构用电、用水、用气“欠费不停供”政策，设立6个月</w:t>
            </w:r>
            <w:r>
              <w:rPr>
                <w:spacing w:val="12"/>
              </w:rPr>
              <w:t xml:space="preserve"> </w:t>
            </w:r>
            <w:r>
              <w:rPr>
                <w:spacing w:val="-1"/>
              </w:rPr>
              <w:t>费用缓缴期，并可根据本地实际进一步延长，缓缴期间免收</w:t>
            </w:r>
            <w:r>
              <w:rPr>
                <w:spacing w:val="10"/>
              </w:rPr>
              <w:t xml:space="preserve"> </w:t>
            </w:r>
            <w:r>
              <w:rPr>
                <w:spacing w:val="-1"/>
              </w:rPr>
              <w:t>欠费滞纳金。养老托育服务机构申请办理电、水、气、热等</w:t>
            </w:r>
          </w:p>
          <w:p>
            <w:pPr>
              <w:pStyle w:val="TableText"/>
              <w:ind w:left="21"/>
              <w:spacing w:before="43" w:line="219" w:lineRule="auto"/>
              <w:rPr/>
            </w:pPr>
            <w:r>
              <w:rPr>
                <w:spacing w:val="-1"/>
              </w:rPr>
              <w:t>业务，实行限时办结制度</w:t>
            </w:r>
          </w:p>
        </w:tc>
        <w:tc>
          <w:tcPr>
            <w:tcW w:w="2138" w:type="dxa"/>
            <w:vAlign w:val="top"/>
          </w:tcPr>
          <w:p>
            <w:pPr>
              <w:spacing w:line="248" w:lineRule="auto"/>
              <w:rPr>
                <w:rFonts w:ascii="Arial"/>
                <w:sz w:val="21"/>
              </w:rPr>
            </w:pPr>
            <w:r/>
          </w:p>
          <w:p>
            <w:pPr>
              <w:pStyle w:val="TableText"/>
              <w:ind w:left="14" w:firstLine="68"/>
              <w:spacing w:before="49" w:line="246" w:lineRule="auto"/>
              <w:rPr/>
            </w:pPr>
            <w:r>
              <w:rPr>
                <w:spacing w:val="-4"/>
              </w:rPr>
              <w:t>国家发展改革委、教育部、科</w:t>
            </w:r>
            <w:r>
              <w:rPr/>
              <w:t xml:space="preserve">   </w:t>
            </w:r>
            <w:r>
              <w:rPr>
                <w:spacing w:val="-8"/>
              </w:rPr>
              <w:t>技部、民政部、财政部、</w:t>
            </w:r>
            <w:r>
              <w:rPr>
                <w:spacing w:val="8"/>
              </w:rPr>
              <w:t xml:space="preserve">   </w:t>
            </w:r>
            <w:r>
              <w:rPr>
                <w:spacing w:val="-8"/>
              </w:rPr>
              <w:t>人</w:t>
            </w:r>
            <w:r>
              <w:rPr/>
              <w:t xml:space="preserve">   </w:t>
            </w:r>
            <w:r>
              <w:rPr>
                <w:spacing w:val="2"/>
              </w:rPr>
              <w:t>力资源社会保障部、住房城乡  </w:t>
            </w:r>
            <w:r>
              <w:rPr/>
              <w:t>建设部、卫生健康委、人民银</w:t>
            </w:r>
            <w:r>
              <w:rPr>
                <w:spacing w:val="1"/>
              </w:rPr>
              <w:t xml:space="preserve">   </w:t>
            </w:r>
            <w:r>
              <w:rPr/>
              <w:t>行、国务院国资委、税务总局、</w:t>
            </w:r>
            <w:r>
              <w:rPr>
                <w:spacing w:val="12"/>
              </w:rPr>
              <w:t xml:space="preserve"> </w:t>
            </w:r>
            <w:r>
              <w:rPr/>
              <w:t>市场监管总局、银保监会《养   </w:t>
            </w:r>
            <w:r>
              <w:rPr/>
              <w:t>老托育服务业纾困扶持若干政</w:t>
            </w:r>
            <w:r>
              <w:rPr>
                <w:spacing w:val="1"/>
              </w:rPr>
              <w:t xml:space="preserve">   </w:t>
            </w:r>
            <w:r>
              <w:rPr>
                <w:spacing w:val="-3"/>
              </w:rPr>
              <w:t>策措施的通知》发改财金〔</w:t>
            </w:r>
          </w:p>
          <w:p>
            <w:pPr>
              <w:pStyle w:val="TableText"/>
              <w:ind w:left="24"/>
              <w:spacing w:before="22" w:line="221" w:lineRule="auto"/>
              <w:rPr/>
            </w:pPr>
            <w:r>
              <w:rPr>
                <w:spacing w:val="-1"/>
              </w:rPr>
              <w:t>2022〕1356号</w:t>
            </w:r>
          </w:p>
        </w:tc>
        <w:tc>
          <w:tcPr>
            <w:tcW w:w="909" w:type="dxa"/>
            <w:vAlign w:val="top"/>
          </w:tcPr>
          <w:p>
            <w:pPr>
              <w:pStyle w:val="TableText"/>
              <w:ind w:left="16" w:right="1" w:firstLine="10"/>
              <w:spacing w:before="289" w:line="242" w:lineRule="auto"/>
              <w:jc w:val="both"/>
              <w:rPr/>
            </w:pPr>
            <w:r>
              <w:rPr>
                <w:spacing w:val="15"/>
                <w:w w:val="113"/>
              </w:rPr>
              <w:t>2022年8月</w:t>
            </w:r>
            <w:r>
              <w:rPr>
                <w:spacing w:val="1"/>
              </w:rPr>
              <w:t xml:space="preserve"> </w:t>
            </w:r>
            <w:r>
              <w:rPr>
                <w:spacing w:val="-12"/>
              </w:rPr>
              <w:t>2</w:t>
            </w:r>
            <w:r>
              <w:rPr>
                <w:spacing w:val="-33"/>
              </w:rPr>
              <w:t xml:space="preserve"> </w:t>
            </w:r>
            <w:r>
              <w:rPr>
                <w:spacing w:val="-12"/>
              </w:rPr>
              <w:t>9 日 (</w:t>
            </w:r>
            <w:r>
              <w:rPr>
                <w:spacing w:val="-32"/>
              </w:rPr>
              <w:t xml:space="preserve"> </w:t>
            </w:r>
            <w:r>
              <w:rPr>
                <w:spacing w:val="-12"/>
              </w:rPr>
              <w:t>文</w:t>
            </w:r>
            <w:r>
              <w:rPr>
                <w:spacing w:val="-34"/>
              </w:rPr>
              <w:t xml:space="preserve"> </w:t>
            </w:r>
            <w:r>
              <w:rPr>
                <w:spacing w:val="-12"/>
              </w:rPr>
              <w:t>件</w:t>
            </w:r>
            <w:r>
              <w:rPr/>
              <w:t xml:space="preserve"> </w:t>
            </w:r>
            <w:r>
              <w:rPr>
                <w:spacing w:val="5"/>
              </w:rPr>
              <w:t>签发时间)</w:t>
            </w:r>
          </w:p>
        </w:tc>
        <w:tc>
          <w:tcPr>
            <w:tcW w:w="849" w:type="dxa"/>
            <w:vAlign w:val="top"/>
          </w:tcPr>
          <w:p>
            <w:pPr>
              <w:pStyle w:val="TableText"/>
              <w:ind w:left="197" w:right="47" w:hanging="149"/>
              <w:spacing w:before="289" w:line="226" w:lineRule="auto"/>
              <w:rPr/>
            </w:pPr>
            <w:r>
              <w:rPr>
                <w:spacing w:val="-2"/>
              </w:rPr>
              <w:t>养老托育服</w:t>
            </w:r>
            <w:r>
              <w:rPr>
                <w:spacing w:val="2"/>
              </w:rPr>
              <w:t xml:space="preserve"> </w:t>
            </w:r>
            <w:r>
              <w:rPr>
                <w:spacing w:val="-2"/>
              </w:rPr>
              <w:t>务机构</w:t>
            </w:r>
          </w:p>
        </w:tc>
        <w:tc>
          <w:tcPr>
            <w:tcW w:w="1009" w:type="dxa"/>
            <w:vAlign w:val="top"/>
          </w:tcPr>
          <w:p>
            <w:pPr>
              <w:pStyle w:val="TableText"/>
              <w:ind w:left="348"/>
              <w:spacing w:before="280" w:line="220" w:lineRule="auto"/>
              <w:rPr/>
            </w:pPr>
            <w:r>
              <w:rPr>
                <w:spacing w:val="-2"/>
              </w:rPr>
              <w:t>减税</w:t>
            </w:r>
          </w:p>
        </w:tc>
        <w:tc>
          <w:tcPr>
            <w:tcW w:w="464" w:type="dxa"/>
            <w:vAlign w:val="top"/>
          </w:tcPr>
          <w:p>
            <w:pPr>
              <w:pStyle w:val="TableText"/>
              <w:ind w:left="80"/>
              <w:spacing w:before="280" w:line="219" w:lineRule="auto"/>
              <w:rPr/>
            </w:pPr>
            <w:r>
              <w:rPr>
                <w:spacing w:val="-2"/>
              </w:rPr>
              <w:t>减征</w:t>
            </w:r>
          </w:p>
        </w:tc>
      </w:tr>
    </w:tbl>
    <w:p>
      <w:pPr>
        <w:pStyle w:val="BodyText"/>
        <w:rPr/>
      </w:pPr>
      <w:r/>
    </w:p>
    <w:p>
      <w:pPr>
        <w:sectPr>
          <w:pgSz w:w="11910" w:h="8220"/>
          <w:pgMar w:top="400" w:right="1155" w:bottom="400" w:left="799" w:header="0" w:footer="0" w:gutter="0"/>
        </w:sectPr>
        <w:rPr/>
      </w:pPr>
    </w:p>
    <w:p>
      <w:pPr>
        <w:spacing w:before="51"/>
        <w:rPr/>
      </w:pPr>
      <w:r>
        <w:pict>
          <v:shape id="_x0000_s74" style="position:absolute;margin-left:38.9997pt;margin-top:53.6389pt;mso-position-vertical-relative:page;mso-position-horizontal-relative:page;width:6.8pt;height:12.45pt;z-index:251716608;"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1"/>
                      <w:szCs w:val="21"/>
                    </w:rPr>
                  </w:pPr>
                  <w:r>
                    <w:rPr>
                      <w:rFonts w:ascii="SimSun" w:hAnsi="SimSun" w:eastAsia="SimSun" w:cs="SimSun"/>
                      <w:sz w:val="21"/>
                      <w:szCs w:val="21"/>
                    </w:rPr>
                    <w:t>8</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28"/>
        <w:gridCol w:w="889"/>
        <w:gridCol w:w="869"/>
        <w:gridCol w:w="1009"/>
        <w:gridCol w:w="474"/>
      </w:tblGrid>
      <w:tr>
        <w:trPr>
          <w:trHeight w:val="493"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7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869" w:type="dxa"/>
            <w:vAlign w:val="top"/>
          </w:tcPr>
          <w:p>
            <w:pPr>
              <w:pStyle w:val="TableText"/>
              <w:ind w:left="277" w:right="143" w:hanging="150"/>
              <w:spacing w:before="72" w:line="244"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2" w:line="252" w:lineRule="auto"/>
              <w:rPr/>
            </w:pPr>
            <w:r>
              <w:rPr>
                <w:spacing w:val="-3"/>
              </w:rPr>
              <w:t>政策</w:t>
            </w:r>
            <w:r>
              <w:rPr/>
              <w:t xml:space="preserve"> </w:t>
            </w:r>
            <w:r>
              <w:rPr>
                <w:spacing w:val="-4"/>
              </w:rPr>
              <w:t>形式</w:t>
            </w:r>
          </w:p>
        </w:tc>
      </w:tr>
      <w:tr>
        <w:trPr>
          <w:trHeight w:val="1904" w:hRule="atLeast"/>
        </w:trPr>
        <w:tc>
          <w:tcPr>
            <w:tcW w:w="284"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55"/>
              <w:spacing w:before="49" w:line="184" w:lineRule="auto"/>
              <w:rPr/>
            </w:pPr>
            <w:r>
              <w:rPr>
                <w:spacing w:val="-5"/>
              </w:rPr>
              <w:t>12</w:t>
            </w:r>
          </w:p>
        </w:tc>
        <w:tc>
          <w:tcPr>
            <w:tcW w:w="3976" w:type="dxa"/>
            <w:vAlign w:val="top"/>
          </w:tcPr>
          <w:p>
            <w:pPr>
              <w:pStyle w:val="TableText"/>
              <w:ind w:left="44" w:right="92" w:hanging="44"/>
              <w:spacing w:before="137" w:line="233" w:lineRule="auto"/>
              <w:rPr/>
            </w:pPr>
            <w:r>
              <w:rPr>
                <w:spacing w:val="-1"/>
              </w:rPr>
              <w:t>《财政部税务总局关于延续支持农村金融发展有关税收</w:t>
            </w:r>
            <w:r>
              <w:rPr>
                <w:spacing w:val="-2"/>
              </w:rPr>
              <w:t>政策</w:t>
            </w:r>
            <w:r>
              <w:rPr/>
              <w:t xml:space="preserve"> </w:t>
            </w:r>
            <w:r>
              <w:rPr/>
              <w:t>的通知》(财税〔2017〕44号)、《财政部税</w:t>
            </w:r>
            <w:r>
              <w:rPr>
                <w:spacing w:val="-1"/>
              </w:rPr>
              <w:t>务总局关于</w:t>
            </w:r>
          </w:p>
          <w:p>
            <w:pPr>
              <w:pStyle w:val="TableText"/>
              <w:spacing w:before="22" w:line="219" w:lineRule="auto"/>
              <w:jc w:val="right"/>
              <w:rPr/>
            </w:pPr>
            <w:r>
              <w:rPr>
                <w:spacing w:val="-4"/>
              </w:rPr>
              <w:t>小额贷款公司有关税收政策的通知》财税[2017</w:t>
            </w:r>
            <w:r>
              <w:rPr>
                <w:spacing w:val="-5"/>
              </w:rPr>
              <w:t xml:space="preserve"> ]48号)、《财</w:t>
            </w:r>
          </w:p>
          <w:p>
            <w:pPr>
              <w:pStyle w:val="TableText"/>
              <w:ind w:left="21"/>
              <w:spacing w:before="42" w:line="219" w:lineRule="auto"/>
              <w:rPr/>
            </w:pPr>
            <w:r>
              <w:rPr>
                <w:spacing w:val="-1"/>
              </w:rPr>
              <w:t>政部税务总局关于支持小微企业融资有关税收政策的通知</w:t>
            </w:r>
          </w:p>
          <w:p>
            <w:pPr>
              <w:pStyle w:val="TableText"/>
              <w:ind w:left="100"/>
              <w:spacing w:before="2" w:line="219" w:lineRule="auto"/>
              <w:rPr/>
            </w:pPr>
            <w:r>
              <w:rPr/>
              <w:t>(财税〔2017〕77号)、《财政部税务总局关于租入固定</w:t>
            </w:r>
          </w:p>
          <w:p>
            <w:pPr>
              <w:pStyle w:val="TableText"/>
              <w:ind w:left="61"/>
              <w:spacing w:before="42" w:line="219" w:lineRule="auto"/>
              <w:rPr/>
            </w:pPr>
            <w:r>
              <w:rPr/>
              <w:t>资产进项税额抵扣等增值税政策的通知》(财税〔2017〕90</w:t>
            </w:r>
          </w:p>
          <w:p>
            <w:pPr>
              <w:pStyle w:val="TableText"/>
              <w:ind w:left="21" w:right="419" w:firstLine="10"/>
              <w:spacing w:before="21" w:line="245" w:lineRule="auto"/>
              <w:rPr/>
            </w:pPr>
            <w:r>
              <w:rPr>
                <w:spacing w:val="-1"/>
              </w:rPr>
              <w:t>号)中规定于2019年12月31日执行到期的税收优惠政策</w:t>
            </w:r>
            <w:r>
              <w:rPr>
                <w:spacing w:val="17"/>
              </w:rPr>
              <w:t xml:space="preserve"> </w:t>
            </w:r>
            <w:r>
              <w:rPr>
                <w:spacing w:val="-1"/>
              </w:rPr>
              <w:t>实施期限延长至2023年12月31日。</w:t>
            </w:r>
          </w:p>
        </w:tc>
        <w:tc>
          <w:tcPr>
            <w:tcW w:w="2128" w:type="dxa"/>
            <w:vAlign w:val="top"/>
          </w:tcPr>
          <w:p>
            <w:pPr>
              <w:pStyle w:val="TableText"/>
              <w:ind w:left="85" w:right="89"/>
              <w:spacing w:before="138" w:line="236" w:lineRule="auto"/>
              <w:jc w:val="both"/>
              <w:rPr/>
            </w:pPr>
            <w:r>
              <w:rPr>
                <w:spacing w:val="-1"/>
              </w:rPr>
              <w:t>财政部、税务总局《关于延续</w:t>
            </w:r>
            <w:r>
              <w:rPr>
                <w:spacing w:val="5"/>
              </w:rPr>
              <w:t xml:space="preserve"> </w:t>
            </w:r>
            <w:r>
              <w:rPr>
                <w:spacing w:val="-1"/>
              </w:rPr>
              <w:t>实施普惠金融有关税收优惠政</w:t>
            </w:r>
            <w:r>
              <w:rPr>
                <w:spacing w:val="2"/>
              </w:rPr>
              <w:t xml:space="preserve"> </w:t>
            </w:r>
            <w:r>
              <w:rPr>
                <w:spacing w:val="-1"/>
              </w:rPr>
              <w:t>策的公告》2020年第22号公告</w:t>
            </w:r>
          </w:p>
        </w:tc>
        <w:tc>
          <w:tcPr>
            <w:tcW w:w="889" w:type="dxa"/>
            <w:vAlign w:val="top"/>
          </w:tcPr>
          <w:p>
            <w:pPr>
              <w:pStyle w:val="TableText"/>
              <w:ind w:left="16" w:right="6" w:firstLine="50"/>
              <w:spacing w:before="141" w:line="239" w:lineRule="auto"/>
              <w:jc w:val="both"/>
              <w:rPr/>
            </w:pPr>
            <w:r>
              <w:rPr>
                <w:spacing w:val="-1"/>
              </w:rPr>
              <w:t>延长至2023</w:t>
            </w:r>
            <w:r>
              <w:rPr/>
              <w:t xml:space="preserve">  </w:t>
            </w:r>
            <w:r>
              <w:rPr>
                <w:spacing w:val="-10"/>
              </w:rPr>
              <w:t>年 1</w:t>
            </w:r>
            <w:r>
              <w:rPr>
                <w:spacing w:val="-14"/>
              </w:rPr>
              <w:t xml:space="preserve"> </w:t>
            </w:r>
            <w:r>
              <w:rPr>
                <w:spacing w:val="-10"/>
              </w:rPr>
              <w:t>2</w:t>
            </w:r>
            <w:r>
              <w:rPr>
                <w:spacing w:val="-13"/>
              </w:rPr>
              <w:t xml:space="preserve"> </w:t>
            </w:r>
            <w:r>
              <w:rPr>
                <w:spacing w:val="-10"/>
              </w:rPr>
              <w:t>月</w:t>
            </w:r>
            <w:r>
              <w:rPr>
                <w:spacing w:val="-14"/>
              </w:rPr>
              <w:t xml:space="preserve"> </w:t>
            </w:r>
            <w:r>
              <w:rPr>
                <w:spacing w:val="-10"/>
              </w:rPr>
              <w:t>3 1</w:t>
            </w:r>
            <w:r>
              <w:rPr/>
              <w:t xml:space="preserve"> </w:t>
            </w:r>
            <w:r>
              <w:rPr/>
              <w:t>日</w:t>
            </w:r>
          </w:p>
        </w:tc>
        <w:tc>
          <w:tcPr>
            <w:tcW w:w="869" w:type="dxa"/>
            <w:vAlign w:val="top"/>
          </w:tcPr>
          <w:p>
            <w:pPr>
              <w:pStyle w:val="TableText"/>
              <w:ind w:left="358" w:right="56" w:hanging="300"/>
              <w:spacing w:before="138" w:line="221" w:lineRule="auto"/>
              <w:rPr/>
            </w:pPr>
            <w:r>
              <w:rPr>
                <w:spacing w:val="-2"/>
              </w:rPr>
              <w:t>相关金融机</w:t>
            </w:r>
            <w:r>
              <w:rPr>
                <w:spacing w:val="3"/>
              </w:rPr>
              <w:t xml:space="preserve"> </w:t>
            </w:r>
            <w:r>
              <w:rPr/>
              <w:t>构</w:t>
            </w:r>
          </w:p>
        </w:tc>
        <w:tc>
          <w:tcPr>
            <w:tcW w:w="1009" w:type="dxa"/>
            <w:vAlign w:val="top"/>
          </w:tcPr>
          <w:p>
            <w:pPr>
              <w:pStyle w:val="TableText"/>
              <w:ind w:left="348"/>
              <w:spacing w:before="118" w:line="220" w:lineRule="auto"/>
              <w:rPr/>
            </w:pPr>
            <w:r>
              <w:rPr>
                <w:spacing w:val="-2"/>
              </w:rPr>
              <w:t>延期</w:t>
            </w:r>
          </w:p>
        </w:tc>
        <w:tc>
          <w:tcPr>
            <w:tcW w:w="474" w:type="dxa"/>
            <w:vAlign w:val="top"/>
          </w:tcPr>
          <w:p>
            <w:pPr>
              <w:pStyle w:val="TableText"/>
              <w:ind w:left="80"/>
              <w:spacing w:before="118" w:line="221" w:lineRule="auto"/>
              <w:rPr/>
            </w:pPr>
            <w:r>
              <w:rPr>
                <w:spacing w:val="-2"/>
              </w:rPr>
              <w:t>其它</w:t>
            </w:r>
          </w:p>
        </w:tc>
      </w:tr>
      <w:tr>
        <w:trPr>
          <w:trHeight w:val="1092" w:hRule="atLeast"/>
        </w:trPr>
        <w:tc>
          <w:tcPr>
            <w:tcW w:w="284" w:type="dxa"/>
            <w:vAlign w:val="top"/>
          </w:tcPr>
          <w:p>
            <w:pPr>
              <w:spacing w:line="460" w:lineRule="auto"/>
              <w:rPr>
                <w:rFonts w:ascii="Arial"/>
                <w:sz w:val="21"/>
              </w:rPr>
            </w:pPr>
            <w:r/>
          </w:p>
          <w:p>
            <w:pPr>
              <w:pStyle w:val="TableText"/>
              <w:ind w:left="55"/>
              <w:spacing w:before="49" w:line="184" w:lineRule="auto"/>
              <w:rPr/>
            </w:pPr>
            <w:r>
              <w:rPr>
                <w:spacing w:val="-5"/>
              </w:rPr>
              <w:t>13</w:t>
            </w:r>
          </w:p>
        </w:tc>
        <w:tc>
          <w:tcPr>
            <w:tcW w:w="3976" w:type="dxa"/>
            <w:vAlign w:val="top"/>
          </w:tcPr>
          <w:p>
            <w:pPr>
              <w:pStyle w:val="TableText"/>
              <w:ind w:left="41"/>
              <w:spacing w:before="124" w:line="219" w:lineRule="auto"/>
              <w:rPr/>
            </w:pPr>
            <w:r>
              <w:rPr>
                <w:spacing w:val="-1"/>
              </w:rPr>
              <w:t>对购置挂车减半征收车辆购置税。</w:t>
            </w:r>
          </w:p>
        </w:tc>
        <w:tc>
          <w:tcPr>
            <w:tcW w:w="2128" w:type="dxa"/>
            <w:vAlign w:val="top"/>
          </w:tcPr>
          <w:p>
            <w:pPr>
              <w:pStyle w:val="TableText"/>
              <w:ind w:left="14" w:right="87" w:firstLine="70"/>
              <w:spacing w:before="143" w:line="239" w:lineRule="auto"/>
              <w:jc w:val="both"/>
              <w:rPr/>
            </w:pPr>
            <w:r>
              <w:rPr>
                <w:spacing w:val="-1"/>
              </w:rPr>
              <w:t>财政部、税务总局、工业和信</w:t>
            </w:r>
            <w:r>
              <w:rPr>
                <w:spacing w:val="5"/>
              </w:rPr>
              <w:t xml:space="preserve"> </w:t>
            </w:r>
            <w:r>
              <w:rPr>
                <w:spacing w:val="4"/>
              </w:rPr>
              <w:t>息化部《关于对挂车减征车辆 </w:t>
            </w:r>
            <w:r>
              <w:rPr>
                <w:spacing w:val="4"/>
              </w:rPr>
              <w:t>购置税的公告》2018年第69号</w:t>
            </w:r>
            <w:r>
              <w:rPr/>
              <w:t xml:space="preserve"> </w:t>
            </w:r>
            <w:r>
              <w:rPr>
                <w:spacing w:val="5"/>
              </w:rPr>
              <w:t>公告</w:t>
            </w:r>
          </w:p>
        </w:tc>
        <w:tc>
          <w:tcPr>
            <w:tcW w:w="889" w:type="dxa"/>
            <w:vAlign w:val="top"/>
          </w:tcPr>
          <w:p>
            <w:pPr>
              <w:pStyle w:val="TableText"/>
              <w:ind w:left="15" w:hanging="9"/>
              <w:spacing w:before="144" w:line="245" w:lineRule="auto"/>
              <w:jc w:val="both"/>
              <w:rPr/>
            </w:pPr>
            <w:r>
              <w:rPr>
                <w:spacing w:val="-11"/>
              </w:rPr>
              <w:t>2</w:t>
            </w:r>
            <w:r>
              <w:rPr>
                <w:spacing w:val="-32"/>
              </w:rPr>
              <w:t xml:space="preserve"> </w:t>
            </w:r>
            <w:r>
              <w:rPr>
                <w:spacing w:val="-11"/>
              </w:rPr>
              <w:t>0</w:t>
            </w:r>
            <w:r>
              <w:rPr>
                <w:spacing w:val="-22"/>
              </w:rPr>
              <w:t xml:space="preserve"> </w:t>
            </w:r>
            <w:r>
              <w:rPr>
                <w:spacing w:val="-11"/>
              </w:rPr>
              <w:t>1</w:t>
            </w:r>
            <w:r>
              <w:rPr>
                <w:spacing w:val="-33"/>
              </w:rPr>
              <w:t xml:space="preserve"> </w:t>
            </w:r>
            <w:r>
              <w:rPr>
                <w:spacing w:val="-11"/>
              </w:rPr>
              <w:t>8</w:t>
            </w:r>
            <w:r>
              <w:rPr>
                <w:spacing w:val="-32"/>
              </w:rPr>
              <w:t xml:space="preserve"> </w:t>
            </w:r>
            <w:r>
              <w:rPr>
                <w:spacing w:val="-11"/>
              </w:rPr>
              <w:t>年</w:t>
            </w:r>
            <w:r>
              <w:rPr>
                <w:spacing w:val="-29"/>
              </w:rPr>
              <w:t xml:space="preserve"> </w:t>
            </w:r>
            <w:r>
              <w:rPr>
                <w:spacing w:val="-11"/>
              </w:rPr>
              <w:t>7</w:t>
            </w:r>
            <w:r>
              <w:rPr>
                <w:spacing w:val="-29"/>
              </w:rPr>
              <w:t xml:space="preserve"> </w:t>
            </w:r>
            <w:r>
              <w:rPr>
                <w:spacing w:val="-11"/>
              </w:rPr>
              <w:t>月</w:t>
            </w:r>
            <w:r>
              <w:rPr/>
              <w:t xml:space="preserve"> </w:t>
            </w:r>
            <w:r>
              <w:rPr>
                <w:spacing w:val="4"/>
              </w:rPr>
              <w:t>1日</w:t>
            </w:r>
            <w:r>
              <w:rPr>
                <w:spacing w:val="13"/>
              </w:rPr>
              <w:t xml:space="preserve"> </w:t>
            </w:r>
            <w:r>
              <w:rPr>
                <w:spacing w:val="4"/>
              </w:rPr>
              <w:t>至2023</w:t>
            </w:r>
            <w:r>
              <w:rPr/>
              <w:t xml:space="preserve">  </w:t>
            </w:r>
            <w:r>
              <w:rPr>
                <w:spacing w:val="-12"/>
              </w:rPr>
              <w:t>年 1</w:t>
            </w:r>
            <w:r>
              <w:rPr>
                <w:spacing w:val="-13"/>
              </w:rPr>
              <w:t xml:space="preserve"> </w:t>
            </w:r>
            <w:r>
              <w:rPr>
                <w:spacing w:val="-12"/>
              </w:rPr>
              <w:t>2</w:t>
            </w:r>
            <w:r>
              <w:rPr>
                <w:spacing w:val="-15"/>
              </w:rPr>
              <w:t xml:space="preserve"> </w:t>
            </w:r>
            <w:r>
              <w:rPr>
                <w:spacing w:val="-12"/>
              </w:rPr>
              <w:t>月</w:t>
            </w:r>
            <w:r>
              <w:rPr>
                <w:spacing w:val="-15"/>
              </w:rPr>
              <w:t xml:space="preserve"> </w:t>
            </w:r>
            <w:r>
              <w:rPr>
                <w:spacing w:val="-12"/>
              </w:rPr>
              <w:t>3 1</w:t>
            </w:r>
            <w:r>
              <w:rPr/>
              <w:t xml:space="preserve"> </w:t>
            </w:r>
            <w:r>
              <w:rPr/>
              <w:t>日</w:t>
            </w:r>
          </w:p>
        </w:tc>
        <w:tc>
          <w:tcPr>
            <w:tcW w:w="869" w:type="dxa"/>
            <w:vAlign w:val="top"/>
          </w:tcPr>
          <w:p>
            <w:pPr>
              <w:pStyle w:val="TableText"/>
              <w:ind w:left="28" w:right="55" w:firstLine="30"/>
              <w:spacing w:before="133" w:line="237" w:lineRule="auto"/>
              <w:rPr/>
            </w:pPr>
            <w:r>
              <w:rPr>
                <w:spacing w:val="-1"/>
              </w:rPr>
              <w:t>购置挂车的</w:t>
            </w:r>
            <w:r>
              <w:rPr/>
              <w:t xml:space="preserve"> </w:t>
            </w:r>
            <w:r>
              <w:rPr>
                <w:spacing w:val="-3"/>
              </w:rPr>
              <w:t>企业</w:t>
            </w:r>
          </w:p>
        </w:tc>
        <w:tc>
          <w:tcPr>
            <w:tcW w:w="1009" w:type="dxa"/>
            <w:vAlign w:val="top"/>
          </w:tcPr>
          <w:p>
            <w:pPr>
              <w:pStyle w:val="TableText"/>
              <w:ind w:left="128"/>
              <w:spacing w:before="134" w:line="219" w:lineRule="auto"/>
              <w:rPr/>
            </w:pPr>
            <w:r>
              <w:rPr>
                <w:spacing w:val="-2"/>
              </w:rPr>
              <w:t>车辆购置税</w:t>
            </w:r>
          </w:p>
        </w:tc>
        <w:tc>
          <w:tcPr>
            <w:tcW w:w="474" w:type="dxa"/>
            <w:vAlign w:val="top"/>
          </w:tcPr>
          <w:p>
            <w:pPr>
              <w:pStyle w:val="TableText"/>
              <w:ind w:left="80"/>
              <w:spacing w:before="124" w:line="219" w:lineRule="auto"/>
              <w:rPr/>
            </w:pPr>
            <w:r>
              <w:rPr>
                <w:spacing w:val="-2"/>
              </w:rPr>
              <w:t>减征</w:t>
            </w:r>
          </w:p>
        </w:tc>
      </w:tr>
    </w:tbl>
    <w:p>
      <w:pPr>
        <w:pStyle w:val="BodyText"/>
        <w:rPr/>
      </w:pPr>
      <w:r/>
    </w:p>
    <w:p>
      <w:pPr>
        <w:sectPr>
          <w:pgSz w:w="11910" w:h="8220"/>
          <w:pgMar w:top="400" w:right="1145" w:bottom="400" w:left="799" w:header="0" w:footer="0" w:gutter="0"/>
        </w:sectPr>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71"/>
        <w:spacing w:before="101" w:line="222" w:lineRule="auto"/>
        <w:outlineLvl w:val="6"/>
        <w:rPr>
          <w:rFonts w:ascii="SimHei" w:hAnsi="SimHei" w:eastAsia="SimHei" w:cs="SimHei"/>
          <w:sz w:val="31"/>
          <w:szCs w:val="31"/>
        </w:rPr>
      </w:pPr>
      <w:r>
        <w:rPr>
          <w:rFonts w:ascii="SimHei" w:hAnsi="SimHei" w:eastAsia="SimHei" w:cs="SimHei"/>
          <w:sz w:val="31"/>
          <w:szCs w:val="31"/>
          <w:b/>
          <w:bCs/>
          <w:spacing w:val="-7"/>
        </w:rPr>
        <w:t>三、降低企业制度性交易成本政策</w:t>
      </w:r>
    </w:p>
    <w:p>
      <w:pPr>
        <w:spacing w:line="222" w:lineRule="auto"/>
        <w:sectPr>
          <w:footerReference w:type="default" r:id="rId21"/>
          <w:pgSz w:w="8220" w:h="11910"/>
          <w:pgMar w:top="400" w:right="1105" w:bottom="943" w:left="1233" w:header="0" w:footer="784" w:gutter="0"/>
        </w:sectPr>
        <w:rPr>
          <w:rFonts w:ascii="SimHei" w:hAnsi="SimHei" w:eastAsia="SimHei" w:cs="SimHei"/>
          <w:sz w:val="31"/>
          <w:szCs w:val="31"/>
        </w:rPr>
      </w:pPr>
    </w:p>
    <w:p>
      <w:pPr>
        <w:pStyle w:val="BodyText"/>
        <w:spacing w:line="258" w:lineRule="auto"/>
        <w:rPr/>
      </w:pPr>
      <w:r/>
    </w:p>
    <w:p>
      <w:pPr>
        <w:pStyle w:val="BodyText"/>
        <w:spacing w:line="258" w:lineRule="auto"/>
        <w:rPr/>
      </w:pPr>
      <w:r/>
    </w:p>
    <w:p>
      <w:pPr>
        <w:ind w:left="3603"/>
        <w:spacing w:before="75" w:line="219" w:lineRule="auto"/>
        <w:rPr>
          <w:rFonts w:ascii="SimSun" w:hAnsi="SimSun" w:eastAsia="SimSun" w:cs="SimSun"/>
          <w:sz w:val="23"/>
          <w:szCs w:val="23"/>
        </w:rPr>
      </w:pPr>
      <w:r>
        <w:pict>
          <v:shape id="_x0000_s76" style="position:absolute;margin-left:-1pt;margin-top:7.95346pt;mso-position-vertical-relative:text;mso-position-horizontal-relative:text;width:7.3pt;height:13.45pt;z-index:251718656;"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3"/>
                      <w:szCs w:val="23"/>
                    </w:rPr>
                  </w:pPr>
                  <w:r>
                    <w:rPr>
                      <w:rFonts w:ascii="SimSun" w:hAnsi="SimSun" w:eastAsia="SimSun" w:cs="SimSun"/>
                      <w:sz w:val="23"/>
                      <w:szCs w:val="23"/>
                    </w:rPr>
                    <w:t>8</w:t>
                  </w:r>
                </w:p>
              </w:txbxContent>
            </v:textbox>
          </v:shape>
        </w:pict>
      </w:r>
      <w:r>
        <w:rPr>
          <w:rFonts w:ascii="SimSun" w:hAnsi="SimSun" w:eastAsia="SimSun" w:cs="SimSun"/>
          <w:sz w:val="23"/>
          <w:szCs w:val="23"/>
          <w:b/>
          <w:bCs/>
          <w:spacing w:val="-3"/>
        </w:rPr>
        <w:t>降低企业制度性交易成本政策</w:t>
      </w:r>
    </w:p>
    <w:p>
      <w:pPr>
        <w:spacing w:line="77" w:lineRule="auto"/>
        <w:rPr>
          <w:rFonts w:ascii="Arial"/>
          <w:sz w:val="2"/>
        </w:rPr>
      </w:pPr>
      <w:r>
        <w:rPr>
          <w:rFonts w:ascii="Arial"/>
          <w:sz w:val="2"/>
        </w:r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75"/>
        <w:gridCol w:w="2108"/>
        <w:gridCol w:w="919"/>
        <w:gridCol w:w="679"/>
        <w:gridCol w:w="67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4975" w:type="dxa"/>
            <w:vAlign w:val="top"/>
          </w:tcPr>
          <w:p>
            <w:pPr>
              <w:pStyle w:val="TableText"/>
              <w:ind w:left="2181"/>
              <w:spacing w:before="171" w:line="219" w:lineRule="auto"/>
              <w:rPr/>
            </w:pPr>
            <w:r>
              <w:rPr>
                <w:spacing w:val="-2"/>
              </w:rPr>
              <w:t>主要内容</w:t>
            </w:r>
          </w:p>
        </w:tc>
        <w:tc>
          <w:tcPr>
            <w:tcW w:w="2108" w:type="dxa"/>
            <w:vAlign w:val="top"/>
          </w:tcPr>
          <w:p>
            <w:pPr>
              <w:pStyle w:val="TableText"/>
              <w:ind w:left="74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74" w:type="dxa"/>
            <w:vAlign w:val="top"/>
          </w:tcPr>
          <w:p>
            <w:pPr>
              <w:pStyle w:val="TableText"/>
              <w:ind w:left="30"/>
              <w:spacing w:before="171" w:line="220" w:lineRule="auto"/>
              <w:rPr/>
            </w:pPr>
            <w:r>
              <w:rPr>
                <w:spacing w:val="-1"/>
              </w:rPr>
              <w:t>政策形式</w:t>
            </w:r>
          </w:p>
        </w:tc>
      </w:tr>
      <w:tr>
        <w:trPr>
          <w:trHeight w:val="280" w:hRule="atLeast"/>
        </w:trPr>
        <w:tc>
          <w:tcPr>
            <w:shd w:val="clear" w:fill="DCDDDD"/>
            <w:tcW w:w="9639" w:type="dxa"/>
            <w:vAlign w:val="top"/>
            <w:gridSpan w:val="6"/>
          </w:tcPr>
          <w:p>
            <w:pPr>
              <w:pStyle w:val="TableText"/>
              <w:ind w:left="3947"/>
              <w:spacing w:before="65" w:line="219" w:lineRule="auto"/>
              <w:rPr/>
            </w:pPr>
            <w:r>
              <w:rPr>
                <w:b/>
                <w:bCs/>
                <w:spacing w:val="-3"/>
              </w:rPr>
              <w:t>一、保护企业和企业家权益</w:t>
            </w:r>
          </w:p>
        </w:tc>
      </w:tr>
      <w:tr>
        <w:trPr>
          <w:trHeight w:val="5136" w:hRule="atLeast"/>
        </w:trPr>
        <w:tc>
          <w:tcPr>
            <w:tcW w:w="28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94"/>
              <w:spacing w:before="48" w:line="184" w:lineRule="auto"/>
              <w:rPr/>
            </w:pPr>
            <w:r>
              <w:rPr/>
              <w:t>1</w:t>
            </w:r>
          </w:p>
        </w:tc>
        <w:tc>
          <w:tcPr>
            <w:tcW w:w="4975" w:type="dxa"/>
            <w:vAlign w:val="top"/>
          </w:tcPr>
          <w:p>
            <w:pPr>
              <w:pStyle w:val="TableText"/>
              <w:ind w:left="31"/>
              <w:spacing w:before="96" w:line="219" w:lineRule="auto"/>
              <w:rPr/>
            </w:pPr>
            <w:r>
              <w:rPr>
                <w:spacing w:val="-1"/>
              </w:rPr>
              <w:t>一、基本原则，</w:t>
            </w:r>
          </w:p>
          <w:p>
            <w:pPr>
              <w:pStyle w:val="TableText"/>
              <w:spacing w:before="33" w:line="219" w:lineRule="auto"/>
              <w:jc w:val="right"/>
              <w:rPr/>
            </w:pPr>
            <w:r>
              <w:rPr/>
              <w:t>坚持法制统一。行政裁量权基准的设定要于法于规有据，符合法律、法规、</w:t>
            </w:r>
          </w:p>
          <w:p>
            <w:pPr>
              <w:pStyle w:val="TableText"/>
              <w:ind w:left="31" w:right="89" w:firstLine="49"/>
              <w:spacing w:before="41" w:line="229" w:lineRule="auto"/>
              <w:rPr/>
            </w:pPr>
            <w:r>
              <w:rPr/>
              <w:t>规章有关行政执法事项、条件、程序、种类、幅度的规</w:t>
            </w:r>
            <w:r>
              <w:rPr>
                <w:spacing w:val="-1"/>
              </w:rPr>
              <w:t>定，充分考虑调整</w:t>
            </w:r>
            <w:r>
              <w:rPr/>
              <w:t xml:space="preserve"> </w:t>
            </w:r>
            <w:r>
              <w:rPr>
                <w:spacing w:val="1"/>
              </w:rPr>
              <w:t>共同行政行为的一般法与调整某种具体社会关系或者某一方面内容的单行</w:t>
            </w:r>
            <w:r>
              <w:rPr>
                <w:spacing w:val="11"/>
              </w:rPr>
              <w:t xml:space="preserve"> </w:t>
            </w:r>
            <w:r>
              <w:rPr/>
              <w:t>法之间的关系，做到相互衔接，确保法制的统一性、系统性</w:t>
            </w:r>
            <w:r>
              <w:rPr>
                <w:spacing w:val="-1"/>
              </w:rPr>
              <w:t>和完整性。</w:t>
            </w:r>
          </w:p>
          <w:p>
            <w:pPr>
              <w:pStyle w:val="TableText"/>
              <w:ind w:left="21" w:right="90" w:firstLine="59"/>
              <w:spacing w:before="42" w:line="233" w:lineRule="auto"/>
              <w:rPr/>
            </w:pPr>
            <w:r>
              <w:rPr/>
              <w:t>坚持程序公正。严格依照法定程序科学合理制定行</w:t>
            </w:r>
            <w:r>
              <w:rPr>
                <w:spacing w:val="-1"/>
              </w:rPr>
              <w:t>政裁量权基准，广泛听</w:t>
            </w:r>
            <w:r>
              <w:rPr/>
              <w:t xml:space="preserve"> </w:t>
            </w:r>
            <w:r>
              <w:rPr>
                <w:spacing w:val="2"/>
              </w:rPr>
              <w:t>取公民、法人和其他组织的意见，依法保障</w:t>
            </w:r>
            <w:r>
              <w:rPr>
                <w:spacing w:val="1"/>
              </w:rPr>
              <w:t>行政相对人、利害关系人的知</w:t>
            </w:r>
            <w:r>
              <w:rPr/>
              <w:t xml:space="preserve"> </w:t>
            </w:r>
            <w:r>
              <w:rPr>
                <w:spacing w:val="2"/>
              </w:rPr>
              <w:t>情权和参与权。行政裁量权基准一律向社会公</w:t>
            </w:r>
            <w:r>
              <w:rPr>
                <w:spacing w:val="1"/>
              </w:rPr>
              <w:t>开，接受市场主体和人民群</w:t>
            </w:r>
            <w:r>
              <w:rPr/>
              <w:t xml:space="preserve"> </w:t>
            </w:r>
            <w:r>
              <w:rPr>
                <w:spacing w:val="-1"/>
              </w:rPr>
              <w:t>众监督。</w:t>
            </w:r>
          </w:p>
          <w:p>
            <w:pPr>
              <w:pStyle w:val="TableText"/>
              <w:ind w:left="21" w:right="76" w:firstLine="59"/>
              <w:spacing w:before="42" w:line="238" w:lineRule="auto"/>
              <w:jc w:val="both"/>
              <w:rPr/>
            </w:pPr>
            <w:r>
              <w:rPr/>
              <w:t>坚持公平合理。制定行政裁量权基准要综合考虑行</w:t>
            </w:r>
            <w:r>
              <w:rPr>
                <w:spacing w:val="-1"/>
              </w:rPr>
              <w:t>政职权的种类，以及行</w:t>
            </w:r>
            <w:r>
              <w:rPr/>
              <w:t xml:space="preserve"> </w:t>
            </w:r>
            <w:r>
              <w:rPr>
                <w:spacing w:val="2"/>
              </w:rPr>
              <w:t>政执法行为的事实、性质、情节、法律要求和本</w:t>
            </w:r>
            <w:r>
              <w:rPr>
                <w:spacing w:val="1"/>
              </w:rPr>
              <w:t>地区经济社会发展状况等</w:t>
            </w:r>
            <w:r>
              <w:rPr/>
              <w:t xml:space="preserve"> </w:t>
            </w:r>
            <w:r>
              <w:rPr>
                <w:spacing w:val="2"/>
              </w:rPr>
              <w:t>因素，应确属必要、适当，并符合社会公序良俗和公众合理期待。要平等 </w:t>
            </w:r>
            <w:r>
              <w:rPr>
                <w:spacing w:val="2"/>
              </w:rPr>
              <w:t>对待公民、法人和其他组织，对类别、性质、情</w:t>
            </w:r>
            <w:r>
              <w:rPr>
                <w:spacing w:val="1"/>
              </w:rPr>
              <w:t>节相同或者相近事项处理</w:t>
            </w:r>
            <w:r>
              <w:rPr/>
              <w:t xml:space="preserve"> </w:t>
            </w:r>
            <w:r>
              <w:rPr/>
              <w:t>结果要基本一致。</w:t>
            </w:r>
          </w:p>
          <w:p>
            <w:pPr>
              <w:pStyle w:val="TableText"/>
              <w:ind w:left="80" w:right="9"/>
              <w:spacing w:before="23" w:line="231" w:lineRule="auto"/>
              <w:jc w:val="both"/>
              <w:rPr/>
            </w:pPr>
            <w:r>
              <w:rPr>
                <w:spacing w:val="2"/>
              </w:rPr>
              <w:t>坚持高效便民。牢固树立执法为民理念，积极履行法定职责，简化流程、</w:t>
            </w:r>
            <w:r>
              <w:rPr>
                <w:spacing w:val="9"/>
              </w:rPr>
              <w:t xml:space="preserve"> </w:t>
            </w:r>
            <w:r>
              <w:rPr/>
              <w:t>明确条件、优化服务，切实提高行政效能，避免滥用行政裁量权，防止执</w:t>
            </w:r>
            <w:r>
              <w:rPr>
                <w:spacing w:val="2"/>
              </w:rPr>
              <w:t xml:space="preserve">  </w:t>
            </w:r>
            <w:r>
              <w:rPr>
                <w:spacing w:val="1"/>
              </w:rPr>
              <w:t>法扰民和执法简单粗暴“一刀切”,最大程度为市</w:t>
            </w:r>
            <w:r>
              <w:rPr/>
              <w:t>场主体和人民群众提供</w:t>
            </w:r>
          </w:p>
          <w:p>
            <w:pPr>
              <w:pStyle w:val="TableText"/>
              <w:ind w:left="21"/>
              <w:spacing w:before="27" w:line="219" w:lineRule="auto"/>
              <w:rPr/>
            </w:pPr>
            <w:r>
              <w:rPr>
                <w:spacing w:val="-2"/>
              </w:rPr>
              <w:t>便利。</w:t>
            </w:r>
          </w:p>
          <w:p>
            <w:pPr>
              <w:pStyle w:val="TableText"/>
              <w:ind w:left="31"/>
              <w:spacing w:before="42" w:line="219" w:lineRule="auto"/>
              <w:rPr/>
            </w:pPr>
            <w:r>
              <w:rPr>
                <w:spacing w:val="-1"/>
              </w:rPr>
              <w:t>二、准确规定行政裁量权基准内容</w:t>
            </w:r>
          </w:p>
          <w:p>
            <w:pPr>
              <w:pStyle w:val="TableText"/>
              <w:ind w:left="80" w:right="75"/>
              <w:spacing w:before="31" w:line="241" w:lineRule="auto"/>
              <w:rPr/>
            </w:pPr>
            <w:r>
              <w:rPr/>
              <w:t>推动行政处罚裁量适当。对同一种违法行为，法律、法规</w:t>
            </w:r>
            <w:r>
              <w:rPr>
                <w:spacing w:val="-1"/>
              </w:rPr>
              <w:t>、规章规定可以</w:t>
            </w:r>
            <w:r>
              <w:rPr/>
              <w:t xml:space="preserve"> </w:t>
            </w:r>
            <w:r>
              <w:rPr/>
              <w:t>选择处罚种类、幅度，或者法律、法规、规章对不予处罚</w:t>
            </w:r>
            <w:r>
              <w:rPr>
                <w:spacing w:val="-1"/>
              </w:rPr>
              <w:t>、免予处罚、从</w:t>
            </w:r>
            <w:r>
              <w:rPr/>
              <w:t xml:space="preserve"> </w:t>
            </w:r>
            <w:r>
              <w:rPr/>
              <w:t>轻处罚、减轻处罚、从重处罚的条件只有原则性规定的</w:t>
            </w:r>
            <w:r>
              <w:rPr>
                <w:spacing w:val="-1"/>
              </w:rPr>
              <w:t>，要根据违法行为</w:t>
            </w:r>
            <w:r>
              <w:rPr/>
              <w:t xml:space="preserve"> </w:t>
            </w:r>
            <w:r>
              <w:rPr/>
              <w:t>的事实、性质、情节以及社会危害程度细化量化行政处罚裁量权基准，防</w:t>
            </w:r>
            <w:r>
              <w:rPr>
                <w:spacing w:val="7"/>
              </w:rPr>
              <w:t xml:space="preserve"> </w:t>
            </w:r>
            <w:r>
              <w:rPr/>
              <w:t>止过罚不相适应、重责轻罚、轻责重罚。行政处罚裁量</w:t>
            </w:r>
            <w:r>
              <w:rPr>
                <w:spacing w:val="-1"/>
              </w:rPr>
              <w:t>权基准应当包括违</w:t>
            </w:r>
          </w:p>
        </w:tc>
        <w:tc>
          <w:tcPr>
            <w:tcW w:w="2108" w:type="dxa"/>
            <w:vAlign w:val="top"/>
          </w:tcPr>
          <w:p>
            <w:pPr>
              <w:pStyle w:val="TableText"/>
              <w:ind w:left="15" w:firstLine="59"/>
              <w:spacing w:before="127" w:line="234" w:lineRule="auto"/>
              <w:jc w:val="both"/>
              <w:rPr/>
            </w:pPr>
            <w:r>
              <w:rPr/>
              <w:t>国务院办公厅《关于进一步规</w:t>
            </w:r>
            <w:r>
              <w:rPr>
                <w:spacing w:val="1"/>
              </w:rPr>
              <w:t xml:space="preserve">  </w:t>
            </w:r>
            <w:r>
              <w:rPr>
                <w:spacing w:val="3"/>
              </w:rPr>
              <w:t>范行政裁量权基准制定和管理  </w:t>
            </w:r>
            <w:r>
              <w:rPr>
                <w:spacing w:val="8"/>
              </w:rPr>
              <w:t>工作的意见》国办发〔2022〕</w:t>
            </w:r>
            <w:r>
              <w:rPr>
                <w:spacing w:val="11"/>
              </w:rPr>
              <w:t xml:space="preserve"> </w:t>
            </w:r>
            <w:r>
              <w:rPr>
                <w:spacing w:val="-2"/>
              </w:rPr>
              <w:t>27号</w:t>
            </w:r>
          </w:p>
        </w:tc>
        <w:tc>
          <w:tcPr>
            <w:tcW w:w="919" w:type="dxa"/>
            <w:vAlign w:val="top"/>
          </w:tcPr>
          <w:p>
            <w:pPr>
              <w:pStyle w:val="TableText"/>
              <w:ind w:left="18" w:firstLine="19"/>
              <w:spacing w:before="96"/>
              <w:rPr/>
            </w:pPr>
            <w:r>
              <w:rPr>
                <w:spacing w:val="15"/>
                <w:w w:val="113"/>
              </w:rPr>
              <w:t>2022年7月</w:t>
            </w:r>
            <w:r>
              <w:rPr>
                <w:spacing w:val="1"/>
              </w:rPr>
              <w:t xml:space="preserve"> </w:t>
            </w:r>
            <w:r>
              <w:rPr>
                <w:spacing w:val="-2"/>
              </w:rPr>
              <w:t>29日起</w:t>
            </w:r>
          </w:p>
        </w:tc>
        <w:tc>
          <w:tcPr>
            <w:tcW w:w="679" w:type="dxa"/>
            <w:vAlign w:val="top"/>
          </w:tcPr>
          <w:p>
            <w:pPr>
              <w:pStyle w:val="TableText"/>
              <w:ind w:left="38"/>
              <w:spacing w:before="97" w:line="219" w:lineRule="auto"/>
              <w:rPr/>
            </w:pPr>
            <w:r>
              <w:rPr>
                <w:spacing w:val="-2"/>
              </w:rPr>
              <w:t>指导意见</w:t>
            </w:r>
          </w:p>
        </w:tc>
        <w:tc>
          <w:tcPr>
            <w:tcW w:w="674" w:type="dxa"/>
            <w:vAlign w:val="top"/>
          </w:tcPr>
          <w:p>
            <w:pPr>
              <w:pStyle w:val="TableText"/>
              <w:ind w:left="30"/>
              <w:spacing w:before="117" w:line="219" w:lineRule="auto"/>
              <w:rPr/>
            </w:pPr>
            <w:r>
              <w:rPr>
                <w:spacing w:val="-2"/>
              </w:rPr>
              <w:t>指导文件</w:t>
            </w:r>
          </w:p>
        </w:tc>
      </w:tr>
    </w:tbl>
    <w:p>
      <w:pPr>
        <w:pStyle w:val="BodyText"/>
        <w:rPr/>
      </w:pPr>
      <w:r/>
    </w:p>
    <w:p>
      <w:pPr>
        <w:sectPr>
          <w:footerReference w:type="default" r:id="rId2"/>
          <w:pgSz w:w="11910" w:h="8220"/>
          <w:pgMar w:top="400" w:right="1145" w:bottom="400" w:left="799" w:header="0" w:footer="0" w:gutter="0"/>
        </w:sectPr>
        <w:rPr/>
      </w:pPr>
    </w:p>
    <w:p>
      <w:pPr>
        <w:spacing w:before="46"/>
        <w:rPr/>
      </w:pPr>
      <w:r>
        <w:pict>
          <v:shape id="_x0000_s78" style="position:absolute;margin-left:38.9997pt;margin-top:349.992pt;mso-position-vertical-relative:page;mso-position-horizontal-relative:page;width:6.6pt;height:11.95pt;z-index:251719680;"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0"/>
                      <w:szCs w:val="20"/>
                    </w:rPr>
                  </w:pPr>
                  <w:r>
                    <w:rPr>
                      <w:rFonts w:ascii="SimSun" w:hAnsi="SimSun" w:eastAsia="SimSun" w:cs="SimSun"/>
                      <w:sz w:val="20"/>
                      <w:szCs w:val="20"/>
                    </w:rPr>
                    <w:t>8</w:t>
                  </w:r>
                </w:p>
              </w:txbxContent>
            </v:textbox>
          </v:shape>
        </w:pict>
      </w:r>
      <w:r/>
    </w:p>
    <w:p>
      <w:pPr>
        <w:spacing w:before="46"/>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18"/>
        <w:gridCol w:w="919"/>
        <w:gridCol w:w="67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18" w:type="dxa"/>
            <w:vAlign w:val="top"/>
          </w:tcPr>
          <w:p>
            <w:pPr>
              <w:pStyle w:val="TableText"/>
              <w:ind w:left="756"/>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679" w:type="dxa"/>
            <w:vAlign w:val="top"/>
          </w:tcPr>
          <w:p>
            <w:pPr>
              <w:pStyle w:val="TableText"/>
              <w:ind w:left="28"/>
              <w:spacing w:before="171" w:line="219" w:lineRule="auto"/>
              <w:rPr/>
            </w:pPr>
            <w:r>
              <w:rPr>
                <w:spacing w:val="-1"/>
              </w:rPr>
              <w:t>政策类别</w:t>
            </w:r>
          </w:p>
        </w:tc>
        <w:tc>
          <w:tcPr>
            <w:tcW w:w="664" w:type="dxa"/>
            <w:vAlign w:val="top"/>
          </w:tcPr>
          <w:p>
            <w:pPr>
              <w:pStyle w:val="TableText"/>
              <w:ind w:left="20"/>
              <w:spacing w:before="171" w:line="220" w:lineRule="auto"/>
              <w:rPr/>
            </w:pPr>
            <w:r>
              <w:rPr>
                <w:spacing w:val="-1"/>
              </w:rPr>
              <w:t>政策形式</w:t>
            </w:r>
          </w:p>
        </w:tc>
      </w:tr>
      <w:tr>
        <w:trPr>
          <w:trHeight w:val="5746"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8" w:line="184" w:lineRule="auto"/>
              <w:rPr/>
            </w:pPr>
            <w:r>
              <w:rPr/>
              <w:t>1</w:t>
            </w:r>
          </w:p>
        </w:tc>
        <w:tc>
          <w:tcPr>
            <w:tcW w:w="4955" w:type="dxa"/>
            <w:vAlign w:val="top"/>
          </w:tcPr>
          <w:p>
            <w:pPr>
              <w:pStyle w:val="TableText"/>
              <w:ind w:left="11" w:firstLine="9"/>
              <w:spacing w:before="115" w:line="231" w:lineRule="auto"/>
              <w:jc w:val="both"/>
              <w:rPr/>
            </w:pPr>
            <w:r>
              <w:rPr>
                <w:spacing w:val="-5"/>
              </w:rPr>
              <w:t>法行为、法定依据、裁量阶次、适用条件和具体标准等内容。</w:t>
            </w:r>
            <w:r>
              <w:rPr>
                <w:spacing w:val="-6"/>
              </w:rPr>
              <w:t>要严格依照《中</w:t>
            </w:r>
            <w:r>
              <w:rPr/>
              <w:t xml:space="preserve"> </w:t>
            </w:r>
            <w:r>
              <w:rPr>
                <w:spacing w:val="-1"/>
              </w:rPr>
              <w:t>华人民共和国行政处罚法》有关规定，明确不予处罚、免予处罚、从轻处罚</w:t>
            </w:r>
            <w:r>
              <w:rPr>
                <w:spacing w:val="13"/>
              </w:rPr>
              <w:t xml:space="preserve"> </w:t>
            </w:r>
            <w:r>
              <w:rPr>
                <w:spacing w:val="-1"/>
              </w:rPr>
              <w:t>减轻处罚、从重处罚的裁量阶次，有处罚幅度的要明确情节轻微、情节较轻</w:t>
            </w:r>
            <w:r>
              <w:rPr>
                <w:spacing w:val="14"/>
              </w:rPr>
              <w:t xml:space="preserve"> </w:t>
            </w:r>
            <w:r>
              <w:rPr/>
              <w:t>情节较重、情节严重的具体情形。</w:t>
            </w:r>
          </w:p>
          <w:p>
            <w:pPr>
              <w:pStyle w:val="TableText"/>
              <w:ind w:left="70"/>
              <w:spacing w:before="50" w:line="219" w:lineRule="auto"/>
              <w:rPr/>
            </w:pPr>
            <w:r>
              <w:rPr/>
              <w:t>要坚持过罚相当、宽严相济，避免畸轻畸重、显失公平</w:t>
            </w:r>
            <w:r>
              <w:rPr>
                <w:spacing w:val="-1"/>
              </w:rPr>
              <w:t>。坚持处罚与教育</w:t>
            </w:r>
          </w:p>
          <w:p>
            <w:pPr>
              <w:pStyle w:val="TableText"/>
              <w:ind w:left="21"/>
              <w:spacing w:before="21" w:line="209" w:lineRule="auto"/>
              <w:rPr/>
            </w:pPr>
            <w:r>
              <w:rPr/>
              <w:t>相结合，发挥行政处罚教育引导公民、法人和其他组织自觉守法的作用</w:t>
            </w:r>
          </w:p>
          <w:p>
            <w:pPr>
              <w:pStyle w:val="TableText"/>
              <w:ind w:left="21" w:right="38" w:firstLine="79"/>
              <w:spacing w:line="245" w:lineRule="auto"/>
              <w:rPr/>
            </w:pPr>
            <w:r>
              <w:rPr/>
              <w:t>对违法行为依法不予行政处罚的，行政机关要加强对当事人的批评教育，</w:t>
            </w:r>
            <w:r>
              <w:rPr>
                <w:spacing w:val="4"/>
              </w:rPr>
              <w:t xml:space="preserve"> </w:t>
            </w:r>
            <w:r>
              <w:rPr>
                <w:spacing w:val="-1"/>
              </w:rPr>
              <w:t>防止违法行为再次发生。</w:t>
            </w:r>
          </w:p>
          <w:p>
            <w:pPr>
              <w:pStyle w:val="TableText"/>
              <w:ind w:left="100" w:right="39" w:hanging="30"/>
              <w:spacing w:before="31" w:line="221" w:lineRule="auto"/>
              <w:rPr/>
            </w:pPr>
            <w:r>
              <w:rPr/>
              <w:t>要依法合理细化具体情节、量化罚款幅度，坚决避免乱罚款，严格禁止以</w:t>
            </w:r>
            <w:r>
              <w:rPr>
                <w:spacing w:val="12"/>
              </w:rPr>
              <w:t xml:space="preserve"> </w:t>
            </w:r>
            <w:r>
              <w:rPr/>
              <w:t>罚款进行创收，严格禁止以罚款数额进行排名或者作为绩效考核的指标。</w:t>
            </w:r>
          </w:p>
          <w:p>
            <w:pPr>
              <w:pStyle w:val="TableText"/>
              <w:ind w:left="40" w:hanging="29"/>
              <w:spacing w:before="42" w:line="243" w:lineRule="auto"/>
              <w:rPr/>
            </w:pPr>
            <w:r>
              <w:rPr>
                <w:spacing w:val="-4"/>
              </w:rPr>
              <w:t>罚款数额的从轻、</w:t>
            </w:r>
            <w:r>
              <w:rPr>
                <w:spacing w:val="39"/>
                <w:w w:val="101"/>
              </w:rPr>
              <w:t xml:space="preserve"> </w:t>
            </w:r>
            <w:r>
              <w:rPr>
                <w:spacing w:val="-4"/>
              </w:rPr>
              <w:t>一般、从重档次情形要明确具体，严格限定在法定幅度内</w:t>
            </w:r>
            <w:r>
              <w:rPr/>
              <w:t xml:space="preserve"> </w:t>
            </w:r>
            <w:r>
              <w:rPr>
                <w:spacing w:val="1"/>
              </w:rPr>
              <w:t>防止简单地一律就高或者就低处罚；罚款数额为一定金额的倍数的，要在</w:t>
            </w:r>
            <w:r>
              <w:rPr/>
              <w:t xml:space="preserve">  </w:t>
            </w:r>
            <w:r>
              <w:rPr/>
              <w:t>最高倍数与最低倍数之间划分阶次；罚款数额有一定幅度的，要在最高额</w:t>
            </w:r>
            <w:r>
              <w:rPr>
                <w:spacing w:val="8"/>
              </w:rPr>
              <w:t xml:space="preserve">  </w:t>
            </w:r>
            <w:r>
              <w:rPr/>
              <w:t>与最低额之间划分阶次，尽量压缩裁量空间。需要在法定处罚种类或幅度</w:t>
            </w:r>
            <w:r>
              <w:rPr>
                <w:spacing w:val="8"/>
              </w:rPr>
              <w:t xml:space="preserve">  </w:t>
            </w:r>
            <w:r>
              <w:rPr>
                <w:spacing w:val="1"/>
              </w:rPr>
              <w:t>以下减轻处罚的，要严格进行评估，明确具体情节、适用条件和处罚标准</w:t>
            </w:r>
            <w:r>
              <w:rPr/>
              <w:t xml:space="preserve">  </w:t>
            </w:r>
            <w:r>
              <w:rPr>
                <w:spacing w:val="1"/>
              </w:rPr>
              <w:t>推动行政许可便捷高效。法律、法规、规章</w:t>
            </w:r>
            <w:r>
              <w:rPr/>
              <w:t>对行政许可的条件、程序、办  </w:t>
            </w:r>
            <w:r>
              <w:rPr/>
              <w:t>理时限、不予受理以及行政许可的变更、撤回、撤销、注销只有原则性规</w:t>
            </w:r>
            <w:r>
              <w:rPr>
                <w:spacing w:val="8"/>
              </w:rPr>
              <w:t xml:space="preserve">  </w:t>
            </w:r>
            <w:r>
              <w:rPr>
                <w:spacing w:val="1"/>
              </w:rPr>
              <w:t>定，或者对行政许可的申请材料没有明确规定的，有关行政机关可以对相</w:t>
            </w:r>
            <w:r>
              <w:rPr>
                <w:spacing w:val="2"/>
              </w:rPr>
              <w:t xml:space="preserve">  </w:t>
            </w:r>
            <w:r>
              <w:rPr>
                <w:spacing w:val="-1"/>
              </w:rPr>
              <w:t>关内容进行细化量化，但不得增加许可条件、环节，不得增加证明材料</w:t>
            </w:r>
          </w:p>
          <w:p>
            <w:pPr>
              <w:pStyle w:val="TableText"/>
              <w:ind w:left="41"/>
              <w:spacing w:before="3" w:line="219" w:lineRule="auto"/>
              <w:rPr/>
            </w:pPr>
            <w:r>
              <w:rPr/>
              <w:t>不得设置或者变相设置歧视性、地域限制等不公平</w:t>
            </w:r>
            <w:r>
              <w:rPr>
                <w:spacing w:val="-1"/>
              </w:rPr>
              <w:t>条款，防止行业垄断</w:t>
            </w:r>
          </w:p>
          <w:p>
            <w:pPr>
              <w:pStyle w:val="TableText"/>
              <w:ind w:left="21"/>
              <w:spacing w:before="41" w:line="219" w:lineRule="auto"/>
              <w:rPr/>
            </w:pPr>
            <w:r>
              <w:rPr/>
              <w:t>地方保护、市场分割。拟在法律、法规、国务院决定中</w:t>
            </w:r>
            <w:r>
              <w:rPr>
                <w:spacing w:val="-1"/>
              </w:rPr>
              <w:t>设定行政许可的</w:t>
            </w:r>
          </w:p>
          <w:p>
            <w:pPr>
              <w:pStyle w:val="TableText"/>
              <w:ind w:left="11" w:right="79" w:firstLine="59"/>
              <w:spacing w:before="23" w:line="239" w:lineRule="auto"/>
              <w:rPr/>
            </w:pPr>
            <w:r>
              <w:rPr/>
              <w:t>应当同时规定行政许可的具体条件；暂时没有规定的，原</w:t>
            </w:r>
            <w:r>
              <w:rPr>
                <w:spacing w:val="-1"/>
              </w:rPr>
              <w:t>则上有关行政机</w:t>
            </w:r>
            <w:r>
              <w:rPr/>
              <w:t xml:space="preserve"> </w:t>
            </w:r>
            <w:r>
              <w:rPr>
                <w:spacing w:val="1"/>
              </w:rPr>
              <w:t>关应以规章形式制定行政许可实施规范，进一步明确行政许可的具体条件</w:t>
            </w:r>
            <w:r>
              <w:rPr>
                <w:spacing w:val="18"/>
              </w:rPr>
              <w:t xml:space="preserve"> </w:t>
            </w:r>
            <w:r>
              <w:rPr>
                <w:spacing w:val="2"/>
              </w:rPr>
              <w:t>对法定的行政许可程序，有关行政机关要优化简</w:t>
            </w:r>
            <w:r>
              <w:rPr>
                <w:spacing w:val="1"/>
              </w:rPr>
              <w:t>化内部工作流程，合理压</w:t>
            </w:r>
            <w:r>
              <w:rPr/>
              <w:t xml:space="preserve"> </w:t>
            </w:r>
            <w:r>
              <w:rPr>
                <w:spacing w:val="-1"/>
              </w:rPr>
              <w:t>缩行政许可办理时限</w:t>
            </w:r>
          </w:p>
          <w:p>
            <w:pPr>
              <w:pStyle w:val="TableText"/>
              <w:ind w:left="70" w:right="53"/>
              <w:spacing w:before="23" w:line="237" w:lineRule="auto"/>
              <w:jc w:val="both"/>
              <w:rPr/>
            </w:pPr>
            <w:r>
              <w:rPr/>
              <w:t>行政许可需要由不同层级行政机关分别实施的，要</w:t>
            </w:r>
            <w:r>
              <w:rPr>
                <w:spacing w:val="-1"/>
              </w:rPr>
              <w:t>明确不同层级行政机关</w:t>
            </w:r>
            <w:r>
              <w:rPr/>
              <w:t xml:space="preserve"> </w:t>
            </w:r>
            <w:r>
              <w:rPr/>
              <w:t>的具体权限、流程和办理时限，不得无故拖延办理、逾期办理；不同层级</w:t>
            </w:r>
            <w:r>
              <w:rPr>
                <w:spacing w:val="8"/>
              </w:rPr>
              <w:t xml:space="preserve"> </w:t>
            </w:r>
            <w:r>
              <w:rPr>
                <w:spacing w:val="1"/>
              </w:rPr>
              <w:t>行政机关均有权实施同一行政许可的，有关</w:t>
            </w:r>
            <w:r>
              <w:rPr/>
              <w:t>行政机关不得推诿或者限制申</w:t>
            </w:r>
          </w:p>
        </w:tc>
        <w:tc>
          <w:tcPr>
            <w:tcW w:w="211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799" w:header="0" w:footer="0" w:gutter="0"/>
        </w:sectPr>
        <w:rPr/>
      </w:pPr>
    </w:p>
    <w:p>
      <w:pPr>
        <w:spacing w:before="46"/>
        <w:rPr/>
      </w:pPr>
      <w:r>
        <w:pict>
          <v:shape id="_x0000_s80" style="position:absolute;margin-left:38.9997pt;margin-top:52.0518pt;mso-position-vertical-relative:page;mso-position-horizontal-relative:page;width:6.95pt;height:16.25pt;z-index:251720704;"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22"/>
                      <w:szCs w:val="22"/>
                    </w:rPr>
                  </w:pPr>
                  <w:r>
                    <w:rPr>
                      <w:rFonts w:ascii="SimSun" w:hAnsi="SimSun" w:eastAsia="SimSun" w:cs="SimSun"/>
                      <w:sz w:val="22"/>
                      <w:szCs w:val="22"/>
                    </w:rPr>
                    <w:t>?</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79"/>
        <w:gridCol w:w="674"/>
      </w:tblGrid>
      <w:tr>
        <w:trPr>
          <w:trHeight w:val="514" w:hRule="atLeast"/>
        </w:trPr>
        <w:tc>
          <w:tcPr>
            <w:tcW w:w="294" w:type="dxa"/>
            <w:vAlign w:val="top"/>
            <w:textDirection w:val="tbRlV"/>
          </w:tcPr>
          <w:p>
            <w:pPr>
              <w:pStyle w:val="TableText"/>
              <w:ind w:left="57"/>
              <w:spacing w:before="69" w:line="217" w:lineRule="auto"/>
              <w:rPr/>
            </w:pPr>
            <w:r>
              <w:rPr/>
              <w:t>序</w:t>
            </w:r>
            <w:r>
              <w:rPr>
                <w:spacing w:val="16"/>
              </w:rPr>
              <w:t xml:space="preserve"> </w:t>
            </w:r>
            <w:r>
              <w:rPr/>
              <w:t>号</w:t>
            </w:r>
          </w:p>
        </w:tc>
        <w:tc>
          <w:tcPr>
            <w:tcW w:w="4955" w:type="dxa"/>
            <w:vAlign w:val="top"/>
          </w:tcPr>
          <w:p>
            <w:pPr>
              <w:pStyle w:val="TableText"/>
              <w:ind w:left="2171"/>
              <w:spacing w:before="181" w:line="219" w:lineRule="auto"/>
              <w:rPr/>
            </w:pPr>
            <w:r>
              <w:rPr>
                <w:spacing w:val="-2"/>
              </w:rPr>
              <w:t>主要内容</w:t>
            </w:r>
          </w:p>
        </w:tc>
        <w:tc>
          <w:tcPr>
            <w:tcW w:w="2128" w:type="dxa"/>
            <w:vAlign w:val="top"/>
          </w:tcPr>
          <w:p>
            <w:pPr>
              <w:pStyle w:val="TableText"/>
              <w:ind w:left="756"/>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679" w:type="dxa"/>
            <w:vAlign w:val="top"/>
          </w:tcPr>
          <w:p>
            <w:pPr>
              <w:pStyle w:val="TableText"/>
              <w:ind w:left="38"/>
              <w:spacing w:before="181" w:line="219" w:lineRule="auto"/>
              <w:rPr/>
            </w:pPr>
            <w:r>
              <w:rPr>
                <w:spacing w:val="-1"/>
              </w:rPr>
              <w:t>政策类别</w:t>
            </w:r>
          </w:p>
        </w:tc>
        <w:tc>
          <w:tcPr>
            <w:tcW w:w="674" w:type="dxa"/>
            <w:vAlign w:val="top"/>
          </w:tcPr>
          <w:p>
            <w:pPr>
              <w:pStyle w:val="TableText"/>
              <w:ind w:left="30"/>
              <w:spacing w:before="181" w:line="220" w:lineRule="auto"/>
              <w:rPr/>
            </w:pPr>
            <w:r>
              <w:rPr>
                <w:spacing w:val="-1"/>
              </w:rPr>
              <w:t>政策形式</w:t>
            </w:r>
          </w:p>
        </w:tc>
      </w:tr>
      <w:tr>
        <w:trPr>
          <w:trHeight w:val="3714" w:hRule="atLeast"/>
        </w:trPr>
        <w:tc>
          <w:tcPr>
            <w:tcW w:w="29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94"/>
              <w:spacing w:before="49" w:line="184" w:lineRule="auto"/>
              <w:rPr/>
            </w:pPr>
            <w:r>
              <w:rPr/>
              <w:t>1</w:t>
            </w:r>
          </w:p>
        </w:tc>
        <w:tc>
          <w:tcPr>
            <w:tcW w:w="4955" w:type="dxa"/>
            <w:vAlign w:val="top"/>
          </w:tcPr>
          <w:p>
            <w:pPr>
              <w:pStyle w:val="TableText"/>
              <w:ind w:left="31"/>
              <w:spacing w:before="96" w:line="219" w:lineRule="auto"/>
              <w:rPr/>
            </w:pPr>
            <w:r>
              <w:rPr/>
              <w:t>请人的自主选择权。法律、法规、规章没有对行政许可规</w:t>
            </w:r>
            <w:r>
              <w:rPr>
                <w:spacing w:val="-1"/>
              </w:rPr>
              <w:t>定数量限制的</w:t>
            </w:r>
          </w:p>
          <w:p>
            <w:pPr>
              <w:pStyle w:val="TableText"/>
              <w:ind w:left="21" w:right="81" w:firstLine="49"/>
              <w:spacing w:before="22" w:line="237" w:lineRule="auto"/>
              <w:rPr/>
            </w:pPr>
            <w:r>
              <w:rPr/>
              <w:t>不得以数量控制为由不予审批。实施行政许可需要</w:t>
            </w:r>
            <w:r>
              <w:rPr>
                <w:spacing w:val="-1"/>
              </w:rPr>
              <w:t>申请人委托中介服务机</w:t>
            </w:r>
            <w:r>
              <w:rPr/>
              <w:t xml:space="preserve"> </w:t>
            </w:r>
            <w:r>
              <w:rPr>
                <w:spacing w:val="1"/>
              </w:rPr>
              <w:t>构提供资信证明、检验检测、评估等中介服务的，行政机关不得指定中介</w:t>
            </w:r>
            <w:r>
              <w:rPr>
                <w:spacing w:val="9"/>
              </w:rPr>
              <w:t xml:space="preserve"> </w:t>
            </w:r>
            <w:r>
              <w:rPr>
                <w:spacing w:val="-1"/>
              </w:rPr>
              <w:t>服务机构。</w:t>
            </w:r>
          </w:p>
          <w:p>
            <w:pPr>
              <w:pStyle w:val="TableText"/>
              <w:ind w:left="21" w:firstLine="49"/>
              <w:spacing w:before="24" w:line="243" w:lineRule="auto"/>
              <w:rPr/>
            </w:pPr>
            <w:r>
              <w:rPr>
                <w:spacing w:val="-2"/>
              </w:rPr>
              <w:t>推动行政征收征用公平合理。制定行政征收征用裁量权基准要遵循征收征  </w:t>
            </w:r>
            <w:r>
              <w:rPr>
                <w:spacing w:val="1"/>
              </w:rPr>
              <w:t>用法定、公平公开、尊重行政相对人财产权等原则，重点对行政征收征用</w:t>
            </w:r>
            <w:r>
              <w:rPr>
                <w:spacing w:val="2"/>
              </w:rPr>
              <w:t xml:space="preserve">  </w:t>
            </w:r>
            <w:r>
              <w:rPr>
                <w:spacing w:val="1"/>
              </w:rPr>
              <w:t>的标准、程序和权限进行细化量化，合理确定征收征用财产和物品的范围</w:t>
            </w:r>
            <w:r>
              <w:rPr/>
              <w:t xml:space="preserve">  </w:t>
            </w:r>
            <w:r>
              <w:rPr>
                <w:spacing w:val="-6"/>
              </w:rPr>
              <w:t>数量、数额、期限、补偿标准等。对行政征收项目的征收、停收、减收</w:t>
            </w:r>
            <w:r>
              <w:rPr>
                <w:spacing w:val="-7"/>
              </w:rPr>
              <w:t>、缓收</w:t>
            </w:r>
            <w:r>
              <w:rPr/>
              <w:t xml:space="preserve"> </w:t>
            </w:r>
            <w:r>
              <w:rPr/>
              <w:t>免收情形，要明确具体情形、审批权限和程序。除法律、法</w:t>
            </w:r>
            <w:r>
              <w:rPr>
                <w:spacing w:val="-1"/>
              </w:rPr>
              <w:t>规规定的征收  </w:t>
            </w:r>
            <w:r>
              <w:rPr>
                <w:spacing w:val="-4"/>
              </w:rPr>
              <w:t>征用项目外，</w:t>
            </w:r>
            <w:r>
              <w:rPr>
                <w:spacing w:val="53"/>
                <w:w w:val="101"/>
              </w:rPr>
              <w:t xml:space="preserve"> </w:t>
            </w:r>
            <w:r>
              <w:rPr>
                <w:spacing w:val="-4"/>
              </w:rPr>
              <w:t>一律不得增设新的征收征用项目。法律、法规规定可以委托  </w:t>
            </w:r>
            <w:r>
              <w:rPr>
                <w:spacing w:val="-1"/>
              </w:rPr>
              <w:t>实施征收征用事务的，要明确委托的具体事项、条件、权限、程序和责任。</w:t>
            </w:r>
            <w:r>
              <w:rPr>
                <w:spacing w:val="5"/>
              </w:rPr>
              <w:t xml:space="preserve"> </w:t>
            </w:r>
            <w:r>
              <w:rPr/>
              <w:t>不得将法定职责范围内的征收征用事务通过购买服务的方式</w:t>
            </w:r>
            <w:r>
              <w:rPr>
                <w:spacing w:val="-1"/>
              </w:rPr>
              <w:t>交由其他单位  </w:t>
            </w:r>
            <w:r>
              <w:rPr>
                <w:spacing w:val="-2"/>
              </w:rPr>
              <w:t>或者个人实施。</w:t>
            </w:r>
          </w:p>
          <w:p>
            <w:pPr>
              <w:pStyle w:val="TableText"/>
              <w:ind w:left="11" w:firstLine="59"/>
              <w:spacing w:before="21" w:line="236" w:lineRule="auto"/>
              <w:rPr/>
            </w:pPr>
            <w:r>
              <w:rPr>
                <w:spacing w:val="-1"/>
              </w:rPr>
              <w:t>规范行政确认、行政给付、行政强制和行政检查行为。法律、法规、规章</w:t>
            </w:r>
            <w:r>
              <w:rPr>
                <w:spacing w:val="7"/>
              </w:rPr>
              <w:t xml:space="preserve">  </w:t>
            </w:r>
            <w:r>
              <w:rPr>
                <w:spacing w:val="-1"/>
              </w:rPr>
              <w:t>对行政确认、行政给付、行政强制的条件、程序和办理时限只有原则性规定</w:t>
            </w:r>
            <w:r>
              <w:rPr>
                <w:spacing w:val="15"/>
              </w:rPr>
              <w:t xml:space="preserve"> </w:t>
            </w:r>
            <w:r>
              <w:rPr>
                <w:spacing w:val="2"/>
              </w:rPr>
              <w:t>对行政检查的职责和范围只有原则性规定，对行政确认的申请材料没有明</w:t>
            </w:r>
            <w:r>
              <w:rPr/>
              <w:t xml:space="preserve">  </w:t>
            </w:r>
            <w:r>
              <w:rPr>
                <w:spacing w:val="1"/>
              </w:rPr>
              <w:t>确规定，对行政给付数额规定一定幅度的，有关行政机关可以依照法定权</w:t>
            </w:r>
            <w:r>
              <w:rPr>
                <w:spacing w:val="5"/>
              </w:rPr>
              <w:t xml:space="preserve">  </w:t>
            </w:r>
            <w:r>
              <w:rPr/>
              <w:t>限和程序对相关内容进行细化量化。</w:t>
            </w:r>
          </w:p>
        </w:tc>
        <w:tc>
          <w:tcPr>
            <w:tcW w:w="2128" w:type="dxa"/>
            <w:vAlign w:val="top"/>
          </w:tcPr>
          <w:p>
            <w:pPr>
              <w:rPr>
                <w:rFonts w:ascii="Arial"/>
                <w:sz w:val="21"/>
              </w:rPr>
            </w:pPr>
            <w:r/>
          </w:p>
        </w:tc>
        <w:tc>
          <w:tcPr>
            <w:tcW w:w="909" w:type="dxa"/>
            <w:vAlign w:val="top"/>
          </w:tcPr>
          <w:p>
            <w:pPr>
              <w:rPr>
                <w:rFonts w:ascii="Arial"/>
                <w:sz w:val="21"/>
              </w:rPr>
            </w:pPr>
            <w:r/>
          </w:p>
        </w:tc>
        <w:tc>
          <w:tcPr>
            <w:tcW w:w="679" w:type="dxa"/>
            <w:vAlign w:val="top"/>
          </w:tcPr>
          <w:p>
            <w:pPr>
              <w:rPr>
                <w:rFonts w:ascii="Arial"/>
                <w:sz w:val="21"/>
              </w:rPr>
            </w:pPr>
            <w:r/>
          </w:p>
        </w:tc>
        <w:tc>
          <w:tcPr>
            <w:tcW w:w="674" w:type="dxa"/>
            <w:vAlign w:val="top"/>
          </w:tcPr>
          <w:p>
            <w:pPr>
              <w:rPr>
                <w:rFonts w:ascii="Arial"/>
                <w:sz w:val="21"/>
              </w:rPr>
            </w:pPr>
            <w:r/>
          </w:p>
        </w:tc>
      </w:tr>
      <w:tr>
        <w:trPr>
          <w:trHeight w:val="1952" w:hRule="atLeast"/>
        </w:trPr>
        <w:tc>
          <w:tcPr>
            <w:tcW w:w="294" w:type="dxa"/>
            <w:vAlign w:val="top"/>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94"/>
              <w:spacing w:before="49" w:line="183" w:lineRule="auto"/>
              <w:rPr/>
            </w:pPr>
            <w:r>
              <w:rPr/>
              <w:t>2</w:t>
            </w:r>
          </w:p>
        </w:tc>
        <w:tc>
          <w:tcPr>
            <w:tcW w:w="4955" w:type="dxa"/>
            <w:vAlign w:val="top"/>
          </w:tcPr>
          <w:p>
            <w:pPr>
              <w:pStyle w:val="TableText"/>
              <w:ind w:left="31" w:firstLine="109"/>
              <w:spacing w:before="123" w:line="236" w:lineRule="auto"/>
              <w:rPr/>
            </w:pPr>
            <w:r>
              <w:rPr/>
              <w:t>(十七)创新实施精准有效监管。进一步完善监管方式，全面实施跨部门</w:t>
            </w:r>
            <w:r>
              <w:rPr>
                <w:spacing w:val="4"/>
              </w:rPr>
              <w:t xml:space="preserve">   </w:t>
            </w:r>
            <w:r>
              <w:rPr/>
              <w:t>联合“双随机、</w:t>
            </w:r>
            <w:r>
              <w:rPr>
                <w:spacing w:val="37"/>
                <w:w w:val="101"/>
              </w:rPr>
              <w:t xml:space="preserve"> </w:t>
            </w:r>
            <w:r>
              <w:rPr/>
              <w:t>一公开”监管，推动监管信息共享互认，避免多头执法、 </w:t>
            </w:r>
            <w:r>
              <w:rPr>
                <w:spacing w:val="1"/>
              </w:rPr>
              <w:t>重复检查。加快在市场监管、税收管理、进出口等领域建立健全信用分级</w:t>
            </w:r>
            <w:r>
              <w:rPr/>
              <w:t xml:space="preserve">  </w:t>
            </w:r>
            <w:r>
              <w:rPr>
                <w:spacing w:val="1"/>
              </w:rPr>
              <w:t>分类监管制度，依据风险高低实施差异化监管。积极探索在安全生产</w:t>
            </w:r>
            <w:r>
              <w:rPr/>
              <w:t>、食  </w:t>
            </w:r>
            <w:r>
              <w:rPr/>
              <w:t>品安全、交通运输、生态环境等领域运用现代信息技术实施非现场监管</w:t>
            </w:r>
          </w:p>
          <w:p>
            <w:pPr>
              <w:pStyle w:val="TableText"/>
              <w:ind w:left="31" w:right="333" w:firstLine="10"/>
              <w:spacing w:line="251" w:lineRule="auto"/>
              <w:rPr/>
            </w:pPr>
            <w:r>
              <w:rPr/>
              <w:t>避免对市场主体正常生产经营活动的不必要干扰。(国务</w:t>
            </w:r>
            <w:r>
              <w:rPr>
                <w:spacing w:val="-1"/>
              </w:rPr>
              <w:t>院办公厅牵头</w:t>
            </w:r>
            <w:r>
              <w:rPr/>
              <w:t xml:space="preserve"> </w:t>
            </w:r>
            <w:r>
              <w:rPr/>
              <w:t>国务院相关部门及各地区按职责分工负责</w:t>
            </w:r>
          </w:p>
          <w:p>
            <w:pPr>
              <w:pStyle w:val="TableText"/>
              <w:ind w:left="70" w:firstLine="9"/>
              <w:spacing w:before="31" w:line="233" w:lineRule="auto"/>
              <w:rPr/>
            </w:pPr>
            <w:r>
              <w:rPr>
                <w:spacing w:val="-2"/>
              </w:rPr>
              <w:t>(十八)严格规范监管执法行为。全面提升监管</w:t>
            </w:r>
            <w:r>
              <w:rPr>
                <w:spacing w:val="-3"/>
              </w:rPr>
              <w:t>透明度，2022年底前，编制省</w:t>
            </w:r>
            <w:r>
              <w:rPr/>
              <w:t xml:space="preserve"> </w:t>
            </w:r>
            <w:r>
              <w:rPr>
                <w:spacing w:val="-1"/>
              </w:rPr>
              <w:t>市两级监管事项目录清单。严格落实行政执法三项制度，建立违反公平执</w:t>
            </w:r>
          </w:p>
        </w:tc>
        <w:tc>
          <w:tcPr>
            <w:tcW w:w="2128" w:type="dxa"/>
            <w:vAlign w:val="top"/>
          </w:tcPr>
          <w:p>
            <w:pPr>
              <w:pStyle w:val="TableText"/>
              <w:ind w:left="15" w:right="75" w:firstLine="70"/>
              <w:spacing w:before="112" w:line="231" w:lineRule="auto"/>
              <w:jc w:val="both"/>
              <w:rPr/>
            </w:pPr>
            <w:r>
              <w:rPr/>
              <w:t>国务院办公厅《关于进一步优</w:t>
            </w:r>
            <w:r>
              <w:rPr>
                <w:spacing w:val="5"/>
              </w:rPr>
              <w:t xml:space="preserve"> </w:t>
            </w:r>
            <w:r>
              <w:rPr>
                <w:spacing w:val="4"/>
              </w:rPr>
              <w:t>化营商环境降低市场主体制度</w:t>
            </w:r>
            <w:r>
              <w:rPr>
                <w:spacing w:val="10"/>
              </w:rPr>
              <w:t xml:space="preserve"> </w:t>
            </w:r>
            <w:r>
              <w:rPr>
                <w:spacing w:val="5"/>
              </w:rPr>
              <w:t>性交易成本的意见》国办发〔</w:t>
            </w:r>
            <w:r>
              <w:rPr>
                <w:spacing w:val="4"/>
              </w:rPr>
              <w:t xml:space="preserve"> </w:t>
            </w:r>
            <w:r>
              <w:rPr>
                <w:spacing w:val="-1"/>
              </w:rPr>
              <w:t>2022〕30号</w:t>
            </w:r>
          </w:p>
        </w:tc>
        <w:tc>
          <w:tcPr>
            <w:tcW w:w="909" w:type="dxa"/>
            <w:vAlign w:val="top"/>
          </w:tcPr>
          <w:p>
            <w:pPr>
              <w:pStyle w:val="TableText"/>
              <w:ind w:left="18" w:right="30"/>
              <w:spacing w:before="113" w:line="227" w:lineRule="auto"/>
              <w:rPr/>
            </w:pPr>
            <w:r>
              <w:rPr>
                <w:spacing w:val="15"/>
                <w:w w:val="110"/>
              </w:rPr>
              <w:t>2022年9月</w:t>
            </w:r>
            <w:r>
              <w:rPr>
                <w:spacing w:val="1"/>
              </w:rPr>
              <w:t xml:space="preserve"> </w:t>
            </w:r>
            <w:r>
              <w:rPr>
                <w:spacing w:val="-2"/>
              </w:rPr>
              <w:t>7日起</w:t>
            </w:r>
          </w:p>
        </w:tc>
        <w:tc>
          <w:tcPr>
            <w:tcW w:w="679" w:type="dxa"/>
            <w:vAlign w:val="top"/>
          </w:tcPr>
          <w:p>
            <w:pPr>
              <w:pStyle w:val="TableText"/>
              <w:ind w:left="38"/>
              <w:spacing w:before="113" w:line="219" w:lineRule="auto"/>
              <w:rPr/>
            </w:pPr>
            <w:r>
              <w:rPr>
                <w:spacing w:val="-2"/>
              </w:rPr>
              <w:t>指导意见</w:t>
            </w:r>
          </w:p>
        </w:tc>
        <w:tc>
          <w:tcPr>
            <w:tcW w:w="674" w:type="dxa"/>
            <w:vAlign w:val="top"/>
          </w:tcPr>
          <w:p>
            <w:pPr>
              <w:pStyle w:val="TableText"/>
              <w:ind w:left="30"/>
              <w:spacing w:before="103" w:line="219" w:lineRule="auto"/>
              <w:rPr/>
            </w:pPr>
            <w:r>
              <w:rPr>
                <w:spacing w:val="-2"/>
              </w:rPr>
              <w:t>指导文件</w:t>
            </w:r>
          </w:p>
        </w:tc>
      </w:tr>
    </w:tbl>
    <w:p>
      <w:pPr>
        <w:pStyle w:val="BodyText"/>
        <w:rPr/>
      </w:pPr>
      <w:r/>
    </w:p>
    <w:p>
      <w:pPr>
        <w:sectPr>
          <w:pgSz w:w="11910" w:h="8220"/>
          <w:pgMar w:top="400" w:right="1145" w:bottom="400" w:left="799" w:header="0" w:footer="0" w:gutter="0"/>
        </w:sectPr>
        <w:rPr/>
      </w:pPr>
    </w:p>
    <w:p>
      <w:pPr>
        <w:spacing w:before="51"/>
        <w:rPr/>
      </w:pPr>
      <w:r>
        <w:pict>
          <v:shape id="_x0000_s82" style="position:absolute;margin-left:38.9997pt;margin-top:349.992pt;mso-position-vertical-relative:page;mso-position-horizontal-relative:page;width:6.6pt;height:11.95pt;z-index:251721728;"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0"/>
                      <w:szCs w:val="20"/>
                    </w:rPr>
                  </w:pPr>
                  <w:r>
                    <w:rPr>
                      <w:rFonts w:ascii="SimSun" w:hAnsi="SimSun" w:eastAsia="SimSun" w:cs="SimSun"/>
                      <w:sz w:val="20"/>
                      <w:szCs w:val="20"/>
                    </w:rPr>
                    <w:t>8</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4243" w:hRule="atLeast"/>
        </w:trPr>
        <w:tc>
          <w:tcPr>
            <w:tcW w:w="29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4"/>
              <w:spacing w:before="49" w:line="183" w:lineRule="auto"/>
              <w:rPr/>
            </w:pPr>
            <w:r>
              <w:rPr/>
              <w:t>2</w:t>
            </w:r>
          </w:p>
        </w:tc>
        <w:tc>
          <w:tcPr>
            <w:tcW w:w="4955" w:type="dxa"/>
            <w:vAlign w:val="top"/>
          </w:tcPr>
          <w:p>
            <w:pPr>
              <w:pStyle w:val="TableText"/>
              <w:ind w:left="21" w:firstLine="49"/>
              <w:spacing w:before="75" w:line="242" w:lineRule="auto"/>
              <w:rPr/>
            </w:pPr>
            <w:r>
              <w:rPr/>
              <w:t>法行为典型案例通报机制。建立健全行政裁量权基准</w:t>
            </w:r>
            <w:r>
              <w:rPr>
                <w:spacing w:val="-1"/>
              </w:rPr>
              <w:t>制度，防止任性执法</w:t>
            </w:r>
            <w:r>
              <w:rPr/>
              <w:t xml:space="preserve">  </w:t>
            </w:r>
            <w:r>
              <w:rPr>
                <w:spacing w:val="-3"/>
              </w:rPr>
              <w:t>类案不同罚、过度处罚等问题。坚决杜绝“一刀切”</w:t>
            </w:r>
            <w:r>
              <w:rPr>
                <w:spacing w:val="-4"/>
              </w:rPr>
              <w:t>、</w:t>
            </w:r>
            <w:r>
              <w:rPr>
                <w:spacing w:val="22"/>
              </w:rPr>
              <w:t xml:space="preserve">   </w:t>
            </w:r>
            <w:r>
              <w:rPr>
                <w:spacing w:val="-4"/>
              </w:rPr>
              <w:t>“运动式”执法</w:t>
            </w:r>
            <w:r>
              <w:rPr/>
              <w:t xml:space="preserve">  </w:t>
            </w:r>
            <w:r>
              <w:rPr>
                <w:spacing w:val="4"/>
              </w:rPr>
              <w:t>严禁未经法定程序要求市场主体普遍停产停业。在市场监管</w:t>
            </w:r>
            <w:r>
              <w:rPr>
                <w:spacing w:val="3"/>
              </w:rPr>
              <w:t>、城市管理、</w:t>
            </w:r>
            <w:r>
              <w:rPr/>
              <w:t xml:space="preserve"> </w:t>
            </w:r>
            <w:r>
              <w:rPr>
                <w:spacing w:val="1"/>
              </w:rPr>
              <w:t>应急管理、消防安全、交通运输、生态环境等领域，制定完善执法工作指</w:t>
            </w:r>
            <w:r>
              <w:rPr>
                <w:spacing w:val="4"/>
              </w:rPr>
              <w:t xml:space="preserve">  </w:t>
            </w:r>
            <w:r>
              <w:rPr/>
              <w:t>引和标准化检查表单，规范日常监管行为。(国务院办公厅牵</w:t>
            </w:r>
            <w:r>
              <w:rPr>
                <w:spacing w:val="-1"/>
              </w:rPr>
              <w:t>头，国务院   </w:t>
            </w:r>
            <w:r>
              <w:rPr>
                <w:spacing w:val="-1"/>
              </w:rPr>
              <w:t>相关部门及各地区按职责分工负责</w:t>
            </w:r>
          </w:p>
          <w:p>
            <w:pPr>
              <w:pStyle w:val="TableText"/>
              <w:ind w:left="140"/>
              <w:spacing w:before="22" w:line="219" w:lineRule="auto"/>
              <w:rPr/>
            </w:pPr>
            <w:r>
              <w:rPr/>
              <w:t>(十九)切实保障市场主体公平竞争。全面落实公平竞争审查制度，2022</w:t>
            </w:r>
          </w:p>
          <w:p>
            <w:pPr>
              <w:pStyle w:val="TableText"/>
              <w:ind w:left="31"/>
              <w:spacing w:before="22" w:line="219" w:lineRule="auto"/>
              <w:rPr/>
            </w:pPr>
            <w:r>
              <w:rPr/>
              <w:t>年10月底前，组织开展制止滥用行政权力排除、限制竞争执</w:t>
            </w:r>
            <w:r>
              <w:rPr>
                <w:spacing w:val="-1"/>
              </w:rPr>
              <w:t>法专项行动。</w:t>
            </w:r>
          </w:p>
          <w:p>
            <w:pPr>
              <w:pStyle w:val="TableText"/>
              <w:ind w:left="61" w:right="60" w:firstLine="9"/>
              <w:spacing w:before="22" w:line="231" w:lineRule="auto"/>
              <w:rPr/>
            </w:pPr>
            <w:r>
              <w:rPr/>
              <w:t>细化垄断行为和不正当竞争行为认定标准，加强和改进反垄断与反不正当</w:t>
            </w:r>
            <w:r>
              <w:rPr>
                <w:spacing w:val="13"/>
              </w:rPr>
              <w:t xml:space="preserve"> </w:t>
            </w:r>
            <w:r>
              <w:rPr/>
              <w:t>竞争执法，依法查处恶意补贴、低价倾销、设置不</w:t>
            </w:r>
            <w:r>
              <w:rPr>
                <w:spacing w:val="-1"/>
              </w:rPr>
              <w:t>合理交易条件等行为</w:t>
            </w:r>
          </w:p>
          <w:p>
            <w:pPr>
              <w:pStyle w:val="TableText"/>
              <w:ind w:left="30" w:hanging="19"/>
              <w:spacing w:before="23" w:line="233" w:lineRule="auto"/>
              <w:rPr/>
            </w:pPr>
            <w:r>
              <w:rPr>
                <w:spacing w:val="-5"/>
              </w:rPr>
              <w:t>严厉打击“搭便车”、    “蹭流量”等仿冒混淆行为，严格规范滞压占用经</w:t>
            </w:r>
            <w:r>
              <w:rPr>
                <w:spacing w:val="12"/>
              </w:rPr>
              <w:t xml:space="preserve"> </w:t>
            </w:r>
            <w:r>
              <w:rPr/>
              <w:t>营者保证金、交易款等行为。(国家发展改革委、司法部、人民银行、国</w:t>
            </w:r>
          </w:p>
          <w:p>
            <w:pPr>
              <w:pStyle w:val="TableText"/>
              <w:ind w:left="31"/>
              <w:spacing w:before="22" w:line="219" w:lineRule="auto"/>
              <w:rPr/>
            </w:pPr>
            <w:r>
              <w:rPr>
                <w:spacing w:val="1"/>
              </w:rPr>
              <w:t>务院国资委、市场监管总局等国务院相关部门及各地区按职</w:t>
            </w:r>
            <w:r>
              <w:rPr/>
              <w:t>责分工负责)</w:t>
            </w:r>
          </w:p>
          <w:p>
            <w:pPr>
              <w:pStyle w:val="TableText"/>
              <w:ind w:left="140"/>
              <w:spacing w:before="21" w:line="219" w:lineRule="auto"/>
              <w:rPr/>
            </w:pPr>
            <w:r>
              <w:rPr/>
              <w:t>(二十)持续加强知识产权保护。严格知识产权管理，依法规范非正常专</w:t>
            </w:r>
          </w:p>
          <w:p>
            <w:pPr>
              <w:pStyle w:val="TableText"/>
              <w:ind w:left="11" w:firstLine="59"/>
              <w:spacing w:before="25" w:line="241" w:lineRule="auto"/>
              <w:rPr/>
            </w:pPr>
            <w:r>
              <w:rPr>
                <w:spacing w:val="-1"/>
              </w:rPr>
              <w:t>利申请行为，及时查处违法使用商标和恶意注册申请商标等行为。完善集</w:t>
            </w:r>
            <w:r>
              <w:rPr>
                <w:spacing w:val="7"/>
              </w:rPr>
              <w:t xml:space="preserve">  </w:t>
            </w:r>
            <w:r>
              <w:rPr>
                <w:spacing w:val="1"/>
              </w:rPr>
              <w:t>体商标、证明商标管理制度，规范地理标志集体商标注册及使用，坚决遏</w:t>
            </w:r>
            <w:r>
              <w:rPr>
                <w:spacing w:val="5"/>
              </w:rPr>
              <w:t xml:space="preserve">  </w:t>
            </w:r>
            <w:r>
              <w:rPr>
                <w:spacing w:val="-5"/>
              </w:rPr>
              <w:t>制恶意诉讼或变相收取“会员费”、    “加盟费”等行为，切实保护小微商</w:t>
            </w:r>
            <w:r>
              <w:rPr>
                <w:spacing w:val="12"/>
              </w:rPr>
              <w:t xml:space="preserve"> </w:t>
            </w:r>
            <w:r>
              <w:rPr>
                <w:spacing w:val="1"/>
              </w:rPr>
              <w:t>户合法权益。健全大数据、人工智能、基因技术等新领域、新业态知识产</w:t>
            </w:r>
            <w:r>
              <w:rPr>
                <w:spacing w:val="5"/>
              </w:rPr>
              <w:t xml:space="preserve">  </w:t>
            </w:r>
            <w:r>
              <w:rPr>
                <w:spacing w:val="1"/>
              </w:rPr>
              <w:t>权保护制度。加强对企业海外知识产权纠纷应对的指导，2022年底前，发</w:t>
            </w:r>
            <w:r>
              <w:rPr>
                <w:spacing w:val="5"/>
              </w:rPr>
              <w:t xml:space="preserve">  </w:t>
            </w:r>
            <w:r>
              <w:rPr/>
              <w:t>布海外重点国家商标维权指南。(最高人民法院、民政部、市场监管总局</w:t>
            </w:r>
          </w:p>
          <w:p>
            <w:pPr>
              <w:pStyle w:val="TableText"/>
              <w:ind w:left="41"/>
              <w:spacing w:before="22" w:line="192" w:lineRule="auto"/>
              <w:rPr/>
            </w:pPr>
            <w:r>
              <w:rPr/>
              <w:t>国家知识产权局等相关部门和单位及各地区按职责分工负责</w:t>
            </w:r>
            <w:r>
              <w:rPr>
                <w:spacing w:val="-1"/>
              </w:rPr>
              <w:t>)。</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r>
        <w:trPr>
          <w:trHeight w:val="1463" w:hRule="atLeast"/>
        </w:trPr>
        <w:tc>
          <w:tcPr>
            <w:tcW w:w="294" w:type="dxa"/>
            <w:vAlign w:val="top"/>
          </w:tcPr>
          <w:p>
            <w:pPr>
              <w:spacing w:line="325" w:lineRule="auto"/>
              <w:rPr>
                <w:rFonts w:ascii="Arial"/>
                <w:sz w:val="21"/>
              </w:rPr>
            </w:pPr>
            <w:r/>
          </w:p>
          <w:p>
            <w:pPr>
              <w:spacing w:line="325" w:lineRule="auto"/>
              <w:rPr>
                <w:rFonts w:ascii="Arial"/>
                <w:sz w:val="21"/>
              </w:rPr>
            </w:pPr>
            <w:r/>
          </w:p>
          <w:p>
            <w:pPr>
              <w:pStyle w:val="TableText"/>
              <w:ind w:left="94"/>
              <w:spacing w:before="48" w:line="183" w:lineRule="auto"/>
              <w:rPr/>
            </w:pPr>
            <w:r>
              <w:rPr/>
              <w:t>3</w:t>
            </w:r>
          </w:p>
        </w:tc>
        <w:tc>
          <w:tcPr>
            <w:tcW w:w="4955" w:type="dxa"/>
            <w:vAlign w:val="top"/>
          </w:tcPr>
          <w:p>
            <w:pPr>
              <w:pStyle w:val="TableText"/>
              <w:ind w:left="40" w:right="58" w:hanging="15"/>
              <w:spacing w:before="82" w:line="241" w:lineRule="auto"/>
              <w:jc w:val="both"/>
              <w:rPr/>
            </w:pPr>
            <w:r>
              <w:rPr>
                <w:spacing w:val="-4"/>
              </w:rPr>
              <w:t>《条例》主要从两个方面作了规定。</w:t>
            </w:r>
            <w:r>
              <w:rPr>
                <w:spacing w:val="45"/>
              </w:rPr>
              <w:t xml:space="preserve"> </w:t>
            </w:r>
            <w:r>
              <w:rPr>
                <w:spacing w:val="-4"/>
              </w:rPr>
              <w:t>一是规定机关、事业单位和大型企业</w:t>
            </w:r>
            <w:r>
              <w:rPr/>
              <w:t xml:space="preserve">  </w:t>
            </w:r>
            <w:r>
              <w:rPr>
                <w:spacing w:val="1"/>
              </w:rPr>
              <w:t>不得要求中小企业接受不合理的付款期限、方式、条件和违约责任等交易</w:t>
            </w:r>
            <w:r>
              <w:rPr>
                <w:spacing w:val="12"/>
              </w:rPr>
              <w:t xml:space="preserve"> </w:t>
            </w:r>
            <w:r>
              <w:rPr>
                <w:spacing w:val="1"/>
              </w:rPr>
              <w:t>条件，不得违约拖欠中小企业的货物、工程、服</w:t>
            </w:r>
            <w:r>
              <w:rPr/>
              <w:t>务款项。二是强化财政资 </w:t>
            </w:r>
            <w:r>
              <w:rPr>
                <w:spacing w:val="1"/>
              </w:rPr>
              <w:t>金保障要求，与政府采购、政府投资有关法律法</w:t>
            </w:r>
            <w:r>
              <w:rPr/>
              <w:t>规相衔接，规定机关、事 </w:t>
            </w:r>
            <w:r>
              <w:rPr>
                <w:spacing w:val="1"/>
              </w:rPr>
              <w:t>业单位使用财政资金从中小企业采购货物、工程、服</w:t>
            </w:r>
            <w:r>
              <w:rPr/>
              <w:t>务，应当严格按照批 </w:t>
            </w:r>
            <w:r>
              <w:rPr>
                <w:spacing w:val="1"/>
              </w:rPr>
              <w:t>准的预算执行，不得无预算、超预算开展采购；</w:t>
            </w:r>
            <w:r>
              <w:rPr/>
              <w:t>政府投资项目所需资金应 </w:t>
            </w:r>
            <w:r>
              <w:rPr/>
              <w:t>当按照国家有关规定确保落实到位，不得由施工单位垫资建设</w:t>
            </w:r>
          </w:p>
        </w:tc>
        <w:tc>
          <w:tcPr>
            <w:tcW w:w="2128" w:type="dxa"/>
            <w:vAlign w:val="top"/>
          </w:tcPr>
          <w:p>
            <w:pPr>
              <w:pStyle w:val="TableText"/>
              <w:ind w:left="14" w:right="19" w:hanging="4"/>
              <w:spacing w:before="74" w:line="234" w:lineRule="auto"/>
              <w:jc w:val="both"/>
              <w:rPr/>
            </w:pPr>
            <w:r>
              <w:rPr>
                <w:spacing w:val="-1"/>
              </w:rPr>
              <w:t>《保障中小企业款项支付条例》</w:t>
            </w:r>
            <w:r>
              <w:rPr/>
              <w:t xml:space="preserve"> </w:t>
            </w:r>
            <w:r>
              <w:rPr>
                <w:spacing w:val="2"/>
              </w:rPr>
              <w:t>中华人民共和国国务院令第728 </w:t>
            </w:r>
            <w:r>
              <w:rPr/>
              <w:t>号</w:t>
            </w:r>
          </w:p>
        </w:tc>
        <w:tc>
          <w:tcPr>
            <w:tcW w:w="909" w:type="dxa"/>
            <w:vAlign w:val="top"/>
          </w:tcPr>
          <w:p>
            <w:pPr>
              <w:pStyle w:val="TableText"/>
              <w:ind w:left="47"/>
              <w:spacing w:before="84" w:line="227" w:lineRule="auto"/>
              <w:rPr/>
            </w:pPr>
            <w:r>
              <w:rPr>
                <w:spacing w:val="14"/>
                <w:w w:val="111"/>
              </w:rPr>
              <w:t>2020年9月</w:t>
            </w:r>
            <w:r>
              <w:rPr>
                <w:spacing w:val="2"/>
              </w:rPr>
              <w:t xml:space="preserve"> </w:t>
            </w:r>
            <w:r>
              <w:rPr>
                <w:spacing w:val="-5"/>
              </w:rPr>
              <w:t>1日起</w:t>
            </w:r>
          </w:p>
        </w:tc>
        <w:tc>
          <w:tcPr>
            <w:tcW w:w="689" w:type="dxa"/>
            <w:vAlign w:val="top"/>
          </w:tcPr>
          <w:p>
            <w:pPr>
              <w:pStyle w:val="TableText"/>
              <w:ind w:left="38"/>
              <w:spacing w:before="74" w:line="219" w:lineRule="auto"/>
              <w:rPr/>
            </w:pPr>
            <w:r>
              <w:rPr>
                <w:spacing w:val="-2"/>
              </w:rPr>
              <w:t>支付条例</w:t>
            </w:r>
          </w:p>
        </w:tc>
        <w:tc>
          <w:tcPr>
            <w:tcW w:w="664" w:type="dxa"/>
            <w:vAlign w:val="top"/>
          </w:tcPr>
          <w:p>
            <w:pPr>
              <w:pStyle w:val="TableText"/>
              <w:ind w:left="30"/>
              <w:spacing w:before="73" w:line="219" w:lineRule="auto"/>
              <w:rPr/>
            </w:pPr>
            <w:r>
              <w:rPr>
                <w:spacing w:val="1"/>
              </w:rPr>
              <w:t>国务院令</w:t>
            </w:r>
          </w:p>
        </w:tc>
      </w:tr>
    </w:tbl>
    <w:p>
      <w:pPr>
        <w:pStyle w:val="BodyText"/>
        <w:rPr/>
      </w:pPr>
      <w:r/>
    </w:p>
    <w:p>
      <w:pPr>
        <w:sectPr>
          <w:pgSz w:w="11910" w:h="8220"/>
          <w:pgMar w:top="400" w:right="1145" w:bottom="400" w:left="799" w:header="0" w:footer="0" w:gutter="0"/>
        </w:sectPr>
        <w:rPr/>
      </w:pPr>
    </w:p>
    <w:p>
      <w:pPr>
        <w:spacing w:before="51"/>
        <w:rPr/>
      </w:pPr>
      <w:r>
        <w:pict>
          <v:shape id="_x0000_s84" style="position:absolute;margin-left:38.9997pt;margin-top:53.9894pt;mso-position-vertical-relative:page;mso-position-horizontal-relative:page;width:6.6pt;height:11.95pt;z-index:251722752;"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0"/>
                      <w:szCs w:val="20"/>
                    </w:rPr>
                  </w:pPr>
                  <w:r>
                    <w:rPr>
                      <w:rFonts w:ascii="SimSun" w:hAnsi="SimSun" w:eastAsia="SimSun" w:cs="SimSun"/>
                      <w:sz w:val="20"/>
                      <w:szCs w:val="20"/>
                    </w:rPr>
                    <w:t>8</w:t>
                  </w:r>
                </w:p>
              </w:txbxContent>
            </v:textbox>
          </v:shape>
        </w:pict>
      </w:r>
      <w:r/>
    </w:p>
    <w:p>
      <w:pPr>
        <w:spacing w:before="51"/>
        <w:rPr/>
      </w:pPr>
      <w:r/>
    </w:p>
    <w:tbl>
      <w:tblPr>
        <w:tblStyle w:val="TableNormal"/>
        <w:tblW w:w="961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5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54" w:type="dxa"/>
            <w:vAlign w:val="top"/>
          </w:tcPr>
          <w:p>
            <w:pPr>
              <w:pStyle w:val="TableText"/>
              <w:ind w:left="20"/>
              <w:spacing w:before="171" w:line="220" w:lineRule="auto"/>
              <w:rPr/>
            </w:pPr>
            <w:r>
              <w:rPr>
                <w:spacing w:val="-1"/>
              </w:rPr>
              <w:t>政策形式</w:t>
            </w:r>
          </w:p>
        </w:tc>
      </w:tr>
      <w:tr>
        <w:trPr>
          <w:trHeight w:val="259" w:hRule="atLeast"/>
        </w:trPr>
        <w:tc>
          <w:tcPr>
            <w:shd w:val="clear" w:fill="DCDDDD"/>
            <w:tcW w:w="9619" w:type="dxa"/>
            <w:vAlign w:val="top"/>
            <w:gridSpan w:val="6"/>
          </w:tcPr>
          <w:p>
            <w:pPr>
              <w:pStyle w:val="TableText"/>
              <w:ind w:left="4357"/>
              <w:spacing w:before="55" w:line="220" w:lineRule="auto"/>
              <w:rPr/>
            </w:pPr>
            <w:r>
              <w:rPr>
                <w:b/>
                <w:bCs/>
                <w:spacing w:val="-3"/>
              </w:rPr>
              <w:t>二、行政审批</w:t>
            </w:r>
          </w:p>
        </w:tc>
      </w:tr>
      <w:tr>
        <w:trPr>
          <w:trHeight w:val="5436" w:hRule="atLeast"/>
        </w:trPr>
        <w:tc>
          <w:tcPr>
            <w:tcW w:w="284"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94"/>
              <w:spacing w:before="48" w:line="184" w:lineRule="auto"/>
              <w:rPr/>
            </w:pPr>
            <w:r>
              <w:rPr/>
              <w:t>1</w:t>
            </w:r>
          </w:p>
        </w:tc>
        <w:tc>
          <w:tcPr>
            <w:tcW w:w="4955" w:type="dxa"/>
            <w:vAlign w:val="top"/>
          </w:tcPr>
          <w:p>
            <w:pPr>
              <w:pStyle w:val="TableText"/>
              <w:ind w:left="21" w:right="51" w:firstLine="49"/>
              <w:spacing w:before="128" w:line="243" w:lineRule="auto"/>
              <w:rPr/>
            </w:pPr>
            <w:r>
              <w:rPr>
                <w:spacing w:val="-1"/>
              </w:rPr>
              <w:t>一、加大网络共享数字证书应用宣传推广力度。各参与互认平台要在公共</w:t>
            </w:r>
            <w:r>
              <w:rPr>
                <w:spacing w:val="16"/>
              </w:rPr>
              <w:t xml:space="preserve"> </w:t>
            </w:r>
            <w:r>
              <w:rPr>
                <w:spacing w:val="2"/>
              </w:rPr>
              <w:t>资源交易中心场所、交易平台网站和招标公告公示信息指定</w:t>
            </w:r>
            <w:r>
              <w:rPr>
                <w:spacing w:val="1"/>
              </w:rPr>
              <w:t>发布媒介的显</w:t>
            </w:r>
            <w:r>
              <w:rPr/>
              <w:t xml:space="preserve"> </w:t>
            </w:r>
            <w:r>
              <w:rPr>
                <w:spacing w:val="2"/>
              </w:rPr>
              <w:t>著位置，通过公告、通知等形式向市场主体广泛宣传网络共享数字证书启</w:t>
            </w:r>
            <w:r>
              <w:rPr>
                <w:spacing w:val="7"/>
              </w:rPr>
              <w:t xml:space="preserve"> </w:t>
            </w:r>
            <w:r>
              <w:rPr>
                <w:spacing w:val="1"/>
              </w:rPr>
              <w:t>动试运行这一利企惠企举措。有关公告、通知等应明确本平台网络共享数</w:t>
            </w:r>
            <w:r>
              <w:rPr>
                <w:spacing w:val="10"/>
              </w:rPr>
              <w:t xml:space="preserve"> </w:t>
            </w:r>
            <w:r>
              <w:rPr/>
              <w:t>字证书应用覆盖的招标投标业务类型、适用范围、操作流</w:t>
            </w:r>
            <w:r>
              <w:rPr>
                <w:spacing w:val="-1"/>
              </w:rPr>
              <w:t>程、注意事项，</w:t>
            </w:r>
          </w:p>
          <w:p>
            <w:pPr>
              <w:pStyle w:val="TableText"/>
              <w:ind w:left="31" w:firstLine="39"/>
              <w:spacing w:before="12" w:line="241" w:lineRule="auto"/>
              <w:rPr/>
            </w:pPr>
            <w:r>
              <w:rPr/>
              <w:t>以及数字证书服务机构和共享应用APP名录，鼓励市场主体自愿选择使</w:t>
            </w:r>
            <w:r>
              <w:rPr>
                <w:spacing w:val="-1"/>
              </w:rPr>
              <w:t>用。</w:t>
            </w:r>
            <w:r>
              <w:rPr/>
              <w:t xml:space="preserve"> </w:t>
            </w:r>
            <w:r>
              <w:rPr>
                <w:spacing w:val="1"/>
              </w:rPr>
              <w:t>在各参与互认平台开展交易的招标投标项目，不得拒绝市场主体使用网络</w:t>
            </w:r>
            <w:r>
              <w:rPr/>
              <w:t xml:space="preserve">  </w:t>
            </w:r>
            <w:r>
              <w:rPr/>
              <w:t>共享数字证书跨区域投标。各参与互认平台要针对市</w:t>
            </w:r>
            <w:r>
              <w:rPr>
                <w:spacing w:val="-1"/>
              </w:rPr>
              <w:t>场主体关心的问题</w:t>
            </w:r>
          </w:p>
          <w:p>
            <w:pPr>
              <w:pStyle w:val="TableText"/>
              <w:ind w:left="21" w:right="61" w:firstLine="49"/>
              <w:spacing w:before="11" w:line="239" w:lineRule="auto"/>
              <w:rPr/>
            </w:pPr>
            <w:r>
              <w:rPr/>
              <w:t>持续通过多种方式开展宣传解读，不断优化使用体验，推动市场主体跨区</w:t>
            </w:r>
            <w:r>
              <w:rPr>
                <w:spacing w:val="11"/>
              </w:rPr>
              <w:t xml:space="preserve"> </w:t>
            </w:r>
            <w:r>
              <w:rPr>
                <w:spacing w:val="1"/>
              </w:rPr>
              <w:t>域投标时积极使用网络共享数字证书。有关地方公共资源交易平台整合工</w:t>
            </w:r>
            <w:r>
              <w:rPr>
                <w:spacing w:val="10"/>
              </w:rPr>
              <w:t xml:space="preserve"> </w:t>
            </w:r>
            <w:r>
              <w:rPr>
                <w:spacing w:val="1"/>
              </w:rPr>
              <w:t>作牵头部门、招标投标指导协调工作牵头部门应当加强对本地区参与互认</w:t>
            </w:r>
            <w:r>
              <w:rPr>
                <w:spacing w:val="10"/>
              </w:rPr>
              <w:t xml:space="preserve"> </w:t>
            </w:r>
            <w:r>
              <w:rPr>
                <w:spacing w:val="1"/>
              </w:rPr>
              <w:t>平台的督促指导，协同推动和支持市场主体使用网络共享数字证书开展招</w:t>
            </w:r>
            <w:r>
              <w:rPr>
                <w:spacing w:val="11"/>
              </w:rPr>
              <w:t xml:space="preserve"> </w:t>
            </w:r>
            <w:r>
              <w:rPr>
                <w:spacing w:val="-1"/>
              </w:rPr>
              <w:t>标投标交易。</w:t>
            </w:r>
          </w:p>
          <w:p>
            <w:pPr>
              <w:pStyle w:val="TableText"/>
              <w:ind w:left="30" w:hanging="19"/>
              <w:spacing w:before="39"/>
              <w:rPr/>
            </w:pPr>
            <w:r>
              <w:rPr>
                <w:spacing w:val="-1"/>
              </w:rPr>
              <w:t>二、强化网络共享数字证书运行服务保障。各参与互认平台要严格按照《网</w:t>
            </w:r>
            <w:r>
              <w:rPr>
                <w:spacing w:val="15"/>
              </w:rPr>
              <w:t xml:space="preserve"> </w:t>
            </w:r>
            <w:r>
              <w:rPr>
                <w:spacing w:val="1"/>
              </w:rPr>
              <w:t>络共享数字证书技术标准》规范开展数字证书跨区域兼</w:t>
            </w:r>
            <w:r>
              <w:rPr/>
              <w:t>容互认，不得通过  </w:t>
            </w:r>
            <w:r>
              <w:rPr>
                <w:spacing w:val="1"/>
              </w:rPr>
              <w:t>自行修改标准或设置技术障碍，增加市场主体使用难度和负担。针对试运</w:t>
            </w:r>
            <w:r>
              <w:rPr>
                <w:spacing w:val="2"/>
              </w:rPr>
              <w:t xml:space="preserve">  </w:t>
            </w:r>
            <w:r>
              <w:rPr>
                <w:spacing w:val="1"/>
              </w:rPr>
              <w:t>行期间市场主体使用网络共享数字证书跨区域投标时</w:t>
            </w:r>
            <w:r>
              <w:rPr/>
              <w:t>可能出现的解密失败  </w:t>
            </w:r>
            <w:r>
              <w:rPr>
                <w:spacing w:val="-1"/>
              </w:rPr>
              <w:t>等紧急情况，要根据《网络共享数字证书技术标准》,自行研发部署或者</w:t>
            </w:r>
          </w:p>
          <w:p>
            <w:pPr>
              <w:pStyle w:val="TableText"/>
              <w:ind w:left="21" w:right="63" w:firstLine="49"/>
              <w:spacing w:before="26" w:line="241" w:lineRule="auto"/>
              <w:rPr/>
            </w:pPr>
            <w:r>
              <w:rPr/>
              <w:t>通过协议约定应用中国招标投标公共服务平台提供的数字</w:t>
            </w:r>
            <w:r>
              <w:rPr>
                <w:spacing w:val="-1"/>
              </w:rPr>
              <w:t>证书解密失败的</w:t>
            </w:r>
            <w:r>
              <w:rPr/>
              <w:t xml:space="preserve"> </w:t>
            </w:r>
            <w:r>
              <w:rPr>
                <w:spacing w:val="2"/>
              </w:rPr>
              <w:t>防范和救济保障方案，保障交易顺畅开展。鼓励交易平台运营</w:t>
            </w:r>
            <w:r>
              <w:rPr>
                <w:spacing w:val="1"/>
              </w:rPr>
              <w:t>和开发机构</w:t>
            </w:r>
            <w:r>
              <w:rPr/>
              <w:t xml:space="preserve"> </w:t>
            </w:r>
            <w:r>
              <w:rPr/>
              <w:t>数字证书服务机构、签章机构、共享应用APP运营机构</w:t>
            </w:r>
            <w:r>
              <w:rPr>
                <w:spacing w:val="-1"/>
              </w:rPr>
              <w:t>、中国招标投标公</w:t>
            </w:r>
          </w:p>
          <w:p>
            <w:pPr>
              <w:pStyle w:val="TableText"/>
              <w:ind w:left="21"/>
              <w:spacing w:before="22" w:line="219" w:lineRule="auto"/>
              <w:rPr/>
            </w:pPr>
            <w:r>
              <w:rPr/>
              <w:t>共服务平台以及市场主体签订和履行《网络共</w:t>
            </w:r>
            <w:r>
              <w:rPr>
                <w:spacing w:val="-1"/>
              </w:rPr>
              <w:t>享数字证书标准服务协议》</w:t>
            </w:r>
          </w:p>
          <w:p>
            <w:pPr>
              <w:pStyle w:val="TableText"/>
              <w:ind w:left="31" w:right="57" w:firstLine="39"/>
              <w:spacing w:before="22" w:line="232" w:lineRule="auto"/>
              <w:rPr/>
            </w:pPr>
            <w:r>
              <w:rPr/>
              <w:t>明确界定各方协同配合的职责、权利和义务。中国招标投标公共服务平台</w:t>
            </w:r>
            <w:r>
              <w:rPr>
                <w:spacing w:val="15"/>
              </w:rPr>
              <w:t xml:space="preserve"> </w:t>
            </w:r>
            <w:r>
              <w:rPr>
                <w:spacing w:val="-1"/>
              </w:rPr>
              <w:t>与各参与互认平台签订《网络共享数字证书互认组件技术运行服务协议》</w:t>
            </w:r>
          </w:p>
          <w:p>
            <w:pPr>
              <w:pStyle w:val="TableText"/>
              <w:ind w:left="21" w:right="79" w:firstLine="49"/>
              <w:spacing w:before="12" w:line="234" w:lineRule="auto"/>
              <w:rPr/>
            </w:pPr>
            <w:r>
              <w:rPr/>
              <w:t>清晰界定双方对前置机侧数字证书共享组件的应急保障和</w:t>
            </w:r>
            <w:r>
              <w:rPr>
                <w:spacing w:val="-1"/>
              </w:rPr>
              <w:t>运维责任，确保</w:t>
            </w:r>
            <w:r>
              <w:rPr/>
              <w:t xml:space="preserve"> </w:t>
            </w:r>
            <w:r>
              <w:rPr>
                <w:spacing w:val="-1"/>
              </w:rPr>
              <w:t>交易网络安全正常运行</w:t>
            </w:r>
          </w:p>
        </w:tc>
        <w:tc>
          <w:tcPr>
            <w:tcW w:w="2128" w:type="dxa"/>
            <w:vAlign w:val="top"/>
          </w:tcPr>
          <w:p>
            <w:pPr>
              <w:pStyle w:val="TableText"/>
              <w:ind w:left="15" w:right="73" w:firstLine="70"/>
              <w:spacing w:before="139" w:line="241" w:lineRule="auto"/>
              <w:rPr/>
            </w:pPr>
            <w:r>
              <w:rPr/>
              <w:t>国家发展改革委办公厅关于在</w:t>
            </w:r>
            <w:r>
              <w:rPr>
                <w:spacing w:val="7"/>
              </w:rPr>
              <w:t xml:space="preserve"> </w:t>
            </w:r>
            <w:r>
              <w:rPr>
                <w:spacing w:val="4"/>
              </w:rPr>
              <w:t>部分地方公共资源交易平台和</w:t>
            </w:r>
            <w:r>
              <w:rPr>
                <w:spacing w:val="9"/>
              </w:rPr>
              <w:t xml:space="preserve"> </w:t>
            </w:r>
            <w:r>
              <w:rPr>
                <w:spacing w:val="4"/>
              </w:rPr>
              <w:t>企业招标采购平台试运行招标</w:t>
            </w:r>
            <w:r>
              <w:rPr>
                <w:spacing w:val="8"/>
              </w:rPr>
              <w:t xml:space="preserve"> </w:t>
            </w:r>
            <w:r>
              <w:rPr>
                <w:spacing w:val="-1"/>
              </w:rPr>
              <w:t>投标领域数字证书跨区域兼容</w:t>
            </w:r>
            <w:r>
              <w:rPr>
                <w:spacing w:val="2"/>
              </w:rPr>
              <w:t xml:space="preserve">  </w:t>
            </w:r>
            <w:r>
              <w:rPr>
                <w:spacing w:val="1"/>
              </w:rPr>
              <w:t>互认功能的通知</w:t>
            </w:r>
          </w:p>
          <w:p>
            <w:pPr>
              <w:pStyle w:val="TableText"/>
              <w:ind w:left="15"/>
              <w:spacing w:before="9" w:line="219" w:lineRule="auto"/>
              <w:rPr/>
            </w:pPr>
            <w:r>
              <w:rPr>
                <w:spacing w:val="-1"/>
              </w:rPr>
              <w:t>发改办法规〔2023〕54号</w:t>
            </w:r>
          </w:p>
        </w:tc>
        <w:tc>
          <w:tcPr>
            <w:tcW w:w="919" w:type="dxa"/>
            <w:vAlign w:val="top"/>
          </w:tcPr>
          <w:p>
            <w:pPr>
              <w:pStyle w:val="TableText"/>
              <w:ind w:left="18" w:right="20"/>
              <w:spacing w:before="138" w:line="221" w:lineRule="auto"/>
              <w:rPr/>
            </w:pPr>
            <w:r>
              <w:rPr>
                <w:spacing w:val="17"/>
                <w:w w:val="111"/>
              </w:rPr>
              <w:t>2023年1月</w:t>
            </w:r>
            <w:r>
              <w:rPr>
                <w:spacing w:val="1"/>
              </w:rPr>
              <w:t xml:space="preserve"> </w:t>
            </w:r>
            <w:r>
              <w:rPr>
                <w:spacing w:val="1"/>
              </w:rPr>
              <w:t>19日起</w:t>
            </w:r>
          </w:p>
        </w:tc>
        <w:tc>
          <w:tcPr>
            <w:tcW w:w="679" w:type="dxa"/>
            <w:vAlign w:val="top"/>
          </w:tcPr>
          <w:p>
            <w:pPr>
              <w:pStyle w:val="TableText"/>
              <w:ind w:left="38"/>
              <w:spacing w:before="138" w:line="220" w:lineRule="auto"/>
              <w:rPr/>
            </w:pPr>
            <w:r>
              <w:rPr>
                <w:spacing w:val="-2"/>
              </w:rPr>
              <w:t>行政通知</w:t>
            </w:r>
          </w:p>
        </w:tc>
        <w:tc>
          <w:tcPr>
            <w:tcW w:w="654" w:type="dxa"/>
            <w:vAlign w:val="top"/>
          </w:tcPr>
          <w:p>
            <w:pPr>
              <w:pStyle w:val="TableText"/>
              <w:ind w:left="20"/>
              <w:spacing w:before="138" w:line="219" w:lineRule="auto"/>
              <w:rPr/>
            </w:pPr>
            <w:r>
              <w:rPr>
                <w:spacing w:val="-2"/>
              </w:rPr>
              <w:t>行政优化</w:t>
            </w:r>
          </w:p>
        </w:tc>
      </w:tr>
    </w:tbl>
    <w:p>
      <w:pPr>
        <w:pStyle w:val="BodyText"/>
        <w:rPr/>
      </w:pPr>
      <w:r/>
    </w:p>
    <w:p>
      <w:pPr>
        <w:sectPr>
          <w:pgSz w:w="11910" w:h="8220"/>
          <w:pgMar w:top="400" w:right="1155" w:bottom="400" w:left="799" w:header="0" w:footer="0" w:gutter="0"/>
        </w:sectPr>
        <w:rPr/>
      </w:pPr>
    </w:p>
    <w:p>
      <w:pPr>
        <w:spacing w:before="51"/>
        <w:rPr/>
      </w:pPr>
      <w:r>
        <w:pict>
          <v:shape id="_x0000_s86" style="position:absolute;margin-left:38.9997pt;margin-top:349.992pt;mso-position-vertical-relative:page;mso-position-horizontal-relative:page;width:6.6pt;height:11.95pt;z-index:251723776;"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0"/>
                      <w:szCs w:val="20"/>
                    </w:rPr>
                  </w:pPr>
                  <w:r>
                    <w:rPr>
                      <w:rFonts w:ascii="SimSun" w:hAnsi="SimSun" w:eastAsia="SimSun" w:cs="SimSun"/>
                      <w:sz w:val="20"/>
                      <w:szCs w:val="20"/>
                    </w:rPr>
                    <w:t>9</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28"/>
              <w:spacing w:before="171" w:line="219" w:lineRule="auto"/>
              <w:rPr/>
            </w:pPr>
            <w:r>
              <w:rPr>
                <w:spacing w:val="-1"/>
              </w:rPr>
              <w:t>政策类别</w:t>
            </w:r>
          </w:p>
        </w:tc>
        <w:tc>
          <w:tcPr>
            <w:tcW w:w="664" w:type="dxa"/>
            <w:vAlign w:val="top"/>
          </w:tcPr>
          <w:p>
            <w:pPr>
              <w:pStyle w:val="TableText"/>
              <w:ind w:left="20"/>
              <w:spacing w:before="171" w:line="220" w:lineRule="auto"/>
              <w:rPr/>
            </w:pPr>
            <w:r>
              <w:rPr>
                <w:spacing w:val="-1"/>
              </w:rPr>
              <w:t>政策形式</w:t>
            </w:r>
          </w:p>
        </w:tc>
      </w:tr>
      <w:tr>
        <w:trPr>
          <w:trHeight w:val="5705" w:hRule="atLeast"/>
        </w:trPr>
        <w:tc>
          <w:tcPr>
            <w:tcW w:w="29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94"/>
              <w:spacing w:before="48" w:line="184" w:lineRule="auto"/>
              <w:rPr/>
            </w:pPr>
            <w:r>
              <w:rPr/>
              <w:t>1</w:t>
            </w:r>
          </w:p>
        </w:tc>
        <w:tc>
          <w:tcPr>
            <w:tcW w:w="4955" w:type="dxa"/>
            <w:vAlign w:val="top"/>
          </w:tcPr>
          <w:p>
            <w:pPr>
              <w:spacing w:line="315" w:lineRule="auto"/>
              <w:rPr>
                <w:rFonts w:ascii="Arial"/>
                <w:sz w:val="21"/>
              </w:rPr>
            </w:pPr>
            <w:r/>
          </w:p>
          <w:p>
            <w:pPr>
              <w:pStyle w:val="TableText"/>
              <w:ind w:left="70" w:right="61" w:hanging="39"/>
              <w:spacing w:before="49" w:line="227" w:lineRule="auto"/>
              <w:rPr/>
            </w:pPr>
            <w:r>
              <w:rPr/>
              <w:t>三、持续拓展网络共享数字证书适用范围。首批6个营商</w:t>
            </w:r>
            <w:r>
              <w:rPr>
                <w:spacing w:val="-1"/>
              </w:rPr>
              <w:t>环境创新试点城</w:t>
            </w:r>
            <w:r>
              <w:rPr/>
              <w:t xml:space="preserve">   </w:t>
            </w:r>
            <w:r>
              <w:rPr/>
              <w:t>市公共资源交易平台要落实国务院营商环境创新试点工作要求，在市、区</w:t>
            </w:r>
          </w:p>
          <w:p>
            <w:pPr>
              <w:pStyle w:val="TableText"/>
              <w:ind w:left="31" w:right="38" w:firstLine="109"/>
              <w:spacing w:before="19" w:line="243" w:lineRule="auto"/>
              <w:rPr/>
            </w:pPr>
            <w:r>
              <w:rPr>
                <w:spacing w:val="-1"/>
              </w:rPr>
              <w:t>(县)两级全部招标投标领域部署应用网络共享数字证书。其他地方也要  </w:t>
            </w:r>
            <w:r>
              <w:rPr>
                <w:spacing w:val="2"/>
              </w:rPr>
              <w:t>加快工作节奏，尽快实现应用网络共享数字证书的招标投标领域全覆盖。</w:t>
            </w:r>
            <w:r>
              <w:rPr>
                <w:spacing w:val="10"/>
              </w:rPr>
              <w:t xml:space="preserve"> </w:t>
            </w:r>
            <w:r>
              <w:rPr>
                <w:spacing w:val="1"/>
              </w:rPr>
              <w:t>市场主体选择使用执行《网络共享数字证书</w:t>
            </w:r>
            <w:r>
              <w:rPr/>
              <w:t>技术标准》的任一套数字证书 </w:t>
            </w:r>
            <w:r>
              <w:rPr/>
              <w:t>及其APP载体，在任一参与互认平台完成注册后，即可在</w:t>
            </w:r>
            <w:r>
              <w:rPr>
                <w:spacing w:val="-1"/>
              </w:rPr>
              <w:t>全部参与互认平</w:t>
            </w:r>
            <w:r>
              <w:rPr/>
              <w:t xml:space="preserve">   </w:t>
            </w:r>
            <w:r>
              <w:rPr>
                <w:spacing w:val="1"/>
              </w:rPr>
              <w:t>台投标，做到只需注册一次、只用一套数字证书。鼓励各地在现有工作基</w:t>
            </w:r>
            <w:r>
              <w:rPr>
                <w:spacing w:val="13"/>
              </w:rPr>
              <w:t xml:space="preserve"> </w:t>
            </w:r>
            <w:r>
              <w:rPr>
                <w:spacing w:val="1"/>
              </w:rPr>
              <w:t>础上，推动政府采购、土地使用权和矿业权出让、国有产权交易等领域应 </w:t>
            </w:r>
            <w:r>
              <w:rPr>
                <w:spacing w:val="1"/>
              </w:rPr>
              <w:t>用网络共享数字证书，进一步降低市场主体跨区域跨平台参与各类公共资</w:t>
            </w:r>
            <w:r>
              <w:rPr/>
              <w:t xml:space="preserve"> </w:t>
            </w:r>
            <w:r>
              <w:rPr>
                <w:spacing w:val="-1"/>
              </w:rPr>
              <w:t>源交易活动的成本，</w:t>
            </w:r>
          </w:p>
          <w:p>
            <w:pPr>
              <w:pStyle w:val="TableText"/>
              <w:ind w:left="31" w:right="57" w:firstLine="39"/>
              <w:spacing w:before="33" w:line="237" w:lineRule="auto"/>
              <w:rPr/>
            </w:pPr>
            <w:r>
              <w:rPr/>
              <w:t>四、认真做好标准优化和经验总结。各参与互认平台要畅通市场主体意见</w:t>
            </w:r>
            <w:r>
              <w:rPr>
                <w:spacing w:val="6"/>
              </w:rPr>
              <w:t xml:space="preserve"> </w:t>
            </w:r>
            <w:r>
              <w:rPr>
                <w:spacing w:val="2"/>
              </w:rPr>
              <w:t>建议反映渠道，主动收集和解决市场主体在应用网络</w:t>
            </w:r>
            <w:r>
              <w:rPr>
                <w:spacing w:val="1"/>
              </w:rPr>
              <w:t>共享数字证书过程中</w:t>
            </w:r>
            <w:r>
              <w:rPr/>
              <w:t xml:space="preserve"> </w:t>
            </w:r>
            <w:r>
              <w:rPr>
                <w:spacing w:val="1"/>
              </w:rPr>
              <w:t>出现的问题；需要国家层面统筹解决的，及时提出意见建议。中国招标投</w:t>
            </w:r>
            <w:r>
              <w:rPr>
                <w:spacing w:val="13"/>
              </w:rPr>
              <w:t xml:space="preserve"> </w:t>
            </w:r>
            <w:r>
              <w:rPr>
                <w:spacing w:val="1"/>
              </w:rPr>
              <w:t>标协会、中国招标投标公共服务平台要根据实际交易应用情况及各方面意</w:t>
            </w:r>
            <w:r>
              <w:rPr/>
              <w:t xml:space="preserve"> </w:t>
            </w:r>
            <w:r>
              <w:rPr/>
              <w:t>见建议，论证完善《网络共享数字证书技术标准》,加强技术服务保</w:t>
            </w:r>
            <w:r>
              <w:rPr>
                <w:spacing w:val="-1"/>
              </w:rPr>
              <w:t>障。</w:t>
            </w:r>
          </w:p>
          <w:p>
            <w:pPr>
              <w:pStyle w:val="TableText"/>
              <w:ind w:left="31" w:right="67" w:firstLine="39"/>
              <w:spacing w:before="14" w:line="239" w:lineRule="auto"/>
              <w:rPr/>
            </w:pPr>
            <w:r>
              <w:rPr/>
              <w:t>国家发展改革委法规司将定期调度各参与互认平台试运行招标投标领域数</w:t>
            </w:r>
            <w:r>
              <w:rPr>
                <w:spacing w:val="5"/>
              </w:rPr>
              <w:t xml:space="preserve"> </w:t>
            </w:r>
            <w:r>
              <w:rPr>
                <w:spacing w:val="1"/>
              </w:rPr>
              <w:t>字证书跨区域兼容互认功能的进展和成效，总结推广好经验好做法，督促</w:t>
            </w:r>
            <w:r>
              <w:rPr/>
              <w:t xml:space="preserve"> </w:t>
            </w:r>
            <w:r>
              <w:rPr>
                <w:spacing w:val="1"/>
              </w:rPr>
              <w:t>解决存在的问题，为在各参与互认平台启动数字证书跨区域兼容互认功能 </w:t>
            </w:r>
            <w:r>
              <w:rPr>
                <w:spacing w:val="1"/>
              </w:rPr>
              <w:t>正式运行、加快推进全国范围公共资源交易领域数字证书跨区域兼容</w:t>
            </w:r>
            <w:r>
              <w:rPr/>
              <w:t>互认 </w:t>
            </w:r>
            <w:r>
              <w:rPr>
                <w:spacing w:val="-1"/>
              </w:rPr>
              <w:t>奠定基础。</w:t>
            </w:r>
          </w:p>
          <w:p>
            <w:pPr>
              <w:pStyle w:val="TableText"/>
              <w:ind w:left="31" w:right="163"/>
              <w:spacing w:before="41" w:line="232" w:lineRule="auto"/>
              <w:rPr/>
            </w:pPr>
            <w:r>
              <w:rPr>
                <w:spacing w:val="1"/>
              </w:rPr>
              <w:t>请各有关地方公共资源交易平台整合工作牵头部门和有</w:t>
            </w:r>
            <w:r>
              <w:rPr/>
              <w:t>关企业分别于2月 </w:t>
            </w:r>
            <w:r>
              <w:rPr>
                <w:spacing w:val="-1"/>
              </w:rPr>
              <w:t>15日、3月31日前统计试运行期间参与互认平台网络共享数字证书实际应</w:t>
            </w:r>
          </w:p>
          <w:p>
            <w:pPr>
              <w:pStyle w:val="TableText"/>
              <w:ind w:left="31" w:right="57" w:firstLine="39"/>
              <w:spacing w:before="12" w:line="239" w:lineRule="auto"/>
              <w:rPr/>
            </w:pPr>
            <w:r>
              <w:rPr/>
              <w:t>用情况，书面报送国家发展改革委法规司。请中国招标投标公共服务平台</w:t>
            </w:r>
            <w:r>
              <w:rPr>
                <w:spacing w:val="15"/>
              </w:rPr>
              <w:t xml:space="preserve"> </w:t>
            </w:r>
            <w:r>
              <w:rPr>
                <w:spacing w:val="-1"/>
              </w:rPr>
              <w:t>对有关地方和企业开展统计工作予以支持配合</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724800" behindDoc="0" locked="0" layoutInCell="0" allowOverlap="1">
            <wp:simplePos x="0" y="0"/>
            <wp:positionH relativeFrom="page">
              <wp:posOffset>514349</wp:posOffset>
            </wp:positionH>
            <wp:positionV relativeFrom="page">
              <wp:posOffset>660396</wp:posOffset>
            </wp:positionV>
            <wp:extent cx="107921" cy="126995"/>
            <wp:effectExtent l="0" t="0" r="0" b="0"/>
            <wp:wrapNone/>
            <wp:docPr id="38" name="IM 38"/>
            <wp:cNvGraphicFramePr/>
            <a:graphic>
              <a:graphicData uri="http://schemas.openxmlformats.org/drawingml/2006/picture">
                <pic:pic>
                  <pic:nvPicPr>
                    <pic:cNvPr id="38" name="IM 38"/>
                    <pic:cNvPicPr/>
                  </pic:nvPicPr>
                  <pic:blipFill>
                    <a:blip r:embed="rId22"/>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570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2</w:t>
            </w:r>
          </w:p>
        </w:tc>
        <w:tc>
          <w:tcPr>
            <w:tcW w:w="4955" w:type="dxa"/>
            <w:vAlign w:val="top"/>
          </w:tcPr>
          <w:p>
            <w:pPr>
              <w:pStyle w:val="TableText"/>
              <w:ind w:left="21" w:right="64" w:firstLine="49"/>
              <w:spacing w:before="84" w:line="237" w:lineRule="auto"/>
              <w:rPr/>
            </w:pPr>
            <w:r>
              <w:rPr>
                <w:spacing w:val="-1"/>
              </w:rPr>
              <w:t>一、严格规范招标投标交易担保行为。招标人、招标代理机构以及其他受</w:t>
            </w:r>
            <w:r>
              <w:rPr>
                <w:spacing w:val="16"/>
              </w:rPr>
              <w:t xml:space="preserve"> </w:t>
            </w:r>
            <w:r>
              <w:rPr>
                <w:spacing w:val="1"/>
              </w:rPr>
              <w:t>委托提供保证金代收代管服务的平台和服务机构应当严格遵守招标投标交</w:t>
            </w:r>
            <w:r>
              <w:rPr>
                <w:spacing w:val="11"/>
              </w:rPr>
              <w:t xml:space="preserve"> </w:t>
            </w:r>
            <w:r>
              <w:rPr>
                <w:spacing w:val="2"/>
              </w:rPr>
              <w:t>易担保规定，严禁巧立名目变相收取没有法律法规依据的保</w:t>
            </w:r>
            <w:r>
              <w:rPr>
                <w:spacing w:val="1"/>
              </w:rPr>
              <w:t>证金或其他费</w:t>
            </w:r>
            <w:r>
              <w:rPr/>
              <w:t xml:space="preserve"> </w:t>
            </w:r>
            <w:r>
              <w:rPr/>
              <w:t>用。招标人应当同时接受现金保证金和银行保函等非现金交</w:t>
            </w:r>
            <w:r>
              <w:rPr>
                <w:spacing w:val="-1"/>
              </w:rPr>
              <w:t>易担保方式，</w:t>
            </w:r>
          </w:p>
          <w:p>
            <w:pPr>
              <w:pStyle w:val="TableText"/>
              <w:ind w:left="21" w:right="79" w:firstLine="49"/>
              <w:spacing w:before="21" w:line="237" w:lineRule="auto"/>
              <w:rPr/>
            </w:pPr>
            <w:r>
              <w:rPr/>
              <w:t>在招标文件中规范约定招标投标交易担保形式、金额或比</w:t>
            </w:r>
            <w:r>
              <w:rPr>
                <w:spacing w:val="-1"/>
              </w:rPr>
              <w:t>例、收退时间等</w:t>
            </w:r>
            <w:r>
              <w:rPr/>
              <w:t xml:space="preserve"> </w:t>
            </w:r>
            <w:r>
              <w:rPr>
                <w:spacing w:val="1"/>
              </w:rPr>
              <w:t>依法必须招标项目的招标人不得强制要求投标人、中标人缴纳现金保证金</w:t>
            </w:r>
            <w:r>
              <w:rPr>
                <w:spacing w:val="9"/>
              </w:rPr>
              <w:t xml:space="preserve"> </w:t>
            </w:r>
            <w:r>
              <w:rPr/>
              <w:t>二、全面推广保函(保险)。鼓励招标人接受担保机</w:t>
            </w:r>
            <w:r>
              <w:rPr>
                <w:spacing w:val="-1"/>
              </w:rPr>
              <w:t>构的保函、保险机构</w:t>
            </w:r>
          </w:p>
          <w:p>
            <w:pPr>
              <w:pStyle w:val="TableText"/>
              <w:ind w:left="21" w:right="56" w:firstLine="49"/>
              <w:spacing w:before="22" w:line="237" w:lineRule="auto"/>
              <w:rPr/>
            </w:pPr>
            <w:r>
              <w:rPr/>
              <w:t>的保单等其他非现金交易担保方式缴纳投标保证金、履约保证金、工程质</w:t>
            </w:r>
            <w:r>
              <w:rPr>
                <w:spacing w:val="16"/>
              </w:rPr>
              <w:t xml:space="preserve"> </w:t>
            </w:r>
            <w:r>
              <w:rPr>
                <w:spacing w:val="1"/>
              </w:rPr>
              <w:t>量保证金。投标人、中标人在招标文件约定范围内，可以自行选择交易担</w:t>
            </w:r>
            <w:r>
              <w:rPr>
                <w:spacing w:val="11"/>
              </w:rPr>
              <w:t xml:space="preserve"> </w:t>
            </w:r>
            <w:r>
              <w:rPr/>
              <w:t>保方式，招标人、招标代理机构和其他任何单位不得排斥</w:t>
            </w:r>
            <w:r>
              <w:rPr>
                <w:spacing w:val="-1"/>
              </w:rPr>
              <w:t>、限制或拒绝。</w:t>
            </w:r>
          </w:p>
          <w:p>
            <w:pPr>
              <w:pStyle w:val="TableText"/>
              <w:ind w:left="41" w:right="281" w:hanging="20"/>
              <w:spacing w:before="22" w:line="226" w:lineRule="auto"/>
              <w:rPr/>
            </w:pPr>
            <w:r>
              <w:rPr/>
              <w:t>鼓励使用电子保函，降低电子保函费用。任何单位</w:t>
            </w:r>
            <w:r>
              <w:rPr>
                <w:spacing w:val="-1"/>
              </w:rPr>
              <w:t>和个人不得为投标人</w:t>
            </w:r>
            <w:r>
              <w:rPr/>
              <w:t xml:space="preserve"> </w:t>
            </w:r>
            <w:r>
              <w:rPr/>
              <w:t>中标人指定出具保函、保单的银行、担保机构</w:t>
            </w:r>
            <w:r>
              <w:rPr>
                <w:spacing w:val="-1"/>
              </w:rPr>
              <w:t>或保险机构。</w:t>
            </w:r>
          </w:p>
          <w:p>
            <w:pPr>
              <w:pStyle w:val="TableText"/>
              <w:ind w:left="31" w:right="79" w:firstLine="39"/>
              <w:spacing w:before="31" w:line="241" w:lineRule="auto"/>
              <w:jc w:val="both"/>
              <w:rPr/>
            </w:pPr>
            <w:r>
              <w:rPr/>
              <w:t>三、规范保证金收取和退还。招标人、招标代理机构以及</w:t>
            </w:r>
            <w:r>
              <w:rPr>
                <w:spacing w:val="-1"/>
              </w:rPr>
              <w:t>其他受委托提供</w:t>
            </w:r>
            <w:r>
              <w:rPr/>
              <w:t xml:space="preserve"> </w:t>
            </w:r>
            <w:r>
              <w:rPr>
                <w:spacing w:val="1"/>
              </w:rPr>
              <w:t>保证金代收代管服务的平台和服务机构应当严格按照法律规定、招标文件</w:t>
            </w:r>
            <w:r>
              <w:rPr/>
              <w:t xml:space="preserve"> </w:t>
            </w:r>
            <w:r>
              <w:rPr>
                <w:spacing w:val="1"/>
              </w:rPr>
              <w:t>和合同中明确约定的保证金收退的具体方式和期限，及时退还保证金。任</w:t>
            </w:r>
            <w:r>
              <w:rPr/>
              <w:t xml:space="preserve"> </w:t>
            </w:r>
            <w:r>
              <w:rPr>
                <w:spacing w:val="1"/>
              </w:rPr>
              <w:t>何单位不得非法扣押、拖欠、侵占、挪用各类保证金。以现金形式提</w:t>
            </w:r>
            <w:r>
              <w:rPr/>
              <w:t>交保 </w:t>
            </w:r>
            <w:r>
              <w:rPr/>
              <w:t>证金的，应当同时退还保证金本金和银行同</w:t>
            </w:r>
            <w:r>
              <w:rPr>
                <w:spacing w:val="-1"/>
              </w:rPr>
              <w:t>期存款利息。</w:t>
            </w:r>
          </w:p>
          <w:p>
            <w:pPr>
              <w:pStyle w:val="TableText"/>
              <w:ind w:left="11" w:firstLine="89"/>
              <w:spacing w:before="23" w:line="242" w:lineRule="auto"/>
              <w:rPr/>
            </w:pPr>
            <w:r>
              <w:rPr/>
              <w:t>四、清理历史沉淀保证金。2023年3月底前，各地</w:t>
            </w:r>
            <w:r>
              <w:rPr>
                <w:spacing w:val="-1"/>
              </w:rPr>
              <w:t>方政府有关部门、各有  </w:t>
            </w:r>
            <w:r>
              <w:rPr>
                <w:spacing w:val="1"/>
              </w:rPr>
              <w:t>关单位和企业组织开展清理历史沉淀保证金专项行动，按照“谁收取、谁</w:t>
            </w:r>
            <w:r>
              <w:rPr>
                <w:spacing w:val="5"/>
              </w:rPr>
              <w:t xml:space="preserve">  </w:t>
            </w:r>
            <w:r>
              <w:rPr>
                <w:spacing w:val="1"/>
              </w:rPr>
              <w:t>清理、谁退还”的原则，督促招标人、招标代理机构以及其他受委托提供</w:t>
            </w:r>
            <w:r>
              <w:rPr>
                <w:spacing w:val="6"/>
              </w:rPr>
              <w:t xml:space="preserve">  </w:t>
            </w:r>
            <w:r>
              <w:rPr>
                <w:spacing w:val="1"/>
              </w:rPr>
              <w:t>保证金代收代管服务的平台和服务机构全面清理投标保证金、履约保证金</w:t>
            </w:r>
            <w:r>
              <w:rPr>
                <w:spacing w:val="6"/>
              </w:rPr>
              <w:t xml:space="preserve">  </w:t>
            </w:r>
            <w:r>
              <w:rPr>
                <w:spacing w:val="-1"/>
              </w:rPr>
              <w:t>工程质量保证金等各类历史沉淀保证金，做到应退尽退。各地政府有关部门</w:t>
            </w:r>
            <w:r>
              <w:rPr>
                <w:spacing w:val="15"/>
              </w:rPr>
              <w:t xml:space="preserve"> </w:t>
            </w:r>
            <w:r>
              <w:rPr>
                <w:spacing w:val="1"/>
              </w:rPr>
              <w:t>各有关单位和企业要每年定期开展历史沉淀保证金清理工作，并通过相关</w:t>
            </w:r>
            <w:r>
              <w:rPr>
                <w:spacing w:val="5"/>
              </w:rPr>
              <w:t xml:space="preserve">  </w:t>
            </w:r>
            <w:r>
              <w:rPr/>
              <w:t>公共服务平台网络、窗口或门户网站向社会公开清理</w:t>
            </w:r>
            <w:r>
              <w:rPr>
                <w:spacing w:val="-1"/>
              </w:rPr>
              <w:t>结果。</w:t>
            </w:r>
          </w:p>
          <w:p>
            <w:pPr>
              <w:pStyle w:val="TableText"/>
              <w:ind w:left="51" w:right="79" w:firstLine="49"/>
              <w:spacing w:before="23" w:line="236" w:lineRule="auto"/>
              <w:rPr/>
            </w:pPr>
            <w:r>
              <w:rPr>
                <w:spacing w:val="-1"/>
              </w:rPr>
              <w:t>五、鼓励减免政府投资项目投标保证金。2023年3月底前，各省级招标投 </w:t>
            </w:r>
            <w:r>
              <w:rPr/>
              <w:t>标指导协调工作牵头部门应当会同各有关行政监督部门，制定出台鼓励本</w:t>
            </w:r>
            <w:r>
              <w:rPr>
                <w:spacing w:val="12"/>
              </w:rPr>
              <w:t xml:space="preserve"> </w:t>
            </w:r>
            <w:r>
              <w:rPr/>
              <w:t>地区政府投资项目招标人全面或阶段性停止收取投标保证金，或者分类减</w:t>
            </w:r>
            <w:r>
              <w:rPr>
                <w:spacing w:val="13"/>
              </w:rPr>
              <w:t xml:space="preserve"> </w:t>
            </w:r>
            <w:r>
              <w:rPr/>
              <w:t>免投标保证金的政策措施，并完善保障招标人合法权益的配套机制</w:t>
            </w:r>
          </w:p>
        </w:tc>
        <w:tc>
          <w:tcPr>
            <w:tcW w:w="2128" w:type="dxa"/>
            <w:vAlign w:val="top"/>
          </w:tcPr>
          <w:p>
            <w:pPr>
              <w:pStyle w:val="TableText"/>
              <w:ind w:left="15" w:right="73" w:firstLine="70"/>
              <w:spacing w:before="88" w:line="237" w:lineRule="auto"/>
              <w:jc w:val="both"/>
              <w:rPr/>
            </w:pPr>
            <w:r>
              <w:rPr/>
              <w:t>国家起发展改革委等部门关于</w:t>
            </w:r>
            <w:r>
              <w:rPr>
                <w:spacing w:val="7"/>
              </w:rPr>
              <w:t xml:space="preserve"> </w:t>
            </w:r>
            <w:r>
              <w:rPr>
                <w:spacing w:val="4"/>
              </w:rPr>
              <w:t>完善招标投标交易担保制度进</w:t>
            </w:r>
            <w:r>
              <w:rPr>
                <w:spacing w:val="9"/>
              </w:rPr>
              <w:t xml:space="preserve"> </w:t>
            </w:r>
            <w:r>
              <w:rPr>
                <w:spacing w:val="4"/>
              </w:rPr>
              <w:t>一步降低招标投标交易成本的</w:t>
            </w:r>
            <w:r>
              <w:rPr>
                <w:spacing w:val="8"/>
              </w:rPr>
              <w:t xml:space="preserve"> </w:t>
            </w:r>
            <w:r>
              <w:rPr>
                <w:spacing w:val="-2"/>
              </w:rPr>
              <w:t>通知</w:t>
            </w:r>
          </w:p>
          <w:p>
            <w:pPr>
              <w:pStyle w:val="TableText"/>
              <w:ind w:left="25"/>
              <w:spacing w:before="18" w:line="219" w:lineRule="auto"/>
              <w:rPr/>
            </w:pPr>
            <w:r>
              <w:rPr>
                <w:spacing w:val="-1"/>
              </w:rPr>
              <w:t>发改法规〔2023〕27号</w:t>
            </w:r>
          </w:p>
        </w:tc>
        <w:tc>
          <w:tcPr>
            <w:tcW w:w="909" w:type="dxa"/>
            <w:vAlign w:val="top"/>
          </w:tcPr>
          <w:p>
            <w:pPr>
              <w:pStyle w:val="TableText"/>
              <w:ind w:left="18" w:right="10"/>
              <w:spacing w:before="76" w:line="226" w:lineRule="auto"/>
              <w:rPr/>
            </w:pPr>
            <w:r>
              <w:rPr>
                <w:spacing w:val="17"/>
                <w:w w:val="111"/>
              </w:rPr>
              <w:t>2023年1月</w:t>
            </w:r>
            <w:r>
              <w:rPr>
                <w:spacing w:val="1"/>
              </w:rPr>
              <w:t xml:space="preserve"> </w:t>
            </w:r>
            <w:r>
              <w:rPr>
                <w:spacing w:val="10"/>
              </w:rPr>
              <w:t>6日</w:t>
            </w:r>
          </w:p>
        </w:tc>
        <w:tc>
          <w:tcPr>
            <w:tcW w:w="689" w:type="dxa"/>
            <w:vAlign w:val="top"/>
          </w:tcPr>
          <w:p>
            <w:pPr>
              <w:pStyle w:val="TableText"/>
              <w:ind w:left="38"/>
              <w:spacing w:before="77" w:line="220" w:lineRule="auto"/>
              <w:rPr/>
            </w:pPr>
            <w:r>
              <w:rPr>
                <w:spacing w:val="-2"/>
              </w:rPr>
              <w:t>行政通知</w:t>
            </w:r>
          </w:p>
        </w:tc>
        <w:tc>
          <w:tcPr>
            <w:tcW w:w="664" w:type="dxa"/>
            <w:vAlign w:val="top"/>
          </w:tcPr>
          <w:p>
            <w:pPr>
              <w:pStyle w:val="TableText"/>
              <w:ind w:left="30"/>
              <w:spacing w:before="77"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51"/>
        <w:rPr/>
      </w:pPr>
      <w:r>
        <w:drawing>
          <wp:anchor distT="0" distB="0" distL="0" distR="0" simplePos="0" relativeHeight="251725824" behindDoc="0" locked="0" layoutInCell="0" allowOverlap="1">
            <wp:simplePos x="0" y="0"/>
            <wp:positionH relativeFrom="page">
              <wp:posOffset>514349</wp:posOffset>
            </wp:positionH>
            <wp:positionV relativeFrom="page">
              <wp:posOffset>4425940</wp:posOffset>
            </wp:positionV>
            <wp:extent cx="107921" cy="126995"/>
            <wp:effectExtent l="0" t="0" r="0" b="0"/>
            <wp:wrapNone/>
            <wp:docPr id="40" name="IM 40"/>
            <wp:cNvGraphicFramePr/>
            <a:graphic>
              <a:graphicData uri="http://schemas.openxmlformats.org/drawingml/2006/picture">
                <pic:pic>
                  <pic:nvPicPr>
                    <pic:cNvPr id="40" name="IM 40"/>
                    <pic:cNvPicPr/>
                  </pic:nvPicPr>
                  <pic:blipFill>
                    <a:blip r:embed="rId23"/>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6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3035" w:hRule="atLeast"/>
        </w:trPr>
        <w:tc>
          <w:tcPr>
            <w:tcW w:w="284"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94"/>
              <w:spacing w:before="49" w:line="183" w:lineRule="auto"/>
              <w:rPr/>
            </w:pPr>
            <w:r>
              <w:rPr/>
              <w:t>2</w:t>
            </w:r>
          </w:p>
        </w:tc>
        <w:tc>
          <w:tcPr>
            <w:tcW w:w="4955" w:type="dxa"/>
            <w:vAlign w:val="top"/>
          </w:tcPr>
          <w:p>
            <w:pPr>
              <w:pStyle w:val="TableText"/>
              <w:spacing w:before="66" w:line="219" w:lineRule="auto"/>
              <w:jc w:val="right"/>
              <w:rPr/>
            </w:pPr>
            <w:r>
              <w:rPr>
                <w:spacing w:val="-1"/>
              </w:rPr>
              <w:t>六、鼓励实行差异化缴纳投标保证金。对于政府投资项目以外的依法必须招</w:t>
            </w:r>
          </w:p>
          <w:p>
            <w:pPr>
              <w:pStyle w:val="TableText"/>
              <w:spacing w:before="32" w:line="219" w:lineRule="auto"/>
              <w:jc w:val="right"/>
              <w:rPr/>
            </w:pPr>
            <w:r>
              <w:rPr>
                <w:spacing w:val="-1"/>
              </w:rPr>
              <w:t>标项目和非依法必须招标项目，各地要制定相应政策，鼓励招标人根据项目</w:t>
            </w:r>
          </w:p>
          <w:p>
            <w:pPr>
              <w:pStyle w:val="TableText"/>
              <w:spacing w:before="23" w:line="219" w:lineRule="auto"/>
              <w:jc w:val="right"/>
              <w:rPr/>
            </w:pPr>
            <w:r>
              <w:rPr>
                <w:spacing w:val="-1"/>
              </w:rPr>
              <w:t>特点和投标人诚信状况，在招标文件中明确减免投标保证金的措施。鼓励招</w:t>
            </w:r>
          </w:p>
          <w:p>
            <w:pPr>
              <w:pStyle w:val="TableText"/>
              <w:spacing w:before="22" w:line="219" w:lineRule="auto"/>
              <w:jc w:val="right"/>
              <w:rPr/>
            </w:pPr>
            <w:r>
              <w:rPr>
                <w:spacing w:val="-1"/>
              </w:rPr>
              <w:t>标人对无失信记录的中小微企业或信用记录良好的投标人，给予减免投标保</w:t>
            </w:r>
          </w:p>
          <w:p>
            <w:pPr>
              <w:pStyle w:val="TableText"/>
              <w:spacing w:before="22" w:line="219" w:lineRule="auto"/>
              <w:jc w:val="right"/>
              <w:rPr/>
            </w:pPr>
            <w:r>
              <w:rPr>
                <w:spacing w:val="-1"/>
              </w:rPr>
              <w:t>证金的优惠待遇。鼓励国有企事业单位招标人制定实施分类减免投标保证金</w:t>
            </w:r>
          </w:p>
          <w:p>
            <w:pPr>
              <w:pStyle w:val="TableText"/>
              <w:ind w:right="1"/>
              <w:spacing w:before="21" w:line="219" w:lineRule="auto"/>
              <w:jc w:val="right"/>
              <w:rPr/>
            </w:pPr>
            <w:r>
              <w:rPr>
                <w:spacing w:val="-1"/>
              </w:rPr>
              <w:t>的相关措施。企事业单位实行集中招标采购制度的，可以探索试行与集中招</w:t>
            </w:r>
          </w:p>
          <w:p>
            <w:pPr>
              <w:pStyle w:val="TableText"/>
              <w:ind w:left="100"/>
              <w:spacing w:before="12" w:line="219" w:lineRule="auto"/>
              <w:rPr/>
            </w:pPr>
            <w:r>
              <w:rPr/>
              <w:t>标采购范围对应的集中交易担保机制，避免投标人重复提供投标保证金。</w:t>
            </w:r>
          </w:p>
          <w:p>
            <w:pPr>
              <w:pStyle w:val="TableText"/>
              <w:ind w:left="31" w:right="67" w:firstLine="39"/>
              <w:spacing w:before="33" w:line="238" w:lineRule="auto"/>
              <w:jc w:val="both"/>
              <w:rPr/>
            </w:pPr>
            <w:r>
              <w:rPr/>
              <w:t>七、加快完善招标投标交易担保服务体系。依托公共资源</w:t>
            </w:r>
            <w:r>
              <w:rPr>
                <w:spacing w:val="-1"/>
              </w:rPr>
              <w:t>交易平台、招标</w:t>
            </w:r>
            <w:r>
              <w:rPr/>
              <w:t xml:space="preserve"> </w:t>
            </w:r>
            <w:r>
              <w:rPr>
                <w:spacing w:val="1"/>
              </w:rPr>
              <w:t>投标公共服务平台、电子招标投标交易平台、信用信息共享平台等，依法</w:t>
            </w:r>
            <w:r>
              <w:rPr/>
              <w:t xml:space="preserve"> </w:t>
            </w:r>
            <w:r>
              <w:rPr>
                <w:spacing w:val="1"/>
              </w:rPr>
              <w:t>依规公开市场主体资质资格、业绩、行为信用信息和担保信用信息等，为</w:t>
            </w:r>
            <w:r>
              <w:rPr/>
              <w:t xml:space="preserve"> </w:t>
            </w:r>
            <w:r>
              <w:rPr>
                <w:spacing w:val="1"/>
              </w:rPr>
              <w:t>招标人减免投标保证金提供客观信息依据。推动建立银行、担保机构和保</w:t>
            </w:r>
            <w:r>
              <w:rPr/>
              <w:t xml:space="preserve"> </w:t>
            </w:r>
            <w:r>
              <w:rPr>
                <w:spacing w:val="1"/>
              </w:rPr>
              <w:t>险机构间的招标投标市场主体履约信用信息共享机制，鼓励各类银行、担</w:t>
            </w:r>
            <w:r>
              <w:rPr>
                <w:spacing w:val="13"/>
              </w:rPr>
              <w:t xml:space="preserve"> </w:t>
            </w:r>
            <w:r>
              <w:rPr>
                <w:spacing w:val="1"/>
              </w:rPr>
              <w:t>保机构、保险机构和电子招标投标交易平台对符合条件的投标人、中标人</w:t>
            </w:r>
            <w:r>
              <w:rPr/>
              <w:t xml:space="preserve"> </w:t>
            </w:r>
            <w:r>
              <w:rPr>
                <w:spacing w:val="1"/>
              </w:rPr>
              <w:t>简化交易担保办理流程、降低服务手续费用。依法依规对银行、担保</w:t>
            </w:r>
            <w:r>
              <w:rPr/>
              <w:t>机构 </w:t>
            </w:r>
            <w:r>
              <w:rPr/>
              <w:t>和保险机构加强信用监管，严格防范并依法惩戒交易担保</w:t>
            </w:r>
            <w:r>
              <w:rPr>
                <w:spacing w:val="-1"/>
              </w:rPr>
              <w:t>违法失信行为。</w:t>
            </w:r>
          </w:p>
        </w:tc>
        <w:tc>
          <w:tcPr>
            <w:tcW w:w="212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64" w:type="dxa"/>
            <w:vAlign w:val="top"/>
          </w:tcPr>
          <w:p>
            <w:pPr>
              <w:rPr>
                <w:rFonts w:ascii="Arial"/>
                <w:sz w:val="21"/>
              </w:rPr>
            </w:pPr>
            <w:r/>
          </w:p>
        </w:tc>
      </w:tr>
      <w:tr>
        <w:trPr>
          <w:trHeight w:val="2671" w:hRule="atLeast"/>
        </w:trPr>
        <w:tc>
          <w:tcPr>
            <w:tcW w:w="284"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4"/>
              <w:spacing w:before="49" w:line="183" w:lineRule="auto"/>
              <w:rPr/>
            </w:pPr>
            <w:r>
              <w:rPr/>
              <w:t>3</w:t>
            </w:r>
          </w:p>
        </w:tc>
        <w:tc>
          <w:tcPr>
            <w:tcW w:w="4955" w:type="dxa"/>
            <w:vAlign w:val="top"/>
          </w:tcPr>
          <w:p>
            <w:pPr>
              <w:pStyle w:val="TableText"/>
              <w:ind w:left="21" w:right="51" w:firstLine="49"/>
              <w:spacing w:before="81" w:line="243" w:lineRule="auto"/>
              <w:rPr/>
            </w:pPr>
            <w:r>
              <w:rPr>
                <w:spacing w:val="-1"/>
              </w:rPr>
              <w:t>一、加大网络共享数字证书应用宣传推广力度。各参与互认平台要在公共</w:t>
            </w:r>
            <w:r>
              <w:rPr>
                <w:spacing w:val="16"/>
              </w:rPr>
              <w:t xml:space="preserve"> </w:t>
            </w:r>
            <w:r>
              <w:rPr>
                <w:spacing w:val="2"/>
              </w:rPr>
              <w:t>资源交易中心场所、交易平台网站和招标公告公示信息指定</w:t>
            </w:r>
            <w:r>
              <w:rPr>
                <w:spacing w:val="1"/>
              </w:rPr>
              <w:t>发布媒介的显</w:t>
            </w:r>
            <w:r>
              <w:rPr/>
              <w:t xml:space="preserve"> </w:t>
            </w:r>
            <w:r>
              <w:rPr>
                <w:spacing w:val="2"/>
              </w:rPr>
              <w:t>著位置，通过公告、通知等形式向市场主体广泛宣传网络共享数字证书启</w:t>
            </w:r>
            <w:r>
              <w:rPr>
                <w:spacing w:val="7"/>
              </w:rPr>
              <w:t xml:space="preserve"> </w:t>
            </w:r>
            <w:r>
              <w:rPr>
                <w:spacing w:val="1"/>
              </w:rPr>
              <w:t>动试运行这一利企惠企举措。有关公告、通知等应明确本平台网络共享数</w:t>
            </w:r>
            <w:r>
              <w:rPr>
                <w:spacing w:val="10"/>
              </w:rPr>
              <w:t xml:space="preserve"> </w:t>
            </w:r>
            <w:r>
              <w:rPr/>
              <w:t>字证书应用覆盖的招标投标业务类型、适用范围、操</w:t>
            </w:r>
            <w:r>
              <w:rPr>
                <w:spacing w:val="-1"/>
              </w:rPr>
              <w:t>作流程、注意事项</w:t>
            </w:r>
          </w:p>
          <w:p>
            <w:pPr>
              <w:pStyle w:val="TableText"/>
              <w:ind w:left="70"/>
              <w:spacing w:before="22" w:line="233" w:lineRule="auto"/>
              <w:rPr/>
            </w:pPr>
            <w:r>
              <w:rPr/>
              <w:t>以及数字证书服务机构和共享应用APP名录，鼓励市场主体自愿选择使</w:t>
            </w:r>
            <w:r>
              <w:rPr>
                <w:spacing w:val="-1"/>
              </w:rPr>
              <w:t>用。</w:t>
            </w:r>
            <w:r>
              <w:rPr/>
              <w:t xml:space="preserve"> </w:t>
            </w:r>
            <w:r>
              <w:rPr/>
              <w:t>在各参与互认平台开展交易的招标投标项目，不得拒绝</w:t>
            </w:r>
            <w:r>
              <w:rPr>
                <w:spacing w:val="-1"/>
              </w:rPr>
              <w:t>市场主体使用网络</w:t>
            </w:r>
          </w:p>
          <w:p>
            <w:pPr>
              <w:pStyle w:val="TableText"/>
              <w:ind w:left="11" w:right="38" w:firstLine="89"/>
              <w:spacing w:before="30" w:line="238" w:lineRule="auto"/>
              <w:jc w:val="both"/>
              <w:rPr/>
            </w:pPr>
            <w:r>
              <w:rPr/>
              <w:t>共享数字证书跨区域投标。各参与互认平台要针对市场主体关心的问题，</w:t>
            </w:r>
            <w:r>
              <w:rPr>
                <w:spacing w:val="4"/>
              </w:rPr>
              <w:t xml:space="preserve"> </w:t>
            </w:r>
            <w:r>
              <w:rPr>
                <w:spacing w:val="2"/>
              </w:rPr>
              <w:t>持续通过多种方式开展宣传解读，不断优化使用体验，推动市场主体跨区</w:t>
            </w:r>
            <w:r>
              <w:rPr>
                <w:spacing w:val="7"/>
              </w:rPr>
              <w:t xml:space="preserve"> </w:t>
            </w:r>
            <w:r>
              <w:rPr>
                <w:spacing w:val="2"/>
              </w:rPr>
              <w:t>域投标时积极使用网络共享数字证书。有关地</w:t>
            </w:r>
            <w:r>
              <w:rPr>
                <w:spacing w:val="1"/>
              </w:rPr>
              <w:t>方公共资源交易平台整合工</w:t>
            </w:r>
            <w:r>
              <w:rPr/>
              <w:t xml:space="preserve"> </w:t>
            </w:r>
            <w:r>
              <w:rPr>
                <w:spacing w:val="2"/>
              </w:rPr>
              <w:t>作牵头部门、招标投标指导协调工作牵头部门</w:t>
            </w:r>
            <w:r>
              <w:rPr>
                <w:spacing w:val="1"/>
              </w:rPr>
              <w:t>应当加强对本地区参与互认</w:t>
            </w:r>
            <w:r>
              <w:rPr/>
              <w:t xml:space="preserve"> </w:t>
            </w:r>
            <w:r>
              <w:rPr>
                <w:spacing w:val="2"/>
              </w:rPr>
              <w:t>平台的督促指导，协同推动和支持市场主体使用</w:t>
            </w:r>
            <w:r>
              <w:rPr>
                <w:spacing w:val="1"/>
              </w:rPr>
              <w:t>网络共享数字证书开展招</w:t>
            </w:r>
            <w:r>
              <w:rPr/>
              <w:t xml:space="preserve"> </w:t>
            </w:r>
            <w:r>
              <w:rPr>
                <w:spacing w:val="-1"/>
              </w:rPr>
              <w:t>标投标交易。</w:t>
            </w:r>
          </w:p>
        </w:tc>
        <w:tc>
          <w:tcPr>
            <w:tcW w:w="2128" w:type="dxa"/>
            <w:vAlign w:val="top"/>
          </w:tcPr>
          <w:p>
            <w:pPr>
              <w:pStyle w:val="TableText"/>
              <w:ind w:left="15" w:right="73" w:firstLine="70"/>
              <w:spacing w:before="83" w:line="241" w:lineRule="auto"/>
              <w:rPr/>
            </w:pPr>
            <w:r>
              <w:rPr/>
              <w:t>国家发展改革委办公厅关于在</w:t>
            </w:r>
            <w:r>
              <w:rPr>
                <w:spacing w:val="7"/>
              </w:rPr>
              <w:t xml:space="preserve"> </w:t>
            </w:r>
            <w:r>
              <w:rPr>
                <w:spacing w:val="4"/>
              </w:rPr>
              <w:t>部分地方公共资源交易平台和</w:t>
            </w:r>
            <w:r>
              <w:rPr>
                <w:spacing w:val="9"/>
              </w:rPr>
              <w:t xml:space="preserve"> </w:t>
            </w:r>
            <w:r>
              <w:rPr>
                <w:spacing w:val="4"/>
              </w:rPr>
              <w:t>企业招标采购平台试运行招标</w:t>
            </w:r>
            <w:r>
              <w:rPr>
                <w:spacing w:val="8"/>
              </w:rPr>
              <w:t xml:space="preserve"> </w:t>
            </w:r>
            <w:r>
              <w:rPr>
                <w:spacing w:val="-1"/>
              </w:rPr>
              <w:t>投标领域数字证书跨区域兼容</w:t>
            </w:r>
            <w:r>
              <w:rPr>
                <w:spacing w:val="2"/>
              </w:rPr>
              <w:t xml:space="preserve">  </w:t>
            </w:r>
            <w:r>
              <w:rPr/>
              <w:t>互认功能的通知</w:t>
            </w:r>
          </w:p>
          <w:p>
            <w:pPr>
              <w:pStyle w:val="TableText"/>
              <w:ind w:left="15"/>
              <w:spacing w:before="29" w:line="219" w:lineRule="auto"/>
              <w:rPr/>
            </w:pPr>
            <w:r>
              <w:rPr>
                <w:spacing w:val="-1"/>
              </w:rPr>
              <w:t>发改办法规〔2023〕54号</w:t>
            </w:r>
          </w:p>
        </w:tc>
        <w:tc>
          <w:tcPr>
            <w:tcW w:w="919" w:type="dxa"/>
            <w:vAlign w:val="top"/>
          </w:tcPr>
          <w:p>
            <w:pPr>
              <w:pStyle w:val="TableText"/>
              <w:ind w:left="27" w:right="10" w:firstLine="20"/>
              <w:spacing w:before="82" w:line="233" w:lineRule="auto"/>
              <w:rPr/>
            </w:pPr>
            <w:r>
              <w:rPr>
                <w:spacing w:val="17"/>
                <w:w w:val="108"/>
              </w:rPr>
              <w:t>2023年1月</w:t>
            </w:r>
            <w:r>
              <w:rPr>
                <w:spacing w:val="1"/>
              </w:rPr>
              <w:t xml:space="preserve"> </w:t>
            </w:r>
            <w:r>
              <w:rPr>
                <w:spacing w:val="1"/>
              </w:rPr>
              <w:t>19日起</w:t>
            </w:r>
          </w:p>
        </w:tc>
        <w:tc>
          <w:tcPr>
            <w:tcW w:w="679" w:type="dxa"/>
            <w:vAlign w:val="top"/>
          </w:tcPr>
          <w:p>
            <w:pPr>
              <w:pStyle w:val="TableText"/>
              <w:ind w:left="38"/>
              <w:spacing w:before="82" w:line="220" w:lineRule="auto"/>
              <w:rPr/>
            </w:pPr>
            <w:r>
              <w:rPr>
                <w:spacing w:val="-2"/>
              </w:rPr>
              <w:t>行政通知</w:t>
            </w:r>
          </w:p>
        </w:tc>
        <w:tc>
          <w:tcPr>
            <w:tcW w:w="664" w:type="dxa"/>
            <w:vAlign w:val="top"/>
          </w:tcPr>
          <w:p>
            <w:pPr>
              <w:pStyle w:val="TableText"/>
              <w:ind w:left="30"/>
              <w:spacing w:before="82"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46"/>
        <w:rPr/>
      </w:pPr>
      <w:r>
        <w:pict>
          <v:shape id="_x0000_s88" style="position:absolute;margin-left:38.9997pt;margin-top:53.6389pt;mso-position-vertical-relative:page;mso-position-horizontal-relative:page;width:6.65pt;height:12.45pt;z-index:251726848;"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1"/>
                      <w:szCs w:val="21"/>
                    </w:rPr>
                  </w:pPr>
                  <w:r>
                    <w:rPr>
                      <w:rFonts w:ascii="SimSun" w:hAnsi="SimSun" w:eastAsia="SimSun" w:cs="SimSun"/>
                      <w:sz w:val="21"/>
                      <w:szCs w:val="21"/>
                    </w:rPr>
                    <w:t>3</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514" w:hRule="atLeast"/>
        </w:trPr>
        <w:tc>
          <w:tcPr>
            <w:tcW w:w="294" w:type="dxa"/>
            <w:vAlign w:val="top"/>
            <w:textDirection w:val="tbRlV"/>
          </w:tcPr>
          <w:p>
            <w:pPr>
              <w:pStyle w:val="TableText"/>
              <w:ind w:left="67"/>
              <w:spacing w:before="69" w:line="217" w:lineRule="auto"/>
              <w:rPr/>
            </w:pPr>
            <w:r>
              <w:rPr>
                <w:spacing w:val="-2"/>
              </w:rPr>
              <w:t>序 号</w:t>
            </w:r>
          </w:p>
        </w:tc>
        <w:tc>
          <w:tcPr>
            <w:tcW w:w="4955" w:type="dxa"/>
            <w:vAlign w:val="top"/>
          </w:tcPr>
          <w:p>
            <w:pPr>
              <w:pStyle w:val="TableText"/>
              <w:ind w:left="2171"/>
              <w:spacing w:before="181" w:line="219" w:lineRule="auto"/>
              <w:rPr/>
            </w:pPr>
            <w:r>
              <w:rPr>
                <w:spacing w:val="-2"/>
              </w:rPr>
              <w:t>主要内容</w:t>
            </w:r>
          </w:p>
        </w:tc>
        <w:tc>
          <w:tcPr>
            <w:tcW w:w="2128" w:type="dxa"/>
            <w:vAlign w:val="top"/>
          </w:tcPr>
          <w:p>
            <w:pPr>
              <w:pStyle w:val="TableText"/>
              <w:ind w:left="756"/>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689" w:type="dxa"/>
            <w:vAlign w:val="top"/>
          </w:tcPr>
          <w:p>
            <w:pPr>
              <w:pStyle w:val="TableText"/>
              <w:ind w:left="28"/>
              <w:spacing w:before="181" w:line="219" w:lineRule="auto"/>
              <w:rPr/>
            </w:pPr>
            <w:r>
              <w:rPr>
                <w:spacing w:val="-1"/>
              </w:rPr>
              <w:t>政策类别</w:t>
            </w:r>
          </w:p>
        </w:tc>
        <w:tc>
          <w:tcPr>
            <w:tcW w:w="664" w:type="dxa"/>
            <w:vAlign w:val="top"/>
          </w:tcPr>
          <w:p>
            <w:pPr>
              <w:pStyle w:val="TableText"/>
              <w:ind w:left="20"/>
              <w:spacing w:before="181" w:line="220" w:lineRule="auto"/>
              <w:rPr/>
            </w:pPr>
            <w:r>
              <w:rPr>
                <w:spacing w:val="-1"/>
              </w:rPr>
              <w:t>政策形式</w:t>
            </w:r>
          </w:p>
        </w:tc>
      </w:tr>
      <w:tr>
        <w:trPr>
          <w:trHeight w:val="5696"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3</w:t>
            </w:r>
          </w:p>
        </w:tc>
        <w:tc>
          <w:tcPr>
            <w:tcW w:w="4955" w:type="dxa"/>
            <w:vAlign w:val="top"/>
          </w:tcPr>
          <w:p>
            <w:pPr>
              <w:pStyle w:val="TableText"/>
              <w:ind w:left="30" w:hanging="19"/>
              <w:spacing w:before="75"/>
              <w:rPr/>
            </w:pPr>
            <w:r>
              <w:rPr>
                <w:spacing w:val="-1"/>
              </w:rPr>
              <w:t>二、强化网络共享数字证书运行服务保障。各参与互认平台要严格按照《网</w:t>
            </w:r>
            <w:r>
              <w:rPr>
                <w:spacing w:val="15"/>
              </w:rPr>
              <w:t xml:space="preserve"> </w:t>
            </w:r>
            <w:r>
              <w:rPr>
                <w:spacing w:val="1"/>
              </w:rPr>
              <w:t>络共享数字证书技术标准》规范开展数字证书跨区域兼</w:t>
            </w:r>
            <w:r>
              <w:rPr/>
              <w:t>容互认，不得通过  </w:t>
            </w:r>
            <w:r>
              <w:rPr>
                <w:spacing w:val="1"/>
              </w:rPr>
              <w:t>自行修改标准或设置技术障碍，增加市场主体使用难度和负担。针对试运</w:t>
            </w:r>
            <w:r>
              <w:rPr>
                <w:spacing w:val="2"/>
              </w:rPr>
              <w:t xml:space="preserve">  </w:t>
            </w:r>
            <w:r>
              <w:rPr>
                <w:spacing w:val="1"/>
              </w:rPr>
              <w:t>行期间市场主体使用网络共享数字证书跨区域投标时</w:t>
            </w:r>
            <w:r>
              <w:rPr/>
              <w:t>可能出现的解密失败  </w:t>
            </w:r>
            <w:r>
              <w:rPr>
                <w:spacing w:val="-1"/>
              </w:rPr>
              <w:t>等紧急情况，要根据《网络共享数字证书技术标准》,自行研发部署或者</w:t>
            </w:r>
          </w:p>
          <w:p>
            <w:pPr>
              <w:pStyle w:val="TableText"/>
              <w:ind w:left="11" w:firstLine="59"/>
              <w:spacing w:before="25" w:line="237" w:lineRule="auto"/>
              <w:rPr/>
            </w:pPr>
            <w:r>
              <w:rPr>
                <w:spacing w:val="-2"/>
              </w:rPr>
              <w:t>通过协议约定应用中国招标投标公共服务平台提</w:t>
            </w:r>
            <w:r>
              <w:rPr>
                <w:spacing w:val="-3"/>
              </w:rPr>
              <w:t>供的数字证书解密失败的</w:t>
            </w:r>
            <w:r>
              <w:rPr/>
              <w:t xml:space="preserve">   </w:t>
            </w:r>
            <w:r>
              <w:rPr>
                <w:spacing w:val="-1"/>
              </w:rPr>
              <w:t>防范和救济保障方案，保障交易顺畅开展。鼓励交易平台运营和开发机构、</w:t>
            </w:r>
            <w:r>
              <w:rPr>
                <w:spacing w:val="15"/>
              </w:rPr>
              <w:t xml:space="preserve"> </w:t>
            </w:r>
            <w:r>
              <w:rPr>
                <w:spacing w:val="-2"/>
              </w:rPr>
              <w:t>数字证书服务机构、签章机构、共享应用APP运营机构、中国招标投标公</w:t>
            </w:r>
          </w:p>
          <w:p>
            <w:pPr>
              <w:pStyle w:val="TableText"/>
              <w:ind w:left="31"/>
              <w:spacing w:before="22" w:line="219" w:lineRule="auto"/>
              <w:rPr/>
            </w:pPr>
            <w:r>
              <w:rPr/>
              <w:t>共服务平台以及市场主体签订和履行《网络共</w:t>
            </w:r>
            <w:r>
              <w:rPr>
                <w:spacing w:val="-1"/>
              </w:rPr>
              <w:t>享数字证书标准服务协议》</w:t>
            </w:r>
          </w:p>
          <w:p>
            <w:pPr>
              <w:pStyle w:val="TableText"/>
              <w:ind w:left="70"/>
              <w:spacing w:before="13" w:line="219" w:lineRule="auto"/>
              <w:rPr/>
            </w:pPr>
            <w:r>
              <w:rPr/>
              <w:t>明确界定各方协同配合的职责、权利和义务。中国招标投标公共服务平台</w:t>
            </w:r>
          </w:p>
          <w:p>
            <w:pPr>
              <w:pStyle w:val="TableText"/>
              <w:ind w:left="31" w:right="58" w:firstLine="69"/>
              <w:spacing w:before="30" w:line="230" w:lineRule="auto"/>
              <w:jc w:val="both"/>
              <w:rPr/>
            </w:pPr>
            <w:r>
              <w:rPr>
                <w:spacing w:val="-1"/>
              </w:rPr>
              <w:t>与各参与互认平台签订《网络共享数字证书互认组件技术运行服务协议》</w:t>
            </w:r>
            <w:r>
              <w:rPr>
                <w:spacing w:val="16"/>
              </w:rPr>
              <w:t xml:space="preserve"> </w:t>
            </w:r>
            <w:r>
              <w:rPr>
                <w:spacing w:val="1"/>
              </w:rPr>
              <w:t>清晰界定双方对前置机侧数字证书共享组件的应急保障和运维责任，确保 </w:t>
            </w:r>
            <w:r>
              <w:rPr>
                <w:spacing w:val="-1"/>
              </w:rPr>
              <w:t>交易网络安全正常运行，</w:t>
            </w:r>
          </w:p>
          <w:p>
            <w:pPr>
              <w:pStyle w:val="TableText"/>
              <w:ind w:left="70" w:right="61" w:hanging="39"/>
              <w:spacing w:before="30" w:line="239" w:lineRule="auto"/>
              <w:rPr/>
            </w:pPr>
            <w:r>
              <w:rPr/>
              <w:t>三、持续拓展网络共享数字证书适用范围。首批6个营商</w:t>
            </w:r>
            <w:r>
              <w:rPr>
                <w:spacing w:val="-1"/>
              </w:rPr>
              <w:t>环境创新试点城</w:t>
            </w:r>
            <w:r>
              <w:rPr/>
              <w:t xml:space="preserve">   </w:t>
            </w:r>
            <w:r>
              <w:rPr/>
              <w:t>市公共资源交易平台要落实国务院营商环境创新试点工作要求，在市、区</w:t>
            </w:r>
          </w:p>
          <w:p>
            <w:pPr>
              <w:pStyle w:val="TableText"/>
              <w:ind w:left="31" w:right="38" w:firstLine="109"/>
              <w:spacing w:before="19"/>
              <w:rPr/>
            </w:pPr>
            <w:r>
              <w:rPr>
                <w:spacing w:val="-1"/>
              </w:rPr>
              <w:t>(县)两级全部招标投标领域部署应用网络共享数字证书。其他地方也要  </w:t>
            </w:r>
            <w:r>
              <w:rPr>
                <w:spacing w:val="2"/>
              </w:rPr>
              <w:t>加快工作节奏，尽快实现应用网络共享数字证书的招标投标领域全覆盖。</w:t>
            </w:r>
            <w:r>
              <w:rPr>
                <w:spacing w:val="10"/>
              </w:rPr>
              <w:t xml:space="preserve"> </w:t>
            </w:r>
            <w:r>
              <w:rPr>
                <w:spacing w:val="1"/>
              </w:rPr>
              <w:t>市场主体选择使用执行《网络共享数字证书</w:t>
            </w:r>
            <w:r>
              <w:rPr/>
              <w:t>技术标准》的任一套数字证书 </w:t>
            </w:r>
            <w:r>
              <w:rPr/>
              <w:t>及其APP载体，在任一参与互认平台完成注册后，即可在</w:t>
            </w:r>
            <w:r>
              <w:rPr>
                <w:spacing w:val="-1"/>
              </w:rPr>
              <w:t>全部参与互认平</w:t>
            </w:r>
            <w:r>
              <w:rPr/>
              <w:t xml:space="preserve">   </w:t>
            </w:r>
            <w:r>
              <w:rPr>
                <w:spacing w:val="1"/>
              </w:rPr>
              <w:t>台投标，做到只需注册一次、只用一套数字证书。鼓励各地在现有工作基</w:t>
            </w:r>
            <w:r>
              <w:rPr>
                <w:spacing w:val="13"/>
              </w:rPr>
              <w:t xml:space="preserve"> </w:t>
            </w:r>
            <w:r>
              <w:rPr>
                <w:spacing w:val="1"/>
              </w:rPr>
              <w:t>础上，推动政府采购、土地使用权和矿业权出让、国有产权交易等领域应 </w:t>
            </w:r>
            <w:r>
              <w:rPr>
                <w:spacing w:val="1"/>
              </w:rPr>
              <w:t>用网络共享数字证书，进一步降低市场主体跨区域跨平台参与各类公共资</w:t>
            </w:r>
            <w:r>
              <w:rPr/>
              <w:t xml:space="preserve"> </w:t>
            </w:r>
            <w:r>
              <w:rPr>
                <w:spacing w:val="-1"/>
              </w:rPr>
              <w:t>源交易活动的成本。</w:t>
            </w:r>
          </w:p>
          <w:p>
            <w:pPr>
              <w:pStyle w:val="TableText"/>
              <w:ind w:left="41" w:right="57" w:firstLine="29"/>
              <w:spacing w:before="21" w:line="245" w:lineRule="auto"/>
              <w:jc w:val="both"/>
              <w:rPr/>
            </w:pPr>
            <w:r>
              <w:rPr/>
              <w:t>四、认真做好标准优化和经验总结。各参与互认平台要畅通市场主体意见</w:t>
            </w:r>
            <w:r>
              <w:rPr>
                <w:spacing w:val="6"/>
              </w:rPr>
              <w:t xml:space="preserve"> </w:t>
            </w:r>
            <w:r>
              <w:rPr>
                <w:spacing w:val="1"/>
              </w:rPr>
              <w:t>建议反映渠道，主动收集和解决市场主体在应用网络共享数字证书过程中</w:t>
            </w:r>
            <w:r>
              <w:rPr>
                <w:spacing w:val="13"/>
              </w:rPr>
              <w:t xml:space="preserve"> </w:t>
            </w:r>
            <w:r>
              <w:rPr>
                <w:spacing w:val="1"/>
              </w:rPr>
              <w:t>出现的问题；需要国家层面统筹解决的，及时提出意见建议。中国招标投</w:t>
            </w:r>
            <w:r>
              <w:rPr>
                <w:spacing w:val="3"/>
              </w:rPr>
              <w:t xml:space="preserve"> </w:t>
            </w:r>
            <w:r>
              <w:rPr>
                <w:spacing w:val="1"/>
              </w:rPr>
              <w:t>标协会、中国招标投标公共服务平台要根据实际交</w:t>
            </w:r>
            <w:r>
              <w:rPr/>
              <w:t>易应用情况及各方面意 </w:t>
            </w:r>
            <w:r>
              <w:rPr/>
              <w:t>见建议，论证完善《网络共享数字证书技术标准》</w:t>
            </w:r>
            <w:r>
              <w:rPr>
                <w:spacing w:val="-1"/>
              </w:rPr>
              <w:t>,加强技术服务保障</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799" w:header="0" w:footer="0" w:gutter="0"/>
        </w:sectPr>
        <w:rPr/>
      </w:pPr>
    </w:p>
    <w:p>
      <w:pPr>
        <w:spacing w:before="51"/>
        <w:rPr/>
      </w:pPr>
      <w:r>
        <w:pict>
          <v:shape id="_x0000_s90" style="position:absolute;margin-left:38.9997pt;margin-top:346.652pt;mso-position-vertical-relative:page;mso-position-horizontal-relative:page;width:10.3pt;height:15.9pt;z-index:251727872;" o:allowincell="f" filled="false" stroked="false" type="#_x0000_t202">
            <v:fill on="false"/>
            <v:stroke on="false"/>
            <v:path/>
            <v:imagedata o:title=""/>
            <o:lock v:ext="edit" aspectratio="false"/>
            <v:textbox inset="0mm,0mm,0mm,0mm">
              <w:txbxContent>
                <w:p>
                  <w:pPr>
                    <w:spacing w:before="20" w:line="165" w:lineRule="auto"/>
                    <w:jc w:val="right"/>
                    <w:rPr>
                      <w:rFonts w:ascii="LiSu" w:hAnsi="LiSu" w:eastAsia="LiSu" w:cs="LiSu"/>
                      <w:sz w:val="31"/>
                      <w:szCs w:val="31"/>
                    </w:rPr>
                  </w:pPr>
                  <w:r>
                    <w:rPr>
                      <w:rFonts w:ascii="LiSu" w:hAnsi="LiSu" w:eastAsia="LiSu" w:cs="LiSu"/>
                      <w:sz w:val="31"/>
                      <w:szCs w:val="31"/>
                      <w:spacing w:val="-10"/>
                      <w:w w:val="56"/>
                    </w:rPr>
                    <w:t>三</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1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1837" w:hRule="atLeast"/>
        </w:trPr>
        <w:tc>
          <w:tcPr>
            <w:tcW w:w="294"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94"/>
              <w:spacing w:before="49" w:line="183" w:lineRule="auto"/>
              <w:rPr/>
            </w:pPr>
            <w:r>
              <w:rPr/>
              <w:t>3</w:t>
            </w:r>
          </w:p>
        </w:tc>
        <w:tc>
          <w:tcPr>
            <w:tcW w:w="4955" w:type="dxa"/>
            <w:vAlign w:val="top"/>
          </w:tcPr>
          <w:p>
            <w:pPr>
              <w:pStyle w:val="TableText"/>
              <w:ind w:left="31" w:right="67" w:firstLine="39"/>
              <w:spacing w:before="75" w:line="239" w:lineRule="auto"/>
              <w:jc w:val="both"/>
              <w:rPr/>
            </w:pPr>
            <w:r>
              <w:rPr/>
              <w:t>国家发展改革委法规司将定期调度各参与互认平台试运行招标投标领域数</w:t>
            </w:r>
            <w:r>
              <w:rPr>
                <w:spacing w:val="5"/>
              </w:rPr>
              <w:t xml:space="preserve"> </w:t>
            </w:r>
            <w:r>
              <w:rPr>
                <w:spacing w:val="1"/>
              </w:rPr>
              <w:t>字证书跨区域兼容互认功能的进展和成效，总结推广好经验好做法，督促</w:t>
            </w:r>
            <w:r>
              <w:rPr/>
              <w:t xml:space="preserve"> </w:t>
            </w:r>
            <w:r>
              <w:rPr>
                <w:spacing w:val="1"/>
              </w:rPr>
              <w:t>解决存在的问题，为在各参与互认平台启动数字证书跨区域兼容互认功能 </w:t>
            </w:r>
            <w:r>
              <w:rPr>
                <w:spacing w:val="1"/>
              </w:rPr>
              <w:t>正式运行、加快推进全国范围公共资源交易领域数字证书跨区域兼容</w:t>
            </w:r>
            <w:r>
              <w:rPr/>
              <w:t>互认 </w:t>
            </w:r>
            <w:r>
              <w:rPr>
                <w:spacing w:val="-1"/>
              </w:rPr>
              <w:t>奠定基础。</w:t>
            </w:r>
          </w:p>
          <w:p>
            <w:pPr>
              <w:pStyle w:val="TableText"/>
              <w:ind w:left="41" w:right="57" w:hanging="10"/>
              <w:spacing w:before="29" w:line="231" w:lineRule="auto"/>
              <w:rPr/>
            </w:pPr>
            <w:r>
              <w:rPr/>
              <w:t>请各有关地方公共资源交易平台整合工作牵头部门和有关企业分别于2月  </w:t>
            </w:r>
            <w:r>
              <w:rPr>
                <w:spacing w:val="2"/>
              </w:rPr>
              <w:t>15日、3月31日前统计试运行期间参与互认平台网络共享数字证</w:t>
            </w:r>
            <w:r>
              <w:rPr>
                <w:spacing w:val="1"/>
              </w:rPr>
              <w:t>书实际应 </w:t>
            </w:r>
            <w:r>
              <w:rPr>
                <w:spacing w:val="1"/>
              </w:rPr>
              <w:t>用情况，书面报送国家发展改革委法规司。请中国招标投标公共服务平台</w:t>
            </w:r>
            <w:r>
              <w:rPr>
                <w:spacing w:val="13"/>
              </w:rPr>
              <w:t xml:space="preserve"> </w:t>
            </w:r>
            <w:r>
              <w:rPr>
                <w:spacing w:val="-1"/>
              </w:rPr>
              <w:t>对有关地方和企业开展统计工作予以支持配合。</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r>
        <w:trPr>
          <w:trHeight w:val="3869" w:hRule="atLeast"/>
        </w:trPr>
        <w:tc>
          <w:tcPr>
            <w:tcW w:w="294"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4"/>
              <w:spacing w:before="49" w:line="183" w:lineRule="auto"/>
              <w:rPr/>
            </w:pPr>
            <w:r>
              <w:rPr/>
              <w:t>4</w:t>
            </w:r>
          </w:p>
        </w:tc>
        <w:tc>
          <w:tcPr>
            <w:tcW w:w="4955" w:type="dxa"/>
            <w:vAlign w:val="top"/>
          </w:tcPr>
          <w:p>
            <w:pPr>
              <w:pStyle w:val="TableText"/>
              <w:ind w:left="31" w:right="64" w:firstLine="39"/>
              <w:spacing w:before="98"/>
              <w:rPr/>
            </w:pPr>
            <w:r>
              <w:rPr>
                <w:spacing w:val="-1"/>
              </w:rPr>
              <w:t>一、严格规范招标投标交易担保行为。招标人、招标代理机构以及其他受</w:t>
            </w:r>
            <w:r>
              <w:rPr>
                <w:spacing w:val="16"/>
              </w:rPr>
              <w:t xml:space="preserve"> </w:t>
            </w:r>
            <w:r>
              <w:rPr>
                <w:spacing w:val="1"/>
              </w:rPr>
              <w:t>委托提供保证金代收代管服务的平台和服务机构应当严格遵守招标投标交 </w:t>
            </w:r>
            <w:r>
              <w:rPr>
                <w:spacing w:val="1"/>
              </w:rPr>
              <w:t>易担保规定，严禁巧立名目变相收取没有法律法规依据的保证金或其他费</w:t>
            </w:r>
            <w:r>
              <w:rPr>
                <w:spacing w:val="16"/>
              </w:rPr>
              <w:t xml:space="preserve"> </w:t>
            </w:r>
            <w:r>
              <w:rPr/>
              <w:t>用。招标人应当同时接受现金保证金和银行保函等非</w:t>
            </w:r>
            <w:r>
              <w:rPr>
                <w:spacing w:val="-1"/>
              </w:rPr>
              <w:t>现金交易担保方式</w:t>
            </w:r>
          </w:p>
          <w:p>
            <w:pPr>
              <w:pStyle w:val="TableText"/>
              <w:ind w:left="21" w:right="79" w:firstLine="49"/>
              <w:spacing w:before="11" w:line="233" w:lineRule="auto"/>
              <w:rPr/>
            </w:pPr>
            <w:r>
              <w:rPr/>
              <w:t>在招标文件中规范约定招标投标交易担保形式、金额或比</w:t>
            </w:r>
            <w:r>
              <w:rPr>
                <w:spacing w:val="-1"/>
              </w:rPr>
              <w:t>例、收退时间等</w:t>
            </w:r>
            <w:r>
              <w:rPr/>
              <w:t xml:space="preserve"> </w:t>
            </w:r>
            <w:r>
              <w:rPr>
                <w:spacing w:val="1"/>
              </w:rPr>
              <w:t>依法必须招标项目的招标人不得强制要求投标人、中标人缴纳现金保证金</w:t>
            </w:r>
            <w:r>
              <w:rPr>
                <w:spacing w:val="9"/>
              </w:rPr>
              <w:t xml:space="preserve"> </w:t>
            </w:r>
            <w:r>
              <w:rPr/>
              <w:t>二、全面推广保函(保险)。鼓励招标人接受担保机</w:t>
            </w:r>
            <w:r>
              <w:rPr>
                <w:spacing w:val="-1"/>
              </w:rPr>
              <w:t>构的保函、保险机构</w:t>
            </w:r>
          </w:p>
          <w:p>
            <w:pPr>
              <w:pStyle w:val="TableText"/>
              <w:ind w:left="31" w:right="56" w:firstLine="39"/>
              <w:spacing w:before="12" w:line="245" w:lineRule="auto"/>
              <w:rPr/>
            </w:pPr>
            <w:r>
              <w:rPr/>
              <w:t>的保单等其他非现金交易担保方式缴纳投标保证金、履约保证金、工程质</w:t>
            </w:r>
            <w:r>
              <w:rPr>
                <w:spacing w:val="16"/>
              </w:rPr>
              <w:t xml:space="preserve"> </w:t>
            </w:r>
            <w:r>
              <w:rPr>
                <w:spacing w:val="1"/>
              </w:rPr>
              <w:t>量保证金。投标人、中标人在招标文件约定范围内，可以自行选择交易担 </w:t>
            </w:r>
            <w:r>
              <w:rPr/>
              <w:t>保方式，招标人、招标代理机构和其他任何单位不得</w:t>
            </w:r>
            <w:r>
              <w:rPr>
                <w:spacing w:val="-1"/>
              </w:rPr>
              <w:t>排斥、限制或拒绝</w:t>
            </w:r>
          </w:p>
          <w:p>
            <w:pPr>
              <w:pStyle w:val="TableText"/>
              <w:ind w:left="21" w:right="251" w:firstLine="30"/>
              <w:spacing w:before="13" w:line="238" w:lineRule="auto"/>
              <w:rPr/>
            </w:pPr>
            <w:r>
              <w:rPr/>
              <w:t>鼓励使用电子保函，降低电子保函费用。任何单位</w:t>
            </w:r>
            <w:r>
              <w:rPr>
                <w:spacing w:val="-1"/>
              </w:rPr>
              <w:t>和个人不得为投标人</w:t>
            </w:r>
            <w:r>
              <w:rPr/>
              <w:t xml:space="preserve"> </w:t>
            </w:r>
            <w:r>
              <w:rPr/>
              <w:t>中标人指定出具保函、保单的银行、担保机构</w:t>
            </w:r>
            <w:r>
              <w:rPr>
                <w:spacing w:val="-1"/>
              </w:rPr>
              <w:t>或保险机构。</w:t>
            </w:r>
          </w:p>
          <w:p>
            <w:pPr>
              <w:pStyle w:val="TableText"/>
              <w:ind w:left="31" w:right="79" w:firstLine="39"/>
              <w:spacing w:before="20" w:line="241" w:lineRule="auto"/>
              <w:jc w:val="both"/>
              <w:rPr/>
            </w:pPr>
            <w:r>
              <w:rPr/>
              <w:t>三、规范保证金收取和退还。招标人、招标代理机构以及</w:t>
            </w:r>
            <w:r>
              <w:rPr>
                <w:spacing w:val="-1"/>
              </w:rPr>
              <w:t>其他受委托提供</w:t>
            </w:r>
            <w:r>
              <w:rPr/>
              <w:t xml:space="preserve"> </w:t>
            </w:r>
            <w:r>
              <w:rPr>
                <w:spacing w:val="1"/>
              </w:rPr>
              <w:t>保证金代收代管服务的平台和服务机构应当严格按照法律规定、招标文件</w:t>
            </w:r>
            <w:r>
              <w:rPr/>
              <w:t xml:space="preserve"> </w:t>
            </w:r>
            <w:r>
              <w:rPr>
                <w:spacing w:val="1"/>
              </w:rPr>
              <w:t>和合同中明确约定的保证金收退的具体方式和期限，及时退还保证金。任</w:t>
            </w:r>
            <w:r>
              <w:rPr/>
              <w:t xml:space="preserve"> </w:t>
            </w:r>
            <w:r>
              <w:rPr>
                <w:spacing w:val="1"/>
              </w:rPr>
              <w:t>何单位不得非法扣押、拖欠、侵占、挪用各类保证金。以现金形式提</w:t>
            </w:r>
            <w:r>
              <w:rPr/>
              <w:t>交保 </w:t>
            </w:r>
            <w:r>
              <w:rPr/>
              <w:t>证金的，应当同时退还保证金本金和银行同</w:t>
            </w:r>
            <w:r>
              <w:rPr>
                <w:spacing w:val="-1"/>
              </w:rPr>
              <w:t>期存款利息。</w:t>
            </w:r>
          </w:p>
          <w:p>
            <w:pPr>
              <w:pStyle w:val="TableText"/>
              <w:ind w:left="70" w:right="82" w:firstLine="30"/>
              <w:spacing w:before="23" w:line="227" w:lineRule="auto"/>
              <w:rPr/>
            </w:pPr>
            <w:r>
              <w:rPr/>
              <w:t>四、清理历史沉淀保证金。2023年3月底前，各地方政府有关部门、各有</w:t>
            </w:r>
            <w:r>
              <w:rPr>
                <w:spacing w:val="11"/>
              </w:rPr>
              <w:t xml:space="preserve"> </w:t>
            </w:r>
            <w:r>
              <w:rPr/>
              <w:t>关单位和企业组织开展清理历史沉淀保证金专项行</w:t>
            </w:r>
            <w:r>
              <w:rPr>
                <w:spacing w:val="-1"/>
              </w:rPr>
              <w:t>动，按照“谁收取、谁</w:t>
            </w:r>
          </w:p>
        </w:tc>
        <w:tc>
          <w:tcPr>
            <w:tcW w:w="2128" w:type="dxa"/>
            <w:vAlign w:val="top"/>
          </w:tcPr>
          <w:p>
            <w:pPr>
              <w:pStyle w:val="TableText"/>
              <w:ind w:left="15" w:right="73" w:firstLine="70"/>
              <w:spacing w:before="78" w:line="241" w:lineRule="auto"/>
              <w:jc w:val="both"/>
              <w:rPr/>
            </w:pPr>
            <w:r>
              <w:rPr/>
              <w:t>国家起发展改革委等部门关于</w:t>
            </w:r>
            <w:r>
              <w:rPr>
                <w:spacing w:val="7"/>
              </w:rPr>
              <w:t xml:space="preserve"> </w:t>
            </w:r>
            <w:r>
              <w:rPr>
                <w:spacing w:val="4"/>
              </w:rPr>
              <w:t>完善招标投标交易担保制度进</w:t>
            </w:r>
            <w:r>
              <w:rPr>
                <w:spacing w:val="9"/>
              </w:rPr>
              <w:t xml:space="preserve"> </w:t>
            </w:r>
            <w:r>
              <w:rPr>
                <w:spacing w:val="4"/>
              </w:rPr>
              <w:t>一步降低招标投标交易成本的</w:t>
            </w:r>
            <w:r>
              <w:rPr>
                <w:spacing w:val="8"/>
              </w:rPr>
              <w:t xml:space="preserve"> </w:t>
            </w:r>
            <w:r>
              <w:rPr>
                <w:spacing w:val="-2"/>
              </w:rPr>
              <w:t>通知</w:t>
            </w:r>
          </w:p>
          <w:p>
            <w:pPr>
              <w:pStyle w:val="TableText"/>
              <w:ind w:left="35"/>
              <w:spacing w:before="28" w:line="219" w:lineRule="auto"/>
              <w:rPr/>
            </w:pPr>
            <w:r>
              <w:rPr>
                <w:spacing w:val="-1"/>
              </w:rPr>
              <w:t>发改法规〔2023〕27号</w:t>
            </w:r>
          </w:p>
        </w:tc>
        <w:tc>
          <w:tcPr>
            <w:tcW w:w="909" w:type="dxa"/>
            <w:vAlign w:val="top"/>
          </w:tcPr>
          <w:p>
            <w:pPr>
              <w:pStyle w:val="TableText"/>
              <w:ind w:left="18" w:firstLine="9"/>
              <w:spacing w:before="99" w:line="226" w:lineRule="auto"/>
              <w:rPr/>
            </w:pPr>
            <w:r>
              <w:rPr>
                <w:spacing w:val="17"/>
                <w:w w:val="111"/>
              </w:rPr>
              <w:t>2023年1月</w:t>
            </w:r>
            <w:r>
              <w:rPr>
                <w:spacing w:val="1"/>
              </w:rPr>
              <w:t xml:space="preserve"> </w:t>
            </w:r>
            <w:r>
              <w:rPr>
                <w:spacing w:val="10"/>
              </w:rPr>
              <w:t>6日</w:t>
            </w:r>
          </w:p>
        </w:tc>
        <w:tc>
          <w:tcPr>
            <w:tcW w:w="689" w:type="dxa"/>
            <w:vAlign w:val="top"/>
          </w:tcPr>
          <w:p>
            <w:pPr>
              <w:pStyle w:val="TableText"/>
              <w:ind w:left="18"/>
              <w:spacing w:before="70" w:line="220" w:lineRule="auto"/>
              <w:rPr/>
            </w:pPr>
            <w:r>
              <w:rPr>
                <w:spacing w:val="-2"/>
              </w:rPr>
              <w:t>行政通知</w:t>
            </w:r>
          </w:p>
        </w:tc>
        <w:tc>
          <w:tcPr>
            <w:tcW w:w="664" w:type="dxa"/>
            <w:vAlign w:val="top"/>
          </w:tcPr>
          <w:p>
            <w:pPr>
              <w:pStyle w:val="TableText"/>
              <w:ind w:left="30"/>
              <w:spacing w:before="80" w:line="219" w:lineRule="auto"/>
              <w:rPr/>
            </w:pPr>
            <w:r>
              <w:rPr>
                <w:spacing w:val="-2"/>
              </w:rPr>
              <w:t>行政优化</w:t>
            </w:r>
          </w:p>
        </w:tc>
      </w:tr>
    </w:tbl>
    <w:p>
      <w:pPr>
        <w:pStyle w:val="BodyText"/>
        <w:rPr/>
      </w:pPr>
      <w:r/>
    </w:p>
    <w:p>
      <w:pPr>
        <w:sectPr>
          <w:pgSz w:w="11910" w:h="8220"/>
          <w:pgMar w:top="400" w:right="1145" w:bottom="400" w:left="799" w:header="0" w:footer="0" w:gutter="0"/>
        </w:sectPr>
        <w:rPr/>
      </w:pPr>
    </w:p>
    <w:p>
      <w:pPr>
        <w:spacing w:before="46"/>
        <w:rPr/>
      </w:pPr>
      <w:r>
        <w:drawing>
          <wp:anchor distT="0" distB="0" distL="0" distR="0" simplePos="0" relativeHeight="251728896" behindDoc="0" locked="0" layoutInCell="0" allowOverlap="1">
            <wp:simplePos x="0" y="0"/>
            <wp:positionH relativeFrom="page">
              <wp:posOffset>514349</wp:posOffset>
            </wp:positionH>
            <wp:positionV relativeFrom="page">
              <wp:posOffset>660396</wp:posOffset>
            </wp:positionV>
            <wp:extent cx="107921" cy="126995"/>
            <wp:effectExtent l="0" t="0" r="0" b="0"/>
            <wp:wrapNone/>
            <wp:docPr id="42" name="IM 42"/>
            <wp:cNvGraphicFramePr/>
            <a:graphic>
              <a:graphicData uri="http://schemas.openxmlformats.org/drawingml/2006/picture">
                <pic:pic>
                  <pic:nvPicPr>
                    <pic:cNvPr id="42" name="IM 42"/>
                    <pic:cNvPicPr/>
                  </pic:nvPicPr>
                  <pic:blipFill>
                    <a:blip r:embed="rId24"/>
                    <a:stretch>
                      <a:fillRect/>
                    </a:stretch>
                  </pic:blipFill>
                  <pic:spPr>
                    <a:xfrm rot="0">
                      <a:off x="0" y="0"/>
                      <a:ext cx="107921" cy="126995"/>
                    </a:xfrm>
                    <a:prstGeom prst="rect">
                      <a:avLst/>
                    </a:prstGeom>
                  </pic:spPr>
                </pic:pic>
              </a:graphicData>
            </a:graphic>
          </wp:anchor>
        </w:drawing>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18"/>
        <w:gridCol w:w="919"/>
        <w:gridCol w:w="679"/>
        <w:gridCol w:w="664"/>
      </w:tblGrid>
      <w:tr>
        <w:trPr>
          <w:trHeight w:val="50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81" w:line="219" w:lineRule="auto"/>
              <w:rPr/>
            </w:pPr>
            <w:r>
              <w:rPr>
                <w:spacing w:val="-2"/>
              </w:rPr>
              <w:t>主要内容</w:t>
            </w:r>
          </w:p>
        </w:tc>
        <w:tc>
          <w:tcPr>
            <w:tcW w:w="2118" w:type="dxa"/>
            <w:vAlign w:val="top"/>
          </w:tcPr>
          <w:p>
            <w:pPr>
              <w:pStyle w:val="TableText"/>
              <w:ind w:left="756"/>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679" w:type="dxa"/>
            <w:vAlign w:val="top"/>
          </w:tcPr>
          <w:p>
            <w:pPr>
              <w:pStyle w:val="TableText"/>
              <w:ind w:left="28"/>
              <w:spacing w:before="181" w:line="219" w:lineRule="auto"/>
              <w:rPr/>
            </w:pPr>
            <w:r>
              <w:rPr>
                <w:spacing w:val="-1"/>
              </w:rPr>
              <w:t>政策类别</w:t>
            </w:r>
          </w:p>
        </w:tc>
        <w:tc>
          <w:tcPr>
            <w:tcW w:w="664" w:type="dxa"/>
            <w:vAlign w:val="top"/>
          </w:tcPr>
          <w:p>
            <w:pPr>
              <w:pStyle w:val="TableText"/>
              <w:ind w:left="20"/>
              <w:spacing w:before="181" w:line="220" w:lineRule="auto"/>
              <w:rPr/>
            </w:pPr>
            <w:r>
              <w:rPr>
                <w:spacing w:val="-1"/>
              </w:rPr>
              <w:t>政策形式</w:t>
            </w:r>
          </w:p>
        </w:tc>
      </w:tr>
      <w:tr>
        <w:trPr>
          <w:trHeight w:val="5706"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4</w:t>
            </w:r>
          </w:p>
        </w:tc>
        <w:tc>
          <w:tcPr>
            <w:tcW w:w="4955" w:type="dxa"/>
            <w:vAlign w:val="top"/>
          </w:tcPr>
          <w:p>
            <w:pPr>
              <w:pStyle w:val="TableText"/>
              <w:ind w:left="11" w:firstLine="59"/>
              <w:spacing w:before="135" w:line="241" w:lineRule="auto"/>
              <w:rPr/>
            </w:pPr>
            <w:r>
              <w:rPr>
                <w:spacing w:val="-1"/>
              </w:rPr>
              <w:t>清理、谁退还”的原则，督促招标人、招标代理机构以及其他受委托提供</w:t>
            </w:r>
            <w:r>
              <w:rPr>
                <w:spacing w:val="8"/>
              </w:rPr>
              <w:t xml:space="preserve">  </w:t>
            </w:r>
            <w:r>
              <w:rPr>
                <w:spacing w:val="1"/>
              </w:rPr>
              <w:t>保证金代收代管服务的平台和服务机构全面清理投标保证金、履约保证金</w:t>
            </w:r>
            <w:r>
              <w:rPr>
                <w:spacing w:val="6"/>
              </w:rPr>
              <w:t xml:space="preserve">  </w:t>
            </w:r>
            <w:r>
              <w:rPr>
                <w:spacing w:val="-1"/>
              </w:rPr>
              <w:t>工程质量保证金等各类历史沉淀保证金，做到应退尽退。各地政府有关部门</w:t>
            </w:r>
            <w:r>
              <w:rPr>
                <w:spacing w:val="15"/>
              </w:rPr>
              <w:t xml:space="preserve"> </w:t>
            </w:r>
            <w:r>
              <w:rPr>
                <w:spacing w:val="1"/>
              </w:rPr>
              <w:t>各有关单位和企业要每年定期开展历史沉淀保证金清理工作，并通过相关</w:t>
            </w:r>
            <w:r>
              <w:rPr>
                <w:spacing w:val="5"/>
              </w:rPr>
              <w:t xml:space="preserve">  </w:t>
            </w:r>
            <w:r>
              <w:rPr>
                <w:spacing w:val="-1"/>
              </w:rPr>
              <w:t>公共服务平台网络、窗口或门户网站向社会公开清理结果</w:t>
            </w:r>
          </w:p>
          <w:p>
            <w:pPr>
              <w:pStyle w:val="TableText"/>
              <w:ind w:left="51" w:right="79" w:firstLine="49"/>
              <w:spacing w:before="3" w:line="242" w:lineRule="auto"/>
              <w:jc w:val="both"/>
              <w:rPr/>
            </w:pPr>
            <w:r>
              <w:rPr>
                <w:spacing w:val="-1"/>
              </w:rPr>
              <w:t>五、鼓励减免政府投资项目投标保证金。2023年3月底前，各省级招标投 </w:t>
            </w:r>
            <w:r>
              <w:rPr/>
              <w:t>标指导协调工作牵头部门应当会同各有关行政监督部门，制定出台鼓励本</w:t>
            </w:r>
            <w:r>
              <w:rPr>
                <w:spacing w:val="12"/>
              </w:rPr>
              <w:t xml:space="preserve"> </w:t>
            </w:r>
            <w:r>
              <w:rPr/>
              <w:t>地区政府投资项目招标人全面或阶段性停止收取投标保证金，或者分类减</w:t>
            </w:r>
            <w:r>
              <w:rPr>
                <w:spacing w:val="13"/>
              </w:rPr>
              <w:t xml:space="preserve"> </w:t>
            </w:r>
            <w:r>
              <w:rPr/>
              <w:t>免投标保证金的政策措施，并完善保障招标人合法权益的配套机制</w:t>
            </w:r>
          </w:p>
          <w:p>
            <w:pPr>
              <w:pStyle w:val="TableText"/>
              <w:ind w:left="21" w:right="80" w:firstLine="49"/>
              <w:spacing w:before="33" w:line="233" w:lineRule="auto"/>
              <w:rPr/>
            </w:pPr>
            <w:r>
              <w:rPr/>
              <w:t>六、鼓励实行差异化缴纳投标保证金。对于政府投资</w:t>
            </w:r>
            <w:r>
              <w:rPr>
                <w:spacing w:val="-1"/>
              </w:rPr>
              <w:t>项目以外的依法必须</w:t>
            </w:r>
            <w:r>
              <w:rPr/>
              <w:t xml:space="preserve"> </w:t>
            </w:r>
            <w:r>
              <w:rPr>
                <w:spacing w:val="1"/>
              </w:rPr>
              <w:t>招标项目和非依法必须招标项目，各地要制定相应政策，鼓励招标人根据</w:t>
            </w:r>
            <w:r>
              <w:rPr>
                <w:spacing w:val="10"/>
              </w:rPr>
              <w:t xml:space="preserve"> </w:t>
            </w:r>
            <w:r>
              <w:rPr/>
              <w:t>项目特点和投标人诚信状况，在招标文件中明确减</w:t>
            </w:r>
            <w:r>
              <w:rPr>
                <w:spacing w:val="-1"/>
              </w:rPr>
              <w:t>免投标保证金的措施</w:t>
            </w:r>
          </w:p>
          <w:p>
            <w:pPr>
              <w:pStyle w:val="TableText"/>
              <w:ind w:left="11" w:right="79" w:firstLine="59"/>
              <w:spacing w:before="32" w:line="241" w:lineRule="auto"/>
              <w:rPr/>
            </w:pPr>
            <w:r>
              <w:rPr/>
              <w:t>鼓励招标人对无失信记录的中小微企业或信用记录良</w:t>
            </w:r>
            <w:r>
              <w:rPr>
                <w:spacing w:val="-1"/>
              </w:rPr>
              <w:t>好的投标人，给予减</w:t>
            </w:r>
            <w:r>
              <w:rPr/>
              <w:t xml:space="preserve"> </w:t>
            </w:r>
            <w:r>
              <w:rPr>
                <w:spacing w:val="1"/>
              </w:rPr>
              <w:t>免投标保证金的优惠待遇。鼓励国有企事业单位招标人制定实施分类减免</w:t>
            </w:r>
            <w:r>
              <w:rPr>
                <w:spacing w:val="17"/>
              </w:rPr>
              <w:t xml:space="preserve"> </w:t>
            </w:r>
            <w:r>
              <w:rPr>
                <w:spacing w:val="2"/>
              </w:rPr>
              <w:t>投标保证金的相关措施。企事业单位实行集</w:t>
            </w:r>
            <w:r>
              <w:rPr>
                <w:spacing w:val="1"/>
              </w:rPr>
              <w:t>中招标采购制度的，可以探索</w:t>
            </w:r>
            <w:r>
              <w:rPr/>
              <w:t xml:space="preserve"> </w:t>
            </w:r>
            <w:r>
              <w:rPr>
                <w:spacing w:val="2"/>
              </w:rPr>
              <w:t>试行与集中招标采购范围对应的集中交易担保机</w:t>
            </w:r>
            <w:r>
              <w:rPr>
                <w:spacing w:val="1"/>
              </w:rPr>
              <w:t>制，避免投标人重复提供</w:t>
            </w:r>
            <w:r>
              <w:rPr/>
              <w:t xml:space="preserve"> </w:t>
            </w:r>
            <w:r>
              <w:rPr>
                <w:spacing w:val="-2"/>
              </w:rPr>
              <w:t>投标保证金</w:t>
            </w:r>
          </w:p>
          <w:p>
            <w:pPr>
              <w:pStyle w:val="TableText"/>
              <w:ind w:left="31" w:right="259" w:firstLine="10"/>
              <w:spacing w:before="19" w:line="221" w:lineRule="auto"/>
              <w:rPr/>
            </w:pPr>
            <w:r>
              <w:rPr/>
              <w:t>七、加快完善招标投标交易担保服务体系。依托公共资</w:t>
            </w:r>
            <w:r>
              <w:rPr>
                <w:spacing w:val="-1"/>
              </w:rPr>
              <w:t>源交易平台、招</w:t>
            </w:r>
            <w:r>
              <w:rPr/>
              <w:t xml:space="preserve"> </w:t>
            </w:r>
            <w:r>
              <w:rPr/>
              <w:t>标投标公共服务平台、电子招标投标交易平台、信</w:t>
            </w:r>
            <w:r>
              <w:rPr>
                <w:spacing w:val="-1"/>
              </w:rPr>
              <w:t>用信息共享平台等</w:t>
            </w:r>
          </w:p>
          <w:p>
            <w:pPr>
              <w:pStyle w:val="TableText"/>
              <w:ind w:left="31" w:right="81" w:firstLine="39"/>
              <w:spacing w:before="41" w:line="232" w:lineRule="auto"/>
              <w:rPr/>
            </w:pPr>
            <w:r>
              <w:rPr/>
              <w:t>依法依规公开市场主体资质资格、业绩、行为信用信</w:t>
            </w:r>
            <w:r>
              <w:rPr>
                <w:spacing w:val="-1"/>
              </w:rPr>
              <w:t>息和担保信用信息等</w:t>
            </w:r>
            <w:r>
              <w:rPr/>
              <w:t xml:space="preserve"> </w:t>
            </w:r>
            <w:r>
              <w:rPr/>
              <w:t>为招标人减免投标保证金提供客观信息依据。推动</w:t>
            </w:r>
            <w:r>
              <w:rPr>
                <w:spacing w:val="-1"/>
              </w:rPr>
              <w:t>建立银行、担保机构</w:t>
            </w:r>
          </w:p>
          <w:p>
            <w:pPr>
              <w:pStyle w:val="TableText"/>
              <w:ind w:left="11" w:right="199" w:firstLine="20"/>
              <w:spacing w:before="14" w:line="238" w:lineRule="auto"/>
              <w:rPr/>
            </w:pPr>
            <w:r>
              <w:rPr/>
              <w:t>和保险机构间的招标投标市场主体履约信用信息共享</w:t>
            </w:r>
            <w:r>
              <w:rPr>
                <w:spacing w:val="-1"/>
              </w:rPr>
              <w:t>机制，鼓励各类银</w:t>
            </w:r>
            <w:r>
              <w:rPr/>
              <w:t xml:space="preserve">  </w:t>
            </w:r>
            <w:r>
              <w:rPr/>
              <w:t>行、担保机构、保险机构和电子招标投标交易平台对符合条件的投标人  </w:t>
            </w:r>
            <w:r>
              <w:rPr>
                <w:spacing w:val="3"/>
              </w:rPr>
              <w:t>中标人简化交易担保办理流程、降低服务手续费</w:t>
            </w:r>
            <w:r>
              <w:rPr>
                <w:spacing w:val="2"/>
              </w:rPr>
              <w:t>用。依法依规对银行、</w:t>
            </w:r>
            <w:r>
              <w:rPr/>
              <w:t xml:space="preserve"> </w:t>
            </w:r>
            <w:r>
              <w:rPr/>
              <w:t>担保机构和保险机构加强信用监管，严格防范并依法惩戒交易担保违法</w:t>
            </w:r>
            <w:r>
              <w:rPr>
                <w:spacing w:val="1"/>
              </w:rPr>
              <w:t xml:space="preserve">  </w:t>
            </w:r>
            <w:r>
              <w:rPr>
                <w:spacing w:val="-1"/>
              </w:rPr>
              <w:t>失信行为。</w:t>
            </w:r>
          </w:p>
        </w:tc>
        <w:tc>
          <w:tcPr>
            <w:tcW w:w="211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809" w:header="0" w:footer="0" w:gutter="0"/>
        </w:sectPr>
        <w:rPr/>
      </w:pPr>
    </w:p>
    <w:p>
      <w:pPr>
        <w:spacing w:before="51"/>
        <w:rPr/>
      </w:pPr>
      <w:r>
        <w:pict>
          <v:shape id="_x0000_s92" style="position:absolute;margin-left:38.9997pt;margin-top:346.775pt;mso-position-vertical-relative:page;mso-position-horizontal-relative:page;width:10.1pt;height:15.2pt;z-index:251729920;" o:allowincell="f" filled="false" stroked="false" type="#_x0000_t202">
            <v:fill on="false"/>
            <v:stroke on="false"/>
            <v:path/>
            <v:imagedata o:title=""/>
            <o:lock v:ext="edit" aspectratio="false"/>
            <v:textbox inset="0mm,0mm,0mm,0mm">
              <w:txbxContent>
                <w:p>
                  <w:pPr>
                    <w:spacing w:before="20" w:line="223" w:lineRule="auto"/>
                    <w:jc w:val="right"/>
                    <w:rPr>
                      <w:rFonts w:ascii="STCaiyun" w:hAnsi="STCaiyun" w:eastAsia="STCaiyun" w:cs="STCaiyun"/>
                      <w:sz w:val="21"/>
                      <w:szCs w:val="21"/>
                    </w:rPr>
                  </w:pPr>
                  <w:r>
                    <w:rPr>
                      <w:rFonts w:ascii="STCaiyun" w:hAnsi="STCaiyun" w:eastAsia="STCaiyun" w:cs="STCaiyun"/>
                      <w:sz w:val="21"/>
                      <w:szCs w:val="21"/>
                      <w:spacing w:val="-2"/>
                      <w:w w:val="77"/>
                    </w:rPr>
                    <w:t>心</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18"/>
        <w:gridCol w:w="919"/>
        <w:gridCol w:w="67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18" w:type="dxa"/>
            <w:vAlign w:val="top"/>
          </w:tcPr>
          <w:p>
            <w:pPr>
              <w:pStyle w:val="TableText"/>
              <w:ind w:left="75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5735"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9" w:line="182" w:lineRule="auto"/>
              <w:rPr/>
            </w:pPr>
            <w:r>
              <w:rPr/>
              <w:t>5</w:t>
            </w:r>
          </w:p>
        </w:tc>
        <w:tc>
          <w:tcPr>
            <w:tcW w:w="4955" w:type="dxa"/>
            <w:vAlign w:val="top"/>
          </w:tcPr>
          <w:p>
            <w:pPr>
              <w:pStyle w:val="TableText"/>
              <w:ind w:left="21" w:right="79" w:firstLine="49"/>
              <w:spacing w:before="96" w:line="233" w:lineRule="auto"/>
              <w:rPr/>
            </w:pPr>
            <w:r>
              <w:rPr/>
              <w:t>扩大政务服务“跨省通办”范围，进一步提升服务效能，</w:t>
            </w:r>
            <w:r>
              <w:rPr>
                <w:spacing w:val="-1"/>
              </w:rPr>
              <w:t>更好满足企业和</w:t>
            </w:r>
            <w:r>
              <w:rPr/>
              <w:t xml:space="preserve"> </w:t>
            </w:r>
            <w:r>
              <w:rPr>
                <w:spacing w:val="-1"/>
              </w:rPr>
              <w:t>群众异地办事需求。</w:t>
            </w:r>
          </w:p>
          <w:p>
            <w:pPr>
              <w:pStyle w:val="TableText"/>
              <w:ind w:left="21"/>
              <w:spacing w:before="22" w:line="219" w:lineRule="auto"/>
              <w:rPr/>
            </w:pPr>
            <w:r>
              <w:rPr/>
              <w:t>一、扩大“跨省通办”事项范围</w:t>
            </w:r>
          </w:p>
          <w:p>
            <w:pPr>
              <w:pStyle w:val="TableText"/>
              <w:ind w:left="80"/>
              <w:spacing w:before="22" w:line="219" w:lineRule="auto"/>
              <w:rPr/>
            </w:pPr>
            <w:r>
              <w:rPr/>
              <w:t>(一)新增一批高频政务服务“跨省通办”事项。在深入落实国办发〔</w:t>
            </w:r>
          </w:p>
          <w:p>
            <w:pPr>
              <w:pStyle w:val="TableText"/>
              <w:ind w:left="31" w:right="81" w:firstLine="39"/>
              <w:spacing w:before="21" w:line="232" w:lineRule="auto"/>
              <w:rPr/>
            </w:pPr>
            <w:r>
              <w:rPr/>
              <w:t>2020〕35号文件部署的基础上，聚焦便利企业跨区域</w:t>
            </w:r>
            <w:r>
              <w:rPr>
                <w:spacing w:val="-1"/>
              </w:rPr>
              <w:t>经营和加快解决群众</w:t>
            </w:r>
            <w:r>
              <w:rPr/>
              <w:t xml:space="preserve"> </w:t>
            </w:r>
            <w:r>
              <w:rPr/>
              <w:t>关切事项的异地办理问题，健全清单化管理和更新</w:t>
            </w:r>
            <w:r>
              <w:rPr>
                <w:spacing w:val="-1"/>
              </w:rPr>
              <w:t>机制，按照需求量大</w:t>
            </w:r>
          </w:p>
          <w:p>
            <w:pPr>
              <w:pStyle w:val="TableText"/>
              <w:ind w:left="21" w:right="280"/>
              <w:spacing w:before="12" w:line="239" w:lineRule="auto"/>
              <w:rPr/>
            </w:pPr>
            <w:r>
              <w:rPr/>
              <w:t>覆盖面广、办理频次高的原则，推出新一批政务服务</w:t>
            </w:r>
            <w:r>
              <w:rPr>
                <w:spacing w:val="-1"/>
              </w:rPr>
              <w:t>“跨省通办”事项</w:t>
            </w:r>
            <w:r>
              <w:rPr/>
              <w:t xml:space="preserve"> </w:t>
            </w:r>
            <w:r>
              <w:rPr/>
              <w:t>组织实施《全国政务服务“跨省通办”新增</w:t>
            </w:r>
            <w:r>
              <w:rPr>
                <w:spacing w:val="-1"/>
              </w:rPr>
              <w:t>任务清单》。</w:t>
            </w:r>
          </w:p>
          <w:p>
            <w:pPr>
              <w:pStyle w:val="TableText"/>
              <w:ind w:left="140"/>
              <w:spacing w:before="22" w:line="219" w:lineRule="auto"/>
              <w:rPr/>
            </w:pPr>
            <w:r>
              <w:rPr/>
              <w:t>(二)扎实推进地区间“跨省通办”合作。围绕实施区域重大战略，聚焦</w:t>
            </w:r>
          </w:p>
          <w:p>
            <w:pPr>
              <w:pStyle w:val="TableText"/>
              <w:ind w:left="70"/>
              <w:spacing w:before="22" w:line="219" w:lineRule="auto"/>
              <w:rPr/>
            </w:pPr>
            <w:r>
              <w:rPr/>
              <w:t>城市群都市圈一体化发展、主要劳务输入输出地协作、毗</w:t>
            </w:r>
            <w:r>
              <w:rPr>
                <w:spacing w:val="-1"/>
              </w:rPr>
              <w:t>邻地区交流合作</w:t>
            </w:r>
          </w:p>
          <w:p>
            <w:pPr>
              <w:pStyle w:val="TableText"/>
              <w:ind w:left="70" w:right="60"/>
              <w:spacing w:before="22" w:line="232" w:lineRule="auto"/>
              <w:rPr/>
            </w:pPr>
            <w:r>
              <w:rPr/>
              <w:t>等需求，进一步拓展“跨省通办”范围和深度。有关地区开展省际“跨省</w:t>
            </w:r>
            <w:r>
              <w:rPr>
                <w:spacing w:val="12"/>
              </w:rPr>
              <w:t xml:space="preserve"> </w:t>
            </w:r>
            <w:r>
              <w:rPr/>
              <w:t>通办”合作要务实高效，科学合理新增区域通办事项，避</w:t>
            </w:r>
            <w:r>
              <w:rPr>
                <w:spacing w:val="-1"/>
              </w:rPr>
              <w:t>免层层签订协议</w:t>
            </w:r>
          </w:p>
          <w:p>
            <w:pPr>
              <w:pStyle w:val="TableText"/>
              <w:ind w:left="40" w:hanging="29"/>
              <w:spacing w:before="24" w:line="225" w:lineRule="auto"/>
              <w:rPr/>
            </w:pPr>
            <w:r>
              <w:rPr>
                <w:spacing w:val="-4"/>
              </w:rPr>
              <w:t>合作流于形式、企业和群众获得感不强等问</w:t>
            </w:r>
            <w:r>
              <w:rPr>
                <w:spacing w:val="-5"/>
              </w:rPr>
              <w:t>题。及时梳理地区间“跨省通办</w:t>
            </w:r>
            <w:r>
              <w:rPr/>
              <w:t xml:space="preserve">  </w:t>
            </w:r>
            <w:r>
              <w:rPr>
                <w:spacing w:val="-6"/>
              </w:rPr>
              <w:t>合作中共性、高频的异地办事需求，加强业务统筹，并纳入全国“跨省通办”</w:t>
            </w:r>
            <w:r>
              <w:rPr>
                <w:spacing w:val="7"/>
              </w:rPr>
              <w:t xml:space="preserve"> </w:t>
            </w:r>
            <w:r>
              <w:rPr>
                <w:spacing w:val="-4"/>
              </w:rPr>
              <w:t>事项范围。</w:t>
            </w:r>
          </w:p>
          <w:p>
            <w:pPr>
              <w:pStyle w:val="TableText"/>
              <w:ind w:left="21"/>
              <w:spacing w:before="51" w:line="219" w:lineRule="auto"/>
              <w:rPr/>
            </w:pPr>
            <w:r>
              <w:rPr>
                <w:spacing w:val="-1"/>
              </w:rPr>
              <w:t>二、提升“跨省通办”服务效能</w:t>
            </w:r>
          </w:p>
          <w:p>
            <w:pPr>
              <w:pStyle w:val="TableText"/>
              <w:ind w:left="31" w:firstLine="109"/>
              <w:spacing w:before="21" w:line="230" w:lineRule="auto"/>
              <w:rPr/>
            </w:pPr>
            <w:r>
              <w:rPr>
                <w:spacing w:val="-2"/>
              </w:rPr>
              <w:t>(三)改进网上办事服务体验。加快整合网上办事入口，依托全国一体化   </w:t>
            </w:r>
            <w:r>
              <w:rPr>
                <w:spacing w:val="-1"/>
              </w:rPr>
              <w:t>政务服务平台健全统一身份认证体系，着力解决网上办事“门难找”、页  </w:t>
            </w:r>
            <w:r>
              <w:rPr>
                <w:spacing w:val="-1"/>
              </w:rPr>
              <w:t>面多次跳转等问题。进一步简化“跨省通办”网上办理环节和流程，丰富  </w:t>
            </w:r>
            <w:r>
              <w:rPr>
                <w:spacing w:val="-1"/>
              </w:rPr>
              <w:t>网上办事引导、智能客服功能，提供更加简单便捷、好办易办的</w:t>
            </w:r>
            <w:r>
              <w:rPr>
                <w:spacing w:val="-2"/>
              </w:rPr>
              <w:t>服务体验。</w:t>
            </w:r>
          </w:p>
          <w:p>
            <w:pPr>
              <w:pStyle w:val="TableText"/>
              <w:ind w:left="41" w:right="57" w:firstLine="29"/>
              <w:spacing w:before="64" w:line="236" w:lineRule="auto"/>
              <w:jc w:val="both"/>
              <w:rPr/>
            </w:pPr>
            <w:r>
              <w:rPr/>
              <w:t>完善国家政务服务平台“跨省通办”服务专区，推动</w:t>
            </w:r>
            <w:r>
              <w:rPr>
                <w:spacing w:val="-1"/>
              </w:rPr>
              <w:t>更多“跨省通办”事</w:t>
            </w:r>
            <w:r>
              <w:rPr/>
              <w:t xml:space="preserve"> </w:t>
            </w:r>
            <w:r>
              <w:rPr>
                <w:spacing w:val="1"/>
              </w:rPr>
              <w:t>项网上一站式办理。完善全国一体化政务服务平台移动端应用，推进证明</w:t>
            </w:r>
            <w:r>
              <w:rPr>
                <w:spacing w:val="13"/>
              </w:rPr>
              <w:t xml:space="preserve"> </w:t>
            </w:r>
            <w:r>
              <w:rPr>
                <w:spacing w:val="1"/>
              </w:rPr>
              <w:t>证照查验、信息查询变更、资格认证、年审年报等更</w:t>
            </w:r>
            <w:r>
              <w:rPr/>
              <w:t>多简易高频事项“掌 </w:t>
            </w:r>
            <w:r>
              <w:rPr>
                <w:spacing w:val="6"/>
              </w:rPr>
              <w:t>上办”:</w:t>
            </w:r>
          </w:p>
          <w:p>
            <w:pPr>
              <w:pStyle w:val="TableText"/>
              <w:ind w:left="21" w:firstLine="58"/>
              <w:spacing w:before="21" w:line="233" w:lineRule="auto"/>
              <w:rPr/>
            </w:pPr>
            <w:r>
              <w:rPr>
                <w:spacing w:val="-3"/>
              </w:rPr>
              <w:t>(四)优化“跨省通办”线下服务。推动县级以上政务服务中心“跨省通办”</w:t>
            </w:r>
            <w:r>
              <w:rPr>
                <w:spacing w:val="16"/>
              </w:rPr>
              <w:t xml:space="preserve"> </w:t>
            </w:r>
            <w:r>
              <w:rPr>
                <w:spacing w:val="-2"/>
              </w:rPr>
              <w:t>窗口全覆盖，建立完善收件、办理两地窗口工作人</w:t>
            </w:r>
            <w:r>
              <w:rPr>
                <w:spacing w:val="-3"/>
              </w:rPr>
              <w:t>员和后台审批人员协同   </w:t>
            </w:r>
            <w:r>
              <w:rPr>
                <w:spacing w:val="-4"/>
              </w:rPr>
              <w:t>联动工作机制，为全程网办提供业务咨询、申报辅导、沟通协调等服务。</w:t>
            </w:r>
          </w:p>
          <w:p>
            <w:pPr>
              <w:pStyle w:val="TableText"/>
              <w:ind w:left="70"/>
              <w:spacing w:before="43" w:line="219" w:lineRule="auto"/>
              <w:rPr/>
            </w:pPr>
            <w:r>
              <w:rPr/>
              <w:t>推行帮办代办、引导教办等线下服务，为老年人等特殊群</w:t>
            </w:r>
            <w:r>
              <w:rPr>
                <w:spacing w:val="-1"/>
              </w:rPr>
              <w:t>体和不熟悉网络</w:t>
            </w:r>
          </w:p>
        </w:tc>
        <w:tc>
          <w:tcPr>
            <w:tcW w:w="2118" w:type="dxa"/>
            <w:vAlign w:val="top"/>
          </w:tcPr>
          <w:p>
            <w:pPr>
              <w:pStyle w:val="TableText"/>
              <w:ind w:right="74" w:firstLine="84"/>
              <w:spacing w:before="97" w:line="234" w:lineRule="auto"/>
              <w:jc w:val="both"/>
              <w:rPr/>
            </w:pPr>
            <w:r>
              <w:rPr>
                <w:spacing w:val="-1"/>
              </w:rPr>
              <w:t>国务院办公厅《关于扩大政务</w:t>
            </w:r>
            <w:r>
              <w:rPr>
                <w:spacing w:val="10"/>
              </w:rPr>
              <w:t xml:space="preserve"> </w:t>
            </w:r>
            <w:r>
              <w:rPr>
                <w:spacing w:val="5"/>
              </w:rPr>
              <w:t>服务“跨省通办”范围进一步</w:t>
            </w:r>
            <w:r>
              <w:rPr>
                <w:spacing w:val="4"/>
              </w:rPr>
              <w:t xml:space="preserve"> </w:t>
            </w:r>
            <w:r>
              <w:rPr>
                <w:spacing w:val="5"/>
              </w:rPr>
              <w:t>提升服务效能的意见》国办发</w:t>
            </w:r>
            <w:r>
              <w:rPr>
                <w:spacing w:val="3"/>
              </w:rPr>
              <w:t xml:space="preserve"> </w:t>
            </w:r>
            <w:r>
              <w:rPr>
                <w:spacing w:val="7"/>
              </w:rPr>
              <w:t>〔2022〕34号</w:t>
            </w:r>
          </w:p>
        </w:tc>
        <w:tc>
          <w:tcPr>
            <w:tcW w:w="919" w:type="dxa"/>
            <w:vAlign w:val="top"/>
          </w:tcPr>
          <w:p>
            <w:pPr>
              <w:pStyle w:val="TableText"/>
              <w:ind w:left="27" w:firstLine="10"/>
              <w:spacing w:before="87" w:line="233" w:lineRule="auto"/>
              <w:rPr/>
            </w:pPr>
            <w:r>
              <w:rPr>
                <w:spacing w:val="15"/>
                <w:w w:val="113"/>
              </w:rPr>
              <w:t>2022年9月</w:t>
            </w:r>
            <w:r>
              <w:rPr>
                <w:spacing w:val="1"/>
              </w:rPr>
              <w:t xml:space="preserve"> </w:t>
            </w:r>
            <w:r>
              <w:rPr>
                <w:spacing w:val="-2"/>
              </w:rPr>
              <w:t>28日起</w:t>
            </w:r>
          </w:p>
        </w:tc>
        <w:tc>
          <w:tcPr>
            <w:tcW w:w="679" w:type="dxa"/>
            <w:vAlign w:val="top"/>
          </w:tcPr>
          <w:p>
            <w:pPr>
              <w:pStyle w:val="TableText"/>
              <w:ind w:left="38"/>
              <w:spacing w:before="97" w:line="219" w:lineRule="auto"/>
              <w:rPr/>
            </w:pPr>
            <w:r>
              <w:rPr>
                <w:spacing w:val="-2"/>
              </w:rPr>
              <w:t>指导意见</w:t>
            </w:r>
          </w:p>
        </w:tc>
        <w:tc>
          <w:tcPr>
            <w:tcW w:w="664" w:type="dxa"/>
            <w:vAlign w:val="top"/>
          </w:tcPr>
          <w:p>
            <w:pPr>
              <w:pStyle w:val="TableText"/>
              <w:ind w:left="30"/>
              <w:spacing w:before="97" w:line="219" w:lineRule="auto"/>
              <w:rPr/>
            </w:pPr>
            <w:r>
              <w:rPr>
                <w:spacing w:val="-2"/>
              </w:rPr>
              <w:t>指导文件</w:t>
            </w:r>
          </w:p>
        </w:tc>
      </w:tr>
    </w:tbl>
    <w:p>
      <w:pPr>
        <w:pStyle w:val="BodyText"/>
        <w:rPr/>
      </w:pPr>
      <w:r/>
    </w:p>
    <w:p>
      <w:pPr>
        <w:sectPr>
          <w:pgSz w:w="11910" w:h="8220"/>
          <w:pgMar w:top="400" w:right="1145" w:bottom="400" w:left="799" w:header="0" w:footer="0" w:gutter="0"/>
        </w:sectPr>
        <w:rPr/>
      </w:pPr>
    </w:p>
    <w:p>
      <w:pPr>
        <w:spacing w:before="51"/>
        <w:rPr/>
      </w:pPr>
      <w:r>
        <w:pict>
          <v:shape id="_x0000_s94" style="position:absolute;margin-left:38.9997pt;margin-top:51.9799pt;mso-position-vertical-relative:page;mso-position-horizontal-relative:page;width:6.8pt;height:16.9pt;z-index:251730944;" o:allowincell="f" filled="false" stroked="false" type="#_x0000_t202">
            <v:fill on="false"/>
            <v:stroke on="false"/>
            <v:path/>
            <v:imagedata o:title=""/>
            <o:lock v:ext="edit" aspectratio="false"/>
            <v:textbox inset="0mm,0mm,0mm,0mm">
              <w:txbxContent>
                <w:p>
                  <w:pPr>
                    <w:ind w:left="20"/>
                    <w:spacing w:before="20" w:line="297" w:lineRule="exact"/>
                    <w:rPr>
                      <w:rFonts w:ascii="SimSun" w:hAnsi="SimSun" w:eastAsia="SimSun" w:cs="SimSun"/>
                      <w:sz w:val="21"/>
                      <w:szCs w:val="21"/>
                    </w:rPr>
                  </w:pPr>
                  <w:r>
                    <w:rPr>
                      <w:rFonts w:ascii="SimSun" w:hAnsi="SimSun" w:eastAsia="SimSun" w:cs="SimSun"/>
                      <w:sz w:val="21"/>
                      <w:szCs w:val="21"/>
                      <w:position w:val="1"/>
                    </w:rPr>
                    <w:t>+</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2047" w:hRule="atLeast"/>
        </w:trPr>
        <w:tc>
          <w:tcPr>
            <w:tcW w:w="294" w:type="dxa"/>
            <w:vAlign w:val="top"/>
          </w:tcPr>
          <w:p>
            <w:pPr>
              <w:spacing w:line="310"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94"/>
              <w:spacing w:before="48" w:line="182" w:lineRule="auto"/>
              <w:rPr/>
            </w:pPr>
            <w:r>
              <w:rPr/>
              <w:t>5</w:t>
            </w:r>
          </w:p>
        </w:tc>
        <w:tc>
          <w:tcPr>
            <w:tcW w:w="4955" w:type="dxa"/>
            <w:vAlign w:val="top"/>
          </w:tcPr>
          <w:p>
            <w:pPr>
              <w:pStyle w:val="TableText"/>
              <w:ind w:left="31" w:firstLine="39"/>
              <w:spacing w:before="77" w:line="237" w:lineRule="auto"/>
              <w:rPr/>
            </w:pPr>
            <w:r>
              <w:rPr>
                <w:spacing w:val="-3"/>
              </w:rPr>
              <w:t>操作的办事人提供更多便利，更好满足多样化、个性化办事需求，确保线</w:t>
            </w:r>
            <w:r>
              <w:rPr>
                <w:spacing w:val="6"/>
              </w:rPr>
              <w:t xml:space="preserve">   </w:t>
            </w:r>
            <w:r>
              <w:rPr>
                <w:spacing w:val="3"/>
              </w:rPr>
              <w:t>上能办的线下也能办。探索通过自助服务终端等渠道，推进“跨省通办”</w:t>
            </w:r>
            <w:r>
              <w:rPr>
                <w:spacing w:val="16"/>
              </w:rPr>
              <w:t xml:space="preserve"> </w:t>
            </w:r>
            <w:r>
              <w:rPr>
                <w:spacing w:val="-3"/>
              </w:rPr>
              <w:t>服务向基层延伸。</w:t>
            </w:r>
          </w:p>
          <w:p>
            <w:pPr>
              <w:pStyle w:val="TableText"/>
              <w:ind w:left="11" w:firstLine="68"/>
              <w:spacing w:before="33" w:line="237" w:lineRule="auto"/>
              <w:rPr/>
            </w:pPr>
            <w:r>
              <w:rPr>
                <w:spacing w:val="-5"/>
              </w:rPr>
              <w:t>(五)提升“跨省通办”协同效率。依托全国一体化政务服务平台，完善“跨</w:t>
            </w:r>
            <w:r>
              <w:rPr>
                <w:spacing w:val="8"/>
              </w:rPr>
              <w:t xml:space="preserve">  </w:t>
            </w:r>
            <w:r>
              <w:rPr>
                <w:spacing w:val="-1"/>
              </w:rPr>
              <w:t>省通办”业务支撑系统办件流转功能，推动优化“跨省通办”事项异地代</w:t>
            </w:r>
            <w:r>
              <w:rPr>
                <w:spacing w:val="4"/>
              </w:rPr>
              <w:t xml:space="preserve">   </w:t>
            </w:r>
            <w:r>
              <w:rPr>
                <w:spacing w:val="-1"/>
              </w:rPr>
              <w:t>收代办、多地联办服务。通过收件标准查询、材料电子化流转、线上审核、</w:t>
            </w:r>
            <w:r>
              <w:rPr>
                <w:spacing w:val="15"/>
              </w:rPr>
              <w:t xml:space="preserve"> </w:t>
            </w:r>
            <w:r>
              <w:rPr>
                <w:spacing w:val="-1"/>
              </w:rPr>
              <w:t>视频会商等辅助方式，同步提供具体事项办理的工作联络功能，提高协同</w:t>
            </w:r>
            <w:r>
              <w:rPr>
                <w:spacing w:val="5"/>
              </w:rPr>
              <w:t xml:space="preserve">   </w:t>
            </w:r>
            <w:r>
              <w:rPr/>
              <w:t>办理效率，加快解决“跨省通办”事项受理和收办件审核补齐补正次数多  </w:t>
            </w:r>
            <w:r>
              <w:rPr>
                <w:spacing w:val="-1"/>
              </w:rPr>
              <w:t>资料传递、审查、核验、送达耗时长，跨地区、跨层级经办机构沟通效率</w:t>
            </w:r>
            <w:r>
              <w:rPr>
                <w:spacing w:val="3"/>
              </w:rPr>
              <w:t xml:space="preserve">   </w:t>
            </w:r>
            <w:r>
              <w:rPr>
                <w:spacing w:val="-1"/>
              </w:rPr>
              <w:t>低等问题。</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r>
        <w:trPr>
          <w:trHeight w:val="3659" w:hRule="atLeast"/>
        </w:trPr>
        <w:tc>
          <w:tcPr>
            <w:tcW w:w="29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4"/>
              <w:spacing w:before="49" w:line="183" w:lineRule="auto"/>
              <w:rPr/>
            </w:pPr>
            <w:r>
              <w:rPr/>
              <w:t>6</w:t>
            </w:r>
          </w:p>
        </w:tc>
        <w:tc>
          <w:tcPr>
            <w:tcW w:w="4955" w:type="dxa"/>
            <w:vAlign w:val="top"/>
          </w:tcPr>
          <w:p>
            <w:pPr>
              <w:pStyle w:val="TableText"/>
              <w:ind w:left="41"/>
              <w:spacing w:before="60" w:line="219" w:lineRule="auto"/>
              <w:rPr/>
            </w:pPr>
            <w:r>
              <w:rPr>
                <w:spacing w:val="-3"/>
              </w:rPr>
              <w:t>一、重点任务</w:t>
            </w:r>
          </w:p>
          <w:p>
            <w:pPr>
              <w:pStyle w:val="TableText"/>
              <w:ind w:left="31" w:right="79" w:firstLine="109"/>
              <w:spacing w:before="42" w:line="238" w:lineRule="auto"/>
              <w:rPr/>
            </w:pPr>
            <w:r>
              <w:rPr/>
              <w:t>(一)推进企业全生命周期相关政务服务事项“一件事一次办”。围绕企</w:t>
            </w:r>
            <w:r>
              <w:rPr>
                <w:spacing w:val="2"/>
              </w:rPr>
              <w:t xml:space="preserve">  </w:t>
            </w:r>
            <w:r>
              <w:rPr>
                <w:spacing w:val="1"/>
              </w:rPr>
              <w:t>业从开办到注销全生命周期的重要阶段，梳理集成同一阶段内需要到政府 </w:t>
            </w:r>
            <w:r>
              <w:rPr>
                <w:spacing w:val="1"/>
              </w:rPr>
              <w:t>部门、公用企事业单位和服务机构办理的多个单一政务服务事项，为企业</w:t>
            </w:r>
            <w:r>
              <w:rPr/>
              <w:t xml:space="preserve"> </w:t>
            </w:r>
            <w:r>
              <w:rPr>
                <w:spacing w:val="1"/>
              </w:rPr>
              <w:t>提供开办、工程建设、生产经营、惠企政策兑现、员工录用、不动产登记</w:t>
            </w:r>
            <w:r>
              <w:rPr/>
              <w:t xml:space="preserve"> </w:t>
            </w:r>
            <w:r>
              <w:rPr/>
              <w:t>注销等集成化办理服务，提高办事效率，降</w:t>
            </w:r>
            <w:r>
              <w:rPr>
                <w:spacing w:val="-1"/>
              </w:rPr>
              <w:t>低办事成本。</w:t>
            </w:r>
          </w:p>
          <w:p>
            <w:pPr>
              <w:pStyle w:val="TableText"/>
              <w:ind w:left="41" w:right="67" w:firstLine="99"/>
              <w:spacing w:before="21"/>
              <w:rPr/>
            </w:pPr>
            <w:r>
              <w:rPr/>
              <w:t>(二)推进个人全生命周期相关政务服务事项“一件事一次办”。围绕个</w:t>
            </w:r>
            <w:r>
              <w:rPr>
                <w:spacing w:val="2"/>
              </w:rPr>
              <w:t xml:space="preserve">  </w:t>
            </w:r>
            <w:r>
              <w:rPr>
                <w:spacing w:val="1"/>
              </w:rPr>
              <w:t>人从出生到身后全生命周期的重要阶段，梳理集</w:t>
            </w:r>
            <w:r>
              <w:rPr/>
              <w:t>成同一阶段内需要办理的 </w:t>
            </w:r>
            <w:r>
              <w:rPr>
                <w:spacing w:val="1"/>
              </w:rPr>
              <w:t>多个单一政务服务事项，为群众提供新生儿出生、入园入学、大中专学生</w:t>
            </w:r>
            <w:r>
              <w:rPr>
                <w:spacing w:val="3"/>
              </w:rPr>
              <w:t xml:space="preserve"> </w:t>
            </w:r>
            <w:r>
              <w:rPr>
                <w:spacing w:val="1"/>
              </w:rPr>
              <w:t>毕业、就业、就医、婚育、扶残助困、军人退</w:t>
            </w:r>
            <w:r>
              <w:rPr/>
              <w:t>役、二手房交易及水电气联 </w:t>
            </w:r>
            <w:r>
              <w:rPr>
                <w:spacing w:val="1"/>
              </w:rPr>
              <w:t>动过户、退休、身后等集成化办理服务，切实提升</w:t>
            </w:r>
            <w:r>
              <w:rPr/>
              <w:t>群众办事便捷度，减少 </w:t>
            </w:r>
            <w:r>
              <w:rPr>
                <w:spacing w:val="-1"/>
              </w:rPr>
              <w:t>跑动次数。</w:t>
            </w:r>
          </w:p>
          <w:p>
            <w:pPr>
              <w:pStyle w:val="TableText"/>
              <w:ind w:left="31"/>
              <w:spacing w:before="52" w:line="219" w:lineRule="auto"/>
              <w:rPr/>
            </w:pPr>
            <w:r>
              <w:rPr>
                <w:spacing w:val="-1"/>
              </w:rPr>
              <w:t>二、优化“一件事一次办”服务模式</w:t>
            </w:r>
          </w:p>
          <w:p>
            <w:pPr>
              <w:pStyle w:val="TableText"/>
              <w:ind w:left="31" w:right="82" w:firstLine="109"/>
              <w:spacing w:before="9" w:line="239" w:lineRule="auto"/>
              <w:jc w:val="both"/>
              <w:rPr/>
            </w:pPr>
            <w:r>
              <w:rPr/>
              <w:t>(一)科学设计流程。对“一件事一次办”涉及的多个政务服务事项的设</w:t>
            </w:r>
            <w:r>
              <w:rPr>
                <w:spacing w:val="2"/>
              </w:rPr>
              <w:t xml:space="preserve">  </w:t>
            </w:r>
            <w:r>
              <w:rPr>
                <w:spacing w:val="1"/>
              </w:rPr>
              <w:t>定依据、受理条件、申请材料、办结时限、收费标准、办理结果等</w:t>
            </w:r>
            <w:r>
              <w:rPr/>
              <w:t>要素进 </w:t>
            </w:r>
            <w:r>
              <w:rPr>
                <w:spacing w:val="1"/>
              </w:rPr>
              <w:t>行梳理，合理调整前后置顺序，优化办理要素和业务流程，形成“一</w:t>
            </w:r>
            <w:r>
              <w:rPr/>
              <w:t>件事 </w:t>
            </w:r>
            <w:r>
              <w:rPr>
                <w:spacing w:val="1"/>
              </w:rPr>
              <w:t>一次办”事项办理标准化工作规程和办事指南，在线上线下服务渠道</w:t>
            </w:r>
            <w:r>
              <w:rPr/>
              <w:t>同源 </w:t>
            </w:r>
            <w:r>
              <w:rPr>
                <w:spacing w:val="-1"/>
              </w:rPr>
              <w:t>发布、同步更新。</w:t>
            </w:r>
          </w:p>
        </w:tc>
        <w:tc>
          <w:tcPr>
            <w:tcW w:w="2128" w:type="dxa"/>
            <w:vAlign w:val="top"/>
          </w:tcPr>
          <w:p>
            <w:pPr>
              <w:pStyle w:val="TableText"/>
              <w:ind w:right="76" w:firstLine="94"/>
              <w:spacing w:before="70"/>
              <w:jc w:val="both"/>
              <w:rPr/>
            </w:pPr>
            <w:r>
              <w:rPr>
                <w:spacing w:val="-1"/>
              </w:rPr>
              <w:t>国务院办公厅《关于加快推进</w:t>
            </w:r>
            <w:r>
              <w:rPr>
                <w:spacing w:val="9"/>
              </w:rPr>
              <w:t xml:space="preserve"> </w:t>
            </w:r>
            <w:r>
              <w:rPr>
                <w:spacing w:val="7"/>
              </w:rPr>
              <w:t>“一件事一次办”打造政务服</w:t>
            </w:r>
            <w:r>
              <w:rPr/>
              <w:t xml:space="preserve"> </w:t>
            </w:r>
            <w:r>
              <w:rPr>
                <w:spacing w:val="6"/>
              </w:rPr>
              <w:t>务升级版的指导意见》国办发</w:t>
            </w:r>
            <w:r>
              <w:rPr/>
              <w:t xml:space="preserve"> </w:t>
            </w:r>
            <w:r>
              <w:rPr>
                <w:spacing w:val="7"/>
              </w:rPr>
              <w:t>〔2022〕32号</w:t>
            </w:r>
          </w:p>
        </w:tc>
        <w:tc>
          <w:tcPr>
            <w:tcW w:w="909" w:type="dxa"/>
            <w:vAlign w:val="top"/>
          </w:tcPr>
          <w:p>
            <w:pPr>
              <w:pStyle w:val="TableText"/>
              <w:ind w:left="18" w:right="10" w:firstLine="19"/>
              <w:spacing w:before="49" w:line="244" w:lineRule="auto"/>
              <w:rPr/>
            </w:pPr>
            <w:r>
              <w:rPr>
                <w:spacing w:val="15"/>
                <w:w w:val="110"/>
              </w:rPr>
              <w:t>2022年9月</w:t>
            </w:r>
            <w:r>
              <w:rPr>
                <w:spacing w:val="1"/>
              </w:rPr>
              <w:t xml:space="preserve"> </w:t>
            </w:r>
            <w:r>
              <w:rPr>
                <w:spacing w:val="8"/>
              </w:rPr>
              <w:t>26日</w:t>
            </w:r>
          </w:p>
        </w:tc>
        <w:tc>
          <w:tcPr>
            <w:tcW w:w="689" w:type="dxa"/>
            <w:vAlign w:val="top"/>
          </w:tcPr>
          <w:p>
            <w:pPr>
              <w:pStyle w:val="TableText"/>
              <w:ind w:left="38"/>
              <w:spacing w:before="70" w:line="219" w:lineRule="auto"/>
              <w:rPr/>
            </w:pPr>
            <w:r>
              <w:rPr>
                <w:spacing w:val="-2"/>
              </w:rPr>
              <w:t>指导意见</w:t>
            </w:r>
          </w:p>
        </w:tc>
        <w:tc>
          <w:tcPr>
            <w:tcW w:w="664" w:type="dxa"/>
            <w:vAlign w:val="top"/>
          </w:tcPr>
          <w:p>
            <w:pPr>
              <w:pStyle w:val="TableText"/>
              <w:ind w:left="30"/>
              <w:spacing w:before="70" w:line="219" w:lineRule="auto"/>
              <w:rPr/>
            </w:pPr>
            <w:r>
              <w:rPr>
                <w:spacing w:val="-2"/>
              </w:rPr>
              <w:t>指导文件</w:t>
            </w:r>
          </w:p>
        </w:tc>
      </w:tr>
    </w:tbl>
    <w:p>
      <w:pPr>
        <w:pStyle w:val="BodyText"/>
        <w:rPr/>
      </w:pPr>
      <w:r/>
    </w:p>
    <w:p>
      <w:pPr>
        <w:sectPr>
          <w:pgSz w:w="11910" w:h="8220"/>
          <w:pgMar w:top="400" w:right="1145" w:bottom="400" w:left="799" w:header="0" w:footer="0" w:gutter="0"/>
        </w:sectPr>
        <w:rPr/>
      </w:pPr>
    </w:p>
    <w:p>
      <w:pPr>
        <w:spacing w:before="51"/>
        <w:rPr/>
      </w:pPr>
      <w:r>
        <w:pict>
          <v:shape id="_x0000_s96" style="position:absolute;margin-left:38.9997pt;margin-top:346.649pt;mso-position-vertical-relative:page;mso-position-horizontal-relative:page;width:10.2pt;height:15.05pt;z-index:251731968;"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1"/>
                      <w:szCs w:val="21"/>
                    </w:rPr>
                  </w:pPr>
                  <w:r>
                    <w:rPr>
                      <w:rFonts w:ascii="STCaiyun" w:hAnsi="STCaiyun" w:eastAsia="STCaiyun" w:cs="STCaiyun"/>
                      <w:sz w:val="21"/>
                      <w:szCs w:val="21"/>
                      <w:spacing w:val="-7"/>
                      <w:w w:val="81"/>
                    </w:rPr>
                    <w:t>式</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28"/>
              <w:spacing w:before="171" w:line="219" w:lineRule="auto"/>
              <w:rPr/>
            </w:pPr>
            <w:r>
              <w:rPr>
                <w:spacing w:val="-1"/>
              </w:rPr>
              <w:t>政策类别</w:t>
            </w:r>
          </w:p>
        </w:tc>
        <w:tc>
          <w:tcPr>
            <w:tcW w:w="664" w:type="dxa"/>
            <w:vAlign w:val="top"/>
          </w:tcPr>
          <w:p>
            <w:pPr>
              <w:pStyle w:val="TableText"/>
              <w:ind w:left="20"/>
              <w:spacing w:before="171" w:line="220" w:lineRule="auto"/>
              <w:rPr/>
            </w:pPr>
            <w:r>
              <w:rPr>
                <w:spacing w:val="-1"/>
              </w:rPr>
              <w:t>政策形式</w:t>
            </w:r>
          </w:p>
        </w:tc>
      </w:tr>
      <w:tr>
        <w:trPr>
          <w:trHeight w:val="5705" w:hRule="atLeast"/>
        </w:trPr>
        <w:tc>
          <w:tcPr>
            <w:tcW w:w="29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6</w:t>
            </w:r>
          </w:p>
        </w:tc>
        <w:tc>
          <w:tcPr>
            <w:tcW w:w="4955" w:type="dxa"/>
            <w:vAlign w:val="top"/>
          </w:tcPr>
          <w:p>
            <w:pPr>
              <w:spacing w:line="245" w:lineRule="auto"/>
              <w:rPr>
                <w:rFonts w:ascii="Arial"/>
                <w:sz w:val="21"/>
              </w:rPr>
            </w:pPr>
            <w:r/>
          </w:p>
          <w:p>
            <w:pPr>
              <w:pStyle w:val="TableText"/>
              <w:ind w:left="31" w:firstLine="109"/>
              <w:spacing w:before="48" w:line="242" w:lineRule="auto"/>
              <w:rPr/>
            </w:pPr>
            <w:r>
              <w:rPr/>
              <w:t>(二)简化申报方式。对“一件事一次办”涉及的多个政务服务事项的申</w:t>
            </w:r>
            <w:r>
              <w:rPr>
                <w:spacing w:val="6"/>
              </w:rPr>
              <w:t xml:space="preserve">   </w:t>
            </w:r>
            <w:r>
              <w:rPr>
                <w:spacing w:val="1"/>
              </w:rPr>
              <w:t>请材料和表单，通过归并、数据共享等方式进行精简、优化，推行共享数</w:t>
            </w:r>
            <w:r>
              <w:rPr/>
              <w:t xml:space="preserve">  </w:t>
            </w:r>
            <w:r>
              <w:rPr>
                <w:spacing w:val="3"/>
              </w:rPr>
              <w:t>据自动调用、个性信息自行填报、申请表单自动生成，实现“多表合一、</w:t>
            </w:r>
            <w:r>
              <w:rPr>
                <w:spacing w:val="16"/>
              </w:rPr>
              <w:t xml:space="preserve"> </w:t>
            </w:r>
            <w:r>
              <w:rPr>
                <w:spacing w:val="-1"/>
              </w:rPr>
              <w:t>一表申请”、“一套材料、 一次提交”。除法律法规规定应当并行办理的</w:t>
            </w:r>
            <w:r>
              <w:rPr>
                <w:spacing w:val="3"/>
              </w:rPr>
              <w:t xml:space="preserve">  </w:t>
            </w:r>
            <w:r>
              <w:rPr>
                <w:spacing w:val="1"/>
              </w:rPr>
              <w:t>事项外，企业和群众可根据实际需求自主选择“一件事一次办”涉及的全</w:t>
            </w:r>
            <w:r>
              <w:rPr/>
              <w:t xml:space="preserve">  </w:t>
            </w:r>
            <w:r>
              <w:rPr>
                <w:spacing w:val="-1"/>
              </w:rPr>
              <w:t>部或部分事项。</w:t>
            </w:r>
          </w:p>
          <w:p>
            <w:pPr>
              <w:pStyle w:val="TableText"/>
              <w:ind w:left="31" w:right="81" w:firstLine="109"/>
              <w:spacing w:before="20"/>
              <w:rPr/>
            </w:pPr>
            <w:r>
              <w:rPr/>
              <w:t>(三)统一受理方式。根据企业和群众办事实际场景需求，科学合理设立</w:t>
            </w:r>
            <w:r>
              <w:rPr>
                <w:spacing w:val="2"/>
              </w:rPr>
              <w:t xml:space="preserve">  </w:t>
            </w:r>
            <w:r>
              <w:rPr>
                <w:spacing w:val="1"/>
              </w:rPr>
              <w:t>线下“一件事一次办”综合受理窗口，在一个窗口综合收件，实现“一窗</w:t>
            </w:r>
            <w:r>
              <w:rPr/>
              <w:t xml:space="preserve"> </w:t>
            </w:r>
            <w:r>
              <w:rPr>
                <w:spacing w:val="1"/>
              </w:rPr>
              <w:t>受理”。在全国一体化政务服务平台设立“一件事一次办”专栏，通</w:t>
            </w:r>
            <w:r>
              <w:rPr/>
              <w:t>过统 </w:t>
            </w:r>
            <w:r>
              <w:rPr>
                <w:spacing w:val="-1"/>
              </w:rPr>
              <w:t>一人口实现“一端受理”。</w:t>
            </w:r>
          </w:p>
          <w:p>
            <w:pPr>
              <w:pStyle w:val="TableText"/>
              <w:ind w:left="51" w:right="147" w:firstLine="89"/>
              <w:spacing w:before="31" w:line="225" w:lineRule="auto"/>
              <w:rPr/>
            </w:pPr>
            <w:r>
              <w:rPr/>
              <w:t>(四)建立联办机制。厘清部门职责，加强部门协作。依托全国一体化政</w:t>
            </w:r>
            <w:r>
              <w:rPr>
                <w:spacing w:val="5"/>
              </w:rPr>
              <w:t xml:space="preserve"> </w:t>
            </w:r>
            <w:r>
              <w:rPr/>
              <w:t>务服务平台，同步获取受理信息和有关部门的办理</w:t>
            </w:r>
            <w:r>
              <w:rPr>
                <w:spacing w:val="-1"/>
              </w:rPr>
              <w:t>信息，开展联动审批</w:t>
            </w:r>
            <w:r>
              <w:rPr/>
              <w:t xml:space="preserve">  </w:t>
            </w:r>
            <w:r>
              <w:rPr/>
              <w:t>推行联合评审、联合勘验、联合验收等，强化线上</w:t>
            </w:r>
            <w:r>
              <w:rPr>
                <w:spacing w:val="-1"/>
              </w:rPr>
              <w:t>线下审批协同。</w:t>
            </w:r>
          </w:p>
          <w:p>
            <w:pPr>
              <w:pStyle w:val="TableText"/>
              <w:ind w:left="31" w:right="78" w:firstLine="109"/>
              <w:spacing w:before="51" w:line="233" w:lineRule="auto"/>
              <w:rPr/>
            </w:pPr>
            <w:r>
              <w:rPr/>
              <w:t>(五)提高出件效率。优化整合“一件事一次办”涉及的出件环节，按照</w:t>
            </w:r>
            <w:r>
              <w:rPr>
                <w:spacing w:val="5"/>
              </w:rPr>
              <w:t xml:space="preserve">  </w:t>
            </w:r>
            <w:r>
              <w:rPr>
                <w:spacing w:val="1"/>
              </w:rPr>
              <w:t>集约化、高效化的原则，采取窗口发放、物流快递送达等灵活多样的方式 </w:t>
            </w:r>
            <w:r>
              <w:rPr>
                <w:spacing w:val="1"/>
              </w:rPr>
              <w:t>将办理结果和实体证照第一时间送达申请人。支持以信息化方式推送办理</w:t>
            </w:r>
            <w:r>
              <w:rPr>
                <w:spacing w:val="2"/>
              </w:rPr>
              <w:t xml:space="preserve"> </w:t>
            </w:r>
            <w:r>
              <w:rPr/>
              <w:t>结果和电子证照，依托政务服务平台实现“一端</w:t>
            </w:r>
            <w:r>
              <w:rPr>
                <w:spacing w:val="-1"/>
              </w:rPr>
              <w:t>出件”。</w:t>
            </w:r>
          </w:p>
          <w:p>
            <w:pPr>
              <w:pStyle w:val="TableText"/>
              <w:ind w:left="31" w:right="62" w:firstLine="109"/>
              <w:spacing w:before="40" w:line="238" w:lineRule="auto"/>
              <w:rPr/>
            </w:pPr>
            <w:r>
              <w:rPr/>
              <w:t>(六)加强综合监管。针对“一件事一次办”跨部门、跨业务的特点，健</w:t>
            </w:r>
            <w:r>
              <w:rPr>
                <w:spacing w:val="2"/>
              </w:rPr>
              <w:t xml:space="preserve">  </w:t>
            </w:r>
            <w:r>
              <w:rPr>
                <w:spacing w:val="1"/>
              </w:rPr>
              <w:t>全监管制度，明确各环节监管部门及职责，完善监管规则和标准，落实监 </w:t>
            </w:r>
            <w:r>
              <w:rPr>
                <w:spacing w:val="1"/>
              </w:rPr>
              <w:t>管措施，实施事前事中事后全链条监管。实行相对集中行政许可权改革的</w:t>
            </w:r>
            <w:r>
              <w:rPr>
                <w:spacing w:val="18"/>
              </w:rPr>
              <w:t xml:space="preserve"> </w:t>
            </w:r>
            <w:r>
              <w:rPr>
                <w:spacing w:val="1"/>
              </w:rPr>
              <w:t>地区，要明确政务服务审批部门、行业主管部门的监管职责和边界，强化 </w:t>
            </w:r>
            <w:r>
              <w:rPr>
                <w:spacing w:val="1"/>
              </w:rPr>
              <w:t>审管协同和信息共享，推进“一件事一次办”事项依法依</w:t>
            </w:r>
            <w:r>
              <w:rPr/>
              <w:t>规办理，促进集 </w:t>
            </w:r>
            <w:r>
              <w:rPr>
                <w:spacing w:val="-1"/>
              </w:rPr>
              <w:t>成化办理服务提升。</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799" w:header="0" w:footer="0" w:gutter="0"/>
        </w:sectPr>
        <w:rPr/>
      </w:pPr>
    </w:p>
    <w:p>
      <w:pPr>
        <w:spacing w:before="46"/>
        <w:rPr/>
      </w:pPr>
      <w:r>
        <w:pict>
          <v:shape id="_x0000_s98" style="position:absolute;margin-left:38.9997pt;margin-top:51.3199pt;mso-position-vertical-relative:page;mso-position-horizontal-relative:page;width:8.35pt;height:14.45pt;z-index:251732992;" o:allowincell="f" filled="false" stroked="false" type="#_x0000_t202">
            <v:fill on="false"/>
            <v:stroke on="false"/>
            <v:path/>
            <v:imagedata o:title=""/>
            <o:lock v:ext="edit" aspectratio="false"/>
            <v:textbox inset="0mm,0mm,0mm,0mm">
              <w:txbxContent>
                <w:p>
                  <w:pPr>
                    <w:ind w:left="20"/>
                    <w:spacing w:before="19" w:line="192" w:lineRule="auto"/>
                    <w:rPr>
                      <w:rFonts w:ascii="Times New Roman" w:hAnsi="Times New Roman" w:eastAsia="Times New Roman" w:cs="Times New Roman"/>
                      <w:sz w:val="27"/>
                      <w:szCs w:val="27"/>
                    </w:rPr>
                  </w:pPr>
                  <w:r>
                    <w:rPr>
                      <w:rFonts w:ascii="Times New Roman" w:hAnsi="Times New Roman" w:eastAsia="Times New Roman" w:cs="Times New Roman"/>
                      <w:sz w:val="27"/>
                      <w:szCs w:val="27"/>
                    </w:rPr>
                    <w:t>d</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5746"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9" w:line="182" w:lineRule="auto"/>
              <w:rPr/>
            </w:pPr>
            <w:r>
              <w:rPr/>
              <w:t>7</w:t>
            </w:r>
          </w:p>
        </w:tc>
        <w:tc>
          <w:tcPr>
            <w:tcW w:w="4955" w:type="dxa"/>
            <w:vAlign w:val="top"/>
          </w:tcPr>
          <w:p>
            <w:pPr>
              <w:pStyle w:val="TableText"/>
              <w:ind w:left="140"/>
              <w:spacing w:before="107" w:line="219" w:lineRule="auto"/>
              <w:rPr/>
            </w:pPr>
            <w:r>
              <w:rPr/>
              <w:t>(一)推进政务服务事项标准化。明确政务服务事项范围。政务服务事项</w:t>
            </w:r>
          </w:p>
          <w:p>
            <w:pPr>
              <w:pStyle w:val="TableText"/>
              <w:ind w:left="11" w:firstLine="59"/>
              <w:spacing w:before="30" w:line="241" w:lineRule="auto"/>
              <w:rPr/>
            </w:pPr>
            <w:r>
              <w:rPr>
                <w:spacing w:val="-1"/>
              </w:rPr>
              <w:t>包括依申请办理的行政权力事项和公共服务事项。所涉及的行政权力事项</w:t>
            </w:r>
            <w:r>
              <w:rPr>
                <w:spacing w:val="7"/>
              </w:rPr>
              <w:t xml:space="preserve">  </w:t>
            </w:r>
            <w:r>
              <w:rPr>
                <w:spacing w:val="1"/>
              </w:rPr>
              <w:t>包括行政许可、行政确认、行政裁决、行政给付、行政奖励、行政备案及</w:t>
            </w:r>
            <w:r>
              <w:rPr>
                <w:spacing w:val="5"/>
              </w:rPr>
              <w:t xml:space="preserve">  </w:t>
            </w:r>
            <w:r>
              <w:rPr>
                <w:spacing w:val="-1"/>
              </w:rPr>
              <w:t>其他行政权力事项。公共教育、劳动就业、社会保险、医疗卫生、养老服务</w:t>
            </w:r>
            <w:r>
              <w:rPr>
                <w:spacing w:val="15"/>
              </w:rPr>
              <w:t xml:space="preserve"> </w:t>
            </w:r>
            <w:r>
              <w:rPr>
                <w:spacing w:val="1"/>
              </w:rPr>
              <w:t>社会服务、住房保障、文化体育、残疾人服务等领域依申请办理的公共服</w:t>
            </w:r>
            <w:r>
              <w:rPr>
                <w:spacing w:val="5"/>
              </w:rPr>
              <w:t xml:space="preserve">  </w:t>
            </w:r>
            <w:r>
              <w:rPr>
                <w:spacing w:val="1"/>
              </w:rPr>
              <w:t>务事项全部纳入政务服务事项范围。</w:t>
            </w:r>
          </w:p>
          <w:p>
            <w:pPr>
              <w:pStyle w:val="TableText"/>
              <w:ind w:left="31" w:right="81" w:firstLine="39"/>
              <w:spacing w:before="22" w:line="237" w:lineRule="auto"/>
              <w:rPr/>
            </w:pPr>
            <w:r>
              <w:rPr/>
              <w:t>建立国家政务服务事项基本目录审核制度。国务院有</w:t>
            </w:r>
            <w:r>
              <w:rPr>
                <w:spacing w:val="-1"/>
              </w:rPr>
              <w:t>关部门负责编制和修</w:t>
            </w:r>
            <w:r>
              <w:rPr/>
              <w:t xml:space="preserve"> </w:t>
            </w:r>
            <w:r>
              <w:rPr>
                <w:spacing w:val="1"/>
              </w:rPr>
              <w:t>订主管行业领域的政务服务事项基本目录，包括中央层面实施的和中央指</w:t>
            </w:r>
            <w:r>
              <w:rPr/>
              <w:t xml:space="preserve"> </w:t>
            </w:r>
            <w:r>
              <w:rPr/>
              <w:t>定地方(涵盖省、市、县、乡)实施的政务服务</w:t>
            </w:r>
            <w:r>
              <w:rPr>
                <w:spacing w:val="-1"/>
              </w:rPr>
              <w:t>事项。国务院办公厅负责</w:t>
            </w:r>
          </w:p>
          <w:p>
            <w:pPr>
              <w:pStyle w:val="TableText"/>
              <w:ind w:left="31"/>
              <w:spacing w:before="21" w:line="219" w:lineRule="auto"/>
              <w:rPr/>
            </w:pPr>
            <w:r>
              <w:rPr/>
              <w:t>组织对政务服务事项合法性，基本目录及其要素信</w:t>
            </w:r>
            <w:r>
              <w:rPr>
                <w:spacing w:val="-1"/>
              </w:rPr>
              <w:t>息的完整度、准确性</w:t>
            </w:r>
          </w:p>
          <w:p>
            <w:pPr>
              <w:pStyle w:val="TableText"/>
              <w:ind w:left="41" w:right="65" w:firstLine="29"/>
              <w:spacing w:before="22" w:line="226" w:lineRule="auto"/>
              <w:rPr/>
            </w:pPr>
            <w:r>
              <w:rPr/>
              <w:t>以及与权责清单和行政许可事项清单的一致性、与地方政务服务业务开展</w:t>
            </w:r>
            <w:r>
              <w:rPr>
                <w:spacing w:val="7"/>
              </w:rPr>
              <w:t xml:space="preserve"> </w:t>
            </w:r>
            <w:r>
              <w:rPr/>
              <w:t>的适用性等进行联合审核，修订印发统一的国家政务服务事项基本目录</w:t>
            </w:r>
          </w:p>
          <w:p>
            <w:pPr>
              <w:pStyle w:val="TableText"/>
              <w:ind w:left="41" w:right="82" w:firstLine="29"/>
              <w:spacing w:before="32" w:line="237" w:lineRule="auto"/>
              <w:rPr/>
            </w:pPr>
            <w:r>
              <w:rPr/>
              <w:t>并在国家政务服务平台和中国政府网发布。各地</w:t>
            </w:r>
            <w:r>
              <w:rPr>
                <w:spacing w:val="-1"/>
              </w:rPr>
              <w:t>区要根据国家政务服务事</w:t>
            </w:r>
            <w:r>
              <w:rPr/>
              <w:t xml:space="preserve"> </w:t>
            </w:r>
            <w:r>
              <w:rPr>
                <w:spacing w:val="1"/>
              </w:rPr>
              <w:t>项基本目录和本地实际，明确应承接的事项，</w:t>
            </w:r>
            <w:r>
              <w:rPr/>
              <w:t>并全面梳理依法依规自行设 </w:t>
            </w:r>
            <w:r>
              <w:rPr>
                <w:spacing w:val="-1"/>
              </w:rPr>
              <w:t>立的事项，修订完善本地区政务服务事项基本目录</w:t>
            </w:r>
          </w:p>
          <w:p>
            <w:pPr>
              <w:pStyle w:val="TableText"/>
              <w:ind w:left="31" w:right="67" w:firstLine="39"/>
              <w:spacing w:before="21" w:line="243" w:lineRule="auto"/>
              <w:jc w:val="both"/>
              <w:rPr/>
            </w:pPr>
            <w:r>
              <w:rPr/>
              <w:t>建立健全政务服务事项动态管理机制。建立健全国家</w:t>
            </w:r>
            <w:r>
              <w:rPr>
                <w:spacing w:val="-1"/>
              </w:rPr>
              <w:t>和地方政务服务事项</w:t>
            </w:r>
            <w:r>
              <w:rPr/>
              <w:t xml:space="preserve"> </w:t>
            </w:r>
            <w:r>
              <w:rPr>
                <w:spacing w:val="1"/>
              </w:rPr>
              <w:t>管理和动态调整机制。行业主管部门或政务服务审批部门要根据业</w:t>
            </w:r>
            <w:r>
              <w:rPr/>
              <w:t>务变化 </w:t>
            </w:r>
            <w:r>
              <w:rPr>
                <w:spacing w:val="1"/>
              </w:rPr>
              <w:t>和实施情况及时向本级政务服务管理机构提出调整政务服务事项基本目录</w:t>
            </w:r>
            <w:r>
              <w:rPr/>
              <w:t xml:space="preserve"> </w:t>
            </w:r>
            <w:r>
              <w:rPr>
                <w:spacing w:val="1"/>
              </w:rPr>
              <w:t>或实施清单的申请，政务服务管理机构负责政务服务事项基本目录、实施</w:t>
            </w:r>
            <w:r>
              <w:rPr/>
              <w:t xml:space="preserve"> </w:t>
            </w:r>
            <w:r>
              <w:rPr>
                <w:spacing w:val="1"/>
              </w:rPr>
              <w:t>清单的审核发布。基于国家政务服务平台事项库，汇聚政务服务事项基本 </w:t>
            </w:r>
            <w:r>
              <w:rPr>
                <w:spacing w:val="1"/>
              </w:rPr>
              <w:t>目录和实施清单，实现政务服务事项数据同源、动态更新、联动管理。推</w:t>
            </w:r>
            <w:r>
              <w:rPr>
                <w:spacing w:val="13"/>
              </w:rPr>
              <w:t xml:space="preserve"> </w:t>
            </w:r>
            <w:r>
              <w:rPr>
                <w:spacing w:val="1"/>
              </w:rPr>
              <w:t>动实现市场准人负面清单、投资审批管理事项清单、工程建设项目审批事</w:t>
            </w:r>
            <w:r>
              <w:rPr/>
              <w:t xml:space="preserve"> </w:t>
            </w:r>
            <w:r>
              <w:rPr/>
              <w:t>项清单等与政务服务事项基本目录的同类事项</w:t>
            </w:r>
            <w:r>
              <w:rPr>
                <w:spacing w:val="-1"/>
              </w:rPr>
              <w:t>名称、类型等要素一致</w:t>
            </w:r>
          </w:p>
          <w:p>
            <w:pPr>
              <w:pStyle w:val="TableText"/>
              <w:ind w:left="70" w:right="78" w:firstLine="70"/>
              <w:spacing w:before="22" w:line="241" w:lineRule="auto"/>
              <w:jc w:val="both"/>
              <w:rPr/>
            </w:pPr>
            <w:r>
              <w:rPr/>
              <w:t>(二)推进政务服务事项实施清单标准化。国务院有关部门要依据国家政</w:t>
            </w:r>
            <w:r>
              <w:rPr>
                <w:spacing w:val="2"/>
              </w:rPr>
              <w:t xml:space="preserve">  </w:t>
            </w:r>
            <w:r>
              <w:rPr/>
              <w:t>务服务事项基本目录，明确主管行业领域的政务服务</w:t>
            </w:r>
            <w:r>
              <w:rPr>
                <w:spacing w:val="-1"/>
              </w:rPr>
              <w:t>事项拆分标准，在推</w:t>
            </w:r>
            <w:r>
              <w:rPr/>
              <w:t xml:space="preserve"> </w:t>
            </w:r>
            <w:r>
              <w:rPr/>
              <w:t>进名称、编码、依据、类型等基本要素“四级四同”基础上</w:t>
            </w:r>
            <w:r>
              <w:rPr>
                <w:spacing w:val="-1"/>
              </w:rPr>
              <w:t>，推动逐步实</w:t>
            </w:r>
            <w:r>
              <w:rPr/>
              <w:t xml:space="preserve"> </w:t>
            </w:r>
            <w:r>
              <w:rPr/>
              <w:t>现同一政务服务事项受理条件、服务对象、办理流程</w:t>
            </w:r>
            <w:r>
              <w:rPr>
                <w:spacing w:val="-1"/>
              </w:rPr>
              <w:t>、申请材料、法定办</w:t>
            </w:r>
            <w:r>
              <w:rPr/>
              <w:t xml:space="preserve"> </w:t>
            </w:r>
            <w:r>
              <w:rPr>
                <w:spacing w:val="-1"/>
              </w:rPr>
              <w:t>结时限、办理结果等要素在全国范围内统一，形成政务服务事项实施清单</w:t>
            </w:r>
          </w:p>
        </w:tc>
        <w:tc>
          <w:tcPr>
            <w:tcW w:w="2128" w:type="dxa"/>
            <w:vAlign w:val="top"/>
          </w:tcPr>
          <w:p>
            <w:pPr>
              <w:pStyle w:val="TableText"/>
              <w:ind w:left="25" w:right="76" w:firstLine="60"/>
              <w:spacing w:before="117" w:line="237" w:lineRule="auto"/>
              <w:jc w:val="both"/>
              <w:rPr/>
            </w:pPr>
            <w:r>
              <w:rPr/>
              <w:t>国务院《关于加快推进政务服</w:t>
            </w:r>
            <w:r>
              <w:rPr>
                <w:spacing w:val="4"/>
              </w:rPr>
              <w:t xml:space="preserve"> </w:t>
            </w:r>
            <w:r>
              <w:rPr>
                <w:spacing w:val="4"/>
              </w:rPr>
              <w:t>务标准化规范化便利化的指导</w:t>
            </w:r>
            <w:r>
              <w:rPr/>
              <w:t xml:space="preserve"> </w:t>
            </w:r>
            <w:r>
              <w:rPr>
                <w:spacing w:val="-1"/>
              </w:rPr>
              <w:t>意见》国发〔2022〕5号</w:t>
            </w:r>
          </w:p>
        </w:tc>
        <w:tc>
          <w:tcPr>
            <w:tcW w:w="909" w:type="dxa"/>
            <w:vAlign w:val="top"/>
          </w:tcPr>
          <w:p>
            <w:pPr>
              <w:pStyle w:val="TableText"/>
              <w:ind w:left="18" w:firstLine="9"/>
              <w:spacing w:before="96" w:line="246" w:lineRule="auto"/>
              <w:rPr/>
            </w:pPr>
            <w:r>
              <w:rPr>
                <w:spacing w:val="15"/>
                <w:w w:val="113"/>
              </w:rPr>
              <w:t>2022年2月</w:t>
            </w:r>
            <w:r>
              <w:rPr>
                <w:spacing w:val="1"/>
              </w:rPr>
              <w:t xml:space="preserve"> </w:t>
            </w:r>
            <w:r>
              <w:rPr>
                <w:spacing w:val="-2"/>
              </w:rPr>
              <w:t>7日起</w:t>
            </w:r>
          </w:p>
        </w:tc>
        <w:tc>
          <w:tcPr>
            <w:tcW w:w="689" w:type="dxa"/>
            <w:vAlign w:val="top"/>
          </w:tcPr>
          <w:p>
            <w:pPr>
              <w:pStyle w:val="TableText"/>
              <w:ind w:left="38"/>
              <w:spacing w:before="107" w:line="219" w:lineRule="auto"/>
              <w:rPr/>
            </w:pPr>
            <w:r>
              <w:rPr>
                <w:spacing w:val="-2"/>
              </w:rPr>
              <w:t>指导意见</w:t>
            </w:r>
          </w:p>
        </w:tc>
        <w:tc>
          <w:tcPr>
            <w:tcW w:w="664" w:type="dxa"/>
            <w:vAlign w:val="top"/>
          </w:tcPr>
          <w:p>
            <w:pPr>
              <w:pStyle w:val="TableText"/>
              <w:ind w:left="30"/>
              <w:spacing w:before="107" w:line="219" w:lineRule="auto"/>
              <w:rPr/>
            </w:pPr>
            <w:r>
              <w:rPr>
                <w:spacing w:val="-2"/>
              </w:rPr>
              <w:t>指导文件</w:t>
            </w:r>
          </w:p>
        </w:tc>
      </w:tr>
    </w:tbl>
    <w:p>
      <w:pPr>
        <w:pStyle w:val="BodyText"/>
        <w:rPr/>
      </w:pPr>
      <w:r/>
    </w:p>
    <w:p>
      <w:pPr>
        <w:sectPr>
          <w:pgSz w:w="11910" w:h="8220"/>
          <w:pgMar w:top="400" w:right="1145" w:bottom="400" w:left="799" w:header="0" w:footer="0" w:gutter="0"/>
        </w:sectPr>
        <w:rPr/>
      </w:pPr>
    </w:p>
    <w:p>
      <w:pPr>
        <w:spacing w:before="51"/>
        <w:rPr/>
      </w:pPr>
      <w:r>
        <w:drawing>
          <wp:anchor distT="0" distB="0" distL="0" distR="0" simplePos="0" relativeHeight="251734016" behindDoc="0" locked="0" layoutInCell="0" allowOverlap="1">
            <wp:simplePos x="0" y="0"/>
            <wp:positionH relativeFrom="page">
              <wp:posOffset>514349</wp:posOffset>
            </wp:positionH>
            <wp:positionV relativeFrom="page">
              <wp:posOffset>4419624</wp:posOffset>
            </wp:positionV>
            <wp:extent cx="114274" cy="126995"/>
            <wp:effectExtent l="0" t="0" r="0" b="0"/>
            <wp:wrapNone/>
            <wp:docPr id="44" name="IM 44"/>
            <wp:cNvGraphicFramePr/>
            <a:graphic>
              <a:graphicData uri="http://schemas.openxmlformats.org/drawingml/2006/picture">
                <pic:pic>
                  <pic:nvPicPr>
                    <pic:cNvPr id="44" name="IM 44"/>
                    <pic:cNvPicPr/>
                  </pic:nvPicPr>
                  <pic:blipFill>
                    <a:blip r:embed="rId25"/>
                    <a:stretch>
                      <a:fillRect/>
                    </a:stretch>
                  </pic:blipFill>
                  <pic:spPr>
                    <a:xfrm rot="0">
                      <a:off x="0" y="0"/>
                      <a:ext cx="114274" cy="126995"/>
                    </a:xfrm>
                    <a:prstGeom prst="rect">
                      <a:avLst/>
                    </a:prstGeom>
                  </pic:spPr>
                </pic:pic>
              </a:graphicData>
            </a:graphic>
          </wp:anchor>
        </w:drawing>
      </w:r>
      <w:r/>
    </w:p>
    <w:p>
      <w:pPr>
        <w:spacing w:before="51"/>
        <w:rPr/>
      </w:pP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2127" w:hRule="atLeast"/>
        </w:trPr>
        <w:tc>
          <w:tcPr>
            <w:tcW w:w="294"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94"/>
              <w:spacing w:before="49" w:line="182" w:lineRule="auto"/>
              <w:rPr/>
            </w:pPr>
            <w:r>
              <w:rPr/>
              <w:t>7</w:t>
            </w:r>
          </w:p>
        </w:tc>
        <w:tc>
          <w:tcPr>
            <w:tcW w:w="4955" w:type="dxa"/>
            <w:vAlign w:val="top"/>
          </w:tcPr>
          <w:p>
            <w:pPr>
              <w:pStyle w:val="TableText"/>
              <w:ind w:left="11"/>
              <w:spacing w:before="106" w:line="237" w:lineRule="auto"/>
              <w:jc w:val="both"/>
              <w:rPr/>
            </w:pPr>
            <w:r>
              <w:rPr>
                <w:spacing w:val="-1"/>
              </w:rPr>
              <w:t>统筹制定政务服务事项“跨省通办”全程网办、异地代收代办、多地联办的</w:t>
            </w:r>
            <w:r>
              <w:rPr>
                <w:spacing w:val="12"/>
              </w:rPr>
              <w:t xml:space="preserve"> </w:t>
            </w:r>
            <w:r>
              <w:rPr>
                <w:spacing w:val="-1"/>
              </w:rPr>
              <w:t>流程规则，明确收件地和办理地的权责划分、业务流转程序等内容。各地区</w:t>
            </w:r>
            <w:r>
              <w:rPr>
                <w:spacing w:val="15"/>
              </w:rPr>
              <w:t xml:space="preserve"> </w:t>
            </w:r>
            <w:r>
              <w:rPr/>
              <w:t>要对依法依规自行设立的地方政务服务事项做好实施清单要素统一工作</w:t>
            </w:r>
          </w:p>
          <w:p>
            <w:pPr>
              <w:pStyle w:val="TableText"/>
              <w:ind w:left="21" w:right="79" w:firstLine="119"/>
              <w:spacing w:before="25"/>
              <w:jc w:val="both"/>
              <w:rPr/>
            </w:pPr>
            <w:r>
              <w:rPr/>
              <w:t>(三)健全政务服务标准体系。加强国家政务服务标准总体框架设计，研</w:t>
            </w:r>
            <w:r>
              <w:rPr>
                <w:spacing w:val="2"/>
              </w:rPr>
              <w:t xml:space="preserve">  </w:t>
            </w:r>
            <w:r>
              <w:rPr>
                <w:spacing w:val="1"/>
              </w:rPr>
              <w:t>究制定政务服务标准化发展规划。依托全国行政管理和服务标准化技术委</w:t>
            </w:r>
            <w:r>
              <w:rPr>
                <w:spacing w:val="4"/>
              </w:rPr>
              <w:t xml:space="preserve"> </w:t>
            </w:r>
            <w:r>
              <w:rPr>
                <w:spacing w:val="1"/>
              </w:rPr>
              <w:t>员会，制定国家政务服务标准化工作指南和制修订计划，建立健全政务服</w:t>
            </w:r>
            <w:r>
              <w:rPr>
                <w:spacing w:val="5"/>
              </w:rPr>
              <w:t xml:space="preserve"> </w:t>
            </w:r>
            <w:r>
              <w:rPr>
                <w:spacing w:val="1"/>
              </w:rPr>
              <w:t>务事项管理、政务服务中心建设、政务服务实施、便民热线运行、服务评</w:t>
            </w:r>
            <w:r>
              <w:rPr>
                <w:spacing w:val="9"/>
              </w:rPr>
              <w:t xml:space="preserve"> </w:t>
            </w:r>
            <w:r>
              <w:rPr>
                <w:spacing w:val="1"/>
              </w:rPr>
              <w:t>估评价等标准规范，持续完善全国一体化政务服务平台标准规范体系。建</w:t>
            </w:r>
            <w:r>
              <w:rPr>
                <w:spacing w:val="11"/>
              </w:rPr>
              <w:t xml:space="preserve"> </w:t>
            </w:r>
            <w:r>
              <w:rPr>
                <w:spacing w:val="1"/>
              </w:rPr>
              <w:t>立标准研制、试点验证、审查发布、推广实施、效果评估和监督保障等闭</w:t>
            </w:r>
            <w:r>
              <w:rPr>
                <w:spacing w:val="11"/>
              </w:rPr>
              <w:t xml:space="preserve"> </w:t>
            </w:r>
            <w:r>
              <w:rPr>
                <w:spacing w:val="-1"/>
              </w:rPr>
              <w:t>环运行机制。</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r>
        <w:trPr>
          <w:trHeight w:val="3549" w:hRule="atLeast"/>
        </w:trPr>
        <w:tc>
          <w:tcPr>
            <w:tcW w:w="294"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94"/>
              <w:spacing w:before="49" w:line="183" w:lineRule="auto"/>
              <w:rPr/>
            </w:pPr>
            <w:r>
              <w:rPr/>
              <w:t>8</w:t>
            </w:r>
          </w:p>
        </w:tc>
        <w:tc>
          <w:tcPr>
            <w:tcW w:w="4955" w:type="dxa"/>
            <w:vAlign w:val="top"/>
          </w:tcPr>
          <w:p>
            <w:pPr>
              <w:pStyle w:val="TableText"/>
              <w:ind w:left="21" w:right="68" w:firstLine="49"/>
              <w:spacing w:before="119" w:line="218" w:lineRule="auto"/>
              <w:rPr/>
            </w:pPr>
            <w:r>
              <w:rPr/>
              <w:t>(三)明确清单编制责任。国务院审改办负责组织国务院有关部门编制《法</w:t>
            </w:r>
            <w:r>
              <w:rPr>
                <w:spacing w:val="4"/>
              </w:rPr>
              <w:t xml:space="preserve"> </w:t>
            </w:r>
            <w:r>
              <w:rPr/>
              <w:t>律、行政法规、国务院决定设定的行政许可事项清单》,</w:t>
            </w:r>
            <w:r>
              <w:rPr>
                <w:spacing w:val="-1"/>
              </w:rPr>
              <w:t>报国务院审定后</w:t>
            </w:r>
          </w:p>
          <w:p>
            <w:pPr>
              <w:pStyle w:val="TableText"/>
              <w:ind w:left="31" w:right="67" w:firstLine="39"/>
              <w:spacing w:before="46" w:line="226" w:lineRule="auto"/>
              <w:rPr/>
            </w:pPr>
            <w:r>
              <w:rPr/>
              <w:t>向社会公布。县级以上地方人民政府牵头推进行政审批制度改革工作的机</w:t>
            </w:r>
            <w:r>
              <w:rPr>
                <w:spacing w:val="5"/>
              </w:rPr>
              <w:t xml:space="preserve"> </w:t>
            </w:r>
            <w:r>
              <w:rPr/>
              <w:t>构(以下称审改牵头机构)负责组织梳理上级设定、</w:t>
            </w:r>
            <w:r>
              <w:rPr>
                <w:spacing w:val="-1"/>
              </w:rPr>
              <w:t>本地区实施的行政许</w:t>
            </w:r>
          </w:p>
          <w:p>
            <w:pPr>
              <w:pStyle w:val="TableText"/>
              <w:ind w:left="21" w:right="79" w:firstLine="49"/>
              <w:spacing w:before="12" w:line="237" w:lineRule="auto"/>
              <w:rPr/>
            </w:pPr>
            <w:r>
              <w:rPr/>
              <w:t>可事项和本地区地方性法规、省级政府规章设定的行</w:t>
            </w:r>
            <w:r>
              <w:rPr>
                <w:spacing w:val="-1"/>
              </w:rPr>
              <w:t>政许可事项，编制本</w:t>
            </w:r>
            <w:r>
              <w:rPr/>
              <w:t xml:space="preserve"> </w:t>
            </w:r>
            <w:r>
              <w:rPr>
                <w:spacing w:val="1"/>
              </w:rPr>
              <w:t>地区行政许可事项清单，报同级人民政府审定后向社会公布，并抄送上一</w:t>
            </w:r>
            <w:r>
              <w:rPr>
                <w:spacing w:val="11"/>
              </w:rPr>
              <w:t xml:space="preserve"> </w:t>
            </w:r>
            <w:r>
              <w:rPr>
                <w:spacing w:val="-2"/>
              </w:rPr>
              <w:t>级审改牵头机构</w:t>
            </w:r>
          </w:p>
          <w:p>
            <w:pPr>
              <w:pStyle w:val="TableText"/>
              <w:ind w:left="31" w:firstLine="39"/>
              <w:spacing w:before="20" w:line="241" w:lineRule="auto"/>
              <w:jc w:val="both"/>
              <w:rPr/>
            </w:pPr>
            <w:r>
              <w:rPr>
                <w:spacing w:val="2"/>
              </w:rPr>
              <w:t>(四)统一清单编制要求。各级行政许可事项清单应当逐项明确事项名称、</w:t>
            </w:r>
            <w:r>
              <w:rPr>
                <w:spacing w:val="7"/>
              </w:rPr>
              <w:t xml:space="preserve"> </w:t>
            </w:r>
            <w:r>
              <w:rPr>
                <w:spacing w:val="1"/>
              </w:rPr>
              <w:t>主管部门、实施机关、设定和实施依据等基本要素。各地区行政许可</w:t>
            </w:r>
            <w:r>
              <w:rPr/>
              <w:t>事项  </w:t>
            </w:r>
            <w:r>
              <w:rPr>
                <w:spacing w:val="1"/>
              </w:rPr>
              <w:t>清单中上级设定、本地区实施的事项及其基本要素，不得超出上级清单的</w:t>
            </w:r>
            <w:r>
              <w:rPr/>
              <w:t xml:space="preserve">  </w:t>
            </w:r>
            <w:r>
              <w:rPr>
                <w:spacing w:val="1"/>
              </w:rPr>
              <w:t>范围，确保事项同源、统一规范。省、市、县三级清单应当于2</w:t>
            </w:r>
            <w:r>
              <w:rPr/>
              <w:t>022年底前  </w:t>
            </w:r>
            <w:r>
              <w:rPr/>
              <w:t>编制完成。依托全国一体化政务服务平台，建设</w:t>
            </w:r>
            <w:r>
              <w:rPr>
                <w:spacing w:val="-1"/>
              </w:rPr>
              <w:t>全国行政许可管理系统</w:t>
            </w:r>
          </w:p>
          <w:p>
            <w:pPr>
              <w:pStyle w:val="TableText"/>
              <w:ind w:left="41"/>
              <w:spacing w:before="33" w:line="219" w:lineRule="auto"/>
              <w:rPr/>
            </w:pPr>
            <w:r>
              <w:rPr/>
              <w:t>将国家、省、市、县级行政许可事项清单全部</w:t>
            </w:r>
            <w:r>
              <w:rPr>
                <w:spacing w:val="-1"/>
              </w:rPr>
              <w:t>纳入系统管理</w:t>
            </w:r>
          </w:p>
          <w:p>
            <w:pPr>
              <w:pStyle w:val="TableText"/>
              <w:ind w:left="11" w:firstLine="78"/>
              <w:spacing w:before="2" w:line="248" w:lineRule="auto"/>
              <w:rPr/>
            </w:pPr>
            <w:r>
              <w:rPr>
                <w:spacing w:val="-7"/>
              </w:rPr>
              <w:t>(五)及时动态调整清单。法律、法规、规章草案拟新设或者调整行政许可的，</w:t>
            </w:r>
            <w:r>
              <w:rPr/>
              <w:t xml:space="preserve"> </w:t>
            </w:r>
            <w:r>
              <w:rPr>
                <w:spacing w:val="-1"/>
              </w:rPr>
              <w:t>起草部门应当充分研究论证，并在起草说明中专门作出说明；司法行政部</w:t>
            </w:r>
            <w:r>
              <w:rPr>
                <w:spacing w:val="5"/>
              </w:rPr>
              <w:t xml:space="preserve">   </w:t>
            </w:r>
            <w:r>
              <w:rPr>
                <w:spacing w:val="-3"/>
              </w:rPr>
              <w:t>门在草案审查阶段，应当征求同级审改牵头机构意见。行政许可正式实施前</w:t>
            </w:r>
            <w:r>
              <w:rPr>
                <w:spacing w:val="2"/>
              </w:rPr>
              <w:t xml:space="preserve">  </w:t>
            </w:r>
            <w:r>
              <w:rPr>
                <w:spacing w:val="-1"/>
              </w:rPr>
              <w:t>有关部门应当提出调整行政许可事项清单的申请，审改牵头机构应当及时</w:t>
            </w:r>
          </w:p>
        </w:tc>
        <w:tc>
          <w:tcPr>
            <w:tcW w:w="2128" w:type="dxa"/>
            <w:vAlign w:val="top"/>
          </w:tcPr>
          <w:p>
            <w:pPr>
              <w:pStyle w:val="TableText"/>
              <w:ind w:left="25" w:firstLine="59"/>
              <w:spacing w:before="120" w:line="237" w:lineRule="auto"/>
              <w:jc w:val="both"/>
              <w:rPr/>
            </w:pPr>
            <w:r>
              <w:rPr>
                <w:spacing w:val="-1"/>
              </w:rPr>
              <w:t>国务院办公厅《关于全面实行</w:t>
            </w:r>
            <w:r>
              <w:rPr>
                <w:spacing w:val="3"/>
              </w:rPr>
              <w:t xml:space="preserve">  </w:t>
            </w:r>
            <w:r>
              <w:rPr>
                <w:spacing w:val="-1"/>
              </w:rPr>
              <w:t>行政许可事项清单管理的通知》</w:t>
            </w:r>
            <w:r>
              <w:rPr>
                <w:spacing w:val="5"/>
              </w:rPr>
              <w:t xml:space="preserve"> </w:t>
            </w:r>
            <w:r>
              <w:rPr>
                <w:spacing w:val="-1"/>
              </w:rPr>
              <w:t>国办发〔2022〕2号</w:t>
            </w:r>
          </w:p>
        </w:tc>
        <w:tc>
          <w:tcPr>
            <w:tcW w:w="909" w:type="dxa"/>
            <w:vAlign w:val="top"/>
          </w:tcPr>
          <w:p>
            <w:pPr>
              <w:pStyle w:val="TableText"/>
              <w:ind w:left="18" w:right="10"/>
              <w:spacing w:before="120" w:line="221" w:lineRule="auto"/>
              <w:rPr/>
            </w:pPr>
            <w:r>
              <w:rPr>
                <w:spacing w:val="17"/>
                <w:w w:val="111"/>
              </w:rPr>
              <w:t>2022年1月</w:t>
            </w:r>
            <w:r>
              <w:rPr>
                <w:spacing w:val="1"/>
              </w:rPr>
              <w:t xml:space="preserve"> </w:t>
            </w:r>
            <w:r>
              <w:rPr>
                <w:spacing w:val="1"/>
              </w:rPr>
              <w:t>10日起</w:t>
            </w:r>
          </w:p>
        </w:tc>
        <w:tc>
          <w:tcPr>
            <w:tcW w:w="689" w:type="dxa"/>
            <w:vAlign w:val="top"/>
          </w:tcPr>
          <w:p>
            <w:pPr>
              <w:pStyle w:val="TableText"/>
              <w:ind w:left="38"/>
              <w:spacing w:before="100" w:line="220" w:lineRule="auto"/>
              <w:rPr/>
            </w:pPr>
            <w:r>
              <w:rPr>
                <w:spacing w:val="-2"/>
              </w:rPr>
              <w:t>行政通知</w:t>
            </w:r>
          </w:p>
        </w:tc>
        <w:tc>
          <w:tcPr>
            <w:tcW w:w="664" w:type="dxa"/>
            <w:vAlign w:val="top"/>
          </w:tcPr>
          <w:p>
            <w:pPr>
              <w:pStyle w:val="TableText"/>
              <w:ind w:left="30"/>
              <w:spacing w:before="90"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21"/>
        <w:rPr/>
      </w:pPr>
      <w:r>
        <w:drawing>
          <wp:anchor distT="0" distB="0" distL="0" distR="0" simplePos="0" relativeHeight="251735040" behindDoc="0" locked="0" layoutInCell="0" allowOverlap="1">
            <wp:simplePos x="0" y="0"/>
            <wp:positionH relativeFrom="page">
              <wp:posOffset>514349</wp:posOffset>
            </wp:positionH>
            <wp:positionV relativeFrom="page">
              <wp:posOffset>660396</wp:posOffset>
            </wp:positionV>
            <wp:extent cx="107921" cy="126995"/>
            <wp:effectExtent l="0" t="0" r="0" b="0"/>
            <wp:wrapNone/>
            <wp:docPr id="46" name="IM 46"/>
            <wp:cNvGraphicFramePr/>
            <a:graphic>
              <a:graphicData uri="http://schemas.openxmlformats.org/drawingml/2006/picture">
                <pic:pic>
                  <pic:nvPicPr>
                    <pic:cNvPr id="46" name="IM 46"/>
                    <pic:cNvPicPr/>
                  </pic:nvPicPr>
                  <pic:blipFill>
                    <a:blip r:embed="rId26"/>
                    <a:stretch>
                      <a:fillRect/>
                    </a:stretch>
                  </pic:blipFill>
                  <pic:spPr>
                    <a:xfrm rot="0">
                      <a:off x="0" y="0"/>
                      <a:ext cx="107921" cy="126995"/>
                    </a:xfrm>
                    <a:prstGeom prst="rect">
                      <a:avLst/>
                    </a:prstGeom>
                  </pic:spPr>
                </pic:pic>
              </a:graphicData>
            </a:graphic>
          </wp:anchor>
        </w:drawing>
      </w:r>
      <w:r/>
    </w:p>
    <w:p>
      <w:pPr>
        <w:spacing w:before="2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35"/>
        <w:gridCol w:w="2148"/>
        <w:gridCol w:w="889"/>
        <w:gridCol w:w="689"/>
        <w:gridCol w:w="68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4935" w:type="dxa"/>
            <w:vAlign w:val="top"/>
          </w:tcPr>
          <w:p>
            <w:pPr>
              <w:pStyle w:val="TableText"/>
              <w:ind w:left="2161"/>
              <w:spacing w:before="171" w:line="219" w:lineRule="auto"/>
              <w:rPr/>
            </w:pPr>
            <w:r>
              <w:rPr>
                <w:spacing w:val="-2"/>
              </w:rPr>
              <w:t>主要内容</w:t>
            </w:r>
          </w:p>
        </w:tc>
        <w:tc>
          <w:tcPr>
            <w:tcW w:w="2148" w:type="dxa"/>
            <w:vAlign w:val="top"/>
          </w:tcPr>
          <w:p>
            <w:pPr>
              <w:pStyle w:val="TableText"/>
              <w:ind w:left="776"/>
              <w:spacing w:before="170" w:line="219" w:lineRule="auto"/>
              <w:rPr/>
            </w:pPr>
            <w:r>
              <w:rPr>
                <w:spacing w:val="-1"/>
              </w:rPr>
              <w:t>政策依据</w:t>
            </w:r>
          </w:p>
        </w:tc>
        <w:tc>
          <w:tcPr>
            <w:tcW w:w="889" w:type="dxa"/>
            <w:vAlign w:val="top"/>
          </w:tcPr>
          <w:p>
            <w:pPr>
              <w:pStyle w:val="TableText"/>
              <w:ind w:left="13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84" w:type="dxa"/>
            <w:vAlign w:val="top"/>
          </w:tcPr>
          <w:p>
            <w:pPr>
              <w:pStyle w:val="TableText"/>
              <w:ind w:left="30"/>
              <w:spacing w:before="171" w:line="220" w:lineRule="auto"/>
              <w:rPr/>
            </w:pPr>
            <w:r>
              <w:rPr>
                <w:spacing w:val="-1"/>
              </w:rPr>
              <w:t>政策形式</w:t>
            </w:r>
          </w:p>
        </w:tc>
      </w:tr>
      <w:tr>
        <w:trPr>
          <w:trHeight w:val="5856" w:hRule="atLeast"/>
        </w:trPr>
        <w:tc>
          <w:tcPr>
            <w:tcW w:w="294"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94"/>
              <w:spacing w:before="49" w:line="183" w:lineRule="auto"/>
              <w:rPr/>
            </w:pPr>
            <w:r>
              <w:rPr/>
              <w:t>8</w:t>
            </w:r>
          </w:p>
        </w:tc>
        <w:tc>
          <w:tcPr>
            <w:tcW w:w="4935" w:type="dxa"/>
            <w:vAlign w:val="top"/>
          </w:tcPr>
          <w:p>
            <w:pPr>
              <w:pStyle w:val="TableText"/>
              <w:ind w:left="21" w:right="53" w:firstLine="39"/>
              <w:spacing w:before="86" w:line="234" w:lineRule="auto"/>
              <w:jc w:val="both"/>
              <w:rPr/>
            </w:pPr>
            <w:r>
              <w:rPr/>
              <w:t>进行调整，行政许可实施机关做好实施前准备。因深化行政</w:t>
            </w:r>
            <w:r>
              <w:rPr>
                <w:spacing w:val="-1"/>
              </w:rPr>
              <w:t>审批制度改革</w:t>
            </w:r>
            <w:r>
              <w:rPr/>
              <w:t xml:space="preserve"> </w:t>
            </w:r>
            <w:r>
              <w:rPr>
                <w:spacing w:val="1"/>
              </w:rPr>
              <w:t>需要动态调整行政许可事项清单的，参照上述程序办理。上级清单作出动</w:t>
            </w:r>
            <w:r>
              <w:rPr>
                <w:spacing w:val="17"/>
              </w:rPr>
              <w:t xml:space="preserve"> </w:t>
            </w:r>
            <w:r>
              <w:rPr>
                <w:spacing w:val="-1"/>
              </w:rPr>
              <w:t>态调整的，下级清单要及时相应调整。</w:t>
            </w:r>
          </w:p>
          <w:p>
            <w:pPr>
              <w:pStyle w:val="TableText"/>
              <w:ind w:left="11" w:firstLine="68"/>
              <w:spacing w:before="28" w:line="241" w:lineRule="auto"/>
              <w:jc w:val="both"/>
              <w:rPr/>
            </w:pPr>
            <w:r>
              <w:rPr>
                <w:spacing w:val="-5"/>
              </w:rPr>
              <w:t>(六)做好有关清单衔接。市场准入负面清单、政务服务事项基本</w:t>
            </w:r>
            <w:r>
              <w:rPr>
                <w:spacing w:val="-6"/>
              </w:rPr>
              <w:t>目录、“互</w:t>
            </w:r>
            <w:r>
              <w:rPr/>
              <w:t xml:space="preserve">  </w:t>
            </w:r>
            <w:r>
              <w:rPr>
                <w:spacing w:val="-3"/>
              </w:rPr>
              <w:t>联网+监管”事项清单、投资项目审批事项清单、工程建设项目审批事项清  </w:t>
            </w:r>
            <w:r>
              <w:rPr>
                <w:spacing w:val="-3"/>
              </w:rPr>
              <w:t>单等中涉及的行政许可事项，应当严格与行政许可事项清单</w:t>
            </w:r>
            <w:r>
              <w:rPr>
                <w:spacing w:val="-4"/>
              </w:rPr>
              <w:t>保持一致并做好</w:t>
            </w:r>
            <w:r>
              <w:rPr/>
              <w:t xml:space="preserve">  </w:t>
            </w:r>
            <w:r>
              <w:rPr>
                <w:spacing w:val="-3"/>
              </w:rPr>
              <w:t>衔接。行政许可事项清单调整的，有关清单要适时作出相应调</w:t>
            </w:r>
            <w:r>
              <w:rPr>
                <w:spacing w:val="-4"/>
              </w:rPr>
              <w:t>整。健全审改</w:t>
            </w:r>
            <w:r>
              <w:rPr/>
              <w:t xml:space="preserve">  </w:t>
            </w:r>
            <w:r>
              <w:rPr>
                <w:spacing w:val="-6"/>
              </w:rPr>
              <w:t>牵头机构与其他清单主管部门的沟通协调机制，协同做好清单内容对接匹配。</w:t>
            </w:r>
          </w:p>
          <w:p>
            <w:pPr>
              <w:pStyle w:val="TableText"/>
              <w:ind w:left="21" w:firstLine="109"/>
              <w:spacing w:before="10" w:line="243" w:lineRule="auto"/>
              <w:rPr/>
            </w:pPr>
            <w:r>
              <w:rPr/>
              <w:t>(七)科学制定行政许可实施规范。对清单内的行政许可事项要逐项</w:t>
            </w:r>
            <w:r>
              <w:rPr>
                <w:spacing w:val="-1"/>
              </w:rPr>
              <w:t>制定</w:t>
            </w:r>
            <w:r>
              <w:rPr/>
              <w:t xml:space="preserve">   </w:t>
            </w:r>
            <w:r>
              <w:rPr>
                <w:spacing w:val="3"/>
              </w:rPr>
              <w:t>实施规范，结合实施情况确定子项、办理项，明确许可条件、申请材料、</w:t>
            </w:r>
            <w:r>
              <w:rPr>
                <w:spacing w:val="6"/>
              </w:rPr>
              <w:t xml:space="preserve"> </w:t>
            </w:r>
            <w:r>
              <w:rPr>
                <w:spacing w:val="1"/>
              </w:rPr>
              <w:t>中介服务、审批程序、审批时限、收费、许可证件、数量限制、年检年报  </w:t>
            </w:r>
            <w:r>
              <w:rPr>
                <w:spacing w:val="1"/>
              </w:rPr>
              <w:t>等内容，并向社会公布。法律、行政法规、国务</w:t>
            </w:r>
            <w:r>
              <w:rPr/>
              <w:t>院决定设定的行政许可事  </w:t>
            </w:r>
            <w:r>
              <w:rPr>
                <w:spacing w:val="3"/>
              </w:rPr>
              <w:t>项原则上由国务院有关部门制定实施规范。对各地区实施规范存在差异、</w:t>
            </w:r>
            <w:r>
              <w:rPr>
                <w:spacing w:val="6"/>
              </w:rPr>
              <w:t xml:space="preserve"> </w:t>
            </w:r>
            <w:r>
              <w:rPr>
                <w:spacing w:val="1"/>
              </w:rPr>
              <w:t>影响跨区域通办的事项，国务院有关部门要研究提</w:t>
            </w:r>
            <w:r>
              <w:rPr/>
              <w:t>出解决方案，制定衔接  </w:t>
            </w:r>
            <w:r>
              <w:rPr>
                <w:spacing w:val="1"/>
              </w:rPr>
              <w:t>办法。地方性法规、省级政府规章设定的行政许可事项，由省级、设区的</w:t>
            </w:r>
            <w:r>
              <w:rPr>
                <w:spacing w:val="3"/>
              </w:rPr>
              <w:t xml:space="preserve">  </w:t>
            </w:r>
            <w:r>
              <w:rPr>
                <w:spacing w:val="-1"/>
              </w:rPr>
              <w:t>市级人民政府有关部门制定实施规范。</w:t>
            </w:r>
          </w:p>
          <w:p>
            <w:pPr>
              <w:pStyle w:val="TableText"/>
              <w:ind w:left="130"/>
              <w:spacing w:before="12" w:line="219" w:lineRule="auto"/>
              <w:rPr/>
            </w:pPr>
            <w:r>
              <w:rPr/>
              <w:t>(八)依法依规实施行政许可。行政许可实施机关要依照行政许可实施规</w:t>
            </w:r>
          </w:p>
          <w:p>
            <w:pPr>
              <w:pStyle w:val="TableText"/>
              <w:ind w:left="21" w:firstLine="39"/>
              <w:spacing w:before="31"/>
              <w:rPr/>
            </w:pPr>
            <w:r>
              <w:rPr>
                <w:spacing w:val="-2"/>
              </w:rPr>
              <w:t>范制定办事指南，并向社会公布。办事指南一经公布，必须严格遵照执行  </w:t>
            </w:r>
            <w:r>
              <w:rPr>
                <w:spacing w:val="-7"/>
              </w:rPr>
              <w:t>不得随意增加许可条件、申请材料、中介服务、审批环节、收费、数量限制等</w:t>
            </w:r>
            <w:r>
              <w:rPr>
                <w:spacing w:val="3"/>
              </w:rPr>
              <w:t xml:space="preserve"> </w:t>
            </w:r>
            <w:r>
              <w:rPr>
                <w:spacing w:val="-2"/>
              </w:rPr>
              <w:t>不得超时限办理行政许可，但可以作出有利于行政相对人的合理优化调整。</w:t>
            </w:r>
            <w:r>
              <w:rPr>
                <w:spacing w:val="18"/>
                <w:w w:val="101"/>
              </w:rPr>
              <w:t xml:space="preserve"> </w:t>
            </w:r>
            <w:r>
              <w:rPr>
                <w:spacing w:val="-1"/>
              </w:rPr>
              <w:t>在严格执行办事指南的同时，各地区、各部门要按照政务服务标准化、规  </w:t>
            </w:r>
            <w:r>
              <w:rPr>
                <w:spacing w:val="-4"/>
              </w:rPr>
              <w:t>范化、便利化要求，通过推行告知承诺、集成服务、</w:t>
            </w:r>
            <w:r>
              <w:rPr>
                <w:spacing w:val="33"/>
                <w:w w:val="101"/>
              </w:rPr>
              <w:t xml:space="preserve"> </w:t>
            </w:r>
            <w:r>
              <w:rPr>
                <w:spacing w:val="-4"/>
              </w:rPr>
              <w:t>一网通办、跨省通办  </w:t>
            </w:r>
            <w:r>
              <w:rPr>
                <w:spacing w:val="-2"/>
              </w:rPr>
              <w:t>等改革措施，更好满足企业和群众办事需求</w:t>
            </w:r>
          </w:p>
          <w:p>
            <w:pPr>
              <w:pStyle w:val="TableText"/>
              <w:ind w:left="130"/>
              <w:spacing w:before="40" w:line="219" w:lineRule="auto"/>
              <w:rPr/>
            </w:pPr>
            <w:r>
              <w:rPr/>
              <w:t>(九)严肃清查整治变相许可。各地区、各部门要严格落实清单之外一律</w:t>
            </w:r>
          </w:p>
          <w:p>
            <w:pPr>
              <w:pStyle w:val="TableText"/>
              <w:ind w:left="11" w:firstLine="49"/>
              <w:spacing w:before="11" w:line="236" w:lineRule="auto"/>
              <w:rPr/>
            </w:pPr>
            <w:r>
              <w:rPr>
                <w:spacing w:val="-1"/>
              </w:rPr>
              <w:t>不得违法实施行政许可的要求，大力清理整治变相许可。</w:t>
            </w:r>
            <w:r>
              <w:rPr>
                <w:spacing w:val="-2"/>
              </w:rPr>
              <w:t>在行政许可事项</w:t>
            </w:r>
            <w:r>
              <w:rPr/>
              <w:t xml:space="preserve">  </w:t>
            </w:r>
            <w:r>
              <w:rPr>
                <w:spacing w:val="-1"/>
              </w:rPr>
              <w:t>清单之外，有关行政机关和其他具有管理公共事务职能的组织以</w:t>
            </w:r>
            <w:r>
              <w:rPr>
                <w:spacing w:val="-2"/>
              </w:rPr>
              <w:t>备案、证明</w:t>
            </w:r>
            <w:r>
              <w:rPr/>
              <w:t xml:space="preserve"> </w:t>
            </w:r>
            <w:r>
              <w:rPr>
                <w:spacing w:val="1"/>
              </w:rPr>
              <w:t>目录、计划、规划、指定、认证、年检等名义，要求行政</w:t>
            </w:r>
            <w:r>
              <w:rPr/>
              <w:t>相对人经申请获  </w:t>
            </w:r>
            <w:r>
              <w:rPr/>
              <w:t>批后方可从事特定活动的，应当认定为变相许可，要通过停止实施、调整</w:t>
            </w:r>
            <w:r>
              <w:rPr>
                <w:spacing w:val="7"/>
              </w:rPr>
              <w:t xml:space="preserve">  </w:t>
            </w:r>
            <w:r>
              <w:rPr>
                <w:spacing w:val="-1"/>
              </w:rPr>
              <w:t>实施方式、完善设定依据等予以纠正，</w:t>
            </w:r>
          </w:p>
        </w:tc>
        <w:tc>
          <w:tcPr>
            <w:tcW w:w="2148" w:type="dxa"/>
            <w:vAlign w:val="top"/>
          </w:tcPr>
          <w:p>
            <w:pPr>
              <w:rPr>
                <w:rFonts w:ascii="Arial"/>
                <w:sz w:val="21"/>
              </w:rPr>
            </w:pPr>
            <w:r/>
          </w:p>
        </w:tc>
        <w:tc>
          <w:tcPr>
            <w:tcW w:w="889" w:type="dxa"/>
            <w:vAlign w:val="top"/>
          </w:tcPr>
          <w:p>
            <w:pPr>
              <w:rPr>
                <w:rFonts w:ascii="Arial"/>
                <w:sz w:val="21"/>
              </w:rPr>
            </w:pPr>
            <w:r/>
          </w:p>
        </w:tc>
        <w:tc>
          <w:tcPr>
            <w:tcW w:w="689" w:type="dxa"/>
            <w:vAlign w:val="top"/>
          </w:tcPr>
          <w:p>
            <w:pPr>
              <w:rPr>
                <w:rFonts w:ascii="Arial"/>
                <w:sz w:val="21"/>
              </w:rPr>
            </w:pPr>
            <w:r/>
          </w:p>
        </w:tc>
        <w:tc>
          <w:tcPr>
            <w:tcW w:w="684" w:type="dxa"/>
            <w:vAlign w:val="top"/>
          </w:tcPr>
          <w:p>
            <w:pPr>
              <w:rPr>
                <w:rFonts w:ascii="Arial"/>
                <w:sz w:val="21"/>
              </w:rPr>
            </w:pPr>
            <w:r/>
          </w:p>
        </w:tc>
      </w:tr>
    </w:tbl>
    <w:p>
      <w:pPr>
        <w:pStyle w:val="BodyText"/>
        <w:rPr/>
      </w:pPr>
      <w:r/>
    </w:p>
    <w:p>
      <w:pPr>
        <w:sectPr>
          <w:pgSz w:w="11910" w:h="8220"/>
          <w:pgMar w:top="400" w:right="1135" w:bottom="400" w:left="809" w:header="0" w:footer="0" w:gutter="0"/>
        </w:sectPr>
        <w:rPr/>
      </w:pPr>
    </w:p>
    <w:p>
      <w:pPr>
        <w:spacing w:before="51"/>
        <w:rPr/>
      </w:pPr>
      <w:r>
        <w:pict>
          <v:shape id="_x0000_s100" style="position:absolute;margin-left:38.9997pt;margin-top:346.605pt;mso-position-vertical-relative:page;mso-position-horizontal-relative:page;width:8.85pt;height:15.35pt;z-index:251736064;" o:allowincell="f" filled="false" stroked="false" type="#_x0000_t202">
            <v:fill on="false"/>
            <v:stroke on="false"/>
            <v:path/>
            <v:imagedata o:title=""/>
            <o:lock v:ext="edit" aspectratio="false"/>
            <v:textbox inset="0mm,0mm,0mm,0mm">
              <w:txbxContent>
                <w:p>
                  <w:pPr>
                    <w:ind w:left="20"/>
                    <w:spacing w:before="19" w:line="192" w:lineRule="auto"/>
                    <w:rPr>
                      <w:rFonts w:ascii="Times New Roman" w:hAnsi="Times New Roman" w:eastAsia="Times New Roman" w:cs="Times New Roman"/>
                      <w:sz w:val="29"/>
                      <w:szCs w:val="29"/>
                    </w:rPr>
                  </w:pPr>
                  <w:r>
                    <w:rPr>
                      <w:rFonts w:ascii="Times New Roman" w:hAnsi="Times New Roman" w:eastAsia="Times New Roman" w:cs="Times New Roman"/>
                      <w:sz w:val="29"/>
                      <w:szCs w:val="29"/>
                    </w:rPr>
                    <w:t>d</w:t>
                  </w:r>
                </w:p>
              </w:txbxContent>
            </v:textbox>
          </v:shape>
        </w:pict>
      </w:r>
      <w:r/>
    </w:p>
    <w:p>
      <w:pPr>
        <w:spacing w:before="51"/>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6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91"/>
              <w:spacing w:before="171" w:line="219" w:lineRule="auto"/>
              <w:rPr/>
            </w:pPr>
            <w:r>
              <w:rPr>
                <w:spacing w:val="-2"/>
              </w:rPr>
              <w:t>主要内容</w:t>
            </w:r>
          </w:p>
        </w:tc>
        <w:tc>
          <w:tcPr>
            <w:tcW w:w="2128" w:type="dxa"/>
            <w:vAlign w:val="top"/>
          </w:tcPr>
          <w:p>
            <w:pPr>
              <w:pStyle w:val="TableText"/>
              <w:ind w:left="766"/>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1957" w:hRule="atLeast"/>
        </w:trPr>
        <w:tc>
          <w:tcPr>
            <w:tcW w:w="284"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94"/>
              <w:spacing w:before="49" w:line="183" w:lineRule="auto"/>
              <w:rPr/>
            </w:pPr>
            <w:r>
              <w:rPr/>
              <w:t>9</w:t>
            </w:r>
          </w:p>
        </w:tc>
        <w:tc>
          <w:tcPr>
            <w:tcW w:w="4955" w:type="dxa"/>
            <w:vAlign w:val="top"/>
          </w:tcPr>
          <w:p>
            <w:pPr>
              <w:spacing w:line="305" w:lineRule="auto"/>
              <w:rPr>
                <w:rFonts w:ascii="Arial"/>
                <w:sz w:val="21"/>
              </w:rPr>
            </w:pPr>
            <w:r/>
          </w:p>
          <w:p>
            <w:pPr>
              <w:pStyle w:val="TableText"/>
              <w:ind w:left="41"/>
              <w:spacing w:before="48" w:line="234" w:lineRule="auto"/>
              <w:rPr/>
            </w:pPr>
            <w:r>
              <w:rPr>
                <w:spacing w:val="-1"/>
              </w:rPr>
              <w:t>一、取消工程造价咨询企业资质审批。</w:t>
            </w:r>
          </w:p>
          <w:p>
            <w:pPr>
              <w:pStyle w:val="TableText"/>
              <w:ind w:left="31"/>
              <w:spacing w:line="217" w:lineRule="auto"/>
              <w:rPr/>
            </w:pPr>
            <w:r>
              <w:rPr>
                <w:spacing w:val="-1"/>
              </w:rPr>
              <w:t>一、取消工程造价咨询企业资质审批</w:t>
            </w:r>
          </w:p>
          <w:p>
            <w:pPr>
              <w:pStyle w:val="TableText"/>
              <w:ind w:left="21"/>
              <w:spacing w:before="34" w:line="219" w:lineRule="auto"/>
              <w:rPr/>
            </w:pPr>
            <w:r>
              <w:rPr>
                <w:spacing w:val="-1"/>
              </w:rPr>
              <w:t>三、推进信用体系建设。</w:t>
            </w:r>
          </w:p>
          <w:p>
            <w:pPr>
              <w:pStyle w:val="TableText"/>
              <w:ind w:left="31"/>
              <w:spacing w:before="42" w:line="219" w:lineRule="auto"/>
              <w:rPr/>
            </w:pPr>
            <w:r>
              <w:rPr>
                <w:spacing w:val="-1"/>
              </w:rPr>
              <w:t>四、构建协同监管新格局。</w:t>
            </w:r>
          </w:p>
          <w:p>
            <w:pPr>
              <w:pStyle w:val="TableText"/>
              <w:ind w:left="41"/>
              <w:spacing w:line="235" w:lineRule="auto"/>
              <w:rPr/>
            </w:pPr>
            <w:r>
              <w:rPr/>
              <w:t>五、提升工程造价咨询服务能力</w:t>
            </w:r>
          </w:p>
          <w:p>
            <w:pPr>
              <w:pStyle w:val="TableText"/>
              <w:ind w:left="21"/>
              <w:spacing w:before="1" w:line="219" w:lineRule="auto"/>
              <w:rPr/>
            </w:pPr>
            <w:r>
              <w:rPr>
                <w:spacing w:val="-1"/>
              </w:rPr>
              <w:t>六、加强事中事后监管。</w:t>
            </w:r>
          </w:p>
        </w:tc>
        <w:tc>
          <w:tcPr>
            <w:tcW w:w="2128" w:type="dxa"/>
            <w:vAlign w:val="top"/>
          </w:tcPr>
          <w:p>
            <w:pPr>
              <w:spacing w:line="327" w:lineRule="auto"/>
              <w:rPr>
                <w:rFonts w:ascii="Arial"/>
                <w:sz w:val="21"/>
              </w:rPr>
            </w:pPr>
            <w:r/>
          </w:p>
          <w:p>
            <w:pPr>
              <w:pStyle w:val="TableText"/>
              <w:ind w:left="15" w:right="21" w:firstLine="10"/>
              <w:spacing w:before="48" w:line="233" w:lineRule="auto"/>
              <w:jc w:val="both"/>
              <w:rPr/>
            </w:pPr>
            <w:r>
              <w:rPr>
                <w:spacing w:val="-1"/>
              </w:rPr>
              <w:t>住房和城乡建设部办公厅《关  </w:t>
            </w:r>
            <w:r>
              <w:rPr>
                <w:spacing w:val="3"/>
              </w:rPr>
              <w:t>于取消工程造价咨询企业资质  </w:t>
            </w:r>
            <w:r>
              <w:rPr>
                <w:spacing w:val="-2"/>
              </w:rPr>
              <w:t>审批加强事中事后监管的通知》</w:t>
            </w:r>
            <w:r>
              <w:rPr>
                <w:spacing w:val="7"/>
              </w:rPr>
              <w:t xml:space="preserve"> </w:t>
            </w:r>
            <w:r>
              <w:rPr/>
              <w:t>建办标〔2021〕26号</w:t>
            </w:r>
          </w:p>
        </w:tc>
        <w:tc>
          <w:tcPr>
            <w:tcW w:w="919" w:type="dxa"/>
            <w:vAlign w:val="top"/>
          </w:tcPr>
          <w:p>
            <w:pPr>
              <w:spacing w:line="327" w:lineRule="auto"/>
              <w:rPr>
                <w:rFonts w:ascii="Arial"/>
                <w:sz w:val="21"/>
              </w:rPr>
            </w:pPr>
            <w:r/>
          </w:p>
          <w:p>
            <w:pPr>
              <w:pStyle w:val="TableText"/>
              <w:ind w:left="18" w:right="20"/>
              <w:spacing w:before="49" w:line="229" w:lineRule="auto"/>
              <w:jc w:val="both"/>
              <w:rPr/>
            </w:pPr>
            <w:r>
              <w:rPr>
                <w:spacing w:val="17"/>
                <w:w w:val="111"/>
              </w:rPr>
              <w:t>2021年6月</w:t>
            </w:r>
            <w:r>
              <w:rPr>
                <w:spacing w:val="1"/>
              </w:rPr>
              <w:t xml:space="preserve"> </w:t>
            </w:r>
            <w:r>
              <w:rPr>
                <w:spacing w:val="-12"/>
              </w:rPr>
              <w:t>2</w:t>
            </w:r>
            <w:r>
              <w:rPr>
                <w:spacing w:val="-33"/>
              </w:rPr>
              <w:t xml:space="preserve"> </w:t>
            </w:r>
            <w:r>
              <w:rPr>
                <w:spacing w:val="-12"/>
              </w:rPr>
              <w:t>8 日 (</w:t>
            </w:r>
            <w:r>
              <w:rPr>
                <w:spacing w:val="-32"/>
              </w:rPr>
              <w:t xml:space="preserve"> </w:t>
            </w:r>
            <w:r>
              <w:rPr>
                <w:spacing w:val="-12"/>
              </w:rPr>
              <w:t>文</w:t>
            </w:r>
            <w:r>
              <w:rPr>
                <w:spacing w:val="-34"/>
              </w:rPr>
              <w:t xml:space="preserve"> </w:t>
            </w:r>
            <w:r>
              <w:rPr>
                <w:spacing w:val="-12"/>
              </w:rPr>
              <w:t>件</w:t>
            </w:r>
            <w:r>
              <w:rPr/>
              <w:t xml:space="preserve"> </w:t>
            </w:r>
            <w:r>
              <w:rPr>
                <w:spacing w:val="-2"/>
              </w:rPr>
              <w:t>签发日期</w:t>
            </w:r>
          </w:p>
        </w:tc>
        <w:tc>
          <w:tcPr>
            <w:tcW w:w="679" w:type="dxa"/>
            <w:vAlign w:val="top"/>
          </w:tcPr>
          <w:p>
            <w:pPr>
              <w:spacing w:line="297" w:lineRule="auto"/>
              <w:rPr>
                <w:rFonts w:ascii="Arial"/>
                <w:sz w:val="21"/>
              </w:rPr>
            </w:pPr>
            <w:r/>
          </w:p>
          <w:p>
            <w:pPr>
              <w:pStyle w:val="TableText"/>
              <w:ind w:left="38"/>
              <w:spacing w:before="48" w:line="220" w:lineRule="auto"/>
              <w:rPr/>
            </w:pPr>
            <w:r>
              <w:rPr>
                <w:spacing w:val="-2"/>
              </w:rPr>
              <w:t>行政通知</w:t>
            </w:r>
          </w:p>
        </w:tc>
        <w:tc>
          <w:tcPr>
            <w:tcW w:w="664" w:type="dxa"/>
            <w:vAlign w:val="top"/>
          </w:tcPr>
          <w:p>
            <w:pPr>
              <w:spacing w:line="306" w:lineRule="auto"/>
              <w:rPr>
                <w:rFonts w:ascii="Arial"/>
                <w:sz w:val="21"/>
              </w:rPr>
            </w:pPr>
            <w:r/>
          </w:p>
          <w:p>
            <w:pPr>
              <w:pStyle w:val="TableText"/>
              <w:ind w:left="30"/>
              <w:spacing w:before="49" w:line="219" w:lineRule="auto"/>
              <w:rPr/>
            </w:pPr>
            <w:r>
              <w:rPr>
                <w:spacing w:val="-2"/>
              </w:rPr>
              <w:t>行政优化</w:t>
            </w:r>
          </w:p>
        </w:tc>
      </w:tr>
      <w:tr>
        <w:trPr>
          <w:trHeight w:val="1567" w:hRule="atLeast"/>
        </w:trPr>
        <w:tc>
          <w:tcPr>
            <w:tcW w:w="284" w:type="dxa"/>
            <w:vAlign w:val="top"/>
          </w:tcPr>
          <w:p>
            <w:pPr>
              <w:spacing w:line="347" w:lineRule="auto"/>
              <w:rPr>
                <w:rFonts w:ascii="Arial"/>
                <w:sz w:val="21"/>
              </w:rPr>
            </w:pPr>
            <w:r/>
          </w:p>
          <w:p>
            <w:pPr>
              <w:spacing w:line="348" w:lineRule="auto"/>
              <w:rPr>
                <w:rFonts w:ascii="Arial"/>
                <w:sz w:val="21"/>
              </w:rPr>
            </w:pPr>
            <w:r/>
          </w:p>
          <w:p>
            <w:pPr>
              <w:pStyle w:val="TableText"/>
              <w:ind w:left="55"/>
              <w:spacing w:before="48" w:line="184" w:lineRule="auto"/>
              <w:rPr/>
            </w:pPr>
            <w:r>
              <w:rPr>
                <w:spacing w:val="-5"/>
              </w:rPr>
              <w:t>10</w:t>
            </w:r>
          </w:p>
        </w:tc>
        <w:tc>
          <w:tcPr>
            <w:tcW w:w="4955" w:type="dxa"/>
            <w:vAlign w:val="top"/>
          </w:tcPr>
          <w:p>
            <w:pPr>
              <w:spacing w:line="318" w:lineRule="auto"/>
              <w:rPr>
                <w:rFonts w:ascii="Arial"/>
                <w:sz w:val="21"/>
              </w:rPr>
            </w:pPr>
            <w:r/>
          </w:p>
          <w:p>
            <w:pPr>
              <w:pStyle w:val="TableText"/>
              <w:ind w:left="21"/>
              <w:spacing w:before="49" w:line="219" w:lineRule="auto"/>
              <w:rPr/>
            </w:pPr>
            <w:r>
              <w:rPr/>
              <w:t>中华人民共和国主席令(第八十一号)对《海关法》和《商检法》进行了</w:t>
            </w:r>
          </w:p>
          <w:p>
            <w:pPr>
              <w:pStyle w:val="TableText"/>
              <w:ind w:left="40" w:hanging="9"/>
              <w:spacing w:before="23" w:line="237" w:lineRule="auto"/>
              <w:rPr/>
            </w:pPr>
            <w:r>
              <w:rPr/>
              <w:t>修改，取消了“23001报关企业注册登记”</w:t>
            </w:r>
            <w:r>
              <w:rPr>
                <w:spacing w:val="-1"/>
              </w:rPr>
              <w:t>和“26021进出口商品检验鉴定  </w:t>
            </w:r>
            <w:r>
              <w:rPr>
                <w:spacing w:val="-2"/>
              </w:rPr>
              <w:t>业务的检验许可”两项海关行政审批事项。其中，取消“报关企业注册登记</w:t>
            </w:r>
            <w:r>
              <w:rPr>
                <w:spacing w:val="18"/>
                <w:w w:val="101"/>
              </w:rPr>
              <w:t xml:space="preserve"> </w:t>
            </w:r>
            <w:r>
              <w:rPr>
                <w:spacing w:val="1"/>
              </w:rPr>
              <w:t>行政许可，对报关单位实施全面备案管理，改革实施两个月</w:t>
            </w:r>
          </w:p>
        </w:tc>
        <w:tc>
          <w:tcPr>
            <w:tcW w:w="2128" w:type="dxa"/>
            <w:vAlign w:val="top"/>
          </w:tcPr>
          <w:p>
            <w:pPr>
              <w:spacing w:line="299" w:lineRule="auto"/>
              <w:rPr>
                <w:rFonts w:ascii="Arial"/>
                <w:sz w:val="21"/>
              </w:rPr>
            </w:pPr>
            <w:r/>
          </w:p>
          <w:p>
            <w:pPr>
              <w:pStyle w:val="TableText"/>
              <w:ind w:left="24" w:hanging="9"/>
              <w:spacing w:before="48" w:line="246" w:lineRule="auto"/>
              <w:rPr/>
            </w:pPr>
            <w:r>
              <w:rPr>
                <w:spacing w:val="31"/>
              </w:rPr>
              <w:t>中华人民共和国主席令(第</w:t>
            </w:r>
            <w:r>
              <w:rPr>
                <w:spacing w:val="4"/>
              </w:rPr>
              <w:t xml:space="preserve"> </w:t>
            </w:r>
            <w:r>
              <w:rPr>
                <w:spacing w:val="5"/>
              </w:rPr>
              <w:t>八十一号)</w:t>
            </w:r>
          </w:p>
        </w:tc>
        <w:tc>
          <w:tcPr>
            <w:tcW w:w="919" w:type="dxa"/>
            <w:vAlign w:val="top"/>
          </w:tcPr>
          <w:p>
            <w:pPr>
              <w:spacing w:line="318" w:lineRule="auto"/>
              <w:rPr>
                <w:rFonts w:ascii="Arial"/>
                <w:sz w:val="21"/>
              </w:rPr>
            </w:pPr>
            <w:r/>
          </w:p>
          <w:p>
            <w:pPr>
              <w:pStyle w:val="TableText"/>
              <w:ind w:left="18" w:right="20"/>
              <w:spacing w:before="49" w:line="226" w:lineRule="auto"/>
              <w:rPr/>
            </w:pPr>
            <w:r>
              <w:rPr>
                <w:spacing w:val="16"/>
                <w:w w:val="112"/>
              </w:rPr>
              <w:t>2021年4月</w:t>
            </w:r>
            <w:r>
              <w:rPr>
                <w:spacing w:val="1"/>
              </w:rPr>
              <w:t xml:space="preserve"> </w:t>
            </w:r>
            <w:r>
              <w:rPr>
                <w:spacing w:val="8"/>
              </w:rPr>
              <w:t>29日</w:t>
            </w:r>
          </w:p>
        </w:tc>
        <w:tc>
          <w:tcPr>
            <w:tcW w:w="679" w:type="dxa"/>
            <w:vAlign w:val="top"/>
          </w:tcPr>
          <w:p>
            <w:pPr>
              <w:spacing w:line="298" w:lineRule="auto"/>
              <w:rPr>
                <w:rFonts w:ascii="Arial"/>
                <w:sz w:val="21"/>
              </w:rPr>
            </w:pPr>
            <w:r/>
          </w:p>
          <w:p>
            <w:pPr>
              <w:pStyle w:val="TableText"/>
              <w:ind w:left="109"/>
              <w:spacing w:before="49" w:line="219" w:lineRule="auto"/>
              <w:rPr/>
            </w:pPr>
            <w:r>
              <w:rPr>
                <w:spacing w:val="-2"/>
              </w:rPr>
              <w:t>行政令</w:t>
            </w:r>
          </w:p>
        </w:tc>
        <w:tc>
          <w:tcPr>
            <w:tcW w:w="664" w:type="dxa"/>
            <w:vAlign w:val="top"/>
          </w:tcPr>
          <w:p>
            <w:pPr>
              <w:spacing w:line="309" w:lineRule="auto"/>
              <w:rPr>
                <w:rFonts w:ascii="Arial"/>
                <w:sz w:val="21"/>
              </w:rPr>
            </w:pPr>
            <w:r/>
          </w:p>
          <w:p>
            <w:pPr>
              <w:pStyle w:val="TableText"/>
              <w:ind w:left="30"/>
              <w:spacing w:before="49" w:line="220" w:lineRule="auto"/>
              <w:rPr/>
            </w:pPr>
            <w:r>
              <w:rPr>
                <w:spacing w:val="3"/>
              </w:rPr>
              <w:t>行政取消</w:t>
            </w:r>
          </w:p>
        </w:tc>
      </w:tr>
      <w:tr>
        <w:trPr>
          <w:trHeight w:val="2161" w:hRule="atLeast"/>
        </w:trPr>
        <w:tc>
          <w:tcPr>
            <w:tcW w:w="28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5"/>
              <w:spacing w:before="48" w:line="184" w:lineRule="auto"/>
              <w:rPr/>
            </w:pPr>
            <w:r>
              <w:rPr>
                <w:spacing w:val="-5"/>
              </w:rPr>
              <w:t>11</w:t>
            </w:r>
          </w:p>
        </w:tc>
        <w:tc>
          <w:tcPr>
            <w:tcW w:w="4955" w:type="dxa"/>
            <w:vAlign w:val="top"/>
          </w:tcPr>
          <w:p>
            <w:pPr>
              <w:spacing w:line="311" w:lineRule="auto"/>
              <w:rPr>
                <w:rFonts w:ascii="Arial"/>
                <w:sz w:val="21"/>
              </w:rPr>
            </w:pPr>
            <w:r/>
          </w:p>
          <w:p>
            <w:pPr>
              <w:pStyle w:val="TableText"/>
              <w:ind w:left="11" w:right="85" w:firstLine="10"/>
              <w:spacing w:before="48" w:line="239" w:lineRule="auto"/>
              <w:jc w:val="both"/>
              <w:rPr/>
            </w:pPr>
            <w:r>
              <w:rPr>
                <w:spacing w:val="-1"/>
              </w:rPr>
              <w:t>优化再造投资项目前期审批流程。从办成项目前期“一件事”出发，健全 </w:t>
            </w:r>
            <w:r>
              <w:rPr/>
              <w:t>部门协同工作机制，加强项目立项与用地、规划等建设条</w:t>
            </w:r>
            <w:r>
              <w:rPr>
                <w:spacing w:val="-1"/>
              </w:rPr>
              <w:t>件衔接，推动有 </w:t>
            </w:r>
            <w:r>
              <w:rPr>
                <w:spacing w:val="1"/>
              </w:rPr>
              <w:t>条件的地方对项目可行性研究、用地预审、选址</w:t>
            </w:r>
            <w:r>
              <w:rPr/>
              <w:t>、环境影响评价、安全评 </w:t>
            </w:r>
            <w:r>
              <w:rPr/>
              <w:t>价、水土保持评价、压覆重要矿产资源评估等事项，实行</w:t>
            </w:r>
            <w:r>
              <w:rPr>
                <w:spacing w:val="-1"/>
              </w:rPr>
              <w:t>项目单位编报一 </w:t>
            </w:r>
            <w:r>
              <w:rPr>
                <w:spacing w:val="1"/>
              </w:rPr>
              <w:t>套材料，政府部门统一受理、同步评估、同步审批、统一反馈，加快项目</w:t>
            </w:r>
            <w:r>
              <w:rPr>
                <w:spacing w:val="15"/>
              </w:rPr>
              <w:t xml:space="preserve"> </w:t>
            </w:r>
            <w:r>
              <w:rPr/>
              <w:t>落地。优化全国投资项目在线审批监管平台审批流程，实</w:t>
            </w:r>
            <w:r>
              <w:rPr>
                <w:spacing w:val="-1"/>
              </w:rPr>
              <w:t>现批复文件等在 </w:t>
            </w:r>
            <w:r>
              <w:rPr>
                <w:spacing w:val="-1"/>
              </w:rPr>
              <w:t>线打印。</w:t>
            </w:r>
          </w:p>
        </w:tc>
        <w:tc>
          <w:tcPr>
            <w:tcW w:w="2128" w:type="dxa"/>
            <w:vAlign w:val="top"/>
          </w:tcPr>
          <w:p>
            <w:pPr>
              <w:spacing w:line="312" w:lineRule="auto"/>
              <w:rPr>
                <w:rFonts w:ascii="Arial"/>
                <w:sz w:val="21"/>
              </w:rPr>
            </w:pPr>
            <w:r/>
          </w:p>
          <w:p>
            <w:pPr>
              <w:pStyle w:val="TableText"/>
              <w:ind w:left="15" w:right="76" w:firstLine="10"/>
              <w:spacing w:before="49" w:line="234" w:lineRule="auto"/>
              <w:jc w:val="both"/>
              <w:rPr/>
            </w:pPr>
            <w:r>
              <w:rPr/>
              <w:t>国务院办公厅《关于进一步优</w:t>
            </w:r>
            <w:r>
              <w:rPr>
                <w:spacing w:val="2"/>
              </w:rPr>
              <w:t xml:space="preserve">  </w:t>
            </w:r>
            <w:r>
              <w:rPr>
                <w:spacing w:val="-1"/>
              </w:rPr>
              <w:t>化营商环境更好服务市场主体</w:t>
            </w:r>
            <w:r>
              <w:rPr>
                <w:spacing w:val="2"/>
              </w:rPr>
              <w:t xml:space="preserve">  </w:t>
            </w:r>
            <w:r>
              <w:rPr>
                <w:spacing w:val="5"/>
              </w:rPr>
              <w:t>的实施意见》国办发〔2020〕</w:t>
            </w:r>
            <w:r>
              <w:rPr/>
              <w:t xml:space="preserve"> </w:t>
            </w:r>
            <w:r>
              <w:rPr>
                <w:spacing w:val="-2"/>
              </w:rPr>
              <w:t>24号</w:t>
            </w:r>
          </w:p>
        </w:tc>
        <w:tc>
          <w:tcPr>
            <w:tcW w:w="919" w:type="dxa"/>
            <w:vAlign w:val="top"/>
          </w:tcPr>
          <w:p>
            <w:pPr>
              <w:spacing w:line="302" w:lineRule="auto"/>
              <w:rPr>
                <w:rFonts w:ascii="Arial"/>
                <w:sz w:val="21"/>
              </w:rPr>
            </w:pPr>
            <w:r/>
          </w:p>
          <w:p>
            <w:pPr>
              <w:pStyle w:val="TableText"/>
              <w:ind w:left="18" w:right="20"/>
              <w:spacing w:before="48" w:line="238" w:lineRule="auto"/>
              <w:rPr/>
            </w:pPr>
            <w:r>
              <w:rPr>
                <w:spacing w:val="15"/>
                <w:w w:val="113"/>
              </w:rPr>
              <w:t>2020年7月</w:t>
            </w:r>
            <w:r>
              <w:rPr>
                <w:spacing w:val="1"/>
              </w:rPr>
              <w:t xml:space="preserve"> </w:t>
            </w:r>
            <w:r>
              <w:rPr>
                <w:spacing w:val="8"/>
              </w:rPr>
              <w:t>15日</w:t>
            </w:r>
          </w:p>
        </w:tc>
        <w:tc>
          <w:tcPr>
            <w:tcW w:w="679" w:type="dxa"/>
            <w:vAlign w:val="top"/>
          </w:tcPr>
          <w:p>
            <w:pPr>
              <w:spacing w:line="292" w:lineRule="auto"/>
              <w:rPr>
                <w:rFonts w:ascii="Arial"/>
                <w:sz w:val="21"/>
              </w:rPr>
            </w:pPr>
            <w:r/>
          </w:p>
          <w:p>
            <w:pPr>
              <w:pStyle w:val="TableText"/>
              <w:ind w:left="38"/>
              <w:spacing w:before="49" w:line="219" w:lineRule="auto"/>
              <w:rPr/>
            </w:pPr>
            <w:r>
              <w:rPr>
                <w:spacing w:val="-2"/>
              </w:rPr>
              <w:t>指导意见</w:t>
            </w:r>
          </w:p>
        </w:tc>
        <w:tc>
          <w:tcPr>
            <w:tcW w:w="664" w:type="dxa"/>
            <w:vAlign w:val="top"/>
          </w:tcPr>
          <w:p>
            <w:pPr>
              <w:spacing w:line="292" w:lineRule="auto"/>
              <w:rPr>
                <w:rFonts w:ascii="Arial"/>
                <w:sz w:val="21"/>
              </w:rPr>
            </w:pPr>
            <w:r/>
          </w:p>
          <w:p>
            <w:pPr>
              <w:pStyle w:val="TableText"/>
              <w:ind w:left="30"/>
              <w:spacing w:before="49" w:line="219" w:lineRule="auto"/>
              <w:rPr/>
            </w:pPr>
            <w:r>
              <w:rPr>
                <w:spacing w:val="-2"/>
              </w:rPr>
              <w:t>行政优化</w:t>
            </w:r>
          </w:p>
        </w:tc>
      </w:tr>
    </w:tbl>
    <w:p>
      <w:pPr>
        <w:pStyle w:val="BodyText"/>
        <w:rPr/>
      </w:pPr>
      <w:r/>
    </w:p>
    <w:p>
      <w:pPr>
        <w:sectPr>
          <w:pgSz w:w="11910" w:h="8220"/>
          <w:pgMar w:top="400" w:right="1145" w:bottom="400" w:left="799" w:header="0" w:footer="0" w:gutter="0"/>
        </w:sectPr>
        <w:rPr/>
      </w:pPr>
    </w:p>
    <w:p>
      <w:pPr>
        <w:spacing w:before="51"/>
        <w:rPr/>
      </w:pPr>
      <w:r>
        <w:pict>
          <v:shape id="_x0000_s102" style="position:absolute;margin-left:38.9997pt;margin-top:51.1104pt;mso-position-vertical-relative:page;mso-position-horizontal-relative:page;width:8.85pt;height:11.9pt;z-index:251737088;" o:allowincell="f" filled="false" stroked="false" type="#_x0000_t202">
            <v:fill on="false"/>
            <v:stroke on="false"/>
            <v:path/>
            <v:imagedata o:title=""/>
            <o:lock v:ext="edit" aspectratio="false"/>
            <v:textbox inset="0mm,0mm,0mm,0mm">
              <w:txbxContent>
                <w:p>
                  <w:pPr>
                    <w:ind w:left="20"/>
                    <w:spacing w:before="20" w:line="197" w:lineRule="exact"/>
                    <w:rPr>
                      <w:rFonts w:ascii="Times New Roman" w:hAnsi="Times New Roman" w:eastAsia="Times New Roman" w:cs="Times New Roman"/>
                      <w:sz w:val="29"/>
                      <w:szCs w:val="29"/>
                    </w:rPr>
                  </w:pPr>
                  <w:r>
                    <w:rPr>
                      <w:rFonts w:ascii="Times New Roman" w:hAnsi="Times New Roman" w:eastAsia="Times New Roman" w:cs="Times New Roman"/>
                      <w:sz w:val="29"/>
                      <w:szCs w:val="29"/>
                      <w:position w:val="2"/>
                    </w:rPr>
                    <w:t>g</w:t>
                  </w:r>
                </w:p>
              </w:txbxContent>
            </v:textbox>
          </v:shape>
        </w:pict>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65"/>
        <w:gridCol w:w="2128"/>
        <w:gridCol w:w="909"/>
        <w:gridCol w:w="679"/>
        <w:gridCol w:w="6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496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3454" w:hRule="atLeast"/>
        </w:trPr>
        <w:tc>
          <w:tcPr>
            <w:tcW w:w="284"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5"/>
              <w:spacing w:before="48" w:line="184" w:lineRule="auto"/>
              <w:rPr/>
            </w:pPr>
            <w:r>
              <w:rPr>
                <w:spacing w:val="-5"/>
              </w:rPr>
              <w:t>12</w:t>
            </w:r>
          </w:p>
        </w:tc>
        <w:tc>
          <w:tcPr>
            <w:tcW w:w="4965" w:type="dxa"/>
            <w:vAlign w:val="top"/>
          </w:tcPr>
          <w:p>
            <w:pPr>
              <w:pStyle w:val="TableText"/>
              <w:ind w:left="21"/>
              <w:spacing w:before="76" w:line="219" w:lineRule="auto"/>
              <w:rPr/>
            </w:pPr>
            <w:r>
              <w:rPr/>
              <w:t>取消了石油天然气(含煤层气)对外合作项目总体开</w:t>
            </w:r>
            <w:r>
              <w:rPr>
                <w:spacing w:val="-1"/>
              </w:rPr>
              <w:t>发方案审批、国内干</w:t>
            </w:r>
          </w:p>
          <w:p>
            <w:pPr>
              <w:pStyle w:val="TableText"/>
              <w:ind w:left="31"/>
              <w:spacing w:before="22" w:line="219" w:lineRule="auto"/>
              <w:rPr/>
            </w:pPr>
            <w:r>
              <w:rPr/>
              <w:t>线传输网(含广播电视网)建设项目核准、出海船舶</w:t>
            </w:r>
            <w:r>
              <w:rPr>
                <w:spacing w:val="-1"/>
              </w:rPr>
              <w:t>户口簿核发、出海船</w:t>
            </w:r>
          </w:p>
          <w:p>
            <w:pPr>
              <w:pStyle w:val="TableText"/>
              <w:ind w:left="11" w:firstLine="59"/>
              <w:spacing w:before="20" w:line="242" w:lineRule="auto"/>
              <w:rPr/>
            </w:pPr>
            <w:r>
              <w:rPr>
                <w:spacing w:val="-2"/>
              </w:rPr>
              <w:t>民证核发、合资船船员登轮证核发、对台劳务人员登轮</w:t>
            </w:r>
            <w:r>
              <w:rPr>
                <w:spacing w:val="-3"/>
              </w:rPr>
              <w:t>作业证核发、假肢</w:t>
            </w:r>
            <w:r>
              <w:rPr/>
              <w:t xml:space="preserve">   </w:t>
            </w:r>
            <w:r>
              <w:rPr>
                <w:spacing w:val="-2"/>
              </w:rPr>
              <w:t>和矫形器(辅助器具)生产装配企业资格认定、海域使用论证单位资质认定   </w:t>
            </w:r>
            <w:r>
              <w:rPr>
                <w:spacing w:val="-2"/>
              </w:rPr>
              <w:t>设立、调整海洋观测站(点)审批、国际集装箱船、普通货船运输业务审批   </w:t>
            </w:r>
            <w:r>
              <w:rPr/>
              <w:t>从事内地与港澳间集装箱船、普通货船运输业务许可、无</w:t>
            </w:r>
            <w:r>
              <w:rPr>
                <w:spacing w:val="-1"/>
              </w:rPr>
              <w:t>船承运业务审批、</w:t>
            </w:r>
            <w:r>
              <w:rPr/>
              <w:t xml:space="preserve"> </w:t>
            </w:r>
            <w:r>
              <w:rPr>
                <w:spacing w:val="-1"/>
              </w:rPr>
              <w:t>国际船舶保安证书核发、船员服务簿签发、国际道路货物运输许可、道路</w:t>
            </w:r>
            <w:r>
              <w:rPr>
                <w:spacing w:val="6"/>
              </w:rPr>
              <w:t xml:space="preserve">   </w:t>
            </w:r>
            <w:r>
              <w:rPr>
                <w:spacing w:val="-1"/>
              </w:rPr>
              <w:t>货物运输站(场)经营许可、已经取得进口兽药注册证</w:t>
            </w:r>
            <w:r>
              <w:rPr>
                <w:spacing w:val="-2"/>
              </w:rPr>
              <w:t>书的兽用生物制品</w:t>
            </w:r>
          </w:p>
          <w:p>
            <w:pPr>
              <w:pStyle w:val="TableText"/>
              <w:ind w:left="70" w:hanging="59"/>
              <w:spacing w:before="23" w:line="237" w:lineRule="auto"/>
              <w:rPr/>
            </w:pPr>
            <w:r>
              <w:rPr/>
              <w:t>进口审批、饲料添加剂预混合饲料、混合型饲料添加剂产</w:t>
            </w:r>
            <w:r>
              <w:rPr>
                <w:spacing w:val="-1"/>
              </w:rPr>
              <w:t>品批准文号核发、</w:t>
            </w:r>
            <w:r>
              <w:rPr/>
              <w:t xml:space="preserve"> </w:t>
            </w:r>
            <w:r>
              <w:rPr>
                <w:spacing w:val="-3"/>
              </w:rPr>
              <w:t>新兽药临床试验审批、境内举办四种涉外经济技术</w:t>
            </w:r>
            <w:r>
              <w:rPr>
                <w:spacing w:val="-4"/>
              </w:rPr>
              <w:t>展览会〔1.再次举办已   </w:t>
            </w:r>
            <w:r>
              <w:rPr>
                <w:spacing w:val="-2"/>
              </w:rPr>
              <w:t>获批准冠名“中国”等字样的；2.国务院部门所属单位、中央企业或全国</w:t>
            </w:r>
          </w:p>
          <w:p>
            <w:pPr>
              <w:pStyle w:val="TableText"/>
              <w:ind w:left="90" w:right="126" w:firstLine="20"/>
              <w:spacing w:line="245" w:lineRule="auto"/>
              <w:rPr/>
            </w:pPr>
            <w:r>
              <w:rPr/>
              <w:t>性行业协会主办的；3.展期超过6个月的；4.港澳台</w:t>
            </w:r>
            <w:r>
              <w:rPr>
                <w:spacing w:val="-1"/>
              </w:rPr>
              <w:t>地区机构参与主办的</w:t>
            </w:r>
            <w:r>
              <w:rPr/>
              <w:t xml:space="preserve"> </w:t>
            </w:r>
            <w:r>
              <w:rPr/>
              <w:t>(包括海峡两岸经济技术展览会)〕办展项目审批、小型船舶往来香港</w:t>
            </w:r>
          </w:p>
          <w:p>
            <w:pPr>
              <w:pStyle w:val="TableText"/>
              <w:ind w:left="31"/>
              <w:spacing w:before="22" w:line="219" w:lineRule="auto"/>
              <w:rPr/>
            </w:pPr>
            <w:r>
              <w:rPr/>
              <w:t>澳门进行货物运输备案、长江驳运船舶转运海关监管</w:t>
            </w:r>
            <w:r>
              <w:rPr>
                <w:spacing w:val="-1"/>
              </w:rPr>
              <w:t>的进出口货物审批</w:t>
            </w:r>
          </w:p>
          <w:p>
            <w:pPr>
              <w:pStyle w:val="TableText"/>
              <w:spacing w:before="22" w:line="219" w:lineRule="auto"/>
              <w:jc w:val="right"/>
              <w:rPr/>
            </w:pPr>
            <w:r>
              <w:rPr>
                <w:spacing w:val="1"/>
              </w:rPr>
              <w:t>承运境内海关监管货物的运输企业、车辆注册、名称预先核准(包括企业、</w:t>
            </w:r>
          </w:p>
          <w:p>
            <w:pPr>
              <w:pStyle w:val="TableText"/>
              <w:ind w:left="31" w:right="127" w:firstLine="79"/>
              <w:spacing w:before="22" w:line="226" w:lineRule="auto"/>
              <w:rPr/>
            </w:pPr>
            <w:r>
              <w:rPr/>
              <w:t>企业集团、个体工商户、农民专业合作社名称预先</w:t>
            </w:r>
            <w:r>
              <w:rPr>
                <w:spacing w:val="-1"/>
              </w:rPr>
              <w:t>核准)、国产药品注册</w:t>
            </w:r>
            <w:r>
              <w:rPr/>
              <w:t xml:space="preserve"> </w:t>
            </w:r>
            <w:r>
              <w:rPr>
                <w:spacing w:val="-1"/>
              </w:rPr>
              <w:t>初审等25项行政审批事项。</w:t>
            </w:r>
          </w:p>
        </w:tc>
        <w:tc>
          <w:tcPr>
            <w:tcW w:w="2128" w:type="dxa"/>
            <w:vAlign w:val="top"/>
          </w:tcPr>
          <w:p>
            <w:pPr>
              <w:pStyle w:val="TableText"/>
              <w:ind w:left="15" w:right="76" w:firstLine="70"/>
              <w:spacing w:before="77" w:line="234" w:lineRule="auto"/>
              <w:rPr/>
            </w:pPr>
            <w:r>
              <w:rPr/>
              <w:t>国务院《关于取消和下放一批</w:t>
            </w:r>
            <w:r>
              <w:rPr>
                <w:spacing w:val="4"/>
              </w:rPr>
              <w:t xml:space="preserve"> </w:t>
            </w:r>
            <w:r>
              <w:rPr>
                <w:spacing w:val="-1"/>
              </w:rPr>
              <w:t>行政许可事项的决定》国发〔</w:t>
            </w:r>
            <w:r>
              <w:rPr>
                <w:spacing w:val="5"/>
              </w:rPr>
              <w:t xml:space="preserve">  </w:t>
            </w:r>
            <w:r>
              <w:rPr>
                <w:spacing w:val="-1"/>
              </w:rPr>
              <w:t>2019]6号</w:t>
            </w:r>
          </w:p>
        </w:tc>
        <w:tc>
          <w:tcPr>
            <w:tcW w:w="909" w:type="dxa"/>
            <w:vAlign w:val="top"/>
          </w:tcPr>
          <w:p>
            <w:pPr>
              <w:pStyle w:val="TableText"/>
              <w:ind w:left="18" w:right="20" w:firstLine="29"/>
              <w:spacing w:before="77" w:line="233" w:lineRule="auto"/>
              <w:rPr/>
            </w:pPr>
            <w:r>
              <w:rPr>
                <w:spacing w:val="22"/>
              </w:rPr>
              <w:t>2019年2月</w:t>
            </w:r>
            <w:r>
              <w:rPr/>
              <w:t xml:space="preserve"> </w:t>
            </w:r>
            <w:r>
              <w:rPr>
                <w:spacing w:val="-2"/>
              </w:rPr>
              <w:t>27日起</w:t>
            </w:r>
          </w:p>
        </w:tc>
        <w:tc>
          <w:tcPr>
            <w:tcW w:w="679" w:type="dxa"/>
            <w:vAlign w:val="top"/>
          </w:tcPr>
          <w:p>
            <w:pPr>
              <w:pStyle w:val="TableText"/>
              <w:ind w:left="38"/>
              <w:spacing w:before="77" w:line="219" w:lineRule="auto"/>
              <w:rPr/>
            </w:pPr>
            <w:r>
              <w:rPr>
                <w:spacing w:val="-2"/>
              </w:rPr>
              <w:t>行政决定</w:t>
            </w:r>
          </w:p>
        </w:tc>
        <w:tc>
          <w:tcPr>
            <w:tcW w:w="664" w:type="dxa"/>
            <w:vAlign w:val="top"/>
          </w:tcPr>
          <w:p>
            <w:pPr>
              <w:pStyle w:val="TableText"/>
              <w:ind w:left="30"/>
              <w:spacing w:before="77" w:line="220" w:lineRule="auto"/>
              <w:rPr/>
            </w:pPr>
            <w:r>
              <w:rPr>
                <w:spacing w:val="3"/>
              </w:rPr>
              <w:t>行政取消</w:t>
            </w:r>
          </w:p>
        </w:tc>
      </w:tr>
      <w:tr>
        <w:trPr>
          <w:trHeight w:val="848" w:hRule="atLeast"/>
        </w:trPr>
        <w:tc>
          <w:tcPr>
            <w:tcW w:w="284" w:type="dxa"/>
            <w:vAlign w:val="top"/>
          </w:tcPr>
          <w:p>
            <w:pPr>
              <w:spacing w:line="340" w:lineRule="auto"/>
              <w:rPr>
                <w:rFonts w:ascii="Arial"/>
                <w:sz w:val="21"/>
              </w:rPr>
            </w:pPr>
            <w:r/>
          </w:p>
          <w:p>
            <w:pPr>
              <w:pStyle w:val="TableText"/>
              <w:ind w:left="55"/>
              <w:spacing w:before="48" w:line="184" w:lineRule="auto"/>
              <w:rPr/>
            </w:pPr>
            <w:r>
              <w:rPr>
                <w:spacing w:val="-5"/>
              </w:rPr>
              <w:t>13</w:t>
            </w:r>
          </w:p>
        </w:tc>
        <w:tc>
          <w:tcPr>
            <w:tcW w:w="4965" w:type="dxa"/>
            <w:vAlign w:val="top"/>
          </w:tcPr>
          <w:p>
            <w:pPr>
              <w:pStyle w:val="TableText"/>
              <w:ind w:left="31" w:right="71" w:firstLine="119"/>
              <w:spacing w:before="72" w:line="234" w:lineRule="auto"/>
              <w:rPr/>
            </w:pPr>
            <w:r>
              <w:rPr/>
              <w:t>征占地面积不足0.5公顷且挖填土石方总量不足1千</w:t>
            </w:r>
            <w:r>
              <w:rPr>
                <w:spacing w:val="-1"/>
              </w:rPr>
              <w:t>立方米的项目，不再</w:t>
            </w:r>
            <w:r>
              <w:rPr/>
              <w:t xml:space="preserve">  </w:t>
            </w:r>
            <w:r>
              <w:rPr>
                <w:spacing w:val="2"/>
              </w:rPr>
              <w:t>办理水土保持方案审批手续，生产建设单位</w:t>
            </w:r>
            <w:r>
              <w:rPr>
                <w:spacing w:val="1"/>
              </w:rPr>
              <w:t>和个人依法做好水土流失防治</w:t>
            </w:r>
            <w:r>
              <w:rPr/>
              <w:t xml:space="preserve"> </w:t>
            </w:r>
            <w:r>
              <w:rPr>
                <w:spacing w:val="-2"/>
              </w:rPr>
              <w:t>工作。</w:t>
            </w:r>
          </w:p>
        </w:tc>
        <w:tc>
          <w:tcPr>
            <w:tcW w:w="2128" w:type="dxa"/>
            <w:vAlign w:val="top"/>
          </w:tcPr>
          <w:p>
            <w:pPr>
              <w:pStyle w:val="TableText"/>
              <w:ind w:left="15" w:right="53" w:firstLine="70"/>
              <w:spacing w:before="73" w:line="234" w:lineRule="auto"/>
              <w:jc w:val="both"/>
              <w:rPr/>
            </w:pPr>
            <w:r>
              <w:rPr>
                <w:spacing w:val="-1"/>
              </w:rPr>
              <w:t>水利部《关于进一步深化“放</w:t>
            </w:r>
            <w:r>
              <w:rPr>
                <w:spacing w:val="4"/>
              </w:rPr>
              <w:t xml:space="preserve"> </w:t>
            </w:r>
            <w:r>
              <w:rPr>
                <w:spacing w:val="4"/>
              </w:rPr>
              <w:t>管服”改革全面加强水土保持</w:t>
            </w:r>
            <w:r>
              <w:rPr>
                <w:spacing w:val="7"/>
              </w:rPr>
              <w:t xml:space="preserve"> </w:t>
            </w:r>
            <w:r>
              <w:rPr>
                <w:spacing w:val="1"/>
              </w:rPr>
              <w:t>监管的意见》水保〔2019〕160</w:t>
            </w:r>
            <w:r>
              <w:rPr>
                <w:spacing w:val="5"/>
              </w:rPr>
              <w:t xml:space="preserve"> </w:t>
            </w:r>
            <w:r>
              <w:rPr/>
              <w:t>号</w:t>
            </w:r>
          </w:p>
        </w:tc>
        <w:tc>
          <w:tcPr>
            <w:tcW w:w="909" w:type="dxa"/>
            <w:vAlign w:val="top"/>
          </w:tcPr>
          <w:p>
            <w:pPr>
              <w:pStyle w:val="TableText"/>
              <w:ind w:left="18" w:right="10" w:firstLine="19"/>
              <w:spacing w:before="52"/>
              <w:rPr/>
            </w:pPr>
            <w:r>
              <w:rPr>
                <w:spacing w:val="17"/>
                <w:w w:val="108"/>
              </w:rPr>
              <w:t>2019年5月</w:t>
            </w:r>
            <w:r>
              <w:rPr>
                <w:spacing w:val="1"/>
              </w:rPr>
              <w:t xml:space="preserve"> </w:t>
            </w:r>
            <w:r>
              <w:rPr>
                <w:spacing w:val="-2"/>
              </w:rPr>
              <w:t>31日起</w:t>
            </w:r>
          </w:p>
        </w:tc>
        <w:tc>
          <w:tcPr>
            <w:tcW w:w="679" w:type="dxa"/>
            <w:vAlign w:val="top"/>
          </w:tcPr>
          <w:p>
            <w:pPr>
              <w:pStyle w:val="TableText"/>
              <w:ind w:left="38"/>
              <w:spacing w:before="53" w:line="219" w:lineRule="auto"/>
              <w:rPr/>
            </w:pPr>
            <w:r>
              <w:rPr>
                <w:spacing w:val="-2"/>
              </w:rPr>
              <w:t>指导意见</w:t>
            </w:r>
          </w:p>
        </w:tc>
        <w:tc>
          <w:tcPr>
            <w:tcW w:w="664" w:type="dxa"/>
            <w:vAlign w:val="top"/>
          </w:tcPr>
          <w:p>
            <w:pPr>
              <w:pStyle w:val="TableText"/>
              <w:ind w:left="30"/>
              <w:spacing w:before="53" w:line="219" w:lineRule="auto"/>
              <w:rPr/>
            </w:pPr>
            <w:r>
              <w:rPr>
                <w:spacing w:val="-2"/>
              </w:rPr>
              <w:t>指导文件</w:t>
            </w:r>
          </w:p>
        </w:tc>
      </w:tr>
      <w:tr>
        <w:trPr>
          <w:trHeight w:val="709" w:hRule="atLeast"/>
        </w:trPr>
        <w:tc>
          <w:tcPr>
            <w:tcW w:w="284" w:type="dxa"/>
            <w:vAlign w:val="top"/>
          </w:tcPr>
          <w:p>
            <w:pPr>
              <w:spacing w:line="272" w:lineRule="auto"/>
              <w:rPr>
                <w:rFonts w:ascii="Arial"/>
                <w:sz w:val="21"/>
              </w:rPr>
            </w:pPr>
            <w:r/>
          </w:p>
          <w:p>
            <w:pPr>
              <w:pStyle w:val="TableText"/>
              <w:ind w:left="55"/>
              <w:spacing w:before="49" w:line="184" w:lineRule="auto"/>
              <w:rPr/>
            </w:pPr>
            <w:r>
              <w:rPr>
                <w:spacing w:val="-5"/>
              </w:rPr>
              <w:t>14</w:t>
            </w:r>
          </w:p>
        </w:tc>
        <w:tc>
          <w:tcPr>
            <w:tcW w:w="4965" w:type="dxa"/>
            <w:vAlign w:val="top"/>
          </w:tcPr>
          <w:p>
            <w:pPr>
              <w:pStyle w:val="TableText"/>
              <w:ind w:left="31" w:right="89" w:firstLine="79"/>
              <w:spacing w:before="94" w:line="229" w:lineRule="auto"/>
              <w:jc w:val="both"/>
              <w:rPr/>
            </w:pPr>
            <w:r>
              <w:rPr/>
              <w:t>将项目编码26021的许可事项“进出口商品检验鉴定业务的</w:t>
            </w:r>
            <w:r>
              <w:rPr>
                <w:spacing w:val="-1"/>
              </w:rPr>
              <w:t>检验许可”审</w:t>
            </w:r>
            <w:r>
              <w:rPr/>
              <w:t xml:space="preserve"> </w:t>
            </w:r>
            <w:r>
              <w:rPr>
                <w:spacing w:val="1"/>
              </w:rPr>
              <w:t>批时限压缩至13个工作日，即自受理进出口商品检验鉴定业务的检验许可</w:t>
            </w:r>
            <w:r>
              <w:rPr/>
              <w:t xml:space="preserve"> </w:t>
            </w:r>
            <w:r>
              <w:rPr/>
              <w:t>申请之日起，13个工作日内作出行政许可决定</w:t>
            </w:r>
          </w:p>
        </w:tc>
        <w:tc>
          <w:tcPr>
            <w:tcW w:w="2128" w:type="dxa"/>
            <w:vAlign w:val="top"/>
          </w:tcPr>
          <w:p>
            <w:pPr>
              <w:pStyle w:val="TableText"/>
              <w:ind w:left="15" w:right="75" w:firstLine="70"/>
              <w:spacing w:before="75" w:line="238" w:lineRule="auto"/>
              <w:rPr/>
            </w:pPr>
            <w:r>
              <w:rPr/>
              <w:t>国务院《关于在全国推开“证</w:t>
            </w:r>
            <w:r>
              <w:rPr>
                <w:spacing w:val="5"/>
              </w:rPr>
              <w:t xml:space="preserve"> </w:t>
            </w:r>
            <w:r>
              <w:rPr/>
              <w:t>照分离”改革的通知》国发〔  </w:t>
            </w:r>
            <w:r>
              <w:rPr>
                <w:spacing w:val="-1"/>
              </w:rPr>
              <w:t>2018〕35号</w:t>
            </w:r>
          </w:p>
        </w:tc>
        <w:tc>
          <w:tcPr>
            <w:tcW w:w="909" w:type="dxa"/>
            <w:vAlign w:val="top"/>
          </w:tcPr>
          <w:p>
            <w:pPr>
              <w:pStyle w:val="TableText"/>
              <w:ind w:left="18" w:right="10" w:firstLine="19"/>
              <w:spacing w:before="74" w:line="238" w:lineRule="auto"/>
              <w:rPr/>
            </w:pPr>
            <w:r>
              <w:rPr>
                <w:spacing w:val="16"/>
                <w:w w:val="109"/>
              </w:rPr>
              <w:t>2018年9月</w:t>
            </w:r>
            <w:r>
              <w:rPr>
                <w:spacing w:val="1"/>
              </w:rPr>
              <w:t xml:space="preserve"> </w:t>
            </w:r>
            <w:r>
              <w:rPr>
                <w:spacing w:val="8"/>
              </w:rPr>
              <w:t>27日</w:t>
            </w:r>
          </w:p>
        </w:tc>
        <w:tc>
          <w:tcPr>
            <w:tcW w:w="679" w:type="dxa"/>
            <w:vAlign w:val="top"/>
          </w:tcPr>
          <w:p>
            <w:pPr>
              <w:pStyle w:val="TableText"/>
              <w:ind w:left="38"/>
              <w:spacing w:before="75" w:line="220" w:lineRule="auto"/>
              <w:rPr/>
            </w:pPr>
            <w:r>
              <w:rPr>
                <w:spacing w:val="-2"/>
              </w:rPr>
              <w:t>行政通知</w:t>
            </w:r>
          </w:p>
        </w:tc>
        <w:tc>
          <w:tcPr>
            <w:tcW w:w="664" w:type="dxa"/>
            <w:vAlign w:val="top"/>
          </w:tcPr>
          <w:p>
            <w:pPr>
              <w:pStyle w:val="TableText"/>
              <w:ind w:left="30"/>
              <w:spacing w:before="65" w:line="219" w:lineRule="auto"/>
              <w:rPr/>
            </w:pPr>
            <w:r>
              <w:rPr>
                <w:spacing w:val="-2"/>
              </w:rPr>
              <w:t>行政优化</w:t>
            </w:r>
          </w:p>
        </w:tc>
      </w:tr>
      <w:tr>
        <w:trPr>
          <w:trHeight w:val="714" w:hRule="atLeast"/>
        </w:trPr>
        <w:tc>
          <w:tcPr>
            <w:tcW w:w="284" w:type="dxa"/>
            <w:vAlign w:val="top"/>
          </w:tcPr>
          <w:p>
            <w:pPr>
              <w:spacing w:line="273" w:lineRule="auto"/>
              <w:rPr>
                <w:rFonts w:ascii="Arial"/>
                <w:sz w:val="21"/>
              </w:rPr>
            </w:pPr>
            <w:r/>
          </w:p>
          <w:p>
            <w:pPr>
              <w:pStyle w:val="TableText"/>
              <w:ind w:left="55"/>
              <w:spacing w:before="49" w:line="184" w:lineRule="auto"/>
              <w:rPr/>
            </w:pPr>
            <w:r>
              <w:rPr>
                <w:spacing w:val="-5"/>
              </w:rPr>
              <w:t>15</w:t>
            </w:r>
          </w:p>
        </w:tc>
        <w:tc>
          <w:tcPr>
            <w:tcW w:w="4965" w:type="dxa"/>
            <w:vAlign w:val="top"/>
          </w:tcPr>
          <w:p>
            <w:pPr>
              <w:pStyle w:val="TableText"/>
              <w:ind w:left="41" w:right="129" w:firstLine="69"/>
              <w:spacing w:before="96" w:line="237" w:lineRule="auto"/>
              <w:rPr/>
            </w:pPr>
            <w:r>
              <w:rPr/>
              <w:t>决定将项目编码26003的许可事项“口岸卫生</w:t>
            </w:r>
            <w:r>
              <w:rPr>
                <w:spacing w:val="-1"/>
              </w:rPr>
              <w:t>许可证核发”审批时限压缩</w:t>
            </w:r>
            <w:r>
              <w:rPr/>
              <w:t xml:space="preserve"> </w:t>
            </w:r>
            <w:r>
              <w:rPr/>
              <w:t>至13个工作日，各主管海关应当自受理国境口岸卫生许可申请之日起13   </w:t>
            </w:r>
            <w:r>
              <w:rPr>
                <w:spacing w:val="-1"/>
              </w:rPr>
              <w:t>个工作日内作出行政许可决定</w:t>
            </w:r>
          </w:p>
        </w:tc>
        <w:tc>
          <w:tcPr>
            <w:tcW w:w="2128" w:type="dxa"/>
            <w:vAlign w:val="top"/>
          </w:tcPr>
          <w:p>
            <w:pPr>
              <w:pStyle w:val="TableText"/>
              <w:ind w:left="15" w:right="75" w:firstLine="70"/>
              <w:spacing w:before="96" w:line="234" w:lineRule="auto"/>
              <w:jc w:val="both"/>
              <w:rPr/>
            </w:pPr>
            <w:r>
              <w:rPr/>
              <w:t>国务院《关于在全国推开“证</w:t>
            </w:r>
            <w:r>
              <w:rPr>
                <w:spacing w:val="5"/>
              </w:rPr>
              <w:t xml:space="preserve"> </w:t>
            </w:r>
            <w:r>
              <w:rPr>
                <w:spacing w:val="5"/>
              </w:rPr>
              <w:t>照分离”改革的通知》国发〔</w:t>
            </w:r>
            <w:r>
              <w:rPr>
                <w:spacing w:val="4"/>
              </w:rPr>
              <w:t xml:space="preserve"> </w:t>
            </w:r>
            <w:r>
              <w:rPr>
                <w:spacing w:val="-1"/>
              </w:rPr>
              <w:t>2018〕35号</w:t>
            </w:r>
          </w:p>
        </w:tc>
        <w:tc>
          <w:tcPr>
            <w:tcW w:w="909" w:type="dxa"/>
            <w:vAlign w:val="top"/>
          </w:tcPr>
          <w:p>
            <w:pPr>
              <w:pStyle w:val="TableText"/>
              <w:ind w:left="37" w:right="10"/>
              <w:spacing w:before="66" w:line="244" w:lineRule="auto"/>
              <w:rPr/>
            </w:pPr>
            <w:r>
              <w:rPr>
                <w:spacing w:val="19"/>
                <w:w w:val="106"/>
              </w:rPr>
              <w:t>2019年1月</w:t>
            </w:r>
            <w:r>
              <w:rPr/>
              <w:t xml:space="preserve"> </w:t>
            </w:r>
            <w:r>
              <w:rPr>
                <w:spacing w:val="-8"/>
              </w:rPr>
              <w:t>1 日</w:t>
            </w:r>
          </w:p>
        </w:tc>
        <w:tc>
          <w:tcPr>
            <w:tcW w:w="679" w:type="dxa"/>
            <w:vAlign w:val="top"/>
          </w:tcPr>
          <w:p>
            <w:pPr>
              <w:pStyle w:val="TableText"/>
              <w:ind w:left="38"/>
              <w:spacing w:before="76" w:line="220" w:lineRule="auto"/>
              <w:rPr/>
            </w:pPr>
            <w:r>
              <w:rPr>
                <w:spacing w:val="-2"/>
              </w:rPr>
              <w:t>行政通知</w:t>
            </w:r>
          </w:p>
        </w:tc>
        <w:tc>
          <w:tcPr>
            <w:tcW w:w="664" w:type="dxa"/>
            <w:vAlign w:val="top"/>
          </w:tcPr>
          <w:p>
            <w:pPr>
              <w:pStyle w:val="TableText"/>
              <w:ind w:left="30"/>
              <w:spacing w:before="76" w:line="219" w:lineRule="auto"/>
              <w:rPr/>
            </w:pPr>
            <w:r>
              <w:rPr>
                <w:spacing w:val="-2"/>
              </w:rPr>
              <w:t>行政优化</w:t>
            </w:r>
          </w:p>
        </w:tc>
      </w:tr>
    </w:tbl>
    <w:p>
      <w:pPr>
        <w:pStyle w:val="BodyText"/>
        <w:rPr/>
      </w:pPr>
      <w:r/>
    </w:p>
    <w:p>
      <w:pPr>
        <w:sectPr>
          <w:pgSz w:w="11910" w:h="8220"/>
          <w:pgMar w:top="400" w:right="1155" w:bottom="400" w:left="799" w:header="0" w:footer="0" w:gutter="0"/>
        </w:sectPr>
        <w:rPr/>
      </w:pPr>
    </w:p>
    <w:p>
      <w:pPr>
        <w:spacing w:before="203"/>
        <w:rPr/>
      </w:pPr>
      <w:r>
        <w:drawing>
          <wp:anchor distT="0" distB="0" distL="0" distR="0" simplePos="0" relativeHeight="251738112" behindDoc="0" locked="0" layoutInCell="0" allowOverlap="1">
            <wp:simplePos x="0" y="0"/>
            <wp:positionH relativeFrom="page">
              <wp:posOffset>507996</wp:posOffset>
            </wp:positionH>
            <wp:positionV relativeFrom="page">
              <wp:posOffset>4425940</wp:posOffset>
            </wp:positionV>
            <wp:extent cx="114274" cy="120679"/>
            <wp:effectExtent l="0" t="0" r="0" b="0"/>
            <wp:wrapNone/>
            <wp:docPr id="48" name="IM 48"/>
            <wp:cNvGraphicFramePr/>
            <a:graphic>
              <a:graphicData uri="http://schemas.openxmlformats.org/drawingml/2006/picture">
                <pic:pic>
                  <pic:nvPicPr>
                    <pic:cNvPr id="48" name="IM 48"/>
                    <pic:cNvPicPr/>
                  </pic:nvPicPr>
                  <pic:blipFill>
                    <a:blip r:embed="rId27"/>
                    <a:stretch>
                      <a:fillRect/>
                    </a:stretch>
                  </pic:blipFill>
                  <pic:spPr>
                    <a:xfrm rot="0">
                      <a:off x="0" y="0"/>
                      <a:ext cx="114274" cy="120679"/>
                    </a:xfrm>
                    <a:prstGeom prst="rect">
                      <a:avLst/>
                    </a:prstGeom>
                  </pic:spPr>
                </pic:pic>
              </a:graphicData>
            </a:graphic>
          </wp:anchor>
        </w:drawing>
      </w: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45"/>
        <w:gridCol w:w="2138"/>
        <w:gridCol w:w="909"/>
        <w:gridCol w:w="679"/>
        <w:gridCol w:w="67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4945" w:type="dxa"/>
            <w:vAlign w:val="top"/>
          </w:tcPr>
          <w:p>
            <w:pPr>
              <w:pStyle w:val="TableText"/>
              <w:ind w:left="2191"/>
              <w:spacing w:before="171" w:line="219" w:lineRule="auto"/>
              <w:rPr/>
            </w:pPr>
            <w:r>
              <w:rPr>
                <w:spacing w:val="-2"/>
              </w:rPr>
              <w:t>主要内容</w:t>
            </w:r>
          </w:p>
        </w:tc>
        <w:tc>
          <w:tcPr>
            <w:tcW w:w="2138" w:type="dxa"/>
            <w:vAlign w:val="top"/>
          </w:tcPr>
          <w:p>
            <w:pPr>
              <w:pStyle w:val="TableText"/>
              <w:ind w:left="76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74" w:type="dxa"/>
            <w:vAlign w:val="top"/>
          </w:tcPr>
          <w:p>
            <w:pPr>
              <w:pStyle w:val="TableText"/>
              <w:ind w:left="30"/>
              <w:spacing w:before="171" w:line="220" w:lineRule="auto"/>
              <w:rPr/>
            </w:pPr>
            <w:r>
              <w:rPr>
                <w:spacing w:val="-1"/>
              </w:rPr>
              <w:t>政策形式</w:t>
            </w:r>
          </w:p>
        </w:tc>
      </w:tr>
      <w:tr>
        <w:trPr>
          <w:trHeight w:val="838" w:hRule="atLeast"/>
        </w:trPr>
        <w:tc>
          <w:tcPr>
            <w:tcW w:w="284" w:type="dxa"/>
            <w:vAlign w:val="top"/>
          </w:tcPr>
          <w:p>
            <w:pPr>
              <w:spacing w:line="334" w:lineRule="auto"/>
              <w:rPr>
                <w:rFonts w:ascii="Arial"/>
                <w:sz w:val="21"/>
              </w:rPr>
            </w:pPr>
            <w:r/>
          </w:p>
          <w:p>
            <w:pPr>
              <w:pStyle w:val="TableText"/>
              <w:ind w:left="55"/>
              <w:spacing w:before="48" w:line="184" w:lineRule="auto"/>
              <w:rPr/>
            </w:pPr>
            <w:r>
              <w:rPr>
                <w:spacing w:val="-5"/>
              </w:rPr>
              <w:t>16</w:t>
            </w:r>
          </w:p>
        </w:tc>
        <w:tc>
          <w:tcPr>
            <w:tcW w:w="4945" w:type="dxa"/>
            <w:vAlign w:val="top"/>
          </w:tcPr>
          <w:p>
            <w:pPr>
              <w:pStyle w:val="TableText"/>
              <w:ind w:left="31"/>
              <w:spacing w:before="75" w:line="218" w:lineRule="auto"/>
              <w:rPr/>
            </w:pPr>
            <w:r>
              <w:rPr>
                <w:spacing w:val="-1"/>
              </w:rPr>
              <w:t>取消了建设项目环境影响评价资质行政许可事项</w:t>
            </w:r>
          </w:p>
        </w:tc>
        <w:tc>
          <w:tcPr>
            <w:tcW w:w="2138" w:type="dxa"/>
            <w:vAlign w:val="top"/>
          </w:tcPr>
          <w:p>
            <w:pPr>
              <w:pStyle w:val="TableText"/>
              <w:ind w:right="63" w:firstLine="113"/>
              <w:spacing w:before="77" w:line="231" w:lineRule="auto"/>
              <w:jc w:val="both"/>
              <w:rPr/>
            </w:pPr>
            <w:r>
              <w:rPr>
                <w:spacing w:val="-3"/>
              </w:rPr>
              <w:t>全国人民代表大会常务委员会</w:t>
            </w:r>
            <w:r>
              <w:rPr>
                <w:spacing w:val="5"/>
              </w:rPr>
              <w:t xml:space="preserve"> </w:t>
            </w:r>
            <w:r>
              <w:rPr>
                <w:spacing w:val="-4"/>
              </w:rPr>
              <w:t>《关于修改《中华人民共和国劳</w:t>
            </w:r>
            <w:r>
              <w:rPr>
                <w:spacing w:val="11"/>
              </w:rPr>
              <w:t xml:space="preserve"> </w:t>
            </w:r>
            <w:r>
              <w:rPr>
                <w:spacing w:val="2"/>
              </w:rPr>
              <w:t>动法)等七部法律的决定》中华</w:t>
            </w:r>
            <w:r>
              <w:rPr>
                <w:spacing w:val="10"/>
              </w:rPr>
              <w:t xml:space="preserve"> </w:t>
            </w:r>
            <w:r>
              <w:rPr>
                <w:spacing w:val="6"/>
              </w:rPr>
              <w:t>人民共和国主席令第二十四号</w:t>
            </w:r>
          </w:p>
        </w:tc>
        <w:tc>
          <w:tcPr>
            <w:tcW w:w="909" w:type="dxa"/>
            <w:vAlign w:val="top"/>
          </w:tcPr>
          <w:p>
            <w:pPr>
              <w:pStyle w:val="TableText"/>
              <w:ind w:left="27" w:right="20" w:firstLine="20"/>
              <w:spacing w:before="76" w:line="232" w:lineRule="auto"/>
              <w:rPr/>
            </w:pPr>
            <w:r>
              <w:rPr>
                <w:spacing w:val="22"/>
              </w:rPr>
              <w:t>2019年1月</w:t>
            </w:r>
            <w:r>
              <w:rPr/>
              <w:t xml:space="preserve"> </w:t>
            </w:r>
            <w:r>
              <w:rPr>
                <w:spacing w:val="9"/>
              </w:rPr>
              <w:t>19日</w:t>
            </w:r>
          </w:p>
        </w:tc>
        <w:tc>
          <w:tcPr>
            <w:tcW w:w="679" w:type="dxa"/>
            <w:vAlign w:val="top"/>
          </w:tcPr>
          <w:p>
            <w:pPr>
              <w:pStyle w:val="TableText"/>
              <w:ind w:left="108"/>
              <w:spacing w:before="56" w:line="219" w:lineRule="auto"/>
              <w:rPr/>
            </w:pPr>
            <w:r>
              <w:rPr>
                <w:spacing w:val="-2"/>
              </w:rPr>
              <w:t>行政令</w:t>
            </w:r>
          </w:p>
        </w:tc>
        <w:tc>
          <w:tcPr>
            <w:tcW w:w="674" w:type="dxa"/>
            <w:vAlign w:val="top"/>
          </w:tcPr>
          <w:p>
            <w:pPr>
              <w:pStyle w:val="TableText"/>
              <w:ind w:left="30"/>
              <w:spacing w:before="77" w:line="220" w:lineRule="auto"/>
              <w:rPr/>
            </w:pPr>
            <w:r>
              <w:rPr>
                <w:spacing w:val="3"/>
              </w:rPr>
              <w:t>行政取消</w:t>
            </w:r>
          </w:p>
        </w:tc>
      </w:tr>
      <w:tr>
        <w:trPr>
          <w:trHeight w:val="2676" w:hRule="atLeast"/>
        </w:trPr>
        <w:tc>
          <w:tcPr>
            <w:tcW w:w="28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5"/>
              <w:spacing w:before="49" w:line="184" w:lineRule="auto"/>
              <w:rPr/>
            </w:pPr>
            <w:r>
              <w:rPr>
                <w:spacing w:val="-5"/>
              </w:rPr>
              <w:t>17</w:t>
            </w:r>
          </w:p>
        </w:tc>
        <w:tc>
          <w:tcPr>
            <w:tcW w:w="4945" w:type="dxa"/>
            <w:vAlign w:val="top"/>
          </w:tcPr>
          <w:p>
            <w:pPr>
              <w:pStyle w:val="TableText"/>
              <w:ind w:left="31" w:right="110"/>
              <w:spacing w:before="87" w:line="236" w:lineRule="auto"/>
              <w:jc w:val="both"/>
              <w:rPr/>
            </w:pPr>
            <w:r>
              <w:rPr/>
              <w:t>合并规划选址和用地预审。将建设项目选址意见书、建</w:t>
            </w:r>
            <w:r>
              <w:rPr>
                <w:spacing w:val="-1"/>
              </w:rPr>
              <w:t>设项目用地预审意</w:t>
            </w:r>
            <w:r>
              <w:rPr/>
              <w:t xml:space="preserve"> </w:t>
            </w:r>
            <w:r>
              <w:rPr/>
              <w:t>见合并，自然资源主管部门统一核发建设项目用地预审与选址意见书(见</w:t>
            </w:r>
            <w:r>
              <w:rPr>
                <w:spacing w:val="5"/>
              </w:rPr>
              <w:t xml:space="preserve">  </w:t>
            </w:r>
            <w:r>
              <w:rPr/>
              <w:t>附件1),不再单独核发建设项目选址意见书、建设项目用地预审意</w:t>
            </w:r>
            <w:r>
              <w:rPr>
                <w:spacing w:val="-1"/>
              </w:rPr>
              <w:t>见。</w:t>
            </w:r>
          </w:p>
          <w:p>
            <w:pPr>
              <w:pStyle w:val="TableText"/>
              <w:ind w:left="31" w:right="1"/>
              <w:spacing w:before="25" w:line="237" w:lineRule="auto"/>
              <w:rPr/>
            </w:pPr>
            <w:r>
              <w:rPr>
                <w:spacing w:val="-1"/>
              </w:rPr>
              <w:t>合并建设用地规划许可和用地批准。将建设用地规划许可证、建设用地批  </w:t>
            </w:r>
            <w:r>
              <w:rPr>
                <w:spacing w:val="1"/>
              </w:rPr>
              <w:t>准书合并，自然资源主管部门统一核发新的建设用地规划许</w:t>
            </w:r>
            <w:r>
              <w:rPr/>
              <w:t>可证(见附件2) </w:t>
            </w:r>
            <w:r>
              <w:rPr>
                <w:spacing w:val="-1"/>
              </w:rPr>
              <w:t>不再单独核发建设用地批准书。</w:t>
            </w:r>
          </w:p>
          <w:p>
            <w:pPr>
              <w:pStyle w:val="TableText"/>
              <w:ind w:left="11" w:right="106"/>
              <w:spacing w:before="22" w:line="241" w:lineRule="auto"/>
              <w:rPr/>
            </w:pPr>
            <w:r>
              <w:rPr/>
              <w:t>推进多测整合、多验合一。以统一规范标准、强化成果共</w:t>
            </w:r>
            <w:r>
              <w:rPr>
                <w:spacing w:val="-1"/>
              </w:rPr>
              <w:t>享为重点，将建</w:t>
            </w:r>
            <w:r>
              <w:rPr/>
              <w:t xml:space="preserve"> </w:t>
            </w:r>
            <w:r>
              <w:rPr/>
              <w:t>设用地审批、城乡规划许可、规划核实、竣工验收和不动产登记等多项测</w:t>
            </w:r>
            <w:r>
              <w:rPr>
                <w:spacing w:val="11"/>
              </w:rPr>
              <w:t xml:space="preserve"> </w:t>
            </w:r>
            <w:r>
              <w:rPr>
                <w:spacing w:val="5"/>
              </w:rPr>
              <w:t>绘业务整合，归口成果管理，推进“多测合并、联合测绘、成果共享”</w:t>
            </w:r>
            <w:r>
              <w:rPr>
                <w:spacing w:val="11"/>
              </w:rPr>
              <w:t xml:space="preserve"> </w:t>
            </w:r>
            <w:r>
              <w:rPr/>
              <w:t>不得重复审核和要求建设单位或者个人多次提交对同一标的物的测绘成果</w:t>
            </w:r>
            <w:r>
              <w:rPr>
                <w:spacing w:val="10"/>
              </w:rPr>
              <w:t xml:space="preserve"> </w:t>
            </w:r>
            <w:r>
              <w:rPr/>
              <w:t>确有需要的，可以进行核实更新和补充测绘。在建设项目竣工验收阶段</w:t>
            </w:r>
          </w:p>
          <w:p>
            <w:pPr>
              <w:pStyle w:val="TableText"/>
              <w:ind w:left="31" w:right="128" w:hanging="20"/>
              <w:spacing w:before="31" w:line="226" w:lineRule="auto"/>
              <w:rPr/>
            </w:pPr>
            <w:r>
              <w:rPr/>
              <w:t>将自然资源主管部门负责的规划核实、土地核验、不动产测</w:t>
            </w:r>
            <w:r>
              <w:rPr>
                <w:spacing w:val="-1"/>
              </w:rPr>
              <w:t>绘等合并为一</w:t>
            </w:r>
            <w:r>
              <w:rPr/>
              <w:t xml:space="preserve"> </w:t>
            </w:r>
            <w:r>
              <w:rPr>
                <w:spacing w:val="-1"/>
              </w:rPr>
              <w:t>个验收事项。</w:t>
            </w:r>
          </w:p>
        </w:tc>
        <w:tc>
          <w:tcPr>
            <w:tcW w:w="2138" w:type="dxa"/>
            <w:vAlign w:val="top"/>
          </w:tcPr>
          <w:p>
            <w:pPr>
              <w:pStyle w:val="TableText"/>
              <w:ind w:left="15" w:firstLine="67"/>
              <w:spacing w:before="88"/>
              <w:rPr/>
            </w:pPr>
            <w:r>
              <w:rPr>
                <w:spacing w:val="-5"/>
              </w:rPr>
              <w:t>自然资源部《关于以“多规合</w:t>
            </w:r>
            <w:r>
              <w:rPr>
                <w:spacing w:val="1"/>
              </w:rPr>
              <w:t xml:space="preserve">   </w:t>
            </w:r>
            <w:r>
              <w:rPr>
                <w:spacing w:val="1"/>
              </w:rPr>
              <w:t>一”为基础推进规划用地“多</w:t>
            </w:r>
            <w:r>
              <w:rPr/>
              <w:t xml:space="preserve">   </w:t>
            </w:r>
            <w:r>
              <w:rPr>
                <w:spacing w:val="-10"/>
              </w:rPr>
              <w:t>审合一、多证合一”改革的通知》</w:t>
            </w:r>
            <w:r>
              <w:rPr>
                <w:spacing w:val="11"/>
              </w:rPr>
              <w:t xml:space="preserve"> </w:t>
            </w:r>
            <w:r>
              <w:rPr>
                <w:spacing w:val="-2"/>
              </w:rPr>
              <w:t>自然资规〔2019〕2号</w:t>
            </w:r>
          </w:p>
        </w:tc>
        <w:tc>
          <w:tcPr>
            <w:tcW w:w="909" w:type="dxa"/>
            <w:vAlign w:val="top"/>
          </w:tcPr>
          <w:p>
            <w:pPr>
              <w:pStyle w:val="TableText"/>
              <w:ind w:left="27" w:right="10" w:firstLine="10"/>
              <w:spacing w:before="88" w:line="232" w:lineRule="auto"/>
              <w:rPr/>
            </w:pPr>
            <w:r>
              <w:rPr>
                <w:spacing w:val="16"/>
                <w:w w:val="109"/>
              </w:rPr>
              <w:t>2019年9月</w:t>
            </w:r>
            <w:r>
              <w:rPr>
                <w:spacing w:val="1"/>
              </w:rPr>
              <w:t xml:space="preserve"> </w:t>
            </w:r>
            <w:r>
              <w:rPr>
                <w:spacing w:val="9"/>
              </w:rPr>
              <w:t>17日</w:t>
            </w:r>
          </w:p>
        </w:tc>
        <w:tc>
          <w:tcPr>
            <w:tcW w:w="679" w:type="dxa"/>
            <w:vAlign w:val="top"/>
          </w:tcPr>
          <w:p>
            <w:pPr>
              <w:pStyle w:val="TableText"/>
              <w:ind w:left="38"/>
              <w:spacing w:before="89" w:line="220" w:lineRule="auto"/>
              <w:rPr/>
            </w:pPr>
            <w:r>
              <w:rPr>
                <w:spacing w:val="-2"/>
              </w:rPr>
              <w:t>行政通知</w:t>
            </w:r>
          </w:p>
        </w:tc>
        <w:tc>
          <w:tcPr>
            <w:tcW w:w="674" w:type="dxa"/>
            <w:vAlign w:val="top"/>
          </w:tcPr>
          <w:p>
            <w:pPr>
              <w:pStyle w:val="TableText"/>
              <w:ind w:left="30"/>
              <w:spacing w:before="89" w:line="219" w:lineRule="auto"/>
              <w:rPr/>
            </w:pPr>
            <w:r>
              <w:rPr>
                <w:spacing w:val="-2"/>
              </w:rPr>
              <w:t>行政优化</w:t>
            </w:r>
          </w:p>
        </w:tc>
      </w:tr>
      <w:tr>
        <w:trPr>
          <w:trHeight w:val="2441" w:hRule="atLeast"/>
        </w:trPr>
        <w:tc>
          <w:tcPr>
            <w:tcW w:w="284"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55"/>
              <w:spacing w:before="49" w:line="184" w:lineRule="auto"/>
              <w:rPr/>
            </w:pPr>
            <w:r>
              <w:rPr>
                <w:spacing w:val="-5"/>
              </w:rPr>
              <w:t>18</w:t>
            </w:r>
          </w:p>
        </w:tc>
        <w:tc>
          <w:tcPr>
            <w:tcW w:w="4945" w:type="dxa"/>
            <w:vAlign w:val="top"/>
          </w:tcPr>
          <w:p>
            <w:pPr>
              <w:pStyle w:val="TableText"/>
              <w:ind w:left="31"/>
              <w:spacing w:before="83" w:line="219" w:lineRule="auto"/>
              <w:rPr/>
            </w:pPr>
            <w:r>
              <w:rPr>
                <w:spacing w:val="-1"/>
              </w:rPr>
              <w:t>国务院决定取消11项行政许可事项。</w:t>
            </w:r>
          </w:p>
          <w:p>
            <w:pPr>
              <w:pStyle w:val="TableText"/>
              <w:ind w:left="31"/>
              <w:spacing w:before="21" w:line="209" w:lineRule="auto"/>
              <w:rPr/>
            </w:pPr>
            <w:r>
              <w:rPr>
                <w:spacing w:val="-1"/>
              </w:rPr>
              <w:t>1、企业集团核准登记。</w:t>
            </w:r>
          </w:p>
          <w:p>
            <w:pPr>
              <w:pStyle w:val="TableText"/>
              <w:ind w:left="31"/>
              <w:spacing w:line="209" w:lineRule="exact"/>
              <w:rPr/>
            </w:pPr>
            <w:r>
              <w:rPr>
                <w:position w:val="4"/>
              </w:rPr>
              <w:t>2、台港澳人员在内地就业许可。</w:t>
            </w:r>
          </w:p>
          <w:p>
            <w:pPr>
              <w:pStyle w:val="TableText"/>
              <w:ind w:left="31"/>
              <w:spacing w:line="218" w:lineRule="auto"/>
              <w:rPr/>
            </w:pPr>
            <w:r>
              <w:rPr>
                <w:spacing w:val="-1"/>
              </w:rPr>
              <w:t>3、机动车维修经营许可。</w:t>
            </w:r>
          </w:p>
          <w:p>
            <w:pPr>
              <w:pStyle w:val="TableText"/>
              <w:ind w:left="31"/>
              <w:spacing w:before="33" w:line="221" w:lineRule="auto"/>
              <w:rPr/>
            </w:pPr>
            <w:r>
              <w:rPr>
                <w:spacing w:val="-1"/>
              </w:rPr>
              <w:t>4、外商投资道路运输业立项审批。</w:t>
            </w:r>
          </w:p>
          <w:p>
            <w:pPr>
              <w:pStyle w:val="TableText"/>
              <w:ind w:left="31"/>
              <w:spacing w:line="218" w:lineRule="auto"/>
              <w:rPr/>
            </w:pPr>
            <w:r>
              <w:rPr>
                <w:spacing w:val="-1"/>
              </w:rPr>
              <w:t>5、农业机械维修技术合格证核发。</w:t>
            </w:r>
          </w:p>
          <w:p>
            <w:pPr>
              <w:pStyle w:val="TableText"/>
              <w:ind w:left="31"/>
              <w:spacing w:before="33" w:line="219" w:lineRule="auto"/>
              <w:rPr/>
            </w:pPr>
            <w:r>
              <w:rPr/>
              <w:t>6、船舶进出渔港签证。</w:t>
            </w:r>
          </w:p>
          <w:p>
            <w:pPr>
              <w:pStyle w:val="TableText"/>
              <w:ind w:left="31"/>
              <w:spacing w:before="42" w:line="219" w:lineRule="auto"/>
              <w:rPr/>
            </w:pPr>
            <w:r>
              <w:rPr/>
              <w:t>7、国家重点保护水生野生动物及其产品进出口初审。</w:t>
            </w:r>
          </w:p>
          <w:p>
            <w:pPr>
              <w:pStyle w:val="TableText"/>
              <w:ind w:left="31" w:right="929"/>
              <w:spacing w:before="12" w:line="221" w:lineRule="auto"/>
              <w:rPr/>
            </w:pPr>
            <w:r>
              <w:rPr/>
              <w:t>8、国内企业在境外投资开办企业(金融企业除外)核准初</w:t>
            </w:r>
            <w:r>
              <w:rPr>
                <w:spacing w:val="-1"/>
              </w:rPr>
              <w:t>审。</w:t>
            </w:r>
            <w:r>
              <w:rPr/>
              <w:t xml:space="preserve"> </w:t>
            </w:r>
            <w:r>
              <w:rPr/>
              <w:t>9、设立分公司备案。</w:t>
            </w:r>
          </w:p>
          <w:p>
            <w:pPr>
              <w:pStyle w:val="TableText"/>
              <w:ind w:left="31"/>
              <w:spacing w:before="40" w:line="201" w:lineRule="exact"/>
              <w:rPr/>
            </w:pPr>
            <w:r>
              <w:rPr>
                <w:position w:val="3"/>
              </w:rPr>
              <w:t>10、外商投资合伙企业设立、变更、注销分</w:t>
            </w:r>
            <w:r>
              <w:rPr>
                <w:spacing w:val="-1"/>
                <w:position w:val="3"/>
              </w:rPr>
              <w:t>支机构备案。</w:t>
            </w:r>
          </w:p>
          <w:p>
            <w:pPr>
              <w:pStyle w:val="TableText"/>
              <w:ind w:left="31"/>
              <w:spacing w:line="194" w:lineRule="auto"/>
              <w:rPr/>
            </w:pPr>
            <w:r>
              <w:rPr>
                <w:spacing w:val="-1"/>
              </w:rPr>
              <w:t>11、营业执照作废声明。</w:t>
            </w:r>
          </w:p>
        </w:tc>
        <w:tc>
          <w:tcPr>
            <w:tcW w:w="2138" w:type="dxa"/>
            <w:vAlign w:val="top"/>
          </w:tcPr>
          <w:p>
            <w:pPr>
              <w:pStyle w:val="TableText"/>
              <w:ind w:left="165" w:right="161" w:hanging="100"/>
              <w:spacing w:before="83" w:line="220" w:lineRule="auto"/>
              <w:rPr/>
            </w:pPr>
            <w:r>
              <w:rPr/>
              <w:t>国务院《关于取消一批行政</w:t>
            </w:r>
            <w:r>
              <w:rPr>
                <w:spacing w:val="2"/>
              </w:rPr>
              <w:t xml:space="preserve">  </w:t>
            </w:r>
            <w:r>
              <w:rPr/>
              <w:t>许可等事项的决定》国发〔</w:t>
            </w:r>
          </w:p>
          <w:p>
            <w:pPr>
              <w:pStyle w:val="TableText"/>
              <w:ind w:left="25"/>
              <w:spacing w:before="22" w:line="221" w:lineRule="auto"/>
              <w:rPr/>
            </w:pPr>
            <w:r>
              <w:rPr>
                <w:spacing w:val="-1"/>
              </w:rPr>
              <w:t>2018〕28号</w:t>
            </w:r>
          </w:p>
        </w:tc>
        <w:tc>
          <w:tcPr>
            <w:tcW w:w="909" w:type="dxa"/>
            <w:vAlign w:val="top"/>
          </w:tcPr>
          <w:p>
            <w:pPr>
              <w:pStyle w:val="TableText"/>
              <w:ind w:left="27" w:right="10" w:firstLine="10"/>
              <w:spacing w:before="81" w:line="230" w:lineRule="auto"/>
              <w:jc w:val="both"/>
              <w:rPr/>
            </w:pPr>
            <w:r>
              <w:rPr>
                <w:spacing w:val="17"/>
                <w:w w:val="108"/>
              </w:rPr>
              <w:t>2018年7月</w:t>
            </w:r>
            <w:r>
              <w:rPr>
                <w:spacing w:val="1"/>
              </w:rPr>
              <w:t xml:space="preserve"> </w:t>
            </w:r>
            <w:r>
              <w:rPr>
                <w:spacing w:val="-14"/>
              </w:rPr>
              <w:t>2</w:t>
            </w:r>
            <w:r>
              <w:rPr>
                <w:spacing w:val="-27"/>
              </w:rPr>
              <w:t xml:space="preserve"> </w:t>
            </w:r>
            <w:r>
              <w:rPr>
                <w:spacing w:val="-14"/>
              </w:rPr>
              <w:t>8 日 (</w:t>
            </w:r>
            <w:r>
              <w:rPr>
                <w:spacing w:val="-32"/>
              </w:rPr>
              <w:t xml:space="preserve"> </w:t>
            </w:r>
            <w:r>
              <w:rPr>
                <w:spacing w:val="-14"/>
              </w:rPr>
              <w:t>文</w:t>
            </w:r>
            <w:r>
              <w:rPr>
                <w:spacing w:val="-34"/>
              </w:rPr>
              <w:t xml:space="preserve"> </w:t>
            </w:r>
            <w:r>
              <w:rPr>
                <w:spacing w:val="-14"/>
              </w:rPr>
              <w:t>件</w:t>
            </w:r>
            <w:r>
              <w:rPr/>
              <w:t xml:space="preserve"> </w:t>
            </w:r>
            <w:r>
              <w:rPr>
                <w:spacing w:val="5"/>
              </w:rPr>
              <w:t>签发日期)</w:t>
            </w:r>
          </w:p>
        </w:tc>
        <w:tc>
          <w:tcPr>
            <w:tcW w:w="679" w:type="dxa"/>
            <w:vAlign w:val="top"/>
          </w:tcPr>
          <w:p>
            <w:pPr>
              <w:pStyle w:val="TableText"/>
              <w:ind w:left="38"/>
              <w:spacing w:before="63" w:line="219" w:lineRule="auto"/>
              <w:rPr/>
            </w:pPr>
            <w:r>
              <w:rPr>
                <w:spacing w:val="-2"/>
              </w:rPr>
              <w:t>行政决定</w:t>
            </w:r>
          </w:p>
        </w:tc>
        <w:tc>
          <w:tcPr>
            <w:tcW w:w="674" w:type="dxa"/>
            <w:vAlign w:val="top"/>
          </w:tcPr>
          <w:p>
            <w:pPr>
              <w:pStyle w:val="TableText"/>
              <w:ind w:left="30"/>
              <w:spacing w:before="63" w:line="220" w:lineRule="auto"/>
              <w:rPr/>
            </w:pPr>
            <w:r>
              <w:rPr>
                <w:spacing w:val="3"/>
              </w:rPr>
              <w:t>行政取消</w:t>
            </w:r>
          </w:p>
        </w:tc>
      </w:tr>
    </w:tbl>
    <w:p>
      <w:pPr>
        <w:pStyle w:val="BodyText"/>
        <w:rPr/>
      </w:pPr>
      <w:r/>
    </w:p>
    <w:p>
      <w:pPr>
        <w:sectPr>
          <w:pgSz w:w="11910" w:h="8220"/>
          <w:pgMar w:top="400" w:right="1145" w:bottom="400" w:left="799" w:header="0" w:footer="0" w:gutter="0"/>
        </w:sectPr>
        <w:rPr/>
      </w:pPr>
    </w:p>
    <w:p>
      <w:pPr>
        <w:spacing w:before="51"/>
        <w:rPr/>
      </w:pPr>
      <w:r>
        <w:pict>
          <v:shape id="_x0000_s104" style="position:absolute;margin-left:39.5pt;margin-top:54.2871pt;mso-position-vertical-relative:page;mso-position-horizontal-relative:page;width:7.05pt;height:12.95pt;z-index:251739136;"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2"/>
                      <w:szCs w:val="22"/>
                    </w:rPr>
                  </w:pPr>
                  <w:r>
                    <w:rPr>
                      <w:rFonts w:ascii="SimSun" w:hAnsi="SimSun" w:eastAsia="SimSun" w:cs="SimSun"/>
                      <w:sz w:val="22"/>
                      <w:szCs w:val="22"/>
                    </w:rPr>
                    <w:t>8</w:t>
                  </w:r>
                </w:p>
              </w:txbxContent>
            </v:textbox>
          </v:shape>
        </w:pict>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18"/>
        <w:gridCol w:w="919"/>
        <w:gridCol w:w="679"/>
        <w:gridCol w:w="66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4955" w:type="dxa"/>
            <w:vAlign w:val="top"/>
          </w:tcPr>
          <w:p>
            <w:pPr>
              <w:pStyle w:val="TableText"/>
              <w:ind w:left="2171"/>
              <w:spacing w:before="171" w:line="219" w:lineRule="auto"/>
              <w:rPr/>
            </w:pPr>
            <w:r>
              <w:rPr>
                <w:spacing w:val="-2"/>
              </w:rPr>
              <w:t>主要内容</w:t>
            </w:r>
          </w:p>
        </w:tc>
        <w:tc>
          <w:tcPr>
            <w:tcW w:w="2118" w:type="dxa"/>
            <w:vAlign w:val="top"/>
          </w:tcPr>
          <w:p>
            <w:pPr>
              <w:pStyle w:val="TableText"/>
              <w:ind w:left="75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5735"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65"/>
              <w:spacing w:before="49" w:line="184" w:lineRule="auto"/>
              <w:rPr/>
            </w:pPr>
            <w:r>
              <w:rPr>
                <w:spacing w:val="-5"/>
              </w:rPr>
              <w:t>17</w:t>
            </w:r>
          </w:p>
        </w:tc>
        <w:tc>
          <w:tcPr>
            <w:tcW w:w="4955" w:type="dxa"/>
            <w:vAlign w:val="top"/>
          </w:tcPr>
          <w:p>
            <w:pPr>
              <w:pStyle w:val="TableText"/>
              <w:ind w:left="41" w:right="291" w:hanging="30"/>
              <w:spacing w:before="117" w:line="221" w:lineRule="auto"/>
              <w:rPr/>
            </w:pPr>
            <w:r>
              <w:rPr/>
              <w:t>经研究论证，国务院决定取消40项国务院部门实施的</w:t>
            </w:r>
            <w:r>
              <w:rPr>
                <w:spacing w:val="-1"/>
              </w:rPr>
              <w:t>行政许可事项和12</w:t>
            </w:r>
            <w:r>
              <w:rPr/>
              <w:t xml:space="preserve"> </w:t>
            </w:r>
            <w:r>
              <w:rPr>
                <w:spacing w:val="-1"/>
              </w:rPr>
              <w:t>项中央指定地方实施的行政许可事项。包括：</w:t>
            </w:r>
          </w:p>
          <w:p>
            <w:pPr>
              <w:pStyle w:val="TableText"/>
              <w:ind w:left="21" w:right="82" w:firstLine="49"/>
              <w:spacing w:before="41" w:line="220" w:lineRule="auto"/>
              <w:rPr/>
            </w:pPr>
            <w:r>
              <w:rPr/>
              <w:t>一是市场已具备自我调节能力的事项。相关部门的</w:t>
            </w:r>
            <w:r>
              <w:rPr>
                <w:spacing w:val="-1"/>
              </w:rPr>
              <w:t>管理职能重点转向制定</w:t>
            </w:r>
            <w:r>
              <w:rPr/>
              <w:t xml:space="preserve"> </w:t>
            </w:r>
            <w:r>
              <w:rPr/>
              <w:t>行业标准规范，加强事中事后监管，惩处违法违规</w:t>
            </w:r>
            <w:r>
              <w:rPr>
                <w:spacing w:val="-1"/>
              </w:rPr>
              <w:t>行为，维护市场秩序</w:t>
            </w:r>
          </w:p>
          <w:p>
            <w:pPr>
              <w:pStyle w:val="TableText"/>
              <w:ind w:left="21"/>
              <w:spacing w:before="39" w:line="216" w:lineRule="auto"/>
              <w:rPr/>
            </w:pPr>
            <w:r>
              <w:rPr/>
              <w:t>如取消住房城乡建设部的“物业服务企业一级资质</w:t>
            </w:r>
            <w:r>
              <w:rPr>
                <w:spacing w:val="-1"/>
              </w:rPr>
              <w:t>核定”,政府部门不再</w:t>
            </w:r>
          </w:p>
          <w:p>
            <w:pPr>
              <w:pStyle w:val="TableText"/>
              <w:ind w:left="11" w:right="48" w:firstLine="59"/>
              <w:spacing w:before="26" w:line="229" w:lineRule="auto"/>
              <w:rPr/>
            </w:pPr>
            <w:r>
              <w:rPr/>
              <w:t>对企业资质进行认定，转为加快完善物业服务标准和规范。建设主管部门</w:t>
            </w:r>
            <w:r>
              <w:rPr>
                <w:spacing w:val="16"/>
              </w:rPr>
              <w:t xml:space="preserve"> </w:t>
            </w:r>
            <w:r>
              <w:rPr>
                <w:spacing w:val="-1"/>
              </w:rPr>
              <w:t>通过“双随机、</w:t>
            </w:r>
            <w:r>
              <w:rPr>
                <w:spacing w:val="41"/>
              </w:rPr>
              <w:t xml:space="preserve"> </w:t>
            </w:r>
            <w:r>
              <w:rPr>
                <w:spacing w:val="-1"/>
              </w:rPr>
              <w:t>一公开”抽查、建立“黑名单”、信息公开、推动行业自</w:t>
            </w:r>
            <w:r>
              <w:rPr/>
              <w:t xml:space="preserve"> </w:t>
            </w:r>
            <w:r>
              <w:rPr>
                <w:spacing w:val="-1"/>
              </w:rPr>
              <w:t>律等方式实现监管目的。</w:t>
            </w:r>
          </w:p>
          <w:p>
            <w:pPr>
              <w:pStyle w:val="TableText"/>
              <w:ind w:left="21" w:right="79" w:firstLine="49"/>
              <w:spacing w:before="32" w:line="243" w:lineRule="auto"/>
              <w:rPr/>
            </w:pPr>
            <w:r>
              <w:rPr/>
              <w:t>二是同一部门对相同内容进行重复审批的事项。取</w:t>
            </w:r>
            <w:r>
              <w:rPr>
                <w:spacing w:val="-1"/>
              </w:rPr>
              <w:t>消重复审批，减少审批</w:t>
            </w:r>
            <w:r>
              <w:rPr/>
              <w:t xml:space="preserve"> </w:t>
            </w:r>
            <w:r>
              <w:rPr>
                <w:spacing w:val="1"/>
              </w:rPr>
              <w:t>环节，强化保留审批事项的准入把关，防止出现监管盲区。如水利部“建</w:t>
            </w:r>
            <w:r>
              <w:rPr>
                <w:spacing w:val="11"/>
              </w:rPr>
              <w:t xml:space="preserve"> </w:t>
            </w:r>
            <w:r>
              <w:rPr>
                <w:spacing w:val="1"/>
              </w:rPr>
              <w:t>设项目水资源论证报告书审批”与“取水许可”审批重复，取消“建设项</w:t>
            </w:r>
            <w:r>
              <w:rPr>
                <w:spacing w:val="8"/>
              </w:rPr>
              <w:t xml:space="preserve"> </w:t>
            </w:r>
            <w:r>
              <w:rPr/>
              <w:t>目水资源论证报告书审批”,明确水利部在“取水</w:t>
            </w:r>
            <w:r>
              <w:rPr>
                <w:spacing w:val="-1"/>
              </w:rPr>
              <w:t>许可”时强化水资源论  </w:t>
            </w:r>
            <w:r>
              <w:rPr>
                <w:spacing w:val="-1"/>
              </w:rPr>
              <w:t>证把关，切实加强水资源利用监督管理</w:t>
            </w:r>
          </w:p>
          <w:p>
            <w:pPr>
              <w:pStyle w:val="TableText"/>
              <w:ind w:left="11" w:firstLine="59"/>
              <w:spacing w:before="4" w:line="245" w:lineRule="auto"/>
              <w:rPr/>
            </w:pPr>
            <w:r>
              <w:rPr/>
              <w:t>三是部门之间串联审批的事项。将多道审批改为负</w:t>
            </w:r>
            <w:r>
              <w:rPr>
                <w:spacing w:val="-1"/>
              </w:rPr>
              <w:t>主要责任的部门一道审</w:t>
            </w:r>
            <w:r>
              <w:rPr/>
              <w:t xml:space="preserve">  </w:t>
            </w:r>
            <w:r>
              <w:rPr>
                <w:spacing w:val="2"/>
              </w:rPr>
              <w:t>批，不再实施审批的部门负责制定行业标准</w:t>
            </w:r>
            <w:r>
              <w:rPr>
                <w:spacing w:val="1"/>
              </w:rPr>
              <w:t>规范，由审批部门按标准规范</w:t>
            </w:r>
            <w:r>
              <w:rPr/>
              <w:t xml:space="preserve">  </w:t>
            </w:r>
            <w:r>
              <w:rPr>
                <w:spacing w:val="-1"/>
              </w:rPr>
              <w:t>审核把关，遇到特殊疑难问题通过内部征求意见解决。优化部门间工作流程</w:t>
            </w:r>
            <w:r>
              <w:rPr>
                <w:spacing w:val="15"/>
              </w:rPr>
              <w:t xml:space="preserve"> </w:t>
            </w:r>
            <w:r>
              <w:rPr>
                <w:spacing w:val="1"/>
              </w:rPr>
              <w:t>压缩审批时限，便利企业办事。如取消林业局“在沙化土地封禁保护区范</w:t>
            </w:r>
            <w:r>
              <w:rPr>
                <w:spacing w:val="8"/>
              </w:rPr>
              <w:t xml:space="preserve">  </w:t>
            </w:r>
            <w:r>
              <w:rPr/>
              <w:t>围内进行修建铁路、公路等建设活动审批”,改为林业局制定有关行业标准</w:t>
            </w:r>
            <w:r>
              <w:rPr>
                <w:spacing w:val="18"/>
              </w:rPr>
              <w:t xml:space="preserve"> </w:t>
            </w:r>
            <w:r>
              <w:rPr>
                <w:spacing w:val="2"/>
              </w:rPr>
              <w:t>铁路、公路等建设项目审批部门按照标准进</w:t>
            </w:r>
            <w:r>
              <w:rPr>
                <w:spacing w:val="1"/>
              </w:rPr>
              <w:t>行审批，并征求林业部门意见</w:t>
            </w:r>
            <w:r>
              <w:rPr/>
              <w:t xml:space="preserve">  </w:t>
            </w:r>
            <w:r>
              <w:rPr>
                <w:spacing w:val="-4"/>
              </w:rPr>
              <w:t>《决定》明确，取消12项中央指定地方实施行政许可事项，包括；</w:t>
            </w:r>
            <w:r>
              <w:rPr>
                <w:spacing w:val="62"/>
              </w:rPr>
              <w:t xml:space="preserve"> </w:t>
            </w:r>
            <w:r>
              <w:rPr>
                <w:spacing w:val="-4"/>
              </w:rPr>
              <w:t>一是取</w:t>
            </w:r>
            <w:r>
              <w:rPr/>
              <w:t xml:space="preserve">  </w:t>
            </w:r>
            <w:r>
              <w:rPr>
                <w:spacing w:val="1"/>
              </w:rPr>
              <w:t>消一些含金量较高，涉及企业生产经营、个人就业创业的事项。如取消渔</w:t>
            </w:r>
            <w:r>
              <w:rPr>
                <w:spacing w:val="7"/>
              </w:rPr>
              <w:t xml:space="preserve">  </w:t>
            </w:r>
            <w:r>
              <w:rPr/>
              <w:t>业主管部门的“国内海洋渔业船舶制式电台执照审批”,减轻企业和渔民</w:t>
            </w:r>
          </w:p>
          <w:p>
            <w:pPr>
              <w:pStyle w:val="TableText"/>
              <w:ind w:left="21" w:right="45" w:firstLine="49"/>
              <w:spacing w:before="17"/>
              <w:rPr/>
            </w:pPr>
            <w:r>
              <w:rPr/>
              <w:t>的负担。二是取消一些重复审批事项。如海洋行政主管部门实施的“海洋</w:t>
            </w:r>
            <w:r>
              <w:rPr>
                <w:spacing w:val="6"/>
              </w:rPr>
              <w:t xml:space="preserve"> </w:t>
            </w:r>
            <w:r>
              <w:rPr>
                <w:spacing w:val="2"/>
              </w:rPr>
              <w:t>工程拆除或者改作他用许可”的审批内容和要求，与“海洋工程建设项目</w:t>
            </w:r>
            <w:r>
              <w:rPr>
                <w:spacing w:val="13"/>
              </w:rPr>
              <w:t xml:space="preserve"> </w:t>
            </w:r>
            <w:r>
              <w:rPr/>
              <w:t>环境影响报告书核准”重复，取消“海洋工程拆除或者改</w:t>
            </w:r>
            <w:r>
              <w:rPr>
                <w:spacing w:val="-1"/>
              </w:rPr>
              <w:t>作他用许可”。</w:t>
            </w:r>
          </w:p>
          <w:p>
            <w:pPr>
              <w:pStyle w:val="TableText"/>
              <w:ind w:left="11" w:firstLine="59"/>
              <w:spacing w:before="25" w:line="235" w:lineRule="auto"/>
              <w:rPr/>
            </w:pPr>
            <w:r>
              <w:rPr>
                <w:spacing w:val="-2"/>
              </w:rPr>
              <w:t>三是取消国务院部门行政许可事项的同时，把相</w:t>
            </w:r>
            <w:r>
              <w:rPr>
                <w:spacing w:val="-3"/>
              </w:rPr>
              <w:t>对应的中央指定地方实施</w:t>
            </w:r>
            <w:r>
              <w:rPr/>
              <w:t xml:space="preserve">   </w:t>
            </w:r>
            <w:r>
              <w:rPr>
                <w:spacing w:val="-8"/>
              </w:rPr>
              <w:t>行政许可事项一并纳入研究范围，经论证后确有必要取消</w:t>
            </w:r>
            <w:r>
              <w:rPr>
                <w:spacing w:val="-9"/>
              </w:rPr>
              <w:t>的，</w:t>
            </w:r>
            <w:r>
              <w:rPr>
                <w:spacing w:val="38"/>
                <w:w w:val="101"/>
              </w:rPr>
              <w:t xml:space="preserve"> </w:t>
            </w:r>
            <w:r>
              <w:rPr>
                <w:spacing w:val="-9"/>
              </w:rPr>
              <w:t>一并予以取消。</w:t>
            </w:r>
            <w:r>
              <w:rPr/>
              <w:t xml:space="preserve"> </w:t>
            </w:r>
            <w:r>
              <w:rPr>
                <w:spacing w:val="-2"/>
              </w:rPr>
              <w:t>如国土资源部和地方国土部门都有的“地质勘查资质审批”,企业反映较大</w:t>
            </w:r>
          </w:p>
        </w:tc>
        <w:tc>
          <w:tcPr>
            <w:tcW w:w="2118" w:type="dxa"/>
            <w:vAlign w:val="top"/>
          </w:tcPr>
          <w:p>
            <w:pPr>
              <w:pStyle w:val="TableText"/>
              <w:ind w:left="15" w:right="7" w:firstLine="60"/>
              <w:spacing w:before="96" w:line="230" w:lineRule="auto"/>
              <w:jc w:val="both"/>
              <w:rPr/>
            </w:pPr>
            <w:r>
              <w:rPr/>
              <w:t>国务院《关于取消一批行政许</w:t>
            </w:r>
            <w:r>
              <w:rPr>
                <w:spacing w:val="2"/>
              </w:rPr>
              <w:t xml:space="preserve">  </w:t>
            </w:r>
            <w:r>
              <w:rPr>
                <w:spacing w:val="9"/>
              </w:rPr>
              <w:t>可事项的决定》国发〔2017〕</w:t>
            </w:r>
            <w:r>
              <w:rPr/>
              <w:t xml:space="preserve"> </w:t>
            </w:r>
            <w:r>
              <w:rPr>
                <w:spacing w:val="-1"/>
              </w:rPr>
              <w:t>46号</w:t>
            </w:r>
          </w:p>
        </w:tc>
        <w:tc>
          <w:tcPr>
            <w:tcW w:w="919" w:type="dxa"/>
            <w:vAlign w:val="top"/>
          </w:tcPr>
          <w:p>
            <w:pPr>
              <w:pStyle w:val="TableText"/>
              <w:ind w:left="27" w:firstLine="10"/>
              <w:spacing w:before="96" w:line="238" w:lineRule="auto"/>
              <w:jc w:val="both"/>
              <w:rPr/>
            </w:pPr>
            <w:r>
              <w:rPr>
                <w:spacing w:val="17"/>
                <w:w w:val="111"/>
              </w:rPr>
              <w:t>2017年9月</w:t>
            </w:r>
            <w:r>
              <w:rPr>
                <w:spacing w:val="1"/>
              </w:rPr>
              <w:t xml:space="preserve"> </w:t>
            </w:r>
            <w:r>
              <w:rPr>
                <w:spacing w:val="-12"/>
              </w:rPr>
              <w:t>2</w:t>
            </w:r>
            <w:r>
              <w:rPr>
                <w:spacing w:val="-32"/>
              </w:rPr>
              <w:t xml:space="preserve"> </w:t>
            </w:r>
            <w:r>
              <w:rPr>
                <w:spacing w:val="-12"/>
              </w:rPr>
              <w:t>2 日 (</w:t>
            </w:r>
            <w:r>
              <w:rPr>
                <w:spacing w:val="-33"/>
              </w:rPr>
              <w:t xml:space="preserve"> </w:t>
            </w:r>
            <w:r>
              <w:rPr>
                <w:spacing w:val="-12"/>
              </w:rPr>
              <w:t>文</w:t>
            </w:r>
            <w:r>
              <w:rPr>
                <w:spacing w:val="-34"/>
              </w:rPr>
              <w:t xml:space="preserve"> </w:t>
            </w:r>
            <w:r>
              <w:rPr>
                <w:spacing w:val="-12"/>
              </w:rPr>
              <w:t>件</w:t>
            </w:r>
            <w:r>
              <w:rPr/>
              <w:t xml:space="preserve"> </w:t>
            </w:r>
            <w:r>
              <w:rPr>
                <w:spacing w:val="5"/>
              </w:rPr>
              <w:t>签发日期)</w:t>
            </w:r>
          </w:p>
        </w:tc>
        <w:tc>
          <w:tcPr>
            <w:tcW w:w="679" w:type="dxa"/>
            <w:vAlign w:val="top"/>
          </w:tcPr>
          <w:p>
            <w:pPr>
              <w:pStyle w:val="TableText"/>
              <w:ind w:left="38"/>
              <w:spacing w:before="107" w:line="219" w:lineRule="auto"/>
              <w:rPr/>
            </w:pPr>
            <w:r>
              <w:rPr>
                <w:spacing w:val="-2"/>
              </w:rPr>
              <w:t>行政决定</w:t>
            </w:r>
          </w:p>
        </w:tc>
        <w:tc>
          <w:tcPr>
            <w:tcW w:w="664" w:type="dxa"/>
            <w:vAlign w:val="top"/>
          </w:tcPr>
          <w:p>
            <w:pPr>
              <w:pStyle w:val="TableText"/>
              <w:ind w:left="30"/>
              <w:spacing w:before="107" w:line="220" w:lineRule="auto"/>
              <w:rPr/>
            </w:pPr>
            <w:r>
              <w:rPr>
                <w:spacing w:val="3"/>
              </w:rPr>
              <w:t>行政取消</w:t>
            </w:r>
          </w:p>
        </w:tc>
      </w:tr>
    </w:tbl>
    <w:p>
      <w:pPr>
        <w:pStyle w:val="BodyText"/>
        <w:rPr/>
      </w:pPr>
      <w:r/>
    </w:p>
    <w:p>
      <w:pPr>
        <w:sectPr>
          <w:pgSz w:w="11910" w:h="8220"/>
          <w:pgMar w:top="400" w:right="1145" w:bottom="400" w:left="809" w:header="0" w:footer="0" w:gutter="0"/>
        </w:sectPr>
        <w:rPr/>
      </w:pPr>
    </w:p>
    <w:p>
      <w:pPr>
        <w:spacing w:before="51"/>
        <w:rPr/>
      </w:pPr>
      <w:r>
        <w:drawing>
          <wp:anchor distT="0" distB="0" distL="0" distR="0" simplePos="0" relativeHeight="251740160" behindDoc="0" locked="0" layoutInCell="0" allowOverlap="1">
            <wp:simplePos x="0" y="0"/>
            <wp:positionH relativeFrom="page">
              <wp:posOffset>514349</wp:posOffset>
            </wp:positionH>
            <wp:positionV relativeFrom="page">
              <wp:posOffset>4425940</wp:posOffset>
            </wp:positionV>
            <wp:extent cx="107921" cy="133363"/>
            <wp:effectExtent l="0" t="0" r="0" b="0"/>
            <wp:wrapNone/>
            <wp:docPr id="50" name="IM 50"/>
            <wp:cNvGraphicFramePr/>
            <a:graphic>
              <a:graphicData uri="http://schemas.openxmlformats.org/drawingml/2006/picture">
                <pic:pic>
                  <pic:nvPicPr>
                    <pic:cNvPr id="50" name="IM 50"/>
                    <pic:cNvPicPr/>
                  </pic:nvPicPr>
                  <pic:blipFill>
                    <a:blip r:embed="rId28"/>
                    <a:stretch>
                      <a:fillRect/>
                    </a:stretch>
                  </pic:blipFill>
                  <pic:spPr>
                    <a:xfrm rot="0">
                      <a:off x="0" y="0"/>
                      <a:ext cx="107921" cy="133363"/>
                    </a:xfrm>
                    <a:prstGeom prst="rect">
                      <a:avLst/>
                    </a:prstGeom>
                  </pic:spPr>
                </pic:pic>
              </a:graphicData>
            </a:graphic>
          </wp:anchor>
        </w:drawing>
      </w:r>
      <w:r/>
    </w:p>
    <w:p>
      <w:pPr>
        <w:spacing w:before="51"/>
        <w:rPr/>
      </w:pPr>
      <w:r/>
    </w:p>
    <w:tbl>
      <w:tblPr>
        <w:tblStyle w:val="TableNormal"/>
        <w:tblW w:w="961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54"/>
      </w:tblGrid>
      <w:tr>
        <w:trPr>
          <w:trHeight w:val="494" w:hRule="atLeast"/>
        </w:trPr>
        <w:tc>
          <w:tcPr>
            <w:tcW w:w="28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6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54" w:type="dxa"/>
            <w:vAlign w:val="top"/>
          </w:tcPr>
          <w:p>
            <w:pPr>
              <w:pStyle w:val="TableText"/>
              <w:ind w:left="20"/>
              <w:spacing w:before="171" w:line="220" w:lineRule="auto"/>
              <w:rPr/>
            </w:pPr>
            <w:r>
              <w:rPr>
                <w:spacing w:val="-1"/>
              </w:rPr>
              <w:t>政策形式</w:t>
            </w:r>
          </w:p>
        </w:tc>
      </w:tr>
      <w:tr>
        <w:trPr>
          <w:trHeight w:val="1428" w:hRule="atLeast"/>
        </w:trPr>
        <w:tc>
          <w:tcPr>
            <w:tcW w:w="284" w:type="dxa"/>
            <w:vAlign w:val="top"/>
          </w:tcPr>
          <w:p>
            <w:pPr>
              <w:spacing w:line="311" w:lineRule="auto"/>
              <w:rPr>
                <w:rFonts w:ascii="Arial"/>
                <w:sz w:val="21"/>
              </w:rPr>
            </w:pPr>
            <w:r/>
          </w:p>
          <w:p>
            <w:pPr>
              <w:spacing w:line="311" w:lineRule="auto"/>
              <w:rPr>
                <w:rFonts w:ascii="Arial"/>
                <w:sz w:val="21"/>
              </w:rPr>
            </w:pPr>
            <w:r/>
          </w:p>
          <w:p>
            <w:pPr>
              <w:pStyle w:val="TableText"/>
              <w:ind w:left="55"/>
              <w:spacing w:before="49" w:line="184" w:lineRule="auto"/>
              <w:rPr/>
            </w:pPr>
            <w:r>
              <w:rPr>
                <w:spacing w:val="-5"/>
              </w:rPr>
              <w:t>17</w:t>
            </w:r>
          </w:p>
        </w:tc>
        <w:tc>
          <w:tcPr>
            <w:tcW w:w="4955" w:type="dxa"/>
            <w:vAlign w:val="top"/>
          </w:tcPr>
          <w:p>
            <w:pPr>
              <w:pStyle w:val="TableText"/>
              <w:ind w:left="21" w:right="79" w:firstLine="49"/>
              <w:spacing w:before="177" w:line="220" w:lineRule="auto"/>
              <w:rPr/>
            </w:pPr>
            <w:r>
              <w:rPr/>
              <w:t>认为地质勘查单位可以由市场主体自主选择，这次在全国</w:t>
            </w:r>
            <w:r>
              <w:rPr>
                <w:spacing w:val="-1"/>
              </w:rPr>
              <w:t>范围内上下联动</w:t>
            </w:r>
            <w:r>
              <w:rPr/>
              <w:t xml:space="preserve"> </w:t>
            </w:r>
            <w:r>
              <w:rPr>
                <w:spacing w:val="-1"/>
              </w:rPr>
              <w:t>同步取消。</w:t>
            </w:r>
          </w:p>
          <w:p>
            <w:pPr>
              <w:pStyle w:val="TableText"/>
              <w:ind w:left="11" w:right="83" w:firstLine="14"/>
              <w:spacing w:before="41" w:line="231" w:lineRule="auto"/>
              <w:rPr/>
            </w:pPr>
            <w:r>
              <w:rPr/>
              <w:t>《决定》要求，改革涉及的部门自决定发布之日起20个工作日内，将适宜</w:t>
            </w:r>
            <w:r>
              <w:rPr>
                <w:spacing w:val="4"/>
              </w:rPr>
              <w:t xml:space="preserve"> </w:t>
            </w:r>
            <w:r>
              <w:rPr>
                <w:spacing w:val="1"/>
              </w:rPr>
              <w:t>公开的监管细则向社会公布，加强宣传，确保落实。各地区、各部门要抓</w:t>
            </w:r>
            <w:r>
              <w:rPr>
                <w:spacing w:val="16"/>
              </w:rPr>
              <w:t xml:space="preserve"> </w:t>
            </w:r>
            <w:r>
              <w:rPr>
                <w:spacing w:val="1"/>
              </w:rPr>
              <w:t>紧做好衔接工作，认真落实事中事后监管责任，坚决维护公平公正的市场</w:t>
            </w:r>
            <w:r>
              <w:rPr>
                <w:spacing w:val="17"/>
              </w:rPr>
              <w:t xml:space="preserve"> </w:t>
            </w:r>
            <w:r>
              <w:rPr>
                <w:spacing w:val="-2"/>
              </w:rPr>
              <w:t>秩序。</w:t>
            </w:r>
          </w:p>
        </w:tc>
        <w:tc>
          <w:tcPr>
            <w:tcW w:w="212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54" w:type="dxa"/>
            <w:vAlign w:val="top"/>
          </w:tcPr>
          <w:p>
            <w:pPr>
              <w:rPr>
                <w:rFonts w:ascii="Arial"/>
                <w:sz w:val="21"/>
              </w:rPr>
            </w:pPr>
            <w:r/>
          </w:p>
        </w:tc>
      </w:tr>
      <w:tr>
        <w:trPr>
          <w:trHeight w:val="828" w:hRule="atLeast"/>
        </w:trPr>
        <w:tc>
          <w:tcPr>
            <w:tcW w:w="284" w:type="dxa"/>
            <w:vAlign w:val="top"/>
          </w:tcPr>
          <w:p>
            <w:pPr>
              <w:spacing w:line="326" w:lineRule="auto"/>
              <w:rPr>
                <w:rFonts w:ascii="Arial"/>
                <w:sz w:val="21"/>
              </w:rPr>
            </w:pPr>
            <w:r/>
          </w:p>
          <w:p>
            <w:pPr>
              <w:pStyle w:val="TableText"/>
              <w:ind w:left="55"/>
              <w:spacing w:before="49" w:line="184" w:lineRule="auto"/>
              <w:rPr/>
            </w:pPr>
            <w:r>
              <w:rPr>
                <w:spacing w:val="-5"/>
              </w:rPr>
              <w:t>18</w:t>
            </w:r>
          </w:p>
        </w:tc>
        <w:tc>
          <w:tcPr>
            <w:tcW w:w="4955" w:type="dxa"/>
            <w:vAlign w:val="top"/>
          </w:tcPr>
          <w:p>
            <w:pPr>
              <w:pStyle w:val="TableText"/>
              <w:ind w:left="21" w:right="69" w:firstLine="49"/>
              <w:spacing w:before="158" w:line="233" w:lineRule="auto"/>
              <w:rPr/>
            </w:pPr>
            <w:r>
              <w:rPr/>
              <w:t>国务院决定第三批取消39项中央指定地方实施的行政许可事项。涉及企业</w:t>
            </w:r>
            <w:r>
              <w:rPr>
                <w:spacing w:val="4"/>
              </w:rPr>
              <w:t xml:space="preserve"> </w:t>
            </w:r>
            <w:r>
              <w:rPr/>
              <w:t>生产经营、个人就业创业，取消这些事项有利于为企业和群众松绑减负</w:t>
            </w:r>
          </w:p>
          <w:p>
            <w:pPr>
              <w:pStyle w:val="TableText"/>
              <w:ind w:left="31"/>
              <w:spacing w:before="22" w:line="219" w:lineRule="auto"/>
              <w:rPr/>
            </w:pPr>
            <w:r>
              <w:rPr/>
              <w:t>释放市场活力，同时取消审批后加强事中事后</w:t>
            </w:r>
            <w:r>
              <w:rPr>
                <w:spacing w:val="-1"/>
              </w:rPr>
              <w:t>监管的具体措施</w:t>
            </w:r>
          </w:p>
        </w:tc>
        <w:tc>
          <w:tcPr>
            <w:tcW w:w="2128" w:type="dxa"/>
            <w:vAlign w:val="top"/>
          </w:tcPr>
          <w:p>
            <w:pPr>
              <w:pStyle w:val="TableText"/>
              <w:ind w:left="15" w:right="135" w:firstLine="10"/>
              <w:spacing w:before="159" w:line="237" w:lineRule="auto"/>
              <w:jc w:val="both"/>
              <w:rPr/>
            </w:pPr>
            <w:r>
              <w:rPr/>
              <w:t>国务院《关于第三批取消中央</w:t>
            </w:r>
            <w:r>
              <w:rPr>
                <w:spacing w:val="5"/>
              </w:rPr>
              <w:t xml:space="preserve"> </w:t>
            </w:r>
            <w:r>
              <w:rPr>
                <w:spacing w:val="-1"/>
              </w:rPr>
              <w:t>指定地方实施行政许可事项的</w:t>
            </w:r>
            <w:r>
              <w:rPr>
                <w:spacing w:val="4"/>
              </w:rPr>
              <w:t xml:space="preserve"> </w:t>
            </w:r>
            <w:r>
              <w:rPr>
                <w:spacing w:val="-1"/>
              </w:rPr>
              <w:t>决定》国发〔2017〕7号</w:t>
            </w:r>
          </w:p>
        </w:tc>
        <w:tc>
          <w:tcPr>
            <w:tcW w:w="919" w:type="dxa"/>
            <w:vAlign w:val="top"/>
          </w:tcPr>
          <w:p>
            <w:pPr>
              <w:pStyle w:val="TableText"/>
              <w:ind w:left="18" w:firstLine="19"/>
              <w:spacing w:before="158" w:line="234" w:lineRule="auto"/>
              <w:jc w:val="both"/>
              <w:rPr/>
            </w:pPr>
            <w:r>
              <w:rPr>
                <w:spacing w:val="20"/>
                <w:w w:val="108"/>
              </w:rPr>
              <w:t>2017年1月</w:t>
            </w:r>
            <w:r>
              <w:rPr/>
              <w:t xml:space="preserve"> </w:t>
            </w:r>
            <w:r>
              <w:rPr>
                <w:spacing w:val="-12"/>
              </w:rPr>
              <w:t>1</w:t>
            </w:r>
            <w:r>
              <w:rPr>
                <w:spacing w:val="-27"/>
              </w:rPr>
              <w:t xml:space="preserve"> </w:t>
            </w:r>
            <w:r>
              <w:rPr>
                <w:spacing w:val="-12"/>
              </w:rPr>
              <w:t>2 日 (</w:t>
            </w:r>
            <w:r>
              <w:rPr>
                <w:spacing w:val="-30"/>
              </w:rPr>
              <w:t xml:space="preserve"> </w:t>
            </w:r>
            <w:r>
              <w:rPr>
                <w:spacing w:val="-12"/>
              </w:rPr>
              <w:t>文</w:t>
            </w:r>
            <w:r>
              <w:rPr>
                <w:spacing w:val="-32"/>
              </w:rPr>
              <w:t xml:space="preserve"> </w:t>
            </w:r>
            <w:r>
              <w:rPr>
                <w:spacing w:val="-12"/>
              </w:rPr>
              <w:t>件</w:t>
            </w:r>
            <w:r>
              <w:rPr/>
              <w:t xml:space="preserve"> </w:t>
            </w:r>
            <w:r>
              <w:rPr>
                <w:spacing w:val="-2"/>
              </w:rPr>
              <w:t>签发日期</w:t>
            </w:r>
          </w:p>
        </w:tc>
        <w:tc>
          <w:tcPr>
            <w:tcW w:w="679" w:type="dxa"/>
            <w:vAlign w:val="top"/>
          </w:tcPr>
          <w:p>
            <w:pPr>
              <w:pStyle w:val="TableText"/>
              <w:ind w:left="38"/>
              <w:spacing w:before="149" w:line="219" w:lineRule="auto"/>
              <w:rPr/>
            </w:pPr>
            <w:r>
              <w:rPr>
                <w:spacing w:val="-2"/>
              </w:rPr>
              <w:t>行政决定</w:t>
            </w:r>
          </w:p>
        </w:tc>
        <w:tc>
          <w:tcPr>
            <w:tcW w:w="654" w:type="dxa"/>
            <w:vAlign w:val="top"/>
          </w:tcPr>
          <w:p>
            <w:pPr>
              <w:pStyle w:val="TableText"/>
              <w:ind w:left="20"/>
              <w:spacing w:before="139" w:line="220" w:lineRule="auto"/>
              <w:rPr/>
            </w:pPr>
            <w:r>
              <w:rPr>
                <w:spacing w:val="3"/>
              </w:rPr>
              <w:t>行政取消</w:t>
            </w:r>
          </w:p>
        </w:tc>
      </w:tr>
      <w:tr>
        <w:trPr>
          <w:trHeight w:val="2007" w:hRule="atLeast"/>
        </w:trPr>
        <w:tc>
          <w:tcPr>
            <w:tcW w:w="284" w:type="dxa"/>
            <w:vAlign w:val="top"/>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55"/>
              <w:spacing w:before="49" w:line="184" w:lineRule="auto"/>
              <w:rPr/>
            </w:pPr>
            <w:r>
              <w:rPr>
                <w:spacing w:val="-5"/>
              </w:rPr>
              <w:t>19</w:t>
            </w:r>
          </w:p>
        </w:tc>
        <w:tc>
          <w:tcPr>
            <w:tcW w:w="4955" w:type="dxa"/>
            <w:vAlign w:val="top"/>
          </w:tcPr>
          <w:p>
            <w:pPr>
              <w:pStyle w:val="TableText"/>
              <w:ind w:left="70" w:hanging="39"/>
              <w:spacing w:before="160" w:line="226" w:lineRule="auto"/>
              <w:rPr/>
            </w:pPr>
            <w:r>
              <w:rPr>
                <w:spacing w:val="-1"/>
              </w:rPr>
              <w:t>国务院决定第二批取消152项中央指定地方实施的行政审批事项。本次取   </w:t>
            </w:r>
            <w:r>
              <w:rPr>
                <w:spacing w:val="2"/>
              </w:rPr>
              <w:t>消的事项，依据法律、法规和国务院决定设定的有65项；依据部门规章、</w:t>
            </w:r>
          </w:p>
          <w:p>
            <w:pPr>
              <w:pStyle w:val="TableText"/>
              <w:ind w:left="21"/>
              <w:spacing w:before="32" w:line="219" w:lineRule="auto"/>
              <w:rPr/>
            </w:pPr>
            <w:r>
              <w:rPr>
                <w:spacing w:val="-3"/>
              </w:rPr>
              <w:t>规范性文件设定的有87项，涉及33个部</w:t>
            </w:r>
            <w:r>
              <w:rPr>
                <w:spacing w:val="-4"/>
              </w:rPr>
              <w:t>门。</w:t>
            </w:r>
            <w:r>
              <w:rPr>
                <w:spacing w:val="30"/>
              </w:rPr>
              <w:t xml:space="preserve"> </w:t>
            </w:r>
            <w:r>
              <w:rPr>
                <w:spacing w:val="-4"/>
              </w:rPr>
              <w:t>一是与投资、生产经营、促</w:t>
            </w:r>
          </w:p>
          <w:p>
            <w:pPr>
              <w:pStyle w:val="TableText"/>
              <w:ind w:left="11" w:firstLine="59"/>
              <w:spacing w:before="21"/>
              <w:rPr/>
            </w:pPr>
            <w:r>
              <w:rPr/>
              <w:t>进就业等相关的审批事项有87项。取消这</w:t>
            </w:r>
            <w:r>
              <w:rPr>
                <w:spacing w:val="-1"/>
              </w:rPr>
              <w:t>些事项，有利于缩短投资审批周</w:t>
            </w:r>
            <w:r>
              <w:rPr/>
              <w:t xml:space="preserve">  </w:t>
            </w:r>
            <w:r>
              <w:rPr>
                <w:spacing w:val="-6"/>
              </w:rPr>
              <w:t>期、减少环节，给企业松绑，激发市场活力。二是多数由省、市、县三级实施</w:t>
            </w:r>
            <w:r>
              <w:rPr>
                <w:spacing w:val="8"/>
              </w:rPr>
              <w:t xml:space="preserve"> </w:t>
            </w:r>
            <w:r>
              <w:rPr>
                <w:spacing w:val="-1"/>
              </w:rPr>
              <w:t>量大面广，与人民群众联系密切。取消这些事项，有利于推动地</w:t>
            </w:r>
            <w:r>
              <w:rPr>
                <w:spacing w:val="-2"/>
              </w:rPr>
              <w:t>方开展工作</w:t>
            </w:r>
            <w:r>
              <w:rPr/>
              <w:t xml:space="preserve"> </w:t>
            </w:r>
            <w:r>
              <w:rPr/>
              <w:t>方便群众办事。三是由地方实施“初审”和“预审”的有53项，取消后能  </w:t>
            </w:r>
            <w:r>
              <w:rPr>
                <w:spacing w:val="-1"/>
              </w:rPr>
              <w:t>进一步理顺国务院部门和地方审批事项的责权关系，明确各自的法律责任，</w:t>
            </w:r>
            <w:r>
              <w:rPr>
                <w:spacing w:val="15"/>
              </w:rPr>
              <w:t xml:space="preserve"> </w:t>
            </w:r>
            <w:r>
              <w:rPr>
                <w:spacing w:val="-2"/>
              </w:rPr>
              <w:t>减少管理层级，提高效率。</w:t>
            </w:r>
          </w:p>
        </w:tc>
        <w:tc>
          <w:tcPr>
            <w:tcW w:w="2128" w:type="dxa"/>
            <w:vAlign w:val="top"/>
          </w:tcPr>
          <w:p>
            <w:pPr>
              <w:pStyle w:val="TableText"/>
              <w:ind w:left="15"/>
              <w:spacing w:before="161" w:line="219" w:lineRule="auto"/>
              <w:rPr/>
            </w:pPr>
            <w:r>
              <w:rPr/>
              <w:t>国务院《关于第二批取消152</w:t>
            </w:r>
          </w:p>
          <w:p>
            <w:pPr>
              <w:pStyle w:val="TableText"/>
              <w:ind w:left="35" w:right="62" w:hanging="20"/>
              <w:spacing w:before="12" w:line="226" w:lineRule="auto"/>
              <w:rPr/>
            </w:pPr>
            <w:r>
              <w:rPr>
                <w:spacing w:val="-1"/>
              </w:rPr>
              <w:t>项中央指定地方实施行政审批</w:t>
            </w:r>
            <w:r>
              <w:rPr>
                <w:spacing w:val="1"/>
              </w:rPr>
              <w:t xml:space="preserve">  </w:t>
            </w:r>
            <w:r>
              <w:rPr>
                <w:spacing w:val="-1"/>
              </w:rPr>
              <w:t>事项的决定》国发〔2016〕9号</w:t>
            </w:r>
          </w:p>
        </w:tc>
        <w:tc>
          <w:tcPr>
            <w:tcW w:w="919" w:type="dxa"/>
            <w:vAlign w:val="top"/>
          </w:tcPr>
          <w:p>
            <w:pPr>
              <w:pStyle w:val="TableText"/>
              <w:ind w:left="18" w:right="10" w:firstLine="29"/>
              <w:spacing w:before="160" w:line="234" w:lineRule="auto"/>
              <w:rPr/>
            </w:pPr>
            <w:r>
              <w:rPr>
                <w:spacing w:val="17"/>
                <w:w w:val="108"/>
              </w:rPr>
              <w:t>2016年2月</w:t>
            </w:r>
            <w:r>
              <w:rPr>
                <w:spacing w:val="1"/>
              </w:rPr>
              <w:t xml:space="preserve"> </w:t>
            </w:r>
            <w:r>
              <w:rPr>
                <w:spacing w:val="8"/>
              </w:rPr>
              <w:t>3日(文件签</w:t>
            </w:r>
            <w:r>
              <w:rPr>
                <w:spacing w:val="1"/>
              </w:rPr>
              <w:t xml:space="preserve">  </w:t>
            </w:r>
            <w:r>
              <w:rPr>
                <w:spacing w:val="6"/>
              </w:rPr>
              <w:t>发日期)</w:t>
            </w:r>
          </w:p>
        </w:tc>
        <w:tc>
          <w:tcPr>
            <w:tcW w:w="679" w:type="dxa"/>
            <w:vAlign w:val="top"/>
          </w:tcPr>
          <w:p>
            <w:pPr>
              <w:pStyle w:val="TableText"/>
              <w:ind w:left="38"/>
              <w:spacing w:before="161" w:line="219" w:lineRule="auto"/>
              <w:rPr/>
            </w:pPr>
            <w:r>
              <w:rPr>
                <w:spacing w:val="-2"/>
              </w:rPr>
              <w:t>行政决定</w:t>
            </w:r>
          </w:p>
        </w:tc>
        <w:tc>
          <w:tcPr>
            <w:tcW w:w="654" w:type="dxa"/>
            <w:vAlign w:val="top"/>
          </w:tcPr>
          <w:p>
            <w:pPr>
              <w:pStyle w:val="TableText"/>
              <w:ind w:left="20"/>
              <w:spacing w:before="161" w:line="220" w:lineRule="auto"/>
              <w:rPr/>
            </w:pPr>
            <w:r>
              <w:rPr>
                <w:spacing w:val="3"/>
              </w:rPr>
              <w:t>行政取消</w:t>
            </w:r>
          </w:p>
        </w:tc>
      </w:tr>
      <w:tr>
        <w:trPr>
          <w:trHeight w:val="1423" w:hRule="atLeast"/>
        </w:trPr>
        <w:tc>
          <w:tcPr>
            <w:tcW w:w="284" w:type="dxa"/>
            <w:vAlign w:val="top"/>
          </w:tcPr>
          <w:p>
            <w:pPr>
              <w:spacing w:line="315" w:lineRule="auto"/>
              <w:rPr>
                <w:rFonts w:ascii="Arial"/>
                <w:sz w:val="21"/>
              </w:rPr>
            </w:pPr>
            <w:r/>
          </w:p>
          <w:p>
            <w:pPr>
              <w:spacing w:line="315" w:lineRule="auto"/>
              <w:rPr>
                <w:rFonts w:ascii="Arial"/>
                <w:sz w:val="21"/>
              </w:rPr>
            </w:pPr>
            <w:r/>
          </w:p>
          <w:p>
            <w:pPr>
              <w:pStyle w:val="TableText"/>
              <w:ind w:left="55"/>
              <w:spacing w:before="49" w:line="183" w:lineRule="auto"/>
              <w:rPr/>
            </w:pPr>
            <w:r>
              <w:rPr>
                <w:spacing w:val="-2"/>
              </w:rPr>
              <w:t>20</w:t>
            </w:r>
          </w:p>
        </w:tc>
        <w:tc>
          <w:tcPr>
            <w:tcW w:w="4955" w:type="dxa"/>
            <w:vAlign w:val="top"/>
          </w:tcPr>
          <w:p>
            <w:pPr>
              <w:pStyle w:val="TableText"/>
              <w:ind w:left="70" w:right="79"/>
              <w:spacing w:before="182" w:line="229" w:lineRule="auto"/>
              <w:jc w:val="both"/>
              <w:rPr/>
            </w:pPr>
            <w:r>
              <w:rPr/>
              <w:t>2017年，中华人民共和国主席令第八十六号对《中华</w:t>
            </w:r>
            <w:r>
              <w:rPr>
                <w:spacing w:val="-1"/>
              </w:rPr>
              <w:t>人民共和国招标投标</w:t>
            </w:r>
            <w:r>
              <w:rPr/>
              <w:t xml:space="preserve"> </w:t>
            </w:r>
            <w:r>
              <w:rPr/>
              <w:t>法》、《中华人民共和国计量法》进行了修改，其中取</w:t>
            </w:r>
            <w:r>
              <w:rPr>
                <w:spacing w:val="-1"/>
              </w:rPr>
              <w:t>消了工程招标代理</w:t>
            </w:r>
            <w:r>
              <w:rPr/>
              <w:t xml:space="preserve"> </w:t>
            </w:r>
            <w:r>
              <w:rPr/>
              <w:t>机构资格。同年，住房和城乡建设部印发《关于取消工程</w:t>
            </w:r>
            <w:r>
              <w:rPr>
                <w:spacing w:val="-1"/>
              </w:rPr>
              <w:t>建设项目招标代</w:t>
            </w:r>
          </w:p>
          <w:p>
            <w:pPr>
              <w:pStyle w:val="TableText"/>
              <w:ind w:left="41" w:right="196" w:firstLine="139"/>
              <w:spacing w:before="40" w:line="222" w:lineRule="auto"/>
              <w:rPr/>
            </w:pPr>
            <w:r>
              <w:rPr/>
              <w:t>理机构资格认定加强事中事后监管的通知》(建办市〔20</w:t>
            </w:r>
            <w:r>
              <w:rPr>
                <w:spacing w:val="-1"/>
              </w:rPr>
              <w:t>17〕77号),规</w:t>
            </w:r>
            <w:r>
              <w:rPr/>
              <w:t xml:space="preserve"> </w:t>
            </w:r>
            <w:r>
              <w:rPr>
                <w:spacing w:val="-1"/>
              </w:rPr>
              <w:t>范工程招标代理行为，加强招投标活动监管。</w:t>
            </w:r>
          </w:p>
        </w:tc>
        <w:tc>
          <w:tcPr>
            <w:tcW w:w="2128" w:type="dxa"/>
            <w:vAlign w:val="top"/>
          </w:tcPr>
          <w:p>
            <w:pPr>
              <w:pStyle w:val="TableText"/>
              <w:ind w:left="15" w:right="136"/>
              <w:spacing w:before="184" w:line="233" w:lineRule="auto"/>
              <w:jc w:val="both"/>
              <w:rPr/>
            </w:pPr>
            <w:r>
              <w:rPr/>
              <w:t>国人民代表大会常务委员会关</w:t>
            </w:r>
            <w:r>
              <w:rPr>
                <w:spacing w:val="6"/>
              </w:rPr>
              <w:t xml:space="preserve"> </w:t>
            </w:r>
            <w:r>
              <w:rPr>
                <w:spacing w:val="-1"/>
              </w:rPr>
              <w:t>于修改《中华人民共和国招标</w:t>
            </w:r>
            <w:r>
              <w:rPr>
                <w:spacing w:val="3"/>
              </w:rPr>
              <w:t xml:space="preserve"> </w:t>
            </w:r>
            <w:r>
              <w:rPr>
                <w:spacing w:val="1"/>
              </w:rPr>
              <w:t>投标法》、《中华人民共和国 </w:t>
            </w:r>
            <w:r>
              <w:rPr>
                <w:spacing w:val="-1"/>
              </w:rPr>
              <w:t>计量法》的决定</w:t>
            </w:r>
          </w:p>
          <w:p>
            <w:pPr>
              <w:pStyle w:val="TableText"/>
              <w:ind w:left="15" w:right="302" w:firstLine="70"/>
              <w:spacing w:before="20" w:line="234" w:lineRule="auto"/>
              <w:rPr/>
            </w:pPr>
            <w:r>
              <w:rPr/>
              <w:t>(中华人民共和国主席令第</w:t>
            </w:r>
            <w:r>
              <w:rPr>
                <w:spacing w:val="3"/>
              </w:rPr>
              <w:t xml:space="preserve"> </w:t>
            </w:r>
            <w:r>
              <w:rPr>
                <w:spacing w:val="-2"/>
              </w:rPr>
              <w:t>八十六号</w:t>
            </w:r>
          </w:p>
        </w:tc>
        <w:tc>
          <w:tcPr>
            <w:tcW w:w="919" w:type="dxa"/>
            <w:vAlign w:val="top"/>
          </w:tcPr>
          <w:p>
            <w:pPr>
              <w:pStyle w:val="TableText"/>
              <w:ind w:left="27" w:right="50" w:firstLine="50"/>
              <w:spacing w:before="164" w:line="233" w:lineRule="auto"/>
              <w:rPr/>
            </w:pPr>
            <w:r>
              <w:rPr>
                <w:spacing w:val="3"/>
              </w:rPr>
              <w:t>2017年12月</w:t>
            </w:r>
            <w:r>
              <w:rPr>
                <w:spacing w:val="5"/>
              </w:rPr>
              <w:t xml:space="preserve"> </w:t>
            </w:r>
            <w:r>
              <w:rPr>
                <w:spacing w:val="-2"/>
              </w:rPr>
              <w:t>28日施行</w:t>
            </w:r>
          </w:p>
        </w:tc>
        <w:tc>
          <w:tcPr>
            <w:tcW w:w="679" w:type="dxa"/>
            <w:vAlign w:val="top"/>
          </w:tcPr>
          <w:p>
            <w:pPr>
              <w:pStyle w:val="TableText"/>
              <w:ind w:left="109"/>
              <w:spacing w:before="153" w:line="219" w:lineRule="auto"/>
              <w:rPr/>
            </w:pPr>
            <w:r>
              <w:rPr>
                <w:spacing w:val="-2"/>
              </w:rPr>
              <w:t>行政令</w:t>
            </w:r>
          </w:p>
        </w:tc>
        <w:tc>
          <w:tcPr>
            <w:tcW w:w="654" w:type="dxa"/>
            <w:vAlign w:val="top"/>
          </w:tcPr>
          <w:p>
            <w:pPr>
              <w:pStyle w:val="TableText"/>
              <w:ind w:left="20"/>
              <w:spacing w:before="154" w:line="220" w:lineRule="auto"/>
              <w:rPr/>
            </w:pPr>
            <w:r>
              <w:rPr>
                <w:spacing w:val="3"/>
              </w:rPr>
              <w:t>行政取消</w:t>
            </w:r>
          </w:p>
        </w:tc>
      </w:tr>
    </w:tbl>
    <w:p>
      <w:pPr>
        <w:pStyle w:val="BodyText"/>
        <w:rPr/>
      </w:pPr>
      <w:r/>
    </w:p>
    <w:p>
      <w:pPr>
        <w:sectPr>
          <w:pgSz w:w="11910" w:h="8220"/>
          <w:pgMar w:top="400" w:right="1155" w:bottom="400" w:left="809" w:header="0" w:footer="0" w:gutter="0"/>
        </w:sectPr>
        <w:rPr/>
      </w:pPr>
    </w:p>
    <w:p>
      <w:pPr>
        <w:spacing w:before="223"/>
        <w:rPr/>
      </w:pPr>
      <w:r>
        <w:drawing>
          <wp:anchor distT="0" distB="0" distL="0" distR="0" simplePos="0" relativeHeight="251741184" behindDoc="0" locked="0" layoutInCell="0" allowOverlap="1">
            <wp:simplePos x="0" y="0"/>
            <wp:positionH relativeFrom="page">
              <wp:posOffset>514349</wp:posOffset>
            </wp:positionH>
            <wp:positionV relativeFrom="page">
              <wp:posOffset>666764</wp:posOffset>
            </wp:positionV>
            <wp:extent cx="107921" cy="126995"/>
            <wp:effectExtent l="0" t="0" r="0" b="0"/>
            <wp:wrapNone/>
            <wp:docPr id="52" name="IM 52"/>
            <wp:cNvGraphicFramePr/>
            <a:graphic>
              <a:graphicData uri="http://schemas.openxmlformats.org/drawingml/2006/picture">
                <pic:pic>
                  <pic:nvPicPr>
                    <pic:cNvPr id="52" name="IM 52"/>
                    <pic:cNvPicPr/>
                  </pic:nvPicPr>
                  <pic:blipFill>
                    <a:blip r:embed="rId29"/>
                    <a:stretch>
                      <a:fillRect/>
                    </a:stretch>
                  </pic:blipFill>
                  <pic:spPr>
                    <a:xfrm rot="0">
                      <a:off x="0" y="0"/>
                      <a:ext cx="107921" cy="126995"/>
                    </a:xfrm>
                    <a:prstGeom prst="rect">
                      <a:avLst/>
                    </a:prstGeom>
                  </pic:spPr>
                </pic:pic>
              </a:graphicData>
            </a:graphic>
          </wp:anchor>
        </w:drawing>
      </w:r>
      <w:r/>
    </w:p>
    <w:tbl>
      <w:tblPr>
        <w:tblStyle w:val="TableNormal"/>
        <w:tblW w:w="963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75"/>
        <w:gridCol w:w="2108"/>
        <w:gridCol w:w="919"/>
        <w:gridCol w:w="679"/>
        <w:gridCol w:w="674"/>
      </w:tblGrid>
      <w:tr>
        <w:trPr>
          <w:trHeight w:val="514" w:hRule="atLeast"/>
        </w:trPr>
        <w:tc>
          <w:tcPr>
            <w:tcW w:w="284" w:type="dxa"/>
            <w:vAlign w:val="top"/>
            <w:textDirection w:val="tbRlV"/>
          </w:tcPr>
          <w:p>
            <w:pPr>
              <w:pStyle w:val="TableText"/>
              <w:ind w:left="67"/>
              <w:spacing w:before="69" w:line="217" w:lineRule="auto"/>
              <w:rPr/>
            </w:pPr>
            <w:r>
              <w:rPr>
                <w:spacing w:val="-2"/>
              </w:rPr>
              <w:t>序 号</w:t>
            </w:r>
          </w:p>
        </w:tc>
        <w:tc>
          <w:tcPr>
            <w:tcW w:w="4975" w:type="dxa"/>
            <w:vAlign w:val="top"/>
          </w:tcPr>
          <w:p>
            <w:pPr>
              <w:pStyle w:val="TableText"/>
              <w:ind w:left="2181"/>
              <w:spacing w:before="181" w:line="219" w:lineRule="auto"/>
              <w:rPr/>
            </w:pPr>
            <w:r>
              <w:rPr>
                <w:spacing w:val="-2"/>
              </w:rPr>
              <w:t>主要内容</w:t>
            </w:r>
          </w:p>
        </w:tc>
        <w:tc>
          <w:tcPr>
            <w:tcW w:w="2108" w:type="dxa"/>
            <w:vAlign w:val="top"/>
          </w:tcPr>
          <w:p>
            <w:pPr>
              <w:pStyle w:val="TableText"/>
              <w:ind w:left="746"/>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679" w:type="dxa"/>
            <w:vAlign w:val="top"/>
          </w:tcPr>
          <w:p>
            <w:pPr>
              <w:pStyle w:val="TableText"/>
              <w:ind w:left="38"/>
              <w:spacing w:before="181" w:line="219" w:lineRule="auto"/>
              <w:rPr/>
            </w:pPr>
            <w:r>
              <w:rPr>
                <w:spacing w:val="-1"/>
              </w:rPr>
              <w:t>政策类别</w:t>
            </w:r>
          </w:p>
        </w:tc>
        <w:tc>
          <w:tcPr>
            <w:tcW w:w="674" w:type="dxa"/>
            <w:vAlign w:val="top"/>
          </w:tcPr>
          <w:p>
            <w:pPr>
              <w:pStyle w:val="TableText"/>
              <w:ind w:left="30"/>
              <w:spacing w:before="181" w:line="220" w:lineRule="auto"/>
              <w:rPr/>
            </w:pPr>
            <w:r>
              <w:rPr>
                <w:spacing w:val="-1"/>
              </w:rPr>
              <w:t>政策形式</w:t>
            </w:r>
          </w:p>
        </w:tc>
      </w:tr>
      <w:tr>
        <w:trPr>
          <w:trHeight w:val="260" w:hRule="atLeast"/>
        </w:trPr>
        <w:tc>
          <w:tcPr>
            <w:shd w:val="clear" w:fill="DCDDDD"/>
            <w:tcW w:w="9639" w:type="dxa"/>
            <w:vAlign w:val="top"/>
            <w:gridSpan w:val="6"/>
          </w:tcPr>
          <w:p>
            <w:pPr>
              <w:pStyle w:val="TableText"/>
              <w:ind w:left="4097"/>
              <w:spacing w:before="54" w:line="219" w:lineRule="auto"/>
              <w:rPr/>
            </w:pPr>
            <w:r>
              <w:rPr>
                <w:b/>
                <w:bCs/>
                <w:spacing w:val="-3"/>
              </w:rPr>
              <w:t>三、行政审批中介服务</w:t>
            </w:r>
          </w:p>
        </w:tc>
      </w:tr>
      <w:tr>
        <w:trPr>
          <w:trHeight w:val="5536" w:hRule="atLeast"/>
        </w:trPr>
        <w:tc>
          <w:tcPr>
            <w:tcW w:w="28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94"/>
              <w:spacing w:before="49" w:line="184" w:lineRule="auto"/>
              <w:rPr/>
            </w:pPr>
            <w:r>
              <w:rPr/>
              <w:t>1</w:t>
            </w:r>
          </w:p>
        </w:tc>
        <w:tc>
          <w:tcPr>
            <w:tcW w:w="4975" w:type="dxa"/>
            <w:vAlign w:val="top"/>
          </w:tcPr>
          <w:p>
            <w:pPr>
              <w:pStyle w:val="TableText"/>
              <w:ind w:left="31" w:right="92" w:firstLine="49"/>
              <w:spacing w:before="107" w:line="232" w:lineRule="auto"/>
              <w:rPr/>
            </w:pPr>
            <w:r>
              <w:rPr/>
              <w:t>一、进一步提升工程建设项目审批效率。全面推行</w:t>
            </w:r>
            <w:r>
              <w:rPr>
                <w:spacing w:val="-1"/>
              </w:rPr>
              <w:t>工程建设项目分级分类</w:t>
            </w:r>
            <w:r>
              <w:rPr/>
              <w:t xml:space="preserve"> </w:t>
            </w:r>
            <w:r>
              <w:rPr/>
              <w:t>管理，在确保安全前提下，对社会投资的小型低风险新建、</w:t>
            </w:r>
            <w:r>
              <w:rPr>
                <w:spacing w:val="-1"/>
              </w:rPr>
              <w:t>改扩建项目，</w:t>
            </w:r>
          </w:p>
          <w:p>
            <w:pPr>
              <w:pStyle w:val="TableText"/>
              <w:ind w:left="31" w:right="8" w:firstLine="49"/>
              <w:spacing w:before="24" w:line="242" w:lineRule="auto"/>
              <w:rPr/>
            </w:pPr>
            <w:r>
              <w:rPr/>
              <w:t>由政府部门发布统一的企业开工条件，企业取得用地、满足开工条件后作</w:t>
            </w:r>
            <w:r>
              <w:rPr>
                <w:spacing w:val="4"/>
              </w:rPr>
              <w:t xml:space="preserve">  </w:t>
            </w:r>
            <w:r>
              <w:rPr>
                <w:spacing w:val="2"/>
              </w:rPr>
              <w:t>出相关承诺，政府部门直接发放相关证书，项目即</w:t>
            </w:r>
            <w:r>
              <w:rPr>
                <w:spacing w:val="1"/>
              </w:rPr>
              <w:t>可开工。加快推动工程</w:t>
            </w:r>
            <w:r>
              <w:rPr/>
              <w:t xml:space="preserve">  </w:t>
            </w:r>
            <w:r>
              <w:rPr>
                <w:spacing w:val="4"/>
              </w:rPr>
              <w:t>建设项目全流程在线审批，推进工程建设项目审批管理系统与投</w:t>
            </w:r>
            <w:r>
              <w:rPr>
                <w:spacing w:val="3"/>
              </w:rPr>
              <w:t>资审批、</w:t>
            </w:r>
            <w:r>
              <w:rPr/>
              <w:t xml:space="preserve"> </w:t>
            </w:r>
            <w:r>
              <w:rPr>
                <w:spacing w:val="1"/>
              </w:rPr>
              <w:t>规划、消防等管理系统数据实时共享，实现信息一次填报、材料一次上传</w:t>
            </w:r>
            <w:r>
              <w:rPr>
                <w:spacing w:val="5"/>
              </w:rPr>
              <w:t xml:space="preserve">  </w:t>
            </w:r>
            <w:r>
              <w:rPr>
                <w:spacing w:val="1"/>
              </w:rPr>
              <w:t>相关评审意见和审批结果即时推送。2020年底前将工程建设项目审批涉及</w:t>
            </w:r>
            <w:r>
              <w:rPr>
                <w:spacing w:val="4"/>
              </w:rPr>
              <w:t xml:space="preserve">  </w:t>
            </w:r>
            <w:r>
              <w:rPr>
                <w:spacing w:val="2"/>
              </w:rPr>
              <w:t>的行政许可、备案、评估评审、中介服务、市政公用服务等纳入线上平台</w:t>
            </w:r>
            <w:r>
              <w:rPr/>
              <w:t xml:space="preserve">  </w:t>
            </w:r>
            <w:r>
              <w:rPr>
                <w:spacing w:val="-1"/>
              </w:rPr>
              <w:t>公开办理标准和费用。</w:t>
            </w:r>
          </w:p>
          <w:p>
            <w:pPr>
              <w:pStyle w:val="TableText"/>
              <w:ind w:left="31" w:right="71" w:firstLine="49"/>
              <w:spacing w:before="22" w:line="237" w:lineRule="auto"/>
              <w:rPr/>
            </w:pPr>
            <w:r>
              <w:rPr/>
              <w:t>二、深入推进“多规合一”。抓紧统筹各类空间性规划，积极推进各类相</w:t>
            </w:r>
            <w:r>
              <w:rPr>
                <w:spacing w:val="11"/>
              </w:rPr>
              <w:t xml:space="preserve"> </w:t>
            </w:r>
            <w:r>
              <w:rPr>
                <w:spacing w:val="2"/>
              </w:rPr>
              <w:t>关规划数据衔接或整合，推动尽快消除规划冲突和“矛盾图斑”。</w:t>
            </w:r>
            <w:r>
              <w:rPr>
                <w:spacing w:val="1"/>
              </w:rPr>
              <w:t>统一测</w:t>
            </w:r>
            <w:r>
              <w:rPr/>
              <w:t xml:space="preserve"> </w:t>
            </w:r>
            <w:r>
              <w:rPr/>
              <w:t>绘技术标准和规则，在用地、规划、施工、验收、</w:t>
            </w:r>
            <w:r>
              <w:rPr>
                <w:spacing w:val="-1"/>
              </w:rPr>
              <w:t>不动产登记等各阶段</w:t>
            </w:r>
          </w:p>
          <w:p>
            <w:pPr>
              <w:pStyle w:val="TableText"/>
              <w:ind w:left="41"/>
              <w:spacing w:before="22" w:line="219" w:lineRule="auto"/>
              <w:rPr/>
            </w:pPr>
            <w:r>
              <w:rPr>
                <w:spacing w:val="-1"/>
              </w:rPr>
              <w:t>实现测绘成果共享互认，避免重复测绘。</w:t>
            </w:r>
          </w:p>
          <w:p>
            <w:pPr>
              <w:pStyle w:val="TableText"/>
              <w:ind w:left="31" w:right="63" w:firstLine="49"/>
              <w:spacing w:before="22" w:line="239" w:lineRule="auto"/>
              <w:rPr/>
            </w:pPr>
            <w:r>
              <w:rPr/>
              <w:t>三、进一步降低市场准入门槛。围绕工程建设、教育、医</w:t>
            </w:r>
            <w:r>
              <w:rPr>
                <w:spacing w:val="-1"/>
              </w:rPr>
              <w:t>疗、体育等领域</w:t>
            </w:r>
            <w:r>
              <w:rPr/>
              <w:t xml:space="preserve"> </w:t>
            </w:r>
            <w:r>
              <w:rPr>
                <w:spacing w:val="2"/>
              </w:rPr>
              <w:t>集中清理有关部门和地方在市场准入方面对企业资质、资金、股比、人员</w:t>
            </w:r>
            <w:r>
              <w:rPr>
                <w:spacing w:val="5"/>
              </w:rPr>
              <w:t xml:space="preserve"> </w:t>
            </w:r>
            <w:r>
              <w:rPr>
                <w:spacing w:val="1"/>
              </w:rPr>
              <w:t>场所等设置的不合理条件，列出台账并逐项明确解决措施、责任主体和完</w:t>
            </w:r>
            <w:r>
              <w:rPr>
                <w:spacing w:val="11"/>
              </w:rPr>
              <w:t xml:space="preserve"> </w:t>
            </w:r>
            <w:r>
              <w:rPr/>
              <w:t>成时限。研究对诊所设置、诊所执业实行备案管理，</w:t>
            </w:r>
            <w:r>
              <w:rPr>
                <w:spacing w:val="-1"/>
              </w:rPr>
              <w:t>扩大医疗服务供给</w:t>
            </w:r>
          </w:p>
          <w:p>
            <w:pPr>
              <w:pStyle w:val="TableText"/>
              <w:ind w:left="31" w:right="71" w:firstLine="49"/>
              <w:spacing w:before="12" w:line="241" w:lineRule="auto"/>
              <w:rPr/>
            </w:pPr>
            <w:r>
              <w:rPr/>
              <w:t>对于海事劳工证书，推动由政府部门直接受理申请、开展</w:t>
            </w:r>
            <w:r>
              <w:rPr>
                <w:spacing w:val="-1"/>
              </w:rPr>
              <w:t>检查和签发，不</w:t>
            </w:r>
            <w:r>
              <w:rPr/>
              <w:t xml:space="preserve"> </w:t>
            </w:r>
            <w:r>
              <w:rPr>
                <w:spacing w:val="2"/>
              </w:rPr>
              <w:t>再要求企业为此接受船检机构检查，且不收取企业办证费用。通过</w:t>
            </w:r>
            <w:r>
              <w:rPr>
                <w:spacing w:val="1"/>
              </w:rPr>
              <w:t>在线审</w:t>
            </w:r>
            <w:r>
              <w:rPr/>
              <w:t xml:space="preserve"> </w:t>
            </w:r>
            <w:r>
              <w:rPr>
                <w:spacing w:val="-1"/>
              </w:rPr>
              <w:t>批等方式简化跨地区巡回演出审批程序。</w:t>
            </w:r>
          </w:p>
          <w:p>
            <w:pPr>
              <w:pStyle w:val="TableText"/>
              <w:ind w:left="80"/>
              <w:spacing w:before="12" w:line="219" w:lineRule="auto"/>
              <w:rPr/>
            </w:pPr>
            <w:r>
              <w:rPr/>
              <w:t>四、精简优化工业产品生产流通等环节管理措施。2020年底前将保留的重</w:t>
            </w:r>
          </w:p>
          <w:p>
            <w:pPr>
              <w:pStyle w:val="TableText"/>
              <w:ind w:left="80"/>
              <w:spacing w:before="32" w:line="219" w:lineRule="auto"/>
              <w:rPr/>
            </w:pPr>
            <w:r>
              <w:rPr/>
              <w:t>要工业产品生产许可证管理权限全部下放给省级人民政</w:t>
            </w:r>
            <w:r>
              <w:rPr>
                <w:spacing w:val="-1"/>
              </w:rPr>
              <w:t>府市场监督管理部</w:t>
            </w:r>
          </w:p>
          <w:p>
            <w:pPr>
              <w:pStyle w:val="TableText"/>
              <w:spacing w:before="22" w:line="219" w:lineRule="auto"/>
              <w:jc w:val="right"/>
              <w:rPr/>
            </w:pPr>
            <w:r>
              <w:rPr/>
              <w:t>门。加强机动车生产、销售、登记、维修、保险、报废等信息的共享和应用</w:t>
            </w:r>
          </w:p>
          <w:p>
            <w:pPr>
              <w:pStyle w:val="TableText"/>
              <w:ind w:left="80"/>
              <w:spacing w:before="22" w:line="219" w:lineRule="auto"/>
              <w:rPr/>
            </w:pPr>
            <w:r>
              <w:rPr/>
              <w:t>提升机动车流通透明度。督促地方取消对二手车经销企</w:t>
            </w:r>
            <w:r>
              <w:rPr>
                <w:spacing w:val="-1"/>
              </w:rPr>
              <w:t>业登记注册地设置</w:t>
            </w:r>
          </w:p>
          <w:p>
            <w:pPr>
              <w:pStyle w:val="TableText"/>
              <w:ind w:left="31" w:right="75" w:firstLine="49"/>
              <w:spacing w:before="23" w:line="236" w:lineRule="auto"/>
              <w:jc w:val="both"/>
              <w:rPr/>
            </w:pPr>
            <w:r>
              <w:rPr/>
              <w:t>的不合理规定，简化二手车经销企业购入机动车交易登记手续。2020年底</w:t>
            </w:r>
            <w:r>
              <w:rPr>
                <w:spacing w:val="7"/>
              </w:rPr>
              <w:t xml:space="preserve"> </w:t>
            </w:r>
            <w:r>
              <w:rPr>
                <w:spacing w:val="1"/>
              </w:rPr>
              <w:t>前优化新能源汽车免征车辆购置税的车型目录和享受车船税减免优惠的车</w:t>
            </w:r>
            <w:r>
              <w:rPr>
                <w:spacing w:val="8"/>
              </w:rPr>
              <w:t xml:space="preserve"> </w:t>
            </w:r>
            <w:r>
              <w:rPr/>
              <w:t>型目录发布程序，实现与道路机动车辆生产</w:t>
            </w:r>
            <w:r>
              <w:rPr>
                <w:spacing w:val="-1"/>
              </w:rPr>
              <w:t>企业及产品公告“一次申报</w:t>
            </w:r>
          </w:p>
        </w:tc>
        <w:tc>
          <w:tcPr>
            <w:tcW w:w="2108" w:type="dxa"/>
            <w:vAlign w:val="top"/>
          </w:tcPr>
          <w:p>
            <w:pPr>
              <w:pStyle w:val="TableText"/>
              <w:ind w:left="15" w:right="62" w:firstLine="60"/>
              <w:spacing w:before="107" w:line="237" w:lineRule="auto"/>
              <w:jc w:val="both"/>
              <w:rPr/>
            </w:pPr>
            <w:r>
              <w:rPr/>
              <w:t>国务院《关于进一步优化营商</w:t>
            </w:r>
            <w:r>
              <w:rPr>
                <w:spacing w:val="8"/>
              </w:rPr>
              <w:t xml:space="preserve"> </w:t>
            </w:r>
            <w:r>
              <w:rPr>
                <w:spacing w:val="4"/>
              </w:rPr>
              <w:t>环境更好服务市场主体的实施</w:t>
            </w:r>
            <w:r>
              <w:rPr>
                <w:spacing w:val="1"/>
              </w:rPr>
              <w:t xml:space="preserve"> </w:t>
            </w:r>
            <w:r>
              <w:rPr>
                <w:spacing w:val="-1"/>
              </w:rPr>
              <w:t>意见》国办发〔2020〕24号</w:t>
            </w:r>
          </w:p>
        </w:tc>
        <w:tc>
          <w:tcPr>
            <w:tcW w:w="919" w:type="dxa"/>
            <w:vAlign w:val="top"/>
          </w:tcPr>
          <w:p>
            <w:pPr>
              <w:pStyle w:val="TableText"/>
              <w:ind w:left="28" w:firstLine="9"/>
              <w:spacing w:before="86" w:line="245" w:lineRule="auto"/>
              <w:jc w:val="both"/>
              <w:rPr/>
            </w:pPr>
            <w:r>
              <w:rPr>
                <w:spacing w:val="15"/>
                <w:w w:val="113"/>
              </w:rPr>
              <w:t>2020年7月</w:t>
            </w:r>
            <w:r>
              <w:rPr>
                <w:spacing w:val="1"/>
              </w:rPr>
              <w:t xml:space="preserve"> </w:t>
            </w:r>
            <w:r>
              <w:rPr>
                <w:spacing w:val="-14"/>
              </w:rPr>
              <w:t>1</w:t>
            </w:r>
            <w:r>
              <w:rPr>
                <w:spacing w:val="-29"/>
              </w:rPr>
              <w:t xml:space="preserve"> </w:t>
            </w:r>
            <w:r>
              <w:rPr>
                <w:spacing w:val="-14"/>
              </w:rPr>
              <w:t>5 日</w:t>
            </w:r>
            <w:r>
              <w:rPr>
                <w:spacing w:val="-6"/>
              </w:rPr>
              <w:t xml:space="preserve"> </w:t>
            </w:r>
            <w:r>
              <w:rPr>
                <w:spacing w:val="-14"/>
              </w:rPr>
              <w:t>(</w:t>
            </w:r>
            <w:r>
              <w:rPr>
                <w:spacing w:val="-30"/>
              </w:rPr>
              <w:t xml:space="preserve"> </w:t>
            </w:r>
            <w:r>
              <w:rPr>
                <w:spacing w:val="-14"/>
              </w:rPr>
              <w:t>文</w:t>
            </w:r>
            <w:r>
              <w:rPr>
                <w:spacing w:val="-32"/>
              </w:rPr>
              <w:t xml:space="preserve"> </w:t>
            </w:r>
            <w:r>
              <w:rPr>
                <w:spacing w:val="-14"/>
              </w:rPr>
              <w:t>件</w:t>
            </w:r>
            <w:r>
              <w:rPr/>
              <w:t xml:space="preserve"> </w:t>
            </w:r>
            <w:r>
              <w:rPr>
                <w:spacing w:val="-2"/>
              </w:rPr>
              <w:t>发布日期</w:t>
            </w:r>
          </w:p>
        </w:tc>
        <w:tc>
          <w:tcPr>
            <w:tcW w:w="679" w:type="dxa"/>
            <w:vAlign w:val="top"/>
          </w:tcPr>
          <w:p>
            <w:pPr>
              <w:pStyle w:val="TableText"/>
              <w:ind w:left="38"/>
              <w:spacing w:before="87" w:line="219" w:lineRule="auto"/>
              <w:rPr/>
            </w:pPr>
            <w:r>
              <w:rPr>
                <w:spacing w:val="-2"/>
              </w:rPr>
              <w:t>指导意见</w:t>
            </w:r>
          </w:p>
        </w:tc>
        <w:tc>
          <w:tcPr>
            <w:tcW w:w="674" w:type="dxa"/>
            <w:vAlign w:val="top"/>
          </w:tcPr>
          <w:p>
            <w:pPr>
              <w:pStyle w:val="TableText"/>
              <w:ind w:left="30"/>
              <w:spacing w:before="87"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51"/>
        <w:rPr/>
      </w:pPr>
      <w:r>
        <w:drawing>
          <wp:anchor distT="0" distB="0" distL="0" distR="0" simplePos="0" relativeHeight="251742208"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54" name="IM 54"/>
            <wp:cNvGraphicFramePr/>
            <a:graphic>
              <a:graphicData uri="http://schemas.openxmlformats.org/drawingml/2006/picture">
                <pic:pic>
                  <pic:nvPicPr>
                    <pic:cNvPr id="54" name="IM 54"/>
                    <pic:cNvPicPr/>
                  </pic:nvPicPr>
                  <pic:blipFill>
                    <a:blip r:embed="rId30"/>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64" w:type="dxa"/>
            <w:vAlign w:val="top"/>
          </w:tcPr>
          <w:p>
            <w:pPr>
              <w:pStyle w:val="TableText"/>
              <w:ind w:left="30"/>
              <w:spacing w:before="171" w:line="220" w:lineRule="auto"/>
              <w:rPr/>
            </w:pPr>
            <w:r>
              <w:rPr>
                <w:spacing w:val="-1"/>
              </w:rPr>
              <w:t>政策形式</w:t>
            </w:r>
          </w:p>
        </w:tc>
      </w:tr>
      <w:tr>
        <w:trPr>
          <w:trHeight w:val="2346" w:hRule="atLeast"/>
        </w:trPr>
        <w:tc>
          <w:tcPr>
            <w:tcW w:w="284"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94"/>
              <w:spacing w:before="49" w:line="184" w:lineRule="auto"/>
              <w:rPr/>
            </w:pPr>
            <w:r>
              <w:rPr/>
              <w:t>1</w:t>
            </w:r>
          </w:p>
        </w:tc>
        <w:tc>
          <w:tcPr>
            <w:tcW w:w="4955" w:type="dxa"/>
            <w:vAlign w:val="top"/>
          </w:tcPr>
          <w:p>
            <w:pPr>
              <w:pStyle w:val="TableText"/>
              <w:ind w:left="21" w:right="82" w:firstLine="69"/>
              <w:spacing w:before="115" w:line="241" w:lineRule="auto"/>
              <w:rPr/>
            </w:pPr>
            <w:r>
              <w:rPr>
                <w:spacing w:val="-3"/>
              </w:rPr>
              <w:t>一并审查、 一批发布”,企业依据产品公告即可享受相关税收减免政策。 </w:t>
            </w:r>
            <w:r>
              <w:rPr>
                <w:spacing w:val="1"/>
              </w:rPr>
              <w:t>五、降低小微企业等经营成本。支持地方开展“一照多址”改革，简化企</w:t>
            </w:r>
            <w:r>
              <w:rPr>
                <w:spacing w:val="8"/>
              </w:rPr>
              <w:t xml:space="preserve"> </w:t>
            </w:r>
            <w:r>
              <w:rPr/>
              <w:t>业设立分支机构的登记手续。在确保食品安全前提下，鼓励有条件的地方</w:t>
            </w:r>
            <w:r>
              <w:rPr>
                <w:spacing w:val="3"/>
              </w:rPr>
              <w:t xml:space="preserve"> </w:t>
            </w:r>
            <w:r>
              <w:rPr/>
              <w:t>合理放宽对连锁便利店制售食品在食品处理区面积等方面的审批要求，探</w:t>
            </w:r>
            <w:r>
              <w:rPr>
                <w:spacing w:val="2"/>
              </w:rPr>
              <w:t xml:space="preserve"> </w:t>
            </w:r>
            <w:r>
              <w:rPr>
                <w:spacing w:val="1"/>
              </w:rPr>
              <w:t>索将食品经营许可(仅销售预包装食品)改</w:t>
            </w:r>
            <w:r>
              <w:rPr/>
              <w:t>为备案，合理制定并公布商户</w:t>
            </w:r>
          </w:p>
          <w:p>
            <w:pPr>
              <w:pStyle w:val="TableText"/>
              <w:ind w:left="31" w:right="95" w:hanging="10"/>
              <w:spacing w:before="22" w:line="233" w:lineRule="auto"/>
              <w:rPr/>
            </w:pPr>
            <w:r>
              <w:rPr/>
              <w:t>牌匾、照明设施等标准。鼓励引导平台企业适当降低向</w:t>
            </w:r>
            <w:r>
              <w:rPr>
                <w:spacing w:val="-1"/>
              </w:rPr>
              <w:t>小微商户收取的平</w:t>
            </w:r>
            <w:r>
              <w:rPr/>
              <w:t xml:space="preserve"> </w:t>
            </w:r>
            <w:r>
              <w:rPr/>
              <w:t>台佣金等服务费用和条码支付、互联网支付等手续费，严禁平台企业滥用</w:t>
            </w:r>
          </w:p>
          <w:p>
            <w:pPr>
              <w:pStyle w:val="TableText"/>
              <w:ind w:left="11" w:right="129" w:firstLine="79"/>
              <w:spacing w:before="21" w:line="237" w:lineRule="auto"/>
              <w:rPr/>
            </w:pPr>
            <w:r>
              <w:rPr/>
              <w:t>市场支配地位收取不公平的高价服务费。在保</w:t>
            </w:r>
            <w:r>
              <w:rPr>
                <w:spacing w:val="-1"/>
              </w:rPr>
              <w:t>障劳动者职业健康前提下</w:t>
            </w:r>
            <w:r>
              <w:rPr/>
              <w:t xml:space="preserve">  </w:t>
            </w:r>
            <w:r>
              <w:rPr/>
              <w:t>对职业病危害一般的用人单位适当降低职业病危害因素检测频次。在工程</w:t>
            </w:r>
            <w:r>
              <w:rPr>
                <w:spacing w:val="3"/>
              </w:rPr>
              <w:t xml:space="preserve"> </w:t>
            </w:r>
            <w:r>
              <w:rPr/>
              <w:t>建设、政府采购等领域，推行以保险、保函等替代</w:t>
            </w:r>
            <w:r>
              <w:rPr>
                <w:spacing w:val="-1"/>
              </w:rPr>
              <w:t>现金缴纳涉企保证金</w:t>
            </w:r>
          </w:p>
          <w:p>
            <w:pPr>
              <w:pStyle w:val="TableText"/>
              <w:ind w:left="11"/>
              <w:spacing w:before="23" w:line="219" w:lineRule="auto"/>
              <w:rPr/>
            </w:pPr>
            <w:r>
              <w:rPr>
                <w:spacing w:val="-1"/>
              </w:rPr>
              <w:t>减轻企业现金流压力。</w:t>
            </w:r>
          </w:p>
        </w:tc>
        <w:tc>
          <w:tcPr>
            <w:tcW w:w="212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64" w:type="dxa"/>
            <w:vAlign w:val="top"/>
          </w:tcPr>
          <w:p>
            <w:pPr>
              <w:rPr>
                <w:rFonts w:ascii="Arial"/>
                <w:sz w:val="21"/>
              </w:rPr>
            </w:pPr>
            <w:r/>
          </w:p>
        </w:tc>
      </w:tr>
      <w:tr>
        <w:trPr>
          <w:trHeight w:val="3330" w:hRule="atLeast"/>
        </w:trPr>
        <w:tc>
          <w:tcPr>
            <w:tcW w:w="284"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94"/>
              <w:spacing w:before="49" w:line="183" w:lineRule="auto"/>
              <w:rPr/>
            </w:pPr>
            <w:r>
              <w:rPr/>
              <w:t>2</w:t>
            </w:r>
          </w:p>
        </w:tc>
        <w:tc>
          <w:tcPr>
            <w:tcW w:w="4955" w:type="dxa"/>
            <w:vAlign w:val="top"/>
          </w:tcPr>
          <w:p>
            <w:pPr>
              <w:pStyle w:val="TableText"/>
              <w:ind w:left="90"/>
              <w:spacing w:before="80" w:line="220" w:lineRule="exact"/>
              <w:rPr/>
            </w:pPr>
            <w:r>
              <w:rPr>
                <w:spacing w:val="-1"/>
                <w:position w:val="5"/>
              </w:rPr>
              <w:t>一、全面清理取消行业协会商会违法违规收费</w:t>
            </w:r>
          </w:p>
          <w:p>
            <w:pPr>
              <w:pStyle w:val="TableText"/>
              <w:ind w:left="90"/>
              <w:spacing w:line="218" w:lineRule="auto"/>
              <w:rPr/>
            </w:pPr>
            <w:r>
              <w:rPr/>
              <w:t>(一)严禁强制入会和强制收费</w:t>
            </w:r>
          </w:p>
          <w:p>
            <w:pPr>
              <w:pStyle w:val="TableText"/>
              <w:ind w:left="90"/>
              <w:spacing w:before="22" w:line="219" w:lineRule="auto"/>
              <w:rPr/>
            </w:pPr>
            <w:r>
              <w:rPr/>
              <w:t>(二)严禁利用法定职责和行政机关委托、授权事项违规收费</w:t>
            </w:r>
          </w:p>
          <w:p>
            <w:pPr>
              <w:pStyle w:val="TableText"/>
              <w:ind w:left="90"/>
              <w:spacing w:before="12" w:line="210" w:lineRule="exact"/>
              <w:rPr/>
            </w:pPr>
            <w:r>
              <w:rPr>
                <w:position w:val="4"/>
              </w:rPr>
              <w:t>(三)严禁通过评比达标表彰活动收费</w:t>
            </w:r>
          </w:p>
          <w:p>
            <w:pPr>
              <w:pStyle w:val="TableText"/>
              <w:ind w:left="90"/>
              <w:spacing w:line="219" w:lineRule="auto"/>
              <w:rPr/>
            </w:pPr>
            <w:r>
              <w:rPr/>
              <w:t>(四)严禁通过职业资格认定违规收费</w:t>
            </w:r>
          </w:p>
          <w:p>
            <w:pPr>
              <w:pStyle w:val="TableText"/>
              <w:ind w:left="90"/>
              <w:spacing w:before="22" w:line="220" w:lineRule="auto"/>
              <w:rPr/>
            </w:pPr>
            <w:r>
              <w:rPr/>
              <w:t>(五)组织开展自查抽查</w:t>
            </w:r>
          </w:p>
          <w:p>
            <w:pPr>
              <w:pStyle w:val="TableText"/>
              <w:ind w:left="90"/>
              <w:spacing w:line="220" w:lineRule="exact"/>
              <w:rPr/>
            </w:pPr>
            <w:r>
              <w:rPr>
                <w:spacing w:val="-1"/>
                <w:position w:val="5"/>
              </w:rPr>
              <w:t>二、进一步提升行业协会商会收费规范性和透明度</w:t>
            </w:r>
          </w:p>
          <w:p>
            <w:pPr>
              <w:pStyle w:val="TableText"/>
              <w:ind w:left="90"/>
              <w:spacing w:before="1" w:line="218" w:lineRule="auto"/>
              <w:rPr/>
            </w:pPr>
            <w:r>
              <w:rPr/>
              <w:t>(六)持续规范会费收取标准和程序</w:t>
            </w:r>
          </w:p>
          <w:p>
            <w:pPr>
              <w:pStyle w:val="TableText"/>
              <w:ind w:left="90"/>
              <w:spacing w:before="23" w:line="219" w:lineRule="auto"/>
              <w:rPr/>
            </w:pPr>
            <w:r>
              <w:rPr/>
              <w:t>(七)合理设定经营服务性收费标准</w:t>
            </w:r>
          </w:p>
          <w:p>
            <w:pPr>
              <w:pStyle w:val="TableText"/>
              <w:ind w:left="90"/>
              <w:spacing w:before="1" w:line="219" w:lineRule="auto"/>
              <w:rPr/>
            </w:pPr>
            <w:r>
              <w:rPr/>
              <w:t>(八)推动降低部分重点领域行业协会商会偏高收费</w:t>
            </w:r>
          </w:p>
          <w:p>
            <w:pPr>
              <w:pStyle w:val="TableText"/>
              <w:ind w:left="90"/>
              <w:spacing w:before="32" w:line="211" w:lineRule="exact"/>
              <w:rPr/>
            </w:pPr>
            <w:r>
              <w:rPr>
                <w:spacing w:val="-1"/>
                <w:position w:val="4"/>
              </w:rPr>
              <w:t>三、建立健全行业协会商会收费长效监管机制</w:t>
            </w:r>
          </w:p>
          <w:p>
            <w:pPr>
              <w:pStyle w:val="TableText"/>
              <w:ind w:left="90"/>
              <w:spacing w:line="219" w:lineRule="auto"/>
              <w:rPr/>
            </w:pPr>
            <w:r>
              <w:rPr/>
              <w:t>(九)强化收费源头治理</w:t>
            </w:r>
          </w:p>
          <w:p>
            <w:pPr>
              <w:pStyle w:val="TableText"/>
              <w:ind w:left="90"/>
              <w:spacing w:before="12" w:line="233" w:lineRule="auto"/>
              <w:rPr/>
            </w:pPr>
            <w:r>
              <w:rPr/>
              <w:t>(十)进一步落实部门监管职责</w:t>
            </w:r>
          </w:p>
          <w:p>
            <w:pPr>
              <w:pStyle w:val="TableText"/>
              <w:ind w:left="90"/>
              <w:spacing w:before="1" w:line="218" w:lineRule="auto"/>
              <w:rPr/>
            </w:pPr>
            <w:r>
              <w:rPr>
                <w:spacing w:val="1"/>
              </w:rPr>
              <w:t>(十一)完善投诉举报机制</w:t>
            </w:r>
          </w:p>
          <w:p>
            <w:pPr>
              <w:pStyle w:val="TableText"/>
              <w:ind w:left="90"/>
              <w:spacing w:before="42" w:line="219" w:lineRule="auto"/>
              <w:rPr/>
            </w:pPr>
            <w:r>
              <w:rPr/>
              <w:t>(十二)加强行业协会商会自身建设</w:t>
            </w:r>
          </w:p>
          <w:p>
            <w:pPr>
              <w:pStyle w:val="TableText"/>
              <w:ind w:left="90"/>
              <w:spacing w:before="22" w:line="219" w:lineRule="auto"/>
              <w:rPr/>
            </w:pPr>
            <w:r>
              <w:rPr>
                <w:spacing w:val="-1"/>
              </w:rPr>
              <w:t>(十三)支持行业协会商会更好发挥作用。</w:t>
            </w:r>
          </w:p>
        </w:tc>
        <w:tc>
          <w:tcPr>
            <w:tcW w:w="2128" w:type="dxa"/>
            <w:vAlign w:val="top"/>
          </w:tcPr>
          <w:p>
            <w:pPr>
              <w:pStyle w:val="TableText"/>
              <w:ind w:left="115" w:right="46" w:hanging="30"/>
              <w:spacing w:before="91" w:line="238" w:lineRule="auto"/>
              <w:rPr/>
            </w:pPr>
            <w:r>
              <w:rPr/>
              <w:t>国务院办公厅《关于进一步规</w:t>
            </w:r>
            <w:r>
              <w:rPr>
                <w:spacing w:val="5"/>
              </w:rPr>
              <w:t xml:space="preserve"> </w:t>
            </w:r>
            <w:r>
              <w:rPr/>
              <w:t>范行业协会商会收费的通知》</w:t>
            </w:r>
          </w:p>
          <w:p>
            <w:pPr>
              <w:pStyle w:val="TableText"/>
              <w:ind w:left="35"/>
              <w:spacing w:before="13" w:line="219" w:lineRule="auto"/>
              <w:rPr/>
            </w:pPr>
            <w:r>
              <w:rPr/>
              <w:t>国办发〔2020〕21号</w:t>
            </w:r>
          </w:p>
        </w:tc>
        <w:tc>
          <w:tcPr>
            <w:tcW w:w="919" w:type="dxa"/>
            <w:vAlign w:val="top"/>
          </w:tcPr>
          <w:p>
            <w:pPr>
              <w:pStyle w:val="TableText"/>
              <w:ind w:left="18" w:right="20"/>
              <w:spacing w:before="90" w:line="237" w:lineRule="auto"/>
              <w:rPr/>
            </w:pPr>
            <w:r>
              <w:rPr>
                <w:spacing w:val="15"/>
                <w:w w:val="113"/>
              </w:rPr>
              <w:t>2020年7月</w:t>
            </w:r>
            <w:r>
              <w:rPr>
                <w:spacing w:val="1"/>
              </w:rPr>
              <w:t xml:space="preserve"> </w:t>
            </w:r>
            <w:r>
              <w:rPr>
                <w:spacing w:val="-2"/>
              </w:rPr>
              <w:t>2日(文件发  </w:t>
            </w:r>
            <w:r>
              <w:rPr>
                <w:spacing w:val="6"/>
              </w:rPr>
              <w:t>布日期)</w:t>
            </w:r>
          </w:p>
        </w:tc>
        <w:tc>
          <w:tcPr>
            <w:tcW w:w="679" w:type="dxa"/>
            <w:vAlign w:val="top"/>
          </w:tcPr>
          <w:p>
            <w:pPr>
              <w:pStyle w:val="TableText"/>
              <w:ind w:left="38"/>
              <w:spacing w:before="81" w:line="220" w:lineRule="auto"/>
              <w:rPr/>
            </w:pPr>
            <w:r>
              <w:rPr>
                <w:spacing w:val="-2"/>
              </w:rPr>
              <w:t>行政通知</w:t>
            </w:r>
          </w:p>
        </w:tc>
        <w:tc>
          <w:tcPr>
            <w:tcW w:w="664" w:type="dxa"/>
            <w:vAlign w:val="top"/>
          </w:tcPr>
          <w:p>
            <w:pPr>
              <w:pStyle w:val="TableText"/>
              <w:ind w:left="30"/>
              <w:spacing w:before="81"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46"/>
        <w:rPr/>
      </w:pPr>
      <w:r>
        <w:drawing>
          <wp:anchor distT="0" distB="0" distL="0" distR="0" simplePos="0" relativeHeight="251743232" behindDoc="0" locked="0" layoutInCell="0" allowOverlap="1">
            <wp:simplePos x="0" y="0"/>
            <wp:positionH relativeFrom="page">
              <wp:posOffset>507996</wp:posOffset>
            </wp:positionH>
            <wp:positionV relativeFrom="page">
              <wp:posOffset>666764</wp:posOffset>
            </wp:positionV>
            <wp:extent cx="114274" cy="133311"/>
            <wp:effectExtent l="0" t="0" r="0" b="0"/>
            <wp:wrapNone/>
            <wp:docPr id="56" name="IM 56"/>
            <wp:cNvGraphicFramePr/>
            <a:graphic>
              <a:graphicData uri="http://schemas.openxmlformats.org/drawingml/2006/picture">
                <pic:pic>
                  <pic:nvPicPr>
                    <pic:cNvPr id="56" name="IM 56"/>
                    <pic:cNvPicPr/>
                  </pic:nvPicPr>
                  <pic:blipFill>
                    <a:blip r:embed="rId31"/>
                    <a:stretch>
                      <a:fillRect/>
                    </a:stretch>
                  </pic:blipFill>
                  <pic:spPr>
                    <a:xfrm rot="0">
                      <a:off x="0" y="0"/>
                      <a:ext cx="114274" cy="133311"/>
                    </a:xfrm>
                    <a:prstGeom prst="rect">
                      <a:avLst/>
                    </a:prstGeom>
                  </pic:spPr>
                </pic:pic>
              </a:graphicData>
            </a:graphic>
          </wp:anchor>
        </w:drawing>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65"/>
        <w:gridCol w:w="2128"/>
        <w:gridCol w:w="909"/>
        <w:gridCol w:w="679"/>
        <w:gridCol w:w="664"/>
      </w:tblGrid>
      <w:tr>
        <w:trPr>
          <w:trHeight w:val="514" w:hRule="atLeast"/>
        </w:trPr>
        <w:tc>
          <w:tcPr>
            <w:tcW w:w="284" w:type="dxa"/>
            <w:vAlign w:val="top"/>
            <w:textDirection w:val="tbRlV"/>
          </w:tcPr>
          <w:p>
            <w:pPr>
              <w:pStyle w:val="TableText"/>
              <w:ind w:left="57"/>
              <w:spacing w:before="69" w:line="217" w:lineRule="auto"/>
              <w:rPr/>
            </w:pPr>
            <w:r>
              <w:rPr/>
              <w:t>序</w:t>
            </w:r>
            <w:r>
              <w:rPr>
                <w:spacing w:val="16"/>
              </w:rPr>
              <w:t xml:space="preserve"> </w:t>
            </w:r>
            <w:r>
              <w:rPr/>
              <w:t>号</w:t>
            </w:r>
          </w:p>
        </w:tc>
        <w:tc>
          <w:tcPr>
            <w:tcW w:w="4965" w:type="dxa"/>
            <w:vAlign w:val="top"/>
          </w:tcPr>
          <w:p>
            <w:pPr>
              <w:pStyle w:val="TableText"/>
              <w:ind w:left="2171"/>
              <w:spacing w:before="181" w:line="219" w:lineRule="auto"/>
              <w:rPr/>
            </w:pPr>
            <w:r>
              <w:rPr>
                <w:spacing w:val="-2"/>
              </w:rPr>
              <w:t>主要内容</w:t>
            </w:r>
          </w:p>
        </w:tc>
        <w:tc>
          <w:tcPr>
            <w:tcW w:w="2128" w:type="dxa"/>
            <w:vAlign w:val="top"/>
          </w:tcPr>
          <w:p>
            <w:pPr>
              <w:pStyle w:val="TableText"/>
              <w:ind w:left="756"/>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679" w:type="dxa"/>
            <w:vAlign w:val="top"/>
          </w:tcPr>
          <w:p>
            <w:pPr>
              <w:pStyle w:val="TableText"/>
              <w:ind w:left="38"/>
              <w:spacing w:before="181" w:line="219" w:lineRule="auto"/>
              <w:rPr/>
            </w:pPr>
            <w:r>
              <w:rPr>
                <w:spacing w:val="-1"/>
              </w:rPr>
              <w:t>政策类别</w:t>
            </w:r>
          </w:p>
        </w:tc>
        <w:tc>
          <w:tcPr>
            <w:tcW w:w="664" w:type="dxa"/>
            <w:vAlign w:val="top"/>
          </w:tcPr>
          <w:p>
            <w:pPr>
              <w:pStyle w:val="TableText"/>
              <w:ind w:left="30"/>
              <w:spacing w:before="181" w:line="220" w:lineRule="auto"/>
              <w:rPr/>
            </w:pPr>
            <w:r>
              <w:rPr>
                <w:spacing w:val="-1"/>
              </w:rPr>
              <w:t>政策形式</w:t>
            </w:r>
          </w:p>
        </w:tc>
      </w:tr>
      <w:tr>
        <w:trPr>
          <w:trHeight w:val="260" w:hRule="atLeast"/>
        </w:trPr>
        <w:tc>
          <w:tcPr>
            <w:shd w:val="clear" w:fill="DCDDDD"/>
            <w:tcW w:w="9629" w:type="dxa"/>
            <w:vAlign w:val="top"/>
            <w:gridSpan w:val="6"/>
          </w:tcPr>
          <w:p>
            <w:pPr>
              <w:pStyle w:val="TableText"/>
              <w:ind w:left="4237"/>
              <w:spacing w:before="55" w:line="219" w:lineRule="auto"/>
              <w:rPr/>
            </w:pPr>
            <w:r>
              <w:rPr>
                <w:b/>
                <w:bCs/>
                <w:spacing w:val="-2"/>
              </w:rPr>
              <w:t>四、商事制度改革</w:t>
            </w:r>
          </w:p>
        </w:tc>
      </w:tr>
      <w:tr>
        <w:trPr>
          <w:trHeight w:val="878" w:hRule="atLeast"/>
        </w:trPr>
        <w:tc>
          <w:tcPr>
            <w:tcW w:w="284" w:type="dxa"/>
            <w:vAlign w:val="top"/>
          </w:tcPr>
          <w:p>
            <w:pPr>
              <w:spacing w:line="354" w:lineRule="auto"/>
              <w:rPr>
                <w:rFonts w:ascii="Arial"/>
                <w:sz w:val="21"/>
              </w:rPr>
            </w:pPr>
            <w:r/>
          </w:p>
          <w:p>
            <w:pPr>
              <w:pStyle w:val="TableText"/>
              <w:ind w:left="94"/>
              <w:spacing w:before="48" w:line="184" w:lineRule="auto"/>
              <w:rPr/>
            </w:pPr>
            <w:r>
              <w:rPr/>
              <w:t>1</w:t>
            </w:r>
          </w:p>
        </w:tc>
        <w:tc>
          <w:tcPr>
            <w:tcW w:w="4965" w:type="dxa"/>
            <w:vAlign w:val="top"/>
          </w:tcPr>
          <w:p>
            <w:pPr>
              <w:pStyle w:val="TableText"/>
              <w:ind w:left="71"/>
              <w:spacing w:before="107" w:line="219" w:lineRule="auto"/>
              <w:rPr/>
            </w:pPr>
            <w:r>
              <w:rPr/>
              <w:t>二、切实加快减免房租，助力支持服务业小微企业和</w:t>
            </w:r>
            <w:r>
              <w:rPr>
                <w:spacing w:val="-1"/>
              </w:rPr>
              <w:t>个体工商户渡过难关</w:t>
            </w:r>
          </w:p>
          <w:p>
            <w:pPr>
              <w:pStyle w:val="TableText"/>
              <w:ind w:left="71"/>
              <w:spacing w:before="12" w:line="219" w:lineRule="auto"/>
              <w:rPr/>
            </w:pPr>
            <w:r>
              <w:rPr/>
              <w:t>认真落实《关于做好2022年服务业小微企业和个体工商户</w:t>
            </w:r>
            <w:r>
              <w:rPr>
                <w:spacing w:val="-1"/>
              </w:rPr>
              <w:t>房租减免工作的</w:t>
            </w:r>
          </w:p>
          <w:p>
            <w:pPr>
              <w:pStyle w:val="TableText"/>
              <w:ind w:left="150"/>
              <w:spacing w:before="31" w:line="219" w:lineRule="auto"/>
              <w:rPr/>
            </w:pPr>
            <w:r>
              <w:rPr/>
              <w:t>通知》(国资厅财评〔2022〕29号，以下简称29号文件)</w:t>
            </w:r>
            <w:r>
              <w:rPr>
                <w:spacing w:val="-1"/>
              </w:rPr>
              <w:t>要求，坚持“应</w:t>
            </w:r>
          </w:p>
          <w:p>
            <w:pPr>
              <w:pStyle w:val="TableText"/>
              <w:ind w:left="51"/>
              <w:spacing w:before="20" w:line="201" w:lineRule="auto"/>
              <w:rPr/>
            </w:pPr>
            <w:r>
              <w:rPr>
                <w:spacing w:val="-1"/>
              </w:rPr>
              <w:t>免尽免、应免快免”,切实加快减免房租政策落地</w:t>
            </w:r>
          </w:p>
        </w:tc>
        <w:tc>
          <w:tcPr>
            <w:tcW w:w="2128" w:type="dxa"/>
            <w:vAlign w:val="top"/>
          </w:tcPr>
          <w:p>
            <w:pPr>
              <w:pStyle w:val="TableText"/>
              <w:ind w:left="20" w:right="65" w:firstLine="64"/>
              <w:spacing w:before="107" w:line="234" w:lineRule="auto"/>
              <w:jc w:val="both"/>
              <w:rPr/>
            </w:pPr>
            <w:r>
              <w:rPr>
                <w:spacing w:val="1"/>
              </w:rPr>
              <w:t>国资委《关于中央企业助力中</w:t>
            </w:r>
            <w:r>
              <w:rPr>
                <w:spacing w:val="2"/>
              </w:rPr>
              <w:t xml:space="preserve"> </w:t>
            </w:r>
            <w:r>
              <w:rPr>
                <w:spacing w:val="4"/>
              </w:rPr>
              <w:t>小企业纾困解难促进协同发展</w:t>
            </w:r>
            <w:r>
              <w:rPr>
                <w:spacing w:val="2"/>
              </w:rPr>
              <w:t xml:space="preserve"> </w:t>
            </w:r>
            <w:r>
              <w:rPr>
                <w:spacing w:val="4"/>
              </w:rPr>
              <w:t>有关事项的通知》国资发财评</w:t>
            </w:r>
            <w:r>
              <w:rPr>
                <w:spacing w:val="5"/>
              </w:rPr>
              <w:t xml:space="preserve"> </w:t>
            </w:r>
            <w:r>
              <w:rPr>
                <w:spacing w:val="8"/>
              </w:rPr>
              <w:t>〔2022〕40号</w:t>
            </w:r>
          </w:p>
        </w:tc>
        <w:tc>
          <w:tcPr>
            <w:tcW w:w="909" w:type="dxa"/>
            <w:vAlign w:val="top"/>
          </w:tcPr>
          <w:p>
            <w:pPr>
              <w:pStyle w:val="TableText"/>
              <w:ind w:left="27" w:right="10" w:hanging="9"/>
              <w:spacing w:before="106" w:line="234" w:lineRule="auto"/>
              <w:jc w:val="both"/>
              <w:rPr/>
            </w:pPr>
            <w:r>
              <w:rPr>
                <w:spacing w:val="15"/>
                <w:w w:val="113"/>
              </w:rPr>
              <w:t>2022年5月</w:t>
            </w:r>
            <w:r>
              <w:rPr>
                <w:spacing w:val="1"/>
              </w:rPr>
              <w:t xml:space="preserve"> </w:t>
            </w:r>
            <w:r>
              <w:rPr>
                <w:spacing w:val="-14"/>
              </w:rPr>
              <w:t>1</w:t>
            </w:r>
            <w:r>
              <w:rPr>
                <w:spacing w:val="-30"/>
              </w:rPr>
              <w:t xml:space="preserve"> </w:t>
            </w:r>
            <w:r>
              <w:rPr>
                <w:spacing w:val="-14"/>
              </w:rPr>
              <w:t>9 日</w:t>
            </w:r>
            <w:r>
              <w:rPr>
                <w:spacing w:val="-5"/>
              </w:rPr>
              <w:t xml:space="preserve"> </w:t>
            </w:r>
            <w:r>
              <w:rPr>
                <w:spacing w:val="-14"/>
              </w:rPr>
              <w:t>(</w:t>
            </w:r>
            <w:r>
              <w:rPr>
                <w:spacing w:val="-30"/>
              </w:rPr>
              <w:t xml:space="preserve"> </w:t>
            </w:r>
            <w:r>
              <w:rPr>
                <w:spacing w:val="-14"/>
              </w:rPr>
              <w:t>文</w:t>
            </w:r>
            <w:r>
              <w:rPr>
                <w:spacing w:val="-32"/>
              </w:rPr>
              <w:t xml:space="preserve"> </w:t>
            </w:r>
            <w:r>
              <w:rPr>
                <w:spacing w:val="-14"/>
              </w:rPr>
              <w:t>件</w:t>
            </w:r>
            <w:r>
              <w:rPr/>
              <w:t xml:space="preserve"> </w:t>
            </w:r>
            <w:r>
              <w:rPr>
                <w:spacing w:val="5"/>
              </w:rPr>
              <w:t>签发日期)</w:t>
            </w:r>
          </w:p>
        </w:tc>
        <w:tc>
          <w:tcPr>
            <w:tcW w:w="679" w:type="dxa"/>
            <w:vAlign w:val="top"/>
          </w:tcPr>
          <w:p>
            <w:pPr>
              <w:pStyle w:val="TableText"/>
              <w:ind w:left="188" w:right="35" w:hanging="150"/>
              <w:spacing w:before="87" w:line="255" w:lineRule="auto"/>
              <w:rPr/>
            </w:pPr>
            <w:r>
              <w:rPr>
                <w:spacing w:val="-2"/>
              </w:rPr>
              <w:t>助力中小</w:t>
            </w:r>
            <w:r>
              <w:rPr>
                <w:spacing w:val="1"/>
              </w:rPr>
              <w:t xml:space="preserve"> </w:t>
            </w:r>
            <w:r>
              <w:rPr>
                <w:spacing w:val="-3"/>
              </w:rPr>
              <w:t>企业</w:t>
            </w:r>
          </w:p>
        </w:tc>
        <w:tc>
          <w:tcPr>
            <w:tcW w:w="664" w:type="dxa"/>
            <w:vAlign w:val="top"/>
          </w:tcPr>
          <w:p>
            <w:pPr>
              <w:pStyle w:val="TableText"/>
              <w:ind w:left="30"/>
              <w:spacing w:before="77" w:line="220" w:lineRule="auto"/>
              <w:rPr/>
            </w:pPr>
            <w:r>
              <w:rPr>
                <w:spacing w:val="-2"/>
              </w:rPr>
              <w:t>纾困解难</w:t>
            </w:r>
          </w:p>
        </w:tc>
      </w:tr>
      <w:tr>
        <w:trPr>
          <w:trHeight w:val="4478" w:hRule="atLeast"/>
        </w:trPr>
        <w:tc>
          <w:tcPr>
            <w:tcW w:w="284"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94"/>
              <w:spacing w:before="49" w:line="183" w:lineRule="auto"/>
              <w:rPr/>
            </w:pPr>
            <w:r>
              <w:rPr/>
              <w:t>2</w:t>
            </w:r>
          </w:p>
        </w:tc>
        <w:tc>
          <w:tcPr>
            <w:tcW w:w="4965" w:type="dxa"/>
            <w:vAlign w:val="top"/>
          </w:tcPr>
          <w:p>
            <w:pPr>
              <w:pStyle w:val="TableText"/>
              <w:ind w:left="11" w:firstLine="19"/>
              <w:spacing w:before="88" w:line="245" w:lineRule="auto"/>
              <w:rPr/>
            </w:pPr>
            <w:r>
              <w:rPr>
                <w:spacing w:val="-1"/>
              </w:rPr>
              <w:t>一、进一步提高进出口通关效率。推行进出口货物“提前申报”,企业提前</w:t>
            </w:r>
            <w:r>
              <w:rPr>
                <w:spacing w:val="7"/>
              </w:rPr>
              <w:t xml:space="preserve">  </w:t>
            </w:r>
            <w:r>
              <w:rPr>
                <w:spacing w:val="-1"/>
              </w:rPr>
              <w:t>办理申报手续，海关在货物运抵海关监管作业场所后即办</w:t>
            </w:r>
            <w:r>
              <w:rPr>
                <w:spacing w:val="-2"/>
              </w:rPr>
              <w:t>理货物查验、放行</w:t>
            </w:r>
            <w:r>
              <w:rPr/>
              <w:t xml:space="preserve"> </w:t>
            </w:r>
            <w:r>
              <w:rPr>
                <w:spacing w:val="-1"/>
              </w:rPr>
              <w:t>手续。优化进口“两步申报”通关模式，企业进行“概要申报”</w:t>
            </w:r>
            <w:r>
              <w:rPr>
                <w:spacing w:val="-2"/>
              </w:rPr>
              <w:t>且海关完成</w:t>
            </w:r>
            <w:r>
              <w:rPr/>
              <w:t xml:space="preserve"> </w:t>
            </w:r>
            <w:r>
              <w:rPr>
                <w:spacing w:val="-1"/>
              </w:rPr>
              <w:t>风险排查处置后，即允许企业将货物提离。在符合条件的监管</w:t>
            </w:r>
            <w:r>
              <w:rPr>
                <w:spacing w:val="-2"/>
              </w:rPr>
              <w:t>作业场所开展</w:t>
            </w:r>
            <w:r>
              <w:rPr/>
              <w:t xml:space="preserve"> </w:t>
            </w:r>
            <w:r>
              <w:rPr>
                <w:spacing w:val="-1"/>
              </w:rPr>
              <w:t>进口货物“船边直提”和出口货物“抵港直装”试点。推行查验作</w:t>
            </w:r>
            <w:r>
              <w:rPr>
                <w:spacing w:val="-2"/>
              </w:rPr>
              <w:t>业全程监</w:t>
            </w:r>
            <w:r>
              <w:rPr/>
              <w:t xml:space="preserve"> </w:t>
            </w:r>
            <w:r>
              <w:rPr>
                <w:spacing w:val="-1"/>
              </w:rPr>
              <w:t>控和留痕，允许有条件的地方实行企业自主选择是否陪同查验，减轻企业负</w:t>
            </w:r>
            <w:r>
              <w:rPr>
                <w:spacing w:val="16"/>
              </w:rPr>
              <w:t xml:space="preserve"> </w:t>
            </w:r>
            <w:r>
              <w:rPr/>
              <w:t>担。严禁口岸为压缩通关时间简单采取单日限流、控制报</w:t>
            </w:r>
            <w:r>
              <w:rPr>
                <w:spacing w:val="-1"/>
              </w:rPr>
              <w:t>关等不合理措施。</w:t>
            </w:r>
            <w:r>
              <w:rPr/>
              <w:t xml:space="preserve"> </w:t>
            </w:r>
            <w:r>
              <w:rPr/>
              <w:t>二、拓展国际贸易“单一窗口”功能。加快“单一窗口”功能由口岸通关  </w:t>
            </w:r>
            <w:r>
              <w:rPr/>
              <w:t>执法向口岸物流、贸易服务等全链条拓展，实现港口、船代、理货等收费  </w:t>
            </w:r>
            <w:r>
              <w:rPr/>
              <w:t>标准线上公开、在线查询。除涉密等特殊情况外，进出口环节涉及的监管  </w:t>
            </w:r>
            <w:r>
              <w:rPr/>
              <w:t>证件原则上都应通过“单一窗口”一口受理，由相关部门在后台分别办理  </w:t>
            </w:r>
            <w:r>
              <w:rPr/>
              <w:t>并实施监管，推动实现企业在线缴费、自主打</w:t>
            </w:r>
            <w:r>
              <w:rPr>
                <w:spacing w:val="-1"/>
              </w:rPr>
              <w:t>印证件</w:t>
            </w:r>
          </w:p>
          <w:p>
            <w:pPr>
              <w:pStyle w:val="TableText"/>
              <w:ind w:left="31" w:hanging="20"/>
              <w:spacing w:line="246" w:lineRule="auto"/>
              <w:rPr/>
            </w:pPr>
            <w:r>
              <w:rPr/>
              <w:t>三、进一步减少外资外贸企业投资经营限制。支持外贸企</w:t>
            </w:r>
            <w:r>
              <w:rPr>
                <w:spacing w:val="-1"/>
              </w:rPr>
              <w:t>业出口产品转内销</w:t>
            </w:r>
            <w:r>
              <w:rPr/>
              <w:t xml:space="preserve"> </w:t>
            </w:r>
            <w:r>
              <w:rPr>
                <w:spacing w:val="1"/>
              </w:rPr>
              <w:t>推行以外贸企业自我声明等方式替代相关国内认证，对已经取得相关国际</w:t>
            </w:r>
            <w:r>
              <w:rPr/>
              <w:t xml:space="preserve">  </w:t>
            </w:r>
            <w:r>
              <w:rPr>
                <w:spacing w:val="1"/>
              </w:rPr>
              <w:t>认证且认证标准不低于国内标准的产品，允许外贸企业作出符合国内标准</w:t>
            </w:r>
            <w:r>
              <w:rPr/>
              <w:t xml:space="preserve">  </w:t>
            </w:r>
            <w:r>
              <w:rPr>
                <w:spacing w:val="1"/>
              </w:rPr>
              <w:t>的书面承诺后直接上市销售，并加强事中事后监管。授权全国所有地级及</w:t>
            </w:r>
            <w:r>
              <w:rPr>
                <w:spacing w:val="7"/>
              </w:rPr>
              <w:t xml:space="preserve">  </w:t>
            </w:r>
            <w:r>
              <w:rPr/>
              <w:t>以上城市开展外商投资企业注册登记</w:t>
            </w:r>
          </w:p>
          <w:p>
            <w:pPr>
              <w:pStyle w:val="TableText"/>
              <w:ind w:left="71" w:right="76"/>
              <w:spacing w:before="19" w:line="239" w:lineRule="auto"/>
              <w:jc w:val="both"/>
              <w:rPr/>
            </w:pPr>
            <w:r>
              <w:rPr/>
              <w:t>四、完善对新业态的包容审慎监管。加快评估已出台的新业态准入和监管</w:t>
            </w:r>
            <w:r>
              <w:rPr>
                <w:spacing w:val="6"/>
              </w:rPr>
              <w:t xml:space="preserve"> </w:t>
            </w:r>
            <w:r>
              <w:rPr/>
              <w:t>政策，坚决清理各类不合理管理措施。在保证医疗安全和</w:t>
            </w:r>
            <w:r>
              <w:rPr>
                <w:spacing w:val="-1"/>
              </w:rPr>
              <w:t>质量前提下，进</w:t>
            </w:r>
            <w:r>
              <w:rPr/>
              <w:t xml:space="preserve"> </w:t>
            </w:r>
            <w:r>
              <w:rPr/>
              <w:t>一步放宽互联网诊疗范围，将符合条件的互联网医</w:t>
            </w:r>
            <w:r>
              <w:rPr>
                <w:spacing w:val="-1"/>
              </w:rPr>
              <w:t>疗服务纳入医保报销范</w:t>
            </w:r>
            <w:r>
              <w:rPr/>
              <w:t xml:space="preserve"> </w:t>
            </w:r>
            <w:r>
              <w:rPr/>
              <w:t>围，制定公布全国统一的互联网医疗审批标准，加快创新型医疗器械审评</w:t>
            </w:r>
            <w:r>
              <w:rPr>
                <w:spacing w:val="5"/>
              </w:rPr>
              <w:t xml:space="preserve"> </w:t>
            </w:r>
            <w:r>
              <w:rPr/>
              <w:t>审批并推进临床应用。统一智能网联汽车自动驾驶功能测试标准，推动实</w:t>
            </w:r>
          </w:p>
        </w:tc>
        <w:tc>
          <w:tcPr>
            <w:tcW w:w="2128" w:type="dxa"/>
            <w:vAlign w:val="top"/>
          </w:tcPr>
          <w:p>
            <w:pPr>
              <w:pStyle w:val="TableText"/>
              <w:ind w:left="15" w:right="6" w:firstLine="70"/>
              <w:spacing w:before="99" w:line="234" w:lineRule="auto"/>
              <w:jc w:val="both"/>
              <w:rPr/>
            </w:pPr>
            <w:r>
              <w:rPr/>
              <w:t>国务院办公厅《关于进一步优</w:t>
            </w:r>
            <w:r>
              <w:rPr>
                <w:spacing w:val="2"/>
              </w:rPr>
              <w:t xml:space="preserve">  </w:t>
            </w:r>
            <w:r>
              <w:rPr>
                <w:spacing w:val="4"/>
              </w:rPr>
              <w:t>化营商环境更好服务市场主体</w:t>
            </w:r>
            <w:r>
              <w:rPr>
                <w:spacing w:val="5"/>
              </w:rPr>
              <w:t xml:space="preserve">  </w:t>
            </w:r>
            <w:r>
              <w:rPr>
                <w:spacing w:val="9"/>
              </w:rPr>
              <w:t>的实施意见》国办发〔2020〕 </w:t>
            </w:r>
            <w:r>
              <w:rPr>
                <w:spacing w:val="-5"/>
              </w:rPr>
              <w:t>2</w:t>
            </w:r>
            <w:r>
              <w:rPr>
                <w:spacing w:val="-31"/>
              </w:rPr>
              <w:t xml:space="preserve"> </w:t>
            </w:r>
            <w:r>
              <w:rPr>
                <w:spacing w:val="-5"/>
              </w:rPr>
              <w:t>4</w:t>
            </w:r>
            <w:r>
              <w:rPr>
                <w:spacing w:val="-27"/>
              </w:rPr>
              <w:t xml:space="preserve"> </w:t>
            </w:r>
            <w:r>
              <w:rPr>
                <w:spacing w:val="-5"/>
              </w:rPr>
              <w:t>号</w:t>
            </w:r>
          </w:p>
        </w:tc>
        <w:tc>
          <w:tcPr>
            <w:tcW w:w="909" w:type="dxa"/>
            <w:vAlign w:val="top"/>
          </w:tcPr>
          <w:p>
            <w:pPr>
              <w:pStyle w:val="TableText"/>
              <w:ind w:left="27"/>
              <w:spacing w:before="98" w:line="238" w:lineRule="auto"/>
              <w:rPr/>
            </w:pPr>
            <w:r>
              <w:rPr>
                <w:spacing w:val="15"/>
                <w:w w:val="113"/>
              </w:rPr>
              <w:t>2020年7月</w:t>
            </w:r>
            <w:r>
              <w:rPr>
                <w:spacing w:val="1"/>
              </w:rPr>
              <w:t xml:space="preserve"> </w:t>
            </w:r>
            <w:r>
              <w:rPr>
                <w:spacing w:val="9"/>
              </w:rPr>
              <w:t>15日</w:t>
            </w:r>
          </w:p>
        </w:tc>
        <w:tc>
          <w:tcPr>
            <w:tcW w:w="679" w:type="dxa"/>
            <w:vAlign w:val="top"/>
          </w:tcPr>
          <w:p>
            <w:pPr>
              <w:pStyle w:val="TableText"/>
              <w:ind w:left="38"/>
              <w:spacing w:before="99" w:line="219" w:lineRule="auto"/>
              <w:rPr/>
            </w:pPr>
            <w:r>
              <w:rPr>
                <w:spacing w:val="-2"/>
              </w:rPr>
              <w:t>指导意见</w:t>
            </w:r>
          </w:p>
        </w:tc>
        <w:tc>
          <w:tcPr>
            <w:tcW w:w="664" w:type="dxa"/>
            <w:vAlign w:val="top"/>
          </w:tcPr>
          <w:p>
            <w:pPr>
              <w:pStyle w:val="TableText"/>
              <w:ind w:left="30"/>
              <w:spacing w:before="99" w:line="219" w:lineRule="auto"/>
              <w:rPr/>
            </w:pPr>
            <w:r>
              <w:rPr>
                <w:spacing w:val="-2"/>
              </w:rPr>
              <w:t>行政优化</w:t>
            </w:r>
          </w:p>
        </w:tc>
      </w:tr>
    </w:tbl>
    <w:p>
      <w:pPr>
        <w:pStyle w:val="BodyText"/>
        <w:rPr/>
      </w:pPr>
      <w:r/>
    </w:p>
    <w:p>
      <w:pPr>
        <w:sectPr>
          <w:pgSz w:w="11910" w:h="8220"/>
          <w:pgMar w:top="400" w:right="1155" w:bottom="400" w:left="799" w:header="0" w:footer="0" w:gutter="0"/>
        </w:sectPr>
        <w:rPr/>
      </w:pPr>
    </w:p>
    <w:p>
      <w:pPr>
        <w:spacing w:before="16"/>
        <w:rPr/>
      </w:pPr>
      <w:r>
        <w:drawing>
          <wp:anchor distT="0" distB="0" distL="0" distR="0" simplePos="0" relativeHeight="251744256"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58" name="IM 58"/>
            <wp:cNvGraphicFramePr/>
            <a:graphic>
              <a:graphicData uri="http://schemas.openxmlformats.org/drawingml/2006/picture">
                <pic:pic>
                  <pic:nvPicPr>
                    <pic:cNvPr id="58" name="IM 58"/>
                    <pic:cNvPicPr/>
                  </pic:nvPicPr>
                  <pic:blipFill>
                    <a:blip r:embed="rId32"/>
                    <a:stretch>
                      <a:fillRect/>
                    </a:stretch>
                  </pic:blipFill>
                  <pic:spPr>
                    <a:xfrm rot="0">
                      <a:off x="0" y="0"/>
                      <a:ext cx="107921" cy="126995"/>
                    </a:xfrm>
                    <a:prstGeom prst="rect">
                      <a:avLst/>
                    </a:prstGeom>
                  </pic:spPr>
                </pic:pic>
              </a:graphicData>
            </a:graphic>
          </wp:anchor>
        </w:drawing>
      </w:r>
      <w:r/>
    </w:p>
    <w:p>
      <w:pPr>
        <w:spacing w:before="1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18"/>
        <w:gridCol w:w="919"/>
        <w:gridCol w:w="67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18" w:type="dxa"/>
            <w:vAlign w:val="top"/>
          </w:tcPr>
          <w:p>
            <w:pPr>
              <w:pStyle w:val="TableText"/>
              <w:ind w:left="766"/>
              <w:spacing w:before="170" w:line="219" w:lineRule="auto"/>
              <w:rPr/>
            </w:pPr>
            <w:r>
              <w:rPr>
                <w:spacing w:val="-1"/>
              </w:rPr>
              <w:t>政策依据</w:t>
            </w:r>
          </w:p>
        </w:tc>
        <w:tc>
          <w:tcPr>
            <w:tcW w:w="919" w:type="dxa"/>
            <w:vAlign w:val="top"/>
          </w:tcPr>
          <w:p>
            <w:pPr>
              <w:pStyle w:val="TableText"/>
              <w:ind w:left="147"/>
              <w:spacing w:before="171" w:line="219" w:lineRule="auto"/>
              <w:rPr/>
            </w:pPr>
            <w:r>
              <w:rPr>
                <w:spacing w:val="3"/>
              </w:rPr>
              <w:t>执行时间</w:t>
            </w:r>
          </w:p>
        </w:tc>
        <w:tc>
          <w:tcPr>
            <w:tcW w:w="679" w:type="dxa"/>
            <w:vAlign w:val="top"/>
          </w:tcPr>
          <w:p>
            <w:pPr>
              <w:pStyle w:val="TableText"/>
              <w:ind w:left="28"/>
              <w:spacing w:before="171" w:line="219" w:lineRule="auto"/>
              <w:rPr/>
            </w:pPr>
            <w:r>
              <w:rPr>
                <w:spacing w:val="-1"/>
              </w:rPr>
              <w:t>政策类别</w:t>
            </w:r>
          </w:p>
        </w:tc>
        <w:tc>
          <w:tcPr>
            <w:tcW w:w="664" w:type="dxa"/>
            <w:vAlign w:val="top"/>
          </w:tcPr>
          <w:p>
            <w:pPr>
              <w:pStyle w:val="TableText"/>
              <w:ind w:left="20"/>
              <w:spacing w:before="171" w:line="220" w:lineRule="auto"/>
              <w:rPr/>
            </w:pPr>
            <w:r>
              <w:rPr>
                <w:spacing w:val="-1"/>
              </w:rPr>
              <w:t>政策形式</w:t>
            </w:r>
          </w:p>
        </w:tc>
      </w:tr>
      <w:tr>
        <w:trPr>
          <w:trHeight w:val="5735"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8" w:line="183" w:lineRule="auto"/>
              <w:rPr/>
            </w:pPr>
            <w:r>
              <w:rPr/>
              <w:t>2</w:t>
            </w:r>
          </w:p>
        </w:tc>
        <w:tc>
          <w:tcPr>
            <w:tcW w:w="4955" w:type="dxa"/>
            <w:vAlign w:val="top"/>
          </w:tcPr>
          <w:p>
            <w:pPr>
              <w:pStyle w:val="TableText"/>
              <w:ind w:left="41" w:right="63" w:firstLine="29"/>
              <w:spacing w:before="105" w:line="237" w:lineRule="auto"/>
              <w:jc w:val="both"/>
              <w:rPr/>
            </w:pPr>
            <w:r>
              <w:rPr/>
              <w:t>现封闭场地测试结果全国通用互认，督促封闭场地向</w:t>
            </w:r>
            <w:r>
              <w:rPr>
                <w:spacing w:val="-1"/>
              </w:rPr>
              <w:t>社会公开测试服务项</w:t>
            </w:r>
            <w:r>
              <w:rPr/>
              <w:t xml:space="preserve"> </w:t>
            </w:r>
            <w:r>
              <w:rPr>
                <w:spacing w:val="1"/>
              </w:rPr>
              <w:t>目及收费标准，简化测试通知书申领及异地换发手续，对测试通知书到期</w:t>
            </w:r>
            <w:r>
              <w:rPr>
                <w:spacing w:val="7"/>
              </w:rPr>
              <w:t xml:space="preserve"> </w:t>
            </w:r>
            <w:r>
              <w:rPr>
                <w:spacing w:val="1"/>
              </w:rPr>
              <w:t>但车辆状态未改变的无需重复测试、直接延长期限。降</w:t>
            </w:r>
            <w:r>
              <w:rPr/>
              <w:t>低导航电子地图制 </w:t>
            </w:r>
            <w:r>
              <w:rPr/>
              <w:t>作测绘资质申请条件，压减资质延续和信息变更</w:t>
            </w:r>
            <w:r>
              <w:rPr>
                <w:spacing w:val="-1"/>
              </w:rPr>
              <w:t>的办理时间。</w:t>
            </w:r>
          </w:p>
          <w:p>
            <w:pPr>
              <w:pStyle w:val="TableText"/>
              <w:ind w:left="11"/>
              <w:spacing w:before="28" w:line="244" w:lineRule="auto"/>
              <w:rPr/>
            </w:pPr>
            <w:r>
              <w:rPr>
                <w:spacing w:val="-2"/>
              </w:rPr>
              <w:t>五、增加新业态应用场景等供给。围绕城市</w:t>
            </w:r>
            <w:r>
              <w:rPr>
                <w:spacing w:val="-3"/>
              </w:rPr>
              <w:t>治理、公共服务、政务服务等领</w:t>
            </w:r>
            <w:r>
              <w:rPr/>
              <w:t xml:space="preserve">  </w:t>
            </w:r>
            <w:r>
              <w:rPr>
                <w:spacing w:val="-2"/>
              </w:rPr>
              <w:t>域，鼓励地方通过搭建供需对接平台等为新技术</w:t>
            </w:r>
            <w:r>
              <w:rPr>
                <w:spacing w:val="-3"/>
              </w:rPr>
              <w:t>、新产品提供更多应用场景</w:t>
            </w:r>
            <w:r>
              <w:rPr/>
              <w:t xml:space="preserve">  </w:t>
            </w:r>
            <w:r>
              <w:rPr>
                <w:spacing w:val="-2"/>
              </w:rPr>
              <w:t>在条件成熟的特定路段及有需求的机场、港口、园</w:t>
            </w:r>
            <w:r>
              <w:rPr>
                <w:spacing w:val="-3"/>
              </w:rPr>
              <w:t>区等区域探索开展智能网</w:t>
            </w:r>
            <w:r>
              <w:rPr/>
              <w:t xml:space="preserve">  </w:t>
            </w:r>
            <w:r>
              <w:rPr>
                <w:spacing w:val="-2"/>
              </w:rPr>
              <w:t>联汽车示范应用。建立健全政府及公共服务机构</w:t>
            </w:r>
            <w:r>
              <w:rPr>
                <w:spacing w:val="-3"/>
              </w:rPr>
              <w:t>数据开放共享规则，推动公</w:t>
            </w:r>
            <w:r>
              <w:rPr/>
              <w:t xml:space="preserve">  </w:t>
            </w:r>
            <w:r>
              <w:rPr>
                <w:spacing w:val="-9"/>
              </w:rPr>
              <w:t>共交通、路政管理、医疗卫生、养老等公共服务领域和政府部门数据有序</w:t>
            </w:r>
            <w:r>
              <w:rPr>
                <w:spacing w:val="-10"/>
              </w:rPr>
              <w:t>开放。</w:t>
            </w:r>
            <w:r>
              <w:rPr/>
              <w:t xml:space="preserve"> </w:t>
            </w:r>
            <w:r>
              <w:rPr>
                <w:spacing w:val="-1"/>
              </w:rPr>
              <w:t>六、推进企业开办经营便利化。全面推行企业开办全程网上办，提升企业</w:t>
            </w:r>
            <w:r>
              <w:rPr>
                <w:spacing w:val="5"/>
              </w:rPr>
              <w:t xml:space="preserve">   </w:t>
            </w:r>
            <w:r>
              <w:rPr>
                <w:spacing w:val="-1"/>
              </w:rPr>
              <w:t>名称自主申报系统核名智能化水平，在税务、人力资源社会保障、公积金</w:t>
            </w:r>
            <w:r>
              <w:rPr>
                <w:spacing w:val="4"/>
              </w:rPr>
              <w:t xml:space="preserve">   </w:t>
            </w:r>
            <w:r>
              <w:rPr>
                <w:spacing w:val="-2"/>
              </w:rPr>
              <w:t>商业银行等服务领域加快实现电子营业执照</w:t>
            </w:r>
            <w:r>
              <w:rPr>
                <w:spacing w:val="-3"/>
              </w:rPr>
              <w:t>、电子印章应用。放宽小微企业</w:t>
            </w:r>
            <w:r>
              <w:rPr/>
              <w:t xml:space="preserve">  </w:t>
            </w:r>
            <w:r>
              <w:rPr>
                <w:spacing w:val="-1"/>
              </w:rPr>
              <w:t>个体工商户登记经营场所限制。探索推进“一业一证”改革，将一个行业</w:t>
            </w:r>
            <w:r>
              <w:rPr>
                <w:spacing w:val="5"/>
              </w:rPr>
              <w:t xml:space="preserve">   </w:t>
            </w:r>
            <w:r>
              <w:rPr>
                <w:spacing w:val="-1"/>
              </w:rPr>
              <w:t>准入涉及的多张许可证整合为一张许可证，实现“一证准营”、跨地互认</w:t>
            </w:r>
            <w:r>
              <w:rPr>
                <w:spacing w:val="5"/>
              </w:rPr>
              <w:t xml:space="preserve">   </w:t>
            </w:r>
            <w:r>
              <w:rPr>
                <w:spacing w:val="-1"/>
              </w:rPr>
              <w:t>通用。梳理各类强制登报公告事项，研究推动予以取消或调整为网上免费</w:t>
            </w:r>
            <w:r>
              <w:rPr>
                <w:spacing w:val="5"/>
              </w:rPr>
              <w:t xml:space="preserve">   </w:t>
            </w:r>
            <w:r>
              <w:rPr>
                <w:spacing w:val="-3"/>
              </w:rPr>
              <w:t>公告。加快推进政务服务事项跨省通办</w:t>
            </w:r>
          </w:p>
          <w:p>
            <w:pPr>
              <w:pStyle w:val="TableText"/>
              <w:ind w:left="40" w:hanging="9"/>
              <w:spacing w:before="3"/>
              <w:rPr/>
            </w:pPr>
            <w:r>
              <w:rPr>
                <w:spacing w:val="-2"/>
              </w:rPr>
              <w:t>七、持续提升纳税服务水平。2020年底前基本实现增值税专用发</w:t>
            </w:r>
            <w:r>
              <w:rPr>
                <w:spacing w:val="-3"/>
              </w:rPr>
              <w:t>票电子化，</w:t>
            </w:r>
            <w:r>
              <w:rPr/>
              <w:t xml:space="preserve"> </w:t>
            </w:r>
            <w:r>
              <w:rPr>
                <w:spacing w:val="-2"/>
              </w:rPr>
              <w:t>主要涉税服务事项基本实现网上办理。简化增值税等税收优惠政策申报程</w:t>
            </w:r>
            <w:r>
              <w:rPr>
                <w:spacing w:val="5"/>
              </w:rPr>
              <w:t xml:space="preserve">   </w:t>
            </w:r>
            <w:r>
              <w:rPr>
                <w:spacing w:val="-6"/>
              </w:rPr>
              <w:t>序，原则上不再设置审批环节。强化税务、海关、人民银行等部门数据共享，</w:t>
            </w:r>
            <w:r>
              <w:rPr>
                <w:spacing w:val="7"/>
              </w:rPr>
              <w:t xml:space="preserve"> </w:t>
            </w:r>
            <w:r>
              <w:rPr>
                <w:spacing w:val="-3"/>
              </w:rPr>
              <w:t>加快出口退税进度，推行无纸化单证备案。</w:t>
            </w:r>
          </w:p>
          <w:p>
            <w:pPr>
              <w:pStyle w:val="TableText"/>
              <w:ind w:left="41" w:right="81" w:firstLine="29"/>
              <w:spacing w:before="41" w:line="239" w:lineRule="auto"/>
              <w:jc w:val="both"/>
              <w:rPr/>
            </w:pPr>
            <w:r>
              <w:rPr/>
              <w:t>八、进一步提高商标注册效率。提高商标网上服务</w:t>
            </w:r>
            <w:r>
              <w:rPr>
                <w:spacing w:val="-1"/>
              </w:rPr>
              <w:t>系统数据更新频率，提</w:t>
            </w:r>
            <w:r>
              <w:rPr/>
              <w:t xml:space="preserve"> </w:t>
            </w:r>
            <w:r>
              <w:rPr>
                <w:spacing w:val="1"/>
              </w:rPr>
              <w:t>升系统智能检索功能，推动实现商标图形在线自</w:t>
            </w:r>
            <w:r>
              <w:rPr/>
              <w:t>动比对。进一步压缩商标 </w:t>
            </w:r>
            <w:r>
              <w:rPr>
                <w:spacing w:val="1"/>
              </w:rPr>
              <w:t>异议、驳回复审的审查审理周期，及时反馈审查</w:t>
            </w:r>
            <w:r>
              <w:rPr/>
              <w:t>审理结果。2020年底前将 </w:t>
            </w:r>
            <w:r>
              <w:rPr/>
              <w:t>商标注册平均审查周期压缩至4个月以内</w:t>
            </w:r>
          </w:p>
          <w:p>
            <w:pPr>
              <w:pStyle w:val="TableText"/>
              <w:ind w:left="21" w:right="80" w:firstLine="49"/>
              <w:spacing w:before="14" w:line="239" w:lineRule="auto"/>
              <w:jc w:val="both"/>
              <w:rPr/>
            </w:pPr>
            <w:r>
              <w:rPr/>
              <w:t>九、优化动产担保融资服务。鼓励引导商业银行</w:t>
            </w:r>
            <w:r>
              <w:rPr>
                <w:spacing w:val="-1"/>
              </w:rPr>
              <w:t>支持中小企业以应收账款</w:t>
            </w:r>
            <w:r>
              <w:rPr/>
              <w:t xml:space="preserve"> </w:t>
            </w:r>
            <w:r>
              <w:rPr>
                <w:spacing w:val="1"/>
              </w:rPr>
              <w:t>生产设备、产品、车辆、船舶、知识产权等动产和权利进行担保融资。推</w:t>
            </w:r>
            <w:r>
              <w:rPr>
                <w:spacing w:val="9"/>
              </w:rPr>
              <w:t xml:space="preserve"> </w:t>
            </w:r>
            <w:r>
              <w:rPr>
                <w:spacing w:val="1"/>
              </w:rPr>
              <w:t>动建立以担保人名称为索引的电子数据库，实现对担保品登记状态信息的</w:t>
            </w:r>
            <w:r>
              <w:rPr>
                <w:spacing w:val="10"/>
              </w:rPr>
              <w:t xml:space="preserve"> </w:t>
            </w:r>
            <w:r>
              <w:rPr>
                <w:spacing w:val="-1"/>
              </w:rPr>
              <w:t>在线查询、修改或撤销，</w:t>
            </w:r>
          </w:p>
        </w:tc>
        <w:tc>
          <w:tcPr>
            <w:tcW w:w="211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809" w:header="0" w:footer="0" w:gutter="0"/>
        </w:sectPr>
        <w:rPr/>
      </w:pPr>
    </w:p>
    <w:p>
      <w:pPr>
        <w:spacing w:before="203"/>
        <w:rPr/>
      </w:pPr>
      <w:r>
        <w:pict>
          <v:shape id="_x0000_s106" style="position:absolute;margin-left:39.5pt;margin-top:54.2871pt;mso-position-vertical-relative:page;mso-position-horizontal-relative:page;width:7.05pt;height:12.95pt;z-index:251745280;"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2"/>
                      <w:szCs w:val="22"/>
                    </w:rPr>
                  </w:pPr>
                  <w:r>
                    <w:rPr>
                      <w:rFonts w:ascii="SimSun" w:hAnsi="SimSun" w:eastAsia="SimSun" w:cs="SimSun"/>
                      <w:sz w:val="22"/>
                      <w:szCs w:val="22"/>
                    </w:rPr>
                    <w:t>8</w:t>
                  </w:r>
                </w:p>
              </w:txbxContent>
            </v:textbox>
          </v:shape>
        </w:pict>
      </w:r>
      <w:r/>
    </w:p>
    <w:tbl>
      <w:tblPr>
        <w:tblStyle w:val="TableNormal"/>
        <w:tblW w:w="961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54"/>
      </w:tblGrid>
      <w:tr>
        <w:trPr>
          <w:trHeight w:val="514" w:hRule="atLeast"/>
        </w:trPr>
        <w:tc>
          <w:tcPr>
            <w:tcW w:w="284" w:type="dxa"/>
            <w:vAlign w:val="top"/>
            <w:textDirection w:val="tbRlV"/>
          </w:tcPr>
          <w:p>
            <w:pPr>
              <w:pStyle w:val="TableText"/>
              <w:ind w:left="57"/>
              <w:spacing w:before="69" w:line="217" w:lineRule="auto"/>
              <w:rPr/>
            </w:pPr>
            <w:r>
              <w:rPr/>
              <w:t>序</w:t>
            </w:r>
            <w:r>
              <w:rPr>
                <w:spacing w:val="16"/>
              </w:rPr>
              <w:t xml:space="preserve"> </w:t>
            </w:r>
            <w:r>
              <w:rPr/>
              <w:t>号</w:t>
            </w:r>
          </w:p>
        </w:tc>
        <w:tc>
          <w:tcPr>
            <w:tcW w:w="4955" w:type="dxa"/>
            <w:vAlign w:val="top"/>
          </w:tcPr>
          <w:p>
            <w:pPr>
              <w:pStyle w:val="TableText"/>
              <w:ind w:left="2171"/>
              <w:spacing w:before="181" w:line="219" w:lineRule="auto"/>
              <w:rPr/>
            </w:pPr>
            <w:r>
              <w:rPr>
                <w:spacing w:val="-2"/>
              </w:rPr>
              <w:t>主要内容</w:t>
            </w:r>
          </w:p>
        </w:tc>
        <w:tc>
          <w:tcPr>
            <w:tcW w:w="2128" w:type="dxa"/>
            <w:vAlign w:val="top"/>
          </w:tcPr>
          <w:p>
            <w:pPr>
              <w:pStyle w:val="TableText"/>
              <w:ind w:left="756"/>
              <w:spacing w:before="180" w:line="219" w:lineRule="auto"/>
              <w:rPr/>
            </w:pPr>
            <w:r>
              <w:rPr>
                <w:spacing w:val="-1"/>
              </w:rPr>
              <w:t>政策依据</w:t>
            </w:r>
          </w:p>
        </w:tc>
        <w:tc>
          <w:tcPr>
            <w:tcW w:w="919" w:type="dxa"/>
            <w:vAlign w:val="top"/>
          </w:tcPr>
          <w:p>
            <w:pPr>
              <w:pStyle w:val="TableText"/>
              <w:ind w:left="157"/>
              <w:spacing w:before="181" w:line="219" w:lineRule="auto"/>
              <w:rPr/>
            </w:pPr>
            <w:r>
              <w:rPr>
                <w:spacing w:val="3"/>
              </w:rPr>
              <w:t>执行时间</w:t>
            </w:r>
          </w:p>
        </w:tc>
        <w:tc>
          <w:tcPr>
            <w:tcW w:w="679" w:type="dxa"/>
            <w:vAlign w:val="top"/>
          </w:tcPr>
          <w:p>
            <w:pPr>
              <w:pStyle w:val="TableText"/>
              <w:ind w:left="38"/>
              <w:spacing w:before="181" w:line="219" w:lineRule="auto"/>
              <w:rPr/>
            </w:pPr>
            <w:r>
              <w:rPr>
                <w:spacing w:val="-1"/>
              </w:rPr>
              <w:t>政策类别</w:t>
            </w:r>
          </w:p>
        </w:tc>
        <w:tc>
          <w:tcPr>
            <w:tcW w:w="654" w:type="dxa"/>
            <w:vAlign w:val="top"/>
          </w:tcPr>
          <w:p>
            <w:pPr>
              <w:pStyle w:val="TableText"/>
              <w:ind w:left="20"/>
              <w:spacing w:before="181" w:line="220" w:lineRule="auto"/>
              <w:rPr/>
            </w:pPr>
            <w:r>
              <w:rPr>
                <w:spacing w:val="-1"/>
              </w:rPr>
              <w:t>政策形式</w:t>
            </w:r>
          </w:p>
        </w:tc>
      </w:tr>
      <w:tr>
        <w:trPr>
          <w:trHeight w:val="1058" w:hRule="atLeast"/>
        </w:trPr>
        <w:tc>
          <w:tcPr>
            <w:tcW w:w="284" w:type="dxa"/>
            <w:vAlign w:val="top"/>
          </w:tcPr>
          <w:p>
            <w:pPr>
              <w:spacing w:line="444" w:lineRule="auto"/>
              <w:rPr>
                <w:rFonts w:ascii="Arial"/>
                <w:sz w:val="21"/>
              </w:rPr>
            </w:pPr>
            <w:r/>
          </w:p>
          <w:p>
            <w:pPr>
              <w:pStyle w:val="TableText"/>
              <w:ind w:left="94"/>
              <w:spacing w:before="49" w:line="183" w:lineRule="auto"/>
              <w:rPr/>
            </w:pPr>
            <w:r>
              <w:rPr/>
              <w:t>2</w:t>
            </w:r>
          </w:p>
        </w:tc>
        <w:tc>
          <w:tcPr>
            <w:tcW w:w="4955" w:type="dxa"/>
            <w:vAlign w:val="top"/>
          </w:tcPr>
          <w:p>
            <w:pPr>
              <w:pStyle w:val="TableText"/>
              <w:ind w:left="70"/>
              <w:spacing w:before="76" w:line="219" w:lineRule="auto"/>
              <w:rPr/>
            </w:pPr>
            <w:r>
              <w:rPr/>
              <w:t>十、建立常态化政企沟通联系机制。加强与企业和行业</w:t>
            </w:r>
            <w:r>
              <w:rPr>
                <w:spacing w:val="-1"/>
              </w:rPr>
              <w:t>协会商会的常态化</w:t>
            </w:r>
          </w:p>
          <w:p>
            <w:pPr>
              <w:pStyle w:val="TableText"/>
              <w:ind w:left="11"/>
              <w:spacing w:before="23" w:line="228" w:lineRule="auto"/>
              <w:rPr/>
            </w:pPr>
            <w:r>
              <w:rPr>
                <w:spacing w:val="-5"/>
              </w:rPr>
              <w:t>联系，完善企业服务体系，加快建立营商环境诉求受理和分级办理“一张网”</w:t>
            </w:r>
            <w:r>
              <w:rPr>
                <w:spacing w:val="2"/>
              </w:rPr>
              <w:t xml:space="preserve"> </w:t>
            </w:r>
            <w:r>
              <w:rPr>
                <w:spacing w:val="-9"/>
              </w:rPr>
              <w:t>更多采取“企业点菜”方式推进“放管服”改革。加快推进政务服务热线整合</w:t>
            </w:r>
            <w:r>
              <w:rPr/>
              <w:t xml:space="preserve">   </w:t>
            </w:r>
            <w:r>
              <w:rPr>
                <w:spacing w:val="-3"/>
              </w:rPr>
              <w:t>进一步规范政务服务热线受理、转办、督办、反馈、评价流程，及时回应</w:t>
            </w:r>
          </w:p>
          <w:p>
            <w:pPr>
              <w:pStyle w:val="TableText"/>
              <w:ind w:left="11"/>
              <w:spacing w:before="24" w:line="219" w:lineRule="auto"/>
              <w:rPr/>
            </w:pPr>
            <w:r>
              <w:rPr>
                <w:spacing w:val="-1"/>
              </w:rPr>
              <w:t>企业和群众诉求。</w:t>
            </w:r>
          </w:p>
        </w:tc>
        <w:tc>
          <w:tcPr>
            <w:tcW w:w="212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54" w:type="dxa"/>
            <w:vAlign w:val="top"/>
          </w:tcPr>
          <w:p>
            <w:pPr>
              <w:rPr>
                <w:rFonts w:ascii="Arial"/>
                <w:sz w:val="21"/>
              </w:rPr>
            </w:pPr>
            <w:r/>
          </w:p>
        </w:tc>
      </w:tr>
      <w:tr>
        <w:trPr>
          <w:trHeight w:val="1517" w:hRule="atLeast"/>
        </w:trPr>
        <w:tc>
          <w:tcPr>
            <w:tcW w:w="284" w:type="dxa"/>
            <w:vAlign w:val="top"/>
          </w:tcPr>
          <w:p>
            <w:pPr>
              <w:spacing w:line="337" w:lineRule="auto"/>
              <w:rPr>
                <w:rFonts w:ascii="Arial"/>
                <w:sz w:val="21"/>
              </w:rPr>
            </w:pPr>
            <w:r/>
          </w:p>
          <w:p>
            <w:pPr>
              <w:spacing w:line="337" w:lineRule="auto"/>
              <w:rPr>
                <w:rFonts w:ascii="Arial"/>
                <w:sz w:val="21"/>
              </w:rPr>
            </w:pPr>
            <w:r/>
          </w:p>
          <w:p>
            <w:pPr>
              <w:pStyle w:val="TableText"/>
              <w:ind w:left="94"/>
              <w:spacing w:before="49" w:line="183" w:lineRule="auto"/>
              <w:rPr/>
            </w:pPr>
            <w:r>
              <w:rPr/>
              <w:t>3</w:t>
            </w:r>
          </w:p>
        </w:tc>
        <w:tc>
          <w:tcPr>
            <w:tcW w:w="4955" w:type="dxa"/>
            <w:vAlign w:val="top"/>
          </w:tcPr>
          <w:p>
            <w:pPr>
              <w:pStyle w:val="TableText"/>
              <w:ind w:left="21"/>
              <w:spacing w:before="69" w:line="220" w:lineRule="auto"/>
              <w:rPr/>
            </w:pPr>
            <w:r>
              <w:rPr>
                <w:spacing w:val="-2"/>
              </w:rPr>
              <w:t>一、免到场查验</w:t>
            </w:r>
          </w:p>
          <w:p>
            <w:pPr>
              <w:pStyle w:val="TableText"/>
              <w:ind w:left="21" w:right="85" w:firstLine="49"/>
              <w:spacing w:before="20" w:line="209" w:lineRule="auto"/>
              <w:rPr/>
            </w:pPr>
            <w:r>
              <w:rPr/>
              <w:t>收发货人在收到海关货物查验通知后，可选</w:t>
            </w:r>
            <w:r>
              <w:rPr>
                <w:spacing w:val="-1"/>
              </w:rPr>
              <w:t>择以下方式，免于到场协助海</w:t>
            </w:r>
            <w:r>
              <w:rPr/>
              <w:t xml:space="preserve"> </w:t>
            </w:r>
            <w:r>
              <w:rPr>
                <w:spacing w:val="-2"/>
              </w:rPr>
              <w:t>关实施查验</w:t>
            </w:r>
          </w:p>
          <w:p>
            <w:pPr>
              <w:pStyle w:val="TableText"/>
              <w:ind w:left="21"/>
              <w:spacing w:before="20" w:line="208" w:lineRule="auto"/>
              <w:rPr/>
            </w:pPr>
            <w:r>
              <w:rPr/>
              <w:t>1.委托存放货物的海关监管作业场所经营人、运输工具</w:t>
            </w:r>
            <w:r>
              <w:rPr>
                <w:spacing w:val="-1"/>
              </w:rPr>
              <w:t>负责人等到场。</w:t>
            </w:r>
          </w:p>
          <w:p>
            <w:pPr>
              <w:pStyle w:val="TableText"/>
              <w:ind w:left="21" w:right="81" w:firstLine="49"/>
              <w:spacing w:before="1" w:line="221" w:lineRule="auto"/>
              <w:rPr/>
            </w:pPr>
            <w:r>
              <w:rPr/>
              <w:t>2.通过电子邮件、电子平台等方式告知海关无法到场</w:t>
            </w:r>
            <w:r>
              <w:rPr>
                <w:spacing w:val="-1"/>
              </w:rPr>
              <w:t>，海关在收发货人不</w:t>
            </w:r>
            <w:r>
              <w:rPr/>
              <w:t xml:space="preserve"> </w:t>
            </w:r>
            <w:r>
              <w:rPr>
                <w:spacing w:val="-1"/>
              </w:rPr>
              <w:t>到场的情况下实施查验</w:t>
            </w:r>
          </w:p>
          <w:p>
            <w:pPr>
              <w:pStyle w:val="TableText"/>
              <w:ind w:left="21" w:right="81" w:firstLine="49"/>
              <w:spacing w:before="8" w:line="209" w:lineRule="auto"/>
              <w:rPr/>
            </w:pPr>
            <w:r>
              <w:rPr/>
              <w:t>为便于收发货人及时告知海关不到场查验，海关总署</w:t>
            </w:r>
            <w:r>
              <w:rPr>
                <w:spacing w:val="-1"/>
              </w:rPr>
              <w:t>组织开发了“疫情防</w:t>
            </w:r>
            <w:r>
              <w:rPr/>
              <w:t xml:space="preserve"> </w:t>
            </w:r>
            <w:r>
              <w:rPr/>
              <w:t>控期间收发货人免于到场信息交互平台”,并已于7月6日上线运</w:t>
            </w:r>
            <w:r>
              <w:rPr>
                <w:spacing w:val="-1"/>
              </w:rPr>
              <w:t>行。</w:t>
            </w:r>
          </w:p>
        </w:tc>
        <w:tc>
          <w:tcPr>
            <w:tcW w:w="2128" w:type="dxa"/>
            <w:vAlign w:val="top"/>
          </w:tcPr>
          <w:p>
            <w:pPr>
              <w:pStyle w:val="TableText"/>
              <w:ind w:left="15" w:right="87" w:firstLine="70"/>
              <w:spacing w:before="67" w:line="236" w:lineRule="auto"/>
              <w:jc w:val="both"/>
              <w:rPr/>
            </w:pPr>
            <w:r>
              <w:rPr>
                <w:spacing w:val="-1"/>
              </w:rPr>
              <w:t>海关总署《新型冠状病毒肺炎</w:t>
            </w:r>
            <w:r>
              <w:rPr>
                <w:spacing w:val="6"/>
              </w:rPr>
              <w:t xml:space="preserve"> </w:t>
            </w:r>
            <w:r>
              <w:rPr>
                <w:spacing w:val="4"/>
              </w:rPr>
              <w:t>疫情期间海关查验货物时收发</w:t>
            </w:r>
            <w:r>
              <w:rPr>
                <w:spacing w:val="10"/>
              </w:rPr>
              <w:t xml:space="preserve"> </w:t>
            </w:r>
            <w:r>
              <w:rPr>
                <w:spacing w:val="4"/>
              </w:rPr>
              <w:t>货人可免于到场的公告》2020</w:t>
            </w:r>
            <w:r>
              <w:rPr/>
              <w:t xml:space="preserve"> </w:t>
            </w:r>
            <w:r>
              <w:rPr>
                <w:spacing w:val="-1"/>
              </w:rPr>
              <w:t>年第24号公告</w:t>
            </w:r>
          </w:p>
        </w:tc>
        <w:tc>
          <w:tcPr>
            <w:tcW w:w="919" w:type="dxa"/>
            <w:vAlign w:val="top"/>
          </w:tcPr>
          <w:p>
            <w:pPr>
              <w:pStyle w:val="TableText"/>
              <w:ind w:left="18" w:right="10" w:firstLine="29"/>
              <w:spacing w:before="70" w:line="229" w:lineRule="auto"/>
              <w:jc w:val="both"/>
              <w:rPr/>
            </w:pPr>
            <w:r>
              <w:rPr>
                <w:spacing w:val="15"/>
                <w:w w:val="110"/>
              </w:rPr>
              <w:t>2020年2月</w:t>
            </w:r>
            <w:r>
              <w:rPr>
                <w:spacing w:val="1"/>
              </w:rPr>
              <w:t xml:space="preserve"> </w:t>
            </w:r>
            <w:r>
              <w:rPr>
                <w:spacing w:val="-14"/>
              </w:rPr>
              <w:t>1</w:t>
            </w:r>
            <w:r>
              <w:rPr>
                <w:spacing w:val="-20"/>
              </w:rPr>
              <w:t xml:space="preserve"> </w:t>
            </w:r>
            <w:r>
              <w:rPr>
                <w:spacing w:val="-14"/>
              </w:rPr>
              <w:t>1 日</w:t>
            </w:r>
            <w:r>
              <w:rPr>
                <w:spacing w:val="-5"/>
              </w:rPr>
              <w:t xml:space="preserve"> </w:t>
            </w:r>
            <w:r>
              <w:rPr>
                <w:spacing w:val="-14"/>
              </w:rPr>
              <w:t>(</w:t>
            </w:r>
            <w:r>
              <w:rPr>
                <w:spacing w:val="-30"/>
              </w:rPr>
              <w:t xml:space="preserve"> </w:t>
            </w:r>
            <w:r>
              <w:rPr>
                <w:spacing w:val="-14"/>
              </w:rPr>
              <w:t>文</w:t>
            </w:r>
            <w:r>
              <w:rPr>
                <w:spacing w:val="-32"/>
              </w:rPr>
              <w:t xml:space="preserve"> </w:t>
            </w:r>
            <w:r>
              <w:rPr>
                <w:spacing w:val="-14"/>
              </w:rPr>
              <w:t>件</w:t>
            </w:r>
            <w:r>
              <w:rPr/>
              <w:t xml:space="preserve"> </w:t>
            </w:r>
            <w:r>
              <w:rPr>
                <w:spacing w:val="5"/>
              </w:rPr>
              <w:t>签发日期)</w:t>
            </w:r>
          </w:p>
        </w:tc>
        <w:tc>
          <w:tcPr>
            <w:tcW w:w="679" w:type="dxa"/>
            <w:vAlign w:val="top"/>
          </w:tcPr>
          <w:p>
            <w:pPr>
              <w:pStyle w:val="TableText"/>
              <w:ind w:left="188"/>
              <w:spacing w:before="57" w:line="218" w:lineRule="auto"/>
              <w:rPr/>
            </w:pPr>
            <w:r>
              <w:rPr>
                <w:spacing w:val="5"/>
              </w:rPr>
              <w:t>公告</w:t>
            </w:r>
          </w:p>
        </w:tc>
        <w:tc>
          <w:tcPr>
            <w:tcW w:w="654" w:type="dxa"/>
            <w:vAlign w:val="top"/>
          </w:tcPr>
          <w:p>
            <w:pPr>
              <w:pStyle w:val="TableText"/>
              <w:ind w:left="20"/>
              <w:spacing w:before="49" w:line="219" w:lineRule="auto"/>
              <w:rPr/>
            </w:pPr>
            <w:r>
              <w:rPr>
                <w:spacing w:val="-2"/>
              </w:rPr>
              <w:t>行政优化</w:t>
            </w:r>
          </w:p>
        </w:tc>
      </w:tr>
      <w:tr>
        <w:trPr>
          <w:trHeight w:val="799" w:hRule="atLeast"/>
        </w:trPr>
        <w:tc>
          <w:tcPr>
            <w:tcW w:w="284" w:type="dxa"/>
            <w:vAlign w:val="top"/>
          </w:tcPr>
          <w:p>
            <w:pPr>
              <w:spacing w:line="320" w:lineRule="auto"/>
              <w:rPr>
                <w:rFonts w:ascii="Arial"/>
                <w:sz w:val="21"/>
              </w:rPr>
            </w:pPr>
            <w:r/>
          </w:p>
          <w:p>
            <w:pPr>
              <w:pStyle w:val="TableText"/>
              <w:ind w:left="94"/>
              <w:spacing w:before="48" w:line="183" w:lineRule="auto"/>
              <w:rPr/>
            </w:pPr>
            <w:r>
              <w:rPr/>
              <w:t>4</w:t>
            </w:r>
          </w:p>
        </w:tc>
        <w:tc>
          <w:tcPr>
            <w:tcW w:w="4955" w:type="dxa"/>
            <w:vAlign w:val="top"/>
          </w:tcPr>
          <w:p>
            <w:pPr>
              <w:pStyle w:val="TableText"/>
              <w:ind w:left="21" w:firstLine="49"/>
              <w:spacing w:before="20" w:line="245" w:lineRule="auto"/>
              <w:rPr/>
            </w:pPr>
            <w:r>
              <w:rPr>
                <w:spacing w:val="2"/>
              </w:rPr>
              <w:t>在2017年底实现商标注册申请受理通知书发放时间由3个月压缩到2个月、</w:t>
            </w:r>
            <w:r>
              <w:rPr>
                <w:spacing w:val="3"/>
              </w:rPr>
              <w:t xml:space="preserve"> </w:t>
            </w:r>
            <w:r>
              <w:rPr>
                <w:spacing w:val="1"/>
              </w:rPr>
              <w:t>商标注册审查周期由9个月压缩到8个月</w:t>
            </w:r>
          </w:p>
        </w:tc>
        <w:tc>
          <w:tcPr>
            <w:tcW w:w="2128" w:type="dxa"/>
            <w:vAlign w:val="top"/>
          </w:tcPr>
          <w:p>
            <w:pPr>
              <w:pStyle w:val="TableText"/>
              <w:ind w:left="155" w:right="89" w:hanging="70"/>
              <w:spacing w:before="32" w:line="241" w:lineRule="auto"/>
              <w:rPr/>
            </w:pPr>
            <w:r>
              <w:rPr>
                <w:spacing w:val="-1"/>
              </w:rPr>
              <w:t>工商总局《关于深化商标注册</w:t>
            </w:r>
            <w:r>
              <w:rPr>
                <w:spacing w:val="4"/>
              </w:rPr>
              <w:t xml:space="preserve"> </w:t>
            </w:r>
            <w:r>
              <w:rPr>
                <w:spacing w:val="-1"/>
              </w:rPr>
              <w:t>便利化改革切实提高商标注</w:t>
            </w:r>
            <w:r>
              <w:rPr>
                <w:spacing w:val="2"/>
              </w:rPr>
              <w:t xml:space="preserve">  </w:t>
            </w:r>
            <w:r>
              <w:rPr>
                <w:spacing w:val="-1"/>
              </w:rPr>
              <w:t>册效率的意见》工商标字〔</w:t>
            </w:r>
          </w:p>
          <w:p>
            <w:pPr>
              <w:pStyle w:val="TableText"/>
              <w:ind w:left="25"/>
              <w:spacing w:before="12" w:line="192" w:lineRule="auto"/>
              <w:rPr/>
            </w:pPr>
            <w:r>
              <w:rPr>
                <w:spacing w:val="-1"/>
              </w:rPr>
              <w:t>2017〕213号</w:t>
            </w:r>
          </w:p>
        </w:tc>
        <w:tc>
          <w:tcPr>
            <w:tcW w:w="919" w:type="dxa"/>
            <w:vAlign w:val="top"/>
          </w:tcPr>
          <w:p>
            <w:pPr>
              <w:pStyle w:val="TableText"/>
              <w:ind w:left="18" w:right="24" w:firstLine="59"/>
              <w:spacing w:before="31" w:line="242" w:lineRule="auto"/>
              <w:jc w:val="both"/>
              <w:rPr/>
            </w:pPr>
            <w:r>
              <w:rPr>
                <w:spacing w:val="3"/>
              </w:rPr>
              <w:t>2017年11月</w:t>
            </w:r>
            <w:r>
              <w:rPr>
                <w:spacing w:val="5"/>
              </w:rPr>
              <w:t xml:space="preserve"> </w:t>
            </w:r>
            <w:r>
              <w:rPr>
                <w:spacing w:val="-12"/>
              </w:rPr>
              <w:t>1</w:t>
            </w:r>
            <w:r>
              <w:rPr>
                <w:spacing w:val="-27"/>
              </w:rPr>
              <w:t xml:space="preserve"> </w:t>
            </w:r>
            <w:r>
              <w:rPr>
                <w:spacing w:val="-12"/>
              </w:rPr>
              <w:t>4 日 (</w:t>
            </w:r>
            <w:r>
              <w:rPr>
                <w:spacing w:val="-30"/>
              </w:rPr>
              <w:t xml:space="preserve"> </w:t>
            </w:r>
            <w:r>
              <w:rPr>
                <w:spacing w:val="-12"/>
              </w:rPr>
              <w:t>文</w:t>
            </w:r>
            <w:r>
              <w:rPr>
                <w:spacing w:val="-32"/>
              </w:rPr>
              <w:t xml:space="preserve"> </w:t>
            </w:r>
            <w:r>
              <w:rPr>
                <w:spacing w:val="-12"/>
              </w:rPr>
              <w:t>件</w:t>
            </w:r>
            <w:r>
              <w:rPr/>
              <w:t xml:space="preserve"> </w:t>
            </w:r>
            <w:r>
              <w:rPr>
                <w:spacing w:val="5"/>
              </w:rPr>
              <w:t>签发日期)</w:t>
            </w:r>
          </w:p>
        </w:tc>
        <w:tc>
          <w:tcPr>
            <w:tcW w:w="679" w:type="dxa"/>
            <w:vAlign w:val="top"/>
          </w:tcPr>
          <w:p>
            <w:pPr>
              <w:pStyle w:val="TableText"/>
              <w:ind w:left="38"/>
              <w:spacing w:before="32" w:line="219" w:lineRule="auto"/>
              <w:rPr/>
            </w:pPr>
            <w:r>
              <w:rPr>
                <w:spacing w:val="-2"/>
              </w:rPr>
              <w:t>指导意见</w:t>
            </w:r>
          </w:p>
        </w:tc>
        <w:tc>
          <w:tcPr>
            <w:tcW w:w="654" w:type="dxa"/>
            <w:vAlign w:val="top"/>
          </w:tcPr>
          <w:p>
            <w:pPr>
              <w:pStyle w:val="TableText"/>
              <w:ind w:left="20"/>
              <w:spacing w:before="32" w:line="219" w:lineRule="auto"/>
              <w:rPr/>
            </w:pPr>
            <w:r>
              <w:rPr>
                <w:spacing w:val="-2"/>
              </w:rPr>
              <w:t>行政优化</w:t>
            </w:r>
          </w:p>
        </w:tc>
      </w:tr>
      <w:tr>
        <w:trPr>
          <w:trHeight w:val="2571" w:hRule="atLeast"/>
        </w:trPr>
        <w:tc>
          <w:tcPr>
            <w:tcW w:w="284"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94"/>
              <w:spacing w:before="49" w:line="182" w:lineRule="auto"/>
              <w:rPr/>
            </w:pPr>
            <w:r>
              <w:rPr/>
              <w:t>5</w:t>
            </w:r>
          </w:p>
        </w:tc>
        <w:tc>
          <w:tcPr>
            <w:tcW w:w="4955" w:type="dxa"/>
            <w:vAlign w:val="top"/>
          </w:tcPr>
          <w:p>
            <w:pPr>
              <w:pStyle w:val="TableText"/>
              <w:ind w:left="11"/>
              <w:spacing w:before="13" w:line="238" w:lineRule="auto"/>
              <w:jc w:val="both"/>
              <w:rPr/>
            </w:pPr>
            <w:r>
              <w:rPr>
                <w:spacing w:val="-3"/>
              </w:rPr>
              <w:t>一、涉及法定检验检疫要求的进口商品申报时，在报关单随附单证栏中不再</w:t>
            </w:r>
            <w:r>
              <w:rPr>
                <w:spacing w:val="6"/>
              </w:rPr>
              <w:t xml:space="preserve">  </w:t>
            </w:r>
            <w:r>
              <w:rPr>
                <w:spacing w:val="-2"/>
              </w:rPr>
              <w:t>填写原通关单代码和编号。企业可以通过“单一窗口”(包括通过“互联</w:t>
            </w:r>
            <w:r>
              <w:rPr>
                <w:spacing w:val="-3"/>
              </w:rPr>
              <w:t>网  </w:t>
            </w:r>
            <w:r>
              <w:rPr>
                <w:spacing w:val="-7"/>
              </w:rPr>
              <w:t>+海关”接人“单一窗口”)报关报检合一界面向海关一次申报。如需使用“单</w:t>
            </w:r>
            <w:r>
              <w:rPr>
                <w:spacing w:val="5"/>
              </w:rPr>
              <w:t xml:space="preserve">  </w:t>
            </w:r>
            <w:r>
              <w:rPr>
                <w:spacing w:val="-2"/>
              </w:rPr>
              <w:t>一窗口”单独报关、报检界面或者报关报检</w:t>
            </w:r>
            <w:r>
              <w:rPr>
                <w:spacing w:val="-3"/>
              </w:rPr>
              <w:t>企业客户端申报的，企业应当在</w:t>
            </w:r>
            <w:r>
              <w:rPr/>
              <w:t xml:space="preserve">  </w:t>
            </w:r>
            <w:r>
              <w:rPr>
                <w:spacing w:val="-7"/>
              </w:rPr>
              <w:t>报关单随附单证栏中填写报检电子回执上的检验检疫编号，并填写代码“A”。</w:t>
            </w:r>
          </w:p>
          <w:p>
            <w:pPr>
              <w:pStyle w:val="TableText"/>
              <w:ind w:left="21" w:right="79" w:firstLine="49"/>
              <w:spacing w:before="2" w:line="221" w:lineRule="auto"/>
              <w:jc w:val="both"/>
              <w:rPr/>
            </w:pPr>
            <w:r>
              <w:rPr/>
              <w:t>二、涉及法定检验检疫要求的出口商品申报时，企</w:t>
            </w:r>
            <w:r>
              <w:rPr>
                <w:spacing w:val="-1"/>
              </w:rPr>
              <w:t>业不需在报关单随附单</w:t>
            </w:r>
            <w:r>
              <w:rPr/>
              <w:t xml:space="preserve"> </w:t>
            </w:r>
            <w:r>
              <w:rPr>
                <w:spacing w:val="1"/>
              </w:rPr>
              <w:t>证栏中填写原通关单代码和编号，应当填写报检电子回执上的企业报检电</w:t>
            </w:r>
            <w:r>
              <w:rPr>
                <w:spacing w:val="11"/>
              </w:rPr>
              <w:t xml:space="preserve"> </w:t>
            </w:r>
            <w:r>
              <w:rPr>
                <w:spacing w:val="9"/>
              </w:rPr>
              <w:t>子底账数据号，并填写代码“B”</w:t>
            </w:r>
          </w:p>
          <w:p>
            <w:pPr>
              <w:pStyle w:val="TableText"/>
              <w:ind w:left="21"/>
              <w:spacing w:before="2" w:line="219" w:lineRule="auto"/>
              <w:rPr/>
            </w:pPr>
            <w:r>
              <w:rPr/>
              <w:t>三、对于特殊情况下，仍需检验检疫纸质证明文件的，</w:t>
            </w:r>
            <w:r>
              <w:rPr>
                <w:spacing w:val="-1"/>
              </w:rPr>
              <w:t>按以下方式处理</w:t>
            </w:r>
          </w:p>
          <w:p>
            <w:pPr>
              <w:pStyle w:val="TableText"/>
              <w:ind w:left="31"/>
              <w:spacing w:line="225" w:lineRule="auto"/>
              <w:rPr/>
            </w:pPr>
            <w:r>
              <w:rPr>
                <w:spacing w:val="-1"/>
              </w:rPr>
              <w:t>一)对入境动植物及其产品，在运输途中需提供运递证明的，出具纸质《入 </w:t>
            </w:r>
            <w:r>
              <w:rPr>
                <w:spacing w:val="3"/>
              </w:rPr>
              <w:t>境货物调离通知单》。(二)对出口集中申报等特殊货物，或者因计算机、</w:t>
            </w:r>
            <w:r>
              <w:rPr>
                <w:spacing w:val="13"/>
              </w:rPr>
              <w:t xml:space="preserve"> </w:t>
            </w:r>
            <w:r>
              <w:rPr/>
              <w:t>系统等故障问题，根据需要出具纸质《出境货物检验检疫</w:t>
            </w:r>
            <w:r>
              <w:rPr>
                <w:spacing w:val="-1"/>
              </w:rPr>
              <w:t>工作联系单》。</w:t>
            </w:r>
          </w:p>
          <w:p>
            <w:pPr>
              <w:pStyle w:val="TableText"/>
              <w:ind w:left="11" w:right="66" w:firstLine="59"/>
              <w:spacing w:before="2" w:line="190" w:lineRule="auto"/>
              <w:rPr/>
            </w:pPr>
            <w:r>
              <w:rPr/>
              <w:t>四、海关统一发送一次放行指令，海关监管作业场所经营单位凭海关放行</w:t>
            </w:r>
            <w:r>
              <w:rPr>
                <w:spacing w:val="6"/>
              </w:rPr>
              <w:t xml:space="preserve"> </w:t>
            </w:r>
            <w:r>
              <w:rPr>
                <w:spacing w:val="-1"/>
              </w:rPr>
              <w:t>指令为企业办理货物提离手续</w:t>
            </w:r>
          </w:p>
        </w:tc>
        <w:tc>
          <w:tcPr>
            <w:tcW w:w="2128" w:type="dxa"/>
            <w:vAlign w:val="top"/>
          </w:tcPr>
          <w:p>
            <w:pPr>
              <w:pStyle w:val="TableText"/>
              <w:ind w:left="15" w:right="52" w:firstLine="30"/>
              <w:spacing w:before="33" w:line="237" w:lineRule="auto"/>
              <w:jc w:val="both"/>
              <w:rPr/>
            </w:pPr>
            <w:r>
              <w:rPr>
                <w:spacing w:val="-1"/>
              </w:rPr>
              <w:t>海关总署《关于全面取消入/出</w:t>
            </w:r>
            <w:r>
              <w:rPr>
                <w:spacing w:val="7"/>
              </w:rPr>
              <w:t xml:space="preserve"> </w:t>
            </w:r>
            <w:r>
              <w:rPr>
                <w:spacing w:val="4"/>
              </w:rPr>
              <w:t>境货物通关单》有关事项的公</w:t>
            </w:r>
            <w:r>
              <w:rPr>
                <w:spacing w:val="10"/>
              </w:rPr>
              <w:t xml:space="preserve"> </w:t>
            </w:r>
            <w:r>
              <w:rPr>
                <w:spacing w:val="3"/>
              </w:rPr>
              <w:t>告》海关总署公告2018年第50</w:t>
            </w:r>
            <w:r>
              <w:rPr>
                <w:spacing w:val="11"/>
              </w:rPr>
              <w:t xml:space="preserve"> </w:t>
            </w:r>
            <w:r>
              <w:rPr/>
              <w:t>号</w:t>
            </w:r>
          </w:p>
        </w:tc>
        <w:tc>
          <w:tcPr>
            <w:tcW w:w="919" w:type="dxa"/>
            <w:vAlign w:val="top"/>
          </w:tcPr>
          <w:p>
            <w:pPr>
              <w:pStyle w:val="TableText"/>
              <w:ind w:left="37" w:right="10" w:firstLine="10"/>
              <w:spacing w:before="12" w:line="250" w:lineRule="auto"/>
              <w:jc w:val="both"/>
              <w:rPr/>
            </w:pPr>
            <w:r>
              <w:rPr>
                <w:spacing w:val="17"/>
                <w:w w:val="108"/>
              </w:rPr>
              <w:t>2018年5月</w:t>
            </w:r>
            <w:r>
              <w:rPr>
                <w:spacing w:val="1"/>
              </w:rPr>
              <w:t xml:space="preserve"> </w:t>
            </w:r>
            <w:r>
              <w:rPr>
                <w:spacing w:val="-14"/>
              </w:rPr>
              <w:t>2</w:t>
            </w:r>
            <w:r>
              <w:rPr>
                <w:spacing w:val="-27"/>
              </w:rPr>
              <w:t xml:space="preserve"> </w:t>
            </w:r>
            <w:r>
              <w:rPr>
                <w:spacing w:val="-14"/>
              </w:rPr>
              <w:t>9 日 (</w:t>
            </w:r>
            <w:r>
              <w:rPr>
                <w:spacing w:val="-32"/>
              </w:rPr>
              <w:t xml:space="preserve"> </w:t>
            </w:r>
            <w:r>
              <w:rPr>
                <w:spacing w:val="-14"/>
              </w:rPr>
              <w:t>文</w:t>
            </w:r>
            <w:r>
              <w:rPr>
                <w:spacing w:val="-34"/>
              </w:rPr>
              <w:t xml:space="preserve"> </w:t>
            </w:r>
            <w:r>
              <w:rPr>
                <w:spacing w:val="-14"/>
              </w:rPr>
              <w:t>件</w:t>
            </w:r>
            <w:r>
              <w:rPr/>
              <w:t xml:space="preserve"> </w:t>
            </w:r>
            <w:r>
              <w:rPr>
                <w:spacing w:val="-2"/>
              </w:rPr>
              <w:t>签发日期</w:t>
            </w:r>
          </w:p>
        </w:tc>
        <w:tc>
          <w:tcPr>
            <w:tcW w:w="679" w:type="dxa"/>
            <w:vAlign w:val="top"/>
          </w:tcPr>
          <w:p>
            <w:pPr>
              <w:pStyle w:val="TableText"/>
              <w:ind w:left="188"/>
              <w:spacing w:before="11" w:line="218" w:lineRule="auto"/>
              <w:rPr/>
            </w:pPr>
            <w:r>
              <w:rPr>
                <w:spacing w:val="5"/>
              </w:rPr>
              <w:t>公告</w:t>
            </w:r>
          </w:p>
        </w:tc>
        <w:tc>
          <w:tcPr>
            <w:tcW w:w="654" w:type="dxa"/>
            <w:vAlign w:val="top"/>
          </w:tcPr>
          <w:p>
            <w:pPr>
              <w:pStyle w:val="TableText"/>
              <w:ind w:left="20"/>
              <w:spacing w:before="23" w:line="219" w:lineRule="auto"/>
              <w:rPr/>
            </w:pPr>
            <w:r>
              <w:rPr>
                <w:spacing w:val="-2"/>
              </w:rPr>
              <w:t>行政优化</w:t>
            </w:r>
          </w:p>
        </w:tc>
      </w:tr>
    </w:tbl>
    <w:p>
      <w:pPr>
        <w:pStyle w:val="BodyText"/>
        <w:rPr/>
      </w:pPr>
      <w:r/>
    </w:p>
    <w:p>
      <w:pPr>
        <w:sectPr>
          <w:pgSz w:w="11910" w:h="8220"/>
          <w:pgMar w:top="400" w:right="1155" w:bottom="400" w:left="809" w:header="0" w:footer="0" w:gutter="0"/>
        </w:sectPr>
        <w:rPr/>
      </w:pPr>
    </w:p>
    <w:p>
      <w:pPr>
        <w:spacing w:before="51"/>
        <w:rPr/>
      </w:pPr>
      <w:r>
        <w:drawing>
          <wp:anchor distT="0" distB="0" distL="0" distR="0" simplePos="0" relativeHeight="251746304" behindDoc="0" locked="0" layoutInCell="0" allowOverlap="1">
            <wp:simplePos x="0" y="0"/>
            <wp:positionH relativeFrom="page">
              <wp:posOffset>514349</wp:posOffset>
            </wp:positionH>
            <wp:positionV relativeFrom="page">
              <wp:posOffset>4425940</wp:posOffset>
            </wp:positionV>
            <wp:extent cx="107921" cy="126995"/>
            <wp:effectExtent l="0" t="0" r="0" b="0"/>
            <wp:wrapNone/>
            <wp:docPr id="60" name="IM 60"/>
            <wp:cNvGraphicFramePr/>
            <a:graphic>
              <a:graphicData uri="http://schemas.openxmlformats.org/drawingml/2006/picture">
                <pic:pic>
                  <pic:nvPicPr>
                    <pic:cNvPr id="60" name="IM 60"/>
                    <pic:cNvPicPr/>
                  </pic:nvPicPr>
                  <pic:blipFill>
                    <a:blip r:embed="rId33"/>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09"/>
        <w:gridCol w:w="679"/>
        <w:gridCol w:w="674"/>
      </w:tblGrid>
      <w:tr>
        <w:trPr>
          <w:trHeight w:val="494" w:hRule="atLeast"/>
        </w:trPr>
        <w:tc>
          <w:tcPr>
            <w:tcW w:w="284" w:type="dxa"/>
            <w:vAlign w:val="top"/>
            <w:textDirection w:val="tbRlV"/>
          </w:tcPr>
          <w:p>
            <w:pPr>
              <w:pStyle w:val="TableText"/>
              <w:ind w:left="47"/>
              <w:spacing w:before="69" w:line="217" w:lineRule="auto"/>
              <w:rPr/>
            </w:pPr>
            <w:bookmarkStart w:name="bookmark4" w:id="3"/>
            <w:bookmarkEnd w:id="3"/>
            <w:r>
              <w:rPr/>
              <w:t>序</w:t>
            </w:r>
            <w:r>
              <w:rPr>
                <w:spacing w:val="16"/>
              </w:rPr>
              <w:t xml:space="preserve"> </w:t>
            </w:r>
            <w:r>
              <w:rPr/>
              <w:t>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74" w:type="dxa"/>
            <w:vAlign w:val="top"/>
          </w:tcPr>
          <w:p>
            <w:pPr>
              <w:pStyle w:val="TableText"/>
              <w:ind w:left="30"/>
              <w:spacing w:before="171" w:line="220" w:lineRule="auto"/>
              <w:rPr/>
            </w:pPr>
            <w:r>
              <w:rPr>
                <w:spacing w:val="-1"/>
              </w:rPr>
              <w:t>政策形式</w:t>
            </w:r>
          </w:p>
        </w:tc>
      </w:tr>
      <w:tr>
        <w:trPr>
          <w:trHeight w:val="2995" w:hRule="atLeast"/>
        </w:trPr>
        <w:tc>
          <w:tcPr>
            <w:tcW w:w="284"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94"/>
              <w:spacing w:before="49" w:line="183" w:lineRule="auto"/>
              <w:rPr/>
            </w:pPr>
            <w:r>
              <w:rPr/>
              <w:t>6</w:t>
            </w:r>
          </w:p>
        </w:tc>
        <w:tc>
          <w:tcPr>
            <w:tcW w:w="4955" w:type="dxa"/>
            <w:vAlign w:val="top"/>
          </w:tcPr>
          <w:p>
            <w:pPr>
              <w:spacing w:line="266" w:lineRule="auto"/>
              <w:rPr>
                <w:rFonts w:ascii="Arial"/>
                <w:sz w:val="21"/>
              </w:rPr>
            </w:pPr>
            <w:r/>
          </w:p>
          <w:p>
            <w:pPr>
              <w:pStyle w:val="TableText"/>
              <w:ind w:left="31" w:right="47"/>
              <w:spacing w:before="48" w:line="233" w:lineRule="auto"/>
              <w:rPr/>
            </w:pPr>
            <w:r>
              <w:rPr/>
              <w:t>一、明确涉企证照事项整合范围。在“五证合一”基础</w:t>
            </w:r>
            <w:r>
              <w:rPr>
                <w:spacing w:val="-1"/>
              </w:rPr>
              <w:t>上，将19项涉企(包</w:t>
            </w:r>
            <w:r>
              <w:rPr/>
              <w:t xml:space="preserve"> </w:t>
            </w:r>
            <w:r>
              <w:rPr/>
              <w:t>括企业、个体工商户、农民专业合作社，下称企业)证照</w:t>
            </w:r>
            <w:r>
              <w:rPr>
                <w:spacing w:val="-1"/>
              </w:rPr>
              <w:t>事项进一步整合</w:t>
            </w:r>
          </w:p>
          <w:p>
            <w:pPr>
              <w:pStyle w:val="TableText"/>
              <w:ind w:left="31" w:right="79" w:firstLine="39"/>
              <w:spacing w:before="21"/>
              <w:rPr/>
            </w:pPr>
            <w:r>
              <w:rPr/>
              <w:t>到营业执照上，首批实行“二十四证合一”。对</w:t>
            </w:r>
            <w:r>
              <w:rPr>
                <w:spacing w:val="-1"/>
              </w:rPr>
              <w:t>全国统一“多证合一”改</w:t>
            </w:r>
            <w:r>
              <w:rPr/>
              <w:t xml:space="preserve"> </w:t>
            </w:r>
            <w:r>
              <w:rPr>
                <w:spacing w:val="1"/>
              </w:rPr>
              <w:t>革涉企证照事项目录实行动态更新管理，对目录以外符合整合要求的证照</w:t>
            </w:r>
            <w:r>
              <w:rPr/>
              <w:t xml:space="preserve"> </w:t>
            </w:r>
            <w:r>
              <w:rPr>
                <w:spacing w:val="1"/>
              </w:rPr>
              <w:t>事项，分期分批纳入“多证合一”范畴。对法律法规明确为行政审批和许 </w:t>
            </w:r>
            <w:r>
              <w:rPr>
                <w:spacing w:val="-1"/>
              </w:rPr>
              <w:t>可性质的涉企证照事项，不予整合</w:t>
            </w:r>
          </w:p>
          <w:p>
            <w:pPr>
              <w:pStyle w:val="TableText"/>
              <w:ind w:left="31" w:right="82" w:firstLine="39"/>
              <w:spacing w:before="20" w:line="220" w:lineRule="auto"/>
              <w:rPr/>
            </w:pPr>
            <w:r>
              <w:rPr>
                <w:spacing w:val="-5"/>
              </w:rPr>
              <w:t>二、完善工作流程。    “多证合一”改革工作采取工商部门负责登记、备</w:t>
            </w:r>
            <w:r>
              <w:rPr>
                <w:spacing w:val="15"/>
              </w:rPr>
              <w:t xml:space="preserve"> </w:t>
            </w:r>
            <w:r>
              <w:rPr/>
              <w:t>案等信息采集推送、相关职能部门直接接收或认领导</w:t>
            </w:r>
            <w:r>
              <w:rPr>
                <w:spacing w:val="-1"/>
              </w:rPr>
              <w:t>入相互关联的业务</w:t>
            </w:r>
          </w:p>
          <w:p>
            <w:pPr>
              <w:pStyle w:val="TableText"/>
              <w:ind w:left="11" w:right="344"/>
              <w:spacing w:before="40" w:line="230" w:lineRule="auto"/>
              <w:rPr/>
            </w:pPr>
            <w:r>
              <w:rPr/>
              <w:t>流程模式。申请人办理企业注册登记时自行填写“一</w:t>
            </w:r>
            <w:r>
              <w:rPr>
                <w:spacing w:val="-1"/>
              </w:rPr>
              <w:t>张表格”,向“一</w:t>
            </w:r>
            <w:r>
              <w:rPr/>
              <w:t xml:space="preserve"> </w:t>
            </w:r>
            <w:r>
              <w:rPr/>
              <w:t>个窗口”提交“一套材料”,登记部门直接核发加载统一社会信用代码</w:t>
            </w:r>
            <w:r>
              <w:rPr>
                <w:spacing w:val="13"/>
              </w:rPr>
              <w:t xml:space="preserve"> </w:t>
            </w:r>
            <w:r>
              <w:rPr>
                <w:spacing w:val="-1"/>
              </w:rPr>
              <w:t>的营业执照。</w:t>
            </w:r>
          </w:p>
        </w:tc>
        <w:tc>
          <w:tcPr>
            <w:tcW w:w="2128" w:type="dxa"/>
            <w:vAlign w:val="top"/>
          </w:tcPr>
          <w:p>
            <w:pPr>
              <w:spacing w:line="245" w:lineRule="auto"/>
              <w:rPr>
                <w:rFonts w:ascii="Arial"/>
                <w:sz w:val="21"/>
              </w:rPr>
            </w:pPr>
            <w:r/>
          </w:p>
          <w:p>
            <w:pPr>
              <w:pStyle w:val="TableText"/>
              <w:ind w:left="15" w:firstLine="67"/>
              <w:spacing w:before="49" w:line="246" w:lineRule="auto"/>
              <w:rPr/>
            </w:pPr>
            <w:r>
              <w:rPr>
                <w:spacing w:val="-5"/>
              </w:rPr>
              <w:t>国家工商行政管理总局、国家</w:t>
            </w:r>
            <w:r>
              <w:rPr>
                <w:spacing w:val="2"/>
              </w:rPr>
              <w:t xml:space="preserve">   </w:t>
            </w:r>
            <w:r>
              <w:rPr>
                <w:spacing w:val="5"/>
              </w:rPr>
              <w:t>发展和改革委员会、公安部、  </w:t>
            </w:r>
            <w:r>
              <w:rPr>
                <w:spacing w:val="-1"/>
              </w:rPr>
              <w:t>财政部、人力资源和社会保障</w:t>
            </w:r>
            <w:r>
              <w:rPr>
                <w:spacing w:val="2"/>
              </w:rPr>
              <w:t xml:space="preserve">   </w:t>
            </w:r>
            <w:r>
              <w:rPr>
                <w:spacing w:val="-10"/>
              </w:rPr>
              <w:t>部、住房和城乡建设部、农业部、</w:t>
            </w:r>
            <w:r>
              <w:rPr>
                <w:spacing w:val="1"/>
              </w:rPr>
              <w:t xml:space="preserve"> </w:t>
            </w:r>
            <w:r>
              <w:rPr>
                <w:spacing w:val="-6"/>
              </w:rPr>
              <w:t>商务部、海关总署、国家质量</w:t>
            </w:r>
          </w:p>
          <w:p>
            <w:pPr>
              <w:pStyle w:val="TableText"/>
              <w:ind w:left="85"/>
              <w:spacing w:before="22" w:line="219" w:lineRule="auto"/>
              <w:rPr/>
            </w:pPr>
            <w:r>
              <w:rPr>
                <w:spacing w:val="-1"/>
              </w:rPr>
              <w:t>监督检验检疫总局、新闻出版</w:t>
            </w:r>
          </w:p>
          <w:p>
            <w:pPr>
              <w:pStyle w:val="TableText"/>
              <w:ind w:left="5" w:firstLine="79"/>
              <w:spacing w:before="12" w:line="226" w:lineRule="auto"/>
              <w:rPr/>
            </w:pPr>
            <w:r>
              <w:rPr>
                <w:spacing w:val="1"/>
              </w:rPr>
              <w:t>广电总局、国家旅游局、中国</w:t>
            </w:r>
            <w:r>
              <w:rPr/>
              <w:t xml:space="preserve">  </w:t>
            </w:r>
            <w:r>
              <w:rPr/>
              <w:t>气象局《关于推进全国统一“多</w:t>
            </w:r>
          </w:p>
          <w:p>
            <w:pPr>
              <w:pStyle w:val="TableText"/>
              <w:ind w:left="15" w:right="87" w:firstLine="70"/>
              <w:spacing w:before="41" w:line="233" w:lineRule="auto"/>
              <w:rPr/>
            </w:pPr>
            <w:r>
              <w:rPr>
                <w:spacing w:val="-1"/>
              </w:rPr>
              <w:t>证合一”改革的意见》工商企</w:t>
            </w:r>
            <w:r>
              <w:rPr>
                <w:spacing w:val="6"/>
              </w:rPr>
              <w:t xml:space="preserve"> </w:t>
            </w:r>
            <w:r>
              <w:rPr>
                <w:spacing w:val="-1"/>
              </w:rPr>
              <w:t>注字〔2018〕31号</w:t>
            </w:r>
          </w:p>
        </w:tc>
        <w:tc>
          <w:tcPr>
            <w:tcW w:w="909" w:type="dxa"/>
            <w:vAlign w:val="top"/>
          </w:tcPr>
          <w:p>
            <w:pPr>
              <w:spacing w:line="265" w:lineRule="auto"/>
              <w:rPr>
                <w:rFonts w:ascii="Arial"/>
                <w:sz w:val="21"/>
              </w:rPr>
            </w:pPr>
            <w:r/>
          </w:p>
          <w:p>
            <w:pPr>
              <w:pStyle w:val="TableText"/>
              <w:ind w:left="18" w:firstLine="9"/>
              <w:spacing w:before="49" w:line="238" w:lineRule="auto"/>
              <w:jc w:val="both"/>
              <w:rPr/>
            </w:pPr>
            <w:r>
              <w:rPr>
                <w:spacing w:val="17"/>
                <w:w w:val="111"/>
              </w:rPr>
              <w:t>2018年3月</w:t>
            </w:r>
            <w:r>
              <w:rPr>
                <w:spacing w:val="1"/>
              </w:rPr>
              <w:t xml:space="preserve"> </w:t>
            </w:r>
            <w:r>
              <w:rPr>
                <w:spacing w:val="11"/>
              </w:rPr>
              <w:t>1日(文件签</w:t>
            </w:r>
            <w:r>
              <w:rPr/>
              <w:t xml:space="preserve">  </w:t>
            </w:r>
            <w:r>
              <w:rPr>
                <w:spacing w:val="-2"/>
              </w:rPr>
              <w:t>发日期</w:t>
            </w:r>
          </w:p>
        </w:tc>
        <w:tc>
          <w:tcPr>
            <w:tcW w:w="679" w:type="dxa"/>
            <w:vAlign w:val="top"/>
          </w:tcPr>
          <w:p>
            <w:pPr>
              <w:spacing w:line="246" w:lineRule="auto"/>
              <w:rPr>
                <w:rFonts w:ascii="Arial"/>
                <w:sz w:val="21"/>
              </w:rPr>
            </w:pPr>
            <w:r/>
          </w:p>
          <w:p>
            <w:pPr>
              <w:pStyle w:val="TableText"/>
              <w:ind w:left="38"/>
              <w:spacing w:before="49" w:line="219" w:lineRule="auto"/>
              <w:rPr/>
            </w:pPr>
            <w:r>
              <w:rPr>
                <w:spacing w:val="-2"/>
              </w:rPr>
              <w:t>指导意见</w:t>
            </w:r>
          </w:p>
        </w:tc>
        <w:tc>
          <w:tcPr>
            <w:tcW w:w="674" w:type="dxa"/>
            <w:vAlign w:val="top"/>
          </w:tcPr>
          <w:p>
            <w:pPr>
              <w:pStyle w:val="TableText"/>
              <w:ind w:left="30"/>
              <w:spacing w:before="287" w:line="219" w:lineRule="auto"/>
              <w:rPr/>
            </w:pPr>
            <w:r>
              <w:rPr>
                <w:spacing w:val="-2"/>
              </w:rPr>
              <w:t>行政优化</w:t>
            </w:r>
          </w:p>
        </w:tc>
      </w:tr>
      <w:tr>
        <w:trPr>
          <w:trHeight w:val="259" w:hRule="atLeast"/>
        </w:trPr>
        <w:tc>
          <w:tcPr>
            <w:shd w:val="clear" w:fill="DCDDDD"/>
            <w:tcW w:w="9629" w:type="dxa"/>
            <w:vAlign w:val="top"/>
            <w:gridSpan w:val="6"/>
          </w:tcPr>
          <w:p>
            <w:pPr>
              <w:pStyle w:val="TableText"/>
              <w:ind w:left="4377"/>
              <w:spacing w:before="60" w:line="219" w:lineRule="auto"/>
              <w:rPr/>
            </w:pPr>
            <w:r>
              <w:rPr>
                <w:b/>
                <w:bCs/>
                <w:spacing w:val="-3"/>
              </w:rPr>
              <w:t>五、行政执法</w:t>
            </w:r>
          </w:p>
        </w:tc>
      </w:tr>
      <w:tr>
        <w:trPr>
          <w:trHeight w:val="2391" w:hRule="atLeast"/>
        </w:trPr>
        <w:tc>
          <w:tcPr>
            <w:tcW w:w="284"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94"/>
              <w:spacing w:before="49" w:line="184" w:lineRule="auto"/>
              <w:rPr/>
            </w:pPr>
            <w:r>
              <w:rPr/>
              <w:t>1</w:t>
            </w:r>
          </w:p>
        </w:tc>
        <w:tc>
          <w:tcPr>
            <w:tcW w:w="4955" w:type="dxa"/>
            <w:vAlign w:val="top"/>
          </w:tcPr>
          <w:p>
            <w:pPr>
              <w:spacing w:line="270" w:lineRule="auto"/>
              <w:rPr>
                <w:rFonts w:ascii="Arial"/>
                <w:sz w:val="21"/>
              </w:rPr>
            </w:pPr>
            <w:r/>
          </w:p>
          <w:p>
            <w:pPr>
              <w:spacing w:line="271" w:lineRule="auto"/>
              <w:rPr>
                <w:rFonts w:ascii="Arial"/>
                <w:sz w:val="21"/>
              </w:rPr>
            </w:pPr>
            <w:r/>
          </w:p>
          <w:p>
            <w:pPr>
              <w:pStyle w:val="TableText"/>
              <w:ind w:left="21"/>
              <w:spacing w:before="48" w:line="219" w:lineRule="auto"/>
              <w:rPr/>
            </w:pPr>
            <w:r>
              <w:rPr>
                <w:spacing w:val="-1"/>
              </w:rPr>
              <w:t>二、全面推行行政执法公示制度。</w:t>
            </w:r>
          </w:p>
          <w:p>
            <w:pPr>
              <w:pStyle w:val="TableText"/>
              <w:ind w:left="21"/>
              <w:spacing w:before="12" w:line="219" w:lineRule="auto"/>
              <w:rPr/>
            </w:pPr>
            <w:r>
              <w:rPr>
                <w:spacing w:val="-1"/>
              </w:rPr>
              <w:t>三、全面推行执法全过程记录制度。</w:t>
            </w:r>
          </w:p>
          <w:p>
            <w:pPr>
              <w:pStyle w:val="TableText"/>
              <w:ind w:left="21"/>
              <w:spacing w:before="31" w:line="200" w:lineRule="exact"/>
              <w:rPr/>
            </w:pPr>
            <w:r>
              <w:rPr>
                <w:spacing w:val="-1"/>
                <w:position w:val="3"/>
              </w:rPr>
              <w:t>四、全面推行重大执法决定法制审核制度。</w:t>
            </w:r>
          </w:p>
          <w:p>
            <w:pPr>
              <w:pStyle w:val="TableText"/>
              <w:ind w:left="31"/>
              <w:spacing w:line="219" w:lineRule="auto"/>
              <w:rPr/>
            </w:pPr>
            <w:r>
              <w:rPr>
                <w:spacing w:val="-1"/>
              </w:rPr>
              <w:t>五、全面推进行政执法信息化建设</w:t>
            </w:r>
          </w:p>
          <w:p>
            <w:pPr>
              <w:pStyle w:val="TableText"/>
              <w:ind w:left="31"/>
              <w:spacing w:before="11" w:line="219" w:lineRule="auto"/>
              <w:rPr/>
            </w:pPr>
            <w:r>
              <w:rPr/>
              <w:t>各地区、各部门要于2019年3月底前制定本地区、本</w:t>
            </w:r>
            <w:r>
              <w:rPr>
                <w:spacing w:val="-1"/>
              </w:rPr>
              <w:t>部门全面推行“三项</w:t>
            </w:r>
          </w:p>
          <w:p>
            <w:pPr>
              <w:pStyle w:val="TableText"/>
              <w:ind w:left="11"/>
              <w:spacing w:before="32" w:line="229" w:lineRule="auto"/>
              <w:rPr/>
            </w:pPr>
            <w:r>
              <w:rPr>
                <w:spacing w:val="-1"/>
              </w:rPr>
              <w:t>制度”的实施方案，并报司法部备案。司法部要加强对全面推行“三项制度</w:t>
            </w:r>
            <w:r>
              <w:rPr>
                <w:spacing w:val="15"/>
              </w:rPr>
              <w:t xml:space="preserve"> </w:t>
            </w:r>
            <w:r>
              <w:rPr>
                <w:spacing w:val="2"/>
              </w:rPr>
              <w:t>的指导协调，会同有关部门进行监督检查和跟踪评估，重要情</w:t>
            </w:r>
            <w:r>
              <w:rPr>
                <w:spacing w:val="1"/>
              </w:rPr>
              <w:t>况及时报告</w:t>
            </w:r>
            <w:r>
              <w:rPr/>
              <w:t xml:space="preserve">  </w:t>
            </w:r>
            <w:r>
              <w:rPr>
                <w:spacing w:val="-2"/>
              </w:rPr>
              <w:t>国务院。</w:t>
            </w:r>
          </w:p>
        </w:tc>
        <w:tc>
          <w:tcPr>
            <w:tcW w:w="2128" w:type="dxa"/>
            <w:vAlign w:val="top"/>
          </w:tcPr>
          <w:p>
            <w:pPr>
              <w:spacing w:line="266" w:lineRule="auto"/>
              <w:rPr>
                <w:rFonts w:ascii="Arial"/>
                <w:sz w:val="21"/>
              </w:rPr>
            </w:pPr>
            <w:r/>
          </w:p>
          <w:p>
            <w:pPr>
              <w:spacing w:line="266" w:lineRule="auto"/>
              <w:rPr>
                <w:rFonts w:ascii="Arial"/>
                <w:sz w:val="21"/>
              </w:rPr>
            </w:pPr>
            <w:r/>
          </w:p>
          <w:p>
            <w:pPr>
              <w:pStyle w:val="TableText"/>
              <w:ind w:left="15" w:right="74" w:firstLine="70"/>
              <w:spacing w:before="49" w:line="241" w:lineRule="auto"/>
              <w:jc w:val="both"/>
              <w:rPr/>
            </w:pPr>
            <w:r>
              <w:rPr/>
              <w:t>国务院办公厅《关于全面推行</w:t>
            </w:r>
            <w:r>
              <w:rPr>
                <w:spacing w:val="6"/>
              </w:rPr>
              <w:t xml:space="preserve"> </w:t>
            </w:r>
            <w:r>
              <w:rPr>
                <w:spacing w:val="4"/>
              </w:rPr>
              <w:t>行政执法公示制度执法全过程</w:t>
            </w:r>
            <w:r>
              <w:rPr>
                <w:spacing w:val="8"/>
              </w:rPr>
              <w:t xml:space="preserve"> </w:t>
            </w:r>
            <w:r>
              <w:rPr>
                <w:spacing w:val="4"/>
              </w:rPr>
              <w:t>记录制度重大执法决定法制审</w:t>
            </w:r>
            <w:r>
              <w:rPr>
                <w:spacing w:val="11"/>
              </w:rPr>
              <w:t xml:space="preserve"> </w:t>
            </w:r>
            <w:r>
              <w:rPr>
                <w:spacing w:val="5"/>
              </w:rPr>
              <w:t>核制度的指导意见》国办发〔</w:t>
            </w:r>
            <w:r>
              <w:rPr>
                <w:spacing w:val="4"/>
              </w:rPr>
              <w:t xml:space="preserve"> </w:t>
            </w:r>
            <w:r>
              <w:rPr>
                <w:spacing w:val="-1"/>
              </w:rPr>
              <w:t>2018〕118号</w:t>
            </w:r>
          </w:p>
        </w:tc>
        <w:tc>
          <w:tcPr>
            <w:tcW w:w="909" w:type="dxa"/>
            <w:vAlign w:val="top"/>
          </w:tcPr>
          <w:p>
            <w:pPr>
              <w:spacing w:line="265" w:lineRule="auto"/>
              <w:rPr>
                <w:rFonts w:ascii="Arial"/>
                <w:sz w:val="21"/>
              </w:rPr>
            </w:pPr>
            <w:r/>
          </w:p>
          <w:p>
            <w:pPr>
              <w:spacing w:line="265" w:lineRule="auto"/>
              <w:rPr>
                <w:rFonts w:ascii="Arial"/>
                <w:sz w:val="21"/>
              </w:rPr>
            </w:pPr>
            <w:r/>
          </w:p>
          <w:p>
            <w:pPr>
              <w:pStyle w:val="TableText"/>
              <w:ind w:left="18" w:right="40" w:firstLine="59"/>
              <w:spacing w:before="48" w:line="234" w:lineRule="auto"/>
              <w:jc w:val="both"/>
              <w:rPr/>
            </w:pPr>
            <w:r>
              <w:rPr>
                <w:spacing w:val="3"/>
              </w:rPr>
              <w:t>2018年12月</w:t>
            </w:r>
            <w:r>
              <w:rPr>
                <w:spacing w:val="5"/>
              </w:rPr>
              <w:t xml:space="preserve"> </w:t>
            </w:r>
            <w:r>
              <w:rPr>
                <w:spacing w:val="8"/>
              </w:rPr>
              <w:t>5日(文件签</w:t>
            </w:r>
            <w:r>
              <w:rPr>
                <w:spacing w:val="2"/>
              </w:rPr>
              <w:t xml:space="preserve"> </w:t>
            </w:r>
            <w:r>
              <w:rPr>
                <w:spacing w:val="6"/>
              </w:rPr>
              <w:t>发日期)</w:t>
            </w:r>
          </w:p>
        </w:tc>
        <w:tc>
          <w:tcPr>
            <w:tcW w:w="679" w:type="dxa"/>
            <w:vAlign w:val="top"/>
          </w:tcPr>
          <w:p>
            <w:pPr>
              <w:spacing w:line="270" w:lineRule="auto"/>
              <w:rPr>
                <w:rFonts w:ascii="Arial"/>
                <w:sz w:val="21"/>
              </w:rPr>
            </w:pPr>
            <w:r/>
          </w:p>
          <w:p>
            <w:pPr>
              <w:spacing w:line="271" w:lineRule="auto"/>
              <w:rPr>
                <w:rFonts w:ascii="Arial"/>
                <w:sz w:val="21"/>
              </w:rPr>
            </w:pPr>
            <w:r/>
          </w:p>
          <w:p>
            <w:pPr>
              <w:pStyle w:val="TableText"/>
              <w:ind w:left="38"/>
              <w:spacing w:before="48" w:line="219" w:lineRule="auto"/>
              <w:rPr/>
            </w:pPr>
            <w:r>
              <w:rPr>
                <w:spacing w:val="-2"/>
              </w:rPr>
              <w:t>指导意见</w:t>
            </w:r>
          </w:p>
        </w:tc>
        <w:tc>
          <w:tcPr>
            <w:tcW w:w="674" w:type="dxa"/>
            <w:vAlign w:val="top"/>
          </w:tcPr>
          <w:p>
            <w:pPr>
              <w:spacing w:line="260" w:lineRule="auto"/>
              <w:rPr>
                <w:rFonts w:ascii="Arial"/>
                <w:sz w:val="21"/>
              </w:rPr>
            </w:pPr>
            <w:r/>
          </w:p>
          <w:p>
            <w:pPr>
              <w:spacing w:line="261" w:lineRule="auto"/>
              <w:rPr>
                <w:rFonts w:ascii="Arial"/>
                <w:sz w:val="21"/>
              </w:rPr>
            </w:pPr>
            <w:r/>
          </w:p>
          <w:p>
            <w:pPr>
              <w:pStyle w:val="TableText"/>
              <w:ind w:left="30"/>
              <w:spacing w:before="49" w:line="219" w:lineRule="auto"/>
              <w:rPr/>
            </w:pPr>
            <w:r>
              <w:rPr>
                <w:spacing w:val="-2"/>
              </w:rPr>
              <w:t>行政优化</w:t>
            </w:r>
          </w:p>
        </w:tc>
      </w:tr>
    </w:tbl>
    <w:p>
      <w:pPr>
        <w:pStyle w:val="BodyText"/>
        <w:rPr/>
      </w:pPr>
      <w:r/>
    </w:p>
    <w:p>
      <w:pPr>
        <w:sectPr>
          <w:pgSz w:w="11910" w:h="8220"/>
          <w:pgMar w:top="400" w:right="1145" w:bottom="400" w:left="809" w:header="0" w:footer="0" w:gutter="0"/>
        </w:sectPr>
        <w:rPr/>
      </w:pPr>
    </w:p>
    <w:p>
      <w:pPr>
        <w:spacing w:before="46"/>
        <w:rPr/>
      </w:pPr>
      <w:r>
        <w:pict>
          <v:shape id="_x0000_s108" style="position:absolute;margin-left:38.9997pt;margin-top:50.3403pt;mso-position-vertical-relative:page;mso-position-horizontal-relative:page;width:10.6pt;height:15.85pt;z-index:251747328;" o:allowincell="f" filled="false" stroked="false" type="#_x0000_t202">
            <v:fill on="false"/>
            <v:stroke on="false"/>
            <v:path/>
            <v:imagedata o:title=""/>
            <o:lock v:ext="edit" aspectratio="false"/>
            <v:textbox inset="0mm,0mm,0mm,0mm">
              <w:txbxContent>
                <w:p>
                  <w:pPr>
                    <w:spacing w:before="20" w:line="224" w:lineRule="auto"/>
                    <w:jc w:val="right"/>
                    <w:rPr>
                      <w:rFonts w:ascii="STCaiyun" w:hAnsi="STCaiyun" w:eastAsia="STCaiyun" w:cs="STCaiyun"/>
                      <w:sz w:val="22"/>
                      <w:szCs w:val="22"/>
                    </w:rPr>
                  </w:pPr>
                  <w:r>
                    <w:rPr>
                      <w:rFonts w:ascii="STCaiyun" w:hAnsi="STCaiyun" w:eastAsia="STCaiyun" w:cs="STCaiyun"/>
                      <w:sz w:val="22"/>
                      <w:szCs w:val="22"/>
                      <w:spacing w:val="-24"/>
                      <w:w w:val="88"/>
                    </w:rPr>
                    <w:t>吕</w:t>
                  </w:r>
                </w:p>
              </w:txbxContent>
            </v:textbox>
          </v:shape>
        </w:pict>
      </w:r>
      <w:r/>
    </w:p>
    <w:p>
      <w:pPr>
        <w:spacing w:before="46"/>
        <w:rPr/>
      </w:pPr>
      <w:r/>
    </w:p>
    <w:tbl>
      <w:tblPr>
        <w:tblStyle w:val="TableNormal"/>
        <w:tblW w:w="9629" w:type="dxa"/>
        <w:tblInd w:w="3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4"/>
        <w:gridCol w:w="4965"/>
        <w:gridCol w:w="2138"/>
        <w:gridCol w:w="909"/>
        <w:gridCol w:w="679"/>
        <w:gridCol w:w="674"/>
      </w:tblGrid>
      <w:tr>
        <w:trPr>
          <w:trHeight w:val="514" w:hRule="atLeast"/>
        </w:trPr>
        <w:tc>
          <w:tcPr>
            <w:tcW w:w="264" w:type="dxa"/>
            <w:vAlign w:val="top"/>
            <w:textDirection w:val="tbRlV"/>
          </w:tcPr>
          <w:p>
            <w:pPr>
              <w:pStyle w:val="TableText"/>
              <w:ind w:left="67"/>
              <w:spacing w:before="59" w:line="217" w:lineRule="auto"/>
              <w:rPr/>
            </w:pPr>
            <w:r>
              <w:rPr>
                <w:spacing w:val="-2"/>
              </w:rPr>
              <w:t>序 号</w:t>
            </w:r>
          </w:p>
        </w:tc>
        <w:tc>
          <w:tcPr>
            <w:tcW w:w="4965" w:type="dxa"/>
            <w:vAlign w:val="top"/>
          </w:tcPr>
          <w:p>
            <w:pPr>
              <w:pStyle w:val="TableText"/>
              <w:ind w:left="2171"/>
              <w:spacing w:before="181" w:line="219" w:lineRule="auto"/>
              <w:rPr/>
            </w:pPr>
            <w:r>
              <w:rPr>
                <w:spacing w:val="-2"/>
              </w:rPr>
              <w:t>主要内容</w:t>
            </w:r>
          </w:p>
        </w:tc>
        <w:tc>
          <w:tcPr>
            <w:tcW w:w="2138" w:type="dxa"/>
            <w:vAlign w:val="top"/>
          </w:tcPr>
          <w:p>
            <w:pPr>
              <w:pStyle w:val="TableText"/>
              <w:ind w:left="766"/>
              <w:spacing w:before="180" w:line="219" w:lineRule="auto"/>
              <w:rPr/>
            </w:pPr>
            <w:r>
              <w:rPr>
                <w:spacing w:val="-1"/>
              </w:rPr>
              <w:t>政策依据</w:t>
            </w:r>
          </w:p>
        </w:tc>
        <w:tc>
          <w:tcPr>
            <w:tcW w:w="909" w:type="dxa"/>
            <w:vAlign w:val="top"/>
          </w:tcPr>
          <w:p>
            <w:pPr>
              <w:pStyle w:val="TableText"/>
              <w:ind w:left="147"/>
              <w:spacing w:before="181" w:line="219" w:lineRule="auto"/>
              <w:rPr/>
            </w:pPr>
            <w:r>
              <w:rPr>
                <w:spacing w:val="3"/>
              </w:rPr>
              <w:t>执行时间</w:t>
            </w:r>
          </w:p>
        </w:tc>
        <w:tc>
          <w:tcPr>
            <w:tcW w:w="679" w:type="dxa"/>
            <w:vAlign w:val="top"/>
          </w:tcPr>
          <w:p>
            <w:pPr>
              <w:pStyle w:val="TableText"/>
              <w:ind w:left="38"/>
              <w:spacing w:before="181" w:line="219" w:lineRule="auto"/>
              <w:rPr/>
            </w:pPr>
            <w:r>
              <w:rPr>
                <w:spacing w:val="-1"/>
              </w:rPr>
              <w:t>政策类别</w:t>
            </w:r>
          </w:p>
        </w:tc>
        <w:tc>
          <w:tcPr>
            <w:tcW w:w="674" w:type="dxa"/>
            <w:vAlign w:val="top"/>
          </w:tcPr>
          <w:p>
            <w:pPr>
              <w:pStyle w:val="TableText"/>
              <w:ind w:left="30"/>
              <w:spacing w:before="181" w:line="220" w:lineRule="auto"/>
              <w:rPr/>
            </w:pPr>
            <w:r>
              <w:rPr>
                <w:spacing w:val="-1"/>
              </w:rPr>
              <w:t>政策形式</w:t>
            </w:r>
          </w:p>
        </w:tc>
      </w:tr>
      <w:tr>
        <w:trPr>
          <w:trHeight w:val="259" w:hRule="atLeast"/>
        </w:trPr>
        <w:tc>
          <w:tcPr>
            <w:shd w:val="clear" w:fill="DCDDDD"/>
            <w:tcW w:w="9629" w:type="dxa"/>
            <w:vAlign w:val="top"/>
            <w:gridSpan w:val="6"/>
          </w:tcPr>
          <w:p>
            <w:pPr>
              <w:pStyle w:val="TableText"/>
              <w:ind w:left="3867"/>
              <w:spacing w:before="55" w:line="219" w:lineRule="auto"/>
              <w:rPr/>
            </w:pPr>
            <w:r>
              <w:rPr>
                <w:b/>
                <w:bCs/>
                <w:spacing w:val="-1"/>
              </w:rPr>
              <w:t>六、</w:t>
            </w:r>
            <w:r>
              <w:rPr>
                <w:spacing w:val="21"/>
                <w:w w:val="101"/>
              </w:rPr>
              <w:t xml:space="preserve">   </w:t>
            </w:r>
            <w:r>
              <w:rPr>
                <w:b/>
                <w:bCs/>
                <w:spacing w:val="-1"/>
              </w:rPr>
              <w:t>“互联网+政务服务”</w:t>
            </w:r>
          </w:p>
        </w:tc>
      </w:tr>
      <w:tr>
        <w:trPr>
          <w:trHeight w:val="279" w:hRule="atLeast"/>
        </w:trPr>
        <w:tc>
          <w:tcPr>
            <w:shd w:val="clear" w:fill="DCDDDD"/>
            <w:tcW w:w="9629" w:type="dxa"/>
            <w:vAlign w:val="top"/>
            <w:gridSpan w:val="6"/>
          </w:tcPr>
          <w:p>
            <w:pPr>
              <w:pStyle w:val="TableText"/>
              <w:ind w:left="3687"/>
              <w:spacing w:before="65" w:line="219" w:lineRule="auto"/>
              <w:rPr/>
            </w:pPr>
            <w:r>
              <w:rPr>
                <w:b/>
                <w:bCs/>
                <w:spacing w:val="-2"/>
              </w:rPr>
              <w:t>七、行业协会商会与行政机关脱钩</w:t>
            </w:r>
          </w:p>
        </w:tc>
      </w:tr>
      <w:tr>
        <w:trPr>
          <w:trHeight w:val="5157" w:hRule="atLeast"/>
        </w:trPr>
        <w:tc>
          <w:tcPr>
            <w:tcW w:w="26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84"/>
              <w:spacing w:before="49" w:line="184" w:lineRule="auto"/>
              <w:rPr/>
            </w:pPr>
            <w:r>
              <w:rPr/>
              <w:t>1</w:t>
            </w:r>
          </w:p>
        </w:tc>
        <w:tc>
          <w:tcPr>
            <w:tcW w:w="4965" w:type="dxa"/>
            <w:vAlign w:val="top"/>
          </w:tcPr>
          <w:p>
            <w:pPr>
              <w:pStyle w:val="TableText"/>
              <w:ind w:left="51" w:right="66" w:firstLine="20"/>
              <w:spacing w:before="97" w:line="246" w:lineRule="auto"/>
              <w:rPr/>
            </w:pPr>
            <w:r>
              <w:rPr>
                <w:spacing w:val="-1"/>
              </w:rPr>
              <w:t>一、企事业单位和社会组织不得与非法社会组织有关联。企事业单位和社</w:t>
            </w:r>
            <w:r>
              <w:rPr>
                <w:spacing w:val="16"/>
              </w:rPr>
              <w:t xml:space="preserve"> </w:t>
            </w:r>
            <w:r>
              <w:rPr/>
              <w:t>会组织要自觉抵制非法社会组织，不得与非法社会组织勾连开展活动或为</w:t>
            </w:r>
            <w:r>
              <w:rPr>
                <w:spacing w:val="13"/>
              </w:rPr>
              <w:t xml:space="preserve"> </w:t>
            </w:r>
            <w:r>
              <w:rPr/>
              <w:t>其活动提供便利；不得参与成立或加入非法社会组织；不得接收非法社会</w:t>
            </w:r>
            <w:r>
              <w:rPr>
                <w:spacing w:val="12"/>
              </w:rPr>
              <w:t xml:space="preserve"> </w:t>
            </w:r>
            <w:r>
              <w:rPr/>
              <w:t>组织作为分支或下属机构；不得为非法社会组织提供账户使用等便利；不</w:t>
            </w:r>
            <w:r>
              <w:rPr>
                <w:spacing w:val="11"/>
              </w:rPr>
              <w:t xml:space="preserve"> </w:t>
            </w:r>
            <w:r>
              <w:rPr>
                <w:spacing w:val="1"/>
              </w:rPr>
              <w:t>得为非法社会组织进行虚假宣传。对违反上述要求的社会组织，民政部门</w:t>
            </w:r>
            <w:r>
              <w:rPr>
                <w:spacing w:val="4"/>
              </w:rPr>
              <w:t xml:space="preserve"> </w:t>
            </w:r>
            <w:r>
              <w:rPr/>
              <w:t>依法从严从重处罚，向社会公告包括业务主管单位以及社会组织主要负责</w:t>
            </w:r>
            <w:r>
              <w:rPr>
                <w:spacing w:val="11"/>
              </w:rPr>
              <w:t xml:space="preserve"> </w:t>
            </w:r>
            <w:r>
              <w:rPr/>
              <w:t>人(法定代表人)名单在内的处罚信息，并纳入社会组</w:t>
            </w:r>
            <w:r>
              <w:rPr>
                <w:spacing w:val="-1"/>
              </w:rPr>
              <w:t>织活动异常名录或</w:t>
            </w:r>
          </w:p>
          <w:p>
            <w:pPr>
              <w:pStyle w:val="TableText"/>
              <w:ind w:left="31" w:right="75" w:firstLine="40"/>
              <w:spacing w:before="23" w:line="239" w:lineRule="auto"/>
              <w:rPr/>
            </w:pPr>
            <w:r>
              <w:rPr/>
              <w:t>社会组织严重违法失信名单。对违反上述要求的企业</w:t>
            </w:r>
            <w:r>
              <w:rPr>
                <w:spacing w:val="-1"/>
              </w:rPr>
              <w:t>，市场监管等有关部</w:t>
            </w:r>
            <w:r>
              <w:rPr/>
              <w:t xml:space="preserve"> </w:t>
            </w:r>
            <w:r>
              <w:rPr>
                <w:spacing w:val="1"/>
              </w:rPr>
              <w:t>门根据民政部门提供的线索依法依职责严厉查处，并将处罚信息通过国家</w:t>
            </w:r>
            <w:r>
              <w:rPr>
                <w:spacing w:val="15"/>
              </w:rPr>
              <w:t xml:space="preserve"> </w:t>
            </w:r>
            <w:r>
              <w:rPr>
                <w:spacing w:val="1"/>
              </w:rPr>
              <w:t>企业信用信息公示系统依法公示。对违反上述要求的其他单位，由其</w:t>
            </w:r>
            <w:r>
              <w:rPr/>
              <w:t>上级 </w:t>
            </w:r>
            <w:r>
              <w:rPr/>
              <w:t>主管部门责令立即改正，对有关责任人依法依</w:t>
            </w:r>
            <w:r>
              <w:rPr>
                <w:spacing w:val="-1"/>
              </w:rPr>
              <w:t>规严肃处理。</w:t>
            </w:r>
          </w:p>
          <w:p>
            <w:pPr>
              <w:pStyle w:val="TableText"/>
              <w:ind w:left="31"/>
              <w:spacing w:before="32" w:line="219" w:lineRule="auto"/>
              <w:rPr/>
            </w:pPr>
            <w:r>
              <w:rPr/>
              <w:t>二、党员干部不得参与非法社会组织活动。党员干部</w:t>
            </w:r>
            <w:r>
              <w:rPr>
                <w:spacing w:val="-1"/>
              </w:rPr>
              <w:t>(含离退休干部)要</w:t>
            </w:r>
          </w:p>
          <w:p>
            <w:pPr>
              <w:pStyle w:val="TableText"/>
              <w:ind w:left="31" w:right="89" w:firstLine="40"/>
              <w:spacing w:before="13" w:line="242" w:lineRule="auto"/>
              <w:rPr/>
            </w:pPr>
            <w:r>
              <w:rPr/>
              <w:t>依法依规参加各类社会组织活动，增强甄别意识和警</w:t>
            </w:r>
            <w:r>
              <w:rPr>
                <w:spacing w:val="-1"/>
              </w:rPr>
              <w:t>惕性，不得参加非法</w:t>
            </w:r>
            <w:r>
              <w:rPr/>
              <w:t xml:space="preserve"> </w:t>
            </w:r>
            <w:r>
              <w:rPr>
                <w:spacing w:val="1"/>
              </w:rPr>
              <w:t>社会组织开展的一切活动，不得为非法社会组织“站台”或“代言”。对</w:t>
            </w:r>
            <w:r>
              <w:rPr/>
              <w:t xml:space="preserve"> </w:t>
            </w:r>
            <w:r>
              <w:rPr>
                <w:spacing w:val="1"/>
              </w:rPr>
              <w:t>违反有关规定、涉嫌违纪和职务违法犯罪的，移送纪检监察机关、组织人 </w:t>
            </w:r>
            <w:r>
              <w:rPr>
                <w:spacing w:val="-1"/>
              </w:rPr>
              <w:t>事部门依规依纪依法严肃处理。</w:t>
            </w:r>
          </w:p>
          <w:p>
            <w:pPr>
              <w:pStyle w:val="TableText"/>
              <w:ind w:left="31"/>
              <w:spacing w:before="20" w:line="244" w:lineRule="auto"/>
              <w:rPr/>
            </w:pPr>
            <w:r>
              <w:rPr>
                <w:spacing w:val="-6"/>
              </w:rPr>
              <w:t>三、新闻媒体不得宣传报道非法社会组织活动。各级电视台、广播电台、报纸</w:t>
            </w:r>
            <w:r>
              <w:rPr/>
              <w:t xml:space="preserve"> </w:t>
            </w:r>
            <w:r>
              <w:rPr>
                <w:spacing w:val="-1"/>
              </w:rPr>
              <w:t>融媒体中心、杂志等新闻媒体及所属网站、新媒体在报道社会组织活动前，</w:t>
            </w:r>
            <w:r>
              <w:rPr>
                <w:spacing w:val="5"/>
              </w:rPr>
              <w:t xml:space="preserve"> </w:t>
            </w:r>
            <w:r>
              <w:rPr/>
              <w:t>应依据民政部门信息对其身份真实性、合法性予以核实，不</w:t>
            </w:r>
            <w:r>
              <w:rPr>
                <w:spacing w:val="-1"/>
              </w:rPr>
              <w:t>得宣传报道非  </w:t>
            </w:r>
            <w:r>
              <w:rPr/>
              <w:t>法社会组织活动，不得为其刊登广告；图书出版单位不得为</w:t>
            </w:r>
            <w:r>
              <w:rPr>
                <w:spacing w:val="-1"/>
              </w:rPr>
              <w:t>非法社会组织  </w:t>
            </w:r>
            <w:r>
              <w:rPr/>
              <w:t>出版宣传册、图书等。对违反上述要求的，宣传部门责令其</w:t>
            </w:r>
            <w:r>
              <w:rPr>
                <w:spacing w:val="-1"/>
              </w:rPr>
              <w:t>立即改正，对  </w:t>
            </w:r>
            <w:r>
              <w:rPr>
                <w:spacing w:val="-2"/>
              </w:rPr>
              <w:t>有关责任人依法依规严肃处理。</w:t>
            </w:r>
          </w:p>
          <w:p>
            <w:pPr>
              <w:pStyle w:val="TableText"/>
              <w:ind w:left="11" w:right="4" w:firstLine="60"/>
              <w:spacing w:before="12" w:line="233" w:lineRule="auto"/>
              <w:jc w:val="both"/>
              <w:rPr/>
            </w:pPr>
            <w:r>
              <w:rPr/>
              <w:t>四、各种公共服务设施和场所不得为非法社会组织提供便利。火车、高铁</w:t>
            </w:r>
            <w:r>
              <w:rPr>
                <w:spacing w:val="2"/>
              </w:rPr>
              <w:t xml:space="preserve">  </w:t>
            </w:r>
            <w:r>
              <w:rPr/>
              <w:t>飞机、轮船、公共汽车等交通工具及机场、码头</w:t>
            </w:r>
            <w:r>
              <w:rPr>
                <w:spacing w:val="-1"/>
              </w:rPr>
              <w:t>、车站、商场、宾馆、饭店</w:t>
            </w:r>
            <w:r>
              <w:rPr/>
              <w:t xml:space="preserve"> </w:t>
            </w:r>
            <w:r>
              <w:rPr>
                <w:spacing w:val="1"/>
              </w:rPr>
              <w:t>娱乐场所、体育场馆等场所的经营管理单位，以及居(村)委会、住宅小</w:t>
            </w:r>
          </w:p>
        </w:tc>
        <w:tc>
          <w:tcPr>
            <w:tcW w:w="2138" w:type="dxa"/>
            <w:vAlign w:val="top"/>
          </w:tcPr>
          <w:p>
            <w:pPr>
              <w:pStyle w:val="TableText"/>
              <w:ind w:left="25"/>
              <w:spacing w:before="108" w:line="219" w:lineRule="auto"/>
              <w:rPr/>
            </w:pPr>
            <w:r>
              <w:rPr/>
              <w:t>民政部、中共中央纪委机关</w:t>
            </w:r>
          </w:p>
          <w:p>
            <w:pPr>
              <w:pStyle w:val="TableText"/>
              <w:ind w:left="15" w:right="75" w:firstLine="70"/>
              <w:spacing w:before="41" w:line="242" w:lineRule="auto"/>
              <w:rPr/>
            </w:pPr>
            <w:r>
              <w:rPr>
                <w:spacing w:val="1"/>
              </w:rPr>
              <w:t>中央组织部、中央宣传部、中</w:t>
            </w:r>
            <w:r>
              <w:rPr>
                <w:spacing w:val="2"/>
              </w:rPr>
              <w:t xml:space="preserve"> </w:t>
            </w:r>
            <w:r>
              <w:rPr>
                <w:spacing w:val="4"/>
              </w:rPr>
              <w:t>央政法委、中央网信办、国家</w:t>
            </w:r>
            <w:r>
              <w:rPr>
                <w:spacing w:val="8"/>
              </w:rPr>
              <w:t xml:space="preserve"> </w:t>
            </w:r>
            <w:r>
              <w:rPr>
                <w:spacing w:val="4"/>
              </w:rPr>
              <w:t>监察委员会、教育部、科技部</w:t>
            </w:r>
            <w:r>
              <w:rPr>
                <w:spacing w:val="10"/>
              </w:rPr>
              <w:t xml:space="preserve"> </w:t>
            </w:r>
            <w:r>
              <w:rPr>
                <w:spacing w:val="4"/>
              </w:rPr>
              <w:t>工业和信息化部、公安部、安</w:t>
            </w:r>
            <w:r>
              <w:rPr>
                <w:spacing w:val="9"/>
              </w:rPr>
              <w:t xml:space="preserve"> </w:t>
            </w:r>
            <w:r>
              <w:rPr>
                <w:spacing w:val="4"/>
              </w:rPr>
              <w:t>全部、司法部、财政部、住房</w:t>
            </w:r>
            <w:r>
              <w:rPr>
                <w:spacing w:val="11"/>
              </w:rPr>
              <w:t xml:space="preserve"> </w:t>
            </w:r>
            <w:r>
              <w:rPr>
                <w:spacing w:val="4"/>
              </w:rPr>
              <w:t>和城乡建设部、文化和旅游部</w:t>
            </w:r>
            <w:r>
              <w:rPr>
                <w:spacing w:val="10"/>
              </w:rPr>
              <w:t xml:space="preserve"> </w:t>
            </w:r>
            <w:r>
              <w:rPr>
                <w:spacing w:val="-1"/>
              </w:rPr>
              <w:t>人民银行、国务院国资委、税</w:t>
            </w:r>
            <w:r>
              <w:rPr>
                <w:spacing w:val="2"/>
              </w:rPr>
              <w:t xml:space="preserve">  </w:t>
            </w:r>
            <w:r>
              <w:rPr>
                <w:spacing w:val="4"/>
              </w:rPr>
              <w:t>务总局、市场监管总局、外汇</w:t>
            </w:r>
            <w:r>
              <w:rPr>
                <w:spacing w:val="9"/>
              </w:rPr>
              <w:t xml:space="preserve"> </w:t>
            </w:r>
            <w:r>
              <w:rPr>
                <w:spacing w:val="-1"/>
              </w:rPr>
              <w:t>局知识产权局《关于铲除非</w:t>
            </w:r>
          </w:p>
          <w:p>
            <w:pPr>
              <w:pStyle w:val="TableText"/>
              <w:ind w:left="15" w:right="92" w:firstLine="70"/>
              <w:spacing w:before="22" w:line="238" w:lineRule="auto"/>
              <w:rPr/>
            </w:pPr>
            <w:r>
              <w:rPr>
                <w:spacing w:val="-1"/>
              </w:rPr>
              <w:t>法社会组织滋生土壤净化社会</w:t>
            </w:r>
            <w:r>
              <w:rPr>
                <w:spacing w:val="5"/>
              </w:rPr>
              <w:t xml:space="preserve"> </w:t>
            </w:r>
            <w:r>
              <w:rPr>
                <w:spacing w:val="5"/>
              </w:rPr>
              <w:t>组织生态空间的通知》民发〔</w:t>
            </w:r>
            <w:r>
              <w:rPr>
                <w:spacing w:val="4"/>
              </w:rPr>
              <w:t xml:space="preserve"> </w:t>
            </w:r>
            <w:r>
              <w:rPr>
                <w:spacing w:val="-1"/>
              </w:rPr>
              <w:t>2021〕25号</w:t>
            </w:r>
          </w:p>
        </w:tc>
        <w:tc>
          <w:tcPr>
            <w:tcW w:w="909" w:type="dxa"/>
            <w:vAlign w:val="top"/>
          </w:tcPr>
          <w:p>
            <w:pPr>
              <w:pStyle w:val="TableText"/>
              <w:ind w:left="27"/>
              <w:spacing w:before="99" w:line="241" w:lineRule="auto"/>
              <w:jc w:val="both"/>
              <w:rPr/>
            </w:pPr>
            <w:r>
              <w:rPr>
                <w:spacing w:val="17"/>
                <w:w w:val="111"/>
              </w:rPr>
              <w:t>2021年3月</w:t>
            </w:r>
            <w:r>
              <w:rPr>
                <w:spacing w:val="1"/>
              </w:rPr>
              <w:t xml:space="preserve"> </w:t>
            </w:r>
            <w:r>
              <w:rPr>
                <w:spacing w:val="-14"/>
              </w:rPr>
              <w:t>2</w:t>
            </w:r>
            <w:r>
              <w:rPr>
                <w:spacing w:val="-27"/>
              </w:rPr>
              <w:t xml:space="preserve"> </w:t>
            </w:r>
            <w:r>
              <w:rPr>
                <w:spacing w:val="-14"/>
              </w:rPr>
              <w:t>0 日 (</w:t>
            </w:r>
            <w:r>
              <w:rPr>
                <w:spacing w:val="-32"/>
              </w:rPr>
              <w:t xml:space="preserve"> </w:t>
            </w:r>
            <w:r>
              <w:rPr>
                <w:spacing w:val="-14"/>
              </w:rPr>
              <w:t>文</w:t>
            </w:r>
            <w:r>
              <w:rPr>
                <w:spacing w:val="-34"/>
              </w:rPr>
              <w:t xml:space="preserve"> </w:t>
            </w:r>
            <w:r>
              <w:rPr>
                <w:spacing w:val="-14"/>
              </w:rPr>
              <w:t>件</w:t>
            </w:r>
            <w:r>
              <w:rPr/>
              <w:t xml:space="preserve"> </w:t>
            </w:r>
            <w:r>
              <w:rPr>
                <w:spacing w:val="5"/>
              </w:rPr>
              <w:t>印发日期)</w:t>
            </w:r>
          </w:p>
        </w:tc>
        <w:tc>
          <w:tcPr>
            <w:tcW w:w="679" w:type="dxa"/>
            <w:vAlign w:val="top"/>
          </w:tcPr>
          <w:p>
            <w:pPr>
              <w:pStyle w:val="TableText"/>
              <w:ind w:left="38"/>
              <w:spacing w:before="99" w:line="220" w:lineRule="auto"/>
              <w:rPr/>
            </w:pPr>
            <w:r>
              <w:rPr>
                <w:spacing w:val="-2"/>
              </w:rPr>
              <w:t>行政通知</w:t>
            </w:r>
          </w:p>
        </w:tc>
        <w:tc>
          <w:tcPr>
            <w:tcW w:w="674" w:type="dxa"/>
            <w:vAlign w:val="top"/>
          </w:tcPr>
          <w:p>
            <w:pPr>
              <w:pStyle w:val="TableText"/>
              <w:ind w:left="30"/>
              <w:spacing w:before="99" w:line="219" w:lineRule="auto"/>
              <w:rPr/>
            </w:pPr>
            <w:r>
              <w:rPr>
                <w:spacing w:val="-2"/>
              </w:rPr>
              <w:t>行政优化</w:t>
            </w:r>
          </w:p>
        </w:tc>
      </w:tr>
    </w:tbl>
    <w:p>
      <w:pPr>
        <w:pStyle w:val="BodyText"/>
        <w:rPr/>
      </w:pPr>
      <w:r/>
    </w:p>
    <w:p>
      <w:pPr>
        <w:sectPr>
          <w:pgSz w:w="11910" w:h="8220"/>
          <w:pgMar w:top="400" w:right="1145" w:bottom="400" w:left="799" w:header="0" w:footer="0" w:gutter="0"/>
        </w:sectPr>
        <w:rPr/>
      </w:pPr>
    </w:p>
    <w:p>
      <w:pPr>
        <w:spacing w:before="51"/>
        <w:rPr/>
      </w:pPr>
      <w:r>
        <w:pict>
          <v:shape id="_x0000_s110" style="position:absolute;margin-left:38.9997pt;margin-top:346.033pt;mso-position-vertical-relative:page;mso-position-horizontal-relative:page;width:10.2pt;height:16.55pt;z-index:251748352;" o:allowincell="f" filled="false" stroked="false" type="#_x0000_t202">
            <v:fill on="false"/>
            <v:stroke on="false"/>
            <v:path/>
            <v:imagedata o:title=""/>
            <o:lock v:ext="edit" aspectratio="false"/>
            <v:textbox inset="0mm,0mm,0mm,0mm">
              <w:txbxContent>
                <w:p>
                  <w:pPr>
                    <w:spacing w:before="20" w:line="235" w:lineRule="auto"/>
                    <w:jc w:val="right"/>
                    <w:rPr>
                      <w:rFonts w:ascii="STCaiyun" w:hAnsi="STCaiyun" w:eastAsia="STCaiyun" w:cs="STCaiyun"/>
                      <w:sz w:val="22"/>
                      <w:szCs w:val="22"/>
                    </w:rPr>
                  </w:pPr>
                  <w:r>
                    <w:rPr>
                      <w:rFonts w:ascii="STCaiyun" w:hAnsi="STCaiyun" w:eastAsia="STCaiyun" w:cs="STCaiyun"/>
                      <w:sz w:val="22"/>
                      <w:szCs w:val="22"/>
                      <w:spacing w:val="-7"/>
                      <w:w w:val="77"/>
                    </w:rPr>
                    <w:t>二</w:t>
                  </w:r>
                </w:p>
              </w:txbxContent>
            </v:textbox>
          </v:shape>
        </w:pict>
      </w:r>
      <w:r/>
    </w:p>
    <w:p>
      <w:pPr>
        <w:spacing w:before="51"/>
        <w:rPr/>
      </w:pPr>
      <w:r/>
    </w:p>
    <w:tbl>
      <w:tblPr>
        <w:tblStyle w:val="TableNormal"/>
        <w:tblW w:w="964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4955"/>
        <w:gridCol w:w="2128"/>
        <w:gridCol w:w="919"/>
        <w:gridCol w:w="679"/>
        <w:gridCol w:w="68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679" w:type="dxa"/>
            <w:vAlign w:val="top"/>
          </w:tcPr>
          <w:p>
            <w:pPr>
              <w:pStyle w:val="TableText"/>
              <w:ind w:left="38"/>
              <w:spacing w:before="171" w:line="219" w:lineRule="auto"/>
              <w:rPr/>
            </w:pPr>
            <w:r>
              <w:rPr>
                <w:spacing w:val="-1"/>
              </w:rPr>
              <w:t>政策类别</w:t>
            </w:r>
          </w:p>
        </w:tc>
        <w:tc>
          <w:tcPr>
            <w:tcW w:w="684" w:type="dxa"/>
            <w:vAlign w:val="top"/>
          </w:tcPr>
          <w:p>
            <w:pPr>
              <w:pStyle w:val="TableText"/>
              <w:ind w:left="40"/>
              <w:spacing w:before="171" w:line="220" w:lineRule="auto"/>
              <w:rPr/>
            </w:pPr>
            <w:r>
              <w:rPr>
                <w:spacing w:val="-1"/>
              </w:rPr>
              <w:t>政策形式</w:t>
            </w:r>
          </w:p>
        </w:tc>
      </w:tr>
      <w:tr>
        <w:trPr>
          <w:trHeight w:val="3934" w:hRule="atLeast"/>
        </w:trPr>
        <w:tc>
          <w:tcPr>
            <w:tcW w:w="284"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94"/>
              <w:spacing w:before="49" w:line="184" w:lineRule="auto"/>
              <w:rPr/>
            </w:pPr>
            <w:r>
              <w:rPr/>
              <w:t>1</w:t>
            </w:r>
          </w:p>
        </w:tc>
        <w:tc>
          <w:tcPr>
            <w:tcW w:w="4955" w:type="dxa"/>
            <w:vAlign w:val="top"/>
          </w:tcPr>
          <w:p>
            <w:pPr>
              <w:pStyle w:val="TableText"/>
              <w:ind w:left="51" w:right="63" w:firstLine="20"/>
              <w:spacing w:before="105" w:line="236" w:lineRule="auto"/>
              <w:rPr/>
            </w:pPr>
            <w:r>
              <w:rPr/>
              <w:t>区管理单位等，不得为非法社会组织印发宣传册，张贴宣传海报或播放电</w:t>
            </w:r>
            <w:r>
              <w:rPr>
                <w:spacing w:val="8"/>
              </w:rPr>
              <w:t xml:space="preserve"> </w:t>
            </w:r>
            <w:r>
              <w:rPr/>
              <w:t>子广告；各种会议中心，会展中心不得为非法社会组织提供展销场地；城</w:t>
            </w:r>
            <w:r>
              <w:rPr>
                <w:spacing w:val="12"/>
              </w:rPr>
              <w:t xml:space="preserve"> </w:t>
            </w:r>
            <w:r>
              <w:rPr/>
              <w:t>市的标志性场所，写字楼等服务场所，不得为非法社会组织提供活动或办</w:t>
            </w:r>
            <w:r>
              <w:rPr>
                <w:spacing w:val="9"/>
              </w:rPr>
              <w:t xml:space="preserve"> </w:t>
            </w:r>
            <w:r>
              <w:rPr>
                <w:spacing w:val="1"/>
              </w:rPr>
              <w:t>公场地。对违反上述要求的，由其上级主管部门责令立即改正，</w:t>
            </w:r>
            <w:r>
              <w:rPr/>
              <w:t>对有关责 </w:t>
            </w:r>
            <w:r>
              <w:rPr/>
              <w:t>任人严肃处理。民政部门发现此类情况的，及时通报其上</w:t>
            </w:r>
            <w:r>
              <w:rPr>
                <w:spacing w:val="-1"/>
              </w:rPr>
              <w:t>级主管部门。</w:t>
            </w:r>
          </w:p>
          <w:p>
            <w:pPr>
              <w:pStyle w:val="TableText"/>
              <w:ind w:left="11" w:right="62" w:firstLine="60"/>
              <w:spacing w:before="40" w:line="239" w:lineRule="auto"/>
              <w:rPr/>
            </w:pPr>
            <w:r>
              <w:rPr/>
              <w:t>五、各互联网企业不得为非法社会组织线上活动提</w:t>
            </w:r>
            <w:r>
              <w:rPr>
                <w:spacing w:val="-1"/>
              </w:rPr>
              <w:t>供便利。各互联网企业</w:t>
            </w:r>
            <w:r>
              <w:rPr/>
              <w:t xml:space="preserve"> </w:t>
            </w:r>
            <w:r>
              <w:rPr>
                <w:spacing w:val="2"/>
              </w:rPr>
              <w:t>要强化旗下平台管理，加强用户真实身份信息</w:t>
            </w:r>
            <w:r>
              <w:rPr>
                <w:spacing w:val="1"/>
              </w:rPr>
              <w:t>核验，强化平台信息发布的</w:t>
            </w:r>
            <w:r>
              <w:rPr/>
              <w:t xml:space="preserve"> </w:t>
            </w:r>
            <w:r>
              <w:rPr>
                <w:spacing w:val="2"/>
              </w:rPr>
              <w:t>审核与管理，不得为非法社会组织线上活动提供服务。对违反上述要求的</w:t>
            </w:r>
            <w:r>
              <w:rPr>
                <w:spacing w:val="6"/>
              </w:rPr>
              <w:t xml:space="preserve"> </w:t>
            </w:r>
            <w:r>
              <w:rPr>
                <w:spacing w:val="2"/>
              </w:rPr>
              <w:t>网信部门、电信主管部门根据民政部门的相关认定意见，依法依职责责令 </w:t>
            </w:r>
            <w:r>
              <w:rPr>
                <w:spacing w:val="2"/>
              </w:rPr>
              <w:t>其查封、关停非法社会组织各平台公众账号和</w:t>
            </w:r>
            <w:r>
              <w:rPr>
                <w:spacing w:val="1"/>
              </w:rPr>
              <w:t>网站，拒不改正的，依法予</w:t>
            </w:r>
            <w:r>
              <w:rPr/>
              <w:t xml:space="preserve"> </w:t>
            </w:r>
            <w:r>
              <w:rPr>
                <w:spacing w:val="-1"/>
              </w:rPr>
              <w:t>以处罚。</w:t>
            </w:r>
          </w:p>
          <w:p>
            <w:pPr>
              <w:pStyle w:val="TableText"/>
              <w:ind w:left="21" w:right="79" w:firstLine="50"/>
              <w:spacing w:before="17" w:line="239" w:lineRule="auto"/>
              <w:rPr/>
            </w:pPr>
            <w:r>
              <w:rPr/>
              <w:t>六、各金融机构不得为非法社会组织活动提供便利。</w:t>
            </w:r>
            <w:r>
              <w:rPr>
                <w:spacing w:val="-1"/>
              </w:rPr>
              <w:t>金融机构要加强对社</w:t>
            </w:r>
            <w:r>
              <w:rPr/>
              <w:t xml:space="preserve"> </w:t>
            </w:r>
            <w:r>
              <w:rPr>
                <w:spacing w:val="1"/>
              </w:rPr>
              <w:t>会组织客户身份的识别、本外币账户管理和交易记录的保存。对于列入民</w:t>
            </w:r>
            <w:r>
              <w:rPr>
                <w:spacing w:val="11"/>
              </w:rPr>
              <w:t xml:space="preserve"> </w:t>
            </w:r>
            <w:r>
              <w:rPr>
                <w:spacing w:val="1"/>
              </w:rPr>
              <w:t>政部门非法社会组织名单的，不得为其提供开设银行账户等金融服务。人</w:t>
            </w:r>
            <w:r>
              <w:rPr>
                <w:spacing w:val="11"/>
              </w:rPr>
              <w:t xml:space="preserve"> </w:t>
            </w:r>
            <w:r>
              <w:rPr/>
              <w:t>民银行、外汇局等主管部门应当依法依规处理金融机构相</w:t>
            </w:r>
            <w:r>
              <w:rPr>
                <w:spacing w:val="-1"/>
              </w:rPr>
              <w:t>关违规行为。</w:t>
            </w:r>
          </w:p>
          <w:p>
            <w:pPr>
              <w:pStyle w:val="TableText"/>
              <w:ind w:left="21" w:firstLine="50"/>
              <w:spacing w:before="41"/>
              <w:rPr/>
            </w:pPr>
            <w:r>
              <w:rPr/>
              <w:t>七、进一步提高非法社会组织的违法成本。有关部门要探</w:t>
            </w:r>
            <w:r>
              <w:rPr>
                <w:spacing w:val="-1"/>
              </w:rPr>
              <w:t>索建立健全对非</w:t>
            </w:r>
            <w:r>
              <w:rPr/>
              <w:t xml:space="preserve">  </w:t>
            </w:r>
            <w:r>
              <w:rPr>
                <w:spacing w:val="1"/>
              </w:rPr>
              <w:t>法社会组织责任人的信用约束机制，推进实施信用监管和惩戒，研究制定</w:t>
            </w:r>
            <w:r>
              <w:rPr>
                <w:spacing w:val="4"/>
              </w:rPr>
              <w:t xml:space="preserve">  </w:t>
            </w:r>
            <w:r>
              <w:rPr>
                <w:spacing w:val="4"/>
              </w:rPr>
              <w:t>对非法社会组织责任人在投融资、进出口、出入境、招投标</w:t>
            </w:r>
            <w:r>
              <w:rPr>
                <w:spacing w:val="3"/>
              </w:rPr>
              <w:t>、获得荣誉、</w:t>
            </w:r>
            <w:r>
              <w:rPr/>
              <w:t xml:space="preserve"> </w:t>
            </w:r>
            <w:r>
              <w:rPr>
                <w:spacing w:val="-1"/>
              </w:rPr>
              <w:t>生产经营许可、从业任职资格等方面更严格的措施</w:t>
            </w:r>
          </w:p>
        </w:tc>
        <w:tc>
          <w:tcPr>
            <w:tcW w:w="2128" w:type="dxa"/>
            <w:vAlign w:val="top"/>
          </w:tcPr>
          <w:p>
            <w:pPr>
              <w:rPr>
                <w:rFonts w:ascii="Arial"/>
                <w:sz w:val="21"/>
              </w:rPr>
            </w:pPr>
            <w:r/>
          </w:p>
        </w:tc>
        <w:tc>
          <w:tcPr>
            <w:tcW w:w="919" w:type="dxa"/>
            <w:vAlign w:val="top"/>
          </w:tcPr>
          <w:p>
            <w:pPr>
              <w:rPr>
                <w:rFonts w:ascii="Arial"/>
                <w:sz w:val="21"/>
              </w:rPr>
            </w:pPr>
            <w:r/>
          </w:p>
        </w:tc>
        <w:tc>
          <w:tcPr>
            <w:tcW w:w="679" w:type="dxa"/>
            <w:vAlign w:val="top"/>
          </w:tcPr>
          <w:p>
            <w:pPr>
              <w:rPr>
                <w:rFonts w:ascii="Arial"/>
                <w:sz w:val="21"/>
              </w:rPr>
            </w:pPr>
            <w:r/>
          </w:p>
        </w:tc>
        <w:tc>
          <w:tcPr>
            <w:tcW w:w="684" w:type="dxa"/>
            <w:vAlign w:val="top"/>
          </w:tcPr>
          <w:p>
            <w:pPr>
              <w:rPr>
                <w:rFonts w:ascii="Arial"/>
                <w:sz w:val="21"/>
              </w:rPr>
            </w:pPr>
            <w:r/>
          </w:p>
        </w:tc>
      </w:tr>
      <w:tr>
        <w:trPr>
          <w:trHeight w:val="1742" w:hRule="atLeast"/>
        </w:trPr>
        <w:tc>
          <w:tcPr>
            <w:tcW w:w="28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4"/>
              <w:spacing w:before="48" w:line="183" w:lineRule="auto"/>
              <w:rPr/>
            </w:pPr>
            <w:r>
              <w:rPr/>
              <w:t>2</w:t>
            </w:r>
          </w:p>
        </w:tc>
        <w:tc>
          <w:tcPr>
            <w:tcW w:w="4955" w:type="dxa"/>
            <w:vAlign w:val="top"/>
          </w:tcPr>
          <w:p>
            <w:pPr>
              <w:pStyle w:val="TableText"/>
              <w:ind w:left="51" w:right="78" w:firstLine="89"/>
              <w:spacing w:before="113" w:line="233" w:lineRule="auto"/>
              <w:rPr/>
            </w:pPr>
            <w:r>
              <w:rPr>
                <w:spacing w:val="2"/>
              </w:rPr>
              <w:t>(一)机构分离。取消行政机关(包括下属单位)与行业协会商会的主办、</w:t>
            </w:r>
            <w:r>
              <w:rPr>
                <w:spacing w:val="8"/>
              </w:rPr>
              <w:t xml:space="preserve"> </w:t>
            </w:r>
            <w:r>
              <w:rPr/>
              <w:t>主管、联系和挂靠关系，行业协会商会依法直接登记、独立运行，不再设</w:t>
            </w:r>
            <w:r>
              <w:rPr>
                <w:spacing w:val="11"/>
              </w:rPr>
              <w:t xml:space="preserve"> </w:t>
            </w:r>
            <w:r>
              <w:rPr/>
              <w:t>置业务主管单位。原委托行业协会商会代管的事业单位，按照《关于贯彻</w:t>
            </w:r>
            <w:r>
              <w:rPr>
                <w:spacing w:val="14"/>
              </w:rPr>
              <w:t xml:space="preserve"> </w:t>
            </w:r>
            <w:r>
              <w:rPr/>
              <w:t>落实行业协会商会与行政机关脱钩总体方案涉及事业单位机构编制调整的</w:t>
            </w:r>
            <w:r>
              <w:rPr>
                <w:spacing w:val="11"/>
              </w:rPr>
              <w:t xml:space="preserve"> </w:t>
            </w:r>
            <w:r>
              <w:rPr/>
              <w:t>意见(试行)》(中央编办发〔2015〕38号)要</w:t>
            </w:r>
            <w:r>
              <w:rPr>
                <w:spacing w:val="-1"/>
              </w:rPr>
              <w:t>求，并入行业协会商会或</w:t>
            </w:r>
          </w:p>
          <w:p>
            <w:pPr>
              <w:pStyle w:val="TableText"/>
              <w:ind w:left="31" w:right="38" w:firstLine="69"/>
              <w:spacing w:before="42" w:line="237" w:lineRule="auto"/>
              <w:jc w:val="both"/>
              <w:rPr/>
            </w:pPr>
            <w:r>
              <w:rPr/>
              <w:t>根据业务关联性划转至相关行业管理部门管理；暂时无法并入或划转的，</w:t>
            </w:r>
            <w:r>
              <w:rPr>
                <w:spacing w:val="4"/>
              </w:rPr>
              <w:t xml:space="preserve"> </w:t>
            </w:r>
            <w:r>
              <w:rPr>
                <w:spacing w:val="1"/>
              </w:rPr>
              <w:t>先推进行业协会商会脱钩，待脱钩完成后，</w:t>
            </w:r>
            <w:r>
              <w:rPr/>
              <w:t>由事业单位的主管部门再按有 </w:t>
            </w:r>
            <w:r>
              <w:rPr>
                <w:spacing w:val="-1"/>
              </w:rPr>
              <w:t>关要求采取并入、划转或其他方式改革</w:t>
            </w:r>
          </w:p>
        </w:tc>
        <w:tc>
          <w:tcPr>
            <w:tcW w:w="2128" w:type="dxa"/>
            <w:vAlign w:val="top"/>
          </w:tcPr>
          <w:p>
            <w:pPr>
              <w:pStyle w:val="TableText"/>
              <w:ind w:left="15" w:firstLine="67"/>
              <w:spacing w:before="112" w:line="233" w:lineRule="auto"/>
              <w:rPr/>
            </w:pPr>
            <w:r>
              <w:rPr>
                <w:spacing w:val="-4"/>
              </w:rPr>
              <w:t>国家发展改革委、民政部、中</w:t>
            </w:r>
            <w:r>
              <w:rPr/>
              <w:t xml:space="preserve">   </w:t>
            </w:r>
            <w:r>
              <w:rPr>
                <w:spacing w:val="1"/>
              </w:rPr>
              <w:t>央组织部、中央编办、中央和</w:t>
            </w:r>
            <w:r>
              <w:rPr/>
              <w:t xml:space="preserve">   </w:t>
            </w:r>
            <w:r>
              <w:rPr>
                <w:spacing w:val="-10"/>
              </w:rPr>
              <w:t>国家机关工委、外交部、财政部、</w:t>
            </w:r>
            <w:r>
              <w:rPr>
                <w:spacing w:val="1"/>
              </w:rPr>
              <w:t xml:space="preserve"> </w:t>
            </w:r>
            <w:r>
              <w:rPr>
                <w:spacing w:val="-6"/>
              </w:rPr>
              <w:t>人力资源社会保障部、国资委</w:t>
            </w:r>
          </w:p>
          <w:p>
            <w:pPr>
              <w:pStyle w:val="TableText"/>
              <w:ind w:left="45" w:right="6" w:firstLine="40"/>
              <w:spacing w:before="13" w:line="237" w:lineRule="auto"/>
              <w:rPr/>
            </w:pPr>
            <w:r>
              <w:rPr/>
              <w:t>国管局《关于全面推开行业协</w:t>
            </w:r>
            <w:r>
              <w:rPr>
                <w:spacing w:val="3"/>
              </w:rPr>
              <w:t xml:space="preserve">  </w:t>
            </w:r>
            <w:r>
              <w:rPr>
                <w:spacing w:val="2"/>
              </w:rPr>
              <w:t>会商会与行政机关脱钩改革的</w:t>
            </w:r>
            <w:r>
              <w:rPr>
                <w:spacing w:val="3"/>
              </w:rPr>
              <w:t xml:space="preserve">  </w:t>
            </w:r>
            <w:r>
              <w:rPr>
                <w:spacing w:val="7"/>
              </w:rPr>
              <w:t>实施意见》发改体改〔2019〕</w:t>
            </w:r>
            <w:r>
              <w:rPr>
                <w:spacing w:val="9"/>
              </w:rPr>
              <w:t xml:space="preserve"> </w:t>
            </w:r>
            <w:r>
              <w:rPr>
                <w:spacing w:val="1"/>
              </w:rPr>
              <w:t>1063号</w:t>
            </w:r>
          </w:p>
        </w:tc>
        <w:tc>
          <w:tcPr>
            <w:tcW w:w="919" w:type="dxa"/>
            <w:vAlign w:val="top"/>
          </w:tcPr>
          <w:p>
            <w:pPr>
              <w:pStyle w:val="TableText"/>
              <w:ind w:left="18" w:right="10" w:firstLine="29"/>
              <w:spacing w:before="93" w:line="237" w:lineRule="auto"/>
              <w:jc w:val="both"/>
              <w:rPr/>
            </w:pPr>
            <w:r>
              <w:rPr>
                <w:spacing w:val="17"/>
                <w:w w:val="108"/>
              </w:rPr>
              <w:t>2019年6月</w:t>
            </w:r>
            <w:r>
              <w:rPr>
                <w:spacing w:val="1"/>
              </w:rPr>
              <w:t xml:space="preserve"> </w:t>
            </w:r>
            <w:r>
              <w:rPr>
                <w:spacing w:val="-12"/>
              </w:rPr>
              <w:t>1</w:t>
            </w:r>
            <w:r>
              <w:rPr>
                <w:spacing w:val="-27"/>
              </w:rPr>
              <w:t xml:space="preserve"> </w:t>
            </w:r>
            <w:r>
              <w:rPr>
                <w:spacing w:val="-12"/>
              </w:rPr>
              <w:t>4 日 (</w:t>
            </w:r>
            <w:r>
              <w:rPr>
                <w:spacing w:val="-30"/>
              </w:rPr>
              <w:t xml:space="preserve"> </w:t>
            </w:r>
            <w:r>
              <w:rPr>
                <w:spacing w:val="-12"/>
              </w:rPr>
              <w:t>文</w:t>
            </w:r>
            <w:r>
              <w:rPr>
                <w:spacing w:val="-32"/>
              </w:rPr>
              <w:t xml:space="preserve"> </w:t>
            </w:r>
            <w:r>
              <w:rPr>
                <w:spacing w:val="-12"/>
              </w:rPr>
              <w:t>件</w:t>
            </w:r>
            <w:r>
              <w:rPr/>
              <w:t xml:space="preserve"> </w:t>
            </w:r>
            <w:r>
              <w:rPr>
                <w:spacing w:val="5"/>
              </w:rPr>
              <w:t>印发日期)</w:t>
            </w:r>
          </w:p>
        </w:tc>
        <w:tc>
          <w:tcPr>
            <w:tcW w:w="679" w:type="dxa"/>
            <w:vAlign w:val="top"/>
          </w:tcPr>
          <w:p>
            <w:pPr>
              <w:pStyle w:val="TableText"/>
              <w:ind w:left="38"/>
              <w:spacing w:before="93" w:line="219" w:lineRule="auto"/>
              <w:rPr/>
            </w:pPr>
            <w:r>
              <w:rPr>
                <w:spacing w:val="-2"/>
              </w:rPr>
              <w:t>指导意见</w:t>
            </w:r>
          </w:p>
        </w:tc>
        <w:tc>
          <w:tcPr>
            <w:tcW w:w="684" w:type="dxa"/>
            <w:vAlign w:val="top"/>
          </w:tcPr>
          <w:p>
            <w:pPr>
              <w:pStyle w:val="TableText"/>
              <w:ind w:left="40"/>
              <w:spacing w:before="93" w:line="219" w:lineRule="auto"/>
              <w:rPr/>
            </w:pPr>
            <w:r>
              <w:rPr>
                <w:spacing w:val="-2"/>
              </w:rPr>
              <w:t>行政优化</w:t>
            </w:r>
          </w:p>
        </w:tc>
      </w:tr>
    </w:tbl>
    <w:p>
      <w:pPr>
        <w:pStyle w:val="BodyText"/>
        <w:rPr/>
      </w:pPr>
      <w:r/>
    </w:p>
    <w:p>
      <w:pPr>
        <w:sectPr>
          <w:pgSz w:w="11910" w:h="8220"/>
          <w:pgMar w:top="400" w:right="1135" w:bottom="400" w:left="799" w:header="0" w:footer="0" w:gutter="0"/>
        </w:sectPr>
        <w:rPr/>
      </w:pPr>
    </w:p>
    <w:p>
      <w:pPr>
        <w:spacing w:before="46"/>
        <w:rPr/>
      </w:pPr>
      <w:r>
        <w:pict>
          <v:shape id="_x0000_s112" style="position:absolute;margin-left:38.9997pt;margin-top:54.2871pt;mso-position-vertical-relative:page;mso-position-horizontal-relative:page;width:7.05pt;height:12.95pt;z-index:251749376;" o:allowincell="f"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22"/>
                      <w:szCs w:val="22"/>
                    </w:rPr>
                  </w:pPr>
                  <w:r>
                    <w:rPr>
                      <w:rFonts w:ascii="SimSun" w:hAnsi="SimSun" w:eastAsia="SimSun" w:cs="SimSun"/>
                      <w:sz w:val="22"/>
                      <w:szCs w:val="22"/>
                    </w:rPr>
                    <w:t>8</w:t>
                  </w:r>
                </w:p>
              </w:txbxContent>
            </v:textbox>
          </v:shape>
        </w:pict>
      </w:r>
      <w:r/>
    </w:p>
    <w:p>
      <w:pPr>
        <w:spacing w:before="46"/>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55"/>
        <w:gridCol w:w="2128"/>
        <w:gridCol w:w="909"/>
        <w:gridCol w:w="689"/>
        <w:gridCol w:w="66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4955" w:type="dxa"/>
            <w:vAlign w:val="top"/>
          </w:tcPr>
          <w:p>
            <w:pPr>
              <w:pStyle w:val="TableText"/>
              <w:ind w:left="2171"/>
              <w:spacing w:before="171" w:line="219" w:lineRule="auto"/>
              <w:rPr/>
            </w:pPr>
            <w:r>
              <w:rPr>
                <w:spacing w:val="-2"/>
              </w:rPr>
              <w:t>主要内容</w:t>
            </w:r>
          </w:p>
        </w:tc>
        <w:tc>
          <w:tcPr>
            <w:tcW w:w="2128" w:type="dxa"/>
            <w:vAlign w:val="top"/>
          </w:tcPr>
          <w:p>
            <w:pPr>
              <w:pStyle w:val="TableText"/>
              <w:ind w:left="75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89" w:type="dxa"/>
            <w:vAlign w:val="top"/>
          </w:tcPr>
          <w:p>
            <w:pPr>
              <w:pStyle w:val="TableText"/>
              <w:ind w:left="38"/>
              <w:spacing w:before="171" w:line="219" w:lineRule="auto"/>
              <w:rPr/>
            </w:pPr>
            <w:r>
              <w:rPr>
                <w:spacing w:val="-1"/>
              </w:rPr>
              <w:t>政策类别</w:t>
            </w:r>
          </w:p>
        </w:tc>
        <w:tc>
          <w:tcPr>
            <w:tcW w:w="664" w:type="dxa"/>
            <w:vAlign w:val="top"/>
          </w:tcPr>
          <w:p>
            <w:pPr>
              <w:pStyle w:val="TableText"/>
              <w:ind w:left="20"/>
              <w:spacing w:before="171" w:line="220" w:lineRule="auto"/>
              <w:rPr/>
            </w:pPr>
            <w:r>
              <w:rPr>
                <w:spacing w:val="-1"/>
              </w:rPr>
              <w:t>政策形式</w:t>
            </w:r>
          </w:p>
        </w:tc>
      </w:tr>
      <w:tr>
        <w:trPr>
          <w:trHeight w:val="5746" w:hRule="atLeast"/>
        </w:trPr>
        <w:tc>
          <w:tcPr>
            <w:tcW w:w="29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8" w:line="183" w:lineRule="auto"/>
              <w:rPr/>
            </w:pPr>
            <w:r>
              <w:rPr/>
              <w:t>2</w:t>
            </w:r>
          </w:p>
        </w:tc>
        <w:tc>
          <w:tcPr>
            <w:tcW w:w="4955" w:type="dxa"/>
            <w:vAlign w:val="top"/>
          </w:tcPr>
          <w:p>
            <w:pPr>
              <w:pStyle w:val="TableText"/>
              <w:ind w:left="31" w:right="58" w:firstLine="109"/>
              <w:spacing w:before="114" w:line="242" w:lineRule="auto"/>
              <w:rPr/>
            </w:pPr>
            <w:r>
              <w:rPr/>
              <w:t>(二)职能分离。厘清行政机关与行业协会商会的职能，剥离行业协会商</w:t>
            </w:r>
            <w:r>
              <w:rPr>
                <w:spacing w:val="4"/>
              </w:rPr>
              <w:t xml:space="preserve">  </w:t>
            </w:r>
            <w:r>
              <w:rPr>
                <w:spacing w:val="1"/>
              </w:rPr>
              <w:t>会现有行政职能，行政机关不得将其法定职能转移或委托给行业协会商会 </w:t>
            </w:r>
            <w:r>
              <w:rPr>
                <w:spacing w:val="2"/>
              </w:rPr>
              <w:t>行使，法律法规另有规定的除外。深化“放管服”</w:t>
            </w:r>
            <w:r>
              <w:rPr>
                <w:spacing w:val="1"/>
              </w:rPr>
              <w:t>改革，鼓励行政机关向</w:t>
            </w:r>
            <w:r>
              <w:rPr/>
              <w:t xml:space="preserve"> </w:t>
            </w:r>
            <w:r>
              <w:rPr>
                <w:spacing w:val="1"/>
              </w:rPr>
              <w:t>符合条件的行业协会商会和其他社会力量购买服务，鼓励和支持行业协会</w:t>
            </w:r>
            <w:r>
              <w:rPr/>
              <w:t xml:space="preserve"> </w:t>
            </w:r>
            <w:r>
              <w:rPr>
                <w:spacing w:val="1"/>
              </w:rPr>
              <w:t>商会参与承接政府购买服务。财政部门要加强对政府向行业协会商会</w:t>
            </w:r>
            <w:r>
              <w:rPr/>
              <w:t>购头 </w:t>
            </w:r>
            <w:r>
              <w:rPr>
                <w:spacing w:val="-1"/>
              </w:rPr>
              <w:t>服务实施工作的指导，促进购买服务工作有效有序开展</w:t>
            </w:r>
          </w:p>
          <w:p>
            <w:pPr>
              <w:pStyle w:val="TableText"/>
              <w:ind w:left="41" w:right="146" w:firstLine="99"/>
              <w:spacing w:before="22" w:line="232" w:lineRule="auto"/>
              <w:rPr/>
            </w:pPr>
            <w:r>
              <w:rPr/>
              <w:t>(三)资产财务分离。取消对行业协会商会的直接财政拨款，通过政府购</w:t>
            </w:r>
            <w:r>
              <w:rPr>
                <w:spacing w:val="6"/>
              </w:rPr>
              <w:t xml:space="preserve"> </w:t>
            </w:r>
            <w:r>
              <w:rPr/>
              <w:t>买服务等方式支持其发展。行业协会商会执行民间非营利组织会计制度</w:t>
            </w:r>
          </w:p>
          <w:p>
            <w:pPr>
              <w:pStyle w:val="TableText"/>
              <w:ind w:left="31" w:right="61" w:firstLine="39"/>
              <w:spacing w:before="22" w:line="241" w:lineRule="auto"/>
              <w:rPr/>
            </w:pPr>
            <w:r>
              <w:rPr/>
              <w:t>单独建账、独立核算。业务主管单位负责对其主管的</w:t>
            </w:r>
            <w:r>
              <w:rPr>
                <w:spacing w:val="-1"/>
              </w:rPr>
              <w:t>行业协会商会资产财</w:t>
            </w:r>
            <w:r>
              <w:rPr/>
              <w:t xml:space="preserve"> </w:t>
            </w:r>
            <w:r>
              <w:rPr>
                <w:spacing w:val="1"/>
              </w:rPr>
              <w:t>务状况进行全面摸底和清查登记，财政部门按照“严界定、宽使用”的原</w:t>
            </w:r>
            <w:r>
              <w:rPr/>
              <w:t xml:space="preserve"> </w:t>
            </w:r>
            <w:r>
              <w:rPr>
                <w:spacing w:val="1"/>
              </w:rPr>
              <w:t>则批复资产核实情况。脱钩过程中，要严格执行国有资产管理和处置</w:t>
            </w:r>
            <w:r>
              <w:rPr/>
              <w:t>的有 </w:t>
            </w:r>
            <w:r>
              <w:rPr>
                <w:spacing w:val="2"/>
              </w:rPr>
              <w:t>关规定，严禁隐匿、私分国有资产，防止国</w:t>
            </w:r>
            <w:r>
              <w:rPr>
                <w:spacing w:val="1"/>
              </w:rPr>
              <w:t>有资产流失。行业协会商会占</w:t>
            </w:r>
            <w:r>
              <w:rPr/>
              <w:t xml:space="preserve"> </w:t>
            </w:r>
            <w:r>
              <w:rPr/>
              <w:t>用的行政办公用房，按照有关规定进行腾退，</w:t>
            </w:r>
            <w:r>
              <w:rPr>
                <w:spacing w:val="-1"/>
              </w:rPr>
              <w:t>实现办公场所独立</w:t>
            </w:r>
          </w:p>
          <w:p>
            <w:pPr>
              <w:pStyle w:val="TableText"/>
              <w:ind w:left="21" w:right="80" w:firstLine="119"/>
              <w:spacing w:line="246" w:lineRule="auto"/>
              <w:rPr/>
            </w:pPr>
            <w:r>
              <w:rPr/>
              <w:t>(四)人员管理分离。落实行业协会商会人事自主权，规范用人管理，全</w:t>
            </w:r>
            <w:r>
              <w:rPr>
                <w:spacing w:val="2"/>
              </w:rPr>
              <w:t xml:space="preserve">  </w:t>
            </w:r>
            <w:r>
              <w:rPr>
                <w:spacing w:val="1"/>
              </w:rPr>
              <w:t>面实行劳动合同制度，依法依章程自主选人用人。行业协会商会按照法律</w:t>
            </w:r>
            <w:r>
              <w:rPr>
                <w:spacing w:val="10"/>
              </w:rPr>
              <w:t xml:space="preserve"> </w:t>
            </w:r>
            <w:r>
              <w:rPr/>
              <w:t>法规和政策规定合理确定工作人员工资，并为工作人</w:t>
            </w:r>
            <w:r>
              <w:rPr>
                <w:spacing w:val="-1"/>
              </w:rPr>
              <w:t>员缴存住房公积金</w:t>
            </w:r>
          </w:p>
          <w:p>
            <w:pPr>
              <w:pStyle w:val="TableText"/>
              <w:ind w:left="21" w:right="82" w:firstLine="49"/>
              <w:spacing w:before="10" w:line="239" w:lineRule="auto"/>
              <w:rPr/>
            </w:pPr>
            <w:r>
              <w:rPr/>
              <w:t>行业协会商会工作人员按照属地管理原则参加当地</w:t>
            </w:r>
            <w:r>
              <w:rPr>
                <w:spacing w:val="-1"/>
              </w:rPr>
              <w:t>企业职工养老保险。鼓</w:t>
            </w:r>
            <w:r>
              <w:rPr/>
              <w:t xml:space="preserve"> </w:t>
            </w:r>
            <w:r>
              <w:rPr>
                <w:spacing w:val="1"/>
              </w:rPr>
              <w:t>励行业协会商会建立企业年金。行政机关不得推荐、安排在职和退(离)</w:t>
            </w:r>
          </w:p>
          <w:p>
            <w:pPr>
              <w:pStyle w:val="TableText"/>
              <w:ind w:left="31"/>
              <w:spacing w:before="12" w:line="219" w:lineRule="auto"/>
              <w:rPr/>
            </w:pPr>
            <w:r>
              <w:rPr/>
              <w:t>休公务员(含参照公务员法管理的机关或单位工作人员)到</w:t>
            </w:r>
            <w:r>
              <w:rPr>
                <w:spacing w:val="-1"/>
              </w:rPr>
              <w:t>行业协会商会</w:t>
            </w:r>
          </w:p>
          <w:p>
            <w:pPr>
              <w:pStyle w:val="TableText"/>
              <w:ind w:left="31"/>
              <w:spacing w:before="22" w:line="219" w:lineRule="auto"/>
              <w:rPr/>
            </w:pPr>
            <w:r>
              <w:rPr/>
              <w:t>任职兼职，现职和不担任现职但未办理退(离)休手续的</w:t>
            </w:r>
            <w:r>
              <w:rPr>
                <w:spacing w:val="-1"/>
              </w:rPr>
              <w:t>党政领导干部及</w:t>
            </w:r>
          </w:p>
          <w:p>
            <w:pPr>
              <w:pStyle w:val="TableText"/>
              <w:ind w:left="31"/>
              <w:spacing w:before="32" w:line="219" w:lineRule="auto"/>
              <w:rPr/>
            </w:pPr>
            <w:r>
              <w:rPr/>
              <w:t>在职工作人员，不得在行业协会商会兼任职务。领导干部</w:t>
            </w:r>
            <w:r>
              <w:rPr>
                <w:spacing w:val="-1"/>
              </w:rPr>
              <w:t>退(离)休后三</w:t>
            </w:r>
          </w:p>
          <w:p>
            <w:pPr>
              <w:pStyle w:val="TableText"/>
              <w:ind w:left="31" w:right="60" w:firstLine="39"/>
              <w:spacing w:before="23" w:line="232" w:lineRule="auto"/>
              <w:rPr/>
            </w:pPr>
            <w:r>
              <w:rPr/>
              <w:t>年内一般不得到行业协会商会兼职，个别确属工作特殊需要兼职的，应当</w:t>
            </w:r>
            <w:r>
              <w:rPr>
                <w:spacing w:val="13"/>
              </w:rPr>
              <w:t xml:space="preserve"> </w:t>
            </w:r>
            <w:r>
              <w:rPr/>
              <w:t>按照干部管理权限审批；退(离)休三年后到行业协会</w:t>
            </w:r>
            <w:r>
              <w:rPr>
                <w:spacing w:val="-1"/>
              </w:rPr>
              <w:t>商会兼职，须按干</w:t>
            </w:r>
          </w:p>
          <w:p>
            <w:pPr>
              <w:pStyle w:val="TableText"/>
              <w:ind w:left="31"/>
              <w:spacing w:before="13" w:line="219" w:lineRule="auto"/>
              <w:rPr/>
            </w:pPr>
            <w:r>
              <w:rPr>
                <w:spacing w:val="-1"/>
              </w:rPr>
              <w:t>部管理权限审批或备案后方可兼职</w:t>
            </w:r>
          </w:p>
          <w:p>
            <w:pPr>
              <w:pStyle w:val="TableText"/>
              <w:ind w:left="90"/>
              <w:spacing w:before="31" w:line="219" w:lineRule="auto"/>
              <w:rPr/>
            </w:pPr>
            <w:r>
              <w:rPr/>
              <w:t>(五)党建外事等事项分离。脱钩后，全国性行业协会商会的党建工作</w:t>
            </w:r>
          </w:p>
          <w:p>
            <w:pPr>
              <w:pStyle w:val="TableText"/>
              <w:ind w:left="70" w:right="67"/>
              <w:spacing w:before="23" w:line="237" w:lineRule="auto"/>
              <w:rPr/>
            </w:pPr>
            <w:r>
              <w:rPr/>
              <w:t>按照原业务主管单位党的关系归口由中央和国家机关</w:t>
            </w:r>
            <w:r>
              <w:rPr>
                <w:spacing w:val="-1"/>
              </w:rPr>
              <w:t>工作委员会、国务院</w:t>
            </w:r>
            <w:r>
              <w:rPr/>
              <w:t xml:space="preserve"> </w:t>
            </w:r>
            <w:r>
              <w:rPr/>
              <w:t>国资委党委领导。地方行业协会商会的党建工作，由各地党委成立的社会</w:t>
            </w:r>
            <w:r>
              <w:rPr>
                <w:spacing w:val="5"/>
              </w:rPr>
              <w:t xml:space="preserve"> </w:t>
            </w:r>
            <w:r>
              <w:rPr/>
              <w:t>组织党建工作机构统一领导。行业协会商会外事工作</w:t>
            </w:r>
            <w:r>
              <w:rPr>
                <w:spacing w:val="-1"/>
              </w:rPr>
              <w:t>按照中央有关外事管</w:t>
            </w:r>
          </w:p>
        </w:tc>
        <w:tc>
          <w:tcPr>
            <w:tcW w:w="2128" w:type="dxa"/>
            <w:vAlign w:val="top"/>
          </w:tcPr>
          <w:p>
            <w:pPr>
              <w:rPr>
                <w:rFonts w:ascii="Arial"/>
                <w:sz w:val="21"/>
              </w:rPr>
            </w:pPr>
            <w:r/>
          </w:p>
        </w:tc>
        <w:tc>
          <w:tcPr>
            <w:tcW w:w="909" w:type="dxa"/>
            <w:vAlign w:val="top"/>
          </w:tcPr>
          <w:p>
            <w:pPr>
              <w:rPr>
                <w:rFonts w:ascii="Arial"/>
                <w:sz w:val="21"/>
              </w:rPr>
            </w:pPr>
            <w:r/>
          </w:p>
        </w:tc>
        <w:tc>
          <w:tcPr>
            <w:tcW w:w="689" w:type="dxa"/>
            <w:vAlign w:val="top"/>
          </w:tcPr>
          <w:p>
            <w:pPr>
              <w:rPr>
                <w:rFonts w:ascii="Arial"/>
                <w:sz w:val="21"/>
              </w:rPr>
            </w:pPr>
            <w:r/>
          </w:p>
        </w:tc>
        <w:tc>
          <w:tcPr>
            <w:tcW w:w="664" w:type="dxa"/>
            <w:vAlign w:val="top"/>
          </w:tcPr>
          <w:p>
            <w:pPr>
              <w:rPr>
                <w:rFonts w:ascii="Arial"/>
                <w:sz w:val="21"/>
              </w:rPr>
            </w:pPr>
            <w:r/>
          </w:p>
        </w:tc>
      </w:tr>
    </w:tbl>
    <w:p>
      <w:pPr>
        <w:pStyle w:val="BodyText"/>
        <w:rPr/>
      </w:pPr>
      <w:r/>
    </w:p>
    <w:p>
      <w:pPr>
        <w:sectPr>
          <w:pgSz w:w="11910" w:h="8220"/>
          <w:pgMar w:top="400" w:right="1145" w:bottom="400" w:left="799" w:header="0" w:footer="0" w:gutter="0"/>
        </w:sectPr>
        <w:rPr/>
      </w:pPr>
    </w:p>
    <w:p>
      <w:pPr>
        <w:spacing w:before="51"/>
        <w:rPr/>
      </w:pP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4935"/>
        <w:gridCol w:w="2138"/>
        <w:gridCol w:w="909"/>
        <w:gridCol w:w="679"/>
        <w:gridCol w:w="684"/>
      </w:tblGrid>
      <w:tr>
        <w:trPr>
          <w:trHeight w:val="494" w:hRule="atLeast"/>
        </w:trPr>
        <w:tc>
          <w:tcPr>
            <w:tcW w:w="294" w:type="dxa"/>
            <w:vAlign w:val="top"/>
            <w:textDirection w:val="tbRlV"/>
          </w:tcPr>
          <w:p>
            <w:pPr>
              <w:pStyle w:val="TableText"/>
              <w:ind w:left="47"/>
              <w:spacing w:before="69" w:line="217" w:lineRule="auto"/>
              <w:rPr/>
            </w:pPr>
            <w:r>
              <w:rPr/>
              <w:t>序</w:t>
            </w:r>
            <w:r>
              <w:rPr>
                <w:spacing w:val="16"/>
              </w:rPr>
              <w:t xml:space="preserve"> </w:t>
            </w:r>
            <w:r>
              <w:rPr/>
              <w:t>号</w:t>
            </w:r>
          </w:p>
        </w:tc>
        <w:tc>
          <w:tcPr>
            <w:tcW w:w="4935" w:type="dxa"/>
            <w:vAlign w:val="top"/>
          </w:tcPr>
          <w:p>
            <w:pPr>
              <w:pStyle w:val="TableText"/>
              <w:ind w:left="2161"/>
              <w:spacing w:before="171" w:line="219" w:lineRule="auto"/>
              <w:rPr/>
            </w:pPr>
            <w:r>
              <w:rPr>
                <w:spacing w:val="-2"/>
              </w:rPr>
              <w:t>主要内容</w:t>
            </w:r>
          </w:p>
        </w:tc>
        <w:tc>
          <w:tcPr>
            <w:tcW w:w="2138" w:type="dxa"/>
            <w:vAlign w:val="top"/>
          </w:tcPr>
          <w:p>
            <w:pPr>
              <w:pStyle w:val="TableText"/>
              <w:ind w:left="766"/>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679" w:type="dxa"/>
            <w:vAlign w:val="top"/>
          </w:tcPr>
          <w:p>
            <w:pPr>
              <w:pStyle w:val="TableText"/>
              <w:ind w:left="28"/>
              <w:spacing w:before="171" w:line="219" w:lineRule="auto"/>
              <w:rPr/>
            </w:pPr>
            <w:r>
              <w:rPr>
                <w:spacing w:val="-1"/>
              </w:rPr>
              <w:t>政策类别</w:t>
            </w:r>
          </w:p>
        </w:tc>
        <w:tc>
          <w:tcPr>
            <w:tcW w:w="684" w:type="dxa"/>
            <w:vAlign w:val="top"/>
          </w:tcPr>
          <w:p>
            <w:pPr>
              <w:pStyle w:val="TableText"/>
              <w:ind w:left="20"/>
              <w:spacing w:before="171" w:line="220" w:lineRule="auto"/>
              <w:rPr/>
            </w:pPr>
            <w:r>
              <w:rPr>
                <w:spacing w:val="-1"/>
              </w:rPr>
              <w:t>政策形式</w:t>
            </w:r>
          </w:p>
        </w:tc>
      </w:tr>
      <w:tr>
        <w:trPr>
          <w:trHeight w:val="2936" w:hRule="atLeast"/>
        </w:trPr>
        <w:tc>
          <w:tcPr>
            <w:tcW w:w="294"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94"/>
              <w:spacing w:before="49" w:line="183" w:lineRule="auto"/>
              <w:rPr/>
            </w:pPr>
            <w:r>
              <w:rPr/>
              <w:t>2</w:t>
            </w:r>
          </w:p>
        </w:tc>
        <w:tc>
          <w:tcPr>
            <w:tcW w:w="4935" w:type="dxa"/>
            <w:vAlign w:val="top"/>
          </w:tcPr>
          <w:p>
            <w:pPr>
              <w:pStyle w:val="TableText"/>
              <w:ind w:left="31" w:right="69" w:firstLine="29"/>
              <w:spacing w:before="117" w:line="239" w:lineRule="auto"/>
              <w:rPr/>
            </w:pPr>
            <w:r>
              <w:rPr/>
              <w:t>业协会商会外事工作按照中央有关外事管理规定，由住所</w:t>
            </w:r>
            <w:r>
              <w:rPr>
                <w:spacing w:val="-1"/>
              </w:rPr>
              <w:t>地政府外事工作</w:t>
            </w:r>
            <w:r>
              <w:rPr/>
              <w:t xml:space="preserve"> </w:t>
            </w:r>
            <w:r>
              <w:rPr>
                <w:spacing w:val="1"/>
              </w:rPr>
              <w:t>机构管理。外事工作机构要加强指导协调、管理服务</w:t>
            </w:r>
            <w:r>
              <w:rPr/>
              <w:t>，必要时可就有关外 </w:t>
            </w:r>
            <w:r>
              <w:rPr>
                <w:spacing w:val="1"/>
              </w:rPr>
              <w:t>事活动、国际交流合作事项函询行业管理部门，行业</w:t>
            </w:r>
            <w:r>
              <w:rPr/>
              <w:t>管理部门应及时函复 </w:t>
            </w:r>
            <w:r>
              <w:rPr/>
              <w:t>意见。行业协会商会举办国际博(展)览会、国</w:t>
            </w:r>
            <w:r>
              <w:rPr>
                <w:spacing w:val="-1"/>
              </w:rPr>
              <w:t>际比赛、国际文化展演等</w:t>
            </w:r>
          </w:p>
          <w:p>
            <w:pPr>
              <w:pStyle w:val="TableText"/>
              <w:ind w:left="11"/>
              <w:spacing w:before="22" w:line="219" w:lineRule="auto"/>
              <w:rPr/>
            </w:pPr>
            <w:r>
              <w:rPr/>
              <w:t>按规定报有关部门审批。行业协会商会主管且主办的</w:t>
            </w:r>
            <w:r>
              <w:rPr>
                <w:spacing w:val="-1"/>
              </w:rPr>
              <w:t>报刊不受脱钩影响</w:t>
            </w:r>
          </w:p>
          <w:p>
            <w:pPr>
              <w:pStyle w:val="TableText"/>
              <w:ind w:left="21" w:right="69" w:firstLine="39"/>
              <w:spacing w:before="13" w:line="242" w:lineRule="auto"/>
              <w:rPr/>
            </w:pPr>
            <w:r>
              <w:rPr/>
              <w:t>可维持现状；行政机关主管、行业协会商会主办的报</w:t>
            </w:r>
            <w:r>
              <w:rPr>
                <w:spacing w:val="-1"/>
              </w:rPr>
              <w:t>刊，行政机关可根据</w:t>
            </w:r>
            <w:r>
              <w:rPr/>
              <w:t xml:space="preserve"> </w:t>
            </w:r>
            <w:r>
              <w:rPr>
                <w:spacing w:val="1"/>
              </w:rPr>
              <w:t>与该报刊的业务指导或行业管理关系紧密程度，选择保留主管关系，</w:t>
            </w:r>
            <w:r>
              <w:rPr/>
              <w:t>或按 </w:t>
            </w:r>
            <w:r>
              <w:rPr>
                <w:spacing w:val="1"/>
              </w:rPr>
              <w:t>程序变更为由行业协会商会主管主办。脱钩后，行业协会商会住所地县级 </w:t>
            </w:r>
            <w:r>
              <w:rPr/>
              <w:t>以上(含县级)公共就业和人才服务机构及经人力资源社会保障部门授权</w:t>
            </w:r>
          </w:p>
          <w:p>
            <w:pPr>
              <w:pStyle w:val="TableText"/>
              <w:ind w:left="31" w:right="58" w:firstLine="29"/>
              <w:spacing w:before="1" w:line="245" w:lineRule="auto"/>
              <w:rPr/>
            </w:pPr>
            <w:r>
              <w:rPr/>
              <w:t>的单位，应当提供人事档案管理服务。对职称评定、居住证办理等须经业</w:t>
            </w:r>
            <w:r>
              <w:rPr>
                <w:spacing w:val="4"/>
              </w:rPr>
              <w:t xml:space="preserve"> </w:t>
            </w:r>
            <w:r>
              <w:rPr/>
              <w:t>务主管单位审核才能申报的事项，相关职能部门应及</w:t>
            </w:r>
            <w:r>
              <w:rPr>
                <w:spacing w:val="-1"/>
              </w:rPr>
              <w:t>时修订原管理办法</w:t>
            </w:r>
          </w:p>
          <w:p>
            <w:pPr>
              <w:pStyle w:val="TableText"/>
              <w:ind w:left="11" w:right="70" w:firstLine="49"/>
              <w:spacing w:before="24" w:line="229" w:lineRule="auto"/>
              <w:rPr/>
            </w:pPr>
            <w:r>
              <w:rPr/>
              <w:t>调整申报条件和程序等；新管理办法出台前，应明确</w:t>
            </w:r>
            <w:r>
              <w:rPr>
                <w:spacing w:val="-1"/>
              </w:rPr>
              <w:t>过渡性措施，并做好</w:t>
            </w:r>
            <w:r>
              <w:rPr/>
              <w:t xml:space="preserve"> </w:t>
            </w:r>
            <w:r>
              <w:rPr>
                <w:spacing w:val="1"/>
              </w:rPr>
              <w:t>新旧政策衔接，确保行业协会商会脱钩过程中和脱钩后均能顺利办理类似</w:t>
            </w:r>
            <w:r>
              <w:rPr>
                <w:spacing w:val="10"/>
              </w:rPr>
              <w:t xml:space="preserve"> </w:t>
            </w:r>
            <w:r>
              <w:rPr>
                <w:spacing w:val="-2"/>
              </w:rPr>
              <w:t>事项。</w:t>
            </w:r>
          </w:p>
        </w:tc>
        <w:tc>
          <w:tcPr>
            <w:tcW w:w="2138" w:type="dxa"/>
            <w:vAlign w:val="top"/>
          </w:tcPr>
          <w:p>
            <w:pPr>
              <w:rPr>
                <w:rFonts w:ascii="Arial"/>
                <w:sz w:val="21"/>
              </w:rPr>
            </w:pPr>
            <w:r/>
          </w:p>
        </w:tc>
        <w:tc>
          <w:tcPr>
            <w:tcW w:w="909" w:type="dxa"/>
            <w:vAlign w:val="top"/>
          </w:tcPr>
          <w:p>
            <w:pPr>
              <w:rPr>
                <w:rFonts w:ascii="Arial"/>
                <w:sz w:val="21"/>
              </w:rPr>
            </w:pPr>
            <w:r/>
          </w:p>
        </w:tc>
        <w:tc>
          <w:tcPr>
            <w:tcW w:w="679" w:type="dxa"/>
            <w:vAlign w:val="top"/>
          </w:tcPr>
          <w:p>
            <w:pPr>
              <w:rPr>
                <w:rFonts w:ascii="Arial"/>
                <w:sz w:val="21"/>
              </w:rPr>
            </w:pPr>
            <w:r/>
          </w:p>
        </w:tc>
        <w:tc>
          <w:tcPr>
            <w:tcW w:w="684" w:type="dxa"/>
            <w:vAlign w:val="top"/>
          </w:tcPr>
          <w:p>
            <w:pPr>
              <w:rPr>
                <w:rFonts w:ascii="Arial"/>
                <w:sz w:val="21"/>
              </w:rPr>
            </w:pPr>
            <w:r/>
          </w:p>
        </w:tc>
      </w:tr>
    </w:tbl>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spacing w:line="200" w:lineRule="exact"/>
        <w:rPr/>
      </w:pPr>
      <w:r>
        <w:rPr>
          <w:position w:val="-3"/>
        </w:rPr>
        <w:drawing>
          <wp:inline distT="0" distB="0" distL="0" distR="0">
            <wp:extent cx="114274" cy="126995"/>
            <wp:effectExtent l="0" t="0" r="0" b="0"/>
            <wp:docPr id="62" name="IM 62"/>
            <wp:cNvGraphicFramePr/>
            <a:graphic>
              <a:graphicData uri="http://schemas.openxmlformats.org/drawingml/2006/picture">
                <pic:pic>
                  <pic:nvPicPr>
                    <pic:cNvPr id="62" name="IM 62"/>
                    <pic:cNvPicPr/>
                  </pic:nvPicPr>
                  <pic:blipFill>
                    <a:blip r:embed="rId34"/>
                    <a:stretch>
                      <a:fillRect/>
                    </a:stretch>
                  </pic:blipFill>
                  <pic:spPr>
                    <a:xfrm rot="0">
                      <a:off x="0" y="0"/>
                      <a:ext cx="114274" cy="126995"/>
                    </a:xfrm>
                    <a:prstGeom prst="rect">
                      <a:avLst/>
                    </a:prstGeom>
                  </pic:spPr>
                </pic:pic>
              </a:graphicData>
            </a:graphic>
          </wp:inline>
        </w:drawing>
      </w:r>
    </w:p>
    <w:p>
      <w:pPr>
        <w:spacing w:line="200" w:lineRule="exact"/>
        <w:sectPr>
          <w:pgSz w:w="11910" w:h="8220"/>
          <w:pgMar w:top="400" w:right="1135" w:bottom="400" w:left="809" w:header="0" w:footer="0"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spacing w:before="52" w:line="183" w:lineRule="auto"/>
        <w:rPr>
          <w:rFonts w:ascii="SimSun" w:hAnsi="SimSun" w:eastAsia="SimSun" w:cs="SimSun"/>
          <w:sz w:val="16"/>
          <w:szCs w:val="16"/>
        </w:rPr>
      </w:pPr>
      <w:r>
        <w:rPr>
          <w:rFonts w:ascii="SimSun" w:hAnsi="SimSun" w:eastAsia="SimSun" w:cs="SimSun"/>
          <w:sz w:val="16"/>
          <w:szCs w:val="16"/>
          <w:b/>
          <w:bCs/>
          <w:spacing w:val="-4"/>
        </w:rPr>
        <w:t>94</w:t>
      </w:r>
    </w:p>
    <w:p>
      <w:pPr>
        <w:spacing w:line="183" w:lineRule="auto"/>
        <w:sectPr>
          <w:pgSz w:w="8220" w:h="11910"/>
          <w:pgMar w:top="400" w:right="1233" w:bottom="400" w:left="1042" w:header="0" w:footer="0" w:gutter="0"/>
        </w:sectPr>
        <w:rPr>
          <w:rFonts w:ascii="SimSun" w:hAnsi="SimSun" w:eastAsia="SimSun" w:cs="SimSun"/>
          <w:sz w:val="16"/>
          <w:szCs w:val="16"/>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1051"/>
        <w:spacing w:before="101" w:line="222" w:lineRule="auto"/>
        <w:outlineLvl w:val="6"/>
        <w:rPr>
          <w:rFonts w:ascii="SimHei" w:hAnsi="SimHei" w:eastAsia="SimHei" w:cs="SimHei"/>
          <w:sz w:val="31"/>
          <w:szCs w:val="31"/>
        </w:rPr>
      </w:pPr>
      <w:r>
        <w:rPr>
          <w:rFonts w:ascii="SimHei" w:hAnsi="SimHei" w:eastAsia="SimHei" w:cs="SimHei"/>
          <w:sz w:val="31"/>
          <w:szCs w:val="31"/>
          <w:b/>
          <w:bCs/>
          <w:spacing w:val="-10"/>
        </w:rPr>
        <w:t>四、降低企业人工成本政策</w:t>
      </w:r>
    </w:p>
    <w:p>
      <w:pPr>
        <w:spacing w:line="222" w:lineRule="auto"/>
        <w:sectPr>
          <w:footerReference w:type="default" r:id="rId35"/>
          <w:pgSz w:w="8220" w:h="11910"/>
          <w:pgMar w:top="400" w:right="1114" w:bottom="943" w:left="1233" w:header="0" w:footer="784" w:gutter="0"/>
        </w:sectPr>
        <w:rPr>
          <w:rFonts w:ascii="SimHei" w:hAnsi="SimHei" w:eastAsia="SimHei" w:cs="SimHei"/>
          <w:sz w:val="31"/>
          <w:szCs w:val="31"/>
        </w:rPr>
      </w:pPr>
    </w:p>
    <w:p>
      <w:pPr>
        <w:pStyle w:val="BodyText"/>
        <w:spacing w:line="258" w:lineRule="auto"/>
        <w:rPr/>
      </w:pPr>
      <w:r/>
    </w:p>
    <w:p>
      <w:pPr>
        <w:pStyle w:val="BodyText"/>
        <w:spacing w:line="259" w:lineRule="auto"/>
        <w:rPr/>
      </w:pPr>
      <w:r/>
    </w:p>
    <w:p>
      <w:pPr>
        <w:spacing w:before="74" w:line="214" w:lineRule="auto"/>
        <w:rPr>
          <w:rFonts w:ascii="SimSun" w:hAnsi="SimSun" w:eastAsia="SimSun" w:cs="SimSun"/>
          <w:sz w:val="23"/>
          <w:szCs w:val="23"/>
        </w:rPr>
      </w:pPr>
      <w:r>
        <w:rPr>
          <w:rFonts w:ascii="STCaiyun" w:hAnsi="STCaiyun" w:eastAsia="STCaiyun" w:cs="STCaiyun"/>
          <w:sz w:val="21"/>
          <w:szCs w:val="21"/>
          <w:spacing w:val="-1"/>
        </w:rPr>
        <w:t>品                                                           </w:t>
      </w:r>
      <w:r>
        <w:rPr>
          <w:rFonts w:ascii="STCaiyun" w:hAnsi="STCaiyun" w:eastAsia="STCaiyun" w:cs="STCaiyun"/>
          <w:sz w:val="21"/>
          <w:szCs w:val="21"/>
          <w:spacing w:val="-2"/>
        </w:rPr>
        <w:t xml:space="preserve">                </w:t>
      </w:r>
      <w:r>
        <w:rPr>
          <w:rFonts w:ascii="SimSun" w:hAnsi="SimSun" w:eastAsia="SimSun" w:cs="SimSun"/>
          <w:sz w:val="23"/>
          <w:szCs w:val="23"/>
          <w:b/>
          <w:bCs/>
          <w:spacing w:val="-2"/>
        </w:rPr>
        <w:t>降低企业人工成本政策</w:t>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26"/>
        <w:gridCol w:w="2517"/>
        <w:gridCol w:w="969"/>
        <w:gridCol w:w="969"/>
        <w:gridCol w:w="389"/>
        <w:gridCol w:w="384"/>
      </w:tblGrid>
      <w:tr>
        <w:trPr>
          <w:trHeight w:val="514" w:hRule="atLeast"/>
        </w:trPr>
        <w:tc>
          <w:tcPr>
            <w:tcW w:w="285" w:type="dxa"/>
            <w:vAlign w:val="top"/>
            <w:textDirection w:val="tbRlV"/>
          </w:tcPr>
          <w:p>
            <w:pPr>
              <w:pStyle w:val="TableText"/>
              <w:ind w:left="67"/>
              <w:spacing w:before="70" w:line="217" w:lineRule="auto"/>
              <w:rPr/>
            </w:pPr>
            <w:r>
              <w:rPr>
                <w:spacing w:val="-2"/>
              </w:rPr>
              <w:t>序 号</w:t>
            </w:r>
          </w:p>
        </w:tc>
        <w:tc>
          <w:tcPr>
            <w:tcW w:w="4126" w:type="dxa"/>
            <w:vAlign w:val="top"/>
          </w:tcPr>
          <w:p>
            <w:pPr>
              <w:pStyle w:val="TableText"/>
              <w:ind w:left="1749"/>
              <w:spacing w:before="181" w:line="219" w:lineRule="auto"/>
              <w:rPr/>
            </w:pPr>
            <w:r>
              <w:rPr>
                <w:spacing w:val="-2"/>
              </w:rPr>
              <w:t>主要内容</w:t>
            </w:r>
          </w:p>
        </w:tc>
        <w:tc>
          <w:tcPr>
            <w:tcW w:w="2517" w:type="dxa"/>
            <w:vAlign w:val="top"/>
          </w:tcPr>
          <w:p>
            <w:pPr>
              <w:pStyle w:val="TableText"/>
              <w:ind w:left="943"/>
              <w:spacing w:before="180" w:line="219" w:lineRule="auto"/>
              <w:rPr/>
            </w:pPr>
            <w:r>
              <w:rPr>
                <w:spacing w:val="-1"/>
              </w:rPr>
              <w:t>政策依据</w:t>
            </w:r>
          </w:p>
        </w:tc>
        <w:tc>
          <w:tcPr>
            <w:tcW w:w="969" w:type="dxa"/>
            <w:vAlign w:val="top"/>
          </w:tcPr>
          <w:p>
            <w:pPr>
              <w:pStyle w:val="TableText"/>
              <w:ind w:left="177"/>
              <w:spacing w:before="181" w:line="219" w:lineRule="auto"/>
              <w:rPr/>
            </w:pPr>
            <w:r>
              <w:rPr>
                <w:spacing w:val="3"/>
              </w:rPr>
              <w:t>执行时间</w:t>
            </w:r>
          </w:p>
        </w:tc>
        <w:tc>
          <w:tcPr>
            <w:tcW w:w="969" w:type="dxa"/>
            <w:vAlign w:val="top"/>
          </w:tcPr>
          <w:p>
            <w:pPr>
              <w:pStyle w:val="TableText"/>
              <w:ind w:left="177"/>
              <w:spacing w:before="73" w:line="227"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72" w:line="252" w:lineRule="auto"/>
              <w:rPr/>
            </w:pPr>
            <w:r>
              <w:rPr>
                <w:spacing w:val="-3"/>
              </w:rPr>
              <w:t>政策</w:t>
            </w:r>
            <w:r>
              <w:rPr/>
              <w:t xml:space="preserve"> </w:t>
            </w:r>
            <w:r>
              <w:rPr>
                <w:spacing w:val="-4"/>
              </w:rPr>
              <w:t>形式</w:t>
            </w:r>
          </w:p>
        </w:tc>
      </w:tr>
      <w:tr>
        <w:trPr>
          <w:trHeight w:val="260" w:hRule="atLeast"/>
        </w:trPr>
        <w:tc>
          <w:tcPr>
            <w:shd w:val="clear" w:fill="DCDDDD"/>
            <w:tcW w:w="9639" w:type="dxa"/>
            <w:vAlign w:val="top"/>
            <w:gridSpan w:val="7"/>
          </w:tcPr>
          <w:p>
            <w:pPr>
              <w:pStyle w:val="TableText"/>
              <w:ind w:left="4377"/>
              <w:spacing w:before="54" w:line="219" w:lineRule="auto"/>
              <w:rPr/>
            </w:pPr>
            <w:r>
              <w:rPr>
                <w:b/>
                <w:bCs/>
                <w:spacing w:val="-4"/>
              </w:rPr>
              <w:t>一、社会保险</w:t>
            </w:r>
          </w:p>
        </w:tc>
      </w:tr>
      <w:tr>
        <w:trPr>
          <w:trHeight w:val="3314" w:hRule="atLeast"/>
        </w:trPr>
        <w:tc>
          <w:tcPr>
            <w:tcW w:w="285"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94"/>
              <w:spacing w:before="49" w:line="184" w:lineRule="auto"/>
              <w:rPr/>
            </w:pPr>
            <w:r>
              <w:rPr/>
              <w:t>1</w:t>
            </w:r>
          </w:p>
        </w:tc>
        <w:tc>
          <w:tcPr>
            <w:tcW w:w="4126" w:type="dxa"/>
            <w:vAlign w:val="top"/>
          </w:tcPr>
          <w:p>
            <w:pPr>
              <w:pStyle w:val="TableText"/>
              <w:ind w:left="30" w:right="5" w:firstLine="20"/>
              <w:spacing w:before="76" w:line="254" w:lineRule="auto"/>
              <w:jc w:val="both"/>
              <w:rPr/>
            </w:pPr>
            <w:r>
              <w:rPr>
                <w:spacing w:val="-4"/>
              </w:rPr>
              <w:t>一、自2023年5月1日起，继续实施阶</w:t>
            </w:r>
            <w:r>
              <w:rPr>
                <w:spacing w:val="-5"/>
              </w:rPr>
              <w:t>段性降低失业保险费率至1%</w:t>
            </w:r>
            <w:r>
              <w:rPr/>
              <w:t xml:space="preserve"> </w:t>
            </w:r>
            <w:r>
              <w:rPr>
                <w:spacing w:val="1"/>
              </w:rPr>
              <w:t>的政策，实施期限延长至2024年底。在</w:t>
            </w:r>
            <w:r>
              <w:rPr/>
              <w:t>省(区、市)行政区域内 </w:t>
            </w:r>
            <w:r>
              <w:rPr>
                <w:spacing w:val="1"/>
              </w:rPr>
              <w:t>单位及个人的费率应当统一，个人费率不得超过单位费率。</w:t>
            </w:r>
          </w:p>
          <w:p>
            <w:pPr>
              <w:pStyle w:val="TableText"/>
              <w:ind w:left="50"/>
              <w:spacing w:before="42" w:line="219" w:lineRule="auto"/>
              <w:rPr/>
            </w:pPr>
            <w:r>
              <w:rPr/>
              <w:t>二、自2023年5月1日起，按照《国务</w:t>
            </w:r>
            <w:r>
              <w:rPr>
                <w:spacing w:val="-1"/>
              </w:rPr>
              <w:t>院办公厅关于印发降</w:t>
            </w:r>
          </w:p>
          <w:p>
            <w:pPr>
              <w:pStyle w:val="TableText"/>
              <w:ind w:left="40"/>
              <w:spacing w:before="40" w:line="219" w:lineRule="auto"/>
              <w:rPr/>
            </w:pPr>
            <w:r>
              <w:rPr>
                <w:spacing w:val="1"/>
              </w:rPr>
              <w:t>低社会保险费率综合方案的通知》(国办发〔2019〕13号)</w:t>
            </w:r>
          </w:p>
          <w:p>
            <w:pPr>
              <w:pStyle w:val="TableText"/>
              <w:ind w:left="30" w:right="42"/>
              <w:spacing w:before="42" w:line="245" w:lineRule="auto"/>
              <w:rPr/>
            </w:pPr>
            <w:r>
              <w:rPr/>
              <w:t>有关实施条件，继续实施阶段性降低工伤保</w:t>
            </w:r>
            <w:r>
              <w:rPr>
                <w:spacing w:val="-1"/>
              </w:rPr>
              <w:t>险费率政策，实施</w:t>
            </w:r>
            <w:r>
              <w:rPr/>
              <w:t xml:space="preserve"> </w:t>
            </w:r>
            <w:r>
              <w:rPr>
                <w:spacing w:val="-1"/>
              </w:rPr>
              <w:t>期限延长至2024年底。</w:t>
            </w:r>
          </w:p>
          <w:p>
            <w:pPr>
              <w:pStyle w:val="TableText"/>
              <w:ind w:left="30" w:right="24"/>
              <w:spacing w:before="40" w:line="254" w:lineRule="auto"/>
              <w:jc w:val="both"/>
              <w:rPr/>
            </w:pPr>
            <w:r>
              <w:rPr/>
              <w:t>三、各地要加强失业保险、工伤保险基金运行</w:t>
            </w:r>
            <w:r>
              <w:rPr>
                <w:spacing w:val="-1"/>
              </w:rPr>
              <w:t>分析，平衡好降</w:t>
            </w:r>
            <w:r>
              <w:rPr/>
              <w:t xml:space="preserve"> </w:t>
            </w:r>
            <w:r>
              <w:rPr/>
              <w:t>费率与保发放之间的关系，既要确保降费率政策落实，也要确</w:t>
            </w:r>
            <w:r>
              <w:rPr>
                <w:spacing w:val="10"/>
              </w:rPr>
              <w:t xml:space="preserve"> </w:t>
            </w:r>
            <w:r>
              <w:rPr>
                <w:spacing w:val="-1"/>
              </w:rPr>
              <w:t>保待遇按时足额发放，确保制度运行安全平稳可持续</w:t>
            </w:r>
          </w:p>
          <w:p>
            <w:pPr>
              <w:pStyle w:val="TableText"/>
              <w:ind w:left="30" w:right="26"/>
              <w:spacing w:before="41" w:line="250" w:lineRule="auto"/>
              <w:jc w:val="both"/>
              <w:rPr/>
            </w:pPr>
            <w:r>
              <w:rPr/>
              <w:t>四、各地要继续按照国家有关规定进一步规范缴费比例、缴费</w:t>
            </w:r>
            <w:r>
              <w:rPr>
                <w:spacing w:val="8"/>
              </w:rPr>
              <w:t xml:space="preserve"> </w:t>
            </w:r>
            <w:r>
              <w:rPr/>
              <w:t>基数等相关政策，不得自行出台降低缴费基数</w:t>
            </w:r>
            <w:r>
              <w:rPr>
                <w:spacing w:val="-1"/>
              </w:rPr>
              <w:t>、减免社会保险</w:t>
            </w:r>
            <w:r>
              <w:rPr/>
              <w:t xml:space="preserve"> </w:t>
            </w:r>
            <w:r>
              <w:rPr/>
              <w:t>费等减少基金收入的政策。</w:t>
            </w:r>
          </w:p>
          <w:p>
            <w:pPr>
              <w:pStyle w:val="TableText"/>
              <w:ind w:left="30" w:right="44"/>
              <w:spacing w:before="42" w:line="232" w:lineRule="auto"/>
              <w:rPr/>
            </w:pPr>
            <w:r>
              <w:rPr>
                <w:spacing w:val="-1"/>
              </w:rPr>
              <w:t>五、各地人力资源社会保障、税务部门要按规定开展降费核算</w:t>
            </w:r>
            <w:r>
              <w:rPr>
                <w:spacing w:val="17"/>
              </w:rPr>
              <w:t xml:space="preserve"> </w:t>
            </w:r>
            <w:r>
              <w:rPr>
                <w:spacing w:val="-1"/>
              </w:rPr>
              <w:t>工作，并按月及时上报有关情况。</w:t>
            </w:r>
          </w:p>
        </w:tc>
        <w:tc>
          <w:tcPr>
            <w:tcW w:w="2517" w:type="dxa"/>
            <w:vAlign w:val="top"/>
          </w:tcPr>
          <w:p>
            <w:pPr>
              <w:pStyle w:val="TableText"/>
              <w:ind w:left="13"/>
              <w:spacing w:before="76" w:line="219" w:lineRule="auto"/>
              <w:rPr/>
            </w:pPr>
            <w:r>
              <w:rPr>
                <w:spacing w:val="-1"/>
              </w:rPr>
              <w:t>人力资源社会保障部财政部国家税</w:t>
            </w:r>
          </w:p>
          <w:p>
            <w:pPr>
              <w:pStyle w:val="TableText"/>
              <w:ind w:left="53" w:right="80" w:hanging="20"/>
              <w:spacing w:before="42" w:line="245" w:lineRule="auto"/>
              <w:rPr/>
            </w:pPr>
            <w:r>
              <w:rPr>
                <w:spacing w:val="-1"/>
              </w:rPr>
              <w:t>务总局关于阶段性降低失业保险、工</w:t>
            </w:r>
            <w:r>
              <w:rPr>
                <w:spacing w:val="7"/>
              </w:rPr>
              <w:t xml:space="preserve"> </w:t>
            </w:r>
            <w:r>
              <w:rPr>
                <w:spacing w:val="-1"/>
              </w:rPr>
              <w:t>伤保险费率有关问题的通知</w:t>
            </w:r>
          </w:p>
          <w:p>
            <w:pPr>
              <w:pStyle w:val="TableText"/>
              <w:ind w:left="53"/>
              <w:spacing w:before="42" w:line="219" w:lineRule="auto"/>
              <w:rPr/>
            </w:pPr>
            <w:r>
              <w:rPr>
                <w:spacing w:val="-1"/>
              </w:rPr>
              <w:t>人社部发〔2023〕19号</w:t>
            </w:r>
          </w:p>
        </w:tc>
        <w:tc>
          <w:tcPr>
            <w:tcW w:w="969" w:type="dxa"/>
            <w:vAlign w:val="top"/>
          </w:tcPr>
          <w:p>
            <w:pPr>
              <w:pStyle w:val="TableText"/>
              <w:ind w:left="26" w:right="11" w:firstLine="10"/>
              <w:spacing w:before="47" w:line="264" w:lineRule="auto"/>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3</w:t>
            </w:r>
            <w:r>
              <w:rPr>
                <w:spacing w:val="-28"/>
              </w:rPr>
              <w:t xml:space="preserve"> </w:t>
            </w:r>
            <w:r>
              <w:rPr>
                <w:spacing w:val="-8"/>
              </w:rPr>
              <w:t>年</w:t>
            </w:r>
            <w:r>
              <w:rPr>
                <w:spacing w:val="-26"/>
              </w:rPr>
              <w:t xml:space="preserve"> </w:t>
            </w:r>
            <w:r>
              <w:rPr>
                <w:spacing w:val="-8"/>
              </w:rPr>
              <w:t>3</w:t>
            </w:r>
            <w:r>
              <w:rPr>
                <w:spacing w:val="-25"/>
              </w:rPr>
              <w:t xml:space="preserve"> </w:t>
            </w:r>
            <w:r>
              <w:rPr>
                <w:spacing w:val="-8"/>
              </w:rPr>
              <w:t>月</w:t>
            </w:r>
            <w:r>
              <w:rPr/>
              <w:t xml:space="preserve"> </w:t>
            </w:r>
            <w:r>
              <w:rPr>
                <w:spacing w:val="-2"/>
              </w:rPr>
              <w:t>29日起</w:t>
            </w:r>
          </w:p>
        </w:tc>
        <w:tc>
          <w:tcPr>
            <w:tcW w:w="969" w:type="dxa"/>
            <w:vAlign w:val="top"/>
          </w:tcPr>
          <w:p>
            <w:pPr>
              <w:pStyle w:val="TableText"/>
              <w:ind w:left="327"/>
              <w:spacing w:before="65" w:line="229" w:lineRule="auto"/>
              <w:rPr/>
            </w:pPr>
            <w:r>
              <w:rPr>
                <w:spacing w:val="-3"/>
              </w:rPr>
              <w:t>企业</w:t>
            </w:r>
          </w:p>
        </w:tc>
        <w:tc>
          <w:tcPr>
            <w:tcW w:w="389" w:type="dxa"/>
            <w:vAlign w:val="top"/>
          </w:tcPr>
          <w:p>
            <w:pPr>
              <w:pStyle w:val="TableText"/>
              <w:ind w:left="38"/>
              <w:spacing w:before="57" w:line="221" w:lineRule="auto"/>
              <w:rPr/>
            </w:pPr>
            <w:r>
              <w:rPr>
                <w:spacing w:val="-4"/>
              </w:rPr>
              <w:t>阶段</w:t>
            </w:r>
          </w:p>
          <w:p>
            <w:pPr>
              <w:pStyle w:val="TableText"/>
              <w:ind w:left="38"/>
              <w:spacing w:before="40" w:line="221" w:lineRule="auto"/>
              <w:rPr/>
            </w:pPr>
            <w:r>
              <w:rPr>
                <w:spacing w:val="-2"/>
              </w:rPr>
              <w:t>性通</w:t>
            </w:r>
          </w:p>
          <w:p>
            <w:pPr>
              <w:pStyle w:val="TableText"/>
              <w:ind w:left="119"/>
              <w:spacing w:before="31" w:line="221" w:lineRule="auto"/>
              <w:rPr/>
            </w:pPr>
            <w:r>
              <w:rPr/>
              <w:t>知</w:t>
            </w:r>
          </w:p>
        </w:tc>
        <w:tc>
          <w:tcPr>
            <w:tcW w:w="384" w:type="dxa"/>
            <w:vAlign w:val="top"/>
          </w:tcPr>
          <w:p>
            <w:pPr>
              <w:pStyle w:val="TableText"/>
              <w:ind w:left="40"/>
              <w:spacing w:before="57" w:line="219" w:lineRule="auto"/>
              <w:rPr/>
            </w:pPr>
            <w:r>
              <w:rPr>
                <w:spacing w:val="4"/>
              </w:rPr>
              <w:t>降低</w:t>
            </w:r>
          </w:p>
          <w:p>
            <w:pPr>
              <w:pStyle w:val="TableText"/>
              <w:ind w:left="40"/>
              <w:spacing w:before="52" w:line="221" w:lineRule="auto"/>
              <w:rPr/>
            </w:pPr>
            <w:r>
              <w:rPr>
                <w:spacing w:val="-3"/>
              </w:rPr>
              <w:t>失业</w:t>
            </w:r>
          </w:p>
          <w:p>
            <w:pPr>
              <w:pStyle w:val="TableText"/>
              <w:ind w:left="109"/>
              <w:spacing w:before="30" w:line="220" w:lineRule="auto"/>
              <w:rPr/>
            </w:pPr>
            <w:r>
              <w:rPr/>
              <w:t>保</w:t>
            </w:r>
          </w:p>
          <w:p>
            <w:pPr>
              <w:pStyle w:val="TableText"/>
              <w:spacing w:before="41" w:line="220" w:lineRule="auto"/>
              <w:jc w:val="right"/>
              <w:rPr/>
            </w:pPr>
            <w:r>
              <w:rPr>
                <w:spacing w:val="-22"/>
                <w:w w:val="98"/>
              </w:rPr>
              <w:t>险</w:t>
            </w:r>
            <w:r>
              <w:rPr>
                <w:spacing w:val="28"/>
              </w:rPr>
              <w:t xml:space="preserve"> </w:t>
            </w:r>
            <w:r>
              <w:rPr>
                <w:spacing w:val="-22"/>
                <w:w w:val="98"/>
              </w:rPr>
              <w:t>、</w:t>
            </w:r>
          </w:p>
          <w:p>
            <w:pPr>
              <w:pStyle w:val="TableText"/>
              <w:ind w:left="40"/>
              <w:spacing w:before="40" w:line="219" w:lineRule="auto"/>
              <w:rPr/>
            </w:pPr>
            <w:r>
              <w:rPr>
                <w:spacing w:val="-2"/>
              </w:rPr>
              <w:t>工伤</w:t>
            </w:r>
          </w:p>
          <w:p>
            <w:pPr>
              <w:pStyle w:val="TableText"/>
              <w:ind w:left="40"/>
              <w:spacing w:before="42" w:line="220" w:lineRule="auto"/>
              <w:rPr/>
            </w:pPr>
            <w:r>
              <w:rPr>
                <w:spacing w:val="-2"/>
              </w:rPr>
              <w:t>保险</w:t>
            </w:r>
          </w:p>
          <w:p>
            <w:pPr>
              <w:pStyle w:val="TableText"/>
              <w:ind w:left="40"/>
              <w:spacing w:before="31" w:line="219" w:lineRule="auto"/>
              <w:rPr/>
            </w:pPr>
            <w:r>
              <w:rPr>
                <w:spacing w:val="3"/>
              </w:rPr>
              <w:t>费率</w:t>
            </w:r>
          </w:p>
        </w:tc>
      </w:tr>
      <w:tr>
        <w:trPr>
          <w:trHeight w:val="1812" w:hRule="atLeast"/>
        </w:trPr>
        <w:tc>
          <w:tcPr>
            <w:tcW w:w="285"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94"/>
              <w:spacing w:before="48" w:line="183" w:lineRule="auto"/>
              <w:rPr/>
            </w:pPr>
            <w:r>
              <w:rPr/>
              <w:t>2</w:t>
            </w:r>
          </w:p>
        </w:tc>
        <w:tc>
          <w:tcPr>
            <w:tcW w:w="4126" w:type="dxa"/>
            <w:vAlign w:val="top"/>
          </w:tcPr>
          <w:p>
            <w:pPr>
              <w:pStyle w:val="TableText"/>
              <w:ind w:left="30" w:right="54"/>
              <w:spacing w:before="83" w:line="245" w:lineRule="auto"/>
              <w:rPr/>
            </w:pPr>
            <w:r>
              <w:rPr>
                <w:spacing w:val="-1"/>
              </w:rPr>
              <w:t>一、继续阶段性降低部分社会保险费率。延续实施阶段性降低</w:t>
            </w:r>
            <w:r>
              <w:rPr>
                <w:spacing w:val="7"/>
              </w:rPr>
              <w:t xml:space="preserve"> </w:t>
            </w:r>
            <w:r>
              <w:rPr/>
              <w:t>失业保险、工伤保险费率政策，实施期限延长至2</w:t>
            </w:r>
            <w:r>
              <w:rPr>
                <w:spacing w:val="-1"/>
              </w:rPr>
              <w:t>024年底。</w:t>
            </w:r>
          </w:p>
          <w:p>
            <w:pPr>
              <w:pStyle w:val="TableText"/>
              <w:ind w:left="30"/>
              <w:spacing w:before="42" w:line="219" w:lineRule="auto"/>
              <w:rPr/>
            </w:pPr>
            <w:r>
              <w:rPr>
                <w:spacing w:val="-1"/>
              </w:rPr>
              <w:t>二、延续实施部分稳岗政策。对不裁员、少裁员的企业，继续</w:t>
            </w:r>
          </w:p>
          <w:p>
            <w:pPr>
              <w:pStyle w:val="TableText"/>
              <w:ind w:left="50"/>
              <w:spacing w:before="42" w:line="219" w:lineRule="auto"/>
              <w:rPr/>
            </w:pPr>
            <w:r>
              <w:rPr>
                <w:spacing w:val="-1"/>
              </w:rPr>
              <w:t>实施普惠性失业保险稳岗返还政策。</w:t>
            </w:r>
          </w:p>
          <w:p>
            <w:pPr>
              <w:pStyle w:val="TableText"/>
              <w:ind w:left="30" w:right="41"/>
              <w:spacing w:before="61" w:line="252" w:lineRule="auto"/>
              <w:rPr/>
            </w:pPr>
            <w:r>
              <w:rPr/>
              <w:t>三、加强职业技能培训。开展大规模职业技能</w:t>
            </w:r>
            <w:r>
              <w:rPr>
                <w:spacing w:val="-1"/>
              </w:rPr>
              <w:t>培训，共建共享</w:t>
            </w:r>
            <w:r>
              <w:rPr/>
              <w:t xml:space="preserve"> </w:t>
            </w:r>
            <w:r>
              <w:rPr>
                <w:spacing w:val="-1"/>
              </w:rPr>
              <w:t>一批公共实训基地。继续实施技能提升补贴政策，参加失业保</w:t>
            </w:r>
            <w:r>
              <w:rPr>
                <w:spacing w:val="17"/>
              </w:rPr>
              <w:t xml:space="preserve"> </w:t>
            </w:r>
            <w:r>
              <w:rPr>
                <w:spacing w:val="1"/>
              </w:rPr>
              <w:t>险1年以上的企业职工或领取失业保险金人员取得职业资格证</w:t>
            </w:r>
            <w:r>
              <w:rPr>
                <w:spacing w:val="13"/>
              </w:rPr>
              <w:t xml:space="preserve"> </w:t>
            </w:r>
            <w:r>
              <w:rPr/>
              <w:t>书或职业技能等级证书的，可按标准申请技能提升补贴</w:t>
            </w:r>
          </w:p>
        </w:tc>
        <w:tc>
          <w:tcPr>
            <w:tcW w:w="2517" w:type="dxa"/>
            <w:vAlign w:val="top"/>
          </w:tcPr>
          <w:p>
            <w:pPr>
              <w:pStyle w:val="TableText"/>
              <w:ind w:left="53"/>
              <w:spacing w:before="93" w:line="219" w:lineRule="auto"/>
              <w:rPr/>
            </w:pPr>
            <w:r>
              <w:rPr/>
              <w:t>国家发展改革委等部门关于</w:t>
            </w:r>
          </w:p>
          <w:p>
            <w:pPr>
              <w:pStyle w:val="TableText"/>
              <w:ind w:left="53" w:right="208"/>
              <w:spacing w:before="31" w:line="239" w:lineRule="auto"/>
              <w:rPr/>
            </w:pPr>
            <w:r>
              <w:rPr>
                <w:spacing w:val="-1"/>
              </w:rPr>
              <w:t>做好2023年降成本重点工作的通知</w:t>
            </w:r>
            <w:r>
              <w:rPr>
                <w:spacing w:val="10"/>
              </w:rPr>
              <w:t xml:space="preserve"> </w:t>
            </w:r>
            <w:r>
              <w:rPr>
                <w:spacing w:val="-1"/>
              </w:rPr>
              <w:t>发改运行〔2023〕645号</w:t>
            </w:r>
          </w:p>
        </w:tc>
        <w:tc>
          <w:tcPr>
            <w:tcW w:w="969" w:type="dxa"/>
            <w:vAlign w:val="top"/>
          </w:tcPr>
          <w:p>
            <w:pPr>
              <w:pStyle w:val="TableText"/>
              <w:ind w:left="16" w:right="11" w:firstLine="20"/>
              <w:spacing w:before="94" w:line="245"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3</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4"/>
              </w:rPr>
              <w:t>31日 至2024</w:t>
            </w:r>
            <w:r>
              <w:rPr>
                <w:spacing w:val="2"/>
              </w:rPr>
              <w:t xml:space="preserve">  </w:t>
            </w:r>
            <w:r>
              <w:rPr>
                <w:spacing w:val="-2"/>
              </w:rPr>
              <w:t>年底</w:t>
            </w:r>
          </w:p>
        </w:tc>
        <w:tc>
          <w:tcPr>
            <w:tcW w:w="969" w:type="dxa"/>
            <w:vAlign w:val="top"/>
          </w:tcPr>
          <w:p>
            <w:pPr>
              <w:pStyle w:val="TableText"/>
              <w:ind w:left="327"/>
              <w:spacing w:before="81" w:line="229" w:lineRule="auto"/>
              <w:rPr/>
            </w:pPr>
            <w:r>
              <w:rPr>
                <w:spacing w:val="-3"/>
              </w:rPr>
              <w:t>企业</w:t>
            </w:r>
          </w:p>
        </w:tc>
        <w:tc>
          <w:tcPr>
            <w:tcW w:w="389" w:type="dxa"/>
            <w:vAlign w:val="top"/>
          </w:tcPr>
          <w:p>
            <w:pPr>
              <w:pStyle w:val="TableText"/>
              <w:ind w:left="38"/>
              <w:spacing w:before="74" w:line="221" w:lineRule="auto"/>
              <w:rPr/>
            </w:pPr>
            <w:r>
              <w:rPr>
                <w:spacing w:val="-4"/>
              </w:rPr>
              <w:t>阶段</w:t>
            </w:r>
          </w:p>
          <w:p>
            <w:pPr>
              <w:pStyle w:val="TableText"/>
              <w:ind w:left="38"/>
              <w:spacing w:before="40" w:line="221" w:lineRule="auto"/>
              <w:rPr/>
            </w:pPr>
            <w:r>
              <w:rPr>
                <w:spacing w:val="-2"/>
              </w:rPr>
              <w:t>性通</w:t>
            </w:r>
          </w:p>
          <w:p>
            <w:pPr>
              <w:pStyle w:val="TableText"/>
              <w:ind w:left="119"/>
              <w:spacing w:before="41" w:line="221" w:lineRule="auto"/>
              <w:rPr/>
            </w:pPr>
            <w:r>
              <w:rPr/>
              <w:t>知</w:t>
            </w:r>
          </w:p>
        </w:tc>
        <w:tc>
          <w:tcPr>
            <w:tcW w:w="384" w:type="dxa"/>
            <w:vAlign w:val="top"/>
          </w:tcPr>
          <w:p>
            <w:pPr>
              <w:pStyle w:val="TableText"/>
              <w:ind w:left="40"/>
              <w:spacing w:before="83" w:line="219" w:lineRule="auto"/>
              <w:rPr/>
            </w:pPr>
            <w:r>
              <w:rPr>
                <w:spacing w:val="4"/>
              </w:rPr>
              <w:t>降低</w:t>
            </w:r>
          </w:p>
          <w:p>
            <w:pPr>
              <w:pStyle w:val="TableText"/>
              <w:ind w:left="40"/>
              <w:spacing w:before="42" w:line="221" w:lineRule="auto"/>
              <w:rPr/>
            </w:pPr>
            <w:r>
              <w:rPr>
                <w:spacing w:val="-3"/>
              </w:rPr>
              <w:t>失业</w:t>
            </w:r>
          </w:p>
          <w:p>
            <w:pPr>
              <w:pStyle w:val="TableText"/>
              <w:ind w:left="109"/>
              <w:spacing w:before="30" w:line="220" w:lineRule="auto"/>
              <w:rPr/>
            </w:pPr>
            <w:r>
              <w:rPr/>
              <w:t>保</w:t>
            </w:r>
          </w:p>
          <w:p>
            <w:pPr>
              <w:pStyle w:val="TableText"/>
              <w:spacing w:before="51" w:line="220" w:lineRule="auto"/>
              <w:jc w:val="right"/>
              <w:rPr/>
            </w:pPr>
            <w:r>
              <w:rPr>
                <w:spacing w:val="-22"/>
                <w:w w:val="98"/>
              </w:rPr>
              <w:t>险</w:t>
            </w:r>
            <w:r>
              <w:rPr>
                <w:spacing w:val="28"/>
              </w:rPr>
              <w:t xml:space="preserve"> </w:t>
            </w:r>
            <w:r>
              <w:rPr>
                <w:spacing w:val="-22"/>
                <w:w w:val="98"/>
              </w:rPr>
              <w:t>、</w:t>
            </w:r>
          </w:p>
          <w:p>
            <w:pPr>
              <w:pStyle w:val="TableText"/>
              <w:ind w:left="40"/>
              <w:spacing w:before="40" w:line="219" w:lineRule="auto"/>
              <w:rPr/>
            </w:pPr>
            <w:r>
              <w:rPr>
                <w:spacing w:val="-2"/>
              </w:rPr>
              <w:t>工伤</w:t>
            </w:r>
          </w:p>
          <w:p>
            <w:pPr>
              <w:pStyle w:val="TableText"/>
              <w:ind w:left="40"/>
              <w:spacing w:before="42" w:line="220" w:lineRule="auto"/>
              <w:rPr/>
            </w:pPr>
            <w:r>
              <w:rPr>
                <w:spacing w:val="-2"/>
              </w:rPr>
              <w:t>保险</w:t>
            </w:r>
          </w:p>
          <w:p>
            <w:pPr>
              <w:pStyle w:val="TableText"/>
              <w:ind w:left="40"/>
              <w:spacing w:before="31" w:line="219" w:lineRule="auto"/>
              <w:rPr/>
            </w:pPr>
            <w:r>
              <w:rPr>
                <w:spacing w:val="3"/>
              </w:rPr>
              <w:t>费率</w:t>
            </w:r>
          </w:p>
        </w:tc>
      </w:tr>
    </w:tbl>
    <w:p>
      <w:pPr>
        <w:pStyle w:val="BodyText"/>
        <w:rPr/>
      </w:pPr>
      <w:r/>
    </w:p>
    <w:p>
      <w:pPr>
        <w:sectPr>
          <w:footerReference w:type="default" r:id="rId2"/>
          <w:pgSz w:w="11910" w:h="8220"/>
          <w:pgMar w:top="400" w:right="1145" w:bottom="400" w:left="799" w:header="0" w:footer="0" w:gutter="0"/>
        </w:sectPr>
        <w:rPr/>
      </w:pPr>
    </w:p>
    <w:p>
      <w:pPr>
        <w:spacing w:before="51"/>
        <w:rPr/>
      </w:pPr>
      <w:r>
        <w:drawing>
          <wp:anchor distT="0" distB="0" distL="0" distR="0" simplePos="0" relativeHeight="251754496" behindDoc="0" locked="0" layoutInCell="0" allowOverlap="1">
            <wp:simplePos x="0" y="0"/>
            <wp:positionH relativeFrom="page">
              <wp:posOffset>514349</wp:posOffset>
            </wp:positionH>
            <wp:positionV relativeFrom="page">
              <wp:posOffset>4419624</wp:posOffset>
            </wp:positionV>
            <wp:extent cx="107921" cy="126995"/>
            <wp:effectExtent l="0" t="0" r="0" b="0"/>
            <wp:wrapNone/>
            <wp:docPr id="64" name="IM 64"/>
            <wp:cNvGraphicFramePr/>
            <a:graphic>
              <a:graphicData uri="http://schemas.openxmlformats.org/drawingml/2006/picture">
                <pic:pic>
                  <pic:nvPicPr>
                    <pic:cNvPr id="64" name="IM 64"/>
                    <pic:cNvPicPr/>
                  </pic:nvPicPr>
                  <pic:blipFill>
                    <a:blip r:embed="rId36"/>
                    <a:stretch>
                      <a:fillRect/>
                    </a:stretch>
                  </pic:blipFill>
                  <pic:spPr>
                    <a:xfrm rot="0">
                      <a:off x="0" y="0"/>
                      <a:ext cx="107921" cy="126995"/>
                    </a:xfrm>
                    <a:prstGeom prst="rect">
                      <a:avLst/>
                    </a:prstGeom>
                  </pic:spPr>
                </pic:pic>
              </a:graphicData>
            </a:graphic>
          </wp:anchor>
        </w:drawing>
      </w:r>
      <w:r/>
    </w:p>
    <w:p>
      <w:pPr>
        <w:spacing w:before="51"/>
        <w:rPr/>
      </w:pPr>
      <w:r/>
    </w:p>
    <w:tbl>
      <w:tblPr>
        <w:tblStyle w:val="TableNormal"/>
        <w:tblW w:w="964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9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86"/>
              <w:spacing w:before="171" w:line="219" w:lineRule="auto"/>
              <w:rPr/>
            </w:pPr>
            <w:r>
              <w:rPr>
                <w:spacing w:val="3"/>
              </w:rPr>
              <w:t>执行时间</w:t>
            </w:r>
          </w:p>
        </w:tc>
        <w:tc>
          <w:tcPr>
            <w:tcW w:w="969" w:type="dxa"/>
            <w:vAlign w:val="top"/>
          </w:tcPr>
          <w:p>
            <w:pPr>
              <w:pStyle w:val="TableText"/>
              <w:ind w:left="177"/>
              <w:spacing w:before="63" w:line="228"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1"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3664" w:hRule="atLeast"/>
        </w:trPr>
        <w:tc>
          <w:tcPr>
            <w:tcW w:w="285"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94"/>
              <w:spacing w:before="49" w:line="183" w:lineRule="auto"/>
              <w:rPr/>
            </w:pPr>
            <w:r>
              <w:rPr/>
              <w:t>3</w:t>
            </w:r>
          </w:p>
        </w:tc>
        <w:tc>
          <w:tcPr>
            <w:tcW w:w="4136" w:type="dxa"/>
            <w:vAlign w:val="top"/>
          </w:tcPr>
          <w:p>
            <w:pPr>
              <w:pStyle w:val="TableText"/>
              <w:ind w:left="30" w:right="313" w:firstLine="10"/>
              <w:spacing w:before="137" w:line="245" w:lineRule="auto"/>
              <w:rPr/>
            </w:pPr>
            <w:r>
              <w:rPr>
                <w:spacing w:val="-1"/>
              </w:rPr>
              <w:t>一、自2023年5月1日起，继续实施阶段性降低失业保险费</w:t>
            </w:r>
            <w:r>
              <w:rPr>
                <w:spacing w:val="9"/>
              </w:rPr>
              <w:t xml:space="preserve"> </w:t>
            </w:r>
            <w:r>
              <w:rPr>
                <w:spacing w:val="1"/>
              </w:rPr>
              <w:t>率至1%的政策，实施期限延长至2024年底。在省(区、市)</w:t>
            </w:r>
          </w:p>
          <w:p>
            <w:pPr>
              <w:pStyle w:val="TableText"/>
              <w:ind w:left="30" w:right="60"/>
              <w:spacing w:before="41" w:line="245" w:lineRule="auto"/>
              <w:rPr/>
            </w:pPr>
            <w:r>
              <w:rPr>
                <w:spacing w:val="-1"/>
              </w:rPr>
              <w:t>行政区域内，单位及个人的费率应当统一，个人费率不得超过</w:t>
            </w:r>
            <w:r>
              <w:rPr>
                <w:spacing w:val="11"/>
              </w:rPr>
              <w:t xml:space="preserve"> </w:t>
            </w:r>
            <w:r>
              <w:rPr>
                <w:spacing w:val="-1"/>
              </w:rPr>
              <w:t>单位费率。</w:t>
            </w:r>
          </w:p>
          <w:p>
            <w:pPr>
              <w:pStyle w:val="TableText"/>
              <w:ind w:left="30" w:right="313"/>
              <w:spacing w:before="42" w:line="244" w:lineRule="auto"/>
              <w:rPr/>
            </w:pPr>
            <w:r>
              <w:rPr>
                <w:spacing w:val="-1"/>
              </w:rPr>
              <w:t>二、自2023年5月1日起，按照《国务院办公厅关于印发降</w:t>
            </w:r>
            <w:r>
              <w:rPr>
                <w:spacing w:val="18"/>
                <w:w w:val="101"/>
              </w:rPr>
              <w:t xml:space="preserve"> </w:t>
            </w:r>
            <w:r>
              <w:rPr>
                <w:spacing w:val="1"/>
              </w:rPr>
              <w:t>低社会保险费率综合方案的通知》(国办发〔2019〕13号)</w:t>
            </w:r>
          </w:p>
          <w:p>
            <w:pPr>
              <w:pStyle w:val="TableText"/>
              <w:ind w:left="30" w:right="52"/>
              <w:spacing w:before="42" w:line="245" w:lineRule="auto"/>
              <w:rPr/>
            </w:pPr>
            <w:r>
              <w:rPr/>
              <w:t>有关实施条件，继续实施阶段性降低工伤保</w:t>
            </w:r>
            <w:r>
              <w:rPr>
                <w:spacing w:val="-1"/>
              </w:rPr>
              <w:t>险费率政策，实施</w:t>
            </w:r>
            <w:r>
              <w:rPr/>
              <w:t xml:space="preserve"> </w:t>
            </w:r>
            <w:r>
              <w:rPr>
                <w:spacing w:val="-1"/>
              </w:rPr>
              <w:t>期限延长至2024年底。</w:t>
            </w:r>
          </w:p>
          <w:p>
            <w:pPr>
              <w:pStyle w:val="TableText"/>
              <w:ind w:left="30" w:right="34"/>
              <w:spacing w:before="41" w:line="254" w:lineRule="auto"/>
              <w:jc w:val="both"/>
              <w:rPr/>
            </w:pPr>
            <w:r>
              <w:rPr/>
              <w:t>三、各地要加强失业保险、工伤保险基金运行</w:t>
            </w:r>
            <w:r>
              <w:rPr>
                <w:spacing w:val="-1"/>
              </w:rPr>
              <w:t>分析，平衡好降</w:t>
            </w:r>
            <w:r>
              <w:rPr/>
              <w:t xml:space="preserve"> </w:t>
            </w:r>
            <w:r>
              <w:rPr/>
              <w:t>费率与保发放之间的关系，既要确保降费率政策落实，也要确</w:t>
            </w:r>
            <w:r>
              <w:rPr>
                <w:spacing w:val="10"/>
              </w:rPr>
              <w:t xml:space="preserve"> </w:t>
            </w:r>
            <w:r>
              <w:rPr>
                <w:spacing w:val="-1"/>
              </w:rPr>
              <w:t>保待遇按时足额发放，确保制度运行安全平稳可持续</w:t>
            </w:r>
          </w:p>
          <w:p>
            <w:pPr>
              <w:pStyle w:val="TableText"/>
              <w:ind w:left="30" w:right="36"/>
              <w:spacing w:before="41" w:line="254" w:lineRule="auto"/>
              <w:jc w:val="both"/>
              <w:rPr/>
            </w:pPr>
            <w:r>
              <w:rPr/>
              <w:t>四、各地要继续按照国家有关规定进一步规范缴费比例、缴费</w:t>
            </w:r>
            <w:r>
              <w:rPr>
                <w:spacing w:val="8"/>
              </w:rPr>
              <w:t xml:space="preserve"> </w:t>
            </w:r>
            <w:r>
              <w:rPr/>
              <w:t>基数等相关政策，不得自行出台降低缴费基数</w:t>
            </w:r>
            <w:r>
              <w:rPr>
                <w:spacing w:val="-1"/>
              </w:rPr>
              <w:t>、减免社会保险</w:t>
            </w:r>
            <w:r>
              <w:rPr/>
              <w:t xml:space="preserve"> </w:t>
            </w:r>
            <w:r>
              <w:rPr/>
              <w:t>费等减少基金收入的政策。</w:t>
            </w:r>
          </w:p>
          <w:p>
            <w:pPr>
              <w:pStyle w:val="TableText"/>
              <w:ind w:left="30" w:right="54"/>
              <w:spacing w:before="41" w:line="245" w:lineRule="auto"/>
              <w:rPr/>
            </w:pPr>
            <w:r>
              <w:rPr>
                <w:spacing w:val="-1"/>
              </w:rPr>
              <w:t>五、各地人力资源社会保障、税务部门要按规定开展降费核算</w:t>
            </w:r>
            <w:r>
              <w:rPr>
                <w:spacing w:val="17"/>
              </w:rPr>
              <w:t xml:space="preserve"> </w:t>
            </w:r>
            <w:r>
              <w:rPr>
                <w:spacing w:val="-1"/>
              </w:rPr>
              <w:t>工作，并按月及时上报有关情况</w:t>
            </w:r>
          </w:p>
        </w:tc>
        <w:tc>
          <w:tcPr>
            <w:tcW w:w="2527" w:type="dxa"/>
            <w:vAlign w:val="top"/>
          </w:tcPr>
          <w:p>
            <w:pPr>
              <w:pStyle w:val="TableText"/>
              <w:ind w:left="33"/>
              <w:spacing w:before="137" w:line="219" w:lineRule="auto"/>
              <w:rPr/>
            </w:pPr>
            <w:r>
              <w:rPr>
                <w:spacing w:val="-1"/>
              </w:rPr>
              <w:t>人社部发〔2023〕19号</w:t>
            </w:r>
          </w:p>
        </w:tc>
        <w:tc>
          <w:tcPr>
            <w:tcW w:w="949" w:type="dxa"/>
            <w:vAlign w:val="top"/>
          </w:tcPr>
          <w:p>
            <w:pPr>
              <w:pStyle w:val="TableText"/>
              <w:ind w:left="16" w:right="16" w:firstLine="10"/>
              <w:spacing w:before="138" w:line="250" w:lineRule="auto"/>
              <w:rPr/>
            </w:pPr>
            <w:r>
              <w:rPr>
                <w:spacing w:val="18"/>
              </w:rPr>
              <w:t>2023年5月1</w:t>
            </w:r>
            <w:r>
              <w:rPr/>
              <w:t xml:space="preserve"> </w:t>
            </w:r>
            <w:r>
              <w:rPr>
                <w:spacing w:val="2"/>
              </w:rPr>
              <w:t>日至2024年  </w:t>
            </w:r>
            <w:r>
              <w:rPr/>
              <w:t>底</w:t>
            </w:r>
          </w:p>
        </w:tc>
        <w:tc>
          <w:tcPr>
            <w:tcW w:w="969" w:type="dxa"/>
            <w:vAlign w:val="top"/>
          </w:tcPr>
          <w:p>
            <w:pPr>
              <w:pStyle w:val="TableText"/>
              <w:ind w:left="327"/>
              <w:spacing w:before="135" w:line="229" w:lineRule="auto"/>
              <w:rPr/>
            </w:pPr>
            <w:r>
              <w:rPr>
                <w:spacing w:val="-3"/>
              </w:rPr>
              <w:t>企业</w:t>
            </w:r>
          </w:p>
        </w:tc>
        <w:tc>
          <w:tcPr>
            <w:tcW w:w="389" w:type="dxa"/>
            <w:vAlign w:val="top"/>
          </w:tcPr>
          <w:p>
            <w:pPr>
              <w:pStyle w:val="TableText"/>
              <w:ind w:left="38"/>
              <w:spacing w:before="128" w:line="221" w:lineRule="auto"/>
              <w:rPr/>
            </w:pPr>
            <w:r>
              <w:rPr>
                <w:spacing w:val="-4"/>
              </w:rPr>
              <w:t>阶段</w:t>
            </w:r>
          </w:p>
          <w:p>
            <w:pPr>
              <w:pStyle w:val="TableText"/>
              <w:ind w:left="38"/>
              <w:spacing w:before="30" w:line="221" w:lineRule="auto"/>
              <w:rPr/>
            </w:pPr>
            <w:r>
              <w:rPr>
                <w:spacing w:val="-2"/>
              </w:rPr>
              <w:t>性通</w:t>
            </w:r>
          </w:p>
          <w:p>
            <w:pPr>
              <w:pStyle w:val="TableText"/>
              <w:ind w:left="119"/>
              <w:spacing w:before="51" w:line="221" w:lineRule="auto"/>
              <w:rPr/>
            </w:pPr>
            <w:r>
              <w:rPr/>
              <w:t>知</w:t>
            </w:r>
          </w:p>
        </w:tc>
        <w:tc>
          <w:tcPr>
            <w:tcW w:w="394" w:type="dxa"/>
            <w:vAlign w:val="top"/>
          </w:tcPr>
          <w:p>
            <w:pPr>
              <w:pStyle w:val="TableText"/>
              <w:ind w:left="40" w:right="34"/>
              <w:spacing w:before="117" w:line="262" w:lineRule="auto"/>
              <w:rPr/>
            </w:pPr>
            <w:r>
              <w:rPr>
                <w:spacing w:val="4"/>
              </w:rPr>
              <w:t>降低</w:t>
            </w:r>
            <w:r>
              <w:rPr/>
              <w:t xml:space="preserve"> </w:t>
            </w:r>
            <w:r>
              <w:rPr>
                <w:spacing w:val="-5"/>
              </w:rPr>
              <w:t>失业</w:t>
            </w:r>
            <w:r>
              <w:rPr/>
              <w:t xml:space="preserve"> </w:t>
            </w:r>
            <w:r>
              <w:rPr/>
              <w:t>保</w:t>
            </w:r>
          </w:p>
          <w:p>
            <w:pPr>
              <w:pStyle w:val="TableText"/>
              <w:ind w:left="30"/>
              <w:spacing w:before="31" w:line="220" w:lineRule="auto"/>
              <w:rPr/>
            </w:pPr>
            <w:r>
              <w:rPr/>
              <w:t>险</w:t>
            </w:r>
          </w:p>
          <w:p>
            <w:pPr>
              <w:pStyle w:val="TableText"/>
              <w:ind w:left="40" w:right="37"/>
              <w:spacing w:before="29" w:line="254" w:lineRule="auto"/>
              <w:rPr/>
            </w:pPr>
            <w:r>
              <w:rPr>
                <w:spacing w:val="-4"/>
              </w:rPr>
              <w:t>工伤</w:t>
            </w:r>
            <w:r>
              <w:rPr/>
              <w:t xml:space="preserve"> </w:t>
            </w:r>
            <w:r>
              <w:rPr>
                <w:spacing w:val="-4"/>
              </w:rPr>
              <w:t>保险</w:t>
            </w:r>
            <w:r>
              <w:rPr/>
              <w:t xml:space="preserve"> </w:t>
            </w:r>
            <w:r>
              <w:rPr>
                <w:spacing w:val="3"/>
              </w:rPr>
              <w:t>费率</w:t>
            </w:r>
          </w:p>
        </w:tc>
      </w:tr>
      <w:tr>
        <w:trPr>
          <w:trHeight w:val="2121" w:hRule="atLeast"/>
        </w:trPr>
        <w:tc>
          <w:tcPr>
            <w:tcW w:w="285"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94"/>
              <w:spacing w:before="48" w:line="183" w:lineRule="auto"/>
              <w:rPr/>
            </w:pPr>
            <w:r>
              <w:rPr/>
              <w:t>4</w:t>
            </w:r>
          </w:p>
        </w:tc>
        <w:tc>
          <w:tcPr>
            <w:tcW w:w="4136" w:type="dxa"/>
            <w:vAlign w:val="top"/>
          </w:tcPr>
          <w:p>
            <w:pPr>
              <w:pStyle w:val="TableText"/>
              <w:ind w:left="30" w:right="5" w:hanging="20"/>
              <w:spacing w:before="141" w:line="262" w:lineRule="auto"/>
              <w:rPr/>
            </w:pPr>
            <w:r>
              <w:rPr>
                <w:spacing w:val="-3"/>
              </w:rPr>
              <w:t>一、扩大实施缓缴政策的困难行业范围。在对餐</w:t>
            </w:r>
            <w:r>
              <w:rPr>
                <w:spacing w:val="-4"/>
              </w:rPr>
              <w:t>饮、零售、旅游</w:t>
            </w:r>
            <w:r>
              <w:rPr/>
              <w:t xml:space="preserve"> </w:t>
            </w:r>
            <w:r>
              <w:rPr>
                <w:spacing w:val="1"/>
              </w:rPr>
              <w:t>民航、公路水路铁路运输等5个特困行业实施阶段性缓缴三项</w:t>
            </w:r>
            <w:r>
              <w:rPr>
                <w:spacing w:val="8"/>
              </w:rPr>
              <w:t xml:space="preserve">  </w:t>
            </w:r>
            <w:r>
              <w:rPr>
                <w:spacing w:val="-1"/>
              </w:rPr>
              <w:t>社保费政策的基础上，以产业链供应链受疫情影响较大、生产 </w:t>
            </w:r>
            <w:r>
              <w:rPr>
                <w:spacing w:val="1"/>
              </w:rPr>
              <w:t>经营困难的制造业企业为重点，进一步扩大实施范围(具体行</w:t>
            </w:r>
            <w:r>
              <w:rPr>
                <w:spacing w:val="2"/>
              </w:rPr>
              <w:t xml:space="preserve">  </w:t>
            </w:r>
            <w:r>
              <w:rPr>
                <w:spacing w:val="1"/>
              </w:rPr>
              <w:t>业名单附后)。缓缴扩围行业所属困难企业，可申请缓缴三项</w:t>
            </w:r>
            <w:r>
              <w:rPr>
                <w:spacing w:val="3"/>
              </w:rPr>
              <w:t xml:space="preserve">  </w:t>
            </w:r>
            <w:r>
              <w:rPr>
                <w:spacing w:val="-1"/>
              </w:rPr>
              <w:t>社保费单位缴费部分，其中养老保险费缓缴实施期限到2022年 </w:t>
            </w:r>
            <w:r>
              <w:rPr/>
              <w:t>年底，工伤、失业保险费缓缴期限不超过1</w:t>
            </w:r>
            <w:r>
              <w:rPr>
                <w:spacing w:val="-1"/>
              </w:rPr>
              <w:t>年。原明确的5个</w:t>
            </w:r>
          </w:p>
          <w:p>
            <w:pPr>
              <w:pStyle w:val="TableText"/>
              <w:ind w:left="20" w:right="51" w:firstLine="10"/>
              <w:spacing w:before="41" w:line="245" w:lineRule="auto"/>
              <w:rPr/>
            </w:pPr>
            <w:r>
              <w:rPr/>
              <w:t>特困行业缓缴养老保险费期限相应延长至2022</w:t>
            </w:r>
            <w:r>
              <w:rPr>
                <w:spacing w:val="-1"/>
              </w:rPr>
              <w:t>年年底。缓缴期</w:t>
            </w:r>
            <w:r>
              <w:rPr/>
              <w:t xml:space="preserve"> </w:t>
            </w:r>
            <w:r>
              <w:rPr>
                <w:spacing w:val="-1"/>
              </w:rPr>
              <w:t>间免收滞纳金。</w:t>
            </w:r>
          </w:p>
        </w:tc>
        <w:tc>
          <w:tcPr>
            <w:tcW w:w="2527" w:type="dxa"/>
            <w:vAlign w:val="top"/>
          </w:tcPr>
          <w:p>
            <w:pPr>
              <w:pStyle w:val="TableText"/>
              <w:ind w:left="33" w:right="66"/>
              <w:spacing w:before="142" w:line="255" w:lineRule="auto"/>
              <w:jc w:val="both"/>
              <w:rPr/>
            </w:pPr>
            <w:r>
              <w:rPr>
                <w:spacing w:val="-1"/>
              </w:rPr>
              <w:t>人社部、国家发改委、财政部、税务</w:t>
            </w:r>
            <w:r>
              <w:rPr>
                <w:spacing w:val="7"/>
              </w:rPr>
              <w:t xml:space="preserve"> </w:t>
            </w:r>
            <w:r>
              <w:rPr>
                <w:spacing w:val="-1"/>
              </w:rPr>
              <w:t>总局《关于扩大阶段性缓缴社会保险</w:t>
            </w:r>
            <w:r>
              <w:rPr>
                <w:spacing w:val="5"/>
              </w:rPr>
              <w:t xml:space="preserve"> </w:t>
            </w:r>
            <w:r>
              <w:rPr>
                <w:spacing w:val="1"/>
              </w:rPr>
              <w:t>费政策实施范围等问题的通知》人社</w:t>
            </w:r>
            <w:r>
              <w:rPr/>
              <w:t xml:space="preserve"> </w:t>
            </w:r>
            <w:r>
              <w:rPr>
                <w:spacing w:val="-1"/>
              </w:rPr>
              <w:t>部发〔2022〕31号</w:t>
            </w:r>
          </w:p>
        </w:tc>
        <w:tc>
          <w:tcPr>
            <w:tcW w:w="949" w:type="dxa"/>
            <w:vAlign w:val="top"/>
          </w:tcPr>
          <w:p>
            <w:pPr>
              <w:pStyle w:val="TableText"/>
              <w:ind w:left="16" w:right="11"/>
              <w:spacing w:before="133" w:line="250" w:lineRule="auto"/>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2</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2"/>
              </w:rPr>
              <w:t>31日(文件签</w:t>
            </w:r>
            <w:r>
              <w:rPr>
                <w:spacing w:val="2"/>
              </w:rPr>
              <w:t xml:space="preserve">  </w:t>
            </w:r>
            <w:r>
              <w:rPr>
                <w:spacing w:val="11"/>
              </w:rPr>
              <w:t>发日期)</w:t>
            </w:r>
          </w:p>
        </w:tc>
        <w:tc>
          <w:tcPr>
            <w:tcW w:w="969" w:type="dxa"/>
            <w:vAlign w:val="top"/>
          </w:tcPr>
          <w:p>
            <w:pPr>
              <w:pStyle w:val="TableText"/>
              <w:ind w:left="177"/>
              <w:spacing w:before="133" w:line="220" w:lineRule="auto"/>
              <w:rPr/>
            </w:pPr>
            <w:r>
              <w:rPr>
                <w:spacing w:val="1"/>
              </w:rPr>
              <w:t>困难行业</w:t>
            </w:r>
          </w:p>
        </w:tc>
        <w:tc>
          <w:tcPr>
            <w:tcW w:w="389" w:type="dxa"/>
            <w:vAlign w:val="top"/>
          </w:tcPr>
          <w:p>
            <w:pPr>
              <w:pStyle w:val="TableText"/>
              <w:ind w:left="38"/>
              <w:spacing w:before="123" w:line="221" w:lineRule="auto"/>
              <w:rPr/>
            </w:pPr>
            <w:r>
              <w:rPr>
                <w:spacing w:val="-4"/>
              </w:rPr>
              <w:t>阶段</w:t>
            </w:r>
          </w:p>
          <w:p>
            <w:pPr>
              <w:pStyle w:val="TableText"/>
              <w:ind w:left="38"/>
              <w:spacing w:before="40" w:line="221" w:lineRule="auto"/>
              <w:rPr/>
            </w:pPr>
            <w:r>
              <w:rPr>
                <w:spacing w:val="-2"/>
              </w:rPr>
              <w:t>性通</w:t>
            </w:r>
          </w:p>
          <w:p>
            <w:pPr>
              <w:pStyle w:val="TableText"/>
              <w:ind w:left="119"/>
              <w:spacing w:before="41" w:line="221" w:lineRule="auto"/>
              <w:rPr/>
            </w:pPr>
            <w:r>
              <w:rPr/>
              <w:t>知</w:t>
            </w:r>
          </w:p>
        </w:tc>
        <w:tc>
          <w:tcPr>
            <w:tcW w:w="394" w:type="dxa"/>
            <w:vAlign w:val="top"/>
          </w:tcPr>
          <w:p>
            <w:pPr>
              <w:pStyle w:val="TableText"/>
              <w:ind w:left="40"/>
              <w:spacing w:before="123" w:line="219" w:lineRule="auto"/>
              <w:rPr/>
            </w:pPr>
            <w:r>
              <w:rPr>
                <w:spacing w:val="-2"/>
              </w:rPr>
              <w:t>缓缴</w:t>
            </w:r>
          </w:p>
        </w:tc>
      </w:tr>
    </w:tbl>
    <w:p>
      <w:pPr>
        <w:pStyle w:val="BodyText"/>
        <w:rPr/>
      </w:pPr>
      <w:r/>
    </w:p>
    <w:p>
      <w:pPr>
        <w:sectPr>
          <w:pgSz w:w="11910" w:h="8220"/>
          <w:pgMar w:top="400" w:right="1135" w:bottom="400" w:left="809" w:header="0" w:footer="0" w:gutter="0"/>
        </w:sectPr>
        <w:rPr/>
      </w:pPr>
    </w:p>
    <w:p>
      <w:pPr>
        <w:spacing w:before="46"/>
        <w:rPr/>
      </w:pPr>
      <w:r>
        <w:pict>
          <v:shape id="_x0000_s114" style="position:absolute;margin-left:38.9997pt;margin-top:50.6674pt;mso-position-vertical-relative:page;mso-position-horizontal-relative:page;width:10.25pt;height:15.05pt;z-index:251755520;" o:allowincell="f" filled="false" stroked="false" type="#_x0000_t202">
            <v:fill on="false"/>
            <v:stroke on="false"/>
            <v:path/>
            <v:imagedata o:title=""/>
            <o:lock v:ext="edit" aspectratio="false"/>
            <v:textbox inset="0mm,0mm,0mm,0mm">
              <w:txbxContent>
                <w:p>
                  <w:pPr>
                    <w:spacing w:before="20" w:line="221" w:lineRule="auto"/>
                    <w:jc w:val="right"/>
                    <w:rPr>
                      <w:rFonts w:ascii="STCaiyun" w:hAnsi="STCaiyun" w:eastAsia="STCaiyun" w:cs="STCaiyun"/>
                      <w:sz w:val="21"/>
                      <w:szCs w:val="21"/>
                    </w:rPr>
                  </w:pPr>
                  <w:r>
                    <w:rPr>
                      <w:rFonts w:ascii="STCaiyun" w:hAnsi="STCaiyun" w:eastAsia="STCaiyun" w:cs="STCaiyun"/>
                      <w:sz w:val="21"/>
                      <w:szCs w:val="21"/>
                      <w:spacing w:val="-9"/>
                      <w:w w:val="82"/>
                    </w:rPr>
                    <w:t>品</w:t>
                  </w:r>
                </w:p>
              </w:txbxContent>
            </v:textbox>
          </v:shape>
        </w:pict>
      </w:r>
      <w:r/>
    </w:p>
    <w:p>
      <w:pPr>
        <w:spacing w:before="46"/>
        <w:rPr/>
      </w:pPr>
      <w:r/>
    </w:p>
    <w:tbl>
      <w:tblPr>
        <w:tblStyle w:val="TableNormal"/>
        <w:tblW w:w="962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07"/>
        <w:gridCol w:w="969"/>
        <w:gridCol w:w="979"/>
        <w:gridCol w:w="369"/>
        <w:gridCol w:w="384"/>
      </w:tblGrid>
      <w:tr>
        <w:trPr>
          <w:trHeight w:val="514" w:hRule="atLeast"/>
        </w:trPr>
        <w:tc>
          <w:tcPr>
            <w:tcW w:w="295" w:type="dxa"/>
            <w:vAlign w:val="top"/>
            <w:textDirection w:val="tbRlV"/>
          </w:tcPr>
          <w:p>
            <w:pPr>
              <w:pStyle w:val="TableText"/>
              <w:ind w:left="67"/>
              <w:spacing w:before="70" w:line="217" w:lineRule="auto"/>
              <w:rPr/>
            </w:pPr>
            <w:r>
              <w:rPr>
                <w:spacing w:val="-2"/>
              </w:rPr>
              <w:t>序 号</w:t>
            </w:r>
          </w:p>
        </w:tc>
        <w:tc>
          <w:tcPr>
            <w:tcW w:w="4126" w:type="dxa"/>
            <w:vAlign w:val="top"/>
          </w:tcPr>
          <w:p>
            <w:pPr>
              <w:pStyle w:val="TableText"/>
              <w:ind w:left="1749"/>
              <w:spacing w:before="181" w:line="219" w:lineRule="auto"/>
              <w:rPr/>
            </w:pPr>
            <w:r>
              <w:rPr>
                <w:spacing w:val="-2"/>
              </w:rPr>
              <w:t>主要内容</w:t>
            </w:r>
          </w:p>
        </w:tc>
        <w:tc>
          <w:tcPr>
            <w:tcW w:w="2507" w:type="dxa"/>
            <w:vAlign w:val="top"/>
          </w:tcPr>
          <w:p>
            <w:pPr>
              <w:pStyle w:val="TableText"/>
              <w:ind w:left="953"/>
              <w:spacing w:before="180" w:line="219" w:lineRule="auto"/>
              <w:rPr/>
            </w:pPr>
            <w:r>
              <w:rPr>
                <w:spacing w:val="-1"/>
              </w:rPr>
              <w:t>政策依据</w:t>
            </w:r>
          </w:p>
        </w:tc>
        <w:tc>
          <w:tcPr>
            <w:tcW w:w="969" w:type="dxa"/>
            <w:vAlign w:val="top"/>
          </w:tcPr>
          <w:p>
            <w:pPr>
              <w:pStyle w:val="TableText"/>
              <w:ind w:left="177"/>
              <w:spacing w:before="181" w:line="219" w:lineRule="auto"/>
              <w:rPr/>
            </w:pPr>
            <w:r>
              <w:rPr>
                <w:spacing w:val="3"/>
              </w:rPr>
              <w:t>执行时间</w:t>
            </w:r>
          </w:p>
        </w:tc>
        <w:tc>
          <w:tcPr>
            <w:tcW w:w="979" w:type="dxa"/>
            <w:vAlign w:val="top"/>
          </w:tcPr>
          <w:p>
            <w:pPr>
              <w:pStyle w:val="TableText"/>
              <w:ind w:left="336" w:right="193" w:hanging="149"/>
              <w:spacing w:before="82" w:line="250" w:lineRule="auto"/>
              <w:rPr/>
            </w:pPr>
            <w:r>
              <w:rPr>
                <w:spacing w:val="-4"/>
              </w:rPr>
              <w:t>惠及企业</w:t>
            </w:r>
            <w:r>
              <w:rPr>
                <w:spacing w:val="2"/>
              </w:rPr>
              <w:t xml:space="preserve"> </w:t>
            </w:r>
            <w:r>
              <w:rPr>
                <w:spacing w:val="-2"/>
              </w:rPr>
              <w:t>类型</w:t>
            </w:r>
          </w:p>
        </w:tc>
        <w:tc>
          <w:tcPr>
            <w:tcW w:w="369" w:type="dxa"/>
            <w:vAlign w:val="top"/>
          </w:tcPr>
          <w:p>
            <w:pPr>
              <w:pStyle w:val="TableText"/>
              <w:ind w:left="28" w:right="35"/>
              <w:spacing w:before="7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81"/>
              <w:rPr/>
            </w:pPr>
            <w:r>
              <w:rPr>
                <w:spacing w:val="-3"/>
              </w:rPr>
              <w:t>政策</w:t>
            </w:r>
            <w:r>
              <w:rPr/>
              <w:t xml:space="preserve"> </w:t>
            </w:r>
            <w:r>
              <w:rPr>
                <w:spacing w:val="-4"/>
              </w:rPr>
              <w:t>形式</w:t>
            </w:r>
          </w:p>
        </w:tc>
      </w:tr>
      <w:tr>
        <w:trPr>
          <w:trHeight w:val="5736" w:hRule="atLeast"/>
        </w:trPr>
        <w:tc>
          <w:tcPr>
            <w:tcW w:w="295"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4"/>
              <w:spacing w:before="48" w:line="183" w:lineRule="auto"/>
              <w:rPr/>
            </w:pPr>
            <w:r>
              <w:rPr/>
              <w:t>4</w:t>
            </w:r>
          </w:p>
        </w:tc>
        <w:tc>
          <w:tcPr>
            <w:tcW w:w="4126" w:type="dxa"/>
            <w:vAlign w:val="top"/>
          </w:tcPr>
          <w:p>
            <w:pPr>
              <w:pStyle w:val="TableText"/>
              <w:ind w:left="30" w:right="41"/>
              <w:spacing w:before="56" w:line="254" w:lineRule="auto"/>
              <w:jc w:val="both"/>
              <w:rPr/>
            </w:pPr>
            <w:r>
              <w:rPr>
                <w:spacing w:val="-1"/>
              </w:rPr>
              <w:t>二、对受疫情影响较大、生产经营困难的中小微企业实施缓缴</w:t>
            </w:r>
            <w:r>
              <w:rPr>
                <w:spacing w:val="17"/>
              </w:rPr>
              <w:t xml:space="preserve"> </w:t>
            </w:r>
            <w:r>
              <w:rPr/>
              <w:t>政策。受疫情影响严重地区生产经营出现暂时</w:t>
            </w:r>
            <w:r>
              <w:rPr>
                <w:spacing w:val="-1"/>
              </w:rPr>
              <w:t>困难的所有中小</w:t>
            </w:r>
            <w:r>
              <w:rPr/>
              <w:t xml:space="preserve"> </w:t>
            </w:r>
            <w:r>
              <w:rPr/>
              <w:t>微企业、以单位方式参保的个体工商户，可申</w:t>
            </w:r>
            <w:r>
              <w:rPr>
                <w:spacing w:val="-1"/>
              </w:rPr>
              <w:t>请缓缴三项社保</w:t>
            </w:r>
          </w:p>
          <w:p>
            <w:pPr>
              <w:pStyle w:val="TableText"/>
              <w:ind w:left="20" w:right="43" w:firstLine="79"/>
              <w:spacing w:before="61" w:line="255" w:lineRule="auto"/>
              <w:rPr/>
            </w:pPr>
            <w:r>
              <w:rPr/>
              <w:t>费单位缴费部分，缓缴实施期限到2022年年底，期间免收滞</w:t>
            </w:r>
            <w:r>
              <w:rPr>
                <w:spacing w:val="3"/>
              </w:rPr>
              <w:t xml:space="preserve">  </w:t>
            </w:r>
            <w:r>
              <w:rPr/>
              <w:t>纳金。参加企业职工基本养老保险的事业单位及社会团体、基</w:t>
            </w:r>
            <w:r>
              <w:rPr>
                <w:spacing w:val="1"/>
              </w:rPr>
              <w:t xml:space="preserve"> </w:t>
            </w:r>
            <w:r>
              <w:rPr/>
              <w:t>金会、社会服务机构、律师事务所、会计师事务所等社会组织</w:t>
            </w:r>
            <w:r>
              <w:rPr>
                <w:spacing w:val="1"/>
              </w:rPr>
              <w:t xml:space="preserve"> </w:t>
            </w:r>
            <w:r>
              <w:rPr>
                <w:spacing w:val="-2"/>
              </w:rPr>
              <w:t>参照执行</w:t>
            </w:r>
          </w:p>
          <w:p>
            <w:pPr>
              <w:pStyle w:val="TableText"/>
              <w:ind w:left="20" w:right="121" w:firstLine="79"/>
              <w:spacing w:before="32" w:line="251" w:lineRule="auto"/>
              <w:rPr/>
            </w:pPr>
            <w:r>
              <w:rPr/>
              <w:t>三、进一步发挥失业保险稳岗作用。加大稳</w:t>
            </w:r>
            <w:r>
              <w:rPr>
                <w:spacing w:val="-1"/>
              </w:rPr>
              <w:t>岗返还支持力度</w:t>
            </w:r>
            <w:r>
              <w:rPr/>
              <w:t xml:space="preserve"> </w:t>
            </w:r>
            <w:r>
              <w:rPr/>
              <w:t>将大型企业稳岗返还比例由30%提至50%。拓</w:t>
            </w:r>
            <w:r>
              <w:rPr>
                <w:spacing w:val="-1"/>
              </w:rPr>
              <w:t>宽一次性留工</w:t>
            </w:r>
          </w:p>
          <w:p>
            <w:pPr>
              <w:pStyle w:val="TableText"/>
              <w:ind w:left="20" w:right="202"/>
              <w:spacing w:before="52" w:line="244" w:lineRule="auto"/>
              <w:rPr/>
            </w:pPr>
            <w:r>
              <w:rPr>
                <w:spacing w:val="-1"/>
              </w:rPr>
              <w:t>培训补助受益范围，由出现中高风险疫情地区的中小微企业</w:t>
            </w:r>
            <w:r>
              <w:rPr>
                <w:spacing w:val="18"/>
              </w:rPr>
              <w:t xml:space="preserve"> </w:t>
            </w:r>
            <w:r>
              <w:rPr/>
              <w:t>扩大至该地区的大型企业；各省(自治区、</w:t>
            </w:r>
            <w:r>
              <w:rPr>
                <w:spacing w:val="-1"/>
              </w:rPr>
              <w:t>直辖市)还可根</w:t>
            </w:r>
          </w:p>
          <w:p>
            <w:pPr>
              <w:pStyle w:val="TableText"/>
              <w:ind w:left="20" w:right="17" w:firstLine="10"/>
              <w:spacing w:before="44" w:line="260" w:lineRule="auto"/>
              <w:rPr/>
            </w:pPr>
            <w:r>
              <w:rPr/>
              <w:t>据当地受疫情影响程度以及基金结余情况，进一步拓展至未出</w:t>
            </w:r>
            <w:r>
              <w:rPr>
                <w:spacing w:val="17"/>
              </w:rPr>
              <w:t xml:space="preserve"> </w:t>
            </w:r>
            <w:r>
              <w:rPr/>
              <w:t>现中高风险疫情地区的餐饮、零售、旅游、民航和公路水路铁</w:t>
            </w:r>
            <w:r>
              <w:rPr>
                <w:spacing w:val="1"/>
              </w:rPr>
              <w:t xml:space="preserve"> </w:t>
            </w:r>
            <w:r>
              <w:rPr>
                <w:spacing w:val="2"/>
              </w:rPr>
              <w:t>路运输5个行业企业。上述两项政策实施条</w:t>
            </w:r>
            <w:r>
              <w:rPr>
                <w:spacing w:val="1"/>
              </w:rPr>
              <w:t>件和期限与《关于 </w:t>
            </w:r>
            <w:r>
              <w:rPr>
                <w:spacing w:val="1"/>
              </w:rPr>
              <w:t>做好失业保险稳岗位提技能防失业工作的通知》(人社部发〔</w:t>
            </w:r>
            <w:r>
              <w:rPr>
                <w:spacing w:val="8"/>
              </w:rPr>
              <w:t xml:space="preserve">  </w:t>
            </w:r>
            <w:r>
              <w:rPr/>
              <w:t>2022〕23号)一致。企业招用毕业年度</w:t>
            </w:r>
            <w:r>
              <w:rPr>
                <w:spacing w:val="-1"/>
              </w:rPr>
              <w:t>高校毕业生，签订劳</w:t>
            </w:r>
          </w:p>
          <w:p>
            <w:pPr>
              <w:pStyle w:val="TableText"/>
              <w:ind w:left="30"/>
              <w:spacing w:before="42" w:line="219" w:lineRule="auto"/>
              <w:rPr/>
            </w:pPr>
            <w:r>
              <w:rPr/>
              <w:t>动合同并参加失业保险的，可按每人不超过</w:t>
            </w:r>
            <w:r>
              <w:rPr>
                <w:spacing w:val="-1"/>
              </w:rPr>
              <w:t>1500元的标准</w:t>
            </w:r>
          </w:p>
          <w:p>
            <w:pPr>
              <w:pStyle w:val="TableText"/>
              <w:ind w:left="30"/>
              <w:spacing w:before="32" w:line="219" w:lineRule="auto"/>
              <w:rPr/>
            </w:pPr>
            <w:r>
              <w:rPr>
                <w:spacing w:val="-1"/>
              </w:rPr>
              <w:t>发放一次性扩岗补助，具体补助标准由各省份确定，与一次性</w:t>
            </w:r>
          </w:p>
          <w:p>
            <w:pPr>
              <w:pStyle w:val="TableText"/>
              <w:ind w:left="30"/>
              <w:spacing w:before="42" w:line="219" w:lineRule="auto"/>
              <w:rPr/>
            </w:pPr>
            <w:r>
              <w:rPr/>
              <w:t>吸纳就业补贴政策不重复享受，实施期限截至2022年年底</w:t>
            </w:r>
          </w:p>
          <w:p>
            <w:pPr>
              <w:pStyle w:val="TableText"/>
              <w:ind w:left="30" w:right="28"/>
              <w:spacing w:before="53" w:line="258" w:lineRule="auto"/>
              <w:rPr/>
            </w:pPr>
            <w:r>
              <w:rPr/>
              <w:t>四、规范缓缴实施办法。申请缓缴的企业应符合受疫情影响生</w:t>
            </w:r>
            <w:r>
              <w:rPr>
                <w:spacing w:val="6"/>
              </w:rPr>
              <w:t xml:space="preserve"> </w:t>
            </w:r>
            <w:r>
              <w:rPr/>
              <w:t>产经营出现暂时困难、处于亏损状态等条件。</w:t>
            </w:r>
            <w:r>
              <w:rPr>
                <w:spacing w:val="-1"/>
              </w:rPr>
              <w:t>各省份要结合地</w:t>
            </w:r>
            <w:r>
              <w:rPr/>
              <w:t xml:space="preserve"> </w:t>
            </w:r>
            <w:r>
              <w:rPr/>
              <w:t>方实际和基金承受能力，在确保养老金等各</w:t>
            </w:r>
            <w:r>
              <w:rPr>
                <w:spacing w:val="-1"/>
              </w:rPr>
              <w:t>项社会保险待遇按</w:t>
            </w:r>
            <w:r>
              <w:rPr/>
              <w:t xml:space="preserve"> </w:t>
            </w:r>
            <w:r>
              <w:rPr>
                <w:spacing w:val="-1"/>
              </w:rPr>
              <w:t>时足额发放的基础上，制定具体实施办法，明确实施程序、缓</w:t>
            </w:r>
            <w:r>
              <w:rPr>
                <w:spacing w:val="13"/>
              </w:rPr>
              <w:t xml:space="preserve"> </w:t>
            </w:r>
            <w:r>
              <w:rPr/>
              <w:t>缴期限、困难企业和受疫情影响严重地区认定标</w:t>
            </w:r>
            <w:r>
              <w:rPr>
                <w:spacing w:val="-1"/>
              </w:rPr>
              <w:t>准、审批流程</w:t>
            </w:r>
            <w:r>
              <w:rPr/>
              <w:t xml:space="preserve"> </w:t>
            </w:r>
            <w:r>
              <w:rPr>
                <w:spacing w:val="2"/>
              </w:rPr>
              <w:t>和工作机制等，可授权县(区)人力资源社会保障部门会同相</w:t>
            </w:r>
            <w:r>
              <w:rPr>
                <w:spacing w:val="4"/>
              </w:rPr>
              <w:t xml:space="preserve">  </w:t>
            </w:r>
            <w:r>
              <w:rPr>
                <w:spacing w:val="2"/>
              </w:rPr>
              <w:t>关部门负责审批。各县(区)要严格把握适用范围和条件，不</w:t>
            </w:r>
          </w:p>
        </w:tc>
        <w:tc>
          <w:tcPr>
            <w:tcW w:w="2507" w:type="dxa"/>
            <w:vAlign w:val="top"/>
          </w:tcPr>
          <w:p>
            <w:pPr>
              <w:rPr>
                <w:rFonts w:ascii="Arial"/>
                <w:sz w:val="21"/>
              </w:rPr>
            </w:pPr>
            <w:r/>
          </w:p>
        </w:tc>
        <w:tc>
          <w:tcPr>
            <w:tcW w:w="969" w:type="dxa"/>
            <w:vAlign w:val="top"/>
          </w:tcPr>
          <w:p>
            <w:pPr>
              <w:rPr>
                <w:rFonts w:ascii="Arial"/>
                <w:sz w:val="21"/>
              </w:rPr>
            </w:pPr>
            <w:r/>
          </w:p>
        </w:tc>
        <w:tc>
          <w:tcPr>
            <w:tcW w:w="979" w:type="dxa"/>
            <w:vAlign w:val="top"/>
          </w:tcPr>
          <w:p>
            <w:pPr>
              <w:rPr>
                <w:rFonts w:ascii="Arial"/>
                <w:sz w:val="21"/>
              </w:rPr>
            </w:pPr>
            <w:r/>
          </w:p>
        </w:tc>
        <w:tc>
          <w:tcPr>
            <w:tcW w:w="369" w:type="dxa"/>
            <w:vAlign w:val="top"/>
          </w:tcPr>
          <w:p>
            <w:pPr>
              <w:rPr>
                <w:rFonts w:ascii="Arial"/>
                <w:sz w:val="21"/>
              </w:rPr>
            </w:pPr>
            <w:r/>
          </w:p>
        </w:tc>
        <w:tc>
          <w:tcPr>
            <w:tcW w:w="384" w:type="dxa"/>
            <w:vAlign w:val="top"/>
          </w:tcPr>
          <w:p>
            <w:pPr>
              <w:rPr>
                <w:rFonts w:ascii="Arial"/>
                <w:sz w:val="21"/>
              </w:rPr>
            </w:pPr>
            <w:r/>
          </w:p>
        </w:tc>
      </w:tr>
    </w:tbl>
    <w:p>
      <w:pPr>
        <w:pStyle w:val="BodyText"/>
        <w:rPr/>
      </w:pPr>
      <w:r/>
    </w:p>
    <w:p>
      <w:pPr>
        <w:sectPr>
          <w:pgSz w:w="11910" w:h="8220"/>
          <w:pgMar w:top="400" w:right="1155" w:bottom="400" w:left="799" w:header="0" w:footer="0" w:gutter="0"/>
        </w:sectPr>
        <w:rPr/>
      </w:pPr>
    </w:p>
    <w:p>
      <w:pPr>
        <w:spacing w:before="51"/>
        <w:rPr/>
      </w:pPr>
      <w:r>
        <w:pict>
          <v:shape id="_x0000_s116" style="position:absolute;margin-left:38.9997pt;margin-top:345.699pt;mso-position-vertical-relative:page;mso-position-horizontal-relative:page;width:11.3pt;height:17.25pt;z-index:251756544;" o:allowincell="f" filled="false" stroked="false" type="#_x0000_t202">
            <v:fill on="false"/>
            <v:stroke on="false"/>
            <v:path/>
            <v:imagedata o:title=""/>
            <o:lock v:ext="edit" aspectratio="false"/>
            <v:textbox inset="0mm,0mm,0mm,0mm">
              <w:txbxContent>
                <w:p>
                  <w:pPr>
                    <w:spacing w:before="20" w:line="225" w:lineRule="auto"/>
                    <w:jc w:val="right"/>
                    <w:rPr>
                      <w:rFonts w:ascii="SimHei" w:hAnsi="SimHei" w:eastAsia="SimHei" w:cs="SimHei"/>
                      <w:sz w:val="25"/>
                      <w:szCs w:val="25"/>
                    </w:rPr>
                  </w:pPr>
                  <w:r>
                    <w:rPr>
                      <w:rFonts w:ascii="SimHei" w:hAnsi="SimHei" w:eastAsia="SimHei" w:cs="SimHei"/>
                      <w:sz w:val="25"/>
                      <w:szCs w:val="25"/>
                      <w:spacing w:val="-56"/>
                      <w:w w:val="96"/>
                    </w:rPr>
                    <w:t>吕</w:t>
                  </w:r>
                </w:p>
              </w:txbxContent>
            </v:textbox>
          </v:shape>
        </w:pict>
      </w:r>
      <w:r/>
    </w:p>
    <w:p>
      <w:pPr>
        <w:spacing w:before="51"/>
        <w:rPr/>
      </w:pPr>
      <w:r/>
    </w:p>
    <w:tbl>
      <w:tblPr>
        <w:tblStyle w:val="TableNormal"/>
        <w:tblW w:w="963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494" w:hRule="atLeast"/>
        </w:trPr>
        <w:tc>
          <w:tcPr>
            <w:tcW w:w="285" w:type="dxa"/>
            <w:vAlign w:val="top"/>
            <w:textDirection w:val="tbRlV"/>
          </w:tcPr>
          <w:p>
            <w:pPr>
              <w:pStyle w:val="TableText"/>
              <w:ind w:left="37"/>
              <w:spacing w:before="70" w:line="217" w:lineRule="auto"/>
              <w:rPr/>
            </w:pPr>
            <w:bookmarkStart w:name="bookmark5" w:id="4"/>
            <w:bookmarkEnd w:id="4"/>
            <w:r>
              <w:rPr/>
              <w:t>序</w:t>
            </w:r>
            <w:r>
              <w:rPr>
                <w:spacing w:val="36"/>
                <w:w w:val="101"/>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63" w:line="228"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2885" w:hRule="atLeast"/>
        </w:trPr>
        <w:tc>
          <w:tcPr>
            <w:tcW w:w="285"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94"/>
              <w:spacing w:before="49" w:line="183" w:lineRule="auto"/>
              <w:rPr/>
            </w:pPr>
            <w:r>
              <w:rPr/>
              <w:t>4</w:t>
            </w:r>
          </w:p>
        </w:tc>
        <w:tc>
          <w:tcPr>
            <w:tcW w:w="4136" w:type="dxa"/>
            <w:vAlign w:val="top"/>
          </w:tcPr>
          <w:p>
            <w:pPr>
              <w:pStyle w:val="TableText"/>
              <w:ind w:left="10" w:firstLine="29"/>
              <w:spacing w:before="75" w:line="265" w:lineRule="auto"/>
              <w:rPr/>
            </w:pPr>
            <w:r>
              <w:rPr>
                <w:spacing w:val="-4"/>
              </w:rPr>
              <w:t>得擅自扩大范围、降低标准，批准缓缴的企业</w:t>
            </w:r>
            <w:r>
              <w:rPr>
                <w:spacing w:val="-5"/>
              </w:rPr>
              <w:t>名单等情况按月报</w:t>
            </w:r>
            <w:r>
              <w:rPr/>
              <w:t xml:space="preserve"> </w:t>
            </w:r>
            <w:r>
              <w:rPr>
                <w:spacing w:val="-3"/>
              </w:rPr>
              <w:t>省级人力资源社会保障、税务部门。各省份具体实施办法出</w:t>
            </w:r>
            <w:r>
              <w:rPr>
                <w:spacing w:val="-4"/>
              </w:rPr>
              <w:t>台后</w:t>
            </w:r>
            <w:r>
              <w:rPr/>
              <w:t xml:space="preserve"> </w:t>
            </w:r>
            <w:r>
              <w:rPr>
                <w:spacing w:val="-8"/>
              </w:rPr>
              <w:t>报人力资源社会保障部、国家发展改革委、财政部</w:t>
            </w:r>
            <w:r>
              <w:rPr>
                <w:spacing w:val="-9"/>
              </w:rPr>
              <w:t>、税务总局备案</w:t>
            </w:r>
            <w:r>
              <w:rPr/>
              <w:t xml:space="preserve"> </w:t>
            </w:r>
            <w:r>
              <w:rPr/>
              <w:t>五、简化企业申报流程。缓缴社会保险费坚持自愿原则，符合</w:t>
            </w:r>
            <w:r>
              <w:rPr>
                <w:spacing w:val="2"/>
              </w:rPr>
              <w:t xml:space="preserve">  </w:t>
            </w:r>
            <w:r>
              <w:rPr/>
              <w:t>条件的困难企业，可根据自身情况申请缓缴一定期限的社会保</w:t>
            </w:r>
            <w:r>
              <w:rPr>
                <w:spacing w:val="3"/>
              </w:rPr>
              <w:t xml:space="preserve">  </w:t>
            </w:r>
            <w:r>
              <w:rPr/>
              <w:t>险费。各级人力资源社会保障、税务部门要简化办事流程，大 </w:t>
            </w:r>
            <w:r>
              <w:rPr/>
              <w:t>力推行“网上办”等不见面服务方式，简化程序，方便企业办</w:t>
            </w:r>
            <w:r>
              <w:rPr>
                <w:spacing w:val="2"/>
              </w:rPr>
              <w:t xml:space="preserve">  </w:t>
            </w:r>
            <w:r>
              <w:rPr/>
              <w:t>理，减轻企业事务性负担。对生产经营困难、所属行业类型等</w:t>
            </w:r>
            <w:r>
              <w:rPr>
                <w:spacing w:val="3"/>
              </w:rPr>
              <w:t xml:space="preserve">  </w:t>
            </w:r>
            <w:r>
              <w:rPr/>
              <w:t>适用条件，可实行告知承诺制，企业出具符合条件的书面承诺</w:t>
            </w:r>
            <w:r>
              <w:rPr>
                <w:spacing w:val="4"/>
              </w:rPr>
              <w:t xml:space="preserve">  </w:t>
            </w:r>
            <w:r>
              <w:rPr>
                <w:spacing w:val="2"/>
              </w:rPr>
              <w:t>要加强事后监督检查，对作出承诺但经查不符合条</w:t>
            </w:r>
            <w:r>
              <w:rPr>
                <w:spacing w:val="1"/>
              </w:rPr>
              <w:t>件的企业，</w:t>
            </w:r>
            <w:r>
              <w:rPr/>
              <w:t xml:space="preserve"> </w:t>
            </w:r>
            <w:r>
              <w:rPr/>
              <w:t>要及时追缴缓缴的社会保险费，并按规定加收滞纳金。各省份</w:t>
            </w:r>
            <w:r>
              <w:rPr>
                <w:spacing w:val="3"/>
              </w:rPr>
              <w:t xml:space="preserve">  </w:t>
            </w:r>
            <w:r>
              <w:rPr/>
              <w:t>要全面推行稳岗返还“免申即享”经办新模式，通过大数据比</w:t>
            </w:r>
            <w:r>
              <w:rPr>
                <w:spacing w:val="3"/>
              </w:rPr>
              <w:t xml:space="preserve">  </w:t>
            </w:r>
            <w:r>
              <w:rPr/>
              <w:t>对，直接向符合条件的企业发放资金</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2860" w:hRule="atLeast"/>
        </w:trPr>
        <w:tc>
          <w:tcPr>
            <w:tcW w:w="285"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94"/>
              <w:spacing w:before="49" w:line="182" w:lineRule="auto"/>
              <w:rPr/>
            </w:pPr>
            <w:r>
              <w:rPr/>
              <w:t>5</w:t>
            </w:r>
          </w:p>
        </w:tc>
        <w:tc>
          <w:tcPr>
            <w:tcW w:w="4136" w:type="dxa"/>
            <w:vAlign w:val="top"/>
          </w:tcPr>
          <w:p>
            <w:pPr>
              <w:pStyle w:val="TableText"/>
              <w:ind w:left="70"/>
              <w:spacing w:before="101" w:line="219" w:lineRule="auto"/>
              <w:rPr/>
            </w:pPr>
            <w:r>
              <w:rPr>
                <w:spacing w:val="-1"/>
              </w:rPr>
              <w:t>一、自2022年9月起，各省、自治区、直辖市及新疆生产建设</w:t>
            </w:r>
          </w:p>
          <w:p>
            <w:pPr>
              <w:pStyle w:val="TableText"/>
              <w:ind w:left="10" w:firstLine="98"/>
              <w:spacing w:line="241" w:lineRule="auto"/>
              <w:rPr/>
            </w:pPr>
            <w:r>
              <w:rPr>
                <w:spacing w:val="-3"/>
              </w:rPr>
              <w:t>兵团(以下统称地区)可根据本地区受疫情影响情况和社会保   </w:t>
            </w:r>
            <w:r>
              <w:rPr>
                <w:spacing w:val="-1"/>
              </w:rPr>
              <w:t>险基金状况，进一步扩大缓缴政策实施范围，覆盖本地区</w:t>
            </w:r>
            <w:r>
              <w:rPr>
                <w:spacing w:val="-2"/>
              </w:rPr>
              <w:t>所有</w:t>
            </w:r>
            <w:r>
              <w:rPr/>
              <w:t xml:space="preserve">  </w:t>
            </w:r>
            <w:r>
              <w:rPr>
                <w:spacing w:val="-2"/>
              </w:rPr>
              <w:t>受疫情影响较大、生产经营困难的中小微企业、</w:t>
            </w:r>
            <w:r>
              <w:rPr>
                <w:spacing w:val="-3"/>
              </w:rPr>
              <w:t>以单位方式参  </w:t>
            </w:r>
            <w:r>
              <w:rPr>
                <w:spacing w:val="-2"/>
              </w:rPr>
              <w:t>保的个体工商户、参加企业职工基本养老保险的</w:t>
            </w:r>
            <w:r>
              <w:rPr>
                <w:spacing w:val="-3"/>
              </w:rPr>
              <w:t>事业单位及各  </w:t>
            </w:r>
            <w:r>
              <w:rPr>
                <w:spacing w:val="-3"/>
              </w:rPr>
              <w:t>类社会组织，使阶段性缓缴社会保险费政策惠及更多市场主</w:t>
            </w:r>
            <w:r>
              <w:rPr>
                <w:spacing w:val="-4"/>
              </w:rPr>
              <w:t>体。</w:t>
            </w:r>
          </w:p>
          <w:p>
            <w:pPr>
              <w:pStyle w:val="TableText"/>
              <w:ind w:left="30" w:right="52" w:firstLine="79"/>
              <w:spacing w:before="42" w:line="229" w:lineRule="auto"/>
              <w:rPr/>
            </w:pPr>
            <w:r>
              <w:rPr>
                <w:spacing w:val="-1"/>
              </w:rPr>
              <w:t>二、阶段性缓缴社会保险费政策到期后，可允许企业在2023</w:t>
            </w:r>
            <w:r>
              <w:rPr>
                <w:spacing w:val="9"/>
              </w:rPr>
              <w:t xml:space="preserve">  </w:t>
            </w:r>
            <w:r>
              <w:rPr/>
              <w:t>年底前采取分期或逐月等方式补缴缓缴的社</w:t>
            </w:r>
            <w:r>
              <w:rPr>
                <w:spacing w:val="-1"/>
              </w:rPr>
              <w:t>会保险费。补缴期</w:t>
            </w:r>
            <w:r>
              <w:rPr/>
              <w:t xml:space="preserve"> </w:t>
            </w:r>
            <w:r>
              <w:rPr>
                <w:spacing w:val="-1"/>
              </w:rPr>
              <w:t>间免收滞纳金。</w:t>
            </w:r>
          </w:p>
          <w:p>
            <w:pPr>
              <w:pStyle w:val="TableText"/>
              <w:ind w:left="30" w:right="39"/>
              <w:spacing w:before="43" w:line="233" w:lineRule="auto"/>
              <w:jc w:val="both"/>
              <w:rPr/>
            </w:pPr>
            <w:r>
              <w:rPr/>
              <w:t>三、各地社会保险经办机构在提供社保缴费查</w:t>
            </w:r>
            <w:r>
              <w:rPr>
                <w:spacing w:val="-1"/>
              </w:rPr>
              <w:t>询、出具缴费证</w:t>
            </w:r>
            <w:r>
              <w:rPr/>
              <w:t xml:space="preserve"> </w:t>
            </w:r>
            <w:r>
              <w:rPr/>
              <w:t>明时，对企业按照政策规定缓缴、补缴期间认定为正常缴费状</w:t>
            </w:r>
            <w:r>
              <w:rPr>
                <w:spacing w:val="5"/>
              </w:rPr>
              <w:t xml:space="preserve"> </w:t>
            </w:r>
            <w:r>
              <w:rPr/>
              <w:t>态，不得作欠费处理。企业缓缴期间，要依法</w:t>
            </w:r>
            <w:r>
              <w:rPr>
                <w:spacing w:val="-1"/>
              </w:rPr>
              <w:t>履行代扣代缴职</w:t>
            </w:r>
            <w:r>
              <w:rPr/>
              <w:t xml:space="preserve"> </w:t>
            </w:r>
            <w:r>
              <w:rPr>
                <w:spacing w:val="-1"/>
              </w:rPr>
              <w:t>工个人缴费义务。已依法代扣代缴的，职工个人缴费状态认定</w:t>
            </w:r>
            <w:r>
              <w:rPr>
                <w:spacing w:val="18"/>
              </w:rPr>
              <w:t xml:space="preserve"> </w:t>
            </w:r>
            <w:r>
              <w:rPr>
                <w:spacing w:val="-1"/>
              </w:rPr>
              <w:t>为正常缴费。同时，要主动配合当地相关部门，妥善处理与职</w:t>
            </w:r>
          </w:p>
        </w:tc>
        <w:tc>
          <w:tcPr>
            <w:tcW w:w="2527" w:type="dxa"/>
            <w:vAlign w:val="top"/>
          </w:tcPr>
          <w:p>
            <w:pPr>
              <w:pStyle w:val="TableText"/>
              <w:ind w:left="43" w:right="67" w:firstLine="10"/>
              <w:spacing w:before="83" w:line="239" w:lineRule="auto"/>
              <w:jc w:val="both"/>
              <w:rPr/>
            </w:pPr>
            <w:r>
              <w:rPr>
                <w:spacing w:val="-1"/>
              </w:rPr>
              <w:t>人社部、国家发改委、财政部、国家</w:t>
            </w:r>
            <w:r>
              <w:rPr>
                <w:spacing w:val="7"/>
              </w:rPr>
              <w:t xml:space="preserve"> </w:t>
            </w:r>
            <w:r>
              <w:rPr/>
              <w:t>税务总局《关于进一步做好阶段性缓</w:t>
            </w:r>
            <w:r>
              <w:rPr>
                <w:spacing w:val="3"/>
              </w:rPr>
              <w:t xml:space="preserve"> </w:t>
            </w:r>
            <w:r>
              <w:rPr/>
              <w:t>缴社会保险费政策实施工作有关问题</w:t>
            </w:r>
            <w:r>
              <w:rPr>
                <w:spacing w:val="4"/>
              </w:rPr>
              <w:t xml:space="preserve"> </w:t>
            </w:r>
            <w:r>
              <w:rPr/>
              <w:t>的通知》人社厅发〔2022〕50号</w:t>
            </w:r>
          </w:p>
        </w:tc>
        <w:tc>
          <w:tcPr>
            <w:tcW w:w="949" w:type="dxa"/>
            <w:vAlign w:val="top"/>
          </w:tcPr>
          <w:p>
            <w:pPr>
              <w:pStyle w:val="TableText"/>
              <w:ind w:left="36" w:right="1" w:hanging="10"/>
              <w:spacing w:before="81" w:line="238" w:lineRule="auto"/>
              <w:jc w:val="both"/>
              <w:rPr/>
            </w:pPr>
            <w:r>
              <w:rPr>
                <w:spacing w:val="-8"/>
              </w:rPr>
              <w:t>2</w:t>
            </w:r>
            <w:r>
              <w:rPr>
                <w:spacing w:val="-25"/>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8"/>
              </w:rPr>
              <w:t xml:space="preserve"> </w:t>
            </w:r>
            <w:r>
              <w:rPr>
                <w:spacing w:val="-8"/>
              </w:rPr>
              <w:t>9</w:t>
            </w:r>
            <w:r>
              <w:rPr>
                <w:spacing w:val="-25"/>
              </w:rPr>
              <w:t xml:space="preserve"> </w:t>
            </w:r>
            <w:r>
              <w:rPr>
                <w:spacing w:val="-8"/>
              </w:rPr>
              <w:t>月</w:t>
            </w:r>
            <w:r>
              <w:rPr/>
              <w:t xml:space="preserve"> </w:t>
            </w:r>
            <w:r>
              <w:rPr>
                <w:spacing w:val="1"/>
              </w:rPr>
              <w:t>22日(文件签</w:t>
            </w:r>
            <w:r>
              <w:rPr>
                <w:spacing w:val="2"/>
              </w:rPr>
              <w:t xml:space="preserve">  </w:t>
            </w:r>
            <w:r>
              <w:rPr>
                <w:spacing w:val="6"/>
              </w:rPr>
              <w:t>发日期)</w:t>
            </w:r>
          </w:p>
        </w:tc>
        <w:tc>
          <w:tcPr>
            <w:tcW w:w="969" w:type="dxa"/>
            <w:vAlign w:val="top"/>
          </w:tcPr>
          <w:p>
            <w:pPr>
              <w:pStyle w:val="TableText"/>
              <w:ind w:left="28" w:right="25"/>
              <w:spacing w:before="83" w:line="244" w:lineRule="auto"/>
              <w:jc w:val="both"/>
              <w:rPr/>
            </w:pPr>
            <w:r>
              <w:rPr>
                <w:spacing w:val="-2"/>
              </w:rPr>
              <w:t>受疫情影响较</w:t>
            </w:r>
            <w:r>
              <w:rPr>
                <w:spacing w:val="2"/>
              </w:rPr>
              <w:t xml:space="preserve"> </w:t>
            </w:r>
            <w:r>
              <w:rPr>
                <w:spacing w:val="-2"/>
              </w:rPr>
              <w:t>大、生产经营</w:t>
            </w:r>
            <w:r>
              <w:rPr>
                <w:spacing w:val="3"/>
              </w:rPr>
              <w:t xml:space="preserve"> </w:t>
            </w:r>
            <w:r>
              <w:rPr/>
              <w:t>困难的中小微</w:t>
            </w:r>
            <w:r>
              <w:rPr>
                <w:spacing w:val="4"/>
              </w:rPr>
              <w:t xml:space="preserve"> </w:t>
            </w:r>
            <w:r>
              <w:rPr>
                <w:spacing w:val="-3"/>
              </w:rPr>
              <w:t>企业</w:t>
            </w:r>
          </w:p>
        </w:tc>
        <w:tc>
          <w:tcPr>
            <w:tcW w:w="389" w:type="dxa"/>
            <w:vAlign w:val="top"/>
          </w:tcPr>
          <w:p>
            <w:pPr>
              <w:pStyle w:val="TableText"/>
              <w:ind w:left="38"/>
              <w:spacing w:before="73" w:line="221" w:lineRule="auto"/>
              <w:rPr/>
            </w:pPr>
            <w:r>
              <w:rPr>
                <w:spacing w:val="-4"/>
              </w:rPr>
              <w:t>阶段</w:t>
            </w:r>
          </w:p>
          <w:p>
            <w:pPr>
              <w:pStyle w:val="TableText"/>
              <w:ind w:left="38"/>
              <w:spacing w:before="10" w:line="221" w:lineRule="auto"/>
              <w:rPr/>
            </w:pPr>
            <w:r>
              <w:rPr>
                <w:spacing w:val="-2"/>
              </w:rPr>
              <w:t>性通</w:t>
            </w:r>
          </w:p>
          <w:p>
            <w:pPr>
              <w:pStyle w:val="TableText"/>
              <w:ind w:left="119"/>
              <w:spacing w:before="31" w:line="221" w:lineRule="auto"/>
              <w:rPr/>
            </w:pPr>
            <w:r>
              <w:rPr/>
              <w:t>知</w:t>
            </w:r>
          </w:p>
        </w:tc>
        <w:tc>
          <w:tcPr>
            <w:tcW w:w="384" w:type="dxa"/>
            <w:vAlign w:val="top"/>
          </w:tcPr>
          <w:p>
            <w:pPr>
              <w:pStyle w:val="TableText"/>
              <w:ind w:left="40"/>
              <w:spacing w:before="72" w:line="219" w:lineRule="auto"/>
              <w:rPr/>
            </w:pPr>
            <w:r>
              <w:rPr>
                <w:spacing w:val="-2"/>
              </w:rPr>
              <w:t>缓缴</w:t>
            </w:r>
          </w:p>
        </w:tc>
      </w:tr>
    </w:tbl>
    <w:p>
      <w:pPr>
        <w:pStyle w:val="BodyText"/>
        <w:rPr/>
      </w:pPr>
      <w:r/>
    </w:p>
    <w:p>
      <w:pPr>
        <w:sectPr>
          <w:pgSz w:w="11910" w:h="8220"/>
          <w:pgMar w:top="400" w:right="1145" w:bottom="400" w:left="799" w:header="0" w:footer="0" w:gutter="0"/>
        </w:sectPr>
        <w:rPr/>
      </w:pPr>
    </w:p>
    <w:p>
      <w:pPr>
        <w:spacing w:before="233"/>
        <w:rPr/>
      </w:pPr>
      <w:r>
        <mc:AlternateContent xmlns:mc="http://schemas.openxmlformats.org/markup-compatibility/2006">
          <mc:Choice Requires="wps">
            <w:drawing>
              <wp:anchor distT="0" distB="0" distL="0" distR="0" simplePos="0" relativeHeight="25175756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66" name="TextBox 66"/>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8" style="position:absolute;margin-left:36.1352pt;margin-top:49.3939pt;mso-position-vertical-relative:page;mso-position-horizontal-relative:page;width:13.8pt;height:13pt;z-index:25175756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100</w:t>
                      </w:r>
                    </w:p>
                  </w:txbxContent>
                </v:textbox>
              </v:shape>
            </w:pict>
          </mc:Fallback>
        </mc:AlternateContent>
      </w:r>
      <w:r/>
    </w:p>
    <w:tbl>
      <w:tblPr>
        <w:tblStyle w:val="TableNormal"/>
        <w:tblW w:w="962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44"/>
              <w:spacing w:before="170" w:line="219" w:lineRule="auto"/>
              <w:rPr/>
            </w:pPr>
            <w:r>
              <w:rPr>
                <w:spacing w:val="-1"/>
              </w:rPr>
              <w:t>政策依据</w:t>
            </w:r>
          </w:p>
        </w:tc>
        <w:tc>
          <w:tcPr>
            <w:tcW w:w="949" w:type="dxa"/>
            <w:vAlign w:val="top"/>
          </w:tcPr>
          <w:p>
            <w:pPr>
              <w:pStyle w:val="TableText"/>
              <w:ind w:left="168"/>
              <w:spacing w:before="171" w:line="219" w:lineRule="auto"/>
              <w:rPr/>
            </w:pPr>
            <w:r>
              <w:rPr>
                <w:spacing w:val="3"/>
              </w:rPr>
              <w:t>执行时间</w:t>
            </w:r>
          </w:p>
        </w:tc>
        <w:tc>
          <w:tcPr>
            <w:tcW w:w="979" w:type="dxa"/>
            <w:vAlign w:val="top"/>
          </w:tcPr>
          <w:p>
            <w:pPr>
              <w:pStyle w:val="TableText"/>
              <w:ind w:left="337" w:right="192" w:hanging="149"/>
              <w:spacing w:before="74" w:line="237"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1637" w:hRule="atLeast"/>
        </w:trPr>
        <w:tc>
          <w:tcPr>
            <w:tcW w:w="295"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94"/>
              <w:spacing w:before="49" w:line="182" w:lineRule="auto"/>
              <w:rPr/>
            </w:pPr>
            <w:r>
              <w:rPr/>
              <w:t>5</w:t>
            </w:r>
          </w:p>
        </w:tc>
        <w:tc>
          <w:tcPr>
            <w:tcW w:w="4125" w:type="dxa"/>
            <w:vAlign w:val="top"/>
          </w:tcPr>
          <w:p>
            <w:pPr>
              <w:pStyle w:val="TableText"/>
              <w:ind w:left="40"/>
              <w:spacing w:before="77" w:line="219" w:lineRule="auto"/>
              <w:rPr/>
            </w:pPr>
            <w:r>
              <w:rPr>
                <w:spacing w:val="-1"/>
              </w:rPr>
              <w:t>工落户、购房、购车以及子女入学资格等政策的衔接问题</w:t>
            </w:r>
          </w:p>
          <w:p>
            <w:pPr>
              <w:pStyle w:val="TableText"/>
              <w:ind w:left="20" w:firstLine="9"/>
              <w:spacing w:before="23" w:line="237" w:lineRule="auto"/>
              <w:rPr/>
            </w:pPr>
            <w:r>
              <w:rPr/>
              <w:t>四、要结合本地实际，进一步加大政策宣传解读力度，针对不</w:t>
            </w:r>
            <w:r>
              <w:rPr>
                <w:spacing w:val="2"/>
              </w:rPr>
              <w:t xml:space="preserve"> </w:t>
            </w:r>
            <w:r>
              <w:rPr/>
              <w:t>同行业、不同企业以及灵活就业人员特点，提高宣传的针对性</w:t>
            </w:r>
            <w:r>
              <w:rPr>
                <w:spacing w:val="10"/>
              </w:rPr>
              <w:t xml:space="preserve"> </w:t>
            </w:r>
            <w:r>
              <w:rPr>
                <w:spacing w:val="-1"/>
              </w:rPr>
              <w:t>和精准度，确保政策“应知尽知”。通过适时发布缓缴数据信 </w:t>
            </w:r>
            <w:r>
              <w:rPr>
                <w:spacing w:val="1"/>
              </w:rPr>
              <w:t>息、采访报道企业典型案例等方式，加强政策实施效果宣传。</w:t>
            </w:r>
            <w:r>
              <w:rPr>
                <w:spacing w:val="12"/>
              </w:rPr>
              <w:t xml:space="preserve"> </w:t>
            </w:r>
            <w:r>
              <w:rPr>
                <w:spacing w:val="-9"/>
              </w:rPr>
              <w:t>五、要进一步优化经办服务，对符合缓缴政策要求的市场主体，积</w:t>
            </w:r>
            <w:r>
              <w:rPr>
                <w:spacing w:val="4"/>
              </w:rPr>
              <w:t xml:space="preserve"> </w:t>
            </w:r>
            <w:r>
              <w:rPr>
                <w:spacing w:val="-9"/>
              </w:rPr>
              <w:t>极主动对接，分类做好服务保障。要健全部门协作机制，加强数据</w:t>
            </w:r>
            <w:r>
              <w:rPr>
                <w:spacing w:val="4"/>
              </w:rPr>
              <w:t xml:space="preserve"> </w:t>
            </w:r>
            <w:r>
              <w:rPr>
                <w:spacing w:val="-12"/>
              </w:rPr>
              <w:t>共享</w:t>
            </w:r>
            <w:r>
              <w:rPr>
                <w:spacing w:val="-11"/>
              </w:rPr>
              <w:t>，简化办事流程，实现企业“即申即享”,减轻企业事</w:t>
            </w:r>
            <w:r>
              <w:rPr>
                <w:spacing w:val="-12"/>
              </w:rPr>
              <w:t>务性负</w:t>
            </w:r>
            <w:r>
              <w:rPr>
                <w:spacing w:val="-10"/>
              </w:rPr>
              <w:t>担</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r>
        <w:trPr>
          <w:trHeight w:val="4398" w:hRule="atLeast"/>
        </w:trPr>
        <w:tc>
          <w:tcPr>
            <w:tcW w:w="295"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94"/>
              <w:spacing w:before="48" w:line="183" w:lineRule="auto"/>
              <w:rPr/>
            </w:pPr>
            <w:r>
              <w:rPr/>
              <w:t>6</w:t>
            </w:r>
          </w:p>
        </w:tc>
        <w:tc>
          <w:tcPr>
            <w:tcW w:w="4125" w:type="dxa"/>
            <w:vAlign w:val="top"/>
          </w:tcPr>
          <w:p>
            <w:pPr>
              <w:pStyle w:val="TableText"/>
              <w:ind w:left="30" w:right="39"/>
              <w:spacing w:before="80" w:line="239" w:lineRule="auto"/>
              <w:jc w:val="both"/>
              <w:rPr/>
            </w:pPr>
            <w:r>
              <w:rPr>
                <w:spacing w:val="-1"/>
              </w:rPr>
              <w:t>缓缴适用于餐饮、零售、旅游、民航、公路水路铁路运输企业</w:t>
            </w:r>
            <w:r>
              <w:rPr>
                <w:spacing w:val="18"/>
              </w:rPr>
              <w:t xml:space="preserve"> </w:t>
            </w:r>
            <w:r>
              <w:rPr/>
              <w:t>三项社保费的单位应缴纳部分。上述行业中以</w:t>
            </w:r>
            <w:r>
              <w:rPr>
                <w:spacing w:val="-1"/>
              </w:rPr>
              <w:t>单位方式参加社</w:t>
            </w:r>
            <w:r>
              <w:rPr/>
              <w:t xml:space="preserve"> </w:t>
            </w:r>
            <w:r>
              <w:rPr/>
              <w:t>会保险的有雇工的个体工商户以及其他单位，</w:t>
            </w:r>
            <w:r>
              <w:rPr>
                <w:spacing w:val="-1"/>
              </w:rPr>
              <w:t>参照企业办法缓</w:t>
            </w:r>
            <w:r>
              <w:rPr/>
              <w:t xml:space="preserve"> </w:t>
            </w:r>
            <w:r>
              <w:rPr/>
              <w:t>缴。对职工个人应缴纳部分，企业应依法履行好</w:t>
            </w:r>
            <w:r>
              <w:rPr>
                <w:spacing w:val="-1"/>
              </w:rPr>
              <w:t>代扣代缴义务</w:t>
            </w:r>
          </w:p>
        </w:tc>
        <w:tc>
          <w:tcPr>
            <w:tcW w:w="2507" w:type="dxa"/>
            <w:vAlign w:val="top"/>
          </w:tcPr>
          <w:p>
            <w:pPr>
              <w:pStyle w:val="TableText"/>
              <w:ind w:left="34" w:right="57" w:firstLine="10"/>
              <w:spacing w:before="88" w:line="250" w:lineRule="auto"/>
              <w:jc w:val="both"/>
              <w:rPr/>
            </w:pPr>
            <w:r>
              <w:rPr>
                <w:spacing w:val="-1"/>
              </w:rPr>
              <w:t>人社部、国家税务总局《关于特困行</w:t>
            </w:r>
            <w:r>
              <w:rPr>
                <w:spacing w:val="7"/>
              </w:rPr>
              <w:t xml:space="preserve"> </w:t>
            </w:r>
            <w:r>
              <w:rPr/>
              <w:t>业阶段性实施缓缴企业社会保险费政</w:t>
            </w:r>
            <w:r>
              <w:rPr>
                <w:spacing w:val="3"/>
              </w:rPr>
              <w:t xml:space="preserve"> </w:t>
            </w:r>
            <w:r>
              <w:rPr>
                <w:spacing w:val="-1"/>
              </w:rPr>
              <w:t>策的通知》人社厅发〔2022〕16号</w:t>
            </w:r>
          </w:p>
        </w:tc>
        <w:tc>
          <w:tcPr>
            <w:tcW w:w="949" w:type="dxa"/>
            <w:vAlign w:val="top"/>
          </w:tcPr>
          <w:p>
            <w:pPr>
              <w:pStyle w:val="TableText"/>
              <w:ind w:left="7" w:firstLine="9"/>
              <w:spacing w:before="78" w:line="221" w:lineRule="auto"/>
              <w:jc w:val="both"/>
              <w:rPr/>
            </w:pPr>
            <w:r>
              <w:rPr>
                <w:spacing w:val="-4"/>
              </w:rPr>
              <w:t>企业职工基本</w:t>
            </w:r>
            <w:r>
              <w:rPr>
                <w:spacing w:val="1"/>
              </w:rPr>
              <w:t xml:space="preserve"> </w:t>
            </w:r>
            <w:r>
              <w:rPr>
                <w:spacing w:val="-2"/>
              </w:rPr>
              <w:t>养老保险费缓</w:t>
            </w:r>
            <w:r>
              <w:rPr>
                <w:spacing w:val="1"/>
              </w:rPr>
              <w:t xml:space="preserve"> </w:t>
            </w:r>
            <w:r>
              <w:rPr>
                <w:spacing w:val="-2"/>
              </w:rPr>
              <w:t>缴费款所属期</w:t>
            </w:r>
            <w:r>
              <w:rPr>
                <w:spacing w:val="2"/>
              </w:rPr>
              <w:t xml:space="preserve"> </w:t>
            </w:r>
            <w:r>
              <w:rPr>
                <w:spacing w:val="-6"/>
              </w:rPr>
              <w:t>为</w:t>
            </w:r>
            <w:r>
              <w:rPr>
                <w:spacing w:val="-30"/>
              </w:rPr>
              <w:t xml:space="preserve"> </w:t>
            </w:r>
            <w:r>
              <w:rPr>
                <w:spacing w:val="-6"/>
              </w:rPr>
              <w:t>2</w:t>
            </w:r>
            <w:r>
              <w:rPr>
                <w:spacing w:val="-32"/>
              </w:rPr>
              <w:t xml:space="preserve"> </w:t>
            </w:r>
            <w:r>
              <w:rPr>
                <w:spacing w:val="-6"/>
              </w:rPr>
              <w:t>0</w:t>
            </w:r>
            <w:r>
              <w:rPr>
                <w:spacing w:val="-32"/>
              </w:rPr>
              <w:t xml:space="preserve"> </w:t>
            </w:r>
            <w:r>
              <w:rPr>
                <w:spacing w:val="-6"/>
              </w:rPr>
              <w:t>2</w:t>
            </w:r>
            <w:r>
              <w:rPr>
                <w:spacing w:val="-32"/>
              </w:rPr>
              <w:t xml:space="preserve"> </w:t>
            </w:r>
            <w:r>
              <w:rPr>
                <w:spacing w:val="-6"/>
              </w:rPr>
              <w:t>2</w:t>
            </w:r>
            <w:r>
              <w:rPr>
                <w:spacing w:val="-33"/>
              </w:rPr>
              <w:t xml:space="preserve"> </w:t>
            </w:r>
            <w:r>
              <w:rPr>
                <w:spacing w:val="-6"/>
              </w:rPr>
              <w:t>年</w:t>
            </w:r>
            <w:r>
              <w:rPr>
                <w:spacing w:val="-34"/>
              </w:rPr>
              <w:t xml:space="preserve"> </w:t>
            </w:r>
            <w:r>
              <w:rPr>
                <w:spacing w:val="-6"/>
              </w:rPr>
              <w:t>4</w:t>
            </w:r>
            <w:r>
              <w:rPr/>
              <w:t xml:space="preserve"> </w:t>
            </w:r>
            <w:r>
              <w:rPr>
                <w:spacing w:val="4"/>
              </w:rPr>
              <w:t>月至6月。失</w:t>
            </w:r>
            <w:r>
              <w:rPr>
                <w:spacing w:val="1"/>
              </w:rPr>
              <w:t xml:space="preserve">  </w:t>
            </w:r>
            <w:r>
              <w:rPr>
                <w:spacing w:val="-2"/>
              </w:rPr>
              <w:t>业保险费、工</w:t>
            </w:r>
            <w:r>
              <w:rPr>
                <w:spacing w:val="2"/>
              </w:rPr>
              <w:t xml:space="preserve"> </w:t>
            </w:r>
            <w:r>
              <w:rPr>
                <w:spacing w:val="-2"/>
              </w:rPr>
              <w:t>伤保险费缓缴</w:t>
            </w:r>
            <w:r>
              <w:rPr>
                <w:spacing w:val="1"/>
              </w:rPr>
              <w:t xml:space="preserve"> </w:t>
            </w:r>
            <w:r>
              <w:rPr/>
              <w:t>费款所属期为</w:t>
            </w:r>
            <w:r>
              <w:rPr>
                <w:spacing w:val="3"/>
              </w:rPr>
              <w:t xml:space="preserve"> </w:t>
            </w:r>
            <w:r>
              <w:rPr>
                <w:spacing w:val="-6"/>
              </w:rPr>
              <w:t>2</w:t>
            </w:r>
            <w:r>
              <w:rPr>
                <w:spacing w:val="-28"/>
              </w:rPr>
              <w:t xml:space="preserve"> </w:t>
            </w:r>
            <w:r>
              <w:rPr>
                <w:spacing w:val="-6"/>
              </w:rPr>
              <w:t>0</w:t>
            </w:r>
            <w:r>
              <w:rPr>
                <w:spacing w:val="-28"/>
              </w:rPr>
              <w:t xml:space="preserve"> </w:t>
            </w:r>
            <w:r>
              <w:rPr>
                <w:spacing w:val="-6"/>
              </w:rPr>
              <w:t>2</w:t>
            </w:r>
            <w:r>
              <w:rPr>
                <w:spacing w:val="-27"/>
              </w:rPr>
              <w:t xml:space="preserve"> </w:t>
            </w:r>
            <w:r>
              <w:rPr>
                <w:spacing w:val="-6"/>
              </w:rPr>
              <w:t>2</w:t>
            </w:r>
            <w:r>
              <w:rPr>
                <w:spacing w:val="-29"/>
              </w:rPr>
              <w:t xml:space="preserve"> </w:t>
            </w:r>
            <w:r>
              <w:rPr>
                <w:spacing w:val="-6"/>
              </w:rPr>
              <w:t>年</w:t>
            </w:r>
            <w:r>
              <w:rPr>
                <w:spacing w:val="-30"/>
              </w:rPr>
              <w:t xml:space="preserve"> </w:t>
            </w:r>
            <w:r>
              <w:rPr>
                <w:spacing w:val="-6"/>
              </w:rPr>
              <w:t>4</w:t>
            </w:r>
            <w:r>
              <w:rPr>
                <w:spacing w:val="-26"/>
              </w:rPr>
              <w:t xml:space="preserve"> </w:t>
            </w:r>
            <w:r>
              <w:rPr>
                <w:spacing w:val="-6"/>
              </w:rPr>
              <w:t>月</w:t>
            </w:r>
            <w:r>
              <w:rPr/>
              <w:t xml:space="preserve"> </w:t>
            </w:r>
            <w:r>
              <w:rPr>
                <w:spacing w:val="-7"/>
              </w:rPr>
              <w:t>至</w:t>
            </w:r>
            <w:r>
              <w:rPr>
                <w:spacing w:val="-27"/>
              </w:rPr>
              <w:t xml:space="preserve"> </w:t>
            </w:r>
            <w:r>
              <w:rPr>
                <w:spacing w:val="-7"/>
              </w:rPr>
              <w:t>2</w:t>
            </w:r>
            <w:r>
              <w:rPr>
                <w:spacing w:val="-31"/>
              </w:rPr>
              <w:t xml:space="preserve"> </w:t>
            </w:r>
            <w:r>
              <w:rPr>
                <w:spacing w:val="-7"/>
              </w:rPr>
              <w:t>0</w:t>
            </w:r>
            <w:r>
              <w:rPr>
                <w:spacing w:val="-31"/>
              </w:rPr>
              <w:t xml:space="preserve"> </w:t>
            </w:r>
            <w:r>
              <w:rPr>
                <w:spacing w:val="-7"/>
              </w:rPr>
              <w:t>2</w:t>
            </w:r>
            <w:r>
              <w:rPr>
                <w:spacing w:val="-30"/>
              </w:rPr>
              <w:t xml:space="preserve"> </w:t>
            </w:r>
            <w:r>
              <w:rPr>
                <w:spacing w:val="-7"/>
              </w:rPr>
              <w:t>3</w:t>
            </w:r>
            <w:r>
              <w:rPr>
                <w:spacing w:val="-33"/>
              </w:rPr>
              <w:t xml:space="preserve"> </w:t>
            </w:r>
            <w:r>
              <w:rPr>
                <w:spacing w:val="-7"/>
              </w:rPr>
              <w:t>年</w:t>
            </w:r>
            <w:r>
              <w:rPr>
                <w:spacing w:val="-30"/>
              </w:rPr>
              <w:t xml:space="preserve"> </w:t>
            </w:r>
            <w:r>
              <w:rPr>
                <w:spacing w:val="-7"/>
              </w:rPr>
              <w:t>3</w:t>
            </w:r>
            <w:r>
              <w:rPr/>
              <w:t xml:space="preserve"> </w:t>
            </w:r>
            <w:r>
              <w:rPr>
                <w:spacing w:val="1"/>
              </w:rPr>
              <w:t>月，在此期间</w:t>
            </w:r>
            <w:r>
              <w:rPr>
                <w:spacing w:val="4"/>
              </w:rPr>
              <w:t xml:space="preserve"> </w:t>
            </w:r>
            <w:r>
              <w:rPr>
                <w:spacing w:val="-2"/>
              </w:rPr>
              <w:t>企业可电请不</w:t>
            </w:r>
            <w:r>
              <w:rPr/>
              <w:t xml:space="preserve"> </w:t>
            </w:r>
            <w:r>
              <w:rPr>
                <w:spacing w:val="30"/>
              </w:rPr>
              <w:t>同期限的缓</w:t>
            </w:r>
            <w:r>
              <w:rPr>
                <w:spacing w:val="1"/>
              </w:rPr>
              <w:t xml:space="preserve"> </w:t>
            </w:r>
            <w:r>
              <w:rPr>
                <w:spacing w:val="-2"/>
              </w:rPr>
              <w:t>缴。已缴纳所</w:t>
            </w:r>
            <w:r>
              <w:rPr>
                <w:spacing w:val="2"/>
              </w:rPr>
              <w:t xml:space="preserve"> </w:t>
            </w:r>
            <w:r>
              <w:rPr>
                <w:spacing w:val="23"/>
              </w:rPr>
              <w:t>属期为2022</w:t>
            </w:r>
            <w:r>
              <w:rPr>
                <w:spacing w:val="3"/>
              </w:rPr>
              <w:t xml:space="preserve"> </w:t>
            </w:r>
            <w:r>
              <w:rPr>
                <w:spacing w:val="-8"/>
              </w:rPr>
              <w:t>年 4 月 费</w:t>
            </w:r>
            <w:r>
              <w:rPr>
                <w:spacing w:val="-10"/>
              </w:rPr>
              <w:t xml:space="preserve"> </w:t>
            </w:r>
            <w:r>
              <w:rPr>
                <w:spacing w:val="-8"/>
              </w:rPr>
              <w:t>款</w:t>
            </w:r>
            <w:r>
              <w:rPr/>
              <w:t xml:space="preserve"> </w:t>
            </w:r>
            <w:r>
              <w:rPr/>
              <w:t>的企业，可从</w:t>
            </w:r>
            <w:r>
              <w:rPr>
                <w:spacing w:val="1"/>
              </w:rPr>
              <w:t xml:space="preserve"> </w:t>
            </w:r>
            <w:r>
              <w:rPr>
                <w:spacing w:val="4"/>
              </w:rPr>
              <w:t>5月起电请缓</w:t>
            </w:r>
            <w:r>
              <w:rPr>
                <w:spacing w:val="1"/>
              </w:rPr>
              <w:t xml:space="preserve">  </w:t>
            </w:r>
            <w:r>
              <w:rPr>
                <w:spacing w:val="-2"/>
              </w:rPr>
              <w:t>缴，缓缴月份</w:t>
            </w:r>
            <w:r>
              <w:rPr>
                <w:spacing w:val="2"/>
              </w:rPr>
              <w:t xml:space="preserve"> </w:t>
            </w:r>
            <w:r>
              <w:rPr>
                <w:spacing w:val="-2"/>
              </w:rPr>
              <w:t>相应顺延一个</w:t>
            </w:r>
            <w:r>
              <w:rPr>
                <w:spacing w:val="1"/>
              </w:rPr>
              <w:t xml:space="preserve"> </w:t>
            </w:r>
            <w:r>
              <w:rPr>
                <w:spacing w:val="2"/>
              </w:rPr>
              <w:t>月，也可以申</w:t>
            </w:r>
            <w:r>
              <w:rPr>
                <w:spacing w:val="3"/>
              </w:rPr>
              <w:t xml:space="preserve"> </w:t>
            </w:r>
            <w:r>
              <w:rPr>
                <w:spacing w:val="5"/>
              </w:rPr>
              <w:t>请退回4月费</w:t>
            </w:r>
            <w:r>
              <w:rPr/>
              <w:t xml:space="preserve">  </w:t>
            </w:r>
            <w:r>
              <w:rPr>
                <w:spacing w:val="1"/>
              </w:rPr>
              <w:t>款。缓缴期间</w:t>
            </w:r>
            <w:r>
              <w:rPr>
                <w:spacing w:val="4"/>
              </w:rPr>
              <w:t xml:space="preserve"> </w:t>
            </w:r>
            <w:r>
              <w:rPr>
                <w:spacing w:val="5"/>
              </w:rPr>
              <w:t>免收滞纳金，</w:t>
            </w:r>
          </w:p>
        </w:tc>
        <w:tc>
          <w:tcPr>
            <w:tcW w:w="979" w:type="dxa"/>
            <w:vAlign w:val="top"/>
          </w:tcPr>
          <w:p>
            <w:pPr>
              <w:pStyle w:val="TableText"/>
              <w:ind w:left="188"/>
              <w:spacing w:before="80" w:line="219" w:lineRule="auto"/>
              <w:rPr/>
            </w:pPr>
            <w:r>
              <w:rPr>
                <w:spacing w:val="-2"/>
              </w:rPr>
              <w:t>特困行业</w:t>
            </w:r>
          </w:p>
        </w:tc>
        <w:tc>
          <w:tcPr>
            <w:tcW w:w="390" w:type="dxa"/>
            <w:vAlign w:val="top"/>
          </w:tcPr>
          <w:p>
            <w:pPr>
              <w:pStyle w:val="TableText"/>
              <w:ind w:left="39"/>
              <w:spacing w:before="71" w:line="221" w:lineRule="auto"/>
              <w:rPr/>
            </w:pPr>
            <w:r>
              <w:rPr>
                <w:spacing w:val="-4"/>
              </w:rPr>
              <w:t>阶段</w:t>
            </w:r>
          </w:p>
          <w:p>
            <w:pPr>
              <w:pStyle w:val="TableText"/>
              <w:ind w:left="39"/>
              <w:spacing w:before="50" w:line="221" w:lineRule="auto"/>
              <w:rPr/>
            </w:pPr>
            <w:r>
              <w:rPr>
                <w:spacing w:val="-2"/>
              </w:rPr>
              <w:t>性通</w:t>
            </w:r>
          </w:p>
          <w:p>
            <w:pPr>
              <w:pStyle w:val="TableText"/>
              <w:ind w:left="120"/>
              <w:spacing w:before="31" w:line="221" w:lineRule="auto"/>
              <w:rPr/>
            </w:pPr>
            <w:r>
              <w:rPr/>
              <w:t>知</w:t>
            </w:r>
          </w:p>
        </w:tc>
        <w:tc>
          <w:tcPr>
            <w:tcW w:w="384" w:type="dxa"/>
            <w:vAlign w:val="top"/>
          </w:tcPr>
          <w:p>
            <w:pPr>
              <w:pStyle w:val="TableText"/>
              <w:ind w:left="40"/>
              <w:spacing w:before="70" w:line="219" w:lineRule="auto"/>
              <w:rPr/>
            </w:pPr>
            <w:r>
              <w:rPr>
                <w:spacing w:val="-2"/>
              </w:rPr>
              <w:t>缓缴</w:t>
            </w:r>
          </w:p>
        </w:tc>
      </w:tr>
    </w:tbl>
    <w:p>
      <w:pPr>
        <w:pStyle w:val="BodyText"/>
        <w:rPr/>
      </w:pPr>
      <w:r/>
    </w:p>
    <w:p>
      <w:pPr>
        <w:sectPr>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58592" behindDoc="0" locked="0" layoutInCell="0" allowOverlap="1">
                <wp:simplePos x="0" y="0"/>
                <wp:positionH relativeFrom="page">
                  <wp:posOffset>460524</wp:posOffset>
                </wp:positionH>
                <wp:positionV relativeFrom="page">
                  <wp:posOffset>4378381</wp:posOffset>
                </wp:positionV>
                <wp:extent cx="203834" cy="222884"/>
                <wp:effectExtent l="0" t="0" r="0" b="0"/>
                <wp:wrapNone/>
                <wp:docPr id="68" name="TextBox 68"/>
                <wp:cNvGraphicFramePr/>
                <a:graphic>
                  <a:graphicData uri="http://schemas.microsoft.com/office/word/2010/wordprocessingShape">
                    <wps:wsp>
                      <wps:cNvSpPr txBox="1"/>
                      <wps:spPr>
                        <a:xfrm rot="5400000">
                          <a:off x="460524" y="4378381"/>
                          <a:ext cx="203834" cy="2228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8"/>
                              </w:rPr>
                              <w:t>10</w:t>
                            </w:r>
                            <w:r>
                              <w:rPr>
                                <w:rFonts w:ascii="SimSun" w:hAnsi="SimSun" w:eastAsia="SimSun" w:cs="SimSun"/>
                                <w:sz w:val="24"/>
                                <w:szCs w:val="24"/>
                                <w:spacing w:val="-25"/>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0" style="position:absolute;margin-left:36.2618pt;margin-top:344.755pt;mso-position-vertical-relative:page;mso-position-horizontal-relative:page;width:16.05pt;height:17.55pt;z-index:251758592;rotation:90;" o:allowincell="f" filled="false" stroked="false" type="#_x0000_t202">
                <v:fill on="false"/>
                <v:stroke on="false"/>
                <v:path/>
                <v:imagedata o:title=""/>
                <o:lock v:ext="edit" aspectratio="false"/>
                <v:textbox inset="0mm,0mm,0mm,0mm">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8"/>
                        </w:rPr>
                        <w:t>10</w:t>
                      </w:r>
                      <w:r>
                        <w:rPr>
                          <w:rFonts w:ascii="SimSun" w:hAnsi="SimSun" w:eastAsia="SimSun" w:cs="SimSun"/>
                          <w:sz w:val="24"/>
                          <w:szCs w:val="24"/>
                          <w:spacing w:val="-25"/>
                        </w:rPr>
                        <w:t>1</w:t>
                      </w:r>
                    </w:p>
                  </w:txbxContent>
                </v:textbox>
              </v:shape>
            </w:pict>
          </mc:Fallback>
        </mc:AlternateContent>
      </w:r>
      <w:r/>
    </w:p>
    <w:p>
      <w:pPr>
        <w:spacing w:before="51"/>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27"/>
        <w:gridCol w:w="949"/>
        <w:gridCol w:w="969"/>
        <w:gridCol w:w="389"/>
        <w:gridCol w:w="39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6" w:type="dxa"/>
            <w:vAlign w:val="top"/>
          </w:tcPr>
          <w:p>
            <w:pPr>
              <w:pStyle w:val="TableText"/>
              <w:ind w:left="174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73" w:line="207"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656" w:hRule="atLeast"/>
        </w:trPr>
        <w:tc>
          <w:tcPr>
            <w:tcW w:w="295"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4"/>
              <w:spacing w:before="48" w:line="182" w:lineRule="auto"/>
              <w:rPr/>
            </w:pPr>
            <w:r>
              <w:rPr/>
              <w:t>7</w:t>
            </w:r>
          </w:p>
        </w:tc>
        <w:tc>
          <w:tcPr>
            <w:tcW w:w="4126" w:type="dxa"/>
            <w:vAlign w:val="top"/>
          </w:tcPr>
          <w:p>
            <w:pPr>
              <w:spacing w:line="415" w:lineRule="auto"/>
              <w:rPr>
                <w:rFonts w:ascii="Arial"/>
                <w:sz w:val="21"/>
              </w:rPr>
            </w:pPr>
            <w:r/>
          </w:p>
          <w:p>
            <w:pPr>
              <w:pStyle w:val="TableText"/>
              <w:ind w:left="30" w:right="51"/>
              <w:spacing w:before="49" w:line="251" w:lineRule="auto"/>
              <w:rPr/>
            </w:pPr>
            <w:r>
              <w:rPr>
                <w:spacing w:val="-1"/>
              </w:rPr>
              <w:t>一、对中小微企业实施阶段性缓缴职工医保单位缴费政策。统</w:t>
            </w:r>
            <w:r>
              <w:rPr>
                <w:spacing w:val="10"/>
              </w:rPr>
              <w:t xml:space="preserve"> </w:t>
            </w:r>
            <w:r>
              <w:rPr>
                <w:spacing w:val="-1"/>
              </w:rPr>
              <w:t>筹基金累计结存可支付月数大于6个月的统筹地区，自2022</w:t>
            </w:r>
          </w:p>
          <w:p>
            <w:pPr>
              <w:pStyle w:val="TableText"/>
              <w:ind w:left="20" w:firstLine="40"/>
              <w:spacing w:before="41" w:line="255" w:lineRule="auto"/>
              <w:rPr/>
            </w:pPr>
            <w:r>
              <w:rPr/>
              <w:t>年7月起，对中小微企业、以单位方式参保</w:t>
            </w:r>
            <w:r>
              <w:rPr>
                <w:spacing w:val="-1"/>
              </w:rPr>
              <w:t>的个体工商户缓缴</w:t>
            </w:r>
            <w:r>
              <w:rPr/>
              <w:t xml:space="preserve">  </w:t>
            </w:r>
            <w:r>
              <w:rPr>
                <w:spacing w:val="4"/>
              </w:rPr>
              <w:t>3个月职工医保单位缴费，缓缴期间免收滞纳金。社会团体、</w:t>
            </w:r>
            <w:r>
              <w:rPr>
                <w:spacing w:val="11"/>
              </w:rPr>
              <w:t xml:space="preserve"> </w:t>
            </w:r>
            <w:r>
              <w:rPr/>
              <w:t>基金会、社会服务机构、律师事务所、会计师事务所等社会组</w:t>
            </w:r>
            <w:r>
              <w:rPr>
                <w:spacing w:val="3"/>
              </w:rPr>
              <w:t xml:space="preserve"> </w:t>
            </w:r>
            <w:r>
              <w:rPr>
                <w:spacing w:val="-1"/>
              </w:rPr>
              <w:t>织参照执行。</w:t>
            </w:r>
          </w:p>
          <w:p>
            <w:pPr>
              <w:pStyle w:val="TableText"/>
              <w:ind w:left="20" w:right="1" w:firstLine="10"/>
              <w:spacing w:before="49" w:line="256" w:lineRule="auto"/>
              <w:jc w:val="both"/>
              <w:rPr/>
            </w:pPr>
            <w:r>
              <w:rPr>
                <w:spacing w:val="-1"/>
              </w:rPr>
              <w:t>二、确保缓缴期间参保人待遇应享尽享。中小微企业缓缴职工 </w:t>
            </w:r>
            <w:r>
              <w:rPr>
                <w:spacing w:val="1"/>
              </w:rPr>
              <w:t>医保单位缴费，不影响该企业参保人就医正常报销医疗费用。</w:t>
            </w:r>
            <w:r>
              <w:rPr>
                <w:spacing w:val="16"/>
              </w:rPr>
              <w:t xml:space="preserve"> </w:t>
            </w:r>
            <w:r>
              <w:rPr>
                <w:spacing w:val="-1"/>
              </w:rPr>
              <w:t>缓缴期间，相关企业参保人发生的符合基本医保政策规定的医 </w:t>
            </w:r>
            <w:r>
              <w:rPr/>
              <w:t>疗费用应及时报销、应报尽报，确保基本医保报销水平保持稳</w:t>
            </w:r>
            <w:r>
              <w:rPr>
                <w:spacing w:val="3"/>
              </w:rPr>
              <w:t xml:space="preserve"> </w:t>
            </w:r>
            <w:r>
              <w:rPr>
                <w:spacing w:val="-1"/>
              </w:rPr>
              <w:t>定不降低。</w:t>
            </w:r>
          </w:p>
          <w:p>
            <w:pPr>
              <w:pStyle w:val="TableText"/>
              <w:ind w:left="10" w:firstLine="19"/>
              <w:spacing w:before="61" w:line="258" w:lineRule="auto"/>
              <w:jc w:val="both"/>
              <w:rPr/>
            </w:pPr>
            <w:r>
              <w:rPr>
                <w:spacing w:val="-1"/>
              </w:rPr>
              <w:t>三、全面推行“免申即享”经办模式。符合条件的中小微企业</w:t>
            </w:r>
            <w:r>
              <w:rPr>
                <w:spacing w:val="3"/>
              </w:rPr>
              <w:t xml:space="preserve">  </w:t>
            </w:r>
            <w:r>
              <w:rPr/>
              <w:t>无需提出缓缴申请即可享受缓缴单位缴费政策。各地要结</w:t>
            </w:r>
            <w:r>
              <w:rPr>
                <w:spacing w:val="-1"/>
              </w:rPr>
              <w:t>合实</w:t>
            </w:r>
            <w:r>
              <w:rPr/>
              <w:t xml:space="preserve">  </w:t>
            </w:r>
            <w:r>
              <w:rPr/>
              <w:t>际做好政策宣传，明确操作流程，主动向社会公开。中小微企 </w:t>
            </w:r>
            <w:r>
              <w:rPr>
                <w:spacing w:val="-1"/>
              </w:rPr>
              <w:t>业具体标准参考《关于印发中小企业划型标准规定的通知》(工</w:t>
            </w:r>
          </w:p>
          <w:p>
            <w:pPr>
              <w:pStyle w:val="TableText"/>
              <w:ind w:left="10" w:right="27" w:firstLine="89"/>
              <w:spacing w:before="40" w:line="259" w:lineRule="auto"/>
              <w:rPr/>
            </w:pPr>
            <w:r>
              <w:rPr/>
              <w:t>信部联企业〔2011〕300号)等划型规定，在</w:t>
            </w:r>
            <w:r>
              <w:rPr>
                <w:spacing w:val="-1"/>
              </w:rPr>
              <w:t>当地政府主导下</w:t>
            </w:r>
            <w:r>
              <w:rPr/>
              <w:t xml:space="preserve">  </w:t>
            </w:r>
            <w:r>
              <w:rPr>
                <w:spacing w:val="1"/>
              </w:rPr>
              <w:t>由医疗保障、税务部门会同相关部门联合确定名单。现有数据</w:t>
            </w:r>
            <w:r>
              <w:rPr/>
              <w:t xml:space="preserve"> </w:t>
            </w:r>
            <w:r>
              <w:rPr/>
              <w:t>可以确定企业类型的，直接采用相关部门的划型结论；现有数</w:t>
            </w:r>
            <w:r>
              <w:rPr>
                <w:spacing w:val="11"/>
              </w:rPr>
              <w:t xml:space="preserve"> </w:t>
            </w:r>
            <w:r>
              <w:rPr/>
              <w:t>据无法满足企业划型需求的，可由企业向核定缴费部门出具书</w:t>
            </w:r>
            <w:r>
              <w:rPr>
                <w:spacing w:val="13"/>
              </w:rPr>
              <w:t xml:space="preserve"> </w:t>
            </w:r>
            <w:r>
              <w:rPr/>
              <w:t>面承诺。要加强部门协作，优化工作环节，创新服务方式，减</w:t>
            </w:r>
            <w:r>
              <w:rPr>
                <w:spacing w:val="12"/>
              </w:rPr>
              <w:t xml:space="preserve"> </w:t>
            </w:r>
            <w:r>
              <w:rPr/>
              <w:t>轻企业事务性负担，并做好个人权益记录，确保参保人权益不</w:t>
            </w:r>
            <w:r>
              <w:rPr>
                <w:spacing w:val="12"/>
              </w:rPr>
              <w:t xml:space="preserve"> </w:t>
            </w:r>
            <w:r>
              <w:rPr>
                <w:spacing w:val="-1"/>
              </w:rPr>
              <w:t>受影响。</w:t>
            </w:r>
          </w:p>
        </w:tc>
        <w:tc>
          <w:tcPr>
            <w:tcW w:w="2527" w:type="dxa"/>
            <w:vAlign w:val="top"/>
          </w:tcPr>
          <w:p>
            <w:pPr>
              <w:spacing w:line="426" w:lineRule="auto"/>
              <w:rPr>
                <w:rFonts w:ascii="Arial"/>
                <w:sz w:val="21"/>
              </w:rPr>
            </w:pPr>
            <w:r/>
          </w:p>
          <w:p>
            <w:pPr>
              <w:pStyle w:val="TableText"/>
              <w:ind w:left="33" w:right="27" w:firstLine="60"/>
              <w:spacing w:before="48" w:line="255" w:lineRule="auto"/>
              <w:jc w:val="both"/>
              <w:rPr/>
            </w:pPr>
            <w:r>
              <w:rPr>
                <w:spacing w:val="-1"/>
              </w:rPr>
              <w:t>国家医保局、国家发改委、财政部，</w:t>
            </w:r>
            <w:r>
              <w:rPr>
                <w:spacing w:val="10"/>
              </w:rPr>
              <w:t xml:space="preserve"> </w:t>
            </w:r>
            <w:r>
              <w:rPr>
                <w:spacing w:val="1"/>
              </w:rPr>
              <w:t>国家税务总局《关于阶段性缓缴职工</w:t>
            </w:r>
            <w:r>
              <w:rPr>
                <w:spacing w:val="11"/>
              </w:rPr>
              <w:t xml:space="preserve"> </w:t>
            </w:r>
            <w:r>
              <w:rPr/>
              <w:t>基本医疗保险单位缴费的通知》医保</w:t>
            </w:r>
            <w:r>
              <w:rPr>
                <w:spacing w:val="13"/>
              </w:rPr>
              <w:t xml:space="preserve"> </w:t>
            </w:r>
            <w:r>
              <w:rPr>
                <w:spacing w:val="-1"/>
              </w:rPr>
              <w:t>发〔2022〕21号</w:t>
            </w:r>
          </w:p>
        </w:tc>
        <w:tc>
          <w:tcPr>
            <w:tcW w:w="949" w:type="dxa"/>
            <w:vAlign w:val="top"/>
          </w:tcPr>
          <w:p>
            <w:pPr>
              <w:spacing w:line="425" w:lineRule="auto"/>
              <w:rPr>
                <w:rFonts w:ascii="Arial"/>
                <w:sz w:val="21"/>
              </w:rPr>
            </w:pPr>
            <w:r/>
          </w:p>
          <w:p>
            <w:pPr>
              <w:pStyle w:val="TableText"/>
              <w:ind w:left="6" w:right="1" w:firstLine="20"/>
              <w:spacing w:before="49" w:line="246" w:lineRule="auto"/>
              <w:jc w:val="both"/>
              <w:rPr/>
            </w:pPr>
            <w:r>
              <w:rPr>
                <w:spacing w:val="-8"/>
              </w:rPr>
              <w:t>2</w:t>
            </w:r>
            <w:r>
              <w:rPr>
                <w:spacing w:val="-26"/>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7"/>
              </w:rPr>
              <w:t xml:space="preserve"> </w:t>
            </w:r>
            <w:r>
              <w:rPr>
                <w:spacing w:val="-8"/>
              </w:rPr>
              <w:t>6</w:t>
            </w:r>
            <w:r>
              <w:rPr>
                <w:spacing w:val="-25"/>
              </w:rPr>
              <w:t xml:space="preserve"> </w:t>
            </w:r>
            <w:r>
              <w:rPr>
                <w:spacing w:val="-8"/>
              </w:rPr>
              <w:t>月</w:t>
            </w:r>
            <w:r>
              <w:rPr/>
              <w:t xml:space="preserve"> </w:t>
            </w:r>
            <w:r>
              <w:rPr>
                <w:spacing w:val="-17"/>
              </w:rPr>
              <w:t>3</w:t>
            </w:r>
            <w:r>
              <w:rPr>
                <w:spacing w:val="-13"/>
              </w:rPr>
              <w:t xml:space="preserve"> </w:t>
            </w:r>
            <w:r>
              <w:rPr>
                <w:spacing w:val="-17"/>
              </w:rPr>
              <w:t>0</w:t>
            </w:r>
            <w:r>
              <w:rPr>
                <w:spacing w:val="8"/>
              </w:rPr>
              <w:t xml:space="preserve"> </w:t>
            </w:r>
            <w:r>
              <w:rPr>
                <w:spacing w:val="-17"/>
              </w:rPr>
              <w:t>日</w:t>
            </w:r>
            <w:r>
              <w:rPr>
                <w:spacing w:val="10"/>
              </w:rPr>
              <w:t xml:space="preserve"> </w:t>
            </w:r>
            <w:r>
              <w:rPr>
                <w:spacing w:val="-16"/>
              </w:rPr>
              <w:t>( 文</w:t>
            </w:r>
            <w:r>
              <w:rPr>
                <w:spacing w:val="-18"/>
              </w:rPr>
              <w:t xml:space="preserve"> </w:t>
            </w:r>
            <w:r>
              <w:rPr>
                <w:spacing w:val="-13"/>
              </w:rPr>
              <w:t>件</w:t>
            </w:r>
            <w:r>
              <w:rPr/>
              <w:t xml:space="preserve"> </w:t>
            </w:r>
            <w:r>
              <w:rPr>
                <w:spacing w:val="8"/>
              </w:rPr>
              <w:t>签发时间</w:t>
            </w:r>
          </w:p>
        </w:tc>
        <w:tc>
          <w:tcPr>
            <w:tcW w:w="969" w:type="dxa"/>
            <w:vAlign w:val="top"/>
          </w:tcPr>
          <w:p>
            <w:pPr>
              <w:spacing w:line="396" w:lineRule="auto"/>
              <w:rPr>
                <w:rFonts w:ascii="Arial"/>
                <w:sz w:val="21"/>
              </w:rPr>
            </w:pPr>
            <w:r/>
          </w:p>
          <w:p>
            <w:pPr>
              <w:pStyle w:val="TableText"/>
              <w:ind w:left="177"/>
              <w:spacing w:before="49" w:line="220" w:lineRule="auto"/>
              <w:rPr/>
            </w:pPr>
            <w:r>
              <w:rPr>
                <w:spacing w:val="-2"/>
              </w:rPr>
              <w:t>参保企业</w:t>
            </w:r>
          </w:p>
        </w:tc>
        <w:tc>
          <w:tcPr>
            <w:tcW w:w="389" w:type="dxa"/>
            <w:vAlign w:val="top"/>
          </w:tcPr>
          <w:p>
            <w:pPr>
              <w:spacing w:line="406" w:lineRule="auto"/>
              <w:rPr>
                <w:rFonts w:ascii="Arial"/>
                <w:sz w:val="21"/>
              </w:rPr>
            </w:pPr>
            <w:r/>
          </w:p>
          <w:p>
            <w:pPr>
              <w:pStyle w:val="TableText"/>
              <w:ind w:left="38"/>
              <w:spacing w:before="49" w:line="221" w:lineRule="auto"/>
              <w:rPr/>
            </w:pPr>
            <w:r>
              <w:rPr>
                <w:spacing w:val="-4"/>
              </w:rPr>
              <w:t>阶段</w:t>
            </w:r>
          </w:p>
          <w:p>
            <w:pPr>
              <w:pStyle w:val="TableText"/>
              <w:ind w:left="38"/>
              <w:spacing w:before="40" w:line="221" w:lineRule="auto"/>
              <w:rPr/>
            </w:pPr>
            <w:r>
              <w:rPr>
                <w:spacing w:val="-2"/>
              </w:rPr>
              <w:t>性通</w:t>
            </w:r>
          </w:p>
          <w:p>
            <w:pPr>
              <w:pStyle w:val="TableText"/>
              <w:ind w:left="119"/>
              <w:spacing w:before="31" w:line="221" w:lineRule="auto"/>
              <w:rPr/>
            </w:pPr>
            <w:r>
              <w:rPr/>
              <w:t>知</w:t>
            </w:r>
          </w:p>
        </w:tc>
        <w:tc>
          <w:tcPr>
            <w:tcW w:w="394" w:type="dxa"/>
            <w:vAlign w:val="top"/>
          </w:tcPr>
          <w:p>
            <w:pPr>
              <w:spacing w:line="405" w:lineRule="auto"/>
              <w:rPr>
                <w:rFonts w:ascii="Arial"/>
                <w:sz w:val="21"/>
              </w:rPr>
            </w:pPr>
            <w:r/>
          </w:p>
          <w:p>
            <w:pPr>
              <w:pStyle w:val="TableText"/>
              <w:ind w:left="40"/>
              <w:spacing w:before="49" w:line="219" w:lineRule="auto"/>
              <w:rPr/>
            </w:pPr>
            <w:r>
              <w:rPr>
                <w:spacing w:val="-2"/>
              </w:rPr>
              <w:t>缓缴</w:t>
            </w:r>
          </w:p>
        </w:tc>
      </w:tr>
    </w:tbl>
    <w:p>
      <w:pPr>
        <w:pStyle w:val="BodyText"/>
        <w:rPr/>
      </w:pPr>
      <w:r/>
    </w:p>
    <w:p>
      <w:pPr>
        <w:sectPr>
          <w:pgSz w:w="11910" w:h="8220"/>
          <w:pgMar w:top="400" w:right="113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59616" behindDoc="0" locked="0" layoutInCell="0" allowOverlap="1">
                <wp:simplePos x="0" y="0"/>
                <wp:positionH relativeFrom="page">
                  <wp:posOffset>458917</wp:posOffset>
                </wp:positionH>
                <wp:positionV relativeFrom="page">
                  <wp:posOffset>614619</wp:posOffset>
                </wp:positionV>
                <wp:extent cx="175260" cy="165100"/>
                <wp:effectExtent l="0" t="0" r="0" b="0"/>
                <wp:wrapNone/>
                <wp:docPr id="70" name="TextBox 70"/>
                <wp:cNvGraphicFramePr/>
                <a:graphic>
                  <a:graphicData uri="http://schemas.microsoft.com/office/word/2010/wordprocessingShape">
                    <wps:wsp>
                      <wps:cNvSpPr txBox="1"/>
                      <wps:spPr>
                        <a:xfrm rot="5400000">
                          <a:off x="458917" y="614619"/>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2" style="position:absolute;margin-left:36.1352pt;margin-top:48.3952pt;mso-position-vertical-relative:page;mso-position-horizontal-relative:page;width:13.8pt;height:13pt;z-index:25175961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102</w:t>
                      </w:r>
                    </w:p>
                  </w:txbxContent>
                </v:textbox>
              </v:shape>
            </w:pict>
          </mc:Fallback>
        </mc:AlternateContent>
      </w:r>
      <w:r/>
    </w:p>
    <w:p>
      <w:pPr>
        <w:spacing w:before="51"/>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94"/>
      </w:tblGrid>
      <w:tr>
        <w:trPr>
          <w:trHeight w:val="494" w:hRule="atLeast"/>
        </w:trPr>
        <w:tc>
          <w:tcPr>
            <w:tcW w:w="285" w:type="dxa"/>
            <w:vAlign w:val="top"/>
            <w:textDirection w:val="tbRlV"/>
          </w:tcPr>
          <w:p>
            <w:pPr>
              <w:pStyle w:val="TableText"/>
              <w:ind w:left="47"/>
              <w:spacing w:before="70" w:line="217" w:lineRule="auto"/>
              <w:rPr/>
            </w:pPr>
            <w:r>
              <w:rPr/>
              <w:t>序</w:t>
            </w:r>
            <w:r>
              <w:rPr>
                <w:spacing w:val="16"/>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86"/>
              <w:spacing w:before="171" w:line="219" w:lineRule="auto"/>
              <w:rPr/>
            </w:pPr>
            <w:r>
              <w:rPr>
                <w:spacing w:val="3"/>
              </w:rPr>
              <w:t>执行时间</w:t>
            </w:r>
          </w:p>
        </w:tc>
        <w:tc>
          <w:tcPr>
            <w:tcW w:w="969" w:type="dxa"/>
            <w:vAlign w:val="top"/>
          </w:tcPr>
          <w:p>
            <w:pPr>
              <w:pStyle w:val="TableText"/>
              <w:ind w:left="177"/>
              <w:spacing w:before="73" w:line="21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1" w:lineRule="auto"/>
              <w:rPr/>
            </w:pPr>
            <w:r>
              <w:rPr>
                <w:spacing w:val="-3"/>
              </w:rPr>
              <w:t>政策</w:t>
            </w:r>
            <w:r>
              <w:rPr/>
              <w:t xml:space="preserve"> </w:t>
            </w:r>
            <w:r>
              <w:rPr>
                <w:spacing w:val="-3"/>
              </w:rPr>
              <w:t>类别</w:t>
            </w:r>
          </w:p>
        </w:tc>
        <w:tc>
          <w:tcPr>
            <w:tcW w:w="394" w:type="dxa"/>
            <w:vAlign w:val="top"/>
          </w:tcPr>
          <w:p>
            <w:pPr>
              <w:pStyle w:val="TableText"/>
              <w:ind w:left="40" w:right="49"/>
              <w:spacing w:before="62" w:line="252" w:lineRule="auto"/>
              <w:rPr/>
            </w:pPr>
            <w:r>
              <w:rPr>
                <w:spacing w:val="-3"/>
              </w:rPr>
              <w:t>政策</w:t>
            </w:r>
            <w:r>
              <w:rPr/>
              <w:t xml:space="preserve"> </w:t>
            </w:r>
            <w:r>
              <w:rPr>
                <w:spacing w:val="-4"/>
              </w:rPr>
              <w:t>形式</w:t>
            </w:r>
          </w:p>
        </w:tc>
      </w:tr>
      <w:tr>
        <w:trPr>
          <w:trHeight w:val="4653" w:hRule="atLeast"/>
        </w:trPr>
        <w:tc>
          <w:tcPr>
            <w:tcW w:w="285"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94"/>
              <w:spacing w:before="49" w:line="183" w:lineRule="auto"/>
              <w:rPr/>
            </w:pPr>
            <w:r>
              <w:rPr/>
              <w:t>8</w:t>
            </w:r>
          </w:p>
        </w:tc>
        <w:tc>
          <w:tcPr>
            <w:tcW w:w="4136" w:type="dxa"/>
            <w:vAlign w:val="top"/>
          </w:tcPr>
          <w:p>
            <w:pPr>
              <w:pStyle w:val="TableText"/>
              <w:ind w:left="30"/>
              <w:spacing w:before="197" w:line="219" w:lineRule="auto"/>
              <w:rPr/>
            </w:pPr>
            <w:r>
              <w:rPr>
                <w:spacing w:val="-1"/>
              </w:rPr>
              <w:t>一、阶段性实施失业补助金政策。2020年3月至12月，领取</w:t>
            </w:r>
          </w:p>
          <w:p>
            <w:pPr>
              <w:pStyle w:val="TableText"/>
              <w:ind w:left="30" w:right="51"/>
              <w:spacing w:before="41" w:line="265" w:lineRule="auto"/>
              <w:rPr/>
            </w:pPr>
            <w:r>
              <w:rPr>
                <w:spacing w:val="-1"/>
              </w:rPr>
              <w:t>失业保险金期满仍未就业的失业人员、不符合领取失业保险金</w:t>
            </w:r>
            <w:r>
              <w:rPr>
                <w:spacing w:val="16"/>
              </w:rPr>
              <w:t xml:space="preserve"> </w:t>
            </w:r>
            <w:r>
              <w:rPr>
                <w:spacing w:val="1"/>
              </w:rPr>
              <w:t>条件的参保失业人员，可以申领6个月的失业补助金，标准不</w:t>
            </w:r>
            <w:r>
              <w:rPr>
                <w:spacing w:val="4"/>
              </w:rPr>
              <w:t xml:space="preserve"> </w:t>
            </w:r>
            <w:r>
              <w:rPr>
                <w:spacing w:val="1"/>
              </w:rPr>
              <w:t>超过当地失业保险金的80%。领取失业补助金期间不享受失业</w:t>
            </w:r>
            <w:r>
              <w:rPr>
                <w:spacing w:val="5"/>
              </w:rPr>
              <w:t xml:space="preserve"> </w:t>
            </w:r>
            <w:r>
              <w:rPr/>
              <w:t>保险金、代缴基本医疗保险费、丧葬补助金</w:t>
            </w:r>
            <w:r>
              <w:rPr>
                <w:spacing w:val="-1"/>
              </w:rPr>
              <w:t>和抚恤金。失业人</w:t>
            </w:r>
            <w:r>
              <w:rPr/>
              <w:t xml:space="preserve"> </w:t>
            </w:r>
            <w:r>
              <w:rPr>
                <w:spacing w:val="-1"/>
              </w:rPr>
              <w:t>员领取失业补助金期满、被用人单位招用并参保、死亡、应征</w:t>
            </w:r>
            <w:r>
              <w:rPr>
                <w:spacing w:val="14"/>
              </w:rPr>
              <w:t xml:space="preserve"> </w:t>
            </w:r>
            <w:r>
              <w:rPr/>
              <w:t>服兵役、移居境外、享受城镇职工基本养老保</w:t>
            </w:r>
            <w:r>
              <w:rPr>
                <w:spacing w:val="-1"/>
              </w:rPr>
              <w:t>险或城乡居民养</w:t>
            </w:r>
            <w:r>
              <w:rPr/>
              <w:t xml:space="preserve"> </w:t>
            </w:r>
            <w:r>
              <w:rPr>
                <w:spacing w:val="-1"/>
              </w:rPr>
              <w:t>老保险待遇、被判刑收监执行的，停发失业补助金。领取失业</w:t>
            </w:r>
            <w:r>
              <w:rPr>
                <w:spacing w:val="17"/>
              </w:rPr>
              <w:t xml:space="preserve"> </w:t>
            </w:r>
            <w:r>
              <w:rPr/>
              <w:t>补助金期限不核减参保缴费年限。失业补助金</w:t>
            </w:r>
            <w:r>
              <w:rPr>
                <w:spacing w:val="-1"/>
              </w:rPr>
              <w:t>按月发放，从失</w:t>
            </w:r>
            <w:r>
              <w:rPr/>
              <w:t xml:space="preserve"> </w:t>
            </w:r>
            <w:r>
              <w:rPr>
                <w:spacing w:val="-1"/>
              </w:rPr>
              <w:t>业保险基金“其他支出”科目列支。</w:t>
            </w:r>
          </w:p>
          <w:p>
            <w:pPr>
              <w:pStyle w:val="TableText"/>
              <w:ind w:left="50" w:right="54" w:hanging="20"/>
              <w:spacing w:before="41" w:line="254" w:lineRule="auto"/>
              <w:rPr/>
            </w:pPr>
            <w:r>
              <w:rPr>
                <w:spacing w:val="-1"/>
              </w:rPr>
              <w:t>二、阶段性扩大失业农民工保障范围。对《失业保险条例》规</w:t>
            </w:r>
            <w:r>
              <w:rPr>
                <w:spacing w:val="17"/>
              </w:rPr>
              <w:t xml:space="preserve"> </w:t>
            </w:r>
            <w:r>
              <w:rPr/>
              <w:t>定的参保单位招用、个人不缴费且连续工作满1年的失业农民</w:t>
            </w:r>
            <w:r>
              <w:rPr>
                <w:spacing w:val="9"/>
              </w:rPr>
              <w:t xml:space="preserve"> </w:t>
            </w:r>
            <w:r>
              <w:rPr/>
              <w:t>工，及时发放一次性生活补助。2020年5月至</w:t>
            </w:r>
            <w:r>
              <w:rPr>
                <w:spacing w:val="-1"/>
              </w:rPr>
              <w:t>12月，对2019</w:t>
            </w:r>
          </w:p>
          <w:p>
            <w:pPr>
              <w:pStyle w:val="TableText"/>
              <w:ind w:left="40"/>
              <w:spacing w:before="42" w:line="219" w:lineRule="auto"/>
              <w:rPr/>
            </w:pPr>
            <w:r>
              <w:rPr/>
              <w:t>年1月1日之后参保不满1年的失业农民工</w:t>
            </w:r>
            <w:r>
              <w:rPr>
                <w:spacing w:val="-1"/>
              </w:rPr>
              <w:t>，参照参保地城市</w:t>
            </w:r>
          </w:p>
          <w:p>
            <w:pPr>
              <w:pStyle w:val="TableText"/>
              <w:ind w:left="10" w:right="53" w:firstLine="60"/>
              <w:spacing w:before="41" w:line="250" w:lineRule="auto"/>
              <w:rPr/>
            </w:pPr>
            <w:r>
              <w:rPr/>
              <w:t>低保标准，按月发放不超过3个月的临时生活</w:t>
            </w:r>
            <w:r>
              <w:rPr>
                <w:spacing w:val="-1"/>
              </w:rPr>
              <w:t>补助。与城镇职</w:t>
            </w:r>
            <w:r>
              <w:rPr/>
              <w:t xml:space="preserve"> </w:t>
            </w:r>
            <w:r>
              <w:rPr/>
              <w:t>工同等参保缴费的失业农民工，按参保地规定发放失业保险金</w:t>
            </w:r>
            <w:r>
              <w:rPr>
                <w:spacing w:val="11"/>
              </w:rPr>
              <w:t xml:space="preserve"> </w:t>
            </w:r>
            <w:r>
              <w:rPr>
                <w:spacing w:val="-1"/>
              </w:rPr>
              <w:t>或失业补助金。</w:t>
            </w:r>
          </w:p>
          <w:p>
            <w:pPr>
              <w:pStyle w:val="TableText"/>
              <w:ind w:left="30"/>
              <w:spacing w:before="49" w:line="218" w:lineRule="auto"/>
              <w:rPr/>
            </w:pPr>
            <w:r>
              <w:rPr/>
              <w:t>三、阶段性提高价格临时补贴标准。2020年</w:t>
            </w:r>
            <w:r>
              <w:rPr>
                <w:spacing w:val="-1"/>
              </w:rPr>
              <w:t>3月至6月，对</w:t>
            </w:r>
          </w:p>
          <w:p>
            <w:pPr>
              <w:pStyle w:val="TableText"/>
              <w:ind w:left="30" w:right="51"/>
              <w:spacing w:before="43" w:line="246" w:lineRule="auto"/>
              <w:rPr/>
            </w:pPr>
            <w:r>
              <w:rPr/>
              <w:t>领取失业保险金和失业补助金人员发放的价格</w:t>
            </w:r>
            <w:r>
              <w:rPr>
                <w:spacing w:val="-1"/>
              </w:rPr>
              <w:t>临时补贴，补贴</w:t>
            </w:r>
            <w:r>
              <w:rPr/>
              <w:t xml:space="preserve"> </w:t>
            </w:r>
            <w:r>
              <w:rPr>
                <w:spacing w:val="-1"/>
              </w:rPr>
              <w:t>标准在现行标准基础上提高1倍</w:t>
            </w:r>
          </w:p>
        </w:tc>
        <w:tc>
          <w:tcPr>
            <w:tcW w:w="2527" w:type="dxa"/>
            <w:vAlign w:val="top"/>
          </w:tcPr>
          <w:p>
            <w:pPr>
              <w:pStyle w:val="TableText"/>
              <w:ind w:left="43" w:right="68" w:firstLine="10"/>
              <w:spacing w:before="195" w:line="250" w:lineRule="auto"/>
              <w:jc w:val="both"/>
              <w:rPr/>
            </w:pPr>
            <w:r>
              <w:rPr>
                <w:spacing w:val="-1"/>
              </w:rPr>
              <w:t>人力资源社会保障部、财政部《关于</w:t>
            </w:r>
            <w:r>
              <w:rPr>
                <w:spacing w:val="7"/>
              </w:rPr>
              <w:t xml:space="preserve"> </w:t>
            </w:r>
            <w:r>
              <w:rPr/>
              <w:t>扩大失业保险保障范围的通知》人社</w:t>
            </w:r>
            <w:r>
              <w:rPr>
                <w:spacing w:val="3"/>
              </w:rPr>
              <w:t xml:space="preserve"> </w:t>
            </w:r>
            <w:r>
              <w:rPr>
                <w:spacing w:val="-1"/>
              </w:rPr>
              <w:t>部发〔2020〕40号</w:t>
            </w:r>
          </w:p>
        </w:tc>
        <w:tc>
          <w:tcPr>
            <w:tcW w:w="949" w:type="dxa"/>
            <w:vAlign w:val="top"/>
          </w:tcPr>
          <w:p>
            <w:pPr>
              <w:pStyle w:val="TableText"/>
              <w:ind w:left="16" w:right="11"/>
              <w:spacing w:before="196" w:line="246" w:lineRule="auto"/>
              <w:jc w:val="both"/>
              <w:rPr/>
            </w:pPr>
            <w:r>
              <w:rPr>
                <w:spacing w:val="-8"/>
              </w:rPr>
              <w:t>2</w:t>
            </w:r>
            <w:r>
              <w:rPr>
                <w:spacing w:val="-27"/>
              </w:rPr>
              <w:t xml:space="preserve"> </w:t>
            </w:r>
            <w:r>
              <w:rPr>
                <w:spacing w:val="-8"/>
              </w:rPr>
              <w:t>0</w:t>
            </w:r>
            <w:r>
              <w:rPr>
                <w:spacing w:val="-27"/>
              </w:rPr>
              <w:t xml:space="preserve"> </w:t>
            </w:r>
            <w:r>
              <w:rPr>
                <w:spacing w:val="-8"/>
              </w:rPr>
              <w:t>2</w:t>
            </w:r>
            <w:r>
              <w:rPr>
                <w:spacing w:val="-27"/>
              </w:rPr>
              <w:t xml:space="preserve"> </w:t>
            </w:r>
            <w:r>
              <w:rPr>
                <w:spacing w:val="-8"/>
              </w:rPr>
              <w:t>0</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16"/>
              </w:rPr>
              <w:t>2</w:t>
            </w:r>
            <w:r>
              <w:rPr>
                <w:spacing w:val="-19"/>
              </w:rPr>
              <w:t xml:space="preserve"> </w:t>
            </w:r>
            <w:r>
              <w:rPr>
                <w:spacing w:val="-16"/>
              </w:rPr>
              <w:t>9</w:t>
            </w:r>
            <w:r>
              <w:rPr>
                <w:spacing w:val="5"/>
              </w:rPr>
              <w:t xml:space="preserve"> </w:t>
            </w:r>
            <w:r>
              <w:rPr>
                <w:spacing w:val="-16"/>
              </w:rPr>
              <w:t>日</w:t>
            </w:r>
            <w:r>
              <w:rPr>
                <w:spacing w:val="5"/>
              </w:rPr>
              <w:t xml:space="preserve"> </w:t>
            </w:r>
            <w:r>
              <w:rPr>
                <w:spacing w:val="-16"/>
              </w:rPr>
              <w:t>(</w:t>
            </w:r>
            <w:r>
              <w:rPr>
                <w:spacing w:val="-18"/>
              </w:rPr>
              <w:t xml:space="preserve"> </w:t>
            </w:r>
            <w:r>
              <w:rPr>
                <w:spacing w:val="-16"/>
              </w:rPr>
              <w:t>发</w:t>
            </w:r>
            <w:r>
              <w:rPr>
                <w:spacing w:val="-20"/>
              </w:rPr>
              <w:t xml:space="preserve"> </w:t>
            </w:r>
            <w:r>
              <w:rPr>
                <w:spacing w:val="-16"/>
              </w:rPr>
              <w:t>文</w:t>
            </w:r>
            <w:r>
              <w:rPr/>
              <w:t xml:space="preserve"> </w:t>
            </w:r>
            <w:r>
              <w:rPr>
                <w:spacing w:val="9"/>
              </w:rPr>
              <w:t>日期)</w:t>
            </w:r>
          </w:p>
        </w:tc>
        <w:tc>
          <w:tcPr>
            <w:tcW w:w="969" w:type="dxa"/>
            <w:vAlign w:val="top"/>
          </w:tcPr>
          <w:p>
            <w:pPr>
              <w:pStyle w:val="TableText"/>
              <w:ind w:left="327" w:right="35" w:hanging="299"/>
              <w:spacing w:before="187" w:line="249" w:lineRule="auto"/>
              <w:rPr/>
            </w:pPr>
            <w:r>
              <w:rPr>
                <w:spacing w:val="-1"/>
              </w:rPr>
              <w:t>缴纳失业保险</w:t>
            </w:r>
            <w:r>
              <w:rPr/>
              <w:t xml:space="preserve"> </w:t>
            </w:r>
            <w:r>
              <w:rPr>
                <w:spacing w:val="-3"/>
              </w:rPr>
              <w:t>企业</w:t>
            </w:r>
          </w:p>
        </w:tc>
        <w:tc>
          <w:tcPr>
            <w:tcW w:w="389" w:type="dxa"/>
            <w:vAlign w:val="top"/>
          </w:tcPr>
          <w:p>
            <w:pPr>
              <w:pStyle w:val="TableText"/>
              <w:ind w:left="38"/>
              <w:spacing w:before="177" w:line="221" w:lineRule="auto"/>
              <w:rPr/>
            </w:pPr>
            <w:r>
              <w:rPr>
                <w:spacing w:val="-4"/>
              </w:rPr>
              <w:t>阶段</w:t>
            </w:r>
          </w:p>
          <w:p>
            <w:pPr>
              <w:pStyle w:val="TableText"/>
              <w:ind w:left="38"/>
              <w:spacing w:before="40" w:line="221" w:lineRule="auto"/>
              <w:rPr/>
            </w:pPr>
            <w:r>
              <w:rPr>
                <w:spacing w:val="-2"/>
              </w:rPr>
              <w:t>性通</w:t>
            </w:r>
          </w:p>
          <w:p>
            <w:pPr>
              <w:pStyle w:val="TableText"/>
              <w:ind w:left="119"/>
              <w:spacing w:before="41" w:line="221" w:lineRule="auto"/>
              <w:rPr/>
            </w:pPr>
            <w:r>
              <w:rPr/>
              <w:t>知</w:t>
            </w:r>
          </w:p>
        </w:tc>
        <w:tc>
          <w:tcPr>
            <w:tcW w:w="394" w:type="dxa"/>
            <w:vAlign w:val="top"/>
          </w:tcPr>
          <w:p>
            <w:pPr>
              <w:pStyle w:val="TableText"/>
              <w:ind w:left="40" w:right="29"/>
              <w:spacing w:before="176" w:line="261" w:lineRule="auto"/>
              <w:jc w:val="both"/>
              <w:rPr/>
            </w:pPr>
            <w:r>
              <w:rPr>
                <w:spacing w:val="-3"/>
              </w:rPr>
              <w:t>扩大</w:t>
            </w:r>
            <w:r>
              <w:rPr/>
              <w:t xml:space="preserve"> </w:t>
            </w:r>
            <w:r>
              <w:rPr>
                <w:spacing w:val="-5"/>
              </w:rPr>
              <w:t>失业</w:t>
            </w:r>
            <w:r>
              <w:rPr/>
              <w:t xml:space="preserve"> </w:t>
            </w:r>
            <w:r>
              <w:rPr>
                <w:spacing w:val="-4"/>
              </w:rPr>
              <w:t>保险</w:t>
            </w:r>
            <w:r>
              <w:rPr/>
              <w:t xml:space="preserve"> </w:t>
            </w:r>
            <w:r>
              <w:rPr>
                <w:spacing w:val="-4"/>
              </w:rPr>
              <w:t>保障</w:t>
            </w:r>
            <w:r>
              <w:rPr/>
              <w:t xml:space="preserve"> </w:t>
            </w:r>
            <w:r>
              <w:rPr>
                <w:spacing w:val="6"/>
              </w:rPr>
              <w:t>范围</w:t>
            </w:r>
          </w:p>
        </w:tc>
      </w:tr>
      <w:tr>
        <w:trPr>
          <w:trHeight w:val="1053" w:hRule="atLeast"/>
        </w:trPr>
        <w:tc>
          <w:tcPr>
            <w:tcW w:w="285" w:type="dxa"/>
            <w:vAlign w:val="top"/>
          </w:tcPr>
          <w:p>
            <w:pPr>
              <w:spacing w:line="441" w:lineRule="auto"/>
              <w:rPr>
                <w:rFonts w:ascii="Arial"/>
                <w:sz w:val="21"/>
              </w:rPr>
            </w:pPr>
            <w:r/>
          </w:p>
          <w:p>
            <w:pPr>
              <w:pStyle w:val="TableText"/>
              <w:ind w:left="94"/>
              <w:spacing w:before="49" w:line="183" w:lineRule="auto"/>
              <w:rPr/>
            </w:pPr>
            <w:r>
              <w:rPr/>
              <w:t>9</w:t>
            </w:r>
          </w:p>
        </w:tc>
        <w:tc>
          <w:tcPr>
            <w:tcW w:w="4136" w:type="dxa"/>
            <w:vAlign w:val="top"/>
          </w:tcPr>
          <w:p>
            <w:pPr>
              <w:pStyle w:val="TableText"/>
              <w:ind w:left="40" w:right="103" w:firstLine="69"/>
              <w:spacing w:before="203" w:line="233" w:lineRule="auto"/>
              <w:rPr/>
            </w:pPr>
            <w:r>
              <w:rPr/>
              <w:t>5月1日起各地可将城镇职工基本养老保险单位缴费比例从原</w:t>
            </w:r>
            <w:r>
              <w:rPr>
                <w:spacing w:val="11"/>
              </w:rPr>
              <w:t xml:space="preserve"> </w:t>
            </w:r>
            <w:r>
              <w:rPr>
                <w:spacing w:val="-1"/>
              </w:rPr>
              <w:t>规定的20%降至16%等降低社保费率</w:t>
            </w:r>
          </w:p>
        </w:tc>
        <w:tc>
          <w:tcPr>
            <w:tcW w:w="2527" w:type="dxa"/>
            <w:vAlign w:val="top"/>
          </w:tcPr>
          <w:p>
            <w:pPr>
              <w:pStyle w:val="TableText"/>
              <w:ind w:left="133"/>
              <w:spacing w:before="193" w:line="219" w:lineRule="auto"/>
              <w:rPr/>
            </w:pPr>
            <w:r>
              <w:rPr/>
              <w:t>国务院办公厅《关于印发降低社会</w:t>
            </w:r>
          </w:p>
          <w:p>
            <w:pPr>
              <w:pStyle w:val="TableText"/>
              <w:ind w:left="33" w:right="133" w:firstLine="100"/>
              <w:spacing w:before="43" w:line="246" w:lineRule="auto"/>
              <w:rPr/>
            </w:pPr>
            <w:r>
              <w:rPr>
                <w:spacing w:val="-1"/>
              </w:rPr>
              <w:t>保障费综合方案的通知》国办发〔</w:t>
            </w:r>
            <w:r>
              <w:rPr>
                <w:spacing w:val="13"/>
              </w:rPr>
              <w:t xml:space="preserve"> </w:t>
            </w:r>
            <w:r>
              <w:rPr>
                <w:spacing w:val="-1"/>
              </w:rPr>
              <w:t>2019〕13号</w:t>
            </w:r>
          </w:p>
        </w:tc>
        <w:tc>
          <w:tcPr>
            <w:tcW w:w="949" w:type="dxa"/>
            <w:vAlign w:val="top"/>
          </w:tcPr>
          <w:p>
            <w:pPr>
              <w:pStyle w:val="TableText"/>
              <w:ind w:left="16" w:right="6"/>
              <w:spacing w:before="203"/>
              <w:rPr/>
            </w:pPr>
            <w:r>
              <w:rPr>
                <w:spacing w:val="20"/>
              </w:rPr>
              <w:t>2019年5月1</w:t>
            </w:r>
            <w:r>
              <w:rPr>
                <w:spacing w:val="4"/>
              </w:rPr>
              <w:t xml:space="preserve"> </w:t>
            </w:r>
            <w:r>
              <w:rPr>
                <w:spacing w:val="-16"/>
              </w:rPr>
              <w:t>日</w:t>
            </w:r>
            <w:r>
              <w:rPr>
                <w:spacing w:val="39"/>
              </w:rPr>
              <w:t xml:space="preserve"> </w:t>
            </w:r>
            <w:r>
              <w:rPr>
                <w:spacing w:val="-16"/>
              </w:rPr>
              <w:t>起</w:t>
            </w:r>
          </w:p>
        </w:tc>
        <w:tc>
          <w:tcPr>
            <w:tcW w:w="969" w:type="dxa"/>
            <w:vAlign w:val="top"/>
          </w:tcPr>
          <w:p>
            <w:pPr>
              <w:pStyle w:val="TableText"/>
              <w:ind w:left="28"/>
              <w:spacing w:before="194" w:line="219" w:lineRule="auto"/>
              <w:rPr/>
            </w:pPr>
            <w:r>
              <w:rPr>
                <w:spacing w:val="-1"/>
              </w:rPr>
              <w:t>缴纳社保单位</w:t>
            </w:r>
          </w:p>
        </w:tc>
        <w:tc>
          <w:tcPr>
            <w:tcW w:w="389" w:type="dxa"/>
            <w:vAlign w:val="top"/>
          </w:tcPr>
          <w:p>
            <w:pPr>
              <w:pStyle w:val="TableText"/>
              <w:ind w:left="38" w:right="46"/>
              <w:spacing w:before="184" w:line="245" w:lineRule="auto"/>
              <w:rPr/>
            </w:pPr>
            <w:r>
              <w:rPr>
                <w:spacing w:val="-4"/>
              </w:rPr>
              <w:t>社会</w:t>
            </w:r>
            <w:r>
              <w:rPr/>
              <w:t xml:space="preserve"> </w:t>
            </w:r>
            <w:r>
              <w:rPr>
                <w:spacing w:val="-4"/>
              </w:rPr>
              <w:t>保障</w:t>
            </w:r>
          </w:p>
        </w:tc>
        <w:tc>
          <w:tcPr>
            <w:tcW w:w="394" w:type="dxa"/>
            <w:vAlign w:val="top"/>
          </w:tcPr>
          <w:p>
            <w:pPr>
              <w:pStyle w:val="TableText"/>
              <w:ind w:left="40" w:right="34"/>
              <w:spacing w:before="182" w:line="250" w:lineRule="auto"/>
              <w:jc w:val="both"/>
              <w:rPr/>
            </w:pPr>
            <w:r>
              <w:rPr>
                <w:spacing w:val="4"/>
              </w:rPr>
              <w:t>降低</w:t>
            </w:r>
            <w:r>
              <w:rPr/>
              <w:t xml:space="preserve"> </w:t>
            </w:r>
            <w:r>
              <w:rPr>
                <w:spacing w:val="-4"/>
              </w:rPr>
              <w:t>社保</w:t>
            </w:r>
            <w:r>
              <w:rPr/>
              <w:t xml:space="preserve"> </w:t>
            </w:r>
            <w:r>
              <w:rPr>
                <w:spacing w:val="3"/>
              </w:rPr>
              <w:t>费率</w:t>
            </w:r>
          </w:p>
        </w:tc>
      </w:tr>
    </w:tbl>
    <w:p>
      <w:pPr>
        <w:pStyle w:val="BodyText"/>
        <w:rPr/>
      </w:pPr>
      <w:r/>
    </w:p>
    <w:p>
      <w:pPr>
        <w:sectPr>
          <w:pgSz w:w="11910" w:h="8220"/>
          <w:pgMar w:top="400" w:right="113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760640"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72" name="TextBox 72"/>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4" style="position:absolute;margin-left:37.3042pt;margin-top:345.373pt;mso-position-vertical-relative:page;mso-position-horizontal-relative:page;width:13.1pt;height:12.4pt;z-index:25176064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103</w:t>
                      </w:r>
                    </w:p>
                  </w:txbxContent>
                </v:textbox>
              </v:shape>
            </w:pict>
          </mc:Fallback>
        </mc:AlternateContent>
      </w:r>
      <w:r/>
    </w:p>
    <w:p>
      <w:pPr>
        <w:spacing w:before="46"/>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26"/>
        <w:gridCol w:w="2517"/>
        <w:gridCol w:w="969"/>
        <w:gridCol w:w="969"/>
        <w:gridCol w:w="389"/>
        <w:gridCol w:w="384"/>
      </w:tblGrid>
      <w:tr>
        <w:trPr>
          <w:trHeight w:val="514" w:hRule="atLeast"/>
        </w:trPr>
        <w:tc>
          <w:tcPr>
            <w:tcW w:w="285" w:type="dxa"/>
            <w:vAlign w:val="top"/>
            <w:textDirection w:val="tbRlV"/>
          </w:tcPr>
          <w:p>
            <w:pPr>
              <w:pStyle w:val="TableText"/>
              <w:ind w:left="57"/>
              <w:spacing w:before="70" w:line="217" w:lineRule="auto"/>
              <w:rPr/>
            </w:pPr>
            <w:r>
              <w:rPr/>
              <w:t>序</w:t>
            </w:r>
            <w:r>
              <w:rPr>
                <w:spacing w:val="16"/>
              </w:rPr>
              <w:t xml:space="preserve"> </w:t>
            </w:r>
            <w:r>
              <w:rPr/>
              <w:t>号</w:t>
            </w:r>
          </w:p>
        </w:tc>
        <w:tc>
          <w:tcPr>
            <w:tcW w:w="4126" w:type="dxa"/>
            <w:vAlign w:val="top"/>
          </w:tcPr>
          <w:p>
            <w:pPr>
              <w:pStyle w:val="TableText"/>
              <w:ind w:left="1749"/>
              <w:spacing w:before="181" w:line="219" w:lineRule="auto"/>
              <w:rPr/>
            </w:pPr>
            <w:r>
              <w:rPr>
                <w:spacing w:val="-2"/>
              </w:rPr>
              <w:t>主要内容</w:t>
            </w:r>
          </w:p>
        </w:tc>
        <w:tc>
          <w:tcPr>
            <w:tcW w:w="2517" w:type="dxa"/>
            <w:vAlign w:val="top"/>
          </w:tcPr>
          <w:p>
            <w:pPr>
              <w:pStyle w:val="TableText"/>
              <w:ind w:left="953"/>
              <w:spacing w:before="180" w:line="219" w:lineRule="auto"/>
              <w:rPr/>
            </w:pPr>
            <w:r>
              <w:rPr>
                <w:spacing w:val="-1"/>
              </w:rPr>
              <w:t>政策依据</w:t>
            </w:r>
          </w:p>
        </w:tc>
        <w:tc>
          <w:tcPr>
            <w:tcW w:w="969" w:type="dxa"/>
            <w:vAlign w:val="top"/>
          </w:tcPr>
          <w:p>
            <w:pPr>
              <w:pStyle w:val="TableText"/>
              <w:ind w:left="177"/>
              <w:spacing w:before="181" w:line="219" w:lineRule="auto"/>
              <w:rPr/>
            </w:pPr>
            <w:r>
              <w:rPr>
                <w:spacing w:val="3"/>
              </w:rPr>
              <w:t>执行时间</w:t>
            </w:r>
          </w:p>
        </w:tc>
        <w:tc>
          <w:tcPr>
            <w:tcW w:w="969" w:type="dxa"/>
            <w:vAlign w:val="top"/>
          </w:tcPr>
          <w:p>
            <w:pPr>
              <w:pStyle w:val="TableText"/>
              <w:ind w:left="177"/>
              <w:spacing w:before="83" w:line="20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71" w:line="246" w:lineRule="auto"/>
              <w:rPr/>
            </w:pPr>
            <w:r>
              <w:rPr>
                <w:spacing w:val="-3"/>
              </w:rPr>
              <w:t>政策</w:t>
            </w:r>
            <w:r>
              <w:rPr/>
              <w:t xml:space="preserve"> </w:t>
            </w:r>
            <w:r>
              <w:rPr>
                <w:spacing w:val="-4"/>
              </w:rPr>
              <w:t>形式</w:t>
            </w:r>
          </w:p>
        </w:tc>
      </w:tr>
      <w:tr>
        <w:trPr>
          <w:trHeight w:val="259" w:hRule="atLeast"/>
        </w:trPr>
        <w:tc>
          <w:tcPr>
            <w:shd w:val="clear" w:fill="DBDCDC"/>
            <w:tcW w:w="9639" w:type="dxa"/>
            <w:vAlign w:val="top"/>
            <w:gridSpan w:val="7"/>
          </w:tcPr>
          <w:p>
            <w:pPr>
              <w:pStyle w:val="TableText"/>
              <w:ind w:left="4297"/>
              <w:spacing w:before="55" w:line="220" w:lineRule="auto"/>
              <w:rPr/>
            </w:pPr>
            <w:r>
              <w:rPr>
                <w:b/>
                <w:bCs/>
                <w:spacing w:val="-3"/>
              </w:rPr>
              <w:t>二、住房公积金</w:t>
            </w:r>
          </w:p>
        </w:tc>
      </w:tr>
      <w:tr>
        <w:trPr>
          <w:trHeight w:val="2116" w:hRule="atLeast"/>
        </w:trPr>
        <w:tc>
          <w:tcPr>
            <w:tcW w:w="28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114"/>
              <w:spacing w:before="20" w:line="184" w:lineRule="auto"/>
              <w:rPr>
                <w:sz w:val="6"/>
                <w:szCs w:val="6"/>
              </w:rPr>
            </w:pPr>
            <w:r>
              <w:rPr>
                <w:sz w:val="6"/>
                <w:szCs w:val="6"/>
              </w:rPr>
              <w:t>1</w:t>
            </w:r>
          </w:p>
        </w:tc>
        <w:tc>
          <w:tcPr>
            <w:tcW w:w="4126" w:type="dxa"/>
            <w:vAlign w:val="top"/>
          </w:tcPr>
          <w:p>
            <w:pPr>
              <w:pStyle w:val="TableText"/>
              <w:ind w:left="10"/>
              <w:spacing w:before="238" w:line="219" w:lineRule="auto"/>
              <w:rPr/>
            </w:pPr>
            <w:r>
              <w:rPr/>
              <w:t>受新冠肺炎疫情影响的企业，可按规定申请</w:t>
            </w:r>
            <w:r>
              <w:rPr>
                <w:spacing w:val="-1"/>
              </w:rPr>
              <w:t>在2020年6月30</w:t>
            </w:r>
          </w:p>
          <w:p>
            <w:pPr>
              <w:pStyle w:val="TableText"/>
              <w:ind w:left="40" w:right="27" w:hanging="10"/>
              <w:spacing w:before="51" w:line="233" w:lineRule="auto"/>
              <w:rPr/>
            </w:pPr>
            <w:r>
              <w:rPr/>
              <w:t>日前缓缴住房公积金，缓缴期间缴存时间连续计算，不影响职</w:t>
            </w:r>
            <w:r>
              <w:rPr>
                <w:spacing w:val="7"/>
              </w:rPr>
              <w:t xml:space="preserve"> </w:t>
            </w:r>
            <w:r>
              <w:rPr>
                <w:spacing w:val="-1"/>
              </w:rPr>
              <w:t>工正常提取和申请住房公积金贷款</w:t>
            </w:r>
          </w:p>
          <w:p>
            <w:pPr>
              <w:pStyle w:val="TableText"/>
              <w:ind w:left="99" w:right="40" w:hanging="69"/>
              <w:spacing w:before="31" w:line="239" w:lineRule="auto"/>
              <w:rPr/>
            </w:pPr>
            <w:r>
              <w:rPr>
                <w:spacing w:val="-1"/>
              </w:rPr>
              <w:t>经认定的新冠肺炎疫情严重和较严重地区，企业在与职工充分</w:t>
            </w:r>
            <w:r>
              <w:rPr>
                <w:spacing w:val="18"/>
                <w:w w:val="101"/>
              </w:rPr>
              <w:t xml:space="preserve"> </w:t>
            </w:r>
            <w:r>
              <w:rPr/>
              <w:t>协商的前提下，可在2020年6月30日前自愿缴存住房公积金。</w:t>
            </w:r>
          </w:p>
          <w:p>
            <w:pPr>
              <w:pStyle w:val="TableText"/>
              <w:ind w:left="20" w:right="21" w:firstLine="10"/>
              <w:spacing w:before="12" w:line="245" w:lineRule="auto"/>
              <w:jc w:val="both"/>
              <w:rPr/>
            </w:pPr>
            <w:r>
              <w:rPr/>
              <w:t>继续缴存的，自主确定缴存比例；停缴的，停缴期间缴存时间</w:t>
            </w:r>
            <w:r>
              <w:rPr>
                <w:spacing w:val="13"/>
              </w:rPr>
              <w:t xml:space="preserve"> </w:t>
            </w:r>
            <w:r>
              <w:rPr/>
              <w:t>连续计算，不影响职工正常提取住房公积金和申请住房公积金</w:t>
            </w:r>
            <w:r>
              <w:rPr>
                <w:spacing w:val="2"/>
              </w:rPr>
              <w:t xml:space="preserve"> </w:t>
            </w:r>
            <w:r>
              <w:rPr>
                <w:spacing w:val="-2"/>
              </w:rPr>
              <w:t>贷款。</w:t>
            </w:r>
          </w:p>
        </w:tc>
        <w:tc>
          <w:tcPr>
            <w:tcW w:w="2517" w:type="dxa"/>
            <w:vAlign w:val="top"/>
          </w:tcPr>
          <w:p>
            <w:pPr>
              <w:pStyle w:val="TableText"/>
              <w:ind w:left="53" w:right="34"/>
              <w:spacing w:before="237" w:line="258" w:lineRule="auto"/>
              <w:jc w:val="both"/>
              <w:rPr/>
            </w:pPr>
            <w:r>
              <w:rPr>
                <w:spacing w:val="-1"/>
              </w:rPr>
              <w:t>住房和城乡建设部、财政部、人民银</w:t>
            </w:r>
            <w:r>
              <w:rPr>
                <w:spacing w:val="9"/>
              </w:rPr>
              <w:t xml:space="preserve"> </w:t>
            </w:r>
            <w:r>
              <w:rPr>
                <w:spacing w:val="-1"/>
              </w:rPr>
              <w:t>行《关于妥善应对新冠肺炎疫情实施</w:t>
            </w:r>
            <w:r>
              <w:rPr>
                <w:spacing w:val="6"/>
              </w:rPr>
              <w:t xml:space="preserve"> </w:t>
            </w:r>
            <w:r>
              <w:rPr>
                <w:spacing w:val="1"/>
              </w:rPr>
              <w:t>住房公积金阶段性支持政策的通知》</w:t>
            </w:r>
          </w:p>
        </w:tc>
        <w:tc>
          <w:tcPr>
            <w:tcW w:w="969" w:type="dxa"/>
            <w:vAlign w:val="top"/>
          </w:tcPr>
          <w:p>
            <w:pPr>
              <w:pStyle w:val="TableText"/>
              <w:ind w:left="26" w:right="11" w:firstLine="10"/>
              <w:spacing w:before="246" w:line="250" w:lineRule="auto"/>
              <w:jc w:val="both"/>
              <w:rPr/>
            </w:pPr>
            <w:r>
              <w:rPr>
                <w:spacing w:val="-8"/>
              </w:rPr>
              <w:t>2</w:t>
            </w:r>
            <w:r>
              <w:rPr>
                <w:spacing w:val="-26"/>
              </w:rPr>
              <w:t xml:space="preserve"> </w:t>
            </w:r>
            <w:r>
              <w:rPr>
                <w:spacing w:val="-8"/>
              </w:rPr>
              <w:t>0</w:t>
            </w:r>
            <w:r>
              <w:rPr>
                <w:spacing w:val="-27"/>
              </w:rPr>
              <w:t xml:space="preserve"> </w:t>
            </w:r>
            <w:r>
              <w:rPr>
                <w:spacing w:val="-8"/>
              </w:rPr>
              <w:t>2</w:t>
            </w:r>
            <w:r>
              <w:rPr>
                <w:spacing w:val="-27"/>
              </w:rPr>
              <w:t xml:space="preserve"> </w:t>
            </w:r>
            <w:r>
              <w:rPr>
                <w:spacing w:val="-8"/>
              </w:rPr>
              <w:t>0</w:t>
            </w:r>
            <w:r>
              <w:rPr>
                <w:spacing w:val="-28"/>
              </w:rPr>
              <w:t xml:space="preserve"> </w:t>
            </w:r>
            <w:r>
              <w:rPr>
                <w:spacing w:val="-8"/>
              </w:rPr>
              <w:t>年</w:t>
            </w:r>
            <w:r>
              <w:rPr>
                <w:spacing w:val="-27"/>
              </w:rPr>
              <w:t xml:space="preserve"> </w:t>
            </w:r>
            <w:r>
              <w:rPr>
                <w:spacing w:val="-8"/>
              </w:rPr>
              <w:t>2</w:t>
            </w:r>
            <w:r>
              <w:rPr>
                <w:spacing w:val="-25"/>
              </w:rPr>
              <w:t xml:space="preserve"> </w:t>
            </w:r>
            <w:r>
              <w:rPr>
                <w:spacing w:val="-8"/>
              </w:rPr>
              <w:t>月</w:t>
            </w:r>
            <w:r>
              <w:rPr/>
              <w:t xml:space="preserve"> </w:t>
            </w:r>
            <w:r>
              <w:rPr>
                <w:spacing w:val="3"/>
              </w:rPr>
              <w:t>21日 至2020</w:t>
            </w:r>
            <w:r>
              <w:rPr>
                <w:spacing w:val="2"/>
              </w:rPr>
              <w:t xml:space="preserve">  </w:t>
            </w:r>
            <w:r>
              <w:rPr>
                <w:spacing w:val="3"/>
              </w:rPr>
              <w:t>年6月30日</w:t>
            </w:r>
          </w:p>
        </w:tc>
        <w:tc>
          <w:tcPr>
            <w:tcW w:w="969" w:type="dxa"/>
            <w:vAlign w:val="top"/>
          </w:tcPr>
          <w:p>
            <w:pPr>
              <w:pStyle w:val="TableText"/>
              <w:ind w:left="28" w:right="37"/>
              <w:spacing w:before="247" w:line="246" w:lineRule="auto"/>
              <w:rPr/>
            </w:pPr>
            <w:r>
              <w:rPr>
                <w:spacing w:val="-2"/>
              </w:rPr>
              <w:t>受新冠肺炎疫</w:t>
            </w:r>
            <w:r>
              <w:rPr>
                <w:spacing w:val="2"/>
              </w:rPr>
              <w:t xml:space="preserve"> </w:t>
            </w:r>
            <w:r>
              <w:rPr>
                <w:spacing w:val="-2"/>
              </w:rPr>
              <w:t>情影响的企业</w:t>
            </w:r>
          </w:p>
        </w:tc>
        <w:tc>
          <w:tcPr>
            <w:tcW w:w="389" w:type="dxa"/>
            <w:vAlign w:val="top"/>
          </w:tcPr>
          <w:p>
            <w:pPr>
              <w:pStyle w:val="TableText"/>
              <w:ind w:left="38"/>
              <w:spacing w:before="229" w:line="221" w:lineRule="auto"/>
              <w:rPr/>
            </w:pPr>
            <w:r>
              <w:rPr>
                <w:spacing w:val="-4"/>
              </w:rPr>
              <w:t>阶段</w:t>
            </w:r>
          </w:p>
          <w:p>
            <w:pPr>
              <w:pStyle w:val="TableText"/>
              <w:ind w:left="38"/>
              <w:spacing w:before="40" w:line="221" w:lineRule="auto"/>
              <w:rPr/>
            </w:pPr>
            <w:r>
              <w:rPr>
                <w:spacing w:val="-2"/>
              </w:rPr>
              <w:t>性通</w:t>
            </w:r>
          </w:p>
          <w:p>
            <w:pPr>
              <w:pStyle w:val="TableText"/>
              <w:ind w:left="119"/>
              <w:spacing w:before="41" w:line="221" w:lineRule="auto"/>
              <w:rPr/>
            </w:pPr>
            <w:r>
              <w:rPr/>
              <w:t>知</w:t>
            </w:r>
          </w:p>
        </w:tc>
        <w:tc>
          <w:tcPr>
            <w:tcW w:w="384" w:type="dxa"/>
            <w:vAlign w:val="top"/>
          </w:tcPr>
          <w:p>
            <w:pPr>
              <w:pStyle w:val="TableText"/>
              <w:ind w:left="20" w:firstLine="84"/>
              <w:spacing w:before="236" w:line="250" w:lineRule="auto"/>
              <w:rPr/>
            </w:pPr>
            <w:r>
              <w:rPr>
                <w:spacing w:val="-10"/>
                <w:w w:val="96"/>
              </w:rPr>
              <w:t>缓</w:t>
            </w:r>
            <w:r>
              <w:rPr/>
              <w:t xml:space="preserve">   </w:t>
            </w:r>
            <w:r>
              <w:rPr>
                <w:spacing w:val="-21"/>
              </w:rPr>
              <w:t>缴</w:t>
            </w:r>
            <w:r>
              <w:rPr>
                <w:spacing w:val="19"/>
                <w:w w:val="101"/>
              </w:rPr>
              <w:t xml:space="preserve"> </w:t>
            </w:r>
            <w:r>
              <w:rPr>
                <w:spacing w:val="-21"/>
              </w:rPr>
              <w:t>、</w:t>
            </w:r>
            <w:r>
              <w:rPr/>
              <w:t xml:space="preserve"> </w:t>
            </w:r>
            <w:r>
              <w:rPr>
                <w:spacing w:val="-1"/>
              </w:rPr>
              <w:t>停缴</w:t>
            </w:r>
          </w:p>
        </w:tc>
      </w:tr>
      <w:tr>
        <w:trPr>
          <w:trHeight w:val="3290" w:hRule="atLeast"/>
        </w:trPr>
        <w:tc>
          <w:tcPr>
            <w:tcW w:w="285"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94"/>
              <w:spacing w:before="49" w:line="183" w:lineRule="auto"/>
              <w:rPr/>
            </w:pPr>
            <w:r>
              <w:rPr/>
              <w:t>2</w:t>
            </w:r>
          </w:p>
        </w:tc>
        <w:tc>
          <w:tcPr>
            <w:tcW w:w="4126" w:type="dxa"/>
            <w:vAlign w:val="top"/>
          </w:tcPr>
          <w:p>
            <w:pPr>
              <w:pStyle w:val="TableText"/>
              <w:ind w:left="30" w:right="36"/>
              <w:spacing w:before="261" w:line="253" w:lineRule="auto"/>
              <w:rPr/>
            </w:pPr>
            <w:r>
              <w:rPr/>
              <w:t>一、切实规范住房公积金缴存基数上限。缴存住房公积金</w:t>
            </w:r>
            <w:r>
              <w:rPr>
                <w:spacing w:val="-1"/>
              </w:rPr>
              <w:t>的月</w:t>
            </w:r>
            <w:r>
              <w:rPr/>
              <w:t xml:space="preserve"> </w:t>
            </w:r>
            <w:r>
              <w:rPr>
                <w:spacing w:val="-1"/>
              </w:rPr>
              <w:t>工资基数，不得高于职工工作地所在设区城市统计部门公布的</w:t>
            </w:r>
            <w:r>
              <w:rPr>
                <w:spacing w:val="18"/>
              </w:rPr>
              <w:t xml:space="preserve"> </w:t>
            </w:r>
            <w:r>
              <w:rPr>
                <w:spacing w:val="-2"/>
              </w:rPr>
              <w:t>上一年度职工月平均工资的3倍。凡超过3倍的，</w:t>
            </w:r>
            <w:r>
              <w:rPr>
                <w:spacing w:val="41"/>
              </w:rPr>
              <w:t xml:space="preserve"> </w:t>
            </w:r>
            <w:r>
              <w:rPr>
                <w:spacing w:val="-2"/>
              </w:rPr>
              <w:t>一律予以规</w:t>
            </w:r>
            <w:r>
              <w:rPr/>
              <w:t xml:space="preserve">  </w:t>
            </w:r>
            <w:r>
              <w:rPr>
                <w:spacing w:val="-1"/>
              </w:rPr>
              <w:t>范调整。</w:t>
            </w:r>
          </w:p>
          <w:p>
            <w:pPr>
              <w:pStyle w:val="TableText"/>
              <w:ind w:left="60" w:right="23" w:hanging="30"/>
              <w:spacing w:before="38" w:line="248" w:lineRule="auto"/>
              <w:rPr/>
            </w:pPr>
            <w:r>
              <w:rPr/>
              <w:t>二、扩大住房公积金缴存比例浮动区间。住房公积金缴存比例</w:t>
            </w:r>
            <w:r>
              <w:rPr>
                <w:spacing w:val="11"/>
              </w:rPr>
              <w:t xml:space="preserve"> </w:t>
            </w:r>
            <w:r>
              <w:rPr>
                <w:spacing w:val="-1"/>
              </w:rPr>
              <w:t>下限为5%,上限由各地区按照《住房公积金管理条例》规定</w:t>
            </w:r>
          </w:p>
          <w:p>
            <w:pPr>
              <w:pStyle w:val="TableText"/>
              <w:ind w:left="30" w:right="279"/>
              <w:spacing w:before="46" w:line="251" w:lineRule="auto"/>
              <w:rPr/>
            </w:pPr>
            <w:r>
              <w:rPr>
                <w:spacing w:val="-1"/>
              </w:rPr>
              <w:t>的程序确定，最高不得超过12%。缴存单位可在5%至当地规</w:t>
            </w:r>
            <w:r>
              <w:rPr>
                <w:spacing w:val="8"/>
              </w:rPr>
              <w:t xml:space="preserve"> </w:t>
            </w:r>
            <w:r>
              <w:rPr/>
              <w:t>定的上限区间内，自主确定住房公积金缴存比例</w:t>
            </w:r>
          </w:p>
          <w:p>
            <w:pPr>
              <w:pStyle w:val="TableText"/>
              <w:ind w:left="99" w:right="109"/>
              <w:spacing w:before="32" w:line="253" w:lineRule="auto"/>
              <w:jc w:val="both"/>
              <w:rPr/>
            </w:pPr>
            <w:r>
              <w:rPr/>
              <w:t>三、提高降低住房公积金缴存比例和缓缴的</w:t>
            </w:r>
            <w:r>
              <w:rPr>
                <w:spacing w:val="-1"/>
              </w:rPr>
              <w:t>审批效率。生产</w:t>
            </w:r>
            <w:r>
              <w:rPr/>
              <w:t xml:space="preserve"> </w:t>
            </w:r>
            <w:r>
              <w:rPr>
                <w:spacing w:val="-1"/>
              </w:rPr>
              <w:t>经营困难的企业，经职工代表大会或工会讨论通过，可申请</w:t>
            </w:r>
            <w:r>
              <w:rPr>
                <w:spacing w:val="17"/>
              </w:rPr>
              <w:t xml:space="preserve"> </w:t>
            </w:r>
            <w:r>
              <w:rPr/>
              <w:t>降低住房公积金缴存比例或者缓缴。住房公积金管理委员会</w:t>
            </w:r>
          </w:p>
          <w:p>
            <w:pPr>
              <w:pStyle w:val="TableText"/>
              <w:ind w:left="20" w:right="121" w:firstLine="79"/>
              <w:spacing w:before="43" w:line="233" w:lineRule="auto"/>
              <w:rPr/>
            </w:pPr>
            <w:r>
              <w:rPr/>
              <w:t>应授权住房公积金管理中心审批，审批时限不</w:t>
            </w:r>
            <w:r>
              <w:rPr>
                <w:spacing w:val="-1"/>
              </w:rPr>
              <w:t>得超过10个工</w:t>
            </w:r>
            <w:r>
              <w:rPr/>
              <w:t xml:space="preserve"> </w:t>
            </w:r>
            <w:r>
              <w:rPr>
                <w:spacing w:val="-2"/>
              </w:rPr>
              <w:t>作日。</w:t>
            </w:r>
          </w:p>
        </w:tc>
        <w:tc>
          <w:tcPr>
            <w:tcW w:w="2517" w:type="dxa"/>
            <w:vAlign w:val="top"/>
          </w:tcPr>
          <w:p>
            <w:pPr>
              <w:pStyle w:val="TableText"/>
              <w:ind w:left="23" w:right="58" w:firstLine="30"/>
              <w:spacing w:before="263" w:line="252" w:lineRule="auto"/>
              <w:jc w:val="both"/>
              <w:rPr/>
            </w:pPr>
            <w:r>
              <w:rPr>
                <w:spacing w:val="-1"/>
              </w:rPr>
              <w:t>住建部、财政部、中国人民银行《关</w:t>
            </w:r>
            <w:r>
              <w:rPr>
                <w:spacing w:val="9"/>
              </w:rPr>
              <w:t xml:space="preserve"> </w:t>
            </w:r>
            <w:r>
              <w:rPr>
                <w:spacing w:val="1"/>
              </w:rPr>
              <w:t>于改进住房公积金缴存机制进一步降</w:t>
            </w:r>
            <w:r>
              <w:rPr>
                <w:spacing w:val="4"/>
              </w:rPr>
              <w:t xml:space="preserve"> </w:t>
            </w:r>
            <w:r>
              <w:rPr>
                <w:spacing w:val="1"/>
              </w:rPr>
              <w:t>低企业成本的通知》建金〔2018〕45</w:t>
            </w:r>
            <w:r>
              <w:rPr>
                <w:spacing w:val="4"/>
              </w:rPr>
              <w:t xml:space="preserve"> </w:t>
            </w:r>
            <w:r>
              <w:rPr/>
              <w:t>号</w:t>
            </w:r>
          </w:p>
        </w:tc>
        <w:tc>
          <w:tcPr>
            <w:tcW w:w="969" w:type="dxa"/>
            <w:vAlign w:val="top"/>
          </w:tcPr>
          <w:p>
            <w:pPr>
              <w:pStyle w:val="TableText"/>
              <w:ind w:left="26" w:right="13" w:hanging="10"/>
              <w:spacing w:before="261" w:line="247" w:lineRule="auto"/>
              <w:jc w:val="both"/>
              <w:rPr/>
            </w:pPr>
            <w:r>
              <w:rPr>
                <w:spacing w:val="22"/>
              </w:rPr>
              <w:t>2016年8月8</w:t>
            </w:r>
            <w:r>
              <w:rPr>
                <w:spacing w:val="1"/>
              </w:rPr>
              <w:t xml:space="preserve"> </w:t>
            </w:r>
            <w:r>
              <w:rPr>
                <w:spacing w:val="5"/>
              </w:rPr>
              <w:t>日(文件签发 </w:t>
            </w:r>
            <w:r>
              <w:rPr>
                <w:spacing w:val="7"/>
              </w:rPr>
              <w:t>时间</w:t>
            </w:r>
          </w:p>
        </w:tc>
        <w:tc>
          <w:tcPr>
            <w:tcW w:w="969" w:type="dxa"/>
            <w:vAlign w:val="top"/>
          </w:tcPr>
          <w:p>
            <w:pPr>
              <w:pStyle w:val="TableText"/>
              <w:ind w:left="177"/>
              <w:spacing w:before="242" w:line="219" w:lineRule="auto"/>
              <w:rPr/>
            </w:pPr>
            <w:r>
              <w:rPr>
                <w:spacing w:val="-1"/>
              </w:rPr>
              <w:t>缴存单位</w:t>
            </w:r>
          </w:p>
        </w:tc>
        <w:tc>
          <w:tcPr>
            <w:tcW w:w="389" w:type="dxa"/>
            <w:vAlign w:val="top"/>
          </w:tcPr>
          <w:p>
            <w:pPr>
              <w:pStyle w:val="TableText"/>
              <w:ind w:left="38"/>
              <w:spacing w:before="243" w:line="221" w:lineRule="auto"/>
              <w:rPr/>
            </w:pPr>
            <w:r>
              <w:rPr>
                <w:spacing w:val="-2"/>
              </w:rPr>
              <w:t>性通</w:t>
            </w:r>
          </w:p>
        </w:tc>
        <w:tc>
          <w:tcPr>
            <w:tcW w:w="384" w:type="dxa"/>
            <w:vAlign w:val="top"/>
          </w:tcPr>
          <w:p>
            <w:pPr>
              <w:pStyle w:val="TableText"/>
              <w:ind w:left="40"/>
              <w:spacing w:before="232" w:line="219" w:lineRule="auto"/>
              <w:rPr/>
            </w:pPr>
            <w:r>
              <w:rPr>
                <w:spacing w:val="-2"/>
              </w:rPr>
              <w:t>缓缴</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61664"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74" name="TextBox 74"/>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6" style="position:absolute;margin-left:36.1352pt;margin-top:49.3939pt;mso-position-vertical-relative:page;mso-position-horizontal-relative:page;width:13.8pt;height:13pt;z-index:251761664;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104</w:t>
                      </w:r>
                    </w:p>
                  </w:txbxContent>
                </v:textbox>
              </v:shape>
            </w:pict>
          </mc:Fallback>
        </mc:AlternateContent>
      </w:r>
      <w:r/>
    </w:p>
    <w:p>
      <w:pPr>
        <w:spacing w:before="51"/>
        <w:rPr/>
      </w:pPr>
      <w:r/>
    </w:p>
    <w:tbl>
      <w:tblPr>
        <w:tblStyle w:val="TableNormal"/>
        <w:tblW w:w="962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5"/>
        <w:gridCol w:w="2517"/>
        <w:gridCol w:w="949"/>
        <w:gridCol w:w="969"/>
        <w:gridCol w:w="390"/>
        <w:gridCol w:w="384"/>
      </w:tblGrid>
      <w:tr>
        <w:trPr>
          <w:trHeight w:val="494" w:hRule="atLeast"/>
        </w:trPr>
        <w:tc>
          <w:tcPr>
            <w:tcW w:w="285" w:type="dxa"/>
            <w:vAlign w:val="top"/>
            <w:textDirection w:val="tbRlV"/>
          </w:tcPr>
          <w:p>
            <w:pPr>
              <w:pStyle w:val="TableText"/>
              <w:ind w:left="47"/>
              <w:spacing w:before="70" w:line="217" w:lineRule="auto"/>
              <w:rPr/>
            </w:pPr>
            <w:r>
              <w:rPr/>
              <w:t>序</w:t>
            </w:r>
            <w:r>
              <w:rPr>
                <w:spacing w:val="16"/>
              </w:rPr>
              <w:t xml:space="preserve"> </w:t>
            </w:r>
            <w:r>
              <w:rPr/>
              <w:t>号</w:t>
            </w:r>
          </w:p>
        </w:tc>
        <w:tc>
          <w:tcPr>
            <w:tcW w:w="4135" w:type="dxa"/>
            <w:vAlign w:val="top"/>
          </w:tcPr>
          <w:p>
            <w:pPr>
              <w:pStyle w:val="TableText"/>
              <w:ind w:left="1759"/>
              <w:spacing w:before="171" w:line="219" w:lineRule="auto"/>
              <w:rPr/>
            </w:pPr>
            <w:r>
              <w:rPr>
                <w:spacing w:val="-2"/>
              </w:rPr>
              <w:t>主要内容</w:t>
            </w:r>
          </w:p>
        </w:tc>
        <w:tc>
          <w:tcPr>
            <w:tcW w:w="2517" w:type="dxa"/>
            <w:vAlign w:val="top"/>
          </w:tcPr>
          <w:p>
            <w:pPr>
              <w:pStyle w:val="TableText"/>
              <w:ind w:left="954"/>
              <w:spacing w:before="170" w:line="219" w:lineRule="auto"/>
              <w:rPr/>
            </w:pPr>
            <w:r>
              <w:rPr>
                <w:spacing w:val="-1"/>
              </w:rPr>
              <w:t>政策依据</w:t>
            </w:r>
          </w:p>
        </w:tc>
        <w:tc>
          <w:tcPr>
            <w:tcW w:w="949" w:type="dxa"/>
            <w:vAlign w:val="top"/>
          </w:tcPr>
          <w:p>
            <w:pPr>
              <w:pStyle w:val="TableText"/>
              <w:ind w:left="168"/>
              <w:spacing w:before="171" w:line="219" w:lineRule="auto"/>
              <w:rPr/>
            </w:pPr>
            <w:r>
              <w:rPr>
                <w:spacing w:val="3"/>
              </w:rPr>
              <w:t>执行时间</w:t>
            </w:r>
          </w:p>
        </w:tc>
        <w:tc>
          <w:tcPr>
            <w:tcW w:w="969" w:type="dxa"/>
            <w:vAlign w:val="top"/>
          </w:tcPr>
          <w:p>
            <w:pPr>
              <w:pStyle w:val="TableText"/>
              <w:ind w:left="178"/>
              <w:spacing w:before="73" w:line="218" w:lineRule="exact"/>
              <w:rPr/>
            </w:pPr>
            <w:r>
              <w:rPr>
                <w:spacing w:val="-3"/>
                <w:position w:val="4"/>
              </w:rPr>
              <w:t>惠及企业</w:t>
            </w:r>
          </w:p>
          <w:p>
            <w:pPr>
              <w:pStyle w:val="TableText"/>
              <w:ind w:left="328"/>
              <w:spacing w:line="219" w:lineRule="auto"/>
              <w:rPr/>
            </w:pPr>
            <w:r>
              <w:rPr>
                <w:spacing w:val="-2"/>
              </w:rPr>
              <w:t>类型</w:t>
            </w:r>
          </w:p>
        </w:tc>
        <w:tc>
          <w:tcPr>
            <w:tcW w:w="390" w:type="dxa"/>
            <w:vAlign w:val="top"/>
          </w:tcPr>
          <w:p>
            <w:pPr>
              <w:pStyle w:val="TableText"/>
              <w:ind w:left="39"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2" w:line="252" w:lineRule="auto"/>
              <w:rPr/>
            </w:pPr>
            <w:r>
              <w:rPr>
                <w:spacing w:val="-3"/>
              </w:rPr>
              <w:t>政策</w:t>
            </w:r>
            <w:r>
              <w:rPr/>
              <w:t xml:space="preserve"> </w:t>
            </w:r>
            <w:r>
              <w:rPr>
                <w:spacing w:val="-4"/>
              </w:rPr>
              <w:t>形式</w:t>
            </w:r>
          </w:p>
        </w:tc>
      </w:tr>
      <w:tr>
        <w:trPr>
          <w:trHeight w:val="259" w:hRule="atLeast"/>
        </w:trPr>
        <w:tc>
          <w:tcPr>
            <w:shd w:val="clear" w:fill="DCDDDD"/>
            <w:tcW w:w="9629" w:type="dxa"/>
            <w:vAlign w:val="top"/>
            <w:gridSpan w:val="7"/>
          </w:tcPr>
          <w:p>
            <w:pPr>
              <w:pStyle w:val="TableText"/>
              <w:ind w:left="4507"/>
              <w:spacing w:before="55" w:line="221" w:lineRule="auto"/>
              <w:rPr/>
            </w:pPr>
            <w:r>
              <w:rPr>
                <w:b/>
                <w:bCs/>
                <w:spacing w:val="-3"/>
              </w:rPr>
              <w:t>三、其它</w:t>
            </w:r>
          </w:p>
        </w:tc>
      </w:tr>
      <w:tr>
        <w:trPr>
          <w:trHeight w:val="1228" w:hRule="atLeast"/>
        </w:trPr>
        <w:tc>
          <w:tcPr>
            <w:tcW w:w="285" w:type="dxa"/>
            <w:vAlign w:val="top"/>
          </w:tcPr>
          <w:p>
            <w:pPr>
              <w:spacing w:line="262" w:lineRule="auto"/>
              <w:rPr>
                <w:rFonts w:ascii="Arial"/>
                <w:sz w:val="21"/>
              </w:rPr>
            </w:pPr>
            <w:r/>
          </w:p>
          <w:p>
            <w:pPr>
              <w:spacing w:line="262" w:lineRule="auto"/>
              <w:rPr>
                <w:rFonts w:ascii="Arial"/>
                <w:sz w:val="21"/>
              </w:rPr>
            </w:pPr>
            <w:r/>
          </w:p>
          <w:p>
            <w:pPr>
              <w:pStyle w:val="TableText"/>
              <w:ind w:left="94"/>
              <w:spacing w:before="48" w:line="184" w:lineRule="auto"/>
              <w:rPr/>
            </w:pPr>
            <w:r>
              <w:rPr/>
              <w:t>1</w:t>
            </w:r>
          </w:p>
        </w:tc>
        <w:tc>
          <w:tcPr>
            <w:tcW w:w="4135" w:type="dxa"/>
            <w:vAlign w:val="top"/>
          </w:tcPr>
          <w:p>
            <w:pPr>
              <w:pStyle w:val="TableText"/>
              <w:ind w:left="109"/>
              <w:spacing w:before="98" w:line="219" w:lineRule="auto"/>
              <w:rPr/>
            </w:pPr>
            <w:r>
              <w:rPr/>
              <w:t>对企业招用离校2年内未就业高校毕业生、登记失</w:t>
            </w:r>
            <w:r>
              <w:rPr>
                <w:spacing w:val="-1"/>
              </w:rPr>
              <w:t>业的16-24</w:t>
            </w:r>
          </w:p>
          <w:p>
            <w:pPr>
              <w:pStyle w:val="TableText"/>
              <w:ind w:left="109"/>
              <w:spacing w:before="60" w:line="219" w:lineRule="auto"/>
              <w:rPr/>
            </w:pPr>
            <w:r>
              <w:rPr/>
              <w:t>岁青年、登记失业半年以上人员，签订1年以上劳动合同的，</w:t>
            </w:r>
          </w:p>
          <w:p>
            <w:pPr>
              <w:pStyle w:val="TableText"/>
              <w:ind w:left="10" w:right="122" w:firstLine="99"/>
              <w:spacing w:before="42" w:line="245" w:lineRule="auto"/>
              <w:rPr/>
            </w:pPr>
            <w:r>
              <w:rPr/>
              <w:t>按照每人1000元标准给予一次性吸纳就</w:t>
            </w:r>
            <w:r>
              <w:rPr>
                <w:spacing w:val="-1"/>
              </w:rPr>
              <w:t>业补贴。政策实施期</w:t>
            </w:r>
            <w:r>
              <w:rPr/>
              <w:t xml:space="preserve"> </w:t>
            </w:r>
            <w:r>
              <w:rPr>
                <w:spacing w:val="-1"/>
              </w:rPr>
              <w:t>限截止2023年12月31日。</w:t>
            </w:r>
          </w:p>
        </w:tc>
        <w:tc>
          <w:tcPr>
            <w:tcW w:w="2517" w:type="dxa"/>
            <w:vAlign w:val="top"/>
          </w:tcPr>
          <w:p>
            <w:pPr>
              <w:pStyle w:val="TableText"/>
              <w:ind w:left="34" w:hanging="34"/>
              <w:spacing w:before="96" w:line="255" w:lineRule="auto"/>
              <w:jc w:val="both"/>
              <w:rPr/>
            </w:pPr>
            <w:r>
              <w:rPr>
                <w:spacing w:val="-2"/>
              </w:rPr>
              <w:t>《关于优化调整稳就业政策措施全力</w:t>
            </w:r>
            <w:r>
              <w:rPr>
                <w:spacing w:val="4"/>
              </w:rPr>
              <w:t xml:space="preserve">  </w:t>
            </w:r>
            <w:r>
              <w:rPr>
                <w:spacing w:val="4"/>
              </w:rPr>
              <w:t>发展惠民生的通知》国办发〔2023〕</w:t>
            </w:r>
            <w:r>
              <w:rPr/>
              <w:t xml:space="preserve"> </w:t>
            </w:r>
            <w:r>
              <w:rPr>
                <w:spacing w:val="2"/>
              </w:rPr>
              <w:t>11号</w:t>
            </w:r>
          </w:p>
        </w:tc>
        <w:tc>
          <w:tcPr>
            <w:tcW w:w="949" w:type="dxa"/>
            <w:vAlign w:val="top"/>
          </w:tcPr>
          <w:p>
            <w:pPr>
              <w:pStyle w:val="TableText"/>
              <w:ind w:left="17"/>
              <w:spacing w:before="98" w:line="219" w:lineRule="auto"/>
              <w:rPr/>
            </w:pPr>
            <w:r>
              <w:rPr>
                <w:spacing w:val="3"/>
              </w:rPr>
              <w:t>2023年04月</w:t>
            </w:r>
          </w:p>
          <w:p>
            <w:pPr>
              <w:pStyle w:val="TableText"/>
              <w:ind w:left="97" w:right="51" w:hanging="40"/>
              <w:spacing w:before="66" w:line="230" w:lineRule="auto"/>
              <w:rPr/>
            </w:pPr>
            <w:r>
              <w:rPr>
                <w:spacing w:val="-2"/>
              </w:rPr>
              <w:t>19日</w:t>
            </w:r>
            <w:r>
              <w:rPr>
                <w:spacing w:val="19"/>
              </w:rPr>
              <w:t xml:space="preserve"> </w:t>
            </w:r>
            <w:r>
              <w:rPr>
                <w:spacing w:val="-2"/>
              </w:rPr>
              <w:t>至2023</w:t>
            </w:r>
            <w:r>
              <w:rPr/>
              <w:t xml:space="preserve"> </w:t>
            </w:r>
            <w:r>
              <w:rPr>
                <w:spacing w:val="3"/>
              </w:rPr>
              <w:t>年12月31日</w:t>
            </w:r>
          </w:p>
        </w:tc>
        <w:tc>
          <w:tcPr>
            <w:tcW w:w="969" w:type="dxa"/>
            <w:vAlign w:val="top"/>
          </w:tcPr>
          <w:p>
            <w:pPr>
              <w:pStyle w:val="TableText"/>
              <w:ind w:left="178"/>
              <w:spacing w:before="99" w:line="221" w:lineRule="auto"/>
              <w:rPr/>
            </w:pPr>
            <w:r>
              <w:rPr>
                <w:spacing w:val="-2"/>
              </w:rPr>
              <w:t>用人企业</w:t>
            </w:r>
          </w:p>
        </w:tc>
        <w:tc>
          <w:tcPr>
            <w:tcW w:w="390" w:type="dxa"/>
            <w:vAlign w:val="top"/>
          </w:tcPr>
          <w:p>
            <w:pPr>
              <w:pStyle w:val="TableText"/>
              <w:ind w:left="39" w:right="47"/>
              <w:spacing w:before="88" w:line="246" w:lineRule="auto"/>
              <w:rPr/>
            </w:pPr>
            <w:r>
              <w:rPr>
                <w:spacing w:val="-4"/>
              </w:rPr>
              <w:t>就业</w:t>
            </w:r>
            <w:r>
              <w:rPr/>
              <w:t xml:space="preserve"> </w:t>
            </w:r>
            <w:r>
              <w:rPr>
                <w:spacing w:val="-4"/>
              </w:rPr>
              <w:t>指导</w:t>
            </w:r>
          </w:p>
        </w:tc>
        <w:tc>
          <w:tcPr>
            <w:tcW w:w="384" w:type="dxa"/>
            <w:vAlign w:val="top"/>
          </w:tcPr>
          <w:p>
            <w:pPr>
              <w:pStyle w:val="TableText"/>
              <w:ind w:left="40" w:right="39"/>
              <w:spacing w:before="99" w:line="260" w:lineRule="auto"/>
              <w:jc w:val="both"/>
              <w:rPr/>
            </w:pPr>
            <w:r>
              <w:rPr>
                <w:spacing w:val="-5"/>
              </w:rPr>
              <w:t>一次</w:t>
            </w:r>
            <w:r>
              <w:rPr/>
              <w:t xml:space="preserve"> </w:t>
            </w:r>
            <w:r>
              <w:rPr>
                <w:spacing w:val="-4"/>
              </w:rPr>
              <w:t>性吸</w:t>
            </w:r>
            <w:r>
              <w:rPr/>
              <w:t xml:space="preserve"> </w:t>
            </w:r>
            <w:r>
              <w:rPr>
                <w:spacing w:val="-4"/>
              </w:rPr>
              <w:t>纳就</w:t>
            </w:r>
            <w:r>
              <w:rPr/>
              <w:t xml:space="preserve"> </w:t>
            </w:r>
            <w:r>
              <w:rPr>
                <w:spacing w:val="-3"/>
              </w:rPr>
              <w:t>业补</w:t>
            </w:r>
            <w:r>
              <w:rPr/>
              <w:t xml:space="preserve"> </w:t>
            </w:r>
            <w:r>
              <w:rPr>
                <w:spacing w:val="24"/>
                <w:w w:val="125"/>
              </w:rPr>
              <w:t>贴</w:t>
            </w:r>
          </w:p>
        </w:tc>
      </w:tr>
      <w:tr>
        <w:trPr>
          <w:trHeight w:val="3405" w:hRule="atLeast"/>
        </w:trPr>
        <w:tc>
          <w:tcPr>
            <w:tcW w:w="285"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94"/>
              <w:spacing w:before="48" w:line="183" w:lineRule="auto"/>
              <w:rPr/>
            </w:pPr>
            <w:r>
              <w:rPr/>
              <w:t>2</w:t>
            </w:r>
          </w:p>
        </w:tc>
        <w:tc>
          <w:tcPr>
            <w:tcW w:w="4135" w:type="dxa"/>
            <w:vAlign w:val="top"/>
          </w:tcPr>
          <w:p>
            <w:pPr>
              <w:pStyle w:val="TableText"/>
              <w:ind w:left="20" w:right="50" w:firstLine="89"/>
              <w:spacing w:before="89" w:line="262" w:lineRule="auto"/>
              <w:rPr/>
            </w:pPr>
            <w:r>
              <w:rPr/>
              <w:t>一、对招用毕业时间为2022年1-12月</w:t>
            </w:r>
            <w:r>
              <w:rPr>
                <w:spacing w:val="-1"/>
              </w:rPr>
              <w:t>且取得普通高等学校毕</w:t>
            </w:r>
            <w:r>
              <w:rPr/>
              <w:t xml:space="preserve">  </w:t>
            </w:r>
            <w:r>
              <w:rPr/>
              <w:t>业证书的普通高校毕业生，签订劳动合同，并为其缴纳失业保</w:t>
            </w:r>
            <w:r>
              <w:rPr>
                <w:spacing w:val="3"/>
              </w:rPr>
              <w:t xml:space="preserve"> </w:t>
            </w:r>
            <w:r>
              <w:rPr/>
              <w:t>险费1个月以上的企业，可以按每招用1人不超过1500元的</w:t>
            </w:r>
          </w:p>
          <w:p>
            <w:pPr>
              <w:pStyle w:val="TableText"/>
              <w:ind w:left="20"/>
              <w:spacing w:before="42" w:line="219" w:lineRule="auto"/>
              <w:rPr/>
            </w:pPr>
            <w:r>
              <w:rPr>
                <w:spacing w:val="-1"/>
              </w:rPr>
              <w:t>标准发放一次性扩岗补助。政策执行至2022年12月底</w:t>
            </w:r>
          </w:p>
          <w:p>
            <w:pPr>
              <w:pStyle w:val="TableText"/>
              <w:ind w:left="30" w:right="33"/>
              <w:spacing w:before="38" w:line="262" w:lineRule="auto"/>
              <w:jc w:val="both"/>
              <w:rPr/>
            </w:pPr>
            <w:r>
              <w:rPr>
                <w:spacing w:val="-1"/>
              </w:rPr>
              <w:t>二、各地可采取“免申即享”的方式，按照“方便、快捷、规</w:t>
            </w:r>
            <w:r>
              <w:rPr>
                <w:spacing w:val="17"/>
              </w:rPr>
              <w:t xml:space="preserve"> </w:t>
            </w:r>
            <w:r>
              <w:rPr/>
              <w:t>范、安全”的原则，主动向符合条件的企业发放一次性扩岗补</w:t>
            </w:r>
            <w:r>
              <w:rPr>
                <w:spacing w:val="10"/>
              </w:rPr>
              <w:t xml:space="preserve"> </w:t>
            </w:r>
            <w:r>
              <w:rPr/>
              <w:t>助。可按月将本地新参保人员信息与部省人社</w:t>
            </w:r>
            <w:r>
              <w:rPr>
                <w:spacing w:val="-1"/>
              </w:rPr>
              <w:t>业务协同平台提</w:t>
            </w:r>
            <w:r>
              <w:rPr/>
              <w:t xml:space="preserve"> </w:t>
            </w:r>
            <w:r>
              <w:rPr/>
              <w:t>供的“普通高校应届毕业生身份核验接口”比</w:t>
            </w:r>
            <w:r>
              <w:rPr>
                <w:spacing w:val="-1"/>
              </w:rPr>
              <w:t>对，确认参保人</w:t>
            </w:r>
            <w:r>
              <w:rPr/>
              <w:t xml:space="preserve"> </w:t>
            </w:r>
            <w:r>
              <w:rPr>
                <w:spacing w:val="-1"/>
              </w:rPr>
              <w:t>为毕业年度普通高校毕业生的，将一次性扩岗补助资金发放至</w:t>
            </w:r>
            <w:r>
              <w:rPr>
                <w:spacing w:val="18"/>
              </w:rPr>
              <w:t xml:space="preserve"> </w:t>
            </w:r>
            <w:r>
              <w:rPr>
                <w:spacing w:val="-1"/>
              </w:rPr>
              <w:t>用人企业对公账户，对没有对公账户的企业，可将资金发放至</w:t>
            </w:r>
            <w:r>
              <w:rPr>
                <w:spacing w:val="18"/>
                <w:w w:val="101"/>
              </w:rPr>
              <w:t xml:space="preserve"> </w:t>
            </w:r>
            <w:r>
              <w:rPr>
                <w:spacing w:val="1"/>
              </w:rPr>
              <w:t>当地税务部门提供的该企业缴纳社会保险费账户</w:t>
            </w:r>
          </w:p>
          <w:p>
            <w:pPr>
              <w:pStyle w:val="TableText"/>
              <w:ind w:left="20" w:right="24" w:firstLine="10"/>
              <w:spacing w:before="42" w:line="245" w:lineRule="auto"/>
              <w:rPr/>
            </w:pPr>
            <w:r>
              <w:rPr>
                <w:spacing w:val="1"/>
              </w:rPr>
              <w:t>三、各地失业保险经办机构要开设服务窗口</w:t>
            </w:r>
            <w:r>
              <w:rPr/>
              <w:t>，便于企业自行申 </w:t>
            </w:r>
            <w:r>
              <w:rPr>
                <w:spacing w:val="-1"/>
              </w:rPr>
              <w:t>请一次性扩岗补助。</w:t>
            </w:r>
          </w:p>
          <w:p>
            <w:pPr>
              <w:pStyle w:val="TableText"/>
              <w:ind w:left="30" w:right="52"/>
              <w:spacing w:before="41"/>
              <w:rPr/>
            </w:pPr>
            <w:r>
              <w:rPr>
                <w:spacing w:val="-2"/>
              </w:rPr>
              <w:t>六、</w:t>
            </w:r>
            <w:r>
              <w:rPr>
                <w:spacing w:val="-22"/>
              </w:rPr>
              <w:t xml:space="preserve"> </w:t>
            </w:r>
            <w:r>
              <w:rPr>
                <w:spacing w:val="-2"/>
              </w:rPr>
              <w:t>一次性扩岗补助所需资金从失业保险基</w:t>
            </w:r>
            <w:r>
              <w:rPr>
                <w:spacing w:val="-3"/>
              </w:rPr>
              <w:t>金“其他支出”科</w:t>
            </w:r>
            <w:r>
              <w:rPr/>
              <w:t xml:space="preserve"> </w:t>
            </w:r>
            <w:r>
              <w:rPr>
                <w:spacing w:val="-1"/>
              </w:rPr>
              <w:t>目中列支。</w:t>
            </w:r>
          </w:p>
        </w:tc>
        <w:tc>
          <w:tcPr>
            <w:tcW w:w="2517" w:type="dxa"/>
            <w:vAlign w:val="top"/>
          </w:tcPr>
          <w:p>
            <w:pPr>
              <w:pStyle w:val="TableText"/>
              <w:ind w:left="14" w:right="79" w:firstLine="20"/>
              <w:spacing w:before="109" w:line="258" w:lineRule="auto"/>
              <w:jc w:val="both"/>
              <w:rPr/>
            </w:pPr>
            <w:r>
              <w:rPr>
                <w:spacing w:val="-1"/>
              </w:rPr>
              <w:t>人力资源社会保障部办公厅、教育部</w:t>
            </w:r>
            <w:r>
              <w:rPr>
                <w:spacing w:val="7"/>
              </w:rPr>
              <w:t xml:space="preserve"> </w:t>
            </w:r>
            <w:r>
              <w:rPr>
                <w:spacing w:val="-1"/>
              </w:rPr>
              <w:t>办公厅、财政部办公厅《关于加快落</w:t>
            </w:r>
            <w:r>
              <w:rPr>
                <w:spacing w:val="6"/>
              </w:rPr>
              <w:t xml:space="preserve"> </w:t>
            </w:r>
            <w:r>
              <w:rPr>
                <w:spacing w:val="-1"/>
              </w:rPr>
              <w:t>实一次性扩岗补助政策有关工作的通</w:t>
            </w:r>
            <w:r>
              <w:rPr>
                <w:spacing w:val="5"/>
              </w:rPr>
              <w:t xml:space="preserve"> </w:t>
            </w:r>
            <w:r>
              <w:rPr/>
              <w:t>知》人社厅发〔2022〕41号</w:t>
            </w:r>
          </w:p>
        </w:tc>
        <w:tc>
          <w:tcPr>
            <w:tcW w:w="949" w:type="dxa"/>
            <w:vAlign w:val="top"/>
          </w:tcPr>
          <w:p>
            <w:pPr>
              <w:pStyle w:val="TableText"/>
              <w:ind w:left="17" w:firstLine="10"/>
              <w:spacing w:before="110" w:line="254"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5"/>
              </w:rPr>
              <w:t xml:space="preserve"> </w:t>
            </w:r>
            <w:r>
              <w:rPr>
                <w:spacing w:val="-8"/>
              </w:rPr>
              <w:t>7</w:t>
            </w:r>
            <w:r>
              <w:rPr>
                <w:spacing w:val="-25"/>
              </w:rPr>
              <w:t xml:space="preserve"> </w:t>
            </w:r>
            <w:r>
              <w:rPr>
                <w:spacing w:val="-8"/>
              </w:rPr>
              <w:t>月</w:t>
            </w:r>
            <w:r>
              <w:rPr/>
              <w:t xml:space="preserve"> </w:t>
            </w:r>
            <w:r>
              <w:rPr>
                <w:spacing w:val="-16"/>
              </w:rPr>
              <w:t>2</w:t>
            </w:r>
            <w:r>
              <w:rPr>
                <w:spacing w:val="-17"/>
              </w:rPr>
              <w:t xml:space="preserve"> </w:t>
            </w:r>
            <w:r>
              <w:rPr>
                <w:spacing w:val="-16"/>
              </w:rPr>
              <w:t>5</w:t>
            </w:r>
            <w:r>
              <w:rPr>
                <w:spacing w:val="5"/>
              </w:rPr>
              <w:t xml:space="preserve"> </w:t>
            </w:r>
            <w:r>
              <w:rPr>
                <w:spacing w:val="-16"/>
              </w:rPr>
              <w:t>日</w:t>
            </w:r>
            <w:r>
              <w:rPr>
                <w:spacing w:val="5"/>
              </w:rPr>
              <w:t xml:space="preserve"> </w:t>
            </w:r>
            <w:r>
              <w:rPr>
                <w:spacing w:val="-16"/>
              </w:rPr>
              <w:t>(</w:t>
            </w:r>
            <w:r>
              <w:rPr>
                <w:spacing w:val="-20"/>
              </w:rPr>
              <w:t xml:space="preserve"> </w:t>
            </w:r>
            <w:r>
              <w:rPr>
                <w:spacing w:val="-16"/>
              </w:rPr>
              <w:t>文</w:t>
            </w:r>
            <w:r>
              <w:rPr>
                <w:spacing w:val="-22"/>
              </w:rPr>
              <w:t xml:space="preserve"> </w:t>
            </w:r>
            <w:r>
              <w:rPr>
                <w:spacing w:val="-16"/>
              </w:rPr>
              <w:t>件</w:t>
            </w:r>
            <w:r>
              <w:rPr/>
              <w:t xml:space="preserve"> </w:t>
            </w:r>
            <w:r>
              <w:rPr>
                <w:spacing w:val="5"/>
              </w:rPr>
              <w:t>签发时间)</w:t>
            </w:r>
          </w:p>
        </w:tc>
        <w:tc>
          <w:tcPr>
            <w:tcW w:w="969" w:type="dxa"/>
            <w:vAlign w:val="top"/>
          </w:tcPr>
          <w:p>
            <w:pPr>
              <w:pStyle w:val="TableText"/>
              <w:ind w:left="328" w:right="37" w:hanging="299"/>
              <w:spacing w:before="99" w:line="249" w:lineRule="auto"/>
              <w:rPr/>
            </w:pPr>
            <w:r>
              <w:rPr>
                <w:spacing w:val="-2"/>
              </w:rPr>
              <w:t>参保人及参保</w:t>
            </w:r>
            <w:r>
              <w:rPr>
                <w:spacing w:val="3"/>
              </w:rPr>
              <w:t xml:space="preserve"> </w:t>
            </w:r>
            <w:r>
              <w:rPr>
                <w:spacing w:val="-3"/>
              </w:rPr>
              <w:t>企业</w:t>
            </w:r>
          </w:p>
        </w:tc>
        <w:tc>
          <w:tcPr>
            <w:tcW w:w="390" w:type="dxa"/>
            <w:vAlign w:val="top"/>
          </w:tcPr>
          <w:p>
            <w:pPr>
              <w:pStyle w:val="TableText"/>
              <w:ind w:left="39" w:right="47"/>
              <w:spacing w:before="90"/>
              <w:rPr/>
            </w:pPr>
            <w:r>
              <w:rPr>
                <w:spacing w:val="-4"/>
              </w:rPr>
              <w:t>就业</w:t>
            </w:r>
            <w:r>
              <w:rPr/>
              <w:t xml:space="preserve"> </w:t>
            </w:r>
            <w:r>
              <w:rPr>
                <w:spacing w:val="-4"/>
              </w:rPr>
              <w:t>指导</w:t>
            </w:r>
          </w:p>
        </w:tc>
        <w:tc>
          <w:tcPr>
            <w:tcW w:w="384" w:type="dxa"/>
            <w:vAlign w:val="top"/>
          </w:tcPr>
          <w:p>
            <w:pPr>
              <w:pStyle w:val="TableText"/>
              <w:ind w:left="40" w:right="16"/>
              <w:spacing w:before="91" w:line="245" w:lineRule="auto"/>
              <w:rPr/>
            </w:pPr>
            <w:r>
              <w:rPr>
                <w:spacing w:val="8"/>
              </w:rPr>
              <w:t>扩岗</w:t>
            </w:r>
            <w:r>
              <w:rPr/>
              <w:t xml:space="preserve"> </w:t>
            </w:r>
            <w:r>
              <w:rPr>
                <w:spacing w:val="-2"/>
              </w:rPr>
              <w:t>补助</w:t>
            </w:r>
          </w:p>
        </w:tc>
      </w:tr>
      <w:tr>
        <w:trPr>
          <w:trHeight w:val="794" w:hRule="atLeast"/>
        </w:trPr>
        <w:tc>
          <w:tcPr>
            <w:tcW w:w="285" w:type="dxa"/>
            <w:vAlign w:val="top"/>
          </w:tcPr>
          <w:p>
            <w:pPr>
              <w:spacing w:line="313" w:lineRule="auto"/>
              <w:rPr>
                <w:rFonts w:ascii="Arial"/>
                <w:sz w:val="21"/>
              </w:rPr>
            </w:pPr>
            <w:r/>
          </w:p>
          <w:p>
            <w:pPr>
              <w:pStyle w:val="TableText"/>
              <w:ind w:left="94"/>
              <w:spacing w:before="48" w:line="183" w:lineRule="auto"/>
              <w:rPr/>
            </w:pPr>
            <w:r>
              <w:rPr/>
              <w:t>3</w:t>
            </w:r>
          </w:p>
        </w:tc>
        <w:tc>
          <w:tcPr>
            <w:tcW w:w="4135" w:type="dxa"/>
            <w:vAlign w:val="top"/>
          </w:tcPr>
          <w:p>
            <w:pPr>
              <w:pStyle w:val="TableText"/>
              <w:ind w:left="24" w:right="51" w:firstLine="5"/>
              <w:spacing w:before="123" w:line="250" w:lineRule="auto"/>
              <w:jc w:val="both"/>
              <w:rPr/>
            </w:pPr>
            <w:r>
              <w:rPr>
                <w:spacing w:val="-1"/>
              </w:rPr>
              <w:t>为加大就业政策实施力度，推动政策速享尽享，助力用人单位</w:t>
            </w:r>
            <w:r>
              <w:rPr>
                <w:spacing w:val="18"/>
              </w:rPr>
              <w:t xml:space="preserve"> </w:t>
            </w:r>
            <w:r>
              <w:rPr/>
              <w:t>稳定岗位、扩大就业，拟实施企业吸纳就业社会保险补</w:t>
            </w:r>
            <w:r>
              <w:rPr>
                <w:spacing w:val="-1"/>
              </w:rPr>
              <w:t>贴政策</w:t>
            </w:r>
            <w:r>
              <w:rPr/>
              <w:t xml:space="preserve"> </w:t>
            </w:r>
            <w:r>
              <w:rPr>
                <w:spacing w:val="7"/>
              </w:rPr>
              <w:t>“直补快办”行动。</w:t>
            </w:r>
          </w:p>
        </w:tc>
        <w:tc>
          <w:tcPr>
            <w:tcW w:w="2517" w:type="dxa"/>
            <w:vAlign w:val="top"/>
          </w:tcPr>
          <w:p>
            <w:pPr>
              <w:pStyle w:val="TableText"/>
              <w:ind w:left="24" w:right="79" w:firstLine="10"/>
              <w:spacing w:before="123" w:line="250" w:lineRule="auto"/>
              <w:jc w:val="both"/>
              <w:rPr/>
            </w:pPr>
            <w:r>
              <w:rPr>
                <w:spacing w:val="-1"/>
              </w:rPr>
              <w:t>人社部《关于推进企业吸纳就业社会</w:t>
            </w:r>
            <w:r>
              <w:rPr>
                <w:spacing w:val="7"/>
              </w:rPr>
              <w:t xml:space="preserve"> </w:t>
            </w:r>
            <w:r>
              <w:rPr>
                <w:spacing w:val="-1"/>
              </w:rPr>
              <w:t>保险补贴“直补快办”助力稳岗扩就</w:t>
            </w:r>
            <w:r>
              <w:rPr>
                <w:spacing w:val="8"/>
              </w:rPr>
              <w:t xml:space="preserve"> </w:t>
            </w:r>
            <w:r>
              <w:rPr/>
              <w:t>业的通知》人社部发〔2022〕37号</w:t>
            </w:r>
          </w:p>
        </w:tc>
        <w:tc>
          <w:tcPr>
            <w:tcW w:w="949" w:type="dxa"/>
            <w:vAlign w:val="top"/>
          </w:tcPr>
          <w:p>
            <w:pPr>
              <w:pStyle w:val="TableText"/>
              <w:ind w:left="7" w:right="4" w:firstLine="90"/>
              <w:spacing w:before="105" w:line="262" w:lineRule="auto"/>
              <w:jc w:val="both"/>
              <w:rPr/>
            </w:pPr>
            <w:r>
              <w:rPr>
                <w:spacing w:val="3"/>
              </w:rPr>
              <w:t>2022年06月 </w:t>
            </w:r>
            <w:r>
              <w:rPr>
                <w:spacing w:val="-17"/>
              </w:rPr>
              <w:t>2 1</w:t>
            </w:r>
            <w:r>
              <w:rPr>
                <w:spacing w:val="12"/>
              </w:rPr>
              <w:t xml:space="preserve"> </w:t>
            </w:r>
            <w:r>
              <w:rPr>
                <w:spacing w:val="-17"/>
              </w:rPr>
              <w:t>日</w:t>
            </w:r>
            <w:r>
              <w:rPr>
                <w:spacing w:val="9"/>
              </w:rPr>
              <w:t xml:space="preserve"> </w:t>
            </w:r>
            <w:r>
              <w:rPr>
                <w:spacing w:val="-16"/>
              </w:rPr>
              <w:t>( 文</w:t>
            </w:r>
            <w:r>
              <w:rPr>
                <w:spacing w:val="-18"/>
              </w:rPr>
              <w:t xml:space="preserve"> </w:t>
            </w:r>
            <w:r>
              <w:rPr>
                <w:spacing w:val="-12"/>
              </w:rPr>
              <w:t>件</w:t>
            </w:r>
            <w:r>
              <w:rPr/>
              <w:t xml:space="preserve"> </w:t>
            </w:r>
            <w:r>
              <w:rPr>
                <w:spacing w:val="7"/>
              </w:rPr>
              <w:t>签发时间)</w:t>
            </w:r>
          </w:p>
        </w:tc>
        <w:tc>
          <w:tcPr>
            <w:tcW w:w="969" w:type="dxa"/>
            <w:vAlign w:val="top"/>
          </w:tcPr>
          <w:p>
            <w:pPr>
              <w:pStyle w:val="TableText"/>
              <w:ind w:left="178"/>
              <w:spacing w:before="115" w:line="220" w:lineRule="auto"/>
              <w:rPr/>
            </w:pPr>
            <w:r>
              <w:rPr>
                <w:spacing w:val="-2"/>
              </w:rPr>
              <w:t>参保企业</w:t>
            </w:r>
          </w:p>
        </w:tc>
        <w:tc>
          <w:tcPr>
            <w:tcW w:w="390" w:type="dxa"/>
            <w:vAlign w:val="top"/>
          </w:tcPr>
          <w:p>
            <w:pPr>
              <w:pStyle w:val="TableText"/>
              <w:ind w:left="39" w:right="47"/>
              <w:spacing w:before="105" w:line="246" w:lineRule="auto"/>
              <w:rPr/>
            </w:pPr>
            <w:r>
              <w:rPr>
                <w:spacing w:val="-4"/>
              </w:rPr>
              <w:t>就业</w:t>
            </w:r>
            <w:r>
              <w:rPr/>
              <w:t xml:space="preserve"> </w:t>
            </w:r>
            <w:r>
              <w:rPr>
                <w:spacing w:val="-4"/>
              </w:rPr>
              <w:t>指导</w:t>
            </w:r>
          </w:p>
        </w:tc>
        <w:tc>
          <w:tcPr>
            <w:tcW w:w="384" w:type="dxa"/>
            <w:vAlign w:val="top"/>
          </w:tcPr>
          <w:p>
            <w:pPr>
              <w:pStyle w:val="TableText"/>
              <w:ind w:left="40" w:right="39"/>
              <w:spacing w:before="106" w:line="238" w:lineRule="auto"/>
              <w:rPr/>
            </w:pPr>
            <w:r>
              <w:rPr>
                <w:spacing w:val="-4"/>
              </w:rPr>
              <w:t>保险</w:t>
            </w:r>
            <w:r>
              <w:rPr/>
              <w:t xml:space="preserve"> </w:t>
            </w:r>
            <w:r>
              <w:rPr>
                <w:spacing w:val="-3"/>
              </w:rPr>
              <w:t>补贴</w:t>
            </w:r>
          </w:p>
        </w:tc>
      </w:tr>
    </w:tbl>
    <w:p>
      <w:pPr>
        <w:pStyle w:val="BodyText"/>
        <w:rPr/>
      </w:pPr>
      <w:r/>
    </w:p>
    <w:p>
      <w:pPr>
        <w:sectPr>
          <w:pgSz w:w="11910" w:h="8220"/>
          <w:pgMar w:top="400" w:right="1145" w:bottom="400" w:left="801" w:header="0" w:footer="0" w:gutter="0"/>
        </w:sectPr>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1031"/>
        <w:spacing w:before="101" w:line="222" w:lineRule="auto"/>
        <w:outlineLvl w:val="6"/>
        <w:rPr>
          <w:rFonts w:ascii="SimHei" w:hAnsi="SimHei" w:eastAsia="SimHei" w:cs="SimHei"/>
          <w:sz w:val="31"/>
          <w:szCs w:val="31"/>
        </w:rPr>
      </w:pPr>
      <w:r>
        <w:rPr>
          <w:rFonts w:ascii="SimHei" w:hAnsi="SimHei" w:eastAsia="SimHei" w:cs="SimHei"/>
          <w:sz w:val="31"/>
          <w:szCs w:val="31"/>
          <w:b/>
          <w:bCs/>
          <w:spacing w:val="-8"/>
        </w:rPr>
        <w:t>五、降低企业融资成本政策</w:t>
      </w:r>
    </w:p>
    <w:p>
      <w:pPr>
        <w:spacing w:line="222" w:lineRule="auto"/>
        <w:sectPr>
          <w:footerReference w:type="default" r:id="rId37"/>
          <w:pgSz w:w="8220" w:h="11910"/>
          <w:pgMar w:top="400" w:right="1065" w:bottom="943" w:left="1233" w:header="0" w:footer="784" w:gutter="0"/>
        </w:sectPr>
        <w:rPr>
          <w:rFonts w:ascii="SimHei" w:hAnsi="SimHei" w:eastAsia="SimHei" w:cs="SimHei"/>
          <w:sz w:val="31"/>
          <w:szCs w:val="31"/>
        </w:rPr>
      </w:pPr>
    </w:p>
    <w:p>
      <w:pPr>
        <w:pStyle w:val="BodyText"/>
        <w:spacing w:line="263" w:lineRule="auto"/>
        <w:rPr/>
      </w:pPr>
      <w:r>
        <mc:AlternateContent xmlns:mc="http://schemas.openxmlformats.org/markup-compatibility/2006">
          <mc:Choice Requires="wps">
            <w:drawing>
              <wp:anchor distT="0" distB="0" distL="0" distR="0" simplePos="0" relativeHeight="251763712" behindDoc="0" locked="0" layoutInCell="0" allowOverlap="1">
                <wp:simplePos x="0" y="0"/>
                <wp:positionH relativeFrom="page">
                  <wp:posOffset>473763</wp:posOffset>
                </wp:positionH>
                <wp:positionV relativeFrom="page">
                  <wp:posOffset>620691</wp:posOffset>
                </wp:positionV>
                <wp:extent cx="166370" cy="157479"/>
                <wp:effectExtent l="0" t="0" r="0" b="0"/>
                <wp:wrapNone/>
                <wp:docPr id="76" name="TextBox 76"/>
                <wp:cNvGraphicFramePr/>
                <a:graphic>
                  <a:graphicData uri="http://schemas.microsoft.com/office/word/2010/wordprocessingShape">
                    <wps:wsp>
                      <wps:cNvSpPr txBox="1"/>
                      <wps:spPr>
                        <a:xfrm rot="5400000">
                          <a:off x="473763" y="620691"/>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8" style="position:absolute;margin-left:37.3042pt;margin-top:48.8734pt;mso-position-vertical-relative:page;mso-position-horizontal-relative:page;width:13.1pt;height:12.4pt;z-index:25176371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106</w:t>
                      </w:r>
                    </w:p>
                  </w:txbxContent>
                </v:textbox>
              </v:shape>
            </w:pict>
          </mc:Fallback>
        </mc:AlternateContent>
      </w:r>
      <w:r/>
    </w:p>
    <w:p>
      <w:pPr>
        <w:pStyle w:val="BodyText"/>
        <w:spacing w:line="263" w:lineRule="auto"/>
        <w:rPr/>
      </w:pPr>
      <w:r/>
    </w:p>
    <w:p>
      <w:pPr>
        <w:ind w:left="3941"/>
        <w:spacing w:before="75" w:line="219" w:lineRule="auto"/>
        <w:rPr>
          <w:rFonts w:ascii="SimSun" w:hAnsi="SimSun" w:eastAsia="SimSun" w:cs="SimSun"/>
          <w:sz w:val="23"/>
          <w:szCs w:val="23"/>
        </w:rPr>
      </w:pPr>
      <w:r>
        <w:rPr>
          <w:rFonts w:ascii="SimSun" w:hAnsi="SimSun" w:eastAsia="SimSun" w:cs="SimSun"/>
          <w:sz w:val="23"/>
          <w:szCs w:val="23"/>
          <w:b/>
          <w:bCs/>
          <w:spacing w:val="-3"/>
        </w:rPr>
        <w:t>降低企业融资成本政策</w:t>
      </w:r>
    </w:p>
    <w:p>
      <w:pPr>
        <w:spacing w:line="76" w:lineRule="auto"/>
        <w:rPr>
          <w:rFonts w:ascii="Arial"/>
          <w:sz w:val="2"/>
        </w:rPr>
      </w:pPr>
      <w:r>
        <w:rPr>
          <w:rFonts w:ascii="Arial"/>
          <w:sz w:val="2"/>
        </w:r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94"/>
      </w:tblGrid>
      <w:tr>
        <w:trPr>
          <w:trHeight w:val="494" w:hRule="atLeast"/>
        </w:trPr>
        <w:tc>
          <w:tcPr>
            <w:tcW w:w="285" w:type="dxa"/>
            <w:vAlign w:val="top"/>
            <w:textDirection w:val="tbRlV"/>
          </w:tcPr>
          <w:p>
            <w:pPr>
              <w:pStyle w:val="TableText"/>
              <w:ind w:left="47"/>
              <w:spacing w:before="70" w:line="217" w:lineRule="auto"/>
              <w:rPr/>
            </w:pPr>
            <w:r>
              <w:rPr/>
              <w:t>序</w:t>
            </w:r>
            <w:r>
              <w:rPr>
                <w:spacing w:val="16"/>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77"/>
              <w:spacing w:before="171" w:line="219" w:lineRule="auto"/>
              <w:rPr/>
            </w:pPr>
            <w:r>
              <w:rPr>
                <w:spacing w:val="3"/>
              </w:rPr>
              <w:t>执行时间</w:t>
            </w:r>
          </w:p>
        </w:tc>
        <w:tc>
          <w:tcPr>
            <w:tcW w:w="969" w:type="dxa"/>
            <w:vAlign w:val="top"/>
          </w:tcPr>
          <w:p>
            <w:pPr>
              <w:pStyle w:val="TableText"/>
              <w:ind w:left="177"/>
              <w:spacing w:before="73" w:line="198" w:lineRule="exact"/>
              <w:rPr/>
            </w:pPr>
            <w:r>
              <w:rPr>
                <w:spacing w:val="-3"/>
                <w:position w:val="3"/>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5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51" w:line="246" w:lineRule="auto"/>
              <w:rPr/>
            </w:pPr>
            <w:r>
              <w:rPr>
                <w:spacing w:val="-3"/>
              </w:rPr>
              <w:t>政策</w:t>
            </w:r>
            <w:r>
              <w:rPr/>
              <w:t xml:space="preserve"> </w:t>
            </w:r>
            <w:r>
              <w:rPr>
                <w:spacing w:val="-4"/>
              </w:rPr>
              <w:t>形式</w:t>
            </w:r>
          </w:p>
        </w:tc>
      </w:tr>
      <w:tr>
        <w:trPr>
          <w:trHeight w:val="1896" w:hRule="atLeast"/>
        </w:trPr>
        <w:tc>
          <w:tcPr>
            <w:tcW w:w="285" w:type="dxa"/>
            <w:vAlign w:val="top"/>
          </w:tcPr>
          <w:p>
            <w:pPr>
              <w:rPr>
                <w:rFonts w:ascii="Arial"/>
                <w:sz w:val="21"/>
              </w:rPr>
            </w:pPr>
            <w:r/>
          </w:p>
        </w:tc>
        <w:tc>
          <w:tcPr>
            <w:tcW w:w="4136" w:type="dxa"/>
            <w:vAlign w:val="top"/>
          </w:tcPr>
          <w:p>
            <w:pPr>
              <w:pStyle w:val="TableText"/>
              <w:ind w:left="30" w:right="52"/>
              <w:spacing w:before="118" w:line="243" w:lineRule="auto"/>
              <w:jc w:val="both"/>
              <w:rPr/>
            </w:pPr>
            <w:r>
              <w:rPr/>
              <w:t>开展“一链一策一批”中小企业融资行动，</w:t>
            </w:r>
            <w:r>
              <w:rPr>
                <w:spacing w:val="-1"/>
              </w:rPr>
              <w:t>推动银行业金融机</w:t>
            </w:r>
            <w:r>
              <w:rPr/>
              <w:t xml:space="preserve"> </w:t>
            </w:r>
            <w:r>
              <w:rPr>
                <w:spacing w:val="-1"/>
              </w:rPr>
              <w:t>构与产业链上中小企业加强信息共享对接。围绕“产业政策进</w:t>
            </w:r>
            <w:r>
              <w:rPr>
                <w:spacing w:val="18"/>
              </w:rPr>
              <w:t xml:space="preserve"> </w:t>
            </w:r>
            <w:r>
              <w:rPr/>
              <w:t>银行、金融政策进企业”开展政策宣传服务</w:t>
            </w:r>
            <w:r>
              <w:rPr>
                <w:spacing w:val="-1"/>
              </w:rPr>
              <w:t>，加强中小企业金</w:t>
            </w:r>
            <w:r>
              <w:rPr/>
              <w:t xml:space="preserve"> </w:t>
            </w:r>
            <w:r>
              <w:rPr>
                <w:spacing w:val="-1"/>
              </w:rPr>
              <w:t>融知识普及教育。发挥区域股权市场“专精特新”专板融资服</w:t>
            </w:r>
            <w:r>
              <w:rPr>
                <w:spacing w:val="16"/>
              </w:rPr>
              <w:t xml:space="preserve"> </w:t>
            </w:r>
            <w:r>
              <w:rPr>
                <w:spacing w:val="-1"/>
              </w:rPr>
              <w:t>务功能，积极组织开展投融资路演对接活动。</w:t>
            </w:r>
          </w:p>
        </w:tc>
        <w:tc>
          <w:tcPr>
            <w:tcW w:w="2527" w:type="dxa"/>
            <w:vAlign w:val="top"/>
          </w:tcPr>
          <w:p>
            <w:pPr>
              <w:pStyle w:val="TableText"/>
              <w:ind w:left="33" w:right="89"/>
              <w:spacing w:before="116" w:line="251" w:lineRule="auto"/>
              <w:jc w:val="both"/>
              <w:rPr/>
            </w:pPr>
            <w:r>
              <w:rPr>
                <w:spacing w:val="-1"/>
              </w:rPr>
              <w:t>工业和信息化部办公厅关于开展2023</w:t>
            </w:r>
            <w:r>
              <w:rPr>
                <w:spacing w:val="9"/>
              </w:rPr>
              <w:t xml:space="preserve"> </w:t>
            </w:r>
            <w:r>
              <w:rPr>
                <w:spacing w:val="-1"/>
              </w:rPr>
              <w:t>年“一起益企”中小企业服务行动的</w:t>
            </w:r>
            <w:r>
              <w:rPr>
                <w:spacing w:val="8"/>
              </w:rPr>
              <w:t xml:space="preserve"> </w:t>
            </w:r>
            <w:r>
              <w:rPr>
                <w:spacing w:val="-2"/>
              </w:rPr>
              <w:t>通知</w:t>
            </w:r>
          </w:p>
          <w:p>
            <w:pPr>
              <w:pStyle w:val="TableText"/>
              <w:ind w:left="33"/>
              <w:spacing w:before="48" w:line="219" w:lineRule="auto"/>
              <w:rPr/>
            </w:pPr>
            <w:r>
              <w:rPr>
                <w:spacing w:val="-1"/>
              </w:rPr>
              <w:t>工信厅企业函〔2023〕68号</w:t>
            </w:r>
          </w:p>
        </w:tc>
        <w:tc>
          <w:tcPr>
            <w:tcW w:w="949" w:type="dxa"/>
            <w:vAlign w:val="top"/>
          </w:tcPr>
          <w:p>
            <w:pPr>
              <w:pStyle w:val="TableText"/>
              <w:ind w:left="16" w:firstLine="9"/>
              <w:spacing w:before="116" w:line="225" w:lineRule="auto"/>
              <w:jc w:val="both"/>
              <w:rPr/>
            </w:pPr>
            <w:r>
              <w:rPr>
                <w:spacing w:val="-9"/>
              </w:rPr>
              <w:t>2</w:t>
            </w:r>
            <w:r>
              <w:rPr>
                <w:spacing w:val="-26"/>
              </w:rPr>
              <w:t xml:space="preserve"> </w:t>
            </w:r>
            <w:r>
              <w:rPr>
                <w:spacing w:val="-9"/>
              </w:rPr>
              <w:t>0</w:t>
            </w:r>
            <w:r>
              <w:rPr>
                <w:spacing w:val="-27"/>
              </w:rPr>
              <w:t xml:space="preserve"> </w:t>
            </w:r>
            <w:r>
              <w:rPr>
                <w:spacing w:val="-9"/>
              </w:rPr>
              <w:t>2</w:t>
            </w:r>
            <w:r>
              <w:rPr>
                <w:spacing w:val="-26"/>
              </w:rPr>
              <w:t xml:space="preserve"> </w:t>
            </w:r>
            <w:r>
              <w:rPr>
                <w:spacing w:val="-9"/>
              </w:rPr>
              <w:t>3</w:t>
            </w:r>
            <w:r>
              <w:rPr>
                <w:spacing w:val="-28"/>
              </w:rPr>
              <w:t xml:space="preserve"> </w:t>
            </w:r>
            <w:r>
              <w:rPr>
                <w:spacing w:val="-9"/>
              </w:rPr>
              <w:t>年</w:t>
            </w:r>
            <w:r>
              <w:rPr>
                <w:spacing w:val="-26"/>
              </w:rPr>
              <w:t xml:space="preserve"> </w:t>
            </w:r>
            <w:r>
              <w:rPr>
                <w:spacing w:val="-9"/>
              </w:rPr>
              <w:t>3</w:t>
            </w:r>
            <w:r>
              <w:rPr>
                <w:spacing w:val="-26"/>
              </w:rPr>
              <w:t xml:space="preserve"> </w:t>
            </w:r>
            <w:r>
              <w:rPr>
                <w:spacing w:val="-9"/>
              </w:rPr>
              <w:t>月</w:t>
            </w:r>
            <w:r>
              <w:rPr/>
              <w:t xml:space="preserve"> </w:t>
            </w:r>
            <w:r>
              <w:rPr>
                <w:spacing w:val="7"/>
              </w:rPr>
              <w:t>29日</w:t>
            </w:r>
            <w:r>
              <w:rPr>
                <w:spacing w:val="68"/>
              </w:rPr>
              <w:t xml:space="preserve"> </w:t>
            </w:r>
            <w:r>
              <w:rPr>
                <w:spacing w:val="7"/>
              </w:rPr>
              <w:t>起</w:t>
            </w:r>
            <w:r>
              <w:rPr>
                <w:spacing w:val="68"/>
              </w:rPr>
              <w:t xml:space="preserve"> </w:t>
            </w:r>
            <w:r>
              <w:rPr>
                <w:spacing w:val="7"/>
              </w:rPr>
              <w:t>至</w:t>
            </w:r>
            <w:r>
              <w:rPr/>
              <w:t xml:space="preserve"> </w:t>
            </w:r>
            <w:r>
              <w:rPr>
                <w:spacing w:val="-1"/>
              </w:rPr>
              <w:t>2023年底</w:t>
            </w:r>
          </w:p>
        </w:tc>
        <w:tc>
          <w:tcPr>
            <w:tcW w:w="969" w:type="dxa"/>
            <w:vAlign w:val="top"/>
          </w:tcPr>
          <w:p>
            <w:pPr>
              <w:pStyle w:val="TableText"/>
              <w:ind w:left="177"/>
              <w:spacing w:before="117" w:line="220" w:lineRule="auto"/>
              <w:rPr/>
            </w:pPr>
            <w:r>
              <w:rPr>
                <w:spacing w:val="1"/>
              </w:rPr>
              <w:t>中小企业</w:t>
            </w:r>
          </w:p>
        </w:tc>
        <w:tc>
          <w:tcPr>
            <w:tcW w:w="389" w:type="dxa"/>
            <w:vAlign w:val="top"/>
          </w:tcPr>
          <w:p>
            <w:pPr>
              <w:pStyle w:val="TableText"/>
              <w:ind w:left="38" w:right="45"/>
              <w:spacing w:before="107" w:line="247" w:lineRule="auto"/>
              <w:rPr/>
            </w:pPr>
            <w:r>
              <w:rPr>
                <w:spacing w:val="-5"/>
              </w:rPr>
              <w:t>行政</w:t>
            </w:r>
            <w:r>
              <w:rPr/>
              <w:t xml:space="preserve"> </w:t>
            </w:r>
            <w:r>
              <w:rPr>
                <w:spacing w:val="-3"/>
              </w:rPr>
              <w:t>通知</w:t>
            </w:r>
          </w:p>
        </w:tc>
        <w:tc>
          <w:tcPr>
            <w:tcW w:w="394" w:type="dxa"/>
            <w:vAlign w:val="top"/>
          </w:tcPr>
          <w:p>
            <w:pPr>
              <w:pStyle w:val="TableText"/>
              <w:ind w:left="20" w:firstLine="19"/>
              <w:spacing w:before="107" w:line="260" w:lineRule="auto"/>
              <w:jc w:val="right"/>
              <w:rPr/>
            </w:pPr>
            <w:r>
              <w:rPr>
                <w:spacing w:val="-9"/>
              </w:rPr>
              <w:t>行政</w:t>
            </w:r>
            <w:r>
              <w:rPr/>
              <w:t xml:space="preserve">  </w:t>
            </w:r>
            <w:r>
              <w:rPr>
                <w:spacing w:val="20"/>
                <w:w w:val="145"/>
              </w:rPr>
              <w:t>优</w:t>
            </w:r>
            <w:r>
              <w:rPr/>
              <w:t xml:space="preserve">  </w:t>
            </w:r>
            <w:r>
              <w:rPr>
                <w:spacing w:val="-18"/>
              </w:rPr>
              <w:t>化</w:t>
            </w:r>
            <w:r>
              <w:rPr>
                <w:spacing w:val="24"/>
              </w:rPr>
              <w:t xml:space="preserve"> </w:t>
            </w:r>
            <w:r>
              <w:rPr>
                <w:spacing w:val="-18"/>
              </w:rPr>
              <w:t>、</w:t>
            </w:r>
            <w:r>
              <w:rPr/>
              <w:t xml:space="preserve"> </w:t>
            </w:r>
            <w:r>
              <w:rPr>
                <w:spacing w:val="32"/>
                <w:w w:val="135"/>
              </w:rPr>
              <w:t>宣</w:t>
            </w:r>
            <w:r>
              <w:rPr/>
              <w:t xml:space="preserve">  </w:t>
            </w:r>
            <w:r>
              <w:rPr>
                <w:spacing w:val="-4"/>
              </w:rPr>
              <w:t>传普</w:t>
            </w:r>
          </w:p>
          <w:p>
            <w:pPr>
              <w:pStyle w:val="TableText"/>
              <w:ind w:left="20"/>
              <w:spacing w:before="45" w:line="222" w:lineRule="auto"/>
              <w:rPr/>
            </w:pPr>
            <w:r>
              <w:rPr/>
              <w:t>及</w:t>
            </w:r>
          </w:p>
          <w:p>
            <w:pPr>
              <w:pStyle w:val="TableText"/>
              <w:ind w:left="40" w:right="49"/>
              <w:spacing w:before="38" w:line="245" w:lineRule="auto"/>
              <w:rPr/>
            </w:pPr>
            <w:r>
              <w:rPr>
                <w:spacing w:val="-3"/>
              </w:rPr>
              <w:t>对接</w:t>
            </w:r>
            <w:r>
              <w:rPr/>
              <w:t xml:space="preserve"> </w:t>
            </w:r>
            <w:r>
              <w:rPr>
                <w:spacing w:val="-5"/>
              </w:rPr>
              <w:t>活动</w:t>
            </w:r>
          </w:p>
        </w:tc>
      </w:tr>
      <w:tr>
        <w:trPr>
          <w:trHeight w:val="3569" w:hRule="atLeast"/>
        </w:trPr>
        <w:tc>
          <w:tcPr>
            <w:tcW w:w="285"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94"/>
              <w:spacing w:before="49" w:line="183" w:lineRule="auto"/>
              <w:rPr/>
            </w:pPr>
            <w:r>
              <w:rPr/>
              <w:t>2</w:t>
            </w:r>
          </w:p>
        </w:tc>
        <w:tc>
          <w:tcPr>
            <w:tcW w:w="4136" w:type="dxa"/>
            <w:vAlign w:val="top"/>
          </w:tcPr>
          <w:p>
            <w:pPr>
              <w:pStyle w:val="TableText"/>
              <w:ind w:left="29" w:hanging="19"/>
              <w:spacing w:before="133" w:line="242" w:lineRule="auto"/>
              <w:rPr/>
            </w:pPr>
            <w:r>
              <w:rPr>
                <w:spacing w:val="-3"/>
              </w:rPr>
              <w:t>1.完善组织保障和内部激励，加大交通物流领域信贷支持力度。</w:t>
            </w:r>
            <w:r>
              <w:rPr>
                <w:spacing w:val="1"/>
              </w:rPr>
              <w:t xml:space="preserve"> </w:t>
            </w:r>
            <w:r>
              <w:rPr>
                <w:spacing w:val="-3"/>
              </w:rPr>
              <w:t>银行业金融机构要健全工作机制，加强组织保障，在总行、分  </w:t>
            </w:r>
            <w:r>
              <w:rPr>
                <w:spacing w:val="-3"/>
              </w:rPr>
              <w:t>支机构层面明确牵头部门和工作责任，制定细化目标和工作方  </w:t>
            </w:r>
            <w:r>
              <w:rPr>
                <w:spacing w:val="-1"/>
              </w:rPr>
              <w:t>案，层层传导落实，切实做好交通物流领域金融支</w:t>
            </w:r>
            <w:r>
              <w:rPr>
                <w:spacing w:val="-2"/>
              </w:rPr>
              <w:t>持与服务。</w:t>
            </w:r>
            <w:r>
              <w:rPr/>
              <w:t xml:space="preserve">  </w:t>
            </w:r>
            <w:r>
              <w:rPr>
                <w:spacing w:val="-3"/>
              </w:rPr>
              <w:t>要完善内部激励约束机制，优化信贷资源配置，引导分支机构  </w:t>
            </w:r>
            <w:r>
              <w:rPr>
                <w:spacing w:val="-1"/>
              </w:rPr>
              <w:t>主动减费让利，加大交通物流行业首贷、信用贷款</w:t>
            </w:r>
            <w:r>
              <w:rPr>
                <w:spacing w:val="-2"/>
              </w:rPr>
              <w:t>支持力度。</w:t>
            </w:r>
            <w:r>
              <w:rPr/>
              <w:t xml:space="preserve">  </w:t>
            </w:r>
            <w:r>
              <w:rPr>
                <w:spacing w:val="-3"/>
              </w:rPr>
              <w:t>全国性银行总行工作方案及每半年落实进展要及时报送人民银  </w:t>
            </w:r>
            <w:r>
              <w:rPr>
                <w:spacing w:val="-3"/>
              </w:rPr>
              <w:t>行、银保监会，全国性银行分支机构、地方法人银行方案及进  </w:t>
            </w:r>
            <w:r>
              <w:rPr>
                <w:spacing w:val="-3"/>
              </w:rPr>
              <w:t>展报送所在地人民银行分支机构、银保监局，每半年落实进展  </w:t>
            </w:r>
            <w:r>
              <w:rPr>
                <w:spacing w:val="-3"/>
              </w:rPr>
              <w:t>报送时间应不晚于下一半年首月底。</w:t>
            </w:r>
          </w:p>
          <w:p>
            <w:pPr>
              <w:pStyle w:val="TableText"/>
              <w:ind w:left="30" w:right="52"/>
              <w:spacing w:before="21" w:line="244" w:lineRule="auto"/>
              <w:jc w:val="both"/>
              <w:rPr/>
            </w:pPr>
            <w:r>
              <w:rPr/>
              <w:t>2.创新丰富符合交通物流行业需求特点的</w:t>
            </w:r>
            <w:r>
              <w:rPr>
                <w:spacing w:val="-1"/>
              </w:rPr>
              <w:t>信贷产品。银行业金</w:t>
            </w:r>
            <w:r>
              <w:rPr/>
              <w:t xml:space="preserve"> </w:t>
            </w:r>
            <w:r>
              <w:rPr>
                <w:spacing w:val="-1"/>
              </w:rPr>
              <w:t>融机构要根据交通物流领域企业人群融资需求，创新丰富符合</w:t>
            </w:r>
            <w:r>
              <w:rPr>
                <w:spacing w:val="16"/>
              </w:rPr>
              <w:t xml:space="preserve"> </w:t>
            </w:r>
            <w:r>
              <w:rPr>
                <w:spacing w:val="-1"/>
              </w:rPr>
              <w:t>行业特点的信贷产品。积极推广主动授信、随借随还贷款模式</w:t>
            </w:r>
            <w:r>
              <w:rPr>
                <w:spacing w:val="17"/>
              </w:rPr>
              <w:t xml:space="preserve"> </w:t>
            </w:r>
            <w:r>
              <w:rPr>
                <w:spacing w:val="-1"/>
              </w:rPr>
              <w:t>更好满足市场主体经营性用款需求。鼓励运用大数据分析等手</w:t>
            </w:r>
            <w:r>
              <w:rPr>
                <w:spacing w:val="18"/>
              </w:rPr>
              <w:t xml:space="preserve"> </w:t>
            </w:r>
            <w:r>
              <w:rPr/>
              <w:t>段对客户群体精准画像，创新基于动态交易</w:t>
            </w:r>
            <w:r>
              <w:rPr>
                <w:spacing w:val="-1"/>
              </w:rPr>
              <w:t>、资金往来等的线</w:t>
            </w:r>
            <w:r>
              <w:rPr/>
              <w:t xml:space="preserve"> </w:t>
            </w:r>
            <w:r>
              <w:rPr>
                <w:spacing w:val="-1"/>
              </w:rPr>
              <w:t>上信用贷款。鼓励银行业金融机构在依法合规、风险可控的前</w:t>
            </w:r>
            <w:r>
              <w:rPr>
                <w:spacing w:val="18"/>
                <w:w w:val="101"/>
              </w:rPr>
              <w:t xml:space="preserve"> </w:t>
            </w:r>
            <w:r>
              <w:rPr/>
              <w:t>提下，合理确定货车贷款首付比例、贷款利</w:t>
            </w:r>
            <w:r>
              <w:rPr>
                <w:spacing w:val="-1"/>
              </w:rPr>
              <w:t>率、还款期限，在</w:t>
            </w:r>
          </w:p>
        </w:tc>
        <w:tc>
          <w:tcPr>
            <w:tcW w:w="2527" w:type="dxa"/>
            <w:vAlign w:val="top"/>
          </w:tcPr>
          <w:p>
            <w:pPr>
              <w:pStyle w:val="TableText"/>
              <w:ind w:left="33" w:right="215" w:firstLine="10"/>
              <w:spacing w:before="131" w:line="244" w:lineRule="auto"/>
              <w:rPr/>
            </w:pPr>
            <w:r>
              <w:rPr/>
              <w:t>中国人民银行交通运输部中国银行</w:t>
            </w:r>
            <w:r>
              <w:rPr>
                <w:spacing w:val="6"/>
              </w:rPr>
              <w:t xml:space="preserve"> </w:t>
            </w:r>
            <w:r>
              <w:rPr>
                <w:spacing w:val="-1"/>
              </w:rPr>
              <w:t>保险监督管理委员会</w:t>
            </w:r>
          </w:p>
          <w:p>
            <w:pPr>
              <w:pStyle w:val="TableText"/>
              <w:ind w:left="33" w:right="101" w:hanging="10"/>
              <w:spacing w:before="42" w:line="245" w:lineRule="auto"/>
              <w:rPr/>
            </w:pPr>
            <w:r>
              <w:rPr>
                <w:spacing w:val="-1"/>
              </w:rPr>
              <w:t>关于进一步做好交通物流领域金融支</w:t>
            </w:r>
            <w:r>
              <w:rPr>
                <w:spacing w:val="6"/>
              </w:rPr>
              <w:t xml:space="preserve"> </w:t>
            </w:r>
            <w:r>
              <w:rPr>
                <w:spacing w:val="-1"/>
              </w:rPr>
              <w:t>持与服务的通知</w:t>
            </w:r>
          </w:p>
          <w:p>
            <w:pPr>
              <w:pStyle w:val="TableText"/>
              <w:ind w:left="33"/>
              <w:spacing w:before="42" w:line="220" w:lineRule="auto"/>
              <w:rPr/>
            </w:pPr>
            <w:r>
              <w:rPr>
                <w:spacing w:val="-1"/>
              </w:rPr>
              <w:t>银发〔2023〕32号</w:t>
            </w:r>
          </w:p>
        </w:tc>
        <w:tc>
          <w:tcPr>
            <w:tcW w:w="949" w:type="dxa"/>
            <w:vAlign w:val="top"/>
          </w:tcPr>
          <w:p>
            <w:pPr>
              <w:pStyle w:val="TableText"/>
              <w:ind w:left="26" w:right="131"/>
              <w:spacing w:before="141" w:line="221" w:lineRule="auto"/>
              <w:rPr/>
            </w:pPr>
            <w:r>
              <w:rPr>
                <w:spacing w:val="3"/>
              </w:rPr>
              <w:t>2023年02月</w:t>
            </w:r>
            <w:r>
              <w:rPr>
                <w:spacing w:val="5"/>
              </w:rPr>
              <w:t xml:space="preserve"> </w:t>
            </w:r>
            <w:r>
              <w:rPr>
                <w:spacing w:val="1"/>
              </w:rPr>
              <w:t>13日起</w:t>
            </w:r>
          </w:p>
        </w:tc>
        <w:tc>
          <w:tcPr>
            <w:tcW w:w="969" w:type="dxa"/>
            <w:vAlign w:val="top"/>
          </w:tcPr>
          <w:p>
            <w:pPr>
              <w:pStyle w:val="TableText"/>
              <w:ind w:left="177" w:right="39" w:hanging="149"/>
              <w:spacing w:before="142" w:line="239" w:lineRule="auto"/>
              <w:rPr/>
            </w:pPr>
            <w:r>
              <w:rPr>
                <w:spacing w:val="-2"/>
              </w:rPr>
              <w:t>交通物流领域</w:t>
            </w:r>
            <w:r>
              <w:rPr>
                <w:spacing w:val="2"/>
              </w:rPr>
              <w:t xml:space="preserve"> </w:t>
            </w:r>
            <w:r>
              <w:rPr>
                <w:spacing w:val="-2"/>
              </w:rPr>
              <w:t>相关企业</w:t>
            </w:r>
          </w:p>
        </w:tc>
        <w:tc>
          <w:tcPr>
            <w:tcW w:w="389" w:type="dxa"/>
            <w:vAlign w:val="top"/>
          </w:tcPr>
          <w:p>
            <w:pPr>
              <w:pStyle w:val="TableText"/>
              <w:ind w:left="38" w:right="45"/>
              <w:spacing w:before="121" w:line="247" w:lineRule="auto"/>
              <w:rPr/>
            </w:pPr>
            <w:r>
              <w:rPr>
                <w:spacing w:val="-5"/>
              </w:rPr>
              <w:t>行政</w:t>
            </w:r>
            <w:r>
              <w:rPr/>
              <w:t xml:space="preserve"> </w:t>
            </w:r>
            <w:r>
              <w:rPr>
                <w:spacing w:val="-3"/>
              </w:rPr>
              <w:t>通知</w:t>
            </w:r>
          </w:p>
        </w:tc>
        <w:tc>
          <w:tcPr>
            <w:tcW w:w="394" w:type="dxa"/>
            <w:vAlign w:val="top"/>
          </w:tcPr>
          <w:p>
            <w:pPr>
              <w:pStyle w:val="TableText"/>
              <w:ind w:left="40" w:right="49"/>
              <w:spacing w:before="121" w:line="245" w:lineRule="auto"/>
              <w:rPr/>
            </w:pPr>
            <w:r>
              <w:rPr>
                <w:spacing w:val="-5"/>
              </w:rPr>
              <w:t>行政</w:t>
            </w:r>
            <w:r>
              <w:rPr/>
              <w:t xml:space="preserve"> </w:t>
            </w:r>
            <w:r>
              <w:rPr>
                <w:spacing w:val="-3"/>
              </w:rPr>
              <w:t>优化</w:t>
            </w:r>
          </w:p>
        </w:tc>
      </w:tr>
    </w:tbl>
    <w:p>
      <w:pPr>
        <w:pStyle w:val="BodyText"/>
        <w:rPr/>
      </w:pPr>
      <w:r/>
    </w:p>
    <w:p>
      <w:pPr>
        <w:sectPr>
          <w:footerReference w:type="default" r:id="rId2"/>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64736" behindDoc="0" locked="0" layoutInCell="0" allowOverlap="1">
                <wp:simplePos x="0" y="0"/>
                <wp:positionH relativeFrom="page">
                  <wp:posOffset>473762</wp:posOffset>
                </wp:positionH>
                <wp:positionV relativeFrom="page">
                  <wp:posOffset>4398919</wp:posOffset>
                </wp:positionV>
                <wp:extent cx="166370" cy="157479"/>
                <wp:effectExtent l="0" t="0" r="0" b="0"/>
                <wp:wrapNone/>
                <wp:docPr id="78" name="TextBox 78"/>
                <wp:cNvGraphicFramePr/>
                <a:graphic>
                  <a:graphicData uri="http://schemas.microsoft.com/office/word/2010/wordprocessingShape">
                    <wps:wsp>
                      <wps:cNvSpPr txBox="1"/>
                      <wps:spPr>
                        <a:xfrm rot="5400000">
                          <a:off x="473762" y="4398919"/>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0" style="position:absolute;margin-left:37.3042pt;margin-top:346.372pt;mso-position-vertical-relative:page;mso-position-horizontal-relative:page;width:13.1pt;height:12.4pt;z-index:25176473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107</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54"/>
              <w:spacing w:before="170" w:line="219" w:lineRule="auto"/>
              <w:rPr/>
            </w:pPr>
            <w:r>
              <w:rPr>
                <w:spacing w:val="-1"/>
              </w:rPr>
              <w:t>政策依据</w:t>
            </w:r>
          </w:p>
        </w:tc>
        <w:tc>
          <w:tcPr>
            <w:tcW w:w="949" w:type="dxa"/>
            <w:vAlign w:val="top"/>
          </w:tcPr>
          <w:p>
            <w:pPr>
              <w:pStyle w:val="TableText"/>
              <w:ind w:left="188"/>
              <w:spacing w:before="171" w:line="219" w:lineRule="auto"/>
              <w:rPr/>
            </w:pPr>
            <w:r>
              <w:rPr>
                <w:spacing w:val="3"/>
              </w:rPr>
              <w:t>执行时间</w:t>
            </w:r>
          </w:p>
        </w:tc>
        <w:tc>
          <w:tcPr>
            <w:tcW w:w="979" w:type="dxa"/>
            <w:vAlign w:val="top"/>
          </w:tcPr>
          <w:p>
            <w:pPr>
              <w:pStyle w:val="TableText"/>
              <w:ind w:left="337" w:right="192" w:hanging="149"/>
              <w:spacing w:before="52" w:line="250"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5765"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4"/>
              <w:spacing w:before="49" w:line="183" w:lineRule="auto"/>
              <w:rPr/>
            </w:pPr>
            <w:r>
              <w:rPr/>
              <w:t>2</w:t>
            </w:r>
          </w:p>
        </w:tc>
        <w:tc>
          <w:tcPr>
            <w:tcW w:w="4125" w:type="dxa"/>
            <w:vAlign w:val="top"/>
          </w:tcPr>
          <w:p>
            <w:pPr>
              <w:pStyle w:val="TableText"/>
              <w:ind w:left="30" w:right="22"/>
              <w:spacing w:before="135" w:line="239" w:lineRule="auto"/>
              <w:rPr/>
            </w:pPr>
            <w:r>
              <w:rPr/>
              <w:t>疫情及经济恢复的特定时间内适当提高货车</w:t>
            </w:r>
            <w:r>
              <w:rPr>
                <w:spacing w:val="-1"/>
              </w:rPr>
              <w:t>贷款等交通物流行</w:t>
            </w:r>
            <w:r>
              <w:rPr/>
              <w:t xml:space="preserve"> </w:t>
            </w:r>
            <w:r>
              <w:rPr/>
              <w:t>业不良贷款容忍度，细化落实尽职免责制度安</w:t>
            </w:r>
            <w:r>
              <w:rPr>
                <w:spacing w:val="-1"/>
              </w:rPr>
              <w:t>排。对交通物流</w:t>
            </w:r>
            <w:r>
              <w:rPr/>
              <w:t xml:space="preserve"> </w:t>
            </w:r>
            <w:r>
              <w:rPr/>
              <w:t>领域中小微企业、个体工商户、货车司机群体</w:t>
            </w:r>
            <w:r>
              <w:rPr>
                <w:spacing w:val="-1"/>
              </w:rPr>
              <w:t>，银行、汽车金</w:t>
            </w:r>
            <w:r>
              <w:rPr/>
              <w:t xml:space="preserve"> </w:t>
            </w:r>
            <w:r>
              <w:rPr>
                <w:spacing w:val="-1"/>
              </w:rPr>
              <w:t>融公司、金融租赁公司、汽车企业集团财务公司、融资租赁公</w:t>
            </w:r>
            <w:r>
              <w:rPr>
                <w:spacing w:val="16"/>
              </w:rPr>
              <w:t xml:space="preserve"> </w:t>
            </w:r>
            <w:r>
              <w:rPr/>
              <w:t>司等可根据客户经营状况和实际需求情况，按照市场化原则与</w:t>
            </w:r>
            <w:r>
              <w:rPr>
                <w:spacing w:val="11"/>
              </w:rPr>
              <w:t xml:space="preserve"> </w:t>
            </w:r>
            <w:r>
              <w:rPr>
                <w:spacing w:val="2"/>
              </w:rPr>
              <w:t>客户自主协商对贷款(租金)进行展期；对符合条件的小微企</w:t>
            </w:r>
            <w:r>
              <w:rPr>
                <w:spacing w:val="3"/>
              </w:rPr>
              <w:t xml:space="preserve">  </w:t>
            </w:r>
            <w:r>
              <w:rPr/>
              <w:t>业、个体工商户可给予续贷支持</w:t>
            </w:r>
          </w:p>
          <w:p>
            <w:pPr>
              <w:pStyle w:val="TableText"/>
              <w:ind w:left="20" w:right="278"/>
              <w:spacing w:before="20" w:line="245" w:lineRule="auto"/>
              <w:rPr/>
            </w:pPr>
            <w:r>
              <w:rPr>
                <w:spacing w:val="-1"/>
              </w:rPr>
              <w:t>3.优化货车ETC信用卡发行服务。鼓励银行业金融机构按照</w:t>
            </w:r>
            <w:r>
              <w:rPr>
                <w:spacing w:val="18"/>
              </w:rPr>
              <w:t xml:space="preserve"> </w:t>
            </w:r>
            <w:r>
              <w:rPr/>
              <w:t>市场化原则办理货车ETC信用卡业务，建立符合货车ETC信</w:t>
            </w:r>
          </w:p>
          <w:p>
            <w:pPr>
              <w:pStyle w:val="TableText"/>
              <w:ind w:left="20" w:right="40" w:firstLine="10"/>
              <w:spacing w:before="22" w:line="237" w:lineRule="auto"/>
              <w:rPr/>
            </w:pPr>
            <w:r>
              <w:rPr>
                <w:spacing w:val="-1"/>
              </w:rPr>
              <w:t>用卡风险特点的风险管理模式和机制。对地方政府性融资担保</w:t>
            </w:r>
            <w:r>
              <w:rPr>
                <w:spacing w:val="18"/>
                <w:w w:val="101"/>
              </w:rPr>
              <w:t xml:space="preserve"> </w:t>
            </w:r>
            <w:r>
              <w:rPr/>
              <w:t>机构、交通物流企业、汽车销售企业和货运平台企业等为货车</w:t>
            </w:r>
            <w:r>
              <w:rPr>
                <w:spacing w:val="3"/>
              </w:rPr>
              <w:t xml:space="preserve"> </w:t>
            </w:r>
            <w:r>
              <w:rPr>
                <w:spacing w:val="-1"/>
              </w:rPr>
              <w:t>办理ETC信用卡提供担保支持的，银行业金融机构要在风险</w:t>
            </w:r>
          </w:p>
          <w:p>
            <w:pPr>
              <w:pStyle w:val="TableText"/>
              <w:ind w:left="40"/>
              <w:spacing w:before="3" w:line="219" w:lineRule="auto"/>
              <w:rPr/>
            </w:pPr>
            <w:r>
              <w:rPr>
                <w:spacing w:val="-1"/>
              </w:rPr>
              <w:t>可控前提下尽可能给予授信支持。</w:t>
            </w:r>
          </w:p>
          <w:p>
            <w:pPr>
              <w:pStyle w:val="TableText"/>
              <w:ind w:left="20" w:right="40" w:firstLine="10"/>
              <w:spacing w:before="11" w:line="243" w:lineRule="auto"/>
              <w:jc w:val="both"/>
              <w:rPr/>
            </w:pPr>
            <w:r>
              <w:rPr/>
              <w:t>4.优化交通物流专项再贷款政策安排。将道路</w:t>
            </w:r>
            <w:r>
              <w:rPr>
                <w:spacing w:val="-1"/>
              </w:rPr>
              <w:t>货物专用运输经</w:t>
            </w:r>
            <w:r>
              <w:rPr/>
              <w:t xml:space="preserve"> </w:t>
            </w:r>
            <w:r>
              <w:rPr/>
              <w:t>营者、道路大型物件运输经营者、道路危险货物运输企业</w:t>
            </w:r>
            <w:r>
              <w:rPr>
                <w:spacing w:val="-1"/>
              </w:rPr>
              <w:t>、道</w:t>
            </w:r>
            <w:r>
              <w:rPr/>
              <w:t xml:space="preserve"> </w:t>
            </w:r>
            <w:r>
              <w:rPr>
                <w:spacing w:val="1"/>
              </w:rPr>
              <w:t>路货物运输站场经营者、中小微物流仓储企业(以物</w:t>
            </w:r>
            <w:r>
              <w:rPr/>
              <w:t>流、仓储 </w:t>
            </w:r>
            <w:r>
              <w:rPr>
                <w:spacing w:val="1"/>
              </w:rPr>
              <w:t>配送为主业的独立法人企业)补充纳入交通物流专项</w:t>
            </w:r>
            <w:r>
              <w:rPr/>
              <w:t>再贷款支 </w:t>
            </w:r>
            <w:r>
              <w:rPr>
                <w:spacing w:val="-1"/>
              </w:rPr>
              <w:t>持范围(申请条件见附件)。交通物流专项再贷款政策实施期</w:t>
            </w:r>
          </w:p>
          <w:p>
            <w:pPr>
              <w:pStyle w:val="TableText"/>
              <w:ind w:left="99"/>
              <w:spacing w:before="24" w:line="219" w:lineRule="auto"/>
              <w:rPr/>
            </w:pPr>
            <w:r>
              <w:rPr/>
              <w:t>限延长至2023年6月底，合格银行按月申请专项再贷款资金，</w:t>
            </w:r>
          </w:p>
          <w:p>
            <w:pPr>
              <w:pStyle w:val="TableText"/>
              <w:ind w:left="20"/>
              <w:spacing w:before="41" w:line="219" w:lineRule="auto"/>
              <w:rPr/>
            </w:pPr>
            <w:r>
              <w:rPr>
                <w:spacing w:val="-1"/>
              </w:rPr>
              <w:t>于贷款发放后次月10日(遇节假日顺延)前提交申请材料</w:t>
            </w:r>
          </w:p>
          <w:p>
            <w:pPr>
              <w:pStyle w:val="TableText"/>
              <w:ind w:left="20" w:right="41" w:firstLine="10"/>
              <w:spacing w:before="2" w:line="245" w:lineRule="auto"/>
              <w:rPr/>
            </w:pPr>
            <w:r>
              <w:rPr>
                <w:spacing w:val="-1"/>
              </w:rPr>
              <w:t>5.运用支农支小再贷款、再贴现发挥协同支持作用。运用支农</w:t>
            </w:r>
            <w:r>
              <w:rPr>
                <w:spacing w:val="18"/>
              </w:rPr>
              <w:t xml:space="preserve"> </w:t>
            </w:r>
            <w:r>
              <w:rPr/>
              <w:t>支小再贷款、再贴现支持地方法人银行发放的符合条件的道路</w:t>
            </w:r>
            <w:r>
              <w:rPr>
                <w:spacing w:val="2"/>
              </w:rPr>
              <w:t xml:space="preserve"> </w:t>
            </w:r>
            <w:r>
              <w:rPr>
                <w:spacing w:val="-1"/>
              </w:rPr>
              <w:t>水路货物运输企业、中小微物流仓储配送(含快递)企业及两</w:t>
            </w:r>
          </w:p>
          <w:p>
            <w:pPr>
              <w:pStyle w:val="TableText"/>
              <w:ind w:left="20"/>
              <w:spacing w:before="2" w:line="219" w:lineRule="auto"/>
              <w:rPr/>
            </w:pPr>
            <w:r>
              <w:rPr/>
              <w:t>类小微企业主、个体工商户、个体货车司机(</w:t>
            </w:r>
            <w:r>
              <w:rPr>
                <w:spacing w:val="-1"/>
              </w:rPr>
              <w:t>含挂靠)等经营</w:t>
            </w:r>
          </w:p>
          <w:p>
            <w:pPr>
              <w:pStyle w:val="TableText"/>
              <w:ind w:left="20" w:right="18" w:firstLine="10"/>
              <w:spacing w:before="43" w:line="229" w:lineRule="auto"/>
              <w:rPr/>
            </w:pPr>
            <w:r>
              <w:rPr/>
              <w:t>性贷款，以及持有道路运输经营许可证但非主营道路运输的中</w:t>
            </w:r>
            <w:r>
              <w:rPr>
                <w:spacing w:val="15"/>
              </w:rPr>
              <w:t xml:space="preserve"> </w:t>
            </w:r>
            <w:r>
              <w:rPr/>
              <w:t>小微企业用于购置车辆、购置燃油、支付司机工资或劳务费等 </w:t>
            </w:r>
            <w:r>
              <w:rPr>
                <w:spacing w:val="-1"/>
              </w:rPr>
              <w:t>交通运输业务的贷款。</w:t>
            </w:r>
          </w:p>
          <w:p>
            <w:pPr>
              <w:pStyle w:val="TableText"/>
              <w:ind w:left="30"/>
              <w:spacing w:before="22" w:line="219" w:lineRule="auto"/>
              <w:rPr/>
            </w:pPr>
            <w:r>
              <w:rPr/>
              <w:t>6.加大配套融资等市场化资金支持力度，</w:t>
            </w:r>
            <w:r>
              <w:rPr>
                <w:spacing w:val="-1"/>
              </w:rPr>
              <w:t>助力交通物流基础设</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bl>
    <w:p>
      <w:pPr>
        <w:pStyle w:val="BodyText"/>
        <w:rPr/>
      </w:pPr>
      <w:r/>
    </w:p>
    <w:p>
      <w:pPr>
        <w:sectPr>
          <w:pgSz w:w="11910" w:h="8220"/>
          <w:pgMar w:top="400" w:right="114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65760" behindDoc="0" locked="0" layoutInCell="0" allowOverlap="1">
                <wp:simplePos x="0" y="0"/>
                <wp:positionH relativeFrom="page">
                  <wp:posOffset>458917</wp:posOffset>
                </wp:positionH>
                <wp:positionV relativeFrom="page">
                  <wp:posOffset>620987</wp:posOffset>
                </wp:positionV>
                <wp:extent cx="175260" cy="165100"/>
                <wp:effectExtent l="0" t="0" r="0" b="0"/>
                <wp:wrapNone/>
                <wp:docPr id="80" name="TextBox 80"/>
                <wp:cNvGraphicFramePr/>
                <a:graphic>
                  <a:graphicData uri="http://schemas.microsoft.com/office/word/2010/wordprocessingShape">
                    <wps:wsp>
                      <wps:cNvSpPr txBox="1"/>
                      <wps:spPr>
                        <a:xfrm rot="5400000">
                          <a:off x="458917" y="620987"/>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2" style="position:absolute;margin-left:36.1352pt;margin-top:48.8967pt;mso-position-vertical-relative:page;mso-position-horizontal-relative:page;width:13.8pt;height:13pt;z-index:251765760;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108</w:t>
                      </w:r>
                    </w:p>
                  </w:txbxContent>
                </v:textbox>
              </v:shape>
            </w:pict>
          </mc:Fallback>
        </mc:AlternateContent>
      </w:r>
      <w:r/>
    </w:p>
    <w:p>
      <w:pPr>
        <w:spacing w:before="46"/>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54"/>
              <w:spacing w:before="170" w:line="219" w:lineRule="auto"/>
              <w:rPr/>
            </w:pPr>
            <w:r>
              <w:rPr>
                <w:spacing w:val="-1"/>
              </w:rPr>
              <w:t>政策依据</w:t>
            </w:r>
          </w:p>
        </w:tc>
        <w:tc>
          <w:tcPr>
            <w:tcW w:w="949" w:type="dxa"/>
            <w:vAlign w:val="top"/>
          </w:tcPr>
          <w:p>
            <w:pPr>
              <w:pStyle w:val="TableText"/>
              <w:ind w:left="188"/>
              <w:spacing w:before="171" w:line="219" w:lineRule="auto"/>
              <w:rPr/>
            </w:pPr>
            <w:r>
              <w:rPr>
                <w:spacing w:val="3"/>
              </w:rPr>
              <w:t>执行时间</w:t>
            </w:r>
          </w:p>
        </w:tc>
        <w:tc>
          <w:tcPr>
            <w:tcW w:w="979" w:type="dxa"/>
            <w:vAlign w:val="top"/>
          </w:tcPr>
          <w:p>
            <w:pPr>
              <w:pStyle w:val="TableText"/>
              <w:ind w:left="337" w:right="192" w:hanging="149"/>
              <w:spacing w:before="72" w:line="244"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7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71" w:line="246" w:lineRule="auto"/>
              <w:rPr/>
            </w:pPr>
            <w:r>
              <w:rPr>
                <w:spacing w:val="-3"/>
              </w:rPr>
              <w:t>政策</w:t>
            </w:r>
            <w:r>
              <w:rPr/>
              <w:t xml:space="preserve"> </w:t>
            </w:r>
            <w:r>
              <w:rPr>
                <w:spacing w:val="-4"/>
              </w:rPr>
              <w:t>形式</w:t>
            </w:r>
          </w:p>
        </w:tc>
      </w:tr>
      <w:tr>
        <w:trPr>
          <w:trHeight w:val="5776" w:hRule="atLeast"/>
        </w:trPr>
        <w:tc>
          <w:tcPr>
            <w:tcW w:w="29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94"/>
              <w:spacing w:before="49" w:line="183" w:lineRule="auto"/>
              <w:rPr/>
            </w:pPr>
            <w:r>
              <w:rPr/>
              <w:t>2</w:t>
            </w:r>
          </w:p>
        </w:tc>
        <w:tc>
          <w:tcPr>
            <w:tcW w:w="4125" w:type="dxa"/>
            <w:vAlign w:val="top"/>
          </w:tcPr>
          <w:p>
            <w:pPr>
              <w:pStyle w:val="TableText"/>
              <w:ind w:left="10" w:firstLine="19"/>
              <w:spacing w:before="132" w:line="244" w:lineRule="auto"/>
              <w:jc w:val="both"/>
              <w:rPr/>
            </w:pPr>
            <w:r>
              <w:rPr>
                <w:spacing w:val="-2"/>
              </w:rPr>
              <w:t>施和重大项目建设。金融机构要加强对政策性开发性金融工具</w:t>
            </w:r>
            <w:r>
              <w:rPr>
                <w:spacing w:val="4"/>
              </w:rPr>
              <w:t xml:space="preserve">  </w:t>
            </w:r>
            <w:r>
              <w:rPr/>
              <w:t>投资交通物流项目的配套融资支持。积极支持完</w:t>
            </w:r>
            <w:r>
              <w:rPr>
                <w:spacing w:val="-1"/>
              </w:rPr>
              <w:t>善综合交通网</w:t>
            </w:r>
            <w:r>
              <w:rPr/>
              <w:t xml:space="preserve">  </w:t>
            </w:r>
            <w:r>
              <w:rPr>
                <w:spacing w:val="-1"/>
              </w:rPr>
              <w:t>络布局，重点支持出疆入藏、中西部地区、沿江沿边沿海战略</w:t>
            </w:r>
            <w:r>
              <w:rPr/>
              <w:t xml:space="preserve">  </w:t>
            </w:r>
            <w:r>
              <w:rPr>
                <w:spacing w:val="2"/>
              </w:rPr>
              <w:t>骨干通道及西部陆海新通道、城市群城际通道、交通一体化、</w:t>
            </w:r>
            <w:r>
              <w:rPr/>
              <w:t xml:space="preserve"> </w:t>
            </w:r>
            <w:r>
              <w:rPr>
                <w:spacing w:val="-1"/>
              </w:rPr>
              <w:t>革命老区公路等建设。开发性政策性金融机构和商业银行等要</w:t>
            </w:r>
            <w:r>
              <w:rPr/>
              <w:t xml:space="preserve">  </w:t>
            </w:r>
            <w:r>
              <w:rPr/>
              <w:t>加大对“十四五”规划102项重大工程交通物流项目、交通运</w:t>
            </w:r>
            <w:r>
              <w:rPr>
                <w:spacing w:val="-1"/>
              </w:rPr>
              <w:t xml:space="preserve">  </w:t>
            </w:r>
            <w:r>
              <w:rPr>
                <w:spacing w:val="-1"/>
              </w:rPr>
              <w:t>输“十四五”相关规划项目等的融资支持力度。积极做好融资</w:t>
            </w:r>
            <w:r>
              <w:rPr/>
              <w:t xml:space="preserve">  </w:t>
            </w:r>
            <w:r>
              <w:rPr>
                <w:spacing w:val="-1"/>
              </w:rPr>
              <w:t>对接，支持农村骨干路网提档升级、基础路网完善、城乡道路</w:t>
            </w:r>
            <w:r>
              <w:rPr/>
              <w:t xml:space="preserve">  </w:t>
            </w:r>
            <w:r>
              <w:rPr>
                <w:spacing w:val="-1"/>
              </w:rPr>
              <w:t>衔接，加快乡村资源路、产业路、旅游路建设，完善农村配送</w:t>
            </w:r>
            <w:r>
              <w:rPr/>
              <w:t xml:space="preserve">  </w:t>
            </w:r>
            <w:r>
              <w:rPr>
                <w:spacing w:val="-1"/>
              </w:rPr>
              <w:t>网络。鼓励做好航运企业金融服务，提高海运、水运信贷和保</w:t>
            </w:r>
            <w:r>
              <w:rPr>
                <w:spacing w:val="6"/>
              </w:rPr>
              <w:t xml:space="preserve">  </w:t>
            </w:r>
            <w:r>
              <w:rPr>
                <w:spacing w:val="-1"/>
              </w:rPr>
              <w:t>险供给，适度降低融资成本，支持建设国际海运、内陆水运物</w:t>
            </w:r>
            <w:r>
              <w:rPr>
                <w:spacing w:val="7"/>
              </w:rPr>
              <w:t xml:space="preserve">  </w:t>
            </w:r>
            <w:r>
              <w:rPr>
                <w:spacing w:val="-2"/>
              </w:rPr>
              <w:t>流网络。</w:t>
            </w:r>
          </w:p>
          <w:p>
            <w:pPr>
              <w:pStyle w:val="TableText"/>
              <w:ind w:left="20" w:right="40" w:firstLine="10"/>
              <w:spacing w:before="24" w:line="241" w:lineRule="auto"/>
              <w:jc w:val="both"/>
              <w:rPr/>
            </w:pPr>
            <w:r>
              <w:rPr>
                <w:spacing w:val="-1"/>
              </w:rPr>
              <w:t>7.优化交通物流领域债券融资安排，提升发债融资便利度。发</w:t>
            </w:r>
            <w:r>
              <w:rPr>
                <w:spacing w:val="17"/>
              </w:rPr>
              <w:t xml:space="preserve"> </w:t>
            </w:r>
            <w:r>
              <w:rPr/>
              <w:t>挥好债券市场融资功能，有力支持符合国家发展规划重大交通</w:t>
            </w:r>
            <w:r>
              <w:rPr>
                <w:spacing w:val="3"/>
              </w:rPr>
              <w:t xml:space="preserve"> </w:t>
            </w:r>
            <w:r>
              <w:rPr/>
              <w:t>物流项目投资建设。支持汽车金融公司、金融租赁公司等非银</w:t>
            </w:r>
            <w:r>
              <w:rPr>
                <w:spacing w:val="3"/>
              </w:rPr>
              <w:t xml:space="preserve"> </w:t>
            </w:r>
            <w:r>
              <w:rPr/>
              <w:t>行金融机构发行货运物流主题金融债券。鼓励道路水路货物运 </w:t>
            </w:r>
            <w:r>
              <w:rPr/>
              <w:t>输(含港口)、物流仓储配送(含快递)等交</w:t>
            </w:r>
            <w:r>
              <w:rPr>
                <w:spacing w:val="-1"/>
              </w:rPr>
              <w:t>通物流领域企业</w:t>
            </w:r>
          </w:p>
          <w:p>
            <w:pPr>
              <w:pStyle w:val="TableText"/>
              <w:ind w:left="30" w:right="16"/>
              <w:spacing w:before="11" w:line="243" w:lineRule="auto"/>
              <w:rPr/>
            </w:pPr>
            <w:r>
              <w:rPr/>
              <w:t>在银行间债券市场发行公司信用类债券筹集资</w:t>
            </w:r>
            <w:r>
              <w:rPr>
                <w:spacing w:val="-1"/>
              </w:rPr>
              <w:t>金。中国银行间</w:t>
            </w:r>
            <w:r>
              <w:rPr/>
              <w:t xml:space="preserve"> </w:t>
            </w:r>
            <w:r>
              <w:rPr>
                <w:spacing w:val="-1"/>
              </w:rPr>
              <w:t>市场交易商协会、银行间市场基础设施要在疫情及经济恢复阶</w:t>
            </w:r>
            <w:r>
              <w:rPr>
                <w:spacing w:val="16"/>
              </w:rPr>
              <w:t xml:space="preserve"> </w:t>
            </w:r>
            <w:r>
              <w:rPr>
                <w:spacing w:val="2"/>
              </w:rPr>
              <w:t>段持续对相关企业债券发行注册、登记托管等开通绿色通道</w:t>
            </w:r>
            <w:r>
              <w:rPr>
                <w:spacing w:val="5"/>
              </w:rPr>
              <w:t xml:space="preserve">  </w:t>
            </w:r>
            <w:r>
              <w:rPr/>
              <w:t>做好债券发行服务，优化业务办理流程，对债券融资交易费用</w:t>
            </w:r>
            <w:r>
              <w:rPr>
                <w:spacing w:val="17"/>
              </w:rPr>
              <w:t xml:space="preserve"> </w:t>
            </w:r>
            <w:r>
              <w:rPr>
                <w:spacing w:val="-1"/>
              </w:rPr>
              <w:t>能免尽免，降低发债融资成本，提升便利度。</w:t>
            </w:r>
          </w:p>
          <w:p>
            <w:pPr>
              <w:pStyle w:val="TableText"/>
              <w:ind w:left="30" w:right="40"/>
              <w:spacing w:before="21" w:line="241" w:lineRule="auto"/>
              <w:rPr/>
            </w:pPr>
            <w:r>
              <w:rPr/>
              <w:t>8.健全交通物流领域企业人群“白名单”机</w:t>
            </w:r>
            <w:r>
              <w:rPr>
                <w:spacing w:val="-1"/>
              </w:rPr>
              <w:t>制。省级交通运输</w:t>
            </w:r>
            <w:r>
              <w:rPr/>
              <w:t xml:space="preserve"> </w:t>
            </w:r>
            <w:r>
              <w:rPr>
                <w:spacing w:val="2"/>
              </w:rPr>
              <w:t>主管部门要指导各市县交通运输主管部门在认真梳理资质资</w:t>
            </w:r>
            <w:r>
              <w:rPr>
                <w:spacing w:val="4"/>
              </w:rPr>
              <w:t xml:space="preserve">  </w:t>
            </w:r>
            <w:r>
              <w:rPr/>
              <w:t>格、质量信誉考核和信用评价等信息的基础上</w:t>
            </w:r>
            <w:r>
              <w:rPr>
                <w:spacing w:val="-1"/>
              </w:rPr>
              <w:t>，组织相关行业</w:t>
            </w:r>
            <w:r>
              <w:rPr/>
              <w:t xml:space="preserve"> </w:t>
            </w:r>
            <w:r>
              <w:rPr/>
              <w:t>协会商会等社会组织深入开展调研摸排，将</w:t>
            </w:r>
            <w:r>
              <w:rPr>
                <w:spacing w:val="-1"/>
              </w:rPr>
              <w:t>守法诚信经营、市</w:t>
            </w:r>
            <w:r>
              <w:rPr/>
              <w:t xml:space="preserve"> </w:t>
            </w:r>
            <w:r>
              <w:rPr/>
              <w:t>场前景良好、有贷款意愿的交通物流企业、个</w:t>
            </w:r>
            <w:r>
              <w:rPr>
                <w:spacing w:val="-1"/>
              </w:rPr>
              <w:t>体工商户、货车</w:t>
            </w:r>
            <w:r>
              <w:rPr/>
              <w:t xml:space="preserve"> </w:t>
            </w:r>
            <w:r>
              <w:rPr>
                <w:spacing w:val="1"/>
              </w:rPr>
              <w:t>司机等群体列入“白名单”,并及时推送给辖区内银行业金融</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766784"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82" name="TextBox 82"/>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4" style="position:absolute;margin-left:37.3042pt;margin-top:345.373pt;mso-position-vertical-relative:page;mso-position-horizontal-relative:page;width:13.1pt;height:12.4pt;z-index:25176678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109</w:t>
                      </w:r>
                    </w:p>
                  </w:txbxContent>
                </v:textbox>
              </v:shape>
            </w:pict>
          </mc:Fallback>
        </mc:AlternateContent>
      </w:r>
      <w:r/>
    </w:p>
    <w:p>
      <w:pPr>
        <w:spacing w:before="46"/>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514" w:hRule="atLeast"/>
        </w:trPr>
        <w:tc>
          <w:tcPr>
            <w:tcW w:w="285" w:type="dxa"/>
            <w:vAlign w:val="top"/>
            <w:textDirection w:val="tbRlV"/>
          </w:tcPr>
          <w:p>
            <w:pPr>
              <w:pStyle w:val="TableText"/>
              <w:ind w:left="67"/>
              <w:spacing w:before="70" w:line="217" w:lineRule="auto"/>
              <w:rPr/>
            </w:pPr>
            <w:r>
              <w:rPr>
                <w:spacing w:val="-2"/>
              </w:rPr>
              <w:t>序 号</w:t>
            </w:r>
          </w:p>
        </w:tc>
        <w:tc>
          <w:tcPr>
            <w:tcW w:w="4136" w:type="dxa"/>
            <w:vAlign w:val="top"/>
          </w:tcPr>
          <w:p>
            <w:pPr>
              <w:pStyle w:val="TableText"/>
              <w:ind w:left="1759"/>
              <w:spacing w:before="181" w:line="219" w:lineRule="auto"/>
              <w:rPr/>
            </w:pPr>
            <w:r>
              <w:rPr>
                <w:spacing w:val="-2"/>
              </w:rPr>
              <w:t>主要内容</w:t>
            </w:r>
          </w:p>
        </w:tc>
        <w:tc>
          <w:tcPr>
            <w:tcW w:w="2527" w:type="dxa"/>
            <w:vAlign w:val="top"/>
          </w:tcPr>
          <w:p>
            <w:pPr>
              <w:pStyle w:val="TableText"/>
              <w:ind w:left="953"/>
              <w:spacing w:before="180" w:line="219" w:lineRule="auto"/>
              <w:rPr/>
            </w:pPr>
            <w:r>
              <w:rPr>
                <w:spacing w:val="-1"/>
              </w:rPr>
              <w:t>政策依据</w:t>
            </w:r>
          </w:p>
        </w:tc>
        <w:tc>
          <w:tcPr>
            <w:tcW w:w="949" w:type="dxa"/>
            <w:vAlign w:val="top"/>
          </w:tcPr>
          <w:p>
            <w:pPr>
              <w:pStyle w:val="TableText"/>
              <w:ind w:left="186"/>
              <w:spacing w:before="181" w:line="219" w:lineRule="auto"/>
              <w:rPr/>
            </w:pPr>
            <w:r>
              <w:rPr>
                <w:spacing w:val="3"/>
              </w:rPr>
              <w:t>执行时间</w:t>
            </w:r>
          </w:p>
        </w:tc>
        <w:tc>
          <w:tcPr>
            <w:tcW w:w="969" w:type="dxa"/>
            <w:vAlign w:val="top"/>
          </w:tcPr>
          <w:p>
            <w:pPr>
              <w:pStyle w:val="TableText"/>
              <w:ind w:left="177"/>
              <w:spacing w:before="73" w:line="228"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8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62" w:line="252" w:lineRule="auto"/>
              <w:rPr/>
            </w:pPr>
            <w:r>
              <w:rPr>
                <w:spacing w:val="-3"/>
              </w:rPr>
              <w:t>政策</w:t>
            </w:r>
            <w:r>
              <w:rPr/>
              <w:t xml:space="preserve"> </w:t>
            </w:r>
            <w:r>
              <w:rPr>
                <w:spacing w:val="-4"/>
              </w:rPr>
              <w:t>形式</w:t>
            </w:r>
          </w:p>
        </w:tc>
      </w:tr>
      <w:tr>
        <w:trPr>
          <w:trHeight w:val="4553" w:hRule="atLeast"/>
        </w:trPr>
        <w:tc>
          <w:tcPr>
            <w:tcW w:w="285"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94"/>
              <w:spacing w:before="49" w:line="183" w:lineRule="auto"/>
              <w:rPr/>
            </w:pPr>
            <w:r>
              <w:rPr/>
              <w:t>2</w:t>
            </w:r>
          </w:p>
        </w:tc>
        <w:tc>
          <w:tcPr>
            <w:tcW w:w="4136" w:type="dxa"/>
            <w:vAlign w:val="top"/>
          </w:tcPr>
          <w:p>
            <w:pPr>
              <w:pStyle w:val="TableText"/>
              <w:ind w:left="30" w:right="51"/>
              <w:spacing w:before="126" w:line="233" w:lineRule="auto"/>
              <w:jc w:val="both"/>
              <w:rPr/>
            </w:pPr>
            <w:r>
              <w:rPr/>
              <w:t>机构、地方政府性融资担保机构等。人民银行</w:t>
            </w:r>
            <w:r>
              <w:rPr>
                <w:spacing w:val="-1"/>
              </w:rPr>
              <w:t>分支机构、银保</w:t>
            </w:r>
            <w:r>
              <w:rPr/>
              <w:t xml:space="preserve"> </w:t>
            </w:r>
            <w:r>
              <w:rPr/>
              <w:t>监局要引导辖区内银行业金融机构对照“白</w:t>
            </w:r>
            <w:r>
              <w:rPr>
                <w:spacing w:val="-1"/>
              </w:rPr>
              <w:t>名单”积极对接市</w:t>
            </w:r>
            <w:r>
              <w:rPr/>
              <w:t xml:space="preserve"> </w:t>
            </w:r>
            <w:r>
              <w:rPr>
                <w:spacing w:val="-1"/>
              </w:rPr>
              <w:t>场主体融资需求，按市场化原则提供金融服务。</w:t>
            </w:r>
          </w:p>
          <w:p>
            <w:pPr>
              <w:pStyle w:val="TableText"/>
              <w:ind w:left="30"/>
              <w:spacing w:before="32" w:line="219" w:lineRule="auto"/>
              <w:rPr/>
            </w:pPr>
            <w:r>
              <w:rPr/>
              <w:t>9.建立信息共享和批量核验机制。省级交通</w:t>
            </w:r>
            <w:r>
              <w:rPr>
                <w:spacing w:val="-1"/>
              </w:rPr>
              <w:t>运输主管部门要与</w:t>
            </w:r>
          </w:p>
          <w:p>
            <w:pPr>
              <w:pStyle w:val="TableText"/>
              <w:ind w:left="30"/>
              <w:spacing w:before="12" w:line="219" w:lineRule="auto"/>
              <w:rPr/>
            </w:pPr>
            <w:r>
              <w:rPr/>
              <w:t>辖区内银行业金融机构建立信息共享机制，根</w:t>
            </w:r>
            <w:r>
              <w:rPr>
                <w:spacing w:val="-1"/>
              </w:rPr>
              <w:t>据银行业务办理</w:t>
            </w:r>
          </w:p>
          <w:p>
            <w:pPr>
              <w:pStyle w:val="TableText"/>
              <w:ind w:left="30"/>
              <w:spacing w:before="32" w:line="219" w:lineRule="auto"/>
              <w:rPr/>
            </w:pPr>
            <w:r>
              <w:rPr/>
              <w:t>需求，协调有关单位提供交通物流企业和从业司机清单，包含</w:t>
            </w:r>
          </w:p>
          <w:p>
            <w:pPr>
              <w:pStyle w:val="TableText"/>
              <w:ind w:right="10"/>
              <w:spacing w:before="23" w:line="219" w:lineRule="auto"/>
              <w:jc w:val="right"/>
              <w:rPr/>
            </w:pPr>
            <w:r>
              <w:rPr/>
              <w:t>资质资格、车辆行驶轨迹、电子运单、交通执法</w:t>
            </w:r>
            <w:r>
              <w:rPr>
                <w:spacing w:val="-1"/>
              </w:rPr>
              <w:t>等要素信息，</w:t>
            </w:r>
          </w:p>
          <w:p>
            <w:pPr>
              <w:pStyle w:val="TableText"/>
              <w:ind w:left="30"/>
              <w:spacing w:before="10" w:line="219" w:lineRule="auto"/>
              <w:rPr/>
            </w:pPr>
            <w:r>
              <w:rPr/>
              <w:t>主动协助银行业金融机构对交通物流贷款主</w:t>
            </w:r>
            <w:r>
              <w:rPr>
                <w:spacing w:val="-1"/>
              </w:rPr>
              <w:t>体证照信息进行批</w:t>
            </w:r>
          </w:p>
          <w:p>
            <w:pPr>
              <w:pStyle w:val="TableText"/>
              <w:ind w:left="109"/>
              <w:spacing w:before="22" w:line="219" w:lineRule="auto"/>
              <w:rPr/>
            </w:pPr>
            <w:r>
              <w:rPr/>
              <w:t>量核验，降低银行业金融机构信息收集成本</w:t>
            </w:r>
            <w:r>
              <w:rPr>
                <w:spacing w:val="-1"/>
              </w:rPr>
              <w:t>和贷款审核压力</w:t>
            </w:r>
          </w:p>
          <w:p>
            <w:pPr>
              <w:pStyle w:val="TableText"/>
              <w:ind w:left="30"/>
              <w:spacing w:before="33" w:line="219" w:lineRule="auto"/>
              <w:rPr/>
            </w:pPr>
            <w:r>
              <w:rPr/>
              <w:t>减轻贷款主体负担。中国交通通信信息中心、</w:t>
            </w:r>
            <w:r>
              <w:rPr>
                <w:spacing w:val="-1"/>
              </w:rPr>
              <w:t>全国性银行总行</w:t>
            </w:r>
          </w:p>
          <w:p>
            <w:pPr>
              <w:pStyle w:val="TableText"/>
              <w:ind w:left="30"/>
              <w:spacing w:before="11" w:line="219" w:lineRule="auto"/>
              <w:rPr/>
            </w:pPr>
            <w:r>
              <w:rPr/>
              <w:t>等单位要加强合作，建立信息共享机制。中国交通通信信息中</w:t>
            </w:r>
          </w:p>
          <w:p>
            <w:pPr>
              <w:pStyle w:val="TableText"/>
              <w:ind w:left="30"/>
              <w:spacing w:before="23" w:line="219" w:lineRule="auto"/>
              <w:rPr/>
            </w:pPr>
            <w:r>
              <w:rPr/>
              <w:t>心等相关单位要在保障网络安全、信息安全的前提下，免费向</w:t>
            </w:r>
          </w:p>
          <w:p>
            <w:pPr>
              <w:pStyle w:val="TableText"/>
              <w:ind w:left="40"/>
              <w:spacing w:before="31" w:line="210" w:lineRule="auto"/>
              <w:rPr/>
            </w:pPr>
            <w:r>
              <w:rPr>
                <w:spacing w:val="-1"/>
              </w:rPr>
              <w:t>银行业金融机构提供信贷投放所需要素信息。</w:t>
            </w:r>
          </w:p>
          <w:p>
            <w:pPr>
              <w:pStyle w:val="TableText"/>
              <w:ind w:left="30" w:right="51" w:firstLine="40"/>
              <w:spacing w:line="238" w:lineRule="auto"/>
              <w:rPr/>
            </w:pPr>
            <w:r>
              <w:rPr>
                <w:spacing w:val="-1"/>
              </w:rPr>
              <w:t>10.推动加大贴息、担保增信等配套政策支持力度。各地交通 </w:t>
            </w:r>
            <w:r>
              <w:rPr/>
              <w:t>运输主管部门要协调地方金融监管部门推动地</w:t>
            </w:r>
            <w:r>
              <w:rPr>
                <w:spacing w:val="-1"/>
              </w:rPr>
              <w:t>方政府性融资拒</w:t>
            </w:r>
          </w:p>
          <w:p>
            <w:pPr>
              <w:pStyle w:val="TableText"/>
              <w:ind w:left="30" w:right="51" w:firstLine="79"/>
              <w:spacing w:before="45"/>
              <w:rPr/>
            </w:pPr>
            <w:r>
              <w:rPr>
                <w:spacing w:val="-1"/>
              </w:rPr>
              <w:t>保机构在“白名单”基础上，为市场主体提供融资增信支持</w:t>
            </w:r>
            <w:r>
              <w:rPr>
                <w:spacing w:val="9"/>
              </w:rPr>
              <w:t xml:space="preserve">  </w:t>
            </w:r>
            <w:r>
              <w:rPr>
                <w:spacing w:val="-1"/>
              </w:rPr>
              <w:t>依法依约及时履行代偿责任，积极帮助交通物流企业、个体工</w:t>
            </w:r>
            <w:r>
              <w:rPr>
                <w:spacing w:val="18"/>
                <w:w w:val="101"/>
              </w:rPr>
              <w:t xml:space="preserve"> </w:t>
            </w:r>
            <w:r>
              <w:rPr>
                <w:spacing w:val="-1"/>
              </w:rPr>
              <w:t>商户、货车司机等相关群体转贷续贷。鼓励有条件的地方对交</w:t>
            </w:r>
            <w:r>
              <w:rPr>
                <w:spacing w:val="17"/>
              </w:rPr>
              <w:t xml:space="preserve"> </w:t>
            </w:r>
            <w:r>
              <w:rPr/>
              <w:t>通物流贷款(含租金)给予贴息、融资担保费用补贴，以及向  </w:t>
            </w:r>
            <w:r>
              <w:rPr/>
              <w:t>政府性融资担保机构注资等支持。支持普惠金</w:t>
            </w:r>
            <w:r>
              <w:rPr>
                <w:spacing w:val="-1"/>
              </w:rPr>
              <w:t>融发展示范区运</w:t>
            </w:r>
            <w:r>
              <w:rPr/>
              <w:t xml:space="preserve"> </w:t>
            </w:r>
            <w:r>
              <w:rPr>
                <w:spacing w:val="-1"/>
              </w:rPr>
              <w:t>用政策资源进行贷款贴息、风险补偿，或为政府性融资担保机</w:t>
            </w:r>
            <w:r>
              <w:rPr>
                <w:spacing w:val="18"/>
                <w:w w:val="101"/>
              </w:rPr>
              <w:t xml:space="preserve"> </w:t>
            </w:r>
            <w:r>
              <w:rPr>
                <w:spacing w:val="-1"/>
              </w:rPr>
              <w:t>构补充资本金。</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1163" w:hRule="atLeast"/>
        </w:trPr>
        <w:tc>
          <w:tcPr>
            <w:tcW w:w="285" w:type="dxa"/>
            <w:vAlign w:val="top"/>
          </w:tcPr>
          <w:p>
            <w:pPr>
              <w:spacing w:line="250" w:lineRule="auto"/>
              <w:rPr>
                <w:rFonts w:ascii="Arial"/>
                <w:sz w:val="21"/>
              </w:rPr>
            </w:pPr>
            <w:r/>
          </w:p>
          <w:p>
            <w:pPr>
              <w:spacing w:line="251" w:lineRule="auto"/>
              <w:rPr>
                <w:rFonts w:ascii="Arial"/>
                <w:sz w:val="21"/>
              </w:rPr>
            </w:pPr>
            <w:r/>
          </w:p>
          <w:p>
            <w:pPr>
              <w:pStyle w:val="TableText"/>
              <w:ind w:left="94"/>
              <w:spacing w:before="48" w:line="183" w:lineRule="auto"/>
              <w:rPr/>
            </w:pPr>
            <w:r>
              <w:rPr/>
              <w:t>3</w:t>
            </w:r>
          </w:p>
        </w:tc>
        <w:tc>
          <w:tcPr>
            <w:tcW w:w="4136" w:type="dxa"/>
            <w:vAlign w:val="top"/>
          </w:tcPr>
          <w:p>
            <w:pPr>
              <w:pStyle w:val="TableText"/>
              <w:ind w:left="30" w:right="25"/>
              <w:spacing w:before="121" w:line="246" w:lineRule="auto"/>
              <w:jc w:val="both"/>
              <w:rPr/>
            </w:pPr>
            <w:r>
              <w:rPr>
                <w:spacing w:val="-1"/>
              </w:rPr>
              <w:t>一、加大市场主体走访和服务对接力度。银行保险机构要践行</w:t>
            </w:r>
            <w:r>
              <w:rPr>
                <w:spacing w:val="10"/>
              </w:rPr>
              <w:t xml:space="preserve"> </w:t>
            </w:r>
            <w:r>
              <w:rPr/>
              <w:t>人民至上、客户为本的理念，主动对接小微市场主体，深入了</w:t>
            </w:r>
            <w:r>
              <w:rPr>
                <w:spacing w:val="18"/>
                <w:w w:val="101"/>
              </w:rPr>
              <w:t xml:space="preserve"> </w:t>
            </w:r>
            <w:r>
              <w:rPr/>
              <w:t>解全生命周期、全方位的金融需求，找准与自</w:t>
            </w:r>
            <w:r>
              <w:rPr>
                <w:spacing w:val="-1"/>
              </w:rPr>
              <w:t>身小微经营战略</w:t>
            </w:r>
            <w:r>
              <w:rPr/>
              <w:t xml:space="preserve"> </w:t>
            </w:r>
            <w:r>
              <w:rPr/>
              <w:t>的结合点，精准发掘重点领域服务需求。开展“走万企提信心</w:t>
            </w:r>
            <w:r>
              <w:rPr>
                <w:spacing w:val="8"/>
              </w:rPr>
              <w:t xml:space="preserve"> </w:t>
            </w:r>
            <w:r>
              <w:rPr/>
              <w:t>优服务”活动，积极联动相关行业主管部门、</w:t>
            </w:r>
            <w:r>
              <w:rPr>
                <w:spacing w:val="-1"/>
              </w:rPr>
              <w:t>地方政府，依托</w:t>
            </w:r>
          </w:p>
        </w:tc>
        <w:tc>
          <w:tcPr>
            <w:tcW w:w="2527" w:type="dxa"/>
            <w:vAlign w:val="top"/>
          </w:tcPr>
          <w:p>
            <w:pPr>
              <w:pStyle w:val="TableText"/>
              <w:ind w:left="133"/>
              <w:spacing w:before="123" w:line="219" w:lineRule="auto"/>
              <w:rPr/>
            </w:pPr>
            <w:r>
              <w:rPr/>
              <w:t>中国银保监会办公厅关于2023年加</w:t>
            </w:r>
          </w:p>
          <w:p>
            <w:pPr>
              <w:pStyle w:val="TableText"/>
              <w:ind w:left="23" w:right="141" w:firstLine="110"/>
              <w:spacing w:before="43" w:line="251" w:lineRule="auto"/>
              <w:rPr/>
            </w:pPr>
            <w:r>
              <w:rPr>
                <w:spacing w:val="-1"/>
              </w:rPr>
              <w:t>力提升小微企业金融服务质量的通</w:t>
            </w:r>
            <w:r>
              <w:rPr>
                <w:spacing w:val="5"/>
              </w:rPr>
              <w:t xml:space="preserve"> </w:t>
            </w:r>
            <w:r>
              <w:rPr>
                <w:spacing w:val="-1"/>
              </w:rPr>
              <w:t>知。银保监办发〔2023〕42号</w:t>
            </w:r>
          </w:p>
        </w:tc>
        <w:tc>
          <w:tcPr>
            <w:tcW w:w="949" w:type="dxa"/>
            <w:vAlign w:val="top"/>
          </w:tcPr>
          <w:p>
            <w:pPr>
              <w:pStyle w:val="TableText"/>
              <w:ind w:left="16"/>
              <w:spacing w:before="124" w:line="225" w:lineRule="auto"/>
              <w:jc w:val="both"/>
              <w:rPr/>
            </w:pPr>
            <w:r>
              <w:rPr>
                <w:spacing w:val="-8"/>
              </w:rPr>
              <w:t>2</w:t>
            </w:r>
            <w:r>
              <w:rPr>
                <w:spacing w:val="-28"/>
              </w:rPr>
              <w:t xml:space="preserve"> </w:t>
            </w:r>
            <w:r>
              <w:rPr>
                <w:spacing w:val="-8"/>
              </w:rPr>
              <w:t>0</w:t>
            </w:r>
            <w:r>
              <w:rPr>
                <w:spacing w:val="-28"/>
              </w:rPr>
              <w:t xml:space="preserve"> </w:t>
            </w:r>
            <w:r>
              <w:rPr>
                <w:spacing w:val="-8"/>
              </w:rPr>
              <w:t>2</w:t>
            </w:r>
            <w:r>
              <w:rPr>
                <w:spacing w:val="-25"/>
              </w:rPr>
              <w:t xml:space="preserve"> </w:t>
            </w:r>
            <w:r>
              <w:rPr>
                <w:spacing w:val="-8"/>
              </w:rPr>
              <w:t>3</w:t>
            </w:r>
            <w:r>
              <w:rPr>
                <w:spacing w:val="-29"/>
              </w:rPr>
              <w:t xml:space="preserve"> </w:t>
            </w:r>
            <w:r>
              <w:rPr>
                <w:spacing w:val="-8"/>
              </w:rPr>
              <w:t>年</w:t>
            </w:r>
            <w:r>
              <w:rPr>
                <w:spacing w:val="-29"/>
              </w:rPr>
              <w:t xml:space="preserve"> </w:t>
            </w:r>
            <w:r>
              <w:rPr>
                <w:spacing w:val="-8"/>
              </w:rPr>
              <w:t>4</w:t>
            </w:r>
            <w:r>
              <w:rPr>
                <w:spacing w:val="-25"/>
              </w:rPr>
              <w:t xml:space="preserve"> </w:t>
            </w:r>
            <w:r>
              <w:rPr>
                <w:spacing w:val="-8"/>
              </w:rPr>
              <w:t>月</w:t>
            </w:r>
            <w:r>
              <w:rPr/>
              <w:t xml:space="preserve"> </w:t>
            </w:r>
            <w:r>
              <w:rPr>
                <w:spacing w:val="-18"/>
              </w:rPr>
              <w:t>2</w:t>
            </w:r>
            <w:r>
              <w:rPr>
                <w:spacing w:val="-16"/>
              </w:rPr>
              <w:t xml:space="preserve"> </w:t>
            </w:r>
            <w:r>
              <w:rPr>
                <w:spacing w:val="-18"/>
              </w:rPr>
              <w:t>0</w:t>
            </w:r>
            <w:r>
              <w:rPr>
                <w:spacing w:val="8"/>
              </w:rPr>
              <w:t xml:space="preserve"> </w:t>
            </w:r>
            <w:r>
              <w:rPr>
                <w:spacing w:val="-18"/>
              </w:rPr>
              <w:t>日</w:t>
            </w:r>
            <w:r>
              <w:rPr>
                <w:spacing w:val="9"/>
              </w:rPr>
              <w:t xml:space="preserve"> </w:t>
            </w:r>
            <w:r>
              <w:rPr>
                <w:spacing w:val="-18"/>
              </w:rPr>
              <w:t>(</w:t>
            </w:r>
            <w:r>
              <w:rPr>
                <w:spacing w:val="-16"/>
              </w:rPr>
              <w:t xml:space="preserve"> </w:t>
            </w:r>
            <w:r>
              <w:rPr>
                <w:spacing w:val="-17"/>
              </w:rPr>
              <w:t>文</w:t>
            </w:r>
            <w:r>
              <w:rPr>
                <w:spacing w:val="-18"/>
              </w:rPr>
              <w:t xml:space="preserve"> </w:t>
            </w:r>
            <w:r>
              <w:rPr>
                <w:spacing w:val="-7"/>
              </w:rPr>
              <w:t>件</w:t>
            </w:r>
            <w:r>
              <w:rPr/>
              <w:t xml:space="preserve"> </w:t>
            </w:r>
            <w:r>
              <w:rPr>
                <w:spacing w:val="2"/>
              </w:rPr>
              <w:t>签发时间</w:t>
            </w:r>
          </w:p>
        </w:tc>
        <w:tc>
          <w:tcPr>
            <w:tcW w:w="969" w:type="dxa"/>
            <w:vAlign w:val="top"/>
          </w:tcPr>
          <w:p>
            <w:pPr>
              <w:pStyle w:val="TableText"/>
              <w:ind w:left="177"/>
              <w:spacing w:before="124" w:line="219" w:lineRule="auto"/>
              <w:rPr/>
            </w:pPr>
            <w:r>
              <w:rPr>
                <w:spacing w:val="-2"/>
              </w:rPr>
              <w:t>小微企业</w:t>
            </w:r>
          </w:p>
        </w:tc>
        <w:tc>
          <w:tcPr>
            <w:tcW w:w="389" w:type="dxa"/>
            <w:vAlign w:val="top"/>
          </w:tcPr>
          <w:p>
            <w:pPr>
              <w:pStyle w:val="TableText"/>
              <w:ind w:left="38" w:right="45"/>
              <w:spacing w:before="124" w:line="247" w:lineRule="auto"/>
              <w:rPr/>
            </w:pPr>
            <w:r>
              <w:rPr>
                <w:spacing w:val="-5"/>
              </w:rPr>
              <w:t>行政</w:t>
            </w:r>
            <w:r>
              <w:rPr/>
              <w:t xml:space="preserve"> </w:t>
            </w:r>
            <w:r>
              <w:rPr>
                <w:spacing w:val="-3"/>
              </w:rPr>
              <w:t>通知</w:t>
            </w:r>
          </w:p>
        </w:tc>
        <w:tc>
          <w:tcPr>
            <w:tcW w:w="384" w:type="dxa"/>
            <w:vAlign w:val="top"/>
          </w:tcPr>
          <w:p>
            <w:pPr>
              <w:pStyle w:val="TableText"/>
              <w:ind w:left="40" w:right="39"/>
              <w:spacing w:before="124"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67808" behindDoc="0" locked="0" layoutInCell="0" allowOverlap="1">
                <wp:simplePos x="0" y="0"/>
                <wp:positionH relativeFrom="page">
                  <wp:posOffset>454036</wp:posOffset>
                </wp:positionH>
                <wp:positionV relativeFrom="page">
                  <wp:posOffset>619274</wp:posOffset>
                </wp:positionV>
                <wp:extent cx="217170" cy="222884"/>
                <wp:effectExtent l="0" t="0" r="0" b="0"/>
                <wp:wrapNone/>
                <wp:docPr id="84" name="TextBox 84"/>
                <wp:cNvGraphicFramePr/>
                <a:graphic>
                  <a:graphicData uri="http://schemas.microsoft.com/office/word/2010/wordprocessingShape">
                    <wps:wsp>
                      <wps:cNvSpPr txBox="1"/>
                      <wps:spPr>
                        <a:xfrm rot="5400000">
                          <a:off x="454036" y="619274"/>
                          <a:ext cx="217170" cy="2228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15"/>
                              </w:rPr>
                              <w:t>1</w:t>
                            </w:r>
                            <w:r>
                              <w:rPr>
                                <w:rFonts w:ascii="SimSun" w:hAnsi="SimSun" w:eastAsia="SimSun" w:cs="SimSun"/>
                                <w:sz w:val="24"/>
                                <w:szCs w:val="24"/>
                                <w:spacing w:val="-14"/>
                              </w:rPr>
                              <w:t>1</w:t>
                            </w:r>
                            <w:r>
                              <w:rPr>
                                <w:rFonts w:ascii="SimSun" w:hAnsi="SimSun" w:eastAsia="SimSun" w:cs="SimSun"/>
                                <w:sz w:val="24"/>
                                <w:szCs w:val="24"/>
                                <w:spacing w:val="-13"/>
                              </w:rPr>
                              <w:t>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6" style="position:absolute;margin-left:35.7509pt;margin-top:48.7617pt;mso-position-vertical-relative:page;mso-position-horizontal-relative:page;width:17.1pt;height:17.55pt;z-index:251767808;rotation:90;" o:allowincell="f" filled="false" stroked="false" type="#_x0000_t202">
                <v:fill on="false"/>
                <v:stroke on="false"/>
                <v:path/>
                <v:imagedata o:title=""/>
                <o:lock v:ext="edit" aspectratio="false"/>
                <v:textbox inset="0mm,0mm,0mm,0mm">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15"/>
                        </w:rPr>
                        <w:t>1</w:t>
                      </w:r>
                      <w:r>
                        <w:rPr>
                          <w:rFonts w:ascii="SimSun" w:hAnsi="SimSun" w:eastAsia="SimSun" w:cs="SimSun"/>
                          <w:sz w:val="24"/>
                          <w:szCs w:val="24"/>
                          <w:spacing w:val="-14"/>
                        </w:rPr>
                        <w:t>1</w:t>
                      </w:r>
                      <w:r>
                        <w:rPr>
                          <w:rFonts w:ascii="SimSun" w:hAnsi="SimSun" w:eastAsia="SimSun" w:cs="SimSun"/>
                          <w:sz w:val="24"/>
                          <w:szCs w:val="24"/>
                          <w:spacing w:val="-13"/>
                        </w:rPr>
                        <w:t>0</w:t>
                      </w:r>
                    </w:p>
                  </w:txbxContent>
                </v:textbox>
              </v:shape>
            </w:pict>
          </mc:Fallback>
        </mc:AlternateContent>
      </w:r>
      <w:r/>
    </w:p>
    <w:p>
      <w:pPr>
        <w:spacing w:before="46"/>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37"/>
              <w:spacing w:before="80" w:line="217" w:lineRule="auto"/>
              <w:rPr>
                <w:sz w:val="14"/>
                <w:szCs w:val="14"/>
              </w:rPr>
            </w:pPr>
            <w:r>
              <w:rPr>
                <w:sz w:val="14"/>
                <w:szCs w:val="14"/>
              </w:rPr>
              <w:t>序</w:t>
            </w:r>
            <w:r>
              <w:rPr>
                <w:sz w:val="14"/>
                <w:szCs w:val="14"/>
                <w:spacing w:val="61"/>
              </w:rPr>
              <w:t xml:space="preserve"> </w:t>
            </w:r>
            <w:r>
              <w:rPr>
                <w:sz w:val="14"/>
                <w:szCs w:val="14"/>
              </w:rPr>
              <w:t>号</w:t>
            </w:r>
          </w:p>
        </w:tc>
        <w:tc>
          <w:tcPr>
            <w:tcW w:w="4125" w:type="dxa"/>
            <w:vAlign w:val="top"/>
          </w:tcPr>
          <w:p>
            <w:pPr>
              <w:pStyle w:val="TableText"/>
              <w:ind w:left="1769"/>
              <w:spacing w:before="180" w:line="219" w:lineRule="auto"/>
              <w:rPr>
                <w:sz w:val="14"/>
                <w:szCs w:val="14"/>
              </w:rPr>
            </w:pPr>
            <w:r>
              <w:rPr>
                <w:sz w:val="14"/>
                <w:szCs w:val="14"/>
                <w:spacing w:val="-2"/>
              </w:rPr>
              <w:t>主要内容</w:t>
            </w:r>
          </w:p>
        </w:tc>
        <w:tc>
          <w:tcPr>
            <w:tcW w:w="2507" w:type="dxa"/>
            <w:vAlign w:val="top"/>
          </w:tcPr>
          <w:p>
            <w:pPr>
              <w:pStyle w:val="TableText"/>
              <w:ind w:left="954"/>
              <w:spacing w:before="179" w:line="219" w:lineRule="auto"/>
              <w:rPr>
                <w:sz w:val="14"/>
                <w:szCs w:val="14"/>
              </w:rPr>
            </w:pPr>
            <w:r>
              <w:rPr>
                <w:sz w:val="14"/>
                <w:szCs w:val="14"/>
                <w:spacing w:val="-1"/>
              </w:rPr>
              <w:t>政策依据</w:t>
            </w:r>
          </w:p>
        </w:tc>
        <w:tc>
          <w:tcPr>
            <w:tcW w:w="949" w:type="dxa"/>
            <w:vAlign w:val="top"/>
          </w:tcPr>
          <w:p>
            <w:pPr>
              <w:pStyle w:val="TableText"/>
              <w:ind w:left="188"/>
              <w:spacing w:before="180" w:line="219" w:lineRule="auto"/>
              <w:rPr>
                <w:sz w:val="14"/>
                <w:szCs w:val="14"/>
              </w:rPr>
            </w:pPr>
            <w:r>
              <w:rPr>
                <w:sz w:val="14"/>
                <w:szCs w:val="14"/>
                <w:spacing w:val="-2"/>
              </w:rPr>
              <w:t>执行时间</w:t>
            </w:r>
          </w:p>
        </w:tc>
        <w:tc>
          <w:tcPr>
            <w:tcW w:w="979" w:type="dxa"/>
            <w:vAlign w:val="top"/>
          </w:tcPr>
          <w:p>
            <w:pPr>
              <w:pStyle w:val="TableText"/>
              <w:ind w:left="208"/>
              <w:spacing w:before="72" w:line="218" w:lineRule="exact"/>
              <w:rPr>
                <w:sz w:val="14"/>
                <w:szCs w:val="14"/>
              </w:rPr>
            </w:pPr>
            <w:r>
              <w:rPr>
                <w:sz w:val="14"/>
                <w:szCs w:val="14"/>
                <w:spacing w:val="-3"/>
                <w:position w:val="5"/>
              </w:rPr>
              <w:t>惠及企业</w:t>
            </w:r>
          </w:p>
          <w:p>
            <w:pPr>
              <w:pStyle w:val="TableText"/>
              <w:ind w:left="348"/>
              <w:spacing w:line="219" w:lineRule="auto"/>
              <w:rPr>
                <w:sz w:val="14"/>
                <w:szCs w:val="14"/>
              </w:rPr>
            </w:pPr>
            <w:r>
              <w:rPr>
                <w:sz w:val="14"/>
                <w:szCs w:val="14"/>
                <w:spacing w:val="-2"/>
              </w:rPr>
              <w:t>类型</w:t>
            </w:r>
          </w:p>
        </w:tc>
        <w:tc>
          <w:tcPr>
            <w:tcW w:w="390" w:type="dxa"/>
            <w:vAlign w:val="top"/>
          </w:tcPr>
          <w:p>
            <w:pPr>
              <w:pStyle w:val="TableText"/>
              <w:ind w:left="49" w:right="54"/>
              <w:spacing w:before="71" w:line="254"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7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76" w:hRule="atLeast"/>
        </w:trPr>
        <w:tc>
          <w:tcPr>
            <w:tcW w:w="29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4"/>
              <w:spacing w:before="45" w:line="183" w:lineRule="auto"/>
              <w:rPr>
                <w:sz w:val="14"/>
                <w:szCs w:val="14"/>
              </w:rPr>
            </w:pPr>
            <w:r>
              <w:rPr>
                <w:sz w:val="14"/>
                <w:szCs w:val="14"/>
              </w:rPr>
              <w:t>3</w:t>
            </w:r>
          </w:p>
        </w:tc>
        <w:tc>
          <w:tcPr>
            <w:tcW w:w="4125" w:type="dxa"/>
            <w:vAlign w:val="top"/>
          </w:tcPr>
          <w:p>
            <w:pPr>
              <w:pStyle w:val="TableText"/>
              <w:ind w:left="20" w:right="164"/>
              <w:spacing w:before="145" w:line="258" w:lineRule="auto"/>
              <w:rPr>
                <w:sz w:val="14"/>
                <w:szCs w:val="14"/>
              </w:rPr>
            </w:pPr>
            <w:r>
              <w:rPr>
                <w:sz w:val="14"/>
                <w:szCs w:val="14"/>
                <w:spacing w:val="-1"/>
              </w:rPr>
              <w:t>产业园区、行业协会、服务中心、信息平台</w:t>
            </w:r>
            <w:r>
              <w:rPr>
                <w:sz w:val="14"/>
                <w:szCs w:val="14"/>
                <w:spacing w:val="-2"/>
              </w:rPr>
              <w:t>等渠道，搭建供需   </w:t>
            </w:r>
            <w:r>
              <w:rPr>
                <w:sz w:val="14"/>
                <w:szCs w:val="14"/>
                <w:spacing w:val="-1"/>
              </w:rPr>
              <w:t>对接匹配机制，找准当前服务梗阻和政策落</w:t>
            </w:r>
            <w:r>
              <w:rPr>
                <w:sz w:val="14"/>
                <w:szCs w:val="14"/>
                <w:spacing w:val="-2"/>
              </w:rPr>
              <w:t>实堵点，推动服务   </w:t>
            </w:r>
            <w:r>
              <w:rPr>
                <w:sz w:val="14"/>
                <w:szCs w:val="14"/>
              </w:rPr>
              <w:t>触达、政策落地。二、支持困难行业恢复，助力扩内需稳就业。</w:t>
            </w:r>
            <w:r>
              <w:rPr>
                <w:sz w:val="14"/>
                <w:szCs w:val="14"/>
                <w:spacing w:val="9"/>
              </w:rPr>
              <w:t xml:space="preserve"> </w:t>
            </w:r>
            <w:r>
              <w:rPr>
                <w:sz w:val="14"/>
                <w:szCs w:val="14"/>
                <w:spacing w:val="3"/>
              </w:rPr>
              <w:t>银行保险机构要聚焦住宿、餐饮、零售、教育、文化、</w:t>
            </w:r>
            <w:r>
              <w:rPr>
                <w:sz w:val="14"/>
                <w:szCs w:val="14"/>
                <w:spacing w:val="2"/>
              </w:rPr>
              <w:t>旅游、</w:t>
            </w:r>
            <w:r>
              <w:rPr>
                <w:sz w:val="14"/>
                <w:szCs w:val="14"/>
              </w:rPr>
              <w:t xml:space="preserve">  </w:t>
            </w:r>
            <w:r>
              <w:rPr>
                <w:sz w:val="14"/>
                <w:szCs w:val="14"/>
                <w:spacing w:val="-1"/>
              </w:rPr>
              <w:t>体育、交通运输、外贸等领域小微市场主体</w:t>
            </w:r>
            <w:r>
              <w:rPr>
                <w:sz w:val="14"/>
                <w:szCs w:val="14"/>
                <w:spacing w:val="-2"/>
              </w:rPr>
              <w:t>，特别是经营前景   </w:t>
            </w:r>
            <w:r>
              <w:rPr>
                <w:sz w:val="14"/>
                <w:szCs w:val="14"/>
              </w:rPr>
              <w:t>良好、因疫情影响经营尚未完全恢复的小微企业，满足其合理</w:t>
            </w:r>
            <w:r>
              <w:rPr>
                <w:sz w:val="14"/>
                <w:szCs w:val="14"/>
                <w:spacing w:val="4"/>
              </w:rPr>
              <w:t xml:space="preserve">   </w:t>
            </w:r>
            <w:r>
              <w:rPr>
                <w:sz w:val="14"/>
                <w:szCs w:val="14"/>
                <w:spacing w:val="-1"/>
              </w:rPr>
              <w:t>金融需求，促进纾困解难、扩大内需和稳定</w:t>
            </w:r>
            <w:r>
              <w:rPr>
                <w:sz w:val="14"/>
                <w:szCs w:val="14"/>
                <w:spacing w:val="-2"/>
              </w:rPr>
              <w:t>就业，支持经济复   </w:t>
            </w:r>
            <w:r>
              <w:rPr>
                <w:sz w:val="14"/>
                <w:szCs w:val="14"/>
                <w:spacing w:val="-1"/>
              </w:rPr>
              <w:t>苏。三、支持小微企业科技创新，助力产业</w:t>
            </w:r>
            <w:r>
              <w:rPr>
                <w:sz w:val="14"/>
                <w:szCs w:val="14"/>
                <w:spacing w:val="-2"/>
              </w:rPr>
              <w:t>发展。银行保险机   </w:t>
            </w:r>
            <w:r>
              <w:rPr>
                <w:sz w:val="14"/>
                <w:szCs w:val="14"/>
                <w:spacing w:val="3"/>
              </w:rPr>
              <w:t>构要立足现代化产业体系建设需要，围绕小微企业科技创新、  </w:t>
            </w:r>
            <w:r>
              <w:rPr>
                <w:sz w:val="14"/>
                <w:szCs w:val="14"/>
                <w:spacing w:val="1"/>
              </w:rPr>
              <w:t>专精特新发展，构建专业化的服务机制，加</w:t>
            </w:r>
            <w:r>
              <w:rPr>
                <w:sz w:val="14"/>
                <w:szCs w:val="14"/>
              </w:rPr>
              <w:t>大内部激励力度。</w:t>
            </w:r>
          </w:p>
          <w:p>
            <w:pPr>
              <w:pStyle w:val="TableText"/>
              <w:ind w:left="10" w:right="234" w:firstLine="20"/>
              <w:spacing w:before="18" w:line="263" w:lineRule="auto"/>
              <w:rPr>
                <w:sz w:val="14"/>
                <w:szCs w:val="14"/>
              </w:rPr>
            </w:pPr>
            <w:r>
              <w:rPr>
                <w:sz w:val="14"/>
                <w:szCs w:val="14"/>
              </w:rPr>
              <w:t>优化服务模式，综合运用动产和知识产权、供应</w:t>
            </w:r>
            <w:r>
              <w:rPr>
                <w:sz w:val="14"/>
                <w:szCs w:val="14"/>
                <w:spacing w:val="-1"/>
              </w:rPr>
              <w:t>链票据、应收</w:t>
            </w:r>
            <w:r>
              <w:rPr>
                <w:sz w:val="14"/>
                <w:szCs w:val="14"/>
              </w:rPr>
              <w:t xml:space="preserve">  </w:t>
            </w:r>
            <w:r>
              <w:rPr>
                <w:sz w:val="14"/>
                <w:szCs w:val="14"/>
                <w:spacing w:val="-1"/>
              </w:rPr>
              <w:t>账款融资及财产保险、责任保险等服务方式，强化资金支持和</w:t>
            </w:r>
            <w:r>
              <w:rPr>
                <w:sz w:val="14"/>
                <w:szCs w:val="14"/>
                <w:spacing w:val="-2"/>
              </w:rPr>
              <w:t xml:space="preserve">  </w:t>
            </w:r>
            <w:r>
              <w:rPr>
                <w:sz w:val="14"/>
                <w:szCs w:val="14"/>
              </w:rPr>
              <w:t>风险保障，加强与直接融资有机衔接，培育小微企业成为创新</w:t>
            </w:r>
            <w:r>
              <w:rPr>
                <w:sz w:val="14"/>
                <w:szCs w:val="14"/>
                <w:spacing w:val="1"/>
              </w:rPr>
              <w:t xml:space="preserve">  </w:t>
            </w:r>
            <w:r>
              <w:rPr>
                <w:sz w:val="14"/>
                <w:szCs w:val="14"/>
              </w:rPr>
              <w:t>发源地。加大制造业小微企业中长期资金供给，支持设备更新</w:t>
            </w:r>
            <w:r>
              <w:rPr>
                <w:sz w:val="14"/>
                <w:szCs w:val="14"/>
                <w:spacing w:val="5"/>
              </w:rPr>
              <w:t xml:space="preserve">  </w:t>
            </w:r>
            <w:r>
              <w:rPr>
                <w:sz w:val="14"/>
                <w:szCs w:val="14"/>
              </w:rPr>
              <w:t>技术改造、绿色转型发展，助力提升产业链韧性。四、支持个</w:t>
            </w:r>
            <w:r>
              <w:rPr>
                <w:sz w:val="14"/>
                <w:szCs w:val="14"/>
                <w:spacing w:val="1"/>
              </w:rPr>
              <w:t xml:space="preserve">  </w:t>
            </w:r>
            <w:r>
              <w:rPr>
                <w:sz w:val="14"/>
                <w:szCs w:val="14"/>
              </w:rPr>
              <w:t>体工商户纾困，助力改善民生。银行保险机构要认真落实《促</w:t>
            </w:r>
            <w:r>
              <w:rPr>
                <w:sz w:val="14"/>
                <w:szCs w:val="14"/>
                <w:spacing w:val="1"/>
              </w:rPr>
              <w:t xml:space="preserve">  </w:t>
            </w:r>
            <w:r>
              <w:rPr>
                <w:sz w:val="14"/>
                <w:szCs w:val="14"/>
                <w:spacing w:val="1"/>
              </w:rPr>
              <w:t>进个体工商户发展条例》,为个体工商户提</w:t>
            </w:r>
            <w:r>
              <w:rPr>
                <w:sz w:val="14"/>
                <w:szCs w:val="14"/>
              </w:rPr>
              <w:t>供适合的产品服务。 </w:t>
            </w:r>
            <w:r>
              <w:rPr>
                <w:sz w:val="14"/>
                <w:szCs w:val="14"/>
              </w:rPr>
              <w:t>银行业金融机构要根据个体工商户缺信用信息、缺抵押担保的</w:t>
            </w:r>
            <w:r>
              <w:rPr>
                <w:sz w:val="14"/>
                <w:szCs w:val="14"/>
                <w:spacing w:val="1"/>
              </w:rPr>
              <w:t xml:space="preserve">  </w:t>
            </w:r>
            <w:r>
              <w:rPr>
                <w:sz w:val="14"/>
                <w:szCs w:val="14"/>
              </w:rPr>
              <w:t>特点，改进信用评价和授信管理，综合运用经营信息、交易流</w:t>
            </w:r>
            <w:r>
              <w:rPr>
                <w:sz w:val="14"/>
                <w:szCs w:val="14"/>
                <w:spacing w:val="1"/>
              </w:rPr>
              <w:t xml:space="preserve">  </w:t>
            </w:r>
            <w:r>
              <w:rPr>
                <w:sz w:val="14"/>
                <w:szCs w:val="14"/>
              </w:rPr>
              <w:t>水、征信信息、公共信用信息等多维度数据，积极研发小额信  </w:t>
            </w:r>
            <w:r>
              <w:rPr>
                <w:sz w:val="14"/>
                <w:szCs w:val="14"/>
                <w:spacing w:val="1"/>
              </w:rPr>
              <w:t>用贷款产品，努力实现个体工商户贷款余额、户数持续增长。  </w:t>
            </w:r>
            <w:r>
              <w:rPr>
                <w:sz w:val="14"/>
                <w:szCs w:val="14"/>
              </w:rPr>
              <w:t>鼓励发展随借随还贷款产品，更好满足个体工商户用款急、期</w:t>
            </w:r>
            <w:r>
              <w:rPr>
                <w:sz w:val="14"/>
                <w:szCs w:val="14"/>
                <w:spacing w:val="1"/>
              </w:rPr>
              <w:t xml:space="preserve">  </w:t>
            </w:r>
            <w:r>
              <w:rPr>
                <w:sz w:val="14"/>
                <w:szCs w:val="14"/>
                <w:spacing w:val="1"/>
              </w:rPr>
              <w:t>限短、频度高的资金需求。五、优化小微企业信</w:t>
            </w:r>
            <w:r>
              <w:rPr>
                <w:sz w:val="14"/>
                <w:szCs w:val="14"/>
              </w:rPr>
              <w:t>贷结构。重点  </w:t>
            </w:r>
            <w:r>
              <w:rPr>
                <w:sz w:val="14"/>
                <w:szCs w:val="14"/>
              </w:rPr>
              <w:t>围绕小微企业无贷户加大支持，扩大服务覆盖面。加强对小微</w:t>
            </w:r>
            <w:r>
              <w:rPr>
                <w:sz w:val="14"/>
                <w:szCs w:val="14"/>
                <w:spacing w:val="7"/>
              </w:rPr>
              <w:t xml:space="preserve">  </w:t>
            </w:r>
            <w:r>
              <w:rPr>
                <w:sz w:val="14"/>
                <w:szCs w:val="14"/>
              </w:rPr>
              <w:t>企业信用信息的挖掘运用，增加信用贷款投放，降低对担保等</w:t>
            </w:r>
            <w:r>
              <w:rPr>
                <w:sz w:val="14"/>
                <w:szCs w:val="14"/>
                <w:spacing w:val="5"/>
              </w:rPr>
              <w:t xml:space="preserve">  </w:t>
            </w:r>
            <w:r>
              <w:rPr>
                <w:sz w:val="14"/>
                <w:szCs w:val="14"/>
              </w:rPr>
              <w:t>第二还款来源的依赖。合理满足单户授信总额1000万元以上</w:t>
            </w:r>
          </w:p>
          <w:p>
            <w:pPr>
              <w:pStyle w:val="TableText"/>
              <w:ind w:left="10" w:right="309" w:firstLine="10"/>
              <w:spacing w:before="24" w:line="234" w:lineRule="auto"/>
              <w:rPr>
                <w:sz w:val="14"/>
                <w:szCs w:val="14"/>
              </w:rPr>
            </w:pPr>
            <w:r>
              <w:rPr>
                <w:sz w:val="14"/>
                <w:szCs w:val="14"/>
              </w:rPr>
              <w:t>的小微企业信贷需求，支持小微企业发展壮大。六、完善小微</w:t>
            </w:r>
            <w:r>
              <w:rPr>
                <w:sz w:val="14"/>
                <w:szCs w:val="14"/>
                <w:spacing w:val="4"/>
              </w:rPr>
              <w:t xml:space="preserve"> </w:t>
            </w:r>
            <w:r>
              <w:rPr>
                <w:sz w:val="14"/>
                <w:szCs w:val="14"/>
                <w:spacing w:val="-1"/>
              </w:rPr>
              <w:t>企业服务定价机制。银行业金融机构要根据贷款市场报价利率</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768832" behindDoc="0" locked="0" layoutInCell="0" allowOverlap="1">
                <wp:simplePos x="0" y="0"/>
                <wp:positionH relativeFrom="page">
                  <wp:posOffset>474169</wp:posOffset>
                </wp:positionH>
                <wp:positionV relativeFrom="page">
                  <wp:posOffset>4392215</wp:posOffset>
                </wp:positionV>
                <wp:extent cx="166370" cy="158114"/>
                <wp:effectExtent l="0" t="0" r="0" b="0"/>
                <wp:wrapNone/>
                <wp:docPr id="86" name="TextBox 86"/>
                <wp:cNvGraphicFramePr/>
                <a:graphic>
                  <a:graphicData uri="http://schemas.microsoft.com/office/word/2010/wordprocessingShape">
                    <wps:wsp>
                      <wps:cNvSpPr txBox="1"/>
                      <wps:spPr>
                        <a:xfrm rot="5400000">
                          <a:off x="474169" y="4392215"/>
                          <a:ext cx="16637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8" style="position:absolute;margin-left:37.3362pt;margin-top:345.844pt;mso-position-vertical-relative:page;mso-position-horizontal-relative:page;width:13.1pt;height:12.45pt;z-index:251768832;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111</w:t>
                      </w:r>
                    </w:p>
                  </w:txbxContent>
                </v:textbox>
              </v:shape>
            </w:pict>
          </mc:Fallback>
        </mc:AlternateContent>
      </w:r>
      <w:r/>
    </w:p>
    <w:p>
      <w:pPr>
        <w:spacing w:before="46"/>
        <w:rPr/>
      </w:pPr>
      <w:r/>
    </w:p>
    <w:tbl>
      <w:tblPr>
        <w:tblStyle w:val="TableNormal"/>
        <w:tblW w:w="9629" w:type="dxa"/>
        <w:tblInd w:w="30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514" w:hRule="atLeast"/>
        </w:trPr>
        <w:tc>
          <w:tcPr>
            <w:tcW w:w="295" w:type="dxa"/>
            <w:vAlign w:val="top"/>
            <w:textDirection w:val="tbRlV"/>
          </w:tcPr>
          <w:p>
            <w:pPr>
              <w:pStyle w:val="TableText"/>
              <w:ind w:left="57"/>
              <w:spacing w:before="80" w:line="217" w:lineRule="auto"/>
              <w:rPr>
                <w:sz w:val="14"/>
                <w:szCs w:val="14"/>
              </w:rPr>
            </w:pPr>
            <w:r>
              <w:rPr>
                <w:sz w:val="14"/>
                <w:szCs w:val="14"/>
              </w:rPr>
              <w:t>序</w:t>
            </w:r>
            <w:r>
              <w:rPr>
                <w:sz w:val="14"/>
                <w:szCs w:val="14"/>
                <w:spacing w:val="41"/>
              </w:rPr>
              <w:t xml:space="preserve"> </w:t>
            </w:r>
            <w:r>
              <w:rPr>
                <w:sz w:val="14"/>
                <w:szCs w:val="14"/>
              </w:rPr>
              <w:t>号</w:t>
            </w:r>
          </w:p>
        </w:tc>
        <w:tc>
          <w:tcPr>
            <w:tcW w:w="4125" w:type="dxa"/>
            <w:vAlign w:val="top"/>
          </w:tcPr>
          <w:p>
            <w:pPr>
              <w:pStyle w:val="TableText"/>
              <w:ind w:left="1769"/>
              <w:spacing w:before="190" w:line="219" w:lineRule="auto"/>
              <w:rPr>
                <w:sz w:val="14"/>
                <w:szCs w:val="14"/>
              </w:rPr>
            </w:pPr>
            <w:r>
              <w:rPr>
                <w:sz w:val="14"/>
                <w:szCs w:val="14"/>
                <w:spacing w:val="-2"/>
              </w:rPr>
              <w:t>主要内容</w:t>
            </w:r>
          </w:p>
        </w:tc>
        <w:tc>
          <w:tcPr>
            <w:tcW w:w="2507" w:type="dxa"/>
            <w:vAlign w:val="top"/>
          </w:tcPr>
          <w:p>
            <w:pPr>
              <w:pStyle w:val="TableText"/>
              <w:ind w:left="954"/>
              <w:spacing w:before="189" w:line="219" w:lineRule="auto"/>
              <w:rPr>
                <w:sz w:val="14"/>
                <w:szCs w:val="14"/>
              </w:rPr>
            </w:pPr>
            <w:r>
              <w:rPr>
                <w:sz w:val="14"/>
                <w:szCs w:val="14"/>
                <w:spacing w:val="-1"/>
              </w:rPr>
              <w:t>政策依据</w:t>
            </w:r>
          </w:p>
        </w:tc>
        <w:tc>
          <w:tcPr>
            <w:tcW w:w="949" w:type="dxa"/>
            <w:vAlign w:val="top"/>
          </w:tcPr>
          <w:p>
            <w:pPr>
              <w:pStyle w:val="TableText"/>
              <w:ind w:left="188"/>
              <w:spacing w:before="190" w:line="219" w:lineRule="auto"/>
              <w:rPr>
                <w:sz w:val="14"/>
                <w:szCs w:val="14"/>
              </w:rPr>
            </w:pPr>
            <w:r>
              <w:rPr>
                <w:sz w:val="14"/>
                <w:szCs w:val="14"/>
                <w:spacing w:val="-2"/>
              </w:rPr>
              <w:t>执行时间</w:t>
            </w:r>
          </w:p>
        </w:tc>
        <w:tc>
          <w:tcPr>
            <w:tcW w:w="979" w:type="dxa"/>
            <w:vAlign w:val="top"/>
          </w:tcPr>
          <w:p>
            <w:pPr>
              <w:pStyle w:val="TableText"/>
              <w:ind w:left="208"/>
              <w:spacing w:before="72" w:line="228" w:lineRule="exact"/>
              <w:rPr>
                <w:sz w:val="14"/>
                <w:szCs w:val="14"/>
              </w:rPr>
            </w:pPr>
            <w:r>
              <w:rPr>
                <w:sz w:val="14"/>
                <w:szCs w:val="14"/>
                <w:spacing w:val="-3"/>
                <w:position w:val="6"/>
              </w:rPr>
              <w:t>惠及企业</w:t>
            </w:r>
          </w:p>
          <w:p>
            <w:pPr>
              <w:pStyle w:val="TableText"/>
              <w:ind w:left="348"/>
              <w:spacing w:line="219" w:lineRule="auto"/>
              <w:rPr>
                <w:sz w:val="14"/>
                <w:szCs w:val="14"/>
              </w:rPr>
            </w:pPr>
            <w:r>
              <w:rPr>
                <w:sz w:val="14"/>
                <w:szCs w:val="14"/>
                <w:spacing w:val="-2"/>
              </w:rPr>
              <w:t>类型</w:t>
            </w:r>
          </w:p>
        </w:tc>
        <w:tc>
          <w:tcPr>
            <w:tcW w:w="390" w:type="dxa"/>
            <w:vAlign w:val="top"/>
          </w:tcPr>
          <w:p>
            <w:pPr>
              <w:pStyle w:val="TableText"/>
              <w:ind w:left="49" w:right="54"/>
              <w:spacing w:before="71" w:line="261" w:lineRule="auto"/>
              <w:rPr>
                <w:sz w:val="14"/>
                <w:szCs w:val="14"/>
              </w:rPr>
            </w:pPr>
            <w:r>
              <w:rPr>
                <w:sz w:val="14"/>
                <w:szCs w:val="14"/>
                <w:spacing w:val="-3"/>
              </w:rPr>
              <w:t>政策</w:t>
            </w:r>
            <w:r>
              <w:rPr>
                <w:sz w:val="14"/>
                <w:szCs w:val="14"/>
              </w:rPr>
              <w:t xml:space="preserve"> </w:t>
            </w:r>
            <w:r>
              <w:rPr>
                <w:sz w:val="14"/>
                <w:szCs w:val="14"/>
                <w:spacing w:val="-3"/>
              </w:rPr>
              <w:t>类别</w:t>
            </w:r>
          </w:p>
        </w:tc>
        <w:tc>
          <w:tcPr>
            <w:tcW w:w="384" w:type="dxa"/>
            <w:vAlign w:val="top"/>
          </w:tcPr>
          <w:p>
            <w:pPr>
              <w:pStyle w:val="TableText"/>
              <w:ind w:left="49" w:right="48"/>
              <w:spacing w:before="7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56"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04"/>
              <w:spacing w:before="45" w:line="183" w:lineRule="auto"/>
              <w:rPr>
                <w:sz w:val="14"/>
                <w:szCs w:val="14"/>
              </w:rPr>
            </w:pPr>
            <w:r>
              <w:rPr>
                <w:sz w:val="14"/>
                <w:szCs w:val="14"/>
              </w:rPr>
              <w:t>3</w:t>
            </w:r>
          </w:p>
        </w:tc>
        <w:tc>
          <w:tcPr>
            <w:tcW w:w="4125" w:type="dxa"/>
            <w:vAlign w:val="top"/>
          </w:tcPr>
          <w:p>
            <w:pPr>
              <w:pStyle w:val="TableText"/>
              <w:ind w:left="79"/>
              <w:spacing w:before="126" w:line="219" w:lineRule="auto"/>
              <w:rPr>
                <w:sz w:val="14"/>
                <w:szCs w:val="14"/>
              </w:rPr>
            </w:pPr>
            <w:r>
              <w:rPr>
                <w:sz w:val="14"/>
                <w:szCs w:val="14"/>
              </w:rPr>
              <w:t>(LPR)和小微企业客群特征，合理确定贷款利率。银行保险</w:t>
            </w:r>
          </w:p>
          <w:p>
            <w:pPr>
              <w:pStyle w:val="TableText"/>
              <w:ind w:left="20" w:right="296" w:firstLine="10"/>
              <w:spacing w:before="35" w:line="261" w:lineRule="auto"/>
              <w:rPr>
                <w:sz w:val="14"/>
                <w:szCs w:val="14"/>
              </w:rPr>
            </w:pPr>
            <w:r>
              <w:rPr>
                <w:sz w:val="14"/>
                <w:szCs w:val="14"/>
              </w:rPr>
              <w:t>机构要规范小微企业金融服务收费行为，提升服</w:t>
            </w:r>
            <w:r>
              <w:rPr>
                <w:sz w:val="14"/>
                <w:szCs w:val="14"/>
                <w:spacing w:val="-1"/>
              </w:rPr>
              <w:t>务定价科学性</w:t>
            </w:r>
            <w:r>
              <w:rPr>
                <w:sz w:val="14"/>
                <w:szCs w:val="14"/>
              </w:rPr>
              <w:t xml:space="preserve"> </w:t>
            </w:r>
            <w:r>
              <w:rPr>
                <w:sz w:val="14"/>
                <w:szCs w:val="14"/>
              </w:rPr>
              <w:t>和精准性，加强服务项目与价格公示，做好优惠措施告知。银</w:t>
            </w:r>
            <w:r>
              <w:rPr>
                <w:sz w:val="14"/>
                <w:szCs w:val="14"/>
                <w:spacing w:val="2"/>
              </w:rPr>
              <w:t xml:space="preserve"> </w:t>
            </w:r>
            <w:r>
              <w:rPr>
                <w:sz w:val="14"/>
                <w:szCs w:val="14"/>
              </w:rPr>
              <w:t>行业金融机构与第三方合作向小微企业提供服务的，要充分了</w:t>
            </w:r>
            <w:r>
              <w:rPr>
                <w:sz w:val="14"/>
                <w:szCs w:val="14"/>
                <w:spacing w:val="17"/>
                <w:w w:val="101"/>
              </w:rPr>
              <w:t xml:space="preserve"> </w:t>
            </w:r>
            <w:r>
              <w:rPr>
                <w:sz w:val="14"/>
                <w:szCs w:val="14"/>
              </w:rPr>
              <w:t>解第三方机构向企业收费情况，将收费标准作为</w:t>
            </w:r>
            <w:r>
              <w:rPr>
                <w:sz w:val="14"/>
                <w:szCs w:val="14"/>
                <w:spacing w:val="-1"/>
              </w:rPr>
              <w:t>重要审查条件</w:t>
            </w:r>
            <w:r>
              <w:rPr>
                <w:sz w:val="14"/>
                <w:szCs w:val="14"/>
              </w:rPr>
              <w:t xml:space="preserve"> </w:t>
            </w:r>
            <w:r>
              <w:rPr>
                <w:sz w:val="14"/>
                <w:szCs w:val="14"/>
              </w:rPr>
              <w:t>严格审核、持续评估，发现存在违规收费、收费过高的要及时</w:t>
            </w:r>
            <w:r>
              <w:rPr>
                <w:sz w:val="14"/>
                <w:szCs w:val="14"/>
                <w:spacing w:val="2"/>
              </w:rPr>
              <w:t xml:space="preserve"> </w:t>
            </w:r>
            <w:r>
              <w:rPr>
                <w:sz w:val="14"/>
                <w:szCs w:val="14"/>
              </w:rPr>
              <w:t>停止合作，推动降低小微企业实际融资成本</w:t>
            </w:r>
            <w:r>
              <w:rPr>
                <w:sz w:val="14"/>
                <w:szCs w:val="14"/>
                <w:spacing w:val="-1"/>
              </w:rPr>
              <w:t>。七、加大对小微</w:t>
            </w:r>
            <w:r>
              <w:rPr>
                <w:sz w:val="14"/>
                <w:szCs w:val="14"/>
              </w:rPr>
              <w:t xml:space="preserve"> </w:t>
            </w:r>
            <w:r>
              <w:rPr>
                <w:sz w:val="14"/>
                <w:szCs w:val="14"/>
              </w:rPr>
              <w:t>企业续贷支持力度。银行业金融机构要开发小微企业续贷专门</w:t>
            </w:r>
            <w:r>
              <w:rPr>
                <w:sz w:val="14"/>
                <w:szCs w:val="14"/>
                <w:spacing w:val="14"/>
              </w:rPr>
              <w:t xml:space="preserve"> </w:t>
            </w:r>
            <w:r>
              <w:rPr>
                <w:sz w:val="14"/>
                <w:szCs w:val="14"/>
              </w:rPr>
              <w:t>产品或完善现有产品续贷功能，原则上小微企</w:t>
            </w:r>
            <w:r>
              <w:rPr>
                <w:sz w:val="14"/>
                <w:szCs w:val="14"/>
                <w:spacing w:val="-1"/>
              </w:rPr>
              <w:t>业流动资金贷款</w:t>
            </w:r>
            <w:r>
              <w:rPr>
                <w:sz w:val="14"/>
                <w:szCs w:val="14"/>
              </w:rPr>
              <w:t xml:space="preserve"> </w:t>
            </w:r>
            <w:r>
              <w:rPr>
                <w:sz w:val="14"/>
                <w:szCs w:val="14"/>
              </w:rPr>
              <w:t>产品和小微企业主、个体工商户中短期经营性</w:t>
            </w:r>
            <w:r>
              <w:rPr>
                <w:sz w:val="14"/>
                <w:szCs w:val="14"/>
                <w:spacing w:val="-1"/>
              </w:rPr>
              <w:t>贷款产品都应具</w:t>
            </w:r>
            <w:r>
              <w:rPr>
                <w:sz w:val="14"/>
                <w:szCs w:val="14"/>
              </w:rPr>
              <w:t xml:space="preserve"> </w:t>
            </w:r>
            <w:r>
              <w:rPr>
                <w:sz w:val="14"/>
                <w:szCs w:val="14"/>
              </w:rPr>
              <w:t>备续贷功能。合理确定本行续贷条件，严禁为挪用于非生产经</w:t>
            </w:r>
            <w:r>
              <w:rPr>
                <w:sz w:val="14"/>
                <w:szCs w:val="14"/>
                <w:spacing w:val="11"/>
              </w:rPr>
              <w:t xml:space="preserve"> </w:t>
            </w:r>
            <w:r>
              <w:rPr>
                <w:sz w:val="14"/>
                <w:szCs w:val="14"/>
              </w:rPr>
              <w:t>营用途的贷款办理续贷，不得用续贷掩盖信用风险。银行业金 </w:t>
            </w:r>
            <w:r>
              <w:rPr>
                <w:sz w:val="14"/>
                <w:szCs w:val="14"/>
                <w:spacing w:val="-1"/>
              </w:rPr>
              <w:t>融机构通过地方政府设立的应急转贷资金向生产经营正常、信</w:t>
            </w:r>
            <w:r>
              <w:rPr>
                <w:sz w:val="14"/>
                <w:szCs w:val="14"/>
                <w:spacing w:val="17"/>
              </w:rPr>
              <w:t xml:space="preserve"> </w:t>
            </w:r>
            <w:r>
              <w:rPr>
                <w:sz w:val="14"/>
                <w:szCs w:val="14"/>
              </w:rPr>
              <w:t>用状况良好的小微企业提供接续融资，可比照小微企业续贷业</w:t>
            </w:r>
            <w:r>
              <w:rPr>
                <w:sz w:val="14"/>
                <w:szCs w:val="14"/>
                <w:spacing w:val="12"/>
              </w:rPr>
              <w:t xml:space="preserve"> </w:t>
            </w:r>
            <w:r>
              <w:rPr>
                <w:sz w:val="14"/>
                <w:szCs w:val="14"/>
              </w:rPr>
              <w:t>务进行风险分类。八、落实落细监管评价要求。银行业金融机</w:t>
            </w:r>
            <w:r>
              <w:rPr>
                <w:sz w:val="14"/>
                <w:szCs w:val="14"/>
                <w:spacing w:val="12"/>
              </w:rPr>
              <w:t xml:space="preserve"> </w:t>
            </w:r>
            <w:r>
              <w:rPr>
                <w:sz w:val="14"/>
                <w:szCs w:val="14"/>
              </w:rPr>
              <w:t>构要结合小微企业金融服务监管评价情况，逐项查缺补漏，做</w:t>
            </w:r>
            <w:r>
              <w:rPr>
                <w:sz w:val="14"/>
                <w:szCs w:val="14"/>
                <w:spacing w:val="1"/>
              </w:rPr>
              <w:t xml:space="preserve"> </w:t>
            </w:r>
            <w:r>
              <w:rPr>
                <w:sz w:val="14"/>
                <w:szCs w:val="14"/>
                <w:spacing w:val="-1"/>
              </w:rPr>
              <w:t>实专业化服务机制，在组织架构、队伍建设、绩效考核、内部</w:t>
            </w:r>
            <w:r>
              <w:rPr>
                <w:sz w:val="14"/>
                <w:szCs w:val="14"/>
                <w:spacing w:val="17"/>
              </w:rPr>
              <w:t xml:space="preserve"> </w:t>
            </w:r>
            <w:r>
              <w:rPr>
                <w:sz w:val="14"/>
                <w:szCs w:val="14"/>
              </w:rPr>
              <w:t>资金转移定价等方面强化资源保障。综合运用内部检查</w:t>
            </w:r>
            <w:r>
              <w:rPr>
                <w:sz w:val="14"/>
                <w:szCs w:val="14"/>
                <w:spacing w:val="-1"/>
              </w:rPr>
              <w:t>、审计</w:t>
            </w:r>
            <w:r>
              <w:rPr>
                <w:sz w:val="14"/>
                <w:szCs w:val="14"/>
              </w:rPr>
              <w:t xml:space="preserve"> </w:t>
            </w:r>
            <w:r>
              <w:rPr>
                <w:sz w:val="14"/>
                <w:szCs w:val="14"/>
              </w:rPr>
              <w:t>等手段，加强对基层落实政策要求的督导。细化小微企业授信</w:t>
            </w:r>
            <w:r>
              <w:rPr>
                <w:sz w:val="14"/>
                <w:szCs w:val="14"/>
                <w:spacing w:val="2"/>
              </w:rPr>
              <w:t xml:space="preserve"> </w:t>
            </w:r>
            <w:r>
              <w:rPr>
                <w:sz w:val="14"/>
                <w:szCs w:val="14"/>
              </w:rPr>
              <w:t>尽职免责制度，与不良容忍度政策有效结合，明确各流程环节</w:t>
            </w:r>
            <w:r>
              <w:rPr>
                <w:sz w:val="14"/>
                <w:szCs w:val="14"/>
                <w:spacing w:val="2"/>
              </w:rPr>
              <w:t xml:space="preserve"> </w:t>
            </w:r>
            <w:r>
              <w:rPr>
                <w:sz w:val="14"/>
                <w:szCs w:val="14"/>
              </w:rPr>
              <w:t>人员免责认定标准，增强基层执行的可操作性，努力做到应免</w:t>
            </w:r>
            <w:r>
              <w:rPr>
                <w:sz w:val="14"/>
                <w:szCs w:val="14"/>
                <w:spacing w:val="2"/>
              </w:rPr>
              <w:t xml:space="preserve"> </w:t>
            </w:r>
            <w:r>
              <w:rPr>
                <w:sz w:val="14"/>
                <w:szCs w:val="14"/>
              </w:rPr>
              <w:t>尽免。四、发掘服务优势，增强小微企业服务能力。九、提升</w:t>
            </w:r>
            <w:r>
              <w:rPr>
                <w:sz w:val="14"/>
                <w:szCs w:val="14"/>
                <w:spacing w:val="2"/>
              </w:rPr>
              <w:t xml:space="preserve"> </w:t>
            </w:r>
            <w:r>
              <w:rPr>
                <w:sz w:val="14"/>
                <w:szCs w:val="14"/>
              </w:rPr>
              <w:t>大中型银行服务小微企业内生动力。大中型商业银行要坚持将</w:t>
            </w:r>
            <w:r>
              <w:rPr>
                <w:sz w:val="14"/>
                <w:szCs w:val="14"/>
                <w:spacing w:val="11"/>
              </w:rPr>
              <w:t xml:space="preserve"> </w:t>
            </w:r>
            <w:r>
              <w:rPr>
                <w:sz w:val="14"/>
                <w:szCs w:val="14"/>
              </w:rPr>
              <w:t>小微金融纳入长期发展战略，强化战略传导，做深做实分支机 </w:t>
            </w:r>
            <w:r>
              <w:rPr>
                <w:sz w:val="14"/>
                <w:szCs w:val="14"/>
              </w:rPr>
              <w:t>构服务机制。大型银行要进一步发挥资源、技术优势，优化小</w:t>
            </w:r>
            <w:r>
              <w:rPr>
                <w:sz w:val="14"/>
                <w:szCs w:val="14"/>
                <w:spacing w:val="1"/>
              </w:rPr>
              <w:t xml:space="preserve"> </w:t>
            </w:r>
            <w:r>
              <w:rPr>
                <w:sz w:val="14"/>
                <w:szCs w:val="14"/>
              </w:rPr>
              <w:t>微业务的数字化经营模式，深挖服务潜力，实</w:t>
            </w:r>
            <w:r>
              <w:rPr>
                <w:sz w:val="14"/>
                <w:szCs w:val="14"/>
                <w:spacing w:val="-1"/>
              </w:rPr>
              <w:t>现规模经济。股</w:t>
            </w:r>
            <w:r>
              <w:rPr>
                <w:sz w:val="14"/>
                <w:szCs w:val="14"/>
              </w:rPr>
              <w:t xml:space="preserve"> </w:t>
            </w:r>
            <w:r>
              <w:rPr>
                <w:sz w:val="14"/>
                <w:szCs w:val="14"/>
              </w:rPr>
              <w:t>份制银行要提升自主服务能力，培育专业化人</w:t>
            </w:r>
            <w:r>
              <w:rPr>
                <w:sz w:val="14"/>
                <w:szCs w:val="14"/>
                <w:spacing w:val="-1"/>
              </w:rPr>
              <w:t>才队伍，筑牢小</w:t>
            </w:r>
            <w:r>
              <w:rPr>
                <w:sz w:val="14"/>
                <w:szCs w:val="14"/>
              </w:rPr>
              <w:t xml:space="preserve"> </w:t>
            </w:r>
            <w:r>
              <w:rPr>
                <w:sz w:val="14"/>
                <w:szCs w:val="14"/>
              </w:rPr>
              <w:t>微业务发展基础。大中型商业银行要增强金融</w:t>
            </w:r>
            <w:r>
              <w:rPr>
                <w:sz w:val="14"/>
                <w:szCs w:val="14"/>
                <w:spacing w:val="-1"/>
              </w:rPr>
              <w:t>供给的区域协调</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bl>
    <w:p>
      <w:pPr>
        <w:pStyle w:val="BodyText"/>
        <w:rPr/>
      </w:pPr>
      <w:r/>
    </w:p>
    <w:p>
      <w:pPr>
        <w:sectPr>
          <w:pgSz w:w="11910" w:h="8220"/>
          <w:pgMar w:top="400" w:right="1145" w:bottom="400" w:left="822" w:header="0" w:footer="0" w:gutter="0"/>
        </w:sectPr>
        <w:rPr/>
      </w:pPr>
    </w:p>
    <w:p>
      <w:pPr>
        <w:spacing w:before="46"/>
        <w:rPr/>
      </w:pPr>
      <w:r>
        <mc:AlternateContent xmlns:mc="http://schemas.openxmlformats.org/markup-compatibility/2006">
          <mc:Choice Requires="wps">
            <w:drawing>
              <wp:anchor distT="0" distB="0" distL="0" distR="0" simplePos="0" relativeHeight="251769856" behindDoc="0" locked="0" layoutInCell="0" allowOverlap="1">
                <wp:simplePos x="0" y="0"/>
                <wp:positionH relativeFrom="page">
                  <wp:posOffset>457185</wp:posOffset>
                </wp:positionH>
                <wp:positionV relativeFrom="page">
                  <wp:posOffset>622521</wp:posOffset>
                </wp:positionV>
                <wp:extent cx="212090" cy="224154"/>
                <wp:effectExtent l="0" t="0" r="0" b="0"/>
                <wp:wrapNone/>
                <wp:docPr id="88" name="TextBox 88"/>
                <wp:cNvGraphicFramePr/>
                <a:graphic>
                  <a:graphicData uri="http://schemas.microsoft.com/office/word/2010/wordprocessingShape">
                    <wps:wsp>
                      <wps:cNvSpPr txBox="1"/>
                      <wps:spPr>
                        <a:xfrm rot="5400000">
                          <a:off x="457185" y="622521"/>
                          <a:ext cx="212090" cy="2241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3" w:line="184" w:lineRule="auto"/>
                              <w:jc w:val="right"/>
                              <w:rPr>
                                <w:rFonts w:ascii="SimSun" w:hAnsi="SimSun" w:eastAsia="SimSun" w:cs="SimSun"/>
                                <w:sz w:val="24"/>
                                <w:szCs w:val="24"/>
                              </w:rPr>
                            </w:pPr>
                            <w:r>
                              <w:rPr>
                                <w:rFonts w:ascii="SimSun" w:hAnsi="SimSun" w:eastAsia="SimSun" w:cs="SimSun"/>
                                <w:sz w:val="24"/>
                                <w:szCs w:val="24"/>
                                <w:spacing w:val="-27"/>
                              </w:rPr>
                              <w:t>1</w:t>
                            </w:r>
                            <w:r>
                              <w:rPr>
                                <w:rFonts w:ascii="SimSun" w:hAnsi="SimSun" w:eastAsia="SimSun" w:cs="SimSun"/>
                                <w:sz w:val="24"/>
                                <w:szCs w:val="24"/>
                                <w:spacing w:val="-26"/>
                              </w:rPr>
                              <w:t>1</w:t>
                            </w:r>
                            <w:r>
                              <w:rPr>
                                <w:rFonts w:ascii="SimSun" w:hAnsi="SimSun" w:eastAsia="SimSun" w:cs="SimSun"/>
                                <w:sz w:val="24"/>
                                <w:szCs w:val="24"/>
                                <w:spacing w:val="-16"/>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0" style="position:absolute;margin-left:35.9989pt;margin-top:49.0174pt;mso-position-vertical-relative:page;mso-position-horizontal-relative:page;width:16.7pt;height:17.65pt;z-index:251769856;rotation:90;" o:allowincell="f" filled="false" stroked="false" type="#_x0000_t202">
                <v:fill on="false"/>
                <v:stroke on="false"/>
                <v:path/>
                <v:imagedata o:title=""/>
                <o:lock v:ext="edit" aspectratio="false"/>
                <v:textbox inset="0mm,0mm,0mm,0mm">
                  <w:txbxContent>
                    <w:p>
                      <w:pPr>
                        <w:spacing w:before="93" w:line="184" w:lineRule="auto"/>
                        <w:jc w:val="right"/>
                        <w:rPr>
                          <w:rFonts w:ascii="SimSun" w:hAnsi="SimSun" w:eastAsia="SimSun" w:cs="SimSun"/>
                          <w:sz w:val="24"/>
                          <w:szCs w:val="24"/>
                        </w:rPr>
                      </w:pPr>
                      <w:r>
                        <w:rPr>
                          <w:rFonts w:ascii="SimSun" w:hAnsi="SimSun" w:eastAsia="SimSun" w:cs="SimSun"/>
                          <w:sz w:val="24"/>
                          <w:szCs w:val="24"/>
                          <w:spacing w:val="-27"/>
                        </w:rPr>
                        <w:t>1</w:t>
                      </w:r>
                      <w:r>
                        <w:rPr>
                          <w:rFonts w:ascii="SimSun" w:hAnsi="SimSun" w:eastAsia="SimSun" w:cs="SimSun"/>
                          <w:sz w:val="24"/>
                          <w:szCs w:val="24"/>
                          <w:spacing w:val="-26"/>
                        </w:rPr>
                        <w:t>1</w:t>
                      </w:r>
                      <w:r>
                        <w:rPr>
                          <w:rFonts w:ascii="SimSun" w:hAnsi="SimSun" w:eastAsia="SimSun" w:cs="SimSun"/>
                          <w:sz w:val="24"/>
                          <w:szCs w:val="24"/>
                          <w:spacing w:val="-16"/>
                        </w:rPr>
                        <w:t>2</w:t>
                      </w:r>
                    </w:p>
                  </w:txbxContent>
                </v:textbox>
              </v:shape>
            </w:pict>
          </mc:Fallback>
        </mc:AlternateContent>
      </w:r>
      <w:r/>
    </w:p>
    <w:p>
      <w:pPr>
        <w:spacing w:before="46"/>
        <w:rPr/>
      </w:pPr>
      <w:r/>
    </w:p>
    <w:tbl>
      <w:tblPr>
        <w:tblStyle w:val="TableNormal"/>
        <w:tblW w:w="9639" w:type="dxa"/>
        <w:tblInd w:w="32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37"/>
              <w:spacing w:before="80" w:line="217" w:lineRule="auto"/>
              <w:rPr>
                <w:sz w:val="14"/>
                <w:szCs w:val="14"/>
              </w:rPr>
            </w:pPr>
            <w:r>
              <w:rPr>
                <w:sz w:val="14"/>
                <w:szCs w:val="14"/>
              </w:rPr>
              <w:t>序</w:t>
            </w:r>
            <w:r>
              <w:rPr>
                <w:sz w:val="14"/>
                <w:szCs w:val="14"/>
                <w:spacing w:val="61"/>
              </w:rPr>
              <w:t xml:space="preserve"> </w:t>
            </w:r>
            <w:r>
              <w:rPr>
                <w:sz w:val="14"/>
                <w:szCs w:val="14"/>
              </w:rPr>
              <w:t>号</w:t>
            </w:r>
          </w:p>
        </w:tc>
        <w:tc>
          <w:tcPr>
            <w:tcW w:w="4125" w:type="dxa"/>
            <w:vAlign w:val="top"/>
          </w:tcPr>
          <w:p>
            <w:pPr>
              <w:pStyle w:val="TableText"/>
              <w:ind w:left="1769"/>
              <w:spacing w:before="180" w:line="219" w:lineRule="auto"/>
              <w:rPr>
                <w:sz w:val="14"/>
                <w:szCs w:val="14"/>
              </w:rPr>
            </w:pPr>
            <w:r>
              <w:rPr>
                <w:sz w:val="14"/>
                <w:szCs w:val="14"/>
                <w:spacing w:val="-2"/>
              </w:rPr>
              <w:t>主要内容</w:t>
            </w:r>
          </w:p>
        </w:tc>
        <w:tc>
          <w:tcPr>
            <w:tcW w:w="2507" w:type="dxa"/>
            <w:vAlign w:val="top"/>
          </w:tcPr>
          <w:p>
            <w:pPr>
              <w:pStyle w:val="TableText"/>
              <w:ind w:left="934"/>
              <w:spacing w:before="179" w:line="219" w:lineRule="auto"/>
              <w:rPr>
                <w:sz w:val="14"/>
                <w:szCs w:val="14"/>
              </w:rPr>
            </w:pPr>
            <w:r>
              <w:rPr>
                <w:sz w:val="14"/>
                <w:szCs w:val="14"/>
                <w:spacing w:val="-1"/>
              </w:rPr>
              <w:t>政策依据</w:t>
            </w:r>
          </w:p>
        </w:tc>
        <w:tc>
          <w:tcPr>
            <w:tcW w:w="949" w:type="dxa"/>
            <w:vAlign w:val="top"/>
          </w:tcPr>
          <w:p>
            <w:pPr>
              <w:pStyle w:val="TableText"/>
              <w:ind w:left="188"/>
              <w:spacing w:before="180" w:line="219" w:lineRule="auto"/>
              <w:rPr>
                <w:sz w:val="14"/>
                <w:szCs w:val="14"/>
              </w:rPr>
            </w:pPr>
            <w:r>
              <w:rPr>
                <w:sz w:val="14"/>
                <w:szCs w:val="14"/>
                <w:spacing w:val="-2"/>
              </w:rPr>
              <w:t>执行时间</w:t>
            </w:r>
          </w:p>
        </w:tc>
        <w:tc>
          <w:tcPr>
            <w:tcW w:w="979" w:type="dxa"/>
            <w:vAlign w:val="top"/>
          </w:tcPr>
          <w:p>
            <w:pPr>
              <w:pStyle w:val="TableText"/>
              <w:ind w:left="208"/>
              <w:spacing w:before="72" w:line="218" w:lineRule="exact"/>
              <w:rPr>
                <w:sz w:val="14"/>
                <w:szCs w:val="14"/>
              </w:rPr>
            </w:pPr>
            <w:r>
              <w:rPr>
                <w:sz w:val="14"/>
                <w:szCs w:val="14"/>
                <w:spacing w:val="-3"/>
                <w:position w:val="5"/>
              </w:rPr>
              <w:t>惠及企业</w:t>
            </w:r>
          </w:p>
          <w:p>
            <w:pPr>
              <w:pStyle w:val="TableText"/>
              <w:ind w:left="348"/>
              <w:spacing w:line="219" w:lineRule="auto"/>
              <w:rPr>
                <w:sz w:val="14"/>
                <w:szCs w:val="14"/>
              </w:rPr>
            </w:pPr>
            <w:r>
              <w:rPr>
                <w:sz w:val="14"/>
                <w:szCs w:val="14"/>
                <w:spacing w:val="-2"/>
              </w:rPr>
              <w:t>类型</w:t>
            </w:r>
          </w:p>
        </w:tc>
        <w:tc>
          <w:tcPr>
            <w:tcW w:w="390" w:type="dxa"/>
            <w:vAlign w:val="top"/>
          </w:tcPr>
          <w:p>
            <w:pPr>
              <w:pStyle w:val="TableText"/>
              <w:ind w:left="49" w:right="54"/>
              <w:spacing w:before="71" w:line="254"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7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76" w:hRule="atLeast"/>
        </w:trPr>
        <w:tc>
          <w:tcPr>
            <w:tcW w:w="29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4"/>
              <w:spacing w:before="45" w:line="183" w:lineRule="auto"/>
              <w:rPr>
                <w:sz w:val="14"/>
                <w:szCs w:val="14"/>
              </w:rPr>
            </w:pPr>
            <w:r>
              <w:rPr>
                <w:sz w:val="14"/>
                <w:szCs w:val="14"/>
              </w:rPr>
              <w:t>3</w:t>
            </w:r>
          </w:p>
        </w:tc>
        <w:tc>
          <w:tcPr>
            <w:tcW w:w="4125" w:type="dxa"/>
            <w:vAlign w:val="top"/>
          </w:tcPr>
          <w:p>
            <w:pPr>
              <w:pStyle w:val="TableText"/>
              <w:ind w:left="20" w:right="177"/>
              <w:spacing w:before="136" w:line="261" w:lineRule="auto"/>
              <w:rPr>
                <w:sz w:val="14"/>
                <w:szCs w:val="14"/>
              </w:rPr>
            </w:pPr>
            <w:r>
              <w:rPr>
                <w:sz w:val="14"/>
                <w:szCs w:val="14"/>
                <w:spacing w:val="-1"/>
              </w:rPr>
              <w:t>性，对前期小微信贷投放薄弱的地区，要进一步压实责任，督</w:t>
            </w:r>
            <w:r>
              <w:rPr>
                <w:sz w:val="14"/>
                <w:szCs w:val="14"/>
                <w:spacing w:val="6"/>
              </w:rPr>
              <w:t xml:space="preserve">   </w:t>
            </w:r>
            <w:r>
              <w:rPr>
                <w:sz w:val="14"/>
                <w:szCs w:val="14"/>
              </w:rPr>
              <w:t>促相关分行加大投放力度。十、推动地方法</w:t>
            </w:r>
            <w:r>
              <w:rPr>
                <w:sz w:val="14"/>
                <w:szCs w:val="14"/>
                <w:spacing w:val="-1"/>
              </w:rPr>
              <w:t>人银行加大小微企</w:t>
            </w:r>
            <w:r>
              <w:rPr>
                <w:sz w:val="14"/>
                <w:szCs w:val="14"/>
              </w:rPr>
              <w:t xml:space="preserve">   </w:t>
            </w:r>
            <w:r>
              <w:rPr>
                <w:sz w:val="14"/>
                <w:szCs w:val="14"/>
              </w:rPr>
              <w:t>业信贷支持力度。地方法人银行要坚守服务当地</w:t>
            </w:r>
            <w:r>
              <w:rPr>
                <w:sz w:val="14"/>
                <w:szCs w:val="14"/>
                <w:spacing w:val="-1"/>
              </w:rPr>
              <w:t>的定位，加大</w:t>
            </w:r>
            <w:r>
              <w:rPr>
                <w:sz w:val="14"/>
                <w:szCs w:val="14"/>
              </w:rPr>
              <w:t xml:space="preserve">   </w:t>
            </w:r>
            <w:r>
              <w:rPr>
                <w:sz w:val="14"/>
                <w:szCs w:val="14"/>
              </w:rPr>
              <w:t>支持小微企业力度，与改革化险、强化公司</w:t>
            </w:r>
            <w:r>
              <w:rPr>
                <w:sz w:val="14"/>
                <w:szCs w:val="14"/>
                <w:spacing w:val="-1"/>
              </w:rPr>
              <w:t>治理有机融合，在</w:t>
            </w:r>
            <w:r>
              <w:rPr>
                <w:sz w:val="14"/>
                <w:szCs w:val="14"/>
              </w:rPr>
              <w:t xml:space="preserve">   </w:t>
            </w:r>
            <w:r>
              <w:rPr>
                <w:sz w:val="14"/>
                <w:szCs w:val="14"/>
              </w:rPr>
              <w:t>服务半径内深耕小微企业客群。加强营销获客</w:t>
            </w:r>
            <w:r>
              <w:rPr>
                <w:sz w:val="14"/>
                <w:szCs w:val="14"/>
                <w:spacing w:val="-1"/>
              </w:rPr>
              <w:t>、授信审批、风</w:t>
            </w:r>
            <w:r>
              <w:rPr>
                <w:sz w:val="14"/>
                <w:szCs w:val="14"/>
              </w:rPr>
              <w:t xml:space="preserve">   </w:t>
            </w:r>
            <w:r>
              <w:rPr>
                <w:sz w:val="14"/>
                <w:szCs w:val="14"/>
              </w:rPr>
              <w:t>险管理等能力建设，利用人缘、地缘优势，探索构建有效的小</w:t>
            </w:r>
            <w:r>
              <w:rPr>
                <w:sz w:val="14"/>
                <w:szCs w:val="14"/>
                <w:spacing w:val="3"/>
              </w:rPr>
              <w:t xml:space="preserve">   </w:t>
            </w:r>
            <w:r>
              <w:rPr>
                <w:sz w:val="14"/>
                <w:szCs w:val="14"/>
                <w:spacing w:val="5"/>
              </w:rPr>
              <w:t>微企业服务模式，打造小微金融“金字招牌”和“百年老店”</w:t>
            </w:r>
            <w:r>
              <w:rPr>
                <w:sz w:val="14"/>
                <w:szCs w:val="14"/>
                <w:spacing w:val="1"/>
              </w:rPr>
              <w:t xml:space="preserve"> </w:t>
            </w:r>
            <w:r>
              <w:rPr>
                <w:sz w:val="14"/>
                <w:szCs w:val="14"/>
              </w:rPr>
              <w:t>普惠型小微企业贷款占比较低的地方法人银行，要继续加大信</w:t>
            </w:r>
            <w:r>
              <w:rPr>
                <w:sz w:val="14"/>
                <w:szCs w:val="14"/>
                <w:spacing w:val="1"/>
              </w:rPr>
              <w:t xml:space="preserve">   </w:t>
            </w:r>
            <w:r>
              <w:rPr>
                <w:sz w:val="14"/>
                <w:szCs w:val="14"/>
              </w:rPr>
              <w:t>贷资源投放，稳步提升业务占比。十一、积极发挥政策性资金   </w:t>
            </w:r>
            <w:r>
              <w:rPr>
                <w:sz w:val="14"/>
                <w:szCs w:val="14"/>
              </w:rPr>
              <w:t>服务小微企业优势。政策性银行与转贷行要健全小微企业转贷</w:t>
            </w:r>
            <w:r>
              <w:rPr>
                <w:sz w:val="14"/>
                <w:szCs w:val="14"/>
                <w:spacing w:val="1"/>
              </w:rPr>
              <w:t xml:space="preserve">   </w:t>
            </w:r>
            <w:r>
              <w:rPr>
                <w:sz w:val="14"/>
                <w:szCs w:val="14"/>
              </w:rPr>
              <w:t>款业务合作机制，加强规范化、精细化管理，完善转贷款管理</w:t>
            </w:r>
            <w:r>
              <w:rPr>
                <w:sz w:val="14"/>
                <w:szCs w:val="14"/>
                <w:spacing w:val="4"/>
              </w:rPr>
              <w:t xml:space="preserve">   </w:t>
            </w:r>
            <w:r>
              <w:rPr>
                <w:sz w:val="14"/>
                <w:szCs w:val="14"/>
              </w:rPr>
              <w:t>制度、业务流程及信息系统。政策性银行与转贷行要在自主协   </w:t>
            </w:r>
            <w:r>
              <w:rPr>
                <w:sz w:val="14"/>
                <w:szCs w:val="14"/>
              </w:rPr>
              <w:t>商的基础上，合理确定转贷款利率。转贷行要将转贷款利率优   </w:t>
            </w:r>
            <w:r>
              <w:rPr>
                <w:sz w:val="14"/>
                <w:szCs w:val="14"/>
              </w:rPr>
              <w:t>惠有效传导至实际用款人，通过转贷款发放的小微企业</w:t>
            </w:r>
            <w:r>
              <w:rPr>
                <w:sz w:val="14"/>
                <w:szCs w:val="14"/>
                <w:spacing w:val="-1"/>
              </w:rPr>
              <w:t>贷款终</w:t>
            </w:r>
            <w:r>
              <w:rPr>
                <w:sz w:val="14"/>
                <w:szCs w:val="14"/>
              </w:rPr>
              <w:t xml:space="preserve">   </w:t>
            </w:r>
            <w:r>
              <w:rPr>
                <w:sz w:val="14"/>
                <w:szCs w:val="14"/>
              </w:rPr>
              <w:t>端平均利率不得高于上一季度当地同类机构</w:t>
            </w:r>
            <w:r>
              <w:rPr>
                <w:sz w:val="14"/>
                <w:szCs w:val="14"/>
                <w:spacing w:val="-1"/>
              </w:rPr>
              <w:t>同类贷款平均利率</w:t>
            </w:r>
            <w:r>
              <w:rPr>
                <w:sz w:val="14"/>
                <w:szCs w:val="14"/>
              </w:rPr>
              <w:t xml:space="preserve">   </w:t>
            </w:r>
            <w:r>
              <w:rPr>
                <w:sz w:val="14"/>
                <w:szCs w:val="14"/>
                <w:spacing w:val="-1"/>
              </w:rPr>
              <w:t>水平。支持政策性银行根据自身战略，探索开展小微企业直贷</w:t>
            </w:r>
            <w:r>
              <w:rPr>
                <w:sz w:val="14"/>
                <w:szCs w:val="14"/>
                <w:spacing w:val="6"/>
              </w:rPr>
              <w:t xml:space="preserve">   </w:t>
            </w:r>
            <w:r>
              <w:rPr>
                <w:sz w:val="14"/>
                <w:szCs w:val="14"/>
              </w:rPr>
              <w:t>业务。十二、完善业务模式，拓展小微企业保险保障渠道构建</w:t>
            </w:r>
            <w:r>
              <w:rPr>
                <w:sz w:val="14"/>
                <w:szCs w:val="14"/>
                <w:spacing w:val="1"/>
              </w:rPr>
              <w:t xml:space="preserve">   </w:t>
            </w:r>
            <w:r>
              <w:rPr>
                <w:sz w:val="14"/>
                <w:szCs w:val="14"/>
              </w:rPr>
              <w:t>保险公司服务小微企业机制。各保险集团和保险公司要将小微   </w:t>
            </w:r>
            <w:r>
              <w:rPr>
                <w:sz w:val="14"/>
                <w:szCs w:val="14"/>
              </w:rPr>
              <w:t>企业保险服务融入发展战略，树立为小微企业提供全面、系统</w:t>
            </w:r>
            <w:r>
              <w:rPr>
                <w:sz w:val="14"/>
                <w:szCs w:val="14"/>
                <w:spacing w:val="3"/>
              </w:rPr>
              <w:t xml:space="preserve">   </w:t>
            </w:r>
            <w:r>
              <w:rPr>
                <w:sz w:val="14"/>
                <w:szCs w:val="14"/>
              </w:rPr>
              <w:t>风险保障的理念。明确专门部门统筹小微企</w:t>
            </w:r>
            <w:r>
              <w:rPr>
                <w:sz w:val="14"/>
                <w:szCs w:val="14"/>
                <w:spacing w:val="-1"/>
              </w:rPr>
              <w:t>业保险工作，梳理</w:t>
            </w:r>
            <w:r>
              <w:rPr>
                <w:sz w:val="14"/>
                <w:szCs w:val="14"/>
              </w:rPr>
              <w:t xml:space="preserve">   </w:t>
            </w:r>
            <w:r>
              <w:rPr>
                <w:sz w:val="14"/>
                <w:szCs w:val="14"/>
              </w:rPr>
              <w:t>服务小微企业的各类保险业务，在内部系统</w:t>
            </w:r>
            <w:r>
              <w:rPr>
                <w:sz w:val="14"/>
                <w:szCs w:val="14"/>
                <w:spacing w:val="-1"/>
              </w:rPr>
              <w:t>中明确小微企业</w:t>
            </w:r>
          </w:p>
          <w:p>
            <w:pPr>
              <w:pStyle w:val="TableText"/>
              <w:ind w:left="10" w:right="288"/>
              <w:spacing w:before="41" w:line="256" w:lineRule="auto"/>
              <w:rPr>
                <w:sz w:val="14"/>
                <w:szCs w:val="14"/>
              </w:rPr>
            </w:pPr>
            <w:r>
              <w:rPr>
                <w:sz w:val="14"/>
                <w:szCs w:val="14"/>
                <w:spacing w:val="1"/>
              </w:rPr>
              <w:t>个体工商户客户身份标识，夯实小微企业保</w:t>
            </w:r>
            <w:r>
              <w:rPr>
                <w:sz w:val="14"/>
                <w:szCs w:val="14"/>
              </w:rPr>
              <w:t>险数据基础。出口 </w:t>
            </w:r>
            <w:r>
              <w:rPr>
                <w:sz w:val="14"/>
                <w:szCs w:val="14"/>
                <w:spacing w:val="1"/>
              </w:rPr>
              <w:t>信用保险公司要加大对外贸小微企业的支持力度，扩大短期出</w:t>
            </w:r>
            <w:r>
              <w:rPr>
                <w:sz w:val="14"/>
                <w:szCs w:val="14"/>
                <w:spacing w:val="8"/>
              </w:rPr>
              <w:t xml:space="preserve"> </w:t>
            </w:r>
            <w:r>
              <w:rPr>
                <w:sz w:val="14"/>
                <w:szCs w:val="14"/>
                <w:spacing w:val="1"/>
              </w:rPr>
              <w:t>口信用保险对外贸小微企业的覆盖面。支持再保险公司积</w:t>
            </w:r>
            <w:r>
              <w:rPr>
                <w:sz w:val="14"/>
                <w:szCs w:val="14"/>
              </w:rPr>
              <w:t>极参 </w:t>
            </w:r>
            <w:r>
              <w:rPr>
                <w:sz w:val="14"/>
                <w:szCs w:val="14"/>
              </w:rPr>
              <w:t>与面向小微企业的保险风险分担。支持保险公司与政府、银行</w:t>
            </w:r>
            <w:r>
              <w:rPr>
                <w:sz w:val="14"/>
                <w:szCs w:val="14"/>
                <w:spacing w:val="10"/>
              </w:rPr>
              <w:t xml:space="preserve"> </w:t>
            </w:r>
            <w:r>
              <w:rPr>
                <w:sz w:val="14"/>
                <w:szCs w:val="14"/>
              </w:rPr>
              <w:t>等围绕服务小微企业开展多元化合作。十三、丰富小微企业保</w:t>
            </w:r>
            <w:r>
              <w:rPr>
                <w:sz w:val="14"/>
                <w:szCs w:val="14"/>
                <w:spacing w:val="2"/>
              </w:rPr>
              <w:t xml:space="preserve"> </w:t>
            </w:r>
            <w:r>
              <w:rPr>
                <w:sz w:val="14"/>
                <w:szCs w:val="14"/>
                <w:spacing w:val="1"/>
              </w:rPr>
              <w:t>险产品服务供给。鼓励保险公司按照商业可</w:t>
            </w:r>
            <w:r>
              <w:rPr>
                <w:sz w:val="14"/>
                <w:szCs w:val="14"/>
              </w:rPr>
              <w:t>持续、保费合理的 </w:t>
            </w:r>
            <w:r>
              <w:rPr>
                <w:sz w:val="14"/>
                <w:szCs w:val="14"/>
                <w:spacing w:val="-1"/>
              </w:rPr>
              <w:t>原则，针对不同行业、不同生产经营特点的小微企业、个体工</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3" w:header="0" w:footer="0" w:gutter="0"/>
        </w:sectPr>
        <w:rPr/>
      </w:pPr>
    </w:p>
    <w:p>
      <w:pPr>
        <w:spacing w:before="51"/>
        <w:rPr/>
      </w:pPr>
      <w:r>
        <mc:AlternateContent xmlns:mc="http://schemas.openxmlformats.org/markup-compatibility/2006">
          <mc:Choice Requires="wps">
            <w:drawing>
              <wp:anchor distT="0" distB="0" distL="0" distR="0" simplePos="0" relativeHeight="251770880" behindDoc="0" locked="0" layoutInCell="0" allowOverlap="1">
                <wp:simplePos x="0" y="0"/>
                <wp:positionH relativeFrom="page">
                  <wp:posOffset>467017</wp:posOffset>
                </wp:positionH>
                <wp:positionV relativeFrom="page">
                  <wp:posOffset>4386438</wp:posOffset>
                </wp:positionV>
                <wp:extent cx="212090" cy="214629"/>
                <wp:effectExtent l="0" t="0" r="0" b="0"/>
                <wp:wrapNone/>
                <wp:docPr id="90" name="TextBox 90"/>
                <wp:cNvGraphicFramePr/>
                <a:graphic>
                  <a:graphicData uri="http://schemas.microsoft.com/office/word/2010/wordprocessingShape">
                    <wps:wsp>
                      <wps:cNvSpPr txBox="1"/>
                      <wps:spPr>
                        <a:xfrm rot="5400000">
                          <a:off x="467017" y="4386438"/>
                          <a:ext cx="212090"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2" style="position:absolute;margin-left:36.7731pt;margin-top:345.389pt;mso-position-vertical-relative:page;mso-position-horizontal-relative:page;width:16.7pt;height:16.9pt;z-index:251770880;rotation:90;" o:allowincell="f" filled="false" stroked="false" type="#_x0000_t202">
                <v:fill on="false"/>
                <v:stroke on="false"/>
                <v:path/>
                <v:imagedata o:title=""/>
                <o:lock v:ext="edit" aspectratio="false"/>
                <v:textbox inset="0mm,0mm,0mm,0mm">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113</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94"/>
      </w:tblGrid>
      <w:tr>
        <w:trPr>
          <w:trHeight w:val="494" w:hRule="atLeast"/>
        </w:trPr>
        <w:tc>
          <w:tcPr>
            <w:tcW w:w="285" w:type="dxa"/>
            <w:vAlign w:val="top"/>
            <w:textDirection w:val="tbRlV"/>
          </w:tcPr>
          <w:p>
            <w:pPr>
              <w:pStyle w:val="TableText"/>
              <w:ind w:left="57"/>
              <w:spacing w:before="70" w:line="217" w:lineRule="auto"/>
              <w:rPr/>
            </w:pPr>
            <w:r>
              <w:rPr>
                <w:spacing w:val="-2"/>
              </w:rPr>
              <w:t>序 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4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73" w:line="21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1"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1567" w:hRule="atLeast"/>
        </w:trPr>
        <w:tc>
          <w:tcPr>
            <w:tcW w:w="285" w:type="dxa"/>
            <w:vAlign w:val="top"/>
          </w:tcPr>
          <w:p>
            <w:pPr>
              <w:spacing w:line="346" w:lineRule="auto"/>
              <w:rPr>
                <w:rFonts w:ascii="Arial"/>
                <w:sz w:val="21"/>
              </w:rPr>
            </w:pPr>
            <w:r/>
          </w:p>
          <w:p>
            <w:pPr>
              <w:spacing w:line="346" w:lineRule="auto"/>
              <w:rPr>
                <w:rFonts w:ascii="Arial"/>
                <w:sz w:val="21"/>
              </w:rPr>
            </w:pPr>
            <w:r/>
          </w:p>
          <w:p>
            <w:pPr>
              <w:pStyle w:val="TableText"/>
              <w:ind w:left="94"/>
              <w:spacing w:before="49" w:line="183" w:lineRule="auto"/>
              <w:rPr/>
            </w:pPr>
            <w:r>
              <w:rPr/>
              <w:t>3</w:t>
            </w:r>
          </w:p>
        </w:tc>
        <w:tc>
          <w:tcPr>
            <w:tcW w:w="4136" w:type="dxa"/>
            <w:vAlign w:val="top"/>
          </w:tcPr>
          <w:p>
            <w:pPr>
              <w:pStyle w:val="TableText"/>
              <w:ind w:left="30" w:right="11"/>
              <w:spacing w:before="138" w:line="242" w:lineRule="auto"/>
              <w:jc w:val="both"/>
              <w:rPr/>
            </w:pPr>
            <w:r>
              <w:rPr>
                <w:spacing w:val="-1"/>
              </w:rPr>
              <w:t>商户需求，丰富产品种类，设计专属保险方案。鼓励灵活缴费 </w:t>
            </w:r>
            <w:r>
              <w:rPr/>
              <w:t>服务方式，探索简易化定损理赔模式。推广服</w:t>
            </w:r>
            <w:r>
              <w:rPr>
                <w:spacing w:val="-1"/>
              </w:rPr>
              <w:t>务小微企业的工</w:t>
            </w:r>
            <w:r>
              <w:rPr/>
              <w:t xml:space="preserve"> </w:t>
            </w:r>
            <w:r>
              <w:rPr/>
              <w:t>程建设、技术装备、物流运输、知识产权、灾害应对、营业中</w:t>
            </w:r>
            <w:r>
              <w:rPr>
                <w:spacing w:val="15"/>
              </w:rPr>
              <w:t xml:space="preserve"> </w:t>
            </w:r>
            <w:r>
              <w:rPr>
                <w:spacing w:val="-1"/>
              </w:rPr>
              <w:t>断、产品责任、雇主责任等财产保险产品。拓展面向小微企业 </w:t>
            </w:r>
            <w:r>
              <w:rPr/>
              <w:t>的出口信用保险、国内贸易信用险、海外投资险等。丰富面向</w:t>
            </w:r>
            <w:r>
              <w:rPr>
                <w:spacing w:val="14"/>
              </w:rPr>
              <w:t xml:space="preserve"> </w:t>
            </w:r>
            <w:r>
              <w:rPr/>
              <w:t>个体工商户、小微企业主等企业重要关系人的</w:t>
            </w:r>
            <w:r>
              <w:rPr>
                <w:spacing w:val="-1"/>
              </w:rPr>
              <w:t>健康、意外、养</w:t>
            </w:r>
            <w:r>
              <w:rPr/>
              <w:t xml:space="preserve"> </w:t>
            </w:r>
            <w:r>
              <w:rPr>
                <w:spacing w:val="1"/>
              </w:rPr>
              <w:t>老等人身保险产品。丰富面向小微企业员工的团体人身保险。</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94" w:type="dxa"/>
            <w:vAlign w:val="top"/>
          </w:tcPr>
          <w:p>
            <w:pPr>
              <w:rPr>
                <w:rFonts w:ascii="Arial"/>
                <w:sz w:val="21"/>
              </w:rPr>
            </w:pPr>
            <w:r/>
          </w:p>
        </w:tc>
      </w:tr>
      <w:tr>
        <w:trPr>
          <w:trHeight w:val="4148" w:hRule="atLeast"/>
        </w:trPr>
        <w:tc>
          <w:tcPr>
            <w:tcW w:w="285"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94"/>
              <w:spacing w:before="49" w:line="183" w:lineRule="auto"/>
              <w:rPr/>
            </w:pPr>
            <w:r>
              <w:rPr/>
              <w:t>4</w:t>
            </w:r>
          </w:p>
        </w:tc>
        <w:tc>
          <w:tcPr>
            <w:tcW w:w="4136" w:type="dxa"/>
            <w:vAlign w:val="top"/>
          </w:tcPr>
          <w:p>
            <w:pPr>
              <w:pStyle w:val="TableText"/>
              <w:ind w:left="29" w:hanging="19"/>
              <w:spacing w:before="137" w:line="242" w:lineRule="auto"/>
              <w:rPr/>
            </w:pPr>
            <w:r>
              <w:rPr>
                <w:spacing w:val="-3"/>
              </w:rPr>
              <w:t>1.完善组织保障和内部激励，加大交通物流领域信贷支持力度。</w:t>
            </w:r>
            <w:r>
              <w:rPr>
                <w:spacing w:val="1"/>
              </w:rPr>
              <w:t xml:space="preserve"> </w:t>
            </w:r>
            <w:r>
              <w:rPr>
                <w:spacing w:val="-3"/>
              </w:rPr>
              <w:t>银行业金融机构要健全工作机制，加强组织保障，在总行、分  </w:t>
            </w:r>
            <w:r>
              <w:rPr>
                <w:spacing w:val="-3"/>
              </w:rPr>
              <w:t>支机构层面明确牵头部门和工作责任，制定细化目标和工作方  </w:t>
            </w:r>
            <w:r>
              <w:rPr>
                <w:spacing w:val="-1"/>
              </w:rPr>
              <w:t>案，层层传导落实，切实做好交通物流领域金融支</w:t>
            </w:r>
            <w:r>
              <w:rPr>
                <w:spacing w:val="-2"/>
              </w:rPr>
              <w:t>持与服务。</w:t>
            </w:r>
            <w:r>
              <w:rPr/>
              <w:t xml:space="preserve">  </w:t>
            </w:r>
            <w:r>
              <w:rPr>
                <w:spacing w:val="-3"/>
              </w:rPr>
              <w:t>要完善内部激励约束机制，优化信贷资源配置，引导分支机构  </w:t>
            </w:r>
            <w:r>
              <w:rPr>
                <w:spacing w:val="-1"/>
              </w:rPr>
              <w:t>主动减费让利，加大交通物流行业首贷、信用贷款</w:t>
            </w:r>
            <w:r>
              <w:rPr>
                <w:spacing w:val="-2"/>
              </w:rPr>
              <w:t>支持力度。</w:t>
            </w:r>
            <w:r>
              <w:rPr/>
              <w:t xml:space="preserve">  </w:t>
            </w:r>
            <w:r>
              <w:rPr>
                <w:spacing w:val="-3"/>
              </w:rPr>
              <w:t>全国性银行总行工作方案及每半年落实进展要及时报送人民银  </w:t>
            </w:r>
            <w:r>
              <w:rPr>
                <w:spacing w:val="-3"/>
              </w:rPr>
              <w:t>行、银保监会，全国性银行分支机构、地方法人银行方案及进  </w:t>
            </w:r>
            <w:r>
              <w:rPr>
                <w:spacing w:val="-3"/>
              </w:rPr>
              <w:t>展报送所在地人民银行分支机构、银保监局，每半年落实进展</w:t>
            </w:r>
          </w:p>
          <w:p>
            <w:pPr>
              <w:pStyle w:val="TableText"/>
              <w:ind w:left="30"/>
              <w:spacing w:before="33" w:line="219" w:lineRule="auto"/>
              <w:rPr/>
            </w:pPr>
            <w:r>
              <w:rPr>
                <w:spacing w:val="-1"/>
              </w:rPr>
              <w:t>报送时间应不晚于下一半年首月底。</w:t>
            </w:r>
          </w:p>
          <w:p>
            <w:pPr>
              <w:pStyle w:val="TableText"/>
              <w:ind w:left="30" w:right="51"/>
              <w:spacing w:before="2" w:line="242" w:lineRule="auto"/>
              <w:rPr/>
            </w:pPr>
            <w:r>
              <w:rPr/>
              <w:t>2.创新丰富符合交通物流行业需求特点的</w:t>
            </w:r>
            <w:r>
              <w:rPr>
                <w:spacing w:val="-1"/>
              </w:rPr>
              <w:t>信贷产品。银行业金</w:t>
            </w:r>
            <w:r>
              <w:rPr/>
              <w:t xml:space="preserve"> </w:t>
            </w:r>
            <w:r>
              <w:rPr>
                <w:spacing w:val="-1"/>
              </w:rPr>
              <w:t>融机构要根据交通物流领域企业人群融资需求，创新丰富符合</w:t>
            </w:r>
            <w:r>
              <w:rPr>
                <w:spacing w:val="16"/>
              </w:rPr>
              <w:t xml:space="preserve"> </w:t>
            </w:r>
            <w:r>
              <w:rPr>
                <w:spacing w:val="-1"/>
              </w:rPr>
              <w:t>行业特点的信贷产品。积极推广主动授信、随借随还贷款模式</w:t>
            </w:r>
            <w:r>
              <w:rPr>
                <w:spacing w:val="17"/>
              </w:rPr>
              <w:t xml:space="preserve"> </w:t>
            </w:r>
            <w:r>
              <w:rPr>
                <w:spacing w:val="-1"/>
              </w:rPr>
              <w:t>更好满足市场主体经营性用款需求。鼓励运用大数据分析等手</w:t>
            </w:r>
            <w:r>
              <w:rPr>
                <w:spacing w:val="18"/>
              </w:rPr>
              <w:t xml:space="preserve"> </w:t>
            </w:r>
            <w:r>
              <w:rPr/>
              <w:t>段对客户群体精准画像，创新基于动态交易</w:t>
            </w:r>
            <w:r>
              <w:rPr>
                <w:spacing w:val="-1"/>
              </w:rPr>
              <w:t>、资金往来等的线</w:t>
            </w:r>
            <w:r>
              <w:rPr/>
              <w:t xml:space="preserve"> </w:t>
            </w:r>
            <w:r>
              <w:rPr>
                <w:spacing w:val="-1"/>
              </w:rPr>
              <w:t>上信用贷款。鼓励银行业金融机构在依法合规、风险可控的前</w:t>
            </w:r>
            <w:r>
              <w:rPr>
                <w:spacing w:val="18"/>
                <w:w w:val="101"/>
              </w:rPr>
              <w:t xml:space="preserve"> </w:t>
            </w:r>
            <w:r>
              <w:rPr/>
              <w:t>提下，合理确定货车贷款首付比例、贷款利</w:t>
            </w:r>
            <w:r>
              <w:rPr>
                <w:spacing w:val="-1"/>
              </w:rPr>
              <w:t>率、还款期限，在</w:t>
            </w:r>
            <w:r>
              <w:rPr/>
              <w:t xml:space="preserve"> </w:t>
            </w:r>
            <w:r>
              <w:rPr/>
              <w:t>疫情及经济恢复的特定时间内适当提高货车</w:t>
            </w:r>
            <w:r>
              <w:rPr>
                <w:spacing w:val="-1"/>
              </w:rPr>
              <w:t>贷款等交通物流行</w:t>
            </w:r>
            <w:r>
              <w:rPr/>
              <w:t xml:space="preserve"> </w:t>
            </w:r>
            <w:r>
              <w:rPr/>
              <w:t>业不良贷款容忍度，细化落实尽职免责制度安</w:t>
            </w:r>
            <w:r>
              <w:rPr>
                <w:spacing w:val="-1"/>
              </w:rPr>
              <w:t>排。对交通物流</w:t>
            </w:r>
            <w:r>
              <w:rPr/>
              <w:t xml:space="preserve"> </w:t>
            </w:r>
            <w:r>
              <w:rPr/>
              <w:t>领域中小微企业、个体工商户、货车司机群体</w:t>
            </w:r>
            <w:r>
              <w:rPr>
                <w:spacing w:val="-1"/>
              </w:rPr>
              <w:t>，银行、汽车金</w:t>
            </w:r>
          </w:p>
        </w:tc>
        <w:tc>
          <w:tcPr>
            <w:tcW w:w="2527" w:type="dxa"/>
            <w:vAlign w:val="top"/>
          </w:tcPr>
          <w:p>
            <w:pPr>
              <w:pStyle w:val="TableText"/>
              <w:ind w:left="43" w:right="225" w:hanging="10"/>
              <w:spacing w:before="140" w:line="232" w:lineRule="auto"/>
              <w:rPr/>
            </w:pPr>
            <w:r>
              <w:rPr/>
              <w:t>中国人民银行交通运输部中国银行</w:t>
            </w:r>
            <w:r>
              <w:rPr>
                <w:spacing w:val="6"/>
              </w:rPr>
              <w:t xml:space="preserve"> </w:t>
            </w:r>
            <w:r>
              <w:rPr>
                <w:spacing w:val="-1"/>
              </w:rPr>
              <w:t>保险监督管理委员会</w:t>
            </w:r>
          </w:p>
          <w:p>
            <w:pPr>
              <w:pStyle w:val="TableText"/>
              <w:ind w:left="43" w:right="81"/>
              <w:spacing w:before="52" w:line="245" w:lineRule="auto"/>
              <w:rPr/>
            </w:pPr>
            <w:r>
              <w:rPr>
                <w:spacing w:val="-1"/>
              </w:rPr>
              <w:t>关于进一步做好交通物流领域金融支</w:t>
            </w:r>
            <w:r>
              <w:rPr>
                <w:spacing w:val="6"/>
              </w:rPr>
              <w:t xml:space="preserve"> </w:t>
            </w:r>
            <w:r>
              <w:rPr>
                <w:spacing w:val="-1"/>
              </w:rPr>
              <w:t>持与服务的通知</w:t>
            </w:r>
          </w:p>
          <w:p>
            <w:pPr>
              <w:pStyle w:val="TableText"/>
              <w:ind w:left="43"/>
              <w:spacing w:before="42" w:line="220" w:lineRule="auto"/>
              <w:rPr/>
            </w:pPr>
            <w:r>
              <w:rPr>
                <w:spacing w:val="-1"/>
              </w:rPr>
              <w:t>银发〔2023〕32号</w:t>
            </w:r>
          </w:p>
        </w:tc>
        <w:tc>
          <w:tcPr>
            <w:tcW w:w="949" w:type="dxa"/>
            <w:vAlign w:val="top"/>
          </w:tcPr>
          <w:p>
            <w:pPr>
              <w:pStyle w:val="TableText"/>
              <w:ind w:left="26" w:right="61" w:firstLine="70"/>
              <w:spacing w:before="120" w:line="221" w:lineRule="auto"/>
              <w:rPr/>
            </w:pPr>
            <w:r>
              <w:rPr>
                <w:spacing w:val="3"/>
              </w:rPr>
              <w:t>2023年02月</w:t>
            </w:r>
            <w:r>
              <w:rPr>
                <w:spacing w:val="5"/>
              </w:rPr>
              <w:t xml:space="preserve"> </w:t>
            </w:r>
            <w:r>
              <w:rPr>
                <w:spacing w:val="1"/>
              </w:rPr>
              <w:t>13日起</w:t>
            </w:r>
          </w:p>
        </w:tc>
        <w:tc>
          <w:tcPr>
            <w:tcW w:w="969" w:type="dxa"/>
            <w:vAlign w:val="top"/>
          </w:tcPr>
          <w:p>
            <w:pPr>
              <w:pStyle w:val="TableText"/>
              <w:ind w:left="177" w:right="39" w:hanging="149"/>
              <w:spacing w:before="131" w:line="245" w:lineRule="auto"/>
              <w:rPr/>
            </w:pPr>
            <w:r>
              <w:rPr>
                <w:spacing w:val="-2"/>
              </w:rPr>
              <w:t>交通物流领域</w:t>
            </w:r>
            <w:r>
              <w:rPr>
                <w:spacing w:val="2"/>
              </w:rPr>
              <w:t xml:space="preserve"> </w:t>
            </w:r>
            <w:r>
              <w:rPr>
                <w:spacing w:val="-2"/>
              </w:rPr>
              <w:t>相关企业</w:t>
            </w:r>
          </w:p>
        </w:tc>
        <w:tc>
          <w:tcPr>
            <w:tcW w:w="389" w:type="dxa"/>
            <w:vAlign w:val="top"/>
          </w:tcPr>
          <w:p>
            <w:pPr>
              <w:pStyle w:val="TableText"/>
              <w:ind w:left="38" w:right="45"/>
              <w:spacing w:before="120" w:line="247" w:lineRule="auto"/>
              <w:rPr/>
            </w:pPr>
            <w:r>
              <w:rPr>
                <w:spacing w:val="-5"/>
              </w:rPr>
              <w:t>行政</w:t>
            </w:r>
            <w:r>
              <w:rPr/>
              <w:t xml:space="preserve"> </w:t>
            </w:r>
            <w:r>
              <w:rPr>
                <w:spacing w:val="-3"/>
              </w:rPr>
              <w:t>通知</w:t>
            </w:r>
          </w:p>
        </w:tc>
        <w:tc>
          <w:tcPr>
            <w:tcW w:w="394" w:type="dxa"/>
            <w:vAlign w:val="top"/>
          </w:tcPr>
          <w:p>
            <w:pPr>
              <w:pStyle w:val="TableText"/>
              <w:ind w:left="40" w:right="49"/>
              <w:spacing w:before="120" w:line="245" w:lineRule="auto"/>
              <w:rPr/>
            </w:pPr>
            <w:r>
              <w:rPr>
                <w:spacing w:val="-5"/>
              </w:rPr>
              <w:t>行政</w:t>
            </w:r>
            <w:r>
              <w:rPr/>
              <w:t xml:space="preserve"> </w:t>
            </w:r>
            <w:r>
              <w:rPr>
                <w:spacing w:val="-3"/>
              </w:rPr>
              <w:t>优化</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71904" behindDoc="0" locked="0" layoutInCell="0" allowOverlap="1">
                <wp:simplePos x="0" y="0"/>
                <wp:positionH relativeFrom="page">
                  <wp:posOffset>455777</wp:posOffset>
                </wp:positionH>
                <wp:positionV relativeFrom="page">
                  <wp:posOffset>617560</wp:posOffset>
                </wp:positionV>
                <wp:extent cx="214629" cy="224154"/>
                <wp:effectExtent l="0" t="0" r="0" b="0"/>
                <wp:wrapNone/>
                <wp:docPr id="92" name="TextBox 92"/>
                <wp:cNvGraphicFramePr/>
                <a:graphic>
                  <a:graphicData uri="http://schemas.microsoft.com/office/word/2010/wordprocessingShape">
                    <wps:wsp>
                      <wps:cNvSpPr txBox="1"/>
                      <wps:spPr>
                        <a:xfrm rot="5400000">
                          <a:off x="455777" y="617560"/>
                          <a:ext cx="214629" cy="2241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3" w:line="184" w:lineRule="auto"/>
                              <w:jc w:val="right"/>
                              <w:rPr>
                                <w:rFonts w:ascii="SimSun" w:hAnsi="SimSun" w:eastAsia="SimSun" w:cs="SimSun"/>
                                <w:sz w:val="24"/>
                                <w:szCs w:val="24"/>
                              </w:rPr>
                            </w:pPr>
                            <w:r>
                              <w:rPr>
                                <w:rFonts w:ascii="SimSun" w:hAnsi="SimSun" w:eastAsia="SimSun" w:cs="SimSun"/>
                                <w:sz w:val="24"/>
                                <w:szCs w:val="24"/>
                                <w:spacing w:val="-27"/>
                              </w:rPr>
                              <w:t>11</w:t>
                            </w:r>
                            <w:r>
                              <w:rPr>
                                <w:rFonts w:ascii="SimSun" w:hAnsi="SimSun" w:eastAsia="SimSun" w:cs="SimSun"/>
                                <w:sz w:val="24"/>
                                <w:szCs w:val="24"/>
                                <w:spacing w:val="-9"/>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4" style="position:absolute;margin-left:35.888pt;margin-top:48.6269pt;mso-position-vertical-relative:page;mso-position-horizontal-relative:page;width:16.9pt;height:17.65pt;z-index:251771904;rotation:90;" o:allowincell="f" filled="false" stroked="false" type="#_x0000_t202">
                <v:fill on="false"/>
                <v:stroke on="false"/>
                <v:path/>
                <v:imagedata o:title=""/>
                <o:lock v:ext="edit" aspectratio="false"/>
                <v:textbox inset="0mm,0mm,0mm,0mm">
                  <w:txbxContent>
                    <w:p>
                      <w:pPr>
                        <w:spacing w:before="93" w:line="184" w:lineRule="auto"/>
                        <w:jc w:val="right"/>
                        <w:rPr>
                          <w:rFonts w:ascii="SimSun" w:hAnsi="SimSun" w:eastAsia="SimSun" w:cs="SimSun"/>
                          <w:sz w:val="24"/>
                          <w:szCs w:val="24"/>
                        </w:rPr>
                      </w:pPr>
                      <w:r>
                        <w:rPr>
                          <w:rFonts w:ascii="SimSun" w:hAnsi="SimSun" w:eastAsia="SimSun" w:cs="SimSun"/>
                          <w:sz w:val="24"/>
                          <w:szCs w:val="24"/>
                          <w:spacing w:val="-27"/>
                        </w:rPr>
                        <w:t>11</w:t>
                      </w:r>
                      <w:r>
                        <w:rPr>
                          <w:rFonts w:ascii="SimSun" w:hAnsi="SimSun" w:eastAsia="SimSun" w:cs="SimSun"/>
                          <w:sz w:val="24"/>
                          <w:szCs w:val="24"/>
                          <w:spacing w:val="-9"/>
                        </w:rPr>
                        <w:t>4</w:t>
                      </w:r>
                    </w:p>
                  </w:txbxContent>
                </v:textbox>
              </v:shape>
            </w:pict>
          </mc:Fallback>
        </mc:AlternateContent>
      </w:r>
      <w:r/>
    </w:p>
    <w:p>
      <w:pPr>
        <w:spacing w:before="51"/>
        <w:rPr/>
      </w:pPr>
      <w:r/>
    </w:p>
    <w:tbl>
      <w:tblPr>
        <w:tblStyle w:val="TableNormal"/>
        <w:tblW w:w="9639" w:type="dxa"/>
        <w:tblInd w:w="32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54"/>
              <w:spacing w:before="170" w:line="219" w:lineRule="auto"/>
              <w:rPr/>
            </w:pPr>
            <w:r>
              <w:rPr>
                <w:spacing w:val="-1"/>
              </w:rPr>
              <w:t>政策依据</w:t>
            </w:r>
          </w:p>
        </w:tc>
        <w:tc>
          <w:tcPr>
            <w:tcW w:w="949" w:type="dxa"/>
            <w:vAlign w:val="top"/>
          </w:tcPr>
          <w:p>
            <w:pPr>
              <w:pStyle w:val="TableText"/>
              <w:ind w:left="188"/>
              <w:spacing w:before="171" w:line="219" w:lineRule="auto"/>
              <w:rPr/>
            </w:pPr>
            <w:r>
              <w:rPr>
                <w:spacing w:val="3"/>
              </w:rPr>
              <w:t>执行时间</w:t>
            </w:r>
          </w:p>
        </w:tc>
        <w:tc>
          <w:tcPr>
            <w:tcW w:w="979" w:type="dxa"/>
            <w:vAlign w:val="top"/>
          </w:tcPr>
          <w:p>
            <w:pPr>
              <w:pStyle w:val="TableText"/>
              <w:ind w:left="337" w:right="192" w:hanging="149"/>
              <w:spacing w:before="52" w:line="250"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765"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4"/>
              <w:spacing w:before="49" w:line="183" w:lineRule="auto"/>
              <w:rPr/>
            </w:pPr>
            <w:r>
              <w:rPr/>
              <w:t>4</w:t>
            </w:r>
          </w:p>
        </w:tc>
        <w:tc>
          <w:tcPr>
            <w:tcW w:w="4125" w:type="dxa"/>
            <w:vAlign w:val="top"/>
          </w:tcPr>
          <w:p>
            <w:pPr>
              <w:pStyle w:val="TableText"/>
              <w:ind w:left="20" w:right="22" w:firstLine="10"/>
              <w:spacing w:before="137" w:line="237" w:lineRule="auto"/>
              <w:rPr/>
            </w:pPr>
            <w:r>
              <w:rPr>
                <w:spacing w:val="-1"/>
              </w:rPr>
              <w:t>融公司、金融租赁公司、汽车企业集团财务公司、融资租赁公</w:t>
            </w:r>
            <w:r>
              <w:rPr>
                <w:spacing w:val="16"/>
              </w:rPr>
              <w:t xml:space="preserve"> </w:t>
            </w:r>
            <w:r>
              <w:rPr>
                <w:spacing w:val="1"/>
              </w:rPr>
              <w:t>司等可根据客户经营状况和实际需求情况，按照</w:t>
            </w:r>
            <w:r>
              <w:rPr/>
              <w:t>市场化原则与 </w:t>
            </w:r>
            <w:r>
              <w:rPr/>
              <w:t>客户自主协商对贷款(租金)进行展期；对</w:t>
            </w:r>
            <w:r>
              <w:rPr>
                <w:spacing w:val="-1"/>
              </w:rPr>
              <w:t>符合条件的小微企</w:t>
            </w:r>
          </w:p>
          <w:p>
            <w:pPr>
              <w:pStyle w:val="TableText"/>
              <w:ind w:left="20"/>
              <w:spacing w:before="1" w:line="219" w:lineRule="auto"/>
              <w:rPr/>
            </w:pPr>
            <w:r>
              <w:rPr>
                <w:spacing w:val="-1"/>
              </w:rPr>
              <w:t>业、个体工商户可给予续贷支持。</w:t>
            </w:r>
          </w:p>
          <w:p>
            <w:pPr>
              <w:pStyle w:val="TableText"/>
              <w:ind w:left="20"/>
              <w:spacing w:before="21" w:line="219" w:lineRule="auto"/>
              <w:rPr/>
            </w:pPr>
            <w:r>
              <w:rPr>
                <w:spacing w:val="-1"/>
              </w:rPr>
              <w:t>3.优化货车ETC信用卡发行服务。鼓励银行业金融机构按照</w:t>
            </w:r>
          </w:p>
          <w:p>
            <w:pPr>
              <w:pStyle w:val="TableText"/>
              <w:ind w:left="30"/>
              <w:spacing w:before="42" w:line="219" w:lineRule="auto"/>
              <w:rPr/>
            </w:pPr>
            <w:r>
              <w:rPr/>
              <w:t>市场化原则办理货车ETC信用卡业务，建立符合货车ETC信</w:t>
            </w:r>
          </w:p>
          <w:p>
            <w:pPr>
              <w:pStyle w:val="TableText"/>
              <w:ind w:left="20" w:right="40" w:firstLine="10"/>
              <w:spacing w:before="22" w:line="234" w:lineRule="auto"/>
              <w:rPr/>
            </w:pPr>
            <w:r>
              <w:rPr>
                <w:spacing w:val="-1"/>
              </w:rPr>
              <w:t>用卡风险特点的风险管理模式和机制。对地方政府性融资担保</w:t>
            </w:r>
            <w:r>
              <w:rPr>
                <w:spacing w:val="18"/>
                <w:w w:val="101"/>
              </w:rPr>
              <w:t xml:space="preserve"> </w:t>
            </w:r>
            <w:r>
              <w:rPr/>
              <w:t>机构、交通物流企业、汽车销售企业和货运平台企业等为货车</w:t>
            </w:r>
            <w:r>
              <w:rPr>
                <w:spacing w:val="3"/>
              </w:rPr>
              <w:t xml:space="preserve"> </w:t>
            </w:r>
            <w:r>
              <w:rPr>
                <w:spacing w:val="-1"/>
              </w:rPr>
              <w:t>办理ETC信用卡提供担保支持的，银行业金融机构要在风险</w:t>
            </w:r>
          </w:p>
          <w:p>
            <w:pPr>
              <w:pStyle w:val="TableText"/>
              <w:ind w:left="40"/>
              <w:spacing w:line="219" w:lineRule="auto"/>
              <w:rPr/>
            </w:pPr>
            <w:r>
              <w:rPr>
                <w:spacing w:val="-1"/>
              </w:rPr>
              <w:t>可控前提下尽可能给予授信支持。</w:t>
            </w:r>
          </w:p>
          <w:p>
            <w:pPr>
              <w:pStyle w:val="TableText"/>
              <w:ind w:left="20" w:right="40" w:firstLine="10"/>
              <w:spacing w:before="21" w:line="248" w:lineRule="auto"/>
              <w:rPr/>
            </w:pPr>
            <w:r>
              <w:rPr/>
              <w:t>4.优化交通物流专项再贷款政策安排。将道路</w:t>
            </w:r>
            <w:r>
              <w:rPr>
                <w:spacing w:val="-1"/>
              </w:rPr>
              <w:t>货物专用运输经</w:t>
            </w:r>
            <w:r>
              <w:rPr/>
              <w:t xml:space="preserve"> </w:t>
            </w:r>
            <w:r>
              <w:rPr/>
              <w:t>营者、道路大型物件运输经营者、道路危险货物运输企业</w:t>
            </w:r>
            <w:r>
              <w:rPr>
                <w:spacing w:val="-1"/>
              </w:rPr>
              <w:t>、道</w:t>
            </w:r>
            <w:r>
              <w:rPr/>
              <w:t xml:space="preserve"> </w:t>
            </w:r>
            <w:r>
              <w:rPr>
                <w:spacing w:val="1"/>
              </w:rPr>
              <w:t>路货物运输站场经营者、中小微物流仓储企业(以物</w:t>
            </w:r>
            <w:r>
              <w:rPr/>
              <w:t>流、仓储 </w:t>
            </w:r>
            <w:r>
              <w:rPr>
                <w:spacing w:val="1"/>
              </w:rPr>
              <w:t>配送为主业的独立法人企业)补充纳入交通物流专项</w:t>
            </w:r>
            <w:r>
              <w:rPr/>
              <w:t>再贷款支 </w:t>
            </w:r>
            <w:r>
              <w:rPr>
                <w:spacing w:val="-1"/>
              </w:rPr>
              <w:t>持范围(申请条件见附件)。交通物流专项再贷款政策实施期</w:t>
            </w:r>
          </w:p>
          <w:p>
            <w:pPr>
              <w:pStyle w:val="TableText"/>
              <w:ind w:left="59" w:right="286" w:hanging="39"/>
              <w:spacing w:before="23" w:line="214" w:lineRule="auto"/>
              <w:rPr/>
            </w:pPr>
            <w:r>
              <w:rPr>
                <w:spacing w:val="-1"/>
              </w:rPr>
              <w:t>限延长至2023年6月底，合格银行按月申请专项再贷款资金</w:t>
            </w:r>
            <w:r>
              <w:rPr>
                <w:spacing w:val="10"/>
              </w:rPr>
              <w:t xml:space="preserve"> </w:t>
            </w:r>
            <w:r>
              <w:rPr/>
              <w:t>于贷款发放后次月10日(遇节假日顺延)前提</w:t>
            </w:r>
            <w:r>
              <w:rPr>
                <w:spacing w:val="-1"/>
              </w:rPr>
              <w:t>交申请材料。</w:t>
            </w:r>
          </w:p>
          <w:p>
            <w:pPr>
              <w:pStyle w:val="TableText"/>
              <w:ind w:left="20" w:right="41" w:firstLine="10"/>
              <w:spacing w:before="32" w:line="245" w:lineRule="auto"/>
              <w:rPr/>
            </w:pPr>
            <w:r>
              <w:rPr>
                <w:spacing w:val="-1"/>
              </w:rPr>
              <w:t>5.运用支农支小再贷款、再贴现发挥协同支持作用。运用支农</w:t>
            </w:r>
            <w:r>
              <w:rPr>
                <w:spacing w:val="18"/>
              </w:rPr>
              <w:t xml:space="preserve"> </w:t>
            </w:r>
            <w:r>
              <w:rPr/>
              <w:t>支小再贷款、再贴现支持地方法人银行发放的符合条件的道路</w:t>
            </w:r>
            <w:r>
              <w:rPr>
                <w:spacing w:val="2"/>
              </w:rPr>
              <w:t xml:space="preserve"> </w:t>
            </w:r>
            <w:r>
              <w:rPr>
                <w:spacing w:val="-1"/>
              </w:rPr>
              <w:t>水路货物运输企业、中小微物流仓储配送(含快递)企业及两</w:t>
            </w:r>
          </w:p>
          <w:p>
            <w:pPr>
              <w:pStyle w:val="TableText"/>
              <w:ind w:left="20"/>
              <w:spacing w:before="2" w:line="219" w:lineRule="auto"/>
              <w:rPr/>
            </w:pPr>
            <w:r>
              <w:rPr/>
              <w:t>类小微企业主、个体工商户、个体货车司机(</w:t>
            </w:r>
            <w:r>
              <w:rPr>
                <w:spacing w:val="-1"/>
              </w:rPr>
              <w:t>含挂靠)等经营</w:t>
            </w:r>
          </w:p>
          <w:p>
            <w:pPr>
              <w:pStyle w:val="TableText"/>
              <w:ind w:left="20" w:right="18" w:firstLine="10"/>
              <w:spacing w:before="43" w:line="229" w:lineRule="auto"/>
              <w:rPr/>
            </w:pPr>
            <w:r>
              <w:rPr/>
              <w:t>性贷款，以及持有道路运输经营许可证但非主营道路运输的中</w:t>
            </w:r>
            <w:r>
              <w:rPr>
                <w:spacing w:val="15"/>
              </w:rPr>
              <w:t xml:space="preserve"> </w:t>
            </w:r>
            <w:r>
              <w:rPr/>
              <w:t>小微企业用于购置车辆、购置燃油、支付司机工资或劳务费等 </w:t>
            </w:r>
            <w:r>
              <w:rPr>
                <w:spacing w:val="-1"/>
              </w:rPr>
              <w:t>交通运输业务的贷款。</w:t>
            </w:r>
          </w:p>
          <w:p>
            <w:pPr>
              <w:pStyle w:val="TableText"/>
              <w:ind w:left="30" w:right="21"/>
              <w:spacing w:before="42" w:line="233" w:lineRule="auto"/>
              <w:jc w:val="both"/>
              <w:rPr/>
            </w:pPr>
            <w:r>
              <w:rPr/>
              <w:t>6.加大配套融资等市场化资金支持力度，</w:t>
            </w:r>
            <w:r>
              <w:rPr>
                <w:spacing w:val="-1"/>
              </w:rPr>
              <w:t>助力交通物流基础设</w:t>
            </w:r>
            <w:r>
              <w:rPr/>
              <w:t xml:space="preserve"> </w:t>
            </w:r>
            <w:r>
              <w:rPr/>
              <w:t>施和重大项目建设。金融机构要加强对政策性</w:t>
            </w:r>
            <w:r>
              <w:rPr>
                <w:spacing w:val="-1"/>
              </w:rPr>
              <w:t>开发性金融工具</w:t>
            </w:r>
            <w:r>
              <w:rPr/>
              <w:t xml:space="preserve"> </w:t>
            </w:r>
            <w:r>
              <w:rPr/>
              <w:t>投资交通物流项目的配套融资支持。积极支持完善综合交通区</w:t>
            </w:r>
            <w:r>
              <w:rPr>
                <w:spacing w:val="12"/>
              </w:rPr>
              <w:t xml:space="preserve"> </w:t>
            </w:r>
            <w:r>
              <w:rPr/>
              <w:t>络布局，重点支持出疆入藏、中西部地区、</w:t>
            </w:r>
            <w:r>
              <w:rPr>
                <w:spacing w:val="-1"/>
              </w:rPr>
              <w:t>沿江沿边沿海战略</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3" w:header="0" w:footer="0" w:gutter="0"/>
        </w:sectPr>
        <w:rPr/>
      </w:pPr>
    </w:p>
    <w:p>
      <w:pPr>
        <w:spacing w:before="51"/>
        <w:rPr/>
      </w:pPr>
      <w:r>
        <mc:AlternateContent xmlns:mc="http://schemas.openxmlformats.org/markup-compatibility/2006">
          <mc:Choice Requires="wps">
            <w:drawing>
              <wp:anchor distT="0" distB="0" distL="0" distR="0" simplePos="0" relativeHeight="251772928" behindDoc="0" locked="0" layoutInCell="0" allowOverlap="1">
                <wp:simplePos x="0" y="0"/>
                <wp:positionH relativeFrom="page">
                  <wp:posOffset>467017</wp:posOffset>
                </wp:positionH>
                <wp:positionV relativeFrom="page">
                  <wp:posOffset>4386438</wp:posOffset>
                </wp:positionV>
                <wp:extent cx="212090" cy="214629"/>
                <wp:effectExtent l="0" t="0" r="0" b="0"/>
                <wp:wrapNone/>
                <wp:docPr id="94" name="TextBox 94"/>
                <wp:cNvGraphicFramePr/>
                <a:graphic>
                  <a:graphicData uri="http://schemas.microsoft.com/office/word/2010/wordprocessingShape">
                    <wps:wsp>
                      <wps:cNvSpPr txBox="1"/>
                      <wps:spPr>
                        <a:xfrm rot="5400000">
                          <a:off x="467017" y="4386438"/>
                          <a:ext cx="212090"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6" style="position:absolute;margin-left:36.7731pt;margin-top:345.389pt;mso-position-vertical-relative:page;mso-position-horizontal-relative:page;width:16.7pt;height:16.9pt;z-index:251772928;rotation:90;" o:allowincell="f" filled="false" stroked="false" type="#_x0000_t202">
                <v:fill on="false"/>
                <v:stroke on="false"/>
                <v:path/>
                <v:imagedata o:title=""/>
                <o:lock v:ext="edit" aspectratio="false"/>
                <v:textbox inset="0mm,0mm,0mm,0mm">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115</w:t>
                      </w:r>
                    </w:p>
                  </w:txbxContent>
                </v:textbox>
              </v:shape>
            </w:pict>
          </mc:Fallback>
        </mc:AlternateContent>
      </w:r>
      <w:r/>
    </w:p>
    <w:p>
      <w:pPr>
        <w:spacing w:before="51"/>
        <w:rPr/>
      </w:pPr>
      <w:r/>
    </w:p>
    <w:tbl>
      <w:tblPr>
        <w:tblStyle w:val="TableNormal"/>
        <w:tblW w:w="963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54"/>
              <w:spacing w:before="170" w:line="219" w:lineRule="auto"/>
              <w:rPr/>
            </w:pPr>
            <w:r>
              <w:rPr>
                <w:spacing w:val="-1"/>
              </w:rPr>
              <w:t>政策依据</w:t>
            </w:r>
          </w:p>
        </w:tc>
        <w:tc>
          <w:tcPr>
            <w:tcW w:w="949" w:type="dxa"/>
            <w:vAlign w:val="top"/>
          </w:tcPr>
          <w:p>
            <w:pPr>
              <w:pStyle w:val="TableText"/>
              <w:ind w:left="188"/>
              <w:spacing w:before="171" w:line="219" w:lineRule="auto"/>
              <w:rPr/>
            </w:pPr>
            <w:r>
              <w:rPr>
                <w:spacing w:val="3"/>
              </w:rPr>
              <w:t>执行时间</w:t>
            </w:r>
          </w:p>
        </w:tc>
        <w:tc>
          <w:tcPr>
            <w:tcW w:w="979" w:type="dxa"/>
            <w:vAlign w:val="top"/>
          </w:tcPr>
          <w:p>
            <w:pPr>
              <w:pStyle w:val="TableText"/>
              <w:ind w:left="337" w:right="192" w:hanging="149"/>
              <w:spacing w:before="62" w:line="250"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51"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765"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4"/>
              <w:spacing w:before="49" w:line="183" w:lineRule="auto"/>
              <w:rPr/>
            </w:pPr>
            <w:r>
              <w:rPr/>
              <w:t>4</w:t>
            </w:r>
          </w:p>
        </w:tc>
        <w:tc>
          <w:tcPr>
            <w:tcW w:w="4125" w:type="dxa"/>
            <w:vAlign w:val="top"/>
          </w:tcPr>
          <w:p>
            <w:pPr>
              <w:pStyle w:val="TableText"/>
              <w:ind w:left="10" w:firstLine="19"/>
              <w:spacing w:before="138" w:line="241" w:lineRule="auto"/>
              <w:jc w:val="both"/>
              <w:rPr/>
            </w:pPr>
            <w:r>
              <w:rPr>
                <w:spacing w:val="1"/>
              </w:rPr>
              <w:t>骨干通道及西部陆海新通道、城市群城际通道、交通一体化、</w:t>
            </w:r>
            <w:r>
              <w:rPr>
                <w:spacing w:val="7"/>
              </w:rPr>
              <w:t xml:space="preserve"> </w:t>
            </w:r>
            <w:r>
              <w:rPr>
                <w:spacing w:val="-1"/>
              </w:rPr>
              <w:t>革命老区公路等建设。开发性政策性金融机构和商业银行等要</w:t>
            </w:r>
            <w:r>
              <w:rPr/>
              <w:t xml:space="preserve">  </w:t>
            </w:r>
            <w:r>
              <w:rPr/>
              <w:t>加大对“十四五”规划102项重大工程交通物流项目、交通运</w:t>
            </w:r>
            <w:r>
              <w:rPr>
                <w:spacing w:val="-1"/>
              </w:rPr>
              <w:t xml:space="preserve">  </w:t>
            </w:r>
            <w:r>
              <w:rPr>
                <w:spacing w:val="-1"/>
              </w:rPr>
              <w:t>输“十四五”相关规划项目等的融资支持力度。积极做好融资</w:t>
            </w:r>
            <w:r>
              <w:rPr/>
              <w:t xml:space="preserve">  </w:t>
            </w:r>
            <w:r>
              <w:rPr>
                <w:spacing w:val="-1"/>
              </w:rPr>
              <w:t>对接，支持农村骨干路网提档升级、基础路网完善、城乡道路</w:t>
            </w:r>
            <w:r>
              <w:rPr/>
              <w:t xml:space="preserve">  </w:t>
            </w:r>
            <w:r>
              <w:rPr>
                <w:spacing w:val="-1"/>
              </w:rPr>
              <w:t>衔接，加快乡村资源路、产业路、旅游路建设，完善农村配送</w:t>
            </w:r>
            <w:r>
              <w:rPr/>
              <w:t xml:space="preserve">  </w:t>
            </w:r>
            <w:r>
              <w:rPr>
                <w:spacing w:val="-1"/>
              </w:rPr>
              <w:t>网络。鼓励做好航运企业金融服务，提高海运、水运信贷和保</w:t>
            </w:r>
            <w:r>
              <w:rPr>
                <w:spacing w:val="6"/>
              </w:rPr>
              <w:t xml:space="preserve">  </w:t>
            </w:r>
            <w:r>
              <w:rPr>
                <w:spacing w:val="-1"/>
              </w:rPr>
              <w:t>险供给，适度降低融资成本，支持建设国际海运、内陆水运物</w:t>
            </w:r>
            <w:r>
              <w:rPr>
                <w:spacing w:val="7"/>
              </w:rPr>
              <w:t xml:space="preserve">  </w:t>
            </w:r>
            <w:r>
              <w:rPr>
                <w:spacing w:val="-2"/>
              </w:rPr>
              <w:t>流网络。</w:t>
            </w:r>
          </w:p>
          <w:p>
            <w:pPr>
              <w:pStyle w:val="TableText"/>
              <w:ind w:left="20" w:right="40" w:firstLine="10"/>
              <w:spacing w:before="35" w:line="241" w:lineRule="auto"/>
              <w:jc w:val="both"/>
              <w:rPr/>
            </w:pPr>
            <w:r>
              <w:rPr>
                <w:spacing w:val="-1"/>
              </w:rPr>
              <w:t>7.优化交通物流领域债券融资安排，提升发债融资便利度。发</w:t>
            </w:r>
            <w:r>
              <w:rPr>
                <w:spacing w:val="17"/>
              </w:rPr>
              <w:t xml:space="preserve"> </w:t>
            </w:r>
            <w:r>
              <w:rPr/>
              <w:t>挥好债券市场融资功能，有力支持符合国家发展规划重大交通</w:t>
            </w:r>
            <w:r>
              <w:rPr>
                <w:spacing w:val="3"/>
              </w:rPr>
              <w:t xml:space="preserve"> </w:t>
            </w:r>
            <w:r>
              <w:rPr/>
              <w:t>物流项目投资建设。支持汽车金融公司、金融租赁公司等非银</w:t>
            </w:r>
            <w:r>
              <w:rPr>
                <w:spacing w:val="3"/>
              </w:rPr>
              <w:t xml:space="preserve"> </w:t>
            </w:r>
            <w:r>
              <w:rPr/>
              <w:t>行金融机构发行货运物流主题金融债券。鼓励道路水路货物运 </w:t>
            </w:r>
            <w:r>
              <w:rPr/>
              <w:t>输(含港口)、物流仓储配送(含快递)等交</w:t>
            </w:r>
            <w:r>
              <w:rPr>
                <w:spacing w:val="-1"/>
              </w:rPr>
              <w:t>通物流领域企业</w:t>
            </w:r>
          </w:p>
          <w:p>
            <w:pPr>
              <w:pStyle w:val="TableText"/>
              <w:ind w:left="20" w:right="40" w:firstLine="10"/>
              <w:spacing w:before="22" w:line="237" w:lineRule="auto"/>
              <w:rPr/>
            </w:pPr>
            <w:r>
              <w:rPr/>
              <w:t>在银行间债券市场发行公司信用类债券筹集资</w:t>
            </w:r>
            <w:r>
              <w:rPr>
                <w:spacing w:val="-1"/>
              </w:rPr>
              <w:t>金。中国银行间</w:t>
            </w:r>
            <w:r>
              <w:rPr/>
              <w:t xml:space="preserve"> </w:t>
            </w:r>
            <w:r>
              <w:rPr/>
              <w:t>市场交易商协会、银行间市场基础设施要在疫情及经济恢复阶 </w:t>
            </w:r>
            <w:r>
              <w:rPr>
                <w:spacing w:val="-1"/>
              </w:rPr>
              <w:t>段持续对相关企业债券发行注册、登记托管等开通绿色通道</w:t>
            </w:r>
          </w:p>
          <w:p>
            <w:pPr>
              <w:pStyle w:val="TableText"/>
              <w:ind w:left="20" w:right="16" w:firstLine="10"/>
              <w:spacing w:before="12" w:line="244" w:lineRule="auto"/>
              <w:rPr/>
            </w:pPr>
            <w:r>
              <w:rPr/>
              <w:t>做好债券发行服务，优化业务办理流程，对债券融资交易费用</w:t>
            </w:r>
            <w:r>
              <w:rPr>
                <w:spacing w:val="17"/>
              </w:rPr>
              <w:t xml:space="preserve"> </w:t>
            </w:r>
            <w:r>
              <w:rPr>
                <w:spacing w:val="-1"/>
              </w:rPr>
              <w:t>能免尽免，降低发债融资成本，提升便利度。</w:t>
            </w:r>
          </w:p>
          <w:p>
            <w:pPr>
              <w:pStyle w:val="TableText"/>
              <w:ind w:left="20" w:right="41" w:firstLine="10"/>
              <w:spacing w:before="12" w:line="227" w:lineRule="auto"/>
              <w:rPr/>
            </w:pPr>
            <w:r>
              <w:rPr/>
              <w:t>8.健全交通物流领域企业人群“白名单”机</w:t>
            </w:r>
            <w:r>
              <w:rPr>
                <w:spacing w:val="-1"/>
              </w:rPr>
              <w:t>制。省级交通运输</w:t>
            </w:r>
            <w:r>
              <w:rPr/>
              <w:t xml:space="preserve"> </w:t>
            </w:r>
            <w:r>
              <w:rPr>
                <w:spacing w:val="-1"/>
              </w:rPr>
              <w:t>主管部门要指导各市县交通运输主管部门在认真梳理资质资</w:t>
            </w:r>
          </w:p>
          <w:p>
            <w:pPr>
              <w:pStyle w:val="TableText"/>
              <w:ind w:left="20" w:right="40" w:firstLine="10"/>
              <w:spacing w:before="32" w:line="242" w:lineRule="auto"/>
              <w:rPr/>
            </w:pPr>
            <w:r>
              <w:rPr/>
              <w:t>格、质量信誉考核和信用评价等信息的基础上</w:t>
            </w:r>
            <w:r>
              <w:rPr>
                <w:spacing w:val="-1"/>
              </w:rPr>
              <w:t>，组织相关行业</w:t>
            </w:r>
            <w:r>
              <w:rPr/>
              <w:t xml:space="preserve"> </w:t>
            </w:r>
            <w:r>
              <w:rPr/>
              <w:t>协会商会等社会组织深人开展调研摸排，将守法诚信经营、市</w:t>
            </w:r>
            <w:r>
              <w:rPr>
                <w:spacing w:val="2"/>
              </w:rPr>
              <w:t xml:space="preserve"> </w:t>
            </w:r>
            <w:r>
              <w:rPr/>
              <w:t>场前景良好、有贷款意愿的交通物流企业、个体工商户、货车</w:t>
            </w:r>
            <w:r>
              <w:rPr>
                <w:spacing w:val="3"/>
              </w:rPr>
              <w:t xml:space="preserve"> </w:t>
            </w:r>
            <w:r>
              <w:rPr>
                <w:spacing w:val="2"/>
              </w:rPr>
              <w:t>司机等群体列入“白名单”,并及时推送给辖区内银行业</w:t>
            </w:r>
            <w:r>
              <w:rPr>
                <w:spacing w:val="1"/>
              </w:rPr>
              <w:t>金融</w:t>
            </w:r>
            <w:r>
              <w:rPr/>
              <w:t xml:space="preserve"> </w:t>
            </w:r>
            <w:r>
              <w:rPr/>
              <w:t>机构、地方政府性融资担保机构等。人民银行分支机构、银保</w:t>
            </w:r>
            <w:r>
              <w:rPr>
                <w:spacing w:val="3"/>
              </w:rPr>
              <w:t xml:space="preserve"> </w:t>
            </w:r>
            <w:r>
              <w:rPr/>
              <w:t>监局要引导辖区内银行业金融机构对照“白名单”积极对接市</w:t>
            </w:r>
            <w:r>
              <w:rPr>
                <w:spacing w:val="2"/>
              </w:rPr>
              <w:t xml:space="preserve"> </w:t>
            </w:r>
            <w:r>
              <w:rPr>
                <w:spacing w:val="-1"/>
              </w:rPr>
              <w:t>场主体融资需求，按市场化原则提供金融服务。</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73952" behindDoc="0" locked="0" layoutInCell="0" allowOverlap="1">
                <wp:simplePos x="0" y="0"/>
                <wp:positionH relativeFrom="page">
                  <wp:posOffset>454036</wp:posOffset>
                </wp:positionH>
                <wp:positionV relativeFrom="page">
                  <wp:posOffset>619274</wp:posOffset>
                </wp:positionV>
                <wp:extent cx="217170" cy="222884"/>
                <wp:effectExtent l="0" t="0" r="0" b="0"/>
                <wp:wrapNone/>
                <wp:docPr id="96" name="TextBox 96"/>
                <wp:cNvGraphicFramePr/>
                <a:graphic>
                  <a:graphicData uri="http://schemas.microsoft.com/office/word/2010/wordprocessingShape">
                    <wps:wsp>
                      <wps:cNvSpPr txBox="1"/>
                      <wps:spPr>
                        <a:xfrm rot="5400000">
                          <a:off x="454036" y="619274"/>
                          <a:ext cx="217170" cy="2228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15"/>
                              </w:rPr>
                              <w:t>1</w:t>
                            </w:r>
                            <w:r>
                              <w:rPr>
                                <w:rFonts w:ascii="SimSun" w:hAnsi="SimSun" w:eastAsia="SimSun" w:cs="SimSun"/>
                                <w:sz w:val="24"/>
                                <w:szCs w:val="24"/>
                                <w:spacing w:val="-14"/>
                              </w:rPr>
                              <w:t>1</w:t>
                            </w:r>
                            <w:r>
                              <w:rPr>
                                <w:rFonts w:ascii="SimSun" w:hAnsi="SimSun" w:eastAsia="SimSun" w:cs="SimSun"/>
                                <w:sz w:val="24"/>
                                <w:szCs w:val="24"/>
                                <w:spacing w:val="-13"/>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8" style="position:absolute;margin-left:35.7509pt;margin-top:48.7617pt;mso-position-vertical-relative:page;mso-position-horizontal-relative:page;width:17.1pt;height:17.55pt;z-index:251773952;rotation:90;" o:allowincell="f" filled="false" stroked="false" type="#_x0000_t202">
                <v:fill on="false"/>
                <v:stroke on="false"/>
                <v:path/>
                <v:imagedata o:title=""/>
                <o:lock v:ext="edit" aspectratio="false"/>
                <v:textbox inset="0mm,0mm,0mm,0mm">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15"/>
                        </w:rPr>
                        <w:t>1</w:t>
                      </w:r>
                      <w:r>
                        <w:rPr>
                          <w:rFonts w:ascii="SimSun" w:hAnsi="SimSun" w:eastAsia="SimSun" w:cs="SimSun"/>
                          <w:sz w:val="24"/>
                          <w:szCs w:val="24"/>
                          <w:spacing w:val="-14"/>
                        </w:rPr>
                        <w:t>1</w:t>
                      </w:r>
                      <w:r>
                        <w:rPr>
                          <w:rFonts w:ascii="SimSun" w:hAnsi="SimSun" w:eastAsia="SimSun" w:cs="SimSun"/>
                          <w:sz w:val="24"/>
                          <w:szCs w:val="24"/>
                          <w:spacing w:val="-13"/>
                        </w:rPr>
                        <w:t>6</w:t>
                      </w:r>
                    </w:p>
                  </w:txbxContent>
                </v:textbox>
              </v:shape>
            </w:pict>
          </mc:Fallback>
        </mc:AlternateContent>
      </w:r>
      <w:r/>
    </w:p>
    <w:p>
      <w:pPr>
        <w:spacing w:before="46"/>
        <w:rPr/>
      </w:pPr>
      <w:r/>
    </w:p>
    <w:tbl>
      <w:tblPr>
        <w:tblStyle w:val="TableNormal"/>
        <w:tblW w:w="962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514" w:hRule="atLeast"/>
        </w:trPr>
        <w:tc>
          <w:tcPr>
            <w:tcW w:w="295" w:type="dxa"/>
            <w:vAlign w:val="top"/>
            <w:textDirection w:val="tbRlV"/>
          </w:tcPr>
          <w:p>
            <w:pPr>
              <w:pStyle w:val="TableText"/>
              <w:ind w:left="67"/>
              <w:spacing w:before="70" w:line="217" w:lineRule="auto"/>
              <w:rPr/>
            </w:pPr>
            <w:r>
              <w:rPr>
                <w:spacing w:val="-2"/>
              </w:rPr>
              <w:t>序 号</w:t>
            </w:r>
          </w:p>
        </w:tc>
        <w:tc>
          <w:tcPr>
            <w:tcW w:w="4125" w:type="dxa"/>
            <w:vAlign w:val="top"/>
          </w:tcPr>
          <w:p>
            <w:pPr>
              <w:pStyle w:val="TableText"/>
              <w:ind w:left="1749"/>
              <w:spacing w:before="181" w:line="219" w:lineRule="auto"/>
              <w:rPr/>
            </w:pPr>
            <w:r>
              <w:rPr>
                <w:spacing w:val="-2"/>
              </w:rPr>
              <w:t>主要内容</w:t>
            </w:r>
          </w:p>
        </w:tc>
        <w:tc>
          <w:tcPr>
            <w:tcW w:w="2507" w:type="dxa"/>
            <w:vAlign w:val="top"/>
          </w:tcPr>
          <w:p>
            <w:pPr>
              <w:pStyle w:val="TableText"/>
              <w:ind w:left="944"/>
              <w:spacing w:before="180" w:line="219" w:lineRule="auto"/>
              <w:rPr/>
            </w:pPr>
            <w:r>
              <w:rPr>
                <w:spacing w:val="-1"/>
              </w:rPr>
              <w:t>政策依据</w:t>
            </w:r>
          </w:p>
        </w:tc>
        <w:tc>
          <w:tcPr>
            <w:tcW w:w="949" w:type="dxa"/>
            <w:vAlign w:val="top"/>
          </w:tcPr>
          <w:p>
            <w:pPr>
              <w:pStyle w:val="TableText"/>
              <w:ind w:left="168"/>
              <w:spacing w:before="181" w:line="219" w:lineRule="auto"/>
              <w:rPr/>
            </w:pPr>
            <w:r>
              <w:rPr>
                <w:spacing w:val="3"/>
              </w:rPr>
              <w:t>执行时间</w:t>
            </w:r>
          </w:p>
        </w:tc>
        <w:tc>
          <w:tcPr>
            <w:tcW w:w="979" w:type="dxa"/>
            <w:vAlign w:val="top"/>
          </w:tcPr>
          <w:p>
            <w:pPr>
              <w:pStyle w:val="TableText"/>
              <w:ind w:left="337" w:right="192" w:hanging="149"/>
              <w:spacing w:before="73" w:line="250"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8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71" w:line="246" w:lineRule="auto"/>
              <w:rPr/>
            </w:pPr>
            <w:r>
              <w:rPr>
                <w:spacing w:val="-3"/>
              </w:rPr>
              <w:t>政策</w:t>
            </w:r>
            <w:r>
              <w:rPr/>
              <w:t xml:space="preserve"> </w:t>
            </w:r>
            <w:r>
              <w:rPr>
                <w:spacing w:val="-4"/>
              </w:rPr>
              <w:t>形式</w:t>
            </w:r>
          </w:p>
        </w:tc>
      </w:tr>
      <w:tr>
        <w:trPr>
          <w:trHeight w:val="3954" w:hRule="atLeast"/>
        </w:trPr>
        <w:tc>
          <w:tcPr>
            <w:tcW w:w="295"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94"/>
              <w:spacing w:before="49" w:line="183" w:lineRule="auto"/>
              <w:rPr/>
            </w:pPr>
            <w:r>
              <w:rPr/>
              <w:t>4</w:t>
            </w:r>
          </w:p>
        </w:tc>
        <w:tc>
          <w:tcPr>
            <w:tcW w:w="4125" w:type="dxa"/>
            <w:vAlign w:val="top"/>
          </w:tcPr>
          <w:p>
            <w:pPr>
              <w:pStyle w:val="TableText"/>
              <w:ind w:left="30"/>
              <w:spacing w:before="132" w:line="241" w:lineRule="auto"/>
              <w:rPr/>
            </w:pPr>
            <w:r>
              <w:rPr/>
              <w:t>9.建立信息共享和批量核验机制。省级交通</w:t>
            </w:r>
            <w:r>
              <w:rPr>
                <w:spacing w:val="-1"/>
              </w:rPr>
              <w:t>运输主管部门要与</w:t>
            </w:r>
            <w:r>
              <w:rPr/>
              <w:t xml:space="preserve"> </w:t>
            </w:r>
            <w:r>
              <w:rPr/>
              <w:t>辖区内银行业金融机构建立信息共享机制，根</w:t>
            </w:r>
            <w:r>
              <w:rPr>
                <w:spacing w:val="-1"/>
              </w:rPr>
              <w:t>据银行业务办理</w:t>
            </w:r>
            <w:r>
              <w:rPr/>
              <w:t xml:space="preserve"> </w:t>
            </w:r>
            <w:r>
              <w:rPr/>
              <w:t>需求，协调有关单位提供交通物流企业和从业司机清单，包含</w:t>
            </w:r>
            <w:r>
              <w:rPr>
                <w:spacing w:val="6"/>
              </w:rPr>
              <w:t xml:space="preserve"> </w:t>
            </w:r>
            <w:r>
              <w:rPr>
                <w:spacing w:val="1"/>
              </w:rPr>
              <w:t>资质资格、车辆行驶轨迹、电子运单、交通执法等要素信息，</w:t>
            </w:r>
            <w:r>
              <w:rPr>
                <w:spacing w:val="6"/>
              </w:rPr>
              <w:t xml:space="preserve"> </w:t>
            </w:r>
            <w:r>
              <w:rPr>
                <w:spacing w:val="-1"/>
              </w:rPr>
              <w:t>主动协助银行业金融机构对交通物流贷款主体证照信息进行批</w:t>
            </w:r>
            <w:r>
              <w:rPr>
                <w:spacing w:val="18"/>
                <w:w w:val="101"/>
              </w:rPr>
              <w:t xml:space="preserve"> </w:t>
            </w:r>
            <w:r>
              <w:rPr>
                <w:spacing w:val="2"/>
              </w:rPr>
              <w:t>量核验，降低银行业金融机构信息收集成本和贷款审核压</w:t>
            </w:r>
            <w:r>
              <w:rPr>
                <w:spacing w:val="1"/>
              </w:rPr>
              <w:t>力  </w:t>
            </w:r>
            <w:r>
              <w:rPr/>
              <w:t>减轻贷款主体负担。中国交通通信信息中心、</w:t>
            </w:r>
            <w:r>
              <w:rPr>
                <w:spacing w:val="-1"/>
              </w:rPr>
              <w:t>全国性银行总行</w:t>
            </w:r>
            <w:r>
              <w:rPr/>
              <w:t xml:space="preserve"> </w:t>
            </w:r>
            <w:r>
              <w:rPr/>
              <w:t>等单位要加强合作，建立信息共享机制。中国交通通信信息中</w:t>
            </w:r>
            <w:r>
              <w:rPr>
                <w:spacing w:val="15"/>
              </w:rPr>
              <w:t xml:space="preserve"> </w:t>
            </w:r>
            <w:r>
              <w:rPr/>
              <w:t>心等相关单位要在保障网络安全、信息安全的前提下，免费向</w:t>
            </w:r>
          </w:p>
          <w:p>
            <w:pPr>
              <w:pStyle w:val="TableText"/>
              <w:ind w:left="30"/>
              <w:spacing w:before="41" w:line="210" w:lineRule="auto"/>
              <w:rPr/>
            </w:pPr>
            <w:r>
              <w:rPr>
                <w:spacing w:val="-1"/>
              </w:rPr>
              <w:t>银行业金融机构提供信贷投放所需要素信息。</w:t>
            </w:r>
          </w:p>
          <w:p>
            <w:pPr>
              <w:pStyle w:val="TableText"/>
              <w:ind w:left="30" w:right="40" w:firstLine="29"/>
              <w:spacing w:before="4" w:line="242" w:lineRule="auto"/>
              <w:rPr/>
            </w:pPr>
            <w:r>
              <w:rPr/>
              <w:t>10.推动加大贴息、担保增信等配套政策支持力度。各地交通</w:t>
            </w:r>
            <w:r>
              <w:rPr>
                <w:spacing w:val="10"/>
              </w:rPr>
              <w:t xml:space="preserve"> </w:t>
            </w:r>
            <w:r>
              <w:rPr/>
              <w:t>运输主管部门要协调地方金融监管部门推动地</w:t>
            </w:r>
            <w:r>
              <w:rPr>
                <w:spacing w:val="-1"/>
              </w:rPr>
              <w:t>方政府性融资担</w:t>
            </w:r>
            <w:r>
              <w:rPr/>
              <w:t xml:space="preserve"> </w:t>
            </w:r>
            <w:r>
              <w:rPr>
                <w:spacing w:val="2"/>
              </w:rPr>
              <w:t>保机构在“白名单”基础上，为市场主体提供融资增信支持</w:t>
            </w:r>
            <w:r>
              <w:rPr>
                <w:spacing w:val="5"/>
              </w:rPr>
              <w:t xml:space="preserve">  </w:t>
            </w:r>
            <w:r>
              <w:rPr>
                <w:spacing w:val="-1"/>
              </w:rPr>
              <w:t>依法依约及时履行代偿责任，积极帮助交通物流企业、个体工</w:t>
            </w:r>
            <w:r>
              <w:rPr>
                <w:spacing w:val="18"/>
                <w:w w:val="101"/>
              </w:rPr>
              <w:t xml:space="preserve"> </w:t>
            </w:r>
            <w:r>
              <w:rPr>
                <w:spacing w:val="-1"/>
              </w:rPr>
              <w:t>商户、货车司机等相关群体转贷续贷。鼓励有条件的地方对交</w:t>
            </w:r>
          </w:p>
          <w:p>
            <w:pPr>
              <w:pStyle w:val="TableText"/>
              <w:ind w:left="20"/>
              <w:spacing w:before="43" w:line="219" w:lineRule="auto"/>
              <w:rPr/>
            </w:pPr>
            <w:r>
              <w:rPr/>
              <w:t>通物流贷款(含租金)给予贴息、融资担保费用补贴，以及向</w:t>
            </w:r>
          </w:p>
          <w:p>
            <w:pPr>
              <w:pStyle w:val="TableText"/>
              <w:ind w:left="20" w:right="40" w:firstLine="10"/>
              <w:spacing w:before="20" w:line="229" w:lineRule="auto"/>
              <w:rPr/>
            </w:pPr>
            <w:r>
              <w:rPr/>
              <w:t>政府性融资担保机构注资等支持。支持普惠金</w:t>
            </w:r>
            <w:r>
              <w:rPr>
                <w:spacing w:val="-1"/>
              </w:rPr>
              <w:t>融发展示范区运</w:t>
            </w:r>
            <w:r>
              <w:rPr/>
              <w:t xml:space="preserve"> </w:t>
            </w:r>
            <w:r>
              <w:rPr/>
              <w:t>用政策资源进行贷款贴息、风险补偿，或为政府性融资担保机</w:t>
            </w:r>
            <w:r>
              <w:rPr>
                <w:spacing w:val="1"/>
              </w:rPr>
              <w:t xml:space="preserve"> </w:t>
            </w:r>
            <w:r>
              <w:rPr>
                <w:spacing w:val="-1"/>
              </w:rPr>
              <w:t>构补充资本金。</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r>
        <w:trPr>
          <w:trHeight w:val="1762" w:hRule="atLeast"/>
        </w:trPr>
        <w:tc>
          <w:tcPr>
            <w:tcW w:w="295"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94"/>
              <w:spacing w:before="48" w:line="182" w:lineRule="auto"/>
              <w:rPr/>
            </w:pPr>
            <w:r>
              <w:rPr/>
              <w:t>5</w:t>
            </w:r>
          </w:p>
        </w:tc>
        <w:tc>
          <w:tcPr>
            <w:tcW w:w="4125" w:type="dxa"/>
            <w:vAlign w:val="top"/>
          </w:tcPr>
          <w:p>
            <w:pPr>
              <w:pStyle w:val="TableText"/>
              <w:ind w:left="40"/>
              <w:spacing w:before="122" w:line="219" w:lineRule="auto"/>
              <w:rPr/>
            </w:pPr>
            <w:r>
              <w:rPr>
                <w:spacing w:val="-1"/>
              </w:rPr>
              <w:t>一、采取有效手段，加大直接融资支持力度</w:t>
            </w:r>
          </w:p>
          <w:p>
            <w:pPr>
              <w:pStyle w:val="TableText"/>
              <w:ind w:left="30" w:right="42" w:firstLine="69"/>
              <w:spacing w:before="33" w:line="237" w:lineRule="auto"/>
              <w:rPr/>
            </w:pPr>
            <w:r>
              <w:rPr/>
              <w:t>1.对2022年业绩受疫情影响严重地区和行业申请首发上市的</w:t>
            </w:r>
            <w:r>
              <w:rPr>
                <w:spacing w:val="5"/>
              </w:rPr>
              <w:t xml:space="preserve">  </w:t>
            </w:r>
            <w:r>
              <w:rPr>
                <w:spacing w:val="-1"/>
              </w:rPr>
              <w:t>企业，在符合板块定位及发行上市条件的前提下，经中介机构</w:t>
            </w:r>
            <w:r>
              <w:rPr>
                <w:spacing w:val="17"/>
              </w:rPr>
              <w:t xml:space="preserve"> </w:t>
            </w:r>
            <w:r>
              <w:rPr>
                <w:spacing w:val="-1"/>
              </w:rPr>
              <w:t>核查情况属实且不对持续盈利能力或持续经营能力构成重大不</w:t>
            </w:r>
          </w:p>
          <w:p>
            <w:pPr>
              <w:pStyle w:val="TableText"/>
              <w:ind w:left="20" w:right="43" w:firstLine="79"/>
              <w:spacing w:before="41" w:line="229" w:lineRule="auto"/>
              <w:rPr/>
            </w:pPr>
            <w:r>
              <w:rPr/>
              <w:t>利影响的，相关审核或注册工作正常推进。2</w:t>
            </w:r>
            <w:r>
              <w:rPr>
                <w:spacing w:val="-1"/>
              </w:rPr>
              <w:t>022年年底前对</w:t>
            </w:r>
            <w:r>
              <w:rPr/>
              <w:t xml:space="preserve">  </w:t>
            </w:r>
            <w:r>
              <w:rPr/>
              <w:t>受疫情影响严重地区和行业的上市公司再融资申请实施专人对 </w:t>
            </w:r>
            <w:r>
              <w:rPr>
                <w:spacing w:val="-1"/>
              </w:rPr>
              <w:t>接、即报即审、审过即发。</w:t>
            </w:r>
          </w:p>
          <w:p>
            <w:pPr>
              <w:pStyle w:val="TableText"/>
              <w:ind w:left="30"/>
              <w:spacing w:before="42" w:line="219" w:lineRule="auto"/>
              <w:rPr/>
            </w:pPr>
            <w:r>
              <w:rPr/>
              <w:t>2.受疫情影响严重地区和行业企业申请北</w:t>
            </w:r>
            <w:r>
              <w:rPr>
                <w:spacing w:val="-1"/>
              </w:rPr>
              <w:t>交所上市、全国股转</w:t>
            </w:r>
          </w:p>
        </w:tc>
        <w:tc>
          <w:tcPr>
            <w:tcW w:w="2507" w:type="dxa"/>
            <w:vAlign w:val="top"/>
          </w:tcPr>
          <w:p>
            <w:pPr>
              <w:pStyle w:val="TableText"/>
              <w:ind w:left="14" w:right="43" w:firstLine="30"/>
              <w:spacing w:before="131" w:line="259" w:lineRule="auto"/>
              <w:jc w:val="both"/>
              <w:rPr/>
            </w:pPr>
            <w:r>
              <w:rPr/>
              <w:t>中国证监会《关于进一步发挥资本市</w:t>
            </w:r>
            <w:r>
              <w:rPr>
                <w:spacing w:val="7"/>
              </w:rPr>
              <w:t xml:space="preserve"> </w:t>
            </w:r>
            <w:r>
              <w:rPr>
                <w:spacing w:val="1"/>
              </w:rPr>
              <w:t>场功能支持受疫情影响严重地区和行</w:t>
            </w:r>
            <w:r>
              <w:rPr>
                <w:spacing w:val="7"/>
              </w:rPr>
              <w:t xml:space="preserve"> </w:t>
            </w:r>
            <w:r>
              <w:rPr>
                <w:spacing w:val="3"/>
              </w:rPr>
              <w:t>业加快恢复发展的通知》(证监发〔 </w:t>
            </w:r>
            <w:r>
              <w:rPr>
                <w:spacing w:val="3"/>
              </w:rPr>
              <w:t>2022〕46号)</w:t>
            </w:r>
          </w:p>
        </w:tc>
        <w:tc>
          <w:tcPr>
            <w:tcW w:w="949" w:type="dxa"/>
            <w:vAlign w:val="top"/>
          </w:tcPr>
          <w:p>
            <w:pPr>
              <w:pStyle w:val="TableText"/>
              <w:ind w:left="17" w:firstLine="10"/>
              <w:spacing w:before="133" w:line="217"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2</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16"/>
              </w:rPr>
              <w:t>2</w:t>
            </w:r>
            <w:r>
              <w:rPr>
                <w:spacing w:val="-17"/>
              </w:rPr>
              <w:t xml:space="preserve"> </w:t>
            </w:r>
            <w:r>
              <w:rPr>
                <w:spacing w:val="-16"/>
              </w:rPr>
              <w:t>0</w:t>
            </w:r>
            <w:r>
              <w:rPr>
                <w:spacing w:val="5"/>
              </w:rPr>
              <w:t xml:space="preserve"> </w:t>
            </w:r>
            <w:r>
              <w:rPr>
                <w:spacing w:val="-16"/>
              </w:rPr>
              <w:t>日</w:t>
            </w:r>
            <w:r>
              <w:rPr>
                <w:spacing w:val="5"/>
              </w:rPr>
              <w:t xml:space="preserve"> </w:t>
            </w:r>
            <w:r>
              <w:rPr>
                <w:spacing w:val="-16"/>
              </w:rPr>
              <w:t>(</w:t>
            </w:r>
            <w:r>
              <w:rPr>
                <w:spacing w:val="-20"/>
              </w:rPr>
              <w:t xml:space="preserve"> </w:t>
            </w:r>
            <w:r>
              <w:rPr>
                <w:spacing w:val="-16"/>
              </w:rPr>
              <w:t>文</w:t>
            </w:r>
            <w:r>
              <w:rPr>
                <w:spacing w:val="-22"/>
              </w:rPr>
              <w:t xml:space="preserve"> </w:t>
            </w:r>
            <w:r>
              <w:rPr>
                <w:spacing w:val="-16"/>
              </w:rPr>
              <w:t>件</w:t>
            </w:r>
            <w:r>
              <w:rPr/>
              <w:t xml:space="preserve"> </w:t>
            </w:r>
            <w:r>
              <w:rPr>
                <w:spacing w:val="11"/>
              </w:rPr>
              <w:t>签发日期)</w:t>
            </w:r>
          </w:p>
        </w:tc>
        <w:tc>
          <w:tcPr>
            <w:tcW w:w="979" w:type="dxa"/>
            <w:vAlign w:val="top"/>
          </w:tcPr>
          <w:p>
            <w:pPr>
              <w:pStyle w:val="TableText"/>
              <w:ind w:left="39"/>
              <w:spacing w:before="133" w:line="220" w:lineRule="auto"/>
              <w:rPr/>
            </w:pPr>
            <w:r>
              <w:rPr>
                <w:spacing w:val="-2"/>
              </w:rPr>
              <w:t>受疫情影响严</w:t>
            </w:r>
          </w:p>
          <w:p>
            <w:pPr>
              <w:pStyle w:val="TableText"/>
              <w:ind w:left="39"/>
              <w:spacing w:before="61" w:line="220" w:lineRule="auto"/>
              <w:rPr/>
            </w:pPr>
            <w:r>
              <w:rPr>
                <w:spacing w:val="-1"/>
              </w:rPr>
              <w:t>重地区和行业</w:t>
            </w:r>
          </w:p>
          <w:p>
            <w:pPr>
              <w:pStyle w:val="TableText"/>
              <w:ind w:left="338"/>
              <w:spacing w:before="29" w:line="229" w:lineRule="auto"/>
              <w:rPr/>
            </w:pPr>
            <w:r>
              <w:rPr>
                <w:spacing w:val="-3"/>
              </w:rPr>
              <w:t>企业</w:t>
            </w:r>
          </w:p>
        </w:tc>
        <w:tc>
          <w:tcPr>
            <w:tcW w:w="390" w:type="dxa"/>
            <w:vAlign w:val="top"/>
          </w:tcPr>
          <w:p>
            <w:pPr>
              <w:pStyle w:val="TableText"/>
              <w:ind w:left="39" w:right="45"/>
              <w:spacing w:before="133" w:line="247" w:lineRule="auto"/>
              <w:rPr/>
            </w:pPr>
            <w:r>
              <w:rPr>
                <w:spacing w:val="-5"/>
              </w:rPr>
              <w:t>行政</w:t>
            </w:r>
            <w:r>
              <w:rPr/>
              <w:t xml:space="preserve"> </w:t>
            </w:r>
            <w:r>
              <w:rPr>
                <w:spacing w:val="-3"/>
              </w:rPr>
              <w:t>通知</w:t>
            </w:r>
          </w:p>
        </w:tc>
        <w:tc>
          <w:tcPr>
            <w:tcW w:w="384" w:type="dxa"/>
            <w:vAlign w:val="top"/>
          </w:tcPr>
          <w:p>
            <w:pPr>
              <w:pStyle w:val="TableText"/>
              <w:ind w:left="40" w:right="39"/>
              <w:spacing w:before="123"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74976" behindDoc="0" locked="0" layoutInCell="0" allowOverlap="1">
                <wp:simplePos x="0" y="0"/>
                <wp:positionH relativeFrom="page">
                  <wp:posOffset>467228</wp:posOffset>
                </wp:positionH>
                <wp:positionV relativeFrom="page">
                  <wp:posOffset>4386227</wp:posOffset>
                </wp:positionV>
                <wp:extent cx="211454" cy="214629"/>
                <wp:effectExtent l="0" t="0" r="0" b="0"/>
                <wp:wrapNone/>
                <wp:docPr id="98" name="TextBox 98"/>
                <wp:cNvGraphicFramePr/>
                <a:graphic>
                  <a:graphicData uri="http://schemas.microsoft.com/office/word/2010/wordprocessingShape">
                    <wps:wsp>
                      <wps:cNvSpPr txBox="1"/>
                      <wps:spPr>
                        <a:xfrm rot="5400000">
                          <a:off x="467228" y="4386227"/>
                          <a:ext cx="211454"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0" style="position:absolute;margin-left:36.7897pt;margin-top:345.372pt;mso-position-vertical-relative:page;mso-position-horizontal-relative:page;width:16.65pt;height:16.9pt;z-index:251774976;rotation:90;" o:allowincell="f" filled="false" stroked="false" type="#_x0000_t202">
                <v:fill on="false"/>
                <v:stroke on="false"/>
                <v:path/>
                <v:imagedata o:title=""/>
                <o:lock v:ext="edit" aspectratio="false"/>
                <v:textbox inset="0mm,0mm,0mm,0mm">
                  <w:txbxContent>
                    <w:p>
                      <w:pPr>
                        <w:ind w:right="2"/>
                        <w:spacing w:before="88" w:line="184" w:lineRule="auto"/>
                        <w:jc w:val="right"/>
                        <w:rPr>
                          <w:rFonts w:ascii="SimSun" w:hAnsi="SimSun" w:eastAsia="SimSun" w:cs="SimSun"/>
                          <w:sz w:val="23"/>
                          <w:szCs w:val="23"/>
                        </w:rPr>
                      </w:pPr>
                      <w:r>
                        <w:rPr>
                          <w:rFonts w:ascii="SimSun" w:hAnsi="SimSun" w:eastAsia="SimSun" w:cs="SimSun"/>
                          <w:sz w:val="23"/>
                          <w:szCs w:val="23"/>
                          <w:spacing w:val="-12"/>
                        </w:rPr>
                        <w:t>117</w:t>
                      </w:r>
                    </w:p>
                  </w:txbxContent>
                </v:textbox>
              </v:shape>
            </w:pict>
          </mc:Fallback>
        </mc:AlternateContent>
      </w:r>
      <w:r/>
    </w:p>
    <w:p>
      <w:pPr>
        <w:spacing w:before="51"/>
        <w:rPr/>
      </w:pPr>
      <w:r/>
    </w:p>
    <w:tbl>
      <w:tblPr>
        <w:tblStyle w:val="TableNormal"/>
        <w:tblW w:w="962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44"/>
              <w:spacing w:before="170" w:line="219" w:lineRule="auto"/>
              <w:rPr/>
            </w:pPr>
            <w:r>
              <w:rPr>
                <w:spacing w:val="-1"/>
              </w:rPr>
              <w:t>政策依据</w:t>
            </w:r>
          </w:p>
        </w:tc>
        <w:tc>
          <w:tcPr>
            <w:tcW w:w="949" w:type="dxa"/>
            <w:vAlign w:val="top"/>
          </w:tcPr>
          <w:p>
            <w:pPr>
              <w:pStyle w:val="TableText"/>
              <w:ind w:left="168"/>
              <w:spacing w:before="171" w:line="219" w:lineRule="auto"/>
              <w:rPr/>
            </w:pPr>
            <w:r>
              <w:rPr>
                <w:spacing w:val="3"/>
              </w:rPr>
              <w:t>执行时间</w:t>
            </w:r>
          </w:p>
        </w:tc>
        <w:tc>
          <w:tcPr>
            <w:tcW w:w="979" w:type="dxa"/>
            <w:vAlign w:val="top"/>
          </w:tcPr>
          <w:p>
            <w:pPr>
              <w:pStyle w:val="TableText"/>
              <w:ind w:left="337" w:right="192" w:hanging="149"/>
              <w:spacing w:before="52" w:line="250"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45" w:lineRule="auto"/>
              <w:rPr/>
            </w:pPr>
            <w:r>
              <w:rPr>
                <w:spacing w:val="-3"/>
              </w:rPr>
              <w:t>政策</w:t>
            </w:r>
            <w:r>
              <w:rPr/>
              <w:t xml:space="preserve"> </w:t>
            </w:r>
            <w:r>
              <w:rPr>
                <w:spacing w:val="-3"/>
              </w:rPr>
              <w:t>类别</w:t>
            </w:r>
          </w:p>
        </w:tc>
        <w:tc>
          <w:tcPr>
            <w:tcW w:w="384" w:type="dxa"/>
            <w:vAlign w:val="top"/>
          </w:tcPr>
          <w:p>
            <w:pPr>
              <w:pStyle w:val="TableText"/>
              <w:ind w:left="39" w:right="39"/>
              <w:spacing w:before="61" w:line="246" w:lineRule="auto"/>
              <w:rPr/>
            </w:pPr>
            <w:r>
              <w:rPr>
                <w:spacing w:val="-3"/>
              </w:rPr>
              <w:t>政策</w:t>
            </w:r>
            <w:r>
              <w:rPr/>
              <w:t xml:space="preserve"> </w:t>
            </w:r>
            <w:r>
              <w:rPr>
                <w:spacing w:val="-4"/>
              </w:rPr>
              <w:t>形式</w:t>
            </w:r>
          </w:p>
        </w:tc>
      </w:tr>
      <w:tr>
        <w:trPr>
          <w:trHeight w:val="5765"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4"/>
              <w:spacing w:before="49" w:line="182" w:lineRule="auto"/>
              <w:rPr/>
            </w:pPr>
            <w:r>
              <w:rPr/>
              <w:t>5</w:t>
            </w:r>
          </w:p>
        </w:tc>
        <w:tc>
          <w:tcPr>
            <w:tcW w:w="4125" w:type="dxa"/>
            <w:vAlign w:val="top"/>
          </w:tcPr>
          <w:p>
            <w:pPr>
              <w:pStyle w:val="TableText"/>
              <w:ind w:left="20" w:right="27" w:firstLine="10"/>
              <w:spacing w:before="138" w:line="239" w:lineRule="auto"/>
              <w:jc w:val="both"/>
              <w:rPr/>
            </w:pPr>
            <w:r>
              <w:rPr>
                <w:spacing w:val="-1"/>
              </w:rPr>
              <w:t>系统挂牌的，实施专人对接、即报即审、审过即发。受疫情影</w:t>
            </w:r>
            <w:r>
              <w:rPr>
                <w:spacing w:val="17"/>
              </w:rPr>
              <w:t xml:space="preserve"> </w:t>
            </w:r>
            <w:r>
              <w:rPr/>
              <w:t>响严重地区和行业企业发行公司债券、资产证券化产品的，或</w:t>
            </w:r>
            <w:r>
              <w:rPr>
                <w:spacing w:val="16"/>
              </w:rPr>
              <w:t xml:space="preserve"> </w:t>
            </w:r>
            <w:r>
              <w:rPr/>
              <w:t>者债券募集资金用于疫情防控相关领域或用于偿还疫情防控期</w:t>
            </w:r>
            <w:r>
              <w:rPr>
                <w:spacing w:val="1"/>
              </w:rPr>
              <w:t xml:space="preserve"> </w:t>
            </w:r>
            <w:r>
              <w:rPr/>
              <w:t>间到期债券产品的，实施专人对接、即报即审</w:t>
            </w:r>
          </w:p>
          <w:p>
            <w:pPr>
              <w:pStyle w:val="TableText"/>
              <w:ind w:left="30" w:right="40"/>
              <w:spacing w:before="2" w:line="244" w:lineRule="auto"/>
              <w:rPr/>
            </w:pPr>
            <w:r>
              <w:rPr>
                <w:spacing w:val="-1"/>
              </w:rPr>
              <w:t>3.受疫情影响严重地区和行业上市公司发行股份购买资产申请</w:t>
            </w:r>
            <w:r>
              <w:rPr>
                <w:spacing w:val="18"/>
              </w:rPr>
              <w:t xml:space="preserve"> </w:t>
            </w:r>
            <w:r>
              <w:rPr/>
              <w:t>适用“小额快速”审核机制，在计算交易金额</w:t>
            </w:r>
            <w:r>
              <w:rPr>
                <w:spacing w:val="-1"/>
              </w:rPr>
              <w:t>时不再适用最近</w:t>
            </w:r>
          </w:p>
          <w:p>
            <w:pPr>
              <w:pStyle w:val="TableText"/>
              <w:ind w:left="10" w:right="25" w:firstLine="89"/>
              <w:spacing w:before="21" w:line="230" w:lineRule="auto"/>
              <w:rPr/>
            </w:pPr>
            <w:r>
              <w:rPr/>
              <w:t>12个月内累计计算的要求。发行股份购买资产同时募集配套</w:t>
            </w:r>
            <w:r>
              <w:rPr>
                <w:spacing w:val="3"/>
              </w:rPr>
              <w:t xml:space="preserve">  </w:t>
            </w:r>
            <w:r>
              <w:rPr>
                <w:spacing w:val="1"/>
              </w:rPr>
              <w:t>资金的，放宽募集配套资金用于补充流动资金、偿还债务的比 </w:t>
            </w:r>
            <w:r>
              <w:rPr>
                <w:spacing w:val="-1"/>
              </w:rPr>
              <w:t>例限制。</w:t>
            </w:r>
          </w:p>
          <w:p>
            <w:pPr>
              <w:pStyle w:val="TableText"/>
              <w:ind w:left="20" w:right="19" w:firstLine="10"/>
              <w:spacing w:before="40" w:line="237" w:lineRule="auto"/>
              <w:jc w:val="both"/>
              <w:rPr/>
            </w:pPr>
            <w:r>
              <w:rPr/>
              <w:t>4.加快公募基金产品特别是权益类基金、抗疫主题基金等产品</w:t>
            </w:r>
            <w:r>
              <w:rPr>
                <w:spacing w:val="14"/>
              </w:rPr>
              <w:t xml:space="preserve"> </w:t>
            </w:r>
            <w:r>
              <w:rPr>
                <w:spacing w:val="1"/>
              </w:rPr>
              <w:t>的审核进度。对受疫情影响严重地区和行业企业相关基</w:t>
            </w:r>
            <w:r>
              <w:rPr/>
              <w:t>金产品 </w:t>
            </w:r>
            <w:r>
              <w:rPr>
                <w:spacing w:val="-1"/>
              </w:rPr>
              <w:t>的行政许可事项，依法依规给予支持。</w:t>
            </w:r>
          </w:p>
          <w:p>
            <w:pPr>
              <w:pStyle w:val="TableText"/>
              <w:ind w:left="20"/>
              <w:spacing w:before="12" w:line="219" w:lineRule="auto"/>
              <w:rPr/>
            </w:pPr>
            <w:r>
              <w:rPr>
                <w:spacing w:val="-1"/>
              </w:rPr>
              <w:t>二、实施延期展期政策，体现监管弹性</w:t>
            </w:r>
          </w:p>
          <w:p>
            <w:pPr>
              <w:pStyle w:val="TableText"/>
              <w:ind w:left="30"/>
              <w:spacing w:before="3" w:line="219" w:lineRule="auto"/>
              <w:rPr/>
            </w:pPr>
            <w:r>
              <w:rPr/>
              <w:t>5.受疫情影响严重地区和行业发行人的反馈意见、审核问询回</w:t>
            </w:r>
          </w:p>
          <w:p>
            <w:pPr>
              <w:pStyle w:val="TableText"/>
              <w:ind w:left="10" w:right="43" w:firstLine="89"/>
              <w:spacing w:before="49" w:line="234" w:lineRule="auto"/>
              <w:rPr/>
            </w:pPr>
            <w:r>
              <w:rPr>
                <w:spacing w:val="-1"/>
              </w:rPr>
              <w:t>复时限可以延长3个月，告知函回复时限可以延长1个月。对</w:t>
            </w:r>
            <w:r>
              <w:rPr>
                <w:spacing w:val="8"/>
              </w:rPr>
              <w:t xml:space="preserve">  </w:t>
            </w:r>
            <w:r>
              <w:rPr/>
              <w:t>受疫情影响严重地区和行业企业申报发行公司债券和资产证券</w:t>
            </w:r>
            <w:r>
              <w:rPr>
                <w:spacing w:val="10"/>
              </w:rPr>
              <w:t xml:space="preserve"> </w:t>
            </w:r>
            <w:r>
              <w:rPr>
                <w:spacing w:val="2"/>
              </w:rPr>
              <w:t>化产品的，暂缓计算审核阶段反馈意见回复时限、中止时限3</w:t>
            </w:r>
            <w:r>
              <w:rPr>
                <w:spacing w:val="9"/>
              </w:rPr>
              <w:t xml:space="preserve"> </w:t>
            </w:r>
            <w:r>
              <w:rPr>
                <w:spacing w:val="-2"/>
              </w:rPr>
              <w:t>个月。</w:t>
            </w:r>
          </w:p>
          <w:p>
            <w:pPr>
              <w:pStyle w:val="TableText"/>
              <w:ind w:left="30" w:right="41"/>
              <w:spacing w:before="43" w:line="224" w:lineRule="auto"/>
              <w:jc w:val="both"/>
              <w:rPr/>
            </w:pPr>
            <w:r>
              <w:rPr/>
              <w:t>6.受疫情影响严重地区和行业的上市公司</w:t>
            </w:r>
            <w:r>
              <w:rPr>
                <w:spacing w:val="-1"/>
              </w:rPr>
              <w:t>并购重组项目确实不</w:t>
            </w:r>
            <w:r>
              <w:rPr/>
              <w:t xml:space="preserve"> </w:t>
            </w:r>
            <w:r>
              <w:rPr>
                <w:spacing w:val="-1"/>
              </w:rPr>
              <w:t>能按期更新财务资料或发出股东大会通知的，可以在充分披露</w:t>
            </w:r>
            <w:r>
              <w:rPr>
                <w:spacing w:val="14"/>
              </w:rPr>
              <w:t xml:space="preserve"> </w:t>
            </w:r>
            <w:r>
              <w:rPr/>
              <w:t>疫情对本次重组的具体影响后，申请财务资</w:t>
            </w:r>
            <w:r>
              <w:rPr>
                <w:spacing w:val="-1"/>
              </w:rPr>
              <w:t>料有效期延长或股</w:t>
            </w:r>
          </w:p>
          <w:p>
            <w:pPr>
              <w:pStyle w:val="TableText"/>
              <w:ind w:left="20"/>
              <w:spacing w:before="52" w:line="219" w:lineRule="auto"/>
              <w:rPr/>
            </w:pPr>
            <w:r>
              <w:rPr>
                <w:spacing w:val="-1"/>
              </w:rPr>
              <w:t>东大会通知时间延期1个月，最多可以延期3次</w:t>
            </w:r>
          </w:p>
          <w:p>
            <w:pPr>
              <w:pStyle w:val="TableText"/>
              <w:ind w:left="20" w:right="40" w:firstLine="10"/>
              <w:spacing w:before="4" w:line="245" w:lineRule="auto"/>
              <w:jc w:val="both"/>
              <w:rPr/>
            </w:pPr>
            <w:r>
              <w:rPr>
                <w:spacing w:val="-1"/>
              </w:rPr>
              <w:t>7.受疫情影响严重地区和行业的上市公司取得重大资产重组行</w:t>
            </w:r>
            <w:r>
              <w:rPr>
                <w:spacing w:val="17"/>
              </w:rPr>
              <w:t xml:space="preserve"> </w:t>
            </w:r>
            <w:r>
              <w:rPr/>
              <w:t>政许可批文后，可以申请暂缓计算批文有效期，暂缓计算期限</w:t>
            </w:r>
            <w:r>
              <w:rPr>
                <w:spacing w:val="3"/>
              </w:rPr>
              <w:t xml:space="preserve"> </w:t>
            </w:r>
            <w:r>
              <w:rPr>
                <w:spacing w:val="-1"/>
              </w:rPr>
              <w:t>最长不超过12个月。</w:t>
            </w:r>
          </w:p>
          <w:p>
            <w:pPr>
              <w:pStyle w:val="TableText"/>
              <w:ind w:left="20" w:right="41" w:firstLine="10"/>
              <w:spacing w:before="20" w:line="229" w:lineRule="auto"/>
              <w:jc w:val="both"/>
              <w:rPr/>
            </w:pPr>
            <w:r>
              <w:rPr/>
              <w:t>8.支持受疫情影响严重地区的私募基金备案</w:t>
            </w:r>
            <w:r>
              <w:rPr>
                <w:spacing w:val="-1"/>
              </w:rPr>
              <w:t>，适当延长管理人</w:t>
            </w:r>
            <w:r>
              <w:rPr/>
              <w:t xml:space="preserve"> </w:t>
            </w:r>
            <w:r>
              <w:rPr/>
              <w:t>首支私募基金备案和信息报送时限，适当放宽私募基金登记备 </w:t>
            </w:r>
            <w:r>
              <w:rPr>
                <w:spacing w:val="-1"/>
              </w:rPr>
              <w:t>案材料签章要求和部分工商材料要求。</w:t>
            </w:r>
          </w:p>
        </w:tc>
        <w:tc>
          <w:tcPr>
            <w:tcW w:w="2507" w:type="dxa"/>
            <w:vAlign w:val="top"/>
          </w:tcPr>
          <w:p>
            <w:pPr>
              <w:pStyle w:val="TableText"/>
              <w:ind w:left="14" w:right="43" w:firstLine="30"/>
              <w:spacing w:before="115" w:line="259" w:lineRule="auto"/>
              <w:jc w:val="both"/>
              <w:rPr/>
            </w:pPr>
            <w:r>
              <w:rPr/>
              <w:t>中国证监会《关于进一步发挥资本市</w:t>
            </w:r>
            <w:r>
              <w:rPr>
                <w:spacing w:val="7"/>
              </w:rPr>
              <w:t xml:space="preserve"> </w:t>
            </w:r>
            <w:r>
              <w:rPr>
                <w:spacing w:val="1"/>
              </w:rPr>
              <w:t>场功能支持受疫情影响严重地区和行</w:t>
            </w:r>
            <w:r>
              <w:rPr>
                <w:spacing w:val="7"/>
              </w:rPr>
              <w:t xml:space="preserve"> </w:t>
            </w:r>
            <w:r>
              <w:rPr>
                <w:spacing w:val="3"/>
              </w:rPr>
              <w:t>业加快恢复发展的通知》(证监发〔 </w:t>
            </w:r>
            <w:r>
              <w:rPr>
                <w:spacing w:val="3"/>
              </w:rPr>
              <w:t>2022〕46号)</w:t>
            </w:r>
          </w:p>
        </w:tc>
        <w:tc>
          <w:tcPr>
            <w:tcW w:w="949" w:type="dxa"/>
            <w:vAlign w:val="top"/>
          </w:tcPr>
          <w:p>
            <w:pPr>
              <w:pStyle w:val="TableText"/>
              <w:ind w:left="7" w:firstLine="20"/>
              <w:spacing w:before="137" w:line="221"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2</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17"/>
              </w:rPr>
              <w:t>2</w:t>
            </w:r>
            <w:r>
              <w:rPr>
                <w:spacing w:val="-13"/>
              </w:rPr>
              <w:t xml:space="preserve"> </w:t>
            </w:r>
            <w:r>
              <w:rPr>
                <w:spacing w:val="-17"/>
              </w:rPr>
              <w:t>0</w:t>
            </w:r>
            <w:r>
              <w:rPr>
                <w:spacing w:val="9"/>
              </w:rPr>
              <w:t xml:space="preserve"> </w:t>
            </w:r>
            <w:r>
              <w:rPr>
                <w:spacing w:val="-17"/>
              </w:rPr>
              <w:t>日</w:t>
            </w:r>
            <w:r>
              <w:rPr>
                <w:spacing w:val="9"/>
              </w:rPr>
              <w:t xml:space="preserve"> </w:t>
            </w:r>
            <w:r>
              <w:rPr>
                <w:spacing w:val="-17"/>
              </w:rPr>
              <w:t>(</w:t>
            </w:r>
            <w:r>
              <w:rPr>
                <w:spacing w:val="-16"/>
              </w:rPr>
              <w:t xml:space="preserve"> 文</w:t>
            </w:r>
            <w:r>
              <w:rPr>
                <w:spacing w:val="-18"/>
              </w:rPr>
              <w:t xml:space="preserve"> </w:t>
            </w:r>
            <w:r>
              <w:rPr>
                <w:spacing w:val="-12"/>
              </w:rPr>
              <w:t>件</w:t>
            </w:r>
            <w:r>
              <w:rPr/>
              <w:t xml:space="preserve"> </w:t>
            </w:r>
            <w:r>
              <w:rPr>
                <w:spacing w:val="9"/>
              </w:rPr>
              <w:t>签发日期)</w:t>
            </w:r>
          </w:p>
        </w:tc>
        <w:tc>
          <w:tcPr>
            <w:tcW w:w="979" w:type="dxa"/>
            <w:vAlign w:val="top"/>
          </w:tcPr>
          <w:p>
            <w:pPr>
              <w:pStyle w:val="TableText"/>
              <w:ind w:left="39"/>
              <w:spacing w:before="117" w:line="220" w:lineRule="auto"/>
              <w:rPr/>
            </w:pPr>
            <w:r>
              <w:rPr>
                <w:spacing w:val="-2"/>
              </w:rPr>
              <w:t>受疫情影响严</w:t>
            </w:r>
          </w:p>
          <w:p>
            <w:pPr>
              <w:pStyle w:val="TableText"/>
              <w:ind w:left="39"/>
              <w:spacing w:before="41" w:line="220" w:lineRule="auto"/>
              <w:rPr/>
            </w:pPr>
            <w:r>
              <w:rPr>
                <w:spacing w:val="-1"/>
              </w:rPr>
              <w:t>重地区和行业</w:t>
            </w:r>
          </w:p>
          <w:p>
            <w:pPr>
              <w:pStyle w:val="TableText"/>
              <w:ind w:left="338"/>
              <w:spacing w:before="49" w:line="229" w:lineRule="auto"/>
              <w:rPr/>
            </w:pPr>
            <w:r>
              <w:rPr>
                <w:spacing w:val="-3"/>
              </w:rPr>
              <w:t>企业</w:t>
            </w:r>
          </w:p>
        </w:tc>
        <w:tc>
          <w:tcPr>
            <w:tcW w:w="390" w:type="dxa"/>
            <w:vAlign w:val="top"/>
          </w:tcPr>
          <w:p>
            <w:pPr>
              <w:pStyle w:val="TableText"/>
              <w:ind w:left="39" w:right="45"/>
              <w:spacing w:before="116" w:line="235" w:lineRule="auto"/>
              <w:rPr/>
            </w:pPr>
            <w:r>
              <w:rPr>
                <w:spacing w:val="-5"/>
              </w:rPr>
              <w:t>行政</w:t>
            </w:r>
            <w:r>
              <w:rPr/>
              <w:t xml:space="preserve"> </w:t>
            </w:r>
            <w:r>
              <w:rPr>
                <w:spacing w:val="-3"/>
              </w:rPr>
              <w:t>通知</w:t>
            </w:r>
          </w:p>
        </w:tc>
        <w:tc>
          <w:tcPr>
            <w:tcW w:w="384" w:type="dxa"/>
            <w:vAlign w:val="top"/>
          </w:tcPr>
          <w:p>
            <w:pPr>
              <w:pStyle w:val="TableText"/>
              <w:ind w:left="39" w:right="39"/>
              <w:spacing w:before="107" w:line="245" w:lineRule="auto"/>
              <w:rPr/>
            </w:pPr>
            <w:r>
              <w:rPr>
                <w:spacing w:val="-5"/>
              </w:rPr>
              <w:t>行政</w:t>
            </w:r>
            <w:r>
              <w:rPr/>
              <w:t xml:space="preserve"> </w:t>
            </w:r>
            <w:r>
              <w:rPr>
                <w:spacing w:val="-3"/>
              </w:rPr>
              <w:t>优化</w:t>
            </w:r>
          </w:p>
        </w:tc>
      </w:tr>
    </w:tbl>
    <w:p>
      <w:pPr>
        <w:pStyle w:val="BodyText"/>
        <w:rPr/>
      </w:pPr>
      <w:r/>
    </w:p>
    <w:p>
      <w:pPr>
        <w:sectPr>
          <w:pgSz w:w="11910" w:h="8220"/>
          <w:pgMar w:top="400" w:right="113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76000" behindDoc="0" locked="0" layoutInCell="0" allowOverlap="1">
                <wp:simplePos x="0" y="0"/>
                <wp:positionH relativeFrom="page">
                  <wp:posOffset>456786</wp:posOffset>
                </wp:positionH>
                <wp:positionV relativeFrom="page">
                  <wp:posOffset>622892</wp:posOffset>
                </wp:positionV>
                <wp:extent cx="211454" cy="222884"/>
                <wp:effectExtent l="0" t="0" r="0" b="0"/>
                <wp:wrapNone/>
                <wp:docPr id="100" name="TextBox 100"/>
                <wp:cNvGraphicFramePr/>
                <a:graphic>
                  <a:graphicData uri="http://schemas.microsoft.com/office/word/2010/wordprocessingShape">
                    <wps:wsp>
                      <wps:cNvSpPr txBox="1"/>
                      <wps:spPr>
                        <a:xfrm rot="5400000">
                          <a:off x="456786" y="622892"/>
                          <a:ext cx="211454" cy="2228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7"/>
                              </w:rPr>
                              <w:t>11</w:t>
                            </w:r>
                            <w:r>
                              <w:rPr>
                                <w:rFonts w:ascii="SimSun" w:hAnsi="SimSun" w:eastAsia="SimSun" w:cs="SimSun"/>
                                <w:sz w:val="24"/>
                                <w:szCs w:val="24"/>
                                <w:spacing w:val="-15"/>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2" style="position:absolute;margin-left:35.9674pt;margin-top:49.0467pt;mso-position-vertical-relative:page;mso-position-horizontal-relative:page;width:16.65pt;height:17.55pt;z-index:251776000;rotation:90;" o:allowincell="f" filled="false" stroked="false" type="#_x0000_t202">
                <v:fill on="false"/>
                <v:stroke on="false"/>
                <v:path/>
                <v:imagedata o:title=""/>
                <o:lock v:ext="edit" aspectratio="false"/>
                <v:textbox inset="0mm,0mm,0mm,0mm">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7"/>
                        </w:rPr>
                        <w:t>11</w:t>
                      </w:r>
                      <w:r>
                        <w:rPr>
                          <w:rFonts w:ascii="SimSun" w:hAnsi="SimSun" w:eastAsia="SimSun" w:cs="SimSun"/>
                          <w:sz w:val="24"/>
                          <w:szCs w:val="24"/>
                          <w:spacing w:val="-15"/>
                        </w:rPr>
                        <w:t>8</w:t>
                      </w:r>
                    </w:p>
                  </w:txbxContent>
                </v:textbox>
              </v:shape>
            </w:pict>
          </mc:Fallback>
        </mc:AlternateContent>
      </w:r>
      <w:r/>
    </w:p>
    <w:p>
      <w:pPr>
        <w:spacing w:before="46"/>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494" w:hRule="atLeast"/>
        </w:trPr>
        <w:tc>
          <w:tcPr>
            <w:tcW w:w="29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54"/>
              <w:spacing w:before="170" w:line="219" w:lineRule="auto"/>
              <w:rPr/>
            </w:pPr>
            <w:r>
              <w:rPr>
                <w:spacing w:val="-1"/>
              </w:rPr>
              <w:t>政策依据</w:t>
            </w:r>
          </w:p>
        </w:tc>
        <w:tc>
          <w:tcPr>
            <w:tcW w:w="949" w:type="dxa"/>
            <w:vAlign w:val="top"/>
          </w:tcPr>
          <w:p>
            <w:pPr>
              <w:pStyle w:val="TableText"/>
              <w:ind w:left="188"/>
              <w:spacing w:before="171" w:line="219" w:lineRule="auto"/>
              <w:rPr/>
            </w:pPr>
            <w:r>
              <w:rPr>
                <w:spacing w:val="3"/>
              </w:rPr>
              <w:t>执行时间</w:t>
            </w:r>
          </w:p>
        </w:tc>
        <w:tc>
          <w:tcPr>
            <w:tcW w:w="979" w:type="dxa"/>
            <w:vAlign w:val="top"/>
          </w:tcPr>
          <w:p>
            <w:pPr>
              <w:pStyle w:val="TableText"/>
              <w:ind w:left="337" w:right="192" w:hanging="149"/>
              <w:spacing w:before="72" w:line="244"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7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71" w:line="246" w:lineRule="auto"/>
              <w:rPr/>
            </w:pPr>
            <w:r>
              <w:rPr>
                <w:spacing w:val="-3"/>
              </w:rPr>
              <w:t>政策</w:t>
            </w:r>
            <w:r>
              <w:rPr/>
              <w:t xml:space="preserve"> </w:t>
            </w:r>
            <w:r>
              <w:rPr>
                <w:spacing w:val="-4"/>
              </w:rPr>
              <w:t>形式</w:t>
            </w:r>
          </w:p>
        </w:tc>
      </w:tr>
      <w:tr>
        <w:trPr>
          <w:trHeight w:val="5776" w:hRule="atLeast"/>
        </w:trPr>
        <w:tc>
          <w:tcPr>
            <w:tcW w:w="29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94"/>
              <w:spacing w:before="49" w:line="182" w:lineRule="auto"/>
              <w:rPr/>
            </w:pPr>
            <w:r>
              <w:rPr/>
              <w:t>5</w:t>
            </w:r>
          </w:p>
        </w:tc>
        <w:tc>
          <w:tcPr>
            <w:tcW w:w="4125" w:type="dxa"/>
            <w:vAlign w:val="top"/>
          </w:tcPr>
          <w:p>
            <w:pPr>
              <w:pStyle w:val="TableText"/>
              <w:ind w:left="20"/>
              <w:spacing w:before="146" w:line="219" w:lineRule="auto"/>
              <w:rPr/>
            </w:pPr>
            <w:r>
              <w:rPr>
                <w:spacing w:val="-1"/>
              </w:rPr>
              <w:t>三、优化监管工作安排，传递监管温度</w:t>
            </w:r>
          </w:p>
          <w:p>
            <w:pPr>
              <w:pStyle w:val="TableText"/>
              <w:ind w:left="20" w:right="40" w:firstLine="10"/>
              <w:spacing w:before="20" w:line="241" w:lineRule="auto"/>
              <w:rPr/>
            </w:pPr>
            <w:r>
              <w:rPr/>
              <w:t>9.通过视频会议等方式，确保发审委会议、</w:t>
            </w:r>
            <w:r>
              <w:rPr>
                <w:spacing w:val="-1"/>
              </w:rPr>
              <w:t>重组委会议、上市</w:t>
            </w:r>
            <w:r>
              <w:rPr/>
              <w:t xml:space="preserve"> </w:t>
            </w:r>
            <w:r>
              <w:rPr/>
              <w:t>委会议正常推进。在首发上市、北交所上市、再融资、并购重</w:t>
            </w:r>
            <w:r>
              <w:rPr>
                <w:spacing w:val="3"/>
              </w:rPr>
              <w:t xml:space="preserve"> </w:t>
            </w:r>
            <w:r>
              <w:rPr/>
              <w:t>组等审核或注册过程中落实好电子化、无接触报送、送达工作</w:t>
            </w:r>
            <w:r>
              <w:rPr>
                <w:spacing w:val="1"/>
              </w:rPr>
              <w:t xml:space="preserve"> </w:t>
            </w:r>
            <w:r>
              <w:rPr/>
              <w:t>机制，加强审核部门与发行人、上市公司、中介机构电话沟通</w:t>
            </w:r>
            <w:r>
              <w:rPr>
                <w:spacing w:val="3"/>
              </w:rPr>
              <w:t xml:space="preserve"> </w:t>
            </w:r>
            <w:r>
              <w:rPr>
                <w:spacing w:val="-1"/>
              </w:rPr>
              <w:t>线上咨询的保障机制，高效高质量提供服务。</w:t>
            </w:r>
          </w:p>
          <w:p>
            <w:pPr>
              <w:pStyle w:val="TableText"/>
              <w:ind w:left="20" w:right="26" w:firstLine="39"/>
              <w:spacing w:before="22" w:line="237" w:lineRule="auto"/>
              <w:rPr/>
            </w:pPr>
            <w:r>
              <w:rPr/>
              <w:t>10.发行人、上市公司、中介机构可以通过电子签章方式提交</w:t>
            </w:r>
            <w:r>
              <w:rPr>
                <w:spacing w:val="10"/>
              </w:rPr>
              <w:t xml:space="preserve"> </w:t>
            </w:r>
            <w:r>
              <w:rPr/>
              <w:t>申报材料、问询回复等相关文件。对确受疫情影响、无法统一</w:t>
            </w:r>
            <w:r>
              <w:rPr>
                <w:spacing w:val="17"/>
              </w:rPr>
              <w:t xml:space="preserve"> </w:t>
            </w:r>
            <w:r>
              <w:rPr/>
              <w:t>签名的自然人，可以通过提供签字页电子扫</w:t>
            </w:r>
            <w:r>
              <w:rPr>
                <w:spacing w:val="-1"/>
              </w:rPr>
              <w:t>描文档方式办理</w:t>
            </w:r>
          </w:p>
          <w:p>
            <w:pPr>
              <w:pStyle w:val="TableText"/>
              <w:ind w:left="30" w:right="43" w:firstLine="29"/>
              <w:spacing w:before="12" w:line="226" w:lineRule="auto"/>
              <w:rPr/>
            </w:pPr>
            <w:r>
              <w:rPr/>
              <w:t>11.申请发行债券产品的企业，对于确受疫情影响无法及时提</w:t>
            </w:r>
            <w:r>
              <w:rPr>
                <w:spacing w:val="10"/>
              </w:rPr>
              <w:t xml:space="preserve"> </w:t>
            </w:r>
            <w:r>
              <w:rPr>
                <w:spacing w:val="-1"/>
              </w:rPr>
              <w:t>交相关签字、盖章文件的，可以视情况先由主承销商出具相关</w:t>
            </w:r>
          </w:p>
          <w:p>
            <w:pPr>
              <w:pStyle w:val="TableText"/>
              <w:ind w:left="10"/>
              <w:spacing w:before="43" w:line="219" w:lineRule="auto"/>
              <w:rPr/>
            </w:pPr>
            <w:r>
              <w:rPr>
                <w:spacing w:val="-1"/>
              </w:rPr>
              <w:t>说明，后续补充提交。</w:t>
            </w:r>
          </w:p>
          <w:p>
            <w:pPr>
              <w:pStyle w:val="TableText"/>
              <w:ind w:left="99"/>
              <w:spacing w:before="11" w:line="219" w:lineRule="auto"/>
              <w:rPr/>
            </w:pPr>
            <w:r>
              <w:rPr/>
              <w:t>12.对受疫情影响严重地区和行业企业，2022年6月底前拟以</w:t>
            </w:r>
          </w:p>
          <w:p>
            <w:pPr>
              <w:pStyle w:val="TableText"/>
              <w:ind w:left="10" w:right="23" w:firstLine="89"/>
              <w:spacing w:before="22" w:line="241" w:lineRule="auto"/>
              <w:rPr/>
            </w:pPr>
            <w:r>
              <w:rPr/>
              <w:t>2021年年报申请首发上市、北交所上市</w:t>
            </w:r>
            <w:r>
              <w:rPr>
                <w:spacing w:val="-1"/>
              </w:rPr>
              <w:t>的，如现场走访存在</w:t>
            </w:r>
            <w:r>
              <w:rPr/>
              <w:t xml:space="preserve">  </w:t>
            </w:r>
            <w:r>
              <w:rPr>
                <w:spacing w:val="1"/>
              </w:rPr>
              <w:t>困难，证监局可以借助电子网络手段对辅导验收提前开展预沟</w:t>
            </w:r>
            <w:r>
              <w:rPr>
                <w:spacing w:val="3"/>
              </w:rPr>
              <w:t xml:space="preserve"> </w:t>
            </w:r>
            <w:r>
              <w:rPr>
                <w:spacing w:val="-1"/>
              </w:rPr>
              <w:t>通，可以采取非现场验收方式</w:t>
            </w:r>
          </w:p>
          <w:p>
            <w:pPr>
              <w:pStyle w:val="TableText"/>
              <w:ind w:left="99" w:right="68" w:hanging="40"/>
              <w:spacing w:before="14" w:line="225" w:lineRule="auto"/>
              <w:rPr/>
            </w:pPr>
            <w:r>
              <w:rPr/>
              <w:t>13.对受疫情影响严重地区和行业的公开发行证券并上市的企</w:t>
            </w:r>
            <w:r>
              <w:rPr>
                <w:spacing w:val="10"/>
              </w:rPr>
              <w:t xml:space="preserve"> </w:t>
            </w:r>
            <w:r>
              <w:rPr/>
              <w:t>业，2022年上市当年因受疫情影响业绩大幅</w:t>
            </w:r>
            <w:r>
              <w:rPr>
                <w:spacing w:val="-1"/>
              </w:rPr>
              <w:t>下滑的，对发行</w:t>
            </w:r>
          </w:p>
          <w:p>
            <w:pPr>
              <w:pStyle w:val="TableText"/>
              <w:ind w:left="20"/>
              <w:spacing w:before="43" w:line="219" w:lineRule="auto"/>
              <w:rPr/>
            </w:pPr>
            <w:r>
              <w:rPr>
                <w:spacing w:val="-1"/>
              </w:rPr>
              <w:t>人和相关保荐机构给予适当监管包容</w:t>
            </w:r>
          </w:p>
          <w:p>
            <w:pPr>
              <w:pStyle w:val="TableText"/>
              <w:ind w:left="20" w:right="42" w:firstLine="39"/>
              <w:spacing w:before="13" w:line="237" w:lineRule="auto"/>
              <w:jc w:val="both"/>
              <w:rPr/>
            </w:pPr>
            <w:r>
              <w:rPr/>
              <w:t>14.对受疫情影响严重地区的新设证券基金机构，可以通过线</w:t>
            </w:r>
            <w:r>
              <w:rPr>
                <w:spacing w:val="14"/>
              </w:rPr>
              <w:t xml:space="preserve"> </w:t>
            </w:r>
            <w:r>
              <w:rPr/>
              <w:t>上视频的方式开展现场检查，后续补充核查，支持公司在符合</w:t>
            </w:r>
            <w:r>
              <w:rPr>
                <w:spacing w:val="1"/>
              </w:rPr>
              <w:t xml:space="preserve"> </w:t>
            </w:r>
            <w:r>
              <w:rPr>
                <w:spacing w:val="-1"/>
              </w:rPr>
              <w:t>开业条件后尽快取得业务许可证</w:t>
            </w:r>
          </w:p>
          <w:p>
            <w:pPr>
              <w:pStyle w:val="TableText"/>
              <w:ind w:left="30" w:right="39" w:firstLine="29"/>
              <w:spacing w:before="21" w:line="236" w:lineRule="auto"/>
              <w:jc w:val="both"/>
              <w:rPr/>
            </w:pPr>
            <w:r>
              <w:rPr/>
              <w:t>15.对受疫情影响严重地区的证券基金期货经营机构，在保持</w:t>
            </w:r>
            <w:r>
              <w:rPr>
                <w:spacing w:val="10"/>
              </w:rPr>
              <w:t xml:space="preserve"> </w:t>
            </w:r>
            <w:r>
              <w:rPr/>
              <w:t>有效监管的前提下，实施更加灵活的监管安</w:t>
            </w:r>
            <w:r>
              <w:rPr>
                <w:spacing w:val="-1"/>
              </w:rPr>
              <w:t>排，包括允许推迟</w:t>
            </w:r>
            <w:r>
              <w:rPr/>
              <w:t xml:space="preserve"> </w:t>
            </w:r>
            <w:r>
              <w:rPr/>
              <w:t>报送相关报表、实行许可备案电子化等。在采取</w:t>
            </w:r>
            <w:r>
              <w:rPr>
                <w:spacing w:val="-1"/>
              </w:rPr>
              <w:t>有效措施防范</w:t>
            </w:r>
            <w:r>
              <w:rPr/>
              <w:t xml:space="preserve"> </w:t>
            </w:r>
            <w:r>
              <w:rPr/>
              <w:t>风险和利益冲突并报告证监局后，允许在人</w:t>
            </w:r>
            <w:r>
              <w:rPr>
                <w:spacing w:val="-1"/>
              </w:rPr>
              <w:t>员配备、隔离制衡</w:t>
            </w:r>
            <w:r>
              <w:rPr/>
              <w:t xml:space="preserve"> </w:t>
            </w:r>
            <w:r>
              <w:rPr>
                <w:spacing w:val="-1"/>
              </w:rPr>
              <w:t>流程管控等方面灵活安排。</w:t>
            </w:r>
          </w:p>
          <w:p>
            <w:pPr>
              <w:pStyle w:val="TableText"/>
              <w:ind w:left="59"/>
              <w:spacing w:before="32" w:line="219" w:lineRule="auto"/>
              <w:rPr/>
            </w:pPr>
            <w:r>
              <w:rPr/>
              <w:t>16.优化沪深证券交易所的信息披露业务操作安排，适当延长</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777024" behindDoc="0" locked="0" layoutInCell="0" allowOverlap="1">
                <wp:simplePos x="0" y="0"/>
                <wp:positionH relativeFrom="page">
                  <wp:posOffset>458783</wp:posOffset>
                </wp:positionH>
                <wp:positionV relativeFrom="page">
                  <wp:posOffset>4388305</wp:posOffset>
                </wp:positionV>
                <wp:extent cx="228600" cy="214629"/>
                <wp:effectExtent l="0" t="0" r="0" b="0"/>
                <wp:wrapNone/>
                <wp:docPr id="102" name="TextBox 102"/>
                <wp:cNvGraphicFramePr/>
                <a:graphic>
                  <a:graphicData uri="http://schemas.microsoft.com/office/word/2010/wordprocessingShape">
                    <wps:wsp>
                      <wps:cNvSpPr txBox="1"/>
                      <wps:spPr>
                        <a:xfrm rot="5400000">
                          <a:off x="458783" y="4388305"/>
                          <a:ext cx="228600"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88" w:line="184" w:lineRule="auto"/>
                              <w:rPr>
                                <w:rFonts w:ascii="SimSun" w:hAnsi="SimSun" w:eastAsia="SimSun" w:cs="SimSun"/>
                                <w:sz w:val="23"/>
                                <w:szCs w:val="23"/>
                              </w:rPr>
                            </w:pPr>
                            <w:r>
                              <w:rPr>
                                <w:rFonts w:ascii="SimSun" w:hAnsi="SimSun" w:eastAsia="SimSun" w:cs="SimSun"/>
                                <w:sz w:val="23"/>
                                <w:szCs w:val="23"/>
                                <w:spacing w:val="-6"/>
                              </w:rPr>
                              <w:t>119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4" style="position:absolute;margin-left:36.1247pt;margin-top:345.536pt;mso-position-vertical-relative:page;mso-position-horizontal-relative:page;width:18pt;height:16.9pt;z-index:251777024;rotation:90;" o:allowincell="f" filled="false" stroked="false" type="#_x0000_t202">
                <v:fill on="false"/>
                <v:stroke on="false"/>
                <v:path/>
                <v:imagedata o:title=""/>
                <o:lock v:ext="edit" aspectratio="false"/>
                <v:textbox inset="0mm,0mm,0mm,0mm">
                  <w:txbxContent>
                    <w:p>
                      <w:pPr>
                        <w:ind w:left="20"/>
                        <w:spacing w:before="88" w:line="184" w:lineRule="auto"/>
                        <w:rPr>
                          <w:rFonts w:ascii="SimSun" w:hAnsi="SimSun" w:eastAsia="SimSun" w:cs="SimSun"/>
                          <w:sz w:val="23"/>
                          <w:szCs w:val="23"/>
                        </w:rPr>
                      </w:pPr>
                      <w:r>
                        <w:rPr>
                          <w:rFonts w:ascii="SimSun" w:hAnsi="SimSun" w:eastAsia="SimSun" w:cs="SimSun"/>
                          <w:sz w:val="23"/>
                          <w:szCs w:val="23"/>
                          <w:spacing w:val="-6"/>
                        </w:rPr>
                        <w:t>119</w:t>
                      </w:r>
                    </w:p>
                  </w:txbxContent>
                </v:textbox>
              </v:shape>
            </w:pict>
          </mc:Fallback>
        </mc:AlternateContent>
      </w:r>
      <w:r/>
    </w:p>
    <w:p>
      <w:pPr>
        <w:spacing w:before="46"/>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94"/>
      </w:tblGrid>
      <w:tr>
        <w:trPr>
          <w:trHeight w:val="514" w:hRule="atLeast"/>
        </w:trPr>
        <w:tc>
          <w:tcPr>
            <w:tcW w:w="295" w:type="dxa"/>
            <w:vAlign w:val="top"/>
            <w:textDirection w:val="tbRlV"/>
          </w:tcPr>
          <w:p>
            <w:pPr>
              <w:pStyle w:val="TableText"/>
              <w:ind w:left="47"/>
              <w:spacing w:before="80" w:line="217" w:lineRule="auto"/>
              <w:rPr>
                <w:sz w:val="14"/>
                <w:szCs w:val="14"/>
              </w:rPr>
            </w:pPr>
            <w:r>
              <w:rPr>
                <w:sz w:val="14"/>
                <w:szCs w:val="14"/>
              </w:rPr>
              <w:t>序</w:t>
            </w:r>
            <w:r>
              <w:rPr>
                <w:sz w:val="14"/>
                <w:szCs w:val="14"/>
                <w:spacing w:val="61"/>
              </w:rPr>
              <w:t xml:space="preserve"> </w:t>
            </w:r>
            <w:r>
              <w:rPr>
                <w:sz w:val="14"/>
                <w:szCs w:val="14"/>
              </w:rPr>
              <w:t>号</w:t>
            </w:r>
          </w:p>
        </w:tc>
        <w:tc>
          <w:tcPr>
            <w:tcW w:w="4125" w:type="dxa"/>
            <w:vAlign w:val="top"/>
          </w:tcPr>
          <w:p>
            <w:pPr>
              <w:pStyle w:val="TableText"/>
              <w:ind w:left="1769"/>
              <w:spacing w:before="190" w:line="219" w:lineRule="auto"/>
              <w:rPr>
                <w:sz w:val="14"/>
                <w:szCs w:val="14"/>
              </w:rPr>
            </w:pPr>
            <w:r>
              <w:rPr>
                <w:sz w:val="14"/>
                <w:szCs w:val="14"/>
                <w:spacing w:val="-2"/>
              </w:rPr>
              <w:t>主要内容</w:t>
            </w:r>
          </w:p>
        </w:tc>
        <w:tc>
          <w:tcPr>
            <w:tcW w:w="2507" w:type="dxa"/>
            <w:vAlign w:val="top"/>
          </w:tcPr>
          <w:p>
            <w:pPr>
              <w:pStyle w:val="TableText"/>
              <w:ind w:left="954"/>
              <w:spacing w:before="189" w:line="219" w:lineRule="auto"/>
              <w:rPr>
                <w:sz w:val="14"/>
                <w:szCs w:val="14"/>
              </w:rPr>
            </w:pPr>
            <w:r>
              <w:rPr>
                <w:sz w:val="14"/>
                <w:szCs w:val="14"/>
                <w:spacing w:val="-1"/>
              </w:rPr>
              <w:t>政策依据</w:t>
            </w:r>
          </w:p>
        </w:tc>
        <w:tc>
          <w:tcPr>
            <w:tcW w:w="949" w:type="dxa"/>
            <w:vAlign w:val="top"/>
          </w:tcPr>
          <w:p>
            <w:pPr>
              <w:pStyle w:val="TableText"/>
              <w:ind w:left="187"/>
              <w:spacing w:before="190" w:line="219" w:lineRule="auto"/>
              <w:rPr>
                <w:sz w:val="14"/>
                <w:szCs w:val="14"/>
              </w:rPr>
            </w:pPr>
            <w:r>
              <w:rPr>
                <w:sz w:val="14"/>
                <w:szCs w:val="14"/>
                <w:spacing w:val="-2"/>
              </w:rPr>
              <w:t>执行时间</w:t>
            </w:r>
          </w:p>
        </w:tc>
        <w:tc>
          <w:tcPr>
            <w:tcW w:w="979" w:type="dxa"/>
            <w:vAlign w:val="top"/>
          </w:tcPr>
          <w:p>
            <w:pPr>
              <w:pStyle w:val="TableText"/>
              <w:ind w:left="208"/>
              <w:spacing w:before="72" w:line="228" w:lineRule="exact"/>
              <w:rPr>
                <w:sz w:val="14"/>
                <w:szCs w:val="14"/>
              </w:rPr>
            </w:pPr>
            <w:r>
              <w:rPr>
                <w:sz w:val="14"/>
                <w:szCs w:val="14"/>
                <w:spacing w:val="-3"/>
                <w:position w:val="6"/>
              </w:rPr>
              <w:t>惠及企业</w:t>
            </w:r>
          </w:p>
          <w:p>
            <w:pPr>
              <w:pStyle w:val="TableText"/>
              <w:ind w:left="348"/>
              <w:spacing w:line="219" w:lineRule="auto"/>
              <w:rPr>
                <w:sz w:val="14"/>
                <w:szCs w:val="14"/>
              </w:rPr>
            </w:pPr>
            <w:r>
              <w:rPr>
                <w:sz w:val="14"/>
                <w:szCs w:val="14"/>
                <w:spacing w:val="-2"/>
              </w:rPr>
              <w:t>类型</w:t>
            </w:r>
          </w:p>
        </w:tc>
        <w:tc>
          <w:tcPr>
            <w:tcW w:w="390" w:type="dxa"/>
            <w:vAlign w:val="top"/>
          </w:tcPr>
          <w:p>
            <w:pPr>
              <w:pStyle w:val="TableText"/>
              <w:ind w:left="49" w:right="54"/>
              <w:spacing w:before="71" w:line="261"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7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56"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04"/>
              <w:spacing w:before="46" w:line="182" w:lineRule="auto"/>
              <w:rPr>
                <w:sz w:val="14"/>
                <w:szCs w:val="14"/>
              </w:rPr>
            </w:pPr>
            <w:r>
              <w:rPr>
                <w:sz w:val="14"/>
                <w:szCs w:val="14"/>
              </w:rPr>
              <w:t>5</w:t>
            </w:r>
          </w:p>
        </w:tc>
        <w:tc>
          <w:tcPr>
            <w:tcW w:w="4125" w:type="dxa"/>
            <w:vAlign w:val="top"/>
          </w:tcPr>
          <w:p>
            <w:pPr>
              <w:pStyle w:val="TableText"/>
              <w:ind w:left="20" w:right="307" w:firstLine="10"/>
              <w:spacing w:before="135" w:line="246" w:lineRule="auto"/>
              <w:jc w:val="both"/>
              <w:rPr>
                <w:sz w:val="14"/>
                <w:szCs w:val="14"/>
              </w:rPr>
            </w:pPr>
            <w:r>
              <w:rPr>
                <w:sz w:val="14"/>
                <w:szCs w:val="14"/>
              </w:rPr>
              <w:t>信息披露直通时段。支持市场主体线上办理业</w:t>
            </w:r>
            <w:r>
              <w:rPr>
                <w:sz w:val="14"/>
                <w:szCs w:val="14"/>
                <w:spacing w:val="-1"/>
              </w:rPr>
              <w:t>务，支持上市公</w:t>
            </w:r>
            <w:r>
              <w:rPr>
                <w:sz w:val="14"/>
                <w:szCs w:val="14"/>
              </w:rPr>
              <w:t xml:space="preserve"> </w:t>
            </w:r>
            <w:r>
              <w:rPr>
                <w:sz w:val="14"/>
                <w:szCs w:val="14"/>
              </w:rPr>
              <w:t>司召开线上股东大会或债券、资产支持证券持有人会议。</w:t>
            </w:r>
            <w:r>
              <w:rPr>
                <w:sz w:val="14"/>
                <w:szCs w:val="14"/>
                <w:spacing w:val="-1"/>
              </w:rPr>
              <w:t>律师</w:t>
            </w:r>
            <w:r>
              <w:rPr>
                <w:sz w:val="14"/>
                <w:szCs w:val="14"/>
              </w:rPr>
              <w:t xml:space="preserve"> </w:t>
            </w:r>
            <w:r>
              <w:rPr>
                <w:sz w:val="14"/>
                <w:szCs w:val="14"/>
              </w:rPr>
              <w:t>因疫情影响确实无法现场参会的，可以采取视频等方式见证股</w:t>
            </w:r>
            <w:r>
              <w:rPr>
                <w:sz w:val="14"/>
                <w:szCs w:val="14"/>
                <w:spacing w:val="6"/>
              </w:rPr>
              <w:t xml:space="preserve"> </w:t>
            </w:r>
            <w:r>
              <w:rPr>
                <w:sz w:val="14"/>
                <w:szCs w:val="14"/>
                <w:spacing w:val="-1"/>
              </w:rPr>
              <w:t>东大会、开展簿记建档工作。</w:t>
            </w:r>
          </w:p>
          <w:p>
            <w:pPr>
              <w:pStyle w:val="TableText"/>
              <w:ind w:left="30" w:right="235"/>
              <w:spacing w:before="33" w:line="245" w:lineRule="auto"/>
              <w:jc w:val="both"/>
              <w:rPr>
                <w:sz w:val="14"/>
                <w:szCs w:val="14"/>
              </w:rPr>
            </w:pPr>
            <w:r>
              <w:rPr>
                <w:sz w:val="14"/>
                <w:szCs w:val="14"/>
              </w:rPr>
              <w:t>17.对参与化解民营企业特别是上市民营企业流动性风险的证</w:t>
            </w:r>
            <w:r>
              <w:rPr>
                <w:sz w:val="14"/>
                <w:szCs w:val="14"/>
                <w:spacing w:val="1"/>
              </w:rPr>
              <w:t xml:space="preserve">   </w:t>
            </w:r>
            <w:r>
              <w:rPr>
                <w:sz w:val="14"/>
                <w:szCs w:val="14"/>
                <w:spacing w:val="2"/>
              </w:rPr>
              <w:t>券公司，在风控指标计算、私募基金子公司设立和产品备案、</w:t>
            </w:r>
            <w:r>
              <w:rPr>
                <w:sz w:val="14"/>
                <w:szCs w:val="14"/>
                <w:spacing w:val="14"/>
              </w:rPr>
              <w:t xml:space="preserve"> </w:t>
            </w:r>
            <w:r>
              <w:rPr>
                <w:sz w:val="14"/>
                <w:szCs w:val="14"/>
              </w:rPr>
              <w:t>分类评级等方面给予监管支持。</w:t>
            </w:r>
          </w:p>
          <w:p>
            <w:pPr>
              <w:pStyle w:val="TableText"/>
              <w:ind w:left="30"/>
              <w:spacing w:before="42" w:line="219" w:lineRule="auto"/>
              <w:rPr>
                <w:sz w:val="14"/>
                <w:szCs w:val="14"/>
              </w:rPr>
            </w:pPr>
            <w:r>
              <w:rPr>
                <w:sz w:val="14"/>
                <w:szCs w:val="14"/>
              </w:rPr>
              <w:t>18.沪深证券交易所免收上市公司2022年度上市初费、上市年费</w:t>
            </w:r>
          </w:p>
          <w:p>
            <w:pPr>
              <w:pStyle w:val="TableText"/>
              <w:ind w:left="20" w:firstLine="69"/>
              <w:spacing w:before="54" w:line="254" w:lineRule="auto"/>
              <w:rPr>
                <w:sz w:val="14"/>
                <w:szCs w:val="14"/>
              </w:rPr>
            </w:pPr>
            <w:r>
              <w:rPr>
                <w:sz w:val="14"/>
                <w:szCs w:val="14"/>
                <w:spacing w:val="-1"/>
              </w:rPr>
              <w:t>和股东大会网络投票服务费。北交所免收上市公司2022年上市年  </w:t>
            </w:r>
            <w:r>
              <w:rPr>
                <w:sz w:val="14"/>
                <w:szCs w:val="14"/>
                <w:spacing w:val="1"/>
              </w:rPr>
              <w:t>费。全国股转公司免收相关地区挂牌公司2022年挂牌初费和年费。</w:t>
            </w:r>
            <w:r>
              <w:rPr>
                <w:sz w:val="14"/>
                <w:szCs w:val="14"/>
                <w:spacing w:val="2"/>
              </w:rPr>
              <w:t xml:space="preserve"> </w:t>
            </w:r>
            <w:r>
              <w:rPr>
                <w:sz w:val="14"/>
                <w:szCs w:val="14"/>
                <w:spacing w:val="2"/>
              </w:rPr>
              <w:t>中国结算免收相关发行人2022年登记结算费</w:t>
            </w:r>
            <w:r>
              <w:rPr>
                <w:sz w:val="14"/>
                <w:szCs w:val="14"/>
                <w:spacing w:val="1"/>
              </w:rPr>
              <w:t>用。各期货交易所减  </w:t>
            </w:r>
            <w:r>
              <w:rPr>
                <w:sz w:val="14"/>
                <w:szCs w:val="14"/>
                <w:spacing w:val="-1"/>
              </w:rPr>
              <w:t>收相关期货经营机构手续费、减免席位费。支持各协会通过免收</w:t>
            </w:r>
            <w:r>
              <w:rPr>
                <w:sz w:val="14"/>
                <w:szCs w:val="14"/>
                <w:spacing w:val="2"/>
              </w:rPr>
              <w:t xml:space="preserve">    </w:t>
            </w:r>
            <w:r>
              <w:rPr>
                <w:sz w:val="14"/>
                <w:szCs w:val="14"/>
                <w:spacing w:val="1"/>
              </w:rPr>
              <w:t>减收会费、延期交纳会费、免费培训等方式，加大会员服务力度。</w:t>
            </w:r>
            <w:r>
              <w:rPr>
                <w:sz w:val="14"/>
                <w:szCs w:val="14"/>
                <w:spacing w:val="4"/>
              </w:rPr>
              <w:t xml:space="preserve"> </w:t>
            </w:r>
            <w:r>
              <w:rPr>
                <w:sz w:val="14"/>
                <w:szCs w:val="14"/>
              </w:rPr>
              <w:t>四、发挥行业机构作用，助力抗疫和复工复产</w:t>
            </w:r>
          </w:p>
          <w:p>
            <w:pPr>
              <w:pStyle w:val="TableText"/>
              <w:ind w:left="20" w:right="59" w:firstLine="39"/>
              <w:spacing w:before="44" w:line="245" w:lineRule="auto"/>
              <w:jc w:val="both"/>
              <w:rPr>
                <w:sz w:val="14"/>
                <w:szCs w:val="14"/>
              </w:rPr>
            </w:pPr>
            <w:r>
              <w:rPr>
                <w:sz w:val="14"/>
                <w:szCs w:val="14"/>
              </w:rPr>
              <w:t>19.鼓励证券公司积极发挥融资中介职能，支持受疫情影响严重地</w:t>
            </w:r>
            <w:r>
              <w:rPr>
                <w:sz w:val="14"/>
                <w:szCs w:val="14"/>
                <w:spacing w:val="4"/>
              </w:rPr>
              <w:t xml:space="preserve"> </w:t>
            </w:r>
            <w:r>
              <w:rPr>
                <w:sz w:val="14"/>
                <w:szCs w:val="14"/>
                <w:spacing w:val="3"/>
              </w:rPr>
              <w:t>区和行业开展股权融资和债券融资。引导证券公司与</w:t>
            </w:r>
            <w:r>
              <w:rPr>
                <w:sz w:val="14"/>
                <w:szCs w:val="14"/>
                <w:spacing w:val="2"/>
              </w:rPr>
              <w:t>股权质押到</w:t>
            </w:r>
            <w:r>
              <w:rPr>
                <w:sz w:val="14"/>
                <w:szCs w:val="14"/>
              </w:rPr>
              <w:t xml:space="preserve"> </w:t>
            </w:r>
            <w:r>
              <w:rPr>
                <w:sz w:val="14"/>
                <w:szCs w:val="14"/>
              </w:rPr>
              <w:t>期还款困难的客户，协商展期3至6个月。对</w:t>
            </w:r>
            <w:r>
              <w:rPr>
                <w:sz w:val="14"/>
                <w:szCs w:val="14"/>
                <w:spacing w:val="-1"/>
              </w:rPr>
              <w:t>于因疫情防控实施</w:t>
            </w:r>
          </w:p>
          <w:p>
            <w:pPr>
              <w:pStyle w:val="TableText"/>
              <w:spacing w:before="24" w:line="219" w:lineRule="auto"/>
              <w:jc w:val="right"/>
              <w:rPr>
                <w:sz w:val="14"/>
                <w:szCs w:val="14"/>
              </w:rPr>
            </w:pPr>
            <w:r>
              <w:rPr>
                <w:sz w:val="14"/>
                <w:szCs w:val="14"/>
                <w:spacing w:val="-3"/>
              </w:rPr>
              <w:t>隔离或者接受救治的融资融券客户，尽量减少强制平</w:t>
            </w:r>
            <w:r>
              <w:rPr>
                <w:sz w:val="14"/>
                <w:szCs w:val="14"/>
                <w:spacing w:val="-4"/>
              </w:rPr>
              <w:t>仓，柔性处理。</w:t>
            </w:r>
          </w:p>
          <w:p>
            <w:pPr>
              <w:pStyle w:val="TableText"/>
              <w:ind w:left="20" w:right="326"/>
              <w:spacing w:before="53"/>
              <w:jc w:val="both"/>
              <w:rPr>
                <w:sz w:val="14"/>
                <w:szCs w:val="14"/>
              </w:rPr>
            </w:pPr>
            <w:r>
              <w:rPr>
                <w:sz w:val="14"/>
                <w:szCs w:val="14"/>
              </w:rPr>
              <w:t>20.支持公募基金管理公司践行长期投资</w:t>
            </w:r>
            <w:r>
              <w:rPr>
                <w:sz w:val="14"/>
                <w:szCs w:val="14"/>
                <w:spacing w:val="-1"/>
              </w:rPr>
              <w:t>、价值投资、责任投</w:t>
            </w:r>
            <w:r>
              <w:rPr>
                <w:sz w:val="14"/>
                <w:szCs w:val="14"/>
              </w:rPr>
              <w:t xml:space="preserve">  </w:t>
            </w:r>
            <w:r>
              <w:rPr>
                <w:sz w:val="14"/>
                <w:szCs w:val="14"/>
                <w:spacing w:val="-1"/>
              </w:rPr>
              <w:t>资理念，积极以自有资金申购旗下基金产品，积极发挥专业投</w:t>
            </w:r>
            <w:r>
              <w:rPr>
                <w:sz w:val="14"/>
                <w:szCs w:val="14"/>
                <w:spacing w:val="14"/>
              </w:rPr>
              <w:t xml:space="preserve"> </w:t>
            </w:r>
            <w:r>
              <w:rPr>
                <w:sz w:val="14"/>
                <w:szCs w:val="14"/>
                <w:spacing w:val="-1"/>
              </w:rPr>
              <w:t>资者作用，引导更多社会资金流向抗疫相关企业</w:t>
            </w:r>
          </w:p>
          <w:p>
            <w:pPr>
              <w:pStyle w:val="TableText"/>
              <w:ind w:left="10" w:right="315" w:firstLine="10"/>
              <w:spacing w:before="54"/>
              <w:rPr>
                <w:sz w:val="14"/>
                <w:szCs w:val="14"/>
              </w:rPr>
            </w:pPr>
            <w:r>
              <w:rPr>
                <w:sz w:val="14"/>
                <w:szCs w:val="14"/>
              </w:rPr>
              <w:t>21.鼓励证券公司设立私募资产管理产品</w:t>
            </w:r>
            <w:r>
              <w:rPr>
                <w:sz w:val="14"/>
                <w:szCs w:val="14"/>
                <w:spacing w:val="-1"/>
              </w:rPr>
              <w:t>，通过私募基金子公</w:t>
            </w:r>
            <w:r>
              <w:rPr>
                <w:sz w:val="14"/>
                <w:szCs w:val="14"/>
              </w:rPr>
              <w:t xml:space="preserve">  </w:t>
            </w:r>
            <w:r>
              <w:rPr>
                <w:sz w:val="14"/>
                <w:szCs w:val="14"/>
              </w:rPr>
              <w:t>司按照市场化、法治化原则设立私募基金产品，对接相关企业</w:t>
            </w:r>
            <w:r>
              <w:rPr>
                <w:sz w:val="14"/>
                <w:szCs w:val="14"/>
                <w:spacing w:val="8"/>
              </w:rPr>
              <w:t xml:space="preserve"> </w:t>
            </w:r>
            <w:r>
              <w:rPr>
                <w:sz w:val="14"/>
                <w:szCs w:val="14"/>
                <w:spacing w:val="-1"/>
              </w:rPr>
              <w:t>融资需求，降低融资成本。</w:t>
            </w:r>
          </w:p>
          <w:p>
            <w:pPr>
              <w:pStyle w:val="TableText"/>
              <w:ind w:left="10" w:right="319" w:firstLine="10"/>
              <w:spacing w:before="54" w:line="246" w:lineRule="auto"/>
              <w:rPr>
                <w:sz w:val="14"/>
                <w:szCs w:val="14"/>
              </w:rPr>
            </w:pPr>
            <w:r>
              <w:rPr>
                <w:sz w:val="14"/>
                <w:szCs w:val="14"/>
              </w:rPr>
              <w:t>22.发挥期货市场作用，发挥期货避险功</w:t>
            </w:r>
            <w:r>
              <w:rPr>
                <w:sz w:val="14"/>
                <w:szCs w:val="14"/>
                <w:spacing w:val="-1"/>
              </w:rPr>
              <w:t>能，助力受疫情影吨</w:t>
            </w:r>
            <w:r>
              <w:rPr>
                <w:sz w:val="14"/>
                <w:szCs w:val="14"/>
              </w:rPr>
              <w:t xml:space="preserve">  </w:t>
            </w:r>
            <w:r>
              <w:rPr>
                <w:sz w:val="14"/>
                <w:szCs w:val="14"/>
              </w:rPr>
              <w:t>严重地区和行业企业风险管理。抓好产业客户培育活动，稳步</w:t>
            </w:r>
            <w:r>
              <w:rPr>
                <w:sz w:val="14"/>
                <w:szCs w:val="14"/>
                <w:spacing w:val="2"/>
              </w:rPr>
              <w:t xml:space="preserve"> </w:t>
            </w:r>
            <w:r>
              <w:rPr>
                <w:sz w:val="14"/>
                <w:szCs w:val="14"/>
              </w:rPr>
              <w:t>扩展“期货稳价订单”至沥青、低硫燃料油等能化期货品</w:t>
            </w:r>
            <w:r>
              <w:rPr>
                <w:sz w:val="14"/>
                <w:szCs w:val="14"/>
                <w:spacing w:val="-1"/>
              </w:rPr>
              <w:t>种。</w:t>
            </w:r>
            <w:r>
              <w:rPr>
                <w:sz w:val="14"/>
                <w:szCs w:val="14"/>
              </w:rPr>
              <w:t xml:space="preserve"> </w:t>
            </w:r>
            <w:r>
              <w:rPr>
                <w:sz w:val="14"/>
                <w:szCs w:val="14"/>
              </w:rPr>
              <w:t>对于在疫情期间服务受疫情影响严重地区和行业的中小微企业</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25" w:bottom="400" w:left="821" w:header="0" w:footer="0" w:gutter="0"/>
        </w:sectPr>
        <w:rPr/>
      </w:pPr>
    </w:p>
    <w:p>
      <w:pPr>
        <w:spacing w:before="41"/>
        <w:rPr/>
      </w:pPr>
      <w:r>
        <mc:AlternateContent xmlns:mc="http://schemas.openxmlformats.org/markup-compatibility/2006">
          <mc:Choice Requires="wps">
            <w:drawing>
              <wp:anchor distT="0" distB="0" distL="0" distR="0" simplePos="0" relativeHeight="25177804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04" name="TextBox 104"/>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6" style="position:absolute;margin-left:36.1352pt;margin-top:49.3939pt;mso-position-vertical-relative:page;mso-position-horizontal-relative:page;width:13.8pt;height:13pt;z-index:25177804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120</w:t>
                      </w:r>
                    </w:p>
                  </w:txbxContent>
                </v:textbox>
              </v:shape>
            </w:pict>
          </mc:Fallback>
        </mc:AlternateContent>
      </w:r>
      <w:r/>
    </w:p>
    <w:p>
      <w:pPr>
        <w:spacing w:before="41"/>
        <w:rPr/>
      </w:pPr>
      <w:r/>
    </w:p>
    <w:tbl>
      <w:tblPr>
        <w:tblStyle w:val="TableNormal"/>
        <w:tblW w:w="962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5"/>
        <w:gridCol w:w="2517"/>
        <w:gridCol w:w="969"/>
        <w:gridCol w:w="959"/>
        <w:gridCol w:w="380"/>
        <w:gridCol w:w="384"/>
      </w:tblGrid>
      <w:tr>
        <w:trPr>
          <w:trHeight w:val="514" w:hRule="atLeast"/>
        </w:trPr>
        <w:tc>
          <w:tcPr>
            <w:tcW w:w="285" w:type="dxa"/>
            <w:vAlign w:val="top"/>
            <w:textDirection w:val="tbRlV"/>
          </w:tcPr>
          <w:p>
            <w:pPr>
              <w:pStyle w:val="TableText"/>
              <w:ind w:left="67"/>
              <w:spacing w:before="70" w:line="217" w:lineRule="auto"/>
              <w:rPr/>
            </w:pPr>
            <w:r>
              <w:rPr>
                <w:spacing w:val="-2"/>
              </w:rPr>
              <w:t>序 号</w:t>
            </w:r>
          </w:p>
        </w:tc>
        <w:tc>
          <w:tcPr>
            <w:tcW w:w="4135" w:type="dxa"/>
            <w:vAlign w:val="top"/>
          </w:tcPr>
          <w:p>
            <w:pPr>
              <w:pStyle w:val="TableText"/>
              <w:ind w:left="1759"/>
              <w:spacing w:before="181" w:line="219" w:lineRule="auto"/>
              <w:rPr/>
            </w:pPr>
            <w:r>
              <w:rPr>
                <w:spacing w:val="-2"/>
              </w:rPr>
              <w:t>主要内容</w:t>
            </w:r>
          </w:p>
        </w:tc>
        <w:tc>
          <w:tcPr>
            <w:tcW w:w="2517" w:type="dxa"/>
            <w:vAlign w:val="top"/>
          </w:tcPr>
          <w:p>
            <w:pPr>
              <w:pStyle w:val="TableText"/>
              <w:ind w:left="954"/>
              <w:spacing w:before="180" w:line="219" w:lineRule="auto"/>
              <w:rPr/>
            </w:pPr>
            <w:r>
              <w:rPr>
                <w:spacing w:val="-1"/>
              </w:rPr>
              <w:t>政策依据</w:t>
            </w:r>
          </w:p>
        </w:tc>
        <w:tc>
          <w:tcPr>
            <w:tcW w:w="969" w:type="dxa"/>
            <w:vAlign w:val="top"/>
          </w:tcPr>
          <w:p>
            <w:pPr>
              <w:pStyle w:val="TableText"/>
              <w:ind w:left="178"/>
              <w:spacing w:before="181" w:line="219" w:lineRule="auto"/>
              <w:rPr/>
            </w:pPr>
            <w:r>
              <w:rPr>
                <w:spacing w:val="3"/>
              </w:rPr>
              <w:t>执行时间</w:t>
            </w:r>
          </w:p>
        </w:tc>
        <w:tc>
          <w:tcPr>
            <w:tcW w:w="959" w:type="dxa"/>
            <w:vAlign w:val="top"/>
          </w:tcPr>
          <w:p>
            <w:pPr>
              <w:pStyle w:val="TableText"/>
              <w:ind w:left="327" w:right="182" w:hanging="149"/>
              <w:spacing w:before="82" w:line="244" w:lineRule="auto"/>
              <w:rPr/>
            </w:pPr>
            <w:r>
              <w:rPr>
                <w:spacing w:val="-4"/>
              </w:rPr>
              <w:t>惠及企业</w:t>
            </w:r>
            <w:r>
              <w:rPr>
                <w:spacing w:val="2"/>
              </w:rPr>
              <w:t xml:space="preserve"> </w:t>
            </w:r>
            <w:r>
              <w:rPr>
                <w:spacing w:val="-2"/>
              </w:rPr>
              <w:t>类型</w:t>
            </w:r>
          </w:p>
        </w:tc>
        <w:tc>
          <w:tcPr>
            <w:tcW w:w="380" w:type="dxa"/>
            <w:vAlign w:val="top"/>
          </w:tcPr>
          <w:p>
            <w:pPr>
              <w:pStyle w:val="TableText"/>
              <w:ind w:left="39" w:right="35"/>
              <w:spacing w:before="8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81" w:line="246" w:lineRule="auto"/>
              <w:rPr/>
            </w:pPr>
            <w:r>
              <w:rPr>
                <w:spacing w:val="-3"/>
              </w:rPr>
              <w:t>政策</w:t>
            </w:r>
            <w:r>
              <w:rPr/>
              <w:t xml:space="preserve"> </w:t>
            </w:r>
            <w:r>
              <w:rPr>
                <w:spacing w:val="-4"/>
              </w:rPr>
              <w:t>形式</w:t>
            </w:r>
          </w:p>
        </w:tc>
      </w:tr>
      <w:tr>
        <w:trPr>
          <w:trHeight w:val="1657" w:hRule="atLeast"/>
        </w:trPr>
        <w:tc>
          <w:tcPr>
            <w:tcW w:w="285"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94"/>
              <w:spacing w:before="49" w:line="182" w:lineRule="auto"/>
              <w:rPr/>
            </w:pPr>
            <w:r>
              <w:rPr/>
              <w:t>5</w:t>
            </w:r>
          </w:p>
        </w:tc>
        <w:tc>
          <w:tcPr>
            <w:tcW w:w="4135" w:type="dxa"/>
            <w:vAlign w:val="top"/>
          </w:tcPr>
          <w:p>
            <w:pPr>
              <w:pStyle w:val="TableText"/>
              <w:ind w:left="30"/>
              <w:spacing w:before="75" w:line="218" w:lineRule="auto"/>
              <w:rPr/>
            </w:pPr>
            <w:r>
              <w:rPr>
                <w:spacing w:val="-1"/>
              </w:rPr>
              <w:t>表现突出的期货公司，在分类评价中予以加分。</w:t>
            </w:r>
          </w:p>
          <w:p>
            <w:pPr>
              <w:pStyle w:val="TableText"/>
              <w:ind w:left="10" w:firstLine="58"/>
              <w:spacing w:before="23" w:line="241" w:lineRule="auto"/>
              <w:rPr/>
            </w:pPr>
            <w:r>
              <w:rPr>
                <w:spacing w:val="-3"/>
              </w:rPr>
              <w:t>23.持续推动资本市场更多对外开放措施落实落地，及时了解</w:t>
            </w:r>
            <w:r>
              <w:rPr>
                <w:spacing w:val="2"/>
              </w:rPr>
              <w:t xml:space="preserve">   </w:t>
            </w:r>
            <w:r>
              <w:rPr>
                <w:spacing w:val="-3"/>
              </w:rPr>
              <w:t>回应境外投资者诉求和关切，保障外资机构同等适用支持</w:t>
            </w:r>
            <w:r>
              <w:rPr>
                <w:spacing w:val="-4"/>
              </w:rPr>
              <w:t>政策。</w:t>
            </w:r>
            <w:r>
              <w:rPr/>
              <w:t xml:space="preserve"> </w:t>
            </w:r>
            <w:r>
              <w:rPr>
                <w:spacing w:val="-2"/>
              </w:rPr>
              <w:t>证监会系统各单位、各部门要进一步提高政治</w:t>
            </w:r>
            <w:r>
              <w:rPr>
                <w:spacing w:val="-3"/>
              </w:rPr>
              <w:t>站位，切实把思  </w:t>
            </w:r>
            <w:r>
              <w:rPr>
                <w:spacing w:val="-2"/>
              </w:rPr>
              <w:t>想和行动统一到党中央、国务院决策部署上来</w:t>
            </w:r>
            <w:r>
              <w:rPr>
                <w:spacing w:val="-3"/>
              </w:rPr>
              <w:t>，积极开展调研  </w:t>
            </w:r>
            <w:r>
              <w:rPr>
                <w:spacing w:val="-2"/>
              </w:rPr>
              <w:t>走访，了解市场主体困难和诉求，加强与其他</w:t>
            </w:r>
            <w:r>
              <w:rPr>
                <w:spacing w:val="-3"/>
              </w:rPr>
              <w:t>部门的沟通协作  </w:t>
            </w:r>
            <w:r>
              <w:rPr>
                <w:spacing w:val="-2"/>
              </w:rPr>
              <w:t>共同帮助企业解决实际问题，扎实推动各项政</w:t>
            </w:r>
            <w:r>
              <w:rPr>
                <w:spacing w:val="-3"/>
              </w:rPr>
              <w:t>策落地见效，支  </w:t>
            </w:r>
            <w:r>
              <w:rPr>
                <w:spacing w:val="-2"/>
              </w:rPr>
              <w:t>持企业克服疫情影响，快速走出困境，实现更好发展。</w:t>
            </w:r>
          </w:p>
        </w:tc>
        <w:tc>
          <w:tcPr>
            <w:tcW w:w="2517" w:type="dxa"/>
            <w:vAlign w:val="top"/>
          </w:tcPr>
          <w:p>
            <w:pPr>
              <w:rPr>
                <w:rFonts w:ascii="Arial"/>
                <w:sz w:val="21"/>
              </w:rPr>
            </w:pPr>
            <w:r/>
          </w:p>
        </w:tc>
        <w:tc>
          <w:tcPr>
            <w:tcW w:w="969" w:type="dxa"/>
            <w:vAlign w:val="top"/>
          </w:tcPr>
          <w:p>
            <w:pPr>
              <w:rPr>
                <w:rFonts w:ascii="Arial"/>
                <w:sz w:val="21"/>
              </w:rPr>
            </w:pPr>
            <w:r/>
          </w:p>
        </w:tc>
        <w:tc>
          <w:tcPr>
            <w:tcW w:w="959" w:type="dxa"/>
            <w:vAlign w:val="top"/>
          </w:tcPr>
          <w:p>
            <w:pPr>
              <w:rPr>
                <w:rFonts w:ascii="Arial"/>
                <w:sz w:val="21"/>
              </w:rPr>
            </w:pPr>
            <w:r/>
          </w:p>
        </w:tc>
        <w:tc>
          <w:tcPr>
            <w:tcW w:w="380" w:type="dxa"/>
            <w:vAlign w:val="top"/>
          </w:tcPr>
          <w:p>
            <w:pPr>
              <w:rPr>
                <w:rFonts w:ascii="Arial"/>
                <w:sz w:val="21"/>
              </w:rPr>
            </w:pPr>
            <w:r/>
          </w:p>
        </w:tc>
        <w:tc>
          <w:tcPr>
            <w:tcW w:w="384" w:type="dxa"/>
            <w:vAlign w:val="top"/>
          </w:tcPr>
          <w:p>
            <w:pPr>
              <w:rPr>
                <w:rFonts w:ascii="Arial"/>
                <w:sz w:val="21"/>
              </w:rPr>
            </w:pPr>
            <w:r/>
          </w:p>
        </w:tc>
      </w:tr>
      <w:tr>
        <w:trPr>
          <w:trHeight w:val="4039" w:hRule="atLeast"/>
        </w:trPr>
        <w:tc>
          <w:tcPr>
            <w:tcW w:w="285"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94"/>
              <w:spacing w:before="49" w:line="183" w:lineRule="auto"/>
              <w:rPr/>
            </w:pPr>
            <w:r>
              <w:rPr/>
              <w:t>6</w:t>
            </w:r>
          </w:p>
        </w:tc>
        <w:tc>
          <w:tcPr>
            <w:tcW w:w="4135" w:type="dxa"/>
            <w:vAlign w:val="top"/>
          </w:tcPr>
          <w:p>
            <w:pPr>
              <w:pStyle w:val="TableText"/>
              <w:ind w:left="40" w:right="99" w:firstLine="69"/>
              <w:spacing w:before="60" w:line="236" w:lineRule="auto"/>
              <w:rPr/>
            </w:pPr>
            <w:r>
              <w:rPr/>
              <w:t>对于2022年第四季度到期的、因新冠肺炎疫情影响暂时遇困</w:t>
            </w:r>
            <w:r>
              <w:rPr>
                <w:spacing w:val="14"/>
              </w:rPr>
              <w:t xml:space="preserve"> </w:t>
            </w:r>
            <w:r>
              <w:rPr>
                <w:spacing w:val="1"/>
              </w:rPr>
              <w:t>的小微企业贷款(含个体工商户和小微企业主经营性贷款),</w:t>
            </w:r>
          </w:p>
          <w:p>
            <w:pPr>
              <w:pStyle w:val="TableText"/>
              <w:ind w:left="30"/>
              <w:spacing w:before="25" w:line="219" w:lineRule="auto"/>
              <w:rPr/>
            </w:pPr>
            <w:r>
              <w:rPr/>
              <w:t>还本付息日期原则上最长可延至2023年6月3</w:t>
            </w:r>
            <w:r>
              <w:rPr>
                <w:spacing w:val="-1"/>
              </w:rPr>
              <w:t>0日。延期贷款</w:t>
            </w:r>
          </w:p>
          <w:p>
            <w:pPr>
              <w:pStyle w:val="TableText"/>
              <w:ind w:left="20" w:right="50" w:firstLine="10"/>
              <w:spacing w:before="18" w:line="244" w:lineRule="auto"/>
              <w:rPr/>
            </w:pPr>
            <w:r>
              <w:rPr>
                <w:spacing w:val="-1"/>
              </w:rPr>
              <w:t>正常计息，免收罚息。各银行业金融机构要坚持实质性风险判</w:t>
            </w:r>
            <w:r>
              <w:rPr>
                <w:spacing w:val="17"/>
              </w:rPr>
              <w:t xml:space="preserve"> </w:t>
            </w:r>
            <w:r>
              <w:rPr/>
              <w:t>断，及时调整信贷管理系统，不单独因疫情因素下调贷</w:t>
            </w:r>
            <w:r>
              <w:rPr>
                <w:spacing w:val="-1"/>
              </w:rPr>
              <w:t>款风险</w:t>
            </w:r>
            <w:r>
              <w:rPr/>
              <w:t xml:space="preserve"> </w:t>
            </w:r>
            <w:r>
              <w:rPr/>
              <w:t>分类，不影响征信记录，并完善贷款延期还本付息相关尽职免</w:t>
            </w:r>
            <w:r>
              <w:rPr>
                <w:spacing w:val="1"/>
              </w:rPr>
              <w:t xml:space="preserve"> </w:t>
            </w:r>
            <w:r>
              <w:rPr/>
              <w:t>责规定。银行业金融机构要创新延期贷款产品和服务，</w:t>
            </w:r>
            <w:r>
              <w:rPr>
                <w:spacing w:val="-1"/>
              </w:rPr>
              <w:t>强化金</w:t>
            </w:r>
            <w:r>
              <w:rPr/>
              <w:t xml:space="preserve"> </w:t>
            </w:r>
            <w:r>
              <w:rPr/>
              <w:t>融科技赋能，提前对接企业延期需求，为企业提供差异化贷款 </w:t>
            </w:r>
            <w:r>
              <w:rPr/>
              <w:t>延期方式、线上续贷产品和贷款延期线上办理渠道。在有效防</w:t>
            </w:r>
            <w:r>
              <w:rPr>
                <w:spacing w:val="2"/>
              </w:rPr>
              <w:t xml:space="preserve"> </w:t>
            </w:r>
            <w:r>
              <w:rPr/>
              <w:t>控风险的前提下，对于缺乏部分材料的贷款延期申请可“容缺</w:t>
            </w:r>
            <w:r>
              <w:rPr>
                <w:spacing w:val="3"/>
              </w:rPr>
              <w:t xml:space="preserve"> </w:t>
            </w:r>
            <w:r>
              <w:rPr>
                <w:spacing w:val="1"/>
              </w:rPr>
              <w:t>办理”,事后补齐。同时，银行业金融机构要加大政策宣传解</w:t>
            </w:r>
            <w:r>
              <w:rPr>
                <w:spacing w:val="13"/>
              </w:rPr>
              <w:t xml:space="preserve"> </w:t>
            </w:r>
            <w:r>
              <w:rPr/>
              <w:t>读力度，及时公示办理条件、所需材料、办理流程及办理时限</w:t>
            </w:r>
            <w:r>
              <w:rPr>
                <w:spacing w:val="3"/>
              </w:rPr>
              <w:t xml:space="preserve"> </w:t>
            </w:r>
            <w:r>
              <w:rPr>
                <w:spacing w:val="-1"/>
              </w:rPr>
              <w:t>提高小微企业办理贷款延期的便利度。</w:t>
            </w:r>
          </w:p>
          <w:p>
            <w:pPr>
              <w:pStyle w:val="TableText"/>
              <w:ind w:left="30" w:firstLine="9"/>
              <w:spacing w:before="21" w:line="229" w:lineRule="auto"/>
              <w:jc w:val="both"/>
              <w:rPr/>
            </w:pPr>
            <w:r>
              <w:rPr>
                <w:spacing w:val="-12"/>
              </w:rPr>
              <w:t>为充分调动银行业金融机构的积极性，</w:t>
            </w:r>
            <w:r>
              <w:rPr>
                <w:spacing w:val="7"/>
              </w:rPr>
              <w:t xml:space="preserve">    </w:t>
            </w:r>
            <w:r>
              <w:rPr>
                <w:spacing w:val="-12"/>
              </w:rPr>
              <w:t>《通知》</w:t>
            </w:r>
            <w:r>
              <w:rPr>
                <w:spacing w:val="-13"/>
              </w:rPr>
              <w:t>提出，人民银</w:t>
            </w:r>
            <w:r>
              <w:rPr>
                <w:spacing w:val="1"/>
              </w:rPr>
              <w:t xml:space="preserve"> </w:t>
            </w:r>
            <w:r>
              <w:rPr>
                <w:spacing w:val="-2"/>
              </w:rPr>
              <w:t>行综合运用多种货币政策工具，保持银行体系流动性合理充裕</w:t>
            </w:r>
            <w:r>
              <w:rPr>
                <w:spacing w:val="7"/>
              </w:rPr>
              <w:t xml:space="preserve">  </w:t>
            </w:r>
            <w:r>
              <w:rPr>
                <w:spacing w:val="1"/>
              </w:rPr>
              <w:t>金融监管部门落实好小微企业不良贷款容忍度等差异化政策；</w:t>
            </w:r>
          </w:p>
          <w:p>
            <w:pPr>
              <w:pStyle w:val="TableText"/>
              <w:ind w:left="30" w:right="51" w:firstLine="79"/>
              <w:spacing w:before="41" w:line="233" w:lineRule="auto"/>
              <w:jc w:val="both"/>
              <w:rPr/>
            </w:pPr>
            <w:r>
              <w:rPr/>
              <w:t>各级财政部门在考核国有控股和参股的银行</w:t>
            </w:r>
            <w:r>
              <w:rPr>
                <w:spacing w:val="-1"/>
              </w:rPr>
              <w:t>业金融机构2022</w:t>
            </w:r>
            <w:r>
              <w:rPr/>
              <w:t xml:space="preserve">  </w:t>
            </w:r>
            <w:r>
              <w:rPr/>
              <w:t>年经营绩效时，应充分考虑延期还本付息政</w:t>
            </w:r>
            <w:r>
              <w:rPr>
                <w:spacing w:val="-1"/>
              </w:rPr>
              <w:t>策的影响，给予合</w:t>
            </w:r>
            <w:r>
              <w:rPr/>
              <w:t xml:space="preserve"> </w:t>
            </w:r>
            <w:r>
              <w:rPr>
                <w:spacing w:val="-1"/>
              </w:rPr>
              <w:t>理调整和评价。同时，鼓励政府性融资担保机构对有贷款延期</w:t>
            </w:r>
            <w:r>
              <w:rPr>
                <w:spacing w:val="18"/>
              </w:rPr>
              <w:t xml:space="preserve"> </w:t>
            </w:r>
            <w:r>
              <w:rPr/>
              <w:t>需求的企业延长担保期限，继续提供增信支持。</w:t>
            </w:r>
          </w:p>
        </w:tc>
        <w:tc>
          <w:tcPr>
            <w:tcW w:w="2517" w:type="dxa"/>
            <w:vAlign w:val="top"/>
          </w:tcPr>
          <w:p>
            <w:pPr>
              <w:pStyle w:val="TableText"/>
              <w:ind w:left="124"/>
              <w:spacing w:before="59" w:line="219" w:lineRule="auto"/>
              <w:rPr/>
            </w:pPr>
            <w:r>
              <w:rPr>
                <w:spacing w:val="-1"/>
              </w:rPr>
              <w:t>人民银行银保监会财政部发展改革</w:t>
            </w:r>
          </w:p>
          <w:p>
            <w:pPr>
              <w:pStyle w:val="TableText"/>
              <w:ind w:left="44" w:right="31" w:firstLine="80"/>
              <w:spacing w:before="43" w:line="252" w:lineRule="auto"/>
              <w:rPr/>
            </w:pPr>
            <w:r>
              <w:rPr>
                <w:spacing w:val="-1"/>
              </w:rPr>
              <w:t>委工业和信息化部市场监管总局联</w:t>
            </w:r>
            <w:r>
              <w:rPr>
                <w:spacing w:val="4"/>
              </w:rPr>
              <w:t xml:space="preserve">  </w:t>
            </w:r>
            <w:r>
              <w:rPr/>
              <w:t>合印发《关于进一步加大对小微企业</w:t>
            </w:r>
            <w:r>
              <w:rPr>
                <w:spacing w:val="2"/>
              </w:rPr>
              <w:t xml:space="preserve"> </w:t>
            </w:r>
            <w:r>
              <w:rPr>
                <w:spacing w:val="1"/>
              </w:rPr>
              <w:t>贷款延期还本付息支持力度的通知》</w:t>
            </w:r>
            <w:r>
              <w:rPr>
                <w:spacing w:val="13"/>
              </w:rPr>
              <w:t xml:space="preserve"> </w:t>
            </w:r>
            <w:r>
              <w:rPr>
                <w:spacing w:val="-1"/>
              </w:rPr>
              <w:t>银发〔2022〕252号</w:t>
            </w:r>
          </w:p>
        </w:tc>
        <w:tc>
          <w:tcPr>
            <w:tcW w:w="969" w:type="dxa"/>
            <w:vAlign w:val="top"/>
          </w:tcPr>
          <w:p>
            <w:pPr>
              <w:pStyle w:val="TableText"/>
              <w:ind w:left="17" w:right="160"/>
              <w:spacing w:before="60" w:line="227" w:lineRule="auto"/>
              <w:rPr/>
            </w:pPr>
            <w:r>
              <w:rPr>
                <w:spacing w:val="3"/>
              </w:rPr>
              <w:t>2022年11月</w:t>
            </w:r>
            <w:r>
              <w:rPr>
                <w:spacing w:val="5"/>
              </w:rPr>
              <w:t xml:space="preserve"> </w:t>
            </w:r>
            <w:r>
              <w:rPr>
                <w:spacing w:val="-2"/>
              </w:rPr>
              <w:t>8日起</w:t>
            </w:r>
          </w:p>
        </w:tc>
        <w:tc>
          <w:tcPr>
            <w:tcW w:w="959" w:type="dxa"/>
            <w:vAlign w:val="top"/>
          </w:tcPr>
          <w:p>
            <w:pPr>
              <w:pStyle w:val="TableText"/>
              <w:ind w:left="178"/>
              <w:spacing w:before="50" w:line="219" w:lineRule="auto"/>
              <w:rPr/>
            </w:pPr>
            <w:r>
              <w:rPr>
                <w:spacing w:val="-2"/>
              </w:rPr>
              <w:t>小微企业</w:t>
            </w:r>
          </w:p>
        </w:tc>
        <w:tc>
          <w:tcPr>
            <w:tcW w:w="380" w:type="dxa"/>
            <w:vAlign w:val="top"/>
          </w:tcPr>
          <w:p>
            <w:pPr>
              <w:pStyle w:val="TableText"/>
              <w:ind w:left="39" w:right="35"/>
              <w:spacing w:before="50" w:line="241" w:lineRule="auto"/>
              <w:rPr/>
            </w:pPr>
            <w:r>
              <w:rPr>
                <w:spacing w:val="-5"/>
              </w:rPr>
              <w:t>行政</w:t>
            </w:r>
            <w:r>
              <w:rPr/>
              <w:t xml:space="preserve"> </w:t>
            </w:r>
            <w:r>
              <w:rPr>
                <w:spacing w:val="-3"/>
              </w:rPr>
              <w:t>通知</w:t>
            </w:r>
          </w:p>
        </w:tc>
        <w:tc>
          <w:tcPr>
            <w:tcW w:w="384" w:type="dxa"/>
            <w:vAlign w:val="top"/>
          </w:tcPr>
          <w:p>
            <w:pPr>
              <w:pStyle w:val="TableText"/>
              <w:ind w:left="40" w:right="39"/>
              <w:spacing w:before="40"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79072" behindDoc="0" locked="0" layoutInCell="0" allowOverlap="1">
                <wp:simplePos x="0" y="0"/>
                <wp:positionH relativeFrom="page">
                  <wp:posOffset>471551</wp:posOffset>
                </wp:positionH>
                <wp:positionV relativeFrom="page">
                  <wp:posOffset>4381932</wp:posOffset>
                </wp:positionV>
                <wp:extent cx="203834" cy="215900"/>
                <wp:effectExtent l="0" t="0" r="0" b="0"/>
                <wp:wrapNone/>
                <wp:docPr id="106" name="TextBox 106"/>
                <wp:cNvGraphicFramePr/>
                <a:graphic>
                  <a:graphicData uri="http://schemas.microsoft.com/office/word/2010/wordprocessingShape">
                    <wps:wsp>
                      <wps:cNvSpPr txBox="1"/>
                      <wps:spPr>
                        <a:xfrm rot="5400000">
                          <a:off x="471551" y="4381932"/>
                          <a:ext cx="203834" cy="2159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0" w:line="184" w:lineRule="auto"/>
                              <w:jc w:val="right"/>
                              <w:rPr>
                                <w:rFonts w:ascii="SimSun" w:hAnsi="SimSun" w:eastAsia="SimSun" w:cs="SimSun"/>
                                <w:sz w:val="23"/>
                                <w:szCs w:val="23"/>
                              </w:rPr>
                            </w:pPr>
                            <w:r>
                              <w:rPr>
                                <w:rFonts w:ascii="SimSun" w:hAnsi="SimSun" w:eastAsia="SimSun" w:cs="SimSun"/>
                                <w:sz w:val="23"/>
                                <w:szCs w:val="23"/>
                                <w:spacing w:val="-22"/>
                              </w:rPr>
                              <w:t>121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8" style="position:absolute;margin-left:37.13pt;margin-top:345.034pt;mso-position-vertical-relative:page;mso-position-horizontal-relative:page;width:16.05pt;height:17pt;z-index:251779072;rotation:90;" o:allowincell="f" filled="false" stroked="false" type="#_x0000_t202">
                <v:fill on="false"/>
                <v:stroke on="false"/>
                <v:path/>
                <v:imagedata o:title=""/>
                <o:lock v:ext="edit" aspectratio="false"/>
                <v:textbox inset="0mm,0mm,0mm,0mm">
                  <w:txbxContent>
                    <w:p>
                      <w:pPr>
                        <w:spacing w:before="90" w:line="184" w:lineRule="auto"/>
                        <w:jc w:val="right"/>
                        <w:rPr>
                          <w:rFonts w:ascii="SimSun" w:hAnsi="SimSun" w:eastAsia="SimSun" w:cs="SimSun"/>
                          <w:sz w:val="23"/>
                          <w:szCs w:val="23"/>
                        </w:rPr>
                      </w:pPr>
                      <w:r>
                        <w:rPr>
                          <w:rFonts w:ascii="SimSun" w:hAnsi="SimSun" w:eastAsia="SimSun" w:cs="SimSun"/>
                          <w:sz w:val="23"/>
                          <w:szCs w:val="23"/>
                          <w:spacing w:val="-22"/>
                        </w:rPr>
                        <w:t>121</w:t>
                      </w:r>
                    </w:p>
                  </w:txbxContent>
                </v:textbox>
              </v:shape>
            </w:pict>
          </mc:Fallback>
        </mc:AlternateContent>
      </w:r>
      <w:r/>
    </w:p>
    <w:p>
      <w:pPr>
        <w:spacing w:before="51"/>
        <w:rPr/>
      </w:pPr>
      <w:r/>
    </w:p>
    <w:tbl>
      <w:tblPr>
        <w:tblStyle w:val="TableNormal"/>
        <w:tblW w:w="9649" w:type="dxa"/>
        <w:tblInd w:w="29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16"/>
        <w:gridCol w:w="2527"/>
        <w:gridCol w:w="959"/>
        <w:gridCol w:w="969"/>
        <w:gridCol w:w="389"/>
        <w:gridCol w:w="394"/>
      </w:tblGrid>
      <w:tr>
        <w:trPr>
          <w:trHeight w:val="494" w:hRule="atLeast"/>
        </w:trPr>
        <w:tc>
          <w:tcPr>
            <w:tcW w:w="295" w:type="dxa"/>
            <w:vAlign w:val="top"/>
            <w:textDirection w:val="tbRlV"/>
          </w:tcPr>
          <w:p>
            <w:pPr>
              <w:pStyle w:val="TableText"/>
              <w:ind w:left="47"/>
              <w:spacing w:before="80" w:line="217" w:lineRule="auto"/>
              <w:rPr>
                <w:sz w:val="14"/>
                <w:szCs w:val="14"/>
              </w:rPr>
            </w:pPr>
            <w:r>
              <w:rPr>
                <w:sz w:val="14"/>
                <w:szCs w:val="14"/>
              </w:rPr>
              <w:t>序</w:t>
            </w:r>
            <w:r>
              <w:rPr>
                <w:sz w:val="14"/>
                <w:szCs w:val="14"/>
                <w:spacing w:val="41"/>
              </w:rPr>
              <w:t xml:space="preserve"> </w:t>
            </w:r>
            <w:r>
              <w:rPr>
                <w:sz w:val="14"/>
                <w:szCs w:val="14"/>
              </w:rPr>
              <w:t>号</w:t>
            </w:r>
          </w:p>
        </w:tc>
        <w:tc>
          <w:tcPr>
            <w:tcW w:w="4116" w:type="dxa"/>
            <w:vAlign w:val="top"/>
          </w:tcPr>
          <w:p>
            <w:pPr>
              <w:pStyle w:val="TableText"/>
              <w:ind w:left="1769"/>
              <w:spacing w:before="180" w:line="219" w:lineRule="auto"/>
              <w:rPr>
                <w:sz w:val="14"/>
                <w:szCs w:val="14"/>
              </w:rPr>
            </w:pPr>
            <w:r>
              <w:rPr>
                <w:sz w:val="14"/>
                <w:szCs w:val="14"/>
                <w:spacing w:val="-2"/>
              </w:rPr>
              <w:t>主要内容</w:t>
            </w:r>
          </w:p>
        </w:tc>
        <w:tc>
          <w:tcPr>
            <w:tcW w:w="2527" w:type="dxa"/>
            <w:vAlign w:val="top"/>
          </w:tcPr>
          <w:p>
            <w:pPr>
              <w:pStyle w:val="TableText"/>
              <w:ind w:left="973"/>
              <w:spacing w:before="179" w:line="219" w:lineRule="auto"/>
              <w:rPr>
                <w:sz w:val="14"/>
                <w:szCs w:val="14"/>
              </w:rPr>
            </w:pPr>
            <w:r>
              <w:rPr>
                <w:sz w:val="14"/>
                <w:szCs w:val="14"/>
                <w:spacing w:val="-1"/>
              </w:rPr>
              <w:t>政策依据</w:t>
            </w:r>
          </w:p>
        </w:tc>
        <w:tc>
          <w:tcPr>
            <w:tcW w:w="959" w:type="dxa"/>
            <w:vAlign w:val="top"/>
          </w:tcPr>
          <w:p>
            <w:pPr>
              <w:pStyle w:val="TableText"/>
              <w:ind w:left="187"/>
              <w:spacing w:before="180" w:line="219" w:lineRule="auto"/>
              <w:rPr>
                <w:sz w:val="14"/>
                <w:szCs w:val="14"/>
              </w:rPr>
            </w:pPr>
            <w:r>
              <w:rPr>
                <w:sz w:val="14"/>
                <w:szCs w:val="14"/>
                <w:spacing w:val="-2"/>
              </w:rPr>
              <w:t>执行时间</w:t>
            </w:r>
          </w:p>
        </w:tc>
        <w:tc>
          <w:tcPr>
            <w:tcW w:w="969" w:type="dxa"/>
            <w:vAlign w:val="top"/>
          </w:tcPr>
          <w:p>
            <w:pPr>
              <w:pStyle w:val="TableText"/>
              <w:ind w:left="197"/>
              <w:spacing w:before="72" w:line="218" w:lineRule="exact"/>
              <w:rPr>
                <w:sz w:val="14"/>
                <w:szCs w:val="14"/>
              </w:rPr>
            </w:pPr>
            <w:r>
              <w:rPr>
                <w:sz w:val="14"/>
                <w:szCs w:val="14"/>
                <w:spacing w:val="-3"/>
                <w:position w:val="5"/>
              </w:rPr>
              <w:t>惠及企业</w:t>
            </w:r>
          </w:p>
          <w:p>
            <w:pPr>
              <w:pStyle w:val="TableText"/>
              <w:ind w:left="337"/>
              <w:spacing w:line="219" w:lineRule="auto"/>
              <w:rPr>
                <w:sz w:val="14"/>
                <w:szCs w:val="14"/>
              </w:rPr>
            </w:pPr>
            <w:r>
              <w:rPr>
                <w:sz w:val="14"/>
                <w:szCs w:val="14"/>
                <w:spacing w:val="-2"/>
              </w:rPr>
              <w:t>类型</w:t>
            </w:r>
          </w:p>
        </w:tc>
        <w:tc>
          <w:tcPr>
            <w:tcW w:w="389" w:type="dxa"/>
            <w:vAlign w:val="top"/>
          </w:tcPr>
          <w:p>
            <w:pPr>
              <w:pStyle w:val="TableText"/>
              <w:ind w:left="48" w:right="54"/>
              <w:spacing w:before="61" w:line="261"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6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25" w:hRule="atLeast"/>
        </w:trPr>
        <w:tc>
          <w:tcPr>
            <w:tcW w:w="295"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04"/>
              <w:spacing w:before="45" w:line="182" w:lineRule="auto"/>
              <w:rPr>
                <w:sz w:val="14"/>
                <w:szCs w:val="14"/>
              </w:rPr>
            </w:pPr>
            <w:r>
              <w:rPr>
                <w:sz w:val="14"/>
                <w:szCs w:val="14"/>
              </w:rPr>
              <w:t>7</w:t>
            </w:r>
          </w:p>
        </w:tc>
        <w:tc>
          <w:tcPr>
            <w:tcW w:w="4116" w:type="dxa"/>
            <w:vAlign w:val="top"/>
          </w:tcPr>
          <w:p>
            <w:pPr>
              <w:pStyle w:val="TableText"/>
              <w:ind w:left="30" w:right="291"/>
              <w:spacing w:before="75" w:line="263" w:lineRule="auto"/>
              <w:jc w:val="both"/>
              <w:rPr>
                <w:sz w:val="14"/>
                <w:szCs w:val="14"/>
              </w:rPr>
            </w:pPr>
            <w:r>
              <w:rPr>
                <w:sz w:val="14"/>
                <w:szCs w:val="14"/>
                <w:spacing w:val="-1"/>
              </w:rPr>
              <w:t>二、加大资金支持。各银行机构要用好普惠小微贷款支持工具</w:t>
            </w:r>
            <w:r>
              <w:rPr>
                <w:sz w:val="14"/>
                <w:szCs w:val="14"/>
                <w:spacing w:val="18"/>
              </w:rPr>
              <w:t xml:space="preserve"> </w:t>
            </w:r>
            <w:r>
              <w:rPr>
                <w:sz w:val="14"/>
                <w:szCs w:val="14"/>
              </w:rPr>
              <w:t>将普惠型小微企业贷款适当向运输企业和个体工</w:t>
            </w:r>
            <w:r>
              <w:rPr>
                <w:sz w:val="14"/>
                <w:szCs w:val="14"/>
                <w:spacing w:val="-1"/>
              </w:rPr>
              <w:t>商户倾斜，主</w:t>
            </w:r>
            <w:r>
              <w:rPr>
                <w:sz w:val="14"/>
                <w:szCs w:val="14"/>
              </w:rPr>
              <w:t xml:space="preserve"> </w:t>
            </w:r>
            <w:r>
              <w:rPr>
                <w:sz w:val="14"/>
                <w:szCs w:val="14"/>
              </w:rPr>
              <w:t>动跟进并有效满足其融资需求，做好延期还本付息政策到期后</w:t>
            </w:r>
            <w:r>
              <w:rPr>
                <w:sz w:val="14"/>
                <w:szCs w:val="14"/>
                <w:spacing w:val="2"/>
              </w:rPr>
              <w:t xml:space="preserve"> </w:t>
            </w:r>
            <w:r>
              <w:rPr>
                <w:sz w:val="14"/>
                <w:szCs w:val="14"/>
              </w:rPr>
              <w:t>相关贷款的接续转换，避免出现行业性限贷、抽贷、断贷</w:t>
            </w:r>
          </w:p>
          <w:p>
            <w:pPr>
              <w:pStyle w:val="TableText"/>
              <w:ind w:left="89" w:right="101"/>
              <w:spacing w:before="42" w:line="263" w:lineRule="auto"/>
              <w:jc w:val="both"/>
              <w:rPr>
                <w:sz w:val="14"/>
                <w:szCs w:val="14"/>
              </w:rPr>
            </w:pPr>
            <w:r>
              <w:rPr>
                <w:sz w:val="14"/>
                <w:szCs w:val="14"/>
              </w:rPr>
              <w:t>三、帮扶重点群体。各银行保险机构要强化对货</w:t>
            </w:r>
            <w:r>
              <w:rPr>
                <w:sz w:val="14"/>
                <w:szCs w:val="14"/>
                <w:spacing w:val="-1"/>
              </w:rPr>
              <w:t>车司机群体的关</w:t>
            </w:r>
            <w:r>
              <w:rPr>
                <w:sz w:val="14"/>
                <w:szCs w:val="14"/>
              </w:rPr>
              <w:t xml:space="preserve"> </w:t>
            </w:r>
            <w:r>
              <w:rPr>
                <w:sz w:val="14"/>
                <w:szCs w:val="14"/>
              </w:rPr>
              <w:t>怀和帮扶，根据实际情况及时提供便捷有效的综</w:t>
            </w:r>
            <w:r>
              <w:rPr>
                <w:sz w:val="14"/>
                <w:szCs w:val="14"/>
                <w:spacing w:val="-1"/>
              </w:rPr>
              <w:t>合金融服务。对</w:t>
            </w:r>
            <w:r>
              <w:rPr>
                <w:sz w:val="14"/>
                <w:szCs w:val="14"/>
              </w:rPr>
              <w:t xml:space="preserve"> </w:t>
            </w:r>
            <w:r>
              <w:rPr>
                <w:sz w:val="14"/>
                <w:szCs w:val="14"/>
              </w:rPr>
              <w:t>于因疫情影响货车司机偿还汽车贷款暂时存</w:t>
            </w:r>
            <w:r>
              <w:rPr>
                <w:sz w:val="14"/>
                <w:szCs w:val="14"/>
                <w:spacing w:val="-1"/>
              </w:rPr>
              <w:t>在困难的，商业银行</w:t>
            </w:r>
            <w:r>
              <w:rPr>
                <w:sz w:val="14"/>
                <w:szCs w:val="14"/>
              </w:rPr>
              <w:t xml:space="preserve"> </w:t>
            </w:r>
            <w:r>
              <w:rPr>
                <w:sz w:val="14"/>
                <w:szCs w:val="14"/>
              </w:rPr>
              <w:t>汽车金融公司、企业集团财务公司、金融租赁公</w:t>
            </w:r>
            <w:r>
              <w:rPr>
                <w:sz w:val="14"/>
                <w:szCs w:val="14"/>
                <w:spacing w:val="-1"/>
              </w:rPr>
              <w:t>司等，均应视情</w:t>
            </w:r>
          </w:p>
          <w:p>
            <w:pPr>
              <w:pStyle w:val="TableText"/>
              <w:ind w:left="10" w:firstLine="78"/>
              <w:spacing w:before="42" w:line="242" w:lineRule="auto"/>
              <w:rPr>
                <w:sz w:val="14"/>
                <w:szCs w:val="14"/>
              </w:rPr>
            </w:pPr>
            <w:r>
              <w:rPr>
                <w:sz w:val="14"/>
                <w:szCs w:val="14"/>
                <w:spacing w:val="-3"/>
              </w:rPr>
              <w:t>合理给予延期、展期或续贷安排。灵活调整货车司机个人住房按   </w:t>
            </w:r>
            <w:r>
              <w:rPr>
                <w:sz w:val="14"/>
                <w:szCs w:val="14"/>
                <w:spacing w:val="-4"/>
              </w:rPr>
              <w:t>揭、信用卡等信贷还款安排，合理延后还款期限，帮助其渡过难关。</w:t>
            </w:r>
          </w:p>
          <w:p>
            <w:pPr>
              <w:pStyle w:val="TableText"/>
              <w:ind w:left="20" w:right="272" w:firstLine="10"/>
              <w:spacing w:before="54" w:line="267" w:lineRule="auto"/>
              <w:jc w:val="both"/>
              <w:rPr>
                <w:sz w:val="14"/>
                <w:szCs w:val="14"/>
              </w:rPr>
            </w:pPr>
            <w:r>
              <w:rPr>
                <w:sz w:val="14"/>
                <w:szCs w:val="14"/>
              </w:rPr>
              <w:t>四、提升服务效率。鼓励银行保险机构按市场化原则优化审批</w:t>
            </w:r>
            <w:r>
              <w:rPr>
                <w:sz w:val="14"/>
                <w:szCs w:val="14"/>
                <w:spacing w:val="4"/>
              </w:rPr>
              <w:t xml:space="preserve"> </w:t>
            </w:r>
            <w:r>
              <w:rPr>
                <w:sz w:val="14"/>
                <w:szCs w:val="14"/>
              </w:rPr>
              <w:t>流程，对承担疫情防控和应急运输任务较重的交通运输企业开</w:t>
            </w:r>
            <w:r>
              <w:rPr>
                <w:sz w:val="14"/>
                <w:szCs w:val="14"/>
                <w:spacing w:val="2"/>
              </w:rPr>
              <w:t xml:space="preserve"> </w:t>
            </w:r>
            <w:r>
              <w:rPr>
                <w:sz w:val="14"/>
                <w:szCs w:val="14"/>
                <w:spacing w:val="1"/>
              </w:rPr>
              <w:t>辟绿色通道，提供灵活便捷服务。鼓励银行机构在综合考虑自</w:t>
            </w:r>
            <w:r>
              <w:rPr>
                <w:sz w:val="14"/>
                <w:szCs w:val="14"/>
                <w:spacing w:val="5"/>
              </w:rPr>
              <w:t xml:space="preserve"> </w:t>
            </w:r>
            <w:r>
              <w:rPr>
                <w:sz w:val="14"/>
                <w:szCs w:val="14"/>
                <w:spacing w:val="1"/>
              </w:rPr>
              <w:t>身经营状况和客户还款能力基础上，降低实际贷款</w:t>
            </w:r>
            <w:r>
              <w:rPr>
                <w:sz w:val="14"/>
                <w:szCs w:val="14"/>
              </w:rPr>
              <w:t>利率，适当 </w:t>
            </w:r>
            <w:r>
              <w:rPr>
                <w:sz w:val="14"/>
                <w:szCs w:val="14"/>
                <w:spacing w:val="-1"/>
              </w:rPr>
              <w:t>减少收费。鼓励保险公司根据疫情防控实际情况，提高出险理 </w:t>
            </w:r>
            <w:r>
              <w:rPr>
                <w:sz w:val="14"/>
                <w:szCs w:val="14"/>
              </w:rPr>
              <w:t>赔效率，适度延后货运汽车保险等保费缴纳时间</w:t>
            </w:r>
          </w:p>
          <w:p>
            <w:pPr>
              <w:pStyle w:val="TableText"/>
              <w:ind w:left="30" w:right="290"/>
              <w:spacing w:before="45" w:line="262" w:lineRule="auto"/>
              <w:jc w:val="both"/>
              <w:rPr>
                <w:sz w:val="14"/>
                <w:szCs w:val="14"/>
              </w:rPr>
            </w:pPr>
            <w:r>
              <w:rPr>
                <w:sz w:val="14"/>
                <w:szCs w:val="14"/>
                <w:spacing w:val="-1"/>
              </w:rPr>
              <w:t>五、创新担保方式。充分利用行业主管部门动态监控数据，鼓</w:t>
            </w:r>
            <w:r>
              <w:rPr>
                <w:sz w:val="14"/>
                <w:szCs w:val="14"/>
                <w:spacing w:val="18"/>
              </w:rPr>
              <w:t xml:space="preserve"> </w:t>
            </w:r>
            <w:r>
              <w:rPr>
                <w:sz w:val="14"/>
                <w:szCs w:val="14"/>
              </w:rPr>
              <w:t>励银行机构创新符合陆路、水路运输企业特点的动产质押类贷</w:t>
            </w:r>
            <w:r>
              <w:rPr>
                <w:sz w:val="14"/>
                <w:szCs w:val="14"/>
                <w:spacing w:val="4"/>
              </w:rPr>
              <w:t xml:space="preserve"> </w:t>
            </w:r>
            <w:r>
              <w:rPr>
                <w:sz w:val="14"/>
                <w:szCs w:val="14"/>
              </w:rPr>
              <w:t>款产品。鼓励政府性融资担保机构为符合条件的运输企业、货</w:t>
            </w:r>
            <w:r>
              <w:rPr>
                <w:sz w:val="14"/>
                <w:szCs w:val="14"/>
                <w:spacing w:val="2"/>
              </w:rPr>
              <w:t xml:space="preserve"> </w:t>
            </w:r>
            <w:r>
              <w:rPr>
                <w:sz w:val="14"/>
                <w:szCs w:val="14"/>
                <w:spacing w:val="-1"/>
              </w:rPr>
              <w:t>车司机提供融资增信支持，依法依约及时履行代偿责任</w:t>
            </w:r>
          </w:p>
          <w:p>
            <w:pPr>
              <w:pStyle w:val="TableText"/>
              <w:ind w:left="20"/>
              <w:spacing w:before="45" w:line="262" w:lineRule="auto"/>
              <w:jc w:val="both"/>
              <w:rPr>
                <w:sz w:val="14"/>
                <w:szCs w:val="14"/>
              </w:rPr>
            </w:pPr>
            <w:r>
              <w:rPr>
                <w:sz w:val="14"/>
                <w:szCs w:val="14"/>
                <w:spacing w:val="-2"/>
              </w:rPr>
              <w:t>六、加强保险保障。鼓励保险公司针对货车司机、快递员等特殊岗</w:t>
            </w:r>
            <w:r>
              <w:rPr>
                <w:sz w:val="14"/>
                <w:szCs w:val="14"/>
                <w:spacing w:val="5"/>
              </w:rPr>
              <w:t xml:space="preserve">  </w:t>
            </w:r>
            <w:r>
              <w:rPr>
                <w:sz w:val="14"/>
                <w:szCs w:val="14"/>
                <w:spacing w:val="-8"/>
              </w:rPr>
              <w:t>位工作人群特点，开发意外伤害保险等产品。积极发</w:t>
            </w:r>
            <w:r>
              <w:rPr>
                <w:sz w:val="14"/>
                <w:szCs w:val="14"/>
                <w:spacing w:val="-9"/>
              </w:rPr>
              <w:t>展货物运输保险、</w:t>
            </w:r>
            <w:r>
              <w:rPr>
                <w:sz w:val="14"/>
                <w:szCs w:val="14"/>
              </w:rPr>
              <w:t xml:space="preserve"> </w:t>
            </w:r>
            <w:r>
              <w:rPr>
                <w:sz w:val="14"/>
                <w:szCs w:val="14"/>
                <w:spacing w:val="-3"/>
              </w:rPr>
              <w:t>道路货物运输承运人责任保险等财险业务，为物流业提供风险保障</w:t>
            </w:r>
            <w:r>
              <w:rPr>
                <w:sz w:val="14"/>
                <w:szCs w:val="14"/>
                <w:spacing w:val="9"/>
              </w:rPr>
              <w:t xml:space="preserve">  </w:t>
            </w:r>
            <w:r>
              <w:rPr>
                <w:sz w:val="14"/>
                <w:szCs w:val="14"/>
                <w:spacing w:val="-2"/>
              </w:rPr>
              <w:t>七、维护资金安全。各银行保险机构要坚持服务实体经济和防</w:t>
            </w:r>
          </w:p>
          <w:p>
            <w:pPr>
              <w:pStyle w:val="TableText"/>
              <w:ind w:left="30" w:right="283"/>
              <w:spacing w:before="45" w:line="257" w:lineRule="auto"/>
              <w:jc w:val="both"/>
              <w:rPr>
                <w:sz w:val="14"/>
                <w:szCs w:val="14"/>
              </w:rPr>
            </w:pPr>
            <w:r>
              <w:rPr>
                <w:sz w:val="14"/>
                <w:szCs w:val="14"/>
                <w:spacing w:val="-1"/>
              </w:rPr>
              <w:t>范金融风险并重，加强资金流向监测，防止资金违规挪用。积</w:t>
            </w:r>
            <w:r>
              <w:rPr>
                <w:sz w:val="14"/>
                <w:szCs w:val="14"/>
                <w:spacing w:val="17"/>
              </w:rPr>
              <w:t xml:space="preserve"> </w:t>
            </w:r>
            <w:r>
              <w:rPr>
                <w:sz w:val="14"/>
                <w:szCs w:val="14"/>
              </w:rPr>
              <w:t>极推动和协助地方政府通过风险准备金、贴息等方式，完善贷</w:t>
            </w:r>
            <w:r>
              <w:rPr>
                <w:sz w:val="14"/>
                <w:szCs w:val="14"/>
                <w:spacing w:val="11"/>
              </w:rPr>
              <w:t xml:space="preserve"> </w:t>
            </w:r>
            <w:r>
              <w:rPr>
                <w:sz w:val="14"/>
                <w:szCs w:val="14"/>
                <w:spacing w:val="-1"/>
              </w:rPr>
              <w:t>款风险补偿机制，促进金融业务稳健发展</w:t>
            </w:r>
          </w:p>
        </w:tc>
        <w:tc>
          <w:tcPr>
            <w:tcW w:w="2527" w:type="dxa"/>
            <w:vAlign w:val="top"/>
          </w:tcPr>
          <w:p>
            <w:pPr>
              <w:pStyle w:val="TableText"/>
              <w:ind w:left="133"/>
              <w:spacing w:before="75" w:line="219" w:lineRule="auto"/>
              <w:rPr>
                <w:sz w:val="14"/>
                <w:szCs w:val="14"/>
              </w:rPr>
            </w:pPr>
            <w:r>
              <w:rPr>
                <w:sz w:val="14"/>
                <w:szCs w:val="14"/>
              </w:rPr>
              <w:t>中国银保监会办公厅《关于金融支持</w:t>
            </w:r>
          </w:p>
          <w:p>
            <w:pPr>
              <w:pStyle w:val="TableText"/>
              <w:ind w:left="53" w:right="181" w:firstLine="120"/>
              <w:spacing w:before="54" w:line="255" w:lineRule="auto"/>
              <w:rPr>
                <w:sz w:val="14"/>
                <w:szCs w:val="14"/>
              </w:rPr>
            </w:pPr>
            <w:r>
              <w:rPr>
                <w:sz w:val="14"/>
                <w:szCs w:val="14"/>
                <w:spacing w:val="-1"/>
              </w:rPr>
              <w:t>货运物流保通保畅工作的通知》(银</w:t>
            </w:r>
            <w:r>
              <w:rPr>
                <w:sz w:val="14"/>
                <w:szCs w:val="14"/>
                <w:spacing w:val="6"/>
              </w:rPr>
              <w:t xml:space="preserve"> </w:t>
            </w:r>
            <w:r>
              <w:rPr>
                <w:sz w:val="14"/>
                <w:szCs w:val="14"/>
                <w:spacing w:val="-1"/>
              </w:rPr>
              <w:t>保监办发〔2022〕40号</w:t>
            </w:r>
          </w:p>
        </w:tc>
        <w:tc>
          <w:tcPr>
            <w:tcW w:w="959" w:type="dxa"/>
            <w:vAlign w:val="top"/>
          </w:tcPr>
          <w:p>
            <w:pPr>
              <w:pStyle w:val="TableText"/>
              <w:ind w:left="16" w:right="23"/>
              <w:spacing w:before="76" w:line="255" w:lineRule="auto"/>
              <w:rPr>
                <w:sz w:val="14"/>
                <w:szCs w:val="14"/>
              </w:rPr>
            </w:pPr>
            <w:r>
              <w:rPr>
                <w:sz w:val="14"/>
                <w:szCs w:val="14"/>
                <w:spacing w:val="-7"/>
              </w:rPr>
              <w:t>2</w:t>
            </w:r>
            <w:r>
              <w:rPr>
                <w:sz w:val="14"/>
                <w:szCs w:val="14"/>
                <w:spacing w:val="-16"/>
              </w:rPr>
              <w:t xml:space="preserve"> </w:t>
            </w:r>
            <w:r>
              <w:rPr>
                <w:sz w:val="14"/>
                <w:szCs w:val="14"/>
                <w:spacing w:val="-7"/>
              </w:rPr>
              <w:t>0</w:t>
            </w:r>
            <w:r>
              <w:rPr>
                <w:sz w:val="14"/>
                <w:szCs w:val="14"/>
                <w:spacing w:val="-15"/>
              </w:rPr>
              <w:t xml:space="preserve"> </w:t>
            </w:r>
            <w:r>
              <w:rPr>
                <w:sz w:val="14"/>
                <w:szCs w:val="14"/>
                <w:spacing w:val="-7"/>
              </w:rPr>
              <w:t>2</w:t>
            </w:r>
            <w:r>
              <w:rPr>
                <w:sz w:val="14"/>
                <w:szCs w:val="14"/>
                <w:spacing w:val="-16"/>
              </w:rPr>
              <w:t xml:space="preserve"> </w:t>
            </w:r>
            <w:r>
              <w:rPr>
                <w:sz w:val="14"/>
                <w:szCs w:val="14"/>
                <w:spacing w:val="-7"/>
              </w:rPr>
              <w:t>2</w:t>
            </w:r>
            <w:r>
              <w:rPr>
                <w:sz w:val="14"/>
                <w:szCs w:val="14"/>
                <w:spacing w:val="-16"/>
              </w:rPr>
              <w:t xml:space="preserve"> </w:t>
            </w:r>
            <w:r>
              <w:rPr>
                <w:sz w:val="14"/>
                <w:szCs w:val="14"/>
                <w:spacing w:val="-7"/>
              </w:rPr>
              <w:t>年</w:t>
            </w:r>
            <w:r>
              <w:rPr>
                <w:sz w:val="14"/>
                <w:szCs w:val="14"/>
                <w:spacing w:val="-17"/>
              </w:rPr>
              <w:t xml:space="preserve"> </w:t>
            </w:r>
            <w:r>
              <w:rPr>
                <w:sz w:val="14"/>
                <w:szCs w:val="14"/>
                <w:spacing w:val="-7"/>
              </w:rPr>
              <w:t>4</w:t>
            </w:r>
            <w:r>
              <w:rPr>
                <w:sz w:val="14"/>
                <w:szCs w:val="14"/>
                <w:spacing w:val="-14"/>
              </w:rPr>
              <w:t xml:space="preserve"> </w:t>
            </w:r>
            <w:r>
              <w:rPr>
                <w:sz w:val="14"/>
                <w:szCs w:val="14"/>
                <w:spacing w:val="-7"/>
              </w:rPr>
              <w:t>月</w:t>
            </w:r>
            <w:r>
              <w:rPr>
                <w:sz w:val="14"/>
                <w:szCs w:val="14"/>
              </w:rPr>
              <w:t xml:space="preserve"> </w:t>
            </w:r>
            <w:r>
              <w:rPr>
                <w:sz w:val="14"/>
                <w:szCs w:val="14"/>
              </w:rPr>
              <w:t>15日(文件签</w:t>
            </w:r>
          </w:p>
          <w:p>
            <w:pPr>
              <w:pStyle w:val="TableText"/>
              <w:ind w:left="16"/>
              <w:spacing w:before="44" w:line="220" w:lineRule="auto"/>
              <w:rPr>
                <w:sz w:val="14"/>
                <w:szCs w:val="14"/>
              </w:rPr>
            </w:pPr>
            <w:r>
              <w:rPr>
                <w:sz w:val="14"/>
                <w:szCs w:val="14"/>
                <w:spacing w:val="7"/>
              </w:rPr>
              <w:t>发日期)</w:t>
            </w:r>
          </w:p>
        </w:tc>
        <w:tc>
          <w:tcPr>
            <w:tcW w:w="969" w:type="dxa"/>
            <w:vAlign w:val="top"/>
          </w:tcPr>
          <w:p>
            <w:pPr>
              <w:pStyle w:val="TableText"/>
              <w:ind w:left="197" w:right="66" w:hanging="140"/>
              <w:spacing w:before="76" w:line="242" w:lineRule="auto"/>
              <w:rPr>
                <w:sz w:val="14"/>
                <w:szCs w:val="14"/>
              </w:rPr>
            </w:pPr>
            <w:r>
              <w:rPr>
                <w:sz w:val="14"/>
                <w:szCs w:val="14"/>
                <w:spacing w:val="-1"/>
              </w:rPr>
              <w:t>运输企业和个</w:t>
            </w:r>
            <w:r>
              <w:rPr>
                <w:sz w:val="14"/>
                <w:szCs w:val="14"/>
              </w:rPr>
              <w:t xml:space="preserve"> </w:t>
            </w:r>
            <w:r>
              <w:rPr>
                <w:sz w:val="14"/>
                <w:szCs w:val="14"/>
                <w:spacing w:val="4"/>
              </w:rPr>
              <w:t>体工商户</w:t>
            </w:r>
          </w:p>
        </w:tc>
        <w:tc>
          <w:tcPr>
            <w:tcW w:w="389" w:type="dxa"/>
            <w:vAlign w:val="top"/>
          </w:tcPr>
          <w:p>
            <w:pPr>
              <w:pStyle w:val="TableText"/>
              <w:ind w:left="48" w:right="55"/>
              <w:spacing w:before="56" w:line="257" w:lineRule="auto"/>
              <w:rPr>
                <w:sz w:val="14"/>
                <w:szCs w:val="14"/>
              </w:rPr>
            </w:pPr>
            <w:r>
              <w:rPr>
                <w:sz w:val="14"/>
                <w:szCs w:val="14"/>
                <w:spacing w:val="-4"/>
              </w:rPr>
              <w:t>行政</w:t>
            </w:r>
            <w:r>
              <w:rPr>
                <w:sz w:val="14"/>
                <w:szCs w:val="14"/>
              </w:rPr>
              <w:t xml:space="preserve"> </w:t>
            </w:r>
            <w:r>
              <w:rPr>
                <w:sz w:val="14"/>
                <w:szCs w:val="14"/>
                <w:spacing w:val="-3"/>
              </w:rPr>
              <w:t>通知</w:t>
            </w:r>
          </w:p>
        </w:tc>
        <w:tc>
          <w:tcPr>
            <w:tcW w:w="394" w:type="dxa"/>
            <w:vAlign w:val="top"/>
          </w:tcPr>
          <w:p>
            <w:pPr>
              <w:pStyle w:val="TableText"/>
              <w:ind w:left="49" w:right="58"/>
              <w:spacing w:before="57" w:line="261" w:lineRule="auto"/>
              <w:rPr>
                <w:sz w:val="14"/>
                <w:szCs w:val="14"/>
              </w:rPr>
            </w:pPr>
            <w:r>
              <w:rPr>
                <w:sz w:val="14"/>
                <w:szCs w:val="14"/>
                <w:spacing w:val="-4"/>
              </w:rPr>
              <w:t>行政</w:t>
            </w:r>
            <w:r>
              <w:rPr>
                <w:sz w:val="14"/>
                <w:szCs w:val="14"/>
              </w:rPr>
              <w:t xml:space="preserve"> </w:t>
            </w:r>
            <w:r>
              <w:rPr>
                <w:sz w:val="14"/>
                <w:szCs w:val="14"/>
                <w:spacing w:val="-3"/>
              </w:rPr>
              <w:t>优化</w:t>
            </w:r>
          </w:p>
        </w:tc>
      </w:tr>
    </w:tbl>
    <w:p>
      <w:pPr>
        <w:pStyle w:val="BodyText"/>
        <w:rPr/>
      </w:pPr>
      <w:r/>
    </w:p>
    <w:p>
      <w:pPr>
        <w:sectPr>
          <w:pgSz w:w="11910" w:h="8220"/>
          <w:pgMar w:top="400" w:right="1135" w:bottom="400" w:left="823" w:header="0" w:footer="0" w:gutter="0"/>
        </w:sectPr>
        <w:rPr/>
      </w:pPr>
    </w:p>
    <w:p>
      <w:pPr>
        <w:spacing w:before="51"/>
        <w:rPr/>
      </w:pPr>
      <w:r>
        <mc:AlternateContent xmlns:mc="http://schemas.openxmlformats.org/markup-compatibility/2006">
          <mc:Choice Requires="wps">
            <w:drawing>
              <wp:anchor distT="0" distB="0" distL="0" distR="0" simplePos="0" relativeHeight="251780096" behindDoc="0" locked="0" layoutInCell="0" allowOverlap="1">
                <wp:simplePos x="0" y="0"/>
                <wp:positionH relativeFrom="page">
                  <wp:posOffset>474169</wp:posOffset>
                </wp:positionH>
                <wp:positionV relativeFrom="page">
                  <wp:posOffset>632988</wp:posOffset>
                </wp:positionV>
                <wp:extent cx="166370" cy="158114"/>
                <wp:effectExtent l="0" t="0" r="0" b="0"/>
                <wp:wrapNone/>
                <wp:docPr id="108" name="TextBox 108"/>
                <wp:cNvGraphicFramePr/>
                <a:graphic>
                  <a:graphicData uri="http://schemas.microsoft.com/office/word/2010/wordprocessingShape">
                    <wps:wsp>
                      <wps:cNvSpPr txBox="1"/>
                      <wps:spPr>
                        <a:xfrm rot="5400000">
                          <a:off x="474169" y="632988"/>
                          <a:ext cx="16637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0" style="position:absolute;margin-left:37.3362pt;margin-top:49.8416pt;mso-position-vertical-relative:page;mso-position-horizontal-relative:page;width:13.1pt;height:12.45pt;z-index:251780096;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122</w:t>
                      </w:r>
                    </w:p>
                  </w:txbxContent>
                </v:textbox>
              </v:shape>
            </w:pict>
          </mc:Fallback>
        </mc:AlternateContent>
      </w:r>
      <w:r/>
    </w:p>
    <w:p>
      <w:pPr>
        <w:spacing w:before="51"/>
        <w:rPr/>
      </w:pPr>
      <w:r/>
    </w:p>
    <w:tbl>
      <w:tblPr>
        <w:tblStyle w:val="TableNormal"/>
        <w:tblW w:w="9629" w:type="dxa"/>
        <w:tblInd w:w="30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44"/>
              <w:spacing w:before="170" w:line="219" w:lineRule="auto"/>
              <w:rPr/>
            </w:pPr>
            <w:r>
              <w:rPr>
                <w:spacing w:val="-1"/>
              </w:rPr>
              <w:t>政策依据</w:t>
            </w:r>
          </w:p>
        </w:tc>
        <w:tc>
          <w:tcPr>
            <w:tcW w:w="949" w:type="dxa"/>
            <w:vAlign w:val="top"/>
          </w:tcPr>
          <w:p>
            <w:pPr>
              <w:pStyle w:val="TableText"/>
              <w:ind w:left="168"/>
              <w:spacing w:before="171" w:line="219" w:lineRule="auto"/>
              <w:rPr/>
            </w:pPr>
            <w:r>
              <w:rPr>
                <w:spacing w:val="3"/>
              </w:rPr>
              <w:t>执行时间</w:t>
            </w:r>
          </w:p>
        </w:tc>
        <w:tc>
          <w:tcPr>
            <w:tcW w:w="979" w:type="dxa"/>
            <w:vAlign w:val="top"/>
          </w:tcPr>
          <w:p>
            <w:pPr>
              <w:pStyle w:val="TableText"/>
              <w:ind w:left="337" w:right="192" w:hanging="149"/>
              <w:spacing w:before="72" w:line="244"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2" w:line="252" w:lineRule="auto"/>
              <w:rPr/>
            </w:pPr>
            <w:r>
              <w:rPr>
                <w:spacing w:val="-3"/>
              </w:rPr>
              <w:t>政策</w:t>
            </w:r>
            <w:r>
              <w:rPr/>
              <w:t xml:space="preserve"> </w:t>
            </w:r>
            <w:r>
              <w:rPr>
                <w:spacing w:val="-4"/>
              </w:rPr>
              <w:t>形式</w:t>
            </w:r>
          </w:p>
        </w:tc>
      </w:tr>
      <w:tr>
        <w:trPr>
          <w:trHeight w:val="3035" w:hRule="atLeast"/>
        </w:trPr>
        <w:tc>
          <w:tcPr>
            <w:tcW w:w="295"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94"/>
              <w:spacing w:before="49" w:line="183" w:lineRule="auto"/>
              <w:rPr/>
            </w:pPr>
            <w:r>
              <w:rPr/>
              <w:t>8</w:t>
            </w:r>
          </w:p>
        </w:tc>
        <w:tc>
          <w:tcPr>
            <w:tcW w:w="4125" w:type="dxa"/>
            <w:vAlign w:val="top"/>
          </w:tcPr>
          <w:p>
            <w:pPr>
              <w:pStyle w:val="TableText"/>
              <w:ind w:left="20" w:right="43" w:firstLine="10"/>
              <w:spacing w:before="66" w:line="239" w:lineRule="auto"/>
              <w:rPr/>
            </w:pPr>
            <w:r>
              <w:rPr>
                <w:spacing w:val="-1"/>
              </w:rPr>
              <w:t>一、进一步拓宽企业跨境融资渠道，允许天津市分局、上海市</w:t>
            </w:r>
            <w:r>
              <w:rPr>
                <w:spacing w:val="17"/>
              </w:rPr>
              <w:t xml:space="preserve"> </w:t>
            </w:r>
            <w:r>
              <w:rPr/>
              <w:t>分局、江苏省分局、山东省分局、湖北省分局、广东省分局</w:t>
            </w:r>
          </w:p>
          <w:p>
            <w:pPr>
              <w:pStyle w:val="TableText"/>
              <w:ind w:left="20" w:right="26" w:firstLine="10"/>
              <w:spacing w:before="21" w:line="237" w:lineRule="auto"/>
              <w:rPr/>
            </w:pPr>
            <w:r>
              <w:rPr/>
              <w:t>四川省分局、陕西省分局、北京外汇管理部、重庆外汇管理部</w:t>
            </w:r>
            <w:r>
              <w:rPr>
                <w:spacing w:val="7"/>
              </w:rPr>
              <w:t xml:space="preserve"> </w:t>
            </w:r>
            <w:r>
              <w:rPr/>
              <w:t>浙江省分局、安徽省分局、湖南省分局、海南省分局、深圳市</w:t>
            </w:r>
            <w:r>
              <w:rPr>
                <w:spacing w:val="2"/>
              </w:rPr>
              <w:t xml:space="preserve"> </w:t>
            </w:r>
            <w:r>
              <w:rPr>
                <w:spacing w:val="-1"/>
              </w:rPr>
              <w:t>分局、青岛市分局、宁波市分局(以下简称试点分局)开展高</w:t>
            </w:r>
          </w:p>
          <w:p>
            <w:pPr>
              <w:pStyle w:val="TableText"/>
              <w:ind w:left="50" w:right="41" w:hanging="20"/>
              <w:spacing w:before="22" w:line="226" w:lineRule="auto"/>
              <w:rPr/>
            </w:pPr>
            <w:r>
              <w:rPr/>
              <w:t>新技术和“专精特新”企业跨境融资便利化</w:t>
            </w:r>
            <w:r>
              <w:rPr>
                <w:spacing w:val="-1"/>
              </w:rPr>
              <w:t>试点，允许符合条</w:t>
            </w:r>
            <w:r>
              <w:rPr/>
              <w:t xml:space="preserve"> </w:t>
            </w:r>
            <w:r>
              <w:rPr>
                <w:spacing w:val="-1"/>
              </w:rPr>
              <w:t>件的相关企业在一定额度内自主借用外债。</w:t>
            </w:r>
          </w:p>
          <w:p>
            <w:pPr>
              <w:pStyle w:val="TableText"/>
              <w:ind w:left="20" w:firstLine="10"/>
              <w:spacing w:before="33" w:line="238" w:lineRule="auto"/>
              <w:jc w:val="both"/>
              <w:rPr/>
            </w:pPr>
            <w:r>
              <w:rPr/>
              <w:t>二、前期已开展试点的上海市分局、江苏省分局、湖北省分局</w:t>
            </w:r>
            <w:r>
              <w:rPr>
                <w:spacing w:val="12"/>
              </w:rPr>
              <w:t xml:space="preserve"> </w:t>
            </w:r>
            <w:r>
              <w:rPr/>
              <w:t>广东省分局、北京外汇管理部、重庆外汇管理部、海南省分局</w:t>
            </w:r>
            <w:r>
              <w:rPr>
                <w:spacing w:val="3"/>
              </w:rPr>
              <w:t xml:space="preserve"> </w:t>
            </w:r>
            <w:r>
              <w:rPr/>
              <w:t>深圳市分局、宁波市分局辖内符合条件的高新技术和“专精特</w:t>
            </w:r>
            <w:r>
              <w:rPr>
                <w:spacing w:val="3"/>
              </w:rPr>
              <w:t xml:space="preserve"> </w:t>
            </w:r>
            <w:r>
              <w:rPr>
                <w:spacing w:val="1"/>
              </w:rPr>
              <w:t>新”企业，可在不超过等值1000万美元额度内自主借用外债。</w:t>
            </w:r>
            <w:r>
              <w:rPr>
                <w:spacing w:val="14"/>
              </w:rPr>
              <w:t xml:space="preserve"> </w:t>
            </w:r>
            <w:r>
              <w:rPr>
                <w:spacing w:val="1"/>
              </w:rPr>
              <w:t>天津市分局、山东省分局、四川省分局、陕西省分</w:t>
            </w:r>
            <w:r>
              <w:rPr/>
              <w:t>局、浙江省 </w:t>
            </w:r>
            <w:r>
              <w:rPr>
                <w:spacing w:val="-1"/>
              </w:rPr>
              <w:t>分局、安徽省分局、湖南省分局、青岛市分局辖内符合条件的 </w:t>
            </w:r>
            <w:r>
              <w:rPr>
                <w:spacing w:val="2"/>
              </w:rPr>
              <w:t>高新技术和“专精特新”企业，可在不超过等值5</w:t>
            </w:r>
            <w:r>
              <w:rPr>
                <w:spacing w:val="1"/>
              </w:rPr>
              <w:t>00万美元额</w:t>
            </w:r>
            <w:r>
              <w:rPr/>
              <w:t xml:space="preserve">  </w:t>
            </w:r>
            <w:r>
              <w:rPr>
                <w:spacing w:val="-1"/>
              </w:rPr>
              <w:t>度内自主借用外债，</w:t>
            </w:r>
          </w:p>
        </w:tc>
        <w:tc>
          <w:tcPr>
            <w:tcW w:w="2507" w:type="dxa"/>
            <w:vAlign w:val="top"/>
          </w:tcPr>
          <w:p>
            <w:pPr>
              <w:pStyle w:val="TableText"/>
              <w:ind w:left="44" w:right="45"/>
              <w:spacing w:before="75" w:line="234" w:lineRule="auto"/>
              <w:jc w:val="both"/>
              <w:rPr/>
            </w:pPr>
            <w:r>
              <w:rPr/>
              <w:t>国家外汇管理局《关于支持高新技术</w:t>
            </w:r>
            <w:r>
              <w:rPr>
                <w:spacing w:val="6"/>
              </w:rPr>
              <w:t xml:space="preserve"> </w:t>
            </w:r>
            <w:r>
              <w:rPr>
                <w:spacing w:val="-1"/>
              </w:rPr>
              <w:t>和“专精特新”企业开展跨境融资便</w:t>
            </w:r>
            <w:r>
              <w:rPr>
                <w:spacing w:val="8"/>
              </w:rPr>
              <w:t xml:space="preserve"> </w:t>
            </w:r>
            <w:r>
              <w:rPr>
                <w:spacing w:val="-1"/>
              </w:rPr>
              <w:t>利化试点的通知》汇发〔2022〕16号</w:t>
            </w:r>
          </w:p>
        </w:tc>
        <w:tc>
          <w:tcPr>
            <w:tcW w:w="949" w:type="dxa"/>
            <w:vAlign w:val="top"/>
          </w:tcPr>
          <w:p>
            <w:pPr>
              <w:pStyle w:val="TableText"/>
              <w:ind w:left="27"/>
              <w:spacing w:before="75" w:line="234"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2</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3"/>
              </w:rPr>
              <w:t>30日(文件签</w:t>
            </w:r>
            <w:r>
              <w:rPr/>
              <w:t xml:space="preserve">  </w:t>
            </w:r>
            <w:r>
              <w:rPr>
                <w:spacing w:val="6"/>
              </w:rPr>
              <w:t>发日期)</w:t>
            </w:r>
          </w:p>
        </w:tc>
        <w:tc>
          <w:tcPr>
            <w:tcW w:w="979" w:type="dxa"/>
            <w:vAlign w:val="top"/>
          </w:tcPr>
          <w:p>
            <w:pPr>
              <w:pStyle w:val="TableText"/>
              <w:ind w:left="108"/>
              <w:spacing w:before="77" w:line="219" w:lineRule="auto"/>
              <w:rPr/>
            </w:pPr>
            <w:r>
              <w:rPr>
                <w:spacing w:val="2"/>
              </w:rPr>
              <w:t>高新技术和</w:t>
            </w:r>
          </w:p>
          <w:p>
            <w:pPr>
              <w:pStyle w:val="TableText"/>
              <w:spacing w:before="10" w:line="219" w:lineRule="auto"/>
              <w:jc w:val="right"/>
              <w:rPr/>
            </w:pPr>
            <w:r>
              <w:rPr>
                <w:spacing w:val="11"/>
              </w:rPr>
              <w:t>“专精特新”</w:t>
            </w:r>
          </w:p>
          <w:p>
            <w:pPr>
              <w:pStyle w:val="TableText"/>
              <w:ind w:left="338"/>
              <w:spacing w:before="21" w:line="229" w:lineRule="auto"/>
              <w:rPr/>
            </w:pPr>
            <w:r>
              <w:rPr>
                <w:spacing w:val="-3"/>
              </w:rPr>
              <w:t>企业</w:t>
            </w:r>
          </w:p>
        </w:tc>
        <w:tc>
          <w:tcPr>
            <w:tcW w:w="390" w:type="dxa"/>
            <w:vAlign w:val="top"/>
          </w:tcPr>
          <w:p>
            <w:pPr>
              <w:pStyle w:val="TableText"/>
              <w:ind w:left="39" w:right="45"/>
              <w:spacing w:before="68" w:line="228" w:lineRule="auto"/>
              <w:rPr/>
            </w:pPr>
            <w:r>
              <w:rPr>
                <w:spacing w:val="-5"/>
              </w:rPr>
              <w:t>行政</w:t>
            </w:r>
            <w:r>
              <w:rPr/>
              <w:t xml:space="preserve"> </w:t>
            </w:r>
            <w:r>
              <w:rPr>
                <w:spacing w:val="-3"/>
              </w:rPr>
              <w:t>通知</w:t>
            </w:r>
          </w:p>
        </w:tc>
        <w:tc>
          <w:tcPr>
            <w:tcW w:w="384" w:type="dxa"/>
            <w:vAlign w:val="top"/>
          </w:tcPr>
          <w:p>
            <w:pPr>
              <w:pStyle w:val="TableText"/>
              <w:ind w:left="40" w:right="39"/>
              <w:spacing w:before="67" w:line="226" w:lineRule="auto"/>
              <w:rPr/>
            </w:pPr>
            <w:r>
              <w:rPr>
                <w:spacing w:val="-3"/>
              </w:rPr>
              <w:t>试点</w:t>
            </w:r>
            <w:r>
              <w:rPr/>
              <w:t xml:space="preserve"> </w:t>
            </w:r>
            <w:r>
              <w:rPr>
                <w:spacing w:val="-5"/>
              </w:rPr>
              <w:t>先行</w:t>
            </w:r>
          </w:p>
        </w:tc>
      </w:tr>
      <w:tr>
        <w:trPr>
          <w:trHeight w:val="2671" w:hRule="atLeast"/>
        </w:trPr>
        <w:tc>
          <w:tcPr>
            <w:tcW w:w="295"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4"/>
              <w:spacing w:before="49" w:line="183" w:lineRule="auto"/>
              <w:rPr/>
            </w:pPr>
            <w:r>
              <w:rPr/>
              <w:t>9</w:t>
            </w:r>
          </w:p>
        </w:tc>
        <w:tc>
          <w:tcPr>
            <w:tcW w:w="4125" w:type="dxa"/>
            <w:vAlign w:val="top"/>
          </w:tcPr>
          <w:p>
            <w:pPr>
              <w:pStyle w:val="TableText"/>
              <w:ind w:left="20"/>
              <w:spacing w:before="82" w:line="219" w:lineRule="auto"/>
              <w:rPr/>
            </w:pPr>
            <w:r>
              <w:rPr>
                <w:spacing w:val="-1"/>
              </w:rPr>
              <w:t>二、积极做好对公路交通发展的市场化融资支持</w:t>
            </w:r>
          </w:p>
          <w:p>
            <w:pPr>
              <w:pStyle w:val="TableText"/>
              <w:ind w:left="20" w:right="26" w:firstLine="10"/>
              <w:spacing w:before="33" w:line="242" w:lineRule="auto"/>
              <w:rPr/>
            </w:pPr>
            <w:r>
              <w:rPr>
                <w:spacing w:val="-2"/>
              </w:rPr>
              <w:t>(二)聚焦重点领域和重大项目。积极服务京津冀</w:t>
            </w:r>
            <w:r>
              <w:rPr>
                <w:spacing w:val="-3"/>
              </w:rPr>
              <w:t>、   “一带一</w:t>
            </w:r>
            <w:r>
              <w:rPr/>
              <w:t xml:space="preserve"> </w:t>
            </w:r>
            <w:r>
              <w:rPr/>
              <w:t>路”、长江经济带、长三角一体化、粤港澳大湾区等国家重大</w:t>
            </w:r>
            <w:r>
              <w:rPr>
                <w:spacing w:val="1"/>
              </w:rPr>
              <w:t xml:space="preserve"> </w:t>
            </w:r>
            <w:r>
              <w:rPr/>
              <w:t>战略实施，以出疆入藏、中西部地区、沿江沿边沿海</w:t>
            </w:r>
            <w:r>
              <w:rPr>
                <w:spacing w:val="-1"/>
              </w:rPr>
              <w:t>战略骨干</w:t>
            </w:r>
            <w:r>
              <w:rPr/>
              <w:t xml:space="preserve"> </w:t>
            </w:r>
            <w:r>
              <w:rPr/>
              <w:t>通道以及西部陆海新通道、城市群城际通道、交通一体化、综</w:t>
            </w:r>
            <w:r>
              <w:rPr>
                <w:spacing w:val="3"/>
              </w:rPr>
              <w:t xml:space="preserve"> </w:t>
            </w:r>
            <w:r>
              <w:rPr/>
              <w:t>合立体交通走廊、革命老区公路等为重点，支持国家高速公路</w:t>
            </w:r>
            <w:r>
              <w:rPr>
                <w:spacing w:val="2"/>
              </w:rPr>
              <w:t xml:space="preserve"> </w:t>
            </w:r>
            <w:r>
              <w:rPr/>
              <w:t>待贯通路段建设和交通繁忙路段扩容改造，支持具有国家高速</w:t>
            </w:r>
            <w:r>
              <w:rPr>
                <w:spacing w:val="1"/>
              </w:rPr>
              <w:t xml:space="preserve"> </w:t>
            </w:r>
            <w:r>
              <w:rPr>
                <w:spacing w:val="-1"/>
              </w:rPr>
              <w:t>公路分流作用的省级高速公路建设</w:t>
            </w:r>
          </w:p>
          <w:p>
            <w:pPr>
              <w:pStyle w:val="TableText"/>
              <w:ind w:left="20" w:right="27" w:firstLine="10"/>
              <w:spacing w:before="22" w:line="239" w:lineRule="auto"/>
              <w:rPr/>
            </w:pPr>
            <w:r>
              <w:rPr/>
              <w:t>(三)依法合规做好政府收费公路项目配套融资。严格按照《关</w:t>
            </w:r>
            <w:r>
              <w:rPr>
                <w:spacing w:val="6"/>
              </w:rPr>
              <w:t xml:space="preserve"> </w:t>
            </w:r>
            <w:r>
              <w:rPr/>
              <w:t>于做好地方政府专项债券发行及项目配套融资工作的通知》要 </w:t>
            </w:r>
            <w:r>
              <w:rPr/>
              <w:t>求，对有一定收益且收益兼有政府性基金收入和其他经营性专</w:t>
            </w:r>
            <w:r>
              <w:rPr>
                <w:spacing w:val="1"/>
              </w:rPr>
              <w:t xml:space="preserve"> </w:t>
            </w:r>
            <w:r>
              <w:rPr>
                <w:spacing w:val="-1"/>
              </w:rPr>
              <w:t>项收入(以下简称专项收入)的政府收费公路项目，在落实好</w:t>
            </w:r>
          </w:p>
          <w:p>
            <w:pPr>
              <w:pStyle w:val="TableText"/>
              <w:ind w:left="30"/>
              <w:spacing w:before="22" w:line="209" w:lineRule="auto"/>
              <w:rPr/>
            </w:pPr>
            <w:r>
              <w:rPr>
                <w:spacing w:val="-1"/>
              </w:rPr>
              <w:t>分账管理的前提下，对偿还收费公路专项债券本息后，仍有剩</w:t>
            </w:r>
          </w:p>
        </w:tc>
        <w:tc>
          <w:tcPr>
            <w:tcW w:w="2507" w:type="dxa"/>
            <w:vAlign w:val="top"/>
          </w:tcPr>
          <w:p>
            <w:pPr>
              <w:pStyle w:val="TableText"/>
              <w:ind w:left="34" w:right="46" w:firstLine="10"/>
              <w:spacing w:before="80" w:line="242" w:lineRule="auto"/>
              <w:jc w:val="both"/>
              <w:rPr/>
            </w:pPr>
            <w:r>
              <w:rPr/>
              <w:t>中国银保监会、交通运输部《关于银</w:t>
            </w:r>
            <w:r>
              <w:rPr>
                <w:spacing w:val="4"/>
              </w:rPr>
              <w:t xml:space="preserve"> </w:t>
            </w:r>
            <w:r>
              <w:rPr/>
              <w:t>行业保险业支持公路交通高质量发展 </w:t>
            </w:r>
            <w:r>
              <w:rPr/>
              <w:t>的意见》银保监发〔2022〕8号</w:t>
            </w:r>
          </w:p>
        </w:tc>
        <w:tc>
          <w:tcPr>
            <w:tcW w:w="949" w:type="dxa"/>
            <w:vAlign w:val="top"/>
          </w:tcPr>
          <w:p>
            <w:pPr>
              <w:pStyle w:val="TableText"/>
              <w:ind w:left="37" w:hanging="10"/>
              <w:spacing w:before="81" w:line="238" w:lineRule="auto"/>
              <w:jc w:val="both"/>
              <w:rPr/>
            </w:pPr>
            <w:r>
              <w:rPr>
                <w:spacing w:val="-8"/>
              </w:rPr>
              <w:t>2</w:t>
            </w:r>
            <w:r>
              <w:rPr>
                <w:spacing w:val="-24"/>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9"/>
              </w:rPr>
              <w:t xml:space="preserve"> </w:t>
            </w:r>
            <w:r>
              <w:rPr>
                <w:spacing w:val="-8"/>
              </w:rPr>
              <w:t>4</w:t>
            </w:r>
            <w:r>
              <w:rPr>
                <w:spacing w:val="-25"/>
              </w:rPr>
              <w:t xml:space="preserve"> </w:t>
            </w:r>
            <w:r>
              <w:rPr>
                <w:spacing w:val="-8"/>
              </w:rPr>
              <w:t>月</w:t>
            </w:r>
            <w:r>
              <w:rPr/>
              <w:t xml:space="preserve"> </w:t>
            </w:r>
            <w:r>
              <w:rPr/>
              <w:t>15日(文件签</w:t>
            </w:r>
            <w:r>
              <w:rPr>
                <w:spacing w:val="1"/>
              </w:rPr>
              <w:t xml:space="preserve">  </w:t>
            </w:r>
            <w:r>
              <w:rPr>
                <w:spacing w:val="6"/>
              </w:rPr>
              <w:t>发日期)</w:t>
            </w:r>
          </w:p>
        </w:tc>
        <w:tc>
          <w:tcPr>
            <w:tcW w:w="979" w:type="dxa"/>
            <w:vAlign w:val="top"/>
          </w:tcPr>
          <w:p>
            <w:pPr>
              <w:pStyle w:val="TableText"/>
              <w:ind w:left="108"/>
              <w:spacing w:before="82" w:line="219" w:lineRule="auto"/>
              <w:rPr/>
            </w:pPr>
            <w:r>
              <w:rPr>
                <w:spacing w:val="-2"/>
              </w:rPr>
              <w:t>公路交通业</w:t>
            </w:r>
          </w:p>
        </w:tc>
        <w:tc>
          <w:tcPr>
            <w:tcW w:w="390" w:type="dxa"/>
            <w:vAlign w:val="top"/>
          </w:tcPr>
          <w:p>
            <w:pPr>
              <w:pStyle w:val="TableText"/>
              <w:ind w:left="39" w:right="45"/>
              <w:spacing w:before="71" w:line="235" w:lineRule="auto"/>
              <w:rPr/>
            </w:pPr>
            <w:r>
              <w:rPr>
                <w:spacing w:val="-5"/>
              </w:rPr>
              <w:t>行政</w:t>
            </w:r>
            <w:r>
              <w:rPr/>
              <w:t xml:space="preserve"> </w:t>
            </w:r>
            <w:r>
              <w:rPr>
                <w:spacing w:val="-3"/>
              </w:rPr>
              <w:t>通知</w:t>
            </w:r>
          </w:p>
        </w:tc>
        <w:tc>
          <w:tcPr>
            <w:tcW w:w="384" w:type="dxa"/>
            <w:vAlign w:val="top"/>
          </w:tcPr>
          <w:p>
            <w:pPr>
              <w:pStyle w:val="TableText"/>
              <w:ind w:left="40" w:right="39"/>
              <w:spacing w:before="73" w:line="232"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2" w:header="0" w:footer="0" w:gutter="0"/>
        </w:sectPr>
        <w:rPr/>
      </w:pPr>
    </w:p>
    <w:p>
      <w:pPr>
        <w:spacing w:before="46"/>
        <w:rPr/>
      </w:pPr>
      <w:r>
        <mc:AlternateContent xmlns:mc="http://schemas.openxmlformats.org/markup-compatibility/2006">
          <mc:Choice Requires="wps">
            <w:drawing>
              <wp:anchor distT="0" distB="0" distL="0" distR="0" simplePos="0" relativeHeight="25178112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10" name="TextBox 110"/>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2" style="position:absolute;margin-left:37.3042pt;margin-top:345.874pt;mso-position-vertical-relative:page;mso-position-horizontal-relative:page;width:13.1pt;height:12.4pt;z-index:25178112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123</w:t>
                      </w:r>
                    </w:p>
                  </w:txbxContent>
                </v:textbox>
              </v:shape>
            </w:pict>
          </mc:Fallback>
        </mc:AlternateContent>
      </w:r>
      <w:r/>
    </w:p>
    <w:p>
      <w:pPr>
        <w:spacing w:before="46"/>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514" w:hRule="atLeast"/>
        </w:trPr>
        <w:tc>
          <w:tcPr>
            <w:tcW w:w="295" w:type="dxa"/>
            <w:vAlign w:val="top"/>
            <w:textDirection w:val="tbRlV"/>
          </w:tcPr>
          <w:p>
            <w:pPr>
              <w:pStyle w:val="TableText"/>
              <w:ind w:left="57"/>
              <w:spacing w:before="70" w:line="217" w:lineRule="auto"/>
              <w:rPr/>
            </w:pPr>
            <w:r>
              <w:rPr/>
              <w:t>序</w:t>
            </w:r>
            <w:r>
              <w:rPr>
                <w:spacing w:val="16"/>
              </w:rPr>
              <w:t xml:space="preserve"> </w:t>
            </w:r>
            <w:r>
              <w:rPr/>
              <w:t>号</w:t>
            </w:r>
          </w:p>
        </w:tc>
        <w:tc>
          <w:tcPr>
            <w:tcW w:w="4125" w:type="dxa"/>
            <w:vAlign w:val="top"/>
          </w:tcPr>
          <w:p>
            <w:pPr>
              <w:pStyle w:val="TableText"/>
              <w:ind w:left="1749"/>
              <w:spacing w:before="181" w:line="219" w:lineRule="auto"/>
              <w:rPr/>
            </w:pPr>
            <w:r>
              <w:rPr>
                <w:spacing w:val="-2"/>
              </w:rPr>
              <w:t>主要内容</w:t>
            </w:r>
          </w:p>
        </w:tc>
        <w:tc>
          <w:tcPr>
            <w:tcW w:w="2507" w:type="dxa"/>
            <w:vAlign w:val="top"/>
          </w:tcPr>
          <w:p>
            <w:pPr>
              <w:pStyle w:val="TableText"/>
              <w:ind w:left="934"/>
              <w:spacing w:before="180" w:line="219" w:lineRule="auto"/>
              <w:rPr/>
            </w:pPr>
            <w:r>
              <w:rPr>
                <w:spacing w:val="-1"/>
              </w:rPr>
              <w:t>政策依据</w:t>
            </w:r>
          </w:p>
        </w:tc>
        <w:tc>
          <w:tcPr>
            <w:tcW w:w="949" w:type="dxa"/>
            <w:vAlign w:val="top"/>
          </w:tcPr>
          <w:p>
            <w:pPr>
              <w:pStyle w:val="TableText"/>
              <w:ind w:left="178"/>
              <w:spacing w:before="181" w:line="219" w:lineRule="auto"/>
              <w:rPr/>
            </w:pPr>
            <w:r>
              <w:rPr>
                <w:spacing w:val="3"/>
              </w:rPr>
              <w:t>执行时间</w:t>
            </w:r>
          </w:p>
        </w:tc>
        <w:tc>
          <w:tcPr>
            <w:tcW w:w="979" w:type="dxa"/>
            <w:vAlign w:val="top"/>
          </w:tcPr>
          <w:p>
            <w:pPr>
              <w:pStyle w:val="TableText"/>
              <w:ind w:left="337" w:right="192" w:hanging="149"/>
              <w:spacing w:before="84" w:line="237"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7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71" w:line="246" w:lineRule="auto"/>
              <w:rPr/>
            </w:pPr>
            <w:r>
              <w:rPr>
                <w:spacing w:val="-3"/>
              </w:rPr>
              <w:t>政策</w:t>
            </w:r>
            <w:r>
              <w:rPr/>
              <w:t xml:space="preserve"> </w:t>
            </w:r>
            <w:r>
              <w:rPr>
                <w:spacing w:val="-4"/>
              </w:rPr>
              <w:t>形式</w:t>
            </w:r>
          </w:p>
        </w:tc>
      </w:tr>
      <w:tr>
        <w:trPr>
          <w:trHeight w:val="5696" w:hRule="atLeast"/>
        </w:trPr>
        <w:tc>
          <w:tcPr>
            <w:tcW w:w="295"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48" w:line="183" w:lineRule="auto"/>
              <w:rPr/>
            </w:pPr>
            <w:r>
              <w:rPr/>
              <w:t>9</w:t>
            </w:r>
          </w:p>
        </w:tc>
        <w:tc>
          <w:tcPr>
            <w:tcW w:w="4125" w:type="dxa"/>
            <w:vAlign w:val="top"/>
          </w:tcPr>
          <w:p>
            <w:pPr>
              <w:pStyle w:val="TableText"/>
              <w:ind w:left="20" w:right="40" w:firstLine="10"/>
              <w:spacing w:before="165" w:line="242" w:lineRule="auto"/>
              <w:jc w:val="both"/>
              <w:rPr/>
            </w:pPr>
            <w:r>
              <w:rPr/>
              <w:t>余专项收入、资金可用于偿还市场化融资的</w:t>
            </w:r>
            <w:r>
              <w:rPr>
                <w:spacing w:val="-1"/>
              </w:rPr>
              <w:t>，银行保险机构可</w:t>
            </w:r>
            <w:r>
              <w:rPr/>
              <w:t xml:space="preserve"> </w:t>
            </w:r>
            <w:r>
              <w:rPr/>
              <w:t>在风险可控、审慎合规的前提下，根据剩余专项收入情况提供</w:t>
            </w:r>
            <w:r>
              <w:rPr>
                <w:spacing w:val="3"/>
              </w:rPr>
              <w:t xml:space="preserve"> </w:t>
            </w:r>
            <w:r>
              <w:rPr>
                <w:spacing w:val="-1"/>
              </w:rPr>
              <w:t>市场化融资。</w:t>
            </w:r>
          </w:p>
          <w:p>
            <w:pPr>
              <w:pStyle w:val="TableText"/>
              <w:ind w:left="30" w:right="41" w:firstLine="69"/>
              <w:spacing w:before="41" w:line="236" w:lineRule="auto"/>
              <w:rPr/>
            </w:pPr>
            <w:r>
              <w:rPr/>
              <w:t>(四)进一步优化公路项目还款安排。针对公路交通项目现金</w:t>
            </w:r>
            <w:r>
              <w:rPr>
                <w:spacing w:val="2"/>
              </w:rPr>
              <w:t xml:space="preserve">  </w:t>
            </w:r>
            <w:r>
              <w:rPr/>
              <w:t>流收益特征，合理做好贷款还本付息安排。</w:t>
            </w:r>
            <w:r>
              <w:rPr>
                <w:spacing w:val="-1"/>
              </w:rPr>
              <w:t>对在运营初期存在</w:t>
            </w:r>
            <w:r>
              <w:rPr/>
              <w:t xml:space="preserve"> </w:t>
            </w:r>
            <w:r>
              <w:rPr>
                <w:spacing w:val="-1"/>
              </w:rPr>
              <w:t>收支缺口的收费公路，银行业金融机构可根据评估情况，合理</w:t>
            </w:r>
            <w:r>
              <w:rPr>
                <w:spacing w:val="14"/>
              </w:rPr>
              <w:t xml:space="preserve"> </w:t>
            </w:r>
            <w:r>
              <w:rPr>
                <w:spacing w:val="-1"/>
              </w:rPr>
              <w:t>安排债务本息还款宽限期，原则上不超过建设期加1年</w:t>
            </w:r>
          </w:p>
          <w:p>
            <w:pPr>
              <w:pStyle w:val="TableText"/>
              <w:ind w:left="30" w:right="29" w:firstLine="69"/>
              <w:spacing w:before="1" w:line="243" w:lineRule="auto"/>
              <w:rPr/>
            </w:pPr>
            <w:r>
              <w:rPr/>
              <w:t>(五)稳妥有序开展业务创新。鼓励银行保险机构为符合条件</w:t>
            </w:r>
            <w:r>
              <w:rPr>
                <w:spacing w:val="2"/>
              </w:rPr>
              <w:t xml:space="preserve">  </w:t>
            </w:r>
            <w:r>
              <w:rPr/>
              <w:t>的绿色低碳公路项目提供金融支持，助力交通运输领域实现碳</w:t>
            </w:r>
            <w:r>
              <w:rPr>
                <w:spacing w:val="4"/>
              </w:rPr>
              <w:t xml:space="preserve"> </w:t>
            </w:r>
            <w:r>
              <w:rPr/>
              <w:t>达峰碳中和。支持交通运输企业在依法合规、</w:t>
            </w:r>
            <w:r>
              <w:rPr>
                <w:spacing w:val="-1"/>
              </w:rPr>
              <w:t>风险可控的前提</w:t>
            </w:r>
            <w:r>
              <w:rPr/>
              <w:t xml:space="preserve"> </w:t>
            </w:r>
            <w:r>
              <w:rPr/>
              <w:t>下，通过资产证券化(ABS)、基础设施领域不动产投资</w:t>
            </w:r>
            <w:r>
              <w:rPr>
                <w:spacing w:val="-1"/>
              </w:rPr>
              <w:t>信托</w:t>
            </w:r>
          </w:p>
          <w:p>
            <w:pPr>
              <w:pStyle w:val="TableText"/>
              <w:ind w:left="30"/>
              <w:spacing w:before="22" w:line="219" w:lineRule="auto"/>
              <w:rPr/>
            </w:pPr>
            <w:r>
              <w:rPr/>
              <w:t>基金(REITs)等方式有效盘活公路存量资产。</w:t>
            </w:r>
          </w:p>
          <w:p>
            <w:pPr>
              <w:pStyle w:val="TableText"/>
              <w:ind w:left="10" w:right="40" w:firstLine="89"/>
              <w:spacing w:before="41"/>
              <w:rPr/>
            </w:pPr>
            <w:r>
              <w:rPr/>
              <w:t>(六)支持保险公司参与公路交通建设。充分发挥保险资金规</w:t>
            </w:r>
            <w:r>
              <w:rPr>
                <w:spacing w:val="2"/>
              </w:rPr>
              <w:t xml:space="preserve">  </w:t>
            </w:r>
            <w:r>
              <w:rPr/>
              <w:t>模大、期限长、稳定性高的优势，鼓励保险机构通过债权、股</w:t>
            </w:r>
            <w:r>
              <w:rPr>
                <w:spacing w:val="13"/>
              </w:rPr>
              <w:t xml:space="preserve"> </w:t>
            </w:r>
            <w:r>
              <w:rPr/>
              <w:t>权、股债结合、资产支持计划和私募基金等形式，参与重大公</w:t>
            </w:r>
            <w:r>
              <w:rPr>
                <w:spacing w:val="13"/>
              </w:rPr>
              <w:t xml:space="preserve"> </w:t>
            </w:r>
            <w:r>
              <w:rPr/>
              <w:t>路交通基础设施、新型交通基础设施等项目建设。鼓励保险机</w:t>
            </w:r>
            <w:r>
              <w:rPr>
                <w:spacing w:val="11"/>
              </w:rPr>
              <w:t xml:space="preserve"> </w:t>
            </w:r>
            <w:r>
              <w:rPr/>
              <w:t>构根据不同类型项目特点，推出合适的公路交通项目灾毁保险</w:t>
            </w:r>
            <w:r>
              <w:rPr>
                <w:spacing w:val="11"/>
              </w:rPr>
              <w:t xml:space="preserve"> </w:t>
            </w:r>
            <w:r>
              <w:rPr/>
              <w:t>产品和服务，积极参与公路灾毁保险等业务。鼓励保险资金在</w:t>
            </w:r>
            <w:r>
              <w:rPr>
                <w:spacing w:val="13"/>
              </w:rPr>
              <w:t xml:space="preserve"> </w:t>
            </w:r>
            <w:r>
              <w:rPr/>
              <w:t>风险可控前提下通过购买地方政府债券方式合法合规参与公路</w:t>
            </w:r>
            <w:r>
              <w:rPr>
                <w:spacing w:val="12"/>
              </w:rPr>
              <w:t xml:space="preserve"> </w:t>
            </w:r>
            <w:r>
              <w:rPr>
                <w:spacing w:val="-2"/>
              </w:rPr>
              <w:t>发展。</w:t>
            </w:r>
          </w:p>
          <w:p>
            <w:pPr>
              <w:pStyle w:val="TableText"/>
              <w:ind w:left="10" w:firstLine="89"/>
              <w:spacing w:before="11" w:line="244" w:lineRule="auto"/>
              <w:rPr/>
            </w:pPr>
            <w:r>
              <w:rPr>
                <w:spacing w:val="-1"/>
              </w:rPr>
              <w:t>(七)稳妥做好存量债务风险化解。按照市场化、法治化及双  </w:t>
            </w:r>
            <w:r>
              <w:rPr/>
              <w:t>方自愿的原则，根据收费公路资产特性、运营情况，在符合</w:t>
            </w:r>
            <w:r>
              <w:rPr>
                <w:spacing w:val="-1"/>
              </w:rPr>
              <w:t>公 </w:t>
            </w:r>
            <w:r>
              <w:rPr/>
              <w:t>路收费有关规定的前提下，稳妥有序推进收费公路存量债务</w:t>
            </w:r>
            <w:r>
              <w:rPr>
                <w:spacing w:val="-1"/>
              </w:rPr>
              <w:t>接 </w:t>
            </w:r>
            <w:r>
              <w:rPr/>
              <w:t>续，防范化解收费公路存量债务风险。对受疫情影响较重、</w:t>
            </w:r>
            <w:r>
              <w:rPr>
                <w:spacing w:val="-1"/>
              </w:rPr>
              <w:t>经 </w:t>
            </w:r>
            <w:r>
              <w:rPr/>
              <w:t>营遇到暂时困难的公路交通企业，银行业金融机构在依法合</w:t>
            </w:r>
            <w:r>
              <w:rPr>
                <w:spacing w:val="-1"/>
              </w:rPr>
              <w:t>规 </w:t>
            </w:r>
            <w:r>
              <w:rPr/>
              <w:t>的前提下，按照市场化原则合理优化贷款期限、利率和还款方</w:t>
            </w:r>
            <w:r>
              <w:rPr>
                <w:spacing w:val="17"/>
              </w:rPr>
              <w:t xml:space="preserve"> </w:t>
            </w:r>
            <w:r>
              <w:rPr>
                <w:spacing w:val="-4"/>
              </w:rPr>
              <w:t>式，不盲目抽贷、断贷、压贷，支持公路交通企业应对疫情影响</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82144" behindDoc="0" locked="0" layoutInCell="0" allowOverlap="1">
                <wp:simplePos x="0" y="0"/>
                <wp:positionH relativeFrom="page">
                  <wp:posOffset>474169</wp:posOffset>
                </wp:positionH>
                <wp:positionV relativeFrom="page">
                  <wp:posOffset>626619</wp:posOffset>
                </wp:positionV>
                <wp:extent cx="166370" cy="158114"/>
                <wp:effectExtent l="0" t="0" r="0" b="0"/>
                <wp:wrapNone/>
                <wp:docPr id="112" name="TextBox 112"/>
                <wp:cNvGraphicFramePr/>
                <a:graphic>
                  <a:graphicData uri="http://schemas.microsoft.com/office/word/2010/wordprocessingShape">
                    <wps:wsp>
                      <wps:cNvSpPr txBox="1"/>
                      <wps:spPr>
                        <a:xfrm rot="5400000">
                          <a:off x="474169" y="626619"/>
                          <a:ext cx="16637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4" style="position:absolute;margin-left:37.3362pt;margin-top:49.3401pt;mso-position-vertical-relative:page;mso-position-horizontal-relative:page;width:13.1pt;height:12.45pt;z-index:251782144;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124</w:t>
                      </w:r>
                    </w:p>
                  </w:txbxContent>
                </v:textbox>
              </v:shape>
            </w:pict>
          </mc:Fallback>
        </mc:AlternateContent>
      </w:r>
      <w:r/>
    </w:p>
    <w:p>
      <w:pPr>
        <w:spacing w:before="51"/>
        <w:rPr/>
      </w:pPr>
      <w:r/>
    </w:p>
    <w:tbl>
      <w:tblPr>
        <w:tblStyle w:val="TableNormal"/>
        <w:tblW w:w="9639" w:type="dxa"/>
        <w:tblInd w:w="29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6" w:type="dxa"/>
            <w:vAlign w:val="top"/>
          </w:tcPr>
          <w:p>
            <w:pPr>
              <w:pStyle w:val="TableText"/>
              <w:ind w:left="178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73" w:line="21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1447" w:hRule="atLeast"/>
        </w:trPr>
        <w:tc>
          <w:tcPr>
            <w:tcW w:w="285" w:type="dxa"/>
            <w:vAlign w:val="top"/>
          </w:tcPr>
          <w:p>
            <w:pPr>
              <w:spacing w:line="316" w:lineRule="auto"/>
              <w:rPr>
                <w:rFonts w:ascii="Arial"/>
                <w:sz w:val="21"/>
              </w:rPr>
            </w:pPr>
            <w:r/>
          </w:p>
          <w:p>
            <w:pPr>
              <w:spacing w:line="316" w:lineRule="auto"/>
              <w:rPr>
                <w:rFonts w:ascii="Arial"/>
                <w:sz w:val="21"/>
              </w:rPr>
            </w:pPr>
            <w:r/>
          </w:p>
          <w:p>
            <w:pPr>
              <w:pStyle w:val="TableText"/>
              <w:ind w:left="55"/>
              <w:spacing w:before="49" w:line="184" w:lineRule="auto"/>
              <w:rPr/>
            </w:pPr>
            <w:r>
              <w:rPr>
                <w:spacing w:val="-5"/>
              </w:rPr>
              <w:t>10</w:t>
            </w:r>
          </w:p>
        </w:tc>
        <w:tc>
          <w:tcPr>
            <w:tcW w:w="4136" w:type="dxa"/>
            <w:vAlign w:val="top"/>
          </w:tcPr>
          <w:p>
            <w:pPr>
              <w:pStyle w:val="TableText"/>
              <w:ind w:left="30" w:right="61"/>
              <w:spacing w:before="76" w:line="233" w:lineRule="auto"/>
              <w:rPr/>
            </w:pPr>
            <w:r>
              <w:rPr>
                <w:spacing w:val="-1"/>
              </w:rPr>
              <w:t>一、发挥货币政策总量和结构双重功能，加大对受疫情影响行</w:t>
            </w:r>
            <w:r>
              <w:rPr>
                <w:spacing w:val="10"/>
              </w:rPr>
              <w:t xml:space="preserve"> </w:t>
            </w:r>
            <w:r>
              <w:rPr>
                <w:spacing w:val="-1"/>
              </w:rPr>
              <w:t>业、企业、人群等金融支持</w:t>
            </w:r>
          </w:p>
          <w:p>
            <w:pPr>
              <w:pStyle w:val="TableText"/>
              <w:ind w:left="10" w:right="34" w:firstLine="40"/>
              <w:spacing w:before="22" w:line="221" w:lineRule="auto"/>
              <w:rPr/>
            </w:pPr>
            <w:r>
              <w:rPr>
                <w:spacing w:val="-1"/>
              </w:rPr>
              <w:t>二、发挥金融畅通国民经济循环作用，抓好金融支持实体经济</w:t>
            </w:r>
            <w:r>
              <w:rPr>
                <w:spacing w:val="17"/>
              </w:rPr>
              <w:t xml:space="preserve"> </w:t>
            </w:r>
            <w:r>
              <w:rPr>
                <w:spacing w:val="-1"/>
              </w:rPr>
              <w:t>政策落地</w:t>
            </w:r>
          </w:p>
          <w:p>
            <w:pPr>
              <w:pStyle w:val="TableText"/>
              <w:ind w:left="10" w:right="39" w:firstLine="20"/>
              <w:spacing w:before="39" w:line="230" w:lineRule="auto"/>
              <w:jc w:val="both"/>
              <w:rPr/>
            </w:pPr>
            <w:r>
              <w:rPr/>
              <w:t>三、优化外汇和跨境人民币业务办理，促进外</w:t>
            </w:r>
            <w:r>
              <w:rPr>
                <w:spacing w:val="-1"/>
              </w:rPr>
              <w:t>贸出口平稳发展</w:t>
            </w:r>
            <w:r>
              <w:rPr/>
              <w:t xml:space="preserve"> </w:t>
            </w:r>
            <w:r>
              <w:rPr>
                <w:spacing w:val="1"/>
              </w:rPr>
              <w:t>四、加强党的领导，提升政策长期可持续性和政策宣传落</w:t>
            </w:r>
            <w:r>
              <w:rPr/>
              <w:t>地效 </w:t>
            </w:r>
            <w:r>
              <w:rPr>
                <w:spacing w:val="-2"/>
              </w:rPr>
              <w:t>果。</w:t>
            </w:r>
          </w:p>
        </w:tc>
        <w:tc>
          <w:tcPr>
            <w:tcW w:w="2527" w:type="dxa"/>
            <w:vAlign w:val="top"/>
          </w:tcPr>
          <w:p>
            <w:pPr>
              <w:pStyle w:val="TableText"/>
              <w:ind w:left="23" w:right="56" w:firstLine="30"/>
              <w:spacing w:before="77" w:line="237" w:lineRule="auto"/>
              <w:jc w:val="both"/>
              <w:rPr/>
            </w:pPr>
            <w:r>
              <w:rPr/>
              <w:t>中国人民银行、国家外汇管理局《关</w:t>
            </w:r>
            <w:r>
              <w:rPr>
                <w:spacing w:val="6"/>
              </w:rPr>
              <w:t xml:space="preserve"> </w:t>
            </w:r>
            <w:r>
              <w:rPr>
                <w:spacing w:val="1"/>
              </w:rPr>
              <w:t>于做好疫情防控和经济社会发展金融</w:t>
            </w:r>
            <w:r>
              <w:rPr>
                <w:spacing w:val="4"/>
              </w:rPr>
              <w:t xml:space="preserve"> </w:t>
            </w:r>
            <w:r>
              <w:rPr>
                <w:spacing w:val="-2"/>
              </w:rPr>
              <w:t>服务的通知》</w:t>
            </w:r>
          </w:p>
        </w:tc>
        <w:tc>
          <w:tcPr>
            <w:tcW w:w="949" w:type="dxa"/>
            <w:vAlign w:val="top"/>
          </w:tcPr>
          <w:p>
            <w:pPr>
              <w:pStyle w:val="TableText"/>
              <w:ind w:left="26" w:right="1"/>
              <w:spacing w:before="76" w:line="238" w:lineRule="auto"/>
              <w:jc w:val="both"/>
              <w:rPr/>
            </w:pPr>
            <w:r>
              <w:rPr>
                <w:spacing w:val="-8"/>
              </w:rPr>
              <w:t>2</w:t>
            </w:r>
            <w:r>
              <w:rPr>
                <w:spacing w:val="-24"/>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9"/>
              </w:rPr>
              <w:t xml:space="preserve"> </w:t>
            </w:r>
            <w:r>
              <w:rPr>
                <w:spacing w:val="-8"/>
              </w:rPr>
              <w:t>4</w:t>
            </w:r>
            <w:r>
              <w:rPr>
                <w:spacing w:val="-25"/>
              </w:rPr>
              <w:t xml:space="preserve"> </w:t>
            </w:r>
            <w:r>
              <w:rPr>
                <w:spacing w:val="-8"/>
              </w:rPr>
              <w:t>月</w:t>
            </w:r>
            <w:r>
              <w:rPr/>
              <w:t xml:space="preserve"> </w:t>
            </w:r>
            <w:r>
              <w:rPr>
                <w:spacing w:val="1"/>
              </w:rPr>
              <w:t>18日(文件签</w:t>
            </w:r>
            <w:r>
              <w:rPr>
                <w:spacing w:val="2"/>
              </w:rPr>
              <w:t xml:space="preserve">  </w:t>
            </w:r>
            <w:r>
              <w:rPr>
                <w:spacing w:val="6"/>
              </w:rPr>
              <w:t>发日期)</w:t>
            </w:r>
          </w:p>
        </w:tc>
        <w:tc>
          <w:tcPr>
            <w:tcW w:w="969" w:type="dxa"/>
            <w:vAlign w:val="top"/>
          </w:tcPr>
          <w:p>
            <w:pPr>
              <w:pStyle w:val="TableText"/>
              <w:ind w:left="28"/>
              <w:spacing w:before="67" w:line="220" w:lineRule="auto"/>
              <w:rPr/>
            </w:pPr>
            <w:r>
              <w:rPr>
                <w:spacing w:val="-2"/>
              </w:rPr>
              <w:t>受疫情影响行</w:t>
            </w:r>
          </w:p>
          <w:p>
            <w:pPr>
              <w:pStyle w:val="TableText"/>
              <w:ind w:left="28"/>
              <w:spacing w:before="33" w:line="222" w:lineRule="auto"/>
              <w:rPr/>
            </w:pPr>
            <w:r>
              <w:rPr>
                <w:spacing w:val="-1"/>
              </w:rPr>
              <w:t>业、企业、人</w:t>
            </w:r>
          </w:p>
          <w:p>
            <w:pPr>
              <w:pStyle w:val="TableText"/>
              <w:ind w:left="327"/>
              <w:spacing w:before="7" w:line="219" w:lineRule="auto"/>
              <w:rPr/>
            </w:pPr>
            <w:r>
              <w:rPr>
                <w:spacing w:val="-2"/>
              </w:rPr>
              <w:t>群等</w:t>
            </w:r>
          </w:p>
        </w:tc>
        <w:tc>
          <w:tcPr>
            <w:tcW w:w="389" w:type="dxa"/>
            <w:vAlign w:val="top"/>
          </w:tcPr>
          <w:p>
            <w:pPr>
              <w:pStyle w:val="TableText"/>
              <w:ind w:left="38" w:right="45"/>
              <w:spacing w:before="57" w:line="247" w:lineRule="auto"/>
              <w:rPr/>
            </w:pPr>
            <w:r>
              <w:rPr>
                <w:spacing w:val="-5"/>
              </w:rPr>
              <w:t>行政</w:t>
            </w:r>
            <w:r>
              <w:rPr/>
              <w:t xml:space="preserve"> </w:t>
            </w:r>
            <w:r>
              <w:rPr>
                <w:spacing w:val="-3"/>
              </w:rPr>
              <w:t>通知</w:t>
            </w:r>
          </w:p>
        </w:tc>
        <w:tc>
          <w:tcPr>
            <w:tcW w:w="384" w:type="dxa"/>
            <w:vAlign w:val="top"/>
          </w:tcPr>
          <w:p>
            <w:pPr>
              <w:pStyle w:val="TableText"/>
              <w:ind w:left="40" w:right="39"/>
              <w:spacing w:before="58" w:line="232" w:lineRule="auto"/>
              <w:rPr/>
            </w:pPr>
            <w:r>
              <w:rPr>
                <w:spacing w:val="-5"/>
              </w:rPr>
              <w:t>行政</w:t>
            </w:r>
            <w:r>
              <w:rPr/>
              <w:t xml:space="preserve"> </w:t>
            </w:r>
            <w:r>
              <w:rPr>
                <w:spacing w:val="-3"/>
              </w:rPr>
              <w:t>优化</w:t>
            </w:r>
          </w:p>
        </w:tc>
      </w:tr>
      <w:tr>
        <w:trPr>
          <w:trHeight w:val="1468" w:hRule="atLeast"/>
        </w:trPr>
        <w:tc>
          <w:tcPr>
            <w:tcW w:w="285" w:type="dxa"/>
            <w:vAlign w:val="top"/>
          </w:tcPr>
          <w:p>
            <w:pPr>
              <w:spacing w:line="322" w:lineRule="auto"/>
              <w:rPr>
                <w:rFonts w:ascii="Arial"/>
                <w:sz w:val="21"/>
              </w:rPr>
            </w:pPr>
            <w:r/>
          </w:p>
          <w:p>
            <w:pPr>
              <w:spacing w:line="323" w:lineRule="auto"/>
              <w:rPr>
                <w:rFonts w:ascii="Arial"/>
                <w:sz w:val="21"/>
              </w:rPr>
            </w:pPr>
            <w:r/>
          </w:p>
          <w:p>
            <w:pPr>
              <w:pStyle w:val="TableText"/>
              <w:ind w:left="55"/>
              <w:spacing w:before="49" w:line="184" w:lineRule="auto"/>
              <w:rPr/>
            </w:pPr>
            <w:r>
              <w:rPr>
                <w:spacing w:val="-5"/>
              </w:rPr>
              <w:t>11</w:t>
            </w:r>
          </w:p>
        </w:tc>
        <w:tc>
          <w:tcPr>
            <w:tcW w:w="4136" w:type="dxa"/>
            <w:vAlign w:val="top"/>
          </w:tcPr>
          <w:p>
            <w:pPr>
              <w:pStyle w:val="TableText"/>
              <w:ind w:left="40"/>
              <w:spacing w:before="79" w:line="219" w:lineRule="auto"/>
              <w:rPr/>
            </w:pPr>
            <w:r>
              <w:rPr>
                <w:spacing w:val="-1"/>
              </w:rPr>
              <w:t>一、坚持稳中求进，持续改进小微企业金融供给</w:t>
            </w:r>
          </w:p>
          <w:p>
            <w:pPr>
              <w:pStyle w:val="TableText"/>
              <w:ind w:left="50"/>
              <w:spacing w:before="22" w:line="219" w:lineRule="auto"/>
              <w:rPr/>
            </w:pPr>
            <w:r>
              <w:rPr>
                <w:spacing w:val="-1"/>
              </w:rPr>
              <w:t>二、深化供给侧结构性改革，提高信贷资源配置效能</w:t>
            </w:r>
          </w:p>
          <w:p>
            <w:pPr>
              <w:pStyle w:val="TableText"/>
              <w:ind w:left="20" w:right="31" w:firstLine="30"/>
              <w:spacing w:before="12" w:line="233" w:lineRule="auto"/>
              <w:rPr/>
            </w:pPr>
            <w:r>
              <w:rPr/>
              <w:t>三、强化对重点领域和薄弱环节小微企业的金</w:t>
            </w:r>
            <w:r>
              <w:rPr>
                <w:spacing w:val="-1"/>
              </w:rPr>
              <w:t>融支持，助力畅</w:t>
            </w:r>
            <w:r>
              <w:rPr/>
              <w:t xml:space="preserve"> </w:t>
            </w:r>
            <w:r>
              <w:rPr>
                <w:spacing w:val="-1"/>
              </w:rPr>
              <w:t>通国民经济循环</w:t>
            </w:r>
          </w:p>
          <w:p>
            <w:pPr>
              <w:pStyle w:val="TableText"/>
              <w:ind w:left="40" w:right="162" w:firstLine="10"/>
              <w:spacing w:before="41" w:line="226" w:lineRule="auto"/>
              <w:rPr/>
            </w:pPr>
            <w:r>
              <w:rPr/>
              <w:t>四、做实服务小微企业的专业机制，提升综合金融服务能力</w:t>
            </w:r>
            <w:r>
              <w:rPr>
                <w:spacing w:val="12"/>
              </w:rPr>
              <w:t xml:space="preserve"> </w:t>
            </w:r>
            <w:r>
              <w:rPr>
                <w:spacing w:val="-1"/>
              </w:rPr>
              <w:t>五、推动加强信用信息共享应用，促进小微企业融资</w:t>
            </w:r>
          </w:p>
          <w:p>
            <w:pPr>
              <w:pStyle w:val="TableText"/>
              <w:ind w:left="30"/>
              <w:spacing w:before="22" w:line="219" w:lineRule="auto"/>
              <w:rPr/>
            </w:pPr>
            <w:r>
              <w:rPr>
                <w:spacing w:val="-1"/>
              </w:rPr>
              <w:t>六、监管靠前担当作为，凝聚合力强化支持保障</w:t>
            </w:r>
          </w:p>
        </w:tc>
        <w:tc>
          <w:tcPr>
            <w:tcW w:w="2527" w:type="dxa"/>
            <w:vAlign w:val="top"/>
          </w:tcPr>
          <w:p>
            <w:pPr>
              <w:pStyle w:val="TableText"/>
              <w:ind w:left="53" w:right="67" w:firstLine="80"/>
              <w:spacing w:before="79" w:line="254" w:lineRule="auto"/>
              <w:jc w:val="both"/>
              <w:rPr/>
            </w:pPr>
            <w:r>
              <w:rPr/>
              <w:t>中国银保监会办公厅《关于2022年</w:t>
            </w:r>
            <w:r>
              <w:rPr>
                <w:spacing w:val="2"/>
              </w:rPr>
              <w:t xml:space="preserve">  </w:t>
            </w:r>
            <w:r>
              <w:rPr>
                <w:spacing w:val="-1"/>
              </w:rPr>
              <w:t>进一步强化金融支持小微企业发展工</w:t>
            </w:r>
            <w:r>
              <w:rPr>
                <w:spacing w:val="10"/>
              </w:rPr>
              <w:t xml:space="preserve"> </w:t>
            </w:r>
            <w:r>
              <w:rPr>
                <w:spacing w:val="-1"/>
              </w:rPr>
              <w:t>作的通知》银保监办发〔2022〕37号</w:t>
            </w:r>
          </w:p>
        </w:tc>
        <w:tc>
          <w:tcPr>
            <w:tcW w:w="949" w:type="dxa"/>
            <w:vAlign w:val="top"/>
          </w:tcPr>
          <w:p>
            <w:pPr>
              <w:pStyle w:val="TableText"/>
              <w:ind w:left="26" w:right="4" w:hanging="20"/>
              <w:spacing w:before="80" w:line="221" w:lineRule="auto"/>
              <w:jc w:val="both"/>
              <w:rPr/>
            </w:pPr>
            <w:r>
              <w:rPr>
                <w:spacing w:val="22"/>
              </w:rPr>
              <w:t>2022年4月6</w:t>
            </w:r>
            <w:r>
              <w:rPr/>
              <w:t xml:space="preserve"> </w:t>
            </w:r>
            <w:r>
              <w:rPr>
                <w:spacing w:val="3"/>
              </w:rPr>
              <w:t>日(文件签发 </w:t>
            </w:r>
            <w:r>
              <w:rPr>
                <w:spacing w:val="9"/>
              </w:rPr>
              <w:t>日期)</w:t>
            </w:r>
          </w:p>
        </w:tc>
        <w:tc>
          <w:tcPr>
            <w:tcW w:w="969" w:type="dxa"/>
            <w:vAlign w:val="top"/>
          </w:tcPr>
          <w:p>
            <w:pPr>
              <w:pStyle w:val="TableText"/>
              <w:ind w:left="177"/>
              <w:spacing w:before="80" w:line="219" w:lineRule="auto"/>
              <w:rPr/>
            </w:pPr>
            <w:r>
              <w:rPr>
                <w:spacing w:val="-2"/>
              </w:rPr>
              <w:t>小微企业</w:t>
            </w:r>
          </w:p>
        </w:tc>
        <w:tc>
          <w:tcPr>
            <w:tcW w:w="389" w:type="dxa"/>
            <w:vAlign w:val="top"/>
          </w:tcPr>
          <w:p>
            <w:pPr>
              <w:pStyle w:val="TableText"/>
              <w:ind w:left="38" w:right="45"/>
              <w:spacing w:before="80" w:line="247" w:lineRule="auto"/>
              <w:rPr/>
            </w:pPr>
            <w:r>
              <w:rPr>
                <w:spacing w:val="-5"/>
              </w:rPr>
              <w:t>行政</w:t>
            </w:r>
            <w:r>
              <w:rPr/>
              <w:t xml:space="preserve"> </w:t>
            </w:r>
            <w:r>
              <w:rPr>
                <w:spacing w:val="-3"/>
              </w:rPr>
              <w:t>通知</w:t>
            </w:r>
          </w:p>
        </w:tc>
        <w:tc>
          <w:tcPr>
            <w:tcW w:w="384" w:type="dxa"/>
            <w:vAlign w:val="top"/>
          </w:tcPr>
          <w:p>
            <w:pPr>
              <w:pStyle w:val="TableText"/>
              <w:ind w:left="40" w:right="39"/>
              <w:spacing w:before="80" w:line="245" w:lineRule="auto"/>
              <w:rPr/>
            </w:pPr>
            <w:r>
              <w:rPr>
                <w:spacing w:val="-5"/>
              </w:rPr>
              <w:t>行政</w:t>
            </w:r>
            <w:r>
              <w:rPr/>
              <w:t xml:space="preserve"> </w:t>
            </w:r>
            <w:r>
              <w:rPr>
                <w:spacing w:val="-3"/>
              </w:rPr>
              <w:t>优化</w:t>
            </w:r>
          </w:p>
        </w:tc>
      </w:tr>
      <w:tr>
        <w:trPr>
          <w:trHeight w:val="2840" w:hRule="atLeast"/>
        </w:trPr>
        <w:tc>
          <w:tcPr>
            <w:tcW w:w="285"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55"/>
              <w:spacing w:before="48" w:line="184" w:lineRule="auto"/>
              <w:rPr/>
            </w:pPr>
            <w:r>
              <w:rPr>
                <w:spacing w:val="-5"/>
              </w:rPr>
              <w:t>12</w:t>
            </w:r>
          </w:p>
        </w:tc>
        <w:tc>
          <w:tcPr>
            <w:tcW w:w="4136" w:type="dxa"/>
            <w:vAlign w:val="top"/>
          </w:tcPr>
          <w:p>
            <w:pPr>
              <w:pStyle w:val="TableText"/>
              <w:ind w:left="30" w:right="5" w:firstLine="10"/>
              <w:spacing w:before="72" w:line="239" w:lineRule="auto"/>
              <w:rPr/>
            </w:pPr>
            <w:r>
              <w:rPr>
                <w:spacing w:val="-5"/>
              </w:rPr>
              <w:t>一、全力支持新能源汽车销售，提升新能源汽车金融服务可得性</w:t>
            </w:r>
            <w:r>
              <w:rPr>
                <w:spacing w:val="18"/>
                <w:w w:val="101"/>
              </w:rPr>
              <w:t xml:space="preserve"> </w:t>
            </w:r>
            <w:r>
              <w:rPr>
                <w:spacing w:val="2"/>
              </w:rPr>
              <w:t>(一)鼓励非银机构开发设计符合新能源汽车特点的专属金融  </w:t>
            </w:r>
            <w:r>
              <w:rPr>
                <w:spacing w:val="-1"/>
              </w:rPr>
              <w:t>产品和服务，降低新能源汽车消费者在购置、使用和保有环节 </w:t>
            </w:r>
            <w:r>
              <w:rPr/>
              <w:t>的成本，进一步释放新能源汽车消费潜力。</w:t>
            </w:r>
          </w:p>
          <w:p>
            <w:pPr>
              <w:pStyle w:val="TableText"/>
              <w:ind w:left="30" w:right="53" w:firstLine="40"/>
              <w:spacing w:before="23" w:line="233" w:lineRule="auto"/>
              <w:rPr/>
            </w:pPr>
            <w:r>
              <w:rPr/>
              <w:t>(二)适当扩大绿色金融服务覆盖面，逐步下沉业务渠道，合</w:t>
            </w:r>
            <w:r>
              <w:rPr>
                <w:spacing w:val="2"/>
              </w:rPr>
              <w:t xml:space="preserve">  </w:t>
            </w:r>
            <w:r>
              <w:rPr>
                <w:spacing w:val="-1"/>
              </w:rPr>
              <w:t>理增加三四线城市新能源汽车金融服务的有效供给，提高新能</w:t>
            </w:r>
            <w:r>
              <w:rPr>
                <w:spacing w:val="18"/>
              </w:rPr>
              <w:t xml:space="preserve"> </w:t>
            </w:r>
            <w:r>
              <w:rPr>
                <w:spacing w:val="-1"/>
              </w:rPr>
              <w:t>源汽车金融服务可得性。</w:t>
            </w:r>
          </w:p>
          <w:p>
            <w:pPr>
              <w:pStyle w:val="TableText"/>
              <w:ind w:left="30" w:right="32" w:firstLine="59"/>
              <w:spacing w:before="31" w:line="233" w:lineRule="auto"/>
              <w:rPr/>
            </w:pPr>
            <w:r>
              <w:rPr/>
              <w:t>(三)科学研判新能源汽车产业发展趋势，积极完善自身战略</w:t>
            </w:r>
            <w:r>
              <w:rPr>
                <w:spacing w:val="2"/>
              </w:rPr>
              <w:t xml:space="preserve">  </w:t>
            </w:r>
            <w:r>
              <w:rPr/>
              <w:t>和市场布局，进一步加强与新能源汽车厂商的合作、协同，协</w:t>
            </w:r>
            <w:r>
              <w:rPr>
                <w:spacing w:val="12"/>
              </w:rPr>
              <w:t xml:space="preserve"> </w:t>
            </w:r>
            <w:r>
              <w:rPr>
                <w:spacing w:val="-1"/>
              </w:rPr>
              <w:t>助维护销售渠道，促进新能源汽车推广和应用。</w:t>
            </w:r>
          </w:p>
          <w:p>
            <w:pPr>
              <w:pStyle w:val="TableText"/>
              <w:ind w:left="30" w:right="128" w:firstLine="59"/>
              <w:spacing w:before="32" w:line="227" w:lineRule="auto"/>
              <w:rPr/>
            </w:pPr>
            <w:r>
              <w:rPr/>
              <w:t>(四)保持对新能源汽车经销商稳定连续的库存融资支持，重</w:t>
            </w:r>
            <w:r>
              <w:rPr>
                <w:spacing w:val="6"/>
              </w:rPr>
              <w:t xml:space="preserve"> </w:t>
            </w:r>
            <w:r>
              <w:rPr/>
              <w:t>点加大对中小微新能源汽车经销商的金融支持力度</w:t>
            </w:r>
          </w:p>
          <w:p>
            <w:pPr>
              <w:pStyle w:val="TableText"/>
              <w:ind w:left="10" w:right="32" w:firstLine="20"/>
              <w:spacing w:before="11" w:line="233" w:lineRule="auto"/>
              <w:rPr/>
            </w:pPr>
            <w:r>
              <w:rPr/>
              <w:t>二、推进差异化风控管理措施，完善适应新能源汽车行业特点</w:t>
            </w:r>
            <w:r>
              <w:rPr>
                <w:spacing w:val="12"/>
              </w:rPr>
              <w:t xml:space="preserve"> </w:t>
            </w:r>
            <w:r>
              <w:rPr>
                <w:spacing w:val="1"/>
              </w:rPr>
              <w:t>的业务管理机制</w:t>
            </w:r>
          </w:p>
        </w:tc>
        <w:tc>
          <w:tcPr>
            <w:tcW w:w="2527" w:type="dxa"/>
            <w:vAlign w:val="top"/>
          </w:tcPr>
          <w:p>
            <w:pPr>
              <w:pStyle w:val="TableText"/>
              <w:ind w:left="33" w:right="54" w:firstLine="20"/>
              <w:spacing w:before="70" w:line="250" w:lineRule="auto"/>
              <w:jc w:val="both"/>
              <w:rPr/>
            </w:pPr>
            <w:r>
              <w:rPr/>
              <w:t>中国银保监会《关于鼓励非银机构支</w:t>
            </w:r>
            <w:r>
              <w:rPr>
                <w:spacing w:val="7"/>
              </w:rPr>
              <w:t xml:space="preserve"> </w:t>
            </w:r>
            <w:r>
              <w:rPr/>
              <w:t>持新能源汽车发展的通知》银保监办</w:t>
            </w:r>
            <w:r>
              <w:rPr>
                <w:spacing w:val="11"/>
              </w:rPr>
              <w:t xml:space="preserve"> </w:t>
            </w:r>
            <w:r>
              <w:rPr>
                <w:spacing w:val="-1"/>
              </w:rPr>
              <w:t>便函〔2022〕618号</w:t>
            </w:r>
          </w:p>
        </w:tc>
        <w:tc>
          <w:tcPr>
            <w:tcW w:w="949" w:type="dxa"/>
            <w:vAlign w:val="top"/>
          </w:tcPr>
          <w:p>
            <w:pPr>
              <w:pStyle w:val="TableText"/>
              <w:ind w:left="6" w:right="1" w:firstLine="20"/>
              <w:spacing w:before="73" w:line="229" w:lineRule="auto"/>
              <w:jc w:val="both"/>
              <w:rPr/>
            </w:pPr>
            <w:r>
              <w:rPr>
                <w:spacing w:val="-8"/>
              </w:rPr>
              <w:t>2</w:t>
            </w:r>
            <w:r>
              <w:rPr>
                <w:spacing w:val="-26"/>
              </w:rPr>
              <w:t xml:space="preserve"> </w:t>
            </w:r>
            <w:r>
              <w:rPr>
                <w:spacing w:val="-8"/>
              </w:rPr>
              <w:t>0</w:t>
            </w:r>
            <w:r>
              <w:rPr>
                <w:spacing w:val="-27"/>
              </w:rPr>
              <w:t xml:space="preserve"> </w:t>
            </w:r>
            <w:r>
              <w:rPr>
                <w:spacing w:val="-8"/>
              </w:rPr>
              <w:t>2</w:t>
            </w:r>
            <w:r>
              <w:rPr>
                <w:spacing w:val="-27"/>
              </w:rPr>
              <w:t xml:space="preserve"> </w:t>
            </w:r>
            <w:r>
              <w:rPr>
                <w:spacing w:val="-8"/>
              </w:rPr>
              <w:t>2</w:t>
            </w:r>
            <w:r>
              <w:rPr>
                <w:spacing w:val="-28"/>
              </w:rPr>
              <w:t xml:space="preserve"> </w:t>
            </w:r>
            <w:r>
              <w:rPr>
                <w:spacing w:val="-8"/>
              </w:rPr>
              <w:t>年</w:t>
            </w:r>
            <w:r>
              <w:rPr>
                <w:spacing w:val="-27"/>
              </w:rPr>
              <w:t xml:space="preserve"> </w:t>
            </w:r>
            <w:r>
              <w:rPr>
                <w:spacing w:val="-8"/>
              </w:rPr>
              <w:t>6</w:t>
            </w:r>
            <w:r>
              <w:rPr>
                <w:spacing w:val="-25"/>
              </w:rPr>
              <w:t xml:space="preserve"> </w:t>
            </w:r>
            <w:r>
              <w:rPr>
                <w:spacing w:val="-8"/>
              </w:rPr>
              <w:t>月</w:t>
            </w:r>
            <w:r>
              <w:rPr/>
              <w:t xml:space="preserve"> </w:t>
            </w:r>
            <w:r>
              <w:rPr>
                <w:spacing w:val="-17"/>
              </w:rPr>
              <w:t>2</w:t>
            </w:r>
            <w:r>
              <w:rPr>
                <w:spacing w:val="-13"/>
              </w:rPr>
              <w:t xml:space="preserve"> </w:t>
            </w:r>
            <w:r>
              <w:rPr>
                <w:spacing w:val="-17"/>
              </w:rPr>
              <w:t>2</w:t>
            </w:r>
            <w:r>
              <w:rPr>
                <w:spacing w:val="9"/>
              </w:rPr>
              <w:t xml:space="preserve"> </w:t>
            </w:r>
            <w:r>
              <w:rPr>
                <w:spacing w:val="-17"/>
              </w:rPr>
              <w:t>日</w:t>
            </w:r>
            <w:r>
              <w:rPr>
                <w:spacing w:val="9"/>
              </w:rPr>
              <w:t xml:space="preserve"> </w:t>
            </w:r>
            <w:r>
              <w:rPr>
                <w:spacing w:val="-16"/>
              </w:rPr>
              <w:t>( 文</w:t>
            </w:r>
            <w:r>
              <w:rPr>
                <w:spacing w:val="-18"/>
              </w:rPr>
              <w:t xml:space="preserve"> </w:t>
            </w:r>
            <w:r>
              <w:rPr>
                <w:spacing w:val="-13"/>
              </w:rPr>
              <w:t>件</w:t>
            </w:r>
            <w:r>
              <w:rPr/>
              <w:t xml:space="preserve"> </w:t>
            </w:r>
            <w:r>
              <w:rPr>
                <w:spacing w:val="7"/>
              </w:rPr>
              <w:t>签发时间)</w:t>
            </w:r>
          </w:p>
        </w:tc>
        <w:tc>
          <w:tcPr>
            <w:tcW w:w="969" w:type="dxa"/>
            <w:vAlign w:val="top"/>
          </w:tcPr>
          <w:p>
            <w:pPr>
              <w:pStyle w:val="TableText"/>
              <w:ind w:left="407" w:right="37" w:hanging="379"/>
              <w:spacing w:before="72" w:line="245" w:lineRule="auto"/>
              <w:rPr/>
            </w:pPr>
            <w:r>
              <w:rPr>
                <w:spacing w:val="-2"/>
              </w:rPr>
              <w:t>新能源汽车企</w:t>
            </w:r>
            <w:r>
              <w:rPr>
                <w:spacing w:val="4"/>
              </w:rPr>
              <w:t xml:space="preserve"> </w:t>
            </w:r>
            <w:r>
              <w:rPr/>
              <w:t>业</w:t>
            </w:r>
          </w:p>
        </w:tc>
        <w:tc>
          <w:tcPr>
            <w:tcW w:w="389" w:type="dxa"/>
            <w:vAlign w:val="top"/>
          </w:tcPr>
          <w:p>
            <w:pPr>
              <w:pStyle w:val="TableText"/>
              <w:ind w:left="38" w:right="45"/>
              <w:spacing w:before="52" w:line="247" w:lineRule="auto"/>
              <w:rPr/>
            </w:pPr>
            <w:r>
              <w:rPr>
                <w:spacing w:val="-5"/>
              </w:rPr>
              <w:t>行政</w:t>
            </w:r>
            <w:r>
              <w:rPr/>
              <w:t xml:space="preserve"> </w:t>
            </w:r>
            <w:r>
              <w:rPr>
                <w:spacing w:val="-3"/>
              </w:rPr>
              <w:t>通知</w:t>
            </w:r>
          </w:p>
        </w:tc>
        <w:tc>
          <w:tcPr>
            <w:tcW w:w="384" w:type="dxa"/>
            <w:vAlign w:val="top"/>
          </w:tcPr>
          <w:p>
            <w:pPr>
              <w:pStyle w:val="TableText"/>
              <w:ind w:left="40" w:right="39"/>
              <w:spacing w:before="52"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2" w:header="0" w:footer="0" w:gutter="0"/>
        </w:sectPr>
        <w:rPr/>
      </w:pPr>
    </w:p>
    <w:p>
      <w:pPr>
        <w:spacing w:before="51"/>
        <w:rPr/>
      </w:pPr>
      <w:r>
        <mc:AlternateContent xmlns:mc="http://schemas.openxmlformats.org/markup-compatibility/2006">
          <mc:Choice Requires="wps">
            <w:drawing>
              <wp:anchor distT="0" distB="0" distL="0" distR="0" simplePos="0" relativeHeight="251783168"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14" name="TextBox 11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YouYuan" w:hAnsi="YouYuan" w:eastAsia="YouYuan" w:cs="YouYuan"/>
                                <w:sz w:val="16"/>
                                <w:szCs w:val="16"/>
                              </w:rPr>
                            </w:pPr>
                            <w:r>
                              <w:rPr>
                                <w:rFonts w:ascii="YouYuan" w:hAnsi="YouYuan" w:eastAsia="YouYuan" w:cs="YouYuan"/>
                                <w:sz w:val="16"/>
                                <w:szCs w:val="16"/>
                                <w:spacing w:val="-5"/>
                              </w:rPr>
                              <w:t>125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6" style="position:absolute;margin-left:37.3042pt;margin-top:345.874pt;mso-position-vertical-relative:page;mso-position-horizontal-relative:page;width:13.1pt;height:12.4pt;z-index:251783168;rotation:90;" o:allowincell="f" filled="false" stroked="false" type="#_x0000_t202">
                <v:fill on="false"/>
                <v:stroke on="false"/>
                <v:path/>
                <v:imagedata o:title=""/>
                <o:lock v:ext="edit" aspectratio="false"/>
                <v:textbox inset="0mm,0mm,0mm,0mm">
                  <w:txbxContent>
                    <w:p>
                      <w:pPr>
                        <w:ind w:left="20"/>
                        <w:spacing w:before="67" w:line="184" w:lineRule="auto"/>
                        <w:rPr>
                          <w:rFonts w:ascii="YouYuan" w:hAnsi="YouYuan" w:eastAsia="YouYuan" w:cs="YouYuan"/>
                          <w:sz w:val="16"/>
                          <w:szCs w:val="16"/>
                        </w:rPr>
                      </w:pPr>
                      <w:r>
                        <w:rPr>
                          <w:rFonts w:ascii="YouYuan" w:hAnsi="YouYuan" w:eastAsia="YouYuan" w:cs="YouYuan"/>
                          <w:sz w:val="16"/>
                          <w:szCs w:val="16"/>
                          <w:spacing w:val="-5"/>
                        </w:rPr>
                        <w:t>125</w:t>
                      </w:r>
                    </w:p>
                  </w:txbxContent>
                </v:textbox>
              </v:shape>
            </w:pict>
          </mc:Fallback>
        </mc:AlternateContent>
      </w:r>
      <w:r/>
    </w:p>
    <w:p>
      <w:pPr>
        <w:spacing w:before="51"/>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86"/>
              <w:spacing w:before="171" w:line="219" w:lineRule="auto"/>
              <w:rPr/>
            </w:pPr>
            <w:r>
              <w:rPr>
                <w:spacing w:val="3"/>
              </w:rPr>
              <w:t>执行时间</w:t>
            </w:r>
          </w:p>
        </w:tc>
        <w:tc>
          <w:tcPr>
            <w:tcW w:w="969" w:type="dxa"/>
            <w:vAlign w:val="top"/>
          </w:tcPr>
          <w:p>
            <w:pPr>
              <w:pStyle w:val="TableText"/>
              <w:ind w:left="177"/>
              <w:spacing w:before="73" w:line="21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71" w:line="246" w:lineRule="auto"/>
              <w:rPr/>
            </w:pPr>
            <w:r>
              <w:rPr>
                <w:spacing w:val="-3"/>
              </w:rPr>
              <w:t>政策</w:t>
            </w:r>
            <w:r>
              <w:rPr/>
              <w:t xml:space="preserve"> </w:t>
            </w:r>
            <w:r>
              <w:rPr>
                <w:spacing w:val="-4"/>
              </w:rPr>
              <w:t>形式</w:t>
            </w:r>
          </w:p>
        </w:tc>
      </w:tr>
      <w:tr>
        <w:trPr>
          <w:trHeight w:val="4044" w:hRule="atLeast"/>
        </w:trPr>
        <w:tc>
          <w:tcPr>
            <w:tcW w:w="285"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5"/>
              <w:spacing w:before="49" w:line="184" w:lineRule="auto"/>
              <w:rPr/>
            </w:pPr>
            <w:r>
              <w:rPr>
                <w:spacing w:val="-5"/>
              </w:rPr>
              <w:t>12</w:t>
            </w:r>
          </w:p>
        </w:tc>
        <w:tc>
          <w:tcPr>
            <w:tcW w:w="4136" w:type="dxa"/>
            <w:vAlign w:val="top"/>
          </w:tcPr>
          <w:p>
            <w:pPr>
              <w:pStyle w:val="TableText"/>
              <w:ind w:left="109"/>
              <w:spacing w:before="77" w:line="219" w:lineRule="auto"/>
              <w:rPr/>
            </w:pPr>
            <w:r>
              <w:rPr/>
              <w:t>(五)制定差异化的新能源汽车贷款和融资租赁业务审批策略</w:t>
            </w:r>
          </w:p>
          <w:p>
            <w:pPr>
              <w:pStyle w:val="TableText"/>
              <w:ind w:left="30" w:right="124" w:firstLine="79"/>
              <w:spacing w:before="11" w:line="227" w:lineRule="auto"/>
              <w:rPr/>
            </w:pPr>
            <w:r>
              <w:rPr>
                <w:spacing w:val="-1"/>
              </w:rPr>
              <w:t>设立新能源汽车消费贷款专项审批绿色通道，优化审批流程</w:t>
            </w:r>
            <w:r>
              <w:rPr>
                <w:spacing w:val="16"/>
              </w:rPr>
              <w:t xml:space="preserve"> </w:t>
            </w:r>
            <w:r>
              <w:rPr>
                <w:spacing w:val="-1"/>
              </w:rPr>
              <w:t>提升审批效率。</w:t>
            </w:r>
          </w:p>
          <w:p>
            <w:pPr>
              <w:pStyle w:val="TableText"/>
              <w:ind w:left="20" w:right="51" w:firstLine="89"/>
              <w:spacing w:before="51" w:line="234" w:lineRule="auto"/>
              <w:rPr/>
            </w:pPr>
            <w:r>
              <w:rPr/>
              <w:t>(六)加强金融科技在新能源汽车贷款和融资租赁服务领域的 </w:t>
            </w:r>
            <w:r>
              <w:rPr/>
              <w:t>应用，不断优化大数据、信用评分等在贷款和融资租赁业务审</w:t>
            </w:r>
            <w:r>
              <w:rPr>
                <w:spacing w:val="3"/>
              </w:rPr>
              <w:t xml:space="preserve"> </w:t>
            </w:r>
            <w:r>
              <w:rPr/>
              <w:t>批中的使用，提升审批的智能化、精准化水平。配合厂商探索</w:t>
            </w:r>
            <w:r>
              <w:rPr>
                <w:spacing w:val="3"/>
              </w:rPr>
              <w:t xml:space="preserve"> </w:t>
            </w:r>
            <w:r>
              <w:rPr/>
              <w:t>建立直客渠道，推广新能源汽车线上直销，提升客户线上消费</w:t>
            </w:r>
            <w:r>
              <w:rPr>
                <w:spacing w:val="1"/>
              </w:rPr>
              <w:t xml:space="preserve"> </w:t>
            </w:r>
            <w:r>
              <w:rPr>
                <w:spacing w:val="-2"/>
              </w:rPr>
              <w:t>体验。</w:t>
            </w:r>
          </w:p>
          <w:p>
            <w:pPr>
              <w:pStyle w:val="TableText"/>
              <w:ind w:left="30"/>
              <w:spacing w:before="39" w:line="237" w:lineRule="auto"/>
              <w:jc w:val="both"/>
              <w:rPr/>
            </w:pPr>
            <w:r>
              <w:rPr>
                <w:spacing w:val="-1"/>
              </w:rPr>
              <w:t>(七)坚持有扶有控分类施策，在进一步完善信用制度建设的基 </w:t>
            </w:r>
            <w:r>
              <w:rPr>
                <w:spacing w:val="-4"/>
              </w:rPr>
              <w:t>础上适当放宽对新能源汽车消费信贷申请条件，适当下调首付比</w:t>
            </w:r>
            <w:r>
              <w:rPr>
                <w:spacing w:val="6"/>
              </w:rPr>
              <w:t xml:space="preserve"> </w:t>
            </w:r>
            <w:r>
              <w:rPr>
                <w:spacing w:val="-1"/>
              </w:rPr>
              <w:t>例和贷款利率，合理确定信贷额度，降低新能源汽车消费门槛</w:t>
            </w:r>
          </w:p>
          <w:p>
            <w:pPr>
              <w:pStyle w:val="TableText"/>
              <w:ind w:left="50" w:right="109" w:firstLine="59"/>
              <w:spacing w:before="21" w:line="220" w:lineRule="auto"/>
              <w:rPr/>
            </w:pPr>
            <w:r>
              <w:rPr/>
              <w:t>(八)强化与新能源汽车厂商业务合作方和外包风险管理，建</w:t>
            </w:r>
            <w:r>
              <w:rPr>
                <w:spacing w:val="5"/>
              </w:rPr>
              <w:t xml:space="preserve"> </w:t>
            </w:r>
            <w:r>
              <w:rPr>
                <w:spacing w:val="-1"/>
              </w:rPr>
              <w:t>立健全消费者权益保护工作机制。</w:t>
            </w:r>
          </w:p>
          <w:p>
            <w:pPr>
              <w:pStyle w:val="TableText"/>
              <w:ind w:left="30" w:right="51"/>
              <w:spacing w:before="32" w:line="239" w:lineRule="auto"/>
              <w:rPr/>
            </w:pPr>
            <w:r>
              <w:rPr/>
              <w:t>三、拓宽非银机构融资渠道，通过绿色金融产</w:t>
            </w:r>
            <w:r>
              <w:rPr>
                <w:spacing w:val="-1"/>
              </w:rPr>
              <w:t>品等方式支持新</w:t>
            </w:r>
            <w:r>
              <w:rPr/>
              <w:t xml:space="preserve"> </w:t>
            </w:r>
            <w:r>
              <w:rPr>
                <w:spacing w:val="-2"/>
              </w:rPr>
              <w:t>能源汽车金融服务供给</w:t>
            </w:r>
          </w:p>
          <w:p>
            <w:pPr>
              <w:pStyle w:val="TableText"/>
              <w:ind w:left="30" w:right="279" w:firstLine="59"/>
              <w:spacing w:before="22" w:line="233" w:lineRule="auto"/>
              <w:rPr/>
            </w:pPr>
            <w:r>
              <w:rPr/>
              <w:t>(九)支持符合条件的非银机构发行绿色信贷资产支持证券</w:t>
            </w:r>
            <w:r>
              <w:rPr>
                <w:spacing w:val="5"/>
              </w:rPr>
              <w:t xml:space="preserve"> </w:t>
            </w:r>
            <w:r>
              <w:rPr>
                <w:spacing w:val="-1"/>
              </w:rPr>
              <w:t>进一步盘活信贷存量，提高资金使用效率</w:t>
            </w:r>
          </w:p>
          <w:p>
            <w:pPr>
              <w:pStyle w:val="TableText"/>
              <w:ind w:left="30" w:right="53" w:firstLine="79"/>
              <w:spacing w:before="21" w:line="229" w:lineRule="auto"/>
              <w:jc w:val="both"/>
              <w:rPr/>
            </w:pPr>
            <w:r>
              <w:rPr/>
              <w:t>(十)支持符合条件的非银机构发行绿色金融专项债，引入多 </w:t>
            </w:r>
            <w:r>
              <w:rPr>
                <w:spacing w:val="-1"/>
              </w:rPr>
              <w:t>元化社会资金，拓宽融资渠道，降低融资成本，助力新能源汽</w:t>
            </w:r>
            <w:r>
              <w:rPr>
                <w:spacing w:val="18"/>
                <w:w w:val="101"/>
              </w:rPr>
              <w:t xml:space="preserve"> </w:t>
            </w:r>
            <w:r>
              <w:rPr>
                <w:spacing w:val="-1"/>
              </w:rPr>
              <w:t>车业务发展。</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1662" w:hRule="atLeast"/>
        </w:trPr>
        <w:tc>
          <w:tcPr>
            <w:tcW w:w="285"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5"/>
              <w:spacing w:before="49" w:line="184" w:lineRule="auto"/>
              <w:rPr/>
            </w:pPr>
            <w:r>
              <w:rPr>
                <w:spacing w:val="-5"/>
              </w:rPr>
              <w:t>13</w:t>
            </w:r>
          </w:p>
        </w:tc>
        <w:tc>
          <w:tcPr>
            <w:tcW w:w="4136" w:type="dxa"/>
            <w:vAlign w:val="top"/>
          </w:tcPr>
          <w:p>
            <w:pPr>
              <w:pStyle w:val="TableText"/>
              <w:spacing w:before="82" w:line="219" w:lineRule="auto"/>
              <w:jc w:val="right"/>
              <w:rPr/>
            </w:pPr>
            <w:r>
              <w:rPr>
                <w:spacing w:val="1"/>
              </w:rPr>
              <w:t>(三)非银机构要加大对中小微企业支持力度，通过厂商租赁、</w:t>
            </w:r>
          </w:p>
          <w:p>
            <w:pPr>
              <w:pStyle w:val="TableText"/>
              <w:ind w:left="30"/>
              <w:spacing w:before="22" w:line="219" w:lineRule="auto"/>
              <w:rPr/>
            </w:pPr>
            <w:r>
              <w:rPr/>
              <w:t>延伸产业链金融服务、汽车经销商库存采购</w:t>
            </w:r>
            <w:r>
              <w:rPr>
                <w:spacing w:val="-1"/>
              </w:rPr>
              <w:t>贷款等方式，助力</w:t>
            </w:r>
          </w:p>
          <w:p>
            <w:pPr>
              <w:pStyle w:val="TableText"/>
              <w:ind w:left="30"/>
              <w:spacing w:before="33" w:line="219" w:lineRule="auto"/>
              <w:rPr/>
            </w:pPr>
            <w:r>
              <w:rPr/>
              <w:t>中小微企业纾困发展。着力优化新市民金融服务，提高新市民</w:t>
            </w:r>
          </w:p>
          <w:p>
            <w:pPr>
              <w:pStyle w:val="TableText"/>
              <w:spacing w:before="2" w:line="219" w:lineRule="auto"/>
              <w:jc w:val="right"/>
              <w:rPr/>
            </w:pPr>
            <w:r>
              <w:rPr>
                <w:spacing w:val="1"/>
              </w:rPr>
              <w:t>金融服务的可得性和便利性，积极满足在就业、教育、租房、</w:t>
            </w:r>
          </w:p>
          <w:p>
            <w:pPr>
              <w:pStyle w:val="TableText"/>
              <w:ind w:left="30"/>
              <w:spacing w:before="32" w:line="219" w:lineRule="auto"/>
              <w:rPr/>
            </w:pPr>
            <w:r>
              <w:rPr/>
              <w:t>装修、购车、家具家居、医疗、养老等方面的</w:t>
            </w:r>
            <w:r>
              <w:rPr>
                <w:spacing w:val="-1"/>
              </w:rPr>
              <w:t>金融需求。特别</w:t>
            </w:r>
          </w:p>
          <w:p>
            <w:pPr>
              <w:pStyle w:val="TableText"/>
              <w:ind w:left="30"/>
              <w:spacing w:before="21" w:line="219" w:lineRule="auto"/>
              <w:rPr/>
            </w:pPr>
            <w:r>
              <w:rPr>
                <w:spacing w:val="-1"/>
              </w:rPr>
              <w:t>是要加大对货运物流领域的金融支持，加强与货车厂商业务合</w:t>
            </w:r>
          </w:p>
          <w:p>
            <w:pPr>
              <w:pStyle w:val="TableText"/>
              <w:ind w:left="109"/>
              <w:spacing w:before="22" w:line="219" w:lineRule="auto"/>
              <w:rPr/>
            </w:pPr>
            <w:r>
              <w:rPr>
                <w:spacing w:val="-1"/>
              </w:rPr>
              <w:t>作、有效协同，为货车司机和运输企业提供针对性金融服务</w:t>
            </w:r>
          </w:p>
          <w:p>
            <w:pPr>
              <w:pStyle w:val="TableText"/>
              <w:ind w:left="50"/>
              <w:spacing w:before="12" w:line="219" w:lineRule="auto"/>
              <w:rPr/>
            </w:pPr>
            <w:r>
              <w:rPr>
                <w:spacing w:val="-1"/>
              </w:rPr>
              <w:t>支持货运物流保通保畅</w:t>
            </w:r>
          </w:p>
        </w:tc>
        <w:tc>
          <w:tcPr>
            <w:tcW w:w="2527" w:type="dxa"/>
            <w:vAlign w:val="top"/>
          </w:tcPr>
          <w:p>
            <w:pPr>
              <w:pStyle w:val="TableText"/>
              <w:ind w:left="33" w:right="55" w:firstLine="20"/>
              <w:spacing w:before="82" w:line="254" w:lineRule="auto"/>
              <w:jc w:val="both"/>
              <w:rPr/>
            </w:pPr>
            <w:r>
              <w:rPr/>
              <w:t>中国银保监会《关于进一步做好受疫</w:t>
            </w:r>
            <w:r>
              <w:rPr>
                <w:spacing w:val="6"/>
              </w:rPr>
              <w:t xml:space="preserve"> </w:t>
            </w:r>
            <w:r>
              <w:rPr/>
              <w:t>情影响困难行业企业等金融服务的通</w:t>
            </w:r>
            <w:r>
              <w:rPr>
                <w:spacing w:val="12"/>
              </w:rPr>
              <w:t xml:space="preserve"> </w:t>
            </w:r>
            <w:r>
              <w:rPr>
                <w:spacing w:val="-1"/>
              </w:rPr>
              <w:t>知》银保监办发〔2022〕64号</w:t>
            </w:r>
          </w:p>
        </w:tc>
        <w:tc>
          <w:tcPr>
            <w:tcW w:w="949" w:type="dxa"/>
            <w:vAlign w:val="top"/>
          </w:tcPr>
          <w:p>
            <w:pPr>
              <w:pStyle w:val="TableText"/>
              <w:ind w:left="16" w:right="11"/>
              <w:spacing w:before="83" w:line="225" w:lineRule="auto"/>
              <w:jc w:val="both"/>
              <w:rPr/>
            </w:pPr>
            <w:r>
              <w:rPr>
                <w:spacing w:val="-8"/>
              </w:rPr>
              <w:t>2</w:t>
            </w:r>
            <w:r>
              <w:rPr>
                <w:spacing w:val="-28"/>
              </w:rPr>
              <w:t xml:space="preserve"> </w:t>
            </w:r>
            <w:r>
              <w:rPr>
                <w:spacing w:val="-8"/>
              </w:rPr>
              <w:t>0</w:t>
            </w:r>
            <w:r>
              <w:rPr>
                <w:spacing w:val="-27"/>
              </w:rPr>
              <w:t xml:space="preserve"> </w:t>
            </w:r>
            <w:r>
              <w:rPr>
                <w:spacing w:val="-8"/>
              </w:rPr>
              <w:t>2</w:t>
            </w:r>
            <w:r>
              <w:rPr>
                <w:spacing w:val="-26"/>
              </w:rPr>
              <w:t xml:space="preserve"> </w:t>
            </w:r>
            <w:r>
              <w:rPr>
                <w:spacing w:val="-8"/>
              </w:rPr>
              <w:t>2</w:t>
            </w:r>
            <w:r>
              <w:rPr>
                <w:spacing w:val="-28"/>
              </w:rPr>
              <w:t xml:space="preserve"> </w:t>
            </w:r>
            <w:r>
              <w:rPr>
                <w:spacing w:val="-8"/>
              </w:rPr>
              <w:t>年</w:t>
            </w:r>
            <w:r>
              <w:rPr>
                <w:spacing w:val="-26"/>
              </w:rPr>
              <w:t xml:space="preserve"> </w:t>
            </w:r>
            <w:r>
              <w:rPr>
                <w:spacing w:val="-8"/>
              </w:rPr>
              <w:t>5</w:t>
            </w:r>
            <w:r>
              <w:rPr>
                <w:spacing w:val="-25"/>
              </w:rPr>
              <w:t xml:space="preserve"> </w:t>
            </w:r>
            <w:r>
              <w:rPr>
                <w:spacing w:val="-8"/>
              </w:rPr>
              <w:t>月</w:t>
            </w:r>
            <w:r>
              <w:rPr/>
              <w:t xml:space="preserve"> </w:t>
            </w:r>
            <w:r>
              <w:rPr>
                <w:spacing w:val="-16"/>
              </w:rPr>
              <w:t>3 1</w:t>
            </w:r>
            <w:r>
              <w:rPr>
                <w:spacing w:val="4"/>
              </w:rPr>
              <w:t xml:space="preserve"> </w:t>
            </w:r>
            <w:r>
              <w:rPr>
                <w:spacing w:val="-16"/>
              </w:rPr>
              <w:t>日</w:t>
            </w:r>
            <w:r>
              <w:rPr>
                <w:spacing w:val="5"/>
              </w:rPr>
              <w:t xml:space="preserve"> </w:t>
            </w:r>
            <w:r>
              <w:rPr>
                <w:spacing w:val="-16"/>
              </w:rPr>
              <w:t>(</w:t>
            </w:r>
            <w:r>
              <w:rPr>
                <w:spacing w:val="-20"/>
              </w:rPr>
              <w:t xml:space="preserve"> </w:t>
            </w:r>
            <w:r>
              <w:rPr>
                <w:spacing w:val="-16"/>
              </w:rPr>
              <w:t>文</w:t>
            </w:r>
            <w:r>
              <w:rPr>
                <w:spacing w:val="-22"/>
              </w:rPr>
              <w:t xml:space="preserve"> </w:t>
            </w:r>
            <w:r>
              <w:rPr>
                <w:spacing w:val="-16"/>
              </w:rPr>
              <w:t>件</w:t>
            </w:r>
            <w:r>
              <w:rPr/>
              <w:t xml:space="preserve"> </w:t>
            </w:r>
            <w:r>
              <w:rPr>
                <w:spacing w:val="5"/>
              </w:rPr>
              <w:t>签发时间)</w:t>
            </w:r>
          </w:p>
        </w:tc>
        <w:tc>
          <w:tcPr>
            <w:tcW w:w="969" w:type="dxa"/>
            <w:vAlign w:val="top"/>
          </w:tcPr>
          <w:p>
            <w:pPr>
              <w:pStyle w:val="TableText"/>
              <w:ind w:left="107"/>
              <w:spacing w:before="73" w:line="219" w:lineRule="auto"/>
              <w:rPr/>
            </w:pPr>
            <w:r>
              <w:rPr>
                <w:spacing w:val="1"/>
              </w:rPr>
              <w:t>中小微企业</w:t>
            </w:r>
          </w:p>
        </w:tc>
        <w:tc>
          <w:tcPr>
            <w:tcW w:w="389" w:type="dxa"/>
            <w:vAlign w:val="top"/>
          </w:tcPr>
          <w:p>
            <w:pPr>
              <w:pStyle w:val="TableText"/>
              <w:ind w:left="38" w:right="45"/>
              <w:spacing w:before="63" w:line="247" w:lineRule="auto"/>
              <w:rPr/>
            </w:pPr>
            <w:r>
              <w:rPr>
                <w:spacing w:val="-5"/>
              </w:rPr>
              <w:t>行政</w:t>
            </w:r>
            <w:r>
              <w:rPr/>
              <w:t xml:space="preserve"> </w:t>
            </w:r>
            <w:r>
              <w:rPr>
                <w:spacing w:val="-3"/>
              </w:rPr>
              <w:t>通知</w:t>
            </w:r>
          </w:p>
        </w:tc>
        <w:tc>
          <w:tcPr>
            <w:tcW w:w="384" w:type="dxa"/>
            <w:vAlign w:val="top"/>
          </w:tcPr>
          <w:p>
            <w:pPr>
              <w:pStyle w:val="TableText"/>
              <w:ind w:left="40" w:right="39"/>
              <w:spacing w:before="63"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84192"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16" name="TextBox 116"/>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8" style="position:absolute;margin-left:36.1352pt;margin-top:49.3939pt;mso-position-vertical-relative:page;mso-position-horizontal-relative:page;width:13.8pt;height:13pt;z-index:251784192;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126</w:t>
                      </w:r>
                    </w:p>
                  </w:txbxContent>
                </v:textbox>
              </v:shape>
            </w:pict>
          </mc:Fallback>
        </mc:AlternateContent>
      </w:r>
      <w:r/>
    </w:p>
    <w:p>
      <w:pPr>
        <w:spacing w:before="46"/>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514" w:hRule="atLeast"/>
        </w:trPr>
        <w:tc>
          <w:tcPr>
            <w:tcW w:w="285" w:type="dxa"/>
            <w:vAlign w:val="top"/>
            <w:textDirection w:val="tbRlV"/>
          </w:tcPr>
          <w:p>
            <w:pPr>
              <w:pStyle w:val="TableText"/>
              <w:ind w:left="57"/>
              <w:spacing w:before="70" w:line="217" w:lineRule="auto"/>
              <w:rPr/>
            </w:pPr>
            <w:r>
              <w:rPr/>
              <w:t>序</w:t>
            </w:r>
            <w:r>
              <w:rPr>
                <w:spacing w:val="16"/>
              </w:rPr>
              <w:t xml:space="preserve"> </w:t>
            </w:r>
            <w:r>
              <w:rPr/>
              <w:t>号</w:t>
            </w:r>
          </w:p>
        </w:tc>
        <w:tc>
          <w:tcPr>
            <w:tcW w:w="4136" w:type="dxa"/>
            <w:vAlign w:val="top"/>
          </w:tcPr>
          <w:p>
            <w:pPr>
              <w:pStyle w:val="TableText"/>
              <w:ind w:left="1759"/>
              <w:spacing w:before="181" w:line="219" w:lineRule="auto"/>
              <w:rPr/>
            </w:pPr>
            <w:r>
              <w:rPr>
                <w:spacing w:val="-2"/>
              </w:rPr>
              <w:t>主要内容</w:t>
            </w:r>
          </w:p>
        </w:tc>
        <w:tc>
          <w:tcPr>
            <w:tcW w:w="2527" w:type="dxa"/>
            <w:vAlign w:val="top"/>
          </w:tcPr>
          <w:p>
            <w:pPr>
              <w:pStyle w:val="TableText"/>
              <w:ind w:left="943"/>
              <w:spacing w:before="180" w:line="219" w:lineRule="auto"/>
              <w:rPr/>
            </w:pPr>
            <w:r>
              <w:rPr>
                <w:spacing w:val="-1"/>
              </w:rPr>
              <w:t>政策依据</w:t>
            </w:r>
          </w:p>
        </w:tc>
        <w:tc>
          <w:tcPr>
            <w:tcW w:w="949" w:type="dxa"/>
            <w:vAlign w:val="top"/>
          </w:tcPr>
          <w:p>
            <w:pPr>
              <w:pStyle w:val="TableText"/>
              <w:ind w:left="167"/>
              <w:spacing w:before="181" w:line="219" w:lineRule="auto"/>
              <w:rPr/>
            </w:pPr>
            <w:r>
              <w:rPr>
                <w:spacing w:val="3"/>
              </w:rPr>
              <w:t>执行时间</w:t>
            </w:r>
          </w:p>
        </w:tc>
        <w:tc>
          <w:tcPr>
            <w:tcW w:w="969" w:type="dxa"/>
            <w:vAlign w:val="top"/>
          </w:tcPr>
          <w:p>
            <w:pPr>
              <w:pStyle w:val="TableText"/>
              <w:ind w:left="177"/>
              <w:spacing w:before="83" w:line="21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72" w:line="252" w:lineRule="auto"/>
              <w:rPr/>
            </w:pPr>
            <w:r>
              <w:rPr>
                <w:spacing w:val="-3"/>
              </w:rPr>
              <w:t>政策</w:t>
            </w:r>
            <w:r>
              <w:rPr/>
              <w:t xml:space="preserve"> </w:t>
            </w:r>
            <w:r>
              <w:rPr>
                <w:spacing w:val="-4"/>
              </w:rPr>
              <w:t>形式</w:t>
            </w:r>
          </w:p>
        </w:tc>
      </w:tr>
      <w:tr>
        <w:trPr>
          <w:trHeight w:val="4603" w:hRule="atLeast"/>
        </w:trPr>
        <w:tc>
          <w:tcPr>
            <w:tcW w:w="285"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5"/>
              <w:spacing w:before="49" w:line="184" w:lineRule="auto"/>
              <w:rPr/>
            </w:pPr>
            <w:r>
              <w:rPr>
                <w:spacing w:val="-5"/>
              </w:rPr>
              <w:t>13</w:t>
            </w:r>
          </w:p>
        </w:tc>
        <w:tc>
          <w:tcPr>
            <w:tcW w:w="4136" w:type="dxa"/>
            <w:vAlign w:val="top"/>
          </w:tcPr>
          <w:p>
            <w:pPr>
              <w:pStyle w:val="TableText"/>
              <w:ind w:left="30" w:right="51" w:firstLine="79"/>
              <w:spacing w:before="136" w:line="241" w:lineRule="auto"/>
              <w:rPr/>
            </w:pPr>
            <w:r>
              <w:rPr/>
              <w:t>(四)非银机构要结合功能定位和业务产品特点，针对因疫情</w:t>
            </w:r>
            <w:r>
              <w:rPr>
                <w:spacing w:val="3"/>
              </w:rPr>
              <w:t xml:space="preserve">  </w:t>
            </w:r>
            <w:r>
              <w:rPr/>
              <w:t>遇困行业企业和个人的融资需求，研究开发专</w:t>
            </w:r>
            <w:r>
              <w:rPr>
                <w:spacing w:val="-1"/>
              </w:rPr>
              <w:t>属金融产品，灵</w:t>
            </w:r>
            <w:r>
              <w:rPr/>
              <w:t xml:space="preserve"> </w:t>
            </w:r>
            <w:r>
              <w:rPr>
                <w:spacing w:val="-1"/>
              </w:rPr>
              <w:t>活设计还款方案。加强信息系统建设，强化科技赋能，在风险</w:t>
            </w:r>
            <w:r>
              <w:rPr>
                <w:spacing w:val="17"/>
              </w:rPr>
              <w:t xml:space="preserve"> </w:t>
            </w:r>
            <w:r>
              <w:rPr>
                <w:spacing w:val="-1"/>
              </w:rPr>
              <w:t>可控的前提下，积极利用大数据等发展线上业务，提高金融需</w:t>
            </w:r>
            <w:r>
              <w:rPr>
                <w:spacing w:val="18"/>
                <w:w w:val="101"/>
              </w:rPr>
              <w:t xml:space="preserve"> </w:t>
            </w:r>
            <w:r>
              <w:rPr>
                <w:spacing w:val="-1"/>
              </w:rPr>
              <w:t>求响应、审批、办理速度，便利客户业务办理</w:t>
            </w:r>
          </w:p>
          <w:p>
            <w:pPr>
              <w:pStyle w:val="TableText"/>
              <w:ind w:left="30" w:right="12" w:firstLine="79"/>
              <w:spacing w:before="21" w:line="236" w:lineRule="auto"/>
              <w:rPr/>
            </w:pPr>
            <w:r>
              <w:rPr/>
              <w:t>(五)非银机构要认真贯彻落实国家关于延期还本付息等相关</w:t>
            </w:r>
            <w:r>
              <w:rPr>
                <w:spacing w:val="3"/>
              </w:rPr>
              <w:t xml:space="preserve">  </w:t>
            </w:r>
            <w:r>
              <w:rPr>
                <w:spacing w:val="1"/>
              </w:rPr>
              <w:t>政策要求，继续按市场化原则与中小微企业(含中小微企业主)</w:t>
            </w:r>
            <w:r>
              <w:rPr>
                <w:spacing w:val="4"/>
              </w:rPr>
              <w:t xml:space="preserve"> </w:t>
            </w:r>
            <w:r>
              <w:rPr/>
              <w:t>和个体工商户、货车司机等自主协商，对其</w:t>
            </w:r>
            <w:r>
              <w:rPr>
                <w:spacing w:val="-1"/>
              </w:rPr>
              <w:t>贷款和融资租赁业</w:t>
            </w:r>
            <w:r>
              <w:rPr/>
              <w:t xml:space="preserve"> </w:t>
            </w:r>
            <w:r>
              <w:rPr/>
              <w:t>务实施延期还本付息，努力做到应延尽延，</w:t>
            </w:r>
            <w:r>
              <w:rPr>
                <w:spacing w:val="-1"/>
              </w:rPr>
              <w:t>本轮延期还本付息</w:t>
            </w:r>
          </w:p>
          <w:p>
            <w:pPr>
              <w:pStyle w:val="TableText"/>
              <w:ind w:left="40" w:right="108" w:firstLine="69"/>
              <w:spacing w:before="21" w:line="239" w:lineRule="auto"/>
              <w:rPr/>
            </w:pPr>
            <w:r>
              <w:rPr/>
              <w:t>日期原则上不超过2022年底。中央汽车企业所属非银机构要</w:t>
            </w:r>
            <w:r>
              <w:rPr>
                <w:spacing w:val="6"/>
              </w:rPr>
              <w:t xml:space="preserve"> </w:t>
            </w:r>
            <w:r>
              <w:rPr/>
              <w:t>积极发挥引领示范作用，对2022年6月30日</w:t>
            </w:r>
            <w:r>
              <w:rPr>
                <w:spacing w:val="-1"/>
              </w:rPr>
              <w:t>前发放的商用货</w:t>
            </w:r>
          </w:p>
          <w:p>
            <w:pPr>
              <w:pStyle w:val="TableText"/>
              <w:ind w:left="30" w:firstLine="39"/>
              <w:spacing w:before="1" w:line="246" w:lineRule="auto"/>
              <w:rPr/>
            </w:pPr>
            <w:r>
              <w:rPr>
                <w:spacing w:val="-2"/>
              </w:rPr>
              <w:t>车消费贷款给予6个月延期还本付息支持。对因感染新冠肺炎  </w:t>
            </w:r>
            <w:r>
              <w:rPr>
                <w:spacing w:val="-1"/>
              </w:rPr>
              <w:t>住院治疗或隔离、受疫情影响隔离观察或失</w:t>
            </w:r>
            <w:r>
              <w:rPr>
                <w:spacing w:val="-2"/>
              </w:rPr>
              <w:t>去收入来源的人群</w:t>
            </w:r>
            <w:r>
              <w:rPr/>
              <w:t xml:space="preserve">  </w:t>
            </w:r>
            <w:r>
              <w:rPr>
                <w:spacing w:val="1"/>
              </w:rPr>
              <w:t>非银机构要对其存续消费贷款，灵活采取合理延后还款时间、</w:t>
            </w:r>
            <w:r>
              <w:rPr>
                <w:spacing w:val="17"/>
              </w:rPr>
              <w:t xml:space="preserve"> </w:t>
            </w:r>
            <w:r>
              <w:rPr>
                <w:spacing w:val="-2"/>
              </w:rPr>
              <w:t>延长贷款期限、延期还本等方式调整还款计划。非银机构要对</w:t>
            </w:r>
            <w:r>
              <w:rPr>
                <w:spacing w:val="9"/>
              </w:rPr>
              <w:t xml:space="preserve">  </w:t>
            </w:r>
            <w:r>
              <w:rPr>
                <w:spacing w:val="-1"/>
              </w:rPr>
              <w:t>相关延期贷款和融资租赁业务坚持实质性风险判断，不单独因</w:t>
            </w:r>
            <w:r>
              <w:rPr>
                <w:spacing w:val="6"/>
              </w:rPr>
              <w:t xml:space="preserve">  </w:t>
            </w:r>
            <w:r>
              <w:rPr/>
              <w:t>疫情因素下调资产风险分类，不影响征信记录，并免收罚息。</w:t>
            </w:r>
          </w:p>
          <w:p>
            <w:pPr>
              <w:pStyle w:val="TableText"/>
              <w:ind w:left="30" w:right="37" w:firstLine="79"/>
              <w:spacing w:before="13" w:line="238" w:lineRule="auto"/>
              <w:rPr/>
            </w:pPr>
            <w:r>
              <w:rPr/>
              <w:t>(六)鼓励非银机构对因疫情暂时遇困行业企业和个人实施优</w:t>
            </w:r>
            <w:r>
              <w:rPr>
                <w:spacing w:val="2"/>
              </w:rPr>
              <w:t xml:space="preserve">  </w:t>
            </w:r>
            <w:r>
              <w:rPr/>
              <w:t>惠政策，在综合考虑客户经营状况、还款能力和发展前景基础</w:t>
            </w:r>
            <w:r>
              <w:rPr>
                <w:spacing w:val="7"/>
              </w:rPr>
              <w:t xml:space="preserve"> </w:t>
            </w:r>
            <w:r>
              <w:rPr>
                <w:spacing w:val="-1"/>
              </w:rPr>
              <w:t>上，适当降低融资利率，减免手续费等服务收费，推动客户综</w:t>
            </w:r>
            <w:r>
              <w:rPr>
                <w:spacing w:val="18"/>
                <w:w w:val="101"/>
              </w:rPr>
              <w:t xml:space="preserve"> </w:t>
            </w:r>
            <w:r>
              <w:rPr/>
              <w:t>合融资成本进一步下降。严禁违规收费、强</w:t>
            </w:r>
            <w:r>
              <w:rPr>
                <w:spacing w:val="-1"/>
              </w:rPr>
              <w:t>制收费、只收费不</w:t>
            </w:r>
            <w:r>
              <w:rPr/>
              <w:t xml:space="preserve"> </w:t>
            </w:r>
            <w:r>
              <w:rPr>
                <w:spacing w:val="-1"/>
              </w:rPr>
              <w:t>服务或少服务、转嫁费用等行为。</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1093" w:hRule="atLeast"/>
        </w:trPr>
        <w:tc>
          <w:tcPr>
            <w:tcW w:w="285" w:type="dxa"/>
            <w:vAlign w:val="top"/>
          </w:tcPr>
          <w:p>
            <w:pPr>
              <w:spacing w:line="460" w:lineRule="auto"/>
              <w:rPr>
                <w:rFonts w:ascii="Arial"/>
                <w:sz w:val="21"/>
              </w:rPr>
            </w:pPr>
            <w:r/>
          </w:p>
          <w:p>
            <w:pPr>
              <w:pStyle w:val="TableText"/>
              <w:ind w:left="55"/>
              <w:spacing w:before="49" w:line="184" w:lineRule="auto"/>
              <w:rPr/>
            </w:pPr>
            <w:r>
              <w:rPr>
                <w:spacing w:val="-5"/>
              </w:rPr>
              <w:t>14</w:t>
            </w:r>
          </w:p>
        </w:tc>
        <w:tc>
          <w:tcPr>
            <w:tcW w:w="4136" w:type="dxa"/>
            <w:vAlign w:val="top"/>
          </w:tcPr>
          <w:p>
            <w:pPr>
              <w:pStyle w:val="TableText"/>
              <w:ind w:left="10" w:right="52" w:firstLine="20"/>
              <w:spacing w:before="144" w:line="244" w:lineRule="auto"/>
              <w:rPr/>
            </w:pPr>
            <w:r>
              <w:rPr/>
              <w:t>有效控制风险前提下扩大外贸金融服务覆盖</w:t>
            </w:r>
            <w:r>
              <w:rPr>
                <w:spacing w:val="-1"/>
              </w:rPr>
              <w:t>面，降低外贸企业</w:t>
            </w:r>
            <w:r>
              <w:rPr/>
              <w:t xml:space="preserve"> </w:t>
            </w:r>
            <w:r>
              <w:rPr>
                <w:spacing w:val="-1"/>
              </w:rPr>
              <w:t>综合融资成本，进一步推动跨境贸易发展。</w:t>
            </w:r>
          </w:p>
        </w:tc>
        <w:tc>
          <w:tcPr>
            <w:tcW w:w="2527" w:type="dxa"/>
            <w:vAlign w:val="top"/>
          </w:tcPr>
          <w:p>
            <w:pPr>
              <w:pStyle w:val="TableText"/>
              <w:ind w:left="28" w:right="55" w:firstLine="24"/>
              <w:spacing w:before="143" w:line="258" w:lineRule="auto"/>
              <w:jc w:val="both"/>
              <w:rPr/>
            </w:pPr>
            <w:r>
              <w:rPr/>
              <w:t>中国银保监会办公厅、商务部办公厅</w:t>
            </w:r>
            <w:r>
              <w:rPr>
                <w:spacing w:val="6"/>
              </w:rPr>
              <w:t xml:space="preserve"> </w:t>
            </w:r>
            <w:r>
              <w:rPr>
                <w:spacing w:val="-2"/>
              </w:rPr>
              <w:t>《关于开展铁路运输单证金融服务试 </w:t>
            </w:r>
            <w:r>
              <w:rPr>
                <w:spacing w:val="-1"/>
              </w:rPr>
              <w:t>点更好支持跨境贸易发展的通知》银</w:t>
            </w:r>
            <w:r>
              <w:rPr>
                <w:spacing w:val="6"/>
              </w:rPr>
              <w:t xml:space="preserve"> </w:t>
            </w:r>
            <w:r>
              <w:rPr>
                <w:spacing w:val="-1"/>
              </w:rPr>
              <w:t>保监办发〔2022〕82号</w:t>
            </w:r>
          </w:p>
        </w:tc>
        <w:tc>
          <w:tcPr>
            <w:tcW w:w="949" w:type="dxa"/>
            <w:vAlign w:val="top"/>
          </w:tcPr>
          <w:p>
            <w:pPr>
              <w:pStyle w:val="TableText"/>
              <w:ind w:left="56" w:right="2" w:hanging="50"/>
              <w:spacing w:before="144" w:line="255" w:lineRule="auto"/>
              <w:jc w:val="both"/>
              <w:rPr/>
            </w:pPr>
            <w:r>
              <w:rPr>
                <w:spacing w:val="22"/>
              </w:rPr>
              <w:t>2022年8月5</w:t>
            </w:r>
            <w:r>
              <w:rPr>
                <w:spacing w:val="2"/>
              </w:rPr>
              <w:t xml:space="preserve"> </w:t>
            </w:r>
            <w:r>
              <w:rPr>
                <w:spacing w:val="-1"/>
              </w:rPr>
              <w:t>日(文件签发 </w:t>
            </w:r>
            <w:r>
              <w:rPr>
                <w:spacing w:val="7"/>
              </w:rPr>
              <w:t>时间</w:t>
            </w:r>
          </w:p>
        </w:tc>
        <w:tc>
          <w:tcPr>
            <w:tcW w:w="969" w:type="dxa"/>
            <w:vAlign w:val="top"/>
          </w:tcPr>
          <w:p>
            <w:pPr>
              <w:pStyle w:val="TableText"/>
              <w:ind w:left="177"/>
              <w:spacing w:before="144" w:line="220" w:lineRule="auto"/>
              <w:rPr/>
            </w:pPr>
            <w:r>
              <w:rPr>
                <w:spacing w:val="-2"/>
              </w:rPr>
              <w:t>外贸企业</w:t>
            </w:r>
          </w:p>
        </w:tc>
        <w:tc>
          <w:tcPr>
            <w:tcW w:w="389" w:type="dxa"/>
            <w:vAlign w:val="top"/>
          </w:tcPr>
          <w:p>
            <w:pPr>
              <w:pStyle w:val="TableText"/>
              <w:ind w:left="38" w:right="45"/>
              <w:spacing w:before="134" w:line="241" w:lineRule="auto"/>
              <w:rPr/>
            </w:pPr>
            <w:r>
              <w:rPr>
                <w:spacing w:val="-5"/>
              </w:rPr>
              <w:t>行政</w:t>
            </w:r>
            <w:r>
              <w:rPr/>
              <w:t xml:space="preserve"> </w:t>
            </w:r>
            <w:r>
              <w:rPr>
                <w:spacing w:val="-3"/>
              </w:rPr>
              <w:t>通知</w:t>
            </w:r>
          </w:p>
        </w:tc>
        <w:tc>
          <w:tcPr>
            <w:tcW w:w="384" w:type="dxa"/>
            <w:vAlign w:val="top"/>
          </w:tcPr>
          <w:p>
            <w:pPr>
              <w:pStyle w:val="TableText"/>
              <w:ind w:left="40" w:right="39"/>
              <w:spacing w:before="135" w:line="244" w:lineRule="auto"/>
              <w:rPr/>
            </w:pPr>
            <w:r>
              <w:rPr>
                <w:spacing w:val="-3"/>
              </w:rPr>
              <w:t>试点</w:t>
            </w:r>
            <w:r>
              <w:rPr/>
              <w:t xml:space="preserve"> </w:t>
            </w:r>
            <w:r>
              <w:rPr>
                <w:spacing w:val="-5"/>
              </w:rPr>
              <w:t>先行</w:t>
            </w:r>
          </w:p>
        </w:tc>
      </w:tr>
    </w:tbl>
    <w:p>
      <w:pPr>
        <w:pStyle w:val="BodyText"/>
        <w:rPr/>
      </w:pPr>
      <w:r/>
    </w:p>
    <w:p>
      <w:pPr>
        <w:sectPr>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85216"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18" name="TextBox 118"/>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0" style="position:absolute;margin-left:37.3042pt;margin-top:345.373pt;mso-position-vertical-relative:page;mso-position-horizontal-relative:page;width:13.1pt;height:12.4pt;z-index:25178521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127</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27"/>
        <w:gridCol w:w="949"/>
        <w:gridCol w:w="969"/>
        <w:gridCol w:w="389"/>
        <w:gridCol w:w="39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6" w:type="dxa"/>
            <w:vAlign w:val="top"/>
          </w:tcPr>
          <w:p>
            <w:pPr>
              <w:pStyle w:val="TableText"/>
              <w:ind w:left="1749"/>
              <w:spacing w:before="171" w:line="219" w:lineRule="auto"/>
              <w:rPr/>
            </w:pPr>
            <w:r>
              <w:rPr>
                <w:spacing w:val="-2"/>
              </w:rPr>
              <w:t>主要内容</w:t>
            </w:r>
          </w:p>
        </w:tc>
        <w:tc>
          <w:tcPr>
            <w:tcW w:w="2527" w:type="dxa"/>
            <w:vAlign w:val="top"/>
          </w:tcPr>
          <w:p>
            <w:pPr>
              <w:pStyle w:val="TableText"/>
              <w:ind w:left="94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73" w:line="207"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695" w:hRule="atLeast"/>
        </w:trPr>
        <w:tc>
          <w:tcPr>
            <w:tcW w:w="295"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5"/>
              <w:spacing w:before="49" w:line="184" w:lineRule="auto"/>
              <w:rPr/>
            </w:pPr>
            <w:r>
              <w:rPr>
                <w:spacing w:val="-5"/>
              </w:rPr>
              <w:t>15</w:t>
            </w:r>
          </w:p>
        </w:tc>
        <w:tc>
          <w:tcPr>
            <w:tcW w:w="4126" w:type="dxa"/>
            <w:vAlign w:val="top"/>
          </w:tcPr>
          <w:p>
            <w:pPr>
              <w:pStyle w:val="TableText"/>
              <w:ind w:left="20"/>
              <w:spacing w:before="137" w:line="219" w:lineRule="auto"/>
              <w:rPr/>
            </w:pPr>
            <w:r>
              <w:rPr>
                <w:spacing w:val="-1"/>
              </w:rPr>
              <w:t>二、加大信贷支持力度</w:t>
            </w:r>
          </w:p>
          <w:p>
            <w:pPr>
              <w:pStyle w:val="TableText"/>
              <w:ind w:left="10" w:firstLine="88"/>
              <w:spacing w:before="41" w:line="255" w:lineRule="auto"/>
              <w:rPr/>
            </w:pPr>
            <w:r>
              <w:rPr>
                <w:spacing w:val="-2"/>
              </w:rPr>
              <w:t>(三)推动信贷余额稳步增长。银行机构要及时满足因疫情暂</w:t>
            </w:r>
            <w:r>
              <w:rPr>
                <w:spacing w:val="1"/>
              </w:rPr>
              <w:t xml:space="preserve">   </w:t>
            </w:r>
            <w:r>
              <w:rPr>
                <w:spacing w:val="-4"/>
              </w:rPr>
              <w:t>时遇困行业企业的合理、有效信贷需求，努力实现住宿、餐饮、</w:t>
            </w:r>
            <w:r>
              <w:rPr>
                <w:spacing w:val="16"/>
              </w:rPr>
              <w:t xml:space="preserve"> </w:t>
            </w:r>
            <w:r>
              <w:rPr>
                <w:spacing w:val="-2"/>
              </w:rPr>
              <w:t>零售、文化、旅游、交通运输等受疫情影响严重行业信贷余额</w:t>
            </w:r>
            <w:r>
              <w:rPr>
                <w:spacing w:val="4"/>
              </w:rPr>
              <w:t xml:space="preserve">  </w:t>
            </w:r>
            <w:r>
              <w:rPr>
                <w:spacing w:val="-3"/>
              </w:rPr>
              <w:t>持续稳步增长。</w:t>
            </w:r>
          </w:p>
          <w:p>
            <w:pPr>
              <w:pStyle w:val="TableText"/>
              <w:ind w:left="30" w:right="41" w:firstLine="69"/>
              <w:spacing w:before="51" w:line="252" w:lineRule="auto"/>
              <w:rPr/>
            </w:pPr>
            <w:r>
              <w:rPr/>
              <w:t>(四)实施专门资源倾斜。银行机构要充分评估疫情影响，通</w:t>
            </w:r>
            <w:r>
              <w:rPr>
                <w:spacing w:val="2"/>
              </w:rPr>
              <w:t xml:space="preserve">  </w:t>
            </w:r>
            <w:r>
              <w:rPr/>
              <w:t>过安排专项信贷额度、调整绩效考核、合理</w:t>
            </w:r>
            <w:r>
              <w:rPr>
                <w:spacing w:val="-1"/>
              </w:rPr>
              <w:t>下放审批权限、实</w:t>
            </w:r>
            <w:r>
              <w:rPr/>
              <w:t xml:space="preserve"> </w:t>
            </w:r>
            <w:r>
              <w:rPr/>
              <w:t>施优惠内部资金转移定价等方式，加大对受疫</w:t>
            </w:r>
            <w:r>
              <w:rPr>
                <w:spacing w:val="-1"/>
              </w:rPr>
              <w:t>情影响严重地区</w:t>
            </w:r>
            <w:r>
              <w:rPr/>
              <w:t xml:space="preserve"> </w:t>
            </w:r>
            <w:r>
              <w:rPr/>
              <w:t>行业的信贷资源倾斜和保障。</w:t>
            </w:r>
          </w:p>
          <w:p>
            <w:pPr>
              <w:pStyle w:val="TableText"/>
              <w:ind w:left="79"/>
              <w:spacing w:before="62" w:line="219" w:lineRule="auto"/>
              <w:rPr/>
            </w:pPr>
            <w:r>
              <w:rPr/>
              <w:t>(五)强化普惠金融服务。2022年继续实现普惠型小微企业</w:t>
            </w:r>
          </w:p>
          <w:p>
            <w:pPr>
              <w:pStyle w:val="TableText"/>
              <w:ind w:left="10" w:right="15" w:firstLine="20"/>
              <w:spacing w:before="43" w:line="261" w:lineRule="auto"/>
              <w:rPr/>
            </w:pPr>
            <w:r>
              <w:rPr/>
              <w:t>贷款“两增”目标，确保个体工商户贷款增量扩</w:t>
            </w:r>
            <w:r>
              <w:rPr>
                <w:spacing w:val="-1"/>
              </w:rPr>
              <w:t>面，继续实现</w:t>
            </w:r>
            <w:r>
              <w:rPr/>
              <w:t xml:space="preserve"> </w:t>
            </w:r>
            <w:r>
              <w:rPr/>
              <w:t>涉农贷款持续增长、普惠型涉农贷款差异化增速目标。银行机</w:t>
            </w:r>
            <w:r>
              <w:rPr>
                <w:spacing w:val="11"/>
              </w:rPr>
              <w:t xml:space="preserve"> </w:t>
            </w:r>
            <w:r>
              <w:rPr/>
              <w:t>构要层层抓实小微企业、涉农信贷计划执行，向受疫情影响严</w:t>
            </w:r>
            <w:r>
              <w:rPr>
                <w:spacing w:val="11"/>
              </w:rPr>
              <w:t xml:space="preserve"> </w:t>
            </w:r>
            <w:r>
              <w:rPr>
                <w:spacing w:val="1"/>
              </w:rPr>
              <w:t>重地区进一步倾斜信贷资源，为小微企业、个体工商户、农户</w:t>
            </w:r>
            <w:r>
              <w:rPr>
                <w:spacing w:val="12"/>
              </w:rPr>
              <w:t xml:space="preserve"> </w:t>
            </w:r>
            <w:r>
              <w:rPr/>
              <w:t>停工停产期间应急性资金需求、复工复产提供信贷支持。国有</w:t>
            </w:r>
            <w:r>
              <w:rPr>
                <w:spacing w:val="12"/>
              </w:rPr>
              <w:t xml:space="preserve"> </w:t>
            </w:r>
            <w:r>
              <w:rPr>
                <w:spacing w:val="1"/>
              </w:rPr>
              <w:t>大型商业银行要确保全年新增普惠型小微企业贷款1.6万亿元</w:t>
            </w:r>
            <w:r>
              <w:rPr>
                <w:spacing w:val="6"/>
              </w:rPr>
              <w:t xml:space="preserve">  </w:t>
            </w:r>
            <w:r>
              <w:rPr/>
              <w:t>地方法人银行要用好用足普惠小微贷款支持工具、支小再贷款</w:t>
            </w:r>
            <w:r>
              <w:rPr>
                <w:spacing w:val="13"/>
              </w:rPr>
              <w:t xml:space="preserve"> </w:t>
            </w:r>
            <w:r>
              <w:rPr>
                <w:spacing w:val="-1"/>
              </w:rPr>
              <w:t>等政策。</w:t>
            </w:r>
          </w:p>
          <w:p>
            <w:pPr>
              <w:pStyle w:val="TableText"/>
              <w:ind w:left="89"/>
              <w:spacing w:before="61" w:line="219" w:lineRule="auto"/>
              <w:rPr/>
            </w:pPr>
            <w:r>
              <w:rPr/>
              <w:t>(六)提升融资担保效能。扩大政府性融资担保业务覆盖面</w:t>
            </w:r>
          </w:p>
          <w:p>
            <w:pPr>
              <w:pStyle w:val="TableText"/>
              <w:ind w:left="30" w:right="41"/>
              <w:spacing w:before="43" w:line="262" w:lineRule="auto"/>
              <w:rPr/>
            </w:pPr>
            <w:r>
              <w:rPr/>
              <w:t>对符合条件的住宿、餐饮、零售、文化、旅游</w:t>
            </w:r>
            <w:r>
              <w:rPr>
                <w:spacing w:val="-1"/>
              </w:rPr>
              <w:t>、交通运输等压</w:t>
            </w:r>
            <w:r>
              <w:rPr/>
              <w:t xml:space="preserve"> </w:t>
            </w:r>
            <w:r>
              <w:rPr/>
              <w:t>难行业的中小微企业、个体工商户，鼓励政府</w:t>
            </w:r>
            <w:r>
              <w:rPr>
                <w:spacing w:val="-1"/>
              </w:rPr>
              <w:t>性融资担保机构</w:t>
            </w:r>
            <w:r>
              <w:rPr/>
              <w:t xml:space="preserve"> </w:t>
            </w:r>
            <w:r>
              <w:rPr>
                <w:spacing w:val="2"/>
              </w:rPr>
              <w:t>提供融资担保支持，及时履行代偿义务，金融机构尽快放贷</w:t>
            </w:r>
            <w:r>
              <w:rPr>
                <w:spacing w:val="5"/>
              </w:rPr>
              <w:t xml:space="preserve">  </w:t>
            </w:r>
            <w:r>
              <w:rPr>
                <w:spacing w:val="-1"/>
              </w:rPr>
              <w:t>不盲目压缩授信或收回贷款。发挥好农业信贷担保作用，强化</w:t>
            </w:r>
            <w:r>
              <w:rPr>
                <w:spacing w:val="17"/>
              </w:rPr>
              <w:t xml:space="preserve"> </w:t>
            </w:r>
            <w:r>
              <w:rPr>
                <w:spacing w:val="-1"/>
              </w:rPr>
              <w:t>涉农信贷风险市场化分担和补偿。鼓励省级再担保机构主动对</w:t>
            </w:r>
            <w:r>
              <w:rPr>
                <w:spacing w:val="18"/>
                <w:w w:val="101"/>
              </w:rPr>
              <w:t xml:space="preserve"> </w:t>
            </w:r>
            <w:r>
              <w:rPr>
                <w:spacing w:val="-1"/>
              </w:rPr>
              <w:t>接国家融资担保基金，扩大再担保业务覆盖面</w:t>
            </w:r>
          </w:p>
        </w:tc>
        <w:tc>
          <w:tcPr>
            <w:tcW w:w="2527" w:type="dxa"/>
            <w:vAlign w:val="top"/>
          </w:tcPr>
          <w:p>
            <w:pPr>
              <w:pStyle w:val="TableText"/>
              <w:ind w:left="13" w:right="65" w:firstLine="30"/>
              <w:spacing w:before="136" w:line="254" w:lineRule="auto"/>
              <w:jc w:val="both"/>
              <w:rPr/>
            </w:pPr>
            <w:r>
              <w:rPr/>
              <w:t>中国银保监会《关于进一步做好受疫</w:t>
            </w:r>
            <w:r>
              <w:rPr>
                <w:spacing w:val="6"/>
              </w:rPr>
              <w:t xml:space="preserve"> </w:t>
            </w:r>
            <w:r>
              <w:rPr>
                <w:spacing w:val="-2"/>
              </w:rPr>
              <w:t>情影响困难行业企业等金融服务的通 </w:t>
            </w:r>
            <w:r>
              <w:rPr>
                <w:spacing w:val="-1"/>
              </w:rPr>
              <w:t>知》银保监办发〔2022〕64号</w:t>
            </w:r>
          </w:p>
        </w:tc>
        <w:tc>
          <w:tcPr>
            <w:tcW w:w="949" w:type="dxa"/>
            <w:vAlign w:val="top"/>
          </w:tcPr>
          <w:p>
            <w:pPr>
              <w:pStyle w:val="TableText"/>
              <w:ind w:left="16" w:right="2" w:hanging="10"/>
              <w:spacing w:before="136" w:line="247" w:lineRule="auto"/>
              <w:jc w:val="both"/>
              <w:rPr/>
            </w:pPr>
            <w:r>
              <w:rPr>
                <w:spacing w:val="22"/>
              </w:rPr>
              <w:t>2022年6月2</w:t>
            </w:r>
            <w:r>
              <w:rPr>
                <w:spacing w:val="2"/>
              </w:rPr>
              <w:t xml:space="preserve"> </w:t>
            </w:r>
            <w:r>
              <w:rPr>
                <w:spacing w:val="5"/>
              </w:rPr>
              <w:t>日(文件签发 </w:t>
            </w:r>
            <w:r>
              <w:rPr>
                <w:spacing w:val="9"/>
              </w:rPr>
              <w:t>时间)</w:t>
            </w:r>
          </w:p>
        </w:tc>
        <w:tc>
          <w:tcPr>
            <w:tcW w:w="969" w:type="dxa"/>
            <w:vAlign w:val="top"/>
          </w:tcPr>
          <w:p>
            <w:pPr>
              <w:pStyle w:val="TableText"/>
              <w:ind w:left="177" w:right="15" w:hanging="149"/>
              <w:spacing w:before="138" w:line="245" w:lineRule="auto"/>
              <w:rPr/>
            </w:pPr>
            <w:r>
              <w:rPr>
                <w:spacing w:val="2"/>
              </w:rPr>
              <w:t>疫情暂时遇困 </w:t>
            </w:r>
            <w:r>
              <w:rPr>
                <w:spacing w:val="-2"/>
              </w:rPr>
              <w:t>行业企业</w:t>
            </w:r>
          </w:p>
        </w:tc>
        <w:tc>
          <w:tcPr>
            <w:tcW w:w="389" w:type="dxa"/>
            <w:vAlign w:val="top"/>
          </w:tcPr>
          <w:p>
            <w:pPr>
              <w:pStyle w:val="TableText"/>
              <w:ind w:left="38" w:right="45"/>
              <w:spacing w:before="117" w:line="247" w:lineRule="auto"/>
              <w:rPr/>
            </w:pPr>
            <w:r>
              <w:rPr>
                <w:spacing w:val="-5"/>
              </w:rPr>
              <w:t>行政</w:t>
            </w:r>
            <w:r>
              <w:rPr/>
              <w:t xml:space="preserve"> </w:t>
            </w:r>
            <w:r>
              <w:rPr>
                <w:spacing w:val="-3"/>
              </w:rPr>
              <w:t>通知</w:t>
            </w:r>
          </w:p>
        </w:tc>
        <w:tc>
          <w:tcPr>
            <w:tcW w:w="394" w:type="dxa"/>
            <w:vAlign w:val="top"/>
          </w:tcPr>
          <w:p>
            <w:pPr>
              <w:pStyle w:val="TableText"/>
              <w:ind w:left="40" w:right="49"/>
              <w:spacing w:before="117" w:line="245" w:lineRule="auto"/>
              <w:rPr/>
            </w:pPr>
            <w:r>
              <w:rPr>
                <w:spacing w:val="-5"/>
              </w:rPr>
              <w:t>行政</w:t>
            </w:r>
            <w:r>
              <w:rPr/>
              <w:t xml:space="preserve"> </w:t>
            </w:r>
            <w:r>
              <w:rPr>
                <w:spacing w:val="-3"/>
              </w:rPr>
              <w:t>优化</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86240" behindDoc="0" locked="0" layoutInCell="0" allowOverlap="1">
                <wp:simplePos x="0" y="0"/>
                <wp:positionH relativeFrom="page">
                  <wp:posOffset>473763</wp:posOffset>
                </wp:positionH>
                <wp:positionV relativeFrom="page">
                  <wp:posOffset>633375</wp:posOffset>
                </wp:positionV>
                <wp:extent cx="166370" cy="157479"/>
                <wp:effectExtent l="0" t="0" r="0" b="0"/>
                <wp:wrapNone/>
                <wp:docPr id="120" name="TextBox 120"/>
                <wp:cNvGraphicFramePr/>
                <a:graphic>
                  <a:graphicData uri="http://schemas.microsoft.com/office/word/2010/wordprocessingShape">
                    <wps:wsp>
                      <wps:cNvSpPr txBox="1"/>
                      <wps:spPr>
                        <a:xfrm rot="5400000">
                          <a:off x="473763" y="633375"/>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YouYuan" w:hAnsi="YouYuan" w:eastAsia="YouYuan" w:cs="YouYuan"/>
                                <w:sz w:val="16"/>
                                <w:szCs w:val="16"/>
                              </w:rPr>
                            </w:pPr>
                            <w:r>
                              <w:rPr>
                                <w:rFonts w:ascii="YouYuan" w:hAnsi="YouYuan" w:eastAsia="YouYuan" w:cs="YouYuan"/>
                                <w:sz w:val="16"/>
                                <w:szCs w:val="16"/>
                                <w:spacing w:val="-5"/>
                              </w:rPr>
                              <w:t>128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2" style="position:absolute;margin-left:37.3042pt;margin-top:49.8721pt;mso-position-vertical-relative:page;mso-position-horizontal-relative:page;width:13.1pt;height:12.4pt;z-index:251786240;rotation:90;" o:allowincell="f" filled="false" stroked="false" type="#_x0000_t202">
                <v:fill on="false"/>
                <v:stroke on="false"/>
                <v:path/>
                <v:imagedata o:title=""/>
                <o:lock v:ext="edit" aspectratio="false"/>
                <v:textbox inset="0mm,0mm,0mm,0mm">
                  <w:txbxContent>
                    <w:p>
                      <w:pPr>
                        <w:ind w:left="20"/>
                        <w:spacing w:before="67" w:line="184" w:lineRule="auto"/>
                        <w:rPr>
                          <w:rFonts w:ascii="YouYuan" w:hAnsi="YouYuan" w:eastAsia="YouYuan" w:cs="YouYuan"/>
                          <w:sz w:val="16"/>
                          <w:szCs w:val="16"/>
                        </w:rPr>
                      </w:pPr>
                      <w:r>
                        <w:rPr>
                          <w:rFonts w:ascii="YouYuan" w:hAnsi="YouYuan" w:eastAsia="YouYuan" w:cs="YouYuan"/>
                          <w:sz w:val="16"/>
                          <w:szCs w:val="16"/>
                          <w:spacing w:val="-5"/>
                        </w:rPr>
                        <w:t>128</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27"/>
        <w:gridCol w:w="949"/>
        <w:gridCol w:w="969"/>
        <w:gridCol w:w="389"/>
        <w:gridCol w:w="39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6" w:type="dxa"/>
            <w:vAlign w:val="top"/>
          </w:tcPr>
          <w:p>
            <w:pPr>
              <w:pStyle w:val="TableText"/>
              <w:ind w:left="1749"/>
              <w:spacing w:before="171" w:line="219" w:lineRule="auto"/>
              <w:rPr/>
            </w:pPr>
            <w:r>
              <w:rPr>
                <w:spacing w:val="-2"/>
              </w:rPr>
              <w:t>主要内容</w:t>
            </w:r>
          </w:p>
        </w:tc>
        <w:tc>
          <w:tcPr>
            <w:tcW w:w="2527" w:type="dxa"/>
            <w:vAlign w:val="top"/>
          </w:tcPr>
          <w:p>
            <w:pPr>
              <w:pStyle w:val="TableText"/>
              <w:ind w:left="943"/>
              <w:spacing w:before="170" w:line="219" w:lineRule="auto"/>
              <w:rPr/>
            </w:pPr>
            <w:r>
              <w:rPr>
                <w:spacing w:val="-1"/>
              </w:rPr>
              <w:t>政策依据</w:t>
            </w:r>
          </w:p>
        </w:tc>
        <w:tc>
          <w:tcPr>
            <w:tcW w:w="949" w:type="dxa"/>
            <w:vAlign w:val="top"/>
          </w:tcPr>
          <w:p>
            <w:pPr>
              <w:pStyle w:val="TableText"/>
              <w:ind w:left="177"/>
              <w:spacing w:before="171" w:line="219" w:lineRule="auto"/>
              <w:rPr/>
            </w:pPr>
            <w:r>
              <w:rPr>
                <w:spacing w:val="3"/>
              </w:rPr>
              <w:t>执行时间</w:t>
            </w:r>
          </w:p>
        </w:tc>
        <w:tc>
          <w:tcPr>
            <w:tcW w:w="969" w:type="dxa"/>
            <w:vAlign w:val="top"/>
          </w:tcPr>
          <w:p>
            <w:pPr>
              <w:pStyle w:val="TableText"/>
              <w:ind w:left="177"/>
              <w:spacing w:before="73" w:line="207"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705" w:hRule="atLeast"/>
        </w:trPr>
        <w:tc>
          <w:tcPr>
            <w:tcW w:w="295"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5"/>
              <w:spacing w:before="49" w:line="184" w:lineRule="auto"/>
              <w:rPr/>
            </w:pPr>
            <w:r>
              <w:rPr>
                <w:spacing w:val="-5"/>
              </w:rPr>
              <w:t>15</w:t>
            </w:r>
          </w:p>
        </w:tc>
        <w:tc>
          <w:tcPr>
            <w:tcW w:w="4126" w:type="dxa"/>
            <w:vAlign w:val="top"/>
          </w:tcPr>
          <w:p>
            <w:pPr>
              <w:pStyle w:val="TableText"/>
              <w:ind w:left="20" w:right="42" w:firstLine="79"/>
              <w:spacing w:before="135" w:line="249" w:lineRule="auto"/>
              <w:jc w:val="both"/>
              <w:rPr/>
            </w:pPr>
            <w:r>
              <w:rPr/>
              <w:t>(七)做好创业担保贷款。银行机构要配合地方政府优化创业</w:t>
            </w:r>
            <w:r>
              <w:rPr>
                <w:spacing w:val="2"/>
              </w:rPr>
              <w:t xml:space="preserve">  </w:t>
            </w:r>
            <w:r>
              <w:rPr/>
              <w:t>担保贷款政策，积极为符合条件纳入创业担保贷款扶持范围的</w:t>
            </w:r>
            <w:r>
              <w:rPr>
                <w:spacing w:val="2"/>
              </w:rPr>
              <w:t xml:space="preserve"> </w:t>
            </w:r>
            <w:r>
              <w:rPr/>
              <w:t>新市民提供服务，优化创业担保贷款办理流程，提高创业主体</w:t>
            </w:r>
            <w:r>
              <w:rPr>
                <w:spacing w:val="2"/>
              </w:rPr>
              <w:t xml:space="preserve"> </w:t>
            </w:r>
            <w:r>
              <w:rPr>
                <w:spacing w:val="-1"/>
              </w:rPr>
              <w:t>融资效率，</w:t>
            </w:r>
          </w:p>
          <w:p>
            <w:pPr>
              <w:pStyle w:val="TableText"/>
              <w:ind w:left="20"/>
              <w:spacing w:before="72" w:line="219" w:lineRule="auto"/>
              <w:rPr/>
            </w:pPr>
            <w:r>
              <w:rPr>
                <w:spacing w:val="-1"/>
              </w:rPr>
              <w:t>三、做好接续融资安排</w:t>
            </w:r>
          </w:p>
          <w:p>
            <w:pPr>
              <w:pStyle w:val="TableText"/>
              <w:ind w:left="30" w:right="29" w:firstLine="69"/>
              <w:spacing w:before="40" w:line="246" w:lineRule="auto"/>
              <w:rPr/>
            </w:pPr>
            <w:r>
              <w:rPr/>
              <w:t>(八)明确帮扶支持对象。银行机构要积极帮扶前期信用记录</w:t>
            </w:r>
            <w:r>
              <w:rPr>
                <w:spacing w:val="3"/>
              </w:rPr>
              <w:t xml:space="preserve">  </w:t>
            </w:r>
            <w:r>
              <w:rPr/>
              <w:t>良好、因疫情暂时遇困行业企业，能帮尽帮，避免出现行业性</w:t>
            </w:r>
            <w:r>
              <w:rPr>
                <w:spacing w:val="5"/>
              </w:rPr>
              <w:t xml:space="preserve"> </w:t>
            </w:r>
            <w:r>
              <w:rPr>
                <w:spacing w:val="-1"/>
              </w:rPr>
              <w:t>限贷、抽贷、断贷。</w:t>
            </w:r>
          </w:p>
          <w:p>
            <w:pPr>
              <w:pStyle w:val="TableText"/>
              <w:ind w:left="30" w:right="41" w:firstLine="69"/>
              <w:spacing w:before="60" w:line="250" w:lineRule="auto"/>
              <w:jc w:val="both"/>
              <w:rPr/>
            </w:pPr>
            <w:r>
              <w:rPr/>
              <w:t>(九)主动开展续贷服务。银行机构要加强因疫情暂时遇困行</w:t>
            </w:r>
            <w:r>
              <w:rPr>
                <w:spacing w:val="3"/>
              </w:rPr>
              <w:t xml:space="preserve">  </w:t>
            </w:r>
            <w:r>
              <w:rPr/>
              <w:t>业企业融资需求的跟踪分析，主动提前开展接</w:t>
            </w:r>
            <w:r>
              <w:rPr>
                <w:spacing w:val="-1"/>
              </w:rPr>
              <w:t>续融资信贷评审</w:t>
            </w:r>
            <w:r>
              <w:rPr/>
              <w:t xml:space="preserve"> </w:t>
            </w:r>
            <w:r>
              <w:rPr>
                <w:spacing w:val="-1"/>
              </w:rPr>
              <w:t>按照市场化原则，对符合条件的积极给子续贷支持</w:t>
            </w:r>
          </w:p>
          <w:p>
            <w:pPr>
              <w:pStyle w:val="TableText"/>
              <w:ind w:left="30" w:right="41" w:firstLine="69"/>
              <w:spacing w:before="51" w:line="258" w:lineRule="auto"/>
              <w:rPr/>
            </w:pPr>
            <w:r>
              <w:rPr/>
              <w:t>(十)实施延期还本付息。商业银行等金融机构继续按市场化</w:t>
            </w:r>
            <w:r>
              <w:rPr>
                <w:spacing w:val="2"/>
              </w:rPr>
              <w:t xml:space="preserve">  </w:t>
            </w:r>
            <w:r>
              <w:rPr>
                <w:spacing w:val="3"/>
              </w:rPr>
              <w:t>原则与中小微企业(含中小微企业主)和个体工商户、货车司 </w:t>
            </w:r>
            <w:r>
              <w:rPr/>
              <w:t>机等自主协商，对其贷款实施延期还本付息，</w:t>
            </w:r>
            <w:r>
              <w:rPr>
                <w:spacing w:val="-1"/>
              </w:rPr>
              <w:t>努力做到应延尽</w:t>
            </w:r>
            <w:r>
              <w:rPr/>
              <w:t xml:space="preserve"> </w:t>
            </w:r>
            <w:r>
              <w:rPr>
                <w:spacing w:val="2"/>
              </w:rPr>
              <w:t>延，延期还本付息日期原则上不超过2022年底。对于受疫情</w:t>
            </w:r>
            <w:r>
              <w:rPr>
                <w:spacing w:val="3"/>
              </w:rPr>
              <w:t xml:space="preserve">  </w:t>
            </w:r>
            <w:r>
              <w:rPr>
                <w:spacing w:val="2"/>
              </w:rPr>
              <w:t>影响严重的餐饮、零售、文化、旅游、交通运输等困难行业</w:t>
            </w:r>
          </w:p>
          <w:p>
            <w:pPr>
              <w:pStyle w:val="TableText"/>
              <w:ind w:left="10" w:right="24" w:firstLine="89"/>
              <w:spacing w:before="42" w:line="258" w:lineRule="auto"/>
              <w:rPr/>
            </w:pPr>
            <w:r>
              <w:rPr/>
              <w:t>2022年底前到期的普惠型小微企业贷款</w:t>
            </w:r>
            <w:r>
              <w:rPr>
                <w:spacing w:val="-1"/>
              </w:rPr>
              <w:t>，应根据实际情况给</w:t>
            </w:r>
            <w:r>
              <w:rPr/>
              <w:t xml:space="preserve">  </w:t>
            </w:r>
            <w:r>
              <w:rPr/>
              <w:t>予倾斜，并适当放宽延期期限。办理延期时不得“一刀切”地</w:t>
            </w:r>
            <w:r>
              <w:rPr>
                <w:spacing w:val="8"/>
              </w:rPr>
              <w:t xml:space="preserve"> </w:t>
            </w:r>
            <w:r>
              <w:rPr>
                <w:spacing w:val="1"/>
              </w:rPr>
              <w:t>强制要求增加增信分险措施。延期贷款涉及政府性融资担保的</w:t>
            </w:r>
            <w:r>
              <w:rPr>
                <w:spacing w:val="3"/>
              </w:rPr>
              <w:t xml:space="preserve"> </w:t>
            </w:r>
            <w:r>
              <w:rPr/>
              <w:t>有关融资担保机构要积极给予支持，帮助受疫情影响企业续保</w:t>
            </w:r>
            <w:r>
              <w:rPr>
                <w:spacing w:val="12"/>
              </w:rPr>
              <w:t xml:space="preserve"> </w:t>
            </w:r>
            <w:r>
              <w:rPr>
                <w:spacing w:val="-2"/>
              </w:rPr>
              <w:t>续贷。</w:t>
            </w:r>
          </w:p>
          <w:p>
            <w:pPr>
              <w:pStyle w:val="TableText"/>
              <w:ind w:left="30" w:right="21" w:firstLine="69"/>
              <w:spacing w:before="60" w:line="255" w:lineRule="auto"/>
              <w:rPr/>
            </w:pPr>
            <w:r>
              <w:rPr/>
              <w:t>(十一)完善个贷还款安排。对因感染新冠肺炎住院治疗或隔</w:t>
            </w:r>
            <w:r>
              <w:rPr>
                <w:spacing w:val="5"/>
              </w:rPr>
              <w:t xml:space="preserve">  </w:t>
            </w:r>
            <w:r>
              <w:rPr>
                <w:spacing w:val="-1"/>
              </w:rPr>
              <w:t>离、受疫情影响隔离观察或失去收入来源的人群，金融机构对</w:t>
            </w:r>
            <w:r>
              <w:rPr>
                <w:spacing w:val="17"/>
              </w:rPr>
              <w:t xml:space="preserve"> </w:t>
            </w:r>
            <w:r>
              <w:rPr/>
              <w:t>其存续的个人住房、消费等贷款，灵活采取合理延后还款时间</w:t>
            </w:r>
            <w:r>
              <w:rPr>
                <w:spacing w:val="13"/>
              </w:rPr>
              <w:t xml:space="preserve"> </w:t>
            </w:r>
            <w:r>
              <w:rPr>
                <w:spacing w:val="-1"/>
              </w:rPr>
              <w:t>延长贷款期限、延期还本等方式调整还款计划。</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21" w:header="0" w:footer="0" w:gutter="0"/>
        </w:sectPr>
        <w:rPr/>
      </w:pPr>
    </w:p>
    <w:p>
      <w:pPr>
        <w:spacing w:before="51"/>
        <w:rPr/>
      </w:pP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17"/>
        <w:gridCol w:w="959"/>
        <w:gridCol w:w="969"/>
        <w:gridCol w:w="389"/>
        <w:gridCol w:w="39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6" w:type="dxa"/>
            <w:vAlign w:val="top"/>
          </w:tcPr>
          <w:p>
            <w:pPr>
              <w:pStyle w:val="TableText"/>
              <w:ind w:left="1749"/>
              <w:spacing w:before="171" w:line="219" w:lineRule="auto"/>
              <w:rPr/>
            </w:pPr>
            <w:r>
              <w:rPr>
                <w:spacing w:val="-2"/>
              </w:rPr>
              <w:t>主要内容</w:t>
            </w:r>
          </w:p>
        </w:tc>
        <w:tc>
          <w:tcPr>
            <w:tcW w:w="2517" w:type="dxa"/>
            <w:vAlign w:val="top"/>
          </w:tcPr>
          <w:p>
            <w:pPr>
              <w:pStyle w:val="TableText"/>
              <w:ind w:left="943"/>
              <w:spacing w:before="170" w:line="219" w:lineRule="auto"/>
              <w:rPr/>
            </w:pPr>
            <w:r>
              <w:rPr>
                <w:spacing w:val="-1"/>
              </w:rPr>
              <w:t>政策依据</w:t>
            </w:r>
          </w:p>
        </w:tc>
        <w:tc>
          <w:tcPr>
            <w:tcW w:w="959" w:type="dxa"/>
            <w:vAlign w:val="top"/>
          </w:tcPr>
          <w:p>
            <w:pPr>
              <w:pStyle w:val="TableText"/>
              <w:ind w:left="177"/>
              <w:spacing w:before="171" w:line="219" w:lineRule="auto"/>
              <w:rPr/>
            </w:pPr>
            <w:r>
              <w:rPr>
                <w:spacing w:val="3"/>
              </w:rPr>
              <w:t>执行时间</w:t>
            </w:r>
          </w:p>
        </w:tc>
        <w:tc>
          <w:tcPr>
            <w:tcW w:w="969" w:type="dxa"/>
            <w:vAlign w:val="top"/>
          </w:tcPr>
          <w:p>
            <w:pPr>
              <w:pStyle w:val="TableText"/>
              <w:ind w:left="177"/>
              <w:spacing w:before="73" w:line="207"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4765" w:hRule="atLeast"/>
        </w:trPr>
        <w:tc>
          <w:tcPr>
            <w:tcW w:w="29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5"/>
              <w:spacing w:before="49" w:line="184" w:lineRule="auto"/>
              <w:rPr/>
            </w:pPr>
            <w:r>
              <w:rPr>
                <w:spacing w:val="-5"/>
              </w:rPr>
              <w:t>15</w:t>
            </w:r>
          </w:p>
        </w:tc>
        <w:tc>
          <w:tcPr>
            <w:tcW w:w="4126" w:type="dxa"/>
            <w:vAlign w:val="top"/>
          </w:tcPr>
          <w:p>
            <w:pPr>
              <w:pStyle w:val="TableText"/>
              <w:ind w:left="79"/>
              <w:spacing w:before="137" w:line="219" w:lineRule="auto"/>
              <w:rPr/>
            </w:pPr>
            <w:r>
              <w:rPr>
                <w:spacing w:val="-5"/>
              </w:rPr>
              <w:t>(十二)准确实施贷款分类。对第(十)、</w:t>
            </w:r>
            <w:r>
              <w:rPr>
                <w:spacing w:val="22"/>
              </w:rPr>
              <w:t xml:space="preserve">   </w:t>
            </w:r>
            <w:r>
              <w:rPr>
                <w:spacing w:val="-5"/>
              </w:rPr>
              <w:t>(十一)条实施延</w:t>
            </w:r>
          </w:p>
          <w:p>
            <w:pPr>
              <w:pStyle w:val="TableText"/>
              <w:ind w:left="20" w:right="43" w:firstLine="10"/>
              <w:spacing w:before="41" w:line="245" w:lineRule="auto"/>
              <w:rPr/>
            </w:pPr>
            <w:r>
              <w:rPr>
                <w:spacing w:val="-1"/>
              </w:rPr>
              <w:t>期的贷款，在延期过程中坚持实质性风险判断，不单独因疫情</w:t>
            </w:r>
            <w:r>
              <w:rPr>
                <w:spacing w:val="18"/>
              </w:rPr>
              <w:t xml:space="preserve"> </w:t>
            </w:r>
            <w:r>
              <w:rPr>
                <w:spacing w:val="-1"/>
              </w:rPr>
              <w:t>因素下调贷款风险分类，不影响征信记录，并免收罚息。</w:t>
            </w:r>
          </w:p>
          <w:p>
            <w:pPr>
              <w:pStyle w:val="TableText"/>
              <w:ind w:left="30" w:right="42" w:firstLine="69"/>
              <w:spacing w:before="32" w:line="257" w:lineRule="auto"/>
              <w:rPr/>
            </w:pPr>
            <w:r>
              <w:rPr/>
              <w:t>(十三)提供便利还贷方式。对生产经营和资金周转连续性强</w:t>
            </w:r>
            <w:r>
              <w:rPr>
                <w:spacing w:val="3"/>
              </w:rPr>
              <w:t xml:space="preserve">  </w:t>
            </w:r>
            <w:r>
              <w:rPr/>
              <w:t>有经常性短期循环用信需求的企业和农业生</w:t>
            </w:r>
            <w:r>
              <w:rPr>
                <w:spacing w:val="-1"/>
              </w:rPr>
              <w:t>产经营主体，鼓励</w:t>
            </w:r>
            <w:r>
              <w:rPr/>
              <w:t xml:space="preserve"> </w:t>
            </w:r>
            <w:r>
              <w:rPr/>
              <w:t>银行机构推广“随借随还”的贷款模式。</w:t>
            </w:r>
          </w:p>
          <w:p>
            <w:pPr>
              <w:pStyle w:val="TableText"/>
              <w:ind w:left="99"/>
              <w:spacing w:before="33" w:line="219" w:lineRule="auto"/>
              <w:rPr/>
            </w:pPr>
            <w:r>
              <w:rPr/>
              <w:t>(十四)对减租人给予支持。对2022年减免3—6个月服务业</w:t>
            </w:r>
          </w:p>
          <w:p>
            <w:pPr>
              <w:pStyle w:val="TableText"/>
              <w:ind w:left="30" w:right="19"/>
              <w:spacing w:before="23" w:line="265" w:lineRule="auto"/>
              <w:rPr/>
            </w:pPr>
            <w:r>
              <w:rPr>
                <w:spacing w:val="-1"/>
              </w:rPr>
              <w:t>小微企业和个体工商户承租人房屋租金的国有房屋出租人，鼓</w:t>
            </w:r>
            <w:r>
              <w:rPr>
                <w:spacing w:val="16"/>
              </w:rPr>
              <w:t xml:space="preserve"> </w:t>
            </w:r>
            <w:r>
              <w:rPr/>
              <w:t>励国有银行按照其资质和风险水平给予优惠利</w:t>
            </w:r>
            <w:r>
              <w:rPr>
                <w:spacing w:val="-1"/>
              </w:rPr>
              <w:t>率质押贷款等支</w:t>
            </w:r>
            <w:r>
              <w:rPr/>
              <w:t xml:space="preserve"> </w:t>
            </w:r>
            <w:r>
              <w:rPr/>
              <w:t>持。国有银行在满足贷款条件的前提下，根据贷款申请人资质</w:t>
            </w:r>
            <w:r>
              <w:rPr>
                <w:spacing w:val="15"/>
              </w:rPr>
              <w:t xml:space="preserve"> </w:t>
            </w:r>
            <w:r>
              <w:rPr/>
              <w:t>情况和证明性材料，进一步优化相关机制和业务流程。对非国</w:t>
            </w:r>
            <w:r>
              <w:rPr>
                <w:spacing w:val="14"/>
              </w:rPr>
              <w:t xml:space="preserve"> </w:t>
            </w:r>
            <w:r>
              <w:rPr/>
              <w:t>有房屋减免租金的出租人，国有银行可同等给予上述优惠</w:t>
            </w:r>
          </w:p>
          <w:p>
            <w:pPr>
              <w:pStyle w:val="TableText"/>
              <w:ind w:left="20" w:right="41" w:firstLine="79"/>
              <w:spacing w:before="41" w:line="258" w:lineRule="auto"/>
              <w:rPr/>
            </w:pPr>
            <w:r>
              <w:rPr/>
              <w:t>(十五)用好地方纾困政策。鼓励银行机构积极利用各级地方</w:t>
            </w:r>
            <w:r>
              <w:rPr>
                <w:spacing w:val="2"/>
              </w:rPr>
              <w:t xml:space="preserve">  </w:t>
            </w:r>
            <w:r>
              <w:rPr/>
              <w:t>政府推出的纾困帮扶基金、风险补偿、财政贴息、财政奖补等</w:t>
            </w:r>
            <w:r>
              <w:rPr>
                <w:spacing w:val="3"/>
              </w:rPr>
              <w:t xml:space="preserve"> </w:t>
            </w:r>
            <w:r>
              <w:rPr>
                <w:spacing w:val="-1"/>
              </w:rPr>
              <w:t>政策安排，加大对因疫情暂时遇困行业企业的金融支持</w:t>
            </w:r>
          </w:p>
          <w:p>
            <w:pPr>
              <w:pStyle w:val="TableText"/>
              <w:ind w:left="30" w:right="23" w:firstLine="69"/>
              <w:spacing w:before="33" w:line="262" w:lineRule="auto"/>
              <w:rPr/>
            </w:pPr>
            <w:r>
              <w:rPr/>
              <w:t>(十六)发挥各类组织作用。融资租赁公司要主动了解承租人</w:t>
            </w:r>
            <w:r>
              <w:rPr>
                <w:spacing w:val="2"/>
              </w:rPr>
              <w:t xml:space="preserve">  </w:t>
            </w:r>
            <w:r>
              <w:rPr/>
              <w:t>的困难及诉求，合理采取展期续租、降租让利等帮扶措施。小</w:t>
            </w:r>
            <w:r>
              <w:rPr>
                <w:spacing w:val="11"/>
              </w:rPr>
              <w:t xml:space="preserve"> </w:t>
            </w:r>
            <w:r>
              <w:rPr/>
              <w:t>额贷款公司要按照市场化原则与受疫情影响严</w:t>
            </w:r>
            <w:r>
              <w:rPr>
                <w:spacing w:val="-1"/>
              </w:rPr>
              <w:t>重的客户自主协</w:t>
            </w:r>
            <w:r>
              <w:rPr/>
              <w:t xml:space="preserve"> </w:t>
            </w:r>
            <w:r>
              <w:rPr>
                <w:spacing w:val="-1"/>
              </w:rPr>
              <w:t>商，灵活采取减缓催收、贷款展期、续贷等支持措施。对受疫</w:t>
            </w:r>
            <w:r>
              <w:rPr>
                <w:spacing w:val="17"/>
              </w:rPr>
              <w:t xml:space="preserve"> </w:t>
            </w:r>
            <w:r>
              <w:rPr/>
              <w:t>情影响未能及时办理赎当、续当的客户，典</w:t>
            </w:r>
            <w:r>
              <w:rPr>
                <w:spacing w:val="-1"/>
              </w:rPr>
              <w:t>当行要适当减缓催</w:t>
            </w:r>
            <w:r>
              <w:rPr/>
              <w:t xml:space="preserve"> </w:t>
            </w:r>
            <w:r>
              <w:rPr>
                <w:spacing w:val="-1"/>
              </w:rPr>
              <w:t>收，减收或免收罚息，不盲目做逾期绝当处理</w:t>
            </w:r>
          </w:p>
        </w:tc>
        <w:tc>
          <w:tcPr>
            <w:tcW w:w="2517" w:type="dxa"/>
            <w:vAlign w:val="top"/>
          </w:tcPr>
          <w:p>
            <w:pPr>
              <w:rPr>
                <w:rFonts w:ascii="Arial"/>
                <w:sz w:val="21"/>
              </w:rPr>
            </w:pPr>
            <w:r/>
          </w:p>
        </w:tc>
        <w:tc>
          <w:tcPr>
            <w:tcW w:w="95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footerReference w:type="default" r:id="rId38"/>
          <w:pgSz w:w="11910" w:h="8220"/>
          <w:pgMar w:top="400" w:right="1135" w:bottom="1299" w:left="821" w:header="0" w:footer="1078" w:gutter="0"/>
        </w:sectPr>
        <w:rPr/>
      </w:pPr>
    </w:p>
    <w:p>
      <w:pPr>
        <w:spacing w:before="46"/>
        <w:rPr/>
      </w:pPr>
      <w:r>
        <mc:AlternateContent xmlns:mc="http://schemas.openxmlformats.org/markup-compatibility/2006">
          <mc:Choice Requires="wps">
            <w:drawing>
              <wp:anchor distT="0" distB="0" distL="0" distR="0" simplePos="0" relativeHeight="25178828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24" name="TextBox 124"/>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6" style="position:absolute;margin-left:36.1352pt;margin-top:49.3939pt;mso-position-vertical-relative:page;mso-position-horizontal-relative:page;width:13.8pt;height:13pt;z-index:25178828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130</w:t>
                      </w:r>
                    </w:p>
                  </w:txbxContent>
                </v:textbox>
              </v:shape>
            </w:pict>
          </mc:Fallback>
        </mc:AlternateContent>
      </w:r>
      <w:r/>
    </w:p>
    <w:p>
      <w:pPr>
        <w:spacing w:before="46"/>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94"/>
      </w:tblGrid>
      <w:tr>
        <w:trPr>
          <w:trHeight w:val="514" w:hRule="atLeast"/>
        </w:trPr>
        <w:tc>
          <w:tcPr>
            <w:tcW w:w="285" w:type="dxa"/>
            <w:vAlign w:val="top"/>
            <w:textDirection w:val="tbRlV"/>
          </w:tcPr>
          <w:p>
            <w:pPr>
              <w:pStyle w:val="TableText"/>
              <w:ind w:left="67"/>
              <w:spacing w:before="70" w:line="217" w:lineRule="auto"/>
              <w:rPr/>
            </w:pPr>
            <w:r>
              <w:rPr>
                <w:spacing w:val="-2"/>
              </w:rPr>
              <w:t>序 号</w:t>
            </w:r>
          </w:p>
        </w:tc>
        <w:tc>
          <w:tcPr>
            <w:tcW w:w="4136" w:type="dxa"/>
            <w:vAlign w:val="top"/>
          </w:tcPr>
          <w:p>
            <w:pPr>
              <w:pStyle w:val="TableText"/>
              <w:ind w:left="1759"/>
              <w:spacing w:before="181" w:line="219" w:lineRule="auto"/>
              <w:rPr/>
            </w:pPr>
            <w:r>
              <w:rPr>
                <w:spacing w:val="-2"/>
              </w:rPr>
              <w:t>主要内容</w:t>
            </w:r>
          </w:p>
        </w:tc>
        <w:tc>
          <w:tcPr>
            <w:tcW w:w="2527" w:type="dxa"/>
            <w:vAlign w:val="top"/>
          </w:tcPr>
          <w:p>
            <w:pPr>
              <w:pStyle w:val="TableText"/>
              <w:ind w:left="953"/>
              <w:spacing w:before="180" w:line="219" w:lineRule="auto"/>
              <w:rPr/>
            </w:pPr>
            <w:r>
              <w:rPr>
                <w:spacing w:val="-1"/>
              </w:rPr>
              <w:t>政策依据</w:t>
            </w:r>
          </w:p>
        </w:tc>
        <w:tc>
          <w:tcPr>
            <w:tcW w:w="949" w:type="dxa"/>
            <w:vAlign w:val="top"/>
          </w:tcPr>
          <w:p>
            <w:pPr>
              <w:pStyle w:val="TableText"/>
              <w:ind w:left="186"/>
              <w:spacing w:before="181" w:line="219" w:lineRule="auto"/>
              <w:rPr/>
            </w:pPr>
            <w:r>
              <w:rPr>
                <w:spacing w:val="3"/>
              </w:rPr>
              <w:t>执行时间</w:t>
            </w:r>
          </w:p>
        </w:tc>
        <w:tc>
          <w:tcPr>
            <w:tcW w:w="969" w:type="dxa"/>
            <w:vAlign w:val="top"/>
          </w:tcPr>
          <w:p>
            <w:pPr>
              <w:pStyle w:val="TableText"/>
              <w:ind w:left="177"/>
              <w:spacing w:before="83" w:line="20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71" w:line="246" w:lineRule="auto"/>
              <w:rPr/>
            </w:pPr>
            <w:r>
              <w:rPr>
                <w:spacing w:val="-3"/>
              </w:rPr>
              <w:t>政策</w:t>
            </w:r>
            <w:r>
              <w:rPr/>
              <w:t xml:space="preserve"> </w:t>
            </w:r>
            <w:r>
              <w:rPr>
                <w:spacing w:val="-4"/>
              </w:rPr>
              <w:t>形式</w:t>
            </w:r>
          </w:p>
        </w:tc>
      </w:tr>
      <w:tr>
        <w:trPr>
          <w:trHeight w:val="4024" w:hRule="atLeast"/>
        </w:trPr>
        <w:tc>
          <w:tcPr>
            <w:tcW w:w="285"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55"/>
              <w:spacing w:before="49" w:line="184" w:lineRule="auto"/>
              <w:rPr/>
            </w:pPr>
            <w:r>
              <w:rPr>
                <w:spacing w:val="-5"/>
              </w:rPr>
              <w:t>16</w:t>
            </w:r>
          </w:p>
        </w:tc>
        <w:tc>
          <w:tcPr>
            <w:tcW w:w="4136" w:type="dxa"/>
            <w:vAlign w:val="top"/>
          </w:tcPr>
          <w:p>
            <w:pPr>
              <w:pStyle w:val="TableText"/>
              <w:ind w:left="30" w:right="10"/>
              <w:spacing w:before="67" w:line="265" w:lineRule="auto"/>
              <w:jc w:val="both"/>
              <w:rPr/>
            </w:pPr>
            <w:r>
              <w:rPr/>
              <w:t>第一至四部分明确不同融资环节要求。信贷环</w:t>
            </w:r>
            <w:r>
              <w:rPr>
                <w:spacing w:val="-1"/>
              </w:rPr>
              <w:t>节，取消部分涉</w:t>
            </w:r>
            <w:r>
              <w:rPr/>
              <w:t xml:space="preserve"> </w:t>
            </w:r>
            <w:r>
              <w:rPr>
                <w:spacing w:val="1"/>
              </w:rPr>
              <w:t>企收费，细化严禁贷存挂钩和严禁强制捆绑销售等现有规定，</w:t>
            </w:r>
            <w:r>
              <w:rPr>
                <w:spacing w:val="7"/>
              </w:rPr>
              <w:t xml:space="preserve"> </w:t>
            </w:r>
            <w:r>
              <w:rPr>
                <w:spacing w:val="-1"/>
              </w:rPr>
              <w:t>鼓励银行提前开展信贷审核。助贷环节，要求银行明确自身收 </w:t>
            </w:r>
            <w:r>
              <w:rPr/>
              <w:t>费事项，加强对第三方机构管理，评估合作机构收费情况。增</w:t>
            </w:r>
            <w:r>
              <w:rPr>
                <w:spacing w:val="11"/>
              </w:rPr>
              <w:t xml:space="preserve"> </w:t>
            </w:r>
            <w:r>
              <w:rPr/>
              <w:t>信环节，要求银行合理引入增信安排，从银行</w:t>
            </w:r>
            <w:r>
              <w:rPr>
                <w:spacing w:val="-1"/>
              </w:rPr>
              <w:t>独立承担、企业</w:t>
            </w:r>
            <w:r>
              <w:rPr/>
              <w:t xml:space="preserve"> </w:t>
            </w:r>
            <w:r>
              <w:rPr>
                <w:spacing w:val="-1"/>
              </w:rPr>
              <w:t>与银行共同承担、企业独立承担三个角度，对信贷融资相关费 </w:t>
            </w:r>
            <w:r>
              <w:rPr>
                <w:spacing w:val="-1"/>
              </w:rPr>
              <w:t>用承担主体和方式等提出要求。考核环节，对银行资金定价管 </w:t>
            </w:r>
            <w:r>
              <w:rPr>
                <w:spacing w:val="-1"/>
              </w:rPr>
              <w:t>理、信用评级和拨备计提等影响融资成本因素提出要求，并要 </w:t>
            </w:r>
            <w:r>
              <w:rPr>
                <w:spacing w:val="-1"/>
              </w:rPr>
              <w:t>求绩效考核取消不当激励</w:t>
            </w:r>
          </w:p>
          <w:p>
            <w:pPr>
              <w:pStyle w:val="TableText"/>
              <w:ind w:left="20" w:firstLine="9"/>
              <w:spacing w:before="44" w:line="262" w:lineRule="auto"/>
              <w:jc w:val="both"/>
              <w:rPr/>
            </w:pPr>
            <w:r>
              <w:rPr>
                <w:spacing w:val="-2"/>
              </w:rPr>
              <w:t>第五部分规范与收费相关的内控与监督。要求银行保险机构发</w:t>
            </w:r>
            <w:r>
              <w:rPr>
                <w:spacing w:val="9"/>
              </w:rPr>
              <w:t xml:space="preserve">  </w:t>
            </w:r>
            <w:r>
              <w:rPr/>
              <w:t>挥公司治理作用，完善融资收费管理制度，规范分支机构和员 </w:t>
            </w:r>
            <w:r>
              <w:rPr>
                <w:spacing w:val="-4"/>
              </w:rPr>
              <w:t>工行为，严格收费系统管理，加强内部审计，</w:t>
            </w:r>
            <w:r>
              <w:rPr>
                <w:spacing w:val="-5"/>
              </w:rPr>
              <w:t>充分披露服务信息</w:t>
            </w:r>
            <w:r>
              <w:rPr/>
              <w:t xml:space="preserve"> </w:t>
            </w:r>
            <w:r>
              <w:rPr>
                <w:spacing w:val="-1"/>
              </w:rPr>
              <w:t>第六部分提出发挥跨部门监督合力，并给予正向激励。包括推</w:t>
            </w:r>
            <w:r>
              <w:rPr/>
              <w:t xml:space="preserve">  </w:t>
            </w:r>
            <w:r>
              <w:rPr>
                <w:spacing w:val="-1"/>
              </w:rPr>
              <w:t>动深化产融合作，加强企业和项目白名单管理，完善违规收费</w:t>
            </w:r>
            <w:r>
              <w:rPr/>
              <w:t xml:space="preserve">  </w:t>
            </w:r>
            <w:r>
              <w:rPr>
                <w:spacing w:val="2"/>
              </w:rPr>
              <w:t>举报查处机制；对国有控股机构经营绩效考核给予合理评价；</w:t>
            </w:r>
            <w:r>
              <w:rPr/>
              <w:t xml:space="preserve"> </w:t>
            </w:r>
            <w:r>
              <w:rPr>
                <w:spacing w:val="-1"/>
              </w:rPr>
              <w:t>在流动性、资产证券化和小微企业专项金融债等方面予以支持</w:t>
            </w:r>
            <w:r>
              <w:rPr>
                <w:spacing w:val="1"/>
              </w:rPr>
              <w:t xml:space="preserve">  </w:t>
            </w:r>
            <w:r>
              <w:rPr>
                <w:spacing w:val="-1"/>
              </w:rPr>
              <w:t>加强行业自律。同时，对融入低成本资金而套利的企业，严格</w:t>
            </w:r>
            <w:r>
              <w:rPr/>
              <w:t xml:space="preserve">  </w:t>
            </w:r>
            <w:r>
              <w:rPr>
                <w:spacing w:val="-2"/>
              </w:rPr>
              <w:t>加以约束。</w:t>
            </w:r>
          </w:p>
        </w:tc>
        <w:tc>
          <w:tcPr>
            <w:tcW w:w="2527" w:type="dxa"/>
            <w:vAlign w:val="top"/>
          </w:tcPr>
          <w:p>
            <w:pPr>
              <w:pStyle w:val="TableText"/>
              <w:ind w:left="33" w:right="39" w:firstLine="20"/>
              <w:spacing w:before="66" w:line="261" w:lineRule="auto"/>
              <w:jc w:val="both"/>
              <w:rPr/>
            </w:pPr>
            <w:r>
              <w:rPr/>
              <w:t>中国银保监会、工业和信息化部、发</w:t>
            </w:r>
            <w:r>
              <w:rPr>
                <w:spacing w:val="5"/>
              </w:rPr>
              <w:t xml:space="preserve"> </w:t>
            </w:r>
            <w:r>
              <w:rPr/>
              <w:t>展改革委、财政部、人民银行和市场</w:t>
            </w:r>
            <w:r>
              <w:rPr>
                <w:spacing w:val="11"/>
              </w:rPr>
              <w:t xml:space="preserve"> </w:t>
            </w:r>
            <w:r>
              <w:rPr/>
              <w:t>监管总局《关于进一步规范信贷融资</w:t>
            </w:r>
            <w:r>
              <w:rPr>
                <w:spacing w:val="12"/>
              </w:rPr>
              <w:t xml:space="preserve"> </w:t>
            </w:r>
            <w:r>
              <w:rPr>
                <w:spacing w:val="2"/>
              </w:rPr>
              <w:t>收费降低企业融资综合成本的通知》</w:t>
            </w:r>
            <w:r>
              <w:rPr>
                <w:spacing w:val="10"/>
              </w:rPr>
              <w:t xml:space="preserve"> </w:t>
            </w:r>
            <w:r>
              <w:rPr>
                <w:spacing w:val="-1"/>
              </w:rPr>
              <w:t>银保监发〔2020〕18号</w:t>
            </w:r>
          </w:p>
        </w:tc>
        <w:tc>
          <w:tcPr>
            <w:tcW w:w="949" w:type="dxa"/>
            <w:vAlign w:val="top"/>
          </w:tcPr>
          <w:p>
            <w:pPr>
              <w:pStyle w:val="TableText"/>
              <w:ind w:left="16" w:right="26"/>
              <w:spacing w:before="66" w:line="244" w:lineRule="auto"/>
              <w:rPr/>
            </w:pPr>
            <w:r>
              <w:rPr>
                <w:spacing w:val="18"/>
              </w:rPr>
              <w:t>2020年6月1</w:t>
            </w:r>
            <w:r>
              <w:rPr/>
              <w:t xml:space="preserve"> </w:t>
            </w:r>
            <w:r>
              <w:rPr/>
              <w:t>日</w:t>
            </w:r>
          </w:p>
        </w:tc>
        <w:tc>
          <w:tcPr>
            <w:tcW w:w="969" w:type="dxa"/>
            <w:vAlign w:val="top"/>
          </w:tcPr>
          <w:p>
            <w:pPr>
              <w:pStyle w:val="TableText"/>
              <w:ind w:left="177"/>
              <w:spacing w:before="47" w:line="220" w:lineRule="auto"/>
              <w:rPr/>
            </w:pPr>
            <w:r>
              <w:rPr>
                <w:spacing w:val="-2"/>
              </w:rPr>
              <w:t>所有企业</w:t>
            </w:r>
          </w:p>
        </w:tc>
        <w:tc>
          <w:tcPr>
            <w:tcW w:w="389" w:type="dxa"/>
            <w:vAlign w:val="top"/>
          </w:tcPr>
          <w:p>
            <w:pPr>
              <w:pStyle w:val="TableText"/>
              <w:ind w:left="38" w:right="45"/>
              <w:spacing w:before="57" w:line="247" w:lineRule="auto"/>
              <w:rPr/>
            </w:pPr>
            <w:r>
              <w:rPr>
                <w:spacing w:val="-5"/>
              </w:rPr>
              <w:t>行政</w:t>
            </w:r>
            <w:r>
              <w:rPr/>
              <w:t xml:space="preserve"> </w:t>
            </w:r>
            <w:r>
              <w:rPr>
                <w:spacing w:val="-3"/>
              </w:rPr>
              <w:t>通知</w:t>
            </w:r>
          </w:p>
        </w:tc>
        <w:tc>
          <w:tcPr>
            <w:tcW w:w="394" w:type="dxa"/>
            <w:vAlign w:val="top"/>
          </w:tcPr>
          <w:p>
            <w:pPr>
              <w:pStyle w:val="TableText"/>
              <w:ind w:left="40" w:right="49"/>
              <w:spacing w:before="57" w:line="245" w:lineRule="auto"/>
              <w:rPr/>
            </w:pPr>
            <w:r>
              <w:rPr>
                <w:spacing w:val="-5"/>
              </w:rPr>
              <w:t>行政</w:t>
            </w:r>
            <w:r>
              <w:rPr/>
              <w:t xml:space="preserve"> </w:t>
            </w:r>
            <w:r>
              <w:rPr>
                <w:spacing w:val="-3"/>
              </w:rPr>
              <w:t>优化</w:t>
            </w:r>
          </w:p>
        </w:tc>
      </w:tr>
      <w:tr>
        <w:trPr>
          <w:trHeight w:val="1642" w:hRule="atLeast"/>
        </w:trPr>
        <w:tc>
          <w:tcPr>
            <w:tcW w:w="285"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5"/>
              <w:spacing w:before="49" w:line="184" w:lineRule="auto"/>
              <w:rPr/>
            </w:pPr>
            <w:r>
              <w:rPr>
                <w:spacing w:val="-5"/>
              </w:rPr>
              <w:t>17</w:t>
            </w:r>
          </w:p>
        </w:tc>
        <w:tc>
          <w:tcPr>
            <w:tcW w:w="4136" w:type="dxa"/>
            <w:vAlign w:val="top"/>
          </w:tcPr>
          <w:p>
            <w:pPr>
              <w:pStyle w:val="TableText"/>
              <w:ind w:left="10" w:firstLine="19"/>
              <w:spacing w:before="83" w:line="265" w:lineRule="auto"/>
              <w:jc w:val="both"/>
              <w:rPr/>
            </w:pPr>
            <w:r>
              <w:rPr>
                <w:spacing w:val="-3"/>
              </w:rPr>
              <w:t>一、保障煤电、煤炭、钢铁、有色金属等生产企业合理融资需  </w:t>
            </w:r>
            <w:r>
              <w:rPr>
                <w:spacing w:val="-2"/>
              </w:rPr>
              <w:t>求。督促银行保险机构特别是开发性、政策性银</w:t>
            </w:r>
            <w:r>
              <w:rPr>
                <w:spacing w:val="-3"/>
              </w:rPr>
              <w:t>行，国有大型  </w:t>
            </w:r>
            <w:r>
              <w:rPr>
                <w:spacing w:val="-2"/>
              </w:rPr>
              <w:t>商业银行，全国性股份制银行，全力做好今冬明</w:t>
            </w:r>
            <w:r>
              <w:rPr>
                <w:spacing w:val="-3"/>
              </w:rPr>
              <w:t>春能源电力保  </w:t>
            </w:r>
            <w:r>
              <w:rPr>
                <w:spacing w:val="-2"/>
              </w:rPr>
              <w:t>供金融服务工作，满足能源电力供应合理资金需</w:t>
            </w:r>
            <w:r>
              <w:rPr>
                <w:spacing w:val="-3"/>
              </w:rPr>
              <w:t>求。对符合支  </w:t>
            </w:r>
            <w:r>
              <w:rPr>
                <w:spacing w:val="-2"/>
              </w:rPr>
              <w:t>持条件的煤电、煤炭、供暖等企业建立快速响应</w:t>
            </w:r>
            <w:r>
              <w:rPr>
                <w:spacing w:val="-3"/>
              </w:rPr>
              <w:t>机制，开辟绿  </w:t>
            </w:r>
            <w:r>
              <w:rPr>
                <w:spacing w:val="-3"/>
              </w:rPr>
              <w:t>色办贷通道，优先安排贷款审批投放，确保人民群众温暖过</w:t>
            </w:r>
            <w:r>
              <w:rPr>
                <w:spacing w:val="-4"/>
              </w:rPr>
              <w:t>冬。</w:t>
            </w:r>
            <w:r>
              <w:rPr/>
              <w:t xml:space="preserve"> </w:t>
            </w:r>
            <w:r>
              <w:rPr>
                <w:spacing w:val="-1"/>
              </w:rPr>
              <w:t>要指导银行保险机构积极配合地方政府，支持山西、陕西、内</w:t>
            </w:r>
          </w:p>
        </w:tc>
        <w:tc>
          <w:tcPr>
            <w:tcW w:w="2527" w:type="dxa"/>
            <w:vAlign w:val="top"/>
          </w:tcPr>
          <w:p>
            <w:pPr>
              <w:pStyle w:val="TableText"/>
              <w:ind w:left="8" w:right="54" w:firstLine="44"/>
              <w:spacing w:before="81" w:line="259" w:lineRule="auto"/>
              <w:jc w:val="both"/>
              <w:rPr/>
            </w:pPr>
            <w:r>
              <w:rPr/>
              <w:t>中国银保监会《关于服务煤电行业正</w:t>
            </w:r>
            <w:r>
              <w:rPr>
                <w:spacing w:val="7"/>
              </w:rPr>
              <w:t xml:space="preserve"> </w:t>
            </w:r>
            <w:r>
              <w:rPr>
                <w:spacing w:val="2"/>
              </w:rPr>
              <w:t>常生产和商品市场有序流通保障经济 </w:t>
            </w:r>
            <w:r>
              <w:rPr>
                <w:spacing w:val="2"/>
              </w:rPr>
              <w:t>平稳运行有关事项的通知》银保监发</w:t>
            </w:r>
            <w:r>
              <w:rPr>
                <w:spacing w:val="6"/>
              </w:rPr>
              <w:t xml:space="preserve"> </w:t>
            </w:r>
            <w:r>
              <w:rPr>
                <w:spacing w:val="8"/>
              </w:rPr>
              <w:t>〔2021〕42号</w:t>
            </w:r>
          </w:p>
        </w:tc>
        <w:tc>
          <w:tcPr>
            <w:tcW w:w="949" w:type="dxa"/>
            <w:vAlign w:val="top"/>
          </w:tcPr>
          <w:p>
            <w:pPr>
              <w:pStyle w:val="TableText"/>
              <w:ind w:left="16"/>
              <w:spacing w:before="103" w:line="219" w:lineRule="auto"/>
              <w:rPr/>
            </w:pPr>
            <w:r>
              <w:rPr>
                <w:spacing w:val="3"/>
              </w:rPr>
              <w:t>2021年10月</w:t>
            </w:r>
          </w:p>
          <w:p>
            <w:pPr>
              <w:pStyle w:val="TableText"/>
              <w:ind w:left="16"/>
              <w:spacing w:before="21" w:line="246" w:lineRule="auto"/>
              <w:rPr/>
            </w:pPr>
            <w:r>
              <w:rPr>
                <w:spacing w:val="-18"/>
              </w:rPr>
              <w:t>4 日</w:t>
            </w:r>
            <w:r>
              <w:rPr>
                <w:spacing w:val="-2"/>
              </w:rPr>
              <w:t xml:space="preserve"> </w:t>
            </w:r>
            <w:r>
              <w:rPr>
                <w:spacing w:val="-17"/>
              </w:rPr>
              <w:t>(</w:t>
            </w:r>
            <w:r>
              <w:rPr>
                <w:spacing w:val="-31"/>
              </w:rPr>
              <w:t xml:space="preserve"> </w:t>
            </w:r>
            <w:r>
              <w:rPr>
                <w:spacing w:val="-17"/>
              </w:rPr>
              <w:t>文</w:t>
            </w:r>
            <w:r>
              <w:rPr>
                <w:spacing w:val="-32"/>
              </w:rPr>
              <w:t xml:space="preserve"> </w:t>
            </w:r>
            <w:r>
              <w:rPr>
                <w:spacing w:val="-17"/>
              </w:rPr>
              <w:t>件</w:t>
            </w:r>
            <w:r>
              <w:rPr>
                <w:spacing w:val="-20"/>
              </w:rPr>
              <w:t xml:space="preserve"> </w:t>
            </w:r>
            <w:r>
              <w:rPr>
                <w:spacing w:val="-14"/>
              </w:rPr>
              <w:t>印</w:t>
            </w:r>
            <w:r>
              <w:rPr/>
              <w:t xml:space="preserve"> </w:t>
            </w:r>
            <w:r>
              <w:rPr>
                <w:spacing w:val="5"/>
              </w:rPr>
              <w:t>发时间)</w:t>
            </w:r>
          </w:p>
        </w:tc>
        <w:tc>
          <w:tcPr>
            <w:tcW w:w="969" w:type="dxa"/>
            <w:vAlign w:val="top"/>
          </w:tcPr>
          <w:p>
            <w:pPr>
              <w:pStyle w:val="TableText"/>
              <w:ind w:left="28"/>
              <w:spacing w:before="83" w:line="220" w:lineRule="auto"/>
              <w:rPr/>
            </w:pPr>
            <w:r>
              <w:rPr>
                <w:spacing w:val="-1"/>
              </w:rPr>
              <w:t>煤电行业企业</w:t>
            </w:r>
          </w:p>
        </w:tc>
        <w:tc>
          <w:tcPr>
            <w:tcW w:w="389" w:type="dxa"/>
            <w:vAlign w:val="top"/>
          </w:tcPr>
          <w:p>
            <w:pPr>
              <w:pStyle w:val="TableText"/>
              <w:ind w:left="38" w:right="45"/>
              <w:spacing w:before="73" w:line="247" w:lineRule="auto"/>
              <w:rPr/>
            </w:pPr>
            <w:r>
              <w:rPr>
                <w:spacing w:val="-5"/>
              </w:rPr>
              <w:t>行政</w:t>
            </w:r>
            <w:r>
              <w:rPr/>
              <w:t xml:space="preserve"> </w:t>
            </w:r>
            <w:r>
              <w:rPr>
                <w:spacing w:val="-3"/>
              </w:rPr>
              <w:t>通知</w:t>
            </w:r>
          </w:p>
        </w:tc>
        <w:tc>
          <w:tcPr>
            <w:tcW w:w="394" w:type="dxa"/>
            <w:vAlign w:val="top"/>
          </w:tcPr>
          <w:p>
            <w:pPr>
              <w:pStyle w:val="TableText"/>
              <w:ind w:left="40" w:right="49"/>
              <w:spacing w:before="63" w:line="251" w:lineRule="auto"/>
              <w:rPr/>
            </w:pPr>
            <w:r>
              <w:rPr>
                <w:spacing w:val="-5"/>
              </w:rPr>
              <w:t>行政</w:t>
            </w:r>
            <w:r>
              <w:rPr/>
              <w:t xml:space="preserve"> </w:t>
            </w:r>
            <w:r>
              <w:rPr>
                <w:spacing w:val="-3"/>
              </w:rPr>
              <w:t>优化</w:t>
            </w:r>
          </w:p>
        </w:tc>
      </w:tr>
    </w:tbl>
    <w:p>
      <w:pPr>
        <w:pStyle w:val="BodyText"/>
        <w:rPr/>
      </w:pPr>
      <w:r/>
    </w:p>
    <w:p>
      <w:pPr>
        <w:sectPr>
          <w:footerReference w:type="default" r:id="rId2"/>
          <w:pgSz w:w="11910" w:h="8220"/>
          <w:pgMar w:top="400" w:right="113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89312" behindDoc="0" locked="0" layoutInCell="0" allowOverlap="1">
                <wp:simplePos x="0" y="0"/>
                <wp:positionH relativeFrom="page">
                  <wp:posOffset>470967</wp:posOffset>
                </wp:positionH>
                <wp:positionV relativeFrom="page">
                  <wp:posOffset>4382489</wp:posOffset>
                </wp:positionV>
                <wp:extent cx="203834" cy="214629"/>
                <wp:effectExtent l="0" t="0" r="0" b="0"/>
                <wp:wrapNone/>
                <wp:docPr id="126" name="TextBox 126"/>
                <wp:cNvGraphicFramePr/>
                <a:graphic>
                  <a:graphicData uri="http://schemas.microsoft.com/office/word/2010/wordprocessingShape">
                    <wps:wsp>
                      <wps:cNvSpPr txBox="1"/>
                      <wps:spPr>
                        <a:xfrm rot="5400000">
                          <a:off x="470967" y="4382489"/>
                          <a:ext cx="203834"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131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8" style="position:absolute;margin-left:37.084pt;margin-top:345.078pt;mso-position-vertical-relative:page;mso-position-horizontal-relative:page;width:16.05pt;height:16.9pt;z-index:251789312;rotation:90;" o:allowincell="f" filled="false" stroked="false" type="#_x0000_t202">
                <v:fill on="false"/>
                <v:stroke on="false"/>
                <v:path/>
                <v:imagedata o:title=""/>
                <o:lock v:ext="edit" aspectratio="false"/>
                <v:textbox inset="0mm,0mm,0mm,0mm">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131</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27"/>
        <w:gridCol w:w="949"/>
        <w:gridCol w:w="969"/>
        <w:gridCol w:w="389"/>
        <w:gridCol w:w="394"/>
      </w:tblGrid>
      <w:tr>
        <w:trPr>
          <w:trHeight w:val="494" w:hRule="atLeast"/>
        </w:trPr>
        <w:tc>
          <w:tcPr>
            <w:tcW w:w="295" w:type="dxa"/>
            <w:vAlign w:val="top"/>
            <w:textDirection w:val="tbRlV"/>
          </w:tcPr>
          <w:p>
            <w:pPr>
              <w:pStyle w:val="TableText"/>
              <w:ind w:left="37"/>
              <w:spacing w:before="80" w:line="217" w:lineRule="auto"/>
              <w:rPr>
                <w:sz w:val="14"/>
                <w:szCs w:val="14"/>
              </w:rPr>
            </w:pPr>
            <w:r>
              <w:rPr>
                <w:sz w:val="14"/>
                <w:szCs w:val="14"/>
              </w:rPr>
              <w:t>序</w:t>
            </w:r>
            <w:r>
              <w:rPr>
                <w:sz w:val="14"/>
                <w:szCs w:val="14"/>
                <w:spacing w:val="61"/>
              </w:rPr>
              <w:t xml:space="preserve"> </w:t>
            </w:r>
            <w:r>
              <w:rPr>
                <w:sz w:val="14"/>
                <w:szCs w:val="14"/>
              </w:rPr>
              <w:t>号</w:t>
            </w:r>
          </w:p>
        </w:tc>
        <w:tc>
          <w:tcPr>
            <w:tcW w:w="4126" w:type="dxa"/>
            <w:vAlign w:val="top"/>
          </w:tcPr>
          <w:p>
            <w:pPr>
              <w:pStyle w:val="TableText"/>
              <w:ind w:left="1769"/>
              <w:spacing w:before="180" w:line="219" w:lineRule="auto"/>
              <w:rPr>
                <w:sz w:val="14"/>
                <w:szCs w:val="14"/>
              </w:rPr>
            </w:pPr>
            <w:r>
              <w:rPr>
                <w:sz w:val="14"/>
                <w:szCs w:val="14"/>
                <w:spacing w:val="-2"/>
              </w:rPr>
              <w:t>主要内容</w:t>
            </w:r>
          </w:p>
        </w:tc>
        <w:tc>
          <w:tcPr>
            <w:tcW w:w="2527" w:type="dxa"/>
            <w:vAlign w:val="top"/>
          </w:tcPr>
          <w:p>
            <w:pPr>
              <w:pStyle w:val="TableText"/>
              <w:ind w:left="943"/>
              <w:spacing w:before="179" w:line="219" w:lineRule="auto"/>
              <w:rPr>
                <w:sz w:val="14"/>
                <w:szCs w:val="14"/>
              </w:rPr>
            </w:pPr>
            <w:r>
              <w:rPr>
                <w:sz w:val="14"/>
                <w:szCs w:val="14"/>
                <w:spacing w:val="-1"/>
              </w:rPr>
              <w:t>政策依据</w:t>
            </w:r>
          </w:p>
        </w:tc>
        <w:tc>
          <w:tcPr>
            <w:tcW w:w="949" w:type="dxa"/>
            <w:vAlign w:val="top"/>
          </w:tcPr>
          <w:p>
            <w:pPr>
              <w:pStyle w:val="TableText"/>
              <w:ind w:left="177"/>
              <w:spacing w:before="180" w:line="219" w:lineRule="auto"/>
              <w:rPr>
                <w:sz w:val="14"/>
                <w:szCs w:val="14"/>
              </w:rPr>
            </w:pPr>
            <w:r>
              <w:rPr>
                <w:sz w:val="14"/>
                <w:szCs w:val="14"/>
                <w:spacing w:val="-2"/>
              </w:rPr>
              <w:t>执行时间</w:t>
            </w:r>
          </w:p>
        </w:tc>
        <w:tc>
          <w:tcPr>
            <w:tcW w:w="969" w:type="dxa"/>
            <w:vAlign w:val="top"/>
          </w:tcPr>
          <w:p>
            <w:pPr>
              <w:pStyle w:val="TableText"/>
              <w:ind w:left="197"/>
              <w:spacing w:before="72" w:line="208" w:lineRule="exact"/>
              <w:rPr>
                <w:sz w:val="14"/>
                <w:szCs w:val="14"/>
              </w:rPr>
            </w:pPr>
            <w:r>
              <w:rPr>
                <w:sz w:val="14"/>
                <w:szCs w:val="14"/>
                <w:spacing w:val="-3"/>
                <w:position w:val="4"/>
              </w:rPr>
              <w:t>惠及企业</w:t>
            </w:r>
          </w:p>
          <w:p>
            <w:pPr>
              <w:pStyle w:val="TableText"/>
              <w:ind w:left="337"/>
              <w:spacing w:line="219" w:lineRule="auto"/>
              <w:rPr>
                <w:sz w:val="14"/>
                <w:szCs w:val="14"/>
              </w:rPr>
            </w:pPr>
            <w:r>
              <w:rPr>
                <w:sz w:val="14"/>
                <w:szCs w:val="14"/>
                <w:spacing w:val="-2"/>
              </w:rPr>
              <w:t>类型</w:t>
            </w:r>
          </w:p>
        </w:tc>
        <w:tc>
          <w:tcPr>
            <w:tcW w:w="389" w:type="dxa"/>
            <w:vAlign w:val="top"/>
          </w:tcPr>
          <w:p>
            <w:pPr>
              <w:pStyle w:val="TableText"/>
              <w:ind w:left="48" w:right="54"/>
              <w:spacing w:before="61" w:line="254"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60" w:line="256"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645" w:hRule="atLeast"/>
        </w:trPr>
        <w:tc>
          <w:tcPr>
            <w:tcW w:w="295"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65"/>
              <w:spacing w:before="46" w:line="184" w:lineRule="auto"/>
              <w:rPr>
                <w:sz w:val="14"/>
                <w:szCs w:val="14"/>
              </w:rPr>
            </w:pPr>
            <w:r>
              <w:rPr>
                <w:sz w:val="14"/>
                <w:szCs w:val="14"/>
                <w:spacing w:val="-4"/>
              </w:rPr>
              <w:t>17</w:t>
            </w:r>
          </w:p>
        </w:tc>
        <w:tc>
          <w:tcPr>
            <w:tcW w:w="4126" w:type="dxa"/>
            <w:vAlign w:val="top"/>
          </w:tcPr>
          <w:p>
            <w:pPr>
              <w:pStyle w:val="TableText"/>
              <w:ind w:left="20" w:right="282" w:firstLine="10"/>
              <w:spacing w:before="138" w:line="278" w:lineRule="auto"/>
              <w:jc w:val="both"/>
              <w:rPr>
                <w:sz w:val="14"/>
                <w:szCs w:val="14"/>
              </w:rPr>
            </w:pPr>
            <w:r>
              <w:rPr>
                <w:sz w:val="14"/>
                <w:szCs w:val="14"/>
                <w:spacing w:val="-1"/>
              </w:rPr>
              <w:t>蒙古、新疆等煤炭主产区和重点煤炭企业增加电煤供应。支持</w:t>
            </w:r>
            <w:r>
              <w:rPr>
                <w:sz w:val="14"/>
                <w:szCs w:val="14"/>
                <w:spacing w:val="16"/>
              </w:rPr>
              <w:t xml:space="preserve"> </w:t>
            </w:r>
            <w:r>
              <w:rPr>
                <w:sz w:val="14"/>
                <w:szCs w:val="14"/>
              </w:rPr>
              <w:t>钢铁、有色金属等传统产业改造升级，促进更多资金投向能源</w:t>
            </w:r>
            <w:r>
              <w:rPr>
                <w:sz w:val="14"/>
                <w:szCs w:val="14"/>
                <w:spacing w:val="4"/>
              </w:rPr>
              <w:t xml:space="preserve"> </w:t>
            </w:r>
            <w:r>
              <w:rPr>
                <w:sz w:val="14"/>
                <w:szCs w:val="14"/>
              </w:rPr>
              <w:t>安全保供和绿色低碳发展领域，推进绿色高质量发展。对短期 </w:t>
            </w:r>
            <w:r>
              <w:rPr>
                <w:sz w:val="14"/>
                <w:szCs w:val="14"/>
                <w:spacing w:val="1"/>
              </w:rPr>
              <w:t>偿付压力较大但符合支持条件的企业或项目，在风险可控、自</w:t>
            </w:r>
            <w:r>
              <w:rPr>
                <w:sz w:val="14"/>
                <w:szCs w:val="14"/>
                <w:spacing w:val="5"/>
              </w:rPr>
              <w:t xml:space="preserve"> </w:t>
            </w:r>
            <w:r>
              <w:rPr>
                <w:sz w:val="14"/>
                <w:szCs w:val="14"/>
              </w:rPr>
              <w:t>主协商的基础上，可予以贷款展期、续贷。根据需要适当提高</w:t>
            </w:r>
            <w:r>
              <w:rPr>
                <w:sz w:val="14"/>
                <w:szCs w:val="14"/>
                <w:spacing w:val="2"/>
              </w:rPr>
              <w:t xml:space="preserve"> </w:t>
            </w:r>
            <w:r>
              <w:rPr>
                <w:sz w:val="14"/>
                <w:szCs w:val="14"/>
                <w:spacing w:val="-1"/>
              </w:rPr>
              <w:t>不良贷款监管容忍度。</w:t>
            </w:r>
          </w:p>
          <w:p>
            <w:pPr>
              <w:pStyle w:val="TableText"/>
              <w:ind w:left="20" w:right="236" w:firstLine="20"/>
              <w:spacing w:before="43" w:line="283" w:lineRule="auto"/>
              <w:jc w:val="both"/>
              <w:rPr>
                <w:sz w:val="14"/>
                <w:szCs w:val="14"/>
              </w:rPr>
            </w:pPr>
            <w:r>
              <w:rPr>
                <w:sz w:val="14"/>
                <w:szCs w:val="14"/>
                <w:spacing w:val="-1"/>
              </w:rPr>
              <w:t>二、严防银行保险资金影响商品市场正常秩序。严禁挪用套取</w:t>
            </w:r>
            <w:r>
              <w:rPr>
                <w:sz w:val="14"/>
                <w:szCs w:val="14"/>
                <w:spacing w:val="9"/>
              </w:rPr>
              <w:t xml:space="preserve">  </w:t>
            </w:r>
            <w:r>
              <w:rPr>
                <w:sz w:val="14"/>
                <w:szCs w:val="14"/>
              </w:rPr>
              <w:t>信贷资金或绕道理财、信托等方式，违规参与煤炭、钢铁、有</w:t>
            </w:r>
            <w:r>
              <w:rPr>
                <w:sz w:val="14"/>
                <w:szCs w:val="14"/>
                <w:spacing w:val="1"/>
              </w:rPr>
              <w:t xml:space="preserve">  </w:t>
            </w:r>
            <w:r>
              <w:rPr>
                <w:sz w:val="14"/>
                <w:szCs w:val="14"/>
              </w:rPr>
              <w:t>色金属等大宗商品投机炒作、牟取暴利。严禁挪用各种贷款包  </w:t>
            </w:r>
            <w:r>
              <w:rPr>
                <w:sz w:val="14"/>
                <w:szCs w:val="14"/>
              </w:rPr>
              <w:t>括经营贷、消费贷投机炒作茅台酒、名贵普洱</w:t>
            </w:r>
            <w:r>
              <w:rPr>
                <w:sz w:val="14"/>
                <w:szCs w:val="14"/>
                <w:spacing w:val="-1"/>
              </w:rPr>
              <w:t>茶等高端消费品</w:t>
            </w:r>
            <w:r>
              <w:rPr>
                <w:sz w:val="14"/>
                <w:szCs w:val="14"/>
              </w:rPr>
              <w:t xml:space="preserve">  </w:t>
            </w:r>
            <w:r>
              <w:rPr>
                <w:sz w:val="14"/>
                <w:szCs w:val="14"/>
                <w:spacing w:val="3"/>
              </w:rPr>
              <w:t>防止资本无序扩张。严禁银行保险资金违规流入股市、</w:t>
            </w:r>
            <w:r>
              <w:rPr>
                <w:sz w:val="14"/>
                <w:szCs w:val="14"/>
                <w:spacing w:val="2"/>
              </w:rPr>
              <w:t>债市、</w:t>
            </w:r>
            <w:r>
              <w:rPr>
                <w:sz w:val="14"/>
                <w:szCs w:val="14"/>
              </w:rPr>
              <w:t xml:space="preserve"> </w:t>
            </w:r>
            <w:r>
              <w:rPr>
                <w:sz w:val="14"/>
                <w:szCs w:val="14"/>
              </w:rPr>
              <w:t>期市，影响大宗商品价格，避免脱实向虚、空转套利。严禁对  </w:t>
            </w:r>
            <w:r>
              <w:rPr>
                <w:sz w:val="14"/>
                <w:szCs w:val="14"/>
              </w:rPr>
              <w:t>符合支持条件的煤电、煤炭等企业和项目违规抽贷、断贷，防</w:t>
            </w:r>
            <w:r>
              <w:rPr>
                <w:sz w:val="14"/>
                <w:szCs w:val="14"/>
                <w:spacing w:val="1"/>
              </w:rPr>
              <w:t xml:space="preserve">  </w:t>
            </w:r>
            <w:r>
              <w:rPr>
                <w:sz w:val="14"/>
                <w:szCs w:val="14"/>
                <w:spacing w:val="10"/>
              </w:rPr>
              <w:t>止运动式减碳和信贷“一刀切”</w:t>
            </w:r>
          </w:p>
          <w:p>
            <w:pPr>
              <w:pStyle w:val="TableText"/>
              <w:ind w:left="40"/>
              <w:spacing w:before="53" w:line="219" w:lineRule="auto"/>
              <w:rPr>
                <w:sz w:val="14"/>
                <w:szCs w:val="14"/>
              </w:rPr>
            </w:pPr>
            <w:r>
              <w:rPr>
                <w:sz w:val="14"/>
                <w:szCs w:val="14"/>
              </w:rPr>
              <w:t>三、积极推动消费信贷规范健康发展。推动健</w:t>
            </w:r>
            <w:r>
              <w:rPr>
                <w:sz w:val="14"/>
                <w:szCs w:val="14"/>
                <w:spacing w:val="-1"/>
              </w:rPr>
              <w:t>全有利于消费信</w:t>
            </w:r>
          </w:p>
          <w:p>
            <w:pPr>
              <w:pStyle w:val="TableText"/>
              <w:ind w:left="30"/>
              <w:spacing w:before="42" w:line="219" w:lineRule="auto"/>
              <w:rPr>
                <w:sz w:val="14"/>
                <w:szCs w:val="14"/>
              </w:rPr>
            </w:pPr>
            <w:r>
              <w:rPr>
                <w:sz w:val="14"/>
                <w:szCs w:val="14"/>
              </w:rPr>
              <w:t>贷可持续发展的管理制度和指标体系。坚持依据客</w:t>
            </w:r>
            <w:r>
              <w:rPr>
                <w:sz w:val="14"/>
                <w:szCs w:val="14"/>
                <w:spacing w:val="-1"/>
              </w:rPr>
              <w:t>户还款能力</w:t>
            </w:r>
          </w:p>
          <w:p>
            <w:pPr>
              <w:pStyle w:val="TableText"/>
              <w:ind w:left="30"/>
              <w:spacing w:before="63" w:line="219" w:lineRule="auto"/>
              <w:rPr>
                <w:sz w:val="14"/>
                <w:szCs w:val="14"/>
              </w:rPr>
            </w:pPr>
            <w:r>
              <w:rPr>
                <w:sz w:val="14"/>
                <w:szCs w:val="14"/>
              </w:rPr>
              <w:t>合理授信，不得诱导金融消费者盲目借贷、过</w:t>
            </w:r>
            <w:r>
              <w:rPr>
                <w:sz w:val="14"/>
                <w:szCs w:val="14"/>
                <w:spacing w:val="-1"/>
              </w:rPr>
              <w:t>度超前消费。规</w:t>
            </w:r>
          </w:p>
          <w:p>
            <w:pPr>
              <w:pStyle w:val="TableText"/>
              <w:ind w:left="30"/>
              <w:spacing w:before="45" w:line="219" w:lineRule="auto"/>
              <w:rPr>
                <w:sz w:val="14"/>
                <w:szCs w:val="14"/>
              </w:rPr>
            </w:pPr>
            <w:r>
              <w:rPr>
                <w:sz w:val="14"/>
                <w:szCs w:val="14"/>
                <w:spacing w:val="-1"/>
              </w:rPr>
              <w:t>范信用卡经营行为，严控单一客户发卡数量和授信额度，规范</w:t>
            </w:r>
          </w:p>
          <w:p>
            <w:pPr>
              <w:pStyle w:val="TableText"/>
              <w:ind w:left="30"/>
              <w:spacing w:before="54" w:line="219" w:lineRule="auto"/>
              <w:rPr>
                <w:sz w:val="14"/>
                <w:szCs w:val="14"/>
              </w:rPr>
            </w:pPr>
            <w:r>
              <w:rPr>
                <w:sz w:val="14"/>
                <w:szCs w:val="14"/>
              </w:rPr>
              <w:t>分期管理，不得通过诱导“过度分期”等方</w:t>
            </w:r>
            <w:r>
              <w:rPr>
                <w:sz w:val="14"/>
                <w:szCs w:val="14"/>
                <w:spacing w:val="-1"/>
              </w:rPr>
              <w:t>式侵害金融消费者</w:t>
            </w:r>
          </w:p>
          <w:p>
            <w:pPr>
              <w:pStyle w:val="TableText"/>
              <w:ind w:left="30"/>
              <w:spacing w:before="53" w:line="219" w:lineRule="auto"/>
              <w:rPr>
                <w:sz w:val="14"/>
                <w:szCs w:val="14"/>
              </w:rPr>
            </w:pPr>
            <w:r>
              <w:rPr>
                <w:sz w:val="14"/>
                <w:szCs w:val="14"/>
              </w:rPr>
              <w:t>权益，防止以卡养卡、以贷还贷，助长过度负债</w:t>
            </w:r>
            <w:r>
              <w:rPr>
                <w:sz w:val="14"/>
                <w:szCs w:val="14"/>
                <w:spacing w:val="-1"/>
              </w:rPr>
              <w:t>。规范银行机</w:t>
            </w:r>
          </w:p>
          <w:p>
            <w:pPr>
              <w:pStyle w:val="TableText"/>
              <w:ind w:left="30"/>
              <w:spacing w:before="54" w:line="219" w:lineRule="auto"/>
              <w:rPr>
                <w:sz w:val="14"/>
                <w:szCs w:val="14"/>
              </w:rPr>
            </w:pPr>
            <w:r>
              <w:rPr>
                <w:sz w:val="14"/>
                <w:szCs w:val="14"/>
              </w:rPr>
              <w:t>构与消费金融公司等非银行金融机构业务合</w:t>
            </w:r>
            <w:r>
              <w:rPr>
                <w:sz w:val="14"/>
                <w:szCs w:val="14"/>
                <w:spacing w:val="-1"/>
              </w:rPr>
              <w:t>作，审慎开展与助</w:t>
            </w:r>
          </w:p>
          <w:p>
            <w:pPr>
              <w:pStyle w:val="TableText"/>
              <w:ind w:left="40"/>
              <w:spacing w:before="54" w:line="219" w:lineRule="auto"/>
              <w:rPr>
                <w:sz w:val="14"/>
                <w:szCs w:val="14"/>
              </w:rPr>
            </w:pPr>
            <w:r>
              <w:rPr>
                <w:sz w:val="14"/>
                <w:szCs w:val="14"/>
              </w:rPr>
              <w:t>贷机构的业务合作，不得提供显著高于市场利率的</w:t>
            </w:r>
            <w:r>
              <w:rPr>
                <w:sz w:val="14"/>
                <w:szCs w:val="14"/>
                <w:spacing w:val="-1"/>
              </w:rPr>
              <w:t>消费信贷产</w:t>
            </w:r>
          </w:p>
          <w:p>
            <w:pPr>
              <w:pStyle w:val="TableText"/>
              <w:ind w:left="30"/>
              <w:spacing w:before="54" w:line="218" w:lineRule="auto"/>
              <w:rPr>
                <w:sz w:val="14"/>
                <w:szCs w:val="14"/>
              </w:rPr>
            </w:pPr>
            <w:r>
              <w:rPr>
                <w:sz w:val="14"/>
                <w:szCs w:val="14"/>
              </w:rPr>
              <w:t>品。大力弘扬社会主义核心价值观，银行机构不得开发违反公</w:t>
            </w:r>
          </w:p>
          <w:p>
            <w:pPr>
              <w:pStyle w:val="TableText"/>
              <w:ind w:left="30" w:right="110" w:firstLine="59"/>
              <w:spacing w:before="65" w:line="255" w:lineRule="auto"/>
              <w:rPr>
                <w:sz w:val="14"/>
                <w:szCs w:val="14"/>
              </w:rPr>
            </w:pPr>
            <w:r>
              <w:rPr>
                <w:sz w:val="14"/>
                <w:szCs w:val="14"/>
              </w:rPr>
              <w:t>序良俗、助长社会陋习和不良风气的“墓地贷”“</w:t>
            </w:r>
            <w:r>
              <w:rPr>
                <w:sz w:val="14"/>
                <w:szCs w:val="14"/>
                <w:spacing w:val="-1"/>
              </w:rPr>
              <w:t>美丽贷”“彩</w:t>
            </w:r>
            <w:r>
              <w:rPr>
                <w:sz w:val="14"/>
                <w:szCs w:val="14"/>
              </w:rPr>
              <w:t xml:space="preserve"> </w:t>
            </w:r>
            <w:r>
              <w:rPr>
                <w:sz w:val="14"/>
                <w:szCs w:val="14"/>
                <w:spacing w:val="6"/>
              </w:rPr>
              <w:t>礼贷”等消费信贷产品，坚决打击各种“伪创新”</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9033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128" name="TextBox 128"/>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0" style="position:absolute;margin-left:36.1352pt;margin-top:49.8954pt;mso-position-vertical-relative:page;mso-position-horizontal-relative:page;width:13.8pt;height:13pt;z-index:25179033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132</w:t>
                      </w:r>
                    </w:p>
                  </w:txbxContent>
                </v:textbox>
              </v:shape>
            </w:pict>
          </mc:Fallback>
        </mc:AlternateContent>
      </w:r>
      <w:r/>
    </w:p>
    <w:p>
      <w:pPr>
        <w:spacing w:before="51"/>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5"/>
        <w:gridCol w:w="2517"/>
        <w:gridCol w:w="949"/>
        <w:gridCol w:w="969"/>
        <w:gridCol w:w="390"/>
        <w:gridCol w:w="394"/>
      </w:tblGrid>
      <w:tr>
        <w:trPr>
          <w:trHeight w:val="494" w:hRule="atLeast"/>
        </w:trPr>
        <w:tc>
          <w:tcPr>
            <w:tcW w:w="285" w:type="dxa"/>
            <w:vAlign w:val="top"/>
            <w:textDirection w:val="tbRlV"/>
          </w:tcPr>
          <w:p>
            <w:pPr>
              <w:pStyle w:val="TableText"/>
              <w:ind w:left="57"/>
              <w:spacing w:before="70" w:line="217" w:lineRule="auto"/>
              <w:rPr/>
            </w:pPr>
            <w:r>
              <w:rPr>
                <w:spacing w:val="-2"/>
              </w:rPr>
              <w:t>序 号</w:t>
            </w:r>
          </w:p>
        </w:tc>
        <w:tc>
          <w:tcPr>
            <w:tcW w:w="4135" w:type="dxa"/>
            <w:vAlign w:val="top"/>
          </w:tcPr>
          <w:p>
            <w:pPr>
              <w:pStyle w:val="TableText"/>
              <w:ind w:left="1759"/>
              <w:spacing w:before="171" w:line="219" w:lineRule="auto"/>
              <w:rPr/>
            </w:pPr>
            <w:r>
              <w:rPr>
                <w:spacing w:val="-2"/>
              </w:rPr>
              <w:t>主要内容</w:t>
            </w:r>
          </w:p>
        </w:tc>
        <w:tc>
          <w:tcPr>
            <w:tcW w:w="2517" w:type="dxa"/>
            <w:vAlign w:val="top"/>
          </w:tcPr>
          <w:p>
            <w:pPr>
              <w:pStyle w:val="TableText"/>
              <w:ind w:left="954"/>
              <w:spacing w:before="170" w:line="219" w:lineRule="auto"/>
              <w:rPr/>
            </w:pPr>
            <w:r>
              <w:rPr>
                <w:spacing w:val="-1"/>
              </w:rPr>
              <w:t>政策依据</w:t>
            </w:r>
          </w:p>
        </w:tc>
        <w:tc>
          <w:tcPr>
            <w:tcW w:w="949" w:type="dxa"/>
            <w:vAlign w:val="top"/>
          </w:tcPr>
          <w:p>
            <w:pPr>
              <w:pStyle w:val="TableText"/>
              <w:ind w:left="178"/>
              <w:spacing w:before="171" w:line="219" w:lineRule="auto"/>
              <w:rPr/>
            </w:pPr>
            <w:r>
              <w:rPr>
                <w:spacing w:val="3"/>
              </w:rPr>
              <w:t>执行时间</w:t>
            </w:r>
          </w:p>
        </w:tc>
        <w:tc>
          <w:tcPr>
            <w:tcW w:w="969" w:type="dxa"/>
            <w:vAlign w:val="top"/>
          </w:tcPr>
          <w:p>
            <w:pPr>
              <w:pStyle w:val="TableText"/>
              <w:ind w:left="178"/>
              <w:spacing w:before="73" w:line="207" w:lineRule="exact"/>
              <w:rPr/>
            </w:pPr>
            <w:r>
              <w:rPr>
                <w:spacing w:val="-3"/>
                <w:position w:val="4"/>
              </w:rPr>
              <w:t>惠及企业</w:t>
            </w:r>
          </w:p>
          <w:p>
            <w:pPr>
              <w:pStyle w:val="TableText"/>
              <w:ind w:left="328"/>
              <w:spacing w:line="219" w:lineRule="auto"/>
              <w:rPr/>
            </w:pPr>
            <w:r>
              <w:rPr>
                <w:spacing w:val="-2"/>
              </w:rPr>
              <w:t>类型</w:t>
            </w:r>
          </w:p>
        </w:tc>
        <w:tc>
          <w:tcPr>
            <w:tcW w:w="390" w:type="dxa"/>
            <w:vAlign w:val="top"/>
          </w:tcPr>
          <w:p>
            <w:pPr>
              <w:pStyle w:val="TableText"/>
              <w:ind w:left="39"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2067" w:hRule="atLeast"/>
        </w:trPr>
        <w:tc>
          <w:tcPr>
            <w:tcW w:w="285"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55"/>
              <w:spacing w:before="49" w:line="184" w:lineRule="auto"/>
              <w:rPr/>
            </w:pPr>
            <w:r>
              <w:rPr>
                <w:spacing w:val="-5"/>
              </w:rPr>
              <w:t>17</w:t>
            </w:r>
          </w:p>
        </w:tc>
        <w:tc>
          <w:tcPr>
            <w:tcW w:w="4135" w:type="dxa"/>
            <w:vAlign w:val="top"/>
          </w:tcPr>
          <w:p>
            <w:pPr>
              <w:pStyle w:val="TableText"/>
              <w:ind w:left="20" w:right="37" w:firstLine="10"/>
              <w:spacing w:before="133" w:line="263" w:lineRule="auto"/>
              <w:jc w:val="both"/>
              <w:rPr/>
            </w:pPr>
            <w:r>
              <w:rPr/>
              <w:t>四、切实加强和改进信贷管理。督促银行机构及时主动调整完</w:t>
            </w:r>
            <w:r>
              <w:rPr>
                <w:spacing w:val="6"/>
              </w:rPr>
              <w:t xml:space="preserve"> </w:t>
            </w:r>
            <w:r>
              <w:rPr/>
              <w:t>善信贷政策，相关授信条件应严格遵循相关法律法规，以宏观</w:t>
            </w:r>
            <w:r>
              <w:rPr>
                <w:spacing w:val="1"/>
              </w:rPr>
              <w:t xml:space="preserve"> </w:t>
            </w:r>
            <w:r>
              <w:rPr/>
              <w:t>经济政策、产业政策、投资政策和环保政策为导向，不得高于</w:t>
            </w:r>
            <w:r>
              <w:rPr>
                <w:spacing w:val="1"/>
              </w:rPr>
              <w:t xml:space="preserve"> </w:t>
            </w:r>
            <w:r>
              <w:rPr/>
              <w:t>国家标准，防止抬高融资准入门槛。要严格落实贷前调查、贷</w:t>
            </w:r>
            <w:r>
              <w:rPr>
                <w:spacing w:val="16"/>
              </w:rPr>
              <w:t xml:space="preserve"> </w:t>
            </w:r>
            <w:r>
              <w:rPr/>
              <w:t>中审查、贷后管理要求，不得放松信贷用途管理和真实性查验</w:t>
            </w:r>
            <w:r>
              <w:rPr>
                <w:spacing w:val="15"/>
              </w:rPr>
              <w:t xml:space="preserve"> </w:t>
            </w:r>
            <w:r>
              <w:rPr/>
              <w:t>防止信贷资金被套取和挪用。要坚持业务发展和风险防控并重</w:t>
            </w:r>
            <w:r>
              <w:rPr>
                <w:spacing w:val="16"/>
              </w:rPr>
              <w:t xml:space="preserve"> </w:t>
            </w:r>
            <w:r>
              <w:rPr/>
              <w:t>坚决压缩退出过剩产能贷款，不得继续支持长期亏损、失去市 </w:t>
            </w:r>
            <w:r>
              <w:rPr>
                <w:spacing w:val="1"/>
              </w:rPr>
              <w:t>场竞争力的“僵尸企业”,加快不良资产核销进度，防止信贷 </w:t>
            </w:r>
            <w:r>
              <w:rPr>
                <w:spacing w:val="-1"/>
              </w:rPr>
              <w:t>资源被长期低效占用。</w:t>
            </w:r>
          </w:p>
        </w:tc>
        <w:tc>
          <w:tcPr>
            <w:tcW w:w="251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90" w:type="dxa"/>
            <w:vAlign w:val="top"/>
          </w:tcPr>
          <w:p>
            <w:pPr>
              <w:rPr>
                <w:rFonts w:ascii="Arial"/>
                <w:sz w:val="21"/>
              </w:rPr>
            </w:pPr>
            <w:r/>
          </w:p>
        </w:tc>
        <w:tc>
          <w:tcPr>
            <w:tcW w:w="394" w:type="dxa"/>
            <w:vAlign w:val="top"/>
          </w:tcPr>
          <w:p>
            <w:pPr>
              <w:rPr>
                <w:rFonts w:ascii="Arial"/>
                <w:sz w:val="21"/>
              </w:rPr>
            </w:pPr>
            <w:r/>
          </w:p>
        </w:tc>
      </w:tr>
      <w:tr>
        <w:trPr>
          <w:trHeight w:val="3609" w:hRule="atLeast"/>
        </w:trPr>
        <w:tc>
          <w:tcPr>
            <w:tcW w:w="285"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5"/>
              <w:spacing w:before="49" w:line="184" w:lineRule="auto"/>
              <w:rPr/>
            </w:pPr>
            <w:r>
              <w:rPr>
                <w:spacing w:val="-5"/>
              </w:rPr>
              <w:t>18</w:t>
            </w:r>
          </w:p>
        </w:tc>
        <w:tc>
          <w:tcPr>
            <w:tcW w:w="4135" w:type="dxa"/>
            <w:vAlign w:val="top"/>
          </w:tcPr>
          <w:p>
            <w:pPr>
              <w:pStyle w:val="TableText"/>
              <w:ind w:left="20"/>
              <w:spacing w:before="130" w:line="219" w:lineRule="auto"/>
              <w:rPr/>
            </w:pPr>
            <w:r>
              <w:rPr>
                <w:spacing w:val="-2"/>
              </w:rPr>
              <w:t>一、降低支付手续费政策措施</w:t>
            </w:r>
          </w:p>
          <w:p>
            <w:pPr>
              <w:pStyle w:val="TableText"/>
              <w:ind w:left="109"/>
              <w:spacing w:before="52" w:line="219" w:lineRule="auto"/>
              <w:rPr/>
            </w:pPr>
            <w:r>
              <w:rPr>
                <w:spacing w:val="1"/>
              </w:rPr>
              <w:t>(一)降低银行账户服务收费。鼓励商业银</w:t>
            </w:r>
            <w:r>
              <w:rPr/>
              <w:t>行在免收一个账户</w:t>
            </w:r>
          </w:p>
          <w:p>
            <w:pPr>
              <w:pStyle w:val="TableText"/>
              <w:ind w:left="20" w:right="36" w:firstLine="89"/>
              <w:spacing w:before="40" w:line="250" w:lineRule="auto"/>
              <w:rPr/>
            </w:pPr>
            <w:r>
              <w:rPr>
                <w:spacing w:val="-1"/>
              </w:rPr>
              <w:t>管理费(含小额账户管理费，不含不动户管理费，下同)和年</w:t>
            </w:r>
            <w:r>
              <w:rPr>
                <w:spacing w:val="8"/>
              </w:rPr>
              <w:t xml:space="preserve">  </w:t>
            </w:r>
            <w:r>
              <w:rPr/>
              <w:t>费基础上，对小微企业和个体工商户免收全部单位结算账户管</w:t>
            </w:r>
            <w:r>
              <w:rPr>
                <w:spacing w:val="17"/>
              </w:rPr>
              <w:t xml:space="preserve"> </w:t>
            </w:r>
            <w:r>
              <w:rPr>
                <w:spacing w:val="-1"/>
              </w:rPr>
              <w:t>理费和年费。</w:t>
            </w:r>
          </w:p>
          <w:p>
            <w:pPr>
              <w:pStyle w:val="TableText"/>
              <w:ind w:left="30" w:right="94" w:firstLine="79"/>
              <w:spacing w:before="51" w:line="245" w:lineRule="auto"/>
              <w:rPr/>
            </w:pPr>
            <w:r>
              <w:rPr>
                <w:spacing w:val="1"/>
              </w:rPr>
              <w:t>(二)降低人民币转账汇款手续费。对小微</w:t>
            </w:r>
            <w:r>
              <w:rPr/>
              <w:t>企业和个体工商户 </w:t>
            </w:r>
            <w:r>
              <w:rPr/>
              <w:t>通过柜台渠道进行的单笔10万元(含，下同</w:t>
            </w:r>
            <w:r>
              <w:rPr>
                <w:spacing w:val="-1"/>
              </w:rPr>
              <w:t>)以下的对公跨</w:t>
            </w:r>
          </w:p>
          <w:p>
            <w:pPr>
              <w:pStyle w:val="TableText"/>
              <w:ind w:left="20" w:right="53" w:firstLine="10"/>
              <w:spacing w:before="38" w:line="261" w:lineRule="auto"/>
              <w:rPr/>
            </w:pPr>
            <w:r>
              <w:rPr>
                <w:spacing w:val="-1"/>
              </w:rPr>
              <w:t>行转账汇款业务，商业银行应按照不高于现行政府指导价标准</w:t>
            </w:r>
            <w:r>
              <w:rPr>
                <w:spacing w:val="17"/>
              </w:rPr>
              <w:t xml:space="preserve"> </w:t>
            </w:r>
            <w:r>
              <w:rPr>
                <w:spacing w:val="1"/>
              </w:rPr>
              <w:t>的9折实行优惠。实际收费标准低于上述标准</w:t>
            </w:r>
            <w:r>
              <w:rPr/>
              <w:t>的，鼓励继续执 </w:t>
            </w:r>
            <w:r>
              <w:rPr/>
              <w:t>行实际收费标准。人民银行指导清算机构对小额批量支付系统 </w:t>
            </w:r>
            <w:r>
              <w:rPr/>
              <w:t>网上支付跨行清算系统单笔10万元以下的交易按照现行费率</w:t>
            </w:r>
            <w:r>
              <w:rPr>
                <w:spacing w:val="5"/>
              </w:rPr>
              <w:t xml:space="preserve">   </w:t>
            </w:r>
            <w:r>
              <w:rPr>
                <w:spacing w:val="1"/>
              </w:rPr>
              <w:t>9折实行优惠。银行卡清算机构免收小微企业卡、单位结算卡</w:t>
            </w:r>
            <w:r>
              <w:rPr>
                <w:spacing w:val="15"/>
              </w:rPr>
              <w:t xml:space="preserve"> </w:t>
            </w:r>
            <w:r>
              <w:rPr>
                <w:spacing w:val="-1"/>
              </w:rPr>
              <w:t>跨行转账汇款手续费。</w:t>
            </w:r>
          </w:p>
          <w:p>
            <w:pPr>
              <w:pStyle w:val="TableText"/>
              <w:ind w:right="9"/>
              <w:spacing w:before="50" w:line="219" w:lineRule="auto"/>
              <w:jc w:val="right"/>
              <w:rPr/>
            </w:pPr>
            <w:r>
              <w:rPr/>
              <w:t>(三)取消部分票据业务收费。商业银行取消收取</w:t>
            </w:r>
            <w:r>
              <w:rPr>
                <w:spacing w:val="-1"/>
              </w:rPr>
              <w:t>支票工本费，</w:t>
            </w:r>
          </w:p>
          <w:p>
            <w:pPr>
              <w:pStyle w:val="TableText"/>
              <w:ind w:left="20"/>
              <w:spacing w:before="42" w:line="219" w:lineRule="auto"/>
              <w:rPr/>
            </w:pPr>
            <w:r>
              <w:rPr>
                <w:spacing w:val="-1"/>
              </w:rPr>
              <w:t>挂失费，以及本票和银行汇票的手续费、工本费、挂失费</w:t>
            </w:r>
          </w:p>
          <w:p>
            <w:pPr>
              <w:pStyle w:val="TableText"/>
              <w:ind w:left="109"/>
              <w:spacing w:before="43" w:line="196" w:lineRule="auto"/>
              <w:rPr/>
            </w:pPr>
            <w:r>
              <w:rPr/>
              <w:t>(四)降低银行卡刷卡手续费。银行卡清算机构协调成员机构</w:t>
            </w:r>
          </w:p>
        </w:tc>
        <w:tc>
          <w:tcPr>
            <w:tcW w:w="2517" w:type="dxa"/>
            <w:vAlign w:val="top"/>
          </w:tcPr>
          <w:p>
            <w:pPr>
              <w:pStyle w:val="TableText"/>
              <w:ind w:left="44" w:right="33" w:firstLine="10"/>
              <w:spacing w:before="140" w:line="249" w:lineRule="auto"/>
              <w:jc w:val="both"/>
              <w:rPr/>
            </w:pPr>
            <w:r>
              <w:rPr/>
              <w:t>中国人民银行、银保监会、发展改革</w:t>
            </w:r>
            <w:r>
              <w:rPr>
                <w:spacing w:val="5"/>
              </w:rPr>
              <w:t xml:space="preserve"> </w:t>
            </w:r>
            <w:r>
              <w:rPr/>
              <w:t>委、市场监管总局《关于降低小微企</w:t>
            </w:r>
            <w:r>
              <w:rPr>
                <w:spacing w:val="3"/>
              </w:rPr>
              <w:t xml:space="preserve"> </w:t>
            </w:r>
            <w:r>
              <w:rPr>
                <w:spacing w:val="1"/>
              </w:rPr>
              <w:t>业和个体工商户支付手续费的通知》</w:t>
            </w:r>
            <w:r>
              <w:rPr>
                <w:spacing w:val="11"/>
              </w:rPr>
              <w:t xml:space="preserve"> </w:t>
            </w:r>
            <w:r>
              <w:rPr>
                <w:spacing w:val="-1"/>
              </w:rPr>
              <w:t>银发〔2021〕169号</w:t>
            </w:r>
          </w:p>
        </w:tc>
        <w:tc>
          <w:tcPr>
            <w:tcW w:w="949" w:type="dxa"/>
            <w:vAlign w:val="top"/>
          </w:tcPr>
          <w:p>
            <w:pPr>
              <w:pStyle w:val="TableText"/>
              <w:ind w:left="17" w:right="10"/>
              <w:spacing w:before="139"/>
              <w:rPr/>
            </w:pPr>
            <w:r>
              <w:rPr>
                <w:spacing w:val="-9"/>
              </w:rPr>
              <w:t>2</w:t>
            </w:r>
            <w:r>
              <w:rPr>
                <w:spacing w:val="-28"/>
              </w:rPr>
              <w:t xml:space="preserve"> </w:t>
            </w:r>
            <w:r>
              <w:rPr>
                <w:spacing w:val="-9"/>
              </w:rPr>
              <w:t>0</w:t>
            </w:r>
            <w:r>
              <w:rPr>
                <w:spacing w:val="-26"/>
              </w:rPr>
              <w:t xml:space="preserve"> </w:t>
            </w:r>
            <w:r>
              <w:rPr>
                <w:spacing w:val="-9"/>
              </w:rPr>
              <w:t>2</w:t>
            </w:r>
            <w:r>
              <w:rPr>
                <w:spacing w:val="-18"/>
              </w:rPr>
              <w:t xml:space="preserve"> </w:t>
            </w:r>
            <w:r>
              <w:rPr>
                <w:spacing w:val="-9"/>
              </w:rPr>
              <w:t>1</w:t>
            </w:r>
            <w:r>
              <w:rPr>
                <w:spacing w:val="-28"/>
              </w:rPr>
              <w:t xml:space="preserve"> </w:t>
            </w:r>
            <w:r>
              <w:rPr>
                <w:spacing w:val="-9"/>
              </w:rPr>
              <w:t>年</w:t>
            </w:r>
            <w:r>
              <w:rPr>
                <w:spacing w:val="-28"/>
              </w:rPr>
              <w:t xml:space="preserve"> </w:t>
            </w:r>
            <w:r>
              <w:rPr>
                <w:spacing w:val="-9"/>
              </w:rPr>
              <w:t>9</w:t>
            </w:r>
            <w:r>
              <w:rPr>
                <w:spacing w:val="-25"/>
              </w:rPr>
              <w:t xml:space="preserve"> </w:t>
            </w:r>
            <w:r>
              <w:rPr>
                <w:spacing w:val="-9"/>
              </w:rPr>
              <w:t>月</w:t>
            </w:r>
            <w:r>
              <w:rPr/>
              <w:t xml:space="preserve"> </w:t>
            </w:r>
            <w:r>
              <w:rPr>
                <w:spacing w:val="-2"/>
              </w:rPr>
              <w:t>30日起</w:t>
            </w:r>
          </w:p>
        </w:tc>
        <w:tc>
          <w:tcPr>
            <w:tcW w:w="969" w:type="dxa"/>
            <w:vAlign w:val="top"/>
          </w:tcPr>
          <w:p>
            <w:pPr>
              <w:pStyle w:val="TableText"/>
              <w:ind w:left="178" w:right="39" w:hanging="149"/>
              <w:spacing w:before="139" w:line="246" w:lineRule="auto"/>
              <w:rPr/>
            </w:pPr>
            <w:r>
              <w:rPr>
                <w:spacing w:val="-2"/>
              </w:rPr>
              <w:t>小微企业和个</w:t>
            </w:r>
            <w:r>
              <w:rPr>
                <w:spacing w:val="1"/>
              </w:rPr>
              <w:t xml:space="preserve"> </w:t>
            </w:r>
            <w:r>
              <w:rPr>
                <w:spacing w:val="5"/>
              </w:rPr>
              <w:t>体工商户</w:t>
            </w:r>
          </w:p>
        </w:tc>
        <w:tc>
          <w:tcPr>
            <w:tcW w:w="390" w:type="dxa"/>
            <w:vAlign w:val="top"/>
          </w:tcPr>
          <w:p>
            <w:pPr>
              <w:pStyle w:val="TableText"/>
              <w:ind w:left="39" w:right="45"/>
              <w:spacing w:before="120" w:line="247" w:lineRule="auto"/>
              <w:rPr/>
            </w:pPr>
            <w:r>
              <w:rPr>
                <w:spacing w:val="-5"/>
              </w:rPr>
              <w:t>行政</w:t>
            </w:r>
            <w:r>
              <w:rPr/>
              <w:t xml:space="preserve"> </w:t>
            </w:r>
            <w:r>
              <w:rPr>
                <w:spacing w:val="-3"/>
              </w:rPr>
              <w:t>通知</w:t>
            </w:r>
          </w:p>
        </w:tc>
        <w:tc>
          <w:tcPr>
            <w:tcW w:w="394" w:type="dxa"/>
            <w:vAlign w:val="top"/>
          </w:tcPr>
          <w:p>
            <w:pPr>
              <w:pStyle w:val="TableText"/>
              <w:ind w:left="40" w:right="49"/>
              <w:spacing w:before="135" w:line="236" w:lineRule="auto"/>
              <w:rPr/>
            </w:pPr>
            <w:r>
              <w:rPr>
                <w:spacing w:val="-7"/>
              </w:rPr>
              <w:t>惠企</w:t>
            </w:r>
            <w:r>
              <w:rPr/>
              <w:t xml:space="preserve"> </w:t>
            </w:r>
            <w:r>
              <w:rPr>
                <w:spacing w:val="-3"/>
              </w:rPr>
              <w:t>减费</w:t>
            </w:r>
          </w:p>
        </w:tc>
      </w:tr>
    </w:tbl>
    <w:p>
      <w:pPr>
        <w:pStyle w:val="BodyText"/>
        <w:rPr/>
      </w:pPr>
      <w:r/>
    </w:p>
    <w:p>
      <w:pPr>
        <w:sectPr>
          <w:pgSz w:w="11910" w:h="8220"/>
          <w:pgMar w:top="400" w:right="113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9136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30" name="TextBox 130"/>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2" style="position:absolute;margin-left:37.3042pt;margin-top:345.874pt;mso-position-vertical-relative:page;mso-position-horizontal-relative:page;width:13.1pt;height:12.4pt;z-index:25179136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133</w:t>
                      </w:r>
                    </w:p>
                  </w:txbxContent>
                </v:textbox>
              </v:shape>
            </w:pict>
          </mc:Fallback>
        </mc:AlternateContent>
      </w:r>
      <w:r/>
    </w:p>
    <w:p>
      <w:pPr>
        <w:spacing w:before="51"/>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6" w:type="dxa"/>
            <w:vAlign w:val="top"/>
          </w:tcPr>
          <w:p>
            <w:pPr>
              <w:pStyle w:val="TableText"/>
              <w:ind w:left="175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67"/>
              <w:spacing w:before="171" w:line="219" w:lineRule="auto"/>
              <w:rPr/>
            </w:pPr>
            <w:r>
              <w:rPr>
                <w:spacing w:val="3"/>
              </w:rPr>
              <w:t>执行时间</w:t>
            </w:r>
          </w:p>
        </w:tc>
        <w:tc>
          <w:tcPr>
            <w:tcW w:w="969" w:type="dxa"/>
            <w:vAlign w:val="top"/>
          </w:tcPr>
          <w:p>
            <w:pPr>
              <w:pStyle w:val="TableText"/>
              <w:ind w:left="177"/>
              <w:spacing w:before="63" w:line="228"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7"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1797" w:hRule="atLeast"/>
        </w:trPr>
        <w:tc>
          <w:tcPr>
            <w:tcW w:w="285"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55"/>
              <w:spacing w:before="49" w:line="184" w:lineRule="auto"/>
              <w:rPr/>
            </w:pPr>
            <w:r>
              <w:rPr>
                <w:spacing w:val="-5"/>
              </w:rPr>
              <w:t>18</w:t>
            </w:r>
          </w:p>
        </w:tc>
        <w:tc>
          <w:tcPr>
            <w:tcW w:w="4136" w:type="dxa"/>
            <w:vAlign w:val="top"/>
          </w:tcPr>
          <w:p>
            <w:pPr>
              <w:pStyle w:val="TableText"/>
              <w:ind w:left="10" w:firstLine="20"/>
              <w:spacing w:before="77" w:line="260" w:lineRule="auto"/>
              <w:rPr/>
            </w:pPr>
            <w:r>
              <w:rPr>
                <w:spacing w:val="-1"/>
              </w:rPr>
              <w:t>对标准类商户借记卡发卡行服务费、网络服务费在现行政府指 </w:t>
            </w:r>
            <w:r>
              <w:rPr>
                <w:spacing w:val="2"/>
              </w:rPr>
              <w:t>导价基础上实行9折优惠、封顶值维持不变，</w:t>
            </w:r>
            <w:r>
              <w:rPr>
                <w:spacing w:val="1"/>
              </w:rPr>
              <w:t>对优惠类商户发</w:t>
            </w:r>
            <w:r>
              <w:rPr/>
              <w:t xml:space="preserve">  </w:t>
            </w:r>
            <w:r>
              <w:rPr>
                <w:spacing w:val="-1"/>
              </w:rPr>
              <w:t>卡行服务费、网络服务费继续在现行政府指导价基础上实行7.8</w:t>
            </w:r>
            <w:r>
              <w:rPr>
                <w:spacing w:val="18"/>
                <w:w w:val="101"/>
              </w:rPr>
              <w:t xml:space="preserve"> </w:t>
            </w:r>
            <w:r>
              <w:rPr/>
              <w:t>折优惠。收单机构应同步降低对商户的收单服务费，切实将发 </w:t>
            </w:r>
            <w:r>
              <w:rPr>
                <w:spacing w:val="2"/>
              </w:rPr>
              <w:t>卡行、银行卡清算机构让利传导至商户</w:t>
            </w:r>
          </w:p>
          <w:p>
            <w:pPr>
              <w:pStyle w:val="TableText"/>
              <w:ind w:left="30"/>
              <w:spacing w:before="43" w:line="250" w:lineRule="auto"/>
              <w:jc w:val="both"/>
              <w:rPr/>
            </w:pPr>
            <w:r>
              <w:rPr>
                <w:spacing w:val="-1"/>
              </w:rPr>
              <w:t>上述措施中，票据业务降费期限为长期，其余降费措施优惠期 </w:t>
            </w:r>
            <w:r>
              <w:rPr>
                <w:spacing w:val="1"/>
              </w:rPr>
              <w:t>限为3年；票据业务、银行卡刷卡降费对象为所有客户(商户),</w:t>
            </w:r>
            <w:r>
              <w:rPr>
                <w:spacing w:val="15"/>
              </w:rPr>
              <w:t xml:space="preserve"> </w:t>
            </w:r>
            <w:r>
              <w:rPr>
                <w:spacing w:val="1"/>
              </w:rPr>
              <w:t>其余措施降费对象为小微企业和个体工商户</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3988" w:hRule="atLeast"/>
        </w:trPr>
        <w:tc>
          <w:tcPr>
            <w:tcW w:w="285"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55"/>
              <w:spacing w:before="49" w:line="184" w:lineRule="auto"/>
              <w:rPr/>
            </w:pPr>
            <w:r>
              <w:rPr>
                <w:spacing w:val="-5"/>
              </w:rPr>
              <w:t>19</w:t>
            </w:r>
          </w:p>
        </w:tc>
        <w:tc>
          <w:tcPr>
            <w:tcW w:w="4136" w:type="dxa"/>
            <w:vAlign w:val="top"/>
          </w:tcPr>
          <w:p>
            <w:pPr>
              <w:pStyle w:val="TableText"/>
              <w:ind w:left="50"/>
              <w:spacing w:before="60" w:line="219" w:lineRule="auto"/>
              <w:rPr/>
            </w:pPr>
            <w:r>
              <w:rPr>
                <w:spacing w:val="-1"/>
              </w:rPr>
              <w:t>一、购买普惠小微信用贷款支持政策</w:t>
            </w:r>
          </w:p>
          <w:p>
            <w:pPr>
              <w:pStyle w:val="TableText"/>
              <w:ind w:left="50"/>
              <w:spacing w:before="51" w:line="219" w:lineRule="auto"/>
              <w:rPr/>
            </w:pPr>
            <w:r>
              <w:rPr/>
              <w:t>自2020年6月1日起，人民银行通过货币政策工具按季度购</w:t>
            </w:r>
          </w:p>
          <w:p>
            <w:pPr>
              <w:pStyle w:val="TableText"/>
              <w:ind w:left="30" w:right="28"/>
              <w:spacing w:before="43" w:line="260" w:lineRule="auto"/>
              <w:rPr/>
            </w:pPr>
            <w:r>
              <w:rPr/>
              <w:t>买符合条件的地方法人银行业金融机构新发放的普惠小微信用</w:t>
            </w:r>
            <w:r>
              <w:rPr>
                <w:spacing w:val="16"/>
              </w:rPr>
              <w:t xml:space="preserve"> </w:t>
            </w:r>
            <w:r>
              <w:rPr>
                <w:spacing w:val="1"/>
              </w:rPr>
              <w:t>贷款。符合条件的地方法人银行业金融机构为最新央行评级1</w:t>
            </w:r>
            <w:r>
              <w:rPr>
                <w:spacing w:val="3"/>
              </w:rPr>
              <w:t xml:space="preserve">  </w:t>
            </w:r>
            <w:r>
              <w:rPr>
                <w:spacing w:val="1"/>
              </w:rPr>
              <w:t>级至5级的城市商业银行、农村商业银行、农村合作银行、村  </w:t>
            </w:r>
            <w:r>
              <w:rPr/>
              <w:t>镇银行、农村信用社、民营银行。购买范围为</w:t>
            </w:r>
            <w:r>
              <w:rPr>
                <w:spacing w:val="-1"/>
              </w:rPr>
              <w:t>符合条件的地方</w:t>
            </w:r>
            <w:r>
              <w:rPr/>
              <w:t xml:space="preserve"> </w:t>
            </w:r>
            <w:r>
              <w:rPr/>
              <w:t>法人银行业金融机构2020年3月1日至12</w:t>
            </w:r>
            <w:r>
              <w:rPr>
                <w:spacing w:val="-1"/>
              </w:rPr>
              <w:t>月31日期间新发</w:t>
            </w:r>
          </w:p>
          <w:p>
            <w:pPr>
              <w:pStyle w:val="TableText"/>
              <w:ind w:left="30"/>
              <w:spacing w:before="40" w:line="216" w:lineRule="auto"/>
              <w:rPr/>
            </w:pPr>
            <w:r>
              <w:rPr>
                <w:spacing w:val="1"/>
              </w:rPr>
              <w:t>放普惠小微信用贷款的40%,贷款期限不少于6个月</w:t>
            </w:r>
          </w:p>
          <w:p>
            <w:pPr>
              <w:pStyle w:val="TableText"/>
              <w:ind w:left="20" w:right="52" w:firstLine="10"/>
              <w:spacing w:before="36" w:line="261" w:lineRule="auto"/>
              <w:rPr/>
            </w:pPr>
            <w:r>
              <w:rPr>
                <w:spacing w:val="-1"/>
              </w:rPr>
              <w:t>人民银行通过货币政策工具购买上述贷款后，委托放贷银行管</w:t>
            </w:r>
            <w:r>
              <w:rPr>
                <w:spacing w:val="18"/>
                <w:w w:val="101"/>
              </w:rPr>
              <w:t xml:space="preserve"> </w:t>
            </w:r>
            <w:r>
              <w:rPr/>
              <w:t>理，购买部分的贷款利息由放贷银行收取，坏账损失也由放贷</w:t>
            </w:r>
            <w:r>
              <w:rPr>
                <w:spacing w:val="1"/>
              </w:rPr>
              <w:t xml:space="preserve"> </w:t>
            </w:r>
            <w:r>
              <w:rPr/>
              <w:t>银行承担。购买上述贷款的资金，放贷银行应于购买之日起满</w:t>
            </w:r>
            <w:r>
              <w:rPr>
                <w:spacing w:val="2"/>
              </w:rPr>
              <w:t xml:space="preserve"> </w:t>
            </w:r>
            <w:r>
              <w:rPr>
                <w:spacing w:val="-1"/>
              </w:rPr>
              <w:t>一年时按原金额返还。</w:t>
            </w:r>
          </w:p>
          <w:p>
            <w:pPr>
              <w:pStyle w:val="TableText"/>
              <w:ind w:left="30"/>
              <w:spacing w:before="42" w:line="219" w:lineRule="auto"/>
              <w:rPr/>
            </w:pPr>
            <w:r>
              <w:rPr>
                <w:spacing w:val="-1"/>
              </w:rPr>
              <w:t>二、加大普惠小微信用贷款投放力度</w:t>
            </w:r>
          </w:p>
          <w:p>
            <w:pPr>
              <w:pStyle w:val="TableText"/>
              <w:ind w:left="20" w:right="38" w:firstLine="10"/>
              <w:spacing w:before="42" w:line="261" w:lineRule="auto"/>
              <w:rPr/>
            </w:pPr>
            <w:r>
              <w:rPr>
                <w:spacing w:val="-1"/>
              </w:rPr>
              <w:t>各银行业金融机构要增加对小微企业的信贷资源配置，优化风</w:t>
            </w:r>
            <w:r>
              <w:rPr>
                <w:spacing w:val="18"/>
              </w:rPr>
              <w:t xml:space="preserve"> </w:t>
            </w:r>
            <w:r>
              <w:rPr/>
              <w:t>险评估机制，注重审核第一还款来源，减少对抵押担保的依赖</w:t>
            </w:r>
            <w:r>
              <w:rPr>
                <w:spacing w:val="16"/>
              </w:rPr>
              <w:t xml:space="preserve"> </w:t>
            </w:r>
            <w:r>
              <w:rPr/>
              <w:t>支持更多小微企业获得免抵押免担保的纯信用贷款支持，确保</w:t>
            </w:r>
            <w:r>
              <w:rPr>
                <w:spacing w:val="2"/>
              </w:rPr>
              <w:t xml:space="preserve"> </w:t>
            </w:r>
            <w:r>
              <w:rPr>
                <w:spacing w:val="-1"/>
              </w:rPr>
              <w:t>2020年普惠小微信用贷款占比明显提高。</w:t>
            </w:r>
          </w:p>
          <w:p>
            <w:pPr>
              <w:pStyle w:val="TableText"/>
              <w:ind w:left="30"/>
              <w:spacing w:before="41" w:line="195" w:lineRule="auto"/>
              <w:rPr/>
            </w:pPr>
            <w:r>
              <w:rPr>
                <w:spacing w:val="-1"/>
              </w:rPr>
              <w:t>各银行业金融机构要积极运用大数据、云计算等金融科技手段</w:t>
            </w:r>
          </w:p>
        </w:tc>
        <w:tc>
          <w:tcPr>
            <w:tcW w:w="2527" w:type="dxa"/>
            <w:vAlign w:val="top"/>
          </w:tcPr>
          <w:p>
            <w:pPr>
              <w:pStyle w:val="TableText"/>
              <w:ind w:left="23" w:right="68" w:firstLine="110"/>
              <w:spacing w:before="80" w:line="255" w:lineRule="auto"/>
              <w:jc w:val="both"/>
              <w:rPr/>
            </w:pPr>
            <w:r>
              <w:rPr/>
              <w:t>中国人民银行、银保监会、财政部</w:t>
            </w:r>
            <w:r>
              <w:rPr>
                <w:spacing w:val="3"/>
              </w:rPr>
              <w:t xml:space="preserve">  </w:t>
            </w:r>
            <w:r>
              <w:rPr>
                <w:spacing w:val="1"/>
              </w:rPr>
              <w:t>发展改革委、工业和信息化部《关于</w:t>
            </w:r>
            <w:r>
              <w:rPr>
                <w:spacing w:val="4"/>
              </w:rPr>
              <w:t xml:space="preserve"> </w:t>
            </w:r>
            <w:r>
              <w:rPr>
                <w:spacing w:val="1"/>
              </w:rPr>
              <w:t>加大小微企业信用贷款支持力度的通</w:t>
            </w:r>
            <w:r>
              <w:rPr>
                <w:spacing w:val="7"/>
              </w:rPr>
              <w:t xml:space="preserve"> </w:t>
            </w:r>
            <w:r>
              <w:rPr>
                <w:spacing w:val="-1"/>
              </w:rPr>
              <w:t>知》银发〔2020〕123号</w:t>
            </w:r>
          </w:p>
        </w:tc>
        <w:tc>
          <w:tcPr>
            <w:tcW w:w="949" w:type="dxa"/>
            <w:vAlign w:val="top"/>
          </w:tcPr>
          <w:p>
            <w:pPr>
              <w:pStyle w:val="TableText"/>
              <w:ind w:left="16" w:right="13"/>
              <w:spacing w:before="79" w:line="254" w:lineRule="auto"/>
              <w:jc w:val="both"/>
              <w:rPr/>
            </w:pPr>
            <w:r>
              <w:rPr>
                <w:spacing w:val="-11"/>
              </w:rPr>
              <w:t>自</w:t>
            </w:r>
            <w:r>
              <w:rPr>
                <w:spacing w:val="-21"/>
              </w:rPr>
              <w:t xml:space="preserve"> </w:t>
            </w:r>
            <w:r>
              <w:rPr>
                <w:spacing w:val="-11"/>
              </w:rPr>
              <w:t>2</w:t>
            </w:r>
            <w:r>
              <w:rPr>
                <w:spacing w:val="-24"/>
              </w:rPr>
              <w:t xml:space="preserve"> </w:t>
            </w:r>
            <w:r>
              <w:rPr>
                <w:spacing w:val="-11"/>
              </w:rPr>
              <w:t>0</w:t>
            </w:r>
            <w:r>
              <w:rPr>
                <w:spacing w:val="-24"/>
              </w:rPr>
              <w:t xml:space="preserve"> </w:t>
            </w:r>
            <w:r>
              <w:rPr>
                <w:spacing w:val="-11"/>
              </w:rPr>
              <w:t>2</w:t>
            </w:r>
            <w:r>
              <w:rPr>
                <w:spacing w:val="-24"/>
              </w:rPr>
              <w:t xml:space="preserve"> </w:t>
            </w:r>
            <w:r>
              <w:rPr>
                <w:spacing w:val="-11"/>
              </w:rPr>
              <w:t>0</w:t>
            </w:r>
            <w:r>
              <w:rPr>
                <w:spacing w:val="-25"/>
              </w:rPr>
              <w:t xml:space="preserve"> </w:t>
            </w:r>
            <w:r>
              <w:rPr>
                <w:spacing w:val="-11"/>
              </w:rPr>
              <w:t>年</w:t>
            </w:r>
            <w:r>
              <w:rPr>
                <w:spacing w:val="-24"/>
              </w:rPr>
              <w:t xml:space="preserve"> </w:t>
            </w:r>
            <w:r>
              <w:rPr>
                <w:spacing w:val="-11"/>
              </w:rPr>
              <w:t>6</w:t>
            </w:r>
            <w:r>
              <w:rPr/>
              <w:t xml:space="preserve"> </w:t>
            </w:r>
            <w:r>
              <w:rPr>
                <w:spacing w:val="26"/>
              </w:rPr>
              <w:t>月1日起(文</w:t>
            </w:r>
            <w:r>
              <w:rPr>
                <w:spacing w:val="1"/>
              </w:rPr>
              <w:t xml:space="preserve"> </w:t>
            </w:r>
            <w:r>
              <w:rPr>
                <w:spacing w:val="11"/>
              </w:rPr>
              <w:t>件印发日期)</w:t>
            </w:r>
          </w:p>
        </w:tc>
        <w:tc>
          <w:tcPr>
            <w:tcW w:w="969" w:type="dxa"/>
            <w:vAlign w:val="top"/>
          </w:tcPr>
          <w:p>
            <w:pPr>
              <w:pStyle w:val="TableText"/>
              <w:ind w:left="177"/>
              <w:spacing w:before="70" w:line="219" w:lineRule="auto"/>
              <w:rPr/>
            </w:pPr>
            <w:r>
              <w:rPr>
                <w:spacing w:val="-2"/>
              </w:rPr>
              <w:t>小微企业</w:t>
            </w:r>
          </w:p>
        </w:tc>
        <w:tc>
          <w:tcPr>
            <w:tcW w:w="389" w:type="dxa"/>
            <w:vAlign w:val="top"/>
          </w:tcPr>
          <w:p>
            <w:pPr>
              <w:pStyle w:val="TableText"/>
              <w:ind w:left="38" w:right="45"/>
              <w:spacing w:before="59" w:line="235" w:lineRule="auto"/>
              <w:rPr/>
            </w:pPr>
            <w:r>
              <w:rPr>
                <w:spacing w:val="-5"/>
              </w:rPr>
              <w:t>行政</w:t>
            </w:r>
            <w:r>
              <w:rPr/>
              <w:t xml:space="preserve"> </w:t>
            </w:r>
            <w:r>
              <w:rPr>
                <w:spacing w:val="-3"/>
              </w:rPr>
              <w:t>通知</w:t>
            </w:r>
          </w:p>
        </w:tc>
        <w:tc>
          <w:tcPr>
            <w:tcW w:w="384" w:type="dxa"/>
            <w:vAlign w:val="top"/>
          </w:tcPr>
          <w:p>
            <w:pPr>
              <w:pStyle w:val="TableText"/>
              <w:ind w:left="40" w:right="39"/>
              <w:spacing w:before="60" w:line="245"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92384"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32" name="TextBox 132"/>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4" style="position:absolute;margin-left:36.1352pt;margin-top:49.3939pt;mso-position-vertical-relative:page;mso-position-horizontal-relative:page;width:13.8pt;height:13pt;z-index:251792384;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134</w:t>
                      </w:r>
                    </w:p>
                  </w:txbxContent>
                </v:textbox>
              </v:shape>
            </w:pict>
          </mc:Fallback>
        </mc:AlternateContent>
      </w:r>
      <w:r/>
    </w:p>
    <w:p>
      <w:pPr>
        <w:spacing w:before="51"/>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6" w:type="dxa"/>
            <w:vAlign w:val="top"/>
          </w:tcPr>
          <w:p>
            <w:pPr>
              <w:pStyle w:val="TableText"/>
              <w:ind w:left="178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49" w:type="dxa"/>
            <w:vAlign w:val="top"/>
          </w:tcPr>
          <w:p>
            <w:pPr>
              <w:pStyle w:val="TableText"/>
              <w:ind w:left="186"/>
              <w:spacing w:before="171" w:line="219" w:lineRule="auto"/>
              <w:rPr/>
            </w:pPr>
            <w:r>
              <w:rPr>
                <w:spacing w:val="3"/>
              </w:rPr>
              <w:t>执行时间</w:t>
            </w:r>
          </w:p>
        </w:tc>
        <w:tc>
          <w:tcPr>
            <w:tcW w:w="969" w:type="dxa"/>
            <w:vAlign w:val="top"/>
          </w:tcPr>
          <w:p>
            <w:pPr>
              <w:pStyle w:val="TableText"/>
              <w:ind w:left="177"/>
              <w:spacing w:before="63" w:line="228"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57"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2436" w:hRule="atLeast"/>
        </w:trPr>
        <w:tc>
          <w:tcPr>
            <w:tcW w:w="285"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55"/>
              <w:spacing w:before="49" w:line="184" w:lineRule="auto"/>
              <w:rPr/>
            </w:pPr>
            <w:r>
              <w:rPr>
                <w:spacing w:val="-5"/>
              </w:rPr>
              <w:t>19</w:t>
            </w:r>
          </w:p>
        </w:tc>
        <w:tc>
          <w:tcPr>
            <w:tcW w:w="4136" w:type="dxa"/>
            <w:vAlign w:val="top"/>
          </w:tcPr>
          <w:p>
            <w:pPr>
              <w:pStyle w:val="TableText"/>
              <w:ind w:left="30" w:right="43"/>
              <w:spacing w:before="76" w:line="255" w:lineRule="auto"/>
              <w:jc w:val="both"/>
              <w:rPr/>
            </w:pPr>
            <w:r>
              <w:rPr/>
              <w:t>整合内外部信用信息，提高对小微企业信用</w:t>
            </w:r>
            <w:r>
              <w:rPr>
                <w:spacing w:val="-1"/>
              </w:rPr>
              <w:t>风险评价和管控水</w:t>
            </w:r>
            <w:r>
              <w:rPr/>
              <w:t xml:space="preserve"> </w:t>
            </w:r>
            <w:r>
              <w:rPr/>
              <w:t>平。要针对小微企业融资需求和特点，丰富信</w:t>
            </w:r>
            <w:r>
              <w:rPr>
                <w:spacing w:val="-1"/>
              </w:rPr>
              <w:t>用贷款产品体系</w:t>
            </w:r>
            <w:r>
              <w:rPr/>
              <w:t xml:space="preserve"> </w:t>
            </w:r>
            <w:r>
              <w:rPr/>
              <w:t>鼓励提升信用贷款中长期授信额度。要合理下放审批权限，提</w:t>
            </w:r>
            <w:r>
              <w:rPr>
                <w:spacing w:val="1"/>
              </w:rPr>
              <w:t xml:space="preserve"> </w:t>
            </w:r>
            <w:r>
              <w:rPr>
                <w:spacing w:val="4"/>
              </w:rPr>
              <w:t>高小微企业信用贷款的发放效率</w:t>
            </w:r>
          </w:p>
          <w:p>
            <w:pPr>
              <w:pStyle w:val="TableText"/>
              <w:ind w:left="40" w:right="43"/>
              <w:spacing w:before="41" w:line="258" w:lineRule="auto"/>
              <w:jc w:val="both"/>
              <w:rPr/>
            </w:pPr>
            <w:r>
              <w:rPr>
                <w:spacing w:val="-1"/>
              </w:rPr>
              <w:t>获得支持的地方法人银行业金融机构要制定普惠小微信用贷款</w:t>
            </w:r>
            <w:r>
              <w:rPr>
                <w:spacing w:val="17"/>
              </w:rPr>
              <w:t xml:space="preserve"> </w:t>
            </w:r>
            <w:r>
              <w:rPr>
                <w:spacing w:val="-1"/>
              </w:rPr>
              <w:t>投放增长目标，将政策红利让利于小微企业，着力降低信用贷</w:t>
            </w:r>
            <w:r>
              <w:rPr>
                <w:spacing w:val="18"/>
              </w:rPr>
              <w:t xml:space="preserve"> </w:t>
            </w:r>
            <w:r>
              <w:rPr/>
              <w:t>款发放利率。要建立2020年3月1日起的</w:t>
            </w:r>
            <w:r>
              <w:rPr>
                <w:spacing w:val="-1"/>
              </w:rPr>
              <w:t>普惠小微信用贷款</w:t>
            </w:r>
          </w:p>
          <w:p>
            <w:pPr>
              <w:pStyle w:val="TableText"/>
              <w:ind w:left="40"/>
              <w:spacing w:before="31" w:line="252" w:lineRule="auto"/>
              <w:jc w:val="both"/>
              <w:rPr/>
            </w:pPr>
            <w:r>
              <w:rPr>
                <w:spacing w:val="-1"/>
              </w:rPr>
              <w:t>发放专项台账，及时报送人民银行分支机构和银保监会派出机 </w:t>
            </w:r>
            <w:r>
              <w:rPr>
                <w:spacing w:val="-4"/>
              </w:rPr>
              <w:t>构，并保证数据真实、准确、完整。要做好贷前审查和</w:t>
            </w:r>
            <w:r>
              <w:rPr>
                <w:spacing w:val="-5"/>
              </w:rPr>
              <w:t>贷后管理</w:t>
            </w:r>
            <w:r>
              <w:rPr/>
              <w:t xml:space="preserve"> </w:t>
            </w:r>
            <w:r>
              <w:rPr/>
              <w:t>可要求企业提供稳岗承诺书；贷款期间，企业应当保持就业岗</w:t>
            </w:r>
            <w:r>
              <w:rPr>
                <w:spacing w:val="16"/>
              </w:rPr>
              <w:t xml:space="preserve"> </w:t>
            </w:r>
            <w:r>
              <w:rPr>
                <w:spacing w:val="2"/>
              </w:rPr>
              <w:t>位基本稳定。要把控好信贷风险，切实防范金融风险积聚，</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3349" w:hRule="atLeast"/>
        </w:trPr>
        <w:tc>
          <w:tcPr>
            <w:tcW w:w="285"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55"/>
              <w:spacing w:before="49" w:line="183" w:lineRule="auto"/>
              <w:rPr/>
            </w:pPr>
            <w:r>
              <w:rPr>
                <w:spacing w:val="-2"/>
              </w:rPr>
              <w:t>20</w:t>
            </w:r>
          </w:p>
        </w:tc>
        <w:tc>
          <w:tcPr>
            <w:tcW w:w="4136" w:type="dxa"/>
            <w:vAlign w:val="top"/>
          </w:tcPr>
          <w:p>
            <w:pPr>
              <w:pStyle w:val="TableText"/>
              <w:ind w:left="99"/>
              <w:spacing w:before="80" w:line="220" w:lineRule="exact"/>
              <w:rPr/>
            </w:pPr>
            <w:r>
              <w:rPr>
                <w:spacing w:val="-1"/>
                <w:position w:val="5"/>
              </w:rPr>
              <w:t>一、信贷环节取消部分收费项目和不合理条件</w:t>
            </w:r>
          </w:p>
          <w:p>
            <w:pPr>
              <w:pStyle w:val="TableText"/>
              <w:ind w:left="99"/>
              <w:spacing w:line="219" w:lineRule="auto"/>
              <w:rPr/>
            </w:pPr>
            <w:r>
              <w:rPr>
                <w:spacing w:val="1"/>
              </w:rPr>
              <w:t>(一)取消信贷资金管理等费用</w:t>
            </w:r>
          </w:p>
          <w:p>
            <w:pPr>
              <w:pStyle w:val="TableText"/>
              <w:ind w:left="99" w:right="565"/>
              <w:spacing w:before="41" w:line="239" w:lineRule="auto"/>
              <w:rPr/>
            </w:pPr>
            <w:r>
              <w:rPr/>
              <w:t>(二)严格执行贷存挂钩、强制捆绑搭售等禁止性规定</w:t>
            </w:r>
            <w:r>
              <w:rPr>
                <w:spacing w:val="9"/>
              </w:rPr>
              <w:t xml:space="preserve"> </w:t>
            </w:r>
            <w:r>
              <w:rPr/>
              <w:t>(三)提前开展信贷审核</w:t>
            </w:r>
          </w:p>
          <w:p>
            <w:pPr>
              <w:pStyle w:val="TableText"/>
              <w:ind w:left="99"/>
              <w:spacing w:before="51" w:line="220" w:lineRule="exact"/>
              <w:rPr/>
            </w:pPr>
            <w:r>
              <w:rPr>
                <w:spacing w:val="-1"/>
                <w:position w:val="5"/>
              </w:rPr>
              <w:t>二、助贷环节合理控制融资综合成本</w:t>
            </w:r>
          </w:p>
          <w:p>
            <w:pPr>
              <w:pStyle w:val="TableText"/>
              <w:ind w:left="99"/>
              <w:spacing w:line="219" w:lineRule="auto"/>
              <w:rPr/>
            </w:pPr>
            <w:r>
              <w:rPr/>
              <w:t>(四)明确银行收费事项</w:t>
            </w:r>
          </w:p>
          <w:p>
            <w:pPr>
              <w:pStyle w:val="TableText"/>
              <w:ind w:left="99"/>
              <w:spacing w:before="42" w:line="220" w:lineRule="exact"/>
              <w:rPr/>
            </w:pPr>
            <w:r>
              <w:rPr>
                <w:position w:val="5"/>
              </w:rPr>
              <w:t>(五)加强对第三方机构管理</w:t>
            </w:r>
          </w:p>
          <w:p>
            <w:pPr>
              <w:pStyle w:val="TableText"/>
              <w:ind w:left="99"/>
              <w:spacing w:before="1" w:line="219" w:lineRule="auto"/>
              <w:rPr/>
            </w:pPr>
            <w:r>
              <w:rPr>
                <w:spacing w:val="13"/>
              </w:rPr>
              <w:t>(六)实行“两个严禁”</w:t>
            </w:r>
          </w:p>
          <w:p>
            <w:pPr>
              <w:pStyle w:val="TableText"/>
              <w:ind w:left="99"/>
              <w:spacing w:before="31" w:line="230" w:lineRule="exact"/>
              <w:rPr/>
            </w:pPr>
            <w:r>
              <w:rPr>
                <w:position w:val="6"/>
              </w:rPr>
              <w:t>三、增信环节通过多种方式为企业减负</w:t>
            </w:r>
          </w:p>
          <w:p>
            <w:pPr>
              <w:pStyle w:val="TableText"/>
              <w:ind w:left="99"/>
              <w:spacing w:before="1" w:line="219" w:lineRule="auto"/>
              <w:rPr/>
            </w:pPr>
            <w:r>
              <w:rPr/>
              <w:t>(七)合理引入增信安排</w:t>
            </w:r>
          </w:p>
          <w:p>
            <w:pPr>
              <w:pStyle w:val="TableText"/>
              <w:ind w:left="99"/>
              <w:spacing w:before="42" w:line="219" w:lineRule="auto"/>
              <w:rPr/>
            </w:pPr>
            <w:r>
              <w:rPr/>
              <w:t>(八)由银行独立承担的费用，银行应全额承担</w:t>
            </w:r>
          </w:p>
          <w:p>
            <w:pPr>
              <w:pStyle w:val="TableText"/>
              <w:ind w:left="99" w:right="102" w:firstLine="10"/>
              <w:spacing w:before="41" w:line="246" w:lineRule="auto"/>
              <w:rPr/>
            </w:pPr>
            <w:r>
              <w:rPr/>
              <w:t>(九)由企业与银行共同承担的费用，银行不得强制或以合同</w:t>
            </w:r>
            <w:r>
              <w:rPr>
                <w:spacing w:val="12"/>
              </w:rPr>
              <w:t xml:space="preserve"> </w:t>
            </w:r>
            <w:r>
              <w:rPr>
                <w:spacing w:val="-1"/>
              </w:rPr>
              <w:t>约定方式向企业转嫁</w:t>
            </w:r>
          </w:p>
          <w:p>
            <w:pPr>
              <w:pStyle w:val="TableText"/>
              <w:ind w:left="99" w:right="127" w:hanging="10"/>
              <w:spacing w:before="60" w:line="233" w:lineRule="auto"/>
              <w:rPr/>
            </w:pPr>
            <w:r>
              <w:rPr/>
              <w:t>(十)由企业独立承担的费用，银行、保险公司和融资担保公</w:t>
            </w:r>
            <w:r>
              <w:rPr>
                <w:spacing w:val="7"/>
              </w:rPr>
              <w:t xml:space="preserve"> </w:t>
            </w:r>
            <w:r>
              <w:rPr>
                <w:spacing w:val="-1"/>
              </w:rPr>
              <w:t>司等应采取措施最大限度减少企业支出。</w:t>
            </w:r>
          </w:p>
        </w:tc>
        <w:tc>
          <w:tcPr>
            <w:tcW w:w="2527" w:type="dxa"/>
            <w:vAlign w:val="top"/>
          </w:tcPr>
          <w:p>
            <w:pPr>
              <w:pStyle w:val="TableText"/>
              <w:ind w:left="33" w:right="39" w:firstLine="20"/>
              <w:spacing w:before="90" w:line="261" w:lineRule="auto"/>
              <w:jc w:val="both"/>
              <w:rPr/>
            </w:pPr>
            <w:r>
              <w:rPr/>
              <w:t>中国银保监会、工业和信息化部、发</w:t>
            </w:r>
            <w:r>
              <w:rPr>
                <w:spacing w:val="5"/>
              </w:rPr>
              <w:t xml:space="preserve"> </w:t>
            </w:r>
            <w:r>
              <w:rPr/>
              <w:t>展改革委、财政部、人民银行、市场</w:t>
            </w:r>
            <w:r>
              <w:rPr>
                <w:spacing w:val="11"/>
              </w:rPr>
              <w:t xml:space="preserve"> </w:t>
            </w:r>
            <w:r>
              <w:rPr/>
              <w:t>监管总局《关于进一步规范信贷融资</w:t>
            </w:r>
            <w:r>
              <w:rPr>
                <w:spacing w:val="12"/>
              </w:rPr>
              <w:t xml:space="preserve"> </w:t>
            </w:r>
            <w:r>
              <w:rPr>
                <w:spacing w:val="2"/>
              </w:rPr>
              <w:t>收费降低企业融资综合成本的通知》</w:t>
            </w:r>
            <w:r>
              <w:rPr>
                <w:spacing w:val="10"/>
              </w:rPr>
              <w:t xml:space="preserve"> </w:t>
            </w:r>
            <w:r>
              <w:rPr>
                <w:spacing w:val="-1"/>
              </w:rPr>
              <w:t>银保监发〔2020〕18号</w:t>
            </w:r>
          </w:p>
        </w:tc>
        <w:tc>
          <w:tcPr>
            <w:tcW w:w="949" w:type="dxa"/>
            <w:vAlign w:val="top"/>
          </w:tcPr>
          <w:p>
            <w:pPr>
              <w:pStyle w:val="TableText"/>
              <w:ind w:left="16" w:right="71"/>
              <w:spacing w:before="90"/>
              <w:rPr/>
            </w:pPr>
            <w:r>
              <w:rPr>
                <w:spacing w:val="15"/>
                <w:w w:val="110"/>
              </w:rPr>
              <w:t>2020年6月</w:t>
            </w:r>
            <w:r>
              <w:rPr>
                <w:spacing w:val="1"/>
              </w:rPr>
              <w:t xml:space="preserve"> </w:t>
            </w:r>
            <w:r>
              <w:rPr>
                <w:spacing w:val="6"/>
              </w:rPr>
              <w:t>日起</w:t>
            </w:r>
          </w:p>
        </w:tc>
        <w:tc>
          <w:tcPr>
            <w:tcW w:w="969" w:type="dxa"/>
            <w:vAlign w:val="top"/>
          </w:tcPr>
          <w:p>
            <w:pPr>
              <w:pStyle w:val="TableText"/>
              <w:ind w:left="177"/>
              <w:spacing w:before="81" w:line="220" w:lineRule="auto"/>
              <w:rPr/>
            </w:pPr>
            <w:r>
              <w:rPr>
                <w:spacing w:val="-2"/>
              </w:rPr>
              <w:t>所有企业</w:t>
            </w:r>
          </w:p>
        </w:tc>
        <w:tc>
          <w:tcPr>
            <w:tcW w:w="389" w:type="dxa"/>
            <w:vAlign w:val="top"/>
          </w:tcPr>
          <w:p>
            <w:pPr>
              <w:pStyle w:val="TableText"/>
              <w:ind w:left="38" w:right="45"/>
              <w:spacing w:before="71" w:line="247" w:lineRule="auto"/>
              <w:rPr/>
            </w:pPr>
            <w:r>
              <w:rPr>
                <w:spacing w:val="-5"/>
              </w:rPr>
              <w:t>行政</w:t>
            </w:r>
            <w:r>
              <w:rPr/>
              <w:t xml:space="preserve"> </w:t>
            </w:r>
            <w:r>
              <w:rPr>
                <w:spacing w:val="-3"/>
              </w:rPr>
              <w:t>通知</w:t>
            </w:r>
          </w:p>
        </w:tc>
        <w:tc>
          <w:tcPr>
            <w:tcW w:w="384" w:type="dxa"/>
            <w:vAlign w:val="top"/>
          </w:tcPr>
          <w:p>
            <w:pPr>
              <w:pStyle w:val="TableText"/>
              <w:ind w:left="40" w:right="39"/>
              <w:spacing w:before="76" w:line="236" w:lineRule="auto"/>
              <w:rPr/>
            </w:pPr>
            <w:r>
              <w:rPr>
                <w:spacing w:val="-7"/>
              </w:rPr>
              <w:t>惠企</w:t>
            </w:r>
            <w:r>
              <w:rPr/>
              <w:t xml:space="preserve"> </w:t>
            </w:r>
            <w:r>
              <w:rPr>
                <w:spacing w:val="-3"/>
              </w:rPr>
              <w:t>减费</w:t>
            </w:r>
          </w:p>
        </w:tc>
      </w:tr>
    </w:tbl>
    <w:p>
      <w:pPr>
        <w:pStyle w:val="BodyText"/>
        <w:rPr/>
      </w:pPr>
      <w:r/>
    </w:p>
    <w:p>
      <w:pPr>
        <w:sectPr>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793408"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34" name="TextBox 13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6" style="position:absolute;margin-left:37.3042pt;margin-top:345.874pt;mso-position-vertical-relative:page;mso-position-horizontal-relative:page;width:13.1pt;height:12.4pt;z-index:25179340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135</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35"/>
        <w:gridCol w:w="2507"/>
        <w:gridCol w:w="959"/>
        <w:gridCol w:w="989"/>
        <w:gridCol w:w="370"/>
        <w:gridCol w:w="394"/>
      </w:tblGrid>
      <w:tr>
        <w:trPr>
          <w:trHeight w:val="494" w:hRule="atLeast"/>
        </w:trPr>
        <w:tc>
          <w:tcPr>
            <w:tcW w:w="295" w:type="dxa"/>
            <w:vAlign w:val="top"/>
            <w:textDirection w:val="tbRlV"/>
          </w:tcPr>
          <w:p>
            <w:pPr>
              <w:pStyle w:val="TableText"/>
              <w:ind w:left="47"/>
              <w:spacing w:before="80" w:line="217" w:lineRule="auto"/>
              <w:rPr>
                <w:sz w:val="14"/>
                <w:szCs w:val="14"/>
              </w:rPr>
            </w:pPr>
            <w:bookmarkStart w:name="bookmark6" w:id="5"/>
            <w:bookmarkEnd w:id="5"/>
            <w:r>
              <w:rPr>
                <w:sz w:val="14"/>
                <w:szCs w:val="14"/>
              </w:rPr>
              <w:t>序</w:t>
            </w:r>
            <w:r>
              <w:rPr>
                <w:sz w:val="14"/>
                <w:szCs w:val="14"/>
                <w:spacing w:val="41"/>
              </w:rPr>
              <w:t xml:space="preserve"> </w:t>
            </w:r>
            <w:r>
              <w:rPr>
                <w:sz w:val="14"/>
                <w:szCs w:val="14"/>
              </w:rPr>
              <w:t>号</w:t>
            </w:r>
          </w:p>
        </w:tc>
        <w:tc>
          <w:tcPr>
            <w:tcW w:w="4135" w:type="dxa"/>
            <w:vAlign w:val="top"/>
          </w:tcPr>
          <w:p>
            <w:pPr>
              <w:pStyle w:val="TableText"/>
              <w:ind w:left="1779"/>
              <w:spacing w:before="180" w:line="219" w:lineRule="auto"/>
              <w:rPr>
                <w:sz w:val="14"/>
                <w:szCs w:val="14"/>
              </w:rPr>
            </w:pPr>
            <w:r>
              <w:rPr>
                <w:sz w:val="14"/>
                <w:szCs w:val="14"/>
                <w:spacing w:val="-2"/>
              </w:rPr>
              <w:t>主要内容</w:t>
            </w:r>
          </w:p>
        </w:tc>
        <w:tc>
          <w:tcPr>
            <w:tcW w:w="2507" w:type="dxa"/>
            <w:vAlign w:val="top"/>
          </w:tcPr>
          <w:p>
            <w:pPr>
              <w:pStyle w:val="TableText"/>
              <w:ind w:left="944"/>
              <w:spacing w:before="179" w:line="219" w:lineRule="auto"/>
              <w:rPr>
                <w:sz w:val="14"/>
                <w:szCs w:val="14"/>
              </w:rPr>
            </w:pPr>
            <w:r>
              <w:rPr>
                <w:sz w:val="14"/>
                <w:szCs w:val="14"/>
                <w:spacing w:val="-1"/>
              </w:rPr>
              <w:t>政策依据</w:t>
            </w:r>
          </w:p>
        </w:tc>
        <w:tc>
          <w:tcPr>
            <w:tcW w:w="959" w:type="dxa"/>
            <w:vAlign w:val="top"/>
          </w:tcPr>
          <w:p>
            <w:pPr>
              <w:pStyle w:val="TableText"/>
              <w:ind w:left="197"/>
              <w:spacing w:before="180" w:line="219" w:lineRule="auto"/>
              <w:rPr>
                <w:sz w:val="14"/>
                <w:szCs w:val="14"/>
              </w:rPr>
            </w:pPr>
            <w:r>
              <w:rPr>
                <w:sz w:val="14"/>
                <w:szCs w:val="14"/>
                <w:spacing w:val="-2"/>
              </w:rPr>
              <w:t>执行时间</w:t>
            </w:r>
          </w:p>
        </w:tc>
        <w:tc>
          <w:tcPr>
            <w:tcW w:w="989" w:type="dxa"/>
            <w:vAlign w:val="top"/>
          </w:tcPr>
          <w:p>
            <w:pPr>
              <w:pStyle w:val="TableText"/>
              <w:ind w:left="208"/>
              <w:spacing w:before="72" w:line="218" w:lineRule="exact"/>
              <w:rPr>
                <w:sz w:val="14"/>
                <w:szCs w:val="14"/>
              </w:rPr>
            </w:pPr>
            <w:r>
              <w:rPr>
                <w:sz w:val="14"/>
                <w:szCs w:val="14"/>
                <w:spacing w:val="-3"/>
                <w:position w:val="5"/>
              </w:rPr>
              <w:t>惠及企业</w:t>
            </w:r>
          </w:p>
          <w:p>
            <w:pPr>
              <w:pStyle w:val="TableText"/>
              <w:ind w:left="348"/>
              <w:spacing w:line="219" w:lineRule="auto"/>
              <w:rPr>
                <w:sz w:val="14"/>
                <w:szCs w:val="14"/>
              </w:rPr>
            </w:pPr>
            <w:r>
              <w:rPr>
                <w:sz w:val="14"/>
                <w:szCs w:val="14"/>
                <w:spacing w:val="-2"/>
              </w:rPr>
              <w:t>类型</w:t>
            </w:r>
          </w:p>
        </w:tc>
        <w:tc>
          <w:tcPr>
            <w:tcW w:w="370" w:type="dxa"/>
            <w:vAlign w:val="top"/>
          </w:tcPr>
          <w:p>
            <w:pPr>
              <w:pStyle w:val="TableText"/>
              <w:ind w:left="39" w:right="44"/>
              <w:spacing w:before="61" w:line="261" w:lineRule="auto"/>
              <w:rPr>
                <w:sz w:val="14"/>
                <w:szCs w:val="14"/>
              </w:rPr>
            </w:pPr>
            <w:r>
              <w:rPr>
                <w:sz w:val="14"/>
                <w:szCs w:val="14"/>
                <w:spacing w:val="-3"/>
              </w:rPr>
              <w:t>政策</w:t>
            </w:r>
            <w:r>
              <w:rPr>
                <w:sz w:val="14"/>
                <w:szCs w:val="14"/>
              </w:rPr>
              <w:t xml:space="preserve"> </w:t>
            </w:r>
            <w:r>
              <w:rPr>
                <w:sz w:val="14"/>
                <w:szCs w:val="14"/>
                <w:spacing w:val="-3"/>
              </w:rPr>
              <w:t>类别</w:t>
            </w:r>
          </w:p>
        </w:tc>
        <w:tc>
          <w:tcPr>
            <w:tcW w:w="394" w:type="dxa"/>
            <w:vAlign w:val="top"/>
          </w:tcPr>
          <w:p>
            <w:pPr>
              <w:pStyle w:val="TableText"/>
              <w:ind w:left="49" w:right="58"/>
              <w:spacing w:before="61" w:line="262" w:lineRule="auto"/>
              <w:rPr>
                <w:sz w:val="14"/>
                <w:szCs w:val="14"/>
              </w:rPr>
            </w:pPr>
            <w:r>
              <w:rPr>
                <w:sz w:val="14"/>
                <w:szCs w:val="14"/>
                <w:spacing w:val="-3"/>
              </w:rPr>
              <w:t>政策</w:t>
            </w:r>
            <w:r>
              <w:rPr>
                <w:sz w:val="14"/>
                <w:szCs w:val="14"/>
              </w:rPr>
              <w:t xml:space="preserve"> </w:t>
            </w:r>
            <w:r>
              <w:rPr>
                <w:sz w:val="14"/>
                <w:szCs w:val="14"/>
                <w:spacing w:val="-4"/>
              </w:rPr>
              <w:t>形式</w:t>
            </w:r>
          </w:p>
        </w:tc>
      </w:tr>
      <w:tr>
        <w:trPr>
          <w:trHeight w:val="5746"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5"/>
              <w:spacing w:before="45" w:line="184" w:lineRule="auto"/>
              <w:rPr>
                <w:sz w:val="14"/>
                <w:szCs w:val="14"/>
              </w:rPr>
            </w:pPr>
            <w:r>
              <w:rPr>
                <w:sz w:val="14"/>
                <w:szCs w:val="14"/>
                <w:spacing w:val="-2"/>
              </w:rPr>
              <w:t>21</w:t>
            </w:r>
          </w:p>
        </w:tc>
        <w:tc>
          <w:tcPr>
            <w:tcW w:w="4135" w:type="dxa"/>
            <w:vAlign w:val="top"/>
          </w:tcPr>
          <w:p>
            <w:pPr>
              <w:pStyle w:val="TableText"/>
              <w:ind w:left="40"/>
              <w:spacing w:before="76" w:line="219" w:lineRule="auto"/>
              <w:rPr>
                <w:sz w:val="14"/>
                <w:szCs w:val="14"/>
              </w:rPr>
            </w:pPr>
            <w:r>
              <w:rPr>
                <w:sz w:val="14"/>
                <w:szCs w:val="14"/>
                <w:spacing w:val="-2"/>
              </w:rPr>
              <w:t>一、实施重点帮扶</w:t>
            </w:r>
          </w:p>
          <w:p>
            <w:pPr>
              <w:pStyle w:val="TableText"/>
              <w:ind w:left="99"/>
              <w:spacing w:before="62" w:line="219" w:lineRule="auto"/>
              <w:rPr>
                <w:sz w:val="14"/>
                <w:szCs w:val="14"/>
              </w:rPr>
            </w:pPr>
            <w:r>
              <w:rPr>
                <w:sz w:val="14"/>
                <w:szCs w:val="14"/>
              </w:rPr>
              <w:t>各省税务机关加强与银保监部门和银行业金融</w:t>
            </w:r>
            <w:r>
              <w:rPr>
                <w:sz w:val="14"/>
                <w:szCs w:val="14"/>
                <w:spacing w:val="-1"/>
              </w:rPr>
              <w:t>机构的协作，及时</w:t>
            </w:r>
          </w:p>
          <w:p>
            <w:pPr>
              <w:pStyle w:val="TableText"/>
              <w:ind w:left="20" w:right="109" w:firstLine="79"/>
              <w:spacing w:before="43" w:line="272" w:lineRule="auto"/>
              <w:rPr>
                <w:sz w:val="14"/>
                <w:szCs w:val="14"/>
              </w:rPr>
            </w:pPr>
            <w:r>
              <w:rPr>
                <w:sz w:val="14"/>
                <w:szCs w:val="14"/>
              </w:rPr>
              <w:t>梳理受疫情影响较大的批发零售、住宿餐饮、物流</w:t>
            </w:r>
            <w:r>
              <w:rPr>
                <w:sz w:val="14"/>
                <w:szCs w:val="14"/>
                <w:spacing w:val="-1"/>
              </w:rPr>
              <w:t>运输、文化旅</w:t>
            </w:r>
            <w:r>
              <w:rPr>
                <w:sz w:val="14"/>
                <w:szCs w:val="14"/>
              </w:rPr>
              <w:t xml:space="preserve"> </w:t>
            </w:r>
            <w:r>
              <w:rPr>
                <w:sz w:val="14"/>
                <w:szCs w:val="14"/>
              </w:rPr>
              <w:t>游等行业的小微企业名单，按照国家社会信用体</w:t>
            </w:r>
            <w:r>
              <w:rPr>
                <w:sz w:val="14"/>
                <w:szCs w:val="14"/>
                <w:spacing w:val="-1"/>
              </w:rPr>
              <w:t>系建设要求依法</w:t>
            </w:r>
            <w:r>
              <w:rPr>
                <w:sz w:val="14"/>
                <w:szCs w:val="14"/>
              </w:rPr>
              <w:t xml:space="preserve">  </w:t>
            </w:r>
            <w:r>
              <w:rPr>
                <w:sz w:val="14"/>
                <w:szCs w:val="14"/>
              </w:rPr>
              <w:t>推送相关企业名称、注册地址、经营地址、联系</w:t>
            </w:r>
            <w:r>
              <w:rPr>
                <w:sz w:val="14"/>
                <w:szCs w:val="14"/>
                <w:spacing w:val="-1"/>
              </w:rPr>
              <w:t>方式、法定代表</w:t>
            </w:r>
            <w:r>
              <w:rPr>
                <w:sz w:val="14"/>
                <w:szCs w:val="14"/>
              </w:rPr>
              <w:t xml:space="preserve">  </w:t>
            </w:r>
            <w:r>
              <w:rPr>
                <w:sz w:val="14"/>
                <w:szCs w:val="14"/>
              </w:rPr>
              <w:t>人、纳税信用评价结果信息；在依法合规、企业授权的前提下</w:t>
            </w:r>
          </w:p>
          <w:p>
            <w:pPr>
              <w:pStyle w:val="TableText"/>
              <w:ind w:left="40" w:right="88" w:firstLine="59"/>
              <w:spacing w:before="55" w:line="248" w:lineRule="auto"/>
              <w:rPr>
                <w:sz w:val="14"/>
                <w:szCs w:val="14"/>
              </w:rPr>
            </w:pPr>
            <w:r>
              <w:rPr>
                <w:sz w:val="14"/>
                <w:szCs w:val="14"/>
              </w:rPr>
              <w:t>可向银行业金融机构提供企业纳税信息。各地税务、银保监部门</w:t>
            </w:r>
            <w:r>
              <w:rPr>
                <w:sz w:val="14"/>
                <w:szCs w:val="14"/>
                <w:spacing w:val="15"/>
              </w:rPr>
              <w:t xml:space="preserve"> </w:t>
            </w:r>
            <w:r>
              <w:rPr>
                <w:sz w:val="14"/>
                <w:szCs w:val="14"/>
              </w:rPr>
              <w:t>充分利用“银税互动”联席会议机制和“百行进万企”等平台</w:t>
            </w:r>
          </w:p>
          <w:p>
            <w:pPr>
              <w:pStyle w:val="TableText"/>
              <w:ind w:left="20" w:right="304" w:firstLine="20"/>
              <w:spacing w:before="64" w:line="255" w:lineRule="auto"/>
              <w:rPr>
                <w:sz w:val="14"/>
                <w:szCs w:val="14"/>
              </w:rPr>
            </w:pPr>
            <w:r>
              <w:rPr>
                <w:sz w:val="14"/>
                <w:szCs w:val="14"/>
              </w:rPr>
              <w:t>帮助银行业金融机构主动对接企业需求、精准提供金融服务。 </w:t>
            </w:r>
            <w:r>
              <w:rPr>
                <w:sz w:val="14"/>
                <w:szCs w:val="14"/>
                <w:spacing w:val="1"/>
              </w:rPr>
              <w:t>二、创新信贷产品</w:t>
            </w:r>
          </w:p>
          <w:p>
            <w:pPr>
              <w:pStyle w:val="TableText"/>
              <w:ind w:left="50" w:right="83" w:firstLine="49"/>
              <w:spacing w:before="55" w:line="276" w:lineRule="auto"/>
              <w:jc w:val="both"/>
              <w:rPr>
                <w:sz w:val="14"/>
                <w:szCs w:val="14"/>
              </w:rPr>
            </w:pPr>
            <w:r>
              <w:rPr>
                <w:sz w:val="14"/>
                <w:szCs w:val="14"/>
              </w:rPr>
              <w:t>根据小微企业贷款需求急、金额小、周转快的特</w:t>
            </w:r>
            <w:r>
              <w:rPr>
                <w:sz w:val="14"/>
                <w:szCs w:val="14"/>
                <w:spacing w:val="-1"/>
              </w:rPr>
              <w:t>点，银行业金融</w:t>
            </w:r>
            <w:r>
              <w:rPr>
                <w:sz w:val="14"/>
                <w:szCs w:val="14"/>
              </w:rPr>
              <w:t xml:space="preserve"> </w:t>
            </w:r>
            <w:r>
              <w:rPr>
                <w:sz w:val="14"/>
                <w:szCs w:val="14"/>
                <w:spacing w:val="1"/>
              </w:rPr>
              <w:t>机构要创新“银税互动”信贷产品，及时推出适合小微企业特点</w:t>
            </w:r>
            <w:r>
              <w:rPr>
                <w:sz w:val="14"/>
                <w:szCs w:val="14"/>
                <w:spacing w:val="16"/>
              </w:rPr>
              <w:t xml:space="preserve"> </w:t>
            </w:r>
            <w:r>
              <w:rPr>
                <w:sz w:val="14"/>
                <w:szCs w:val="14"/>
                <w:spacing w:val="2"/>
              </w:rPr>
              <w:t>的信用信贷产品。进一步优化信贷审批流程，提高贷款需求响应</w:t>
            </w:r>
            <w:r>
              <w:rPr>
                <w:sz w:val="14"/>
                <w:szCs w:val="14"/>
              </w:rPr>
              <w:t xml:space="preserve"> </w:t>
            </w:r>
            <w:r>
              <w:rPr>
                <w:sz w:val="14"/>
                <w:szCs w:val="14"/>
                <w:spacing w:val="1"/>
              </w:rPr>
              <w:t>速度，适当增加信用贷款额度，延长贷款期限，加大对此前在银</w:t>
            </w:r>
            <w:r>
              <w:rPr>
                <w:sz w:val="14"/>
                <w:szCs w:val="14"/>
                <w:spacing w:val="16"/>
              </w:rPr>
              <w:t xml:space="preserve"> </w:t>
            </w:r>
            <w:r>
              <w:rPr>
                <w:sz w:val="14"/>
                <w:szCs w:val="14"/>
                <w:spacing w:val="1"/>
              </w:rPr>
              <w:t>行业金融机构无贷款记录的“首贷户”的信贷投放力度。认真落</w:t>
            </w:r>
            <w:r>
              <w:rPr>
                <w:sz w:val="14"/>
                <w:szCs w:val="14"/>
                <w:spacing w:val="13"/>
              </w:rPr>
              <w:t xml:space="preserve"> </w:t>
            </w:r>
            <w:r>
              <w:rPr>
                <w:sz w:val="14"/>
                <w:szCs w:val="14"/>
              </w:rPr>
              <w:t>实《关于对中小微企业贷款实施临时性延期还本付息的通知》(银 </w:t>
            </w:r>
            <w:r>
              <w:rPr>
                <w:sz w:val="14"/>
                <w:szCs w:val="14"/>
              </w:rPr>
              <w:t>保监发〔2020〕6号)要求，帮助小微企业缓解</w:t>
            </w:r>
            <w:r>
              <w:rPr>
                <w:sz w:val="14"/>
                <w:szCs w:val="14"/>
                <w:spacing w:val="-1"/>
              </w:rPr>
              <w:t>资金困难尽快复</w:t>
            </w:r>
          </w:p>
          <w:p>
            <w:pPr>
              <w:pStyle w:val="TableText"/>
              <w:ind w:left="30"/>
              <w:spacing w:before="74" w:line="219" w:lineRule="auto"/>
              <w:rPr>
                <w:sz w:val="14"/>
                <w:szCs w:val="14"/>
              </w:rPr>
            </w:pPr>
            <w:r>
              <w:rPr>
                <w:sz w:val="14"/>
                <w:szCs w:val="14"/>
                <w:spacing w:val="-1"/>
              </w:rPr>
              <w:t>工复产。</w:t>
            </w:r>
          </w:p>
          <w:p>
            <w:pPr>
              <w:pStyle w:val="TableText"/>
              <w:ind w:left="30"/>
              <w:spacing w:before="44" w:line="220" w:lineRule="auto"/>
              <w:rPr>
                <w:sz w:val="14"/>
                <w:szCs w:val="14"/>
              </w:rPr>
            </w:pPr>
            <w:r>
              <w:rPr>
                <w:sz w:val="14"/>
                <w:szCs w:val="14"/>
              </w:rPr>
              <w:t>四、落实扩围要求</w:t>
            </w:r>
          </w:p>
          <w:p>
            <w:pPr>
              <w:pStyle w:val="TableText"/>
              <w:ind w:left="30" w:right="109" w:firstLine="69"/>
              <w:spacing w:before="63" w:line="267" w:lineRule="auto"/>
              <w:rPr>
                <w:sz w:val="14"/>
                <w:szCs w:val="14"/>
              </w:rPr>
            </w:pPr>
            <w:r>
              <w:rPr>
                <w:sz w:val="14"/>
                <w:szCs w:val="14"/>
              </w:rPr>
              <w:t>税务、银保监部门和银行业金融机构紧密合作，认</w:t>
            </w:r>
            <w:r>
              <w:rPr>
                <w:sz w:val="14"/>
                <w:szCs w:val="14"/>
                <w:spacing w:val="-1"/>
              </w:rPr>
              <w:t>真落实《国家</w:t>
            </w:r>
            <w:r>
              <w:rPr>
                <w:sz w:val="14"/>
                <w:szCs w:val="14"/>
              </w:rPr>
              <w:t xml:space="preserve"> </w:t>
            </w:r>
            <w:r>
              <w:rPr>
                <w:sz w:val="14"/>
                <w:szCs w:val="14"/>
                <w:spacing w:val="2"/>
              </w:rPr>
              <w:t>税务总局中国银行保险监督管理委员会关于深化和规范“银税互</w:t>
            </w:r>
            <w:r>
              <w:rPr>
                <w:sz w:val="14"/>
                <w:szCs w:val="14"/>
                <w:spacing w:val="8"/>
              </w:rPr>
              <w:t xml:space="preserve"> </w:t>
            </w:r>
            <w:r>
              <w:rPr>
                <w:sz w:val="14"/>
                <w:szCs w:val="14"/>
              </w:rPr>
              <w:t>动”工作的通知》(税总发〔2019〕113号)关于</w:t>
            </w:r>
            <w:r>
              <w:rPr>
                <w:sz w:val="14"/>
                <w:szCs w:val="14"/>
                <w:spacing w:val="-1"/>
              </w:rPr>
              <w:t>扩大“银税互动</w:t>
            </w:r>
          </w:p>
          <w:p>
            <w:pPr>
              <w:pStyle w:val="TableText"/>
              <w:ind w:left="30"/>
              <w:spacing w:before="53" w:line="219" w:lineRule="auto"/>
              <w:rPr>
                <w:sz w:val="14"/>
                <w:szCs w:val="14"/>
              </w:rPr>
            </w:pPr>
            <w:r>
              <w:rPr>
                <w:sz w:val="14"/>
                <w:szCs w:val="14"/>
                <w:spacing w:val="-1"/>
              </w:rPr>
              <w:t>受惠企业范围至纳税信用M级的要求，对湖北等受疫情影响严</w:t>
            </w:r>
          </w:p>
          <w:p>
            <w:pPr>
              <w:pStyle w:val="TableText"/>
              <w:ind w:left="40" w:right="85" w:firstLine="59"/>
              <w:spacing w:before="53" w:line="255" w:lineRule="auto"/>
              <w:rPr>
                <w:sz w:val="14"/>
                <w:szCs w:val="14"/>
              </w:rPr>
            </w:pPr>
            <w:r>
              <w:rPr>
                <w:sz w:val="14"/>
                <w:szCs w:val="14"/>
              </w:rPr>
              <w:t>重的地区，银行业金融机构结合自身风险防控要求，可逐步将申</w:t>
            </w:r>
            <w:r>
              <w:rPr>
                <w:sz w:val="14"/>
                <w:szCs w:val="14"/>
                <w:spacing w:val="18"/>
              </w:rPr>
              <w:t xml:space="preserve"> </w:t>
            </w:r>
            <w:r>
              <w:rPr>
                <w:sz w:val="14"/>
                <w:szCs w:val="14"/>
              </w:rPr>
              <w:t>请“银税互动”贷款的企业范围扩大至纳税信用C</w:t>
            </w:r>
            <w:r>
              <w:rPr>
                <w:sz w:val="14"/>
                <w:szCs w:val="14"/>
                <w:spacing w:val="-1"/>
              </w:rPr>
              <w:t>级企业；纳入</w:t>
            </w:r>
          </w:p>
          <w:p>
            <w:pPr>
              <w:pStyle w:val="TableText"/>
              <w:ind w:left="30"/>
              <w:spacing w:before="63" w:line="198" w:lineRule="auto"/>
              <w:rPr>
                <w:sz w:val="14"/>
                <w:szCs w:val="14"/>
              </w:rPr>
            </w:pPr>
            <w:r>
              <w:rPr>
                <w:sz w:val="14"/>
                <w:szCs w:val="14"/>
                <w:spacing w:val="-1"/>
              </w:rPr>
              <w:t>各省税务机关纳税信用评价试点的个体工商户可参照实行</w:t>
            </w:r>
          </w:p>
        </w:tc>
        <w:tc>
          <w:tcPr>
            <w:tcW w:w="2507" w:type="dxa"/>
            <w:vAlign w:val="top"/>
          </w:tcPr>
          <w:p>
            <w:pPr>
              <w:pStyle w:val="TableText"/>
              <w:ind w:left="14" w:right="206" w:firstLine="30"/>
              <w:spacing w:before="67" w:line="272" w:lineRule="auto"/>
              <w:jc w:val="both"/>
              <w:rPr>
                <w:sz w:val="14"/>
                <w:szCs w:val="14"/>
              </w:rPr>
            </w:pPr>
            <w:r>
              <w:rPr>
                <w:sz w:val="14"/>
                <w:szCs w:val="14"/>
              </w:rPr>
              <w:t>国家税务总局办公厅中国银行保险监</w:t>
            </w:r>
            <w:r>
              <w:rPr>
                <w:sz w:val="14"/>
                <w:szCs w:val="14"/>
                <w:spacing w:val="5"/>
              </w:rPr>
              <w:t xml:space="preserve"> </w:t>
            </w:r>
            <w:r>
              <w:rPr>
                <w:sz w:val="14"/>
                <w:szCs w:val="14"/>
                <w:spacing w:val="-1"/>
              </w:rPr>
              <w:t>督管理委员会办公厅《关于发挥“银 </w:t>
            </w:r>
            <w:r>
              <w:rPr>
                <w:sz w:val="14"/>
                <w:szCs w:val="14"/>
                <w:spacing w:val="-1"/>
              </w:rPr>
              <w:t>税互动”作用助力小微企业复工复产 </w:t>
            </w:r>
            <w:r>
              <w:rPr>
                <w:sz w:val="14"/>
                <w:szCs w:val="14"/>
              </w:rPr>
              <w:t>的通知》税总办发〔2020〕10号</w:t>
            </w:r>
          </w:p>
        </w:tc>
        <w:tc>
          <w:tcPr>
            <w:tcW w:w="959" w:type="dxa"/>
            <w:vAlign w:val="top"/>
          </w:tcPr>
          <w:p>
            <w:pPr>
              <w:pStyle w:val="TableText"/>
              <w:spacing w:before="76" w:line="219" w:lineRule="auto"/>
              <w:jc w:val="right"/>
              <w:rPr>
                <w:sz w:val="14"/>
                <w:szCs w:val="14"/>
              </w:rPr>
            </w:pPr>
            <w:r>
              <w:rPr>
                <w:sz w:val="14"/>
                <w:szCs w:val="14"/>
                <w:spacing w:val="-7"/>
              </w:rPr>
              <w:t>2</w:t>
            </w:r>
            <w:r>
              <w:rPr>
                <w:sz w:val="14"/>
                <w:szCs w:val="14"/>
                <w:spacing w:val="-30"/>
              </w:rPr>
              <w:t xml:space="preserve"> </w:t>
            </w:r>
            <w:r>
              <w:rPr>
                <w:sz w:val="14"/>
                <w:szCs w:val="14"/>
                <w:spacing w:val="-7"/>
              </w:rPr>
              <w:t>0</w:t>
            </w:r>
            <w:r>
              <w:rPr>
                <w:sz w:val="14"/>
                <w:szCs w:val="14"/>
                <w:spacing w:val="-30"/>
              </w:rPr>
              <w:t xml:space="preserve"> </w:t>
            </w:r>
            <w:r>
              <w:rPr>
                <w:sz w:val="14"/>
                <w:szCs w:val="14"/>
                <w:spacing w:val="-7"/>
              </w:rPr>
              <w:t>2</w:t>
            </w:r>
            <w:r>
              <w:rPr>
                <w:sz w:val="14"/>
                <w:szCs w:val="14"/>
                <w:spacing w:val="-30"/>
              </w:rPr>
              <w:t xml:space="preserve"> </w:t>
            </w:r>
            <w:r>
              <w:rPr>
                <w:sz w:val="14"/>
                <w:szCs w:val="14"/>
                <w:spacing w:val="-7"/>
              </w:rPr>
              <w:t>0</w:t>
            </w:r>
            <w:r>
              <w:rPr>
                <w:sz w:val="14"/>
                <w:szCs w:val="14"/>
                <w:spacing w:val="-31"/>
              </w:rPr>
              <w:t xml:space="preserve"> </w:t>
            </w:r>
            <w:r>
              <w:rPr>
                <w:sz w:val="14"/>
                <w:szCs w:val="14"/>
                <w:spacing w:val="-7"/>
              </w:rPr>
              <w:t>年</w:t>
            </w:r>
            <w:r>
              <w:rPr>
                <w:sz w:val="14"/>
                <w:szCs w:val="14"/>
                <w:spacing w:val="-31"/>
              </w:rPr>
              <w:t xml:space="preserve"> </w:t>
            </w:r>
            <w:r>
              <w:rPr>
                <w:sz w:val="14"/>
                <w:szCs w:val="14"/>
                <w:spacing w:val="-7"/>
              </w:rPr>
              <w:t>4</w:t>
            </w:r>
            <w:r>
              <w:rPr>
                <w:sz w:val="14"/>
                <w:szCs w:val="14"/>
                <w:spacing w:val="-28"/>
              </w:rPr>
              <w:t xml:space="preserve"> </w:t>
            </w:r>
            <w:r>
              <w:rPr>
                <w:sz w:val="14"/>
                <w:szCs w:val="14"/>
                <w:spacing w:val="-7"/>
              </w:rPr>
              <w:t>月</w:t>
            </w:r>
            <w:r>
              <w:rPr>
                <w:sz w:val="14"/>
                <w:szCs w:val="14"/>
                <w:spacing w:val="-27"/>
              </w:rPr>
              <w:t xml:space="preserve"> </w:t>
            </w:r>
            <w:r>
              <w:rPr>
                <w:sz w:val="14"/>
                <w:szCs w:val="14"/>
                <w:spacing w:val="-7"/>
              </w:rPr>
              <w:t>7</w:t>
            </w:r>
          </w:p>
          <w:p>
            <w:pPr>
              <w:pStyle w:val="TableText"/>
              <w:ind w:left="37" w:right="85" w:firstLine="50"/>
              <w:spacing w:before="43" w:line="262" w:lineRule="auto"/>
              <w:rPr>
                <w:sz w:val="14"/>
                <w:szCs w:val="14"/>
              </w:rPr>
            </w:pPr>
            <w:r>
              <w:rPr>
                <w:sz w:val="14"/>
                <w:szCs w:val="14"/>
              </w:rPr>
              <w:t>日(文件印发</w:t>
            </w:r>
            <w:r>
              <w:rPr>
                <w:sz w:val="14"/>
                <w:szCs w:val="14"/>
                <w:spacing w:val="4"/>
              </w:rPr>
              <w:t xml:space="preserve"> </w:t>
            </w:r>
            <w:r>
              <w:rPr>
                <w:sz w:val="14"/>
                <w:szCs w:val="14"/>
                <w:spacing w:val="10"/>
              </w:rPr>
              <w:t>日期)</w:t>
            </w:r>
          </w:p>
        </w:tc>
        <w:tc>
          <w:tcPr>
            <w:tcW w:w="989" w:type="dxa"/>
            <w:vAlign w:val="top"/>
          </w:tcPr>
          <w:p>
            <w:pPr>
              <w:pStyle w:val="TableText"/>
              <w:ind w:left="208"/>
              <w:spacing w:before="76" w:line="219" w:lineRule="auto"/>
              <w:rPr>
                <w:sz w:val="14"/>
                <w:szCs w:val="14"/>
              </w:rPr>
            </w:pPr>
            <w:r>
              <w:rPr>
                <w:sz w:val="14"/>
                <w:szCs w:val="14"/>
                <w:spacing w:val="-2"/>
              </w:rPr>
              <w:t>小微企业</w:t>
            </w:r>
          </w:p>
        </w:tc>
        <w:tc>
          <w:tcPr>
            <w:tcW w:w="370" w:type="dxa"/>
            <w:vAlign w:val="top"/>
          </w:tcPr>
          <w:p>
            <w:pPr>
              <w:pStyle w:val="TableText"/>
              <w:ind w:left="39" w:right="45"/>
              <w:spacing w:before="67" w:line="250" w:lineRule="auto"/>
              <w:rPr>
                <w:sz w:val="14"/>
                <w:szCs w:val="14"/>
              </w:rPr>
            </w:pPr>
            <w:r>
              <w:rPr>
                <w:sz w:val="14"/>
                <w:szCs w:val="14"/>
                <w:spacing w:val="-4"/>
              </w:rPr>
              <w:t>行政</w:t>
            </w:r>
            <w:r>
              <w:rPr>
                <w:sz w:val="14"/>
                <w:szCs w:val="14"/>
              </w:rPr>
              <w:t xml:space="preserve"> </w:t>
            </w:r>
            <w:r>
              <w:rPr>
                <w:sz w:val="14"/>
                <w:szCs w:val="14"/>
                <w:spacing w:val="-3"/>
              </w:rPr>
              <w:t>通知</w:t>
            </w:r>
          </w:p>
        </w:tc>
        <w:tc>
          <w:tcPr>
            <w:tcW w:w="394" w:type="dxa"/>
            <w:vAlign w:val="top"/>
          </w:tcPr>
          <w:p>
            <w:pPr>
              <w:pStyle w:val="TableText"/>
              <w:ind w:left="49" w:right="39"/>
              <w:spacing w:before="67" w:line="248" w:lineRule="auto"/>
              <w:rPr>
                <w:sz w:val="14"/>
                <w:szCs w:val="14"/>
              </w:rPr>
            </w:pPr>
            <w:r>
              <w:rPr>
                <w:sz w:val="14"/>
                <w:szCs w:val="14"/>
                <w:spacing w:val="7"/>
              </w:rPr>
              <w:t>纾困</w:t>
            </w:r>
            <w:r>
              <w:rPr>
                <w:sz w:val="14"/>
                <w:szCs w:val="14"/>
              </w:rPr>
              <w:t xml:space="preserve"> </w:t>
            </w:r>
            <w:r>
              <w:rPr>
                <w:sz w:val="14"/>
                <w:szCs w:val="14"/>
                <w:spacing w:val="-2"/>
              </w:rPr>
              <w:t>解难</w:t>
            </w:r>
          </w:p>
        </w:tc>
      </w:tr>
    </w:tbl>
    <w:p>
      <w:pPr>
        <w:pStyle w:val="BodyText"/>
        <w:rPr/>
      </w:pPr>
      <w:r/>
    </w:p>
    <w:p>
      <w:pPr>
        <w:sectPr>
          <w:pgSz w:w="11910" w:h="8220"/>
          <w:pgMar w:top="400" w:right="113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794432" behindDoc="0" locked="0" layoutInCell="0" allowOverlap="1">
                <wp:simplePos x="0" y="0"/>
                <wp:positionH relativeFrom="page">
                  <wp:posOffset>473763</wp:posOffset>
                </wp:positionH>
                <wp:positionV relativeFrom="page">
                  <wp:posOffset>627006</wp:posOffset>
                </wp:positionV>
                <wp:extent cx="166370" cy="157479"/>
                <wp:effectExtent l="0" t="0" r="0" b="0"/>
                <wp:wrapNone/>
                <wp:docPr id="136" name="TextBox 136"/>
                <wp:cNvGraphicFramePr/>
                <a:graphic>
                  <a:graphicData uri="http://schemas.microsoft.com/office/word/2010/wordprocessingShape">
                    <wps:wsp>
                      <wps:cNvSpPr txBox="1"/>
                      <wps:spPr>
                        <a:xfrm rot="5400000">
                          <a:off x="473763" y="627006"/>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8" style="position:absolute;margin-left:37.3042pt;margin-top:49.3706pt;mso-position-vertical-relative:page;mso-position-horizontal-relative:page;width:13.1pt;height:12.4pt;z-index:25179443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136</w:t>
                      </w:r>
                    </w:p>
                  </w:txbxContent>
                </v:textbox>
              </v:shape>
            </w:pict>
          </mc:Fallback>
        </mc:AlternateContent>
      </w:r>
      <w:r/>
    </w:p>
    <w:p>
      <w:pPr>
        <w:spacing w:before="46"/>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16"/>
        <w:gridCol w:w="2527"/>
        <w:gridCol w:w="959"/>
        <w:gridCol w:w="969"/>
        <w:gridCol w:w="389"/>
        <w:gridCol w:w="38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16" w:type="dxa"/>
            <w:vAlign w:val="top"/>
          </w:tcPr>
          <w:p>
            <w:pPr>
              <w:pStyle w:val="TableText"/>
              <w:ind w:left="1749"/>
              <w:spacing w:before="171" w:line="219" w:lineRule="auto"/>
              <w:rPr/>
            </w:pPr>
            <w:r>
              <w:rPr>
                <w:spacing w:val="-2"/>
              </w:rPr>
              <w:t>主要内容</w:t>
            </w:r>
          </w:p>
        </w:tc>
        <w:tc>
          <w:tcPr>
            <w:tcW w:w="2527" w:type="dxa"/>
            <w:vAlign w:val="top"/>
          </w:tcPr>
          <w:p>
            <w:pPr>
              <w:pStyle w:val="TableText"/>
              <w:ind w:left="953"/>
              <w:spacing w:before="170" w:line="219" w:lineRule="auto"/>
              <w:rPr/>
            </w:pPr>
            <w:r>
              <w:rPr>
                <w:spacing w:val="-1"/>
              </w:rPr>
              <w:t>政策依据</w:t>
            </w:r>
          </w:p>
        </w:tc>
        <w:tc>
          <w:tcPr>
            <w:tcW w:w="959" w:type="dxa"/>
            <w:vAlign w:val="top"/>
          </w:tcPr>
          <w:p>
            <w:pPr>
              <w:pStyle w:val="TableText"/>
              <w:ind w:left="187"/>
              <w:spacing w:before="171" w:line="219" w:lineRule="auto"/>
              <w:rPr/>
            </w:pPr>
            <w:r>
              <w:rPr>
                <w:spacing w:val="3"/>
              </w:rPr>
              <w:t>执行时间</w:t>
            </w:r>
          </w:p>
        </w:tc>
        <w:tc>
          <w:tcPr>
            <w:tcW w:w="969" w:type="dxa"/>
            <w:vAlign w:val="top"/>
          </w:tcPr>
          <w:p>
            <w:pPr>
              <w:pStyle w:val="TableText"/>
              <w:ind w:left="177"/>
              <w:spacing w:before="83" w:line="208"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71" w:line="246" w:lineRule="auto"/>
              <w:rPr/>
            </w:pPr>
            <w:r>
              <w:rPr>
                <w:spacing w:val="-3"/>
              </w:rPr>
              <w:t>政策</w:t>
            </w:r>
            <w:r>
              <w:rPr/>
              <w:t xml:space="preserve"> </w:t>
            </w:r>
            <w:r>
              <w:rPr>
                <w:spacing w:val="-4"/>
              </w:rPr>
              <w:t>形式</w:t>
            </w:r>
          </w:p>
        </w:tc>
      </w:tr>
      <w:tr>
        <w:trPr>
          <w:trHeight w:val="5756" w:hRule="atLeast"/>
        </w:trPr>
        <w:tc>
          <w:tcPr>
            <w:tcW w:w="29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5"/>
              <w:spacing w:before="48" w:line="183" w:lineRule="auto"/>
              <w:rPr/>
            </w:pPr>
            <w:r>
              <w:rPr>
                <w:spacing w:val="-2"/>
              </w:rPr>
              <w:t>22</w:t>
            </w:r>
          </w:p>
        </w:tc>
        <w:tc>
          <w:tcPr>
            <w:tcW w:w="4116" w:type="dxa"/>
            <w:vAlign w:val="top"/>
          </w:tcPr>
          <w:p>
            <w:pPr>
              <w:pStyle w:val="TableText"/>
              <w:ind w:left="169"/>
              <w:spacing w:before="87" w:line="219" w:lineRule="auto"/>
              <w:rPr/>
            </w:pPr>
            <w:r>
              <w:rPr/>
              <w:t>(九)商业银行贷款审批中不得对民营企业设置歧视性要求</w:t>
            </w:r>
          </w:p>
          <w:p>
            <w:pPr>
              <w:pStyle w:val="TableText"/>
              <w:ind w:left="30" w:right="97" w:firstLine="69"/>
              <w:spacing w:before="31" w:line="245" w:lineRule="auto"/>
              <w:rPr/>
            </w:pPr>
            <w:r>
              <w:rPr/>
              <w:t>同等条件下民营企业与国有企业贷款利率和贷款条件保持一</w:t>
            </w:r>
            <w:r>
              <w:rPr>
                <w:spacing w:val="7"/>
              </w:rPr>
              <w:t xml:space="preserve"> </w:t>
            </w:r>
            <w:r>
              <w:rPr>
                <w:spacing w:val="-1"/>
              </w:rPr>
              <w:t>致，有效提高民营企业融资可获得性</w:t>
            </w:r>
          </w:p>
          <w:p>
            <w:pPr>
              <w:pStyle w:val="TableText"/>
              <w:ind w:left="10" w:right="31" w:firstLine="89"/>
              <w:spacing w:before="42" w:line="254" w:lineRule="auto"/>
              <w:rPr/>
            </w:pPr>
            <w:r>
              <w:rPr>
                <w:spacing w:val="3"/>
              </w:rPr>
              <w:t>(十)商业银行要根据民营企业融资需求特</w:t>
            </w:r>
            <w:r>
              <w:rPr>
                <w:spacing w:val="2"/>
              </w:rPr>
              <w:t>点，借助互联网、</w:t>
            </w:r>
            <w:r>
              <w:rPr/>
              <w:t xml:space="preserve"> </w:t>
            </w:r>
            <w:r>
              <w:rPr/>
              <w:t>大数据等新技术，设计个性化产品满足企业不同需求。综合考</w:t>
            </w:r>
            <w:r>
              <w:rPr>
                <w:spacing w:val="1"/>
              </w:rPr>
              <w:t xml:space="preserve"> </w:t>
            </w:r>
            <w:r>
              <w:rPr/>
              <w:t>虑资金成本、运营成本、服务模式以及担保方式等因素科学定</w:t>
            </w:r>
            <w:r>
              <w:rPr>
                <w:spacing w:val="3"/>
              </w:rPr>
              <w:t xml:space="preserve"> </w:t>
            </w:r>
            <w:r>
              <w:rPr>
                <w:spacing w:val="-2"/>
              </w:rPr>
              <w:t>价。</w:t>
            </w:r>
          </w:p>
          <w:p>
            <w:pPr>
              <w:pStyle w:val="TableText"/>
              <w:ind w:left="20" w:firstLine="79"/>
              <w:spacing w:before="65" w:line="264" w:lineRule="auto"/>
              <w:rPr/>
            </w:pPr>
            <w:r>
              <w:rPr>
                <w:spacing w:val="-1"/>
              </w:rPr>
              <w:t>(十一)商业银行要坚持审核第一还款来源，减</w:t>
            </w:r>
            <w:r>
              <w:rPr>
                <w:spacing w:val="-2"/>
              </w:rPr>
              <w:t>轻对抵押担保</w:t>
            </w:r>
            <w:r>
              <w:rPr/>
              <w:t xml:space="preserve">   </w:t>
            </w:r>
            <w:r>
              <w:rPr>
                <w:spacing w:val="-1"/>
              </w:rPr>
              <w:t>的过度依赖，合理提高信用贷款比重。把主业</w:t>
            </w:r>
            <w:r>
              <w:rPr>
                <w:spacing w:val="-2"/>
              </w:rPr>
              <w:t>突出、财务稳健</w:t>
            </w:r>
            <w:r>
              <w:rPr/>
              <w:t xml:space="preserve">  </w:t>
            </w:r>
            <w:r>
              <w:rPr>
                <w:spacing w:val="-2"/>
              </w:rPr>
              <w:t>大股东及实际控制人信用良好作为授信主要依据。对于制造业</w:t>
            </w:r>
            <w:r>
              <w:rPr>
                <w:spacing w:val="3"/>
              </w:rPr>
              <w:t xml:space="preserve">  </w:t>
            </w:r>
            <w:r>
              <w:rPr>
                <w:spacing w:val="-2"/>
              </w:rPr>
              <w:t>企业，要把经营稳健、订单充足和用水用电正常等作为授信重</w:t>
            </w:r>
            <w:r>
              <w:rPr>
                <w:spacing w:val="3"/>
              </w:rPr>
              <w:t xml:space="preserve">  </w:t>
            </w:r>
            <w:r>
              <w:rPr>
                <w:spacing w:val="1"/>
              </w:rPr>
              <w:t>要考虑因素。对于科创型轻资产企业，要把创始人专业专注、</w:t>
            </w:r>
            <w:r>
              <w:rPr>
                <w:spacing w:val="7"/>
              </w:rPr>
              <w:t xml:space="preserve"> </w:t>
            </w:r>
            <w:r>
              <w:rPr>
                <w:spacing w:val="-2"/>
              </w:rPr>
              <w:t>有知识产权等作为授信重要考虑因素。要依托产业链核心企业</w:t>
            </w:r>
            <w:r>
              <w:rPr>
                <w:spacing w:val="4"/>
              </w:rPr>
              <w:t xml:space="preserve">  </w:t>
            </w:r>
            <w:r>
              <w:rPr>
                <w:spacing w:val="-2"/>
              </w:rPr>
              <w:t>信用、真实交易背景和物流、信息流、资金流闭环，为上下游</w:t>
            </w:r>
            <w:r>
              <w:rPr>
                <w:spacing w:val="4"/>
              </w:rPr>
              <w:t xml:space="preserve">  </w:t>
            </w:r>
            <w:r>
              <w:rPr>
                <w:spacing w:val="-1"/>
              </w:rPr>
              <w:t>企业提供无需抵押担保的订单融资、应收应付账款融资</w:t>
            </w:r>
          </w:p>
          <w:p>
            <w:pPr>
              <w:pStyle w:val="TableText"/>
              <w:ind w:left="20" w:right="26" w:firstLine="79"/>
              <w:spacing w:before="41" w:line="261" w:lineRule="auto"/>
              <w:rPr/>
            </w:pPr>
            <w:r>
              <w:rPr/>
              <w:t>(十二)商业银行要积极运用金融科技手段加强对风险评估与</w:t>
            </w:r>
            <w:r>
              <w:rPr>
                <w:spacing w:val="5"/>
              </w:rPr>
              <w:t xml:space="preserve">  </w:t>
            </w:r>
            <w:r>
              <w:rPr/>
              <w:t>信贷决策的支持，提高贷款需求响应速度和授</w:t>
            </w:r>
            <w:r>
              <w:rPr>
                <w:spacing w:val="-1"/>
              </w:rPr>
              <w:t>信审批效率。在</w:t>
            </w:r>
            <w:r>
              <w:rPr/>
              <w:t xml:space="preserve"> </w:t>
            </w:r>
            <w:r>
              <w:rPr/>
              <w:t>探索线上贷款审批操作的同时，结合自身实际</w:t>
            </w:r>
            <w:r>
              <w:rPr>
                <w:spacing w:val="-1"/>
              </w:rPr>
              <w:t>，将一定额度民</w:t>
            </w:r>
            <w:r>
              <w:rPr/>
              <w:t xml:space="preserve"> </w:t>
            </w:r>
            <w:r>
              <w:rPr/>
              <w:t>营企业信贷业务的发起权和审批权下放至分支机构，进一步下</w:t>
            </w:r>
            <w:r>
              <w:rPr>
                <w:spacing w:val="8"/>
              </w:rPr>
              <w:t xml:space="preserve"> </w:t>
            </w:r>
            <w:r>
              <w:rPr>
                <w:spacing w:val="-1"/>
              </w:rPr>
              <w:t>沉经营重心。</w:t>
            </w:r>
          </w:p>
          <w:p>
            <w:pPr>
              <w:pStyle w:val="TableText"/>
              <w:ind w:left="10" w:firstLine="88"/>
              <w:spacing w:before="41" w:line="238" w:lineRule="auto"/>
              <w:rPr/>
            </w:pPr>
            <w:r>
              <w:rPr>
                <w:spacing w:val="-3"/>
              </w:rPr>
              <w:t>(十三)商业银行要根据自身风险管理制度和业</w:t>
            </w:r>
            <w:r>
              <w:rPr>
                <w:spacing w:val="-4"/>
              </w:rPr>
              <w:t>务流程，通过   </w:t>
            </w:r>
            <w:r>
              <w:rPr>
                <w:spacing w:val="-4"/>
              </w:rPr>
              <w:t>推广预授信、平行作业、简化年审等方式，提高信贷审批效率。</w:t>
            </w:r>
          </w:p>
          <w:p>
            <w:pPr>
              <w:pStyle w:val="TableText"/>
              <w:ind w:left="20" w:right="43" w:firstLine="79"/>
              <w:spacing w:before="63" w:line="249" w:lineRule="auto"/>
              <w:rPr/>
            </w:pPr>
            <w:r>
              <w:rPr/>
              <w:t>特别是对于材料齐备的首次申贷中小企业、存量</w:t>
            </w:r>
            <w:r>
              <w:rPr>
                <w:spacing w:val="-1"/>
              </w:rPr>
              <w:t>客户1000万</w:t>
            </w:r>
            <w:r>
              <w:rPr/>
              <w:t xml:space="preserve">  </w:t>
            </w:r>
            <w:r>
              <w:rPr>
                <w:spacing w:val="-1"/>
              </w:rPr>
              <w:t>元以内的临时性融资需求等，要在信贷审批及放款环节提高时</w:t>
            </w:r>
            <w:r>
              <w:rPr>
                <w:spacing w:val="18"/>
                <w:w w:val="101"/>
              </w:rPr>
              <w:t xml:space="preserve"> </w:t>
            </w:r>
            <w:r>
              <w:rPr>
                <w:spacing w:val="-1"/>
              </w:rPr>
              <w:t>效。加大续贷支持力度，要至少提前一个月主动对接续贷需求</w:t>
            </w:r>
            <w:r>
              <w:rPr>
                <w:spacing w:val="16"/>
              </w:rPr>
              <w:t xml:space="preserve"> </w:t>
            </w:r>
            <w:r>
              <w:rPr>
                <w:spacing w:val="1"/>
              </w:rPr>
              <w:t>切实降低民营企业贷款周转成本。</w:t>
            </w:r>
          </w:p>
        </w:tc>
        <w:tc>
          <w:tcPr>
            <w:tcW w:w="2527" w:type="dxa"/>
            <w:vAlign w:val="top"/>
          </w:tcPr>
          <w:p>
            <w:pPr>
              <w:pStyle w:val="TableText"/>
              <w:ind w:left="43" w:right="54" w:firstLine="10"/>
              <w:spacing w:before="96" w:line="246" w:lineRule="auto"/>
              <w:jc w:val="both"/>
              <w:rPr/>
            </w:pPr>
            <w:r>
              <w:rPr/>
              <w:t>中国银保监会《关于进一步加强金融</w:t>
            </w:r>
            <w:r>
              <w:rPr>
                <w:spacing w:val="7"/>
              </w:rPr>
              <w:t xml:space="preserve"> </w:t>
            </w:r>
            <w:r>
              <w:rPr/>
              <w:t>服务民营企业有关工作的通知》银保</w:t>
            </w:r>
            <w:r>
              <w:rPr>
                <w:spacing w:val="3"/>
              </w:rPr>
              <w:t xml:space="preserve"> </w:t>
            </w:r>
            <w:r>
              <w:rPr>
                <w:spacing w:val="-1"/>
              </w:rPr>
              <w:t>监发〔2019〕8号</w:t>
            </w:r>
          </w:p>
        </w:tc>
        <w:tc>
          <w:tcPr>
            <w:tcW w:w="959" w:type="dxa"/>
            <w:vAlign w:val="top"/>
          </w:tcPr>
          <w:p>
            <w:pPr>
              <w:pStyle w:val="TableText"/>
              <w:ind w:left="16" w:right="21"/>
              <w:spacing w:before="86"/>
              <w:rPr/>
            </w:pPr>
            <w:r>
              <w:rPr>
                <w:spacing w:val="-9"/>
              </w:rPr>
              <w:t>2</w:t>
            </w:r>
            <w:r>
              <w:rPr>
                <w:spacing w:val="-28"/>
              </w:rPr>
              <w:t xml:space="preserve"> </w:t>
            </w:r>
            <w:r>
              <w:rPr>
                <w:spacing w:val="-9"/>
              </w:rPr>
              <w:t>0</w:t>
            </w:r>
            <w:r>
              <w:rPr>
                <w:spacing w:val="-17"/>
              </w:rPr>
              <w:t xml:space="preserve"> </w:t>
            </w:r>
            <w:r>
              <w:rPr>
                <w:spacing w:val="-9"/>
              </w:rPr>
              <w:t>1</w:t>
            </w:r>
            <w:r>
              <w:rPr>
                <w:spacing w:val="-28"/>
              </w:rPr>
              <w:t xml:space="preserve"> </w:t>
            </w:r>
            <w:r>
              <w:rPr>
                <w:spacing w:val="-9"/>
              </w:rPr>
              <w:t>9</w:t>
            </w:r>
            <w:r>
              <w:rPr>
                <w:spacing w:val="-28"/>
              </w:rPr>
              <w:t xml:space="preserve"> </w:t>
            </w:r>
            <w:r>
              <w:rPr>
                <w:spacing w:val="-9"/>
              </w:rPr>
              <w:t>年</w:t>
            </w:r>
            <w:r>
              <w:rPr>
                <w:spacing w:val="-27"/>
              </w:rPr>
              <w:t xml:space="preserve"> </w:t>
            </w:r>
            <w:r>
              <w:rPr>
                <w:spacing w:val="-9"/>
              </w:rPr>
              <w:t>2</w:t>
            </w:r>
            <w:r>
              <w:rPr>
                <w:spacing w:val="-25"/>
              </w:rPr>
              <w:t xml:space="preserve"> </w:t>
            </w:r>
            <w:r>
              <w:rPr>
                <w:spacing w:val="-9"/>
              </w:rPr>
              <w:t>月</w:t>
            </w:r>
            <w:r>
              <w:rPr/>
              <w:t xml:space="preserve"> </w:t>
            </w:r>
            <w:r>
              <w:rPr>
                <w:spacing w:val="-2"/>
              </w:rPr>
              <w:t>27日起</w:t>
            </w:r>
          </w:p>
        </w:tc>
        <w:tc>
          <w:tcPr>
            <w:tcW w:w="969" w:type="dxa"/>
            <w:vAlign w:val="top"/>
          </w:tcPr>
          <w:p>
            <w:pPr>
              <w:pStyle w:val="TableText"/>
              <w:ind w:left="177"/>
              <w:spacing w:before="77" w:line="220" w:lineRule="auto"/>
              <w:rPr/>
            </w:pPr>
            <w:r>
              <w:rPr>
                <w:spacing w:val="1"/>
              </w:rPr>
              <w:t>民营企业</w:t>
            </w:r>
          </w:p>
        </w:tc>
        <w:tc>
          <w:tcPr>
            <w:tcW w:w="389" w:type="dxa"/>
            <w:vAlign w:val="top"/>
          </w:tcPr>
          <w:p>
            <w:pPr>
              <w:pStyle w:val="TableText"/>
              <w:ind w:left="38" w:right="45"/>
              <w:spacing w:before="67" w:line="241" w:lineRule="auto"/>
              <w:rPr/>
            </w:pPr>
            <w:r>
              <w:rPr>
                <w:spacing w:val="-5"/>
              </w:rPr>
              <w:t>行政</w:t>
            </w:r>
            <w:r>
              <w:rPr/>
              <w:t xml:space="preserve"> </w:t>
            </w:r>
            <w:r>
              <w:rPr>
                <w:spacing w:val="-3"/>
              </w:rPr>
              <w:t>通知</w:t>
            </w:r>
          </w:p>
        </w:tc>
        <w:tc>
          <w:tcPr>
            <w:tcW w:w="384" w:type="dxa"/>
            <w:vAlign w:val="top"/>
          </w:tcPr>
          <w:p>
            <w:pPr>
              <w:pStyle w:val="TableText"/>
              <w:ind w:left="40" w:right="39"/>
              <w:spacing w:before="57" w:line="251" w:lineRule="auto"/>
              <w:rPr/>
            </w:pPr>
            <w:r>
              <w:rPr>
                <w:spacing w:val="-5"/>
              </w:rPr>
              <w:t>行政</w:t>
            </w:r>
            <w:r>
              <w:rPr/>
              <w:t xml:space="preserve"> </w:t>
            </w:r>
            <w:r>
              <w:rPr>
                <w:spacing w:val="-3"/>
              </w:rPr>
              <w:t>优化</w:t>
            </w:r>
          </w:p>
        </w:tc>
      </w:tr>
    </w:tbl>
    <w:p>
      <w:pPr>
        <w:pStyle w:val="BodyText"/>
        <w:rPr/>
      </w:pPr>
      <w:r/>
    </w:p>
    <w:p>
      <w:pPr>
        <w:sectPr>
          <w:pgSz w:w="11910" w:h="8220"/>
          <w:pgMar w:top="400" w:right="1145" w:bottom="400" w:left="821" w:header="0" w:footer="0" w:gutter="0"/>
        </w:sectPr>
        <w:rPr/>
      </w:pPr>
    </w:p>
    <w:p>
      <w:pPr>
        <w:spacing w:before="233"/>
        <w:rPr/>
      </w:pPr>
      <w:r>
        <mc:AlternateContent xmlns:mc="http://schemas.openxmlformats.org/markup-compatibility/2006">
          <mc:Choice Requires="wps">
            <w:drawing>
              <wp:anchor distT="0" distB="0" distL="0" distR="0" simplePos="0" relativeHeight="251795456"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38" name="TextBox 138"/>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0" style="position:absolute;margin-left:37.3042pt;margin-top:345.874pt;mso-position-vertical-relative:page;mso-position-horizontal-relative:page;width:13.1pt;height:12.4pt;z-index:25179545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137</w:t>
                      </w:r>
                    </w:p>
                  </w:txbxContent>
                </v:textbox>
              </v:shape>
            </w:pict>
          </mc:Fallback>
        </mc:AlternateContent>
      </w: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6"/>
        <w:gridCol w:w="2527"/>
        <w:gridCol w:w="949"/>
        <w:gridCol w:w="969"/>
        <w:gridCol w:w="389"/>
        <w:gridCol w:w="384"/>
      </w:tblGrid>
      <w:tr>
        <w:trPr>
          <w:trHeight w:val="514" w:hRule="atLeast"/>
        </w:trPr>
        <w:tc>
          <w:tcPr>
            <w:tcW w:w="285" w:type="dxa"/>
            <w:vAlign w:val="top"/>
            <w:textDirection w:val="tbRlV"/>
          </w:tcPr>
          <w:p>
            <w:pPr>
              <w:pStyle w:val="TableText"/>
              <w:ind w:left="47"/>
              <w:spacing w:before="70" w:line="217" w:lineRule="auto"/>
              <w:rPr/>
            </w:pPr>
            <w:r>
              <w:rPr/>
              <w:t>序</w:t>
            </w:r>
            <w:r>
              <w:rPr>
                <w:spacing w:val="36"/>
                <w:w w:val="101"/>
              </w:rPr>
              <w:t xml:space="preserve"> </w:t>
            </w:r>
            <w:r>
              <w:rPr/>
              <w:t>号</w:t>
            </w:r>
          </w:p>
        </w:tc>
        <w:tc>
          <w:tcPr>
            <w:tcW w:w="4136" w:type="dxa"/>
            <w:vAlign w:val="top"/>
          </w:tcPr>
          <w:p>
            <w:pPr>
              <w:pStyle w:val="TableText"/>
              <w:ind w:left="1759"/>
              <w:spacing w:before="181" w:line="219" w:lineRule="auto"/>
              <w:rPr/>
            </w:pPr>
            <w:r>
              <w:rPr>
                <w:spacing w:val="-2"/>
              </w:rPr>
              <w:t>主要内容</w:t>
            </w:r>
          </w:p>
        </w:tc>
        <w:tc>
          <w:tcPr>
            <w:tcW w:w="2527" w:type="dxa"/>
            <w:vAlign w:val="top"/>
          </w:tcPr>
          <w:p>
            <w:pPr>
              <w:pStyle w:val="TableText"/>
              <w:ind w:left="953"/>
              <w:spacing w:before="180" w:line="219" w:lineRule="auto"/>
              <w:rPr/>
            </w:pPr>
            <w:r>
              <w:rPr>
                <w:spacing w:val="-1"/>
              </w:rPr>
              <w:t>政策依据</w:t>
            </w:r>
          </w:p>
        </w:tc>
        <w:tc>
          <w:tcPr>
            <w:tcW w:w="949" w:type="dxa"/>
            <w:vAlign w:val="top"/>
          </w:tcPr>
          <w:p>
            <w:pPr>
              <w:pStyle w:val="TableText"/>
              <w:ind w:left="167"/>
              <w:spacing w:before="181" w:line="219" w:lineRule="auto"/>
              <w:rPr/>
            </w:pPr>
            <w:r>
              <w:rPr>
                <w:spacing w:val="3"/>
              </w:rPr>
              <w:t>执行时间</w:t>
            </w:r>
          </w:p>
        </w:tc>
        <w:tc>
          <w:tcPr>
            <w:tcW w:w="969" w:type="dxa"/>
            <w:vAlign w:val="top"/>
          </w:tcPr>
          <w:p>
            <w:pPr>
              <w:pStyle w:val="TableText"/>
              <w:ind w:left="177"/>
              <w:spacing w:before="73" w:line="227" w:lineRule="exact"/>
              <w:rPr/>
            </w:pPr>
            <w:r>
              <w:rPr>
                <w:spacing w:val="-3"/>
                <w:position w:val="5"/>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7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81"/>
              <w:rPr/>
            </w:pPr>
            <w:r>
              <w:rPr>
                <w:spacing w:val="-3"/>
              </w:rPr>
              <w:t>政策</w:t>
            </w:r>
            <w:r>
              <w:rPr/>
              <w:t xml:space="preserve"> </w:t>
            </w:r>
            <w:r>
              <w:rPr>
                <w:spacing w:val="-4"/>
              </w:rPr>
              <w:t>形式</w:t>
            </w:r>
          </w:p>
        </w:tc>
      </w:tr>
      <w:tr>
        <w:trPr>
          <w:trHeight w:val="2166" w:hRule="atLeast"/>
        </w:trPr>
        <w:tc>
          <w:tcPr>
            <w:tcW w:w="285"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5"/>
              <w:spacing w:before="49" w:line="183" w:lineRule="auto"/>
              <w:rPr/>
            </w:pPr>
            <w:r>
              <w:rPr>
                <w:spacing w:val="-2"/>
              </w:rPr>
              <w:t>22</w:t>
            </w:r>
          </w:p>
        </w:tc>
        <w:tc>
          <w:tcPr>
            <w:tcW w:w="4136" w:type="dxa"/>
            <w:vAlign w:val="top"/>
          </w:tcPr>
          <w:p>
            <w:pPr>
              <w:pStyle w:val="TableText"/>
              <w:ind w:left="10" w:firstLine="99"/>
              <w:spacing w:before="35" w:line="261" w:lineRule="auto"/>
              <w:rPr/>
            </w:pPr>
            <w:r>
              <w:rPr>
                <w:spacing w:val="-1"/>
              </w:rPr>
              <w:t>(十五)对暂时遇到困难的民营企业，银行保险机构要按照市</w:t>
            </w:r>
            <w:r>
              <w:rPr>
                <w:spacing w:val="2"/>
              </w:rPr>
              <w:t xml:space="preserve">   </w:t>
            </w:r>
            <w:r>
              <w:rPr>
                <w:spacing w:val="-4"/>
              </w:rPr>
              <w:t>场化、法治化原则，区别对待、   “一企一策”,分类采取支持</w:t>
            </w:r>
            <w:r>
              <w:rPr>
                <w:spacing w:val="10"/>
              </w:rPr>
              <w:t xml:space="preserve"> </w:t>
            </w:r>
            <w:r>
              <w:rPr>
                <w:spacing w:val="-1"/>
              </w:rPr>
              <w:t>处置措施，着力化解企业流动性风险。对符合经济结构优化升</w:t>
            </w:r>
            <w:r>
              <w:rPr>
                <w:spacing w:val="4"/>
              </w:rPr>
              <w:t xml:space="preserve">  </w:t>
            </w:r>
            <w:r>
              <w:rPr>
                <w:spacing w:val="-1"/>
              </w:rPr>
              <w:t>级方向、有发展前景和一定竞争力但暂时遇到困难的民营企业</w:t>
            </w:r>
            <w:r>
              <w:rPr>
                <w:spacing w:val="4"/>
              </w:rPr>
              <w:t xml:space="preserve">  </w:t>
            </w:r>
            <w:r>
              <w:rPr>
                <w:spacing w:val="2"/>
              </w:rPr>
              <w:t>银行业金融机构债权人委员会要加强统一协调，不盲目停贷、</w:t>
            </w:r>
            <w:r>
              <w:rPr>
                <w:spacing w:val="10"/>
              </w:rPr>
              <w:t xml:space="preserve"> </w:t>
            </w:r>
            <w:r>
              <w:rPr>
                <w:spacing w:val="-1"/>
              </w:rPr>
              <w:t>压贷，可提供必要的融资支持，帮助企业维持或恢复正常生产</w:t>
            </w:r>
            <w:r>
              <w:rPr>
                <w:spacing w:val="5"/>
              </w:rPr>
              <w:t xml:space="preserve">  </w:t>
            </w:r>
            <w:r>
              <w:rPr>
                <w:spacing w:val="-1"/>
              </w:rPr>
              <w:t>经营；对其中困难较大的民营企业，可在平等自愿前提下，综</w:t>
            </w:r>
            <w:r>
              <w:rPr>
                <w:spacing w:val="5"/>
              </w:rPr>
              <w:t xml:space="preserve">  </w:t>
            </w:r>
            <w:r>
              <w:rPr>
                <w:spacing w:val="-1"/>
              </w:rPr>
              <w:t>合运用增资扩股、财务重组、兼并重组或市场化债转股等方式</w:t>
            </w:r>
            <w:r>
              <w:rPr>
                <w:spacing w:val="5"/>
              </w:rPr>
              <w:t xml:space="preserve">  </w:t>
            </w:r>
            <w:r>
              <w:rPr>
                <w:spacing w:val="-1"/>
              </w:rPr>
              <w:t>帮助企业优化负债结构，完善公司治理。对于符合破产清算条</w:t>
            </w:r>
            <w:r>
              <w:rPr>
                <w:spacing w:val="4"/>
              </w:rPr>
              <w:t xml:space="preserve">  </w:t>
            </w:r>
            <w:r>
              <w:rPr>
                <w:spacing w:val="-1"/>
              </w:rPr>
              <w:t>件的“僵尸企业”,应积极配合各方面坚决破产清算</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84" w:type="dxa"/>
            <w:vAlign w:val="top"/>
          </w:tcPr>
          <w:p>
            <w:pPr>
              <w:rPr>
                <w:rFonts w:ascii="Arial"/>
                <w:sz w:val="21"/>
              </w:rPr>
            </w:pPr>
            <w:r/>
          </w:p>
        </w:tc>
      </w:tr>
      <w:tr>
        <w:trPr>
          <w:trHeight w:val="1947" w:hRule="atLeast"/>
        </w:trPr>
        <w:tc>
          <w:tcPr>
            <w:tcW w:w="285"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55"/>
              <w:spacing w:before="49" w:line="183" w:lineRule="auto"/>
              <w:rPr/>
            </w:pPr>
            <w:r>
              <w:rPr>
                <w:spacing w:val="-2"/>
              </w:rPr>
              <w:t>23</w:t>
            </w:r>
          </w:p>
        </w:tc>
        <w:tc>
          <w:tcPr>
            <w:tcW w:w="4136" w:type="dxa"/>
            <w:vAlign w:val="top"/>
          </w:tcPr>
          <w:p>
            <w:pPr>
              <w:pStyle w:val="TableText"/>
              <w:ind w:left="70" w:right="38" w:hanging="40"/>
              <w:spacing w:before="59" w:line="245" w:lineRule="auto"/>
              <w:rPr/>
            </w:pPr>
            <w:r>
              <w:rPr/>
              <w:t>由中央财政发起、联合有意愿的金融机构共同设立国家融资担</w:t>
            </w:r>
            <w:r>
              <w:rPr>
                <w:spacing w:val="6"/>
              </w:rPr>
              <w:t xml:space="preserve"> </w:t>
            </w:r>
            <w:r>
              <w:rPr/>
              <w:t>保基金，首期募资不低于600亿元，采取股</w:t>
            </w:r>
            <w:r>
              <w:rPr>
                <w:spacing w:val="-1"/>
              </w:rPr>
              <w:t>权投资、再担保等</w:t>
            </w:r>
          </w:p>
          <w:p>
            <w:pPr>
              <w:pStyle w:val="TableText"/>
              <w:ind w:left="109"/>
              <w:spacing w:before="43" w:line="219" w:lineRule="auto"/>
              <w:rPr/>
            </w:pPr>
            <w:r>
              <w:rPr>
                <w:spacing w:val="-1"/>
              </w:rPr>
              <w:t>形式支持各省(区、市)开展融资担保业务，带动各方资金扶</w:t>
            </w:r>
          </w:p>
          <w:p>
            <w:pPr>
              <w:pStyle w:val="TableText"/>
              <w:ind w:left="10" w:firstLine="28"/>
              <w:spacing w:before="40" w:line="254" w:lineRule="auto"/>
              <w:rPr/>
            </w:pPr>
            <w:r>
              <w:rPr>
                <w:spacing w:val="-13"/>
              </w:rPr>
              <w:t>持小微企业、    “三农”和创业创新。同时，强化社会信用体系</w:t>
            </w:r>
            <w:r>
              <w:rPr/>
              <w:t xml:space="preserve">   </w:t>
            </w:r>
            <w:r>
              <w:rPr>
                <w:spacing w:val="-3"/>
              </w:rPr>
              <w:t>建设。基金按照“政府支持、市场运作、保本微利、管控风</w:t>
            </w:r>
            <w:r>
              <w:rPr>
                <w:spacing w:val="-4"/>
              </w:rPr>
              <w:t>险”</w:t>
            </w:r>
            <w:r>
              <w:rPr/>
              <w:t xml:space="preserve"> </w:t>
            </w:r>
            <w:r>
              <w:rPr>
                <w:spacing w:val="-4"/>
              </w:rPr>
              <w:t>的原则，以市场化方式决策、经营。初步测算</w:t>
            </w:r>
            <w:r>
              <w:rPr>
                <w:spacing w:val="-5"/>
              </w:rPr>
              <w:t>，今后三年基金</w:t>
            </w:r>
          </w:p>
          <w:p>
            <w:pPr>
              <w:pStyle w:val="TableText"/>
              <w:ind w:left="30" w:firstLine="79"/>
              <w:spacing w:before="42" w:line="228" w:lineRule="auto"/>
              <w:rPr/>
            </w:pPr>
            <w:r>
              <w:rPr>
                <w:spacing w:val="-1"/>
              </w:rPr>
              <w:t>累计可支持相关担保贷款5000亿元左右，约占现有全国融资  </w:t>
            </w:r>
            <w:r>
              <w:rPr>
                <w:spacing w:val="-9"/>
              </w:rPr>
              <w:t>担保</w:t>
            </w:r>
            <w:r>
              <w:rPr>
                <w:spacing w:val="-8"/>
              </w:rPr>
              <w:t>业务的四分之一，着力缓解小微企业、    </w:t>
            </w:r>
            <w:r>
              <w:rPr>
                <w:spacing w:val="-9"/>
              </w:rPr>
              <w:t>“三农”等普惠</w:t>
            </w:r>
            <w:r>
              <w:rPr>
                <w:spacing w:val="-7"/>
              </w:rPr>
              <w:t>领</w:t>
            </w:r>
            <w:r>
              <w:rPr/>
              <w:t xml:space="preserve"> </w:t>
            </w:r>
            <w:r>
              <w:rPr>
                <w:spacing w:val="-1"/>
              </w:rPr>
              <w:t>域融资难、融资贵，支持发展战略性新兴产业</w:t>
            </w:r>
          </w:p>
        </w:tc>
        <w:tc>
          <w:tcPr>
            <w:tcW w:w="2527" w:type="dxa"/>
            <w:vAlign w:val="top"/>
          </w:tcPr>
          <w:p>
            <w:pPr>
              <w:pStyle w:val="TableText"/>
              <w:ind w:left="163"/>
              <w:spacing w:before="60" w:line="219" w:lineRule="auto"/>
              <w:rPr/>
            </w:pPr>
            <w:r>
              <w:rPr>
                <w:spacing w:val="1"/>
              </w:rPr>
              <w:t>国务院常务会议(2018年3月28日)</w:t>
            </w:r>
          </w:p>
        </w:tc>
        <w:tc>
          <w:tcPr>
            <w:tcW w:w="949" w:type="dxa"/>
            <w:vAlign w:val="top"/>
          </w:tcPr>
          <w:p>
            <w:pPr>
              <w:pStyle w:val="TableText"/>
              <w:ind w:left="6" w:right="1" w:firstLine="20"/>
              <w:spacing w:before="41" w:line="258" w:lineRule="auto"/>
              <w:jc w:val="both"/>
              <w:rPr/>
            </w:pPr>
            <w:r>
              <w:rPr>
                <w:spacing w:val="-9"/>
              </w:rPr>
              <w:t>2</w:t>
            </w:r>
            <w:r>
              <w:rPr>
                <w:spacing w:val="-28"/>
              </w:rPr>
              <w:t xml:space="preserve"> </w:t>
            </w:r>
            <w:r>
              <w:rPr>
                <w:spacing w:val="-9"/>
              </w:rPr>
              <w:t>0</w:t>
            </w:r>
            <w:r>
              <w:rPr>
                <w:spacing w:val="-18"/>
              </w:rPr>
              <w:t xml:space="preserve"> </w:t>
            </w:r>
            <w:r>
              <w:rPr>
                <w:spacing w:val="-9"/>
              </w:rPr>
              <w:t>1</w:t>
            </w:r>
            <w:r>
              <w:rPr>
                <w:spacing w:val="-28"/>
              </w:rPr>
              <w:t xml:space="preserve"> </w:t>
            </w:r>
            <w:r>
              <w:rPr>
                <w:spacing w:val="-9"/>
              </w:rPr>
              <w:t>8</w:t>
            </w:r>
            <w:r>
              <w:rPr>
                <w:spacing w:val="-28"/>
              </w:rPr>
              <w:t xml:space="preserve"> </w:t>
            </w:r>
            <w:r>
              <w:rPr>
                <w:spacing w:val="-9"/>
              </w:rPr>
              <w:t>年</w:t>
            </w:r>
            <w:r>
              <w:rPr>
                <w:spacing w:val="-26"/>
              </w:rPr>
              <w:t xml:space="preserve"> </w:t>
            </w:r>
            <w:r>
              <w:rPr>
                <w:spacing w:val="-9"/>
              </w:rPr>
              <w:t>3</w:t>
            </w:r>
            <w:r>
              <w:rPr>
                <w:spacing w:val="-25"/>
              </w:rPr>
              <w:t xml:space="preserve"> </w:t>
            </w:r>
            <w:r>
              <w:rPr>
                <w:spacing w:val="-9"/>
              </w:rPr>
              <w:t>月</w:t>
            </w:r>
            <w:r>
              <w:rPr/>
              <w:t xml:space="preserve"> </w:t>
            </w:r>
            <w:r>
              <w:rPr>
                <w:spacing w:val="-17"/>
              </w:rPr>
              <w:t>2</w:t>
            </w:r>
            <w:r>
              <w:rPr>
                <w:spacing w:val="-12"/>
              </w:rPr>
              <w:t xml:space="preserve"> </w:t>
            </w:r>
            <w:r>
              <w:rPr>
                <w:spacing w:val="-17"/>
              </w:rPr>
              <w:t>8</w:t>
            </w:r>
            <w:r>
              <w:rPr>
                <w:spacing w:val="8"/>
              </w:rPr>
              <w:t xml:space="preserve"> </w:t>
            </w:r>
            <w:r>
              <w:rPr>
                <w:spacing w:val="-17"/>
              </w:rPr>
              <w:t>日</w:t>
            </w:r>
            <w:r>
              <w:rPr>
                <w:spacing w:val="9"/>
              </w:rPr>
              <w:t xml:space="preserve"> </w:t>
            </w:r>
            <w:r>
              <w:rPr>
                <w:spacing w:val="-16"/>
              </w:rPr>
              <w:t>(</w:t>
            </w:r>
            <w:r>
              <w:rPr>
                <w:spacing w:val="-17"/>
              </w:rPr>
              <w:t xml:space="preserve"> </w:t>
            </w:r>
            <w:r>
              <w:rPr>
                <w:spacing w:val="-16"/>
              </w:rPr>
              <w:t>会 </w:t>
            </w:r>
            <w:r>
              <w:rPr>
                <w:spacing w:val="-13"/>
              </w:rPr>
              <w:t>议</w:t>
            </w:r>
            <w:r>
              <w:rPr/>
              <w:t xml:space="preserve"> </w:t>
            </w:r>
            <w:r>
              <w:rPr>
                <w:spacing w:val="15"/>
              </w:rPr>
              <w:t>日期)</w:t>
            </w:r>
          </w:p>
        </w:tc>
        <w:tc>
          <w:tcPr>
            <w:tcW w:w="969" w:type="dxa"/>
            <w:vAlign w:val="top"/>
          </w:tcPr>
          <w:p>
            <w:pPr>
              <w:pStyle w:val="TableText"/>
              <w:ind w:left="177"/>
              <w:spacing w:before="41" w:line="219" w:lineRule="auto"/>
              <w:rPr/>
            </w:pPr>
            <w:r>
              <w:rPr>
                <w:spacing w:val="-2"/>
              </w:rPr>
              <w:t>小微企业</w:t>
            </w:r>
          </w:p>
        </w:tc>
        <w:tc>
          <w:tcPr>
            <w:tcW w:w="389" w:type="dxa"/>
            <w:vAlign w:val="top"/>
          </w:tcPr>
          <w:p>
            <w:pPr>
              <w:pStyle w:val="TableText"/>
              <w:ind w:left="38" w:right="45"/>
              <w:spacing w:before="41" w:line="254" w:lineRule="auto"/>
              <w:rPr/>
            </w:pPr>
            <w:r>
              <w:rPr>
                <w:spacing w:val="-3"/>
              </w:rPr>
              <w:t>会议</w:t>
            </w:r>
            <w:r>
              <w:rPr/>
              <w:t xml:space="preserve"> </w:t>
            </w:r>
            <w:r>
              <w:rPr>
                <w:spacing w:val="-5"/>
              </w:rPr>
              <w:t>纪要</w:t>
            </w:r>
          </w:p>
        </w:tc>
        <w:tc>
          <w:tcPr>
            <w:tcW w:w="384" w:type="dxa"/>
            <w:vAlign w:val="top"/>
          </w:tcPr>
          <w:p>
            <w:pPr>
              <w:pStyle w:val="TableText"/>
              <w:ind w:left="40" w:right="18"/>
              <w:spacing w:before="32" w:line="257" w:lineRule="auto"/>
              <w:rPr/>
            </w:pPr>
            <w:r>
              <w:rPr>
                <w:spacing w:val="7"/>
              </w:rPr>
              <w:t>纾困</w:t>
            </w:r>
            <w:r>
              <w:rPr/>
              <w:t xml:space="preserve"> </w:t>
            </w:r>
            <w:r>
              <w:rPr>
                <w:spacing w:val="-2"/>
              </w:rPr>
              <w:t>解难</w:t>
            </w:r>
          </w:p>
        </w:tc>
      </w:tr>
      <w:tr>
        <w:trPr>
          <w:trHeight w:val="1732" w:hRule="atLeast"/>
        </w:trPr>
        <w:tc>
          <w:tcPr>
            <w:tcW w:w="285"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55"/>
              <w:spacing w:before="49" w:line="183" w:lineRule="auto"/>
              <w:rPr/>
            </w:pPr>
            <w:r>
              <w:rPr>
                <w:spacing w:val="-2"/>
              </w:rPr>
              <w:t>24</w:t>
            </w:r>
          </w:p>
        </w:tc>
        <w:tc>
          <w:tcPr>
            <w:tcW w:w="4136" w:type="dxa"/>
            <w:vAlign w:val="top"/>
          </w:tcPr>
          <w:p>
            <w:pPr>
              <w:pStyle w:val="TableText"/>
              <w:ind w:left="30" w:right="51" w:firstLine="40"/>
              <w:spacing w:before="53" w:line="258" w:lineRule="auto"/>
              <w:rPr/>
            </w:pPr>
            <w:r>
              <w:rPr/>
              <w:t>加大货币政策支持力度，引导金融机构聚焦单户</w:t>
            </w:r>
            <w:r>
              <w:rPr>
                <w:spacing w:val="-1"/>
              </w:rPr>
              <w:t>授信500万元</w:t>
            </w:r>
            <w:r>
              <w:rPr/>
              <w:t xml:space="preserve"> </w:t>
            </w:r>
            <w:r>
              <w:rPr>
                <w:spacing w:val="-5"/>
              </w:rPr>
              <w:t>及以下小微企业信贷投放。《意见》提出，</w:t>
            </w:r>
            <w:r>
              <w:rPr>
                <w:spacing w:val="53"/>
                <w:w w:val="101"/>
              </w:rPr>
              <w:t xml:space="preserve"> </w:t>
            </w:r>
            <w:r>
              <w:rPr>
                <w:spacing w:val="-5"/>
              </w:rPr>
              <w:t>一是增加支小支农</w:t>
            </w:r>
            <w:r>
              <w:rPr/>
              <w:t xml:space="preserve"> </w:t>
            </w:r>
            <w:r>
              <w:rPr>
                <w:spacing w:val="1"/>
              </w:rPr>
              <w:t>再贷款和再贴现额度共1500亿元，下调支小再贷款利率0.5个 </w:t>
            </w:r>
            <w:r>
              <w:rPr>
                <w:spacing w:val="-1"/>
              </w:rPr>
              <w:t>百分点。二是完善小微企业金融债券发行管理，支持银行业金</w:t>
            </w:r>
            <w:r>
              <w:rPr>
                <w:spacing w:val="14"/>
              </w:rPr>
              <w:t xml:space="preserve"> </w:t>
            </w:r>
            <w:r>
              <w:rPr>
                <w:spacing w:val="-1"/>
              </w:rPr>
              <w:t>融机构发行小微企业贷款资产支持证券，盘活信贷资源1000</w:t>
            </w:r>
          </w:p>
          <w:p>
            <w:pPr>
              <w:pStyle w:val="TableText"/>
              <w:ind w:left="50" w:right="87" w:firstLine="20"/>
              <w:spacing w:before="32" w:line="251" w:lineRule="auto"/>
              <w:rPr/>
            </w:pPr>
            <w:r>
              <w:rPr/>
              <w:t>亿元以上。三是将单户授信500万元及以下</w:t>
            </w:r>
            <w:r>
              <w:rPr>
                <w:spacing w:val="-1"/>
              </w:rPr>
              <w:t>的小微企业贷款纳</w:t>
            </w:r>
            <w:r>
              <w:rPr/>
              <w:t xml:space="preserve"> </w:t>
            </w:r>
            <w:r>
              <w:rPr/>
              <w:t>人中期借贷便利(MLF)的合格抵押品范</w:t>
            </w:r>
            <w:r>
              <w:rPr>
                <w:spacing w:val="-1"/>
              </w:rPr>
              <w:t>围。改进宏观审慎评</w:t>
            </w:r>
          </w:p>
          <w:p>
            <w:pPr>
              <w:pStyle w:val="TableText"/>
              <w:ind w:left="30"/>
              <w:spacing w:before="21" w:line="196" w:lineRule="auto"/>
              <w:rPr/>
            </w:pPr>
            <w:r>
              <w:rPr>
                <w:spacing w:val="-1"/>
              </w:rPr>
              <w:t>估体系，增加小微企业贷款考核权重</w:t>
            </w:r>
          </w:p>
        </w:tc>
        <w:tc>
          <w:tcPr>
            <w:tcW w:w="2527" w:type="dxa"/>
            <w:vAlign w:val="top"/>
          </w:tcPr>
          <w:p>
            <w:pPr>
              <w:pStyle w:val="TableText"/>
              <w:ind w:left="53"/>
              <w:spacing w:before="53" w:line="219" w:lineRule="auto"/>
              <w:rPr/>
            </w:pPr>
            <w:r>
              <w:rPr>
                <w:spacing w:val="-1"/>
              </w:rPr>
              <w:t>人民银行、银保监会、证监会、发展</w:t>
            </w:r>
          </w:p>
          <w:p>
            <w:pPr>
              <w:pStyle w:val="TableText"/>
              <w:ind w:left="53"/>
              <w:spacing w:before="43" w:line="219" w:lineRule="auto"/>
              <w:rPr/>
            </w:pPr>
            <w:r>
              <w:rPr/>
              <w:t>改革委、财政部《关于进一步深化小</w:t>
            </w:r>
          </w:p>
          <w:p>
            <w:pPr>
              <w:pStyle w:val="TableText"/>
              <w:ind w:left="163"/>
              <w:spacing w:before="32" w:line="219" w:lineRule="auto"/>
              <w:rPr/>
            </w:pPr>
            <w:r>
              <w:rPr/>
              <w:t>微企业金融服务的意见》(银发〔</w:t>
            </w:r>
          </w:p>
          <w:p>
            <w:pPr>
              <w:pStyle w:val="TableText"/>
              <w:ind w:left="23"/>
              <w:spacing w:before="52" w:line="221" w:lineRule="auto"/>
              <w:rPr/>
            </w:pPr>
            <w:r>
              <w:rPr>
                <w:spacing w:val="-1"/>
              </w:rPr>
              <w:t>2018〕162号</w:t>
            </w:r>
          </w:p>
        </w:tc>
        <w:tc>
          <w:tcPr>
            <w:tcW w:w="949" w:type="dxa"/>
            <w:vAlign w:val="top"/>
          </w:tcPr>
          <w:p>
            <w:pPr>
              <w:pStyle w:val="TableText"/>
              <w:ind w:left="16" w:right="1" w:firstLine="10"/>
              <w:spacing w:before="53" w:line="252" w:lineRule="auto"/>
              <w:rPr/>
            </w:pPr>
            <w:r>
              <w:rPr>
                <w:spacing w:val="-9"/>
              </w:rPr>
              <w:t>2</w:t>
            </w:r>
            <w:r>
              <w:rPr>
                <w:spacing w:val="-27"/>
              </w:rPr>
              <w:t xml:space="preserve"> </w:t>
            </w:r>
            <w:r>
              <w:rPr>
                <w:spacing w:val="-9"/>
              </w:rPr>
              <w:t>0</w:t>
            </w:r>
            <w:r>
              <w:rPr>
                <w:spacing w:val="-18"/>
              </w:rPr>
              <w:t xml:space="preserve"> </w:t>
            </w:r>
            <w:r>
              <w:rPr>
                <w:spacing w:val="-9"/>
              </w:rPr>
              <w:t>1</w:t>
            </w:r>
            <w:r>
              <w:rPr>
                <w:spacing w:val="-28"/>
              </w:rPr>
              <w:t xml:space="preserve"> </w:t>
            </w:r>
            <w:r>
              <w:rPr>
                <w:spacing w:val="-9"/>
              </w:rPr>
              <w:t>8</w:t>
            </w:r>
            <w:r>
              <w:rPr>
                <w:spacing w:val="-28"/>
              </w:rPr>
              <w:t xml:space="preserve"> </w:t>
            </w:r>
            <w:r>
              <w:rPr>
                <w:spacing w:val="-9"/>
              </w:rPr>
              <w:t>年</w:t>
            </w:r>
            <w:r>
              <w:rPr>
                <w:spacing w:val="-27"/>
              </w:rPr>
              <w:t xml:space="preserve"> </w:t>
            </w:r>
            <w:r>
              <w:rPr>
                <w:spacing w:val="-9"/>
              </w:rPr>
              <w:t>6</w:t>
            </w:r>
            <w:r>
              <w:rPr>
                <w:spacing w:val="-25"/>
              </w:rPr>
              <w:t xml:space="preserve"> </w:t>
            </w:r>
            <w:r>
              <w:rPr>
                <w:spacing w:val="-9"/>
              </w:rPr>
              <w:t>月</w:t>
            </w:r>
            <w:r>
              <w:rPr/>
              <w:t xml:space="preserve"> </w:t>
            </w:r>
            <w:r>
              <w:rPr>
                <w:spacing w:val="-2"/>
              </w:rPr>
              <w:t>25日起</w:t>
            </w:r>
          </w:p>
        </w:tc>
        <w:tc>
          <w:tcPr>
            <w:tcW w:w="969" w:type="dxa"/>
            <w:vAlign w:val="top"/>
          </w:tcPr>
          <w:p>
            <w:pPr>
              <w:pStyle w:val="TableText"/>
              <w:ind w:left="177"/>
              <w:spacing w:before="54" w:line="219" w:lineRule="auto"/>
              <w:rPr/>
            </w:pPr>
            <w:r>
              <w:rPr>
                <w:spacing w:val="-2"/>
              </w:rPr>
              <w:t>小微企业</w:t>
            </w:r>
          </w:p>
        </w:tc>
        <w:tc>
          <w:tcPr>
            <w:tcW w:w="389" w:type="dxa"/>
            <w:vAlign w:val="top"/>
          </w:tcPr>
          <w:p>
            <w:pPr>
              <w:pStyle w:val="TableText"/>
              <w:ind w:left="38" w:right="47"/>
              <w:spacing w:before="35" w:line="250" w:lineRule="auto"/>
              <w:rPr/>
            </w:pPr>
            <w:r>
              <w:rPr>
                <w:spacing w:val="-4"/>
              </w:rPr>
              <w:t>指导</w:t>
            </w:r>
            <w:r>
              <w:rPr/>
              <w:t xml:space="preserve"> </w:t>
            </w:r>
            <w:r>
              <w:rPr>
                <w:spacing w:val="-5"/>
              </w:rPr>
              <w:t>意见</w:t>
            </w:r>
          </w:p>
        </w:tc>
        <w:tc>
          <w:tcPr>
            <w:tcW w:w="384" w:type="dxa"/>
            <w:vAlign w:val="top"/>
          </w:tcPr>
          <w:p>
            <w:pPr>
              <w:pStyle w:val="TableText"/>
              <w:ind w:left="40" w:right="39"/>
              <w:spacing w:before="48" w:line="249" w:lineRule="auto"/>
              <w:rPr/>
            </w:pPr>
            <w:r>
              <w:rPr>
                <w:spacing w:val="-7"/>
              </w:rPr>
              <w:t>惠企</w:t>
            </w:r>
            <w:r>
              <w:rPr/>
              <w:t xml:space="preserve"> </w:t>
            </w:r>
            <w:r>
              <w:rPr>
                <w:spacing w:val="-3"/>
              </w:rPr>
              <w:t>减费</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96480" behindDoc="0" locked="0" layoutInCell="0" allowOverlap="1">
                <wp:simplePos x="0" y="0"/>
                <wp:positionH relativeFrom="page">
                  <wp:posOffset>473763</wp:posOffset>
                </wp:positionH>
                <wp:positionV relativeFrom="page">
                  <wp:posOffset>633375</wp:posOffset>
                </wp:positionV>
                <wp:extent cx="166370" cy="157479"/>
                <wp:effectExtent l="0" t="0" r="0" b="0"/>
                <wp:wrapNone/>
                <wp:docPr id="140" name="TextBox 140"/>
                <wp:cNvGraphicFramePr/>
                <a:graphic>
                  <a:graphicData uri="http://schemas.microsoft.com/office/word/2010/wordprocessingShape">
                    <wps:wsp>
                      <wps:cNvSpPr txBox="1"/>
                      <wps:spPr>
                        <a:xfrm rot="5400000">
                          <a:off x="473763" y="633375"/>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2" style="position:absolute;margin-left:37.3042pt;margin-top:49.8721pt;mso-position-vertical-relative:page;mso-position-horizontal-relative:page;width:13.1pt;height:12.4pt;z-index:25179648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138</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5"/>
        <w:gridCol w:w="2507"/>
        <w:gridCol w:w="949"/>
        <w:gridCol w:w="979"/>
        <w:gridCol w:w="390"/>
        <w:gridCol w:w="38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5" w:type="dxa"/>
            <w:vAlign w:val="top"/>
          </w:tcPr>
          <w:p>
            <w:pPr>
              <w:pStyle w:val="TableText"/>
              <w:ind w:left="1749"/>
              <w:spacing w:before="171" w:line="219" w:lineRule="auto"/>
              <w:rPr/>
            </w:pPr>
            <w:r>
              <w:rPr>
                <w:spacing w:val="-2"/>
              </w:rPr>
              <w:t>主要内容</w:t>
            </w:r>
          </w:p>
        </w:tc>
        <w:tc>
          <w:tcPr>
            <w:tcW w:w="2507" w:type="dxa"/>
            <w:vAlign w:val="top"/>
          </w:tcPr>
          <w:p>
            <w:pPr>
              <w:pStyle w:val="TableText"/>
              <w:ind w:left="934"/>
              <w:spacing w:before="170" w:line="219" w:lineRule="auto"/>
              <w:rPr/>
            </w:pPr>
            <w:r>
              <w:rPr>
                <w:spacing w:val="-1"/>
              </w:rPr>
              <w:t>政策依据</w:t>
            </w:r>
          </w:p>
        </w:tc>
        <w:tc>
          <w:tcPr>
            <w:tcW w:w="949" w:type="dxa"/>
            <w:vAlign w:val="top"/>
          </w:tcPr>
          <w:p>
            <w:pPr>
              <w:pStyle w:val="TableText"/>
              <w:ind w:left="178"/>
              <w:spacing w:before="171" w:line="219" w:lineRule="auto"/>
              <w:rPr/>
            </w:pPr>
            <w:r>
              <w:rPr>
                <w:spacing w:val="3"/>
              </w:rPr>
              <w:t>执行时间</w:t>
            </w:r>
          </w:p>
        </w:tc>
        <w:tc>
          <w:tcPr>
            <w:tcW w:w="979" w:type="dxa"/>
            <w:vAlign w:val="top"/>
          </w:tcPr>
          <w:p>
            <w:pPr>
              <w:pStyle w:val="TableText"/>
              <w:ind w:left="337" w:right="192" w:hanging="149"/>
              <w:spacing w:before="74" w:line="237" w:lineRule="auto"/>
              <w:rPr/>
            </w:pPr>
            <w:r>
              <w:rPr>
                <w:spacing w:val="-4"/>
              </w:rPr>
              <w:t>惠及企业</w:t>
            </w:r>
            <w:r>
              <w:rPr>
                <w:spacing w:val="2"/>
              </w:rPr>
              <w:t xml:space="preserve"> </w:t>
            </w:r>
            <w:r>
              <w:rPr>
                <w:spacing w:val="-2"/>
              </w:rPr>
              <w:t>类型</w:t>
            </w:r>
          </w:p>
        </w:tc>
        <w:tc>
          <w:tcPr>
            <w:tcW w:w="390" w:type="dxa"/>
            <w:vAlign w:val="top"/>
          </w:tcPr>
          <w:p>
            <w:pPr>
              <w:pStyle w:val="TableText"/>
              <w:ind w:left="39" w:right="45"/>
              <w:spacing w:before="61" w:line="245" w:lineRule="auto"/>
              <w:rPr/>
            </w:pPr>
            <w:r>
              <w:rPr>
                <w:spacing w:val="-3"/>
              </w:rPr>
              <w:t>政策</w:t>
            </w:r>
            <w:r>
              <w:rPr/>
              <w:t xml:space="preserve"> </w:t>
            </w:r>
            <w:r>
              <w:rPr>
                <w:spacing w:val="-3"/>
              </w:rPr>
              <w:t>类别</w:t>
            </w:r>
          </w:p>
        </w:tc>
        <w:tc>
          <w:tcPr>
            <w:tcW w:w="384" w:type="dxa"/>
            <w:vAlign w:val="top"/>
          </w:tcPr>
          <w:p>
            <w:pPr>
              <w:pStyle w:val="TableText"/>
              <w:ind w:left="40" w:right="39"/>
              <w:spacing w:before="61" w:line="246" w:lineRule="auto"/>
              <w:rPr/>
            </w:pPr>
            <w:r>
              <w:rPr>
                <w:spacing w:val="-3"/>
              </w:rPr>
              <w:t>政策</w:t>
            </w:r>
            <w:r>
              <w:rPr/>
              <w:t xml:space="preserve"> </w:t>
            </w:r>
            <w:r>
              <w:rPr>
                <w:spacing w:val="-4"/>
              </w:rPr>
              <w:t>形式</w:t>
            </w:r>
          </w:p>
        </w:tc>
      </w:tr>
      <w:tr>
        <w:trPr>
          <w:trHeight w:val="5705" w:hRule="atLeast"/>
        </w:trPr>
        <w:tc>
          <w:tcPr>
            <w:tcW w:w="295"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5"/>
              <w:spacing w:before="48" w:line="183" w:lineRule="auto"/>
              <w:rPr/>
            </w:pPr>
            <w:r>
              <w:rPr>
                <w:spacing w:val="-2"/>
              </w:rPr>
              <w:t>24</w:t>
            </w:r>
          </w:p>
        </w:tc>
        <w:tc>
          <w:tcPr>
            <w:tcW w:w="4125" w:type="dxa"/>
            <w:vAlign w:val="top"/>
          </w:tcPr>
          <w:p>
            <w:pPr>
              <w:pStyle w:val="TableText"/>
              <w:ind w:left="30" w:right="16"/>
              <w:spacing w:before="137" w:line="245" w:lineRule="auto"/>
              <w:rPr/>
            </w:pPr>
            <w:r>
              <w:rPr/>
              <w:t>加大财税政策激励，提高金融机构支小积极性。《意见》提出</w:t>
            </w:r>
            <w:r>
              <w:rPr>
                <w:spacing w:val="17"/>
              </w:rPr>
              <w:t xml:space="preserve"> </w:t>
            </w:r>
            <w:r>
              <w:rPr/>
              <w:t>一是从2018年9月1日至2020年底，</w:t>
            </w:r>
            <w:r>
              <w:rPr>
                <w:spacing w:val="-1"/>
              </w:rPr>
              <w:t>将符合条件的小微企业</w:t>
            </w:r>
          </w:p>
          <w:p>
            <w:pPr>
              <w:pStyle w:val="TableText"/>
              <w:ind w:left="10" w:right="17" w:firstLine="20"/>
              <w:spacing w:before="43" w:line="256" w:lineRule="auto"/>
              <w:jc w:val="both"/>
              <w:rPr/>
            </w:pPr>
            <w:r>
              <w:rPr/>
              <w:t>和个体工商户贷款利息收入免征增值税单户授信额度上限，由</w:t>
            </w:r>
            <w:r>
              <w:rPr>
                <w:spacing w:val="16"/>
              </w:rPr>
              <w:t xml:space="preserve"> </w:t>
            </w:r>
            <w:r>
              <w:rPr>
                <w:spacing w:val="1"/>
              </w:rPr>
              <w:t>100万元提高到500万元。二是对国家融资担保基金支持的融资</w:t>
            </w:r>
            <w:r>
              <w:rPr/>
              <w:t xml:space="preserve"> </w:t>
            </w:r>
            <w:r>
              <w:rPr/>
              <w:t>担保公司加强监管，支持小微企业融资的担保金额占比不低于</w:t>
            </w:r>
            <w:r>
              <w:rPr>
                <w:spacing w:val="12"/>
              </w:rPr>
              <w:t xml:space="preserve"> </w:t>
            </w:r>
            <w:r>
              <w:rPr/>
              <w:t>80%,其中支持单户授信500万元及以下小</w:t>
            </w:r>
            <w:r>
              <w:rPr>
                <w:spacing w:val="-1"/>
              </w:rPr>
              <w:t>微企业贷款及个体</w:t>
            </w:r>
          </w:p>
          <w:p>
            <w:pPr>
              <w:pStyle w:val="TableText"/>
              <w:ind w:left="20" w:right="68" w:firstLine="79"/>
              <w:spacing w:before="33" w:line="253" w:lineRule="auto"/>
              <w:rPr/>
            </w:pPr>
            <w:r>
              <w:rPr>
                <w:spacing w:val="1"/>
              </w:rPr>
              <w:t>工商户、小微企业主经营性贷款的担保金额占比不低于50%,</w:t>
            </w:r>
            <w:r>
              <w:rPr>
                <w:spacing w:val="17"/>
              </w:rPr>
              <w:t xml:space="preserve"> </w:t>
            </w:r>
            <w:r>
              <w:rPr>
                <w:spacing w:val="-1"/>
              </w:rPr>
              <w:t>适当降低担保费率和反担保要求。</w:t>
            </w:r>
          </w:p>
          <w:p>
            <w:pPr>
              <w:pStyle w:val="TableText"/>
              <w:ind w:left="10" w:firstLine="19"/>
              <w:spacing w:before="29" w:line="263" w:lineRule="auto"/>
              <w:jc w:val="both"/>
              <w:rPr/>
            </w:pPr>
            <w:r>
              <w:rPr>
                <w:spacing w:val="-11"/>
              </w:rPr>
              <w:t>加强贷款成本和贷款投放监测考核，促进企业成本明显降</w:t>
            </w:r>
            <w:r>
              <w:rPr>
                <w:spacing w:val="-12"/>
              </w:rPr>
              <w:t>低。《意</w:t>
            </w:r>
            <w:r>
              <w:rPr/>
              <w:t xml:space="preserve">  </w:t>
            </w:r>
            <w:r>
              <w:rPr>
                <w:spacing w:val="-6"/>
              </w:rPr>
              <w:t>见》强调，</w:t>
            </w:r>
            <w:r>
              <w:rPr>
                <w:spacing w:val="39"/>
                <w:w w:val="101"/>
              </w:rPr>
              <w:t xml:space="preserve"> </w:t>
            </w:r>
            <w:r>
              <w:rPr>
                <w:spacing w:val="-6"/>
              </w:rPr>
              <w:t>一是银行业金融机构要努力实现单户授信总额1</w:t>
            </w:r>
            <w:r>
              <w:rPr>
                <w:spacing w:val="-7"/>
              </w:rPr>
              <w:t>000  </w:t>
            </w:r>
            <w:r>
              <w:rPr>
                <w:spacing w:val="-3"/>
              </w:rPr>
              <w:t>万元及以下小微企业贷款同比增速高于各项贷款同比增速，有  </w:t>
            </w:r>
            <w:r>
              <w:rPr>
                <w:spacing w:val="-2"/>
              </w:rPr>
              <w:t>贷款余额的户数高于上年同期水平。二是进一步缩短融资链条</w:t>
            </w:r>
            <w:r>
              <w:rPr>
                <w:spacing w:val="4"/>
              </w:rPr>
              <w:t xml:space="preserve">  </w:t>
            </w:r>
            <w:r>
              <w:rPr>
                <w:spacing w:val="-2"/>
              </w:rPr>
              <w:t>清理不必要的“通道”和“过桥”环节，禁止向小微企业贷款</w:t>
            </w:r>
            <w:r>
              <w:rPr>
                <w:spacing w:val="3"/>
              </w:rPr>
              <w:t xml:space="preserve">  </w:t>
            </w:r>
            <w:r>
              <w:rPr>
                <w:spacing w:val="-4"/>
              </w:rPr>
              <w:t>收取承诺费、资金管理费，严格限制收取财务顾问费、咨询费。</w:t>
            </w:r>
            <w:r>
              <w:rPr>
                <w:spacing w:val="15"/>
              </w:rPr>
              <w:t xml:space="preserve"> </w:t>
            </w:r>
            <w:r>
              <w:rPr>
                <w:spacing w:val="-2"/>
              </w:rPr>
              <w:t>三是改进信贷政策导向效果评估，着力提高金融机构支持小微</w:t>
            </w:r>
            <w:r>
              <w:rPr>
                <w:spacing w:val="3"/>
              </w:rPr>
              <w:t xml:space="preserve">  </w:t>
            </w:r>
            <w:r>
              <w:rPr>
                <w:spacing w:val="-2"/>
              </w:rPr>
              <w:t>企业的精准度。</w:t>
            </w:r>
          </w:p>
          <w:p>
            <w:pPr>
              <w:pStyle w:val="TableText"/>
              <w:ind w:left="19" w:hanging="9"/>
              <w:spacing w:before="43" w:line="264" w:lineRule="auto"/>
              <w:rPr/>
            </w:pPr>
            <w:r>
              <w:rPr>
                <w:spacing w:val="-4"/>
              </w:rPr>
              <w:t>健全普惠金融组织体系，提高服务小微企业的能力和水平。《意</w:t>
            </w:r>
            <w:r>
              <w:rPr>
                <w:spacing w:val="15"/>
              </w:rPr>
              <w:t xml:space="preserve"> </w:t>
            </w:r>
            <w:r>
              <w:rPr>
                <w:spacing w:val="-4"/>
              </w:rPr>
              <w:t>见》要求，</w:t>
            </w:r>
            <w:r>
              <w:rPr>
                <w:spacing w:val="52"/>
                <w:w w:val="101"/>
              </w:rPr>
              <w:t xml:space="preserve"> </w:t>
            </w:r>
            <w:r>
              <w:rPr>
                <w:spacing w:val="-4"/>
              </w:rPr>
              <w:t>一是大型银行要继续深化普惠金融事业部建设，向</w:t>
            </w:r>
            <w:r>
              <w:rPr/>
              <w:t xml:space="preserve"> </w:t>
            </w:r>
            <w:r>
              <w:rPr>
                <w:spacing w:val="-1"/>
              </w:rPr>
              <w:t>基层延伸普惠金融服务机构网点；鼓励未设立普惠金融事业部 </w:t>
            </w:r>
            <w:r>
              <w:rPr/>
              <w:t>的银行增设社区、小微支行。二是推进民营银行常态化设立</w:t>
            </w:r>
          </w:p>
          <w:p>
            <w:pPr>
              <w:pStyle w:val="TableText"/>
              <w:ind w:left="30"/>
              <w:spacing w:before="41" w:line="258" w:lineRule="auto"/>
              <w:rPr/>
            </w:pPr>
            <w:r>
              <w:rPr/>
              <w:t>引导地方性法人银行业金融机构继续下沉经营管理和服务重心</w:t>
            </w:r>
            <w:r>
              <w:rPr>
                <w:spacing w:val="9"/>
              </w:rPr>
              <w:t xml:space="preserve"> </w:t>
            </w:r>
            <w:r>
              <w:rPr/>
              <w:t>三是银行业金融机构要强化内部激励，大中型</w:t>
            </w:r>
            <w:r>
              <w:rPr>
                <w:spacing w:val="-1"/>
              </w:rPr>
              <w:t>银行要加大内部</w:t>
            </w:r>
            <w:r>
              <w:rPr/>
              <w:t xml:space="preserve"> </w:t>
            </w:r>
            <w:r>
              <w:rPr>
                <w:spacing w:val="-1"/>
              </w:rPr>
              <w:t>资金支持力度。深化落实小微企业授信尽职免责办法。四是要 </w:t>
            </w:r>
            <w:r>
              <w:rPr/>
              <w:t>运用现代金融科技等手段，推进小微企业应收</w:t>
            </w:r>
            <w:r>
              <w:rPr>
                <w:spacing w:val="-1"/>
              </w:rPr>
              <w:t>账款融资专项行</w:t>
            </w:r>
            <w:r>
              <w:rPr/>
              <w:t xml:space="preserve"> </w:t>
            </w:r>
            <w:r>
              <w:rPr>
                <w:spacing w:val="1"/>
              </w:rPr>
              <w:t>动，发挥保险增信分险功能，提高小微企业金融服务可得性。</w:t>
            </w:r>
          </w:p>
        </w:tc>
        <w:tc>
          <w:tcPr>
            <w:tcW w:w="2507" w:type="dxa"/>
            <w:vAlign w:val="top"/>
          </w:tcPr>
          <w:p>
            <w:pPr>
              <w:rPr>
                <w:rFonts w:ascii="Arial"/>
                <w:sz w:val="21"/>
              </w:rPr>
            </w:pPr>
            <w:r/>
          </w:p>
        </w:tc>
        <w:tc>
          <w:tcPr>
            <w:tcW w:w="949" w:type="dxa"/>
            <w:vAlign w:val="top"/>
          </w:tcPr>
          <w:p>
            <w:pPr>
              <w:rPr>
                <w:rFonts w:ascii="Arial"/>
                <w:sz w:val="21"/>
              </w:rPr>
            </w:pPr>
            <w:r/>
          </w:p>
        </w:tc>
        <w:tc>
          <w:tcPr>
            <w:tcW w:w="97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bl>
    <w:p>
      <w:pPr>
        <w:pStyle w:val="BodyText"/>
        <w:rPr/>
      </w:pPr>
      <w:r/>
    </w:p>
    <w:p>
      <w:pPr>
        <w:sectPr>
          <w:pgSz w:w="11910" w:h="8220"/>
          <w:pgMar w:top="400" w:right="1145" w:bottom="400" w:left="821" w:header="0" w:footer="0" w:gutter="0"/>
        </w:sectPr>
        <w:rPr/>
      </w:pPr>
    </w:p>
    <w:p>
      <w:pPr>
        <w:spacing w:before="21"/>
        <w:rPr/>
      </w:pPr>
      <w:r>
        <mc:AlternateContent xmlns:mc="http://schemas.openxmlformats.org/markup-compatibility/2006">
          <mc:Choice Requires="wps">
            <w:drawing>
              <wp:anchor distT="0" distB="0" distL="0" distR="0" simplePos="0" relativeHeight="251797504"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42" name="TextBox 142"/>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4" style="position:absolute;margin-left:37.3042pt;margin-top:345.373pt;mso-position-vertical-relative:page;mso-position-horizontal-relative:page;width:13.1pt;height:12.4pt;z-index:25179750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139</w:t>
                      </w:r>
                    </w:p>
                  </w:txbxContent>
                </v:textbox>
              </v:shape>
            </w:pict>
          </mc:Fallback>
        </mc:AlternateContent>
      </w:r>
      <w:r/>
    </w:p>
    <w:p>
      <w:pPr>
        <w:spacing w:before="2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4135"/>
        <w:gridCol w:w="2517"/>
        <w:gridCol w:w="949"/>
        <w:gridCol w:w="969"/>
        <w:gridCol w:w="390"/>
        <w:gridCol w:w="384"/>
      </w:tblGrid>
      <w:tr>
        <w:trPr>
          <w:trHeight w:val="494" w:hRule="atLeast"/>
        </w:trPr>
        <w:tc>
          <w:tcPr>
            <w:tcW w:w="285" w:type="dxa"/>
            <w:vAlign w:val="top"/>
            <w:textDirection w:val="tbRlV"/>
          </w:tcPr>
          <w:p>
            <w:pPr>
              <w:pStyle w:val="TableText"/>
              <w:ind w:left="37"/>
              <w:spacing w:before="70" w:line="217" w:lineRule="auto"/>
              <w:rPr/>
            </w:pPr>
            <w:r>
              <w:rPr/>
              <w:t>序</w:t>
            </w:r>
            <w:r>
              <w:rPr>
                <w:spacing w:val="36"/>
                <w:w w:val="101"/>
              </w:rPr>
              <w:t xml:space="preserve"> </w:t>
            </w:r>
            <w:r>
              <w:rPr/>
              <w:t>号</w:t>
            </w:r>
          </w:p>
        </w:tc>
        <w:tc>
          <w:tcPr>
            <w:tcW w:w="4135" w:type="dxa"/>
            <w:vAlign w:val="top"/>
          </w:tcPr>
          <w:p>
            <w:pPr>
              <w:pStyle w:val="TableText"/>
              <w:ind w:left="1759"/>
              <w:spacing w:before="171" w:line="219" w:lineRule="auto"/>
              <w:rPr/>
            </w:pPr>
            <w:r>
              <w:rPr>
                <w:spacing w:val="-2"/>
              </w:rPr>
              <w:t>主要内容</w:t>
            </w:r>
          </w:p>
        </w:tc>
        <w:tc>
          <w:tcPr>
            <w:tcW w:w="2517" w:type="dxa"/>
            <w:vAlign w:val="top"/>
          </w:tcPr>
          <w:p>
            <w:pPr>
              <w:pStyle w:val="TableText"/>
              <w:ind w:left="954"/>
              <w:spacing w:before="170" w:line="219" w:lineRule="auto"/>
              <w:rPr/>
            </w:pPr>
            <w:r>
              <w:rPr>
                <w:spacing w:val="-1"/>
              </w:rPr>
              <w:t>政策依据</w:t>
            </w:r>
          </w:p>
        </w:tc>
        <w:tc>
          <w:tcPr>
            <w:tcW w:w="949" w:type="dxa"/>
            <w:vAlign w:val="top"/>
          </w:tcPr>
          <w:p>
            <w:pPr>
              <w:pStyle w:val="TableText"/>
              <w:ind w:left="178"/>
              <w:spacing w:before="171" w:line="219" w:lineRule="auto"/>
              <w:rPr/>
            </w:pPr>
            <w:r>
              <w:rPr>
                <w:spacing w:val="3"/>
              </w:rPr>
              <w:t>执行时间</w:t>
            </w:r>
          </w:p>
        </w:tc>
        <w:tc>
          <w:tcPr>
            <w:tcW w:w="969" w:type="dxa"/>
            <w:vAlign w:val="top"/>
          </w:tcPr>
          <w:p>
            <w:pPr>
              <w:pStyle w:val="TableText"/>
              <w:ind w:left="178"/>
              <w:spacing w:before="63" w:line="228" w:lineRule="exact"/>
              <w:rPr/>
            </w:pPr>
            <w:r>
              <w:rPr>
                <w:spacing w:val="-3"/>
                <w:position w:val="5"/>
              </w:rPr>
              <w:t>惠及企业</w:t>
            </w:r>
          </w:p>
          <w:p>
            <w:pPr>
              <w:pStyle w:val="TableText"/>
              <w:ind w:left="328"/>
              <w:spacing w:line="219" w:lineRule="auto"/>
              <w:rPr/>
            </w:pPr>
            <w:r>
              <w:rPr>
                <w:spacing w:val="-2"/>
              </w:rPr>
              <w:t>类型</w:t>
            </w:r>
          </w:p>
        </w:tc>
        <w:tc>
          <w:tcPr>
            <w:tcW w:w="390" w:type="dxa"/>
            <w:vAlign w:val="top"/>
          </w:tcPr>
          <w:p>
            <w:pPr>
              <w:pStyle w:val="TableText"/>
              <w:ind w:left="39" w:right="45"/>
              <w:spacing w:before="61" w:line="251" w:lineRule="auto"/>
              <w:rPr/>
            </w:pPr>
            <w:r>
              <w:rPr>
                <w:spacing w:val="-3"/>
              </w:rPr>
              <w:t>政策</w:t>
            </w:r>
            <w:r>
              <w:rPr/>
              <w:t xml:space="preserve"> </w:t>
            </w:r>
            <w:r>
              <w:rPr>
                <w:spacing w:val="-3"/>
              </w:rPr>
              <w:t>类别</w:t>
            </w:r>
          </w:p>
        </w:tc>
        <w:tc>
          <w:tcPr>
            <w:tcW w:w="384" w:type="dxa"/>
            <w:vAlign w:val="top"/>
          </w:tcPr>
          <w:p>
            <w:pPr>
              <w:pStyle w:val="TableText"/>
              <w:ind w:left="40" w:right="39"/>
              <w:spacing w:before="62" w:line="258" w:lineRule="auto"/>
              <w:rPr/>
            </w:pPr>
            <w:r>
              <w:rPr>
                <w:spacing w:val="-3"/>
              </w:rPr>
              <w:t>政策</w:t>
            </w:r>
            <w:r>
              <w:rPr/>
              <w:t xml:space="preserve"> </w:t>
            </w:r>
            <w:r>
              <w:rPr>
                <w:spacing w:val="-4"/>
              </w:rPr>
              <w:t>形式</w:t>
            </w:r>
          </w:p>
        </w:tc>
      </w:tr>
      <w:tr>
        <w:trPr>
          <w:trHeight w:val="2007" w:hRule="atLeast"/>
        </w:trPr>
        <w:tc>
          <w:tcPr>
            <w:tcW w:w="285" w:type="dxa"/>
            <w:vAlign w:val="top"/>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55"/>
              <w:spacing w:before="49" w:line="183" w:lineRule="auto"/>
              <w:rPr/>
            </w:pPr>
            <w:r>
              <w:rPr>
                <w:spacing w:val="-2"/>
              </w:rPr>
              <w:t>24</w:t>
            </w:r>
          </w:p>
        </w:tc>
        <w:tc>
          <w:tcPr>
            <w:tcW w:w="4135" w:type="dxa"/>
            <w:vAlign w:val="top"/>
          </w:tcPr>
          <w:p>
            <w:pPr>
              <w:pStyle w:val="TableText"/>
              <w:ind w:left="30" w:right="10"/>
              <w:spacing w:before="79" w:line="262" w:lineRule="auto"/>
              <w:jc w:val="both"/>
              <w:rPr/>
            </w:pPr>
            <w:r>
              <w:rPr>
                <w:spacing w:val="-1"/>
              </w:rPr>
              <w:t>大力拓宽多元化融资渠道，优化营商环境，严厉打击骗贷骗补 </w:t>
            </w:r>
            <w:r>
              <w:rPr>
                <w:spacing w:val="-5"/>
              </w:rPr>
              <w:t>等违法违规行为。《意见》提出，</w:t>
            </w:r>
            <w:r>
              <w:rPr>
                <w:spacing w:val="43"/>
                <w:w w:val="101"/>
              </w:rPr>
              <w:t xml:space="preserve"> </w:t>
            </w:r>
            <w:r>
              <w:rPr>
                <w:spacing w:val="-5"/>
              </w:rPr>
              <w:t>一是支持发展创业投资和天 </w:t>
            </w:r>
            <w:r>
              <w:rPr/>
              <w:t>使投资，完善创业投资、天使投资退出机制</w:t>
            </w:r>
            <w:r>
              <w:rPr>
                <w:spacing w:val="-1"/>
              </w:rPr>
              <w:t>；持续深化新三板</w:t>
            </w:r>
            <w:r>
              <w:rPr/>
              <w:t xml:space="preserve"> </w:t>
            </w:r>
            <w:r>
              <w:rPr>
                <w:spacing w:val="1"/>
              </w:rPr>
              <w:t>分层、交易制度改革，完善差异化的发行、信息披露等制度。</w:t>
            </w:r>
            <w:r>
              <w:rPr>
                <w:spacing w:val="6"/>
              </w:rPr>
              <w:t xml:space="preserve"> </w:t>
            </w:r>
            <w:r>
              <w:rPr/>
              <w:t>规范发展区域性股权市场。二是引导小微企</w:t>
            </w:r>
            <w:r>
              <w:rPr>
                <w:spacing w:val="-1"/>
              </w:rPr>
              <w:t>业聚焦主业，健全</w:t>
            </w:r>
            <w:r>
              <w:rPr/>
              <w:t xml:space="preserve"> </w:t>
            </w:r>
            <w:r>
              <w:rPr/>
              <w:t>财务制度，守法诚信经营，提升自身信用水</w:t>
            </w:r>
            <w:r>
              <w:rPr>
                <w:spacing w:val="-1"/>
              </w:rPr>
              <w:t>平。三是推动建立</w:t>
            </w:r>
            <w:r>
              <w:rPr/>
              <w:t xml:space="preserve"> </w:t>
            </w:r>
            <w:r>
              <w:rPr/>
              <w:t>联合激励和惩戒机制，依法依规查处小微企</w:t>
            </w:r>
            <w:r>
              <w:rPr>
                <w:spacing w:val="-1"/>
              </w:rPr>
              <w:t>业和金融机构内外</w:t>
            </w:r>
            <w:r>
              <w:rPr/>
              <w:t xml:space="preserve"> </w:t>
            </w:r>
            <w:r>
              <w:rPr/>
              <w:t>勾结、弄虚作假、骗贷骗补等违法违规行为，确保政策真正惠</w:t>
            </w:r>
            <w:r>
              <w:rPr>
                <w:spacing w:val="13"/>
              </w:rPr>
              <w:t xml:space="preserve"> </w:t>
            </w:r>
            <w:r>
              <w:rPr>
                <w:spacing w:val="-1"/>
              </w:rPr>
              <w:t>及小微企业。</w:t>
            </w:r>
          </w:p>
        </w:tc>
        <w:tc>
          <w:tcPr>
            <w:tcW w:w="251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90" w:type="dxa"/>
            <w:vAlign w:val="top"/>
          </w:tcPr>
          <w:p>
            <w:pPr>
              <w:rPr>
                <w:rFonts w:ascii="Arial"/>
                <w:sz w:val="21"/>
              </w:rPr>
            </w:pPr>
            <w:r/>
          </w:p>
        </w:tc>
        <w:tc>
          <w:tcPr>
            <w:tcW w:w="384" w:type="dxa"/>
            <w:vAlign w:val="top"/>
          </w:tcPr>
          <w:p>
            <w:pPr>
              <w:rPr>
                <w:rFonts w:ascii="Arial"/>
                <w:sz w:val="21"/>
              </w:rPr>
            </w:pPr>
            <w:r/>
          </w:p>
        </w:tc>
      </w:tr>
      <w:tr>
        <w:trPr>
          <w:trHeight w:val="3779" w:hRule="atLeast"/>
        </w:trPr>
        <w:tc>
          <w:tcPr>
            <w:tcW w:w="285"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5"/>
              <w:spacing w:before="48" w:line="183" w:lineRule="auto"/>
              <w:rPr/>
            </w:pPr>
            <w:r>
              <w:rPr>
                <w:spacing w:val="-2"/>
              </w:rPr>
              <w:t>25</w:t>
            </w:r>
          </w:p>
        </w:tc>
        <w:tc>
          <w:tcPr>
            <w:tcW w:w="4135" w:type="dxa"/>
            <w:vAlign w:val="top"/>
          </w:tcPr>
          <w:p>
            <w:pPr>
              <w:pStyle w:val="TableText"/>
              <w:ind w:left="20" w:right="220" w:hanging="10"/>
              <w:spacing w:before="90" w:line="245" w:lineRule="auto"/>
              <w:rPr/>
            </w:pPr>
            <w:r>
              <w:rPr/>
              <w:t>第十三条金融机构应当发挥服务实体经济的</w:t>
            </w:r>
            <w:r>
              <w:rPr>
                <w:spacing w:val="-1"/>
              </w:rPr>
              <w:t>功能，高效、公</w:t>
            </w:r>
            <w:r>
              <w:rPr/>
              <w:t xml:space="preserve"> </w:t>
            </w:r>
            <w:r>
              <w:rPr>
                <w:spacing w:val="-1"/>
              </w:rPr>
              <w:t>平地服务中小企业。</w:t>
            </w:r>
          </w:p>
          <w:p>
            <w:pPr>
              <w:pStyle w:val="TableText"/>
              <w:ind w:left="30"/>
              <w:spacing w:before="31" w:line="219" w:lineRule="auto"/>
              <w:rPr/>
            </w:pPr>
            <w:r>
              <w:rPr/>
              <w:t>第十四条中国人民银行应当综合运用货币政</w:t>
            </w:r>
            <w:r>
              <w:rPr>
                <w:spacing w:val="-1"/>
              </w:rPr>
              <w:t>策工具，鼓励和</w:t>
            </w:r>
          </w:p>
          <w:p>
            <w:pPr>
              <w:pStyle w:val="TableText"/>
              <w:ind w:left="20" w:right="34" w:firstLine="10"/>
              <w:spacing w:before="51" w:line="234" w:lineRule="auto"/>
              <w:rPr/>
            </w:pPr>
            <w:r>
              <w:rPr/>
              <w:t>引导金融机构加大对小型微型企业的信贷支持，改善小型微型</w:t>
            </w:r>
            <w:r>
              <w:rPr>
                <w:spacing w:val="9"/>
              </w:rPr>
              <w:t xml:space="preserve"> </w:t>
            </w:r>
            <w:r>
              <w:rPr>
                <w:spacing w:val="-1"/>
              </w:rPr>
              <w:t>企业融资环境。</w:t>
            </w:r>
          </w:p>
          <w:p>
            <w:pPr>
              <w:pStyle w:val="TableText"/>
              <w:ind w:left="30"/>
              <w:spacing w:before="49" w:line="219" w:lineRule="auto"/>
              <w:rPr/>
            </w:pPr>
            <w:r>
              <w:rPr/>
              <w:t>第十五条国务院银行业监督管理机构对金融</w:t>
            </w:r>
            <w:r>
              <w:rPr>
                <w:spacing w:val="-1"/>
              </w:rPr>
              <w:t>机构开展小型微</w:t>
            </w:r>
          </w:p>
          <w:p>
            <w:pPr>
              <w:pStyle w:val="TableText"/>
              <w:ind w:left="20" w:right="35" w:firstLine="10"/>
              <w:spacing w:before="42" w:line="258" w:lineRule="auto"/>
              <w:rPr/>
            </w:pPr>
            <w:r>
              <w:rPr/>
              <w:t>型企业金融服务应当制定差异化监管政策，采取合理提高小型</w:t>
            </w:r>
            <w:r>
              <w:rPr>
                <w:spacing w:val="8"/>
              </w:rPr>
              <w:t xml:space="preserve"> </w:t>
            </w:r>
            <w:r>
              <w:rPr/>
              <w:t>微型企业不良贷款容忍度等措施，引导金融机构增加小型微型</w:t>
            </w:r>
            <w:r>
              <w:rPr>
                <w:spacing w:val="3"/>
              </w:rPr>
              <w:t xml:space="preserve"> </w:t>
            </w:r>
            <w:r>
              <w:rPr>
                <w:spacing w:val="-1"/>
              </w:rPr>
              <w:t>企业融资规模和比重，提高金融服务水平。</w:t>
            </w:r>
          </w:p>
          <w:p>
            <w:pPr>
              <w:pStyle w:val="TableText"/>
              <w:ind w:left="40" w:right="200" w:hanging="10"/>
              <w:spacing w:before="41" w:line="233" w:lineRule="auto"/>
              <w:rPr/>
            </w:pPr>
            <w:r>
              <w:rPr/>
              <w:t>第十六条国家鼓励各类金融机构开发和提供</w:t>
            </w:r>
            <w:r>
              <w:rPr>
                <w:spacing w:val="-1"/>
              </w:rPr>
              <w:t>适合中小企业特</w:t>
            </w:r>
            <w:r>
              <w:rPr/>
              <w:t xml:space="preserve"> </w:t>
            </w:r>
            <w:r>
              <w:rPr>
                <w:spacing w:val="-1"/>
              </w:rPr>
              <w:t>点的金融产品和服务。</w:t>
            </w:r>
          </w:p>
          <w:p>
            <w:pPr>
              <w:pStyle w:val="TableText"/>
              <w:ind w:left="30" w:right="39"/>
              <w:spacing w:before="51" w:line="245" w:lineRule="auto"/>
              <w:rPr/>
            </w:pPr>
            <w:r>
              <w:rPr/>
              <w:t>国家政策性金融机构应当在其业务经营范围内，采取多种形式</w:t>
            </w:r>
            <w:r>
              <w:rPr>
                <w:spacing w:val="4"/>
              </w:rPr>
              <w:t xml:space="preserve"> </w:t>
            </w:r>
            <w:r>
              <w:rPr>
                <w:spacing w:val="-1"/>
              </w:rPr>
              <w:t>为中小企业提供金融服务</w:t>
            </w:r>
          </w:p>
          <w:p>
            <w:pPr>
              <w:pStyle w:val="TableText"/>
              <w:ind w:left="10" w:firstLine="19"/>
              <w:spacing w:before="43" w:line="255" w:lineRule="auto"/>
              <w:jc w:val="both"/>
              <w:rPr/>
            </w:pPr>
            <w:r>
              <w:rPr>
                <w:spacing w:val="1"/>
              </w:rPr>
              <w:t>第十七条国家推进和支持普惠金融体系建设，推动中小银行、</w:t>
            </w:r>
            <w:r>
              <w:rPr>
                <w:spacing w:val="17"/>
              </w:rPr>
              <w:t xml:space="preserve"> </w:t>
            </w:r>
            <w:r>
              <w:rPr>
                <w:spacing w:val="-1"/>
              </w:rPr>
              <w:t>非存款类放贷机构和互联网金融有序健康发展，引导银行业金</w:t>
            </w:r>
            <w:r>
              <w:rPr>
                <w:spacing w:val="4"/>
              </w:rPr>
              <w:t xml:space="preserve">  </w:t>
            </w:r>
            <w:r>
              <w:rPr/>
              <w:t>融机构向县域和乡镇等小型微型企业金融服务薄弱地区延伸网</w:t>
            </w:r>
            <w:r>
              <w:rPr>
                <w:spacing w:val="2"/>
              </w:rPr>
              <w:t xml:space="preserve">  </w:t>
            </w:r>
            <w:r>
              <w:rPr>
                <w:spacing w:val="-2"/>
              </w:rPr>
              <w:t>点和业务。</w:t>
            </w:r>
          </w:p>
        </w:tc>
        <w:tc>
          <w:tcPr>
            <w:tcW w:w="2517" w:type="dxa"/>
            <w:vAlign w:val="top"/>
          </w:tcPr>
          <w:p>
            <w:pPr>
              <w:pStyle w:val="TableText"/>
              <w:ind w:left="49"/>
              <w:spacing w:before="89" w:line="219" w:lineRule="auto"/>
              <w:rPr/>
            </w:pPr>
            <w:r>
              <w:rPr>
                <w:spacing w:val="-1"/>
              </w:rPr>
              <w:t>《中华人民共和国中小企业促进法》</w:t>
            </w:r>
          </w:p>
        </w:tc>
        <w:tc>
          <w:tcPr>
            <w:tcW w:w="949" w:type="dxa"/>
            <w:vAlign w:val="top"/>
          </w:tcPr>
          <w:p>
            <w:pPr>
              <w:pStyle w:val="TableText"/>
              <w:ind w:left="17" w:right="5"/>
              <w:spacing w:before="90" w:line="233" w:lineRule="auto"/>
              <w:rPr/>
            </w:pPr>
            <w:r>
              <w:rPr>
                <w:spacing w:val="20"/>
              </w:rPr>
              <w:t>2018年1月1</w:t>
            </w:r>
            <w:r>
              <w:rPr>
                <w:spacing w:val="4"/>
              </w:rPr>
              <w:t xml:space="preserve"> </w:t>
            </w:r>
            <w:r>
              <w:rPr>
                <w:spacing w:val="6"/>
              </w:rPr>
              <w:t>日起</w:t>
            </w:r>
          </w:p>
        </w:tc>
        <w:tc>
          <w:tcPr>
            <w:tcW w:w="969" w:type="dxa"/>
            <w:vAlign w:val="top"/>
          </w:tcPr>
          <w:p>
            <w:pPr>
              <w:pStyle w:val="TableText"/>
              <w:ind w:left="178" w:right="170" w:hanging="149"/>
              <w:spacing w:before="80" w:line="245" w:lineRule="auto"/>
              <w:rPr/>
            </w:pPr>
            <w:r>
              <w:rPr>
                <w:spacing w:val="1"/>
              </w:rPr>
              <w:t>中型、小型</w:t>
            </w:r>
            <w:r>
              <w:rPr>
                <w:spacing w:val="3"/>
              </w:rPr>
              <w:t xml:space="preserve"> </w:t>
            </w:r>
            <w:r>
              <w:rPr>
                <w:spacing w:val="-2"/>
              </w:rPr>
              <w:t>微型企业</w:t>
            </w:r>
          </w:p>
        </w:tc>
        <w:tc>
          <w:tcPr>
            <w:tcW w:w="390" w:type="dxa"/>
            <w:vAlign w:val="top"/>
          </w:tcPr>
          <w:p>
            <w:pPr>
              <w:pStyle w:val="TableText"/>
              <w:ind w:left="39" w:right="46"/>
              <w:spacing w:before="60" w:line="247" w:lineRule="auto"/>
              <w:rPr/>
            </w:pPr>
            <w:r>
              <w:rPr>
                <w:spacing w:val="-4"/>
              </w:rPr>
              <w:t>法律</w:t>
            </w:r>
            <w:r>
              <w:rPr/>
              <w:t xml:space="preserve"> </w:t>
            </w:r>
            <w:r>
              <w:rPr>
                <w:spacing w:val="-4"/>
              </w:rPr>
              <w:t>法规</w:t>
            </w:r>
          </w:p>
        </w:tc>
        <w:tc>
          <w:tcPr>
            <w:tcW w:w="384" w:type="dxa"/>
            <w:vAlign w:val="top"/>
          </w:tcPr>
          <w:p>
            <w:pPr>
              <w:pStyle w:val="TableText"/>
              <w:ind w:left="40" w:right="24"/>
              <w:spacing w:before="60" w:line="254" w:lineRule="auto"/>
              <w:jc w:val="both"/>
              <w:rPr/>
            </w:pPr>
            <w:r>
              <w:rPr>
                <w:spacing w:val="-3"/>
              </w:rPr>
              <w:t>优化</w:t>
            </w:r>
            <w:r>
              <w:rPr/>
              <w:t xml:space="preserve"> </w:t>
            </w:r>
            <w:r>
              <w:rPr>
                <w:spacing w:val="4"/>
              </w:rPr>
              <w:t>营商</w:t>
            </w:r>
            <w:r>
              <w:rPr/>
              <w:t xml:space="preserve"> </w:t>
            </w:r>
            <w:r>
              <w:rPr>
                <w:spacing w:val="-2"/>
              </w:rPr>
              <w:t>环境</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79852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44" name="TextBox 144"/>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6" style="position:absolute;margin-left:36.1352pt;margin-top:49.3939pt;mso-position-vertical-relative:page;mso-position-horizontal-relative:page;width:13.8pt;height:13pt;z-index:25179852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140</w:t>
                      </w:r>
                    </w:p>
                  </w:txbxContent>
                </v:textbox>
              </v:shape>
            </w:pict>
          </mc:Fallback>
        </mc:AlternateContent>
      </w:r>
      <w:r/>
    </w:p>
    <w:p>
      <w:pPr>
        <w:spacing w:before="51"/>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4126"/>
        <w:gridCol w:w="2527"/>
        <w:gridCol w:w="949"/>
        <w:gridCol w:w="969"/>
        <w:gridCol w:w="389"/>
        <w:gridCol w:w="394"/>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4126" w:type="dxa"/>
            <w:vAlign w:val="top"/>
          </w:tcPr>
          <w:p>
            <w:pPr>
              <w:pStyle w:val="TableText"/>
              <w:ind w:left="1749"/>
              <w:spacing w:before="171" w:line="219" w:lineRule="auto"/>
              <w:rPr/>
            </w:pPr>
            <w:r>
              <w:rPr>
                <w:spacing w:val="-2"/>
              </w:rPr>
              <w:t>主要内容</w:t>
            </w:r>
          </w:p>
        </w:tc>
        <w:tc>
          <w:tcPr>
            <w:tcW w:w="2527" w:type="dxa"/>
            <w:vAlign w:val="top"/>
          </w:tcPr>
          <w:p>
            <w:pPr>
              <w:pStyle w:val="TableText"/>
              <w:ind w:left="943"/>
              <w:spacing w:before="170" w:line="219" w:lineRule="auto"/>
              <w:rPr/>
            </w:pPr>
            <w:r>
              <w:rPr>
                <w:spacing w:val="-1"/>
              </w:rPr>
              <w:t>政策依据</w:t>
            </w:r>
          </w:p>
        </w:tc>
        <w:tc>
          <w:tcPr>
            <w:tcW w:w="949" w:type="dxa"/>
            <w:vAlign w:val="top"/>
          </w:tcPr>
          <w:p>
            <w:pPr>
              <w:pStyle w:val="TableText"/>
              <w:ind w:left="177"/>
              <w:spacing w:before="171" w:line="219" w:lineRule="auto"/>
              <w:rPr/>
            </w:pPr>
            <w:r>
              <w:rPr>
                <w:spacing w:val="3"/>
              </w:rPr>
              <w:t>执行时间</w:t>
            </w:r>
          </w:p>
        </w:tc>
        <w:tc>
          <w:tcPr>
            <w:tcW w:w="969" w:type="dxa"/>
            <w:vAlign w:val="top"/>
          </w:tcPr>
          <w:p>
            <w:pPr>
              <w:pStyle w:val="TableText"/>
              <w:ind w:left="177"/>
              <w:spacing w:before="73" w:line="207" w:lineRule="exact"/>
              <w:rPr/>
            </w:pPr>
            <w:r>
              <w:rPr>
                <w:spacing w:val="-3"/>
                <w:position w:val="4"/>
              </w:rPr>
              <w:t>惠及企业</w:t>
            </w:r>
          </w:p>
          <w:p>
            <w:pPr>
              <w:pStyle w:val="TableText"/>
              <w:ind w:left="327"/>
              <w:spacing w:line="219" w:lineRule="auto"/>
              <w:rPr/>
            </w:pPr>
            <w:r>
              <w:rPr>
                <w:spacing w:val="-2"/>
              </w:rPr>
              <w:t>类型</w:t>
            </w:r>
          </w:p>
        </w:tc>
        <w:tc>
          <w:tcPr>
            <w:tcW w:w="389" w:type="dxa"/>
            <w:vAlign w:val="top"/>
          </w:tcPr>
          <w:p>
            <w:pPr>
              <w:pStyle w:val="TableText"/>
              <w:ind w:left="38" w:right="45"/>
              <w:spacing w:before="61" w:line="245" w:lineRule="auto"/>
              <w:rPr/>
            </w:pPr>
            <w:r>
              <w:rPr>
                <w:spacing w:val="-3"/>
              </w:rPr>
              <w:t>政策</w:t>
            </w:r>
            <w:r>
              <w:rPr/>
              <w:t xml:space="preserve"> </w:t>
            </w:r>
            <w:r>
              <w:rPr>
                <w:spacing w:val="-3"/>
              </w:rPr>
              <w:t>类别</w:t>
            </w:r>
          </w:p>
        </w:tc>
        <w:tc>
          <w:tcPr>
            <w:tcW w:w="394" w:type="dxa"/>
            <w:vAlign w:val="top"/>
          </w:tcPr>
          <w:p>
            <w:pPr>
              <w:pStyle w:val="TableText"/>
              <w:ind w:left="40" w:right="49"/>
              <w:spacing w:before="61" w:line="246" w:lineRule="auto"/>
              <w:rPr/>
            </w:pPr>
            <w:r>
              <w:rPr>
                <w:spacing w:val="-3"/>
              </w:rPr>
              <w:t>政策</w:t>
            </w:r>
            <w:r>
              <w:rPr/>
              <w:t xml:space="preserve"> </w:t>
            </w:r>
            <w:r>
              <w:rPr>
                <w:spacing w:val="-4"/>
              </w:rPr>
              <w:t>形式</w:t>
            </w:r>
          </w:p>
        </w:tc>
      </w:tr>
      <w:tr>
        <w:trPr>
          <w:trHeight w:val="5705" w:hRule="atLeast"/>
        </w:trPr>
        <w:tc>
          <w:tcPr>
            <w:tcW w:w="295"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5"/>
              <w:spacing w:before="48" w:line="183" w:lineRule="auto"/>
              <w:rPr/>
            </w:pPr>
            <w:r>
              <w:rPr>
                <w:spacing w:val="-2"/>
              </w:rPr>
              <w:t>25</w:t>
            </w:r>
          </w:p>
        </w:tc>
        <w:tc>
          <w:tcPr>
            <w:tcW w:w="4126" w:type="dxa"/>
            <w:vAlign w:val="top"/>
          </w:tcPr>
          <w:p>
            <w:pPr>
              <w:pStyle w:val="TableText"/>
              <w:ind w:left="30" w:right="29"/>
              <w:spacing w:before="196" w:line="245" w:lineRule="auto"/>
              <w:jc w:val="both"/>
              <w:rPr/>
            </w:pPr>
            <w:r>
              <w:rPr/>
              <w:t>国有大型商业银行应当设立普惠金融机构，为小型微型企业提</w:t>
            </w:r>
            <w:r>
              <w:rPr>
                <w:spacing w:val="5"/>
              </w:rPr>
              <w:t xml:space="preserve"> </w:t>
            </w:r>
            <w:r>
              <w:rPr/>
              <w:t>供金融服务。国家推动其他银行业金融机构设</w:t>
            </w:r>
            <w:r>
              <w:rPr>
                <w:spacing w:val="-1"/>
              </w:rPr>
              <w:t>立小型微型企业</w:t>
            </w:r>
            <w:r>
              <w:rPr/>
              <w:t xml:space="preserve"> </w:t>
            </w:r>
            <w:r>
              <w:rPr/>
              <w:t>金融服务专营机构。</w:t>
            </w:r>
          </w:p>
          <w:p>
            <w:pPr>
              <w:pStyle w:val="TableText"/>
              <w:ind w:left="30" w:right="41"/>
              <w:spacing w:before="51" w:line="245" w:lineRule="auto"/>
              <w:rPr/>
            </w:pPr>
            <w:r>
              <w:rPr/>
              <w:t>地区性中小银行应当积极为其所在地的小型微</w:t>
            </w:r>
            <w:r>
              <w:rPr>
                <w:spacing w:val="-1"/>
              </w:rPr>
              <w:t>型企业提供金融</w:t>
            </w:r>
            <w:r>
              <w:rPr/>
              <w:t xml:space="preserve"> </w:t>
            </w:r>
            <w:r>
              <w:rPr>
                <w:spacing w:val="-1"/>
              </w:rPr>
              <w:t>服务，促进实体经济发展。</w:t>
            </w:r>
          </w:p>
          <w:p>
            <w:pPr>
              <w:pStyle w:val="TableText"/>
              <w:ind w:left="10" w:right="27" w:firstLine="89"/>
              <w:spacing w:before="41" w:line="251" w:lineRule="auto"/>
              <w:rPr/>
            </w:pPr>
            <w:r>
              <w:rPr/>
              <w:t>第十八条国家健全多层次资本市场体系，多</w:t>
            </w:r>
            <w:r>
              <w:rPr>
                <w:spacing w:val="-1"/>
              </w:rPr>
              <w:t>渠道推动股权融</w:t>
            </w:r>
            <w:r>
              <w:rPr/>
              <w:t xml:space="preserve">  </w:t>
            </w:r>
            <w:r>
              <w:rPr>
                <w:spacing w:val="1"/>
              </w:rPr>
              <w:t>资，发展并规范债券市场，促进中小企业利用多种方式直接融</w:t>
            </w:r>
            <w:r>
              <w:rPr/>
              <w:t xml:space="preserve"> </w:t>
            </w:r>
            <w:r>
              <w:rPr>
                <w:spacing w:val="-2"/>
              </w:rPr>
              <w:t>资。</w:t>
            </w:r>
          </w:p>
          <w:p>
            <w:pPr>
              <w:pStyle w:val="TableText"/>
              <w:ind w:left="30" w:right="42" w:firstLine="69"/>
              <w:spacing w:before="49" w:line="250" w:lineRule="auto"/>
              <w:rPr/>
            </w:pPr>
            <w:r>
              <w:rPr/>
              <w:t>第十九条国家完善担保融资制度，支持金融</w:t>
            </w:r>
            <w:r>
              <w:rPr>
                <w:spacing w:val="-1"/>
              </w:rPr>
              <w:t>机构为中小企业</w:t>
            </w:r>
            <w:r>
              <w:rPr/>
              <w:t xml:space="preserve">  </w:t>
            </w:r>
            <w:r>
              <w:rPr/>
              <w:t>提供以应收账款、知识产权、存货、机器设</w:t>
            </w:r>
            <w:r>
              <w:rPr>
                <w:spacing w:val="-1"/>
              </w:rPr>
              <w:t>备等为担保品的担</w:t>
            </w:r>
            <w:r>
              <w:rPr/>
              <w:t xml:space="preserve"> </w:t>
            </w:r>
            <w:r>
              <w:rPr>
                <w:spacing w:val="-1"/>
              </w:rPr>
              <w:t>保融资。</w:t>
            </w:r>
          </w:p>
          <w:p>
            <w:pPr>
              <w:pStyle w:val="TableText"/>
              <w:ind w:left="30" w:right="1" w:firstLine="69"/>
              <w:spacing w:before="50" w:line="261" w:lineRule="auto"/>
              <w:rPr/>
            </w:pPr>
            <w:r>
              <w:rPr>
                <w:spacing w:val="-1"/>
              </w:rPr>
              <w:t>第二十条中小企业以应收账款申请担保融资时，其应收账款  </w:t>
            </w:r>
            <w:r>
              <w:rPr>
                <w:spacing w:val="1"/>
              </w:rPr>
              <w:t>的付款方，应当及时确认债权债务关系，支持中小企业融资。</w:t>
            </w:r>
            <w:r>
              <w:rPr>
                <w:spacing w:val="6"/>
              </w:rPr>
              <w:t xml:space="preserve"> </w:t>
            </w:r>
            <w:r>
              <w:rPr/>
              <w:t>国家鼓励中小企业及付款方通过应收账款融资服务平台确认债</w:t>
            </w:r>
            <w:r>
              <w:rPr>
                <w:spacing w:val="7"/>
              </w:rPr>
              <w:t xml:space="preserve"> </w:t>
            </w:r>
            <w:r>
              <w:rPr/>
              <w:t>权债务关系，提高融资效率，降低融资成本</w:t>
            </w:r>
          </w:p>
          <w:p>
            <w:pPr>
              <w:pStyle w:val="TableText"/>
              <w:ind w:left="60" w:firstLine="39"/>
              <w:spacing w:before="42" w:line="239" w:lineRule="auto"/>
              <w:rPr/>
            </w:pPr>
            <w:r>
              <w:rPr/>
              <w:t>第二十一条县级以上人民政府应当建立中小企业政策性信用</w:t>
            </w:r>
            <w:r>
              <w:rPr>
                <w:spacing w:val="8"/>
              </w:rPr>
              <w:t xml:space="preserve">  </w:t>
            </w:r>
            <w:r>
              <w:rPr/>
              <w:t>担保体系，鼓励各类担保机构为中小企业融资提供信用担保。</w:t>
            </w:r>
          </w:p>
          <w:p>
            <w:pPr>
              <w:pStyle w:val="TableText"/>
              <w:ind w:left="30" w:right="41" w:firstLine="69"/>
              <w:spacing w:before="51" w:line="250" w:lineRule="auto"/>
              <w:rPr/>
            </w:pPr>
            <w:r>
              <w:rPr/>
              <w:t>第二十二条国家推动保险机构开展中小企业</w:t>
            </w:r>
            <w:r>
              <w:rPr>
                <w:spacing w:val="-1"/>
              </w:rPr>
              <w:t>贷款保证保险和</w:t>
            </w:r>
            <w:r>
              <w:rPr/>
              <w:t xml:space="preserve">  </w:t>
            </w:r>
            <w:r>
              <w:rPr/>
              <w:t>信用保险业务，开发适应中小企业分散风险、</w:t>
            </w:r>
            <w:r>
              <w:rPr>
                <w:spacing w:val="-1"/>
              </w:rPr>
              <w:t>补偿损失需求的</w:t>
            </w:r>
            <w:r>
              <w:rPr/>
              <w:t xml:space="preserve"> </w:t>
            </w:r>
            <w:r>
              <w:rPr>
                <w:spacing w:val="-1"/>
              </w:rPr>
              <w:t>保险产品。</w:t>
            </w:r>
          </w:p>
          <w:p>
            <w:pPr>
              <w:pStyle w:val="TableText"/>
              <w:ind w:left="30" w:right="41" w:firstLine="69"/>
              <w:spacing w:before="52" w:line="249" w:lineRule="auto"/>
              <w:rPr/>
            </w:pPr>
            <w:r>
              <w:rPr/>
              <w:t>第二十三条国家支持征信机构发展针对中小</w:t>
            </w:r>
            <w:r>
              <w:rPr>
                <w:spacing w:val="-1"/>
              </w:rPr>
              <w:t>企业融资的征信</w:t>
            </w:r>
            <w:r>
              <w:rPr/>
              <w:t xml:space="preserve">  </w:t>
            </w:r>
            <w:r>
              <w:rPr/>
              <w:t>产品和服务，依法向政府有关部门、公用事业</w:t>
            </w:r>
            <w:r>
              <w:rPr>
                <w:spacing w:val="-1"/>
              </w:rPr>
              <w:t>单位和商业机构</w:t>
            </w:r>
            <w:r>
              <w:rPr/>
              <w:t xml:space="preserve"> </w:t>
            </w:r>
            <w:r>
              <w:rPr>
                <w:spacing w:val="-1"/>
              </w:rPr>
              <w:t>采集信息</w:t>
            </w:r>
          </w:p>
          <w:p>
            <w:pPr>
              <w:pStyle w:val="TableText"/>
              <w:ind w:left="40"/>
              <w:spacing w:before="52" w:line="219" w:lineRule="auto"/>
              <w:rPr/>
            </w:pPr>
            <w:r>
              <w:rPr/>
              <w:t>国家鼓励第三方评级机构开展中小企业评级服务</w:t>
            </w:r>
          </w:p>
        </w:tc>
        <w:tc>
          <w:tcPr>
            <w:tcW w:w="2527" w:type="dxa"/>
            <w:vAlign w:val="top"/>
          </w:tcPr>
          <w:p>
            <w:pPr>
              <w:rPr>
                <w:rFonts w:ascii="Arial"/>
                <w:sz w:val="21"/>
              </w:rPr>
            </w:pPr>
            <w:r/>
          </w:p>
        </w:tc>
        <w:tc>
          <w:tcPr>
            <w:tcW w:w="949" w:type="dxa"/>
            <w:vAlign w:val="top"/>
          </w:tcPr>
          <w:p>
            <w:pPr>
              <w:rPr>
                <w:rFonts w:ascii="Arial"/>
                <w:sz w:val="21"/>
              </w:rPr>
            </w:pPr>
            <w:r/>
          </w:p>
        </w:tc>
        <w:tc>
          <w:tcPr>
            <w:tcW w:w="969" w:type="dxa"/>
            <w:vAlign w:val="top"/>
          </w:tcPr>
          <w:p>
            <w:pPr>
              <w:rPr>
                <w:rFonts w:ascii="Arial"/>
                <w:sz w:val="21"/>
              </w:rPr>
            </w:pPr>
            <w:r/>
          </w:p>
        </w:tc>
        <w:tc>
          <w:tcPr>
            <w:tcW w:w="389" w:type="dxa"/>
            <w:vAlign w:val="top"/>
          </w:tcPr>
          <w:p>
            <w:pPr>
              <w:rPr>
                <w:rFonts w:ascii="Arial"/>
                <w:sz w:val="21"/>
              </w:rPr>
            </w:pPr>
            <w:r/>
          </w:p>
        </w:tc>
        <w:tc>
          <w:tcPr>
            <w:tcW w:w="394" w:type="dxa"/>
            <w:vAlign w:val="top"/>
          </w:tcPr>
          <w:p>
            <w:pPr>
              <w:rPr>
                <w:rFonts w:ascii="Arial"/>
                <w:sz w:val="21"/>
              </w:rPr>
            </w:pPr>
            <w:r/>
          </w:p>
        </w:tc>
      </w:tr>
    </w:tbl>
    <w:p>
      <w:pPr>
        <w:pStyle w:val="BodyText"/>
        <w:rPr/>
      </w:pPr>
      <w:r/>
    </w:p>
    <w:p>
      <w:pPr>
        <w:sectPr>
          <w:pgSz w:w="11910" w:h="8220"/>
          <w:pgMar w:top="400" w:right="1135" w:bottom="400" w:left="801" w:header="0" w:footer="0" w:gutter="0"/>
        </w:sectPr>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721"/>
        <w:spacing w:before="101" w:line="222" w:lineRule="auto"/>
        <w:outlineLvl w:val="6"/>
        <w:rPr>
          <w:rFonts w:ascii="SimHei" w:hAnsi="SimHei" w:eastAsia="SimHei" w:cs="SimHei"/>
          <w:sz w:val="31"/>
          <w:szCs w:val="31"/>
        </w:rPr>
      </w:pPr>
      <w:r>
        <w:rPr>
          <w:rFonts w:ascii="SimHei" w:hAnsi="SimHei" w:eastAsia="SimHei" w:cs="SimHei"/>
          <w:sz w:val="31"/>
          <w:szCs w:val="31"/>
          <w:b/>
          <w:bCs/>
          <w:spacing w:val="-8"/>
        </w:rPr>
        <w:t>六、降低企业用能用地成本政策</w:t>
      </w:r>
    </w:p>
    <w:p>
      <w:pPr>
        <w:spacing w:line="222" w:lineRule="auto"/>
        <w:sectPr>
          <w:footerReference w:type="default" r:id="rId39"/>
          <w:pgSz w:w="8220" w:h="11910"/>
          <w:pgMar w:top="400" w:right="1085" w:bottom="942" w:left="1233" w:header="0" w:footer="783" w:gutter="0"/>
        </w:sectPr>
        <w:rPr>
          <w:rFonts w:ascii="SimHei" w:hAnsi="SimHei" w:eastAsia="SimHei" w:cs="SimHei"/>
          <w:sz w:val="31"/>
          <w:szCs w:val="31"/>
        </w:rPr>
      </w:pPr>
    </w:p>
    <w:p>
      <w:pPr>
        <w:pStyle w:val="BodyText"/>
        <w:spacing w:line="252" w:lineRule="auto"/>
        <w:rPr/>
      </w:pPr>
      <w:r/>
    </w:p>
    <w:p>
      <w:pPr>
        <w:pStyle w:val="BodyText"/>
        <w:spacing w:line="252" w:lineRule="auto"/>
        <w:rPr/>
      </w:pPr>
      <w:r/>
    </w:p>
    <w:p>
      <w:pPr>
        <w:spacing w:before="78" w:line="224" w:lineRule="auto"/>
        <w:rPr>
          <w:rFonts w:ascii="SimHei" w:hAnsi="SimHei" w:eastAsia="SimHei" w:cs="SimHei"/>
          <w:sz w:val="24"/>
          <w:szCs w:val="24"/>
        </w:rPr>
      </w:pPr>
      <w:r>
        <w:rPr>
          <w:rFonts w:ascii="SimSun" w:hAnsi="SimSun" w:eastAsia="SimSun" w:cs="SimSun"/>
          <w:sz w:val="16"/>
          <w:szCs w:val="16"/>
          <w:spacing w:val="-6"/>
          <w:position w:val="5"/>
        </w:rPr>
        <w:t>142                                               </w:t>
      </w:r>
      <w:r>
        <w:rPr>
          <w:rFonts w:ascii="SimHei" w:hAnsi="SimHei" w:eastAsia="SimHei" w:cs="SimHei"/>
          <w:sz w:val="24"/>
          <w:szCs w:val="24"/>
          <w:b/>
          <w:bCs/>
          <w:spacing w:val="-6"/>
          <w:position w:val="-1"/>
        </w:rPr>
        <w:t>降低企业用能用地成本</w:t>
      </w:r>
      <w:r>
        <w:rPr>
          <w:rFonts w:ascii="SimHei" w:hAnsi="SimHei" w:eastAsia="SimHei" w:cs="SimHei"/>
          <w:sz w:val="24"/>
          <w:szCs w:val="24"/>
          <w:b/>
          <w:bCs/>
          <w:spacing w:val="-7"/>
          <w:position w:val="-1"/>
        </w:rPr>
        <w:t>政策</w:t>
      </w:r>
    </w:p>
    <w:p>
      <w:pPr>
        <w:spacing w:line="228" w:lineRule="exact"/>
        <w:rPr/>
      </w:pPr>
      <w:r/>
    </w:p>
    <w:tbl>
      <w:tblPr>
        <w:tblStyle w:val="TableNormal"/>
        <w:tblW w:w="9629" w:type="dxa"/>
        <w:tblInd w:w="30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56"/>
        <w:gridCol w:w="2158"/>
        <w:gridCol w:w="909"/>
        <w:gridCol w:w="829"/>
        <w:gridCol w:w="102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56" w:type="dxa"/>
            <w:vAlign w:val="top"/>
          </w:tcPr>
          <w:p>
            <w:pPr>
              <w:pStyle w:val="TableText"/>
              <w:ind w:left="1671"/>
              <w:spacing w:before="171" w:line="219" w:lineRule="auto"/>
              <w:rPr/>
            </w:pPr>
            <w:r>
              <w:rPr>
                <w:spacing w:val="-2"/>
              </w:rPr>
              <w:t>主要内容</w:t>
            </w:r>
          </w:p>
        </w:tc>
        <w:tc>
          <w:tcPr>
            <w:tcW w:w="2158" w:type="dxa"/>
            <w:vAlign w:val="top"/>
          </w:tcPr>
          <w:p>
            <w:pPr>
              <w:pStyle w:val="TableText"/>
              <w:ind w:left="77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29" w:type="dxa"/>
            <w:vAlign w:val="top"/>
          </w:tcPr>
          <w:p>
            <w:pPr>
              <w:pStyle w:val="TableText"/>
              <w:ind w:left="267" w:right="103" w:hanging="14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280" w:hRule="atLeast"/>
        </w:trPr>
        <w:tc>
          <w:tcPr>
            <w:shd w:val="clear" w:fill="DCDDDD"/>
            <w:tcW w:w="9629" w:type="dxa"/>
            <w:vAlign w:val="top"/>
            <w:gridSpan w:val="7"/>
          </w:tcPr>
          <w:p>
            <w:pPr>
              <w:pStyle w:val="TableText"/>
              <w:ind w:left="4517"/>
              <w:spacing w:before="65" w:line="221" w:lineRule="auto"/>
              <w:rPr/>
            </w:pPr>
            <w:r>
              <w:rPr>
                <w:b/>
                <w:bCs/>
                <w:spacing w:val="-6"/>
              </w:rPr>
              <w:t>一、用电</w:t>
            </w:r>
          </w:p>
        </w:tc>
      </w:tr>
      <w:tr>
        <w:trPr>
          <w:trHeight w:val="1667" w:hRule="atLeast"/>
        </w:trPr>
        <w:tc>
          <w:tcPr>
            <w:tcW w:w="28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4"/>
              <w:spacing w:before="49" w:line="184" w:lineRule="auto"/>
              <w:rPr/>
            </w:pPr>
            <w:r>
              <w:rPr/>
              <w:t>1</w:t>
            </w:r>
          </w:p>
        </w:tc>
        <w:tc>
          <w:tcPr>
            <w:tcW w:w="3956" w:type="dxa"/>
            <w:vAlign w:val="top"/>
          </w:tcPr>
          <w:p>
            <w:pPr>
              <w:pStyle w:val="TableText"/>
              <w:ind w:left="21"/>
              <w:spacing w:before="127" w:line="219" w:lineRule="auto"/>
              <w:rPr/>
            </w:pPr>
            <w:r>
              <w:rPr>
                <w:spacing w:val="-2"/>
              </w:rPr>
              <w:t>一、清理取消不合理收费</w:t>
            </w:r>
          </w:p>
          <w:p>
            <w:pPr>
              <w:pStyle w:val="TableText"/>
              <w:ind w:left="21" w:firstLine="69"/>
              <w:spacing w:before="42" w:line="258" w:lineRule="auto"/>
              <w:rPr/>
            </w:pPr>
            <w:r>
              <w:rPr>
                <w:spacing w:val="-2"/>
              </w:rPr>
              <w:t>(三)供电环节收费。取消供电企业及其所属或委托的安装</w:t>
            </w:r>
            <w:r>
              <w:rPr>
                <w:spacing w:val="3"/>
              </w:rPr>
              <w:t xml:space="preserve">   </w:t>
            </w:r>
            <w:r>
              <w:rPr/>
              <w:t>工程公司在用电报装工程验收接入环节向用户收取的移表</w:t>
            </w:r>
            <w:r>
              <w:rPr>
                <w:spacing w:val="4"/>
              </w:rPr>
              <w:t xml:space="preserve">   </w:t>
            </w:r>
            <w:r>
              <w:rPr>
                <w:spacing w:val="1"/>
              </w:rPr>
              <w:t>费、计量装置赔偿费、环境监测费、高压电缆介损试</w:t>
            </w:r>
            <w:r>
              <w:rPr/>
              <w:t>验费、 </w:t>
            </w:r>
            <w:r>
              <w:rPr>
                <w:spacing w:val="-3"/>
              </w:rPr>
              <w:t>高压电缆震荡波试验费、低压电缆试验费、低压计量检测费</w:t>
            </w:r>
            <w:r>
              <w:rPr>
                <w:spacing w:val="9"/>
              </w:rPr>
              <w:t xml:space="preserve">  </w:t>
            </w:r>
            <w:r>
              <w:rPr>
                <w:spacing w:val="-2"/>
              </w:rPr>
              <w:t>互感器试验费、网络自动化费、配电室试验</w:t>
            </w:r>
            <w:r>
              <w:rPr>
                <w:spacing w:val="-3"/>
              </w:rPr>
              <w:t>费、开闭站集资</w:t>
            </w:r>
            <w:r>
              <w:rPr/>
              <w:t xml:space="preserve">  </w:t>
            </w:r>
            <w:r>
              <w:rPr>
                <w:spacing w:val="-3"/>
              </w:rPr>
              <w:t>费、调试费等类似名目费用。</w:t>
            </w:r>
          </w:p>
        </w:tc>
        <w:tc>
          <w:tcPr>
            <w:tcW w:w="2158" w:type="dxa"/>
            <w:vAlign w:val="top"/>
          </w:tcPr>
          <w:p>
            <w:pPr>
              <w:pStyle w:val="TableText"/>
              <w:ind w:left="34" w:right="96" w:firstLine="60"/>
              <w:spacing w:before="125" w:line="256" w:lineRule="auto"/>
              <w:jc w:val="both"/>
              <w:rPr/>
            </w:pPr>
            <w:r>
              <w:rPr/>
              <w:t>国务院办公厅转发国家发展改</w:t>
            </w:r>
            <w:r>
              <w:rPr>
                <w:spacing w:val="5"/>
              </w:rPr>
              <w:t xml:space="preserve"> </w:t>
            </w:r>
            <w:r>
              <w:rPr>
                <w:spacing w:val="4"/>
              </w:rPr>
              <w:t>革委等部门《关于清理规范城</w:t>
            </w:r>
            <w:r>
              <w:rPr/>
              <w:t xml:space="preserve"> </w:t>
            </w:r>
            <w:r>
              <w:rPr>
                <w:spacing w:val="4"/>
              </w:rPr>
              <w:t>镇供水供电供气供暖行业收费</w:t>
            </w:r>
            <w:r>
              <w:rPr>
                <w:spacing w:val="1"/>
              </w:rPr>
              <w:t xml:space="preserve"> </w:t>
            </w:r>
            <w:r>
              <w:rPr>
                <w:spacing w:val="4"/>
              </w:rPr>
              <w:t>促进行业高质量发展意见的通</w:t>
            </w:r>
            <w:r>
              <w:rPr/>
              <w:t xml:space="preserve"> </w:t>
            </w:r>
            <w:r>
              <w:rPr>
                <w:spacing w:val="-1"/>
              </w:rPr>
              <w:t>知》国办函〔2020〕129号</w:t>
            </w:r>
          </w:p>
        </w:tc>
        <w:tc>
          <w:tcPr>
            <w:tcW w:w="909" w:type="dxa"/>
            <w:vAlign w:val="top"/>
          </w:tcPr>
          <w:p>
            <w:pPr>
              <w:pStyle w:val="TableText"/>
              <w:ind w:left="6" w:right="4" w:firstLine="20"/>
              <w:spacing w:before="107" w:line="254" w:lineRule="auto"/>
              <w:jc w:val="both"/>
              <w:rPr/>
            </w:pPr>
            <w:r>
              <w:rPr>
                <w:spacing w:val="22"/>
                <w:w w:val="103"/>
              </w:rPr>
              <w:t>自2021年3</w:t>
            </w:r>
            <w:r>
              <w:rPr/>
              <w:t xml:space="preserve"> </w:t>
            </w:r>
            <w:r>
              <w:rPr>
                <w:spacing w:val="-14"/>
              </w:rPr>
              <w:t>月</w:t>
            </w:r>
            <w:r>
              <w:rPr>
                <w:spacing w:val="-13"/>
              </w:rPr>
              <w:t xml:space="preserve"> 1</w:t>
            </w:r>
            <w:r>
              <w:rPr>
                <w:spacing w:val="16"/>
              </w:rPr>
              <w:t xml:space="preserve"> </w:t>
            </w:r>
            <w:r>
              <w:rPr>
                <w:spacing w:val="-13"/>
              </w:rPr>
              <w:t>日 起</w:t>
            </w:r>
            <w:r>
              <w:rPr>
                <w:spacing w:val="-14"/>
              </w:rPr>
              <w:t xml:space="preserve"> </w:t>
            </w:r>
            <w:r>
              <w:rPr>
                <w:spacing w:val="-12"/>
              </w:rPr>
              <w:t>施</w:t>
            </w:r>
            <w:r>
              <w:rPr/>
              <w:t xml:space="preserve"> </w:t>
            </w:r>
            <w:r>
              <w:rPr>
                <w:spacing w:val="1"/>
              </w:rPr>
              <w:t>行</w:t>
            </w:r>
          </w:p>
        </w:tc>
        <w:tc>
          <w:tcPr>
            <w:tcW w:w="829" w:type="dxa"/>
            <w:vAlign w:val="top"/>
          </w:tcPr>
          <w:p>
            <w:pPr>
              <w:pStyle w:val="TableText"/>
              <w:ind w:left="18" w:right="56"/>
              <w:spacing w:before="107" w:line="257" w:lineRule="auto"/>
              <w:rPr/>
            </w:pPr>
            <w:r>
              <w:rPr>
                <w:spacing w:val="-2"/>
              </w:rPr>
              <w:t>城镇用电企</w:t>
            </w:r>
            <w:r>
              <w:rPr>
                <w:spacing w:val="3"/>
              </w:rPr>
              <w:t xml:space="preserve"> </w:t>
            </w:r>
            <w:r>
              <w:rPr/>
              <w:t>业</w:t>
            </w:r>
          </w:p>
        </w:tc>
        <w:tc>
          <w:tcPr>
            <w:tcW w:w="1029" w:type="dxa"/>
            <w:vAlign w:val="top"/>
          </w:tcPr>
          <w:p>
            <w:pPr>
              <w:pStyle w:val="TableText"/>
              <w:ind w:left="208"/>
              <w:spacing w:before="107" w:line="220" w:lineRule="auto"/>
              <w:rPr/>
            </w:pPr>
            <w:r>
              <w:rPr>
                <w:spacing w:val="-2"/>
              </w:rPr>
              <w:t>行政通知</w:t>
            </w:r>
          </w:p>
        </w:tc>
        <w:tc>
          <w:tcPr>
            <w:tcW w:w="464" w:type="dxa"/>
            <w:vAlign w:val="top"/>
          </w:tcPr>
          <w:p>
            <w:pPr>
              <w:pStyle w:val="TableText"/>
              <w:ind w:left="80" w:right="66"/>
              <w:spacing w:before="99" w:line="264" w:lineRule="auto"/>
              <w:jc w:val="both"/>
              <w:rPr/>
            </w:pPr>
            <w:r>
              <w:rPr>
                <w:spacing w:val="-3"/>
              </w:rPr>
              <w:t>清理</w:t>
            </w:r>
            <w:r>
              <w:rPr/>
              <w:t xml:space="preserve"> </w:t>
            </w:r>
            <w:r>
              <w:rPr>
                <w:spacing w:val="-5"/>
              </w:rPr>
              <w:t>不合</w:t>
            </w:r>
            <w:r>
              <w:rPr/>
              <w:t xml:space="preserve"> </w:t>
            </w:r>
            <w:r>
              <w:rPr>
                <w:spacing w:val="-4"/>
              </w:rPr>
              <w:t>理供</w:t>
            </w:r>
            <w:r>
              <w:rPr/>
              <w:t xml:space="preserve"> </w:t>
            </w:r>
            <w:r>
              <w:rPr>
                <w:spacing w:val="3"/>
              </w:rPr>
              <w:t>电环</w:t>
            </w:r>
            <w:r>
              <w:rPr/>
              <w:t xml:space="preserve"> </w:t>
            </w:r>
            <w:r>
              <w:rPr>
                <w:spacing w:val="-3"/>
              </w:rPr>
              <w:t>节收</w:t>
            </w:r>
            <w:r>
              <w:rPr/>
              <w:t xml:space="preserve"> </w:t>
            </w:r>
            <w:r>
              <w:rPr>
                <w:spacing w:val="18"/>
                <w:w w:val="125"/>
              </w:rPr>
              <w:t>费</w:t>
            </w:r>
          </w:p>
        </w:tc>
      </w:tr>
      <w:tr>
        <w:trPr>
          <w:trHeight w:val="2126" w:hRule="atLeast"/>
        </w:trPr>
        <w:tc>
          <w:tcPr>
            <w:tcW w:w="284"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94"/>
              <w:spacing w:before="48" w:line="183" w:lineRule="auto"/>
              <w:rPr/>
            </w:pPr>
            <w:r>
              <w:rPr/>
              <w:t>2</w:t>
            </w:r>
          </w:p>
        </w:tc>
        <w:tc>
          <w:tcPr>
            <w:tcW w:w="3956" w:type="dxa"/>
            <w:vAlign w:val="top"/>
          </w:tcPr>
          <w:p>
            <w:pPr>
              <w:pStyle w:val="TableText"/>
              <w:ind w:left="51"/>
              <w:spacing w:before="118" w:line="218" w:lineRule="auto"/>
              <w:rPr/>
            </w:pPr>
            <w:r>
              <w:rPr>
                <w:spacing w:val="-1"/>
              </w:rPr>
              <w:t>一、重大水利工程建设基金征收标准降低50%形成的降价</w:t>
            </w:r>
          </w:p>
          <w:p>
            <w:pPr>
              <w:pStyle w:val="TableText"/>
              <w:ind w:left="11" w:firstLine="9"/>
              <w:spacing w:before="52" w:line="246" w:lineRule="auto"/>
              <w:rPr/>
            </w:pPr>
            <w:r>
              <w:rPr>
                <w:spacing w:val="-2"/>
              </w:rPr>
              <w:t>空间(市场化交易电量除外),全部用于降低一般工商业电价。</w:t>
            </w:r>
            <w:r>
              <w:rPr>
                <w:spacing w:val="5"/>
              </w:rPr>
              <w:t xml:space="preserve"> </w:t>
            </w:r>
            <w:r>
              <w:rPr>
                <w:spacing w:val="-3"/>
              </w:rPr>
              <w:t>二、适当延长电网企业固定资产折旧年限</w:t>
            </w:r>
          </w:p>
          <w:p>
            <w:pPr>
              <w:pStyle w:val="TableText"/>
              <w:ind w:left="90" w:right="71"/>
              <w:spacing w:before="39" w:line="246" w:lineRule="auto"/>
              <w:rPr/>
            </w:pPr>
            <w:r>
              <w:rPr/>
              <w:t>三、因增值税税率降低到13%,省内水电企业非市场化交易</w:t>
            </w:r>
            <w:r>
              <w:rPr>
                <w:spacing w:val="14"/>
              </w:rPr>
              <w:t xml:space="preserve"> </w:t>
            </w:r>
            <w:r>
              <w:rPr>
                <w:spacing w:val="1"/>
              </w:rPr>
              <w:t>电量、跨省跨区外来水电和核电企业(三代核电机组除外)</w:t>
            </w:r>
          </w:p>
          <w:p>
            <w:pPr>
              <w:pStyle w:val="TableText"/>
              <w:ind w:left="11" w:right="33" w:firstLine="10"/>
              <w:spacing w:before="42" w:line="244" w:lineRule="auto"/>
              <w:rPr/>
            </w:pPr>
            <w:r>
              <w:rPr>
                <w:spacing w:val="-1"/>
              </w:rPr>
              <w:t>非市场化交易电量形成的降价空间，全部用于降低一般工商</w:t>
            </w:r>
            <w:r>
              <w:rPr>
                <w:spacing w:val="16"/>
              </w:rPr>
              <w:t xml:space="preserve"> </w:t>
            </w:r>
            <w:r>
              <w:rPr>
                <w:spacing w:val="-1"/>
              </w:rPr>
              <w:t>业电价。</w:t>
            </w:r>
          </w:p>
          <w:p>
            <w:pPr>
              <w:pStyle w:val="TableText"/>
              <w:ind w:left="31" w:right="178" w:hanging="20"/>
              <w:spacing w:before="64" w:line="244" w:lineRule="auto"/>
              <w:rPr/>
            </w:pPr>
            <w:r>
              <w:rPr/>
              <w:t>四、积极扩大一般工商业用户参与电力市场化交易的规模</w:t>
            </w:r>
            <w:r>
              <w:rPr>
                <w:spacing w:val="5"/>
              </w:rPr>
              <w:t xml:space="preserve"> </w:t>
            </w:r>
            <w:r>
              <w:rPr>
                <w:spacing w:val="-1"/>
              </w:rPr>
              <w:t>通过市场机制进一步降低用电成本。</w:t>
            </w:r>
          </w:p>
        </w:tc>
        <w:tc>
          <w:tcPr>
            <w:tcW w:w="2158" w:type="dxa"/>
            <w:vAlign w:val="top"/>
          </w:tcPr>
          <w:p>
            <w:pPr>
              <w:pStyle w:val="TableText"/>
              <w:ind w:left="54" w:right="94" w:firstLine="40"/>
              <w:spacing w:before="129" w:line="254" w:lineRule="auto"/>
              <w:jc w:val="both"/>
              <w:rPr/>
            </w:pPr>
            <w:r>
              <w:rPr/>
              <w:t>国家发展改革委《关于降低一</w:t>
            </w:r>
            <w:r>
              <w:rPr>
                <w:spacing w:val="7"/>
              </w:rPr>
              <w:t xml:space="preserve"> </w:t>
            </w:r>
            <w:r>
              <w:rPr>
                <w:spacing w:val="2"/>
              </w:rPr>
              <w:t>般工商业电价的通知》发改价</w:t>
            </w:r>
            <w:r>
              <w:rPr>
                <w:spacing w:val="7"/>
              </w:rPr>
              <w:t xml:space="preserve"> </w:t>
            </w:r>
            <w:r>
              <w:rPr>
                <w:spacing w:val="-1"/>
              </w:rPr>
              <w:t>格〔2019〕842号</w:t>
            </w:r>
          </w:p>
        </w:tc>
        <w:tc>
          <w:tcPr>
            <w:tcW w:w="909" w:type="dxa"/>
            <w:vAlign w:val="top"/>
          </w:tcPr>
          <w:p>
            <w:pPr>
              <w:pStyle w:val="TableText"/>
              <w:ind w:left="16" w:right="11" w:firstLine="20"/>
              <w:spacing w:before="119" w:line="252" w:lineRule="auto"/>
              <w:rPr/>
            </w:pPr>
            <w:r>
              <w:rPr>
                <w:spacing w:val="17"/>
                <w:w w:val="108"/>
              </w:rPr>
              <w:t>2019年7月</w:t>
            </w:r>
            <w:r>
              <w:rPr>
                <w:spacing w:val="1"/>
              </w:rPr>
              <w:t xml:space="preserve"> </w:t>
            </w:r>
            <w:r>
              <w:rPr>
                <w:spacing w:val="-4"/>
              </w:rPr>
              <w:t>1日起</w:t>
            </w:r>
          </w:p>
        </w:tc>
        <w:tc>
          <w:tcPr>
            <w:tcW w:w="829" w:type="dxa"/>
            <w:vAlign w:val="top"/>
          </w:tcPr>
          <w:p>
            <w:pPr>
              <w:pStyle w:val="TableText"/>
              <w:ind w:left="18" w:right="59"/>
              <w:spacing w:before="131" w:line="245" w:lineRule="auto"/>
              <w:rPr/>
            </w:pPr>
            <w:r>
              <w:rPr>
                <w:spacing w:val="-2"/>
              </w:rPr>
              <w:t>一般工商业</w:t>
            </w:r>
            <w:r>
              <w:rPr/>
              <w:t xml:space="preserve"> </w:t>
            </w:r>
            <w:r>
              <w:rPr>
                <w:spacing w:val="5"/>
              </w:rPr>
              <w:t>用电用户</w:t>
            </w:r>
          </w:p>
        </w:tc>
        <w:tc>
          <w:tcPr>
            <w:tcW w:w="1029" w:type="dxa"/>
            <w:vAlign w:val="top"/>
          </w:tcPr>
          <w:p>
            <w:pPr>
              <w:pStyle w:val="TableText"/>
              <w:ind w:left="208"/>
              <w:spacing w:before="130" w:line="220" w:lineRule="auto"/>
              <w:rPr/>
            </w:pPr>
            <w:r>
              <w:rPr>
                <w:spacing w:val="-2"/>
              </w:rPr>
              <w:t>行政通知</w:t>
            </w:r>
          </w:p>
        </w:tc>
        <w:tc>
          <w:tcPr>
            <w:tcW w:w="464" w:type="dxa"/>
            <w:vAlign w:val="top"/>
          </w:tcPr>
          <w:p>
            <w:pPr>
              <w:pStyle w:val="TableText"/>
              <w:ind w:left="80" w:right="64"/>
              <w:spacing w:before="109" w:line="253" w:lineRule="auto"/>
              <w:jc w:val="both"/>
              <w:rPr/>
            </w:pPr>
            <w:r>
              <w:rPr>
                <w:spacing w:val="4"/>
              </w:rPr>
              <w:t>降低</w:t>
            </w:r>
            <w:r>
              <w:rPr/>
              <w:t xml:space="preserve"> </w:t>
            </w:r>
            <w:r>
              <w:rPr>
                <w:spacing w:val="-3"/>
              </w:rPr>
              <w:t>度电</w:t>
            </w:r>
            <w:r>
              <w:rPr/>
              <w:t xml:space="preserve"> </w:t>
            </w:r>
            <w:r>
              <w:rPr>
                <w:spacing w:val="-2"/>
              </w:rPr>
              <w:t>均价</w:t>
            </w:r>
          </w:p>
        </w:tc>
      </w:tr>
      <w:tr>
        <w:trPr>
          <w:trHeight w:val="1093" w:hRule="atLeast"/>
        </w:trPr>
        <w:tc>
          <w:tcPr>
            <w:tcW w:w="284" w:type="dxa"/>
            <w:vAlign w:val="top"/>
          </w:tcPr>
          <w:p>
            <w:pPr>
              <w:spacing w:line="461" w:lineRule="auto"/>
              <w:rPr>
                <w:rFonts w:ascii="Arial"/>
                <w:sz w:val="21"/>
              </w:rPr>
            </w:pPr>
            <w:r/>
          </w:p>
          <w:p>
            <w:pPr>
              <w:pStyle w:val="TableText"/>
              <w:ind w:left="94"/>
              <w:spacing w:before="49" w:line="183" w:lineRule="auto"/>
              <w:rPr/>
            </w:pPr>
            <w:r>
              <w:rPr/>
              <w:t>3</w:t>
            </w:r>
          </w:p>
        </w:tc>
        <w:tc>
          <w:tcPr>
            <w:tcW w:w="3956" w:type="dxa"/>
            <w:vAlign w:val="top"/>
          </w:tcPr>
          <w:p>
            <w:pPr>
              <w:pStyle w:val="TableText"/>
              <w:ind w:left="170"/>
              <w:spacing w:before="144" w:line="219" w:lineRule="auto"/>
              <w:rPr/>
            </w:pPr>
            <w:r>
              <w:rPr/>
              <w:t>一、电网企业增值税税率由16%调整为13%后，省级</w:t>
            </w:r>
            <w:r>
              <w:rPr>
                <w:spacing w:val="-1"/>
              </w:rPr>
              <w:t>电网</w:t>
            </w:r>
          </w:p>
          <w:p>
            <w:pPr>
              <w:pStyle w:val="TableText"/>
              <w:ind w:left="11" w:right="33" w:firstLine="10"/>
              <w:spacing w:before="31" w:line="244" w:lineRule="auto"/>
              <w:rPr/>
            </w:pPr>
            <w:r>
              <w:rPr>
                <w:spacing w:val="-1"/>
              </w:rPr>
              <w:t>企业含税输配电价水平降低的空间全部用于降低一般工商业</w:t>
            </w:r>
            <w:r>
              <w:rPr>
                <w:spacing w:val="16"/>
              </w:rPr>
              <w:t xml:space="preserve"> </w:t>
            </w:r>
            <w:r>
              <w:rPr>
                <w:spacing w:val="-2"/>
              </w:rPr>
              <w:t>电价。</w:t>
            </w:r>
          </w:p>
        </w:tc>
        <w:tc>
          <w:tcPr>
            <w:tcW w:w="2158" w:type="dxa"/>
            <w:vAlign w:val="top"/>
          </w:tcPr>
          <w:p>
            <w:pPr>
              <w:pStyle w:val="TableText"/>
              <w:ind w:left="34" w:right="96" w:firstLine="60"/>
              <w:spacing w:before="133" w:line="261" w:lineRule="auto"/>
              <w:jc w:val="both"/>
              <w:rPr/>
            </w:pPr>
            <w:r>
              <w:rPr/>
              <w:t>国家发展改革委《关于电网企</w:t>
            </w:r>
            <w:r>
              <w:rPr>
                <w:spacing w:val="5"/>
              </w:rPr>
              <w:t xml:space="preserve"> </w:t>
            </w:r>
            <w:r>
              <w:rPr>
                <w:spacing w:val="4"/>
              </w:rPr>
              <w:t>业增值税税率调整相应降低一</w:t>
            </w:r>
            <w:r>
              <w:rPr>
                <w:spacing w:val="1"/>
              </w:rPr>
              <w:t xml:space="preserve"> </w:t>
            </w:r>
            <w:r>
              <w:rPr>
                <w:spacing w:val="4"/>
              </w:rPr>
              <w:t>般工商业电价的通知》发改价</w:t>
            </w:r>
            <w:r>
              <w:rPr>
                <w:spacing w:val="1"/>
              </w:rPr>
              <w:t xml:space="preserve"> </w:t>
            </w:r>
            <w:r>
              <w:rPr>
                <w:spacing w:val="-1"/>
              </w:rPr>
              <w:t>格〔2019〕559号</w:t>
            </w:r>
          </w:p>
        </w:tc>
        <w:tc>
          <w:tcPr>
            <w:tcW w:w="909" w:type="dxa"/>
            <w:vAlign w:val="top"/>
          </w:tcPr>
          <w:p>
            <w:pPr>
              <w:pStyle w:val="TableText"/>
              <w:ind w:left="26" w:right="11" w:firstLine="10"/>
              <w:spacing w:before="143"/>
              <w:rPr/>
            </w:pPr>
            <w:r>
              <w:rPr>
                <w:spacing w:val="16"/>
                <w:w w:val="109"/>
              </w:rPr>
              <w:t>2019年4月</w:t>
            </w:r>
            <w:r>
              <w:rPr>
                <w:spacing w:val="1"/>
              </w:rPr>
              <w:t xml:space="preserve"> </w:t>
            </w:r>
            <w:r>
              <w:rPr>
                <w:spacing w:val="-4"/>
              </w:rPr>
              <w:t>1日起</w:t>
            </w:r>
          </w:p>
        </w:tc>
        <w:tc>
          <w:tcPr>
            <w:tcW w:w="829" w:type="dxa"/>
            <w:vAlign w:val="top"/>
          </w:tcPr>
          <w:p>
            <w:pPr>
              <w:pStyle w:val="TableText"/>
              <w:ind w:left="18" w:right="59"/>
              <w:spacing w:before="135" w:line="245" w:lineRule="auto"/>
              <w:rPr/>
            </w:pPr>
            <w:r>
              <w:rPr>
                <w:spacing w:val="-2"/>
              </w:rPr>
              <w:t>一般工商业</w:t>
            </w:r>
            <w:r>
              <w:rPr/>
              <w:t xml:space="preserve"> </w:t>
            </w:r>
            <w:r>
              <w:rPr>
                <w:spacing w:val="5"/>
              </w:rPr>
              <w:t>用电用户</w:t>
            </w:r>
          </w:p>
        </w:tc>
        <w:tc>
          <w:tcPr>
            <w:tcW w:w="1029" w:type="dxa"/>
            <w:vAlign w:val="top"/>
          </w:tcPr>
          <w:p>
            <w:pPr>
              <w:pStyle w:val="TableText"/>
              <w:ind w:left="208"/>
              <w:spacing w:before="134" w:line="220" w:lineRule="auto"/>
              <w:rPr/>
            </w:pPr>
            <w:r>
              <w:rPr>
                <w:spacing w:val="-2"/>
              </w:rPr>
              <w:t>行政通知</w:t>
            </w:r>
          </w:p>
        </w:tc>
        <w:tc>
          <w:tcPr>
            <w:tcW w:w="464" w:type="dxa"/>
            <w:vAlign w:val="top"/>
          </w:tcPr>
          <w:p>
            <w:pPr>
              <w:pStyle w:val="TableText"/>
              <w:ind w:left="80" w:right="64"/>
              <w:spacing w:before="123" w:line="253" w:lineRule="auto"/>
              <w:jc w:val="both"/>
              <w:rPr/>
            </w:pPr>
            <w:r>
              <w:rPr>
                <w:spacing w:val="4"/>
              </w:rPr>
              <w:t>降低</w:t>
            </w:r>
            <w:r>
              <w:rPr/>
              <w:t xml:space="preserve"> </w:t>
            </w:r>
            <w:r>
              <w:rPr>
                <w:spacing w:val="-3"/>
              </w:rPr>
              <w:t>度电</w:t>
            </w:r>
            <w:r>
              <w:rPr/>
              <w:t xml:space="preserve"> </w:t>
            </w:r>
            <w:r>
              <w:rPr>
                <w:spacing w:val="-2"/>
              </w:rPr>
              <w:t>均价</w:t>
            </w:r>
          </w:p>
        </w:tc>
      </w:tr>
    </w:tbl>
    <w:p>
      <w:pPr>
        <w:pStyle w:val="BodyText"/>
        <w:rPr/>
      </w:pPr>
      <w:r/>
    </w:p>
    <w:p>
      <w:pPr>
        <w:sectPr>
          <w:footerReference w:type="default" r:id="rId2"/>
          <w:pgSz w:w="11910" w:h="8220"/>
          <w:pgMar w:top="400" w:right="1145" w:bottom="400" w:left="822" w:header="0" w:footer="0" w:gutter="0"/>
        </w:sectPr>
        <w:rPr/>
      </w:pPr>
    </w:p>
    <w:p>
      <w:pPr>
        <w:spacing w:before="51"/>
        <w:rPr/>
      </w:pPr>
      <w:r>
        <mc:AlternateContent xmlns:mc="http://schemas.openxmlformats.org/markup-compatibility/2006">
          <mc:Choice Requires="wps">
            <w:drawing>
              <wp:anchor distT="0" distB="0" distL="0" distR="0" simplePos="0" relativeHeight="25180160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46" name="TextBox 146"/>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8" style="position:absolute;margin-left:37.3042pt;margin-top:345.874pt;mso-position-vertical-relative:page;mso-position-horizontal-relative:page;width:13.1pt;height:12.4pt;z-index:25180160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143</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66"/>
        <w:gridCol w:w="2128"/>
        <w:gridCol w:w="909"/>
        <w:gridCol w:w="859"/>
        <w:gridCol w:w="1019"/>
        <w:gridCol w:w="464"/>
      </w:tblGrid>
      <w:tr>
        <w:trPr>
          <w:trHeight w:val="494" w:hRule="atLeast"/>
        </w:trPr>
        <w:tc>
          <w:tcPr>
            <w:tcW w:w="284" w:type="dxa"/>
            <w:vAlign w:val="top"/>
            <w:textDirection w:val="tbRlV"/>
          </w:tcPr>
          <w:p>
            <w:pPr>
              <w:pStyle w:val="TableText"/>
              <w:ind w:left="47"/>
              <w:spacing w:before="69" w:line="217" w:lineRule="auto"/>
              <w:rPr/>
            </w:pPr>
            <w:bookmarkStart w:name="bookmark7" w:id="6"/>
            <w:bookmarkEnd w:id="6"/>
            <w:r>
              <w:rPr/>
              <w:t>序</w:t>
            </w:r>
            <w:r>
              <w:rPr>
                <w:spacing w:val="16"/>
              </w:rPr>
              <w:t xml:space="preserve"> </w:t>
            </w:r>
            <w:r>
              <w:rPr/>
              <w:t>号</w:t>
            </w:r>
          </w:p>
        </w:tc>
        <w:tc>
          <w:tcPr>
            <w:tcW w:w="3966" w:type="dxa"/>
            <w:vAlign w:val="top"/>
          </w:tcPr>
          <w:p>
            <w:pPr>
              <w:pStyle w:val="TableText"/>
              <w:ind w:left="167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09" w:type="dxa"/>
            <w:vAlign w:val="top"/>
          </w:tcPr>
          <w:p>
            <w:pPr>
              <w:pStyle w:val="TableText"/>
              <w:ind w:left="14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1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1" w:line="246" w:lineRule="auto"/>
              <w:rPr/>
            </w:pPr>
            <w:r>
              <w:rPr>
                <w:spacing w:val="-3"/>
              </w:rPr>
              <w:t>政策</w:t>
            </w:r>
            <w:r>
              <w:rPr/>
              <w:t xml:space="preserve"> </w:t>
            </w:r>
            <w:r>
              <w:rPr>
                <w:spacing w:val="-4"/>
              </w:rPr>
              <w:t>形式</w:t>
            </w:r>
          </w:p>
        </w:tc>
      </w:tr>
      <w:tr>
        <w:trPr>
          <w:trHeight w:val="1078" w:hRule="atLeast"/>
        </w:trPr>
        <w:tc>
          <w:tcPr>
            <w:tcW w:w="284" w:type="dxa"/>
            <w:vAlign w:val="top"/>
          </w:tcPr>
          <w:p>
            <w:pPr>
              <w:spacing w:line="454" w:lineRule="auto"/>
              <w:rPr>
                <w:rFonts w:ascii="Arial"/>
                <w:sz w:val="21"/>
              </w:rPr>
            </w:pPr>
            <w:r/>
          </w:p>
          <w:p>
            <w:pPr>
              <w:pStyle w:val="TableText"/>
              <w:ind w:left="94"/>
              <w:spacing w:before="49" w:line="183" w:lineRule="auto"/>
              <w:rPr/>
            </w:pPr>
            <w:r>
              <w:rPr/>
              <w:t>4</w:t>
            </w:r>
          </w:p>
        </w:tc>
        <w:tc>
          <w:tcPr>
            <w:tcW w:w="3966" w:type="dxa"/>
            <w:vAlign w:val="top"/>
          </w:tcPr>
          <w:p>
            <w:pPr>
              <w:pStyle w:val="TableText"/>
              <w:ind w:left="31"/>
              <w:spacing w:before="137" w:line="218" w:lineRule="exact"/>
              <w:rPr/>
            </w:pPr>
            <w:r>
              <w:rPr>
                <w:spacing w:val="-1"/>
                <w:position w:val="5"/>
              </w:rPr>
              <w:t>一、取消电网企业部分垄断性服务收费项目</w:t>
            </w:r>
          </w:p>
          <w:p>
            <w:pPr>
              <w:pStyle w:val="TableText"/>
              <w:ind w:left="21"/>
              <w:spacing w:line="217" w:lineRule="auto"/>
              <w:rPr/>
            </w:pPr>
            <w:r>
              <w:rPr>
                <w:spacing w:val="-1"/>
              </w:rPr>
              <w:t>二、全面清理规范转供电环节不合理加价行为</w:t>
            </w:r>
          </w:p>
          <w:p>
            <w:pPr>
              <w:pStyle w:val="TableText"/>
              <w:ind w:left="11"/>
              <w:spacing w:before="44" w:line="220" w:lineRule="auto"/>
              <w:rPr/>
            </w:pPr>
            <w:r>
              <w:rPr>
                <w:spacing w:val="-1"/>
              </w:rPr>
              <w:t>三、加快落实已出台的电网清费政策。</w:t>
            </w:r>
          </w:p>
        </w:tc>
        <w:tc>
          <w:tcPr>
            <w:tcW w:w="2128" w:type="dxa"/>
            <w:vAlign w:val="top"/>
          </w:tcPr>
          <w:p>
            <w:pPr>
              <w:pStyle w:val="TableText"/>
              <w:ind w:left="34" w:right="74" w:firstLine="50"/>
              <w:spacing w:before="136" w:line="255" w:lineRule="auto"/>
              <w:jc w:val="both"/>
              <w:rPr/>
            </w:pPr>
            <w:r>
              <w:rPr/>
              <w:t>国家发展改革委《办公厅关于</w:t>
            </w:r>
            <w:r>
              <w:rPr>
                <w:spacing w:val="7"/>
              </w:rPr>
              <w:t xml:space="preserve"> </w:t>
            </w:r>
            <w:r>
              <w:rPr>
                <w:spacing w:val="3"/>
              </w:rPr>
              <w:t>清理规范电网和转供电环节收</w:t>
            </w:r>
            <w:r>
              <w:rPr>
                <w:spacing w:val="4"/>
              </w:rPr>
              <w:t xml:space="preserve"> </w:t>
            </w:r>
            <w:r>
              <w:rPr>
                <w:spacing w:val="4"/>
              </w:rPr>
              <w:t>费有关事项的通知》发改办价</w:t>
            </w:r>
            <w:r>
              <w:rPr>
                <w:spacing w:val="3"/>
              </w:rPr>
              <w:t xml:space="preserve"> </w:t>
            </w:r>
            <w:r>
              <w:rPr>
                <w:spacing w:val="-1"/>
              </w:rPr>
              <w:t>格〔2018〕787号</w:t>
            </w:r>
          </w:p>
        </w:tc>
        <w:tc>
          <w:tcPr>
            <w:tcW w:w="909" w:type="dxa"/>
            <w:vAlign w:val="top"/>
          </w:tcPr>
          <w:p>
            <w:pPr>
              <w:pStyle w:val="TableText"/>
              <w:ind w:left="36" w:right="11"/>
              <w:spacing w:before="137" w:line="233" w:lineRule="auto"/>
              <w:rPr/>
            </w:pPr>
            <w:r>
              <w:rPr>
                <w:spacing w:val="16"/>
                <w:w w:val="109"/>
              </w:rPr>
              <w:t>2018年8月</w:t>
            </w:r>
            <w:r>
              <w:rPr>
                <w:spacing w:val="1"/>
              </w:rPr>
              <w:t xml:space="preserve"> </w:t>
            </w:r>
            <w:r>
              <w:rPr>
                <w:spacing w:val="-4"/>
              </w:rPr>
              <w:t>1日起</w:t>
            </w:r>
          </w:p>
        </w:tc>
        <w:tc>
          <w:tcPr>
            <w:tcW w:w="859" w:type="dxa"/>
            <w:vAlign w:val="top"/>
          </w:tcPr>
          <w:p>
            <w:pPr>
              <w:pStyle w:val="TableText"/>
              <w:ind w:left="48" w:right="59"/>
              <w:spacing w:before="137" w:line="227" w:lineRule="auto"/>
              <w:rPr/>
            </w:pPr>
            <w:r>
              <w:rPr>
                <w:spacing w:val="-2"/>
              </w:rPr>
              <w:t>一般工商业</w:t>
            </w:r>
            <w:r>
              <w:rPr/>
              <w:t xml:space="preserve"> </w:t>
            </w:r>
            <w:r>
              <w:rPr>
                <w:spacing w:val="5"/>
              </w:rPr>
              <w:t>用电用户</w:t>
            </w:r>
          </w:p>
        </w:tc>
        <w:tc>
          <w:tcPr>
            <w:tcW w:w="1019" w:type="dxa"/>
            <w:vAlign w:val="top"/>
          </w:tcPr>
          <w:p>
            <w:pPr>
              <w:pStyle w:val="TableText"/>
              <w:ind w:left="208"/>
              <w:spacing w:before="137" w:line="220" w:lineRule="auto"/>
              <w:rPr/>
            </w:pPr>
            <w:r>
              <w:rPr>
                <w:spacing w:val="-2"/>
              </w:rPr>
              <w:t>行政通知</w:t>
            </w:r>
          </w:p>
        </w:tc>
        <w:tc>
          <w:tcPr>
            <w:tcW w:w="464" w:type="dxa"/>
            <w:vAlign w:val="top"/>
          </w:tcPr>
          <w:p>
            <w:pPr>
              <w:pStyle w:val="TableText"/>
              <w:ind w:left="80" w:right="64"/>
              <w:spacing w:before="116" w:line="253" w:lineRule="auto"/>
              <w:jc w:val="both"/>
              <w:rPr/>
            </w:pPr>
            <w:r>
              <w:rPr>
                <w:spacing w:val="4"/>
              </w:rPr>
              <w:t>降低</w:t>
            </w:r>
            <w:r>
              <w:rPr/>
              <w:t xml:space="preserve"> </w:t>
            </w:r>
            <w:r>
              <w:rPr>
                <w:spacing w:val="-3"/>
              </w:rPr>
              <w:t>度电</w:t>
            </w:r>
            <w:r>
              <w:rPr/>
              <w:t xml:space="preserve"> </w:t>
            </w:r>
            <w:r>
              <w:rPr>
                <w:spacing w:val="-2"/>
              </w:rPr>
              <w:t>均价</w:t>
            </w:r>
          </w:p>
        </w:tc>
      </w:tr>
      <w:tr>
        <w:trPr>
          <w:trHeight w:val="1068" w:hRule="atLeast"/>
        </w:trPr>
        <w:tc>
          <w:tcPr>
            <w:tcW w:w="284" w:type="dxa"/>
            <w:vAlign w:val="top"/>
          </w:tcPr>
          <w:p>
            <w:pPr>
              <w:spacing w:line="447" w:lineRule="auto"/>
              <w:rPr>
                <w:rFonts w:ascii="Arial"/>
                <w:sz w:val="21"/>
              </w:rPr>
            </w:pPr>
            <w:r/>
          </w:p>
          <w:p>
            <w:pPr>
              <w:pStyle w:val="TableText"/>
              <w:ind w:left="94"/>
              <w:spacing w:before="48" w:line="182" w:lineRule="auto"/>
              <w:rPr/>
            </w:pPr>
            <w:r>
              <w:rPr/>
              <w:t>5</w:t>
            </w:r>
          </w:p>
        </w:tc>
        <w:tc>
          <w:tcPr>
            <w:tcW w:w="3966" w:type="dxa"/>
            <w:vAlign w:val="top"/>
          </w:tcPr>
          <w:p>
            <w:pPr>
              <w:pStyle w:val="TableText"/>
              <w:ind w:left="170"/>
              <w:spacing w:before="139" w:line="219" w:lineRule="auto"/>
              <w:rPr/>
            </w:pPr>
            <w:r>
              <w:rPr/>
              <w:t>电力行业增值税税率由17%调整到16%后，省级电网企业</w:t>
            </w:r>
          </w:p>
          <w:p>
            <w:pPr>
              <w:pStyle w:val="TableText"/>
              <w:ind w:left="11" w:right="40" w:firstLine="10"/>
              <w:spacing w:before="30" w:line="249" w:lineRule="auto"/>
              <w:rPr/>
            </w:pPr>
            <w:r>
              <w:rPr/>
              <w:t>含税输配电价水平和政府性基金及附加标准</w:t>
            </w:r>
            <w:r>
              <w:rPr>
                <w:spacing w:val="-1"/>
              </w:rPr>
              <w:t>降低、期末留抵</w:t>
            </w:r>
            <w:r>
              <w:rPr/>
              <w:t xml:space="preserve"> </w:t>
            </w:r>
            <w:r>
              <w:rPr/>
              <w:t>税额一次性退返等腾出的电价空间，全部用于降低一般工商</w:t>
            </w:r>
            <w:r>
              <w:rPr>
                <w:spacing w:val="3"/>
              </w:rPr>
              <w:t xml:space="preserve"> </w:t>
            </w:r>
            <w:r>
              <w:rPr>
                <w:spacing w:val="-1"/>
              </w:rPr>
              <w:t>业电价。</w:t>
            </w:r>
          </w:p>
        </w:tc>
        <w:tc>
          <w:tcPr>
            <w:tcW w:w="2128" w:type="dxa"/>
            <w:vAlign w:val="top"/>
          </w:tcPr>
          <w:p>
            <w:pPr>
              <w:pStyle w:val="TableText"/>
              <w:ind w:left="34" w:right="75" w:firstLine="50"/>
              <w:spacing w:before="128" w:line="255" w:lineRule="auto"/>
              <w:jc w:val="both"/>
              <w:rPr/>
            </w:pPr>
            <w:r>
              <w:rPr/>
              <w:t>国家发展改革委《关于电力行</w:t>
            </w:r>
            <w:r>
              <w:rPr>
                <w:spacing w:val="6"/>
              </w:rPr>
              <w:t xml:space="preserve"> </w:t>
            </w:r>
            <w:r>
              <w:rPr>
                <w:spacing w:val="3"/>
              </w:rPr>
              <w:t>业增值税税率调整相应降低一</w:t>
            </w:r>
            <w:r>
              <w:rPr>
                <w:spacing w:val="4"/>
              </w:rPr>
              <w:t xml:space="preserve"> </w:t>
            </w:r>
            <w:r>
              <w:rPr>
                <w:spacing w:val="3"/>
              </w:rPr>
              <w:t>般工商业电价的通知》发改价</w:t>
            </w:r>
            <w:r>
              <w:rPr>
                <w:spacing w:val="4"/>
              </w:rPr>
              <w:t xml:space="preserve"> </w:t>
            </w:r>
            <w:r>
              <w:rPr>
                <w:spacing w:val="-1"/>
              </w:rPr>
              <w:t>格〔2018〕732号</w:t>
            </w:r>
          </w:p>
        </w:tc>
        <w:tc>
          <w:tcPr>
            <w:tcW w:w="909" w:type="dxa"/>
            <w:vAlign w:val="top"/>
          </w:tcPr>
          <w:p>
            <w:pPr>
              <w:pStyle w:val="TableText"/>
              <w:ind w:left="36" w:right="1" w:hanging="10"/>
              <w:spacing w:before="118" w:line="252" w:lineRule="auto"/>
              <w:rPr/>
            </w:pPr>
            <w:r>
              <w:rPr>
                <w:spacing w:val="17"/>
                <w:w w:val="111"/>
              </w:rPr>
              <w:t>2018年5月</w:t>
            </w:r>
            <w:r>
              <w:rPr>
                <w:spacing w:val="1"/>
              </w:rPr>
              <w:t xml:space="preserve"> </w:t>
            </w:r>
            <w:r>
              <w:rPr>
                <w:spacing w:val="-4"/>
              </w:rPr>
              <w:t>1日起</w:t>
            </w:r>
          </w:p>
        </w:tc>
        <w:tc>
          <w:tcPr>
            <w:tcW w:w="859" w:type="dxa"/>
            <w:vAlign w:val="top"/>
          </w:tcPr>
          <w:p>
            <w:pPr>
              <w:pStyle w:val="TableText"/>
              <w:ind w:left="38" w:right="59" w:firstLine="10"/>
              <w:spacing w:before="130" w:line="239" w:lineRule="auto"/>
              <w:rPr/>
            </w:pPr>
            <w:r>
              <w:rPr>
                <w:spacing w:val="-2"/>
              </w:rPr>
              <w:t>一般工商业</w:t>
            </w:r>
            <w:r>
              <w:rPr/>
              <w:t xml:space="preserve"> </w:t>
            </w:r>
            <w:r>
              <w:rPr>
                <w:spacing w:val="5"/>
              </w:rPr>
              <w:t>用电用户</w:t>
            </w:r>
          </w:p>
        </w:tc>
        <w:tc>
          <w:tcPr>
            <w:tcW w:w="1019" w:type="dxa"/>
            <w:vAlign w:val="top"/>
          </w:tcPr>
          <w:p>
            <w:pPr>
              <w:pStyle w:val="TableText"/>
              <w:ind w:left="208"/>
              <w:spacing w:before="129" w:line="220" w:lineRule="auto"/>
              <w:rPr/>
            </w:pPr>
            <w:r>
              <w:rPr>
                <w:spacing w:val="-2"/>
              </w:rPr>
              <w:t>行政通知</w:t>
            </w:r>
          </w:p>
        </w:tc>
        <w:tc>
          <w:tcPr>
            <w:tcW w:w="464" w:type="dxa"/>
            <w:vAlign w:val="top"/>
          </w:tcPr>
          <w:p>
            <w:pPr>
              <w:pStyle w:val="TableText"/>
              <w:ind w:left="80" w:right="64"/>
              <w:spacing w:before="118" w:line="249" w:lineRule="auto"/>
              <w:jc w:val="both"/>
              <w:rPr/>
            </w:pPr>
            <w:r>
              <w:rPr>
                <w:spacing w:val="4"/>
              </w:rPr>
              <w:t>降低</w:t>
            </w:r>
            <w:r>
              <w:rPr/>
              <w:t xml:space="preserve"> </w:t>
            </w:r>
            <w:r>
              <w:rPr>
                <w:spacing w:val="-3"/>
              </w:rPr>
              <w:t>度电</w:t>
            </w:r>
            <w:r>
              <w:rPr/>
              <w:t xml:space="preserve"> </w:t>
            </w:r>
            <w:r>
              <w:rPr>
                <w:spacing w:val="-2"/>
              </w:rPr>
              <w:t>均价</w:t>
            </w:r>
          </w:p>
        </w:tc>
      </w:tr>
      <w:tr>
        <w:trPr>
          <w:trHeight w:val="1078" w:hRule="atLeast"/>
        </w:trPr>
        <w:tc>
          <w:tcPr>
            <w:tcW w:w="284" w:type="dxa"/>
            <w:vAlign w:val="top"/>
          </w:tcPr>
          <w:p>
            <w:pPr>
              <w:spacing w:line="458" w:lineRule="auto"/>
              <w:rPr>
                <w:rFonts w:ascii="Arial"/>
                <w:sz w:val="21"/>
              </w:rPr>
            </w:pPr>
            <w:r/>
          </w:p>
          <w:p>
            <w:pPr>
              <w:pStyle w:val="TableText"/>
              <w:ind w:left="94"/>
              <w:spacing w:before="49" w:line="183" w:lineRule="auto"/>
              <w:rPr/>
            </w:pPr>
            <w:r>
              <w:rPr/>
              <w:t>6</w:t>
            </w:r>
          </w:p>
        </w:tc>
        <w:tc>
          <w:tcPr>
            <w:tcW w:w="3966" w:type="dxa"/>
            <w:vAlign w:val="top"/>
          </w:tcPr>
          <w:p>
            <w:pPr>
              <w:pStyle w:val="TableText"/>
              <w:ind w:left="21"/>
              <w:spacing w:before="131" w:line="220" w:lineRule="auto"/>
              <w:rPr/>
            </w:pPr>
            <w:r>
              <w:rPr>
                <w:spacing w:val="-1"/>
              </w:rPr>
              <w:t>一、全面落实已出台的电网清费政策。</w:t>
            </w:r>
          </w:p>
          <w:p>
            <w:pPr>
              <w:pStyle w:val="TableText"/>
              <w:ind w:left="21" w:right="503" w:hanging="10"/>
              <w:spacing w:before="59" w:line="246" w:lineRule="auto"/>
              <w:rPr/>
            </w:pPr>
            <w:r>
              <w:rPr>
                <w:spacing w:val="-1"/>
              </w:rPr>
              <w:t>二、推进区域电网和跨省跨区专项工程输电价格改革</w:t>
            </w:r>
            <w:r>
              <w:rPr>
                <w:spacing w:val="13"/>
              </w:rPr>
              <w:t xml:space="preserve"> </w:t>
            </w:r>
            <w:r>
              <w:rPr>
                <w:spacing w:val="-1"/>
              </w:rPr>
              <w:t>三、进一步规范和降低电网环节收费。</w:t>
            </w:r>
          </w:p>
          <w:p>
            <w:pPr>
              <w:pStyle w:val="TableText"/>
              <w:ind w:left="31"/>
              <w:spacing w:before="40" w:line="218" w:lineRule="auto"/>
              <w:rPr/>
            </w:pPr>
            <w:r>
              <w:rPr/>
              <w:t>四、临时性降低输配电价</w:t>
            </w:r>
          </w:p>
        </w:tc>
        <w:tc>
          <w:tcPr>
            <w:tcW w:w="2128" w:type="dxa"/>
            <w:vAlign w:val="top"/>
          </w:tcPr>
          <w:p>
            <w:pPr>
              <w:pStyle w:val="TableText"/>
              <w:ind w:left="34" w:right="76" w:firstLine="50"/>
              <w:spacing w:before="130" w:line="257" w:lineRule="auto"/>
              <w:jc w:val="both"/>
              <w:rPr/>
            </w:pPr>
            <w:r>
              <w:rPr/>
              <w:t>国家发展改革委关于降低一般</w:t>
            </w:r>
            <w:r>
              <w:rPr>
                <w:spacing w:val="5"/>
              </w:rPr>
              <w:t xml:space="preserve"> </w:t>
            </w:r>
            <w:r>
              <w:rPr>
                <w:spacing w:val="3"/>
              </w:rPr>
              <w:t>工商业电价有关事项的通知发</w:t>
            </w:r>
            <w:r>
              <w:rPr>
                <w:spacing w:val="2"/>
              </w:rPr>
              <w:t xml:space="preserve"> </w:t>
            </w:r>
            <w:r>
              <w:rPr>
                <w:spacing w:val="-1"/>
              </w:rPr>
              <w:t>改价格〔2018〕500号</w:t>
            </w:r>
          </w:p>
        </w:tc>
        <w:tc>
          <w:tcPr>
            <w:tcW w:w="909" w:type="dxa"/>
            <w:vAlign w:val="top"/>
          </w:tcPr>
          <w:p>
            <w:pPr>
              <w:pStyle w:val="TableText"/>
              <w:ind w:left="36" w:right="11"/>
              <w:spacing w:before="140"/>
              <w:rPr/>
            </w:pPr>
            <w:r>
              <w:rPr>
                <w:spacing w:val="16"/>
                <w:w w:val="109"/>
              </w:rPr>
              <w:t>2018年4月</w:t>
            </w:r>
            <w:r>
              <w:rPr>
                <w:spacing w:val="1"/>
              </w:rPr>
              <w:t xml:space="preserve"> </w:t>
            </w:r>
            <w:r>
              <w:rPr>
                <w:spacing w:val="-4"/>
              </w:rPr>
              <w:t>1日起</w:t>
            </w:r>
          </w:p>
        </w:tc>
        <w:tc>
          <w:tcPr>
            <w:tcW w:w="859" w:type="dxa"/>
            <w:vAlign w:val="top"/>
          </w:tcPr>
          <w:p>
            <w:pPr>
              <w:pStyle w:val="TableText"/>
              <w:ind w:left="38" w:right="59" w:firstLine="10"/>
              <w:spacing w:before="132" w:line="245" w:lineRule="auto"/>
              <w:rPr/>
            </w:pPr>
            <w:r>
              <w:rPr>
                <w:spacing w:val="-2"/>
              </w:rPr>
              <w:t>一般工商业</w:t>
            </w:r>
            <w:r>
              <w:rPr/>
              <w:t xml:space="preserve"> </w:t>
            </w:r>
            <w:r>
              <w:rPr>
                <w:spacing w:val="5"/>
              </w:rPr>
              <w:t>用电用户</w:t>
            </w:r>
          </w:p>
        </w:tc>
        <w:tc>
          <w:tcPr>
            <w:tcW w:w="1019" w:type="dxa"/>
            <w:vAlign w:val="top"/>
          </w:tcPr>
          <w:p>
            <w:pPr>
              <w:pStyle w:val="TableText"/>
              <w:ind w:left="208"/>
              <w:spacing w:before="131" w:line="220" w:lineRule="auto"/>
              <w:rPr/>
            </w:pPr>
            <w:r>
              <w:rPr>
                <w:spacing w:val="-2"/>
              </w:rPr>
              <w:t>行政通知</w:t>
            </w:r>
          </w:p>
        </w:tc>
        <w:tc>
          <w:tcPr>
            <w:tcW w:w="464" w:type="dxa"/>
            <w:vAlign w:val="top"/>
          </w:tcPr>
          <w:p>
            <w:pPr>
              <w:pStyle w:val="TableText"/>
              <w:ind w:left="80" w:right="64"/>
              <w:spacing w:before="120" w:line="257" w:lineRule="auto"/>
              <w:jc w:val="both"/>
              <w:rPr/>
            </w:pPr>
            <w:r>
              <w:rPr>
                <w:spacing w:val="4"/>
              </w:rPr>
              <w:t>降低</w:t>
            </w:r>
            <w:r>
              <w:rPr/>
              <w:t xml:space="preserve"> </w:t>
            </w:r>
            <w:r>
              <w:rPr>
                <w:spacing w:val="-3"/>
              </w:rPr>
              <w:t>度电</w:t>
            </w:r>
            <w:r>
              <w:rPr/>
              <w:t xml:space="preserve"> </w:t>
            </w:r>
            <w:r>
              <w:rPr>
                <w:spacing w:val="-2"/>
              </w:rPr>
              <w:t>均价</w:t>
            </w:r>
          </w:p>
        </w:tc>
      </w:tr>
      <w:tr>
        <w:trPr>
          <w:trHeight w:val="280" w:hRule="atLeast"/>
        </w:trPr>
        <w:tc>
          <w:tcPr>
            <w:shd w:val="clear" w:fill="DCDDDD"/>
            <w:tcW w:w="9629" w:type="dxa"/>
            <w:vAlign w:val="top"/>
            <w:gridSpan w:val="7"/>
          </w:tcPr>
          <w:p>
            <w:pPr>
              <w:pStyle w:val="TableText"/>
              <w:ind w:left="4497"/>
              <w:spacing w:before="71" w:line="221" w:lineRule="auto"/>
              <w:rPr/>
            </w:pPr>
            <w:r>
              <w:rPr>
                <w:b/>
                <w:bCs/>
                <w:spacing w:val="-4"/>
              </w:rPr>
              <w:t>二、用气</w:t>
            </w:r>
          </w:p>
        </w:tc>
      </w:tr>
      <w:tr>
        <w:trPr>
          <w:trHeight w:val="2142" w:hRule="atLeast"/>
        </w:trPr>
        <w:tc>
          <w:tcPr>
            <w:tcW w:w="28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4"/>
              <w:spacing w:before="48" w:line="184" w:lineRule="auto"/>
              <w:rPr/>
            </w:pPr>
            <w:r>
              <w:rPr/>
              <w:t>1</w:t>
            </w:r>
          </w:p>
        </w:tc>
        <w:tc>
          <w:tcPr>
            <w:tcW w:w="3966" w:type="dxa"/>
            <w:vAlign w:val="top"/>
          </w:tcPr>
          <w:p>
            <w:pPr>
              <w:pStyle w:val="TableText"/>
              <w:ind w:left="80"/>
              <w:spacing w:before="73" w:line="219" w:lineRule="auto"/>
              <w:rPr/>
            </w:pPr>
            <w:r>
              <w:rPr/>
              <w:t>(二)清理取消不合理收费</w:t>
            </w:r>
          </w:p>
          <w:p>
            <w:pPr>
              <w:pStyle w:val="TableText"/>
              <w:ind w:left="21"/>
              <w:spacing w:before="23" w:line="254" w:lineRule="auto"/>
              <w:rPr/>
            </w:pPr>
            <w:r>
              <w:rPr>
                <w:spacing w:val="-4"/>
              </w:rPr>
              <w:t>供气环节收费。取消燃气企业应通过配气价格回收成本的收  </w:t>
            </w:r>
            <w:r>
              <w:rPr>
                <w:spacing w:val="-5"/>
              </w:rPr>
              <w:t>费项目，包括；涉及建筑区划红线外市政管网资产的增压费、</w:t>
            </w:r>
            <w:r>
              <w:rPr>
                <w:spacing w:val="18"/>
                <w:w w:val="101"/>
              </w:rPr>
              <w:t xml:space="preserve"> </w:t>
            </w:r>
            <w:r>
              <w:rPr>
                <w:spacing w:val="-4"/>
              </w:rPr>
              <w:t>增容费等类似名目费用；涉及市政管网至建筑区划红线连接  </w:t>
            </w:r>
            <w:r>
              <w:rPr>
                <w:spacing w:val="-3"/>
              </w:rPr>
              <w:t>的接驳费、开通费、接线费、切线费、吹扫费、放散费等建</w:t>
            </w:r>
            <w:r>
              <w:rPr>
                <w:spacing w:val="7"/>
              </w:rPr>
              <w:t xml:space="preserve">  </w:t>
            </w:r>
            <w:r>
              <w:rPr>
                <w:spacing w:val="-4"/>
              </w:rPr>
              <w:t>设及验收接入环节费用：涉及建筑区划红线内至燃气表的设  </w:t>
            </w:r>
            <w:r>
              <w:rPr>
                <w:spacing w:val="-2"/>
              </w:rPr>
              <w:t>施维修维护、到期表具更换等费用。取消与建筑区划红线内</w:t>
            </w:r>
            <w:r>
              <w:rPr>
                <w:spacing w:val="1"/>
              </w:rPr>
              <w:t xml:space="preserve">  </w:t>
            </w:r>
            <w:r>
              <w:rPr>
                <w:spacing w:val="-4"/>
              </w:rPr>
              <w:t>燃气工程安装不相关或已纳入工程安装成本的收费项目，包  </w:t>
            </w:r>
            <w:r>
              <w:rPr>
                <w:spacing w:val="-4"/>
              </w:rPr>
              <w:t>括开口费、开户费、接口费、接入费、入网费、清管费、通  </w:t>
            </w:r>
            <w:r>
              <w:rPr>
                <w:spacing w:val="-3"/>
              </w:rPr>
              <w:t>气费、点火费等类似名目费用。</w:t>
            </w:r>
          </w:p>
        </w:tc>
        <w:tc>
          <w:tcPr>
            <w:tcW w:w="2128" w:type="dxa"/>
            <w:vAlign w:val="top"/>
          </w:tcPr>
          <w:p>
            <w:pPr>
              <w:pStyle w:val="TableText"/>
              <w:ind w:left="54" w:right="74" w:firstLine="30"/>
              <w:spacing w:before="71" w:line="246" w:lineRule="auto"/>
              <w:jc w:val="both"/>
              <w:rPr/>
            </w:pPr>
            <w:r>
              <w:rPr/>
              <w:t>国务院办公厅《转发国家发展</w:t>
            </w:r>
            <w:r>
              <w:rPr>
                <w:spacing w:val="7"/>
              </w:rPr>
              <w:t xml:space="preserve"> </w:t>
            </w:r>
            <w:r>
              <w:rPr>
                <w:spacing w:val="1"/>
              </w:rPr>
              <w:t>改革委等部门关于清理规范城</w:t>
            </w:r>
            <w:r>
              <w:rPr>
                <w:spacing w:val="4"/>
              </w:rPr>
              <w:t xml:space="preserve"> </w:t>
            </w:r>
            <w:r>
              <w:rPr>
                <w:spacing w:val="1"/>
              </w:rPr>
              <w:t>镇供水供电供气供暖行业收费</w:t>
            </w:r>
            <w:r>
              <w:rPr>
                <w:spacing w:val="10"/>
              </w:rPr>
              <w:t xml:space="preserve"> </w:t>
            </w:r>
            <w:r>
              <w:rPr>
                <w:spacing w:val="1"/>
              </w:rPr>
              <w:t>促进行业高质量发展意见的通</w:t>
            </w:r>
            <w:r>
              <w:rPr>
                <w:spacing w:val="9"/>
              </w:rPr>
              <w:t xml:space="preserve"> </w:t>
            </w:r>
            <w:r>
              <w:rPr>
                <w:spacing w:val="-1"/>
              </w:rPr>
              <w:t>知》国办函〔2020〕129号</w:t>
            </w:r>
          </w:p>
        </w:tc>
        <w:tc>
          <w:tcPr>
            <w:tcW w:w="909" w:type="dxa"/>
            <w:vAlign w:val="top"/>
          </w:tcPr>
          <w:p>
            <w:pPr>
              <w:pStyle w:val="TableText"/>
              <w:ind w:left="16" w:right="22" w:firstLine="10"/>
              <w:spacing w:before="72" w:line="238" w:lineRule="auto"/>
              <w:jc w:val="both"/>
              <w:rPr/>
            </w:pPr>
            <w:r>
              <w:rPr>
                <w:spacing w:val="22"/>
                <w:w w:val="103"/>
              </w:rPr>
              <w:t>自2021年3</w:t>
            </w:r>
            <w:r>
              <w:rPr/>
              <w:t xml:space="preserve"> </w:t>
            </w:r>
            <w:r>
              <w:rPr>
                <w:spacing w:val="-12"/>
              </w:rPr>
              <w:t>月</w:t>
            </w:r>
            <w:r>
              <w:rPr>
                <w:spacing w:val="-13"/>
              </w:rPr>
              <w:t xml:space="preserve"> </w:t>
            </w:r>
            <w:r>
              <w:rPr>
                <w:spacing w:val="-12"/>
              </w:rPr>
              <w:t>1</w:t>
            </w:r>
            <w:r>
              <w:rPr>
                <w:spacing w:val="2"/>
              </w:rPr>
              <w:t xml:space="preserve"> </w:t>
            </w:r>
            <w:r>
              <w:rPr>
                <w:spacing w:val="-12"/>
              </w:rPr>
              <w:t>日</w:t>
            </w:r>
            <w:r>
              <w:rPr>
                <w:spacing w:val="-24"/>
              </w:rPr>
              <w:t xml:space="preserve"> </w:t>
            </w:r>
            <w:r>
              <w:rPr>
                <w:spacing w:val="-12"/>
              </w:rPr>
              <w:t>起</w:t>
            </w:r>
            <w:r>
              <w:rPr>
                <w:spacing w:val="-24"/>
              </w:rPr>
              <w:t xml:space="preserve"> </w:t>
            </w:r>
            <w:r>
              <w:rPr>
                <w:spacing w:val="-12"/>
              </w:rPr>
              <w:t>施</w:t>
            </w:r>
            <w:r>
              <w:rPr/>
              <w:t xml:space="preserve"> </w:t>
            </w:r>
            <w:r>
              <w:rPr/>
              <w:t>行</w:t>
            </w:r>
          </w:p>
        </w:tc>
        <w:tc>
          <w:tcPr>
            <w:tcW w:w="859" w:type="dxa"/>
            <w:vAlign w:val="top"/>
          </w:tcPr>
          <w:p>
            <w:pPr>
              <w:pStyle w:val="TableText"/>
              <w:ind w:left="127"/>
              <w:spacing w:before="63" w:line="220" w:lineRule="auto"/>
              <w:rPr/>
            </w:pPr>
            <w:r>
              <w:rPr>
                <w:spacing w:val="5"/>
              </w:rPr>
              <w:t>燃气用户</w:t>
            </w:r>
          </w:p>
        </w:tc>
        <w:tc>
          <w:tcPr>
            <w:tcW w:w="1019" w:type="dxa"/>
            <w:vAlign w:val="top"/>
          </w:tcPr>
          <w:p>
            <w:pPr>
              <w:pStyle w:val="TableText"/>
              <w:ind w:left="208"/>
              <w:spacing w:before="43" w:line="220" w:lineRule="auto"/>
              <w:rPr/>
            </w:pPr>
            <w:r>
              <w:rPr>
                <w:spacing w:val="-2"/>
              </w:rPr>
              <w:t>行政通知</w:t>
            </w:r>
          </w:p>
        </w:tc>
        <w:tc>
          <w:tcPr>
            <w:tcW w:w="464" w:type="dxa"/>
            <w:vAlign w:val="top"/>
          </w:tcPr>
          <w:p>
            <w:pPr>
              <w:pStyle w:val="TableText"/>
              <w:ind w:left="80" w:right="59"/>
              <w:spacing w:before="53" w:line="252" w:lineRule="auto"/>
              <w:jc w:val="both"/>
              <w:rPr/>
            </w:pPr>
            <w:r>
              <w:rPr>
                <w:spacing w:val="-3"/>
              </w:rPr>
              <w:t>清理</w:t>
            </w:r>
            <w:r>
              <w:rPr/>
              <w:t xml:space="preserve"> </w:t>
            </w:r>
            <w:r>
              <w:rPr>
                <w:spacing w:val="7"/>
              </w:rPr>
              <w:t>取消</w:t>
            </w:r>
            <w:r>
              <w:rPr/>
              <w:t xml:space="preserve"> </w:t>
            </w:r>
            <w:r>
              <w:rPr>
                <w:spacing w:val="-4"/>
              </w:rPr>
              <w:t>燃气</w:t>
            </w:r>
            <w:r>
              <w:rPr/>
              <w:t xml:space="preserve"> </w:t>
            </w:r>
            <w:r>
              <w:rPr>
                <w:spacing w:val="-5"/>
              </w:rPr>
              <w:t>不合</w:t>
            </w:r>
            <w:r>
              <w:rPr/>
              <w:t xml:space="preserve"> </w:t>
            </w:r>
            <w:r>
              <w:rPr>
                <w:spacing w:val="-4"/>
              </w:rPr>
              <w:t>理收</w:t>
            </w:r>
            <w:r>
              <w:rPr/>
              <w:t xml:space="preserve"> </w:t>
            </w:r>
            <w:r>
              <w:rPr>
                <w:spacing w:val="18"/>
                <w:w w:val="125"/>
              </w:rPr>
              <w:t>费</w:t>
            </w:r>
          </w:p>
        </w:tc>
      </w:tr>
    </w:tbl>
    <w:p>
      <w:pPr>
        <w:pStyle w:val="BodyText"/>
        <w:rPr/>
      </w:pPr>
      <w:r/>
    </w:p>
    <w:p>
      <w:pPr>
        <w:sectPr>
          <w:pgSz w:w="11910" w:h="8220"/>
          <w:pgMar w:top="400" w:right="114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802624" behindDoc="0" locked="0" layoutInCell="0" allowOverlap="1">
                <wp:simplePos x="0" y="0"/>
                <wp:positionH relativeFrom="page">
                  <wp:posOffset>474169</wp:posOffset>
                </wp:positionH>
                <wp:positionV relativeFrom="page">
                  <wp:posOffset>626619</wp:posOffset>
                </wp:positionV>
                <wp:extent cx="166370" cy="158114"/>
                <wp:effectExtent l="0" t="0" r="0" b="0"/>
                <wp:wrapNone/>
                <wp:docPr id="148" name="TextBox 148"/>
                <wp:cNvGraphicFramePr/>
                <a:graphic>
                  <a:graphicData uri="http://schemas.microsoft.com/office/word/2010/wordprocessingShape">
                    <wps:wsp>
                      <wps:cNvSpPr txBox="1"/>
                      <wps:spPr>
                        <a:xfrm rot="5400000">
                          <a:off x="474169" y="626619"/>
                          <a:ext cx="16637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144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0" style="position:absolute;margin-left:37.3362pt;margin-top:49.3401pt;mso-position-vertical-relative:page;mso-position-horizontal-relative:page;width:13.1pt;height:12.45pt;z-index:251802624;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5"/>
                        </w:rPr>
                        <w:t>144</w:t>
                      </w:r>
                    </w:p>
                  </w:txbxContent>
                </v:textbox>
              </v:shape>
            </w:pict>
          </mc:Fallback>
        </mc:AlternateContent>
      </w:r>
      <w:r/>
    </w:p>
    <w:p>
      <w:pPr>
        <w:spacing w:before="46"/>
        <w:rPr/>
      </w:pPr>
      <w:r/>
    </w:p>
    <w:tbl>
      <w:tblPr>
        <w:tblStyle w:val="TableNormal"/>
        <w:tblW w:w="9639" w:type="dxa"/>
        <w:tblInd w:w="29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76"/>
        <w:gridCol w:w="2148"/>
        <w:gridCol w:w="889"/>
        <w:gridCol w:w="849"/>
        <w:gridCol w:w="1029"/>
        <w:gridCol w:w="464"/>
      </w:tblGrid>
      <w:tr>
        <w:trPr>
          <w:trHeight w:val="514" w:hRule="atLeast"/>
        </w:trPr>
        <w:tc>
          <w:tcPr>
            <w:tcW w:w="284" w:type="dxa"/>
            <w:vAlign w:val="top"/>
            <w:textDirection w:val="tbRlV"/>
          </w:tcPr>
          <w:p>
            <w:pPr>
              <w:pStyle w:val="TableText"/>
              <w:ind w:left="67"/>
              <w:spacing w:before="69" w:line="217" w:lineRule="auto"/>
              <w:rPr/>
            </w:pPr>
            <w:r>
              <w:rPr>
                <w:spacing w:val="-2"/>
              </w:rPr>
              <w:t>序 号</w:t>
            </w:r>
          </w:p>
        </w:tc>
        <w:tc>
          <w:tcPr>
            <w:tcW w:w="3976" w:type="dxa"/>
            <w:vAlign w:val="top"/>
          </w:tcPr>
          <w:p>
            <w:pPr>
              <w:pStyle w:val="TableText"/>
              <w:ind w:left="1681"/>
              <w:spacing w:before="181" w:line="219" w:lineRule="auto"/>
              <w:rPr/>
            </w:pPr>
            <w:r>
              <w:rPr>
                <w:spacing w:val="-2"/>
              </w:rPr>
              <w:t>主要内容</w:t>
            </w:r>
          </w:p>
        </w:tc>
        <w:tc>
          <w:tcPr>
            <w:tcW w:w="2148" w:type="dxa"/>
            <w:vAlign w:val="top"/>
          </w:tcPr>
          <w:p>
            <w:pPr>
              <w:pStyle w:val="TableText"/>
              <w:ind w:left="764"/>
              <w:spacing w:before="180" w:line="219" w:lineRule="auto"/>
              <w:rPr/>
            </w:pPr>
            <w:r>
              <w:rPr>
                <w:spacing w:val="-1"/>
              </w:rPr>
              <w:t>政策依据</w:t>
            </w:r>
          </w:p>
        </w:tc>
        <w:tc>
          <w:tcPr>
            <w:tcW w:w="889" w:type="dxa"/>
            <w:vAlign w:val="top"/>
          </w:tcPr>
          <w:p>
            <w:pPr>
              <w:pStyle w:val="TableText"/>
              <w:ind w:left="147"/>
              <w:spacing w:before="181" w:line="219" w:lineRule="auto"/>
              <w:rPr/>
            </w:pPr>
            <w:r>
              <w:rPr>
                <w:spacing w:val="3"/>
              </w:rPr>
              <w:t>执行时间</w:t>
            </w:r>
          </w:p>
        </w:tc>
        <w:tc>
          <w:tcPr>
            <w:tcW w:w="849" w:type="dxa"/>
            <w:vAlign w:val="top"/>
          </w:tcPr>
          <w:p>
            <w:pPr>
              <w:pStyle w:val="TableText"/>
              <w:ind w:left="267" w:right="133" w:hanging="150"/>
              <w:spacing w:before="8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1" w:line="246" w:lineRule="auto"/>
              <w:rPr/>
            </w:pPr>
            <w:r>
              <w:rPr>
                <w:spacing w:val="-3"/>
              </w:rPr>
              <w:t>政策</w:t>
            </w:r>
            <w:r>
              <w:rPr/>
              <w:t xml:space="preserve"> </w:t>
            </w:r>
            <w:r>
              <w:rPr>
                <w:spacing w:val="-4"/>
              </w:rPr>
              <w:t>形式</w:t>
            </w:r>
          </w:p>
        </w:tc>
      </w:tr>
      <w:tr>
        <w:trPr>
          <w:trHeight w:val="1867" w:hRule="atLeast"/>
        </w:trPr>
        <w:tc>
          <w:tcPr>
            <w:tcW w:w="284"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94"/>
              <w:spacing w:before="49" w:line="183" w:lineRule="auto"/>
              <w:rPr/>
            </w:pPr>
            <w:r>
              <w:rPr/>
              <w:t>2</w:t>
            </w:r>
          </w:p>
        </w:tc>
        <w:tc>
          <w:tcPr>
            <w:tcW w:w="3976" w:type="dxa"/>
            <w:vAlign w:val="top"/>
          </w:tcPr>
          <w:p>
            <w:pPr>
              <w:pStyle w:val="TableText"/>
              <w:ind w:left="31" w:right="339" w:firstLine="10"/>
              <w:spacing w:before="96" w:line="244" w:lineRule="auto"/>
              <w:rPr/>
            </w:pPr>
            <w:r>
              <w:rPr>
                <w:spacing w:val="-1"/>
              </w:rPr>
              <w:t>一、根据增值税税率调整情况，决定自2019年4月1日起</w:t>
            </w:r>
            <w:r>
              <w:rPr>
                <w:spacing w:val="11"/>
              </w:rPr>
              <w:t xml:space="preserve"> </w:t>
            </w:r>
            <w:r>
              <w:rPr>
                <w:spacing w:val="-1"/>
              </w:rPr>
              <w:t>调整各省(区、市)天然气基准门站价格</w:t>
            </w:r>
          </w:p>
          <w:p>
            <w:pPr>
              <w:pStyle w:val="TableText"/>
              <w:ind w:left="21" w:right="42" w:firstLine="10"/>
              <w:spacing w:before="43" w:line="246" w:lineRule="auto"/>
              <w:jc w:val="both"/>
              <w:rPr/>
            </w:pPr>
            <w:r>
              <w:rPr>
                <w:spacing w:val="-1"/>
              </w:rPr>
              <w:t>二、天然气生产供应企业在与用户协商确定具体价格时，要</w:t>
            </w:r>
            <w:r>
              <w:rPr>
                <w:spacing w:val="16"/>
              </w:rPr>
              <w:t xml:space="preserve"> </w:t>
            </w:r>
            <w:r>
              <w:rPr/>
              <w:t>充分考虑增值税率降低因素，将增值税率降低的好处让利于</w:t>
            </w:r>
            <w:r>
              <w:rPr>
                <w:spacing w:val="1"/>
              </w:rPr>
              <w:t xml:space="preserve"> </w:t>
            </w:r>
            <w:r>
              <w:rPr>
                <w:spacing w:val="-2"/>
              </w:rPr>
              <w:t>用户。</w:t>
            </w:r>
          </w:p>
          <w:p>
            <w:pPr>
              <w:pStyle w:val="TableText"/>
              <w:ind w:left="21" w:right="40" w:firstLine="10"/>
              <w:spacing w:before="60" w:line="246" w:lineRule="auto"/>
              <w:jc w:val="both"/>
              <w:rPr/>
            </w:pPr>
            <w:r>
              <w:rPr/>
              <w:t>三、请各地价格主管部门在安排天然气销售</w:t>
            </w:r>
            <w:r>
              <w:rPr>
                <w:spacing w:val="-1"/>
              </w:rPr>
              <w:t>价格时，统筹考</w:t>
            </w:r>
            <w:r>
              <w:rPr/>
              <w:t xml:space="preserve"> </w:t>
            </w:r>
            <w:r>
              <w:rPr/>
              <w:t>虑增值税率降低因素，切实将增值税改革的红利全部让利于</w:t>
            </w:r>
            <w:r>
              <w:rPr>
                <w:spacing w:val="3"/>
              </w:rPr>
              <w:t xml:space="preserve"> </w:t>
            </w:r>
            <w:r>
              <w:rPr>
                <w:spacing w:val="-2"/>
              </w:rPr>
              <w:t>用户。</w:t>
            </w:r>
          </w:p>
        </w:tc>
        <w:tc>
          <w:tcPr>
            <w:tcW w:w="2148" w:type="dxa"/>
            <w:vAlign w:val="top"/>
          </w:tcPr>
          <w:p>
            <w:pPr>
              <w:pStyle w:val="TableText"/>
              <w:ind w:left="44" w:right="85" w:firstLine="50"/>
              <w:spacing w:before="96" w:line="249" w:lineRule="auto"/>
              <w:jc w:val="both"/>
              <w:rPr/>
            </w:pPr>
            <w:r>
              <w:rPr/>
              <w:t>国家发展改革委《关于调整天</w:t>
            </w:r>
            <w:r>
              <w:rPr>
                <w:spacing w:val="6"/>
              </w:rPr>
              <w:t xml:space="preserve"> </w:t>
            </w:r>
            <w:r>
              <w:rPr>
                <w:spacing w:val="3"/>
              </w:rPr>
              <w:t>然气基准门站价格的通知》发 </w:t>
            </w:r>
            <w:r>
              <w:rPr>
                <w:spacing w:val="-1"/>
              </w:rPr>
              <w:t>改价格规〔2019〕562号</w:t>
            </w:r>
          </w:p>
        </w:tc>
        <w:tc>
          <w:tcPr>
            <w:tcW w:w="889" w:type="dxa"/>
            <w:vAlign w:val="top"/>
          </w:tcPr>
          <w:p>
            <w:pPr>
              <w:pStyle w:val="TableText"/>
              <w:ind w:left="16" w:right="21" w:firstLine="10"/>
              <w:spacing w:before="96"/>
              <w:rPr/>
            </w:pPr>
            <w:r>
              <w:rPr>
                <w:spacing w:val="22"/>
              </w:rPr>
              <w:t>2019年4月</w:t>
            </w:r>
            <w:r>
              <w:rPr/>
              <w:t xml:space="preserve"> </w:t>
            </w:r>
            <w:r>
              <w:rPr>
                <w:spacing w:val="-4"/>
              </w:rPr>
              <w:t>1日起</w:t>
            </w:r>
          </w:p>
        </w:tc>
        <w:tc>
          <w:tcPr>
            <w:tcW w:w="849" w:type="dxa"/>
            <w:vAlign w:val="top"/>
          </w:tcPr>
          <w:p>
            <w:pPr>
              <w:pStyle w:val="TableText"/>
              <w:ind w:left="117"/>
              <w:spacing w:before="97" w:line="220" w:lineRule="auto"/>
              <w:rPr/>
            </w:pPr>
            <w:r>
              <w:rPr>
                <w:spacing w:val="-2"/>
              </w:rPr>
              <w:t>相关企业</w:t>
            </w:r>
          </w:p>
        </w:tc>
        <w:tc>
          <w:tcPr>
            <w:tcW w:w="1029" w:type="dxa"/>
            <w:vAlign w:val="top"/>
          </w:tcPr>
          <w:p>
            <w:pPr>
              <w:rPr>
                <w:rFonts w:ascii="Arial"/>
                <w:sz w:val="21"/>
              </w:rPr>
            </w:pPr>
            <w:r/>
          </w:p>
        </w:tc>
        <w:tc>
          <w:tcPr>
            <w:tcW w:w="464" w:type="dxa"/>
            <w:vAlign w:val="top"/>
          </w:tcPr>
          <w:p>
            <w:pPr>
              <w:pStyle w:val="TableText"/>
              <w:ind w:left="80" w:right="57"/>
              <w:spacing w:before="85" w:line="263" w:lineRule="auto"/>
              <w:jc w:val="both"/>
              <w:rPr/>
            </w:pPr>
            <w:r>
              <w:rPr>
                <w:spacing w:val="-4"/>
              </w:rPr>
              <w:t>调整</w:t>
            </w:r>
            <w:r>
              <w:rPr/>
              <w:t xml:space="preserve"> </w:t>
            </w:r>
            <w:r>
              <w:rPr>
                <w:spacing w:val="-5"/>
              </w:rPr>
              <w:t>天然</w:t>
            </w:r>
            <w:r>
              <w:rPr/>
              <w:t xml:space="preserve"> </w:t>
            </w:r>
            <w:r>
              <w:rPr>
                <w:spacing w:val="-4"/>
              </w:rPr>
              <w:t>气基</w:t>
            </w:r>
            <w:r>
              <w:rPr/>
              <w:t xml:space="preserve"> </w:t>
            </w:r>
            <w:r>
              <w:rPr>
                <w:spacing w:val="8"/>
              </w:rPr>
              <w:t>准门</w:t>
            </w:r>
            <w:r>
              <w:rPr/>
              <w:t xml:space="preserve"> </w:t>
            </w:r>
            <w:r>
              <w:rPr>
                <w:spacing w:val="-4"/>
              </w:rPr>
              <w:t>站价</w:t>
            </w:r>
            <w:r>
              <w:rPr/>
              <w:t xml:space="preserve"> </w:t>
            </w:r>
            <w:r>
              <w:rPr>
                <w:spacing w:val="-5"/>
              </w:rPr>
              <w:t>行政</w:t>
            </w:r>
            <w:r>
              <w:rPr/>
              <w:t xml:space="preserve"> </w:t>
            </w:r>
            <w:r>
              <w:rPr>
                <w:spacing w:val="-3"/>
              </w:rPr>
              <w:t>通知</w:t>
            </w:r>
            <w:r>
              <w:rPr/>
              <w:t xml:space="preserve"> </w:t>
            </w:r>
            <w:r>
              <w:rPr>
                <w:spacing w:val="22"/>
                <w:w w:val="128"/>
              </w:rPr>
              <w:t>格</w:t>
            </w:r>
          </w:p>
        </w:tc>
      </w:tr>
      <w:tr>
        <w:trPr>
          <w:trHeight w:val="1877" w:hRule="atLeast"/>
        </w:trPr>
        <w:tc>
          <w:tcPr>
            <w:tcW w:w="284"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94"/>
              <w:spacing w:before="49" w:line="183" w:lineRule="auto"/>
              <w:rPr/>
            </w:pPr>
            <w:r>
              <w:rPr/>
              <w:t>3</w:t>
            </w:r>
          </w:p>
        </w:tc>
        <w:tc>
          <w:tcPr>
            <w:tcW w:w="3976" w:type="dxa"/>
            <w:vAlign w:val="top"/>
          </w:tcPr>
          <w:p>
            <w:pPr>
              <w:pStyle w:val="TableText"/>
              <w:ind w:left="51"/>
              <w:spacing w:before="100" w:line="219" w:lineRule="auto"/>
              <w:rPr/>
            </w:pPr>
            <w:r>
              <w:rPr>
                <w:spacing w:val="-1"/>
              </w:rPr>
              <w:t>一、根据增值税税率调整情况，决定自2019年4月1日起</w:t>
            </w:r>
          </w:p>
          <w:p>
            <w:pPr>
              <w:pStyle w:val="TableText"/>
              <w:ind w:left="31" w:right="122" w:firstLine="69"/>
              <w:spacing w:before="51" w:line="244" w:lineRule="auto"/>
              <w:rPr/>
            </w:pPr>
            <w:r>
              <w:rPr>
                <w:spacing w:val="-1"/>
              </w:rPr>
              <w:t>调整中石油北京天然气管道有限公司等13家跨省管道运输</w:t>
            </w:r>
            <w:r>
              <w:rPr>
                <w:spacing w:val="17"/>
              </w:rPr>
              <w:t xml:space="preserve"> </w:t>
            </w:r>
            <w:r>
              <w:rPr>
                <w:spacing w:val="-1"/>
              </w:rPr>
              <w:t>企业管道运输价格，具体见附件</w:t>
            </w:r>
          </w:p>
          <w:p>
            <w:pPr>
              <w:pStyle w:val="TableText"/>
              <w:ind w:left="41" w:right="43" w:hanging="10"/>
              <w:spacing w:before="33" w:line="250" w:lineRule="auto"/>
              <w:rPr/>
            </w:pPr>
            <w:r>
              <w:rPr>
                <w:spacing w:val="-1"/>
              </w:rPr>
              <w:t>二、上述管道运输价格包含输气损耗等费用，管道运输企业</w:t>
            </w:r>
            <w:r>
              <w:rPr>
                <w:spacing w:val="16"/>
              </w:rPr>
              <w:t xml:space="preserve"> </w:t>
            </w:r>
            <w:r>
              <w:rPr>
                <w:spacing w:val="-1"/>
              </w:rPr>
              <w:t>不得在运输价格之外加收其它费用。</w:t>
            </w:r>
          </w:p>
          <w:p>
            <w:pPr>
              <w:pStyle w:val="TableText"/>
              <w:ind w:left="51"/>
              <w:spacing w:before="44" w:line="219" w:lineRule="auto"/>
              <w:rPr/>
            </w:pPr>
            <w:r>
              <w:rPr/>
              <w:t>三、请各省(区、市)结合增值税率调整，</w:t>
            </w:r>
            <w:r>
              <w:rPr>
                <w:spacing w:val="-1"/>
              </w:rPr>
              <w:t>尽快调整省(区</w:t>
            </w:r>
          </w:p>
          <w:p>
            <w:pPr>
              <w:pStyle w:val="TableText"/>
              <w:ind w:left="21" w:right="63" w:firstLine="40"/>
              <w:spacing w:before="40" w:line="246" w:lineRule="auto"/>
              <w:rPr/>
            </w:pPr>
            <w:r>
              <w:rPr/>
              <w:t>市)内短途天然气管道运输价格，切实将增值税改革的红利</w:t>
            </w:r>
            <w:r>
              <w:rPr>
                <w:spacing w:val="15"/>
              </w:rPr>
              <w:t xml:space="preserve"> </w:t>
            </w:r>
            <w:r>
              <w:rPr>
                <w:spacing w:val="-1"/>
              </w:rPr>
              <w:t>全部让利于用户。</w:t>
            </w:r>
          </w:p>
        </w:tc>
        <w:tc>
          <w:tcPr>
            <w:tcW w:w="2148" w:type="dxa"/>
            <w:vAlign w:val="top"/>
          </w:tcPr>
          <w:p>
            <w:pPr>
              <w:pStyle w:val="TableText"/>
              <w:ind w:left="54" w:firstLine="39"/>
              <w:spacing w:before="109" w:line="249" w:lineRule="auto"/>
              <w:jc w:val="both"/>
              <w:rPr/>
            </w:pPr>
            <w:r>
              <w:rPr/>
              <w:t>国家发展改革委《关于调整天  </w:t>
            </w:r>
            <w:r>
              <w:rPr>
                <w:spacing w:val="-2"/>
              </w:rPr>
              <w:t>然气跨省管道运输价格的通知》</w:t>
            </w:r>
            <w:r>
              <w:rPr>
                <w:spacing w:val="10"/>
              </w:rPr>
              <w:t xml:space="preserve"> </w:t>
            </w:r>
            <w:r>
              <w:rPr>
                <w:spacing w:val="-1"/>
              </w:rPr>
              <w:t>发改价格规〔2019〕561号</w:t>
            </w:r>
          </w:p>
        </w:tc>
        <w:tc>
          <w:tcPr>
            <w:tcW w:w="889" w:type="dxa"/>
            <w:vAlign w:val="top"/>
          </w:tcPr>
          <w:p>
            <w:pPr>
              <w:pStyle w:val="TableText"/>
              <w:ind w:left="16"/>
              <w:spacing w:before="100" w:line="258" w:lineRule="auto"/>
              <w:rPr/>
            </w:pPr>
            <w:r>
              <w:rPr>
                <w:spacing w:val="16"/>
                <w:w w:val="111"/>
              </w:rPr>
              <w:t>2019年4月</w:t>
            </w:r>
            <w:r>
              <w:rPr/>
              <w:t xml:space="preserve"> </w:t>
            </w:r>
            <w:r>
              <w:rPr>
                <w:spacing w:val="-5"/>
              </w:rPr>
              <w:t>1日起</w:t>
            </w:r>
          </w:p>
        </w:tc>
        <w:tc>
          <w:tcPr>
            <w:tcW w:w="849" w:type="dxa"/>
            <w:vAlign w:val="top"/>
          </w:tcPr>
          <w:p>
            <w:pPr>
              <w:pStyle w:val="TableText"/>
              <w:ind w:left="117"/>
              <w:spacing w:before="110" w:line="220" w:lineRule="auto"/>
              <w:rPr/>
            </w:pPr>
            <w:r>
              <w:rPr>
                <w:spacing w:val="-2"/>
              </w:rPr>
              <w:t>相关企业</w:t>
            </w:r>
          </w:p>
        </w:tc>
        <w:tc>
          <w:tcPr>
            <w:tcW w:w="1029" w:type="dxa"/>
            <w:vAlign w:val="top"/>
          </w:tcPr>
          <w:p>
            <w:pPr>
              <w:pStyle w:val="TableText"/>
              <w:ind w:left="208"/>
              <w:spacing w:before="110" w:line="220" w:lineRule="auto"/>
              <w:rPr/>
            </w:pPr>
            <w:r>
              <w:rPr>
                <w:spacing w:val="-2"/>
              </w:rPr>
              <w:t>行政通知</w:t>
            </w:r>
          </w:p>
        </w:tc>
        <w:tc>
          <w:tcPr>
            <w:tcW w:w="464" w:type="dxa"/>
            <w:vAlign w:val="top"/>
          </w:tcPr>
          <w:p>
            <w:pPr>
              <w:pStyle w:val="TableText"/>
              <w:ind w:left="80" w:right="79"/>
              <w:spacing w:before="99" w:line="260" w:lineRule="auto"/>
              <w:jc w:val="both"/>
              <w:rPr/>
            </w:pPr>
            <w:r>
              <w:rPr>
                <w:spacing w:val="-4"/>
              </w:rPr>
              <w:t>调整</w:t>
            </w:r>
            <w:r>
              <w:rPr/>
              <w:t xml:space="preserve"> </w:t>
            </w:r>
            <w:r>
              <w:rPr>
                <w:spacing w:val="-5"/>
              </w:rPr>
              <w:t>天然</w:t>
            </w:r>
            <w:r>
              <w:rPr/>
              <w:t xml:space="preserve"> </w:t>
            </w:r>
            <w:r>
              <w:rPr>
                <w:spacing w:val="-4"/>
              </w:rPr>
              <w:t>气跨</w:t>
            </w:r>
            <w:r>
              <w:rPr/>
              <w:t xml:space="preserve"> </w:t>
            </w:r>
            <w:r>
              <w:rPr>
                <w:spacing w:val="-5"/>
              </w:rPr>
              <w:t>省管</w:t>
            </w:r>
            <w:r>
              <w:rPr/>
              <w:t xml:space="preserve"> </w:t>
            </w:r>
            <w:r>
              <w:rPr>
                <w:spacing w:val="-3"/>
              </w:rPr>
              <w:t>道运</w:t>
            </w:r>
            <w:r>
              <w:rPr/>
              <w:t xml:space="preserve"> </w:t>
            </w:r>
            <w:r>
              <w:rPr>
                <w:spacing w:val="-3"/>
              </w:rPr>
              <w:t>输价</w:t>
            </w:r>
            <w:r>
              <w:rPr/>
              <w:t xml:space="preserve"> </w:t>
            </w:r>
            <w:r>
              <w:rPr>
                <w:spacing w:val="22"/>
                <w:w w:val="128"/>
              </w:rPr>
              <w:t>格</w:t>
            </w:r>
          </w:p>
        </w:tc>
      </w:tr>
      <w:tr>
        <w:trPr>
          <w:trHeight w:val="270" w:hRule="atLeast"/>
        </w:trPr>
        <w:tc>
          <w:tcPr>
            <w:shd w:val="clear" w:fill="DBDCDC"/>
            <w:tcW w:w="9639" w:type="dxa"/>
            <w:vAlign w:val="top"/>
            <w:gridSpan w:val="7"/>
          </w:tcPr>
          <w:p>
            <w:pPr>
              <w:pStyle w:val="TableText"/>
              <w:ind w:left="4537"/>
              <w:spacing w:before="61" w:line="221" w:lineRule="auto"/>
              <w:rPr/>
            </w:pPr>
            <w:r>
              <w:rPr>
                <w:b/>
                <w:bCs/>
                <w:spacing w:val="-3"/>
              </w:rPr>
              <w:t>三、用地</w:t>
            </w:r>
          </w:p>
        </w:tc>
      </w:tr>
      <w:tr>
        <w:trPr>
          <w:trHeight w:val="1632" w:hRule="atLeast"/>
        </w:trPr>
        <w:tc>
          <w:tcPr>
            <w:tcW w:w="284"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94"/>
              <w:spacing w:before="49" w:line="184" w:lineRule="auto"/>
              <w:rPr/>
            </w:pPr>
            <w:r>
              <w:rPr/>
              <w:t>1</w:t>
            </w:r>
          </w:p>
        </w:tc>
        <w:tc>
          <w:tcPr>
            <w:tcW w:w="3976" w:type="dxa"/>
            <w:vAlign w:val="top"/>
          </w:tcPr>
          <w:p>
            <w:pPr>
              <w:pStyle w:val="TableText"/>
              <w:ind w:left="51" w:right="2" w:hanging="20"/>
              <w:spacing w:before="73" w:line="251" w:lineRule="auto"/>
              <w:rPr/>
            </w:pPr>
            <w:r>
              <w:rPr>
                <w:spacing w:val="1"/>
              </w:rPr>
              <w:t>二、进一步强化政策执行，确保应减快减、应减尽减。(一)</w:t>
            </w:r>
            <w:r>
              <w:rPr>
                <w:spacing w:val="4"/>
              </w:rPr>
              <w:t xml:space="preserve"> </w:t>
            </w:r>
            <w:r>
              <w:rPr>
                <w:spacing w:val="-1"/>
              </w:rPr>
              <w:t>各中央企业要在11月底前全面完成普遍减免3个月租金的</w:t>
            </w:r>
          </w:p>
          <w:p>
            <w:pPr>
              <w:pStyle w:val="TableText"/>
              <w:ind w:left="41" w:right="54" w:firstLine="20"/>
              <w:spacing w:before="41" w:line="245" w:lineRule="auto"/>
              <w:rPr/>
            </w:pPr>
            <w:r>
              <w:rPr>
                <w:spacing w:val="1"/>
              </w:rPr>
              <w:t>任务，所在县级行政区域出现疫情中高风险地区后2个</w:t>
            </w:r>
            <w:r>
              <w:rPr/>
              <w:t>月内 </w:t>
            </w:r>
            <w:r>
              <w:rPr/>
              <w:t>完成补充减免3个月租金任务，并于2022</w:t>
            </w:r>
            <w:r>
              <w:rPr>
                <w:spacing w:val="-1"/>
              </w:rPr>
              <w:t>年12月10日前</w:t>
            </w:r>
          </w:p>
          <w:p>
            <w:pPr>
              <w:pStyle w:val="TableText"/>
              <w:ind w:left="100" w:hanging="39"/>
              <w:spacing w:before="40" w:line="245" w:lineRule="auto"/>
              <w:rPr/>
            </w:pPr>
            <w:r>
              <w:rPr/>
              <w:t>向国务院国资委财务监管与运行评价局报送减租工作总结。</w:t>
            </w:r>
            <w:r>
              <w:rPr>
                <w:spacing w:val="3"/>
              </w:rPr>
              <w:t xml:space="preserve"> </w:t>
            </w:r>
            <w:r>
              <w:rPr/>
              <w:t>(二)养老服务机构和托育服务机构属于中小微企业和个体</w:t>
            </w:r>
          </w:p>
          <w:p>
            <w:pPr>
              <w:pStyle w:val="TableText"/>
              <w:spacing w:before="43" w:line="219" w:lineRule="auto"/>
              <w:jc w:val="right"/>
              <w:rPr/>
            </w:pPr>
            <w:r>
              <w:rPr>
                <w:spacing w:val="-3"/>
              </w:rPr>
              <w:t>工商户范畴、承租国有房屋的，</w:t>
            </w:r>
            <w:r>
              <w:rPr>
                <w:spacing w:val="42"/>
                <w:w w:val="101"/>
              </w:rPr>
              <w:t xml:space="preserve"> </w:t>
            </w:r>
            <w:r>
              <w:rPr>
                <w:spacing w:val="-3"/>
              </w:rPr>
              <w:t>一律免除租金到2022年底”</w:t>
            </w:r>
          </w:p>
        </w:tc>
        <w:tc>
          <w:tcPr>
            <w:tcW w:w="2148" w:type="dxa"/>
            <w:vAlign w:val="top"/>
          </w:tcPr>
          <w:p>
            <w:pPr>
              <w:pStyle w:val="TableText"/>
              <w:ind w:left="95" w:right="85"/>
              <w:spacing w:before="73" w:line="250" w:lineRule="auto"/>
              <w:jc w:val="both"/>
              <w:rPr/>
            </w:pPr>
            <w:r>
              <w:rPr/>
              <w:t>国务院国资委《关于进一步做</w:t>
            </w:r>
            <w:r>
              <w:rPr>
                <w:spacing w:val="6"/>
              </w:rPr>
              <w:t xml:space="preserve"> </w:t>
            </w:r>
            <w:r>
              <w:rPr>
                <w:spacing w:val="-1"/>
              </w:rPr>
              <w:t>好2022年服务业小微企业和个</w:t>
            </w:r>
            <w:r>
              <w:rPr>
                <w:spacing w:val="8"/>
              </w:rPr>
              <w:t xml:space="preserve"> </w:t>
            </w:r>
            <w:r>
              <w:rPr>
                <w:spacing w:val="-1"/>
              </w:rPr>
              <w:t>体工商户房屋租金减免工作的</w:t>
            </w:r>
          </w:p>
          <w:p>
            <w:pPr>
              <w:pStyle w:val="TableText"/>
              <w:ind w:left="24" w:right="123" w:firstLine="100"/>
              <w:spacing w:before="70" w:line="228" w:lineRule="auto"/>
              <w:rPr/>
            </w:pPr>
            <w:r>
              <w:rPr/>
              <w:t>通知》国资厅财评[2022]253</w:t>
            </w:r>
            <w:r>
              <w:rPr>
                <w:spacing w:val="13"/>
              </w:rPr>
              <w:t xml:space="preserve"> </w:t>
            </w:r>
            <w:r>
              <w:rPr/>
              <w:t>号</w:t>
            </w:r>
          </w:p>
        </w:tc>
        <w:tc>
          <w:tcPr>
            <w:tcW w:w="889" w:type="dxa"/>
            <w:vAlign w:val="top"/>
          </w:tcPr>
          <w:p>
            <w:pPr>
              <w:pStyle w:val="TableText"/>
              <w:ind w:left="16"/>
              <w:spacing w:before="73" w:line="254" w:lineRule="auto"/>
              <w:jc w:val="both"/>
              <w:rPr/>
            </w:pPr>
            <w:r>
              <w:rPr>
                <w:spacing w:val="15"/>
                <w:w w:val="112"/>
              </w:rPr>
              <w:t>2022年9月</w:t>
            </w:r>
            <w:r>
              <w:rPr/>
              <w:t xml:space="preserve"> </w:t>
            </w:r>
            <w:r>
              <w:rPr>
                <w:spacing w:val="-15"/>
              </w:rPr>
              <w:t>2</w:t>
            </w:r>
            <w:r>
              <w:rPr>
                <w:spacing w:val="-26"/>
              </w:rPr>
              <w:t xml:space="preserve"> </w:t>
            </w:r>
            <w:r>
              <w:rPr>
                <w:spacing w:val="-15"/>
              </w:rPr>
              <w:t>6 日 (</w:t>
            </w:r>
            <w:r>
              <w:rPr>
                <w:spacing w:val="-33"/>
              </w:rPr>
              <w:t xml:space="preserve"> </w:t>
            </w:r>
            <w:r>
              <w:rPr>
                <w:spacing w:val="-15"/>
              </w:rPr>
              <w:t>文</w:t>
            </w:r>
            <w:r>
              <w:rPr>
                <w:spacing w:val="-34"/>
              </w:rPr>
              <w:t xml:space="preserve"> </w:t>
            </w:r>
            <w:r>
              <w:rPr>
                <w:spacing w:val="-15"/>
              </w:rPr>
              <w:t>件</w:t>
            </w:r>
            <w:r>
              <w:rPr/>
              <w:t xml:space="preserve"> </w:t>
            </w:r>
            <w:r>
              <w:rPr>
                <w:spacing w:val="2"/>
              </w:rPr>
              <w:t>签发时间</w:t>
            </w:r>
          </w:p>
        </w:tc>
        <w:tc>
          <w:tcPr>
            <w:tcW w:w="849" w:type="dxa"/>
            <w:vAlign w:val="top"/>
          </w:tcPr>
          <w:p>
            <w:pPr>
              <w:pStyle w:val="TableText"/>
              <w:ind w:left="48" w:right="20"/>
              <w:spacing w:before="93" w:line="245" w:lineRule="auto"/>
              <w:rPr/>
            </w:pPr>
            <w:r>
              <w:rPr>
                <w:spacing w:val="2"/>
              </w:rPr>
              <w:t>小微企业和</w:t>
            </w:r>
            <w:r>
              <w:rPr>
                <w:spacing w:val="1"/>
              </w:rPr>
              <w:t xml:space="preserve"> </w:t>
            </w:r>
            <w:r>
              <w:rPr>
                <w:spacing w:val="4"/>
              </w:rPr>
              <w:t>个体工商户</w:t>
            </w:r>
          </w:p>
        </w:tc>
        <w:tc>
          <w:tcPr>
            <w:tcW w:w="1029" w:type="dxa"/>
            <w:vAlign w:val="top"/>
          </w:tcPr>
          <w:p>
            <w:pPr>
              <w:pStyle w:val="TableText"/>
              <w:ind w:left="208"/>
              <w:spacing w:before="93" w:line="220" w:lineRule="auto"/>
              <w:rPr/>
            </w:pPr>
            <w:r>
              <w:rPr>
                <w:spacing w:val="-2"/>
              </w:rPr>
              <w:t>行政通知</w:t>
            </w:r>
          </w:p>
        </w:tc>
        <w:tc>
          <w:tcPr>
            <w:tcW w:w="464" w:type="dxa"/>
            <w:vAlign w:val="top"/>
          </w:tcPr>
          <w:p>
            <w:pPr>
              <w:pStyle w:val="TableText"/>
              <w:ind w:left="80" w:right="79"/>
              <w:spacing w:before="93" w:line="246" w:lineRule="auto"/>
              <w:rPr/>
            </w:pPr>
            <w:r>
              <w:rPr>
                <w:spacing w:val="-3"/>
              </w:rPr>
              <w:t>减免</w:t>
            </w:r>
            <w:r>
              <w:rPr/>
              <w:t xml:space="preserve"> </w:t>
            </w:r>
            <w:r>
              <w:rPr>
                <w:spacing w:val="-4"/>
              </w:rPr>
              <w:t>租金</w:t>
            </w:r>
          </w:p>
        </w:tc>
      </w:tr>
    </w:tbl>
    <w:p>
      <w:pPr>
        <w:pStyle w:val="BodyText"/>
        <w:rPr/>
      </w:pPr>
      <w:r/>
    </w:p>
    <w:p>
      <w:pPr>
        <w:sectPr>
          <w:pgSz w:w="11910" w:h="8220"/>
          <w:pgMar w:top="400" w:right="1145" w:bottom="400" w:left="822" w:header="0" w:footer="0" w:gutter="0"/>
        </w:sectPr>
        <w:rPr/>
      </w:pPr>
    </w:p>
    <w:p>
      <w:pPr>
        <w:spacing w:before="46"/>
        <w:rPr/>
      </w:pPr>
      <w:r>
        <mc:AlternateContent xmlns:mc="http://schemas.openxmlformats.org/markup-compatibility/2006">
          <mc:Choice Requires="wps">
            <w:drawing>
              <wp:anchor distT="0" distB="0" distL="0" distR="0" simplePos="0" relativeHeight="251803648" behindDoc="0" locked="0" layoutInCell="0" allowOverlap="1">
                <wp:simplePos x="0" y="0"/>
                <wp:positionH relativeFrom="page">
                  <wp:posOffset>472594</wp:posOffset>
                </wp:positionH>
                <wp:positionV relativeFrom="page">
                  <wp:posOffset>4393771</wp:posOffset>
                </wp:positionV>
                <wp:extent cx="168910" cy="157479"/>
                <wp:effectExtent l="0" t="0" r="0" b="0"/>
                <wp:wrapNone/>
                <wp:docPr id="150" name="TextBox 150"/>
                <wp:cNvGraphicFramePr/>
                <a:graphic>
                  <a:graphicData uri="http://schemas.microsoft.com/office/word/2010/wordprocessingShape">
                    <wps:wsp>
                      <wps:cNvSpPr txBox="1"/>
                      <wps:spPr>
                        <a:xfrm rot="5400000">
                          <a:off x="472594" y="4393771"/>
                          <a:ext cx="16891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Hei" w:hAnsi="SimHei" w:eastAsia="SimHei" w:cs="SimHei"/>
                                <w:sz w:val="16"/>
                                <w:szCs w:val="16"/>
                              </w:rPr>
                            </w:pPr>
                            <w:r>
                              <w:rPr>
                                <w:rFonts w:ascii="SimHei" w:hAnsi="SimHei" w:eastAsia="SimHei" w:cs="SimHei"/>
                                <w:sz w:val="16"/>
                                <w:szCs w:val="16"/>
                                <w:spacing w:val="-4"/>
                              </w:rPr>
                              <w:t>145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2" style="position:absolute;margin-left:37.2122pt;margin-top:345.966pt;mso-position-vertical-relative:page;mso-position-horizontal-relative:page;width:13.3pt;height:12.4pt;z-index:251803648;rotation:90;" o:allowincell="f" filled="false" stroked="false" type="#_x0000_t202">
                <v:fill on="false"/>
                <v:stroke on="false"/>
                <v:path/>
                <v:imagedata o:title=""/>
                <o:lock v:ext="edit" aspectratio="false"/>
                <v:textbox inset="0mm,0mm,0mm,0mm">
                  <w:txbxContent>
                    <w:p>
                      <w:pPr>
                        <w:ind w:left="20"/>
                        <w:spacing w:before="67" w:line="184" w:lineRule="auto"/>
                        <w:rPr>
                          <w:rFonts w:ascii="SimHei" w:hAnsi="SimHei" w:eastAsia="SimHei" w:cs="SimHei"/>
                          <w:sz w:val="16"/>
                          <w:szCs w:val="16"/>
                        </w:rPr>
                      </w:pPr>
                      <w:r>
                        <w:rPr>
                          <w:rFonts w:ascii="SimHei" w:hAnsi="SimHei" w:eastAsia="SimHei" w:cs="SimHei"/>
                          <w:sz w:val="16"/>
                          <w:szCs w:val="16"/>
                          <w:spacing w:val="-4"/>
                        </w:rPr>
                        <w:t>145</w:t>
                      </w:r>
                    </w:p>
                  </w:txbxContent>
                </v:textbox>
              </v:shape>
            </w:pict>
          </mc:Fallback>
        </mc:AlternateContent>
      </w:r>
      <w:r/>
    </w:p>
    <w:p>
      <w:pPr>
        <w:spacing w:before="46"/>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86" w:type="dxa"/>
            <w:vAlign w:val="top"/>
          </w:tcPr>
          <w:p>
            <w:pPr>
              <w:pStyle w:val="TableText"/>
              <w:ind w:left="1681"/>
              <w:spacing w:before="181" w:line="219" w:lineRule="auto"/>
              <w:rPr/>
            </w:pPr>
            <w:r>
              <w:rPr>
                <w:spacing w:val="-2"/>
              </w:rPr>
              <w:t>主要内容</w:t>
            </w:r>
          </w:p>
        </w:tc>
        <w:tc>
          <w:tcPr>
            <w:tcW w:w="2128" w:type="dxa"/>
            <w:vAlign w:val="top"/>
          </w:tcPr>
          <w:p>
            <w:pPr>
              <w:pStyle w:val="TableText"/>
              <w:ind w:left="754"/>
              <w:spacing w:before="180" w:line="219" w:lineRule="auto"/>
              <w:rPr/>
            </w:pPr>
            <w:r>
              <w:rPr>
                <w:spacing w:val="-1"/>
              </w:rPr>
              <w:t>政策依据</w:t>
            </w:r>
          </w:p>
        </w:tc>
        <w:tc>
          <w:tcPr>
            <w:tcW w:w="919" w:type="dxa"/>
            <w:vAlign w:val="top"/>
          </w:tcPr>
          <w:p>
            <w:pPr>
              <w:pStyle w:val="TableText"/>
              <w:ind w:left="147"/>
              <w:spacing w:before="181" w:line="219" w:lineRule="auto"/>
              <w:rPr/>
            </w:pPr>
            <w:r>
              <w:rPr>
                <w:spacing w:val="3"/>
              </w:rPr>
              <w:t>执行时间</w:t>
            </w:r>
          </w:p>
        </w:tc>
        <w:tc>
          <w:tcPr>
            <w:tcW w:w="829" w:type="dxa"/>
            <w:vAlign w:val="top"/>
          </w:tcPr>
          <w:p>
            <w:pPr>
              <w:pStyle w:val="TableText"/>
              <w:ind w:left="257" w:right="123" w:hanging="150"/>
              <w:spacing w:before="9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2945" w:hRule="atLeast"/>
        </w:trPr>
        <w:tc>
          <w:tcPr>
            <w:tcW w:w="284"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94"/>
              <w:spacing w:before="49" w:line="183" w:lineRule="auto"/>
              <w:rPr/>
            </w:pPr>
            <w:r>
              <w:rPr/>
              <w:t>2</w:t>
            </w:r>
          </w:p>
        </w:tc>
        <w:tc>
          <w:tcPr>
            <w:tcW w:w="3986" w:type="dxa"/>
            <w:vAlign w:val="top"/>
          </w:tcPr>
          <w:p>
            <w:pPr>
              <w:pStyle w:val="TableText"/>
              <w:ind w:left="51" w:right="60" w:hanging="20"/>
              <w:spacing w:before="57" w:line="257" w:lineRule="auto"/>
              <w:rPr/>
            </w:pPr>
            <w:r>
              <w:rPr>
                <w:spacing w:val="-1"/>
              </w:rPr>
              <w:t>一、被列为疫情中高风险地区所在的县级行政区域内的服务</w:t>
            </w:r>
            <w:r>
              <w:rPr>
                <w:spacing w:val="9"/>
              </w:rPr>
              <w:t xml:space="preserve"> </w:t>
            </w:r>
            <w:r>
              <w:rPr/>
              <w:t>业小微企业和个体工商户承租国有房屋的，2</w:t>
            </w:r>
            <w:r>
              <w:rPr>
                <w:spacing w:val="-1"/>
              </w:rPr>
              <w:t>022年减免6</w:t>
            </w:r>
          </w:p>
          <w:p>
            <w:pPr>
              <w:pStyle w:val="TableText"/>
              <w:ind w:left="31"/>
              <w:spacing w:before="22" w:line="219" w:lineRule="auto"/>
              <w:rPr/>
            </w:pPr>
            <w:r>
              <w:rPr>
                <w:spacing w:val="-1"/>
              </w:rPr>
              <w:t>个月租金，其他地区减免3个月租金。</w:t>
            </w:r>
          </w:p>
          <w:p>
            <w:pPr>
              <w:pStyle w:val="TableText"/>
              <w:ind w:left="31" w:right="50"/>
              <w:spacing w:before="60" w:line="254" w:lineRule="auto"/>
              <w:jc w:val="both"/>
              <w:rPr/>
            </w:pPr>
            <w:r>
              <w:rPr>
                <w:spacing w:val="-1"/>
              </w:rPr>
              <w:t>二、对出租人减免租金的，税务部门根据地方政府有关规定</w:t>
            </w:r>
            <w:r>
              <w:rPr>
                <w:spacing w:val="16"/>
              </w:rPr>
              <w:t xml:space="preserve"> </w:t>
            </w:r>
            <w:r>
              <w:rPr/>
              <w:t>减免当年房产税、城镇土地使用税；鼓励国</w:t>
            </w:r>
            <w:r>
              <w:rPr>
                <w:spacing w:val="-1"/>
              </w:rPr>
              <w:t>有银行对减免租</w:t>
            </w:r>
            <w:r>
              <w:rPr/>
              <w:t xml:space="preserve"> </w:t>
            </w:r>
            <w:r>
              <w:rPr>
                <w:spacing w:val="-1"/>
              </w:rPr>
              <w:t>金的出租人视需要给予优惠利率质押贷款等支持</w:t>
            </w:r>
          </w:p>
          <w:p>
            <w:pPr>
              <w:pStyle w:val="TableText"/>
              <w:ind w:left="31" w:right="24" w:firstLine="79"/>
              <w:spacing w:before="41" w:line="258" w:lineRule="auto"/>
              <w:rPr/>
            </w:pPr>
            <w:r>
              <w:rPr/>
              <w:t>三、各级履行出资人职责机构(或部门)负</w:t>
            </w:r>
            <w:r>
              <w:rPr>
                <w:spacing w:val="-1"/>
              </w:rPr>
              <w:t>责督促指导所监</w:t>
            </w:r>
            <w:r>
              <w:rPr/>
              <w:t xml:space="preserve">  </w:t>
            </w:r>
            <w:r>
              <w:rPr>
                <w:spacing w:val="1"/>
              </w:rPr>
              <w:t>管国有企业落实租金减免政策。有关部门在</w:t>
            </w:r>
            <w:r>
              <w:rPr/>
              <w:t>各自职责范围内 </w:t>
            </w:r>
            <w:r>
              <w:rPr>
                <w:spacing w:val="-1"/>
              </w:rPr>
              <w:t>指导各地落实国有房屋租金减免政策。因减免租金影响国有</w:t>
            </w:r>
            <w:r>
              <w:rPr>
                <w:spacing w:val="17"/>
              </w:rPr>
              <w:t xml:space="preserve"> </w:t>
            </w:r>
            <w:r>
              <w:rPr>
                <w:spacing w:val="-1"/>
              </w:rPr>
              <w:t>企事业单位经营业绩的，在考核中根据实际情况予以认可</w:t>
            </w:r>
          </w:p>
          <w:p>
            <w:pPr>
              <w:pStyle w:val="TableText"/>
              <w:ind w:left="21" w:right="38" w:firstLine="10"/>
              <w:spacing w:before="21" w:line="258" w:lineRule="auto"/>
              <w:rPr/>
            </w:pPr>
            <w:r>
              <w:rPr/>
              <w:t>四、非国有房屋出租人对服务业小微企业和个体工商户减免</w:t>
            </w:r>
            <w:r>
              <w:rPr>
                <w:spacing w:val="5"/>
              </w:rPr>
              <w:t xml:space="preserve"> </w:t>
            </w:r>
            <w:r>
              <w:rPr/>
              <w:t>租金的，除同等享受上述政策优惠外，鼓励各地给予更大力</w:t>
            </w:r>
            <w:r>
              <w:rPr>
                <w:spacing w:val="1"/>
              </w:rPr>
              <w:t xml:space="preserve"> </w:t>
            </w:r>
            <w:r>
              <w:rPr>
                <w:spacing w:val="-1"/>
              </w:rPr>
              <w:t>度的政策优惠</w:t>
            </w:r>
          </w:p>
        </w:tc>
        <w:tc>
          <w:tcPr>
            <w:tcW w:w="2128" w:type="dxa"/>
            <w:vAlign w:val="top"/>
          </w:tcPr>
          <w:p>
            <w:pPr>
              <w:pStyle w:val="TableText"/>
              <w:ind w:left="84" w:right="53" w:hanging="40"/>
              <w:spacing w:before="76" w:line="246" w:lineRule="auto"/>
              <w:jc w:val="both"/>
              <w:rPr/>
            </w:pPr>
            <w:r>
              <w:rPr>
                <w:spacing w:val="-1"/>
              </w:rPr>
              <w:t>住房和城乡建设部等8部门《关</w:t>
            </w:r>
            <w:r>
              <w:rPr>
                <w:spacing w:val="7"/>
              </w:rPr>
              <w:t xml:space="preserve"> </w:t>
            </w:r>
            <w:r>
              <w:rPr>
                <w:spacing w:val="-1"/>
              </w:rPr>
              <w:t>于推动阶段性减免市场主体房</w:t>
            </w:r>
            <w:r>
              <w:rPr>
                <w:spacing w:val="3"/>
              </w:rPr>
              <w:t xml:space="preserve"> </w:t>
            </w:r>
            <w:r>
              <w:rPr>
                <w:spacing w:val="2"/>
              </w:rPr>
              <w:t>屋租金工作的通知》(建房〔</w:t>
            </w:r>
          </w:p>
          <w:p>
            <w:pPr>
              <w:pStyle w:val="TableText"/>
              <w:ind w:left="24"/>
              <w:spacing w:before="51" w:line="221" w:lineRule="auto"/>
              <w:rPr/>
            </w:pPr>
            <w:r>
              <w:rPr>
                <w:spacing w:val="-1"/>
              </w:rPr>
              <w:t>2022〕50号</w:t>
            </w:r>
          </w:p>
        </w:tc>
        <w:tc>
          <w:tcPr>
            <w:tcW w:w="919" w:type="dxa"/>
            <w:vAlign w:val="top"/>
          </w:tcPr>
          <w:p>
            <w:pPr>
              <w:pStyle w:val="TableText"/>
              <w:ind w:left="16" w:right="21"/>
              <w:spacing w:before="66" w:line="244" w:lineRule="auto"/>
              <w:rPr/>
            </w:pPr>
            <w:r>
              <w:rPr>
                <w:spacing w:val="15"/>
                <w:w w:val="113"/>
              </w:rPr>
              <w:t>2022年6月</w:t>
            </w:r>
            <w:r>
              <w:rPr>
                <w:spacing w:val="1"/>
              </w:rPr>
              <w:t xml:space="preserve"> </w:t>
            </w:r>
            <w:r>
              <w:rPr>
                <w:spacing w:val="9"/>
              </w:rPr>
              <w:t>21日</w:t>
            </w:r>
          </w:p>
        </w:tc>
        <w:tc>
          <w:tcPr>
            <w:tcW w:w="829" w:type="dxa"/>
            <w:vAlign w:val="top"/>
          </w:tcPr>
          <w:p>
            <w:pPr>
              <w:pStyle w:val="TableText"/>
              <w:ind w:left="38"/>
              <w:spacing w:before="97" w:line="219" w:lineRule="auto"/>
              <w:rPr/>
            </w:pPr>
            <w:r>
              <w:rPr>
                <w:spacing w:val="-1"/>
              </w:rPr>
              <w:t>被列为疫情</w:t>
            </w:r>
          </w:p>
          <w:p>
            <w:pPr>
              <w:pStyle w:val="TableText"/>
              <w:ind w:left="38"/>
              <w:spacing w:before="42" w:line="219" w:lineRule="auto"/>
              <w:rPr/>
            </w:pPr>
            <w:r>
              <w:rPr>
                <w:spacing w:val="1"/>
              </w:rPr>
              <w:t>中高风险地</w:t>
            </w:r>
          </w:p>
          <w:p>
            <w:pPr>
              <w:pStyle w:val="TableText"/>
              <w:ind w:left="38"/>
              <w:spacing w:before="42" w:line="220" w:lineRule="auto"/>
              <w:rPr/>
            </w:pPr>
            <w:r>
              <w:rPr>
                <w:spacing w:val="1"/>
              </w:rPr>
              <w:t>区所在的县</w:t>
            </w:r>
          </w:p>
          <w:p>
            <w:pPr>
              <w:pStyle w:val="TableText"/>
              <w:ind w:left="38"/>
              <w:spacing w:before="41" w:line="220" w:lineRule="auto"/>
              <w:rPr/>
            </w:pPr>
            <w:r>
              <w:rPr>
                <w:spacing w:val="-2"/>
              </w:rPr>
              <w:t>级行政区域</w:t>
            </w:r>
          </w:p>
          <w:p>
            <w:pPr>
              <w:pStyle w:val="TableText"/>
              <w:ind w:left="38"/>
              <w:spacing w:before="40" w:line="219" w:lineRule="auto"/>
              <w:rPr/>
            </w:pPr>
            <w:r>
              <w:rPr>
                <w:spacing w:val="1"/>
              </w:rPr>
              <w:t>内的服务业</w:t>
            </w:r>
          </w:p>
          <w:p>
            <w:pPr>
              <w:pStyle w:val="TableText"/>
              <w:ind w:left="38"/>
              <w:spacing w:before="42" w:line="219" w:lineRule="auto"/>
              <w:rPr/>
            </w:pPr>
            <w:r>
              <w:rPr>
                <w:spacing w:val="2"/>
              </w:rPr>
              <w:t>小微企业和</w:t>
            </w:r>
          </w:p>
          <w:p>
            <w:pPr>
              <w:pStyle w:val="TableText"/>
              <w:ind w:left="38"/>
              <w:spacing w:before="42" w:line="219" w:lineRule="auto"/>
              <w:rPr/>
            </w:pPr>
            <w:r>
              <w:rPr>
                <w:spacing w:val="4"/>
              </w:rPr>
              <w:t>个体工商户</w:t>
            </w:r>
          </w:p>
          <w:p>
            <w:pPr>
              <w:pStyle w:val="TableText"/>
              <w:ind w:left="38"/>
              <w:spacing w:before="42" w:line="219" w:lineRule="auto"/>
              <w:rPr/>
            </w:pPr>
            <w:r>
              <w:rPr>
                <w:spacing w:val="-1"/>
              </w:rPr>
              <w:t>承租国有房</w:t>
            </w:r>
          </w:p>
          <w:p>
            <w:pPr>
              <w:pStyle w:val="TableText"/>
              <w:ind w:left="258"/>
              <w:spacing w:before="22" w:line="220" w:lineRule="auto"/>
              <w:rPr/>
            </w:pPr>
            <w:r>
              <w:rPr>
                <w:spacing w:val="-2"/>
              </w:rPr>
              <w:t>屋的</w:t>
            </w:r>
          </w:p>
        </w:tc>
        <w:tc>
          <w:tcPr>
            <w:tcW w:w="1029" w:type="dxa"/>
            <w:vAlign w:val="top"/>
          </w:tcPr>
          <w:p>
            <w:pPr>
              <w:pStyle w:val="TableText"/>
              <w:ind w:left="208"/>
              <w:spacing w:before="97" w:line="220" w:lineRule="auto"/>
              <w:rPr/>
            </w:pPr>
            <w:r>
              <w:rPr>
                <w:spacing w:val="-2"/>
              </w:rPr>
              <w:t>行政通知</w:t>
            </w:r>
          </w:p>
        </w:tc>
        <w:tc>
          <w:tcPr>
            <w:tcW w:w="464" w:type="dxa"/>
            <w:vAlign w:val="top"/>
          </w:tcPr>
          <w:p>
            <w:pPr>
              <w:pStyle w:val="TableText"/>
              <w:ind w:left="80" w:right="79"/>
              <w:spacing w:before="87" w:line="246" w:lineRule="auto"/>
              <w:rPr/>
            </w:pPr>
            <w:r>
              <w:rPr>
                <w:spacing w:val="-3"/>
              </w:rPr>
              <w:t>减免</w:t>
            </w:r>
            <w:r>
              <w:rPr/>
              <w:t xml:space="preserve"> </w:t>
            </w:r>
            <w:r>
              <w:rPr>
                <w:spacing w:val="-4"/>
              </w:rPr>
              <w:t>租金</w:t>
            </w:r>
          </w:p>
        </w:tc>
      </w:tr>
      <w:tr>
        <w:trPr>
          <w:trHeight w:val="1328" w:hRule="atLeast"/>
        </w:trPr>
        <w:tc>
          <w:tcPr>
            <w:tcW w:w="284" w:type="dxa"/>
            <w:vAlign w:val="top"/>
          </w:tcPr>
          <w:p>
            <w:pPr>
              <w:spacing w:line="289" w:lineRule="auto"/>
              <w:rPr>
                <w:rFonts w:ascii="Arial"/>
                <w:sz w:val="21"/>
              </w:rPr>
            </w:pPr>
            <w:r/>
          </w:p>
          <w:p>
            <w:pPr>
              <w:spacing w:line="289" w:lineRule="auto"/>
              <w:rPr>
                <w:rFonts w:ascii="Arial"/>
                <w:sz w:val="21"/>
              </w:rPr>
            </w:pPr>
            <w:r/>
          </w:p>
          <w:p>
            <w:pPr>
              <w:pStyle w:val="TableText"/>
              <w:ind w:left="94"/>
              <w:spacing w:before="49" w:line="183" w:lineRule="auto"/>
              <w:rPr/>
            </w:pPr>
            <w:r>
              <w:rPr/>
              <w:t>3</w:t>
            </w:r>
          </w:p>
        </w:tc>
        <w:tc>
          <w:tcPr>
            <w:tcW w:w="3986" w:type="dxa"/>
            <w:vAlign w:val="top"/>
          </w:tcPr>
          <w:p>
            <w:pPr>
              <w:pStyle w:val="TableText"/>
              <w:ind w:left="41" w:right="53" w:hanging="10"/>
              <w:spacing w:before="81" w:line="227" w:lineRule="auto"/>
              <w:rPr/>
            </w:pPr>
            <w:r>
              <w:rPr>
                <w:spacing w:val="-1"/>
              </w:rPr>
              <w:t>二、切实加快减免房租，助力支持服务业小微企业和个体工</w:t>
            </w:r>
            <w:r>
              <w:rPr>
                <w:spacing w:val="16"/>
              </w:rPr>
              <w:t xml:space="preserve"> </w:t>
            </w:r>
            <w:r>
              <w:rPr>
                <w:spacing w:val="-2"/>
              </w:rPr>
              <w:t>商户渡过难关</w:t>
            </w:r>
          </w:p>
          <w:p>
            <w:pPr>
              <w:pStyle w:val="TableText"/>
              <w:ind w:left="61" w:right="94" w:firstLine="49"/>
              <w:spacing w:before="72" w:line="233" w:lineRule="auto"/>
              <w:rPr/>
            </w:pPr>
            <w:r>
              <w:rPr>
                <w:spacing w:val="1"/>
              </w:rPr>
              <w:t>认真落实《关于做好2022年服务业小微</w:t>
            </w:r>
            <w:r>
              <w:rPr/>
              <w:t>企业和个体工商户 </w:t>
            </w:r>
            <w:r>
              <w:rPr/>
              <w:t>房租减免工作的通知》(国资厅财评〔202</w:t>
            </w:r>
            <w:r>
              <w:rPr>
                <w:spacing w:val="-1"/>
              </w:rPr>
              <w:t>2〕29号，以下</w:t>
            </w:r>
          </w:p>
          <w:p>
            <w:pPr>
              <w:pStyle w:val="TableText"/>
              <w:ind w:left="21" w:right="333" w:firstLine="30"/>
              <w:spacing w:before="37" w:line="233" w:lineRule="auto"/>
              <w:rPr/>
            </w:pPr>
            <w:r>
              <w:rPr>
                <w:spacing w:val="-1"/>
              </w:rPr>
              <w:t>简称29号文件)要求，坚持“应免尽免、应免快免”,切</w:t>
            </w:r>
            <w:r>
              <w:rPr>
                <w:spacing w:val="16"/>
              </w:rPr>
              <w:t xml:space="preserve"> </w:t>
            </w:r>
            <w:r>
              <w:rPr>
                <w:spacing w:val="-1"/>
              </w:rPr>
              <w:t>实加快减免房租政策落地</w:t>
            </w:r>
          </w:p>
        </w:tc>
        <w:tc>
          <w:tcPr>
            <w:tcW w:w="2128" w:type="dxa"/>
            <w:vAlign w:val="top"/>
          </w:tcPr>
          <w:p>
            <w:pPr>
              <w:pStyle w:val="TableText"/>
              <w:ind w:left="10" w:right="66" w:firstLine="74"/>
              <w:spacing w:before="80" w:line="256" w:lineRule="auto"/>
              <w:jc w:val="both"/>
              <w:rPr/>
            </w:pPr>
            <w:r>
              <w:rPr>
                <w:spacing w:val="1"/>
              </w:rPr>
              <w:t>国资委《关于中央企业助力中</w:t>
            </w:r>
            <w:r>
              <w:rPr>
                <w:spacing w:val="2"/>
              </w:rPr>
              <w:t xml:space="preserve"> </w:t>
            </w:r>
            <w:r>
              <w:rPr>
                <w:spacing w:val="5"/>
              </w:rPr>
              <w:t>小企业纾困解难促进协同发展</w:t>
            </w:r>
            <w:r>
              <w:rPr/>
              <w:t xml:space="preserve"> </w:t>
            </w:r>
            <w:r>
              <w:rPr>
                <w:spacing w:val="5"/>
              </w:rPr>
              <w:t>有关事项的通知》国资发财评</w:t>
            </w:r>
            <w:r>
              <w:rPr>
                <w:spacing w:val="2"/>
              </w:rPr>
              <w:t xml:space="preserve"> </w:t>
            </w:r>
            <w:r>
              <w:rPr>
                <w:spacing w:val="8"/>
              </w:rPr>
              <w:t>〔2022〕40号</w:t>
            </w:r>
          </w:p>
        </w:tc>
        <w:tc>
          <w:tcPr>
            <w:tcW w:w="919" w:type="dxa"/>
            <w:vAlign w:val="top"/>
          </w:tcPr>
          <w:p>
            <w:pPr>
              <w:pStyle w:val="TableText"/>
              <w:ind w:left="16" w:right="21"/>
              <w:spacing w:before="82" w:line="254" w:lineRule="auto"/>
              <w:jc w:val="both"/>
              <w:rPr/>
            </w:pPr>
            <w:r>
              <w:rPr>
                <w:spacing w:val="15"/>
                <w:w w:val="113"/>
              </w:rPr>
              <w:t>2022年5月</w:t>
            </w:r>
            <w:r>
              <w:rPr>
                <w:spacing w:val="1"/>
              </w:rPr>
              <w:t xml:space="preserve"> </w:t>
            </w:r>
            <w:r>
              <w:rPr>
                <w:spacing w:val="-14"/>
              </w:rPr>
              <w:t>1</w:t>
            </w:r>
            <w:r>
              <w:rPr>
                <w:spacing w:val="-30"/>
              </w:rPr>
              <w:t xml:space="preserve"> </w:t>
            </w:r>
            <w:r>
              <w:rPr>
                <w:spacing w:val="-14"/>
              </w:rPr>
              <w:t>9 日</w:t>
            </w:r>
            <w:r>
              <w:rPr>
                <w:spacing w:val="-5"/>
              </w:rPr>
              <w:t xml:space="preserve"> </w:t>
            </w:r>
            <w:r>
              <w:rPr>
                <w:spacing w:val="-14"/>
              </w:rPr>
              <w:t>(</w:t>
            </w:r>
            <w:r>
              <w:rPr>
                <w:spacing w:val="-30"/>
              </w:rPr>
              <w:t xml:space="preserve"> </w:t>
            </w:r>
            <w:r>
              <w:rPr>
                <w:spacing w:val="-14"/>
              </w:rPr>
              <w:t>文</w:t>
            </w:r>
            <w:r>
              <w:rPr>
                <w:spacing w:val="-32"/>
              </w:rPr>
              <w:t xml:space="preserve"> </w:t>
            </w:r>
            <w:r>
              <w:rPr>
                <w:spacing w:val="-14"/>
              </w:rPr>
              <w:t>件</w:t>
            </w:r>
            <w:r>
              <w:rPr/>
              <w:t xml:space="preserve"> </w:t>
            </w:r>
            <w:r>
              <w:rPr>
                <w:spacing w:val="5"/>
              </w:rPr>
              <w:t>签发日期)</w:t>
            </w:r>
          </w:p>
        </w:tc>
        <w:tc>
          <w:tcPr>
            <w:tcW w:w="829" w:type="dxa"/>
            <w:vAlign w:val="top"/>
          </w:tcPr>
          <w:p>
            <w:pPr>
              <w:pStyle w:val="TableText"/>
              <w:ind w:left="257" w:right="36" w:hanging="219"/>
              <w:spacing w:before="72" w:line="249" w:lineRule="auto"/>
              <w:rPr/>
            </w:pPr>
            <w:r>
              <w:rPr>
                <w:spacing w:val="-2"/>
              </w:rPr>
              <w:t>服务业小微</w:t>
            </w:r>
            <w:r>
              <w:rPr>
                <w:spacing w:val="3"/>
              </w:rPr>
              <w:t xml:space="preserve"> </w:t>
            </w:r>
            <w:r>
              <w:rPr>
                <w:spacing w:val="-3"/>
              </w:rPr>
              <w:t>企业</w:t>
            </w:r>
          </w:p>
        </w:tc>
        <w:tc>
          <w:tcPr>
            <w:tcW w:w="1029" w:type="dxa"/>
            <w:vAlign w:val="top"/>
          </w:tcPr>
          <w:p>
            <w:pPr>
              <w:pStyle w:val="TableText"/>
              <w:ind w:left="59"/>
              <w:spacing w:before="72" w:line="219" w:lineRule="auto"/>
              <w:rPr/>
            </w:pPr>
            <w:r>
              <w:rPr>
                <w:spacing w:val="-1"/>
              </w:rPr>
              <w:t>助力中小企业</w:t>
            </w:r>
          </w:p>
        </w:tc>
        <w:tc>
          <w:tcPr>
            <w:tcW w:w="464" w:type="dxa"/>
            <w:vAlign w:val="top"/>
          </w:tcPr>
          <w:p>
            <w:pPr>
              <w:pStyle w:val="TableText"/>
              <w:ind w:left="80" w:right="58"/>
              <w:spacing w:before="63" w:line="245" w:lineRule="auto"/>
              <w:rPr/>
            </w:pPr>
            <w:r>
              <w:rPr>
                <w:spacing w:val="7"/>
              </w:rPr>
              <w:t>纾困</w:t>
            </w:r>
            <w:r>
              <w:rPr/>
              <w:t xml:space="preserve"> </w:t>
            </w:r>
            <w:r>
              <w:rPr>
                <w:spacing w:val="-2"/>
              </w:rPr>
              <w:t>解难</w:t>
            </w:r>
          </w:p>
        </w:tc>
      </w:tr>
      <w:tr>
        <w:trPr>
          <w:trHeight w:val="259" w:hRule="atLeast"/>
        </w:trPr>
        <w:tc>
          <w:tcPr>
            <w:shd w:val="clear" w:fill="DBDCDC"/>
            <w:tcW w:w="9639" w:type="dxa"/>
            <w:vAlign w:val="top"/>
            <w:gridSpan w:val="7"/>
          </w:tcPr>
          <w:p>
            <w:pPr>
              <w:pStyle w:val="TableText"/>
              <w:ind w:left="4547"/>
              <w:spacing w:before="62" w:line="219" w:lineRule="auto"/>
              <w:rPr/>
            </w:pPr>
            <w:r>
              <w:rPr>
                <w:b/>
                <w:bCs/>
                <w:spacing w:val="-1"/>
              </w:rPr>
              <w:t>四、用水</w:t>
            </w:r>
          </w:p>
        </w:tc>
      </w:tr>
      <w:tr>
        <w:trPr>
          <w:trHeight w:val="1153" w:hRule="atLeast"/>
        </w:trPr>
        <w:tc>
          <w:tcPr>
            <w:tcW w:w="284" w:type="dxa"/>
            <w:vAlign w:val="top"/>
          </w:tcPr>
          <w:p>
            <w:pPr>
              <w:spacing w:line="245" w:lineRule="auto"/>
              <w:rPr>
                <w:rFonts w:ascii="Arial"/>
                <w:sz w:val="21"/>
              </w:rPr>
            </w:pPr>
            <w:r/>
          </w:p>
          <w:p>
            <w:pPr>
              <w:spacing w:line="246" w:lineRule="auto"/>
              <w:rPr>
                <w:rFonts w:ascii="Arial"/>
                <w:sz w:val="21"/>
              </w:rPr>
            </w:pPr>
            <w:r/>
          </w:p>
          <w:p>
            <w:pPr>
              <w:pStyle w:val="TableText"/>
              <w:ind w:left="94"/>
              <w:spacing w:before="49" w:line="184" w:lineRule="auto"/>
              <w:rPr/>
            </w:pPr>
            <w:r>
              <w:rPr/>
              <w:t>1</w:t>
            </w:r>
          </w:p>
        </w:tc>
        <w:tc>
          <w:tcPr>
            <w:tcW w:w="3986" w:type="dxa"/>
            <w:vAlign w:val="top"/>
          </w:tcPr>
          <w:p>
            <w:pPr>
              <w:pStyle w:val="TableText"/>
              <w:ind w:left="31"/>
              <w:spacing w:before="75" w:line="219" w:lineRule="auto"/>
              <w:rPr/>
            </w:pPr>
            <w:r>
              <w:rPr/>
              <w:t>对受疫情影响暂时出现生产经营困难的小微</w:t>
            </w:r>
            <w:r>
              <w:rPr>
                <w:spacing w:val="-1"/>
              </w:rPr>
              <w:t>企业和个体工商</w:t>
            </w:r>
          </w:p>
          <w:p>
            <w:pPr>
              <w:pStyle w:val="TableText"/>
              <w:ind w:left="31"/>
              <w:spacing w:before="30" w:line="219" w:lineRule="auto"/>
              <w:rPr/>
            </w:pPr>
            <w:r>
              <w:rPr>
                <w:spacing w:val="-1"/>
              </w:rPr>
              <w:t>户实行用水用气“欠费不停供”政策。各地供水供气企业设</w:t>
            </w:r>
          </w:p>
          <w:p>
            <w:pPr>
              <w:pStyle w:val="TableText"/>
              <w:ind w:left="140"/>
              <w:spacing w:before="53" w:line="219" w:lineRule="auto"/>
              <w:rPr/>
            </w:pPr>
            <w:r>
              <w:rPr/>
              <w:t>立6个月费用缓缴期；费用缓缴期间，经申请审核同意后</w:t>
            </w:r>
          </w:p>
          <w:p>
            <w:pPr>
              <w:pStyle w:val="TableText"/>
              <w:ind w:left="21" w:right="50" w:firstLine="10"/>
              <w:spacing w:before="41" w:line="245" w:lineRule="auto"/>
              <w:rPr/>
            </w:pPr>
            <w:r>
              <w:rPr/>
              <w:t>减免在此期间产生的欠费违约金。对经当地</w:t>
            </w:r>
            <w:r>
              <w:rPr>
                <w:spacing w:val="-1"/>
              </w:rPr>
              <w:t>民政部门认定的</w:t>
            </w:r>
            <w:r>
              <w:rPr/>
              <w:t xml:space="preserve"> </w:t>
            </w:r>
            <w:r>
              <w:rPr>
                <w:spacing w:val="-1"/>
              </w:rPr>
              <w:t>特困人群及低保对象的家庭用水用气费用予以适当减免</w:t>
            </w:r>
          </w:p>
        </w:tc>
        <w:tc>
          <w:tcPr>
            <w:tcW w:w="2128" w:type="dxa"/>
            <w:vAlign w:val="top"/>
          </w:tcPr>
          <w:p>
            <w:pPr>
              <w:pStyle w:val="TableText"/>
              <w:ind w:left="14" w:right="88" w:firstLine="70"/>
              <w:spacing w:before="75" w:line="255" w:lineRule="auto"/>
              <w:jc w:val="both"/>
              <w:rPr/>
            </w:pPr>
            <w:r>
              <w:rPr>
                <w:spacing w:val="-1"/>
              </w:rPr>
              <w:t>住房和城乡建设部办公厅《关</w:t>
            </w:r>
            <w:r>
              <w:rPr>
                <w:spacing w:val="6"/>
              </w:rPr>
              <w:t xml:space="preserve"> </w:t>
            </w:r>
            <w:r>
              <w:rPr>
                <w:spacing w:val="4"/>
              </w:rPr>
              <w:t>于落实对小微企业和个体工商</w:t>
            </w:r>
            <w:r>
              <w:rPr>
                <w:spacing w:val="8"/>
              </w:rPr>
              <w:t xml:space="preserve"> </w:t>
            </w:r>
            <w:r>
              <w:rPr>
                <w:spacing w:val="4"/>
              </w:rPr>
              <w:t>户用水用气“欠费不停供”政</w:t>
            </w:r>
            <w:r>
              <w:rPr>
                <w:spacing w:val="10"/>
              </w:rPr>
              <w:t xml:space="preserve"> </w:t>
            </w:r>
            <w:r>
              <w:rPr>
                <w:spacing w:val="-3"/>
              </w:rPr>
              <w:t>策的通知》</w:t>
            </w:r>
          </w:p>
        </w:tc>
        <w:tc>
          <w:tcPr>
            <w:tcW w:w="919" w:type="dxa"/>
            <w:vAlign w:val="top"/>
          </w:tcPr>
          <w:p>
            <w:pPr>
              <w:pStyle w:val="TableText"/>
              <w:ind w:left="16" w:right="21"/>
              <w:spacing w:before="64" w:line="254" w:lineRule="auto"/>
              <w:rPr/>
            </w:pPr>
            <w:r>
              <w:rPr>
                <w:spacing w:val="15"/>
                <w:w w:val="113"/>
              </w:rPr>
              <w:t>2022年5月</w:t>
            </w:r>
            <w:r>
              <w:rPr>
                <w:spacing w:val="1"/>
              </w:rPr>
              <w:t xml:space="preserve"> </w:t>
            </w:r>
            <w:r>
              <w:rPr>
                <w:spacing w:val="-16"/>
              </w:rPr>
              <w:t>3</w:t>
            </w:r>
            <w:r>
              <w:rPr>
                <w:spacing w:val="-25"/>
              </w:rPr>
              <w:t xml:space="preserve"> </w:t>
            </w:r>
            <w:r>
              <w:rPr>
                <w:spacing w:val="-16"/>
              </w:rPr>
              <w:t>0</w:t>
            </w:r>
            <w:r>
              <w:rPr>
                <w:spacing w:val="-4"/>
              </w:rPr>
              <w:t xml:space="preserve"> </w:t>
            </w:r>
            <w:r>
              <w:rPr>
                <w:spacing w:val="-16"/>
              </w:rPr>
              <w:t>日</w:t>
            </w:r>
            <w:r>
              <w:rPr>
                <w:spacing w:val="-2"/>
              </w:rPr>
              <w:t xml:space="preserve"> </w:t>
            </w:r>
            <w:r>
              <w:rPr>
                <w:spacing w:val="-16"/>
              </w:rPr>
              <w:t>(</w:t>
            </w:r>
            <w:r>
              <w:rPr>
                <w:spacing w:val="-28"/>
              </w:rPr>
              <w:t xml:space="preserve"> </w:t>
            </w:r>
            <w:r>
              <w:rPr>
                <w:spacing w:val="-16"/>
              </w:rPr>
              <w:t>文</w:t>
            </w:r>
            <w:r>
              <w:rPr>
                <w:spacing w:val="-30"/>
              </w:rPr>
              <w:t xml:space="preserve"> </w:t>
            </w:r>
            <w:r>
              <w:rPr>
                <w:spacing w:val="-16"/>
              </w:rPr>
              <w:t>件</w:t>
            </w:r>
            <w:r>
              <w:rPr/>
              <w:t xml:space="preserve"> </w:t>
            </w:r>
            <w:r>
              <w:rPr>
                <w:spacing w:val="5"/>
              </w:rPr>
              <w:t>印发日期)</w:t>
            </w:r>
          </w:p>
          <w:p>
            <w:pPr>
              <w:pStyle w:val="TableText"/>
              <w:ind w:left="16"/>
              <w:spacing w:before="32" w:line="220" w:lineRule="auto"/>
              <w:rPr/>
            </w:pPr>
            <w:r>
              <w:rPr/>
              <w:t>起</w:t>
            </w:r>
          </w:p>
        </w:tc>
        <w:tc>
          <w:tcPr>
            <w:tcW w:w="829" w:type="dxa"/>
            <w:vAlign w:val="top"/>
          </w:tcPr>
          <w:p>
            <w:pPr>
              <w:pStyle w:val="TableText"/>
              <w:ind w:left="38" w:right="10"/>
              <w:spacing w:before="64" w:line="239" w:lineRule="auto"/>
              <w:rPr/>
            </w:pPr>
            <w:r>
              <w:rPr>
                <w:spacing w:val="2"/>
              </w:rPr>
              <w:t>小微企业和</w:t>
            </w:r>
            <w:r>
              <w:rPr>
                <w:spacing w:val="1"/>
              </w:rPr>
              <w:t xml:space="preserve"> </w:t>
            </w:r>
            <w:r>
              <w:rPr>
                <w:spacing w:val="4"/>
              </w:rPr>
              <w:t>个体工商户</w:t>
            </w:r>
          </w:p>
        </w:tc>
        <w:tc>
          <w:tcPr>
            <w:tcW w:w="1029" w:type="dxa"/>
            <w:vAlign w:val="top"/>
          </w:tcPr>
          <w:p>
            <w:pPr>
              <w:pStyle w:val="TableText"/>
              <w:ind w:left="138"/>
              <w:spacing w:before="54" w:line="219" w:lineRule="auto"/>
              <w:rPr/>
            </w:pPr>
            <w:r>
              <w:rPr>
                <w:spacing w:val="-2"/>
              </w:rPr>
              <w:t>欠费不停供</w:t>
            </w:r>
          </w:p>
        </w:tc>
        <w:tc>
          <w:tcPr>
            <w:tcW w:w="464" w:type="dxa"/>
            <w:vAlign w:val="top"/>
          </w:tcPr>
          <w:p>
            <w:pPr>
              <w:pStyle w:val="TableText"/>
              <w:ind w:left="80"/>
              <w:spacing w:before="55" w:line="219" w:lineRule="auto"/>
              <w:rPr/>
            </w:pPr>
            <w:r>
              <w:rPr>
                <w:spacing w:val="-2"/>
              </w:rPr>
              <w:t>缓缴</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804672" behindDoc="0" locked="0" layoutInCell="0" allowOverlap="1">
                <wp:simplePos x="0" y="0"/>
                <wp:positionH relativeFrom="page">
                  <wp:posOffset>473763</wp:posOffset>
                </wp:positionH>
                <wp:positionV relativeFrom="page">
                  <wp:posOffset>627006</wp:posOffset>
                </wp:positionV>
                <wp:extent cx="166370" cy="157479"/>
                <wp:effectExtent l="0" t="0" r="0" b="0"/>
                <wp:wrapNone/>
                <wp:docPr id="152" name="TextBox 152"/>
                <wp:cNvGraphicFramePr/>
                <a:graphic>
                  <a:graphicData uri="http://schemas.microsoft.com/office/word/2010/wordprocessingShape">
                    <wps:wsp>
                      <wps:cNvSpPr txBox="1"/>
                      <wps:spPr>
                        <a:xfrm rot="5400000">
                          <a:off x="473763" y="627006"/>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4" style="position:absolute;margin-left:37.3042pt;margin-top:49.3706pt;mso-position-vertical-relative:page;mso-position-horizontal-relative:page;width:13.1pt;height:12.4pt;z-index:25180467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146</w:t>
                      </w:r>
                    </w:p>
                  </w:txbxContent>
                </v:textbox>
              </v:shape>
            </w:pict>
          </mc:Fallback>
        </mc:AlternateContent>
      </w:r>
      <w:r/>
    </w:p>
    <w:p>
      <w:pPr>
        <w:spacing w:before="51"/>
        <w:rPr/>
      </w:pPr>
      <w:r/>
    </w:p>
    <w:tbl>
      <w:tblPr>
        <w:tblStyle w:val="TableNormal"/>
        <w:tblW w:w="963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66"/>
        <w:gridCol w:w="2118"/>
        <w:gridCol w:w="919"/>
        <w:gridCol w:w="859"/>
        <w:gridCol w:w="1009"/>
        <w:gridCol w:w="474"/>
      </w:tblGrid>
      <w:tr>
        <w:trPr>
          <w:trHeight w:val="494" w:hRule="atLeast"/>
        </w:trPr>
        <w:tc>
          <w:tcPr>
            <w:tcW w:w="294" w:type="dxa"/>
            <w:vAlign w:val="top"/>
            <w:textDirection w:val="tbRlV"/>
          </w:tcPr>
          <w:p>
            <w:pPr>
              <w:pStyle w:val="TableText"/>
              <w:ind w:left="57"/>
              <w:spacing w:before="69" w:line="217" w:lineRule="auto"/>
              <w:rPr/>
            </w:pPr>
            <w:r>
              <w:rPr>
                <w:spacing w:val="-2"/>
              </w:rPr>
              <w:t>序 号</w:t>
            </w:r>
          </w:p>
        </w:tc>
        <w:tc>
          <w:tcPr>
            <w:tcW w:w="3966" w:type="dxa"/>
            <w:vAlign w:val="top"/>
          </w:tcPr>
          <w:p>
            <w:pPr>
              <w:pStyle w:val="TableText"/>
              <w:ind w:left="1671"/>
              <w:spacing w:before="171" w:line="219" w:lineRule="auto"/>
              <w:rPr/>
            </w:pPr>
            <w:r>
              <w:rPr>
                <w:spacing w:val="-2"/>
              </w:rPr>
              <w:t>主要内容</w:t>
            </w:r>
          </w:p>
        </w:tc>
        <w:tc>
          <w:tcPr>
            <w:tcW w:w="211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59" w:type="dxa"/>
            <w:vAlign w:val="top"/>
          </w:tcPr>
          <w:p>
            <w:pPr>
              <w:pStyle w:val="TableText"/>
              <w:ind w:left="277" w:right="133" w:hanging="150"/>
              <w:spacing w:before="74" w:line="237" w:lineRule="auto"/>
              <w:rPr/>
            </w:pPr>
            <w:r>
              <w:rPr>
                <w:spacing w:val="-4"/>
              </w:rPr>
              <w:t>惠及企业</w:t>
            </w:r>
            <w:r>
              <w:rPr>
                <w:spacing w:val="2"/>
              </w:rPr>
              <w:t xml:space="preserve"> </w:t>
            </w:r>
            <w:r>
              <w:rPr>
                <w:spacing w:val="-2"/>
              </w:rPr>
              <w:t>类型</w:t>
            </w:r>
          </w:p>
        </w:tc>
        <w:tc>
          <w:tcPr>
            <w:tcW w:w="1009" w:type="dxa"/>
            <w:vAlign w:val="top"/>
          </w:tcPr>
          <w:p>
            <w:pPr>
              <w:pStyle w:val="TableText"/>
              <w:ind w:left="19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5675" w:hRule="atLeast"/>
        </w:trPr>
        <w:tc>
          <w:tcPr>
            <w:tcW w:w="29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94"/>
              <w:spacing w:before="48" w:line="183" w:lineRule="auto"/>
              <w:rPr/>
            </w:pPr>
            <w:r>
              <w:rPr/>
              <w:t>2</w:t>
            </w:r>
          </w:p>
        </w:tc>
        <w:tc>
          <w:tcPr>
            <w:tcW w:w="3966" w:type="dxa"/>
            <w:vAlign w:val="top"/>
          </w:tcPr>
          <w:p>
            <w:pPr>
              <w:spacing w:line="312" w:lineRule="auto"/>
              <w:rPr>
                <w:rFonts w:ascii="Arial"/>
                <w:sz w:val="21"/>
              </w:rPr>
            </w:pPr>
            <w:r/>
          </w:p>
          <w:p>
            <w:pPr>
              <w:spacing w:line="313" w:lineRule="auto"/>
              <w:rPr>
                <w:rFonts w:ascii="Arial"/>
                <w:sz w:val="21"/>
              </w:rPr>
            </w:pPr>
            <w:r/>
          </w:p>
          <w:p>
            <w:pPr>
              <w:pStyle w:val="TableText"/>
              <w:ind w:left="31"/>
              <w:spacing w:before="49" w:line="221" w:lineRule="auto"/>
              <w:rPr/>
            </w:pPr>
            <w:r>
              <w:rPr>
                <w:spacing w:val="-3"/>
              </w:rPr>
              <w:t>一、总体要求</w:t>
            </w:r>
          </w:p>
          <w:p>
            <w:pPr>
              <w:pStyle w:val="TableText"/>
              <w:ind w:left="41"/>
              <w:spacing w:before="49" w:line="219" w:lineRule="auto"/>
              <w:rPr/>
            </w:pPr>
            <w:r>
              <w:rPr>
                <w:spacing w:val="-1"/>
              </w:rPr>
              <w:t>二、清理取消不合理收费</w:t>
            </w:r>
          </w:p>
          <w:p>
            <w:pPr>
              <w:pStyle w:val="TableText"/>
              <w:ind w:left="100"/>
              <w:spacing w:before="51" w:line="219" w:lineRule="auto"/>
              <w:rPr/>
            </w:pPr>
            <w:r>
              <w:rPr/>
              <w:t>(一)供水环节收费。取消供水企业及其所属或委托的安装</w:t>
            </w:r>
          </w:p>
          <w:p>
            <w:pPr>
              <w:pStyle w:val="TableText"/>
              <w:ind w:left="21" w:firstLine="79"/>
              <w:spacing w:before="32" w:line="261" w:lineRule="auto"/>
              <w:rPr/>
            </w:pPr>
            <w:r>
              <w:rPr>
                <w:spacing w:val="-2"/>
              </w:rPr>
              <w:t>工程公司在用水报装工程验收接入环节向用户收取的接水</w:t>
            </w:r>
            <w:r>
              <w:rPr>
                <w:spacing w:val="1"/>
              </w:rPr>
              <w:t xml:space="preserve">   </w:t>
            </w:r>
            <w:r>
              <w:rPr>
                <w:spacing w:val="1"/>
              </w:rPr>
              <w:t>费、增容费、报装费等类似名目开户费用，以及开关闸费、</w:t>
            </w:r>
            <w:r>
              <w:rPr>
                <w:spacing w:val="7"/>
              </w:rPr>
              <w:t xml:space="preserve"> </w:t>
            </w:r>
            <w:r>
              <w:rPr>
                <w:spacing w:val="-2"/>
              </w:rPr>
              <w:t>竣工核验费、竣工导线测量费、管线探测费、勾头费、水钻</w:t>
            </w:r>
            <w:r>
              <w:rPr>
                <w:spacing w:val="2"/>
              </w:rPr>
              <w:t xml:space="preserve">  </w:t>
            </w:r>
            <w:r>
              <w:rPr>
                <w:spacing w:val="-1"/>
              </w:rPr>
              <w:t>工程费、碰头费、出图费等类似名目工程费用</w:t>
            </w:r>
          </w:p>
          <w:p>
            <w:pPr>
              <w:pStyle w:val="TableText"/>
              <w:ind w:left="31"/>
              <w:spacing w:before="30" w:line="218" w:lineRule="auto"/>
              <w:rPr/>
            </w:pPr>
            <w:r>
              <w:rPr>
                <w:spacing w:val="-1"/>
              </w:rPr>
              <w:t>三、加快完善价格形成机制</w:t>
            </w:r>
          </w:p>
          <w:p>
            <w:pPr>
              <w:pStyle w:val="TableText"/>
              <w:ind w:left="21" w:right="2" w:firstLine="79"/>
              <w:spacing w:before="54" w:line="264" w:lineRule="auto"/>
              <w:jc w:val="both"/>
              <w:rPr/>
            </w:pPr>
            <w:r>
              <w:rPr>
                <w:spacing w:val="1"/>
              </w:rPr>
              <w:t>(一)完善供水价格机制。城镇供水价格应纳入地方定价目</w:t>
            </w:r>
            <w:r>
              <w:rPr/>
              <w:t xml:space="preserve">  </w:t>
            </w:r>
            <w:r>
              <w:rPr>
                <w:spacing w:val="-1"/>
              </w:rPr>
              <w:t>录，实行政府定价或政府指导价。加快建立健全以“准许成</w:t>
            </w:r>
            <w:r>
              <w:rPr>
                <w:spacing w:val="18"/>
              </w:rPr>
              <w:t xml:space="preserve"> </w:t>
            </w:r>
            <w:r>
              <w:rPr>
                <w:spacing w:val="-1"/>
              </w:rPr>
              <w:t>本加合理收益”为基础，有利于激励提升供水质量、促进节</w:t>
            </w:r>
            <w:r>
              <w:rPr>
                <w:spacing w:val="18"/>
              </w:rPr>
              <w:t xml:space="preserve"> </w:t>
            </w:r>
            <w:r>
              <w:rPr>
                <w:spacing w:val="1"/>
              </w:rPr>
              <w:t>约用水的价格机制。建筑区划红线内供水(含二次加压调蓄)</w:t>
            </w:r>
            <w:r>
              <w:rPr>
                <w:spacing w:val="4"/>
              </w:rPr>
              <w:t xml:space="preserve"> </w:t>
            </w:r>
            <w:r>
              <w:rPr>
                <w:spacing w:val="-1"/>
              </w:rPr>
              <w:t>设施依法依规移交给供水企业管理的，其运行维护、修理更</w:t>
            </w:r>
            <w:r>
              <w:rPr>
                <w:spacing w:val="16"/>
              </w:rPr>
              <w:t xml:space="preserve"> </w:t>
            </w:r>
            <w:r>
              <w:rPr>
                <w:spacing w:val="-1"/>
              </w:rPr>
              <w:t>新等费用计入供水成本。在严格成本监审的基础上，综合考</w:t>
            </w:r>
            <w:r>
              <w:rPr>
                <w:spacing w:val="18"/>
              </w:rPr>
              <w:t xml:space="preserve"> </w:t>
            </w:r>
            <w:r>
              <w:rPr/>
              <w:t>虑企业生产经营及行业发展需要、社会承受</w:t>
            </w:r>
            <w:r>
              <w:rPr>
                <w:spacing w:val="-1"/>
              </w:rPr>
              <w:t>能力、促进全社</w:t>
            </w:r>
            <w:r>
              <w:rPr/>
              <w:t xml:space="preserve"> </w:t>
            </w:r>
            <w:r>
              <w:rPr/>
              <w:t>会节水等因素，合理制定并动态调整供水价格。</w:t>
            </w:r>
          </w:p>
          <w:p>
            <w:pPr>
              <w:pStyle w:val="TableText"/>
              <w:ind w:left="31"/>
              <w:spacing w:before="53" w:line="211" w:lineRule="exact"/>
              <w:rPr/>
            </w:pPr>
            <w:r>
              <w:rPr>
                <w:position w:val="4"/>
              </w:rPr>
              <w:t>四、严格规范价格收费行为</w:t>
            </w:r>
          </w:p>
          <w:p>
            <w:pPr>
              <w:pStyle w:val="TableText"/>
              <w:ind w:left="31"/>
              <w:spacing w:line="219" w:lineRule="auto"/>
              <w:rPr/>
            </w:pPr>
            <w:r>
              <w:rPr>
                <w:spacing w:val="-1"/>
              </w:rPr>
              <w:t>五、提升服务水平</w:t>
            </w:r>
          </w:p>
          <w:p>
            <w:pPr>
              <w:pStyle w:val="TableText"/>
              <w:ind w:left="31"/>
              <w:spacing w:before="42" w:line="219" w:lineRule="auto"/>
              <w:rPr/>
            </w:pPr>
            <w:r>
              <w:rPr>
                <w:spacing w:val="-1"/>
              </w:rPr>
              <w:t>六、改善发展环境</w:t>
            </w:r>
          </w:p>
          <w:p>
            <w:pPr>
              <w:pStyle w:val="TableText"/>
              <w:ind w:left="41"/>
              <w:spacing w:before="52" w:line="219" w:lineRule="auto"/>
              <w:rPr/>
            </w:pPr>
            <w:r>
              <w:rPr>
                <w:spacing w:val="-1"/>
              </w:rPr>
              <w:t>七、切实抓好政策落实。</w:t>
            </w:r>
          </w:p>
        </w:tc>
        <w:tc>
          <w:tcPr>
            <w:tcW w:w="2118" w:type="dxa"/>
            <w:vAlign w:val="top"/>
          </w:tcPr>
          <w:p>
            <w:pPr>
              <w:spacing w:line="327" w:lineRule="auto"/>
              <w:rPr>
                <w:rFonts w:ascii="Arial"/>
                <w:sz w:val="21"/>
              </w:rPr>
            </w:pPr>
            <w:r/>
          </w:p>
          <w:p>
            <w:pPr>
              <w:spacing w:line="327" w:lineRule="auto"/>
              <w:rPr>
                <w:rFonts w:ascii="Arial"/>
                <w:sz w:val="21"/>
              </w:rPr>
            </w:pPr>
            <w:r/>
          </w:p>
          <w:p>
            <w:pPr>
              <w:pStyle w:val="TableText"/>
              <w:ind w:left="34" w:right="74" w:firstLine="40"/>
              <w:spacing w:before="49" w:line="258" w:lineRule="auto"/>
              <w:jc w:val="both"/>
              <w:rPr/>
            </w:pPr>
            <w:r>
              <w:rPr/>
              <w:t>国务院办公厅《转发国家发展</w:t>
            </w:r>
            <w:r>
              <w:rPr>
                <w:spacing w:val="7"/>
              </w:rPr>
              <w:t xml:space="preserve"> </w:t>
            </w:r>
            <w:r>
              <w:rPr>
                <w:spacing w:val="2"/>
              </w:rPr>
              <w:t>改革委等部门关于清理规范城</w:t>
            </w:r>
            <w:r>
              <w:rPr>
                <w:spacing w:val="1"/>
              </w:rPr>
              <w:t xml:space="preserve"> </w:t>
            </w:r>
            <w:r>
              <w:rPr>
                <w:spacing w:val="2"/>
              </w:rPr>
              <w:t>镇供水供电供气供暖行业收费</w:t>
            </w:r>
            <w:r>
              <w:rPr>
                <w:spacing w:val="7"/>
              </w:rPr>
              <w:t xml:space="preserve"> </w:t>
            </w:r>
            <w:r>
              <w:rPr>
                <w:spacing w:val="2"/>
              </w:rPr>
              <w:t>促进行业高质量发展意见的通</w:t>
            </w:r>
            <w:r>
              <w:rPr>
                <w:spacing w:val="6"/>
              </w:rPr>
              <w:t xml:space="preserve"> </w:t>
            </w:r>
            <w:r>
              <w:rPr>
                <w:spacing w:val="-1"/>
              </w:rPr>
              <w:t>知》国办函〔2020〕129号</w:t>
            </w:r>
          </w:p>
        </w:tc>
        <w:tc>
          <w:tcPr>
            <w:tcW w:w="919" w:type="dxa"/>
            <w:vAlign w:val="top"/>
          </w:tcPr>
          <w:p>
            <w:pPr>
              <w:spacing w:line="322" w:lineRule="auto"/>
              <w:rPr>
                <w:rFonts w:ascii="Arial"/>
                <w:sz w:val="21"/>
              </w:rPr>
            </w:pPr>
            <w:r/>
          </w:p>
          <w:p>
            <w:pPr>
              <w:spacing w:line="322" w:lineRule="auto"/>
              <w:rPr>
                <w:rFonts w:ascii="Arial"/>
                <w:sz w:val="21"/>
              </w:rPr>
            </w:pPr>
            <w:r/>
          </w:p>
          <w:p>
            <w:pPr>
              <w:pStyle w:val="TableText"/>
              <w:ind w:left="16" w:right="24" w:firstLine="30"/>
              <w:spacing w:before="49" w:line="250" w:lineRule="auto"/>
              <w:jc w:val="both"/>
              <w:rPr/>
            </w:pPr>
            <w:r>
              <w:rPr>
                <w:spacing w:val="22"/>
              </w:rPr>
              <w:t>自2021年3</w:t>
            </w:r>
            <w:r>
              <w:rPr/>
              <w:t xml:space="preserve"> </w:t>
            </w:r>
            <w:r>
              <w:rPr>
                <w:spacing w:val="-10"/>
              </w:rPr>
              <w:t>月</w:t>
            </w:r>
            <w:r>
              <w:rPr>
                <w:spacing w:val="-13"/>
              </w:rPr>
              <w:t xml:space="preserve"> </w:t>
            </w:r>
            <w:r>
              <w:rPr>
                <w:spacing w:val="-10"/>
              </w:rPr>
              <w:t>1</w:t>
            </w:r>
            <w:r>
              <w:rPr>
                <w:spacing w:val="2"/>
              </w:rPr>
              <w:t xml:space="preserve"> </w:t>
            </w:r>
            <w:r>
              <w:rPr>
                <w:spacing w:val="-10"/>
              </w:rPr>
              <w:t>日</w:t>
            </w:r>
            <w:r>
              <w:rPr>
                <w:spacing w:val="-24"/>
              </w:rPr>
              <w:t xml:space="preserve"> </w:t>
            </w:r>
            <w:r>
              <w:rPr>
                <w:spacing w:val="-10"/>
              </w:rPr>
              <w:t>起</w:t>
            </w:r>
            <w:r>
              <w:rPr>
                <w:spacing w:val="-24"/>
              </w:rPr>
              <w:t xml:space="preserve"> </w:t>
            </w:r>
            <w:r>
              <w:rPr>
                <w:spacing w:val="-10"/>
              </w:rPr>
              <w:t>施</w:t>
            </w:r>
            <w:r>
              <w:rPr/>
              <w:t xml:space="preserve"> </w:t>
            </w:r>
            <w:r>
              <w:rPr/>
              <w:t>行</w:t>
            </w:r>
          </w:p>
        </w:tc>
        <w:tc>
          <w:tcPr>
            <w:tcW w:w="859" w:type="dxa"/>
            <w:vAlign w:val="top"/>
          </w:tcPr>
          <w:p>
            <w:pPr>
              <w:spacing w:line="322" w:lineRule="auto"/>
              <w:rPr>
                <w:rFonts w:ascii="Arial"/>
                <w:sz w:val="21"/>
              </w:rPr>
            </w:pPr>
            <w:r/>
          </w:p>
          <w:p>
            <w:pPr>
              <w:spacing w:line="322" w:lineRule="auto"/>
              <w:rPr>
                <w:rFonts w:ascii="Arial"/>
                <w:sz w:val="21"/>
              </w:rPr>
            </w:pPr>
            <w:r/>
          </w:p>
          <w:p>
            <w:pPr>
              <w:pStyle w:val="TableText"/>
              <w:ind w:left="127"/>
              <w:spacing w:before="49" w:line="220" w:lineRule="auto"/>
              <w:rPr/>
            </w:pPr>
            <w:r>
              <w:rPr>
                <w:spacing w:val="-2"/>
              </w:rPr>
              <w:t>相关企业</w:t>
            </w:r>
          </w:p>
        </w:tc>
        <w:tc>
          <w:tcPr>
            <w:tcW w:w="1009" w:type="dxa"/>
            <w:vAlign w:val="top"/>
          </w:tcPr>
          <w:p>
            <w:pPr>
              <w:spacing w:line="322" w:lineRule="auto"/>
              <w:rPr>
                <w:rFonts w:ascii="Arial"/>
                <w:sz w:val="21"/>
              </w:rPr>
            </w:pPr>
            <w:r/>
          </w:p>
          <w:p>
            <w:pPr>
              <w:spacing w:line="322" w:lineRule="auto"/>
              <w:rPr>
                <w:rFonts w:ascii="Arial"/>
                <w:sz w:val="21"/>
              </w:rPr>
            </w:pPr>
            <w:r/>
          </w:p>
          <w:p>
            <w:pPr>
              <w:pStyle w:val="TableText"/>
              <w:ind w:left="198"/>
              <w:spacing w:before="49" w:line="220" w:lineRule="auto"/>
              <w:rPr/>
            </w:pPr>
            <w:r>
              <w:rPr>
                <w:spacing w:val="-2"/>
              </w:rPr>
              <w:t>行政通知</w:t>
            </w:r>
          </w:p>
        </w:tc>
        <w:tc>
          <w:tcPr>
            <w:tcW w:w="474" w:type="dxa"/>
            <w:vAlign w:val="top"/>
          </w:tcPr>
          <w:p>
            <w:pPr>
              <w:spacing w:line="317" w:lineRule="auto"/>
              <w:rPr>
                <w:rFonts w:ascii="Arial"/>
                <w:sz w:val="21"/>
              </w:rPr>
            </w:pPr>
            <w:r/>
          </w:p>
          <w:p>
            <w:pPr>
              <w:spacing w:line="317" w:lineRule="auto"/>
              <w:rPr>
                <w:rFonts w:ascii="Arial"/>
                <w:sz w:val="21"/>
              </w:rPr>
            </w:pPr>
            <w:r/>
          </w:p>
          <w:p>
            <w:pPr>
              <w:pStyle w:val="TableText"/>
              <w:ind w:left="80"/>
              <w:spacing w:before="49" w:line="220" w:lineRule="auto"/>
              <w:rPr/>
            </w:pPr>
            <w:r>
              <w:rPr>
                <w:spacing w:val="-2"/>
              </w:rPr>
              <w:t>清理</w:t>
            </w:r>
          </w:p>
          <w:p>
            <w:pPr>
              <w:pStyle w:val="TableText"/>
              <w:ind w:left="80"/>
              <w:spacing w:before="43" w:line="222" w:lineRule="auto"/>
              <w:rPr/>
            </w:pPr>
            <w:r>
              <w:rPr>
                <w:spacing w:val="-3"/>
              </w:rPr>
              <w:t>不合</w:t>
            </w:r>
          </w:p>
          <w:p>
            <w:pPr>
              <w:pStyle w:val="TableText"/>
              <w:ind w:left="80"/>
              <w:spacing w:before="36" w:line="219" w:lineRule="auto"/>
              <w:rPr/>
            </w:pPr>
            <w:r>
              <w:rPr>
                <w:spacing w:val="-2"/>
              </w:rPr>
              <w:t>理供</w:t>
            </w:r>
          </w:p>
          <w:p>
            <w:pPr>
              <w:pStyle w:val="TableText"/>
              <w:ind w:left="80"/>
              <w:spacing w:before="53" w:line="219" w:lineRule="auto"/>
              <w:rPr/>
            </w:pPr>
            <w:r>
              <w:rPr>
                <w:spacing w:val="-2"/>
              </w:rPr>
              <w:t>水环</w:t>
            </w:r>
          </w:p>
          <w:p>
            <w:pPr>
              <w:pStyle w:val="TableText"/>
              <w:ind w:left="80"/>
              <w:spacing w:before="32" w:line="219" w:lineRule="auto"/>
              <w:rPr/>
            </w:pPr>
            <w:r>
              <w:rPr>
                <w:spacing w:val="-2"/>
              </w:rPr>
              <w:t>节收</w:t>
            </w:r>
          </w:p>
          <w:p>
            <w:pPr>
              <w:pStyle w:val="TableText"/>
              <w:ind w:left="159"/>
              <w:spacing w:before="32" w:line="220" w:lineRule="auto"/>
              <w:rPr/>
            </w:pPr>
            <w:r>
              <w:rPr/>
              <w:t>费</w:t>
            </w:r>
          </w:p>
        </w:tc>
      </w:tr>
    </w:tbl>
    <w:p>
      <w:pPr>
        <w:pStyle w:val="BodyText"/>
        <w:rPr/>
      </w:pPr>
      <w:r/>
    </w:p>
    <w:p>
      <w:pPr>
        <w:sectPr>
          <w:pgSz w:w="11910" w:h="8220"/>
          <w:pgMar w:top="400" w:right="1135" w:bottom="400" w:left="821" w:header="0" w:footer="0" w:gutter="0"/>
        </w:sectPr>
        <w:rPr/>
      </w:pPr>
    </w:p>
    <w:p>
      <w:pPr>
        <w:spacing w:before="51"/>
        <w:rPr/>
      </w:pP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
        <w:gridCol w:w="3976"/>
        <w:gridCol w:w="2128"/>
        <w:gridCol w:w="919"/>
        <w:gridCol w:w="829"/>
        <w:gridCol w:w="1029"/>
        <w:gridCol w:w="474"/>
      </w:tblGrid>
      <w:tr>
        <w:trPr>
          <w:trHeight w:val="493" w:hRule="atLeast"/>
        </w:trPr>
        <w:tc>
          <w:tcPr>
            <w:tcW w:w="294" w:type="dxa"/>
            <w:vAlign w:val="top"/>
            <w:textDirection w:val="tbRlV"/>
          </w:tcPr>
          <w:p>
            <w:pPr>
              <w:pStyle w:val="TableText"/>
              <w:ind w:left="47"/>
              <w:spacing w:before="69" w:line="217" w:lineRule="auto"/>
              <w:rPr/>
            </w:pPr>
            <w:bookmarkStart w:name="bookmark8" w:id="7"/>
            <w:bookmarkEnd w:id="7"/>
            <w:r>
              <w:rPr/>
              <w:t>序</w:t>
            </w:r>
            <w:r>
              <w:rPr>
                <w:spacing w:val="16"/>
              </w:rPr>
              <w:t xml:space="preserve"> </w:t>
            </w:r>
            <w:r>
              <w:rPr/>
              <w:t>号</w:t>
            </w:r>
          </w:p>
        </w:tc>
        <w:tc>
          <w:tcPr>
            <w:tcW w:w="3976" w:type="dxa"/>
            <w:vAlign w:val="top"/>
          </w:tcPr>
          <w:p>
            <w:pPr>
              <w:pStyle w:val="TableText"/>
              <w:ind w:left="1681"/>
              <w:spacing w:before="171" w:line="219" w:lineRule="auto"/>
              <w:rPr/>
            </w:pPr>
            <w:r>
              <w:rPr>
                <w:spacing w:val="-2"/>
              </w:rPr>
              <w:t>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157"/>
              <w:spacing w:before="171" w:line="219" w:lineRule="auto"/>
              <w:rPr/>
            </w:pPr>
            <w:r>
              <w:rPr>
                <w:spacing w:val="3"/>
              </w:rPr>
              <w:t>执行时间</w:t>
            </w:r>
          </w:p>
        </w:tc>
        <w:tc>
          <w:tcPr>
            <w:tcW w:w="829" w:type="dxa"/>
            <w:vAlign w:val="top"/>
          </w:tcPr>
          <w:p>
            <w:pPr>
              <w:pStyle w:val="TableText"/>
              <w:ind w:left="257" w:right="12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4106" w:hRule="atLeast"/>
        </w:trPr>
        <w:tc>
          <w:tcPr>
            <w:tcW w:w="29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94"/>
              <w:spacing w:before="48" w:line="183" w:lineRule="auto"/>
              <w:rPr/>
            </w:pPr>
            <w:r>
              <w:rPr/>
              <w:t>3</w:t>
            </w:r>
          </w:p>
        </w:tc>
        <w:tc>
          <w:tcPr>
            <w:tcW w:w="3976" w:type="dxa"/>
            <w:vAlign w:val="top"/>
          </w:tcPr>
          <w:p>
            <w:pPr>
              <w:pStyle w:val="TableText"/>
              <w:ind w:left="31"/>
              <w:spacing w:before="176" w:line="218" w:lineRule="auto"/>
              <w:rPr/>
            </w:pPr>
            <w:r>
              <w:rPr/>
              <w:t>第十一条核定供水企业平均供水价格，应当</w:t>
            </w:r>
            <w:r>
              <w:rPr>
                <w:spacing w:val="-1"/>
              </w:rPr>
              <w:t>考虑本期生产能</w:t>
            </w:r>
          </w:p>
          <w:p>
            <w:pPr>
              <w:pStyle w:val="TableText"/>
              <w:ind w:left="41" w:right="43" w:hanging="10"/>
              <w:spacing w:before="63" w:line="244" w:lineRule="auto"/>
              <w:rPr/>
            </w:pPr>
            <w:r>
              <w:rPr>
                <w:spacing w:val="-6"/>
              </w:rPr>
              <w:t>力利用情况，计算公式为：</w:t>
            </w:r>
            <w:r>
              <w:rPr>
                <w:spacing w:val="21"/>
                <w:w w:val="101"/>
              </w:rPr>
              <w:t xml:space="preserve">   </w:t>
            </w:r>
            <w:r>
              <w:rPr>
                <w:spacing w:val="-6"/>
              </w:rPr>
              <w:t>当实际供水量不低于设计供水</w:t>
            </w:r>
            <w:r>
              <w:rPr/>
              <w:t xml:space="preserve"> </w:t>
            </w:r>
            <w:r>
              <w:rPr/>
              <w:t>量的65%时，供水企业平均供水价格=准</w:t>
            </w:r>
            <w:r>
              <w:rPr>
                <w:spacing w:val="-1"/>
              </w:rPr>
              <w:t>许收入÷核定供</w:t>
            </w:r>
          </w:p>
          <w:p>
            <w:pPr>
              <w:pStyle w:val="TableText"/>
              <w:ind w:left="31" w:right="87" w:firstLine="30"/>
              <w:spacing w:before="43" w:line="239" w:lineRule="auto"/>
              <w:rPr/>
            </w:pPr>
            <w:r>
              <w:rPr>
                <w:spacing w:val="-3"/>
              </w:rPr>
              <w:t>水量；   当实际供水量低于设计供水量的65%时，供水企业</w:t>
            </w:r>
            <w:r>
              <w:rPr>
                <w:spacing w:val="3"/>
              </w:rPr>
              <w:t xml:space="preserve"> </w:t>
            </w:r>
            <w:r>
              <w:rPr>
                <w:spacing w:val="-1"/>
              </w:rPr>
              <w:t>平均供水价格=准许收入÷|核定供水量÷〔(实际供水</w:t>
            </w:r>
          </w:p>
          <w:p>
            <w:pPr>
              <w:pStyle w:val="TableText"/>
              <w:ind w:left="51"/>
              <w:spacing w:before="45" w:line="215" w:lineRule="auto"/>
              <w:rPr/>
            </w:pPr>
            <w:r>
              <w:rPr>
                <w:spacing w:val="-6"/>
              </w:rPr>
              <w:t>量÷(设计供水量×65%)〕</w:t>
            </w:r>
            <w:r>
              <w:rPr>
                <w:spacing w:val="68"/>
                <w:w w:val="101"/>
              </w:rPr>
              <w:t xml:space="preserve"> </w:t>
            </w:r>
            <w:r>
              <w:rPr>
                <w:spacing w:val="-6"/>
              </w:rPr>
              <w:t>|。平均供水价格、准许收</w:t>
            </w:r>
          </w:p>
          <w:p>
            <w:pPr>
              <w:pStyle w:val="TableText"/>
              <w:ind w:left="41" w:right="120" w:firstLine="59"/>
              <w:spacing w:before="31" w:line="245" w:lineRule="auto"/>
              <w:rPr/>
            </w:pPr>
            <w:r>
              <w:rPr>
                <w:spacing w:val="-1"/>
              </w:rPr>
              <w:t>入均不含增值税，含增值税供水价格由各地根据供水企业</w:t>
            </w:r>
            <w:r>
              <w:rPr>
                <w:spacing w:val="18"/>
                <w:w w:val="101"/>
              </w:rPr>
              <w:t xml:space="preserve"> </w:t>
            </w:r>
            <w:r>
              <w:rPr/>
              <w:t>实际执行税率计算确定；核定供水量=取水量x(1-自用</w:t>
            </w:r>
          </w:p>
          <w:p>
            <w:pPr>
              <w:pStyle w:val="TableText"/>
              <w:ind w:left="21" w:right="417" w:firstLine="10"/>
              <w:spacing w:before="53" w:line="238" w:lineRule="auto"/>
              <w:rPr/>
            </w:pPr>
            <w:r>
              <w:rPr>
                <w:spacing w:val="-1"/>
              </w:rPr>
              <w:t>水率)×(1-漏损率)。取水量、自用水率、漏损率通过</w:t>
            </w:r>
            <w:r>
              <w:rPr>
                <w:spacing w:val="17"/>
              </w:rPr>
              <w:t xml:space="preserve"> </w:t>
            </w:r>
            <w:r>
              <w:rPr>
                <w:spacing w:val="-1"/>
              </w:rPr>
              <w:t>成本监审确定。</w:t>
            </w:r>
          </w:p>
          <w:p>
            <w:pPr>
              <w:pStyle w:val="TableText"/>
              <w:ind w:left="21"/>
              <w:spacing w:before="52" w:line="218" w:lineRule="auto"/>
              <w:rPr/>
            </w:pPr>
            <w:r>
              <w:rPr>
                <w:spacing w:val="-1"/>
              </w:rPr>
              <w:t>第十七条非居民用水及特种用水实行超定额累进加价制度</w:t>
            </w:r>
          </w:p>
          <w:p>
            <w:pPr>
              <w:pStyle w:val="TableText"/>
              <w:ind w:left="31" w:right="16" w:firstLine="30"/>
              <w:spacing w:before="44" w:line="264" w:lineRule="auto"/>
              <w:rPr/>
            </w:pPr>
            <w:r>
              <w:rPr/>
              <w:t>原则上水量分档不少于三档，二档水价加价标准不低于0.5 </w:t>
            </w:r>
            <w:r>
              <w:rPr>
                <w:spacing w:val="1"/>
              </w:rPr>
              <w:t>倍，三档水价加价标准不低于1倍，具体分档水量和</w:t>
            </w:r>
            <w:r>
              <w:rPr/>
              <w:t>加价标  </w:t>
            </w:r>
            <w:r>
              <w:rPr>
                <w:spacing w:val="2"/>
              </w:rPr>
              <w:t>准由各地自行确定。缺水地区要根据实际情况加大加价标</w:t>
            </w:r>
            <w:r>
              <w:rPr>
                <w:spacing w:val="5"/>
              </w:rPr>
              <w:t xml:space="preserve">  </w:t>
            </w:r>
            <w:r>
              <w:rPr>
                <w:spacing w:val="2"/>
              </w:rPr>
              <w:t>准，充分反映水资源稀缺程度。实行居民生活用水阶梯水</w:t>
            </w:r>
            <w:r>
              <w:rPr>
                <w:spacing w:val="5"/>
              </w:rPr>
              <w:t xml:space="preserve">  </w:t>
            </w:r>
            <w:r>
              <w:rPr/>
              <w:t>价和非居民用水超定额累进加价后增加的收入，应当主要用</w:t>
            </w:r>
            <w:r>
              <w:rPr>
                <w:spacing w:val="17"/>
              </w:rPr>
              <w:t xml:space="preserve"> </w:t>
            </w:r>
            <w:r>
              <w:rPr/>
              <w:t>于管网和户表改造、水质提升、弥补供水成本上涨等。</w:t>
            </w:r>
          </w:p>
        </w:tc>
        <w:tc>
          <w:tcPr>
            <w:tcW w:w="2128" w:type="dxa"/>
            <w:vAlign w:val="top"/>
          </w:tcPr>
          <w:p>
            <w:pPr>
              <w:pStyle w:val="TableText"/>
              <w:ind w:left="44" w:right="88" w:hanging="4"/>
              <w:spacing w:before="186" w:line="261" w:lineRule="auto"/>
              <w:jc w:val="both"/>
              <w:rPr/>
            </w:pPr>
            <w:r>
              <w:rPr/>
              <w:t>《城镇供水价格管理办法》中</w:t>
            </w:r>
            <w:r>
              <w:rPr>
                <w:spacing w:val="4"/>
              </w:rPr>
              <w:t xml:space="preserve"> </w:t>
            </w:r>
            <w:r>
              <w:rPr>
                <w:spacing w:val="2"/>
              </w:rPr>
              <w:t>华人民共和国国家发展和改革</w:t>
            </w:r>
            <w:r>
              <w:rPr>
                <w:spacing w:val="6"/>
              </w:rPr>
              <w:t xml:space="preserve"> </w:t>
            </w:r>
            <w:r>
              <w:rPr>
                <w:spacing w:val="2"/>
              </w:rPr>
              <w:t>委员会、中华人民共和国住房</w:t>
            </w:r>
            <w:r>
              <w:rPr>
                <w:spacing w:val="7"/>
              </w:rPr>
              <w:t xml:space="preserve"> </w:t>
            </w:r>
            <w:r>
              <w:rPr>
                <w:spacing w:val="-1"/>
              </w:rPr>
              <w:t>和城乡建设部令第46号</w:t>
            </w:r>
          </w:p>
        </w:tc>
        <w:tc>
          <w:tcPr>
            <w:tcW w:w="919" w:type="dxa"/>
            <w:vAlign w:val="top"/>
          </w:tcPr>
          <w:p>
            <w:pPr>
              <w:pStyle w:val="TableText"/>
              <w:ind w:left="16" w:right="35" w:firstLine="40"/>
              <w:spacing w:before="188" w:line="250" w:lineRule="auto"/>
              <w:jc w:val="both"/>
              <w:rPr/>
            </w:pPr>
            <w:r>
              <w:rPr>
                <w:spacing w:val="-13"/>
              </w:rPr>
              <w:t>自</w:t>
            </w:r>
            <w:r>
              <w:rPr>
                <w:spacing w:val="-20"/>
              </w:rPr>
              <w:t xml:space="preserve"> </w:t>
            </w:r>
            <w:r>
              <w:rPr>
                <w:spacing w:val="-13"/>
              </w:rPr>
              <w:t>2</w:t>
            </w:r>
            <w:r>
              <w:rPr>
                <w:spacing w:val="-20"/>
              </w:rPr>
              <w:t xml:space="preserve"> </w:t>
            </w:r>
            <w:r>
              <w:rPr>
                <w:spacing w:val="-13"/>
              </w:rPr>
              <w:t>0</w:t>
            </w:r>
            <w:r>
              <w:rPr>
                <w:spacing w:val="-20"/>
              </w:rPr>
              <w:t xml:space="preserve"> </w:t>
            </w:r>
            <w:r>
              <w:rPr>
                <w:spacing w:val="-13"/>
              </w:rPr>
              <w:t>2</w:t>
            </w:r>
            <w:r>
              <w:rPr>
                <w:spacing w:val="-11"/>
              </w:rPr>
              <w:t xml:space="preserve"> </w:t>
            </w:r>
            <w:r>
              <w:rPr>
                <w:spacing w:val="-13"/>
              </w:rPr>
              <w:t>1</w:t>
            </w:r>
            <w:r>
              <w:rPr>
                <w:spacing w:val="-21"/>
              </w:rPr>
              <w:t xml:space="preserve"> </w:t>
            </w:r>
            <w:r>
              <w:rPr>
                <w:spacing w:val="-13"/>
              </w:rPr>
              <w:t>年</w:t>
            </w:r>
            <w:r>
              <w:rPr/>
              <w:t xml:space="preserve"> </w:t>
            </w:r>
            <w:r>
              <w:rPr>
                <w:spacing w:val="26"/>
                <w:w w:val="103"/>
              </w:rPr>
              <w:t>10月1日起</w:t>
            </w:r>
            <w:r>
              <w:rPr>
                <w:spacing w:val="4"/>
              </w:rPr>
              <w:t xml:space="preserve"> </w:t>
            </w:r>
            <w:r>
              <w:rPr>
                <w:spacing w:val="-2"/>
              </w:rPr>
              <w:t>施行</w:t>
            </w:r>
          </w:p>
        </w:tc>
        <w:tc>
          <w:tcPr>
            <w:tcW w:w="829" w:type="dxa"/>
            <w:vAlign w:val="top"/>
          </w:tcPr>
          <w:p>
            <w:pPr>
              <w:pStyle w:val="TableText"/>
              <w:ind w:left="107"/>
              <w:spacing w:before="188" w:line="220" w:lineRule="auto"/>
              <w:rPr/>
            </w:pPr>
            <w:r>
              <w:rPr>
                <w:spacing w:val="-2"/>
              </w:rPr>
              <w:t>相关企业</w:t>
            </w:r>
          </w:p>
        </w:tc>
        <w:tc>
          <w:tcPr>
            <w:tcW w:w="1029" w:type="dxa"/>
            <w:vAlign w:val="top"/>
          </w:tcPr>
          <w:p>
            <w:pPr>
              <w:pStyle w:val="TableText"/>
              <w:ind w:left="208"/>
              <w:spacing w:before="188" w:line="220" w:lineRule="auto"/>
              <w:rPr/>
            </w:pPr>
            <w:r>
              <w:rPr>
                <w:spacing w:val="-2"/>
              </w:rPr>
              <w:t>行政通知</w:t>
            </w:r>
          </w:p>
        </w:tc>
        <w:tc>
          <w:tcPr>
            <w:tcW w:w="474" w:type="dxa"/>
            <w:vAlign w:val="top"/>
          </w:tcPr>
          <w:p>
            <w:pPr>
              <w:pStyle w:val="TableText"/>
              <w:ind w:left="80" w:right="91"/>
              <w:spacing w:before="179" w:line="243" w:lineRule="auto"/>
              <w:rPr/>
            </w:pPr>
            <w:r>
              <w:rPr>
                <w:spacing w:val="-4"/>
              </w:rPr>
              <w:t>调整</w:t>
            </w:r>
            <w:r>
              <w:rPr/>
              <w:t xml:space="preserve"> </w:t>
            </w:r>
            <w:r>
              <w:rPr>
                <w:spacing w:val="-4"/>
              </w:rPr>
              <w:t>水价</w:t>
            </w:r>
          </w:p>
        </w:tc>
      </w:tr>
    </w:tbl>
    <w:p>
      <w:pPr>
        <w:pStyle w:val="BodyText"/>
        <w:rPr/>
      </w:pPr>
      <w:r/>
    </w:p>
    <w:p>
      <w:pPr>
        <w:sectPr>
          <w:footerReference w:type="default" r:id="rId40"/>
          <w:pgSz w:w="11910" w:h="8220"/>
          <w:pgMar w:top="400" w:right="1135" w:bottom="1299" w:left="821" w:header="0" w:footer="1078"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spacing w:before="52" w:line="184" w:lineRule="auto"/>
        <w:rPr>
          <w:rFonts w:ascii="SimSun" w:hAnsi="SimSun" w:eastAsia="SimSun" w:cs="SimSun"/>
          <w:sz w:val="16"/>
          <w:szCs w:val="16"/>
        </w:rPr>
      </w:pPr>
      <w:r>
        <w:rPr>
          <w:rFonts w:ascii="SimSun" w:hAnsi="SimSun" w:eastAsia="SimSun" w:cs="SimSun"/>
          <w:sz w:val="16"/>
          <w:szCs w:val="16"/>
          <w:b/>
          <w:bCs/>
          <w:spacing w:val="-6"/>
        </w:rPr>
        <w:t>148</w:t>
      </w:r>
    </w:p>
    <w:p>
      <w:pPr>
        <w:spacing w:line="184" w:lineRule="auto"/>
        <w:sectPr>
          <w:footerReference w:type="default" r:id="rId2"/>
          <w:pgSz w:w="8220" w:h="11910"/>
          <w:pgMar w:top="400" w:right="1233" w:bottom="400" w:left="992" w:header="0" w:footer="0" w:gutter="0"/>
        </w:sectPr>
        <w:rPr>
          <w:rFonts w:ascii="SimSun" w:hAnsi="SimSun" w:eastAsia="SimSun" w:cs="SimSun"/>
          <w:sz w:val="16"/>
          <w:szCs w:val="16"/>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031"/>
        <w:spacing w:before="98" w:line="221" w:lineRule="auto"/>
        <w:outlineLvl w:val="6"/>
        <w:rPr>
          <w:rFonts w:ascii="SimHei" w:hAnsi="SimHei" w:eastAsia="SimHei" w:cs="SimHei"/>
          <w:sz w:val="30"/>
          <w:szCs w:val="30"/>
        </w:rPr>
      </w:pPr>
      <w:r>
        <w:rPr>
          <w:rFonts w:ascii="SimHei" w:hAnsi="SimHei" w:eastAsia="SimHei" w:cs="SimHei"/>
          <w:sz w:val="30"/>
          <w:szCs w:val="30"/>
          <w:b/>
          <w:bCs/>
          <w:spacing w:val="2"/>
        </w:rPr>
        <w:t>七、降低企业物流成本政策</w:t>
      </w:r>
    </w:p>
    <w:p>
      <w:pPr>
        <w:spacing w:line="221" w:lineRule="auto"/>
        <w:sectPr>
          <w:footerReference w:type="default" r:id="rId41"/>
          <w:pgSz w:w="8220" w:h="11910"/>
          <w:pgMar w:top="400" w:right="1065" w:bottom="943" w:left="1233" w:header="0" w:footer="784" w:gutter="0"/>
        </w:sectPr>
        <w:rPr>
          <w:rFonts w:ascii="SimHei" w:hAnsi="SimHei" w:eastAsia="SimHei" w:cs="SimHei"/>
          <w:sz w:val="30"/>
          <w:szCs w:val="30"/>
        </w:rPr>
      </w:pPr>
    </w:p>
    <w:p>
      <w:pPr>
        <w:pStyle w:val="BodyText"/>
        <w:spacing w:line="251" w:lineRule="auto"/>
        <w:rPr/>
      </w:pPr>
      <w:r/>
    </w:p>
    <w:p>
      <w:pPr>
        <w:pStyle w:val="BodyText"/>
        <w:spacing w:line="252" w:lineRule="auto"/>
        <w:rPr/>
      </w:pPr>
      <w:r/>
    </w:p>
    <w:p>
      <w:pPr>
        <w:spacing w:before="78" w:line="227" w:lineRule="auto"/>
        <w:rPr>
          <w:rFonts w:ascii="SimHei" w:hAnsi="SimHei" w:eastAsia="SimHei" w:cs="SimHei"/>
          <w:sz w:val="24"/>
          <w:szCs w:val="24"/>
        </w:rPr>
      </w:pPr>
      <w:r>
        <w:rPr>
          <w:rFonts w:ascii="SimSun" w:hAnsi="SimSun" w:eastAsia="SimSun" w:cs="SimSun"/>
          <w:sz w:val="17"/>
          <w:szCs w:val="17"/>
          <w:spacing w:val="-7"/>
          <w:position w:val="5"/>
        </w:rPr>
        <w:t>150                                  </w:t>
      </w:r>
      <w:r>
        <w:rPr>
          <w:rFonts w:ascii="SimSun" w:hAnsi="SimSun" w:eastAsia="SimSun" w:cs="SimSun"/>
          <w:sz w:val="17"/>
          <w:szCs w:val="17"/>
          <w:spacing w:val="-8"/>
          <w:position w:val="5"/>
        </w:rPr>
        <w:t xml:space="preserve">              </w:t>
      </w:r>
      <w:r>
        <w:rPr>
          <w:rFonts w:ascii="SimHei" w:hAnsi="SimHei" w:eastAsia="SimHei" w:cs="SimHei"/>
          <w:sz w:val="24"/>
          <w:szCs w:val="24"/>
          <w:b/>
          <w:bCs/>
          <w:spacing w:val="-8"/>
          <w:position w:val="-1"/>
        </w:rPr>
        <w:t>降低企业物流成本政策</w:t>
      </w:r>
    </w:p>
    <w:p>
      <w:pPr>
        <w:spacing w:line="215" w:lineRule="exact"/>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64"/>
      </w:tblGrid>
      <w:tr>
        <w:trPr>
          <w:trHeight w:val="514" w:hRule="atLeast"/>
        </w:trPr>
        <w:tc>
          <w:tcPr>
            <w:tcW w:w="284" w:type="dxa"/>
            <w:vAlign w:val="top"/>
            <w:textDirection w:val="tbRlV"/>
          </w:tcPr>
          <w:p>
            <w:pPr>
              <w:pStyle w:val="TableText"/>
              <w:ind w:left="47"/>
              <w:spacing w:before="69" w:line="217" w:lineRule="auto"/>
              <w:rPr/>
            </w:pPr>
            <w:r>
              <w:rPr/>
              <w:t>序</w:t>
            </w:r>
            <w:r>
              <w:rPr>
                <w:spacing w:val="36"/>
                <w:w w:val="101"/>
              </w:rPr>
              <w:t xml:space="preserve"> </w:t>
            </w:r>
            <w:r>
              <w:rPr/>
              <w:t>号</w:t>
            </w:r>
          </w:p>
        </w:tc>
        <w:tc>
          <w:tcPr>
            <w:tcW w:w="3986" w:type="dxa"/>
            <w:vAlign w:val="top"/>
          </w:tcPr>
          <w:p>
            <w:pPr>
              <w:pStyle w:val="TableText"/>
              <w:ind w:left="1401"/>
              <w:spacing w:before="181" w:line="219" w:lineRule="auto"/>
              <w:rPr/>
            </w:pPr>
            <w:r>
              <w:rPr>
                <w:spacing w:val="-1"/>
              </w:rPr>
              <w:t>政策措施主要内容</w:t>
            </w:r>
          </w:p>
        </w:tc>
        <w:tc>
          <w:tcPr>
            <w:tcW w:w="2128" w:type="dxa"/>
            <w:vAlign w:val="top"/>
          </w:tcPr>
          <w:p>
            <w:pPr>
              <w:pStyle w:val="TableText"/>
              <w:ind w:left="754"/>
              <w:spacing w:before="180" w:line="219" w:lineRule="auto"/>
              <w:rPr/>
            </w:pPr>
            <w:r>
              <w:rPr>
                <w:spacing w:val="-1"/>
              </w:rPr>
              <w:t>政策依据</w:t>
            </w:r>
          </w:p>
        </w:tc>
        <w:tc>
          <w:tcPr>
            <w:tcW w:w="919" w:type="dxa"/>
            <w:vAlign w:val="top"/>
          </w:tcPr>
          <w:p>
            <w:pPr>
              <w:pStyle w:val="TableText"/>
              <w:ind w:left="306" w:right="157" w:hanging="149"/>
              <w:spacing w:before="81" w:line="241" w:lineRule="auto"/>
              <w:rPr/>
            </w:pPr>
            <w:r>
              <w:rPr>
                <w:spacing w:val="-2"/>
              </w:rPr>
              <w:t>政策执行</w:t>
            </w:r>
            <w:r>
              <w:rPr>
                <w:spacing w:val="1"/>
              </w:rPr>
              <w:t xml:space="preserve"> </w:t>
            </w:r>
            <w:r>
              <w:rPr>
                <w:spacing w:val="7"/>
              </w:rPr>
              <w:t>时间</w:t>
            </w:r>
          </w:p>
        </w:tc>
        <w:tc>
          <w:tcPr>
            <w:tcW w:w="829" w:type="dxa"/>
            <w:vAlign w:val="top"/>
          </w:tcPr>
          <w:p>
            <w:pPr>
              <w:pStyle w:val="TableText"/>
              <w:ind w:left="257" w:right="123" w:hanging="150"/>
              <w:spacing w:before="8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81" w:line="219" w:lineRule="auto"/>
              <w:rPr/>
            </w:pPr>
            <w:r>
              <w:rPr>
                <w:spacing w:val="-1"/>
              </w:rPr>
              <w:t>政策类别</w:t>
            </w:r>
          </w:p>
        </w:tc>
        <w:tc>
          <w:tcPr>
            <w:tcW w:w="464" w:type="dxa"/>
            <w:vAlign w:val="top"/>
          </w:tcPr>
          <w:p>
            <w:pPr>
              <w:pStyle w:val="TableText"/>
              <w:ind w:left="80" w:right="79"/>
              <w:spacing w:before="72" w:line="252" w:lineRule="auto"/>
              <w:rPr/>
            </w:pPr>
            <w:r>
              <w:rPr>
                <w:spacing w:val="-3"/>
              </w:rPr>
              <w:t>政策</w:t>
            </w:r>
            <w:r>
              <w:rPr/>
              <w:t xml:space="preserve"> </w:t>
            </w:r>
            <w:r>
              <w:rPr>
                <w:spacing w:val="-4"/>
              </w:rPr>
              <w:t>形式</w:t>
            </w:r>
          </w:p>
        </w:tc>
      </w:tr>
      <w:tr>
        <w:trPr>
          <w:trHeight w:val="1208" w:hRule="atLeast"/>
        </w:trPr>
        <w:tc>
          <w:tcPr>
            <w:tcW w:w="284" w:type="dxa"/>
            <w:vAlign w:val="top"/>
          </w:tcPr>
          <w:p>
            <w:pPr>
              <w:spacing w:line="256" w:lineRule="auto"/>
              <w:rPr>
                <w:rFonts w:ascii="Arial"/>
                <w:sz w:val="21"/>
              </w:rPr>
            </w:pPr>
            <w:r/>
          </w:p>
          <w:p>
            <w:pPr>
              <w:spacing w:line="257" w:lineRule="auto"/>
              <w:rPr>
                <w:rFonts w:ascii="Arial"/>
                <w:sz w:val="21"/>
              </w:rPr>
            </w:pPr>
            <w:r/>
          </w:p>
          <w:p>
            <w:pPr>
              <w:pStyle w:val="TableText"/>
              <w:ind w:left="94"/>
              <w:spacing w:before="48" w:line="184" w:lineRule="auto"/>
              <w:rPr/>
            </w:pPr>
            <w:r>
              <w:rPr/>
              <w:t>1</w:t>
            </w:r>
          </w:p>
        </w:tc>
        <w:tc>
          <w:tcPr>
            <w:tcW w:w="3986" w:type="dxa"/>
            <w:vAlign w:val="top"/>
          </w:tcPr>
          <w:p>
            <w:pPr>
              <w:pStyle w:val="TableText"/>
              <w:ind w:left="41" w:right="40"/>
              <w:spacing w:before="117" w:line="238" w:lineRule="auto"/>
              <w:rPr/>
            </w:pPr>
            <w:r>
              <w:rPr/>
              <w:t>在继续执行现有各类通行费减免政策的基础</w:t>
            </w:r>
            <w:r>
              <w:rPr>
                <w:spacing w:val="-1"/>
              </w:rPr>
              <w:t>上，全国收费公</w:t>
            </w:r>
            <w:r>
              <w:rPr/>
              <w:t xml:space="preserve"> </w:t>
            </w:r>
            <w:r>
              <w:rPr/>
              <w:t>路统一对货车通行费再减免10%。</w:t>
            </w:r>
          </w:p>
        </w:tc>
        <w:tc>
          <w:tcPr>
            <w:tcW w:w="2128" w:type="dxa"/>
            <w:vAlign w:val="top"/>
          </w:tcPr>
          <w:p>
            <w:pPr>
              <w:pStyle w:val="TableText"/>
              <w:ind w:left="34" w:right="88" w:firstLine="50"/>
              <w:spacing w:before="108" w:line="239" w:lineRule="auto"/>
              <w:jc w:val="both"/>
              <w:rPr/>
            </w:pPr>
            <w:r>
              <w:rPr>
                <w:spacing w:val="-1"/>
              </w:rPr>
              <w:t>交通运输部、财政部《关于做</w:t>
            </w:r>
            <w:r>
              <w:rPr>
                <w:spacing w:val="3"/>
              </w:rPr>
              <w:t xml:space="preserve"> </w:t>
            </w:r>
            <w:r>
              <w:rPr>
                <w:spacing w:val="3"/>
              </w:rPr>
              <w:t>好阶段性减免收费公路货车通</w:t>
            </w:r>
            <w:r>
              <w:rPr>
                <w:spacing w:val="4"/>
              </w:rPr>
              <w:t xml:space="preserve"> </w:t>
            </w:r>
            <w:r>
              <w:rPr>
                <w:spacing w:val="3"/>
              </w:rPr>
              <w:t>行费有关工作的通知》交公路</w:t>
            </w:r>
            <w:r>
              <w:rPr>
                <w:spacing w:val="1"/>
              </w:rPr>
              <w:t xml:space="preserve"> </w:t>
            </w:r>
            <w:r>
              <w:rPr/>
              <w:t>明电〔2022〕282号</w:t>
            </w:r>
          </w:p>
        </w:tc>
        <w:tc>
          <w:tcPr>
            <w:tcW w:w="919" w:type="dxa"/>
            <w:vAlign w:val="top"/>
          </w:tcPr>
          <w:p>
            <w:pPr>
              <w:pStyle w:val="TableText"/>
              <w:ind w:left="16" w:right="14" w:firstLine="10"/>
              <w:spacing w:before="116" w:line="236" w:lineRule="auto"/>
              <w:jc w:val="both"/>
              <w:rPr/>
            </w:pPr>
            <w:r>
              <w:rPr>
                <w:spacing w:val="-9"/>
              </w:rPr>
              <w:t>2</w:t>
            </w:r>
            <w:r>
              <w:rPr>
                <w:spacing w:val="-21"/>
              </w:rPr>
              <w:t xml:space="preserve"> </w:t>
            </w:r>
            <w:r>
              <w:rPr>
                <w:spacing w:val="-9"/>
              </w:rPr>
              <w:t>0</w:t>
            </w:r>
            <w:r>
              <w:rPr>
                <w:spacing w:val="-21"/>
              </w:rPr>
              <w:t xml:space="preserve"> </w:t>
            </w:r>
            <w:r>
              <w:rPr>
                <w:spacing w:val="-9"/>
              </w:rPr>
              <w:t>2</w:t>
            </w:r>
            <w:r>
              <w:rPr>
                <w:spacing w:val="-22"/>
              </w:rPr>
              <w:t xml:space="preserve"> </w:t>
            </w:r>
            <w:r>
              <w:rPr>
                <w:spacing w:val="-9"/>
              </w:rPr>
              <w:t>2</w:t>
            </w:r>
            <w:r>
              <w:rPr>
                <w:spacing w:val="-23"/>
              </w:rPr>
              <w:t xml:space="preserve"> </w:t>
            </w:r>
            <w:r>
              <w:rPr>
                <w:spacing w:val="-9"/>
              </w:rPr>
              <w:t>年</w:t>
            </w:r>
            <w:r>
              <w:rPr>
                <w:spacing w:val="-12"/>
              </w:rPr>
              <w:t xml:space="preserve"> </w:t>
            </w:r>
            <w:r>
              <w:rPr>
                <w:spacing w:val="-9"/>
              </w:rPr>
              <w:t>1</w:t>
            </w:r>
            <w:r>
              <w:rPr>
                <w:spacing w:val="-22"/>
              </w:rPr>
              <w:t xml:space="preserve"> </w:t>
            </w:r>
            <w:r>
              <w:rPr>
                <w:spacing w:val="-9"/>
              </w:rPr>
              <w:t>0</w:t>
            </w:r>
            <w:r>
              <w:rPr/>
              <w:t xml:space="preserve"> </w:t>
            </w:r>
            <w:r>
              <w:rPr>
                <w:spacing w:val="-11"/>
              </w:rPr>
              <w:t>月</w:t>
            </w:r>
            <w:r>
              <w:rPr>
                <w:spacing w:val="10"/>
              </w:rPr>
              <w:t xml:space="preserve"> </w:t>
            </w:r>
            <w:r>
              <w:rPr>
                <w:spacing w:val="-11"/>
              </w:rPr>
              <w:t>1</w:t>
            </w:r>
            <w:r>
              <w:rPr>
                <w:spacing w:val="21"/>
              </w:rPr>
              <w:t xml:space="preserve"> </w:t>
            </w:r>
            <w:r>
              <w:rPr>
                <w:spacing w:val="-11"/>
              </w:rPr>
              <w:t>日 0</w:t>
            </w:r>
            <w:r>
              <w:rPr>
                <w:spacing w:val="2"/>
              </w:rPr>
              <w:t xml:space="preserve"> </w:t>
            </w:r>
            <w:r>
              <w:rPr>
                <w:spacing w:val="-11"/>
              </w:rPr>
              <w:t>时</w:t>
            </w:r>
            <w:r>
              <w:rPr/>
              <w:t xml:space="preserve"> </w:t>
            </w:r>
            <w:r>
              <w:rPr>
                <w:spacing w:val="-3"/>
              </w:rPr>
              <w:t>起</w:t>
            </w:r>
            <w:r>
              <w:rPr>
                <w:spacing w:val="-4"/>
              </w:rPr>
              <w:t xml:space="preserve"> </w:t>
            </w:r>
            <w:r>
              <w:rPr>
                <w:spacing w:val="-3"/>
              </w:rPr>
              <w:t>至 1 2</w:t>
            </w:r>
            <w:r>
              <w:rPr>
                <w:spacing w:val="-6"/>
              </w:rPr>
              <w:t xml:space="preserve"> </w:t>
            </w:r>
            <w:r>
              <w:rPr>
                <w:spacing w:val="-3"/>
              </w:rPr>
              <w:t>月</w:t>
            </w:r>
            <w:r>
              <w:rPr/>
              <w:t xml:space="preserve"> </w:t>
            </w:r>
            <w:r>
              <w:rPr>
                <w:spacing w:val="-11"/>
              </w:rPr>
              <w:t>3 1</w:t>
            </w:r>
            <w:r>
              <w:rPr>
                <w:spacing w:val="14"/>
              </w:rPr>
              <w:t xml:space="preserve"> </w:t>
            </w:r>
            <w:r>
              <w:rPr>
                <w:spacing w:val="-11"/>
              </w:rPr>
              <w:t>日</w:t>
            </w:r>
            <w:r>
              <w:rPr>
                <w:spacing w:val="-15"/>
              </w:rPr>
              <w:t xml:space="preserve"> </w:t>
            </w:r>
            <w:r>
              <w:rPr>
                <w:spacing w:val="-11"/>
              </w:rPr>
              <w:t>2</w:t>
            </w:r>
            <w:r>
              <w:rPr>
                <w:spacing w:val="-19"/>
              </w:rPr>
              <w:t xml:space="preserve"> </w:t>
            </w:r>
            <w:r>
              <w:rPr>
                <w:spacing w:val="-11"/>
              </w:rPr>
              <w:t>4 时</w:t>
            </w:r>
            <w:r>
              <w:rPr/>
              <w:t xml:space="preserve"> </w:t>
            </w:r>
            <w:r>
              <w:rPr>
                <w:spacing w:val="-3"/>
              </w:rPr>
              <w:t>结束</w:t>
            </w:r>
          </w:p>
        </w:tc>
        <w:tc>
          <w:tcPr>
            <w:tcW w:w="829" w:type="dxa"/>
            <w:vAlign w:val="top"/>
          </w:tcPr>
          <w:p>
            <w:pPr>
              <w:pStyle w:val="TableText"/>
              <w:ind w:left="38"/>
              <w:spacing w:before="117" w:line="219" w:lineRule="auto"/>
              <w:rPr/>
            </w:pPr>
            <w:r>
              <w:rPr>
                <w:spacing w:val="-1"/>
              </w:rPr>
              <w:t>通行收费公</w:t>
            </w:r>
          </w:p>
          <w:p>
            <w:pPr>
              <w:pStyle w:val="TableText"/>
              <w:ind w:left="38"/>
              <w:spacing w:before="21" w:line="219" w:lineRule="auto"/>
              <w:rPr/>
            </w:pPr>
            <w:r>
              <w:rPr>
                <w:spacing w:val="-2"/>
              </w:rPr>
              <w:t>路的所有货</w:t>
            </w:r>
          </w:p>
          <w:p>
            <w:pPr>
              <w:pStyle w:val="TableText"/>
              <w:ind w:left="338"/>
              <w:spacing w:before="13" w:line="219" w:lineRule="auto"/>
              <w:rPr/>
            </w:pPr>
            <w:r>
              <w:rPr/>
              <w:t>车</w:t>
            </w:r>
          </w:p>
        </w:tc>
        <w:tc>
          <w:tcPr>
            <w:tcW w:w="1029" w:type="dxa"/>
            <w:vAlign w:val="top"/>
          </w:tcPr>
          <w:p>
            <w:pPr>
              <w:pStyle w:val="TableText"/>
              <w:ind w:left="208"/>
              <w:spacing w:before="117" w:line="220" w:lineRule="auto"/>
              <w:rPr/>
            </w:pPr>
            <w:r>
              <w:rPr>
                <w:spacing w:val="-2"/>
              </w:rPr>
              <w:t>行政通知</w:t>
            </w:r>
          </w:p>
        </w:tc>
        <w:tc>
          <w:tcPr>
            <w:tcW w:w="464" w:type="dxa"/>
            <w:vAlign w:val="top"/>
          </w:tcPr>
          <w:p>
            <w:pPr>
              <w:pStyle w:val="TableText"/>
              <w:ind w:left="80"/>
              <w:spacing w:before="107" w:line="220" w:lineRule="auto"/>
              <w:rPr/>
            </w:pPr>
            <w:r>
              <w:rPr>
                <w:spacing w:val="-2"/>
              </w:rPr>
              <w:t>减免</w:t>
            </w:r>
          </w:p>
        </w:tc>
      </w:tr>
      <w:tr>
        <w:trPr>
          <w:trHeight w:val="3988" w:hRule="atLeast"/>
        </w:trPr>
        <w:tc>
          <w:tcPr>
            <w:tcW w:w="284"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94"/>
              <w:spacing w:before="49" w:line="183" w:lineRule="auto"/>
              <w:rPr/>
            </w:pPr>
            <w:r>
              <w:rPr/>
              <w:t>2</w:t>
            </w:r>
          </w:p>
        </w:tc>
        <w:tc>
          <w:tcPr>
            <w:tcW w:w="3986" w:type="dxa"/>
            <w:vAlign w:val="top"/>
          </w:tcPr>
          <w:p>
            <w:pPr>
              <w:pStyle w:val="TableText"/>
              <w:ind w:left="41" w:right="8"/>
              <w:spacing w:before="139" w:line="237" w:lineRule="auto"/>
              <w:jc w:val="both"/>
              <w:rPr/>
            </w:pPr>
            <w:r>
              <w:rPr>
                <w:spacing w:val="-1"/>
              </w:rPr>
              <w:t>为夯实民航安全基础，以保最低运行航班量和保安全飞行为</w:t>
            </w:r>
            <w:r>
              <w:rPr>
                <w:spacing w:val="17"/>
              </w:rPr>
              <w:t xml:space="preserve"> </w:t>
            </w:r>
            <w:r>
              <w:rPr>
                <w:spacing w:val="1"/>
              </w:rPr>
              <w:t>目标，现对国内运输航空公司经营的国内客运航班实施阶段</w:t>
            </w:r>
            <w:r>
              <w:rPr/>
              <w:t xml:space="preserve"> </w:t>
            </w:r>
            <w:r>
              <w:rPr>
                <w:spacing w:val="-2"/>
              </w:rPr>
              <w:t>性财政补贴</w:t>
            </w:r>
          </w:p>
          <w:p>
            <w:pPr>
              <w:pStyle w:val="TableText"/>
              <w:ind w:left="41"/>
              <w:spacing w:before="52" w:line="219" w:lineRule="auto"/>
              <w:rPr/>
            </w:pPr>
            <w:r>
              <w:rPr/>
              <w:t>1.财政补贴启动条件</w:t>
            </w:r>
          </w:p>
          <w:p>
            <w:pPr>
              <w:pStyle w:val="TableText"/>
              <w:ind w:left="41" w:right="129" w:hanging="10"/>
              <w:spacing w:before="21" w:line="233" w:lineRule="auto"/>
              <w:rPr/>
            </w:pPr>
            <w:r>
              <w:rPr>
                <w:spacing w:val="-1"/>
              </w:rPr>
              <w:t>原则上当每周内日均国内客运航班量低于或等于4500班(保</w:t>
            </w:r>
            <w:r>
              <w:rPr>
                <w:spacing w:val="17"/>
              </w:rPr>
              <w:t xml:space="preserve"> </w:t>
            </w:r>
            <w:r>
              <w:rPr/>
              <w:t>持安全运行最低飞行航班数)时，启动财政补贴。</w:t>
            </w:r>
          </w:p>
          <w:p>
            <w:pPr>
              <w:pStyle w:val="TableText"/>
              <w:ind w:left="41"/>
              <w:spacing w:before="52" w:line="219" w:lineRule="auto"/>
              <w:rPr/>
            </w:pPr>
            <w:r>
              <w:rPr>
                <w:spacing w:val="1"/>
              </w:rPr>
              <w:t>2.补贴对象和范围</w:t>
            </w:r>
          </w:p>
          <w:p>
            <w:pPr>
              <w:pStyle w:val="TableText"/>
              <w:ind w:left="41" w:right="178"/>
              <w:spacing w:before="31" w:line="239" w:lineRule="auto"/>
              <w:rPr/>
            </w:pPr>
            <w:r>
              <w:rPr/>
              <w:t>国内运输航空公司执飞同时符合下列条件的国内客运航班</w:t>
            </w:r>
            <w:r>
              <w:rPr>
                <w:spacing w:val="5"/>
              </w:rPr>
              <w:t xml:space="preserve"> </w:t>
            </w:r>
            <w:r>
              <w:rPr>
                <w:spacing w:val="-1"/>
              </w:rPr>
              <w:t>纳入资金支持范围。</w:t>
            </w:r>
          </w:p>
          <w:p>
            <w:pPr>
              <w:pStyle w:val="TableText"/>
              <w:ind w:left="41" w:right="199" w:firstLine="59"/>
              <w:spacing w:before="22" w:line="238" w:lineRule="auto"/>
              <w:rPr/>
            </w:pPr>
            <w:r>
              <w:rPr/>
              <w:t>(1)国内客运航班，不含港澳台航班、承担重大紧急运输 </w:t>
            </w:r>
            <w:r>
              <w:rPr>
                <w:spacing w:val="-1"/>
              </w:rPr>
              <w:t>任务的航班、调机、公务机等。</w:t>
            </w:r>
          </w:p>
          <w:p>
            <w:pPr>
              <w:pStyle w:val="TableText"/>
              <w:ind w:left="90"/>
              <w:spacing w:before="23" w:line="219" w:lineRule="auto"/>
              <w:rPr/>
            </w:pPr>
            <w:r>
              <w:rPr/>
              <w:t>(2)实际运行的每周内日均国内客运航班量未超过保持安</w:t>
            </w:r>
          </w:p>
          <w:p>
            <w:pPr>
              <w:pStyle w:val="TableText"/>
              <w:ind w:left="41" w:right="40"/>
              <w:spacing w:before="41" w:line="233" w:lineRule="auto"/>
              <w:rPr/>
            </w:pPr>
            <w:r>
              <w:rPr/>
              <w:t>全运行最低飞行航班数。经停航班按每条航</w:t>
            </w:r>
            <w:r>
              <w:rPr>
                <w:spacing w:val="-1"/>
              </w:rPr>
              <w:t>段起飞港分别核</w:t>
            </w:r>
            <w:r>
              <w:rPr/>
              <w:t xml:space="preserve"> </w:t>
            </w:r>
            <w:r>
              <w:rPr>
                <w:spacing w:val="-2"/>
              </w:rPr>
              <w:t>算。</w:t>
            </w:r>
          </w:p>
          <w:p>
            <w:pPr>
              <w:pStyle w:val="TableText"/>
              <w:ind w:left="41" w:right="189" w:firstLine="69"/>
              <w:spacing w:before="41" w:line="227" w:lineRule="auto"/>
              <w:rPr/>
            </w:pPr>
            <w:r>
              <w:rPr/>
              <w:t>(3)每周每条航段平均客座率未超过75%。多家运输航空</w:t>
            </w:r>
            <w:r>
              <w:rPr>
                <w:spacing w:val="3"/>
              </w:rPr>
              <w:t xml:space="preserve">  </w:t>
            </w:r>
            <w:r>
              <w:rPr/>
              <w:t>公司共飞同一航段，按各公司该航段周平均</w:t>
            </w:r>
            <w:r>
              <w:rPr>
                <w:spacing w:val="-1"/>
              </w:rPr>
              <w:t>客座率计算。</w:t>
            </w:r>
          </w:p>
          <w:p>
            <w:pPr>
              <w:pStyle w:val="TableText"/>
              <w:ind w:left="41"/>
              <w:spacing w:before="61" w:line="201" w:lineRule="exact"/>
              <w:rPr/>
            </w:pPr>
            <w:r>
              <w:rPr>
                <w:position w:val="3"/>
              </w:rPr>
              <w:t>(4)航班实际收入无法覆盖变动成本</w:t>
            </w:r>
          </w:p>
          <w:p>
            <w:pPr>
              <w:pStyle w:val="TableText"/>
              <w:ind w:left="41"/>
              <w:spacing w:line="219" w:lineRule="auto"/>
              <w:rPr/>
            </w:pPr>
            <w:r>
              <w:rPr>
                <w:spacing w:val="-1"/>
              </w:rPr>
              <w:t>3.补贴标准和期限</w:t>
            </w:r>
          </w:p>
        </w:tc>
        <w:tc>
          <w:tcPr>
            <w:tcW w:w="2128" w:type="dxa"/>
            <w:vAlign w:val="top"/>
          </w:tcPr>
          <w:p>
            <w:pPr>
              <w:pStyle w:val="TableText"/>
              <w:ind w:left="44" w:right="20" w:firstLine="40"/>
              <w:spacing w:before="138" w:line="226" w:lineRule="auto"/>
              <w:jc w:val="both"/>
              <w:rPr/>
            </w:pPr>
            <w:r>
              <w:rPr>
                <w:spacing w:val="-1"/>
              </w:rPr>
              <w:t>财政部民航局《关于阶段性实</w:t>
            </w:r>
            <w:r>
              <w:rPr>
                <w:spacing w:val="2"/>
              </w:rPr>
              <w:t xml:space="preserve">  </w:t>
            </w:r>
            <w:r>
              <w:rPr>
                <w:spacing w:val="2"/>
              </w:rPr>
              <w:t>施国内客运航班运行财政补贴</w:t>
            </w:r>
            <w:r>
              <w:rPr>
                <w:spacing w:val="3"/>
              </w:rPr>
              <w:t xml:space="preserve">  </w:t>
            </w:r>
            <w:r>
              <w:rPr>
                <w:spacing w:val="1"/>
              </w:rPr>
              <w:t>的通知》(财建〔2022〕142号)</w:t>
            </w:r>
          </w:p>
        </w:tc>
        <w:tc>
          <w:tcPr>
            <w:tcW w:w="919" w:type="dxa"/>
            <w:vAlign w:val="top"/>
          </w:tcPr>
          <w:p>
            <w:pPr>
              <w:pStyle w:val="TableText"/>
              <w:ind w:left="26" w:right="1" w:firstLine="10"/>
              <w:spacing w:before="119" w:line="227" w:lineRule="auto"/>
              <w:rPr/>
            </w:pPr>
            <w:r>
              <w:rPr>
                <w:spacing w:val="15"/>
                <w:w w:val="113"/>
              </w:rPr>
              <w:t>2022年5月</w:t>
            </w:r>
            <w:r>
              <w:rPr>
                <w:spacing w:val="1"/>
              </w:rPr>
              <w:t xml:space="preserve"> </w:t>
            </w:r>
            <w:r>
              <w:rPr>
                <w:spacing w:val="-2"/>
              </w:rPr>
              <w:t>25日起</w:t>
            </w:r>
          </w:p>
        </w:tc>
        <w:tc>
          <w:tcPr>
            <w:tcW w:w="829" w:type="dxa"/>
            <w:vAlign w:val="top"/>
          </w:tcPr>
          <w:p>
            <w:pPr>
              <w:pStyle w:val="TableText"/>
              <w:ind w:left="187" w:right="25" w:hanging="149"/>
              <w:spacing w:before="128" w:line="229" w:lineRule="auto"/>
              <w:rPr/>
            </w:pPr>
            <w:r>
              <w:rPr>
                <w:spacing w:val="1"/>
              </w:rPr>
              <w:t>国内运输航</w:t>
            </w:r>
            <w:r>
              <w:rPr/>
              <w:t xml:space="preserve"> </w:t>
            </w:r>
            <w:r>
              <w:rPr>
                <w:spacing w:val="6"/>
              </w:rPr>
              <w:t>空公司</w:t>
            </w:r>
          </w:p>
        </w:tc>
        <w:tc>
          <w:tcPr>
            <w:tcW w:w="1029" w:type="dxa"/>
            <w:vAlign w:val="top"/>
          </w:tcPr>
          <w:p>
            <w:pPr>
              <w:pStyle w:val="TableText"/>
              <w:ind w:left="208"/>
              <w:spacing w:before="129" w:line="220" w:lineRule="auto"/>
              <w:rPr/>
            </w:pPr>
            <w:r>
              <w:rPr>
                <w:spacing w:val="-2"/>
              </w:rPr>
              <w:t>行政通知</w:t>
            </w:r>
          </w:p>
        </w:tc>
        <w:tc>
          <w:tcPr>
            <w:tcW w:w="464" w:type="dxa"/>
            <w:vAlign w:val="top"/>
          </w:tcPr>
          <w:p>
            <w:pPr>
              <w:pStyle w:val="TableText"/>
              <w:ind w:left="80" w:right="79"/>
              <w:spacing w:before="119" w:line="226" w:lineRule="auto"/>
              <w:rPr/>
            </w:pPr>
            <w:r>
              <w:rPr>
                <w:spacing w:val="-4"/>
              </w:rPr>
              <w:t>财政</w:t>
            </w:r>
            <w:r>
              <w:rPr/>
              <w:t xml:space="preserve"> </w:t>
            </w:r>
            <w:r>
              <w:rPr>
                <w:spacing w:val="-3"/>
              </w:rPr>
              <w:t>补贴</w:t>
            </w:r>
          </w:p>
        </w:tc>
      </w:tr>
    </w:tbl>
    <w:p>
      <w:pPr>
        <w:pStyle w:val="BodyText"/>
        <w:rPr/>
      </w:pPr>
      <w:r/>
    </w:p>
    <w:p>
      <w:pPr>
        <w:sectPr>
          <w:footerReference w:type="default" r:id="rId2"/>
          <w:pgSz w:w="11910" w:h="8220"/>
          <w:pgMar w:top="400" w:right="114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809792" behindDoc="0" locked="0" layoutInCell="0" allowOverlap="1">
                <wp:simplePos x="0" y="0"/>
                <wp:positionH relativeFrom="page">
                  <wp:posOffset>470967</wp:posOffset>
                </wp:positionH>
                <wp:positionV relativeFrom="page">
                  <wp:posOffset>4382489</wp:posOffset>
                </wp:positionV>
                <wp:extent cx="203834" cy="214629"/>
                <wp:effectExtent l="0" t="0" r="0" b="0"/>
                <wp:wrapNone/>
                <wp:docPr id="156" name="TextBox 156"/>
                <wp:cNvGraphicFramePr/>
                <a:graphic>
                  <a:graphicData uri="http://schemas.microsoft.com/office/word/2010/wordprocessingShape">
                    <wps:wsp>
                      <wps:cNvSpPr txBox="1"/>
                      <wps:spPr>
                        <a:xfrm rot="5400000">
                          <a:off x="470967" y="4382489"/>
                          <a:ext cx="203834"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151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8" style="position:absolute;margin-left:37.084pt;margin-top:345.078pt;mso-position-vertical-relative:page;mso-position-horizontal-relative:page;width:16.05pt;height:16.9pt;z-index:251809792;rotation:90;" o:allowincell="f" filled="false" stroked="false" type="#_x0000_t202">
                <v:fill on="false"/>
                <v:stroke on="false"/>
                <v:path/>
                <v:imagedata o:title=""/>
                <o:lock v:ext="edit" aspectratio="false"/>
                <v:textbox inset="0mm,0mm,0mm,0mm">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151</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74"/>
      </w:tblGrid>
      <w:tr>
        <w:trPr>
          <w:trHeight w:val="494" w:hRule="atLeast"/>
        </w:trPr>
        <w:tc>
          <w:tcPr>
            <w:tcW w:w="284" w:type="dxa"/>
            <w:vAlign w:val="top"/>
            <w:textDirection w:val="tbRlV"/>
          </w:tcPr>
          <w:p>
            <w:pPr>
              <w:pStyle w:val="TableText"/>
              <w:ind w:left="37"/>
              <w:spacing w:before="69" w:line="217" w:lineRule="auto"/>
              <w:rPr/>
            </w:pPr>
            <w:r>
              <w:rPr/>
              <w:t>序</w:t>
            </w:r>
            <w:r>
              <w:rPr>
                <w:spacing w:val="36"/>
                <w:w w:val="101"/>
              </w:rPr>
              <w:t xml:space="preserve"> </w:t>
            </w:r>
            <w:r>
              <w:rPr/>
              <w:t>号</w:t>
            </w:r>
          </w:p>
        </w:tc>
        <w:tc>
          <w:tcPr>
            <w:tcW w:w="3986" w:type="dxa"/>
            <w:vAlign w:val="top"/>
          </w:tcPr>
          <w:p>
            <w:pPr>
              <w:pStyle w:val="TableText"/>
              <w:ind w:left="1381"/>
              <w:spacing w:before="171" w:line="219" w:lineRule="auto"/>
              <w:rPr/>
            </w:pPr>
            <w:r>
              <w:rPr>
                <w:spacing w:val="-1"/>
              </w:rPr>
              <w:t>政策措施主要内容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306" w:right="157" w:hanging="149"/>
              <w:spacing w:before="71" w:line="247" w:lineRule="auto"/>
              <w:rPr/>
            </w:pPr>
            <w:r>
              <w:rPr>
                <w:spacing w:val="-2"/>
              </w:rPr>
              <w:t>政策执行</w:t>
            </w:r>
            <w:r>
              <w:rPr>
                <w:spacing w:val="1"/>
              </w:rPr>
              <w:t xml:space="preserve"> </w:t>
            </w:r>
            <w:r>
              <w:rPr>
                <w:spacing w:val="7"/>
              </w:rPr>
              <w:t>时间</w:t>
            </w:r>
          </w:p>
        </w:tc>
        <w:tc>
          <w:tcPr>
            <w:tcW w:w="829" w:type="dxa"/>
            <w:vAlign w:val="top"/>
          </w:tcPr>
          <w:p>
            <w:pPr>
              <w:pStyle w:val="TableText"/>
              <w:ind w:left="257" w:right="123" w:hanging="150"/>
              <w:spacing w:before="74" w:line="237"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74" w:type="dxa"/>
            <w:vAlign w:val="top"/>
          </w:tcPr>
          <w:p>
            <w:pPr>
              <w:pStyle w:val="TableText"/>
              <w:ind w:left="80" w:right="89"/>
              <w:spacing w:before="61" w:line="246" w:lineRule="auto"/>
              <w:rPr/>
            </w:pPr>
            <w:r>
              <w:rPr>
                <w:spacing w:val="-3"/>
              </w:rPr>
              <w:t>政策</w:t>
            </w:r>
            <w:r>
              <w:rPr/>
              <w:t xml:space="preserve"> </w:t>
            </w:r>
            <w:r>
              <w:rPr>
                <w:spacing w:val="-4"/>
              </w:rPr>
              <w:t>形式</w:t>
            </w:r>
          </w:p>
        </w:tc>
      </w:tr>
      <w:tr>
        <w:trPr>
          <w:trHeight w:val="3145" w:hRule="atLeast"/>
        </w:trPr>
        <w:tc>
          <w:tcPr>
            <w:tcW w:w="28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4"/>
              <w:spacing w:before="48" w:line="183" w:lineRule="auto"/>
              <w:rPr/>
            </w:pPr>
            <w:r>
              <w:rPr/>
              <w:t>2</w:t>
            </w:r>
          </w:p>
        </w:tc>
        <w:tc>
          <w:tcPr>
            <w:tcW w:w="3986" w:type="dxa"/>
            <w:vAlign w:val="top"/>
          </w:tcPr>
          <w:p>
            <w:pPr>
              <w:pStyle w:val="TableText"/>
              <w:ind w:left="41" w:right="149" w:firstLine="99"/>
              <w:spacing w:before="135" w:line="246" w:lineRule="auto"/>
              <w:rPr/>
            </w:pPr>
            <w:r>
              <w:rPr/>
              <w:t>(1)对国内客运航班实际收入扣减变动成本后的亏损额给</w:t>
            </w:r>
            <w:r>
              <w:rPr>
                <w:spacing w:val="9"/>
              </w:rPr>
              <w:t xml:space="preserve"> </w:t>
            </w:r>
            <w:r>
              <w:rPr>
                <w:spacing w:val="-1"/>
              </w:rPr>
              <w:t>予补贴。设定最高亏损额补贴标准上限为每小时2.4万元  </w:t>
            </w:r>
            <w:r>
              <w:rPr>
                <w:spacing w:val="2"/>
              </w:rPr>
              <w:t>(2)政策实施期限为2022年5月21日至2022年</w:t>
            </w:r>
            <w:r>
              <w:rPr>
                <w:spacing w:val="1"/>
              </w:rPr>
              <w:t>7月20日。</w:t>
            </w:r>
          </w:p>
          <w:p>
            <w:pPr>
              <w:pStyle w:val="TableText"/>
              <w:ind w:left="31"/>
              <w:spacing w:before="22" w:line="219" w:lineRule="auto"/>
              <w:rPr/>
            </w:pPr>
            <w:r>
              <w:rPr>
                <w:spacing w:val="-1"/>
              </w:rPr>
              <w:t>4.资金渠道和支付方式</w:t>
            </w:r>
          </w:p>
          <w:p>
            <w:pPr>
              <w:pStyle w:val="TableText"/>
              <w:ind w:left="31"/>
              <w:spacing w:before="42" w:line="219" w:lineRule="auto"/>
              <w:rPr/>
            </w:pPr>
            <w:r>
              <w:rPr/>
              <w:t>补贴资金由中央和地方财政共同承担。其中</w:t>
            </w:r>
            <w:r>
              <w:rPr>
                <w:spacing w:val="-1"/>
              </w:rPr>
              <w:t>，中央财政对东</w:t>
            </w:r>
          </w:p>
          <w:p>
            <w:pPr>
              <w:pStyle w:val="TableText"/>
              <w:ind w:left="41" w:right="122" w:firstLine="69"/>
              <w:spacing w:before="39" w:line="234" w:lineRule="auto"/>
              <w:rPr/>
            </w:pPr>
            <w:r>
              <w:rPr/>
              <w:t>部、中部、西部地区分别补助65%、70%、</w:t>
            </w:r>
            <w:r>
              <w:rPr>
                <w:spacing w:val="-1"/>
              </w:rPr>
              <w:t>80%,东部、中部</w:t>
            </w:r>
            <w:r>
              <w:rPr/>
              <w:t xml:space="preserve"> </w:t>
            </w:r>
            <w:r>
              <w:rPr/>
              <w:t>西部地区地方财政分别承担35%、30%、20%。</w:t>
            </w:r>
          </w:p>
          <w:p>
            <w:pPr>
              <w:pStyle w:val="TableText"/>
              <w:ind w:left="31" w:right="52" w:firstLine="40"/>
              <w:spacing w:before="19" w:line="256" w:lineRule="auto"/>
              <w:jc w:val="right"/>
              <w:rPr/>
            </w:pPr>
            <w:r>
              <w:rPr/>
              <w:t>补贴资金由航班起飞港所在地(直辖市、计</w:t>
            </w:r>
            <w:r>
              <w:rPr>
                <w:spacing w:val="-1"/>
              </w:rPr>
              <w:t>划单列市或地级</w:t>
            </w:r>
            <w:r>
              <w:rPr/>
              <w:t xml:space="preserve"> </w:t>
            </w:r>
            <w:r>
              <w:rPr>
                <w:spacing w:val="1"/>
              </w:rPr>
              <w:t>以上城市，下同)财政部门拨付。中央财政补贴资金列入转</w:t>
            </w:r>
            <w:r>
              <w:rPr>
                <w:spacing w:val="14"/>
              </w:rPr>
              <w:t xml:space="preserve"> </w:t>
            </w:r>
            <w:r>
              <w:rPr>
                <w:spacing w:val="1"/>
              </w:rPr>
              <w:t>移支付下拨相关省级财政部门(航班起飞港所在地为计划单</w:t>
            </w:r>
            <w:r>
              <w:rPr>
                <w:spacing w:val="6"/>
              </w:rPr>
              <w:t xml:space="preserve"> </w:t>
            </w:r>
            <w:r>
              <w:rPr>
                <w:spacing w:val="2"/>
              </w:rPr>
              <w:t>列市的，省级财政部门指计划单列市财政部门，下同),采</w:t>
            </w:r>
            <w:r>
              <w:rPr>
                <w:spacing w:val="9"/>
              </w:rPr>
              <w:t xml:space="preserve">  </w:t>
            </w:r>
            <w:r>
              <w:rPr>
                <w:spacing w:val="-1"/>
              </w:rPr>
              <w:t>取先预拨后清算的方式。在政策实施后，分两批预拨中央财</w:t>
            </w:r>
          </w:p>
          <w:p>
            <w:pPr>
              <w:pStyle w:val="TableText"/>
              <w:ind w:left="41" w:right="405" w:firstLine="10"/>
              <w:spacing w:before="22" w:line="245" w:lineRule="auto"/>
              <w:rPr/>
            </w:pPr>
            <w:r>
              <w:rPr/>
              <w:t>政补贴资金上限的70%;剩余30%待补贴</w:t>
            </w:r>
            <w:r>
              <w:rPr>
                <w:spacing w:val="-1"/>
              </w:rPr>
              <w:t>政策到期后，根</w:t>
            </w:r>
            <w:r>
              <w:rPr/>
              <w:t xml:space="preserve"> </w:t>
            </w:r>
            <w:r>
              <w:rPr>
                <w:spacing w:val="-1"/>
              </w:rPr>
              <w:t>据实际情况按规定标准进行清算，多退少补</w:t>
            </w:r>
          </w:p>
        </w:tc>
        <w:tc>
          <w:tcPr>
            <w:tcW w:w="2128" w:type="dxa"/>
            <w:vAlign w:val="top"/>
          </w:tcPr>
          <w:p>
            <w:pPr>
              <w:rPr>
                <w:rFonts w:ascii="Arial"/>
                <w:sz w:val="21"/>
              </w:rPr>
            </w:pPr>
            <w:r/>
          </w:p>
        </w:tc>
        <w:tc>
          <w:tcPr>
            <w:tcW w:w="919" w:type="dxa"/>
            <w:vAlign w:val="top"/>
          </w:tcPr>
          <w:p>
            <w:pPr>
              <w:rPr>
                <w:rFonts w:ascii="Arial"/>
                <w:sz w:val="21"/>
              </w:rPr>
            </w:pPr>
            <w:r/>
          </w:p>
        </w:tc>
        <w:tc>
          <w:tcPr>
            <w:tcW w:w="829" w:type="dxa"/>
            <w:vAlign w:val="top"/>
          </w:tcPr>
          <w:p>
            <w:pPr>
              <w:rPr>
                <w:rFonts w:ascii="Arial"/>
                <w:sz w:val="21"/>
              </w:rPr>
            </w:pPr>
            <w:r/>
          </w:p>
        </w:tc>
        <w:tc>
          <w:tcPr>
            <w:tcW w:w="1029" w:type="dxa"/>
            <w:vAlign w:val="top"/>
          </w:tcPr>
          <w:p>
            <w:pPr>
              <w:rPr>
                <w:rFonts w:ascii="Arial"/>
                <w:sz w:val="21"/>
              </w:rPr>
            </w:pPr>
            <w:r/>
          </w:p>
        </w:tc>
        <w:tc>
          <w:tcPr>
            <w:tcW w:w="474" w:type="dxa"/>
            <w:vAlign w:val="top"/>
          </w:tcPr>
          <w:p>
            <w:pPr>
              <w:rPr>
                <w:rFonts w:ascii="Arial"/>
                <w:sz w:val="21"/>
              </w:rPr>
            </w:pPr>
            <w:r/>
          </w:p>
        </w:tc>
      </w:tr>
      <w:tr>
        <w:trPr>
          <w:trHeight w:val="2531" w:hRule="atLeast"/>
        </w:trPr>
        <w:tc>
          <w:tcPr>
            <w:tcW w:w="284"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94"/>
              <w:spacing w:before="49" w:line="183" w:lineRule="auto"/>
              <w:rPr/>
            </w:pPr>
            <w:r>
              <w:rPr/>
              <w:t>3</w:t>
            </w:r>
          </w:p>
        </w:tc>
        <w:tc>
          <w:tcPr>
            <w:tcW w:w="3986" w:type="dxa"/>
            <w:vAlign w:val="top"/>
          </w:tcPr>
          <w:p>
            <w:pPr>
              <w:pStyle w:val="TableText"/>
              <w:ind w:left="31"/>
              <w:spacing w:before="140" w:line="218" w:lineRule="auto"/>
              <w:rPr/>
            </w:pPr>
            <w:r>
              <w:rPr/>
              <w:t>1.“十四五”期间各省城市交通发展奖励资金涨价补贴中的</w:t>
            </w:r>
          </w:p>
          <w:p>
            <w:pPr>
              <w:pStyle w:val="TableText"/>
              <w:ind w:left="41"/>
              <w:spacing w:before="4" w:line="219" w:lineRule="auto"/>
              <w:rPr/>
            </w:pPr>
            <w:r>
              <w:rPr>
                <w:spacing w:val="-1"/>
              </w:rPr>
              <w:t>30%由各地用于支持出租车加快电动化，70%由各地统筹</w:t>
            </w:r>
          </w:p>
          <w:p>
            <w:pPr>
              <w:pStyle w:val="TableText"/>
              <w:ind w:left="31" w:right="50"/>
              <w:spacing w:before="53" w:line="253" w:lineRule="auto"/>
              <w:rPr/>
            </w:pPr>
            <w:r>
              <w:rPr>
                <w:spacing w:val="-1"/>
              </w:rPr>
              <w:t>用于支持城市交通领域新能源汽车运营。同时，各省从当地</w:t>
            </w:r>
            <w:r>
              <w:rPr>
                <w:spacing w:val="17"/>
              </w:rPr>
              <w:t xml:space="preserve"> </w:t>
            </w:r>
            <w:r>
              <w:rPr/>
              <w:t>城市交通发展奖励资金中，给予本省国家公</w:t>
            </w:r>
            <w:r>
              <w:rPr>
                <w:spacing w:val="-1"/>
              </w:rPr>
              <w:t>交都市建设示范</w:t>
            </w:r>
            <w:r>
              <w:rPr/>
              <w:t xml:space="preserve"> </w:t>
            </w:r>
            <w:r>
              <w:rPr>
                <w:spacing w:val="1"/>
              </w:rPr>
              <w:t>城市每城市每年500万元专项奖励资金，给予本省绿色货运</w:t>
            </w:r>
            <w:r>
              <w:rPr>
                <w:spacing w:val="6"/>
              </w:rPr>
              <w:t xml:space="preserve"> </w:t>
            </w:r>
            <w:r>
              <w:rPr>
                <w:spacing w:val="1"/>
              </w:rPr>
              <w:t>配送示范城市每城市每年300万元专项奖励资金，用于支持</w:t>
            </w:r>
            <w:r>
              <w:rPr>
                <w:spacing w:val="6"/>
              </w:rPr>
              <w:t xml:space="preserve"> </w:t>
            </w:r>
            <w:r>
              <w:rPr>
                <w:spacing w:val="-1"/>
              </w:rPr>
              <w:t>示范创建工作。</w:t>
            </w:r>
          </w:p>
          <w:p>
            <w:pPr>
              <w:pStyle w:val="TableText"/>
              <w:ind w:left="51"/>
              <w:spacing w:before="19" w:line="218" w:lineRule="auto"/>
              <w:rPr/>
            </w:pPr>
            <w:r>
              <w:rPr/>
              <w:t>2.2020年农村客运、出租车油价补贴政策延用</w:t>
            </w:r>
            <w:r>
              <w:rPr>
                <w:spacing w:val="-1"/>
              </w:rPr>
              <w:t>2015-2019</w:t>
            </w:r>
          </w:p>
          <w:p>
            <w:pPr>
              <w:pStyle w:val="TableText"/>
              <w:ind w:left="41" w:right="121" w:firstLine="69"/>
              <w:spacing w:before="43" w:line="241" w:lineRule="auto"/>
              <w:rPr/>
            </w:pPr>
            <w:r>
              <w:rPr/>
              <w:t>年的补贴政策，其中涨价补贴以2014年</w:t>
            </w:r>
            <w:r>
              <w:rPr>
                <w:spacing w:val="-1"/>
              </w:rPr>
              <w:t>实际执行数作为基</w:t>
            </w:r>
            <w:r>
              <w:rPr/>
              <w:t xml:space="preserve"> </w:t>
            </w:r>
            <w:r>
              <w:rPr>
                <w:spacing w:val="2"/>
              </w:rPr>
              <w:t>数，由地方统筹部分不低于60%,用于公共交通发展、新能</w:t>
            </w:r>
            <w:r>
              <w:rPr>
                <w:spacing w:val="7"/>
              </w:rPr>
              <w:t xml:space="preserve"> </w:t>
            </w:r>
            <w:r>
              <w:rPr>
                <w:spacing w:val="-1"/>
              </w:rPr>
              <w:t>源出租车和农村客运补贴、水路客运行业结构调整等</w:t>
            </w:r>
          </w:p>
        </w:tc>
        <w:tc>
          <w:tcPr>
            <w:tcW w:w="2128" w:type="dxa"/>
            <w:vAlign w:val="top"/>
          </w:tcPr>
          <w:p>
            <w:pPr>
              <w:pStyle w:val="TableText"/>
              <w:ind w:left="85" w:right="88"/>
              <w:spacing w:before="141" w:line="238" w:lineRule="auto"/>
              <w:jc w:val="both"/>
              <w:rPr/>
            </w:pPr>
            <w:r>
              <w:rPr>
                <w:spacing w:val="-1"/>
              </w:rPr>
              <w:t>财政部交通运输部《关于调整</w:t>
            </w:r>
            <w:r>
              <w:rPr>
                <w:spacing w:val="5"/>
              </w:rPr>
              <w:t xml:space="preserve"> </w:t>
            </w:r>
            <w:r>
              <w:rPr>
                <w:spacing w:val="-1"/>
              </w:rPr>
              <w:t>农村客运、出租车油价补贴政</w:t>
            </w:r>
            <w:r>
              <w:rPr>
                <w:spacing w:val="6"/>
              </w:rPr>
              <w:t xml:space="preserve"> </w:t>
            </w:r>
            <w:r>
              <w:rPr>
                <w:spacing w:val="-1"/>
              </w:rPr>
              <w:t>策的通知》(财建〔2022〕1号</w:t>
            </w:r>
          </w:p>
        </w:tc>
        <w:tc>
          <w:tcPr>
            <w:tcW w:w="919" w:type="dxa"/>
            <w:vAlign w:val="top"/>
          </w:tcPr>
          <w:p>
            <w:pPr>
              <w:pStyle w:val="TableText"/>
              <w:ind w:left="16" w:right="11" w:firstLine="30"/>
              <w:spacing w:before="142" w:line="221" w:lineRule="auto"/>
              <w:rPr/>
            </w:pPr>
            <w:r>
              <w:rPr>
                <w:spacing w:val="17"/>
                <w:w w:val="108"/>
              </w:rPr>
              <w:t>2022年1月</w:t>
            </w:r>
            <w:r>
              <w:rPr>
                <w:spacing w:val="1"/>
              </w:rPr>
              <w:t xml:space="preserve"> </w:t>
            </w:r>
            <w:r>
              <w:rPr>
                <w:spacing w:val="1"/>
              </w:rPr>
              <w:t>11日起</w:t>
            </w:r>
          </w:p>
        </w:tc>
        <w:tc>
          <w:tcPr>
            <w:tcW w:w="829" w:type="dxa"/>
            <w:vAlign w:val="top"/>
          </w:tcPr>
          <w:p>
            <w:pPr>
              <w:pStyle w:val="TableText"/>
              <w:ind w:left="38"/>
              <w:spacing w:before="142" w:line="219" w:lineRule="auto"/>
              <w:rPr/>
            </w:pPr>
            <w:r>
              <w:rPr>
                <w:spacing w:val="1"/>
              </w:rPr>
              <w:t>出租车企业</w:t>
            </w:r>
          </w:p>
        </w:tc>
        <w:tc>
          <w:tcPr>
            <w:tcW w:w="1029" w:type="dxa"/>
            <w:vAlign w:val="top"/>
          </w:tcPr>
          <w:p>
            <w:pPr>
              <w:pStyle w:val="TableText"/>
              <w:ind w:left="208"/>
              <w:spacing w:before="142" w:line="220" w:lineRule="auto"/>
              <w:rPr/>
            </w:pPr>
            <w:r>
              <w:rPr>
                <w:spacing w:val="-2"/>
              </w:rPr>
              <w:t>行政通知</w:t>
            </w:r>
          </w:p>
        </w:tc>
        <w:tc>
          <w:tcPr>
            <w:tcW w:w="474" w:type="dxa"/>
            <w:vAlign w:val="top"/>
          </w:tcPr>
          <w:p>
            <w:pPr>
              <w:pStyle w:val="TableText"/>
              <w:ind w:left="80" w:right="89"/>
              <w:spacing w:before="123" w:line="232" w:lineRule="auto"/>
              <w:rPr/>
            </w:pPr>
            <w:r>
              <w:rPr>
                <w:spacing w:val="-4"/>
              </w:rPr>
              <w:t>财政</w:t>
            </w:r>
            <w:r>
              <w:rPr/>
              <w:t xml:space="preserve"> </w:t>
            </w:r>
            <w:r>
              <w:rPr>
                <w:spacing w:val="-3"/>
              </w:rPr>
              <w:t>补贴</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81081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158" name="TextBox 158"/>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bookmarkStart w:name="bookmark9" w:id="8"/>
                            <w:bookmarkEnd w:id="8"/>
                            <w:r>
                              <w:rPr>
                                <w:rFonts w:ascii="SimSun" w:hAnsi="SimSun" w:eastAsia="SimSun" w:cs="SimSun"/>
                                <w:sz w:val="17"/>
                                <w:szCs w:val="17"/>
                                <w:spacing w:val="-5"/>
                              </w:rPr>
                              <w:t>152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0" style="position:absolute;margin-left:36.1352pt;margin-top:49.8954pt;mso-position-vertical-relative:page;mso-position-horizontal-relative:page;width:13.8pt;height:13pt;z-index:25181081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bookmarkStart w:name="bookmark9" w:id="9"/>
                      <w:bookmarkEnd w:id="9"/>
                      <w:r>
                        <w:rPr>
                          <w:rFonts w:ascii="SimSun" w:hAnsi="SimSun" w:eastAsia="SimSun" w:cs="SimSun"/>
                          <w:sz w:val="17"/>
                          <w:szCs w:val="17"/>
                          <w:spacing w:val="-5"/>
                        </w:rPr>
                        <w:t>152</w:t>
                      </w:r>
                    </w:p>
                  </w:txbxContent>
                </v:textbox>
              </v:shape>
            </w:pict>
          </mc:Fallback>
        </mc:AlternateContent>
      </w:r>
      <w:r/>
    </w:p>
    <w:p>
      <w:pPr>
        <w:spacing w:before="51"/>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
        <w:gridCol w:w="3986"/>
        <w:gridCol w:w="2128"/>
        <w:gridCol w:w="919"/>
        <w:gridCol w:w="829"/>
        <w:gridCol w:w="1029"/>
        <w:gridCol w:w="464"/>
      </w:tblGrid>
      <w:tr>
        <w:trPr>
          <w:trHeight w:val="494" w:hRule="atLeast"/>
        </w:trPr>
        <w:tc>
          <w:tcPr>
            <w:tcW w:w="284" w:type="dxa"/>
            <w:vAlign w:val="top"/>
            <w:textDirection w:val="tbRlV"/>
          </w:tcPr>
          <w:p>
            <w:pPr>
              <w:pStyle w:val="TableText"/>
              <w:ind w:left="47"/>
              <w:spacing w:before="69" w:line="217" w:lineRule="auto"/>
              <w:rPr/>
            </w:pPr>
            <w:r>
              <w:rPr/>
              <w:t>序</w:t>
            </w:r>
            <w:r>
              <w:rPr>
                <w:spacing w:val="16"/>
              </w:rPr>
              <w:t xml:space="preserve"> </w:t>
            </w:r>
            <w:r>
              <w:rPr/>
              <w:t>号</w:t>
            </w:r>
          </w:p>
        </w:tc>
        <w:tc>
          <w:tcPr>
            <w:tcW w:w="3986" w:type="dxa"/>
            <w:vAlign w:val="top"/>
          </w:tcPr>
          <w:p>
            <w:pPr>
              <w:pStyle w:val="TableText"/>
              <w:ind w:left="1401"/>
              <w:spacing w:before="171" w:line="219" w:lineRule="auto"/>
              <w:rPr/>
            </w:pPr>
            <w:r>
              <w:rPr>
                <w:spacing w:val="-1"/>
              </w:rPr>
              <w:t>政策措施主要内容</w:t>
            </w:r>
          </w:p>
        </w:tc>
        <w:tc>
          <w:tcPr>
            <w:tcW w:w="2128" w:type="dxa"/>
            <w:vAlign w:val="top"/>
          </w:tcPr>
          <w:p>
            <w:pPr>
              <w:pStyle w:val="TableText"/>
              <w:ind w:left="754"/>
              <w:spacing w:before="170" w:line="219" w:lineRule="auto"/>
              <w:rPr/>
            </w:pPr>
            <w:r>
              <w:rPr>
                <w:spacing w:val="-1"/>
              </w:rPr>
              <w:t>政策依据</w:t>
            </w:r>
          </w:p>
        </w:tc>
        <w:tc>
          <w:tcPr>
            <w:tcW w:w="919" w:type="dxa"/>
            <w:vAlign w:val="top"/>
          </w:tcPr>
          <w:p>
            <w:pPr>
              <w:pStyle w:val="TableText"/>
              <w:ind w:left="306" w:right="157" w:hanging="149"/>
              <w:spacing w:before="71" w:line="247" w:lineRule="auto"/>
              <w:rPr/>
            </w:pPr>
            <w:r>
              <w:rPr>
                <w:spacing w:val="-2"/>
              </w:rPr>
              <w:t>政策执行</w:t>
            </w:r>
            <w:r>
              <w:rPr>
                <w:spacing w:val="1"/>
              </w:rPr>
              <w:t xml:space="preserve"> </w:t>
            </w:r>
            <w:r>
              <w:rPr>
                <w:spacing w:val="7"/>
              </w:rPr>
              <w:t>时间</w:t>
            </w:r>
          </w:p>
        </w:tc>
        <w:tc>
          <w:tcPr>
            <w:tcW w:w="829" w:type="dxa"/>
            <w:vAlign w:val="top"/>
          </w:tcPr>
          <w:p>
            <w:pPr>
              <w:pStyle w:val="TableText"/>
              <w:ind w:left="257" w:right="123" w:hanging="150"/>
              <w:spacing w:before="72" w:line="244" w:lineRule="auto"/>
              <w:rPr/>
            </w:pPr>
            <w:r>
              <w:rPr>
                <w:spacing w:val="-4"/>
              </w:rPr>
              <w:t>惠及企业</w:t>
            </w:r>
            <w:r>
              <w:rPr>
                <w:spacing w:val="2"/>
              </w:rPr>
              <w:t xml:space="preserve"> </w:t>
            </w:r>
            <w:r>
              <w:rPr>
                <w:spacing w:val="-2"/>
              </w:rPr>
              <w:t>类型</w:t>
            </w:r>
          </w:p>
        </w:tc>
        <w:tc>
          <w:tcPr>
            <w:tcW w:w="1029" w:type="dxa"/>
            <w:vAlign w:val="top"/>
          </w:tcPr>
          <w:p>
            <w:pPr>
              <w:pStyle w:val="TableText"/>
              <w:ind w:left="208"/>
              <w:spacing w:before="171" w:line="219" w:lineRule="auto"/>
              <w:rPr/>
            </w:pPr>
            <w:r>
              <w:rPr>
                <w:spacing w:val="-1"/>
              </w:rPr>
              <w:t>政策类别</w:t>
            </w:r>
          </w:p>
        </w:tc>
        <w:tc>
          <w:tcPr>
            <w:tcW w:w="464" w:type="dxa"/>
            <w:vAlign w:val="top"/>
          </w:tcPr>
          <w:p>
            <w:pPr>
              <w:pStyle w:val="TableText"/>
              <w:ind w:left="80" w:right="79"/>
              <w:spacing w:before="62" w:line="252" w:lineRule="auto"/>
              <w:rPr/>
            </w:pPr>
            <w:r>
              <w:rPr>
                <w:spacing w:val="-3"/>
              </w:rPr>
              <w:t>政策</w:t>
            </w:r>
            <w:r>
              <w:rPr/>
              <w:t xml:space="preserve"> </w:t>
            </w:r>
            <w:r>
              <w:rPr>
                <w:spacing w:val="-4"/>
              </w:rPr>
              <w:t>形式</w:t>
            </w:r>
          </w:p>
        </w:tc>
      </w:tr>
      <w:tr>
        <w:trPr>
          <w:trHeight w:val="709" w:hRule="atLeast"/>
        </w:trPr>
        <w:tc>
          <w:tcPr>
            <w:tcW w:w="284" w:type="dxa"/>
            <w:vAlign w:val="top"/>
          </w:tcPr>
          <w:p>
            <w:pPr>
              <w:spacing w:line="265" w:lineRule="auto"/>
              <w:rPr>
                <w:rFonts w:ascii="Arial"/>
                <w:sz w:val="21"/>
              </w:rPr>
            </w:pPr>
            <w:r/>
          </w:p>
          <w:p>
            <w:pPr>
              <w:pStyle w:val="TableText"/>
              <w:ind w:left="94"/>
              <w:spacing w:before="49" w:line="183" w:lineRule="auto"/>
              <w:rPr/>
            </w:pPr>
            <w:r>
              <w:rPr/>
              <w:t>4</w:t>
            </w:r>
          </w:p>
        </w:tc>
        <w:tc>
          <w:tcPr>
            <w:tcW w:w="3986" w:type="dxa"/>
            <w:vAlign w:val="top"/>
          </w:tcPr>
          <w:p>
            <w:pPr>
              <w:pStyle w:val="TableText"/>
              <w:ind w:left="41"/>
              <w:spacing w:before="77" w:line="239" w:lineRule="exact"/>
              <w:rPr/>
            </w:pPr>
            <w:r>
              <w:rPr>
                <w:spacing w:val="-1"/>
                <w:position w:val="6"/>
              </w:rPr>
              <w:t>一、船舶安全管理体系审核全国通办。</w:t>
            </w:r>
          </w:p>
          <w:p>
            <w:pPr>
              <w:pStyle w:val="TableText"/>
              <w:ind w:left="41"/>
              <w:spacing w:line="219" w:lineRule="auto"/>
              <w:rPr/>
            </w:pPr>
            <w:r>
              <w:rPr>
                <w:spacing w:val="-1"/>
              </w:rPr>
              <w:t>二、船舶临时审核发证业务一日办结。</w:t>
            </w:r>
          </w:p>
        </w:tc>
        <w:tc>
          <w:tcPr>
            <w:tcW w:w="2128" w:type="dxa"/>
            <w:vAlign w:val="top"/>
          </w:tcPr>
          <w:p>
            <w:pPr>
              <w:pStyle w:val="TableText"/>
              <w:ind w:left="14" w:right="74" w:firstLine="70"/>
              <w:spacing w:before="77" w:line="228" w:lineRule="auto"/>
              <w:jc w:val="both"/>
              <w:rPr/>
            </w:pPr>
            <w:r>
              <w:rPr/>
              <w:t>中华人民共和国海事局《关于</w:t>
            </w:r>
            <w:r>
              <w:rPr>
                <w:spacing w:val="7"/>
              </w:rPr>
              <w:t xml:space="preserve"> </w:t>
            </w:r>
            <w:r>
              <w:rPr>
                <w:spacing w:val="4"/>
              </w:rPr>
              <w:t>船舶安全管理体系审核全国通</w:t>
            </w:r>
            <w:r>
              <w:rPr>
                <w:spacing w:val="11"/>
              </w:rPr>
              <w:t xml:space="preserve"> </w:t>
            </w:r>
            <w:r>
              <w:rPr>
                <w:spacing w:val="-1"/>
              </w:rPr>
              <w:t>办的公告》2021年第4号</w:t>
            </w:r>
          </w:p>
        </w:tc>
        <w:tc>
          <w:tcPr>
            <w:tcW w:w="919" w:type="dxa"/>
            <w:vAlign w:val="top"/>
          </w:tcPr>
          <w:p>
            <w:pPr>
              <w:pStyle w:val="TableText"/>
              <w:ind w:left="16" w:right="1" w:firstLine="20"/>
              <w:spacing w:before="78" w:line="229" w:lineRule="auto"/>
              <w:jc w:val="both"/>
              <w:rPr/>
            </w:pPr>
            <w:r>
              <w:rPr>
                <w:spacing w:val="17"/>
                <w:w w:val="111"/>
              </w:rPr>
              <w:t>2021年8月</w:t>
            </w:r>
            <w:r>
              <w:rPr>
                <w:spacing w:val="1"/>
              </w:rPr>
              <w:t xml:space="preserve"> </w:t>
            </w:r>
            <w:r>
              <w:rPr>
                <w:spacing w:val="-11"/>
              </w:rPr>
              <w:t>2</w:t>
            </w:r>
            <w:r>
              <w:rPr>
                <w:spacing w:val="-31"/>
              </w:rPr>
              <w:t xml:space="preserve"> </w:t>
            </w:r>
            <w:r>
              <w:rPr>
                <w:spacing w:val="-11"/>
              </w:rPr>
              <w:t>4 日 (</w:t>
            </w:r>
            <w:r>
              <w:rPr>
                <w:spacing w:val="-32"/>
              </w:rPr>
              <w:t xml:space="preserve"> </w:t>
            </w:r>
            <w:r>
              <w:rPr>
                <w:spacing w:val="-11"/>
              </w:rPr>
              <w:t>文</w:t>
            </w:r>
            <w:r>
              <w:rPr>
                <w:spacing w:val="-34"/>
              </w:rPr>
              <w:t xml:space="preserve"> </w:t>
            </w:r>
            <w:r>
              <w:rPr>
                <w:spacing w:val="-11"/>
              </w:rPr>
              <w:t>件</w:t>
            </w:r>
            <w:r>
              <w:rPr/>
              <w:t xml:space="preserve"> </w:t>
            </w:r>
            <w:r>
              <w:rPr>
                <w:spacing w:val="5"/>
              </w:rPr>
              <w:t>签发时间)</w:t>
            </w:r>
          </w:p>
        </w:tc>
        <w:tc>
          <w:tcPr>
            <w:tcW w:w="829" w:type="dxa"/>
            <w:vAlign w:val="top"/>
          </w:tcPr>
          <w:p>
            <w:pPr>
              <w:pStyle w:val="TableText"/>
              <w:ind w:left="107"/>
              <w:spacing w:before="77" w:line="220" w:lineRule="auto"/>
              <w:rPr/>
            </w:pPr>
            <w:r>
              <w:rPr>
                <w:spacing w:val="-2"/>
              </w:rPr>
              <w:t>航运企业</w:t>
            </w:r>
          </w:p>
        </w:tc>
        <w:tc>
          <w:tcPr>
            <w:tcW w:w="1029" w:type="dxa"/>
            <w:vAlign w:val="top"/>
          </w:tcPr>
          <w:p>
            <w:pPr>
              <w:pStyle w:val="TableText"/>
              <w:ind w:left="358"/>
              <w:spacing w:before="65" w:line="218" w:lineRule="auto"/>
              <w:rPr/>
            </w:pPr>
            <w:r>
              <w:rPr>
                <w:spacing w:val="5"/>
              </w:rPr>
              <w:t>公告</w:t>
            </w:r>
          </w:p>
        </w:tc>
        <w:tc>
          <w:tcPr>
            <w:tcW w:w="464" w:type="dxa"/>
            <w:vAlign w:val="top"/>
          </w:tcPr>
          <w:p>
            <w:pPr>
              <w:pStyle w:val="TableText"/>
              <w:ind w:left="80" w:right="65"/>
              <w:spacing w:before="67" w:line="237" w:lineRule="auto"/>
              <w:jc w:val="both"/>
              <w:rPr/>
            </w:pPr>
            <w:r>
              <w:rPr>
                <w:spacing w:val="-4"/>
              </w:rPr>
              <w:t>提高</w:t>
            </w:r>
            <w:r>
              <w:rPr/>
              <w:t xml:space="preserve"> </w:t>
            </w:r>
            <w:r>
              <w:rPr>
                <w:spacing w:val="4"/>
              </w:rPr>
              <w:t>审核</w:t>
            </w:r>
            <w:r>
              <w:rPr/>
              <w:t xml:space="preserve"> </w:t>
            </w:r>
            <w:r>
              <w:rPr>
                <w:spacing w:val="-3"/>
              </w:rPr>
              <w:t>效率</w:t>
            </w:r>
          </w:p>
        </w:tc>
      </w:tr>
      <w:tr>
        <w:trPr>
          <w:trHeight w:val="3584" w:hRule="atLeast"/>
        </w:trPr>
        <w:tc>
          <w:tcPr>
            <w:tcW w:w="28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94"/>
              <w:spacing w:before="49" w:line="182" w:lineRule="auto"/>
              <w:rPr/>
            </w:pPr>
            <w:r>
              <w:rPr/>
              <w:t>5</w:t>
            </w:r>
          </w:p>
        </w:tc>
        <w:tc>
          <w:tcPr>
            <w:tcW w:w="3986" w:type="dxa"/>
            <w:vAlign w:val="top"/>
          </w:tcPr>
          <w:p>
            <w:pPr>
              <w:pStyle w:val="TableText"/>
              <w:ind w:left="61"/>
              <w:spacing w:before="58" w:line="219" w:lineRule="auto"/>
              <w:rPr/>
            </w:pPr>
            <w:r>
              <w:rPr>
                <w:spacing w:val="-1"/>
              </w:rPr>
              <w:t>一、自2021年1月1日起取消港口建设费。以前年度欠缴</w:t>
            </w:r>
          </w:p>
          <w:p>
            <w:pPr>
              <w:pStyle w:val="TableText"/>
              <w:ind w:left="41" w:right="26"/>
              <w:spacing w:before="61" w:line="245" w:lineRule="auto"/>
              <w:rPr/>
            </w:pPr>
            <w:r>
              <w:rPr/>
              <w:t>的港口建设费，相关执收单位应当足额征收及时清算，并按</w:t>
            </w:r>
            <w:r>
              <w:rPr>
                <w:spacing w:val="7"/>
              </w:rPr>
              <w:t xml:space="preserve"> </w:t>
            </w:r>
            <w:r>
              <w:rPr>
                <w:spacing w:val="-1"/>
              </w:rPr>
              <w:t>照财政部门规定的渠道全额上缴国库。</w:t>
            </w:r>
          </w:p>
          <w:p>
            <w:pPr>
              <w:pStyle w:val="TableText"/>
              <w:ind w:left="61"/>
              <w:spacing w:before="12" w:line="219" w:lineRule="auto"/>
              <w:rPr/>
            </w:pPr>
            <w:r>
              <w:rPr>
                <w:spacing w:val="-1"/>
              </w:rPr>
              <w:t>二、自2021年4月1日起，将航空公司应缴纳民航发展基</w:t>
            </w:r>
          </w:p>
          <w:p>
            <w:pPr>
              <w:pStyle w:val="TableText"/>
              <w:ind w:left="41"/>
              <w:spacing w:before="51" w:line="219" w:lineRule="auto"/>
              <w:rPr/>
            </w:pPr>
            <w:r>
              <w:rPr>
                <w:spacing w:val="-1"/>
              </w:rPr>
              <w:t>金的征收标准，在按照《财政部关于调整部分政府性基金有</w:t>
            </w:r>
          </w:p>
          <w:p>
            <w:pPr>
              <w:pStyle w:val="TableText"/>
              <w:ind w:left="41" w:right="418"/>
              <w:spacing w:before="52" w:line="239" w:lineRule="auto"/>
              <w:rPr/>
            </w:pPr>
            <w:r>
              <w:rPr/>
              <w:t>关政策的通知》(财税〔2019〕46号</w:t>
            </w:r>
            <w:r>
              <w:rPr>
                <w:spacing w:val="-1"/>
              </w:rPr>
              <w:t>)降低50%的基础上</w:t>
            </w:r>
            <w:r>
              <w:rPr/>
              <w:t xml:space="preserve"> </w:t>
            </w:r>
            <w:r>
              <w:rPr/>
              <w:t>再降低20%。</w:t>
            </w:r>
          </w:p>
          <w:p>
            <w:pPr>
              <w:pStyle w:val="TableText"/>
              <w:ind w:left="41" w:right="20" w:firstLine="20"/>
              <w:spacing w:before="30" w:line="253" w:lineRule="auto"/>
              <w:rPr/>
            </w:pPr>
            <w:r>
              <w:rPr/>
              <w:t>三、各有关部门和单位应当按照本公告规定</w:t>
            </w:r>
            <w:r>
              <w:rPr>
                <w:spacing w:val="-1"/>
              </w:rPr>
              <w:t>，及时制定相关</w:t>
            </w:r>
            <w:r>
              <w:rPr/>
              <w:t xml:space="preserve"> </w:t>
            </w:r>
            <w:r>
              <w:rPr>
                <w:spacing w:val="-1"/>
              </w:rPr>
              <w:t>配套措施，确保上述政策落实到位。</w:t>
            </w:r>
          </w:p>
          <w:p>
            <w:pPr>
              <w:pStyle w:val="TableText"/>
              <w:ind w:left="61"/>
              <w:spacing w:before="50" w:line="219" w:lineRule="auto"/>
              <w:rPr/>
            </w:pPr>
            <w:r>
              <w:rPr/>
              <w:t>四、自2021年1月1日起，《财政部交通运输部关于印发&lt;</w:t>
            </w:r>
          </w:p>
          <w:p>
            <w:pPr>
              <w:pStyle w:val="TableText"/>
              <w:ind w:left="25" w:right="62" w:firstLine="25"/>
              <w:spacing w:before="51" w:line="254" w:lineRule="auto"/>
              <w:rPr/>
            </w:pPr>
            <w:r>
              <w:rPr>
                <w:spacing w:val="1"/>
              </w:rPr>
              <w:t>港口建设费征收使用管理办法&gt;的通知》(财综[2011</w:t>
            </w:r>
            <w:r>
              <w:rPr/>
              <w:t>]29号) </w:t>
            </w:r>
            <w:r>
              <w:rPr>
                <w:spacing w:val="-1"/>
              </w:rPr>
              <w:t>《财政部交通运输部关于免征客滚运输港口建设费的通知》</w:t>
            </w:r>
            <w:r>
              <w:rPr>
                <w:spacing w:val="12"/>
              </w:rPr>
              <w:t xml:space="preserve"> </w:t>
            </w:r>
            <w:r>
              <w:rPr>
                <w:spacing w:val="2"/>
              </w:rPr>
              <w:t>(财综〔2011〕100号)、《财政部交通运输部关于同意南</w:t>
            </w:r>
          </w:p>
          <w:p>
            <w:pPr>
              <w:pStyle w:val="TableText"/>
              <w:ind w:left="35" w:right="45" w:firstLine="15"/>
              <w:spacing w:before="41" w:line="254" w:lineRule="auto"/>
              <w:rPr/>
            </w:pPr>
            <w:r>
              <w:rPr>
                <w:spacing w:val="-1"/>
              </w:rPr>
              <w:t>京港长江大桥以上港区减半征收港口建设费的批复》(财综</w:t>
            </w:r>
            <w:r>
              <w:rPr>
                <w:spacing w:val="7"/>
              </w:rPr>
              <w:t xml:space="preserve">  </w:t>
            </w:r>
            <w:r>
              <w:rPr>
                <w:spacing w:val="2"/>
              </w:rPr>
              <w:t>〔2012〕40号)、《财政部交通运输部关于完善港口建设费</w:t>
            </w:r>
            <w:r>
              <w:rPr>
                <w:spacing w:val="10"/>
              </w:rPr>
              <w:t xml:space="preserve"> </w:t>
            </w:r>
            <w:r>
              <w:rPr/>
              <w:t>征收政策有关问题的通知》(财税〔2015〕131</w:t>
            </w:r>
            <w:r>
              <w:rPr>
                <w:spacing w:val="-1"/>
              </w:rPr>
              <w:t>号)废止</w:t>
            </w:r>
          </w:p>
        </w:tc>
        <w:tc>
          <w:tcPr>
            <w:tcW w:w="2128" w:type="dxa"/>
            <w:vAlign w:val="top"/>
          </w:tcPr>
          <w:p>
            <w:pPr>
              <w:pStyle w:val="TableText"/>
              <w:ind w:left="14" w:right="73" w:firstLine="70"/>
              <w:spacing w:before="77" w:line="228" w:lineRule="auto"/>
              <w:jc w:val="both"/>
              <w:rPr/>
            </w:pPr>
            <w:r>
              <w:rPr>
                <w:spacing w:val="-1"/>
              </w:rPr>
              <w:t>财政部《关于取消港口建设费</w:t>
            </w:r>
            <w:r>
              <w:rPr>
                <w:spacing w:val="5"/>
              </w:rPr>
              <w:t xml:space="preserve"> </w:t>
            </w:r>
            <w:r>
              <w:rPr>
                <w:spacing w:val="4"/>
              </w:rPr>
              <w:t>和调整民航发展基金有关政策</w:t>
            </w:r>
            <w:r>
              <w:rPr>
                <w:spacing w:val="10"/>
              </w:rPr>
              <w:t xml:space="preserve"> </w:t>
            </w:r>
            <w:r>
              <w:rPr>
                <w:spacing w:val="5"/>
              </w:rPr>
              <w:t>的公告》财政部公告2021年第</w:t>
            </w:r>
            <w:r>
              <w:rPr>
                <w:spacing w:val="3"/>
              </w:rPr>
              <w:t xml:space="preserve"> </w:t>
            </w:r>
            <w:r>
              <w:rPr>
                <w:spacing w:val="-2"/>
              </w:rPr>
              <w:t>8号</w:t>
            </w:r>
          </w:p>
        </w:tc>
        <w:tc>
          <w:tcPr>
            <w:tcW w:w="919" w:type="dxa"/>
            <w:vAlign w:val="top"/>
          </w:tcPr>
          <w:p>
            <w:pPr>
              <w:pStyle w:val="TableText"/>
              <w:ind w:left="16" w:right="11" w:firstLine="30"/>
              <w:spacing w:before="57" w:line="243" w:lineRule="auto"/>
              <w:jc w:val="both"/>
              <w:rPr/>
            </w:pPr>
            <w:r>
              <w:rPr>
                <w:spacing w:val="-12"/>
              </w:rPr>
              <w:t>自</w:t>
            </w:r>
            <w:r>
              <w:rPr>
                <w:spacing w:val="-16"/>
              </w:rPr>
              <w:t xml:space="preserve"> </w:t>
            </w:r>
            <w:r>
              <w:rPr>
                <w:spacing w:val="-12"/>
              </w:rPr>
              <w:t>2</w:t>
            </w:r>
            <w:r>
              <w:rPr>
                <w:spacing w:val="-17"/>
              </w:rPr>
              <w:t xml:space="preserve"> </w:t>
            </w:r>
            <w:r>
              <w:rPr>
                <w:spacing w:val="-12"/>
              </w:rPr>
              <w:t>0</w:t>
            </w:r>
            <w:r>
              <w:rPr>
                <w:spacing w:val="-16"/>
              </w:rPr>
              <w:t xml:space="preserve"> </w:t>
            </w:r>
            <w:r>
              <w:rPr>
                <w:spacing w:val="-12"/>
              </w:rPr>
              <w:t>2 1</w:t>
            </w:r>
            <w:r>
              <w:rPr>
                <w:spacing w:val="-17"/>
              </w:rPr>
              <w:t xml:space="preserve"> </w:t>
            </w:r>
            <w:r>
              <w:rPr>
                <w:spacing w:val="-12"/>
              </w:rPr>
              <w:t>年</w:t>
            </w:r>
            <w:r>
              <w:rPr/>
              <w:t xml:space="preserve"> </w:t>
            </w:r>
            <w:r>
              <w:rPr>
                <w:spacing w:val="-12"/>
              </w:rPr>
              <w:t>1</w:t>
            </w:r>
            <w:r>
              <w:rPr>
                <w:spacing w:val="-24"/>
              </w:rPr>
              <w:t xml:space="preserve"> </w:t>
            </w:r>
            <w:r>
              <w:rPr>
                <w:spacing w:val="-12"/>
              </w:rPr>
              <w:t>月</w:t>
            </w:r>
            <w:r>
              <w:rPr>
                <w:spacing w:val="-21"/>
              </w:rPr>
              <w:t xml:space="preserve"> </w:t>
            </w:r>
            <w:r>
              <w:rPr>
                <w:spacing w:val="-12"/>
              </w:rPr>
              <w:t>1 日</w:t>
            </w:r>
            <w:r>
              <w:rPr>
                <w:spacing w:val="3"/>
              </w:rPr>
              <w:t xml:space="preserve">  </w:t>
            </w:r>
            <w:r>
              <w:rPr>
                <w:spacing w:val="-12"/>
              </w:rPr>
              <w:t>起</w:t>
            </w:r>
            <w:r>
              <w:rPr>
                <w:spacing w:val="1"/>
              </w:rPr>
              <w:t xml:space="preserve"> </w:t>
            </w:r>
            <w:r>
              <w:rPr>
                <w:spacing w:val="16"/>
              </w:rPr>
              <w:t>起取消港口</w:t>
            </w:r>
            <w:r>
              <w:rPr>
                <w:spacing w:val="1"/>
              </w:rPr>
              <w:t xml:space="preserve"> </w:t>
            </w:r>
            <w:r>
              <w:rPr>
                <w:spacing w:val="17"/>
              </w:rPr>
              <w:t>建设费；自</w:t>
            </w:r>
            <w:r>
              <w:rPr/>
              <w:t xml:space="preserve"> </w:t>
            </w:r>
            <w:r>
              <w:rPr>
                <w:spacing w:val="16"/>
                <w:w w:val="113"/>
              </w:rPr>
              <w:t>2021年4月</w:t>
            </w:r>
            <w:r>
              <w:rPr>
                <w:spacing w:val="4"/>
              </w:rPr>
              <w:t xml:space="preserve"> </w:t>
            </w:r>
            <w:r>
              <w:rPr>
                <w:spacing w:val="-7"/>
              </w:rPr>
              <w:t>1 日</w:t>
            </w:r>
            <w:r>
              <w:rPr>
                <w:spacing w:val="-25"/>
              </w:rPr>
              <w:t xml:space="preserve"> </w:t>
            </w:r>
            <w:r>
              <w:rPr>
                <w:spacing w:val="-7"/>
              </w:rPr>
              <w:t>起</w:t>
            </w:r>
            <w:r>
              <w:rPr>
                <w:spacing w:val="-26"/>
              </w:rPr>
              <w:t xml:space="preserve"> </w:t>
            </w:r>
            <w:r>
              <w:rPr>
                <w:spacing w:val="-7"/>
              </w:rPr>
              <w:t>调</w:t>
            </w:r>
            <w:r>
              <w:rPr>
                <w:spacing w:val="-26"/>
              </w:rPr>
              <w:t xml:space="preserve"> </w:t>
            </w:r>
            <w:r>
              <w:rPr>
                <w:spacing w:val="-7"/>
              </w:rPr>
              <w:t>整</w:t>
            </w:r>
            <w:r>
              <w:rPr/>
              <w:t xml:space="preserve"> </w:t>
            </w:r>
            <w:r>
              <w:rPr>
                <w:spacing w:val="13"/>
              </w:rPr>
              <w:t>民航发展基</w:t>
            </w:r>
            <w:r>
              <w:rPr/>
              <w:t xml:space="preserve">  </w:t>
            </w:r>
            <w:r>
              <w:rPr/>
              <w:t>金</w:t>
            </w:r>
          </w:p>
        </w:tc>
        <w:tc>
          <w:tcPr>
            <w:tcW w:w="829" w:type="dxa"/>
            <w:vAlign w:val="top"/>
          </w:tcPr>
          <w:p>
            <w:pPr>
              <w:pStyle w:val="TableText"/>
              <w:ind w:left="107"/>
              <w:spacing w:before="58" w:line="220" w:lineRule="auto"/>
              <w:rPr/>
            </w:pPr>
            <w:r>
              <w:rPr>
                <w:spacing w:val="-2"/>
              </w:rPr>
              <w:t>所有企业</w:t>
            </w:r>
          </w:p>
        </w:tc>
        <w:tc>
          <w:tcPr>
            <w:tcW w:w="1029" w:type="dxa"/>
            <w:vAlign w:val="top"/>
          </w:tcPr>
          <w:p>
            <w:pPr>
              <w:pStyle w:val="TableText"/>
              <w:ind w:left="358"/>
              <w:spacing w:before="46" w:line="218" w:lineRule="auto"/>
              <w:rPr/>
            </w:pPr>
            <w:r>
              <w:rPr>
                <w:spacing w:val="5"/>
              </w:rPr>
              <w:t>公告</w:t>
            </w:r>
          </w:p>
        </w:tc>
        <w:tc>
          <w:tcPr>
            <w:tcW w:w="464" w:type="dxa"/>
            <w:vAlign w:val="top"/>
          </w:tcPr>
          <w:p>
            <w:pPr>
              <w:pStyle w:val="TableText"/>
              <w:ind w:left="70" w:right="8" w:firstLine="10"/>
              <w:spacing w:before="50" w:line="244" w:lineRule="auto"/>
              <w:jc w:val="both"/>
              <w:rPr/>
            </w:pPr>
            <w:r>
              <w:rPr>
                <w:spacing w:val="7"/>
              </w:rPr>
              <w:t>取消</w:t>
            </w:r>
            <w:r>
              <w:rPr/>
              <w:t xml:space="preserve"> </w:t>
            </w:r>
            <w:r>
              <w:rPr>
                <w:spacing w:val="16"/>
              </w:rPr>
              <w:t>港口</w:t>
            </w:r>
            <w:r>
              <w:rPr/>
              <w:t xml:space="preserve"> </w:t>
            </w:r>
            <w:r>
              <w:rPr>
                <w:spacing w:val="1"/>
              </w:rPr>
              <w:t>建设</w:t>
            </w:r>
            <w:r>
              <w:rPr/>
              <w:t xml:space="preserve">  </w:t>
            </w:r>
            <w:r>
              <w:rPr>
                <w:spacing w:val="-18"/>
              </w:rPr>
              <w:t>费</w:t>
            </w:r>
            <w:r>
              <w:rPr>
                <w:spacing w:val="35"/>
                <w:w w:val="101"/>
              </w:rPr>
              <w:t xml:space="preserve"> </w:t>
            </w:r>
            <w:r>
              <w:rPr>
                <w:spacing w:val="-18"/>
              </w:rPr>
              <w:t>、</w:t>
            </w:r>
            <w:r>
              <w:rPr/>
              <w:t xml:space="preserve"> </w:t>
            </w:r>
            <w:r>
              <w:rPr>
                <w:spacing w:val="9"/>
              </w:rPr>
              <w:t>降低</w:t>
            </w:r>
            <w:r>
              <w:rPr/>
              <w:t xml:space="preserve">  </w:t>
            </w:r>
            <w:r>
              <w:rPr>
                <w:spacing w:val="7"/>
              </w:rPr>
              <w:t>民航</w:t>
            </w:r>
            <w:r>
              <w:rPr/>
              <w:t xml:space="preserve">  </w:t>
            </w:r>
            <w:r>
              <w:rPr/>
              <w:t>发展  </w:t>
            </w:r>
            <w:r>
              <w:rPr>
                <w:spacing w:val="2"/>
              </w:rPr>
              <w:t>基金</w:t>
            </w:r>
          </w:p>
        </w:tc>
      </w:tr>
      <w:tr>
        <w:trPr>
          <w:trHeight w:val="1403" w:hRule="atLeast"/>
        </w:trPr>
        <w:tc>
          <w:tcPr>
            <w:tcW w:w="284" w:type="dxa"/>
            <w:vAlign w:val="top"/>
          </w:tcPr>
          <w:p>
            <w:pPr>
              <w:spacing w:line="310" w:lineRule="auto"/>
              <w:rPr>
                <w:rFonts w:ascii="Arial"/>
                <w:sz w:val="21"/>
              </w:rPr>
            </w:pPr>
            <w:r/>
          </w:p>
          <w:p>
            <w:pPr>
              <w:spacing w:line="310" w:lineRule="auto"/>
              <w:rPr>
                <w:rFonts w:ascii="Arial"/>
                <w:sz w:val="21"/>
              </w:rPr>
            </w:pPr>
            <w:r/>
          </w:p>
          <w:p>
            <w:pPr>
              <w:pStyle w:val="TableText"/>
              <w:ind w:left="94"/>
              <w:spacing w:before="49" w:line="183" w:lineRule="auto"/>
              <w:rPr/>
            </w:pPr>
            <w:r>
              <w:rPr/>
              <w:t>6</w:t>
            </w:r>
          </w:p>
        </w:tc>
        <w:tc>
          <w:tcPr>
            <w:tcW w:w="3986" w:type="dxa"/>
            <w:vAlign w:val="top"/>
          </w:tcPr>
          <w:p>
            <w:pPr>
              <w:pStyle w:val="TableText"/>
              <w:ind w:left="41"/>
              <w:spacing w:before="83" w:line="219" w:lineRule="auto"/>
              <w:rPr/>
            </w:pPr>
            <w:r>
              <w:rPr>
                <w:spacing w:val="-1"/>
              </w:rPr>
              <w:t>一、深化关键环节改革，降低物流制度成本</w:t>
            </w:r>
          </w:p>
          <w:p>
            <w:pPr>
              <w:pStyle w:val="TableText"/>
              <w:ind w:left="41"/>
              <w:spacing w:before="42" w:line="219" w:lineRule="auto"/>
              <w:rPr/>
            </w:pPr>
            <w:r>
              <w:rPr>
                <w:spacing w:val="-1"/>
              </w:rPr>
              <w:t>二、加强土地和资金保障，降低物流要素成本</w:t>
            </w:r>
          </w:p>
          <w:p>
            <w:pPr>
              <w:pStyle w:val="TableText"/>
              <w:ind w:left="41" w:right="790"/>
              <w:spacing w:before="41" w:line="245" w:lineRule="auto"/>
              <w:rPr/>
            </w:pPr>
            <w:r>
              <w:rPr>
                <w:spacing w:val="-1"/>
              </w:rPr>
              <w:t>三、深入落实减税降费措施，降低物流税费成本</w:t>
            </w:r>
            <w:r>
              <w:rPr>
                <w:spacing w:val="14"/>
              </w:rPr>
              <w:t xml:space="preserve"> </w:t>
            </w:r>
            <w:r>
              <w:rPr/>
              <w:t>四、加强信息开放共享，降低物流信息成本</w:t>
            </w:r>
          </w:p>
          <w:p>
            <w:pPr>
              <w:pStyle w:val="TableText"/>
              <w:ind w:left="41" w:right="793"/>
              <w:spacing w:before="41" w:line="245" w:lineRule="auto"/>
              <w:rPr/>
            </w:pPr>
            <w:r>
              <w:rPr>
                <w:spacing w:val="-1"/>
              </w:rPr>
              <w:t>五、推动物流设施高效衔接，降低物流联运成本</w:t>
            </w:r>
            <w:r>
              <w:rPr>
                <w:spacing w:val="11"/>
              </w:rPr>
              <w:t xml:space="preserve"> </w:t>
            </w:r>
            <w:r>
              <w:rPr>
                <w:spacing w:val="-1"/>
              </w:rPr>
              <w:t>六、推动物流业提质增效，降低物流综合成本</w:t>
            </w:r>
          </w:p>
        </w:tc>
        <w:tc>
          <w:tcPr>
            <w:tcW w:w="2128" w:type="dxa"/>
            <w:vAlign w:val="top"/>
          </w:tcPr>
          <w:p>
            <w:pPr>
              <w:pStyle w:val="TableText"/>
              <w:ind w:left="44" w:firstLine="39"/>
              <w:spacing w:before="85" w:line="236" w:lineRule="auto"/>
              <w:jc w:val="both"/>
              <w:rPr/>
            </w:pPr>
            <w:r>
              <w:rPr/>
              <w:t>国务院办公厅转发国家发展改</w:t>
            </w:r>
            <w:r>
              <w:rPr>
                <w:spacing w:val="1"/>
              </w:rPr>
              <w:t xml:space="preserve">  </w:t>
            </w:r>
            <w:r>
              <w:rPr>
                <w:spacing w:val="2"/>
              </w:rPr>
              <w:t>革委交通运输部《关于进一步</w:t>
            </w:r>
            <w:r>
              <w:rPr>
                <w:spacing w:val="1"/>
              </w:rPr>
              <w:t xml:space="preserve">  </w:t>
            </w:r>
            <w:r>
              <w:rPr>
                <w:spacing w:val="-2"/>
              </w:rPr>
              <w:t>降低物流成本实施意见的通知》</w:t>
            </w:r>
            <w:r>
              <w:rPr/>
              <w:t xml:space="preserve"> </w:t>
            </w:r>
            <w:r>
              <w:rPr>
                <w:spacing w:val="3"/>
              </w:rPr>
              <w:t>(国办发〔2020〕10号</w:t>
            </w:r>
          </w:p>
        </w:tc>
        <w:tc>
          <w:tcPr>
            <w:tcW w:w="919" w:type="dxa"/>
            <w:vAlign w:val="top"/>
          </w:tcPr>
          <w:p>
            <w:pPr>
              <w:pStyle w:val="TableText"/>
              <w:ind w:left="26" w:right="1" w:firstLine="10"/>
              <w:spacing w:before="73" w:line="232" w:lineRule="auto"/>
              <w:rPr/>
            </w:pPr>
            <w:r>
              <w:rPr>
                <w:spacing w:val="15"/>
                <w:w w:val="113"/>
              </w:rPr>
              <w:t>2020年5月</w:t>
            </w:r>
            <w:r>
              <w:rPr>
                <w:spacing w:val="1"/>
              </w:rPr>
              <w:t xml:space="preserve"> </w:t>
            </w:r>
            <w:r>
              <w:rPr>
                <w:spacing w:val="9"/>
              </w:rPr>
              <w:t>20日</w:t>
            </w:r>
          </w:p>
        </w:tc>
        <w:tc>
          <w:tcPr>
            <w:tcW w:w="829" w:type="dxa"/>
            <w:vAlign w:val="top"/>
          </w:tcPr>
          <w:p>
            <w:pPr>
              <w:pStyle w:val="TableText"/>
              <w:ind w:left="338" w:right="36" w:hanging="300"/>
              <w:spacing w:before="73" w:line="239" w:lineRule="auto"/>
              <w:rPr/>
            </w:pPr>
            <w:r>
              <w:rPr>
                <w:spacing w:val="-2"/>
              </w:rPr>
              <w:t>全国中小企</w:t>
            </w:r>
            <w:r>
              <w:rPr>
                <w:spacing w:val="3"/>
              </w:rPr>
              <w:t xml:space="preserve"> </w:t>
            </w:r>
            <w:r>
              <w:rPr/>
              <w:t>业</w:t>
            </w:r>
          </w:p>
        </w:tc>
        <w:tc>
          <w:tcPr>
            <w:tcW w:w="1029" w:type="dxa"/>
            <w:vAlign w:val="top"/>
          </w:tcPr>
          <w:p>
            <w:pPr>
              <w:pStyle w:val="TableText"/>
              <w:ind w:left="208"/>
              <w:spacing w:before="84" w:line="220" w:lineRule="auto"/>
              <w:rPr/>
            </w:pPr>
            <w:r>
              <w:rPr>
                <w:spacing w:val="-2"/>
              </w:rPr>
              <w:t>行政通知</w:t>
            </w:r>
          </w:p>
        </w:tc>
        <w:tc>
          <w:tcPr>
            <w:tcW w:w="464" w:type="dxa"/>
            <w:vAlign w:val="top"/>
          </w:tcPr>
          <w:p>
            <w:pPr>
              <w:pStyle w:val="TableText"/>
              <w:ind w:left="80"/>
              <w:spacing w:before="64" w:line="220" w:lineRule="auto"/>
              <w:rPr/>
            </w:pPr>
            <w:r>
              <w:rPr>
                <w:spacing w:val="-2"/>
              </w:rPr>
              <w:t>减免</w:t>
            </w:r>
          </w:p>
        </w:tc>
      </w:tr>
    </w:tbl>
    <w:p>
      <w:pPr>
        <w:pStyle w:val="BodyText"/>
        <w:rPr/>
      </w:pPr>
      <w:r/>
    </w:p>
    <w:p>
      <w:pPr>
        <w:sectPr>
          <w:pgSz w:w="11910" w:h="8220"/>
          <w:pgMar w:top="400" w:right="1145" w:bottom="400" w:left="801" w:header="0" w:footer="0" w:gutter="0"/>
        </w:sectPr>
        <w:rPr/>
      </w:pPr>
    </w:p>
    <w:p>
      <w:pPr>
        <w:pStyle w:val="BodyText"/>
        <w:spacing w:line="316" w:lineRule="auto"/>
        <w:rPr/>
      </w:pPr>
      <w:r/>
    </w:p>
    <w:p>
      <w:pPr>
        <w:pStyle w:val="BodyText"/>
        <w:spacing w:line="316" w:lineRule="auto"/>
        <w:rPr/>
      </w:pPr>
      <w:r/>
    </w:p>
    <w:p>
      <w:pPr>
        <w:pStyle w:val="BodyText"/>
        <w:spacing w:line="316" w:lineRule="auto"/>
        <w:rPr/>
      </w:pPr>
      <w:r/>
    </w:p>
    <w:p>
      <w:pPr>
        <w:ind w:left="1904"/>
        <w:spacing w:before="101" w:line="221" w:lineRule="auto"/>
        <w:outlineLvl w:val="0"/>
        <w:rPr>
          <w:rFonts w:ascii="SimHei" w:hAnsi="SimHei" w:eastAsia="SimHei" w:cs="SimHei"/>
          <w:sz w:val="31"/>
          <w:szCs w:val="31"/>
        </w:rPr>
      </w:pPr>
      <w:r>
        <w:rPr>
          <w:rFonts w:ascii="SimHei" w:hAnsi="SimHei" w:eastAsia="SimHei" w:cs="SimHei"/>
          <w:sz w:val="31"/>
          <w:szCs w:val="31"/>
          <w:b/>
          <w:bCs/>
          <w:spacing w:val="-10"/>
        </w:rPr>
        <w:t>八、政策解读说明</w:t>
      </w:r>
    </w:p>
    <w:p>
      <w:pPr>
        <w:ind w:right="80" w:firstLine="440"/>
        <w:spacing w:before="260" w:line="257" w:lineRule="auto"/>
        <w:jc w:val="both"/>
        <w:rPr>
          <w:rFonts w:ascii="SimSun" w:hAnsi="SimSun" w:eastAsia="SimSun" w:cs="SimSun"/>
          <w:sz w:val="22"/>
          <w:szCs w:val="22"/>
        </w:rPr>
      </w:pPr>
      <w:r>
        <w:rPr>
          <w:rFonts w:ascii="SimSun" w:hAnsi="SimSun" w:eastAsia="SimSun" w:cs="SimSun"/>
          <w:sz w:val="22"/>
          <w:szCs w:val="22"/>
          <w:spacing w:val="2"/>
        </w:rPr>
        <w:t>本章节采取问答形式，对中小微型企业、小型微利企业、高</w:t>
      </w:r>
      <w:r>
        <w:rPr>
          <w:rFonts w:ascii="SimSun" w:hAnsi="SimSun" w:eastAsia="SimSun" w:cs="SimSun"/>
          <w:sz w:val="22"/>
          <w:szCs w:val="22"/>
          <w:spacing w:val="16"/>
        </w:rPr>
        <w:t xml:space="preserve"> </w:t>
      </w:r>
      <w:r>
        <w:rPr>
          <w:rFonts w:ascii="SimSun" w:hAnsi="SimSun" w:eastAsia="SimSun" w:cs="SimSun"/>
          <w:sz w:val="22"/>
          <w:szCs w:val="22"/>
          <w:spacing w:val="5"/>
        </w:rPr>
        <w:t>新技术企业、科技型中小企业等4项定义进行解读说明，以便符</w:t>
      </w:r>
      <w:r>
        <w:rPr>
          <w:rFonts w:ascii="SimSun" w:hAnsi="SimSun" w:eastAsia="SimSun" w:cs="SimSun"/>
          <w:sz w:val="22"/>
          <w:szCs w:val="22"/>
          <w:spacing w:val="17"/>
        </w:rPr>
        <w:t xml:space="preserve"> </w:t>
      </w:r>
      <w:r>
        <w:rPr>
          <w:rFonts w:ascii="SimSun" w:hAnsi="SimSun" w:eastAsia="SimSun" w:cs="SimSun"/>
          <w:sz w:val="22"/>
          <w:szCs w:val="22"/>
          <w:spacing w:val="1"/>
        </w:rPr>
        <w:t>合条件的企业进一步了解并享受收费减免、税收优惠等惠企减负</w:t>
      </w:r>
      <w:r>
        <w:rPr>
          <w:rFonts w:ascii="SimSun" w:hAnsi="SimSun" w:eastAsia="SimSun" w:cs="SimSun"/>
          <w:sz w:val="22"/>
          <w:szCs w:val="22"/>
          <w:spacing w:val="13"/>
        </w:rPr>
        <w:t xml:space="preserve"> </w:t>
      </w:r>
      <w:r>
        <w:rPr>
          <w:rFonts w:ascii="SimSun" w:hAnsi="SimSun" w:eastAsia="SimSun" w:cs="SimSun"/>
          <w:sz w:val="22"/>
          <w:szCs w:val="22"/>
          <w:spacing w:val="-9"/>
        </w:rPr>
        <w:t>政策。</w:t>
      </w:r>
    </w:p>
    <w:p>
      <w:pPr>
        <w:pStyle w:val="BodyText"/>
        <w:spacing w:line="360" w:lineRule="auto"/>
        <w:rPr/>
      </w:pPr>
      <w:r/>
    </w:p>
    <w:p>
      <w:pPr>
        <w:ind w:left="3"/>
        <w:spacing w:before="71" w:line="219" w:lineRule="auto"/>
        <w:outlineLvl w:val="1"/>
        <w:rPr>
          <w:rFonts w:ascii="SimSun" w:hAnsi="SimSun" w:eastAsia="SimSun" w:cs="SimSun"/>
          <w:sz w:val="22"/>
          <w:szCs w:val="22"/>
        </w:rPr>
      </w:pPr>
      <w:r>
        <w:rPr>
          <w:rFonts w:ascii="SimSun" w:hAnsi="SimSun" w:eastAsia="SimSun" w:cs="SimSun"/>
          <w:sz w:val="22"/>
          <w:szCs w:val="22"/>
          <w:b/>
          <w:bCs/>
          <w:spacing w:val="10"/>
        </w:rPr>
        <w:t>1、我国是如何划分中型、小型和微型企业的?</w:t>
      </w:r>
    </w:p>
    <w:p>
      <w:pPr>
        <w:ind w:right="93" w:firstLine="440"/>
        <w:spacing w:before="31" w:line="265" w:lineRule="auto"/>
        <w:jc w:val="both"/>
        <w:rPr>
          <w:rFonts w:ascii="SimSun" w:hAnsi="SimSun" w:eastAsia="SimSun" w:cs="SimSun"/>
          <w:sz w:val="22"/>
          <w:szCs w:val="22"/>
        </w:rPr>
      </w:pPr>
      <w:r>
        <w:rPr>
          <w:rFonts w:ascii="SimSun" w:hAnsi="SimSun" w:eastAsia="SimSun" w:cs="SimSun"/>
          <w:sz w:val="22"/>
          <w:szCs w:val="22"/>
          <w:spacing w:val="-7"/>
        </w:rPr>
        <w:t>中小企业是指在中华人民共和国境内依法设立的有利于满足社</w:t>
      </w:r>
      <w:r>
        <w:rPr>
          <w:rFonts w:ascii="SimSun" w:hAnsi="SimSun" w:eastAsia="SimSun" w:cs="SimSun"/>
          <w:sz w:val="22"/>
          <w:szCs w:val="22"/>
          <w:spacing w:val="17"/>
        </w:rPr>
        <w:t xml:space="preserve"> </w:t>
      </w:r>
      <w:r>
        <w:rPr>
          <w:rFonts w:ascii="SimSun" w:hAnsi="SimSun" w:eastAsia="SimSun" w:cs="SimSun"/>
          <w:sz w:val="22"/>
          <w:szCs w:val="22"/>
          <w:spacing w:val="-6"/>
        </w:rPr>
        <w:t>会需要，增加就业，符合国家产业政策，生产经营规模属于中小型</w:t>
      </w:r>
      <w:r>
        <w:rPr>
          <w:rFonts w:ascii="SimSun" w:hAnsi="SimSun" w:eastAsia="SimSun" w:cs="SimSun"/>
          <w:sz w:val="22"/>
          <w:szCs w:val="22"/>
          <w:spacing w:val="7"/>
        </w:rPr>
        <w:t xml:space="preserve"> </w:t>
      </w:r>
      <w:r>
        <w:rPr>
          <w:rFonts w:ascii="SimSun" w:hAnsi="SimSun" w:eastAsia="SimSun" w:cs="SimSun"/>
          <w:sz w:val="22"/>
          <w:szCs w:val="22"/>
          <w:spacing w:val="-7"/>
        </w:rPr>
        <w:t>的各种所有制和各种形式的企业。根据《中华人民共和国中小企业</w:t>
      </w:r>
      <w:r>
        <w:rPr>
          <w:rFonts w:ascii="SimSun" w:hAnsi="SimSun" w:eastAsia="SimSun" w:cs="SimSun"/>
          <w:sz w:val="22"/>
          <w:szCs w:val="22"/>
          <w:spacing w:val="9"/>
        </w:rPr>
        <w:t xml:space="preserve"> </w:t>
      </w:r>
      <w:r>
        <w:rPr>
          <w:rFonts w:ascii="SimSun" w:hAnsi="SimSun" w:eastAsia="SimSun" w:cs="SimSun"/>
          <w:sz w:val="22"/>
          <w:szCs w:val="22"/>
          <w:spacing w:val="-10"/>
        </w:rPr>
        <w:t>促进法》和《国务院关于进一步促进中小企业发展的若干意见》(国</w:t>
      </w:r>
      <w:r>
        <w:rPr>
          <w:rFonts w:ascii="SimSun" w:hAnsi="SimSun" w:eastAsia="SimSun" w:cs="SimSun"/>
          <w:sz w:val="22"/>
          <w:szCs w:val="22"/>
          <w:spacing w:val="10"/>
        </w:rPr>
        <w:t xml:space="preserve"> </w:t>
      </w:r>
      <w:r>
        <w:rPr>
          <w:rFonts w:ascii="SimSun" w:hAnsi="SimSun" w:eastAsia="SimSun" w:cs="SimSun"/>
          <w:sz w:val="22"/>
          <w:szCs w:val="22"/>
          <w:spacing w:val="2"/>
        </w:rPr>
        <w:t>发〔2009〕36号),国家统计局印发了《统计</w:t>
      </w:r>
      <w:r>
        <w:rPr>
          <w:rFonts w:ascii="SimSun" w:hAnsi="SimSun" w:eastAsia="SimSun" w:cs="SimSun"/>
          <w:sz w:val="22"/>
          <w:szCs w:val="22"/>
          <w:spacing w:val="1"/>
        </w:rPr>
        <w:t>上大中小微型企业划</w:t>
      </w:r>
      <w:r>
        <w:rPr>
          <w:rFonts w:ascii="SimSun" w:hAnsi="SimSun" w:eastAsia="SimSun" w:cs="SimSun"/>
          <w:sz w:val="22"/>
          <w:szCs w:val="22"/>
        </w:rPr>
        <w:t xml:space="preserve"> </w:t>
      </w:r>
      <w:r>
        <w:rPr>
          <w:rFonts w:ascii="SimSun" w:hAnsi="SimSun" w:eastAsia="SimSun" w:cs="SimSun"/>
          <w:sz w:val="22"/>
          <w:szCs w:val="22"/>
          <w:spacing w:val="9"/>
        </w:rPr>
        <w:t>分办法(2017)》(国统字〔2017〕213号),具体如下：</w:t>
      </w:r>
    </w:p>
    <w:p>
      <w:pPr>
        <w:pStyle w:val="BodyText"/>
        <w:spacing w:line="329" w:lineRule="auto"/>
        <w:rPr/>
      </w:pPr>
      <w:r/>
    </w:p>
    <w:p>
      <w:pPr>
        <w:ind w:left="1853"/>
        <w:spacing w:before="72" w:line="223" w:lineRule="auto"/>
        <w:rPr>
          <w:rFonts w:ascii="SimHei" w:hAnsi="SimHei" w:eastAsia="SimHei" w:cs="SimHei"/>
          <w:sz w:val="22"/>
          <w:szCs w:val="22"/>
        </w:rPr>
      </w:pPr>
      <w:r>
        <w:rPr>
          <w:rFonts w:ascii="SimHei" w:hAnsi="SimHei" w:eastAsia="SimHei" w:cs="SimHei"/>
          <w:sz w:val="22"/>
          <w:szCs w:val="22"/>
          <w:b/>
          <w:bCs/>
          <w:spacing w:val="9"/>
        </w:rPr>
        <w:t>中小微企业划型标准规定</w:t>
      </w:r>
    </w:p>
    <w:p>
      <w:pPr>
        <w:pStyle w:val="BodyText"/>
        <w:spacing w:line="294" w:lineRule="auto"/>
        <w:rPr/>
      </w:pPr>
      <w:r/>
    </w:p>
    <w:p>
      <w:pPr>
        <w:ind w:firstLine="440"/>
        <w:spacing w:before="72" w:line="262" w:lineRule="auto"/>
        <w:rPr>
          <w:rFonts w:ascii="SimSun" w:hAnsi="SimSun" w:eastAsia="SimSun" w:cs="SimSun"/>
          <w:sz w:val="22"/>
          <w:szCs w:val="22"/>
        </w:rPr>
      </w:pPr>
      <w:r>
        <w:rPr>
          <w:rFonts w:ascii="SimSun" w:hAnsi="SimSun" w:eastAsia="SimSun" w:cs="SimSun"/>
          <w:sz w:val="22"/>
          <w:szCs w:val="22"/>
          <w:spacing w:val="-6"/>
        </w:rPr>
        <w:t>一、根据工业和信息化部、国家统计局、国家发展改革委、财 </w:t>
      </w:r>
      <w:r>
        <w:rPr>
          <w:rFonts w:ascii="SimSun" w:hAnsi="SimSun" w:eastAsia="SimSun" w:cs="SimSun"/>
          <w:sz w:val="22"/>
          <w:szCs w:val="22"/>
          <w:spacing w:val="-3"/>
        </w:rPr>
        <w:t>政部《关于印发中小企业划型标准规定的通知》(工信部</w:t>
      </w:r>
      <w:r>
        <w:rPr>
          <w:rFonts w:ascii="SimSun" w:hAnsi="SimSun" w:eastAsia="SimSun" w:cs="SimSun"/>
          <w:sz w:val="22"/>
          <w:szCs w:val="22"/>
          <w:spacing w:val="-4"/>
        </w:rPr>
        <w:t>联企业〔</w:t>
      </w:r>
      <w:r>
        <w:rPr>
          <w:rFonts w:ascii="SimSun" w:hAnsi="SimSun" w:eastAsia="SimSun" w:cs="SimSun"/>
          <w:sz w:val="22"/>
          <w:szCs w:val="22"/>
        </w:rPr>
        <w:t xml:space="preserve">  </w:t>
      </w:r>
      <w:r>
        <w:rPr>
          <w:rFonts w:ascii="SimSun" w:hAnsi="SimSun" w:eastAsia="SimSun" w:cs="SimSun"/>
          <w:sz w:val="22"/>
          <w:szCs w:val="22"/>
          <w:spacing w:val="-4"/>
        </w:rPr>
        <w:t>2011〕300号),以《国民经济行业分类》(GB/T4754-2017)</w:t>
      </w:r>
      <w:r>
        <w:rPr>
          <w:rFonts w:ascii="SimSun" w:hAnsi="SimSun" w:eastAsia="SimSun" w:cs="SimSun"/>
          <w:sz w:val="22"/>
          <w:szCs w:val="22"/>
          <w:spacing w:val="-18"/>
        </w:rPr>
        <w:t xml:space="preserve"> </w:t>
      </w:r>
      <w:r>
        <w:rPr>
          <w:rFonts w:ascii="SimSun" w:hAnsi="SimSun" w:eastAsia="SimSun" w:cs="SimSun"/>
          <w:sz w:val="22"/>
          <w:szCs w:val="22"/>
          <w:spacing w:val="-4"/>
        </w:rPr>
        <w:t>为基础，</w:t>
      </w:r>
      <w:r>
        <w:rPr>
          <w:rFonts w:ascii="SimSun" w:hAnsi="SimSun" w:eastAsia="SimSun" w:cs="SimSun"/>
          <w:sz w:val="22"/>
          <w:szCs w:val="22"/>
        </w:rPr>
        <w:t xml:space="preserve"> </w:t>
      </w:r>
      <w:r>
        <w:rPr>
          <w:rFonts w:ascii="SimSun" w:hAnsi="SimSun" w:eastAsia="SimSun" w:cs="SimSun"/>
          <w:sz w:val="22"/>
          <w:szCs w:val="22"/>
          <w:spacing w:val="-12"/>
        </w:rPr>
        <w:t>结合统计工作的实际情况，制定本办法。</w:t>
      </w:r>
    </w:p>
    <w:p>
      <w:pPr>
        <w:ind w:right="74" w:firstLine="440"/>
        <w:spacing w:before="49" w:line="248" w:lineRule="auto"/>
        <w:rPr>
          <w:rFonts w:ascii="SimSun" w:hAnsi="SimSun" w:eastAsia="SimSun" w:cs="SimSun"/>
          <w:sz w:val="22"/>
          <w:szCs w:val="22"/>
        </w:rPr>
      </w:pPr>
      <w:r>
        <w:rPr>
          <w:rFonts w:ascii="SimSun" w:hAnsi="SimSun" w:eastAsia="SimSun" w:cs="SimSun"/>
          <w:sz w:val="22"/>
          <w:szCs w:val="22"/>
          <w:spacing w:val="-6"/>
        </w:rPr>
        <w:t>二、本办法适用对象为在中华人民共和国境内依法设立的各种</w:t>
      </w:r>
      <w:r>
        <w:rPr>
          <w:rFonts w:ascii="SimSun" w:hAnsi="SimSun" w:eastAsia="SimSun" w:cs="SimSun"/>
          <w:sz w:val="22"/>
          <w:szCs w:val="22"/>
          <w:spacing w:val="16"/>
        </w:rPr>
        <w:t xml:space="preserve"> </w:t>
      </w:r>
      <w:r>
        <w:rPr>
          <w:rFonts w:ascii="SimSun" w:hAnsi="SimSun" w:eastAsia="SimSun" w:cs="SimSun"/>
          <w:sz w:val="22"/>
          <w:szCs w:val="22"/>
          <w:spacing w:val="-11"/>
        </w:rPr>
        <w:t>组织形式的法人企业或单位。个体工商户参照本办法进行划</w:t>
      </w:r>
      <w:r>
        <w:rPr>
          <w:rFonts w:ascii="SimSun" w:hAnsi="SimSun" w:eastAsia="SimSun" w:cs="SimSun"/>
          <w:sz w:val="22"/>
          <w:szCs w:val="22"/>
          <w:spacing w:val="-12"/>
        </w:rPr>
        <w:t>分。</w:t>
      </w:r>
    </w:p>
    <w:p>
      <w:pPr>
        <w:ind w:firstLine="440"/>
        <w:spacing w:before="61" w:line="260" w:lineRule="auto"/>
        <w:rPr>
          <w:rFonts w:ascii="SimSun" w:hAnsi="SimSun" w:eastAsia="SimSun" w:cs="SimSun"/>
          <w:sz w:val="22"/>
          <w:szCs w:val="22"/>
        </w:rPr>
      </w:pPr>
      <w:r>
        <w:rPr>
          <w:rFonts w:ascii="SimSun" w:hAnsi="SimSun" w:eastAsia="SimSun" w:cs="SimSun"/>
          <w:sz w:val="22"/>
          <w:szCs w:val="22"/>
          <w:spacing w:val="-20"/>
        </w:rPr>
        <w:t>三</w:t>
      </w:r>
      <w:r>
        <w:rPr>
          <w:rFonts w:ascii="SimSun" w:hAnsi="SimSun" w:eastAsia="SimSun" w:cs="SimSun"/>
          <w:sz w:val="22"/>
          <w:szCs w:val="22"/>
          <w:spacing w:val="-41"/>
        </w:rPr>
        <w:t xml:space="preserve"> </w:t>
      </w:r>
      <w:r>
        <w:rPr>
          <w:rFonts w:ascii="SimSun" w:hAnsi="SimSun" w:eastAsia="SimSun" w:cs="SimSun"/>
          <w:sz w:val="22"/>
          <w:szCs w:val="22"/>
          <w:spacing w:val="-20"/>
        </w:rPr>
        <w:t>、本办法适用范围包括：农、林、牧、渔业，采矿业，制造业，</w:t>
      </w:r>
      <w:r>
        <w:rPr>
          <w:rFonts w:ascii="SimSun" w:hAnsi="SimSun" w:eastAsia="SimSun" w:cs="SimSun"/>
          <w:sz w:val="22"/>
          <w:szCs w:val="22"/>
        </w:rPr>
        <w:t xml:space="preserve"> </w:t>
      </w:r>
      <w:r>
        <w:rPr>
          <w:rFonts w:ascii="SimSun" w:hAnsi="SimSun" w:eastAsia="SimSun" w:cs="SimSun"/>
          <w:sz w:val="22"/>
          <w:szCs w:val="22"/>
          <w:spacing w:val="-6"/>
        </w:rPr>
        <w:t>电力、热力、燃气及水生产和供应业，建筑业，批发和零售业，交</w:t>
      </w:r>
      <w:r>
        <w:rPr>
          <w:rFonts w:ascii="SimSun" w:hAnsi="SimSun" w:eastAsia="SimSun" w:cs="SimSun"/>
          <w:sz w:val="22"/>
          <w:szCs w:val="22"/>
          <w:spacing w:val="1"/>
        </w:rPr>
        <w:t xml:space="preserve">  </w:t>
      </w:r>
      <w:r>
        <w:rPr>
          <w:rFonts w:ascii="SimSun" w:hAnsi="SimSun" w:eastAsia="SimSun" w:cs="SimSun"/>
          <w:sz w:val="22"/>
          <w:szCs w:val="22"/>
          <w:spacing w:val="-6"/>
        </w:rPr>
        <w:t>通运输、仓储和邮政业，住宿和餐饮业，信息传输、软件和信息技</w:t>
      </w:r>
      <w:r>
        <w:rPr>
          <w:rFonts w:ascii="SimSun" w:hAnsi="SimSun" w:eastAsia="SimSun" w:cs="SimSun"/>
          <w:sz w:val="22"/>
          <w:szCs w:val="22"/>
          <w:spacing w:val="1"/>
        </w:rPr>
        <w:t xml:space="preserve">  </w:t>
      </w:r>
      <w:r>
        <w:rPr>
          <w:rFonts w:ascii="SimSun" w:hAnsi="SimSun" w:eastAsia="SimSun" w:cs="SimSun"/>
          <w:sz w:val="22"/>
          <w:szCs w:val="22"/>
          <w:spacing w:val="-14"/>
        </w:rPr>
        <w:t>术服务业，房地产业，租赁和商务服务业，</w:t>
      </w:r>
      <w:r>
        <w:rPr>
          <w:rFonts w:ascii="SimSun" w:hAnsi="SimSun" w:eastAsia="SimSun" w:cs="SimSun"/>
          <w:sz w:val="22"/>
          <w:szCs w:val="22"/>
          <w:spacing w:val="-15"/>
        </w:rPr>
        <w:t>科学研究和技术服务业，</w:t>
      </w:r>
      <w:r>
        <w:rPr>
          <w:rFonts w:ascii="SimSun" w:hAnsi="SimSun" w:eastAsia="SimSun" w:cs="SimSun"/>
          <w:sz w:val="22"/>
          <w:szCs w:val="22"/>
        </w:rPr>
        <w:t xml:space="preserve">  </w:t>
      </w:r>
      <w:r>
        <w:rPr>
          <w:rFonts w:ascii="SimSun" w:hAnsi="SimSun" w:eastAsia="SimSun" w:cs="SimSun"/>
          <w:sz w:val="22"/>
          <w:szCs w:val="22"/>
          <w:spacing w:val="-17"/>
        </w:rPr>
        <w:t>水利、环境和公共设施管理业，居民服务、修理和其他服务业，文化、</w:t>
      </w:r>
      <w:r>
        <w:rPr>
          <w:rFonts w:ascii="SimSun" w:hAnsi="SimSun" w:eastAsia="SimSun" w:cs="SimSun"/>
          <w:sz w:val="22"/>
          <w:szCs w:val="22"/>
          <w:spacing w:val="15"/>
        </w:rPr>
        <w:t xml:space="preserve"> </w:t>
      </w:r>
      <w:r>
        <w:rPr>
          <w:rFonts w:ascii="SimSun" w:hAnsi="SimSun" w:eastAsia="SimSun" w:cs="SimSun"/>
          <w:sz w:val="22"/>
          <w:szCs w:val="22"/>
          <w:spacing w:val="-7"/>
        </w:rPr>
        <w:t>体育和娱乐业等15个行业门类以及社会工作行业大类。</w:t>
      </w:r>
    </w:p>
    <w:p>
      <w:pPr>
        <w:spacing w:line="260" w:lineRule="auto"/>
        <w:sectPr>
          <w:footerReference w:type="default" r:id="rId42"/>
          <w:pgSz w:w="8220" w:h="11910"/>
          <w:pgMar w:top="400" w:right="929" w:bottom="942" w:left="979" w:header="0" w:footer="783" w:gutter="0"/>
        </w:sectPr>
        <w:rPr>
          <w:rFonts w:ascii="SimSun" w:hAnsi="SimSun" w:eastAsia="SimSun" w:cs="SimSun"/>
          <w:sz w:val="22"/>
          <w:szCs w:val="22"/>
        </w:rPr>
      </w:pPr>
    </w:p>
    <w:p>
      <w:pPr>
        <w:pStyle w:val="BodyText"/>
        <w:spacing w:line="328" w:lineRule="auto"/>
        <w:rPr/>
      </w:pPr>
      <w:r/>
    </w:p>
    <w:p>
      <w:pPr>
        <w:pStyle w:val="BodyText"/>
        <w:spacing w:line="328" w:lineRule="auto"/>
        <w:rPr/>
      </w:pPr>
      <w:r/>
    </w:p>
    <w:p>
      <w:pPr>
        <w:ind w:left="14" w:right="29" w:firstLine="410"/>
        <w:spacing w:before="68" w:line="266" w:lineRule="auto"/>
        <w:rPr>
          <w:rFonts w:ascii="SimSun" w:hAnsi="SimSun" w:eastAsia="SimSun" w:cs="SimSun"/>
          <w:sz w:val="21"/>
          <w:szCs w:val="21"/>
        </w:rPr>
      </w:pPr>
      <w:r>
        <w:rPr>
          <w:rFonts w:ascii="SimSun" w:hAnsi="SimSun" w:eastAsia="SimSun" w:cs="SimSun"/>
          <w:sz w:val="21"/>
          <w:szCs w:val="21"/>
          <w:spacing w:val="-15"/>
        </w:rPr>
        <w:t>四、本办法按照行业门类、大类、中类和组合类别，依</w:t>
      </w:r>
      <w:r>
        <w:rPr>
          <w:rFonts w:ascii="SimSun" w:hAnsi="SimSun" w:eastAsia="SimSun" w:cs="SimSun"/>
          <w:sz w:val="21"/>
          <w:szCs w:val="21"/>
          <w:spacing w:val="-16"/>
        </w:rPr>
        <w:t>据从业人员、</w:t>
      </w:r>
      <w:r>
        <w:rPr>
          <w:rFonts w:ascii="SimSun" w:hAnsi="SimSun" w:eastAsia="SimSun" w:cs="SimSun"/>
          <w:sz w:val="21"/>
          <w:szCs w:val="21"/>
        </w:rPr>
        <w:t xml:space="preserve"> </w:t>
      </w:r>
      <w:r>
        <w:rPr>
          <w:rFonts w:ascii="SimSun" w:hAnsi="SimSun" w:eastAsia="SimSun" w:cs="SimSun"/>
          <w:sz w:val="21"/>
          <w:szCs w:val="21"/>
          <w:spacing w:val="-4"/>
        </w:rPr>
        <w:t>营业收入、资产总额等指标或替代指标，将我国的企业</w:t>
      </w:r>
      <w:r>
        <w:rPr>
          <w:rFonts w:ascii="SimSun" w:hAnsi="SimSun" w:eastAsia="SimSun" w:cs="SimSun"/>
          <w:sz w:val="21"/>
          <w:szCs w:val="21"/>
          <w:spacing w:val="-5"/>
        </w:rPr>
        <w:t>划分为大型、 </w:t>
      </w:r>
      <w:r>
        <w:rPr>
          <w:rFonts w:ascii="SimSun" w:hAnsi="SimSun" w:eastAsia="SimSun" w:cs="SimSun"/>
          <w:sz w:val="21"/>
          <w:szCs w:val="21"/>
          <w:spacing w:val="-3"/>
        </w:rPr>
        <w:t>中型、小型、微型等四种类型。具体划分标准见附表。</w:t>
      </w:r>
    </w:p>
    <w:p>
      <w:pPr>
        <w:ind w:left="14" w:right="139" w:firstLine="410"/>
        <w:spacing w:before="61" w:line="255" w:lineRule="auto"/>
        <w:rPr>
          <w:rFonts w:ascii="SimSun" w:hAnsi="SimSun" w:eastAsia="SimSun" w:cs="SimSun"/>
          <w:sz w:val="21"/>
          <w:szCs w:val="21"/>
        </w:rPr>
      </w:pPr>
      <w:r>
        <w:rPr>
          <w:rFonts w:ascii="SimSun" w:hAnsi="SimSun" w:eastAsia="SimSun" w:cs="SimSun"/>
          <w:sz w:val="21"/>
          <w:szCs w:val="21"/>
          <w:spacing w:val="-5"/>
        </w:rPr>
        <w:t>五、企业划分由政府综合统计部门根据统计年报每</w:t>
      </w:r>
      <w:r>
        <w:rPr>
          <w:rFonts w:ascii="SimSun" w:hAnsi="SimSun" w:eastAsia="SimSun" w:cs="SimSun"/>
          <w:sz w:val="21"/>
          <w:szCs w:val="21"/>
          <w:spacing w:val="-6"/>
        </w:rPr>
        <w:t>年确定一次，</w:t>
      </w:r>
      <w:r>
        <w:rPr>
          <w:rFonts w:ascii="SimSun" w:hAnsi="SimSun" w:eastAsia="SimSun" w:cs="SimSun"/>
          <w:sz w:val="21"/>
          <w:szCs w:val="21"/>
        </w:rPr>
        <w:t xml:space="preserve"> </w:t>
      </w:r>
      <w:r>
        <w:rPr>
          <w:rFonts w:ascii="SimSun" w:hAnsi="SimSun" w:eastAsia="SimSun" w:cs="SimSun"/>
          <w:sz w:val="21"/>
          <w:szCs w:val="21"/>
          <w:spacing w:val="-4"/>
        </w:rPr>
        <w:t>定报统计原则上不进行调整。</w:t>
      </w:r>
    </w:p>
    <w:p>
      <w:pPr>
        <w:ind w:left="14" w:firstLine="410"/>
        <w:spacing w:before="69" w:line="264" w:lineRule="auto"/>
        <w:rPr>
          <w:rFonts w:ascii="SimSun" w:hAnsi="SimSun" w:eastAsia="SimSun" w:cs="SimSun"/>
          <w:sz w:val="21"/>
          <w:szCs w:val="21"/>
        </w:rPr>
      </w:pPr>
      <w:r>
        <w:rPr>
          <w:rFonts w:ascii="SimSun" w:hAnsi="SimSun" w:eastAsia="SimSun" w:cs="SimSun"/>
          <w:sz w:val="21"/>
          <w:szCs w:val="21"/>
          <w:spacing w:val="4"/>
        </w:rPr>
        <w:t>六、本办法自印发之日起执行，国家统计局20</w:t>
      </w:r>
      <w:r>
        <w:rPr>
          <w:rFonts w:ascii="SimSun" w:hAnsi="SimSun" w:eastAsia="SimSun" w:cs="SimSun"/>
          <w:sz w:val="21"/>
          <w:szCs w:val="21"/>
          <w:spacing w:val="3"/>
        </w:rPr>
        <w:t>11年印发的《统</w:t>
      </w:r>
      <w:r>
        <w:rPr>
          <w:rFonts w:ascii="SimSun" w:hAnsi="SimSun" w:eastAsia="SimSun" w:cs="SimSun"/>
          <w:sz w:val="21"/>
          <w:szCs w:val="21"/>
        </w:rPr>
        <w:t xml:space="preserve">  </w:t>
      </w:r>
      <w:r>
        <w:rPr>
          <w:rFonts w:ascii="SimSun" w:hAnsi="SimSun" w:eastAsia="SimSun" w:cs="SimSun"/>
          <w:sz w:val="21"/>
          <w:szCs w:val="21"/>
          <w:spacing w:val="6"/>
        </w:rPr>
        <w:t>计上大中小微型企业划分办法》(国统字〔2011〕75号)</w:t>
      </w:r>
      <w:r>
        <w:rPr>
          <w:rFonts w:ascii="SimSun" w:hAnsi="SimSun" w:eastAsia="SimSun" w:cs="SimSun"/>
          <w:sz w:val="21"/>
          <w:szCs w:val="21"/>
          <w:spacing w:val="5"/>
        </w:rPr>
        <w:t>同时废止。</w:t>
      </w:r>
    </w:p>
    <w:p>
      <w:pPr>
        <w:ind w:left="1657"/>
        <w:spacing w:before="45" w:line="221" w:lineRule="auto"/>
        <w:rPr>
          <w:rFonts w:ascii="SimHei" w:hAnsi="SimHei" w:eastAsia="SimHei" w:cs="SimHei"/>
          <w:sz w:val="21"/>
          <w:szCs w:val="21"/>
        </w:rPr>
      </w:pPr>
      <w:r>
        <w:rPr>
          <w:rFonts w:ascii="SimHei" w:hAnsi="SimHei" w:eastAsia="SimHei" w:cs="SimHei"/>
          <w:sz w:val="21"/>
          <w:szCs w:val="21"/>
          <w:b/>
          <w:bCs/>
          <w:spacing w:val="-5"/>
        </w:rPr>
        <w:t>统计上大中小微型企业划分标准</w:t>
      </w:r>
    </w:p>
    <w:p>
      <w:pPr>
        <w:spacing w:line="30" w:lineRule="exact"/>
        <w:rPr/>
      </w:pPr>
      <w:r/>
    </w:p>
    <w:tbl>
      <w:tblPr>
        <w:tblStyle w:val="TableNormal"/>
        <w:tblW w:w="62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3"/>
        <w:gridCol w:w="909"/>
        <w:gridCol w:w="399"/>
        <w:gridCol w:w="809"/>
        <w:gridCol w:w="1248"/>
        <w:gridCol w:w="1068"/>
        <w:gridCol w:w="664"/>
      </w:tblGrid>
      <w:tr>
        <w:trPr>
          <w:trHeight w:val="534" w:hRule="atLeast"/>
        </w:trPr>
        <w:tc>
          <w:tcPr>
            <w:tcW w:w="1133" w:type="dxa"/>
            <w:vAlign w:val="top"/>
          </w:tcPr>
          <w:p>
            <w:pPr>
              <w:pStyle w:val="TableText"/>
              <w:ind w:left="274"/>
              <w:spacing w:before="192" w:line="220" w:lineRule="auto"/>
              <w:rPr>
                <w:sz w:val="16"/>
                <w:szCs w:val="16"/>
              </w:rPr>
            </w:pPr>
            <w:r>
              <w:rPr>
                <w:sz w:val="16"/>
                <w:szCs w:val="16"/>
                <w:spacing w:val="-2"/>
              </w:rPr>
              <w:t>行业名称</w:t>
            </w:r>
          </w:p>
        </w:tc>
        <w:tc>
          <w:tcPr>
            <w:tcW w:w="909" w:type="dxa"/>
            <w:vAlign w:val="top"/>
          </w:tcPr>
          <w:p>
            <w:pPr>
              <w:pStyle w:val="TableText"/>
              <w:ind w:left="121"/>
              <w:spacing w:before="192" w:line="220" w:lineRule="auto"/>
              <w:rPr>
                <w:sz w:val="16"/>
                <w:szCs w:val="16"/>
              </w:rPr>
            </w:pPr>
            <w:r>
              <w:rPr>
                <w:sz w:val="16"/>
                <w:szCs w:val="16"/>
                <w:spacing w:val="-2"/>
              </w:rPr>
              <w:t>指标名称</w:t>
            </w:r>
          </w:p>
        </w:tc>
        <w:tc>
          <w:tcPr>
            <w:tcW w:w="399" w:type="dxa"/>
            <w:vAlign w:val="top"/>
          </w:tcPr>
          <w:p>
            <w:pPr>
              <w:pStyle w:val="TableText"/>
              <w:ind w:left="32" w:right="42"/>
              <w:spacing w:before="73" w:line="242" w:lineRule="auto"/>
              <w:rPr>
                <w:sz w:val="16"/>
                <w:szCs w:val="16"/>
              </w:rPr>
            </w:pPr>
            <w:r>
              <w:rPr>
                <w:sz w:val="16"/>
                <w:szCs w:val="16"/>
                <w:spacing w:val="-4"/>
              </w:rPr>
              <w:t>计量</w:t>
            </w:r>
            <w:r>
              <w:rPr>
                <w:sz w:val="16"/>
                <w:szCs w:val="16"/>
              </w:rPr>
              <w:t xml:space="preserve"> </w:t>
            </w:r>
            <w:r>
              <w:rPr>
                <w:sz w:val="16"/>
                <w:szCs w:val="16"/>
                <w:spacing w:val="-4"/>
              </w:rPr>
              <w:t>单位</w:t>
            </w:r>
          </w:p>
        </w:tc>
        <w:tc>
          <w:tcPr>
            <w:tcW w:w="809" w:type="dxa"/>
            <w:vAlign w:val="top"/>
          </w:tcPr>
          <w:p>
            <w:pPr>
              <w:pStyle w:val="TableText"/>
              <w:ind w:left="233"/>
              <w:spacing w:before="192" w:line="220" w:lineRule="auto"/>
              <w:rPr>
                <w:sz w:val="16"/>
                <w:szCs w:val="16"/>
              </w:rPr>
            </w:pPr>
            <w:r>
              <w:rPr>
                <w:sz w:val="16"/>
                <w:szCs w:val="16"/>
                <w:spacing w:val="-3"/>
              </w:rPr>
              <w:t>大型</w:t>
            </w:r>
          </w:p>
        </w:tc>
        <w:tc>
          <w:tcPr>
            <w:tcW w:w="1248" w:type="dxa"/>
            <w:vAlign w:val="top"/>
          </w:tcPr>
          <w:p>
            <w:pPr>
              <w:pStyle w:val="TableText"/>
              <w:ind w:left="455"/>
              <w:spacing w:before="192" w:line="220" w:lineRule="auto"/>
              <w:rPr>
                <w:sz w:val="16"/>
                <w:szCs w:val="16"/>
              </w:rPr>
            </w:pPr>
            <w:r>
              <w:rPr>
                <w:sz w:val="16"/>
                <w:szCs w:val="16"/>
                <w:spacing w:val="5"/>
              </w:rPr>
              <w:t>中型</w:t>
            </w:r>
          </w:p>
        </w:tc>
        <w:tc>
          <w:tcPr>
            <w:tcW w:w="1068" w:type="dxa"/>
            <w:vAlign w:val="top"/>
          </w:tcPr>
          <w:p>
            <w:pPr>
              <w:pStyle w:val="TableText"/>
              <w:ind w:left="367"/>
              <w:spacing w:before="193" w:line="221" w:lineRule="auto"/>
              <w:rPr>
                <w:sz w:val="16"/>
                <w:szCs w:val="16"/>
              </w:rPr>
            </w:pPr>
            <w:r>
              <w:rPr>
                <w:sz w:val="16"/>
                <w:szCs w:val="16"/>
                <w:spacing w:val="5"/>
              </w:rPr>
              <w:t>小型</w:t>
            </w:r>
          </w:p>
        </w:tc>
        <w:tc>
          <w:tcPr>
            <w:tcW w:w="664" w:type="dxa"/>
            <w:vAlign w:val="top"/>
          </w:tcPr>
          <w:p>
            <w:pPr>
              <w:pStyle w:val="TableText"/>
              <w:ind w:left="178"/>
              <w:spacing w:before="191" w:line="219" w:lineRule="auto"/>
              <w:rPr>
                <w:sz w:val="16"/>
                <w:szCs w:val="16"/>
              </w:rPr>
            </w:pPr>
            <w:r>
              <w:rPr>
                <w:sz w:val="16"/>
                <w:szCs w:val="16"/>
                <w:spacing w:val="-2"/>
              </w:rPr>
              <w:t>微型</w:t>
            </w:r>
          </w:p>
        </w:tc>
      </w:tr>
      <w:tr>
        <w:trPr>
          <w:trHeight w:val="330" w:hRule="atLeast"/>
        </w:trPr>
        <w:tc>
          <w:tcPr>
            <w:tcW w:w="1133" w:type="dxa"/>
            <w:vAlign w:val="top"/>
          </w:tcPr>
          <w:p>
            <w:pPr>
              <w:pStyle w:val="TableText"/>
              <w:spacing w:before="87" w:line="219" w:lineRule="auto"/>
              <w:jc w:val="right"/>
              <w:rPr>
                <w:sz w:val="16"/>
                <w:szCs w:val="16"/>
              </w:rPr>
            </w:pPr>
            <w:r>
              <w:rPr>
                <w:sz w:val="16"/>
                <w:szCs w:val="16"/>
                <w:spacing w:val="-22"/>
                <w:w w:val="98"/>
              </w:rPr>
              <w:t>农、林、牧、渔</w:t>
            </w:r>
            <w:r>
              <w:rPr>
                <w:sz w:val="16"/>
                <w:szCs w:val="16"/>
                <w:spacing w:val="-6"/>
                <w:w w:val="98"/>
              </w:rPr>
              <w:t>业</w:t>
            </w:r>
          </w:p>
        </w:tc>
        <w:tc>
          <w:tcPr>
            <w:tcW w:w="909" w:type="dxa"/>
            <w:vAlign w:val="top"/>
          </w:tcPr>
          <w:p>
            <w:pPr>
              <w:pStyle w:val="TableText"/>
              <w:ind w:left="41"/>
              <w:spacing w:before="87" w:line="219" w:lineRule="auto"/>
              <w:rPr>
                <w:sz w:val="16"/>
                <w:szCs w:val="16"/>
              </w:rPr>
            </w:pPr>
            <w:r>
              <w:rPr>
                <w:sz w:val="16"/>
                <w:szCs w:val="16"/>
                <w:spacing w:val="-2"/>
              </w:rPr>
              <w:t>营业收入(Y</w:t>
            </w:r>
          </w:p>
        </w:tc>
        <w:tc>
          <w:tcPr>
            <w:tcW w:w="399" w:type="dxa"/>
            <w:vAlign w:val="top"/>
          </w:tcPr>
          <w:p>
            <w:pPr>
              <w:pStyle w:val="TableText"/>
              <w:ind w:left="32"/>
              <w:spacing w:before="88" w:line="220" w:lineRule="auto"/>
              <w:rPr>
                <w:sz w:val="16"/>
                <w:szCs w:val="16"/>
              </w:rPr>
            </w:pPr>
            <w:r>
              <w:rPr>
                <w:sz w:val="16"/>
                <w:szCs w:val="16"/>
                <w:spacing w:val="-3"/>
              </w:rPr>
              <w:t>万元</w:t>
            </w:r>
          </w:p>
        </w:tc>
        <w:tc>
          <w:tcPr>
            <w:tcW w:w="809" w:type="dxa"/>
            <w:vAlign w:val="top"/>
          </w:tcPr>
          <w:p>
            <w:pPr>
              <w:pStyle w:val="TableText"/>
              <w:ind w:left="33"/>
              <w:spacing w:before="103" w:line="237" w:lineRule="auto"/>
              <w:rPr>
                <w:sz w:val="16"/>
                <w:szCs w:val="16"/>
              </w:rPr>
            </w:pPr>
            <w:r>
              <w:rPr>
                <w:sz w:val="16"/>
                <w:szCs w:val="16"/>
                <w:spacing w:val="-4"/>
              </w:rPr>
              <w:t>Y</w:t>
            </w:r>
            <w:r>
              <w:rPr>
                <w:sz w:val="16"/>
                <w:szCs w:val="16"/>
                <w:spacing w:val="26"/>
              </w:rPr>
              <w:t xml:space="preserve"> </w:t>
            </w:r>
            <w:r>
              <w:rPr>
                <w:sz w:val="16"/>
                <w:szCs w:val="16"/>
                <w:spacing w:val="-4"/>
              </w:rPr>
              <w:t>≥20000</w:t>
            </w:r>
          </w:p>
        </w:tc>
        <w:tc>
          <w:tcPr>
            <w:tcW w:w="1248" w:type="dxa"/>
            <w:vAlign w:val="top"/>
          </w:tcPr>
          <w:p>
            <w:pPr>
              <w:pStyle w:val="TableText"/>
              <w:ind w:left="135"/>
              <w:spacing w:before="101" w:line="236" w:lineRule="auto"/>
              <w:rPr>
                <w:sz w:val="16"/>
                <w:szCs w:val="16"/>
              </w:rPr>
            </w:pPr>
            <w:r>
              <w:rPr>
                <w:sz w:val="16"/>
                <w:szCs w:val="16"/>
                <w:spacing w:val="-1"/>
              </w:rPr>
              <w:t>500≤Y&lt;20000</w:t>
            </w:r>
          </w:p>
        </w:tc>
        <w:tc>
          <w:tcPr>
            <w:tcW w:w="1068" w:type="dxa"/>
            <w:vAlign w:val="top"/>
          </w:tcPr>
          <w:p>
            <w:pPr>
              <w:pStyle w:val="TableText"/>
              <w:ind w:left="17"/>
              <w:spacing w:before="101" w:line="236" w:lineRule="auto"/>
              <w:rPr>
                <w:sz w:val="16"/>
                <w:szCs w:val="16"/>
              </w:rPr>
            </w:pPr>
            <w:r>
              <w:rPr>
                <w:sz w:val="16"/>
                <w:szCs w:val="16"/>
                <w:spacing w:val="-2"/>
              </w:rPr>
              <w:t>50≤Y&lt;500</w:t>
            </w:r>
          </w:p>
        </w:tc>
        <w:tc>
          <w:tcPr>
            <w:tcW w:w="664" w:type="dxa"/>
            <w:vAlign w:val="top"/>
          </w:tcPr>
          <w:p>
            <w:pPr>
              <w:pStyle w:val="TableText"/>
              <w:ind w:left="19"/>
              <w:spacing w:before="103"/>
              <w:rPr>
                <w:sz w:val="16"/>
                <w:szCs w:val="16"/>
              </w:rPr>
            </w:pPr>
            <w:r>
              <w:rPr>
                <w:sz w:val="16"/>
                <w:szCs w:val="16"/>
                <w:spacing w:val="-1"/>
              </w:rPr>
              <w:t>Y&lt;50</w:t>
            </w:r>
          </w:p>
        </w:tc>
      </w:tr>
      <w:tr>
        <w:trPr>
          <w:trHeight w:val="330" w:hRule="atLeast"/>
        </w:trPr>
        <w:tc>
          <w:tcPr>
            <w:tcW w:w="1133" w:type="dxa"/>
            <w:vAlign w:val="top"/>
            <w:vMerge w:val="restart"/>
            <w:tcBorders>
              <w:bottom w:val="nil"/>
            </w:tcBorders>
          </w:tcPr>
          <w:p>
            <w:pPr>
              <w:pStyle w:val="TableText"/>
              <w:ind w:left="25"/>
              <w:spacing w:before="267" w:line="232" w:lineRule="auto"/>
              <w:rPr>
                <w:sz w:val="16"/>
                <w:szCs w:val="16"/>
              </w:rPr>
            </w:pPr>
            <w:r>
              <w:rPr>
                <w:sz w:val="16"/>
                <w:szCs w:val="16"/>
                <w:spacing w:val="-3"/>
              </w:rPr>
              <w:t>工业*</w:t>
            </w:r>
          </w:p>
        </w:tc>
        <w:tc>
          <w:tcPr>
            <w:tcW w:w="909" w:type="dxa"/>
            <w:vAlign w:val="top"/>
          </w:tcPr>
          <w:p>
            <w:pPr>
              <w:pStyle w:val="TableText"/>
              <w:spacing w:before="88" w:line="220" w:lineRule="auto"/>
              <w:jc w:val="right"/>
              <w:rPr>
                <w:sz w:val="16"/>
                <w:szCs w:val="16"/>
              </w:rPr>
            </w:pPr>
            <w:r>
              <w:rPr>
                <w:sz w:val="16"/>
                <w:szCs w:val="16"/>
                <w:spacing w:val="2"/>
              </w:rPr>
              <w:t>从业人员(X)</w:t>
            </w:r>
          </w:p>
        </w:tc>
        <w:tc>
          <w:tcPr>
            <w:tcW w:w="399" w:type="dxa"/>
            <w:vAlign w:val="top"/>
          </w:tcPr>
          <w:p>
            <w:pPr>
              <w:pStyle w:val="TableText"/>
              <w:ind w:left="112"/>
              <w:spacing w:before="90" w:line="222" w:lineRule="auto"/>
              <w:rPr>
                <w:sz w:val="16"/>
                <w:szCs w:val="16"/>
              </w:rPr>
            </w:pPr>
            <w:r>
              <w:rPr>
                <w:sz w:val="16"/>
                <w:szCs w:val="16"/>
              </w:rPr>
              <w:t>人</w:t>
            </w:r>
          </w:p>
        </w:tc>
        <w:tc>
          <w:tcPr>
            <w:tcW w:w="809" w:type="dxa"/>
            <w:vAlign w:val="top"/>
          </w:tcPr>
          <w:p>
            <w:pPr>
              <w:pStyle w:val="TableText"/>
              <w:ind w:left="74"/>
              <w:spacing w:before="103" w:line="237" w:lineRule="auto"/>
              <w:rPr>
                <w:sz w:val="16"/>
                <w:szCs w:val="16"/>
              </w:rPr>
            </w:pPr>
            <w:r>
              <w:rPr>
                <w:sz w:val="16"/>
                <w:szCs w:val="16"/>
                <w:spacing w:val="-4"/>
              </w:rPr>
              <w:t>X</w:t>
            </w:r>
            <w:r>
              <w:rPr>
                <w:sz w:val="16"/>
                <w:szCs w:val="16"/>
                <w:spacing w:val="22"/>
              </w:rPr>
              <w:t xml:space="preserve"> </w:t>
            </w:r>
            <w:r>
              <w:rPr>
                <w:sz w:val="16"/>
                <w:szCs w:val="16"/>
                <w:spacing w:val="-4"/>
              </w:rPr>
              <w:t>≥1000</w:t>
            </w:r>
          </w:p>
        </w:tc>
        <w:tc>
          <w:tcPr>
            <w:tcW w:w="1248" w:type="dxa"/>
            <w:vAlign w:val="top"/>
          </w:tcPr>
          <w:p>
            <w:pPr>
              <w:pStyle w:val="TableText"/>
              <w:ind w:left="24"/>
              <w:spacing w:before="103"/>
              <w:rPr>
                <w:sz w:val="16"/>
                <w:szCs w:val="16"/>
              </w:rPr>
            </w:pPr>
            <w:r>
              <w:rPr>
                <w:sz w:val="16"/>
                <w:szCs w:val="16"/>
                <w:spacing w:val="-1"/>
              </w:rPr>
              <w:t>300&lt;X&lt;1000</w:t>
            </w:r>
          </w:p>
        </w:tc>
        <w:tc>
          <w:tcPr>
            <w:tcW w:w="1068" w:type="dxa"/>
            <w:vAlign w:val="top"/>
          </w:tcPr>
          <w:p>
            <w:pPr>
              <w:pStyle w:val="TableText"/>
              <w:ind w:left="17"/>
              <w:spacing w:before="103"/>
              <w:rPr>
                <w:sz w:val="16"/>
                <w:szCs w:val="16"/>
              </w:rPr>
            </w:pPr>
            <w:r>
              <w:rPr>
                <w:sz w:val="16"/>
                <w:szCs w:val="16"/>
                <w:spacing w:val="-1"/>
              </w:rPr>
              <w:t>20&lt;X&lt;300</w:t>
            </w:r>
          </w:p>
        </w:tc>
        <w:tc>
          <w:tcPr>
            <w:tcW w:w="664" w:type="dxa"/>
            <w:vAlign w:val="top"/>
          </w:tcPr>
          <w:p>
            <w:pPr>
              <w:pStyle w:val="TableText"/>
              <w:ind w:left="19"/>
              <w:spacing w:before="103"/>
              <w:rPr>
                <w:sz w:val="16"/>
                <w:szCs w:val="16"/>
              </w:rPr>
            </w:pPr>
            <w:r>
              <w:rPr>
                <w:sz w:val="16"/>
                <w:szCs w:val="16"/>
                <w:spacing w:val="-1"/>
              </w:rPr>
              <w:t>X&lt;20</w:t>
            </w:r>
          </w:p>
        </w:tc>
      </w:tr>
      <w:tr>
        <w:trPr>
          <w:trHeight w:val="330"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87" w:line="219" w:lineRule="auto"/>
              <w:jc w:val="right"/>
              <w:rPr>
                <w:sz w:val="16"/>
                <w:szCs w:val="16"/>
              </w:rPr>
            </w:pPr>
            <w:r>
              <w:rPr>
                <w:sz w:val="16"/>
                <w:szCs w:val="16"/>
                <w:spacing w:val="2"/>
              </w:rPr>
              <w:t>营业收入(Y)</w:t>
            </w:r>
          </w:p>
        </w:tc>
        <w:tc>
          <w:tcPr>
            <w:tcW w:w="399" w:type="dxa"/>
            <w:vAlign w:val="top"/>
          </w:tcPr>
          <w:p>
            <w:pPr>
              <w:pStyle w:val="TableText"/>
              <w:ind w:left="32"/>
              <w:spacing w:before="88" w:line="220" w:lineRule="auto"/>
              <w:rPr>
                <w:sz w:val="16"/>
                <w:szCs w:val="16"/>
              </w:rPr>
            </w:pPr>
            <w:r>
              <w:rPr>
                <w:sz w:val="16"/>
                <w:szCs w:val="16"/>
                <w:spacing w:val="-3"/>
              </w:rPr>
              <w:t>万元</w:t>
            </w:r>
          </w:p>
        </w:tc>
        <w:tc>
          <w:tcPr>
            <w:tcW w:w="809" w:type="dxa"/>
            <w:vAlign w:val="top"/>
          </w:tcPr>
          <w:p>
            <w:pPr>
              <w:pStyle w:val="TableText"/>
              <w:ind w:left="33"/>
              <w:spacing w:before="103" w:line="237" w:lineRule="auto"/>
              <w:rPr>
                <w:sz w:val="16"/>
                <w:szCs w:val="16"/>
              </w:rPr>
            </w:pPr>
            <w:r>
              <w:rPr>
                <w:sz w:val="16"/>
                <w:szCs w:val="16"/>
                <w:spacing w:val="-4"/>
              </w:rPr>
              <w:t>Y</w:t>
            </w:r>
            <w:r>
              <w:rPr>
                <w:sz w:val="16"/>
                <w:szCs w:val="16"/>
                <w:spacing w:val="26"/>
              </w:rPr>
              <w:t xml:space="preserve"> </w:t>
            </w:r>
            <w:r>
              <w:rPr>
                <w:sz w:val="16"/>
                <w:szCs w:val="16"/>
                <w:spacing w:val="-4"/>
              </w:rPr>
              <w:t>≥40000</w:t>
            </w:r>
          </w:p>
        </w:tc>
        <w:tc>
          <w:tcPr>
            <w:tcW w:w="1248" w:type="dxa"/>
            <w:vAlign w:val="top"/>
          </w:tcPr>
          <w:p>
            <w:pPr>
              <w:pStyle w:val="TableText"/>
              <w:ind w:left="94"/>
              <w:spacing w:before="101" w:line="236" w:lineRule="auto"/>
              <w:rPr>
                <w:sz w:val="16"/>
                <w:szCs w:val="16"/>
              </w:rPr>
            </w:pPr>
            <w:r>
              <w:rPr>
                <w:sz w:val="16"/>
                <w:szCs w:val="16"/>
                <w:spacing w:val="-1"/>
              </w:rPr>
              <w:t>2000≤Y&lt;40000</w:t>
            </w:r>
          </w:p>
        </w:tc>
        <w:tc>
          <w:tcPr>
            <w:tcW w:w="1068" w:type="dxa"/>
            <w:vAlign w:val="top"/>
          </w:tcPr>
          <w:p>
            <w:pPr>
              <w:pStyle w:val="TableText"/>
              <w:ind w:left="86"/>
              <w:spacing w:before="101" w:line="236" w:lineRule="auto"/>
              <w:rPr>
                <w:sz w:val="16"/>
                <w:szCs w:val="16"/>
              </w:rPr>
            </w:pPr>
            <w:r>
              <w:rPr>
                <w:sz w:val="16"/>
                <w:szCs w:val="16"/>
                <w:spacing w:val="-1"/>
              </w:rPr>
              <w:t>300≤Y&lt;2000</w:t>
            </w:r>
          </w:p>
        </w:tc>
        <w:tc>
          <w:tcPr>
            <w:tcW w:w="664" w:type="dxa"/>
            <w:vAlign w:val="top"/>
          </w:tcPr>
          <w:p>
            <w:pPr>
              <w:pStyle w:val="TableText"/>
              <w:ind w:left="19"/>
              <w:spacing w:before="103"/>
              <w:rPr>
                <w:sz w:val="16"/>
                <w:szCs w:val="16"/>
              </w:rPr>
            </w:pPr>
            <w:r>
              <w:rPr>
                <w:sz w:val="16"/>
                <w:szCs w:val="16"/>
                <w:spacing w:val="-1"/>
              </w:rPr>
              <w:t>Y&lt;300</w:t>
            </w:r>
          </w:p>
        </w:tc>
      </w:tr>
      <w:tr>
        <w:trPr>
          <w:trHeight w:val="329" w:hRule="atLeast"/>
        </w:trPr>
        <w:tc>
          <w:tcPr>
            <w:tcW w:w="1133" w:type="dxa"/>
            <w:vAlign w:val="top"/>
            <w:vMerge w:val="restart"/>
            <w:tcBorders>
              <w:bottom w:val="nil"/>
            </w:tcBorders>
          </w:tcPr>
          <w:p>
            <w:pPr>
              <w:pStyle w:val="TableText"/>
              <w:ind w:left="25"/>
              <w:spacing w:before="258" w:line="220" w:lineRule="auto"/>
              <w:rPr>
                <w:sz w:val="16"/>
                <w:szCs w:val="16"/>
              </w:rPr>
            </w:pPr>
            <w:r>
              <w:rPr>
                <w:sz w:val="16"/>
                <w:szCs w:val="16"/>
                <w:spacing w:val="-2"/>
              </w:rPr>
              <w:t>建筑业</w:t>
            </w:r>
          </w:p>
        </w:tc>
        <w:tc>
          <w:tcPr>
            <w:tcW w:w="909" w:type="dxa"/>
            <w:vAlign w:val="top"/>
          </w:tcPr>
          <w:p>
            <w:pPr>
              <w:pStyle w:val="TableText"/>
              <w:spacing w:before="87" w:line="219" w:lineRule="auto"/>
              <w:jc w:val="right"/>
              <w:rPr>
                <w:sz w:val="16"/>
                <w:szCs w:val="16"/>
              </w:rPr>
            </w:pPr>
            <w:r>
              <w:rPr>
                <w:sz w:val="16"/>
                <w:szCs w:val="16"/>
                <w:spacing w:val="2"/>
              </w:rPr>
              <w:t>营业收入(Y)</w:t>
            </w:r>
          </w:p>
        </w:tc>
        <w:tc>
          <w:tcPr>
            <w:tcW w:w="399" w:type="dxa"/>
            <w:vAlign w:val="top"/>
          </w:tcPr>
          <w:p>
            <w:pPr>
              <w:pStyle w:val="TableText"/>
              <w:ind w:left="32"/>
              <w:spacing w:before="88" w:line="220" w:lineRule="auto"/>
              <w:rPr>
                <w:sz w:val="16"/>
                <w:szCs w:val="16"/>
              </w:rPr>
            </w:pPr>
            <w:r>
              <w:rPr>
                <w:sz w:val="16"/>
                <w:szCs w:val="16"/>
                <w:spacing w:val="-3"/>
              </w:rPr>
              <w:t>万元</w:t>
            </w:r>
          </w:p>
        </w:tc>
        <w:tc>
          <w:tcPr>
            <w:tcW w:w="809" w:type="dxa"/>
            <w:vAlign w:val="top"/>
          </w:tcPr>
          <w:p>
            <w:pPr>
              <w:pStyle w:val="TableText"/>
              <w:ind w:left="33"/>
              <w:spacing w:before="103" w:line="237" w:lineRule="auto"/>
              <w:rPr>
                <w:sz w:val="16"/>
                <w:szCs w:val="16"/>
              </w:rPr>
            </w:pPr>
            <w:r>
              <w:rPr>
                <w:sz w:val="16"/>
                <w:szCs w:val="16"/>
                <w:spacing w:val="-4"/>
              </w:rPr>
              <w:t>Y</w:t>
            </w:r>
            <w:r>
              <w:rPr>
                <w:sz w:val="16"/>
                <w:szCs w:val="16"/>
                <w:spacing w:val="26"/>
              </w:rPr>
              <w:t xml:space="preserve"> </w:t>
            </w:r>
            <w:r>
              <w:rPr>
                <w:sz w:val="16"/>
                <w:szCs w:val="16"/>
                <w:spacing w:val="-4"/>
              </w:rPr>
              <w:t>≥80000</w:t>
            </w:r>
          </w:p>
        </w:tc>
        <w:tc>
          <w:tcPr>
            <w:tcW w:w="1248" w:type="dxa"/>
            <w:vAlign w:val="top"/>
          </w:tcPr>
          <w:p>
            <w:pPr>
              <w:pStyle w:val="TableText"/>
              <w:ind w:left="94"/>
              <w:spacing w:before="101" w:line="236" w:lineRule="auto"/>
              <w:rPr>
                <w:sz w:val="16"/>
                <w:szCs w:val="16"/>
              </w:rPr>
            </w:pPr>
            <w:r>
              <w:rPr>
                <w:sz w:val="16"/>
                <w:szCs w:val="16"/>
                <w:spacing w:val="-1"/>
              </w:rPr>
              <w:t>6000≤Y&lt;80000</w:t>
            </w:r>
          </w:p>
        </w:tc>
        <w:tc>
          <w:tcPr>
            <w:tcW w:w="1068" w:type="dxa"/>
            <w:vAlign w:val="top"/>
          </w:tcPr>
          <w:p>
            <w:pPr>
              <w:pStyle w:val="TableText"/>
              <w:ind w:left="86"/>
              <w:spacing w:before="101" w:line="236" w:lineRule="auto"/>
              <w:rPr>
                <w:sz w:val="16"/>
                <w:szCs w:val="16"/>
              </w:rPr>
            </w:pPr>
            <w:r>
              <w:rPr>
                <w:sz w:val="16"/>
                <w:szCs w:val="16"/>
                <w:spacing w:val="-1"/>
              </w:rPr>
              <w:t>300≤Y&lt;6000</w:t>
            </w:r>
          </w:p>
        </w:tc>
        <w:tc>
          <w:tcPr>
            <w:tcW w:w="664" w:type="dxa"/>
            <w:vAlign w:val="top"/>
          </w:tcPr>
          <w:p>
            <w:pPr>
              <w:pStyle w:val="TableText"/>
              <w:ind w:left="19"/>
              <w:spacing w:before="103"/>
              <w:rPr>
                <w:sz w:val="16"/>
                <w:szCs w:val="16"/>
              </w:rPr>
            </w:pPr>
            <w:r>
              <w:rPr>
                <w:sz w:val="16"/>
                <w:szCs w:val="16"/>
                <w:spacing w:val="-1"/>
              </w:rPr>
              <w:t>Y&lt;300</w:t>
            </w:r>
          </w:p>
        </w:tc>
      </w:tr>
      <w:tr>
        <w:trPr>
          <w:trHeight w:val="330"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41"/>
              <w:spacing w:before="88" w:line="219" w:lineRule="auto"/>
              <w:rPr>
                <w:sz w:val="16"/>
                <w:szCs w:val="16"/>
              </w:rPr>
            </w:pPr>
            <w:r>
              <w:rPr>
                <w:sz w:val="16"/>
                <w:szCs w:val="16"/>
                <w:spacing w:val="-2"/>
              </w:rPr>
              <w:t>资产总额(Z</w:t>
            </w:r>
          </w:p>
        </w:tc>
        <w:tc>
          <w:tcPr>
            <w:tcW w:w="399" w:type="dxa"/>
            <w:vAlign w:val="top"/>
          </w:tcPr>
          <w:p>
            <w:pPr>
              <w:pStyle w:val="TableText"/>
              <w:ind w:left="32"/>
              <w:spacing w:before="89" w:line="220" w:lineRule="auto"/>
              <w:rPr>
                <w:sz w:val="16"/>
                <w:szCs w:val="16"/>
              </w:rPr>
            </w:pPr>
            <w:r>
              <w:rPr>
                <w:sz w:val="16"/>
                <w:szCs w:val="16"/>
                <w:spacing w:val="-3"/>
              </w:rPr>
              <w:t>万元</w:t>
            </w:r>
          </w:p>
        </w:tc>
        <w:tc>
          <w:tcPr>
            <w:tcW w:w="809" w:type="dxa"/>
            <w:vAlign w:val="top"/>
          </w:tcPr>
          <w:p>
            <w:pPr>
              <w:pStyle w:val="TableText"/>
              <w:ind w:left="74"/>
              <w:spacing w:before="104" w:line="237" w:lineRule="auto"/>
              <w:rPr>
                <w:sz w:val="16"/>
                <w:szCs w:val="16"/>
              </w:rPr>
            </w:pPr>
            <w:r>
              <w:rPr>
                <w:sz w:val="16"/>
                <w:szCs w:val="16"/>
                <w:spacing w:val="-1"/>
              </w:rPr>
              <w:t>Z≥80000</w:t>
            </w:r>
          </w:p>
        </w:tc>
        <w:tc>
          <w:tcPr>
            <w:tcW w:w="1248" w:type="dxa"/>
            <w:vAlign w:val="top"/>
          </w:tcPr>
          <w:p>
            <w:pPr>
              <w:pStyle w:val="TableText"/>
              <w:ind w:left="94"/>
              <w:spacing w:before="104"/>
              <w:rPr>
                <w:sz w:val="16"/>
                <w:szCs w:val="16"/>
              </w:rPr>
            </w:pPr>
            <w:r>
              <w:rPr>
                <w:sz w:val="16"/>
                <w:szCs w:val="16"/>
                <w:spacing w:val="-1"/>
              </w:rPr>
              <w:t>5000≈Z&lt;80000</w:t>
            </w:r>
          </w:p>
        </w:tc>
        <w:tc>
          <w:tcPr>
            <w:tcW w:w="1068" w:type="dxa"/>
            <w:vAlign w:val="top"/>
          </w:tcPr>
          <w:p>
            <w:pPr>
              <w:pStyle w:val="TableText"/>
              <w:ind w:left="86"/>
              <w:spacing w:before="104"/>
              <w:rPr>
                <w:sz w:val="16"/>
                <w:szCs w:val="16"/>
              </w:rPr>
            </w:pPr>
            <w:r>
              <w:rPr>
                <w:sz w:val="16"/>
                <w:szCs w:val="16"/>
                <w:spacing w:val="-1"/>
              </w:rPr>
              <w:t>300≈Z&lt;5000</w:t>
            </w:r>
          </w:p>
        </w:tc>
        <w:tc>
          <w:tcPr>
            <w:tcW w:w="664" w:type="dxa"/>
            <w:vAlign w:val="top"/>
          </w:tcPr>
          <w:p>
            <w:pPr>
              <w:pStyle w:val="TableText"/>
              <w:ind w:left="19"/>
              <w:spacing w:before="104"/>
              <w:rPr>
                <w:sz w:val="16"/>
                <w:szCs w:val="16"/>
              </w:rPr>
            </w:pPr>
            <w:r>
              <w:rPr>
                <w:sz w:val="16"/>
                <w:szCs w:val="16"/>
                <w:spacing w:val="-1"/>
              </w:rPr>
              <w:t>Z&lt;300</w:t>
            </w:r>
          </w:p>
        </w:tc>
      </w:tr>
      <w:tr>
        <w:trPr>
          <w:trHeight w:val="340" w:hRule="atLeast"/>
        </w:trPr>
        <w:tc>
          <w:tcPr>
            <w:tcW w:w="1133" w:type="dxa"/>
            <w:vAlign w:val="top"/>
            <w:vMerge w:val="restart"/>
            <w:tcBorders>
              <w:bottom w:val="nil"/>
            </w:tcBorders>
          </w:tcPr>
          <w:p>
            <w:pPr>
              <w:pStyle w:val="TableText"/>
              <w:ind w:left="25"/>
              <w:spacing w:before="269" w:line="220" w:lineRule="auto"/>
              <w:rPr>
                <w:sz w:val="16"/>
                <w:szCs w:val="16"/>
              </w:rPr>
            </w:pPr>
            <w:r>
              <w:rPr>
                <w:sz w:val="16"/>
                <w:szCs w:val="16"/>
                <w:spacing w:val="-2"/>
              </w:rPr>
              <w:t>批发业</w:t>
            </w:r>
          </w:p>
        </w:tc>
        <w:tc>
          <w:tcPr>
            <w:tcW w:w="909" w:type="dxa"/>
            <w:vAlign w:val="top"/>
          </w:tcPr>
          <w:p>
            <w:pPr>
              <w:pStyle w:val="TableText"/>
              <w:spacing w:before="89" w:line="220" w:lineRule="auto"/>
              <w:jc w:val="right"/>
              <w:rPr>
                <w:sz w:val="16"/>
                <w:szCs w:val="16"/>
              </w:rPr>
            </w:pPr>
            <w:r>
              <w:rPr>
                <w:sz w:val="16"/>
                <w:szCs w:val="16"/>
                <w:spacing w:val="2"/>
              </w:rPr>
              <w:t>从业人员(X)</w:t>
            </w:r>
          </w:p>
        </w:tc>
        <w:tc>
          <w:tcPr>
            <w:tcW w:w="399" w:type="dxa"/>
            <w:vAlign w:val="top"/>
          </w:tcPr>
          <w:p>
            <w:pPr>
              <w:pStyle w:val="TableText"/>
              <w:ind w:left="112"/>
              <w:spacing w:before="91" w:line="222" w:lineRule="auto"/>
              <w:rPr>
                <w:sz w:val="16"/>
                <w:szCs w:val="16"/>
              </w:rPr>
            </w:pPr>
            <w:r>
              <w:rPr>
                <w:sz w:val="16"/>
                <w:szCs w:val="16"/>
              </w:rPr>
              <w:t>人</w:t>
            </w:r>
          </w:p>
        </w:tc>
        <w:tc>
          <w:tcPr>
            <w:tcW w:w="809" w:type="dxa"/>
            <w:vAlign w:val="top"/>
          </w:tcPr>
          <w:p>
            <w:pPr>
              <w:pStyle w:val="TableText"/>
              <w:ind w:left="33"/>
              <w:spacing w:before="104" w:line="237" w:lineRule="auto"/>
              <w:rPr>
                <w:sz w:val="16"/>
                <w:szCs w:val="16"/>
              </w:rPr>
            </w:pPr>
            <w:r>
              <w:rPr>
                <w:sz w:val="16"/>
                <w:szCs w:val="16"/>
                <w:spacing w:val="-1"/>
              </w:rPr>
              <w:t>X≥200</w:t>
            </w:r>
          </w:p>
        </w:tc>
        <w:tc>
          <w:tcPr>
            <w:tcW w:w="1248" w:type="dxa"/>
            <w:vAlign w:val="top"/>
          </w:tcPr>
          <w:p>
            <w:pPr>
              <w:pStyle w:val="TableText"/>
              <w:ind w:left="255"/>
              <w:spacing w:before="102" w:line="236" w:lineRule="auto"/>
              <w:rPr>
                <w:sz w:val="16"/>
                <w:szCs w:val="16"/>
              </w:rPr>
            </w:pPr>
            <w:r>
              <w:rPr>
                <w:sz w:val="16"/>
                <w:szCs w:val="16"/>
                <w:spacing w:val="-1"/>
              </w:rPr>
              <w:t>20≤X&lt;200</w:t>
            </w:r>
          </w:p>
        </w:tc>
        <w:tc>
          <w:tcPr>
            <w:tcW w:w="1068" w:type="dxa"/>
            <w:vAlign w:val="top"/>
          </w:tcPr>
          <w:p>
            <w:pPr>
              <w:pStyle w:val="TableText"/>
              <w:ind w:left="286"/>
              <w:spacing w:before="104"/>
              <w:rPr>
                <w:sz w:val="16"/>
                <w:szCs w:val="16"/>
              </w:rPr>
            </w:pPr>
            <w:r>
              <w:rPr>
                <w:sz w:val="16"/>
                <w:szCs w:val="16"/>
                <w:spacing w:val="-2"/>
              </w:rPr>
              <w:t>5&lt;X&lt;20</w:t>
            </w:r>
          </w:p>
        </w:tc>
        <w:tc>
          <w:tcPr>
            <w:tcW w:w="664" w:type="dxa"/>
            <w:vAlign w:val="top"/>
          </w:tcPr>
          <w:p>
            <w:pPr>
              <w:pStyle w:val="TableText"/>
              <w:ind w:left="19"/>
              <w:spacing w:before="104"/>
              <w:rPr>
                <w:sz w:val="16"/>
                <w:szCs w:val="16"/>
              </w:rPr>
            </w:pPr>
            <w:r>
              <w:rPr>
                <w:sz w:val="16"/>
                <w:szCs w:val="16"/>
                <w:spacing w:val="-1"/>
              </w:rPr>
              <w:t>X&lt;5</w:t>
            </w:r>
          </w:p>
        </w:tc>
      </w:tr>
      <w:tr>
        <w:trPr>
          <w:trHeight w:val="339"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88" w:line="219" w:lineRule="auto"/>
              <w:jc w:val="right"/>
              <w:rPr>
                <w:sz w:val="16"/>
                <w:szCs w:val="16"/>
              </w:rPr>
            </w:pPr>
            <w:r>
              <w:rPr>
                <w:sz w:val="16"/>
                <w:szCs w:val="16"/>
                <w:spacing w:val="2"/>
              </w:rPr>
              <w:t>营业收入(Y)</w:t>
            </w:r>
          </w:p>
        </w:tc>
        <w:tc>
          <w:tcPr>
            <w:tcW w:w="399" w:type="dxa"/>
            <w:vAlign w:val="top"/>
          </w:tcPr>
          <w:p>
            <w:pPr>
              <w:pStyle w:val="TableText"/>
              <w:ind w:left="32"/>
              <w:spacing w:before="89" w:line="220" w:lineRule="auto"/>
              <w:rPr>
                <w:sz w:val="16"/>
                <w:szCs w:val="16"/>
              </w:rPr>
            </w:pPr>
            <w:r>
              <w:rPr>
                <w:sz w:val="16"/>
                <w:szCs w:val="16"/>
                <w:spacing w:val="-3"/>
              </w:rPr>
              <w:t>万元</w:t>
            </w:r>
          </w:p>
        </w:tc>
        <w:tc>
          <w:tcPr>
            <w:tcW w:w="809" w:type="dxa"/>
            <w:vAlign w:val="top"/>
          </w:tcPr>
          <w:p>
            <w:pPr>
              <w:pStyle w:val="TableText"/>
              <w:ind w:left="74"/>
              <w:spacing w:before="104" w:line="237" w:lineRule="auto"/>
              <w:rPr>
                <w:sz w:val="16"/>
                <w:szCs w:val="16"/>
              </w:rPr>
            </w:pPr>
            <w:r>
              <w:rPr>
                <w:sz w:val="16"/>
                <w:szCs w:val="16"/>
                <w:spacing w:val="-1"/>
              </w:rPr>
              <w:t>Y≥40000</w:t>
            </w:r>
          </w:p>
        </w:tc>
        <w:tc>
          <w:tcPr>
            <w:tcW w:w="1248" w:type="dxa"/>
            <w:vAlign w:val="top"/>
          </w:tcPr>
          <w:p>
            <w:pPr>
              <w:pStyle w:val="TableText"/>
              <w:ind w:left="94"/>
              <w:spacing w:before="102" w:line="236" w:lineRule="auto"/>
              <w:rPr>
                <w:sz w:val="16"/>
                <w:szCs w:val="16"/>
              </w:rPr>
            </w:pPr>
            <w:r>
              <w:rPr>
                <w:sz w:val="16"/>
                <w:szCs w:val="16"/>
                <w:spacing w:val="-1"/>
              </w:rPr>
              <w:t>5000≤Y&lt;40000</w:t>
            </w:r>
          </w:p>
        </w:tc>
        <w:tc>
          <w:tcPr>
            <w:tcW w:w="1068" w:type="dxa"/>
            <w:vAlign w:val="top"/>
          </w:tcPr>
          <w:p>
            <w:pPr>
              <w:pStyle w:val="TableText"/>
              <w:ind w:left="86"/>
              <w:spacing w:before="102" w:line="236" w:lineRule="auto"/>
              <w:rPr>
                <w:sz w:val="16"/>
                <w:szCs w:val="16"/>
              </w:rPr>
            </w:pPr>
            <w:r>
              <w:rPr>
                <w:sz w:val="16"/>
                <w:szCs w:val="16"/>
                <w:spacing w:val="-1"/>
              </w:rPr>
              <w:t>000≤Y&lt;5000</w:t>
            </w:r>
          </w:p>
        </w:tc>
        <w:tc>
          <w:tcPr>
            <w:tcW w:w="664" w:type="dxa"/>
            <w:vAlign w:val="top"/>
          </w:tcPr>
          <w:p>
            <w:pPr>
              <w:pStyle w:val="TableText"/>
              <w:ind w:left="19"/>
              <w:spacing w:before="104"/>
              <w:rPr>
                <w:sz w:val="16"/>
                <w:szCs w:val="16"/>
              </w:rPr>
            </w:pPr>
            <w:r>
              <w:rPr>
                <w:sz w:val="16"/>
                <w:szCs w:val="16"/>
                <w:spacing w:val="-1"/>
              </w:rPr>
              <w:t>Y&lt;1000</w:t>
            </w:r>
          </w:p>
        </w:tc>
      </w:tr>
      <w:tr>
        <w:trPr>
          <w:trHeight w:val="329" w:hRule="atLeast"/>
        </w:trPr>
        <w:tc>
          <w:tcPr>
            <w:tcW w:w="1133" w:type="dxa"/>
            <w:vAlign w:val="top"/>
            <w:vMerge w:val="restart"/>
            <w:tcBorders>
              <w:bottom w:val="nil"/>
            </w:tcBorders>
          </w:tcPr>
          <w:p>
            <w:pPr>
              <w:pStyle w:val="TableText"/>
              <w:ind w:left="25"/>
              <w:spacing w:before="249" w:line="219" w:lineRule="auto"/>
              <w:rPr>
                <w:sz w:val="16"/>
                <w:szCs w:val="16"/>
              </w:rPr>
            </w:pPr>
            <w:r>
              <w:rPr>
                <w:sz w:val="16"/>
                <w:szCs w:val="16"/>
                <w:spacing w:val="-2"/>
              </w:rPr>
              <w:t>零售业</w:t>
            </w:r>
          </w:p>
        </w:tc>
        <w:tc>
          <w:tcPr>
            <w:tcW w:w="909" w:type="dxa"/>
            <w:vAlign w:val="top"/>
          </w:tcPr>
          <w:p>
            <w:pPr>
              <w:pStyle w:val="TableText"/>
              <w:spacing w:before="90" w:line="220" w:lineRule="auto"/>
              <w:jc w:val="right"/>
              <w:rPr>
                <w:sz w:val="16"/>
                <w:szCs w:val="16"/>
              </w:rPr>
            </w:pPr>
            <w:r>
              <w:rPr>
                <w:sz w:val="16"/>
                <w:szCs w:val="16"/>
                <w:spacing w:val="2"/>
              </w:rPr>
              <w:t>从业人员(X)</w:t>
            </w:r>
          </w:p>
        </w:tc>
        <w:tc>
          <w:tcPr>
            <w:tcW w:w="399" w:type="dxa"/>
            <w:vAlign w:val="top"/>
          </w:tcPr>
          <w:p>
            <w:pPr>
              <w:pStyle w:val="TableText"/>
              <w:ind w:left="112"/>
              <w:spacing w:before="92" w:line="222" w:lineRule="auto"/>
              <w:rPr>
                <w:sz w:val="16"/>
                <w:szCs w:val="16"/>
              </w:rPr>
            </w:pPr>
            <w:r>
              <w:rPr>
                <w:sz w:val="16"/>
                <w:szCs w:val="16"/>
              </w:rPr>
              <w:t>人</w:t>
            </w:r>
          </w:p>
        </w:tc>
        <w:tc>
          <w:tcPr>
            <w:tcW w:w="809" w:type="dxa"/>
            <w:vAlign w:val="top"/>
          </w:tcPr>
          <w:p>
            <w:pPr>
              <w:pStyle w:val="TableText"/>
              <w:ind w:left="33"/>
              <w:spacing w:before="105" w:line="237" w:lineRule="auto"/>
              <w:rPr>
                <w:sz w:val="16"/>
                <w:szCs w:val="16"/>
              </w:rPr>
            </w:pPr>
            <w:r>
              <w:rPr>
                <w:sz w:val="16"/>
                <w:szCs w:val="16"/>
                <w:spacing w:val="-1"/>
              </w:rPr>
              <w:t>X≥300</w:t>
            </w:r>
          </w:p>
        </w:tc>
        <w:tc>
          <w:tcPr>
            <w:tcW w:w="1248" w:type="dxa"/>
            <w:vAlign w:val="top"/>
          </w:tcPr>
          <w:p>
            <w:pPr>
              <w:pStyle w:val="TableText"/>
              <w:ind w:left="294"/>
              <w:spacing w:before="105"/>
              <w:rPr>
                <w:sz w:val="16"/>
                <w:szCs w:val="16"/>
              </w:rPr>
            </w:pPr>
            <w:r>
              <w:rPr>
                <w:sz w:val="16"/>
                <w:szCs w:val="16"/>
                <w:spacing w:val="-2"/>
              </w:rPr>
              <w:t>50&lt;X&lt;300</w:t>
            </w:r>
          </w:p>
        </w:tc>
        <w:tc>
          <w:tcPr>
            <w:tcW w:w="1068" w:type="dxa"/>
            <w:vAlign w:val="top"/>
          </w:tcPr>
          <w:p>
            <w:pPr>
              <w:pStyle w:val="TableText"/>
              <w:ind w:left="247"/>
              <w:spacing w:before="105"/>
              <w:rPr>
                <w:sz w:val="16"/>
                <w:szCs w:val="16"/>
              </w:rPr>
            </w:pPr>
            <w:r>
              <w:rPr>
                <w:sz w:val="16"/>
                <w:szCs w:val="16"/>
                <w:spacing w:val="-3"/>
              </w:rPr>
              <w:t>10&lt;X&lt;50</w:t>
            </w:r>
          </w:p>
        </w:tc>
        <w:tc>
          <w:tcPr>
            <w:tcW w:w="664" w:type="dxa"/>
            <w:vAlign w:val="top"/>
          </w:tcPr>
          <w:p>
            <w:pPr>
              <w:pStyle w:val="TableText"/>
              <w:ind w:left="19"/>
              <w:spacing w:before="105"/>
              <w:rPr>
                <w:sz w:val="16"/>
                <w:szCs w:val="16"/>
              </w:rPr>
            </w:pPr>
            <w:r>
              <w:rPr>
                <w:sz w:val="16"/>
                <w:szCs w:val="16"/>
                <w:spacing w:val="-1"/>
              </w:rPr>
              <w:t>X&lt;10</w:t>
            </w:r>
          </w:p>
        </w:tc>
      </w:tr>
      <w:tr>
        <w:trPr>
          <w:trHeight w:val="320"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80" w:line="219" w:lineRule="auto"/>
              <w:jc w:val="right"/>
              <w:rPr>
                <w:sz w:val="16"/>
                <w:szCs w:val="16"/>
              </w:rPr>
            </w:pPr>
            <w:r>
              <w:rPr>
                <w:sz w:val="16"/>
                <w:szCs w:val="16"/>
                <w:spacing w:val="2"/>
              </w:rPr>
              <w:t>营业收入(Y)</w:t>
            </w:r>
          </w:p>
        </w:tc>
        <w:tc>
          <w:tcPr>
            <w:tcW w:w="399" w:type="dxa"/>
            <w:vAlign w:val="top"/>
          </w:tcPr>
          <w:p>
            <w:pPr>
              <w:pStyle w:val="TableText"/>
              <w:ind w:left="32"/>
              <w:spacing w:before="81" w:line="220" w:lineRule="auto"/>
              <w:rPr>
                <w:sz w:val="16"/>
                <w:szCs w:val="16"/>
              </w:rPr>
            </w:pPr>
            <w:r>
              <w:rPr>
                <w:sz w:val="16"/>
                <w:szCs w:val="16"/>
                <w:spacing w:val="-3"/>
              </w:rPr>
              <w:t>万元</w:t>
            </w:r>
          </w:p>
        </w:tc>
        <w:tc>
          <w:tcPr>
            <w:tcW w:w="809" w:type="dxa"/>
            <w:vAlign w:val="top"/>
          </w:tcPr>
          <w:p>
            <w:pPr>
              <w:pStyle w:val="TableText"/>
              <w:ind w:left="33"/>
              <w:spacing w:before="96" w:line="237" w:lineRule="auto"/>
              <w:rPr>
                <w:sz w:val="16"/>
                <w:szCs w:val="16"/>
              </w:rPr>
            </w:pPr>
            <w:r>
              <w:rPr>
                <w:sz w:val="16"/>
                <w:szCs w:val="16"/>
                <w:spacing w:val="-4"/>
              </w:rPr>
              <w:t>Y</w:t>
            </w:r>
            <w:r>
              <w:rPr>
                <w:sz w:val="16"/>
                <w:szCs w:val="16"/>
                <w:spacing w:val="26"/>
              </w:rPr>
              <w:t xml:space="preserve"> </w:t>
            </w:r>
            <w:r>
              <w:rPr>
                <w:sz w:val="16"/>
                <w:szCs w:val="16"/>
                <w:spacing w:val="-4"/>
              </w:rPr>
              <w:t>≥20000</w:t>
            </w:r>
          </w:p>
        </w:tc>
        <w:tc>
          <w:tcPr>
            <w:tcW w:w="1248" w:type="dxa"/>
            <w:vAlign w:val="top"/>
          </w:tcPr>
          <w:p>
            <w:pPr>
              <w:pStyle w:val="TableText"/>
              <w:ind w:left="135"/>
              <w:spacing w:before="94" w:line="236" w:lineRule="auto"/>
              <w:rPr>
                <w:sz w:val="16"/>
                <w:szCs w:val="16"/>
              </w:rPr>
            </w:pPr>
            <w:r>
              <w:rPr>
                <w:sz w:val="16"/>
                <w:szCs w:val="16"/>
                <w:spacing w:val="-1"/>
              </w:rPr>
              <w:t>500≤Y&lt;20000</w:t>
            </w:r>
          </w:p>
        </w:tc>
        <w:tc>
          <w:tcPr>
            <w:tcW w:w="1068" w:type="dxa"/>
            <w:vAlign w:val="top"/>
          </w:tcPr>
          <w:p>
            <w:pPr>
              <w:pStyle w:val="TableText"/>
              <w:ind w:left="126"/>
              <w:spacing w:before="94" w:line="236" w:lineRule="auto"/>
              <w:rPr>
                <w:sz w:val="16"/>
                <w:szCs w:val="16"/>
              </w:rPr>
            </w:pPr>
            <w:r>
              <w:rPr>
                <w:sz w:val="16"/>
                <w:szCs w:val="16"/>
                <w:spacing w:val="-2"/>
              </w:rPr>
              <w:t>100≤Y&lt;500</w:t>
            </w:r>
          </w:p>
        </w:tc>
        <w:tc>
          <w:tcPr>
            <w:tcW w:w="664" w:type="dxa"/>
            <w:vAlign w:val="top"/>
          </w:tcPr>
          <w:p>
            <w:pPr>
              <w:pStyle w:val="TableText"/>
              <w:ind w:left="19"/>
              <w:spacing w:before="96"/>
              <w:rPr>
                <w:sz w:val="16"/>
                <w:szCs w:val="16"/>
              </w:rPr>
            </w:pPr>
            <w:r>
              <w:rPr>
                <w:sz w:val="16"/>
                <w:szCs w:val="16"/>
                <w:spacing w:val="-1"/>
              </w:rPr>
              <w:t>Y&lt;100</w:t>
            </w:r>
          </w:p>
        </w:tc>
      </w:tr>
      <w:tr>
        <w:trPr>
          <w:trHeight w:val="339" w:hRule="atLeast"/>
        </w:trPr>
        <w:tc>
          <w:tcPr>
            <w:tcW w:w="1133" w:type="dxa"/>
            <w:vAlign w:val="top"/>
            <w:vMerge w:val="restart"/>
            <w:tcBorders>
              <w:bottom w:val="nil"/>
            </w:tcBorders>
          </w:tcPr>
          <w:p>
            <w:pPr>
              <w:pStyle w:val="TableText"/>
              <w:ind w:left="25"/>
              <w:spacing w:before="260" w:line="219" w:lineRule="auto"/>
              <w:rPr>
                <w:sz w:val="16"/>
                <w:szCs w:val="16"/>
              </w:rPr>
            </w:pPr>
            <w:r>
              <w:rPr>
                <w:sz w:val="16"/>
                <w:szCs w:val="16"/>
                <w:spacing w:val="-2"/>
              </w:rPr>
              <w:t>交通运输业*</w:t>
            </w:r>
          </w:p>
        </w:tc>
        <w:tc>
          <w:tcPr>
            <w:tcW w:w="909" w:type="dxa"/>
            <w:vAlign w:val="top"/>
          </w:tcPr>
          <w:p>
            <w:pPr>
              <w:pStyle w:val="TableText"/>
              <w:ind w:left="41"/>
              <w:spacing w:before="91" w:line="220" w:lineRule="auto"/>
              <w:rPr>
                <w:sz w:val="16"/>
                <w:szCs w:val="16"/>
              </w:rPr>
            </w:pPr>
            <w:r>
              <w:rPr>
                <w:sz w:val="16"/>
                <w:szCs w:val="16"/>
                <w:spacing w:val="-2"/>
              </w:rPr>
              <w:t>从业人员(X</w:t>
            </w:r>
          </w:p>
        </w:tc>
        <w:tc>
          <w:tcPr>
            <w:tcW w:w="399" w:type="dxa"/>
            <w:vAlign w:val="top"/>
          </w:tcPr>
          <w:p>
            <w:pPr>
              <w:pStyle w:val="TableText"/>
              <w:ind w:left="112"/>
              <w:spacing w:before="93" w:line="222" w:lineRule="auto"/>
              <w:rPr>
                <w:sz w:val="16"/>
                <w:szCs w:val="16"/>
              </w:rPr>
            </w:pPr>
            <w:r>
              <w:rPr>
                <w:sz w:val="16"/>
                <w:szCs w:val="16"/>
              </w:rPr>
              <w:t>人</w:t>
            </w:r>
          </w:p>
        </w:tc>
        <w:tc>
          <w:tcPr>
            <w:tcW w:w="809" w:type="dxa"/>
            <w:vAlign w:val="top"/>
          </w:tcPr>
          <w:p>
            <w:pPr>
              <w:pStyle w:val="TableText"/>
              <w:ind w:left="33"/>
              <w:spacing w:before="106" w:line="237" w:lineRule="auto"/>
              <w:rPr>
                <w:sz w:val="16"/>
                <w:szCs w:val="16"/>
              </w:rPr>
            </w:pPr>
            <w:r>
              <w:rPr>
                <w:sz w:val="16"/>
                <w:szCs w:val="16"/>
                <w:spacing w:val="-1"/>
              </w:rPr>
              <w:t>X≥1000</w:t>
            </w:r>
          </w:p>
        </w:tc>
        <w:tc>
          <w:tcPr>
            <w:tcW w:w="1248" w:type="dxa"/>
            <w:vAlign w:val="top"/>
          </w:tcPr>
          <w:p>
            <w:pPr>
              <w:pStyle w:val="TableText"/>
              <w:ind w:left="174"/>
              <w:spacing w:before="104" w:line="236" w:lineRule="auto"/>
              <w:rPr>
                <w:sz w:val="16"/>
                <w:szCs w:val="16"/>
              </w:rPr>
            </w:pPr>
            <w:r>
              <w:rPr>
                <w:sz w:val="16"/>
                <w:szCs w:val="16"/>
                <w:spacing w:val="-1"/>
              </w:rPr>
              <w:t>300≤X&lt;1000</w:t>
            </w:r>
          </w:p>
        </w:tc>
        <w:tc>
          <w:tcPr>
            <w:tcW w:w="1068" w:type="dxa"/>
            <w:vAlign w:val="top"/>
          </w:tcPr>
          <w:p>
            <w:pPr>
              <w:pStyle w:val="TableText"/>
              <w:ind w:left="166"/>
              <w:spacing w:before="104" w:line="236" w:lineRule="auto"/>
              <w:rPr>
                <w:sz w:val="16"/>
                <w:szCs w:val="16"/>
              </w:rPr>
            </w:pPr>
            <w:r>
              <w:rPr>
                <w:sz w:val="16"/>
                <w:szCs w:val="16"/>
                <w:spacing w:val="-1"/>
              </w:rPr>
              <w:t>20≤X&lt;300</w:t>
            </w:r>
          </w:p>
        </w:tc>
        <w:tc>
          <w:tcPr>
            <w:tcW w:w="664" w:type="dxa"/>
            <w:vAlign w:val="top"/>
          </w:tcPr>
          <w:p>
            <w:pPr>
              <w:pStyle w:val="TableText"/>
              <w:ind w:left="19"/>
              <w:spacing w:before="106"/>
              <w:rPr>
                <w:sz w:val="16"/>
                <w:szCs w:val="16"/>
              </w:rPr>
            </w:pPr>
            <w:r>
              <w:rPr>
                <w:sz w:val="16"/>
                <w:szCs w:val="16"/>
                <w:spacing w:val="-1"/>
              </w:rPr>
              <w:t>X&lt;20</w:t>
            </w:r>
          </w:p>
        </w:tc>
      </w:tr>
      <w:tr>
        <w:trPr>
          <w:trHeight w:val="330"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41"/>
              <w:spacing w:before="91" w:line="219" w:lineRule="auto"/>
              <w:rPr>
                <w:sz w:val="16"/>
                <w:szCs w:val="16"/>
              </w:rPr>
            </w:pPr>
            <w:r>
              <w:rPr>
                <w:sz w:val="16"/>
                <w:szCs w:val="16"/>
                <w:spacing w:val="-2"/>
              </w:rPr>
              <w:t>营业收入(Y</w:t>
            </w:r>
          </w:p>
        </w:tc>
        <w:tc>
          <w:tcPr>
            <w:tcW w:w="399" w:type="dxa"/>
            <w:vAlign w:val="top"/>
          </w:tcPr>
          <w:p>
            <w:pPr>
              <w:pStyle w:val="TableText"/>
              <w:ind w:left="32"/>
              <w:spacing w:before="92" w:line="220" w:lineRule="auto"/>
              <w:rPr>
                <w:sz w:val="16"/>
                <w:szCs w:val="16"/>
              </w:rPr>
            </w:pPr>
            <w:r>
              <w:rPr>
                <w:sz w:val="16"/>
                <w:szCs w:val="16"/>
                <w:spacing w:val="-3"/>
              </w:rPr>
              <w:t>万元</w:t>
            </w:r>
          </w:p>
        </w:tc>
        <w:tc>
          <w:tcPr>
            <w:tcW w:w="809" w:type="dxa"/>
            <w:vAlign w:val="top"/>
          </w:tcPr>
          <w:p>
            <w:pPr>
              <w:pStyle w:val="TableText"/>
              <w:ind w:left="33"/>
              <w:spacing w:before="107" w:line="237" w:lineRule="auto"/>
              <w:rPr>
                <w:sz w:val="16"/>
                <w:szCs w:val="16"/>
              </w:rPr>
            </w:pPr>
            <w:r>
              <w:rPr>
                <w:sz w:val="16"/>
                <w:szCs w:val="16"/>
                <w:spacing w:val="-4"/>
              </w:rPr>
              <w:t>Y</w:t>
            </w:r>
            <w:r>
              <w:rPr>
                <w:sz w:val="16"/>
                <w:szCs w:val="16"/>
                <w:spacing w:val="26"/>
              </w:rPr>
              <w:t xml:space="preserve"> </w:t>
            </w:r>
            <w:r>
              <w:rPr>
                <w:sz w:val="16"/>
                <w:szCs w:val="16"/>
                <w:spacing w:val="-4"/>
              </w:rPr>
              <w:t>≥30000</w:t>
            </w:r>
          </w:p>
        </w:tc>
        <w:tc>
          <w:tcPr>
            <w:tcW w:w="1248" w:type="dxa"/>
            <w:vAlign w:val="top"/>
          </w:tcPr>
          <w:p>
            <w:pPr>
              <w:pStyle w:val="TableText"/>
              <w:ind w:left="94"/>
              <w:spacing w:before="105" w:line="236" w:lineRule="auto"/>
              <w:rPr>
                <w:sz w:val="16"/>
                <w:szCs w:val="16"/>
              </w:rPr>
            </w:pPr>
            <w:r>
              <w:rPr>
                <w:sz w:val="16"/>
                <w:szCs w:val="16"/>
                <w:spacing w:val="-1"/>
              </w:rPr>
              <w:t>3000≤Y&lt;30000</w:t>
            </w:r>
          </w:p>
        </w:tc>
        <w:tc>
          <w:tcPr>
            <w:tcW w:w="1068" w:type="dxa"/>
            <w:vAlign w:val="top"/>
          </w:tcPr>
          <w:p>
            <w:pPr>
              <w:pStyle w:val="TableText"/>
              <w:ind w:left="86"/>
              <w:spacing w:before="105" w:line="236" w:lineRule="auto"/>
              <w:rPr>
                <w:sz w:val="16"/>
                <w:szCs w:val="16"/>
              </w:rPr>
            </w:pPr>
            <w:r>
              <w:rPr>
                <w:sz w:val="16"/>
                <w:szCs w:val="16"/>
                <w:spacing w:val="-1"/>
              </w:rPr>
              <w:t>200≤Y&lt;3000</w:t>
            </w:r>
          </w:p>
        </w:tc>
        <w:tc>
          <w:tcPr>
            <w:tcW w:w="664" w:type="dxa"/>
            <w:vAlign w:val="top"/>
          </w:tcPr>
          <w:p>
            <w:pPr>
              <w:pStyle w:val="TableText"/>
              <w:ind w:left="19"/>
              <w:spacing w:before="107"/>
              <w:rPr>
                <w:sz w:val="16"/>
                <w:szCs w:val="16"/>
              </w:rPr>
            </w:pPr>
            <w:r>
              <w:rPr>
                <w:sz w:val="16"/>
                <w:szCs w:val="16"/>
                <w:spacing w:val="-1"/>
              </w:rPr>
              <w:t>Y&lt;200</w:t>
            </w:r>
          </w:p>
        </w:tc>
      </w:tr>
      <w:tr>
        <w:trPr>
          <w:trHeight w:val="339" w:hRule="atLeast"/>
        </w:trPr>
        <w:tc>
          <w:tcPr>
            <w:tcW w:w="1133" w:type="dxa"/>
            <w:vAlign w:val="top"/>
            <w:vMerge w:val="restart"/>
            <w:tcBorders>
              <w:bottom w:val="nil"/>
            </w:tcBorders>
          </w:tcPr>
          <w:p>
            <w:pPr>
              <w:pStyle w:val="TableText"/>
              <w:ind w:left="25"/>
              <w:spacing w:before="272" w:line="220" w:lineRule="auto"/>
              <w:rPr>
                <w:sz w:val="16"/>
                <w:szCs w:val="16"/>
              </w:rPr>
            </w:pPr>
            <w:r>
              <w:rPr>
                <w:sz w:val="16"/>
                <w:szCs w:val="16"/>
                <w:spacing w:val="-2"/>
              </w:rPr>
              <w:t>仓储业*</w:t>
            </w:r>
          </w:p>
        </w:tc>
        <w:tc>
          <w:tcPr>
            <w:tcW w:w="909" w:type="dxa"/>
            <w:vAlign w:val="top"/>
          </w:tcPr>
          <w:p>
            <w:pPr>
              <w:pStyle w:val="TableText"/>
              <w:ind w:left="41"/>
              <w:spacing w:before="92" w:line="220" w:lineRule="auto"/>
              <w:rPr>
                <w:sz w:val="16"/>
                <w:szCs w:val="16"/>
              </w:rPr>
            </w:pPr>
            <w:r>
              <w:rPr>
                <w:sz w:val="16"/>
                <w:szCs w:val="16"/>
                <w:spacing w:val="-2"/>
              </w:rPr>
              <w:t>从业人员(X</w:t>
            </w:r>
          </w:p>
        </w:tc>
        <w:tc>
          <w:tcPr>
            <w:tcW w:w="399" w:type="dxa"/>
            <w:vAlign w:val="top"/>
          </w:tcPr>
          <w:p>
            <w:pPr>
              <w:pStyle w:val="TableText"/>
              <w:ind w:left="112"/>
              <w:spacing w:before="94" w:line="222" w:lineRule="auto"/>
              <w:rPr>
                <w:sz w:val="16"/>
                <w:szCs w:val="16"/>
              </w:rPr>
            </w:pPr>
            <w:r>
              <w:rPr>
                <w:sz w:val="16"/>
                <w:szCs w:val="16"/>
              </w:rPr>
              <w:t>人</w:t>
            </w:r>
          </w:p>
        </w:tc>
        <w:tc>
          <w:tcPr>
            <w:tcW w:w="809" w:type="dxa"/>
            <w:vAlign w:val="top"/>
          </w:tcPr>
          <w:p>
            <w:pPr>
              <w:pStyle w:val="TableText"/>
              <w:ind w:left="33"/>
              <w:spacing w:before="107" w:line="237" w:lineRule="auto"/>
              <w:rPr>
                <w:sz w:val="16"/>
                <w:szCs w:val="16"/>
              </w:rPr>
            </w:pPr>
            <w:r>
              <w:rPr>
                <w:sz w:val="16"/>
                <w:szCs w:val="16"/>
                <w:spacing w:val="-1"/>
              </w:rPr>
              <w:t>X≥200</w:t>
            </w:r>
          </w:p>
        </w:tc>
        <w:tc>
          <w:tcPr>
            <w:tcW w:w="1248" w:type="dxa"/>
            <w:vAlign w:val="top"/>
          </w:tcPr>
          <w:p>
            <w:pPr>
              <w:pStyle w:val="TableText"/>
              <w:ind w:left="255"/>
              <w:spacing w:before="107"/>
              <w:rPr>
                <w:sz w:val="16"/>
                <w:szCs w:val="16"/>
              </w:rPr>
            </w:pPr>
            <w:r>
              <w:rPr>
                <w:sz w:val="16"/>
                <w:szCs w:val="16"/>
                <w:spacing w:val="-2"/>
              </w:rPr>
              <w:t>100&lt;X&lt;200</w:t>
            </w:r>
          </w:p>
        </w:tc>
        <w:tc>
          <w:tcPr>
            <w:tcW w:w="1068" w:type="dxa"/>
            <w:vAlign w:val="top"/>
          </w:tcPr>
          <w:p>
            <w:pPr>
              <w:pStyle w:val="TableText"/>
              <w:ind w:left="166"/>
              <w:spacing w:before="105" w:line="236" w:lineRule="auto"/>
              <w:rPr>
                <w:sz w:val="16"/>
                <w:szCs w:val="16"/>
              </w:rPr>
            </w:pPr>
            <w:r>
              <w:rPr>
                <w:sz w:val="16"/>
                <w:szCs w:val="16"/>
                <w:spacing w:val="-1"/>
              </w:rPr>
              <w:t>20≤X&lt;100</w:t>
            </w:r>
          </w:p>
        </w:tc>
        <w:tc>
          <w:tcPr>
            <w:tcW w:w="664" w:type="dxa"/>
            <w:vAlign w:val="top"/>
          </w:tcPr>
          <w:p>
            <w:pPr>
              <w:pStyle w:val="TableText"/>
              <w:ind w:left="19"/>
              <w:spacing w:before="107"/>
              <w:rPr>
                <w:sz w:val="16"/>
                <w:szCs w:val="16"/>
              </w:rPr>
            </w:pPr>
            <w:r>
              <w:rPr>
                <w:sz w:val="16"/>
                <w:szCs w:val="16"/>
                <w:spacing w:val="-1"/>
              </w:rPr>
              <w:t>X&lt;20</w:t>
            </w:r>
          </w:p>
        </w:tc>
      </w:tr>
      <w:tr>
        <w:trPr>
          <w:trHeight w:val="339"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92" w:line="219" w:lineRule="auto"/>
              <w:jc w:val="right"/>
              <w:rPr>
                <w:sz w:val="16"/>
                <w:szCs w:val="16"/>
              </w:rPr>
            </w:pPr>
            <w:r>
              <w:rPr>
                <w:sz w:val="16"/>
                <w:szCs w:val="16"/>
                <w:spacing w:val="2"/>
              </w:rPr>
              <w:t>营业收入(Y)</w:t>
            </w:r>
          </w:p>
        </w:tc>
        <w:tc>
          <w:tcPr>
            <w:tcW w:w="399" w:type="dxa"/>
            <w:vAlign w:val="top"/>
          </w:tcPr>
          <w:p>
            <w:pPr>
              <w:pStyle w:val="TableText"/>
              <w:ind w:left="32"/>
              <w:spacing w:before="93" w:line="220" w:lineRule="auto"/>
              <w:rPr>
                <w:sz w:val="16"/>
                <w:szCs w:val="16"/>
              </w:rPr>
            </w:pPr>
            <w:r>
              <w:rPr>
                <w:sz w:val="16"/>
                <w:szCs w:val="16"/>
                <w:spacing w:val="-3"/>
              </w:rPr>
              <w:t>万元</w:t>
            </w:r>
          </w:p>
        </w:tc>
        <w:tc>
          <w:tcPr>
            <w:tcW w:w="809" w:type="dxa"/>
            <w:vAlign w:val="top"/>
          </w:tcPr>
          <w:p>
            <w:pPr>
              <w:pStyle w:val="TableText"/>
              <w:ind w:left="33"/>
              <w:spacing w:before="108" w:line="237" w:lineRule="auto"/>
              <w:rPr>
                <w:sz w:val="16"/>
                <w:szCs w:val="16"/>
              </w:rPr>
            </w:pPr>
            <w:r>
              <w:rPr>
                <w:sz w:val="16"/>
                <w:szCs w:val="16"/>
                <w:spacing w:val="-4"/>
              </w:rPr>
              <w:t>Y</w:t>
            </w:r>
            <w:r>
              <w:rPr>
                <w:sz w:val="16"/>
                <w:szCs w:val="16"/>
                <w:spacing w:val="26"/>
              </w:rPr>
              <w:t xml:space="preserve"> </w:t>
            </w:r>
            <w:r>
              <w:rPr>
                <w:sz w:val="16"/>
                <w:szCs w:val="16"/>
                <w:spacing w:val="-4"/>
              </w:rPr>
              <w:t>≥30000</w:t>
            </w:r>
          </w:p>
        </w:tc>
        <w:tc>
          <w:tcPr>
            <w:tcW w:w="1248" w:type="dxa"/>
            <w:vAlign w:val="top"/>
          </w:tcPr>
          <w:p>
            <w:pPr>
              <w:pStyle w:val="TableText"/>
              <w:ind w:left="94"/>
              <w:spacing w:before="106" w:line="236" w:lineRule="auto"/>
              <w:rPr>
                <w:sz w:val="16"/>
                <w:szCs w:val="16"/>
              </w:rPr>
            </w:pPr>
            <w:r>
              <w:rPr>
                <w:sz w:val="16"/>
                <w:szCs w:val="16"/>
                <w:spacing w:val="-2"/>
              </w:rPr>
              <w:t>1000≤Y&lt;30000</w:t>
            </w:r>
          </w:p>
        </w:tc>
        <w:tc>
          <w:tcPr>
            <w:tcW w:w="1068" w:type="dxa"/>
            <w:vAlign w:val="top"/>
          </w:tcPr>
          <w:p>
            <w:pPr>
              <w:pStyle w:val="TableText"/>
              <w:ind w:left="86"/>
              <w:spacing w:before="108"/>
              <w:rPr>
                <w:sz w:val="16"/>
                <w:szCs w:val="16"/>
              </w:rPr>
            </w:pPr>
            <w:r>
              <w:rPr>
                <w:sz w:val="16"/>
                <w:szCs w:val="16"/>
                <w:spacing w:val="-2"/>
              </w:rPr>
              <w:t>100≈Y&lt;1000</w:t>
            </w:r>
          </w:p>
        </w:tc>
        <w:tc>
          <w:tcPr>
            <w:tcW w:w="664" w:type="dxa"/>
            <w:vAlign w:val="top"/>
          </w:tcPr>
          <w:p>
            <w:pPr>
              <w:pStyle w:val="TableText"/>
              <w:ind w:left="19"/>
              <w:spacing w:before="108"/>
              <w:rPr>
                <w:sz w:val="16"/>
                <w:szCs w:val="16"/>
              </w:rPr>
            </w:pPr>
            <w:r>
              <w:rPr>
                <w:sz w:val="16"/>
                <w:szCs w:val="16"/>
                <w:spacing w:val="-1"/>
              </w:rPr>
              <w:t>Y&lt;100</w:t>
            </w:r>
          </w:p>
        </w:tc>
      </w:tr>
      <w:tr>
        <w:trPr>
          <w:trHeight w:val="330" w:hRule="atLeast"/>
        </w:trPr>
        <w:tc>
          <w:tcPr>
            <w:tcW w:w="1133" w:type="dxa"/>
            <w:vAlign w:val="top"/>
            <w:vMerge w:val="restart"/>
            <w:tcBorders>
              <w:bottom w:val="nil"/>
            </w:tcBorders>
          </w:tcPr>
          <w:p>
            <w:pPr>
              <w:pStyle w:val="TableText"/>
              <w:ind w:left="25"/>
              <w:spacing w:before="254" w:line="221" w:lineRule="auto"/>
              <w:rPr>
                <w:sz w:val="16"/>
                <w:szCs w:val="16"/>
              </w:rPr>
            </w:pPr>
            <w:r>
              <w:rPr>
                <w:sz w:val="16"/>
                <w:szCs w:val="16"/>
                <w:spacing w:val="1"/>
              </w:rPr>
              <w:t>邮政业</w:t>
            </w:r>
          </w:p>
        </w:tc>
        <w:tc>
          <w:tcPr>
            <w:tcW w:w="909" w:type="dxa"/>
            <w:vAlign w:val="top"/>
          </w:tcPr>
          <w:p>
            <w:pPr>
              <w:pStyle w:val="TableText"/>
              <w:spacing w:before="94" w:line="220" w:lineRule="auto"/>
              <w:jc w:val="right"/>
              <w:rPr>
                <w:sz w:val="16"/>
                <w:szCs w:val="16"/>
              </w:rPr>
            </w:pPr>
            <w:r>
              <w:rPr>
                <w:sz w:val="16"/>
                <w:szCs w:val="16"/>
                <w:spacing w:val="2"/>
              </w:rPr>
              <w:t>从业人员(X)</w:t>
            </w:r>
          </w:p>
        </w:tc>
        <w:tc>
          <w:tcPr>
            <w:tcW w:w="399" w:type="dxa"/>
            <w:vAlign w:val="top"/>
          </w:tcPr>
          <w:p>
            <w:pPr>
              <w:pStyle w:val="TableText"/>
              <w:ind w:left="112"/>
              <w:spacing w:before="96" w:line="222" w:lineRule="auto"/>
              <w:rPr>
                <w:sz w:val="16"/>
                <w:szCs w:val="16"/>
              </w:rPr>
            </w:pPr>
            <w:r>
              <w:rPr>
                <w:sz w:val="16"/>
                <w:szCs w:val="16"/>
              </w:rPr>
              <w:t>人</w:t>
            </w:r>
          </w:p>
        </w:tc>
        <w:tc>
          <w:tcPr>
            <w:tcW w:w="809" w:type="dxa"/>
            <w:vAlign w:val="top"/>
          </w:tcPr>
          <w:p>
            <w:pPr>
              <w:pStyle w:val="TableText"/>
              <w:ind w:left="33"/>
              <w:spacing w:before="109" w:line="237" w:lineRule="auto"/>
              <w:rPr>
                <w:sz w:val="16"/>
                <w:szCs w:val="16"/>
              </w:rPr>
            </w:pPr>
            <w:r>
              <w:rPr>
                <w:sz w:val="16"/>
                <w:szCs w:val="16"/>
                <w:spacing w:val="-1"/>
              </w:rPr>
              <w:t>X≥1000</w:t>
            </w:r>
          </w:p>
        </w:tc>
        <w:tc>
          <w:tcPr>
            <w:tcW w:w="1248" w:type="dxa"/>
            <w:vAlign w:val="top"/>
          </w:tcPr>
          <w:p>
            <w:pPr>
              <w:pStyle w:val="TableText"/>
              <w:ind w:left="214"/>
              <w:spacing w:before="109"/>
              <w:rPr>
                <w:sz w:val="16"/>
                <w:szCs w:val="16"/>
              </w:rPr>
            </w:pPr>
            <w:r>
              <w:rPr>
                <w:sz w:val="16"/>
                <w:szCs w:val="16"/>
                <w:spacing w:val="-1"/>
              </w:rPr>
              <w:t>300&lt;X&lt;1000</w:t>
            </w:r>
          </w:p>
        </w:tc>
        <w:tc>
          <w:tcPr>
            <w:tcW w:w="1068" w:type="dxa"/>
            <w:vAlign w:val="top"/>
          </w:tcPr>
          <w:p>
            <w:pPr>
              <w:pStyle w:val="TableText"/>
              <w:ind w:left="206"/>
              <w:spacing w:before="109"/>
              <w:rPr>
                <w:sz w:val="16"/>
                <w:szCs w:val="16"/>
              </w:rPr>
            </w:pPr>
            <w:r>
              <w:rPr>
                <w:sz w:val="16"/>
                <w:szCs w:val="16"/>
                <w:spacing w:val="-1"/>
              </w:rPr>
              <w:t>20&lt;X&lt;300</w:t>
            </w:r>
          </w:p>
        </w:tc>
        <w:tc>
          <w:tcPr>
            <w:tcW w:w="664" w:type="dxa"/>
            <w:vAlign w:val="top"/>
          </w:tcPr>
          <w:p>
            <w:pPr>
              <w:pStyle w:val="TableText"/>
              <w:ind w:left="19"/>
              <w:spacing w:before="109"/>
              <w:rPr>
                <w:sz w:val="16"/>
                <w:szCs w:val="16"/>
              </w:rPr>
            </w:pPr>
            <w:r>
              <w:rPr>
                <w:sz w:val="16"/>
                <w:szCs w:val="16"/>
                <w:spacing w:val="-1"/>
              </w:rPr>
              <w:t>X&lt;20</w:t>
            </w:r>
          </w:p>
        </w:tc>
      </w:tr>
      <w:tr>
        <w:trPr>
          <w:trHeight w:val="319"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83" w:line="219" w:lineRule="auto"/>
              <w:jc w:val="right"/>
              <w:rPr>
                <w:sz w:val="16"/>
                <w:szCs w:val="16"/>
              </w:rPr>
            </w:pPr>
            <w:r>
              <w:rPr>
                <w:sz w:val="16"/>
                <w:szCs w:val="16"/>
                <w:spacing w:val="2"/>
              </w:rPr>
              <w:t>营业收入(Y)</w:t>
            </w:r>
          </w:p>
        </w:tc>
        <w:tc>
          <w:tcPr>
            <w:tcW w:w="399" w:type="dxa"/>
            <w:vAlign w:val="top"/>
          </w:tcPr>
          <w:p>
            <w:pPr>
              <w:pStyle w:val="TableText"/>
              <w:ind w:left="32"/>
              <w:spacing w:before="84" w:line="220" w:lineRule="auto"/>
              <w:rPr>
                <w:sz w:val="16"/>
                <w:szCs w:val="16"/>
              </w:rPr>
            </w:pPr>
            <w:r>
              <w:rPr>
                <w:sz w:val="16"/>
                <w:szCs w:val="16"/>
                <w:spacing w:val="-3"/>
              </w:rPr>
              <w:t>万元</w:t>
            </w:r>
          </w:p>
        </w:tc>
        <w:tc>
          <w:tcPr>
            <w:tcW w:w="809" w:type="dxa"/>
            <w:vAlign w:val="top"/>
          </w:tcPr>
          <w:p>
            <w:pPr>
              <w:pStyle w:val="TableText"/>
              <w:ind w:left="33"/>
              <w:spacing w:before="99" w:line="237" w:lineRule="auto"/>
              <w:rPr>
                <w:sz w:val="16"/>
                <w:szCs w:val="16"/>
              </w:rPr>
            </w:pPr>
            <w:r>
              <w:rPr>
                <w:sz w:val="16"/>
                <w:szCs w:val="16"/>
                <w:spacing w:val="-4"/>
              </w:rPr>
              <w:t>Y</w:t>
            </w:r>
            <w:r>
              <w:rPr>
                <w:sz w:val="16"/>
                <w:szCs w:val="16"/>
                <w:spacing w:val="26"/>
              </w:rPr>
              <w:t xml:space="preserve"> </w:t>
            </w:r>
            <w:r>
              <w:rPr>
                <w:sz w:val="16"/>
                <w:szCs w:val="16"/>
                <w:spacing w:val="-4"/>
              </w:rPr>
              <w:t>≥30000</w:t>
            </w:r>
          </w:p>
        </w:tc>
        <w:tc>
          <w:tcPr>
            <w:tcW w:w="1248" w:type="dxa"/>
            <w:vAlign w:val="top"/>
          </w:tcPr>
          <w:p>
            <w:pPr>
              <w:pStyle w:val="TableText"/>
              <w:ind w:left="94"/>
              <w:spacing w:before="97" w:line="236" w:lineRule="auto"/>
              <w:rPr>
                <w:sz w:val="16"/>
                <w:szCs w:val="16"/>
              </w:rPr>
            </w:pPr>
            <w:r>
              <w:rPr>
                <w:sz w:val="16"/>
                <w:szCs w:val="16"/>
                <w:spacing w:val="-1"/>
              </w:rPr>
              <w:t>2000≤Y&lt;30000</w:t>
            </w:r>
          </w:p>
        </w:tc>
        <w:tc>
          <w:tcPr>
            <w:tcW w:w="1068" w:type="dxa"/>
            <w:vAlign w:val="top"/>
          </w:tcPr>
          <w:p>
            <w:pPr>
              <w:pStyle w:val="TableText"/>
              <w:ind w:left="86"/>
              <w:spacing w:before="99"/>
              <w:rPr>
                <w:sz w:val="16"/>
                <w:szCs w:val="16"/>
              </w:rPr>
            </w:pPr>
            <w:r>
              <w:rPr>
                <w:sz w:val="16"/>
                <w:szCs w:val="16"/>
                <w:spacing w:val="-2"/>
              </w:rPr>
              <w:t>100≈Y&lt;2000</w:t>
            </w:r>
          </w:p>
        </w:tc>
        <w:tc>
          <w:tcPr>
            <w:tcW w:w="664" w:type="dxa"/>
            <w:vAlign w:val="top"/>
          </w:tcPr>
          <w:p>
            <w:pPr>
              <w:pStyle w:val="TableText"/>
              <w:ind w:left="19"/>
              <w:spacing w:before="99"/>
              <w:rPr>
                <w:sz w:val="16"/>
                <w:szCs w:val="16"/>
              </w:rPr>
            </w:pPr>
            <w:r>
              <w:rPr>
                <w:sz w:val="16"/>
                <w:szCs w:val="16"/>
                <w:spacing w:val="-1"/>
              </w:rPr>
              <w:t>Y&lt;100</w:t>
            </w:r>
          </w:p>
        </w:tc>
      </w:tr>
      <w:tr>
        <w:trPr>
          <w:trHeight w:val="339" w:hRule="atLeast"/>
        </w:trPr>
        <w:tc>
          <w:tcPr>
            <w:tcW w:w="1133" w:type="dxa"/>
            <w:vAlign w:val="top"/>
            <w:vMerge w:val="restart"/>
            <w:tcBorders>
              <w:bottom w:val="nil"/>
            </w:tcBorders>
          </w:tcPr>
          <w:p>
            <w:pPr>
              <w:pStyle w:val="TableText"/>
              <w:ind w:left="25"/>
              <w:spacing w:before="264" w:line="219" w:lineRule="auto"/>
              <w:rPr>
                <w:sz w:val="16"/>
                <w:szCs w:val="16"/>
              </w:rPr>
            </w:pPr>
            <w:r>
              <w:rPr>
                <w:sz w:val="16"/>
                <w:szCs w:val="16"/>
                <w:spacing w:val="-2"/>
              </w:rPr>
              <w:t>住宿业</w:t>
            </w:r>
          </w:p>
        </w:tc>
        <w:tc>
          <w:tcPr>
            <w:tcW w:w="909" w:type="dxa"/>
            <w:vAlign w:val="top"/>
          </w:tcPr>
          <w:p>
            <w:pPr>
              <w:pStyle w:val="TableText"/>
              <w:ind w:left="41"/>
              <w:spacing w:before="95" w:line="220" w:lineRule="auto"/>
              <w:rPr>
                <w:sz w:val="16"/>
                <w:szCs w:val="16"/>
              </w:rPr>
            </w:pPr>
            <w:r>
              <w:rPr>
                <w:sz w:val="16"/>
                <w:szCs w:val="16"/>
                <w:spacing w:val="-2"/>
              </w:rPr>
              <w:t>从北人员(X</w:t>
            </w:r>
          </w:p>
        </w:tc>
        <w:tc>
          <w:tcPr>
            <w:tcW w:w="399" w:type="dxa"/>
            <w:vAlign w:val="top"/>
          </w:tcPr>
          <w:p>
            <w:pPr>
              <w:pStyle w:val="TableText"/>
              <w:ind w:left="112"/>
              <w:spacing w:before="97" w:line="222" w:lineRule="auto"/>
              <w:rPr>
                <w:sz w:val="16"/>
                <w:szCs w:val="16"/>
              </w:rPr>
            </w:pPr>
            <w:r>
              <w:rPr>
                <w:sz w:val="16"/>
                <w:szCs w:val="16"/>
              </w:rPr>
              <w:t>人</w:t>
            </w:r>
          </w:p>
        </w:tc>
        <w:tc>
          <w:tcPr>
            <w:tcW w:w="809" w:type="dxa"/>
            <w:vAlign w:val="top"/>
          </w:tcPr>
          <w:p>
            <w:pPr>
              <w:pStyle w:val="TableText"/>
              <w:ind w:left="33"/>
              <w:spacing w:before="110" w:line="237" w:lineRule="auto"/>
              <w:rPr>
                <w:sz w:val="16"/>
                <w:szCs w:val="16"/>
              </w:rPr>
            </w:pPr>
            <w:r>
              <w:rPr>
                <w:sz w:val="16"/>
                <w:szCs w:val="16"/>
                <w:spacing w:val="-1"/>
              </w:rPr>
              <w:t>X≥300</w:t>
            </w:r>
          </w:p>
        </w:tc>
        <w:tc>
          <w:tcPr>
            <w:tcW w:w="1248" w:type="dxa"/>
            <w:vAlign w:val="top"/>
          </w:tcPr>
          <w:p>
            <w:pPr>
              <w:pStyle w:val="TableText"/>
              <w:ind w:left="214"/>
              <w:spacing w:before="108" w:line="236" w:lineRule="auto"/>
              <w:rPr>
                <w:sz w:val="16"/>
                <w:szCs w:val="16"/>
              </w:rPr>
            </w:pPr>
            <w:r>
              <w:rPr>
                <w:sz w:val="16"/>
                <w:szCs w:val="16"/>
                <w:spacing w:val="-2"/>
              </w:rPr>
              <w:t>100≤X&lt;300</w:t>
            </w:r>
          </w:p>
        </w:tc>
        <w:tc>
          <w:tcPr>
            <w:tcW w:w="1068" w:type="dxa"/>
            <w:vAlign w:val="top"/>
          </w:tcPr>
          <w:p>
            <w:pPr>
              <w:pStyle w:val="TableText"/>
              <w:ind w:left="166"/>
              <w:spacing w:before="108" w:line="236" w:lineRule="auto"/>
              <w:rPr>
                <w:sz w:val="16"/>
                <w:szCs w:val="16"/>
              </w:rPr>
            </w:pPr>
            <w:r>
              <w:rPr>
                <w:sz w:val="16"/>
                <w:szCs w:val="16"/>
                <w:spacing w:val="-3"/>
              </w:rPr>
              <w:t>10≤X&lt;100</w:t>
            </w:r>
          </w:p>
        </w:tc>
        <w:tc>
          <w:tcPr>
            <w:tcW w:w="664" w:type="dxa"/>
            <w:vAlign w:val="top"/>
          </w:tcPr>
          <w:p>
            <w:pPr>
              <w:pStyle w:val="TableText"/>
              <w:ind w:left="19"/>
              <w:spacing w:before="110"/>
              <w:rPr>
                <w:sz w:val="16"/>
                <w:szCs w:val="16"/>
              </w:rPr>
            </w:pPr>
            <w:r>
              <w:rPr>
                <w:sz w:val="16"/>
                <w:szCs w:val="16"/>
                <w:spacing w:val="-1"/>
              </w:rPr>
              <w:t>X&lt;10</w:t>
            </w:r>
          </w:p>
        </w:tc>
      </w:tr>
      <w:tr>
        <w:trPr>
          <w:trHeight w:val="330"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41"/>
              <w:spacing w:before="95" w:line="219" w:lineRule="auto"/>
              <w:rPr>
                <w:sz w:val="16"/>
                <w:szCs w:val="16"/>
              </w:rPr>
            </w:pPr>
            <w:r>
              <w:rPr>
                <w:sz w:val="16"/>
                <w:szCs w:val="16"/>
                <w:spacing w:val="-2"/>
              </w:rPr>
              <w:t>营业收入(Y</w:t>
            </w:r>
          </w:p>
        </w:tc>
        <w:tc>
          <w:tcPr>
            <w:tcW w:w="399" w:type="dxa"/>
            <w:vAlign w:val="top"/>
          </w:tcPr>
          <w:p>
            <w:pPr>
              <w:pStyle w:val="TableText"/>
              <w:ind w:left="32"/>
              <w:spacing w:before="96" w:line="220" w:lineRule="auto"/>
              <w:rPr>
                <w:sz w:val="16"/>
                <w:szCs w:val="16"/>
              </w:rPr>
            </w:pPr>
            <w:r>
              <w:rPr>
                <w:sz w:val="16"/>
                <w:szCs w:val="16"/>
                <w:spacing w:val="-3"/>
              </w:rPr>
              <w:t>万元</w:t>
            </w:r>
          </w:p>
        </w:tc>
        <w:tc>
          <w:tcPr>
            <w:tcW w:w="809" w:type="dxa"/>
            <w:vAlign w:val="top"/>
          </w:tcPr>
          <w:p>
            <w:pPr>
              <w:pStyle w:val="TableText"/>
              <w:ind w:left="74"/>
              <w:spacing w:before="111" w:line="237" w:lineRule="auto"/>
              <w:rPr>
                <w:sz w:val="16"/>
                <w:szCs w:val="16"/>
              </w:rPr>
            </w:pPr>
            <w:r>
              <w:rPr>
                <w:sz w:val="16"/>
                <w:szCs w:val="16"/>
                <w:spacing w:val="-1"/>
              </w:rPr>
              <w:t>Y≥10000</w:t>
            </w:r>
          </w:p>
        </w:tc>
        <w:tc>
          <w:tcPr>
            <w:tcW w:w="1248" w:type="dxa"/>
            <w:vAlign w:val="top"/>
          </w:tcPr>
          <w:p>
            <w:pPr>
              <w:pStyle w:val="TableText"/>
              <w:ind w:left="94"/>
              <w:spacing w:before="111" w:line="238" w:lineRule="auto"/>
              <w:rPr>
                <w:sz w:val="16"/>
                <w:szCs w:val="16"/>
              </w:rPr>
            </w:pPr>
            <w:r>
              <w:rPr>
                <w:sz w:val="16"/>
                <w:szCs w:val="16"/>
                <w:spacing w:val="-1"/>
              </w:rPr>
              <w:t>2000  Y&lt;10000</w:t>
            </w:r>
          </w:p>
        </w:tc>
        <w:tc>
          <w:tcPr>
            <w:tcW w:w="1068" w:type="dxa"/>
            <w:vAlign w:val="top"/>
          </w:tcPr>
          <w:p>
            <w:pPr>
              <w:pStyle w:val="TableText"/>
              <w:ind w:left="126"/>
              <w:spacing w:before="111"/>
              <w:rPr>
                <w:sz w:val="16"/>
                <w:szCs w:val="16"/>
              </w:rPr>
            </w:pPr>
            <w:r>
              <w:rPr>
                <w:sz w:val="16"/>
                <w:szCs w:val="16"/>
                <w:spacing w:val="-1"/>
              </w:rPr>
              <w:t>00≈Y&lt;2000</w:t>
            </w:r>
          </w:p>
        </w:tc>
        <w:tc>
          <w:tcPr>
            <w:tcW w:w="664" w:type="dxa"/>
            <w:vAlign w:val="top"/>
          </w:tcPr>
          <w:p>
            <w:pPr>
              <w:pStyle w:val="TableText"/>
              <w:ind w:left="19"/>
              <w:spacing w:before="111"/>
              <w:rPr>
                <w:sz w:val="16"/>
                <w:szCs w:val="16"/>
              </w:rPr>
            </w:pPr>
            <w:r>
              <w:rPr>
                <w:sz w:val="16"/>
                <w:szCs w:val="16"/>
                <w:spacing w:val="-1"/>
              </w:rPr>
              <w:t>Y&lt;100</w:t>
            </w:r>
          </w:p>
        </w:tc>
      </w:tr>
      <w:tr>
        <w:trPr>
          <w:trHeight w:val="340" w:hRule="atLeast"/>
        </w:trPr>
        <w:tc>
          <w:tcPr>
            <w:tcW w:w="1133" w:type="dxa"/>
            <w:vAlign w:val="top"/>
            <w:vMerge w:val="restart"/>
            <w:tcBorders>
              <w:bottom w:val="nil"/>
            </w:tcBorders>
          </w:tcPr>
          <w:p>
            <w:pPr>
              <w:pStyle w:val="TableText"/>
              <w:ind w:left="25"/>
              <w:spacing w:before="275" w:line="219" w:lineRule="auto"/>
              <w:rPr>
                <w:sz w:val="16"/>
                <w:szCs w:val="16"/>
              </w:rPr>
            </w:pPr>
            <w:r>
              <w:rPr>
                <w:sz w:val="16"/>
                <w:szCs w:val="16"/>
                <w:spacing w:val="-2"/>
              </w:rPr>
              <w:t>餐饮业</w:t>
            </w:r>
          </w:p>
        </w:tc>
        <w:tc>
          <w:tcPr>
            <w:tcW w:w="909" w:type="dxa"/>
            <w:vAlign w:val="top"/>
          </w:tcPr>
          <w:p>
            <w:pPr>
              <w:pStyle w:val="TableText"/>
              <w:spacing w:before="96" w:line="220" w:lineRule="auto"/>
              <w:jc w:val="right"/>
              <w:rPr>
                <w:sz w:val="16"/>
                <w:szCs w:val="16"/>
              </w:rPr>
            </w:pPr>
            <w:r>
              <w:rPr>
                <w:sz w:val="16"/>
                <w:szCs w:val="16"/>
                <w:spacing w:val="2"/>
              </w:rPr>
              <w:t>从业人员(X)</w:t>
            </w:r>
          </w:p>
        </w:tc>
        <w:tc>
          <w:tcPr>
            <w:tcW w:w="399" w:type="dxa"/>
            <w:vAlign w:val="top"/>
          </w:tcPr>
          <w:p>
            <w:pPr>
              <w:pStyle w:val="TableText"/>
              <w:ind w:left="112"/>
              <w:spacing w:before="98" w:line="222" w:lineRule="auto"/>
              <w:rPr>
                <w:sz w:val="16"/>
                <w:szCs w:val="16"/>
              </w:rPr>
            </w:pPr>
            <w:r>
              <w:rPr>
                <w:sz w:val="16"/>
                <w:szCs w:val="16"/>
              </w:rPr>
              <w:t>人</w:t>
            </w:r>
          </w:p>
        </w:tc>
        <w:tc>
          <w:tcPr>
            <w:tcW w:w="809" w:type="dxa"/>
            <w:vAlign w:val="top"/>
          </w:tcPr>
          <w:p>
            <w:pPr>
              <w:pStyle w:val="TableText"/>
              <w:ind w:left="33"/>
              <w:spacing w:before="111" w:line="237" w:lineRule="auto"/>
              <w:rPr>
                <w:sz w:val="16"/>
                <w:szCs w:val="16"/>
              </w:rPr>
            </w:pPr>
            <w:r>
              <w:rPr>
                <w:sz w:val="16"/>
                <w:szCs w:val="16"/>
                <w:spacing w:val="-1"/>
              </w:rPr>
              <w:t>X≥300</w:t>
            </w:r>
          </w:p>
        </w:tc>
        <w:tc>
          <w:tcPr>
            <w:tcW w:w="1248" w:type="dxa"/>
            <w:vAlign w:val="top"/>
          </w:tcPr>
          <w:p>
            <w:pPr>
              <w:pStyle w:val="TableText"/>
              <w:ind w:left="255"/>
              <w:spacing w:before="111"/>
              <w:rPr>
                <w:sz w:val="16"/>
                <w:szCs w:val="16"/>
              </w:rPr>
            </w:pPr>
            <w:r>
              <w:rPr>
                <w:sz w:val="16"/>
                <w:szCs w:val="16"/>
                <w:spacing w:val="-2"/>
              </w:rPr>
              <w:t>100&lt;X&lt;300</w:t>
            </w:r>
          </w:p>
        </w:tc>
        <w:tc>
          <w:tcPr>
            <w:tcW w:w="1068" w:type="dxa"/>
            <w:vAlign w:val="top"/>
          </w:tcPr>
          <w:p>
            <w:pPr>
              <w:pStyle w:val="TableText"/>
              <w:ind w:left="206"/>
              <w:spacing w:before="111"/>
              <w:rPr>
                <w:sz w:val="16"/>
                <w:szCs w:val="16"/>
              </w:rPr>
            </w:pPr>
            <w:r>
              <w:rPr>
                <w:sz w:val="16"/>
                <w:szCs w:val="16"/>
                <w:spacing w:val="-2"/>
              </w:rPr>
              <w:t>10&lt;X&lt;100</w:t>
            </w:r>
          </w:p>
        </w:tc>
        <w:tc>
          <w:tcPr>
            <w:tcW w:w="664" w:type="dxa"/>
            <w:vAlign w:val="top"/>
          </w:tcPr>
          <w:p>
            <w:pPr>
              <w:pStyle w:val="TableText"/>
              <w:ind w:left="19"/>
              <w:spacing w:before="111"/>
              <w:rPr>
                <w:sz w:val="16"/>
                <w:szCs w:val="16"/>
              </w:rPr>
            </w:pPr>
            <w:r>
              <w:rPr>
                <w:sz w:val="16"/>
                <w:szCs w:val="16"/>
                <w:spacing w:val="-1"/>
              </w:rPr>
              <w:t>X&lt;10</w:t>
            </w:r>
          </w:p>
        </w:tc>
      </w:tr>
      <w:tr>
        <w:trPr>
          <w:trHeight w:val="344"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95" w:line="219" w:lineRule="auto"/>
              <w:jc w:val="right"/>
              <w:rPr>
                <w:sz w:val="16"/>
                <w:szCs w:val="16"/>
              </w:rPr>
            </w:pPr>
            <w:r>
              <w:rPr>
                <w:sz w:val="16"/>
                <w:szCs w:val="16"/>
                <w:spacing w:val="2"/>
              </w:rPr>
              <w:t>营业收入(Y)</w:t>
            </w:r>
          </w:p>
        </w:tc>
        <w:tc>
          <w:tcPr>
            <w:tcW w:w="399" w:type="dxa"/>
            <w:vAlign w:val="top"/>
          </w:tcPr>
          <w:p>
            <w:pPr>
              <w:pStyle w:val="TableText"/>
              <w:ind w:left="32"/>
              <w:spacing w:before="96" w:line="220" w:lineRule="auto"/>
              <w:rPr>
                <w:sz w:val="16"/>
                <w:szCs w:val="16"/>
              </w:rPr>
            </w:pPr>
            <w:r>
              <w:rPr>
                <w:sz w:val="16"/>
                <w:szCs w:val="16"/>
                <w:spacing w:val="-3"/>
              </w:rPr>
              <w:t>万元</w:t>
            </w:r>
          </w:p>
        </w:tc>
        <w:tc>
          <w:tcPr>
            <w:tcW w:w="809" w:type="dxa"/>
            <w:vAlign w:val="top"/>
          </w:tcPr>
          <w:p>
            <w:pPr>
              <w:pStyle w:val="TableText"/>
              <w:ind w:left="33"/>
              <w:spacing w:before="111" w:line="237" w:lineRule="auto"/>
              <w:rPr>
                <w:sz w:val="16"/>
                <w:szCs w:val="16"/>
              </w:rPr>
            </w:pPr>
            <w:r>
              <w:rPr>
                <w:sz w:val="16"/>
                <w:szCs w:val="16"/>
                <w:spacing w:val="-4"/>
              </w:rPr>
              <w:t>Y</w:t>
            </w:r>
            <w:r>
              <w:rPr>
                <w:sz w:val="16"/>
                <w:szCs w:val="16"/>
                <w:spacing w:val="26"/>
              </w:rPr>
              <w:t xml:space="preserve"> </w:t>
            </w:r>
            <w:r>
              <w:rPr>
                <w:sz w:val="16"/>
                <w:szCs w:val="16"/>
                <w:spacing w:val="-4"/>
              </w:rPr>
              <w:t>≥10000</w:t>
            </w:r>
          </w:p>
        </w:tc>
        <w:tc>
          <w:tcPr>
            <w:tcW w:w="1248" w:type="dxa"/>
            <w:vAlign w:val="top"/>
          </w:tcPr>
          <w:p>
            <w:pPr>
              <w:pStyle w:val="TableText"/>
              <w:ind w:left="94"/>
              <w:spacing w:before="109" w:line="236" w:lineRule="auto"/>
              <w:rPr>
                <w:sz w:val="16"/>
                <w:szCs w:val="16"/>
              </w:rPr>
            </w:pPr>
            <w:r>
              <w:rPr>
                <w:sz w:val="16"/>
                <w:szCs w:val="16"/>
                <w:spacing w:val="-1"/>
              </w:rPr>
              <w:t>2000≤Y&lt;10000</w:t>
            </w:r>
          </w:p>
        </w:tc>
        <w:tc>
          <w:tcPr>
            <w:tcW w:w="1068" w:type="dxa"/>
            <w:vAlign w:val="top"/>
          </w:tcPr>
          <w:p>
            <w:pPr>
              <w:pStyle w:val="TableText"/>
              <w:ind w:left="86"/>
              <w:spacing w:before="109" w:line="236" w:lineRule="auto"/>
              <w:rPr>
                <w:sz w:val="16"/>
                <w:szCs w:val="16"/>
              </w:rPr>
            </w:pPr>
            <w:r>
              <w:rPr>
                <w:sz w:val="16"/>
                <w:szCs w:val="16"/>
                <w:spacing w:val="-2"/>
              </w:rPr>
              <w:t>100≤Y&lt;2000</w:t>
            </w:r>
          </w:p>
        </w:tc>
        <w:tc>
          <w:tcPr>
            <w:tcW w:w="664" w:type="dxa"/>
            <w:vAlign w:val="top"/>
          </w:tcPr>
          <w:p>
            <w:pPr>
              <w:pStyle w:val="TableText"/>
              <w:ind w:left="19"/>
              <w:spacing w:before="111"/>
              <w:rPr>
                <w:sz w:val="16"/>
                <w:szCs w:val="16"/>
              </w:rPr>
            </w:pPr>
            <w:r>
              <w:rPr>
                <w:sz w:val="16"/>
                <w:szCs w:val="16"/>
                <w:spacing w:val="-1"/>
              </w:rPr>
              <w:t>Y&lt;100</w:t>
            </w:r>
          </w:p>
        </w:tc>
      </w:tr>
    </w:tbl>
    <w:p>
      <w:pPr>
        <w:pStyle w:val="BodyText"/>
        <w:spacing w:line="211" w:lineRule="exact"/>
        <w:rPr>
          <w:sz w:val="18"/>
        </w:rPr>
      </w:pPr>
      <w:r/>
    </w:p>
    <w:p>
      <w:pPr>
        <w:spacing w:line="211" w:lineRule="exact"/>
        <w:sectPr>
          <w:footerReference w:type="default" r:id="rId43"/>
          <w:pgSz w:w="8220" w:h="11910"/>
          <w:pgMar w:top="400" w:right="935" w:bottom="943" w:left="985" w:header="0" w:footer="784" w:gutter="0"/>
        </w:sectPr>
        <w:rPr>
          <w:sz w:val="18"/>
          <w:szCs w:val="18"/>
        </w:rPr>
      </w:pPr>
    </w:p>
    <w:p>
      <w:pPr>
        <w:rPr/>
      </w:pPr>
      <w:r/>
    </w:p>
    <w:p>
      <w:pPr>
        <w:rPr/>
      </w:pPr>
      <w:r/>
    </w:p>
    <w:p>
      <w:pPr>
        <w:rPr/>
      </w:pPr>
      <w:r/>
    </w:p>
    <w:tbl>
      <w:tblPr>
        <w:tblStyle w:val="TableNormal"/>
        <w:tblW w:w="623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3"/>
        <w:gridCol w:w="909"/>
        <w:gridCol w:w="389"/>
        <w:gridCol w:w="819"/>
        <w:gridCol w:w="1248"/>
        <w:gridCol w:w="1078"/>
        <w:gridCol w:w="654"/>
      </w:tblGrid>
      <w:tr>
        <w:trPr>
          <w:trHeight w:val="524" w:hRule="atLeast"/>
        </w:trPr>
        <w:tc>
          <w:tcPr>
            <w:tcW w:w="1133" w:type="dxa"/>
            <w:vAlign w:val="top"/>
          </w:tcPr>
          <w:p>
            <w:pPr>
              <w:pStyle w:val="TableText"/>
              <w:ind w:left="215"/>
              <w:spacing w:before="182" w:line="220" w:lineRule="auto"/>
              <w:rPr>
                <w:sz w:val="17"/>
                <w:szCs w:val="17"/>
              </w:rPr>
            </w:pPr>
            <w:bookmarkStart w:name="bookmark10" w:id="10"/>
            <w:bookmarkEnd w:id="10"/>
            <w:r>
              <w:rPr>
                <w:sz w:val="17"/>
                <w:szCs w:val="17"/>
                <w:spacing w:val="-2"/>
              </w:rPr>
              <w:t>行业名称</w:t>
            </w:r>
          </w:p>
        </w:tc>
        <w:tc>
          <w:tcPr>
            <w:tcW w:w="909" w:type="dxa"/>
            <w:vAlign w:val="top"/>
          </w:tcPr>
          <w:p>
            <w:pPr>
              <w:pStyle w:val="TableText"/>
              <w:ind w:left="102"/>
              <w:spacing w:before="182" w:line="220" w:lineRule="auto"/>
              <w:rPr>
                <w:sz w:val="17"/>
                <w:szCs w:val="17"/>
              </w:rPr>
            </w:pPr>
            <w:r>
              <w:rPr>
                <w:sz w:val="17"/>
                <w:szCs w:val="17"/>
                <w:spacing w:val="-2"/>
              </w:rPr>
              <w:t>指标名称</w:t>
            </w:r>
          </w:p>
        </w:tc>
        <w:tc>
          <w:tcPr>
            <w:tcW w:w="389" w:type="dxa"/>
            <w:vAlign w:val="top"/>
          </w:tcPr>
          <w:p>
            <w:pPr>
              <w:pStyle w:val="TableText"/>
              <w:ind w:left="13" w:right="32"/>
              <w:spacing w:before="83" w:line="234" w:lineRule="auto"/>
              <w:rPr>
                <w:sz w:val="17"/>
                <w:szCs w:val="17"/>
              </w:rPr>
            </w:pPr>
            <w:r>
              <w:rPr>
                <w:sz w:val="17"/>
                <w:szCs w:val="17"/>
                <w:spacing w:val="-4"/>
              </w:rPr>
              <w:t>计量</w:t>
            </w:r>
            <w:r>
              <w:rPr>
                <w:sz w:val="17"/>
                <w:szCs w:val="17"/>
              </w:rPr>
              <w:t xml:space="preserve"> </w:t>
            </w:r>
            <w:r>
              <w:rPr>
                <w:sz w:val="17"/>
                <w:szCs w:val="17"/>
                <w:spacing w:val="-4"/>
              </w:rPr>
              <w:t>单位</w:t>
            </w:r>
          </w:p>
        </w:tc>
        <w:tc>
          <w:tcPr>
            <w:tcW w:w="819" w:type="dxa"/>
            <w:vAlign w:val="top"/>
          </w:tcPr>
          <w:p>
            <w:pPr>
              <w:pStyle w:val="TableText"/>
              <w:ind w:left="264"/>
              <w:spacing w:before="182" w:line="220" w:lineRule="auto"/>
              <w:rPr>
                <w:sz w:val="17"/>
                <w:szCs w:val="17"/>
              </w:rPr>
            </w:pPr>
            <w:r>
              <w:rPr>
                <w:sz w:val="17"/>
                <w:szCs w:val="17"/>
                <w:spacing w:val="-3"/>
              </w:rPr>
              <w:t>大型</w:t>
            </w:r>
          </w:p>
        </w:tc>
        <w:tc>
          <w:tcPr>
            <w:tcW w:w="1248" w:type="dxa"/>
            <w:vAlign w:val="top"/>
          </w:tcPr>
          <w:p>
            <w:pPr>
              <w:pStyle w:val="TableText"/>
              <w:ind w:left="445"/>
              <w:spacing w:before="182" w:line="220" w:lineRule="auto"/>
              <w:rPr>
                <w:sz w:val="17"/>
                <w:szCs w:val="17"/>
              </w:rPr>
            </w:pPr>
            <w:r>
              <w:rPr>
                <w:sz w:val="17"/>
                <w:szCs w:val="17"/>
                <w:spacing w:val="5"/>
              </w:rPr>
              <w:t>中型</w:t>
            </w:r>
          </w:p>
        </w:tc>
        <w:tc>
          <w:tcPr>
            <w:tcW w:w="1078" w:type="dxa"/>
            <w:vAlign w:val="top"/>
          </w:tcPr>
          <w:p>
            <w:pPr>
              <w:pStyle w:val="TableText"/>
              <w:ind w:left="367"/>
              <w:spacing w:before="184" w:line="221" w:lineRule="auto"/>
              <w:rPr>
                <w:sz w:val="17"/>
                <w:szCs w:val="17"/>
              </w:rPr>
            </w:pPr>
            <w:r>
              <w:rPr>
                <w:sz w:val="17"/>
                <w:szCs w:val="17"/>
                <w:spacing w:val="5"/>
              </w:rPr>
              <w:t>小型</w:t>
            </w:r>
          </w:p>
        </w:tc>
        <w:tc>
          <w:tcPr>
            <w:tcW w:w="654" w:type="dxa"/>
            <w:vAlign w:val="top"/>
          </w:tcPr>
          <w:p>
            <w:pPr>
              <w:pStyle w:val="TableText"/>
              <w:ind w:left="189"/>
              <w:spacing w:before="182" w:line="219" w:lineRule="auto"/>
              <w:rPr>
                <w:sz w:val="17"/>
                <w:szCs w:val="17"/>
              </w:rPr>
            </w:pPr>
            <w:r>
              <w:rPr>
                <w:sz w:val="17"/>
                <w:szCs w:val="17"/>
                <w:spacing w:val="-2"/>
              </w:rPr>
              <w:t>微型</w:t>
            </w:r>
          </w:p>
        </w:tc>
      </w:tr>
      <w:tr>
        <w:trPr>
          <w:trHeight w:val="349" w:hRule="atLeast"/>
        </w:trPr>
        <w:tc>
          <w:tcPr>
            <w:tcW w:w="1133" w:type="dxa"/>
            <w:vAlign w:val="top"/>
            <w:vMerge w:val="restart"/>
            <w:tcBorders>
              <w:bottom w:val="nil"/>
            </w:tcBorders>
          </w:tcPr>
          <w:p>
            <w:pPr>
              <w:pStyle w:val="TableText"/>
              <w:ind w:left="25"/>
              <w:spacing w:before="256" w:line="219" w:lineRule="auto"/>
              <w:rPr>
                <w:sz w:val="17"/>
                <w:szCs w:val="17"/>
              </w:rPr>
            </w:pPr>
            <w:r>
              <w:rPr>
                <w:sz w:val="17"/>
                <w:szCs w:val="17"/>
                <w:spacing w:val="-2"/>
              </w:rPr>
              <w:t>信息传输业*</w:t>
            </w:r>
          </w:p>
        </w:tc>
        <w:tc>
          <w:tcPr>
            <w:tcW w:w="909" w:type="dxa"/>
            <w:vAlign w:val="top"/>
          </w:tcPr>
          <w:p>
            <w:pPr>
              <w:pStyle w:val="TableText"/>
              <w:ind w:left="22"/>
              <w:spacing w:before="88" w:line="220" w:lineRule="auto"/>
              <w:rPr>
                <w:sz w:val="17"/>
                <w:szCs w:val="17"/>
              </w:rPr>
            </w:pPr>
            <w:r>
              <w:rPr>
                <w:sz w:val="17"/>
                <w:szCs w:val="17"/>
                <w:spacing w:val="-2"/>
              </w:rPr>
              <w:t>从业人员(X</w:t>
            </w:r>
          </w:p>
        </w:tc>
        <w:tc>
          <w:tcPr>
            <w:tcW w:w="389" w:type="dxa"/>
            <w:vAlign w:val="top"/>
          </w:tcPr>
          <w:p>
            <w:pPr>
              <w:pStyle w:val="TableText"/>
              <w:ind w:left="103"/>
              <w:spacing w:before="90" w:line="222" w:lineRule="auto"/>
              <w:rPr>
                <w:sz w:val="17"/>
                <w:szCs w:val="17"/>
              </w:rPr>
            </w:pPr>
            <w:r>
              <w:rPr>
                <w:sz w:val="17"/>
                <w:szCs w:val="17"/>
              </w:rPr>
              <w:t>人</w:t>
            </w:r>
          </w:p>
        </w:tc>
        <w:tc>
          <w:tcPr>
            <w:tcW w:w="819" w:type="dxa"/>
            <w:vAlign w:val="top"/>
          </w:tcPr>
          <w:p>
            <w:pPr>
              <w:pStyle w:val="TableText"/>
              <w:ind w:left="14"/>
              <w:spacing w:before="104" w:line="237" w:lineRule="auto"/>
              <w:rPr>
                <w:sz w:val="17"/>
                <w:szCs w:val="17"/>
              </w:rPr>
            </w:pPr>
            <w:r>
              <w:rPr>
                <w:sz w:val="17"/>
                <w:szCs w:val="17"/>
                <w:spacing w:val="-4"/>
              </w:rPr>
              <w:t>X</w:t>
            </w:r>
            <w:r>
              <w:rPr>
                <w:sz w:val="17"/>
                <w:szCs w:val="17"/>
                <w:spacing w:val="23"/>
              </w:rPr>
              <w:t xml:space="preserve"> </w:t>
            </w:r>
            <w:r>
              <w:rPr>
                <w:sz w:val="17"/>
                <w:szCs w:val="17"/>
                <w:spacing w:val="-4"/>
              </w:rPr>
              <w:t>≥2000</w:t>
            </w:r>
          </w:p>
        </w:tc>
        <w:tc>
          <w:tcPr>
            <w:tcW w:w="1248" w:type="dxa"/>
            <w:vAlign w:val="top"/>
          </w:tcPr>
          <w:p>
            <w:pPr>
              <w:pStyle w:val="TableText"/>
              <w:ind w:left="145"/>
              <w:spacing w:before="103" w:line="236" w:lineRule="auto"/>
              <w:rPr>
                <w:sz w:val="17"/>
                <w:szCs w:val="17"/>
              </w:rPr>
            </w:pPr>
            <w:r>
              <w:rPr>
                <w:sz w:val="17"/>
                <w:szCs w:val="17"/>
                <w:spacing w:val="-2"/>
              </w:rPr>
              <w:t>100≤X&lt;2000</w:t>
            </w:r>
          </w:p>
        </w:tc>
        <w:tc>
          <w:tcPr>
            <w:tcW w:w="1078" w:type="dxa"/>
            <w:vAlign w:val="top"/>
          </w:tcPr>
          <w:p>
            <w:pPr>
              <w:pStyle w:val="TableText"/>
              <w:ind w:left="147"/>
              <w:spacing w:before="103" w:line="236" w:lineRule="auto"/>
              <w:rPr>
                <w:sz w:val="17"/>
                <w:szCs w:val="17"/>
              </w:rPr>
            </w:pPr>
            <w:r>
              <w:rPr>
                <w:sz w:val="17"/>
                <w:szCs w:val="17"/>
                <w:spacing w:val="-3"/>
              </w:rPr>
              <w:t>10≤X&lt;100</w:t>
            </w:r>
          </w:p>
        </w:tc>
        <w:tc>
          <w:tcPr>
            <w:tcW w:w="654" w:type="dxa"/>
            <w:vAlign w:val="top"/>
          </w:tcPr>
          <w:p>
            <w:pPr>
              <w:pStyle w:val="TableText"/>
              <w:ind w:left="19"/>
              <w:spacing w:before="104"/>
              <w:rPr>
                <w:sz w:val="17"/>
                <w:szCs w:val="17"/>
              </w:rPr>
            </w:pPr>
            <w:r>
              <w:rPr>
                <w:sz w:val="17"/>
                <w:szCs w:val="17"/>
                <w:spacing w:val="-1"/>
              </w:rPr>
              <w:t>X&lt;10</w:t>
            </w:r>
          </w:p>
        </w:tc>
      </w:tr>
      <w:tr>
        <w:trPr>
          <w:trHeight w:val="329"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22"/>
              <w:spacing w:before="79" w:line="219" w:lineRule="auto"/>
              <w:rPr>
                <w:sz w:val="17"/>
                <w:szCs w:val="17"/>
              </w:rPr>
            </w:pPr>
            <w:r>
              <w:rPr>
                <w:sz w:val="17"/>
                <w:szCs w:val="17"/>
                <w:spacing w:val="-2"/>
              </w:rPr>
              <w:t>营业收入(Y</w:t>
            </w:r>
          </w:p>
        </w:tc>
        <w:tc>
          <w:tcPr>
            <w:tcW w:w="389" w:type="dxa"/>
            <w:vAlign w:val="top"/>
          </w:tcPr>
          <w:p>
            <w:pPr>
              <w:pStyle w:val="TableText"/>
              <w:ind w:left="13"/>
              <w:spacing w:before="79" w:line="220" w:lineRule="auto"/>
              <w:rPr>
                <w:sz w:val="17"/>
                <w:szCs w:val="17"/>
              </w:rPr>
            </w:pPr>
            <w:r>
              <w:rPr>
                <w:sz w:val="17"/>
                <w:szCs w:val="17"/>
                <w:spacing w:val="-3"/>
              </w:rPr>
              <w:t>万元</w:t>
            </w:r>
          </w:p>
        </w:tc>
        <w:tc>
          <w:tcPr>
            <w:tcW w:w="819" w:type="dxa"/>
            <w:vAlign w:val="top"/>
          </w:tcPr>
          <w:p>
            <w:pPr>
              <w:pStyle w:val="TableText"/>
              <w:spacing w:before="95" w:line="237" w:lineRule="auto"/>
              <w:jc w:val="right"/>
              <w:rPr>
                <w:sz w:val="17"/>
                <w:szCs w:val="17"/>
              </w:rPr>
            </w:pPr>
            <w:r>
              <w:rPr>
                <w:sz w:val="17"/>
                <w:szCs w:val="17"/>
                <w:spacing w:val="-9"/>
              </w:rPr>
              <w:t>Y</w:t>
            </w:r>
            <w:r>
              <w:rPr>
                <w:sz w:val="17"/>
                <w:szCs w:val="17"/>
                <w:spacing w:val="16"/>
              </w:rPr>
              <w:t xml:space="preserve"> </w:t>
            </w:r>
            <w:r>
              <w:rPr>
                <w:sz w:val="17"/>
                <w:szCs w:val="17"/>
                <w:spacing w:val="-9"/>
              </w:rPr>
              <w:t>≥100000</w:t>
            </w:r>
          </w:p>
        </w:tc>
        <w:tc>
          <w:tcPr>
            <w:tcW w:w="1248" w:type="dxa"/>
            <w:vAlign w:val="top"/>
          </w:tcPr>
          <w:p>
            <w:pPr>
              <w:pStyle w:val="TableText"/>
              <w:ind w:left="25"/>
              <w:spacing w:before="94" w:line="236" w:lineRule="auto"/>
              <w:rPr>
                <w:sz w:val="17"/>
                <w:szCs w:val="17"/>
              </w:rPr>
            </w:pPr>
            <w:r>
              <w:rPr>
                <w:sz w:val="17"/>
                <w:szCs w:val="17"/>
                <w:spacing w:val="-2"/>
              </w:rPr>
              <w:t>1000≤Y&lt;100000</w:t>
            </w:r>
          </w:p>
        </w:tc>
        <w:tc>
          <w:tcPr>
            <w:tcW w:w="1078" w:type="dxa"/>
            <w:vAlign w:val="top"/>
          </w:tcPr>
          <w:p>
            <w:pPr>
              <w:pStyle w:val="TableText"/>
              <w:ind w:left="67"/>
              <w:spacing w:before="95"/>
              <w:rPr>
                <w:sz w:val="17"/>
                <w:szCs w:val="17"/>
              </w:rPr>
            </w:pPr>
            <w:r>
              <w:rPr>
                <w:sz w:val="17"/>
                <w:szCs w:val="17"/>
                <w:spacing w:val="-2"/>
              </w:rPr>
              <w:t>100≈Y&lt;1000</w:t>
            </w:r>
          </w:p>
        </w:tc>
        <w:tc>
          <w:tcPr>
            <w:tcW w:w="654" w:type="dxa"/>
            <w:vAlign w:val="top"/>
          </w:tcPr>
          <w:p>
            <w:pPr>
              <w:pStyle w:val="TableText"/>
              <w:ind w:left="29"/>
              <w:spacing w:before="95"/>
              <w:rPr>
                <w:sz w:val="17"/>
                <w:szCs w:val="17"/>
              </w:rPr>
            </w:pPr>
            <w:r>
              <w:rPr>
                <w:sz w:val="17"/>
                <w:szCs w:val="17"/>
                <w:spacing w:val="-1"/>
              </w:rPr>
              <w:t>Y&lt;100</w:t>
            </w:r>
          </w:p>
        </w:tc>
      </w:tr>
      <w:tr>
        <w:trPr>
          <w:trHeight w:val="329" w:hRule="atLeast"/>
        </w:trPr>
        <w:tc>
          <w:tcPr>
            <w:tcW w:w="1133" w:type="dxa"/>
            <w:vAlign w:val="top"/>
            <w:vMerge w:val="restart"/>
            <w:tcBorders>
              <w:bottom w:val="nil"/>
            </w:tcBorders>
          </w:tcPr>
          <w:p>
            <w:pPr>
              <w:pStyle w:val="TableText"/>
              <w:ind w:left="15"/>
              <w:spacing w:before="169" w:line="213" w:lineRule="auto"/>
              <w:rPr>
                <w:sz w:val="17"/>
                <w:szCs w:val="17"/>
              </w:rPr>
            </w:pPr>
            <w:r>
              <w:rPr>
                <w:sz w:val="17"/>
                <w:szCs w:val="17"/>
                <w:spacing w:val="-13"/>
              </w:rPr>
              <w:t>软件和</w:t>
            </w:r>
            <w:r>
              <w:rPr>
                <w:sz w:val="17"/>
                <w:szCs w:val="17"/>
                <w:spacing w:val="-12"/>
              </w:rPr>
              <w:t>信息技</w:t>
            </w:r>
            <w:r>
              <w:rPr>
                <w:sz w:val="17"/>
                <w:szCs w:val="17"/>
                <w:spacing w:val="-9"/>
              </w:rPr>
              <w:t>术</w:t>
            </w:r>
            <w:r>
              <w:rPr>
                <w:sz w:val="17"/>
                <w:szCs w:val="17"/>
              </w:rPr>
              <w:t xml:space="preserve"> </w:t>
            </w:r>
            <w:r>
              <w:rPr>
                <w:sz w:val="17"/>
                <w:szCs w:val="17"/>
                <w:spacing w:val="-2"/>
              </w:rPr>
              <w:t>服务业</w:t>
            </w:r>
          </w:p>
        </w:tc>
        <w:tc>
          <w:tcPr>
            <w:tcW w:w="909" w:type="dxa"/>
            <w:vAlign w:val="top"/>
          </w:tcPr>
          <w:p>
            <w:pPr>
              <w:pStyle w:val="TableText"/>
              <w:ind w:left="22"/>
              <w:spacing w:before="80" w:line="220" w:lineRule="auto"/>
              <w:rPr>
                <w:sz w:val="17"/>
                <w:szCs w:val="17"/>
              </w:rPr>
            </w:pPr>
            <w:r>
              <w:rPr>
                <w:sz w:val="17"/>
                <w:szCs w:val="17"/>
                <w:spacing w:val="-2"/>
              </w:rPr>
              <w:t>从业人员(X</w:t>
            </w:r>
          </w:p>
        </w:tc>
        <w:tc>
          <w:tcPr>
            <w:tcW w:w="389" w:type="dxa"/>
            <w:vAlign w:val="top"/>
          </w:tcPr>
          <w:p>
            <w:pPr>
              <w:pStyle w:val="TableText"/>
              <w:ind w:left="103"/>
              <w:spacing w:before="82" w:line="222" w:lineRule="auto"/>
              <w:rPr>
                <w:sz w:val="17"/>
                <w:szCs w:val="17"/>
              </w:rPr>
            </w:pPr>
            <w:r>
              <w:rPr>
                <w:sz w:val="17"/>
                <w:szCs w:val="17"/>
              </w:rPr>
              <w:t>人</w:t>
            </w:r>
          </w:p>
        </w:tc>
        <w:tc>
          <w:tcPr>
            <w:tcW w:w="819" w:type="dxa"/>
            <w:vAlign w:val="top"/>
          </w:tcPr>
          <w:p>
            <w:pPr>
              <w:pStyle w:val="TableText"/>
              <w:ind w:left="14"/>
              <w:spacing w:before="96" w:line="237" w:lineRule="auto"/>
              <w:rPr>
                <w:sz w:val="17"/>
                <w:szCs w:val="17"/>
              </w:rPr>
            </w:pPr>
            <w:r>
              <w:rPr>
                <w:sz w:val="17"/>
                <w:szCs w:val="17"/>
                <w:spacing w:val="-5"/>
              </w:rPr>
              <w:t>X</w:t>
            </w:r>
            <w:r>
              <w:rPr>
                <w:sz w:val="17"/>
                <w:szCs w:val="17"/>
                <w:spacing w:val="24"/>
              </w:rPr>
              <w:t xml:space="preserve"> </w:t>
            </w:r>
            <w:r>
              <w:rPr>
                <w:sz w:val="17"/>
                <w:szCs w:val="17"/>
                <w:spacing w:val="-5"/>
              </w:rPr>
              <w:t>≥300</w:t>
            </w:r>
          </w:p>
        </w:tc>
        <w:tc>
          <w:tcPr>
            <w:tcW w:w="1248" w:type="dxa"/>
            <w:vAlign w:val="top"/>
          </w:tcPr>
          <w:p>
            <w:pPr>
              <w:pStyle w:val="TableText"/>
              <w:ind w:left="235"/>
              <w:spacing w:before="96"/>
              <w:rPr>
                <w:sz w:val="17"/>
                <w:szCs w:val="17"/>
              </w:rPr>
            </w:pPr>
            <w:r>
              <w:rPr>
                <w:sz w:val="17"/>
                <w:szCs w:val="17"/>
                <w:spacing w:val="-2"/>
              </w:rPr>
              <w:t>100&lt;X&lt;300</w:t>
            </w:r>
          </w:p>
        </w:tc>
        <w:tc>
          <w:tcPr>
            <w:tcW w:w="1078" w:type="dxa"/>
            <w:vAlign w:val="top"/>
          </w:tcPr>
          <w:p>
            <w:pPr>
              <w:pStyle w:val="TableText"/>
              <w:ind w:left="197"/>
              <w:spacing w:before="96"/>
              <w:rPr>
                <w:sz w:val="17"/>
                <w:szCs w:val="17"/>
              </w:rPr>
            </w:pPr>
            <w:r>
              <w:rPr>
                <w:sz w:val="17"/>
                <w:szCs w:val="17"/>
                <w:spacing w:val="-3"/>
              </w:rPr>
              <w:t>10&lt;X&lt;100</w:t>
            </w:r>
          </w:p>
        </w:tc>
        <w:tc>
          <w:tcPr>
            <w:tcW w:w="654" w:type="dxa"/>
            <w:vAlign w:val="top"/>
          </w:tcPr>
          <w:p>
            <w:pPr>
              <w:pStyle w:val="TableText"/>
              <w:ind w:left="19"/>
              <w:spacing w:before="96"/>
              <w:rPr>
                <w:sz w:val="17"/>
                <w:szCs w:val="17"/>
              </w:rPr>
            </w:pPr>
            <w:r>
              <w:rPr>
                <w:sz w:val="17"/>
                <w:szCs w:val="17"/>
                <w:spacing w:val="-1"/>
              </w:rPr>
              <w:t>X&lt;10</w:t>
            </w:r>
          </w:p>
        </w:tc>
      </w:tr>
      <w:tr>
        <w:trPr>
          <w:trHeight w:val="330"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81" w:line="219" w:lineRule="auto"/>
              <w:jc w:val="right"/>
              <w:rPr>
                <w:sz w:val="17"/>
                <w:szCs w:val="17"/>
              </w:rPr>
            </w:pPr>
            <w:r>
              <w:rPr>
                <w:sz w:val="17"/>
                <w:szCs w:val="17"/>
                <w:spacing w:val="-7"/>
              </w:rPr>
              <w:t>营业收入(Y)</w:t>
            </w:r>
          </w:p>
        </w:tc>
        <w:tc>
          <w:tcPr>
            <w:tcW w:w="389" w:type="dxa"/>
            <w:vAlign w:val="top"/>
          </w:tcPr>
          <w:p>
            <w:pPr>
              <w:pStyle w:val="TableText"/>
              <w:ind w:left="13"/>
              <w:spacing w:before="81" w:line="220" w:lineRule="auto"/>
              <w:rPr>
                <w:sz w:val="17"/>
                <w:szCs w:val="17"/>
              </w:rPr>
            </w:pPr>
            <w:r>
              <w:rPr>
                <w:sz w:val="17"/>
                <w:szCs w:val="17"/>
                <w:spacing w:val="-3"/>
              </w:rPr>
              <w:t>万元</w:t>
            </w:r>
          </w:p>
        </w:tc>
        <w:tc>
          <w:tcPr>
            <w:tcW w:w="819" w:type="dxa"/>
            <w:vAlign w:val="top"/>
          </w:tcPr>
          <w:p>
            <w:pPr>
              <w:pStyle w:val="TableText"/>
              <w:ind w:left="14"/>
              <w:spacing w:before="97" w:line="237" w:lineRule="auto"/>
              <w:rPr>
                <w:sz w:val="17"/>
                <w:szCs w:val="17"/>
              </w:rPr>
            </w:pPr>
            <w:r>
              <w:rPr>
                <w:sz w:val="17"/>
                <w:szCs w:val="17"/>
                <w:spacing w:val="-4"/>
              </w:rPr>
              <w:t>Y</w:t>
            </w:r>
            <w:r>
              <w:rPr>
                <w:sz w:val="17"/>
                <w:szCs w:val="17"/>
                <w:spacing w:val="26"/>
              </w:rPr>
              <w:t xml:space="preserve"> </w:t>
            </w:r>
            <w:r>
              <w:rPr>
                <w:sz w:val="17"/>
                <w:szCs w:val="17"/>
                <w:spacing w:val="-4"/>
              </w:rPr>
              <w:t>≥10000</w:t>
            </w:r>
          </w:p>
        </w:tc>
        <w:tc>
          <w:tcPr>
            <w:tcW w:w="1248" w:type="dxa"/>
            <w:vAlign w:val="top"/>
          </w:tcPr>
          <w:p>
            <w:pPr>
              <w:pStyle w:val="TableText"/>
              <w:ind w:left="65"/>
              <w:spacing w:before="95" w:line="236" w:lineRule="auto"/>
              <w:rPr>
                <w:sz w:val="17"/>
                <w:szCs w:val="17"/>
              </w:rPr>
            </w:pPr>
            <w:r>
              <w:rPr>
                <w:sz w:val="17"/>
                <w:szCs w:val="17"/>
                <w:spacing w:val="-2"/>
              </w:rPr>
              <w:t>1000≤Y&lt;10000</w:t>
            </w:r>
          </w:p>
        </w:tc>
        <w:tc>
          <w:tcPr>
            <w:tcW w:w="1078" w:type="dxa"/>
            <w:vAlign w:val="top"/>
          </w:tcPr>
          <w:p>
            <w:pPr>
              <w:pStyle w:val="TableText"/>
              <w:ind w:left="107"/>
              <w:spacing w:before="95" w:line="236" w:lineRule="auto"/>
              <w:rPr>
                <w:sz w:val="17"/>
                <w:szCs w:val="17"/>
              </w:rPr>
            </w:pPr>
            <w:r>
              <w:rPr>
                <w:sz w:val="17"/>
                <w:szCs w:val="17"/>
                <w:spacing w:val="-2"/>
              </w:rPr>
              <w:t>50≤Y&lt;1000</w:t>
            </w:r>
          </w:p>
        </w:tc>
        <w:tc>
          <w:tcPr>
            <w:tcW w:w="654" w:type="dxa"/>
            <w:vAlign w:val="top"/>
          </w:tcPr>
          <w:p>
            <w:pPr>
              <w:pStyle w:val="TableText"/>
              <w:ind w:left="19"/>
              <w:spacing w:before="97"/>
              <w:rPr>
                <w:sz w:val="17"/>
                <w:szCs w:val="17"/>
              </w:rPr>
            </w:pPr>
            <w:r>
              <w:rPr>
                <w:sz w:val="17"/>
                <w:szCs w:val="17"/>
                <w:spacing w:val="-1"/>
              </w:rPr>
              <w:t>Y&lt;50</w:t>
            </w:r>
          </w:p>
        </w:tc>
      </w:tr>
      <w:tr>
        <w:trPr>
          <w:trHeight w:val="329" w:hRule="atLeast"/>
        </w:trPr>
        <w:tc>
          <w:tcPr>
            <w:tcW w:w="1133" w:type="dxa"/>
            <w:vAlign w:val="top"/>
            <w:vMerge w:val="restart"/>
            <w:tcBorders>
              <w:bottom w:val="nil"/>
            </w:tcBorders>
          </w:tcPr>
          <w:p>
            <w:pPr>
              <w:pStyle w:val="TableText"/>
              <w:spacing w:before="261" w:line="219" w:lineRule="auto"/>
              <w:jc w:val="right"/>
              <w:rPr>
                <w:sz w:val="17"/>
                <w:szCs w:val="17"/>
              </w:rPr>
            </w:pPr>
            <w:r>
              <w:rPr>
                <w:sz w:val="17"/>
                <w:szCs w:val="17"/>
                <w:spacing w:val="-12"/>
              </w:rPr>
              <w:t>房地产开发经营</w:t>
            </w:r>
          </w:p>
        </w:tc>
        <w:tc>
          <w:tcPr>
            <w:tcW w:w="909" w:type="dxa"/>
            <w:vAlign w:val="top"/>
          </w:tcPr>
          <w:p>
            <w:pPr>
              <w:pStyle w:val="TableText"/>
              <w:spacing w:before="81" w:line="219" w:lineRule="auto"/>
              <w:jc w:val="right"/>
              <w:rPr>
                <w:sz w:val="17"/>
                <w:szCs w:val="17"/>
              </w:rPr>
            </w:pPr>
            <w:r>
              <w:rPr>
                <w:sz w:val="17"/>
                <w:szCs w:val="17"/>
                <w:spacing w:val="-7"/>
              </w:rPr>
              <w:t>营业收入(Y)</w:t>
            </w:r>
          </w:p>
        </w:tc>
        <w:tc>
          <w:tcPr>
            <w:tcW w:w="389" w:type="dxa"/>
            <w:vAlign w:val="top"/>
          </w:tcPr>
          <w:p>
            <w:pPr>
              <w:pStyle w:val="TableText"/>
              <w:ind w:left="13"/>
              <w:spacing w:before="81" w:line="220" w:lineRule="auto"/>
              <w:rPr>
                <w:sz w:val="17"/>
                <w:szCs w:val="17"/>
              </w:rPr>
            </w:pPr>
            <w:r>
              <w:rPr>
                <w:sz w:val="17"/>
                <w:szCs w:val="17"/>
                <w:spacing w:val="-3"/>
              </w:rPr>
              <w:t>万元</w:t>
            </w:r>
          </w:p>
        </w:tc>
        <w:tc>
          <w:tcPr>
            <w:tcW w:w="819" w:type="dxa"/>
            <w:vAlign w:val="top"/>
          </w:tcPr>
          <w:p>
            <w:pPr>
              <w:pStyle w:val="TableText"/>
              <w:spacing w:before="97" w:line="237" w:lineRule="auto"/>
              <w:jc w:val="right"/>
              <w:rPr>
                <w:sz w:val="17"/>
                <w:szCs w:val="17"/>
              </w:rPr>
            </w:pPr>
            <w:r>
              <w:rPr>
                <w:sz w:val="17"/>
                <w:szCs w:val="17"/>
                <w:spacing w:val="-9"/>
              </w:rPr>
              <w:t>Y</w:t>
            </w:r>
            <w:r>
              <w:rPr>
                <w:sz w:val="17"/>
                <w:szCs w:val="17"/>
                <w:spacing w:val="16"/>
              </w:rPr>
              <w:t xml:space="preserve"> </w:t>
            </w:r>
            <w:r>
              <w:rPr>
                <w:sz w:val="17"/>
                <w:szCs w:val="17"/>
                <w:spacing w:val="-9"/>
              </w:rPr>
              <w:t>≥200000</w:t>
            </w:r>
          </w:p>
        </w:tc>
        <w:tc>
          <w:tcPr>
            <w:tcW w:w="1248" w:type="dxa"/>
            <w:vAlign w:val="top"/>
          </w:tcPr>
          <w:p>
            <w:pPr>
              <w:pStyle w:val="TableText"/>
              <w:ind w:left="25"/>
              <w:spacing w:before="96" w:line="236" w:lineRule="auto"/>
              <w:rPr>
                <w:sz w:val="17"/>
                <w:szCs w:val="17"/>
              </w:rPr>
            </w:pPr>
            <w:r>
              <w:rPr>
                <w:sz w:val="17"/>
                <w:szCs w:val="17"/>
                <w:spacing w:val="-2"/>
              </w:rPr>
              <w:t>1000≤Y&lt;200000</w:t>
            </w:r>
          </w:p>
        </w:tc>
        <w:tc>
          <w:tcPr>
            <w:tcW w:w="1078" w:type="dxa"/>
            <w:vAlign w:val="top"/>
          </w:tcPr>
          <w:p>
            <w:pPr>
              <w:pStyle w:val="TableText"/>
              <w:ind w:left="67"/>
              <w:spacing w:before="97"/>
              <w:rPr>
                <w:sz w:val="17"/>
                <w:szCs w:val="17"/>
              </w:rPr>
            </w:pPr>
            <w:r>
              <w:rPr>
                <w:sz w:val="17"/>
                <w:szCs w:val="17"/>
                <w:spacing w:val="-2"/>
              </w:rPr>
              <w:t>100≈Y&lt;1000</w:t>
            </w:r>
          </w:p>
        </w:tc>
        <w:tc>
          <w:tcPr>
            <w:tcW w:w="654" w:type="dxa"/>
            <w:vAlign w:val="top"/>
          </w:tcPr>
          <w:p>
            <w:pPr>
              <w:pStyle w:val="TableText"/>
              <w:ind w:left="29"/>
              <w:spacing w:before="97"/>
              <w:rPr>
                <w:sz w:val="17"/>
                <w:szCs w:val="17"/>
              </w:rPr>
            </w:pPr>
            <w:r>
              <w:rPr>
                <w:sz w:val="17"/>
                <w:szCs w:val="17"/>
                <w:spacing w:val="-1"/>
              </w:rPr>
              <w:t>Y&lt;100</w:t>
            </w:r>
          </w:p>
        </w:tc>
      </w:tr>
      <w:tr>
        <w:trPr>
          <w:trHeight w:val="339"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22"/>
              <w:spacing w:before="92" w:line="219" w:lineRule="auto"/>
              <w:rPr>
                <w:sz w:val="17"/>
                <w:szCs w:val="17"/>
              </w:rPr>
            </w:pPr>
            <w:r>
              <w:rPr>
                <w:sz w:val="17"/>
                <w:szCs w:val="17"/>
                <w:spacing w:val="1"/>
              </w:rPr>
              <w:t>资产总额(Z</w:t>
            </w:r>
          </w:p>
        </w:tc>
        <w:tc>
          <w:tcPr>
            <w:tcW w:w="389" w:type="dxa"/>
            <w:vAlign w:val="top"/>
          </w:tcPr>
          <w:p>
            <w:pPr>
              <w:pStyle w:val="TableText"/>
              <w:ind w:left="13"/>
              <w:spacing w:before="92" w:line="220" w:lineRule="auto"/>
              <w:rPr>
                <w:sz w:val="17"/>
                <w:szCs w:val="17"/>
              </w:rPr>
            </w:pPr>
            <w:r>
              <w:rPr>
                <w:sz w:val="17"/>
                <w:szCs w:val="17"/>
                <w:spacing w:val="-3"/>
              </w:rPr>
              <w:t>万元</w:t>
            </w:r>
          </w:p>
        </w:tc>
        <w:tc>
          <w:tcPr>
            <w:tcW w:w="819" w:type="dxa"/>
            <w:vAlign w:val="top"/>
          </w:tcPr>
          <w:p>
            <w:pPr>
              <w:pStyle w:val="TableText"/>
              <w:ind w:left="14"/>
              <w:spacing w:before="108" w:line="237" w:lineRule="auto"/>
              <w:rPr>
                <w:sz w:val="17"/>
                <w:szCs w:val="17"/>
              </w:rPr>
            </w:pPr>
            <w:r>
              <w:rPr>
                <w:sz w:val="17"/>
                <w:szCs w:val="17"/>
                <w:spacing w:val="-4"/>
              </w:rPr>
              <w:t>Z</w:t>
            </w:r>
            <w:r>
              <w:rPr>
                <w:sz w:val="17"/>
                <w:szCs w:val="17"/>
                <w:spacing w:val="24"/>
              </w:rPr>
              <w:t xml:space="preserve"> </w:t>
            </w:r>
            <w:r>
              <w:rPr>
                <w:sz w:val="17"/>
                <w:szCs w:val="17"/>
                <w:spacing w:val="-4"/>
              </w:rPr>
              <w:t>≥10000</w:t>
            </w:r>
          </w:p>
        </w:tc>
        <w:tc>
          <w:tcPr>
            <w:tcW w:w="1248" w:type="dxa"/>
            <w:vAlign w:val="top"/>
          </w:tcPr>
          <w:p>
            <w:pPr>
              <w:pStyle w:val="TableText"/>
              <w:ind w:left="65"/>
              <w:spacing w:before="108" w:line="239" w:lineRule="auto"/>
              <w:rPr>
                <w:sz w:val="17"/>
                <w:szCs w:val="17"/>
              </w:rPr>
            </w:pPr>
            <w:r>
              <w:rPr>
                <w:sz w:val="17"/>
                <w:szCs w:val="17"/>
                <w:spacing w:val="-1"/>
              </w:rPr>
              <w:t>5000≈Z&lt;10000</w:t>
            </w:r>
          </w:p>
        </w:tc>
        <w:tc>
          <w:tcPr>
            <w:tcW w:w="1078" w:type="dxa"/>
            <w:vAlign w:val="top"/>
          </w:tcPr>
          <w:p>
            <w:pPr>
              <w:pStyle w:val="TableText"/>
              <w:ind w:left="27"/>
              <w:spacing w:before="108" w:line="239" w:lineRule="auto"/>
              <w:rPr>
                <w:sz w:val="17"/>
                <w:szCs w:val="17"/>
              </w:rPr>
            </w:pPr>
            <w:r>
              <w:rPr>
                <w:sz w:val="17"/>
                <w:szCs w:val="17"/>
                <w:spacing w:val="-1"/>
              </w:rPr>
              <w:t>2000≈Z&lt;5000</w:t>
            </w:r>
          </w:p>
        </w:tc>
        <w:tc>
          <w:tcPr>
            <w:tcW w:w="654" w:type="dxa"/>
            <w:vAlign w:val="top"/>
          </w:tcPr>
          <w:p>
            <w:pPr>
              <w:pStyle w:val="TableText"/>
              <w:ind w:left="19"/>
              <w:spacing w:before="108" w:line="239" w:lineRule="auto"/>
              <w:rPr>
                <w:sz w:val="17"/>
                <w:szCs w:val="17"/>
              </w:rPr>
            </w:pPr>
            <w:r>
              <w:rPr>
                <w:sz w:val="17"/>
                <w:szCs w:val="17"/>
                <w:spacing w:val="-1"/>
              </w:rPr>
              <w:t>Z&lt;2000</w:t>
            </w:r>
          </w:p>
        </w:tc>
      </w:tr>
      <w:tr>
        <w:trPr>
          <w:trHeight w:val="329" w:hRule="atLeast"/>
        </w:trPr>
        <w:tc>
          <w:tcPr>
            <w:tcW w:w="1133" w:type="dxa"/>
            <w:vAlign w:val="top"/>
            <w:vMerge w:val="restart"/>
            <w:tcBorders>
              <w:bottom w:val="nil"/>
            </w:tcBorders>
          </w:tcPr>
          <w:p>
            <w:pPr>
              <w:pStyle w:val="TableText"/>
              <w:ind w:left="15"/>
              <w:spacing w:before="263" w:line="219" w:lineRule="auto"/>
              <w:rPr>
                <w:sz w:val="17"/>
                <w:szCs w:val="17"/>
              </w:rPr>
            </w:pPr>
            <w:r>
              <w:rPr>
                <w:sz w:val="17"/>
                <w:szCs w:val="17"/>
                <w:spacing w:val="-2"/>
              </w:rPr>
              <w:t>物业管理</w:t>
            </w:r>
          </w:p>
        </w:tc>
        <w:tc>
          <w:tcPr>
            <w:tcW w:w="909" w:type="dxa"/>
            <w:vAlign w:val="top"/>
          </w:tcPr>
          <w:p>
            <w:pPr>
              <w:pStyle w:val="TableText"/>
              <w:spacing w:before="83" w:line="220" w:lineRule="auto"/>
              <w:jc w:val="right"/>
              <w:rPr>
                <w:sz w:val="17"/>
                <w:szCs w:val="17"/>
              </w:rPr>
            </w:pPr>
            <w:r>
              <w:rPr>
                <w:sz w:val="17"/>
                <w:szCs w:val="17"/>
                <w:spacing w:val="-7"/>
              </w:rPr>
              <w:t>从业人员(X)</w:t>
            </w:r>
          </w:p>
        </w:tc>
        <w:tc>
          <w:tcPr>
            <w:tcW w:w="389" w:type="dxa"/>
            <w:vAlign w:val="top"/>
          </w:tcPr>
          <w:p>
            <w:pPr>
              <w:pStyle w:val="TableText"/>
              <w:ind w:left="103"/>
              <w:spacing w:before="85" w:line="222" w:lineRule="auto"/>
              <w:rPr>
                <w:sz w:val="17"/>
                <w:szCs w:val="17"/>
              </w:rPr>
            </w:pPr>
            <w:r>
              <w:rPr>
                <w:sz w:val="17"/>
                <w:szCs w:val="17"/>
              </w:rPr>
              <w:t>人</w:t>
            </w:r>
          </w:p>
        </w:tc>
        <w:tc>
          <w:tcPr>
            <w:tcW w:w="819" w:type="dxa"/>
            <w:vAlign w:val="top"/>
          </w:tcPr>
          <w:p>
            <w:pPr>
              <w:pStyle w:val="TableText"/>
              <w:ind w:left="14"/>
              <w:spacing w:before="99" w:line="237" w:lineRule="auto"/>
              <w:rPr>
                <w:sz w:val="17"/>
                <w:szCs w:val="17"/>
              </w:rPr>
            </w:pPr>
            <w:r>
              <w:rPr>
                <w:sz w:val="17"/>
                <w:szCs w:val="17"/>
                <w:spacing w:val="-4"/>
              </w:rPr>
              <w:t>X</w:t>
            </w:r>
            <w:r>
              <w:rPr>
                <w:sz w:val="17"/>
                <w:szCs w:val="17"/>
                <w:spacing w:val="23"/>
              </w:rPr>
              <w:t xml:space="preserve"> </w:t>
            </w:r>
            <w:r>
              <w:rPr>
                <w:sz w:val="17"/>
                <w:szCs w:val="17"/>
                <w:spacing w:val="-4"/>
              </w:rPr>
              <w:t>≥1000</w:t>
            </w:r>
          </w:p>
        </w:tc>
        <w:tc>
          <w:tcPr>
            <w:tcW w:w="1248" w:type="dxa"/>
            <w:vAlign w:val="top"/>
          </w:tcPr>
          <w:p>
            <w:pPr>
              <w:pStyle w:val="TableText"/>
              <w:ind w:left="145"/>
              <w:spacing w:before="97" w:line="236" w:lineRule="auto"/>
              <w:rPr>
                <w:sz w:val="17"/>
                <w:szCs w:val="17"/>
              </w:rPr>
            </w:pPr>
            <w:r>
              <w:rPr>
                <w:sz w:val="17"/>
                <w:szCs w:val="17"/>
                <w:spacing w:val="-1"/>
              </w:rPr>
              <w:t>300≤X&lt;1000</w:t>
            </w:r>
          </w:p>
        </w:tc>
        <w:tc>
          <w:tcPr>
            <w:tcW w:w="1078" w:type="dxa"/>
            <w:vAlign w:val="top"/>
          </w:tcPr>
          <w:p>
            <w:pPr>
              <w:pStyle w:val="TableText"/>
              <w:ind w:left="107"/>
              <w:spacing w:before="97" w:line="236" w:lineRule="auto"/>
              <w:rPr>
                <w:sz w:val="17"/>
                <w:szCs w:val="17"/>
              </w:rPr>
            </w:pPr>
            <w:r>
              <w:rPr>
                <w:sz w:val="17"/>
                <w:szCs w:val="17"/>
                <w:spacing w:val="-2"/>
              </w:rPr>
              <w:t>100≤X&lt;300</w:t>
            </w:r>
          </w:p>
        </w:tc>
        <w:tc>
          <w:tcPr>
            <w:tcW w:w="654" w:type="dxa"/>
            <w:vAlign w:val="top"/>
          </w:tcPr>
          <w:p>
            <w:pPr>
              <w:pStyle w:val="TableText"/>
              <w:ind w:left="19"/>
              <w:spacing w:before="99" w:line="238" w:lineRule="auto"/>
              <w:rPr>
                <w:sz w:val="17"/>
                <w:szCs w:val="17"/>
              </w:rPr>
            </w:pPr>
            <w:r>
              <w:rPr>
                <w:sz w:val="17"/>
                <w:szCs w:val="17"/>
                <w:spacing w:val="-1"/>
              </w:rPr>
              <w:t>X&lt;100</w:t>
            </w:r>
          </w:p>
        </w:tc>
      </w:tr>
      <w:tr>
        <w:trPr>
          <w:trHeight w:val="339" w:hRule="atLeast"/>
        </w:trPr>
        <w:tc>
          <w:tcPr>
            <w:tcW w:w="1133" w:type="dxa"/>
            <w:vAlign w:val="top"/>
            <w:vMerge w:val="continue"/>
            <w:tcBorders>
              <w:top w:val="nil"/>
            </w:tcBorders>
          </w:tcPr>
          <w:p>
            <w:pPr>
              <w:rPr>
                <w:rFonts w:ascii="Arial"/>
                <w:sz w:val="21"/>
              </w:rPr>
            </w:pPr>
            <w:r/>
          </w:p>
        </w:tc>
        <w:tc>
          <w:tcPr>
            <w:tcW w:w="909" w:type="dxa"/>
            <w:vAlign w:val="top"/>
          </w:tcPr>
          <w:p>
            <w:pPr>
              <w:pStyle w:val="TableText"/>
              <w:spacing w:before="94" w:line="219" w:lineRule="auto"/>
              <w:jc w:val="right"/>
              <w:rPr>
                <w:sz w:val="17"/>
                <w:szCs w:val="17"/>
              </w:rPr>
            </w:pPr>
            <w:r>
              <w:rPr>
                <w:sz w:val="17"/>
                <w:szCs w:val="17"/>
                <w:spacing w:val="-7"/>
              </w:rPr>
              <w:t>营业收入(Y)</w:t>
            </w:r>
          </w:p>
        </w:tc>
        <w:tc>
          <w:tcPr>
            <w:tcW w:w="389" w:type="dxa"/>
            <w:vAlign w:val="top"/>
          </w:tcPr>
          <w:p>
            <w:pPr>
              <w:pStyle w:val="TableText"/>
              <w:ind w:left="13"/>
              <w:spacing w:before="94" w:line="220" w:lineRule="auto"/>
              <w:rPr>
                <w:sz w:val="17"/>
                <w:szCs w:val="17"/>
              </w:rPr>
            </w:pPr>
            <w:r>
              <w:rPr>
                <w:sz w:val="17"/>
                <w:szCs w:val="17"/>
                <w:spacing w:val="-3"/>
              </w:rPr>
              <w:t>万元</w:t>
            </w:r>
          </w:p>
        </w:tc>
        <w:tc>
          <w:tcPr>
            <w:tcW w:w="819" w:type="dxa"/>
            <w:vAlign w:val="top"/>
          </w:tcPr>
          <w:p>
            <w:pPr>
              <w:pStyle w:val="TableText"/>
              <w:ind w:left="14"/>
              <w:spacing w:before="110" w:line="237" w:lineRule="auto"/>
              <w:rPr>
                <w:sz w:val="17"/>
                <w:szCs w:val="17"/>
              </w:rPr>
            </w:pPr>
            <w:r>
              <w:rPr>
                <w:sz w:val="17"/>
                <w:szCs w:val="17"/>
                <w:spacing w:val="-1"/>
              </w:rPr>
              <w:t>Y≥5000</w:t>
            </w:r>
          </w:p>
        </w:tc>
        <w:tc>
          <w:tcPr>
            <w:tcW w:w="1248" w:type="dxa"/>
            <w:vAlign w:val="top"/>
          </w:tcPr>
          <w:p>
            <w:pPr>
              <w:pStyle w:val="TableText"/>
              <w:ind w:left="145"/>
              <w:spacing w:before="110" w:line="237" w:lineRule="auto"/>
              <w:rPr>
                <w:sz w:val="17"/>
                <w:szCs w:val="17"/>
              </w:rPr>
            </w:pPr>
            <w:r>
              <w:rPr>
                <w:sz w:val="17"/>
                <w:szCs w:val="17"/>
                <w:spacing w:val="-2"/>
              </w:rPr>
              <w:t>1000=Y&lt;5000</w:t>
            </w:r>
          </w:p>
        </w:tc>
        <w:tc>
          <w:tcPr>
            <w:tcW w:w="1078" w:type="dxa"/>
            <w:vAlign w:val="top"/>
          </w:tcPr>
          <w:p>
            <w:pPr>
              <w:pStyle w:val="TableText"/>
              <w:ind w:left="67"/>
              <w:spacing w:before="109" w:line="236" w:lineRule="auto"/>
              <w:rPr>
                <w:sz w:val="17"/>
                <w:szCs w:val="17"/>
              </w:rPr>
            </w:pPr>
            <w:r>
              <w:rPr>
                <w:sz w:val="17"/>
                <w:szCs w:val="17"/>
                <w:spacing w:val="-1"/>
              </w:rPr>
              <w:t>500≤Y&lt;1000</w:t>
            </w:r>
          </w:p>
        </w:tc>
        <w:tc>
          <w:tcPr>
            <w:tcW w:w="654" w:type="dxa"/>
            <w:vAlign w:val="top"/>
          </w:tcPr>
          <w:p>
            <w:pPr>
              <w:pStyle w:val="TableText"/>
              <w:ind w:left="19"/>
              <w:spacing w:before="110" w:line="237" w:lineRule="auto"/>
              <w:rPr>
                <w:sz w:val="17"/>
                <w:szCs w:val="17"/>
              </w:rPr>
            </w:pPr>
            <w:r>
              <w:rPr>
                <w:sz w:val="17"/>
                <w:szCs w:val="17"/>
                <w:spacing w:val="-1"/>
              </w:rPr>
              <w:t>Y&lt;500</w:t>
            </w:r>
          </w:p>
        </w:tc>
      </w:tr>
      <w:tr>
        <w:trPr>
          <w:trHeight w:val="319" w:hRule="atLeast"/>
        </w:trPr>
        <w:tc>
          <w:tcPr>
            <w:tcW w:w="1133" w:type="dxa"/>
            <w:vAlign w:val="top"/>
            <w:vMerge w:val="restart"/>
            <w:tcBorders>
              <w:bottom w:val="nil"/>
            </w:tcBorders>
          </w:tcPr>
          <w:p>
            <w:pPr>
              <w:pStyle w:val="TableText"/>
              <w:ind w:left="15"/>
              <w:spacing w:before="174" w:line="236" w:lineRule="auto"/>
              <w:rPr>
                <w:sz w:val="17"/>
                <w:szCs w:val="17"/>
              </w:rPr>
            </w:pPr>
            <w:r>
              <w:rPr>
                <w:sz w:val="17"/>
                <w:szCs w:val="17"/>
                <w:spacing w:val="-13"/>
              </w:rPr>
              <w:t>租赁和</w:t>
            </w:r>
            <w:r>
              <w:rPr>
                <w:sz w:val="17"/>
                <w:szCs w:val="17"/>
                <w:spacing w:val="-12"/>
              </w:rPr>
              <w:t>商务服</w:t>
            </w:r>
            <w:r>
              <w:rPr>
                <w:sz w:val="17"/>
                <w:szCs w:val="17"/>
                <w:spacing w:val="-9"/>
              </w:rPr>
              <w:t>务</w:t>
            </w:r>
            <w:r>
              <w:rPr>
                <w:sz w:val="17"/>
                <w:szCs w:val="17"/>
              </w:rPr>
              <w:t xml:space="preserve"> </w:t>
            </w:r>
            <w:r>
              <w:rPr>
                <w:sz w:val="17"/>
                <w:szCs w:val="17"/>
              </w:rPr>
              <w:t>业</w:t>
            </w:r>
          </w:p>
        </w:tc>
        <w:tc>
          <w:tcPr>
            <w:tcW w:w="909" w:type="dxa"/>
            <w:vAlign w:val="top"/>
          </w:tcPr>
          <w:p>
            <w:pPr>
              <w:pStyle w:val="TableText"/>
              <w:spacing w:before="85" w:line="220" w:lineRule="auto"/>
              <w:jc w:val="right"/>
              <w:rPr>
                <w:sz w:val="17"/>
                <w:szCs w:val="17"/>
              </w:rPr>
            </w:pPr>
            <w:r>
              <w:rPr>
                <w:sz w:val="17"/>
                <w:szCs w:val="17"/>
                <w:spacing w:val="-7"/>
              </w:rPr>
              <w:t>从业人员(X)</w:t>
            </w:r>
          </w:p>
        </w:tc>
        <w:tc>
          <w:tcPr>
            <w:tcW w:w="389" w:type="dxa"/>
            <w:vAlign w:val="top"/>
          </w:tcPr>
          <w:p>
            <w:pPr>
              <w:pStyle w:val="TableText"/>
              <w:ind w:left="103"/>
              <w:spacing w:before="87" w:line="222" w:lineRule="auto"/>
              <w:rPr>
                <w:sz w:val="17"/>
                <w:szCs w:val="17"/>
              </w:rPr>
            </w:pPr>
            <w:r>
              <w:rPr>
                <w:sz w:val="17"/>
                <w:szCs w:val="17"/>
              </w:rPr>
              <w:t>人</w:t>
            </w:r>
          </w:p>
        </w:tc>
        <w:tc>
          <w:tcPr>
            <w:tcW w:w="819" w:type="dxa"/>
            <w:vAlign w:val="top"/>
          </w:tcPr>
          <w:p>
            <w:pPr>
              <w:pStyle w:val="TableText"/>
              <w:ind w:left="14"/>
              <w:spacing w:before="101" w:line="225" w:lineRule="auto"/>
              <w:rPr>
                <w:sz w:val="17"/>
                <w:szCs w:val="17"/>
              </w:rPr>
            </w:pPr>
            <w:r>
              <w:rPr>
                <w:sz w:val="17"/>
                <w:szCs w:val="17"/>
                <w:spacing w:val="-5"/>
              </w:rPr>
              <w:t>X</w:t>
            </w:r>
            <w:r>
              <w:rPr>
                <w:sz w:val="17"/>
                <w:szCs w:val="17"/>
                <w:spacing w:val="24"/>
              </w:rPr>
              <w:t xml:space="preserve"> </w:t>
            </w:r>
            <w:r>
              <w:rPr>
                <w:sz w:val="17"/>
                <w:szCs w:val="17"/>
                <w:spacing w:val="-5"/>
              </w:rPr>
              <w:t>≥300</w:t>
            </w:r>
          </w:p>
        </w:tc>
        <w:tc>
          <w:tcPr>
            <w:tcW w:w="1248" w:type="dxa"/>
            <w:vAlign w:val="top"/>
          </w:tcPr>
          <w:p>
            <w:pPr>
              <w:pStyle w:val="TableText"/>
              <w:ind w:left="195"/>
              <w:spacing w:before="101" w:line="225" w:lineRule="auto"/>
              <w:rPr>
                <w:sz w:val="17"/>
                <w:szCs w:val="17"/>
              </w:rPr>
            </w:pPr>
            <w:r>
              <w:rPr>
                <w:sz w:val="17"/>
                <w:szCs w:val="17"/>
                <w:spacing w:val="-2"/>
              </w:rPr>
              <w:t>100≈X&lt;300</w:t>
            </w:r>
          </w:p>
        </w:tc>
        <w:tc>
          <w:tcPr>
            <w:tcW w:w="1078" w:type="dxa"/>
            <w:vAlign w:val="top"/>
          </w:tcPr>
          <w:p>
            <w:pPr>
              <w:pStyle w:val="TableText"/>
              <w:ind w:left="147"/>
              <w:spacing w:before="99" w:line="227" w:lineRule="auto"/>
              <w:rPr>
                <w:sz w:val="17"/>
                <w:szCs w:val="17"/>
              </w:rPr>
            </w:pPr>
            <w:r>
              <w:rPr>
                <w:sz w:val="17"/>
                <w:szCs w:val="17"/>
                <w:spacing w:val="-3"/>
              </w:rPr>
              <w:t>10≤X&lt;100</w:t>
            </w:r>
          </w:p>
        </w:tc>
        <w:tc>
          <w:tcPr>
            <w:tcW w:w="654" w:type="dxa"/>
            <w:vAlign w:val="top"/>
          </w:tcPr>
          <w:p>
            <w:pPr>
              <w:pStyle w:val="TableText"/>
              <w:ind w:left="19"/>
              <w:spacing w:before="101" w:line="225" w:lineRule="auto"/>
              <w:rPr>
                <w:sz w:val="17"/>
                <w:szCs w:val="17"/>
              </w:rPr>
            </w:pPr>
            <w:r>
              <w:rPr>
                <w:sz w:val="17"/>
                <w:szCs w:val="17"/>
                <w:spacing w:val="-1"/>
              </w:rPr>
              <w:t>X&lt;10</w:t>
            </w:r>
          </w:p>
        </w:tc>
      </w:tr>
      <w:tr>
        <w:trPr>
          <w:trHeight w:val="329" w:hRule="atLeast"/>
        </w:trPr>
        <w:tc>
          <w:tcPr>
            <w:tcW w:w="1133" w:type="dxa"/>
            <w:vAlign w:val="top"/>
            <w:vMerge w:val="continue"/>
            <w:tcBorders>
              <w:top w:val="nil"/>
            </w:tcBorders>
          </w:tcPr>
          <w:p>
            <w:pPr>
              <w:rPr>
                <w:rFonts w:ascii="Arial"/>
                <w:sz w:val="21"/>
              </w:rPr>
            </w:pPr>
            <w:r/>
          </w:p>
        </w:tc>
        <w:tc>
          <w:tcPr>
            <w:tcW w:w="909" w:type="dxa"/>
            <w:vAlign w:val="top"/>
          </w:tcPr>
          <w:p>
            <w:pPr>
              <w:pStyle w:val="TableText"/>
              <w:ind w:left="22"/>
              <w:spacing w:before="86" w:line="219" w:lineRule="auto"/>
              <w:rPr>
                <w:sz w:val="17"/>
                <w:szCs w:val="17"/>
              </w:rPr>
            </w:pPr>
            <w:r>
              <w:rPr>
                <w:sz w:val="17"/>
                <w:szCs w:val="17"/>
                <w:spacing w:val="1"/>
              </w:rPr>
              <w:t>资产总额(Z</w:t>
            </w:r>
          </w:p>
        </w:tc>
        <w:tc>
          <w:tcPr>
            <w:tcW w:w="389" w:type="dxa"/>
            <w:vAlign w:val="top"/>
          </w:tcPr>
          <w:p>
            <w:pPr>
              <w:pStyle w:val="TableText"/>
              <w:ind w:left="13"/>
              <w:spacing w:before="86" w:line="220" w:lineRule="auto"/>
              <w:rPr>
                <w:sz w:val="17"/>
                <w:szCs w:val="17"/>
              </w:rPr>
            </w:pPr>
            <w:r>
              <w:rPr>
                <w:sz w:val="17"/>
                <w:szCs w:val="17"/>
                <w:spacing w:val="-3"/>
              </w:rPr>
              <w:t>万元</w:t>
            </w:r>
          </w:p>
        </w:tc>
        <w:tc>
          <w:tcPr>
            <w:tcW w:w="819" w:type="dxa"/>
            <w:vAlign w:val="top"/>
          </w:tcPr>
          <w:p>
            <w:pPr>
              <w:pStyle w:val="TableText"/>
              <w:ind w:left="14"/>
              <w:spacing w:before="179" w:line="140" w:lineRule="exact"/>
              <w:rPr>
                <w:sz w:val="17"/>
                <w:szCs w:val="17"/>
              </w:rPr>
            </w:pPr>
            <w:r>
              <w:rPr>
                <w:sz w:val="17"/>
                <w:szCs w:val="17"/>
                <w:spacing w:val="-1"/>
                <w:position w:val="-2"/>
              </w:rPr>
              <w:t>Z =120000</w:t>
            </w:r>
          </w:p>
        </w:tc>
        <w:tc>
          <w:tcPr>
            <w:tcW w:w="1248" w:type="dxa"/>
            <w:vAlign w:val="top"/>
          </w:tcPr>
          <w:p>
            <w:pPr>
              <w:pStyle w:val="TableText"/>
              <w:ind w:left="25"/>
              <w:spacing w:before="151" w:line="182" w:lineRule="auto"/>
              <w:rPr>
                <w:sz w:val="17"/>
                <w:szCs w:val="17"/>
              </w:rPr>
            </w:pPr>
            <w:r>
              <w:rPr>
                <w:sz w:val="17"/>
                <w:szCs w:val="17"/>
                <w:spacing w:val="-1"/>
              </w:rPr>
              <w:t>8000≤Z&lt;120000</w:t>
            </w:r>
          </w:p>
        </w:tc>
        <w:tc>
          <w:tcPr>
            <w:tcW w:w="1078" w:type="dxa"/>
            <w:vAlign w:val="top"/>
          </w:tcPr>
          <w:p>
            <w:pPr>
              <w:pStyle w:val="TableText"/>
              <w:ind w:left="67"/>
              <w:spacing w:before="151" w:line="182" w:lineRule="auto"/>
              <w:rPr>
                <w:sz w:val="17"/>
                <w:szCs w:val="17"/>
              </w:rPr>
            </w:pPr>
            <w:r>
              <w:rPr>
                <w:sz w:val="17"/>
                <w:szCs w:val="17"/>
                <w:spacing w:val="-2"/>
              </w:rPr>
              <w:t>100≤Z&lt;8000</w:t>
            </w:r>
          </w:p>
        </w:tc>
        <w:tc>
          <w:tcPr>
            <w:tcW w:w="654" w:type="dxa"/>
            <w:vAlign w:val="top"/>
          </w:tcPr>
          <w:p>
            <w:pPr>
              <w:pStyle w:val="TableText"/>
              <w:ind w:left="19"/>
              <w:spacing w:before="153" w:line="180" w:lineRule="auto"/>
              <w:rPr>
                <w:sz w:val="17"/>
                <w:szCs w:val="17"/>
              </w:rPr>
            </w:pPr>
            <w:r>
              <w:rPr>
                <w:sz w:val="17"/>
                <w:szCs w:val="17"/>
                <w:spacing w:val="-1"/>
              </w:rPr>
              <w:t>Z&lt;100</w:t>
            </w:r>
          </w:p>
        </w:tc>
      </w:tr>
      <w:tr>
        <w:trPr>
          <w:trHeight w:val="344" w:hRule="atLeast"/>
        </w:trPr>
        <w:tc>
          <w:tcPr>
            <w:tcW w:w="1133" w:type="dxa"/>
            <w:vAlign w:val="top"/>
          </w:tcPr>
          <w:p>
            <w:pPr>
              <w:pStyle w:val="TableText"/>
              <w:spacing w:before="97" w:line="219" w:lineRule="auto"/>
              <w:jc w:val="right"/>
              <w:rPr>
                <w:sz w:val="17"/>
                <w:szCs w:val="17"/>
              </w:rPr>
            </w:pPr>
            <w:r>
              <w:rPr>
                <w:sz w:val="17"/>
                <w:szCs w:val="17"/>
                <w:spacing w:val="-19"/>
                <w:w w:val="97"/>
              </w:rPr>
              <w:t>其他未</w:t>
            </w:r>
            <w:r>
              <w:rPr>
                <w:sz w:val="17"/>
                <w:szCs w:val="17"/>
                <w:spacing w:val="-18"/>
                <w:w w:val="97"/>
              </w:rPr>
              <w:t>列明行业</w:t>
            </w:r>
            <w:r>
              <w:rPr>
                <w:sz w:val="17"/>
                <w:szCs w:val="17"/>
                <w:spacing w:val="-7"/>
                <w:w w:val="97"/>
              </w:rPr>
              <w:t>*</w:t>
            </w:r>
          </w:p>
        </w:tc>
        <w:tc>
          <w:tcPr>
            <w:tcW w:w="909" w:type="dxa"/>
            <w:vAlign w:val="top"/>
          </w:tcPr>
          <w:p>
            <w:pPr>
              <w:pStyle w:val="TableText"/>
              <w:ind w:left="22"/>
              <w:spacing w:before="97" w:line="220" w:lineRule="auto"/>
              <w:rPr>
                <w:sz w:val="17"/>
                <w:szCs w:val="17"/>
              </w:rPr>
            </w:pPr>
            <w:r>
              <w:rPr>
                <w:sz w:val="17"/>
                <w:szCs w:val="17"/>
                <w:spacing w:val="-2"/>
              </w:rPr>
              <w:t>从业人员(X</w:t>
            </w:r>
          </w:p>
        </w:tc>
        <w:tc>
          <w:tcPr>
            <w:tcW w:w="389" w:type="dxa"/>
            <w:vAlign w:val="top"/>
          </w:tcPr>
          <w:p>
            <w:pPr>
              <w:pStyle w:val="TableText"/>
              <w:ind w:left="103"/>
              <w:spacing w:before="99" w:line="222" w:lineRule="auto"/>
              <w:rPr>
                <w:sz w:val="17"/>
                <w:szCs w:val="17"/>
              </w:rPr>
            </w:pPr>
            <w:r>
              <w:rPr>
                <w:sz w:val="17"/>
                <w:szCs w:val="17"/>
              </w:rPr>
              <w:t>人</w:t>
            </w:r>
          </w:p>
        </w:tc>
        <w:tc>
          <w:tcPr>
            <w:tcW w:w="819" w:type="dxa"/>
            <w:vAlign w:val="top"/>
          </w:tcPr>
          <w:p>
            <w:pPr>
              <w:pStyle w:val="TableText"/>
              <w:ind w:left="14"/>
              <w:spacing w:before="113" w:line="237" w:lineRule="auto"/>
              <w:rPr>
                <w:sz w:val="17"/>
                <w:szCs w:val="17"/>
              </w:rPr>
            </w:pPr>
            <w:r>
              <w:rPr>
                <w:sz w:val="17"/>
                <w:szCs w:val="17"/>
                <w:spacing w:val="-5"/>
              </w:rPr>
              <w:t>X</w:t>
            </w:r>
            <w:r>
              <w:rPr>
                <w:sz w:val="17"/>
                <w:szCs w:val="17"/>
                <w:spacing w:val="24"/>
              </w:rPr>
              <w:t xml:space="preserve"> </w:t>
            </w:r>
            <w:r>
              <w:rPr>
                <w:sz w:val="17"/>
                <w:szCs w:val="17"/>
                <w:spacing w:val="-5"/>
              </w:rPr>
              <w:t>≥300</w:t>
            </w:r>
          </w:p>
        </w:tc>
        <w:tc>
          <w:tcPr>
            <w:tcW w:w="1248" w:type="dxa"/>
            <w:vAlign w:val="top"/>
          </w:tcPr>
          <w:p>
            <w:pPr>
              <w:pStyle w:val="TableText"/>
              <w:ind w:left="235"/>
              <w:spacing w:before="113" w:line="239" w:lineRule="auto"/>
              <w:rPr>
                <w:sz w:val="17"/>
                <w:szCs w:val="17"/>
              </w:rPr>
            </w:pPr>
            <w:r>
              <w:rPr>
                <w:sz w:val="17"/>
                <w:szCs w:val="17"/>
                <w:spacing w:val="-2"/>
              </w:rPr>
              <w:t>100=X&lt;300</w:t>
            </w:r>
          </w:p>
        </w:tc>
        <w:tc>
          <w:tcPr>
            <w:tcW w:w="1078" w:type="dxa"/>
            <w:vAlign w:val="top"/>
          </w:tcPr>
          <w:p>
            <w:pPr>
              <w:pStyle w:val="TableText"/>
              <w:ind w:left="147"/>
              <w:spacing w:before="111" w:line="236" w:lineRule="auto"/>
              <w:rPr>
                <w:sz w:val="17"/>
                <w:szCs w:val="17"/>
              </w:rPr>
            </w:pPr>
            <w:r>
              <w:rPr>
                <w:sz w:val="17"/>
                <w:szCs w:val="17"/>
                <w:spacing w:val="-3"/>
              </w:rPr>
              <w:t>10≤X&lt;100</w:t>
            </w:r>
          </w:p>
        </w:tc>
        <w:tc>
          <w:tcPr>
            <w:tcW w:w="654" w:type="dxa"/>
            <w:vAlign w:val="top"/>
          </w:tcPr>
          <w:p>
            <w:pPr>
              <w:pStyle w:val="TableText"/>
              <w:ind w:left="19"/>
              <w:spacing w:before="113" w:line="239" w:lineRule="auto"/>
              <w:rPr>
                <w:sz w:val="17"/>
                <w:szCs w:val="17"/>
              </w:rPr>
            </w:pPr>
            <w:r>
              <w:rPr>
                <w:sz w:val="17"/>
                <w:szCs w:val="17"/>
                <w:spacing w:val="-1"/>
              </w:rPr>
              <w:t>X&lt;10</w:t>
            </w:r>
          </w:p>
        </w:tc>
      </w:tr>
    </w:tbl>
    <w:p>
      <w:pPr>
        <w:spacing w:before="51" w:line="219" w:lineRule="auto"/>
        <w:rPr>
          <w:rFonts w:ascii="SimSun" w:hAnsi="SimSun" w:eastAsia="SimSun" w:cs="SimSun"/>
          <w:sz w:val="16"/>
          <w:szCs w:val="16"/>
        </w:rPr>
      </w:pPr>
      <w:r>
        <w:rPr>
          <w:rFonts w:ascii="SimSun" w:hAnsi="SimSun" w:eastAsia="SimSun" w:cs="SimSun"/>
          <w:sz w:val="16"/>
          <w:szCs w:val="16"/>
          <w:spacing w:val="-10"/>
        </w:rPr>
        <w:t>说明：</w:t>
      </w:r>
    </w:p>
    <w:p>
      <w:pPr>
        <w:ind w:right="18" w:firstLine="299"/>
        <w:spacing w:before="30" w:line="243" w:lineRule="auto"/>
        <w:rPr>
          <w:rFonts w:ascii="SimSun" w:hAnsi="SimSun" w:eastAsia="SimSun" w:cs="SimSun"/>
          <w:sz w:val="16"/>
          <w:szCs w:val="16"/>
        </w:rPr>
      </w:pPr>
      <w:r>
        <w:rPr>
          <w:rFonts w:ascii="SimSun" w:hAnsi="SimSun" w:eastAsia="SimSun" w:cs="SimSun"/>
          <w:sz w:val="16"/>
          <w:szCs w:val="16"/>
          <w:spacing w:val="-8"/>
        </w:rPr>
        <w:t>1.大型、中型和小型企业须同时满足所列指标的下限，否则下划一档；微型企业只须满足</w:t>
      </w:r>
      <w:r>
        <w:rPr>
          <w:rFonts w:ascii="SimSun" w:hAnsi="SimSun" w:eastAsia="SimSun" w:cs="SimSun"/>
          <w:sz w:val="16"/>
          <w:szCs w:val="16"/>
          <w:spacing w:val="5"/>
        </w:rPr>
        <w:t xml:space="preserve"> </w:t>
      </w:r>
      <w:r>
        <w:rPr>
          <w:rFonts w:ascii="SimSun" w:hAnsi="SimSun" w:eastAsia="SimSun" w:cs="SimSun"/>
          <w:sz w:val="16"/>
          <w:szCs w:val="16"/>
          <w:spacing w:val="-12"/>
        </w:rPr>
        <w:t>所列指标中的一项即可。</w:t>
      </w:r>
    </w:p>
    <w:p>
      <w:pPr>
        <w:ind w:right="10" w:firstLine="299"/>
        <w:spacing w:before="15" w:line="250" w:lineRule="auto"/>
        <w:rPr>
          <w:rFonts w:ascii="SimSun" w:hAnsi="SimSun" w:eastAsia="SimSun" w:cs="SimSun"/>
          <w:sz w:val="16"/>
          <w:szCs w:val="16"/>
        </w:rPr>
      </w:pPr>
      <w:r>
        <w:rPr>
          <w:rFonts w:ascii="SimSun" w:hAnsi="SimSun" w:eastAsia="SimSun" w:cs="SimSun"/>
          <w:sz w:val="16"/>
          <w:szCs w:val="16"/>
          <w:spacing w:val="-6"/>
        </w:rPr>
        <w:t>2.附表中各行业的范围以《国民经济行业分类》</w:t>
      </w:r>
      <w:r>
        <w:rPr>
          <w:rFonts w:ascii="SimSun" w:hAnsi="SimSun" w:eastAsia="SimSun" w:cs="SimSun"/>
          <w:sz w:val="16"/>
          <w:szCs w:val="16"/>
          <w:spacing w:val="20"/>
        </w:rPr>
        <w:t xml:space="preserve"> </w:t>
      </w:r>
      <w:r>
        <w:rPr>
          <w:rFonts w:ascii="SimSun" w:hAnsi="SimSun" w:eastAsia="SimSun" w:cs="SimSun"/>
          <w:sz w:val="16"/>
          <w:szCs w:val="16"/>
          <w:spacing w:val="-6"/>
        </w:rPr>
        <w:t>(GB/T4</w:t>
      </w:r>
      <w:r>
        <w:rPr>
          <w:rFonts w:ascii="SimSun" w:hAnsi="SimSun" w:eastAsia="SimSun" w:cs="SimSun"/>
          <w:sz w:val="16"/>
          <w:szCs w:val="16"/>
          <w:spacing w:val="-7"/>
        </w:rPr>
        <w:t>754—2017)</w:t>
      </w:r>
      <w:r>
        <w:rPr>
          <w:rFonts w:ascii="SimSun" w:hAnsi="SimSun" w:eastAsia="SimSun" w:cs="SimSun"/>
          <w:sz w:val="16"/>
          <w:szCs w:val="16"/>
          <w:spacing w:val="34"/>
          <w:w w:val="101"/>
        </w:rPr>
        <w:t xml:space="preserve"> </w:t>
      </w:r>
      <w:r>
        <w:rPr>
          <w:rFonts w:ascii="SimSun" w:hAnsi="SimSun" w:eastAsia="SimSun" w:cs="SimSun"/>
          <w:sz w:val="16"/>
          <w:szCs w:val="16"/>
          <w:spacing w:val="-7"/>
        </w:rPr>
        <w:t>为准。带*的项为行</w:t>
      </w:r>
      <w:r>
        <w:rPr>
          <w:rFonts w:ascii="SimSun" w:hAnsi="SimSun" w:eastAsia="SimSun" w:cs="SimSun"/>
          <w:sz w:val="16"/>
          <w:szCs w:val="16"/>
        </w:rPr>
        <w:t xml:space="preserve"> </w:t>
      </w:r>
      <w:r>
        <w:rPr>
          <w:rFonts w:ascii="SimSun" w:hAnsi="SimSun" w:eastAsia="SimSun" w:cs="SimSun"/>
          <w:sz w:val="16"/>
          <w:szCs w:val="16"/>
          <w:spacing w:val="-8"/>
        </w:rPr>
        <w:t>业组合类别，其中，工业包括采矿业，制造业，电力、热力、燃气及水生产</w:t>
      </w:r>
      <w:r>
        <w:rPr>
          <w:rFonts w:ascii="SimSun" w:hAnsi="SimSun" w:eastAsia="SimSun" w:cs="SimSun"/>
          <w:sz w:val="16"/>
          <w:szCs w:val="16"/>
          <w:spacing w:val="-9"/>
        </w:rPr>
        <w:t>和供应业；交通运</w:t>
      </w:r>
      <w:r>
        <w:rPr>
          <w:rFonts w:ascii="SimSun" w:hAnsi="SimSun" w:eastAsia="SimSun" w:cs="SimSun"/>
          <w:sz w:val="16"/>
          <w:szCs w:val="16"/>
        </w:rPr>
        <w:t xml:space="preserve"> </w:t>
      </w:r>
      <w:r>
        <w:rPr>
          <w:rFonts w:ascii="SimSun" w:hAnsi="SimSun" w:eastAsia="SimSun" w:cs="SimSun"/>
          <w:sz w:val="16"/>
          <w:szCs w:val="16"/>
          <w:spacing w:val="-8"/>
        </w:rPr>
        <w:t>输业包括道路运输业，水上运输业，航空运输业，管道运输业，多式联运和运输代理业、装卸</w:t>
      </w:r>
      <w:r>
        <w:rPr>
          <w:rFonts w:ascii="SimSun" w:hAnsi="SimSun" w:eastAsia="SimSun" w:cs="SimSun"/>
          <w:sz w:val="16"/>
          <w:szCs w:val="16"/>
          <w:spacing w:val="1"/>
        </w:rPr>
        <w:t xml:space="preserve"> </w:t>
      </w:r>
      <w:r>
        <w:rPr>
          <w:rFonts w:ascii="SimSun" w:hAnsi="SimSun" w:eastAsia="SimSun" w:cs="SimSun"/>
          <w:sz w:val="16"/>
          <w:szCs w:val="16"/>
          <w:spacing w:val="-8"/>
        </w:rPr>
        <w:t>搬运，不包括铁路运输业；仓储业包括通用仓储，低温仓储，危险品仓储，谷物、棉</w:t>
      </w:r>
      <w:r>
        <w:rPr>
          <w:rFonts w:ascii="SimSun" w:hAnsi="SimSun" w:eastAsia="SimSun" w:cs="SimSun"/>
          <w:sz w:val="16"/>
          <w:szCs w:val="16"/>
          <w:spacing w:val="-9"/>
        </w:rPr>
        <w:t>花等农产</w:t>
      </w:r>
      <w:r>
        <w:rPr>
          <w:rFonts w:ascii="SimSun" w:hAnsi="SimSun" w:eastAsia="SimSun" w:cs="SimSun"/>
          <w:sz w:val="16"/>
          <w:szCs w:val="16"/>
        </w:rPr>
        <w:t xml:space="preserve"> </w:t>
      </w:r>
      <w:r>
        <w:rPr>
          <w:rFonts w:ascii="SimSun" w:hAnsi="SimSun" w:eastAsia="SimSun" w:cs="SimSun"/>
          <w:sz w:val="16"/>
          <w:szCs w:val="16"/>
          <w:spacing w:val="-8"/>
        </w:rPr>
        <w:t>品仓储，中药材仓储和其他仓储业；信息传输业包括电信、广播电视和卫星传输服务，互联网</w:t>
      </w:r>
      <w:r>
        <w:rPr>
          <w:rFonts w:ascii="SimSun" w:hAnsi="SimSun" w:eastAsia="SimSun" w:cs="SimSun"/>
          <w:sz w:val="16"/>
          <w:szCs w:val="16"/>
          <w:spacing w:val="1"/>
        </w:rPr>
        <w:t xml:space="preserve"> </w:t>
      </w:r>
      <w:r>
        <w:rPr>
          <w:rFonts w:ascii="SimSun" w:hAnsi="SimSun" w:eastAsia="SimSun" w:cs="SimSun"/>
          <w:sz w:val="16"/>
          <w:szCs w:val="16"/>
          <w:spacing w:val="-8"/>
        </w:rPr>
        <w:t>和相关服务；其他未列明行业包括科学研究和技术服务业，水利、环境和公共设施</w:t>
      </w:r>
      <w:r>
        <w:rPr>
          <w:rFonts w:ascii="SimSun" w:hAnsi="SimSun" w:eastAsia="SimSun" w:cs="SimSun"/>
          <w:sz w:val="16"/>
          <w:szCs w:val="16"/>
          <w:spacing w:val="-9"/>
        </w:rPr>
        <w:t>管理业，居</w:t>
      </w:r>
      <w:r>
        <w:rPr>
          <w:rFonts w:ascii="SimSun" w:hAnsi="SimSun" w:eastAsia="SimSun" w:cs="SimSun"/>
          <w:sz w:val="16"/>
          <w:szCs w:val="16"/>
        </w:rPr>
        <w:t xml:space="preserve"> </w:t>
      </w:r>
      <w:r>
        <w:rPr>
          <w:rFonts w:ascii="SimSun" w:hAnsi="SimSun" w:eastAsia="SimSun" w:cs="SimSun"/>
          <w:sz w:val="16"/>
          <w:szCs w:val="16"/>
          <w:spacing w:val="-8"/>
        </w:rPr>
        <w:t>民服务、修理和其他服务业，社会工作，文化、体育和娱乐业，以及房地产中介服务，</w:t>
      </w:r>
      <w:r>
        <w:rPr>
          <w:rFonts w:ascii="SimSun" w:hAnsi="SimSun" w:eastAsia="SimSun" w:cs="SimSun"/>
          <w:sz w:val="16"/>
          <w:szCs w:val="16"/>
          <w:spacing w:val="-9"/>
        </w:rPr>
        <w:t>其他房</w:t>
      </w:r>
      <w:r>
        <w:rPr>
          <w:rFonts w:ascii="SimSun" w:hAnsi="SimSun" w:eastAsia="SimSun" w:cs="SimSun"/>
          <w:sz w:val="16"/>
          <w:szCs w:val="16"/>
        </w:rPr>
        <w:t xml:space="preserve"> </w:t>
      </w:r>
      <w:r>
        <w:rPr>
          <w:rFonts w:ascii="SimSun" w:hAnsi="SimSun" w:eastAsia="SimSun" w:cs="SimSun"/>
          <w:sz w:val="16"/>
          <w:szCs w:val="16"/>
          <w:spacing w:val="-12"/>
        </w:rPr>
        <w:t>地产业等，不包括自有房地产经营活动。</w:t>
      </w:r>
    </w:p>
    <w:p>
      <w:pPr>
        <w:ind w:right="16" w:firstLine="299"/>
        <w:spacing w:before="28" w:line="250" w:lineRule="auto"/>
        <w:rPr>
          <w:rFonts w:ascii="SimSun" w:hAnsi="SimSun" w:eastAsia="SimSun" w:cs="SimSun"/>
          <w:sz w:val="16"/>
          <w:szCs w:val="16"/>
        </w:rPr>
      </w:pPr>
      <w:r>
        <w:rPr>
          <w:rFonts w:ascii="SimSun" w:hAnsi="SimSun" w:eastAsia="SimSun" w:cs="SimSun"/>
          <w:sz w:val="16"/>
          <w:szCs w:val="16"/>
          <w:spacing w:val="-9"/>
        </w:rPr>
        <w:t>3.企业划分指标以现行统计制度为准。</w:t>
      </w:r>
      <w:r>
        <w:rPr>
          <w:rFonts w:ascii="SimSun" w:hAnsi="SimSun" w:eastAsia="SimSun" w:cs="SimSun"/>
          <w:sz w:val="16"/>
          <w:szCs w:val="16"/>
          <w:spacing w:val="54"/>
        </w:rPr>
        <w:t xml:space="preserve"> </w:t>
      </w:r>
      <w:r>
        <w:rPr>
          <w:rFonts w:ascii="SimSun" w:hAnsi="SimSun" w:eastAsia="SimSun" w:cs="SimSun"/>
          <w:sz w:val="16"/>
          <w:szCs w:val="16"/>
          <w:spacing w:val="-9"/>
        </w:rPr>
        <w:t>(1)从业人员，是指期末从业人员数，没有期末从</w:t>
      </w:r>
      <w:r>
        <w:rPr>
          <w:rFonts w:ascii="SimSun" w:hAnsi="SimSun" w:eastAsia="SimSun" w:cs="SimSun"/>
          <w:sz w:val="16"/>
          <w:szCs w:val="16"/>
        </w:rPr>
        <w:t xml:space="preserve"> </w:t>
      </w:r>
      <w:r>
        <w:rPr>
          <w:rFonts w:ascii="SimSun" w:hAnsi="SimSun" w:eastAsia="SimSun" w:cs="SimSun"/>
          <w:sz w:val="16"/>
          <w:szCs w:val="16"/>
          <w:spacing w:val="-6"/>
        </w:rPr>
        <w:t>业人员数的，采用全年平均人员数代替。(2)营业收入，工业、建筑业、限额以上批发和零售</w:t>
      </w:r>
      <w:r>
        <w:rPr>
          <w:rFonts w:ascii="SimSun" w:hAnsi="SimSun" w:eastAsia="SimSun" w:cs="SimSun"/>
          <w:sz w:val="16"/>
          <w:szCs w:val="16"/>
        </w:rPr>
        <w:t xml:space="preserve"> </w:t>
      </w:r>
      <w:r>
        <w:rPr>
          <w:rFonts w:ascii="SimSun" w:hAnsi="SimSun" w:eastAsia="SimSun" w:cs="SimSun"/>
          <w:sz w:val="16"/>
          <w:szCs w:val="16"/>
          <w:spacing w:val="-8"/>
        </w:rPr>
        <w:t>业、限额以上住宿和餐饮业以及其他设置主营业务收入指标的行业，采用主</w:t>
      </w:r>
      <w:r>
        <w:rPr>
          <w:rFonts w:ascii="SimSun" w:hAnsi="SimSun" w:eastAsia="SimSun" w:cs="SimSun"/>
          <w:sz w:val="16"/>
          <w:szCs w:val="16"/>
          <w:spacing w:val="-9"/>
        </w:rPr>
        <w:t>营业务收入；限额</w:t>
      </w:r>
      <w:r>
        <w:rPr>
          <w:rFonts w:ascii="SimSun" w:hAnsi="SimSun" w:eastAsia="SimSun" w:cs="SimSun"/>
          <w:sz w:val="16"/>
          <w:szCs w:val="16"/>
        </w:rPr>
        <w:t xml:space="preserve"> </w:t>
      </w:r>
      <w:r>
        <w:rPr>
          <w:rFonts w:ascii="SimSun" w:hAnsi="SimSun" w:eastAsia="SimSun" w:cs="SimSun"/>
          <w:sz w:val="16"/>
          <w:szCs w:val="16"/>
          <w:spacing w:val="-12"/>
        </w:rPr>
        <w:t>以下批发与零售业企业采用商品销售额代替；限额以下</w:t>
      </w:r>
      <w:r>
        <w:rPr>
          <w:rFonts w:ascii="SimSun" w:hAnsi="SimSun" w:eastAsia="SimSun" w:cs="SimSun"/>
          <w:sz w:val="16"/>
          <w:szCs w:val="16"/>
          <w:spacing w:val="-13"/>
        </w:rPr>
        <w:t>住宿与餐饮业企业采用营业额代替；农、</w:t>
      </w:r>
      <w:r>
        <w:rPr>
          <w:rFonts w:ascii="SimSun" w:hAnsi="SimSun" w:eastAsia="SimSun" w:cs="SimSun"/>
          <w:sz w:val="16"/>
          <w:szCs w:val="16"/>
        </w:rPr>
        <w:t xml:space="preserve"> </w:t>
      </w:r>
      <w:r>
        <w:rPr>
          <w:rFonts w:ascii="SimSun" w:hAnsi="SimSun" w:eastAsia="SimSun" w:cs="SimSun"/>
          <w:sz w:val="16"/>
          <w:szCs w:val="16"/>
          <w:spacing w:val="-12"/>
        </w:rPr>
        <w:t>林、牧、渔业企业采用营业总收入代替；其他未设置主</w:t>
      </w:r>
      <w:r>
        <w:rPr>
          <w:rFonts w:ascii="SimSun" w:hAnsi="SimSun" w:eastAsia="SimSun" w:cs="SimSun"/>
          <w:sz w:val="16"/>
          <w:szCs w:val="16"/>
          <w:spacing w:val="-13"/>
        </w:rPr>
        <w:t>营业务收入的行业，采用营业收入指标。</w:t>
      </w:r>
      <w:r>
        <w:rPr>
          <w:rFonts w:ascii="SimSun" w:hAnsi="SimSun" w:eastAsia="SimSun" w:cs="SimSun"/>
          <w:sz w:val="16"/>
          <w:szCs w:val="16"/>
        </w:rPr>
        <w:t xml:space="preserve"> </w:t>
      </w:r>
      <w:r>
        <w:rPr>
          <w:rFonts w:ascii="SimSun" w:hAnsi="SimSun" w:eastAsia="SimSun" w:cs="SimSun"/>
          <w:sz w:val="16"/>
          <w:szCs w:val="16"/>
          <w:spacing w:val="-3"/>
        </w:rPr>
        <w:t>(3)资产总额，采用资产总计代替。</w:t>
      </w:r>
    </w:p>
    <w:p>
      <w:pPr>
        <w:pStyle w:val="BodyText"/>
        <w:spacing w:line="267" w:lineRule="auto"/>
        <w:rPr/>
      </w:pPr>
      <w:r/>
    </w:p>
    <w:p>
      <w:pPr>
        <w:ind w:left="3"/>
        <w:spacing w:before="72" w:line="219" w:lineRule="auto"/>
        <w:outlineLvl w:val="1"/>
        <w:rPr>
          <w:rFonts w:ascii="SimSun" w:hAnsi="SimSun" w:eastAsia="SimSun" w:cs="SimSun"/>
          <w:sz w:val="22"/>
          <w:szCs w:val="22"/>
        </w:rPr>
      </w:pPr>
      <w:r>
        <w:rPr>
          <w:rFonts w:ascii="SimSun" w:hAnsi="SimSun" w:eastAsia="SimSun" w:cs="SimSun"/>
          <w:sz w:val="22"/>
          <w:szCs w:val="22"/>
          <w:b/>
          <w:bCs/>
          <w:spacing w:val="5"/>
        </w:rPr>
        <w:t>2、</w:t>
      </w:r>
      <w:r>
        <w:rPr>
          <w:rFonts w:ascii="SimSun" w:hAnsi="SimSun" w:eastAsia="SimSun" w:cs="SimSun"/>
          <w:sz w:val="22"/>
          <w:szCs w:val="22"/>
          <w:spacing w:val="-54"/>
        </w:rPr>
        <w:t xml:space="preserve"> </w:t>
      </w:r>
      <w:r>
        <w:rPr>
          <w:rFonts w:ascii="SimSun" w:hAnsi="SimSun" w:eastAsia="SimSun" w:cs="SimSun"/>
          <w:sz w:val="22"/>
          <w:szCs w:val="22"/>
          <w:b/>
          <w:bCs/>
          <w:spacing w:val="5"/>
        </w:rPr>
        <w:t>什么是小型微利企业?</w:t>
      </w:r>
    </w:p>
    <w:p>
      <w:pPr>
        <w:ind w:right="35" w:firstLine="440"/>
        <w:spacing w:before="42" w:line="248" w:lineRule="auto"/>
        <w:rPr>
          <w:rFonts w:ascii="SimSun" w:hAnsi="SimSun" w:eastAsia="SimSun" w:cs="SimSun"/>
          <w:sz w:val="22"/>
          <w:szCs w:val="22"/>
        </w:rPr>
      </w:pPr>
      <w:r>
        <w:rPr>
          <w:rFonts w:ascii="SimSun" w:hAnsi="SimSun" w:eastAsia="SimSun" w:cs="SimSun"/>
          <w:sz w:val="22"/>
          <w:szCs w:val="22"/>
          <w:spacing w:val="-2"/>
        </w:rPr>
        <w:t>工业企业：资产总额不超过3000万元，人数不超过100人</w:t>
      </w:r>
      <w:r>
        <w:rPr>
          <w:rFonts w:ascii="SimSun" w:hAnsi="SimSun" w:eastAsia="SimSun" w:cs="SimSun"/>
          <w:sz w:val="22"/>
          <w:szCs w:val="22"/>
          <w:spacing w:val="-3"/>
        </w:rPr>
        <w:t>，年</w:t>
      </w:r>
      <w:r>
        <w:rPr>
          <w:rFonts w:ascii="SimSun" w:hAnsi="SimSun" w:eastAsia="SimSun" w:cs="SimSun"/>
          <w:sz w:val="22"/>
          <w:szCs w:val="22"/>
        </w:rPr>
        <w:t xml:space="preserve"> </w:t>
      </w:r>
      <w:r>
        <w:rPr>
          <w:rFonts w:ascii="SimSun" w:hAnsi="SimSun" w:eastAsia="SimSun" w:cs="SimSun"/>
          <w:sz w:val="22"/>
          <w:szCs w:val="22"/>
          <w:spacing w:val="-6"/>
        </w:rPr>
        <w:t>应纳税所得额不超过50万元；</w:t>
      </w:r>
    </w:p>
    <w:p>
      <w:pPr>
        <w:ind w:right="35"/>
        <w:spacing w:before="49" w:line="219" w:lineRule="auto"/>
        <w:jc w:val="right"/>
        <w:rPr>
          <w:rFonts w:ascii="SimSun" w:hAnsi="SimSun" w:eastAsia="SimSun" w:cs="SimSun"/>
          <w:sz w:val="22"/>
          <w:szCs w:val="22"/>
        </w:rPr>
      </w:pPr>
      <w:r>
        <w:rPr>
          <w:rFonts w:ascii="SimSun" w:hAnsi="SimSun" w:eastAsia="SimSun" w:cs="SimSun"/>
          <w:sz w:val="22"/>
          <w:szCs w:val="22"/>
          <w:spacing w:val="2"/>
        </w:rPr>
        <w:t>其他企业：资产总额不超过1000万元，</w:t>
      </w:r>
      <w:r>
        <w:rPr>
          <w:rFonts w:ascii="SimSun" w:hAnsi="SimSun" w:eastAsia="SimSun" w:cs="SimSun"/>
          <w:sz w:val="22"/>
          <w:szCs w:val="22"/>
          <w:spacing w:val="1"/>
        </w:rPr>
        <w:t>人数不超过80人，年</w:t>
      </w:r>
    </w:p>
    <w:p>
      <w:pPr>
        <w:spacing w:line="219" w:lineRule="auto"/>
        <w:sectPr>
          <w:footerReference w:type="default" r:id="rId44"/>
          <w:pgSz w:w="8220" w:h="11910"/>
          <w:pgMar w:top="400" w:right="985" w:bottom="942" w:left="990" w:header="0" w:footer="783" w:gutter="0"/>
        </w:sectPr>
        <w:rPr>
          <w:rFonts w:ascii="SimSun" w:hAnsi="SimSun" w:eastAsia="SimSun" w:cs="SimSun"/>
          <w:sz w:val="22"/>
          <w:szCs w:val="22"/>
        </w:rPr>
      </w:pPr>
    </w:p>
    <w:p>
      <w:pPr>
        <w:pStyle w:val="BodyText"/>
        <w:spacing w:line="321" w:lineRule="auto"/>
        <w:rPr/>
      </w:pPr>
      <w:r/>
    </w:p>
    <w:p>
      <w:pPr>
        <w:pStyle w:val="BodyText"/>
        <w:spacing w:line="322" w:lineRule="auto"/>
        <w:rPr/>
      </w:pPr>
      <w:r/>
    </w:p>
    <w:p>
      <w:pPr>
        <w:spacing w:before="72" w:line="219" w:lineRule="auto"/>
        <w:rPr>
          <w:rFonts w:ascii="SimSun" w:hAnsi="SimSun" w:eastAsia="SimSun" w:cs="SimSun"/>
          <w:sz w:val="22"/>
          <w:szCs w:val="22"/>
        </w:rPr>
      </w:pPr>
      <w:r>
        <w:rPr>
          <w:rFonts w:ascii="SimSun" w:hAnsi="SimSun" w:eastAsia="SimSun" w:cs="SimSun"/>
          <w:sz w:val="22"/>
          <w:szCs w:val="22"/>
          <w:spacing w:val="-6"/>
        </w:rPr>
        <w:t>应纳税所得额不超过50万元；</w:t>
      </w:r>
    </w:p>
    <w:p>
      <w:pPr>
        <w:ind w:right="29" w:firstLine="429"/>
        <w:spacing w:before="56" w:line="259" w:lineRule="auto"/>
        <w:jc w:val="both"/>
        <w:rPr>
          <w:rFonts w:ascii="SimSun" w:hAnsi="SimSun" w:eastAsia="SimSun" w:cs="SimSun"/>
          <w:sz w:val="22"/>
          <w:szCs w:val="22"/>
        </w:rPr>
      </w:pPr>
      <w:r>
        <w:rPr>
          <w:rFonts w:ascii="SimSun" w:hAnsi="SimSun" w:eastAsia="SimSun" w:cs="SimSun"/>
          <w:sz w:val="22"/>
          <w:szCs w:val="22"/>
          <w:spacing w:val="8"/>
        </w:rPr>
        <w:t>根据财税〔2018〕77号文第一条：自20</w:t>
      </w:r>
      <w:r>
        <w:rPr>
          <w:rFonts w:ascii="SimSun" w:hAnsi="SimSun" w:eastAsia="SimSun" w:cs="SimSun"/>
          <w:sz w:val="22"/>
          <w:szCs w:val="22"/>
          <w:spacing w:val="7"/>
        </w:rPr>
        <w:t>18年1月1日至2020</w:t>
      </w:r>
      <w:r>
        <w:rPr>
          <w:rFonts w:ascii="SimSun" w:hAnsi="SimSun" w:eastAsia="SimSun" w:cs="SimSun"/>
          <w:sz w:val="22"/>
          <w:szCs w:val="22"/>
        </w:rPr>
        <w:t xml:space="preserve"> </w:t>
      </w:r>
      <w:r>
        <w:rPr>
          <w:rFonts w:ascii="SimSun" w:hAnsi="SimSun" w:eastAsia="SimSun" w:cs="SimSun"/>
          <w:sz w:val="22"/>
          <w:szCs w:val="22"/>
          <w:spacing w:val="1"/>
        </w:rPr>
        <w:t>年12月31日，将小型微利企业的年应纳税所得额上限由50万元提</w:t>
      </w:r>
      <w:r>
        <w:rPr>
          <w:rFonts w:ascii="SimSun" w:hAnsi="SimSun" w:eastAsia="SimSun" w:cs="SimSun"/>
          <w:sz w:val="22"/>
          <w:szCs w:val="22"/>
          <w:spacing w:val="7"/>
        </w:rPr>
        <w:t xml:space="preserve"> </w:t>
      </w:r>
      <w:r>
        <w:rPr>
          <w:rFonts w:ascii="SimSun" w:hAnsi="SimSun" w:eastAsia="SimSun" w:cs="SimSun"/>
          <w:sz w:val="22"/>
          <w:szCs w:val="22"/>
          <w:spacing w:val="11"/>
        </w:rPr>
        <w:t>高至100万元，对年应纳税所得额低于100万元(含100万元)的</w:t>
      </w:r>
      <w:r>
        <w:rPr>
          <w:rFonts w:ascii="SimSun" w:hAnsi="SimSun" w:eastAsia="SimSun" w:cs="SimSun"/>
          <w:sz w:val="22"/>
          <w:szCs w:val="22"/>
          <w:spacing w:val="4"/>
        </w:rPr>
        <w:t xml:space="preserve"> </w:t>
      </w:r>
      <w:r>
        <w:rPr>
          <w:rFonts w:ascii="SimSun" w:hAnsi="SimSun" w:eastAsia="SimSun" w:cs="SimSun"/>
          <w:sz w:val="22"/>
          <w:szCs w:val="22"/>
          <w:spacing w:val="1"/>
        </w:rPr>
        <w:t>小型微利企业，其所得减按50%计入应纳税所得额，按20%的税率</w:t>
      </w:r>
      <w:r>
        <w:rPr>
          <w:rFonts w:ascii="SimSun" w:hAnsi="SimSun" w:eastAsia="SimSun" w:cs="SimSun"/>
          <w:sz w:val="22"/>
          <w:szCs w:val="22"/>
          <w:spacing w:val="8"/>
        </w:rPr>
        <w:t xml:space="preserve"> </w:t>
      </w:r>
      <w:r>
        <w:rPr>
          <w:rFonts w:ascii="SimSun" w:hAnsi="SimSun" w:eastAsia="SimSun" w:cs="SimSun"/>
          <w:sz w:val="22"/>
          <w:szCs w:val="22"/>
          <w:spacing w:val="-14"/>
        </w:rPr>
        <w:t>缴纳企业所得税。</w:t>
      </w:r>
    </w:p>
    <w:p>
      <w:pPr>
        <w:pStyle w:val="BodyText"/>
        <w:spacing w:line="372" w:lineRule="auto"/>
        <w:rPr/>
      </w:pPr>
      <w:r/>
    </w:p>
    <w:p>
      <w:pPr>
        <w:ind w:left="3"/>
        <w:spacing w:before="71" w:line="219" w:lineRule="auto"/>
        <w:outlineLvl w:val="1"/>
        <w:rPr>
          <w:rFonts w:ascii="SimSun" w:hAnsi="SimSun" w:eastAsia="SimSun" w:cs="SimSun"/>
          <w:sz w:val="22"/>
          <w:szCs w:val="22"/>
        </w:rPr>
      </w:pPr>
      <w:r>
        <w:rPr>
          <w:rFonts w:ascii="SimSun" w:hAnsi="SimSun" w:eastAsia="SimSun" w:cs="SimSun"/>
          <w:sz w:val="22"/>
          <w:szCs w:val="22"/>
          <w:b/>
          <w:bCs/>
          <w:spacing w:val="5"/>
        </w:rPr>
        <w:t>3、</w:t>
      </w:r>
      <w:r>
        <w:rPr>
          <w:rFonts w:ascii="SimSun" w:hAnsi="SimSun" w:eastAsia="SimSun" w:cs="SimSun"/>
          <w:sz w:val="22"/>
          <w:szCs w:val="22"/>
          <w:spacing w:val="-54"/>
        </w:rPr>
        <w:t xml:space="preserve"> </w:t>
      </w:r>
      <w:r>
        <w:rPr>
          <w:rFonts w:ascii="SimSun" w:hAnsi="SimSun" w:eastAsia="SimSun" w:cs="SimSun"/>
          <w:sz w:val="22"/>
          <w:szCs w:val="22"/>
          <w:b/>
          <w:bCs/>
          <w:spacing w:val="5"/>
        </w:rPr>
        <w:t>什么是高新技术企业?</w:t>
      </w:r>
    </w:p>
    <w:p>
      <w:pPr>
        <w:ind w:right="10" w:firstLine="429"/>
        <w:spacing w:before="30" w:line="258" w:lineRule="auto"/>
        <w:rPr>
          <w:rFonts w:ascii="SimSun" w:hAnsi="SimSun" w:eastAsia="SimSun" w:cs="SimSun"/>
          <w:sz w:val="22"/>
          <w:szCs w:val="22"/>
        </w:rPr>
      </w:pPr>
      <w:r>
        <w:rPr>
          <w:rFonts w:ascii="SimSun" w:hAnsi="SimSun" w:eastAsia="SimSun" w:cs="SimSun"/>
          <w:sz w:val="22"/>
          <w:szCs w:val="22"/>
          <w:spacing w:val="-6"/>
        </w:rPr>
        <w:t>根据《科技部财政部国家税务总局关于修订印发〈高新技术企</w:t>
      </w:r>
      <w:r>
        <w:rPr>
          <w:rFonts w:ascii="SimSun" w:hAnsi="SimSun" w:eastAsia="SimSun" w:cs="SimSun"/>
          <w:sz w:val="22"/>
          <w:szCs w:val="22"/>
          <w:spacing w:val="10"/>
        </w:rPr>
        <w:t xml:space="preserve"> </w:t>
      </w:r>
      <w:r>
        <w:rPr>
          <w:rFonts w:ascii="SimSun" w:hAnsi="SimSun" w:eastAsia="SimSun" w:cs="SimSun"/>
          <w:sz w:val="22"/>
          <w:szCs w:val="22"/>
          <w:spacing w:val="1"/>
        </w:rPr>
        <w:t>业认定管理办法〉的通知》(国科发火〔2</w:t>
      </w:r>
      <w:r>
        <w:rPr>
          <w:rFonts w:ascii="SimSun" w:hAnsi="SimSun" w:eastAsia="SimSun" w:cs="SimSun"/>
          <w:sz w:val="22"/>
          <w:szCs w:val="22"/>
        </w:rPr>
        <w:t>016〕32号)文件规定， </w:t>
      </w:r>
      <w:r>
        <w:rPr>
          <w:rFonts w:ascii="SimSun" w:hAnsi="SimSun" w:eastAsia="SimSun" w:cs="SimSun"/>
          <w:sz w:val="22"/>
          <w:szCs w:val="22"/>
          <w:spacing w:val="-11"/>
        </w:rPr>
        <w:t>认定为高新技术企业须同时满足以下条件：</w:t>
      </w:r>
    </w:p>
    <w:p>
      <w:pPr>
        <w:ind w:left="519"/>
        <w:spacing w:before="49" w:line="219" w:lineRule="auto"/>
        <w:rPr>
          <w:rFonts w:ascii="SimSun" w:hAnsi="SimSun" w:eastAsia="SimSun" w:cs="SimSun"/>
          <w:sz w:val="22"/>
          <w:szCs w:val="22"/>
        </w:rPr>
      </w:pPr>
      <w:r>
        <w:rPr>
          <w:rFonts w:ascii="SimSun" w:hAnsi="SimSun" w:eastAsia="SimSun" w:cs="SimSun"/>
          <w:sz w:val="22"/>
          <w:szCs w:val="22"/>
          <w:spacing w:val="-5"/>
        </w:rPr>
        <w:t>(一)企业申请认定时须注册成立一年以上；</w:t>
      </w:r>
    </w:p>
    <w:p>
      <w:pPr>
        <w:ind w:firstLine="519"/>
        <w:spacing w:before="68" w:line="244" w:lineRule="auto"/>
        <w:rPr>
          <w:rFonts w:ascii="SimSun" w:hAnsi="SimSun" w:eastAsia="SimSun" w:cs="SimSun"/>
          <w:sz w:val="22"/>
          <w:szCs w:val="22"/>
        </w:rPr>
      </w:pPr>
      <w:r>
        <w:rPr>
          <w:rFonts w:ascii="SimSun" w:hAnsi="SimSun" w:eastAsia="SimSun" w:cs="SimSun"/>
          <w:sz w:val="22"/>
          <w:szCs w:val="22"/>
          <w:spacing w:val="-1"/>
        </w:rPr>
        <w:t>(二)企业通过自主研发、受让、受赠、并购等方式，获得对</w:t>
      </w:r>
      <w:r>
        <w:rPr>
          <w:rFonts w:ascii="SimSun" w:hAnsi="SimSun" w:eastAsia="SimSun" w:cs="SimSun"/>
          <w:sz w:val="22"/>
          <w:szCs w:val="22"/>
          <w:spacing w:val="5"/>
        </w:rPr>
        <w:t xml:space="preserve"> </w:t>
      </w:r>
      <w:r>
        <w:rPr>
          <w:rFonts w:ascii="SimSun" w:hAnsi="SimSun" w:eastAsia="SimSun" w:cs="SimSun"/>
          <w:sz w:val="22"/>
          <w:szCs w:val="22"/>
          <w:spacing w:val="-12"/>
        </w:rPr>
        <w:t>其主要产品(服务)在技术上发挥核心支持作用的知识产权的所有权；</w:t>
      </w:r>
    </w:p>
    <w:p>
      <w:pPr>
        <w:ind w:right="18" w:firstLine="519"/>
        <w:spacing w:before="59" w:line="244" w:lineRule="auto"/>
        <w:rPr>
          <w:rFonts w:ascii="SimSun" w:hAnsi="SimSun" w:eastAsia="SimSun" w:cs="SimSun"/>
          <w:sz w:val="22"/>
          <w:szCs w:val="22"/>
        </w:rPr>
      </w:pPr>
      <w:r>
        <w:rPr>
          <w:rFonts w:ascii="SimSun" w:hAnsi="SimSun" w:eastAsia="SimSun" w:cs="SimSun"/>
          <w:sz w:val="22"/>
          <w:szCs w:val="22"/>
          <w:spacing w:val="-9"/>
        </w:rPr>
        <w:t>(三)对企业主要产品(服务)发挥核心支持作用的技术属于《国</w:t>
      </w:r>
      <w:r>
        <w:rPr>
          <w:rFonts w:ascii="SimSun" w:hAnsi="SimSun" w:eastAsia="SimSun" w:cs="SimSun"/>
          <w:sz w:val="22"/>
          <w:szCs w:val="22"/>
          <w:spacing w:val="11"/>
        </w:rPr>
        <w:t xml:space="preserve"> </w:t>
      </w:r>
      <w:r>
        <w:rPr>
          <w:rFonts w:ascii="SimSun" w:hAnsi="SimSun" w:eastAsia="SimSun" w:cs="SimSun"/>
          <w:sz w:val="22"/>
          <w:szCs w:val="22"/>
          <w:spacing w:val="-13"/>
        </w:rPr>
        <w:t>家重点支持的高新技术领域》规定的范围；</w:t>
      </w:r>
    </w:p>
    <w:p>
      <w:pPr>
        <w:ind w:right="37" w:firstLine="519"/>
        <w:spacing w:before="77" w:line="253" w:lineRule="auto"/>
        <w:rPr>
          <w:rFonts w:ascii="SimSun" w:hAnsi="SimSun" w:eastAsia="SimSun" w:cs="SimSun"/>
          <w:sz w:val="22"/>
          <w:szCs w:val="22"/>
        </w:rPr>
      </w:pPr>
      <w:r>
        <w:rPr>
          <w:rFonts w:ascii="SimSun" w:hAnsi="SimSun" w:eastAsia="SimSun" w:cs="SimSun"/>
          <w:sz w:val="22"/>
          <w:szCs w:val="22"/>
          <w:spacing w:val="-2"/>
        </w:rPr>
        <w:t>(四)企业从事研发和相关技术创新活动的科技人员占企业当</w:t>
      </w:r>
      <w:r>
        <w:rPr>
          <w:rFonts w:ascii="SimSun" w:hAnsi="SimSun" w:eastAsia="SimSun" w:cs="SimSun"/>
          <w:sz w:val="22"/>
          <w:szCs w:val="22"/>
          <w:spacing w:val="5"/>
        </w:rPr>
        <w:t xml:space="preserve"> </w:t>
      </w:r>
      <w:r>
        <w:rPr>
          <w:rFonts w:ascii="SimSun" w:hAnsi="SimSun" w:eastAsia="SimSun" w:cs="SimSun"/>
          <w:sz w:val="22"/>
          <w:szCs w:val="22"/>
          <w:spacing w:val="-3"/>
        </w:rPr>
        <w:t>年职工总数的比例不低于10%;</w:t>
      </w:r>
    </w:p>
    <w:p>
      <w:pPr>
        <w:ind w:right="26" w:firstLine="519"/>
        <w:spacing w:before="49" w:line="252" w:lineRule="auto"/>
        <w:rPr>
          <w:rFonts w:ascii="SimSun" w:hAnsi="SimSun" w:eastAsia="SimSun" w:cs="SimSun"/>
          <w:sz w:val="22"/>
          <w:szCs w:val="22"/>
        </w:rPr>
      </w:pPr>
      <w:r>
        <w:rPr>
          <w:rFonts w:ascii="SimSun" w:hAnsi="SimSun" w:eastAsia="SimSun" w:cs="SimSun"/>
          <w:sz w:val="22"/>
          <w:szCs w:val="22"/>
          <w:spacing w:val="2"/>
        </w:rPr>
        <w:t>(五)企业近三个会计年度(实际经营期不满三年的按实际经</w:t>
      </w:r>
      <w:r>
        <w:rPr>
          <w:rFonts w:ascii="SimSun" w:hAnsi="SimSun" w:eastAsia="SimSun" w:cs="SimSun"/>
          <w:sz w:val="22"/>
          <w:szCs w:val="22"/>
          <w:spacing w:val="14"/>
        </w:rPr>
        <w:t xml:space="preserve"> </w:t>
      </w:r>
      <w:r>
        <w:rPr>
          <w:rFonts w:ascii="SimSun" w:hAnsi="SimSun" w:eastAsia="SimSun" w:cs="SimSun"/>
          <w:sz w:val="22"/>
          <w:szCs w:val="22"/>
          <w:spacing w:val="-2"/>
        </w:rPr>
        <w:t>营时间计算，下同)的研究开发费用总额占</w:t>
      </w:r>
      <w:r>
        <w:rPr>
          <w:rFonts w:ascii="SimSun" w:hAnsi="SimSun" w:eastAsia="SimSun" w:cs="SimSun"/>
          <w:sz w:val="22"/>
          <w:szCs w:val="22"/>
          <w:spacing w:val="-3"/>
        </w:rPr>
        <w:t>同期销售收入总额的比</w:t>
      </w:r>
      <w:r>
        <w:rPr>
          <w:rFonts w:ascii="SimSun" w:hAnsi="SimSun" w:eastAsia="SimSun" w:cs="SimSun"/>
          <w:sz w:val="22"/>
          <w:szCs w:val="22"/>
        </w:rPr>
        <w:t xml:space="preserve"> </w:t>
      </w:r>
      <w:r>
        <w:rPr>
          <w:rFonts w:ascii="SimSun" w:hAnsi="SimSun" w:eastAsia="SimSun" w:cs="SimSun"/>
          <w:sz w:val="22"/>
          <w:szCs w:val="22"/>
          <w:spacing w:val="-16"/>
        </w:rPr>
        <w:t>例符合如下要求：</w:t>
      </w:r>
    </w:p>
    <w:p>
      <w:pPr>
        <w:ind w:left="429"/>
        <w:spacing w:before="76" w:line="216" w:lineRule="auto"/>
        <w:rPr>
          <w:rFonts w:ascii="SimSun" w:hAnsi="SimSun" w:eastAsia="SimSun" w:cs="SimSun"/>
          <w:sz w:val="22"/>
          <w:szCs w:val="22"/>
        </w:rPr>
      </w:pPr>
      <w:r>
        <w:rPr>
          <w:rFonts w:ascii="SimSun" w:hAnsi="SimSun" w:eastAsia="SimSun" w:cs="SimSun"/>
          <w:sz w:val="22"/>
          <w:szCs w:val="22"/>
          <w:spacing w:val="-6"/>
        </w:rPr>
        <w:t>最近一年销售收入小于5,000万元(含)的</w:t>
      </w:r>
      <w:r>
        <w:rPr>
          <w:rFonts w:ascii="SimSun" w:hAnsi="SimSun" w:eastAsia="SimSun" w:cs="SimSun"/>
          <w:sz w:val="22"/>
          <w:szCs w:val="22"/>
          <w:spacing w:val="-7"/>
        </w:rPr>
        <w:t>企业，比例不低于5%;</w:t>
      </w:r>
    </w:p>
    <w:p>
      <w:pPr>
        <w:ind w:right="21" w:firstLine="429"/>
        <w:spacing w:before="72" w:line="251" w:lineRule="auto"/>
        <w:rPr>
          <w:rFonts w:ascii="SimSun" w:hAnsi="SimSun" w:eastAsia="SimSun" w:cs="SimSun"/>
          <w:sz w:val="22"/>
          <w:szCs w:val="22"/>
        </w:rPr>
      </w:pPr>
      <w:r>
        <w:rPr>
          <w:rFonts w:ascii="SimSun" w:hAnsi="SimSun" w:eastAsia="SimSun" w:cs="SimSun"/>
          <w:sz w:val="22"/>
          <w:szCs w:val="22"/>
          <w:spacing w:val="9"/>
        </w:rPr>
        <w:t>最近一年销售收入在5,000万元至2亿元(含)的企业，比例</w:t>
      </w:r>
      <w:r>
        <w:rPr>
          <w:rFonts w:ascii="SimSun" w:hAnsi="SimSun" w:eastAsia="SimSun" w:cs="SimSun"/>
          <w:sz w:val="22"/>
          <w:szCs w:val="22"/>
          <w:spacing w:val="16"/>
        </w:rPr>
        <w:t xml:space="preserve"> </w:t>
      </w:r>
      <w:r>
        <w:rPr>
          <w:rFonts w:ascii="SimSun" w:hAnsi="SimSun" w:eastAsia="SimSun" w:cs="SimSun"/>
          <w:sz w:val="22"/>
          <w:szCs w:val="22"/>
          <w:spacing w:val="16"/>
        </w:rPr>
        <w:t>不低于4%;</w:t>
      </w:r>
    </w:p>
    <w:p>
      <w:pPr>
        <w:ind w:left="429"/>
        <w:spacing w:before="45" w:line="219" w:lineRule="auto"/>
        <w:rPr>
          <w:rFonts w:ascii="SimSun" w:hAnsi="SimSun" w:eastAsia="SimSun" w:cs="SimSun"/>
          <w:sz w:val="22"/>
          <w:szCs w:val="22"/>
        </w:rPr>
      </w:pPr>
      <w:r>
        <w:rPr>
          <w:rFonts w:ascii="SimSun" w:hAnsi="SimSun" w:eastAsia="SimSun" w:cs="SimSun"/>
          <w:sz w:val="22"/>
          <w:szCs w:val="22"/>
          <w:spacing w:val="-3"/>
        </w:rPr>
        <w:t>最近一年销售收入在2亿元以上的企业，比例不低于3%。</w:t>
      </w:r>
    </w:p>
    <w:p>
      <w:pPr>
        <w:ind w:right="30" w:firstLine="429"/>
        <w:spacing w:before="69" w:line="248" w:lineRule="auto"/>
        <w:rPr>
          <w:rFonts w:ascii="SimSun" w:hAnsi="SimSun" w:eastAsia="SimSun" w:cs="SimSun"/>
          <w:sz w:val="22"/>
          <w:szCs w:val="22"/>
        </w:rPr>
      </w:pPr>
      <w:r>
        <w:rPr>
          <w:rFonts w:ascii="SimSun" w:hAnsi="SimSun" w:eastAsia="SimSun" w:cs="SimSun"/>
          <w:sz w:val="22"/>
          <w:szCs w:val="22"/>
          <w:spacing w:val="-7"/>
        </w:rPr>
        <w:t>其中，企业在中国境内发生的研究开发费用总额占全部研究开</w:t>
      </w:r>
      <w:r>
        <w:rPr>
          <w:rFonts w:ascii="SimSun" w:hAnsi="SimSun" w:eastAsia="SimSun" w:cs="SimSun"/>
          <w:sz w:val="22"/>
          <w:szCs w:val="22"/>
          <w:spacing w:val="17"/>
        </w:rPr>
        <w:t xml:space="preserve"> </w:t>
      </w:r>
      <w:r>
        <w:rPr>
          <w:rFonts w:ascii="SimSun" w:hAnsi="SimSun" w:eastAsia="SimSun" w:cs="SimSun"/>
          <w:sz w:val="22"/>
          <w:szCs w:val="22"/>
          <w:spacing w:val="-3"/>
        </w:rPr>
        <w:t>发费用总额的比例不低于60%;</w:t>
      </w:r>
    </w:p>
    <w:p>
      <w:pPr>
        <w:ind w:right="22" w:firstLine="519"/>
        <w:spacing w:before="58" w:line="250" w:lineRule="auto"/>
        <w:rPr>
          <w:rFonts w:ascii="SimSun" w:hAnsi="SimSun" w:eastAsia="SimSun" w:cs="SimSun"/>
          <w:sz w:val="22"/>
          <w:szCs w:val="22"/>
        </w:rPr>
      </w:pPr>
      <w:r>
        <w:rPr>
          <w:rFonts w:ascii="SimSun" w:hAnsi="SimSun" w:eastAsia="SimSun" w:cs="SimSun"/>
          <w:sz w:val="22"/>
          <w:szCs w:val="22"/>
          <w:spacing w:val="7"/>
        </w:rPr>
        <w:t>(六)近一年高新技术产品(服务)收入占企业同期总</w:t>
      </w:r>
      <w:r>
        <w:rPr>
          <w:rFonts w:ascii="SimSun" w:hAnsi="SimSun" w:eastAsia="SimSun" w:cs="SimSun"/>
          <w:sz w:val="22"/>
          <w:szCs w:val="22"/>
          <w:spacing w:val="6"/>
        </w:rPr>
        <w:t>收入的</w:t>
      </w:r>
      <w:r>
        <w:rPr>
          <w:rFonts w:ascii="SimSun" w:hAnsi="SimSun" w:eastAsia="SimSun" w:cs="SimSun"/>
          <w:sz w:val="22"/>
          <w:szCs w:val="22"/>
        </w:rPr>
        <w:t xml:space="preserve"> </w:t>
      </w:r>
      <w:r>
        <w:rPr>
          <w:rFonts w:ascii="SimSun" w:hAnsi="SimSun" w:eastAsia="SimSun" w:cs="SimSun"/>
          <w:sz w:val="22"/>
          <w:szCs w:val="22"/>
          <w:spacing w:val="1"/>
        </w:rPr>
        <w:t>比例不低于60%;</w:t>
      </w:r>
    </w:p>
    <w:p>
      <w:pPr>
        <w:ind w:left="519"/>
        <w:spacing w:before="63" w:line="218" w:lineRule="auto"/>
        <w:rPr>
          <w:rFonts w:ascii="SimSun" w:hAnsi="SimSun" w:eastAsia="SimSun" w:cs="SimSun"/>
          <w:sz w:val="22"/>
          <w:szCs w:val="22"/>
        </w:rPr>
      </w:pPr>
      <w:r>
        <w:rPr>
          <w:rFonts w:ascii="SimSun" w:hAnsi="SimSun" w:eastAsia="SimSun" w:cs="SimSun"/>
          <w:sz w:val="22"/>
          <w:szCs w:val="22"/>
          <w:spacing w:val="-5"/>
        </w:rPr>
        <w:t>(七)企业创新能力评价应达到相应要求；</w:t>
      </w:r>
    </w:p>
    <w:p>
      <w:pPr>
        <w:spacing w:line="218" w:lineRule="auto"/>
        <w:sectPr>
          <w:footerReference w:type="default" r:id="rId45"/>
          <w:pgSz w:w="8220" w:h="11910"/>
          <w:pgMar w:top="400" w:right="1009" w:bottom="942" w:left="979" w:header="0" w:footer="783" w:gutter="0"/>
        </w:sectPr>
        <w:rPr>
          <w:rFonts w:ascii="SimSun" w:hAnsi="SimSun" w:eastAsia="SimSun" w:cs="SimSun"/>
          <w:sz w:val="22"/>
          <w:szCs w:val="22"/>
        </w:rPr>
      </w:pPr>
    </w:p>
    <w:p>
      <w:pPr>
        <w:pStyle w:val="BodyText"/>
        <w:spacing w:line="321" w:lineRule="auto"/>
        <w:rPr/>
      </w:pPr>
      <w:r/>
    </w:p>
    <w:p>
      <w:pPr>
        <w:pStyle w:val="BodyText"/>
        <w:spacing w:line="321" w:lineRule="auto"/>
        <w:rPr/>
      </w:pPr>
      <w:r/>
    </w:p>
    <w:p>
      <w:pPr>
        <w:ind w:right="117" w:firstLine="509"/>
        <w:spacing w:before="72" w:line="245" w:lineRule="auto"/>
        <w:rPr>
          <w:rFonts w:ascii="SimSun" w:hAnsi="SimSun" w:eastAsia="SimSun" w:cs="SimSun"/>
          <w:sz w:val="22"/>
          <w:szCs w:val="22"/>
        </w:rPr>
      </w:pPr>
      <w:r>
        <w:rPr>
          <w:rFonts w:ascii="SimSun" w:hAnsi="SimSun" w:eastAsia="SimSun" w:cs="SimSun"/>
          <w:sz w:val="22"/>
          <w:szCs w:val="22"/>
          <w:spacing w:val="-2"/>
        </w:rPr>
        <w:t>(八)企业申请认定前一年内未发生重大安全、重大质量事故</w:t>
      </w:r>
      <w:r>
        <w:rPr>
          <w:rFonts w:ascii="SimSun" w:hAnsi="SimSun" w:eastAsia="SimSun" w:cs="SimSun"/>
          <w:sz w:val="22"/>
          <w:szCs w:val="22"/>
          <w:spacing w:val="5"/>
        </w:rPr>
        <w:t xml:space="preserve"> </w:t>
      </w:r>
      <w:r>
        <w:rPr>
          <w:rFonts w:ascii="SimSun" w:hAnsi="SimSun" w:eastAsia="SimSun" w:cs="SimSun"/>
          <w:sz w:val="22"/>
          <w:szCs w:val="22"/>
          <w:spacing w:val="-13"/>
        </w:rPr>
        <w:t>或严重环境违法行为。</w:t>
      </w:r>
    </w:p>
    <w:p>
      <w:pPr>
        <w:pStyle w:val="BodyText"/>
        <w:spacing w:line="348" w:lineRule="auto"/>
        <w:rPr/>
      </w:pPr>
      <w:r/>
    </w:p>
    <w:p>
      <w:pPr>
        <w:ind w:left="3"/>
        <w:spacing w:before="72" w:line="219" w:lineRule="auto"/>
        <w:outlineLvl w:val="1"/>
        <w:rPr>
          <w:rFonts w:ascii="SimSun" w:hAnsi="SimSun" w:eastAsia="SimSun" w:cs="SimSun"/>
          <w:sz w:val="22"/>
          <w:szCs w:val="22"/>
        </w:rPr>
      </w:pPr>
      <w:r>
        <w:rPr>
          <w:rFonts w:ascii="SimSun" w:hAnsi="SimSun" w:eastAsia="SimSun" w:cs="SimSun"/>
          <w:sz w:val="22"/>
          <w:szCs w:val="22"/>
          <w:b/>
          <w:bCs/>
          <w:spacing w:val="5"/>
        </w:rPr>
        <w:t>4、</w:t>
      </w:r>
      <w:r>
        <w:rPr>
          <w:rFonts w:ascii="SimSun" w:hAnsi="SimSun" w:eastAsia="SimSun" w:cs="SimSun"/>
          <w:sz w:val="22"/>
          <w:szCs w:val="22"/>
          <w:spacing w:val="-52"/>
        </w:rPr>
        <w:t xml:space="preserve"> </w:t>
      </w:r>
      <w:r>
        <w:rPr>
          <w:rFonts w:ascii="SimSun" w:hAnsi="SimSun" w:eastAsia="SimSun" w:cs="SimSun"/>
          <w:sz w:val="22"/>
          <w:szCs w:val="22"/>
          <w:b/>
          <w:bCs/>
          <w:spacing w:val="5"/>
        </w:rPr>
        <w:t>什么是科技型中小企业?</w:t>
      </w:r>
    </w:p>
    <w:p>
      <w:pPr>
        <w:ind w:firstLine="419"/>
        <w:spacing w:before="28" w:line="264" w:lineRule="auto"/>
        <w:jc w:val="both"/>
        <w:rPr>
          <w:rFonts w:ascii="SimSun" w:hAnsi="SimSun" w:eastAsia="SimSun" w:cs="SimSun"/>
          <w:sz w:val="22"/>
          <w:szCs w:val="22"/>
        </w:rPr>
      </w:pPr>
      <w:r>
        <w:rPr>
          <w:rFonts w:ascii="SimSun" w:hAnsi="SimSun" w:eastAsia="SimSun" w:cs="SimSun"/>
          <w:sz w:val="22"/>
          <w:szCs w:val="22"/>
          <w:spacing w:val="-6"/>
        </w:rPr>
        <w:t>科技型中小企业是指以科技人员为主体，由科技人员主办和创</w:t>
      </w:r>
      <w:r>
        <w:rPr>
          <w:rFonts w:ascii="SimSun" w:hAnsi="SimSun" w:eastAsia="SimSun" w:cs="SimSun"/>
          <w:sz w:val="22"/>
          <w:szCs w:val="22"/>
          <w:spacing w:val="3"/>
        </w:rPr>
        <w:t xml:space="preserve">  </w:t>
      </w:r>
      <w:r>
        <w:rPr>
          <w:rFonts w:ascii="SimSun" w:hAnsi="SimSun" w:eastAsia="SimSun" w:cs="SimSun"/>
          <w:sz w:val="22"/>
          <w:szCs w:val="22"/>
          <w:spacing w:val="-6"/>
        </w:rPr>
        <w:t>办，主要从事高新技术产品的科学研究、研</w:t>
      </w:r>
      <w:r>
        <w:rPr>
          <w:rFonts w:ascii="SimSun" w:hAnsi="SimSun" w:eastAsia="SimSun" w:cs="SimSun"/>
          <w:sz w:val="22"/>
          <w:szCs w:val="22"/>
          <w:spacing w:val="-7"/>
        </w:rPr>
        <w:t>制、生产、销售，以科</w:t>
      </w:r>
      <w:r>
        <w:rPr>
          <w:rFonts w:ascii="SimSun" w:hAnsi="SimSun" w:eastAsia="SimSun" w:cs="SimSun"/>
          <w:sz w:val="22"/>
          <w:szCs w:val="22"/>
        </w:rPr>
        <w:t xml:space="preserve">  </w:t>
      </w:r>
      <w:r>
        <w:rPr>
          <w:rFonts w:ascii="SimSun" w:hAnsi="SimSun" w:eastAsia="SimSun" w:cs="SimSun"/>
          <w:sz w:val="22"/>
          <w:szCs w:val="22"/>
          <w:spacing w:val="-6"/>
        </w:rPr>
        <w:t>技成果商品化以及技术开发、技术服务、技术咨询和</w:t>
      </w:r>
      <w:r>
        <w:rPr>
          <w:rFonts w:ascii="SimSun" w:hAnsi="SimSun" w:eastAsia="SimSun" w:cs="SimSun"/>
          <w:sz w:val="22"/>
          <w:szCs w:val="22"/>
          <w:spacing w:val="-7"/>
        </w:rPr>
        <w:t>高新产品为主</w:t>
      </w:r>
      <w:r>
        <w:rPr>
          <w:rFonts w:ascii="SimSun" w:hAnsi="SimSun" w:eastAsia="SimSun" w:cs="SimSun"/>
          <w:sz w:val="22"/>
          <w:szCs w:val="22"/>
        </w:rPr>
        <w:t xml:space="preserve">  </w:t>
      </w:r>
      <w:r>
        <w:rPr>
          <w:rFonts w:ascii="SimSun" w:hAnsi="SimSun" w:eastAsia="SimSun" w:cs="SimSun"/>
          <w:sz w:val="22"/>
          <w:szCs w:val="22"/>
          <w:spacing w:val="-7"/>
        </w:rPr>
        <w:t>要内容的知识密集型经济实体。科技型中小企业主营业务须属于下</w:t>
      </w:r>
      <w:r>
        <w:rPr>
          <w:rFonts w:ascii="SimSun" w:hAnsi="SimSun" w:eastAsia="SimSun" w:cs="SimSun"/>
          <w:sz w:val="22"/>
          <w:szCs w:val="22"/>
          <w:spacing w:val="3"/>
        </w:rPr>
        <w:t xml:space="preserve">  </w:t>
      </w:r>
      <w:r>
        <w:rPr>
          <w:rFonts w:ascii="SimSun" w:hAnsi="SimSun" w:eastAsia="SimSun" w:cs="SimSun"/>
          <w:sz w:val="22"/>
          <w:szCs w:val="22"/>
          <w:spacing w:val="-23"/>
        </w:rPr>
        <w:t>述规定的技术领域：电子与信息、生物与医药、新材料、光</w:t>
      </w:r>
      <w:r>
        <w:rPr>
          <w:rFonts w:ascii="SimSun" w:hAnsi="SimSun" w:eastAsia="SimSun" w:cs="SimSun"/>
          <w:sz w:val="22"/>
          <w:szCs w:val="22"/>
          <w:spacing w:val="-24"/>
        </w:rPr>
        <w:t>机电一体化、</w:t>
      </w:r>
      <w:r>
        <w:rPr>
          <w:rFonts w:ascii="SimSun" w:hAnsi="SimSun" w:eastAsia="SimSun" w:cs="SimSun"/>
          <w:sz w:val="22"/>
          <w:szCs w:val="22"/>
        </w:rPr>
        <w:t xml:space="preserve"> </w:t>
      </w:r>
      <w:r>
        <w:rPr>
          <w:rFonts w:ascii="SimSun" w:hAnsi="SimSun" w:eastAsia="SimSun" w:cs="SimSun"/>
          <w:sz w:val="22"/>
          <w:szCs w:val="22"/>
          <w:spacing w:val="-6"/>
        </w:rPr>
        <w:t>资源与环境、新能源与高效节能、高技术服务</w:t>
      </w:r>
      <w:r>
        <w:rPr>
          <w:rFonts w:ascii="SimSun" w:hAnsi="SimSun" w:eastAsia="SimSun" w:cs="SimSun"/>
          <w:sz w:val="22"/>
          <w:szCs w:val="22"/>
          <w:spacing w:val="-7"/>
        </w:rPr>
        <w:t>业、农业与农村、航</w:t>
      </w:r>
      <w:r>
        <w:rPr>
          <w:rFonts w:ascii="SimSun" w:hAnsi="SimSun" w:eastAsia="SimSun" w:cs="SimSun"/>
          <w:sz w:val="22"/>
          <w:szCs w:val="22"/>
        </w:rPr>
        <w:t xml:space="preserve">  </w:t>
      </w:r>
      <w:r>
        <w:rPr>
          <w:rFonts w:ascii="SimSun" w:hAnsi="SimSun" w:eastAsia="SimSun" w:cs="SimSun"/>
          <w:sz w:val="22"/>
          <w:szCs w:val="22"/>
          <w:spacing w:val="-7"/>
        </w:rPr>
        <w:t>空与航天、地球、空间和海洋工程及核应用技术。根据《科技部财</w:t>
      </w:r>
      <w:r>
        <w:rPr>
          <w:rFonts w:ascii="SimSun" w:hAnsi="SimSun" w:eastAsia="SimSun" w:cs="SimSun"/>
          <w:sz w:val="22"/>
          <w:szCs w:val="22"/>
        </w:rPr>
        <w:t xml:space="preserve">  </w:t>
      </w:r>
      <w:r>
        <w:rPr>
          <w:rFonts w:ascii="SimSun" w:hAnsi="SimSun" w:eastAsia="SimSun" w:cs="SimSun"/>
          <w:sz w:val="22"/>
          <w:szCs w:val="22"/>
          <w:spacing w:val="-9"/>
        </w:rPr>
        <w:t>政部国家税务总局关于印发&lt;科技型中小企业评价办法&gt;的通知》(国</w:t>
      </w:r>
      <w:r>
        <w:rPr>
          <w:rFonts w:ascii="SimSun" w:hAnsi="SimSun" w:eastAsia="SimSun" w:cs="SimSun"/>
          <w:sz w:val="22"/>
          <w:szCs w:val="22"/>
        </w:rPr>
        <w:t xml:space="preserve"> </w:t>
      </w:r>
      <w:r>
        <w:rPr>
          <w:rFonts w:ascii="SimSun" w:hAnsi="SimSun" w:eastAsia="SimSun" w:cs="SimSun"/>
          <w:sz w:val="22"/>
          <w:szCs w:val="22"/>
          <w:spacing w:val="1"/>
        </w:rPr>
        <w:t>科发政〔2017〕115号)第六条规定，科技型中小企业须同时满足</w:t>
      </w:r>
      <w:r>
        <w:rPr>
          <w:rFonts w:ascii="SimSun" w:hAnsi="SimSun" w:eastAsia="SimSun" w:cs="SimSun"/>
          <w:sz w:val="22"/>
          <w:szCs w:val="22"/>
          <w:spacing w:val="3"/>
        </w:rPr>
        <w:t xml:space="preserve">  </w:t>
      </w:r>
      <w:r>
        <w:rPr>
          <w:rFonts w:ascii="SimSun" w:hAnsi="SimSun" w:eastAsia="SimSun" w:cs="SimSun"/>
          <w:sz w:val="22"/>
          <w:szCs w:val="22"/>
          <w:spacing w:val="-14"/>
        </w:rPr>
        <w:t>以下条件：</w:t>
      </w:r>
    </w:p>
    <w:p>
      <w:pPr>
        <w:ind w:left="509"/>
        <w:spacing w:before="108" w:line="219" w:lineRule="auto"/>
        <w:rPr>
          <w:rFonts w:ascii="SimSun" w:hAnsi="SimSun" w:eastAsia="SimSun" w:cs="SimSun"/>
          <w:sz w:val="22"/>
          <w:szCs w:val="22"/>
        </w:rPr>
      </w:pPr>
      <w:r>
        <w:rPr>
          <w:rFonts w:ascii="SimSun" w:hAnsi="SimSun" w:eastAsia="SimSun" w:cs="SimSun"/>
          <w:sz w:val="22"/>
          <w:szCs w:val="22"/>
          <w:spacing w:val="-2"/>
        </w:rPr>
        <w:t>(一)在中国境内(不包括港、澳、台地区)注册的居民企业。</w:t>
      </w:r>
    </w:p>
    <w:p>
      <w:pPr>
        <w:ind w:right="93" w:firstLine="509"/>
        <w:spacing w:before="58" w:line="244" w:lineRule="auto"/>
        <w:rPr>
          <w:rFonts w:ascii="SimSun" w:hAnsi="SimSun" w:eastAsia="SimSun" w:cs="SimSun"/>
          <w:sz w:val="22"/>
          <w:szCs w:val="22"/>
        </w:rPr>
      </w:pPr>
      <w:r>
        <w:rPr>
          <w:rFonts w:ascii="SimSun" w:hAnsi="SimSun" w:eastAsia="SimSun" w:cs="SimSun"/>
          <w:sz w:val="22"/>
          <w:szCs w:val="22"/>
          <w:spacing w:val="7"/>
        </w:rPr>
        <w:t>(二)职工总数不超过500人、年销售收入不超过2亿元、资</w:t>
      </w:r>
      <w:r>
        <w:rPr>
          <w:rFonts w:ascii="SimSun" w:hAnsi="SimSun" w:eastAsia="SimSun" w:cs="SimSun"/>
          <w:sz w:val="22"/>
          <w:szCs w:val="22"/>
        </w:rPr>
        <w:t xml:space="preserve"> </w:t>
      </w:r>
      <w:r>
        <w:rPr>
          <w:rFonts w:ascii="SimSun" w:hAnsi="SimSun" w:eastAsia="SimSun" w:cs="SimSun"/>
          <w:sz w:val="22"/>
          <w:szCs w:val="22"/>
          <w:spacing w:val="-4"/>
        </w:rPr>
        <w:t>产总额不超过2亿元。</w:t>
      </w:r>
    </w:p>
    <w:p>
      <w:pPr>
        <w:ind w:right="91" w:firstLine="509"/>
        <w:spacing w:before="79" w:line="244" w:lineRule="auto"/>
        <w:rPr>
          <w:rFonts w:ascii="SimSun" w:hAnsi="SimSun" w:eastAsia="SimSun" w:cs="SimSun"/>
          <w:sz w:val="22"/>
          <w:szCs w:val="22"/>
        </w:rPr>
      </w:pPr>
      <w:r>
        <w:rPr>
          <w:rFonts w:ascii="SimSun" w:hAnsi="SimSun" w:eastAsia="SimSun" w:cs="SimSun"/>
          <w:sz w:val="22"/>
          <w:szCs w:val="22"/>
          <w:spacing w:val="-1"/>
        </w:rPr>
        <w:t>(三)企业提供的产品和服务不属于国家规定的禁止、限制和</w:t>
      </w:r>
      <w:r>
        <w:rPr>
          <w:rFonts w:ascii="SimSun" w:hAnsi="SimSun" w:eastAsia="SimSun" w:cs="SimSun"/>
          <w:sz w:val="22"/>
          <w:szCs w:val="22"/>
          <w:spacing w:val="4"/>
        </w:rPr>
        <w:t xml:space="preserve"> </w:t>
      </w:r>
      <w:r>
        <w:rPr>
          <w:rFonts w:ascii="SimSun" w:hAnsi="SimSun" w:eastAsia="SimSun" w:cs="SimSun"/>
          <w:sz w:val="22"/>
          <w:szCs w:val="22"/>
          <w:spacing w:val="-14"/>
        </w:rPr>
        <w:t>淘汰类。</w:t>
      </w:r>
    </w:p>
    <w:p>
      <w:pPr>
        <w:ind w:right="98" w:firstLine="509"/>
        <w:spacing w:before="57" w:line="258" w:lineRule="auto"/>
        <w:rPr>
          <w:rFonts w:ascii="SimSun" w:hAnsi="SimSun" w:eastAsia="SimSun" w:cs="SimSun"/>
          <w:sz w:val="22"/>
          <w:szCs w:val="22"/>
        </w:rPr>
      </w:pPr>
      <w:r>
        <w:rPr>
          <w:rFonts w:ascii="SimSun" w:hAnsi="SimSun" w:eastAsia="SimSun" w:cs="SimSun"/>
          <w:sz w:val="22"/>
          <w:szCs w:val="22"/>
          <w:spacing w:val="-2"/>
        </w:rPr>
        <w:t>(四)企业在填报上一年及当年内未发生重大安全、重大质量</w:t>
      </w:r>
      <w:r>
        <w:rPr>
          <w:rFonts w:ascii="SimSun" w:hAnsi="SimSun" w:eastAsia="SimSun" w:cs="SimSun"/>
          <w:sz w:val="22"/>
          <w:szCs w:val="22"/>
          <w:spacing w:val="5"/>
        </w:rPr>
        <w:t xml:space="preserve"> </w:t>
      </w:r>
      <w:r>
        <w:rPr>
          <w:rFonts w:ascii="SimSun" w:hAnsi="SimSun" w:eastAsia="SimSun" w:cs="SimSun"/>
          <w:sz w:val="22"/>
          <w:szCs w:val="22"/>
          <w:spacing w:val="-6"/>
        </w:rPr>
        <w:t>事故和严重环境违法、科研严重失信行为，且企业未</w:t>
      </w:r>
      <w:r>
        <w:rPr>
          <w:rFonts w:ascii="SimSun" w:hAnsi="SimSun" w:eastAsia="SimSun" w:cs="SimSun"/>
          <w:sz w:val="22"/>
          <w:szCs w:val="22"/>
          <w:spacing w:val="-7"/>
        </w:rPr>
        <w:t>列入经营异常</w:t>
      </w:r>
      <w:r>
        <w:rPr>
          <w:rFonts w:ascii="SimSun" w:hAnsi="SimSun" w:eastAsia="SimSun" w:cs="SimSun"/>
          <w:sz w:val="22"/>
          <w:szCs w:val="22"/>
        </w:rPr>
        <w:t xml:space="preserve"> </w:t>
      </w:r>
      <w:r>
        <w:rPr>
          <w:rFonts w:ascii="SimSun" w:hAnsi="SimSun" w:eastAsia="SimSun" w:cs="SimSun"/>
          <w:sz w:val="22"/>
          <w:szCs w:val="22"/>
          <w:spacing w:val="-14"/>
        </w:rPr>
        <w:t>名录和严重违法失信企业名单。</w:t>
      </w:r>
    </w:p>
    <w:p>
      <w:pPr>
        <w:ind w:right="117" w:firstLine="509"/>
        <w:spacing w:before="58" w:line="252" w:lineRule="auto"/>
        <w:rPr>
          <w:rFonts w:ascii="SimSun" w:hAnsi="SimSun" w:eastAsia="SimSun" w:cs="SimSun"/>
          <w:sz w:val="22"/>
          <w:szCs w:val="22"/>
        </w:rPr>
      </w:pPr>
      <w:r>
        <w:rPr>
          <w:rFonts w:ascii="SimSun" w:hAnsi="SimSun" w:eastAsia="SimSun" w:cs="SimSun"/>
          <w:sz w:val="22"/>
          <w:szCs w:val="22"/>
          <w:spacing w:val="-2"/>
        </w:rPr>
        <w:t>(五)企业根据科技型中小企业评价指标进行综合评价所得分</w:t>
      </w:r>
      <w:r>
        <w:rPr>
          <w:rFonts w:ascii="SimSun" w:hAnsi="SimSun" w:eastAsia="SimSun" w:cs="SimSun"/>
          <w:sz w:val="22"/>
          <w:szCs w:val="22"/>
          <w:spacing w:val="5"/>
        </w:rPr>
        <w:t xml:space="preserve"> </w:t>
      </w:r>
      <w:r>
        <w:rPr>
          <w:rFonts w:ascii="SimSun" w:hAnsi="SimSun" w:eastAsia="SimSun" w:cs="SimSun"/>
          <w:sz w:val="22"/>
          <w:szCs w:val="22"/>
          <w:spacing w:val="-2"/>
        </w:rPr>
        <w:t>值不低于60分，且科技人员指标得分不得为0分。</w:t>
      </w:r>
    </w:p>
    <w:p>
      <w:pPr>
        <w:ind w:left="429"/>
        <w:spacing w:before="49" w:line="219" w:lineRule="auto"/>
        <w:rPr>
          <w:rFonts w:ascii="SimSun" w:hAnsi="SimSun" w:eastAsia="SimSun" w:cs="SimSun"/>
          <w:sz w:val="22"/>
          <w:szCs w:val="22"/>
        </w:rPr>
      </w:pPr>
      <w:r>
        <w:rPr>
          <w:rFonts w:ascii="SimSun" w:hAnsi="SimSun" w:eastAsia="SimSun" w:cs="SimSun"/>
          <w:sz w:val="22"/>
          <w:szCs w:val="22"/>
          <w:spacing w:val="-14"/>
        </w:rPr>
        <w:t>具体认定标准及流程，详见各地科技型中小企业认定</w:t>
      </w:r>
      <w:r>
        <w:rPr>
          <w:rFonts w:ascii="SimSun" w:hAnsi="SimSun" w:eastAsia="SimSun" w:cs="SimSun"/>
          <w:sz w:val="22"/>
          <w:szCs w:val="22"/>
          <w:spacing w:val="-15"/>
        </w:rPr>
        <w:t>管理办法。</w:t>
      </w:r>
    </w:p>
    <w:p>
      <w:pPr>
        <w:spacing w:line="219" w:lineRule="auto"/>
        <w:sectPr>
          <w:footerReference w:type="default" r:id="rId46"/>
          <w:pgSz w:w="8220" w:h="11910"/>
          <w:pgMar w:top="400" w:right="930" w:bottom="942" w:left="990" w:header="0" w:footer="783" w:gutter="0"/>
        </w:sectPr>
        <w:rPr>
          <w:rFonts w:ascii="SimSun" w:hAnsi="SimSun" w:eastAsia="SimSun" w:cs="SimSun"/>
          <w:sz w:val="22"/>
          <w:szCs w:val="22"/>
        </w:rPr>
      </w:pPr>
    </w:p>
    <w:p>
      <w:pPr>
        <w:pStyle w:val="BodyText"/>
        <w:spacing w:line="297" w:lineRule="auto"/>
        <w:rPr/>
      </w:pPr>
      <w:r/>
    </w:p>
    <w:p>
      <w:pPr>
        <w:pStyle w:val="BodyText"/>
        <w:spacing w:line="297" w:lineRule="auto"/>
        <w:rPr/>
      </w:pPr>
      <w:r/>
    </w:p>
    <w:p>
      <w:pPr>
        <w:pStyle w:val="BodyText"/>
        <w:spacing w:line="297" w:lineRule="auto"/>
        <w:rPr/>
      </w:pPr>
      <w:r/>
    </w:p>
    <w:p>
      <w:pPr>
        <w:ind w:left="1358"/>
        <w:spacing w:before="78" w:line="222" w:lineRule="auto"/>
        <w:rPr>
          <w:rFonts w:ascii="SimHei" w:hAnsi="SimHei" w:eastAsia="SimHei" w:cs="SimHei"/>
          <w:sz w:val="24"/>
          <w:szCs w:val="24"/>
        </w:rPr>
      </w:pPr>
      <w:r>
        <w:rPr>
          <w:rFonts w:ascii="SimHei" w:hAnsi="SimHei" w:eastAsia="SimHei" w:cs="SimHei"/>
          <w:sz w:val="24"/>
          <w:szCs w:val="24"/>
          <w:b/>
          <w:bCs/>
          <w:spacing w:val="-2"/>
        </w:rPr>
        <w:t>附录一：全国政府性基金目录清单</w:t>
      </w:r>
    </w:p>
    <w:p>
      <w:pPr>
        <w:ind w:left="2184"/>
        <w:spacing w:before="19" w:line="223" w:lineRule="auto"/>
        <w:rPr>
          <w:rFonts w:ascii="KaiTi" w:hAnsi="KaiTi" w:eastAsia="KaiTi" w:cs="KaiTi"/>
          <w:sz w:val="20"/>
          <w:szCs w:val="20"/>
        </w:rPr>
      </w:pPr>
      <w:r>
        <w:rPr>
          <w:rFonts w:ascii="KaiTi" w:hAnsi="KaiTi" w:eastAsia="KaiTi" w:cs="KaiTi"/>
          <w:sz w:val="20"/>
          <w:szCs w:val="20"/>
          <w:spacing w:val="6"/>
        </w:rPr>
        <w:t>(截至2021年10月1日)</w:t>
      </w:r>
    </w:p>
    <w:p>
      <w:pPr>
        <w:spacing w:before="138"/>
        <w:rPr/>
      </w:pPr>
      <w:r/>
    </w:p>
    <w:tbl>
      <w:tblPr>
        <w:tblStyle w:val="TableNormal"/>
        <w:tblW w:w="62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
        <w:gridCol w:w="1667"/>
        <w:gridCol w:w="1428"/>
        <w:gridCol w:w="2850"/>
      </w:tblGrid>
      <w:tr>
        <w:trPr>
          <w:trHeight w:val="315" w:hRule="atLeast"/>
        </w:trPr>
        <w:tc>
          <w:tcPr>
            <w:tcW w:w="354" w:type="dxa"/>
            <w:vAlign w:val="top"/>
          </w:tcPr>
          <w:p>
            <w:pPr>
              <w:pStyle w:val="TableText"/>
              <w:ind w:left="14"/>
              <w:spacing w:before="82" w:line="221" w:lineRule="auto"/>
              <w:rPr/>
            </w:pPr>
            <w:r>
              <w:rPr>
                <w:spacing w:val="-2"/>
              </w:rPr>
              <w:t>序号</w:t>
            </w:r>
          </w:p>
        </w:tc>
        <w:tc>
          <w:tcPr>
            <w:tcW w:w="1667" w:type="dxa"/>
            <w:vAlign w:val="top"/>
          </w:tcPr>
          <w:p>
            <w:pPr>
              <w:pStyle w:val="TableText"/>
              <w:ind w:left="541"/>
              <w:spacing w:before="81" w:line="220" w:lineRule="auto"/>
              <w:rPr/>
            </w:pPr>
            <w:r>
              <w:rPr>
                <w:spacing w:val="-2"/>
              </w:rPr>
              <w:t>项目名称</w:t>
            </w:r>
          </w:p>
        </w:tc>
        <w:tc>
          <w:tcPr>
            <w:tcW w:w="1428" w:type="dxa"/>
            <w:vAlign w:val="top"/>
          </w:tcPr>
          <w:p>
            <w:pPr>
              <w:pStyle w:val="TableText"/>
              <w:ind w:left="253"/>
              <w:spacing w:before="81" w:line="219" w:lineRule="auto"/>
              <w:rPr/>
            </w:pPr>
            <w:r>
              <w:rPr>
                <w:spacing w:val="-2"/>
              </w:rPr>
              <w:t>资金管理方式</w:t>
            </w:r>
          </w:p>
        </w:tc>
        <w:tc>
          <w:tcPr>
            <w:tcW w:w="2850" w:type="dxa"/>
            <w:vAlign w:val="top"/>
          </w:tcPr>
          <w:p>
            <w:pPr>
              <w:pStyle w:val="TableText"/>
              <w:ind w:left="1115"/>
              <w:spacing w:before="80" w:line="219" w:lineRule="auto"/>
              <w:rPr/>
            </w:pPr>
            <w:r>
              <w:rPr>
                <w:spacing w:val="-1"/>
              </w:rPr>
              <w:t>政策依据</w:t>
            </w:r>
          </w:p>
        </w:tc>
      </w:tr>
      <w:tr>
        <w:trPr>
          <w:trHeight w:val="659" w:hRule="atLeast"/>
        </w:trPr>
        <w:tc>
          <w:tcPr>
            <w:tcW w:w="354" w:type="dxa"/>
            <w:vAlign w:val="top"/>
          </w:tcPr>
          <w:p>
            <w:pPr>
              <w:spacing w:line="243" w:lineRule="auto"/>
              <w:rPr>
                <w:rFonts w:ascii="Arial"/>
                <w:sz w:val="21"/>
              </w:rPr>
            </w:pPr>
            <w:r/>
          </w:p>
          <w:p>
            <w:pPr>
              <w:pStyle w:val="TableText"/>
              <w:ind w:left="124"/>
              <w:spacing w:before="49" w:line="184" w:lineRule="auto"/>
              <w:rPr/>
            </w:pPr>
            <w:r>
              <w:rPr/>
              <w:t>1</w:t>
            </w:r>
          </w:p>
        </w:tc>
        <w:tc>
          <w:tcPr>
            <w:tcW w:w="1667" w:type="dxa"/>
            <w:vAlign w:val="top"/>
          </w:tcPr>
          <w:p>
            <w:pPr>
              <w:pStyle w:val="TableText"/>
              <w:ind w:left="40"/>
              <w:spacing w:before="256" w:line="219" w:lineRule="auto"/>
              <w:rPr/>
            </w:pPr>
            <w:r>
              <w:rPr>
                <w:spacing w:val="-1"/>
              </w:rPr>
              <w:t>铁路建设基金</w:t>
            </w:r>
          </w:p>
        </w:tc>
        <w:tc>
          <w:tcPr>
            <w:tcW w:w="1428" w:type="dxa"/>
            <w:vAlign w:val="top"/>
          </w:tcPr>
          <w:p>
            <w:pPr>
              <w:pStyle w:val="TableText"/>
              <w:ind w:left="34"/>
              <w:spacing w:before="256" w:line="219" w:lineRule="auto"/>
              <w:rPr/>
            </w:pPr>
            <w:r>
              <w:rPr>
                <w:spacing w:val="-1"/>
              </w:rPr>
              <w:t>缴入中央国库</w:t>
            </w:r>
          </w:p>
        </w:tc>
        <w:tc>
          <w:tcPr>
            <w:tcW w:w="2850" w:type="dxa"/>
            <w:vAlign w:val="top"/>
          </w:tcPr>
          <w:p>
            <w:pPr>
              <w:pStyle w:val="TableText"/>
              <w:ind w:left="35" w:right="24" w:hanging="9"/>
              <w:spacing w:before="146" w:line="258" w:lineRule="auto"/>
              <w:rPr/>
            </w:pPr>
            <w:r>
              <w:rPr/>
              <w:t>国发〔1992〕37号，财工字〔1996〕371号</w:t>
            </w:r>
            <w:r>
              <w:rPr>
                <w:spacing w:val="13"/>
              </w:rPr>
              <w:t xml:space="preserve"> </w:t>
            </w:r>
            <w:r>
              <w:rPr>
                <w:spacing w:val="-1"/>
              </w:rPr>
              <w:t>财工〔1997〕543号，财综〔2007〕3号</w:t>
            </w:r>
          </w:p>
        </w:tc>
      </w:tr>
      <w:tr>
        <w:trPr>
          <w:trHeight w:val="649" w:hRule="atLeast"/>
        </w:trPr>
        <w:tc>
          <w:tcPr>
            <w:tcW w:w="354" w:type="dxa"/>
            <w:vAlign w:val="top"/>
          </w:tcPr>
          <w:p>
            <w:pPr>
              <w:pStyle w:val="TableText"/>
              <w:ind w:left="124"/>
              <w:spacing w:before="285" w:line="183" w:lineRule="auto"/>
              <w:rPr/>
            </w:pPr>
            <w:r>
              <w:rPr/>
              <w:t>2</w:t>
            </w:r>
          </w:p>
        </w:tc>
        <w:tc>
          <w:tcPr>
            <w:tcW w:w="1667" w:type="dxa"/>
            <w:vAlign w:val="top"/>
          </w:tcPr>
          <w:p>
            <w:pPr>
              <w:pStyle w:val="TableText"/>
              <w:ind w:left="40"/>
              <w:spacing w:before="247" w:line="220" w:lineRule="auto"/>
              <w:rPr/>
            </w:pPr>
            <w:r>
              <w:rPr>
                <w:spacing w:val="1"/>
              </w:rPr>
              <w:t>民航发展基金</w:t>
            </w:r>
          </w:p>
        </w:tc>
        <w:tc>
          <w:tcPr>
            <w:tcW w:w="1428" w:type="dxa"/>
            <w:vAlign w:val="top"/>
          </w:tcPr>
          <w:p>
            <w:pPr>
              <w:pStyle w:val="TableText"/>
              <w:ind w:left="23"/>
              <w:spacing w:before="247" w:line="219" w:lineRule="auto"/>
              <w:rPr/>
            </w:pPr>
            <w:r>
              <w:rPr>
                <w:spacing w:val="-1"/>
              </w:rPr>
              <w:t>缴入中央国库</w:t>
            </w:r>
          </w:p>
        </w:tc>
        <w:tc>
          <w:tcPr>
            <w:tcW w:w="2850" w:type="dxa"/>
            <w:vAlign w:val="top"/>
          </w:tcPr>
          <w:p>
            <w:pPr>
              <w:pStyle w:val="TableText"/>
              <w:ind w:left="15" w:right="39" w:firstLine="90"/>
              <w:spacing w:before="148" w:line="239" w:lineRule="auto"/>
              <w:rPr/>
            </w:pPr>
            <w:r>
              <w:rPr>
                <w:spacing w:val="-1"/>
              </w:rPr>
              <w:t>国发〔2012〕24号，财综〔2012〕17号，</w:t>
            </w:r>
            <w:r>
              <w:rPr>
                <w:spacing w:val="17"/>
              </w:rPr>
              <w:t xml:space="preserve"> </w:t>
            </w:r>
            <w:r>
              <w:rPr>
                <w:spacing w:val="-1"/>
              </w:rPr>
              <w:t>财税〔2015〕135号，财税〔2019〕46号</w:t>
            </w:r>
          </w:p>
        </w:tc>
      </w:tr>
      <w:tr>
        <w:trPr>
          <w:trHeight w:val="859" w:hRule="atLeast"/>
        </w:trPr>
        <w:tc>
          <w:tcPr>
            <w:tcW w:w="354" w:type="dxa"/>
            <w:vAlign w:val="top"/>
          </w:tcPr>
          <w:p>
            <w:pPr>
              <w:spacing w:line="345" w:lineRule="auto"/>
              <w:rPr>
                <w:rFonts w:ascii="Arial"/>
                <w:sz w:val="21"/>
              </w:rPr>
            </w:pPr>
            <w:r/>
          </w:p>
          <w:p>
            <w:pPr>
              <w:pStyle w:val="TableText"/>
              <w:ind w:left="124"/>
              <w:spacing w:before="49" w:line="183" w:lineRule="auto"/>
              <w:rPr/>
            </w:pPr>
            <w:r>
              <w:rPr/>
              <w:t>3</w:t>
            </w:r>
          </w:p>
        </w:tc>
        <w:tc>
          <w:tcPr>
            <w:tcW w:w="1667" w:type="dxa"/>
            <w:vAlign w:val="top"/>
          </w:tcPr>
          <w:p>
            <w:pPr>
              <w:pStyle w:val="TableText"/>
              <w:ind w:left="40" w:right="135" w:hanging="10"/>
              <w:spacing w:before="267" w:line="234" w:lineRule="auto"/>
              <w:rPr/>
            </w:pPr>
            <w:r>
              <w:rPr>
                <w:spacing w:val="-1"/>
              </w:rPr>
              <w:t>高等级公路车辆通行附</w:t>
            </w:r>
            <w:r>
              <w:rPr/>
              <w:t xml:space="preserve"> </w:t>
            </w:r>
            <w:r>
              <w:rPr>
                <w:spacing w:val="5"/>
              </w:rPr>
              <w:t>加费(海南)</w:t>
            </w:r>
          </w:p>
        </w:tc>
        <w:tc>
          <w:tcPr>
            <w:tcW w:w="1428" w:type="dxa"/>
            <w:vAlign w:val="top"/>
          </w:tcPr>
          <w:p>
            <w:pPr>
              <w:spacing w:line="307" w:lineRule="auto"/>
              <w:rPr>
                <w:rFonts w:ascii="Arial"/>
                <w:sz w:val="21"/>
              </w:rPr>
            </w:pPr>
            <w:r/>
          </w:p>
          <w:p>
            <w:pPr>
              <w:pStyle w:val="TableText"/>
              <w:ind w:left="34"/>
              <w:spacing w:before="49" w:line="219" w:lineRule="auto"/>
              <w:rPr/>
            </w:pPr>
            <w:r>
              <w:rPr>
                <w:spacing w:val="-1"/>
              </w:rPr>
              <w:t>缴入地方国库</w:t>
            </w:r>
          </w:p>
        </w:tc>
        <w:tc>
          <w:tcPr>
            <w:tcW w:w="2850" w:type="dxa"/>
            <w:vAlign w:val="top"/>
          </w:tcPr>
          <w:p>
            <w:pPr>
              <w:pStyle w:val="TableText"/>
              <w:ind w:left="35" w:right="80" w:firstLine="30"/>
              <w:spacing w:before="147" w:line="253" w:lineRule="auto"/>
              <w:jc w:val="both"/>
              <w:rPr/>
            </w:pPr>
            <w:r>
              <w:rPr>
                <w:spacing w:val="-1"/>
              </w:rPr>
              <w:t>财综〔2008〕84号，《海南经济特区机动</w:t>
            </w:r>
            <w:r>
              <w:rPr>
                <w:spacing w:val="13"/>
              </w:rPr>
              <w:t xml:space="preserve"> </w:t>
            </w:r>
            <w:r>
              <w:rPr>
                <w:spacing w:val="3"/>
              </w:rPr>
              <w:t>车辆通行附加费征收管理条例》(海南省</w:t>
            </w:r>
            <w:r>
              <w:rPr>
                <w:spacing w:val="7"/>
              </w:rPr>
              <w:t xml:space="preserve"> </w:t>
            </w:r>
            <w:r>
              <w:rPr>
                <w:spacing w:val="1"/>
              </w:rPr>
              <w:t>人民代表大会常务委员会公告第54号)</w:t>
            </w:r>
          </w:p>
        </w:tc>
      </w:tr>
      <w:tr>
        <w:trPr>
          <w:trHeight w:val="1298" w:hRule="atLeast"/>
        </w:trPr>
        <w:tc>
          <w:tcPr>
            <w:tcW w:w="354" w:type="dxa"/>
            <w:vAlign w:val="top"/>
          </w:tcPr>
          <w:p>
            <w:pPr>
              <w:spacing w:line="282" w:lineRule="auto"/>
              <w:rPr>
                <w:rFonts w:ascii="Arial"/>
                <w:sz w:val="21"/>
              </w:rPr>
            </w:pPr>
            <w:r/>
          </w:p>
          <w:p>
            <w:pPr>
              <w:spacing w:line="283" w:lineRule="auto"/>
              <w:rPr>
                <w:rFonts w:ascii="Arial"/>
                <w:sz w:val="21"/>
              </w:rPr>
            </w:pPr>
            <w:r/>
          </w:p>
          <w:p>
            <w:pPr>
              <w:pStyle w:val="TableText"/>
              <w:ind w:left="124"/>
              <w:spacing w:before="49" w:line="183" w:lineRule="auto"/>
              <w:rPr/>
            </w:pPr>
            <w:r>
              <w:rPr/>
              <w:t>4</w:t>
            </w:r>
          </w:p>
        </w:tc>
        <w:tc>
          <w:tcPr>
            <w:tcW w:w="1667" w:type="dxa"/>
            <w:vAlign w:val="top"/>
          </w:tcPr>
          <w:p>
            <w:pPr>
              <w:spacing w:line="438" w:lineRule="auto"/>
              <w:rPr>
                <w:rFonts w:ascii="Arial"/>
                <w:sz w:val="21"/>
              </w:rPr>
            </w:pPr>
            <w:r/>
          </w:p>
          <w:p>
            <w:pPr>
              <w:pStyle w:val="TableText"/>
              <w:ind w:left="40" w:right="119" w:hanging="10"/>
              <w:spacing w:before="48" w:line="239" w:lineRule="auto"/>
              <w:rPr/>
            </w:pPr>
            <w:r>
              <w:rPr/>
              <w:t>国家重大水利工程建设</w:t>
            </w:r>
            <w:r>
              <w:rPr>
                <w:spacing w:val="5"/>
              </w:rPr>
              <w:t xml:space="preserve"> </w:t>
            </w:r>
            <w:r>
              <w:rPr>
                <w:spacing w:val="-2"/>
              </w:rPr>
              <w:t>基金</w:t>
            </w:r>
          </w:p>
        </w:tc>
        <w:tc>
          <w:tcPr>
            <w:tcW w:w="1428" w:type="dxa"/>
            <w:vAlign w:val="top"/>
          </w:tcPr>
          <w:p>
            <w:pPr>
              <w:spacing w:line="263" w:lineRule="auto"/>
              <w:rPr>
                <w:rFonts w:ascii="Arial"/>
                <w:sz w:val="21"/>
              </w:rPr>
            </w:pPr>
            <w:r/>
          </w:p>
          <w:p>
            <w:pPr>
              <w:spacing w:line="264" w:lineRule="auto"/>
              <w:rPr>
                <w:rFonts w:ascii="Arial"/>
                <w:sz w:val="21"/>
              </w:rPr>
            </w:pPr>
            <w:r/>
          </w:p>
          <w:p>
            <w:pPr>
              <w:pStyle w:val="TableText"/>
              <w:ind w:left="34"/>
              <w:spacing w:before="49" w:line="219" w:lineRule="auto"/>
              <w:rPr/>
            </w:pPr>
            <w:r>
              <w:rPr>
                <w:spacing w:val="-1"/>
              </w:rPr>
              <w:t>缴入中央和地方国库</w:t>
            </w:r>
          </w:p>
        </w:tc>
        <w:tc>
          <w:tcPr>
            <w:tcW w:w="2850" w:type="dxa"/>
            <w:vAlign w:val="top"/>
          </w:tcPr>
          <w:p>
            <w:pPr>
              <w:pStyle w:val="TableText"/>
              <w:ind w:left="145"/>
              <w:spacing w:before="159" w:line="220" w:lineRule="auto"/>
              <w:rPr/>
            </w:pPr>
            <w:r>
              <w:rPr>
                <w:spacing w:val="-1"/>
              </w:rPr>
              <w:t>财综〔2009〕90号，财综〔2010〕97号</w:t>
            </w:r>
          </w:p>
          <w:p>
            <w:pPr>
              <w:pStyle w:val="TableText"/>
              <w:ind w:left="26" w:firstLine="78"/>
              <w:spacing w:before="51" w:line="255" w:lineRule="auto"/>
              <w:rPr/>
            </w:pPr>
            <w:r>
              <w:rPr>
                <w:spacing w:val="-2"/>
              </w:rPr>
              <w:t>财税〔2010〕44号，财综[2013〕103号，</w:t>
            </w:r>
            <w:r>
              <w:rPr>
                <w:spacing w:val="3"/>
              </w:rPr>
              <w:t xml:space="preserve">  </w:t>
            </w:r>
            <w:r>
              <w:rPr/>
              <w:t>财税〔2015〕80号，财办税〔2015〕4号， </w:t>
            </w:r>
            <w:r>
              <w:rPr>
                <w:spacing w:val="-2"/>
              </w:rPr>
              <w:t>财税〔2017〕51号，财办税〔2017〕60号，</w:t>
            </w:r>
            <w:r>
              <w:rPr>
                <w:spacing w:val="12"/>
              </w:rPr>
              <w:t xml:space="preserve"> </w:t>
            </w:r>
            <w:r>
              <w:rPr>
                <w:spacing w:val="-2"/>
              </w:rPr>
              <w:t>财税〔2018〕39号，财税〔2019〕46号</w:t>
            </w:r>
          </w:p>
        </w:tc>
      </w:tr>
      <w:tr>
        <w:trPr>
          <w:trHeight w:val="1089" w:hRule="atLeast"/>
        </w:trPr>
        <w:tc>
          <w:tcPr>
            <w:tcW w:w="354" w:type="dxa"/>
            <w:vAlign w:val="top"/>
          </w:tcPr>
          <w:p>
            <w:pPr>
              <w:spacing w:line="459" w:lineRule="auto"/>
              <w:rPr>
                <w:rFonts w:ascii="Arial"/>
                <w:sz w:val="21"/>
              </w:rPr>
            </w:pPr>
            <w:r/>
          </w:p>
          <w:p>
            <w:pPr>
              <w:pStyle w:val="TableText"/>
              <w:ind w:left="124"/>
              <w:spacing w:before="48" w:line="182" w:lineRule="auto"/>
              <w:rPr/>
            </w:pPr>
            <w:r>
              <w:rPr/>
              <w:t>5</w:t>
            </w:r>
          </w:p>
        </w:tc>
        <w:tc>
          <w:tcPr>
            <w:tcW w:w="1667" w:type="dxa"/>
            <w:vAlign w:val="top"/>
          </w:tcPr>
          <w:p>
            <w:pPr>
              <w:spacing w:line="419" w:lineRule="auto"/>
              <w:rPr>
                <w:rFonts w:ascii="Arial"/>
                <w:sz w:val="21"/>
              </w:rPr>
            </w:pPr>
            <w:r/>
          </w:p>
          <w:p>
            <w:pPr>
              <w:pStyle w:val="TableText"/>
              <w:ind w:left="40"/>
              <w:spacing w:before="49" w:line="219" w:lineRule="auto"/>
              <w:rPr/>
            </w:pPr>
            <w:r>
              <w:rPr>
                <w:spacing w:val="-2"/>
              </w:rPr>
              <w:t>水利建设基金</w:t>
            </w:r>
          </w:p>
        </w:tc>
        <w:tc>
          <w:tcPr>
            <w:tcW w:w="1428" w:type="dxa"/>
            <w:vAlign w:val="top"/>
          </w:tcPr>
          <w:p>
            <w:pPr>
              <w:spacing w:line="419" w:lineRule="auto"/>
              <w:rPr>
                <w:rFonts w:ascii="Arial"/>
                <w:sz w:val="21"/>
              </w:rPr>
            </w:pPr>
            <w:r/>
          </w:p>
          <w:p>
            <w:pPr>
              <w:pStyle w:val="TableText"/>
              <w:ind w:left="34"/>
              <w:spacing w:before="49" w:line="219" w:lineRule="auto"/>
              <w:rPr/>
            </w:pPr>
            <w:r>
              <w:rPr>
                <w:spacing w:val="-1"/>
              </w:rPr>
              <w:t>缴入中央和地方国库</w:t>
            </w:r>
          </w:p>
        </w:tc>
        <w:tc>
          <w:tcPr>
            <w:tcW w:w="2850" w:type="dxa"/>
            <w:vAlign w:val="top"/>
          </w:tcPr>
          <w:p>
            <w:pPr>
              <w:pStyle w:val="TableText"/>
              <w:ind w:left="15" w:firstLine="48"/>
              <w:spacing w:before="161" w:line="258" w:lineRule="auto"/>
              <w:rPr/>
            </w:pPr>
            <w:r>
              <w:rPr>
                <w:spacing w:val="-3"/>
              </w:rPr>
              <w:t>财综字〔1998〕125号，财综〔2011〕</w:t>
            </w:r>
            <w:r>
              <w:rPr>
                <w:spacing w:val="-4"/>
              </w:rPr>
              <w:t>2号</w:t>
            </w:r>
            <w:r>
              <w:rPr/>
              <w:t xml:space="preserve">   </w:t>
            </w:r>
            <w:r>
              <w:rPr>
                <w:spacing w:val="-10"/>
              </w:rPr>
              <w:t>财综函〔2011〕33号，财办综〔2011〕111号，</w:t>
            </w:r>
            <w:r>
              <w:rPr>
                <w:spacing w:val="18"/>
              </w:rPr>
              <w:t xml:space="preserve"> </w:t>
            </w:r>
            <w:r>
              <w:rPr>
                <w:spacing w:val="-4"/>
              </w:rPr>
              <w:t>财税函〔2016〕291号，财税〔201</w:t>
            </w:r>
            <w:r>
              <w:rPr>
                <w:spacing w:val="-5"/>
              </w:rPr>
              <w:t>6〕12号，</w:t>
            </w:r>
            <w:r>
              <w:rPr/>
              <w:t xml:space="preserve"> </w:t>
            </w:r>
            <w:r>
              <w:rPr>
                <w:spacing w:val="-3"/>
              </w:rPr>
              <w:t>财税〔2017〕18号</w:t>
            </w:r>
          </w:p>
        </w:tc>
      </w:tr>
      <w:tr>
        <w:trPr>
          <w:trHeight w:val="659" w:hRule="atLeast"/>
        </w:trPr>
        <w:tc>
          <w:tcPr>
            <w:tcW w:w="354" w:type="dxa"/>
            <w:vAlign w:val="top"/>
          </w:tcPr>
          <w:p>
            <w:pPr>
              <w:spacing w:line="250" w:lineRule="auto"/>
              <w:rPr>
                <w:rFonts w:ascii="Arial"/>
                <w:sz w:val="21"/>
              </w:rPr>
            </w:pPr>
            <w:r/>
          </w:p>
          <w:p>
            <w:pPr>
              <w:pStyle w:val="TableText"/>
              <w:ind w:left="124"/>
              <w:spacing w:before="49" w:line="183" w:lineRule="auto"/>
              <w:rPr/>
            </w:pPr>
            <w:r>
              <w:rPr/>
              <w:t>6</w:t>
            </w:r>
          </w:p>
        </w:tc>
        <w:tc>
          <w:tcPr>
            <w:tcW w:w="1667" w:type="dxa"/>
            <w:vAlign w:val="top"/>
          </w:tcPr>
          <w:p>
            <w:pPr>
              <w:pStyle w:val="TableText"/>
              <w:ind w:left="40"/>
              <w:spacing w:before="262" w:line="219" w:lineRule="auto"/>
              <w:rPr/>
            </w:pPr>
            <w:r>
              <w:rPr>
                <w:spacing w:val="-1"/>
              </w:rPr>
              <w:t>城市基础设施配套费</w:t>
            </w:r>
          </w:p>
        </w:tc>
        <w:tc>
          <w:tcPr>
            <w:tcW w:w="1428" w:type="dxa"/>
            <w:vAlign w:val="top"/>
          </w:tcPr>
          <w:p>
            <w:pPr>
              <w:pStyle w:val="TableText"/>
              <w:ind w:left="34"/>
              <w:spacing w:before="262" w:line="219" w:lineRule="auto"/>
              <w:rPr/>
            </w:pPr>
            <w:r>
              <w:rPr>
                <w:spacing w:val="-1"/>
              </w:rPr>
              <w:t>缴入地方国库</w:t>
            </w:r>
          </w:p>
        </w:tc>
        <w:tc>
          <w:tcPr>
            <w:tcW w:w="2850" w:type="dxa"/>
            <w:vAlign w:val="top"/>
          </w:tcPr>
          <w:p>
            <w:pPr>
              <w:pStyle w:val="TableText"/>
              <w:ind w:left="35" w:right="69" w:firstLine="109"/>
              <w:spacing w:before="173" w:line="239" w:lineRule="auto"/>
              <w:rPr/>
            </w:pPr>
            <w:r>
              <w:rPr/>
              <w:t>国发〔1998〕34号，财综函[2002]3</w:t>
            </w:r>
            <w:r>
              <w:rPr>
                <w:spacing w:val="-1"/>
              </w:rPr>
              <w:t>号，</w:t>
            </w:r>
            <w:r>
              <w:rPr/>
              <w:t xml:space="preserve"> </w:t>
            </w:r>
            <w:r>
              <w:rPr>
                <w:spacing w:val="-1"/>
              </w:rPr>
              <w:t>财税〔2019〕53号</w:t>
            </w:r>
          </w:p>
        </w:tc>
      </w:tr>
      <w:tr>
        <w:trPr>
          <w:trHeight w:val="1079" w:hRule="atLeast"/>
        </w:trPr>
        <w:tc>
          <w:tcPr>
            <w:tcW w:w="354" w:type="dxa"/>
            <w:vAlign w:val="top"/>
          </w:tcPr>
          <w:p>
            <w:pPr>
              <w:spacing w:line="461" w:lineRule="auto"/>
              <w:rPr>
                <w:rFonts w:ascii="Arial"/>
                <w:sz w:val="21"/>
              </w:rPr>
            </w:pPr>
            <w:r/>
          </w:p>
          <w:p>
            <w:pPr>
              <w:pStyle w:val="TableText"/>
              <w:ind w:left="124"/>
              <w:spacing w:before="48" w:line="182" w:lineRule="auto"/>
              <w:rPr/>
            </w:pPr>
            <w:r>
              <w:rPr/>
              <w:t>7</w:t>
            </w:r>
          </w:p>
        </w:tc>
        <w:tc>
          <w:tcPr>
            <w:tcW w:w="1667" w:type="dxa"/>
            <w:vAlign w:val="top"/>
          </w:tcPr>
          <w:p>
            <w:pPr>
              <w:spacing w:line="421" w:lineRule="auto"/>
              <w:rPr>
                <w:rFonts w:ascii="Arial"/>
                <w:sz w:val="21"/>
              </w:rPr>
            </w:pPr>
            <w:r/>
          </w:p>
          <w:p>
            <w:pPr>
              <w:pStyle w:val="TableText"/>
              <w:ind w:left="40"/>
              <w:spacing w:before="49" w:line="219" w:lineRule="auto"/>
              <w:rPr/>
            </w:pPr>
            <w:r>
              <w:rPr>
                <w:spacing w:val="-1"/>
              </w:rPr>
              <w:t>农网还贷资金</w:t>
            </w:r>
          </w:p>
        </w:tc>
        <w:tc>
          <w:tcPr>
            <w:tcW w:w="1428" w:type="dxa"/>
            <w:vAlign w:val="top"/>
          </w:tcPr>
          <w:p>
            <w:pPr>
              <w:spacing w:line="421" w:lineRule="auto"/>
              <w:rPr>
                <w:rFonts w:ascii="Arial"/>
                <w:sz w:val="21"/>
              </w:rPr>
            </w:pPr>
            <w:r/>
          </w:p>
          <w:p>
            <w:pPr>
              <w:pStyle w:val="TableText"/>
              <w:ind w:left="34"/>
              <w:spacing w:before="49" w:line="219" w:lineRule="auto"/>
              <w:rPr/>
            </w:pPr>
            <w:r>
              <w:rPr>
                <w:spacing w:val="-1"/>
              </w:rPr>
              <w:t>缴入中央和地方国库</w:t>
            </w:r>
          </w:p>
        </w:tc>
        <w:tc>
          <w:tcPr>
            <w:tcW w:w="2850" w:type="dxa"/>
            <w:vAlign w:val="top"/>
          </w:tcPr>
          <w:p>
            <w:pPr>
              <w:pStyle w:val="TableText"/>
              <w:ind w:left="144" w:hanging="118"/>
              <w:spacing w:before="153" w:line="258" w:lineRule="auto"/>
              <w:rPr/>
            </w:pPr>
            <w:r>
              <w:rPr>
                <w:spacing w:val="-2"/>
              </w:rPr>
              <w:t>财企〔2001〕820号，财企〔2002〕266号，</w:t>
            </w:r>
            <w:r>
              <w:rPr>
                <w:spacing w:val="14"/>
              </w:rPr>
              <w:t xml:space="preserve"> </w:t>
            </w:r>
            <w:r>
              <w:rPr>
                <w:spacing w:val="-3"/>
              </w:rPr>
              <w:t>财企〔2006〕347号，财综〔2007〕3号   </w:t>
            </w:r>
            <w:r>
              <w:rPr>
                <w:spacing w:val="-2"/>
              </w:rPr>
              <w:t>财综〔2012〕7号，财综〔2013〕103号</w:t>
            </w:r>
          </w:p>
          <w:p>
            <w:pPr>
              <w:pStyle w:val="TableText"/>
              <w:ind w:left="35"/>
              <w:spacing w:before="31" w:line="220" w:lineRule="auto"/>
              <w:rPr/>
            </w:pPr>
            <w:r>
              <w:rPr>
                <w:spacing w:val="-1"/>
              </w:rPr>
              <w:t>财税〔2015〕59号</w:t>
            </w:r>
          </w:p>
        </w:tc>
      </w:tr>
      <w:tr>
        <w:trPr>
          <w:trHeight w:val="1753" w:hRule="atLeast"/>
        </w:trPr>
        <w:tc>
          <w:tcPr>
            <w:tcW w:w="354"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24"/>
              <w:spacing w:before="49" w:line="183" w:lineRule="auto"/>
              <w:rPr/>
            </w:pPr>
            <w:r>
              <w:rPr/>
              <w:t>8</w:t>
            </w:r>
          </w:p>
        </w:tc>
        <w:tc>
          <w:tcPr>
            <w:tcW w:w="1667"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0"/>
              <w:spacing w:before="49" w:line="219" w:lineRule="auto"/>
              <w:rPr/>
            </w:pPr>
            <w:r>
              <w:rPr>
                <w:spacing w:val="-2"/>
              </w:rPr>
              <w:t>教育费附加</w:t>
            </w:r>
          </w:p>
        </w:tc>
        <w:tc>
          <w:tcPr>
            <w:tcW w:w="1428"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4"/>
              <w:spacing w:before="49" w:line="219" w:lineRule="auto"/>
              <w:rPr/>
            </w:pPr>
            <w:r>
              <w:rPr>
                <w:spacing w:val="-1"/>
              </w:rPr>
              <w:t>缴入中央和地方国库</w:t>
            </w:r>
          </w:p>
        </w:tc>
        <w:tc>
          <w:tcPr>
            <w:tcW w:w="2850" w:type="dxa"/>
            <w:vAlign w:val="top"/>
          </w:tcPr>
          <w:p>
            <w:pPr>
              <w:pStyle w:val="TableText"/>
              <w:ind w:left="45" w:right="284" w:hanging="25"/>
              <w:spacing w:before="171" w:line="250" w:lineRule="auto"/>
              <w:rPr/>
            </w:pPr>
            <w:r>
              <w:rPr>
                <w:spacing w:val="-1"/>
              </w:rPr>
              <w:t>《教育法》,国发〔1986〕50号(国务院</w:t>
            </w:r>
            <w:r>
              <w:rPr>
                <w:spacing w:val="4"/>
              </w:rPr>
              <w:t xml:space="preserve"> </w:t>
            </w:r>
            <w:r>
              <w:rPr>
                <w:spacing w:val="1"/>
              </w:rPr>
              <w:t>令第60号修改发布),国发明电[1994]</w:t>
            </w:r>
          </w:p>
          <w:p>
            <w:pPr>
              <w:pStyle w:val="TableText"/>
              <w:ind w:left="26"/>
              <w:spacing w:before="26" w:line="220" w:lineRule="auto"/>
              <w:rPr/>
            </w:pPr>
            <w:r>
              <w:rPr>
                <w:spacing w:val="-1"/>
              </w:rPr>
              <w:t>2号、23号，国发〔2010〕35号，财税〔</w:t>
            </w:r>
          </w:p>
          <w:p>
            <w:pPr>
              <w:pStyle w:val="TableText"/>
              <w:ind w:left="106" w:right="116"/>
              <w:spacing w:before="40" w:line="258" w:lineRule="auto"/>
              <w:rPr/>
            </w:pPr>
            <w:r>
              <w:rPr>
                <w:spacing w:val="-1"/>
              </w:rPr>
              <w:t>2010〕103号，财税〔2016〕12号，财税</w:t>
            </w:r>
            <w:r>
              <w:rPr>
                <w:spacing w:val="15"/>
              </w:rPr>
              <w:t xml:space="preserve"> </w:t>
            </w:r>
            <w:r>
              <w:rPr>
                <w:spacing w:val="-1"/>
              </w:rPr>
              <w:t>2018]70号，财税〔2019〕13号，财税</w:t>
            </w:r>
          </w:p>
          <w:p>
            <w:pPr>
              <w:pStyle w:val="TableText"/>
              <w:ind w:left="113" w:right="73" w:hanging="114"/>
              <w:spacing w:before="31" w:line="246" w:lineRule="auto"/>
              <w:rPr/>
            </w:pPr>
            <w:r>
              <w:rPr>
                <w:spacing w:val="2"/>
              </w:rPr>
              <w:t>〔2019〕21号，财税〔2019〕22号，财税</w:t>
            </w:r>
            <w:r>
              <w:rPr>
                <w:spacing w:val="17"/>
              </w:rPr>
              <w:t xml:space="preserve"> </w:t>
            </w:r>
            <w:r>
              <w:rPr>
                <w:spacing w:val="-2"/>
              </w:rPr>
              <w:t>2019〕46号</w:t>
            </w:r>
          </w:p>
        </w:tc>
      </w:tr>
    </w:tbl>
    <w:p>
      <w:pPr>
        <w:pStyle w:val="BodyText"/>
        <w:spacing w:line="189" w:lineRule="exact"/>
        <w:rPr>
          <w:sz w:val="16"/>
        </w:rPr>
      </w:pPr>
      <w:r/>
    </w:p>
    <w:p>
      <w:pPr>
        <w:spacing w:line="189" w:lineRule="exact"/>
        <w:sectPr>
          <w:footerReference w:type="default" r:id="rId47"/>
          <w:pgSz w:w="8220" w:h="11910"/>
          <w:pgMar w:top="400" w:right="925" w:bottom="945" w:left="985" w:header="0" w:footer="796" w:gutter="0"/>
        </w:sectPr>
        <w:rPr>
          <w:sz w:val="16"/>
          <w:szCs w:val="16"/>
        </w:rPr>
      </w:pPr>
    </w:p>
    <w:p>
      <w:pPr>
        <w:spacing w:before="116"/>
        <w:rPr/>
      </w:pPr>
      <w:r/>
    </w:p>
    <w:p>
      <w:pPr>
        <w:spacing w:before="116"/>
        <w:rPr/>
      </w:pPr>
      <w:r/>
    </w:p>
    <w:tbl>
      <w:tblPr>
        <w:tblStyle w:val="TableNormal"/>
        <w:tblW w:w="63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4"/>
        <w:gridCol w:w="269"/>
        <w:gridCol w:w="1388"/>
        <w:gridCol w:w="1438"/>
        <w:gridCol w:w="2850"/>
      </w:tblGrid>
      <w:tr>
        <w:trPr>
          <w:trHeight w:val="295" w:hRule="atLeast"/>
        </w:trPr>
        <w:tc>
          <w:tcPr>
            <w:tcW w:w="364" w:type="dxa"/>
            <w:vAlign w:val="top"/>
          </w:tcPr>
          <w:p>
            <w:pPr>
              <w:pStyle w:val="TableText"/>
              <w:ind w:left="24"/>
              <w:spacing w:before="71" w:line="221" w:lineRule="auto"/>
              <w:rPr/>
            </w:pPr>
            <w:r>
              <w:rPr>
                <w:spacing w:val="-2"/>
              </w:rPr>
              <w:t>序号</w:t>
            </w:r>
          </w:p>
        </w:tc>
        <w:tc>
          <w:tcPr>
            <w:tcW w:w="1657" w:type="dxa"/>
            <w:vAlign w:val="top"/>
            <w:gridSpan w:val="2"/>
          </w:tcPr>
          <w:p>
            <w:pPr>
              <w:pStyle w:val="TableText"/>
              <w:ind w:left="530"/>
              <w:spacing w:before="71" w:line="220" w:lineRule="auto"/>
              <w:rPr/>
            </w:pPr>
            <w:r>
              <w:rPr>
                <w:spacing w:val="-2"/>
              </w:rPr>
              <w:t>项目名称</w:t>
            </w:r>
          </w:p>
        </w:tc>
        <w:tc>
          <w:tcPr>
            <w:tcW w:w="1438" w:type="dxa"/>
            <w:vAlign w:val="top"/>
          </w:tcPr>
          <w:p>
            <w:pPr>
              <w:pStyle w:val="TableText"/>
              <w:ind w:left="263"/>
              <w:spacing w:before="71" w:line="219" w:lineRule="auto"/>
              <w:rPr/>
            </w:pPr>
            <w:r>
              <w:rPr>
                <w:spacing w:val="-2"/>
              </w:rPr>
              <w:t>资金管理方式</w:t>
            </w:r>
          </w:p>
        </w:tc>
        <w:tc>
          <w:tcPr>
            <w:tcW w:w="2850" w:type="dxa"/>
            <w:vAlign w:val="top"/>
          </w:tcPr>
          <w:p>
            <w:pPr>
              <w:pStyle w:val="TableText"/>
              <w:ind w:left="1115"/>
              <w:spacing w:before="70" w:line="219" w:lineRule="auto"/>
              <w:rPr/>
            </w:pPr>
            <w:r>
              <w:rPr>
                <w:spacing w:val="-1"/>
              </w:rPr>
              <w:t>政策依据</w:t>
            </w:r>
          </w:p>
        </w:tc>
      </w:tr>
      <w:tr>
        <w:trPr>
          <w:trHeight w:val="3356" w:hRule="atLeast"/>
        </w:trPr>
        <w:tc>
          <w:tcPr>
            <w:tcW w:w="36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4"/>
              <w:spacing w:before="49" w:line="183" w:lineRule="auto"/>
              <w:rPr/>
            </w:pPr>
            <w:r>
              <w:rPr/>
              <w:t>9</w:t>
            </w:r>
          </w:p>
        </w:tc>
        <w:tc>
          <w:tcPr>
            <w:tcW w:w="1657" w:type="dxa"/>
            <w:vAlign w:val="top"/>
            <w:gridSpan w:val="2"/>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0"/>
              <w:spacing w:before="49" w:line="219" w:lineRule="auto"/>
              <w:rPr/>
            </w:pPr>
            <w:r>
              <w:rPr>
                <w:spacing w:val="-1"/>
              </w:rPr>
              <w:t>地方教育附加</w:t>
            </w:r>
          </w:p>
        </w:tc>
        <w:tc>
          <w:tcPr>
            <w:tcW w:w="1438"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43"/>
              <w:spacing w:before="49" w:line="219" w:lineRule="auto"/>
              <w:rPr/>
            </w:pPr>
            <w:r>
              <w:rPr>
                <w:spacing w:val="-1"/>
              </w:rPr>
              <w:t>缴入地方国库</w:t>
            </w:r>
          </w:p>
        </w:tc>
        <w:tc>
          <w:tcPr>
            <w:tcW w:w="2850" w:type="dxa"/>
            <w:vAlign w:val="top"/>
          </w:tcPr>
          <w:p>
            <w:pPr>
              <w:pStyle w:val="TableText"/>
              <w:ind w:left="44" w:right="243" w:hanging="24"/>
              <w:spacing w:before="74" w:line="259" w:lineRule="auto"/>
              <w:rPr/>
            </w:pPr>
            <w:r>
              <w:rPr>
                <w:spacing w:val="-2"/>
              </w:rPr>
              <w:t>《教育法》,财综〔2001〕58号，财综  </w:t>
            </w:r>
            <w:r>
              <w:rPr>
                <w:spacing w:val="1"/>
              </w:rPr>
              <w:t>函[2003]2号、9号、10号、12</w:t>
            </w:r>
            <w:r>
              <w:rPr/>
              <w:t>号、13  </w:t>
            </w:r>
            <w:r>
              <w:rPr/>
              <w:t>号、14号、15号、16号、18号，财综〔</w:t>
            </w:r>
          </w:p>
          <w:p>
            <w:pPr>
              <w:pStyle w:val="TableText"/>
              <w:ind w:left="65"/>
              <w:spacing w:before="51" w:line="220" w:lineRule="auto"/>
              <w:rPr/>
            </w:pPr>
            <w:r>
              <w:rPr>
                <w:spacing w:val="-1"/>
              </w:rPr>
              <w:t>2004〕73号，财综函〔2005〕33号，财综</w:t>
            </w:r>
          </w:p>
          <w:p>
            <w:pPr>
              <w:pStyle w:val="TableText"/>
              <w:ind w:left="15" w:right="24" w:firstLine="90"/>
              <w:spacing w:before="40" w:line="250" w:lineRule="auto"/>
              <w:rPr/>
            </w:pPr>
            <w:r>
              <w:rPr>
                <w:spacing w:val="-1"/>
              </w:rPr>
              <w:t>2006〕2号、61号，财综函〔2006〕9号，</w:t>
            </w:r>
            <w:r>
              <w:rPr>
                <w:spacing w:val="18"/>
              </w:rPr>
              <w:t xml:space="preserve"> </w:t>
            </w:r>
            <w:r>
              <w:rPr>
                <w:spacing w:val="1"/>
              </w:rPr>
              <w:t>财综函〔2007〕45号，财综函〔2008〕7号</w:t>
            </w:r>
            <w:r>
              <w:rPr/>
              <w:t xml:space="preserve"> </w:t>
            </w:r>
            <w:r>
              <w:rPr>
                <w:spacing w:val="3"/>
              </w:rPr>
              <w:t>财综函〔2010〕2号、3号、7号、8号、</w:t>
            </w:r>
          </w:p>
          <w:p>
            <w:pPr>
              <w:pStyle w:val="TableText"/>
              <w:ind w:left="45"/>
              <w:spacing w:before="41" w:line="221" w:lineRule="auto"/>
              <w:rPr/>
            </w:pPr>
            <w:r>
              <w:rPr/>
              <w:t>11号、71号、72号、73号、75号、76号</w:t>
            </w:r>
          </w:p>
          <w:p>
            <w:pPr>
              <w:pStyle w:val="TableText"/>
              <w:ind w:left="15" w:firstLine="89"/>
              <w:spacing w:before="40" w:line="254" w:lineRule="auto"/>
              <w:rPr/>
            </w:pPr>
            <w:r>
              <w:rPr>
                <w:spacing w:val="-1"/>
              </w:rPr>
              <w:t>78号、79号、80号，财综〔2010〕98号，</w:t>
            </w:r>
            <w:r>
              <w:rPr>
                <w:spacing w:val="16"/>
              </w:rPr>
              <w:t xml:space="preserve"> </w:t>
            </w:r>
            <w:r>
              <w:rPr>
                <w:spacing w:val="-1"/>
              </w:rPr>
              <w:t>财综函〔2011〕1号、2号、3号、4号、5</w:t>
            </w:r>
            <w:r>
              <w:rPr>
                <w:spacing w:val="3"/>
              </w:rPr>
              <w:t xml:space="preserve">    </w:t>
            </w:r>
            <w:r>
              <w:rPr>
                <w:spacing w:val="5"/>
              </w:rPr>
              <w:t>号、6号、7号、8号、9号、10号、11号、</w:t>
            </w:r>
          </w:p>
          <w:p>
            <w:pPr>
              <w:pStyle w:val="TableText"/>
              <w:ind w:left="25" w:right="38" w:firstLine="79"/>
              <w:spacing w:before="41" w:line="245" w:lineRule="auto"/>
              <w:rPr/>
            </w:pPr>
            <w:r>
              <w:rPr>
                <w:spacing w:val="-1"/>
              </w:rPr>
              <w:t>12号、13号、15号、16号、17号、57号，</w:t>
            </w:r>
            <w:r>
              <w:rPr>
                <w:spacing w:val="18"/>
              </w:rPr>
              <w:t xml:space="preserve"> </w:t>
            </w:r>
            <w:r>
              <w:rPr>
                <w:spacing w:val="-1"/>
              </w:rPr>
              <w:t>财税〔2016〕12号，财税〔2018〕70号</w:t>
            </w:r>
          </w:p>
          <w:p>
            <w:pPr>
              <w:pStyle w:val="TableText"/>
              <w:ind w:left="15" w:right="270" w:firstLine="10"/>
              <w:spacing w:before="41" w:line="245" w:lineRule="auto"/>
              <w:rPr/>
            </w:pPr>
            <w:r>
              <w:rPr>
                <w:spacing w:val="-1"/>
              </w:rPr>
              <w:t>财税〔2019〕13号，财税〔2019〕21号</w:t>
            </w:r>
            <w:r>
              <w:rPr>
                <w:spacing w:val="15"/>
              </w:rPr>
              <w:t xml:space="preserve"> </w:t>
            </w:r>
            <w:r>
              <w:rPr>
                <w:spacing w:val="-1"/>
              </w:rPr>
              <w:t>财税〔2019〕22号，财税〔2019〕46号</w:t>
            </w:r>
          </w:p>
        </w:tc>
      </w:tr>
      <w:tr>
        <w:trPr>
          <w:trHeight w:val="919" w:hRule="atLeast"/>
        </w:trPr>
        <w:tc>
          <w:tcPr>
            <w:tcW w:w="364" w:type="dxa"/>
            <w:vAlign w:val="top"/>
          </w:tcPr>
          <w:p>
            <w:pPr>
              <w:spacing w:line="376" w:lineRule="auto"/>
              <w:rPr>
                <w:rFonts w:ascii="Arial"/>
                <w:sz w:val="21"/>
              </w:rPr>
            </w:pPr>
            <w:r/>
          </w:p>
          <w:p>
            <w:pPr>
              <w:pStyle w:val="TableText"/>
              <w:ind w:left="94"/>
              <w:spacing w:before="49" w:line="184" w:lineRule="auto"/>
              <w:rPr/>
            </w:pPr>
            <w:r>
              <w:rPr>
                <w:spacing w:val="-5"/>
              </w:rPr>
              <w:t>10</w:t>
            </w:r>
          </w:p>
        </w:tc>
        <w:tc>
          <w:tcPr>
            <w:tcW w:w="1657" w:type="dxa"/>
            <w:vAlign w:val="top"/>
            <w:gridSpan w:val="2"/>
          </w:tcPr>
          <w:p>
            <w:pPr>
              <w:spacing w:line="339" w:lineRule="auto"/>
              <w:rPr>
                <w:rFonts w:ascii="Arial"/>
                <w:sz w:val="21"/>
              </w:rPr>
            </w:pPr>
            <w:r/>
          </w:p>
          <w:p>
            <w:pPr>
              <w:pStyle w:val="TableText"/>
              <w:ind w:left="20"/>
              <w:spacing w:before="49" w:line="220" w:lineRule="auto"/>
              <w:rPr/>
            </w:pPr>
            <w:r>
              <w:rPr>
                <w:spacing w:val="-1"/>
              </w:rPr>
              <w:t>文化事业建设费</w:t>
            </w:r>
          </w:p>
        </w:tc>
        <w:tc>
          <w:tcPr>
            <w:tcW w:w="1438" w:type="dxa"/>
            <w:vAlign w:val="top"/>
          </w:tcPr>
          <w:p>
            <w:pPr>
              <w:spacing w:line="339" w:lineRule="auto"/>
              <w:rPr>
                <w:rFonts w:ascii="Arial"/>
                <w:sz w:val="21"/>
              </w:rPr>
            </w:pPr>
            <w:r/>
          </w:p>
          <w:p>
            <w:pPr>
              <w:pStyle w:val="TableText"/>
              <w:ind w:left="43"/>
              <w:spacing w:before="49" w:line="219" w:lineRule="auto"/>
              <w:rPr/>
            </w:pPr>
            <w:r>
              <w:rPr>
                <w:spacing w:val="-1"/>
              </w:rPr>
              <w:t>缴入中央和地方国库</w:t>
            </w:r>
          </w:p>
        </w:tc>
        <w:tc>
          <w:tcPr>
            <w:tcW w:w="2850" w:type="dxa"/>
            <w:vAlign w:val="top"/>
          </w:tcPr>
          <w:p>
            <w:pPr>
              <w:pStyle w:val="TableText"/>
              <w:ind w:left="15" w:firstLine="48"/>
              <w:spacing w:before="80" w:line="255" w:lineRule="auto"/>
              <w:jc w:val="both"/>
              <w:rPr/>
            </w:pPr>
            <w:r>
              <w:rPr>
                <w:spacing w:val="-3"/>
              </w:rPr>
              <w:t>国发〔1996〕37号，国办发〔2006〕43号</w:t>
            </w:r>
            <w:r>
              <w:rPr>
                <w:spacing w:val="4"/>
              </w:rPr>
              <w:t xml:space="preserve">   </w:t>
            </w:r>
            <w:r>
              <w:rPr>
                <w:spacing w:val="-7"/>
              </w:rPr>
              <w:t>财综〔2013〕102号，财文字〔1997〕243号，</w:t>
            </w:r>
            <w:r>
              <w:rPr>
                <w:spacing w:val="12"/>
              </w:rPr>
              <w:t xml:space="preserve"> </w:t>
            </w:r>
            <w:r>
              <w:rPr>
                <w:spacing w:val="-2"/>
              </w:rPr>
              <w:t>财预字〔1996〕469号，财税〔2016〕25号</w:t>
            </w:r>
            <w:r>
              <w:rPr>
                <w:spacing w:val="2"/>
              </w:rPr>
              <w:t xml:space="preserve">  </w:t>
            </w:r>
            <w:r>
              <w:rPr>
                <w:spacing w:val="-3"/>
              </w:rPr>
              <w:t>财税〔2016〕60号，财税〔2019〕46号</w:t>
            </w:r>
          </w:p>
        </w:tc>
      </w:tr>
      <w:tr>
        <w:trPr>
          <w:trHeight w:val="729" w:hRule="atLeast"/>
        </w:trPr>
        <w:tc>
          <w:tcPr>
            <w:tcW w:w="364" w:type="dxa"/>
            <w:vAlign w:val="top"/>
          </w:tcPr>
          <w:p>
            <w:pPr>
              <w:spacing w:line="278" w:lineRule="auto"/>
              <w:rPr>
                <w:rFonts w:ascii="Arial"/>
                <w:sz w:val="21"/>
              </w:rPr>
            </w:pPr>
            <w:r/>
          </w:p>
          <w:p>
            <w:pPr>
              <w:pStyle w:val="TableText"/>
              <w:ind w:left="94"/>
              <w:spacing w:before="49" w:line="184" w:lineRule="auto"/>
              <w:rPr/>
            </w:pPr>
            <w:r>
              <w:rPr>
                <w:spacing w:val="-5"/>
              </w:rPr>
              <w:t>11</w:t>
            </w:r>
          </w:p>
        </w:tc>
        <w:tc>
          <w:tcPr>
            <w:tcW w:w="1657" w:type="dxa"/>
            <w:vAlign w:val="top"/>
            <w:gridSpan w:val="2"/>
          </w:tcPr>
          <w:p>
            <w:pPr>
              <w:pStyle w:val="TableText"/>
              <w:ind w:left="20" w:right="116"/>
              <w:spacing w:before="201" w:line="246" w:lineRule="auto"/>
              <w:rPr/>
            </w:pPr>
            <w:r>
              <w:rPr/>
              <w:t>国家电影事业发展专项</w:t>
            </w:r>
            <w:r>
              <w:rPr>
                <w:spacing w:val="8"/>
              </w:rPr>
              <w:t xml:space="preserve"> </w:t>
            </w:r>
            <w:r>
              <w:rPr>
                <w:spacing w:val="-4"/>
              </w:rPr>
              <w:t>资金</w:t>
            </w:r>
          </w:p>
        </w:tc>
        <w:tc>
          <w:tcPr>
            <w:tcW w:w="1438" w:type="dxa"/>
            <w:vAlign w:val="top"/>
          </w:tcPr>
          <w:p>
            <w:pPr>
              <w:rPr>
                <w:rFonts w:ascii="Arial"/>
                <w:sz w:val="21"/>
              </w:rPr>
            </w:pPr>
            <w:r/>
          </w:p>
          <w:p>
            <w:pPr>
              <w:pStyle w:val="TableText"/>
              <w:ind w:left="43"/>
              <w:spacing w:before="49" w:line="219" w:lineRule="auto"/>
              <w:rPr/>
            </w:pPr>
            <w:r>
              <w:rPr>
                <w:spacing w:val="-1"/>
              </w:rPr>
              <w:t>缴入中央和地方国库</w:t>
            </w:r>
          </w:p>
        </w:tc>
        <w:tc>
          <w:tcPr>
            <w:tcW w:w="2850" w:type="dxa"/>
            <w:vAlign w:val="top"/>
          </w:tcPr>
          <w:p>
            <w:pPr>
              <w:pStyle w:val="TableText"/>
              <w:ind w:left="25" w:right="159" w:firstLine="45"/>
              <w:spacing w:before="88" w:line="253" w:lineRule="auto"/>
              <w:rPr/>
            </w:pPr>
            <w:r>
              <w:rPr>
                <w:spacing w:val="-1"/>
              </w:rPr>
              <w:t>《电影管理条例》,国办发〔2006〕43号</w:t>
            </w:r>
            <w:r>
              <w:rPr>
                <w:spacing w:val="4"/>
              </w:rPr>
              <w:t xml:space="preserve"> </w:t>
            </w:r>
            <w:r>
              <w:rPr>
                <w:spacing w:val="-1"/>
              </w:rPr>
              <w:t>财税〔2015〕91号，财教〔2016〕4号</w:t>
            </w:r>
          </w:p>
          <w:p>
            <w:pPr>
              <w:pStyle w:val="TableText"/>
              <w:ind w:left="15"/>
              <w:spacing w:before="32" w:line="220" w:lineRule="auto"/>
              <w:rPr/>
            </w:pPr>
            <w:r>
              <w:rPr>
                <w:spacing w:val="-1"/>
              </w:rPr>
              <w:t>财税〔2018〕67号</w:t>
            </w:r>
          </w:p>
        </w:tc>
      </w:tr>
      <w:tr>
        <w:trPr>
          <w:trHeight w:val="709" w:hRule="atLeast"/>
        </w:trPr>
        <w:tc>
          <w:tcPr>
            <w:tcW w:w="364" w:type="dxa"/>
            <w:vAlign w:val="top"/>
          </w:tcPr>
          <w:p>
            <w:pPr>
              <w:spacing w:line="269" w:lineRule="auto"/>
              <w:rPr>
                <w:rFonts w:ascii="Arial"/>
                <w:sz w:val="21"/>
              </w:rPr>
            </w:pPr>
            <w:r/>
          </w:p>
          <w:p>
            <w:pPr>
              <w:pStyle w:val="TableText"/>
              <w:ind w:left="94"/>
              <w:spacing w:before="49" w:line="184" w:lineRule="auto"/>
              <w:rPr/>
            </w:pPr>
            <w:r>
              <w:rPr>
                <w:spacing w:val="-5"/>
              </w:rPr>
              <w:t>12</w:t>
            </w:r>
          </w:p>
        </w:tc>
        <w:tc>
          <w:tcPr>
            <w:tcW w:w="1657" w:type="dxa"/>
            <w:vAlign w:val="top"/>
            <w:gridSpan w:val="2"/>
          </w:tcPr>
          <w:p>
            <w:pPr>
              <w:pStyle w:val="TableText"/>
              <w:ind w:left="20"/>
              <w:spacing w:before="282" w:line="220" w:lineRule="auto"/>
              <w:rPr/>
            </w:pPr>
            <w:r>
              <w:rPr>
                <w:spacing w:val="-1"/>
              </w:rPr>
              <w:t>旅游发展基金</w:t>
            </w:r>
          </w:p>
        </w:tc>
        <w:tc>
          <w:tcPr>
            <w:tcW w:w="1438" w:type="dxa"/>
            <w:vAlign w:val="top"/>
          </w:tcPr>
          <w:p>
            <w:pPr>
              <w:pStyle w:val="TableText"/>
              <w:ind w:left="43"/>
              <w:spacing w:before="282" w:line="219" w:lineRule="auto"/>
              <w:rPr/>
            </w:pPr>
            <w:r>
              <w:rPr>
                <w:spacing w:val="-1"/>
              </w:rPr>
              <w:t>缴入中央国库</w:t>
            </w:r>
          </w:p>
        </w:tc>
        <w:tc>
          <w:tcPr>
            <w:tcW w:w="2850" w:type="dxa"/>
            <w:vAlign w:val="top"/>
          </w:tcPr>
          <w:p>
            <w:pPr>
              <w:pStyle w:val="TableText"/>
              <w:ind w:left="15" w:right="79" w:firstLine="50"/>
              <w:spacing w:before="72" w:line="250" w:lineRule="auto"/>
              <w:rPr/>
            </w:pPr>
            <w:r>
              <w:rPr>
                <w:spacing w:val="-1"/>
              </w:rPr>
              <w:t>旅办发〔1991〕124号，财综〔2007〕3号</w:t>
            </w:r>
            <w:r>
              <w:rPr>
                <w:spacing w:val="17"/>
              </w:rPr>
              <w:t xml:space="preserve"> </w:t>
            </w:r>
            <w:r>
              <w:rPr>
                <w:spacing w:val="-1"/>
              </w:rPr>
              <w:t>财综〔2010〕123号，财综〔2012〕17号  </w:t>
            </w:r>
            <w:r>
              <w:rPr>
                <w:spacing w:val="-1"/>
              </w:rPr>
              <w:t>财税〔2015〕135号</w:t>
            </w:r>
          </w:p>
        </w:tc>
      </w:tr>
      <w:tr>
        <w:trPr>
          <w:trHeight w:val="989" w:hRule="atLeast"/>
        </w:trPr>
        <w:tc>
          <w:tcPr>
            <w:tcW w:w="36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94"/>
              <w:spacing w:before="49" w:line="184" w:lineRule="auto"/>
              <w:rPr/>
            </w:pPr>
            <w:r>
              <w:rPr>
                <w:spacing w:val="-5"/>
              </w:rPr>
              <w:t>13</w:t>
            </w:r>
          </w:p>
        </w:tc>
        <w:tc>
          <w:tcPr>
            <w:tcW w:w="269" w:type="dxa"/>
            <w:vAlign w:val="top"/>
            <w:vMerge w:val="restart"/>
            <w:textDirection w:val="tbRlV"/>
            <w:tcBorders>
              <w:bottom w:val="nil"/>
            </w:tcBorders>
          </w:tcPr>
          <w:p>
            <w:pPr>
              <w:pStyle w:val="TableText"/>
              <w:ind w:left="709"/>
              <w:spacing w:before="68" w:line="216" w:lineRule="auto"/>
              <w:rPr/>
            </w:pPr>
            <w:r>
              <w:rPr>
                <w:spacing w:val="-2"/>
              </w:rPr>
              <w:t>中 央 水 库</w:t>
            </w:r>
            <w:r>
              <w:rPr>
                <w:spacing w:val="7"/>
              </w:rPr>
              <w:t xml:space="preserve"> </w:t>
            </w:r>
            <w:r>
              <w:rPr>
                <w:spacing w:val="-2"/>
              </w:rPr>
              <w:t>移</w:t>
            </w:r>
            <w:r>
              <w:rPr>
                <w:spacing w:val="-5"/>
              </w:rPr>
              <w:t xml:space="preserve"> </w:t>
            </w:r>
            <w:r>
              <w:rPr>
                <w:spacing w:val="-2"/>
              </w:rPr>
              <w:t>民</w:t>
            </w:r>
            <w:r>
              <w:rPr>
                <w:spacing w:val="-4"/>
              </w:rPr>
              <w:t xml:space="preserve"> </w:t>
            </w:r>
            <w:r>
              <w:rPr>
                <w:spacing w:val="-2"/>
              </w:rPr>
              <w:t>扶</w:t>
            </w:r>
            <w:r>
              <w:rPr>
                <w:spacing w:val="-4"/>
              </w:rPr>
              <w:t xml:space="preserve"> </w:t>
            </w:r>
            <w:r>
              <w:rPr>
                <w:spacing w:val="-2"/>
              </w:rPr>
              <w:t>持</w:t>
            </w:r>
            <w:r>
              <w:rPr>
                <w:spacing w:val="-5"/>
              </w:rPr>
              <w:t xml:space="preserve"> </w:t>
            </w:r>
            <w:r>
              <w:rPr>
                <w:spacing w:val="-2"/>
              </w:rPr>
              <w:t>基</w:t>
            </w:r>
            <w:r>
              <w:rPr>
                <w:spacing w:val="-4"/>
              </w:rPr>
              <w:t xml:space="preserve"> </w:t>
            </w:r>
            <w:r>
              <w:rPr>
                <w:spacing w:val="-2"/>
              </w:rPr>
              <w:t>金</w:t>
            </w:r>
          </w:p>
        </w:tc>
        <w:tc>
          <w:tcPr>
            <w:tcW w:w="1388" w:type="dxa"/>
            <w:vAlign w:val="top"/>
          </w:tcPr>
          <w:p>
            <w:pPr>
              <w:spacing w:line="262" w:lineRule="auto"/>
              <w:rPr>
                <w:rFonts w:ascii="Arial"/>
                <w:sz w:val="21"/>
              </w:rPr>
            </w:pPr>
            <w:r/>
          </w:p>
          <w:p>
            <w:pPr>
              <w:pStyle w:val="TableText"/>
              <w:ind w:left="21" w:right="23" w:hanging="10"/>
              <w:spacing w:before="49" w:line="251" w:lineRule="auto"/>
              <w:rPr/>
            </w:pPr>
            <w:r>
              <w:rPr>
                <w:spacing w:val="-1"/>
              </w:rPr>
              <w:t>大中型水库移民后期</w:t>
            </w:r>
            <w:r>
              <w:rPr/>
              <w:t xml:space="preserve"> </w:t>
            </w:r>
            <w:r>
              <w:rPr>
                <w:spacing w:val="-1"/>
              </w:rPr>
              <w:t>扶持基金</w:t>
            </w:r>
          </w:p>
        </w:tc>
        <w:tc>
          <w:tcPr>
            <w:tcW w:w="1438"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43"/>
              <w:spacing w:before="49" w:line="219" w:lineRule="auto"/>
              <w:rPr/>
            </w:pPr>
            <w:r>
              <w:rPr>
                <w:spacing w:val="-1"/>
              </w:rPr>
              <w:t>缴入中央国库</w:t>
            </w:r>
          </w:p>
        </w:tc>
        <w:tc>
          <w:tcPr>
            <w:tcW w:w="2850" w:type="dxa"/>
            <w:vAlign w:val="top"/>
            <w:vMerge w:val="restart"/>
            <w:tcBorders>
              <w:bottom w:val="nil"/>
            </w:tcBorders>
          </w:tcPr>
          <w:p>
            <w:pPr>
              <w:pStyle w:val="TableText"/>
              <w:ind w:left="35" w:right="123" w:hanging="5"/>
              <w:spacing w:before="83" w:line="242" w:lineRule="auto"/>
              <w:rPr/>
            </w:pPr>
            <w:r>
              <w:rPr>
                <w:spacing w:val="-1"/>
              </w:rPr>
              <w:t>《大中型水利水电工程建设征地补偿和移</w:t>
            </w:r>
            <w:r>
              <w:rPr>
                <w:spacing w:val="2"/>
              </w:rPr>
              <w:t xml:space="preserve"> </w:t>
            </w:r>
            <w:r>
              <w:rPr/>
              <w:t>民安置条例》,《长江三峡工程建设移</w:t>
            </w:r>
          </w:p>
          <w:p>
            <w:pPr>
              <w:pStyle w:val="TableText"/>
              <w:ind w:left="35"/>
              <w:spacing w:before="44" w:line="216" w:lineRule="auto"/>
              <w:rPr/>
            </w:pPr>
            <w:r>
              <w:rPr>
                <w:spacing w:val="-1"/>
              </w:rPr>
              <w:t>民条例》,国发〔2006〕17号，财综〔</w:t>
            </w:r>
          </w:p>
          <w:p>
            <w:pPr>
              <w:pStyle w:val="TableText"/>
              <w:ind w:left="24" w:hanging="9"/>
              <w:spacing w:before="45" w:line="262" w:lineRule="auto"/>
              <w:rPr/>
            </w:pPr>
            <w:r>
              <w:rPr>
                <w:spacing w:val="-1"/>
              </w:rPr>
              <w:t>2006〕29号，财监〔2006〕95号，监察</w:t>
            </w:r>
            <w:r>
              <w:rPr>
                <w:spacing w:val="-2"/>
              </w:rPr>
              <w:t>部、</w:t>
            </w:r>
            <w:r>
              <w:rPr/>
              <w:t xml:space="preserve"> </w:t>
            </w:r>
            <w:r>
              <w:rPr>
                <w:spacing w:val="2"/>
              </w:rPr>
              <w:t>人事部、财政部令第13号，财综〔2007〕  </w:t>
            </w:r>
            <w:r>
              <w:rPr>
                <w:spacing w:val="2"/>
              </w:rPr>
              <w:t>26号，财综〔2007〕69号，财综〔200</w:t>
            </w:r>
            <w:r>
              <w:rPr>
                <w:spacing w:val="1"/>
              </w:rPr>
              <w:t>8〕</w:t>
            </w:r>
            <w:r>
              <w:rPr/>
              <w:t xml:space="preserve">  </w:t>
            </w:r>
            <w:r>
              <w:rPr>
                <w:spacing w:val="2"/>
              </w:rPr>
              <w:t>17号，财综〔2008〕29号、30号、31</w:t>
            </w:r>
            <w:r>
              <w:rPr>
                <w:spacing w:val="1"/>
              </w:rPr>
              <w:t>号、</w:t>
            </w:r>
            <w:r>
              <w:rPr/>
              <w:t xml:space="preserve">  </w:t>
            </w:r>
            <w:r>
              <w:rPr>
                <w:spacing w:val="2"/>
              </w:rPr>
              <w:t>32号、33号、35号、64号、65号、66</w:t>
            </w:r>
            <w:r>
              <w:rPr>
                <w:spacing w:val="1"/>
              </w:rPr>
              <w:t>号、</w:t>
            </w:r>
            <w:r>
              <w:rPr/>
              <w:t xml:space="preserve">  </w:t>
            </w:r>
            <w:r>
              <w:rPr>
                <w:spacing w:val="2"/>
              </w:rPr>
              <w:t>67号、68号、85号、86号、87号、88号、</w:t>
            </w:r>
            <w:r>
              <w:rPr/>
              <w:t xml:space="preserve">  </w:t>
            </w:r>
            <w:r>
              <w:rPr>
                <w:spacing w:val="-3"/>
              </w:rPr>
              <w:t>89号、90号，财综〔2009〕51号、59号</w:t>
            </w:r>
          </w:p>
          <w:p>
            <w:pPr>
              <w:pStyle w:val="TableText"/>
              <w:ind w:left="35"/>
              <w:spacing w:before="41" w:line="220" w:lineRule="auto"/>
              <w:rPr/>
            </w:pPr>
            <w:r>
              <w:rPr>
                <w:spacing w:val="-1"/>
              </w:rPr>
              <w:t>财综〔2010〕15号、16号、43号、113</w:t>
            </w:r>
          </w:p>
          <w:p>
            <w:pPr>
              <w:pStyle w:val="TableText"/>
              <w:ind w:right="73" w:firstLine="74"/>
              <w:spacing w:before="42" w:line="260" w:lineRule="auto"/>
              <w:rPr/>
            </w:pPr>
            <w:r>
              <w:rPr>
                <w:spacing w:val="-1"/>
              </w:rPr>
              <w:t>号，财综函〔2010〕10号、39号，财综〔</w:t>
            </w:r>
            <w:r>
              <w:rPr>
                <w:spacing w:val="12"/>
              </w:rPr>
              <w:t xml:space="preserve"> </w:t>
            </w:r>
            <w:r>
              <w:rPr/>
              <w:t>2013〕103号，财税〔2015〕80号，财税  </w:t>
            </w:r>
            <w:r>
              <w:rPr>
                <w:spacing w:val="2"/>
              </w:rPr>
              <w:t>〔2016〕11号，财税〔2016〕13号，财税</w:t>
            </w:r>
            <w:r>
              <w:rPr>
                <w:spacing w:val="17"/>
              </w:rPr>
              <w:t xml:space="preserve"> </w:t>
            </w:r>
            <w:r>
              <w:rPr>
                <w:spacing w:val="2"/>
              </w:rPr>
              <w:t>〔2017〕51号，财办税〔2017〕60号，财</w:t>
            </w:r>
            <w:r>
              <w:rPr>
                <w:spacing w:val="16"/>
              </w:rPr>
              <w:t xml:space="preserve"> </w:t>
            </w:r>
            <w:r>
              <w:rPr>
                <w:spacing w:val="1"/>
              </w:rPr>
              <w:t>农〔2017〕128号</w:t>
            </w:r>
          </w:p>
        </w:tc>
      </w:tr>
      <w:tr>
        <w:trPr>
          <w:trHeight w:val="1019" w:hRule="atLeast"/>
        </w:trPr>
        <w:tc>
          <w:tcPr>
            <w:tcW w:w="364" w:type="dxa"/>
            <w:vAlign w:val="top"/>
            <w:vMerge w:val="continue"/>
            <w:tcBorders>
              <w:top w:val="nil"/>
              <w:bottom w:val="nil"/>
            </w:tcBorders>
          </w:tcPr>
          <w:p>
            <w:pPr>
              <w:rPr>
                <w:rFonts w:ascii="Arial"/>
                <w:sz w:val="21"/>
              </w:rPr>
            </w:pPr>
            <w:r/>
          </w:p>
        </w:tc>
        <w:tc>
          <w:tcPr>
            <w:tcW w:w="269" w:type="dxa"/>
            <w:vAlign w:val="top"/>
            <w:vMerge w:val="continue"/>
            <w:textDirection w:val="tbRlV"/>
            <w:tcBorders>
              <w:top w:val="nil"/>
              <w:bottom w:val="nil"/>
            </w:tcBorders>
          </w:tcPr>
          <w:p>
            <w:pPr>
              <w:rPr>
                <w:rFonts w:ascii="Arial"/>
                <w:sz w:val="21"/>
              </w:rPr>
            </w:pPr>
            <w:r/>
          </w:p>
        </w:tc>
        <w:tc>
          <w:tcPr>
            <w:tcW w:w="1388" w:type="dxa"/>
            <w:vAlign w:val="top"/>
          </w:tcPr>
          <w:p>
            <w:pPr>
              <w:spacing w:line="283" w:lineRule="auto"/>
              <w:rPr>
                <w:rFonts w:ascii="Arial"/>
                <w:sz w:val="21"/>
              </w:rPr>
            </w:pPr>
            <w:r/>
          </w:p>
          <w:p>
            <w:pPr>
              <w:pStyle w:val="TableText"/>
              <w:ind w:left="21" w:right="21" w:hanging="10"/>
              <w:spacing w:before="49" w:line="264" w:lineRule="auto"/>
              <w:rPr/>
            </w:pPr>
            <w:r>
              <w:rPr>
                <w:spacing w:val="-1"/>
              </w:rPr>
              <w:t>跨省大中型水库库区</w:t>
            </w:r>
            <w:r>
              <w:rPr>
                <w:spacing w:val="2"/>
              </w:rPr>
              <w:t xml:space="preserve"> </w:t>
            </w:r>
            <w:r>
              <w:rPr>
                <w:spacing w:val="-2"/>
              </w:rPr>
              <w:t>基金</w:t>
            </w:r>
          </w:p>
        </w:tc>
        <w:tc>
          <w:tcPr>
            <w:tcW w:w="1438" w:type="dxa"/>
            <w:vAlign w:val="top"/>
            <w:vMerge w:val="continue"/>
            <w:tcBorders>
              <w:top w:val="nil"/>
              <w:bottom w:val="nil"/>
            </w:tcBorders>
          </w:tcPr>
          <w:p>
            <w:pPr>
              <w:rPr>
                <w:rFonts w:ascii="Arial"/>
                <w:sz w:val="21"/>
              </w:rPr>
            </w:pPr>
            <w:r/>
          </w:p>
        </w:tc>
        <w:tc>
          <w:tcPr>
            <w:tcW w:w="2850" w:type="dxa"/>
            <w:vAlign w:val="top"/>
            <w:vMerge w:val="continue"/>
            <w:tcBorders>
              <w:top w:val="nil"/>
              <w:bottom w:val="nil"/>
            </w:tcBorders>
          </w:tcPr>
          <w:p>
            <w:pPr>
              <w:rPr>
                <w:rFonts w:ascii="Arial"/>
                <w:sz w:val="21"/>
              </w:rPr>
            </w:pPr>
            <w:r/>
          </w:p>
        </w:tc>
      </w:tr>
      <w:tr>
        <w:trPr>
          <w:trHeight w:val="1533" w:hRule="atLeast"/>
        </w:trPr>
        <w:tc>
          <w:tcPr>
            <w:tcW w:w="364" w:type="dxa"/>
            <w:vAlign w:val="top"/>
            <w:vMerge w:val="continue"/>
            <w:tcBorders>
              <w:top w:val="nil"/>
            </w:tcBorders>
          </w:tcPr>
          <w:p>
            <w:pPr>
              <w:rPr>
                <w:rFonts w:ascii="Arial"/>
                <w:sz w:val="21"/>
              </w:rPr>
            </w:pPr>
            <w:r/>
          </w:p>
        </w:tc>
        <w:tc>
          <w:tcPr>
            <w:tcW w:w="269" w:type="dxa"/>
            <w:vAlign w:val="top"/>
            <w:vMerge w:val="continue"/>
            <w:textDirection w:val="tbRlV"/>
            <w:tcBorders>
              <w:top w:val="nil"/>
            </w:tcBorders>
          </w:tcPr>
          <w:p>
            <w:pPr>
              <w:rPr>
                <w:rFonts w:ascii="Arial"/>
                <w:sz w:val="21"/>
              </w:rPr>
            </w:pPr>
            <w:r/>
          </w:p>
        </w:tc>
        <w:tc>
          <w:tcPr>
            <w:tcW w:w="1388" w:type="dxa"/>
            <w:vAlign w:val="top"/>
          </w:tcPr>
          <w:p>
            <w:pPr>
              <w:spacing w:line="321" w:lineRule="auto"/>
              <w:rPr>
                <w:rFonts w:ascii="Arial"/>
                <w:sz w:val="21"/>
              </w:rPr>
            </w:pPr>
            <w:r/>
          </w:p>
          <w:p>
            <w:pPr>
              <w:spacing w:line="321" w:lineRule="auto"/>
              <w:rPr>
                <w:rFonts w:ascii="Arial"/>
                <w:sz w:val="21"/>
              </w:rPr>
            </w:pPr>
            <w:r/>
          </w:p>
          <w:p>
            <w:pPr>
              <w:pStyle w:val="TableText"/>
              <w:ind w:left="21"/>
              <w:spacing w:before="49" w:line="219" w:lineRule="auto"/>
              <w:rPr/>
            </w:pPr>
            <w:r>
              <w:rPr>
                <w:spacing w:val="-1"/>
              </w:rPr>
              <w:t>三峡水库库区基金</w:t>
            </w:r>
          </w:p>
        </w:tc>
        <w:tc>
          <w:tcPr>
            <w:tcW w:w="1438" w:type="dxa"/>
            <w:vAlign w:val="top"/>
            <w:vMerge w:val="continue"/>
            <w:tcBorders>
              <w:top w:val="nil"/>
            </w:tcBorders>
          </w:tcPr>
          <w:p>
            <w:pPr>
              <w:rPr>
                <w:rFonts w:ascii="Arial"/>
                <w:sz w:val="21"/>
              </w:rPr>
            </w:pPr>
            <w:r/>
          </w:p>
        </w:tc>
        <w:tc>
          <w:tcPr>
            <w:tcW w:w="2850" w:type="dxa"/>
            <w:vAlign w:val="top"/>
            <w:vMerge w:val="continue"/>
            <w:tcBorders>
              <w:top w:val="nil"/>
            </w:tcBorders>
          </w:tcPr>
          <w:p>
            <w:pPr>
              <w:rPr>
                <w:rFonts w:ascii="Arial"/>
                <w:sz w:val="21"/>
              </w:rPr>
            </w:pPr>
            <w:r/>
          </w:p>
        </w:tc>
      </w:tr>
    </w:tbl>
    <w:p>
      <w:pPr>
        <w:pStyle w:val="BodyText"/>
        <w:spacing w:line="202" w:lineRule="exact"/>
        <w:rPr>
          <w:sz w:val="17"/>
        </w:rPr>
      </w:pPr>
      <w:r/>
    </w:p>
    <w:p>
      <w:pPr>
        <w:spacing w:line="202" w:lineRule="exact"/>
        <w:sectPr>
          <w:footerReference w:type="default" r:id="rId48"/>
          <w:pgSz w:w="8220" w:h="11910"/>
          <w:pgMar w:top="400" w:right="964" w:bottom="942" w:left="935" w:header="0" w:footer="783" w:gutter="0"/>
        </w:sectPr>
        <w:rPr>
          <w:sz w:val="17"/>
          <w:szCs w:val="17"/>
        </w:rPr>
      </w:pPr>
    </w:p>
    <w:p>
      <w:pPr>
        <w:spacing w:before="116"/>
        <w:rPr/>
      </w:pPr>
      <w:r/>
    </w:p>
    <w:p>
      <w:pPr>
        <w:spacing w:before="116"/>
        <w:rPr/>
      </w:pPr>
      <w:r/>
    </w:p>
    <w:tbl>
      <w:tblPr>
        <w:tblStyle w:val="TableNormal"/>
        <w:tblW w:w="62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4"/>
        <w:gridCol w:w="279"/>
        <w:gridCol w:w="1398"/>
        <w:gridCol w:w="1428"/>
        <w:gridCol w:w="2840"/>
      </w:tblGrid>
      <w:tr>
        <w:trPr>
          <w:trHeight w:val="304" w:hRule="atLeast"/>
        </w:trPr>
        <w:tc>
          <w:tcPr>
            <w:tcW w:w="344" w:type="dxa"/>
            <w:vAlign w:val="top"/>
          </w:tcPr>
          <w:p>
            <w:pPr>
              <w:pStyle w:val="TableText"/>
              <w:ind w:left="14"/>
              <w:spacing w:before="82" w:line="221" w:lineRule="auto"/>
              <w:rPr/>
            </w:pPr>
            <w:r>
              <w:rPr>
                <w:spacing w:val="-2"/>
              </w:rPr>
              <w:t>序号</w:t>
            </w:r>
          </w:p>
        </w:tc>
        <w:tc>
          <w:tcPr>
            <w:tcW w:w="1677" w:type="dxa"/>
            <w:vAlign w:val="top"/>
            <w:gridSpan w:val="2"/>
          </w:tcPr>
          <w:p>
            <w:pPr>
              <w:pStyle w:val="TableText"/>
              <w:ind w:left="540"/>
              <w:spacing w:before="81" w:line="220" w:lineRule="auto"/>
              <w:rPr/>
            </w:pPr>
            <w:r>
              <w:rPr>
                <w:spacing w:val="-2"/>
              </w:rPr>
              <w:t>项目名称</w:t>
            </w:r>
          </w:p>
        </w:tc>
        <w:tc>
          <w:tcPr>
            <w:tcW w:w="1428" w:type="dxa"/>
            <w:vAlign w:val="top"/>
          </w:tcPr>
          <w:p>
            <w:pPr>
              <w:pStyle w:val="TableText"/>
              <w:ind w:left="283"/>
              <w:spacing w:before="81" w:line="219" w:lineRule="auto"/>
              <w:rPr/>
            </w:pPr>
            <w:r>
              <w:rPr>
                <w:spacing w:val="-2"/>
              </w:rPr>
              <w:t>资金管理方式</w:t>
            </w:r>
          </w:p>
        </w:tc>
        <w:tc>
          <w:tcPr>
            <w:tcW w:w="2840" w:type="dxa"/>
            <w:vAlign w:val="top"/>
          </w:tcPr>
          <w:p>
            <w:pPr>
              <w:pStyle w:val="TableText"/>
              <w:ind w:left="1115"/>
              <w:spacing w:before="80" w:line="219" w:lineRule="auto"/>
              <w:rPr/>
            </w:pPr>
            <w:r>
              <w:rPr>
                <w:spacing w:val="-1"/>
              </w:rPr>
              <w:t>政策依据</w:t>
            </w:r>
          </w:p>
        </w:tc>
      </w:tr>
      <w:tr>
        <w:trPr>
          <w:trHeight w:val="1029" w:hRule="atLeast"/>
        </w:trPr>
        <w:tc>
          <w:tcPr>
            <w:tcW w:w="344"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85"/>
              <w:spacing w:before="49" w:line="184" w:lineRule="auto"/>
              <w:rPr/>
            </w:pPr>
            <w:r>
              <w:rPr>
                <w:spacing w:val="-5"/>
              </w:rPr>
              <w:t>14</w:t>
            </w:r>
          </w:p>
        </w:tc>
        <w:tc>
          <w:tcPr>
            <w:tcW w:w="279" w:type="dxa"/>
            <w:vAlign w:val="top"/>
            <w:vMerge w:val="restart"/>
            <w:textDirection w:val="tbRlV"/>
            <w:tcBorders>
              <w:bottom w:val="nil"/>
            </w:tcBorders>
          </w:tcPr>
          <w:p>
            <w:pPr>
              <w:pStyle w:val="TableText"/>
              <w:ind w:left="352"/>
              <w:spacing w:before="38" w:line="216" w:lineRule="auto"/>
              <w:rPr/>
            </w:pPr>
            <w:r>
              <w:rPr/>
              <w:t>地方水库移民扶持基金</w:t>
            </w:r>
          </w:p>
        </w:tc>
        <w:tc>
          <w:tcPr>
            <w:tcW w:w="1398" w:type="dxa"/>
            <w:vAlign w:val="top"/>
          </w:tcPr>
          <w:p>
            <w:pPr>
              <w:spacing w:line="297" w:lineRule="auto"/>
              <w:rPr>
                <w:rFonts w:ascii="Arial"/>
                <w:sz w:val="21"/>
              </w:rPr>
            </w:pPr>
            <w:r/>
          </w:p>
          <w:p>
            <w:pPr>
              <w:pStyle w:val="TableText"/>
              <w:ind w:left="12" w:firstLine="29"/>
              <w:spacing w:before="48" w:line="245" w:lineRule="auto"/>
              <w:rPr/>
            </w:pPr>
            <w:r>
              <w:rPr>
                <w:spacing w:val="-1"/>
              </w:rPr>
              <w:t>省级大中型水库库区</w:t>
            </w:r>
            <w:r>
              <w:rPr>
                <w:spacing w:val="4"/>
              </w:rPr>
              <w:t xml:space="preserve"> </w:t>
            </w:r>
            <w:r>
              <w:rPr>
                <w:spacing w:val="-3"/>
              </w:rPr>
              <w:t>基金</w:t>
            </w:r>
          </w:p>
        </w:tc>
        <w:tc>
          <w:tcPr>
            <w:tcW w:w="142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3"/>
              <w:spacing w:before="49" w:line="219" w:lineRule="auto"/>
              <w:rPr/>
            </w:pPr>
            <w:r>
              <w:rPr>
                <w:spacing w:val="-1"/>
              </w:rPr>
              <w:t>缴入地方国库</w:t>
            </w:r>
          </w:p>
        </w:tc>
        <w:tc>
          <w:tcPr>
            <w:tcW w:w="2840" w:type="dxa"/>
            <w:vAlign w:val="top"/>
            <w:vMerge w:val="restart"/>
            <w:tcBorders>
              <w:bottom w:val="nil"/>
            </w:tcBorders>
          </w:tcPr>
          <w:p>
            <w:pPr>
              <w:pStyle w:val="TableText"/>
              <w:ind w:left="15" w:right="98" w:firstLine="19"/>
              <w:spacing w:before="198" w:line="254" w:lineRule="auto"/>
              <w:rPr/>
            </w:pPr>
            <w:r>
              <w:rPr>
                <w:spacing w:val="-1"/>
              </w:rPr>
              <w:t>国发〔2006〕17号，财综〔2007〕26号，</w:t>
            </w:r>
            <w:r>
              <w:rPr>
                <w:spacing w:val="18"/>
              </w:rPr>
              <w:t xml:space="preserve"> </w:t>
            </w:r>
            <w:r>
              <w:rPr>
                <w:spacing w:val="3"/>
              </w:rPr>
              <w:t>财综〔2008〕17号，财综[2008]29号、</w:t>
            </w:r>
            <w:r>
              <w:rPr/>
              <w:t xml:space="preserve">  </w:t>
            </w:r>
            <w:r>
              <w:rPr/>
              <w:t>30号、31号、32号、33号、35号、64</w:t>
            </w:r>
          </w:p>
          <w:p>
            <w:pPr>
              <w:pStyle w:val="TableText"/>
              <w:ind w:left="35" w:right="168"/>
              <w:spacing w:before="20" w:line="251" w:lineRule="auto"/>
              <w:rPr/>
            </w:pPr>
            <w:r>
              <w:rPr>
                <w:spacing w:val="3"/>
              </w:rPr>
              <w:t>号、65号、66号、67号、68号、85号、</w:t>
            </w:r>
            <w:r>
              <w:rPr>
                <w:spacing w:val="8"/>
              </w:rPr>
              <w:t xml:space="preserve"> </w:t>
            </w:r>
            <w:r>
              <w:rPr>
                <w:spacing w:val="-1"/>
              </w:rPr>
              <w:t>86号、87号、88号、89号、90号，财综</w:t>
            </w:r>
          </w:p>
          <w:p>
            <w:pPr>
              <w:pStyle w:val="TableText"/>
              <w:ind w:left="35" w:firstLine="19"/>
              <w:spacing w:before="41" w:line="258" w:lineRule="auto"/>
              <w:rPr/>
            </w:pPr>
            <w:r>
              <w:rPr/>
              <w:t>2009〕51号、59号，财综〔2010〕15号、</w:t>
            </w:r>
            <w:r>
              <w:rPr>
                <w:spacing w:val="3"/>
              </w:rPr>
              <w:t xml:space="preserve">  </w:t>
            </w:r>
            <w:r>
              <w:rPr>
                <w:spacing w:val="-5"/>
              </w:rPr>
              <w:t>16号、43号、113号，财综函〔2010〕10</w:t>
            </w:r>
            <w:r>
              <w:rPr>
                <w:spacing w:val="-6"/>
              </w:rPr>
              <w:t>号、</w:t>
            </w:r>
            <w:r>
              <w:rPr/>
              <w:t xml:space="preserve"> </w:t>
            </w:r>
            <w:r>
              <w:rPr/>
              <w:t>39号，财税〔2016〕11号，财税〔2016〕</w:t>
            </w:r>
            <w:r>
              <w:rPr>
                <w:spacing w:val="3"/>
              </w:rPr>
              <w:t xml:space="preserve">  </w:t>
            </w:r>
            <w:r>
              <w:rPr>
                <w:spacing w:val="-2"/>
              </w:rPr>
              <w:t>13号，财税〔2017〕18号</w:t>
            </w:r>
          </w:p>
        </w:tc>
      </w:tr>
      <w:tr>
        <w:trPr>
          <w:trHeight w:val="1198" w:hRule="atLeast"/>
        </w:trPr>
        <w:tc>
          <w:tcPr>
            <w:tcW w:w="344" w:type="dxa"/>
            <w:vAlign w:val="top"/>
            <w:vMerge w:val="continue"/>
            <w:tcBorders>
              <w:top w:val="nil"/>
            </w:tcBorders>
          </w:tcPr>
          <w:p>
            <w:pPr>
              <w:rPr>
                <w:rFonts w:ascii="Arial"/>
                <w:sz w:val="21"/>
              </w:rPr>
            </w:pPr>
            <w:r/>
          </w:p>
        </w:tc>
        <w:tc>
          <w:tcPr>
            <w:tcW w:w="279" w:type="dxa"/>
            <w:vAlign w:val="top"/>
            <w:vMerge w:val="continue"/>
            <w:textDirection w:val="tbRlV"/>
            <w:tcBorders>
              <w:top w:val="nil"/>
            </w:tcBorders>
          </w:tcPr>
          <w:p>
            <w:pPr>
              <w:rPr>
                <w:rFonts w:ascii="Arial"/>
                <w:sz w:val="21"/>
              </w:rPr>
            </w:pPr>
            <w:r/>
          </w:p>
        </w:tc>
        <w:tc>
          <w:tcPr>
            <w:tcW w:w="1398" w:type="dxa"/>
            <w:vAlign w:val="top"/>
          </w:tcPr>
          <w:p>
            <w:pPr>
              <w:spacing w:line="387" w:lineRule="auto"/>
              <w:rPr>
                <w:rFonts w:ascii="Arial"/>
                <w:sz w:val="21"/>
              </w:rPr>
            </w:pPr>
            <w:r/>
          </w:p>
          <w:p>
            <w:pPr>
              <w:pStyle w:val="TableText"/>
              <w:ind w:left="12" w:right="25" w:firstLine="9"/>
              <w:spacing w:before="49" w:line="239" w:lineRule="auto"/>
              <w:rPr/>
            </w:pPr>
            <w:r>
              <w:rPr>
                <w:spacing w:val="-2"/>
              </w:rPr>
              <w:t>小型水库移民扶助基</w:t>
            </w:r>
            <w:r>
              <w:rPr>
                <w:spacing w:val="7"/>
              </w:rPr>
              <w:t xml:space="preserve"> </w:t>
            </w:r>
            <w:r>
              <w:rPr/>
              <w:t>金</w:t>
            </w:r>
          </w:p>
        </w:tc>
        <w:tc>
          <w:tcPr>
            <w:tcW w:w="1428" w:type="dxa"/>
            <w:vAlign w:val="top"/>
            <w:vMerge w:val="continue"/>
            <w:tcBorders>
              <w:top w:val="nil"/>
            </w:tcBorders>
          </w:tcPr>
          <w:p>
            <w:pPr>
              <w:rPr>
                <w:rFonts w:ascii="Arial"/>
                <w:sz w:val="21"/>
              </w:rPr>
            </w:pPr>
            <w:r/>
          </w:p>
        </w:tc>
        <w:tc>
          <w:tcPr>
            <w:tcW w:w="2840" w:type="dxa"/>
            <w:vAlign w:val="top"/>
            <w:vMerge w:val="continue"/>
            <w:tcBorders>
              <w:top w:val="nil"/>
            </w:tcBorders>
          </w:tcPr>
          <w:p>
            <w:pPr>
              <w:rPr>
                <w:rFonts w:ascii="Arial"/>
                <w:sz w:val="21"/>
              </w:rPr>
            </w:pPr>
            <w:r/>
          </w:p>
        </w:tc>
      </w:tr>
      <w:tr>
        <w:trPr>
          <w:trHeight w:val="919" w:hRule="atLeast"/>
        </w:trPr>
        <w:tc>
          <w:tcPr>
            <w:tcW w:w="344" w:type="dxa"/>
            <w:vAlign w:val="top"/>
          </w:tcPr>
          <w:p>
            <w:pPr>
              <w:spacing w:line="376" w:lineRule="auto"/>
              <w:rPr>
                <w:rFonts w:ascii="Arial"/>
                <w:sz w:val="21"/>
              </w:rPr>
            </w:pPr>
            <w:r/>
          </w:p>
          <w:p>
            <w:pPr>
              <w:pStyle w:val="TableText"/>
              <w:ind w:left="85"/>
              <w:spacing w:before="49" w:line="184" w:lineRule="auto"/>
              <w:rPr/>
            </w:pPr>
            <w:r>
              <w:rPr>
                <w:spacing w:val="-5"/>
              </w:rPr>
              <w:t>15</w:t>
            </w:r>
          </w:p>
        </w:tc>
        <w:tc>
          <w:tcPr>
            <w:tcW w:w="1677" w:type="dxa"/>
            <w:vAlign w:val="top"/>
            <w:gridSpan w:val="2"/>
          </w:tcPr>
          <w:p>
            <w:pPr>
              <w:spacing w:line="339" w:lineRule="auto"/>
              <w:rPr>
                <w:rFonts w:ascii="Arial"/>
                <w:sz w:val="21"/>
              </w:rPr>
            </w:pPr>
            <w:r/>
          </w:p>
          <w:p>
            <w:pPr>
              <w:pStyle w:val="TableText"/>
              <w:ind w:left="50"/>
              <w:spacing w:before="49" w:line="219" w:lineRule="auto"/>
              <w:rPr/>
            </w:pPr>
            <w:r>
              <w:rPr>
                <w:spacing w:val="-1"/>
              </w:rPr>
              <w:t>残疾人就业保障金</w:t>
            </w:r>
          </w:p>
        </w:tc>
        <w:tc>
          <w:tcPr>
            <w:tcW w:w="1428" w:type="dxa"/>
            <w:vAlign w:val="top"/>
          </w:tcPr>
          <w:p>
            <w:pPr>
              <w:spacing w:line="339" w:lineRule="auto"/>
              <w:rPr>
                <w:rFonts w:ascii="Arial"/>
                <w:sz w:val="21"/>
              </w:rPr>
            </w:pPr>
            <w:r/>
          </w:p>
          <w:p>
            <w:pPr>
              <w:pStyle w:val="TableText"/>
              <w:ind w:left="43"/>
              <w:spacing w:before="49" w:line="219" w:lineRule="auto"/>
              <w:rPr/>
            </w:pPr>
            <w:r>
              <w:rPr>
                <w:spacing w:val="-1"/>
              </w:rPr>
              <w:t>缴入地方国库</w:t>
            </w:r>
          </w:p>
        </w:tc>
        <w:tc>
          <w:tcPr>
            <w:tcW w:w="2840" w:type="dxa"/>
            <w:vAlign w:val="top"/>
          </w:tcPr>
          <w:p>
            <w:pPr>
              <w:pStyle w:val="TableText"/>
              <w:ind w:left="25" w:right="39" w:hanging="5"/>
              <w:spacing w:before="187" w:line="247" w:lineRule="auto"/>
              <w:rPr/>
            </w:pPr>
            <w:r>
              <w:rPr>
                <w:spacing w:val="-1"/>
              </w:rPr>
              <w:t>《残疾人就业条例》,财税〔2015〕72号，</w:t>
            </w:r>
            <w:r>
              <w:rPr>
                <w:spacing w:val="15"/>
              </w:rPr>
              <w:t xml:space="preserve"> </w:t>
            </w:r>
            <w:r>
              <w:rPr>
                <w:spacing w:val="-1"/>
              </w:rPr>
              <w:t>财综〔2001〕16号，财税〔2017〕18号</w:t>
            </w:r>
          </w:p>
          <w:p>
            <w:pPr>
              <w:pStyle w:val="TableText"/>
              <w:ind w:left="15"/>
              <w:spacing w:before="41" w:line="220" w:lineRule="auto"/>
              <w:rPr/>
            </w:pPr>
            <w:r>
              <w:rPr>
                <w:spacing w:val="-1"/>
              </w:rPr>
              <w:t>财税〔2018〕39号</w:t>
            </w:r>
          </w:p>
        </w:tc>
      </w:tr>
      <w:tr>
        <w:trPr>
          <w:trHeight w:val="699" w:hRule="atLeast"/>
        </w:trPr>
        <w:tc>
          <w:tcPr>
            <w:tcW w:w="344" w:type="dxa"/>
            <w:vAlign w:val="top"/>
          </w:tcPr>
          <w:p>
            <w:pPr>
              <w:spacing w:line="268" w:lineRule="auto"/>
              <w:rPr>
                <w:rFonts w:ascii="Arial"/>
                <w:sz w:val="21"/>
              </w:rPr>
            </w:pPr>
            <w:r/>
          </w:p>
          <w:p>
            <w:pPr>
              <w:pStyle w:val="TableText"/>
              <w:ind w:left="85"/>
              <w:spacing w:before="49" w:line="184" w:lineRule="auto"/>
              <w:rPr/>
            </w:pPr>
            <w:r>
              <w:rPr>
                <w:spacing w:val="-5"/>
              </w:rPr>
              <w:t>16</w:t>
            </w:r>
          </w:p>
        </w:tc>
        <w:tc>
          <w:tcPr>
            <w:tcW w:w="1677" w:type="dxa"/>
            <w:vAlign w:val="top"/>
            <w:gridSpan w:val="2"/>
          </w:tcPr>
          <w:p>
            <w:pPr>
              <w:pStyle w:val="TableText"/>
              <w:ind w:left="50"/>
              <w:spacing w:before="281" w:line="219" w:lineRule="auto"/>
              <w:rPr/>
            </w:pPr>
            <w:r>
              <w:rPr>
                <w:spacing w:val="-1"/>
              </w:rPr>
              <w:t>森林植被恢复费</w:t>
            </w:r>
          </w:p>
        </w:tc>
        <w:tc>
          <w:tcPr>
            <w:tcW w:w="1428" w:type="dxa"/>
            <w:vAlign w:val="top"/>
          </w:tcPr>
          <w:p>
            <w:pPr>
              <w:pStyle w:val="TableText"/>
              <w:ind w:left="43"/>
              <w:spacing w:before="281" w:line="219" w:lineRule="auto"/>
              <w:rPr/>
            </w:pPr>
            <w:r>
              <w:rPr>
                <w:spacing w:val="-1"/>
              </w:rPr>
              <w:t>缴入中央和地方国库</w:t>
            </w:r>
          </w:p>
        </w:tc>
        <w:tc>
          <w:tcPr>
            <w:tcW w:w="2840" w:type="dxa"/>
            <w:vAlign w:val="top"/>
          </w:tcPr>
          <w:p>
            <w:pPr>
              <w:pStyle w:val="TableText"/>
              <w:ind w:left="20" w:right="271"/>
              <w:spacing w:before="188" w:line="241" w:lineRule="auto"/>
              <w:rPr/>
            </w:pPr>
            <w:r>
              <w:rPr>
                <w:spacing w:val="-1"/>
              </w:rPr>
              <w:t>《森林法》,《森林法实施条例》,财综</w:t>
            </w:r>
            <w:r>
              <w:rPr>
                <w:spacing w:val="4"/>
              </w:rPr>
              <w:t xml:space="preserve"> </w:t>
            </w:r>
            <w:r>
              <w:rPr>
                <w:spacing w:val="3"/>
              </w:rPr>
              <w:t>〔2002〕73号，财税〔2015〕122号</w:t>
            </w:r>
          </w:p>
        </w:tc>
      </w:tr>
      <w:tr>
        <w:trPr>
          <w:trHeight w:val="1149" w:hRule="atLeast"/>
        </w:trPr>
        <w:tc>
          <w:tcPr>
            <w:tcW w:w="344" w:type="dxa"/>
            <w:vAlign w:val="top"/>
          </w:tcPr>
          <w:p>
            <w:pPr>
              <w:spacing w:line="244" w:lineRule="auto"/>
              <w:rPr>
                <w:rFonts w:ascii="Arial"/>
                <w:sz w:val="21"/>
              </w:rPr>
            </w:pPr>
            <w:r/>
          </w:p>
          <w:p>
            <w:pPr>
              <w:spacing w:line="244" w:lineRule="auto"/>
              <w:rPr>
                <w:rFonts w:ascii="Arial"/>
                <w:sz w:val="21"/>
              </w:rPr>
            </w:pPr>
            <w:r/>
          </w:p>
          <w:p>
            <w:pPr>
              <w:pStyle w:val="TableText"/>
              <w:ind w:left="85"/>
              <w:spacing w:before="49" w:line="184" w:lineRule="auto"/>
              <w:rPr/>
            </w:pPr>
            <w:r>
              <w:rPr>
                <w:spacing w:val="-5"/>
              </w:rPr>
              <w:t>17</w:t>
            </w:r>
          </w:p>
        </w:tc>
        <w:tc>
          <w:tcPr>
            <w:tcW w:w="1677" w:type="dxa"/>
            <w:vAlign w:val="top"/>
            <w:gridSpan w:val="2"/>
          </w:tcPr>
          <w:p>
            <w:pPr>
              <w:spacing w:line="451" w:lineRule="auto"/>
              <w:rPr>
                <w:rFonts w:ascii="Arial"/>
                <w:sz w:val="21"/>
              </w:rPr>
            </w:pPr>
            <w:r/>
          </w:p>
          <w:p>
            <w:pPr>
              <w:pStyle w:val="TableText"/>
              <w:ind w:left="50"/>
              <w:spacing w:before="48" w:line="220" w:lineRule="auto"/>
              <w:rPr/>
            </w:pPr>
            <w:r>
              <w:rPr>
                <w:spacing w:val="-1"/>
              </w:rPr>
              <w:t>可再生能源发展基金</w:t>
            </w:r>
          </w:p>
        </w:tc>
        <w:tc>
          <w:tcPr>
            <w:tcW w:w="1428" w:type="dxa"/>
            <w:vAlign w:val="top"/>
          </w:tcPr>
          <w:p>
            <w:pPr>
              <w:spacing w:line="450" w:lineRule="auto"/>
              <w:rPr>
                <w:rFonts w:ascii="Arial"/>
                <w:sz w:val="21"/>
              </w:rPr>
            </w:pPr>
            <w:r/>
          </w:p>
          <w:p>
            <w:pPr>
              <w:pStyle w:val="TableText"/>
              <w:ind w:left="43"/>
              <w:spacing w:before="49" w:line="219" w:lineRule="auto"/>
              <w:rPr/>
            </w:pPr>
            <w:r>
              <w:rPr>
                <w:spacing w:val="-1"/>
              </w:rPr>
              <w:t>缴入中央国库</w:t>
            </w:r>
          </w:p>
        </w:tc>
        <w:tc>
          <w:tcPr>
            <w:tcW w:w="2840" w:type="dxa"/>
            <w:vAlign w:val="top"/>
          </w:tcPr>
          <w:p>
            <w:pPr>
              <w:pStyle w:val="TableText"/>
              <w:ind w:left="25" w:right="109" w:hanging="5"/>
              <w:spacing w:before="190" w:line="263" w:lineRule="auto"/>
              <w:rPr/>
            </w:pPr>
            <w:r>
              <w:rPr/>
              <w:t>《可再生能源法》,财综〔2011〕115号， </w:t>
            </w:r>
            <w:r>
              <w:rPr>
                <w:spacing w:val="-1"/>
              </w:rPr>
              <w:t>财建〔2012〕102号，财综〔2013〕89号</w:t>
            </w:r>
            <w:r>
              <w:rPr>
                <w:spacing w:val="8"/>
              </w:rPr>
              <w:t xml:space="preserve">  </w:t>
            </w:r>
            <w:r>
              <w:rPr>
                <w:spacing w:val="-1"/>
              </w:rPr>
              <w:t>财综[2013]103号，财税〔2016〕4号，</w:t>
            </w:r>
          </w:p>
          <w:p>
            <w:pPr>
              <w:pStyle w:val="TableText"/>
              <w:ind w:left="15"/>
              <w:spacing w:before="20" w:line="219" w:lineRule="auto"/>
              <w:rPr/>
            </w:pPr>
            <w:r>
              <w:rPr>
                <w:spacing w:val="-1"/>
              </w:rPr>
              <w:t>财办税〔2015〕4号</w:t>
            </w:r>
          </w:p>
        </w:tc>
      </w:tr>
      <w:tr>
        <w:trPr>
          <w:trHeight w:val="919" w:hRule="atLeast"/>
        </w:trPr>
        <w:tc>
          <w:tcPr>
            <w:tcW w:w="344" w:type="dxa"/>
            <w:vAlign w:val="top"/>
          </w:tcPr>
          <w:p>
            <w:pPr>
              <w:spacing w:line="379" w:lineRule="auto"/>
              <w:rPr>
                <w:rFonts w:ascii="Arial"/>
                <w:sz w:val="21"/>
              </w:rPr>
            </w:pPr>
            <w:r/>
          </w:p>
          <w:p>
            <w:pPr>
              <w:pStyle w:val="TableText"/>
              <w:ind w:left="85"/>
              <w:spacing w:before="49" w:line="184" w:lineRule="auto"/>
              <w:rPr/>
            </w:pPr>
            <w:r>
              <w:rPr>
                <w:spacing w:val="-5"/>
              </w:rPr>
              <w:t>18</w:t>
            </w:r>
          </w:p>
        </w:tc>
        <w:tc>
          <w:tcPr>
            <w:tcW w:w="1677" w:type="dxa"/>
            <w:vAlign w:val="top"/>
            <w:gridSpan w:val="2"/>
          </w:tcPr>
          <w:p>
            <w:pPr>
              <w:spacing w:line="342" w:lineRule="auto"/>
              <w:rPr>
                <w:rFonts w:ascii="Arial"/>
                <w:sz w:val="21"/>
              </w:rPr>
            </w:pPr>
            <w:r/>
          </w:p>
          <w:p>
            <w:pPr>
              <w:pStyle w:val="TableText"/>
              <w:ind w:left="50"/>
              <w:spacing w:before="49" w:line="219" w:lineRule="auto"/>
              <w:rPr/>
            </w:pPr>
            <w:r>
              <w:rPr>
                <w:spacing w:val="-1"/>
              </w:rPr>
              <w:t>船舶油污损害赔偿基金</w:t>
            </w:r>
          </w:p>
        </w:tc>
        <w:tc>
          <w:tcPr>
            <w:tcW w:w="1428" w:type="dxa"/>
            <w:vAlign w:val="top"/>
          </w:tcPr>
          <w:p>
            <w:pPr>
              <w:spacing w:line="342" w:lineRule="auto"/>
              <w:rPr>
                <w:rFonts w:ascii="Arial"/>
                <w:sz w:val="21"/>
              </w:rPr>
            </w:pPr>
            <w:r/>
          </w:p>
          <w:p>
            <w:pPr>
              <w:pStyle w:val="TableText"/>
              <w:ind w:left="43"/>
              <w:spacing w:before="49" w:line="219" w:lineRule="auto"/>
              <w:rPr/>
            </w:pPr>
            <w:r>
              <w:rPr>
                <w:spacing w:val="-1"/>
              </w:rPr>
              <w:t>缴入中央国库</w:t>
            </w:r>
          </w:p>
        </w:tc>
        <w:tc>
          <w:tcPr>
            <w:tcW w:w="2840" w:type="dxa"/>
            <w:vAlign w:val="top"/>
          </w:tcPr>
          <w:p>
            <w:pPr>
              <w:pStyle w:val="TableText"/>
              <w:ind w:left="25" w:right="196" w:hanging="5"/>
              <w:spacing w:before="170" w:line="244" w:lineRule="auto"/>
              <w:rPr/>
            </w:pPr>
            <w:r>
              <w:rPr>
                <w:spacing w:val="-1"/>
              </w:rPr>
              <w:t>《海洋环境保护法》,《防治船舶污染海</w:t>
            </w:r>
            <w:r>
              <w:rPr>
                <w:spacing w:val="4"/>
              </w:rPr>
              <w:t xml:space="preserve"> </w:t>
            </w:r>
            <w:r>
              <w:rPr>
                <w:spacing w:val="-1"/>
              </w:rPr>
              <w:t>洋环境管理条例》,财综〔2012〕33号</w:t>
            </w:r>
          </w:p>
          <w:p>
            <w:pPr>
              <w:pStyle w:val="TableText"/>
              <w:ind w:left="35"/>
              <w:spacing w:before="67" w:line="220" w:lineRule="auto"/>
              <w:rPr/>
            </w:pPr>
            <w:r>
              <w:rPr>
                <w:spacing w:val="-1"/>
              </w:rPr>
              <w:t>交财审发〔2014〕96号</w:t>
            </w:r>
          </w:p>
        </w:tc>
      </w:tr>
      <w:tr>
        <w:trPr>
          <w:trHeight w:val="699" w:hRule="atLeast"/>
        </w:trPr>
        <w:tc>
          <w:tcPr>
            <w:tcW w:w="344" w:type="dxa"/>
            <w:vAlign w:val="top"/>
          </w:tcPr>
          <w:p>
            <w:pPr>
              <w:spacing w:line="271" w:lineRule="auto"/>
              <w:rPr>
                <w:rFonts w:ascii="Arial"/>
                <w:sz w:val="21"/>
              </w:rPr>
            </w:pPr>
            <w:r/>
          </w:p>
          <w:p>
            <w:pPr>
              <w:pStyle w:val="TableText"/>
              <w:ind w:left="85"/>
              <w:spacing w:before="49" w:line="184" w:lineRule="auto"/>
              <w:rPr/>
            </w:pPr>
            <w:r>
              <w:rPr>
                <w:spacing w:val="-5"/>
              </w:rPr>
              <w:t>19</w:t>
            </w:r>
          </w:p>
        </w:tc>
        <w:tc>
          <w:tcPr>
            <w:tcW w:w="1677" w:type="dxa"/>
            <w:vAlign w:val="top"/>
            <w:gridSpan w:val="2"/>
          </w:tcPr>
          <w:p>
            <w:pPr>
              <w:pStyle w:val="TableText"/>
              <w:ind w:left="50" w:right="133" w:hanging="10"/>
              <w:spacing w:before="204" w:line="233" w:lineRule="auto"/>
              <w:rPr/>
            </w:pPr>
            <w:r>
              <w:rPr>
                <w:spacing w:val="-1"/>
              </w:rPr>
              <w:t>核电站乏燃料处理处置</w:t>
            </w:r>
            <w:r>
              <w:rPr>
                <w:spacing w:val="1"/>
              </w:rPr>
              <w:t xml:space="preserve"> </w:t>
            </w:r>
            <w:r>
              <w:rPr>
                <w:spacing w:val="-2"/>
              </w:rPr>
              <w:t>基金</w:t>
            </w:r>
          </w:p>
        </w:tc>
        <w:tc>
          <w:tcPr>
            <w:tcW w:w="1428" w:type="dxa"/>
            <w:vAlign w:val="top"/>
          </w:tcPr>
          <w:p>
            <w:pPr>
              <w:pStyle w:val="TableText"/>
              <w:ind w:left="43"/>
              <w:spacing w:before="284" w:line="219" w:lineRule="auto"/>
              <w:rPr/>
            </w:pPr>
            <w:r>
              <w:rPr>
                <w:spacing w:val="-1"/>
              </w:rPr>
              <w:t>缴入中央国库</w:t>
            </w:r>
          </w:p>
        </w:tc>
        <w:tc>
          <w:tcPr>
            <w:tcW w:w="2840" w:type="dxa"/>
            <w:vAlign w:val="top"/>
          </w:tcPr>
          <w:p>
            <w:pPr>
              <w:pStyle w:val="TableText"/>
              <w:ind w:left="15"/>
              <w:spacing w:before="284" w:line="220" w:lineRule="auto"/>
              <w:rPr/>
            </w:pPr>
            <w:r>
              <w:rPr>
                <w:spacing w:val="-1"/>
              </w:rPr>
              <w:t>财综〔2010〕58号</w:t>
            </w:r>
          </w:p>
        </w:tc>
      </w:tr>
      <w:tr>
        <w:trPr>
          <w:trHeight w:val="2033" w:hRule="atLeast"/>
        </w:trPr>
        <w:tc>
          <w:tcPr>
            <w:tcW w:w="344"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85"/>
              <w:spacing w:before="49" w:line="183" w:lineRule="auto"/>
              <w:rPr/>
            </w:pPr>
            <w:r>
              <w:rPr>
                <w:spacing w:val="-2"/>
              </w:rPr>
              <w:t>20</w:t>
            </w:r>
          </w:p>
        </w:tc>
        <w:tc>
          <w:tcPr>
            <w:tcW w:w="1677" w:type="dxa"/>
            <w:vAlign w:val="top"/>
            <w:gridSpan w:val="2"/>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50" w:right="131" w:hanging="10"/>
              <w:spacing w:before="49" w:line="252" w:lineRule="auto"/>
              <w:rPr/>
            </w:pPr>
            <w:r>
              <w:rPr>
                <w:spacing w:val="-1"/>
              </w:rPr>
              <w:t>废弃电器电子产品处理</w:t>
            </w:r>
            <w:r>
              <w:rPr>
                <w:spacing w:val="3"/>
              </w:rPr>
              <w:t xml:space="preserve"> </w:t>
            </w:r>
            <w:r>
              <w:rPr>
                <w:spacing w:val="-2"/>
              </w:rPr>
              <w:t>基金</w:t>
            </w:r>
          </w:p>
        </w:tc>
        <w:tc>
          <w:tcPr>
            <w:tcW w:w="1428"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43"/>
              <w:spacing w:before="48" w:line="219" w:lineRule="auto"/>
              <w:rPr/>
            </w:pPr>
            <w:r>
              <w:rPr>
                <w:spacing w:val="-1"/>
              </w:rPr>
              <w:t>缴入中央国库</w:t>
            </w:r>
          </w:p>
        </w:tc>
        <w:tc>
          <w:tcPr>
            <w:tcW w:w="2840" w:type="dxa"/>
            <w:vAlign w:val="top"/>
          </w:tcPr>
          <w:p>
            <w:pPr>
              <w:pStyle w:val="TableText"/>
              <w:ind w:left="25" w:right="33" w:hanging="5"/>
              <w:spacing w:before="193" w:line="247" w:lineRule="auto"/>
              <w:rPr/>
            </w:pPr>
            <w:r>
              <w:rPr/>
              <w:t>《废弃电器电子产品回收处理管理条例》, </w:t>
            </w:r>
            <w:r>
              <w:rPr>
                <w:spacing w:val="-1"/>
              </w:rPr>
              <w:t>财综〔2012〕34号，财综〔2012〕48号</w:t>
            </w:r>
          </w:p>
          <w:p>
            <w:pPr>
              <w:pStyle w:val="TableText"/>
              <w:ind w:left="26"/>
              <w:spacing w:before="41" w:line="220" w:lineRule="auto"/>
              <w:rPr/>
            </w:pPr>
            <w:r>
              <w:rPr>
                <w:spacing w:val="-1"/>
              </w:rPr>
              <w:t>财综〔2012〕80号，财综〔2013〕32号</w:t>
            </w:r>
          </w:p>
          <w:p>
            <w:pPr>
              <w:pStyle w:val="TableText"/>
              <w:ind w:left="25" w:right="120" w:hanging="10"/>
              <w:spacing w:before="41" w:line="245" w:lineRule="auto"/>
              <w:rPr/>
            </w:pPr>
            <w:r>
              <w:rPr>
                <w:spacing w:val="-1"/>
              </w:rPr>
              <w:t>财综〔2013〕109号，财综〔2013〕110号</w:t>
            </w:r>
            <w:r>
              <w:rPr>
                <w:spacing w:val="17"/>
              </w:rPr>
              <w:t xml:space="preserve"> </w:t>
            </w:r>
            <w:r>
              <w:rPr>
                <w:spacing w:val="-1"/>
              </w:rPr>
              <w:t>财综〔2014〕45号、财税〔2015〕81号</w:t>
            </w:r>
          </w:p>
          <w:p>
            <w:pPr>
              <w:pStyle w:val="TableText"/>
              <w:ind w:left="34" w:right="250" w:hanging="19"/>
              <w:spacing w:before="59" w:line="249" w:lineRule="auto"/>
              <w:rPr/>
            </w:pPr>
            <w:r>
              <w:rPr>
                <w:spacing w:val="-1"/>
              </w:rPr>
              <w:t>财政部公告2014年第29号，财政部公告</w:t>
            </w:r>
            <w:r>
              <w:rPr>
                <w:spacing w:val="12"/>
              </w:rPr>
              <w:t xml:space="preserve"> </w:t>
            </w:r>
            <w:r>
              <w:rPr>
                <w:spacing w:val="-1"/>
              </w:rPr>
              <w:t>2015年第91号，国家税务总局公告2012</w:t>
            </w:r>
            <w:r>
              <w:rPr>
                <w:spacing w:val="13"/>
              </w:rPr>
              <w:t xml:space="preserve"> </w:t>
            </w:r>
            <w:r>
              <w:rPr>
                <w:spacing w:val="-1"/>
              </w:rPr>
              <w:t>年第41号，海关总署公告2012年第33号</w:t>
            </w:r>
          </w:p>
        </w:tc>
      </w:tr>
    </w:tbl>
    <w:p>
      <w:pPr>
        <w:pStyle w:val="BodyText"/>
        <w:rPr/>
      </w:pPr>
      <w:r/>
    </w:p>
    <w:p>
      <w:pPr>
        <w:sectPr>
          <w:footerReference w:type="default" r:id="rId49"/>
          <w:pgSz w:w="8220" w:h="11910"/>
          <w:pgMar w:top="400" w:right="935" w:bottom="942" w:left="985" w:header="0" w:footer="783" w:gutter="0"/>
        </w:sectPr>
        <w:rPr/>
      </w:pPr>
    </w:p>
    <w:p>
      <w:pPr>
        <w:pStyle w:val="BodyText"/>
        <w:spacing w:line="241" w:lineRule="auto"/>
        <w:rPr/>
      </w:pPr>
      <w:r>
        <mc:AlternateContent xmlns:mc="http://schemas.openxmlformats.org/markup-compatibility/2006">
          <mc:Choice Requires="wps">
            <w:drawing>
              <wp:anchor distT="0" distB="0" distL="0" distR="0" simplePos="0" relativeHeight="251820032" behindDoc="0" locked="0" layoutInCell="0" allowOverlap="1">
                <wp:simplePos x="0" y="0"/>
                <wp:positionH relativeFrom="page">
                  <wp:posOffset>460524</wp:posOffset>
                </wp:positionH>
                <wp:positionV relativeFrom="page">
                  <wp:posOffset>4378381</wp:posOffset>
                </wp:positionV>
                <wp:extent cx="203834" cy="222884"/>
                <wp:effectExtent l="0" t="0" r="0" b="0"/>
                <wp:wrapNone/>
                <wp:docPr id="160" name="TextBox 160"/>
                <wp:cNvGraphicFramePr/>
                <a:graphic>
                  <a:graphicData uri="http://schemas.microsoft.com/office/word/2010/wordprocessingShape">
                    <wps:wsp>
                      <wps:cNvSpPr txBox="1"/>
                      <wps:spPr>
                        <a:xfrm rot="5400000">
                          <a:off x="460524" y="4378381"/>
                          <a:ext cx="203834" cy="2228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8"/>
                              </w:rPr>
                              <w:t>16</w:t>
                            </w:r>
                            <w:r>
                              <w:rPr>
                                <w:rFonts w:ascii="SimSun" w:hAnsi="SimSun" w:eastAsia="SimSun" w:cs="SimSun"/>
                                <w:sz w:val="24"/>
                                <w:szCs w:val="24"/>
                                <w:spacing w:val="-25"/>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2" style="position:absolute;margin-left:36.2618pt;margin-top:344.755pt;mso-position-vertical-relative:page;mso-position-horizontal-relative:page;width:16.05pt;height:17.55pt;z-index:251820032;rotation:90;" o:allowincell="f" filled="false" stroked="false" type="#_x0000_t202">
                <v:fill on="false"/>
                <v:stroke on="false"/>
                <v:path/>
                <v:imagedata o:title=""/>
                <o:lock v:ext="edit" aspectratio="false"/>
                <v:textbox inset="0mm,0mm,0mm,0mm">
                  <w:txbxContent>
                    <w:p>
                      <w:pPr>
                        <w:spacing w:before="91" w:line="184" w:lineRule="auto"/>
                        <w:jc w:val="right"/>
                        <w:rPr>
                          <w:rFonts w:ascii="SimSun" w:hAnsi="SimSun" w:eastAsia="SimSun" w:cs="SimSun"/>
                          <w:sz w:val="24"/>
                          <w:szCs w:val="24"/>
                        </w:rPr>
                      </w:pPr>
                      <w:r>
                        <w:rPr>
                          <w:rFonts w:ascii="SimSun" w:hAnsi="SimSun" w:eastAsia="SimSun" w:cs="SimSun"/>
                          <w:sz w:val="24"/>
                          <w:szCs w:val="24"/>
                          <w:spacing w:val="-28"/>
                        </w:rPr>
                        <w:t>16</w:t>
                      </w:r>
                      <w:r>
                        <w:rPr>
                          <w:rFonts w:ascii="SimSun" w:hAnsi="SimSun" w:eastAsia="SimSun" w:cs="SimSun"/>
                          <w:sz w:val="24"/>
                          <w:szCs w:val="24"/>
                          <w:spacing w:val="-25"/>
                        </w:rPr>
                        <w:t>1</w:t>
                      </w:r>
                    </w:p>
                  </w:txbxContent>
                </v:textbox>
              </v:shape>
            </w:pict>
          </mc:Fallback>
        </mc:AlternateContent>
      </w:r>
      <w:r/>
    </w:p>
    <w:p>
      <w:pPr>
        <w:pStyle w:val="BodyText"/>
        <w:spacing w:line="242" w:lineRule="auto"/>
        <w:rPr/>
      </w:pPr>
      <w:r/>
    </w:p>
    <w:p>
      <w:pPr>
        <w:ind w:left="2718"/>
        <w:spacing w:before="82" w:line="221" w:lineRule="auto"/>
        <w:rPr>
          <w:rFonts w:ascii="SimHei" w:hAnsi="SimHei" w:eastAsia="SimHei" w:cs="SimHei"/>
          <w:sz w:val="25"/>
          <w:szCs w:val="25"/>
        </w:rPr>
      </w:pPr>
      <w:r>
        <w:rPr>
          <w:rFonts w:ascii="SimHei" w:hAnsi="SimHei" w:eastAsia="SimHei" w:cs="SimHei"/>
          <w:sz w:val="25"/>
          <w:szCs w:val="25"/>
          <w:spacing w:val="-16"/>
        </w:rPr>
        <w:t>附录二：</w:t>
      </w:r>
      <w:r>
        <w:rPr>
          <w:rFonts w:ascii="SimHei" w:hAnsi="SimHei" w:eastAsia="SimHei" w:cs="SimHei"/>
          <w:sz w:val="25"/>
          <w:szCs w:val="25"/>
          <w:spacing w:val="45"/>
        </w:rPr>
        <w:t xml:space="preserve"> </w:t>
      </w:r>
      <w:r>
        <w:rPr>
          <w:rFonts w:ascii="SimHei" w:hAnsi="SimHei" w:eastAsia="SimHei" w:cs="SimHei"/>
          <w:sz w:val="25"/>
          <w:szCs w:val="25"/>
          <w:spacing w:val="-16"/>
        </w:rPr>
        <w:t>法律、行政法规、国务院决定设定的</w:t>
      </w:r>
    </w:p>
    <w:p>
      <w:pPr>
        <w:ind w:left="3408"/>
        <w:spacing w:before="41" w:line="222" w:lineRule="auto"/>
        <w:rPr>
          <w:rFonts w:ascii="SimHei" w:hAnsi="SimHei" w:eastAsia="SimHei" w:cs="SimHei"/>
          <w:sz w:val="25"/>
          <w:szCs w:val="25"/>
        </w:rPr>
      </w:pPr>
      <w:r>
        <w:rPr>
          <w:rFonts w:ascii="SimHei" w:hAnsi="SimHei" w:eastAsia="SimHei" w:cs="SimHei"/>
          <w:sz w:val="25"/>
          <w:szCs w:val="25"/>
          <w:spacing w:val="9"/>
        </w:rPr>
        <w:t>行政许可事项清单(2023年版)</w:t>
      </w:r>
    </w:p>
    <w:p>
      <w:pPr>
        <w:spacing w:before="31"/>
        <w:rPr/>
      </w:pPr>
      <w:r/>
    </w:p>
    <w:p>
      <w:pPr>
        <w:spacing w:before="31"/>
        <w:rPr/>
      </w:pPr>
      <w:r/>
    </w:p>
    <w:tbl>
      <w:tblPr>
        <w:tblStyle w:val="TableNormal"/>
        <w:tblW w:w="958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7"/>
        <w:gridCol w:w="3711"/>
      </w:tblGrid>
      <w:tr>
        <w:trPr>
          <w:trHeight w:val="414" w:hRule="atLeast"/>
        </w:trPr>
        <w:tc>
          <w:tcPr>
            <w:tcW w:w="574" w:type="dxa"/>
            <w:vAlign w:val="top"/>
          </w:tcPr>
          <w:p>
            <w:pPr>
              <w:pStyle w:val="TableText"/>
              <w:ind w:left="114"/>
              <w:spacing w:before="132" w:line="221" w:lineRule="auto"/>
              <w:rPr>
                <w:sz w:val="16"/>
                <w:szCs w:val="16"/>
              </w:rPr>
            </w:pPr>
            <w:r>
              <w:rPr>
                <w:sz w:val="16"/>
                <w:szCs w:val="16"/>
                <w:spacing w:val="-2"/>
              </w:rPr>
              <w:t>唐号</w:t>
            </w:r>
          </w:p>
        </w:tc>
        <w:tc>
          <w:tcPr>
            <w:tcW w:w="1299" w:type="dxa"/>
            <w:vAlign w:val="top"/>
          </w:tcPr>
          <w:p>
            <w:pPr>
              <w:pStyle w:val="TableText"/>
              <w:ind w:left="160"/>
              <w:spacing w:before="131" w:line="219" w:lineRule="auto"/>
              <w:rPr>
                <w:sz w:val="16"/>
                <w:szCs w:val="16"/>
              </w:rPr>
            </w:pPr>
            <w:r>
              <w:rPr>
                <w:sz w:val="16"/>
                <w:szCs w:val="16"/>
                <w:spacing w:val="3"/>
              </w:rPr>
              <w:t>中央主管郁门</w:t>
            </w:r>
          </w:p>
        </w:tc>
        <w:tc>
          <w:tcPr>
            <w:tcW w:w="1638" w:type="dxa"/>
            <w:vAlign w:val="top"/>
          </w:tcPr>
          <w:p>
            <w:pPr>
              <w:pStyle w:val="TableText"/>
              <w:ind w:left="471"/>
              <w:spacing w:before="132" w:line="220" w:lineRule="auto"/>
              <w:rPr>
                <w:sz w:val="16"/>
                <w:szCs w:val="16"/>
              </w:rPr>
            </w:pPr>
            <w:r>
              <w:rPr>
                <w:sz w:val="16"/>
                <w:szCs w:val="16"/>
                <w:spacing w:val="-2"/>
              </w:rPr>
              <w:t>那项名程</w:t>
            </w:r>
          </w:p>
        </w:tc>
        <w:tc>
          <w:tcPr>
            <w:tcW w:w="2367" w:type="dxa"/>
            <w:vAlign w:val="top"/>
          </w:tcPr>
          <w:p>
            <w:pPr>
              <w:pStyle w:val="TableText"/>
              <w:ind w:left="834"/>
              <w:spacing w:before="130" w:line="219" w:lineRule="auto"/>
              <w:rPr>
                <w:sz w:val="16"/>
                <w:szCs w:val="16"/>
              </w:rPr>
            </w:pPr>
            <w:r>
              <w:rPr>
                <w:sz w:val="16"/>
                <w:szCs w:val="16"/>
                <w:spacing w:val="-2"/>
              </w:rPr>
              <w:t>实药机关</w:t>
            </w:r>
          </w:p>
        </w:tc>
        <w:tc>
          <w:tcPr>
            <w:tcW w:w="3711" w:type="dxa"/>
            <w:vAlign w:val="top"/>
          </w:tcPr>
          <w:p>
            <w:pPr>
              <w:pStyle w:val="TableText"/>
              <w:ind w:left="1316"/>
              <w:spacing w:before="131" w:line="219" w:lineRule="auto"/>
              <w:rPr>
                <w:sz w:val="16"/>
                <w:szCs w:val="16"/>
              </w:rPr>
            </w:pPr>
            <w:r>
              <w:rPr>
                <w:sz w:val="16"/>
                <w:szCs w:val="16"/>
                <w:spacing w:val="-1"/>
              </w:rPr>
              <w:t>应定和实范恢据</w:t>
            </w:r>
          </w:p>
        </w:tc>
      </w:tr>
      <w:tr>
        <w:trPr>
          <w:trHeight w:val="868" w:hRule="atLeast"/>
        </w:trPr>
        <w:tc>
          <w:tcPr>
            <w:tcW w:w="574" w:type="dxa"/>
            <w:vAlign w:val="top"/>
          </w:tcPr>
          <w:p>
            <w:pPr>
              <w:spacing w:line="343" w:lineRule="auto"/>
              <w:rPr>
                <w:rFonts w:ascii="Arial"/>
                <w:sz w:val="21"/>
              </w:rPr>
            </w:pPr>
            <w:r/>
          </w:p>
          <w:p>
            <w:pPr>
              <w:pStyle w:val="TableText"/>
              <w:ind w:left="234"/>
              <w:spacing w:before="52" w:line="184" w:lineRule="auto"/>
              <w:rPr>
                <w:sz w:val="16"/>
                <w:szCs w:val="16"/>
              </w:rPr>
            </w:pPr>
            <w:r>
              <w:rPr>
                <w:sz w:val="16"/>
                <w:szCs w:val="16"/>
              </w:rPr>
              <w:t>1</w:t>
            </w:r>
          </w:p>
        </w:tc>
        <w:tc>
          <w:tcPr>
            <w:tcW w:w="1299" w:type="dxa"/>
            <w:vAlign w:val="top"/>
          </w:tcPr>
          <w:p>
            <w:pPr>
              <w:spacing w:line="303" w:lineRule="auto"/>
              <w:rPr>
                <w:rFonts w:ascii="Arial"/>
                <w:sz w:val="21"/>
              </w:rPr>
            </w:pPr>
            <w:r/>
          </w:p>
          <w:p>
            <w:pPr>
              <w:pStyle w:val="TableText"/>
              <w:ind w:left="80"/>
              <w:spacing w:before="52" w:line="219" w:lineRule="auto"/>
              <w:rPr>
                <w:sz w:val="16"/>
                <w:szCs w:val="16"/>
              </w:rPr>
            </w:pPr>
            <w:r>
              <w:rPr>
                <w:sz w:val="16"/>
                <w:szCs w:val="16"/>
                <w:spacing w:val="1"/>
              </w:rPr>
              <w:t>时家发展改革秦</w:t>
            </w:r>
          </w:p>
        </w:tc>
        <w:tc>
          <w:tcPr>
            <w:tcW w:w="1638" w:type="dxa"/>
            <w:vAlign w:val="top"/>
          </w:tcPr>
          <w:p>
            <w:pPr>
              <w:pStyle w:val="TableText"/>
              <w:ind w:left="52" w:right="126"/>
              <w:spacing w:before="48" w:line="228" w:lineRule="auto"/>
              <w:rPr>
                <w:sz w:val="16"/>
                <w:szCs w:val="16"/>
              </w:rPr>
            </w:pPr>
            <w:r>
              <w:rPr>
                <w:sz w:val="16"/>
                <w:szCs w:val="16"/>
                <w:spacing w:val="1"/>
              </w:rPr>
              <w:t>随定展产拉变弯日核</w:t>
            </w:r>
            <w:r>
              <w:rPr>
                <w:sz w:val="16"/>
                <w:szCs w:val="16"/>
              </w:rPr>
              <w:t xml:space="preserve"> </w:t>
            </w:r>
            <w:r>
              <w:rPr>
                <w:sz w:val="16"/>
                <w:szCs w:val="16"/>
                <w:spacing w:val="-1"/>
              </w:rPr>
              <w:t>虚《含国受(2N6)72</w:t>
            </w:r>
            <w:r>
              <w:rPr>
                <w:sz w:val="16"/>
                <w:szCs w:val="16"/>
                <w:spacing w:val="2"/>
              </w:rPr>
              <w:t xml:space="preserve">  </w:t>
            </w:r>
            <w:r>
              <w:rPr>
                <w:sz w:val="16"/>
                <w:szCs w:val="16"/>
                <w:spacing w:val="-2"/>
              </w:rPr>
              <w:t>号文研规定的料商没</w:t>
            </w:r>
            <w:r>
              <w:rPr>
                <w:sz w:val="16"/>
                <w:szCs w:val="16"/>
                <w:spacing w:val="6"/>
              </w:rPr>
              <w:t xml:space="preserve"> </w:t>
            </w:r>
            <w:r>
              <w:rPr>
                <w:sz w:val="16"/>
                <w:szCs w:val="16"/>
                <w:spacing w:val="4"/>
              </w:rPr>
              <w:t>资项百1</w:t>
            </w:r>
          </w:p>
        </w:tc>
        <w:tc>
          <w:tcPr>
            <w:tcW w:w="2367" w:type="dxa"/>
            <w:vAlign w:val="top"/>
          </w:tcPr>
          <w:p>
            <w:pPr>
              <w:pStyle w:val="TableText"/>
              <w:ind w:left="54" w:right="50"/>
              <w:spacing w:before="278" w:line="213" w:lineRule="auto"/>
              <w:rPr>
                <w:sz w:val="16"/>
                <w:szCs w:val="16"/>
              </w:rPr>
            </w:pPr>
            <w:r>
              <w:rPr>
                <w:sz w:val="16"/>
                <w:szCs w:val="16"/>
              </w:rPr>
              <w:t>国家发展改革委；古以，没区的</w:t>
            </w:r>
            <w:r>
              <w:rPr>
                <w:sz w:val="16"/>
                <w:szCs w:val="16"/>
                <w:spacing w:val="11"/>
              </w:rPr>
              <w:t xml:space="preserve"> </w:t>
            </w:r>
            <w:r>
              <w:rPr>
                <w:sz w:val="16"/>
                <w:szCs w:val="16"/>
                <w:spacing w:val="-2"/>
              </w:rPr>
              <w:t>市级，悬现鼓所</w:t>
            </w:r>
          </w:p>
        </w:tc>
        <w:tc>
          <w:tcPr>
            <w:tcW w:w="3711" w:type="dxa"/>
            <w:vAlign w:val="top"/>
          </w:tcPr>
          <w:p>
            <w:pPr>
              <w:pStyle w:val="TableText"/>
              <w:spacing w:before="157" w:line="219" w:lineRule="auto"/>
              <w:rPr>
                <w:sz w:val="16"/>
                <w:szCs w:val="16"/>
              </w:rPr>
            </w:pPr>
            <w:r>
              <w:rPr>
                <w:sz w:val="16"/>
                <w:szCs w:val="16"/>
                <w:spacing w:val="-2"/>
              </w:rPr>
              <w:t>《企业控资项甘他准和备案管理备国》</w:t>
            </w:r>
          </w:p>
          <w:p>
            <w:pPr>
              <w:pStyle w:val="TableText"/>
              <w:ind w:left="66" w:right="187"/>
              <w:spacing w:before="10" w:line="230" w:lineRule="auto"/>
              <w:rPr>
                <w:sz w:val="16"/>
                <w:szCs w:val="16"/>
              </w:rPr>
            </w:pPr>
            <w:r>
              <w:rPr>
                <w:sz w:val="16"/>
                <w:szCs w:val="16"/>
              </w:rPr>
              <w:t>(国务配关于发布故海模清的投袋项日月录(1016#</w:t>
            </w:r>
            <w:r>
              <w:rPr>
                <w:sz w:val="16"/>
                <w:szCs w:val="16"/>
                <w:spacing w:val="5"/>
              </w:rPr>
              <w:t xml:space="preserve"> </w:t>
            </w:r>
            <w:r>
              <w:rPr>
                <w:sz w:val="16"/>
                <w:szCs w:val="16"/>
                <w:spacing w:val="1"/>
              </w:rPr>
              <w:t>本》的通如家回宽(2016)72号)</w:t>
            </w:r>
          </w:p>
        </w:tc>
      </w:tr>
      <w:tr>
        <w:trPr>
          <w:trHeight w:val="459" w:hRule="atLeast"/>
        </w:trPr>
        <w:tc>
          <w:tcPr>
            <w:tcW w:w="574" w:type="dxa"/>
            <w:vAlign w:val="top"/>
          </w:tcPr>
          <w:p>
            <w:pPr>
              <w:pStyle w:val="TableText"/>
              <w:ind w:left="234"/>
              <w:spacing w:before="190" w:line="184" w:lineRule="auto"/>
              <w:rPr>
                <w:sz w:val="16"/>
                <w:szCs w:val="16"/>
              </w:rPr>
            </w:pPr>
            <w:r>
              <w:rPr>
                <w:sz w:val="16"/>
                <w:szCs w:val="16"/>
              </w:rPr>
              <w:t>1</w:t>
            </w:r>
          </w:p>
        </w:tc>
        <w:tc>
          <w:tcPr>
            <w:tcW w:w="1299" w:type="dxa"/>
            <w:vAlign w:val="top"/>
          </w:tcPr>
          <w:p>
            <w:pPr>
              <w:pStyle w:val="TableText"/>
              <w:ind w:left="80"/>
              <w:spacing w:before="149" w:line="219" w:lineRule="auto"/>
              <w:rPr>
                <w:sz w:val="16"/>
                <w:szCs w:val="16"/>
              </w:rPr>
            </w:pPr>
            <w:r>
              <w:rPr>
                <w:sz w:val="16"/>
                <w:szCs w:val="16"/>
                <w:spacing w:val="1"/>
              </w:rPr>
              <w:t>国家发取改单者</w:t>
            </w:r>
          </w:p>
        </w:tc>
        <w:tc>
          <w:tcPr>
            <w:tcW w:w="1638" w:type="dxa"/>
            <w:vAlign w:val="top"/>
          </w:tcPr>
          <w:p>
            <w:pPr>
              <w:pStyle w:val="TableText"/>
              <w:ind w:left="52" w:right="162" w:hanging="20"/>
              <w:spacing w:before="69" w:line="219" w:lineRule="auto"/>
              <w:rPr>
                <w:sz w:val="16"/>
                <w:szCs w:val="16"/>
              </w:rPr>
            </w:pPr>
            <w:r>
              <w:rPr>
                <w:sz w:val="16"/>
                <w:szCs w:val="16"/>
                <w:spacing w:val="-1"/>
              </w:rPr>
              <w:t>周定查产设置项卫节</w:t>
            </w:r>
            <w:r>
              <w:rPr>
                <w:sz w:val="16"/>
                <w:szCs w:val="16"/>
                <w:spacing w:val="1"/>
              </w:rPr>
              <w:t xml:space="preserve"> </w:t>
            </w:r>
            <w:r>
              <w:rPr>
                <w:sz w:val="16"/>
                <w:szCs w:val="16"/>
                <w:spacing w:val="2"/>
              </w:rPr>
              <w:t>能审查</w:t>
            </w:r>
          </w:p>
        </w:tc>
        <w:tc>
          <w:tcPr>
            <w:tcW w:w="2367" w:type="dxa"/>
            <w:vAlign w:val="top"/>
          </w:tcPr>
          <w:p>
            <w:pPr>
              <w:pStyle w:val="TableText"/>
              <w:ind w:left="54" w:right="39" w:firstLine="10"/>
              <w:spacing w:before="68" w:line="219" w:lineRule="auto"/>
              <w:rPr>
                <w:sz w:val="16"/>
                <w:szCs w:val="16"/>
              </w:rPr>
            </w:pPr>
            <w:r>
              <w:rPr>
                <w:sz w:val="16"/>
                <w:szCs w:val="16"/>
              </w:rPr>
              <w:t>智版，收区的市级，且取节能审</w:t>
            </w:r>
            <w:r>
              <w:rPr>
                <w:sz w:val="16"/>
                <w:szCs w:val="16"/>
                <w:spacing w:val="12"/>
              </w:rPr>
              <w:t xml:space="preserve"> </w:t>
            </w:r>
            <w:r>
              <w:rPr>
                <w:sz w:val="16"/>
                <w:szCs w:val="16"/>
                <w:spacing w:val="-2"/>
              </w:rPr>
              <w:t>业机关</w:t>
            </w:r>
          </w:p>
        </w:tc>
        <w:tc>
          <w:tcPr>
            <w:tcW w:w="3711" w:type="dxa"/>
            <w:vAlign w:val="top"/>
          </w:tcPr>
          <w:p>
            <w:pPr>
              <w:pStyle w:val="TableText"/>
              <w:spacing w:before="80" w:line="207" w:lineRule="auto"/>
              <w:rPr>
                <w:sz w:val="16"/>
                <w:szCs w:val="16"/>
              </w:rPr>
            </w:pPr>
            <w:r>
              <w:rPr>
                <w:sz w:val="16"/>
                <w:szCs w:val="16"/>
                <w:spacing w:val="-1"/>
              </w:rPr>
              <w:t>《中单人民具和国当所重源法)</w:t>
            </w:r>
          </w:p>
          <w:p>
            <w:pPr>
              <w:pStyle w:val="TableText"/>
              <w:spacing w:line="218" w:lineRule="auto"/>
              <w:rPr>
                <w:sz w:val="16"/>
                <w:szCs w:val="16"/>
              </w:rPr>
            </w:pPr>
            <w:r>
              <w:rPr>
                <w:sz w:val="16"/>
                <w:szCs w:val="16"/>
                <w:spacing w:val="-2"/>
              </w:rPr>
              <w:t>《国定资产程查项目古陀市春办法</w:t>
            </w:r>
          </w:p>
        </w:tc>
      </w:tr>
      <w:tr>
        <w:trPr>
          <w:trHeight w:val="859" w:hRule="atLeast"/>
        </w:trPr>
        <w:tc>
          <w:tcPr>
            <w:tcW w:w="574" w:type="dxa"/>
            <w:vAlign w:val="top"/>
          </w:tcPr>
          <w:p>
            <w:pPr>
              <w:spacing w:line="337" w:lineRule="auto"/>
              <w:rPr>
                <w:rFonts w:ascii="Arial"/>
                <w:sz w:val="21"/>
              </w:rPr>
            </w:pPr>
            <w:r/>
          </w:p>
          <w:p>
            <w:pPr>
              <w:pStyle w:val="TableText"/>
              <w:ind w:left="234"/>
              <w:spacing w:before="52" w:line="183" w:lineRule="auto"/>
              <w:rPr>
                <w:sz w:val="16"/>
                <w:szCs w:val="16"/>
              </w:rPr>
            </w:pPr>
            <w:r>
              <w:rPr>
                <w:sz w:val="16"/>
                <w:szCs w:val="16"/>
              </w:rPr>
              <w:t>3</w:t>
            </w:r>
          </w:p>
        </w:tc>
        <w:tc>
          <w:tcPr>
            <w:tcW w:w="1299" w:type="dxa"/>
            <w:vAlign w:val="top"/>
          </w:tcPr>
          <w:p>
            <w:pPr>
              <w:spacing w:line="296" w:lineRule="auto"/>
              <w:rPr>
                <w:rFonts w:ascii="Arial"/>
                <w:sz w:val="21"/>
              </w:rPr>
            </w:pPr>
            <w:r/>
          </w:p>
          <w:p>
            <w:pPr>
              <w:pStyle w:val="TableText"/>
              <w:ind w:left="80"/>
              <w:spacing w:before="52" w:line="219" w:lineRule="auto"/>
              <w:rPr>
                <w:sz w:val="16"/>
                <w:szCs w:val="16"/>
              </w:rPr>
            </w:pPr>
            <w:r>
              <w:rPr>
                <w:sz w:val="16"/>
                <w:szCs w:val="16"/>
              </w:rPr>
              <w:t>国定食康改革委</w:t>
            </w:r>
          </w:p>
        </w:tc>
        <w:tc>
          <w:tcPr>
            <w:tcW w:w="1638" w:type="dxa"/>
            <w:vAlign w:val="top"/>
          </w:tcPr>
          <w:p>
            <w:pPr>
              <w:pStyle w:val="TableText"/>
              <w:ind w:left="52" w:right="142"/>
              <w:spacing w:before="241" w:line="242" w:lineRule="auto"/>
              <w:rPr>
                <w:sz w:val="16"/>
                <w:szCs w:val="16"/>
              </w:rPr>
            </w:pPr>
            <w:r>
              <w:rPr>
                <w:sz w:val="16"/>
                <w:szCs w:val="16"/>
                <w:spacing w:val="-1"/>
              </w:rPr>
              <w:t>石浦无然气，虚尿气</w:t>
            </w:r>
            <w:r>
              <w:rPr>
                <w:sz w:val="16"/>
                <w:szCs w:val="16"/>
                <w:spacing w:val="1"/>
              </w:rPr>
              <w:t xml:space="preserve"> </w:t>
            </w:r>
            <w:r>
              <w:rPr>
                <w:sz w:val="16"/>
                <w:szCs w:val="16"/>
                <w:spacing w:val="-1"/>
              </w:rPr>
              <w:t>财外含物硅目审批</w:t>
            </w:r>
          </w:p>
        </w:tc>
        <w:tc>
          <w:tcPr>
            <w:tcW w:w="2367" w:type="dxa"/>
            <w:vAlign w:val="top"/>
          </w:tcPr>
          <w:p>
            <w:pPr>
              <w:spacing w:line="296" w:lineRule="auto"/>
              <w:rPr>
                <w:rFonts w:ascii="Arial"/>
                <w:sz w:val="21"/>
              </w:rPr>
            </w:pPr>
            <w:r/>
          </w:p>
          <w:p>
            <w:pPr>
              <w:pStyle w:val="TableText"/>
              <w:ind w:left="54"/>
              <w:spacing w:before="52" w:line="219" w:lineRule="auto"/>
              <w:rPr>
                <w:sz w:val="16"/>
                <w:szCs w:val="16"/>
              </w:rPr>
            </w:pPr>
            <w:r>
              <w:rPr>
                <w:sz w:val="16"/>
                <w:szCs w:val="16"/>
                <w:spacing w:val="1"/>
              </w:rPr>
              <w:t>国家发展改革要</w:t>
            </w:r>
          </w:p>
        </w:tc>
        <w:tc>
          <w:tcPr>
            <w:tcW w:w="3711" w:type="dxa"/>
            <w:vAlign w:val="top"/>
          </w:tcPr>
          <w:p>
            <w:pPr>
              <w:pStyle w:val="TableText"/>
              <w:ind w:right="213" w:firstLine="9"/>
              <w:spacing w:before="51" w:line="230" w:lineRule="auto"/>
              <w:jc w:val="both"/>
              <w:rPr>
                <w:sz w:val="16"/>
                <w:szCs w:val="16"/>
              </w:rPr>
            </w:pPr>
            <w:r>
              <w:rPr>
                <w:sz w:val="16"/>
                <w:szCs w:val="16"/>
                <w:spacing w:val="-2"/>
              </w:rPr>
              <w:t>《中华人民共和国时外合作开果陆上石准资源条例</w:t>
            </w:r>
            <w:r>
              <w:rPr>
                <w:sz w:val="16"/>
                <w:szCs w:val="16"/>
              </w:rPr>
              <w:t xml:space="preserve"> </w:t>
            </w:r>
            <w:r>
              <w:rPr>
                <w:sz w:val="16"/>
                <w:szCs w:val="16"/>
                <w:spacing w:val="-2"/>
              </w:rPr>
              <w:t>《中华人民其和国对外合作开采海洋石输资源条侧</w:t>
            </w:r>
            <w:r>
              <w:rPr>
                <w:sz w:val="16"/>
                <w:szCs w:val="16"/>
                <w:spacing w:val="1"/>
              </w:rPr>
              <w:t xml:space="preserve"> </w:t>
            </w:r>
            <w:r>
              <w:rPr>
                <w:sz w:val="16"/>
                <w:szCs w:val="16"/>
                <w:spacing w:val="-2"/>
              </w:rPr>
              <w:t>《国务荒关于同重成立中联焊层气有限者在公司的</w:t>
            </w:r>
            <w:r>
              <w:rPr>
                <w:sz w:val="16"/>
                <w:szCs w:val="16"/>
                <w:spacing w:val="10"/>
              </w:rPr>
              <w:t xml:space="preserve"> </w:t>
            </w:r>
            <w:r>
              <w:rPr>
                <w:sz w:val="16"/>
                <w:szCs w:val="16"/>
                <w:spacing w:val="6"/>
              </w:rPr>
              <w:t>批复区国商J996)23号1</w:t>
            </w:r>
          </w:p>
        </w:tc>
      </w:tr>
      <w:tr>
        <w:trPr>
          <w:trHeight w:val="1068" w:hRule="atLeast"/>
        </w:trPr>
        <w:tc>
          <w:tcPr>
            <w:tcW w:w="574" w:type="dxa"/>
            <w:vAlign w:val="top"/>
          </w:tcPr>
          <w:p>
            <w:pPr>
              <w:spacing w:line="448" w:lineRule="auto"/>
              <w:rPr>
                <w:rFonts w:ascii="Arial"/>
                <w:sz w:val="21"/>
              </w:rPr>
            </w:pPr>
            <w:r/>
          </w:p>
          <w:p>
            <w:pPr>
              <w:pStyle w:val="TableText"/>
              <w:ind w:left="234"/>
              <w:spacing w:before="52" w:line="183" w:lineRule="auto"/>
              <w:rPr>
                <w:sz w:val="16"/>
                <w:szCs w:val="16"/>
              </w:rPr>
            </w:pPr>
            <w:r>
              <w:rPr>
                <w:sz w:val="16"/>
                <w:szCs w:val="16"/>
              </w:rPr>
              <w:t>4</w:t>
            </w:r>
          </w:p>
        </w:tc>
        <w:tc>
          <w:tcPr>
            <w:tcW w:w="1299" w:type="dxa"/>
            <w:vAlign w:val="top"/>
          </w:tcPr>
          <w:p>
            <w:pPr>
              <w:spacing w:line="406" w:lineRule="auto"/>
              <w:rPr>
                <w:rFonts w:ascii="Arial"/>
                <w:sz w:val="21"/>
              </w:rPr>
            </w:pPr>
            <w:r/>
          </w:p>
          <w:p>
            <w:pPr>
              <w:pStyle w:val="TableText"/>
              <w:ind w:left="80"/>
              <w:spacing w:before="52" w:line="219" w:lineRule="auto"/>
              <w:rPr>
                <w:sz w:val="16"/>
                <w:szCs w:val="16"/>
              </w:rPr>
            </w:pPr>
            <w:r>
              <w:rPr>
                <w:sz w:val="16"/>
                <w:szCs w:val="16"/>
              </w:rPr>
              <w:t>国军发展店革委</w:t>
            </w:r>
          </w:p>
        </w:tc>
        <w:tc>
          <w:tcPr>
            <w:tcW w:w="1638" w:type="dxa"/>
            <w:vAlign w:val="top"/>
          </w:tcPr>
          <w:p>
            <w:pPr>
              <w:spacing w:line="407" w:lineRule="auto"/>
              <w:rPr>
                <w:rFonts w:ascii="Arial"/>
                <w:sz w:val="21"/>
              </w:rPr>
            </w:pPr>
            <w:r/>
          </w:p>
          <w:p>
            <w:pPr>
              <w:pStyle w:val="TableText"/>
              <w:ind w:left="52"/>
              <w:spacing w:before="52" w:line="220" w:lineRule="auto"/>
              <w:rPr>
                <w:sz w:val="16"/>
                <w:szCs w:val="16"/>
              </w:rPr>
            </w:pPr>
            <w:r>
              <w:rPr>
                <w:sz w:val="16"/>
                <w:szCs w:val="16"/>
                <w:spacing w:val="-1"/>
              </w:rPr>
              <w:t>填外视频质目许可</w:t>
            </w:r>
          </w:p>
        </w:tc>
        <w:tc>
          <w:tcPr>
            <w:tcW w:w="2367" w:type="dxa"/>
            <w:vAlign w:val="top"/>
          </w:tcPr>
          <w:p>
            <w:pPr>
              <w:spacing w:line="307" w:lineRule="auto"/>
              <w:rPr>
                <w:rFonts w:ascii="Arial"/>
                <w:sz w:val="21"/>
              </w:rPr>
            </w:pPr>
            <w:r/>
          </w:p>
          <w:p>
            <w:pPr>
              <w:pStyle w:val="TableText"/>
              <w:ind w:left="54" w:right="56"/>
              <w:spacing w:before="52" w:line="231" w:lineRule="auto"/>
              <w:rPr>
                <w:sz w:val="16"/>
                <w:szCs w:val="16"/>
              </w:rPr>
            </w:pPr>
            <w:r>
              <w:rPr>
                <w:sz w:val="16"/>
                <w:szCs w:val="16"/>
              </w:rPr>
              <w:t>国家登展改革委，省硬发能改革</w:t>
            </w:r>
            <w:r>
              <w:rPr>
                <w:sz w:val="16"/>
                <w:szCs w:val="16"/>
                <w:spacing w:val="5"/>
              </w:rPr>
              <w:t xml:space="preserve"> </w:t>
            </w:r>
            <w:r>
              <w:rPr>
                <w:sz w:val="16"/>
                <w:szCs w:val="16"/>
                <w:spacing w:val="8"/>
              </w:rPr>
              <w:t>师门</w:t>
            </w:r>
          </w:p>
        </w:tc>
        <w:tc>
          <w:tcPr>
            <w:tcW w:w="3711" w:type="dxa"/>
            <w:vAlign w:val="top"/>
          </w:tcPr>
          <w:p>
            <w:pPr>
              <w:pStyle w:val="TableText"/>
              <w:spacing w:before="51" w:line="219" w:lineRule="auto"/>
              <w:rPr>
                <w:sz w:val="16"/>
                <w:szCs w:val="16"/>
              </w:rPr>
            </w:pPr>
            <w:r>
              <w:rPr>
                <w:sz w:val="16"/>
                <w:szCs w:val="16"/>
                <w:spacing w:val="-2"/>
              </w:rPr>
              <w:t>《国务院对确常保留单行故市经卖目设是行政</w:t>
            </w:r>
            <w:r>
              <w:rPr>
                <w:sz w:val="16"/>
                <w:szCs w:val="16"/>
                <w:spacing w:val="-3"/>
              </w:rPr>
              <w:t>许可</w:t>
            </w:r>
          </w:p>
          <w:p>
            <w:pPr>
              <w:pStyle w:val="TableText"/>
              <w:ind w:left="66"/>
              <w:spacing w:before="29" w:line="196" w:lineRule="auto"/>
              <w:rPr>
                <w:sz w:val="16"/>
                <w:szCs w:val="16"/>
              </w:rPr>
            </w:pPr>
            <w:r>
              <w:rPr>
                <w:sz w:val="16"/>
                <w:szCs w:val="16"/>
                <w:spacing w:val="8"/>
              </w:rPr>
              <w:t>的决定)</w:t>
            </w:r>
          </w:p>
          <w:p>
            <w:pPr>
              <w:pStyle w:val="TableText"/>
              <w:ind w:left="79" w:right="127" w:hanging="79"/>
              <w:spacing w:line="236" w:lineRule="auto"/>
              <w:rPr>
                <w:sz w:val="16"/>
                <w:szCs w:val="16"/>
              </w:rPr>
            </w:pPr>
            <w:r>
              <w:rPr>
                <w:sz w:val="16"/>
                <w:szCs w:val="16"/>
                <w:spacing w:val="-1"/>
              </w:rPr>
              <w:t>《国务配关于发希政府机功的投资场目台录r20</w:t>
            </w:r>
            <w:r>
              <w:rPr>
                <w:sz w:val="16"/>
                <w:szCs w:val="16"/>
                <w:spacing w:val="-2"/>
              </w:rPr>
              <w:t>16年</w:t>
            </w:r>
            <w:r>
              <w:rPr>
                <w:sz w:val="16"/>
                <w:szCs w:val="16"/>
              </w:rPr>
              <w:t xml:space="preserve"> </w:t>
            </w:r>
            <w:r>
              <w:rPr>
                <w:sz w:val="16"/>
                <w:szCs w:val="16"/>
                <w:spacing w:val="1"/>
              </w:rPr>
              <w:t>本》的道知只国置(016072号)</w:t>
            </w:r>
          </w:p>
          <w:p>
            <w:pPr>
              <w:pStyle w:val="TableText"/>
              <w:spacing w:before="41" w:line="192" w:lineRule="auto"/>
              <w:rPr>
                <w:sz w:val="16"/>
                <w:szCs w:val="16"/>
              </w:rPr>
            </w:pPr>
            <w:r>
              <w:rPr>
                <w:sz w:val="16"/>
                <w:szCs w:val="16"/>
                <w:spacing w:val="-3"/>
              </w:rPr>
              <w:t>《企查境外投资登建办店</w:t>
            </w:r>
          </w:p>
        </w:tc>
      </w:tr>
      <w:tr>
        <w:trPr>
          <w:trHeight w:val="459" w:hRule="atLeast"/>
        </w:trPr>
        <w:tc>
          <w:tcPr>
            <w:tcW w:w="574" w:type="dxa"/>
            <w:vAlign w:val="top"/>
          </w:tcPr>
          <w:p>
            <w:pPr>
              <w:pStyle w:val="TableText"/>
              <w:ind w:left="234"/>
              <w:spacing w:before="194" w:line="183" w:lineRule="auto"/>
              <w:rPr>
                <w:sz w:val="16"/>
                <w:szCs w:val="16"/>
              </w:rPr>
            </w:pPr>
            <w:r>
              <w:rPr>
                <w:sz w:val="16"/>
                <w:szCs w:val="16"/>
              </w:rPr>
              <w:t>3</w:t>
            </w:r>
          </w:p>
        </w:tc>
        <w:tc>
          <w:tcPr>
            <w:tcW w:w="1299" w:type="dxa"/>
            <w:vAlign w:val="top"/>
          </w:tcPr>
          <w:p>
            <w:pPr>
              <w:pStyle w:val="TableText"/>
              <w:ind w:left="80"/>
              <w:spacing w:before="153" w:line="219" w:lineRule="auto"/>
              <w:rPr>
                <w:sz w:val="16"/>
                <w:szCs w:val="16"/>
              </w:rPr>
            </w:pPr>
            <w:r>
              <w:rPr>
                <w:sz w:val="16"/>
                <w:szCs w:val="16"/>
              </w:rPr>
              <w:t>国家发范在革卷</w:t>
            </w:r>
          </w:p>
        </w:tc>
        <w:tc>
          <w:tcPr>
            <w:tcW w:w="1638" w:type="dxa"/>
            <w:vAlign w:val="top"/>
          </w:tcPr>
          <w:p>
            <w:pPr>
              <w:pStyle w:val="TableText"/>
              <w:ind w:left="52" w:right="84" w:firstLine="59"/>
              <w:spacing w:before="72" w:line="217" w:lineRule="auto"/>
              <w:rPr>
                <w:sz w:val="16"/>
                <w:szCs w:val="16"/>
              </w:rPr>
            </w:pPr>
            <w:r>
              <w:rPr>
                <w:sz w:val="16"/>
                <w:szCs w:val="16"/>
                <w:spacing w:val="-1"/>
              </w:rPr>
              <w:t>企业山用中长第外模</w:t>
            </w:r>
            <w:r>
              <w:rPr>
                <w:sz w:val="16"/>
                <w:szCs w:val="16"/>
              </w:rPr>
              <w:t xml:space="preserve"> </w:t>
            </w:r>
            <w:r>
              <w:rPr>
                <w:sz w:val="16"/>
                <w:szCs w:val="16"/>
                <w:spacing w:val="3"/>
              </w:rPr>
              <w:t>审批</w:t>
            </w:r>
          </w:p>
        </w:tc>
        <w:tc>
          <w:tcPr>
            <w:tcW w:w="2367" w:type="dxa"/>
            <w:vAlign w:val="top"/>
          </w:tcPr>
          <w:p>
            <w:pPr>
              <w:pStyle w:val="TableText"/>
              <w:ind w:left="54"/>
              <w:spacing w:before="153" w:line="219" w:lineRule="auto"/>
              <w:rPr>
                <w:sz w:val="16"/>
                <w:szCs w:val="16"/>
              </w:rPr>
            </w:pPr>
            <w:r>
              <w:rPr>
                <w:sz w:val="16"/>
                <w:szCs w:val="16"/>
              </w:rPr>
              <w:t>国家监展改革委</w:t>
            </w:r>
          </w:p>
        </w:tc>
        <w:tc>
          <w:tcPr>
            <w:tcW w:w="3711" w:type="dxa"/>
            <w:vAlign w:val="top"/>
          </w:tcPr>
          <w:p>
            <w:pPr>
              <w:pStyle w:val="TableText"/>
              <w:spacing w:before="53" w:line="212" w:lineRule="exact"/>
              <w:rPr>
                <w:sz w:val="16"/>
                <w:szCs w:val="16"/>
              </w:rPr>
            </w:pPr>
            <w:r>
              <w:rPr>
                <w:sz w:val="16"/>
                <w:szCs w:val="16"/>
                <w:spacing w:val="-2"/>
                <w:position w:val="3"/>
              </w:rPr>
              <w:t>《中毕入民共和国外言管螂备钢》</w:t>
            </w:r>
          </w:p>
          <w:p>
            <w:pPr>
              <w:pStyle w:val="TableText"/>
              <w:spacing w:line="211" w:lineRule="auto"/>
              <w:rPr>
                <w:sz w:val="16"/>
                <w:szCs w:val="16"/>
              </w:rPr>
            </w:pPr>
            <w:r>
              <w:rPr>
                <w:sz w:val="16"/>
                <w:szCs w:val="16"/>
                <w:spacing w:val="3"/>
              </w:rPr>
              <w:t>《外信管望黔行办法|</w:t>
            </w:r>
          </w:p>
        </w:tc>
      </w:tr>
      <w:tr>
        <w:trPr>
          <w:trHeight w:val="853" w:hRule="atLeast"/>
        </w:trPr>
        <w:tc>
          <w:tcPr>
            <w:tcW w:w="574" w:type="dxa"/>
            <w:vAlign w:val="top"/>
          </w:tcPr>
          <w:p>
            <w:pPr>
              <w:spacing w:line="301" w:lineRule="auto"/>
              <w:rPr>
                <w:rFonts w:ascii="Arial"/>
                <w:sz w:val="21"/>
              </w:rPr>
            </w:pPr>
            <w:r/>
          </w:p>
          <w:p>
            <w:pPr>
              <w:pStyle w:val="TableText"/>
              <w:ind w:left="194"/>
              <w:spacing w:before="52" w:line="220" w:lineRule="auto"/>
              <w:rPr>
                <w:sz w:val="16"/>
                <w:szCs w:val="16"/>
              </w:rPr>
            </w:pPr>
            <w:r>
              <w:rPr>
                <w:sz w:val="16"/>
                <w:szCs w:val="16"/>
              </w:rPr>
              <w:t>春</w:t>
            </w:r>
          </w:p>
        </w:tc>
        <w:tc>
          <w:tcPr>
            <w:tcW w:w="1299" w:type="dxa"/>
            <w:vAlign w:val="top"/>
          </w:tcPr>
          <w:p>
            <w:pPr>
              <w:spacing w:line="300" w:lineRule="auto"/>
              <w:rPr>
                <w:rFonts w:ascii="Arial"/>
                <w:sz w:val="21"/>
              </w:rPr>
            </w:pPr>
            <w:r/>
          </w:p>
          <w:p>
            <w:pPr>
              <w:pStyle w:val="TableText"/>
              <w:ind w:left="80"/>
              <w:spacing w:before="52" w:line="219" w:lineRule="auto"/>
              <w:rPr>
                <w:sz w:val="16"/>
                <w:szCs w:val="16"/>
              </w:rPr>
            </w:pPr>
            <w:r>
              <w:rPr>
                <w:sz w:val="16"/>
                <w:szCs w:val="16"/>
                <w:spacing w:val="1"/>
              </w:rPr>
              <w:t>国家发顺改量支</w:t>
            </w:r>
          </w:p>
        </w:tc>
        <w:tc>
          <w:tcPr>
            <w:tcW w:w="1638" w:type="dxa"/>
            <w:vAlign w:val="top"/>
          </w:tcPr>
          <w:p>
            <w:pPr>
              <w:pStyle w:val="TableText"/>
              <w:ind w:left="52" w:right="302"/>
              <w:spacing w:before="274" w:line="219" w:lineRule="auto"/>
              <w:rPr>
                <w:sz w:val="16"/>
                <w:szCs w:val="16"/>
              </w:rPr>
            </w:pPr>
            <w:r>
              <w:rPr>
                <w:sz w:val="16"/>
                <w:szCs w:val="16"/>
                <w:spacing w:val="-1"/>
              </w:rPr>
              <w:t>值明外资想行中长</w:t>
            </w:r>
            <w:r>
              <w:rPr>
                <w:sz w:val="16"/>
                <w:szCs w:val="16"/>
              </w:rPr>
              <w:t xml:space="preserve"> </w:t>
            </w:r>
            <w:r>
              <w:rPr>
                <w:sz w:val="16"/>
                <w:szCs w:val="16"/>
                <w:spacing w:val="-2"/>
              </w:rPr>
              <w:t>外描磨款规理市偿</w:t>
            </w:r>
          </w:p>
        </w:tc>
        <w:tc>
          <w:tcPr>
            <w:tcW w:w="2367" w:type="dxa"/>
            <w:vAlign w:val="top"/>
          </w:tcPr>
          <w:p>
            <w:pPr>
              <w:spacing w:line="301" w:lineRule="auto"/>
              <w:rPr>
                <w:rFonts w:ascii="Arial"/>
                <w:sz w:val="21"/>
              </w:rPr>
            </w:pPr>
            <w:r/>
          </w:p>
          <w:p>
            <w:pPr>
              <w:pStyle w:val="TableText"/>
              <w:ind w:left="54"/>
              <w:spacing w:before="52" w:line="220" w:lineRule="auto"/>
              <w:rPr>
                <w:sz w:val="16"/>
                <w:szCs w:val="16"/>
              </w:rPr>
            </w:pPr>
            <w:r>
              <w:rPr>
                <w:sz w:val="16"/>
                <w:szCs w:val="16"/>
                <w:spacing w:val="1"/>
              </w:rPr>
              <w:t>国案双溺液重者</w:t>
            </w:r>
          </w:p>
        </w:tc>
        <w:tc>
          <w:tcPr>
            <w:tcW w:w="3711" w:type="dxa"/>
            <w:vAlign w:val="top"/>
          </w:tcPr>
          <w:p>
            <w:pPr>
              <w:pStyle w:val="TableText"/>
              <w:ind w:left="66" w:right="267"/>
              <w:spacing w:before="133" w:line="237" w:lineRule="auto"/>
              <w:rPr>
                <w:sz w:val="16"/>
                <w:szCs w:val="16"/>
              </w:rPr>
            </w:pPr>
            <w:r>
              <w:rPr>
                <w:sz w:val="16"/>
                <w:szCs w:val="16"/>
              </w:rPr>
              <w:t>国务脱对确需保值的行收市批预日设定行教许可</w:t>
            </w:r>
            <w:r>
              <w:rPr>
                <w:sz w:val="16"/>
                <w:szCs w:val="16"/>
                <w:spacing w:val="5"/>
              </w:rPr>
              <w:t xml:space="preserve"> </w:t>
            </w:r>
            <w:r>
              <w:rPr>
                <w:sz w:val="16"/>
                <w:szCs w:val="16"/>
                <w:spacing w:val="4"/>
              </w:rPr>
              <w:t>的陕定1</w:t>
            </w:r>
          </w:p>
          <w:p>
            <w:pPr>
              <w:pStyle w:val="TableText"/>
              <w:spacing w:before="40" w:line="219" w:lineRule="auto"/>
              <w:rPr>
                <w:sz w:val="16"/>
                <w:szCs w:val="16"/>
              </w:rPr>
            </w:pPr>
            <w:r>
              <w:rPr>
                <w:sz w:val="16"/>
                <w:szCs w:val="16"/>
                <w:spacing w:val="-1"/>
              </w:rPr>
              <w:t>《读出外资程右外债管理办成1</w:t>
            </w:r>
          </w:p>
        </w:tc>
      </w:tr>
    </w:tbl>
    <w:p>
      <w:pPr>
        <w:pStyle w:val="BodyText"/>
        <w:rPr/>
      </w:pPr>
      <w:r/>
    </w:p>
    <w:p>
      <w:pPr>
        <w:sectPr>
          <w:footerReference w:type="default" r:id="rId2"/>
          <w:pgSz w:w="11910" w:h="8220"/>
          <w:pgMar w:top="400" w:right="117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2105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162" name="TextBox 162"/>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4" style="position:absolute;margin-left:36.1352pt;margin-top:49.8954pt;mso-position-vertical-relative:page;mso-position-horizontal-relative:page;width:13.8pt;height:13pt;z-index:25182105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162</w:t>
                      </w:r>
                    </w:p>
                  </w:txbxContent>
                </v:textbox>
              </v:shape>
            </w:pict>
          </mc:Fallback>
        </mc:AlternateContent>
      </w:r>
      <w:r/>
    </w:p>
    <w:tbl>
      <w:tblPr>
        <w:tblStyle w:val="TableNormal"/>
        <w:tblW w:w="9594"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16"/>
      </w:tblGrid>
      <w:tr>
        <w:trPr>
          <w:trHeight w:val="424" w:hRule="atLeast"/>
        </w:trPr>
        <w:tc>
          <w:tcPr>
            <w:tcW w:w="58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中央主管部门</w:t>
            </w:r>
          </w:p>
        </w:tc>
        <w:tc>
          <w:tcPr>
            <w:tcW w:w="1638" w:type="dxa"/>
            <w:vAlign w:val="top"/>
          </w:tcPr>
          <w:p>
            <w:pPr>
              <w:pStyle w:val="TableText"/>
              <w:ind w:left="471"/>
              <w:spacing w:before="132" w:line="220" w:lineRule="auto"/>
              <w:rPr>
                <w:sz w:val="17"/>
                <w:szCs w:val="17"/>
              </w:rPr>
            </w:pPr>
            <w:r>
              <w:rPr>
                <w:sz w:val="17"/>
                <w:szCs w:val="17"/>
                <w:spacing w:val="-2"/>
              </w:rPr>
              <w:t>事填名程</w:t>
            </w:r>
          </w:p>
        </w:tc>
        <w:tc>
          <w:tcPr>
            <w:tcW w:w="2367" w:type="dxa"/>
            <w:vAlign w:val="top"/>
          </w:tcPr>
          <w:p>
            <w:pPr>
              <w:pStyle w:val="TableText"/>
              <w:ind w:left="864"/>
              <w:spacing w:before="130" w:line="219" w:lineRule="auto"/>
              <w:rPr>
                <w:sz w:val="17"/>
                <w:szCs w:val="17"/>
              </w:rPr>
            </w:pPr>
            <w:r>
              <w:rPr>
                <w:sz w:val="17"/>
                <w:szCs w:val="17"/>
                <w:spacing w:val="-3"/>
              </w:rPr>
              <w:t>实防机关</w:t>
            </w:r>
          </w:p>
        </w:tc>
        <w:tc>
          <w:tcPr>
            <w:tcW w:w="3716" w:type="dxa"/>
            <w:vAlign w:val="top"/>
          </w:tcPr>
          <w:p>
            <w:pPr>
              <w:pStyle w:val="TableText"/>
              <w:ind w:left="1276"/>
              <w:spacing w:before="130" w:line="219" w:lineRule="auto"/>
              <w:rPr>
                <w:sz w:val="17"/>
                <w:szCs w:val="17"/>
              </w:rPr>
            </w:pPr>
            <w:r>
              <w:rPr>
                <w:sz w:val="17"/>
                <w:szCs w:val="17"/>
                <w:spacing w:val="2"/>
              </w:rPr>
              <w:t>设定和实施依圆</w:t>
            </w:r>
          </w:p>
        </w:tc>
      </w:tr>
      <w:tr>
        <w:trPr>
          <w:trHeight w:val="909" w:hRule="atLeast"/>
        </w:trPr>
        <w:tc>
          <w:tcPr>
            <w:tcW w:w="584" w:type="dxa"/>
            <w:vAlign w:val="top"/>
          </w:tcPr>
          <w:p>
            <w:pPr>
              <w:spacing w:line="355" w:lineRule="auto"/>
              <w:rPr>
                <w:rFonts w:ascii="Arial"/>
                <w:sz w:val="21"/>
              </w:rPr>
            </w:pPr>
            <w:r/>
          </w:p>
          <w:p>
            <w:pPr>
              <w:pStyle w:val="TableText"/>
              <w:ind w:left="234"/>
              <w:spacing w:before="55" w:line="182" w:lineRule="auto"/>
              <w:rPr>
                <w:sz w:val="17"/>
                <w:szCs w:val="17"/>
              </w:rPr>
            </w:pPr>
            <w:r>
              <w:rPr>
                <w:sz w:val="17"/>
                <w:szCs w:val="17"/>
              </w:rPr>
              <w:t>7</w:t>
            </w:r>
          </w:p>
        </w:tc>
        <w:tc>
          <w:tcPr>
            <w:tcW w:w="1289" w:type="dxa"/>
            <w:vAlign w:val="top"/>
          </w:tcPr>
          <w:p>
            <w:pPr>
              <w:spacing w:line="310" w:lineRule="auto"/>
              <w:rPr>
                <w:rFonts w:ascii="Arial"/>
                <w:sz w:val="21"/>
              </w:rPr>
            </w:pPr>
            <w:r/>
          </w:p>
          <w:p>
            <w:pPr>
              <w:pStyle w:val="TableText"/>
              <w:ind w:left="40"/>
              <w:spacing w:before="56" w:line="219" w:lineRule="auto"/>
              <w:rPr>
                <w:sz w:val="17"/>
                <w:szCs w:val="17"/>
              </w:rPr>
            </w:pPr>
            <w:r>
              <w:rPr>
                <w:sz w:val="17"/>
                <w:szCs w:val="17"/>
                <w:spacing w:val="1"/>
              </w:rPr>
              <w:t>国家发展改草委</w:t>
            </w:r>
          </w:p>
        </w:tc>
        <w:tc>
          <w:tcPr>
            <w:tcW w:w="1638" w:type="dxa"/>
            <w:vAlign w:val="top"/>
          </w:tcPr>
          <w:p>
            <w:pPr>
              <w:spacing w:line="310" w:lineRule="auto"/>
              <w:rPr>
                <w:rFonts w:ascii="Arial"/>
                <w:sz w:val="21"/>
              </w:rPr>
            </w:pPr>
            <w:r/>
          </w:p>
          <w:p>
            <w:pPr>
              <w:pStyle w:val="TableText"/>
              <w:ind w:left="62"/>
              <w:spacing w:before="56" w:line="219" w:lineRule="auto"/>
              <w:rPr>
                <w:sz w:val="17"/>
                <w:szCs w:val="17"/>
              </w:rPr>
            </w:pPr>
            <w:r>
              <w:rPr>
                <w:sz w:val="17"/>
                <w:szCs w:val="17"/>
                <w:spacing w:val="-1"/>
              </w:rPr>
              <w:t>充业锁养发行注哥</w:t>
            </w:r>
          </w:p>
        </w:tc>
        <w:tc>
          <w:tcPr>
            <w:tcW w:w="2367" w:type="dxa"/>
            <w:vAlign w:val="top"/>
          </w:tcPr>
          <w:p>
            <w:pPr>
              <w:spacing w:line="310" w:lineRule="auto"/>
              <w:rPr>
                <w:rFonts w:ascii="Arial"/>
                <w:sz w:val="21"/>
              </w:rPr>
            </w:pPr>
            <w:r/>
          </w:p>
          <w:p>
            <w:pPr>
              <w:pStyle w:val="TableText"/>
              <w:ind w:left="64"/>
              <w:spacing w:before="56" w:line="219" w:lineRule="auto"/>
              <w:rPr>
                <w:sz w:val="17"/>
                <w:szCs w:val="17"/>
              </w:rPr>
            </w:pPr>
            <w:r>
              <w:rPr>
                <w:sz w:val="17"/>
                <w:szCs w:val="17"/>
                <w:spacing w:val="1"/>
              </w:rPr>
              <w:t>国家发展改革委</w:t>
            </w:r>
          </w:p>
        </w:tc>
        <w:tc>
          <w:tcPr>
            <w:tcW w:w="3716" w:type="dxa"/>
            <w:vAlign w:val="top"/>
          </w:tcPr>
          <w:p>
            <w:pPr>
              <w:pStyle w:val="TableText"/>
              <w:spacing w:before="78" w:line="206" w:lineRule="auto"/>
              <w:rPr>
                <w:sz w:val="17"/>
                <w:szCs w:val="17"/>
              </w:rPr>
            </w:pPr>
            <w:r>
              <w:rPr>
                <w:sz w:val="17"/>
                <w:szCs w:val="17"/>
                <w:spacing w:val="-3"/>
              </w:rPr>
              <w:t>《中华人民共和国证养法》</w:t>
            </w:r>
          </w:p>
          <w:p>
            <w:pPr>
              <w:pStyle w:val="TableText"/>
              <w:ind w:left="84"/>
              <w:spacing w:line="217" w:lineRule="auto"/>
              <w:rPr>
                <w:sz w:val="17"/>
                <w:szCs w:val="17"/>
              </w:rPr>
            </w:pPr>
            <w:r>
              <w:rPr>
                <w:sz w:val="17"/>
                <w:szCs w:val="17"/>
                <w:spacing w:val="-3"/>
              </w:rPr>
              <w:t>企壶偿要管理条例/</w:t>
            </w:r>
          </w:p>
          <w:p>
            <w:pPr>
              <w:pStyle w:val="TableText"/>
              <w:ind w:left="74" w:hanging="74"/>
              <w:spacing w:before="1" w:line="223" w:lineRule="auto"/>
              <w:rPr>
                <w:sz w:val="17"/>
                <w:szCs w:val="17"/>
              </w:rPr>
            </w:pPr>
            <w:r>
              <w:rPr>
                <w:sz w:val="17"/>
                <w:szCs w:val="17"/>
                <w:spacing w:val="-2"/>
              </w:rPr>
              <w:t>《国各院办公厅关于贯考害面馨计后的证劳确有关</w:t>
            </w:r>
            <w:r>
              <w:rPr>
                <w:sz w:val="17"/>
                <w:szCs w:val="17"/>
                <w:spacing w:val="9"/>
              </w:rPr>
              <w:t xml:space="preserve"> </w:t>
            </w:r>
            <w:r>
              <w:rPr>
                <w:sz w:val="17"/>
                <w:szCs w:val="17"/>
                <w:spacing w:val="1"/>
              </w:rPr>
              <w:t>工作的通知3(国办发22005号)</w:t>
            </w:r>
          </w:p>
        </w:tc>
      </w:tr>
      <w:tr>
        <w:trPr>
          <w:trHeight w:val="709" w:hRule="atLeast"/>
        </w:trPr>
        <w:tc>
          <w:tcPr>
            <w:tcW w:w="584" w:type="dxa"/>
            <w:vAlign w:val="top"/>
          </w:tcPr>
          <w:p>
            <w:pPr>
              <w:spacing w:line="256" w:lineRule="auto"/>
              <w:rPr>
                <w:rFonts w:ascii="Arial"/>
                <w:sz w:val="21"/>
              </w:rPr>
            </w:pPr>
            <w:r/>
          </w:p>
          <w:p>
            <w:pPr>
              <w:pStyle w:val="TableText"/>
              <w:ind w:left="234"/>
              <w:spacing w:before="55" w:line="183" w:lineRule="auto"/>
              <w:rPr>
                <w:sz w:val="17"/>
                <w:szCs w:val="17"/>
              </w:rPr>
            </w:pPr>
            <w:r>
              <w:rPr>
                <w:sz w:val="17"/>
                <w:szCs w:val="17"/>
              </w:rPr>
              <w:t>3</w:t>
            </w:r>
          </w:p>
        </w:tc>
        <w:tc>
          <w:tcPr>
            <w:tcW w:w="1289" w:type="dxa"/>
            <w:vAlign w:val="top"/>
          </w:tcPr>
          <w:p>
            <w:pPr>
              <w:pStyle w:val="TableText"/>
              <w:ind w:left="40"/>
              <w:spacing w:before="269" w:line="219" w:lineRule="auto"/>
              <w:rPr>
                <w:sz w:val="17"/>
                <w:szCs w:val="17"/>
              </w:rPr>
            </w:pPr>
            <w:r>
              <w:rPr>
                <w:sz w:val="17"/>
                <w:szCs w:val="17"/>
                <w:spacing w:val="1"/>
              </w:rPr>
              <w:t>国家发展改革委</w:t>
            </w:r>
          </w:p>
        </w:tc>
        <w:tc>
          <w:tcPr>
            <w:tcW w:w="1638" w:type="dxa"/>
            <w:vAlign w:val="top"/>
          </w:tcPr>
          <w:p>
            <w:pPr>
              <w:pStyle w:val="TableText"/>
              <w:ind w:left="42" w:right="62"/>
              <w:spacing w:before="187" w:line="219" w:lineRule="auto"/>
              <w:rPr>
                <w:sz w:val="17"/>
                <w:szCs w:val="17"/>
              </w:rPr>
            </w:pPr>
            <w:r>
              <w:rPr>
                <w:sz w:val="17"/>
                <w:szCs w:val="17"/>
                <w:spacing w:val="-1"/>
              </w:rPr>
              <w:t>粮食、驾炭出山配能</w:t>
            </w:r>
            <w:r>
              <w:rPr>
                <w:sz w:val="17"/>
                <w:szCs w:val="17"/>
                <w:spacing w:val="1"/>
              </w:rPr>
              <w:t xml:space="preserve"> </w:t>
            </w:r>
            <w:r>
              <w:rPr>
                <w:sz w:val="17"/>
                <w:szCs w:val="17"/>
                <w:spacing w:val="-3"/>
              </w:rPr>
              <w:t>师批</w:t>
            </w:r>
          </w:p>
        </w:tc>
        <w:tc>
          <w:tcPr>
            <w:tcW w:w="2367" w:type="dxa"/>
            <w:vAlign w:val="top"/>
          </w:tcPr>
          <w:p>
            <w:pPr>
              <w:pStyle w:val="TableText"/>
              <w:ind w:left="64"/>
              <w:spacing w:before="268" w:line="219" w:lineRule="auto"/>
              <w:rPr>
                <w:sz w:val="17"/>
                <w:szCs w:val="17"/>
              </w:rPr>
            </w:pPr>
            <w:r>
              <w:rPr>
                <w:sz w:val="17"/>
                <w:szCs w:val="17"/>
              </w:rPr>
              <w:t>医家发展改革委会局商务范</w:t>
            </w:r>
          </w:p>
        </w:tc>
        <w:tc>
          <w:tcPr>
            <w:tcW w:w="3716" w:type="dxa"/>
            <w:vAlign w:val="top"/>
          </w:tcPr>
          <w:p>
            <w:pPr>
              <w:pStyle w:val="TableText"/>
              <w:ind w:left="66"/>
              <w:spacing w:before="58" w:line="217" w:lineRule="auto"/>
              <w:rPr>
                <w:sz w:val="17"/>
                <w:szCs w:val="17"/>
              </w:rPr>
            </w:pPr>
            <w:r>
              <w:rPr>
                <w:sz w:val="17"/>
                <w:szCs w:val="17"/>
                <w:spacing w:val="1"/>
              </w:rPr>
              <w:t>4中华人民共和国对外贸易还1</w:t>
            </w:r>
          </w:p>
          <w:p>
            <w:pPr>
              <w:pStyle w:val="TableText"/>
              <w:spacing w:line="228" w:lineRule="auto"/>
              <w:rPr>
                <w:sz w:val="17"/>
                <w:szCs w:val="17"/>
              </w:rPr>
            </w:pPr>
            <w:r>
              <w:rPr>
                <w:sz w:val="17"/>
                <w:szCs w:val="17"/>
                <w:spacing w:val="-2"/>
              </w:rPr>
              <w:t>《中华人民共和国货物进出口普理条拥?</w:t>
            </w:r>
          </w:p>
          <w:p>
            <w:pPr>
              <w:pStyle w:val="TableText"/>
              <w:spacing w:line="219" w:lineRule="auto"/>
              <w:rPr>
                <w:sz w:val="17"/>
                <w:szCs w:val="17"/>
              </w:rPr>
            </w:pPr>
            <w:r>
              <w:rPr>
                <w:sz w:val="17"/>
                <w:szCs w:val="17"/>
                <w:spacing w:val="-3"/>
              </w:rPr>
              <w:t>《煤规山口配暂管理办法》</w:t>
            </w:r>
          </w:p>
        </w:tc>
      </w:tr>
      <w:tr>
        <w:trPr>
          <w:trHeight w:val="709" w:hRule="atLeast"/>
        </w:trPr>
        <w:tc>
          <w:tcPr>
            <w:tcW w:w="584" w:type="dxa"/>
            <w:vAlign w:val="top"/>
          </w:tcPr>
          <w:p>
            <w:pPr>
              <w:spacing w:line="257" w:lineRule="auto"/>
              <w:rPr>
                <w:rFonts w:ascii="Arial"/>
                <w:sz w:val="21"/>
              </w:rPr>
            </w:pPr>
            <w:r/>
          </w:p>
          <w:p>
            <w:pPr>
              <w:pStyle w:val="TableText"/>
              <w:ind w:left="234"/>
              <w:spacing w:before="55" w:line="183" w:lineRule="auto"/>
              <w:rPr>
                <w:sz w:val="17"/>
                <w:szCs w:val="17"/>
              </w:rPr>
            </w:pPr>
            <w:r>
              <w:rPr>
                <w:sz w:val="17"/>
                <w:szCs w:val="17"/>
              </w:rPr>
              <w:t>9</w:t>
            </w:r>
          </w:p>
        </w:tc>
        <w:tc>
          <w:tcPr>
            <w:tcW w:w="1289" w:type="dxa"/>
            <w:vAlign w:val="top"/>
          </w:tcPr>
          <w:p>
            <w:pPr>
              <w:pStyle w:val="TableText"/>
              <w:ind w:left="380"/>
              <w:spacing w:before="270" w:line="219" w:lineRule="auto"/>
              <w:rPr>
                <w:sz w:val="17"/>
                <w:szCs w:val="17"/>
              </w:rPr>
            </w:pPr>
            <w:r>
              <w:rPr>
                <w:sz w:val="17"/>
                <w:szCs w:val="17"/>
                <w:spacing w:val="-2"/>
              </w:rPr>
              <w:t>教育部</w:t>
            </w:r>
          </w:p>
        </w:tc>
        <w:tc>
          <w:tcPr>
            <w:tcW w:w="1638" w:type="dxa"/>
            <w:vAlign w:val="top"/>
          </w:tcPr>
          <w:p>
            <w:pPr>
              <w:pStyle w:val="TableText"/>
              <w:ind w:left="42" w:right="67"/>
              <w:spacing w:before="179" w:line="223" w:lineRule="auto"/>
              <w:rPr>
                <w:sz w:val="17"/>
                <w:szCs w:val="17"/>
              </w:rPr>
            </w:pPr>
            <w:r>
              <w:rPr>
                <w:sz w:val="17"/>
                <w:szCs w:val="17"/>
                <w:spacing w:val="-2"/>
              </w:rPr>
              <w:t>高等学校和工他高等</w:t>
            </w:r>
            <w:r>
              <w:rPr>
                <w:sz w:val="17"/>
                <w:szCs w:val="17"/>
                <w:spacing w:val="5"/>
              </w:rPr>
              <w:t xml:space="preserve"> </w:t>
            </w:r>
            <w:r>
              <w:rPr>
                <w:sz w:val="17"/>
                <w:szCs w:val="17"/>
                <w:spacing w:val="-1"/>
              </w:rPr>
              <w:t>教育机构答设市批</w:t>
            </w:r>
          </w:p>
        </w:tc>
        <w:tc>
          <w:tcPr>
            <w:tcW w:w="2367" w:type="dxa"/>
            <w:vAlign w:val="top"/>
          </w:tcPr>
          <w:p>
            <w:pPr>
              <w:pStyle w:val="TableText"/>
              <w:ind w:left="63" w:hanging="9"/>
              <w:spacing w:before="169" w:line="224" w:lineRule="auto"/>
              <w:rPr>
                <w:sz w:val="17"/>
                <w:szCs w:val="17"/>
              </w:rPr>
            </w:pPr>
            <w:r>
              <w:rPr>
                <w:sz w:val="17"/>
                <w:szCs w:val="17"/>
              </w:rPr>
              <w:t>重套师；否经改府(山教言派门</w:t>
            </w:r>
            <w:r>
              <w:rPr>
                <w:sz w:val="17"/>
                <w:szCs w:val="17"/>
                <w:spacing w:val="6"/>
              </w:rPr>
              <w:t xml:space="preserve"> </w:t>
            </w:r>
            <w:r>
              <w:rPr>
                <w:sz w:val="17"/>
                <w:szCs w:val="17"/>
                <w:spacing w:val="10"/>
              </w:rPr>
              <w:t>承办)</w:t>
            </w:r>
          </w:p>
        </w:tc>
        <w:tc>
          <w:tcPr>
            <w:tcW w:w="3716" w:type="dxa"/>
            <w:vAlign w:val="top"/>
          </w:tcPr>
          <w:p>
            <w:pPr>
              <w:pStyle w:val="TableText"/>
              <w:ind w:left="66"/>
              <w:spacing w:before="69" w:line="218" w:lineRule="auto"/>
              <w:rPr>
                <w:sz w:val="17"/>
                <w:szCs w:val="17"/>
              </w:rPr>
            </w:pPr>
            <w:r>
              <w:rPr>
                <w:sz w:val="17"/>
                <w:szCs w:val="17"/>
              </w:rPr>
              <w:t>1中华人民共和国民办教育促进法</w:t>
            </w:r>
          </w:p>
          <w:p>
            <w:pPr>
              <w:pStyle w:val="TableText"/>
              <w:spacing w:line="227" w:lineRule="auto"/>
              <w:rPr>
                <w:sz w:val="17"/>
                <w:szCs w:val="17"/>
              </w:rPr>
            </w:pPr>
            <w:r>
              <w:rPr>
                <w:sz w:val="17"/>
                <w:szCs w:val="17"/>
                <w:spacing w:val="-2"/>
              </w:rPr>
              <w:t>《中作人民共和国中外合作办学条例?</w:t>
            </w:r>
          </w:p>
          <w:p>
            <w:pPr>
              <w:pStyle w:val="TableText"/>
              <w:spacing w:line="219" w:lineRule="auto"/>
              <w:rPr>
                <w:sz w:val="17"/>
                <w:szCs w:val="17"/>
              </w:rPr>
            </w:pPr>
            <w:r>
              <w:rPr>
                <w:sz w:val="17"/>
                <w:szCs w:val="17"/>
                <w:spacing w:val="-2"/>
              </w:rPr>
              <w:t>《普道高等学校设置街行条侧》</w:t>
            </w:r>
          </w:p>
        </w:tc>
      </w:tr>
      <w:tr>
        <w:trPr>
          <w:trHeight w:val="699" w:hRule="atLeast"/>
        </w:trPr>
        <w:tc>
          <w:tcPr>
            <w:tcW w:w="584" w:type="dxa"/>
            <w:vAlign w:val="top"/>
          </w:tcPr>
          <w:p>
            <w:pPr>
              <w:spacing w:line="258" w:lineRule="auto"/>
              <w:rPr>
                <w:rFonts w:ascii="Arial"/>
                <w:sz w:val="21"/>
              </w:rPr>
            </w:pPr>
            <w:r/>
          </w:p>
          <w:p>
            <w:pPr>
              <w:pStyle w:val="TableText"/>
              <w:ind w:left="194"/>
              <w:spacing w:before="55" w:line="183" w:lineRule="auto"/>
              <w:rPr>
                <w:sz w:val="17"/>
                <w:szCs w:val="17"/>
              </w:rPr>
            </w:pPr>
            <w:r>
              <w:rPr>
                <w:sz w:val="17"/>
                <w:szCs w:val="17"/>
                <w:spacing w:val="-5"/>
              </w:rPr>
              <w:t>i0</w:t>
            </w:r>
          </w:p>
        </w:tc>
        <w:tc>
          <w:tcPr>
            <w:tcW w:w="1289" w:type="dxa"/>
            <w:vAlign w:val="top"/>
          </w:tcPr>
          <w:p>
            <w:pPr>
              <w:pStyle w:val="TableText"/>
              <w:ind w:left="380"/>
              <w:spacing w:before="271" w:line="219" w:lineRule="auto"/>
              <w:rPr>
                <w:sz w:val="17"/>
                <w:szCs w:val="17"/>
              </w:rPr>
            </w:pPr>
            <w:r>
              <w:rPr>
                <w:sz w:val="17"/>
                <w:szCs w:val="17"/>
                <w:spacing w:val="4"/>
              </w:rPr>
              <w:t>教育加</w:t>
            </w:r>
          </w:p>
        </w:tc>
        <w:tc>
          <w:tcPr>
            <w:tcW w:w="1638" w:type="dxa"/>
            <w:vAlign w:val="top"/>
          </w:tcPr>
          <w:p>
            <w:pPr>
              <w:pStyle w:val="TableText"/>
              <w:ind w:left="42" w:right="67"/>
              <w:spacing w:before="180" w:line="218" w:lineRule="auto"/>
              <w:rPr>
                <w:sz w:val="17"/>
                <w:szCs w:val="17"/>
              </w:rPr>
            </w:pPr>
            <w:r>
              <w:rPr>
                <w:sz w:val="17"/>
                <w:szCs w:val="17"/>
                <w:spacing w:val="-2"/>
              </w:rPr>
              <w:t>高等学权和其他高等</w:t>
            </w:r>
            <w:r>
              <w:rPr>
                <w:sz w:val="17"/>
                <w:szCs w:val="17"/>
                <w:spacing w:val="5"/>
              </w:rPr>
              <w:t xml:space="preserve"> </w:t>
            </w:r>
            <w:r>
              <w:rPr>
                <w:sz w:val="17"/>
                <w:szCs w:val="17"/>
                <w:spacing w:val="-1"/>
              </w:rPr>
              <w:t>教有机构设置审批</w:t>
            </w:r>
          </w:p>
        </w:tc>
        <w:tc>
          <w:tcPr>
            <w:tcW w:w="2367" w:type="dxa"/>
            <w:vAlign w:val="top"/>
          </w:tcPr>
          <w:p>
            <w:pPr>
              <w:pStyle w:val="TableText"/>
              <w:ind w:left="64" w:right="3" w:hanging="20"/>
              <w:spacing w:before="180" w:line="224" w:lineRule="auto"/>
              <w:rPr>
                <w:sz w:val="17"/>
                <w:szCs w:val="17"/>
              </w:rPr>
            </w:pPr>
            <w:r>
              <w:rPr>
                <w:sz w:val="17"/>
                <w:szCs w:val="17"/>
                <w:spacing w:val="1"/>
              </w:rPr>
              <w:t>政青部，省级改积(边数育部门</w:t>
            </w:r>
            <w:r>
              <w:rPr>
                <w:sz w:val="17"/>
                <w:szCs w:val="17"/>
              </w:rPr>
              <w:t xml:space="preserve"> </w:t>
            </w:r>
            <w:r>
              <w:rPr>
                <w:sz w:val="17"/>
                <w:szCs w:val="17"/>
                <w:spacing w:val="2"/>
              </w:rPr>
              <w:t>承办省佩教育部门</w:t>
            </w:r>
          </w:p>
        </w:tc>
        <w:tc>
          <w:tcPr>
            <w:tcW w:w="3716" w:type="dxa"/>
            <w:vAlign w:val="top"/>
          </w:tcPr>
          <w:p>
            <w:pPr>
              <w:pStyle w:val="TableText"/>
              <w:ind w:left="66"/>
              <w:spacing w:before="70" w:line="206" w:lineRule="auto"/>
              <w:rPr>
                <w:sz w:val="17"/>
                <w:szCs w:val="17"/>
              </w:rPr>
            </w:pPr>
            <w:r>
              <w:rPr>
                <w:sz w:val="17"/>
                <w:szCs w:val="17"/>
                <w:spacing w:val="2"/>
              </w:rPr>
              <w:t>(中步人民共和国高等激算法)</w:t>
            </w:r>
          </w:p>
          <w:p>
            <w:pPr>
              <w:pStyle w:val="TableText"/>
              <w:ind w:left="66"/>
              <w:spacing w:line="218" w:lineRule="auto"/>
              <w:rPr>
                <w:sz w:val="17"/>
                <w:szCs w:val="17"/>
              </w:rPr>
            </w:pPr>
            <w:r>
              <w:rPr>
                <w:sz w:val="17"/>
                <w:szCs w:val="17"/>
                <w:spacing w:val="-1"/>
              </w:rPr>
              <w:t>4中华人民光和国民办收育促进法</w:t>
            </w:r>
          </w:p>
          <w:p>
            <w:pPr>
              <w:pStyle w:val="TableText"/>
              <w:spacing w:before="19" w:line="219" w:lineRule="auto"/>
              <w:rPr>
                <w:sz w:val="17"/>
                <w:szCs w:val="17"/>
              </w:rPr>
            </w:pPr>
            <w:r>
              <w:rPr>
                <w:sz w:val="17"/>
                <w:szCs w:val="17"/>
                <w:spacing w:val="-2"/>
              </w:rPr>
              <w:t>《中华人民共面国中外合作办学杂侧》</w:t>
            </w:r>
          </w:p>
        </w:tc>
      </w:tr>
      <w:tr>
        <w:trPr>
          <w:trHeight w:val="909" w:hRule="atLeast"/>
        </w:trPr>
        <w:tc>
          <w:tcPr>
            <w:tcW w:w="584" w:type="dxa"/>
            <w:vAlign w:val="top"/>
          </w:tcPr>
          <w:p>
            <w:pPr>
              <w:rPr>
                <w:rFonts w:ascii="Arial"/>
                <w:sz w:val="21"/>
              </w:rPr>
            </w:pPr>
            <w:r/>
          </w:p>
        </w:tc>
        <w:tc>
          <w:tcPr>
            <w:tcW w:w="1289" w:type="dxa"/>
            <w:vAlign w:val="top"/>
          </w:tcPr>
          <w:p>
            <w:pPr>
              <w:spacing w:line="314" w:lineRule="auto"/>
              <w:rPr>
                <w:rFonts w:ascii="Arial"/>
                <w:sz w:val="21"/>
              </w:rPr>
            </w:pPr>
            <w:r/>
          </w:p>
          <w:p>
            <w:pPr>
              <w:pStyle w:val="TableText"/>
              <w:ind w:left="380"/>
              <w:spacing w:before="56" w:line="219" w:lineRule="auto"/>
              <w:rPr>
                <w:sz w:val="17"/>
                <w:szCs w:val="17"/>
              </w:rPr>
            </w:pPr>
            <w:r>
              <w:rPr>
                <w:sz w:val="17"/>
                <w:szCs w:val="17"/>
                <w:spacing w:val="4"/>
              </w:rPr>
              <w:t>教育帮</w:t>
            </w:r>
          </w:p>
        </w:tc>
        <w:tc>
          <w:tcPr>
            <w:tcW w:w="1638" w:type="dxa"/>
            <w:vAlign w:val="top"/>
          </w:tcPr>
          <w:p>
            <w:pPr>
              <w:pStyle w:val="TableText"/>
              <w:ind w:left="42" w:right="45"/>
              <w:spacing w:before="182" w:line="221" w:lineRule="auto"/>
              <w:jc w:val="both"/>
              <w:rPr>
                <w:sz w:val="17"/>
                <w:szCs w:val="17"/>
              </w:rPr>
            </w:pPr>
            <w:r>
              <w:rPr>
                <w:sz w:val="17"/>
                <w:szCs w:val="17"/>
                <w:spacing w:val="1"/>
              </w:rPr>
              <w:t>园办，中外合作开办</w:t>
            </w:r>
            <w:r>
              <w:rPr>
                <w:sz w:val="17"/>
                <w:szCs w:val="17"/>
              </w:rPr>
              <w:t xml:space="preserve"> </w:t>
            </w:r>
            <w:r>
              <w:rPr>
                <w:sz w:val="17"/>
                <w:szCs w:val="17"/>
              </w:rPr>
              <w:t>中等及以下学校和其</w:t>
            </w:r>
            <w:r>
              <w:rPr>
                <w:sz w:val="17"/>
                <w:szCs w:val="17"/>
                <w:spacing w:val="6"/>
              </w:rPr>
              <w:t xml:space="preserve"> </w:t>
            </w:r>
            <w:r>
              <w:rPr>
                <w:sz w:val="17"/>
                <w:szCs w:val="17"/>
                <w:spacing w:val="-1"/>
              </w:rPr>
              <w:t>他救育机构算议审批</w:t>
            </w:r>
          </w:p>
        </w:tc>
        <w:tc>
          <w:tcPr>
            <w:tcW w:w="2367" w:type="dxa"/>
            <w:vAlign w:val="top"/>
          </w:tcPr>
          <w:p>
            <w:pPr>
              <w:pStyle w:val="TableText"/>
              <w:ind w:left="64"/>
              <w:spacing w:before="292" w:line="216" w:lineRule="auto"/>
              <w:rPr>
                <w:sz w:val="17"/>
                <w:szCs w:val="17"/>
              </w:rPr>
            </w:pPr>
            <w:r>
              <w:rPr>
                <w:sz w:val="17"/>
                <w:szCs w:val="17"/>
                <w:spacing w:val="-7"/>
              </w:rPr>
              <w:t>省版，设区的市饭，县饭教有感</w:t>
            </w:r>
            <w:r>
              <w:rPr>
                <w:sz w:val="17"/>
                <w:szCs w:val="17"/>
                <w:spacing w:val="9"/>
              </w:rPr>
              <w:t xml:space="preserve"> </w:t>
            </w:r>
            <w:r>
              <w:rPr>
                <w:sz w:val="17"/>
                <w:szCs w:val="17"/>
              </w:rPr>
              <w:t>门</w:t>
            </w:r>
          </w:p>
        </w:tc>
        <w:tc>
          <w:tcPr>
            <w:tcW w:w="3716" w:type="dxa"/>
            <w:vAlign w:val="top"/>
          </w:tcPr>
          <w:p>
            <w:pPr>
              <w:pStyle w:val="TableText"/>
              <w:spacing w:before="61" w:line="219" w:lineRule="auto"/>
              <w:rPr>
                <w:sz w:val="17"/>
                <w:szCs w:val="17"/>
              </w:rPr>
            </w:pPr>
            <w:r>
              <w:rPr>
                <w:sz w:val="17"/>
                <w:szCs w:val="17"/>
                <w:spacing w:val="-3"/>
              </w:rPr>
              <w:t>《中华人民共和国民办教育促进体</w:t>
            </w:r>
          </w:p>
          <w:p>
            <w:pPr>
              <w:pStyle w:val="TableText"/>
              <w:spacing w:before="18" w:line="217" w:lineRule="auto"/>
              <w:rPr>
                <w:sz w:val="17"/>
                <w:szCs w:val="17"/>
              </w:rPr>
            </w:pPr>
            <w:r>
              <w:rPr>
                <w:sz w:val="17"/>
                <w:szCs w:val="17"/>
                <w:spacing w:val="3"/>
              </w:rPr>
              <w:t>《华作人民共和国中外合作办学务例】</w:t>
            </w:r>
          </w:p>
          <w:p>
            <w:pPr>
              <w:pStyle w:val="TableText"/>
              <w:ind w:left="66" w:right="1" w:firstLine="10"/>
              <w:spacing w:before="1" w:line="219" w:lineRule="auto"/>
              <w:rPr>
                <w:sz w:val="17"/>
                <w:szCs w:val="17"/>
              </w:rPr>
            </w:pPr>
            <w:r>
              <w:rPr>
                <w:sz w:val="17"/>
                <w:szCs w:val="17"/>
                <w:spacing w:val="-2"/>
              </w:rPr>
              <w:t>4国好院关干当前发屋学前教育的若子意见对国发</w:t>
            </w:r>
            <w:r>
              <w:rPr>
                <w:sz w:val="17"/>
                <w:szCs w:val="17"/>
                <w:spacing w:val="15"/>
              </w:rPr>
              <w:t xml:space="preserve"> </w:t>
            </w:r>
            <w:r>
              <w:rPr>
                <w:sz w:val="17"/>
                <w:szCs w:val="17"/>
                <w:spacing w:val="3"/>
              </w:rPr>
              <w:t>[2010]41号)</w:t>
            </w:r>
          </w:p>
        </w:tc>
      </w:tr>
      <w:tr>
        <w:trPr>
          <w:trHeight w:val="1707" w:hRule="atLeast"/>
        </w:trPr>
        <w:tc>
          <w:tcPr>
            <w:tcW w:w="584" w:type="dxa"/>
            <w:vAlign w:val="top"/>
          </w:tcPr>
          <w:p>
            <w:pPr>
              <w:spacing w:line="357" w:lineRule="auto"/>
              <w:rPr>
                <w:rFonts w:ascii="Arial"/>
                <w:sz w:val="21"/>
              </w:rPr>
            </w:pPr>
            <w:r/>
          </w:p>
          <w:p>
            <w:pPr>
              <w:spacing w:line="358" w:lineRule="auto"/>
              <w:rPr>
                <w:rFonts w:ascii="Arial"/>
                <w:sz w:val="21"/>
              </w:rPr>
            </w:pPr>
            <w:r/>
          </w:p>
          <w:p>
            <w:pPr>
              <w:pStyle w:val="TableText"/>
              <w:ind w:left="194"/>
              <w:spacing w:before="55" w:line="221" w:lineRule="auto"/>
              <w:rPr>
                <w:sz w:val="17"/>
                <w:szCs w:val="17"/>
              </w:rPr>
            </w:pPr>
            <w:r>
              <w:rPr>
                <w:sz w:val="17"/>
                <w:szCs w:val="17"/>
              </w:rPr>
              <w:t>把</w:t>
            </w:r>
          </w:p>
        </w:tc>
        <w:tc>
          <w:tcPr>
            <w:tcW w:w="1289" w:type="dxa"/>
            <w:vAlign w:val="top"/>
          </w:tcPr>
          <w:p>
            <w:pPr>
              <w:spacing w:line="356" w:lineRule="auto"/>
              <w:rPr>
                <w:rFonts w:ascii="Arial"/>
                <w:sz w:val="21"/>
              </w:rPr>
            </w:pPr>
            <w:r/>
          </w:p>
          <w:p>
            <w:pPr>
              <w:spacing w:line="357" w:lineRule="auto"/>
              <w:rPr>
                <w:rFonts w:ascii="Arial"/>
                <w:sz w:val="21"/>
              </w:rPr>
            </w:pPr>
            <w:r/>
          </w:p>
          <w:p>
            <w:pPr>
              <w:pStyle w:val="TableText"/>
              <w:ind w:left="380"/>
              <w:spacing w:before="55" w:line="219" w:lineRule="auto"/>
              <w:rPr>
                <w:sz w:val="17"/>
                <w:szCs w:val="17"/>
              </w:rPr>
            </w:pPr>
            <w:r>
              <w:rPr>
                <w:sz w:val="17"/>
                <w:szCs w:val="17"/>
                <w:spacing w:val="-2"/>
              </w:rPr>
              <w:t>数育部</w:t>
            </w:r>
          </w:p>
        </w:tc>
        <w:tc>
          <w:tcPr>
            <w:tcW w:w="1638" w:type="dxa"/>
            <w:vAlign w:val="top"/>
          </w:tcPr>
          <w:p>
            <w:pPr>
              <w:spacing w:line="317" w:lineRule="auto"/>
              <w:rPr>
                <w:rFonts w:ascii="Arial"/>
                <w:sz w:val="21"/>
              </w:rPr>
            </w:pPr>
            <w:r/>
          </w:p>
          <w:p>
            <w:pPr>
              <w:spacing w:line="317" w:lineRule="auto"/>
              <w:rPr>
                <w:rFonts w:ascii="Arial"/>
                <w:sz w:val="21"/>
              </w:rPr>
            </w:pPr>
            <w:r/>
          </w:p>
          <w:p>
            <w:pPr>
              <w:pStyle w:val="TableText"/>
              <w:ind w:left="42" w:right="48"/>
              <w:spacing w:before="55" w:line="212" w:lineRule="auto"/>
              <w:rPr>
                <w:sz w:val="17"/>
                <w:szCs w:val="17"/>
              </w:rPr>
            </w:pPr>
            <w:r>
              <w:rPr>
                <w:sz w:val="17"/>
                <w:szCs w:val="17"/>
              </w:rPr>
              <w:t>中等及以下学校和其</w:t>
            </w:r>
            <w:r>
              <w:rPr>
                <w:sz w:val="17"/>
                <w:szCs w:val="17"/>
                <w:spacing w:val="6"/>
              </w:rPr>
              <w:t xml:space="preserve"> </w:t>
            </w:r>
            <w:r>
              <w:rPr>
                <w:sz w:val="17"/>
                <w:szCs w:val="17"/>
                <w:spacing w:val="-1"/>
              </w:rPr>
              <w:t>他效方机构议置需批</w:t>
            </w:r>
          </w:p>
        </w:tc>
        <w:tc>
          <w:tcPr>
            <w:tcW w:w="2367" w:type="dxa"/>
            <w:vAlign w:val="top"/>
          </w:tcPr>
          <w:p>
            <w:pPr>
              <w:spacing w:line="311" w:lineRule="auto"/>
              <w:rPr>
                <w:rFonts w:ascii="Arial"/>
                <w:sz w:val="21"/>
              </w:rPr>
            </w:pPr>
            <w:r/>
          </w:p>
          <w:p>
            <w:pPr>
              <w:spacing w:line="312" w:lineRule="auto"/>
              <w:rPr>
                <w:rFonts w:ascii="Arial"/>
                <w:sz w:val="21"/>
              </w:rPr>
            </w:pPr>
            <w:r/>
          </w:p>
          <w:p>
            <w:pPr>
              <w:pStyle w:val="TableText"/>
              <w:ind w:left="63" w:hanging="9"/>
              <w:spacing w:before="55" w:line="209" w:lineRule="auto"/>
              <w:rPr>
                <w:sz w:val="17"/>
                <w:szCs w:val="17"/>
              </w:rPr>
            </w:pPr>
            <w:r>
              <w:rPr>
                <w:sz w:val="17"/>
                <w:szCs w:val="17"/>
                <w:spacing w:val="-6"/>
              </w:rPr>
              <w:t>省级，设区的市域、是级软青席</w:t>
            </w:r>
            <w:r>
              <w:rPr>
                <w:sz w:val="17"/>
                <w:szCs w:val="17"/>
                <w:spacing w:val="5"/>
              </w:rPr>
              <w:t xml:space="preserve"> </w:t>
            </w:r>
            <w:r>
              <w:rPr>
                <w:sz w:val="17"/>
                <w:szCs w:val="17"/>
              </w:rPr>
              <w:t>方</w:t>
            </w:r>
          </w:p>
        </w:tc>
        <w:tc>
          <w:tcPr>
            <w:tcW w:w="3716" w:type="dxa"/>
            <w:vAlign w:val="top"/>
          </w:tcPr>
          <w:p>
            <w:pPr>
              <w:pStyle w:val="TableText"/>
              <w:spacing w:before="71" w:line="219" w:lineRule="auto"/>
              <w:rPr>
                <w:sz w:val="17"/>
                <w:szCs w:val="17"/>
              </w:rPr>
            </w:pPr>
            <w:r>
              <w:rPr>
                <w:sz w:val="17"/>
                <w:szCs w:val="17"/>
                <w:spacing w:val="-2"/>
              </w:rPr>
              <w:t>《中华人民具和国瞪青扎]</w:t>
            </w:r>
          </w:p>
          <w:p>
            <w:pPr>
              <w:pStyle w:val="TableText"/>
              <w:ind w:left="66"/>
              <w:spacing w:before="8" w:line="196" w:lineRule="auto"/>
              <w:rPr>
                <w:sz w:val="17"/>
                <w:szCs w:val="17"/>
              </w:rPr>
            </w:pPr>
            <w:r>
              <w:rPr>
                <w:sz w:val="17"/>
                <w:szCs w:val="17"/>
                <w:spacing w:val="-1"/>
              </w:rPr>
              <w:t>1中华人区共加国园办教育促进法》</w:t>
            </w:r>
          </w:p>
          <w:p>
            <w:pPr>
              <w:pStyle w:val="TableText"/>
              <w:spacing w:line="219" w:lineRule="auto"/>
              <w:rPr>
                <w:sz w:val="17"/>
                <w:szCs w:val="17"/>
              </w:rPr>
            </w:pPr>
            <w:r>
              <w:rPr>
                <w:sz w:val="17"/>
                <w:szCs w:val="17"/>
                <w:spacing w:val="-2"/>
              </w:rPr>
              <w:t>《中华人民共和国院办教育优迹法实感条例》</w:t>
            </w:r>
          </w:p>
          <w:p>
            <w:pPr>
              <w:pStyle w:val="TableText"/>
              <w:ind w:left="66"/>
              <w:spacing w:before="27" w:line="195" w:lineRule="auto"/>
              <w:rPr>
                <w:sz w:val="17"/>
                <w:szCs w:val="17"/>
              </w:rPr>
            </w:pPr>
            <w:r>
              <w:rPr>
                <w:sz w:val="17"/>
                <w:szCs w:val="17"/>
                <w:spacing w:val="4"/>
              </w:rPr>
              <w:t>1中华人民具和国中外合作办学条偶】</w:t>
            </w:r>
          </w:p>
          <w:p>
            <w:pPr>
              <w:pStyle w:val="TableText"/>
              <w:ind w:left="66" w:right="145" w:firstLine="20"/>
              <w:spacing w:before="1" w:line="217" w:lineRule="auto"/>
              <w:rPr>
                <w:sz w:val="17"/>
                <w:szCs w:val="17"/>
              </w:rPr>
            </w:pPr>
            <w:r>
              <w:rPr>
                <w:sz w:val="17"/>
                <w:szCs w:val="17"/>
                <w:spacing w:val="-1"/>
              </w:rPr>
              <w:t>画务酸天于当货发旋学前教育的若干在见(回发</w:t>
            </w:r>
            <w:r>
              <w:rPr>
                <w:sz w:val="17"/>
                <w:szCs w:val="17"/>
                <w:spacing w:val="8"/>
              </w:rPr>
              <w:t xml:space="preserve"> </w:t>
            </w:r>
            <w:r>
              <w:rPr>
                <w:sz w:val="17"/>
                <w:szCs w:val="17"/>
                <w:spacing w:val="4"/>
              </w:rPr>
              <w:t>(L10141号)</w:t>
            </w:r>
          </w:p>
          <w:p>
            <w:pPr>
              <w:pStyle w:val="TableText"/>
              <w:ind w:left="66" w:right="30" w:firstLine="30"/>
              <w:spacing w:before="1" w:line="230" w:lineRule="auto"/>
              <w:rPr>
                <w:sz w:val="17"/>
                <w:szCs w:val="17"/>
              </w:rPr>
            </w:pPr>
            <w:r>
              <w:rPr>
                <w:sz w:val="17"/>
                <w:szCs w:val="17"/>
              </w:rPr>
              <w:t>国务魏办公厅关于程范校外增调机构发展的意见</w:t>
            </w:r>
            <w:r>
              <w:rPr>
                <w:sz w:val="17"/>
                <w:szCs w:val="17"/>
                <w:spacing w:val="7"/>
              </w:rPr>
              <w:t xml:space="preserve"> </w:t>
            </w:r>
            <w:r>
              <w:rPr>
                <w:sz w:val="17"/>
                <w:szCs w:val="17"/>
              </w:rPr>
              <w:t>(国办发(20))3号</w:t>
            </w:r>
          </w:p>
        </w:tc>
      </w:tr>
      <w:tr>
        <w:trPr>
          <w:trHeight w:val="534" w:hRule="atLeast"/>
        </w:trPr>
        <w:tc>
          <w:tcPr>
            <w:tcW w:w="584" w:type="dxa"/>
            <w:vAlign w:val="top"/>
          </w:tcPr>
          <w:p>
            <w:pPr>
              <w:pStyle w:val="TableText"/>
              <w:ind w:left="194"/>
              <w:spacing w:before="228" w:line="184" w:lineRule="auto"/>
              <w:rPr>
                <w:sz w:val="17"/>
                <w:szCs w:val="17"/>
              </w:rPr>
            </w:pPr>
            <w:r>
              <w:rPr>
                <w:sz w:val="17"/>
                <w:szCs w:val="17"/>
                <w:spacing w:val="-5"/>
              </w:rPr>
              <w:t>17</w:t>
            </w:r>
          </w:p>
        </w:tc>
        <w:tc>
          <w:tcPr>
            <w:tcW w:w="1289" w:type="dxa"/>
            <w:vAlign w:val="top"/>
          </w:tcPr>
          <w:p>
            <w:pPr>
              <w:pStyle w:val="TableText"/>
              <w:ind w:left="380"/>
              <w:spacing w:before="186" w:line="219" w:lineRule="auto"/>
              <w:rPr>
                <w:sz w:val="17"/>
                <w:szCs w:val="17"/>
              </w:rPr>
            </w:pPr>
            <w:r>
              <w:rPr>
                <w:sz w:val="17"/>
                <w:szCs w:val="17"/>
                <w:spacing w:val="5"/>
              </w:rPr>
              <w:t>教育即</w:t>
            </w:r>
          </w:p>
        </w:tc>
        <w:tc>
          <w:tcPr>
            <w:tcW w:w="1638" w:type="dxa"/>
            <w:vAlign w:val="top"/>
          </w:tcPr>
          <w:p>
            <w:pPr>
              <w:pStyle w:val="TableText"/>
              <w:ind w:left="52" w:right="63" w:hanging="10"/>
              <w:spacing w:before="105" w:line="219" w:lineRule="auto"/>
              <w:rPr>
                <w:sz w:val="17"/>
                <w:szCs w:val="17"/>
              </w:rPr>
            </w:pPr>
            <w:r>
              <w:rPr>
                <w:sz w:val="17"/>
                <w:szCs w:val="17"/>
                <w:spacing w:val="-1"/>
              </w:rPr>
              <w:t>开办外籍人砖下女学</w:t>
            </w:r>
            <w:r>
              <w:rPr>
                <w:sz w:val="17"/>
                <w:szCs w:val="17"/>
              </w:rPr>
              <w:t xml:space="preserve"> </w:t>
            </w:r>
            <w:r>
              <w:rPr>
                <w:sz w:val="17"/>
                <w:szCs w:val="17"/>
                <w:spacing w:val="-2"/>
              </w:rPr>
              <w:t>校审批</w:t>
            </w:r>
          </w:p>
        </w:tc>
        <w:tc>
          <w:tcPr>
            <w:tcW w:w="2367" w:type="dxa"/>
            <w:vAlign w:val="top"/>
          </w:tcPr>
          <w:p>
            <w:pPr>
              <w:pStyle w:val="TableText"/>
              <w:ind w:left="64"/>
              <w:spacing w:before="186" w:line="219" w:lineRule="auto"/>
              <w:rPr>
                <w:sz w:val="17"/>
                <w:szCs w:val="17"/>
              </w:rPr>
            </w:pPr>
            <w:r>
              <w:rPr>
                <w:sz w:val="17"/>
                <w:szCs w:val="17"/>
                <w:spacing w:val="3"/>
              </w:rPr>
              <w:t>省额教育部门</w:t>
            </w:r>
          </w:p>
        </w:tc>
        <w:tc>
          <w:tcPr>
            <w:tcW w:w="3716" w:type="dxa"/>
            <w:vAlign w:val="top"/>
          </w:tcPr>
          <w:p>
            <w:pPr>
              <w:pStyle w:val="TableText"/>
              <w:ind w:left="66" w:right="9" w:hanging="64"/>
              <w:spacing w:before="85" w:line="224" w:lineRule="auto"/>
              <w:rPr>
                <w:sz w:val="17"/>
                <w:szCs w:val="17"/>
              </w:rPr>
            </w:pPr>
            <w:r>
              <w:rPr>
                <w:sz w:val="17"/>
                <w:szCs w:val="17"/>
                <w:spacing w:val="-2"/>
              </w:rPr>
              <w:t>《四务院对确需保留的行度审批项日说定行</w:t>
            </w:r>
            <w:r>
              <w:rPr>
                <w:sz w:val="17"/>
                <w:szCs w:val="17"/>
                <w:spacing w:val="-3"/>
              </w:rPr>
              <w:t>改许时</w:t>
            </w:r>
            <w:r>
              <w:rPr>
                <w:sz w:val="17"/>
                <w:szCs w:val="17"/>
              </w:rPr>
              <w:t xml:space="preserve"> </w:t>
            </w:r>
            <w:r>
              <w:rPr>
                <w:sz w:val="17"/>
                <w:szCs w:val="17"/>
                <w:spacing w:val="-1"/>
              </w:rPr>
              <w:t>的决定》</w:t>
            </w:r>
          </w:p>
        </w:tc>
      </w:tr>
    </w:tbl>
    <w:p>
      <w:pPr>
        <w:pStyle w:val="BodyText"/>
        <w:rPr/>
      </w:pPr>
      <w:r/>
    </w:p>
    <w:p>
      <w:pPr>
        <w:sectPr>
          <w:pgSz w:w="11910" w:h="8220"/>
          <w:pgMar w:top="400" w:right="1170" w:bottom="400" w:left="801" w:header="0" w:footer="0" w:gutter="0"/>
        </w:sectPr>
        <w:rPr/>
      </w:pPr>
    </w:p>
    <w:p>
      <w:pPr>
        <w:spacing w:before="103"/>
        <w:rPr/>
      </w:pPr>
      <w:r>
        <mc:AlternateContent xmlns:mc="http://schemas.openxmlformats.org/markup-compatibility/2006">
          <mc:Choice Requires="wps">
            <w:drawing>
              <wp:anchor distT="0" distB="0" distL="0" distR="0" simplePos="0" relativeHeight="25182208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64" name="TextBox 16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6" style="position:absolute;margin-left:37.3042pt;margin-top:345.874pt;mso-position-vertical-relative:page;mso-position-horizontal-relative:page;width:13.1pt;height:12.4pt;z-index:25182208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163</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57"/>
        <w:gridCol w:w="3721"/>
      </w:tblGrid>
      <w:tr>
        <w:trPr>
          <w:trHeight w:val="424" w:hRule="atLeast"/>
        </w:trPr>
        <w:tc>
          <w:tcPr>
            <w:tcW w:w="594" w:type="dxa"/>
            <w:vAlign w:val="top"/>
          </w:tcPr>
          <w:p>
            <w:pPr>
              <w:pStyle w:val="TableText"/>
              <w:ind w:left="114"/>
              <w:spacing w:before="132" w:line="221" w:lineRule="auto"/>
              <w:rPr>
                <w:sz w:val="17"/>
                <w:szCs w:val="17"/>
              </w:rPr>
            </w:pPr>
            <w:r>
              <w:rPr>
                <w:sz w:val="17"/>
                <w:szCs w:val="17"/>
                <w:spacing w:val="-2"/>
              </w:rPr>
              <w:t>序号</w:t>
            </w:r>
          </w:p>
        </w:tc>
        <w:tc>
          <w:tcPr>
            <w:tcW w:w="1279" w:type="dxa"/>
            <w:vAlign w:val="top"/>
          </w:tcPr>
          <w:p>
            <w:pPr>
              <w:pStyle w:val="TableText"/>
              <w:ind w:left="120"/>
              <w:spacing w:before="132" w:line="219" w:lineRule="auto"/>
              <w:rPr>
                <w:sz w:val="17"/>
                <w:szCs w:val="17"/>
              </w:rPr>
            </w:pPr>
            <w:r>
              <w:rPr>
                <w:sz w:val="17"/>
                <w:szCs w:val="17"/>
                <w:spacing w:val="3"/>
              </w:rPr>
              <w:t>中央主管器门</w:t>
            </w:r>
          </w:p>
        </w:tc>
        <w:tc>
          <w:tcPr>
            <w:tcW w:w="1638" w:type="dxa"/>
            <w:vAlign w:val="top"/>
          </w:tcPr>
          <w:p>
            <w:pPr>
              <w:pStyle w:val="TableText"/>
              <w:ind w:left="471"/>
              <w:spacing w:before="132" w:line="220" w:lineRule="auto"/>
              <w:rPr>
                <w:sz w:val="17"/>
                <w:szCs w:val="17"/>
              </w:rPr>
            </w:pPr>
            <w:r>
              <w:rPr>
                <w:sz w:val="17"/>
                <w:szCs w:val="17"/>
                <w:spacing w:val="-2"/>
              </w:rPr>
              <w:t>事项名称</w:t>
            </w:r>
          </w:p>
        </w:tc>
        <w:tc>
          <w:tcPr>
            <w:tcW w:w="2357" w:type="dxa"/>
            <w:vAlign w:val="top"/>
          </w:tcPr>
          <w:p>
            <w:pPr>
              <w:pStyle w:val="TableText"/>
              <w:ind w:left="834"/>
              <w:spacing w:before="130" w:line="219" w:lineRule="auto"/>
              <w:rPr>
                <w:sz w:val="17"/>
                <w:szCs w:val="17"/>
              </w:rPr>
            </w:pPr>
            <w:r>
              <w:rPr>
                <w:sz w:val="17"/>
                <w:szCs w:val="17"/>
                <w:spacing w:val="-3"/>
              </w:rPr>
              <w:t>实路机关</w:t>
            </w:r>
          </w:p>
        </w:tc>
        <w:tc>
          <w:tcPr>
            <w:tcW w:w="3721" w:type="dxa"/>
            <w:vAlign w:val="top"/>
          </w:tcPr>
          <w:p>
            <w:pPr>
              <w:pStyle w:val="TableText"/>
              <w:ind w:left="1279"/>
              <w:spacing w:before="130" w:line="220" w:lineRule="auto"/>
              <w:rPr>
                <w:sz w:val="17"/>
                <w:szCs w:val="17"/>
              </w:rPr>
            </w:pPr>
            <w:r>
              <w:rPr>
                <w:sz w:val="17"/>
                <w:szCs w:val="17"/>
                <w:b/>
                <w:bCs/>
                <w:spacing w:val="-3"/>
              </w:rPr>
              <w:t>设定和实施体挥</w:t>
            </w:r>
          </w:p>
        </w:tc>
      </w:tr>
      <w:tr>
        <w:trPr>
          <w:trHeight w:val="659" w:hRule="atLeast"/>
        </w:trPr>
        <w:tc>
          <w:tcPr>
            <w:tcW w:w="594" w:type="dxa"/>
            <w:vAlign w:val="top"/>
          </w:tcPr>
          <w:p>
            <w:pPr>
              <w:pStyle w:val="TableText"/>
              <w:ind w:left="204"/>
              <w:spacing w:before="290" w:line="184" w:lineRule="auto"/>
              <w:rPr>
                <w:sz w:val="17"/>
                <w:szCs w:val="17"/>
              </w:rPr>
            </w:pPr>
            <w:r>
              <w:rPr>
                <w:sz w:val="17"/>
                <w:szCs w:val="17"/>
                <w:spacing w:val="-5"/>
              </w:rPr>
              <w:t>14</w:t>
            </w:r>
          </w:p>
        </w:tc>
        <w:tc>
          <w:tcPr>
            <w:tcW w:w="1279" w:type="dxa"/>
            <w:vAlign w:val="top"/>
          </w:tcPr>
          <w:p>
            <w:pPr>
              <w:pStyle w:val="TableText"/>
              <w:ind w:left="370"/>
              <w:spacing w:before="248" w:line="219" w:lineRule="auto"/>
              <w:rPr>
                <w:sz w:val="17"/>
                <w:szCs w:val="17"/>
              </w:rPr>
            </w:pPr>
            <w:r>
              <w:rPr>
                <w:sz w:val="17"/>
                <w:szCs w:val="17"/>
                <w:spacing w:val="-2"/>
              </w:rPr>
              <w:t>教育部</w:t>
            </w:r>
          </w:p>
        </w:tc>
        <w:tc>
          <w:tcPr>
            <w:tcW w:w="1638" w:type="dxa"/>
            <w:vAlign w:val="top"/>
          </w:tcPr>
          <w:p>
            <w:pPr>
              <w:pStyle w:val="TableText"/>
              <w:ind w:left="32" w:firstLine="19"/>
              <w:spacing w:before="57" w:line="214" w:lineRule="auto"/>
              <w:jc w:val="both"/>
              <w:rPr>
                <w:sz w:val="17"/>
                <w:szCs w:val="17"/>
              </w:rPr>
            </w:pPr>
            <w:r>
              <w:rPr>
                <w:sz w:val="17"/>
                <w:szCs w:val="17"/>
                <w:spacing w:val="-4"/>
              </w:rPr>
              <w:t>中外，内地与港澳.大</w:t>
            </w:r>
            <w:r>
              <w:rPr>
                <w:sz w:val="17"/>
                <w:szCs w:val="17"/>
              </w:rPr>
              <w:t xml:space="preserve"> </w:t>
            </w:r>
            <w:r>
              <w:rPr>
                <w:sz w:val="17"/>
                <w:szCs w:val="17"/>
              </w:rPr>
              <w:t>陆与台简合作办学项 </w:t>
            </w:r>
            <w:r>
              <w:rPr>
                <w:sz w:val="17"/>
                <w:szCs w:val="17"/>
                <w:spacing w:val="-3"/>
              </w:rPr>
              <w:t>且重批</w:t>
            </w:r>
          </w:p>
        </w:tc>
        <w:tc>
          <w:tcPr>
            <w:tcW w:w="2357" w:type="dxa"/>
            <w:vAlign w:val="top"/>
          </w:tcPr>
          <w:p>
            <w:pPr>
              <w:pStyle w:val="TableText"/>
              <w:ind w:left="44"/>
              <w:spacing w:before="248" w:line="219" w:lineRule="auto"/>
              <w:rPr>
                <w:sz w:val="17"/>
                <w:szCs w:val="17"/>
              </w:rPr>
            </w:pPr>
            <w:r>
              <w:rPr>
                <w:sz w:val="17"/>
                <w:szCs w:val="17"/>
                <w:spacing w:val="1"/>
              </w:rPr>
              <w:t>教育部；省区教育卷门</w:t>
            </w:r>
          </w:p>
        </w:tc>
        <w:tc>
          <w:tcPr>
            <w:tcW w:w="3721" w:type="dxa"/>
            <w:vAlign w:val="top"/>
          </w:tcPr>
          <w:p>
            <w:pPr>
              <w:pStyle w:val="TableText"/>
              <w:spacing w:before="168" w:line="217" w:lineRule="auto"/>
              <w:rPr>
                <w:sz w:val="17"/>
                <w:szCs w:val="17"/>
              </w:rPr>
            </w:pPr>
            <w:r>
              <w:rPr>
                <w:sz w:val="17"/>
                <w:szCs w:val="17"/>
                <w:spacing w:val="-1"/>
              </w:rPr>
              <w:t>《中华人民共和间中外合作办学条铜)</w:t>
            </w:r>
          </w:p>
          <w:p>
            <w:pPr>
              <w:pStyle w:val="TableText"/>
              <w:ind w:left="76"/>
              <w:spacing w:line="219" w:lineRule="auto"/>
              <w:rPr>
                <w:sz w:val="17"/>
                <w:szCs w:val="17"/>
              </w:rPr>
            </w:pPr>
            <w:r>
              <w:rPr>
                <w:sz w:val="17"/>
                <w:szCs w:val="17"/>
              </w:rPr>
              <w:t>1中华人民共和国中外合作办学茶例实地办</w:t>
            </w:r>
            <w:r>
              <w:rPr>
                <w:sz w:val="17"/>
                <w:szCs w:val="17"/>
                <w:spacing w:val="-1"/>
              </w:rPr>
              <w:t>法》</w:t>
            </w:r>
          </w:p>
        </w:tc>
      </w:tr>
      <w:tr>
        <w:trPr>
          <w:trHeight w:val="659" w:hRule="atLeast"/>
        </w:trPr>
        <w:tc>
          <w:tcPr>
            <w:tcW w:w="594" w:type="dxa"/>
            <w:vAlign w:val="top"/>
          </w:tcPr>
          <w:p>
            <w:pPr>
              <w:pStyle w:val="TableText"/>
              <w:ind w:left="204"/>
              <w:spacing w:before="291" w:line="184" w:lineRule="auto"/>
              <w:rPr>
                <w:sz w:val="17"/>
                <w:szCs w:val="17"/>
              </w:rPr>
            </w:pPr>
            <w:r>
              <w:rPr>
                <w:sz w:val="17"/>
                <w:szCs w:val="17"/>
                <w:spacing w:val="-5"/>
              </w:rPr>
              <w:t>15</w:t>
            </w:r>
          </w:p>
        </w:tc>
        <w:tc>
          <w:tcPr>
            <w:tcW w:w="1279" w:type="dxa"/>
            <w:vAlign w:val="top"/>
          </w:tcPr>
          <w:p>
            <w:pPr>
              <w:pStyle w:val="TableText"/>
              <w:ind w:left="370"/>
              <w:spacing w:before="247" w:line="219" w:lineRule="auto"/>
              <w:rPr>
                <w:sz w:val="17"/>
                <w:szCs w:val="17"/>
              </w:rPr>
            </w:pPr>
            <w:r>
              <w:rPr>
                <w:sz w:val="17"/>
                <w:szCs w:val="17"/>
                <w:spacing w:val="-2"/>
              </w:rPr>
              <w:t>教青部</w:t>
            </w:r>
          </w:p>
        </w:tc>
        <w:tc>
          <w:tcPr>
            <w:tcW w:w="1638" w:type="dxa"/>
            <w:vAlign w:val="top"/>
          </w:tcPr>
          <w:p>
            <w:pPr>
              <w:pStyle w:val="TableText"/>
              <w:ind w:left="32" w:right="57" w:firstLine="20"/>
              <w:spacing w:before="159" w:line="212" w:lineRule="auto"/>
              <w:rPr>
                <w:sz w:val="17"/>
                <w:szCs w:val="17"/>
              </w:rPr>
            </w:pPr>
            <w:r>
              <w:rPr>
                <w:sz w:val="17"/>
                <w:szCs w:val="17"/>
                <w:spacing w:val="-2"/>
              </w:rPr>
              <w:t>高等学校和其他高等</w:t>
            </w:r>
            <w:r>
              <w:rPr>
                <w:sz w:val="17"/>
                <w:szCs w:val="17"/>
                <w:spacing w:val="5"/>
              </w:rPr>
              <w:t xml:space="preserve"> </w:t>
            </w:r>
            <w:r>
              <w:rPr>
                <w:sz w:val="17"/>
                <w:szCs w:val="17"/>
                <w:spacing w:val="2"/>
              </w:rPr>
              <w:t>器有机构章程核质</w:t>
            </w:r>
          </w:p>
        </w:tc>
        <w:tc>
          <w:tcPr>
            <w:tcW w:w="2357" w:type="dxa"/>
            <w:vAlign w:val="top"/>
          </w:tcPr>
          <w:p>
            <w:pPr>
              <w:pStyle w:val="TableText"/>
              <w:ind w:left="153" w:right="36" w:hanging="129"/>
              <w:spacing w:before="59" w:line="206" w:lineRule="auto"/>
              <w:rPr>
                <w:sz w:val="17"/>
                <w:szCs w:val="17"/>
              </w:rPr>
            </w:pPr>
            <w:r>
              <w:rPr>
                <w:sz w:val="17"/>
                <w:szCs w:val="17"/>
                <w:spacing w:val="-1"/>
              </w:rPr>
              <w:t>教育郁(其他中央部门所属离校</w:t>
            </w:r>
            <w:r>
              <w:rPr>
                <w:sz w:val="17"/>
                <w:szCs w:val="17"/>
                <w:spacing w:val="4"/>
              </w:rPr>
              <w:t xml:space="preserve"> </w:t>
            </w:r>
            <w:r>
              <w:rPr>
                <w:sz w:val="17"/>
                <w:szCs w:val="17"/>
              </w:rPr>
              <w:t>章登核有血主分部门前置事</w:t>
            </w:r>
          </w:p>
          <w:p>
            <w:pPr>
              <w:pStyle w:val="TableText"/>
              <w:ind w:left="64"/>
              <w:spacing w:line="219" w:lineRule="auto"/>
              <w:rPr>
                <w:sz w:val="17"/>
                <w:szCs w:val="17"/>
              </w:rPr>
            </w:pPr>
            <w:r>
              <w:rPr>
                <w:sz w:val="17"/>
                <w:szCs w:val="17"/>
                <w:spacing w:val="2"/>
              </w:rPr>
              <w:t>查；者腔教育部门</w:t>
            </w:r>
          </w:p>
        </w:tc>
        <w:tc>
          <w:tcPr>
            <w:tcW w:w="3721" w:type="dxa"/>
            <w:vAlign w:val="top"/>
          </w:tcPr>
          <w:p>
            <w:pPr>
              <w:pStyle w:val="TableText"/>
              <w:ind w:left="76"/>
              <w:spacing w:before="168" w:line="218" w:lineRule="auto"/>
              <w:rPr>
                <w:sz w:val="17"/>
                <w:szCs w:val="17"/>
              </w:rPr>
            </w:pPr>
            <w:r>
              <w:rPr>
                <w:sz w:val="17"/>
                <w:szCs w:val="17"/>
                <w:spacing w:val="2"/>
              </w:rPr>
              <w:t>4中华人民共和国高等雕青法]</w:t>
            </w:r>
          </w:p>
          <w:p>
            <w:pPr>
              <w:pStyle w:val="TableText"/>
              <w:ind w:left="76"/>
              <w:spacing w:line="219" w:lineRule="auto"/>
              <w:rPr>
                <w:sz w:val="17"/>
                <w:szCs w:val="17"/>
              </w:rPr>
            </w:pPr>
            <w:r>
              <w:rPr>
                <w:sz w:val="17"/>
                <w:szCs w:val="17"/>
                <w:spacing w:val="2"/>
              </w:rPr>
              <w:t>(高等学校意型割定暂行办甚)</w:t>
            </w:r>
          </w:p>
        </w:tc>
      </w:tr>
      <w:tr>
        <w:trPr>
          <w:trHeight w:val="669" w:hRule="atLeast"/>
        </w:trPr>
        <w:tc>
          <w:tcPr>
            <w:tcW w:w="594" w:type="dxa"/>
            <w:vAlign w:val="top"/>
          </w:tcPr>
          <w:p>
            <w:pPr>
              <w:pStyle w:val="TableText"/>
              <w:ind w:left="184"/>
              <w:spacing w:before="281" w:line="241" w:lineRule="auto"/>
              <w:rPr>
                <w:sz w:val="13"/>
                <w:szCs w:val="13"/>
              </w:rPr>
            </w:pPr>
            <w:r>
              <w:rPr>
                <w:sz w:val="13"/>
                <w:szCs w:val="13"/>
                <w:spacing w:val="-4"/>
              </w:rPr>
              <w:t>lū</w:t>
            </w:r>
          </w:p>
        </w:tc>
        <w:tc>
          <w:tcPr>
            <w:tcW w:w="1279" w:type="dxa"/>
            <w:vAlign w:val="top"/>
          </w:tcPr>
          <w:p>
            <w:pPr>
              <w:pStyle w:val="TableText"/>
              <w:ind w:left="370"/>
              <w:spacing w:before="250" w:line="219" w:lineRule="auto"/>
              <w:rPr>
                <w:sz w:val="17"/>
                <w:szCs w:val="17"/>
              </w:rPr>
            </w:pPr>
            <w:r>
              <w:rPr>
                <w:sz w:val="17"/>
                <w:szCs w:val="17"/>
                <w:spacing w:val="4"/>
              </w:rPr>
              <w:t>教育图</w:t>
            </w:r>
          </w:p>
        </w:tc>
        <w:tc>
          <w:tcPr>
            <w:tcW w:w="1638" w:type="dxa"/>
            <w:vAlign w:val="top"/>
          </w:tcPr>
          <w:p>
            <w:pPr>
              <w:pStyle w:val="TableText"/>
              <w:ind w:left="32" w:right="16" w:firstLine="10"/>
              <w:spacing w:before="48" w:line="221" w:lineRule="auto"/>
              <w:jc w:val="both"/>
              <w:rPr>
                <w:sz w:val="17"/>
                <w:szCs w:val="17"/>
              </w:rPr>
            </w:pPr>
            <w:r>
              <w:rPr>
                <w:sz w:val="17"/>
                <w:szCs w:val="17"/>
                <w:spacing w:val="1"/>
              </w:rPr>
              <w:t>高校设置管理权限范</w:t>
            </w:r>
            <w:r>
              <w:rPr>
                <w:sz w:val="17"/>
                <w:szCs w:val="17"/>
              </w:rPr>
              <w:t xml:space="preserve"> </w:t>
            </w:r>
            <w:r>
              <w:rPr>
                <w:sz w:val="17"/>
                <w:szCs w:val="17"/>
                <w:spacing w:val="5"/>
              </w:rPr>
              <w:t>围外本科专业和国家</w:t>
            </w:r>
            <w:r>
              <w:rPr>
                <w:sz w:val="17"/>
                <w:szCs w:val="17"/>
                <w:spacing w:val="3"/>
              </w:rPr>
              <w:t xml:space="preserve"> </w:t>
            </w:r>
            <w:r>
              <w:rPr>
                <w:sz w:val="17"/>
                <w:szCs w:val="17"/>
                <w:spacing w:val="-1"/>
              </w:rPr>
              <w:t>控制专业审批</w:t>
            </w:r>
          </w:p>
        </w:tc>
        <w:tc>
          <w:tcPr>
            <w:tcW w:w="2357" w:type="dxa"/>
            <w:vAlign w:val="top"/>
          </w:tcPr>
          <w:p>
            <w:pPr>
              <w:pStyle w:val="TableText"/>
              <w:ind w:left="54"/>
              <w:spacing w:before="250" w:line="219" w:lineRule="auto"/>
              <w:rPr>
                <w:sz w:val="17"/>
                <w:szCs w:val="17"/>
              </w:rPr>
            </w:pPr>
            <w:r>
              <w:rPr>
                <w:sz w:val="17"/>
                <w:szCs w:val="17"/>
                <w:spacing w:val="-2"/>
              </w:rPr>
              <w:t>教育就</w:t>
            </w:r>
          </w:p>
        </w:tc>
        <w:tc>
          <w:tcPr>
            <w:tcW w:w="3721" w:type="dxa"/>
            <w:vAlign w:val="top"/>
          </w:tcPr>
          <w:p>
            <w:pPr>
              <w:pStyle w:val="TableText"/>
              <w:ind w:left="75" w:hanging="9"/>
              <w:spacing w:before="159" w:line="224" w:lineRule="auto"/>
              <w:rPr>
                <w:sz w:val="17"/>
                <w:szCs w:val="17"/>
              </w:rPr>
            </w:pPr>
            <w:r>
              <w:rPr>
                <w:sz w:val="17"/>
                <w:szCs w:val="17"/>
                <w:spacing w:val="-5"/>
              </w:rPr>
              <w:t>了国务院对策害保值的行改审批列目设定行政许可</w:t>
            </w:r>
            <w:r>
              <w:rPr>
                <w:sz w:val="17"/>
                <w:szCs w:val="17"/>
                <w:spacing w:val="13"/>
              </w:rPr>
              <w:t xml:space="preserve"> </w:t>
            </w:r>
            <w:r>
              <w:rPr>
                <w:sz w:val="17"/>
                <w:szCs w:val="17"/>
                <w:spacing w:val="3"/>
              </w:rPr>
              <w:t>的决定</w:t>
            </w:r>
          </w:p>
        </w:tc>
      </w:tr>
      <w:tr>
        <w:trPr>
          <w:trHeight w:val="1059" w:hRule="atLeast"/>
        </w:trPr>
        <w:tc>
          <w:tcPr>
            <w:tcW w:w="594" w:type="dxa"/>
            <w:vAlign w:val="top"/>
          </w:tcPr>
          <w:p>
            <w:pPr>
              <w:spacing w:line="436" w:lineRule="auto"/>
              <w:rPr>
                <w:rFonts w:ascii="Arial"/>
                <w:sz w:val="21"/>
              </w:rPr>
            </w:pPr>
            <w:r/>
          </w:p>
          <w:p>
            <w:pPr>
              <w:pStyle w:val="TableText"/>
              <w:ind w:left="204"/>
              <w:spacing w:before="55" w:line="184" w:lineRule="auto"/>
              <w:rPr>
                <w:sz w:val="17"/>
                <w:szCs w:val="17"/>
              </w:rPr>
            </w:pPr>
            <w:r>
              <w:rPr>
                <w:sz w:val="17"/>
                <w:szCs w:val="17"/>
                <w:spacing w:val="-5"/>
              </w:rPr>
              <w:t>17</w:t>
            </w:r>
          </w:p>
        </w:tc>
        <w:tc>
          <w:tcPr>
            <w:tcW w:w="1279" w:type="dxa"/>
            <w:vAlign w:val="top"/>
          </w:tcPr>
          <w:p>
            <w:pPr>
              <w:spacing w:line="393" w:lineRule="auto"/>
              <w:rPr>
                <w:rFonts w:ascii="Arial"/>
                <w:sz w:val="21"/>
              </w:rPr>
            </w:pPr>
            <w:r/>
          </w:p>
          <w:p>
            <w:pPr>
              <w:pStyle w:val="TableText"/>
              <w:ind w:left="370"/>
              <w:spacing w:before="55" w:line="219" w:lineRule="auto"/>
              <w:rPr>
                <w:sz w:val="17"/>
                <w:szCs w:val="17"/>
              </w:rPr>
            </w:pPr>
            <w:r>
              <w:rPr>
                <w:sz w:val="17"/>
                <w:szCs w:val="17"/>
                <w:spacing w:val="-2"/>
              </w:rPr>
              <w:t>教育部</w:t>
            </w:r>
          </w:p>
        </w:tc>
        <w:tc>
          <w:tcPr>
            <w:tcW w:w="1638" w:type="dxa"/>
            <w:vAlign w:val="top"/>
          </w:tcPr>
          <w:p>
            <w:pPr>
              <w:spacing w:line="393" w:lineRule="auto"/>
              <w:rPr>
                <w:rFonts w:ascii="Arial"/>
                <w:sz w:val="21"/>
              </w:rPr>
            </w:pPr>
            <w:r/>
          </w:p>
          <w:p>
            <w:pPr>
              <w:pStyle w:val="TableText"/>
              <w:ind w:left="32"/>
              <w:spacing w:before="55" w:line="219" w:lineRule="auto"/>
              <w:rPr>
                <w:sz w:val="17"/>
                <w:szCs w:val="17"/>
              </w:rPr>
            </w:pPr>
            <w:r>
              <w:rPr>
                <w:sz w:val="17"/>
                <w:szCs w:val="17"/>
                <w:spacing w:val="1"/>
              </w:rPr>
              <w:t>学位授权审核</w:t>
            </w:r>
          </w:p>
        </w:tc>
        <w:tc>
          <w:tcPr>
            <w:tcW w:w="2357" w:type="dxa"/>
            <w:vAlign w:val="top"/>
          </w:tcPr>
          <w:p>
            <w:pPr>
              <w:pStyle w:val="TableText"/>
              <w:ind w:left="14" w:firstLine="9"/>
              <w:spacing w:before="249" w:line="222" w:lineRule="auto"/>
              <w:jc w:val="both"/>
              <w:rPr>
                <w:sz w:val="17"/>
                <w:szCs w:val="17"/>
              </w:rPr>
            </w:pPr>
            <w:r>
              <w:rPr>
                <w:sz w:val="17"/>
                <w:szCs w:val="17"/>
                <w:spacing w:val="-1"/>
              </w:rPr>
              <w:t>国务应学位妻员会(由教育都录</w:t>
            </w:r>
            <w:r>
              <w:rPr>
                <w:sz w:val="17"/>
                <w:szCs w:val="17"/>
                <w:spacing w:val="9"/>
              </w:rPr>
              <w:t xml:space="preserve"> </w:t>
            </w:r>
            <w:r>
              <w:rPr>
                <w:sz w:val="17"/>
                <w:szCs w:val="17"/>
                <w:spacing w:val="-6"/>
              </w:rPr>
              <w:t>办);省圾学位委员会《</w:t>
            </w:r>
            <w:r>
              <w:rPr>
                <w:sz w:val="17"/>
                <w:szCs w:val="17"/>
                <w:spacing w:val="17"/>
              </w:rPr>
              <w:t xml:space="preserve">  </w:t>
            </w:r>
            <w:r>
              <w:rPr>
                <w:sz w:val="17"/>
                <w:szCs w:val="17"/>
                <w:spacing w:val="-6"/>
              </w:rPr>
              <w:t>医青部</w:t>
            </w:r>
            <w:r>
              <w:rPr>
                <w:sz w:val="17"/>
                <w:szCs w:val="17"/>
                <w:spacing w:val="1"/>
              </w:rPr>
              <w:t xml:space="preserve"> </w:t>
            </w:r>
            <w:r>
              <w:rPr>
                <w:sz w:val="17"/>
                <w:szCs w:val="17"/>
                <w:spacing w:val="15"/>
              </w:rPr>
              <w:t>门承办)</w:t>
            </w:r>
          </w:p>
        </w:tc>
        <w:tc>
          <w:tcPr>
            <w:tcW w:w="3721" w:type="dxa"/>
            <w:vAlign w:val="top"/>
          </w:tcPr>
          <w:p>
            <w:pPr>
              <w:pStyle w:val="TableText"/>
              <w:ind w:left="76"/>
              <w:spacing w:before="71" w:line="195" w:lineRule="auto"/>
              <w:rPr>
                <w:sz w:val="17"/>
                <w:szCs w:val="17"/>
              </w:rPr>
            </w:pPr>
            <w:r>
              <w:rPr>
                <w:sz w:val="17"/>
                <w:szCs w:val="17"/>
                <w:spacing w:val="-1"/>
              </w:rPr>
              <w:t>4中作人民共和保学位条的</w:t>
            </w:r>
          </w:p>
          <w:p>
            <w:pPr>
              <w:pStyle w:val="TableText"/>
              <w:ind w:left="83" w:right="77" w:hanging="84"/>
              <w:spacing w:before="1" w:line="219" w:lineRule="auto"/>
              <w:rPr>
                <w:sz w:val="17"/>
                <w:szCs w:val="17"/>
              </w:rPr>
            </w:pPr>
            <w:r>
              <w:rPr>
                <w:sz w:val="17"/>
                <w:szCs w:val="17"/>
                <w:spacing w:val="-1"/>
              </w:rPr>
              <w:t>《关于下放学士学位授子单位市批权的通知X学位</w:t>
            </w:r>
            <w:r>
              <w:rPr>
                <w:sz w:val="17"/>
                <w:szCs w:val="17"/>
              </w:rPr>
              <w:t xml:space="preserve"> </w:t>
            </w:r>
            <w:r>
              <w:rPr>
                <w:sz w:val="17"/>
                <w:szCs w:val="17"/>
                <w:spacing w:val="3"/>
              </w:rPr>
              <w:t>119091号)</w:t>
            </w:r>
          </w:p>
          <w:p>
            <w:pPr>
              <w:pStyle w:val="TableText"/>
              <w:spacing w:before="15" w:line="217" w:lineRule="auto"/>
              <w:rPr>
                <w:sz w:val="17"/>
                <w:szCs w:val="17"/>
              </w:rPr>
            </w:pPr>
            <w:r>
              <w:rPr>
                <w:sz w:val="17"/>
                <w:szCs w:val="17"/>
                <w:spacing w:val="-2"/>
              </w:rPr>
              <w:t>《第士和土学位段权审能办法《学位[20]?]9号1</w:t>
            </w:r>
          </w:p>
          <w:p>
            <w:pPr>
              <w:pStyle w:val="TableText"/>
              <w:ind w:right="7"/>
              <w:spacing w:line="193" w:lineRule="auto"/>
              <w:jc w:val="right"/>
              <w:rPr>
                <w:sz w:val="17"/>
                <w:szCs w:val="17"/>
              </w:rPr>
            </w:pPr>
            <w:r>
              <w:rPr>
                <w:sz w:val="17"/>
                <w:szCs w:val="17"/>
                <w:spacing w:val="-1"/>
              </w:rPr>
              <w:t>1学土半位径权与授子管望办法料学位〔201900号</w:t>
            </w:r>
          </w:p>
        </w:tc>
      </w:tr>
      <w:tr>
        <w:trPr>
          <w:trHeight w:val="459" w:hRule="atLeast"/>
        </w:trPr>
        <w:tc>
          <w:tcPr>
            <w:tcW w:w="594" w:type="dxa"/>
            <w:vAlign w:val="top"/>
          </w:tcPr>
          <w:p>
            <w:pPr>
              <w:pStyle w:val="TableText"/>
              <w:ind w:left="204"/>
              <w:spacing w:before="194" w:line="184" w:lineRule="auto"/>
              <w:rPr>
                <w:sz w:val="17"/>
                <w:szCs w:val="17"/>
              </w:rPr>
            </w:pPr>
            <w:r>
              <w:rPr>
                <w:sz w:val="17"/>
                <w:szCs w:val="17"/>
                <w:spacing w:val="-5"/>
              </w:rPr>
              <w:t>18</w:t>
            </w:r>
          </w:p>
        </w:tc>
        <w:tc>
          <w:tcPr>
            <w:tcW w:w="1279" w:type="dxa"/>
            <w:vAlign w:val="top"/>
          </w:tcPr>
          <w:p>
            <w:pPr>
              <w:pStyle w:val="TableText"/>
              <w:ind w:left="370"/>
              <w:spacing w:before="152" w:line="219" w:lineRule="auto"/>
              <w:rPr>
                <w:sz w:val="17"/>
                <w:szCs w:val="17"/>
              </w:rPr>
            </w:pPr>
            <w:r>
              <w:rPr>
                <w:sz w:val="17"/>
                <w:szCs w:val="17"/>
                <w:spacing w:val="-2"/>
              </w:rPr>
              <w:t>教育都</w:t>
            </w:r>
          </w:p>
        </w:tc>
        <w:tc>
          <w:tcPr>
            <w:tcW w:w="1638" w:type="dxa"/>
            <w:vAlign w:val="top"/>
          </w:tcPr>
          <w:p>
            <w:pPr>
              <w:pStyle w:val="TableText"/>
              <w:ind w:left="32"/>
              <w:spacing w:before="152" w:line="219" w:lineRule="auto"/>
              <w:rPr>
                <w:sz w:val="17"/>
                <w:szCs w:val="17"/>
              </w:rPr>
            </w:pPr>
            <w:r>
              <w:rPr>
                <w:sz w:val="17"/>
                <w:szCs w:val="17"/>
                <w:spacing w:val="-1"/>
              </w:rPr>
              <w:t>名背博士学位市撞</w:t>
            </w:r>
          </w:p>
        </w:tc>
        <w:tc>
          <w:tcPr>
            <w:tcW w:w="2357" w:type="dxa"/>
            <w:vAlign w:val="top"/>
          </w:tcPr>
          <w:p>
            <w:pPr>
              <w:pStyle w:val="TableText"/>
              <w:ind w:left="24" w:right="16"/>
              <w:spacing w:before="71" w:line="205" w:lineRule="auto"/>
              <w:rPr>
                <w:sz w:val="17"/>
                <w:szCs w:val="17"/>
              </w:rPr>
            </w:pPr>
            <w:r>
              <w:rPr>
                <w:sz w:val="17"/>
                <w:szCs w:val="17"/>
              </w:rPr>
              <w:t>国务险学位委员会(山数育部系</w:t>
            </w:r>
            <w:r>
              <w:rPr>
                <w:sz w:val="17"/>
                <w:szCs w:val="17"/>
                <w:spacing w:val="10"/>
              </w:rPr>
              <w:t xml:space="preserve"> </w:t>
            </w:r>
            <w:r>
              <w:rPr>
                <w:sz w:val="17"/>
                <w:szCs w:val="17"/>
                <w:spacing w:val="14"/>
              </w:rPr>
              <w:t>办!</w:t>
            </w:r>
          </w:p>
        </w:tc>
        <w:tc>
          <w:tcPr>
            <w:tcW w:w="3721" w:type="dxa"/>
            <w:vAlign w:val="top"/>
          </w:tcPr>
          <w:p>
            <w:pPr>
              <w:pStyle w:val="TableText"/>
              <w:spacing w:before="152" w:line="219" w:lineRule="auto"/>
              <w:rPr>
                <w:sz w:val="17"/>
                <w:szCs w:val="17"/>
              </w:rPr>
            </w:pPr>
            <w:r>
              <w:rPr>
                <w:sz w:val="17"/>
                <w:szCs w:val="17"/>
                <w:spacing w:val="-3"/>
              </w:rPr>
              <w:t>《中华人民共和语学检类例</w:t>
            </w:r>
          </w:p>
        </w:tc>
      </w:tr>
      <w:tr>
        <w:trPr>
          <w:trHeight w:val="679" w:hRule="atLeast"/>
        </w:trPr>
        <w:tc>
          <w:tcPr>
            <w:tcW w:w="594" w:type="dxa"/>
            <w:vAlign w:val="top"/>
          </w:tcPr>
          <w:p>
            <w:pPr>
              <w:spacing w:line="249" w:lineRule="auto"/>
              <w:rPr>
                <w:rFonts w:ascii="Arial"/>
                <w:sz w:val="21"/>
              </w:rPr>
            </w:pPr>
            <w:r/>
          </w:p>
          <w:p>
            <w:pPr>
              <w:pStyle w:val="TableText"/>
              <w:ind w:left="204"/>
              <w:spacing w:before="55" w:line="184" w:lineRule="auto"/>
              <w:rPr>
                <w:sz w:val="17"/>
                <w:szCs w:val="17"/>
              </w:rPr>
            </w:pPr>
            <w:r>
              <w:rPr>
                <w:sz w:val="17"/>
                <w:szCs w:val="17"/>
                <w:spacing w:val="-5"/>
              </w:rPr>
              <w:t>19</w:t>
            </w:r>
          </w:p>
        </w:tc>
        <w:tc>
          <w:tcPr>
            <w:tcW w:w="1279" w:type="dxa"/>
            <w:vAlign w:val="top"/>
          </w:tcPr>
          <w:p>
            <w:pPr>
              <w:pStyle w:val="TableText"/>
              <w:ind w:left="370"/>
              <w:spacing w:before="263" w:line="219" w:lineRule="auto"/>
              <w:rPr>
                <w:sz w:val="17"/>
                <w:szCs w:val="17"/>
              </w:rPr>
            </w:pPr>
            <w:r>
              <w:rPr>
                <w:sz w:val="17"/>
                <w:szCs w:val="17"/>
                <w:spacing w:val="-2"/>
              </w:rPr>
              <w:t>教育部</w:t>
            </w:r>
          </w:p>
        </w:tc>
        <w:tc>
          <w:tcPr>
            <w:tcW w:w="1638" w:type="dxa"/>
            <w:vAlign w:val="top"/>
          </w:tcPr>
          <w:p>
            <w:pPr>
              <w:pStyle w:val="TableText"/>
              <w:ind w:left="32" w:firstLine="39"/>
              <w:spacing w:before="72" w:line="216" w:lineRule="auto"/>
              <w:jc w:val="both"/>
              <w:rPr>
                <w:sz w:val="17"/>
                <w:szCs w:val="17"/>
              </w:rPr>
            </w:pPr>
            <w:r>
              <w:rPr>
                <w:sz w:val="17"/>
                <w:szCs w:val="17"/>
                <w:spacing w:val="-2"/>
              </w:rPr>
              <w:t>从事文艺，体直等专</w:t>
            </w:r>
            <w:r>
              <w:rPr>
                <w:sz w:val="17"/>
                <w:szCs w:val="17"/>
                <w:spacing w:val="5"/>
              </w:rPr>
              <w:t xml:space="preserve"> </w:t>
            </w:r>
            <w:r>
              <w:rPr>
                <w:sz w:val="17"/>
                <w:szCs w:val="17"/>
                <w:spacing w:val="7"/>
              </w:rPr>
              <w:t>业调练的社会组织自</w:t>
            </w:r>
            <w:r>
              <w:rPr>
                <w:sz w:val="17"/>
                <w:szCs w:val="17"/>
                <w:spacing w:val="1"/>
              </w:rPr>
              <w:t xml:space="preserve"> </w:t>
            </w:r>
            <w:r>
              <w:rPr>
                <w:sz w:val="17"/>
                <w:szCs w:val="17"/>
                <w:spacing w:val="-2"/>
              </w:rPr>
              <w:t>行实雄义务教育审世</w:t>
            </w:r>
          </w:p>
        </w:tc>
        <w:tc>
          <w:tcPr>
            <w:tcW w:w="2357" w:type="dxa"/>
            <w:vAlign w:val="top"/>
          </w:tcPr>
          <w:p>
            <w:pPr>
              <w:pStyle w:val="TableText"/>
              <w:ind w:left="93"/>
              <w:spacing w:before="261" w:line="219" w:lineRule="auto"/>
              <w:rPr>
                <w:sz w:val="17"/>
                <w:szCs w:val="17"/>
              </w:rPr>
            </w:pPr>
            <w:r>
              <w:rPr>
                <w:sz w:val="17"/>
                <w:szCs w:val="17"/>
                <w:spacing w:val="3"/>
              </w:rPr>
              <w:t>具级教青部门</w:t>
            </w:r>
          </w:p>
        </w:tc>
        <w:tc>
          <w:tcPr>
            <w:tcW w:w="3721" w:type="dxa"/>
            <w:vAlign w:val="top"/>
          </w:tcPr>
          <w:p>
            <w:pPr>
              <w:pStyle w:val="TableText"/>
              <w:spacing w:before="261" w:line="219" w:lineRule="auto"/>
              <w:rPr>
                <w:sz w:val="17"/>
                <w:szCs w:val="17"/>
              </w:rPr>
            </w:pPr>
            <w:r>
              <w:rPr>
                <w:sz w:val="17"/>
                <w:szCs w:val="17"/>
                <w:spacing w:val="-2"/>
              </w:rPr>
              <w:t>《中华人民共和国义务数青法</w:t>
            </w:r>
          </w:p>
        </w:tc>
      </w:tr>
      <w:tr>
        <w:trPr>
          <w:trHeight w:val="649" w:hRule="atLeast"/>
        </w:trPr>
        <w:tc>
          <w:tcPr>
            <w:tcW w:w="594" w:type="dxa"/>
            <w:vAlign w:val="top"/>
          </w:tcPr>
          <w:p>
            <w:pPr>
              <w:pStyle w:val="TableText"/>
              <w:ind w:left="204"/>
              <w:spacing w:before="287" w:line="183" w:lineRule="auto"/>
              <w:rPr>
                <w:sz w:val="17"/>
                <w:szCs w:val="17"/>
              </w:rPr>
            </w:pPr>
            <w:r>
              <w:rPr>
                <w:sz w:val="17"/>
                <w:szCs w:val="17"/>
                <w:spacing w:val="-3"/>
              </w:rPr>
              <w:t>20</w:t>
            </w:r>
          </w:p>
        </w:tc>
        <w:tc>
          <w:tcPr>
            <w:tcW w:w="1279" w:type="dxa"/>
            <w:vAlign w:val="top"/>
          </w:tcPr>
          <w:p>
            <w:pPr>
              <w:pStyle w:val="TableText"/>
              <w:ind w:left="370"/>
              <w:spacing w:before="244" w:line="219" w:lineRule="auto"/>
              <w:rPr>
                <w:sz w:val="17"/>
                <w:szCs w:val="17"/>
              </w:rPr>
            </w:pPr>
            <w:r>
              <w:rPr>
                <w:sz w:val="17"/>
                <w:szCs w:val="17"/>
                <w:spacing w:val="-2"/>
              </w:rPr>
              <w:t>教育部</w:t>
            </w:r>
          </w:p>
        </w:tc>
        <w:tc>
          <w:tcPr>
            <w:tcW w:w="1638" w:type="dxa"/>
            <w:vAlign w:val="top"/>
          </w:tcPr>
          <w:p>
            <w:pPr>
              <w:pStyle w:val="TableText"/>
              <w:ind w:left="32"/>
              <w:spacing w:before="242" w:line="219" w:lineRule="auto"/>
              <w:rPr>
                <w:sz w:val="17"/>
                <w:szCs w:val="17"/>
              </w:rPr>
            </w:pPr>
            <w:r>
              <w:rPr>
                <w:sz w:val="17"/>
                <w:szCs w:val="17"/>
                <w:spacing w:val="1"/>
              </w:rPr>
              <w:t>中小幸课程教材审定</w:t>
            </w:r>
          </w:p>
        </w:tc>
        <w:tc>
          <w:tcPr>
            <w:tcW w:w="2357" w:type="dxa"/>
            <w:vAlign w:val="top"/>
          </w:tcPr>
          <w:p>
            <w:pPr>
              <w:pStyle w:val="TableText"/>
              <w:ind w:left="44"/>
              <w:spacing w:before="244" w:line="219" w:lineRule="auto"/>
              <w:rPr>
                <w:sz w:val="17"/>
                <w:szCs w:val="17"/>
              </w:rPr>
            </w:pPr>
            <w:r>
              <w:rPr>
                <w:sz w:val="17"/>
                <w:szCs w:val="17"/>
                <w:spacing w:val="1"/>
              </w:rPr>
              <w:t>教算苏，省级教育部门</w:t>
            </w:r>
          </w:p>
        </w:tc>
        <w:tc>
          <w:tcPr>
            <w:tcW w:w="3721" w:type="dxa"/>
            <w:vAlign w:val="top"/>
          </w:tcPr>
          <w:p>
            <w:pPr>
              <w:pStyle w:val="TableText"/>
              <w:spacing w:before="53" w:line="206" w:lineRule="auto"/>
              <w:rPr>
                <w:sz w:val="17"/>
                <w:szCs w:val="17"/>
              </w:rPr>
            </w:pPr>
            <w:r>
              <w:rPr>
                <w:sz w:val="17"/>
                <w:szCs w:val="17"/>
                <w:spacing w:val="-1"/>
              </w:rPr>
              <w:t>《中华人医共和国义务能青法)</w:t>
            </w:r>
          </w:p>
          <w:p>
            <w:pPr>
              <w:pStyle w:val="TableText"/>
              <w:ind w:left="84"/>
              <w:spacing w:line="218" w:lineRule="auto"/>
              <w:rPr>
                <w:sz w:val="17"/>
                <w:szCs w:val="17"/>
              </w:rPr>
            </w:pPr>
            <w:r>
              <w:rPr>
                <w:sz w:val="17"/>
                <w:szCs w:val="17"/>
                <w:spacing w:val="-2"/>
              </w:rPr>
              <w:t>4由章管理务例》</w:t>
            </w:r>
          </w:p>
          <w:p>
            <w:pPr>
              <w:pStyle w:val="TableText"/>
              <w:spacing w:before="18" w:line="191" w:lineRule="auto"/>
              <w:rPr>
                <w:sz w:val="17"/>
                <w:szCs w:val="17"/>
              </w:rPr>
            </w:pPr>
            <w:r>
              <w:rPr>
                <w:sz w:val="17"/>
                <w:szCs w:val="17"/>
                <w:spacing w:val="-1"/>
              </w:rPr>
              <w:t>《中小学卷材管得办击3《教材(2043)3号)</w:t>
            </w:r>
          </w:p>
        </w:tc>
      </w:tr>
      <w:tr>
        <w:trPr>
          <w:trHeight w:val="659" w:hRule="atLeast"/>
        </w:trPr>
        <w:tc>
          <w:tcPr>
            <w:tcW w:w="594" w:type="dxa"/>
            <w:vAlign w:val="top"/>
          </w:tcPr>
          <w:p>
            <w:pPr>
              <w:spacing w:line="241" w:lineRule="auto"/>
              <w:rPr>
                <w:rFonts w:ascii="Arial"/>
                <w:sz w:val="21"/>
              </w:rPr>
            </w:pPr>
            <w:r/>
          </w:p>
          <w:p>
            <w:pPr>
              <w:pStyle w:val="TableText"/>
              <w:ind w:left="204"/>
              <w:spacing w:before="55" w:line="184" w:lineRule="auto"/>
              <w:rPr>
                <w:sz w:val="17"/>
                <w:szCs w:val="17"/>
              </w:rPr>
            </w:pPr>
            <w:r>
              <w:rPr>
                <w:sz w:val="17"/>
                <w:szCs w:val="17"/>
                <w:spacing w:val="-3"/>
              </w:rPr>
              <w:t>21</w:t>
            </w:r>
          </w:p>
        </w:tc>
        <w:tc>
          <w:tcPr>
            <w:tcW w:w="1279" w:type="dxa"/>
            <w:vAlign w:val="top"/>
          </w:tcPr>
          <w:p>
            <w:pPr>
              <w:pStyle w:val="TableText"/>
              <w:ind w:left="370"/>
              <w:spacing w:before="255" w:line="219" w:lineRule="auto"/>
              <w:rPr>
                <w:sz w:val="17"/>
                <w:szCs w:val="17"/>
              </w:rPr>
            </w:pPr>
            <w:r>
              <w:rPr>
                <w:sz w:val="17"/>
                <w:szCs w:val="17"/>
                <w:spacing w:val="-2"/>
              </w:rPr>
              <w:t>政育部</w:t>
            </w:r>
          </w:p>
        </w:tc>
        <w:tc>
          <w:tcPr>
            <w:tcW w:w="1638" w:type="dxa"/>
            <w:vAlign w:val="top"/>
          </w:tcPr>
          <w:p>
            <w:pPr>
              <w:pStyle w:val="TableText"/>
              <w:ind w:left="32"/>
              <w:spacing w:before="255" w:line="219" w:lineRule="auto"/>
              <w:rPr>
                <w:sz w:val="17"/>
                <w:szCs w:val="17"/>
              </w:rPr>
            </w:pPr>
            <w:r>
              <w:rPr>
                <w:sz w:val="17"/>
                <w:szCs w:val="17"/>
                <w:spacing w:val="1"/>
              </w:rPr>
              <w:t>中小学教学动图康定</w:t>
            </w:r>
          </w:p>
        </w:tc>
        <w:tc>
          <w:tcPr>
            <w:tcW w:w="2357" w:type="dxa"/>
            <w:vAlign w:val="top"/>
          </w:tcPr>
          <w:p>
            <w:pPr>
              <w:pStyle w:val="TableText"/>
              <w:ind w:left="14" w:firstLine="49"/>
              <w:spacing w:before="63" w:line="212" w:lineRule="auto"/>
              <w:jc w:val="both"/>
              <w:rPr>
                <w:sz w:val="17"/>
                <w:szCs w:val="17"/>
              </w:rPr>
            </w:pPr>
            <w:r>
              <w:rPr>
                <w:sz w:val="17"/>
                <w:szCs w:val="17"/>
                <w:spacing w:val="-1"/>
              </w:rPr>
              <w:t>教育部会同直然数源部，外交</w:t>
            </w:r>
            <w:r>
              <w:rPr>
                <w:sz w:val="17"/>
                <w:szCs w:val="17"/>
              </w:rPr>
              <w:t xml:space="preserve">  </w:t>
            </w:r>
            <w:r>
              <w:rPr>
                <w:sz w:val="17"/>
                <w:szCs w:val="17"/>
                <w:spacing w:val="-4"/>
              </w:rPr>
              <w:t>部，省级教育部门会同商给培理</w:t>
            </w:r>
            <w:r>
              <w:rPr>
                <w:sz w:val="17"/>
                <w:szCs w:val="17"/>
                <w:spacing w:val="7"/>
              </w:rPr>
              <w:t xml:space="preserve"> </w:t>
            </w:r>
            <w:r>
              <w:rPr>
                <w:sz w:val="17"/>
                <w:szCs w:val="17"/>
                <w:spacing w:val="7"/>
              </w:rPr>
              <w:t>估息主管部门</w:t>
            </w:r>
          </w:p>
        </w:tc>
        <w:tc>
          <w:tcPr>
            <w:tcW w:w="3721" w:type="dxa"/>
            <w:vAlign w:val="top"/>
          </w:tcPr>
          <w:p>
            <w:pPr>
              <w:pStyle w:val="TableText"/>
              <w:ind w:left="76"/>
              <w:spacing w:before="255" w:line="219" w:lineRule="auto"/>
              <w:rPr>
                <w:sz w:val="17"/>
                <w:szCs w:val="17"/>
              </w:rPr>
            </w:pPr>
            <w:r>
              <w:rPr>
                <w:sz w:val="17"/>
                <w:szCs w:val="17"/>
                <w:spacing w:val="-1"/>
              </w:rPr>
              <w:t>(确图管理条例》</w:t>
            </w:r>
          </w:p>
        </w:tc>
      </w:tr>
      <w:tr>
        <w:trPr>
          <w:trHeight w:val="684" w:hRule="atLeast"/>
        </w:trPr>
        <w:tc>
          <w:tcPr>
            <w:tcW w:w="594" w:type="dxa"/>
            <w:vAlign w:val="top"/>
          </w:tcPr>
          <w:p>
            <w:pPr>
              <w:spacing w:line="253" w:lineRule="auto"/>
              <w:rPr>
                <w:rFonts w:ascii="Arial"/>
                <w:sz w:val="21"/>
              </w:rPr>
            </w:pPr>
            <w:r/>
          </w:p>
          <w:p>
            <w:pPr>
              <w:pStyle w:val="TableText"/>
              <w:ind w:left="204"/>
              <w:spacing w:before="55" w:line="183" w:lineRule="auto"/>
              <w:rPr>
                <w:sz w:val="17"/>
                <w:szCs w:val="17"/>
              </w:rPr>
            </w:pPr>
            <w:r>
              <w:rPr>
                <w:sz w:val="17"/>
                <w:szCs w:val="17"/>
                <w:spacing w:val="-3"/>
              </w:rPr>
              <w:t>22</w:t>
            </w:r>
          </w:p>
        </w:tc>
        <w:tc>
          <w:tcPr>
            <w:tcW w:w="1279" w:type="dxa"/>
            <w:vAlign w:val="top"/>
          </w:tcPr>
          <w:p>
            <w:pPr>
              <w:pStyle w:val="TableText"/>
              <w:ind w:left="370"/>
              <w:spacing w:before="266" w:line="219" w:lineRule="auto"/>
              <w:rPr>
                <w:sz w:val="17"/>
                <w:szCs w:val="17"/>
              </w:rPr>
            </w:pPr>
            <w:r>
              <w:rPr>
                <w:sz w:val="17"/>
                <w:szCs w:val="17"/>
                <w:spacing w:val="-2"/>
              </w:rPr>
              <w:t>教育准</w:t>
            </w:r>
          </w:p>
        </w:tc>
        <w:tc>
          <w:tcPr>
            <w:tcW w:w="1638" w:type="dxa"/>
            <w:vAlign w:val="top"/>
          </w:tcPr>
          <w:p>
            <w:pPr>
              <w:pStyle w:val="TableText"/>
              <w:ind w:left="32"/>
              <w:spacing w:before="266" w:line="219" w:lineRule="auto"/>
              <w:rPr>
                <w:sz w:val="17"/>
                <w:szCs w:val="17"/>
              </w:rPr>
            </w:pPr>
            <w:r>
              <w:rPr>
                <w:sz w:val="17"/>
                <w:szCs w:val="17"/>
                <w:spacing w:val="-1"/>
              </w:rPr>
              <w:t>检车使刑许可</w:t>
            </w:r>
          </w:p>
        </w:tc>
        <w:tc>
          <w:tcPr>
            <w:tcW w:w="2357" w:type="dxa"/>
            <w:vAlign w:val="top"/>
          </w:tcPr>
          <w:p>
            <w:pPr>
              <w:pStyle w:val="TableText"/>
              <w:ind w:left="14" w:firstLine="9"/>
              <w:spacing w:before="66" w:line="220" w:lineRule="auto"/>
              <w:jc w:val="both"/>
              <w:rPr>
                <w:sz w:val="17"/>
                <w:szCs w:val="17"/>
              </w:rPr>
            </w:pPr>
            <w:r>
              <w:rPr>
                <w:sz w:val="17"/>
                <w:szCs w:val="17"/>
                <w:spacing w:val="-1"/>
              </w:rPr>
              <w:t>设区的市级，县级战购(由教置</w:t>
            </w:r>
            <w:r>
              <w:rPr>
                <w:sz w:val="17"/>
                <w:szCs w:val="17"/>
              </w:rPr>
              <w:t xml:space="preserve"> </w:t>
            </w:r>
            <w:r>
              <w:rPr>
                <w:sz w:val="17"/>
                <w:szCs w:val="17"/>
                <w:spacing w:val="-4"/>
              </w:rPr>
              <w:t>都门会同公发机关、空道运输都</w:t>
            </w:r>
            <w:r>
              <w:rPr>
                <w:sz w:val="17"/>
                <w:szCs w:val="17"/>
                <w:spacing w:val="7"/>
              </w:rPr>
              <w:t xml:space="preserve"> </w:t>
            </w:r>
            <w:r>
              <w:rPr>
                <w:sz w:val="17"/>
                <w:szCs w:val="17"/>
                <w:spacing w:val="17"/>
              </w:rPr>
              <w:t>门重办)</w:t>
            </w:r>
          </w:p>
        </w:tc>
        <w:tc>
          <w:tcPr>
            <w:tcW w:w="3721" w:type="dxa"/>
            <w:vAlign w:val="top"/>
          </w:tcPr>
          <w:p>
            <w:pPr>
              <w:pStyle w:val="TableText"/>
              <w:spacing w:before="266" w:line="219" w:lineRule="auto"/>
              <w:rPr>
                <w:sz w:val="17"/>
                <w:szCs w:val="17"/>
              </w:rPr>
            </w:pPr>
            <w:r>
              <w:rPr>
                <w:sz w:val="17"/>
                <w:szCs w:val="17"/>
                <w:spacing w:val="-1"/>
              </w:rPr>
              <w:t>《校平安全管理多例1</w:t>
            </w:r>
          </w:p>
        </w:tc>
      </w:tr>
    </w:tbl>
    <w:p>
      <w:pPr>
        <w:pStyle w:val="BodyText"/>
        <w:rPr/>
      </w:pPr>
      <w:r/>
    </w:p>
    <w:p>
      <w:pPr>
        <w:sectPr>
          <w:pgSz w:w="11910" w:h="8220"/>
          <w:pgMar w:top="400" w:right="117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23104"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66" name="TextBox 166"/>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8" style="position:absolute;margin-left:36.1352pt;margin-top:49.3939pt;mso-position-vertical-relative:page;mso-position-horizontal-relative:page;width:13.8pt;height:13pt;z-index:251823104;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164</w:t>
                      </w:r>
                    </w:p>
                  </w:txbxContent>
                </v:textbox>
              </v:shape>
            </w:pict>
          </mc:Fallback>
        </mc:AlternateContent>
      </w:r>
      <w:r/>
    </w:p>
    <w:tbl>
      <w:tblPr>
        <w:tblStyle w:val="TableNormal"/>
        <w:tblW w:w="9584"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8"/>
        <w:gridCol w:w="3705"/>
      </w:tblGrid>
      <w:tr>
        <w:trPr>
          <w:trHeight w:val="425" w:hRule="atLeast"/>
        </w:trPr>
        <w:tc>
          <w:tcPr>
            <w:tcW w:w="574" w:type="dxa"/>
            <w:vAlign w:val="top"/>
          </w:tcPr>
          <w:p>
            <w:pPr>
              <w:pStyle w:val="TableText"/>
              <w:ind w:left="104"/>
              <w:spacing w:before="132" w:line="221" w:lineRule="auto"/>
              <w:rPr>
                <w:sz w:val="17"/>
                <w:szCs w:val="17"/>
              </w:rPr>
            </w:pPr>
            <w:r>
              <w:rPr>
                <w:sz w:val="17"/>
                <w:szCs w:val="17"/>
                <w:spacing w:val="5"/>
              </w:rPr>
              <w:t>厚号</w:t>
            </w:r>
          </w:p>
        </w:tc>
        <w:tc>
          <w:tcPr>
            <w:tcW w:w="1299" w:type="dxa"/>
            <w:vAlign w:val="top"/>
          </w:tcPr>
          <w:p>
            <w:pPr>
              <w:pStyle w:val="TableText"/>
              <w:ind w:left="130"/>
              <w:spacing w:before="132" w:line="219" w:lineRule="auto"/>
              <w:rPr>
                <w:sz w:val="17"/>
                <w:szCs w:val="17"/>
              </w:rPr>
            </w:pPr>
            <w:r>
              <w:rPr>
                <w:sz w:val="17"/>
                <w:szCs w:val="17"/>
                <w:spacing w:val="3"/>
              </w:rPr>
              <w:t>中央主督部门</w:t>
            </w:r>
          </w:p>
        </w:tc>
        <w:tc>
          <w:tcPr>
            <w:tcW w:w="1638" w:type="dxa"/>
            <w:vAlign w:val="top"/>
          </w:tcPr>
          <w:p>
            <w:pPr>
              <w:pStyle w:val="TableText"/>
              <w:ind w:left="471"/>
              <w:spacing w:before="132" w:line="220" w:lineRule="auto"/>
              <w:rPr>
                <w:sz w:val="17"/>
                <w:szCs w:val="17"/>
              </w:rPr>
            </w:pPr>
            <w:r>
              <w:rPr>
                <w:sz w:val="17"/>
                <w:szCs w:val="17"/>
                <w:spacing w:val="-2"/>
              </w:rPr>
              <w:t>事填名韩</w:t>
            </w:r>
          </w:p>
        </w:tc>
        <w:tc>
          <w:tcPr>
            <w:tcW w:w="2368" w:type="dxa"/>
            <w:vAlign w:val="top"/>
          </w:tcPr>
          <w:p>
            <w:pPr>
              <w:pStyle w:val="TableText"/>
              <w:ind w:left="834"/>
              <w:spacing w:before="130" w:line="219" w:lineRule="auto"/>
              <w:rPr>
                <w:sz w:val="17"/>
                <w:szCs w:val="17"/>
              </w:rPr>
            </w:pPr>
            <w:r>
              <w:rPr>
                <w:sz w:val="17"/>
                <w:szCs w:val="17"/>
                <w:spacing w:val="-3"/>
              </w:rPr>
              <w:t>实胸机关</w:t>
            </w:r>
          </w:p>
        </w:tc>
        <w:tc>
          <w:tcPr>
            <w:tcW w:w="3705" w:type="dxa"/>
            <w:vAlign w:val="top"/>
          </w:tcPr>
          <w:p>
            <w:pPr>
              <w:pStyle w:val="TableText"/>
              <w:ind w:left="1278"/>
              <w:spacing w:before="128" w:line="219" w:lineRule="auto"/>
              <w:rPr>
                <w:sz w:val="17"/>
                <w:szCs w:val="17"/>
              </w:rPr>
            </w:pPr>
            <w:r>
              <w:rPr>
                <w:sz w:val="17"/>
                <w:szCs w:val="17"/>
                <w:b/>
                <w:bCs/>
                <w:spacing w:val="-3"/>
              </w:rPr>
              <w:t>设定和其施依据</w:t>
            </w:r>
          </w:p>
        </w:tc>
      </w:tr>
      <w:tr>
        <w:trPr>
          <w:trHeight w:val="689" w:hRule="atLeast"/>
        </w:trPr>
        <w:tc>
          <w:tcPr>
            <w:tcW w:w="574" w:type="dxa"/>
            <w:vAlign w:val="top"/>
          </w:tcPr>
          <w:p>
            <w:pPr>
              <w:spacing w:line="244" w:lineRule="auto"/>
              <w:rPr>
                <w:rFonts w:ascii="Arial"/>
                <w:sz w:val="21"/>
              </w:rPr>
            </w:pPr>
            <w:r/>
          </w:p>
          <w:p>
            <w:pPr>
              <w:pStyle w:val="TableText"/>
              <w:ind w:left="234"/>
              <w:spacing w:before="55" w:line="183" w:lineRule="auto"/>
              <w:rPr>
                <w:sz w:val="17"/>
                <w:szCs w:val="17"/>
              </w:rPr>
            </w:pPr>
            <w:r>
              <w:rPr>
                <w:sz w:val="17"/>
                <w:szCs w:val="17"/>
              </w:rPr>
              <w:t>2</w:t>
            </w:r>
          </w:p>
        </w:tc>
        <w:tc>
          <w:tcPr>
            <w:tcW w:w="1299" w:type="dxa"/>
            <w:vAlign w:val="top"/>
          </w:tcPr>
          <w:p>
            <w:pPr>
              <w:pStyle w:val="TableText"/>
              <w:ind w:left="380"/>
              <w:spacing w:before="257" w:line="219" w:lineRule="auto"/>
              <w:rPr>
                <w:sz w:val="17"/>
                <w:szCs w:val="17"/>
              </w:rPr>
            </w:pPr>
            <w:r>
              <w:rPr>
                <w:sz w:val="17"/>
                <w:szCs w:val="17"/>
                <w:spacing w:val="-2"/>
              </w:rPr>
              <w:t>被育能</w:t>
            </w:r>
          </w:p>
        </w:tc>
        <w:tc>
          <w:tcPr>
            <w:tcW w:w="1638" w:type="dxa"/>
            <w:vAlign w:val="top"/>
          </w:tcPr>
          <w:p>
            <w:pPr>
              <w:pStyle w:val="TableText"/>
              <w:ind w:left="52"/>
              <w:spacing w:before="257" w:line="219" w:lineRule="auto"/>
              <w:rPr>
                <w:sz w:val="17"/>
                <w:szCs w:val="17"/>
              </w:rPr>
            </w:pPr>
            <w:r>
              <w:rPr>
                <w:sz w:val="17"/>
                <w:szCs w:val="17"/>
                <w:spacing w:val="-2"/>
              </w:rPr>
              <w:t>教师资格认定</w:t>
            </w:r>
          </w:p>
        </w:tc>
        <w:tc>
          <w:tcPr>
            <w:tcW w:w="2368" w:type="dxa"/>
            <w:vAlign w:val="top"/>
          </w:tcPr>
          <w:p>
            <w:pPr>
              <w:pStyle w:val="TableText"/>
              <w:ind w:left="53" w:hanging="9"/>
              <w:spacing w:before="167" w:line="218" w:lineRule="auto"/>
              <w:rPr>
                <w:sz w:val="17"/>
                <w:szCs w:val="17"/>
              </w:rPr>
            </w:pPr>
            <w:r>
              <w:rPr>
                <w:sz w:val="17"/>
                <w:szCs w:val="17"/>
                <w:spacing w:val="-17"/>
              </w:rPr>
              <w:t>数查据；省级，设</w:t>
            </w:r>
            <w:r>
              <w:rPr>
                <w:sz w:val="17"/>
                <w:szCs w:val="17"/>
                <w:spacing w:val="-16"/>
              </w:rPr>
              <w:t>区龄内划，县</w:t>
            </w:r>
            <w:r>
              <w:rPr>
                <w:sz w:val="17"/>
                <w:szCs w:val="17"/>
                <w:spacing w:val="-8"/>
              </w:rPr>
              <w:t>风</w:t>
            </w:r>
            <w:r>
              <w:rPr>
                <w:sz w:val="17"/>
                <w:szCs w:val="17"/>
                <w:spacing w:val="2"/>
              </w:rPr>
              <w:t xml:space="preserve"> </w:t>
            </w:r>
            <w:r>
              <w:rPr>
                <w:sz w:val="17"/>
                <w:szCs w:val="17"/>
                <w:spacing w:val="4"/>
              </w:rPr>
              <w:t>教有部门</w:t>
            </w:r>
          </w:p>
        </w:tc>
        <w:tc>
          <w:tcPr>
            <w:tcW w:w="3705" w:type="dxa"/>
            <w:vAlign w:val="top"/>
          </w:tcPr>
          <w:p>
            <w:pPr>
              <w:pStyle w:val="TableText"/>
              <w:ind w:left="82"/>
              <w:spacing w:before="66" w:line="228" w:lineRule="auto"/>
              <w:rPr>
                <w:sz w:val="17"/>
                <w:szCs w:val="17"/>
              </w:rPr>
            </w:pPr>
            <w:r>
              <w:rPr>
                <w:sz w:val="17"/>
                <w:szCs w:val="17"/>
                <w:spacing w:val="-4"/>
              </w:rPr>
              <w:t>1中华人民共和国较鼻法》</w:t>
            </w:r>
          </w:p>
          <w:p>
            <w:pPr>
              <w:pStyle w:val="TableText"/>
              <w:spacing w:line="216" w:lineRule="auto"/>
              <w:rPr>
                <w:sz w:val="17"/>
                <w:szCs w:val="17"/>
              </w:rPr>
            </w:pPr>
            <w:r>
              <w:rPr>
                <w:sz w:val="17"/>
                <w:szCs w:val="17"/>
                <w:spacing w:val="-6"/>
              </w:rPr>
              <w:t>《就备登格条的》</w:t>
            </w:r>
          </w:p>
          <w:p>
            <w:pPr>
              <w:pStyle w:val="TableText"/>
              <w:spacing w:line="218" w:lineRule="auto"/>
              <w:rPr>
                <w:sz w:val="17"/>
                <w:szCs w:val="17"/>
              </w:rPr>
            </w:pPr>
            <w:r>
              <w:rPr>
                <w:sz w:val="17"/>
                <w:szCs w:val="17"/>
                <w:spacing w:val="-1"/>
              </w:rPr>
              <w:t>《国家职豪野将日果(2021年  ))</w:t>
            </w:r>
          </w:p>
        </w:tc>
      </w:tr>
      <w:tr>
        <w:trPr>
          <w:trHeight w:val="679" w:hRule="atLeast"/>
        </w:trPr>
        <w:tc>
          <w:tcPr>
            <w:tcW w:w="574" w:type="dxa"/>
            <w:vAlign w:val="top"/>
          </w:tcPr>
          <w:p>
            <w:pPr>
              <w:spacing w:line="244" w:lineRule="auto"/>
              <w:rPr>
                <w:rFonts w:ascii="Arial"/>
                <w:sz w:val="21"/>
              </w:rPr>
            </w:pPr>
            <w:r/>
          </w:p>
          <w:p>
            <w:pPr>
              <w:pStyle w:val="TableText"/>
              <w:ind w:left="234"/>
              <w:spacing w:before="55" w:line="184" w:lineRule="auto"/>
              <w:rPr>
                <w:sz w:val="17"/>
                <w:szCs w:val="17"/>
              </w:rPr>
            </w:pPr>
            <w:r>
              <w:rPr>
                <w:sz w:val="17"/>
                <w:szCs w:val="17"/>
              </w:rPr>
              <w:t>A</w:t>
            </w:r>
          </w:p>
        </w:tc>
        <w:tc>
          <w:tcPr>
            <w:tcW w:w="1299" w:type="dxa"/>
            <w:vAlign w:val="top"/>
          </w:tcPr>
          <w:p>
            <w:pPr>
              <w:pStyle w:val="TableText"/>
              <w:ind w:left="380"/>
              <w:spacing w:before="258" w:line="219" w:lineRule="auto"/>
              <w:rPr>
                <w:sz w:val="17"/>
                <w:szCs w:val="17"/>
              </w:rPr>
            </w:pPr>
            <w:r>
              <w:rPr>
                <w:sz w:val="17"/>
                <w:szCs w:val="17"/>
                <w:spacing w:val="-2"/>
              </w:rPr>
              <w:t>教育部</w:t>
            </w:r>
          </w:p>
        </w:tc>
        <w:tc>
          <w:tcPr>
            <w:tcW w:w="1638" w:type="dxa"/>
            <w:vAlign w:val="top"/>
          </w:tcPr>
          <w:p>
            <w:pPr>
              <w:pStyle w:val="TableText"/>
              <w:ind w:left="42" w:right="62"/>
              <w:spacing w:before="66" w:line="218" w:lineRule="auto"/>
              <w:jc w:val="both"/>
              <w:rPr>
                <w:sz w:val="17"/>
                <w:szCs w:val="17"/>
              </w:rPr>
            </w:pPr>
            <w:r>
              <w:rPr>
                <w:sz w:val="17"/>
                <w:szCs w:val="17"/>
                <w:spacing w:val="-1"/>
              </w:rPr>
              <w:t>适龄儿童，少年因身</w:t>
            </w:r>
            <w:r>
              <w:rPr>
                <w:sz w:val="17"/>
                <w:szCs w:val="17"/>
                <w:spacing w:val="1"/>
              </w:rPr>
              <w:t xml:space="preserve"> </w:t>
            </w:r>
            <w:r>
              <w:rPr>
                <w:sz w:val="17"/>
                <w:szCs w:val="17"/>
                <w:spacing w:val="-1"/>
              </w:rPr>
              <w:t>体状况需要超屋入学</w:t>
            </w:r>
            <w:r>
              <w:rPr>
                <w:sz w:val="17"/>
                <w:szCs w:val="17"/>
                <w:spacing w:val="1"/>
              </w:rPr>
              <w:t xml:space="preserve"> </w:t>
            </w:r>
            <w:r>
              <w:rPr>
                <w:sz w:val="17"/>
                <w:szCs w:val="17"/>
              </w:rPr>
              <w:t>屋者体学审批</w:t>
            </w:r>
          </w:p>
        </w:tc>
        <w:tc>
          <w:tcPr>
            <w:tcW w:w="2368" w:type="dxa"/>
            <w:vAlign w:val="top"/>
          </w:tcPr>
          <w:p>
            <w:pPr>
              <w:pStyle w:val="TableText"/>
              <w:ind w:left="54"/>
              <w:spacing w:before="258" w:line="219" w:lineRule="auto"/>
              <w:rPr>
                <w:sz w:val="17"/>
                <w:szCs w:val="17"/>
              </w:rPr>
            </w:pPr>
            <w:r>
              <w:rPr>
                <w:sz w:val="17"/>
                <w:szCs w:val="17"/>
                <w:spacing w:val="1"/>
              </w:rPr>
              <w:t>是理敢育园门：多镶战明</w:t>
            </w:r>
          </w:p>
        </w:tc>
        <w:tc>
          <w:tcPr>
            <w:tcW w:w="3705" w:type="dxa"/>
            <w:vAlign w:val="top"/>
          </w:tcPr>
          <w:p>
            <w:pPr>
              <w:pStyle w:val="TableText"/>
              <w:spacing w:before="258" w:line="219" w:lineRule="auto"/>
              <w:rPr>
                <w:sz w:val="17"/>
                <w:szCs w:val="17"/>
              </w:rPr>
            </w:pPr>
            <w:r>
              <w:rPr>
                <w:sz w:val="17"/>
                <w:szCs w:val="17"/>
                <w:spacing w:val="-5"/>
              </w:rPr>
              <w:t>《中华人民共和润义务教育法》</w:t>
            </w:r>
          </w:p>
        </w:tc>
      </w:tr>
      <w:tr>
        <w:trPr>
          <w:trHeight w:val="479" w:hRule="atLeast"/>
        </w:trPr>
        <w:tc>
          <w:tcPr>
            <w:tcW w:w="574" w:type="dxa"/>
            <w:vAlign w:val="top"/>
          </w:tcPr>
          <w:p>
            <w:pPr>
              <w:rPr>
                <w:rFonts w:ascii="Arial"/>
                <w:sz w:val="21"/>
              </w:rPr>
            </w:pPr>
            <w:r/>
          </w:p>
        </w:tc>
        <w:tc>
          <w:tcPr>
            <w:tcW w:w="1299" w:type="dxa"/>
            <w:vAlign w:val="top"/>
          </w:tcPr>
          <w:p>
            <w:pPr>
              <w:pStyle w:val="TableText"/>
              <w:ind w:left="380"/>
              <w:spacing w:before="157" w:line="219" w:lineRule="auto"/>
              <w:rPr>
                <w:sz w:val="17"/>
                <w:szCs w:val="17"/>
              </w:rPr>
            </w:pPr>
            <w:r>
              <w:rPr>
                <w:sz w:val="17"/>
                <w:szCs w:val="17"/>
                <w:spacing w:val="-2"/>
              </w:rPr>
              <w:t>科技都</w:t>
            </w:r>
          </w:p>
        </w:tc>
        <w:tc>
          <w:tcPr>
            <w:tcW w:w="1638" w:type="dxa"/>
            <w:vAlign w:val="top"/>
          </w:tcPr>
          <w:p>
            <w:pPr>
              <w:pStyle w:val="TableText"/>
              <w:ind w:left="42" w:right="48"/>
              <w:spacing w:before="58" w:line="223" w:lineRule="auto"/>
              <w:rPr>
                <w:sz w:val="17"/>
                <w:szCs w:val="17"/>
              </w:rPr>
            </w:pPr>
            <w:r>
              <w:rPr>
                <w:sz w:val="17"/>
                <w:szCs w:val="17"/>
              </w:rPr>
              <w:t>中国人类清传资需采</w:t>
            </w:r>
            <w:r>
              <w:rPr>
                <w:sz w:val="17"/>
                <w:szCs w:val="17"/>
                <w:spacing w:val="6"/>
              </w:rPr>
              <w:t xml:space="preserve"> </w:t>
            </w:r>
            <w:r>
              <w:rPr>
                <w:sz w:val="17"/>
                <w:szCs w:val="17"/>
                <w:spacing w:val="-2"/>
              </w:rPr>
              <w:t>集审批</w:t>
            </w:r>
          </w:p>
        </w:tc>
        <w:tc>
          <w:tcPr>
            <w:tcW w:w="2368" w:type="dxa"/>
            <w:vAlign w:val="top"/>
          </w:tcPr>
          <w:p>
            <w:pPr>
              <w:pStyle w:val="TableText"/>
              <w:ind w:left="54"/>
              <w:spacing w:before="157" w:line="219" w:lineRule="auto"/>
              <w:rPr>
                <w:sz w:val="17"/>
                <w:szCs w:val="17"/>
              </w:rPr>
            </w:pPr>
            <w:r>
              <w:rPr>
                <w:sz w:val="17"/>
                <w:szCs w:val="17"/>
                <w:spacing w:val="-2"/>
              </w:rPr>
              <w:t>科技部</w:t>
            </w:r>
          </w:p>
        </w:tc>
        <w:tc>
          <w:tcPr>
            <w:tcW w:w="3705" w:type="dxa"/>
            <w:vAlign w:val="top"/>
          </w:tcPr>
          <w:p>
            <w:pPr>
              <w:pStyle w:val="TableText"/>
              <w:spacing w:before="69" w:line="194" w:lineRule="auto"/>
              <w:rPr>
                <w:sz w:val="17"/>
                <w:szCs w:val="17"/>
              </w:rPr>
            </w:pPr>
            <w:r>
              <w:rPr>
                <w:sz w:val="17"/>
                <w:szCs w:val="17"/>
                <w:spacing w:val="-5"/>
              </w:rPr>
              <w:t>《中华入民北和国生物安全法》</w:t>
            </w:r>
          </w:p>
          <w:p>
            <w:pPr>
              <w:pStyle w:val="TableText"/>
              <w:spacing w:line="218" w:lineRule="auto"/>
              <w:rPr>
                <w:sz w:val="17"/>
                <w:szCs w:val="17"/>
              </w:rPr>
            </w:pPr>
            <w:r>
              <w:rPr>
                <w:sz w:val="17"/>
                <w:szCs w:val="17"/>
                <w:spacing w:val="-3"/>
              </w:rPr>
              <w:t>《中华入民共和国人类速传费瓷管理条刻!</w:t>
            </w:r>
          </w:p>
        </w:tc>
      </w:tr>
      <w:tr>
        <w:trPr>
          <w:trHeight w:val="479" w:hRule="atLeast"/>
        </w:trPr>
        <w:tc>
          <w:tcPr>
            <w:tcW w:w="574" w:type="dxa"/>
            <w:vAlign w:val="top"/>
          </w:tcPr>
          <w:p>
            <w:pPr>
              <w:pStyle w:val="TableText"/>
              <w:ind w:left="234"/>
              <w:spacing w:before="203" w:line="183" w:lineRule="auto"/>
              <w:rPr>
                <w:sz w:val="17"/>
                <w:szCs w:val="17"/>
              </w:rPr>
            </w:pPr>
            <w:r>
              <w:rPr>
                <w:sz w:val="17"/>
                <w:szCs w:val="17"/>
              </w:rPr>
              <w:t>6</w:t>
            </w:r>
          </w:p>
        </w:tc>
        <w:tc>
          <w:tcPr>
            <w:tcW w:w="1299" w:type="dxa"/>
            <w:vAlign w:val="top"/>
          </w:tcPr>
          <w:p>
            <w:pPr>
              <w:pStyle w:val="TableText"/>
              <w:ind w:left="380"/>
              <w:spacing w:before="158" w:line="219" w:lineRule="auto"/>
              <w:rPr>
                <w:sz w:val="17"/>
                <w:szCs w:val="17"/>
              </w:rPr>
            </w:pPr>
            <w:r>
              <w:rPr>
                <w:sz w:val="17"/>
                <w:szCs w:val="17"/>
                <w:spacing w:val="-2"/>
              </w:rPr>
              <w:t>科技部</w:t>
            </w:r>
          </w:p>
        </w:tc>
        <w:tc>
          <w:tcPr>
            <w:tcW w:w="1638" w:type="dxa"/>
            <w:vAlign w:val="top"/>
          </w:tcPr>
          <w:p>
            <w:pPr>
              <w:pStyle w:val="TableText"/>
              <w:ind w:left="42" w:right="46"/>
              <w:spacing w:before="78" w:line="212" w:lineRule="auto"/>
              <w:rPr>
                <w:sz w:val="17"/>
                <w:szCs w:val="17"/>
              </w:rPr>
            </w:pPr>
            <w:r>
              <w:rPr>
                <w:sz w:val="17"/>
                <w:szCs w:val="17"/>
                <w:spacing w:val="1"/>
              </w:rPr>
              <w:t>中国人类属传责源架</w:t>
            </w:r>
            <w:r>
              <w:rPr>
                <w:sz w:val="17"/>
                <w:szCs w:val="17"/>
              </w:rPr>
              <w:t xml:space="preserve"> </w:t>
            </w:r>
            <w:r>
              <w:rPr>
                <w:sz w:val="17"/>
                <w:szCs w:val="17"/>
                <w:spacing w:val="-2"/>
              </w:rPr>
              <w:t>藏审批</w:t>
            </w:r>
          </w:p>
        </w:tc>
        <w:tc>
          <w:tcPr>
            <w:tcW w:w="2368" w:type="dxa"/>
            <w:vAlign w:val="top"/>
          </w:tcPr>
          <w:p>
            <w:pPr>
              <w:pStyle w:val="TableText"/>
              <w:ind w:left="54"/>
              <w:spacing w:before="158" w:line="219" w:lineRule="auto"/>
              <w:rPr>
                <w:sz w:val="17"/>
                <w:szCs w:val="17"/>
              </w:rPr>
            </w:pPr>
            <w:r>
              <w:rPr>
                <w:sz w:val="17"/>
                <w:szCs w:val="17"/>
                <w:spacing w:val="-2"/>
              </w:rPr>
              <w:t>科技部</w:t>
            </w:r>
          </w:p>
        </w:tc>
        <w:tc>
          <w:tcPr>
            <w:tcW w:w="3705" w:type="dxa"/>
            <w:vAlign w:val="top"/>
          </w:tcPr>
          <w:p>
            <w:pPr>
              <w:pStyle w:val="TableText"/>
              <w:spacing w:before="50" w:line="219" w:lineRule="auto"/>
              <w:rPr>
                <w:sz w:val="17"/>
                <w:szCs w:val="17"/>
              </w:rPr>
            </w:pPr>
            <w:r>
              <w:rPr>
                <w:sz w:val="17"/>
                <w:szCs w:val="17"/>
                <w:spacing w:val="-5"/>
              </w:rPr>
              <w:t>《中华人民共和国生装安全法》</w:t>
            </w:r>
          </w:p>
          <w:p>
            <w:pPr>
              <w:pStyle w:val="TableText"/>
              <w:spacing w:before="7" w:line="219" w:lineRule="auto"/>
              <w:rPr>
                <w:sz w:val="17"/>
                <w:szCs w:val="17"/>
              </w:rPr>
            </w:pPr>
            <w:r>
              <w:rPr>
                <w:sz w:val="17"/>
                <w:szCs w:val="17"/>
                <w:spacing w:val="-3"/>
              </w:rPr>
              <w:t>《中作人民其和国人类造传资尊骨理条句!</w:t>
            </w:r>
          </w:p>
        </w:tc>
      </w:tr>
      <w:tr>
        <w:trPr>
          <w:trHeight w:val="679" w:hRule="atLeast"/>
        </w:trPr>
        <w:tc>
          <w:tcPr>
            <w:tcW w:w="574" w:type="dxa"/>
            <w:vAlign w:val="top"/>
          </w:tcPr>
          <w:p>
            <w:pPr>
              <w:spacing w:line="248" w:lineRule="auto"/>
              <w:rPr>
                <w:rFonts w:ascii="Arial"/>
                <w:sz w:val="21"/>
              </w:rPr>
            </w:pPr>
            <w:r/>
          </w:p>
          <w:p>
            <w:pPr>
              <w:pStyle w:val="TableText"/>
              <w:ind w:left="194"/>
              <w:spacing w:before="55" w:line="183" w:lineRule="auto"/>
              <w:rPr>
                <w:sz w:val="17"/>
                <w:szCs w:val="17"/>
              </w:rPr>
            </w:pPr>
            <w:r>
              <w:rPr>
                <w:sz w:val="17"/>
                <w:szCs w:val="17"/>
                <w:spacing w:val="-3"/>
              </w:rPr>
              <w:t>27</w:t>
            </w:r>
          </w:p>
        </w:tc>
        <w:tc>
          <w:tcPr>
            <w:tcW w:w="1299" w:type="dxa"/>
            <w:vAlign w:val="top"/>
          </w:tcPr>
          <w:p>
            <w:pPr>
              <w:pStyle w:val="TableText"/>
              <w:ind w:left="380"/>
              <w:spacing w:before="259" w:line="219" w:lineRule="auto"/>
              <w:rPr>
                <w:sz w:val="17"/>
                <w:szCs w:val="17"/>
              </w:rPr>
            </w:pPr>
            <w:r>
              <w:rPr>
                <w:sz w:val="17"/>
                <w:szCs w:val="17"/>
                <w:spacing w:val="-2"/>
              </w:rPr>
              <w:t>科技部</w:t>
            </w:r>
          </w:p>
        </w:tc>
        <w:tc>
          <w:tcPr>
            <w:tcW w:w="1638" w:type="dxa"/>
            <w:vAlign w:val="top"/>
          </w:tcPr>
          <w:p>
            <w:pPr>
              <w:pStyle w:val="TableText"/>
              <w:ind w:left="42" w:right="63"/>
              <w:spacing w:before="80" w:line="213" w:lineRule="auto"/>
              <w:jc w:val="both"/>
              <w:rPr>
                <w:sz w:val="17"/>
                <w:szCs w:val="17"/>
              </w:rPr>
            </w:pPr>
            <w:r>
              <w:rPr>
                <w:sz w:val="17"/>
                <w:szCs w:val="17"/>
                <w:spacing w:val="-1"/>
              </w:rPr>
              <w:t>利用中国人类澄传暨</w:t>
            </w:r>
            <w:r>
              <w:rPr>
                <w:sz w:val="17"/>
                <w:szCs w:val="17"/>
              </w:rPr>
              <w:t xml:space="preserve"> </w:t>
            </w:r>
            <w:r>
              <w:rPr>
                <w:sz w:val="17"/>
                <w:szCs w:val="17"/>
                <w:spacing w:val="-1"/>
              </w:rPr>
              <w:t>草开展国际科学研究</w:t>
            </w:r>
            <w:r>
              <w:rPr>
                <w:sz w:val="17"/>
                <w:szCs w:val="17"/>
              </w:rPr>
              <w:t xml:space="preserve"> </w:t>
            </w:r>
            <w:r>
              <w:rPr>
                <w:sz w:val="17"/>
                <w:szCs w:val="17"/>
                <w:spacing w:val="-4"/>
              </w:rPr>
              <w:t>合</w:t>
            </w:r>
            <w:r>
              <w:rPr>
                <w:sz w:val="17"/>
                <w:szCs w:val="17"/>
                <w:spacing w:val="10"/>
              </w:rPr>
              <w:t xml:space="preserve"> </w:t>
            </w:r>
            <w:r>
              <w:rPr>
                <w:sz w:val="17"/>
                <w:szCs w:val="17"/>
                <w:spacing w:val="-4"/>
              </w:rPr>
              <w:t>作律批</w:t>
            </w:r>
          </w:p>
        </w:tc>
        <w:tc>
          <w:tcPr>
            <w:tcW w:w="2368" w:type="dxa"/>
            <w:vAlign w:val="top"/>
          </w:tcPr>
          <w:p>
            <w:pPr>
              <w:pStyle w:val="TableText"/>
              <w:ind w:left="54"/>
              <w:spacing w:before="259" w:line="219" w:lineRule="auto"/>
              <w:rPr>
                <w:sz w:val="17"/>
                <w:szCs w:val="17"/>
              </w:rPr>
            </w:pPr>
            <w:r>
              <w:rPr>
                <w:sz w:val="17"/>
                <w:szCs w:val="17"/>
                <w:spacing w:val="-2"/>
              </w:rPr>
              <w:t>科获部</w:t>
            </w:r>
          </w:p>
        </w:tc>
        <w:tc>
          <w:tcPr>
            <w:tcW w:w="3705" w:type="dxa"/>
            <w:vAlign w:val="top"/>
          </w:tcPr>
          <w:p>
            <w:pPr>
              <w:pStyle w:val="TableText"/>
              <w:spacing w:before="170" w:line="217" w:lineRule="auto"/>
              <w:rPr>
                <w:sz w:val="17"/>
                <w:szCs w:val="17"/>
              </w:rPr>
            </w:pPr>
            <w:r>
              <w:rPr>
                <w:sz w:val="17"/>
                <w:szCs w:val="17"/>
                <w:spacing w:val="-4"/>
              </w:rPr>
              <w:t>《中华人瓦共和国生物室全法1</w:t>
            </w:r>
          </w:p>
          <w:p>
            <w:pPr>
              <w:pStyle w:val="TableText"/>
              <w:spacing w:line="218" w:lineRule="auto"/>
              <w:rPr>
                <w:sz w:val="17"/>
                <w:szCs w:val="17"/>
              </w:rPr>
            </w:pPr>
            <w:r>
              <w:rPr>
                <w:sz w:val="17"/>
                <w:szCs w:val="17"/>
                <w:spacing w:val="-4"/>
              </w:rPr>
              <w:t>《中华人民共和国人类造传资源分理条侧</w:t>
            </w:r>
          </w:p>
        </w:tc>
      </w:tr>
      <w:tr>
        <w:trPr>
          <w:trHeight w:val="479" w:hRule="atLeast"/>
        </w:trPr>
        <w:tc>
          <w:tcPr>
            <w:tcW w:w="574" w:type="dxa"/>
            <w:vAlign w:val="top"/>
          </w:tcPr>
          <w:p>
            <w:pPr>
              <w:pStyle w:val="TableText"/>
              <w:ind w:left="194"/>
              <w:spacing w:before="178" w:line="239" w:lineRule="auto"/>
              <w:rPr>
                <w:sz w:val="17"/>
                <w:szCs w:val="17"/>
              </w:rPr>
            </w:pPr>
            <w:r>
              <w:rPr>
                <w:sz w:val="17"/>
                <w:szCs w:val="17"/>
                <w:spacing w:val="-5"/>
              </w:rPr>
              <w:t>?P</w:t>
            </w:r>
          </w:p>
        </w:tc>
        <w:tc>
          <w:tcPr>
            <w:tcW w:w="1299" w:type="dxa"/>
            <w:vAlign w:val="top"/>
          </w:tcPr>
          <w:p>
            <w:pPr>
              <w:pStyle w:val="TableText"/>
              <w:ind w:left="380"/>
              <w:spacing w:before="160" w:line="219" w:lineRule="auto"/>
              <w:rPr>
                <w:sz w:val="17"/>
                <w:szCs w:val="17"/>
              </w:rPr>
            </w:pPr>
            <w:r>
              <w:rPr>
                <w:sz w:val="17"/>
                <w:szCs w:val="17"/>
                <w:spacing w:val="-2"/>
              </w:rPr>
              <w:t>科技前</w:t>
            </w:r>
          </w:p>
        </w:tc>
        <w:tc>
          <w:tcPr>
            <w:tcW w:w="1638" w:type="dxa"/>
            <w:vAlign w:val="top"/>
          </w:tcPr>
          <w:p>
            <w:pPr>
              <w:pStyle w:val="TableText"/>
              <w:ind w:left="72" w:right="50" w:hanging="30"/>
              <w:spacing w:before="71" w:line="214" w:lineRule="auto"/>
              <w:rPr>
                <w:sz w:val="17"/>
                <w:szCs w:val="17"/>
              </w:rPr>
            </w:pPr>
            <w:r>
              <w:rPr>
                <w:sz w:val="17"/>
                <w:szCs w:val="17"/>
              </w:rPr>
              <w:t>中国人类增传资型材</w:t>
            </w:r>
            <w:r>
              <w:rPr>
                <w:sz w:val="17"/>
                <w:szCs w:val="17"/>
                <w:spacing w:val="4"/>
              </w:rPr>
              <w:t xml:space="preserve"> </w:t>
            </w:r>
            <w:r>
              <w:rPr>
                <w:sz w:val="17"/>
                <w:szCs w:val="17"/>
                <w:spacing w:val="-2"/>
              </w:rPr>
              <w:t>料出境审批</w:t>
            </w:r>
          </w:p>
        </w:tc>
        <w:tc>
          <w:tcPr>
            <w:tcW w:w="2368" w:type="dxa"/>
            <w:vAlign w:val="top"/>
          </w:tcPr>
          <w:p>
            <w:pPr>
              <w:pStyle w:val="TableText"/>
              <w:ind w:left="54"/>
              <w:spacing w:before="160" w:line="219" w:lineRule="auto"/>
              <w:rPr>
                <w:sz w:val="17"/>
                <w:szCs w:val="17"/>
              </w:rPr>
            </w:pPr>
            <w:r>
              <w:rPr>
                <w:sz w:val="17"/>
                <w:szCs w:val="17"/>
                <w:spacing w:val="-2"/>
              </w:rPr>
              <w:t>科技靠</w:t>
            </w:r>
          </w:p>
        </w:tc>
        <w:tc>
          <w:tcPr>
            <w:tcW w:w="3705" w:type="dxa"/>
            <w:vAlign w:val="top"/>
          </w:tcPr>
          <w:p>
            <w:pPr>
              <w:pStyle w:val="TableText"/>
              <w:ind w:left="35"/>
              <w:spacing w:before="71" w:line="206" w:lineRule="auto"/>
              <w:rPr>
                <w:sz w:val="17"/>
                <w:szCs w:val="17"/>
              </w:rPr>
            </w:pPr>
            <w:r>
              <w:rPr>
                <w:sz w:val="17"/>
                <w:szCs w:val="17"/>
                <w:spacing w:val="2"/>
              </w:rPr>
              <w:t>(中华人民共和国生装去全盐)</w:t>
            </w:r>
          </w:p>
          <w:p>
            <w:pPr>
              <w:pStyle w:val="TableText"/>
              <w:spacing w:line="218" w:lineRule="auto"/>
              <w:rPr>
                <w:sz w:val="17"/>
                <w:szCs w:val="17"/>
              </w:rPr>
            </w:pPr>
            <w:r>
              <w:rPr>
                <w:sz w:val="17"/>
                <w:szCs w:val="17"/>
                <w:spacing w:val="-4"/>
              </w:rPr>
              <w:t>《中华人民共和国人卖追传贸能管事务拥</w:t>
            </w:r>
          </w:p>
        </w:tc>
      </w:tr>
      <w:tr>
        <w:trPr>
          <w:trHeight w:val="469" w:hRule="atLeast"/>
        </w:trPr>
        <w:tc>
          <w:tcPr>
            <w:tcW w:w="574" w:type="dxa"/>
            <w:vAlign w:val="top"/>
          </w:tcPr>
          <w:p>
            <w:pPr>
              <w:pStyle w:val="TableText"/>
              <w:ind w:left="194"/>
              <w:spacing w:before="196" w:line="183" w:lineRule="auto"/>
              <w:rPr>
                <w:sz w:val="17"/>
                <w:szCs w:val="17"/>
              </w:rPr>
            </w:pPr>
            <w:r>
              <w:rPr>
                <w:sz w:val="17"/>
                <w:szCs w:val="17"/>
                <w:spacing w:val="-3"/>
              </w:rPr>
              <w:t>29</w:t>
            </w:r>
          </w:p>
        </w:tc>
        <w:tc>
          <w:tcPr>
            <w:tcW w:w="1299" w:type="dxa"/>
            <w:vAlign w:val="top"/>
          </w:tcPr>
          <w:p>
            <w:pPr>
              <w:pStyle w:val="TableText"/>
              <w:ind w:left="380"/>
              <w:spacing w:before="151" w:line="219" w:lineRule="auto"/>
              <w:rPr>
                <w:sz w:val="17"/>
                <w:szCs w:val="17"/>
              </w:rPr>
            </w:pPr>
            <w:r>
              <w:rPr>
                <w:sz w:val="17"/>
                <w:szCs w:val="17"/>
                <w:spacing w:val="-2"/>
              </w:rPr>
              <w:t>科技部</w:t>
            </w:r>
          </w:p>
        </w:tc>
        <w:tc>
          <w:tcPr>
            <w:tcW w:w="1638" w:type="dxa"/>
            <w:vAlign w:val="top"/>
          </w:tcPr>
          <w:p>
            <w:pPr>
              <w:pStyle w:val="TableText"/>
              <w:ind w:left="42" w:right="67"/>
              <w:spacing w:before="72" w:line="210" w:lineRule="auto"/>
              <w:rPr>
                <w:sz w:val="17"/>
                <w:szCs w:val="17"/>
              </w:rPr>
            </w:pPr>
            <w:r>
              <w:rPr>
                <w:sz w:val="17"/>
                <w:szCs w:val="17"/>
                <w:spacing w:val="-2"/>
              </w:rPr>
              <w:t>高等级胸原微生物实</w:t>
            </w:r>
            <w:r>
              <w:rPr>
                <w:sz w:val="17"/>
                <w:szCs w:val="17"/>
                <w:spacing w:val="5"/>
              </w:rPr>
              <w:t xml:space="preserve"> </w:t>
            </w:r>
            <w:r>
              <w:rPr>
                <w:sz w:val="17"/>
                <w:szCs w:val="17"/>
                <w:spacing w:val="-1"/>
              </w:rPr>
              <w:t>验室建设审意</w:t>
            </w:r>
          </w:p>
        </w:tc>
        <w:tc>
          <w:tcPr>
            <w:tcW w:w="2368" w:type="dxa"/>
            <w:vAlign w:val="top"/>
          </w:tcPr>
          <w:p>
            <w:pPr>
              <w:pStyle w:val="TableText"/>
              <w:ind w:left="54"/>
              <w:spacing w:before="151" w:line="219" w:lineRule="auto"/>
              <w:rPr>
                <w:sz w:val="17"/>
                <w:szCs w:val="17"/>
              </w:rPr>
            </w:pPr>
            <w:r>
              <w:rPr>
                <w:sz w:val="17"/>
                <w:szCs w:val="17"/>
                <w:spacing w:val="-2"/>
              </w:rPr>
              <w:t>科找部</w:t>
            </w:r>
          </w:p>
        </w:tc>
        <w:tc>
          <w:tcPr>
            <w:tcW w:w="3705" w:type="dxa"/>
            <w:vAlign w:val="top"/>
          </w:tcPr>
          <w:p>
            <w:pPr>
              <w:pStyle w:val="TableText"/>
              <w:spacing w:before="43" w:line="219" w:lineRule="auto"/>
              <w:rPr>
                <w:sz w:val="17"/>
                <w:szCs w:val="17"/>
              </w:rPr>
            </w:pPr>
            <w:r>
              <w:rPr>
                <w:sz w:val="17"/>
                <w:szCs w:val="17"/>
                <w:spacing w:val="2"/>
              </w:rPr>
              <w:t>《中华人民共和国生物安全法】</w:t>
            </w:r>
          </w:p>
          <w:p>
            <w:pPr>
              <w:pStyle w:val="TableText"/>
              <w:ind w:left="35"/>
              <w:spacing w:before="17" w:line="214" w:lineRule="auto"/>
              <w:rPr>
                <w:sz w:val="17"/>
                <w:szCs w:val="17"/>
              </w:rPr>
            </w:pPr>
            <w:r>
              <w:rPr>
                <w:sz w:val="17"/>
                <w:szCs w:val="17"/>
                <w:spacing w:val="1"/>
              </w:rPr>
              <w:t>病摩黄生物实验空生防安全青理条例)</w:t>
            </w:r>
          </w:p>
        </w:tc>
      </w:tr>
      <w:tr>
        <w:trPr>
          <w:trHeight w:val="1089" w:hRule="atLeast"/>
        </w:trPr>
        <w:tc>
          <w:tcPr>
            <w:tcW w:w="574" w:type="dxa"/>
            <w:vAlign w:val="top"/>
          </w:tcPr>
          <w:p>
            <w:pPr>
              <w:spacing w:line="406" w:lineRule="auto"/>
              <w:rPr>
                <w:rFonts w:ascii="Arial"/>
                <w:sz w:val="21"/>
              </w:rPr>
            </w:pPr>
            <w:r/>
          </w:p>
          <w:p>
            <w:pPr>
              <w:pStyle w:val="TableText"/>
              <w:ind w:left="194"/>
              <w:spacing w:before="56" w:line="220" w:lineRule="auto"/>
              <w:rPr>
                <w:sz w:val="17"/>
                <w:szCs w:val="17"/>
              </w:rPr>
            </w:pPr>
            <w:r>
              <w:rPr>
                <w:sz w:val="17"/>
                <w:szCs w:val="17"/>
              </w:rPr>
              <w:t>动</w:t>
            </w:r>
          </w:p>
        </w:tc>
        <w:tc>
          <w:tcPr>
            <w:tcW w:w="1299" w:type="dxa"/>
            <w:vAlign w:val="top"/>
          </w:tcPr>
          <w:p>
            <w:pPr>
              <w:spacing w:line="405" w:lineRule="auto"/>
              <w:rPr>
                <w:rFonts w:ascii="Arial"/>
                <w:sz w:val="21"/>
              </w:rPr>
            </w:pPr>
            <w:r/>
          </w:p>
          <w:p>
            <w:pPr>
              <w:pStyle w:val="TableText"/>
              <w:ind w:left="380"/>
              <w:spacing w:before="55" w:line="219" w:lineRule="auto"/>
              <w:rPr>
                <w:sz w:val="17"/>
                <w:szCs w:val="17"/>
              </w:rPr>
            </w:pPr>
            <w:r>
              <w:rPr>
                <w:sz w:val="17"/>
                <w:szCs w:val="17"/>
                <w:spacing w:val="-2"/>
              </w:rPr>
              <w:t>科找部</w:t>
            </w:r>
          </w:p>
        </w:tc>
        <w:tc>
          <w:tcPr>
            <w:tcW w:w="1638" w:type="dxa"/>
            <w:vAlign w:val="top"/>
          </w:tcPr>
          <w:p>
            <w:pPr>
              <w:spacing w:line="325" w:lineRule="auto"/>
              <w:rPr>
                <w:rFonts w:ascii="Arial"/>
                <w:sz w:val="21"/>
              </w:rPr>
            </w:pPr>
            <w:r/>
          </w:p>
          <w:p>
            <w:pPr>
              <w:pStyle w:val="TableText"/>
              <w:ind w:left="42" w:right="35"/>
              <w:spacing w:before="55" w:line="214" w:lineRule="auto"/>
              <w:rPr>
                <w:sz w:val="17"/>
                <w:szCs w:val="17"/>
              </w:rPr>
            </w:pPr>
            <w:r>
              <w:rPr>
                <w:sz w:val="17"/>
                <w:szCs w:val="17"/>
                <w:spacing w:val="2"/>
              </w:rPr>
              <w:t>实管功物生严，使用</w:t>
            </w:r>
            <w:r>
              <w:rPr>
                <w:sz w:val="17"/>
                <w:szCs w:val="17"/>
                <w:spacing w:val="1"/>
              </w:rPr>
              <w:t xml:space="preserve"> </w:t>
            </w:r>
            <w:r>
              <w:rPr>
                <w:sz w:val="17"/>
                <w:szCs w:val="17"/>
                <w:spacing w:val="-2"/>
              </w:rPr>
              <w:t>许可</w:t>
            </w:r>
          </w:p>
        </w:tc>
        <w:tc>
          <w:tcPr>
            <w:tcW w:w="2368" w:type="dxa"/>
            <w:vAlign w:val="top"/>
          </w:tcPr>
          <w:p>
            <w:pPr>
              <w:spacing w:line="406" w:lineRule="auto"/>
              <w:rPr>
                <w:rFonts w:ascii="Arial"/>
                <w:sz w:val="21"/>
              </w:rPr>
            </w:pPr>
            <w:r/>
          </w:p>
          <w:p>
            <w:pPr>
              <w:pStyle w:val="TableText"/>
              <w:ind w:left="54"/>
              <w:spacing w:before="55" w:line="219" w:lineRule="auto"/>
              <w:rPr>
                <w:sz w:val="17"/>
                <w:szCs w:val="17"/>
              </w:rPr>
            </w:pPr>
            <w:r>
              <w:rPr>
                <w:sz w:val="17"/>
                <w:szCs w:val="17"/>
                <w:spacing w:val="3"/>
              </w:rPr>
              <w:t>省经料技部门</w:t>
            </w:r>
          </w:p>
        </w:tc>
        <w:tc>
          <w:tcPr>
            <w:tcW w:w="3705" w:type="dxa"/>
            <w:vAlign w:val="top"/>
          </w:tcPr>
          <w:p>
            <w:pPr>
              <w:pStyle w:val="TableText"/>
              <w:spacing w:before="73" w:line="195" w:lineRule="auto"/>
              <w:rPr>
                <w:sz w:val="17"/>
                <w:szCs w:val="17"/>
              </w:rPr>
            </w:pPr>
            <w:r>
              <w:rPr>
                <w:sz w:val="17"/>
                <w:szCs w:val="17"/>
                <w:spacing w:val="3"/>
              </w:rPr>
              <w:t>《实验动物登理条例】</w:t>
            </w:r>
          </w:p>
          <w:p>
            <w:pPr>
              <w:pStyle w:val="TableText"/>
              <w:ind w:left="54" w:right="69" w:hanging="54"/>
              <w:spacing w:line="220" w:lineRule="auto"/>
              <w:rPr>
                <w:sz w:val="17"/>
                <w:szCs w:val="17"/>
              </w:rPr>
            </w:pPr>
            <w:r>
              <w:rPr>
                <w:sz w:val="17"/>
                <w:szCs w:val="17"/>
                <w:spacing w:val="-1"/>
              </w:rPr>
              <w:t>《实验动物质量管理办法其国科发时字(199</w:t>
            </w:r>
            <w:r>
              <w:rPr>
                <w:sz w:val="17"/>
                <w:szCs w:val="17"/>
                <w:spacing w:val="-2"/>
              </w:rPr>
              <w:t>7)50a</w:t>
            </w:r>
            <w:r>
              <w:rPr>
                <w:sz w:val="17"/>
                <w:szCs w:val="17"/>
              </w:rPr>
              <w:t xml:space="preserve"> </w:t>
            </w:r>
            <w:r>
              <w:rPr>
                <w:sz w:val="17"/>
                <w:szCs w:val="17"/>
                <w:spacing w:val="-6"/>
              </w:rPr>
              <w:t>号</w:t>
            </w:r>
            <w:r>
              <w:rPr>
                <w:sz w:val="17"/>
                <w:szCs w:val="17"/>
                <w:spacing w:val="-36"/>
              </w:rPr>
              <w:t xml:space="preserve"> </w:t>
            </w:r>
            <w:r>
              <w:rPr>
                <w:sz w:val="17"/>
                <w:szCs w:val="17"/>
                <w:spacing w:val="-6"/>
              </w:rPr>
              <w:t>)</w:t>
            </w:r>
          </w:p>
          <w:p>
            <w:pPr>
              <w:pStyle w:val="TableText"/>
              <w:ind w:left="54" w:right="245" w:hanging="54"/>
              <w:spacing w:before="4" w:line="226" w:lineRule="auto"/>
              <w:rPr>
                <w:sz w:val="17"/>
                <w:szCs w:val="17"/>
              </w:rPr>
            </w:pPr>
            <w:r>
              <w:rPr>
                <w:sz w:val="17"/>
                <w:szCs w:val="17"/>
                <w:spacing w:val="-2"/>
              </w:rPr>
              <w:t>《实验动物许可证管留外法(试行)6属科发射学</w:t>
            </w:r>
            <w:r>
              <w:rPr>
                <w:sz w:val="17"/>
                <w:szCs w:val="17"/>
                <w:spacing w:val="7"/>
              </w:rPr>
              <w:t xml:space="preserve"> </w:t>
            </w:r>
            <w:r>
              <w:rPr>
                <w:sz w:val="17"/>
                <w:szCs w:val="17"/>
                <w:spacing w:val="2"/>
              </w:rPr>
              <w:t>C200L1545号)</w:t>
            </w:r>
          </w:p>
        </w:tc>
      </w:tr>
      <w:tr>
        <w:trPr>
          <w:trHeight w:val="1133" w:hRule="atLeast"/>
        </w:trPr>
        <w:tc>
          <w:tcPr>
            <w:tcW w:w="574" w:type="dxa"/>
            <w:vAlign w:val="top"/>
          </w:tcPr>
          <w:p>
            <w:pPr>
              <w:spacing w:line="469" w:lineRule="auto"/>
              <w:rPr>
                <w:rFonts w:ascii="Arial"/>
                <w:sz w:val="21"/>
              </w:rPr>
            </w:pPr>
            <w:r/>
          </w:p>
          <w:p>
            <w:pPr>
              <w:pStyle w:val="TableText"/>
              <w:ind w:left="194"/>
              <w:spacing w:before="56" w:line="184" w:lineRule="auto"/>
              <w:rPr>
                <w:sz w:val="17"/>
                <w:szCs w:val="17"/>
              </w:rPr>
            </w:pPr>
            <w:r>
              <w:rPr>
                <w:sz w:val="17"/>
                <w:szCs w:val="17"/>
                <w:spacing w:val="-3"/>
              </w:rPr>
              <w:t>31</w:t>
            </w:r>
          </w:p>
        </w:tc>
        <w:tc>
          <w:tcPr>
            <w:tcW w:w="1299" w:type="dxa"/>
            <w:vAlign w:val="top"/>
          </w:tcPr>
          <w:p>
            <w:pPr>
              <w:spacing w:line="426" w:lineRule="auto"/>
              <w:rPr>
                <w:rFonts w:ascii="Arial"/>
                <w:sz w:val="21"/>
              </w:rPr>
            </w:pPr>
            <w:r/>
          </w:p>
          <w:p>
            <w:pPr>
              <w:pStyle w:val="TableText"/>
              <w:ind w:left="380"/>
              <w:spacing w:before="55" w:line="219" w:lineRule="auto"/>
              <w:rPr>
                <w:sz w:val="17"/>
                <w:szCs w:val="17"/>
              </w:rPr>
            </w:pPr>
            <w:r>
              <w:rPr>
                <w:sz w:val="17"/>
                <w:szCs w:val="17"/>
                <w:spacing w:val="-2"/>
              </w:rPr>
              <w:t>科找医</w:t>
            </w:r>
          </w:p>
        </w:tc>
        <w:tc>
          <w:tcPr>
            <w:tcW w:w="1638" w:type="dxa"/>
            <w:vAlign w:val="top"/>
          </w:tcPr>
          <w:p>
            <w:pPr>
              <w:spacing w:line="426" w:lineRule="auto"/>
              <w:rPr>
                <w:rFonts w:ascii="Arial"/>
                <w:sz w:val="21"/>
              </w:rPr>
            </w:pPr>
            <w:r/>
          </w:p>
          <w:p>
            <w:pPr>
              <w:pStyle w:val="TableText"/>
              <w:ind w:left="42"/>
              <w:spacing w:before="55" w:line="219" w:lineRule="auto"/>
              <w:rPr>
                <w:sz w:val="17"/>
                <w:szCs w:val="17"/>
              </w:rPr>
            </w:pPr>
            <w:r>
              <w:rPr>
                <w:sz w:val="17"/>
                <w:szCs w:val="17"/>
                <w:spacing w:val="-1"/>
              </w:rPr>
              <w:t>外国人采华工作件可</w:t>
            </w:r>
          </w:p>
        </w:tc>
        <w:tc>
          <w:tcPr>
            <w:tcW w:w="2368" w:type="dxa"/>
            <w:vAlign w:val="top"/>
          </w:tcPr>
          <w:p>
            <w:pPr>
              <w:spacing w:line="426" w:lineRule="auto"/>
              <w:rPr>
                <w:rFonts w:ascii="Arial"/>
                <w:sz w:val="21"/>
              </w:rPr>
            </w:pPr>
            <w:r/>
          </w:p>
          <w:p>
            <w:pPr>
              <w:pStyle w:val="TableText"/>
              <w:spacing w:before="55" w:line="219" w:lineRule="auto"/>
              <w:jc w:val="right"/>
              <w:rPr>
                <w:sz w:val="17"/>
                <w:szCs w:val="17"/>
              </w:rPr>
            </w:pPr>
            <w:r>
              <w:rPr>
                <w:sz w:val="17"/>
                <w:szCs w:val="17"/>
                <w:spacing w:val="-6"/>
              </w:rPr>
              <w:t>省级，段区的市级政府指定部门</w:t>
            </w:r>
          </w:p>
        </w:tc>
        <w:tc>
          <w:tcPr>
            <w:tcW w:w="3705" w:type="dxa"/>
            <w:vAlign w:val="top"/>
          </w:tcPr>
          <w:p>
            <w:pPr>
              <w:pStyle w:val="TableText"/>
              <w:ind w:left="35"/>
              <w:spacing w:before="94" w:line="206" w:lineRule="auto"/>
              <w:rPr>
                <w:sz w:val="17"/>
                <w:szCs w:val="17"/>
              </w:rPr>
            </w:pPr>
            <w:r>
              <w:rPr>
                <w:sz w:val="17"/>
                <w:szCs w:val="17"/>
                <w:spacing w:val="2"/>
              </w:rPr>
              <w:t>1中华人民共和国出境人装管理活)</w:t>
            </w:r>
          </w:p>
          <w:p>
            <w:pPr>
              <w:pStyle w:val="TableText"/>
              <w:spacing w:line="218" w:lineRule="auto"/>
              <w:jc w:val="right"/>
              <w:rPr>
                <w:sz w:val="17"/>
                <w:szCs w:val="17"/>
              </w:rPr>
            </w:pPr>
            <w:r>
              <w:rPr>
                <w:sz w:val="17"/>
                <w:szCs w:val="17"/>
                <w:spacing w:val="-2"/>
              </w:rPr>
              <w:t>《中央编办关于外国人条华工性许可氧直分</w:t>
            </w:r>
            <w:r>
              <w:rPr>
                <w:sz w:val="17"/>
                <w:szCs w:val="17"/>
                <w:spacing w:val="-3"/>
              </w:rPr>
              <w:t>工第题</w:t>
            </w:r>
          </w:p>
          <w:p>
            <w:pPr>
              <w:pStyle w:val="TableText"/>
              <w:ind w:left="35"/>
              <w:spacing w:before="29" w:line="195" w:lineRule="auto"/>
              <w:rPr>
                <w:sz w:val="17"/>
                <w:szCs w:val="17"/>
              </w:rPr>
            </w:pPr>
            <w:r>
              <w:rPr>
                <w:sz w:val="17"/>
                <w:szCs w:val="17"/>
                <w:spacing w:val="1"/>
              </w:rPr>
              <w:t>短我中央缩办发(2U18)97号)</w:t>
            </w:r>
          </w:p>
          <w:p>
            <w:pPr>
              <w:pStyle w:val="TableText"/>
              <w:ind w:left="44" w:right="9" w:hanging="44"/>
              <w:spacing w:line="218" w:lineRule="auto"/>
              <w:rPr>
                <w:sz w:val="17"/>
                <w:szCs w:val="17"/>
              </w:rPr>
            </w:pPr>
            <w:r>
              <w:rPr>
                <w:sz w:val="17"/>
                <w:szCs w:val="17"/>
                <w:spacing w:val="-3"/>
              </w:rPr>
              <w:t>《国家外国专家局关于印发外国人采华工作将可影</w:t>
            </w:r>
            <w:r>
              <w:rPr>
                <w:sz w:val="17"/>
                <w:szCs w:val="17"/>
                <w:spacing w:val="10"/>
              </w:rPr>
              <w:t xml:space="preserve"> </w:t>
            </w:r>
            <w:r>
              <w:rPr>
                <w:sz w:val="17"/>
                <w:szCs w:val="17"/>
                <w:spacing w:val="1"/>
              </w:rPr>
              <w:t>务指南(旨行)的通如H外专发C2017]功号)</w:t>
            </w:r>
          </w:p>
        </w:tc>
      </w:tr>
    </w:tbl>
    <w:p>
      <w:pPr>
        <w:pStyle w:val="BodyText"/>
        <w:rPr/>
      </w:pPr>
      <w:r/>
    </w:p>
    <w:p>
      <w:pPr>
        <w:sectPr>
          <w:pgSz w:w="11910" w:h="8220"/>
          <w:pgMar w:top="400" w:right="1180" w:bottom="400" w:left="801" w:header="0" w:footer="0" w:gutter="0"/>
        </w:sectPr>
        <w:rPr/>
      </w:pPr>
    </w:p>
    <w:p>
      <w:pPr>
        <w:spacing w:before="103"/>
        <w:rPr/>
      </w:pPr>
      <w:r>
        <mc:AlternateContent xmlns:mc="http://schemas.openxmlformats.org/markup-compatibility/2006">
          <mc:Choice Requires="wps">
            <w:drawing>
              <wp:anchor distT="0" distB="0" distL="0" distR="0" simplePos="0" relativeHeight="251824128"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68" name="TextBox 168"/>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0" style="position:absolute;margin-left:37.3042pt;margin-top:345.874pt;mso-position-vertical-relative:page;mso-position-horizontal-relative:page;width:13.1pt;height:12.4pt;z-index:25182412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4" w:hRule="atLeast"/>
        </w:trPr>
        <w:tc>
          <w:tcPr>
            <w:tcW w:w="574" w:type="dxa"/>
            <w:vAlign w:val="top"/>
          </w:tcPr>
          <w:p>
            <w:pPr>
              <w:pStyle w:val="TableText"/>
              <w:ind w:left="104"/>
              <w:spacing w:before="122" w:line="221" w:lineRule="auto"/>
              <w:rPr>
                <w:sz w:val="17"/>
                <w:szCs w:val="17"/>
              </w:rPr>
            </w:pPr>
            <w:r>
              <w:rPr>
                <w:sz w:val="17"/>
                <w:szCs w:val="17"/>
                <w:spacing w:val="-2"/>
              </w:rPr>
              <w:t>序号</w:t>
            </w:r>
          </w:p>
        </w:tc>
        <w:tc>
          <w:tcPr>
            <w:tcW w:w="1299" w:type="dxa"/>
            <w:vAlign w:val="top"/>
          </w:tcPr>
          <w:p>
            <w:pPr>
              <w:pStyle w:val="TableText"/>
              <w:ind w:left="130"/>
              <w:spacing w:before="122" w:line="219" w:lineRule="auto"/>
              <w:rPr>
                <w:sz w:val="17"/>
                <w:szCs w:val="17"/>
              </w:rPr>
            </w:pPr>
            <w:r>
              <w:rPr>
                <w:sz w:val="17"/>
                <w:szCs w:val="17"/>
                <w:spacing w:val="3"/>
              </w:rPr>
              <w:t>中央主管部门</w:t>
            </w:r>
          </w:p>
        </w:tc>
        <w:tc>
          <w:tcPr>
            <w:tcW w:w="1638" w:type="dxa"/>
            <w:vAlign w:val="top"/>
          </w:tcPr>
          <w:p>
            <w:pPr>
              <w:pStyle w:val="TableText"/>
              <w:ind w:left="471"/>
              <w:spacing w:before="122" w:line="220" w:lineRule="auto"/>
              <w:rPr>
                <w:sz w:val="17"/>
                <w:szCs w:val="17"/>
              </w:rPr>
            </w:pPr>
            <w:r>
              <w:rPr>
                <w:sz w:val="17"/>
                <w:szCs w:val="17"/>
                <w:spacing w:val="-2"/>
              </w:rPr>
              <w:t>事需名称</w:t>
            </w:r>
          </w:p>
        </w:tc>
        <w:tc>
          <w:tcPr>
            <w:tcW w:w="2377" w:type="dxa"/>
            <w:vAlign w:val="top"/>
          </w:tcPr>
          <w:p>
            <w:pPr>
              <w:pStyle w:val="TableText"/>
              <w:ind w:left="834"/>
              <w:spacing w:before="120" w:line="219" w:lineRule="auto"/>
              <w:rPr>
                <w:sz w:val="17"/>
                <w:szCs w:val="17"/>
              </w:rPr>
            </w:pPr>
            <w:r>
              <w:rPr>
                <w:sz w:val="17"/>
                <w:szCs w:val="17"/>
                <w:spacing w:val="-3"/>
              </w:rPr>
              <w:t>实施机关</w:t>
            </w:r>
          </w:p>
        </w:tc>
        <w:tc>
          <w:tcPr>
            <w:tcW w:w="3711" w:type="dxa"/>
            <w:vAlign w:val="top"/>
          </w:tcPr>
          <w:p>
            <w:pPr>
              <w:pStyle w:val="TableText"/>
              <w:ind w:left="1259"/>
              <w:spacing w:before="118" w:line="219" w:lineRule="auto"/>
              <w:rPr>
                <w:sz w:val="17"/>
                <w:szCs w:val="17"/>
              </w:rPr>
            </w:pPr>
            <w:r>
              <w:rPr>
                <w:sz w:val="17"/>
                <w:szCs w:val="17"/>
                <w:b/>
                <w:bCs/>
                <w:spacing w:val="-3"/>
              </w:rPr>
              <w:t>设定和实路依细</w:t>
            </w:r>
          </w:p>
        </w:tc>
      </w:tr>
      <w:tr>
        <w:trPr>
          <w:trHeight w:val="519" w:hRule="atLeast"/>
        </w:trPr>
        <w:tc>
          <w:tcPr>
            <w:tcW w:w="574" w:type="dxa"/>
            <w:vAlign w:val="top"/>
          </w:tcPr>
          <w:p>
            <w:pPr>
              <w:pStyle w:val="TableText"/>
              <w:ind w:left="194"/>
              <w:spacing w:before="221" w:line="183" w:lineRule="auto"/>
              <w:rPr>
                <w:sz w:val="17"/>
                <w:szCs w:val="17"/>
              </w:rPr>
            </w:pPr>
            <w:r>
              <w:rPr>
                <w:sz w:val="17"/>
                <w:szCs w:val="17"/>
                <w:spacing w:val="-3"/>
              </w:rPr>
              <w:t>32</w:t>
            </w:r>
          </w:p>
        </w:tc>
        <w:tc>
          <w:tcPr>
            <w:tcW w:w="1299" w:type="dxa"/>
            <w:vAlign w:val="top"/>
          </w:tcPr>
          <w:p>
            <w:pPr>
              <w:pStyle w:val="TableText"/>
              <w:ind w:left="40"/>
              <w:spacing w:before="178" w:line="219" w:lineRule="auto"/>
              <w:rPr>
                <w:sz w:val="17"/>
                <w:szCs w:val="17"/>
              </w:rPr>
            </w:pPr>
            <w:r>
              <w:rPr>
                <w:sz w:val="17"/>
                <w:szCs w:val="17"/>
                <w:spacing w:val="-2"/>
              </w:rPr>
              <w:t>丁业南信总化起</w:t>
            </w:r>
          </w:p>
        </w:tc>
        <w:tc>
          <w:tcPr>
            <w:tcW w:w="1638" w:type="dxa"/>
            <w:vAlign w:val="top"/>
          </w:tcPr>
          <w:p>
            <w:pPr>
              <w:pStyle w:val="TableText"/>
              <w:ind w:left="42" w:right="62"/>
              <w:spacing w:before="97" w:line="219" w:lineRule="auto"/>
              <w:rPr>
                <w:sz w:val="17"/>
                <w:szCs w:val="17"/>
              </w:rPr>
            </w:pPr>
            <w:r>
              <w:rPr>
                <w:sz w:val="17"/>
                <w:szCs w:val="17"/>
                <w:spacing w:val="-1"/>
              </w:rPr>
              <w:t>全国性信息网络工程</w:t>
            </w:r>
            <w:r>
              <w:rPr>
                <w:sz w:val="17"/>
                <w:szCs w:val="17"/>
                <w:spacing w:val="1"/>
              </w:rPr>
              <w:t xml:space="preserve"> </w:t>
            </w:r>
            <w:r>
              <w:rPr>
                <w:sz w:val="17"/>
                <w:szCs w:val="17"/>
                <w:spacing w:val="-2"/>
              </w:rPr>
              <w:t>建设项自审批</w:t>
            </w:r>
          </w:p>
        </w:tc>
        <w:tc>
          <w:tcPr>
            <w:tcW w:w="2377" w:type="dxa"/>
            <w:vAlign w:val="top"/>
          </w:tcPr>
          <w:p>
            <w:pPr>
              <w:pStyle w:val="TableText"/>
              <w:ind w:left="54"/>
              <w:spacing w:before="178" w:line="219" w:lineRule="auto"/>
              <w:rPr>
                <w:sz w:val="17"/>
                <w:szCs w:val="17"/>
              </w:rPr>
            </w:pPr>
            <w:r>
              <w:rPr>
                <w:sz w:val="17"/>
                <w:szCs w:val="17"/>
                <w:spacing w:val="-2"/>
              </w:rPr>
              <w:t>工业和信息化部</w:t>
            </w:r>
          </w:p>
        </w:tc>
        <w:tc>
          <w:tcPr>
            <w:tcW w:w="3711" w:type="dxa"/>
            <w:vAlign w:val="top"/>
          </w:tcPr>
          <w:p>
            <w:pPr>
              <w:pStyle w:val="TableText"/>
              <w:ind w:left="56"/>
              <w:spacing w:before="178" w:line="219" w:lineRule="auto"/>
              <w:rPr>
                <w:sz w:val="17"/>
                <w:szCs w:val="17"/>
              </w:rPr>
            </w:pPr>
            <w:r>
              <w:rPr>
                <w:sz w:val="17"/>
                <w:szCs w:val="17"/>
              </w:rPr>
              <w:t>1中华人民共和国电故务例：</w:t>
            </w:r>
          </w:p>
        </w:tc>
      </w:tr>
      <w:tr>
        <w:trPr>
          <w:trHeight w:val="519" w:hRule="atLeast"/>
        </w:trPr>
        <w:tc>
          <w:tcPr>
            <w:tcW w:w="574" w:type="dxa"/>
            <w:vAlign w:val="top"/>
          </w:tcPr>
          <w:p>
            <w:pPr>
              <w:pStyle w:val="TableText"/>
              <w:ind w:left="194"/>
              <w:spacing w:before="222" w:line="183" w:lineRule="auto"/>
              <w:rPr>
                <w:sz w:val="17"/>
                <w:szCs w:val="17"/>
              </w:rPr>
            </w:pPr>
            <w:r>
              <w:rPr>
                <w:sz w:val="17"/>
                <w:szCs w:val="17"/>
                <w:spacing w:val="-3"/>
              </w:rPr>
              <w:t>33</w:t>
            </w:r>
          </w:p>
        </w:tc>
        <w:tc>
          <w:tcPr>
            <w:tcW w:w="1299" w:type="dxa"/>
            <w:vAlign w:val="top"/>
          </w:tcPr>
          <w:p>
            <w:pPr>
              <w:pStyle w:val="TableText"/>
              <w:ind w:left="40"/>
              <w:spacing w:before="179" w:line="220" w:lineRule="auto"/>
              <w:rPr>
                <w:sz w:val="17"/>
                <w:szCs w:val="17"/>
              </w:rPr>
            </w:pPr>
            <w:r>
              <w:rPr>
                <w:sz w:val="17"/>
                <w:szCs w:val="17"/>
                <w:spacing w:val="-2"/>
              </w:rPr>
              <w:t>工业和物起化前</w:t>
            </w:r>
          </w:p>
        </w:tc>
        <w:tc>
          <w:tcPr>
            <w:tcW w:w="1638" w:type="dxa"/>
            <w:vAlign w:val="top"/>
          </w:tcPr>
          <w:p>
            <w:pPr>
              <w:pStyle w:val="TableText"/>
              <w:ind w:left="62" w:right="62" w:hanging="20"/>
              <w:spacing w:before="68" w:line="224" w:lineRule="auto"/>
              <w:rPr>
                <w:sz w:val="17"/>
                <w:szCs w:val="17"/>
              </w:rPr>
            </w:pPr>
            <w:r>
              <w:rPr>
                <w:sz w:val="17"/>
                <w:szCs w:val="17"/>
                <w:spacing w:val="-1"/>
              </w:rPr>
              <w:t>第一类监位化学品生</w:t>
            </w:r>
            <w:r>
              <w:rPr>
                <w:sz w:val="17"/>
                <w:szCs w:val="17"/>
                <w:spacing w:val="1"/>
              </w:rPr>
              <w:t xml:space="preserve"> </w:t>
            </w:r>
            <w:r>
              <w:rPr>
                <w:sz w:val="17"/>
                <w:szCs w:val="17"/>
                <w:spacing w:val="-2"/>
              </w:rPr>
              <w:t>产许</w:t>
            </w:r>
          </w:p>
        </w:tc>
        <w:tc>
          <w:tcPr>
            <w:tcW w:w="2377" w:type="dxa"/>
            <w:vAlign w:val="top"/>
          </w:tcPr>
          <w:p>
            <w:pPr>
              <w:pStyle w:val="TableText"/>
              <w:ind w:left="54"/>
              <w:spacing w:before="179" w:line="219" w:lineRule="auto"/>
              <w:rPr>
                <w:sz w:val="17"/>
                <w:szCs w:val="17"/>
              </w:rPr>
            </w:pPr>
            <w:r>
              <w:rPr>
                <w:sz w:val="17"/>
                <w:szCs w:val="17"/>
                <w:spacing w:val="1"/>
              </w:rPr>
              <w:t>下业和信息化部</w:t>
            </w:r>
          </w:p>
        </w:tc>
        <w:tc>
          <w:tcPr>
            <w:tcW w:w="3711" w:type="dxa"/>
            <w:vAlign w:val="top"/>
          </w:tcPr>
          <w:p>
            <w:pPr>
              <w:pStyle w:val="TableText"/>
              <w:ind w:left="56"/>
              <w:spacing w:before="179" w:line="219" w:lineRule="auto"/>
              <w:rPr>
                <w:sz w:val="17"/>
                <w:szCs w:val="17"/>
              </w:rPr>
            </w:pPr>
            <w:r>
              <w:rPr>
                <w:sz w:val="17"/>
                <w:szCs w:val="17"/>
              </w:rPr>
              <w:t>1中华人民共和国监控化学品管理杂例3</w:t>
            </w:r>
          </w:p>
        </w:tc>
      </w:tr>
      <w:tr>
        <w:trPr>
          <w:trHeight w:val="719" w:hRule="atLeast"/>
        </w:trPr>
        <w:tc>
          <w:tcPr>
            <w:tcW w:w="574" w:type="dxa"/>
            <w:vAlign w:val="top"/>
          </w:tcPr>
          <w:p>
            <w:pPr>
              <w:spacing w:line="266" w:lineRule="auto"/>
              <w:rPr>
                <w:rFonts w:ascii="Arial"/>
                <w:sz w:val="21"/>
              </w:rPr>
            </w:pPr>
            <w:r/>
          </w:p>
          <w:p>
            <w:pPr>
              <w:pStyle w:val="TableText"/>
              <w:ind w:left="194"/>
              <w:spacing w:before="56" w:line="183" w:lineRule="auto"/>
              <w:rPr>
                <w:sz w:val="17"/>
                <w:szCs w:val="17"/>
              </w:rPr>
            </w:pPr>
            <w:r>
              <w:rPr>
                <w:sz w:val="17"/>
                <w:szCs w:val="17"/>
                <w:spacing w:val="-3"/>
              </w:rPr>
              <w:t>34</w:t>
            </w:r>
          </w:p>
        </w:tc>
        <w:tc>
          <w:tcPr>
            <w:tcW w:w="1299" w:type="dxa"/>
            <w:vAlign w:val="top"/>
          </w:tcPr>
          <w:p>
            <w:pPr>
              <w:pStyle w:val="TableText"/>
              <w:ind w:left="40"/>
              <w:spacing w:before="280" w:line="219" w:lineRule="auto"/>
              <w:rPr>
                <w:sz w:val="17"/>
                <w:szCs w:val="17"/>
              </w:rPr>
            </w:pPr>
            <w:r>
              <w:rPr>
                <w:sz w:val="17"/>
                <w:szCs w:val="17"/>
                <w:spacing w:val="-2"/>
              </w:rPr>
              <w:t>工业和营息化部</w:t>
            </w:r>
          </w:p>
        </w:tc>
        <w:tc>
          <w:tcPr>
            <w:tcW w:w="1638" w:type="dxa"/>
            <w:vAlign w:val="top"/>
          </w:tcPr>
          <w:p>
            <w:pPr>
              <w:pStyle w:val="TableText"/>
              <w:ind w:left="42" w:right="62"/>
              <w:spacing w:before="68" w:line="222" w:lineRule="auto"/>
              <w:jc w:val="both"/>
              <w:rPr>
                <w:sz w:val="17"/>
                <w:szCs w:val="17"/>
              </w:rPr>
            </w:pPr>
            <w:r>
              <w:rPr>
                <w:sz w:val="17"/>
                <w:szCs w:val="17"/>
                <w:spacing w:val="-1"/>
              </w:rPr>
              <w:t>第二，三卖和古刷应</w:t>
            </w:r>
            <w:r>
              <w:rPr>
                <w:sz w:val="17"/>
                <w:szCs w:val="17"/>
                <w:spacing w:val="1"/>
              </w:rPr>
              <w:t xml:space="preserve"> </w:t>
            </w:r>
            <w:r>
              <w:rPr>
                <w:sz w:val="17"/>
                <w:szCs w:val="17"/>
                <w:spacing w:val="-2"/>
              </w:rPr>
              <w:t>凯的第四类监位化学</w:t>
            </w:r>
            <w:r>
              <w:rPr>
                <w:sz w:val="17"/>
                <w:szCs w:val="17"/>
                <w:spacing w:val="7"/>
              </w:rPr>
              <w:t xml:space="preserve"> </w:t>
            </w:r>
            <w:r>
              <w:rPr>
                <w:sz w:val="17"/>
                <w:szCs w:val="17"/>
                <w:spacing w:val="2"/>
              </w:rPr>
              <w:t>品生产特别碎可</w:t>
            </w:r>
          </w:p>
        </w:tc>
        <w:tc>
          <w:tcPr>
            <w:tcW w:w="2377" w:type="dxa"/>
            <w:vAlign w:val="top"/>
          </w:tcPr>
          <w:p>
            <w:pPr>
              <w:pStyle w:val="TableText"/>
              <w:ind w:left="54"/>
              <w:spacing w:before="280" w:line="219" w:lineRule="auto"/>
              <w:rPr>
                <w:sz w:val="17"/>
                <w:szCs w:val="17"/>
              </w:rPr>
            </w:pPr>
            <w:r>
              <w:rPr>
                <w:sz w:val="17"/>
                <w:szCs w:val="17"/>
                <w:spacing w:val="1"/>
              </w:rPr>
              <w:t>省烟工业和信点化部门</w:t>
            </w:r>
          </w:p>
        </w:tc>
        <w:tc>
          <w:tcPr>
            <w:tcW w:w="3711" w:type="dxa"/>
            <w:vAlign w:val="top"/>
          </w:tcPr>
          <w:p>
            <w:pPr>
              <w:pStyle w:val="TableText"/>
              <w:ind w:left="56"/>
              <w:spacing w:before="89" w:line="206" w:lineRule="auto"/>
              <w:rPr>
                <w:sz w:val="17"/>
                <w:szCs w:val="17"/>
              </w:rPr>
            </w:pPr>
            <w:r>
              <w:rPr>
                <w:sz w:val="17"/>
                <w:szCs w:val="17"/>
                <w:spacing w:val="1"/>
              </w:rPr>
              <w:t>中华人民共和国监程化学品壹理录例)</w:t>
            </w:r>
          </w:p>
          <w:p>
            <w:pPr>
              <w:pStyle w:val="TableText"/>
              <w:ind w:left="56" w:firstLine="69"/>
              <w:spacing w:line="229" w:lineRule="auto"/>
              <w:rPr>
                <w:sz w:val="17"/>
                <w:szCs w:val="17"/>
              </w:rPr>
            </w:pPr>
            <w:r>
              <w:rPr>
                <w:sz w:val="17"/>
                <w:szCs w:val="17"/>
                <w:spacing w:val="-8"/>
              </w:rPr>
              <w:t>国多驶关于深化“哥附分离”改革进一步查发市折</w:t>
            </w:r>
            <w:r>
              <w:rPr>
                <w:sz w:val="17"/>
                <w:szCs w:val="17"/>
                <w:spacing w:val="9"/>
              </w:rPr>
              <w:t xml:space="preserve"> </w:t>
            </w:r>
            <w:r>
              <w:rPr>
                <w:sz w:val="17"/>
                <w:szCs w:val="17"/>
                <w:spacing w:val="-1"/>
              </w:rPr>
              <w:t>主体安展格力的道知别国差(202)37号</w:t>
            </w:r>
          </w:p>
        </w:tc>
      </w:tr>
      <w:tr>
        <w:trPr>
          <w:trHeight w:val="709" w:hRule="atLeast"/>
        </w:trPr>
        <w:tc>
          <w:tcPr>
            <w:tcW w:w="574" w:type="dxa"/>
            <w:vAlign w:val="top"/>
          </w:tcPr>
          <w:p>
            <w:pPr>
              <w:spacing w:line="258" w:lineRule="auto"/>
              <w:rPr>
                <w:rFonts w:ascii="Arial"/>
                <w:sz w:val="21"/>
              </w:rPr>
            </w:pPr>
            <w:r/>
          </w:p>
          <w:p>
            <w:pPr>
              <w:pStyle w:val="TableText"/>
              <w:ind w:left="194"/>
              <w:spacing w:before="55" w:line="183" w:lineRule="auto"/>
              <w:rPr>
                <w:sz w:val="17"/>
                <w:szCs w:val="17"/>
              </w:rPr>
            </w:pPr>
            <w:r>
              <w:rPr>
                <w:sz w:val="17"/>
                <w:szCs w:val="17"/>
                <w:spacing w:val="-3"/>
              </w:rPr>
              <w:t>35</w:t>
            </w:r>
          </w:p>
        </w:tc>
        <w:tc>
          <w:tcPr>
            <w:tcW w:w="1299" w:type="dxa"/>
            <w:vAlign w:val="top"/>
          </w:tcPr>
          <w:p>
            <w:pPr>
              <w:pStyle w:val="TableText"/>
              <w:ind w:left="40"/>
              <w:spacing w:before="271" w:line="219" w:lineRule="auto"/>
              <w:rPr>
                <w:sz w:val="17"/>
                <w:szCs w:val="17"/>
              </w:rPr>
            </w:pPr>
            <w:r>
              <w:rPr>
                <w:sz w:val="17"/>
                <w:szCs w:val="17"/>
                <w:spacing w:val="-2"/>
              </w:rPr>
              <w:t>工业和信点化部</w:t>
            </w:r>
          </w:p>
        </w:tc>
        <w:tc>
          <w:tcPr>
            <w:tcW w:w="1638" w:type="dxa"/>
            <w:vAlign w:val="top"/>
          </w:tcPr>
          <w:p>
            <w:pPr>
              <w:pStyle w:val="TableText"/>
              <w:ind w:left="42" w:right="49"/>
              <w:spacing w:before="91" w:line="214" w:lineRule="auto"/>
              <w:jc w:val="both"/>
              <w:rPr>
                <w:sz w:val="17"/>
                <w:szCs w:val="17"/>
              </w:rPr>
            </w:pPr>
            <w:r>
              <w:rPr>
                <w:sz w:val="17"/>
                <w:szCs w:val="17"/>
                <w:spacing w:val="-2"/>
              </w:rPr>
              <w:t>勿二，三类和含磷地</w:t>
            </w:r>
            <w:r>
              <w:rPr>
                <w:sz w:val="17"/>
                <w:szCs w:val="17"/>
                <w:spacing w:val="5"/>
              </w:rPr>
              <w:t xml:space="preserve"> </w:t>
            </w:r>
            <w:r>
              <w:rPr>
                <w:sz w:val="17"/>
                <w:szCs w:val="17"/>
                <w:spacing w:val="-1"/>
              </w:rPr>
              <w:t>乱的第四类省控化学</w:t>
            </w:r>
            <w:r>
              <w:rPr>
                <w:sz w:val="17"/>
                <w:szCs w:val="17"/>
              </w:rPr>
              <w:t xml:space="preserve"> </w:t>
            </w:r>
            <w:r>
              <w:rPr>
                <w:sz w:val="17"/>
                <w:szCs w:val="17"/>
              </w:rPr>
              <w:t>品生产设施建设审救</w:t>
            </w:r>
          </w:p>
        </w:tc>
        <w:tc>
          <w:tcPr>
            <w:tcW w:w="2377" w:type="dxa"/>
            <w:vAlign w:val="top"/>
          </w:tcPr>
          <w:p>
            <w:pPr>
              <w:pStyle w:val="TableText"/>
              <w:ind w:left="54" w:firstLine="19"/>
              <w:spacing w:before="170" w:line="224" w:lineRule="auto"/>
              <w:rPr>
                <w:sz w:val="17"/>
                <w:szCs w:val="17"/>
              </w:rPr>
            </w:pPr>
            <w:r>
              <w:rPr>
                <w:sz w:val="17"/>
                <w:szCs w:val="17"/>
                <w:spacing w:val="-7"/>
              </w:rPr>
              <w:t>工业和信急化部《面省级工委和</w:t>
            </w:r>
            <w:r>
              <w:rPr>
                <w:sz w:val="17"/>
                <w:szCs w:val="17"/>
                <w:spacing w:val="10"/>
              </w:rPr>
              <w:t xml:space="preserve"> </w:t>
            </w:r>
            <w:r>
              <w:rPr>
                <w:sz w:val="17"/>
                <w:szCs w:val="17"/>
                <w:spacing w:val="3"/>
              </w:rPr>
              <w:t>信豆化部门初事)</w:t>
            </w:r>
          </w:p>
        </w:tc>
        <w:tc>
          <w:tcPr>
            <w:tcW w:w="3711" w:type="dxa"/>
            <w:vAlign w:val="top"/>
          </w:tcPr>
          <w:p>
            <w:pPr>
              <w:pStyle w:val="TableText"/>
              <w:ind w:left="56"/>
              <w:spacing w:before="271" w:line="219" w:lineRule="auto"/>
              <w:rPr>
                <w:sz w:val="17"/>
                <w:szCs w:val="17"/>
              </w:rPr>
            </w:pPr>
            <w:r>
              <w:rPr>
                <w:sz w:val="17"/>
                <w:szCs w:val="17"/>
                <w:spacing w:val="-1"/>
              </w:rPr>
              <w:t>1中华人民共和国监胞化学品管逐亮病》</w:t>
            </w:r>
          </w:p>
        </w:tc>
      </w:tr>
      <w:tr>
        <w:trPr>
          <w:trHeight w:val="719" w:hRule="atLeast"/>
        </w:trPr>
        <w:tc>
          <w:tcPr>
            <w:tcW w:w="574" w:type="dxa"/>
            <w:vAlign w:val="top"/>
          </w:tcPr>
          <w:p>
            <w:pPr>
              <w:spacing w:line="268" w:lineRule="auto"/>
              <w:rPr>
                <w:rFonts w:ascii="Arial"/>
                <w:sz w:val="21"/>
              </w:rPr>
            </w:pPr>
            <w:r/>
          </w:p>
          <w:p>
            <w:pPr>
              <w:pStyle w:val="TableText"/>
              <w:ind w:left="194"/>
              <w:spacing w:before="56" w:line="183" w:lineRule="auto"/>
              <w:rPr>
                <w:sz w:val="17"/>
                <w:szCs w:val="17"/>
              </w:rPr>
            </w:pPr>
            <w:r>
              <w:rPr>
                <w:sz w:val="17"/>
                <w:szCs w:val="17"/>
                <w:spacing w:val="-3"/>
              </w:rPr>
              <w:t>36</w:t>
            </w:r>
          </w:p>
        </w:tc>
        <w:tc>
          <w:tcPr>
            <w:tcW w:w="1299" w:type="dxa"/>
            <w:vAlign w:val="top"/>
          </w:tcPr>
          <w:p>
            <w:pPr>
              <w:pStyle w:val="TableText"/>
              <w:ind w:left="40"/>
              <w:spacing w:before="282" w:line="219" w:lineRule="auto"/>
              <w:rPr>
                <w:sz w:val="17"/>
                <w:szCs w:val="17"/>
              </w:rPr>
            </w:pPr>
            <w:r>
              <w:rPr>
                <w:sz w:val="17"/>
                <w:szCs w:val="17"/>
                <w:spacing w:val="-2"/>
              </w:rPr>
              <w:t>工业和临点化部</w:t>
            </w:r>
          </w:p>
        </w:tc>
        <w:tc>
          <w:tcPr>
            <w:tcW w:w="1638" w:type="dxa"/>
            <w:vAlign w:val="top"/>
          </w:tcPr>
          <w:p>
            <w:pPr>
              <w:pStyle w:val="TableText"/>
              <w:ind w:left="42" w:right="41"/>
              <w:spacing w:before="100" w:line="211" w:lineRule="auto"/>
              <w:jc w:val="both"/>
              <w:rPr>
                <w:sz w:val="17"/>
                <w:szCs w:val="17"/>
              </w:rPr>
            </w:pPr>
            <w:r>
              <w:rPr>
                <w:sz w:val="17"/>
                <w:szCs w:val="17"/>
                <w:spacing w:val="1"/>
              </w:rPr>
              <w:t>第二，三类和含南句</w:t>
            </w:r>
            <w:r>
              <w:rPr>
                <w:sz w:val="17"/>
                <w:szCs w:val="17"/>
                <w:spacing w:val="4"/>
              </w:rPr>
              <w:t xml:space="preserve"> </w:t>
            </w:r>
            <w:r>
              <w:rPr>
                <w:sz w:val="17"/>
                <w:szCs w:val="17"/>
                <w:spacing w:val="-1"/>
              </w:rPr>
              <w:t>氮的解四类监控化学</w:t>
            </w:r>
            <w:r>
              <w:rPr>
                <w:sz w:val="17"/>
                <w:szCs w:val="17"/>
                <w:spacing w:val="2"/>
              </w:rPr>
              <w:t xml:space="preserve"> </w:t>
            </w:r>
            <w:r>
              <w:rPr>
                <w:sz w:val="17"/>
                <w:szCs w:val="17"/>
              </w:rPr>
              <w:t>品生产说增墩工验救</w:t>
            </w:r>
          </w:p>
        </w:tc>
        <w:tc>
          <w:tcPr>
            <w:tcW w:w="2377" w:type="dxa"/>
            <w:vAlign w:val="top"/>
          </w:tcPr>
          <w:p>
            <w:pPr>
              <w:pStyle w:val="TableText"/>
              <w:ind w:left="54" w:right="16" w:firstLine="10"/>
              <w:spacing w:before="181" w:line="224" w:lineRule="auto"/>
              <w:rPr>
                <w:sz w:val="17"/>
                <w:szCs w:val="17"/>
              </w:rPr>
            </w:pPr>
            <w:r>
              <w:rPr>
                <w:sz w:val="17"/>
                <w:szCs w:val="17"/>
                <w:spacing w:val="-1"/>
              </w:rPr>
              <w:t>工业和信息化部(西省统工查和</w:t>
            </w:r>
            <w:r>
              <w:rPr>
                <w:sz w:val="17"/>
                <w:szCs w:val="17"/>
                <w:spacing w:val="4"/>
              </w:rPr>
              <w:t xml:space="preserve"> </w:t>
            </w:r>
            <w:r>
              <w:rPr>
                <w:sz w:val="17"/>
                <w:szCs w:val="17"/>
                <w:spacing w:val="4"/>
              </w:rPr>
              <w:t>信息化部门初中)</w:t>
            </w:r>
          </w:p>
        </w:tc>
        <w:tc>
          <w:tcPr>
            <w:tcW w:w="3711" w:type="dxa"/>
            <w:vAlign w:val="top"/>
          </w:tcPr>
          <w:p>
            <w:pPr>
              <w:pStyle w:val="TableText"/>
              <w:ind w:left="56"/>
              <w:spacing w:before="282" w:line="219" w:lineRule="auto"/>
              <w:rPr>
                <w:sz w:val="17"/>
                <w:szCs w:val="17"/>
              </w:rPr>
            </w:pPr>
            <w:r>
              <w:rPr>
                <w:sz w:val="17"/>
                <w:szCs w:val="17"/>
                <w:spacing w:val="-1"/>
              </w:rPr>
              <w:t>1中华人民共和国监控化学呈管玻条折》</w:t>
            </w:r>
          </w:p>
        </w:tc>
      </w:tr>
      <w:tr>
        <w:trPr>
          <w:trHeight w:val="709" w:hRule="atLeast"/>
        </w:trPr>
        <w:tc>
          <w:tcPr>
            <w:tcW w:w="574" w:type="dxa"/>
            <w:vAlign w:val="top"/>
          </w:tcPr>
          <w:p>
            <w:pPr>
              <w:spacing w:line="259" w:lineRule="auto"/>
              <w:rPr>
                <w:rFonts w:ascii="Arial"/>
                <w:sz w:val="21"/>
              </w:rPr>
            </w:pPr>
            <w:r/>
          </w:p>
          <w:p>
            <w:pPr>
              <w:pStyle w:val="TableText"/>
              <w:ind w:left="194"/>
              <w:spacing w:before="56" w:line="183" w:lineRule="auto"/>
              <w:rPr>
                <w:sz w:val="17"/>
                <w:szCs w:val="17"/>
              </w:rPr>
            </w:pPr>
            <w:r>
              <w:rPr>
                <w:sz w:val="17"/>
                <w:szCs w:val="17"/>
                <w:spacing w:val="-3"/>
              </w:rPr>
              <w:t>37</w:t>
            </w:r>
          </w:p>
        </w:tc>
        <w:tc>
          <w:tcPr>
            <w:tcW w:w="1299" w:type="dxa"/>
            <w:vAlign w:val="top"/>
          </w:tcPr>
          <w:p>
            <w:pPr>
              <w:pStyle w:val="TableText"/>
              <w:ind w:left="40"/>
              <w:spacing w:before="273" w:line="219" w:lineRule="auto"/>
              <w:rPr>
                <w:sz w:val="17"/>
                <w:szCs w:val="17"/>
              </w:rPr>
            </w:pPr>
            <w:r>
              <w:rPr>
                <w:sz w:val="17"/>
                <w:szCs w:val="17"/>
                <w:spacing w:val="-2"/>
              </w:rPr>
              <w:t>工北和信身化盖</w:t>
            </w:r>
          </w:p>
        </w:tc>
        <w:tc>
          <w:tcPr>
            <w:tcW w:w="1638" w:type="dxa"/>
            <w:vAlign w:val="top"/>
          </w:tcPr>
          <w:p>
            <w:pPr>
              <w:pStyle w:val="TableText"/>
              <w:ind w:left="41" w:right="6" w:hanging="30"/>
              <w:spacing w:before="71" w:line="226" w:lineRule="auto"/>
              <w:rPr>
                <w:sz w:val="17"/>
                <w:szCs w:val="17"/>
              </w:rPr>
            </w:pPr>
            <w:r>
              <w:rPr>
                <w:sz w:val="17"/>
                <w:szCs w:val="17"/>
                <w:spacing w:val="-9"/>
              </w:rPr>
              <w:t>第一，二，三类固整化</w:t>
            </w:r>
            <w:r>
              <w:rPr>
                <w:sz w:val="17"/>
                <w:szCs w:val="17"/>
              </w:rPr>
              <w:t xml:space="preserve"> </w:t>
            </w:r>
            <w:r>
              <w:rPr>
                <w:sz w:val="17"/>
                <w:szCs w:val="17"/>
                <w:spacing w:val="4"/>
              </w:rPr>
              <w:t>学品及其生产技界，</w:t>
            </w:r>
            <w:r>
              <w:rPr>
                <w:sz w:val="17"/>
                <w:szCs w:val="17"/>
                <w:spacing w:val="7"/>
              </w:rPr>
              <w:t xml:space="preserve"> </w:t>
            </w:r>
            <w:r>
              <w:rPr>
                <w:sz w:val="17"/>
                <w:szCs w:val="17"/>
                <w:spacing w:val="-1"/>
              </w:rPr>
              <w:t>专用设畜进出口审在</w:t>
            </w:r>
          </w:p>
        </w:tc>
        <w:tc>
          <w:tcPr>
            <w:tcW w:w="2377" w:type="dxa"/>
            <w:vAlign w:val="top"/>
          </w:tcPr>
          <w:p>
            <w:pPr>
              <w:pStyle w:val="TableText"/>
              <w:ind w:left="54" w:firstLine="19"/>
              <w:spacing w:before="183" w:line="218" w:lineRule="auto"/>
              <w:rPr>
                <w:sz w:val="17"/>
                <w:szCs w:val="17"/>
              </w:rPr>
            </w:pPr>
            <w:r>
              <w:rPr>
                <w:sz w:val="17"/>
                <w:szCs w:val="17"/>
                <w:spacing w:val="-1"/>
              </w:rPr>
              <w:t>工业和信息化常(部分项目擅国</w:t>
            </w:r>
            <w:r>
              <w:rPr>
                <w:sz w:val="17"/>
                <w:szCs w:val="17"/>
                <w:spacing w:val="11"/>
              </w:rPr>
              <w:t xml:space="preserve"> </w:t>
            </w:r>
            <w:r>
              <w:rPr>
                <w:sz w:val="17"/>
                <w:szCs w:val="17"/>
                <w:spacing w:val="-4"/>
              </w:rPr>
              <w:t>务酰批准》</w:t>
            </w:r>
          </w:p>
        </w:tc>
        <w:tc>
          <w:tcPr>
            <w:tcW w:w="3711" w:type="dxa"/>
            <w:vAlign w:val="top"/>
          </w:tcPr>
          <w:p>
            <w:pPr>
              <w:pStyle w:val="TableText"/>
              <w:ind w:left="56"/>
              <w:spacing w:before="273" w:line="219" w:lineRule="auto"/>
              <w:rPr>
                <w:sz w:val="17"/>
                <w:szCs w:val="17"/>
              </w:rPr>
            </w:pPr>
            <w:r>
              <w:rPr>
                <w:sz w:val="17"/>
                <w:szCs w:val="17"/>
              </w:rPr>
              <w:t>1中华人民其和国监校化学出京理条需1</w:t>
            </w:r>
          </w:p>
        </w:tc>
      </w:tr>
      <w:tr>
        <w:trPr>
          <w:trHeight w:val="519" w:hRule="atLeast"/>
        </w:trPr>
        <w:tc>
          <w:tcPr>
            <w:tcW w:w="574" w:type="dxa"/>
            <w:vAlign w:val="top"/>
          </w:tcPr>
          <w:p>
            <w:pPr>
              <w:pStyle w:val="TableText"/>
              <w:ind w:left="194"/>
              <w:spacing w:before="227" w:line="183" w:lineRule="auto"/>
              <w:rPr>
                <w:sz w:val="17"/>
                <w:szCs w:val="17"/>
              </w:rPr>
            </w:pPr>
            <w:r>
              <w:rPr>
                <w:sz w:val="17"/>
                <w:szCs w:val="17"/>
                <w:spacing w:val="-3"/>
              </w:rPr>
              <w:t>38</w:t>
            </w:r>
          </w:p>
        </w:tc>
        <w:tc>
          <w:tcPr>
            <w:tcW w:w="1299" w:type="dxa"/>
            <w:vAlign w:val="top"/>
          </w:tcPr>
          <w:p>
            <w:pPr>
              <w:pStyle w:val="TableText"/>
              <w:ind w:left="40"/>
              <w:spacing w:before="184" w:line="219" w:lineRule="auto"/>
              <w:rPr>
                <w:sz w:val="17"/>
                <w:szCs w:val="17"/>
              </w:rPr>
            </w:pPr>
            <w:r>
              <w:rPr>
                <w:sz w:val="17"/>
                <w:szCs w:val="17"/>
                <w:spacing w:val="-2"/>
              </w:rPr>
              <w:t>工表和信是化部</w:t>
            </w:r>
          </w:p>
        </w:tc>
        <w:tc>
          <w:tcPr>
            <w:tcW w:w="1638" w:type="dxa"/>
            <w:vAlign w:val="top"/>
          </w:tcPr>
          <w:p>
            <w:pPr>
              <w:pStyle w:val="TableText"/>
              <w:ind w:left="52" w:right="62" w:hanging="10"/>
              <w:spacing w:before="83" w:line="219" w:lineRule="auto"/>
              <w:rPr>
                <w:sz w:val="17"/>
                <w:szCs w:val="17"/>
              </w:rPr>
            </w:pPr>
            <w:r>
              <w:rPr>
                <w:sz w:val="17"/>
                <w:szCs w:val="17"/>
                <w:spacing w:val="-1"/>
              </w:rPr>
              <w:t>第二类监在化学品能</w:t>
            </w:r>
            <w:r>
              <w:rPr>
                <w:sz w:val="17"/>
                <w:szCs w:val="17"/>
                <w:spacing w:val="1"/>
              </w:rPr>
              <w:t xml:space="preserve"> </w:t>
            </w:r>
            <w:r>
              <w:rPr>
                <w:sz w:val="17"/>
                <w:szCs w:val="17"/>
                <w:spacing w:val="7"/>
              </w:rPr>
              <w:t>营许司</w:t>
            </w:r>
          </w:p>
        </w:tc>
        <w:tc>
          <w:tcPr>
            <w:tcW w:w="2377" w:type="dxa"/>
            <w:vAlign w:val="top"/>
          </w:tcPr>
          <w:p>
            <w:pPr>
              <w:pStyle w:val="TableText"/>
              <w:ind w:left="54"/>
              <w:spacing w:before="184" w:line="219" w:lineRule="auto"/>
              <w:rPr>
                <w:sz w:val="17"/>
                <w:szCs w:val="17"/>
              </w:rPr>
            </w:pPr>
            <w:r>
              <w:rPr>
                <w:sz w:val="17"/>
                <w:szCs w:val="17"/>
                <w:spacing w:val="1"/>
              </w:rPr>
              <w:t>省级工业和信点化部门</w:t>
            </w:r>
          </w:p>
        </w:tc>
        <w:tc>
          <w:tcPr>
            <w:tcW w:w="3711" w:type="dxa"/>
            <w:vAlign w:val="top"/>
          </w:tcPr>
          <w:p>
            <w:pPr>
              <w:pStyle w:val="TableText"/>
              <w:spacing w:before="74" w:line="219" w:lineRule="auto"/>
              <w:rPr>
                <w:sz w:val="17"/>
                <w:szCs w:val="17"/>
              </w:rPr>
            </w:pPr>
            <w:r>
              <w:rPr>
                <w:sz w:val="17"/>
                <w:szCs w:val="17"/>
                <w:spacing w:val="-3"/>
              </w:rPr>
              <w:t>《中华人民其和储监控化李品管理条》</w:t>
            </w:r>
          </w:p>
          <w:p>
            <w:pPr>
              <w:pStyle w:val="TableText"/>
              <w:spacing w:before="8" w:line="219" w:lineRule="auto"/>
              <w:jc w:val="right"/>
              <w:rPr>
                <w:sz w:val="17"/>
                <w:szCs w:val="17"/>
              </w:rPr>
            </w:pPr>
            <w:r>
              <w:rPr>
                <w:sz w:val="17"/>
                <w:szCs w:val="17"/>
                <w:spacing w:val="-8"/>
              </w:rPr>
              <w:t>3中华人民共和圆监控化学品管理备侧》类效细娟》</w:t>
            </w:r>
          </w:p>
        </w:tc>
      </w:tr>
      <w:tr>
        <w:trPr>
          <w:trHeight w:val="509" w:hRule="atLeast"/>
        </w:trPr>
        <w:tc>
          <w:tcPr>
            <w:tcW w:w="574" w:type="dxa"/>
            <w:vAlign w:val="top"/>
          </w:tcPr>
          <w:p>
            <w:pPr>
              <w:pStyle w:val="TableText"/>
              <w:ind w:left="194"/>
              <w:spacing w:before="218" w:line="183" w:lineRule="auto"/>
              <w:rPr>
                <w:sz w:val="17"/>
                <w:szCs w:val="17"/>
              </w:rPr>
            </w:pPr>
            <w:r>
              <w:rPr>
                <w:sz w:val="17"/>
                <w:szCs w:val="17"/>
                <w:spacing w:val="-3"/>
              </w:rPr>
              <w:t>39</w:t>
            </w:r>
          </w:p>
        </w:tc>
        <w:tc>
          <w:tcPr>
            <w:tcW w:w="1299" w:type="dxa"/>
            <w:vAlign w:val="top"/>
          </w:tcPr>
          <w:p>
            <w:pPr>
              <w:pStyle w:val="TableText"/>
              <w:ind w:left="40"/>
              <w:spacing w:before="175" w:line="219" w:lineRule="auto"/>
              <w:rPr>
                <w:sz w:val="17"/>
                <w:szCs w:val="17"/>
              </w:rPr>
            </w:pPr>
            <w:r>
              <w:rPr>
                <w:sz w:val="17"/>
                <w:szCs w:val="17"/>
                <w:spacing w:val="-2"/>
              </w:rPr>
              <w:t>工北和信点化前</w:t>
            </w:r>
          </w:p>
        </w:tc>
        <w:tc>
          <w:tcPr>
            <w:tcW w:w="1638" w:type="dxa"/>
            <w:vAlign w:val="top"/>
          </w:tcPr>
          <w:p>
            <w:pPr>
              <w:pStyle w:val="TableText"/>
              <w:ind w:left="42" w:right="71"/>
              <w:spacing w:before="85" w:line="224" w:lineRule="auto"/>
              <w:rPr>
                <w:sz w:val="17"/>
                <w:szCs w:val="17"/>
              </w:rPr>
            </w:pPr>
            <w:r>
              <w:rPr>
                <w:sz w:val="17"/>
                <w:szCs w:val="17"/>
                <w:spacing w:val="-2"/>
              </w:rPr>
              <w:t>第一，二类监控化学</w:t>
            </w:r>
            <w:r>
              <w:rPr>
                <w:sz w:val="17"/>
                <w:szCs w:val="17"/>
                <w:spacing w:val="1"/>
              </w:rPr>
              <w:t xml:space="preserve"> </w:t>
            </w:r>
            <w:r>
              <w:rPr>
                <w:sz w:val="17"/>
                <w:szCs w:val="17"/>
                <w:spacing w:val="1"/>
              </w:rPr>
              <w:t>品控用许可</w:t>
            </w:r>
          </w:p>
        </w:tc>
        <w:tc>
          <w:tcPr>
            <w:tcW w:w="2377" w:type="dxa"/>
            <w:vAlign w:val="top"/>
          </w:tcPr>
          <w:p>
            <w:pPr>
              <w:pStyle w:val="TableText"/>
              <w:ind w:left="54" w:firstLine="49"/>
              <w:spacing w:before="63" w:line="225" w:lineRule="auto"/>
              <w:rPr>
                <w:sz w:val="17"/>
                <w:szCs w:val="17"/>
              </w:rPr>
            </w:pPr>
            <w:r>
              <w:rPr>
                <w:sz w:val="17"/>
                <w:szCs w:val="17"/>
                <w:spacing w:val="-10"/>
              </w:rPr>
              <w:t>工业和</w:t>
            </w:r>
            <w:r>
              <w:rPr>
                <w:sz w:val="17"/>
                <w:szCs w:val="17"/>
                <w:spacing w:val="-9"/>
              </w:rPr>
              <w:t>借息化部，省级工业报</w:t>
            </w:r>
            <w:r>
              <w:rPr>
                <w:sz w:val="17"/>
                <w:szCs w:val="17"/>
                <w:spacing w:val="-6"/>
              </w:rPr>
              <w:t>借</w:t>
            </w:r>
            <w:r>
              <w:rPr>
                <w:sz w:val="17"/>
                <w:szCs w:val="17"/>
                <w:spacing w:val="8"/>
              </w:rPr>
              <w:t xml:space="preserve"> </w:t>
            </w:r>
            <w:r>
              <w:rPr>
                <w:sz w:val="17"/>
                <w:szCs w:val="17"/>
                <w:spacing w:val="4"/>
              </w:rPr>
              <w:t>息化限门</w:t>
            </w:r>
          </w:p>
        </w:tc>
        <w:tc>
          <w:tcPr>
            <w:tcW w:w="3711" w:type="dxa"/>
            <w:vAlign w:val="top"/>
          </w:tcPr>
          <w:p>
            <w:pPr>
              <w:pStyle w:val="TableText"/>
              <w:ind w:left="56"/>
              <w:spacing w:before="175" w:line="219" w:lineRule="auto"/>
              <w:rPr>
                <w:sz w:val="17"/>
                <w:szCs w:val="17"/>
              </w:rPr>
            </w:pPr>
            <w:r>
              <w:rPr>
                <w:sz w:val="17"/>
                <w:szCs w:val="17"/>
                <w:spacing w:val="-1"/>
              </w:rPr>
              <w:t>4中华人民具和国些控化学品情理条例》</w:t>
            </w:r>
          </w:p>
        </w:tc>
      </w:tr>
      <w:tr>
        <w:trPr>
          <w:trHeight w:val="729" w:hRule="atLeast"/>
        </w:trPr>
        <w:tc>
          <w:tcPr>
            <w:tcW w:w="574" w:type="dxa"/>
            <w:vAlign w:val="top"/>
          </w:tcPr>
          <w:p>
            <w:pPr>
              <w:spacing w:line="272" w:lineRule="auto"/>
              <w:rPr>
                <w:rFonts w:ascii="Arial"/>
                <w:sz w:val="21"/>
              </w:rPr>
            </w:pPr>
            <w:r/>
          </w:p>
          <w:p>
            <w:pPr>
              <w:pStyle w:val="TableText"/>
              <w:ind w:left="194"/>
              <w:spacing w:before="56" w:line="183" w:lineRule="auto"/>
              <w:rPr>
                <w:sz w:val="17"/>
                <w:szCs w:val="17"/>
              </w:rPr>
            </w:pPr>
            <w:r>
              <w:rPr>
                <w:sz w:val="17"/>
                <w:szCs w:val="17"/>
              </w:rPr>
              <w:t>4</w:t>
            </w:r>
          </w:p>
        </w:tc>
        <w:tc>
          <w:tcPr>
            <w:tcW w:w="1299" w:type="dxa"/>
            <w:vAlign w:val="top"/>
          </w:tcPr>
          <w:p>
            <w:pPr>
              <w:pStyle w:val="TableText"/>
              <w:ind w:left="40"/>
              <w:spacing w:before="286" w:line="219" w:lineRule="auto"/>
              <w:rPr>
                <w:sz w:val="17"/>
                <w:szCs w:val="17"/>
              </w:rPr>
            </w:pPr>
            <w:r>
              <w:rPr>
                <w:sz w:val="17"/>
                <w:szCs w:val="17"/>
                <w:spacing w:val="-2"/>
              </w:rPr>
              <w:t>工业和信息化露</w:t>
            </w:r>
          </w:p>
        </w:tc>
        <w:tc>
          <w:tcPr>
            <w:tcW w:w="1638" w:type="dxa"/>
            <w:vAlign w:val="top"/>
          </w:tcPr>
          <w:p>
            <w:pPr>
              <w:pStyle w:val="TableText"/>
              <w:ind w:left="11" w:right="41" w:firstLine="30"/>
              <w:spacing w:before="105" w:line="216" w:lineRule="auto"/>
              <w:jc w:val="both"/>
              <w:rPr>
                <w:sz w:val="17"/>
                <w:szCs w:val="17"/>
              </w:rPr>
            </w:pPr>
            <w:r>
              <w:rPr>
                <w:sz w:val="17"/>
                <w:szCs w:val="17"/>
                <w:spacing w:val="-1"/>
              </w:rPr>
              <w:t>重质或者过期尖效监</w:t>
            </w:r>
            <w:r>
              <w:rPr>
                <w:sz w:val="17"/>
                <w:szCs w:val="17"/>
              </w:rPr>
              <w:t xml:space="preserve"> </w:t>
            </w:r>
            <w:r>
              <w:rPr>
                <w:sz w:val="17"/>
                <w:szCs w:val="17"/>
                <w:spacing w:val="4"/>
              </w:rPr>
              <w:t>控化学品处理方案审</w:t>
            </w:r>
            <w:r>
              <w:rPr>
                <w:sz w:val="17"/>
                <w:szCs w:val="17"/>
                <w:spacing w:val="7"/>
              </w:rPr>
              <w:t xml:space="preserve"> </w:t>
            </w:r>
            <w:r>
              <w:rPr>
                <w:sz w:val="17"/>
                <w:szCs w:val="17"/>
              </w:rPr>
              <w:t>批</w:t>
            </w:r>
          </w:p>
        </w:tc>
        <w:tc>
          <w:tcPr>
            <w:tcW w:w="2377" w:type="dxa"/>
            <w:vAlign w:val="top"/>
          </w:tcPr>
          <w:p>
            <w:pPr>
              <w:pStyle w:val="TableText"/>
              <w:ind w:left="54"/>
              <w:spacing w:before="286" w:line="219" w:lineRule="auto"/>
              <w:rPr>
                <w:sz w:val="17"/>
                <w:szCs w:val="17"/>
              </w:rPr>
            </w:pPr>
            <w:r>
              <w:rPr>
                <w:sz w:val="17"/>
                <w:szCs w:val="17"/>
                <w:spacing w:val="1"/>
              </w:rPr>
              <w:t>省级工业和信息化参门</w:t>
            </w:r>
          </w:p>
        </w:tc>
        <w:tc>
          <w:tcPr>
            <w:tcW w:w="3711" w:type="dxa"/>
            <w:vAlign w:val="top"/>
          </w:tcPr>
          <w:p>
            <w:pPr>
              <w:pStyle w:val="TableText"/>
              <w:spacing w:before="286" w:line="219" w:lineRule="auto"/>
              <w:rPr>
                <w:sz w:val="17"/>
                <w:szCs w:val="17"/>
              </w:rPr>
            </w:pPr>
            <w:r>
              <w:rPr>
                <w:sz w:val="17"/>
                <w:szCs w:val="17"/>
                <w:spacing w:val="2"/>
              </w:rPr>
              <w:t>《中华入民共和员些控化学品管理条句】</w:t>
            </w:r>
          </w:p>
        </w:tc>
      </w:tr>
      <w:tr>
        <w:trPr>
          <w:trHeight w:val="534" w:hRule="atLeast"/>
        </w:trPr>
        <w:tc>
          <w:tcPr>
            <w:tcW w:w="574" w:type="dxa"/>
            <w:vAlign w:val="top"/>
          </w:tcPr>
          <w:p>
            <w:pPr>
              <w:pStyle w:val="TableText"/>
              <w:ind w:left="194"/>
              <w:spacing w:before="230" w:line="183" w:lineRule="auto"/>
              <w:rPr>
                <w:sz w:val="17"/>
                <w:szCs w:val="17"/>
              </w:rPr>
            </w:pPr>
            <w:r>
              <w:rPr>
                <w:sz w:val="17"/>
                <w:szCs w:val="17"/>
              </w:rPr>
              <w:t>4</w:t>
            </w:r>
          </w:p>
        </w:tc>
        <w:tc>
          <w:tcPr>
            <w:tcW w:w="1299" w:type="dxa"/>
            <w:vAlign w:val="top"/>
          </w:tcPr>
          <w:p>
            <w:pPr>
              <w:pStyle w:val="TableText"/>
              <w:ind w:left="40"/>
              <w:spacing w:before="185" w:line="219" w:lineRule="auto"/>
              <w:rPr>
                <w:sz w:val="17"/>
                <w:szCs w:val="17"/>
              </w:rPr>
            </w:pPr>
            <w:r>
              <w:rPr>
                <w:sz w:val="17"/>
                <w:szCs w:val="17"/>
                <w:spacing w:val="-2"/>
              </w:rPr>
              <w:t>工业和借果化部</w:t>
            </w:r>
          </w:p>
        </w:tc>
        <w:tc>
          <w:tcPr>
            <w:tcW w:w="1638" w:type="dxa"/>
            <w:vAlign w:val="top"/>
          </w:tcPr>
          <w:p>
            <w:pPr>
              <w:pStyle w:val="TableText"/>
              <w:ind w:left="62" w:right="49" w:hanging="20"/>
              <w:spacing w:before="116" w:line="211" w:lineRule="auto"/>
              <w:rPr>
                <w:sz w:val="17"/>
                <w:szCs w:val="17"/>
              </w:rPr>
            </w:pPr>
            <w:r>
              <w:rPr>
                <w:sz w:val="17"/>
                <w:szCs w:val="17"/>
              </w:rPr>
              <w:t>民川德并物品生产许</w:t>
            </w:r>
            <w:r>
              <w:rPr>
                <w:sz w:val="17"/>
                <w:szCs w:val="17"/>
                <w:spacing w:val="5"/>
              </w:rPr>
              <w:t xml:space="preserve"> </w:t>
            </w:r>
            <w:r>
              <w:rPr>
                <w:sz w:val="17"/>
                <w:szCs w:val="17"/>
              </w:rPr>
              <w:t>可</w:t>
            </w:r>
          </w:p>
        </w:tc>
        <w:tc>
          <w:tcPr>
            <w:tcW w:w="2377" w:type="dxa"/>
            <w:vAlign w:val="top"/>
          </w:tcPr>
          <w:p>
            <w:pPr>
              <w:pStyle w:val="TableText"/>
              <w:ind w:left="54"/>
              <w:spacing w:before="185" w:line="219" w:lineRule="auto"/>
              <w:rPr>
                <w:sz w:val="17"/>
                <w:szCs w:val="17"/>
              </w:rPr>
            </w:pPr>
            <w:r>
              <w:rPr>
                <w:sz w:val="17"/>
                <w:szCs w:val="17"/>
                <w:spacing w:val="-2"/>
              </w:rPr>
              <w:t>工业阳偶县化部</w:t>
            </w:r>
          </w:p>
        </w:tc>
        <w:tc>
          <w:tcPr>
            <w:tcW w:w="3711" w:type="dxa"/>
            <w:vAlign w:val="top"/>
          </w:tcPr>
          <w:p>
            <w:pPr>
              <w:pStyle w:val="TableText"/>
              <w:spacing w:before="185" w:line="218" w:lineRule="auto"/>
              <w:rPr>
                <w:sz w:val="17"/>
                <w:szCs w:val="17"/>
              </w:rPr>
            </w:pPr>
            <w:r>
              <w:rPr>
                <w:sz w:val="17"/>
                <w:szCs w:val="17"/>
                <w:spacing w:val="3"/>
              </w:rPr>
              <w:t>《民用爆炸物品安全管理落偶】</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25152"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70" name="TextBox 170"/>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2" style="position:absolute;margin-left:36.1352pt;margin-top:49.3939pt;mso-position-vertical-relative:page;mso-position-horizontal-relative:page;width:13.8pt;height:13pt;z-index:251825152;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166</w:t>
                      </w:r>
                    </w:p>
                  </w:txbxContent>
                </v:textbox>
              </v:shape>
            </w:pict>
          </mc:Fallback>
        </mc:AlternateContent>
      </w:r>
      <w:r/>
    </w:p>
    <w:tbl>
      <w:tblPr>
        <w:tblStyle w:val="TableNormal"/>
        <w:tblW w:w="957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7"/>
        <w:gridCol w:w="3701"/>
      </w:tblGrid>
      <w:tr>
        <w:trPr>
          <w:trHeight w:val="415" w:hRule="atLeast"/>
        </w:trPr>
        <w:tc>
          <w:tcPr>
            <w:tcW w:w="574" w:type="dxa"/>
            <w:vAlign w:val="top"/>
          </w:tcPr>
          <w:p>
            <w:pPr>
              <w:pStyle w:val="TableText"/>
              <w:ind w:left="104"/>
              <w:spacing w:before="122" w:line="221" w:lineRule="auto"/>
              <w:rPr>
                <w:sz w:val="17"/>
                <w:szCs w:val="17"/>
              </w:rPr>
            </w:pPr>
            <w:r>
              <w:rPr>
                <w:sz w:val="17"/>
                <w:szCs w:val="17"/>
                <w:spacing w:val="-2"/>
              </w:rPr>
              <w:t>序号</w:t>
            </w:r>
          </w:p>
        </w:tc>
        <w:tc>
          <w:tcPr>
            <w:tcW w:w="1299" w:type="dxa"/>
            <w:vAlign w:val="top"/>
          </w:tcPr>
          <w:p>
            <w:pPr>
              <w:pStyle w:val="TableText"/>
              <w:ind w:left="130"/>
              <w:spacing w:before="122" w:line="219" w:lineRule="auto"/>
              <w:rPr>
                <w:sz w:val="17"/>
                <w:szCs w:val="17"/>
              </w:rPr>
            </w:pPr>
            <w:r>
              <w:rPr>
                <w:sz w:val="17"/>
                <w:szCs w:val="17"/>
                <w:spacing w:val="4"/>
              </w:rPr>
              <w:t>中央主管你□</w:t>
            </w:r>
          </w:p>
        </w:tc>
        <w:tc>
          <w:tcPr>
            <w:tcW w:w="1638" w:type="dxa"/>
            <w:vAlign w:val="top"/>
          </w:tcPr>
          <w:p>
            <w:pPr>
              <w:pStyle w:val="TableText"/>
              <w:ind w:left="471"/>
              <w:spacing w:before="120" w:line="219" w:lineRule="auto"/>
              <w:rPr>
                <w:sz w:val="17"/>
                <w:szCs w:val="17"/>
              </w:rPr>
            </w:pPr>
            <w:r>
              <w:rPr>
                <w:sz w:val="17"/>
                <w:szCs w:val="17"/>
                <w:spacing w:val="-2"/>
              </w:rPr>
              <w:t>事填名幕</w:t>
            </w:r>
          </w:p>
        </w:tc>
        <w:tc>
          <w:tcPr>
            <w:tcW w:w="2367" w:type="dxa"/>
            <w:vAlign w:val="top"/>
          </w:tcPr>
          <w:p>
            <w:pPr>
              <w:pStyle w:val="TableText"/>
              <w:ind w:left="834"/>
              <w:spacing w:before="120" w:line="219" w:lineRule="auto"/>
              <w:rPr>
                <w:sz w:val="17"/>
                <w:szCs w:val="17"/>
              </w:rPr>
            </w:pPr>
            <w:r>
              <w:rPr>
                <w:sz w:val="17"/>
                <w:szCs w:val="17"/>
                <w:spacing w:val="-2"/>
              </w:rPr>
              <w:t>害施机关</w:t>
            </w:r>
          </w:p>
        </w:tc>
        <w:tc>
          <w:tcPr>
            <w:tcW w:w="3701" w:type="dxa"/>
            <w:vAlign w:val="top"/>
          </w:tcPr>
          <w:p>
            <w:pPr>
              <w:pStyle w:val="TableText"/>
              <w:ind w:left="1259"/>
              <w:spacing w:before="118" w:line="219" w:lineRule="auto"/>
              <w:rPr>
                <w:sz w:val="17"/>
                <w:szCs w:val="17"/>
              </w:rPr>
            </w:pPr>
            <w:r>
              <w:rPr>
                <w:sz w:val="17"/>
                <w:szCs w:val="17"/>
                <w:b/>
                <w:bCs/>
                <w:spacing w:val="-3"/>
              </w:rPr>
              <w:t>设定和实地依据</w:t>
            </w:r>
          </w:p>
        </w:tc>
      </w:tr>
      <w:tr>
        <w:trPr>
          <w:trHeight w:val="879" w:hRule="atLeast"/>
        </w:trPr>
        <w:tc>
          <w:tcPr>
            <w:tcW w:w="574" w:type="dxa"/>
            <w:vAlign w:val="top"/>
          </w:tcPr>
          <w:p>
            <w:pPr>
              <w:spacing w:line="343" w:lineRule="auto"/>
              <w:rPr>
                <w:rFonts w:ascii="Arial"/>
                <w:sz w:val="21"/>
              </w:rPr>
            </w:pPr>
            <w:r/>
          </w:p>
          <w:p>
            <w:pPr>
              <w:pStyle w:val="TableText"/>
              <w:ind w:left="194"/>
              <w:spacing w:before="55" w:line="183" w:lineRule="auto"/>
              <w:rPr>
                <w:sz w:val="17"/>
                <w:szCs w:val="17"/>
              </w:rPr>
            </w:pPr>
            <w:r>
              <w:rPr>
                <w:sz w:val="17"/>
                <w:szCs w:val="17"/>
                <w:spacing w:val="-2"/>
              </w:rPr>
              <w:t>42</w:t>
            </w:r>
          </w:p>
        </w:tc>
        <w:tc>
          <w:tcPr>
            <w:tcW w:w="1299" w:type="dxa"/>
            <w:vAlign w:val="top"/>
          </w:tcPr>
          <w:p>
            <w:pPr>
              <w:spacing w:line="300" w:lineRule="auto"/>
              <w:rPr>
                <w:rFonts w:ascii="Arial"/>
                <w:sz w:val="21"/>
              </w:rPr>
            </w:pPr>
            <w:r/>
          </w:p>
          <w:p>
            <w:pPr>
              <w:pStyle w:val="TableText"/>
              <w:ind w:left="40"/>
              <w:spacing w:before="55" w:line="219" w:lineRule="auto"/>
              <w:rPr>
                <w:sz w:val="17"/>
                <w:szCs w:val="17"/>
              </w:rPr>
            </w:pPr>
            <w:r>
              <w:rPr>
                <w:sz w:val="17"/>
                <w:szCs w:val="17"/>
                <w:spacing w:val="-2"/>
              </w:rPr>
              <w:t>工业和信息化部</w:t>
            </w:r>
          </w:p>
        </w:tc>
        <w:tc>
          <w:tcPr>
            <w:tcW w:w="1638" w:type="dxa"/>
            <w:vAlign w:val="top"/>
          </w:tcPr>
          <w:p>
            <w:pPr>
              <w:pStyle w:val="TableText"/>
              <w:ind w:left="42" w:right="48"/>
              <w:spacing w:before="268" w:line="212" w:lineRule="auto"/>
              <w:rPr>
                <w:sz w:val="17"/>
                <w:szCs w:val="17"/>
              </w:rPr>
            </w:pPr>
            <w:r>
              <w:rPr>
                <w:sz w:val="17"/>
                <w:szCs w:val="17"/>
              </w:rPr>
              <w:t>民用博出物品安全生</w:t>
            </w:r>
            <w:r>
              <w:rPr>
                <w:sz w:val="17"/>
                <w:szCs w:val="17"/>
                <w:spacing w:val="6"/>
              </w:rPr>
              <w:t xml:space="preserve"> </w:t>
            </w:r>
            <w:r>
              <w:rPr>
                <w:sz w:val="17"/>
                <w:szCs w:val="17"/>
                <w:spacing w:val="4"/>
              </w:rPr>
              <w:t>产许句</w:t>
            </w:r>
          </w:p>
        </w:tc>
        <w:tc>
          <w:tcPr>
            <w:tcW w:w="2367" w:type="dxa"/>
            <w:vAlign w:val="top"/>
          </w:tcPr>
          <w:p>
            <w:pPr>
              <w:pStyle w:val="TableText"/>
              <w:ind w:left="74" w:right="82"/>
              <w:spacing w:before="266" w:line="222" w:lineRule="auto"/>
              <w:rPr>
                <w:sz w:val="17"/>
                <w:szCs w:val="17"/>
              </w:rPr>
            </w:pPr>
            <w:r>
              <w:rPr>
                <w:sz w:val="17"/>
                <w:szCs w:val="17"/>
                <w:spacing w:val="-1"/>
              </w:rPr>
              <w:t>省级民用器首物品行业主管套</w:t>
            </w:r>
            <w:r>
              <w:rPr>
                <w:sz w:val="17"/>
                <w:szCs w:val="17"/>
                <w:spacing w:val="2"/>
              </w:rPr>
              <w:t xml:space="preserve"> </w:t>
            </w:r>
            <w:r>
              <w:rPr>
                <w:sz w:val="17"/>
                <w:szCs w:val="17"/>
              </w:rPr>
              <w:t>门</w:t>
            </w:r>
          </w:p>
        </w:tc>
        <w:tc>
          <w:tcPr>
            <w:tcW w:w="3701" w:type="dxa"/>
            <w:vAlign w:val="top"/>
          </w:tcPr>
          <w:p>
            <w:pPr>
              <w:pStyle w:val="TableText"/>
              <w:ind w:left="46"/>
              <w:spacing w:before="67" w:line="219" w:lineRule="auto"/>
              <w:rPr>
                <w:sz w:val="17"/>
                <w:szCs w:val="17"/>
              </w:rPr>
            </w:pPr>
            <w:r>
              <w:rPr>
                <w:sz w:val="17"/>
                <w:szCs w:val="17"/>
              </w:rPr>
              <w:t>1安全生产许可亿条的</w:t>
            </w:r>
          </w:p>
          <w:p>
            <w:pPr>
              <w:pStyle w:val="TableText"/>
              <w:spacing w:before="6" w:line="197" w:lineRule="auto"/>
              <w:rPr>
                <w:sz w:val="17"/>
                <w:szCs w:val="17"/>
              </w:rPr>
            </w:pPr>
            <w:r>
              <w:rPr>
                <w:sz w:val="17"/>
                <w:szCs w:val="17"/>
                <w:spacing w:val="2"/>
              </w:rPr>
              <w:t>【民用爆首物品安全管理杂街)</w:t>
            </w:r>
          </w:p>
          <w:p>
            <w:pPr>
              <w:pStyle w:val="TableText"/>
              <w:ind w:left="71" w:hanging="72"/>
              <w:spacing w:before="1" w:line="223" w:lineRule="auto"/>
              <w:rPr>
                <w:sz w:val="17"/>
                <w:szCs w:val="17"/>
              </w:rPr>
            </w:pPr>
            <w:r>
              <w:rPr>
                <w:sz w:val="17"/>
                <w:szCs w:val="17"/>
                <w:spacing w:val="-10"/>
              </w:rPr>
              <w:t>《国务按关于取情和下放一批行政市数项目的决定》</w:t>
            </w:r>
            <w:r>
              <w:rPr>
                <w:sz w:val="17"/>
                <w:szCs w:val="17"/>
                <w:spacing w:val="9"/>
              </w:rPr>
              <w:t xml:space="preserve"> </w:t>
            </w:r>
            <w:r>
              <w:rPr>
                <w:sz w:val="17"/>
                <w:szCs w:val="17"/>
                <w:spacing w:val="-1"/>
              </w:rPr>
              <w:t>(国发「201635号)</w:t>
            </w:r>
          </w:p>
        </w:tc>
      </w:tr>
      <w:tr>
        <w:trPr>
          <w:trHeight w:val="479" w:hRule="atLeast"/>
        </w:trPr>
        <w:tc>
          <w:tcPr>
            <w:tcW w:w="574" w:type="dxa"/>
            <w:vAlign w:val="top"/>
          </w:tcPr>
          <w:p>
            <w:pPr>
              <w:pStyle w:val="TableText"/>
              <w:ind w:left="194"/>
              <w:spacing w:before="201" w:line="183" w:lineRule="auto"/>
              <w:rPr>
                <w:sz w:val="17"/>
                <w:szCs w:val="17"/>
              </w:rPr>
            </w:pPr>
            <w:r>
              <w:rPr>
                <w:sz w:val="17"/>
                <w:szCs w:val="17"/>
                <w:spacing w:val="-2"/>
              </w:rPr>
              <w:t>47</w:t>
            </w:r>
          </w:p>
        </w:tc>
        <w:tc>
          <w:tcPr>
            <w:tcW w:w="1299" w:type="dxa"/>
            <w:vAlign w:val="top"/>
          </w:tcPr>
          <w:p>
            <w:pPr>
              <w:pStyle w:val="TableText"/>
              <w:ind w:left="40"/>
              <w:spacing w:before="158" w:line="219" w:lineRule="auto"/>
              <w:rPr>
                <w:sz w:val="17"/>
                <w:szCs w:val="17"/>
              </w:rPr>
            </w:pPr>
            <w:r>
              <w:rPr>
                <w:sz w:val="17"/>
                <w:szCs w:val="17"/>
                <w:spacing w:val="-2"/>
              </w:rPr>
              <w:t>工业和信息化前</w:t>
            </w:r>
          </w:p>
        </w:tc>
        <w:tc>
          <w:tcPr>
            <w:tcW w:w="1638" w:type="dxa"/>
            <w:vAlign w:val="top"/>
          </w:tcPr>
          <w:p>
            <w:pPr>
              <w:pStyle w:val="TableText"/>
              <w:ind w:left="32" w:right="48" w:firstLine="10"/>
              <w:spacing w:before="77" w:line="211" w:lineRule="auto"/>
              <w:rPr>
                <w:sz w:val="17"/>
                <w:szCs w:val="17"/>
              </w:rPr>
            </w:pPr>
            <w:r>
              <w:rPr>
                <w:sz w:val="17"/>
                <w:szCs w:val="17"/>
              </w:rPr>
              <w:t>民用架布物品值皆计</w:t>
            </w:r>
            <w:r>
              <w:rPr>
                <w:sz w:val="17"/>
                <w:szCs w:val="17"/>
                <w:spacing w:val="6"/>
              </w:rPr>
              <w:t xml:space="preserve"> </w:t>
            </w:r>
            <w:r>
              <w:rPr>
                <w:sz w:val="17"/>
                <w:szCs w:val="17"/>
              </w:rPr>
              <w:t>可</w:t>
            </w:r>
          </w:p>
        </w:tc>
        <w:tc>
          <w:tcPr>
            <w:tcW w:w="2367" w:type="dxa"/>
            <w:vAlign w:val="top"/>
          </w:tcPr>
          <w:p>
            <w:pPr>
              <w:pStyle w:val="TableText"/>
              <w:ind w:left="74" w:right="90" w:hanging="10"/>
              <w:spacing w:before="78" w:line="212" w:lineRule="auto"/>
              <w:rPr>
                <w:sz w:val="17"/>
                <w:szCs w:val="17"/>
              </w:rPr>
            </w:pPr>
            <w:r>
              <w:rPr>
                <w:sz w:val="17"/>
                <w:szCs w:val="17"/>
                <w:spacing w:val="-1"/>
              </w:rPr>
              <w:t>有版民用母非密品厅业主管割</w:t>
            </w:r>
            <w:r>
              <w:rPr>
                <w:sz w:val="17"/>
                <w:szCs w:val="17"/>
                <w:spacing w:val="4"/>
              </w:rPr>
              <w:t xml:space="preserve"> </w:t>
            </w:r>
            <w:r>
              <w:rPr>
                <w:sz w:val="17"/>
                <w:szCs w:val="17"/>
              </w:rPr>
              <w:t>Y</w:t>
            </w:r>
          </w:p>
        </w:tc>
        <w:tc>
          <w:tcPr>
            <w:tcW w:w="3701" w:type="dxa"/>
            <w:vAlign w:val="top"/>
          </w:tcPr>
          <w:p>
            <w:pPr>
              <w:pStyle w:val="TableText"/>
              <w:spacing w:before="158" w:line="219" w:lineRule="auto"/>
              <w:rPr>
                <w:sz w:val="17"/>
                <w:szCs w:val="17"/>
              </w:rPr>
            </w:pPr>
            <w:r>
              <w:rPr>
                <w:sz w:val="17"/>
                <w:szCs w:val="17"/>
                <w:spacing w:val="-4"/>
              </w:rPr>
              <w:t>《民用尴违物品安全管理态例2</w:t>
            </w:r>
          </w:p>
        </w:tc>
      </w:tr>
      <w:tr>
        <w:trPr>
          <w:trHeight w:val="469" w:hRule="atLeast"/>
        </w:trPr>
        <w:tc>
          <w:tcPr>
            <w:tcW w:w="574" w:type="dxa"/>
            <w:vAlign w:val="top"/>
          </w:tcPr>
          <w:p>
            <w:pPr>
              <w:pStyle w:val="TableText"/>
              <w:ind w:left="234"/>
              <w:spacing w:before="193" w:line="182" w:lineRule="auto"/>
              <w:rPr>
                <w:sz w:val="17"/>
                <w:szCs w:val="17"/>
              </w:rPr>
            </w:pPr>
            <w:r>
              <w:rPr>
                <w:sz w:val="17"/>
                <w:szCs w:val="17"/>
              </w:rPr>
              <w:t>M</w:t>
            </w:r>
          </w:p>
        </w:tc>
        <w:tc>
          <w:tcPr>
            <w:tcW w:w="1299" w:type="dxa"/>
            <w:vAlign w:val="top"/>
          </w:tcPr>
          <w:p>
            <w:pPr>
              <w:pStyle w:val="TableText"/>
              <w:ind w:left="40"/>
              <w:spacing w:before="149" w:line="219" w:lineRule="auto"/>
              <w:rPr>
                <w:sz w:val="17"/>
                <w:szCs w:val="17"/>
              </w:rPr>
            </w:pPr>
            <w:r>
              <w:rPr>
                <w:sz w:val="17"/>
                <w:szCs w:val="17"/>
                <w:spacing w:val="-2"/>
              </w:rPr>
              <w:t>工业和信息化部</w:t>
            </w:r>
          </w:p>
        </w:tc>
        <w:tc>
          <w:tcPr>
            <w:tcW w:w="1638" w:type="dxa"/>
            <w:vAlign w:val="top"/>
          </w:tcPr>
          <w:p>
            <w:pPr>
              <w:pStyle w:val="TableText"/>
              <w:ind w:left="62" w:right="30" w:hanging="20"/>
              <w:spacing w:before="57" w:line="218" w:lineRule="auto"/>
              <w:rPr>
                <w:sz w:val="17"/>
                <w:szCs w:val="17"/>
              </w:rPr>
            </w:pPr>
            <w:r>
              <w:rPr>
                <w:sz w:val="17"/>
                <w:szCs w:val="17"/>
                <w:spacing w:val="2"/>
              </w:rPr>
              <w:t>民用爆炸物易进形口</w:t>
            </w:r>
            <w:r>
              <w:rPr>
                <w:sz w:val="17"/>
                <w:szCs w:val="17"/>
                <w:spacing w:val="6"/>
              </w:rPr>
              <w:t xml:space="preserve"> </w:t>
            </w:r>
            <w:r>
              <w:rPr>
                <w:sz w:val="17"/>
                <w:szCs w:val="17"/>
                <w:spacing w:val="3"/>
              </w:rPr>
              <w:t>审我</w:t>
            </w:r>
          </w:p>
        </w:tc>
        <w:tc>
          <w:tcPr>
            <w:tcW w:w="2367" w:type="dxa"/>
            <w:vAlign w:val="top"/>
          </w:tcPr>
          <w:p>
            <w:pPr>
              <w:pStyle w:val="TableText"/>
              <w:ind w:left="74"/>
              <w:spacing w:before="149" w:line="219" w:lineRule="auto"/>
              <w:rPr>
                <w:sz w:val="17"/>
                <w:szCs w:val="17"/>
              </w:rPr>
            </w:pPr>
            <w:r>
              <w:rPr>
                <w:sz w:val="17"/>
                <w:szCs w:val="17"/>
                <w:spacing w:val="-2"/>
              </w:rPr>
              <w:t>工业和信息化部</w:t>
            </w:r>
          </w:p>
        </w:tc>
        <w:tc>
          <w:tcPr>
            <w:tcW w:w="3701" w:type="dxa"/>
            <w:vAlign w:val="top"/>
          </w:tcPr>
          <w:p>
            <w:pPr>
              <w:pStyle w:val="TableText"/>
              <w:ind w:left="46"/>
              <w:spacing w:before="149" w:line="219" w:lineRule="auto"/>
              <w:rPr>
                <w:sz w:val="17"/>
                <w:szCs w:val="17"/>
              </w:rPr>
            </w:pPr>
            <w:r>
              <w:rPr>
                <w:sz w:val="17"/>
                <w:szCs w:val="17"/>
                <w:spacing w:val="2"/>
              </w:rPr>
              <w:t>4民用保华物品安全替理获例)</w:t>
            </w:r>
          </w:p>
        </w:tc>
      </w:tr>
      <w:tr>
        <w:trPr>
          <w:trHeight w:val="669" w:hRule="atLeast"/>
        </w:trPr>
        <w:tc>
          <w:tcPr>
            <w:tcW w:w="574" w:type="dxa"/>
            <w:vAlign w:val="top"/>
          </w:tcPr>
          <w:p>
            <w:pPr>
              <w:pStyle w:val="TableText"/>
              <w:ind w:left="194"/>
              <w:spacing w:before="293" w:line="183" w:lineRule="auto"/>
              <w:rPr>
                <w:sz w:val="17"/>
                <w:szCs w:val="17"/>
              </w:rPr>
            </w:pPr>
            <w:r>
              <w:rPr>
                <w:sz w:val="17"/>
                <w:szCs w:val="17"/>
                <w:spacing w:val="-2"/>
              </w:rPr>
              <w:t>45</w:t>
            </w:r>
          </w:p>
        </w:tc>
        <w:tc>
          <w:tcPr>
            <w:tcW w:w="1299" w:type="dxa"/>
            <w:vAlign w:val="top"/>
          </w:tcPr>
          <w:p>
            <w:pPr>
              <w:pStyle w:val="TableText"/>
              <w:ind w:left="40"/>
              <w:spacing w:before="250" w:line="219" w:lineRule="auto"/>
              <w:rPr>
                <w:sz w:val="17"/>
                <w:szCs w:val="17"/>
              </w:rPr>
            </w:pPr>
            <w:r>
              <w:rPr>
                <w:sz w:val="17"/>
                <w:szCs w:val="17"/>
                <w:spacing w:val="-1"/>
              </w:rPr>
              <w:t>T.求和信是化部</w:t>
            </w:r>
          </w:p>
        </w:tc>
        <w:tc>
          <w:tcPr>
            <w:tcW w:w="1638" w:type="dxa"/>
            <w:vAlign w:val="top"/>
          </w:tcPr>
          <w:p>
            <w:pPr>
              <w:pStyle w:val="TableText"/>
              <w:ind w:left="42" w:right="39"/>
              <w:spacing w:before="59" w:line="214" w:lineRule="auto"/>
              <w:jc w:val="both"/>
              <w:rPr>
                <w:sz w:val="17"/>
                <w:szCs w:val="17"/>
              </w:rPr>
            </w:pPr>
            <w:r>
              <w:rPr>
                <w:sz w:val="17"/>
                <w:szCs w:val="17"/>
                <w:spacing w:val="1"/>
              </w:rPr>
              <w:t>叫家电信网，至联间</w:t>
            </w:r>
            <w:r>
              <w:rPr>
                <w:sz w:val="17"/>
                <w:szCs w:val="17"/>
                <w:spacing w:val="6"/>
              </w:rPr>
              <w:t xml:space="preserve"> </w:t>
            </w:r>
            <w:r>
              <w:rPr>
                <w:sz w:val="17"/>
                <w:szCs w:val="17"/>
              </w:rPr>
              <w:t>刚络安全技术平台配</w:t>
            </w:r>
            <w:r>
              <w:rPr>
                <w:sz w:val="17"/>
                <w:szCs w:val="17"/>
                <w:spacing w:val="6"/>
              </w:rPr>
              <w:t xml:space="preserve"> </w:t>
            </w:r>
            <w:r>
              <w:rPr>
                <w:sz w:val="17"/>
                <w:szCs w:val="17"/>
                <w:spacing w:val="-1"/>
              </w:rPr>
              <w:t>在设地世设项日精酸</w:t>
            </w:r>
          </w:p>
        </w:tc>
        <w:tc>
          <w:tcPr>
            <w:tcW w:w="2367" w:type="dxa"/>
            <w:vAlign w:val="top"/>
          </w:tcPr>
          <w:p>
            <w:pPr>
              <w:pStyle w:val="TableText"/>
              <w:ind w:left="74"/>
              <w:spacing w:before="250" w:line="219" w:lineRule="auto"/>
              <w:rPr>
                <w:sz w:val="17"/>
                <w:szCs w:val="17"/>
              </w:rPr>
            </w:pPr>
            <w:r>
              <w:rPr>
                <w:sz w:val="17"/>
                <w:szCs w:val="17"/>
                <w:spacing w:val="-2"/>
              </w:rPr>
              <w:t>工业程信息化落</w:t>
            </w:r>
          </w:p>
        </w:tc>
        <w:tc>
          <w:tcPr>
            <w:tcW w:w="3701" w:type="dxa"/>
            <w:vAlign w:val="top"/>
          </w:tcPr>
          <w:p>
            <w:pPr>
              <w:pStyle w:val="TableText"/>
              <w:ind w:left="46"/>
              <w:spacing w:before="39" w:line="217" w:lineRule="auto"/>
              <w:rPr>
                <w:sz w:val="17"/>
                <w:szCs w:val="17"/>
              </w:rPr>
            </w:pPr>
            <w:r>
              <w:rPr>
                <w:sz w:val="17"/>
                <w:szCs w:val="17"/>
                <w:spacing w:val="-1"/>
              </w:rPr>
              <w:t>4企业校资项育检准和备案行理条形》</w:t>
            </w:r>
          </w:p>
          <w:p>
            <w:pPr>
              <w:pStyle w:val="TableText"/>
              <w:ind w:left="46" w:firstLine="29"/>
              <w:spacing w:before="1" w:line="227" w:lineRule="auto"/>
              <w:rPr>
                <w:sz w:val="17"/>
                <w:szCs w:val="17"/>
              </w:rPr>
            </w:pPr>
            <w:r>
              <w:rPr>
                <w:sz w:val="17"/>
                <w:szCs w:val="17"/>
                <w:spacing w:val="-2"/>
              </w:rPr>
              <w:t>国务配关于发布政府核准的投俗项目日录(2010年</w:t>
            </w:r>
            <w:r>
              <w:rPr>
                <w:sz w:val="17"/>
                <w:szCs w:val="17"/>
                <w:spacing w:val="6"/>
              </w:rPr>
              <w:t xml:space="preserve"> </w:t>
            </w:r>
            <w:r>
              <w:rPr>
                <w:sz w:val="17"/>
                <w:szCs w:val="17"/>
                <w:spacing w:val="1"/>
              </w:rPr>
              <w:t>本)的最如称国发C2018172号)</w:t>
            </w:r>
          </w:p>
        </w:tc>
      </w:tr>
      <w:tr>
        <w:trPr>
          <w:trHeight w:val="669" w:hRule="atLeast"/>
        </w:trPr>
        <w:tc>
          <w:tcPr>
            <w:tcW w:w="574" w:type="dxa"/>
            <w:vAlign w:val="top"/>
          </w:tcPr>
          <w:p>
            <w:pPr>
              <w:pStyle w:val="TableText"/>
              <w:ind w:left="194"/>
              <w:spacing w:before="294" w:line="183" w:lineRule="auto"/>
              <w:rPr>
                <w:sz w:val="17"/>
                <w:szCs w:val="17"/>
              </w:rPr>
            </w:pPr>
            <w:r>
              <w:rPr>
                <w:sz w:val="17"/>
                <w:szCs w:val="17"/>
                <w:spacing w:val="-2"/>
              </w:rPr>
              <w:t>4K</w:t>
            </w:r>
          </w:p>
        </w:tc>
        <w:tc>
          <w:tcPr>
            <w:tcW w:w="1299" w:type="dxa"/>
            <w:vAlign w:val="top"/>
          </w:tcPr>
          <w:p>
            <w:pPr>
              <w:pStyle w:val="TableText"/>
              <w:ind w:left="40"/>
              <w:spacing w:before="251" w:line="219" w:lineRule="auto"/>
              <w:rPr>
                <w:sz w:val="17"/>
                <w:szCs w:val="17"/>
              </w:rPr>
            </w:pPr>
            <w:r>
              <w:rPr>
                <w:sz w:val="17"/>
                <w:szCs w:val="17"/>
                <w:spacing w:val="-2"/>
              </w:rPr>
              <w:t>工重和信息化部</w:t>
            </w:r>
          </w:p>
        </w:tc>
        <w:tc>
          <w:tcPr>
            <w:tcW w:w="1638" w:type="dxa"/>
            <w:vAlign w:val="top"/>
          </w:tcPr>
          <w:p>
            <w:pPr>
              <w:pStyle w:val="TableText"/>
              <w:ind w:left="42" w:right="41"/>
              <w:spacing w:before="81" w:line="209" w:lineRule="auto"/>
              <w:jc w:val="both"/>
              <w:rPr>
                <w:sz w:val="17"/>
                <w:szCs w:val="17"/>
              </w:rPr>
            </w:pPr>
            <w:r>
              <w:rPr>
                <w:sz w:val="17"/>
                <w:szCs w:val="17"/>
                <w:spacing w:val="-1"/>
              </w:rPr>
              <w:t>相土矿山开发，朝土</w:t>
            </w:r>
            <w:r>
              <w:rPr>
                <w:sz w:val="17"/>
                <w:szCs w:val="17"/>
                <w:spacing w:val="1"/>
              </w:rPr>
              <w:t xml:space="preserve"> </w:t>
            </w:r>
            <w:r>
              <w:rPr>
                <w:sz w:val="17"/>
                <w:szCs w:val="17"/>
                <w:spacing w:val="1"/>
              </w:rPr>
              <w:t>物练分高和保是工页</w:t>
            </w:r>
            <w:r>
              <w:rPr>
                <w:sz w:val="17"/>
                <w:szCs w:val="17"/>
                <w:spacing w:val="4"/>
              </w:rPr>
              <w:t xml:space="preserve"> </w:t>
            </w:r>
            <w:r>
              <w:rPr>
                <w:sz w:val="17"/>
                <w:szCs w:val="17"/>
                <w:spacing w:val="7"/>
              </w:rPr>
              <w:t>性核府</w:t>
            </w:r>
          </w:p>
        </w:tc>
        <w:tc>
          <w:tcPr>
            <w:tcW w:w="2367" w:type="dxa"/>
            <w:vAlign w:val="top"/>
          </w:tcPr>
          <w:p>
            <w:pPr>
              <w:pStyle w:val="TableText"/>
              <w:ind w:left="74"/>
              <w:spacing w:before="249" w:line="219" w:lineRule="auto"/>
              <w:rPr>
                <w:sz w:val="17"/>
                <w:szCs w:val="17"/>
              </w:rPr>
            </w:pPr>
            <w:r>
              <w:rPr>
                <w:sz w:val="17"/>
                <w:szCs w:val="17"/>
                <w:spacing w:val="-1"/>
              </w:rPr>
              <w:t>青级政府研其指定算门承办</w:t>
            </w:r>
          </w:p>
        </w:tc>
        <w:tc>
          <w:tcPr>
            <w:tcW w:w="3701" w:type="dxa"/>
            <w:vAlign w:val="top"/>
          </w:tcPr>
          <w:p>
            <w:pPr>
              <w:pStyle w:val="TableText"/>
              <w:spacing w:before="59" w:line="219" w:lineRule="auto"/>
              <w:rPr>
                <w:sz w:val="17"/>
                <w:szCs w:val="17"/>
              </w:rPr>
            </w:pPr>
            <w:r>
              <w:rPr>
                <w:sz w:val="17"/>
                <w:szCs w:val="17"/>
                <w:spacing w:val="-3"/>
              </w:rPr>
              <w:t>《企业投资项目转限和备客管理多州》</w:t>
            </w:r>
          </w:p>
          <w:p>
            <w:pPr>
              <w:pStyle w:val="TableText"/>
              <w:ind w:left="46" w:firstLine="19"/>
              <w:spacing w:before="8" w:line="211" w:lineRule="auto"/>
              <w:rPr>
                <w:sz w:val="17"/>
                <w:szCs w:val="17"/>
              </w:rPr>
            </w:pPr>
            <w:r>
              <w:rPr>
                <w:sz w:val="17"/>
                <w:szCs w:val="17"/>
                <w:spacing w:val="-2"/>
              </w:rPr>
              <w:t>国务荒关于发布改应模准的投资项自目录(2016年</w:t>
            </w:r>
            <w:r>
              <w:rPr>
                <w:sz w:val="17"/>
                <w:szCs w:val="17"/>
                <w:spacing w:val="16"/>
              </w:rPr>
              <w:t xml:space="preserve"> </w:t>
            </w:r>
            <w:r>
              <w:rPr>
                <w:sz w:val="17"/>
                <w:szCs w:val="17"/>
              </w:rPr>
              <w:t>本)的古加和国笑12016378号1</w:t>
            </w:r>
          </w:p>
        </w:tc>
      </w:tr>
      <w:tr>
        <w:trPr>
          <w:trHeight w:val="1068" w:hRule="atLeast"/>
        </w:trPr>
        <w:tc>
          <w:tcPr>
            <w:tcW w:w="574" w:type="dxa"/>
            <w:vAlign w:val="top"/>
          </w:tcPr>
          <w:p>
            <w:pPr>
              <w:spacing w:line="437" w:lineRule="auto"/>
              <w:rPr>
                <w:rFonts w:ascii="Arial"/>
                <w:sz w:val="21"/>
              </w:rPr>
            </w:pPr>
            <w:r/>
          </w:p>
          <w:p>
            <w:pPr>
              <w:pStyle w:val="TableText"/>
              <w:ind w:left="194"/>
              <w:spacing w:before="56" w:line="183" w:lineRule="auto"/>
              <w:rPr>
                <w:sz w:val="17"/>
                <w:szCs w:val="17"/>
              </w:rPr>
            </w:pPr>
            <w:r>
              <w:rPr>
                <w:sz w:val="17"/>
                <w:szCs w:val="17"/>
                <w:spacing w:val="-2"/>
              </w:rPr>
              <w:t>47</w:t>
            </w:r>
          </w:p>
        </w:tc>
        <w:tc>
          <w:tcPr>
            <w:tcW w:w="1299" w:type="dxa"/>
            <w:vAlign w:val="top"/>
          </w:tcPr>
          <w:p>
            <w:pPr>
              <w:spacing w:line="394" w:lineRule="auto"/>
              <w:rPr>
                <w:rFonts w:ascii="Arial"/>
                <w:sz w:val="21"/>
              </w:rPr>
            </w:pPr>
            <w:r/>
          </w:p>
          <w:p>
            <w:pPr>
              <w:pStyle w:val="TableText"/>
              <w:ind w:left="40"/>
              <w:spacing w:before="55" w:line="219" w:lineRule="auto"/>
              <w:rPr>
                <w:sz w:val="17"/>
                <w:szCs w:val="17"/>
              </w:rPr>
            </w:pPr>
            <w:r>
              <w:rPr>
                <w:sz w:val="17"/>
                <w:szCs w:val="17"/>
                <w:spacing w:val="-2"/>
              </w:rPr>
              <w:t>工业和信息化部</w:t>
            </w:r>
          </w:p>
        </w:tc>
        <w:tc>
          <w:tcPr>
            <w:tcW w:w="1638" w:type="dxa"/>
            <w:vAlign w:val="top"/>
          </w:tcPr>
          <w:p>
            <w:pPr>
              <w:spacing w:line="314" w:lineRule="auto"/>
              <w:rPr>
                <w:rFonts w:ascii="Arial"/>
                <w:sz w:val="21"/>
              </w:rPr>
            </w:pPr>
            <w:r/>
          </w:p>
          <w:p>
            <w:pPr>
              <w:pStyle w:val="TableText"/>
              <w:ind w:left="72" w:right="63" w:hanging="30"/>
              <w:spacing w:before="55" w:line="219" w:lineRule="auto"/>
              <w:rPr>
                <w:sz w:val="17"/>
                <w:szCs w:val="17"/>
              </w:rPr>
            </w:pPr>
            <w:r>
              <w:rPr>
                <w:sz w:val="17"/>
                <w:szCs w:val="17"/>
                <w:spacing w:val="-1"/>
              </w:rPr>
              <w:t>面路机动车熟生产企</w:t>
            </w:r>
            <w:r>
              <w:rPr>
                <w:sz w:val="17"/>
                <w:szCs w:val="17"/>
              </w:rPr>
              <w:t xml:space="preserve"> </w:t>
            </w:r>
            <w:r>
              <w:rPr>
                <w:sz w:val="17"/>
                <w:szCs w:val="17"/>
                <w:spacing w:val="-1"/>
              </w:rPr>
              <w:t>业准入许可</w:t>
            </w:r>
          </w:p>
        </w:tc>
        <w:tc>
          <w:tcPr>
            <w:tcW w:w="2367" w:type="dxa"/>
            <w:vAlign w:val="top"/>
          </w:tcPr>
          <w:p>
            <w:pPr>
              <w:spacing w:line="394" w:lineRule="auto"/>
              <w:rPr>
                <w:rFonts w:ascii="Arial"/>
                <w:sz w:val="21"/>
              </w:rPr>
            </w:pPr>
            <w:r/>
          </w:p>
          <w:p>
            <w:pPr>
              <w:pStyle w:val="TableText"/>
              <w:ind w:left="74"/>
              <w:spacing w:before="56" w:line="220" w:lineRule="auto"/>
              <w:rPr>
                <w:sz w:val="17"/>
                <w:szCs w:val="17"/>
              </w:rPr>
            </w:pPr>
            <w:r>
              <w:rPr>
                <w:sz w:val="17"/>
                <w:szCs w:val="17"/>
                <w:spacing w:val="-2"/>
              </w:rPr>
              <w:t>工业和情息化故</w:t>
            </w:r>
          </w:p>
        </w:tc>
        <w:tc>
          <w:tcPr>
            <w:tcW w:w="3701" w:type="dxa"/>
            <w:vAlign w:val="top"/>
          </w:tcPr>
          <w:p>
            <w:pPr>
              <w:pStyle w:val="TableText"/>
              <w:ind w:left="64" w:right="4" w:hanging="64"/>
              <w:spacing w:before="60" w:line="207" w:lineRule="auto"/>
              <w:rPr>
                <w:sz w:val="17"/>
                <w:szCs w:val="17"/>
              </w:rPr>
            </w:pPr>
            <w:r>
              <w:rPr>
                <w:sz w:val="17"/>
                <w:szCs w:val="17"/>
                <w:spacing w:val="-3"/>
              </w:rPr>
              <w:t>《国务欧对消需促留的行础审批项日设定行政许可</w:t>
            </w:r>
            <w:r>
              <w:rPr>
                <w:sz w:val="17"/>
                <w:szCs w:val="17"/>
                <w:spacing w:val="11"/>
              </w:rPr>
              <w:t xml:space="preserve"> </w:t>
            </w:r>
            <w:r>
              <w:rPr>
                <w:sz w:val="17"/>
                <w:szCs w:val="17"/>
                <w:spacing w:val="-2"/>
              </w:rPr>
              <w:t>的决定》</w:t>
            </w:r>
          </w:p>
          <w:p>
            <w:pPr>
              <w:pStyle w:val="TableText"/>
              <w:ind w:left="54" w:hanging="54"/>
              <w:spacing w:line="223" w:lineRule="auto"/>
              <w:jc w:val="both"/>
              <w:rPr>
                <w:sz w:val="17"/>
                <w:szCs w:val="17"/>
              </w:rPr>
            </w:pPr>
            <w:r>
              <w:rPr>
                <w:sz w:val="17"/>
                <w:szCs w:val="17"/>
                <w:spacing w:val="-4"/>
              </w:rPr>
              <w:t>《国务隐办公厅发于印发工业和信皇化都主要裂责</w:t>
            </w:r>
            <w:r>
              <w:rPr>
                <w:sz w:val="17"/>
                <w:szCs w:val="17"/>
                <w:spacing w:val="10"/>
              </w:rPr>
              <w:t xml:space="preserve"> </w:t>
            </w:r>
            <w:r>
              <w:rPr>
                <w:sz w:val="17"/>
                <w:szCs w:val="17"/>
                <w:spacing w:val="-1"/>
              </w:rPr>
              <w:t>内设机构和人员监制烷定的面知(围办发C200MD?2</w:t>
            </w:r>
            <w:r>
              <w:rPr>
                <w:sz w:val="17"/>
                <w:szCs w:val="17"/>
                <w:spacing w:val="6"/>
              </w:rPr>
              <w:t xml:space="preserve"> </w:t>
            </w:r>
            <w:r>
              <w:rPr>
                <w:sz w:val="17"/>
                <w:szCs w:val="17"/>
                <w:spacing w:val="-7"/>
              </w:rPr>
              <w:t>号</w:t>
            </w:r>
            <w:r>
              <w:rPr>
                <w:sz w:val="17"/>
                <w:szCs w:val="17"/>
                <w:spacing w:val="-35"/>
              </w:rPr>
              <w:t xml:space="preserve"> </w:t>
            </w:r>
            <w:r>
              <w:rPr>
                <w:sz w:val="17"/>
                <w:szCs w:val="17"/>
                <w:spacing w:val="-7"/>
              </w:rPr>
              <w:t>)</w:t>
            </w:r>
          </w:p>
        </w:tc>
      </w:tr>
      <w:tr>
        <w:trPr>
          <w:trHeight w:val="669" w:hRule="atLeast"/>
        </w:trPr>
        <w:tc>
          <w:tcPr>
            <w:tcW w:w="574" w:type="dxa"/>
            <w:vAlign w:val="top"/>
          </w:tcPr>
          <w:p>
            <w:pPr>
              <w:spacing w:line="241" w:lineRule="auto"/>
              <w:rPr>
                <w:rFonts w:ascii="Arial"/>
                <w:sz w:val="21"/>
              </w:rPr>
            </w:pPr>
            <w:r/>
          </w:p>
          <w:p>
            <w:pPr>
              <w:pStyle w:val="TableText"/>
              <w:ind w:left="194"/>
              <w:spacing w:before="55" w:line="183" w:lineRule="auto"/>
              <w:rPr>
                <w:sz w:val="17"/>
                <w:szCs w:val="17"/>
              </w:rPr>
            </w:pPr>
            <w:r>
              <w:rPr>
                <w:sz w:val="17"/>
                <w:szCs w:val="17"/>
                <w:spacing w:val="-2"/>
              </w:rPr>
              <w:t>4B</w:t>
            </w:r>
          </w:p>
        </w:tc>
        <w:tc>
          <w:tcPr>
            <w:tcW w:w="1299" w:type="dxa"/>
            <w:vAlign w:val="top"/>
          </w:tcPr>
          <w:p>
            <w:pPr>
              <w:pStyle w:val="TableText"/>
              <w:ind w:left="40"/>
              <w:spacing w:before="254" w:line="219" w:lineRule="auto"/>
              <w:rPr>
                <w:sz w:val="17"/>
                <w:szCs w:val="17"/>
              </w:rPr>
            </w:pPr>
            <w:r>
              <w:rPr>
                <w:sz w:val="17"/>
                <w:szCs w:val="17"/>
                <w:spacing w:val="-2"/>
              </w:rPr>
              <w:t>工业和信息化部</w:t>
            </w:r>
          </w:p>
        </w:tc>
        <w:tc>
          <w:tcPr>
            <w:tcW w:w="1638" w:type="dxa"/>
            <w:vAlign w:val="top"/>
          </w:tcPr>
          <w:p>
            <w:pPr>
              <w:pStyle w:val="TableText"/>
              <w:ind w:left="82" w:right="61" w:hanging="40"/>
              <w:spacing w:before="173" w:line="214" w:lineRule="auto"/>
              <w:rPr>
                <w:sz w:val="17"/>
                <w:szCs w:val="17"/>
              </w:rPr>
            </w:pPr>
            <w:r>
              <w:rPr>
                <w:sz w:val="17"/>
                <w:szCs w:val="17"/>
                <w:spacing w:val="-1"/>
              </w:rPr>
              <w:t>道庭机动平票产品准</w:t>
            </w:r>
            <w:r>
              <w:rPr>
                <w:sz w:val="17"/>
                <w:szCs w:val="17"/>
                <w:spacing w:val="2"/>
              </w:rPr>
              <w:t xml:space="preserve"> </w:t>
            </w:r>
            <w:r>
              <w:rPr>
                <w:sz w:val="17"/>
                <w:szCs w:val="17"/>
                <w:spacing w:val="7"/>
              </w:rPr>
              <w:t>人诈司</w:t>
            </w:r>
          </w:p>
        </w:tc>
        <w:tc>
          <w:tcPr>
            <w:tcW w:w="2367" w:type="dxa"/>
            <w:vAlign w:val="top"/>
          </w:tcPr>
          <w:p>
            <w:pPr>
              <w:pStyle w:val="TableText"/>
              <w:ind w:left="74"/>
              <w:spacing w:before="252" w:line="219" w:lineRule="auto"/>
              <w:rPr>
                <w:sz w:val="17"/>
                <w:szCs w:val="17"/>
              </w:rPr>
            </w:pPr>
            <w:r>
              <w:rPr>
                <w:sz w:val="17"/>
                <w:szCs w:val="17"/>
                <w:spacing w:val="-2"/>
              </w:rPr>
              <w:t>工业和借息化馨</w:t>
            </w:r>
          </w:p>
        </w:tc>
        <w:tc>
          <w:tcPr>
            <w:tcW w:w="3701" w:type="dxa"/>
            <w:vAlign w:val="top"/>
          </w:tcPr>
          <w:p>
            <w:pPr>
              <w:pStyle w:val="TableText"/>
              <w:spacing w:before="73" w:line="195" w:lineRule="auto"/>
              <w:rPr>
                <w:sz w:val="17"/>
                <w:szCs w:val="17"/>
              </w:rPr>
            </w:pPr>
            <w:r>
              <w:rPr>
                <w:sz w:val="17"/>
                <w:szCs w:val="17"/>
                <w:spacing w:val="-4"/>
              </w:rPr>
              <w:t>《中华人民共和国道路交通安全法》</w:t>
            </w:r>
          </w:p>
          <w:p>
            <w:pPr>
              <w:pStyle w:val="TableText"/>
              <w:ind w:left="46" w:firstLine="79"/>
              <w:spacing w:line="220" w:lineRule="auto"/>
              <w:rPr>
                <w:sz w:val="17"/>
                <w:szCs w:val="17"/>
              </w:rPr>
            </w:pPr>
            <w:r>
              <w:rPr>
                <w:sz w:val="17"/>
                <w:szCs w:val="17"/>
                <w:spacing w:val="-1"/>
              </w:rPr>
              <w:t>国务院时确需保睛的行政审批明目设定行政许司</w:t>
            </w:r>
            <w:r>
              <w:rPr>
                <w:sz w:val="17"/>
                <w:szCs w:val="17"/>
                <w:spacing w:val="14"/>
              </w:rPr>
              <w:t xml:space="preserve"> </w:t>
            </w:r>
            <w:r>
              <w:rPr>
                <w:sz w:val="17"/>
                <w:szCs w:val="17"/>
                <w:spacing w:val="2"/>
              </w:rPr>
              <w:t>的庚定</w:t>
            </w:r>
          </w:p>
        </w:tc>
      </w:tr>
      <w:tr>
        <w:trPr>
          <w:trHeight w:val="469" w:hRule="atLeast"/>
        </w:trPr>
        <w:tc>
          <w:tcPr>
            <w:tcW w:w="574" w:type="dxa"/>
            <w:vAlign w:val="top"/>
          </w:tcPr>
          <w:p>
            <w:pPr>
              <w:pStyle w:val="TableText"/>
              <w:ind w:left="194"/>
              <w:spacing w:before="198" w:line="183" w:lineRule="auto"/>
              <w:rPr>
                <w:sz w:val="17"/>
                <w:szCs w:val="17"/>
              </w:rPr>
            </w:pPr>
            <w:r>
              <w:rPr>
                <w:sz w:val="17"/>
                <w:szCs w:val="17"/>
                <w:spacing w:val="-2"/>
              </w:rPr>
              <w:t>40</w:t>
            </w:r>
          </w:p>
        </w:tc>
        <w:tc>
          <w:tcPr>
            <w:tcW w:w="1299" w:type="dxa"/>
            <w:vAlign w:val="top"/>
          </w:tcPr>
          <w:p>
            <w:pPr>
              <w:pStyle w:val="TableText"/>
              <w:ind w:left="1"/>
              <w:spacing w:before="153" w:line="219" w:lineRule="auto"/>
              <w:rPr>
                <w:sz w:val="17"/>
                <w:szCs w:val="17"/>
              </w:rPr>
            </w:pPr>
            <w:r>
              <w:rPr>
                <w:sz w:val="17"/>
                <w:szCs w:val="17"/>
                <w:spacing w:val="-2"/>
              </w:rPr>
              <w:t>丁.业和借享化犀</w:t>
            </w:r>
          </w:p>
        </w:tc>
        <w:tc>
          <w:tcPr>
            <w:tcW w:w="1638" w:type="dxa"/>
            <w:vAlign w:val="top"/>
          </w:tcPr>
          <w:p>
            <w:pPr>
              <w:pStyle w:val="TableText"/>
              <w:ind w:left="52" w:right="41" w:hanging="10"/>
              <w:spacing w:before="64" w:line="214" w:lineRule="auto"/>
              <w:rPr>
                <w:sz w:val="17"/>
                <w:szCs w:val="17"/>
              </w:rPr>
            </w:pPr>
            <w:r>
              <w:rPr>
                <w:sz w:val="17"/>
                <w:szCs w:val="17"/>
                <w:spacing w:val="1"/>
              </w:rPr>
              <w:t>食盐定点生产合故审</w:t>
            </w:r>
            <w:r>
              <w:rPr>
                <w:sz w:val="17"/>
                <w:szCs w:val="17"/>
                <w:spacing w:val="4"/>
              </w:rPr>
              <w:t xml:space="preserve"> </w:t>
            </w:r>
            <w:r>
              <w:rPr>
                <w:sz w:val="17"/>
                <w:szCs w:val="17"/>
              </w:rPr>
              <w:t>批</w:t>
            </w:r>
          </w:p>
        </w:tc>
        <w:tc>
          <w:tcPr>
            <w:tcW w:w="2367" w:type="dxa"/>
            <w:vAlign w:val="top"/>
          </w:tcPr>
          <w:p>
            <w:pPr>
              <w:pStyle w:val="TableText"/>
              <w:ind w:left="74"/>
              <w:spacing w:before="155" w:line="219" w:lineRule="auto"/>
              <w:rPr>
                <w:sz w:val="17"/>
                <w:szCs w:val="17"/>
              </w:rPr>
            </w:pPr>
            <w:r>
              <w:rPr>
                <w:sz w:val="17"/>
                <w:szCs w:val="17"/>
                <w:spacing w:val="2"/>
              </w:rPr>
              <w:t>着级盐止主管繁门</w:t>
            </w:r>
          </w:p>
        </w:tc>
        <w:tc>
          <w:tcPr>
            <w:tcW w:w="3701" w:type="dxa"/>
            <w:vAlign w:val="top"/>
          </w:tcPr>
          <w:p>
            <w:pPr>
              <w:pStyle w:val="TableText"/>
              <w:spacing w:before="155" w:line="219" w:lineRule="auto"/>
              <w:rPr>
                <w:sz w:val="17"/>
                <w:szCs w:val="17"/>
              </w:rPr>
            </w:pPr>
            <w:r>
              <w:rPr>
                <w:sz w:val="17"/>
                <w:szCs w:val="17"/>
                <w:spacing w:val="-6"/>
              </w:rPr>
              <w:t>《食盐专营办居》</w:t>
            </w:r>
          </w:p>
        </w:tc>
      </w:tr>
      <w:tr>
        <w:trPr>
          <w:trHeight w:val="469" w:hRule="atLeast"/>
        </w:trPr>
        <w:tc>
          <w:tcPr>
            <w:tcW w:w="574" w:type="dxa"/>
            <w:vAlign w:val="top"/>
          </w:tcPr>
          <w:p>
            <w:pPr>
              <w:pStyle w:val="TableText"/>
              <w:ind w:left="194"/>
              <w:spacing w:before="199" w:line="183" w:lineRule="auto"/>
              <w:rPr>
                <w:sz w:val="17"/>
                <w:szCs w:val="17"/>
              </w:rPr>
            </w:pPr>
            <w:r>
              <w:rPr>
                <w:sz w:val="17"/>
                <w:szCs w:val="17"/>
                <w:spacing w:val="-3"/>
              </w:rPr>
              <w:t>50</w:t>
            </w:r>
          </w:p>
        </w:tc>
        <w:tc>
          <w:tcPr>
            <w:tcW w:w="1299" w:type="dxa"/>
            <w:vAlign w:val="top"/>
          </w:tcPr>
          <w:p>
            <w:pPr>
              <w:pStyle w:val="TableText"/>
              <w:ind w:left="40"/>
              <w:spacing w:before="156" w:line="219" w:lineRule="auto"/>
              <w:rPr>
                <w:sz w:val="17"/>
                <w:szCs w:val="17"/>
              </w:rPr>
            </w:pPr>
            <w:r>
              <w:rPr>
                <w:sz w:val="17"/>
                <w:szCs w:val="17"/>
                <w:spacing w:val="-2"/>
              </w:rPr>
              <w:t>工或和信息化路</w:t>
            </w:r>
          </w:p>
        </w:tc>
        <w:tc>
          <w:tcPr>
            <w:tcW w:w="1638" w:type="dxa"/>
            <w:vAlign w:val="top"/>
          </w:tcPr>
          <w:p>
            <w:pPr>
              <w:pStyle w:val="TableText"/>
              <w:ind w:left="52" w:right="62" w:hanging="10"/>
              <w:spacing w:before="85" w:line="203" w:lineRule="auto"/>
              <w:rPr>
                <w:sz w:val="17"/>
                <w:szCs w:val="17"/>
              </w:rPr>
            </w:pPr>
            <w:r>
              <w:rPr>
                <w:sz w:val="17"/>
                <w:szCs w:val="17"/>
                <w:spacing w:val="-1"/>
              </w:rPr>
              <w:t>食业定点批发正坐市</w:t>
            </w:r>
            <w:r>
              <w:rPr>
                <w:sz w:val="17"/>
                <w:szCs w:val="17"/>
                <w:spacing w:val="1"/>
              </w:rPr>
              <w:t xml:space="preserve"> </w:t>
            </w:r>
            <w:r>
              <w:rPr>
                <w:sz w:val="17"/>
                <w:szCs w:val="17"/>
              </w:rPr>
              <w:t>此</w:t>
            </w:r>
          </w:p>
        </w:tc>
        <w:tc>
          <w:tcPr>
            <w:tcW w:w="2367" w:type="dxa"/>
            <w:vAlign w:val="top"/>
          </w:tcPr>
          <w:p>
            <w:pPr>
              <w:pStyle w:val="TableText"/>
              <w:ind w:left="74"/>
              <w:spacing w:before="156" w:line="219" w:lineRule="auto"/>
              <w:rPr>
                <w:sz w:val="17"/>
                <w:szCs w:val="17"/>
              </w:rPr>
            </w:pPr>
            <w:r>
              <w:rPr>
                <w:sz w:val="17"/>
                <w:szCs w:val="17"/>
                <w:spacing w:val="2"/>
              </w:rPr>
              <w:t>古级盐业主管每门</w:t>
            </w:r>
          </w:p>
        </w:tc>
        <w:tc>
          <w:tcPr>
            <w:tcW w:w="3701" w:type="dxa"/>
            <w:vAlign w:val="top"/>
          </w:tcPr>
          <w:p>
            <w:pPr>
              <w:pStyle w:val="TableText"/>
              <w:spacing w:before="156" w:line="219" w:lineRule="auto"/>
              <w:rPr>
                <w:sz w:val="17"/>
                <w:szCs w:val="17"/>
              </w:rPr>
            </w:pPr>
            <w:r>
              <w:rPr>
                <w:sz w:val="17"/>
                <w:szCs w:val="17"/>
                <w:spacing w:val="-6"/>
              </w:rPr>
              <w:t>《食老专营办法》</w:t>
            </w:r>
          </w:p>
        </w:tc>
      </w:tr>
      <w:tr>
        <w:trPr>
          <w:trHeight w:val="325" w:hRule="atLeast"/>
        </w:trPr>
        <w:tc>
          <w:tcPr>
            <w:tcW w:w="574" w:type="dxa"/>
            <w:vAlign w:val="top"/>
          </w:tcPr>
          <w:p>
            <w:pPr>
              <w:pStyle w:val="TableText"/>
              <w:ind w:left="194"/>
              <w:spacing w:before="129" w:line="184" w:lineRule="auto"/>
              <w:rPr>
                <w:sz w:val="17"/>
                <w:szCs w:val="17"/>
              </w:rPr>
            </w:pPr>
            <w:r>
              <w:rPr>
                <w:sz w:val="17"/>
                <w:szCs w:val="17"/>
                <w:spacing w:val="-3"/>
              </w:rPr>
              <w:t>51</w:t>
            </w:r>
          </w:p>
        </w:tc>
        <w:tc>
          <w:tcPr>
            <w:tcW w:w="1299" w:type="dxa"/>
            <w:vAlign w:val="top"/>
          </w:tcPr>
          <w:p>
            <w:pPr>
              <w:pStyle w:val="TableText"/>
              <w:ind w:left="40"/>
              <w:spacing w:before="87" w:line="219" w:lineRule="auto"/>
              <w:rPr>
                <w:sz w:val="17"/>
                <w:szCs w:val="17"/>
              </w:rPr>
            </w:pPr>
            <w:r>
              <w:rPr>
                <w:sz w:val="17"/>
                <w:szCs w:val="17"/>
                <w:spacing w:val="-2"/>
              </w:rPr>
              <w:t>工重和信鸟化部</w:t>
            </w:r>
          </w:p>
        </w:tc>
        <w:tc>
          <w:tcPr>
            <w:tcW w:w="1638" w:type="dxa"/>
            <w:vAlign w:val="top"/>
          </w:tcPr>
          <w:p>
            <w:pPr>
              <w:pStyle w:val="TableText"/>
              <w:ind w:left="42"/>
              <w:spacing w:before="87" w:line="220" w:lineRule="auto"/>
              <w:rPr>
                <w:sz w:val="17"/>
                <w:szCs w:val="17"/>
              </w:rPr>
            </w:pPr>
            <w:r>
              <w:rPr>
                <w:sz w:val="17"/>
                <w:szCs w:val="17"/>
              </w:rPr>
              <w:t>电子认证想奔许可</w:t>
            </w:r>
          </w:p>
        </w:tc>
        <w:tc>
          <w:tcPr>
            <w:tcW w:w="2367" w:type="dxa"/>
            <w:vAlign w:val="top"/>
          </w:tcPr>
          <w:p>
            <w:pPr>
              <w:pStyle w:val="TableText"/>
              <w:ind w:left="74"/>
              <w:spacing w:before="87" w:line="219" w:lineRule="auto"/>
              <w:rPr>
                <w:sz w:val="17"/>
                <w:szCs w:val="17"/>
              </w:rPr>
            </w:pPr>
            <w:r>
              <w:rPr>
                <w:sz w:val="17"/>
                <w:szCs w:val="17"/>
                <w:spacing w:val="-2"/>
              </w:rPr>
              <w:t>工业和信电化部</w:t>
            </w:r>
          </w:p>
        </w:tc>
        <w:tc>
          <w:tcPr>
            <w:tcW w:w="3701" w:type="dxa"/>
            <w:vAlign w:val="top"/>
          </w:tcPr>
          <w:p>
            <w:pPr>
              <w:pStyle w:val="TableText"/>
              <w:spacing w:before="87" w:line="220" w:lineRule="auto"/>
              <w:rPr>
                <w:sz w:val="17"/>
                <w:szCs w:val="17"/>
              </w:rPr>
            </w:pPr>
            <w:r>
              <w:rPr>
                <w:sz w:val="17"/>
                <w:szCs w:val="17"/>
                <w:spacing w:val="-3"/>
              </w:rPr>
              <w:t>《中华人民其和国电子签名法)</w:t>
            </w:r>
          </w:p>
        </w:tc>
      </w:tr>
    </w:tbl>
    <w:p>
      <w:pPr>
        <w:pStyle w:val="BodyText"/>
        <w:rPr/>
      </w:pPr>
      <w:r/>
    </w:p>
    <w:p>
      <w:pPr>
        <w:sectPr>
          <w:pgSz w:w="11910" w:h="8220"/>
          <w:pgMar w:top="400" w:right="118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26176"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72" name="TextBox 172"/>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4" style="position:absolute;margin-left:37.3042pt;margin-top:345.874pt;mso-position-vertical-relative:page;mso-position-horizontal-relative:page;width:13.1pt;height:12.4pt;z-index:25182617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167</w:t>
                      </w:r>
                    </w:p>
                  </w:txbxContent>
                </v:textbox>
              </v:shape>
            </w:pict>
          </mc:Fallback>
        </mc:AlternateContent>
      </w:r>
      <w:r/>
    </w:p>
    <w:tbl>
      <w:tblPr>
        <w:tblStyle w:val="TableNormal"/>
        <w:tblW w:w="957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28"/>
        <w:gridCol w:w="2377"/>
        <w:gridCol w:w="3701"/>
      </w:tblGrid>
      <w:tr>
        <w:trPr>
          <w:trHeight w:val="41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中央主营部门</w:t>
            </w:r>
          </w:p>
        </w:tc>
        <w:tc>
          <w:tcPr>
            <w:tcW w:w="1628" w:type="dxa"/>
            <w:vAlign w:val="top"/>
          </w:tcPr>
          <w:p>
            <w:pPr>
              <w:pStyle w:val="TableText"/>
              <w:ind w:left="451"/>
              <w:spacing w:before="132" w:line="220" w:lineRule="auto"/>
              <w:rPr>
                <w:sz w:val="16"/>
                <w:szCs w:val="16"/>
              </w:rPr>
            </w:pPr>
            <w:r>
              <w:rPr>
                <w:sz w:val="16"/>
                <w:szCs w:val="16"/>
                <w:spacing w:val="-2"/>
              </w:rPr>
              <w:t>事填老称</w:t>
            </w:r>
          </w:p>
        </w:tc>
        <w:tc>
          <w:tcPr>
            <w:tcW w:w="2377" w:type="dxa"/>
            <w:vAlign w:val="top"/>
          </w:tcPr>
          <w:p>
            <w:pPr>
              <w:pStyle w:val="TableText"/>
              <w:ind w:left="854"/>
              <w:spacing w:before="131" w:line="219" w:lineRule="auto"/>
              <w:rPr>
                <w:sz w:val="16"/>
                <w:szCs w:val="16"/>
              </w:rPr>
            </w:pPr>
            <w:r>
              <w:rPr>
                <w:sz w:val="16"/>
                <w:szCs w:val="16"/>
                <w:spacing w:val="-2"/>
              </w:rPr>
              <w:t>实施抓关</w:t>
            </w:r>
          </w:p>
        </w:tc>
        <w:tc>
          <w:tcPr>
            <w:tcW w:w="3701" w:type="dxa"/>
            <w:vAlign w:val="top"/>
          </w:tcPr>
          <w:p>
            <w:pPr>
              <w:pStyle w:val="TableText"/>
              <w:ind w:left="1266"/>
              <w:spacing w:before="131" w:line="219" w:lineRule="auto"/>
              <w:rPr>
                <w:sz w:val="16"/>
                <w:szCs w:val="16"/>
              </w:rPr>
            </w:pPr>
            <w:r>
              <w:rPr>
                <w:sz w:val="16"/>
                <w:szCs w:val="16"/>
                <w:spacing w:val="-2"/>
              </w:rPr>
              <w:t>设定和实施体据</w:t>
            </w:r>
          </w:p>
        </w:tc>
      </w:tr>
      <w:tr>
        <w:trPr>
          <w:trHeight w:val="489" w:hRule="atLeast"/>
        </w:trPr>
        <w:tc>
          <w:tcPr>
            <w:tcW w:w="594" w:type="dxa"/>
            <w:vAlign w:val="top"/>
          </w:tcPr>
          <w:p>
            <w:pPr>
              <w:pStyle w:val="TableText"/>
              <w:ind w:left="204"/>
              <w:spacing w:before="207" w:line="183" w:lineRule="auto"/>
              <w:rPr>
                <w:sz w:val="16"/>
                <w:szCs w:val="16"/>
              </w:rPr>
            </w:pPr>
            <w:r>
              <w:rPr>
                <w:sz w:val="16"/>
                <w:szCs w:val="16"/>
                <w:spacing w:val="-3"/>
              </w:rPr>
              <w:t>52</w:t>
            </w:r>
          </w:p>
        </w:tc>
        <w:tc>
          <w:tcPr>
            <w:tcW w:w="1279" w:type="dxa"/>
            <w:vAlign w:val="top"/>
          </w:tcPr>
          <w:p>
            <w:pPr>
              <w:pStyle w:val="TableText"/>
              <w:ind w:left="70"/>
              <w:spacing w:before="166" w:line="219" w:lineRule="auto"/>
              <w:rPr>
                <w:sz w:val="16"/>
                <w:szCs w:val="16"/>
              </w:rPr>
            </w:pPr>
            <w:r>
              <w:rPr>
                <w:sz w:val="16"/>
                <w:szCs w:val="16"/>
                <w:spacing w:val="-2"/>
              </w:rPr>
              <w:t>下业和信息化童</w:t>
            </w:r>
          </w:p>
        </w:tc>
        <w:tc>
          <w:tcPr>
            <w:tcW w:w="1628" w:type="dxa"/>
            <w:vAlign w:val="top"/>
          </w:tcPr>
          <w:p>
            <w:pPr>
              <w:pStyle w:val="TableText"/>
              <w:ind w:left="62" w:right="122"/>
              <w:spacing w:before="66" w:line="231" w:lineRule="auto"/>
              <w:rPr>
                <w:sz w:val="16"/>
                <w:szCs w:val="16"/>
              </w:rPr>
            </w:pPr>
            <w:r>
              <w:rPr>
                <w:sz w:val="16"/>
                <w:szCs w:val="16"/>
                <w:spacing w:val="-1"/>
              </w:rPr>
              <w:t>境内单位相用能升卫</w:t>
            </w:r>
            <w:r>
              <w:rPr>
                <w:sz w:val="16"/>
                <w:szCs w:val="16"/>
                <w:spacing w:val="1"/>
              </w:rPr>
              <w:t xml:space="preserve"> </w:t>
            </w:r>
            <w:r>
              <w:rPr>
                <w:sz w:val="16"/>
                <w:szCs w:val="16"/>
                <w:spacing w:val="-2"/>
              </w:rPr>
              <w:t>毫异氰核市</w:t>
            </w:r>
          </w:p>
        </w:tc>
        <w:tc>
          <w:tcPr>
            <w:tcW w:w="2377" w:type="dxa"/>
            <w:vAlign w:val="top"/>
          </w:tcPr>
          <w:p>
            <w:pPr>
              <w:pStyle w:val="TableText"/>
              <w:ind w:left="64"/>
              <w:spacing w:before="166" w:line="219" w:lineRule="auto"/>
              <w:rPr>
                <w:sz w:val="16"/>
                <w:szCs w:val="16"/>
              </w:rPr>
            </w:pPr>
            <w:r>
              <w:rPr>
                <w:sz w:val="16"/>
                <w:szCs w:val="16"/>
                <w:spacing w:val="-1"/>
              </w:rPr>
              <w:t>工业和信意化前</w:t>
            </w:r>
          </w:p>
        </w:tc>
        <w:tc>
          <w:tcPr>
            <w:tcW w:w="3701" w:type="dxa"/>
            <w:vAlign w:val="top"/>
          </w:tcPr>
          <w:p>
            <w:pPr>
              <w:pStyle w:val="TableText"/>
              <w:ind w:left="46" w:right="257" w:firstLine="20"/>
              <w:spacing w:before="76" w:line="231" w:lineRule="auto"/>
              <w:rPr>
                <w:sz w:val="16"/>
                <w:szCs w:val="16"/>
              </w:rPr>
            </w:pPr>
            <w:r>
              <w:rPr>
                <w:sz w:val="16"/>
                <w:szCs w:val="16"/>
              </w:rPr>
              <w:t>间务院对情需保留的行政案批建目设定行政许可</w:t>
            </w:r>
            <w:r>
              <w:rPr>
                <w:sz w:val="16"/>
                <w:szCs w:val="16"/>
                <w:spacing w:val="5"/>
              </w:rPr>
              <w:t xml:space="preserve"> </w:t>
            </w:r>
            <w:r>
              <w:rPr>
                <w:sz w:val="16"/>
                <w:szCs w:val="16"/>
              </w:rPr>
              <w:t>的决定》</w:t>
            </w:r>
          </w:p>
        </w:tc>
      </w:tr>
      <w:tr>
        <w:trPr>
          <w:trHeight w:val="479" w:hRule="atLeast"/>
        </w:trPr>
        <w:tc>
          <w:tcPr>
            <w:tcW w:w="594" w:type="dxa"/>
            <w:vAlign w:val="top"/>
          </w:tcPr>
          <w:p>
            <w:pPr>
              <w:pStyle w:val="TableText"/>
              <w:ind w:left="204"/>
              <w:spacing w:before="198" w:line="184" w:lineRule="auto"/>
              <w:rPr>
                <w:sz w:val="16"/>
                <w:szCs w:val="16"/>
              </w:rPr>
            </w:pPr>
            <w:r>
              <w:rPr>
                <w:sz w:val="16"/>
                <w:szCs w:val="16"/>
                <w:spacing w:val="-3"/>
              </w:rPr>
              <w:t>51</w:t>
            </w:r>
          </w:p>
        </w:tc>
        <w:tc>
          <w:tcPr>
            <w:tcW w:w="1279" w:type="dxa"/>
            <w:vAlign w:val="top"/>
          </w:tcPr>
          <w:p>
            <w:pPr>
              <w:pStyle w:val="TableText"/>
              <w:ind w:left="70"/>
              <w:spacing w:before="157" w:line="219" w:lineRule="auto"/>
              <w:rPr>
                <w:sz w:val="16"/>
                <w:szCs w:val="16"/>
              </w:rPr>
            </w:pPr>
            <w:r>
              <w:rPr>
                <w:sz w:val="16"/>
                <w:szCs w:val="16"/>
                <w:spacing w:val="-1"/>
              </w:rPr>
              <w:t>工虫和信息化部</w:t>
            </w:r>
          </w:p>
        </w:tc>
        <w:tc>
          <w:tcPr>
            <w:tcW w:w="1628" w:type="dxa"/>
            <w:vAlign w:val="top"/>
          </w:tcPr>
          <w:p>
            <w:pPr>
              <w:pStyle w:val="TableText"/>
              <w:ind w:left="62" w:right="108"/>
              <w:spacing w:before="58" w:line="231" w:lineRule="auto"/>
              <w:rPr>
                <w:sz w:val="16"/>
                <w:szCs w:val="16"/>
              </w:rPr>
            </w:pPr>
            <w:r>
              <w:rPr>
                <w:sz w:val="16"/>
                <w:szCs w:val="16"/>
              </w:rPr>
              <w:t>国际通学出人口病设</w:t>
            </w:r>
            <w:r>
              <w:rPr>
                <w:sz w:val="16"/>
                <w:szCs w:val="16"/>
                <w:spacing w:val="6"/>
              </w:rPr>
              <w:t xml:space="preserve"> </w:t>
            </w:r>
            <w:r>
              <w:rPr>
                <w:sz w:val="16"/>
                <w:szCs w:val="16"/>
                <w:spacing w:val="-2"/>
              </w:rPr>
              <w:t>立审批</w:t>
            </w:r>
          </w:p>
        </w:tc>
        <w:tc>
          <w:tcPr>
            <w:tcW w:w="2377" w:type="dxa"/>
            <w:vAlign w:val="top"/>
          </w:tcPr>
          <w:p>
            <w:pPr>
              <w:pStyle w:val="TableText"/>
              <w:ind w:left="64"/>
              <w:spacing w:before="157" w:line="219" w:lineRule="auto"/>
              <w:rPr>
                <w:sz w:val="16"/>
                <w:szCs w:val="16"/>
              </w:rPr>
            </w:pPr>
            <w:r>
              <w:rPr>
                <w:sz w:val="16"/>
                <w:szCs w:val="16"/>
                <w:spacing w:val="-1"/>
              </w:rPr>
              <w:t>工专和信点化部</w:t>
            </w:r>
          </w:p>
        </w:tc>
        <w:tc>
          <w:tcPr>
            <w:tcW w:w="3701" w:type="dxa"/>
            <w:vAlign w:val="top"/>
          </w:tcPr>
          <w:p>
            <w:pPr>
              <w:pStyle w:val="TableText"/>
              <w:ind w:left="46"/>
              <w:spacing w:before="157" w:line="219" w:lineRule="auto"/>
              <w:rPr>
                <w:sz w:val="16"/>
                <w:szCs w:val="16"/>
              </w:rPr>
            </w:pPr>
            <w:r>
              <w:rPr>
                <w:sz w:val="16"/>
                <w:szCs w:val="16"/>
                <w:spacing w:val="2"/>
              </w:rPr>
              <w:t>4中华人民共和园电信条例)</w:t>
            </w:r>
          </w:p>
        </w:tc>
      </w:tr>
      <w:tr>
        <w:trPr>
          <w:trHeight w:val="300" w:hRule="atLeast"/>
        </w:trPr>
        <w:tc>
          <w:tcPr>
            <w:tcW w:w="594" w:type="dxa"/>
            <w:vAlign w:val="top"/>
          </w:tcPr>
          <w:p>
            <w:pPr>
              <w:pStyle w:val="TableText"/>
              <w:ind w:left="204"/>
              <w:spacing w:before="109" w:line="183" w:lineRule="auto"/>
              <w:rPr>
                <w:sz w:val="16"/>
                <w:szCs w:val="16"/>
              </w:rPr>
            </w:pPr>
            <w:r>
              <w:rPr>
                <w:sz w:val="16"/>
                <w:szCs w:val="16"/>
                <w:spacing w:val="-3"/>
              </w:rPr>
              <w:t>54</w:t>
            </w:r>
          </w:p>
        </w:tc>
        <w:tc>
          <w:tcPr>
            <w:tcW w:w="1279" w:type="dxa"/>
            <w:vAlign w:val="top"/>
          </w:tcPr>
          <w:p>
            <w:pPr>
              <w:pStyle w:val="TableText"/>
              <w:ind w:left="70"/>
              <w:spacing w:before="68" w:line="219" w:lineRule="auto"/>
              <w:rPr>
                <w:sz w:val="16"/>
                <w:szCs w:val="16"/>
              </w:rPr>
            </w:pPr>
            <w:r>
              <w:rPr>
                <w:sz w:val="16"/>
                <w:szCs w:val="16"/>
                <w:spacing w:val="-1"/>
              </w:rPr>
              <w:t>工卷和信息化都</w:t>
            </w:r>
          </w:p>
        </w:tc>
        <w:tc>
          <w:tcPr>
            <w:tcW w:w="1628" w:type="dxa"/>
            <w:vAlign w:val="top"/>
          </w:tcPr>
          <w:p>
            <w:pPr>
              <w:pStyle w:val="TableText"/>
              <w:ind w:left="62"/>
              <w:spacing w:before="68" w:line="219" w:lineRule="auto"/>
              <w:rPr>
                <w:sz w:val="16"/>
                <w:szCs w:val="16"/>
              </w:rPr>
            </w:pPr>
            <w:r>
              <w:rPr>
                <w:sz w:val="16"/>
                <w:szCs w:val="16"/>
                <w:spacing w:val="2"/>
              </w:rPr>
              <w:t>电信设备进同许习</w:t>
            </w:r>
          </w:p>
        </w:tc>
        <w:tc>
          <w:tcPr>
            <w:tcW w:w="2377" w:type="dxa"/>
            <w:vAlign w:val="top"/>
          </w:tcPr>
          <w:p>
            <w:pPr>
              <w:pStyle w:val="TableText"/>
              <w:ind w:left="64"/>
              <w:spacing w:before="68" w:line="219" w:lineRule="auto"/>
              <w:rPr>
                <w:sz w:val="16"/>
                <w:szCs w:val="16"/>
              </w:rPr>
            </w:pPr>
            <w:r>
              <w:rPr>
                <w:sz w:val="16"/>
                <w:szCs w:val="16"/>
                <w:spacing w:val="-1"/>
              </w:rPr>
              <w:t>工泰和信息化罩</w:t>
            </w:r>
          </w:p>
        </w:tc>
        <w:tc>
          <w:tcPr>
            <w:tcW w:w="3701" w:type="dxa"/>
            <w:vAlign w:val="top"/>
          </w:tcPr>
          <w:p>
            <w:pPr>
              <w:pStyle w:val="TableText"/>
              <w:ind w:left="46"/>
              <w:spacing w:before="68" w:line="219" w:lineRule="auto"/>
              <w:rPr>
                <w:sz w:val="16"/>
                <w:szCs w:val="16"/>
              </w:rPr>
            </w:pPr>
            <w:r>
              <w:rPr>
                <w:sz w:val="16"/>
                <w:szCs w:val="16"/>
                <w:spacing w:val="1"/>
              </w:rPr>
              <w:t>1中华人民共和国电信条例1</w:t>
            </w:r>
          </w:p>
        </w:tc>
      </w:tr>
      <w:tr>
        <w:trPr>
          <w:trHeight w:val="879" w:hRule="atLeast"/>
        </w:trPr>
        <w:tc>
          <w:tcPr>
            <w:tcW w:w="594" w:type="dxa"/>
            <w:vAlign w:val="top"/>
          </w:tcPr>
          <w:p>
            <w:pPr>
              <w:spacing w:line="346" w:lineRule="auto"/>
              <w:rPr>
                <w:rFonts w:ascii="Arial"/>
                <w:sz w:val="21"/>
              </w:rPr>
            </w:pPr>
            <w:r/>
          </w:p>
          <w:p>
            <w:pPr>
              <w:pStyle w:val="TableText"/>
              <w:ind w:left="204"/>
              <w:spacing w:before="52" w:line="182" w:lineRule="auto"/>
              <w:rPr>
                <w:sz w:val="16"/>
                <w:szCs w:val="16"/>
              </w:rPr>
            </w:pPr>
            <w:r>
              <w:rPr>
                <w:sz w:val="16"/>
                <w:szCs w:val="16"/>
                <w:spacing w:val="-3"/>
              </w:rPr>
              <w:t>55</w:t>
            </w:r>
          </w:p>
        </w:tc>
        <w:tc>
          <w:tcPr>
            <w:tcW w:w="1279" w:type="dxa"/>
            <w:vAlign w:val="top"/>
          </w:tcPr>
          <w:p>
            <w:pPr>
              <w:spacing w:line="304" w:lineRule="auto"/>
              <w:rPr>
                <w:rFonts w:ascii="Arial"/>
                <w:sz w:val="21"/>
              </w:rPr>
            </w:pPr>
            <w:r/>
          </w:p>
          <w:p>
            <w:pPr>
              <w:pStyle w:val="TableText"/>
              <w:ind w:left="70"/>
              <w:spacing w:before="52" w:line="219" w:lineRule="auto"/>
              <w:rPr>
                <w:sz w:val="16"/>
                <w:szCs w:val="16"/>
              </w:rPr>
            </w:pPr>
            <w:r>
              <w:rPr>
                <w:sz w:val="16"/>
                <w:szCs w:val="16"/>
                <w:spacing w:val="-1"/>
              </w:rPr>
              <w:t>工业和信息化部</w:t>
            </w:r>
          </w:p>
        </w:tc>
        <w:tc>
          <w:tcPr>
            <w:tcW w:w="1628" w:type="dxa"/>
            <w:vAlign w:val="top"/>
          </w:tcPr>
          <w:p>
            <w:pPr>
              <w:pStyle w:val="TableText"/>
              <w:ind w:left="62" w:right="103"/>
              <w:spacing w:before="58" w:line="229" w:lineRule="auto"/>
              <w:jc w:val="both"/>
              <w:rPr>
                <w:sz w:val="16"/>
                <w:szCs w:val="16"/>
              </w:rPr>
            </w:pPr>
            <w:r>
              <w:rPr>
                <w:sz w:val="16"/>
                <w:szCs w:val="16"/>
                <w:spacing w:val="-1"/>
              </w:rPr>
              <w:t>互联同罐名根股各界</w:t>
            </w:r>
            <w:r>
              <w:rPr>
                <w:sz w:val="16"/>
                <w:szCs w:val="16"/>
              </w:rPr>
              <w:t xml:space="preserve"> </w:t>
            </w:r>
            <w:r>
              <w:rPr>
                <w:sz w:val="16"/>
                <w:szCs w:val="16"/>
                <w:spacing w:val="1"/>
              </w:rPr>
              <w:t>战置疫其运行矶构和</w:t>
            </w:r>
            <w:r>
              <w:rPr>
                <w:sz w:val="16"/>
                <w:szCs w:val="16"/>
                <w:spacing w:val="2"/>
              </w:rPr>
              <w:t xml:space="preserve"> </w:t>
            </w:r>
            <w:r>
              <w:rPr>
                <w:sz w:val="16"/>
                <w:szCs w:val="16"/>
                <w:spacing w:val="-1"/>
              </w:rPr>
              <w:t>在册管理瓶内设立电</w:t>
            </w:r>
            <w:r>
              <w:rPr>
                <w:sz w:val="16"/>
                <w:szCs w:val="16"/>
                <w:spacing w:val="2"/>
              </w:rPr>
              <w:t xml:space="preserve"> </w:t>
            </w:r>
            <w:r>
              <w:rPr>
                <w:sz w:val="16"/>
                <w:szCs w:val="16"/>
              </w:rPr>
              <w:t>批</w:t>
            </w:r>
          </w:p>
        </w:tc>
        <w:tc>
          <w:tcPr>
            <w:tcW w:w="2377" w:type="dxa"/>
            <w:vAlign w:val="top"/>
          </w:tcPr>
          <w:p>
            <w:pPr>
              <w:spacing w:line="303" w:lineRule="auto"/>
              <w:rPr>
                <w:rFonts w:ascii="Arial"/>
                <w:sz w:val="21"/>
              </w:rPr>
            </w:pPr>
            <w:r/>
          </w:p>
          <w:p>
            <w:pPr>
              <w:pStyle w:val="TableText"/>
              <w:ind w:left="64"/>
              <w:spacing w:before="52" w:line="219" w:lineRule="auto"/>
              <w:rPr>
                <w:sz w:val="16"/>
                <w:szCs w:val="16"/>
              </w:rPr>
            </w:pPr>
            <w:r>
              <w:rPr>
                <w:sz w:val="16"/>
                <w:szCs w:val="16"/>
                <w:spacing w:val="-1"/>
              </w:rPr>
              <w:t>工业和借息化部</w:t>
            </w:r>
          </w:p>
        </w:tc>
        <w:tc>
          <w:tcPr>
            <w:tcW w:w="3701" w:type="dxa"/>
            <w:vAlign w:val="top"/>
          </w:tcPr>
          <w:p>
            <w:pPr>
              <w:pStyle w:val="TableText"/>
              <w:ind w:left="46" w:right="182" w:firstLine="10"/>
              <w:spacing w:before="258" w:line="231" w:lineRule="auto"/>
              <w:rPr>
                <w:sz w:val="16"/>
                <w:szCs w:val="16"/>
              </w:rPr>
            </w:pPr>
            <w:r>
              <w:rPr>
                <w:sz w:val="16"/>
                <w:szCs w:val="16"/>
              </w:rPr>
              <w:t>1回务院对确需保留的行政审批项目设定行政许弯</w:t>
            </w:r>
            <w:r>
              <w:rPr>
                <w:sz w:val="16"/>
                <w:szCs w:val="16"/>
                <w:spacing w:val="10"/>
              </w:rPr>
              <w:t xml:space="preserve"> </w:t>
            </w:r>
            <w:r>
              <w:rPr>
                <w:sz w:val="16"/>
                <w:szCs w:val="16"/>
                <w:spacing w:val="3"/>
              </w:rPr>
              <w:t>的决定</w:t>
            </w:r>
          </w:p>
        </w:tc>
      </w:tr>
      <w:tr>
        <w:trPr>
          <w:trHeight w:val="489" w:hRule="atLeast"/>
        </w:trPr>
        <w:tc>
          <w:tcPr>
            <w:tcW w:w="594" w:type="dxa"/>
            <w:vAlign w:val="top"/>
          </w:tcPr>
          <w:p>
            <w:pPr>
              <w:pStyle w:val="TableText"/>
              <w:ind w:left="204"/>
              <w:spacing w:before="211" w:line="182" w:lineRule="auto"/>
              <w:rPr>
                <w:sz w:val="16"/>
                <w:szCs w:val="16"/>
              </w:rPr>
            </w:pPr>
            <w:r>
              <w:rPr>
                <w:sz w:val="16"/>
                <w:szCs w:val="16"/>
                <w:spacing w:val="-3"/>
              </w:rPr>
              <w:t>55</w:t>
            </w:r>
          </w:p>
        </w:tc>
        <w:tc>
          <w:tcPr>
            <w:tcW w:w="1279" w:type="dxa"/>
            <w:vAlign w:val="top"/>
          </w:tcPr>
          <w:p>
            <w:pPr>
              <w:pStyle w:val="TableText"/>
              <w:ind w:left="70"/>
              <w:spacing w:before="169" w:line="219" w:lineRule="auto"/>
              <w:rPr>
                <w:sz w:val="16"/>
                <w:szCs w:val="16"/>
              </w:rPr>
            </w:pPr>
            <w:r>
              <w:rPr>
                <w:sz w:val="16"/>
                <w:szCs w:val="16"/>
                <w:spacing w:val="-1"/>
              </w:rPr>
              <w:t>工款和信息化部</w:t>
            </w:r>
          </w:p>
        </w:tc>
        <w:tc>
          <w:tcPr>
            <w:tcW w:w="1628" w:type="dxa"/>
            <w:vAlign w:val="top"/>
          </w:tcPr>
          <w:p>
            <w:pPr>
              <w:pStyle w:val="TableText"/>
              <w:ind w:left="62" w:right="134" w:hanging="10"/>
              <w:spacing w:before="78" w:line="219" w:lineRule="auto"/>
              <w:rPr>
                <w:sz w:val="16"/>
                <w:szCs w:val="16"/>
              </w:rPr>
            </w:pPr>
            <w:r>
              <w:rPr>
                <w:sz w:val="16"/>
                <w:szCs w:val="16"/>
                <w:spacing w:val="-1"/>
              </w:rPr>
              <w:t>没立可联网城东注册</w:t>
            </w:r>
            <w:r>
              <w:rPr>
                <w:sz w:val="16"/>
                <w:szCs w:val="16"/>
              </w:rPr>
              <w:t xml:space="preserve"> </w:t>
            </w:r>
            <w:r>
              <w:rPr>
                <w:sz w:val="16"/>
                <w:szCs w:val="16"/>
                <w:spacing w:val="1"/>
              </w:rPr>
              <w:t>以务机构事世</w:t>
            </w:r>
          </w:p>
        </w:tc>
        <w:tc>
          <w:tcPr>
            <w:tcW w:w="2377" w:type="dxa"/>
            <w:vAlign w:val="top"/>
          </w:tcPr>
          <w:p>
            <w:pPr>
              <w:pStyle w:val="TableText"/>
              <w:ind w:left="64"/>
              <w:spacing w:before="168" w:line="219" w:lineRule="auto"/>
              <w:rPr>
                <w:sz w:val="16"/>
                <w:szCs w:val="16"/>
              </w:rPr>
            </w:pPr>
            <w:r>
              <w:rPr>
                <w:sz w:val="16"/>
                <w:szCs w:val="16"/>
                <w:spacing w:val="1"/>
              </w:rPr>
              <w:t>省，自治区，直幕市通信管理局</w:t>
            </w:r>
          </w:p>
        </w:tc>
        <w:tc>
          <w:tcPr>
            <w:tcW w:w="3701" w:type="dxa"/>
            <w:vAlign w:val="top"/>
          </w:tcPr>
          <w:p>
            <w:pPr>
              <w:pStyle w:val="TableText"/>
              <w:ind w:left="46" w:right="187" w:firstLine="10"/>
              <w:spacing w:before="69" w:line="225" w:lineRule="auto"/>
              <w:rPr>
                <w:sz w:val="16"/>
                <w:szCs w:val="16"/>
              </w:rPr>
            </w:pPr>
            <w:r>
              <w:rPr>
                <w:sz w:val="16"/>
                <w:szCs w:val="16"/>
              </w:rPr>
              <w:t>1国各驶对确障保能的行动审社项日设空行登许可</w:t>
            </w:r>
            <w:r>
              <w:rPr>
                <w:sz w:val="16"/>
                <w:szCs w:val="16"/>
                <w:spacing w:val="5"/>
              </w:rPr>
              <w:t xml:space="preserve"> </w:t>
            </w:r>
            <w:r>
              <w:rPr>
                <w:sz w:val="16"/>
                <w:szCs w:val="16"/>
                <w:spacing w:val="8"/>
              </w:rPr>
              <w:t>的决定)</w:t>
            </w:r>
          </w:p>
        </w:tc>
      </w:tr>
      <w:tr>
        <w:trPr>
          <w:trHeight w:val="479" w:hRule="atLeast"/>
        </w:trPr>
        <w:tc>
          <w:tcPr>
            <w:tcW w:w="594" w:type="dxa"/>
            <w:vAlign w:val="top"/>
          </w:tcPr>
          <w:p>
            <w:pPr>
              <w:pStyle w:val="TableText"/>
              <w:ind w:left="204"/>
              <w:spacing w:before="201" w:line="183" w:lineRule="auto"/>
              <w:rPr>
                <w:sz w:val="16"/>
                <w:szCs w:val="16"/>
              </w:rPr>
            </w:pPr>
            <w:r>
              <w:rPr>
                <w:sz w:val="16"/>
                <w:szCs w:val="16"/>
                <w:spacing w:val="-2"/>
              </w:rPr>
              <w:t>ST</w:t>
            </w:r>
          </w:p>
        </w:tc>
        <w:tc>
          <w:tcPr>
            <w:tcW w:w="1279" w:type="dxa"/>
            <w:vAlign w:val="top"/>
          </w:tcPr>
          <w:p>
            <w:pPr>
              <w:pStyle w:val="TableText"/>
              <w:ind w:left="70"/>
              <w:spacing w:before="160" w:line="219" w:lineRule="auto"/>
              <w:rPr>
                <w:sz w:val="16"/>
                <w:szCs w:val="16"/>
              </w:rPr>
            </w:pPr>
            <w:r>
              <w:rPr>
                <w:sz w:val="16"/>
                <w:szCs w:val="16"/>
                <w:spacing w:val="-1"/>
              </w:rPr>
              <w:t>工业和信息化部</w:t>
            </w:r>
          </w:p>
        </w:tc>
        <w:tc>
          <w:tcPr>
            <w:tcW w:w="1628" w:type="dxa"/>
            <w:vAlign w:val="top"/>
          </w:tcPr>
          <w:p>
            <w:pPr>
              <w:pStyle w:val="TableText"/>
              <w:ind w:left="62"/>
              <w:spacing w:before="160" w:line="219" w:lineRule="auto"/>
              <w:rPr>
                <w:sz w:val="16"/>
                <w:szCs w:val="16"/>
              </w:rPr>
            </w:pPr>
            <w:r>
              <w:rPr>
                <w:sz w:val="16"/>
                <w:szCs w:val="16"/>
              </w:rPr>
              <w:t>电信业务经需件</w:t>
            </w:r>
          </w:p>
        </w:tc>
        <w:tc>
          <w:tcPr>
            <w:tcW w:w="2377" w:type="dxa"/>
            <w:vAlign w:val="top"/>
          </w:tcPr>
          <w:p>
            <w:pPr>
              <w:pStyle w:val="TableText"/>
              <w:ind w:left="64"/>
              <w:spacing w:before="69" w:line="219" w:lineRule="auto"/>
              <w:rPr>
                <w:sz w:val="16"/>
                <w:szCs w:val="16"/>
              </w:rPr>
            </w:pPr>
            <w:r>
              <w:rPr>
                <w:sz w:val="16"/>
                <w:szCs w:val="16"/>
                <w:spacing w:val="-7"/>
              </w:rPr>
              <w:t>工业和信直化部；省，自龄区，直</w:t>
            </w:r>
            <w:r>
              <w:rPr>
                <w:sz w:val="16"/>
                <w:szCs w:val="16"/>
                <w:spacing w:val="6"/>
              </w:rPr>
              <w:t xml:space="preserve"> </w:t>
            </w:r>
            <w:r>
              <w:rPr>
                <w:sz w:val="16"/>
                <w:szCs w:val="16"/>
                <w:spacing w:val="-2"/>
              </w:rPr>
              <w:t>精市通信管提制</w:t>
            </w:r>
          </w:p>
        </w:tc>
        <w:tc>
          <w:tcPr>
            <w:tcW w:w="3701" w:type="dxa"/>
            <w:vAlign w:val="top"/>
          </w:tcPr>
          <w:p>
            <w:pPr>
              <w:pStyle w:val="TableText"/>
              <w:ind w:left="46"/>
              <w:spacing w:before="160" w:line="219" w:lineRule="auto"/>
              <w:rPr>
                <w:sz w:val="16"/>
                <w:szCs w:val="16"/>
              </w:rPr>
            </w:pPr>
            <w:r>
              <w:rPr>
                <w:sz w:val="16"/>
                <w:szCs w:val="16"/>
                <w:spacing w:val="2"/>
              </w:rPr>
              <w:t>1中华人民共和国电信差侧)</w:t>
            </w:r>
          </w:p>
        </w:tc>
      </w:tr>
      <w:tr>
        <w:trPr>
          <w:trHeight w:val="490" w:hRule="atLeast"/>
        </w:trPr>
        <w:tc>
          <w:tcPr>
            <w:tcW w:w="594" w:type="dxa"/>
            <w:vAlign w:val="top"/>
          </w:tcPr>
          <w:p>
            <w:pPr>
              <w:pStyle w:val="TableText"/>
              <w:ind w:left="204"/>
              <w:spacing w:before="212" w:line="183" w:lineRule="auto"/>
              <w:rPr>
                <w:sz w:val="16"/>
                <w:szCs w:val="16"/>
              </w:rPr>
            </w:pPr>
            <w:r>
              <w:rPr>
                <w:sz w:val="16"/>
                <w:szCs w:val="16"/>
                <w:spacing w:val="-3"/>
              </w:rPr>
              <w:t>56</w:t>
            </w:r>
          </w:p>
        </w:tc>
        <w:tc>
          <w:tcPr>
            <w:tcW w:w="1279" w:type="dxa"/>
            <w:vAlign w:val="top"/>
          </w:tcPr>
          <w:p>
            <w:pPr>
              <w:pStyle w:val="TableText"/>
              <w:ind w:left="70"/>
              <w:spacing w:before="171" w:line="219" w:lineRule="auto"/>
              <w:rPr>
                <w:sz w:val="16"/>
                <w:szCs w:val="16"/>
              </w:rPr>
            </w:pPr>
            <w:r>
              <w:rPr>
                <w:sz w:val="16"/>
                <w:szCs w:val="16"/>
                <w:spacing w:val="-1"/>
              </w:rPr>
              <w:t>工些和值息化器</w:t>
            </w:r>
          </w:p>
        </w:tc>
        <w:tc>
          <w:tcPr>
            <w:tcW w:w="1628" w:type="dxa"/>
            <w:vAlign w:val="top"/>
          </w:tcPr>
          <w:p>
            <w:pPr>
              <w:pStyle w:val="TableText"/>
              <w:ind w:left="62" w:right="134" w:hanging="10"/>
              <w:spacing w:before="80" w:line="219" w:lineRule="auto"/>
              <w:rPr>
                <w:sz w:val="16"/>
                <w:szCs w:val="16"/>
              </w:rPr>
            </w:pPr>
            <w:r>
              <w:rPr>
                <w:sz w:val="16"/>
                <w:szCs w:val="16"/>
                <w:spacing w:val="-1"/>
              </w:rPr>
              <w:t>非经背性互载网信意</w:t>
            </w:r>
            <w:r>
              <w:rPr>
                <w:sz w:val="16"/>
                <w:szCs w:val="16"/>
              </w:rPr>
              <w:t xml:space="preserve"> </w:t>
            </w:r>
            <w:r>
              <w:rPr>
                <w:sz w:val="16"/>
                <w:szCs w:val="16"/>
                <w:spacing w:val="-2"/>
              </w:rPr>
              <w:t>段务精雅</w:t>
            </w:r>
          </w:p>
        </w:tc>
        <w:tc>
          <w:tcPr>
            <w:tcW w:w="2377" w:type="dxa"/>
            <w:vAlign w:val="top"/>
          </w:tcPr>
          <w:p>
            <w:pPr>
              <w:pStyle w:val="TableText"/>
              <w:ind w:left="64"/>
              <w:spacing w:before="170" w:line="219" w:lineRule="auto"/>
              <w:rPr>
                <w:sz w:val="16"/>
                <w:szCs w:val="16"/>
              </w:rPr>
            </w:pPr>
            <w:r>
              <w:rPr>
                <w:sz w:val="16"/>
                <w:szCs w:val="16"/>
                <w:spacing w:val="1"/>
              </w:rPr>
              <w:t>脊，自给区，直幂市通信管建局</w:t>
            </w:r>
          </w:p>
        </w:tc>
        <w:tc>
          <w:tcPr>
            <w:tcW w:w="3701" w:type="dxa"/>
            <w:vAlign w:val="top"/>
          </w:tcPr>
          <w:p>
            <w:pPr>
              <w:pStyle w:val="TableText"/>
              <w:ind w:left="46"/>
              <w:spacing w:before="171" w:line="219" w:lineRule="auto"/>
              <w:rPr>
                <w:sz w:val="16"/>
                <w:szCs w:val="16"/>
              </w:rPr>
            </w:pPr>
            <w:r>
              <w:rPr>
                <w:sz w:val="16"/>
                <w:szCs w:val="16"/>
                <w:spacing w:val="-1"/>
              </w:rPr>
              <w:t>五草网有息服务管理办砝</w:t>
            </w:r>
          </w:p>
        </w:tc>
      </w:tr>
      <w:tr>
        <w:trPr>
          <w:trHeight w:val="499" w:hRule="atLeast"/>
        </w:trPr>
        <w:tc>
          <w:tcPr>
            <w:tcW w:w="594" w:type="dxa"/>
            <w:vAlign w:val="top"/>
          </w:tcPr>
          <w:p>
            <w:pPr>
              <w:rPr>
                <w:rFonts w:ascii="Arial"/>
                <w:sz w:val="21"/>
              </w:rPr>
            </w:pPr>
            <w:r/>
          </w:p>
        </w:tc>
        <w:tc>
          <w:tcPr>
            <w:tcW w:w="1279" w:type="dxa"/>
            <w:vAlign w:val="top"/>
          </w:tcPr>
          <w:p>
            <w:pPr>
              <w:pStyle w:val="TableText"/>
              <w:ind w:left="70"/>
              <w:spacing w:before="171" w:line="219" w:lineRule="auto"/>
              <w:rPr>
                <w:sz w:val="16"/>
                <w:szCs w:val="16"/>
              </w:rPr>
            </w:pPr>
            <w:r>
              <w:rPr>
                <w:sz w:val="16"/>
                <w:szCs w:val="16"/>
                <w:spacing w:val="-1"/>
              </w:rPr>
              <w:t>工业和信息化前</w:t>
            </w:r>
          </w:p>
        </w:tc>
        <w:tc>
          <w:tcPr>
            <w:tcW w:w="1628" w:type="dxa"/>
            <w:vAlign w:val="top"/>
          </w:tcPr>
          <w:p>
            <w:pPr>
              <w:pStyle w:val="TableText"/>
              <w:ind w:left="62" w:right="96"/>
              <w:spacing w:before="62" w:line="237" w:lineRule="auto"/>
              <w:rPr>
                <w:sz w:val="16"/>
                <w:szCs w:val="16"/>
              </w:rPr>
            </w:pPr>
            <w:r>
              <w:rPr>
                <w:sz w:val="16"/>
                <w:szCs w:val="16"/>
                <w:spacing w:val="2"/>
              </w:rPr>
              <w:t>电帮网码马资源使用</w:t>
            </w:r>
            <w:r>
              <w:rPr>
                <w:sz w:val="16"/>
                <w:szCs w:val="16"/>
              </w:rPr>
              <w:t xml:space="preserve"> </w:t>
            </w:r>
            <w:r>
              <w:rPr>
                <w:sz w:val="16"/>
                <w:szCs w:val="16"/>
                <w:spacing w:val="-2"/>
              </w:rPr>
              <w:t>和西整审卷</w:t>
            </w:r>
          </w:p>
        </w:tc>
        <w:tc>
          <w:tcPr>
            <w:tcW w:w="2377" w:type="dxa"/>
            <w:vAlign w:val="top"/>
          </w:tcPr>
          <w:p>
            <w:pPr>
              <w:pStyle w:val="TableText"/>
              <w:ind w:left="64" w:firstLine="19"/>
              <w:spacing w:before="61" w:line="236" w:lineRule="auto"/>
              <w:rPr>
                <w:sz w:val="16"/>
                <w:szCs w:val="16"/>
              </w:rPr>
            </w:pPr>
            <w:r>
              <w:rPr>
                <w:sz w:val="16"/>
                <w:szCs w:val="16"/>
                <w:spacing w:val="-8"/>
              </w:rPr>
              <w:t>工业和信息化部：青，南治区，直</w:t>
            </w:r>
            <w:r>
              <w:rPr>
                <w:sz w:val="16"/>
                <w:szCs w:val="16"/>
                <w:spacing w:val="2"/>
              </w:rPr>
              <w:t xml:space="preserve"> </w:t>
            </w:r>
            <w:r>
              <w:rPr>
                <w:sz w:val="16"/>
                <w:szCs w:val="16"/>
                <w:spacing w:val="-1"/>
              </w:rPr>
              <w:t>辖市通信管球局</w:t>
            </w:r>
          </w:p>
        </w:tc>
        <w:tc>
          <w:tcPr>
            <w:tcW w:w="3701" w:type="dxa"/>
            <w:vAlign w:val="top"/>
          </w:tcPr>
          <w:p>
            <w:pPr>
              <w:pStyle w:val="TableText"/>
              <w:ind w:left="78"/>
              <w:spacing w:before="81" w:line="208" w:lineRule="auto"/>
              <w:rPr>
                <w:sz w:val="16"/>
                <w:szCs w:val="16"/>
              </w:rPr>
            </w:pPr>
            <w:r>
              <w:rPr>
                <w:sz w:val="16"/>
                <w:szCs w:val="16"/>
                <w:spacing w:val="-3"/>
              </w:rPr>
              <w:t>中华人民其和国想你来的》</w:t>
            </w:r>
          </w:p>
          <w:p>
            <w:pPr>
              <w:pStyle w:val="TableText"/>
              <w:spacing w:line="219" w:lineRule="auto"/>
              <w:rPr>
                <w:sz w:val="16"/>
                <w:szCs w:val="16"/>
              </w:rPr>
            </w:pPr>
            <w:r>
              <w:rPr>
                <w:sz w:val="16"/>
                <w:szCs w:val="16"/>
                <w:spacing w:val="-4"/>
              </w:rPr>
              <w:t>《电的同码子资重管理办法</w:t>
            </w:r>
          </w:p>
        </w:tc>
      </w:tr>
      <w:tr>
        <w:trPr>
          <w:trHeight w:val="489" w:hRule="atLeast"/>
        </w:trPr>
        <w:tc>
          <w:tcPr>
            <w:tcW w:w="594" w:type="dxa"/>
            <w:vAlign w:val="top"/>
          </w:tcPr>
          <w:p>
            <w:pPr>
              <w:pStyle w:val="TableText"/>
              <w:ind w:left="204"/>
              <w:spacing w:before="213" w:line="183" w:lineRule="auto"/>
              <w:rPr>
                <w:sz w:val="16"/>
                <w:szCs w:val="16"/>
              </w:rPr>
            </w:pPr>
            <w:r>
              <w:rPr>
                <w:sz w:val="16"/>
                <w:szCs w:val="16"/>
                <w:spacing w:val="-2"/>
              </w:rPr>
              <w:t>60</w:t>
            </w:r>
          </w:p>
        </w:tc>
        <w:tc>
          <w:tcPr>
            <w:tcW w:w="1279" w:type="dxa"/>
            <w:vAlign w:val="top"/>
          </w:tcPr>
          <w:p>
            <w:pPr>
              <w:pStyle w:val="TableText"/>
              <w:ind w:left="70"/>
              <w:spacing w:before="171" w:line="218" w:lineRule="auto"/>
              <w:rPr>
                <w:sz w:val="16"/>
                <w:szCs w:val="16"/>
              </w:rPr>
            </w:pPr>
            <w:r>
              <w:rPr>
                <w:sz w:val="16"/>
                <w:szCs w:val="16"/>
                <w:spacing w:val="-1"/>
              </w:rPr>
              <w:t>工垂和估息化信</w:t>
            </w:r>
          </w:p>
        </w:tc>
        <w:tc>
          <w:tcPr>
            <w:tcW w:w="1628" w:type="dxa"/>
            <w:vAlign w:val="top"/>
          </w:tcPr>
          <w:p>
            <w:pPr>
              <w:pStyle w:val="TableText"/>
              <w:ind w:left="62" w:right="123"/>
              <w:spacing w:before="62" w:line="231" w:lineRule="auto"/>
              <w:rPr>
                <w:sz w:val="16"/>
                <w:szCs w:val="16"/>
              </w:rPr>
            </w:pPr>
            <w:r>
              <w:rPr>
                <w:sz w:val="16"/>
                <w:szCs w:val="16"/>
                <w:spacing w:val="-1"/>
              </w:rPr>
              <w:t>主等电待必业割定的</w:t>
            </w:r>
            <w:r>
              <w:rPr>
                <w:sz w:val="16"/>
                <w:szCs w:val="16"/>
              </w:rPr>
              <w:t xml:space="preserve"> </w:t>
            </w:r>
            <w:r>
              <w:rPr>
                <w:sz w:val="16"/>
                <w:szCs w:val="16"/>
                <w:spacing w:val="-2"/>
              </w:rPr>
              <w:t>互联规程市批</w:t>
            </w:r>
          </w:p>
        </w:tc>
        <w:tc>
          <w:tcPr>
            <w:tcW w:w="2377" w:type="dxa"/>
            <w:vAlign w:val="top"/>
          </w:tcPr>
          <w:p>
            <w:pPr>
              <w:pStyle w:val="TableText"/>
              <w:ind w:left="64"/>
              <w:spacing w:before="172" w:line="219" w:lineRule="auto"/>
              <w:rPr>
                <w:sz w:val="16"/>
                <w:szCs w:val="16"/>
              </w:rPr>
            </w:pPr>
            <w:r>
              <w:rPr>
                <w:sz w:val="16"/>
                <w:szCs w:val="16"/>
                <w:spacing w:val="-1"/>
              </w:rPr>
              <w:t>工业和信息化都</w:t>
            </w:r>
          </w:p>
        </w:tc>
        <w:tc>
          <w:tcPr>
            <w:tcW w:w="3701" w:type="dxa"/>
            <w:vAlign w:val="top"/>
          </w:tcPr>
          <w:p>
            <w:pPr>
              <w:pStyle w:val="TableText"/>
              <w:spacing w:before="172" w:line="219" w:lineRule="auto"/>
              <w:rPr>
                <w:sz w:val="16"/>
                <w:szCs w:val="16"/>
              </w:rPr>
            </w:pPr>
            <w:r>
              <w:rPr>
                <w:sz w:val="16"/>
                <w:szCs w:val="16"/>
                <w:spacing w:val="-3"/>
              </w:rPr>
              <w:t>《中华人医共和国电信条例：</w:t>
            </w:r>
          </w:p>
        </w:tc>
      </w:tr>
      <w:tr>
        <w:trPr>
          <w:trHeight w:val="479" w:hRule="atLeast"/>
        </w:trPr>
        <w:tc>
          <w:tcPr>
            <w:tcW w:w="594" w:type="dxa"/>
            <w:vAlign w:val="top"/>
          </w:tcPr>
          <w:p>
            <w:pPr>
              <w:pStyle w:val="TableText"/>
              <w:ind w:left="204"/>
              <w:spacing w:before="204" w:line="184" w:lineRule="auto"/>
              <w:rPr>
                <w:sz w:val="16"/>
                <w:szCs w:val="16"/>
              </w:rPr>
            </w:pPr>
            <w:r>
              <w:rPr>
                <w:sz w:val="16"/>
                <w:szCs w:val="16"/>
                <w:spacing w:val="-2"/>
              </w:rPr>
              <w:t>61</w:t>
            </w:r>
          </w:p>
        </w:tc>
        <w:tc>
          <w:tcPr>
            <w:tcW w:w="1279" w:type="dxa"/>
            <w:vAlign w:val="top"/>
          </w:tcPr>
          <w:p>
            <w:pPr>
              <w:pStyle w:val="TableText"/>
              <w:ind w:left="70"/>
              <w:spacing w:before="163" w:line="219" w:lineRule="auto"/>
              <w:rPr>
                <w:sz w:val="16"/>
                <w:szCs w:val="16"/>
              </w:rPr>
            </w:pPr>
            <w:r>
              <w:rPr>
                <w:sz w:val="16"/>
                <w:szCs w:val="16"/>
                <w:spacing w:val="-1"/>
              </w:rPr>
              <w:t>工业和信意化都</w:t>
            </w:r>
          </w:p>
        </w:tc>
        <w:tc>
          <w:tcPr>
            <w:tcW w:w="1628" w:type="dxa"/>
            <w:vAlign w:val="top"/>
          </w:tcPr>
          <w:p>
            <w:pPr>
              <w:pStyle w:val="TableText"/>
              <w:ind w:left="62"/>
              <w:spacing w:before="163" w:line="219" w:lineRule="auto"/>
              <w:rPr>
                <w:sz w:val="16"/>
                <w:szCs w:val="16"/>
              </w:rPr>
            </w:pPr>
            <w:r>
              <w:rPr>
                <w:sz w:val="16"/>
                <w:szCs w:val="16"/>
                <w:spacing w:val="-1"/>
              </w:rPr>
              <w:t>无线电树率使用作可</w:t>
            </w:r>
          </w:p>
        </w:tc>
        <w:tc>
          <w:tcPr>
            <w:tcW w:w="2377" w:type="dxa"/>
            <w:vAlign w:val="top"/>
          </w:tcPr>
          <w:p>
            <w:pPr>
              <w:pStyle w:val="TableText"/>
              <w:ind w:left="64" w:right="51" w:firstLine="19"/>
              <w:spacing w:before="53" w:line="230" w:lineRule="auto"/>
              <w:rPr>
                <w:sz w:val="16"/>
                <w:szCs w:val="16"/>
              </w:rPr>
            </w:pPr>
            <w:r>
              <w:rPr>
                <w:sz w:val="16"/>
                <w:szCs w:val="16"/>
                <w:spacing w:val="-1"/>
              </w:rPr>
              <w:t>工重和信皂化前，省解太丝电管</w:t>
            </w:r>
            <w:r>
              <w:rPr>
                <w:sz w:val="16"/>
                <w:szCs w:val="16"/>
                <w:spacing w:val="4"/>
              </w:rPr>
              <w:t xml:space="preserve"> </w:t>
            </w:r>
            <w:r>
              <w:rPr>
                <w:sz w:val="16"/>
                <w:szCs w:val="16"/>
                <w:spacing w:val="-2"/>
              </w:rPr>
              <w:t>理机构</w:t>
            </w:r>
          </w:p>
        </w:tc>
        <w:tc>
          <w:tcPr>
            <w:tcW w:w="3701" w:type="dxa"/>
            <w:vAlign w:val="top"/>
          </w:tcPr>
          <w:p>
            <w:pPr>
              <w:pStyle w:val="TableText"/>
              <w:ind w:left="46"/>
              <w:spacing w:before="163" w:line="219" w:lineRule="auto"/>
              <w:rPr>
                <w:sz w:val="16"/>
                <w:szCs w:val="16"/>
              </w:rPr>
            </w:pPr>
            <w:r>
              <w:rPr>
                <w:sz w:val="16"/>
                <w:szCs w:val="16"/>
                <w:spacing w:val="2"/>
              </w:rPr>
              <w:t>4中非人民共和国无线电管理条钢)</w:t>
            </w:r>
          </w:p>
        </w:tc>
      </w:tr>
      <w:tr>
        <w:trPr>
          <w:trHeight w:val="489" w:hRule="atLeast"/>
        </w:trPr>
        <w:tc>
          <w:tcPr>
            <w:tcW w:w="594" w:type="dxa"/>
            <w:vAlign w:val="top"/>
          </w:tcPr>
          <w:p>
            <w:pPr>
              <w:pStyle w:val="TableText"/>
              <w:ind w:left="204"/>
              <w:spacing w:before="215" w:line="183" w:lineRule="auto"/>
              <w:rPr>
                <w:sz w:val="16"/>
                <w:szCs w:val="16"/>
              </w:rPr>
            </w:pPr>
            <w:r>
              <w:rPr>
                <w:sz w:val="16"/>
                <w:szCs w:val="16"/>
                <w:spacing w:val="-2"/>
              </w:rPr>
              <w:t>62</w:t>
            </w:r>
          </w:p>
        </w:tc>
        <w:tc>
          <w:tcPr>
            <w:tcW w:w="1279" w:type="dxa"/>
            <w:vAlign w:val="top"/>
          </w:tcPr>
          <w:p>
            <w:pPr>
              <w:pStyle w:val="TableText"/>
              <w:ind w:left="70"/>
              <w:spacing w:before="174" w:line="219" w:lineRule="auto"/>
              <w:rPr>
                <w:sz w:val="16"/>
                <w:szCs w:val="16"/>
              </w:rPr>
            </w:pPr>
            <w:r>
              <w:rPr>
                <w:sz w:val="16"/>
                <w:szCs w:val="16"/>
                <w:spacing w:val="-1"/>
              </w:rPr>
              <w:t>工业和信息化部</w:t>
            </w:r>
          </w:p>
        </w:tc>
        <w:tc>
          <w:tcPr>
            <w:tcW w:w="1628" w:type="dxa"/>
            <w:vAlign w:val="top"/>
          </w:tcPr>
          <w:p>
            <w:pPr>
              <w:pStyle w:val="TableText"/>
              <w:ind w:left="62" w:right="105" w:firstLine="10"/>
              <w:spacing w:before="64" w:line="225" w:lineRule="auto"/>
              <w:rPr>
                <w:sz w:val="16"/>
                <w:szCs w:val="16"/>
              </w:rPr>
            </w:pPr>
            <w:r>
              <w:rPr>
                <w:sz w:val="16"/>
                <w:szCs w:val="16"/>
              </w:rPr>
              <w:t>无统电育(结)设置， </w:t>
            </w:r>
            <w:r>
              <w:rPr>
                <w:sz w:val="16"/>
                <w:szCs w:val="16"/>
                <w:spacing w:val="-2"/>
              </w:rPr>
              <w:t>使用件可</w:t>
            </w:r>
          </w:p>
        </w:tc>
        <w:tc>
          <w:tcPr>
            <w:tcW w:w="2377" w:type="dxa"/>
            <w:vAlign w:val="top"/>
          </w:tcPr>
          <w:p>
            <w:pPr>
              <w:pStyle w:val="TableText"/>
              <w:ind w:left="64" w:right="61" w:firstLine="10"/>
              <w:spacing w:before="75" w:line="224" w:lineRule="auto"/>
              <w:rPr>
                <w:sz w:val="16"/>
                <w:szCs w:val="16"/>
              </w:rPr>
            </w:pPr>
            <w:r>
              <w:rPr>
                <w:sz w:val="16"/>
                <w:szCs w:val="16"/>
                <w:spacing w:val="-1"/>
              </w:rPr>
              <w:t>工业和信息化部；省短无丝电管</w:t>
            </w:r>
            <w:r>
              <w:rPr>
                <w:sz w:val="16"/>
                <w:szCs w:val="16"/>
                <w:spacing w:val="4"/>
              </w:rPr>
              <w:t xml:space="preserve"> </w:t>
            </w:r>
            <w:r>
              <w:rPr>
                <w:sz w:val="16"/>
                <w:szCs w:val="16"/>
                <w:spacing w:val="-2"/>
              </w:rPr>
              <w:t>理机构</w:t>
            </w:r>
          </w:p>
        </w:tc>
        <w:tc>
          <w:tcPr>
            <w:tcW w:w="3701" w:type="dxa"/>
            <w:vAlign w:val="top"/>
          </w:tcPr>
          <w:p>
            <w:pPr>
              <w:pStyle w:val="TableText"/>
              <w:ind w:left="46"/>
              <w:spacing w:before="174" w:line="219" w:lineRule="auto"/>
              <w:rPr>
                <w:sz w:val="16"/>
                <w:szCs w:val="16"/>
              </w:rPr>
            </w:pPr>
            <w:r>
              <w:rPr>
                <w:sz w:val="16"/>
                <w:szCs w:val="16"/>
                <w:spacing w:val="2"/>
              </w:rPr>
              <w:t>1中华人民共和国无线地管理条例)</w:t>
            </w:r>
          </w:p>
        </w:tc>
      </w:tr>
      <w:tr>
        <w:trPr>
          <w:trHeight w:val="594" w:hRule="atLeast"/>
        </w:trPr>
        <w:tc>
          <w:tcPr>
            <w:tcW w:w="594" w:type="dxa"/>
            <w:vAlign w:val="top"/>
          </w:tcPr>
          <w:p>
            <w:pPr>
              <w:pStyle w:val="TableText"/>
              <w:ind w:left="204"/>
              <w:spacing w:before="228" w:line="223" w:lineRule="auto"/>
              <w:rPr>
                <w:sz w:val="16"/>
                <w:szCs w:val="16"/>
              </w:rPr>
            </w:pPr>
            <w:r>
              <w:rPr>
                <w:sz w:val="16"/>
                <w:szCs w:val="16"/>
              </w:rPr>
              <w:t>码</w:t>
            </w:r>
          </w:p>
        </w:tc>
        <w:tc>
          <w:tcPr>
            <w:tcW w:w="1279" w:type="dxa"/>
            <w:vAlign w:val="top"/>
          </w:tcPr>
          <w:p>
            <w:pPr>
              <w:pStyle w:val="TableText"/>
              <w:ind w:left="70"/>
              <w:spacing w:before="224" w:line="219" w:lineRule="auto"/>
              <w:rPr>
                <w:sz w:val="16"/>
                <w:szCs w:val="16"/>
              </w:rPr>
            </w:pPr>
            <w:r>
              <w:rPr>
                <w:sz w:val="16"/>
                <w:szCs w:val="16"/>
                <w:spacing w:val="-1"/>
              </w:rPr>
              <w:t>工业和信息化静</w:t>
            </w:r>
          </w:p>
        </w:tc>
        <w:tc>
          <w:tcPr>
            <w:tcW w:w="1628" w:type="dxa"/>
            <w:vAlign w:val="top"/>
          </w:tcPr>
          <w:p>
            <w:pPr>
              <w:pStyle w:val="TableText"/>
              <w:ind w:left="62"/>
              <w:spacing w:before="224" w:line="219" w:lineRule="auto"/>
              <w:rPr>
                <w:sz w:val="16"/>
                <w:szCs w:val="16"/>
              </w:rPr>
            </w:pPr>
            <w:r>
              <w:rPr>
                <w:sz w:val="16"/>
                <w:szCs w:val="16"/>
                <w:spacing w:val="-1"/>
              </w:rPr>
              <w:t>无线电台钒削再精发</w:t>
            </w:r>
          </w:p>
        </w:tc>
        <w:tc>
          <w:tcPr>
            <w:tcW w:w="2377" w:type="dxa"/>
            <w:vAlign w:val="top"/>
          </w:tcPr>
          <w:p>
            <w:pPr>
              <w:pStyle w:val="TableText"/>
              <w:ind w:left="64" w:right="61" w:firstLine="10"/>
              <w:spacing w:before="115" w:line="230" w:lineRule="auto"/>
              <w:rPr>
                <w:sz w:val="16"/>
                <w:szCs w:val="16"/>
              </w:rPr>
            </w:pPr>
            <w:r>
              <w:rPr>
                <w:sz w:val="16"/>
                <w:szCs w:val="16"/>
                <w:spacing w:val="-1"/>
              </w:rPr>
              <w:t>工查和信身化部，省前无线电营</w:t>
            </w:r>
            <w:r>
              <w:rPr>
                <w:sz w:val="16"/>
                <w:szCs w:val="16"/>
                <w:spacing w:val="4"/>
              </w:rPr>
              <w:t xml:space="preserve"> </w:t>
            </w:r>
            <w:r>
              <w:rPr>
                <w:sz w:val="16"/>
                <w:szCs w:val="16"/>
                <w:spacing w:val="-2"/>
              </w:rPr>
              <w:t>重机构</w:t>
            </w:r>
          </w:p>
        </w:tc>
        <w:tc>
          <w:tcPr>
            <w:tcW w:w="3701" w:type="dxa"/>
            <w:vAlign w:val="top"/>
          </w:tcPr>
          <w:p>
            <w:pPr>
              <w:pStyle w:val="TableText"/>
              <w:ind w:left="46"/>
              <w:spacing w:before="225" w:line="219" w:lineRule="auto"/>
              <w:rPr>
                <w:sz w:val="16"/>
                <w:szCs w:val="16"/>
              </w:rPr>
            </w:pPr>
            <w:r>
              <w:rPr>
                <w:sz w:val="16"/>
                <w:szCs w:val="16"/>
                <w:spacing w:val="1"/>
              </w:rPr>
              <w:t>1中华人民共和国无线电营理笑间1</w:t>
            </w:r>
          </w:p>
        </w:tc>
      </w:tr>
    </w:tbl>
    <w:p>
      <w:pPr>
        <w:pStyle w:val="BodyText"/>
        <w:rPr/>
      </w:pPr>
      <w:r/>
    </w:p>
    <w:p>
      <w:pPr>
        <w:sectPr>
          <w:pgSz w:w="11910" w:h="8220"/>
          <w:pgMar w:top="400" w:right="117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27200" behindDoc="0" locked="0" layoutInCell="0" allowOverlap="1">
                <wp:simplePos x="0" y="0"/>
                <wp:positionH relativeFrom="page">
                  <wp:posOffset>458917</wp:posOffset>
                </wp:positionH>
                <wp:positionV relativeFrom="page">
                  <wp:posOffset>614619</wp:posOffset>
                </wp:positionV>
                <wp:extent cx="175260" cy="165100"/>
                <wp:effectExtent l="0" t="0" r="0" b="0"/>
                <wp:wrapNone/>
                <wp:docPr id="174" name="TextBox 174"/>
                <wp:cNvGraphicFramePr/>
                <a:graphic>
                  <a:graphicData uri="http://schemas.microsoft.com/office/word/2010/wordprocessingShape">
                    <wps:wsp>
                      <wps:cNvSpPr txBox="1"/>
                      <wps:spPr>
                        <a:xfrm rot="5400000">
                          <a:off x="458917" y="614619"/>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6" style="position:absolute;margin-left:36.1352pt;margin-top:48.3952pt;mso-position-vertical-relative:page;mso-position-horizontal-relative:page;width:13.8pt;height:13pt;z-index:251827200;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168</w:t>
                      </w:r>
                    </w:p>
                  </w:txbxContent>
                </v:textbox>
              </v:shape>
            </w:pict>
          </mc:Fallback>
        </mc:AlternateContent>
      </w:r>
      <w:r/>
    </w:p>
    <w:tbl>
      <w:tblPr>
        <w:tblStyle w:val="TableNormal"/>
        <w:tblW w:w="9589" w:type="dxa"/>
        <w:tblInd w:w="34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38"/>
        <w:gridCol w:w="2367"/>
        <w:gridCol w:w="3701"/>
      </w:tblGrid>
      <w:tr>
        <w:trPr>
          <w:trHeight w:val="42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中夹主管部门</w:t>
            </w:r>
          </w:p>
        </w:tc>
        <w:tc>
          <w:tcPr>
            <w:tcW w:w="1638" w:type="dxa"/>
            <w:vAlign w:val="top"/>
          </w:tcPr>
          <w:p>
            <w:pPr>
              <w:pStyle w:val="TableText"/>
              <w:ind w:left="491"/>
              <w:spacing w:before="132" w:line="220" w:lineRule="auto"/>
              <w:rPr>
                <w:sz w:val="16"/>
                <w:szCs w:val="16"/>
              </w:rPr>
            </w:pPr>
            <w:r>
              <w:rPr>
                <w:sz w:val="16"/>
                <w:szCs w:val="16"/>
                <w:spacing w:val="-2"/>
              </w:rPr>
              <w:t>事琼名监</w:t>
            </w:r>
          </w:p>
        </w:tc>
        <w:tc>
          <w:tcPr>
            <w:tcW w:w="2367" w:type="dxa"/>
            <w:vAlign w:val="top"/>
          </w:tcPr>
          <w:p>
            <w:pPr>
              <w:pStyle w:val="TableText"/>
              <w:ind w:left="866"/>
              <w:spacing w:before="128" w:line="219" w:lineRule="auto"/>
              <w:rPr>
                <w:sz w:val="16"/>
                <w:szCs w:val="16"/>
              </w:rPr>
            </w:pPr>
            <w:r>
              <w:rPr>
                <w:sz w:val="16"/>
                <w:szCs w:val="16"/>
                <w:b/>
                <w:bCs/>
                <w:spacing w:val="-4"/>
              </w:rPr>
              <w:t>实蓝机关</w:t>
            </w:r>
          </w:p>
        </w:tc>
        <w:tc>
          <w:tcPr>
            <w:tcW w:w="3701" w:type="dxa"/>
            <w:vAlign w:val="top"/>
          </w:tcPr>
          <w:p>
            <w:pPr>
              <w:pStyle w:val="TableText"/>
              <w:ind w:left="1269"/>
              <w:spacing w:before="128" w:line="219" w:lineRule="auto"/>
              <w:rPr>
                <w:sz w:val="16"/>
                <w:szCs w:val="16"/>
              </w:rPr>
            </w:pPr>
            <w:r>
              <w:rPr>
                <w:sz w:val="16"/>
                <w:szCs w:val="16"/>
                <w:b/>
                <w:bCs/>
                <w:spacing w:val="-3"/>
              </w:rPr>
              <w:t>没定和实造依题</w:t>
            </w:r>
          </w:p>
        </w:tc>
      </w:tr>
      <w:tr>
        <w:trPr>
          <w:trHeight w:val="489" w:hRule="atLeast"/>
        </w:trPr>
        <w:tc>
          <w:tcPr>
            <w:tcW w:w="594" w:type="dxa"/>
            <w:vAlign w:val="top"/>
          </w:tcPr>
          <w:p>
            <w:pPr>
              <w:pStyle w:val="TableText"/>
              <w:ind w:left="244"/>
              <w:spacing w:before="208" w:line="183" w:lineRule="auto"/>
              <w:rPr>
                <w:sz w:val="16"/>
                <w:szCs w:val="16"/>
              </w:rPr>
            </w:pPr>
            <w:r>
              <w:rPr>
                <w:sz w:val="16"/>
                <w:szCs w:val="16"/>
              </w:rPr>
              <w:t>4</w:t>
            </w:r>
          </w:p>
        </w:tc>
        <w:tc>
          <w:tcPr>
            <w:tcW w:w="1289" w:type="dxa"/>
            <w:vAlign w:val="top"/>
          </w:tcPr>
          <w:p>
            <w:pPr>
              <w:pStyle w:val="TableText"/>
              <w:ind w:left="70"/>
              <w:spacing w:before="167" w:line="219" w:lineRule="auto"/>
              <w:rPr>
                <w:sz w:val="16"/>
                <w:szCs w:val="16"/>
              </w:rPr>
            </w:pPr>
            <w:r>
              <w:rPr>
                <w:sz w:val="16"/>
                <w:szCs w:val="16"/>
                <w:spacing w:val="-1"/>
              </w:rPr>
              <w:t>工亚和仿息化得</w:t>
            </w:r>
          </w:p>
        </w:tc>
        <w:tc>
          <w:tcPr>
            <w:tcW w:w="1638" w:type="dxa"/>
            <w:vAlign w:val="top"/>
          </w:tcPr>
          <w:p>
            <w:pPr>
              <w:pStyle w:val="TableText"/>
              <w:ind w:left="52" w:right="103" w:firstLine="39"/>
              <w:spacing w:before="68" w:line="225" w:lineRule="auto"/>
              <w:rPr>
                <w:sz w:val="16"/>
                <w:szCs w:val="16"/>
              </w:rPr>
            </w:pPr>
            <w:r>
              <w:rPr>
                <w:sz w:val="16"/>
                <w:szCs w:val="16"/>
                <w:spacing w:val="-1"/>
              </w:rPr>
              <w:t>无践电发制设备型号</w:t>
            </w:r>
            <w:r>
              <w:rPr>
                <w:sz w:val="16"/>
                <w:szCs w:val="16"/>
              </w:rPr>
              <w:t xml:space="preserve"> </w:t>
            </w:r>
            <w:r>
              <w:rPr>
                <w:sz w:val="16"/>
                <w:szCs w:val="16"/>
                <w:spacing w:val="-3"/>
              </w:rPr>
              <w:t>核准</w:t>
            </w:r>
          </w:p>
        </w:tc>
        <w:tc>
          <w:tcPr>
            <w:tcW w:w="2367" w:type="dxa"/>
            <w:vAlign w:val="top"/>
          </w:tcPr>
          <w:p>
            <w:pPr>
              <w:pStyle w:val="TableText"/>
              <w:ind w:left="44"/>
              <w:spacing w:before="167" w:line="219" w:lineRule="auto"/>
              <w:rPr>
                <w:sz w:val="16"/>
                <w:szCs w:val="16"/>
              </w:rPr>
            </w:pPr>
            <w:r>
              <w:rPr>
                <w:sz w:val="16"/>
                <w:szCs w:val="16"/>
                <w:spacing w:val="-1"/>
              </w:rPr>
              <w:t>工业和销息化都</w:t>
            </w:r>
          </w:p>
        </w:tc>
        <w:tc>
          <w:tcPr>
            <w:tcW w:w="3701" w:type="dxa"/>
            <w:vAlign w:val="top"/>
          </w:tcPr>
          <w:p>
            <w:pPr>
              <w:pStyle w:val="TableText"/>
              <w:ind w:left="36"/>
              <w:spacing w:before="167" w:line="219" w:lineRule="auto"/>
              <w:rPr>
                <w:sz w:val="16"/>
                <w:szCs w:val="16"/>
              </w:rPr>
            </w:pPr>
            <w:r>
              <w:rPr>
                <w:sz w:val="16"/>
                <w:szCs w:val="16"/>
                <w:spacing w:val="1"/>
              </w:rPr>
              <w:t>1中华人民共和国无纪电销理条例1</w:t>
            </w:r>
          </w:p>
        </w:tc>
      </w:tr>
      <w:tr>
        <w:trPr>
          <w:trHeight w:val="689" w:hRule="atLeast"/>
        </w:trPr>
        <w:tc>
          <w:tcPr>
            <w:tcW w:w="594" w:type="dxa"/>
            <w:vAlign w:val="top"/>
          </w:tcPr>
          <w:p>
            <w:pPr>
              <w:spacing w:line="256" w:lineRule="auto"/>
              <w:rPr>
                <w:rFonts w:ascii="Arial"/>
                <w:sz w:val="21"/>
              </w:rPr>
            </w:pPr>
            <w:r/>
          </w:p>
          <w:p>
            <w:pPr>
              <w:pStyle w:val="TableText"/>
              <w:ind w:left="204"/>
              <w:spacing w:before="52" w:line="183" w:lineRule="auto"/>
              <w:rPr>
                <w:sz w:val="16"/>
                <w:szCs w:val="16"/>
              </w:rPr>
            </w:pPr>
            <w:r>
              <w:rPr>
                <w:sz w:val="16"/>
                <w:szCs w:val="16"/>
                <w:spacing w:val="-2"/>
              </w:rPr>
              <w:t>65</w:t>
            </w:r>
          </w:p>
        </w:tc>
        <w:tc>
          <w:tcPr>
            <w:tcW w:w="1289" w:type="dxa"/>
            <w:vAlign w:val="top"/>
          </w:tcPr>
          <w:p>
            <w:pPr>
              <w:pStyle w:val="TableText"/>
              <w:ind w:left="70"/>
              <w:spacing w:before="268" w:line="219" w:lineRule="auto"/>
              <w:rPr>
                <w:sz w:val="16"/>
                <w:szCs w:val="16"/>
              </w:rPr>
            </w:pPr>
            <w:r>
              <w:rPr>
                <w:sz w:val="16"/>
                <w:szCs w:val="16"/>
                <w:spacing w:val="-1"/>
              </w:rPr>
              <w:t>工成和信息化部</w:t>
            </w:r>
          </w:p>
        </w:tc>
        <w:tc>
          <w:tcPr>
            <w:tcW w:w="1638" w:type="dxa"/>
            <w:vAlign w:val="top"/>
          </w:tcPr>
          <w:p>
            <w:pPr>
              <w:pStyle w:val="TableText"/>
              <w:ind w:left="42" w:right="104" w:firstLine="49"/>
              <w:spacing w:before="69" w:line="220" w:lineRule="auto"/>
              <w:jc w:val="both"/>
              <w:rPr>
                <w:sz w:val="16"/>
                <w:szCs w:val="16"/>
              </w:rPr>
            </w:pPr>
            <w:r>
              <w:rPr>
                <w:sz w:val="16"/>
                <w:szCs w:val="16"/>
                <w:spacing w:val="-1"/>
              </w:rPr>
              <w:t>未取得型号档准的无</w:t>
            </w:r>
            <w:r>
              <w:rPr>
                <w:sz w:val="16"/>
                <w:szCs w:val="16"/>
              </w:rPr>
              <w:t xml:space="preserve"> </w:t>
            </w:r>
            <w:r>
              <w:rPr>
                <w:sz w:val="16"/>
                <w:szCs w:val="16"/>
                <w:spacing w:val="4"/>
              </w:rPr>
              <w:t>线电发射设备进关楼 </w:t>
            </w:r>
            <w:r>
              <w:rPr>
                <w:sz w:val="16"/>
                <w:szCs w:val="16"/>
              </w:rPr>
              <w:t>难</w:t>
            </w:r>
          </w:p>
        </w:tc>
        <w:tc>
          <w:tcPr>
            <w:tcW w:w="2367" w:type="dxa"/>
            <w:vAlign w:val="top"/>
          </w:tcPr>
          <w:p>
            <w:pPr>
              <w:pStyle w:val="TableText"/>
              <w:ind w:left="44" w:right="61" w:firstLine="19"/>
              <w:spacing w:before="169" w:line="224" w:lineRule="auto"/>
              <w:rPr>
                <w:sz w:val="16"/>
                <w:szCs w:val="16"/>
              </w:rPr>
            </w:pPr>
            <w:r>
              <w:rPr>
                <w:sz w:val="16"/>
                <w:szCs w:val="16"/>
                <w:spacing w:val="-1"/>
              </w:rPr>
              <w:t>工业和信息化邢；省以光戌电营</w:t>
            </w:r>
            <w:r>
              <w:rPr>
                <w:sz w:val="16"/>
                <w:szCs w:val="16"/>
                <w:spacing w:val="4"/>
              </w:rPr>
              <w:t xml:space="preserve"> </w:t>
            </w:r>
            <w:r>
              <w:rPr>
                <w:sz w:val="16"/>
                <w:szCs w:val="16"/>
                <w:spacing w:val="-2"/>
              </w:rPr>
              <w:t>建机料</w:t>
            </w:r>
          </w:p>
        </w:tc>
        <w:tc>
          <w:tcPr>
            <w:tcW w:w="3701" w:type="dxa"/>
            <w:vAlign w:val="top"/>
          </w:tcPr>
          <w:p>
            <w:pPr>
              <w:pStyle w:val="TableText"/>
              <w:ind w:left="36"/>
              <w:spacing w:before="267" w:line="219" w:lineRule="auto"/>
              <w:rPr>
                <w:sz w:val="16"/>
                <w:szCs w:val="16"/>
              </w:rPr>
            </w:pPr>
            <w:r>
              <w:rPr>
                <w:sz w:val="16"/>
                <w:szCs w:val="16"/>
                <w:spacing w:val="1"/>
              </w:rPr>
              <w:t>1中华人民共和国无践电暂到条州!</w:t>
            </w:r>
          </w:p>
        </w:tc>
      </w:tr>
      <w:tr>
        <w:trPr>
          <w:trHeight w:val="489" w:hRule="atLeast"/>
        </w:trPr>
        <w:tc>
          <w:tcPr>
            <w:tcW w:w="594" w:type="dxa"/>
            <w:vAlign w:val="top"/>
          </w:tcPr>
          <w:p>
            <w:pPr>
              <w:pStyle w:val="TableText"/>
              <w:ind w:left="204"/>
              <w:spacing w:before="210" w:line="183" w:lineRule="auto"/>
              <w:rPr>
                <w:sz w:val="16"/>
                <w:szCs w:val="16"/>
              </w:rPr>
            </w:pPr>
            <w:r>
              <w:rPr>
                <w:sz w:val="16"/>
                <w:szCs w:val="16"/>
                <w:spacing w:val="-3"/>
              </w:rPr>
              <w:t>56</w:t>
            </w:r>
          </w:p>
        </w:tc>
        <w:tc>
          <w:tcPr>
            <w:tcW w:w="1289" w:type="dxa"/>
            <w:vAlign w:val="top"/>
          </w:tcPr>
          <w:p>
            <w:pPr>
              <w:pStyle w:val="TableText"/>
              <w:ind w:left="70"/>
              <w:spacing w:before="169" w:line="219" w:lineRule="auto"/>
              <w:rPr>
                <w:sz w:val="16"/>
                <w:szCs w:val="16"/>
              </w:rPr>
            </w:pPr>
            <w:r>
              <w:rPr>
                <w:sz w:val="16"/>
                <w:szCs w:val="16"/>
                <w:spacing w:val="-1"/>
              </w:rPr>
              <w:t>工业和信息化部</w:t>
            </w:r>
          </w:p>
        </w:tc>
        <w:tc>
          <w:tcPr>
            <w:tcW w:w="1638" w:type="dxa"/>
            <w:vAlign w:val="top"/>
          </w:tcPr>
          <w:p>
            <w:pPr>
              <w:pStyle w:val="TableText"/>
              <w:ind w:left="52" w:right="101" w:firstLine="39"/>
              <w:spacing w:before="59" w:line="223" w:lineRule="auto"/>
              <w:rPr>
                <w:sz w:val="16"/>
                <w:szCs w:val="16"/>
              </w:rPr>
            </w:pPr>
            <w:r>
              <w:rPr>
                <w:sz w:val="16"/>
                <w:szCs w:val="16"/>
                <w:spacing w:val="-1"/>
              </w:rPr>
              <w:t>甘草，麻黄草收购忤</w:t>
            </w:r>
            <w:r>
              <w:rPr>
                <w:sz w:val="16"/>
                <w:szCs w:val="16"/>
                <w:spacing w:val="2"/>
              </w:rPr>
              <w:t xml:space="preserve"> </w:t>
            </w:r>
            <w:r>
              <w:rPr>
                <w:sz w:val="16"/>
                <w:szCs w:val="16"/>
              </w:rPr>
              <w:t>可</w:t>
            </w:r>
          </w:p>
        </w:tc>
        <w:tc>
          <w:tcPr>
            <w:tcW w:w="2367" w:type="dxa"/>
            <w:vAlign w:val="top"/>
          </w:tcPr>
          <w:p>
            <w:pPr>
              <w:pStyle w:val="TableText"/>
              <w:ind w:left="44"/>
              <w:spacing w:before="168" w:line="219" w:lineRule="auto"/>
              <w:rPr>
                <w:sz w:val="16"/>
                <w:szCs w:val="16"/>
              </w:rPr>
            </w:pPr>
            <w:r>
              <w:rPr>
                <w:sz w:val="16"/>
                <w:szCs w:val="16"/>
                <w:spacing w:val="2"/>
              </w:rPr>
              <w:t>省凝政府指定部门</w:t>
            </w:r>
          </w:p>
        </w:tc>
        <w:tc>
          <w:tcPr>
            <w:tcW w:w="3701" w:type="dxa"/>
            <w:vAlign w:val="top"/>
          </w:tcPr>
          <w:p>
            <w:pPr>
              <w:pStyle w:val="TableText"/>
              <w:ind w:left="69" w:right="123" w:hanging="69"/>
              <w:spacing w:before="78" w:line="220" w:lineRule="auto"/>
              <w:rPr>
                <w:sz w:val="16"/>
                <w:szCs w:val="16"/>
              </w:rPr>
            </w:pPr>
            <w:r>
              <w:rPr>
                <w:sz w:val="16"/>
                <w:szCs w:val="16"/>
                <w:spacing w:val="2"/>
              </w:rPr>
              <w:t>【国务院大于禁止采集和精售发复驾止数程百草和 </w:t>
            </w:r>
            <w:r>
              <w:rPr>
                <w:sz w:val="16"/>
                <w:szCs w:val="16"/>
                <w:spacing w:val="-2"/>
              </w:rPr>
              <w:t>麻黄草有关同量的通知水国发示000]13号?</w:t>
            </w:r>
          </w:p>
        </w:tc>
      </w:tr>
      <w:tr>
        <w:trPr>
          <w:trHeight w:val="1098" w:hRule="atLeast"/>
        </w:trPr>
        <w:tc>
          <w:tcPr>
            <w:tcW w:w="594" w:type="dxa"/>
            <w:vAlign w:val="top"/>
          </w:tcPr>
          <w:p>
            <w:pPr>
              <w:spacing w:line="456" w:lineRule="auto"/>
              <w:rPr>
                <w:rFonts w:ascii="Arial"/>
                <w:sz w:val="21"/>
              </w:rPr>
            </w:pPr>
            <w:r/>
          </w:p>
          <w:p>
            <w:pPr>
              <w:pStyle w:val="TableText"/>
              <w:ind w:left="204"/>
              <w:spacing w:before="53" w:line="183" w:lineRule="auto"/>
              <w:rPr>
                <w:sz w:val="16"/>
                <w:szCs w:val="16"/>
              </w:rPr>
            </w:pPr>
            <w:r>
              <w:rPr>
                <w:sz w:val="16"/>
                <w:szCs w:val="16"/>
                <w:spacing w:val="-2"/>
              </w:rPr>
              <w:t>67</w:t>
            </w:r>
          </w:p>
        </w:tc>
        <w:tc>
          <w:tcPr>
            <w:tcW w:w="1289" w:type="dxa"/>
            <w:vAlign w:val="top"/>
          </w:tcPr>
          <w:p>
            <w:pPr>
              <w:spacing w:line="414" w:lineRule="auto"/>
              <w:rPr>
                <w:rFonts w:ascii="Arial"/>
                <w:sz w:val="21"/>
              </w:rPr>
            </w:pPr>
            <w:r/>
          </w:p>
          <w:p>
            <w:pPr>
              <w:pStyle w:val="TableText"/>
              <w:ind w:left="70"/>
              <w:spacing w:before="52" w:line="219" w:lineRule="auto"/>
              <w:rPr>
                <w:sz w:val="16"/>
                <w:szCs w:val="16"/>
              </w:rPr>
            </w:pPr>
            <w:r>
              <w:rPr>
                <w:sz w:val="16"/>
                <w:szCs w:val="16"/>
                <w:spacing w:val="-1"/>
              </w:rPr>
              <w:t>工电和借息化起</w:t>
            </w:r>
          </w:p>
        </w:tc>
        <w:tc>
          <w:tcPr>
            <w:tcW w:w="1638" w:type="dxa"/>
            <w:vAlign w:val="top"/>
          </w:tcPr>
          <w:p>
            <w:pPr>
              <w:pStyle w:val="TableText"/>
              <w:ind w:left="91" w:right="101"/>
              <w:spacing w:before="180" w:line="222" w:lineRule="auto"/>
              <w:jc w:val="both"/>
              <w:rPr>
                <w:sz w:val="16"/>
                <w:szCs w:val="16"/>
              </w:rPr>
            </w:pPr>
            <w:r>
              <w:rPr>
                <w:sz w:val="16"/>
                <w:szCs w:val="16"/>
                <w:spacing w:val="-1"/>
              </w:rPr>
              <w:t>适信工四地工企业土</w:t>
            </w:r>
            <w:r>
              <w:rPr>
                <w:sz w:val="16"/>
                <w:szCs w:val="16"/>
                <w:spacing w:val="1"/>
              </w:rPr>
              <w:t xml:space="preserve"> </w:t>
            </w:r>
            <w:r>
              <w:rPr>
                <w:sz w:val="16"/>
                <w:szCs w:val="16"/>
                <w:spacing w:val="-1"/>
              </w:rPr>
              <w:t>要值责人。习目负责</w:t>
            </w:r>
            <w:r>
              <w:rPr>
                <w:sz w:val="16"/>
                <w:szCs w:val="16"/>
                <w:spacing w:val="1"/>
              </w:rPr>
              <w:t xml:space="preserve"> </w:t>
            </w:r>
            <w:r>
              <w:rPr>
                <w:sz w:val="16"/>
                <w:szCs w:val="16"/>
                <w:spacing w:val="-1"/>
              </w:rPr>
              <w:t>人和专明安全生产管</w:t>
            </w:r>
            <w:r>
              <w:rPr>
                <w:sz w:val="16"/>
                <w:szCs w:val="16"/>
              </w:rPr>
              <w:t xml:space="preserve"> </w:t>
            </w:r>
            <w:r>
              <w:rPr>
                <w:sz w:val="16"/>
                <w:szCs w:val="16"/>
                <w:spacing w:val="-1"/>
              </w:rPr>
              <w:t>度人员安全生产考核</w:t>
            </w:r>
          </w:p>
        </w:tc>
        <w:tc>
          <w:tcPr>
            <w:tcW w:w="2367" w:type="dxa"/>
            <w:vAlign w:val="top"/>
          </w:tcPr>
          <w:p>
            <w:pPr>
              <w:spacing w:line="414" w:lineRule="auto"/>
              <w:rPr>
                <w:rFonts w:ascii="Arial"/>
                <w:sz w:val="21"/>
              </w:rPr>
            </w:pPr>
            <w:r/>
          </w:p>
          <w:p>
            <w:pPr>
              <w:pStyle w:val="TableText"/>
              <w:ind w:left="44"/>
              <w:spacing w:before="52" w:line="219" w:lineRule="auto"/>
              <w:rPr>
                <w:sz w:val="16"/>
                <w:szCs w:val="16"/>
              </w:rPr>
            </w:pPr>
            <w:r>
              <w:rPr>
                <w:sz w:val="16"/>
                <w:szCs w:val="16"/>
                <w:spacing w:val="1"/>
              </w:rPr>
              <w:t>省，自治区，直精市通偿有理局</w:t>
            </w:r>
          </w:p>
        </w:tc>
        <w:tc>
          <w:tcPr>
            <w:tcW w:w="3701" w:type="dxa"/>
            <w:vAlign w:val="top"/>
          </w:tcPr>
          <w:p>
            <w:pPr>
              <w:pStyle w:val="TableText"/>
              <w:ind w:left="36"/>
              <w:spacing w:before="70" w:line="208" w:lineRule="auto"/>
              <w:rPr>
                <w:sz w:val="16"/>
                <w:szCs w:val="16"/>
              </w:rPr>
            </w:pPr>
            <w:r>
              <w:rPr>
                <w:sz w:val="16"/>
                <w:szCs w:val="16"/>
                <w:spacing w:val="-1"/>
              </w:rPr>
              <w:t>K中华人民共和属安全生产法》</w:t>
            </w:r>
          </w:p>
          <w:p>
            <w:pPr>
              <w:pStyle w:val="TableText"/>
              <w:ind w:left="36"/>
              <w:spacing w:line="219" w:lineRule="auto"/>
              <w:rPr>
                <w:sz w:val="16"/>
                <w:szCs w:val="16"/>
              </w:rPr>
            </w:pPr>
            <w:r>
              <w:rPr>
                <w:sz w:val="16"/>
                <w:szCs w:val="16"/>
                <w:spacing w:val="-2"/>
              </w:rPr>
              <w:t>建设工程安全生产管理条例》</w:t>
            </w:r>
          </w:p>
          <w:p>
            <w:pPr>
              <w:pStyle w:val="TableText"/>
              <w:ind w:left="36" w:right="179"/>
              <w:spacing w:before="29" w:line="227" w:lineRule="auto"/>
              <w:rPr>
                <w:sz w:val="16"/>
                <w:szCs w:val="16"/>
              </w:rPr>
            </w:pPr>
            <w:r>
              <w:rPr>
                <w:sz w:val="16"/>
                <w:szCs w:val="16"/>
                <w:spacing w:val="-1"/>
              </w:rPr>
              <w:t>述情工程算七免收平赛负责人列目负责人和</w:t>
            </w:r>
            <w:r>
              <w:rPr>
                <w:sz w:val="16"/>
                <w:szCs w:val="16"/>
                <w:spacing w:val="-2"/>
              </w:rPr>
              <w:t>草职  </w:t>
            </w:r>
            <w:r>
              <w:rPr>
                <w:sz w:val="16"/>
                <w:szCs w:val="16"/>
                <w:spacing w:val="1"/>
              </w:rPr>
              <w:t>安全全产管理人员安全生产考核管理规定X工信当</w:t>
            </w:r>
            <w:r>
              <w:rPr>
                <w:sz w:val="16"/>
                <w:szCs w:val="16"/>
                <w:spacing w:val="11"/>
              </w:rPr>
              <w:t xml:space="preserve"> </w:t>
            </w:r>
            <w:r>
              <w:rPr>
                <w:sz w:val="16"/>
                <w:szCs w:val="16"/>
                <w:spacing w:val="2"/>
              </w:rPr>
              <w:t>通信(2016)255号)</w:t>
            </w:r>
          </w:p>
        </w:tc>
      </w:tr>
      <w:tr>
        <w:trPr>
          <w:trHeight w:val="679" w:hRule="atLeast"/>
        </w:trPr>
        <w:tc>
          <w:tcPr>
            <w:tcW w:w="594" w:type="dxa"/>
            <w:vAlign w:val="top"/>
          </w:tcPr>
          <w:p>
            <w:pPr>
              <w:spacing w:line="250" w:lineRule="auto"/>
              <w:rPr>
                <w:rFonts w:ascii="Arial"/>
                <w:sz w:val="21"/>
              </w:rPr>
            </w:pPr>
            <w:r/>
          </w:p>
          <w:p>
            <w:pPr>
              <w:pStyle w:val="TableText"/>
              <w:ind w:left="204"/>
              <w:spacing w:before="52" w:line="183" w:lineRule="auto"/>
              <w:rPr>
                <w:sz w:val="16"/>
                <w:szCs w:val="16"/>
              </w:rPr>
            </w:pPr>
            <w:r>
              <w:rPr>
                <w:sz w:val="16"/>
                <w:szCs w:val="16"/>
                <w:spacing w:val="-2"/>
              </w:rPr>
              <w:t>68</w:t>
            </w:r>
          </w:p>
        </w:tc>
        <w:tc>
          <w:tcPr>
            <w:tcW w:w="1289" w:type="dxa"/>
            <w:vAlign w:val="top"/>
          </w:tcPr>
          <w:p>
            <w:pPr>
              <w:pStyle w:val="TableText"/>
              <w:ind w:left="390"/>
              <w:spacing w:before="262" w:line="219" w:lineRule="auto"/>
              <w:rPr>
                <w:sz w:val="16"/>
                <w:szCs w:val="16"/>
              </w:rPr>
            </w:pPr>
            <w:r>
              <w:rPr>
                <w:sz w:val="16"/>
                <w:szCs w:val="16"/>
                <w:spacing w:val="-2"/>
              </w:rPr>
              <w:t>合安部</w:t>
            </w:r>
          </w:p>
        </w:tc>
        <w:tc>
          <w:tcPr>
            <w:tcW w:w="1638" w:type="dxa"/>
            <w:vAlign w:val="top"/>
          </w:tcPr>
          <w:p>
            <w:pPr>
              <w:pStyle w:val="TableText"/>
              <w:ind w:left="42" w:right="101" w:firstLine="49"/>
              <w:spacing w:before="62" w:line="233" w:lineRule="auto"/>
              <w:jc w:val="both"/>
              <w:rPr>
                <w:sz w:val="16"/>
                <w:szCs w:val="16"/>
              </w:rPr>
            </w:pPr>
            <w:r>
              <w:rPr>
                <w:sz w:val="16"/>
                <w:szCs w:val="16"/>
                <w:spacing w:val="-2"/>
              </w:rPr>
              <w:t>公务用检量袍支主要</w:t>
            </w:r>
            <w:r>
              <w:rPr>
                <w:sz w:val="16"/>
                <w:szCs w:val="16"/>
                <w:spacing w:val="5"/>
              </w:rPr>
              <w:t xml:space="preserve"> </w:t>
            </w:r>
            <w:r>
              <w:rPr>
                <w:sz w:val="16"/>
                <w:szCs w:val="16"/>
                <w:spacing w:val="4"/>
              </w:rPr>
              <w:t>平部件，师内配备许</w:t>
            </w:r>
            <w:r>
              <w:rPr>
                <w:sz w:val="16"/>
                <w:szCs w:val="16"/>
                <w:spacing w:val="7"/>
              </w:rPr>
              <w:t xml:space="preserve"> </w:t>
            </w:r>
            <w:r>
              <w:rPr>
                <w:sz w:val="16"/>
                <w:szCs w:val="16"/>
              </w:rPr>
              <w:t>可</w:t>
            </w:r>
          </w:p>
        </w:tc>
        <w:tc>
          <w:tcPr>
            <w:tcW w:w="2367" w:type="dxa"/>
            <w:vAlign w:val="top"/>
          </w:tcPr>
          <w:p>
            <w:pPr>
              <w:pStyle w:val="TableText"/>
              <w:ind w:left="44"/>
              <w:spacing w:before="261" w:line="219" w:lineRule="auto"/>
              <w:rPr>
                <w:sz w:val="16"/>
                <w:szCs w:val="16"/>
              </w:rPr>
            </w:pPr>
            <w:r>
              <w:rPr>
                <w:sz w:val="16"/>
                <w:szCs w:val="16"/>
                <w:spacing w:val="-2"/>
              </w:rPr>
              <w:t>公安部；省级公安机关</w:t>
            </w:r>
          </w:p>
        </w:tc>
        <w:tc>
          <w:tcPr>
            <w:tcW w:w="3701" w:type="dxa"/>
            <w:vAlign w:val="top"/>
          </w:tcPr>
          <w:p>
            <w:pPr>
              <w:pStyle w:val="TableText"/>
              <w:ind w:left="36"/>
              <w:spacing w:before="262" w:line="219" w:lineRule="auto"/>
              <w:rPr>
                <w:sz w:val="16"/>
                <w:szCs w:val="16"/>
              </w:rPr>
            </w:pPr>
            <w:r>
              <w:rPr>
                <w:sz w:val="16"/>
                <w:szCs w:val="16"/>
                <w:spacing w:val="1"/>
              </w:rPr>
              <w:t>1中华人民具和国舱支管理法1</w:t>
            </w:r>
          </w:p>
        </w:tc>
      </w:tr>
      <w:tr>
        <w:trPr>
          <w:trHeight w:val="290" w:hRule="atLeast"/>
        </w:trPr>
        <w:tc>
          <w:tcPr>
            <w:tcW w:w="594" w:type="dxa"/>
            <w:vAlign w:val="top"/>
          </w:tcPr>
          <w:p>
            <w:pPr>
              <w:pStyle w:val="TableText"/>
              <w:ind w:left="204"/>
              <w:spacing w:before="114" w:line="183" w:lineRule="auto"/>
              <w:rPr>
                <w:sz w:val="16"/>
                <w:szCs w:val="16"/>
              </w:rPr>
            </w:pPr>
            <w:r>
              <w:rPr>
                <w:sz w:val="16"/>
                <w:szCs w:val="16"/>
                <w:spacing w:val="-2"/>
              </w:rPr>
              <w:t>69</w:t>
            </w:r>
          </w:p>
        </w:tc>
        <w:tc>
          <w:tcPr>
            <w:tcW w:w="1289" w:type="dxa"/>
            <w:vAlign w:val="top"/>
          </w:tcPr>
          <w:p>
            <w:pPr>
              <w:pStyle w:val="TableText"/>
              <w:ind w:left="390"/>
              <w:spacing w:before="74" w:line="221" w:lineRule="auto"/>
              <w:rPr>
                <w:sz w:val="16"/>
                <w:szCs w:val="16"/>
              </w:rPr>
            </w:pPr>
            <w:r>
              <w:rPr>
                <w:sz w:val="16"/>
                <w:szCs w:val="16"/>
                <w:spacing w:val="-3"/>
              </w:rPr>
              <w:t>公安器</w:t>
            </w:r>
          </w:p>
        </w:tc>
        <w:tc>
          <w:tcPr>
            <w:tcW w:w="1638" w:type="dxa"/>
            <w:vAlign w:val="top"/>
          </w:tcPr>
          <w:p>
            <w:pPr>
              <w:pStyle w:val="TableText"/>
              <w:ind w:left="42"/>
              <w:spacing w:before="73" w:line="219" w:lineRule="auto"/>
              <w:rPr>
                <w:sz w:val="16"/>
                <w:szCs w:val="16"/>
              </w:rPr>
            </w:pPr>
            <w:r>
              <w:rPr>
                <w:sz w:val="16"/>
                <w:szCs w:val="16"/>
                <w:spacing w:val="-2"/>
              </w:rPr>
              <w:t>公等用检荷检许可</w:t>
            </w:r>
          </w:p>
        </w:tc>
        <w:tc>
          <w:tcPr>
            <w:tcW w:w="2367" w:type="dxa"/>
            <w:vAlign w:val="top"/>
          </w:tcPr>
          <w:p>
            <w:pPr>
              <w:pStyle w:val="TableText"/>
              <w:ind w:left="44"/>
              <w:spacing w:before="73" w:line="219" w:lineRule="auto"/>
              <w:rPr>
                <w:sz w:val="16"/>
                <w:szCs w:val="16"/>
              </w:rPr>
            </w:pPr>
            <w:r>
              <w:rPr>
                <w:sz w:val="16"/>
                <w:szCs w:val="16"/>
                <w:spacing w:val="-2"/>
              </w:rPr>
              <w:t>公安部：省酸公安即美</w:t>
            </w:r>
          </w:p>
        </w:tc>
        <w:tc>
          <w:tcPr>
            <w:tcW w:w="3701" w:type="dxa"/>
            <w:vAlign w:val="top"/>
          </w:tcPr>
          <w:p>
            <w:pPr>
              <w:pStyle w:val="TableText"/>
              <w:ind w:left="36"/>
              <w:spacing w:before="73" w:line="219" w:lineRule="auto"/>
              <w:rPr>
                <w:sz w:val="16"/>
                <w:szCs w:val="16"/>
              </w:rPr>
            </w:pPr>
            <w:r>
              <w:rPr>
                <w:sz w:val="16"/>
                <w:szCs w:val="16"/>
                <w:spacing w:val="2"/>
              </w:rPr>
              <w:t>1中按人民其和国舱支管深法)</w:t>
            </w:r>
          </w:p>
        </w:tc>
      </w:tr>
      <w:tr>
        <w:trPr>
          <w:trHeight w:val="689" w:hRule="atLeast"/>
        </w:trPr>
        <w:tc>
          <w:tcPr>
            <w:tcW w:w="594" w:type="dxa"/>
            <w:vAlign w:val="top"/>
          </w:tcPr>
          <w:p>
            <w:pPr>
              <w:spacing w:line="261" w:lineRule="auto"/>
              <w:rPr>
                <w:rFonts w:ascii="Arial"/>
                <w:sz w:val="21"/>
              </w:rPr>
            </w:pPr>
            <w:r/>
          </w:p>
          <w:p>
            <w:pPr>
              <w:pStyle w:val="TableText"/>
              <w:ind w:left="204"/>
              <w:spacing w:before="52" w:line="183" w:lineRule="auto"/>
              <w:rPr>
                <w:sz w:val="16"/>
                <w:szCs w:val="16"/>
              </w:rPr>
            </w:pPr>
            <w:r>
              <w:rPr>
                <w:sz w:val="16"/>
                <w:szCs w:val="16"/>
                <w:spacing w:val="-3"/>
              </w:rPr>
              <w:t>70</w:t>
            </w:r>
          </w:p>
        </w:tc>
        <w:tc>
          <w:tcPr>
            <w:tcW w:w="1289" w:type="dxa"/>
            <w:vAlign w:val="top"/>
          </w:tcPr>
          <w:p>
            <w:pPr>
              <w:pStyle w:val="TableText"/>
              <w:ind w:left="390"/>
              <w:spacing w:before="274" w:line="221" w:lineRule="auto"/>
              <w:rPr>
                <w:sz w:val="16"/>
                <w:szCs w:val="16"/>
              </w:rPr>
            </w:pPr>
            <w:r>
              <w:rPr>
                <w:sz w:val="16"/>
                <w:szCs w:val="16"/>
                <w:spacing w:val="-3"/>
              </w:rPr>
              <w:t>公安盐</w:t>
            </w:r>
          </w:p>
        </w:tc>
        <w:tc>
          <w:tcPr>
            <w:tcW w:w="1638" w:type="dxa"/>
            <w:vAlign w:val="top"/>
          </w:tcPr>
          <w:p>
            <w:pPr>
              <w:pStyle w:val="TableText"/>
              <w:ind w:left="22" w:right="87" w:firstLine="69"/>
              <w:spacing w:before="64" w:line="229" w:lineRule="auto"/>
              <w:jc w:val="both"/>
              <w:rPr>
                <w:sz w:val="16"/>
                <w:szCs w:val="16"/>
              </w:rPr>
            </w:pPr>
            <w:r>
              <w:rPr>
                <w:sz w:val="16"/>
                <w:szCs w:val="16"/>
              </w:rPr>
              <w:t>民用枪支及枪支主要</w:t>
            </w:r>
            <w:r>
              <w:rPr>
                <w:sz w:val="16"/>
                <w:szCs w:val="16"/>
                <w:spacing w:val="7"/>
              </w:rPr>
              <w:t xml:space="preserve"> </w:t>
            </w:r>
            <w:r>
              <w:rPr>
                <w:sz w:val="16"/>
                <w:szCs w:val="16"/>
                <w:spacing w:val="7"/>
              </w:rPr>
              <w:t>零据作、弹药配置许</w:t>
            </w:r>
            <w:r>
              <w:rPr>
                <w:sz w:val="16"/>
                <w:szCs w:val="16"/>
              </w:rPr>
              <w:t xml:space="preserve"> </w:t>
            </w:r>
            <w:r>
              <w:rPr>
                <w:sz w:val="16"/>
                <w:szCs w:val="16"/>
              </w:rPr>
              <w:t>可</w:t>
            </w:r>
          </w:p>
        </w:tc>
        <w:tc>
          <w:tcPr>
            <w:tcW w:w="2367" w:type="dxa"/>
            <w:vAlign w:val="top"/>
          </w:tcPr>
          <w:p>
            <w:pPr>
              <w:pStyle w:val="TableText"/>
              <w:ind w:left="44"/>
              <w:spacing w:before="272" w:line="219" w:lineRule="auto"/>
              <w:rPr>
                <w:sz w:val="16"/>
                <w:szCs w:val="16"/>
              </w:rPr>
            </w:pPr>
            <w:r>
              <w:rPr>
                <w:sz w:val="16"/>
                <w:szCs w:val="16"/>
                <w:spacing w:val="-1"/>
              </w:rPr>
              <w:t>公安高，省级，县蚁必安机关</w:t>
            </w:r>
          </w:p>
        </w:tc>
        <w:tc>
          <w:tcPr>
            <w:tcW w:w="3701" w:type="dxa"/>
            <w:vAlign w:val="top"/>
          </w:tcPr>
          <w:p>
            <w:pPr>
              <w:pStyle w:val="TableText"/>
              <w:spacing w:before="273" w:line="219" w:lineRule="auto"/>
              <w:rPr>
                <w:sz w:val="16"/>
                <w:szCs w:val="16"/>
              </w:rPr>
            </w:pPr>
            <w:r>
              <w:rPr>
                <w:sz w:val="16"/>
                <w:szCs w:val="16"/>
                <w:spacing w:val="-3"/>
              </w:rPr>
              <w:t>《中华人民其和国检支管理法1</w:t>
            </w:r>
          </w:p>
        </w:tc>
      </w:tr>
      <w:tr>
        <w:trPr>
          <w:trHeight w:val="280" w:hRule="atLeast"/>
        </w:trPr>
        <w:tc>
          <w:tcPr>
            <w:tcW w:w="594" w:type="dxa"/>
            <w:vAlign w:val="top"/>
          </w:tcPr>
          <w:p>
            <w:pPr>
              <w:pStyle w:val="TableText"/>
              <w:ind w:left="204"/>
              <w:spacing w:before="104" w:line="184" w:lineRule="auto"/>
              <w:rPr>
                <w:sz w:val="16"/>
                <w:szCs w:val="16"/>
              </w:rPr>
            </w:pPr>
            <w:r>
              <w:rPr>
                <w:sz w:val="16"/>
                <w:szCs w:val="16"/>
                <w:spacing w:val="-3"/>
              </w:rPr>
              <w:t>71</w:t>
            </w:r>
          </w:p>
        </w:tc>
        <w:tc>
          <w:tcPr>
            <w:tcW w:w="1289" w:type="dxa"/>
            <w:vAlign w:val="top"/>
          </w:tcPr>
          <w:p>
            <w:pPr>
              <w:pStyle w:val="TableText"/>
              <w:ind w:left="390"/>
              <w:spacing w:before="64" w:line="219" w:lineRule="auto"/>
              <w:rPr>
                <w:sz w:val="16"/>
                <w:szCs w:val="16"/>
              </w:rPr>
            </w:pPr>
            <w:r>
              <w:rPr>
                <w:sz w:val="16"/>
                <w:szCs w:val="16"/>
                <w:spacing w:val="-3"/>
              </w:rPr>
              <w:t>公安部</w:t>
            </w:r>
          </w:p>
        </w:tc>
        <w:tc>
          <w:tcPr>
            <w:tcW w:w="1638" w:type="dxa"/>
            <w:vAlign w:val="top"/>
          </w:tcPr>
          <w:p>
            <w:pPr>
              <w:pStyle w:val="TableText"/>
              <w:ind w:left="52"/>
              <w:spacing w:before="64" w:line="219" w:lineRule="auto"/>
              <w:rPr>
                <w:sz w:val="16"/>
                <w:szCs w:val="16"/>
              </w:rPr>
            </w:pPr>
            <w:r>
              <w:rPr>
                <w:sz w:val="16"/>
                <w:szCs w:val="16"/>
              </w:rPr>
              <w:t>区用枪支特检许可</w:t>
            </w:r>
          </w:p>
        </w:tc>
        <w:tc>
          <w:tcPr>
            <w:tcW w:w="2367" w:type="dxa"/>
            <w:vAlign w:val="top"/>
          </w:tcPr>
          <w:p>
            <w:pPr>
              <w:pStyle w:val="TableText"/>
              <w:ind w:left="44"/>
              <w:spacing w:before="63" w:line="219" w:lineRule="auto"/>
              <w:rPr>
                <w:sz w:val="16"/>
                <w:szCs w:val="16"/>
              </w:rPr>
            </w:pPr>
            <w:r>
              <w:rPr>
                <w:sz w:val="16"/>
                <w:szCs w:val="16"/>
                <w:spacing w:val="-1"/>
              </w:rPr>
              <w:t>省俊，设区的市包公安机关</w:t>
            </w:r>
          </w:p>
        </w:tc>
        <w:tc>
          <w:tcPr>
            <w:tcW w:w="3701" w:type="dxa"/>
            <w:vAlign w:val="top"/>
          </w:tcPr>
          <w:p>
            <w:pPr>
              <w:pStyle w:val="TableText"/>
              <w:spacing w:before="63" w:line="219" w:lineRule="auto"/>
              <w:rPr>
                <w:sz w:val="16"/>
                <w:szCs w:val="16"/>
              </w:rPr>
            </w:pPr>
            <w:r>
              <w:rPr>
                <w:sz w:val="16"/>
                <w:szCs w:val="16"/>
                <w:spacing w:val="-3"/>
              </w:rPr>
              <w:t>《中华人民共和国检麦管理法)</w:t>
            </w:r>
          </w:p>
        </w:tc>
      </w:tr>
      <w:tr>
        <w:trPr>
          <w:trHeight w:val="689" w:hRule="atLeast"/>
        </w:trPr>
        <w:tc>
          <w:tcPr>
            <w:tcW w:w="594" w:type="dxa"/>
            <w:vAlign w:val="top"/>
          </w:tcPr>
          <w:p>
            <w:pPr>
              <w:spacing w:line="262" w:lineRule="auto"/>
              <w:rPr>
                <w:rFonts w:ascii="Arial"/>
                <w:sz w:val="21"/>
              </w:rPr>
            </w:pPr>
            <w:r/>
          </w:p>
          <w:p>
            <w:pPr>
              <w:pStyle w:val="TableText"/>
              <w:ind w:left="204"/>
              <w:spacing w:before="52" w:line="183" w:lineRule="auto"/>
              <w:rPr>
                <w:sz w:val="16"/>
                <w:szCs w:val="16"/>
              </w:rPr>
            </w:pPr>
            <w:r>
              <w:rPr>
                <w:sz w:val="16"/>
                <w:szCs w:val="16"/>
                <w:spacing w:val="-3"/>
              </w:rPr>
              <w:t>72</w:t>
            </w:r>
          </w:p>
        </w:tc>
        <w:tc>
          <w:tcPr>
            <w:tcW w:w="1289" w:type="dxa"/>
            <w:vAlign w:val="top"/>
          </w:tcPr>
          <w:p>
            <w:pPr>
              <w:pStyle w:val="TableText"/>
              <w:ind w:left="390"/>
              <w:spacing w:before="274" w:line="219" w:lineRule="auto"/>
              <w:rPr>
                <w:sz w:val="16"/>
                <w:szCs w:val="16"/>
              </w:rPr>
            </w:pPr>
            <w:r>
              <w:rPr>
                <w:sz w:val="16"/>
                <w:szCs w:val="16"/>
                <w:spacing w:val="-3"/>
              </w:rPr>
              <w:t>公安部</w:t>
            </w:r>
          </w:p>
        </w:tc>
        <w:tc>
          <w:tcPr>
            <w:tcW w:w="1638" w:type="dxa"/>
            <w:vAlign w:val="top"/>
          </w:tcPr>
          <w:p>
            <w:pPr>
              <w:pStyle w:val="TableText"/>
              <w:ind w:left="32" w:right="83" w:firstLine="59"/>
              <w:spacing w:before="65" w:line="228" w:lineRule="auto"/>
              <w:jc w:val="both"/>
              <w:rPr>
                <w:sz w:val="16"/>
                <w:szCs w:val="16"/>
              </w:rPr>
            </w:pPr>
            <w:r>
              <w:rPr>
                <w:sz w:val="16"/>
                <w:szCs w:val="16"/>
                <w:spacing w:val="1"/>
              </w:rPr>
              <w:t>民用概变及检支主宽</w:t>
            </w:r>
            <w:r>
              <w:rPr>
                <w:sz w:val="16"/>
                <w:szCs w:val="16"/>
                <w:spacing w:val="2"/>
              </w:rPr>
              <w:t xml:space="preserve"> </w:t>
            </w:r>
            <w:r>
              <w:rPr>
                <w:sz w:val="16"/>
                <w:szCs w:val="16"/>
                <w:spacing w:val="5"/>
              </w:rPr>
              <w:t>零部件、界病制盖许</w:t>
            </w:r>
            <w:r>
              <w:rPr>
                <w:sz w:val="16"/>
                <w:szCs w:val="16"/>
                <w:spacing w:val="7"/>
              </w:rPr>
              <w:t xml:space="preserve"> </w:t>
            </w:r>
            <w:r>
              <w:rPr>
                <w:sz w:val="16"/>
                <w:szCs w:val="16"/>
              </w:rPr>
              <w:t>前</w:t>
            </w:r>
          </w:p>
        </w:tc>
        <w:tc>
          <w:tcPr>
            <w:tcW w:w="2367" w:type="dxa"/>
            <w:vAlign w:val="top"/>
          </w:tcPr>
          <w:p>
            <w:pPr>
              <w:pStyle w:val="TableText"/>
              <w:ind w:left="44"/>
              <w:spacing w:before="274" w:line="219" w:lineRule="auto"/>
              <w:rPr>
                <w:sz w:val="16"/>
                <w:szCs w:val="16"/>
              </w:rPr>
            </w:pPr>
            <w:r>
              <w:rPr>
                <w:sz w:val="16"/>
                <w:szCs w:val="16"/>
                <w:spacing w:val="-3"/>
              </w:rPr>
              <w:t>公安部</w:t>
            </w:r>
          </w:p>
        </w:tc>
        <w:tc>
          <w:tcPr>
            <w:tcW w:w="3701" w:type="dxa"/>
            <w:vAlign w:val="top"/>
          </w:tcPr>
          <w:p>
            <w:pPr>
              <w:pStyle w:val="TableText"/>
              <w:spacing w:before="274" w:line="219" w:lineRule="auto"/>
              <w:rPr>
                <w:sz w:val="16"/>
                <w:szCs w:val="16"/>
              </w:rPr>
            </w:pPr>
            <w:r>
              <w:rPr>
                <w:sz w:val="16"/>
                <w:szCs w:val="16"/>
                <w:spacing w:val="-5"/>
              </w:rPr>
              <w:t>《中华人民共和国检变营理注</w:t>
            </w:r>
          </w:p>
        </w:tc>
      </w:tr>
      <w:tr>
        <w:trPr>
          <w:trHeight w:val="764" w:hRule="atLeast"/>
        </w:trPr>
        <w:tc>
          <w:tcPr>
            <w:tcW w:w="594" w:type="dxa"/>
            <w:vAlign w:val="top"/>
          </w:tcPr>
          <w:p>
            <w:pPr>
              <w:spacing w:line="293" w:lineRule="auto"/>
              <w:rPr>
                <w:rFonts w:ascii="Arial"/>
                <w:sz w:val="21"/>
              </w:rPr>
            </w:pPr>
            <w:r/>
          </w:p>
          <w:p>
            <w:pPr>
              <w:pStyle w:val="TableText"/>
              <w:ind w:left="204"/>
              <w:spacing w:before="52" w:line="183" w:lineRule="auto"/>
              <w:rPr>
                <w:sz w:val="16"/>
                <w:szCs w:val="16"/>
              </w:rPr>
            </w:pPr>
            <w:r>
              <w:rPr>
                <w:sz w:val="16"/>
                <w:szCs w:val="16"/>
                <w:spacing w:val="-3"/>
              </w:rPr>
              <w:t>73</w:t>
            </w:r>
          </w:p>
        </w:tc>
        <w:tc>
          <w:tcPr>
            <w:tcW w:w="1289" w:type="dxa"/>
            <w:vAlign w:val="top"/>
          </w:tcPr>
          <w:p>
            <w:pPr>
              <w:spacing w:line="252" w:lineRule="auto"/>
              <w:rPr>
                <w:rFonts w:ascii="Arial"/>
                <w:sz w:val="21"/>
              </w:rPr>
            </w:pPr>
            <w:r/>
          </w:p>
          <w:p>
            <w:pPr>
              <w:pStyle w:val="TableText"/>
              <w:ind w:left="390"/>
              <w:spacing w:before="52" w:line="220" w:lineRule="auto"/>
              <w:rPr>
                <w:sz w:val="16"/>
                <w:szCs w:val="16"/>
              </w:rPr>
            </w:pPr>
            <w:r>
              <w:rPr>
                <w:sz w:val="16"/>
                <w:szCs w:val="16"/>
                <w:spacing w:val="-3"/>
              </w:rPr>
              <w:t>公安事</w:t>
            </w:r>
          </w:p>
        </w:tc>
        <w:tc>
          <w:tcPr>
            <w:tcW w:w="1638" w:type="dxa"/>
            <w:vAlign w:val="top"/>
          </w:tcPr>
          <w:p>
            <w:pPr>
              <w:pStyle w:val="TableText"/>
              <w:ind w:left="22" w:right="87" w:firstLine="69"/>
              <w:spacing w:before="126" w:line="219" w:lineRule="auto"/>
              <w:jc w:val="both"/>
              <w:rPr>
                <w:sz w:val="16"/>
                <w:szCs w:val="16"/>
              </w:rPr>
            </w:pPr>
            <w:r>
              <w:rPr>
                <w:sz w:val="16"/>
                <w:szCs w:val="16"/>
              </w:rPr>
              <w:t>民用给支及检麦主要</w:t>
            </w:r>
            <w:r>
              <w:rPr>
                <w:sz w:val="16"/>
                <w:szCs w:val="16"/>
                <w:spacing w:val="7"/>
              </w:rPr>
              <w:t xml:space="preserve"> </w:t>
            </w:r>
            <w:r>
              <w:rPr>
                <w:sz w:val="16"/>
                <w:szCs w:val="16"/>
                <w:spacing w:val="7"/>
              </w:rPr>
              <w:t>零部件，焊孵配整所</w:t>
            </w:r>
            <w:r>
              <w:rPr>
                <w:sz w:val="16"/>
                <w:szCs w:val="16"/>
              </w:rPr>
              <w:t xml:space="preserve"> </w:t>
            </w:r>
            <w:r>
              <w:rPr>
                <w:sz w:val="16"/>
                <w:szCs w:val="16"/>
              </w:rPr>
              <w:t>明</w:t>
            </w:r>
          </w:p>
        </w:tc>
        <w:tc>
          <w:tcPr>
            <w:tcW w:w="2367" w:type="dxa"/>
            <w:vAlign w:val="top"/>
          </w:tcPr>
          <w:p>
            <w:pPr>
              <w:spacing w:line="252" w:lineRule="auto"/>
              <w:rPr>
                <w:rFonts w:ascii="Arial"/>
                <w:sz w:val="21"/>
              </w:rPr>
            </w:pPr>
            <w:r/>
          </w:p>
          <w:p>
            <w:pPr>
              <w:pStyle w:val="TableText"/>
              <w:ind w:left="44"/>
              <w:spacing w:before="52" w:line="219" w:lineRule="auto"/>
              <w:rPr>
                <w:sz w:val="16"/>
                <w:szCs w:val="16"/>
              </w:rPr>
            </w:pPr>
            <w:r>
              <w:rPr>
                <w:sz w:val="16"/>
                <w:szCs w:val="16"/>
                <w:spacing w:val="-2"/>
              </w:rPr>
              <w:t>省级公专称关</w:t>
            </w:r>
          </w:p>
        </w:tc>
        <w:tc>
          <w:tcPr>
            <w:tcW w:w="3701" w:type="dxa"/>
            <w:vAlign w:val="top"/>
          </w:tcPr>
          <w:p>
            <w:pPr>
              <w:spacing w:line="252" w:lineRule="auto"/>
              <w:rPr>
                <w:rFonts w:ascii="Arial"/>
                <w:sz w:val="21"/>
              </w:rPr>
            </w:pPr>
            <w:r/>
          </w:p>
          <w:p>
            <w:pPr>
              <w:pStyle w:val="TableText"/>
              <w:spacing w:before="52" w:line="219" w:lineRule="auto"/>
              <w:rPr>
                <w:sz w:val="16"/>
                <w:szCs w:val="16"/>
              </w:rPr>
            </w:pPr>
            <w:r>
              <w:rPr>
                <w:sz w:val="16"/>
                <w:szCs w:val="16"/>
                <w:spacing w:val="-4"/>
              </w:rPr>
              <w:t>《中华人民共和居枪支分理法》</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28224" behindDoc="0" locked="0" layoutInCell="0" allowOverlap="1">
                <wp:simplePos x="0" y="0"/>
                <wp:positionH relativeFrom="page">
                  <wp:posOffset>473762</wp:posOffset>
                </wp:positionH>
                <wp:positionV relativeFrom="page">
                  <wp:posOffset>4398919</wp:posOffset>
                </wp:positionV>
                <wp:extent cx="166370" cy="157479"/>
                <wp:effectExtent l="0" t="0" r="0" b="0"/>
                <wp:wrapNone/>
                <wp:docPr id="176" name="TextBox 176"/>
                <wp:cNvGraphicFramePr/>
                <a:graphic>
                  <a:graphicData uri="http://schemas.microsoft.com/office/word/2010/wordprocessingShape">
                    <wps:wsp>
                      <wps:cNvSpPr txBox="1"/>
                      <wps:spPr>
                        <a:xfrm rot="5400000">
                          <a:off x="473762" y="4398919"/>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8" style="position:absolute;margin-left:37.3042pt;margin-top:346.372pt;mso-position-vertical-relative:page;mso-position-horizontal-relative:page;width:13.1pt;height:12.4pt;z-index:25182822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169</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67"/>
        <w:gridCol w:w="3711"/>
      </w:tblGrid>
      <w:tr>
        <w:trPr>
          <w:trHeight w:val="414" w:hRule="atLeast"/>
        </w:trPr>
        <w:tc>
          <w:tcPr>
            <w:tcW w:w="594" w:type="dxa"/>
            <w:vAlign w:val="top"/>
          </w:tcPr>
          <w:p>
            <w:pPr>
              <w:pStyle w:val="TableText"/>
              <w:ind w:left="114"/>
              <w:spacing w:before="122" w:line="221" w:lineRule="auto"/>
              <w:rPr>
                <w:sz w:val="17"/>
                <w:szCs w:val="17"/>
              </w:rPr>
            </w:pPr>
            <w:r>
              <w:rPr>
                <w:sz w:val="17"/>
                <w:szCs w:val="17"/>
                <w:spacing w:val="-2"/>
              </w:rPr>
              <w:t>序号</w:t>
            </w:r>
          </w:p>
        </w:tc>
        <w:tc>
          <w:tcPr>
            <w:tcW w:w="1289" w:type="dxa"/>
            <w:vAlign w:val="top"/>
          </w:tcPr>
          <w:p>
            <w:pPr>
              <w:pStyle w:val="TableText"/>
              <w:ind w:left="120"/>
              <w:spacing w:before="122" w:line="219" w:lineRule="auto"/>
              <w:rPr>
                <w:sz w:val="17"/>
                <w:szCs w:val="17"/>
              </w:rPr>
            </w:pPr>
            <w:r>
              <w:rPr>
                <w:sz w:val="17"/>
                <w:szCs w:val="17"/>
                <w:spacing w:val="3"/>
              </w:rPr>
              <w:t>中变主管部门</w:t>
            </w:r>
          </w:p>
        </w:tc>
        <w:tc>
          <w:tcPr>
            <w:tcW w:w="1628" w:type="dxa"/>
            <w:vAlign w:val="top"/>
          </w:tcPr>
          <w:p>
            <w:pPr>
              <w:pStyle w:val="TableText"/>
              <w:ind w:left="461"/>
              <w:spacing w:before="122" w:line="220" w:lineRule="auto"/>
              <w:rPr>
                <w:sz w:val="17"/>
                <w:szCs w:val="17"/>
              </w:rPr>
            </w:pPr>
            <w:r>
              <w:rPr>
                <w:sz w:val="17"/>
                <w:szCs w:val="17"/>
                <w:spacing w:val="-2"/>
              </w:rPr>
              <w:t>事填名种</w:t>
            </w:r>
          </w:p>
        </w:tc>
        <w:tc>
          <w:tcPr>
            <w:tcW w:w="2367" w:type="dxa"/>
            <w:vAlign w:val="top"/>
          </w:tcPr>
          <w:p>
            <w:pPr>
              <w:pStyle w:val="TableText"/>
              <w:ind w:left="864"/>
              <w:spacing w:before="120" w:line="219" w:lineRule="auto"/>
              <w:rPr>
                <w:sz w:val="17"/>
                <w:szCs w:val="17"/>
              </w:rPr>
            </w:pPr>
            <w:r>
              <w:rPr>
                <w:sz w:val="17"/>
                <w:szCs w:val="17"/>
                <w:spacing w:val="-3"/>
              </w:rPr>
              <w:t>实期机关</w:t>
            </w:r>
          </w:p>
        </w:tc>
        <w:tc>
          <w:tcPr>
            <w:tcW w:w="3711" w:type="dxa"/>
            <w:vAlign w:val="top"/>
          </w:tcPr>
          <w:p>
            <w:pPr>
              <w:pStyle w:val="TableText"/>
              <w:ind w:left="1289"/>
              <w:spacing w:before="118" w:line="219" w:lineRule="auto"/>
              <w:rPr>
                <w:sz w:val="17"/>
                <w:szCs w:val="17"/>
              </w:rPr>
            </w:pPr>
            <w:r>
              <w:rPr>
                <w:sz w:val="17"/>
                <w:szCs w:val="17"/>
                <w:b/>
                <w:bCs/>
                <w:spacing w:val="-3"/>
              </w:rPr>
              <w:t>设定和实胞依据</w:t>
            </w:r>
          </w:p>
        </w:tc>
      </w:tr>
      <w:tr>
        <w:trPr>
          <w:trHeight w:val="699" w:hRule="atLeast"/>
        </w:trPr>
        <w:tc>
          <w:tcPr>
            <w:tcW w:w="594" w:type="dxa"/>
            <w:vAlign w:val="top"/>
          </w:tcPr>
          <w:p>
            <w:pPr>
              <w:spacing w:line="254" w:lineRule="auto"/>
              <w:rPr>
                <w:rFonts w:ascii="Arial"/>
                <w:sz w:val="21"/>
              </w:rPr>
            </w:pPr>
            <w:r/>
          </w:p>
          <w:p>
            <w:pPr>
              <w:pStyle w:val="TableText"/>
              <w:ind w:left="244"/>
              <w:spacing w:before="56" w:line="183" w:lineRule="auto"/>
              <w:rPr>
                <w:sz w:val="17"/>
                <w:szCs w:val="17"/>
              </w:rPr>
            </w:pPr>
            <w:r>
              <w:rPr>
                <w:sz w:val="17"/>
                <w:szCs w:val="17"/>
              </w:rPr>
              <w:t>4</w:t>
            </w:r>
          </w:p>
        </w:tc>
        <w:tc>
          <w:tcPr>
            <w:tcW w:w="1289" w:type="dxa"/>
            <w:vAlign w:val="top"/>
          </w:tcPr>
          <w:p>
            <w:pPr>
              <w:pStyle w:val="TableText"/>
              <w:ind w:left="380"/>
              <w:spacing w:before="268" w:line="220" w:lineRule="auto"/>
              <w:rPr>
                <w:sz w:val="17"/>
                <w:szCs w:val="17"/>
              </w:rPr>
            </w:pPr>
            <w:r>
              <w:rPr>
                <w:sz w:val="17"/>
                <w:szCs w:val="17"/>
                <w:spacing w:val="-3"/>
              </w:rPr>
              <w:t>公安解</w:t>
            </w:r>
          </w:p>
        </w:tc>
        <w:tc>
          <w:tcPr>
            <w:tcW w:w="1628" w:type="dxa"/>
            <w:vAlign w:val="top"/>
          </w:tcPr>
          <w:p>
            <w:pPr>
              <w:pStyle w:val="TableText"/>
              <w:ind w:left="12" w:firstLine="29"/>
              <w:spacing w:before="98" w:line="210" w:lineRule="auto"/>
              <w:jc w:val="both"/>
              <w:rPr>
                <w:sz w:val="17"/>
                <w:szCs w:val="17"/>
              </w:rPr>
            </w:pPr>
            <w:r>
              <w:rPr>
                <w:sz w:val="17"/>
                <w:szCs w:val="17"/>
              </w:rPr>
              <w:t>民用检支及检支土要</w:t>
            </w:r>
            <w:r>
              <w:rPr>
                <w:sz w:val="17"/>
                <w:szCs w:val="17"/>
                <w:spacing w:val="6"/>
              </w:rPr>
              <w:t xml:space="preserve"> </w:t>
            </w:r>
            <w:r>
              <w:rPr>
                <w:sz w:val="17"/>
                <w:szCs w:val="17"/>
                <w:spacing w:val="-11"/>
              </w:rPr>
              <w:t>零需</w:t>
            </w:r>
            <w:r>
              <w:rPr>
                <w:sz w:val="17"/>
                <w:szCs w:val="17"/>
                <w:spacing w:val="-10"/>
              </w:rPr>
              <w:t>件、弹巧制道，</w:t>
            </w:r>
            <w:r>
              <w:rPr>
                <w:sz w:val="17"/>
                <w:szCs w:val="17"/>
                <w:spacing w:val="-8"/>
              </w:rPr>
              <w:t>配</w:t>
            </w:r>
            <w:r>
              <w:rPr>
                <w:sz w:val="17"/>
                <w:szCs w:val="17"/>
                <w:spacing w:val="4"/>
              </w:rPr>
              <w:t xml:space="preserve"> </w:t>
            </w:r>
            <w:r>
              <w:rPr>
                <w:sz w:val="17"/>
                <w:szCs w:val="17"/>
                <w:spacing w:val="10"/>
              </w:rPr>
              <w:t>供年度图翅作习</w:t>
            </w:r>
          </w:p>
        </w:tc>
        <w:tc>
          <w:tcPr>
            <w:tcW w:w="2367" w:type="dxa"/>
            <w:vAlign w:val="top"/>
          </w:tcPr>
          <w:p>
            <w:pPr>
              <w:pStyle w:val="TableText"/>
              <w:ind w:left="54"/>
              <w:spacing w:before="268" w:line="220" w:lineRule="auto"/>
              <w:rPr>
                <w:sz w:val="17"/>
                <w:szCs w:val="17"/>
              </w:rPr>
            </w:pPr>
            <w:r>
              <w:rPr>
                <w:sz w:val="17"/>
                <w:szCs w:val="17"/>
                <w:spacing w:val="-3"/>
              </w:rPr>
              <w:t>公安胞</w:t>
            </w:r>
          </w:p>
        </w:tc>
        <w:tc>
          <w:tcPr>
            <w:tcW w:w="3711" w:type="dxa"/>
            <w:vAlign w:val="top"/>
          </w:tcPr>
          <w:p>
            <w:pPr>
              <w:pStyle w:val="TableText"/>
              <w:spacing w:before="268" w:line="219" w:lineRule="auto"/>
              <w:rPr>
                <w:sz w:val="17"/>
                <w:szCs w:val="17"/>
              </w:rPr>
            </w:pPr>
            <w:r>
              <w:rPr>
                <w:sz w:val="17"/>
                <w:szCs w:val="17"/>
                <w:spacing w:val="-4"/>
              </w:rPr>
              <w:t>《中华人民共和调枪支管理法》</w:t>
            </w:r>
          </w:p>
        </w:tc>
      </w:tr>
      <w:tr>
        <w:trPr>
          <w:trHeight w:val="479" w:hRule="atLeast"/>
        </w:trPr>
        <w:tc>
          <w:tcPr>
            <w:tcW w:w="594" w:type="dxa"/>
            <w:vAlign w:val="top"/>
          </w:tcPr>
          <w:p>
            <w:pPr>
              <w:pStyle w:val="TableText"/>
              <w:ind w:left="204"/>
              <w:spacing w:before="203" w:line="182" w:lineRule="auto"/>
              <w:rPr>
                <w:sz w:val="17"/>
                <w:szCs w:val="17"/>
              </w:rPr>
            </w:pPr>
            <w:r>
              <w:rPr>
                <w:sz w:val="17"/>
                <w:szCs w:val="17"/>
                <w:spacing w:val="-3"/>
              </w:rPr>
              <w:t>75</w:t>
            </w:r>
          </w:p>
        </w:tc>
        <w:tc>
          <w:tcPr>
            <w:tcW w:w="1289" w:type="dxa"/>
            <w:vAlign w:val="top"/>
          </w:tcPr>
          <w:p>
            <w:pPr>
              <w:pStyle w:val="TableText"/>
              <w:ind w:left="380"/>
              <w:spacing w:before="159" w:line="219" w:lineRule="auto"/>
              <w:rPr>
                <w:sz w:val="17"/>
                <w:szCs w:val="17"/>
              </w:rPr>
            </w:pPr>
            <w:r>
              <w:rPr>
                <w:sz w:val="17"/>
                <w:szCs w:val="17"/>
                <w:spacing w:val="3"/>
              </w:rPr>
              <w:t>公安部</w:t>
            </w:r>
          </w:p>
        </w:tc>
        <w:tc>
          <w:tcPr>
            <w:tcW w:w="1628" w:type="dxa"/>
            <w:vAlign w:val="top"/>
          </w:tcPr>
          <w:p>
            <w:pPr>
              <w:pStyle w:val="TableText"/>
              <w:ind w:left="32" w:right="53" w:firstLine="10"/>
              <w:spacing w:before="69" w:line="217" w:lineRule="auto"/>
              <w:rPr>
                <w:sz w:val="17"/>
                <w:szCs w:val="17"/>
              </w:rPr>
            </w:pPr>
            <w:r>
              <w:rPr>
                <w:sz w:val="17"/>
                <w:szCs w:val="17"/>
                <w:spacing w:val="-1"/>
              </w:rPr>
              <w:t>枪支及枪支主要零面</w:t>
            </w:r>
            <w:r>
              <w:rPr>
                <w:sz w:val="17"/>
                <w:szCs w:val="17"/>
              </w:rPr>
              <w:t xml:space="preserve"> </w:t>
            </w:r>
            <w:r>
              <w:rPr>
                <w:sz w:val="17"/>
                <w:szCs w:val="17"/>
                <w:spacing w:val="-1"/>
              </w:rPr>
              <w:t>件，弹两运输许可</w:t>
            </w:r>
          </w:p>
        </w:tc>
        <w:tc>
          <w:tcPr>
            <w:tcW w:w="2367" w:type="dxa"/>
            <w:vAlign w:val="top"/>
          </w:tcPr>
          <w:p>
            <w:pPr>
              <w:pStyle w:val="TableText"/>
              <w:ind w:left="54"/>
              <w:spacing w:before="157" w:line="219" w:lineRule="auto"/>
              <w:rPr>
                <w:sz w:val="17"/>
                <w:szCs w:val="17"/>
              </w:rPr>
            </w:pPr>
            <w:r>
              <w:rPr>
                <w:sz w:val="17"/>
                <w:szCs w:val="17"/>
                <w:spacing w:val="-1"/>
              </w:rPr>
              <w:t>雷级，设区的市级公安机关</w:t>
            </w:r>
          </w:p>
        </w:tc>
        <w:tc>
          <w:tcPr>
            <w:tcW w:w="3711" w:type="dxa"/>
            <w:vAlign w:val="top"/>
          </w:tcPr>
          <w:p>
            <w:pPr>
              <w:pStyle w:val="TableText"/>
              <w:spacing w:before="159" w:line="219" w:lineRule="auto"/>
              <w:rPr>
                <w:sz w:val="17"/>
                <w:szCs w:val="17"/>
              </w:rPr>
            </w:pPr>
            <w:r>
              <w:rPr>
                <w:sz w:val="17"/>
                <w:szCs w:val="17"/>
                <w:spacing w:val="2"/>
              </w:rPr>
              <w:t>《中单人民共和国枪支管理法】</w:t>
            </w:r>
          </w:p>
        </w:tc>
      </w:tr>
      <w:tr>
        <w:trPr>
          <w:trHeight w:val="899" w:hRule="atLeast"/>
        </w:trPr>
        <w:tc>
          <w:tcPr>
            <w:tcW w:w="594" w:type="dxa"/>
            <w:vAlign w:val="top"/>
          </w:tcPr>
          <w:p>
            <w:pPr>
              <w:spacing w:line="356" w:lineRule="auto"/>
              <w:rPr>
                <w:rFonts w:ascii="Arial"/>
                <w:sz w:val="21"/>
              </w:rPr>
            </w:pPr>
            <w:r/>
          </w:p>
          <w:p>
            <w:pPr>
              <w:pStyle w:val="TableText"/>
              <w:ind w:left="204"/>
              <w:spacing w:before="55" w:line="183" w:lineRule="auto"/>
              <w:rPr>
                <w:sz w:val="17"/>
                <w:szCs w:val="17"/>
              </w:rPr>
            </w:pPr>
            <w:r>
              <w:rPr>
                <w:sz w:val="17"/>
                <w:szCs w:val="17"/>
                <w:spacing w:val="-3"/>
              </w:rPr>
              <w:t>76</w:t>
            </w:r>
          </w:p>
        </w:tc>
        <w:tc>
          <w:tcPr>
            <w:tcW w:w="1289" w:type="dxa"/>
            <w:vAlign w:val="top"/>
          </w:tcPr>
          <w:p>
            <w:pPr>
              <w:spacing w:line="312" w:lineRule="auto"/>
              <w:rPr>
                <w:rFonts w:ascii="Arial"/>
                <w:sz w:val="21"/>
              </w:rPr>
            </w:pPr>
            <w:r/>
          </w:p>
          <w:p>
            <w:pPr>
              <w:pStyle w:val="TableText"/>
              <w:ind w:left="380"/>
              <w:spacing w:before="56" w:line="219" w:lineRule="auto"/>
              <w:rPr>
                <w:sz w:val="17"/>
                <w:szCs w:val="17"/>
              </w:rPr>
            </w:pPr>
            <w:r>
              <w:rPr>
                <w:sz w:val="17"/>
                <w:szCs w:val="17"/>
                <w:spacing w:val="3"/>
              </w:rPr>
              <w:t>公变部</w:t>
            </w:r>
          </w:p>
        </w:tc>
        <w:tc>
          <w:tcPr>
            <w:tcW w:w="1628" w:type="dxa"/>
            <w:vAlign w:val="top"/>
          </w:tcPr>
          <w:p>
            <w:pPr>
              <w:pStyle w:val="TableText"/>
              <w:ind w:left="22" w:right="34" w:firstLine="20"/>
              <w:spacing w:before="79" w:line="217" w:lineRule="auto"/>
              <w:jc w:val="both"/>
              <w:rPr>
                <w:sz w:val="17"/>
                <w:szCs w:val="17"/>
              </w:rPr>
            </w:pPr>
            <w:r>
              <w:rPr>
                <w:sz w:val="17"/>
                <w:szCs w:val="17"/>
                <w:spacing w:val="-2"/>
              </w:rPr>
              <w:t>非外交，体育人虽携</w:t>
            </w:r>
            <w:r>
              <w:rPr>
                <w:sz w:val="17"/>
                <w:szCs w:val="17"/>
                <w:spacing w:val="7"/>
              </w:rPr>
              <w:t xml:space="preserve"> </w:t>
            </w:r>
            <w:r>
              <w:rPr>
                <w:sz w:val="17"/>
                <w:szCs w:val="17"/>
                <w:spacing w:val="1"/>
              </w:rPr>
              <w:t>得税支及检支至置零</w:t>
            </w:r>
            <w:r>
              <w:rPr>
                <w:sz w:val="17"/>
                <w:szCs w:val="17"/>
                <w:spacing w:val="2"/>
              </w:rPr>
              <w:t xml:space="preserve"> </w:t>
            </w:r>
            <w:r>
              <w:rPr>
                <w:sz w:val="17"/>
                <w:szCs w:val="17"/>
                <w:spacing w:val="3"/>
              </w:rPr>
              <w:t>常件，弹药人所境作 </w:t>
            </w:r>
            <w:r>
              <w:rPr>
                <w:sz w:val="17"/>
                <w:szCs w:val="17"/>
              </w:rPr>
              <w:t>可</w:t>
            </w:r>
          </w:p>
        </w:tc>
        <w:tc>
          <w:tcPr>
            <w:tcW w:w="2367" w:type="dxa"/>
            <w:vAlign w:val="top"/>
          </w:tcPr>
          <w:p>
            <w:pPr>
              <w:spacing w:line="311" w:lineRule="auto"/>
              <w:rPr>
                <w:rFonts w:ascii="Arial"/>
                <w:sz w:val="21"/>
              </w:rPr>
            </w:pPr>
            <w:r/>
          </w:p>
          <w:p>
            <w:pPr>
              <w:pStyle w:val="TableText"/>
              <w:ind w:left="54"/>
              <w:spacing w:before="55" w:line="219" w:lineRule="auto"/>
              <w:rPr>
                <w:sz w:val="17"/>
                <w:szCs w:val="17"/>
              </w:rPr>
            </w:pPr>
            <w:r>
              <w:rPr>
                <w:sz w:val="17"/>
                <w:szCs w:val="17"/>
                <w:spacing w:val="5"/>
              </w:rPr>
              <w:t>公安鼎</w:t>
            </w:r>
          </w:p>
        </w:tc>
        <w:tc>
          <w:tcPr>
            <w:tcW w:w="3711" w:type="dxa"/>
            <w:vAlign w:val="top"/>
          </w:tcPr>
          <w:p>
            <w:pPr>
              <w:spacing w:line="312" w:lineRule="auto"/>
              <w:rPr>
                <w:rFonts w:ascii="Arial"/>
                <w:sz w:val="21"/>
              </w:rPr>
            </w:pPr>
            <w:r/>
          </w:p>
          <w:p>
            <w:pPr>
              <w:pStyle w:val="TableText"/>
              <w:spacing w:before="56" w:line="219" w:lineRule="auto"/>
              <w:rPr>
                <w:sz w:val="17"/>
                <w:szCs w:val="17"/>
              </w:rPr>
            </w:pPr>
            <w:r>
              <w:rPr>
                <w:sz w:val="17"/>
                <w:szCs w:val="17"/>
                <w:spacing w:val="-4"/>
              </w:rPr>
              <w:t>《中华人民共和国检支管理法》</w:t>
            </w:r>
          </w:p>
        </w:tc>
      </w:tr>
      <w:tr>
        <w:trPr>
          <w:trHeight w:val="679" w:hRule="atLeast"/>
        </w:trPr>
        <w:tc>
          <w:tcPr>
            <w:tcW w:w="594" w:type="dxa"/>
            <w:vAlign w:val="top"/>
          </w:tcPr>
          <w:p>
            <w:pPr>
              <w:spacing w:line="248" w:lineRule="auto"/>
              <w:rPr>
                <w:rFonts w:ascii="Arial"/>
                <w:sz w:val="21"/>
              </w:rPr>
            </w:pPr>
            <w:r/>
          </w:p>
          <w:p>
            <w:pPr>
              <w:pStyle w:val="TableText"/>
              <w:ind w:left="204"/>
              <w:spacing w:before="56" w:line="182" w:lineRule="auto"/>
              <w:rPr>
                <w:sz w:val="17"/>
                <w:szCs w:val="17"/>
              </w:rPr>
            </w:pPr>
            <w:r>
              <w:rPr>
                <w:sz w:val="17"/>
                <w:szCs w:val="17"/>
                <w:spacing w:val="-3"/>
              </w:rPr>
              <w:t>77</w:t>
            </w:r>
          </w:p>
        </w:tc>
        <w:tc>
          <w:tcPr>
            <w:tcW w:w="1289" w:type="dxa"/>
            <w:vAlign w:val="top"/>
          </w:tcPr>
          <w:p>
            <w:pPr>
              <w:pStyle w:val="TableText"/>
              <w:ind w:left="380"/>
              <w:spacing w:before="261" w:line="219" w:lineRule="auto"/>
              <w:rPr>
                <w:sz w:val="17"/>
                <w:szCs w:val="17"/>
              </w:rPr>
            </w:pPr>
            <w:r>
              <w:rPr>
                <w:sz w:val="17"/>
                <w:szCs w:val="17"/>
                <w:spacing w:val="3"/>
              </w:rPr>
              <w:t>公安部</w:t>
            </w:r>
          </w:p>
        </w:tc>
        <w:tc>
          <w:tcPr>
            <w:tcW w:w="1628" w:type="dxa"/>
            <w:vAlign w:val="top"/>
          </w:tcPr>
          <w:p>
            <w:pPr>
              <w:pStyle w:val="TableText"/>
              <w:ind w:left="121" w:right="52" w:hanging="79"/>
              <w:spacing w:before="69" w:line="212" w:lineRule="auto"/>
              <w:rPr>
                <w:sz w:val="17"/>
                <w:szCs w:val="17"/>
              </w:rPr>
            </w:pPr>
            <w:r>
              <w:rPr>
                <w:sz w:val="17"/>
                <w:szCs w:val="17"/>
                <w:spacing w:val="-1"/>
              </w:rPr>
              <w:t>射击意技体育态动校</w:t>
            </w:r>
            <w:r>
              <w:rPr>
                <w:sz w:val="17"/>
                <w:szCs w:val="17"/>
                <w:spacing w:val="1"/>
              </w:rPr>
              <w:t xml:space="preserve"> </w:t>
            </w:r>
            <w:r>
              <w:rPr>
                <w:sz w:val="17"/>
                <w:szCs w:val="17"/>
                <w:spacing w:val="-1"/>
              </w:rPr>
              <w:t>支及枪支主鞭等黎</w:t>
            </w:r>
          </w:p>
          <w:p>
            <w:pPr>
              <w:pStyle w:val="TableText"/>
              <w:ind w:left="32"/>
              <w:spacing w:line="218" w:lineRule="auto"/>
              <w:rPr>
                <w:sz w:val="17"/>
                <w:szCs w:val="17"/>
              </w:rPr>
            </w:pPr>
            <w:r>
              <w:rPr>
                <w:sz w:val="17"/>
                <w:szCs w:val="17"/>
                <w:spacing w:val="2"/>
              </w:rPr>
              <w:t>件，弹药挑品许明</w:t>
            </w:r>
          </w:p>
        </w:tc>
        <w:tc>
          <w:tcPr>
            <w:tcW w:w="2367" w:type="dxa"/>
            <w:vAlign w:val="top"/>
          </w:tcPr>
          <w:p>
            <w:pPr>
              <w:pStyle w:val="TableText"/>
              <w:ind w:left="54"/>
              <w:spacing w:before="259" w:line="219" w:lineRule="auto"/>
              <w:rPr>
                <w:sz w:val="17"/>
                <w:szCs w:val="17"/>
              </w:rPr>
            </w:pPr>
            <w:r>
              <w:rPr>
                <w:sz w:val="17"/>
                <w:szCs w:val="17"/>
                <w:spacing w:val="-1"/>
              </w:rPr>
              <w:t>省级，设区酚市服公安机文</w:t>
            </w:r>
          </w:p>
        </w:tc>
        <w:tc>
          <w:tcPr>
            <w:tcW w:w="3711" w:type="dxa"/>
            <w:vAlign w:val="top"/>
          </w:tcPr>
          <w:p>
            <w:pPr>
              <w:pStyle w:val="TableText"/>
              <w:ind w:left="46"/>
              <w:spacing w:before="171" w:line="206" w:lineRule="auto"/>
              <w:rPr>
                <w:sz w:val="17"/>
                <w:szCs w:val="17"/>
              </w:rPr>
            </w:pPr>
            <w:r>
              <w:rPr>
                <w:sz w:val="17"/>
                <w:szCs w:val="17"/>
                <w:spacing w:val="2"/>
              </w:rPr>
              <w:t>中华人民共和国检支登到法)</w:t>
            </w:r>
          </w:p>
          <w:p>
            <w:pPr>
              <w:pStyle w:val="TableText"/>
              <w:spacing w:line="219" w:lineRule="auto"/>
              <w:rPr>
                <w:sz w:val="17"/>
                <w:szCs w:val="17"/>
              </w:rPr>
            </w:pPr>
            <w:r>
              <w:rPr>
                <w:sz w:val="17"/>
                <w:szCs w:val="17"/>
                <w:spacing w:val="-4"/>
              </w:rPr>
              <w:t>《射击竞技体育运动枪支管理办岳》</w:t>
            </w:r>
          </w:p>
        </w:tc>
      </w:tr>
      <w:tr>
        <w:trPr>
          <w:trHeight w:val="480" w:hRule="atLeast"/>
        </w:trPr>
        <w:tc>
          <w:tcPr>
            <w:tcW w:w="594" w:type="dxa"/>
            <w:vAlign w:val="top"/>
          </w:tcPr>
          <w:p>
            <w:pPr>
              <w:pStyle w:val="TableText"/>
              <w:ind w:left="204"/>
              <w:spacing w:before="184" w:line="182" w:lineRule="auto"/>
              <w:rPr>
                <w:sz w:val="17"/>
                <w:szCs w:val="17"/>
              </w:rPr>
            </w:pPr>
            <w:r>
              <w:rPr>
                <w:sz w:val="17"/>
                <w:szCs w:val="17"/>
                <w:spacing w:val="-3"/>
              </w:rPr>
              <w:t>7g</w:t>
            </w:r>
          </w:p>
        </w:tc>
        <w:tc>
          <w:tcPr>
            <w:tcW w:w="1289" w:type="dxa"/>
            <w:vAlign w:val="top"/>
          </w:tcPr>
          <w:p>
            <w:pPr>
              <w:pStyle w:val="TableText"/>
              <w:ind w:left="380"/>
              <w:spacing w:before="162" w:line="219" w:lineRule="auto"/>
              <w:rPr>
                <w:sz w:val="17"/>
                <w:szCs w:val="17"/>
              </w:rPr>
            </w:pPr>
            <w:r>
              <w:rPr>
                <w:sz w:val="17"/>
                <w:szCs w:val="17"/>
                <w:spacing w:val="-3"/>
              </w:rPr>
              <w:t>公安都</w:t>
            </w:r>
          </w:p>
        </w:tc>
        <w:tc>
          <w:tcPr>
            <w:tcW w:w="1628" w:type="dxa"/>
            <w:vAlign w:val="top"/>
          </w:tcPr>
          <w:p>
            <w:pPr>
              <w:pStyle w:val="TableText"/>
              <w:ind w:left="22" w:right="53" w:firstLine="20"/>
              <w:spacing w:before="62" w:line="221" w:lineRule="auto"/>
              <w:rPr>
                <w:sz w:val="17"/>
                <w:szCs w:val="17"/>
              </w:rPr>
            </w:pPr>
            <w:r>
              <w:rPr>
                <w:sz w:val="17"/>
                <w:szCs w:val="17"/>
                <w:spacing w:val="-1"/>
              </w:rPr>
              <w:t>监业性射击场设立许</w:t>
            </w:r>
            <w:r>
              <w:rPr>
                <w:sz w:val="17"/>
                <w:szCs w:val="17"/>
              </w:rPr>
              <w:t xml:space="preserve"> </w:t>
            </w:r>
            <w:r>
              <w:rPr>
                <w:sz w:val="17"/>
                <w:szCs w:val="17"/>
              </w:rPr>
              <w:t>可</w:t>
            </w:r>
          </w:p>
        </w:tc>
        <w:tc>
          <w:tcPr>
            <w:tcW w:w="2367" w:type="dxa"/>
            <w:vAlign w:val="top"/>
          </w:tcPr>
          <w:p>
            <w:pPr>
              <w:pStyle w:val="TableText"/>
              <w:ind w:left="54"/>
              <w:spacing w:before="160" w:line="219" w:lineRule="auto"/>
              <w:rPr>
                <w:sz w:val="17"/>
                <w:szCs w:val="17"/>
              </w:rPr>
            </w:pPr>
            <w:r>
              <w:rPr>
                <w:sz w:val="17"/>
                <w:szCs w:val="17"/>
                <w:spacing w:val="-2"/>
              </w:rPr>
              <w:t>省级公安机关</w:t>
            </w:r>
          </w:p>
        </w:tc>
        <w:tc>
          <w:tcPr>
            <w:tcW w:w="3711" w:type="dxa"/>
            <w:vAlign w:val="top"/>
          </w:tcPr>
          <w:p>
            <w:pPr>
              <w:pStyle w:val="TableText"/>
              <w:spacing w:before="162" w:line="219" w:lineRule="auto"/>
              <w:rPr>
                <w:sz w:val="17"/>
                <w:szCs w:val="17"/>
              </w:rPr>
            </w:pPr>
            <w:r>
              <w:rPr>
                <w:sz w:val="17"/>
                <w:szCs w:val="17"/>
                <w:spacing w:val="-4"/>
              </w:rPr>
              <w:t>《中华人民共和国舱支管理法</w:t>
            </w:r>
          </w:p>
        </w:tc>
      </w:tr>
      <w:tr>
        <w:trPr>
          <w:trHeight w:val="489" w:hRule="atLeast"/>
        </w:trPr>
        <w:tc>
          <w:tcPr>
            <w:tcW w:w="594" w:type="dxa"/>
            <w:vAlign w:val="top"/>
          </w:tcPr>
          <w:p>
            <w:pPr>
              <w:pStyle w:val="TableText"/>
              <w:ind w:left="204"/>
              <w:spacing w:before="205" w:line="183" w:lineRule="auto"/>
              <w:rPr>
                <w:sz w:val="17"/>
                <w:szCs w:val="17"/>
              </w:rPr>
            </w:pPr>
            <w:r>
              <w:rPr>
                <w:sz w:val="17"/>
                <w:szCs w:val="17"/>
                <w:spacing w:val="-3"/>
              </w:rPr>
              <w:t>79</w:t>
            </w:r>
          </w:p>
        </w:tc>
        <w:tc>
          <w:tcPr>
            <w:tcW w:w="1289" w:type="dxa"/>
            <w:vAlign w:val="top"/>
          </w:tcPr>
          <w:p>
            <w:pPr>
              <w:pStyle w:val="TableText"/>
              <w:ind w:left="380"/>
              <w:spacing w:before="162" w:line="219" w:lineRule="auto"/>
              <w:rPr>
                <w:sz w:val="17"/>
                <w:szCs w:val="17"/>
              </w:rPr>
            </w:pPr>
            <w:r>
              <w:rPr>
                <w:sz w:val="17"/>
                <w:szCs w:val="17"/>
                <w:spacing w:val="3"/>
              </w:rPr>
              <w:t>公安部</w:t>
            </w:r>
          </w:p>
        </w:tc>
        <w:tc>
          <w:tcPr>
            <w:tcW w:w="1628" w:type="dxa"/>
            <w:vAlign w:val="top"/>
          </w:tcPr>
          <w:p>
            <w:pPr>
              <w:pStyle w:val="TableText"/>
              <w:ind w:left="42" w:right="33"/>
              <w:spacing w:before="83" w:line="215" w:lineRule="auto"/>
              <w:rPr>
                <w:sz w:val="17"/>
                <w:szCs w:val="17"/>
              </w:rPr>
            </w:pPr>
            <w:r>
              <w:rPr>
                <w:sz w:val="17"/>
                <w:szCs w:val="17"/>
                <w:spacing w:val="1"/>
              </w:rPr>
              <w:t>号的甜范，前售、胸</w:t>
            </w:r>
            <w:r>
              <w:rPr>
                <w:sz w:val="17"/>
                <w:szCs w:val="17"/>
                <w:spacing w:val="2"/>
              </w:rPr>
              <w:t xml:space="preserve"> </w:t>
            </w:r>
            <w:r>
              <w:rPr>
                <w:sz w:val="17"/>
                <w:szCs w:val="17"/>
                <w:spacing w:val="-1"/>
              </w:rPr>
              <w:t>置，进们，运船许可</w:t>
            </w:r>
          </w:p>
        </w:tc>
        <w:tc>
          <w:tcPr>
            <w:tcW w:w="2367" w:type="dxa"/>
            <w:vAlign w:val="top"/>
          </w:tcPr>
          <w:p>
            <w:pPr>
              <w:pStyle w:val="TableText"/>
              <w:ind w:left="54"/>
              <w:spacing w:before="160" w:line="219" w:lineRule="auto"/>
              <w:rPr>
                <w:sz w:val="17"/>
                <w:szCs w:val="17"/>
              </w:rPr>
            </w:pPr>
            <w:r>
              <w:rPr>
                <w:sz w:val="17"/>
                <w:szCs w:val="17"/>
                <w:spacing w:val="-2"/>
              </w:rPr>
              <w:t>首级公安机关</w:t>
            </w:r>
          </w:p>
        </w:tc>
        <w:tc>
          <w:tcPr>
            <w:tcW w:w="3711" w:type="dxa"/>
            <w:vAlign w:val="top"/>
          </w:tcPr>
          <w:p>
            <w:pPr>
              <w:pStyle w:val="TableText"/>
              <w:ind w:left="46" w:right="51" w:firstLine="40"/>
              <w:spacing w:before="61" w:line="224" w:lineRule="auto"/>
              <w:rPr>
                <w:sz w:val="17"/>
                <w:szCs w:val="17"/>
              </w:rPr>
            </w:pPr>
            <w:r>
              <w:rPr>
                <w:sz w:val="17"/>
                <w:szCs w:val="17"/>
                <w:spacing w:val="-1"/>
              </w:rPr>
              <w:t>调务监对确省经量的石动审就有自设定行盘许可</w:t>
            </w:r>
            <w:r>
              <w:rPr>
                <w:sz w:val="17"/>
                <w:szCs w:val="17"/>
                <w:spacing w:val="12"/>
              </w:rPr>
              <w:t xml:space="preserve"> </w:t>
            </w:r>
            <w:r>
              <w:rPr>
                <w:sz w:val="17"/>
                <w:szCs w:val="17"/>
                <w:spacing w:val="-1"/>
              </w:rPr>
              <w:t>的决定》</w:t>
            </w:r>
          </w:p>
        </w:tc>
      </w:tr>
      <w:tr>
        <w:trPr>
          <w:trHeight w:val="489" w:hRule="atLeast"/>
        </w:trPr>
        <w:tc>
          <w:tcPr>
            <w:tcW w:w="594" w:type="dxa"/>
            <w:vAlign w:val="top"/>
          </w:tcPr>
          <w:p>
            <w:pPr>
              <w:pStyle w:val="TableText"/>
              <w:ind w:left="204"/>
              <w:spacing w:before="206" w:line="183" w:lineRule="auto"/>
              <w:rPr>
                <w:sz w:val="17"/>
                <w:szCs w:val="17"/>
              </w:rPr>
            </w:pPr>
            <w:r>
              <w:rPr>
                <w:sz w:val="17"/>
                <w:szCs w:val="17"/>
                <w:spacing w:val="-2"/>
              </w:rPr>
              <w:t>80</w:t>
            </w:r>
          </w:p>
        </w:tc>
        <w:tc>
          <w:tcPr>
            <w:tcW w:w="1289" w:type="dxa"/>
            <w:vAlign w:val="top"/>
          </w:tcPr>
          <w:p>
            <w:pPr>
              <w:pStyle w:val="TableText"/>
              <w:ind w:left="380"/>
              <w:spacing w:before="163" w:line="219" w:lineRule="auto"/>
              <w:rPr>
                <w:sz w:val="17"/>
                <w:szCs w:val="17"/>
              </w:rPr>
            </w:pPr>
            <w:r>
              <w:rPr>
                <w:sz w:val="17"/>
                <w:szCs w:val="17"/>
                <w:spacing w:val="3"/>
              </w:rPr>
              <w:t>公服部</w:t>
            </w:r>
          </w:p>
        </w:tc>
        <w:tc>
          <w:tcPr>
            <w:tcW w:w="1628" w:type="dxa"/>
            <w:vAlign w:val="top"/>
          </w:tcPr>
          <w:p>
            <w:pPr>
              <w:pStyle w:val="TableText"/>
              <w:ind w:left="42"/>
              <w:spacing w:before="71" w:line="219" w:lineRule="auto"/>
              <w:rPr>
                <w:sz w:val="17"/>
                <w:szCs w:val="17"/>
              </w:rPr>
            </w:pPr>
            <w:r>
              <w:rPr>
                <w:sz w:val="17"/>
                <w:szCs w:val="17"/>
                <w:spacing w:val="-1"/>
              </w:rPr>
              <w:t>单行些会解有系成许</w:t>
            </w:r>
          </w:p>
        </w:tc>
        <w:tc>
          <w:tcPr>
            <w:tcW w:w="2367" w:type="dxa"/>
            <w:vAlign w:val="top"/>
          </w:tcPr>
          <w:p>
            <w:pPr>
              <w:pStyle w:val="TableText"/>
              <w:ind w:left="54" w:firstLine="19"/>
              <w:spacing w:before="83" w:line="212" w:lineRule="auto"/>
              <w:rPr>
                <w:sz w:val="17"/>
                <w:szCs w:val="17"/>
              </w:rPr>
            </w:pPr>
            <w:r>
              <w:rPr>
                <w:sz w:val="17"/>
                <w:szCs w:val="17"/>
                <w:spacing w:val="-19"/>
              </w:rPr>
              <w:t>公安都；省眼，</w:t>
            </w:r>
            <w:r>
              <w:rPr>
                <w:sz w:val="17"/>
                <w:szCs w:val="17"/>
                <w:spacing w:val="-18"/>
              </w:rPr>
              <w:t>设区的市级，县</w:t>
            </w:r>
            <w:r>
              <w:rPr>
                <w:sz w:val="17"/>
                <w:szCs w:val="17"/>
                <w:spacing w:val="-11"/>
              </w:rPr>
              <w:t>级</w:t>
            </w:r>
            <w:r>
              <w:rPr>
                <w:sz w:val="17"/>
                <w:szCs w:val="17"/>
                <w:spacing w:val="2"/>
              </w:rPr>
              <w:t xml:space="preserve"> </w:t>
            </w:r>
            <w:r>
              <w:rPr>
                <w:sz w:val="17"/>
                <w:szCs w:val="17"/>
                <w:spacing w:val="-3"/>
              </w:rPr>
              <w:t>公黄机关</w:t>
            </w:r>
          </w:p>
        </w:tc>
        <w:tc>
          <w:tcPr>
            <w:tcW w:w="3711" w:type="dxa"/>
            <w:vAlign w:val="top"/>
          </w:tcPr>
          <w:p>
            <w:pPr>
              <w:pStyle w:val="TableText"/>
              <w:spacing w:before="83" w:line="206" w:lineRule="auto"/>
              <w:rPr>
                <w:sz w:val="17"/>
                <w:szCs w:val="17"/>
              </w:rPr>
            </w:pPr>
            <w:r>
              <w:rPr>
                <w:sz w:val="17"/>
                <w:szCs w:val="17"/>
                <w:spacing w:val="-4"/>
              </w:rPr>
              <w:t>《中华人民共和国集全器石示或法》</w:t>
            </w:r>
          </w:p>
          <w:p>
            <w:pPr>
              <w:pStyle w:val="TableText"/>
              <w:ind w:left="46"/>
              <w:spacing w:line="219" w:lineRule="auto"/>
              <w:rPr>
                <w:sz w:val="17"/>
                <w:szCs w:val="17"/>
              </w:rPr>
            </w:pPr>
            <w:r>
              <w:rPr>
                <w:sz w:val="17"/>
                <w:szCs w:val="17"/>
                <w:spacing w:val="-1"/>
              </w:rPr>
              <w:t>中华人民其和国集食新行示威基实蓝条例》</w:t>
            </w:r>
          </w:p>
        </w:tc>
      </w:tr>
      <w:tr>
        <w:trPr>
          <w:trHeight w:val="479" w:hRule="atLeast"/>
        </w:trPr>
        <w:tc>
          <w:tcPr>
            <w:tcW w:w="594" w:type="dxa"/>
            <w:vAlign w:val="top"/>
          </w:tcPr>
          <w:p>
            <w:pPr>
              <w:pStyle w:val="TableText"/>
              <w:ind w:left="204"/>
              <w:spacing w:before="206" w:line="184" w:lineRule="auto"/>
              <w:rPr>
                <w:sz w:val="17"/>
                <w:szCs w:val="17"/>
              </w:rPr>
            </w:pPr>
            <w:r>
              <w:rPr>
                <w:sz w:val="17"/>
                <w:szCs w:val="17"/>
                <w:spacing w:val="-2"/>
              </w:rPr>
              <w:t>81</w:t>
            </w:r>
          </w:p>
        </w:tc>
        <w:tc>
          <w:tcPr>
            <w:tcW w:w="1289" w:type="dxa"/>
            <w:vAlign w:val="top"/>
          </w:tcPr>
          <w:p>
            <w:pPr>
              <w:pStyle w:val="TableText"/>
              <w:ind w:left="380"/>
              <w:spacing w:before="164" w:line="219" w:lineRule="auto"/>
              <w:rPr>
                <w:sz w:val="17"/>
                <w:szCs w:val="17"/>
              </w:rPr>
            </w:pPr>
            <w:r>
              <w:rPr>
                <w:sz w:val="17"/>
                <w:szCs w:val="17"/>
                <w:spacing w:val="3"/>
              </w:rPr>
              <w:t>公安部</w:t>
            </w:r>
          </w:p>
        </w:tc>
        <w:tc>
          <w:tcPr>
            <w:tcW w:w="1628" w:type="dxa"/>
            <w:vAlign w:val="top"/>
          </w:tcPr>
          <w:p>
            <w:pPr>
              <w:pStyle w:val="TableText"/>
              <w:ind w:left="62" w:right="54" w:hanging="20"/>
              <w:spacing w:before="84" w:line="208" w:lineRule="auto"/>
              <w:rPr>
                <w:sz w:val="17"/>
                <w:szCs w:val="17"/>
              </w:rPr>
            </w:pPr>
            <w:r>
              <w:rPr>
                <w:sz w:val="17"/>
                <w:szCs w:val="17"/>
                <w:spacing w:val="-1"/>
              </w:rPr>
              <w:t>大配群众性括动安全</w:t>
            </w:r>
            <w:r>
              <w:rPr>
                <w:sz w:val="17"/>
                <w:szCs w:val="17"/>
              </w:rPr>
              <w:t xml:space="preserve"> </w:t>
            </w:r>
            <w:r>
              <w:rPr>
                <w:sz w:val="17"/>
                <w:szCs w:val="17"/>
                <w:spacing w:val="-2"/>
              </w:rPr>
              <w:t>许可</w:t>
            </w:r>
          </w:p>
        </w:tc>
        <w:tc>
          <w:tcPr>
            <w:tcW w:w="2367" w:type="dxa"/>
            <w:vAlign w:val="top"/>
          </w:tcPr>
          <w:p>
            <w:pPr>
              <w:pStyle w:val="TableText"/>
              <w:ind w:left="54" w:firstLine="19"/>
              <w:spacing w:before="84" w:line="209" w:lineRule="auto"/>
              <w:rPr>
                <w:sz w:val="17"/>
                <w:szCs w:val="17"/>
              </w:rPr>
            </w:pPr>
            <w:r>
              <w:rPr>
                <w:sz w:val="17"/>
                <w:szCs w:val="17"/>
                <w:spacing w:val="-7"/>
              </w:rPr>
              <w:t>公安部；直籍市公安机关；设区</w:t>
            </w:r>
            <w:r>
              <w:rPr>
                <w:sz w:val="17"/>
                <w:szCs w:val="17"/>
              </w:rPr>
              <w:t xml:space="preserve"> </w:t>
            </w:r>
            <w:r>
              <w:rPr>
                <w:sz w:val="17"/>
                <w:szCs w:val="17"/>
              </w:rPr>
              <w:t>的市假，县假公安机美</w:t>
            </w:r>
          </w:p>
        </w:tc>
        <w:tc>
          <w:tcPr>
            <w:tcW w:w="3711" w:type="dxa"/>
            <w:vAlign w:val="top"/>
          </w:tcPr>
          <w:p>
            <w:pPr>
              <w:pStyle w:val="TableText"/>
              <w:spacing w:before="93" w:line="217" w:lineRule="auto"/>
              <w:rPr>
                <w:sz w:val="17"/>
                <w:szCs w:val="17"/>
              </w:rPr>
            </w:pPr>
            <w:r>
              <w:rPr>
                <w:sz w:val="17"/>
                <w:szCs w:val="17"/>
                <w:spacing w:val="-5"/>
              </w:rPr>
              <w:t>《中华入民共和国清防法</w:t>
            </w:r>
          </w:p>
          <w:p>
            <w:pPr>
              <w:pStyle w:val="TableText"/>
              <w:ind w:left="46"/>
              <w:spacing w:line="190" w:lineRule="auto"/>
              <w:rPr>
                <w:sz w:val="17"/>
                <w:szCs w:val="17"/>
              </w:rPr>
            </w:pPr>
            <w:r>
              <w:rPr>
                <w:sz w:val="17"/>
                <w:szCs w:val="17"/>
                <w:spacing w:val="-1"/>
              </w:rPr>
              <w:t>4大留而众性活动安全带现多例》</w:t>
            </w:r>
          </w:p>
        </w:tc>
      </w:tr>
      <w:tr>
        <w:trPr>
          <w:trHeight w:val="1483" w:hRule="atLeast"/>
        </w:trPr>
        <w:tc>
          <w:tcPr>
            <w:tcW w:w="594" w:type="dxa"/>
            <w:vAlign w:val="top"/>
          </w:tcPr>
          <w:p>
            <w:pPr>
              <w:spacing w:line="324" w:lineRule="auto"/>
              <w:rPr>
                <w:rFonts w:ascii="Arial"/>
                <w:sz w:val="21"/>
              </w:rPr>
            </w:pPr>
            <w:r/>
          </w:p>
          <w:p>
            <w:pPr>
              <w:spacing w:line="325" w:lineRule="auto"/>
              <w:rPr>
                <w:rFonts w:ascii="Arial"/>
                <w:sz w:val="21"/>
              </w:rPr>
            </w:pPr>
            <w:r/>
          </w:p>
          <w:p>
            <w:pPr>
              <w:pStyle w:val="TableText"/>
              <w:ind w:left="204"/>
              <w:spacing w:before="55" w:line="183" w:lineRule="auto"/>
              <w:rPr>
                <w:sz w:val="17"/>
                <w:szCs w:val="17"/>
              </w:rPr>
            </w:pPr>
            <w:r>
              <w:rPr>
                <w:sz w:val="17"/>
                <w:szCs w:val="17"/>
                <w:spacing w:val="-1"/>
              </w:rPr>
              <w:t>K2</w:t>
            </w:r>
          </w:p>
        </w:tc>
        <w:tc>
          <w:tcPr>
            <w:tcW w:w="1289" w:type="dxa"/>
            <w:vAlign w:val="top"/>
          </w:tcPr>
          <w:p>
            <w:pPr>
              <w:spacing w:line="303" w:lineRule="auto"/>
              <w:rPr>
                <w:rFonts w:ascii="Arial"/>
                <w:sz w:val="21"/>
              </w:rPr>
            </w:pPr>
            <w:r/>
          </w:p>
          <w:p>
            <w:pPr>
              <w:spacing w:line="303" w:lineRule="auto"/>
              <w:rPr>
                <w:rFonts w:ascii="Arial"/>
                <w:sz w:val="21"/>
              </w:rPr>
            </w:pPr>
            <w:r/>
          </w:p>
          <w:p>
            <w:pPr>
              <w:pStyle w:val="TableText"/>
              <w:ind w:left="380"/>
              <w:spacing w:before="55" w:line="219" w:lineRule="auto"/>
              <w:rPr>
                <w:sz w:val="17"/>
                <w:szCs w:val="17"/>
              </w:rPr>
            </w:pPr>
            <w:r>
              <w:rPr>
                <w:sz w:val="17"/>
                <w:szCs w:val="17"/>
                <w:spacing w:val="3"/>
              </w:rPr>
              <w:t>公安部</w:t>
            </w:r>
          </w:p>
        </w:tc>
        <w:tc>
          <w:tcPr>
            <w:tcW w:w="1628" w:type="dxa"/>
            <w:vAlign w:val="top"/>
          </w:tcPr>
          <w:p>
            <w:pPr>
              <w:spacing w:line="262" w:lineRule="auto"/>
              <w:rPr>
                <w:rFonts w:ascii="Arial"/>
                <w:sz w:val="21"/>
              </w:rPr>
            </w:pPr>
            <w:r/>
          </w:p>
          <w:p>
            <w:pPr>
              <w:spacing w:line="263" w:lineRule="auto"/>
              <w:rPr>
                <w:rFonts w:ascii="Arial"/>
                <w:sz w:val="21"/>
              </w:rPr>
            </w:pPr>
            <w:r/>
          </w:p>
          <w:p>
            <w:pPr>
              <w:pStyle w:val="TableText"/>
              <w:ind w:left="42" w:right="57"/>
              <w:spacing w:before="55" w:line="224" w:lineRule="auto"/>
              <w:rPr>
                <w:sz w:val="17"/>
                <w:szCs w:val="17"/>
              </w:rPr>
            </w:pPr>
            <w:r>
              <w:rPr>
                <w:sz w:val="17"/>
                <w:szCs w:val="17"/>
                <w:spacing w:val="-2"/>
              </w:rPr>
              <w:t>公意刻削业特种行业</w:t>
            </w:r>
            <w:r>
              <w:rPr>
                <w:sz w:val="17"/>
                <w:szCs w:val="17"/>
                <w:spacing w:val="5"/>
              </w:rPr>
              <w:t xml:space="preserve"> </w:t>
            </w:r>
            <w:r>
              <w:rPr>
                <w:sz w:val="17"/>
                <w:szCs w:val="17"/>
                <w:spacing w:val="18"/>
              </w:rPr>
              <w:t>阵司</w:t>
            </w:r>
          </w:p>
        </w:tc>
        <w:tc>
          <w:tcPr>
            <w:tcW w:w="2367" w:type="dxa"/>
            <w:vAlign w:val="top"/>
          </w:tcPr>
          <w:p>
            <w:pPr>
              <w:spacing w:line="302" w:lineRule="auto"/>
              <w:rPr>
                <w:rFonts w:ascii="Arial"/>
                <w:sz w:val="21"/>
              </w:rPr>
            </w:pPr>
            <w:r/>
          </w:p>
          <w:p>
            <w:pPr>
              <w:spacing w:line="302" w:lineRule="auto"/>
              <w:rPr>
                <w:rFonts w:ascii="Arial"/>
                <w:sz w:val="21"/>
              </w:rPr>
            </w:pPr>
            <w:r/>
          </w:p>
          <w:p>
            <w:pPr>
              <w:pStyle w:val="TableText"/>
              <w:ind w:left="54"/>
              <w:spacing w:before="56" w:line="219" w:lineRule="auto"/>
              <w:rPr>
                <w:sz w:val="17"/>
                <w:szCs w:val="17"/>
              </w:rPr>
            </w:pPr>
            <w:r>
              <w:rPr>
                <w:sz w:val="17"/>
                <w:szCs w:val="17"/>
                <w:spacing w:val="-1"/>
              </w:rPr>
              <w:t>基级公安机关</w:t>
            </w:r>
          </w:p>
        </w:tc>
        <w:tc>
          <w:tcPr>
            <w:tcW w:w="3711" w:type="dxa"/>
            <w:vAlign w:val="top"/>
          </w:tcPr>
          <w:p>
            <w:pPr>
              <w:pStyle w:val="TableText"/>
              <w:spacing w:before="185" w:line="195" w:lineRule="auto"/>
              <w:rPr>
                <w:sz w:val="17"/>
                <w:szCs w:val="17"/>
              </w:rPr>
            </w:pPr>
            <w:r>
              <w:rPr>
                <w:sz w:val="17"/>
                <w:szCs w:val="17"/>
                <w:spacing w:val="-4"/>
              </w:rPr>
              <w:t>《印特刻半业暂行管母理责》</w:t>
            </w:r>
          </w:p>
          <w:p>
            <w:pPr>
              <w:pStyle w:val="TableText"/>
              <w:ind w:left="46" w:right="4" w:hanging="44"/>
              <w:spacing w:line="228" w:lineRule="auto"/>
              <w:rPr>
                <w:sz w:val="17"/>
                <w:szCs w:val="17"/>
              </w:rPr>
            </w:pPr>
            <w:r>
              <w:rPr>
                <w:sz w:val="17"/>
                <w:szCs w:val="17"/>
                <w:spacing w:val="-2"/>
              </w:rPr>
              <w:t>《国务院对视需保招的行战审批项目设定行</w:t>
            </w:r>
            <w:r>
              <w:rPr>
                <w:sz w:val="17"/>
                <w:szCs w:val="17"/>
                <w:spacing w:val="-3"/>
              </w:rPr>
              <w:t>故件可</w:t>
            </w:r>
            <w:r>
              <w:rPr>
                <w:sz w:val="17"/>
                <w:szCs w:val="17"/>
              </w:rPr>
              <w:t xml:space="preserve"> </w:t>
            </w:r>
            <w:r>
              <w:rPr>
                <w:sz w:val="17"/>
                <w:szCs w:val="17"/>
                <w:spacing w:val="3"/>
              </w:rPr>
              <w:t>的决定1</w:t>
            </w:r>
          </w:p>
          <w:p>
            <w:pPr>
              <w:pStyle w:val="TableText"/>
              <w:ind w:left="73" w:hanging="73"/>
              <w:spacing w:line="226" w:lineRule="auto"/>
              <w:jc w:val="both"/>
              <w:rPr>
                <w:sz w:val="17"/>
                <w:szCs w:val="17"/>
              </w:rPr>
            </w:pPr>
            <w:r>
              <w:rPr>
                <w:sz w:val="17"/>
                <w:szCs w:val="17"/>
                <w:spacing w:val="-3"/>
              </w:rPr>
              <w:t>《公安部关于深化积乐屋务扬所和模种行业治</w:t>
            </w:r>
            <w:r>
              <w:rPr>
                <w:sz w:val="17"/>
                <w:szCs w:val="17"/>
                <w:spacing w:val="-4"/>
              </w:rPr>
              <w:t>安骨</w:t>
            </w:r>
            <w:r>
              <w:rPr>
                <w:sz w:val="17"/>
                <w:szCs w:val="17"/>
              </w:rPr>
              <w:t xml:space="preserve"> </w:t>
            </w:r>
            <w:r>
              <w:rPr>
                <w:sz w:val="17"/>
                <w:szCs w:val="17"/>
                <w:spacing w:val="-2"/>
              </w:rPr>
              <w:t>理改革透一与作社加强事中事后监督的工作参见!</w:t>
            </w:r>
            <w:r>
              <w:rPr>
                <w:sz w:val="17"/>
                <w:szCs w:val="17"/>
                <w:spacing w:val="15"/>
              </w:rPr>
              <w:t xml:space="preserve"> </w:t>
            </w:r>
            <w:r>
              <w:rPr>
                <w:sz w:val="17"/>
                <w:szCs w:val="17"/>
              </w:rPr>
              <w:t>(公治(2017)538号)</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2924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178" name="TextBox 178"/>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170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0" style="position:absolute;margin-left:36.1352pt;margin-top:49.3939pt;mso-position-vertical-relative:page;mso-position-horizontal-relative:page;width:13.8pt;height:13pt;z-index:25182924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170</w:t>
                      </w:r>
                    </w:p>
                  </w:txbxContent>
                </v:textbox>
              </v:shape>
            </w:pict>
          </mc:Fallback>
        </mc:AlternateContent>
      </w:r>
      <w:r/>
    </w:p>
    <w:tbl>
      <w:tblPr>
        <w:tblStyle w:val="TableNormal"/>
        <w:tblW w:w="957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7"/>
        <w:gridCol w:w="3701"/>
      </w:tblGrid>
      <w:tr>
        <w:trPr>
          <w:trHeight w:val="425" w:hRule="atLeast"/>
        </w:trPr>
        <w:tc>
          <w:tcPr>
            <w:tcW w:w="574" w:type="dxa"/>
            <w:vAlign w:val="top"/>
          </w:tcPr>
          <w:p>
            <w:pPr>
              <w:pStyle w:val="TableText"/>
              <w:ind w:left="104"/>
              <w:spacing w:before="132" w:line="221" w:lineRule="auto"/>
              <w:rPr>
                <w:sz w:val="17"/>
                <w:szCs w:val="17"/>
              </w:rPr>
            </w:pPr>
            <w:r>
              <w:rPr>
                <w:sz w:val="17"/>
                <w:szCs w:val="17"/>
                <w:spacing w:val="-2"/>
              </w:rPr>
              <w:t>序号</w:t>
            </w:r>
          </w:p>
        </w:tc>
        <w:tc>
          <w:tcPr>
            <w:tcW w:w="1299" w:type="dxa"/>
            <w:vAlign w:val="top"/>
          </w:tcPr>
          <w:p>
            <w:pPr>
              <w:pStyle w:val="TableText"/>
              <w:ind w:left="130"/>
              <w:spacing w:before="132" w:line="219" w:lineRule="auto"/>
              <w:rPr>
                <w:sz w:val="17"/>
                <w:szCs w:val="17"/>
              </w:rPr>
            </w:pPr>
            <w:r>
              <w:rPr>
                <w:sz w:val="17"/>
                <w:szCs w:val="17"/>
                <w:spacing w:val="3"/>
              </w:rPr>
              <w:t>中央主管部门</w:t>
            </w:r>
          </w:p>
        </w:tc>
        <w:tc>
          <w:tcPr>
            <w:tcW w:w="1638" w:type="dxa"/>
            <w:vAlign w:val="top"/>
          </w:tcPr>
          <w:p>
            <w:pPr>
              <w:pStyle w:val="TableText"/>
              <w:ind w:left="471"/>
              <w:spacing w:before="132" w:line="219" w:lineRule="auto"/>
              <w:rPr>
                <w:sz w:val="17"/>
                <w:szCs w:val="17"/>
              </w:rPr>
            </w:pPr>
            <w:r>
              <w:rPr>
                <w:sz w:val="17"/>
                <w:szCs w:val="17"/>
                <w:spacing w:val="-2"/>
              </w:rPr>
              <w:t>事项名蒋</w:t>
            </w:r>
          </w:p>
        </w:tc>
        <w:tc>
          <w:tcPr>
            <w:tcW w:w="2367" w:type="dxa"/>
            <w:vAlign w:val="top"/>
          </w:tcPr>
          <w:p>
            <w:pPr>
              <w:pStyle w:val="TableText"/>
              <w:ind w:left="844"/>
              <w:spacing w:before="130" w:line="219" w:lineRule="auto"/>
              <w:rPr>
                <w:sz w:val="17"/>
                <w:szCs w:val="17"/>
              </w:rPr>
            </w:pPr>
            <w:r>
              <w:rPr>
                <w:sz w:val="17"/>
                <w:szCs w:val="17"/>
                <w:spacing w:val="-3"/>
              </w:rPr>
              <w:t>实施机关</w:t>
            </w:r>
          </w:p>
        </w:tc>
        <w:tc>
          <w:tcPr>
            <w:tcW w:w="3701" w:type="dxa"/>
            <w:vAlign w:val="top"/>
          </w:tcPr>
          <w:p>
            <w:pPr>
              <w:pStyle w:val="TableText"/>
              <w:ind w:left="1266"/>
              <w:spacing w:before="130" w:line="219" w:lineRule="auto"/>
              <w:rPr>
                <w:sz w:val="17"/>
                <w:szCs w:val="17"/>
              </w:rPr>
            </w:pPr>
            <w:r>
              <w:rPr>
                <w:sz w:val="17"/>
                <w:szCs w:val="17"/>
                <w:spacing w:val="-2"/>
              </w:rPr>
              <w:t>设定和实施依据</w:t>
            </w:r>
          </w:p>
        </w:tc>
      </w:tr>
      <w:tr>
        <w:trPr>
          <w:trHeight w:val="1258" w:hRule="atLeast"/>
        </w:trPr>
        <w:tc>
          <w:tcPr>
            <w:tcW w:w="574" w:type="dxa"/>
            <w:vAlign w:val="top"/>
          </w:tcPr>
          <w:p>
            <w:pPr>
              <w:spacing w:line="266" w:lineRule="auto"/>
              <w:rPr>
                <w:rFonts w:ascii="Arial"/>
                <w:sz w:val="21"/>
              </w:rPr>
            </w:pPr>
            <w:r/>
          </w:p>
          <w:p>
            <w:pPr>
              <w:spacing w:line="266" w:lineRule="auto"/>
              <w:rPr>
                <w:rFonts w:ascii="Arial"/>
                <w:sz w:val="21"/>
              </w:rPr>
            </w:pPr>
            <w:r/>
          </w:p>
          <w:p>
            <w:pPr>
              <w:pStyle w:val="TableText"/>
              <w:ind w:left="194"/>
              <w:spacing w:before="55" w:line="183" w:lineRule="auto"/>
              <w:rPr>
                <w:sz w:val="17"/>
                <w:szCs w:val="17"/>
              </w:rPr>
            </w:pPr>
            <w:r>
              <w:rPr>
                <w:sz w:val="17"/>
                <w:szCs w:val="17"/>
                <w:spacing w:val="-2"/>
              </w:rPr>
              <w:t>R3</w:t>
            </w:r>
          </w:p>
        </w:tc>
        <w:tc>
          <w:tcPr>
            <w:tcW w:w="1299" w:type="dxa"/>
            <w:vAlign w:val="top"/>
          </w:tcPr>
          <w:p>
            <w:pPr>
              <w:spacing w:line="244" w:lineRule="auto"/>
              <w:rPr>
                <w:rFonts w:ascii="Arial"/>
                <w:sz w:val="21"/>
              </w:rPr>
            </w:pPr>
            <w:r/>
          </w:p>
          <w:p>
            <w:pPr>
              <w:spacing w:line="244" w:lineRule="auto"/>
              <w:rPr>
                <w:rFonts w:ascii="Arial"/>
                <w:sz w:val="21"/>
              </w:rPr>
            </w:pPr>
            <w:r/>
          </w:p>
          <w:p>
            <w:pPr>
              <w:pStyle w:val="TableText"/>
              <w:ind w:left="380"/>
              <w:spacing w:before="56" w:line="219" w:lineRule="auto"/>
              <w:rPr>
                <w:sz w:val="17"/>
                <w:szCs w:val="17"/>
              </w:rPr>
            </w:pPr>
            <w:r>
              <w:rPr>
                <w:sz w:val="17"/>
                <w:szCs w:val="17"/>
                <w:spacing w:val="3"/>
              </w:rPr>
              <w:t>公安部</w:t>
            </w:r>
          </w:p>
        </w:tc>
        <w:tc>
          <w:tcPr>
            <w:tcW w:w="1638" w:type="dxa"/>
            <w:vAlign w:val="top"/>
          </w:tcPr>
          <w:p>
            <w:pPr>
              <w:spacing w:line="244" w:lineRule="auto"/>
              <w:rPr>
                <w:rFonts w:ascii="Arial"/>
                <w:sz w:val="21"/>
              </w:rPr>
            </w:pPr>
            <w:r/>
          </w:p>
          <w:p>
            <w:pPr>
              <w:spacing w:line="244" w:lineRule="auto"/>
              <w:rPr>
                <w:rFonts w:ascii="Arial"/>
                <w:sz w:val="21"/>
              </w:rPr>
            </w:pPr>
            <w:r/>
          </w:p>
          <w:p>
            <w:pPr>
              <w:pStyle w:val="TableText"/>
              <w:ind w:left="42"/>
              <w:spacing w:before="56" w:line="219" w:lineRule="auto"/>
              <w:rPr>
                <w:sz w:val="17"/>
                <w:szCs w:val="17"/>
              </w:rPr>
            </w:pPr>
            <w:r>
              <w:rPr>
                <w:sz w:val="17"/>
                <w:szCs w:val="17"/>
                <w:spacing w:val="-1"/>
              </w:rPr>
              <w:t>旅馆业特种行业许可</w:t>
            </w:r>
          </w:p>
        </w:tc>
        <w:tc>
          <w:tcPr>
            <w:tcW w:w="2367" w:type="dxa"/>
            <w:vAlign w:val="top"/>
          </w:tcPr>
          <w:p>
            <w:pPr>
              <w:spacing w:line="243" w:lineRule="auto"/>
              <w:rPr>
                <w:rFonts w:ascii="Arial"/>
                <w:sz w:val="21"/>
              </w:rPr>
            </w:pPr>
            <w:r/>
          </w:p>
          <w:p>
            <w:pPr>
              <w:spacing w:line="244" w:lineRule="auto"/>
              <w:rPr>
                <w:rFonts w:ascii="Arial"/>
                <w:sz w:val="21"/>
              </w:rPr>
            </w:pPr>
            <w:r/>
          </w:p>
          <w:p>
            <w:pPr>
              <w:pStyle w:val="TableText"/>
              <w:ind w:left="74"/>
              <w:spacing w:before="55" w:line="219" w:lineRule="auto"/>
              <w:rPr>
                <w:sz w:val="17"/>
                <w:szCs w:val="17"/>
              </w:rPr>
            </w:pPr>
            <w:r>
              <w:rPr>
                <w:sz w:val="17"/>
                <w:szCs w:val="17"/>
                <w:spacing w:val="-2"/>
              </w:rPr>
              <w:t>县级公安机工</w:t>
            </w:r>
          </w:p>
        </w:tc>
        <w:tc>
          <w:tcPr>
            <w:tcW w:w="3701" w:type="dxa"/>
            <w:vAlign w:val="top"/>
          </w:tcPr>
          <w:p>
            <w:pPr>
              <w:pStyle w:val="TableText"/>
              <w:ind w:left="66"/>
              <w:spacing w:before="36" w:line="218" w:lineRule="auto"/>
              <w:rPr>
                <w:sz w:val="17"/>
                <w:szCs w:val="17"/>
              </w:rPr>
            </w:pPr>
            <w:r>
              <w:rPr>
                <w:sz w:val="17"/>
                <w:szCs w:val="17"/>
                <w:spacing w:val="-2"/>
              </w:rPr>
              <w:t>4重确查货安警理办法》</w:t>
            </w:r>
          </w:p>
          <w:p>
            <w:pPr>
              <w:pStyle w:val="TableText"/>
              <w:ind w:left="66" w:right="46"/>
              <w:spacing w:before="1" w:line="216" w:lineRule="auto"/>
              <w:rPr>
                <w:sz w:val="17"/>
                <w:szCs w:val="17"/>
              </w:rPr>
            </w:pPr>
            <w:r>
              <w:rPr>
                <w:sz w:val="17"/>
                <w:szCs w:val="17"/>
              </w:rPr>
              <w:t>国务欧对确而保招的行政审批项目设定行改许可</w:t>
            </w:r>
            <w:r>
              <w:rPr>
                <w:sz w:val="17"/>
                <w:szCs w:val="17"/>
                <w:spacing w:val="6"/>
              </w:rPr>
              <w:t xml:space="preserve"> </w:t>
            </w:r>
            <w:r>
              <w:rPr>
                <w:sz w:val="17"/>
                <w:szCs w:val="17"/>
                <w:spacing w:val="-1"/>
              </w:rPr>
              <w:t>的决定》</w:t>
            </w:r>
          </w:p>
          <w:p>
            <w:pPr>
              <w:pStyle w:val="TableText"/>
              <w:ind w:left="66"/>
              <w:spacing w:before="1" w:line="221" w:lineRule="auto"/>
              <w:jc w:val="both"/>
              <w:rPr>
                <w:sz w:val="17"/>
                <w:szCs w:val="17"/>
              </w:rPr>
            </w:pPr>
            <w:r>
              <w:rPr>
                <w:sz w:val="17"/>
                <w:szCs w:val="17"/>
                <w:spacing w:val="-3"/>
              </w:rPr>
              <w:t>4公安部关子铋化架乐最务场所和特种行或价安管</w:t>
            </w:r>
            <w:r>
              <w:rPr>
                <w:sz w:val="17"/>
                <w:szCs w:val="17"/>
                <w:spacing w:val="16"/>
              </w:rPr>
              <w:t xml:space="preserve"> </w:t>
            </w:r>
            <w:r>
              <w:rPr>
                <w:sz w:val="17"/>
                <w:szCs w:val="17"/>
                <w:spacing w:val="-2"/>
              </w:rPr>
              <w:t>理改革进一步依法加偏事中事后监情刚工作意见!</w:t>
            </w:r>
            <w:r>
              <w:rPr>
                <w:sz w:val="17"/>
                <w:szCs w:val="17"/>
                <w:spacing w:val="12"/>
              </w:rPr>
              <w:t xml:space="preserve"> </w:t>
            </w:r>
            <w:r>
              <w:rPr>
                <w:sz w:val="17"/>
                <w:szCs w:val="17"/>
                <w:spacing w:val="1"/>
              </w:rPr>
              <w:t>(公苗(2017)529号)</w:t>
            </w:r>
          </w:p>
        </w:tc>
      </w:tr>
      <w:tr>
        <w:trPr>
          <w:trHeight w:val="459" w:hRule="atLeast"/>
        </w:trPr>
        <w:tc>
          <w:tcPr>
            <w:tcW w:w="574" w:type="dxa"/>
            <w:vAlign w:val="top"/>
          </w:tcPr>
          <w:p>
            <w:pPr>
              <w:pStyle w:val="TableText"/>
              <w:ind w:left="194"/>
              <w:spacing w:before="192" w:line="183" w:lineRule="auto"/>
              <w:rPr>
                <w:sz w:val="17"/>
                <w:szCs w:val="17"/>
              </w:rPr>
            </w:pPr>
            <w:r>
              <w:rPr>
                <w:sz w:val="17"/>
                <w:szCs w:val="17"/>
                <w:spacing w:val="-2"/>
              </w:rPr>
              <w:t>84</w:t>
            </w:r>
          </w:p>
        </w:tc>
        <w:tc>
          <w:tcPr>
            <w:tcW w:w="1299" w:type="dxa"/>
            <w:vAlign w:val="top"/>
          </w:tcPr>
          <w:p>
            <w:pPr>
              <w:pStyle w:val="TableText"/>
              <w:ind w:left="380"/>
              <w:spacing w:before="149" w:line="219" w:lineRule="auto"/>
              <w:rPr>
                <w:sz w:val="17"/>
                <w:szCs w:val="17"/>
              </w:rPr>
            </w:pPr>
            <w:r>
              <w:rPr>
                <w:sz w:val="17"/>
                <w:szCs w:val="17"/>
                <w:spacing w:val="3"/>
              </w:rPr>
              <w:t>公安部</w:t>
            </w:r>
          </w:p>
        </w:tc>
        <w:tc>
          <w:tcPr>
            <w:tcW w:w="1638" w:type="dxa"/>
            <w:vAlign w:val="top"/>
          </w:tcPr>
          <w:p>
            <w:pPr>
              <w:pStyle w:val="TableText"/>
              <w:ind w:left="42" w:right="62"/>
              <w:spacing w:before="78" w:line="201" w:lineRule="auto"/>
              <w:rPr>
                <w:sz w:val="17"/>
                <w:szCs w:val="17"/>
              </w:rPr>
            </w:pPr>
            <w:r>
              <w:rPr>
                <w:sz w:val="17"/>
                <w:szCs w:val="17"/>
                <w:spacing w:val="-1"/>
              </w:rPr>
              <w:t>保安服务公司设立及</w:t>
            </w:r>
            <w:r>
              <w:rPr>
                <w:sz w:val="17"/>
                <w:szCs w:val="17"/>
              </w:rPr>
              <w:t xml:space="preserve"> </w:t>
            </w:r>
            <w:r>
              <w:rPr>
                <w:sz w:val="17"/>
                <w:szCs w:val="17"/>
                <w:spacing w:val="-1"/>
              </w:rPr>
              <w:t>甚定代装人变更许何</w:t>
            </w:r>
          </w:p>
        </w:tc>
        <w:tc>
          <w:tcPr>
            <w:tcW w:w="2367" w:type="dxa"/>
            <w:vAlign w:val="top"/>
          </w:tcPr>
          <w:p>
            <w:pPr>
              <w:pStyle w:val="TableText"/>
              <w:ind w:left="74" w:right="7" w:hanging="10"/>
              <w:spacing w:before="67" w:line="207" w:lineRule="auto"/>
              <w:rPr>
                <w:sz w:val="17"/>
                <w:szCs w:val="17"/>
              </w:rPr>
            </w:pPr>
            <w:r>
              <w:rPr>
                <w:sz w:val="17"/>
                <w:szCs w:val="17"/>
                <w:spacing w:val="-1"/>
              </w:rPr>
              <w:t>省额公安机关(由设区的市慢公</w:t>
            </w:r>
            <w:r>
              <w:rPr>
                <w:sz w:val="17"/>
                <w:szCs w:val="17"/>
                <w:spacing w:val="3"/>
              </w:rPr>
              <w:t xml:space="preserve"> </w:t>
            </w:r>
            <w:r>
              <w:rPr>
                <w:sz w:val="17"/>
                <w:szCs w:val="17"/>
                <w:spacing w:val="5"/>
              </w:rPr>
              <w:t>实机关初事)</w:t>
            </w:r>
          </w:p>
        </w:tc>
        <w:tc>
          <w:tcPr>
            <w:tcW w:w="3701" w:type="dxa"/>
            <w:vAlign w:val="top"/>
          </w:tcPr>
          <w:p>
            <w:pPr>
              <w:pStyle w:val="TableText"/>
              <w:spacing w:before="59" w:line="217" w:lineRule="auto"/>
              <w:rPr>
                <w:sz w:val="17"/>
                <w:szCs w:val="17"/>
              </w:rPr>
            </w:pPr>
            <w:r>
              <w:rPr>
                <w:sz w:val="17"/>
                <w:szCs w:val="17"/>
                <w:spacing w:val="-2"/>
              </w:rPr>
              <w:t>《保安原各昏理务例)</w:t>
            </w:r>
          </w:p>
          <w:p>
            <w:pPr>
              <w:pStyle w:val="TableText"/>
              <w:ind w:left="66"/>
              <w:spacing w:line="206" w:lineRule="auto"/>
              <w:rPr>
                <w:sz w:val="17"/>
                <w:szCs w:val="17"/>
              </w:rPr>
            </w:pPr>
            <w:r>
              <w:rPr>
                <w:sz w:val="17"/>
                <w:szCs w:val="17"/>
                <w:spacing w:val="1"/>
              </w:rPr>
              <w:t>1保安奇护挥运公司要理规定(公适字[201?13号)</w:t>
            </w:r>
          </w:p>
        </w:tc>
      </w:tr>
      <w:tr>
        <w:trPr>
          <w:trHeight w:val="449" w:hRule="atLeast"/>
        </w:trPr>
        <w:tc>
          <w:tcPr>
            <w:tcW w:w="574" w:type="dxa"/>
            <w:vAlign w:val="top"/>
          </w:tcPr>
          <w:p>
            <w:pPr>
              <w:pStyle w:val="TableText"/>
              <w:ind w:left="234"/>
              <w:spacing w:before="184" w:line="182" w:lineRule="auto"/>
              <w:rPr>
                <w:sz w:val="17"/>
                <w:szCs w:val="17"/>
              </w:rPr>
            </w:pPr>
            <w:r>
              <w:rPr>
                <w:sz w:val="17"/>
                <w:szCs w:val="17"/>
              </w:rPr>
              <w:t>5</w:t>
            </w:r>
          </w:p>
        </w:tc>
        <w:tc>
          <w:tcPr>
            <w:tcW w:w="1299" w:type="dxa"/>
            <w:vAlign w:val="top"/>
          </w:tcPr>
          <w:p>
            <w:pPr>
              <w:pStyle w:val="TableText"/>
              <w:ind w:left="380"/>
              <w:spacing w:before="140" w:line="219" w:lineRule="auto"/>
              <w:rPr>
                <w:sz w:val="17"/>
                <w:szCs w:val="17"/>
              </w:rPr>
            </w:pPr>
            <w:r>
              <w:rPr>
                <w:sz w:val="17"/>
                <w:szCs w:val="17"/>
                <w:spacing w:val="3"/>
              </w:rPr>
              <w:t>公安部</w:t>
            </w:r>
          </w:p>
        </w:tc>
        <w:tc>
          <w:tcPr>
            <w:tcW w:w="1638" w:type="dxa"/>
            <w:vAlign w:val="top"/>
          </w:tcPr>
          <w:p>
            <w:pPr>
              <w:pStyle w:val="TableText"/>
              <w:ind w:left="52"/>
              <w:spacing w:before="140" w:line="220" w:lineRule="auto"/>
              <w:rPr>
                <w:sz w:val="17"/>
                <w:szCs w:val="17"/>
              </w:rPr>
            </w:pPr>
            <w:r>
              <w:rPr>
                <w:sz w:val="17"/>
                <w:szCs w:val="17"/>
                <w:spacing w:val="-2"/>
              </w:rPr>
              <w:t>保安员证核X</w:t>
            </w:r>
          </w:p>
        </w:tc>
        <w:tc>
          <w:tcPr>
            <w:tcW w:w="2367" w:type="dxa"/>
            <w:vAlign w:val="top"/>
          </w:tcPr>
          <w:p>
            <w:pPr>
              <w:pStyle w:val="TableText"/>
              <w:ind w:left="74"/>
              <w:spacing w:before="138" w:line="219" w:lineRule="auto"/>
              <w:rPr>
                <w:sz w:val="17"/>
                <w:szCs w:val="17"/>
              </w:rPr>
            </w:pPr>
            <w:r>
              <w:rPr>
                <w:sz w:val="17"/>
                <w:szCs w:val="17"/>
                <w:spacing w:val="-1"/>
              </w:rPr>
              <w:t>设区的市规公安机文</w:t>
            </w:r>
          </w:p>
        </w:tc>
        <w:tc>
          <w:tcPr>
            <w:tcW w:w="3701" w:type="dxa"/>
            <w:vAlign w:val="top"/>
          </w:tcPr>
          <w:p>
            <w:pPr>
              <w:pStyle w:val="TableText"/>
              <w:spacing w:before="50" w:line="219" w:lineRule="auto"/>
              <w:rPr>
                <w:sz w:val="17"/>
                <w:szCs w:val="17"/>
              </w:rPr>
            </w:pPr>
            <w:r>
              <w:rPr>
                <w:sz w:val="17"/>
                <w:szCs w:val="17"/>
                <w:spacing w:val="-2"/>
              </w:rPr>
              <w:t>《保安限务管要条例1</w:t>
            </w:r>
          </w:p>
          <w:p>
            <w:pPr>
              <w:pStyle w:val="TableText"/>
              <w:spacing w:before="7" w:line="195" w:lineRule="auto"/>
              <w:rPr>
                <w:sz w:val="17"/>
                <w:szCs w:val="17"/>
              </w:rPr>
            </w:pPr>
            <w:r>
              <w:rPr>
                <w:sz w:val="17"/>
                <w:szCs w:val="17"/>
                <w:spacing w:val="-1"/>
              </w:rPr>
              <w:t>《国家取发资格口重(2021年版))</w:t>
            </w:r>
          </w:p>
        </w:tc>
      </w:tr>
      <w:tr>
        <w:trPr>
          <w:trHeight w:val="659" w:hRule="atLeast"/>
        </w:trPr>
        <w:tc>
          <w:tcPr>
            <w:tcW w:w="574" w:type="dxa"/>
            <w:vAlign w:val="top"/>
          </w:tcPr>
          <w:p>
            <w:pPr>
              <w:pStyle w:val="TableText"/>
              <w:ind w:left="194"/>
              <w:spacing w:before="294" w:line="183" w:lineRule="auto"/>
              <w:rPr>
                <w:sz w:val="17"/>
                <w:szCs w:val="17"/>
              </w:rPr>
            </w:pPr>
            <w:r>
              <w:rPr>
                <w:sz w:val="17"/>
                <w:szCs w:val="17"/>
                <w:spacing w:val="-2"/>
              </w:rPr>
              <w:t>95</w:t>
            </w:r>
          </w:p>
        </w:tc>
        <w:tc>
          <w:tcPr>
            <w:tcW w:w="1299" w:type="dxa"/>
            <w:vAlign w:val="top"/>
          </w:tcPr>
          <w:p>
            <w:pPr>
              <w:pStyle w:val="TableText"/>
              <w:ind w:left="380"/>
              <w:spacing w:before="251" w:line="219" w:lineRule="auto"/>
              <w:rPr>
                <w:sz w:val="17"/>
                <w:szCs w:val="17"/>
              </w:rPr>
            </w:pPr>
            <w:r>
              <w:rPr>
                <w:sz w:val="17"/>
                <w:szCs w:val="17"/>
                <w:spacing w:val="3"/>
              </w:rPr>
              <w:t>公安部</w:t>
            </w:r>
          </w:p>
        </w:tc>
        <w:tc>
          <w:tcPr>
            <w:tcW w:w="1638" w:type="dxa"/>
            <w:vAlign w:val="top"/>
          </w:tcPr>
          <w:p>
            <w:pPr>
              <w:pStyle w:val="TableText"/>
              <w:ind w:left="62" w:right="62" w:hanging="20"/>
              <w:spacing w:before="149" w:line="219" w:lineRule="auto"/>
              <w:rPr>
                <w:sz w:val="17"/>
                <w:szCs w:val="17"/>
              </w:rPr>
            </w:pPr>
            <w:r>
              <w:rPr>
                <w:sz w:val="17"/>
                <w:szCs w:val="17"/>
                <w:spacing w:val="-1"/>
              </w:rPr>
              <w:t>计算机情息系蔬安全</w:t>
            </w:r>
            <w:r>
              <w:rPr>
                <w:sz w:val="17"/>
                <w:szCs w:val="17"/>
                <w:spacing w:val="1"/>
              </w:rPr>
              <w:t xml:space="preserve"> </w:t>
            </w:r>
            <w:r>
              <w:rPr>
                <w:sz w:val="17"/>
                <w:szCs w:val="17"/>
                <w:spacing w:val="2"/>
              </w:rPr>
              <w:t>专用产品销哲许明</w:t>
            </w:r>
          </w:p>
        </w:tc>
        <w:tc>
          <w:tcPr>
            <w:tcW w:w="2367" w:type="dxa"/>
            <w:vAlign w:val="top"/>
          </w:tcPr>
          <w:p>
            <w:pPr>
              <w:pStyle w:val="TableText"/>
              <w:ind w:left="74"/>
              <w:spacing w:before="251" w:line="221" w:lineRule="auto"/>
              <w:rPr>
                <w:sz w:val="17"/>
                <w:szCs w:val="17"/>
              </w:rPr>
            </w:pPr>
            <w:r>
              <w:rPr>
                <w:sz w:val="17"/>
                <w:szCs w:val="17"/>
                <w:spacing w:val="-6"/>
              </w:rPr>
              <w:t>公</w:t>
            </w:r>
            <w:r>
              <w:rPr>
                <w:sz w:val="17"/>
                <w:szCs w:val="17"/>
              </w:rPr>
              <w:t xml:space="preserve">  </w:t>
            </w:r>
            <w:r>
              <w:rPr>
                <w:sz w:val="17"/>
                <w:szCs w:val="17"/>
                <w:spacing w:val="-6"/>
              </w:rPr>
              <w:t>安</w:t>
            </w:r>
          </w:p>
        </w:tc>
        <w:tc>
          <w:tcPr>
            <w:tcW w:w="3701" w:type="dxa"/>
            <w:vAlign w:val="top"/>
          </w:tcPr>
          <w:p>
            <w:pPr>
              <w:pStyle w:val="TableText"/>
              <w:ind w:right="4" w:firstLine="84"/>
              <w:spacing w:before="41" w:line="220" w:lineRule="auto"/>
              <w:rPr>
                <w:sz w:val="17"/>
                <w:szCs w:val="17"/>
              </w:rPr>
            </w:pPr>
            <w:r>
              <w:rPr>
                <w:sz w:val="17"/>
                <w:szCs w:val="17"/>
                <w:spacing w:val="-2"/>
              </w:rPr>
              <w:t>中华人民共和国计算机信意系能安全保护族钢》 </w:t>
            </w:r>
            <w:r>
              <w:rPr>
                <w:sz w:val="17"/>
                <w:szCs w:val="17"/>
                <w:spacing w:val="-3"/>
              </w:rPr>
              <w:t>《计灯机信息系统安全专用产品检测和销营许可过</w:t>
            </w:r>
            <w:r>
              <w:rPr>
                <w:sz w:val="17"/>
                <w:szCs w:val="17"/>
                <w:spacing w:val="11"/>
              </w:rPr>
              <w:t xml:space="preserve"> </w:t>
            </w:r>
            <w:r>
              <w:rPr>
                <w:sz w:val="17"/>
                <w:szCs w:val="17"/>
                <w:spacing w:val="18"/>
              </w:rPr>
              <w:t>替理办茫1</w:t>
            </w:r>
          </w:p>
        </w:tc>
      </w:tr>
      <w:tr>
        <w:trPr>
          <w:trHeight w:val="659" w:hRule="atLeast"/>
        </w:trPr>
        <w:tc>
          <w:tcPr>
            <w:tcW w:w="574" w:type="dxa"/>
            <w:vAlign w:val="top"/>
          </w:tcPr>
          <w:p>
            <w:pPr>
              <w:pStyle w:val="TableText"/>
              <w:ind w:left="194"/>
              <w:spacing w:before="295" w:line="183" w:lineRule="auto"/>
              <w:rPr>
                <w:sz w:val="17"/>
                <w:szCs w:val="17"/>
              </w:rPr>
            </w:pPr>
            <w:r>
              <w:rPr>
                <w:sz w:val="17"/>
                <w:szCs w:val="17"/>
                <w:spacing w:val="-2"/>
              </w:rPr>
              <w:t>87</w:t>
            </w:r>
          </w:p>
        </w:tc>
        <w:tc>
          <w:tcPr>
            <w:tcW w:w="1299" w:type="dxa"/>
            <w:vAlign w:val="top"/>
          </w:tcPr>
          <w:p>
            <w:pPr>
              <w:pStyle w:val="TableText"/>
              <w:ind w:left="380"/>
              <w:spacing w:before="252" w:line="219" w:lineRule="auto"/>
              <w:rPr>
                <w:sz w:val="17"/>
                <w:szCs w:val="17"/>
              </w:rPr>
            </w:pPr>
            <w:r>
              <w:rPr>
                <w:sz w:val="17"/>
                <w:szCs w:val="17"/>
                <w:spacing w:val="2"/>
              </w:rPr>
              <w:t>公安师</w:t>
            </w:r>
          </w:p>
        </w:tc>
        <w:tc>
          <w:tcPr>
            <w:tcW w:w="1638" w:type="dxa"/>
            <w:vAlign w:val="top"/>
          </w:tcPr>
          <w:p>
            <w:pPr>
              <w:pStyle w:val="TableText"/>
              <w:ind w:left="32" w:right="61" w:firstLine="10"/>
              <w:spacing w:before="41" w:line="220" w:lineRule="auto"/>
              <w:jc w:val="both"/>
              <w:rPr>
                <w:sz w:val="17"/>
                <w:szCs w:val="17"/>
              </w:rPr>
            </w:pPr>
            <w:r>
              <w:rPr>
                <w:sz w:val="17"/>
                <w:szCs w:val="17"/>
                <w:spacing w:val="-2"/>
              </w:rPr>
              <w:t>互联间上同酸乡营业</w:t>
            </w:r>
            <w:r>
              <w:rPr>
                <w:sz w:val="17"/>
                <w:szCs w:val="17"/>
                <w:spacing w:val="7"/>
              </w:rPr>
              <w:t xml:space="preserve"> </w:t>
            </w:r>
            <w:r>
              <w:rPr>
                <w:sz w:val="17"/>
                <w:szCs w:val="17"/>
              </w:rPr>
              <w:t>场所信息网路安全事</w:t>
            </w:r>
            <w:r>
              <w:rPr>
                <w:sz w:val="17"/>
                <w:szCs w:val="17"/>
                <w:spacing w:val="3"/>
              </w:rPr>
              <w:t xml:space="preserve"> </w:t>
            </w:r>
            <w:r>
              <w:rPr>
                <w:sz w:val="17"/>
                <w:szCs w:val="17"/>
              </w:rPr>
              <w:t>柳</w:t>
            </w:r>
          </w:p>
        </w:tc>
        <w:tc>
          <w:tcPr>
            <w:tcW w:w="2367" w:type="dxa"/>
            <w:vAlign w:val="top"/>
          </w:tcPr>
          <w:p>
            <w:pPr>
              <w:pStyle w:val="TableText"/>
              <w:ind w:left="74"/>
              <w:spacing w:before="250" w:line="219" w:lineRule="auto"/>
              <w:rPr>
                <w:sz w:val="17"/>
                <w:szCs w:val="17"/>
              </w:rPr>
            </w:pPr>
            <w:r>
              <w:rPr>
                <w:sz w:val="17"/>
                <w:szCs w:val="17"/>
                <w:spacing w:val="-2"/>
              </w:rPr>
              <w:t>具装公安机关</w:t>
            </w:r>
          </w:p>
        </w:tc>
        <w:tc>
          <w:tcPr>
            <w:tcW w:w="3701" w:type="dxa"/>
            <w:vAlign w:val="top"/>
          </w:tcPr>
          <w:p>
            <w:pPr>
              <w:pStyle w:val="TableText"/>
              <w:ind w:left="66"/>
              <w:spacing w:before="250" w:line="219" w:lineRule="auto"/>
              <w:rPr>
                <w:sz w:val="17"/>
                <w:szCs w:val="17"/>
              </w:rPr>
            </w:pPr>
            <w:r>
              <w:rPr>
                <w:sz w:val="17"/>
                <w:szCs w:val="17"/>
                <w:spacing w:val="2"/>
              </w:rPr>
              <w:t>(互联网上间原务背业场所偿理条偶)</w:t>
            </w:r>
          </w:p>
        </w:tc>
      </w:tr>
      <w:tr>
        <w:trPr>
          <w:trHeight w:val="859" w:hRule="atLeast"/>
        </w:trPr>
        <w:tc>
          <w:tcPr>
            <w:tcW w:w="574" w:type="dxa"/>
            <w:vAlign w:val="top"/>
          </w:tcPr>
          <w:p>
            <w:pPr>
              <w:spacing w:line="339" w:lineRule="auto"/>
              <w:rPr>
                <w:rFonts w:ascii="Arial"/>
                <w:sz w:val="21"/>
              </w:rPr>
            </w:pPr>
            <w:r/>
          </w:p>
          <w:p>
            <w:pPr>
              <w:pStyle w:val="TableText"/>
              <w:ind w:left="194"/>
              <w:spacing w:before="55" w:line="183" w:lineRule="auto"/>
              <w:rPr>
                <w:sz w:val="17"/>
                <w:szCs w:val="17"/>
              </w:rPr>
            </w:pPr>
            <w:r>
              <w:rPr>
                <w:sz w:val="17"/>
                <w:szCs w:val="17"/>
                <w:spacing w:val="-2"/>
              </w:rPr>
              <w:t>86</w:t>
            </w:r>
          </w:p>
        </w:tc>
        <w:tc>
          <w:tcPr>
            <w:tcW w:w="1299" w:type="dxa"/>
            <w:vAlign w:val="top"/>
          </w:tcPr>
          <w:p>
            <w:pPr>
              <w:spacing w:line="296" w:lineRule="auto"/>
              <w:rPr>
                <w:rFonts w:ascii="Arial"/>
                <w:sz w:val="21"/>
              </w:rPr>
            </w:pPr>
            <w:r/>
          </w:p>
          <w:p>
            <w:pPr>
              <w:pStyle w:val="TableText"/>
              <w:ind w:left="380"/>
              <w:spacing w:before="55" w:line="219" w:lineRule="auto"/>
              <w:rPr>
                <w:sz w:val="17"/>
                <w:szCs w:val="17"/>
              </w:rPr>
            </w:pPr>
            <w:r>
              <w:rPr>
                <w:sz w:val="17"/>
                <w:szCs w:val="17"/>
                <w:spacing w:val="3"/>
              </w:rPr>
              <w:t>尝安部</w:t>
            </w:r>
          </w:p>
        </w:tc>
        <w:tc>
          <w:tcPr>
            <w:tcW w:w="1638" w:type="dxa"/>
            <w:vAlign w:val="top"/>
          </w:tcPr>
          <w:p>
            <w:pPr>
              <w:pStyle w:val="TableText"/>
              <w:ind w:left="32" w:right="62" w:firstLine="10"/>
              <w:spacing w:before="152" w:line="224" w:lineRule="auto"/>
              <w:jc w:val="both"/>
              <w:rPr>
                <w:sz w:val="17"/>
                <w:szCs w:val="17"/>
              </w:rPr>
            </w:pPr>
            <w:r>
              <w:rPr>
                <w:sz w:val="17"/>
                <w:szCs w:val="17"/>
                <w:spacing w:val="-1"/>
              </w:rPr>
              <w:t>举办始火跑金反其他</w:t>
            </w:r>
            <w:r>
              <w:rPr>
                <w:sz w:val="17"/>
                <w:szCs w:val="17"/>
                <w:spacing w:val="1"/>
              </w:rPr>
              <w:t xml:space="preserve"> </w:t>
            </w:r>
            <w:r>
              <w:rPr>
                <w:sz w:val="17"/>
                <w:szCs w:val="17"/>
              </w:rPr>
              <w:t>大驱焰火燃放居动许 </w:t>
            </w:r>
            <w:r>
              <w:rPr>
                <w:sz w:val="17"/>
                <w:szCs w:val="17"/>
              </w:rPr>
              <w:t>可</w:t>
            </w:r>
          </w:p>
        </w:tc>
        <w:tc>
          <w:tcPr>
            <w:tcW w:w="2367" w:type="dxa"/>
            <w:vAlign w:val="top"/>
          </w:tcPr>
          <w:p>
            <w:pPr>
              <w:spacing w:line="294" w:lineRule="auto"/>
              <w:rPr>
                <w:rFonts w:ascii="Arial"/>
                <w:sz w:val="21"/>
              </w:rPr>
            </w:pPr>
            <w:r/>
          </w:p>
          <w:p>
            <w:pPr>
              <w:pStyle w:val="TableText"/>
              <w:ind w:left="74"/>
              <w:spacing w:before="56" w:line="219" w:lineRule="auto"/>
              <w:rPr>
                <w:sz w:val="17"/>
                <w:szCs w:val="17"/>
              </w:rPr>
            </w:pPr>
            <w:r>
              <w:rPr>
                <w:sz w:val="17"/>
                <w:szCs w:val="17"/>
                <w:spacing w:val="-1"/>
              </w:rPr>
              <w:t>设区的市丝，县想公安机美</w:t>
            </w:r>
          </w:p>
        </w:tc>
        <w:tc>
          <w:tcPr>
            <w:tcW w:w="3701" w:type="dxa"/>
            <w:vAlign w:val="top"/>
          </w:tcPr>
          <w:p>
            <w:pPr>
              <w:pStyle w:val="TableText"/>
              <w:ind w:left="66"/>
              <w:spacing w:before="63" w:line="195" w:lineRule="auto"/>
              <w:rPr>
                <w:sz w:val="17"/>
                <w:szCs w:val="17"/>
              </w:rPr>
            </w:pPr>
            <w:r>
              <w:rPr>
                <w:sz w:val="17"/>
                <w:szCs w:val="17"/>
                <w:spacing w:val="1"/>
              </w:rPr>
              <w:t>烟花焊竹安全管理茶例</w:t>
            </w:r>
          </w:p>
          <w:p>
            <w:pPr>
              <w:pStyle w:val="TableText"/>
              <w:ind w:left="65" w:hanging="9"/>
              <w:spacing w:before="1" w:line="219" w:lineRule="auto"/>
              <w:rPr>
                <w:sz w:val="17"/>
                <w:szCs w:val="17"/>
              </w:rPr>
            </w:pPr>
            <w:r>
              <w:rPr>
                <w:sz w:val="17"/>
                <w:szCs w:val="17"/>
                <w:spacing w:val="-1"/>
              </w:rPr>
              <w:t>4公安国办公厅关于页彻执行大型偏火烟致作</w:t>
            </w:r>
            <w:r>
              <w:rPr>
                <w:sz w:val="17"/>
                <w:szCs w:val="17"/>
                <w:spacing w:val="-2"/>
              </w:rPr>
              <w:t>业人</w:t>
            </w:r>
            <w:r>
              <w:rPr>
                <w:sz w:val="17"/>
                <w:szCs w:val="17"/>
              </w:rPr>
              <w:t xml:space="preserve"> </w:t>
            </w:r>
            <w:r>
              <w:rPr>
                <w:sz w:val="17"/>
                <w:szCs w:val="17"/>
                <w:spacing w:val="-19"/>
              </w:rPr>
              <w:t>同餐格务付及管星》    《大型络火始放作业单位资质</w:t>
            </w:r>
            <w:r>
              <w:rPr>
                <w:sz w:val="17"/>
                <w:szCs w:val="17"/>
                <w:spacing w:val="16"/>
              </w:rPr>
              <w:t xml:space="preserve"> </w:t>
            </w:r>
            <w:r>
              <w:rPr>
                <w:sz w:val="17"/>
                <w:szCs w:val="17"/>
                <w:spacing w:val="-1"/>
              </w:rPr>
              <w:t>多件及替排)有关非项的通包制兰价000100</w:t>
            </w:r>
            <w:r>
              <w:rPr>
                <w:sz w:val="17"/>
                <w:szCs w:val="17"/>
                <w:spacing w:val="-2"/>
              </w:rPr>
              <w:t>5g2号)</w:t>
            </w:r>
          </w:p>
        </w:tc>
      </w:tr>
      <w:tr>
        <w:trPr>
          <w:trHeight w:val="849" w:hRule="atLeast"/>
        </w:trPr>
        <w:tc>
          <w:tcPr>
            <w:tcW w:w="574" w:type="dxa"/>
            <w:vAlign w:val="top"/>
          </w:tcPr>
          <w:p>
            <w:pPr>
              <w:spacing w:line="330" w:lineRule="auto"/>
              <w:rPr>
                <w:rFonts w:ascii="Arial"/>
                <w:sz w:val="21"/>
              </w:rPr>
            </w:pPr>
            <w:r/>
          </w:p>
          <w:p>
            <w:pPr>
              <w:pStyle w:val="TableText"/>
              <w:ind w:left="194"/>
              <w:spacing w:before="55" w:line="183" w:lineRule="auto"/>
              <w:rPr>
                <w:sz w:val="17"/>
                <w:szCs w:val="17"/>
              </w:rPr>
            </w:pPr>
            <w:r>
              <w:rPr>
                <w:sz w:val="17"/>
                <w:szCs w:val="17"/>
                <w:spacing w:val="-2"/>
              </w:rPr>
              <w:t>69</w:t>
            </w:r>
          </w:p>
        </w:tc>
        <w:tc>
          <w:tcPr>
            <w:tcW w:w="1299" w:type="dxa"/>
            <w:vAlign w:val="top"/>
          </w:tcPr>
          <w:p>
            <w:pPr>
              <w:spacing w:line="287" w:lineRule="auto"/>
              <w:rPr>
                <w:rFonts w:ascii="Arial"/>
                <w:sz w:val="21"/>
              </w:rPr>
            </w:pPr>
            <w:r/>
          </w:p>
          <w:p>
            <w:pPr>
              <w:pStyle w:val="TableText"/>
              <w:ind w:left="380"/>
              <w:spacing w:before="55" w:line="219" w:lineRule="auto"/>
              <w:rPr>
                <w:sz w:val="17"/>
                <w:szCs w:val="17"/>
              </w:rPr>
            </w:pPr>
            <w:r>
              <w:rPr>
                <w:sz w:val="17"/>
                <w:szCs w:val="17"/>
                <w:spacing w:val="3"/>
              </w:rPr>
              <w:t>公安部</w:t>
            </w:r>
          </w:p>
        </w:tc>
        <w:tc>
          <w:tcPr>
            <w:tcW w:w="1638" w:type="dxa"/>
            <w:vAlign w:val="top"/>
          </w:tcPr>
          <w:p>
            <w:pPr>
              <w:pStyle w:val="TableText"/>
              <w:ind w:left="52" w:right="61" w:hanging="10"/>
              <w:spacing w:before="253" w:line="215" w:lineRule="auto"/>
              <w:rPr>
                <w:sz w:val="17"/>
                <w:szCs w:val="17"/>
              </w:rPr>
            </w:pPr>
            <w:r>
              <w:rPr>
                <w:sz w:val="17"/>
                <w:szCs w:val="17"/>
                <w:spacing w:val="-1"/>
              </w:rPr>
              <w:t>划花雄竹进路运地诈</w:t>
            </w:r>
            <w:r>
              <w:rPr>
                <w:sz w:val="17"/>
                <w:szCs w:val="17"/>
                <w:spacing w:val="2"/>
              </w:rPr>
              <w:t xml:space="preserve"> </w:t>
            </w:r>
            <w:r>
              <w:rPr>
                <w:sz w:val="17"/>
                <w:szCs w:val="17"/>
              </w:rPr>
              <w:t>司</w:t>
            </w:r>
          </w:p>
        </w:tc>
        <w:tc>
          <w:tcPr>
            <w:tcW w:w="2367" w:type="dxa"/>
            <w:vAlign w:val="top"/>
          </w:tcPr>
          <w:p>
            <w:pPr>
              <w:pStyle w:val="TableText"/>
              <w:ind w:left="74" w:right="15" w:hanging="20"/>
              <w:spacing w:before="253" w:line="216" w:lineRule="auto"/>
              <w:rPr>
                <w:sz w:val="17"/>
                <w:szCs w:val="17"/>
              </w:rPr>
            </w:pPr>
            <w:r>
              <w:rPr>
                <w:sz w:val="17"/>
                <w:szCs w:val="17"/>
                <w:spacing w:val="-1"/>
              </w:rPr>
              <w:t>县统公安机关(运选治或者启运</w:t>
            </w:r>
            <w:r>
              <w:rPr>
                <w:sz w:val="17"/>
                <w:szCs w:val="17"/>
                <w:spacing w:val="5"/>
              </w:rPr>
              <w:t xml:space="preserve"> </w:t>
            </w:r>
            <w:r>
              <w:rPr>
                <w:sz w:val="17"/>
                <w:szCs w:val="17"/>
                <w:spacing w:val="16"/>
              </w:rPr>
              <w:t>地)</w:t>
            </w:r>
          </w:p>
        </w:tc>
        <w:tc>
          <w:tcPr>
            <w:tcW w:w="3701" w:type="dxa"/>
            <w:vAlign w:val="top"/>
          </w:tcPr>
          <w:p>
            <w:pPr>
              <w:pStyle w:val="TableText"/>
              <w:ind w:left="66"/>
              <w:spacing w:before="54" w:line="206" w:lineRule="auto"/>
              <w:rPr>
                <w:sz w:val="17"/>
                <w:szCs w:val="17"/>
              </w:rPr>
            </w:pPr>
            <w:r>
              <w:rPr>
                <w:sz w:val="17"/>
                <w:szCs w:val="17"/>
                <w:spacing w:val="2"/>
              </w:rPr>
              <w:t>4烟花4竹发全管理条例)</w:t>
            </w:r>
          </w:p>
          <w:p>
            <w:pPr>
              <w:pStyle w:val="TableText"/>
              <w:ind w:left="74" w:hanging="74"/>
              <w:spacing w:before="1" w:line="215" w:lineRule="auto"/>
              <w:jc w:val="both"/>
              <w:rPr>
                <w:sz w:val="17"/>
                <w:szCs w:val="17"/>
              </w:rPr>
            </w:pPr>
            <w:r>
              <w:rPr>
                <w:sz w:val="17"/>
                <w:szCs w:val="17"/>
                <w:spacing w:val="-3"/>
              </w:rPr>
              <w:t>《关于优化数花保竹重跑运输许可审在进一步限化</w:t>
            </w:r>
            <w:r>
              <w:rPr>
                <w:sz w:val="17"/>
                <w:szCs w:val="17"/>
                <w:spacing w:val="16"/>
              </w:rPr>
              <w:t xml:space="preserve"> </w:t>
            </w:r>
            <w:r>
              <w:rPr>
                <w:sz w:val="17"/>
                <w:szCs w:val="17"/>
                <w:spacing w:val="-6"/>
              </w:rPr>
              <w:t>墙花端竹“放管即“改革工作的退知到公始安时发</w:t>
            </w:r>
            <w:r>
              <w:rPr>
                <w:sz w:val="17"/>
                <w:szCs w:val="17"/>
                <w:spacing w:val="7"/>
              </w:rPr>
              <w:t xml:space="preserve"> </w:t>
            </w:r>
            <w:r>
              <w:rPr>
                <w:sz w:val="17"/>
                <w:szCs w:val="17"/>
                <w:spacing w:val="3"/>
              </w:rPr>
              <w:t>(20193738号)</w:t>
            </w:r>
          </w:p>
        </w:tc>
      </w:tr>
      <w:tr>
        <w:trPr>
          <w:trHeight w:val="459" w:hRule="atLeast"/>
        </w:trPr>
        <w:tc>
          <w:tcPr>
            <w:tcW w:w="574" w:type="dxa"/>
            <w:vAlign w:val="top"/>
          </w:tcPr>
          <w:p>
            <w:pPr>
              <w:rPr>
                <w:rFonts w:ascii="Arial"/>
                <w:sz w:val="21"/>
              </w:rPr>
            </w:pPr>
            <w:r/>
          </w:p>
        </w:tc>
        <w:tc>
          <w:tcPr>
            <w:tcW w:w="1299" w:type="dxa"/>
            <w:vAlign w:val="top"/>
          </w:tcPr>
          <w:p>
            <w:pPr>
              <w:pStyle w:val="TableText"/>
              <w:ind w:left="380"/>
              <w:spacing w:before="155" w:line="219" w:lineRule="auto"/>
              <w:rPr>
                <w:sz w:val="17"/>
                <w:szCs w:val="17"/>
              </w:rPr>
            </w:pPr>
            <w:r>
              <w:rPr>
                <w:sz w:val="17"/>
                <w:szCs w:val="17"/>
                <w:spacing w:val="-3"/>
              </w:rPr>
              <w:t>公安都</w:t>
            </w:r>
          </w:p>
        </w:tc>
        <w:tc>
          <w:tcPr>
            <w:tcW w:w="1638" w:type="dxa"/>
            <w:vAlign w:val="top"/>
          </w:tcPr>
          <w:p>
            <w:pPr>
              <w:pStyle w:val="TableText"/>
              <w:ind w:left="42" w:right="46"/>
              <w:spacing w:before="43" w:line="220" w:lineRule="auto"/>
              <w:rPr>
                <w:sz w:val="17"/>
                <w:szCs w:val="17"/>
              </w:rPr>
            </w:pPr>
            <w:r>
              <w:rPr>
                <w:sz w:val="17"/>
                <w:szCs w:val="17"/>
                <w:spacing w:val="1"/>
              </w:rPr>
              <w:t>民用煌炸物是购其炸</w:t>
            </w:r>
            <w:r>
              <w:rPr>
                <w:sz w:val="17"/>
                <w:szCs w:val="17"/>
              </w:rPr>
              <w:t xml:space="preserve"> </w:t>
            </w:r>
            <w:r>
              <w:rPr>
                <w:sz w:val="17"/>
                <w:szCs w:val="17"/>
              </w:rPr>
              <w:t>可</w:t>
            </w:r>
          </w:p>
        </w:tc>
        <w:tc>
          <w:tcPr>
            <w:tcW w:w="2367" w:type="dxa"/>
            <w:vAlign w:val="top"/>
          </w:tcPr>
          <w:p>
            <w:pPr>
              <w:pStyle w:val="TableText"/>
              <w:ind w:left="74"/>
              <w:spacing w:before="153" w:line="219" w:lineRule="auto"/>
              <w:rPr>
                <w:sz w:val="17"/>
                <w:szCs w:val="17"/>
              </w:rPr>
            </w:pPr>
            <w:r>
              <w:rPr>
                <w:sz w:val="17"/>
                <w:szCs w:val="17"/>
                <w:spacing w:val="-2"/>
              </w:rPr>
              <w:t>县级公安机关</w:t>
            </w:r>
          </w:p>
        </w:tc>
        <w:tc>
          <w:tcPr>
            <w:tcW w:w="3701" w:type="dxa"/>
            <w:vAlign w:val="top"/>
          </w:tcPr>
          <w:p>
            <w:pPr>
              <w:pStyle w:val="TableText"/>
              <w:ind w:left="66"/>
              <w:spacing w:before="153" w:line="219" w:lineRule="auto"/>
              <w:rPr>
                <w:sz w:val="17"/>
                <w:szCs w:val="17"/>
              </w:rPr>
            </w:pPr>
            <w:r>
              <w:rPr>
                <w:sz w:val="17"/>
                <w:szCs w:val="17"/>
              </w:rPr>
              <w:t>1配用率炸勒品安全管理赤情</w:t>
            </w:r>
          </w:p>
        </w:tc>
      </w:tr>
      <w:tr>
        <w:trPr>
          <w:trHeight w:val="504" w:hRule="atLeast"/>
        </w:trPr>
        <w:tc>
          <w:tcPr>
            <w:tcW w:w="574" w:type="dxa"/>
            <w:vAlign w:val="top"/>
          </w:tcPr>
          <w:p>
            <w:pPr>
              <w:pStyle w:val="TableText"/>
              <w:ind w:left="194"/>
              <w:spacing w:before="180" w:line="224" w:lineRule="auto"/>
              <w:rPr>
                <w:sz w:val="17"/>
                <w:szCs w:val="17"/>
              </w:rPr>
            </w:pPr>
            <w:r>
              <w:rPr>
                <w:sz w:val="17"/>
                <w:szCs w:val="17"/>
                <w:spacing w:val="-2"/>
              </w:rPr>
              <w:t>9]</w:t>
            </w:r>
          </w:p>
        </w:tc>
        <w:tc>
          <w:tcPr>
            <w:tcW w:w="1299" w:type="dxa"/>
            <w:vAlign w:val="top"/>
          </w:tcPr>
          <w:p>
            <w:pPr>
              <w:pStyle w:val="TableText"/>
              <w:ind w:left="380"/>
              <w:spacing w:before="176" w:line="221" w:lineRule="auto"/>
              <w:rPr>
                <w:sz w:val="17"/>
                <w:szCs w:val="17"/>
              </w:rPr>
            </w:pPr>
            <w:r>
              <w:rPr>
                <w:sz w:val="17"/>
                <w:szCs w:val="17"/>
                <w:spacing w:val="-3"/>
              </w:rPr>
              <w:t>公妻雕</w:t>
            </w:r>
          </w:p>
        </w:tc>
        <w:tc>
          <w:tcPr>
            <w:tcW w:w="1638" w:type="dxa"/>
            <w:vAlign w:val="top"/>
          </w:tcPr>
          <w:p>
            <w:pPr>
              <w:pStyle w:val="TableText"/>
              <w:ind w:left="32" w:right="48" w:firstLine="10"/>
              <w:spacing w:before="85" w:line="211" w:lineRule="auto"/>
              <w:rPr>
                <w:sz w:val="17"/>
                <w:szCs w:val="17"/>
              </w:rPr>
            </w:pPr>
            <w:r>
              <w:rPr>
                <w:sz w:val="17"/>
                <w:szCs w:val="17"/>
              </w:rPr>
              <w:t>民用以非物必它粘合</w:t>
            </w:r>
            <w:r>
              <w:rPr>
                <w:sz w:val="17"/>
                <w:szCs w:val="17"/>
                <w:spacing w:val="6"/>
              </w:rPr>
              <w:t xml:space="preserve"> </w:t>
            </w:r>
            <w:r>
              <w:rPr>
                <w:sz w:val="17"/>
                <w:szCs w:val="17"/>
              </w:rPr>
              <w:t>可</w:t>
            </w:r>
          </w:p>
        </w:tc>
        <w:tc>
          <w:tcPr>
            <w:tcW w:w="2367" w:type="dxa"/>
            <w:vAlign w:val="top"/>
          </w:tcPr>
          <w:p>
            <w:pPr>
              <w:pStyle w:val="TableText"/>
              <w:ind w:left="74"/>
              <w:spacing w:before="174" w:line="219" w:lineRule="auto"/>
              <w:rPr>
                <w:sz w:val="17"/>
                <w:szCs w:val="17"/>
              </w:rPr>
            </w:pPr>
            <w:r>
              <w:rPr>
                <w:sz w:val="17"/>
                <w:szCs w:val="17"/>
                <w:spacing w:val="3"/>
              </w:rPr>
              <w:t>易故公女机关(运达地)</w:t>
            </w:r>
          </w:p>
        </w:tc>
        <w:tc>
          <w:tcPr>
            <w:tcW w:w="3701" w:type="dxa"/>
            <w:vAlign w:val="top"/>
          </w:tcPr>
          <w:p>
            <w:pPr>
              <w:pStyle w:val="TableText"/>
              <w:spacing w:before="176" w:line="219" w:lineRule="auto"/>
              <w:rPr>
                <w:sz w:val="17"/>
                <w:szCs w:val="17"/>
              </w:rPr>
            </w:pPr>
            <w:r>
              <w:rPr>
                <w:sz w:val="17"/>
                <w:szCs w:val="17"/>
                <w:spacing w:val="-3"/>
              </w:rPr>
              <w:t>《民用保学物品安全管现条剧》</w:t>
            </w:r>
          </w:p>
        </w:tc>
      </w:tr>
    </w:tbl>
    <w:p>
      <w:pPr>
        <w:pStyle w:val="BodyText"/>
        <w:rPr/>
      </w:pPr>
      <w:r/>
    </w:p>
    <w:p>
      <w:pPr>
        <w:sectPr>
          <w:pgSz w:w="11910" w:h="8220"/>
          <w:pgMar w:top="400" w:right="118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30272" behindDoc="0" locked="0" layoutInCell="0" allowOverlap="1">
                <wp:simplePos x="0" y="0"/>
                <wp:positionH relativeFrom="page">
                  <wp:posOffset>463663</wp:posOffset>
                </wp:positionH>
                <wp:positionV relativeFrom="page">
                  <wp:posOffset>4390878</wp:posOffset>
                </wp:positionV>
                <wp:extent cx="215900" cy="209550"/>
                <wp:effectExtent l="0" t="0" r="0" b="0"/>
                <wp:wrapNone/>
                <wp:docPr id="180" name="TextBox 180"/>
                <wp:cNvGraphicFramePr/>
                <a:graphic>
                  <a:graphicData uri="http://schemas.microsoft.com/office/word/2010/wordprocessingShape">
                    <wps:wsp>
                      <wps:cNvSpPr txBox="1"/>
                      <wps:spPr>
                        <a:xfrm rot="5400000">
                          <a:off x="463663" y="4390878"/>
                          <a:ext cx="215900" cy="2095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85" w:line="175" w:lineRule="auto"/>
                              <w:rPr>
                                <w:rFonts w:ascii="FZYaoTi" w:hAnsi="FZYaoTi" w:eastAsia="FZYaoTi" w:cs="FZYaoTi"/>
                                <w:sz w:val="21"/>
                                <w:szCs w:val="21"/>
                              </w:rPr>
                            </w:pPr>
                            <w:r>
                              <w:rPr>
                                <w:rFonts w:ascii="FZYaoTi" w:hAnsi="FZYaoTi" w:eastAsia="FZYaoTi" w:cs="FZYaoTi"/>
                                <w:sz w:val="21"/>
                                <w:szCs w:val="21"/>
                                <w:spacing w:val="-4"/>
                              </w:rPr>
                              <w:t>171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2" style="position:absolute;margin-left:36.5089pt;margin-top:345.738pt;mso-position-vertical-relative:page;mso-position-horizontal-relative:page;width:17pt;height:16.5pt;z-index:251830272;rotation:90;" o:allowincell="f" filled="false" stroked="false" type="#_x0000_t202">
                <v:fill on="false"/>
                <v:stroke on="false"/>
                <v:path/>
                <v:imagedata o:title=""/>
                <o:lock v:ext="edit" aspectratio="false"/>
                <v:textbox inset="0mm,0mm,0mm,0mm">
                  <w:txbxContent>
                    <w:p>
                      <w:pPr>
                        <w:ind w:left="20"/>
                        <w:spacing w:before="85" w:line="175" w:lineRule="auto"/>
                        <w:rPr>
                          <w:rFonts w:ascii="FZYaoTi" w:hAnsi="FZYaoTi" w:eastAsia="FZYaoTi" w:cs="FZYaoTi"/>
                          <w:sz w:val="21"/>
                          <w:szCs w:val="21"/>
                        </w:rPr>
                      </w:pPr>
                      <w:r>
                        <w:rPr>
                          <w:rFonts w:ascii="FZYaoTi" w:hAnsi="FZYaoTi" w:eastAsia="FZYaoTi" w:cs="FZYaoTi"/>
                          <w:sz w:val="21"/>
                          <w:szCs w:val="21"/>
                          <w:spacing w:val="-4"/>
                        </w:rPr>
                        <w:t>171</w:t>
                      </w:r>
                    </w:p>
                  </w:txbxContent>
                </v:textbox>
              </v:shape>
            </w:pict>
          </mc:Fallback>
        </mc:AlternateContent>
      </w:r>
      <w:r/>
    </w:p>
    <w:tbl>
      <w:tblPr>
        <w:tblStyle w:val="TableNormal"/>
        <w:tblW w:w="9579" w:type="dxa"/>
        <w:tblInd w:w="3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01"/>
      </w:tblGrid>
      <w:tr>
        <w:trPr>
          <w:trHeight w:val="424" w:hRule="atLeast"/>
        </w:trPr>
        <w:tc>
          <w:tcPr>
            <w:tcW w:w="584" w:type="dxa"/>
            <w:vAlign w:val="top"/>
          </w:tcPr>
          <w:p>
            <w:pPr>
              <w:pStyle w:val="TableText"/>
              <w:ind w:left="127"/>
              <w:spacing w:before="130" w:line="221" w:lineRule="auto"/>
              <w:rPr>
                <w:sz w:val="16"/>
                <w:szCs w:val="16"/>
              </w:rPr>
            </w:pPr>
            <w:r>
              <w:rPr>
                <w:sz w:val="16"/>
                <w:szCs w:val="16"/>
                <w:b/>
                <w:bCs/>
                <w:spacing w:val="-4"/>
              </w:rPr>
              <w:t>序号</w:t>
            </w:r>
          </w:p>
        </w:tc>
        <w:tc>
          <w:tcPr>
            <w:tcW w:w="1289" w:type="dxa"/>
            <w:vAlign w:val="top"/>
          </w:tcPr>
          <w:p>
            <w:pPr>
              <w:pStyle w:val="TableText"/>
              <w:ind w:left="153"/>
              <w:spacing w:before="129" w:line="219" w:lineRule="auto"/>
              <w:rPr>
                <w:sz w:val="16"/>
                <w:szCs w:val="16"/>
              </w:rPr>
            </w:pPr>
            <w:r>
              <w:rPr>
                <w:sz w:val="16"/>
                <w:szCs w:val="16"/>
                <w:b/>
                <w:bCs/>
              </w:rPr>
              <w:t>中央主管部门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34"/>
              <w:spacing w:before="130" w:line="219" w:lineRule="auto"/>
              <w:rPr>
                <w:sz w:val="16"/>
                <w:szCs w:val="16"/>
              </w:rPr>
            </w:pPr>
            <w:r>
              <w:rPr>
                <w:sz w:val="16"/>
                <w:szCs w:val="16"/>
                <w:spacing w:val="-2"/>
              </w:rPr>
              <w:t>实监机关</w:t>
            </w:r>
          </w:p>
        </w:tc>
        <w:tc>
          <w:tcPr>
            <w:tcW w:w="3701" w:type="dxa"/>
            <w:vAlign w:val="top"/>
          </w:tcPr>
          <w:p>
            <w:pPr>
              <w:pStyle w:val="TableText"/>
              <w:ind w:left="1266"/>
              <w:spacing w:before="130" w:line="219" w:lineRule="auto"/>
              <w:rPr>
                <w:sz w:val="16"/>
                <w:szCs w:val="16"/>
              </w:rPr>
            </w:pPr>
            <w:r>
              <w:rPr>
                <w:sz w:val="16"/>
                <w:szCs w:val="16"/>
                <w:spacing w:val="-2"/>
              </w:rPr>
              <w:t>设定和实慧依据</w:t>
            </w:r>
          </w:p>
        </w:tc>
      </w:tr>
      <w:tr>
        <w:trPr>
          <w:trHeight w:val="669" w:hRule="atLeast"/>
        </w:trPr>
        <w:tc>
          <w:tcPr>
            <w:tcW w:w="584" w:type="dxa"/>
            <w:vAlign w:val="top"/>
          </w:tcPr>
          <w:p>
            <w:pPr>
              <w:spacing w:line="245" w:lineRule="auto"/>
              <w:rPr>
                <w:rFonts w:ascii="Arial"/>
                <w:sz w:val="21"/>
              </w:rPr>
            </w:pPr>
            <w:r/>
          </w:p>
          <w:p>
            <w:pPr>
              <w:pStyle w:val="TableText"/>
              <w:ind w:left="204"/>
              <w:spacing w:before="52" w:line="183" w:lineRule="auto"/>
              <w:rPr>
                <w:sz w:val="16"/>
                <w:szCs w:val="16"/>
              </w:rPr>
            </w:pPr>
            <w:r>
              <w:rPr>
                <w:sz w:val="16"/>
                <w:szCs w:val="16"/>
                <w:spacing w:val="-2"/>
              </w:rPr>
              <w:t>92</w:t>
            </w:r>
          </w:p>
        </w:tc>
        <w:tc>
          <w:tcPr>
            <w:tcW w:w="1289" w:type="dxa"/>
            <w:vAlign w:val="top"/>
          </w:tcPr>
          <w:p>
            <w:pPr>
              <w:pStyle w:val="TableText"/>
              <w:ind w:left="390"/>
              <w:spacing w:before="257" w:line="219" w:lineRule="auto"/>
              <w:rPr>
                <w:sz w:val="16"/>
                <w:szCs w:val="16"/>
              </w:rPr>
            </w:pPr>
            <w:r>
              <w:rPr>
                <w:sz w:val="16"/>
                <w:szCs w:val="16"/>
                <w:spacing w:val="-3"/>
              </w:rPr>
              <w:t>公安部</w:t>
            </w:r>
          </w:p>
        </w:tc>
        <w:tc>
          <w:tcPr>
            <w:tcW w:w="1638" w:type="dxa"/>
            <w:vAlign w:val="top"/>
          </w:tcPr>
          <w:p>
            <w:pPr>
              <w:pStyle w:val="TableText"/>
              <w:ind w:left="52"/>
              <w:spacing w:before="256" w:line="218" w:lineRule="auto"/>
              <w:rPr>
                <w:sz w:val="16"/>
                <w:szCs w:val="16"/>
              </w:rPr>
            </w:pPr>
            <w:r>
              <w:rPr>
                <w:sz w:val="16"/>
                <w:szCs w:val="16"/>
                <w:spacing w:val="-1"/>
              </w:rPr>
              <w:t>爆破作业单位许可</w:t>
            </w:r>
          </w:p>
        </w:tc>
        <w:tc>
          <w:tcPr>
            <w:tcW w:w="2367" w:type="dxa"/>
            <w:vAlign w:val="top"/>
          </w:tcPr>
          <w:p>
            <w:pPr>
              <w:pStyle w:val="TableText"/>
              <w:ind w:left="64"/>
              <w:spacing w:before="256" w:line="219" w:lineRule="auto"/>
              <w:rPr>
                <w:sz w:val="16"/>
                <w:szCs w:val="16"/>
              </w:rPr>
            </w:pPr>
            <w:r>
              <w:rPr>
                <w:sz w:val="16"/>
                <w:szCs w:val="16"/>
                <w:spacing w:val="-1"/>
              </w:rPr>
              <w:t>省级.谁以的市现公安机关</w:t>
            </w:r>
          </w:p>
        </w:tc>
        <w:tc>
          <w:tcPr>
            <w:tcW w:w="3701" w:type="dxa"/>
            <w:vAlign w:val="top"/>
          </w:tcPr>
          <w:p>
            <w:pPr>
              <w:pStyle w:val="TableText"/>
              <w:ind w:left="66"/>
              <w:spacing w:before="57" w:line="218" w:lineRule="auto"/>
              <w:rPr>
                <w:sz w:val="16"/>
                <w:szCs w:val="16"/>
              </w:rPr>
            </w:pPr>
            <w:r>
              <w:rPr>
                <w:sz w:val="16"/>
                <w:szCs w:val="16"/>
                <w:spacing w:val="-1"/>
              </w:rPr>
              <w:t>(民用焊作物品安全管理条例》</w:t>
            </w:r>
          </w:p>
          <w:p>
            <w:pPr>
              <w:pStyle w:val="TableText"/>
              <w:ind w:left="79" w:right="590" w:hanging="79"/>
              <w:spacing w:line="238" w:lineRule="auto"/>
              <w:rPr>
                <w:sz w:val="16"/>
                <w:szCs w:val="16"/>
              </w:rPr>
            </w:pPr>
            <w:r>
              <w:rPr>
                <w:sz w:val="16"/>
                <w:szCs w:val="16"/>
                <w:spacing w:val="-1"/>
              </w:rPr>
              <w:t>《爆石作提单位资理条件和管理要求NGA 990</w:t>
            </w:r>
            <w:r>
              <w:rPr>
                <w:sz w:val="16"/>
                <w:szCs w:val="16"/>
                <w:spacing w:val="2"/>
              </w:rPr>
              <w:t xml:space="preserve"> </w:t>
            </w:r>
            <w:r>
              <w:rPr>
                <w:sz w:val="16"/>
                <w:szCs w:val="16"/>
                <w:spacing w:val="-2"/>
              </w:rPr>
              <w:t>80)t)</w:t>
            </w:r>
          </w:p>
        </w:tc>
      </w:tr>
      <w:tr>
        <w:trPr>
          <w:trHeight w:val="479" w:hRule="atLeast"/>
        </w:trPr>
        <w:tc>
          <w:tcPr>
            <w:tcW w:w="584" w:type="dxa"/>
            <w:vAlign w:val="top"/>
          </w:tcPr>
          <w:p>
            <w:pPr>
              <w:pStyle w:val="TableText"/>
              <w:ind w:left="204"/>
              <w:spacing w:before="199" w:line="183" w:lineRule="auto"/>
              <w:rPr>
                <w:sz w:val="16"/>
                <w:szCs w:val="16"/>
              </w:rPr>
            </w:pPr>
            <w:r>
              <w:rPr>
                <w:sz w:val="16"/>
                <w:szCs w:val="16"/>
                <w:spacing w:val="-2"/>
              </w:rPr>
              <w:t>93</w:t>
            </w:r>
          </w:p>
        </w:tc>
        <w:tc>
          <w:tcPr>
            <w:tcW w:w="1289" w:type="dxa"/>
            <w:vAlign w:val="top"/>
          </w:tcPr>
          <w:p>
            <w:pPr>
              <w:pStyle w:val="TableText"/>
              <w:ind w:left="390"/>
              <w:spacing w:before="158" w:line="219" w:lineRule="auto"/>
              <w:rPr>
                <w:sz w:val="16"/>
                <w:szCs w:val="16"/>
              </w:rPr>
            </w:pPr>
            <w:r>
              <w:rPr>
                <w:sz w:val="16"/>
                <w:szCs w:val="16"/>
                <w:spacing w:val="-3"/>
              </w:rPr>
              <w:t>公安部</w:t>
            </w:r>
          </w:p>
        </w:tc>
        <w:tc>
          <w:tcPr>
            <w:tcW w:w="1638" w:type="dxa"/>
            <w:vAlign w:val="top"/>
          </w:tcPr>
          <w:p>
            <w:pPr>
              <w:pStyle w:val="TableText"/>
              <w:ind w:left="22" w:right="102" w:firstLine="70"/>
              <w:spacing w:before="68" w:line="220" w:lineRule="auto"/>
              <w:rPr>
                <w:sz w:val="16"/>
                <w:szCs w:val="16"/>
              </w:rPr>
            </w:pPr>
            <w:r>
              <w:rPr>
                <w:sz w:val="16"/>
                <w:szCs w:val="16"/>
                <w:spacing w:val="-1"/>
              </w:rPr>
              <w:t>焊破作业人且资密认</w:t>
            </w:r>
            <w:r>
              <w:rPr>
                <w:sz w:val="16"/>
                <w:szCs w:val="16"/>
                <w:spacing w:val="1"/>
              </w:rPr>
              <w:t xml:space="preserve"> </w:t>
            </w:r>
            <w:r>
              <w:rPr>
                <w:sz w:val="16"/>
                <w:szCs w:val="16"/>
              </w:rPr>
              <w:t>定</w:t>
            </w:r>
          </w:p>
        </w:tc>
        <w:tc>
          <w:tcPr>
            <w:tcW w:w="2367" w:type="dxa"/>
            <w:vAlign w:val="top"/>
          </w:tcPr>
          <w:p>
            <w:pPr>
              <w:pStyle w:val="TableText"/>
              <w:ind w:left="64"/>
              <w:spacing w:before="157" w:line="219" w:lineRule="auto"/>
              <w:rPr>
                <w:sz w:val="16"/>
                <w:szCs w:val="16"/>
              </w:rPr>
            </w:pPr>
            <w:r>
              <w:rPr>
                <w:sz w:val="16"/>
                <w:szCs w:val="16"/>
                <w:spacing w:val="-1"/>
              </w:rPr>
              <w:t>设区的市级公安机关</w:t>
            </w:r>
          </w:p>
        </w:tc>
        <w:tc>
          <w:tcPr>
            <w:tcW w:w="3701" w:type="dxa"/>
            <w:vAlign w:val="top"/>
          </w:tcPr>
          <w:p>
            <w:pPr>
              <w:pStyle w:val="TableText"/>
              <w:spacing w:before="157" w:line="219" w:lineRule="auto"/>
              <w:rPr>
                <w:sz w:val="16"/>
                <w:szCs w:val="16"/>
              </w:rPr>
            </w:pPr>
            <w:r>
              <w:rPr>
                <w:sz w:val="16"/>
                <w:szCs w:val="16"/>
                <w:spacing w:val="-2"/>
              </w:rPr>
              <w:t>《民册媒炸物品安全管理条例》</w:t>
            </w:r>
          </w:p>
        </w:tc>
      </w:tr>
      <w:tr>
        <w:trPr>
          <w:trHeight w:val="669" w:hRule="atLeast"/>
        </w:trPr>
        <w:tc>
          <w:tcPr>
            <w:tcW w:w="584" w:type="dxa"/>
            <w:vAlign w:val="top"/>
          </w:tcPr>
          <w:p>
            <w:pPr>
              <w:spacing w:line="247" w:lineRule="auto"/>
              <w:rPr>
                <w:rFonts w:ascii="Arial"/>
                <w:sz w:val="21"/>
              </w:rPr>
            </w:pPr>
            <w:r/>
          </w:p>
          <w:p>
            <w:pPr>
              <w:pStyle w:val="TableText"/>
              <w:ind w:left="244"/>
              <w:spacing w:before="52" w:line="183" w:lineRule="auto"/>
              <w:rPr>
                <w:sz w:val="16"/>
                <w:szCs w:val="16"/>
              </w:rPr>
            </w:pPr>
            <w:r>
              <w:rPr>
                <w:sz w:val="16"/>
                <w:szCs w:val="16"/>
              </w:rPr>
              <w:t>9</w:t>
            </w:r>
          </w:p>
        </w:tc>
        <w:tc>
          <w:tcPr>
            <w:tcW w:w="1289" w:type="dxa"/>
            <w:vAlign w:val="top"/>
          </w:tcPr>
          <w:p>
            <w:pPr>
              <w:pStyle w:val="TableText"/>
              <w:ind w:left="390"/>
              <w:spacing w:before="259" w:line="219" w:lineRule="auto"/>
              <w:rPr>
                <w:sz w:val="16"/>
                <w:szCs w:val="16"/>
              </w:rPr>
            </w:pPr>
            <w:r>
              <w:rPr>
                <w:sz w:val="16"/>
                <w:szCs w:val="16"/>
                <w:spacing w:val="-3"/>
              </w:rPr>
              <w:t>公安部</w:t>
            </w:r>
          </w:p>
        </w:tc>
        <w:tc>
          <w:tcPr>
            <w:tcW w:w="1638" w:type="dxa"/>
            <w:vAlign w:val="top"/>
          </w:tcPr>
          <w:p>
            <w:pPr>
              <w:pStyle w:val="TableText"/>
              <w:ind w:left="42" w:right="102" w:firstLine="50"/>
              <w:spacing w:before="50" w:line="234" w:lineRule="auto"/>
              <w:jc w:val="both"/>
              <w:rPr>
                <w:sz w:val="16"/>
                <w:szCs w:val="16"/>
              </w:rPr>
            </w:pPr>
            <w:r>
              <w:rPr>
                <w:sz w:val="16"/>
                <w:szCs w:val="16"/>
                <w:spacing w:val="-1"/>
              </w:rPr>
              <w:t>城市，凤繁名避区和</w:t>
            </w:r>
            <w:r>
              <w:rPr>
                <w:sz w:val="16"/>
                <w:szCs w:val="16"/>
                <w:spacing w:val="1"/>
              </w:rPr>
              <w:t xml:space="preserve"> </w:t>
            </w:r>
            <w:r>
              <w:rPr>
                <w:sz w:val="16"/>
                <w:szCs w:val="16"/>
                <w:spacing w:val="4"/>
              </w:rPr>
              <w:t>重妻工积设角附医实</w:t>
            </w:r>
            <w:r>
              <w:rPr>
                <w:sz w:val="16"/>
                <w:szCs w:val="16"/>
                <w:spacing w:val="6"/>
              </w:rPr>
              <w:t xml:space="preserve"> </w:t>
            </w:r>
            <w:r>
              <w:rPr>
                <w:sz w:val="16"/>
                <w:szCs w:val="16"/>
              </w:rPr>
              <w:t>临埋破作业中盐</w:t>
            </w:r>
          </w:p>
        </w:tc>
        <w:tc>
          <w:tcPr>
            <w:tcW w:w="2367" w:type="dxa"/>
            <w:vAlign w:val="top"/>
          </w:tcPr>
          <w:p>
            <w:pPr>
              <w:pStyle w:val="TableText"/>
              <w:ind w:left="64"/>
              <w:spacing w:before="258" w:line="219" w:lineRule="auto"/>
              <w:rPr>
                <w:sz w:val="16"/>
                <w:szCs w:val="16"/>
              </w:rPr>
            </w:pPr>
            <w:r>
              <w:rPr>
                <w:sz w:val="16"/>
                <w:szCs w:val="16"/>
                <w:spacing w:val="-1"/>
              </w:rPr>
              <w:t>设文的市级公安机关</w:t>
            </w:r>
          </w:p>
        </w:tc>
        <w:tc>
          <w:tcPr>
            <w:tcW w:w="3701" w:type="dxa"/>
            <w:vAlign w:val="top"/>
          </w:tcPr>
          <w:p>
            <w:pPr>
              <w:pStyle w:val="TableText"/>
              <w:spacing w:before="259" w:line="219" w:lineRule="auto"/>
              <w:rPr>
                <w:sz w:val="16"/>
                <w:szCs w:val="16"/>
              </w:rPr>
            </w:pPr>
            <w:r>
              <w:rPr>
                <w:sz w:val="16"/>
                <w:szCs w:val="16"/>
                <w:spacing w:val="-2"/>
              </w:rPr>
              <w:t>《民用操处物品安全管理条例》</w:t>
            </w:r>
          </w:p>
        </w:tc>
      </w:tr>
      <w:tr>
        <w:trPr>
          <w:trHeight w:val="250" w:hRule="atLeast"/>
        </w:trPr>
        <w:tc>
          <w:tcPr>
            <w:tcW w:w="584" w:type="dxa"/>
            <w:vAlign w:val="top"/>
          </w:tcPr>
          <w:p>
            <w:pPr>
              <w:pStyle w:val="TableText"/>
              <w:ind w:left="204"/>
              <w:spacing w:before="91" w:line="171" w:lineRule="auto"/>
              <w:rPr>
                <w:sz w:val="16"/>
                <w:szCs w:val="16"/>
              </w:rPr>
            </w:pPr>
            <w:r>
              <w:rPr>
                <w:sz w:val="16"/>
                <w:szCs w:val="16"/>
                <w:spacing w:val="-2"/>
              </w:rPr>
              <w:t>95</w:t>
            </w:r>
          </w:p>
        </w:tc>
        <w:tc>
          <w:tcPr>
            <w:tcW w:w="1289" w:type="dxa"/>
            <w:vAlign w:val="top"/>
          </w:tcPr>
          <w:p>
            <w:pPr>
              <w:pStyle w:val="TableText"/>
              <w:ind w:left="390"/>
              <w:spacing w:before="50" w:line="219" w:lineRule="auto"/>
              <w:rPr>
                <w:sz w:val="16"/>
                <w:szCs w:val="16"/>
              </w:rPr>
            </w:pPr>
            <w:r>
              <w:rPr>
                <w:sz w:val="16"/>
                <w:szCs w:val="16"/>
                <w:spacing w:val="-3"/>
              </w:rPr>
              <w:t>公安都</w:t>
            </w:r>
          </w:p>
        </w:tc>
        <w:tc>
          <w:tcPr>
            <w:tcW w:w="1638" w:type="dxa"/>
            <w:vAlign w:val="top"/>
          </w:tcPr>
          <w:p>
            <w:pPr>
              <w:pStyle w:val="TableText"/>
              <w:ind w:left="92"/>
              <w:spacing w:before="50" w:line="219" w:lineRule="auto"/>
              <w:rPr>
                <w:sz w:val="16"/>
                <w:szCs w:val="16"/>
              </w:rPr>
            </w:pPr>
            <w:r>
              <w:rPr>
                <w:sz w:val="16"/>
                <w:szCs w:val="16"/>
                <w:spacing w:val="2"/>
              </w:rPr>
              <w:t>刷毒化学品码买作司</w:t>
            </w:r>
          </w:p>
        </w:tc>
        <w:tc>
          <w:tcPr>
            <w:tcW w:w="2367" w:type="dxa"/>
            <w:vAlign w:val="top"/>
          </w:tcPr>
          <w:p>
            <w:pPr>
              <w:pStyle w:val="TableText"/>
              <w:ind w:left="64"/>
              <w:spacing w:before="49" w:line="219" w:lineRule="auto"/>
              <w:rPr>
                <w:sz w:val="16"/>
                <w:szCs w:val="16"/>
              </w:rPr>
            </w:pPr>
            <w:r>
              <w:rPr>
                <w:sz w:val="16"/>
                <w:szCs w:val="16"/>
                <w:spacing w:val="-1"/>
              </w:rPr>
              <w:t>县级公安机关</w:t>
            </w:r>
          </w:p>
        </w:tc>
        <w:tc>
          <w:tcPr>
            <w:tcW w:w="3701" w:type="dxa"/>
            <w:vAlign w:val="top"/>
          </w:tcPr>
          <w:p>
            <w:pPr>
              <w:pStyle w:val="TableText"/>
              <w:ind w:left="66"/>
              <w:spacing w:before="50" w:line="219" w:lineRule="auto"/>
              <w:rPr>
                <w:sz w:val="16"/>
                <w:szCs w:val="16"/>
              </w:rPr>
            </w:pPr>
            <w:r>
              <w:rPr>
                <w:sz w:val="16"/>
                <w:szCs w:val="16"/>
                <w:spacing w:val="1"/>
              </w:rPr>
              <w:t>(危险化学品安全管理条外1</w:t>
            </w:r>
          </w:p>
        </w:tc>
      </w:tr>
      <w:tr>
        <w:trPr>
          <w:trHeight w:val="469" w:hRule="atLeast"/>
        </w:trPr>
        <w:tc>
          <w:tcPr>
            <w:tcW w:w="584" w:type="dxa"/>
            <w:vAlign w:val="top"/>
          </w:tcPr>
          <w:p>
            <w:pPr>
              <w:pStyle w:val="TableText"/>
              <w:ind w:left="204"/>
              <w:spacing w:before="201" w:line="183" w:lineRule="auto"/>
              <w:rPr>
                <w:sz w:val="16"/>
                <w:szCs w:val="16"/>
              </w:rPr>
            </w:pPr>
            <w:r>
              <w:rPr>
                <w:sz w:val="16"/>
                <w:szCs w:val="16"/>
                <w:spacing w:val="-2"/>
              </w:rPr>
              <w:t>96</w:t>
            </w:r>
          </w:p>
        </w:tc>
        <w:tc>
          <w:tcPr>
            <w:tcW w:w="1289" w:type="dxa"/>
            <w:vAlign w:val="top"/>
          </w:tcPr>
          <w:p>
            <w:pPr>
              <w:pStyle w:val="TableText"/>
              <w:ind w:left="390"/>
              <w:spacing w:before="160" w:line="219" w:lineRule="auto"/>
              <w:rPr>
                <w:sz w:val="16"/>
                <w:szCs w:val="16"/>
              </w:rPr>
            </w:pPr>
            <w:r>
              <w:rPr>
                <w:sz w:val="16"/>
                <w:szCs w:val="16"/>
                <w:spacing w:val="-3"/>
              </w:rPr>
              <w:t>公安部</w:t>
            </w:r>
          </w:p>
        </w:tc>
        <w:tc>
          <w:tcPr>
            <w:tcW w:w="1638" w:type="dxa"/>
            <w:vAlign w:val="top"/>
          </w:tcPr>
          <w:p>
            <w:pPr>
              <w:pStyle w:val="TableText"/>
              <w:ind w:left="42" w:right="89" w:firstLine="50"/>
              <w:spacing w:before="60" w:line="230" w:lineRule="auto"/>
              <w:rPr>
                <w:sz w:val="16"/>
                <w:szCs w:val="16"/>
              </w:rPr>
            </w:pPr>
            <w:r>
              <w:rPr>
                <w:sz w:val="16"/>
                <w:szCs w:val="16"/>
              </w:rPr>
              <w:t>刚毒化学品道路运趣</w:t>
            </w:r>
            <w:r>
              <w:rPr>
                <w:sz w:val="16"/>
                <w:szCs w:val="16"/>
                <w:spacing w:val="5"/>
              </w:rPr>
              <w:t xml:space="preserve"> </w:t>
            </w:r>
            <w:r>
              <w:rPr>
                <w:sz w:val="16"/>
                <w:szCs w:val="16"/>
                <w:spacing w:val="-2"/>
              </w:rPr>
              <w:t>通行许可</w:t>
            </w:r>
          </w:p>
        </w:tc>
        <w:tc>
          <w:tcPr>
            <w:tcW w:w="2367" w:type="dxa"/>
            <w:vAlign w:val="top"/>
          </w:tcPr>
          <w:p>
            <w:pPr>
              <w:pStyle w:val="TableText"/>
              <w:ind w:left="64"/>
              <w:spacing w:before="159" w:line="219" w:lineRule="auto"/>
              <w:rPr>
                <w:sz w:val="16"/>
                <w:szCs w:val="16"/>
              </w:rPr>
            </w:pPr>
            <w:r>
              <w:rPr>
                <w:sz w:val="16"/>
                <w:szCs w:val="16"/>
                <w:spacing w:val="-1"/>
              </w:rPr>
              <w:t>县级公安机关</w:t>
            </w:r>
          </w:p>
        </w:tc>
        <w:tc>
          <w:tcPr>
            <w:tcW w:w="3701" w:type="dxa"/>
            <w:vAlign w:val="top"/>
          </w:tcPr>
          <w:p>
            <w:pPr>
              <w:pStyle w:val="TableText"/>
              <w:spacing w:before="50" w:line="219" w:lineRule="auto"/>
              <w:rPr>
                <w:sz w:val="16"/>
                <w:szCs w:val="16"/>
              </w:rPr>
            </w:pPr>
            <w:r>
              <w:rPr>
                <w:sz w:val="16"/>
                <w:szCs w:val="16"/>
                <w:spacing w:val="-2"/>
              </w:rPr>
              <w:t>《意购化学品安全管理条例》</w:t>
            </w:r>
          </w:p>
          <w:p>
            <w:pPr>
              <w:pStyle w:val="TableText"/>
              <w:ind w:left="66"/>
              <w:spacing w:before="39" w:line="206" w:lineRule="auto"/>
              <w:rPr>
                <w:sz w:val="16"/>
                <w:szCs w:val="16"/>
              </w:rPr>
            </w:pPr>
            <w:r>
              <w:rPr>
                <w:sz w:val="16"/>
                <w:szCs w:val="16"/>
                <w:spacing w:val="1"/>
              </w:rPr>
              <w:t>4别客化学品购买和公路运构许可证件管理办法!</w:t>
            </w:r>
          </w:p>
        </w:tc>
      </w:tr>
      <w:tr>
        <w:trPr>
          <w:trHeight w:val="469" w:hRule="atLeast"/>
        </w:trPr>
        <w:tc>
          <w:tcPr>
            <w:tcW w:w="584" w:type="dxa"/>
            <w:vAlign w:val="top"/>
          </w:tcPr>
          <w:p>
            <w:pPr>
              <w:pStyle w:val="TableText"/>
              <w:ind w:left="204"/>
              <w:spacing w:before="202" w:line="183" w:lineRule="auto"/>
              <w:rPr>
                <w:sz w:val="16"/>
                <w:szCs w:val="16"/>
              </w:rPr>
            </w:pPr>
            <w:r>
              <w:rPr>
                <w:sz w:val="16"/>
                <w:szCs w:val="16"/>
                <w:spacing w:val="-2"/>
              </w:rPr>
              <w:t>97</w:t>
            </w:r>
          </w:p>
        </w:tc>
        <w:tc>
          <w:tcPr>
            <w:tcW w:w="1289" w:type="dxa"/>
            <w:vAlign w:val="top"/>
          </w:tcPr>
          <w:p>
            <w:pPr>
              <w:pStyle w:val="TableText"/>
              <w:ind w:left="390"/>
              <w:spacing w:before="162" w:line="221" w:lineRule="auto"/>
              <w:rPr>
                <w:sz w:val="16"/>
                <w:szCs w:val="16"/>
              </w:rPr>
            </w:pPr>
            <w:r>
              <w:rPr>
                <w:sz w:val="16"/>
                <w:szCs w:val="16"/>
                <w:spacing w:val="-3"/>
              </w:rPr>
              <w:t>公安厚</w:t>
            </w:r>
          </w:p>
        </w:tc>
        <w:tc>
          <w:tcPr>
            <w:tcW w:w="1638" w:type="dxa"/>
            <w:vAlign w:val="top"/>
          </w:tcPr>
          <w:p>
            <w:pPr>
              <w:pStyle w:val="TableText"/>
              <w:ind w:left="131" w:right="104" w:hanging="39"/>
              <w:spacing w:before="70" w:line="224" w:lineRule="auto"/>
              <w:rPr>
                <w:sz w:val="16"/>
                <w:szCs w:val="16"/>
              </w:rPr>
            </w:pPr>
            <w:r>
              <w:rPr>
                <w:sz w:val="16"/>
                <w:szCs w:val="16"/>
                <w:spacing w:val="-1"/>
              </w:rPr>
              <w:t>故射性物品道路运物</w:t>
            </w:r>
            <w:r>
              <w:rPr>
                <w:sz w:val="16"/>
                <w:szCs w:val="16"/>
              </w:rPr>
              <w:t xml:space="preserve"> </w:t>
            </w:r>
            <w:r>
              <w:rPr>
                <w:sz w:val="16"/>
                <w:szCs w:val="16"/>
                <w:spacing w:val="-2"/>
              </w:rPr>
              <w:t>许可</w:t>
            </w:r>
          </w:p>
        </w:tc>
        <w:tc>
          <w:tcPr>
            <w:tcW w:w="2367" w:type="dxa"/>
            <w:vAlign w:val="top"/>
          </w:tcPr>
          <w:p>
            <w:pPr>
              <w:pStyle w:val="TableText"/>
              <w:ind w:left="63" w:hanging="9"/>
              <w:spacing w:before="81" w:line="213" w:lineRule="auto"/>
              <w:rPr>
                <w:sz w:val="16"/>
                <w:szCs w:val="16"/>
              </w:rPr>
            </w:pPr>
            <w:r>
              <w:rPr>
                <w:sz w:val="16"/>
                <w:szCs w:val="16"/>
                <w:spacing w:val="-7"/>
              </w:rPr>
              <w:t>公安品；爸级，设信的市级，其联</w:t>
            </w:r>
            <w:r>
              <w:rPr>
                <w:sz w:val="16"/>
                <w:szCs w:val="16"/>
                <w:spacing w:val="6"/>
              </w:rPr>
              <w:t xml:space="preserve"> </w:t>
            </w:r>
            <w:r>
              <w:rPr>
                <w:sz w:val="16"/>
                <w:szCs w:val="16"/>
                <w:spacing w:val="-3"/>
              </w:rPr>
              <w:t>公安机关</w:t>
            </w:r>
          </w:p>
        </w:tc>
        <w:tc>
          <w:tcPr>
            <w:tcW w:w="3701" w:type="dxa"/>
            <w:vAlign w:val="top"/>
          </w:tcPr>
          <w:p>
            <w:pPr>
              <w:pStyle w:val="TableText"/>
              <w:ind w:left="66"/>
              <w:spacing w:before="91" w:line="208" w:lineRule="auto"/>
              <w:rPr>
                <w:sz w:val="16"/>
                <w:szCs w:val="16"/>
              </w:rPr>
            </w:pPr>
            <w:r>
              <w:rPr>
                <w:sz w:val="16"/>
                <w:szCs w:val="16"/>
                <w:spacing w:val="-1"/>
              </w:rPr>
              <w:t>1中少人民其和国机发全法》</w:t>
            </w:r>
          </w:p>
          <w:p>
            <w:pPr>
              <w:pStyle w:val="TableText"/>
              <w:ind w:left="66"/>
              <w:spacing w:line="216" w:lineRule="auto"/>
              <w:rPr>
                <w:sz w:val="16"/>
                <w:szCs w:val="16"/>
              </w:rPr>
            </w:pPr>
            <w:r>
              <w:rPr>
                <w:sz w:val="16"/>
                <w:szCs w:val="16"/>
              </w:rPr>
              <w:t>1教射性物品运物安全管理条刻》</w:t>
            </w:r>
          </w:p>
        </w:tc>
      </w:tr>
      <w:tr>
        <w:trPr>
          <w:trHeight w:val="879" w:hRule="atLeast"/>
        </w:trPr>
        <w:tc>
          <w:tcPr>
            <w:tcW w:w="584" w:type="dxa"/>
            <w:vAlign w:val="top"/>
          </w:tcPr>
          <w:p>
            <w:pPr>
              <w:spacing w:line="349" w:lineRule="auto"/>
              <w:rPr>
                <w:rFonts w:ascii="Arial"/>
                <w:sz w:val="21"/>
              </w:rPr>
            </w:pPr>
            <w:r/>
          </w:p>
          <w:p>
            <w:pPr>
              <w:pStyle w:val="TableText"/>
              <w:ind w:left="204"/>
              <w:spacing w:before="52" w:line="183" w:lineRule="auto"/>
              <w:rPr>
                <w:sz w:val="16"/>
                <w:szCs w:val="16"/>
              </w:rPr>
            </w:pPr>
            <w:r>
              <w:rPr>
                <w:sz w:val="16"/>
                <w:szCs w:val="16"/>
                <w:spacing w:val="-2"/>
              </w:rPr>
              <w:t>98</w:t>
            </w:r>
          </w:p>
        </w:tc>
        <w:tc>
          <w:tcPr>
            <w:tcW w:w="1289" w:type="dxa"/>
            <w:vAlign w:val="top"/>
          </w:tcPr>
          <w:p>
            <w:pPr>
              <w:spacing w:line="308" w:lineRule="auto"/>
              <w:rPr>
                <w:rFonts w:ascii="Arial"/>
                <w:sz w:val="21"/>
              </w:rPr>
            </w:pPr>
            <w:r/>
          </w:p>
          <w:p>
            <w:pPr>
              <w:pStyle w:val="TableText"/>
              <w:ind w:left="390"/>
              <w:spacing w:before="52" w:line="219" w:lineRule="auto"/>
              <w:rPr>
                <w:sz w:val="16"/>
                <w:szCs w:val="16"/>
              </w:rPr>
            </w:pPr>
            <w:r>
              <w:rPr>
                <w:sz w:val="16"/>
                <w:szCs w:val="16"/>
                <w:spacing w:val="-3"/>
              </w:rPr>
              <w:t>公安部</w:t>
            </w:r>
          </w:p>
        </w:tc>
        <w:tc>
          <w:tcPr>
            <w:tcW w:w="1638" w:type="dxa"/>
            <w:vAlign w:val="top"/>
          </w:tcPr>
          <w:p>
            <w:pPr>
              <w:pStyle w:val="TableText"/>
              <w:ind w:left="22" w:right="89" w:firstLine="70"/>
              <w:spacing w:before="52" w:line="234" w:lineRule="auto"/>
              <w:jc w:val="both"/>
              <w:rPr>
                <w:sz w:val="16"/>
                <w:szCs w:val="16"/>
              </w:rPr>
            </w:pPr>
            <w:r>
              <w:rPr>
                <w:sz w:val="16"/>
                <w:szCs w:val="16"/>
              </w:rPr>
              <w:t>品轴他输化学品的车</w:t>
            </w:r>
            <w:r>
              <w:rPr>
                <w:sz w:val="16"/>
                <w:szCs w:val="16"/>
                <w:spacing w:val="5"/>
              </w:rPr>
              <w:t xml:space="preserve"> </w:t>
            </w:r>
            <w:r>
              <w:rPr>
                <w:sz w:val="16"/>
                <w:szCs w:val="16"/>
                <w:spacing w:val="7"/>
              </w:rPr>
              <w:t>鹏进人危原化学品运</w:t>
            </w:r>
            <w:r>
              <w:rPr>
                <w:sz w:val="16"/>
                <w:szCs w:val="16"/>
              </w:rPr>
              <w:t xml:space="preserve"> </w:t>
            </w:r>
            <w:r>
              <w:rPr>
                <w:sz w:val="16"/>
                <w:szCs w:val="16"/>
                <w:spacing w:val="7"/>
              </w:rPr>
              <w:t>你车辆能制通行区填</w:t>
            </w:r>
            <w:r>
              <w:rPr>
                <w:sz w:val="16"/>
                <w:szCs w:val="16"/>
              </w:rPr>
              <w:t xml:space="preserve"> </w:t>
            </w:r>
            <w:r>
              <w:rPr>
                <w:sz w:val="16"/>
                <w:szCs w:val="16"/>
                <w:spacing w:val="3"/>
              </w:rPr>
              <w:t>审世</w:t>
            </w:r>
          </w:p>
        </w:tc>
        <w:tc>
          <w:tcPr>
            <w:tcW w:w="2367" w:type="dxa"/>
            <w:vAlign w:val="top"/>
          </w:tcPr>
          <w:p>
            <w:pPr>
              <w:pStyle w:val="TableText"/>
              <w:ind w:left="64" w:right="71" w:hanging="10"/>
              <w:spacing w:before="271" w:line="209" w:lineRule="auto"/>
              <w:rPr>
                <w:sz w:val="16"/>
                <w:szCs w:val="16"/>
              </w:rPr>
            </w:pPr>
            <w:r>
              <w:rPr>
                <w:sz w:val="16"/>
                <w:szCs w:val="16"/>
                <w:spacing w:val="-1"/>
              </w:rPr>
              <w:t>省址，设以的市级，是级公安机</w:t>
            </w:r>
            <w:r>
              <w:rPr>
                <w:sz w:val="16"/>
                <w:szCs w:val="16"/>
                <w:spacing w:val="4"/>
              </w:rPr>
              <w:t xml:space="preserve"> </w:t>
            </w:r>
            <w:r>
              <w:rPr>
                <w:sz w:val="16"/>
                <w:szCs w:val="16"/>
              </w:rPr>
              <w:t>关</w:t>
            </w:r>
          </w:p>
        </w:tc>
        <w:tc>
          <w:tcPr>
            <w:tcW w:w="3701" w:type="dxa"/>
            <w:vAlign w:val="top"/>
          </w:tcPr>
          <w:p>
            <w:pPr>
              <w:spacing w:line="308" w:lineRule="auto"/>
              <w:rPr>
                <w:rFonts w:ascii="Arial"/>
                <w:sz w:val="21"/>
              </w:rPr>
            </w:pPr>
            <w:r/>
          </w:p>
          <w:p>
            <w:pPr>
              <w:pStyle w:val="TableText"/>
              <w:spacing w:before="52" w:line="219" w:lineRule="auto"/>
              <w:rPr>
                <w:sz w:val="16"/>
                <w:szCs w:val="16"/>
              </w:rPr>
            </w:pPr>
            <w:r>
              <w:rPr>
                <w:sz w:val="16"/>
                <w:szCs w:val="16"/>
                <w:spacing w:val="-2"/>
              </w:rPr>
              <w:t>《危响化学品安全管理条例》</w:t>
            </w:r>
          </w:p>
        </w:tc>
      </w:tr>
      <w:tr>
        <w:trPr>
          <w:trHeight w:val="879" w:hRule="atLeast"/>
        </w:trPr>
        <w:tc>
          <w:tcPr>
            <w:tcW w:w="584" w:type="dxa"/>
            <w:vAlign w:val="top"/>
          </w:tcPr>
          <w:p>
            <w:pPr>
              <w:spacing w:line="350" w:lineRule="auto"/>
              <w:rPr>
                <w:rFonts w:ascii="Arial"/>
                <w:sz w:val="21"/>
              </w:rPr>
            </w:pPr>
            <w:r/>
          </w:p>
          <w:p>
            <w:pPr>
              <w:spacing w:line="350" w:lineRule="auto"/>
              <w:rPr>
                <w:rFonts w:ascii="Arial"/>
                <w:sz w:val="21"/>
              </w:rPr>
            </w:pPr>
            <w:r/>
          </w:p>
          <w:p>
            <w:pPr>
              <w:pStyle w:val="TableText"/>
              <w:ind w:left="244"/>
              <w:spacing w:before="26" w:line="183" w:lineRule="auto"/>
              <w:rPr>
                <w:sz w:val="8"/>
                <w:szCs w:val="8"/>
              </w:rPr>
            </w:pPr>
            <w:r>
              <w:rPr>
                <w:sz w:val="8"/>
                <w:szCs w:val="8"/>
                <w:spacing w:val="-1"/>
              </w:rPr>
              <w:t>99</w:t>
            </w:r>
          </w:p>
        </w:tc>
        <w:tc>
          <w:tcPr>
            <w:tcW w:w="1289" w:type="dxa"/>
            <w:vAlign w:val="top"/>
          </w:tcPr>
          <w:p>
            <w:pPr>
              <w:spacing w:line="309" w:lineRule="auto"/>
              <w:rPr>
                <w:rFonts w:ascii="Arial"/>
                <w:sz w:val="21"/>
              </w:rPr>
            </w:pPr>
            <w:r/>
          </w:p>
          <w:p>
            <w:pPr>
              <w:pStyle w:val="TableText"/>
              <w:ind w:left="390"/>
              <w:spacing w:before="52" w:line="219" w:lineRule="auto"/>
              <w:rPr>
                <w:sz w:val="16"/>
                <w:szCs w:val="16"/>
              </w:rPr>
            </w:pPr>
            <w:r>
              <w:rPr>
                <w:sz w:val="16"/>
                <w:szCs w:val="16"/>
                <w:spacing w:val="-3"/>
              </w:rPr>
              <w:t>势支器</w:t>
            </w:r>
          </w:p>
        </w:tc>
        <w:tc>
          <w:tcPr>
            <w:tcW w:w="1638" w:type="dxa"/>
            <w:vAlign w:val="top"/>
          </w:tcPr>
          <w:p>
            <w:pPr>
              <w:pStyle w:val="TableText"/>
              <w:ind w:left="131" w:right="89" w:hanging="39"/>
              <w:spacing w:before="63" w:line="225" w:lineRule="auto"/>
              <w:rPr>
                <w:sz w:val="16"/>
                <w:szCs w:val="16"/>
              </w:rPr>
            </w:pPr>
            <w:r>
              <w:rPr>
                <w:sz w:val="16"/>
                <w:szCs w:val="16"/>
              </w:rPr>
              <w:t>易制毒化学尼码灭许</w:t>
            </w:r>
            <w:r>
              <w:rPr>
                <w:sz w:val="16"/>
                <w:szCs w:val="16"/>
                <w:spacing w:val="5"/>
              </w:rPr>
              <w:t xml:space="preserve"> </w:t>
            </w:r>
            <w:r>
              <w:rPr>
                <w:sz w:val="16"/>
                <w:szCs w:val="16"/>
                <w:spacing w:val="-1"/>
              </w:rPr>
              <w:t>可4腔第一类中的药</w:t>
            </w:r>
          </w:p>
          <w:p>
            <w:pPr>
              <w:pStyle w:val="TableText"/>
              <w:ind w:left="62" w:right="159" w:firstLine="109"/>
              <w:spacing w:before="29" w:line="220" w:lineRule="auto"/>
              <w:rPr>
                <w:sz w:val="16"/>
                <w:szCs w:val="16"/>
              </w:rPr>
            </w:pPr>
            <w:r>
              <w:rPr>
                <w:sz w:val="16"/>
                <w:szCs w:val="16"/>
                <w:spacing w:val="2"/>
              </w:rPr>
              <w:t>品员防制毒化学品</w:t>
            </w:r>
            <w:r>
              <w:rPr>
                <w:sz w:val="16"/>
                <w:szCs w:val="16"/>
              </w:rPr>
              <w:t xml:space="preserve"> </w:t>
            </w:r>
            <w:r>
              <w:rPr>
                <w:sz w:val="16"/>
                <w:szCs w:val="16"/>
                <w:spacing w:val="-5"/>
              </w:rPr>
              <w:t>外</w:t>
            </w:r>
            <w:r>
              <w:rPr>
                <w:sz w:val="16"/>
                <w:szCs w:val="16"/>
                <w:spacing w:val="-29"/>
              </w:rPr>
              <w:t xml:space="preserve"> </w:t>
            </w:r>
            <w:r>
              <w:rPr>
                <w:sz w:val="16"/>
                <w:szCs w:val="16"/>
                <w:spacing w:val="-5"/>
              </w:rPr>
              <w:t>)</w:t>
            </w:r>
          </w:p>
        </w:tc>
        <w:tc>
          <w:tcPr>
            <w:tcW w:w="2367" w:type="dxa"/>
            <w:vAlign w:val="top"/>
          </w:tcPr>
          <w:p>
            <w:pPr>
              <w:spacing w:line="308" w:lineRule="auto"/>
              <w:rPr>
                <w:rFonts w:ascii="Arial"/>
                <w:sz w:val="21"/>
              </w:rPr>
            </w:pPr>
            <w:r/>
          </w:p>
          <w:p>
            <w:pPr>
              <w:pStyle w:val="TableText"/>
              <w:ind w:left="64"/>
              <w:spacing w:before="52" w:line="219" w:lineRule="auto"/>
              <w:rPr>
                <w:sz w:val="16"/>
                <w:szCs w:val="16"/>
              </w:rPr>
            </w:pPr>
            <w:r>
              <w:rPr>
                <w:sz w:val="16"/>
                <w:szCs w:val="16"/>
                <w:spacing w:val="-1"/>
              </w:rPr>
              <w:t>青蚁公安机关；县醒公安机关</w:t>
            </w:r>
          </w:p>
        </w:tc>
        <w:tc>
          <w:tcPr>
            <w:tcW w:w="3701" w:type="dxa"/>
            <w:vAlign w:val="top"/>
          </w:tcPr>
          <w:p>
            <w:pPr>
              <w:pStyle w:val="TableText"/>
              <w:spacing w:before="273" w:line="219" w:lineRule="auto"/>
              <w:rPr>
                <w:sz w:val="16"/>
                <w:szCs w:val="16"/>
              </w:rPr>
            </w:pPr>
            <w:r>
              <w:rPr>
                <w:sz w:val="16"/>
                <w:szCs w:val="16"/>
                <w:spacing w:val="-2"/>
              </w:rPr>
              <w:t>《中华人民共和国禁毒法1</w:t>
            </w:r>
          </w:p>
          <w:p>
            <w:pPr>
              <w:pStyle w:val="TableText"/>
              <w:ind w:left="79"/>
              <w:spacing w:line="219" w:lineRule="auto"/>
              <w:rPr>
                <w:sz w:val="16"/>
                <w:szCs w:val="16"/>
              </w:rPr>
            </w:pPr>
            <w:r>
              <w:rPr>
                <w:sz w:val="16"/>
                <w:szCs w:val="16"/>
              </w:rPr>
              <w:t>4易制考化学品登理条骨1</w:t>
            </w:r>
          </w:p>
        </w:tc>
      </w:tr>
      <w:tr>
        <w:trPr>
          <w:trHeight w:val="469" w:hRule="atLeast"/>
        </w:trPr>
        <w:tc>
          <w:tcPr>
            <w:tcW w:w="584" w:type="dxa"/>
            <w:vAlign w:val="top"/>
          </w:tcPr>
          <w:p>
            <w:pPr>
              <w:pStyle w:val="TableText"/>
              <w:ind w:left="164"/>
              <w:spacing w:before="204" w:line="184" w:lineRule="auto"/>
              <w:rPr>
                <w:sz w:val="16"/>
                <w:szCs w:val="16"/>
              </w:rPr>
            </w:pPr>
            <w:r>
              <w:rPr>
                <w:sz w:val="16"/>
                <w:szCs w:val="16"/>
                <w:spacing w:val="-5"/>
              </w:rPr>
              <w:t>100</w:t>
            </w:r>
          </w:p>
        </w:tc>
        <w:tc>
          <w:tcPr>
            <w:tcW w:w="1289" w:type="dxa"/>
            <w:vAlign w:val="top"/>
          </w:tcPr>
          <w:p>
            <w:pPr>
              <w:pStyle w:val="TableText"/>
              <w:ind w:left="390"/>
              <w:spacing w:before="165" w:line="220" w:lineRule="auto"/>
              <w:rPr>
                <w:sz w:val="16"/>
                <w:szCs w:val="16"/>
              </w:rPr>
            </w:pPr>
            <w:r>
              <w:rPr>
                <w:sz w:val="16"/>
                <w:szCs w:val="16"/>
                <w:spacing w:val="-3"/>
              </w:rPr>
              <w:t>公安馨</w:t>
            </w:r>
          </w:p>
        </w:tc>
        <w:tc>
          <w:tcPr>
            <w:tcW w:w="1638" w:type="dxa"/>
            <w:vAlign w:val="top"/>
          </w:tcPr>
          <w:p>
            <w:pPr>
              <w:pStyle w:val="TableText"/>
              <w:ind w:left="42" w:right="89" w:firstLine="50"/>
              <w:spacing w:before="74" w:line="222" w:lineRule="auto"/>
              <w:rPr>
                <w:sz w:val="16"/>
                <w:szCs w:val="16"/>
              </w:rPr>
            </w:pPr>
            <w:r>
              <w:rPr>
                <w:sz w:val="16"/>
                <w:szCs w:val="16"/>
              </w:rPr>
              <w:t>易制案化学品函感许</w:t>
            </w:r>
            <w:r>
              <w:rPr>
                <w:sz w:val="16"/>
                <w:szCs w:val="16"/>
                <w:spacing w:val="5"/>
              </w:rPr>
              <w:t xml:space="preserve"> </w:t>
            </w:r>
            <w:r>
              <w:rPr>
                <w:sz w:val="16"/>
                <w:szCs w:val="16"/>
              </w:rPr>
              <w:t>可</w:t>
            </w:r>
          </w:p>
        </w:tc>
        <w:tc>
          <w:tcPr>
            <w:tcW w:w="2367" w:type="dxa"/>
            <w:vAlign w:val="top"/>
          </w:tcPr>
          <w:p>
            <w:pPr>
              <w:pStyle w:val="TableText"/>
              <w:ind w:left="64"/>
              <w:spacing w:before="163" w:line="219" w:lineRule="auto"/>
              <w:rPr>
                <w:sz w:val="16"/>
                <w:szCs w:val="16"/>
              </w:rPr>
            </w:pPr>
            <w:r>
              <w:rPr>
                <w:sz w:val="16"/>
                <w:szCs w:val="16"/>
                <w:spacing w:val="-1"/>
              </w:rPr>
              <w:t>设区的市慨，县级公安机美</w:t>
            </w:r>
          </w:p>
        </w:tc>
        <w:tc>
          <w:tcPr>
            <w:tcW w:w="3701" w:type="dxa"/>
            <w:vAlign w:val="top"/>
          </w:tcPr>
          <w:p>
            <w:pPr>
              <w:pStyle w:val="TableText"/>
              <w:ind w:left="66"/>
              <w:spacing w:before="74" w:line="242" w:lineRule="auto"/>
              <w:rPr>
                <w:sz w:val="16"/>
                <w:szCs w:val="16"/>
              </w:rPr>
            </w:pPr>
            <w:r>
              <w:rPr>
                <w:sz w:val="16"/>
                <w:szCs w:val="16"/>
                <w:spacing w:val="1"/>
              </w:rPr>
              <w:t>(中华入民具和国等翠法1</w:t>
            </w:r>
          </w:p>
          <w:p>
            <w:pPr>
              <w:pStyle w:val="TableText"/>
              <w:ind w:left="66"/>
              <w:spacing w:line="201" w:lineRule="auto"/>
              <w:rPr>
                <w:sz w:val="16"/>
                <w:szCs w:val="16"/>
              </w:rPr>
            </w:pPr>
            <w:r>
              <w:rPr>
                <w:sz w:val="16"/>
                <w:szCs w:val="16"/>
                <w:spacing w:val="2"/>
              </w:rPr>
              <w:t>1易别等化学品登理杀周)</w:t>
            </w:r>
          </w:p>
        </w:tc>
      </w:tr>
      <w:tr>
        <w:trPr>
          <w:trHeight w:val="924" w:hRule="atLeast"/>
        </w:trPr>
        <w:tc>
          <w:tcPr>
            <w:tcW w:w="584" w:type="dxa"/>
            <w:vAlign w:val="top"/>
          </w:tcPr>
          <w:p>
            <w:pPr>
              <w:spacing w:line="371" w:lineRule="auto"/>
              <w:rPr>
                <w:rFonts w:ascii="Arial"/>
                <w:sz w:val="21"/>
              </w:rPr>
            </w:pPr>
            <w:r/>
          </w:p>
          <w:p>
            <w:pPr>
              <w:pStyle w:val="TableText"/>
              <w:ind w:left="164"/>
              <w:spacing w:before="52" w:line="184" w:lineRule="auto"/>
              <w:rPr>
                <w:sz w:val="16"/>
                <w:szCs w:val="16"/>
              </w:rPr>
            </w:pPr>
            <w:r>
              <w:rPr>
                <w:sz w:val="16"/>
                <w:szCs w:val="16"/>
                <w:spacing w:val="-5"/>
              </w:rPr>
              <w:t>101</w:t>
            </w:r>
          </w:p>
        </w:tc>
        <w:tc>
          <w:tcPr>
            <w:tcW w:w="1289" w:type="dxa"/>
            <w:vAlign w:val="top"/>
          </w:tcPr>
          <w:p>
            <w:pPr>
              <w:spacing w:line="331" w:lineRule="auto"/>
              <w:rPr>
                <w:rFonts w:ascii="Arial"/>
                <w:sz w:val="21"/>
              </w:rPr>
            </w:pPr>
            <w:r/>
          </w:p>
          <w:p>
            <w:pPr>
              <w:pStyle w:val="TableText"/>
              <w:ind w:left="390"/>
              <w:spacing w:before="52" w:line="219" w:lineRule="auto"/>
              <w:rPr>
                <w:sz w:val="16"/>
                <w:szCs w:val="16"/>
              </w:rPr>
            </w:pPr>
            <w:r>
              <w:rPr>
                <w:sz w:val="16"/>
                <w:szCs w:val="16"/>
                <w:spacing w:val="-3"/>
              </w:rPr>
              <w:t>公安都</w:t>
            </w:r>
          </w:p>
        </w:tc>
        <w:tc>
          <w:tcPr>
            <w:tcW w:w="1638" w:type="dxa"/>
            <w:vAlign w:val="top"/>
          </w:tcPr>
          <w:p>
            <w:pPr>
              <w:pStyle w:val="TableText"/>
              <w:ind w:left="42" w:right="83" w:firstLine="50"/>
              <w:spacing w:before="206" w:line="231" w:lineRule="auto"/>
              <w:jc w:val="both"/>
              <w:rPr>
                <w:sz w:val="16"/>
                <w:szCs w:val="16"/>
              </w:rPr>
            </w:pPr>
            <w:r>
              <w:rPr>
                <w:sz w:val="16"/>
                <w:szCs w:val="16"/>
                <w:spacing w:val="1"/>
              </w:rPr>
              <w:t>金融机构故业物所和</w:t>
            </w:r>
            <w:r>
              <w:rPr>
                <w:sz w:val="16"/>
                <w:szCs w:val="16"/>
                <w:spacing w:val="2"/>
              </w:rPr>
              <w:t xml:space="preserve"> </w:t>
            </w:r>
            <w:r>
              <w:rPr>
                <w:sz w:val="16"/>
                <w:szCs w:val="16"/>
                <w:spacing w:val="4"/>
              </w:rPr>
              <w:t>金库安全防范设稳建</w:t>
            </w:r>
            <w:r>
              <w:rPr>
                <w:sz w:val="16"/>
                <w:szCs w:val="16"/>
                <w:spacing w:val="5"/>
              </w:rPr>
              <w:t xml:space="preserve"> </w:t>
            </w:r>
            <w:r>
              <w:rPr>
                <w:sz w:val="16"/>
                <w:szCs w:val="16"/>
                <w:spacing w:val="-1"/>
              </w:rPr>
              <w:t>视方蜜里表</w:t>
            </w:r>
          </w:p>
        </w:tc>
        <w:tc>
          <w:tcPr>
            <w:tcW w:w="2367" w:type="dxa"/>
            <w:vAlign w:val="top"/>
          </w:tcPr>
          <w:p>
            <w:pPr>
              <w:spacing w:line="261" w:lineRule="auto"/>
              <w:rPr>
                <w:rFonts w:ascii="Arial"/>
                <w:sz w:val="21"/>
              </w:rPr>
            </w:pPr>
            <w:r/>
          </w:p>
          <w:p>
            <w:pPr>
              <w:pStyle w:val="TableText"/>
              <w:ind w:left="64" w:right="41" w:firstLine="19"/>
              <w:spacing w:before="52" w:line="220" w:lineRule="auto"/>
              <w:rPr>
                <w:sz w:val="16"/>
                <w:szCs w:val="16"/>
              </w:rPr>
            </w:pPr>
            <w:r>
              <w:rPr>
                <w:sz w:val="16"/>
                <w:szCs w:val="16"/>
                <w:spacing w:val="-1"/>
              </w:rPr>
              <w:t>省级，设区的市级，县破公安机</w:t>
            </w:r>
            <w:r>
              <w:rPr>
                <w:sz w:val="16"/>
                <w:szCs w:val="16"/>
                <w:spacing w:val="4"/>
              </w:rPr>
              <w:t xml:space="preserve"> </w:t>
            </w:r>
            <w:r>
              <w:rPr>
                <w:sz w:val="16"/>
                <w:szCs w:val="16"/>
              </w:rPr>
              <w:t>天</w:t>
            </w:r>
          </w:p>
        </w:tc>
        <w:tc>
          <w:tcPr>
            <w:tcW w:w="3701" w:type="dxa"/>
            <w:vAlign w:val="top"/>
          </w:tcPr>
          <w:p>
            <w:pPr>
              <w:pStyle w:val="TableText"/>
              <w:ind w:left="66" w:right="187" w:hanging="10"/>
              <w:spacing w:before="75" w:line="231" w:lineRule="auto"/>
              <w:rPr>
                <w:sz w:val="16"/>
                <w:szCs w:val="16"/>
              </w:rPr>
            </w:pPr>
            <w:r>
              <w:rPr>
                <w:sz w:val="16"/>
                <w:szCs w:val="16"/>
              </w:rPr>
              <w:t>1国务院对确面保指的行政幸批增目设定行改许可</w:t>
            </w:r>
            <w:r>
              <w:rPr>
                <w:sz w:val="16"/>
                <w:szCs w:val="16"/>
                <w:spacing w:val="5"/>
              </w:rPr>
              <w:t xml:space="preserve"> </w:t>
            </w:r>
            <w:r>
              <w:rPr>
                <w:sz w:val="16"/>
                <w:szCs w:val="16"/>
                <w:spacing w:val="3"/>
              </w:rPr>
              <w:t>的决定</w:t>
            </w:r>
          </w:p>
          <w:p>
            <w:pPr>
              <w:pStyle w:val="TableText"/>
              <w:ind w:left="66" w:right="189"/>
              <w:spacing w:before="9" w:line="237" w:lineRule="auto"/>
              <w:rPr>
                <w:sz w:val="16"/>
                <w:szCs w:val="16"/>
              </w:rPr>
            </w:pPr>
            <w:r>
              <w:rPr>
                <w:sz w:val="16"/>
                <w:szCs w:val="16"/>
                <w:spacing w:val="-1"/>
              </w:rPr>
              <w:t>4金题机构查业场所和金库安全勤范设施建设许可</w:t>
            </w:r>
            <w:r>
              <w:rPr>
                <w:sz w:val="16"/>
                <w:szCs w:val="16"/>
                <w:spacing w:val="15"/>
              </w:rPr>
              <w:t xml:space="preserve"> </w:t>
            </w:r>
            <w:r>
              <w:rPr>
                <w:sz w:val="16"/>
                <w:szCs w:val="16"/>
                <w:spacing w:val="-3"/>
              </w:rPr>
              <w:t>大施办法》</w:t>
            </w:r>
          </w:p>
        </w:tc>
      </w:tr>
    </w:tbl>
    <w:p>
      <w:pPr>
        <w:pStyle w:val="BodyText"/>
        <w:rPr/>
      </w:pPr>
      <w:r/>
    </w:p>
    <w:p>
      <w:pPr>
        <w:sectPr>
          <w:pgSz w:w="11910" w:h="8220"/>
          <w:pgMar w:top="400" w:right="1185" w:bottom="400" w:left="820" w:header="0" w:footer="0" w:gutter="0"/>
        </w:sectPr>
        <w:rPr/>
      </w:pPr>
    </w:p>
    <w:p>
      <w:pPr>
        <w:spacing w:before="123"/>
        <w:rPr/>
      </w:pPr>
      <w:r>
        <mc:AlternateContent xmlns:mc="http://schemas.openxmlformats.org/markup-compatibility/2006">
          <mc:Choice Requires="wps">
            <w:drawing>
              <wp:anchor distT="0" distB="0" distL="0" distR="0" simplePos="0" relativeHeight="25183129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182" name="TextBox 182"/>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172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4" style="position:absolute;margin-left:36.1352pt;margin-top:49.8954pt;mso-position-vertical-relative:page;mso-position-horizontal-relative:page;width:13.8pt;height:13pt;z-index:25183129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172</w:t>
                      </w:r>
                    </w:p>
                  </w:txbxContent>
                </v:textbox>
              </v:shape>
            </w:pict>
          </mc:Fallback>
        </mc:AlternateContent>
      </w:r>
      <w:r/>
    </w:p>
    <w:tbl>
      <w:tblPr>
        <w:tblStyle w:val="TableNormal"/>
        <w:tblW w:w="957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28"/>
        <w:gridCol w:w="2367"/>
        <w:gridCol w:w="3711"/>
      </w:tblGrid>
      <w:tr>
        <w:trPr>
          <w:trHeight w:val="415" w:hRule="atLeast"/>
        </w:trPr>
        <w:tc>
          <w:tcPr>
            <w:tcW w:w="574" w:type="dxa"/>
            <w:vAlign w:val="top"/>
          </w:tcPr>
          <w:p>
            <w:pPr>
              <w:pStyle w:val="TableText"/>
              <w:ind w:left="114"/>
              <w:spacing w:before="132" w:line="220" w:lineRule="auto"/>
              <w:rPr>
                <w:sz w:val="16"/>
                <w:szCs w:val="16"/>
              </w:rPr>
            </w:pPr>
            <w:r>
              <w:rPr>
                <w:sz w:val="16"/>
                <w:szCs w:val="16"/>
                <w:spacing w:val="-2"/>
              </w:rPr>
              <w:t>摩号</w:t>
            </w:r>
          </w:p>
        </w:tc>
        <w:tc>
          <w:tcPr>
            <w:tcW w:w="1299" w:type="dxa"/>
            <w:vAlign w:val="top"/>
          </w:tcPr>
          <w:p>
            <w:pPr>
              <w:pStyle w:val="TableText"/>
              <w:ind w:left="160"/>
              <w:spacing w:before="131" w:line="219" w:lineRule="auto"/>
              <w:rPr>
                <w:sz w:val="16"/>
                <w:szCs w:val="16"/>
              </w:rPr>
            </w:pPr>
            <w:r>
              <w:rPr>
                <w:sz w:val="16"/>
                <w:szCs w:val="16"/>
                <w:spacing w:val="3"/>
              </w:rPr>
              <w:t>中央主管部门</w:t>
            </w:r>
          </w:p>
        </w:tc>
        <w:tc>
          <w:tcPr>
            <w:tcW w:w="1628" w:type="dxa"/>
            <w:vAlign w:val="top"/>
          </w:tcPr>
          <w:p>
            <w:pPr>
              <w:pStyle w:val="TableText"/>
              <w:ind w:left="461"/>
              <w:spacing w:before="132" w:line="220" w:lineRule="auto"/>
              <w:rPr>
                <w:sz w:val="16"/>
                <w:szCs w:val="16"/>
              </w:rPr>
            </w:pPr>
            <w:r>
              <w:rPr>
                <w:sz w:val="16"/>
                <w:szCs w:val="16"/>
                <w:spacing w:val="-2"/>
              </w:rPr>
              <w:t>事项名称</w:t>
            </w:r>
          </w:p>
        </w:tc>
        <w:tc>
          <w:tcPr>
            <w:tcW w:w="2367" w:type="dxa"/>
            <w:vAlign w:val="top"/>
          </w:tcPr>
          <w:p>
            <w:pPr>
              <w:pStyle w:val="TableText"/>
              <w:ind w:left="854"/>
              <w:spacing w:before="130" w:line="219" w:lineRule="auto"/>
              <w:rPr>
                <w:sz w:val="16"/>
                <w:szCs w:val="16"/>
              </w:rPr>
            </w:pPr>
            <w:r>
              <w:rPr>
                <w:sz w:val="16"/>
                <w:szCs w:val="16"/>
                <w:spacing w:val="-2"/>
              </w:rPr>
              <w:t>实前机关</w:t>
            </w:r>
          </w:p>
        </w:tc>
        <w:tc>
          <w:tcPr>
            <w:tcW w:w="3711" w:type="dxa"/>
            <w:vAlign w:val="top"/>
          </w:tcPr>
          <w:p>
            <w:pPr>
              <w:pStyle w:val="TableText"/>
              <w:ind w:left="1296"/>
              <w:spacing w:before="131" w:line="219" w:lineRule="auto"/>
              <w:rPr>
                <w:sz w:val="16"/>
                <w:szCs w:val="16"/>
              </w:rPr>
            </w:pPr>
            <w:r>
              <w:rPr>
                <w:sz w:val="16"/>
                <w:szCs w:val="16"/>
                <w:spacing w:val="-2"/>
              </w:rPr>
              <w:t>设定和实施体据</w:t>
            </w:r>
          </w:p>
        </w:tc>
      </w:tr>
      <w:tr>
        <w:trPr>
          <w:trHeight w:val="889" w:hRule="atLeast"/>
        </w:trPr>
        <w:tc>
          <w:tcPr>
            <w:tcW w:w="574" w:type="dxa"/>
            <w:vAlign w:val="top"/>
          </w:tcPr>
          <w:p>
            <w:pPr>
              <w:spacing w:line="352" w:lineRule="auto"/>
              <w:rPr>
                <w:rFonts w:ascii="Arial"/>
                <w:sz w:val="21"/>
              </w:rPr>
            </w:pPr>
            <w:r/>
          </w:p>
          <w:p>
            <w:pPr>
              <w:pStyle w:val="TableText"/>
              <w:ind w:left="154"/>
              <w:spacing w:before="52" w:line="184" w:lineRule="auto"/>
              <w:rPr>
                <w:sz w:val="16"/>
                <w:szCs w:val="16"/>
              </w:rPr>
            </w:pPr>
            <w:r>
              <w:rPr>
                <w:sz w:val="16"/>
                <w:szCs w:val="16"/>
                <w:spacing w:val="-5"/>
              </w:rPr>
              <w:t>102</w:t>
            </w:r>
          </w:p>
        </w:tc>
        <w:tc>
          <w:tcPr>
            <w:tcW w:w="1299" w:type="dxa"/>
            <w:vAlign w:val="top"/>
          </w:tcPr>
          <w:p>
            <w:pPr>
              <w:spacing w:line="312" w:lineRule="auto"/>
              <w:rPr>
                <w:rFonts w:ascii="Arial"/>
                <w:sz w:val="21"/>
              </w:rPr>
            </w:pPr>
            <w:r/>
          </w:p>
          <w:p>
            <w:pPr>
              <w:pStyle w:val="TableText"/>
              <w:ind w:left="400"/>
              <w:spacing w:before="52" w:line="219" w:lineRule="auto"/>
              <w:rPr>
                <w:sz w:val="16"/>
                <w:szCs w:val="16"/>
              </w:rPr>
            </w:pPr>
            <w:r>
              <w:rPr>
                <w:sz w:val="16"/>
                <w:szCs w:val="16"/>
                <w:spacing w:val="-3"/>
              </w:rPr>
              <w:t>公安部</w:t>
            </w:r>
          </w:p>
        </w:tc>
        <w:tc>
          <w:tcPr>
            <w:tcW w:w="1628" w:type="dxa"/>
            <w:vAlign w:val="top"/>
          </w:tcPr>
          <w:p>
            <w:pPr>
              <w:pStyle w:val="TableText"/>
              <w:ind w:left="52" w:right="103" w:hanging="10"/>
              <w:spacing w:before="175" w:line="231" w:lineRule="auto"/>
              <w:jc w:val="both"/>
              <w:rPr>
                <w:sz w:val="16"/>
                <w:szCs w:val="16"/>
              </w:rPr>
            </w:pPr>
            <w:r>
              <w:rPr>
                <w:sz w:val="16"/>
                <w:szCs w:val="16"/>
                <w:spacing w:val="1"/>
              </w:rPr>
              <w:t>金题杭构前业场所和</w:t>
            </w:r>
            <w:r>
              <w:rPr>
                <w:sz w:val="16"/>
                <w:szCs w:val="16"/>
                <w:spacing w:val="2"/>
              </w:rPr>
              <w:t xml:space="preserve"> </w:t>
            </w:r>
            <w:r>
              <w:rPr>
                <w:sz w:val="16"/>
                <w:szCs w:val="16"/>
                <w:spacing w:val="2"/>
              </w:rPr>
              <w:t>金牌安全防范没继动</w:t>
            </w:r>
            <w:r>
              <w:rPr>
                <w:sz w:val="16"/>
                <w:szCs w:val="16"/>
                <w:spacing w:val="3"/>
              </w:rPr>
              <w:t xml:space="preserve"> </w:t>
            </w:r>
            <w:r>
              <w:rPr>
                <w:sz w:val="16"/>
                <w:szCs w:val="16"/>
                <w:spacing w:val="-2"/>
              </w:rPr>
              <w:t>设工程险收</w:t>
            </w:r>
          </w:p>
        </w:tc>
        <w:tc>
          <w:tcPr>
            <w:tcW w:w="2367" w:type="dxa"/>
            <w:vAlign w:val="top"/>
          </w:tcPr>
          <w:p>
            <w:pPr>
              <w:pStyle w:val="TableText"/>
              <w:ind w:left="74" w:right="41" w:firstLine="10"/>
              <w:spacing w:before="276" w:line="220" w:lineRule="auto"/>
              <w:rPr>
                <w:sz w:val="16"/>
                <w:szCs w:val="16"/>
              </w:rPr>
            </w:pPr>
            <w:r>
              <w:rPr>
                <w:sz w:val="16"/>
                <w:szCs w:val="16"/>
                <w:spacing w:val="-1"/>
              </w:rPr>
              <w:t>查级，设区的而规，兵蜗公安机</w:t>
            </w:r>
            <w:r>
              <w:rPr>
                <w:sz w:val="16"/>
                <w:szCs w:val="16"/>
                <w:spacing w:val="4"/>
              </w:rPr>
              <w:t xml:space="preserve"> </w:t>
            </w:r>
            <w:r>
              <w:rPr>
                <w:sz w:val="16"/>
                <w:szCs w:val="16"/>
              </w:rPr>
              <w:t>关</w:t>
            </w:r>
          </w:p>
        </w:tc>
        <w:tc>
          <w:tcPr>
            <w:tcW w:w="3711" w:type="dxa"/>
            <w:vAlign w:val="top"/>
          </w:tcPr>
          <w:p>
            <w:pPr>
              <w:pStyle w:val="TableText"/>
              <w:ind w:left="66" w:right="187"/>
              <w:spacing w:before="47" w:line="230" w:lineRule="auto"/>
              <w:rPr>
                <w:sz w:val="16"/>
                <w:szCs w:val="16"/>
              </w:rPr>
            </w:pPr>
            <w:r>
              <w:rPr>
                <w:sz w:val="16"/>
                <w:szCs w:val="16"/>
              </w:rPr>
              <w:t>1国茅院对础需保留的行政南批项性设定行政许可</w:t>
            </w:r>
            <w:r>
              <w:rPr>
                <w:sz w:val="16"/>
                <w:szCs w:val="16"/>
                <w:spacing w:val="5"/>
              </w:rPr>
              <w:t xml:space="preserve"> </w:t>
            </w:r>
            <w:r>
              <w:rPr>
                <w:sz w:val="16"/>
                <w:szCs w:val="16"/>
                <w:spacing w:val="3"/>
              </w:rPr>
              <w:t>的决定</w:t>
            </w:r>
          </w:p>
          <w:p>
            <w:pPr>
              <w:pStyle w:val="TableText"/>
              <w:ind w:left="79" w:right="369" w:hanging="79"/>
              <w:spacing w:before="18" w:line="220" w:lineRule="auto"/>
              <w:rPr>
                <w:sz w:val="16"/>
                <w:szCs w:val="16"/>
              </w:rPr>
            </w:pPr>
            <w:r>
              <w:rPr>
                <w:sz w:val="16"/>
                <w:szCs w:val="16"/>
                <w:spacing w:val="-2"/>
              </w:rPr>
              <w:t>《金融机构营政格所和金萍安全防藏设饰建设辞</w:t>
            </w:r>
            <w:r>
              <w:rPr>
                <w:sz w:val="16"/>
                <w:szCs w:val="16"/>
                <w:spacing w:val="12"/>
              </w:rPr>
              <w:t xml:space="preserve"> </w:t>
            </w:r>
            <w:r>
              <w:rPr>
                <w:sz w:val="16"/>
                <w:szCs w:val="16"/>
                <w:spacing w:val="2"/>
              </w:rPr>
              <w:t>方药办状1</w:t>
            </w:r>
          </w:p>
        </w:tc>
      </w:tr>
      <w:tr>
        <w:trPr>
          <w:trHeight w:val="459" w:hRule="atLeast"/>
        </w:trPr>
        <w:tc>
          <w:tcPr>
            <w:tcW w:w="574" w:type="dxa"/>
            <w:vAlign w:val="top"/>
          </w:tcPr>
          <w:p>
            <w:pPr>
              <w:pStyle w:val="TableText"/>
              <w:ind w:left="154"/>
              <w:spacing w:before="188" w:line="184" w:lineRule="auto"/>
              <w:rPr>
                <w:sz w:val="16"/>
                <w:szCs w:val="16"/>
              </w:rPr>
            </w:pPr>
            <w:r>
              <w:rPr>
                <w:sz w:val="16"/>
                <w:szCs w:val="16"/>
                <w:spacing w:val="-5"/>
              </w:rPr>
              <w:t>103</w:t>
            </w:r>
          </w:p>
        </w:tc>
        <w:tc>
          <w:tcPr>
            <w:tcW w:w="1299" w:type="dxa"/>
            <w:vAlign w:val="top"/>
          </w:tcPr>
          <w:p>
            <w:pPr>
              <w:pStyle w:val="TableText"/>
              <w:ind w:left="400"/>
              <w:spacing w:before="147" w:line="219" w:lineRule="auto"/>
              <w:rPr>
                <w:sz w:val="16"/>
                <w:szCs w:val="16"/>
              </w:rPr>
            </w:pPr>
            <w:r>
              <w:rPr>
                <w:sz w:val="16"/>
                <w:szCs w:val="16"/>
                <w:spacing w:val="-3"/>
              </w:rPr>
              <w:t>公专部</w:t>
            </w:r>
          </w:p>
        </w:tc>
        <w:tc>
          <w:tcPr>
            <w:tcW w:w="1628" w:type="dxa"/>
            <w:vAlign w:val="top"/>
          </w:tcPr>
          <w:p>
            <w:pPr>
              <w:pStyle w:val="TableText"/>
              <w:ind w:left="52" w:right="132"/>
              <w:spacing w:before="47" w:line="230" w:lineRule="auto"/>
              <w:rPr>
                <w:sz w:val="16"/>
                <w:szCs w:val="16"/>
              </w:rPr>
            </w:pPr>
            <w:r>
              <w:rPr>
                <w:sz w:val="16"/>
                <w:szCs w:val="16"/>
                <w:spacing w:val="-1"/>
              </w:rPr>
              <w:t>加外作欧内组纵代表</w:t>
            </w:r>
            <w:r>
              <w:rPr>
                <w:sz w:val="16"/>
                <w:szCs w:val="16"/>
                <w:spacing w:val="1"/>
              </w:rPr>
              <w:t xml:space="preserve"> </w:t>
            </w:r>
            <w:r>
              <w:rPr>
                <w:sz w:val="16"/>
                <w:szCs w:val="16"/>
                <w:spacing w:val="-2"/>
              </w:rPr>
              <w:t>机构登记</w:t>
            </w:r>
          </w:p>
        </w:tc>
        <w:tc>
          <w:tcPr>
            <w:tcW w:w="2367" w:type="dxa"/>
            <w:vAlign w:val="top"/>
          </w:tcPr>
          <w:p>
            <w:pPr>
              <w:pStyle w:val="TableText"/>
              <w:ind w:left="74"/>
              <w:spacing w:before="146" w:line="219" w:lineRule="auto"/>
              <w:rPr>
                <w:sz w:val="16"/>
                <w:szCs w:val="16"/>
              </w:rPr>
            </w:pPr>
            <w:r>
              <w:rPr>
                <w:sz w:val="16"/>
                <w:szCs w:val="16"/>
                <w:spacing w:val="-2"/>
              </w:rPr>
              <w:t>公安部，省慢公安机美</w:t>
            </w:r>
          </w:p>
        </w:tc>
        <w:tc>
          <w:tcPr>
            <w:tcW w:w="3711" w:type="dxa"/>
            <w:vAlign w:val="top"/>
          </w:tcPr>
          <w:p>
            <w:pPr>
              <w:pStyle w:val="TableText"/>
              <w:spacing w:before="146" w:line="219" w:lineRule="auto"/>
              <w:rPr>
                <w:sz w:val="16"/>
                <w:szCs w:val="16"/>
              </w:rPr>
            </w:pPr>
            <w:r>
              <w:rPr>
                <w:sz w:val="16"/>
                <w:szCs w:val="16"/>
                <w:spacing w:val="-1"/>
              </w:rPr>
              <w:t>《中华人民共和国境外丰政府组帆境内活动管里居1</w:t>
            </w:r>
          </w:p>
        </w:tc>
      </w:tr>
      <w:tr>
        <w:trPr>
          <w:trHeight w:val="669" w:hRule="atLeast"/>
        </w:trPr>
        <w:tc>
          <w:tcPr>
            <w:tcW w:w="574" w:type="dxa"/>
            <w:vAlign w:val="top"/>
          </w:tcPr>
          <w:p>
            <w:pPr>
              <w:spacing w:line="245" w:lineRule="auto"/>
              <w:rPr>
                <w:rFonts w:ascii="Arial"/>
                <w:sz w:val="21"/>
              </w:rPr>
            </w:pPr>
            <w:r/>
          </w:p>
          <w:p>
            <w:pPr>
              <w:pStyle w:val="TableText"/>
              <w:ind w:left="154"/>
              <w:spacing w:before="52" w:line="184" w:lineRule="auto"/>
              <w:rPr>
                <w:sz w:val="16"/>
                <w:szCs w:val="16"/>
              </w:rPr>
            </w:pPr>
            <w:r>
              <w:rPr>
                <w:sz w:val="16"/>
                <w:szCs w:val="16"/>
                <w:spacing w:val="-5"/>
              </w:rPr>
              <w:t>104</w:t>
            </w:r>
          </w:p>
        </w:tc>
        <w:tc>
          <w:tcPr>
            <w:tcW w:w="1299" w:type="dxa"/>
            <w:vAlign w:val="top"/>
          </w:tcPr>
          <w:p>
            <w:pPr>
              <w:pStyle w:val="TableText"/>
              <w:ind w:left="400"/>
              <w:spacing w:before="258" w:line="219" w:lineRule="auto"/>
              <w:rPr>
                <w:sz w:val="16"/>
                <w:szCs w:val="16"/>
              </w:rPr>
            </w:pPr>
            <w:r>
              <w:rPr>
                <w:sz w:val="16"/>
                <w:szCs w:val="16"/>
                <w:spacing w:val="-3"/>
              </w:rPr>
              <w:t>公安部</w:t>
            </w:r>
          </w:p>
        </w:tc>
        <w:tc>
          <w:tcPr>
            <w:tcW w:w="1628" w:type="dxa"/>
            <w:vAlign w:val="top"/>
          </w:tcPr>
          <w:p>
            <w:pPr>
              <w:pStyle w:val="TableText"/>
              <w:ind w:left="52"/>
              <w:spacing w:before="257" w:line="219" w:lineRule="auto"/>
              <w:rPr>
                <w:sz w:val="16"/>
                <w:szCs w:val="16"/>
              </w:rPr>
            </w:pPr>
            <w:r>
              <w:rPr>
                <w:sz w:val="16"/>
                <w:szCs w:val="16"/>
                <w:spacing w:val="-1"/>
              </w:rPr>
              <w:t>机动车身记</w:t>
            </w:r>
          </w:p>
        </w:tc>
        <w:tc>
          <w:tcPr>
            <w:tcW w:w="2367" w:type="dxa"/>
            <w:vAlign w:val="top"/>
          </w:tcPr>
          <w:p>
            <w:pPr>
              <w:pStyle w:val="TableText"/>
              <w:ind w:left="74" w:right="120" w:firstLine="10"/>
              <w:spacing w:before="167" w:line="215" w:lineRule="auto"/>
              <w:rPr>
                <w:sz w:val="16"/>
                <w:szCs w:val="16"/>
              </w:rPr>
            </w:pPr>
            <w:r>
              <w:rPr>
                <w:sz w:val="16"/>
                <w:szCs w:val="16"/>
                <w:spacing w:val="-1"/>
              </w:rPr>
              <w:t>者级.议林的市城、县翠去安机</w:t>
            </w:r>
            <w:r>
              <w:rPr>
                <w:sz w:val="16"/>
                <w:szCs w:val="16"/>
                <w:spacing w:val="5"/>
              </w:rPr>
              <w:t xml:space="preserve"> </w:t>
            </w:r>
            <w:r>
              <w:rPr>
                <w:sz w:val="16"/>
                <w:szCs w:val="16"/>
              </w:rPr>
              <w:t>美</w:t>
            </w:r>
          </w:p>
        </w:tc>
        <w:tc>
          <w:tcPr>
            <w:tcW w:w="3711" w:type="dxa"/>
            <w:vAlign w:val="top"/>
          </w:tcPr>
          <w:p>
            <w:pPr>
              <w:pStyle w:val="TableText"/>
              <w:ind w:left="66"/>
              <w:spacing w:before="58" w:line="219" w:lineRule="auto"/>
              <w:rPr>
                <w:sz w:val="16"/>
                <w:szCs w:val="16"/>
              </w:rPr>
            </w:pPr>
            <w:r>
              <w:rPr>
                <w:sz w:val="16"/>
                <w:szCs w:val="16"/>
                <w:spacing w:val="2"/>
              </w:rPr>
              <w:t>1中华人民共和国道路交请安全法)</w:t>
            </w:r>
          </w:p>
          <w:p>
            <w:pPr>
              <w:pStyle w:val="TableText"/>
              <w:ind w:left="79" w:right="527" w:hanging="79"/>
              <w:spacing w:line="230" w:lineRule="auto"/>
              <w:rPr>
                <w:sz w:val="16"/>
                <w:szCs w:val="16"/>
              </w:rPr>
            </w:pPr>
            <w:r>
              <w:rPr>
                <w:sz w:val="16"/>
                <w:szCs w:val="16"/>
                <w:spacing w:val="-2"/>
              </w:rPr>
              <w:t>《中华入比力和国道路变通安全法实面条剧》</w:t>
            </w:r>
            <w:r>
              <w:rPr>
                <w:sz w:val="16"/>
                <w:szCs w:val="16"/>
                <w:spacing w:val="12"/>
              </w:rPr>
              <w:t xml:space="preserve"> </w:t>
            </w:r>
            <w:r>
              <w:rPr>
                <w:sz w:val="16"/>
                <w:szCs w:val="16"/>
                <w:spacing w:val="3"/>
              </w:rPr>
              <w:t>(机动车登记规定)</w:t>
            </w:r>
          </w:p>
        </w:tc>
      </w:tr>
      <w:tr>
        <w:trPr>
          <w:trHeight w:val="669" w:hRule="atLeast"/>
        </w:trPr>
        <w:tc>
          <w:tcPr>
            <w:tcW w:w="574" w:type="dxa"/>
            <w:vAlign w:val="top"/>
          </w:tcPr>
          <w:p>
            <w:pPr>
              <w:spacing w:line="246" w:lineRule="auto"/>
              <w:rPr>
                <w:rFonts w:ascii="Arial"/>
                <w:sz w:val="21"/>
              </w:rPr>
            </w:pPr>
            <w:r/>
          </w:p>
          <w:p>
            <w:pPr>
              <w:pStyle w:val="TableText"/>
              <w:ind w:left="154"/>
              <w:spacing w:before="52" w:line="184" w:lineRule="auto"/>
              <w:rPr>
                <w:sz w:val="16"/>
                <w:szCs w:val="16"/>
              </w:rPr>
            </w:pPr>
            <w:r>
              <w:rPr>
                <w:sz w:val="16"/>
                <w:szCs w:val="16"/>
                <w:spacing w:val="-5"/>
              </w:rPr>
              <w:t>106</w:t>
            </w:r>
          </w:p>
        </w:tc>
        <w:tc>
          <w:tcPr>
            <w:tcW w:w="1299" w:type="dxa"/>
            <w:vAlign w:val="top"/>
          </w:tcPr>
          <w:p>
            <w:pPr>
              <w:pStyle w:val="TableText"/>
              <w:ind w:left="400"/>
              <w:spacing w:before="259" w:line="219" w:lineRule="auto"/>
              <w:rPr>
                <w:sz w:val="16"/>
                <w:szCs w:val="16"/>
              </w:rPr>
            </w:pPr>
            <w:r>
              <w:rPr>
                <w:sz w:val="16"/>
                <w:szCs w:val="16"/>
                <w:spacing w:val="-3"/>
              </w:rPr>
              <w:t>公安部</w:t>
            </w:r>
          </w:p>
        </w:tc>
        <w:tc>
          <w:tcPr>
            <w:tcW w:w="1628" w:type="dxa"/>
            <w:vAlign w:val="top"/>
          </w:tcPr>
          <w:p>
            <w:pPr>
              <w:pStyle w:val="TableText"/>
              <w:ind w:left="52" w:right="131"/>
              <w:spacing w:before="158" w:line="232" w:lineRule="auto"/>
              <w:rPr>
                <w:sz w:val="16"/>
                <w:szCs w:val="16"/>
              </w:rPr>
            </w:pPr>
            <w:r>
              <w:rPr>
                <w:sz w:val="16"/>
                <w:szCs w:val="16"/>
                <w:spacing w:val="-1"/>
              </w:rPr>
              <w:t>机动东临时通行确证</w:t>
            </w:r>
            <w:r>
              <w:rPr>
                <w:sz w:val="16"/>
                <w:szCs w:val="16"/>
                <w:spacing w:val="2"/>
              </w:rPr>
              <w:t xml:space="preserve"> </w:t>
            </w:r>
            <w:r>
              <w:rPr>
                <w:sz w:val="16"/>
                <w:szCs w:val="16"/>
                <w:spacing w:val="-3"/>
              </w:rPr>
              <w:t>核发</w:t>
            </w:r>
          </w:p>
        </w:tc>
        <w:tc>
          <w:tcPr>
            <w:tcW w:w="2367" w:type="dxa"/>
            <w:vAlign w:val="top"/>
          </w:tcPr>
          <w:p>
            <w:pPr>
              <w:pStyle w:val="TableText"/>
              <w:ind w:left="74" w:right="53" w:hanging="10"/>
              <w:spacing w:before="158" w:line="225" w:lineRule="auto"/>
              <w:rPr>
                <w:sz w:val="16"/>
                <w:szCs w:val="16"/>
              </w:rPr>
            </w:pPr>
            <w:r>
              <w:rPr>
                <w:sz w:val="16"/>
                <w:szCs w:val="16"/>
                <w:spacing w:val="-1"/>
              </w:rPr>
              <w:t>直帽古公安机关；设区饲布履，</w:t>
            </w:r>
            <w:r>
              <w:rPr>
                <w:sz w:val="16"/>
                <w:szCs w:val="16"/>
                <w:spacing w:val="12"/>
              </w:rPr>
              <w:t xml:space="preserve"> </w:t>
            </w:r>
            <w:r>
              <w:rPr>
                <w:sz w:val="16"/>
                <w:szCs w:val="16"/>
                <w:spacing w:val="-1"/>
              </w:rPr>
              <w:t>县螺公安机关</w:t>
            </w:r>
          </w:p>
        </w:tc>
        <w:tc>
          <w:tcPr>
            <w:tcW w:w="3711" w:type="dxa"/>
            <w:vAlign w:val="top"/>
          </w:tcPr>
          <w:p>
            <w:pPr>
              <w:pStyle w:val="TableText"/>
              <w:spacing w:before="48" w:line="218" w:lineRule="auto"/>
              <w:rPr>
                <w:sz w:val="16"/>
                <w:szCs w:val="16"/>
              </w:rPr>
            </w:pPr>
            <w:r>
              <w:rPr>
                <w:sz w:val="16"/>
                <w:szCs w:val="16"/>
                <w:spacing w:val="-1"/>
              </w:rPr>
              <w:t>《中华人民其和国道算交遭安全告)</w:t>
            </w:r>
          </w:p>
          <w:p>
            <w:pPr>
              <w:pStyle w:val="TableText"/>
              <w:ind w:left="79" w:right="527" w:hanging="79"/>
              <w:spacing w:before="11" w:line="237" w:lineRule="auto"/>
              <w:rPr>
                <w:sz w:val="16"/>
                <w:szCs w:val="16"/>
              </w:rPr>
            </w:pPr>
            <w:r>
              <w:rPr>
                <w:sz w:val="16"/>
                <w:szCs w:val="16"/>
                <w:spacing w:val="-2"/>
              </w:rPr>
              <w:t>《中华人瓦共和因道路交通安全法实题条假》</w:t>
            </w:r>
            <w:r>
              <w:rPr>
                <w:sz w:val="16"/>
                <w:szCs w:val="16"/>
                <w:spacing w:val="12"/>
              </w:rPr>
              <w:t xml:space="preserve"> </w:t>
            </w:r>
            <w:r>
              <w:rPr>
                <w:sz w:val="16"/>
                <w:szCs w:val="16"/>
                <w:spacing w:val="-1"/>
              </w:rPr>
              <w:t>(机动车费记规定》</w:t>
            </w:r>
          </w:p>
        </w:tc>
      </w:tr>
      <w:tr>
        <w:trPr>
          <w:trHeight w:val="679" w:hRule="atLeast"/>
        </w:trPr>
        <w:tc>
          <w:tcPr>
            <w:tcW w:w="574" w:type="dxa"/>
            <w:vAlign w:val="top"/>
          </w:tcPr>
          <w:p>
            <w:pPr>
              <w:spacing w:line="247" w:lineRule="auto"/>
              <w:rPr>
                <w:rFonts w:ascii="Arial"/>
                <w:sz w:val="21"/>
              </w:rPr>
            </w:pPr>
            <w:r/>
          </w:p>
          <w:p>
            <w:pPr>
              <w:pStyle w:val="TableText"/>
              <w:ind w:left="154"/>
              <w:spacing w:before="52" w:line="184" w:lineRule="auto"/>
              <w:rPr>
                <w:sz w:val="16"/>
                <w:szCs w:val="16"/>
              </w:rPr>
            </w:pPr>
            <w:r>
              <w:rPr>
                <w:sz w:val="16"/>
                <w:szCs w:val="16"/>
                <w:spacing w:val="-5"/>
              </w:rPr>
              <w:t>105</w:t>
            </w:r>
          </w:p>
        </w:tc>
        <w:tc>
          <w:tcPr>
            <w:tcW w:w="1299" w:type="dxa"/>
            <w:vAlign w:val="top"/>
          </w:tcPr>
          <w:p>
            <w:pPr>
              <w:pStyle w:val="TableText"/>
              <w:ind w:left="400"/>
              <w:spacing w:before="260" w:line="219" w:lineRule="auto"/>
              <w:rPr>
                <w:sz w:val="16"/>
                <w:szCs w:val="16"/>
              </w:rPr>
            </w:pPr>
            <w:r>
              <w:rPr>
                <w:sz w:val="16"/>
                <w:szCs w:val="16"/>
                <w:spacing w:val="-3"/>
              </w:rPr>
              <w:t>公安部</w:t>
            </w:r>
          </w:p>
        </w:tc>
        <w:tc>
          <w:tcPr>
            <w:tcW w:w="1628" w:type="dxa"/>
            <w:vAlign w:val="top"/>
          </w:tcPr>
          <w:p>
            <w:pPr>
              <w:pStyle w:val="TableText"/>
              <w:ind w:left="52" w:right="25"/>
              <w:spacing w:before="180" w:line="220" w:lineRule="auto"/>
              <w:rPr>
                <w:sz w:val="16"/>
                <w:szCs w:val="16"/>
              </w:rPr>
            </w:pPr>
            <w:r>
              <w:rPr>
                <w:sz w:val="16"/>
                <w:szCs w:val="16"/>
                <w:spacing w:val="2"/>
              </w:rPr>
              <w:t>机动东经窗 合格标山</w:t>
            </w:r>
            <w:r>
              <w:rPr>
                <w:sz w:val="16"/>
                <w:szCs w:val="16"/>
              </w:rPr>
              <w:t xml:space="preserve"> </w:t>
            </w:r>
            <w:r>
              <w:rPr>
                <w:sz w:val="16"/>
                <w:szCs w:val="16"/>
                <w:spacing w:val="-3"/>
              </w:rPr>
              <w:t>核发</w:t>
            </w:r>
          </w:p>
        </w:tc>
        <w:tc>
          <w:tcPr>
            <w:tcW w:w="2367" w:type="dxa"/>
            <w:vAlign w:val="top"/>
          </w:tcPr>
          <w:p>
            <w:pPr>
              <w:pStyle w:val="TableText"/>
              <w:ind w:left="74" w:right="191" w:firstLine="19"/>
              <w:spacing w:before="179" w:line="219" w:lineRule="auto"/>
              <w:rPr>
                <w:sz w:val="16"/>
                <w:szCs w:val="16"/>
              </w:rPr>
            </w:pPr>
            <w:r>
              <w:rPr>
                <w:sz w:val="16"/>
                <w:szCs w:val="16"/>
                <w:spacing w:val="-1"/>
              </w:rPr>
              <w:t>五第市分安机关；说区的市级</w:t>
            </w:r>
            <w:r>
              <w:rPr>
                <w:sz w:val="16"/>
                <w:szCs w:val="16"/>
                <w:spacing w:val="3"/>
              </w:rPr>
              <w:t xml:space="preserve"> </w:t>
            </w:r>
            <w:r>
              <w:rPr>
                <w:sz w:val="16"/>
                <w:szCs w:val="16"/>
                <w:spacing w:val="-1"/>
              </w:rPr>
              <w:t>县能公安机关</w:t>
            </w:r>
          </w:p>
        </w:tc>
        <w:tc>
          <w:tcPr>
            <w:tcW w:w="3711" w:type="dxa"/>
            <w:vAlign w:val="top"/>
          </w:tcPr>
          <w:p>
            <w:pPr>
              <w:pStyle w:val="TableText"/>
              <w:spacing w:before="70" w:line="208" w:lineRule="auto"/>
              <w:rPr>
                <w:sz w:val="16"/>
                <w:szCs w:val="16"/>
              </w:rPr>
            </w:pPr>
            <w:r>
              <w:rPr>
                <w:sz w:val="16"/>
                <w:szCs w:val="16"/>
                <w:spacing w:val="-2"/>
              </w:rPr>
              <w:t>《中华人民其和国道路文通安全法</w:t>
            </w:r>
          </w:p>
          <w:p>
            <w:pPr>
              <w:pStyle w:val="TableText"/>
              <w:ind w:left="79" w:right="527" w:hanging="79"/>
              <w:spacing w:before="1" w:line="235" w:lineRule="auto"/>
              <w:rPr>
                <w:sz w:val="16"/>
                <w:szCs w:val="16"/>
              </w:rPr>
            </w:pPr>
            <w:r>
              <w:rPr>
                <w:sz w:val="16"/>
                <w:szCs w:val="16"/>
                <w:spacing w:val="-2"/>
              </w:rPr>
              <w:t>《中华人民共和国道路交前安全法实础多例》</w:t>
            </w:r>
            <w:r>
              <w:rPr>
                <w:sz w:val="16"/>
                <w:szCs w:val="16"/>
                <w:spacing w:val="12"/>
              </w:rPr>
              <w:t xml:space="preserve"> </w:t>
            </w:r>
            <w:r>
              <w:rPr>
                <w:sz w:val="16"/>
                <w:szCs w:val="16"/>
                <w:spacing w:val="-1"/>
              </w:rPr>
              <w:t>(机动车登记规定》</w:t>
            </w:r>
          </w:p>
        </w:tc>
      </w:tr>
      <w:tr>
        <w:trPr>
          <w:trHeight w:val="669" w:hRule="atLeast"/>
        </w:trPr>
        <w:tc>
          <w:tcPr>
            <w:tcW w:w="574" w:type="dxa"/>
            <w:vAlign w:val="top"/>
          </w:tcPr>
          <w:p>
            <w:pPr>
              <w:spacing w:line="248" w:lineRule="auto"/>
              <w:rPr>
                <w:rFonts w:ascii="Arial"/>
                <w:sz w:val="21"/>
              </w:rPr>
            </w:pPr>
            <w:r/>
          </w:p>
          <w:p>
            <w:pPr>
              <w:pStyle w:val="TableText"/>
              <w:ind w:left="154"/>
              <w:spacing w:before="52" w:line="184" w:lineRule="auto"/>
              <w:rPr>
                <w:sz w:val="16"/>
                <w:szCs w:val="16"/>
              </w:rPr>
            </w:pPr>
            <w:r>
              <w:rPr>
                <w:sz w:val="16"/>
                <w:szCs w:val="16"/>
                <w:spacing w:val="-5"/>
              </w:rPr>
              <w:t>100</w:t>
            </w:r>
          </w:p>
        </w:tc>
        <w:tc>
          <w:tcPr>
            <w:tcW w:w="1299" w:type="dxa"/>
            <w:vAlign w:val="top"/>
          </w:tcPr>
          <w:p>
            <w:pPr>
              <w:pStyle w:val="TableText"/>
              <w:ind w:left="400"/>
              <w:spacing w:before="261" w:line="219" w:lineRule="auto"/>
              <w:rPr>
                <w:sz w:val="16"/>
                <w:szCs w:val="16"/>
              </w:rPr>
            </w:pPr>
            <w:r>
              <w:rPr>
                <w:sz w:val="16"/>
                <w:szCs w:val="16"/>
                <w:spacing w:val="-3"/>
              </w:rPr>
              <w:t>公安部</w:t>
            </w:r>
          </w:p>
        </w:tc>
        <w:tc>
          <w:tcPr>
            <w:tcW w:w="1628" w:type="dxa"/>
            <w:vAlign w:val="top"/>
          </w:tcPr>
          <w:p>
            <w:pPr>
              <w:pStyle w:val="TableText"/>
              <w:ind w:left="52" w:right="125"/>
              <w:spacing w:before="170" w:line="220" w:lineRule="auto"/>
              <w:rPr>
                <w:sz w:val="16"/>
                <w:szCs w:val="16"/>
              </w:rPr>
            </w:pPr>
            <w:r>
              <w:rPr>
                <w:sz w:val="16"/>
                <w:szCs w:val="16"/>
              </w:rPr>
              <w:t>机动车老较证桂置， </w:t>
            </w:r>
            <w:r>
              <w:rPr>
                <w:sz w:val="16"/>
                <w:szCs w:val="16"/>
                <w:spacing w:val="4"/>
              </w:rPr>
              <w:t>审管</w:t>
            </w:r>
          </w:p>
        </w:tc>
        <w:tc>
          <w:tcPr>
            <w:tcW w:w="2367" w:type="dxa"/>
            <w:vAlign w:val="top"/>
          </w:tcPr>
          <w:p>
            <w:pPr>
              <w:pStyle w:val="TableText"/>
              <w:ind w:left="74" w:right="190" w:firstLine="19"/>
              <w:spacing w:before="170" w:line="219" w:lineRule="auto"/>
              <w:rPr>
                <w:sz w:val="16"/>
                <w:szCs w:val="16"/>
              </w:rPr>
            </w:pPr>
            <w:r>
              <w:rPr>
                <w:sz w:val="16"/>
                <w:szCs w:val="16"/>
                <w:spacing w:val="-1"/>
              </w:rPr>
              <w:t>直辖市分安机关；设区的市级</w:t>
            </w:r>
            <w:r>
              <w:rPr>
                <w:sz w:val="16"/>
                <w:szCs w:val="16"/>
                <w:spacing w:val="4"/>
              </w:rPr>
              <w:t xml:space="preserve"> </w:t>
            </w:r>
            <w:r>
              <w:rPr>
                <w:sz w:val="16"/>
                <w:szCs w:val="16"/>
                <w:spacing w:val="-1"/>
              </w:rPr>
              <w:t>县驶公安机关</w:t>
            </w:r>
          </w:p>
        </w:tc>
        <w:tc>
          <w:tcPr>
            <w:tcW w:w="3711" w:type="dxa"/>
            <w:vAlign w:val="top"/>
          </w:tcPr>
          <w:p>
            <w:pPr>
              <w:pStyle w:val="TableText"/>
              <w:spacing w:before="61" w:line="208" w:lineRule="auto"/>
              <w:rPr>
                <w:sz w:val="16"/>
                <w:szCs w:val="16"/>
              </w:rPr>
            </w:pPr>
            <w:r>
              <w:rPr>
                <w:sz w:val="16"/>
                <w:szCs w:val="16"/>
                <w:spacing w:val="-2"/>
              </w:rPr>
              <w:t>《中华人民共和国道路交装安全法?</w:t>
            </w:r>
          </w:p>
          <w:p>
            <w:pPr>
              <w:pStyle w:val="TableText"/>
              <w:ind w:right="609"/>
              <w:spacing w:line="230" w:lineRule="auto"/>
              <w:rPr>
                <w:sz w:val="16"/>
                <w:szCs w:val="16"/>
              </w:rPr>
            </w:pPr>
            <w:r>
              <w:rPr>
                <w:sz w:val="16"/>
                <w:szCs w:val="16"/>
                <w:spacing w:val="-2"/>
              </w:rPr>
              <w:t>《中华人民共和国道路交孟安全铁支能名例?</w:t>
            </w:r>
            <w:r>
              <w:rPr>
                <w:sz w:val="16"/>
                <w:szCs w:val="16"/>
                <w:spacing w:val="10"/>
              </w:rPr>
              <w:t xml:space="preserve"> </w:t>
            </w:r>
            <w:r>
              <w:rPr>
                <w:sz w:val="16"/>
                <w:szCs w:val="16"/>
                <w:spacing w:val="4"/>
              </w:rPr>
              <w:t>《机动丰驾能优审领和使用发定】</w:t>
            </w:r>
          </w:p>
        </w:tc>
      </w:tr>
      <w:tr>
        <w:trPr>
          <w:trHeight w:val="459" w:hRule="atLeast"/>
        </w:trPr>
        <w:tc>
          <w:tcPr>
            <w:tcW w:w="574" w:type="dxa"/>
            <w:vAlign w:val="top"/>
          </w:tcPr>
          <w:p>
            <w:pPr>
              <w:pStyle w:val="TableText"/>
              <w:ind w:left="154"/>
              <w:spacing w:before="193" w:line="184" w:lineRule="auto"/>
              <w:rPr>
                <w:sz w:val="16"/>
                <w:szCs w:val="16"/>
              </w:rPr>
            </w:pPr>
            <w:r>
              <w:rPr>
                <w:sz w:val="16"/>
                <w:szCs w:val="16"/>
                <w:spacing w:val="-5"/>
              </w:rPr>
              <w:t>106</w:t>
            </w:r>
          </w:p>
        </w:tc>
        <w:tc>
          <w:tcPr>
            <w:tcW w:w="1299" w:type="dxa"/>
            <w:vAlign w:val="top"/>
          </w:tcPr>
          <w:p>
            <w:pPr>
              <w:pStyle w:val="TableText"/>
              <w:ind w:left="400"/>
              <w:spacing w:before="152" w:line="219" w:lineRule="auto"/>
              <w:rPr>
                <w:sz w:val="16"/>
                <w:szCs w:val="16"/>
              </w:rPr>
            </w:pPr>
            <w:r>
              <w:rPr>
                <w:sz w:val="16"/>
                <w:szCs w:val="16"/>
                <w:spacing w:val="-3"/>
              </w:rPr>
              <w:t>公我部</w:t>
            </w:r>
          </w:p>
        </w:tc>
        <w:tc>
          <w:tcPr>
            <w:tcW w:w="1628" w:type="dxa"/>
            <w:vAlign w:val="top"/>
          </w:tcPr>
          <w:p>
            <w:pPr>
              <w:pStyle w:val="TableText"/>
              <w:ind w:left="52"/>
              <w:spacing w:before="152" w:line="219" w:lineRule="auto"/>
              <w:rPr>
                <w:sz w:val="16"/>
                <w:szCs w:val="16"/>
              </w:rPr>
            </w:pPr>
            <w:r>
              <w:rPr>
                <w:sz w:val="16"/>
                <w:szCs w:val="16"/>
                <w:spacing w:val="-1"/>
              </w:rPr>
              <w:t>校车程融资析许时</w:t>
            </w:r>
          </w:p>
        </w:tc>
        <w:tc>
          <w:tcPr>
            <w:tcW w:w="2367" w:type="dxa"/>
            <w:vAlign w:val="top"/>
          </w:tcPr>
          <w:p>
            <w:pPr>
              <w:pStyle w:val="TableText"/>
              <w:ind w:left="74"/>
              <w:spacing w:before="151" w:line="219" w:lineRule="auto"/>
              <w:rPr>
                <w:sz w:val="16"/>
                <w:szCs w:val="16"/>
              </w:rPr>
            </w:pPr>
            <w:r>
              <w:rPr>
                <w:sz w:val="16"/>
                <w:szCs w:val="16"/>
                <w:spacing w:val="-1"/>
              </w:rPr>
              <w:t>论医的市级，县做公安机笑</w:t>
            </w:r>
          </w:p>
        </w:tc>
        <w:tc>
          <w:tcPr>
            <w:tcW w:w="3711" w:type="dxa"/>
            <w:vAlign w:val="top"/>
          </w:tcPr>
          <w:p>
            <w:pPr>
              <w:pStyle w:val="TableText"/>
              <w:spacing w:before="42" w:line="219" w:lineRule="auto"/>
              <w:rPr>
                <w:sz w:val="16"/>
                <w:szCs w:val="16"/>
              </w:rPr>
            </w:pPr>
            <w:r>
              <w:rPr>
                <w:sz w:val="16"/>
                <w:szCs w:val="16"/>
                <w:spacing w:val="-3"/>
              </w:rPr>
              <w:t>《校车安全管理备例3</w:t>
            </w:r>
          </w:p>
          <w:p>
            <w:pPr>
              <w:pStyle w:val="TableText"/>
              <w:spacing w:before="29" w:line="216" w:lineRule="auto"/>
              <w:rPr>
                <w:sz w:val="16"/>
                <w:szCs w:val="16"/>
              </w:rPr>
            </w:pPr>
            <w:r>
              <w:rPr>
                <w:sz w:val="16"/>
                <w:szCs w:val="16"/>
                <w:spacing w:val="-1"/>
              </w:rPr>
              <w:t>《机动车号能证市要和使用规定1</w:t>
            </w:r>
          </w:p>
        </w:tc>
      </w:tr>
      <w:tr>
        <w:trPr>
          <w:trHeight w:val="469" w:hRule="atLeast"/>
        </w:trPr>
        <w:tc>
          <w:tcPr>
            <w:tcW w:w="574" w:type="dxa"/>
            <w:vAlign w:val="top"/>
          </w:tcPr>
          <w:p>
            <w:pPr>
              <w:pStyle w:val="TableText"/>
              <w:ind w:left="154"/>
              <w:spacing w:before="204" w:line="184" w:lineRule="auto"/>
              <w:rPr>
                <w:sz w:val="16"/>
                <w:szCs w:val="16"/>
              </w:rPr>
            </w:pPr>
            <w:r>
              <w:rPr>
                <w:sz w:val="16"/>
                <w:szCs w:val="16"/>
                <w:spacing w:val="-5"/>
              </w:rPr>
              <w:t>104</w:t>
            </w:r>
          </w:p>
        </w:tc>
        <w:tc>
          <w:tcPr>
            <w:tcW w:w="1299" w:type="dxa"/>
            <w:vAlign w:val="top"/>
          </w:tcPr>
          <w:p>
            <w:pPr>
              <w:pStyle w:val="TableText"/>
              <w:ind w:left="400"/>
              <w:spacing w:before="164" w:line="221" w:lineRule="auto"/>
              <w:rPr>
                <w:sz w:val="16"/>
                <w:szCs w:val="16"/>
              </w:rPr>
            </w:pPr>
            <w:r>
              <w:rPr>
                <w:sz w:val="16"/>
                <w:szCs w:val="16"/>
                <w:spacing w:val="-3"/>
              </w:rPr>
              <w:t>公变前</w:t>
            </w:r>
          </w:p>
        </w:tc>
        <w:tc>
          <w:tcPr>
            <w:tcW w:w="1628" w:type="dxa"/>
            <w:vAlign w:val="top"/>
          </w:tcPr>
          <w:p>
            <w:pPr>
              <w:pStyle w:val="TableText"/>
              <w:ind w:left="52"/>
              <w:spacing w:before="163" w:line="219" w:lineRule="auto"/>
              <w:rPr>
                <w:sz w:val="16"/>
                <w:szCs w:val="16"/>
              </w:rPr>
            </w:pPr>
            <w:r>
              <w:rPr>
                <w:sz w:val="16"/>
                <w:szCs w:val="16"/>
                <w:spacing w:val="-2"/>
              </w:rPr>
              <w:t>非权动拿把记</w:t>
            </w:r>
          </w:p>
        </w:tc>
        <w:tc>
          <w:tcPr>
            <w:tcW w:w="2367" w:type="dxa"/>
            <w:vAlign w:val="top"/>
          </w:tcPr>
          <w:p>
            <w:pPr>
              <w:pStyle w:val="TableText"/>
              <w:ind w:left="74" w:firstLine="29"/>
              <w:spacing w:before="53" w:line="234" w:lineRule="auto"/>
              <w:rPr>
                <w:sz w:val="16"/>
                <w:szCs w:val="16"/>
              </w:rPr>
            </w:pPr>
            <w:r>
              <w:rPr>
                <w:sz w:val="16"/>
                <w:szCs w:val="16"/>
              </w:rPr>
              <w:t>查器市公安执美：说区的市酸、</w:t>
            </w:r>
            <w:r>
              <w:rPr>
                <w:sz w:val="16"/>
                <w:szCs w:val="16"/>
                <w:spacing w:val="12"/>
              </w:rPr>
              <w:t xml:space="preserve"> </w:t>
            </w:r>
            <w:r>
              <w:rPr>
                <w:sz w:val="16"/>
                <w:szCs w:val="16"/>
                <w:spacing w:val="-5"/>
              </w:rPr>
              <w:t>鼻城公安机关</w:t>
            </w:r>
          </w:p>
        </w:tc>
        <w:tc>
          <w:tcPr>
            <w:tcW w:w="3711" w:type="dxa"/>
            <w:vAlign w:val="top"/>
          </w:tcPr>
          <w:p>
            <w:pPr>
              <w:pStyle w:val="TableText"/>
              <w:spacing w:before="163" w:line="219" w:lineRule="auto"/>
              <w:rPr>
                <w:sz w:val="16"/>
                <w:szCs w:val="16"/>
              </w:rPr>
            </w:pPr>
            <w:r>
              <w:rPr>
                <w:sz w:val="16"/>
                <w:szCs w:val="16"/>
                <w:spacing w:val="-2"/>
              </w:rPr>
              <w:t>《中作人民共和区道赔交量安全法</w:t>
            </w:r>
          </w:p>
        </w:tc>
      </w:tr>
      <w:tr>
        <w:trPr>
          <w:trHeight w:val="669" w:hRule="atLeast"/>
        </w:trPr>
        <w:tc>
          <w:tcPr>
            <w:tcW w:w="574" w:type="dxa"/>
            <w:vAlign w:val="top"/>
          </w:tcPr>
          <w:p>
            <w:pPr>
              <w:spacing w:line="251" w:lineRule="auto"/>
              <w:rPr>
                <w:rFonts w:ascii="Arial"/>
                <w:sz w:val="21"/>
              </w:rPr>
            </w:pPr>
            <w:r/>
          </w:p>
          <w:p>
            <w:pPr>
              <w:pStyle w:val="TableText"/>
              <w:ind w:left="154"/>
              <w:spacing w:before="52" w:line="184" w:lineRule="auto"/>
              <w:rPr>
                <w:sz w:val="16"/>
                <w:szCs w:val="16"/>
              </w:rPr>
            </w:pPr>
            <w:r>
              <w:rPr>
                <w:sz w:val="16"/>
                <w:szCs w:val="16"/>
                <w:spacing w:val="-5"/>
              </w:rPr>
              <w:t>110</w:t>
            </w:r>
          </w:p>
        </w:tc>
        <w:tc>
          <w:tcPr>
            <w:tcW w:w="1299" w:type="dxa"/>
            <w:vAlign w:val="top"/>
          </w:tcPr>
          <w:p>
            <w:pPr>
              <w:pStyle w:val="TableText"/>
              <w:ind w:left="400"/>
              <w:spacing w:before="265" w:line="220" w:lineRule="auto"/>
              <w:rPr>
                <w:sz w:val="16"/>
                <w:szCs w:val="16"/>
              </w:rPr>
            </w:pPr>
            <w:r>
              <w:rPr>
                <w:sz w:val="16"/>
                <w:szCs w:val="16"/>
                <w:spacing w:val="-3"/>
              </w:rPr>
              <w:t>公安胞</w:t>
            </w:r>
          </w:p>
        </w:tc>
        <w:tc>
          <w:tcPr>
            <w:tcW w:w="1628" w:type="dxa"/>
            <w:vAlign w:val="top"/>
          </w:tcPr>
          <w:p>
            <w:pPr>
              <w:pStyle w:val="TableText"/>
              <w:ind w:left="52" w:right="208"/>
              <w:spacing w:before="175" w:line="220" w:lineRule="auto"/>
              <w:rPr>
                <w:sz w:val="16"/>
                <w:szCs w:val="16"/>
              </w:rPr>
            </w:pPr>
            <w:r>
              <w:rPr>
                <w:sz w:val="16"/>
                <w:szCs w:val="16"/>
                <w:spacing w:val="-1"/>
              </w:rPr>
              <w:t>B所历工交源安全审</w:t>
            </w:r>
            <w:r>
              <w:rPr>
                <w:sz w:val="16"/>
                <w:szCs w:val="16"/>
                <w:spacing w:val="5"/>
              </w:rPr>
              <w:t xml:space="preserve"> </w:t>
            </w:r>
            <w:r>
              <w:rPr>
                <w:sz w:val="16"/>
                <w:szCs w:val="16"/>
              </w:rPr>
              <w:t>查</w:t>
            </w:r>
          </w:p>
        </w:tc>
        <w:tc>
          <w:tcPr>
            <w:tcW w:w="2367" w:type="dxa"/>
            <w:vAlign w:val="top"/>
          </w:tcPr>
          <w:p>
            <w:pPr>
              <w:pStyle w:val="TableText"/>
              <w:ind w:left="74" w:right="49"/>
              <w:spacing w:before="154" w:line="220" w:lineRule="auto"/>
              <w:rPr>
                <w:sz w:val="16"/>
                <w:szCs w:val="16"/>
              </w:rPr>
            </w:pPr>
            <w:r>
              <w:rPr>
                <w:sz w:val="16"/>
                <w:szCs w:val="16"/>
                <w:spacing w:val="-1"/>
              </w:rPr>
              <w:t>青经，设区的重圾，最级处安机</w:t>
            </w:r>
            <w:r>
              <w:rPr>
                <w:sz w:val="16"/>
                <w:szCs w:val="16"/>
                <w:spacing w:val="6"/>
              </w:rPr>
              <w:t xml:space="preserve"> </w:t>
            </w:r>
            <w:r>
              <w:rPr>
                <w:sz w:val="16"/>
                <w:szCs w:val="16"/>
              </w:rPr>
              <w:t>关</w:t>
            </w:r>
          </w:p>
        </w:tc>
        <w:tc>
          <w:tcPr>
            <w:tcW w:w="3711" w:type="dxa"/>
            <w:vAlign w:val="top"/>
          </w:tcPr>
          <w:p>
            <w:pPr>
              <w:pStyle w:val="TableText"/>
              <w:spacing w:before="64" w:line="208" w:lineRule="auto"/>
              <w:rPr>
                <w:sz w:val="16"/>
                <w:szCs w:val="16"/>
              </w:rPr>
            </w:pPr>
            <w:r>
              <w:rPr>
                <w:sz w:val="16"/>
                <w:szCs w:val="16"/>
                <w:spacing w:val="4"/>
              </w:rPr>
              <w:t>《中华人民共和国道路交通安全然】</w:t>
            </w:r>
          </w:p>
          <w:p>
            <w:pPr>
              <w:pStyle w:val="TableText"/>
              <w:ind w:left="79"/>
              <w:spacing w:line="219" w:lineRule="auto"/>
              <w:rPr>
                <w:sz w:val="16"/>
                <w:szCs w:val="16"/>
              </w:rPr>
            </w:pPr>
            <w:r>
              <w:rPr>
                <w:sz w:val="16"/>
                <w:szCs w:val="16"/>
                <w:spacing w:val="-2"/>
              </w:rPr>
              <w:t>4中诉人民其和国公培据》</w:t>
            </w:r>
          </w:p>
          <w:p>
            <w:pPr>
              <w:pStyle w:val="TableText"/>
              <w:spacing w:line="219" w:lineRule="auto"/>
              <w:rPr>
                <w:sz w:val="16"/>
                <w:szCs w:val="16"/>
              </w:rPr>
            </w:pPr>
            <w:r>
              <w:rPr>
                <w:sz w:val="16"/>
                <w:szCs w:val="16"/>
                <w:spacing w:val="-3"/>
              </w:rPr>
              <w:t>《应市进路管理条例》</w:t>
            </w:r>
          </w:p>
        </w:tc>
      </w:tr>
      <w:tr>
        <w:trPr>
          <w:trHeight w:val="514" w:hRule="atLeast"/>
        </w:trPr>
        <w:tc>
          <w:tcPr>
            <w:tcW w:w="574" w:type="dxa"/>
            <w:vAlign w:val="top"/>
          </w:tcPr>
          <w:p>
            <w:pPr>
              <w:pStyle w:val="TableText"/>
              <w:ind w:left="154"/>
              <w:spacing w:before="225" w:line="184" w:lineRule="auto"/>
              <w:rPr>
                <w:sz w:val="16"/>
                <w:szCs w:val="16"/>
              </w:rPr>
            </w:pPr>
            <w:r>
              <w:rPr>
                <w:sz w:val="16"/>
                <w:szCs w:val="16"/>
                <w:spacing w:val="-5"/>
              </w:rPr>
              <w:t>111</w:t>
            </w:r>
          </w:p>
        </w:tc>
        <w:tc>
          <w:tcPr>
            <w:tcW w:w="1299" w:type="dxa"/>
            <w:vAlign w:val="top"/>
          </w:tcPr>
          <w:p>
            <w:pPr>
              <w:pStyle w:val="TableText"/>
              <w:ind w:left="400"/>
              <w:spacing w:before="185" w:line="219" w:lineRule="auto"/>
              <w:rPr>
                <w:sz w:val="16"/>
                <w:szCs w:val="16"/>
              </w:rPr>
            </w:pPr>
            <w:r>
              <w:rPr>
                <w:sz w:val="16"/>
                <w:szCs w:val="16"/>
                <w:spacing w:val="3"/>
              </w:rPr>
              <w:t>公安菌</w:t>
            </w:r>
          </w:p>
        </w:tc>
        <w:tc>
          <w:tcPr>
            <w:tcW w:w="1628" w:type="dxa"/>
            <w:vAlign w:val="top"/>
          </w:tcPr>
          <w:p>
            <w:pPr>
              <w:pStyle w:val="TableText"/>
              <w:ind w:left="52"/>
              <w:spacing w:before="186" w:line="220" w:lineRule="auto"/>
              <w:rPr>
                <w:sz w:val="16"/>
                <w:szCs w:val="16"/>
              </w:rPr>
            </w:pPr>
            <w:r>
              <w:rPr>
                <w:sz w:val="16"/>
                <w:szCs w:val="16"/>
                <w:spacing w:val="-1"/>
              </w:rPr>
              <w:t>户口亚花审批</w:t>
            </w:r>
          </w:p>
        </w:tc>
        <w:tc>
          <w:tcPr>
            <w:tcW w:w="2367" w:type="dxa"/>
            <w:vAlign w:val="top"/>
          </w:tcPr>
          <w:p>
            <w:pPr>
              <w:pStyle w:val="TableText"/>
              <w:ind w:left="74" w:right="123"/>
              <w:spacing w:before="75" w:line="236" w:lineRule="auto"/>
              <w:rPr>
                <w:sz w:val="16"/>
                <w:szCs w:val="16"/>
              </w:rPr>
            </w:pPr>
            <w:r>
              <w:rPr>
                <w:sz w:val="16"/>
                <w:szCs w:val="16"/>
                <w:spacing w:val="-1"/>
              </w:rPr>
              <w:t>直露市公安拼关1程试再市级，</w:t>
            </w:r>
            <w:r>
              <w:rPr>
                <w:sz w:val="16"/>
                <w:szCs w:val="16"/>
                <w:spacing w:val="12"/>
              </w:rPr>
              <w:t xml:space="preserve"> </w:t>
            </w:r>
            <w:r>
              <w:rPr>
                <w:sz w:val="16"/>
                <w:szCs w:val="16"/>
                <w:spacing w:val="1"/>
              </w:rPr>
              <w:t>易继公女机关</w:t>
            </w:r>
          </w:p>
        </w:tc>
        <w:tc>
          <w:tcPr>
            <w:tcW w:w="3711" w:type="dxa"/>
            <w:vAlign w:val="top"/>
          </w:tcPr>
          <w:p>
            <w:pPr>
              <w:pStyle w:val="TableText"/>
              <w:spacing w:before="185" w:line="219" w:lineRule="auto"/>
              <w:rPr>
                <w:sz w:val="16"/>
                <w:szCs w:val="16"/>
              </w:rPr>
            </w:pPr>
            <w:r>
              <w:rPr>
                <w:sz w:val="16"/>
                <w:szCs w:val="16"/>
                <w:spacing w:val="-3"/>
              </w:rPr>
              <w:t>《中华人民共和国户日登记备例</w:t>
            </w:r>
          </w:p>
        </w:tc>
      </w:tr>
    </w:tbl>
    <w:p>
      <w:pPr>
        <w:pStyle w:val="BodyText"/>
        <w:rPr/>
      </w:pPr>
      <w:r/>
    </w:p>
    <w:p>
      <w:pPr>
        <w:sectPr>
          <w:pgSz w:w="11910" w:h="8220"/>
          <w:pgMar w:top="400" w:right="1185" w:bottom="400" w:left="801" w:header="0" w:footer="0" w:gutter="0"/>
        </w:sectPr>
        <w:rPr/>
      </w:pPr>
    </w:p>
    <w:p>
      <w:pPr>
        <w:spacing w:before="103"/>
        <w:rPr/>
      </w:pPr>
      <w:r>
        <mc:AlternateContent xmlns:mc="http://schemas.openxmlformats.org/markup-compatibility/2006">
          <mc:Choice Requires="wps">
            <w:drawing>
              <wp:anchor distT="0" distB="0" distL="0" distR="0" simplePos="0" relativeHeight="25183232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184" name="TextBox 18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6" style="position:absolute;margin-left:37.3042pt;margin-top:345.874pt;mso-position-vertical-relative:page;mso-position-horizontal-relative:page;width:13.1pt;height:12.4pt;z-index:25183232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173</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56"/>
              <w:spacing w:before="128" w:line="219" w:lineRule="auto"/>
              <w:rPr>
                <w:sz w:val="16"/>
                <w:szCs w:val="16"/>
              </w:rPr>
            </w:pPr>
            <w:r>
              <w:rPr>
                <w:sz w:val="16"/>
                <w:szCs w:val="16"/>
                <w:b/>
                <w:bCs/>
                <w:spacing w:val="-3"/>
              </w:rPr>
              <w:t>卖施机关</w:t>
            </w:r>
          </w:p>
        </w:tc>
        <w:tc>
          <w:tcPr>
            <w:tcW w:w="3711" w:type="dxa"/>
            <w:vAlign w:val="top"/>
          </w:tcPr>
          <w:p>
            <w:pPr>
              <w:pStyle w:val="TableText"/>
              <w:ind w:left="1296"/>
              <w:spacing w:before="130" w:line="219" w:lineRule="auto"/>
              <w:rPr>
                <w:sz w:val="16"/>
                <w:szCs w:val="16"/>
              </w:rPr>
            </w:pPr>
            <w:r>
              <w:rPr>
                <w:sz w:val="16"/>
                <w:szCs w:val="16"/>
                <w:spacing w:val="-2"/>
              </w:rPr>
              <w:t>设定和实施依据</w:t>
            </w:r>
          </w:p>
        </w:tc>
      </w:tr>
      <w:tr>
        <w:trPr>
          <w:trHeight w:val="499" w:hRule="atLeast"/>
        </w:trPr>
        <w:tc>
          <w:tcPr>
            <w:tcW w:w="574" w:type="dxa"/>
            <w:vAlign w:val="top"/>
          </w:tcPr>
          <w:p>
            <w:pPr>
              <w:pStyle w:val="TableText"/>
              <w:ind w:left="154"/>
              <w:spacing w:before="207" w:line="184" w:lineRule="auto"/>
              <w:rPr>
                <w:sz w:val="16"/>
                <w:szCs w:val="16"/>
              </w:rPr>
            </w:pPr>
            <w:r>
              <w:rPr>
                <w:sz w:val="16"/>
                <w:szCs w:val="16"/>
                <w:spacing w:val="-5"/>
              </w:rPr>
              <w:t>112</w:t>
            </w:r>
          </w:p>
        </w:tc>
        <w:tc>
          <w:tcPr>
            <w:tcW w:w="1299" w:type="dxa"/>
            <w:vAlign w:val="top"/>
          </w:tcPr>
          <w:p>
            <w:pPr>
              <w:pStyle w:val="TableText"/>
              <w:ind w:left="400"/>
              <w:spacing w:before="167" w:line="219" w:lineRule="auto"/>
              <w:rPr>
                <w:sz w:val="16"/>
                <w:szCs w:val="16"/>
              </w:rPr>
            </w:pPr>
            <w:r>
              <w:rPr>
                <w:sz w:val="16"/>
                <w:szCs w:val="16"/>
                <w:spacing w:val="-3"/>
              </w:rPr>
              <w:t>公安部</w:t>
            </w:r>
          </w:p>
        </w:tc>
        <w:tc>
          <w:tcPr>
            <w:tcW w:w="1638" w:type="dxa"/>
            <w:vAlign w:val="top"/>
          </w:tcPr>
          <w:p>
            <w:pPr>
              <w:pStyle w:val="TableText"/>
              <w:ind w:left="52"/>
              <w:spacing w:before="167" w:line="219" w:lineRule="auto"/>
              <w:rPr>
                <w:sz w:val="16"/>
                <w:szCs w:val="16"/>
              </w:rPr>
            </w:pPr>
            <w:r>
              <w:rPr>
                <w:sz w:val="16"/>
                <w:szCs w:val="16"/>
                <w:spacing w:val="-1"/>
              </w:rPr>
              <w:t>犬类准养证核发</w:t>
            </w:r>
          </w:p>
        </w:tc>
        <w:tc>
          <w:tcPr>
            <w:tcW w:w="2367" w:type="dxa"/>
            <w:vAlign w:val="top"/>
          </w:tcPr>
          <w:p>
            <w:pPr>
              <w:pStyle w:val="TableText"/>
              <w:ind w:left="64" w:right="49" w:hanging="10"/>
              <w:spacing w:before="56" w:line="248" w:lineRule="auto"/>
              <w:rPr>
                <w:sz w:val="16"/>
                <w:szCs w:val="16"/>
              </w:rPr>
            </w:pPr>
            <w:r>
              <w:rPr>
                <w:sz w:val="16"/>
                <w:szCs w:val="16"/>
              </w:rPr>
              <w:t>县级公安机关或者直端市，食区</w:t>
            </w:r>
            <w:r>
              <w:rPr>
                <w:sz w:val="16"/>
                <w:szCs w:val="16"/>
                <w:spacing w:val="12"/>
              </w:rPr>
              <w:t xml:space="preserve"> </w:t>
            </w:r>
            <w:r>
              <w:rPr>
                <w:sz w:val="16"/>
                <w:szCs w:val="16"/>
                <w:spacing w:val="1"/>
              </w:rPr>
              <w:t>的市级政府指定部门</w:t>
            </w:r>
          </w:p>
        </w:tc>
        <w:tc>
          <w:tcPr>
            <w:tcW w:w="3711" w:type="dxa"/>
            <w:vAlign w:val="top"/>
          </w:tcPr>
          <w:p>
            <w:pPr>
              <w:pStyle w:val="TableText"/>
              <w:ind w:left="56"/>
              <w:spacing w:before="77" w:line="219" w:lineRule="auto"/>
              <w:rPr>
                <w:sz w:val="16"/>
                <w:szCs w:val="16"/>
              </w:rPr>
            </w:pPr>
            <w:r>
              <w:rPr>
                <w:sz w:val="16"/>
                <w:szCs w:val="16"/>
                <w:spacing w:val="-1"/>
              </w:rPr>
              <w:t>1中华人民共和回动物防疫法》</w:t>
            </w:r>
          </w:p>
          <w:p>
            <w:pPr>
              <w:pStyle w:val="TableText"/>
              <w:ind w:left="56"/>
              <w:spacing w:before="9" w:line="219" w:lineRule="auto"/>
              <w:rPr>
                <w:sz w:val="16"/>
                <w:szCs w:val="16"/>
              </w:rPr>
            </w:pPr>
            <w:r>
              <w:rPr>
                <w:sz w:val="16"/>
                <w:szCs w:val="16"/>
              </w:rPr>
              <w:t>1中甲人民共和团传染购防的法实施办法1</w:t>
            </w:r>
          </w:p>
        </w:tc>
      </w:tr>
      <w:tr>
        <w:trPr>
          <w:trHeight w:val="689" w:hRule="atLeast"/>
        </w:trPr>
        <w:tc>
          <w:tcPr>
            <w:tcW w:w="574" w:type="dxa"/>
            <w:vAlign w:val="top"/>
          </w:tcPr>
          <w:p>
            <w:pPr>
              <w:spacing w:line="255" w:lineRule="auto"/>
              <w:rPr>
                <w:rFonts w:ascii="Arial"/>
                <w:sz w:val="21"/>
              </w:rPr>
            </w:pPr>
            <w:r/>
          </w:p>
          <w:p>
            <w:pPr>
              <w:pStyle w:val="TableText"/>
              <w:ind w:left="154"/>
              <w:spacing w:before="52" w:line="184" w:lineRule="auto"/>
              <w:rPr>
                <w:sz w:val="16"/>
                <w:szCs w:val="16"/>
              </w:rPr>
            </w:pPr>
            <w:r>
              <w:rPr>
                <w:sz w:val="16"/>
                <w:szCs w:val="16"/>
                <w:spacing w:val="-5"/>
              </w:rPr>
              <w:t>113</w:t>
            </w:r>
          </w:p>
        </w:tc>
        <w:tc>
          <w:tcPr>
            <w:tcW w:w="1299" w:type="dxa"/>
            <w:vAlign w:val="top"/>
          </w:tcPr>
          <w:p>
            <w:pPr>
              <w:pStyle w:val="TableText"/>
              <w:ind w:left="400"/>
              <w:spacing w:before="268" w:line="219" w:lineRule="auto"/>
              <w:rPr>
                <w:sz w:val="16"/>
                <w:szCs w:val="16"/>
              </w:rPr>
            </w:pPr>
            <w:r>
              <w:rPr>
                <w:sz w:val="16"/>
                <w:szCs w:val="16"/>
                <w:spacing w:val="-3"/>
              </w:rPr>
              <w:t>安全部</w:t>
            </w:r>
          </w:p>
        </w:tc>
        <w:tc>
          <w:tcPr>
            <w:tcW w:w="1638" w:type="dxa"/>
            <w:vAlign w:val="top"/>
          </w:tcPr>
          <w:p>
            <w:pPr>
              <w:pStyle w:val="TableText"/>
              <w:ind w:left="62" w:right="83" w:firstLine="30"/>
              <w:spacing w:before="178" w:line="220" w:lineRule="auto"/>
              <w:rPr>
                <w:sz w:val="16"/>
                <w:szCs w:val="16"/>
              </w:rPr>
            </w:pPr>
            <w:r>
              <w:rPr>
                <w:sz w:val="16"/>
                <w:szCs w:val="16"/>
                <w:spacing w:val="1"/>
              </w:rPr>
              <w:t>部及国家安全事项的</w:t>
            </w:r>
            <w:r>
              <w:rPr>
                <w:sz w:val="16"/>
                <w:szCs w:val="16"/>
                <w:spacing w:val="2"/>
              </w:rPr>
              <w:t xml:space="preserve"> </w:t>
            </w:r>
            <w:r>
              <w:rPr>
                <w:sz w:val="16"/>
                <w:szCs w:val="16"/>
                <w:spacing w:val="-2"/>
              </w:rPr>
              <w:t>建设项目审批</w:t>
            </w:r>
          </w:p>
        </w:tc>
        <w:tc>
          <w:tcPr>
            <w:tcW w:w="2367" w:type="dxa"/>
            <w:vAlign w:val="top"/>
          </w:tcPr>
          <w:p>
            <w:pPr>
              <w:pStyle w:val="TableText"/>
              <w:ind w:left="54"/>
              <w:spacing w:before="267" w:line="219" w:lineRule="auto"/>
              <w:rPr>
                <w:sz w:val="16"/>
                <w:szCs w:val="16"/>
              </w:rPr>
            </w:pPr>
            <w:r>
              <w:rPr>
                <w:sz w:val="16"/>
                <w:szCs w:val="16"/>
                <w:spacing w:val="-1"/>
              </w:rPr>
              <w:t>没区的市级国家安全机关</w:t>
            </w:r>
          </w:p>
        </w:tc>
        <w:tc>
          <w:tcPr>
            <w:tcW w:w="3711" w:type="dxa"/>
            <w:vAlign w:val="top"/>
          </w:tcPr>
          <w:p>
            <w:pPr>
              <w:pStyle w:val="TableText"/>
              <w:ind w:left="56"/>
              <w:spacing w:before="68" w:line="219" w:lineRule="auto"/>
              <w:rPr>
                <w:sz w:val="16"/>
                <w:szCs w:val="16"/>
              </w:rPr>
            </w:pPr>
            <w:r>
              <w:rPr>
                <w:sz w:val="16"/>
                <w:szCs w:val="16"/>
                <w:spacing w:val="5"/>
              </w:rPr>
              <w:t>1中作人民共和国国家安全法】</w:t>
            </w:r>
          </w:p>
          <w:p>
            <w:pPr>
              <w:pStyle w:val="TableText"/>
              <w:ind w:left="56" w:right="299" w:hanging="10"/>
              <w:spacing w:before="19" w:line="209" w:lineRule="auto"/>
              <w:rPr>
                <w:sz w:val="16"/>
                <w:szCs w:val="16"/>
              </w:rPr>
            </w:pPr>
            <w:r>
              <w:rPr>
                <w:sz w:val="16"/>
                <w:szCs w:val="16"/>
                <w:spacing w:val="-1"/>
              </w:rPr>
              <w:t>酬务院对确需保前的行政审批填目设定行政许可</w:t>
            </w:r>
            <w:r>
              <w:rPr>
                <w:sz w:val="16"/>
                <w:szCs w:val="16"/>
                <w:spacing w:val="14"/>
              </w:rPr>
              <w:t xml:space="preserve"> </w:t>
            </w:r>
            <w:r>
              <w:rPr>
                <w:sz w:val="16"/>
                <w:szCs w:val="16"/>
                <w:spacing w:val="8"/>
              </w:rPr>
              <w:t>的庆应)</w:t>
            </w:r>
          </w:p>
        </w:tc>
      </w:tr>
      <w:tr>
        <w:trPr>
          <w:trHeight w:val="1508" w:hRule="atLeast"/>
        </w:trPr>
        <w:tc>
          <w:tcPr>
            <w:tcW w:w="574" w:type="dxa"/>
            <w:vAlign w:val="top"/>
          </w:tcPr>
          <w:p>
            <w:pPr>
              <w:spacing w:line="331" w:lineRule="auto"/>
              <w:rPr>
                <w:rFonts w:ascii="Arial"/>
                <w:sz w:val="21"/>
              </w:rPr>
            </w:pPr>
            <w:r/>
          </w:p>
          <w:p>
            <w:pPr>
              <w:spacing w:line="332" w:lineRule="auto"/>
              <w:rPr>
                <w:rFonts w:ascii="Arial"/>
                <w:sz w:val="21"/>
              </w:rPr>
            </w:pPr>
            <w:r/>
          </w:p>
          <w:p>
            <w:pPr>
              <w:pStyle w:val="TableText"/>
              <w:ind w:left="154"/>
              <w:spacing w:before="52" w:line="184" w:lineRule="auto"/>
              <w:rPr>
                <w:sz w:val="16"/>
                <w:szCs w:val="16"/>
              </w:rPr>
            </w:pPr>
            <w:r>
              <w:rPr>
                <w:sz w:val="16"/>
                <w:szCs w:val="16"/>
                <w:spacing w:val="-5"/>
              </w:rPr>
              <w:t>114</w:t>
            </w:r>
          </w:p>
        </w:tc>
        <w:tc>
          <w:tcPr>
            <w:tcW w:w="1299" w:type="dxa"/>
            <w:vAlign w:val="top"/>
          </w:tcPr>
          <w:p>
            <w:pPr>
              <w:spacing w:line="311" w:lineRule="auto"/>
              <w:rPr>
                <w:rFonts w:ascii="Arial"/>
                <w:sz w:val="21"/>
              </w:rPr>
            </w:pPr>
            <w:r/>
          </w:p>
          <w:p>
            <w:pPr>
              <w:spacing w:line="312" w:lineRule="auto"/>
              <w:rPr>
                <w:rFonts w:ascii="Arial"/>
                <w:sz w:val="21"/>
              </w:rPr>
            </w:pPr>
            <w:r/>
          </w:p>
          <w:p>
            <w:pPr>
              <w:pStyle w:val="TableText"/>
              <w:ind w:left="400"/>
              <w:spacing w:before="52" w:line="219" w:lineRule="auto"/>
              <w:rPr>
                <w:sz w:val="16"/>
                <w:szCs w:val="16"/>
              </w:rPr>
            </w:pPr>
            <w:r>
              <w:rPr>
                <w:sz w:val="16"/>
                <w:szCs w:val="16"/>
                <w:spacing w:val="2"/>
              </w:rPr>
              <w:t>民政部</w:t>
            </w:r>
          </w:p>
        </w:tc>
        <w:tc>
          <w:tcPr>
            <w:tcW w:w="1638" w:type="dxa"/>
            <w:vAlign w:val="top"/>
          </w:tcPr>
          <w:p>
            <w:pPr>
              <w:spacing w:line="443" w:lineRule="auto"/>
              <w:rPr>
                <w:rFonts w:ascii="Arial"/>
                <w:sz w:val="21"/>
              </w:rPr>
            </w:pPr>
            <w:r/>
          </w:p>
          <w:p>
            <w:pPr>
              <w:pStyle w:val="TableText"/>
              <w:ind w:left="42" w:right="62" w:firstLine="10"/>
              <w:spacing w:before="52" w:line="217" w:lineRule="auto"/>
              <w:jc w:val="both"/>
              <w:rPr>
                <w:sz w:val="16"/>
                <w:szCs w:val="16"/>
              </w:rPr>
            </w:pPr>
            <w:r>
              <w:rPr>
                <w:sz w:val="16"/>
                <w:szCs w:val="16"/>
                <w:spacing w:val="-1"/>
              </w:rPr>
              <w:t>基金会设立、变重.注</w:t>
            </w:r>
            <w:r>
              <w:rPr>
                <w:sz w:val="16"/>
                <w:szCs w:val="16"/>
                <w:spacing w:val="2"/>
              </w:rPr>
              <w:t xml:space="preserve"> </w:t>
            </w:r>
            <w:r>
              <w:rPr>
                <w:sz w:val="16"/>
                <w:szCs w:val="16"/>
                <w:spacing w:val="4"/>
              </w:rPr>
              <w:t>销登记及修改重积机</w:t>
            </w:r>
            <w:r>
              <w:rPr>
                <w:sz w:val="16"/>
                <w:szCs w:val="16"/>
                <w:spacing w:val="6"/>
              </w:rPr>
              <w:t xml:space="preserve"> </w:t>
            </w:r>
            <w:r>
              <w:rPr>
                <w:sz w:val="16"/>
                <w:szCs w:val="16"/>
              </w:rPr>
              <w:t>准</w:t>
            </w:r>
          </w:p>
        </w:tc>
        <w:tc>
          <w:tcPr>
            <w:tcW w:w="2367" w:type="dxa"/>
            <w:vAlign w:val="top"/>
          </w:tcPr>
          <w:p>
            <w:pPr>
              <w:pStyle w:val="TableText"/>
              <w:ind w:left="54" w:right="54" w:firstLine="39"/>
              <w:spacing w:before="90" w:line="229" w:lineRule="auto"/>
              <w:rPr>
                <w:sz w:val="16"/>
                <w:szCs w:val="16"/>
              </w:rPr>
            </w:pPr>
            <w:r>
              <w:rPr>
                <w:sz w:val="16"/>
                <w:szCs w:val="16"/>
              </w:rPr>
              <w:t>民政部(买行登记管理机关和业</w:t>
            </w:r>
            <w:r>
              <w:rPr>
                <w:sz w:val="16"/>
                <w:szCs w:val="16"/>
                <w:spacing w:val="4"/>
              </w:rPr>
              <w:t xml:space="preserve"> </w:t>
            </w:r>
            <w:r>
              <w:rPr>
                <w:sz w:val="16"/>
                <w:szCs w:val="16"/>
                <w:spacing w:val="5"/>
              </w:rPr>
              <w:t>务主管单位从重负责肾现体解</w:t>
            </w:r>
            <w:r>
              <w:rPr>
                <w:sz w:val="16"/>
                <w:szCs w:val="16"/>
                <w:spacing w:val="3"/>
              </w:rPr>
              <w:t xml:space="preserve">  </w:t>
            </w:r>
            <w:r>
              <w:rPr>
                <w:sz w:val="16"/>
                <w:szCs w:val="16"/>
              </w:rPr>
              <w:t>的，由有关业务主管单设安施前</w:t>
            </w:r>
            <w:r>
              <w:rPr>
                <w:sz w:val="16"/>
                <w:szCs w:val="16"/>
                <w:spacing w:val="7"/>
              </w:rPr>
              <w:t xml:space="preserve"> </w:t>
            </w:r>
            <w:r>
              <w:rPr>
                <w:sz w:val="16"/>
                <w:szCs w:val="16"/>
                <w:spacing w:val="1"/>
              </w:rPr>
              <w:t>置审查):省度民政部门(实行春 </w:t>
            </w:r>
            <w:r>
              <w:rPr>
                <w:sz w:val="16"/>
                <w:szCs w:val="16"/>
                <w:spacing w:val="5"/>
              </w:rPr>
              <w:t>记管理机关和业务主管单位双</w:t>
            </w:r>
            <w:r>
              <w:rPr>
                <w:sz w:val="16"/>
                <w:szCs w:val="16"/>
                <w:spacing w:val="4"/>
              </w:rPr>
              <w:t xml:space="preserve">  </w:t>
            </w:r>
            <w:r>
              <w:rPr>
                <w:sz w:val="16"/>
                <w:szCs w:val="16"/>
                <w:spacing w:val="-1"/>
              </w:rPr>
              <w:t>重负贵管理体智的，由有关量务</w:t>
            </w:r>
            <w:r>
              <w:rPr>
                <w:sz w:val="16"/>
                <w:szCs w:val="16"/>
                <w:spacing w:val="6"/>
              </w:rPr>
              <w:t xml:space="preserve"> </w:t>
            </w:r>
            <w:r>
              <w:rPr>
                <w:sz w:val="16"/>
                <w:szCs w:val="16"/>
                <w:spacing w:val="4"/>
              </w:rPr>
              <w:t>七管单位实草前置审查)</w:t>
            </w:r>
          </w:p>
        </w:tc>
        <w:tc>
          <w:tcPr>
            <w:tcW w:w="3711" w:type="dxa"/>
            <w:vAlign w:val="top"/>
          </w:tcPr>
          <w:p>
            <w:pPr>
              <w:spacing w:line="311" w:lineRule="auto"/>
              <w:rPr>
                <w:rFonts w:ascii="Arial"/>
                <w:sz w:val="21"/>
              </w:rPr>
            </w:pPr>
            <w:r/>
          </w:p>
          <w:p>
            <w:pPr>
              <w:spacing w:line="311" w:lineRule="auto"/>
              <w:rPr>
                <w:rFonts w:ascii="Arial"/>
                <w:sz w:val="21"/>
              </w:rPr>
            </w:pPr>
            <w:r/>
          </w:p>
          <w:p>
            <w:pPr>
              <w:pStyle w:val="TableText"/>
              <w:ind w:left="56"/>
              <w:spacing w:before="52" w:line="219" w:lineRule="auto"/>
              <w:rPr>
                <w:sz w:val="16"/>
                <w:szCs w:val="16"/>
              </w:rPr>
            </w:pPr>
            <w:r>
              <w:rPr>
                <w:sz w:val="16"/>
                <w:szCs w:val="16"/>
                <w:spacing w:val="3"/>
              </w:rPr>
              <w:t>1某金会管理染网)</w:t>
            </w:r>
          </w:p>
        </w:tc>
      </w:tr>
      <w:tr>
        <w:trPr>
          <w:trHeight w:val="1708" w:hRule="atLeast"/>
        </w:trPr>
        <w:tc>
          <w:tcPr>
            <w:tcW w:w="57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54"/>
              <w:spacing w:before="52" w:line="184" w:lineRule="auto"/>
              <w:rPr>
                <w:sz w:val="16"/>
                <w:szCs w:val="16"/>
              </w:rPr>
            </w:pPr>
            <w:r>
              <w:rPr>
                <w:sz w:val="16"/>
                <w:szCs w:val="16"/>
                <w:spacing w:val="-5"/>
              </w:rPr>
              <w:t>115</w:t>
            </w:r>
          </w:p>
        </w:tc>
        <w:tc>
          <w:tcPr>
            <w:tcW w:w="129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00"/>
              <w:spacing w:before="52" w:line="219" w:lineRule="auto"/>
              <w:rPr>
                <w:sz w:val="16"/>
                <w:szCs w:val="16"/>
              </w:rPr>
            </w:pPr>
            <w:r>
              <w:rPr>
                <w:sz w:val="16"/>
                <w:szCs w:val="16"/>
                <w:spacing w:val="2"/>
              </w:rPr>
              <w:t>民政部</w:t>
            </w:r>
          </w:p>
        </w:tc>
        <w:tc>
          <w:tcPr>
            <w:tcW w:w="1638" w:type="dxa"/>
            <w:vAlign w:val="top"/>
          </w:tcPr>
          <w:p>
            <w:pPr>
              <w:spacing w:line="263" w:lineRule="auto"/>
              <w:rPr>
                <w:rFonts w:ascii="Arial"/>
                <w:sz w:val="21"/>
              </w:rPr>
            </w:pPr>
            <w:r/>
          </w:p>
          <w:p>
            <w:pPr>
              <w:spacing w:line="263" w:lineRule="auto"/>
              <w:rPr>
                <w:rFonts w:ascii="Arial"/>
                <w:sz w:val="21"/>
              </w:rPr>
            </w:pPr>
            <w:r/>
          </w:p>
          <w:p>
            <w:pPr>
              <w:pStyle w:val="TableText"/>
              <w:ind w:left="52"/>
              <w:spacing w:before="52" w:line="227" w:lineRule="auto"/>
              <w:jc w:val="both"/>
              <w:rPr>
                <w:sz w:val="16"/>
                <w:szCs w:val="16"/>
              </w:rPr>
            </w:pPr>
            <w:r>
              <w:rPr>
                <w:sz w:val="16"/>
                <w:szCs w:val="16"/>
                <w:spacing w:val="-3"/>
              </w:rPr>
              <w:t>社会团体成立、受更，</w:t>
            </w:r>
            <w:r>
              <w:rPr>
                <w:sz w:val="16"/>
                <w:szCs w:val="16"/>
                <w:spacing w:val="4"/>
              </w:rPr>
              <w:t xml:space="preserve"> </w:t>
            </w:r>
            <w:r>
              <w:rPr>
                <w:sz w:val="16"/>
                <w:szCs w:val="16"/>
                <w:spacing w:val="1"/>
              </w:rPr>
              <w:t>在航登记及修改章程  </w:t>
            </w:r>
            <w:r>
              <w:rPr>
                <w:sz w:val="16"/>
                <w:szCs w:val="16"/>
                <w:spacing w:val="-3"/>
              </w:rPr>
              <w:t>植推</w:t>
            </w:r>
          </w:p>
        </w:tc>
        <w:tc>
          <w:tcPr>
            <w:tcW w:w="2367" w:type="dxa"/>
            <w:vAlign w:val="top"/>
          </w:tcPr>
          <w:p>
            <w:pPr>
              <w:pStyle w:val="TableText"/>
              <w:ind w:left="54" w:right="54" w:firstLine="39"/>
              <w:spacing w:before="71" w:line="234" w:lineRule="auto"/>
              <w:rPr>
                <w:sz w:val="16"/>
                <w:szCs w:val="16"/>
              </w:rPr>
            </w:pPr>
            <w:r>
              <w:rPr>
                <w:sz w:val="16"/>
                <w:szCs w:val="16"/>
              </w:rPr>
              <w:t>民政部(第行登记管理机美和业</w:t>
            </w:r>
            <w:r>
              <w:rPr>
                <w:sz w:val="16"/>
                <w:szCs w:val="16"/>
                <w:spacing w:val="4"/>
              </w:rPr>
              <w:t xml:space="preserve"> </w:t>
            </w:r>
            <w:r>
              <w:rPr>
                <w:sz w:val="16"/>
                <w:szCs w:val="16"/>
                <w:spacing w:val="7"/>
              </w:rPr>
              <w:t>务主管单位双重负要管理体则</w:t>
            </w:r>
            <w:r>
              <w:rPr>
                <w:sz w:val="16"/>
                <w:szCs w:val="16"/>
                <w:spacing w:val="1"/>
              </w:rPr>
              <w:t xml:space="preserve">  </w:t>
            </w:r>
            <w:r>
              <w:rPr>
                <w:sz w:val="16"/>
                <w:szCs w:val="16"/>
              </w:rPr>
              <w:t>的，由有关变寺主管单议实趋前</w:t>
            </w:r>
            <w:r>
              <w:rPr>
                <w:sz w:val="16"/>
                <w:szCs w:val="16"/>
                <w:spacing w:val="7"/>
              </w:rPr>
              <w:t xml:space="preserve"> </w:t>
            </w:r>
            <w:r>
              <w:rPr>
                <w:sz w:val="16"/>
                <w:szCs w:val="16"/>
                <w:spacing w:val="-1"/>
              </w:rPr>
              <w:t>置审查；省饭，设茎的市级，县</w:t>
            </w:r>
            <w:r>
              <w:rPr>
                <w:sz w:val="16"/>
                <w:szCs w:val="16"/>
                <w:spacing w:val="8"/>
              </w:rPr>
              <w:t xml:space="preserve"> </w:t>
            </w:r>
            <w:r>
              <w:rPr>
                <w:sz w:val="16"/>
                <w:szCs w:val="16"/>
                <w:spacing w:val="1"/>
              </w:rPr>
              <w:t>风民政国门(实行登己管  机关 </w:t>
            </w:r>
            <w:r>
              <w:rPr>
                <w:sz w:val="16"/>
                <w:szCs w:val="16"/>
                <w:spacing w:val="5"/>
              </w:rPr>
              <w:t>和业务主营单位双重负资管理</w:t>
            </w:r>
            <w:r>
              <w:rPr>
                <w:sz w:val="16"/>
                <w:szCs w:val="16"/>
                <w:spacing w:val="3"/>
              </w:rPr>
              <w:t xml:space="preserve">  </w:t>
            </w:r>
            <w:r>
              <w:rPr>
                <w:sz w:val="16"/>
                <w:szCs w:val="16"/>
                <w:spacing w:val="-1"/>
              </w:rPr>
              <w:t>体制的，由有天业务主管年位卖</w:t>
            </w:r>
          </w:p>
          <w:p>
            <w:pPr>
              <w:pStyle w:val="TableText"/>
              <w:ind w:left="44"/>
              <w:spacing w:line="220" w:lineRule="auto"/>
              <w:rPr>
                <w:sz w:val="16"/>
                <w:szCs w:val="16"/>
              </w:rPr>
            </w:pPr>
            <w:r>
              <w:rPr>
                <w:sz w:val="16"/>
                <w:szCs w:val="16"/>
                <w:spacing w:val="-1"/>
              </w:rPr>
              <w:t>施前置审查</w:t>
            </w:r>
          </w:p>
        </w:tc>
        <w:tc>
          <w:tcPr>
            <w:tcW w:w="3711"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56"/>
              <w:spacing w:before="52" w:line="219" w:lineRule="auto"/>
              <w:rPr>
                <w:sz w:val="16"/>
                <w:szCs w:val="16"/>
              </w:rPr>
            </w:pPr>
            <w:r>
              <w:rPr>
                <w:sz w:val="16"/>
                <w:szCs w:val="16"/>
                <w:spacing w:val="1"/>
              </w:rPr>
              <w:t>1社会即体登记管理黄调1</w:t>
            </w:r>
          </w:p>
        </w:tc>
      </w:tr>
      <w:tr>
        <w:trPr>
          <w:trHeight w:val="1812" w:hRule="atLeast"/>
        </w:trPr>
        <w:tc>
          <w:tcPr>
            <w:tcW w:w="574"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54"/>
              <w:spacing w:before="52" w:line="184" w:lineRule="auto"/>
              <w:rPr>
                <w:sz w:val="16"/>
                <w:szCs w:val="16"/>
              </w:rPr>
            </w:pPr>
            <w:r>
              <w:rPr>
                <w:sz w:val="16"/>
                <w:szCs w:val="16"/>
                <w:spacing w:val="-5"/>
              </w:rPr>
              <w:t>13#</w:t>
            </w:r>
          </w:p>
        </w:tc>
        <w:tc>
          <w:tcPr>
            <w:tcW w:w="1299"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00"/>
              <w:spacing w:before="52" w:line="219" w:lineRule="auto"/>
              <w:rPr>
                <w:sz w:val="16"/>
                <w:szCs w:val="16"/>
              </w:rPr>
            </w:pPr>
            <w:r>
              <w:rPr>
                <w:sz w:val="16"/>
                <w:szCs w:val="16"/>
                <w:spacing w:val="2"/>
              </w:rPr>
              <w:t>民政部</w:t>
            </w:r>
          </w:p>
        </w:tc>
        <w:tc>
          <w:tcPr>
            <w:tcW w:w="1638" w:type="dxa"/>
            <w:vAlign w:val="top"/>
          </w:tcPr>
          <w:p>
            <w:pPr>
              <w:spacing w:line="289" w:lineRule="auto"/>
              <w:rPr>
                <w:rFonts w:ascii="Arial"/>
                <w:sz w:val="21"/>
              </w:rPr>
            </w:pPr>
            <w:r/>
          </w:p>
          <w:p>
            <w:pPr>
              <w:spacing w:line="289" w:lineRule="auto"/>
              <w:rPr>
                <w:rFonts w:ascii="Arial"/>
                <w:sz w:val="21"/>
              </w:rPr>
            </w:pPr>
            <w:r/>
          </w:p>
          <w:p>
            <w:pPr>
              <w:pStyle w:val="TableText"/>
              <w:ind w:left="171"/>
              <w:spacing w:before="52" w:line="219" w:lineRule="auto"/>
              <w:rPr>
                <w:sz w:val="16"/>
                <w:szCs w:val="16"/>
              </w:rPr>
            </w:pPr>
            <w:r>
              <w:rPr>
                <w:sz w:val="16"/>
                <w:szCs w:val="16"/>
              </w:rPr>
              <w:t>民办非企业单位成</w:t>
            </w:r>
          </w:p>
          <w:p>
            <w:pPr>
              <w:pStyle w:val="TableText"/>
              <w:ind w:left="51" w:right="22" w:hanging="40"/>
              <w:spacing w:before="31" w:line="212" w:lineRule="auto"/>
              <w:rPr>
                <w:sz w:val="16"/>
                <w:szCs w:val="16"/>
              </w:rPr>
            </w:pPr>
            <w:r>
              <w:rPr>
                <w:sz w:val="16"/>
                <w:szCs w:val="16"/>
                <w:spacing w:val="-1"/>
              </w:rPr>
              <w:t>立、要更，注制登记及</w:t>
            </w:r>
            <w:r>
              <w:rPr>
                <w:sz w:val="16"/>
                <w:szCs w:val="16"/>
                <w:spacing w:val="2"/>
              </w:rPr>
              <w:t xml:space="preserve"> </w:t>
            </w:r>
            <w:r>
              <w:rPr>
                <w:sz w:val="16"/>
                <w:szCs w:val="16"/>
                <w:spacing w:val="-1"/>
              </w:rPr>
              <w:t>修改章程核难</w:t>
            </w:r>
          </w:p>
        </w:tc>
        <w:tc>
          <w:tcPr>
            <w:tcW w:w="2367" w:type="dxa"/>
            <w:vAlign w:val="top"/>
          </w:tcPr>
          <w:p>
            <w:pPr>
              <w:pStyle w:val="TableText"/>
              <w:ind w:left="54" w:right="134" w:firstLine="79"/>
              <w:spacing w:before="123" w:line="225" w:lineRule="auto"/>
              <w:rPr>
                <w:sz w:val="16"/>
                <w:szCs w:val="16"/>
              </w:rPr>
            </w:pPr>
            <w:r>
              <w:rPr>
                <w:sz w:val="16"/>
                <w:szCs w:val="16"/>
              </w:rPr>
              <w:t>民政都实行登记带理饥关和袁</w:t>
            </w:r>
            <w:r>
              <w:rPr>
                <w:sz w:val="16"/>
                <w:szCs w:val="16"/>
                <w:spacing w:val="7"/>
              </w:rPr>
              <w:t xml:space="preserve"> </w:t>
            </w:r>
            <w:r>
              <w:rPr>
                <w:sz w:val="16"/>
                <w:szCs w:val="16"/>
                <w:spacing w:val="-1"/>
              </w:rPr>
              <w:t>务主管单位双重偿责营理体解</w:t>
            </w:r>
          </w:p>
          <w:p>
            <w:pPr>
              <w:pStyle w:val="TableText"/>
              <w:ind w:left="54" w:right="51"/>
              <w:spacing w:before="18" w:line="233" w:lineRule="auto"/>
              <w:rPr>
                <w:sz w:val="16"/>
                <w:szCs w:val="16"/>
              </w:rPr>
            </w:pPr>
            <w:r>
              <w:rPr>
                <w:sz w:val="16"/>
                <w:szCs w:val="16"/>
              </w:rPr>
              <w:t>的，由有关生务主管单位实造信</w:t>
            </w:r>
            <w:r>
              <w:rPr>
                <w:sz w:val="16"/>
                <w:szCs w:val="16"/>
                <w:spacing w:val="10"/>
              </w:rPr>
              <w:t xml:space="preserve"> </w:t>
            </w:r>
            <w:r>
              <w:rPr>
                <w:sz w:val="16"/>
                <w:szCs w:val="16"/>
                <w:spacing w:val="-1"/>
              </w:rPr>
              <w:t>置审查  省级，设区的  绶，非</w:t>
            </w:r>
            <w:r>
              <w:rPr>
                <w:sz w:val="16"/>
                <w:szCs w:val="16"/>
                <w:spacing w:val="10"/>
              </w:rPr>
              <w:t xml:space="preserve"> </w:t>
            </w:r>
            <w:r>
              <w:rPr>
                <w:sz w:val="16"/>
                <w:szCs w:val="16"/>
                <w:spacing w:val="2"/>
              </w:rPr>
              <w:t>级民政部门(实行登记管理机关 </w:t>
            </w:r>
            <w:r>
              <w:rPr>
                <w:sz w:val="16"/>
                <w:szCs w:val="16"/>
                <w:spacing w:val="5"/>
              </w:rPr>
              <w:t>和业务主管单位双重负查管南</w:t>
            </w:r>
            <w:r>
              <w:rPr>
                <w:sz w:val="16"/>
                <w:szCs w:val="16"/>
                <w:spacing w:val="3"/>
              </w:rPr>
              <w:t xml:space="preserve">  </w:t>
            </w:r>
            <w:r>
              <w:rPr>
                <w:sz w:val="16"/>
                <w:szCs w:val="16"/>
                <w:spacing w:val="-1"/>
              </w:rPr>
              <w:t>体酬的，由有关业务主管单拉主</w:t>
            </w:r>
            <w:r>
              <w:rPr>
                <w:sz w:val="16"/>
                <w:szCs w:val="16"/>
                <w:spacing w:val="6"/>
              </w:rPr>
              <w:t xml:space="preserve"> </w:t>
            </w:r>
            <w:r>
              <w:rPr>
                <w:sz w:val="16"/>
                <w:szCs w:val="16"/>
                <w:spacing w:val="7"/>
              </w:rPr>
              <w:t>愿育置审查)</w:t>
            </w:r>
          </w:p>
        </w:tc>
        <w:tc>
          <w:tcPr>
            <w:tcW w:w="3711"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spacing w:before="52" w:line="219" w:lineRule="auto"/>
              <w:rPr>
                <w:sz w:val="16"/>
                <w:szCs w:val="16"/>
              </w:rPr>
            </w:pPr>
            <w:r>
              <w:rPr>
                <w:sz w:val="16"/>
                <w:szCs w:val="16"/>
                <w:spacing w:val="-2"/>
              </w:rPr>
              <w:t>《民办套金业单位登记管理暂行备例</w:t>
            </w:r>
          </w:p>
        </w:tc>
      </w:tr>
    </w:tbl>
    <w:p>
      <w:pPr>
        <w:pStyle w:val="BodyText"/>
        <w:rPr/>
      </w:pPr>
      <w:r/>
    </w:p>
    <w:p>
      <w:pPr>
        <w:sectPr>
          <w:pgSz w:w="11910" w:h="8220"/>
          <w:pgMar w:top="400" w:right="117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33344" behindDoc="0" locked="0" layoutInCell="0" allowOverlap="1">
                <wp:simplePos x="0" y="0"/>
                <wp:positionH relativeFrom="page">
                  <wp:posOffset>467410</wp:posOffset>
                </wp:positionH>
                <wp:positionV relativeFrom="page">
                  <wp:posOffset>627006</wp:posOffset>
                </wp:positionV>
                <wp:extent cx="166370" cy="157479"/>
                <wp:effectExtent l="0" t="0" r="0" b="0"/>
                <wp:wrapNone/>
                <wp:docPr id="186" name="TextBox 186"/>
                <wp:cNvGraphicFramePr/>
                <a:graphic>
                  <a:graphicData uri="http://schemas.microsoft.com/office/word/2010/wordprocessingShape">
                    <wps:wsp>
                      <wps:cNvSpPr txBox="1"/>
                      <wps:spPr>
                        <a:xfrm rot="5400000">
                          <a:off x="467410" y="627006"/>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8" style="position:absolute;margin-left:36.804pt;margin-top:49.3706pt;mso-position-vertical-relative:page;mso-position-horizontal-relative:page;width:13.1pt;height:12.4pt;z-index:25183334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174</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67"/>
        <w:gridCol w:w="3711"/>
      </w:tblGrid>
      <w:tr>
        <w:trPr>
          <w:trHeight w:val="42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中央主替部门</w:t>
            </w:r>
          </w:p>
        </w:tc>
        <w:tc>
          <w:tcPr>
            <w:tcW w:w="1628" w:type="dxa"/>
            <w:vAlign w:val="top"/>
          </w:tcPr>
          <w:p>
            <w:pPr>
              <w:pStyle w:val="TableText"/>
              <w:ind w:left="451"/>
              <w:spacing w:before="130" w:line="219" w:lineRule="auto"/>
              <w:rPr>
                <w:sz w:val="16"/>
                <w:szCs w:val="16"/>
              </w:rPr>
            </w:pPr>
            <w:r>
              <w:rPr>
                <w:sz w:val="16"/>
                <w:szCs w:val="16"/>
                <w:spacing w:val="-2"/>
              </w:rPr>
              <w:t>事项名幕</w:t>
            </w:r>
          </w:p>
        </w:tc>
        <w:tc>
          <w:tcPr>
            <w:tcW w:w="2367" w:type="dxa"/>
            <w:vAlign w:val="top"/>
          </w:tcPr>
          <w:p>
            <w:pPr>
              <w:pStyle w:val="TableText"/>
              <w:ind w:left="834"/>
              <w:spacing w:before="130" w:line="219" w:lineRule="auto"/>
              <w:rPr>
                <w:sz w:val="16"/>
                <w:szCs w:val="16"/>
              </w:rPr>
            </w:pPr>
            <w:r>
              <w:rPr>
                <w:sz w:val="16"/>
                <w:szCs w:val="16"/>
                <w:spacing w:val="-2"/>
              </w:rPr>
              <w:t>实幽机关</w:t>
            </w:r>
          </w:p>
        </w:tc>
        <w:tc>
          <w:tcPr>
            <w:tcW w:w="3711" w:type="dxa"/>
            <w:vAlign w:val="top"/>
          </w:tcPr>
          <w:p>
            <w:pPr>
              <w:pStyle w:val="TableText"/>
              <w:ind w:left="1269"/>
              <w:spacing w:before="128" w:line="219" w:lineRule="auto"/>
              <w:rPr>
                <w:sz w:val="16"/>
                <w:szCs w:val="16"/>
              </w:rPr>
            </w:pPr>
            <w:r>
              <w:rPr>
                <w:sz w:val="16"/>
                <w:szCs w:val="16"/>
                <w:b/>
                <w:bCs/>
                <w:spacing w:val="-3"/>
              </w:rPr>
              <w:t>设定和实施依据</w:t>
            </w:r>
          </w:p>
        </w:tc>
      </w:tr>
      <w:tr>
        <w:trPr>
          <w:trHeight w:val="439" w:hRule="atLeast"/>
        </w:trPr>
        <w:tc>
          <w:tcPr>
            <w:tcW w:w="594" w:type="dxa"/>
            <w:vAlign w:val="top"/>
          </w:tcPr>
          <w:p>
            <w:pPr>
              <w:pStyle w:val="TableText"/>
              <w:ind w:left="164"/>
              <w:spacing w:before="178" w:line="184" w:lineRule="auto"/>
              <w:rPr>
                <w:sz w:val="16"/>
                <w:szCs w:val="16"/>
              </w:rPr>
            </w:pPr>
            <w:r>
              <w:rPr>
                <w:sz w:val="16"/>
                <w:szCs w:val="16"/>
                <w:spacing w:val="-5"/>
              </w:rPr>
              <w:t>117</w:t>
            </w:r>
          </w:p>
        </w:tc>
        <w:tc>
          <w:tcPr>
            <w:tcW w:w="1289" w:type="dxa"/>
            <w:vAlign w:val="top"/>
          </w:tcPr>
          <w:p>
            <w:pPr>
              <w:pStyle w:val="TableText"/>
              <w:ind w:left="390"/>
              <w:spacing w:before="137" w:line="219" w:lineRule="auto"/>
              <w:rPr>
                <w:sz w:val="16"/>
                <w:szCs w:val="16"/>
              </w:rPr>
            </w:pPr>
            <w:r>
              <w:rPr>
                <w:sz w:val="16"/>
                <w:szCs w:val="16"/>
                <w:spacing w:val="2"/>
              </w:rPr>
              <w:t>民政都</w:t>
            </w:r>
          </w:p>
        </w:tc>
        <w:tc>
          <w:tcPr>
            <w:tcW w:w="1628" w:type="dxa"/>
            <w:vAlign w:val="top"/>
          </w:tcPr>
          <w:p>
            <w:pPr>
              <w:pStyle w:val="TableText"/>
              <w:ind w:left="42"/>
              <w:spacing w:before="58" w:line="214" w:lineRule="auto"/>
              <w:rPr>
                <w:sz w:val="16"/>
                <w:szCs w:val="16"/>
              </w:rPr>
            </w:pPr>
            <w:r>
              <w:rPr>
                <w:sz w:val="16"/>
                <w:szCs w:val="16"/>
                <w:spacing w:val="-3"/>
              </w:rPr>
              <w:t>外国商金减立，交更，</w:t>
            </w:r>
            <w:r>
              <w:rPr>
                <w:sz w:val="16"/>
                <w:szCs w:val="16"/>
                <w:spacing w:val="4"/>
              </w:rPr>
              <w:t xml:space="preserve"> </w:t>
            </w:r>
            <w:r>
              <w:rPr>
                <w:sz w:val="16"/>
                <w:szCs w:val="16"/>
                <w:spacing w:val="-3"/>
              </w:rPr>
              <w:t>往情登记</w:t>
            </w:r>
          </w:p>
        </w:tc>
        <w:tc>
          <w:tcPr>
            <w:tcW w:w="2367" w:type="dxa"/>
            <w:vAlign w:val="top"/>
          </w:tcPr>
          <w:p>
            <w:pPr>
              <w:pStyle w:val="TableText"/>
              <w:ind w:left="64"/>
              <w:spacing w:before="138" w:line="221" w:lineRule="auto"/>
              <w:rPr>
                <w:sz w:val="16"/>
                <w:szCs w:val="16"/>
              </w:rPr>
            </w:pPr>
            <w:r>
              <w:rPr>
                <w:sz w:val="16"/>
                <w:szCs w:val="16"/>
                <w:spacing w:val="2"/>
              </w:rPr>
              <w:t>民政器</w:t>
            </w:r>
          </w:p>
        </w:tc>
        <w:tc>
          <w:tcPr>
            <w:tcW w:w="3711" w:type="dxa"/>
            <w:vAlign w:val="top"/>
          </w:tcPr>
          <w:p>
            <w:pPr>
              <w:pStyle w:val="TableText"/>
              <w:spacing w:before="136" w:line="219" w:lineRule="auto"/>
              <w:rPr>
                <w:sz w:val="16"/>
                <w:szCs w:val="16"/>
              </w:rPr>
            </w:pPr>
            <w:r>
              <w:rPr>
                <w:sz w:val="16"/>
                <w:szCs w:val="16"/>
                <w:spacing w:val="-3"/>
              </w:rPr>
              <w:t>《外国解会背理暂行规定》</w:t>
            </w:r>
          </w:p>
        </w:tc>
      </w:tr>
      <w:tr>
        <w:trPr>
          <w:trHeight w:val="429" w:hRule="atLeast"/>
        </w:trPr>
        <w:tc>
          <w:tcPr>
            <w:tcW w:w="594" w:type="dxa"/>
            <w:vAlign w:val="top"/>
          </w:tcPr>
          <w:p>
            <w:pPr>
              <w:pStyle w:val="TableText"/>
              <w:ind w:left="164"/>
              <w:spacing w:before="178" w:line="184" w:lineRule="auto"/>
              <w:rPr>
                <w:sz w:val="16"/>
                <w:szCs w:val="16"/>
              </w:rPr>
            </w:pPr>
            <w:r>
              <w:rPr>
                <w:sz w:val="16"/>
                <w:szCs w:val="16"/>
                <w:spacing w:val="-5"/>
              </w:rPr>
              <w:t>118</w:t>
            </w:r>
          </w:p>
        </w:tc>
        <w:tc>
          <w:tcPr>
            <w:tcW w:w="1289" w:type="dxa"/>
            <w:vAlign w:val="top"/>
          </w:tcPr>
          <w:p>
            <w:pPr>
              <w:pStyle w:val="TableText"/>
              <w:ind w:left="390"/>
              <w:spacing w:before="138" w:line="219" w:lineRule="auto"/>
              <w:rPr>
                <w:sz w:val="16"/>
                <w:szCs w:val="16"/>
              </w:rPr>
            </w:pPr>
            <w:r>
              <w:rPr>
                <w:sz w:val="16"/>
                <w:szCs w:val="16"/>
                <w:spacing w:val="2"/>
              </w:rPr>
              <w:t>民政部</w:t>
            </w:r>
          </w:p>
        </w:tc>
        <w:tc>
          <w:tcPr>
            <w:tcW w:w="1628" w:type="dxa"/>
            <w:vAlign w:val="top"/>
          </w:tcPr>
          <w:p>
            <w:pPr>
              <w:pStyle w:val="TableText"/>
              <w:ind w:left="42" w:right="142"/>
              <w:spacing w:before="67" w:line="203" w:lineRule="auto"/>
              <w:rPr>
                <w:sz w:val="16"/>
                <w:szCs w:val="16"/>
              </w:rPr>
            </w:pPr>
            <w:r>
              <w:rPr>
                <w:sz w:val="16"/>
                <w:szCs w:val="16"/>
                <w:spacing w:val="-2"/>
              </w:rPr>
              <w:t>京敬估动病所陆人成</w:t>
            </w:r>
            <w:r>
              <w:rPr>
                <w:sz w:val="16"/>
                <w:szCs w:val="16"/>
                <w:spacing w:val="6"/>
              </w:rPr>
              <w:t xml:space="preserve"> </w:t>
            </w:r>
            <w:r>
              <w:rPr>
                <w:sz w:val="16"/>
                <w:szCs w:val="16"/>
                <w:spacing w:val="-1"/>
              </w:rPr>
              <w:t>立、变更，注部登记</w:t>
            </w:r>
          </w:p>
        </w:tc>
        <w:tc>
          <w:tcPr>
            <w:tcW w:w="2367" w:type="dxa"/>
            <w:vAlign w:val="top"/>
          </w:tcPr>
          <w:p>
            <w:pPr>
              <w:pStyle w:val="TableText"/>
              <w:ind w:left="64" w:right="124" w:hanging="10"/>
              <w:spacing w:before="48" w:line="214" w:lineRule="auto"/>
              <w:rPr>
                <w:sz w:val="16"/>
                <w:szCs w:val="16"/>
              </w:rPr>
            </w:pPr>
            <w:r>
              <w:rPr>
                <w:sz w:val="16"/>
                <w:szCs w:val="16"/>
                <w:spacing w:val="1"/>
              </w:rPr>
              <w:t>县统民政部门(由县规宗教都门</w:t>
            </w:r>
            <w:r>
              <w:rPr>
                <w:sz w:val="16"/>
                <w:szCs w:val="16"/>
                <w:spacing w:val="3"/>
              </w:rPr>
              <w:t xml:space="preserve"> </w:t>
            </w:r>
            <w:r>
              <w:rPr>
                <w:sz w:val="16"/>
                <w:szCs w:val="16"/>
                <w:spacing w:val="5"/>
              </w:rPr>
              <w:t>实感居置率查)</w:t>
            </w:r>
          </w:p>
        </w:tc>
        <w:tc>
          <w:tcPr>
            <w:tcW w:w="3711" w:type="dxa"/>
            <w:vAlign w:val="top"/>
          </w:tcPr>
          <w:p>
            <w:pPr>
              <w:pStyle w:val="TableText"/>
              <w:ind w:left="56"/>
              <w:spacing w:before="137" w:line="219" w:lineRule="auto"/>
              <w:rPr>
                <w:sz w:val="16"/>
                <w:szCs w:val="16"/>
              </w:rPr>
            </w:pPr>
            <w:r>
              <w:rPr>
                <w:sz w:val="16"/>
                <w:szCs w:val="16"/>
                <w:spacing w:val="4"/>
              </w:rPr>
              <w:t>(罪教事务条偶)</w:t>
            </w:r>
          </w:p>
        </w:tc>
      </w:tr>
      <w:tr>
        <w:trPr>
          <w:trHeight w:val="449" w:hRule="atLeast"/>
        </w:trPr>
        <w:tc>
          <w:tcPr>
            <w:tcW w:w="594" w:type="dxa"/>
            <w:vAlign w:val="top"/>
          </w:tcPr>
          <w:p>
            <w:pPr>
              <w:pStyle w:val="TableText"/>
              <w:ind w:left="164"/>
              <w:spacing w:before="189" w:line="184" w:lineRule="auto"/>
              <w:rPr>
                <w:sz w:val="16"/>
                <w:szCs w:val="16"/>
              </w:rPr>
            </w:pPr>
            <w:r>
              <w:rPr>
                <w:sz w:val="16"/>
                <w:szCs w:val="16"/>
                <w:spacing w:val="-5"/>
              </w:rPr>
              <w:t>119</w:t>
            </w:r>
          </w:p>
        </w:tc>
        <w:tc>
          <w:tcPr>
            <w:tcW w:w="1289" w:type="dxa"/>
            <w:vAlign w:val="top"/>
          </w:tcPr>
          <w:p>
            <w:pPr>
              <w:pStyle w:val="TableText"/>
              <w:ind w:left="390"/>
              <w:spacing w:before="149" w:line="219" w:lineRule="auto"/>
              <w:rPr>
                <w:sz w:val="16"/>
                <w:szCs w:val="16"/>
              </w:rPr>
            </w:pPr>
            <w:r>
              <w:rPr>
                <w:sz w:val="16"/>
                <w:szCs w:val="16"/>
                <w:spacing w:val="2"/>
              </w:rPr>
              <w:t>民政部</w:t>
            </w:r>
          </w:p>
        </w:tc>
        <w:tc>
          <w:tcPr>
            <w:tcW w:w="1628" w:type="dxa"/>
            <w:vAlign w:val="top"/>
          </w:tcPr>
          <w:p>
            <w:pPr>
              <w:pStyle w:val="TableText"/>
              <w:ind w:left="42" w:right="142"/>
              <w:spacing w:before="59" w:line="219" w:lineRule="auto"/>
              <w:rPr>
                <w:sz w:val="16"/>
                <w:szCs w:val="16"/>
              </w:rPr>
            </w:pPr>
            <w:r>
              <w:rPr>
                <w:sz w:val="16"/>
                <w:szCs w:val="16"/>
                <w:spacing w:val="-1"/>
              </w:rPr>
              <w:t>地曾组织公开必希查</w:t>
            </w:r>
            <w:r>
              <w:rPr>
                <w:sz w:val="16"/>
                <w:szCs w:val="16"/>
                <w:spacing w:val="1"/>
              </w:rPr>
              <w:t xml:space="preserve"> </w:t>
            </w:r>
            <w:r>
              <w:rPr>
                <w:sz w:val="16"/>
                <w:szCs w:val="16"/>
                <w:spacing w:val="-2"/>
              </w:rPr>
              <w:t>格审批</w:t>
            </w:r>
          </w:p>
        </w:tc>
        <w:tc>
          <w:tcPr>
            <w:tcW w:w="2367" w:type="dxa"/>
            <w:vAlign w:val="top"/>
          </w:tcPr>
          <w:p>
            <w:pPr>
              <w:pStyle w:val="TableText"/>
              <w:ind w:left="64"/>
              <w:spacing w:before="49" w:line="225" w:lineRule="auto"/>
              <w:rPr>
                <w:sz w:val="16"/>
                <w:szCs w:val="16"/>
              </w:rPr>
            </w:pPr>
            <w:r>
              <w:rPr>
                <w:sz w:val="16"/>
                <w:szCs w:val="16"/>
                <w:spacing w:val="-9"/>
              </w:rPr>
              <w:t>税</w:t>
            </w:r>
            <w:r>
              <w:rPr>
                <w:sz w:val="16"/>
                <w:szCs w:val="16"/>
                <w:spacing w:val="-8"/>
              </w:rPr>
              <w:t>政症，省级，设区阅市纲，县</w:t>
            </w:r>
            <w:r>
              <w:rPr>
                <w:sz w:val="16"/>
                <w:szCs w:val="16"/>
                <w:spacing w:val="-7"/>
              </w:rPr>
              <w:t>规</w:t>
            </w:r>
            <w:r>
              <w:rPr>
                <w:sz w:val="16"/>
                <w:szCs w:val="16"/>
                <w:spacing w:val="11"/>
              </w:rPr>
              <w:t xml:space="preserve"> </w:t>
            </w:r>
            <w:r>
              <w:rPr>
                <w:sz w:val="16"/>
                <w:szCs w:val="16"/>
                <w:spacing w:val="4"/>
              </w:rPr>
              <w:t>民政落门</w:t>
            </w:r>
          </w:p>
        </w:tc>
        <w:tc>
          <w:tcPr>
            <w:tcW w:w="3711" w:type="dxa"/>
            <w:vAlign w:val="top"/>
          </w:tcPr>
          <w:p>
            <w:pPr>
              <w:pStyle w:val="TableText"/>
              <w:spacing w:before="149" w:line="219" w:lineRule="auto"/>
              <w:rPr>
                <w:sz w:val="16"/>
                <w:szCs w:val="16"/>
              </w:rPr>
            </w:pPr>
            <w:r>
              <w:rPr>
                <w:sz w:val="16"/>
                <w:szCs w:val="16"/>
                <w:spacing w:val="-3"/>
              </w:rPr>
              <w:t>《中华人民共和国临善法</w:t>
            </w:r>
          </w:p>
        </w:tc>
      </w:tr>
      <w:tr>
        <w:trPr>
          <w:trHeight w:val="629" w:hRule="atLeast"/>
        </w:trPr>
        <w:tc>
          <w:tcPr>
            <w:tcW w:w="594" w:type="dxa"/>
            <w:vAlign w:val="top"/>
          </w:tcPr>
          <w:p>
            <w:pPr>
              <w:pStyle w:val="TableText"/>
              <w:ind w:left="164"/>
              <w:spacing w:before="280" w:line="184" w:lineRule="auto"/>
              <w:rPr>
                <w:sz w:val="16"/>
                <w:szCs w:val="16"/>
              </w:rPr>
            </w:pPr>
            <w:r>
              <w:rPr>
                <w:sz w:val="16"/>
                <w:szCs w:val="16"/>
                <w:spacing w:val="-5"/>
              </w:rPr>
              <w:t>12</w:t>
            </w:r>
          </w:p>
        </w:tc>
        <w:tc>
          <w:tcPr>
            <w:tcW w:w="1289" w:type="dxa"/>
            <w:vAlign w:val="top"/>
          </w:tcPr>
          <w:p>
            <w:pPr>
              <w:pStyle w:val="TableText"/>
              <w:ind w:left="390"/>
              <w:spacing w:before="241" w:line="221" w:lineRule="auto"/>
              <w:rPr>
                <w:sz w:val="16"/>
                <w:szCs w:val="16"/>
              </w:rPr>
            </w:pPr>
            <w:r>
              <w:rPr>
                <w:sz w:val="16"/>
                <w:szCs w:val="16"/>
                <w:spacing w:val="2"/>
              </w:rPr>
              <w:t>民政前</w:t>
            </w:r>
          </w:p>
        </w:tc>
        <w:tc>
          <w:tcPr>
            <w:tcW w:w="1628" w:type="dxa"/>
            <w:vAlign w:val="top"/>
          </w:tcPr>
          <w:p>
            <w:pPr>
              <w:pStyle w:val="TableText"/>
              <w:ind w:left="42"/>
              <w:spacing w:before="240" w:line="219" w:lineRule="auto"/>
              <w:rPr>
                <w:sz w:val="16"/>
                <w:szCs w:val="16"/>
              </w:rPr>
            </w:pPr>
            <w:r>
              <w:rPr>
                <w:sz w:val="16"/>
                <w:szCs w:val="16"/>
                <w:spacing w:val="-1"/>
              </w:rPr>
              <w:t>殖养设隐建设审范</w:t>
            </w:r>
          </w:p>
        </w:tc>
        <w:tc>
          <w:tcPr>
            <w:tcW w:w="2367" w:type="dxa"/>
            <w:vAlign w:val="top"/>
          </w:tcPr>
          <w:p>
            <w:pPr>
              <w:pStyle w:val="TableText"/>
              <w:ind w:left="64" w:right="48"/>
              <w:spacing w:before="59" w:line="215" w:lineRule="auto"/>
              <w:rPr>
                <w:sz w:val="16"/>
                <w:szCs w:val="16"/>
              </w:rPr>
            </w:pPr>
            <w:r>
              <w:rPr>
                <w:sz w:val="16"/>
                <w:szCs w:val="16"/>
                <w:spacing w:val="-1"/>
              </w:rPr>
              <w:t>设区的市旗改府/设区的市级民</w:t>
            </w:r>
            <w:r>
              <w:rPr>
                <w:sz w:val="16"/>
                <w:szCs w:val="16"/>
                <w:spacing w:val="2"/>
              </w:rPr>
              <w:t xml:space="preserve">  </w:t>
            </w:r>
            <w:r>
              <w:rPr>
                <w:sz w:val="16"/>
                <w:szCs w:val="16"/>
              </w:rPr>
              <w:t>政靠门；县级应沟，甚级民政部</w:t>
            </w:r>
            <w:r>
              <w:rPr>
                <w:sz w:val="16"/>
                <w:szCs w:val="16"/>
                <w:spacing w:val="3"/>
              </w:rPr>
              <w:t xml:space="preserve"> </w:t>
            </w:r>
            <w:r>
              <w:rPr>
                <w:sz w:val="16"/>
                <w:szCs w:val="16"/>
              </w:rPr>
              <w:t>门</w:t>
            </w:r>
          </w:p>
        </w:tc>
        <w:tc>
          <w:tcPr>
            <w:tcW w:w="3711" w:type="dxa"/>
            <w:vAlign w:val="top"/>
          </w:tcPr>
          <w:p>
            <w:pPr>
              <w:pStyle w:val="TableText"/>
              <w:spacing w:before="240" w:line="219" w:lineRule="auto"/>
              <w:rPr>
                <w:sz w:val="16"/>
                <w:szCs w:val="16"/>
              </w:rPr>
            </w:pPr>
            <w:r>
              <w:rPr>
                <w:sz w:val="16"/>
                <w:szCs w:val="16"/>
                <w:spacing w:val="-3"/>
              </w:rPr>
              <w:t>《筛舞管理条析)</w:t>
            </w:r>
          </w:p>
        </w:tc>
      </w:tr>
      <w:tr>
        <w:trPr>
          <w:trHeight w:val="440" w:hRule="atLeast"/>
        </w:trPr>
        <w:tc>
          <w:tcPr>
            <w:tcW w:w="594" w:type="dxa"/>
            <w:vAlign w:val="top"/>
          </w:tcPr>
          <w:p>
            <w:pPr>
              <w:pStyle w:val="TableText"/>
              <w:ind w:left="164"/>
              <w:spacing w:before="181" w:line="184" w:lineRule="auto"/>
              <w:rPr>
                <w:sz w:val="16"/>
                <w:szCs w:val="16"/>
              </w:rPr>
            </w:pPr>
            <w:r>
              <w:rPr>
                <w:sz w:val="16"/>
                <w:szCs w:val="16"/>
                <w:spacing w:val="-5"/>
              </w:rPr>
              <w:t>121</w:t>
            </w:r>
          </w:p>
        </w:tc>
        <w:tc>
          <w:tcPr>
            <w:tcW w:w="1289" w:type="dxa"/>
            <w:vAlign w:val="top"/>
          </w:tcPr>
          <w:p>
            <w:pPr>
              <w:pStyle w:val="TableText"/>
              <w:ind w:left="390"/>
              <w:spacing w:before="141" w:line="219" w:lineRule="auto"/>
              <w:rPr>
                <w:sz w:val="16"/>
                <w:szCs w:val="16"/>
              </w:rPr>
            </w:pPr>
            <w:r>
              <w:rPr>
                <w:sz w:val="16"/>
                <w:szCs w:val="16"/>
                <w:spacing w:val="2"/>
              </w:rPr>
              <w:t>民政部</w:t>
            </w:r>
          </w:p>
        </w:tc>
        <w:tc>
          <w:tcPr>
            <w:tcW w:w="1628" w:type="dxa"/>
            <w:vAlign w:val="top"/>
          </w:tcPr>
          <w:p>
            <w:pPr>
              <w:pStyle w:val="TableText"/>
              <w:ind w:left="42"/>
              <w:spacing w:before="142" w:line="220" w:lineRule="auto"/>
              <w:rPr>
                <w:sz w:val="16"/>
                <w:szCs w:val="16"/>
              </w:rPr>
            </w:pPr>
            <w:r>
              <w:rPr>
                <w:sz w:val="16"/>
                <w:szCs w:val="16"/>
                <w:spacing w:val="-1"/>
              </w:rPr>
              <w:t>地名命名，更名审班</w:t>
            </w:r>
          </w:p>
        </w:tc>
        <w:tc>
          <w:tcPr>
            <w:tcW w:w="2367" w:type="dxa"/>
            <w:vAlign w:val="top"/>
          </w:tcPr>
          <w:p>
            <w:pPr>
              <w:pStyle w:val="TableText"/>
              <w:ind w:left="64" w:right="40"/>
              <w:spacing w:before="60" w:line="213" w:lineRule="auto"/>
              <w:rPr>
                <w:sz w:val="16"/>
                <w:szCs w:val="16"/>
              </w:rPr>
            </w:pPr>
            <w:r>
              <w:rPr>
                <w:sz w:val="16"/>
                <w:szCs w:val="16"/>
              </w:rPr>
              <w:t>国务院有关部门；省级，设区的</w:t>
            </w:r>
            <w:r>
              <w:rPr>
                <w:sz w:val="16"/>
                <w:szCs w:val="16"/>
                <w:spacing w:val="11"/>
              </w:rPr>
              <w:t xml:space="preserve"> </w:t>
            </w:r>
            <w:r>
              <w:rPr>
                <w:sz w:val="16"/>
                <w:szCs w:val="16"/>
                <w:spacing w:val="2"/>
              </w:rPr>
              <w:t>市级.县级有关四门</w:t>
            </w:r>
          </w:p>
        </w:tc>
        <w:tc>
          <w:tcPr>
            <w:tcW w:w="3711" w:type="dxa"/>
            <w:vAlign w:val="top"/>
          </w:tcPr>
          <w:p>
            <w:pPr>
              <w:pStyle w:val="TableText"/>
              <w:ind w:left="56"/>
              <w:spacing w:before="141" w:line="219" w:lineRule="auto"/>
              <w:rPr>
                <w:sz w:val="16"/>
                <w:szCs w:val="16"/>
              </w:rPr>
            </w:pPr>
            <w:r>
              <w:rPr>
                <w:sz w:val="16"/>
                <w:szCs w:val="16"/>
                <w:spacing w:val="4"/>
              </w:rPr>
              <w:t>(地名管理条例)</w:t>
            </w:r>
          </w:p>
        </w:tc>
      </w:tr>
      <w:tr>
        <w:trPr>
          <w:trHeight w:val="2247" w:hRule="atLeast"/>
        </w:trPr>
        <w:tc>
          <w:tcPr>
            <w:tcW w:w="59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64"/>
              <w:spacing w:before="52" w:line="184" w:lineRule="auto"/>
              <w:rPr>
                <w:sz w:val="16"/>
                <w:szCs w:val="16"/>
              </w:rPr>
            </w:pPr>
            <w:r>
              <w:rPr>
                <w:sz w:val="16"/>
                <w:szCs w:val="16"/>
                <w:spacing w:val="-5"/>
              </w:rPr>
              <w:t>122</w:t>
            </w:r>
          </w:p>
        </w:tc>
        <w:tc>
          <w:tcPr>
            <w:tcW w:w="128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390"/>
              <w:spacing w:before="52" w:line="219" w:lineRule="auto"/>
              <w:rPr>
                <w:sz w:val="16"/>
                <w:szCs w:val="16"/>
              </w:rPr>
            </w:pPr>
            <w:r>
              <w:rPr>
                <w:sz w:val="16"/>
                <w:szCs w:val="16"/>
                <w:spacing w:val="2"/>
              </w:rPr>
              <w:t>司法毒</w:t>
            </w:r>
          </w:p>
        </w:tc>
        <w:tc>
          <w:tcPr>
            <w:tcW w:w="162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42"/>
              <w:spacing w:before="52" w:line="219" w:lineRule="auto"/>
              <w:rPr>
                <w:sz w:val="16"/>
                <w:szCs w:val="16"/>
              </w:rPr>
            </w:pPr>
            <w:r>
              <w:rPr>
                <w:sz w:val="16"/>
                <w:szCs w:val="16"/>
                <w:spacing w:val="-1"/>
              </w:rPr>
              <w:t>法律职业资络认定</w:t>
            </w:r>
          </w:p>
        </w:tc>
        <w:tc>
          <w:tcPr>
            <w:tcW w:w="2367" w:type="dxa"/>
            <w:vAlign w:val="top"/>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64" w:right="290" w:firstLine="10"/>
              <w:spacing w:before="52" w:line="225" w:lineRule="auto"/>
              <w:rPr>
                <w:sz w:val="16"/>
                <w:szCs w:val="16"/>
              </w:rPr>
            </w:pPr>
            <w:r>
              <w:rPr>
                <w:sz w:val="16"/>
                <w:szCs w:val="16"/>
                <w:spacing w:val="-1"/>
              </w:rPr>
              <w:t>可甚(击设区的市级司法行政</w:t>
            </w:r>
            <w:r>
              <w:rPr>
                <w:sz w:val="16"/>
                <w:szCs w:val="16"/>
                <w:spacing w:val="4"/>
              </w:rPr>
              <w:t xml:space="preserve"> </w:t>
            </w:r>
            <w:r>
              <w:rPr>
                <w:sz w:val="16"/>
                <w:szCs w:val="16"/>
                <w:spacing w:val="6"/>
              </w:rPr>
              <w:t>都门受理)</w:t>
            </w:r>
          </w:p>
        </w:tc>
        <w:tc>
          <w:tcPr>
            <w:tcW w:w="3711" w:type="dxa"/>
            <w:vAlign w:val="top"/>
          </w:tcPr>
          <w:p>
            <w:pPr>
              <w:pStyle w:val="TableText"/>
              <w:spacing w:before="31" w:line="219" w:lineRule="auto"/>
              <w:rPr>
                <w:sz w:val="16"/>
                <w:szCs w:val="16"/>
              </w:rPr>
            </w:pPr>
            <w:r>
              <w:rPr>
                <w:sz w:val="16"/>
                <w:szCs w:val="16"/>
                <w:spacing w:val="-2"/>
              </w:rPr>
              <w:t>《中华人民共和国法育法)</w:t>
            </w:r>
          </w:p>
          <w:p>
            <w:pPr>
              <w:pStyle w:val="TableText"/>
              <w:spacing w:before="9" w:line="210" w:lineRule="exact"/>
              <w:rPr>
                <w:sz w:val="16"/>
                <w:szCs w:val="16"/>
              </w:rPr>
            </w:pPr>
            <w:r>
              <w:rPr>
                <w:sz w:val="16"/>
                <w:szCs w:val="16"/>
                <w:spacing w:val="-2"/>
                <w:position w:val="3"/>
              </w:rPr>
              <w:t>《中华人民共和惯检察首法)</w:t>
            </w:r>
          </w:p>
          <w:p>
            <w:pPr>
              <w:pStyle w:val="TableText"/>
              <w:spacing w:line="219" w:lineRule="auto"/>
              <w:rPr>
                <w:sz w:val="16"/>
                <w:szCs w:val="16"/>
              </w:rPr>
            </w:pPr>
            <w:r>
              <w:rPr>
                <w:sz w:val="16"/>
                <w:szCs w:val="16"/>
                <w:spacing w:val="-2"/>
              </w:rPr>
              <w:t>《中华人民共和国公务员法)</w:t>
            </w:r>
          </w:p>
          <w:p>
            <w:pPr>
              <w:pStyle w:val="TableText"/>
              <w:spacing w:before="30" w:line="219" w:lineRule="auto"/>
              <w:rPr>
                <w:sz w:val="16"/>
                <w:szCs w:val="16"/>
              </w:rPr>
            </w:pPr>
            <w:r>
              <w:rPr>
                <w:sz w:val="16"/>
                <w:szCs w:val="16"/>
                <w:spacing w:val="-3"/>
              </w:rPr>
              <w:t>《中作人民共和国律市法》</w:t>
            </w:r>
          </w:p>
          <w:p>
            <w:pPr>
              <w:pStyle w:val="TableText"/>
              <w:spacing w:before="10" w:line="219" w:lineRule="auto"/>
              <w:rPr>
                <w:sz w:val="16"/>
                <w:szCs w:val="16"/>
              </w:rPr>
            </w:pPr>
            <w:r>
              <w:rPr>
                <w:sz w:val="16"/>
                <w:szCs w:val="16"/>
                <w:spacing w:val="-3"/>
              </w:rPr>
              <w:t>《中华人民共和国公证法》</w:t>
            </w:r>
          </w:p>
          <w:p>
            <w:pPr>
              <w:pStyle w:val="TableText"/>
              <w:spacing w:before="10" w:line="220" w:lineRule="auto"/>
              <w:rPr>
                <w:sz w:val="16"/>
                <w:szCs w:val="16"/>
              </w:rPr>
            </w:pPr>
            <w:r>
              <w:rPr>
                <w:sz w:val="16"/>
                <w:szCs w:val="16"/>
                <w:spacing w:val="-3"/>
              </w:rPr>
              <w:t>《中华人民其和国作疏法》</w:t>
            </w:r>
          </w:p>
          <w:p>
            <w:pPr>
              <w:pStyle w:val="TableText"/>
              <w:spacing w:before="9" w:line="242" w:lineRule="auto"/>
              <w:rPr>
                <w:sz w:val="16"/>
                <w:szCs w:val="16"/>
              </w:rPr>
            </w:pPr>
            <w:r>
              <w:rPr>
                <w:sz w:val="16"/>
                <w:szCs w:val="16"/>
                <w:spacing w:val="-3"/>
              </w:rPr>
              <w:t>《中华人民共和国行政复议结</w:t>
            </w:r>
          </w:p>
          <w:p>
            <w:pPr>
              <w:pStyle w:val="TableText"/>
              <w:spacing w:before="1" w:line="207" w:lineRule="auto"/>
              <w:rPr>
                <w:sz w:val="16"/>
                <w:szCs w:val="16"/>
              </w:rPr>
            </w:pPr>
            <w:r>
              <w:rPr>
                <w:sz w:val="16"/>
                <w:szCs w:val="16"/>
                <w:spacing w:val="-3"/>
              </w:rPr>
              <w:t>《中华人民共和国行敬处罚法</w:t>
            </w:r>
          </w:p>
          <w:p>
            <w:pPr>
              <w:pStyle w:val="TableText"/>
              <w:spacing w:line="242" w:lineRule="auto"/>
              <w:rPr>
                <w:sz w:val="16"/>
                <w:szCs w:val="16"/>
              </w:rPr>
            </w:pPr>
            <w:r>
              <w:rPr>
                <w:sz w:val="16"/>
                <w:szCs w:val="16"/>
                <w:spacing w:val="-1"/>
              </w:rPr>
              <w:t>《国家统一法体职业资格考试实题毒法1</w:t>
            </w:r>
          </w:p>
          <w:p>
            <w:pPr>
              <w:pStyle w:val="TableText"/>
              <w:ind w:left="79"/>
              <w:spacing w:before="1" w:line="207" w:lineRule="auto"/>
              <w:rPr>
                <w:sz w:val="16"/>
                <w:szCs w:val="16"/>
              </w:rPr>
            </w:pPr>
            <w:r>
              <w:rPr>
                <w:sz w:val="16"/>
                <w:szCs w:val="16"/>
                <w:spacing w:val="-1"/>
              </w:rPr>
              <w:t>(法律职业资格管理办法?</w:t>
            </w:r>
          </w:p>
          <w:p>
            <w:pPr>
              <w:pStyle w:val="TableText"/>
              <w:spacing w:line="219" w:lineRule="auto"/>
              <w:rPr>
                <w:sz w:val="16"/>
                <w:szCs w:val="16"/>
              </w:rPr>
            </w:pPr>
            <w:r>
              <w:rPr>
                <w:sz w:val="16"/>
                <w:szCs w:val="16"/>
                <w:spacing w:val="-3"/>
              </w:rPr>
              <w:t>《国家职业资格日录(2021耳版</w:t>
            </w:r>
          </w:p>
        </w:tc>
      </w:tr>
      <w:tr>
        <w:trPr>
          <w:trHeight w:val="1248" w:hRule="atLeast"/>
        </w:trPr>
        <w:tc>
          <w:tcPr>
            <w:tcW w:w="594" w:type="dxa"/>
            <w:vAlign w:val="top"/>
          </w:tcPr>
          <w:p>
            <w:pPr>
              <w:spacing w:line="269" w:lineRule="auto"/>
              <w:rPr>
                <w:rFonts w:ascii="Arial"/>
                <w:sz w:val="21"/>
              </w:rPr>
            </w:pPr>
            <w:r/>
          </w:p>
          <w:p>
            <w:pPr>
              <w:spacing w:line="270" w:lineRule="auto"/>
              <w:rPr>
                <w:rFonts w:ascii="Arial"/>
                <w:sz w:val="21"/>
              </w:rPr>
            </w:pPr>
            <w:r/>
          </w:p>
          <w:p>
            <w:pPr>
              <w:pStyle w:val="TableText"/>
              <w:ind w:left="164"/>
              <w:spacing w:before="52" w:line="184" w:lineRule="auto"/>
              <w:rPr>
                <w:sz w:val="16"/>
                <w:szCs w:val="16"/>
              </w:rPr>
            </w:pPr>
            <w:r>
              <w:rPr>
                <w:sz w:val="16"/>
                <w:szCs w:val="16"/>
                <w:spacing w:val="-5"/>
              </w:rPr>
              <w:t>123</w:t>
            </w:r>
          </w:p>
        </w:tc>
        <w:tc>
          <w:tcPr>
            <w:tcW w:w="1289" w:type="dxa"/>
            <w:vAlign w:val="top"/>
          </w:tcPr>
          <w:p>
            <w:pPr>
              <w:spacing w:line="249" w:lineRule="auto"/>
              <w:rPr>
                <w:rFonts w:ascii="Arial"/>
                <w:sz w:val="21"/>
              </w:rPr>
            </w:pPr>
            <w:r/>
          </w:p>
          <w:p>
            <w:pPr>
              <w:spacing w:line="250" w:lineRule="auto"/>
              <w:rPr>
                <w:rFonts w:ascii="Arial"/>
                <w:sz w:val="21"/>
              </w:rPr>
            </w:pPr>
            <w:r/>
          </w:p>
          <w:p>
            <w:pPr>
              <w:pStyle w:val="TableText"/>
              <w:ind w:left="390"/>
              <w:spacing w:before="52" w:line="219" w:lineRule="auto"/>
              <w:rPr>
                <w:sz w:val="16"/>
                <w:szCs w:val="16"/>
              </w:rPr>
            </w:pPr>
            <w:r>
              <w:rPr>
                <w:sz w:val="16"/>
                <w:szCs w:val="16"/>
                <w:spacing w:val="-2"/>
              </w:rPr>
              <w:t>河法部</w:t>
            </w:r>
          </w:p>
        </w:tc>
        <w:tc>
          <w:tcPr>
            <w:tcW w:w="1628" w:type="dxa"/>
            <w:vAlign w:val="top"/>
          </w:tcPr>
          <w:p>
            <w:pPr>
              <w:pStyle w:val="TableText"/>
              <w:ind w:left="42" w:right="51" w:firstLine="20"/>
              <w:spacing w:before="42" w:line="230" w:lineRule="auto"/>
              <w:rPr>
                <w:sz w:val="16"/>
                <w:szCs w:val="16"/>
              </w:rPr>
            </w:pPr>
            <w:r>
              <w:rPr>
                <w:sz w:val="16"/>
                <w:szCs w:val="16"/>
                <w:spacing w:val="-1"/>
              </w:rPr>
              <w:t>律尊执业，变更执壶</w:t>
            </w:r>
            <w:r>
              <w:rPr>
                <w:sz w:val="16"/>
                <w:szCs w:val="16"/>
              </w:rPr>
              <w:t xml:space="preserve">  </w:t>
            </w:r>
            <w:r>
              <w:rPr>
                <w:sz w:val="16"/>
                <w:szCs w:val="16"/>
              </w:rPr>
              <w:t>机构许可《含香染.温</w:t>
            </w:r>
            <w:r>
              <w:rPr>
                <w:sz w:val="16"/>
                <w:szCs w:val="16"/>
                <w:spacing w:val="3"/>
              </w:rPr>
              <w:t xml:space="preserve"> </w:t>
            </w:r>
            <w:r>
              <w:rPr>
                <w:sz w:val="16"/>
                <w:szCs w:val="16"/>
                <w:spacing w:val="5"/>
              </w:rPr>
              <w:t>门水久性居民中约中</w:t>
            </w:r>
            <w:r>
              <w:rPr>
                <w:sz w:val="16"/>
                <w:szCs w:val="16"/>
                <w:spacing w:val="1"/>
              </w:rPr>
              <w:t xml:space="preserve"> </w:t>
            </w:r>
            <w:r>
              <w:rPr>
                <w:sz w:val="16"/>
                <w:szCs w:val="16"/>
                <w:spacing w:val="2"/>
              </w:rPr>
              <w:t>国居民及台药医民申 </w:t>
            </w:r>
            <w:r>
              <w:rPr>
                <w:sz w:val="16"/>
                <w:szCs w:val="16"/>
                <w:spacing w:val="-1"/>
              </w:rPr>
              <w:t>请律师执业，变亚抗</w:t>
            </w:r>
            <w:r>
              <w:rPr>
                <w:sz w:val="16"/>
                <w:szCs w:val="16"/>
                <w:spacing w:val="1"/>
              </w:rPr>
              <w:t xml:space="preserve">  </w:t>
            </w:r>
            <w:r>
              <w:rPr>
                <w:sz w:val="16"/>
                <w:szCs w:val="16"/>
                <w:spacing w:val="-3"/>
              </w:rPr>
              <w:t>业机构》</w:t>
            </w:r>
          </w:p>
        </w:tc>
        <w:tc>
          <w:tcPr>
            <w:tcW w:w="2367" w:type="dxa"/>
            <w:vAlign w:val="top"/>
          </w:tcPr>
          <w:p>
            <w:pPr>
              <w:spacing w:line="400" w:lineRule="auto"/>
              <w:rPr>
                <w:rFonts w:ascii="Arial"/>
                <w:sz w:val="21"/>
              </w:rPr>
            </w:pPr>
            <w:r/>
          </w:p>
          <w:p>
            <w:pPr>
              <w:pStyle w:val="TableText"/>
              <w:ind w:left="64" w:right="104" w:firstLine="10"/>
              <w:spacing w:before="52" w:line="225" w:lineRule="auto"/>
              <w:rPr>
                <w:sz w:val="16"/>
                <w:szCs w:val="16"/>
              </w:rPr>
            </w:pPr>
            <w:r>
              <w:rPr>
                <w:sz w:val="16"/>
                <w:szCs w:val="16"/>
                <w:spacing w:val="1"/>
              </w:rPr>
              <w:t>省级司法行政部门(由设区的由</w:t>
            </w:r>
            <w:r>
              <w:rPr>
                <w:sz w:val="16"/>
                <w:szCs w:val="16"/>
                <w:spacing w:val="3"/>
              </w:rPr>
              <w:t xml:space="preserve"> </w:t>
            </w:r>
            <w:r>
              <w:rPr>
                <w:sz w:val="16"/>
                <w:szCs w:val="16"/>
                <w:spacing w:val="3"/>
              </w:rPr>
              <w:t>饭司法行政部门初审)</w:t>
            </w:r>
          </w:p>
        </w:tc>
        <w:tc>
          <w:tcPr>
            <w:tcW w:w="3711" w:type="dxa"/>
            <w:vAlign w:val="top"/>
          </w:tcPr>
          <w:p>
            <w:pPr>
              <w:spacing w:line="249" w:lineRule="auto"/>
              <w:rPr>
                <w:rFonts w:ascii="Arial"/>
                <w:sz w:val="21"/>
              </w:rPr>
            </w:pPr>
            <w:r/>
          </w:p>
          <w:p>
            <w:pPr>
              <w:spacing w:line="250" w:lineRule="auto"/>
              <w:rPr>
                <w:rFonts w:ascii="Arial"/>
                <w:sz w:val="21"/>
              </w:rPr>
            </w:pPr>
            <w:r/>
          </w:p>
          <w:p>
            <w:pPr>
              <w:pStyle w:val="TableText"/>
              <w:spacing w:before="52" w:line="219" w:lineRule="auto"/>
              <w:rPr>
                <w:sz w:val="16"/>
                <w:szCs w:val="16"/>
              </w:rPr>
            </w:pPr>
            <w:r>
              <w:rPr>
                <w:sz w:val="16"/>
                <w:szCs w:val="16"/>
                <w:spacing w:val="-3"/>
              </w:rPr>
              <w:t>《中华人民共和国律体状》</w:t>
            </w:r>
          </w:p>
        </w:tc>
      </w:tr>
      <w:tr>
        <w:trPr>
          <w:trHeight w:val="295" w:hRule="atLeast"/>
        </w:trPr>
        <w:tc>
          <w:tcPr>
            <w:tcW w:w="594" w:type="dxa"/>
            <w:vAlign w:val="top"/>
          </w:tcPr>
          <w:p>
            <w:pPr>
              <w:pStyle w:val="TableText"/>
              <w:ind w:left="164"/>
              <w:spacing w:before="116" w:line="184" w:lineRule="auto"/>
              <w:rPr>
                <w:sz w:val="16"/>
                <w:szCs w:val="16"/>
              </w:rPr>
            </w:pPr>
            <w:r>
              <w:rPr>
                <w:sz w:val="16"/>
                <w:szCs w:val="16"/>
                <w:spacing w:val="-5"/>
              </w:rPr>
              <w:t>124</w:t>
            </w:r>
          </w:p>
        </w:tc>
        <w:tc>
          <w:tcPr>
            <w:tcW w:w="1289" w:type="dxa"/>
            <w:vAlign w:val="top"/>
          </w:tcPr>
          <w:p>
            <w:pPr>
              <w:pStyle w:val="TableText"/>
              <w:ind w:left="390"/>
              <w:spacing w:before="76" w:line="219" w:lineRule="auto"/>
              <w:rPr>
                <w:sz w:val="16"/>
                <w:szCs w:val="16"/>
              </w:rPr>
            </w:pPr>
            <w:r>
              <w:rPr>
                <w:sz w:val="16"/>
                <w:szCs w:val="16"/>
                <w:spacing w:val="2"/>
              </w:rPr>
              <w:t>司法部</w:t>
            </w:r>
          </w:p>
        </w:tc>
        <w:tc>
          <w:tcPr>
            <w:tcW w:w="1628" w:type="dxa"/>
            <w:vAlign w:val="top"/>
          </w:tcPr>
          <w:p>
            <w:pPr>
              <w:pStyle w:val="TableText"/>
              <w:ind w:left="42"/>
              <w:spacing w:before="76" w:line="219" w:lineRule="auto"/>
              <w:rPr>
                <w:sz w:val="16"/>
                <w:szCs w:val="16"/>
              </w:rPr>
            </w:pPr>
            <w:r>
              <w:rPr>
                <w:sz w:val="16"/>
                <w:szCs w:val="16"/>
                <w:spacing w:val="-1"/>
              </w:rPr>
              <w:t>特计律师执业许可</w:t>
            </w:r>
          </w:p>
        </w:tc>
        <w:tc>
          <w:tcPr>
            <w:tcW w:w="2367" w:type="dxa"/>
            <w:vAlign w:val="top"/>
          </w:tcPr>
          <w:p>
            <w:pPr>
              <w:pStyle w:val="TableText"/>
              <w:ind w:left="64"/>
              <w:spacing w:before="79" w:line="223" w:lineRule="auto"/>
              <w:rPr>
                <w:sz w:val="16"/>
                <w:szCs w:val="16"/>
              </w:rPr>
            </w:pPr>
            <w:r>
              <w:rPr>
                <w:sz w:val="16"/>
                <w:szCs w:val="16"/>
                <w:spacing w:val="-2"/>
              </w:rPr>
              <w:t>可法器</w:t>
            </w:r>
          </w:p>
        </w:tc>
        <w:tc>
          <w:tcPr>
            <w:tcW w:w="3711" w:type="dxa"/>
            <w:vAlign w:val="top"/>
          </w:tcPr>
          <w:p>
            <w:pPr>
              <w:pStyle w:val="TableText"/>
              <w:spacing w:before="75" w:line="219" w:lineRule="auto"/>
              <w:rPr>
                <w:sz w:val="16"/>
                <w:szCs w:val="16"/>
              </w:rPr>
            </w:pPr>
            <w:r>
              <w:rPr>
                <w:sz w:val="16"/>
                <w:szCs w:val="16"/>
                <w:spacing w:val="-2"/>
              </w:rPr>
              <w:t>《中华人民共和国肆萍法)</w:t>
            </w:r>
          </w:p>
        </w:tc>
      </w:tr>
    </w:tbl>
    <w:p>
      <w:pPr>
        <w:pStyle w:val="BodyText"/>
        <w:rPr/>
      </w:pPr>
      <w:r/>
    </w:p>
    <w:p>
      <w:pPr>
        <w:sectPr>
          <w:pgSz w:w="11910" w:h="8220"/>
          <w:pgMar w:top="400" w:right="1185" w:bottom="400" w:left="811" w:header="0" w:footer="0" w:gutter="0"/>
        </w:sectPr>
        <w:rPr/>
      </w:pPr>
    </w:p>
    <w:p>
      <w:pPr>
        <w:spacing w:before="133"/>
        <w:rPr/>
      </w:pPr>
      <w:r>
        <mc:AlternateContent xmlns:mc="http://schemas.openxmlformats.org/markup-compatibility/2006">
          <mc:Choice Requires="wps">
            <w:drawing>
              <wp:anchor distT="0" distB="0" distL="0" distR="0" simplePos="0" relativeHeight="251834368" behindDoc="0" locked="0" layoutInCell="0" allowOverlap="1">
                <wp:simplePos x="0" y="0"/>
                <wp:positionH relativeFrom="page">
                  <wp:posOffset>472594</wp:posOffset>
                </wp:positionH>
                <wp:positionV relativeFrom="page">
                  <wp:posOffset>4393771</wp:posOffset>
                </wp:positionV>
                <wp:extent cx="168910" cy="157479"/>
                <wp:effectExtent l="0" t="0" r="0" b="0"/>
                <wp:wrapNone/>
                <wp:docPr id="188" name="TextBox 188"/>
                <wp:cNvGraphicFramePr/>
                <a:graphic>
                  <a:graphicData uri="http://schemas.microsoft.com/office/word/2010/wordprocessingShape">
                    <wps:wsp>
                      <wps:cNvSpPr txBox="1"/>
                      <wps:spPr>
                        <a:xfrm rot="5400000">
                          <a:off x="472594" y="4393771"/>
                          <a:ext cx="16891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Hei" w:hAnsi="SimHei" w:eastAsia="SimHei" w:cs="SimHei"/>
                                <w:sz w:val="16"/>
                                <w:szCs w:val="16"/>
                              </w:rPr>
                            </w:pPr>
                            <w:r>
                              <w:rPr>
                                <w:rFonts w:ascii="SimHei" w:hAnsi="SimHei" w:eastAsia="SimHei" w:cs="SimHei"/>
                                <w:sz w:val="16"/>
                                <w:szCs w:val="16"/>
                                <w:spacing w:val="-4"/>
                              </w:rPr>
                              <w:t>175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0" style="position:absolute;margin-left:37.2122pt;margin-top:345.966pt;mso-position-vertical-relative:page;mso-position-horizontal-relative:page;width:13.3pt;height:12.4pt;z-index:251834368;rotation:90;" o:allowincell="f" filled="false" stroked="false" type="#_x0000_t202">
                <v:fill on="false"/>
                <v:stroke on="false"/>
                <v:path/>
                <v:imagedata o:title=""/>
                <o:lock v:ext="edit" aspectratio="false"/>
                <v:textbox inset="0mm,0mm,0mm,0mm">
                  <w:txbxContent>
                    <w:p>
                      <w:pPr>
                        <w:ind w:left="20"/>
                        <w:spacing w:before="67" w:line="184" w:lineRule="auto"/>
                        <w:rPr>
                          <w:rFonts w:ascii="SimHei" w:hAnsi="SimHei" w:eastAsia="SimHei" w:cs="SimHei"/>
                          <w:sz w:val="16"/>
                          <w:szCs w:val="16"/>
                        </w:rPr>
                      </w:pPr>
                      <w:r>
                        <w:rPr>
                          <w:rFonts w:ascii="SimHei" w:hAnsi="SimHei" w:eastAsia="SimHei" w:cs="SimHei"/>
                          <w:sz w:val="16"/>
                          <w:szCs w:val="16"/>
                          <w:spacing w:val="-4"/>
                        </w:rPr>
                        <w:t>175</w:t>
                      </w:r>
                    </w:p>
                  </w:txbxContent>
                </v:textbox>
              </v:shape>
            </w:pict>
          </mc:Fallback>
        </mc:AlternateContent>
      </w:r>
      <w:r/>
    </w:p>
    <w:tbl>
      <w:tblPr>
        <w:tblStyle w:val="TableNormal"/>
        <w:tblW w:w="9549" w:type="dxa"/>
        <w:tblInd w:w="34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28"/>
        <w:gridCol w:w="2357"/>
        <w:gridCol w:w="369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中央主骨部门</w:t>
            </w:r>
          </w:p>
        </w:tc>
        <w:tc>
          <w:tcPr>
            <w:tcW w:w="1628" w:type="dxa"/>
            <w:vAlign w:val="top"/>
          </w:tcPr>
          <w:p>
            <w:pPr>
              <w:pStyle w:val="TableText"/>
              <w:ind w:left="481"/>
              <w:spacing w:before="132" w:line="220" w:lineRule="auto"/>
              <w:rPr>
                <w:sz w:val="16"/>
                <w:szCs w:val="16"/>
              </w:rPr>
            </w:pPr>
            <w:r>
              <w:rPr>
                <w:sz w:val="16"/>
                <w:szCs w:val="16"/>
                <w:spacing w:val="-2"/>
              </w:rPr>
              <w:t>事项名融</w:t>
            </w:r>
          </w:p>
        </w:tc>
        <w:tc>
          <w:tcPr>
            <w:tcW w:w="2357" w:type="dxa"/>
            <w:vAlign w:val="top"/>
          </w:tcPr>
          <w:p>
            <w:pPr>
              <w:pStyle w:val="TableText"/>
              <w:ind w:left="823"/>
              <w:spacing w:before="130" w:line="219" w:lineRule="auto"/>
              <w:rPr>
                <w:sz w:val="16"/>
                <w:szCs w:val="16"/>
              </w:rPr>
            </w:pPr>
            <w:r>
              <w:rPr>
                <w:sz w:val="16"/>
                <w:szCs w:val="16"/>
                <w:spacing w:val="-2"/>
              </w:rPr>
              <w:t>丢均机关</w:t>
            </w:r>
          </w:p>
        </w:tc>
        <w:tc>
          <w:tcPr>
            <w:tcW w:w="3691" w:type="dxa"/>
            <w:vAlign w:val="top"/>
          </w:tcPr>
          <w:p>
            <w:pPr>
              <w:pStyle w:val="TableText"/>
              <w:ind w:left="1256"/>
              <w:spacing w:before="130" w:line="219" w:lineRule="auto"/>
              <w:rPr>
                <w:sz w:val="16"/>
                <w:szCs w:val="16"/>
              </w:rPr>
            </w:pPr>
            <w:r>
              <w:rPr>
                <w:sz w:val="16"/>
                <w:szCs w:val="16"/>
                <w:spacing w:val="-2"/>
              </w:rPr>
              <w:t>设定和实装依据</w:t>
            </w:r>
          </w:p>
        </w:tc>
      </w:tr>
      <w:tr>
        <w:trPr>
          <w:trHeight w:val="899" w:hRule="atLeast"/>
        </w:trPr>
        <w:tc>
          <w:tcPr>
            <w:tcW w:w="584" w:type="dxa"/>
            <w:vAlign w:val="top"/>
          </w:tcPr>
          <w:p>
            <w:pPr>
              <w:spacing w:line="353" w:lineRule="auto"/>
              <w:rPr>
                <w:rFonts w:ascii="Arial"/>
                <w:sz w:val="21"/>
              </w:rPr>
            </w:pPr>
            <w:r/>
          </w:p>
          <w:p>
            <w:pPr>
              <w:pStyle w:val="TableText"/>
              <w:ind w:left="164"/>
              <w:spacing w:before="52" w:line="184" w:lineRule="auto"/>
              <w:rPr>
                <w:sz w:val="16"/>
                <w:szCs w:val="16"/>
              </w:rPr>
            </w:pPr>
            <w:r>
              <w:rPr>
                <w:sz w:val="16"/>
                <w:szCs w:val="16"/>
                <w:spacing w:val="-5"/>
              </w:rPr>
              <w:t>125</w:t>
            </w:r>
          </w:p>
        </w:tc>
        <w:tc>
          <w:tcPr>
            <w:tcW w:w="1289" w:type="dxa"/>
            <w:vAlign w:val="top"/>
          </w:tcPr>
          <w:p>
            <w:pPr>
              <w:spacing w:line="313" w:lineRule="auto"/>
              <w:rPr>
                <w:rFonts w:ascii="Arial"/>
                <w:sz w:val="21"/>
              </w:rPr>
            </w:pPr>
            <w:r/>
          </w:p>
          <w:p>
            <w:pPr>
              <w:pStyle w:val="TableText"/>
              <w:ind w:left="390"/>
              <w:spacing w:before="52" w:line="219" w:lineRule="auto"/>
              <w:rPr>
                <w:sz w:val="16"/>
                <w:szCs w:val="16"/>
              </w:rPr>
            </w:pPr>
            <w:r>
              <w:rPr>
                <w:sz w:val="16"/>
                <w:szCs w:val="16"/>
                <w:spacing w:val="-3"/>
              </w:rPr>
              <w:t>司法都</w:t>
            </w:r>
          </w:p>
        </w:tc>
        <w:tc>
          <w:tcPr>
            <w:tcW w:w="1628" w:type="dxa"/>
            <w:vAlign w:val="top"/>
          </w:tcPr>
          <w:p>
            <w:pPr>
              <w:pStyle w:val="TableText"/>
              <w:ind w:left="52" w:right="102" w:firstLine="29"/>
              <w:spacing w:before="276" w:line="214" w:lineRule="auto"/>
              <w:rPr>
                <w:sz w:val="16"/>
                <w:szCs w:val="16"/>
              </w:rPr>
            </w:pPr>
            <w:r>
              <w:rPr>
                <w:sz w:val="16"/>
                <w:szCs w:val="16"/>
                <w:spacing w:val="-1"/>
              </w:rPr>
              <w:t>基层法律服务工作者</w:t>
            </w:r>
            <w:r>
              <w:rPr>
                <w:sz w:val="16"/>
                <w:szCs w:val="16"/>
                <w:spacing w:val="1"/>
              </w:rPr>
              <w:t xml:space="preserve"> </w:t>
            </w:r>
            <w:r>
              <w:rPr>
                <w:sz w:val="16"/>
                <w:szCs w:val="16"/>
                <w:spacing w:val="-2"/>
              </w:rPr>
              <w:t>执受核准</w:t>
            </w:r>
          </w:p>
        </w:tc>
        <w:tc>
          <w:tcPr>
            <w:tcW w:w="2357" w:type="dxa"/>
            <w:vAlign w:val="top"/>
          </w:tcPr>
          <w:p>
            <w:pPr>
              <w:spacing w:line="313" w:lineRule="auto"/>
              <w:rPr>
                <w:rFonts w:ascii="Arial"/>
                <w:sz w:val="21"/>
              </w:rPr>
            </w:pPr>
            <w:r/>
          </w:p>
          <w:p>
            <w:pPr>
              <w:pStyle w:val="TableText"/>
              <w:ind w:left="63"/>
              <w:spacing w:before="52" w:line="219" w:lineRule="auto"/>
              <w:rPr>
                <w:sz w:val="16"/>
                <w:szCs w:val="16"/>
              </w:rPr>
            </w:pPr>
            <w:r>
              <w:rPr>
                <w:sz w:val="16"/>
                <w:szCs w:val="16"/>
                <w:spacing w:val="1"/>
              </w:rPr>
              <w:t>设区的市级动法行政部门</w:t>
            </w:r>
          </w:p>
        </w:tc>
        <w:tc>
          <w:tcPr>
            <w:tcW w:w="3691" w:type="dxa"/>
            <w:vAlign w:val="top"/>
          </w:tcPr>
          <w:p>
            <w:pPr>
              <w:pStyle w:val="TableText"/>
              <w:ind w:left="136" w:right="236" w:hanging="70"/>
              <w:spacing w:before="67" w:line="225" w:lineRule="auto"/>
              <w:rPr>
                <w:sz w:val="16"/>
                <w:szCs w:val="16"/>
              </w:rPr>
            </w:pPr>
            <w:r>
              <w:rPr>
                <w:sz w:val="16"/>
                <w:szCs w:val="16"/>
              </w:rPr>
              <w:t>国务院对确需保情的行改审些项日设定行收许明</w:t>
            </w:r>
            <w:r>
              <w:rPr>
                <w:sz w:val="16"/>
                <w:szCs w:val="16"/>
                <w:spacing w:val="16"/>
              </w:rPr>
              <w:t xml:space="preserve"> </w:t>
            </w:r>
            <w:r>
              <w:rPr>
                <w:sz w:val="16"/>
                <w:szCs w:val="16"/>
                <w:spacing w:val="3"/>
              </w:rPr>
              <w:t>的决定</w:t>
            </w:r>
          </w:p>
          <w:p>
            <w:pPr>
              <w:pStyle w:val="TableText"/>
              <w:ind w:left="136" w:right="257" w:hanging="80"/>
              <w:spacing w:before="9" w:line="242" w:lineRule="auto"/>
              <w:rPr>
                <w:sz w:val="16"/>
                <w:szCs w:val="16"/>
              </w:rPr>
            </w:pPr>
            <w:r>
              <w:rPr>
                <w:sz w:val="16"/>
                <w:szCs w:val="16"/>
              </w:rPr>
              <w:t>国各院关于第六老取消和调偿行应动批项目的决</w:t>
            </w:r>
            <w:r>
              <w:rPr>
                <w:sz w:val="16"/>
                <w:szCs w:val="16"/>
                <w:spacing w:val="5"/>
              </w:rPr>
              <w:t xml:space="preserve"> </w:t>
            </w:r>
            <w:r>
              <w:rPr>
                <w:sz w:val="16"/>
                <w:szCs w:val="16"/>
                <w:spacing w:val="2"/>
              </w:rPr>
              <w:t>定科国发(2012)5度号)</w:t>
            </w:r>
          </w:p>
        </w:tc>
      </w:tr>
      <w:tr>
        <w:trPr>
          <w:trHeight w:val="499" w:hRule="atLeast"/>
        </w:trPr>
        <w:tc>
          <w:tcPr>
            <w:tcW w:w="584" w:type="dxa"/>
            <w:vAlign w:val="top"/>
          </w:tcPr>
          <w:p>
            <w:pPr>
              <w:pStyle w:val="TableText"/>
              <w:ind w:left="124"/>
              <w:spacing w:before="199" w:line="188" w:lineRule="auto"/>
              <w:rPr>
                <w:sz w:val="21"/>
                <w:szCs w:val="21"/>
              </w:rPr>
            </w:pPr>
            <w:r>
              <w:rPr>
                <w:sz w:val="21"/>
                <w:szCs w:val="21"/>
                <w:spacing w:val="-6"/>
              </w:rPr>
              <w:t>1kb</w:t>
            </w:r>
          </w:p>
        </w:tc>
        <w:tc>
          <w:tcPr>
            <w:tcW w:w="1289" w:type="dxa"/>
            <w:vAlign w:val="top"/>
          </w:tcPr>
          <w:p>
            <w:pPr>
              <w:pStyle w:val="TableText"/>
              <w:ind w:left="390"/>
              <w:spacing w:before="169" w:line="220" w:lineRule="auto"/>
              <w:rPr>
                <w:sz w:val="16"/>
                <w:szCs w:val="16"/>
              </w:rPr>
            </w:pPr>
            <w:r>
              <w:rPr>
                <w:sz w:val="16"/>
                <w:szCs w:val="16"/>
                <w:spacing w:val="2"/>
              </w:rPr>
              <w:t>司法常</w:t>
            </w:r>
          </w:p>
        </w:tc>
        <w:tc>
          <w:tcPr>
            <w:tcW w:w="1628" w:type="dxa"/>
            <w:vAlign w:val="top"/>
          </w:tcPr>
          <w:p>
            <w:pPr>
              <w:pStyle w:val="TableText"/>
              <w:ind w:left="81" w:right="102"/>
              <w:spacing w:before="68" w:line="226" w:lineRule="auto"/>
              <w:rPr>
                <w:sz w:val="16"/>
                <w:szCs w:val="16"/>
              </w:rPr>
            </w:pPr>
            <w:r>
              <w:rPr>
                <w:sz w:val="16"/>
                <w:szCs w:val="16"/>
                <w:spacing w:val="-1"/>
              </w:rPr>
              <w:t>律师事务街及分所度</w:t>
            </w:r>
            <w:r>
              <w:rPr>
                <w:sz w:val="16"/>
                <w:szCs w:val="16"/>
                <w:spacing w:val="1"/>
              </w:rPr>
              <w:t xml:space="preserve"> </w:t>
            </w:r>
            <w:r>
              <w:rPr>
                <w:sz w:val="16"/>
                <w:szCs w:val="16"/>
                <w:spacing w:val="-1"/>
              </w:rPr>
              <w:t>立，登更，注情许可</w:t>
            </w:r>
          </w:p>
        </w:tc>
        <w:tc>
          <w:tcPr>
            <w:tcW w:w="2357" w:type="dxa"/>
            <w:vAlign w:val="top"/>
          </w:tcPr>
          <w:p>
            <w:pPr>
              <w:pStyle w:val="TableText"/>
              <w:ind w:left="63" w:right="121" w:firstLine="10"/>
              <w:spacing w:before="67" w:line="237" w:lineRule="auto"/>
              <w:rPr>
                <w:sz w:val="16"/>
                <w:szCs w:val="16"/>
              </w:rPr>
            </w:pPr>
            <w:r>
              <w:rPr>
                <w:sz w:val="16"/>
                <w:szCs w:val="16"/>
                <w:spacing w:val="-1"/>
              </w:rPr>
              <w:t>省级司然行政部门(由设述的市</w:t>
            </w:r>
            <w:r>
              <w:rPr>
                <w:sz w:val="16"/>
                <w:szCs w:val="16"/>
                <w:spacing w:val="4"/>
              </w:rPr>
              <w:t xml:space="preserve"> </w:t>
            </w:r>
            <w:r>
              <w:rPr>
                <w:sz w:val="16"/>
                <w:szCs w:val="16"/>
                <w:spacing w:val="1"/>
              </w:rPr>
              <w:t>级司法行砍部门初审</w:t>
            </w:r>
          </w:p>
        </w:tc>
        <w:tc>
          <w:tcPr>
            <w:tcW w:w="3691" w:type="dxa"/>
            <w:vAlign w:val="top"/>
          </w:tcPr>
          <w:p>
            <w:pPr>
              <w:pStyle w:val="TableText"/>
              <w:ind w:left="57"/>
              <w:spacing w:before="168" w:line="219" w:lineRule="auto"/>
              <w:rPr>
                <w:sz w:val="16"/>
                <w:szCs w:val="16"/>
              </w:rPr>
            </w:pPr>
            <w:r>
              <w:rPr>
                <w:sz w:val="16"/>
                <w:szCs w:val="16"/>
                <w:spacing w:val="-2"/>
              </w:rPr>
              <w:t>《中华人民其和国律育法》</w:t>
            </w:r>
          </w:p>
        </w:tc>
      </w:tr>
      <w:tr>
        <w:trPr>
          <w:trHeight w:val="709" w:hRule="atLeast"/>
        </w:trPr>
        <w:tc>
          <w:tcPr>
            <w:tcW w:w="584" w:type="dxa"/>
            <w:vAlign w:val="top"/>
          </w:tcPr>
          <w:p>
            <w:pPr>
              <w:spacing w:line="266" w:lineRule="auto"/>
              <w:rPr>
                <w:rFonts w:ascii="Arial"/>
                <w:sz w:val="21"/>
              </w:rPr>
            </w:pPr>
            <w:r/>
          </w:p>
          <w:p>
            <w:pPr>
              <w:pStyle w:val="TableText"/>
              <w:ind w:left="164"/>
              <w:spacing w:before="52" w:line="184" w:lineRule="auto"/>
              <w:rPr>
                <w:sz w:val="16"/>
                <w:szCs w:val="16"/>
              </w:rPr>
            </w:pPr>
            <w:r>
              <w:rPr>
                <w:sz w:val="16"/>
                <w:szCs w:val="16"/>
                <w:spacing w:val="-5"/>
              </w:rPr>
              <w:t>127</w:t>
            </w:r>
          </w:p>
        </w:tc>
        <w:tc>
          <w:tcPr>
            <w:tcW w:w="1289" w:type="dxa"/>
            <w:vAlign w:val="top"/>
          </w:tcPr>
          <w:p>
            <w:pPr>
              <w:pStyle w:val="TableText"/>
              <w:ind w:left="390"/>
              <w:spacing w:before="279" w:line="219" w:lineRule="auto"/>
              <w:rPr>
                <w:sz w:val="16"/>
                <w:szCs w:val="16"/>
              </w:rPr>
            </w:pPr>
            <w:r>
              <w:rPr>
                <w:sz w:val="16"/>
                <w:szCs w:val="16"/>
                <w:spacing w:val="-2"/>
              </w:rPr>
              <w:t>动法都</w:t>
            </w:r>
          </w:p>
        </w:tc>
        <w:tc>
          <w:tcPr>
            <w:tcW w:w="1628" w:type="dxa"/>
            <w:vAlign w:val="top"/>
          </w:tcPr>
          <w:p>
            <w:pPr>
              <w:pStyle w:val="TableText"/>
              <w:ind w:left="22" w:right="102" w:firstLine="59"/>
              <w:spacing w:before="69" w:line="235" w:lineRule="auto"/>
              <w:jc w:val="both"/>
              <w:rPr>
                <w:sz w:val="16"/>
                <w:szCs w:val="16"/>
              </w:rPr>
            </w:pPr>
            <w:r>
              <w:rPr>
                <w:sz w:val="16"/>
                <w:szCs w:val="16"/>
                <w:spacing w:val="-2"/>
              </w:rPr>
              <w:t>登范，演门律经事务</w:t>
            </w:r>
            <w:r>
              <w:rPr>
                <w:sz w:val="16"/>
                <w:szCs w:val="16"/>
                <w:spacing w:val="7"/>
              </w:rPr>
              <w:t xml:space="preserve"> </w:t>
            </w:r>
            <w:r>
              <w:rPr>
                <w:sz w:val="16"/>
                <w:szCs w:val="16"/>
                <w:spacing w:val="5"/>
              </w:rPr>
              <w:t>所驻内地化表机和设</w:t>
            </w:r>
            <w:r>
              <w:rPr>
                <w:sz w:val="16"/>
                <w:szCs w:val="16"/>
                <w:spacing w:val="7"/>
              </w:rPr>
              <w:t xml:space="preserve"> </w:t>
            </w:r>
            <w:r>
              <w:rPr>
                <w:sz w:val="16"/>
                <w:szCs w:val="16"/>
                <w:spacing w:val="-1"/>
              </w:rPr>
              <w:t>立，变更，注钠许可</w:t>
            </w:r>
          </w:p>
        </w:tc>
        <w:tc>
          <w:tcPr>
            <w:tcW w:w="2357" w:type="dxa"/>
            <w:vAlign w:val="top"/>
          </w:tcPr>
          <w:p>
            <w:pPr>
              <w:pStyle w:val="TableText"/>
              <w:ind w:left="63"/>
              <w:spacing w:before="279" w:line="219" w:lineRule="auto"/>
              <w:rPr>
                <w:sz w:val="16"/>
                <w:szCs w:val="16"/>
              </w:rPr>
            </w:pPr>
            <w:r>
              <w:rPr>
                <w:sz w:val="16"/>
                <w:szCs w:val="16"/>
                <w:spacing w:val="2"/>
              </w:rPr>
              <w:t>省级司法行酸部门</w:t>
            </w:r>
          </w:p>
        </w:tc>
        <w:tc>
          <w:tcPr>
            <w:tcW w:w="3691" w:type="dxa"/>
            <w:vAlign w:val="top"/>
          </w:tcPr>
          <w:p>
            <w:pPr>
              <w:pStyle w:val="TableText"/>
              <w:ind w:left="137"/>
              <w:spacing w:before="68" w:line="219" w:lineRule="auto"/>
              <w:rPr>
                <w:sz w:val="16"/>
                <w:szCs w:val="16"/>
              </w:rPr>
            </w:pPr>
            <w:r>
              <w:rPr>
                <w:sz w:val="16"/>
                <w:szCs w:val="16"/>
              </w:rPr>
              <w:t>(外国摩中事务所驻华代表机构查理条州》</w:t>
            </w:r>
          </w:p>
          <w:p>
            <w:pPr>
              <w:pStyle w:val="TableText"/>
              <w:ind w:left="136" w:right="112" w:hanging="80"/>
              <w:spacing w:before="10" w:line="237" w:lineRule="auto"/>
              <w:rPr>
                <w:sz w:val="16"/>
                <w:szCs w:val="16"/>
              </w:rPr>
            </w:pPr>
            <w:r>
              <w:rPr>
                <w:sz w:val="16"/>
                <w:szCs w:val="16"/>
                <w:spacing w:val="-1"/>
              </w:rPr>
              <w:t>各群，难门特别行政区建师事多所陆内地代由机构</w:t>
            </w:r>
            <w:r>
              <w:rPr>
                <w:sz w:val="16"/>
                <w:szCs w:val="16"/>
                <w:spacing w:val="12"/>
              </w:rPr>
              <w:t xml:space="preserve"> </w:t>
            </w:r>
            <w:r>
              <w:rPr>
                <w:sz w:val="16"/>
                <w:szCs w:val="16"/>
                <w:spacing w:val="-3"/>
              </w:rPr>
              <w:t>管理办试》</w:t>
            </w:r>
          </w:p>
        </w:tc>
      </w:tr>
      <w:tr>
        <w:trPr>
          <w:trHeight w:val="899" w:hRule="atLeast"/>
        </w:trPr>
        <w:tc>
          <w:tcPr>
            <w:tcW w:w="584" w:type="dxa"/>
            <w:vAlign w:val="top"/>
          </w:tcPr>
          <w:p>
            <w:pPr>
              <w:spacing w:line="340" w:lineRule="auto"/>
              <w:rPr>
                <w:rFonts w:ascii="Arial"/>
                <w:sz w:val="21"/>
              </w:rPr>
            </w:pPr>
            <w:r/>
          </w:p>
          <w:p>
            <w:pPr>
              <w:pStyle w:val="TableText"/>
              <w:ind w:left="164"/>
              <w:spacing w:before="52" w:line="183" w:lineRule="auto"/>
              <w:rPr>
                <w:sz w:val="16"/>
                <w:szCs w:val="16"/>
              </w:rPr>
            </w:pPr>
            <w:r>
              <w:rPr>
                <w:sz w:val="16"/>
                <w:szCs w:val="16"/>
                <w:spacing w:val="-2"/>
              </w:rPr>
              <w:t>J28</w:t>
            </w:r>
          </w:p>
        </w:tc>
        <w:tc>
          <w:tcPr>
            <w:tcW w:w="1289" w:type="dxa"/>
            <w:vAlign w:val="top"/>
          </w:tcPr>
          <w:p>
            <w:pPr>
              <w:spacing w:line="316" w:lineRule="auto"/>
              <w:rPr>
                <w:rFonts w:ascii="Arial"/>
                <w:sz w:val="21"/>
              </w:rPr>
            </w:pPr>
            <w:r/>
          </w:p>
          <w:p>
            <w:pPr>
              <w:pStyle w:val="TableText"/>
              <w:ind w:left="390"/>
              <w:spacing w:before="52" w:line="219" w:lineRule="auto"/>
              <w:rPr>
                <w:sz w:val="16"/>
                <w:szCs w:val="16"/>
              </w:rPr>
            </w:pPr>
            <w:r>
              <w:rPr>
                <w:sz w:val="16"/>
                <w:szCs w:val="16"/>
                <w:spacing w:val="2"/>
              </w:rPr>
              <w:t>问法部</w:t>
            </w:r>
          </w:p>
        </w:tc>
        <w:tc>
          <w:tcPr>
            <w:tcW w:w="1628" w:type="dxa"/>
            <w:vAlign w:val="top"/>
          </w:tcPr>
          <w:p>
            <w:pPr>
              <w:pStyle w:val="TableText"/>
              <w:ind w:left="22" w:right="81" w:firstLine="59"/>
              <w:spacing w:before="59" w:line="233" w:lineRule="auto"/>
              <w:jc w:val="both"/>
              <w:rPr>
                <w:sz w:val="16"/>
                <w:szCs w:val="16"/>
              </w:rPr>
            </w:pPr>
            <w:r>
              <w:rPr>
                <w:sz w:val="16"/>
                <w:szCs w:val="16"/>
                <w:spacing w:val="-1"/>
              </w:rPr>
              <w:t>春险，周门律即里务</w:t>
            </w:r>
            <w:r>
              <w:rPr>
                <w:sz w:val="16"/>
                <w:szCs w:val="16"/>
                <w:spacing w:val="2"/>
              </w:rPr>
              <w:t xml:space="preserve"> </w:t>
            </w:r>
            <w:r>
              <w:rPr>
                <w:sz w:val="16"/>
                <w:szCs w:val="16"/>
                <w:spacing w:val="8"/>
              </w:rPr>
              <w:t>所驻内地代表机构点</w:t>
            </w:r>
            <w:r>
              <w:rPr>
                <w:sz w:val="16"/>
                <w:szCs w:val="16"/>
                <w:spacing w:val="1"/>
              </w:rPr>
              <w:t xml:space="preserve"> </w:t>
            </w:r>
            <w:r>
              <w:rPr>
                <w:sz w:val="16"/>
                <w:szCs w:val="16"/>
                <w:spacing w:val="6"/>
              </w:rPr>
              <w:t>牲代表执业，立更许</w:t>
            </w:r>
            <w:r>
              <w:rPr>
                <w:sz w:val="16"/>
                <w:szCs w:val="16"/>
              </w:rPr>
              <w:t xml:space="preserve"> </w:t>
            </w:r>
            <w:r>
              <w:rPr>
                <w:sz w:val="16"/>
                <w:szCs w:val="16"/>
              </w:rPr>
              <w:t>可</w:t>
            </w:r>
          </w:p>
        </w:tc>
        <w:tc>
          <w:tcPr>
            <w:tcW w:w="2357" w:type="dxa"/>
            <w:vAlign w:val="top"/>
          </w:tcPr>
          <w:p>
            <w:pPr>
              <w:spacing w:line="316" w:lineRule="auto"/>
              <w:rPr>
                <w:rFonts w:ascii="Arial"/>
                <w:sz w:val="21"/>
              </w:rPr>
            </w:pPr>
            <w:r/>
          </w:p>
          <w:p>
            <w:pPr>
              <w:pStyle w:val="TableText"/>
              <w:ind w:left="63"/>
              <w:spacing w:before="52" w:line="219" w:lineRule="auto"/>
              <w:rPr>
                <w:sz w:val="16"/>
                <w:szCs w:val="16"/>
              </w:rPr>
            </w:pPr>
            <w:r>
              <w:rPr>
                <w:sz w:val="16"/>
                <w:szCs w:val="16"/>
                <w:spacing w:val="2"/>
              </w:rPr>
              <w:t>者股司法行磁部门</w:t>
            </w:r>
          </w:p>
        </w:tc>
        <w:tc>
          <w:tcPr>
            <w:tcW w:w="3691" w:type="dxa"/>
            <w:vAlign w:val="top"/>
          </w:tcPr>
          <w:p>
            <w:pPr>
              <w:pStyle w:val="TableText"/>
              <w:ind w:left="137"/>
              <w:spacing w:before="169" w:line="219" w:lineRule="auto"/>
              <w:rPr>
                <w:sz w:val="16"/>
                <w:szCs w:val="16"/>
              </w:rPr>
            </w:pPr>
            <w:r>
              <w:rPr>
                <w:sz w:val="16"/>
                <w:szCs w:val="16"/>
              </w:rPr>
              <w:t>外国准障事务断驻华代表机构简理态例1</w:t>
            </w:r>
          </w:p>
          <w:p>
            <w:pPr>
              <w:pStyle w:val="TableText"/>
              <w:ind w:left="136" w:right="4" w:hanging="79"/>
              <w:spacing w:before="11" w:line="237" w:lineRule="auto"/>
              <w:rPr>
                <w:sz w:val="16"/>
                <w:szCs w:val="16"/>
              </w:rPr>
            </w:pPr>
            <w:r>
              <w:rPr>
                <w:sz w:val="16"/>
                <w:szCs w:val="16"/>
                <w:spacing w:val="-3"/>
              </w:rPr>
              <w:t>《香抱，澳门特列行政区律伸事务所驻内地代表阴构</w:t>
            </w:r>
            <w:r>
              <w:rPr>
                <w:sz w:val="16"/>
                <w:szCs w:val="16"/>
                <w:spacing w:val="7"/>
              </w:rPr>
              <w:t xml:space="preserve"> </w:t>
            </w:r>
            <w:r>
              <w:rPr>
                <w:sz w:val="16"/>
                <w:szCs w:val="16"/>
                <w:spacing w:val="-3"/>
              </w:rPr>
              <w:t>壹理外甚》</w:t>
            </w:r>
          </w:p>
        </w:tc>
      </w:tr>
      <w:tr>
        <w:trPr>
          <w:trHeight w:val="709" w:hRule="atLeast"/>
        </w:trPr>
        <w:tc>
          <w:tcPr>
            <w:tcW w:w="584" w:type="dxa"/>
            <w:vAlign w:val="top"/>
          </w:tcPr>
          <w:p>
            <w:pPr>
              <w:spacing w:line="268" w:lineRule="auto"/>
              <w:rPr>
                <w:rFonts w:ascii="Arial"/>
                <w:sz w:val="21"/>
              </w:rPr>
            </w:pPr>
            <w:r/>
          </w:p>
          <w:p>
            <w:pPr>
              <w:pStyle w:val="TableText"/>
              <w:ind w:left="164"/>
              <w:spacing w:before="52" w:line="184" w:lineRule="auto"/>
              <w:rPr>
                <w:sz w:val="16"/>
                <w:szCs w:val="16"/>
              </w:rPr>
            </w:pPr>
            <w:r>
              <w:rPr>
                <w:sz w:val="16"/>
                <w:szCs w:val="16"/>
                <w:spacing w:val="-5"/>
              </w:rPr>
              <w:t>129</w:t>
            </w:r>
          </w:p>
        </w:tc>
        <w:tc>
          <w:tcPr>
            <w:tcW w:w="1289" w:type="dxa"/>
            <w:vAlign w:val="top"/>
          </w:tcPr>
          <w:p>
            <w:pPr>
              <w:pStyle w:val="TableText"/>
              <w:ind w:left="390"/>
              <w:spacing w:before="281" w:line="219" w:lineRule="auto"/>
              <w:rPr>
                <w:sz w:val="16"/>
                <w:szCs w:val="16"/>
              </w:rPr>
            </w:pPr>
            <w:r>
              <w:rPr>
                <w:sz w:val="16"/>
                <w:szCs w:val="16"/>
                <w:spacing w:val="-3"/>
              </w:rPr>
              <w:t>司法都</w:t>
            </w:r>
          </w:p>
        </w:tc>
        <w:tc>
          <w:tcPr>
            <w:tcW w:w="1628" w:type="dxa"/>
            <w:vAlign w:val="top"/>
          </w:tcPr>
          <w:p>
            <w:pPr>
              <w:pStyle w:val="TableText"/>
              <w:ind w:left="32" w:right="102" w:firstLine="49"/>
              <w:spacing w:before="60" w:line="235" w:lineRule="auto"/>
              <w:jc w:val="both"/>
              <w:rPr>
                <w:sz w:val="16"/>
                <w:szCs w:val="16"/>
              </w:rPr>
            </w:pPr>
            <w:r>
              <w:rPr>
                <w:sz w:val="16"/>
                <w:szCs w:val="16"/>
                <w:spacing w:val="-1"/>
              </w:rPr>
              <w:t>香非、预门律师事夯</w:t>
            </w:r>
            <w:r>
              <w:rPr>
                <w:sz w:val="16"/>
                <w:szCs w:val="16"/>
              </w:rPr>
              <w:t xml:space="preserve"> </w:t>
            </w:r>
            <w:r>
              <w:rPr>
                <w:sz w:val="16"/>
                <w:szCs w:val="16"/>
                <w:spacing w:val="4"/>
              </w:rPr>
              <w:t>所与内他障师事骨所</w:t>
            </w:r>
            <w:r>
              <w:rPr>
                <w:sz w:val="16"/>
                <w:szCs w:val="16"/>
                <w:spacing w:val="6"/>
              </w:rPr>
              <w:t xml:space="preserve"> </w:t>
            </w:r>
            <w:r>
              <w:rPr>
                <w:sz w:val="16"/>
                <w:szCs w:val="16"/>
                <w:spacing w:val="-2"/>
              </w:rPr>
              <w:t>联合枚常</w:t>
            </w:r>
          </w:p>
        </w:tc>
        <w:tc>
          <w:tcPr>
            <w:tcW w:w="2357" w:type="dxa"/>
            <w:vAlign w:val="top"/>
          </w:tcPr>
          <w:p>
            <w:pPr>
              <w:pStyle w:val="TableText"/>
              <w:ind w:left="63"/>
              <w:spacing w:before="281" w:line="219" w:lineRule="auto"/>
              <w:rPr>
                <w:sz w:val="16"/>
                <w:szCs w:val="16"/>
              </w:rPr>
            </w:pPr>
            <w:r>
              <w:rPr>
                <w:sz w:val="16"/>
                <w:szCs w:val="16"/>
                <w:spacing w:val="2"/>
              </w:rPr>
              <w:t>省级司法行政部门</w:t>
            </w:r>
          </w:p>
        </w:tc>
        <w:tc>
          <w:tcPr>
            <w:tcW w:w="3691" w:type="dxa"/>
            <w:vAlign w:val="top"/>
          </w:tcPr>
          <w:p>
            <w:pPr>
              <w:pStyle w:val="TableText"/>
              <w:ind w:left="137" w:right="177"/>
              <w:spacing w:before="171" w:line="231" w:lineRule="auto"/>
              <w:rPr>
                <w:sz w:val="16"/>
                <w:szCs w:val="16"/>
              </w:rPr>
            </w:pPr>
            <w:r>
              <w:rPr>
                <w:sz w:val="16"/>
                <w:szCs w:val="16"/>
              </w:rPr>
              <w:t>国务院好动需保间的行收审批项日设定行教许可</w:t>
            </w:r>
            <w:r>
              <w:rPr>
                <w:sz w:val="16"/>
                <w:szCs w:val="16"/>
                <w:spacing w:val="5"/>
              </w:rPr>
              <w:t xml:space="preserve"> </w:t>
            </w:r>
            <w:r>
              <w:rPr>
                <w:sz w:val="16"/>
                <w:szCs w:val="16"/>
                <w:spacing w:val="8"/>
              </w:rPr>
              <w:t>沉决空)</w:t>
            </w:r>
          </w:p>
        </w:tc>
      </w:tr>
      <w:tr>
        <w:trPr>
          <w:trHeight w:val="699" w:hRule="atLeast"/>
        </w:trPr>
        <w:tc>
          <w:tcPr>
            <w:tcW w:w="584" w:type="dxa"/>
            <w:vAlign w:val="top"/>
          </w:tcPr>
          <w:p>
            <w:pPr>
              <w:spacing w:line="259" w:lineRule="auto"/>
              <w:rPr>
                <w:rFonts w:ascii="Arial"/>
                <w:sz w:val="21"/>
              </w:rPr>
            </w:pPr>
            <w:r/>
          </w:p>
          <w:p>
            <w:pPr>
              <w:pStyle w:val="TableText"/>
              <w:ind w:left="164"/>
              <w:spacing w:before="52" w:line="184" w:lineRule="auto"/>
              <w:rPr>
                <w:sz w:val="16"/>
                <w:szCs w:val="16"/>
              </w:rPr>
            </w:pPr>
            <w:r>
              <w:rPr>
                <w:sz w:val="16"/>
                <w:szCs w:val="16"/>
                <w:spacing w:val="-5"/>
              </w:rPr>
              <w:t>130</w:t>
            </w:r>
          </w:p>
        </w:tc>
        <w:tc>
          <w:tcPr>
            <w:tcW w:w="1289" w:type="dxa"/>
            <w:vAlign w:val="top"/>
          </w:tcPr>
          <w:p>
            <w:pPr>
              <w:pStyle w:val="TableText"/>
              <w:ind w:left="390"/>
              <w:spacing w:before="272" w:line="219" w:lineRule="auto"/>
              <w:rPr>
                <w:sz w:val="16"/>
                <w:szCs w:val="16"/>
              </w:rPr>
            </w:pPr>
            <w:r>
              <w:rPr>
                <w:sz w:val="16"/>
                <w:szCs w:val="16"/>
                <w:spacing w:val="-3"/>
              </w:rPr>
              <w:t>司法都</w:t>
            </w:r>
          </w:p>
        </w:tc>
        <w:tc>
          <w:tcPr>
            <w:tcW w:w="1628" w:type="dxa"/>
            <w:vAlign w:val="top"/>
          </w:tcPr>
          <w:p>
            <w:pPr>
              <w:pStyle w:val="TableText"/>
              <w:ind w:left="42" w:right="15" w:firstLine="39"/>
              <w:spacing w:before="62" w:line="227" w:lineRule="auto"/>
              <w:jc w:val="both"/>
              <w:rPr>
                <w:sz w:val="16"/>
                <w:szCs w:val="16"/>
              </w:rPr>
            </w:pPr>
            <w:r>
              <w:rPr>
                <w:sz w:val="16"/>
                <w:szCs w:val="16"/>
                <w:spacing w:val="-2"/>
              </w:rPr>
              <w:t>外国律师市务所脏华</w:t>
            </w:r>
            <w:r>
              <w:rPr>
                <w:sz w:val="16"/>
                <w:szCs w:val="16"/>
                <w:spacing w:val="3"/>
              </w:rPr>
              <w:t xml:space="preserve">  </w:t>
            </w:r>
            <w:r>
              <w:rPr>
                <w:sz w:val="16"/>
                <w:szCs w:val="16"/>
                <w:spacing w:val="4"/>
              </w:rPr>
              <w:t>代表机构设立.亚更，</w:t>
            </w:r>
            <w:r>
              <w:rPr>
                <w:sz w:val="16"/>
                <w:szCs w:val="16"/>
              </w:rPr>
              <w:t xml:space="preserve"> </w:t>
            </w:r>
            <w:r>
              <w:rPr>
                <w:sz w:val="16"/>
                <w:szCs w:val="16"/>
                <w:spacing w:val="-2"/>
              </w:rPr>
              <w:t>在算许可</w:t>
            </w:r>
          </w:p>
        </w:tc>
        <w:tc>
          <w:tcPr>
            <w:tcW w:w="2357" w:type="dxa"/>
            <w:vAlign w:val="top"/>
          </w:tcPr>
          <w:p>
            <w:pPr>
              <w:pStyle w:val="TableText"/>
              <w:ind w:left="63" w:right="125" w:firstLine="10"/>
              <w:spacing w:before="171" w:line="232" w:lineRule="auto"/>
              <w:rPr>
                <w:sz w:val="16"/>
                <w:szCs w:val="16"/>
              </w:rPr>
            </w:pPr>
            <w:r>
              <w:rPr>
                <w:sz w:val="16"/>
                <w:szCs w:val="16"/>
                <w:spacing w:val="-1"/>
              </w:rPr>
              <w:t>司法部r由省级可法行政那门树</w:t>
            </w:r>
            <w:r>
              <w:rPr>
                <w:sz w:val="16"/>
                <w:szCs w:val="16"/>
              </w:rPr>
              <w:t xml:space="preserve"> </w:t>
            </w:r>
            <w:r>
              <w:rPr>
                <w:sz w:val="16"/>
                <w:szCs w:val="16"/>
                <w:spacing w:val="-5"/>
              </w:rPr>
              <w:t>軍</w:t>
            </w:r>
            <w:r>
              <w:rPr>
                <w:sz w:val="16"/>
                <w:szCs w:val="16"/>
                <w:spacing w:val="-29"/>
              </w:rPr>
              <w:t xml:space="preserve"> </w:t>
            </w:r>
            <w:r>
              <w:rPr>
                <w:sz w:val="16"/>
                <w:szCs w:val="16"/>
                <w:spacing w:val="-5"/>
              </w:rPr>
              <w:t>)</w:t>
            </w:r>
          </w:p>
        </w:tc>
        <w:tc>
          <w:tcPr>
            <w:tcW w:w="3691" w:type="dxa"/>
            <w:vAlign w:val="top"/>
          </w:tcPr>
          <w:p>
            <w:pPr>
              <w:pStyle w:val="TableText"/>
              <w:ind w:left="137"/>
              <w:spacing w:before="271" w:line="219" w:lineRule="auto"/>
              <w:rPr>
                <w:sz w:val="16"/>
                <w:szCs w:val="16"/>
              </w:rPr>
            </w:pPr>
            <w:r>
              <w:rPr>
                <w:sz w:val="16"/>
                <w:szCs w:val="16"/>
              </w:rPr>
              <w:t>(外国零简事各析非华化表机构苷理务例》</w:t>
            </w:r>
          </w:p>
        </w:tc>
      </w:tr>
      <w:tr>
        <w:trPr>
          <w:trHeight w:val="709" w:hRule="atLeast"/>
        </w:trPr>
        <w:tc>
          <w:tcPr>
            <w:tcW w:w="584" w:type="dxa"/>
            <w:vAlign w:val="top"/>
          </w:tcPr>
          <w:p>
            <w:pPr>
              <w:spacing w:line="270" w:lineRule="auto"/>
              <w:rPr>
                <w:rFonts w:ascii="Arial"/>
                <w:sz w:val="21"/>
              </w:rPr>
            </w:pPr>
            <w:r/>
          </w:p>
          <w:p>
            <w:pPr>
              <w:pStyle w:val="TableText"/>
              <w:ind w:left="164"/>
              <w:spacing w:before="52" w:line="184" w:lineRule="auto"/>
              <w:rPr>
                <w:sz w:val="16"/>
                <w:szCs w:val="16"/>
              </w:rPr>
            </w:pPr>
            <w:r>
              <w:rPr>
                <w:sz w:val="16"/>
                <w:szCs w:val="16"/>
                <w:spacing w:val="-5"/>
              </w:rPr>
              <w:t>171</w:t>
            </w:r>
          </w:p>
        </w:tc>
        <w:tc>
          <w:tcPr>
            <w:tcW w:w="1289" w:type="dxa"/>
            <w:vAlign w:val="top"/>
          </w:tcPr>
          <w:p>
            <w:pPr>
              <w:pStyle w:val="TableText"/>
              <w:ind w:left="390"/>
              <w:spacing w:before="283" w:line="219" w:lineRule="auto"/>
              <w:rPr>
                <w:sz w:val="16"/>
                <w:szCs w:val="16"/>
              </w:rPr>
            </w:pPr>
            <w:r>
              <w:rPr>
                <w:sz w:val="16"/>
                <w:szCs w:val="16"/>
                <w:spacing w:val="-3"/>
              </w:rPr>
              <w:t>司法都</w:t>
            </w:r>
          </w:p>
        </w:tc>
        <w:tc>
          <w:tcPr>
            <w:tcW w:w="1628" w:type="dxa"/>
            <w:vAlign w:val="top"/>
          </w:tcPr>
          <w:p>
            <w:pPr>
              <w:pStyle w:val="TableText"/>
              <w:ind w:left="71" w:right="101" w:firstLine="10"/>
              <w:spacing w:before="82" w:line="224" w:lineRule="auto"/>
              <w:jc w:val="both"/>
              <w:rPr>
                <w:sz w:val="16"/>
                <w:szCs w:val="16"/>
              </w:rPr>
            </w:pPr>
            <w:r>
              <w:rPr>
                <w:sz w:val="16"/>
                <w:szCs w:val="16"/>
                <w:spacing w:val="-2"/>
              </w:rPr>
              <w:t>外国钟市事务所驻华</w:t>
            </w:r>
            <w:r>
              <w:rPr>
                <w:sz w:val="16"/>
                <w:szCs w:val="16"/>
                <w:spacing w:val="7"/>
              </w:rPr>
              <w:t xml:space="preserve"> </w:t>
            </w:r>
            <w:r>
              <w:rPr>
                <w:sz w:val="16"/>
                <w:szCs w:val="16"/>
              </w:rPr>
              <w:t>代表机构派驻代表执</w:t>
            </w:r>
            <w:r>
              <w:rPr>
                <w:sz w:val="16"/>
                <w:szCs w:val="16"/>
                <w:spacing w:val="3"/>
              </w:rPr>
              <w:t xml:space="preserve"> </w:t>
            </w:r>
            <w:r>
              <w:rPr>
                <w:sz w:val="16"/>
                <w:szCs w:val="16"/>
                <w:spacing w:val="-1"/>
              </w:rPr>
              <w:t>业，变更许可</w:t>
            </w:r>
          </w:p>
        </w:tc>
        <w:tc>
          <w:tcPr>
            <w:tcW w:w="2357" w:type="dxa"/>
            <w:vAlign w:val="top"/>
          </w:tcPr>
          <w:p>
            <w:pPr>
              <w:pStyle w:val="TableText"/>
              <w:ind w:left="63" w:right="89" w:firstLine="20"/>
              <w:spacing w:before="203" w:line="220" w:lineRule="auto"/>
              <w:rPr>
                <w:sz w:val="16"/>
                <w:szCs w:val="16"/>
              </w:rPr>
            </w:pPr>
            <w:r>
              <w:rPr>
                <w:sz w:val="16"/>
                <w:szCs w:val="16"/>
              </w:rPr>
              <w:t>司法部t由省级司装行政部门制</w:t>
            </w:r>
            <w:r>
              <w:rPr>
                <w:sz w:val="16"/>
                <w:szCs w:val="16"/>
                <w:spacing w:val="12"/>
              </w:rPr>
              <w:t xml:space="preserve"> </w:t>
            </w:r>
            <w:r>
              <w:rPr>
                <w:sz w:val="16"/>
                <w:szCs w:val="16"/>
              </w:rPr>
              <w:t>审》</w:t>
            </w:r>
          </w:p>
        </w:tc>
        <w:tc>
          <w:tcPr>
            <w:tcW w:w="3691" w:type="dxa"/>
            <w:vAlign w:val="top"/>
          </w:tcPr>
          <w:p>
            <w:pPr>
              <w:pStyle w:val="TableText"/>
              <w:ind w:left="137"/>
              <w:spacing w:before="282" w:line="219" w:lineRule="auto"/>
              <w:rPr>
                <w:sz w:val="16"/>
                <w:szCs w:val="16"/>
              </w:rPr>
            </w:pPr>
            <w:r>
              <w:rPr>
                <w:sz w:val="16"/>
                <w:szCs w:val="16"/>
                <w:spacing w:val="4"/>
              </w:rPr>
              <w:t>外国准路事务所驻华忙表机构管理务名；</w:t>
            </w:r>
          </w:p>
        </w:tc>
      </w:tr>
      <w:tr>
        <w:trPr>
          <w:trHeight w:val="299" w:hRule="atLeast"/>
        </w:trPr>
        <w:tc>
          <w:tcPr>
            <w:tcW w:w="584" w:type="dxa"/>
            <w:vAlign w:val="top"/>
          </w:tcPr>
          <w:p>
            <w:pPr>
              <w:pStyle w:val="TableText"/>
              <w:ind w:left="164"/>
              <w:spacing w:before="115" w:line="184" w:lineRule="auto"/>
              <w:rPr>
                <w:sz w:val="16"/>
                <w:szCs w:val="16"/>
              </w:rPr>
            </w:pPr>
            <w:r>
              <w:rPr>
                <w:sz w:val="16"/>
                <w:szCs w:val="16"/>
                <w:spacing w:val="-5"/>
              </w:rPr>
              <w:t>15%</w:t>
            </w:r>
          </w:p>
        </w:tc>
        <w:tc>
          <w:tcPr>
            <w:tcW w:w="1289" w:type="dxa"/>
            <w:vAlign w:val="top"/>
          </w:tcPr>
          <w:p>
            <w:pPr>
              <w:pStyle w:val="TableText"/>
              <w:ind w:left="390"/>
              <w:spacing w:before="77" w:line="223" w:lineRule="auto"/>
              <w:rPr>
                <w:sz w:val="16"/>
                <w:szCs w:val="16"/>
              </w:rPr>
            </w:pPr>
            <w:r>
              <w:rPr>
                <w:sz w:val="16"/>
                <w:szCs w:val="16"/>
                <w:spacing w:val="-4"/>
              </w:rPr>
              <w:t>可</w:t>
            </w:r>
            <w:r>
              <w:rPr>
                <w:sz w:val="16"/>
                <w:szCs w:val="16"/>
                <w:spacing w:val="9"/>
              </w:rPr>
              <w:t xml:space="preserve">  </w:t>
            </w:r>
            <w:r>
              <w:rPr>
                <w:sz w:val="16"/>
                <w:szCs w:val="16"/>
                <w:spacing w:val="-4"/>
              </w:rPr>
              <w:t>法</w:t>
            </w:r>
          </w:p>
        </w:tc>
        <w:tc>
          <w:tcPr>
            <w:tcW w:w="1628" w:type="dxa"/>
            <w:vAlign w:val="top"/>
          </w:tcPr>
          <w:p>
            <w:pPr>
              <w:pStyle w:val="TableText"/>
              <w:ind w:left="42"/>
              <w:spacing w:before="74" w:line="219" w:lineRule="auto"/>
              <w:rPr>
                <w:sz w:val="16"/>
                <w:szCs w:val="16"/>
              </w:rPr>
            </w:pPr>
            <w:r>
              <w:rPr>
                <w:sz w:val="16"/>
                <w:szCs w:val="16"/>
                <w:spacing w:val="-2"/>
              </w:rPr>
              <w:t>公证卷执业许可</w:t>
            </w:r>
          </w:p>
        </w:tc>
        <w:tc>
          <w:tcPr>
            <w:tcW w:w="2357" w:type="dxa"/>
            <w:vAlign w:val="top"/>
          </w:tcPr>
          <w:p>
            <w:pPr>
              <w:pStyle w:val="TableText"/>
              <w:ind w:left="63"/>
              <w:spacing w:before="74" w:line="219" w:lineRule="auto"/>
              <w:rPr>
                <w:sz w:val="16"/>
                <w:szCs w:val="16"/>
              </w:rPr>
            </w:pPr>
            <w:r>
              <w:rPr>
                <w:sz w:val="16"/>
                <w:szCs w:val="16"/>
                <w:spacing w:val="2"/>
              </w:rPr>
              <w:t>省壤司法行政都门</w:t>
            </w:r>
          </w:p>
        </w:tc>
        <w:tc>
          <w:tcPr>
            <w:tcW w:w="3691" w:type="dxa"/>
            <w:vAlign w:val="top"/>
          </w:tcPr>
          <w:p>
            <w:pPr>
              <w:pStyle w:val="TableText"/>
              <w:ind w:left="57"/>
              <w:spacing w:before="74" w:line="219" w:lineRule="auto"/>
              <w:rPr>
                <w:sz w:val="16"/>
                <w:szCs w:val="16"/>
              </w:rPr>
            </w:pPr>
            <w:r>
              <w:rPr>
                <w:sz w:val="16"/>
                <w:szCs w:val="16"/>
                <w:spacing w:val="-2"/>
              </w:rPr>
              <w:t>《中华人民共和国公试法</w:t>
            </w:r>
          </w:p>
        </w:tc>
      </w:tr>
      <w:tr>
        <w:trPr>
          <w:trHeight w:val="714" w:hRule="atLeast"/>
        </w:trPr>
        <w:tc>
          <w:tcPr>
            <w:tcW w:w="584" w:type="dxa"/>
            <w:vAlign w:val="top"/>
          </w:tcPr>
          <w:p>
            <w:pPr>
              <w:spacing w:line="272" w:lineRule="auto"/>
              <w:rPr>
                <w:rFonts w:ascii="Arial"/>
                <w:sz w:val="21"/>
              </w:rPr>
            </w:pPr>
            <w:r/>
          </w:p>
          <w:p>
            <w:pPr>
              <w:pStyle w:val="TableText"/>
              <w:ind w:left="164"/>
              <w:spacing w:before="52" w:line="184" w:lineRule="auto"/>
              <w:rPr>
                <w:sz w:val="16"/>
                <w:szCs w:val="16"/>
              </w:rPr>
            </w:pPr>
            <w:r>
              <w:rPr>
                <w:sz w:val="16"/>
                <w:szCs w:val="16"/>
                <w:spacing w:val="-5"/>
              </w:rPr>
              <w:t>133</w:t>
            </w:r>
          </w:p>
        </w:tc>
        <w:tc>
          <w:tcPr>
            <w:tcW w:w="1289" w:type="dxa"/>
            <w:vAlign w:val="top"/>
          </w:tcPr>
          <w:p>
            <w:pPr>
              <w:pStyle w:val="TableText"/>
              <w:ind w:left="390"/>
              <w:spacing w:before="286" w:line="221" w:lineRule="auto"/>
              <w:rPr>
                <w:sz w:val="16"/>
                <w:szCs w:val="16"/>
              </w:rPr>
            </w:pPr>
            <w:r>
              <w:rPr>
                <w:sz w:val="16"/>
                <w:szCs w:val="16"/>
                <w:spacing w:val="-3"/>
              </w:rPr>
              <w:t>司法界</w:t>
            </w:r>
          </w:p>
        </w:tc>
        <w:tc>
          <w:tcPr>
            <w:tcW w:w="1628" w:type="dxa"/>
            <w:vAlign w:val="top"/>
          </w:tcPr>
          <w:p>
            <w:pPr>
              <w:pStyle w:val="TableText"/>
              <w:ind w:left="81" w:right="89"/>
              <w:spacing w:before="185" w:line="238" w:lineRule="auto"/>
              <w:rPr>
                <w:sz w:val="16"/>
                <w:szCs w:val="16"/>
              </w:rPr>
            </w:pPr>
            <w:r>
              <w:rPr>
                <w:sz w:val="16"/>
                <w:szCs w:val="16"/>
              </w:rPr>
              <w:t>中国委托公证人资格</w:t>
            </w:r>
            <w:r>
              <w:rPr>
                <w:sz w:val="16"/>
                <w:szCs w:val="16"/>
                <w:spacing w:val="5"/>
              </w:rPr>
              <w:t xml:space="preserve"> </w:t>
            </w:r>
            <w:r>
              <w:rPr>
                <w:sz w:val="16"/>
                <w:szCs w:val="16"/>
                <w:spacing w:val="1"/>
              </w:rPr>
              <w:t>(香笔)重批</w:t>
            </w:r>
          </w:p>
        </w:tc>
        <w:tc>
          <w:tcPr>
            <w:tcW w:w="2357" w:type="dxa"/>
            <w:vAlign w:val="top"/>
          </w:tcPr>
          <w:p>
            <w:pPr>
              <w:pStyle w:val="TableText"/>
              <w:ind w:left="63"/>
              <w:spacing w:before="285" w:line="219" w:lineRule="auto"/>
              <w:rPr>
                <w:sz w:val="16"/>
                <w:szCs w:val="16"/>
              </w:rPr>
            </w:pPr>
            <w:r>
              <w:rPr>
                <w:sz w:val="16"/>
                <w:szCs w:val="16"/>
                <w:spacing w:val="-3"/>
              </w:rPr>
              <w:t>司法都</w:t>
            </w:r>
          </w:p>
        </w:tc>
        <w:tc>
          <w:tcPr>
            <w:tcW w:w="3691" w:type="dxa"/>
            <w:vAlign w:val="top"/>
          </w:tcPr>
          <w:p>
            <w:pPr>
              <w:pStyle w:val="TableText"/>
              <w:ind w:left="137" w:right="117" w:hanging="80"/>
              <w:spacing w:before="74" w:line="237" w:lineRule="auto"/>
              <w:rPr>
                <w:sz w:val="16"/>
                <w:szCs w:val="16"/>
              </w:rPr>
            </w:pPr>
            <w:r>
              <w:rPr>
                <w:sz w:val="16"/>
                <w:szCs w:val="16"/>
                <w:spacing w:val="-1"/>
              </w:rPr>
              <w:t>《国务聚对确需保留的行收审推项目设定行政许可</w:t>
            </w:r>
            <w:r>
              <w:rPr>
                <w:sz w:val="16"/>
                <w:szCs w:val="16"/>
                <w:spacing w:val="7"/>
              </w:rPr>
              <w:t xml:space="preserve"> </w:t>
            </w:r>
            <w:r>
              <w:rPr>
                <w:sz w:val="16"/>
                <w:szCs w:val="16"/>
                <w:spacing w:val="2"/>
              </w:rPr>
              <w:t>的执完</w:t>
            </w:r>
          </w:p>
          <w:p>
            <w:pPr>
              <w:pStyle w:val="TableText"/>
              <w:ind w:left="57"/>
              <w:spacing w:before="20" w:line="219" w:lineRule="auto"/>
              <w:rPr>
                <w:sz w:val="16"/>
                <w:szCs w:val="16"/>
              </w:rPr>
            </w:pPr>
            <w:r>
              <w:rPr>
                <w:sz w:val="16"/>
                <w:szCs w:val="16"/>
                <w:spacing w:val="-1"/>
              </w:rPr>
              <w:t>《国家职业量格目录(2)21年版)</w:t>
            </w:r>
          </w:p>
        </w:tc>
      </w:tr>
    </w:tbl>
    <w:p>
      <w:pPr>
        <w:pStyle w:val="BodyText"/>
        <w:rPr/>
      </w:pPr>
      <w:r/>
    </w:p>
    <w:p>
      <w:pPr>
        <w:sectPr>
          <w:pgSz w:w="11910" w:h="8220"/>
          <w:pgMar w:top="400" w:right="118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35392" behindDoc="0" locked="0" layoutInCell="0" allowOverlap="1">
                <wp:simplePos x="0" y="0"/>
                <wp:positionH relativeFrom="page">
                  <wp:posOffset>467410</wp:posOffset>
                </wp:positionH>
                <wp:positionV relativeFrom="page">
                  <wp:posOffset>627006</wp:posOffset>
                </wp:positionV>
                <wp:extent cx="166370" cy="157479"/>
                <wp:effectExtent l="0" t="0" r="0" b="0"/>
                <wp:wrapNone/>
                <wp:docPr id="190" name="TextBox 190"/>
                <wp:cNvGraphicFramePr/>
                <a:graphic>
                  <a:graphicData uri="http://schemas.microsoft.com/office/word/2010/wordprocessingShape">
                    <wps:wsp>
                      <wps:cNvSpPr txBox="1"/>
                      <wps:spPr>
                        <a:xfrm rot="5400000">
                          <a:off x="467410" y="627006"/>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2" style="position:absolute;margin-left:36.804pt;margin-top:49.3706pt;mso-position-vertical-relative:page;mso-position-horizontal-relative:page;width:13.1pt;height:12.4pt;z-index:25183539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176</w:t>
                      </w:r>
                    </w:p>
                  </w:txbxContent>
                </v:textbox>
              </v:shape>
            </w:pict>
          </mc:Fallback>
        </mc:AlternateContent>
      </w:r>
      <w:r/>
    </w:p>
    <w:tbl>
      <w:tblPr>
        <w:tblStyle w:val="TableNormal"/>
        <w:tblW w:w="957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28"/>
        <w:gridCol w:w="2367"/>
        <w:gridCol w:w="3711"/>
      </w:tblGrid>
      <w:tr>
        <w:trPr>
          <w:trHeight w:val="425" w:hRule="atLeast"/>
        </w:trPr>
        <w:tc>
          <w:tcPr>
            <w:tcW w:w="574" w:type="dxa"/>
            <w:vAlign w:val="top"/>
          </w:tcPr>
          <w:p>
            <w:pPr>
              <w:pStyle w:val="TableText"/>
              <w:ind w:left="114"/>
              <w:spacing w:before="132" w:line="220" w:lineRule="auto"/>
              <w:rPr>
                <w:sz w:val="16"/>
                <w:szCs w:val="16"/>
              </w:rPr>
            </w:pPr>
            <w:r>
              <w:rPr>
                <w:sz w:val="16"/>
                <w:szCs w:val="16"/>
                <w:spacing w:val="-2"/>
              </w:rPr>
              <w:t>家号</w:t>
            </w:r>
          </w:p>
        </w:tc>
        <w:tc>
          <w:tcPr>
            <w:tcW w:w="1299" w:type="dxa"/>
            <w:vAlign w:val="top"/>
          </w:tcPr>
          <w:p>
            <w:pPr>
              <w:pStyle w:val="TableText"/>
              <w:ind w:left="160"/>
              <w:spacing w:before="131" w:line="219" w:lineRule="auto"/>
              <w:rPr>
                <w:sz w:val="16"/>
                <w:szCs w:val="16"/>
              </w:rPr>
            </w:pPr>
            <w:r>
              <w:rPr>
                <w:sz w:val="16"/>
                <w:szCs w:val="16"/>
                <w:spacing w:val="3"/>
              </w:rPr>
              <w:t>中央主骨部门</w:t>
            </w:r>
          </w:p>
        </w:tc>
        <w:tc>
          <w:tcPr>
            <w:tcW w:w="1628" w:type="dxa"/>
            <w:vAlign w:val="top"/>
          </w:tcPr>
          <w:p>
            <w:pPr>
              <w:pStyle w:val="TableText"/>
              <w:ind w:left="454"/>
              <w:spacing w:before="129" w:line="220" w:lineRule="auto"/>
              <w:rPr>
                <w:sz w:val="16"/>
                <w:szCs w:val="16"/>
              </w:rPr>
            </w:pPr>
            <w:r>
              <w:rPr>
                <w:sz w:val="16"/>
                <w:szCs w:val="16"/>
                <w:b/>
                <w:bCs/>
                <w:spacing w:val="-3"/>
              </w:rPr>
              <w:t>事填名称</w:t>
            </w:r>
          </w:p>
        </w:tc>
        <w:tc>
          <w:tcPr>
            <w:tcW w:w="2367" w:type="dxa"/>
            <w:vAlign w:val="top"/>
          </w:tcPr>
          <w:p>
            <w:pPr>
              <w:pStyle w:val="TableText"/>
              <w:ind w:left="826"/>
              <w:spacing w:before="128" w:line="219" w:lineRule="auto"/>
              <w:rPr>
                <w:sz w:val="16"/>
                <w:szCs w:val="16"/>
              </w:rPr>
            </w:pPr>
            <w:r>
              <w:rPr>
                <w:sz w:val="16"/>
                <w:szCs w:val="16"/>
                <w:b/>
                <w:bCs/>
                <w:spacing w:val="-4"/>
              </w:rPr>
              <w:t>实幽机关</w:t>
            </w:r>
          </w:p>
        </w:tc>
        <w:tc>
          <w:tcPr>
            <w:tcW w:w="3711" w:type="dxa"/>
            <w:vAlign w:val="top"/>
          </w:tcPr>
          <w:p>
            <w:pPr>
              <w:pStyle w:val="TableText"/>
              <w:ind w:left="1256"/>
              <w:spacing w:before="130" w:line="219" w:lineRule="auto"/>
              <w:rPr>
                <w:sz w:val="16"/>
                <w:szCs w:val="16"/>
              </w:rPr>
            </w:pPr>
            <w:r>
              <w:rPr>
                <w:sz w:val="16"/>
                <w:szCs w:val="16"/>
                <w:spacing w:val="-2"/>
              </w:rPr>
              <w:t>设定和实地依彻</w:t>
            </w:r>
          </w:p>
        </w:tc>
      </w:tr>
      <w:tr>
        <w:trPr>
          <w:trHeight w:val="679" w:hRule="atLeast"/>
        </w:trPr>
        <w:tc>
          <w:tcPr>
            <w:tcW w:w="574" w:type="dxa"/>
            <w:vAlign w:val="top"/>
          </w:tcPr>
          <w:p>
            <w:pPr>
              <w:spacing w:line="243" w:lineRule="auto"/>
              <w:rPr>
                <w:rFonts w:ascii="Arial"/>
                <w:sz w:val="21"/>
              </w:rPr>
            </w:pPr>
            <w:r/>
          </w:p>
          <w:p>
            <w:pPr>
              <w:pStyle w:val="TableText"/>
              <w:ind w:left="154"/>
              <w:spacing w:before="52" w:line="184" w:lineRule="auto"/>
              <w:rPr>
                <w:sz w:val="16"/>
                <w:szCs w:val="16"/>
              </w:rPr>
            </w:pPr>
            <w:r>
              <w:rPr>
                <w:sz w:val="16"/>
                <w:szCs w:val="16"/>
                <w:spacing w:val="-5"/>
              </w:rPr>
              <w:t>134</w:t>
            </w:r>
          </w:p>
        </w:tc>
        <w:tc>
          <w:tcPr>
            <w:tcW w:w="1299" w:type="dxa"/>
            <w:vAlign w:val="top"/>
          </w:tcPr>
          <w:p>
            <w:pPr>
              <w:pStyle w:val="TableText"/>
              <w:ind w:left="400"/>
              <w:spacing w:before="256" w:line="219" w:lineRule="auto"/>
              <w:rPr>
                <w:sz w:val="16"/>
                <w:szCs w:val="16"/>
              </w:rPr>
            </w:pPr>
            <w:r>
              <w:rPr>
                <w:sz w:val="16"/>
                <w:szCs w:val="16"/>
                <w:spacing w:val="-2"/>
              </w:rPr>
              <w:t>局法部</w:t>
            </w:r>
          </w:p>
        </w:tc>
        <w:tc>
          <w:tcPr>
            <w:tcW w:w="1628" w:type="dxa"/>
            <w:vAlign w:val="top"/>
          </w:tcPr>
          <w:p>
            <w:pPr>
              <w:pStyle w:val="TableText"/>
              <w:ind w:left="42" w:right="119" w:firstLine="10"/>
              <w:spacing w:before="166" w:line="220" w:lineRule="auto"/>
              <w:rPr>
                <w:sz w:val="16"/>
                <w:szCs w:val="16"/>
              </w:rPr>
            </w:pPr>
            <w:r>
              <w:rPr>
                <w:sz w:val="16"/>
                <w:szCs w:val="16"/>
              </w:rPr>
              <w:t>中国委花公证人费路</w:t>
            </w:r>
            <w:r>
              <w:rPr>
                <w:sz w:val="16"/>
                <w:szCs w:val="16"/>
                <w:spacing w:val="5"/>
              </w:rPr>
              <w:t xml:space="preserve"> </w:t>
            </w:r>
            <w:r>
              <w:rPr>
                <w:sz w:val="16"/>
                <w:szCs w:val="16"/>
                <w:spacing w:val="1"/>
              </w:rPr>
              <w:t>(港门)中批</w:t>
            </w:r>
          </w:p>
        </w:tc>
        <w:tc>
          <w:tcPr>
            <w:tcW w:w="2367" w:type="dxa"/>
            <w:vAlign w:val="top"/>
          </w:tcPr>
          <w:p>
            <w:pPr>
              <w:pStyle w:val="TableText"/>
              <w:ind w:left="64"/>
              <w:spacing w:before="256" w:line="219" w:lineRule="auto"/>
              <w:rPr>
                <w:sz w:val="16"/>
                <w:szCs w:val="16"/>
              </w:rPr>
            </w:pPr>
            <w:r>
              <w:rPr>
                <w:sz w:val="16"/>
                <w:szCs w:val="16"/>
                <w:spacing w:val="2"/>
              </w:rPr>
              <w:t>司法部</w:t>
            </w:r>
          </w:p>
        </w:tc>
        <w:tc>
          <w:tcPr>
            <w:tcW w:w="3711" w:type="dxa"/>
            <w:vAlign w:val="top"/>
          </w:tcPr>
          <w:p>
            <w:pPr>
              <w:pStyle w:val="TableText"/>
              <w:ind w:left="46" w:right="207" w:firstLine="80"/>
              <w:spacing w:before="56" w:line="225" w:lineRule="auto"/>
              <w:rPr>
                <w:sz w:val="16"/>
                <w:szCs w:val="16"/>
              </w:rPr>
            </w:pPr>
            <w:r>
              <w:rPr>
                <w:sz w:val="16"/>
                <w:szCs w:val="16"/>
              </w:rPr>
              <w:t>国务院对确需仅前的行改审批理以议定行酸许可</w:t>
            </w:r>
            <w:r>
              <w:rPr>
                <w:sz w:val="16"/>
                <w:szCs w:val="16"/>
                <w:spacing w:val="5"/>
              </w:rPr>
              <w:t xml:space="preserve"> </w:t>
            </w:r>
            <w:r>
              <w:rPr>
                <w:sz w:val="16"/>
                <w:szCs w:val="16"/>
                <w:spacing w:val="4"/>
              </w:rPr>
              <w:t>纳块定1</w:t>
            </w:r>
          </w:p>
          <w:p>
            <w:pPr>
              <w:pStyle w:val="TableText"/>
              <w:spacing w:line="219" w:lineRule="auto"/>
              <w:rPr>
                <w:sz w:val="16"/>
                <w:szCs w:val="16"/>
              </w:rPr>
            </w:pPr>
            <w:r>
              <w:rPr>
                <w:sz w:val="16"/>
                <w:szCs w:val="16"/>
                <w:spacing w:val="-3"/>
              </w:rPr>
              <w:t>《国家职业斯格升录(8021年版)》</w:t>
            </w:r>
          </w:p>
        </w:tc>
      </w:tr>
      <w:tr>
        <w:trPr>
          <w:trHeight w:val="689" w:hRule="atLeast"/>
        </w:trPr>
        <w:tc>
          <w:tcPr>
            <w:tcW w:w="574" w:type="dxa"/>
            <w:vAlign w:val="top"/>
          </w:tcPr>
          <w:p>
            <w:pPr>
              <w:spacing w:line="254" w:lineRule="auto"/>
              <w:rPr>
                <w:rFonts w:ascii="Arial"/>
                <w:sz w:val="21"/>
              </w:rPr>
            </w:pPr>
            <w:r/>
          </w:p>
          <w:p>
            <w:pPr>
              <w:pStyle w:val="TableText"/>
              <w:ind w:left="154"/>
              <w:spacing w:before="52" w:line="184" w:lineRule="auto"/>
              <w:rPr>
                <w:sz w:val="16"/>
                <w:szCs w:val="16"/>
              </w:rPr>
            </w:pPr>
            <w:r>
              <w:rPr>
                <w:sz w:val="16"/>
                <w:szCs w:val="16"/>
                <w:spacing w:val="-5"/>
              </w:rPr>
              <w:t>135</w:t>
            </w:r>
          </w:p>
        </w:tc>
        <w:tc>
          <w:tcPr>
            <w:tcW w:w="1299" w:type="dxa"/>
            <w:vAlign w:val="top"/>
          </w:tcPr>
          <w:p>
            <w:pPr>
              <w:pStyle w:val="TableText"/>
              <w:ind w:left="400"/>
              <w:spacing w:before="267" w:line="219" w:lineRule="auto"/>
              <w:rPr>
                <w:sz w:val="16"/>
                <w:szCs w:val="16"/>
              </w:rPr>
            </w:pPr>
            <w:r>
              <w:rPr>
                <w:sz w:val="16"/>
                <w:szCs w:val="16"/>
                <w:spacing w:val="-2"/>
              </w:rPr>
              <w:t>而法部</w:t>
            </w:r>
          </w:p>
        </w:tc>
        <w:tc>
          <w:tcPr>
            <w:tcW w:w="1628" w:type="dxa"/>
            <w:vAlign w:val="top"/>
          </w:tcPr>
          <w:p>
            <w:pPr>
              <w:pStyle w:val="TableText"/>
              <w:ind w:left="42" w:right="117" w:firstLine="10"/>
              <w:spacing w:before="67" w:line="235" w:lineRule="auto"/>
              <w:jc w:val="both"/>
              <w:rPr>
                <w:sz w:val="16"/>
                <w:szCs w:val="16"/>
              </w:rPr>
            </w:pPr>
            <w:r>
              <w:rPr>
                <w:sz w:val="16"/>
                <w:szCs w:val="16"/>
              </w:rPr>
              <w:t>司法鉴定机构及分支</w:t>
            </w:r>
            <w:r>
              <w:rPr>
                <w:sz w:val="16"/>
                <w:szCs w:val="16"/>
                <w:spacing w:val="7"/>
              </w:rPr>
              <w:t xml:space="preserve"> </w:t>
            </w:r>
            <w:r>
              <w:rPr>
                <w:sz w:val="16"/>
                <w:szCs w:val="16"/>
                <w:spacing w:val="-1"/>
              </w:rPr>
              <w:t>机构设立，变更，延</w:t>
            </w:r>
            <w:r>
              <w:rPr>
                <w:sz w:val="16"/>
                <w:szCs w:val="16"/>
                <w:spacing w:val="2"/>
              </w:rPr>
              <w:t xml:space="preserve"> </w:t>
            </w:r>
            <w:r>
              <w:rPr>
                <w:sz w:val="16"/>
                <w:szCs w:val="16"/>
                <w:spacing w:val="-2"/>
              </w:rPr>
              <w:t>续，注销登记</w:t>
            </w:r>
          </w:p>
        </w:tc>
        <w:tc>
          <w:tcPr>
            <w:tcW w:w="2367" w:type="dxa"/>
            <w:vAlign w:val="top"/>
          </w:tcPr>
          <w:p>
            <w:pPr>
              <w:pStyle w:val="TableText"/>
              <w:ind w:left="64"/>
              <w:spacing w:before="267" w:line="219" w:lineRule="auto"/>
              <w:rPr>
                <w:sz w:val="16"/>
                <w:szCs w:val="16"/>
              </w:rPr>
            </w:pPr>
            <w:r>
              <w:rPr>
                <w:sz w:val="16"/>
                <w:szCs w:val="16"/>
                <w:spacing w:val="2"/>
              </w:rPr>
              <w:t>省城司法行政部门</w:t>
            </w:r>
          </w:p>
        </w:tc>
        <w:tc>
          <w:tcPr>
            <w:tcW w:w="3711" w:type="dxa"/>
            <w:vAlign w:val="top"/>
          </w:tcPr>
          <w:p>
            <w:pPr>
              <w:pStyle w:val="TableText"/>
              <w:ind w:left="59" w:right="206" w:hanging="59"/>
              <w:spacing w:before="46" w:line="243" w:lineRule="auto"/>
              <w:rPr>
                <w:sz w:val="16"/>
                <w:szCs w:val="16"/>
              </w:rPr>
            </w:pPr>
            <w:r>
              <w:rPr>
                <w:sz w:val="16"/>
                <w:szCs w:val="16"/>
                <w:spacing w:val="-2"/>
              </w:rPr>
              <w:t>《全国人民代表大会驾务费的会关于动私要定管理</w:t>
            </w:r>
            <w:r>
              <w:rPr>
                <w:sz w:val="16"/>
                <w:szCs w:val="16"/>
                <w:spacing w:val="17"/>
              </w:rPr>
              <w:t xml:space="preserve"> </w:t>
            </w:r>
            <w:r>
              <w:rPr>
                <w:sz w:val="16"/>
                <w:szCs w:val="16"/>
                <w:spacing w:val="5"/>
              </w:rPr>
              <w:t>问蓝的决定)</w:t>
            </w:r>
          </w:p>
          <w:p>
            <w:pPr>
              <w:pStyle w:val="TableText"/>
              <w:ind w:left="46"/>
              <w:spacing w:before="9" w:line="219" w:lineRule="auto"/>
              <w:rPr>
                <w:sz w:val="16"/>
                <w:szCs w:val="16"/>
              </w:rPr>
            </w:pPr>
            <w:r>
              <w:rPr>
                <w:sz w:val="16"/>
                <w:szCs w:val="16"/>
                <w:spacing w:val="2"/>
              </w:rPr>
              <w:t>4可在签定机构整记督理办法)</w:t>
            </w:r>
          </w:p>
        </w:tc>
      </w:tr>
      <w:tr>
        <w:trPr>
          <w:trHeight w:val="679" w:hRule="atLeast"/>
        </w:trPr>
        <w:tc>
          <w:tcPr>
            <w:tcW w:w="574" w:type="dxa"/>
            <w:vAlign w:val="top"/>
          </w:tcPr>
          <w:p>
            <w:pPr>
              <w:spacing w:line="245" w:lineRule="auto"/>
              <w:rPr>
                <w:rFonts w:ascii="Arial"/>
                <w:sz w:val="21"/>
              </w:rPr>
            </w:pPr>
            <w:r/>
          </w:p>
          <w:p>
            <w:pPr>
              <w:pStyle w:val="TableText"/>
              <w:ind w:left="154"/>
              <w:spacing w:before="52" w:line="184" w:lineRule="auto"/>
              <w:rPr>
                <w:sz w:val="16"/>
                <w:szCs w:val="16"/>
              </w:rPr>
            </w:pPr>
            <w:r>
              <w:rPr>
                <w:sz w:val="16"/>
                <w:szCs w:val="16"/>
                <w:spacing w:val="-5"/>
              </w:rPr>
              <w:t>136</w:t>
            </w:r>
          </w:p>
        </w:tc>
        <w:tc>
          <w:tcPr>
            <w:tcW w:w="1299" w:type="dxa"/>
            <w:vAlign w:val="top"/>
          </w:tcPr>
          <w:p>
            <w:pPr>
              <w:pStyle w:val="TableText"/>
              <w:ind w:left="400"/>
              <w:spacing w:before="258" w:line="219" w:lineRule="auto"/>
              <w:rPr>
                <w:sz w:val="16"/>
                <w:szCs w:val="16"/>
              </w:rPr>
            </w:pPr>
            <w:r>
              <w:rPr>
                <w:sz w:val="16"/>
                <w:szCs w:val="16"/>
                <w:spacing w:val="2"/>
              </w:rPr>
              <w:t>司法部</w:t>
            </w:r>
          </w:p>
        </w:tc>
        <w:tc>
          <w:tcPr>
            <w:tcW w:w="1628" w:type="dxa"/>
            <w:vAlign w:val="top"/>
          </w:tcPr>
          <w:p>
            <w:pPr>
              <w:pStyle w:val="TableText"/>
              <w:ind w:left="42" w:right="138" w:firstLine="10"/>
              <w:spacing w:before="178" w:line="231" w:lineRule="auto"/>
              <w:rPr>
                <w:sz w:val="16"/>
                <w:szCs w:val="16"/>
              </w:rPr>
            </w:pPr>
            <w:r>
              <w:rPr>
                <w:sz w:val="16"/>
                <w:szCs w:val="16"/>
                <w:spacing w:val="-2"/>
              </w:rPr>
              <w:t>司法鉴定人执业，立</w:t>
            </w:r>
            <w:r>
              <w:rPr>
                <w:sz w:val="16"/>
                <w:szCs w:val="16"/>
                <w:spacing w:val="4"/>
              </w:rPr>
              <w:t xml:space="preserve"> </w:t>
            </w:r>
            <w:r>
              <w:rPr>
                <w:sz w:val="16"/>
                <w:szCs w:val="16"/>
                <w:spacing w:val="-1"/>
              </w:rPr>
              <w:t>更，轻垫，注第野记</w:t>
            </w:r>
          </w:p>
        </w:tc>
        <w:tc>
          <w:tcPr>
            <w:tcW w:w="2367" w:type="dxa"/>
            <w:vAlign w:val="top"/>
          </w:tcPr>
          <w:p>
            <w:pPr>
              <w:pStyle w:val="TableText"/>
              <w:ind w:left="64"/>
              <w:spacing w:before="258" w:line="219" w:lineRule="auto"/>
              <w:rPr>
                <w:sz w:val="16"/>
                <w:szCs w:val="16"/>
              </w:rPr>
            </w:pPr>
            <w:r>
              <w:rPr>
                <w:sz w:val="16"/>
                <w:szCs w:val="16"/>
                <w:spacing w:val="2"/>
              </w:rPr>
              <w:t>省级司法行政部门</w:t>
            </w:r>
          </w:p>
        </w:tc>
        <w:tc>
          <w:tcPr>
            <w:tcW w:w="3711" w:type="dxa"/>
            <w:vAlign w:val="top"/>
          </w:tcPr>
          <w:p>
            <w:pPr>
              <w:pStyle w:val="TableText"/>
              <w:ind w:left="49" w:right="197" w:hanging="49"/>
              <w:spacing w:before="47" w:line="237" w:lineRule="auto"/>
              <w:rPr>
                <w:sz w:val="16"/>
                <w:szCs w:val="16"/>
              </w:rPr>
            </w:pPr>
            <w:r>
              <w:rPr>
                <w:sz w:val="16"/>
                <w:szCs w:val="16"/>
                <w:spacing w:val="-1"/>
              </w:rPr>
              <w:t>《全国人民代表大念常齐要族会关于司法鉴定管现</w:t>
            </w:r>
            <w:r>
              <w:rPr>
                <w:sz w:val="16"/>
                <w:szCs w:val="16"/>
                <w:spacing w:val="4"/>
              </w:rPr>
              <w:t xml:space="preserve"> </w:t>
            </w:r>
            <w:r>
              <w:rPr>
                <w:sz w:val="16"/>
                <w:szCs w:val="16"/>
                <w:spacing w:val="-1"/>
              </w:rPr>
              <w:t>问题的决定》</w:t>
            </w:r>
          </w:p>
          <w:p>
            <w:pPr>
              <w:pStyle w:val="TableText"/>
              <w:ind w:left="46"/>
              <w:spacing w:before="10" w:line="219" w:lineRule="auto"/>
              <w:rPr>
                <w:sz w:val="16"/>
                <w:szCs w:val="16"/>
              </w:rPr>
            </w:pPr>
            <w:r>
              <w:rPr>
                <w:sz w:val="16"/>
                <w:szCs w:val="16"/>
                <w:spacing w:val="-1"/>
              </w:rPr>
              <w:t>1司法圣定人登记暂理办法》</w:t>
            </w:r>
          </w:p>
        </w:tc>
      </w:tr>
      <w:tr>
        <w:trPr>
          <w:trHeight w:val="479" w:hRule="atLeast"/>
        </w:trPr>
        <w:tc>
          <w:tcPr>
            <w:tcW w:w="574" w:type="dxa"/>
            <w:vAlign w:val="top"/>
          </w:tcPr>
          <w:p>
            <w:pPr>
              <w:pStyle w:val="TableText"/>
              <w:ind w:left="154"/>
              <w:spacing w:before="199" w:line="184" w:lineRule="auto"/>
              <w:rPr>
                <w:sz w:val="16"/>
                <w:szCs w:val="16"/>
              </w:rPr>
            </w:pPr>
            <w:r>
              <w:rPr>
                <w:sz w:val="16"/>
                <w:szCs w:val="16"/>
                <w:spacing w:val="-5"/>
              </w:rPr>
              <w:t>137</w:t>
            </w:r>
          </w:p>
        </w:tc>
        <w:tc>
          <w:tcPr>
            <w:tcW w:w="1299" w:type="dxa"/>
            <w:vAlign w:val="top"/>
          </w:tcPr>
          <w:p>
            <w:pPr>
              <w:pStyle w:val="TableText"/>
              <w:ind w:left="400"/>
              <w:spacing w:before="159" w:line="219" w:lineRule="auto"/>
              <w:rPr>
                <w:sz w:val="16"/>
                <w:szCs w:val="16"/>
              </w:rPr>
            </w:pPr>
            <w:r>
              <w:rPr>
                <w:sz w:val="16"/>
                <w:szCs w:val="16"/>
                <w:spacing w:val="2"/>
              </w:rPr>
              <w:t>司化部</w:t>
            </w:r>
          </w:p>
        </w:tc>
        <w:tc>
          <w:tcPr>
            <w:tcW w:w="1628" w:type="dxa"/>
            <w:vAlign w:val="top"/>
          </w:tcPr>
          <w:p>
            <w:pPr>
              <w:pStyle w:val="TableText"/>
              <w:ind w:left="42" w:right="132" w:firstLine="10"/>
              <w:spacing w:before="58" w:line="227" w:lineRule="auto"/>
              <w:rPr>
                <w:sz w:val="16"/>
                <w:szCs w:val="16"/>
              </w:rPr>
            </w:pPr>
            <w:r>
              <w:rPr>
                <w:sz w:val="16"/>
                <w:szCs w:val="16"/>
                <w:spacing w:val="-1"/>
              </w:rPr>
              <w:t>种战委鱼会设立，我</w:t>
            </w:r>
            <w:r>
              <w:rPr>
                <w:sz w:val="16"/>
                <w:szCs w:val="16"/>
                <w:spacing w:val="1"/>
              </w:rPr>
              <w:t xml:space="preserve"> </w:t>
            </w:r>
            <w:r>
              <w:rPr>
                <w:sz w:val="16"/>
                <w:szCs w:val="16"/>
                <w:spacing w:val="-2"/>
              </w:rPr>
              <w:t>销登记</w:t>
            </w:r>
          </w:p>
        </w:tc>
        <w:tc>
          <w:tcPr>
            <w:tcW w:w="2367" w:type="dxa"/>
            <w:vAlign w:val="top"/>
          </w:tcPr>
          <w:p>
            <w:pPr>
              <w:pStyle w:val="TableText"/>
              <w:ind w:left="64"/>
              <w:spacing w:before="159" w:line="219" w:lineRule="auto"/>
              <w:rPr>
                <w:sz w:val="16"/>
                <w:szCs w:val="16"/>
              </w:rPr>
            </w:pPr>
            <w:r>
              <w:rPr>
                <w:sz w:val="16"/>
                <w:szCs w:val="16"/>
                <w:spacing w:val="2"/>
              </w:rPr>
              <w:t>省经动法行收靠门</w:t>
            </w:r>
          </w:p>
        </w:tc>
        <w:tc>
          <w:tcPr>
            <w:tcW w:w="3711" w:type="dxa"/>
            <w:vAlign w:val="top"/>
          </w:tcPr>
          <w:p>
            <w:pPr>
              <w:pStyle w:val="TableText"/>
              <w:ind w:left="78"/>
              <w:spacing w:before="69" w:line="219" w:lineRule="auto"/>
              <w:rPr>
                <w:sz w:val="16"/>
                <w:szCs w:val="16"/>
              </w:rPr>
            </w:pPr>
            <w:r>
              <w:rPr>
                <w:sz w:val="16"/>
                <w:szCs w:val="16"/>
              </w:rPr>
              <w:t>1中华人民共和国仲就法)</w:t>
            </w:r>
          </w:p>
          <w:p>
            <w:pPr>
              <w:pStyle w:val="TableText"/>
              <w:spacing w:line="218" w:lineRule="auto"/>
              <w:rPr>
                <w:sz w:val="16"/>
                <w:szCs w:val="16"/>
              </w:rPr>
            </w:pPr>
            <w:r>
              <w:rPr>
                <w:sz w:val="16"/>
                <w:szCs w:val="16"/>
                <w:spacing w:val="-4"/>
              </w:rPr>
              <w:t>《仲额委员会登已暂存办法》</w:t>
            </w:r>
          </w:p>
        </w:tc>
      </w:tr>
      <w:tr>
        <w:trPr>
          <w:trHeight w:val="480" w:hRule="atLeast"/>
        </w:trPr>
        <w:tc>
          <w:tcPr>
            <w:tcW w:w="574" w:type="dxa"/>
            <w:vAlign w:val="top"/>
          </w:tcPr>
          <w:p>
            <w:pPr>
              <w:pStyle w:val="TableText"/>
              <w:ind w:left="154"/>
              <w:spacing w:before="200" w:line="184" w:lineRule="auto"/>
              <w:rPr>
                <w:sz w:val="16"/>
                <w:szCs w:val="16"/>
              </w:rPr>
            </w:pPr>
            <w:r>
              <w:rPr>
                <w:sz w:val="16"/>
                <w:szCs w:val="16"/>
                <w:spacing w:val="-5"/>
              </w:rPr>
              <w:t>138</w:t>
            </w:r>
          </w:p>
        </w:tc>
        <w:tc>
          <w:tcPr>
            <w:tcW w:w="1299" w:type="dxa"/>
            <w:vAlign w:val="top"/>
          </w:tcPr>
          <w:p>
            <w:pPr>
              <w:pStyle w:val="TableText"/>
              <w:ind w:left="400"/>
              <w:spacing w:before="161" w:line="220" w:lineRule="auto"/>
              <w:rPr>
                <w:sz w:val="16"/>
                <w:szCs w:val="16"/>
              </w:rPr>
            </w:pPr>
            <w:r>
              <w:rPr>
                <w:sz w:val="16"/>
                <w:szCs w:val="16"/>
                <w:spacing w:val="-2"/>
              </w:rPr>
              <w:t>财政事</w:t>
            </w:r>
          </w:p>
        </w:tc>
        <w:tc>
          <w:tcPr>
            <w:tcW w:w="1628" w:type="dxa"/>
            <w:vAlign w:val="top"/>
          </w:tcPr>
          <w:p>
            <w:pPr>
              <w:pStyle w:val="TableText"/>
              <w:ind w:left="42" w:right="128"/>
              <w:spacing w:before="79" w:line="220" w:lineRule="auto"/>
              <w:rPr>
                <w:sz w:val="16"/>
                <w:szCs w:val="16"/>
              </w:rPr>
            </w:pPr>
            <w:r>
              <w:rPr>
                <w:sz w:val="16"/>
                <w:szCs w:val="16"/>
              </w:rPr>
              <w:t>中介杭构头事化理记</w:t>
            </w:r>
            <w:r>
              <w:rPr>
                <w:sz w:val="16"/>
                <w:szCs w:val="16"/>
                <w:spacing w:val="6"/>
              </w:rPr>
              <w:t xml:space="preserve"> </w:t>
            </w:r>
            <w:r>
              <w:rPr>
                <w:sz w:val="16"/>
                <w:szCs w:val="16"/>
                <w:spacing w:val="-2"/>
              </w:rPr>
              <w:t>年交务审捉</w:t>
            </w:r>
          </w:p>
        </w:tc>
        <w:tc>
          <w:tcPr>
            <w:tcW w:w="2367" w:type="dxa"/>
            <w:vAlign w:val="top"/>
          </w:tcPr>
          <w:p>
            <w:pPr>
              <w:pStyle w:val="TableText"/>
              <w:ind w:left="64" w:right="61"/>
              <w:spacing w:before="60" w:line="217" w:lineRule="auto"/>
              <w:rPr>
                <w:sz w:val="16"/>
                <w:szCs w:val="16"/>
              </w:rPr>
            </w:pPr>
            <w:r>
              <w:rPr>
                <w:sz w:val="16"/>
                <w:szCs w:val="16"/>
                <w:spacing w:val="-1"/>
              </w:rPr>
              <w:t>省级，设区的市级，县级时政常</w:t>
            </w:r>
            <w:r>
              <w:rPr>
                <w:sz w:val="16"/>
                <w:szCs w:val="16"/>
                <w:spacing w:val="4"/>
              </w:rPr>
              <w:t xml:space="preserve"> </w:t>
            </w:r>
            <w:r>
              <w:rPr>
                <w:sz w:val="16"/>
                <w:szCs w:val="16"/>
              </w:rPr>
              <w:t>门</w:t>
            </w:r>
          </w:p>
        </w:tc>
        <w:tc>
          <w:tcPr>
            <w:tcW w:w="3711" w:type="dxa"/>
            <w:vAlign w:val="top"/>
          </w:tcPr>
          <w:p>
            <w:pPr>
              <w:pStyle w:val="TableText"/>
              <w:spacing w:before="159" w:line="219" w:lineRule="auto"/>
              <w:rPr>
                <w:sz w:val="16"/>
                <w:szCs w:val="16"/>
              </w:rPr>
            </w:pPr>
            <w:r>
              <w:rPr>
                <w:sz w:val="16"/>
                <w:szCs w:val="16"/>
                <w:spacing w:val="-4"/>
              </w:rPr>
              <w:t>《中华人民共和国会计法?</w:t>
            </w:r>
          </w:p>
        </w:tc>
      </w:tr>
      <w:tr>
        <w:trPr>
          <w:trHeight w:val="479" w:hRule="atLeast"/>
        </w:trPr>
        <w:tc>
          <w:tcPr>
            <w:tcW w:w="574" w:type="dxa"/>
            <w:vAlign w:val="top"/>
          </w:tcPr>
          <w:p>
            <w:pPr>
              <w:pStyle w:val="TableText"/>
              <w:ind w:left="154"/>
              <w:spacing w:before="200" w:line="184" w:lineRule="auto"/>
              <w:rPr>
                <w:sz w:val="16"/>
                <w:szCs w:val="16"/>
              </w:rPr>
            </w:pPr>
            <w:r>
              <w:rPr>
                <w:sz w:val="16"/>
                <w:szCs w:val="16"/>
                <w:spacing w:val="-5"/>
              </w:rPr>
              <w:t>139</w:t>
            </w:r>
          </w:p>
        </w:tc>
        <w:tc>
          <w:tcPr>
            <w:tcW w:w="1299" w:type="dxa"/>
            <w:vAlign w:val="top"/>
          </w:tcPr>
          <w:p>
            <w:pPr>
              <w:pStyle w:val="TableText"/>
              <w:ind w:left="400"/>
              <w:spacing w:before="160" w:line="219" w:lineRule="auto"/>
              <w:rPr>
                <w:sz w:val="16"/>
                <w:szCs w:val="16"/>
              </w:rPr>
            </w:pPr>
            <w:r>
              <w:rPr>
                <w:sz w:val="16"/>
                <w:szCs w:val="16"/>
                <w:spacing w:val="-2"/>
              </w:rPr>
              <w:t>财改事</w:t>
            </w:r>
          </w:p>
        </w:tc>
        <w:tc>
          <w:tcPr>
            <w:tcW w:w="1628" w:type="dxa"/>
            <w:vAlign w:val="top"/>
          </w:tcPr>
          <w:p>
            <w:pPr>
              <w:pStyle w:val="TableText"/>
              <w:ind w:left="42"/>
              <w:spacing w:before="160" w:line="219" w:lineRule="auto"/>
              <w:rPr>
                <w:sz w:val="16"/>
                <w:szCs w:val="16"/>
              </w:rPr>
            </w:pPr>
            <w:r>
              <w:rPr>
                <w:sz w:val="16"/>
                <w:szCs w:val="16"/>
                <w:spacing w:val="-1"/>
              </w:rPr>
              <w:t>注册金计师注册</w:t>
            </w:r>
          </w:p>
        </w:tc>
        <w:tc>
          <w:tcPr>
            <w:tcW w:w="2367" w:type="dxa"/>
            <w:vAlign w:val="top"/>
          </w:tcPr>
          <w:p>
            <w:pPr>
              <w:pStyle w:val="TableText"/>
              <w:ind w:left="64"/>
              <w:spacing w:before="159" w:line="219" w:lineRule="auto"/>
              <w:rPr>
                <w:sz w:val="16"/>
                <w:szCs w:val="16"/>
              </w:rPr>
            </w:pPr>
            <w:r>
              <w:rPr>
                <w:sz w:val="16"/>
                <w:szCs w:val="16"/>
                <w:spacing w:val="-1"/>
              </w:rPr>
              <w:t>省级注图会计师的众</w:t>
            </w:r>
          </w:p>
        </w:tc>
        <w:tc>
          <w:tcPr>
            <w:tcW w:w="3711" w:type="dxa"/>
            <w:vAlign w:val="top"/>
          </w:tcPr>
          <w:p>
            <w:pPr>
              <w:pStyle w:val="TableText"/>
              <w:spacing w:before="49" w:line="211" w:lineRule="exact"/>
              <w:rPr>
                <w:sz w:val="16"/>
                <w:szCs w:val="16"/>
              </w:rPr>
            </w:pPr>
            <w:r>
              <w:rPr>
                <w:sz w:val="16"/>
                <w:szCs w:val="16"/>
                <w:spacing w:val="-3"/>
                <w:position w:val="3"/>
              </w:rPr>
              <w:t>《中华人民共和因注命会计师法)</w:t>
            </w:r>
          </w:p>
          <w:p>
            <w:pPr>
              <w:pStyle w:val="TableText"/>
              <w:spacing w:line="219" w:lineRule="auto"/>
              <w:rPr>
                <w:sz w:val="16"/>
                <w:szCs w:val="16"/>
              </w:rPr>
            </w:pPr>
            <w:r>
              <w:rPr>
                <w:sz w:val="16"/>
                <w:szCs w:val="16"/>
                <w:spacing w:val="-4"/>
              </w:rPr>
              <w:t>《部字职业资格目很20班年版小</w:t>
            </w:r>
          </w:p>
        </w:tc>
      </w:tr>
      <w:tr>
        <w:trPr>
          <w:trHeight w:val="479" w:hRule="atLeast"/>
        </w:trPr>
        <w:tc>
          <w:tcPr>
            <w:tcW w:w="574" w:type="dxa"/>
            <w:vAlign w:val="top"/>
          </w:tcPr>
          <w:p>
            <w:pPr>
              <w:pStyle w:val="TableText"/>
              <w:ind w:left="154"/>
              <w:spacing w:before="202" w:line="184" w:lineRule="auto"/>
              <w:rPr>
                <w:sz w:val="16"/>
                <w:szCs w:val="16"/>
              </w:rPr>
            </w:pPr>
            <w:r>
              <w:rPr>
                <w:sz w:val="16"/>
                <w:szCs w:val="16"/>
                <w:spacing w:val="-5"/>
              </w:rPr>
              <w:t>140</w:t>
            </w:r>
          </w:p>
        </w:tc>
        <w:tc>
          <w:tcPr>
            <w:tcW w:w="1299" w:type="dxa"/>
            <w:vAlign w:val="top"/>
          </w:tcPr>
          <w:p>
            <w:pPr>
              <w:pStyle w:val="TableText"/>
              <w:ind w:left="400"/>
              <w:spacing w:before="161" w:line="219" w:lineRule="auto"/>
              <w:rPr>
                <w:sz w:val="16"/>
                <w:szCs w:val="16"/>
              </w:rPr>
            </w:pPr>
            <w:r>
              <w:rPr>
                <w:sz w:val="16"/>
                <w:szCs w:val="16"/>
                <w:spacing w:val="-2"/>
              </w:rPr>
              <w:t>财或部</w:t>
            </w:r>
          </w:p>
        </w:tc>
        <w:tc>
          <w:tcPr>
            <w:tcW w:w="1628" w:type="dxa"/>
            <w:vAlign w:val="top"/>
          </w:tcPr>
          <w:p>
            <w:pPr>
              <w:pStyle w:val="TableText"/>
              <w:ind w:left="42" w:right="161" w:hanging="20"/>
              <w:spacing w:before="70" w:line="230" w:lineRule="auto"/>
              <w:rPr>
                <w:sz w:val="16"/>
                <w:szCs w:val="16"/>
              </w:rPr>
            </w:pPr>
            <w:r>
              <w:rPr>
                <w:sz w:val="16"/>
                <w:szCs w:val="16"/>
                <w:spacing w:val="-1"/>
              </w:rPr>
              <w:t>会计师事务所及其分</w:t>
            </w:r>
            <w:r>
              <w:rPr>
                <w:sz w:val="16"/>
                <w:szCs w:val="16"/>
                <w:spacing w:val="2"/>
              </w:rPr>
              <w:t xml:space="preserve"> </w:t>
            </w:r>
            <w:r>
              <w:rPr>
                <w:sz w:val="16"/>
                <w:szCs w:val="16"/>
                <w:spacing w:val="-1"/>
              </w:rPr>
              <w:t>支机榨良立审批</w:t>
            </w:r>
          </w:p>
        </w:tc>
        <w:tc>
          <w:tcPr>
            <w:tcW w:w="2367" w:type="dxa"/>
            <w:vAlign w:val="top"/>
          </w:tcPr>
          <w:p>
            <w:pPr>
              <w:pStyle w:val="TableText"/>
              <w:ind w:left="64"/>
              <w:spacing w:before="161" w:line="219" w:lineRule="auto"/>
              <w:rPr>
                <w:sz w:val="16"/>
                <w:szCs w:val="16"/>
              </w:rPr>
            </w:pPr>
            <w:r>
              <w:rPr>
                <w:sz w:val="16"/>
                <w:szCs w:val="16"/>
                <w:spacing w:val="3"/>
              </w:rPr>
              <w:t>省级财政都门</w:t>
            </w:r>
          </w:p>
        </w:tc>
        <w:tc>
          <w:tcPr>
            <w:tcW w:w="3711" w:type="dxa"/>
            <w:vAlign w:val="top"/>
          </w:tcPr>
          <w:p>
            <w:pPr>
              <w:pStyle w:val="TableText"/>
              <w:spacing w:before="160" w:line="219" w:lineRule="auto"/>
              <w:rPr>
                <w:sz w:val="16"/>
                <w:szCs w:val="16"/>
              </w:rPr>
            </w:pPr>
            <w:r>
              <w:rPr>
                <w:sz w:val="16"/>
                <w:szCs w:val="16"/>
                <w:spacing w:val="-3"/>
              </w:rPr>
              <w:t>《中华人民共和国注系会计有法)</w:t>
            </w:r>
          </w:p>
        </w:tc>
      </w:tr>
      <w:tr>
        <w:trPr>
          <w:trHeight w:val="669" w:hRule="atLeast"/>
        </w:trPr>
        <w:tc>
          <w:tcPr>
            <w:tcW w:w="574" w:type="dxa"/>
            <w:vAlign w:val="top"/>
          </w:tcPr>
          <w:p>
            <w:pPr>
              <w:spacing w:line="249" w:lineRule="auto"/>
              <w:rPr>
                <w:rFonts w:ascii="Arial"/>
                <w:sz w:val="21"/>
              </w:rPr>
            </w:pPr>
            <w:r/>
          </w:p>
          <w:p>
            <w:pPr>
              <w:pStyle w:val="TableText"/>
              <w:ind w:left="154"/>
              <w:spacing w:before="52" w:line="184" w:lineRule="auto"/>
              <w:rPr>
                <w:sz w:val="16"/>
                <w:szCs w:val="16"/>
              </w:rPr>
            </w:pPr>
            <w:r>
              <w:rPr>
                <w:sz w:val="16"/>
                <w:szCs w:val="16"/>
                <w:spacing w:val="-5"/>
              </w:rPr>
              <w:t>141</w:t>
            </w:r>
          </w:p>
        </w:tc>
        <w:tc>
          <w:tcPr>
            <w:tcW w:w="1299" w:type="dxa"/>
            <w:vAlign w:val="top"/>
          </w:tcPr>
          <w:p>
            <w:pPr>
              <w:pStyle w:val="TableText"/>
              <w:ind w:left="400"/>
              <w:spacing w:before="262" w:line="219" w:lineRule="auto"/>
              <w:rPr>
                <w:sz w:val="16"/>
                <w:szCs w:val="16"/>
              </w:rPr>
            </w:pPr>
            <w:r>
              <w:rPr>
                <w:sz w:val="16"/>
                <w:szCs w:val="16"/>
                <w:spacing w:val="-2"/>
              </w:rPr>
              <w:t>财盘部</w:t>
            </w:r>
          </w:p>
        </w:tc>
        <w:tc>
          <w:tcPr>
            <w:tcW w:w="1628" w:type="dxa"/>
            <w:vAlign w:val="top"/>
          </w:tcPr>
          <w:p>
            <w:pPr>
              <w:pStyle w:val="TableText"/>
              <w:ind w:left="42" w:right="142"/>
              <w:spacing w:before="71" w:line="226" w:lineRule="auto"/>
              <w:jc w:val="both"/>
              <w:rPr>
                <w:sz w:val="16"/>
                <w:szCs w:val="16"/>
              </w:rPr>
            </w:pPr>
            <w:r>
              <w:rPr>
                <w:sz w:val="16"/>
                <w:szCs w:val="16"/>
                <w:spacing w:val="-1"/>
              </w:rPr>
              <w:t>境异会计师事务所在</w:t>
            </w:r>
            <w:r>
              <w:rPr>
                <w:sz w:val="16"/>
                <w:szCs w:val="16"/>
                <w:spacing w:val="1"/>
              </w:rPr>
              <w:t xml:space="preserve"> </w:t>
            </w:r>
            <w:r>
              <w:rPr>
                <w:sz w:val="16"/>
                <w:szCs w:val="16"/>
                <w:spacing w:val="-1"/>
              </w:rPr>
              <w:t>境内临时办理审计业</w:t>
            </w:r>
            <w:r>
              <w:rPr>
                <w:sz w:val="16"/>
                <w:szCs w:val="16"/>
                <w:spacing w:val="1"/>
              </w:rPr>
              <w:t xml:space="preserve"> </w:t>
            </w:r>
            <w:r>
              <w:rPr>
                <w:sz w:val="16"/>
                <w:szCs w:val="16"/>
                <w:spacing w:val="-2"/>
              </w:rPr>
              <w:t>务审批</w:t>
            </w:r>
          </w:p>
        </w:tc>
        <w:tc>
          <w:tcPr>
            <w:tcW w:w="2367" w:type="dxa"/>
            <w:vAlign w:val="top"/>
          </w:tcPr>
          <w:p>
            <w:pPr>
              <w:pStyle w:val="TableText"/>
              <w:ind w:left="64"/>
              <w:spacing w:before="262" w:line="219" w:lineRule="auto"/>
              <w:rPr>
                <w:sz w:val="16"/>
                <w:szCs w:val="16"/>
              </w:rPr>
            </w:pPr>
            <w:r>
              <w:rPr>
                <w:sz w:val="16"/>
                <w:szCs w:val="16"/>
                <w:spacing w:val="3"/>
              </w:rPr>
              <w:t>省眼财政靠门</w:t>
            </w:r>
          </w:p>
        </w:tc>
        <w:tc>
          <w:tcPr>
            <w:tcW w:w="3711" w:type="dxa"/>
            <w:vAlign w:val="top"/>
          </w:tcPr>
          <w:p>
            <w:pPr>
              <w:pStyle w:val="TableText"/>
              <w:spacing w:before="262" w:line="219" w:lineRule="auto"/>
              <w:rPr>
                <w:sz w:val="16"/>
                <w:szCs w:val="16"/>
              </w:rPr>
            </w:pPr>
            <w:r>
              <w:rPr>
                <w:sz w:val="16"/>
                <w:szCs w:val="16"/>
                <w:spacing w:val="-3"/>
              </w:rPr>
              <w:t>《中华人民共和国注母命研师私)</w:t>
            </w:r>
          </w:p>
        </w:tc>
      </w:tr>
      <w:tr>
        <w:trPr>
          <w:trHeight w:val="489" w:hRule="atLeast"/>
        </w:trPr>
        <w:tc>
          <w:tcPr>
            <w:tcW w:w="574" w:type="dxa"/>
            <w:vAlign w:val="top"/>
          </w:tcPr>
          <w:p>
            <w:pPr>
              <w:pStyle w:val="TableText"/>
              <w:ind w:left="154"/>
              <w:spacing w:before="214" w:line="184" w:lineRule="auto"/>
              <w:rPr>
                <w:sz w:val="16"/>
                <w:szCs w:val="16"/>
              </w:rPr>
            </w:pPr>
            <w:r>
              <w:rPr>
                <w:sz w:val="16"/>
                <w:szCs w:val="16"/>
                <w:spacing w:val="-5"/>
              </w:rPr>
              <w:t>142</w:t>
            </w:r>
          </w:p>
        </w:tc>
        <w:tc>
          <w:tcPr>
            <w:tcW w:w="1299" w:type="dxa"/>
            <w:vAlign w:val="top"/>
          </w:tcPr>
          <w:p>
            <w:pPr>
              <w:pStyle w:val="TableText"/>
              <w:ind w:left="400"/>
              <w:spacing w:before="173" w:line="219" w:lineRule="auto"/>
              <w:rPr>
                <w:sz w:val="16"/>
                <w:szCs w:val="16"/>
              </w:rPr>
            </w:pPr>
            <w:r>
              <w:rPr>
                <w:sz w:val="16"/>
                <w:szCs w:val="16"/>
                <w:spacing w:val="-2"/>
              </w:rPr>
              <w:t>财政零</w:t>
            </w:r>
          </w:p>
        </w:tc>
        <w:tc>
          <w:tcPr>
            <w:tcW w:w="1628" w:type="dxa"/>
            <w:vAlign w:val="top"/>
          </w:tcPr>
          <w:p>
            <w:pPr>
              <w:pStyle w:val="TableText"/>
              <w:ind w:left="42" w:right="142"/>
              <w:spacing w:before="82" w:line="221" w:lineRule="auto"/>
              <w:rPr>
                <w:sz w:val="16"/>
                <w:szCs w:val="16"/>
              </w:rPr>
            </w:pPr>
            <w:r>
              <w:rPr>
                <w:sz w:val="16"/>
                <w:szCs w:val="16"/>
                <w:spacing w:val="-1"/>
              </w:rPr>
              <w:t>彩群发行曹理事项率</w:t>
            </w:r>
            <w:r>
              <w:rPr>
                <w:sz w:val="16"/>
                <w:szCs w:val="16"/>
                <w:spacing w:val="1"/>
              </w:rPr>
              <w:t xml:space="preserve"> </w:t>
            </w:r>
            <w:r>
              <w:rPr>
                <w:sz w:val="16"/>
                <w:szCs w:val="16"/>
              </w:rPr>
              <w:t>盘</w:t>
            </w:r>
          </w:p>
        </w:tc>
        <w:tc>
          <w:tcPr>
            <w:tcW w:w="2367" w:type="dxa"/>
            <w:vAlign w:val="top"/>
          </w:tcPr>
          <w:p>
            <w:pPr>
              <w:pStyle w:val="TableText"/>
              <w:ind w:left="64"/>
              <w:spacing w:before="173" w:line="219" w:lineRule="auto"/>
              <w:rPr>
                <w:sz w:val="16"/>
                <w:szCs w:val="16"/>
              </w:rPr>
            </w:pPr>
            <w:r>
              <w:rPr>
                <w:sz w:val="16"/>
                <w:szCs w:val="16"/>
                <w:spacing w:val="-2"/>
              </w:rPr>
              <w:t>财政部</w:t>
            </w:r>
          </w:p>
        </w:tc>
        <w:tc>
          <w:tcPr>
            <w:tcW w:w="3711" w:type="dxa"/>
            <w:vAlign w:val="top"/>
          </w:tcPr>
          <w:p>
            <w:pPr>
              <w:pStyle w:val="TableText"/>
              <w:ind w:left="46"/>
              <w:spacing w:before="173" w:line="219" w:lineRule="auto"/>
              <w:rPr>
                <w:sz w:val="16"/>
                <w:szCs w:val="16"/>
              </w:rPr>
            </w:pPr>
            <w:r>
              <w:rPr>
                <w:sz w:val="16"/>
                <w:szCs w:val="16"/>
                <w:spacing w:val="4"/>
              </w:rPr>
              <w:t>(要草管理条码)</w:t>
            </w:r>
          </w:p>
        </w:tc>
      </w:tr>
      <w:tr>
        <w:trPr>
          <w:trHeight w:val="469" w:hRule="atLeast"/>
        </w:trPr>
        <w:tc>
          <w:tcPr>
            <w:tcW w:w="574" w:type="dxa"/>
            <w:vAlign w:val="top"/>
          </w:tcPr>
          <w:p>
            <w:pPr>
              <w:pStyle w:val="TableText"/>
              <w:ind w:left="154"/>
              <w:spacing w:before="205" w:line="184" w:lineRule="auto"/>
              <w:rPr>
                <w:sz w:val="16"/>
                <w:szCs w:val="16"/>
              </w:rPr>
            </w:pPr>
            <w:r>
              <w:rPr>
                <w:sz w:val="16"/>
                <w:szCs w:val="16"/>
                <w:spacing w:val="-5"/>
              </w:rPr>
              <w:t>143</w:t>
            </w:r>
          </w:p>
        </w:tc>
        <w:tc>
          <w:tcPr>
            <w:tcW w:w="1299" w:type="dxa"/>
            <w:vAlign w:val="top"/>
          </w:tcPr>
          <w:p>
            <w:pPr>
              <w:pStyle w:val="TableText"/>
              <w:ind w:left="400"/>
              <w:spacing w:before="165" w:line="220" w:lineRule="auto"/>
              <w:rPr>
                <w:sz w:val="16"/>
                <w:szCs w:val="16"/>
              </w:rPr>
            </w:pPr>
            <w:r>
              <w:rPr>
                <w:sz w:val="16"/>
                <w:szCs w:val="16"/>
                <w:spacing w:val="-2"/>
              </w:rPr>
              <w:t>财政起</w:t>
            </w:r>
          </w:p>
        </w:tc>
        <w:tc>
          <w:tcPr>
            <w:tcW w:w="1628" w:type="dxa"/>
            <w:vAlign w:val="top"/>
          </w:tcPr>
          <w:p>
            <w:pPr>
              <w:pStyle w:val="TableText"/>
              <w:ind w:left="42" w:right="97" w:firstLine="30"/>
              <w:spacing w:before="74" w:line="222" w:lineRule="auto"/>
              <w:rPr>
                <w:sz w:val="16"/>
                <w:szCs w:val="16"/>
              </w:rPr>
            </w:pPr>
            <w:r>
              <w:rPr>
                <w:sz w:val="16"/>
                <w:szCs w:val="16"/>
              </w:rPr>
              <w:t>出口信用保险和关支</w:t>
            </w:r>
            <w:r>
              <w:rPr>
                <w:sz w:val="16"/>
                <w:szCs w:val="16"/>
                <w:spacing w:val="7"/>
              </w:rPr>
              <w:t xml:space="preserve"> </w:t>
            </w:r>
            <w:r>
              <w:rPr>
                <w:sz w:val="16"/>
                <w:szCs w:val="16"/>
                <w:spacing w:val="-2"/>
              </w:rPr>
              <w:t>务串批</w:t>
            </w:r>
          </w:p>
        </w:tc>
        <w:tc>
          <w:tcPr>
            <w:tcW w:w="2367" w:type="dxa"/>
            <w:vAlign w:val="top"/>
          </w:tcPr>
          <w:p>
            <w:pPr>
              <w:pStyle w:val="TableText"/>
              <w:ind w:left="64"/>
              <w:spacing w:before="165" w:line="221" w:lineRule="auto"/>
              <w:rPr>
                <w:sz w:val="16"/>
                <w:szCs w:val="16"/>
              </w:rPr>
            </w:pPr>
            <w:r>
              <w:rPr>
                <w:sz w:val="16"/>
                <w:szCs w:val="16"/>
                <w:spacing w:val="-2"/>
              </w:rPr>
              <w:t>财政准</w:t>
            </w:r>
          </w:p>
        </w:tc>
        <w:tc>
          <w:tcPr>
            <w:tcW w:w="3711" w:type="dxa"/>
            <w:vAlign w:val="top"/>
          </w:tcPr>
          <w:p>
            <w:pPr>
              <w:pStyle w:val="TableText"/>
              <w:ind w:left="46" w:right="249" w:firstLine="30"/>
              <w:spacing w:before="44" w:line="225" w:lineRule="auto"/>
              <w:rPr>
                <w:sz w:val="16"/>
                <w:szCs w:val="16"/>
              </w:rPr>
            </w:pPr>
            <w:r>
              <w:rPr>
                <w:sz w:val="16"/>
                <w:szCs w:val="16"/>
              </w:rPr>
              <w:t>国务国对确需保限的行政审育项目设定行收许印</w:t>
            </w:r>
            <w:r>
              <w:rPr>
                <w:sz w:val="16"/>
                <w:szCs w:val="16"/>
                <w:spacing w:val="13"/>
              </w:rPr>
              <w:t xml:space="preserve"> </w:t>
            </w:r>
            <w:r>
              <w:rPr>
                <w:sz w:val="16"/>
                <w:szCs w:val="16"/>
              </w:rPr>
              <w:t>的决定》</w:t>
            </w:r>
          </w:p>
        </w:tc>
      </w:tr>
      <w:tr>
        <w:trPr>
          <w:trHeight w:val="564" w:hRule="atLeast"/>
        </w:trPr>
        <w:tc>
          <w:tcPr>
            <w:tcW w:w="574" w:type="dxa"/>
            <w:vAlign w:val="top"/>
          </w:tcPr>
          <w:p>
            <w:pPr>
              <w:pStyle w:val="TableText"/>
              <w:ind w:left="154"/>
              <w:spacing w:before="245" w:line="184" w:lineRule="auto"/>
              <w:rPr>
                <w:sz w:val="16"/>
                <w:szCs w:val="16"/>
              </w:rPr>
            </w:pPr>
            <w:r>
              <w:rPr>
                <w:sz w:val="16"/>
                <w:szCs w:val="16"/>
                <w:spacing w:val="-5"/>
              </w:rPr>
              <w:t>14</w:t>
            </w:r>
          </w:p>
        </w:tc>
        <w:tc>
          <w:tcPr>
            <w:tcW w:w="1299" w:type="dxa"/>
            <w:vAlign w:val="top"/>
          </w:tcPr>
          <w:p>
            <w:pPr>
              <w:pStyle w:val="TableText"/>
              <w:ind w:left="400"/>
              <w:spacing w:before="205" w:line="219" w:lineRule="auto"/>
              <w:rPr>
                <w:sz w:val="16"/>
                <w:szCs w:val="16"/>
              </w:rPr>
            </w:pPr>
            <w:r>
              <w:rPr>
                <w:sz w:val="16"/>
                <w:szCs w:val="16"/>
                <w:spacing w:val="-2"/>
              </w:rPr>
              <w:t>射故完</w:t>
            </w:r>
          </w:p>
        </w:tc>
        <w:tc>
          <w:tcPr>
            <w:tcW w:w="1628" w:type="dxa"/>
            <w:vAlign w:val="top"/>
          </w:tcPr>
          <w:p>
            <w:pPr>
              <w:pStyle w:val="TableText"/>
              <w:ind w:left="42"/>
              <w:spacing w:before="205" w:line="219" w:lineRule="auto"/>
              <w:rPr>
                <w:sz w:val="16"/>
                <w:szCs w:val="16"/>
              </w:rPr>
            </w:pPr>
            <w:r>
              <w:rPr>
                <w:sz w:val="16"/>
                <w:szCs w:val="16"/>
                <w:spacing w:val="-1"/>
              </w:rPr>
              <w:t>最立免税场所审批</w:t>
            </w:r>
          </w:p>
        </w:tc>
        <w:tc>
          <w:tcPr>
            <w:tcW w:w="2367" w:type="dxa"/>
            <w:vAlign w:val="top"/>
          </w:tcPr>
          <w:p>
            <w:pPr>
              <w:pStyle w:val="TableText"/>
              <w:ind w:left="54"/>
              <w:spacing w:before="105" w:line="219" w:lineRule="auto"/>
              <w:rPr>
                <w:sz w:val="16"/>
                <w:szCs w:val="16"/>
              </w:rPr>
            </w:pPr>
            <w:r>
              <w:rPr>
                <w:sz w:val="16"/>
                <w:szCs w:val="16"/>
              </w:rPr>
              <w:t>W政部合同海关监号，根  总</w:t>
            </w:r>
          </w:p>
          <w:p>
            <w:pPr>
              <w:pStyle w:val="TableText"/>
              <w:ind w:left="64"/>
              <w:spacing w:before="10" w:line="219" w:lineRule="auto"/>
              <w:rPr>
                <w:sz w:val="16"/>
                <w:szCs w:val="16"/>
              </w:rPr>
            </w:pPr>
            <w:r>
              <w:rPr>
                <w:sz w:val="16"/>
                <w:szCs w:val="16"/>
                <w:spacing w:val="-1"/>
              </w:rPr>
              <w:t>局，文化和煎曹都</w:t>
            </w:r>
          </w:p>
        </w:tc>
        <w:tc>
          <w:tcPr>
            <w:tcW w:w="3711" w:type="dxa"/>
            <w:vAlign w:val="top"/>
          </w:tcPr>
          <w:p>
            <w:pPr>
              <w:pStyle w:val="TableText"/>
              <w:ind w:left="49" w:right="197" w:hanging="49"/>
              <w:spacing w:before="95" w:line="225" w:lineRule="auto"/>
              <w:rPr>
                <w:sz w:val="16"/>
                <w:szCs w:val="16"/>
              </w:rPr>
            </w:pPr>
            <w:r>
              <w:rPr>
                <w:sz w:val="16"/>
                <w:szCs w:val="16"/>
                <w:spacing w:val="-1"/>
              </w:rPr>
              <w:t>《国务酸对确备保留的行政审批项日设定行敢许可</w:t>
            </w:r>
            <w:r>
              <w:rPr>
                <w:sz w:val="16"/>
                <w:szCs w:val="16"/>
                <w:spacing w:val="4"/>
              </w:rPr>
              <w:t xml:space="preserve"> </w:t>
            </w:r>
            <w:r>
              <w:rPr>
                <w:sz w:val="16"/>
                <w:szCs w:val="16"/>
                <w:spacing w:val="-1"/>
              </w:rPr>
              <w:t>的决足》</w:t>
            </w:r>
          </w:p>
        </w:tc>
      </w:tr>
    </w:tbl>
    <w:p>
      <w:pPr>
        <w:pStyle w:val="BodyText"/>
        <w:rPr/>
      </w:pPr>
      <w:r/>
    </w:p>
    <w:p>
      <w:pPr>
        <w:sectPr>
          <w:pgSz w:w="11910" w:h="8220"/>
          <w:pgMar w:top="400" w:right="1185" w:bottom="400" w:left="811" w:header="0" w:footer="0" w:gutter="0"/>
        </w:sectPr>
        <w:rPr/>
      </w:pPr>
    </w:p>
    <w:p>
      <w:pPr>
        <w:spacing w:before="113"/>
        <w:rPr/>
      </w:pPr>
      <w:r>
        <mc:AlternateContent xmlns:mc="http://schemas.openxmlformats.org/markup-compatibility/2006">
          <mc:Choice Requires="wps">
            <w:drawing>
              <wp:anchor distT="0" distB="0" distL="0" distR="0" simplePos="0" relativeHeight="251836416"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92" name="TextBox 192"/>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4" style="position:absolute;margin-left:37.3042pt;margin-top:345.373pt;mso-position-vertical-relative:page;mso-position-horizontal-relative:page;width:13.1pt;height:12.4pt;z-index:25183641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177</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01"/>
      </w:tblGrid>
      <w:tr>
        <w:trPr>
          <w:trHeight w:val="424" w:hRule="atLeast"/>
        </w:trPr>
        <w:tc>
          <w:tcPr>
            <w:tcW w:w="584" w:type="dxa"/>
            <w:vAlign w:val="top"/>
          </w:tcPr>
          <w:p>
            <w:pPr>
              <w:pStyle w:val="TableText"/>
              <w:ind w:left="65"/>
              <w:spacing w:before="132" w:line="221" w:lineRule="auto"/>
              <w:rPr>
                <w:sz w:val="17"/>
                <w:szCs w:val="17"/>
              </w:rPr>
            </w:pPr>
            <w:r>
              <w:rPr>
                <w:sz w:val="17"/>
                <w:szCs w:val="17"/>
                <w:spacing w:val="-3"/>
              </w:rPr>
              <w:t>厚母</w:t>
            </w:r>
          </w:p>
        </w:tc>
        <w:tc>
          <w:tcPr>
            <w:tcW w:w="1289" w:type="dxa"/>
            <w:vAlign w:val="top"/>
          </w:tcPr>
          <w:p>
            <w:pPr>
              <w:pStyle w:val="TableText"/>
              <w:ind w:left="80"/>
              <w:spacing w:before="132" w:line="219" w:lineRule="auto"/>
              <w:rPr>
                <w:sz w:val="17"/>
                <w:szCs w:val="17"/>
              </w:rPr>
            </w:pPr>
            <w:r>
              <w:rPr>
                <w:sz w:val="17"/>
                <w:szCs w:val="17"/>
                <w:spacing w:val="2"/>
              </w:rPr>
              <w:t>甲央去管西/门</w:t>
            </w:r>
          </w:p>
        </w:tc>
        <w:tc>
          <w:tcPr>
            <w:tcW w:w="1638" w:type="dxa"/>
            <w:vAlign w:val="top"/>
          </w:tcPr>
          <w:p>
            <w:pPr>
              <w:pStyle w:val="TableText"/>
              <w:ind w:left="461"/>
              <w:spacing w:before="132" w:line="219" w:lineRule="auto"/>
              <w:rPr>
                <w:sz w:val="17"/>
                <w:szCs w:val="17"/>
              </w:rPr>
            </w:pPr>
            <w:r>
              <w:rPr>
                <w:sz w:val="17"/>
                <w:szCs w:val="17"/>
                <w:spacing w:val="-2"/>
              </w:rPr>
              <w:t>家项名牌</w:t>
            </w:r>
          </w:p>
        </w:tc>
        <w:tc>
          <w:tcPr>
            <w:tcW w:w="2377" w:type="dxa"/>
            <w:vAlign w:val="top"/>
          </w:tcPr>
          <w:p>
            <w:pPr>
              <w:pStyle w:val="TableText"/>
              <w:ind w:left="844"/>
              <w:spacing w:before="130" w:line="219" w:lineRule="auto"/>
              <w:rPr>
                <w:sz w:val="17"/>
                <w:szCs w:val="17"/>
              </w:rPr>
            </w:pPr>
            <w:r>
              <w:rPr>
                <w:sz w:val="17"/>
                <w:szCs w:val="17"/>
                <w:spacing w:val="-3"/>
              </w:rPr>
              <w:t>实胞机关</w:t>
            </w:r>
          </w:p>
        </w:tc>
        <w:tc>
          <w:tcPr>
            <w:tcW w:w="3701" w:type="dxa"/>
            <w:vAlign w:val="top"/>
          </w:tcPr>
          <w:p>
            <w:pPr>
              <w:pStyle w:val="TableText"/>
              <w:ind w:left="1246"/>
              <w:spacing w:before="130" w:line="219" w:lineRule="auto"/>
              <w:rPr>
                <w:sz w:val="17"/>
                <w:szCs w:val="17"/>
              </w:rPr>
            </w:pPr>
            <w:r>
              <w:rPr>
                <w:sz w:val="17"/>
                <w:szCs w:val="17"/>
                <w:spacing w:val="1"/>
              </w:rPr>
              <w:t>收定和实施依据</w:t>
            </w:r>
          </w:p>
        </w:tc>
      </w:tr>
      <w:tr>
        <w:trPr>
          <w:trHeight w:val="689" w:hRule="atLeast"/>
        </w:trPr>
        <w:tc>
          <w:tcPr>
            <w:tcW w:w="584" w:type="dxa"/>
            <w:vAlign w:val="top"/>
          </w:tcPr>
          <w:p>
            <w:pPr>
              <w:spacing w:line="244" w:lineRule="auto"/>
              <w:rPr>
                <w:rFonts w:ascii="Arial"/>
                <w:sz w:val="21"/>
              </w:rPr>
            </w:pPr>
            <w:r/>
          </w:p>
          <w:p>
            <w:pPr>
              <w:pStyle w:val="TableText"/>
              <w:ind w:left="154"/>
              <w:spacing w:before="55" w:line="184" w:lineRule="auto"/>
              <w:rPr>
                <w:sz w:val="17"/>
                <w:szCs w:val="17"/>
              </w:rPr>
            </w:pPr>
            <w:r>
              <w:rPr>
                <w:sz w:val="17"/>
                <w:szCs w:val="17"/>
                <w:spacing w:val="-5"/>
              </w:rPr>
              <w:t>145</w:t>
            </w:r>
          </w:p>
        </w:tc>
        <w:tc>
          <w:tcPr>
            <w:tcW w:w="1289" w:type="dxa"/>
            <w:vAlign w:val="top"/>
          </w:tcPr>
          <w:p>
            <w:pPr>
              <w:pStyle w:val="TableText"/>
              <w:ind w:left="210" w:right="225" w:firstLine="80"/>
              <w:spacing w:before="149" w:line="228" w:lineRule="auto"/>
              <w:rPr>
                <w:sz w:val="17"/>
                <w:szCs w:val="17"/>
              </w:rPr>
            </w:pPr>
            <w:r>
              <w:rPr>
                <w:sz w:val="17"/>
                <w:szCs w:val="17"/>
                <w:spacing w:val="-2"/>
              </w:rPr>
              <w:t>人为查源</w:t>
            </w:r>
            <w:r>
              <w:rPr>
                <w:sz w:val="17"/>
                <w:szCs w:val="17"/>
              </w:rPr>
              <w:t xml:space="preserve">  </w:t>
            </w:r>
            <w:r>
              <w:rPr>
                <w:sz w:val="17"/>
                <w:szCs w:val="17"/>
                <w:spacing w:val="-2"/>
              </w:rPr>
              <w:t>社合保障部</w:t>
            </w:r>
          </w:p>
        </w:tc>
        <w:tc>
          <w:tcPr>
            <w:tcW w:w="1638" w:type="dxa"/>
            <w:vAlign w:val="top"/>
          </w:tcPr>
          <w:p>
            <w:pPr>
              <w:pStyle w:val="TableText"/>
              <w:ind w:left="42" w:right="37" w:firstLine="10"/>
              <w:spacing w:before="157" w:line="219" w:lineRule="auto"/>
              <w:rPr>
                <w:sz w:val="17"/>
                <w:szCs w:val="17"/>
              </w:rPr>
            </w:pPr>
            <w:r>
              <w:rPr>
                <w:sz w:val="17"/>
                <w:szCs w:val="17"/>
              </w:rPr>
              <w:t>民办技工学程，核薛</w:t>
            </w:r>
            <w:r>
              <w:rPr>
                <w:sz w:val="17"/>
                <w:szCs w:val="17"/>
                <w:spacing w:val="7"/>
              </w:rPr>
              <w:t xml:space="preserve"> </w:t>
            </w:r>
            <w:r>
              <w:rPr>
                <w:sz w:val="17"/>
                <w:szCs w:val="17"/>
                <w:spacing w:val="-2"/>
              </w:rPr>
              <w:t>学院穿设审限</w:t>
            </w:r>
          </w:p>
        </w:tc>
        <w:tc>
          <w:tcPr>
            <w:tcW w:w="2377" w:type="dxa"/>
            <w:vAlign w:val="top"/>
          </w:tcPr>
          <w:p>
            <w:pPr>
              <w:pStyle w:val="TableText"/>
              <w:ind w:left="64" w:right="14"/>
              <w:spacing w:before="67" w:line="218" w:lineRule="auto"/>
              <w:rPr>
                <w:sz w:val="17"/>
                <w:szCs w:val="17"/>
              </w:rPr>
            </w:pPr>
            <w:r>
              <w:rPr>
                <w:sz w:val="17"/>
                <w:szCs w:val="17"/>
                <w:spacing w:val="-1"/>
              </w:rPr>
              <w:t>青集建府(面省绝人力货源社会</w:t>
            </w:r>
            <w:r>
              <w:rPr>
                <w:sz w:val="17"/>
                <w:szCs w:val="17"/>
                <w:spacing w:val="6"/>
              </w:rPr>
              <w:t xml:space="preserve"> </w:t>
            </w:r>
            <w:r>
              <w:rPr>
                <w:sz w:val="17"/>
                <w:szCs w:val="17"/>
                <w:spacing w:val="-1"/>
              </w:rPr>
              <w:t>保库部门病办),冒袋人力资源</w:t>
            </w:r>
            <w:r>
              <w:rPr>
                <w:sz w:val="17"/>
                <w:szCs w:val="17"/>
                <w:spacing w:val="2"/>
              </w:rPr>
              <w:t xml:space="preserve">  </w:t>
            </w:r>
            <w:r>
              <w:rPr>
                <w:sz w:val="17"/>
                <w:szCs w:val="17"/>
                <w:spacing w:val="3"/>
              </w:rPr>
              <w:t>程套样障面门</w:t>
            </w:r>
          </w:p>
        </w:tc>
        <w:tc>
          <w:tcPr>
            <w:tcW w:w="3701" w:type="dxa"/>
            <w:vAlign w:val="top"/>
          </w:tcPr>
          <w:p>
            <w:pPr>
              <w:pStyle w:val="TableText"/>
              <w:spacing w:before="256" w:line="219" w:lineRule="auto"/>
              <w:rPr>
                <w:sz w:val="17"/>
                <w:szCs w:val="17"/>
              </w:rPr>
            </w:pPr>
            <w:r>
              <w:rPr>
                <w:sz w:val="17"/>
                <w:szCs w:val="17"/>
                <w:spacing w:val="-4"/>
              </w:rPr>
              <w:t>《中华人民共和国民办教育促进法</w:t>
            </w:r>
          </w:p>
        </w:tc>
      </w:tr>
      <w:tr>
        <w:trPr>
          <w:trHeight w:val="699" w:hRule="atLeast"/>
        </w:trPr>
        <w:tc>
          <w:tcPr>
            <w:tcW w:w="584" w:type="dxa"/>
            <w:vAlign w:val="top"/>
          </w:tcPr>
          <w:p>
            <w:pPr>
              <w:spacing w:line="255" w:lineRule="auto"/>
              <w:rPr>
                <w:rFonts w:ascii="Arial"/>
                <w:sz w:val="21"/>
              </w:rPr>
            </w:pPr>
            <w:r/>
          </w:p>
          <w:p>
            <w:pPr>
              <w:pStyle w:val="TableText"/>
              <w:ind w:left="154"/>
              <w:spacing w:before="55" w:line="184" w:lineRule="auto"/>
              <w:rPr>
                <w:sz w:val="17"/>
                <w:szCs w:val="17"/>
              </w:rPr>
            </w:pPr>
            <w:r>
              <w:rPr>
                <w:sz w:val="17"/>
                <w:szCs w:val="17"/>
                <w:spacing w:val="-5"/>
              </w:rPr>
              <w:t>1an</w:t>
            </w:r>
          </w:p>
        </w:tc>
        <w:tc>
          <w:tcPr>
            <w:tcW w:w="1289" w:type="dxa"/>
            <w:vAlign w:val="top"/>
          </w:tcPr>
          <w:p>
            <w:pPr>
              <w:pStyle w:val="TableText"/>
              <w:ind w:left="210" w:right="225" w:firstLine="80"/>
              <w:spacing w:before="168" w:line="218" w:lineRule="auto"/>
              <w:rPr>
                <w:sz w:val="17"/>
                <w:szCs w:val="17"/>
              </w:rPr>
            </w:pPr>
            <w:r>
              <w:rPr>
                <w:sz w:val="17"/>
                <w:szCs w:val="17"/>
                <w:spacing w:val="-2"/>
              </w:rPr>
              <w:t>人力能毒</w:t>
            </w:r>
            <w:r>
              <w:rPr>
                <w:sz w:val="17"/>
                <w:szCs w:val="17"/>
              </w:rPr>
              <w:t xml:space="preserve">  </w:t>
            </w:r>
            <w:r>
              <w:rPr>
                <w:sz w:val="17"/>
                <w:szCs w:val="17"/>
                <w:spacing w:val="-2"/>
              </w:rPr>
              <w:t>社会保阅部</w:t>
            </w:r>
          </w:p>
        </w:tc>
        <w:tc>
          <w:tcPr>
            <w:tcW w:w="1638" w:type="dxa"/>
            <w:vAlign w:val="top"/>
          </w:tcPr>
          <w:p>
            <w:pPr>
              <w:pStyle w:val="TableText"/>
              <w:ind w:left="42" w:right="148"/>
              <w:spacing w:before="189" w:line="207" w:lineRule="auto"/>
              <w:rPr>
                <w:sz w:val="17"/>
                <w:szCs w:val="17"/>
              </w:rPr>
            </w:pPr>
            <w:r>
              <w:rPr>
                <w:sz w:val="17"/>
                <w:szCs w:val="17"/>
                <w:spacing w:val="-1"/>
              </w:rPr>
              <w:t>挂工学校.挂尊苹荒</w:t>
            </w:r>
            <w:r>
              <w:rPr>
                <w:sz w:val="17"/>
                <w:szCs w:val="17"/>
              </w:rPr>
              <w:t xml:space="preserve"> </w:t>
            </w:r>
            <w:r>
              <w:rPr>
                <w:sz w:val="17"/>
                <w:szCs w:val="17"/>
                <w:spacing w:val="-2"/>
              </w:rPr>
              <w:t>办学作可</w:t>
            </w:r>
          </w:p>
        </w:tc>
        <w:tc>
          <w:tcPr>
            <w:tcW w:w="2377" w:type="dxa"/>
            <w:vAlign w:val="top"/>
          </w:tcPr>
          <w:p>
            <w:pPr>
              <w:pStyle w:val="TableText"/>
              <w:ind w:left="54" w:firstLine="29"/>
              <w:spacing w:before="68" w:line="218" w:lineRule="auto"/>
              <w:rPr>
                <w:sz w:val="17"/>
                <w:szCs w:val="17"/>
              </w:rPr>
            </w:pPr>
            <w:r>
              <w:rPr>
                <w:sz w:val="17"/>
                <w:szCs w:val="17"/>
                <w:spacing w:val="-1"/>
              </w:rPr>
              <w:t>青统改府(由省硫入力厨源社会</w:t>
            </w:r>
            <w:r>
              <w:rPr>
                <w:sz w:val="17"/>
                <w:szCs w:val="17"/>
                <w:spacing w:val="1"/>
              </w:rPr>
              <w:t xml:space="preserve"> </w:t>
            </w:r>
            <w:r>
              <w:rPr>
                <w:sz w:val="17"/>
                <w:szCs w:val="17"/>
                <w:spacing w:val="-1"/>
              </w:rPr>
              <w:t>保障能门原办八吉级人力班露</w:t>
            </w:r>
            <w:r>
              <w:rPr>
                <w:sz w:val="17"/>
                <w:szCs w:val="17"/>
              </w:rPr>
              <w:t xml:space="preserve">  </w:t>
            </w:r>
            <w:r>
              <w:rPr>
                <w:sz w:val="17"/>
                <w:szCs w:val="17"/>
                <w:spacing w:val="4"/>
              </w:rPr>
              <w:t>社命保障都门</w:t>
            </w:r>
          </w:p>
        </w:tc>
        <w:tc>
          <w:tcPr>
            <w:tcW w:w="3701" w:type="dxa"/>
            <w:vAlign w:val="top"/>
          </w:tcPr>
          <w:p>
            <w:pPr>
              <w:pStyle w:val="TableText"/>
              <w:ind w:left="36"/>
              <w:spacing w:before="78" w:line="207" w:lineRule="auto"/>
              <w:rPr>
                <w:sz w:val="17"/>
                <w:szCs w:val="17"/>
              </w:rPr>
            </w:pPr>
            <w:r>
              <w:rPr>
                <w:sz w:val="17"/>
                <w:szCs w:val="17"/>
              </w:rPr>
              <w:t>中毕人民共和国民办教育促量决</w:t>
            </w:r>
          </w:p>
          <w:p>
            <w:pPr>
              <w:pStyle w:val="TableText"/>
              <w:ind w:left="44" w:right="4" w:hanging="44"/>
              <w:spacing w:before="1" w:line="223" w:lineRule="auto"/>
              <w:rPr>
                <w:sz w:val="17"/>
                <w:szCs w:val="17"/>
              </w:rPr>
            </w:pPr>
            <w:r>
              <w:rPr>
                <w:sz w:val="17"/>
                <w:szCs w:val="17"/>
                <w:spacing w:val="-10"/>
              </w:rPr>
              <w:t>《四务配，对确需保留的行验审枪理日设定行数弥时</w:t>
            </w:r>
            <w:r>
              <w:rPr>
                <w:sz w:val="17"/>
                <w:szCs w:val="17"/>
                <w:spacing w:val="5"/>
              </w:rPr>
              <w:t xml:space="preserve"> </w:t>
            </w:r>
            <w:r>
              <w:rPr>
                <w:sz w:val="17"/>
                <w:szCs w:val="17"/>
                <w:spacing w:val="-2"/>
              </w:rPr>
              <w:t>的决定》</w:t>
            </w:r>
          </w:p>
        </w:tc>
      </w:tr>
      <w:tr>
        <w:trPr>
          <w:trHeight w:val="499" w:hRule="atLeast"/>
        </w:trPr>
        <w:tc>
          <w:tcPr>
            <w:tcW w:w="584" w:type="dxa"/>
            <w:vAlign w:val="top"/>
          </w:tcPr>
          <w:p>
            <w:pPr>
              <w:pStyle w:val="TableText"/>
              <w:ind w:left="154"/>
              <w:spacing w:before="212" w:line="184" w:lineRule="auto"/>
              <w:rPr>
                <w:sz w:val="17"/>
                <w:szCs w:val="17"/>
              </w:rPr>
            </w:pPr>
            <w:r>
              <w:rPr>
                <w:sz w:val="17"/>
                <w:szCs w:val="17"/>
                <w:spacing w:val="-5"/>
              </w:rPr>
              <w:t>147</w:t>
            </w:r>
          </w:p>
        </w:tc>
        <w:tc>
          <w:tcPr>
            <w:tcW w:w="1289" w:type="dxa"/>
            <w:vAlign w:val="top"/>
          </w:tcPr>
          <w:p>
            <w:pPr>
              <w:pStyle w:val="TableText"/>
              <w:ind w:left="210" w:right="225" w:firstLine="80"/>
              <w:spacing w:before="80" w:line="212" w:lineRule="auto"/>
              <w:rPr>
                <w:sz w:val="17"/>
                <w:szCs w:val="17"/>
              </w:rPr>
            </w:pPr>
            <w:r>
              <w:rPr>
                <w:sz w:val="17"/>
                <w:szCs w:val="17"/>
                <w:spacing w:val="-2"/>
              </w:rPr>
              <w:t>人力资障</w:t>
            </w:r>
            <w:r>
              <w:rPr>
                <w:sz w:val="17"/>
                <w:szCs w:val="17"/>
              </w:rPr>
              <w:t xml:space="preserve">  </w:t>
            </w:r>
            <w:r>
              <w:rPr>
                <w:sz w:val="17"/>
                <w:szCs w:val="17"/>
                <w:spacing w:val="-2"/>
              </w:rPr>
              <w:t>社会保库部</w:t>
            </w:r>
          </w:p>
        </w:tc>
        <w:tc>
          <w:tcPr>
            <w:tcW w:w="1638" w:type="dxa"/>
            <w:vAlign w:val="top"/>
          </w:tcPr>
          <w:p>
            <w:pPr>
              <w:pStyle w:val="TableText"/>
              <w:ind w:left="42" w:right="41"/>
              <w:spacing w:before="89" w:line="217" w:lineRule="auto"/>
              <w:rPr>
                <w:sz w:val="17"/>
                <w:szCs w:val="17"/>
              </w:rPr>
            </w:pPr>
            <w:r>
              <w:rPr>
                <w:sz w:val="17"/>
                <w:szCs w:val="17"/>
                <w:spacing w:val="1"/>
              </w:rPr>
              <w:t>职业明码享校事成审</w:t>
            </w:r>
            <w:r>
              <w:rPr>
                <w:sz w:val="17"/>
                <w:szCs w:val="17"/>
                <w:spacing w:val="4"/>
              </w:rPr>
              <w:t xml:space="preserve"> </w:t>
            </w:r>
            <w:r>
              <w:rPr>
                <w:sz w:val="17"/>
                <w:szCs w:val="17"/>
              </w:rPr>
              <w:t>我</w:t>
            </w:r>
          </w:p>
        </w:tc>
        <w:tc>
          <w:tcPr>
            <w:tcW w:w="2377" w:type="dxa"/>
            <w:vAlign w:val="top"/>
          </w:tcPr>
          <w:p>
            <w:pPr>
              <w:pStyle w:val="TableText"/>
              <w:ind w:left="64" w:right="109" w:hanging="10"/>
              <w:spacing w:before="80" w:line="212" w:lineRule="auto"/>
              <w:rPr>
                <w:sz w:val="17"/>
                <w:szCs w:val="17"/>
              </w:rPr>
            </w:pPr>
            <w:r>
              <w:rPr>
                <w:sz w:val="17"/>
                <w:szCs w:val="17"/>
                <w:spacing w:val="-1"/>
              </w:rPr>
              <w:t>青级，设以的牵菜，具划人古</w:t>
            </w:r>
            <w:r>
              <w:rPr>
                <w:sz w:val="17"/>
                <w:szCs w:val="17"/>
                <w:spacing w:val="5"/>
              </w:rPr>
              <w:t xml:space="preserve"> </w:t>
            </w:r>
            <w:r>
              <w:rPr>
                <w:sz w:val="17"/>
                <w:szCs w:val="17"/>
                <w:spacing w:val="2"/>
              </w:rPr>
              <w:t>取社会保能画门</w:t>
            </w:r>
          </w:p>
        </w:tc>
        <w:tc>
          <w:tcPr>
            <w:tcW w:w="3701" w:type="dxa"/>
            <w:vAlign w:val="top"/>
          </w:tcPr>
          <w:p>
            <w:pPr>
              <w:pStyle w:val="TableText"/>
              <w:ind w:left="36"/>
              <w:spacing w:before="90" w:line="195" w:lineRule="auto"/>
              <w:rPr>
                <w:sz w:val="17"/>
                <w:szCs w:val="17"/>
              </w:rPr>
            </w:pPr>
            <w:r>
              <w:rPr>
                <w:sz w:val="17"/>
                <w:szCs w:val="17"/>
              </w:rPr>
              <w:t>1中华人民其和国把办教育优进岳</w:t>
            </w:r>
          </w:p>
          <w:p>
            <w:pPr>
              <w:pStyle w:val="TableText"/>
              <w:ind w:left="36"/>
              <w:spacing w:line="219" w:lineRule="auto"/>
              <w:rPr>
                <w:sz w:val="17"/>
                <w:szCs w:val="17"/>
              </w:rPr>
            </w:pPr>
            <w:r>
              <w:rPr>
                <w:sz w:val="17"/>
                <w:szCs w:val="17"/>
                <w:spacing w:val="-1"/>
              </w:rPr>
              <w:t>t中作人医共和国中外合作办学条例》</w:t>
            </w:r>
          </w:p>
        </w:tc>
      </w:tr>
      <w:tr>
        <w:trPr>
          <w:trHeight w:val="489" w:hRule="atLeast"/>
        </w:trPr>
        <w:tc>
          <w:tcPr>
            <w:tcW w:w="584" w:type="dxa"/>
            <w:vAlign w:val="top"/>
          </w:tcPr>
          <w:p>
            <w:pPr>
              <w:pStyle w:val="TableText"/>
              <w:ind w:left="154"/>
              <w:spacing w:before="203" w:line="184" w:lineRule="auto"/>
              <w:rPr>
                <w:sz w:val="17"/>
                <w:szCs w:val="17"/>
              </w:rPr>
            </w:pPr>
            <w:r>
              <w:rPr>
                <w:sz w:val="17"/>
                <w:szCs w:val="17"/>
                <w:spacing w:val="-5"/>
              </w:rPr>
              <w:t>148</w:t>
            </w:r>
          </w:p>
        </w:tc>
        <w:tc>
          <w:tcPr>
            <w:tcW w:w="1289" w:type="dxa"/>
            <w:vAlign w:val="top"/>
          </w:tcPr>
          <w:p>
            <w:pPr>
              <w:pStyle w:val="TableText"/>
              <w:ind w:left="210" w:right="225" w:firstLine="80"/>
              <w:spacing w:before="70" w:line="218" w:lineRule="auto"/>
              <w:rPr>
                <w:sz w:val="17"/>
                <w:szCs w:val="17"/>
              </w:rPr>
            </w:pPr>
            <w:r>
              <w:rPr>
                <w:sz w:val="17"/>
                <w:szCs w:val="17"/>
                <w:spacing w:val="-2"/>
              </w:rPr>
              <w:t>人力野算</w:t>
            </w:r>
            <w:r>
              <w:rPr>
                <w:sz w:val="17"/>
                <w:szCs w:val="17"/>
              </w:rPr>
              <w:t xml:space="preserve">  </w:t>
            </w:r>
            <w:r>
              <w:rPr>
                <w:sz w:val="17"/>
                <w:szCs w:val="17"/>
                <w:spacing w:val="-2"/>
              </w:rPr>
              <w:t>社会保障部</w:t>
            </w:r>
          </w:p>
        </w:tc>
        <w:tc>
          <w:tcPr>
            <w:tcW w:w="1638" w:type="dxa"/>
            <w:vAlign w:val="top"/>
          </w:tcPr>
          <w:p>
            <w:pPr>
              <w:pStyle w:val="TableText"/>
              <w:ind w:left="42" w:right="53" w:firstLine="10"/>
              <w:spacing w:before="70" w:line="211" w:lineRule="auto"/>
              <w:rPr>
                <w:sz w:val="17"/>
                <w:szCs w:val="17"/>
              </w:rPr>
            </w:pPr>
            <w:r>
              <w:rPr>
                <w:sz w:val="17"/>
                <w:szCs w:val="17"/>
                <w:spacing w:val="-1"/>
              </w:rPr>
              <w:t>职业期研学权办学许</w:t>
            </w:r>
            <w:r>
              <w:rPr>
                <w:sz w:val="17"/>
                <w:szCs w:val="17"/>
              </w:rPr>
              <w:t xml:space="preserve"> </w:t>
            </w:r>
            <w:r>
              <w:rPr>
                <w:sz w:val="17"/>
                <w:szCs w:val="17"/>
              </w:rPr>
              <w:t>可</w:t>
            </w:r>
          </w:p>
        </w:tc>
        <w:tc>
          <w:tcPr>
            <w:tcW w:w="2377" w:type="dxa"/>
            <w:vAlign w:val="top"/>
          </w:tcPr>
          <w:p>
            <w:pPr>
              <w:pStyle w:val="TableText"/>
              <w:ind w:left="64"/>
              <w:spacing w:before="80" w:line="207" w:lineRule="auto"/>
              <w:rPr>
                <w:sz w:val="17"/>
                <w:szCs w:val="17"/>
              </w:rPr>
            </w:pPr>
            <w:r>
              <w:rPr>
                <w:sz w:val="17"/>
                <w:szCs w:val="17"/>
                <w:spacing w:val="-6"/>
              </w:rPr>
              <w:t>者望，设区劳排划，县城人力资</w:t>
            </w:r>
            <w:r>
              <w:rPr>
                <w:sz w:val="17"/>
                <w:szCs w:val="17"/>
                <w:spacing w:val="5"/>
              </w:rPr>
              <w:t xml:space="preserve"> </w:t>
            </w:r>
            <w:r>
              <w:rPr>
                <w:sz w:val="17"/>
                <w:szCs w:val="17"/>
                <w:spacing w:val="2"/>
              </w:rPr>
              <w:t>抓社会保律备门</w:t>
            </w:r>
          </w:p>
        </w:tc>
        <w:tc>
          <w:tcPr>
            <w:tcW w:w="3701" w:type="dxa"/>
            <w:vAlign w:val="top"/>
          </w:tcPr>
          <w:p>
            <w:pPr>
              <w:pStyle w:val="TableText"/>
              <w:ind w:left="36"/>
              <w:spacing w:before="80" w:line="196" w:lineRule="auto"/>
              <w:rPr>
                <w:sz w:val="17"/>
                <w:szCs w:val="17"/>
              </w:rPr>
            </w:pPr>
            <w:r>
              <w:rPr>
                <w:sz w:val="17"/>
                <w:szCs w:val="17"/>
                <w:spacing w:val="1"/>
              </w:rPr>
              <w:t>1中作人民并和国民办教奇促进品1</w:t>
            </w:r>
          </w:p>
          <w:p>
            <w:pPr>
              <w:pStyle w:val="TableText"/>
              <w:ind w:left="36"/>
              <w:spacing w:line="219" w:lineRule="auto"/>
              <w:rPr>
                <w:sz w:val="17"/>
                <w:szCs w:val="17"/>
              </w:rPr>
            </w:pPr>
            <w:r>
              <w:rPr>
                <w:sz w:val="17"/>
                <w:szCs w:val="17"/>
              </w:rPr>
              <w:t>1中华人民具和国中外合作办学条何</w:t>
            </w:r>
          </w:p>
        </w:tc>
      </w:tr>
      <w:tr>
        <w:trPr>
          <w:trHeight w:val="699" w:hRule="atLeast"/>
        </w:trPr>
        <w:tc>
          <w:tcPr>
            <w:tcW w:w="584" w:type="dxa"/>
            <w:vAlign w:val="top"/>
          </w:tcPr>
          <w:p>
            <w:pPr>
              <w:spacing w:line="258" w:lineRule="auto"/>
              <w:rPr>
                <w:rFonts w:ascii="Arial"/>
                <w:sz w:val="21"/>
              </w:rPr>
            </w:pPr>
            <w:r/>
          </w:p>
          <w:p>
            <w:pPr>
              <w:pStyle w:val="TableText"/>
              <w:ind w:left="154"/>
              <w:spacing w:before="55" w:line="184" w:lineRule="auto"/>
              <w:rPr>
                <w:sz w:val="17"/>
                <w:szCs w:val="17"/>
              </w:rPr>
            </w:pPr>
            <w:r>
              <w:rPr>
                <w:sz w:val="17"/>
                <w:szCs w:val="17"/>
                <w:spacing w:val="-5"/>
              </w:rPr>
              <w:t>149</w:t>
            </w:r>
          </w:p>
        </w:tc>
        <w:tc>
          <w:tcPr>
            <w:tcW w:w="1289" w:type="dxa"/>
            <w:vAlign w:val="top"/>
          </w:tcPr>
          <w:p>
            <w:pPr>
              <w:pStyle w:val="TableText"/>
              <w:ind w:left="210" w:right="227" w:firstLine="80"/>
              <w:spacing w:before="172" w:line="212" w:lineRule="auto"/>
              <w:rPr>
                <w:sz w:val="17"/>
                <w:szCs w:val="17"/>
              </w:rPr>
            </w:pPr>
            <w:r>
              <w:rPr>
                <w:sz w:val="17"/>
                <w:szCs w:val="17"/>
                <w:spacing w:val="-2"/>
              </w:rPr>
              <w:t>人力管算</w:t>
            </w:r>
            <w:r>
              <w:rPr>
                <w:sz w:val="17"/>
                <w:szCs w:val="17"/>
              </w:rPr>
              <w:t xml:space="preserve">  </w:t>
            </w:r>
            <w:r>
              <w:rPr>
                <w:sz w:val="17"/>
                <w:szCs w:val="17"/>
                <w:spacing w:val="-2"/>
              </w:rPr>
              <w:t>打会保障密</w:t>
            </w:r>
          </w:p>
        </w:tc>
        <w:tc>
          <w:tcPr>
            <w:tcW w:w="1638" w:type="dxa"/>
            <w:vAlign w:val="top"/>
          </w:tcPr>
          <w:p>
            <w:pPr>
              <w:pStyle w:val="TableText"/>
              <w:ind w:left="42" w:firstLine="9"/>
              <w:spacing w:before="60" w:line="226" w:lineRule="auto"/>
              <w:jc w:val="both"/>
              <w:rPr>
                <w:sz w:val="17"/>
                <w:szCs w:val="17"/>
              </w:rPr>
            </w:pPr>
            <w:r>
              <w:rPr>
                <w:sz w:val="17"/>
                <w:szCs w:val="17"/>
                <w:spacing w:val="-14"/>
              </w:rPr>
              <w:t>中华，内地</w:t>
            </w:r>
            <w:r>
              <w:rPr>
                <w:sz w:val="17"/>
                <w:szCs w:val="17"/>
                <w:spacing w:val="-13"/>
              </w:rPr>
              <w:t>与物度，</w:t>
            </w:r>
            <w:r>
              <w:rPr>
                <w:sz w:val="17"/>
                <w:szCs w:val="17"/>
                <w:spacing w:val="-8"/>
              </w:rPr>
              <w:t>大</w:t>
            </w:r>
            <w:r>
              <w:rPr>
                <w:sz w:val="17"/>
                <w:szCs w:val="17"/>
                <w:spacing w:val="4"/>
              </w:rPr>
              <w:t xml:space="preserve"> </w:t>
            </w:r>
            <w:r>
              <w:rPr>
                <w:sz w:val="17"/>
                <w:szCs w:val="17"/>
                <w:spacing w:val="2"/>
              </w:rPr>
              <w:t>游与台汽合性职业技 </w:t>
            </w:r>
            <w:r>
              <w:rPr>
                <w:sz w:val="17"/>
                <w:szCs w:val="17"/>
                <w:spacing w:val="-2"/>
              </w:rPr>
              <w:t>能培叫项目南批</w:t>
            </w:r>
          </w:p>
        </w:tc>
        <w:tc>
          <w:tcPr>
            <w:tcW w:w="2377" w:type="dxa"/>
            <w:vAlign w:val="top"/>
          </w:tcPr>
          <w:p>
            <w:pPr>
              <w:pStyle w:val="TableText"/>
              <w:ind w:left="64"/>
              <w:spacing w:before="272" w:line="219" w:lineRule="auto"/>
              <w:rPr>
                <w:sz w:val="17"/>
                <w:szCs w:val="17"/>
              </w:rPr>
            </w:pPr>
            <w:r>
              <w:rPr>
                <w:sz w:val="17"/>
                <w:szCs w:val="17"/>
                <w:spacing w:val="1"/>
              </w:rPr>
              <w:t>省项人力资源社查保除愈门</w:t>
            </w:r>
          </w:p>
        </w:tc>
        <w:tc>
          <w:tcPr>
            <w:tcW w:w="3701" w:type="dxa"/>
            <w:vAlign w:val="top"/>
          </w:tcPr>
          <w:p>
            <w:pPr>
              <w:pStyle w:val="TableText"/>
              <w:ind w:left="36"/>
              <w:spacing w:before="172" w:line="219" w:lineRule="auto"/>
              <w:rPr>
                <w:sz w:val="17"/>
                <w:szCs w:val="17"/>
              </w:rPr>
            </w:pPr>
            <w:r>
              <w:rPr>
                <w:sz w:val="17"/>
                <w:szCs w:val="17"/>
              </w:rPr>
              <w:t>1中华人民共和国中外合作办学盖例》</w:t>
            </w:r>
          </w:p>
          <w:p>
            <w:pPr>
              <w:pStyle w:val="TableText"/>
              <w:ind w:left="36"/>
              <w:spacing w:before="8" w:line="219" w:lineRule="auto"/>
              <w:rPr>
                <w:sz w:val="17"/>
                <w:szCs w:val="17"/>
              </w:rPr>
            </w:pPr>
            <w:r>
              <w:rPr>
                <w:sz w:val="17"/>
                <w:szCs w:val="17"/>
              </w:rPr>
              <w:t>(中外合作职业数能填训办学管理办法?</w:t>
            </w:r>
          </w:p>
        </w:tc>
      </w:tr>
      <w:tr>
        <w:trPr>
          <w:trHeight w:val="899" w:hRule="atLeast"/>
        </w:trPr>
        <w:tc>
          <w:tcPr>
            <w:tcW w:w="584" w:type="dxa"/>
            <w:vAlign w:val="top"/>
          </w:tcPr>
          <w:p>
            <w:pPr>
              <w:spacing w:line="358" w:lineRule="auto"/>
              <w:rPr>
                <w:rFonts w:ascii="Arial"/>
                <w:sz w:val="21"/>
              </w:rPr>
            </w:pPr>
            <w:r/>
          </w:p>
          <w:p>
            <w:pPr>
              <w:pStyle w:val="TableText"/>
              <w:ind w:left="194"/>
              <w:spacing w:before="55" w:line="184" w:lineRule="auto"/>
              <w:rPr>
                <w:sz w:val="17"/>
                <w:szCs w:val="17"/>
              </w:rPr>
            </w:pPr>
            <w:r>
              <w:rPr>
                <w:sz w:val="17"/>
                <w:szCs w:val="17"/>
                <w:spacing w:val="-5"/>
              </w:rPr>
              <w:t>10</w:t>
            </w:r>
          </w:p>
        </w:tc>
        <w:tc>
          <w:tcPr>
            <w:tcW w:w="1289" w:type="dxa"/>
            <w:vAlign w:val="top"/>
          </w:tcPr>
          <w:p>
            <w:pPr>
              <w:pStyle w:val="TableText"/>
              <w:ind w:left="210" w:right="225" w:firstLine="80"/>
              <w:spacing w:before="242" w:line="234" w:lineRule="auto"/>
              <w:rPr>
                <w:sz w:val="17"/>
                <w:szCs w:val="17"/>
              </w:rPr>
            </w:pPr>
            <w:r>
              <w:rPr>
                <w:sz w:val="17"/>
                <w:szCs w:val="17"/>
                <w:spacing w:val="-2"/>
              </w:rPr>
              <w:t>人力解意</w:t>
            </w:r>
            <w:r>
              <w:rPr>
                <w:sz w:val="17"/>
                <w:szCs w:val="17"/>
              </w:rPr>
              <w:t xml:space="preserve">  </w:t>
            </w:r>
            <w:r>
              <w:rPr>
                <w:sz w:val="17"/>
                <w:szCs w:val="17"/>
                <w:spacing w:val="-2"/>
              </w:rPr>
              <w:t>社会保障部</w:t>
            </w:r>
          </w:p>
        </w:tc>
        <w:tc>
          <w:tcPr>
            <w:tcW w:w="1638" w:type="dxa"/>
            <w:vAlign w:val="top"/>
          </w:tcPr>
          <w:p>
            <w:pPr>
              <w:pStyle w:val="TableText"/>
              <w:ind w:left="42" w:right="36" w:firstLine="10"/>
              <w:spacing w:before="163" w:line="218" w:lineRule="auto"/>
              <w:jc w:val="both"/>
              <w:rPr>
                <w:sz w:val="17"/>
                <w:szCs w:val="17"/>
              </w:rPr>
            </w:pPr>
            <w:r>
              <w:rPr>
                <w:sz w:val="17"/>
                <w:szCs w:val="17"/>
                <w:spacing w:val="1"/>
              </w:rPr>
              <w:t>四技能为主的画界职</w:t>
            </w:r>
            <w:r>
              <w:rPr>
                <w:sz w:val="17"/>
                <w:szCs w:val="17"/>
              </w:rPr>
              <w:t xml:space="preserve"> </w:t>
            </w:r>
            <w:r>
              <w:rPr>
                <w:sz w:val="17"/>
                <w:szCs w:val="17"/>
              </w:rPr>
              <w:t>业资格证书故发证精</w:t>
            </w:r>
            <w:r>
              <w:rPr>
                <w:sz w:val="17"/>
                <w:szCs w:val="17"/>
                <w:spacing w:val="3"/>
              </w:rPr>
              <w:t xml:space="preserve"> </w:t>
            </w:r>
            <w:r>
              <w:rPr>
                <w:sz w:val="17"/>
                <w:szCs w:val="17"/>
                <w:spacing w:val="1"/>
              </w:rPr>
              <w:t>构寄排审孩和挂后</w:t>
            </w:r>
          </w:p>
        </w:tc>
        <w:tc>
          <w:tcPr>
            <w:tcW w:w="2377" w:type="dxa"/>
            <w:vAlign w:val="top"/>
          </w:tcPr>
          <w:p>
            <w:pPr>
              <w:spacing w:line="314" w:lineRule="auto"/>
              <w:rPr>
                <w:rFonts w:ascii="Arial"/>
                <w:sz w:val="21"/>
              </w:rPr>
            </w:pPr>
            <w:r/>
          </w:p>
          <w:p>
            <w:pPr>
              <w:pStyle w:val="TableText"/>
              <w:ind w:left="64"/>
              <w:spacing w:before="55" w:line="219" w:lineRule="auto"/>
              <w:rPr>
                <w:sz w:val="17"/>
                <w:szCs w:val="17"/>
              </w:rPr>
            </w:pPr>
            <w:r>
              <w:rPr>
                <w:sz w:val="17"/>
                <w:szCs w:val="17"/>
                <w:spacing w:val="1"/>
              </w:rPr>
              <w:t>肯级人力资算社会保障部门</w:t>
            </w:r>
          </w:p>
        </w:tc>
        <w:tc>
          <w:tcPr>
            <w:tcW w:w="3701" w:type="dxa"/>
            <w:vAlign w:val="top"/>
          </w:tcPr>
          <w:p>
            <w:pPr>
              <w:pStyle w:val="TableText"/>
              <w:ind w:left="36" w:firstLine="10"/>
              <w:spacing w:before="73" w:line="217" w:lineRule="auto"/>
              <w:rPr>
                <w:sz w:val="17"/>
                <w:szCs w:val="17"/>
              </w:rPr>
            </w:pPr>
            <w:r>
              <w:rPr>
                <w:sz w:val="17"/>
                <w:szCs w:val="17"/>
                <w:spacing w:val="-1"/>
              </w:rPr>
              <w:t>e国与能对确留保招的行成市批项日设定行改诈可</w:t>
            </w:r>
            <w:r>
              <w:rPr>
                <w:sz w:val="17"/>
                <w:szCs w:val="17"/>
                <w:spacing w:val="10"/>
              </w:rPr>
              <w:t xml:space="preserve"> </w:t>
            </w:r>
            <w:r>
              <w:rPr>
                <w:sz w:val="17"/>
                <w:szCs w:val="17"/>
                <w:spacing w:val="21"/>
              </w:rPr>
              <w:t>的决定】</w:t>
            </w:r>
          </w:p>
          <w:p>
            <w:pPr>
              <w:pStyle w:val="TableText"/>
              <w:ind w:left="36" w:firstLine="19"/>
              <w:spacing w:line="218" w:lineRule="auto"/>
              <w:rPr>
                <w:sz w:val="17"/>
                <w:szCs w:val="17"/>
              </w:rPr>
            </w:pPr>
            <w:r>
              <w:rPr>
                <w:sz w:val="17"/>
                <w:szCs w:val="17"/>
                <w:spacing w:val="-9"/>
              </w:rPr>
              <w:t>1回务能关于探化“证照分高“改重进一变前安而场</w:t>
            </w:r>
            <w:r>
              <w:rPr>
                <w:sz w:val="17"/>
                <w:szCs w:val="17"/>
                <w:spacing w:val="15"/>
              </w:rPr>
              <w:t xml:space="preserve"> </w:t>
            </w:r>
            <w:r>
              <w:rPr>
                <w:sz w:val="17"/>
                <w:szCs w:val="17"/>
                <w:spacing w:val="1"/>
              </w:rPr>
              <w:t>上体发展所为的通知权四监C2021]1号)</w:t>
            </w:r>
          </w:p>
        </w:tc>
      </w:tr>
      <w:tr>
        <w:trPr>
          <w:trHeight w:val="489" w:hRule="atLeast"/>
        </w:trPr>
        <w:tc>
          <w:tcPr>
            <w:tcW w:w="584" w:type="dxa"/>
            <w:vAlign w:val="top"/>
          </w:tcPr>
          <w:p>
            <w:pPr>
              <w:pStyle w:val="TableText"/>
              <w:ind w:left="154"/>
              <w:spacing w:before="206" w:line="184" w:lineRule="auto"/>
              <w:rPr>
                <w:sz w:val="17"/>
                <w:szCs w:val="17"/>
              </w:rPr>
            </w:pPr>
            <w:r>
              <w:rPr>
                <w:sz w:val="17"/>
                <w:szCs w:val="17"/>
                <w:spacing w:val="-5"/>
              </w:rPr>
              <w:t>1E4</w:t>
            </w:r>
          </w:p>
        </w:tc>
        <w:tc>
          <w:tcPr>
            <w:tcW w:w="1289" w:type="dxa"/>
            <w:vAlign w:val="top"/>
          </w:tcPr>
          <w:p>
            <w:pPr>
              <w:pStyle w:val="TableText"/>
              <w:ind w:left="291"/>
              <w:spacing w:before="73" w:line="217" w:lineRule="auto"/>
              <w:rPr>
                <w:sz w:val="17"/>
                <w:szCs w:val="17"/>
              </w:rPr>
            </w:pPr>
            <w:r>
              <w:rPr>
                <w:sz w:val="17"/>
                <w:szCs w:val="17"/>
                <w:spacing w:val="3"/>
              </w:rPr>
              <w:t>人力带测</w:t>
            </w:r>
          </w:p>
          <w:p>
            <w:pPr>
              <w:pStyle w:val="TableText"/>
              <w:ind w:left="251"/>
              <w:spacing w:line="219" w:lineRule="auto"/>
              <w:rPr>
                <w:sz w:val="17"/>
                <w:szCs w:val="17"/>
              </w:rPr>
            </w:pPr>
            <w:r>
              <w:rPr>
                <w:sz w:val="17"/>
                <w:szCs w:val="17"/>
              </w:rPr>
              <w:t>1合保障量</w:t>
            </w:r>
          </w:p>
        </w:tc>
        <w:tc>
          <w:tcPr>
            <w:tcW w:w="1638" w:type="dxa"/>
            <w:vAlign w:val="top"/>
          </w:tcPr>
          <w:p>
            <w:pPr>
              <w:pStyle w:val="TableText"/>
              <w:ind w:left="42"/>
              <w:spacing w:before="164" w:line="219" w:lineRule="auto"/>
              <w:rPr>
                <w:sz w:val="17"/>
                <w:szCs w:val="17"/>
              </w:rPr>
            </w:pPr>
            <w:r>
              <w:rPr>
                <w:sz w:val="17"/>
                <w:szCs w:val="17"/>
                <w:spacing w:val="-1"/>
              </w:rPr>
              <w:t>人力资载限每作可</w:t>
            </w:r>
          </w:p>
        </w:tc>
        <w:tc>
          <w:tcPr>
            <w:tcW w:w="2377" w:type="dxa"/>
            <w:vAlign w:val="top"/>
          </w:tcPr>
          <w:p>
            <w:pPr>
              <w:pStyle w:val="TableText"/>
              <w:ind w:left="64" w:right="99"/>
              <w:spacing w:before="62" w:line="226" w:lineRule="auto"/>
              <w:rPr>
                <w:sz w:val="17"/>
                <w:szCs w:val="17"/>
              </w:rPr>
            </w:pPr>
            <w:r>
              <w:rPr>
                <w:sz w:val="17"/>
                <w:szCs w:val="17"/>
                <w:spacing w:val="-1"/>
              </w:rPr>
              <w:t>看裂、设区的布缘县院人方餐</w:t>
            </w:r>
            <w:r>
              <w:rPr>
                <w:sz w:val="17"/>
                <w:szCs w:val="17"/>
                <w:spacing w:val="5"/>
              </w:rPr>
              <w:t xml:space="preserve"> </w:t>
            </w:r>
            <w:r>
              <w:rPr>
                <w:sz w:val="17"/>
                <w:szCs w:val="17"/>
                <w:spacing w:val="2"/>
              </w:rPr>
              <w:t>隐社会保障部门</w:t>
            </w:r>
          </w:p>
        </w:tc>
        <w:tc>
          <w:tcPr>
            <w:tcW w:w="3701" w:type="dxa"/>
            <w:vAlign w:val="top"/>
          </w:tcPr>
          <w:p>
            <w:pPr>
              <w:pStyle w:val="TableText"/>
              <w:ind w:left="36"/>
              <w:spacing w:before="63" w:line="217" w:lineRule="auto"/>
              <w:rPr>
                <w:sz w:val="17"/>
                <w:szCs w:val="17"/>
              </w:rPr>
            </w:pPr>
            <w:r>
              <w:rPr>
                <w:sz w:val="17"/>
                <w:szCs w:val="17"/>
                <w:spacing w:val="-1"/>
              </w:rPr>
              <w:t>1中作人民共和国就业位活医》</w:t>
            </w:r>
          </w:p>
          <w:p>
            <w:pPr>
              <w:pStyle w:val="TableText"/>
              <w:ind w:left="36"/>
              <w:spacing w:line="219" w:lineRule="auto"/>
              <w:rPr>
                <w:sz w:val="17"/>
                <w:szCs w:val="17"/>
              </w:rPr>
            </w:pPr>
            <w:r>
              <w:rPr>
                <w:sz w:val="17"/>
                <w:szCs w:val="17"/>
                <w:spacing w:val="1"/>
              </w:rPr>
              <w:t>人力资激南场管行茶例</w:t>
            </w:r>
          </w:p>
        </w:tc>
      </w:tr>
      <w:tr>
        <w:trPr>
          <w:trHeight w:val="499" w:hRule="atLeast"/>
        </w:trPr>
        <w:tc>
          <w:tcPr>
            <w:tcW w:w="584" w:type="dxa"/>
            <w:vAlign w:val="top"/>
          </w:tcPr>
          <w:p>
            <w:pPr>
              <w:pStyle w:val="TableText"/>
              <w:ind w:left="234"/>
              <w:spacing w:before="192"/>
              <w:rPr>
                <w:sz w:val="17"/>
                <w:szCs w:val="17"/>
              </w:rPr>
            </w:pPr>
            <w:r>
              <w:rPr>
                <w:sz w:val="17"/>
                <w:szCs w:val="17"/>
              </w:rPr>
              <w:t>t</w:t>
            </w:r>
          </w:p>
        </w:tc>
        <w:tc>
          <w:tcPr>
            <w:tcW w:w="1289" w:type="dxa"/>
            <w:vAlign w:val="top"/>
          </w:tcPr>
          <w:p>
            <w:pPr>
              <w:pStyle w:val="TableText"/>
              <w:ind w:left="210" w:right="223" w:firstLine="80"/>
              <w:spacing w:before="65" w:line="228" w:lineRule="auto"/>
              <w:rPr>
                <w:sz w:val="17"/>
                <w:szCs w:val="17"/>
              </w:rPr>
            </w:pPr>
            <w:r>
              <w:rPr>
                <w:sz w:val="17"/>
                <w:szCs w:val="17"/>
                <w:spacing w:val="-2"/>
              </w:rPr>
              <w:t>人力重藤</w:t>
            </w:r>
            <w:r>
              <w:rPr>
                <w:sz w:val="17"/>
                <w:szCs w:val="17"/>
              </w:rPr>
              <w:t xml:space="preserve">  </w:t>
            </w:r>
            <w:r>
              <w:rPr>
                <w:sz w:val="17"/>
                <w:szCs w:val="17"/>
                <w:spacing w:val="-2"/>
              </w:rPr>
              <w:t>样会保感剂</w:t>
            </w:r>
          </w:p>
        </w:tc>
        <w:tc>
          <w:tcPr>
            <w:tcW w:w="1638" w:type="dxa"/>
            <w:vAlign w:val="top"/>
          </w:tcPr>
          <w:p>
            <w:pPr>
              <w:pStyle w:val="TableText"/>
              <w:ind w:left="42"/>
              <w:spacing w:before="175" w:line="219" w:lineRule="auto"/>
              <w:rPr>
                <w:sz w:val="17"/>
                <w:szCs w:val="17"/>
              </w:rPr>
            </w:pPr>
            <w:r>
              <w:rPr>
                <w:sz w:val="17"/>
                <w:szCs w:val="17"/>
                <w:spacing w:val="-1"/>
              </w:rPr>
              <w:t>第考隔重经含竹可</w:t>
            </w:r>
          </w:p>
        </w:tc>
        <w:tc>
          <w:tcPr>
            <w:tcW w:w="2377" w:type="dxa"/>
            <w:vAlign w:val="top"/>
          </w:tcPr>
          <w:p>
            <w:pPr>
              <w:pStyle w:val="TableText"/>
              <w:ind w:left="64" w:right="100" w:hanging="20"/>
              <w:spacing w:before="83" w:line="220" w:lineRule="auto"/>
              <w:rPr>
                <w:sz w:val="17"/>
                <w:szCs w:val="17"/>
              </w:rPr>
            </w:pPr>
            <w:r>
              <w:rPr>
                <w:sz w:val="17"/>
                <w:szCs w:val="17"/>
              </w:rPr>
              <w:t>省级，设区的市驶县级人力资</w:t>
            </w:r>
            <w:r>
              <w:rPr>
                <w:sz w:val="17"/>
                <w:szCs w:val="17"/>
                <w:spacing w:val="11"/>
              </w:rPr>
              <w:t xml:space="preserve"> </w:t>
            </w:r>
            <w:r>
              <w:rPr>
                <w:sz w:val="17"/>
                <w:szCs w:val="17"/>
                <w:spacing w:val="2"/>
              </w:rPr>
              <w:t>源料会保值器门</w:t>
            </w:r>
          </w:p>
        </w:tc>
        <w:tc>
          <w:tcPr>
            <w:tcW w:w="3701" w:type="dxa"/>
            <w:vAlign w:val="top"/>
          </w:tcPr>
          <w:p>
            <w:pPr>
              <w:pStyle w:val="TableText"/>
              <w:ind w:left="36"/>
              <w:spacing w:before="85" w:line="206" w:lineRule="auto"/>
              <w:rPr>
                <w:sz w:val="17"/>
                <w:szCs w:val="17"/>
              </w:rPr>
            </w:pPr>
            <w:r>
              <w:rPr>
                <w:sz w:val="17"/>
                <w:szCs w:val="17"/>
                <w:spacing w:val="-1"/>
              </w:rPr>
              <w:t>个甲华人民其和国等动公国法》</w:t>
            </w:r>
          </w:p>
          <w:p>
            <w:pPr>
              <w:pStyle w:val="TableText"/>
              <w:ind w:left="36"/>
              <w:spacing w:line="219" w:lineRule="auto"/>
              <w:rPr>
                <w:sz w:val="17"/>
                <w:szCs w:val="17"/>
              </w:rPr>
            </w:pPr>
            <w:r>
              <w:rPr>
                <w:sz w:val="17"/>
                <w:szCs w:val="17"/>
              </w:rPr>
              <w:t>(劳者查道行验许可实能办法</w:t>
            </w:r>
          </w:p>
        </w:tc>
      </w:tr>
      <w:tr>
        <w:trPr>
          <w:trHeight w:val="1193" w:hRule="atLeast"/>
        </w:trPr>
        <w:tc>
          <w:tcPr>
            <w:tcW w:w="584" w:type="dxa"/>
            <w:vAlign w:val="top"/>
          </w:tcPr>
          <w:p>
            <w:pPr>
              <w:spacing w:line="250" w:lineRule="auto"/>
              <w:rPr>
                <w:rFonts w:ascii="Arial"/>
                <w:sz w:val="21"/>
              </w:rPr>
            </w:pPr>
            <w:r/>
          </w:p>
          <w:p>
            <w:pPr>
              <w:spacing w:line="250" w:lineRule="auto"/>
              <w:rPr>
                <w:rFonts w:ascii="Arial"/>
                <w:sz w:val="21"/>
              </w:rPr>
            </w:pPr>
            <w:r/>
          </w:p>
          <w:p>
            <w:pPr>
              <w:pStyle w:val="TableText"/>
              <w:ind w:left="194"/>
              <w:spacing w:before="55" w:line="184" w:lineRule="auto"/>
              <w:rPr>
                <w:sz w:val="17"/>
                <w:szCs w:val="17"/>
              </w:rPr>
            </w:pPr>
            <w:r>
              <w:rPr>
                <w:sz w:val="17"/>
                <w:szCs w:val="17"/>
                <w:spacing w:val="-5"/>
              </w:rPr>
              <w:t>14</w:t>
            </w:r>
          </w:p>
        </w:tc>
        <w:tc>
          <w:tcPr>
            <w:tcW w:w="1289" w:type="dxa"/>
            <w:vAlign w:val="top"/>
          </w:tcPr>
          <w:p>
            <w:pPr>
              <w:spacing w:line="368" w:lineRule="auto"/>
              <w:rPr>
                <w:rFonts w:ascii="Arial"/>
                <w:sz w:val="21"/>
              </w:rPr>
            </w:pPr>
            <w:r/>
          </w:p>
          <w:p>
            <w:pPr>
              <w:pStyle w:val="TableText"/>
              <w:ind w:left="210" w:right="225" w:firstLine="80"/>
              <w:spacing w:before="55" w:line="218" w:lineRule="auto"/>
              <w:rPr>
                <w:sz w:val="17"/>
                <w:szCs w:val="17"/>
              </w:rPr>
            </w:pPr>
            <w:r>
              <w:rPr>
                <w:sz w:val="17"/>
                <w:szCs w:val="17"/>
                <w:spacing w:val="-2"/>
              </w:rPr>
              <w:t>人力型荒</w:t>
            </w:r>
            <w:r>
              <w:rPr>
                <w:sz w:val="17"/>
                <w:szCs w:val="17"/>
              </w:rPr>
              <w:t xml:space="preserve">  </w:t>
            </w:r>
            <w:r>
              <w:rPr>
                <w:sz w:val="17"/>
                <w:szCs w:val="17"/>
                <w:spacing w:val="-2"/>
              </w:rPr>
              <w:t>社金保意部</w:t>
            </w:r>
          </w:p>
        </w:tc>
        <w:tc>
          <w:tcPr>
            <w:tcW w:w="1638" w:type="dxa"/>
            <w:vAlign w:val="top"/>
          </w:tcPr>
          <w:p>
            <w:pPr>
              <w:spacing w:line="458" w:lineRule="auto"/>
              <w:rPr>
                <w:rFonts w:ascii="Arial"/>
                <w:sz w:val="21"/>
              </w:rPr>
            </w:pPr>
            <w:r/>
          </w:p>
          <w:p>
            <w:pPr>
              <w:pStyle w:val="TableText"/>
              <w:ind w:left="42"/>
              <w:spacing w:before="55" w:line="220" w:lineRule="auto"/>
              <w:rPr>
                <w:sz w:val="17"/>
                <w:szCs w:val="17"/>
              </w:rPr>
            </w:pPr>
            <w:r>
              <w:rPr>
                <w:sz w:val="17"/>
                <w:szCs w:val="17"/>
                <w:spacing w:val="-1"/>
              </w:rPr>
              <w:t>补质人学华工作砟可</w:t>
            </w:r>
          </w:p>
        </w:tc>
        <w:tc>
          <w:tcPr>
            <w:tcW w:w="2377" w:type="dxa"/>
            <w:vAlign w:val="top"/>
          </w:tcPr>
          <w:p>
            <w:pPr>
              <w:spacing w:line="456" w:lineRule="auto"/>
              <w:rPr>
                <w:rFonts w:ascii="Arial"/>
                <w:sz w:val="21"/>
              </w:rPr>
            </w:pPr>
            <w:r/>
          </w:p>
          <w:p>
            <w:pPr>
              <w:pStyle w:val="TableText"/>
              <w:spacing w:before="56" w:line="219" w:lineRule="auto"/>
              <w:jc w:val="right"/>
              <w:rPr>
                <w:sz w:val="17"/>
                <w:szCs w:val="17"/>
              </w:rPr>
            </w:pPr>
            <w:r>
              <w:rPr>
                <w:sz w:val="17"/>
                <w:szCs w:val="17"/>
                <w:spacing w:val="-6"/>
              </w:rPr>
              <w:t>省级，说区他而现意府预定毒门</w:t>
            </w:r>
          </w:p>
        </w:tc>
        <w:tc>
          <w:tcPr>
            <w:tcW w:w="3701" w:type="dxa"/>
            <w:vAlign w:val="top"/>
          </w:tcPr>
          <w:p>
            <w:pPr>
              <w:pStyle w:val="TableText"/>
              <w:ind w:left="36"/>
              <w:spacing w:before="126" w:line="206" w:lineRule="auto"/>
              <w:rPr>
                <w:sz w:val="17"/>
                <w:szCs w:val="17"/>
              </w:rPr>
            </w:pPr>
            <w:r>
              <w:rPr>
                <w:sz w:val="17"/>
                <w:szCs w:val="17"/>
              </w:rPr>
              <w:t>1中华人民共和国齿理入规替理欲</w:t>
            </w:r>
          </w:p>
          <w:p>
            <w:pPr>
              <w:pStyle w:val="TableText"/>
              <w:ind w:left="36" w:right="42" w:firstLine="30"/>
              <w:spacing w:line="218" w:lineRule="auto"/>
              <w:rPr>
                <w:sz w:val="17"/>
                <w:szCs w:val="17"/>
              </w:rPr>
            </w:pPr>
            <w:r>
              <w:rPr>
                <w:sz w:val="17"/>
                <w:szCs w:val="17"/>
              </w:rPr>
              <w:t>国家异国专家局美于印发外国人安华工非许可显</w:t>
            </w:r>
            <w:r>
              <w:rPr>
                <w:sz w:val="17"/>
                <w:szCs w:val="17"/>
                <w:spacing w:val="10"/>
              </w:rPr>
              <w:t xml:space="preserve"> </w:t>
            </w:r>
            <w:r>
              <w:rPr>
                <w:sz w:val="17"/>
                <w:szCs w:val="17"/>
                <w:spacing w:val="1"/>
              </w:rPr>
              <w:t>务指南(暂行)的通知双外专发[2017]35司)</w:t>
            </w:r>
          </w:p>
          <w:p>
            <w:pPr>
              <w:pStyle w:val="TableText"/>
              <w:ind w:left="74" w:right="3" w:hanging="74"/>
              <w:spacing w:before="8" w:line="235" w:lineRule="auto"/>
              <w:rPr>
                <w:sz w:val="17"/>
                <w:szCs w:val="17"/>
              </w:rPr>
            </w:pPr>
            <w:r>
              <w:rPr>
                <w:sz w:val="17"/>
                <w:szCs w:val="17"/>
                <w:spacing w:val="-3"/>
              </w:rPr>
              <w:t>《中只烟办关于外国人来华工作许用听责分工的面</w:t>
            </w:r>
            <w:r>
              <w:rPr>
                <w:sz w:val="17"/>
                <w:szCs w:val="17"/>
                <w:spacing w:val="12"/>
              </w:rPr>
              <w:t xml:space="preserve"> </w:t>
            </w:r>
            <w:r>
              <w:rPr>
                <w:sz w:val="17"/>
                <w:szCs w:val="17"/>
                <w:spacing w:val="-2"/>
              </w:rPr>
              <w:t>如家中央细孙置(3018)97号</w:t>
            </w:r>
          </w:p>
        </w:tc>
      </w:tr>
    </w:tbl>
    <w:p>
      <w:pPr>
        <w:pStyle w:val="BodyText"/>
        <w:rPr/>
      </w:pPr>
      <w:r/>
    </w:p>
    <w:p>
      <w:pPr>
        <w:sectPr>
          <w:pgSz w:w="11910" w:h="8220"/>
          <w:pgMar w:top="400" w:right="117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37440" behindDoc="0" locked="0" layoutInCell="0" allowOverlap="1">
                <wp:simplePos x="0" y="0"/>
                <wp:positionH relativeFrom="page">
                  <wp:posOffset>467410</wp:posOffset>
                </wp:positionH>
                <wp:positionV relativeFrom="page">
                  <wp:posOffset>633375</wp:posOffset>
                </wp:positionV>
                <wp:extent cx="166370" cy="157479"/>
                <wp:effectExtent l="0" t="0" r="0" b="0"/>
                <wp:wrapNone/>
                <wp:docPr id="194" name="TextBox 194"/>
                <wp:cNvGraphicFramePr/>
                <a:graphic>
                  <a:graphicData uri="http://schemas.microsoft.com/office/word/2010/wordprocessingShape">
                    <wps:wsp>
                      <wps:cNvSpPr txBox="1"/>
                      <wps:spPr>
                        <a:xfrm rot="5400000">
                          <a:off x="467410" y="633375"/>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6" style="position:absolute;margin-left:36.804pt;margin-top:49.8721pt;mso-position-vertical-relative:page;mso-position-horizontal-relative:page;width:13.1pt;height:12.4pt;z-index:25183744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178</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2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38" w:type="dxa"/>
            <w:vAlign w:val="top"/>
          </w:tcPr>
          <w:p>
            <w:pPr>
              <w:pStyle w:val="TableText"/>
              <w:ind w:left="471"/>
              <w:spacing w:before="132" w:line="220" w:lineRule="auto"/>
              <w:rPr>
                <w:sz w:val="16"/>
                <w:szCs w:val="16"/>
              </w:rPr>
            </w:pPr>
            <w:r>
              <w:rPr>
                <w:sz w:val="16"/>
                <w:szCs w:val="16"/>
                <w:spacing w:val="-2"/>
              </w:rPr>
              <w:t>事项名称</w:t>
            </w:r>
          </w:p>
        </w:tc>
        <w:tc>
          <w:tcPr>
            <w:tcW w:w="2377" w:type="dxa"/>
            <w:vAlign w:val="top"/>
          </w:tcPr>
          <w:p>
            <w:pPr>
              <w:pStyle w:val="TableText"/>
              <w:ind w:left="864"/>
              <w:spacing w:before="130" w:line="219" w:lineRule="auto"/>
              <w:rPr>
                <w:sz w:val="16"/>
                <w:szCs w:val="16"/>
              </w:rPr>
            </w:pPr>
            <w:r>
              <w:rPr>
                <w:sz w:val="16"/>
                <w:szCs w:val="16"/>
                <w:spacing w:val="-2"/>
              </w:rPr>
              <w:t>实的机关</w:t>
            </w:r>
          </w:p>
        </w:tc>
        <w:tc>
          <w:tcPr>
            <w:tcW w:w="3711" w:type="dxa"/>
            <w:vAlign w:val="top"/>
          </w:tcPr>
          <w:p>
            <w:pPr>
              <w:pStyle w:val="TableText"/>
              <w:ind w:left="1276"/>
              <w:spacing w:before="131" w:line="219" w:lineRule="auto"/>
              <w:rPr>
                <w:sz w:val="16"/>
                <w:szCs w:val="16"/>
              </w:rPr>
            </w:pPr>
            <w:r>
              <w:rPr>
                <w:sz w:val="16"/>
                <w:szCs w:val="16"/>
                <w:spacing w:val="-2"/>
              </w:rPr>
              <w:t>没定和实题妹器</w:t>
            </w:r>
          </w:p>
        </w:tc>
      </w:tr>
      <w:tr>
        <w:trPr>
          <w:trHeight w:val="859" w:hRule="atLeast"/>
        </w:trPr>
        <w:tc>
          <w:tcPr>
            <w:tcW w:w="584" w:type="dxa"/>
            <w:vAlign w:val="top"/>
          </w:tcPr>
          <w:p>
            <w:pPr>
              <w:spacing w:line="332" w:lineRule="auto"/>
              <w:rPr>
                <w:rFonts w:ascii="Arial"/>
                <w:sz w:val="21"/>
              </w:rPr>
            </w:pPr>
            <w:r/>
          </w:p>
          <w:p>
            <w:pPr>
              <w:pStyle w:val="TableText"/>
              <w:ind w:left="164"/>
              <w:spacing w:before="52" w:line="184" w:lineRule="auto"/>
              <w:rPr>
                <w:sz w:val="16"/>
                <w:szCs w:val="16"/>
              </w:rPr>
            </w:pPr>
            <w:r>
              <w:rPr>
                <w:sz w:val="16"/>
                <w:szCs w:val="16"/>
                <w:spacing w:val="-5"/>
              </w:rPr>
              <w:t>154</w:t>
            </w:r>
          </w:p>
        </w:tc>
        <w:tc>
          <w:tcPr>
            <w:tcW w:w="1289" w:type="dxa"/>
            <w:vAlign w:val="top"/>
          </w:tcPr>
          <w:p>
            <w:pPr>
              <w:pStyle w:val="TableText"/>
              <w:ind w:left="231" w:right="255" w:firstLine="79"/>
              <w:spacing w:before="236" w:line="230" w:lineRule="auto"/>
              <w:rPr>
                <w:sz w:val="16"/>
                <w:szCs w:val="16"/>
              </w:rPr>
            </w:pPr>
            <w:r>
              <w:rPr>
                <w:sz w:val="16"/>
                <w:szCs w:val="16"/>
                <w:spacing w:val="-2"/>
              </w:rPr>
              <w:t>人力亮源</w:t>
            </w:r>
            <w:r>
              <w:rPr>
                <w:sz w:val="16"/>
                <w:szCs w:val="16"/>
              </w:rPr>
              <w:t xml:space="preserve">  </w:t>
            </w:r>
            <w:r>
              <w:rPr>
                <w:sz w:val="16"/>
                <w:szCs w:val="16"/>
                <w:spacing w:val="-2"/>
              </w:rPr>
              <w:t>社会保障部</w:t>
            </w:r>
          </w:p>
        </w:tc>
        <w:tc>
          <w:tcPr>
            <w:tcW w:w="1638" w:type="dxa"/>
            <w:vAlign w:val="top"/>
          </w:tcPr>
          <w:p>
            <w:pPr>
              <w:pStyle w:val="TableText"/>
              <w:ind w:left="32" w:right="132" w:firstLine="30"/>
              <w:spacing w:before="246" w:line="231" w:lineRule="auto"/>
              <w:rPr>
                <w:sz w:val="16"/>
                <w:szCs w:val="16"/>
              </w:rPr>
            </w:pPr>
            <w:r>
              <w:rPr>
                <w:sz w:val="16"/>
                <w:szCs w:val="16"/>
                <w:spacing w:val="-1"/>
              </w:rPr>
              <w:t>补充谋险冠办机构登</w:t>
            </w:r>
            <w:r>
              <w:rPr>
                <w:sz w:val="16"/>
                <w:szCs w:val="16"/>
                <w:spacing w:val="1"/>
              </w:rPr>
              <w:t xml:space="preserve"> </w:t>
            </w:r>
            <w:r>
              <w:rPr>
                <w:sz w:val="16"/>
                <w:szCs w:val="16"/>
                <w:spacing w:val="-2"/>
              </w:rPr>
              <w:t>格试定</w:t>
            </w:r>
          </w:p>
        </w:tc>
        <w:tc>
          <w:tcPr>
            <w:tcW w:w="2377" w:type="dxa"/>
            <w:vAlign w:val="top"/>
          </w:tcPr>
          <w:p>
            <w:pPr>
              <w:pStyle w:val="TableText"/>
              <w:ind w:left="44" w:right="110" w:firstLine="59"/>
              <w:spacing w:before="265" w:line="220" w:lineRule="auto"/>
              <w:rPr>
                <w:sz w:val="16"/>
                <w:szCs w:val="16"/>
              </w:rPr>
            </w:pPr>
            <w:r>
              <w:rPr>
                <w:sz w:val="16"/>
                <w:szCs w:val="16"/>
                <w:spacing w:val="-1"/>
              </w:rPr>
              <w:t>人力班除社会保毒部(山业务监</w:t>
            </w:r>
            <w:r>
              <w:rPr>
                <w:sz w:val="16"/>
                <w:szCs w:val="16"/>
                <w:spacing w:val="5"/>
              </w:rPr>
              <w:t xml:space="preserve"> </w:t>
            </w:r>
            <w:r>
              <w:rPr>
                <w:sz w:val="16"/>
                <w:szCs w:val="16"/>
                <w:spacing w:val="2"/>
              </w:rPr>
              <w:t>管都门病置甲在或者益案)</w:t>
            </w:r>
          </w:p>
        </w:tc>
        <w:tc>
          <w:tcPr>
            <w:tcW w:w="3711" w:type="dxa"/>
            <w:vAlign w:val="top"/>
          </w:tcPr>
          <w:p>
            <w:pPr>
              <w:pStyle w:val="TableText"/>
              <w:ind w:left="98" w:right="237" w:hanging="98"/>
              <w:spacing w:before="56" w:line="225" w:lineRule="auto"/>
              <w:rPr>
                <w:sz w:val="16"/>
                <w:szCs w:val="16"/>
              </w:rPr>
            </w:pPr>
            <w:r>
              <w:rPr>
                <w:sz w:val="16"/>
                <w:szCs w:val="16"/>
                <w:spacing w:val="-3"/>
              </w:rPr>
              <w:t>《园齐院群确帮保留的行政审批径日设定行就许可</w:t>
            </w:r>
            <w:r>
              <w:rPr>
                <w:sz w:val="16"/>
                <w:szCs w:val="16"/>
                <w:spacing w:val="8"/>
              </w:rPr>
              <w:t xml:space="preserve"> </w:t>
            </w:r>
            <w:r>
              <w:rPr>
                <w:sz w:val="16"/>
                <w:szCs w:val="16"/>
                <w:spacing w:val="1"/>
              </w:rPr>
              <w:t>的决定</w:t>
            </w:r>
          </w:p>
          <w:p>
            <w:pPr>
              <w:pStyle w:val="TableText"/>
              <w:ind w:right="692" w:firstLine="79"/>
              <w:spacing w:before="9" w:line="227" w:lineRule="auto"/>
              <w:rPr>
                <w:sz w:val="16"/>
                <w:szCs w:val="16"/>
              </w:rPr>
            </w:pPr>
            <w:r>
              <w:rPr>
                <w:sz w:val="16"/>
                <w:szCs w:val="16"/>
                <w:spacing w:val="-2"/>
              </w:rPr>
              <w:t>企业军金基业置理机构资格认定暂行办法7</w:t>
            </w:r>
            <w:r>
              <w:rPr>
                <w:sz w:val="16"/>
                <w:szCs w:val="16"/>
                <w:spacing w:val="5"/>
              </w:rPr>
              <w:t xml:space="preserve"> </w:t>
            </w:r>
            <w:r>
              <w:rPr>
                <w:sz w:val="16"/>
                <w:szCs w:val="16"/>
                <w:spacing w:val="-3"/>
              </w:rPr>
              <w:t>《空业年金基金管理办法</w:t>
            </w:r>
          </w:p>
        </w:tc>
      </w:tr>
      <w:tr>
        <w:trPr>
          <w:trHeight w:val="659" w:hRule="atLeast"/>
        </w:trPr>
        <w:tc>
          <w:tcPr>
            <w:tcW w:w="584" w:type="dxa"/>
            <w:vAlign w:val="top"/>
          </w:tcPr>
          <w:p>
            <w:pPr>
              <w:pStyle w:val="TableText"/>
              <w:ind w:left="164"/>
              <w:spacing w:before="288" w:line="184" w:lineRule="auto"/>
              <w:rPr>
                <w:sz w:val="16"/>
                <w:szCs w:val="16"/>
              </w:rPr>
            </w:pPr>
            <w:r>
              <w:rPr>
                <w:sz w:val="16"/>
                <w:szCs w:val="16"/>
                <w:spacing w:val="-5"/>
              </w:rPr>
              <w:t>185</w:t>
            </w:r>
          </w:p>
        </w:tc>
        <w:tc>
          <w:tcPr>
            <w:tcW w:w="1289" w:type="dxa"/>
            <w:vAlign w:val="top"/>
          </w:tcPr>
          <w:p>
            <w:pPr>
              <w:pStyle w:val="TableText"/>
              <w:ind w:left="231" w:right="255" w:firstLine="79"/>
              <w:spacing w:before="158" w:line="224" w:lineRule="auto"/>
              <w:rPr>
                <w:sz w:val="16"/>
                <w:szCs w:val="16"/>
              </w:rPr>
            </w:pPr>
            <w:r>
              <w:rPr>
                <w:sz w:val="16"/>
                <w:szCs w:val="16"/>
                <w:spacing w:val="-2"/>
              </w:rPr>
              <w:t>人力登南</w:t>
            </w:r>
            <w:r>
              <w:rPr>
                <w:sz w:val="16"/>
                <w:szCs w:val="16"/>
              </w:rPr>
              <w:t xml:space="preserve">  </w:t>
            </w:r>
            <w:r>
              <w:rPr>
                <w:sz w:val="16"/>
                <w:szCs w:val="16"/>
                <w:spacing w:val="-2"/>
              </w:rPr>
              <w:t>社会保障备</w:t>
            </w:r>
          </w:p>
        </w:tc>
        <w:tc>
          <w:tcPr>
            <w:tcW w:w="1638" w:type="dxa"/>
            <w:vAlign w:val="top"/>
          </w:tcPr>
          <w:p>
            <w:pPr>
              <w:pStyle w:val="TableText"/>
              <w:ind w:left="32" w:right="142"/>
              <w:spacing w:before="69" w:line="223" w:lineRule="auto"/>
              <w:jc w:val="both"/>
              <w:rPr>
                <w:sz w:val="16"/>
                <w:szCs w:val="16"/>
              </w:rPr>
            </w:pPr>
            <w:r>
              <w:rPr>
                <w:sz w:val="16"/>
                <w:szCs w:val="16"/>
                <w:spacing w:val="-1"/>
              </w:rPr>
              <w:t>企业实行不定时工作</w:t>
            </w:r>
            <w:r>
              <w:rPr>
                <w:sz w:val="16"/>
                <w:szCs w:val="16"/>
              </w:rPr>
              <w:t xml:space="preserve"> </w:t>
            </w:r>
            <w:r>
              <w:rPr>
                <w:sz w:val="16"/>
                <w:szCs w:val="16"/>
                <w:spacing w:val="1"/>
              </w:rPr>
              <w:t>制和综合计算工时工</w:t>
            </w:r>
            <w:r>
              <w:rPr>
                <w:sz w:val="16"/>
                <w:szCs w:val="16"/>
                <w:spacing w:val="3"/>
              </w:rPr>
              <w:t xml:space="preserve"> </w:t>
            </w:r>
            <w:r>
              <w:rPr>
                <w:sz w:val="16"/>
                <w:szCs w:val="16"/>
                <w:spacing w:val="-2"/>
              </w:rPr>
              <w:t>作圆审性</w:t>
            </w:r>
          </w:p>
        </w:tc>
        <w:tc>
          <w:tcPr>
            <w:tcW w:w="2377" w:type="dxa"/>
            <w:vAlign w:val="top"/>
          </w:tcPr>
          <w:p>
            <w:pPr>
              <w:pStyle w:val="TableText"/>
              <w:ind w:left="44" w:right="56" w:firstLine="20"/>
              <w:spacing w:before="47" w:line="227" w:lineRule="auto"/>
              <w:jc w:val="both"/>
              <w:rPr>
                <w:sz w:val="16"/>
                <w:szCs w:val="16"/>
              </w:rPr>
            </w:pPr>
            <w:r>
              <w:rPr>
                <w:sz w:val="16"/>
                <w:szCs w:val="16"/>
                <w:spacing w:val="-1"/>
              </w:rPr>
              <w:t>人力散票社会保障陈，省裂，段</w:t>
            </w:r>
            <w:r>
              <w:rPr>
                <w:sz w:val="16"/>
                <w:szCs w:val="16"/>
                <w:spacing w:val="5"/>
              </w:rPr>
              <w:t xml:space="preserve"> </w:t>
            </w:r>
            <w:r>
              <w:rPr>
                <w:sz w:val="16"/>
                <w:szCs w:val="16"/>
                <w:spacing w:val="1"/>
              </w:rPr>
              <w:t>以的市级，县级人力资解社食体</w:t>
            </w:r>
            <w:r>
              <w:rPr>
                <w:sz w:val="16"/>
                <w:szCs w:val="16"/>
                <w:spacing w:val="11"/>
              </w:rPr>
              <w:t xml:space="preserve"> </w:t>
            </w:r>
            <w:r>
              <w:rPr>
                <w:sz w:val="16"/>
                <w:szCs w:val="16"/>
                <w:spacing w:val="6"/>
              </w:rPr>
              <w:t>融部门</w:t>
            </w:r>
          </w:p>
        </w:tc>
        <w:tc>
          <w:tcPr>
            <w:tcW w:w="3711" w:type="dxa"/>
            <w:vAlign w:val="top"/>
          </w:tcPr>
          <w:p>
            <w:pPr>
              <w:pStyle w:val="TableText"/>
              <w:ind w:left="56"/>
              <w:spacing w:before="68" w:line="219" w:lineRule="auto"/>
              <w:rPr>
                <w:sz w:val="16"/>
                <w:szCs w:val="16"/>
              </w:rPr>
            </w:pPr>
            <w:r>
              <w:rPr>
                <w:sz w:val="16"/>
                <w:szCs w:val="16"/>
                <w:spacing w:val="1"/>
              </w:rPr>
              <w:t>1中华人民其和面尊动洗1</w:t>
            </w:r>
          </w:p>
          <w:p>
            <w:pPr>
              <w:pStyle w:val="TableText"/>
              <w:ind w:left="56" w:right="209"/>
              <w:spacing w:line="225" w:lineRule="auto"/>
              <w:rPr>
                <w:sz w:val="16"/>
                <w:szCs w:val="16"/>
              </w:rPr>
            </w:pPr>
            <w:r>
              <w:rPr>
                <w:sz w:val="16"/>
                <w:szCs w:val="16"/>
                <w:spacing w:val="-1"/>
              </w:rPr>
              <w:t>4关于企业安行不良时工作制和垃合计施工时工作</w:t>
            </w:r>
            <w:r>
              <w:rPr>
                <w:sz w:val="16"/>
                <w:szCs w:val="16"/>
                <w:spacing w:val="15"/>
              </w:rPr>
              <w:t xml:space="preserve"> </w:t>
            </w:r>
            <w:r>
              <w:rPr>
                <w:sz w:val="16"/>
                <w:szCs w:val="16"/>
                <w:spacing w:val="1"/>
              </w:rPr>
              <w:t>制的市批办法机劳都发(19241503号)</w:t>
            </w:r>
          </w:p>
        </w:tc>
      </w:tr>
      <w:tr>
        <w:trPr>
          <w:trHeight w:val="669" w:hRule="atLeast"/>
        </w:trPr>
        <w:tc>
          <w:tcPr>
            <w:tcW w:w="584" w:type="dxa"/>
            <w:vAlign w:val="top"/>
          </w:tcPr>
          <w:p>
            <w:pPr>
              <w:spacing w:line="245" w:lineRule="auto"/>
              <w:rPr>
                <w:rFonts w:ascii="Arial"/>
                <w:sz w:val="21"/>
              </w:rPr>
            </w:pPr>
            <w:r/>
          </w:p>
          <w:p>
            <w:pPr>
              <w:pStyle w:val="TableText"/>
              <w:ind w:left="164"/>
              <w:spacing w:before="52" w:line="184" w:lineRule="auto"/>
              <w:rPr>
                <w:sz w:val="16"/>
                <w:szCs w:val="16"/>
              </w:rPr>
            </w:pPr>
            <w:r>
              <w:rPr>
                <w:sz w:val="16"/>
                <w:szCs w:val="16"/>
                <w:spacing w:val="-5"/>
              </w:rPr>
              <w:t>156</w:t>
            </w:r>
          </w:p>
        </w:tc>
        <w:tc>
          <w:tcPr>
            <w:tcW w:w="1289" w:type="dxa"/>
            <w:vAlign w:val="top"/>
          </w:tcPr>
          <w:p>
            <w:pPr>
              <w:pStyle w:val="TableText"/>
              <w:ind w:left="231"/>
              <w:spacing w:before="257" w:line="219" w:lineRule="auto"/>
              <w:rPr>
                <w:sz w:val="16"/>
                <w:szCs w:val="16"/>
              </w:rPr>
            </w:pPr>
            <w:r>
              <w:rPr>
                <w:sz w:val="16"/>
                <w:szCs w:val="16"/>
                <w:spacing w:val="-2"/>
              </w:rPr>
              <w:t>直然费繇布</w:t>
            </w:r>
          </w:p>
        </w:tc>
        <w:tc>
          <w:tcPr>
            <w:tcW w:w="1638" w:type="dxa"/>
            <w:vAlign w:val="top"/>
          </w:tcPr>
          <w:p>
            <w:pPr>
              <w:pStyle w:val="TableText"/>
              <w:ind w:left="32"/>
              <w:spacing w:before="258" w:line="219" w:lineRule="auto"/>
              <w:rPr>
                <w:sz w:val="16"/>
                <w:szCs w:val="16"/>
              </w:rPr>
            </w:pPr>
            <w:r>
              <w:rPr>
                <w:sz w:val="16"/>
                <w:szCs w:val="16"/>
                <w:spacing w:val="-1"/>
              </w:rPr>
              <w:t>期查矿产资源审量</w:t>
            </w:r>
          </w:p>
        </w:tc>
        <w:tc>
          <w:tcPr>
            <w:tcW w:w="2377" w:type="dxa"/>
            <w:vAlign w:val="top"/>
          </w:tcPr>
          <w:p>
            <w:pPr>
              <w:pStyle w:val="TableText"/>
              <w:ind w:left="64"/>
              <w:spacing w:before="258" w:line="219" w:lineRule="auto"/>
              <w:rPr>
                <w:sz w:val="16"/>
                <w:szCs w:val="16"/>
              </w:rPr>
            </w:pPr>
            <w:r>
              <w:rPr>
                <w:sz w:val="16"/>
                <w:szCs w:val="16"/>
              </w:rPr>
              <w:t>白世贸落部，省级白然断萍邢们</w:t>
            </w:r>
          </w:p>
        </w:tc>
        <w:tc>
          <w:tcPr>
            <w:tcW w:w="3711" w:type="dxa"/>
            <w:vAlign w:val="top"/>
          </w:tcPr>
          <w:p>
            <w:pPr>
              <w:pStyle w:val="TableText"/>
              <w:ind w:left="56"/>
              <w:spacing w:before="58" w:line="219" w:lineRule="auto"/>
              <w:rPr>
                <w:sz w:val="16"/>
                <w:szCs w:val="16"/>
              </w:rPr>
            </w:pPr>
            <w:r>
              <w:rPr>
                <w:sz w:val="16"/>
                <w:szCs w:val="16"/>
                <w:spacing w:val="-1"/>
              </w:rPr>
              <w:t>1中作人民共和围矿产资解糕》</w:t>
            </w:r>
          </w:p>
          <w:p>
            <w:pPr>
              <w:pStyle w:val="TableText"/>
              <w:ind w:left="56"/>
              <w:spacing w:line="220" w:lineRule="exact"/>
              <w:rPr>
                <w:sz w:val="16"/>
                <w:szCs w:val="16"/>
              </w:rPr>
            </w:pPr>
            <w:r>
              <w:rPr>
                <w:sz w:val="16"/>
                <w:szCs w:val="16"/>
                <w:position w:val="4"/>
              </w:rPr>
              <w:t>1中华人民共和国矿产资替法实施柳需</w:t>
            </w:r>
          </w:p>
          <w:p>
            <w:pPr>
              <w:pStyle w:val="TableText"/>
              <w:ind w:left="56"/>
              <w:spacing w:line="219" w:lineRule="auto"/>
              <w:rPr>
                <w:sz w:val="16"/>
                <w:szCs w:val="16"/>
              </w:rPr>
            </w:pPr>
            <w:r>
              <w:rPr>
                <w:sz w:val="16"/>
                <w:szCs w:val="16"/>
                <w:spacing w:val="-1"/>
              </w:rPr>
              <w:t>FP查备防查区块导记管理办法</w:t>
            </w:r>
          </w:p>
        </w:tc>
      </w:tr>
      <w:tr>
        <w:trPr>
          <w:trHeight w:val="639" w:hRule="atLeast"/>
        </w:trPr>
        <w:tc>
          <w:tcPr>
            <w:tcW w:w="584" w:type="dxa"/>
            <w:vAlign w:val="top"/>
          </w:tcPr>
          <w:p>
            <w:pPr>
              <w:pStyle w:val="TableText"/>
              <w:ind w:left="164"/>
              <w:spacing w:before="280" w:line="184" w:lineRule="auto"/>
              <w:rPr>
                <w:sz w:val="16"/>
                <w:szCs w:val="16"/>
              </w:rPr>
            </w:pPr>
            <w:r>
              <w:rPr>
                <w:sz w:val="16"/>
                <w:szCs w:val="16"/>
                <w:spacing w:val="-5"/>
              </w:rPr>
              <w:t>137</w:t>
            </w:r>
          </w:p>
        </w:tc>
        <w:tc>
          <w:tcPr>
            <w:tcW w:w="1289" w:type="dxa"/>
            <w:vAlign w:val="top"/>
          </w:tcPr>
          <w:p>
            <w:pPr>
              <w:pStyle w:val="TableText"/>
              <w:ind w:left="231"/>
              <w:spacing w:before="239" w:line="219" w:lineRule="auto"/>
              <w:rPr>
                <w:sz w:val="16"/>
                <w:szCs w:val="16"/>
              </w:rPr>
            </w:pPr>
            <w:r>
              <w:rPr>
                <w:sz w:val="16"/>
                <w:szCs w:val="16"/>
                <w:spacing w:val="1"/>
              </w:rPr>
              <w:t>自驾繁而邮</w:t>
            </w:r>
          </w:p>
        </w:tc>
        <w:tc>
          <w:tcPr>
            <w:tcW w:w="1638" w:type="dxa"/>
            <w:vAlign w:val="top"/>
          </w:tcPr>
          <w:p>
            <w:pPr>
              <w:pStyle w:val="TableText"/>
              <w:ind w:left="32"/>
              <w:spacing w:before="238" w:line="219" w:lineRule="auto"/>
              <w:rPr>
                <w:sz w:val="16"/>
                <w:szCs w:val="16"/>
              </w:rPr>
            </w:pPr>
            <w:r>
              <w:rPr>
                <w:sz w:val="16"/>
                <w:szCs w:val="16"/>
                <w:spacing w:val="-1"/>
              </w:rPr>
              <w:t>开采矿产密题审批</w:t>
            </w:r>
          </w:p>
        </w:tc>
        <w:tc>
          <w:tcPr>
            <w:tcW w:w="2377" w:type="dxa"/>
            <w:vAlign w:val="top"/>
          </w:tcPr>
          <w:p>
            <w:pPr>
              <w:pStyle w:val="TableText"/>
              <w:ind w:left="72" w:hanging="48"/>
              <w:spacing w:before="159" w:line="213" w:lineRule="auto"/>
              <w:rPr>
                <w:sz w:val="16"/>
                <w:szCs w:val="16"/>
              </w:rPr>
            </w:pPr>
            <w:r>
              <w:rPr>
                <w:sz w:val="16"/>
                <w:szCs w:val="16"/>
                <w:spacing w:val="-4"/>
              </w:rPr>
              <w:t>有驾贵点部，省聚，设以的市观，</w:t>
            </w:r>
            <w:r>
              <w:rPr>
                <w:sz w:val="16"/>
                <w:szCs w:val="16"/>
                <w:spacing w:val="1"/>
              </w:rPr>
              <w:t xml:space="preserve"> </w:t>
            </w:r>
            <w:r>
              <w:rPr>
                <w:sz w:val="16"/>
                <w:szCs w:val="16"/>
                <w:spacing w:val="-4"/>
              </w:rPr>
              <w:t>B级白燃货部部厂</w:t>
            </w:r>
          </w:p>
        </w:tc>
        <w:tc>
          <w:tcPr>
            <w:tcW w:w="3711" w:type="dxa"/>
            <w:vAlign w:val="top"/>
          </w:tcPr>
          <w:p>
            <w:pPr>
              <w:pStyle w:val="TableText"/>
              <w:ind w:left="56"/>
              <w:spacing w:before="59" w:line="207" w:lineRule="auto"/>
              <w:rPr>
                <w:sz w:val="16"/>
                <w:szCs w:val="16"/>
              </w:rPr>
            </w:pPr>
            <w:r>
              <w:rPr>
                <w:sz w:val="16"/>
                <w:szCs w:val="16"/>
                <w:spacing w:val="2"/>
              </w:rPr>
              <w:t>(中保人民共和国矿产资游出)</w:t>
            </w:r>
          </w:p>
          <w:p>
            <w:pPr>
              <w:pStyle w:val="TableText"/>
              <w:ind w:left="56"/>
              <w:spacing w:line="229" w:lineRule="exact"/>
              <w:rPr>
                <w:sz w:val="16"/>
                <w:szCs w:val="16"/>
              </w:rPr>
            </w:pPr>
            <w:r>
              <w:rPr>
                <w:sz w:val="16"/>
                <w:szCs w:val="16"/>
                <w:position w:val="5"/>
              </w:rPr>
              <w:t>1单华人院共和团章产资源法实施南则》</w:t>
            </w:r>
          </w:p>
          <w:p>
            <w:pPr>
              <w:pStyle w:val="TableText"/>
              <w:ind w:left="56"/>
              <w:spacing w:line="184" w:lineRule="auto"/>
              <w:rPr>
                <w:sz w:val="16"/>
                <w:szCs w:val="16"/>
              </w:rPr>
            </w:pPr>
            <w:r>
              <w:rPr>
                <w:sz w:val="16"/>
                <w:szCs w:val="16"/>
                <w:spacing w:val="1"/>
              </w:rPr>
              <w:t>1  产所森开采分记骨理办出卜</w:t>
            </w:r>
          </w:p>
        </w:tc>
      </w:tr>
      <w:tr>
        <w:trPr>
          <w:trHeight w:val="459" w:hRule="atLeast"/>
        </w:trPr>
        <w:tc>
          <w:tcPr>
            <w:tcW w:w="584" w:type="dxa"/>
            <w:vAlign w:val="top"/>
          </w:tcPr>
          <w:p>
            <w:pPr>
              <w:pStyle w:val="TableText"/>
              <w:ind w:left="164"/>
              <w:spacing w:before="190" w:line="184" w:lineRule="auto"/>
              <w:rPr>
                <w:sz w:val="16"/>
                <w:szCs w:val="16"/>
              </w:rPr>
            </w:pPr>
            <w:r>
              <w:rPr>
                <w:sz w:val="16"/>
                <w:szCs w:val="16"/>
                <w:spacing w:val="-5"/>
              </w:rPr>
              <w:t>15W</w:t>
            </w:r>
          </w:p>
        </w:tc>
        <w:tc>
          <w:tcPr>
            <w:tcW w:w="1289" w:type="dxa"/>
            <w:vAlign w:val="top"/>
          </w:tcPr>
          <w:p>
            <w:pPr>
              <w:pStyle w:val="TableText"/>
              <w:ind w:left="231"/>
              <w:spacing w:before="151" w:line="220" w:lineRule="auto"/>
              <w:rPr>
                <w:sz w:val="16"/>
                <w:szCs w:val="16"/>
              </w:rPr>
            </w:pPr>
            <w:r>
              <w:rPr>
                <w:sz w:val="16"/>
                <w:szCs w:val="16"/>
                <w:spacing w:val="-2"/>
              </w:rPr>
              <w:t>有常资源前</w:t>
            </w:r>
          </w:p>
        </w:tc>
        <w:tc>
          <w:tcPr>
            <w:tcW w:w="1638" w:type="dxa"/>
            <w:vAlign w:val="top"/>
          </w:tcPr>
          <w:p>
            <w:pPr>
              <w:pStyle w:val="TableText"/>
              <w:ind w:left="32" w:right="141" w:firstLine="20"/>
              <w:spacing w:before="48" w:line="231" w:lineRule="auto"/>
              <w:rPr>
                <w:sz w:val="16"/>
                <w:szCs w:val="16"/>
              </w:rPr>
            </w:pPr>
            <w:r>
              <w:rPr>
                <w:sz w:val="16"/>
                <w:szCs w:val="16"/>
                <w:spacing w:val="-1"/>
              </w:rPr>
              <w:t>矿山团境税度报告审</w:t>
            </w:r>
            <w:r>
              <w:rPr>
                <w:sz w:val="16"/>
                <w:szCs w:val="16"/>
                <w:spacing w:val="2"/>
              </w:rPr>
              <w:t xml:space="preserve"> </w:t>
            </w:r>
            <w:r>
              <w:rPr>
                <w:sz w:val="16"/>
                <w:szCs w:val="16"/>
              </w:rPr>
              <w:t>老</w:t>
            </w:r>
          </w:p>
        </w:tc>
        <w:tc>
          <w:tcPr>
            <w:tcW w:w="2377" w:type="dxa"/>
            <w:vAlign w:val="top"/>
          </w:tcPr>
          <w:p>
            <w:pPr>
              <w:pStyle w:val="TableText"/>
              <w:ind w:left="64"/>
              <w:spacing w:before="149" w:line="219" w:lineRule="auto"/>
              <w:rPr>
                <w:sz w:val="16"/>
                <w:szCs w:val="16"/>
              </w:rPr>
            </w:pPr>
            <w:r>
              <w:rPr>
                <w:sz w:val="16"/>
                <w:szCs w:val="16"/>
                <w:spacing w:val="2"/>
              </w:rPr>
              <w:t>省候合然赞款布门</w:t>
            </w:r>
          </w:p>
        </w:tc>
        <w:tc>
          <w:tcPr>
            <w:tcW w:w="3711" w:type="dxa"/>
            <w:vAlign w:val="top"/>
          </w:tcPr>
          <w:p>
            <w:pPr>
              <w:pStyle w:val="TableText"/>
              <w:ind w:left="56"/>
              <w:spacing w:before="70" w:line="219" w:lineRule="auto"/>
              <w:rPr>
                <w:sz w:val="16"/>
                <w:szCs w:val="16"/>
              </w:rPr>
            </w:pPr>
            <w:r>
              <w:rPr>
                <w:sz w:val="16"/>
                <w:szCs w:val="16"/>
                <w:spacing w:val="-1"/>
              </w:rPr>
              <w:t>T中华人民共和国矿产坐惊法》</w:t>
            </w:r>
          </w:p>
          <w:p>
            <w:pPr>
              <w:pStyle w:val="TableText"/>
              <w:ind w:left="56"/>
              <w:spacing w:line="217" w:lineRule="auto"/>
              <w:rPr>
                <w:sz w:val="16"/>
                <w:szCs w:val="16"/>
              </w:rPr>
            </w:pPr>
            <w:r>
              <w:rPr>
                <w:sz w:val="16"/>
                <w:szCs w:val="16"/>
                <w:spacing w:val="-1"/>
              </w:rPr>
              <w:t>4中华人民共和国掌产紫源法实益相则》</w:t>
            </w:r>
          </w:p>
        </w:tc>
      </w:tr>
      <w:tr>
        <w:trPr>
          <w:trHeight w:val="459" w:hRule="atLeast"/>
        </w:trPr>
        <w:tc>
          <w:tcPr>
            <w:tcW w:w="584" w:type="dxa"/>
            <w:vAlign w:val="top"/>
          </w:tcPr>
          <w:p>
            <w:pPr>
              <w:pStyle w:val="TableText"/>
              <w:ind w:left="164"/>
              <w:spacing w:before="192" w:line="184" w:lineRule="auto"/>
              <w:rPr>
                <w:sz w:val="16"/>
                <w:szCs w:val="16"/>
              </w:rPr>
            </w:pPr>
            <w:r>
              <w:rPr>
                <w:sz w:val="16"/>
                <w:szCs w:val="16"/>
                <w:spacing w:val="-5"/>
              </w:rPr>
              <w:t>150</w:t>
            </w:r>
          </w:p>
        </w:tc>
        <w:tc>
          <w:tcPr>
            <w:tcW w:w="1289" w:type="dxa"/>
            <w:vAlign w:val="top"/>
          </w:tcPr>
          <w:p>
            <w:pPr>
              <w:pStyle w:val="TableText"/>
              <w:ind w:left="231"/>
              <w:spacing w:before="151" w:line="219" w:lineRule="auto"/>
              <w:rPr>
                <w:sz w:val="16"/>
                <w:szCs w:val="16"/>
              </w:rPr>
            </w:pPr>
            <w:r>
              <w:rPr>
                <w:sz w:val="16"/>
                <w:szCs w:val="16"/>
                <w:spacing w:val="-2"/>
              </w:rPr>
              <w:t>直热登源都</w:t>
            </w:r>
          </w:p>
        </w:tc>
        <w:tc>
          <w:tcPr>
            <w:tcW w:w="1638" w:type="dxa"/>
            <w:vAlign w:val="top"/>
          </w:tcPr>
          <w:p>
            <w:pPr>
              <w:pStyle w:val="TableText"/>
              <w:ind w:left="32" w:right="133" w:firstLine="30"/>
              <w:spacing w:before="52" w:line="229" w:lineRule="auto"/>
              <w:rPr>
                <w:sz w:val="16"/>
                <w:szCs w:val="16"/>
              </w:rPr>
            </w:pPr>
            <w:r>
              <w:rPr>
                <w:sz w:val="16"/>
                <w:szCs w:val="16"/>
                <w:spacing w:val="-1"/>
              </w:rPr>
              <w:t>无居民海高里物和在</w:t>
            </w:r>
            <w:r>
              <w:rPr>
                <w:sz w:val="16"/>
                <w:szCs w:val="16"/>
              </w:rPr>
              <w:t xml:space="preserve"> </w:t>
            </w:r>
            <w:r>
              <w:rPr>
                <w:sz w:val="16"/>
                <w:szCs w:val="16"/>
                <w:spacing w:val="-1"/>
              </w:rPr>
              <w:t>生岩标本采常审扰</w:t>
            </w:r>
          </w:p>
        </w:tc>
        <w:tc>
          <w:tcPr>
            <w:tcW w:w="2377" w:type="dxa"/>
            <w:vAlign w:val="top"/>
          </w:tcPr>
          <w:p>
            <w:pPr>
              <w:pStyle w:val="TableText"/>
              <w:ind w:left="54" w:right="71" w:firstLine="10"/>
              <w:spacing w:before="51" w:line="225" w:lineRule="auto"/>
              <w:rPr>
                <w:sz w:val="16"/>
                <w:szCs w:val="16"/>
              </w:rPr>
            </w:pPr>
            <w:r>
              <w:rPr>
                <w:sz w:val="16"/>
                <w:szCs w:val="16"/>
                <w:spacing w:val="-1"/>
              </w:rPr>
              <w:t>省短，设区的市润、医浆自然登</w:t>
            </w:r>
            <w:r>
              <w:rPr>
                <w:sz w:val="16"/>
                <w:szCs w:val="16"/>
                <w:spacing w:val="4"/>
              </w:rPr>
              <w:t xml:space="preserve"> </w:t>
            </w:r>
            <w:r>
              <w:rPr>
                <w:sz w:val="16"/>
                <w:szCs w:val="16"/>
                <w:spacing w:val="2"/>
              </w:rPr>
              <w:t>原(再洋)零门</w:t>
            </w:r>
          </w:p>
        </w:tc>
        <w:tc>
          <w:tcPr>
            <w:tcW w:w="3711" w:type="dxa"/>
            <w:vAlign w:val="top"/>
          </w:tcPr>
          <w:p>
            <w:pPr>
              <w:pStyle w:val="TableText"/>
              <w:spacing w:before="151" w:line="219" w:lineRule="auto"/>
              <w:rPr>
                <w:sz w:val="16"/>
                <w:szCs w:val="16"/>
              </w:rPr>
            </w:pPr>
            <w:r>
              <w:rPr>
                <w:sz w:val="16"/>
                <w:szCs w:val="16"/>
                <w:spacing w:val="-2"/>
              </w:rPr>
              <w:t>《中带人民共和国海药保护法)</w:t>
            </w:r>
          </w:p>
        </w:tc>
      </w:tr>
      <w:tr>
        <w:trPr>
          <w:trHeight w:val="649" w:hRule="atLeast"/>
        </w:trPr>
        <w:tc>
          <w:tcPr>
            <w:tcW w:w="584" w:type="dxa"/>
            <w:vAlign w:val="top"/>
          </w:tcPr>
          <w:p>
            <w:pPr>
              <w:pStyle w:val="TableText"/>
              <w:ind w:left="244"/>
              <w:spacing w:before="268"/>
              <w:rPr>
                <w:sz w:val="16"/>
                <w:szCs w:val="16"/>
              </w:rPr>
            </w:pPr>
            <w:r>
              <w:rPr>
                <w:sz w:val="16"/>
                <w:szCs w:val="16"/>
              </w:rPr>
              <w:t>@</w:t>
            </w:r>
          </w:p>
        </w:tc>
        <w:tc>
          <w:tcPr>
            <w:tcW w:w="1289" w:type="dxa"/>
            <w:vAlign w:val="top"/>
          </w:tcPr>
          <w:p>
            <w:pPr>
              <w:pStyle w:val="TableText"/>
              <w:ind w:left="231"/>
              <w:spacing w:before="252" w:line="219" w:lineRule="auto"/>
              <w:rPr>
                <w:sz w:val="16"/>
                <w:szCs w:val="16"/>
              </w:rPr>
            </w:pPr>
            <w:r>
              <w:rPr>
                <w:sz w:val="16"/>
                <w:szCs w:val="16"/>
                <w:spacing w:val="-1"/>
              </w:rPr>
              <w:t>春然冠萍部</w:t>
            </w:r>
          </w:p>
        </w:tc>
        <w:tc>
          <w:tcPr>
            <w:tcW w:w="1638" w:type="dxa"/>
            <w:vAlign w:val="top"/>
          </w:tcPr>
          <w:p>
            <w:pPr>
              <w:pStyle w:val="TableText"/>
              <w:ind w:left="32"/>
              <w:spacing w:before="252" w:line="219" w:lineRule="auto"/>
              <w:rPr>
                <w:sz w:val="16"/>
                <w:szCs w:val="16"/>
              </w:rPr>
            </w:pPr>
            <w:r>
              <w:rPr>
                <w:sz w:val="16"/>
                <w:szCs w:val="16"/>
                <w:spacing w:val="-1"/>
              </w:rPr>
              <w:t>填海项目竣工验改</w:t>
            </w:r>
          </w:p>
        </w:tc>
        <w:tc>
          <w:tcPr>
            <w:tcW w:w="2377" w:type="dxa"/>
            <w:vAlign w:val="top"/>
          </w:tcPr>
          <w:p>
            <w:pPr>
              <w:pStyle w:val="TableText"/>
              <w:ind w:left="54" w:right="133" w:firstLine="89"/>
              <w:spacing w:before="152" w:line="223" w:lineRule="auto"/>
              <w:rPr>
                <w:sz w:val="16"/>
                <w:szCs w:val="16"/>
              </w:rPr>
            </w:pPr>
            <w:r>
              <w:rPr>
                <w:sz w:val="16"/>
                <w:szCs w:val="16"/>
              </w:rPr>
              <w:t>自然紫总部，省慨有然资源离</w:t>
            </w:r>
            <w:r>
              <w:rPr>
                <w:sz w:val="16"/>
                <w:szCs w:val="16"/>
                <w:spacing w:val="8"/>
              </w:rPr>
              <w:t xml:space="preserve"> </w:t>
            </w:r>
            <w:r>
              <w:rPr>
                <w:sz w:val="16"/>
                <w:szCs w:val="16"/>
                <w:spacing w:val="4"/>
              </w:rPr>
              <w:t>通》器门</w:t>
            </w:r>
          </w:p>
        </w:tc>
        <w:tc>
          <w:tcPr>
            <w:tcW w:w="3711" w:type="dxa"/>
            <w:vAlign w:val="top"/>
          </w:tcPr>
          <w:p>
            <w:pPr>
              <w:pStyle w:val="TableText"/>
              <w:spacing w:before="71" w:line="209" w:lineRule="auto"/>
              <w:rPr>
                <w:sz w:val="16"/>
                <w:szCs w:val="16"/>
              </w:rPr>
            </w:pPr>
            <w:r>
              <w:rPr>
                <w:sz w:val="16"/>
                <w:szCs w:val="16"/>
                <w:spacing w:val="-3"/>
              </w:rPr>
              <w:t>《中华人民共和国海域使用告理法</w:t>
            </w:r>
          </w:p>
          <w:p>
            <w:pPr>
              <w:pStyle w:val="TableText"/>
              <w:ind w:left="56" w:right="300" w:hanging="10"/>
              <w:spacing w:line="223" w:lineRule="auto"/>
              <w:rPr>
                <w:sz w:val="16"/>
                <w:szCs w:val="16"/>
              </w:rPr>
            </w:pPr>
            <w:r>
              <w:rPr>
                <w:sz w:val="16"/>
                <w:szCs w:val="16"/>
                <w:spacing w:val="-1"/>
              </w:rPr>
              <w:t>城海项目拨工海规使用验收管理办法术因海想盐</w:t>
            </w:r>
            <w:r>
              <w:rPr>
                <w:sz w:val="16"/>
                <w:szCs w:val="16"/>
                <w:spacing w:val="13"/>
              </w:rPr>
              <w:t xml:space="preserve"> </w:t>
            </w:r>
            <w:r>
              <w:rPr>
                <w:sz w:val="16"/>
                <w:szCs w:val="16"/>
                <w:spacing w:val="1"/>
              </w:rPr>
              <w:t>(2015)2号</w:t>
            </w:r>
          </w:p>
        </w:tc>
      </w:tr>
      <w:tr>
        <w:trPr>
          <w:trHeight w:val="449" w:hRule="atLeast"/>
        </w:trPr>
        <w:tc>
          <w:tcPr>
            <w:tcW w:w="584" w:type="dxa"/>
            <w:vAlign w:val="top"/>
          </w:tcPr>
          <w:p>
            <w:pPr>
              <w:pStyle w:val="TableText"/>
              <w:ind w:left="164"/>
              <w:spacing w:before="194" w:line="184" w:lineRule="auto"/>
              <w:rPr>
                <w:sz w:val="16"/>
                <w:szCs w:val="16"/>
              </w:rPr>
            </w:pPr>
            <w:r>
              <w:rPr>
                <w:sz w:val="16"/>
                <w:szCs w:val="16"/>
                <w:spacing w:val="-5"/>
              </w:rPr>
              <w:t>161</w:t>
            </w:r>
          </w:p>
        </w:tc>
        <w:tc>
          <w:tcPr>
            <w:tcW w:w="1289" w:type="dxa"/>
            <w:vAlign w:val="top"/>
          </w:tcPr>
          <w:p>
            <w:pPr>
              <w:pStyle w:val="TableText"/>
              <w:ind w:left="231"/>
              <w:spacing w:before="153" w:line="219" w:lineRule="auto"/>
              <w:rPr>
                <w:sz w:val="16"/>
                <w:szCs w:val="16"/>
              </w:rPr>
            </w:pPr>
            <w:r>
              <w:rPr>
                <w:sz w:val="16"/>
                <w:szCs w:val="16"/>
                <w:spacing w:val="1"/>
              </w:rPr>
              <w:t>π格资毒部</w:t>
            </w:r>
          </w:p>
        </w:tc>
        <w:tc>
          <w:tcPr>
            <w:tcW w:w="1638" w:type="dxa"/>
            <w:vAlign w:val="top"/>
          </w:tcPr>
          <w:p>
            <w:pPr>
              <w:pStyle w:val="TableText"/>
              <w:ind w:left="32"/>
              <w:spacing w:before="154" w:line="220" w:lineRule="auto"/>
              <w:rPr>
                <w:sz w:val="16"/>
                <w:szCs w:val="16"/>
              </w:rPr>
            </w:pPr>
            <w:r>
              <w:rPr>
                <w:sz w:val="16"/>
                <w:szCs w:val="16"/>
                <w:spacing w:val="-2"/>
              </w:rPr>
              <w:t>地图审租</w:t>
            </w:r>
          </w:p>
        </w:tc>
        <w:tc>
          <w:tcPr>
            <w:tcW w:w="2377" w:type="dxa"/>
            <w:vAlign w:val="top"/>
          </w:tcPr>
          <w:p>
            <w:pPr>
              <w:pStyle w:val="TableText"/>
              <w:ind w:left="83" w:right="57" w:hanging="19"/>
              <w:spacing w:before="54" w:line="222" w:lineRule="auto"/>
              <w:rPr>
                <w:sz w:val="16"/>
                <w:szCs w:val="16"/>
              </w:rPr>
            </w:pPr>
            <w:r>
              <w:rPr>
                <w:sz w:val="16"/>
                <w:szCs w:val="16"/>
              </w:rPr>
              <w:t>自然贸原据，连覆，设区的市理</w:t>
            </w:r>
            <w:r>
              <w:rPr>
                <w:sz w:val="16"/>
                <w:szCs w:val="16"/>
                <w:spacing w:val="4"/>
              </w:rPr>
              <w:t xml:space="preserve"> </w:t>
            </w:r>
            <w:r>
              <w:rPr>
                <w:sz w:val="16"/>
                <w:szCs w:val="16"/>
                <w:spacing w:val="3"/>
              </w:rPr>
              <w:t>自热资谦态门</w:t>
            </w:r>
          </w:p>
        </w:tc>
        <w:tc>
          <w:tcPr>
            <w:tcW w:w="3711" w:type="dxa"/>
            <w:vAlign w:val="top"/>
          </w:tcPr>
          <w:p>
            <w:pPr>
              <w:pStyle w:val="TableText"/>
              <w:spacing w:before="152" w:line="218" w:lineRule="auto"/>
              <w:rPr>
                <w:sz w:val="16"/>
                <w:szCs w:val="16"/>
              </w:rPr>
            </w:pPr>
            <w:r>
              <w:rPr>
                <w:sz w:val="16"/>
                <w:szCs w:val="16"/>
                <w:spacing w:val="-4"/>
              </w:rPr>
              <w:t>《地图价厘条例》</w:t>
            </w:r>
          </w:p>
        </w:tc>
      </w:tr>
      <w:tr>
        <w:trPr>
          <w:trHeight w:val="1333" w:hRule="atLeast"/>
        </w:trPr>
        <w:tc>
          <w:tcPr>
            <w:tcW w:w="584" w:type="dxa"/>
            <w:vAlign w:val="top"/>
          </w:tcPr>
          <w:p>
            <w:pPr>
              <w:spacing w:line="289" w:lineRule="auto"/>
              <w:rPr>
                <w:rFonts w:ascii="Arial"/>
                <w:sz w:val="21"/>
              </w:rPr>
            </w:pPr>
            <w:r/>
          </w:p>
          <w:p>
            <w:pPr>
              <w:spacing w:line="290" w:lineRule="auto"/>
              <w:rPr>
                <w:rFonts w:ascii="Arial"/>
                <w:sz w:val="21"/>
              </w:rPr>
            </w:pPr>
            <w:r/>
          </w:p>
          <w:p>
            <w:pPr>
              <w:pStyle w:val="TableText"/>
              <w:ind w:left="164"/>
              <w:spacing w:before="52" w:line="184" w:lineRule="auto"/>
              <w:rPr>
                <w:sz w:val="16"/>
                <w:szCs w:val="16"/>
              </w:rPr>
            </w:pPr>
            <w:r>
              <w:rPr>
                <w:sz w:val="16"/>
                <w:szCs w:val="16"/>
                <w:spacing w:val="-5"/>
              </w:rPr>
              <w:t>162</w:t>
            </w:r>
          </w:p>
        </w:tc>
        <w:tc>
          <w:tcPr>
            <w:tcW w:w="1289" w:type="dxa"/>
            <w:vAlign w:val="top"/>
          </w:tcPr>
          <w:p>
            <w:pPr>
              <w:spacing w:line="269" w:lineRule="auto"/>
              <w:rPr>
                <w:rFonts w:ascii="Arial"/>
                <w:sz w:val="21"/>
              </w:rPr>
            </w:pPr>
            <w:r/>
          </w:p>
          <w:p>
            <w:pPr>
              <w:spacing w:line="269" w:lineRule="auto"/>
              <w:rPr>
                <w:rFonts w:ascii="Arial"/>
                <w:sz w:val="21"/>
              </w:rPr>
            </w:pPr>
            <w:r/>
          </w:p>
          <w:p>
            <w:pPr>
              <w:pStyle w:val="TableText"/>
              <w:ind w:left="231"/>
              <w:spacing w:before="52" w:line="219" w:lineRule="auto"/>
              <w:rPr>
                <w:sz w:val="16"/>
                <w:szCs w:val="16"/>
              </w:rPr>
            </w:pPr>
            <w:r>
              <w:rPr>
                <w:sz w:val="16"/>
                <w:szCs w:val="16"/>
                <w:spacing w:val="-1"/>
              </w:rPr>
              <w:t>介等废淘家</w:t>
            </w:r>
          </w:p>
        </w:tc>
        <w:tc>
          <w:tcPr>
            <w:tcW w:w="1638" w:type="dxa"/>
            <w:vAlign w:val="top"/>
          </w:tcPr>
          <w:p>
            <w:pPr>
              <w:spacing w:line="269" w:lineRule="auto"/>
              <w:rPr>
                <w:rFonts w:ascii="Arial"/>
                <w:sz w:val="21"/>
              </w:rPr>
            </w:pPr>
            <w:r/>
          </w:p>
          <w:p>
            <w:pPr>
              <w:spacing w:line="270" w:lineRule="auto"/>
              <w:rPr>
                <w:rFonts w:ascii="Arial"/>
                <w:sz w:val="21"/>
              </w:rPr>
            </w:pPr>
            <w:r/>
          </w:p>
          <w:p>
            <w:pPr>
              <w:pStyle w:val="TableText"/>
              <w:ind w:left="32"/>
              <w:spacing w:before="52" w:line="220" w:lineRule="auto"/>
              <w:rPr>
                <w:sz w:val="16"/>
                <w:szCs w:val="16"/>
              </w:rPr>
            </w:pPr>
            <w:r>
              <w:rPr>
                <w:sz w:val="16"/>
                <w:szCs w:val="16"/>
                <w:spacing w:val="-1"/>
              </w:rPr>
              <w:t>注展施乡说划物汪班</w:t>
            </w:r>
          </w:p>
        </w:tc>
        <w:tc>
          <w:tcPr>
            <w:tcW w:w="2377" w:type="dxa"/>
            <w:vAlign w:val="top"/>
          </w:tcPr>
          <w:p>
            <w:pPr>
              <w:spacing w:line="449" w:lineRule="auto"/>
              <w:rPr>
                <w:rFonts w:ascii="Arial"/>
                <w:sz w:val="21"/>
              </w:rPr>
            </w:pPr>
            <w:r/>
          </w:p>
          <w:p>
            <w:pPr>
              <w:pStyle w:val="TableText"/>
              <w:ind w:left="74" w:right="55" w:hanging="10"/>
              <w:spacing w:before="52" w:line="231" w:lineRule="auto"/>
              <w:rPr>
                <w:sz w:val="16"/>
                <w:szCs w:val="16"/>
              </w:rPr>
            </w:pPr>
            <w:r>
              <w:rPr>
                <w:sz w:val="16"/>
                <w:szCs w:val="16"/>
              </w:rPr>
              <w:t>日然查部部，人力资低壮态保事</w:t>
            </w:r>
            <w:r>
              <w:rPr>
                <w:sz w:val="16"/>
                <w:szCs w:val="16"/>
                <w:spacing w:val="6"/>
              </w:rPr>
              <w:t xml:space="preserve"> </w:t>
            </w:r>
            <w:r>
              <w:rPr>
                <w:sz w:val="16"/>
                <w:szCs w:val="16"/>
                <w:spacing w:val="-1"/>
              </w:rPr>
              <w:t>部，相关行业协合</w:t>
            </w:r>
          </w:p>
        </w:tc>
        <w:tc>
          <w:tcPr>
            <w:tcW w:w="3711" w:type="dxa"/>
            <w:vAlign w:val="top"/>
          </w:tcPr>
          <w:p>
            <w:pPr>
              <w:pStyle w:val="TableText"/>
              <w:spacing w:before="83" w:line="219" w:lineRule="auto"/>
              <w:rPr>
                <w:sz w:val="16"/>
                <w:szCs w:val="16"/>
              </w:rPr>
            </w:pPr>
            <w:r>
              <w:rPr>
                <w:sz w:val="16"/>
                <w:szCs w:val="16"/>
                <w:spacing w:val="-2"/>
              </w:rPr>
              <w:t>《中华人现我和国蛙步煌划法1</w:t>
            </w:r>
          </w:p>
          <w:p>
            <w:pPr>
              <w:pStyle w:val="TableText"/>
              <w:spacing w:before="21" w:line="219" w:lineRule="auto"/>
              <w:rPr>
                <w:sz w:val="16"/>
                <w:szCs w:val="16"/>
              </w:rPr>
            </w:pPr>
            <w:r>
              <w:rPr>
                <w:sz w:val="16"/>
                <w:szCs w:val="16"/>
                <w:spacing w:val="-2"/>
              </w:rPr>
              <w:t>《国家职业资格月录；02(年腔))</w:t>
            </w:r>
          </w:p>
          <w:p>
            <w:pPr>
              <w:pStyle w:val="TableText"/>
              <w:spacing w:before="10" w:line="219" w:lineRule="auto"/>
              <w:rPr>
                <w:sz w:val="16"/>
                <w:szCs w:val="16"/>
              </w:rPr>
            </w:pPr>
            <w:r>
              <w:rPr>
                <w:sz w:val="16"/>
                <w:szCs w:val="16"/>
                <w:spacing w:val="-2"/>
              </w:rPr>
              <w:t>《人方资意社合保随活住团减乡建说部关于中发</w:t>
            </w:r>
          </w:p>
          <w:p>
            <w:pPr>
              <w:pStyle w:val="TableText"/>
              <w:ind w:left="56" w:right="130" w:firstLine="229"/>
              <w:spacing w:before="19" w:line="232" w:lineRule="auto"/>
              <w:jc w:val="both"/>
              <w:rPr>
                <w:sz w:val="16"/>
                <w:szCs w:val="16"/>
              </w:rPr>
            </w:pPr>
            <w:r>
              <w:rPr>
                <w:sz w:val="16"/>
                <w:szCs w:val="16"/>
                <w:spacing w:val="1"/>
              </w:rPr>
              <w:t>骨城安规划等职业资格制度规定，和在量器乡</w:t>
            </w:r>
            <w:r>
              <w:rPr>
                <w:sz w:val="16"/>
                <w:szCs w:val="16"/>
              </w:rPr>
              <w:t xml:space="preserve">  </w:t>
            </w:r>
            <w:r>
              <w:rPr>
                <w:sz w:val="16"/>
                <w:szCs w:val="16"/>
                <w:spacing w:val="-1"/>
              </w:rPr>
              <w:t>规局师职业货格专试实街办孩》的道包利人社器规</w:t>
            </w:r>
            <w:r>
              <w:rPr>
                <w:sz w:val="16"/>
                <w:szCs w:val="16"/>
                <w:spacing w:val="14"/>
              </w:rPr>
              <w:t xml:space="preserve"> </w:t>
            </w:r>
            <w:r>
              <w:rPr>
                <w:sz w:val="16"/>
                <w:szCs w:val="16"/>
                <w:spacing w:val="-1"/>
              </w:rPr>
              <w:t>(2o1</w:t>
            </w:r>
            <w:r>
              <w:rPr>
                <w:sz w:val="16"/>
                <w:szCs w:val="16"/>
                <w:spacing w:val="20"/>
              </w:rPr>
              <w:t xml:space="preserve">  </w:t>
            </w:r>
            <w:r>
              <w:rPr>
                <w:sz w:val="16"/>
                <w:szCs w:val="16"/>
                <w:spacing w:val="-1"/>
              </w:rPr>
              <w:t>号)</w:t>
            </w:r>
          </w:p>
        </w:tc>
      </w:tr>
    </w:tbl>
    <w:p>
      <w:pPr>
        <w:pStyle w:val="BodyText"/>
        <w:rPr/>
      </w:pPr>
      <w:r/>
    </w:p>
    <w:p>
      <w:pPr>
        <w:sectPr>
          <w:pgSz w:w="11910" w:h="8220"/>
          <w:pgMar w:top="400" w:right="1165" w:bottom="400" w:left="811" w:header="0" w:footer="0" w:gutter="0"/>
        </w:sectPr>
        <w:rPr/>
      </w:pPr>
    </w:p>
    <w:p>
      <w:pPr>
        <w:spacing w:before="113"/>
        <w:rPr/>
      </w:pPr>
      <w:r>
        <mc:AlternateContent xmlns:mc="http://schemas.openxmlformats.org/markup-compatibility/2006">
          <mc:Choice Requires="wps">
            <w:drawing>
              <wp:anchor distT="0" distB="0" distL="0" distR="0" simplePos="0" relativeHeight="251838464"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96" name="TextBox 196"/>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8" style="position:absolute;margin-left:37.3042pt;margin-top:345.373pt;mso-position-vertical-relative:page;mso-position-horizontal-relative:page;width:13.1pt;height:12.4pt;z-index:25183846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179</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1" w:line="219" w:lineRule="auto"/>
              <w:rPr>
                <w:sz w:val="16"/>
                <w:szCs w:val="16"/>
              </w:rPr>
            </w:pPr>
            <w:r>
              <w:rPr>
                <w:sz w:val="16"/>
                <w:szCs w:val="16"/>
                <w:spacing w:val="-2"/>
              </w:rPr>
              <w:t>牌号</w:t>
            </w:r>
          </w:p>
        </w:tc>
        <w:tc>
          <w:tcPr>
            <w:tcW w:w="1299" w:type="dxa"/>
            <w:vAlign w:val="top"/>
          </w:tcPr>
          <w:p>
            <w:pPr>
              <w:pStyle w:val="TableText"/>
              <w:ind w:left="120"/>
              <w:spacing w:before="132" w:line="220" w:lineRule="auto"/>
              <w:rPr>
                <w:sz w:val="16"/>
                <w:szCs w:val="16"/>
              </w:rPr>
            </w:pPr>
            <w:r>
              <w:rPr>
                <w:sz w:val="16"/>
                <w:szCs w:val="16"/>
                <w:spacing w:val="2"/>
              </w:rPr>
              <w:t>中央主登器1门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34"/>
              <w:spacing w:before="130" w:line="219" w:lineRule="auto"/>
              <w:rPr>
                <w:sz w:val="16"/>
                <w:szCs w:val="16"/>
              </w:rPr>
            </w:pPr>
            <w:r>
              <w:rPr>
                <w:sz w:val="16"/>
                <w:szCs w:val="16"/>
                <w:spacing w:val="-2"/>
              </w:rPr>
              <w:t>实施机关</w:t>
            </w:r>
          </w:p>
        </w:tc>
        <w:tc>
          <w:tcPr>
            <w:tcW w:w="3711" w:type="dxa"/>
            <w:vAlign w:val="top"/>
          </w:tcPr>
          <w:p>
            <w:pPr>
              <w:pStyle w:val="TableText"/>
              <w:ind w:left="1269"/>
              <w:spacing w:before="129" w:line="219" w:lineRule="auto"/>
              <w:rPr>
                <w:sz w:val="16"/>
                <w:szCs w:val="16"/>
              </w:rPr>
            </w:pPr>
            <w:r>
              <w:rPr>
                <w:sz w:val="16"/>
                <w:szCs w:val="16"/>
                <w:b/>
                <w:bCs/>
                <w:spacing w:val="-3"/>
              </w:rPr>
              <w:t>设定和实施低据</w:t>
            </w:r>
          </w:p>
        </w:tc>
      </w:tr>
      <w:tr>
        <w:trPr>
          <w:trHeight w:val="439" w:hRule="atLeast"/>
        </w:trPr>
        <w:tc>
          <w:tcPr>
            <w:tcW w:w="574" w:type="dxa"/>
            <w:vAlign w:val="top"/>
          </w:tcPr>
          <w:p>
            <w:pPr>
              <w:pStyle w:val="TableText"/>
              <w:ind w:left="154"/>
              <w:spacing w:before="178" w:line="184" w:lineRule="auto"/>
              <w:rPr>
                <w:sz w:val="16"/>
                <w:szCs w:val="16"/>
              </w:rPr>
            </w:pPr>
            <w:r>
              <w:rPr>
                <w:sz w:val="16"/>
                <w:szCs w:val="16"/>
                <w:spacing w:val="-5"/>
              </w:rPr>
              <w:t>163</w:t>
            </w:r>
          </w:p>
        </w:tc>
        <w:tc>
          <w:tcPr>
            <w:tcW w:w="1299" w:type="dxa"/>
            <w:vAlign w:val="top"/>
          </w:tcPr>
          <w:p>
            <w:pPr>
              <w:pStyle w:val="TableText"/>
              <w:ind w:left="241"/>
              <w:spacing w:before="137" w:line="219" w:lineRule="auto"/>
              <w:rPr>
                <w:sz w:val="16"/>
                <w:szCs w:val="16"/>
              </w:rPr>
            </w:pPr>
            <w:r>
              <w:rPr>
                <w:sz w:val="16"/>
                <w:szCs w:val="16"/>
                <w:spacing w:val="-2"/>
              </w:rPr>
              <w:t>直然斯薛都</w:t>
            </w:r>
          </w:p>
        </w:tc>
        <w:tc>
          <w:tcPr>
            <w:tcW w:w="1638" w:type="dxa"/>
            <w:vAlign w:val="top"/>
          </w:tcPr>
          <w:p>
            <w:pPr>
              <w:pStyle w:val="TableText"/>
              <w:ind w:left="72" w:right="102" w:firstLine="20"/>
              <w:spacing w:before="47" w:line="220" w:lineRule="auto"/>
              <w:rPr>
                <w:sz w:val="16"/>
                <w:szCs w:val="16"/>
              </w:rPr>
            </w:pPr>
            <w:r>
              <w:rPr>
                <w:sz w:val="16"/>
                <w:szCs w:val="16"/>
                <w:spacing w:val="-1"/>
              </w:rPr>
              <w:t>城乡能划缩制单位监</w:t>
            </w:r>
            <w:r>
              <w:rPr>
                <w:sz w:val="16"/>
                <w:szCs w:val="16"/>
                <w:spacing w:val="1"/>
              </w:rPr>
              <w:t xml:space="preserve"> </w:t>
            </w:r>
            <w:r>
              <w:rPr>
                <w:sz w:val="16"/>
                <w:szCs w:val="16"/>
                <w:spacing w:val="-2"/>
              </w:rPr>
              <w:t>填似觉</w:t>
            </w:r>
          </w:p>
        </w:tc>
        <w:tc>
          <w:tcPr>
            <w:tcW w:w="2377" w:type="dxa"/>
            <w:vAlign w:val="top"/>
          </w:tcPr>
          <w:p>
            <w:pPr>
              <w:pStyle w:val="TableText"/>
              <w:ind w:left="74"/>
              <w:spacing w:before="137" w:line="219" w:lineRule="auto"/>
              <w:rPr>
                <w:sz w:val="16"/>
                <w:szCs w:val="16"/>
              </w:rPr>
            </w:pPr>
            <w:r>
              <w:rPr>
                <w:sz w:val="16"/>
                <w:szCs w:val="16"/>
                <w:spacing w:val="1"/>
              </w:rPr>
              <w:t>白然物源感；省慢自然资源越门</w:t>
            </w:r>
          </w:p>
        </w:tc>
        <w:tc>
          <w:tcPr>
            <w:tcW w:w="3711" w:type="dxa"/>
            <w:vAlign w:val="top"/>
          </w:tcPr>
          <w:p>
            <w:pPr>
              <w:pStyle w:val="TableText"/>
              <w:ind w:left="67"/>
              <w:spacing w:before="137" w:line="219" w:lineRule="auto"/>
              <w:rPr>
                <w:sz w:val="16"/>
                <w:szCs w:val="16"/>
              </w:rPr>
            </w:pPr>
            <w:r>
              <w:rPr>
                <w:sz w:val="16"/>
                <w:szCs w:val="16"/>
                <w:spacing w:val="2"/>
              </w:rPr>
              <w:t>1中华人风共和国盛参规划法)</w:t>
            </w:r>
          </w:p>
        </w:tc>
      </w:tr>
      <w:tr>
        <w:trPr>
          <w:trHeight w:val="459" w:hRule="atLeast"/>
        </w:trPr>
        <w:tc>
          <w:tcPr>
            <w:tcW w:w="574" w:type="dxa"/>
            <w:vAlign w:val="top"/>
          </w:tcPr>
          <w:p>
            <w:pPr>
              <w:pStyle w:val="TableText"/>
              <w:ind w:left="154"/>
              <w:spacing w:before="189" w:line="184" w:lineRule="auto"/>
              <w:rPr>
                <w:sz w:val="16"/>
                <w:szCs w:val="16"/>
              </w:rPr>
            </w:pPr>
            <w:r>
              <w:rPr>
                <w:sz w:val="16"/>
                <w:szCs w:val="16"/>
                <w:spacing w:val="-5"/>
              </w:rPr>
              <w:t>164</w:t>
            </w:r>
          </w:p>
        </w:tc>
        <w:tc>
          <w:tcPr>
            <w:tcW w:w="1299" w:type="dxa"/>
            <w:vAlign w:val="top"/>
          </w:tcPr>
          <w:p>
            <w:pPr>
              <w:pStyle w:val="TableText"/>
              <w:ind w:left="281"/>
              <w:spacing w:before="148" w:line="219" w:lineRule="auto"/>
              <w:rPr>
                <w:sz w:val="16"/>
                <w:szCs w:val="16"/>
              </w:rPr>
            </w:pPr>
            <w:r>
              <w:rPr>
                <w:sz w:val="16"/>
                <w:szCs w:val="16"/>
                <w:spacing w:val="-1"/>
              </w:rPr>
              <w:t>B尽资辞部</w:t>
            </w:r>
          </w:p>
        </w:tc>
        <w:tc>
          <w:tcPr>
            <w:tcW w:w="1638" w:type="dxa"/>
            <w:vAlign w:val="top"/>
          </w:tcPr>
          <w:p>
            <w:pPr>
              <w:pStyle w:val="TableText"/>
              <w:ind w:left="52"/>
              <w:spacing w:before="148" w:line="219" w:lineRule="auto"/>
              <w:rPr>
                <w:sz w:val="16"/>
                <w:szCs w:val="16"/>
              </w:rPr>
            </w:pPr>
            <w:r>
              <w:rPr>
                <w:sz w:val="16"/>
                <w:szCs w:val="16"/>
                <w:spacing w:val="-1"/>
              </w:rPr>
              <w:t>注册构蚣带住解</w:t>
            </w:r>
          </w:p>
        </w:tc>
        <w:tc>
          <w:tcPr>
            <w:tcW w:w="2377" w:type="dxa"/>
            <w:vAlign w:val="top"/>
          </w:tcPr>
          <w:p>
            <w:pPr>
              <w:pStyle w:val="TableText"/>
              <w:ind w:left="74" w:right="50" w:hanging="10"/>
              <w:spacing w:before="57" w:line="214" w:lineRule="auto"/>
              <w:rPr>
                <w:sz w:val="16"/>
                <w:szCs w:val="16"/>
              </w:rPr>
            </w:pPr>
            <w:r>
              <w:rPr>
                <w:sz w:val="16"/>
                <w:szCs w:val="16"/>
              </w:rPr>
              <w:t>自然据源称，人力资范社会保雨</w:t>
            </w:r>
            <w:r>
              <w:rPr>
                <w:sz w:val="16"/>
                <w:szCs w:val="16"/>
                <w:spacing w:val="11"/>
              </w:rPr>
              <w:t xml:space="preserve"> </w:t>
            </w:r>
            <w:r>
              <w:rPr>
                <w:sz w:val="16"/>
                <w:szCs w:val="16"/>
              </w:rPr>
              <w:t>都</w:t>
            </w:r>
          </w:p>
        </w:tc>
        <w:tc>
          <w:tcPr>
            <w:tcW w:w="3711" w:type="dxa"/>
            <w:vAlign w:val="top"/>
          </w:tcPr>
          <w:p>
            <w:pPr>
              <w:pStyle w:val="TableText"/>
              <w:ind w:left="67"/>
              <w:spacing w:before="48" w:line="219" w:lineRule="auto"/>
              <w:rPr>
                <w:sz w:val="16"/>
                <w:szCs w:val="16"/>
              </w:rPr>
            </w:pPr>
            <w:r>
              <w:rPr>
                <w:sz w:val="16"/>
                <w:szCs w:val="16"/>
                <w:spacing w:val="2"/>
              </w:rPr>
              <w:t>(中华人民共和国留绘偿)</w:t>
            </w:r>
          </w:p>
          <w:p>
            <w:pPr>
              <w:pStyle w:val="TableText"/>
              <w:ind w:left="67"/>
              <w:spacing w:before="50" w:line="185" w:lineRule="auto"/>
              <w:rPr>
                <w:sz w:val="16"/>
                <w:szCs w:val="16"/>
              </w:rPr>
            </w:pPr>
            <w:r>
              <w:rPr>
                <w:sz w:val="16"/>
                <w:szCs w:val="16"/>
                <w:spacing w:val="2"/>
              </w:rPr>
              <w:t>国家职业资格甘录(2021年版))</w:t>
            </w:r>
          </w:p>
        </w:tc>
      </w:tr>
      <w:tr>
        <w:trPr>
          <w:trHeight w:val="440" w:hRule="atLeast"/>
        </w:trPr>
        <w:tc>
          <w:tcPr>
            <w:tcW w:w="574" w:type="dxa"/>
            <w:vAlign w:val="top"/>
          </w:tcPr>
          <w:p>
            <w:pPr>
              <w:pStyle w:val="TableText"/>
              <w:ind w:left="154"/>
              <w:spacing w:before="180" w:line="184" w:lineRule="auto"/>
              <w:rPr>
                <w:sz w:val="16"/>
                <w:szCs w:val="16"/>
              </w:rPr>
            </w:pPr>
            <w:r>
              <w:rPr>
                <w:sz w:val="16"/>
                <w:szCs w:val="16"/>
                <w:spacing w:val="-5"/>
              </w:rPr>
              <w:t>155</w:t>
            </w:r>
          </w:p>
        </w:tc>
        <w:tc>
          <w:tcPr>
            <w:tcW w:w="1299" w:type="dxa"/>
            <w:vAlign w:val="top"/>
          </w:tcPr>
          <w:p>
            <w:pPr>
              <w:pStyle w:val="TableText"/>
              <w:ind w:left="281"/>
              <w:spacing w:before="139" w:line="219" w:lineRule="auto"/>
              <w:rPr>
                <w:sz w:val="16"/>
                <w:szCs w:val="16"/>
              </w:rPr>
            </w:pPr>
            <w:r>
              <w:rPr>
                <w:sz w:val="16"/>
                <w:szCs w:val="16"/>
                <w:spacing w:val="-5"/>
              </w:rPr>
              <w:t>6</w:t>
            </w:r>
            <w:r>
              <w:rPr>
                <w:sz w:val="16"/>
                <w:szCs w:val="16"/>
                <w:spacing w:val="7"/>
              </w:rPr>
              <w:t xml:space="preserve">  </w:t>
            </w:r>
            <w:r>
              <w:rPr>
                <w:sz w:val="16"/>
                <w:szCs w:val="16"/>
                <w:spacing w:val="-5"/>
              </w:rPr>
              <w:t>资数部</w:t>
            </w:r>
          </w:p>
        </w:tc>
        <w:tc>
          <w:tcPr>
            <w:tcW w:w="1638" w:type="dxa"/>
            <w:vAlign w:val="top"/>
          </w:tcPr>
          <w:p>
            <w:pPr>
              <w:pStyle w:val="TableText"/>
              <w:ind w:left="62" w:right="104" w:firstLine="30"/>
              <w:spacing w:before="58" w:line="214" w:lineRule="auto"/>
              <w:rPr>
                <w:sz w:val="16"/>
                <w:szCs w:val="16"/>
              </w:rPr>
            </w:pPr>
            <w:r>
              <w:rPr>
                <w:sz w:val="16"/>
                <w:szCs w:val="16"/>
                <w:spacing w:val="-1"/>
              </w:rPr>
              <w:t>从事据险出药的里位</w:t>
            </w:r>
            <w:r>
              <w:rPr>
                <w:sz w:val="16"/>
                <w:szCs w:val="16"/>
              </w:rPr>
              <w:t xml:space="preserve"> </w:t>
            </w:r>
            <w:r>
              <w:rPr>
                <w:sz w:val="16"/>
                <w:szCs w:val="16"/>
                <w:spacing w:val="-1"/>
              </w:rPr>
              <w:t>测给资质市批</w:t>
            </w:r>
          </w:p>
        </w:tc>
        <w:tc>
          <w:tcPr>
            <w:tcW w:w="2377" w:type="dxa"/>
            <w:vAlign w:val="top"/>
          </w:tcPr>
          <w:p>
            <w:pPr>
              <w:pStyle w:val="TableText"/>
              <w:ind w:left="74"/>
              <w:spacing w:before="139" w:line="219" w:lineRule="auto"/>
              <w:rPr>
                <w:sz w:val="16"/>
                <w:szCs w:val="16"/>
              </w:rPr>
            </w:pPr>
            <w:r>
              <w:rPr>
                <w:sz w:val="16"/>
                <w:szCs w:val="16"/>
                <w:spacing w:val="1"/>
              </w:rPr>
              <w:t>自独称题落，省规有树充息部门</w:t>
            </w:r>
          </w:p>
        </w:tc>
        <w:tc>
          <w:tcPr>
            <w:tcW w:w="3711" w:type="dxa"/>
            <w:vAlign w:val="top"/>
          </w:tcPr>
          <w:p>
            <w:pPr>
              <w:pStyle w:val="TableText"/>
              <w:ind w:left="67"/>
              <w:spacing w:before="140" w:line="220" w:lineRule="auto"/>
              <w:rPr>
                <w:sz w:val="16"/>
                <w:szCs w:val="16"/>
              </w:rPr>
            </w:pPr>
            <w:r>
              <w:rPr>
                <w:sz w:val="16"/>
                <w:szCs w:val="16"/>
                <w:spacing w:val="-1"/>
              </w:rPr>
              <w:t>T中华人民其和门清费表</w:t>
            </w:r>
          </w:p>
        </w:tc>
      </w:tr>
      <w:tr>
        <w:trPr>
          <w:trHeight w:val="649" w:hRule="atLeast"/>
        </w:trPr>
        <w:tc>
          <w:tcPr>
            <w:tcW w:w="574" w:type="dxa"/>
            <w:vAlign w:val="top"/>
          </w:tcPr>
          <w:p>
            <w:pPr>
              <w:pStyle w:val="TableText"/>
              <w:ind w:left="154"/>
              <w:spacing w:before="289" w:line="184" w:lineRule="auto"/>
              <w:rPr>
                <w:sz w:val="16"/>
                <w:szCs w:val="16"/>
              </w:rPr>
            </w:pPr>
            <w:r>
              <w:rPr>
                <w:sz w:val="16"/>
                <w:szCs w:val="16"/>
                <w:spacing w:val="-5"/>
              </w:rPr>
              <w:t>166</w:t>
            </w:r>
          </w:p>
        </w:tc>
        <w:tc>
          <w:tcPr>
            <w:tcW w:w="1299" w:type="dxa"/>
            <w:vAlign w:val="top"/>
          </w:tcPr>
          <w:p>
            <w:pPr>
              <w:pStyle w:val="TableText"/>
              <w:ind w:left="241"/>
              <w:spacing w:before="249" w:line="219" w:lineRule="auto"/>
              <w:rPr>
                <w:sz w:val="16"/>
                <w:szCs w:val="16"/>
              </w:rPr>
            </w:pPr>
            <w:r>
              <w:rPr>
                <w:sz w:val="16"/>
                <w:szCs w:val="16"/>
                <w:spacing w:val="1"/>
              </w:rPr>
              <w:t>自然资源部</w:t>
            </w:r>
          </w:p>
        </w:tc>
        <w:tc>
          <w:tcPr>
            <w:tcW w:w="1638" w:type="dxa"/>
            <w:vAlign w:val="top"/>
          </w:tcPr>
          <w:p>
            <w:pPr>
              <w:pStyle w:val="TableText"/>
              <w:ind w:left="92" w:right="89"/>
              <w:spacing w:before="69" w:line="219" w:lineRule="auto"/>
              <w:jc w:val="both"/>
              <w:rPr>
                <w:sz w:val="16"/>
                <w:szCs w:val="16"/>
              </w:rPr>
            </w:pPr>
            <w:r>
              <w:rPr>
                <w:sz w:val="16"/>
                <w:szCs w:val="16"/>
                <w:spacing w:val="-1"/>
              </w:rPr>
              <w:t>法人重者其信组织的</w:t>
            </w:r>
            <w:r>
              <w:rPr>
                <w:sz w:val="16"/>
                <w:szCs w:val="16"/>
                <w:spacing w:val="1"/>
              </w:rPr>
              <w:t xml:space="preserve"> </w:t>
            </w:r>
            <w:r>
              <w:rPr>
                <w:sz w:val="16"/>
                <w:szCs w:val="16"/>
                <w:spacing w:val="-1"/>
              </w:rPr>
              <w:t>夏利川属于泪家毯击</w:t>
            </w:r>
            <w:r>
              <w:rPr>
                <w:sz w:val="16"/>
                <w:szCs w:val="16"/>
                <w:spacing w:val="1"/>
              </w:rPr>
              <w:t xml:space="preserve"> </w:t>
            </w:r>
            <w:r>
              <w:rPr>
                <w:sz w:val="16"/>
                <w:szCs w:val="16"/>
              </w:rPr>
              <w:t>的基题范经喂果审批</w:t>
            </w:r>
          </w:p>
        </w:tc>
        <w:tc>
          <w:tcPr>
            <w:tcW w:w="2377" w:type="dxa"/>
            <w:vAlign w:val="top"/>
          </w:tcPr>
          <w:p>
            <w:pPr>
              <w:pStyle w:val="TableText"/>
              <w:ind w:left="74"/>
              <w:spacing w:before="139" w:line="237" w:lineRule="auto"/>
              <w:rPr>
                <w:sz w:val="16"/>
                <w:szCs w:val="16"/>
              </w:rPr>
            </w:pPr>
            <w:r>
              <w:rPr>
                <w:sz w:val="16"/>
                <w:szCs w:val="16"/>
                <w:spacing w:val="-8"/>
              </w:rPr>
              <w:t>自些资源部；首观，设成的值果，</w:t>
            </w:r>
            <w:r>
              <w:rPr>
                <w:sz w:val="16"/>
                <w:szCs w:val="16"/>
                <w:spacing w:val="11"/>
              </w:rPr>
              <w:t xml:space="preserve"> </w:t>
            </w:r>
            <w:r>
              <w:rPr>
                <w:sz w:val="16"/>
                <w:szCs w:val="16"/>
                <w:spacing w:val="-3"/>
              </w:rPr>
              <w:t>从级A落资范园门</w:t>
            </w:r>
          </w:p>
        </w:tc>
        <w:tc>
          <w:tcPr>
            <w:tcW w:w="3711" w:type="dxa"/>
            <w:vAlign w:val="top"/>
          </w:tcPr>
          <w:p>
            <w:pPr>
              <w:pStyle w:val="TableText"/>
              <w:ind w:left="67"/>
              <w:spacing w:before="49" w:line="219" w:lineRule="auto"/>
              <w:rPr>
                <w:sz w:val="16"/>
                <w:szCs w:val="16"/>
              </w:rPr>
            </w:pPr>
            <w:r>
              <w:rPr>
                <w:sz w:val="16"/>
                <w:szCs w:val="16"/>
                <w:spacing w:val="-1"/>
              </w:rPr>
              <w:t>F中华人民共和国需登成望行异条别》</w:t>
            </w:r>
          </w:p>
          <w:p>
            <w:pPr>
              <w:pStyle w:val="TableText"/>
              <w:ind w:left="108" w:right="238" w:hanging="108"/>
              <w:spacing w:before="1" w:line="230" w:lineRule="auto"/>
              <w:rPr>
                <w:sz w:val="16"/>
                <w:szCs w:val="16"/>
              </w:rPr>
            </w:pPr>
            <w:r>
              <w:rPr>
                <w:sz w:val="16"/>
                <w:szCs w:val="16"/>
                <w:spacing w:val="-3"/>
              </w:rPr>
              <w:t>《基硅副论成果提供使用受理暂行办法取国德法字</w:t>
            </w:r>
            <w:r>
              <w:rPr>
                <w:sz w:val="16"/>
                <w:szCs w:val="16"/>
                <w:spacing w:val="7"/>
              </w:rPr>
              <w:t xml:space="preserve"> </w:t>
            </w:r>
            <w:r>
              <w:rPr>
                <w:sz w:val="16"/>
                <w:szCs w:val="16"/>
                <w:spacing w:val="-12"/>
              </w:rPr>
              <w:t>(</w:t>
            </w:r>
            <w:r>
              <w:rPr>
                <w:sz w:val="16"/>
                <w:szCs w:val="16"/>
                <w:spacing w:val="-22"/>
              </w:rPr>
              <w:t xml:space="preserve"> </w:t>
            </w:r>
            <w:r>
              <w:rPr>
                <w:sz w:val="16"/>
                <w:szCs w:val="16"/>
                <w:spacing w:val="-12"/>
              </w:rPr>
              <w:t>2</w:t>
            </w:r>
            <w:r>
              <w:rPr>
                <w:sz w:val="16"/>
                <w:szCs w:val="16"/>
                <w:spacing w:val="-26"/>
              </w:rPr>
              <w:t xml:space="preserve"> </w:t>
            </w:r>
            <w:r>
              <w:rPr>
                <w:sz w:val="16"/>
                <w:szCs w:val="16"/>
                <w:spacing w:val="-12"/>
              </w:rPr>
              <w:t>0</w:t>
            </w:r>
            <w:r>
              <w:rPr>
                <w:sz w:val="16"/>
                <w:szCs w:val="16"/>
                <w:spacing w:val="-26"/>
              </w:rPr>
              <w:t xml:space="preserve"> </w:t>
            </w:r>
            <w:r>
              <w:rPr>
                <w:sz w:val="16"/>
                <w:szCs w:val="16"/>
                <w:spacing w:val="-12"/>
              </w:rPr>
              <w:t>0</w:t>
            </w:r>
            <w:r>
              <w:rPr>
                <w:sz w:val="16"/>
                <w:szCs w:val="16"/>
                <w:spacing w:val="-25"/>
              </w:rPr>
              <w:t xml:space="preserve"> </w:t>
            </w:r>
            <w:r>
              <w:rPr>
                <w:sz w:val="16"/>
                <w:szCs w:val="16"/>
                <w:spacing w:val="-12"/>
              </w:rPr>
              <w:t>6</w:t>
            </w:r>
            <w:r>
              <w:rPr>
                <w:sz w:val="16"/>
                <w:szCs w:val="16"/>
                <w:spacing w:val="-24"/>
              </w:rPr>
              <w:t xml:space="preserve"> </w:t>
            </w:r>
            <w:r>
              <w:rPr>
                <w:sz w:val="16"/>
                <w:szCs w:val="16"/>
                <w:spacing w:val="-12"/>
              </w:rPr>
              <w:t>3</w:t>
            </w:r>
            <w:r>
              <w:rPr>
                <w:sz w:val="16"/>
                <w:szCs w:val="16"/>
                <w:spacing w:val="-24"/>
              </w:rPr>
              <w:t xml:space="preserve"> </w:t>
            </w:r>
            <w:r>
              <w:rPr>
                <w:sz w:val="16"/>
                <w:szCs w:val="16"/>
                <w:spacing w:val="-12"/>
              </w:rPr>
              <w:t>号</w:t>
            </w:r>
          </w:p>
        </w:tc>
      </w:tr>
      <w:tr>
        <w:trPr>
          <w:trHeight w:val="439" w:hRule="atLeast"/>
        </w:trPr>
        <w:tc>
          <w:tcPr>
            <w:tcW w:w="574" w:type="dxa"/>
            <w:vAlign w:val="top"/>
          </w:tcPr>
          <w:p>
            <w:pPr>
              <w:pStyle w:val="TableText"/>
              <w:ind w:left="154"/>
              <w:spacing w:before="180" w:line="184" w:lineRule="auto"/>
              <w:rPr>
                <w:sz w:val="16"/>
                <w:szCs w:val="16"/>
              </w:rPr>
            </w:pPr>
            <w:r>
              <w:rPr>
                <w:sz w:val="16"/>
                <w:szCs w:val="16"/>
                <w:spacing w:val="-5"/>
              </w:rPr>
              <w:t>167</w:t>
            </w:r>
          </w:p>
        </w:tc>
        <w:tc>
          <w:tcPr>
            <w:tcW w:w="1299" w:type="dxa"/>
            <w:vAlign w:val="top"/>
          </w:tcPr>
          <w:p>
            <w:pPr>
              <w:pStyle w:val="TableText"/>
              <w:ind w:left="241"/>
              <w:spacing w:before="140" w:line="219" w:lineRule="auto"/>
              <w:rPr>
                <w:sz w:val="16"/>
                <w:szCs w:val="16"/>
              </w:rPr>
            </w:pPr>
            <w:r>
              <w:rPr>
                <w:sz w:val="16"/>
                <w:szCs w:val="16"/>
                <w:spacing w:val="1"/>
              </w:rPr>
              <w:t>白教查裂部</w:t>
            </w:r>
          </w:p>
        </w:tc>
        <w:tc>
          <w:tcPr>
            <w:tcW w:w="1638" w:type="dxa"/>
            <w:vAlign w:val="top"/>
          </w:tcPr>
          <w:p>
            <w:pPr>
              <w:pStyle w:val="TableText"/>
              <w:ind w:left="72" w:right="101" w:firstLine="20"/>
              <w:spacing w:before="49" w:line="219" w:lineRule="auto"/>
              <w:rPr>
                <w:sz w:val="16"/>
                <w:szCs w:val="16"/>
              </w:rPr>
            </w:pPr>
            <w:r>
              <w:rPr>
                <w:sz w:val="16"/>
                <w:szCs w:val="16"/>
                <w:spacing w:val="-1"/>
              </w:rPr>
              <w:t>对外器旗国干国家程</w:t>
            </w:r>
            <w:r>
              <w:rPr>
                <w:sz w:val="16"/>
                <w:szCs w:val="16"/>
                <w:spacing w:val="2"/>
              </w:rPr>
              <w:t xml:space="preserve"> </w:t>
            </w:r>
            <w:r>
              <w:rPr>
                <w:sz w:val="16"/>
                <w:szCs w:val="16"/>
                <w:spacing w:val="-1"/>
              </w:rPr>
              <w:t>席的测的应果市批</w:t>
            </w:r>
          </w:p>
        </w:tc>
        <w:tc>
          <w:tcPr>
            <w:tcW w:w="2377" w:type="dxa"/>
            <w:vAlign w:val="top"/>
          </w:tcPr>
          <w:p>
            <w:pPr>
              <w:pStyle w:val="TableText"/>
              <w:ind w:left="74"/>
              <w:spacing w:before="139" w:line="218" w:lineRule="auto"/>
              <w:rPr>
                <w:sz w:val="16"/>
                <w:szCs w:val="16"/>
              </w:rPr>
            </w:pPr>
            <w:r>
              <w:rPr>
                <w:sz w:val="16"/>
                <w:szCs w:val="16"/>
                <w:spacing w:val="1"/>
              </w:rPr>
              <w:t>日核价称据，省议日卷就益部门</w:t>
            </w:r>
          </w:p>
        </w:tc>
        <w:tc>
          <w:tcPr>
            <w:tcW w:w="3711" w:type="dxa"/>
            <w:vAlign w:val="top"/>
          </w:tcPr>
          <w:p>
            <w:pPr>
              <w:pStyle w:val="TableText"/>
              <w:ind w:left="67"/>
              <w:spacing w:before="60" w:line="219" w:lineRule="auto"/>
              <w:rPr>
                <w:sz w:val="16"/>
                <w:szCs w:val="16"/>
              </w:rPr>
            </w:pPr>
            <w:r>
              <w:rPr>
                <w:sz w:val="16"/>
                <w:szCs w:val="16"/>
              </w:rPr>
              <w:t>[中华人民共和国蒿验职</w:t>
            </w:r>
          </w:p>
          <w:p>
            <w:pPr>
              <w:pStyle w:val="TableText"/>
              <w:spacing w:line="206" w:lineRule="auto"/>
              <w:rPr>
                <w:sz w:val="16"/>
                <w:szCs w:val="16"/>
              </w:rPr>
            </w:pPr>
            <w:r>
              <w:rPr>
                <w:sz w:val="16"/>
                <w:szCs w:val="16"/>
                <w:spacing w:val="3"/>
              </w:rPr>
              <w:t>【中作人民共和国测验建果份理条创》</w:t>
            </w:r>
          </w:p>
        </w:tc>
      </w:tr>
      <w:tr>
        <w:trPr>
          <w:trHeight w:val="659" w:hRule="atLeast"/>
        </w:trPr>
        <w:tc>
          <w:tcPr>
            <w:tcW w:w="574" w:type="dxa"/>
            <w:vAlign w:val="top"/>
          </w:tcPr>
          <w:p>
            <w:pPr>
              <w:pStyle w:val="TableText"/>
              <w:ind w:left="154"/>
              <w:spacing w:before="254" w:line="222" w:lineRule="auto"/>
              <w:rPr>
                <w:sz w:val="16"/>
                <w:szCs w:val="16"/>
              </w:rPr>
            </w:pPr>
            <w:r>
              <w:rPr>
                <w:sz w:val="16"/>
                <w:szCs w:val="16"/>
                <w:spacing w:val="-2"/>
              </w:rPr>
              <w:t>)hn</w:t>
            </w:r>
          </w:p>
        </w:tc>
        <w:tc>
          <w:tcPr>
            <w:tcW w:w="1299" w:type="dxa"/>
            <w:vAlign w:val="top"/>
          </w:tcPr>
          <w:p>
            <w:pPr>
              <w:pStyle w:val="TableText"/>
              <w:ind w:left="241"/>
              <w:spacing w:before="251" w:line="219" w:lineRule="auto"/>
              <w:rPr>
                <w:sz w:val="16"/>
                <w:szCs w:val="16"/>
              </w:rPr>
            </w:pPr>
            <w:r>
              <w:rPr>
                <w:sz w:val="16"/>
                <w:szCs w:val="16"/>
                <w:spacing w:val="-2"/>
              </w:rPr>
              <w:t>有然餐登部</w:t>
            </w:r>
          </w:p>
        </w:tc>
        <w:tc>
          <w:tcPr>
            <w:tcW w:w="1638" w:type="dxa"/>
            <w:vAlign w:val="top"/>
          </w:tcPr>
          <w:p>
            <w:pPr>
              <w:pStyle w:val="TableText"/>
              <w:ind w:left="92"/>
              <w:spacing w:before="71" w:line="219" w:lineRule="auto"/>
              <w:rPr>
                <w:sz w:val="16"/>
                <w:szCs w:val="16"/>
              </w:rPr>
            </w:pPr>
            <w:r>
              <w:rPr>
                <w:sz w:val="16"/>
                <w:szCs w:val="16"/>
                <w:spacing w:val="-1"/>
              </w:rPr>
              <w:t>外国的血织成者个人</w:t>
            </w:r>
          </w:p>
          <w:p>
            <w:pPr>
              <w:pStyle w:val="TableText"/>
              <w:ind w:left="11" w:right="82" w:firstLine="80"/>
              <w:spacing w:before="1" w:line="223" w:lineRule="auto"/>
              <w:rPr>
                <w:sz w:val="16"/>
                <w:szCs w:val="16"/>
              </w:rPr>
            </w:pPr>
            <w:r>
              <w:rPr>
                <w:sz w:val="16"/>
                <w:szCs w:val="16"/>
                <w:spacing w:val="1"/>
              </w:rPr>
              <w:t>率平从事稠性借动审</w:t>
            </w:r>
            <w:r>
              <w:rPr>
                <w:sz w:val="16"/>
                <w:szCs w:val="16"/>
                <w:spacing w:val="3"/>
              </w:rPr>
              <w:t xml:space="preserve"> </w:t>
            </w:r>
            <w:r>
              <w:rPr>
                <w:sz w:val="16"/>
                <w:szCs w:val="16"/>
              </w:rPr>
              <w:t>型</w:t>
            </w:r>
          </w:p>
        </w:tc>
        <w:tc>
          <w:tcPr>
            <w:tcW w:w="2377" w:type="dxa"/>
            <w:vAlign w:val="top"/>
          </w:tcPr>
          <w:p>
            <w:pPr>
              <w:pStyle w:val="TableText"/>
              <w:ind w:left="74"/>
              <w:spacing w:before="250" w:line="219" w:lineRule="auto"/>
              <w:rPr>
                <w:sz w:val="16"/>
                <w:szCs w:val="16"/>
              </w:rPr>
            </w:pPr>
            <w:r>
              <w:rPr>
                <w:sz w:val="16"/>
                <w:szCs w:val="16"/>
                <w:spacing w:val="1"/>
              </w:rPr>
              <w:t>自然量源称全同军队测经而门</w:t>
            </w:r>
          </w:p>
        </w:tc>
        <w:tc>
          <w:tcPr>
            <w:tcW w:w="3711" w:type="dxa"/>
            <w:vAlign w:val="top"/>
          </w:tcPr>
          <w:p>
            <w:pPr>
              <w:pStyle w:val="TableText"/>
              <w:spacing w:before="151" w:line="219" w:lineRule="auto"/>
              <w:rPr>
                <w:sz w:val="16"/>
                <w:szCs w:val="16"/>
              </w:rPr>
            </w:pPr>
            <w:r>
              <w:rPr>
                <w:sz w:val="16"/>
                <w:szCs w:val="16"/>
                <w:spacing w:val="-3"/>
              </w:rPr>
              <w:t>《中华人民共和国副的器</w:t>
            </w:r>
          </w:p>
          <w:p>
            <w:pPr>
              <w:pStyle w:val="TableText"/>
              <w:ind w:left="67"/>
              <w:spacing w:before="39" w:line="219" w:lineRule="auto"/>
              <w:rPr>
                <w:sz w:val="16"/>
                <w:szCs w:val="16"/>
              </w:rPr>
            </w:pPr>
            <w:r>
              <w:rPr>
                <w:sz w:val="16"/>
                <w:szCs w:val="16"/>
              </w:rPr>
              <w:t>(外国的生积或者个人来字科经管理皆行办法</w:t>
            </w:r>
          </w:p>
        </w:tc>
      </w:tr>
      <w:tr>
        <w:trPr>
          <w:trHeight w:val="429" w:hRule="atLeast"/>
        </w:trPr>
        <w:tc>
          <w:tcPr>
            <w:tcW w:w="574" w:type="dxa"/>
            <w:vAlign w:val="top"/>
          </w:tcPr>
          <w:p>
            <w:pPr>
              <w:pStyle w:val="TableText"/>
              <w:ind w:left="154"/>
              <w:spacing w:before="183" w:line="184" w:lineRule="auto"/>
              <w:rPr>
                <w:sz w:val="16"/>
                <w:szCs w:val="16"/>
              </w:rPr>
            </w:pPr>
            <w:r>
              <w:rPr>
                <w:sz w:val="16"/>
                <w:szCs w:val="16"/>
                <w:spacing w:val="-5"/>
              </w:rPr>
              <w:t>159</w:t>
            </w:r>
          </w:p>
        </w:tc>
        <w:tc>
          <w:tcPr>
            <w:tcW w:w="1299" w:type="dxa"/>
            <w:vAlign w:val="top"/>
          </w:tcPr>
          <w:p>
            <w:pPr>
              <w:pStyle w:val="TableText"/>
              <w:ind w:left="241"/>
              <w:spacing w:before="142" w:line="219" w:lineRule="auto"/>
              <w:rPr>
                <w:sz w:val="16"/>
                <w:szCs w:val="16"/>
              </w:rPr>
            </w:pPr>
            <w:r>
              <w:rPr>
                <w:sz w:val="16"/>
                <w:szCs w:val="16"/>
                <w:spacing w:val="1"/>
              </w:rPr>
              <w:t>白然资凝荒</w:t>
            </w:r>
          </w:p>
        </w:tc>
        <w:tc>
          <w:tcPr>
            <w:tcW w:w="1638" w:type="dxa"/>
            <w:vAlign w:val="top"/>
          </w:tcPr>
          <w:p>
            <w:pPr>
              <w:pStyle w:val="TableText"/>
              <w:ind w:left="62" w:right="102" w:firstLine="30"/>
              <w:spacing w:before="51" w:line="212" w:lineRule="auto"/>
              <w:rPr>
                <w:sz w:val="16"/>
                <w:szCs w:val="16"/>
              </w:rPr>
            </w:pPr>
            <w:r>
              <w:rPr>
                <w:sz w:val="16"/>
                <w:szCs w:val="16"/>
                <w:spacing w:val="-1"/>
              </w:rPr>
              <w:t>被立和对整文的平面</w:t>
            </w:r>
            <w:r>
              <w:rPr>
                <w:sz w:val="16"/>
                <w:szCs w:val="16"/>
                <w:spacing w:val="1"/>
              </w:rPr>
              <w:t xml:space="preserve"> </w:t>
            </w:r>
            <w:r>
              <w:rPr>
                <w:sz w:val="16"/>
                <w:szCs w:val="16"/>
                <w:spacing w:val="-1"/>
              </w:rPr>
              <w:t>坐称系统中批</w:t>
            </w:r>
          </w:p>
        </w:tc>
        <w:tc>
          <w:tcPr>
            <w:tcW w:w="2377" w:type="dxa"/>
            <w:vAlign w:val="top"/>
          </w:tcPr>
          <w:p>
            <w:pPr>
              <w:pStyle w:val="TableText"/>
              <w:ind w:left="74"/>
              <w:spacing w:before="142" w:line="219" w:lineRule="auto"/>
              <w:rPr>
                <w:sz w:val="16"/>
                <w:szCs w:val="16"/>
              </w:rPr>
            </w:pPr>
            <w:r>
              <w:rPr>
                <w:sz w:val="16"/>
                <w:szCs w:val="16"/>
                <w:spacing w:val="1"/>
              </w:rPr>
              <w:t>自被所项加；置级有薄壳源意门</w:t>
            </w:r>
          </w:p>
        </w:tc>
        <w:tc>
          <w:tcPr>
            <w:tcW w:w="3711" w:type="dxa"/>
            <w:vAlign w:val="top"/>
          </w:tcPr>
          <w:p>
            <w:pPr>
              <w:pStyle w:val="TableText"/>
              <w:ind w:left="67"/>
              <w:spacing w:before="142" w:line="219" w:lineRule="auto"/>
              <w:rPr>
                <w:sz w:val="16"/>
                <w:szCs w:val="16"/>
              </w:rPr>
            </w:pPr>
            <w:r>
              <w:rPr>
                <w:sz w:val="16"/>
                <w:szCs w:val="16"/>
              </w:rPr>
              <w:t>1中华人民其和据萄偿法</w:t>
            </w:r>
          </w:p>
        </w:tc>
      </w:tr>
      <w:tr>
        <w:trPr>
          <w:trHeight w:val="659" w:hRule="atLeast"/>
        </w:trPr>
        <w:tc>
          <w:tcPr>
            <w:tcW w:w="574" w:type="dxa"/>
            <w:vAlign w:val="top"/>
          </w:tcPr>
          <w:p>
            <w:pPr>
              <w:rPr>
                <w:rFonts w:ascii="Arial"/>
                <w:sz w:val="21"/>
              </w:rPr>
            </w:pPr>
            <w:r/>
          </w:p>
          <w:p>
            <w:pPr>
              <w:pStyle w:val="TableText"/>
              <w:ind w:left="154"/>
              <w:spacing w:before="52" w:line="184" w:lineRule="auto"/>
              <w:rPr>
                <w:sz w:val="16"/>
                <w:szCs w:val="16"/>
              </w:rPr>
            </w:pPr>
            <w:r>
              <w:rPr>
                <w:sz w:val="16"/>
                <w:szCs w:val="16"/>
                <w:spacing w:val="-5"/>
              </w:rPr>
              <w:t>17u</w:t>
            </w:r>
          </w:p>
        </w:tc>
        <w:tc>
          <w:tcPr>
            <w:tcW w:w="1299" w:type="dxa"/>
            <w:vAlign w:val="top"/>
          </w:tcPr>
          <w:p>
            <w:pPr>
              <w:pStyle w:val="TableText"/>
              <w:ind w:left="241"/>
              <w:spacing w:before="253" w:line="219" w:lineRule="auto"/>
              <w:rPr>
                <w:sz w:val="16"/>
                <w:szCs w:val="16"/>
              </w:rPr>
            </w:pPr>
            <w:r>
              <w:rPr>
                <w:sz w:val="16"/>
                <w:szCs w:val="16"/>
                <w:spacing w:val="-1"/>
              </w:rPr>
              <w:t>在然凭葬部</w:t>
            </w:r>
          </w:p>
        </w:tc>
        <w:tc>
          <w:tcPr>
            <w:tcW w:w="1638" w:type="dxa"/>
            <w:vAlign w:val="top"/>
          </w:tcPr>
          <w:p>
            <w:pPr>
              <w:pStyle w:val="TableText"/>
              <w:ind w:left="42" w:right="103" w:firstLine="50"/>
              <w:spacing w:before="74" w:line="221" w:lineRule="auto"/>
              <w:jc w:val="both"/>
              <w:rPr>
                <w:sz w:val="16"/>
                <w:szCs w:val="16"/>
              </w:rPr>
            </w:pPr>
            <w:r>
              <w:rPr>
                <w:sz w:val="16"/>
                <w:szCs w:val="16"/>
                <w:spacing w:val="-1"/>
              </w:rPr>
              <w:t>香量永久性制重尔志</w:t>
            </w:r>
            <w:r>
              <w:rPr>
                <w:sz w:val="16"/>
                <w:szCs w:val="16"/>
              </w:rPr>
              <w:t xml:space="preserve"> </w:t>
            </w:r>
            <w:r>
              <w:rPr>
                <w:sz w:val="16"/>
                <w:szCs w:val="16"/>
                <w:spacing w:val="4"/>
              </w:rPr>
              <w:t>成者侵水久性陶量标</w:t>
            </w:r>
            <w:r>
              <w:rPr>
                <w:sz w:val="16"/>
                <w:szCs w:val="16"/>
                <w:spacing w:val="5"/>
              </w:rPr>
              <w:t xml:space="preserve"> </w:t>
            </w:r>
            <w:r>
              <w:rPr>
                <w:sz w:val="16"/>
                <w:szCs w:val="16"/>
                <w:spacing w:val="-1"/>
              </w:rPr>
              <w:t>奉先在效量中老</w:t>
            </w:r>
          </w:p>
        </w:tc>
        <w:tc>
          <w:tcPr>
            <w:tcW w:w="2377" w:type="dxa"/>
            <w:vAlign w:val="top"/>
          </w:tcPr>
          <w:p>
            <w:pPr>
              <w:pStyle w:val="TableText"/>
              <w:ind w:left="74"/>
              <w:spacing w:before="253" w:line="219" w:lineRule="auto"/>
              <w:rPr>
                <w:sz w:val="16"/>
                <w:szCs w:val="16"/>
              </w:rPr>
            </w:pPr>
            <w:r>
              <w:rPr>
                <w:sz w:val="16"/>
                <w:szCs w:val="16"/>
                <w:spacing w:val="2"/>
              </w:rPr>
              <w:t>着据自然资漂部门</w:t>
            </w:r>
          </w:p>
        </w:tc>
        <w:tc>
          <w:tcPr>
            <w:tcW w:w="3711" w:type="dxa"/>
            <w:vAlign w:val="top"/>
          </w:tcPr>
          <w:p>
            <w:pPr>
              <w:pStyle w:val="TableText"/>
              <w:ind w:left="67"/>
              <w:spacing w:before="253" w:line="219" w:lineRule="auto"/>
              <w:rPr>
                <w:sz w:val="16"/>
                <w:szCs w:val="16"/>
              </w:rPr>
            </w:pPr>
            <w:r>
              <w:rPr>
                <w:sz w:val="16"/>
                <w:szCs w:val="16"/>
              </w:rPr>
              <w:t>1中华人民共和国测经法</w:t>
            </w:r>
          </w:p>
        </w:tc>
      </w:tr>
      <w:tr>
        <w:trPr>
          <w:trHeight w:val="849" w:hRule="atLeast"/>
        </w:trPr>
        <w:tc>
          <w:tcPr>
            <w:tcW w:w="574" w:type="dxa"/>
            <w:vAlign w:val="top"/>
          </w:tcPr>
          <w:p>
            <w:pPr>
              <w:spacing w:line="340" w:lineRule="auto"/>
              <w:rPr>
                <w:rFonts w:ascii="Arial"/>
                <w:sz w:val="21"/>
              </w:rPr>
            </w:pPr>
            <w:r/>
          </w:p>
          <w:p>
            <w:pPr>
              <w:pStyle w:val="TableText"/>
              <w:ind w:left="194"/>
              <w:spacing w:before="52" w:line="184" w:lineRule="auto"/>
              <w:rPr>
                <w:sz w:val="16"/>
                <w:szCs w:val="16"/>
              </w:rPr>
            </w:pPr>
            <w:r>
              <w:rPr>
                <w:sz w:val="16"/>
                <w:szCs w:val="16"/>
                <w:spacing w:val="-5"/>
              </w:rPr>
              <w:t>1n</w:t>
            </w:r>
          </w:p>
        </w:tc>
        <w:tc>
          <w:tcPr>
            <w:tcW w:w="1299" w:type="dxa"/>
            <w:vAlign w:val="top"/>
          </w:tcPr>
          <w:p>
            <w:pPr>
              <w:spacing w:line="300" w:lineRule="auto"/>
              <w:rPr>
                <w:rFonts w:ascii="Arial"/>
                <w:sz w:val="21"/>
              </w:rPr>
            </w:pPr>
            <w:r/>
          </w:p>
          <w:p>
            <w:pPr>
              <w:pStyle w:val="TableText"/>
              <w:ind w:left="241"/>
              <w:spacing w:before="52" w:line="219" w:lineRule="auto"/>
              <w:rPr>
                <w:sz w:val="16"/>
                <w:szCs w:val="16"/>
              </w:rPr>
            </w:pPr>
            <w:r>
              <w:rPr>
                <w:sz w:val="16"/>
                <w:szCs w:val="16"/>
                <w:spacing w:val="1"/>
              </w:rPr>
              <w:t>自热资毒部</w:t>
            </w:r>
          </w:p>
        </w:tc>
        <w:tc>
          <w:tcPr>
            <w:tcW w:w="1638" w:type="dxa"/>
            <w:vAlign w:val="top"/>
          </w:tcPr>
          <w:p>
            <w:pPr>
              <w:pStyle w:val="TableText"/>
              <w:ind w:left="52" w:right="102" w:firstLine="40"/>
              <w:spacing w:before="234" w:line="236" w:lineRule="auto"/>
              <w:rPr>
                <w:sz w:val="16"/>
                <w:szCs w:val="16"/>
              </w:rPr>
            </w:pPr>
            <w:r>
              <w:rPr>
                <w:sz w:val="16"/>
                <w:szCs w:val="16"/>
                <w:spacing w:val="-1"/>
              </w:rPr>
              <w:t>题设项百用地原审与</w:t>
            </w:r>
            <w:r>
              <w:rPr>
                <w:sz w:val="16"/>
                <w:szCs w:val="16"/>
                <w:spacing w:val="1"/>
              </w:rPr>
              <w:t xml:space="preserve"> </w:t>
            </w:r>
            <w:r>
              <w:rPr>
                <w:sz w:val="16"/>
                <w:szCs w:val="16"/>
                <w:spacing w:val="-1"/>
              </w:rPr>
              <w:t>选址重见书核发</w:t>
            </w:r>
          </w:p>
        </w:tc>
        <w:tc>
          <w:tcPr>
            <w:tcW w:w="2377" w:type="dxa"/>
            <w:vAlign w:val="top"/>
          </w:tcPr>
          <w:p>
            <w:pPr>
              <w:pStyle w:val="TableText"/>
              <w:ind w:left="74" w:right="74" w:hanging="30"/>
              <w:spacing w:before="234" w:line="242" w:lineRule="auto"/>
              <w:rPr>
                <w:sz w:val="16"/>
                <w:szCs w:val="16"/>
              </w:rPr>
            </w:pPr>
            <w:r>
              <w:rPr>
                <w:sz w:val="16"/>
                <w:szCs w:val="16"/>
              </w:rPr>
              <w:t>自然庭源条，有师、论以的市观</w:t>
            </w:r>
            <w:r>
              <w:rPr>
                <w:sz w:val="16"/>
                <w:szCs w:val="16"/>
                <w:spacing w:val="7"/>
              </w:rPr>
              <w:t xml:space="preserve"> </w:t>
            </w:r>
            <w:r>
              <w:rPr>
                <w:sz w:val="16"/>
                <w:szCs w:val="16"/>
                <w:spacing w:val="2"/>
              </w:rPr>
              <w:t>县慨有然贸源部门</w:t>
            </w:r>
          </w:p>
        </w:tc>
        <w:tc>
          <w:tcPr>
            <w:tcW w:w="3711" w:type="dxa"/>
            <w:vAlign w:val="top"/>
          </w:tcPr>
          <w:p>
            <w:pPr>
              <w:pStyle w:val="TableText"/>
              <w:ind w:left="67"/>
              <w:spacing w:before="64" w:line="231" w:lineRule="auto"/>
              <w:rPr>
                <w:sz w:val="16"/>
                <w:szCs w:val="16"/>
              </w:rPr>
            </w:pPr>
            <w:r>
              <w:rPr>
                <w:sz w:val="16"/>
                <w:szCs w:val="16"/>
                <w:spacing w:val="2"/>
              </w:rPr>
              <w:t>1中华人民其和国减务规划出)</w:t>
            </w:r>
          </w:p>
          <w:p>
            <w:pPr>
              <w:pStyle w:val="TableText"/>
              <w:ind w:left="67"/>
              <w:spacing w:line="219" w:lineRule="auto"/>
              <w:rPr>
                <w:sz w:val="16"/>
                <w:szCs w:val="16"/>
              </w:rPr>
            </w:pPr>
            <w:r>
              <w:rPr>
                <w:sz w:val="16"/>
                <w:szCs w:val="16"/>
                <w:spacing w:val="-1"/>
              </w:rPr>
              <w:t>1中作人民其和国上她管现法》</w:t>
            </w:r>
          </w:p>
          <w:p>
            <w:pPr>
              <w:pStyle w:val="TableText"/>
              <w:ind w:left="67"/>
              <w:spacing w:before="10" w:line="233" w:lineRule="auto"/>
              <w:rPr>
                <w:sz w:val="16"/>
                <w:szCs w:val="16"/>
              </w:rPr>
            </w:pPr>
            <w:r>
              <w:rPr>
                <w:sz w:val="16"/>
                <w:szCs w:val="16"/>
                <w:spacing w:val="1"/>
              </w:rPr>
              <w:t>1中华人民共和洲土地管理法实监蒸例)</w:t>
            </w:r>
          </w:p>
          <w:p>
            <w:pPr>
              <w:pStyle w:val="TableText"/>
              <w:ind w:left="67"/>
              <w:spacing w:line="198" w:lineRule="auto"/>
              <w:rPr>
                <w:sz w:val="16"/>
                <w:szCs w:val="16"/>
              </w:rPr>
            </w:pPr>
            <w:r>
              <w:rPr>
                <w:sz w:val="16"/>
                <w:szCs w:val="16"/>
                <w:spacing w:val="1"/>
              </w:rPr>
              <w:t>|建河项目用地预审登理办法1</w:t>
            </w:r>
          </w:p>
        </w:tc>
      </w:tr>
      <w:tr>
        <w:trPr>
          <w:trHeight w:val="459" w:hRule="atLeast"/>
        </w:trPr>
        <w:tc>
          <w:tcPr>
            <w:tcW w:w="574" w:type="dxa"/>
            <w:vAlign w:val="top"/>
          </w:tcPr>
          <w:p>
            <w:pPr>
              <w:pStyle w:val="TableText"/>
              <w:ind w:left="154"/>
              <w:spacing w:before="195" w:line="184" w:lineRule="auto"/>
              <w:rPr>
                <w:sz w:val="16"/>
                <w:szCs w:val="16"/>
              </w:rPr>
            </w:pPr>
            <w:r>
              <w:rPr>
                <w:sz w:val="16"/>
                <w:szCs w:val="16"/>
                <w:spacing w:val="-5"/>
              </w:rPr>
              <w:t>172</w:t>
            </w:r>
          </w:p>
        </w:tc>
        <w:tc>
          <w:tcPr>
            <w:tcW w:w="1299" w:type="dxa"/>
            <w:vAlign w:val="top"/>
          </w:tcPr>
          <w:p>
            <w:pPr>
              <w:pStyle w:val="TableText"/>
              <w:ind w:left="281"/>
              <w:spacing w:before="155" w:line="219" w:lineRule="auto"/>
              <w:rPr>
                <w:sz w:val="16"/>
                <w:szCs w:val="16"/>
              </w:rPr>
            </w:pPr>
            <w:r>
              <w:rPr>
                <w:sz w:val="16"/>
                <w:szCs w:val="16"/>
                <w:spacing w:val="-1"/>
              </w:rPr>
              <w:t>A枢资群额</w:t>
            </w:r>
          </w:p>
        </w:tc>
        <w:tc>
          <w:tcPr>
            <w:tcW w:w="1638" w:type="dxa"/>
            <w:vAlign w:val="top"/>
          </w:tcPr>
          <w:p>
            <w:pPr>
              <w:pStyle w:val="TableText"/>
              <w:ind w:left="72" w:right="102" w:firstLine="20"/>
              <w:spacing w:before="74" w:line="216" w:lineRule="auto"/>
              <w:rPr>
                <w:sz w:val="16"/>
                <w:szCs w:val="16"/>
              </w:rPr>
            </w:pPr>
            <w:r>
              <w:rPr>
                <w:sz w:val="16"/>
                <w:szCs w:val="16"/>
                <w:spacing w:val="-1"/>
              </w:rPr>
              <w:t>地质实答防抗单位资</w:t>
            </w:r>
            <w:r>
              <w:rPr>
                <w:sz w:val="16"/>
                <w:szCs w:val="16"/>
                <w:spacing w:val="1"/>
              </w:rPr>
              <w:t xml:space="preserve"> </w:t>
            </w:r>
            <w:r>
              <w:rPr>
                <w:sz w:val="16"/>
                <w:szCs w:val="16"/>
                <w:spacing w:val="-11"/>
              </w:rPr>
              <w:t>国</w:t>
            </w:r>
            <w:r>
              <w:rPr>
                <w:sz w:val="16"/>
                <w:szCs w:val="16"/>
                <w:spacing w:val="7"/>
              </w:rPr>
              <w:t xml:space="preserve">  </w:t>
            </w:r>
            <w:r>
              <w:rPr>
                <w:sz w:val="16"/>
                <w:szCs w:val="16"/>
                <w:spacing w:val="-11"/>
              </w:rPr>
              <w:t>我</w:t>
            </w:r>
          </w:p>
        </w:tc>
        <w:tc>
          <w:tcPr>
            <w:tcW w:w="2377" w:type="dxa"/>
            <w:vAlign w:val="top"/>
          </w:tcPr>
          <w:p>
            <w:pPr>
              <w:pStyle w:val="TableText"/>
              <w:ind w:left="74"/>
              <w:spacing w:before="155" w:line="219" w:lineRule="auto"/>
              <w:rPr>
                <w:sz w:val="16"/>
                <w:szCs w:val="16"/>
              </w:rPr>
            </w:pPr>
            <w:r>
              <w:rPr>
                <w:sz w:val="16"/>
                <w:szCs w:val="16"/>
                <w:spacing w:val="2"/>
              </w:rPr>
              <w:t>有碗育然贸要部门</w:t>
            </w:r>
          </w:p>
        </w:tc>
        <w:tc>
          <w:tcPr>
            <w:tcW w:w="3711" w:type="dxa"/>
            <w:vAlign w:val="top"/>
          </w:tcPr>
          <w:p>
            <w:pPr>
              <w:pStyle w:val="TableText"/>
              <w:ind w:left="67"/>
              <w:spacing w:before="55" w:line="219" w:lineRule="auto"/>
              <w:rPr>
                <w:sz w:val="16"/>
                <w:szCs w:val="16"/>
              </w:rPr>
            </w:pPr>
            <w:r>
              <w:rPr>
                <w:sz w:val="16"/>
                <w:szCs w:val="16"/>
                <w:spacing w:val="3"/>
              </w:rPr>
              <w:t>(地原式害防抗芳伤)</w:t>
            </w:r>
          </w:p>
          <w:p>
            <w:pPr>
              <w:pStyle w:val="TableText"/>
              <w:ind w:left="67"/>
              <w:spacing w:before="39" w:line="189" w:lineRule="auto"/>
              <w:rPr>
                <w:sz w:val="16"/>
                <w:szCs w:val="16"/>
              </w:rPr>
            </w:pPr>
            <w:r>
              <w:rPr>
                <w:sz w:val="16"/>
                <w:szCs w:val="16"/>
                <w:spacing w:val="1"/>
              </w:rPr>
              <w:t>T能建灾害防育单位资度管理办法1</w:t>
            </w:r>
          </w:p>
        </w:tc>
      </w:tr>
      <w:tr>
        <w:trPr>
          <w:trHeight w:val="684" w:hRule="atLeast"/>
        </w:trPr>
        <w:tc>
          <w:tcPr>
            <w:tcW w:w="574" w:type="dxa"/>
            <w:vAlign w:val="top"/>
          </w:tcPr>
          <w:p>
            <w:pPr>
              <w:spacing w:line="253" w:lineRule="auto"/>
              <w:rPr>
                <w:rFonts w:ascii="Arial"/>
                <w:sz w:val="21"/>
              </w:rPr>
            </w:pPr>
            <w:r/>
          </w:p>
          <w:p>
            <w:pPr>
              <w:pStyle w:val="TableText"/>
              <w:ind w:left="154"/>
              <w:spacing w:before="52" w:line="184" w:lineRule="auto"/>
              <w:rPr>
                <w:sz w:val="16"/>
                <w:szCs w:val="16"/>
              </w:rPr>
            </w:pPr>
            <w:r>
              <w:rPr>
                <w:sz w:val="16"/>
                <w:szCs w:val="16"/>
                <w:spacing w:val="-5"/>
              </w:rPr>
              <w:t>173</w:t>
            </w:r>
          </w:p>
        </w:tc>
        <w:tc>
          <w:tcPr>
            <w:tcW w:w="1299" w:type="dxa"/>
            <w:vAlign w:val="top"/>
          </w:tcPr>
          <w:p>
            <w:pPr>
              <w:pStyle w:val="TableText"/>
              <w:ind w:left="241"/>
              <w:spacing w:before="266" w:line="219" w:lineRule="auto"/>
              <w:rPr>
                <w:sz w:val="16"/>
                <w:szCs w:val="16"/>
              </w:rPr>
            </w:pPr>
            <w:r>
              <w:rPr>
                <w:sz w:val="16"/>
                <w:szCs w:val="16"/>
                <w:spacing w:val="1"/>
              </w:rPr>
              <w:t>自郑资薛部</w:t>
            </w:r>
          </w:p>
        </w:tc>
        <w:tc>
          <w:tcPr>
            <w:tcW w:w="1638" w:type="dxa"/>
            <w:vAlign w:val="top"/>
          </w:tcPr>
          <w:p>
            <w:pPr>
              <w:pStyle w:val="TableText"/>
              <w:ind w:left="52" w:right="104" w:firstLine="40"/>
              <w:spacing w:before="176" w:line="231" w:lineRule="auto"/>
              <w:rPr>
                <w:sz w:val="16"/>
                <w:szCs w:val="16"/>
              </w:rPr>
            </w:pPr>
            <w:r>
              <w:rPr>
                <w:sz w:val="16"/>
                <w:szCs w:val="16"/>
                <w:spacing w:val="-1"/>
              </w:rPr>
              <w:t>星设理目近福重要零</w:t>
            </w:r>
            <w:r>
              <w:rPr>
                <w:sz w:val="16"/>
                <w:szCs w:val="16"/>
              </w:rPr>
              <w:t xml:space="preserve"> </w:t>
            </w:r>
            <w:r>
              <w:rPr>
                <w:sz w:val="16"/>
                <w:szCs w:val="16"/>
                <w:spacing w:val="-2"/>
              </w:rPr>
              <w:t>床而乖</w:t>
            </w:r>
          </w:p>
        </w:tc>
        <w:tc>
          <w:tcPr>
            <w:tcW w:w="2377" w:type="dxa"/>
            <w:vAlign w:val="top"/>
          </w:tcPr>
          <w:p>
            <w:pPr>
              <w:pStyle w:val="TableText"/>
              <w:ind w:left="74"/>
              <w:spacing w:before="266" w:line="219" w:lineRule="auto"/>
              <w:rPr>
                <w:sz w:val="16"/>
                <w:szCs w:val="16"/>
              </w:rPr>
            </w:pPr>
            <w:r>
              <w:rPr>
                <w:sz w:val="16"/>
                <w:szCs w:val="16"/>
                <w:spacing w:val="1"/>
              </w:rPr>
              <w:t>有驾盘题部，若说有界冠草落门</w:t>
            </w:r>
          </w:p>
        </w:tc>
        <w:tc>
          <w:tcPr>
            <w:tcW w:w="3711" w:type="dxa"/>
            <w:vAlign w:val="top"/>
          </w:tcPr>
          <w:p>
            <w:pPr>
              <w:pStyle w:val="TableText"/>
              <w:ind w:left="67"/>
              <w:spacing w:before="86" w:line="208" w:lineRule="auto"/>
              <w:rPr>
                <w:sz w:val="16"/>
                <w:szCs w:val="16"/>
              </w:rPr>
            </w:pPr>
            <w:r>
              <w:rPr>
                <w:sz w:val="16"/>
                <w:szCs w:val="16"/>
                <w:spacing w:val="-1"/>
              </w:rPr>
              <w:t>t中非人民共机国矿产资置法</w:t>
            </w:r>
          </w:p>
          <w:p>
            <w:pPr>
              <w:pStyle w:val="TableText"/>
              <w:ind w:left="67" w:right="43" w:firstLine="60"/>
              <w:spacing w:line="235" w:lineRule="auto"/>
              <w:rPr>
                <w:sz w:val="16"/>
                <w:szCs w:val="16"/>
              </w:rPr>
            </w:pPr>
            <w:r>
              <w:rPr>
                <w:sz w:val="16"/>
                <w:szCs w:val="16"/>
              </w:rPr>
              <w:t>国土资源都关于进一步做所理设项包压概重要可产</w:t>
            </w:r>
            <w:r>
              <w:rPr>
                <w:sz w:val="16"/>
                <w:szCs w:val="16"/>
                <w:spacing w:val="9"/>
              </w:rPr>
              <w:t xml:space="preserve"> </w:t>
            </w:r>
            <w:r>
              <w:rPr>
                <w:sz w:val="16"/>
                <w:szCs w:val="16"/>
              </w:rPr>
              <w:t>斯塑审批管型工件的通知水国土资发(20105137号1</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39488" behindDoc="0" locked="0" layoutInCell="0" allowOverlap="1">
                <wp:simplePos x="0" y="0"/>
                <wp:positionH relativeFrom="page">
                  <wp:posOffset>458917</wp:posOffset>
                </wp:positionH>
                <wp:positionV relativeFrom="page">
                  <wp:posOffset>620987</wp:posOffset>
                </wp:positionV>
                <wp:extent cx="175260" cy="165100"/>
                <wp:effectExtent l="0" t="0" r="0" b="0"/>
                <wp:wrapNone/>
                <wp:docPr id="198" name="TextBox 198"/>
                <wp:cNvGraphicFramePr/>
                <a:graphic>
                  <a:graphicData uri="http://schemas.microsoft.com/office/word/2010/wordprocessingShape">
                    <wps:wsp>
                      <wps:cNvSpPr txBox="1"/>
                      <wps:spPr>
                        <a:xfrm rot="5400000">
                          <a:off x="458917" y="620987"/>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0" style="position:absolute;margin-left:36.1352pt;margin-top:48.8967pt;mso-position-vertical-relative:page;mso-position-horizontal-relative:page;width:13.8pt;height:13pt;z-index:25183948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180</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7"/>
              <w:spacing w:before="130" w:line="221" w:lineRule="auto"/>
              <w:rPr>
                <w:sz w:val="16"/>
                <w:szCs w:val="16"/>
              </w:rPr>
            </w:pPr>
            <w:r>
              <w:rPr>
                <w:sz w:val="16"/>
                <w:szCs w:val="16"/>
                <w:b/>
                <w:bCs/>
                <w:spacing w:val="-5"/>
              </w:rPr>
              <w:t>厚母</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54"/>
              <w:spacing w:before="130" w:line="219" w:lineRule="auto"/>
              <w:rPr>
                <w:sz w:val="16"/>
                <w:szCs w:val="16"/>
              </w:rPr>
            </w:pPr>
            <w:r>
              <w:rPr>
                <w:sz w:val="16"/>
                <w:szCs w:val="16"/>
                <w:spacing w:val="-2"/>
              </w:rPr>
              <w:t>实育机美</w:t>
            </w:r>
          </w:p>
        </w:tc>
        <w:tc>
          <w:tcPr>
            <w:tcW w:w="3711" w:type="dxa"/>
            <w:vAlign w:val="top"/>
          </w:tcPr>
          <w:p>
            <w:pPr>
              <w:pStyle w:val="TableText"/>
              <w:ind w:left="1276"/>
              <w:spacing w:before="132" w:line="220" w:lineRule="auto"/>
              <w:rPr>
                <w:sz w:val="16"/>
                <w:szCs w:val="16"/>
              </w:rPr>
            </w:pPr>
            <w:r>
              <w:rPr>
                <w:sz w:val="16"/>
                <w:szCs w:val="16"/>
                <w:spacing w:val="-2"/>
              </w:rPr>
              <w:t>设定和实尊作期</w:t>
            </w:r>
          </w:p>
        </w:tc>
      </w:tr>
      <w:tr>
        <w:trPr>
          <w:trHeight w:val="250" w:hRule="atLeast"/>
        </w:trPr>
        <w:tc>
          <w:tcPr>
            <w:tcW w:w="584" w:type="dxa"/>
            <w:vAlign w:val="top"/>
          </w:tcPr>
          <w:p>
            <w:pPr>
              <w:pStyle w:val="TableText"/>
              <w:ind w:left="164"/>
              <w:spacing w:before="88" w:line="175" w:lineRule="auto"/>
              <w:rPr>
                <w:sz w:val="16"/>
                <w:szCs w:val="16"/>
              </w:rPr>
            </w:pPr>
            <w:r>
              <w:rPr>
                <w:sz w:val="16"/>
                <w:szCs w:val="16"/>
                <w:spacing w:val="-5"/>
              </w:rPr>
              <w:t>171</w:t>
            </w:r>
          </w:p>
        </w:tc>
        <w:tc>
          <w:tcPr>
            <w:tcW w:w="1289" w:type="dxa"/>
            <w:vAlign w:val="top"/>
          </w:tcPr>
          <w:p>
            <w:pPr>
              <w:pStyle w:val="TableText"/>
              <w:ind w:left="231"/>
              <w:spacing w:before="46" w:line="219" w:lineRule="auto"/>
              <w:rPr>
                <w:sz w:val="16"/>
                <w:szCs w:val="16"/>
              </w:rPr>
            </w:pPr>
            <w:r>
              <w:rPr>
                <w:sz w:val="16"/>
                <w:szCs w:val="16"/>
                <w:spacing w:val="1"/>
              </w:rPr>
              <w:t>山默资载溪</w:t>
            </w:r>
          </w:p>
        </w:tc>
        <w:tc>
          <w:tcPr>
            <w:tcW w:w="1648" w:type="dxa"/>
            <w:vAlign w:val="top"/>
          </w:tcPr>
          <w:p>
            <w:pPr>
              <w:pStyle w:val="TableText"/>
              <w:ind w:left="92"/>
              <w:spacing w:before="48" w:line="220" w:lineRule="auto"/>
              <w:rPr>
                <w:sz w:val="16"/>
                <w:szCs w:val="16"/>
              </w:rPr>
            </w:pPr>
            <w:r>
              <w:rPr>
                <w:sz w:val="16"/>
                <w:szCs w:val="16"/>
                <w:spacing w:val="-1"/>
              </w:rPr>
              <w:t>古生物化石发塑南世</w:t>
            </w:r>
          </w:p>
        </w:tc>
        <w:tc>
          <w:tcPr>
            <w:tcW w:w="2367" w:type="dxa"/>
            <w:vAlign w:val="top"/>
          </w:tcPr>
          <w:p>
            <w:pPr>
              <w:pStyle w:val="TableText"/>
              <w:ind w:right="11"/>
              <w:spacing w:before="47" w:line="219" w:lineRule="auto"/>
              <w:jc w:val="right"/>
              <w:rPr>
                <w:sz w:val="16"/>
                <w:szCs w:val="16"/>
              </w:rPr>
            </w:pPr>
            <w:r>
              <w:rPr>
                <w:sz w:val="16"/>
                <w:szCs w:val="16"/>
                <w:spacing w:val="2"/>
              </w:rPr>
              <w:t>包结资靠部；古组日确资职部T]</w:t>
            </w:r>
          </w:p>
        </w:tc>
        <w:tc>
          <w:tcPr>
            <w:tcW w:w="3711" w:type="dxa"/>
            <w:vAlign w:val="top"/>
          </w:tcPr>
          <w:p>
            <w:pPr>
              <w:pStyle w:val="TableText"/>
              <w:spacing w:before="47" w:line="219" w:lineRule="auto"/>
              <w:rPr>
                <w:sz w:val="16"/>
                <w:szCs w:val="16"/>
              </w:rPr>
            </w:pPr>
            <w:r>
              <w:rPr>
                <w:sz w:val="16"/>
                <w:szCs w:val="16"/>
                <w:spacing w:val="-3"/>
              </w:rPr>
              <w:t>《古生物化石伛护条制》</w:t>
            </w:r>
          </w:p>
        </w:tc>
      </w:tr>
      <w:tr>
        <w:trPr>
          <w:trHeight w:val="440" w:hRule="atLeast"/>
        </w:trPr>
        <w:tc>
          <w:tcPr>
            <w:tcW w:w="584" w:type="dxa"/>
            <w:vAlign w:val="top"/>
          </w:tcPr>
          <w:p>
            <w:pPr>
              <w:pStyle w:val="TableText"/>
              <w:ind w:left="164"/>
              <w:spacing w:before="178" w:line="184" w:lineRule="auto"/>
              <w:rPr>
                <w:sz w:val="16"/>
                <w:szCs w:val="16"/>
              </w:rPr>
            </w:pPr>
            <w:r>
              <w:rPr>
                <w:sz w:val="16"/>
                <w:szCs w:val="16"/>
                <w:spacing w:val="-5"/>
              </w:rPr>
              <w:t>175</w:t>
            </w:r>
          </w:p>
        </w:tc>
        <w:tc>
          <w:tcPr>
            <w:tcW w:w="1289" w:type="dxa"/>
            <w:vAlign w:val="top"/>
          </w:tcPr>
          <w:p>
            <w:pPr>
              <w:pStyle w:val="TableText"/>
              <w:ind w:left="231"/>
              <w:spacing w:before="137" w:line="219" w:lineRule="auto"/>
              <w:rPr>
                <w:sz w:val="16"/>
                <w:szCs w:val="16"/>
              </w:rPr>
            </w:pPr>
            <w:r>
              <w:rPr>
                <w:sz w:val="16"/>
                <w:szCs w:val="16"/>
                <w:spacing w:val="1"/>
              </w:rPr>
              <w:t>自纳资蔬郁</w:t>
            </w:r>
          </w:p>
        </w:tc>
        <w:tc>
          <w:tcPr>
            <w:tcW w:w="1648" w:type="dxa"/>
            <w:vAlign w:val="top"/>
          </w:tcPr>
          <w:p>
            <w:pPr>
              <w:pStyle w:val="TableText"/>
              <w:ind w:left="22" w:right="92" w:firstLine="70"/>
              <w:spacing w:before="38" w:line="226" w:lineRule="auto"/>
              <w:rPr>
                <w:sz w:val="16"/>
                <w:szCs w:val="16"/>
              </w:rPr>
            </w:pPr>
            <w:r>
              <w:rPr>
                <w:sz w:val="16"/>
                <w:szCs w:val="16"/>
                <w:spacing w:val="1"/>
              </w:rPr>
              <w:t>古生物化石还出境审</w:t>
            </w:r>
            <w:r>
              <w:rPr>
                <w:sz w:val="16"/>
                <w:szCs w:val="16"/>
                <w:spacing w:val="3"/>
              </w:rPr>
              <w:t xml:space="preserve"> </w:t>
            </w:r>
            <w:r>
              <w:rPr>
                <w:sz w:val="16"/>
                <w:szCs w:val="16"/>
              </w:rPr>
              <w:t>批</w:t>
            </w:r>
          </w:p>
        </w:tc>
        <w:tc>
          <w:tcPr>
            <w:tcW w:w="2367" w:type="dxa"/>
            <w:vAlign w:val="top"/>
          </w:tcPr>
          <w:p>
            <w:pPr>
              <w:pStyle w:val="TableText"/>
              <w:ind w:left="73"/>
              <w:spacing w:before="137" w:line="219" w:lineRule="auto"/>
              <w:rPr>
                <w:sz w:val="16"/>
                <w:szCs w:val="16"/>
              </w:rPr>
            </w:pPr>
            <w:r>
              <w:rPr>
                <w:sz w:val="16"/>
                <w:szCs w:val="16"/>
                <w:spacing w:val="1"/>
              </w:rPr>
              <w:t>口始分票招：省碰白然资源部门</w:t>
            </w:r>
          </w:p>
        </w:tc>
        <w:tc>
          <w:tcPr>
            <w:tcW w:w="3711" w:type="dxa"/>
            <w:vAlign w:val="top"/>
          </w:tcPr>
          <w:p>
            <w:pPr>
              <w:pStyle w:val="TableText"/>
              <w:ind w:left="67"/>
              <w:spacing w:before="137" w:line="219" w:lineRule="auto"/>
              <w:rPr>
                <w:sz w:val="16"/>
                <w:szCs w:val="16"/>
              </w:rPr>
            </w:pPr>
            <w:r>
              <w:rPr>
                <w:sz w:val="16"/>
                <w:szCs w:val="16"/>
              </w:rPr>
              <w:t>1占生物化石保护条阀?</w:t>
            </w:r>
          </w:p>
        </w:tc>
      </w:tr>
      <w:tr>
        <w:trPr>
          <w:trHeight w:val="859" w:hRule="atLeast"/>
        </w:trPr>
        <w:tc>
          <w:tcPr>
            <w:tcW w:w="584" w:type="dxa"/>
            <w:vAlign w:val="top"/>
          </w:tcPr>
          <w:p>
            <w:pPr>
              <w:spacing w:line="333" w:lineRule="auto"/>
              <w:rPr>
                <w:rFonts w:ascii="Arial"/>
                <w:sz w:val="21"/>
              </w:rPr>
            </w:pPr>
            <w:r/>
          </w:p>
          <w:p>
            <w:pPr>
              <w:pStyle w:val="TableText"/>
              <w:ind w:left="164"/>
              <w:spacing w:before="52" w:line="184" w:lineRule="auto"/>
              <w:rPr>
                <w:sz w:val="16"/>
                <w:szCs w:val="16"/>
              </w:rPr>
            </w:pPr>
            <w:r>
              <w:rPr>
                <w:sz w:val="16"/>
                <w:szCs w:val="16"/>
                <w:spacing w:val="-5"/>
              </w:rPr>
              <w:t>126</w:t>
            </w:r>
          </w:p>
        </w:tc>
        <w:tc>
          <w:tcPr>
            <w:tcW w:w="1289" w:type="dxa"/>
            <w:vAlign w:val="top"/>
          </w:tcPr>
          <w:p>
            <w:pPr>
              <w:spacing w:line="293" w:lineRule="auto"/>
              <w:rPr>
                <w:rFonts w:ascii="Arial"/>
                <w:sz w:val="21"/>
              </w:rPr>
            </w:pPr>
            <w:r/>
          </w:p>
          <w:p>
            <w:pPr>
              <w:pStyle w:val="TableText"/>
              <w:ind w:left="231"/>
              <w:spacing w:before="52" w:line="219" w:lineRule="auto"/>
              <w:rPr>
                <w:sz w:val="16"/>
                <w:szCs w:val="16"/>
              </w:rPr>
            </w:pPr>
            <w:r>
              <w:rPr>
                <w:sz w:val="16"/>
                <w:szCs w:val="16"/>
                <w:spacing w:val="-2"/>
              </w:rPr>
              <w:t>首然资等带</w:t>
            </w:r>
          </w:p>
        </w:tc>
        <w:tc>
          <w:tcPr>
            <w:tcW w:w="1648" w:type="dxa"/>
            <w:vAlign w:val="top"/>
          </w:tcPr>
          <w:p>
            <w:pPr>
              <w:spacing w:line="292" w:lineRule="auto"/>
              <w:rPr>
                <w:rFonts w:ascii="Arial"/>
                <w:sz w:val="21"/>
              </w:rPr>
            </w:pPr>
            <w:r/>
          </w:p>
          <w:p>
            <w:pPr>
              <w:pStyle w:val="TableText"/>
              <w:ind w:left="52"/>
              <w:spacing w:before="52" w:line="219" w:lineRule="auto"/>
              <w:rPr>
                <w:sz w:val="16"/>
                <w:szCs w:val="16"/>
              </w:rPr>
            </w:pPr>
            <w:r>
              <w:rPr>
                <w:sz w:val="16"/>
                <w:szCs w:val="16"/>
                <w:spacing w:val="-2"/>
              </w:rPr>
              <w:t>厚械使用审精</w:t>
            </w:r>
          </w:p>
        </w:tc>
        <w:tc>
          <w:tcPr>
            <w:tcW w:w="2367" w:type="dxa"/>
            <w:vAlign w:val="top"/>
          </w:tcPr>
          <w:p>
            <w:pPr>
              <w:pStyle w:val="TableText"/>
              <w:ind w:left="73" w:right="46" w:hanging="9"/>
              <w:spacing w:before="257" w:line="214" w:lineRule="auto"/>
              <w:rPr>
                <w:sz w:val="16"/>
                <w:szCs w:val="16"/>
              </w:rPr>
            </w:pPr>
            <w:r>
              <w:rPr>
                <w:sz w:val="16"/>
                <w:szCs w:val="16"/>
              </w:rPr>
              <w:t>自然贸蒜累，省双，设区的市吸</w:t>
            </w:r>
            <w:r>
              <w:rPr>
                <w:sz w:val="16"/>
                <w:szCs w:val="16"/>
                <w:spacing w:val="5"/>
              </w:rPr>
              <w:t xml:space="preserve"> </w:t>
            </w:r>
            <w:r>
              <w:rPr>
                <w:sz w:val="16"/>
                <w:szCs w:val="16"/>
                <w:spacing w:val="1"/>
              </w:rPr>
              <w:t>县级自热资前(自洋)称门</w:t>
            </w:r>
          </w:p>
        </w:tc>
        <w:tc>
          <w:tcPr>
            <w:tcW w:w="3711" w:type="dxa"/>
            <w:vAlign w:val="top"/>
          </w:tcPr>
          <w:p>
            <w:pPr>
              <w:pStyle w:val="TableText"/>
              <w:ind w:left="67"/>
              <w:spacing w:before="57" w:line="219" w:lineRule="auto"/>
              <w:rPr>
                <w:sz w:val="16"/>
                <w:szCs w:val="16"/>
              </w:rPr>
            </w:pPr>
            <w:r>
              <w:rPr>
                <w:sz w:val="16"/>
                <w:szCs w:val="16"/>
                <w:spacing w:val="1"/>
              </w:rPr>
              <w:t>1中华人包共和国海城使用管理法1</w:t>
            </w:r>
          </w:p>
          <w:p>
            <w:pPr>
              <w:pStyle w:val="TableText"/>
              <w:ind w:left="67" w:right="261"/>
              <w:spacing w:line="236" w:lineRule="auto"/>
              <w:rPr>
                <w:sz w:val="16"/>
                <w:szCs w:val="16"/>
              </w:rPr>
            </w:pPr>
            <w:r>
              <w:rPr>
                <w:sz w:val="16"/>
                <w:szCs w:val="16"/>
              </w:rPr>
              <w:t>区务成关于如强流海最地保护户临需控国填海的</w:t>
            </w:r>
            <w:r>
              <w:rPr>
                <w:sz w:val="16"/>
                <w:szCs w:val="16"/>
                <w:spacing w:val="11"/>
              </w:rPr>
              <w:t xml:space="preserve"> </w:t>
            </w:r>
            <w:r>
              <w:rPr>
                <w:sz w:val="16"/>
                <w:szCs w:val="16"/>
                <w:spacing w:val="2"/>
              </w:rPr>
              <w:t>通知3《国发(201B]24号)</w:t>
            </w:r>
          </w:p>
          <w:p>
            <w:pPr>
              <w:pStyle w:val="TableText"/>
              <w:ind w:left="67"/>
              <w:spacing w:line="219" w:lineRule="auto"/>
              <w:rPr>
                <w:sz w:val="16"/>
                <w:szCs w:val="16"/>
              </w:rPr>
            </w:pPr>
            <w:r>
              <w:rPr>
                <w:sz w:val="16"/>
                <w:szCs w:val="16"/>
                <w:spacing w:val="1"/>
              </w:rPr>
              <w:t>t海域使用权管理权定)国薄要(2006321号)</w:t>
            </w:r>
          </w:p>
        </w:tc>
      </w:tr>
      <w:tr>
        <w:trPr>
          <w:trHeight w:val="649" w:hRule="atLeast"/>
        </w:trPr>
        <w:tc>
          <w:tcPr>
            <w:tcW w:w="584" w:type="dxa"/>
            <w:vAlign w:val="top"/>
          </w:tcPr>
          <w:p>
            <w:pPr>
              <w:pStyle w:val="TableText"/>
              <w:ind w:left="204"/>
              <w:spacing w:before="288" w:line="184" w:lineRule="auto"/>
              <w:rPr>
                <w:sz w:val="16"/>
                <w:szCs w:val="16"/>
              </w:rPr>
            </w:pPr>
            <w:r>
              <w:rPr>
                <w:sz w:val="16"/>
                <w:szCs w:val="16"/>
                <w:spacing w:val="-5"/>
              </w:rPr>
              <w:t>1m</w:t>
            </w:r>
          </w:p>
        </w:tc>
        <w:tc>
          <w:tcPr>
            <w:tcW w:w="1289" w:type="dxa"/>
            <w:vAlign w:val="top"/>
          </w:tcPr>
          <w:p>
            <w:pPr>
              <w:pStyle w:val="TableText"/>
              <w:ind w:left="231"/>
              <w:spacing w:before="248" w:line="219" w:lineRule="auto"/>
              <w:rPr>
                <w:sz w:val="16"/>
                <w:szCs w:val="16"/>
              </w:rPr>
            </w:pPr>
            <w:r>
              <w:rPr>
                <w:sz w:val="16"/>
                <w:szCs w:val="16"/>
                <w:spacing w:val="2"/>
              </w:rPr>
              <w:t>自热肾辞那</w:t>
            </w:r>
          </w:p>
        </w:tc>
        <w:tc>
          <w:tcPr>
            <w:tcW w:w="1648" w:type="dxa"/>
            <w:vAlign w:val="top"/>
          </w:tcPr>
          <w:p>
            <w:pPr>
              <w:pStyle w:val="TableText"/>
              <w:ind w:left="62" w:right="114" w:firstLine="30"/>
              <w:spacing w:before="47" w:line="224" w:lineRule="auto"/>
              <w:jc w:val="both"/>
              <w:rPr>
                <w:sz w:val="16"/>
                <w:szCs w:val="16"/>
              </w:rPr>
            </w:pPr>
            <w:r>
              <w:rPr>
                <w:sz w:val="16"/>
                <w:szCs w:val="16"/>
                <w:spacing w:val="-1"/>
              </w:rPr>
              <w:t>指在电模管造情世路</w:t>
            </w:r>
            <w:r>
              <w:rPr>
                <w:sz w:val="16"/>
                <w:szCs w:val="16"/>
              </w:rPr>
              <w:t xml:space="preserve"> </w:t>
            </w:r>
            <w:r>
              <w:rPr>
                <w:sz w:val="16"/>
                <w:szCs w:val="16"/>
                <w:spacing w:val="2"/>
              </w:rPr>
              <w:t>南两查勘测，错设药 </w:t>
            </w:r>
            <w:r>
              <w:rPr>
                <w:sz w:val="16"/>
                <w:szCs w:val="16"/>
                <w:spacing w:val="-5"/>
              </w:rPr>
              <w:t>工</w:t>
            </w:r>
            <w:r>
              <w:rPr>
                <w:sz w:val="16"/>
                <w:szCs w:val="16"/>
                <w:spacing w:val="10"/>
              </w:rPr>
              <w:t xml:space="preserve">  </w:t>
            </w:r>
            <w:r>
              <w:rPr>
                <w:sz w:val="16"/>
                <w:szCs w:val="16"/>
                <w:spacing w:val="-5"/>
              </w:rPr>
              <w:t>伊</w:t>
            </w:r>
          </w:p>
        </w:tc>
        <w:tc>
          <w:tcPr>
            <w:tcW w:w="2367" w:type="dxa"/>
            <w:vAlign w:val="top"/>
          </w:tcPr>
          <w:p>
            <w:pPr>
              <w:pStyle w:val="TableText"/>
              <w:ind w:left="73"/>
              <w:spacing w:before="249" w:line="220" w:lineRule="auto"/>
              <w:rPr>
                <w:sz w:val="16"/>
                <w:szCs w:val="16"/>
              </w:rPr>
            </w:pPr>
            <w:r>
              <w:rPr>
                <w:sz w:val="16"/>
                <w:szCs w:val="16"/>
                <w:spacing w:val="1"/>
              </w:rPr>
              <w:t>自然登超架</w:t>
            </w:r>
          </w:p>
        </w:tc>
        <w:tc>
          <w:tcPr>
            <w:tcW w:w="3711" w:type="dxa"/>
            <w:vAlign w:val="top"/>
          </w:tcPr>
          <w:p>
            <w:pPr>
              <w:pStyle w:val="TableText"/>
              <w:ind w:left="67"/>
              <w:spacing w:before="148" w:line="219" w:lineRule="auto"/>
              <w:rPr>
                <w:sz w:val="16"/>
                <w:szCs w:val="16"/>
              </w:rPr>
            </w:pPr>
            <w:r>
              <w:rPr>
                <w:sz w:val="16"/>
                <w:szCs w:val="16"/>
              </w:rPr>
              <w:t>1中华人民共和国专属经污区和大随星法</w:t>
            </w:r>
          </w:p>
          <w:p>
            <w:pPr>
              <w:pStyle w:val="TableText"/>
              <w:ind w:left="67"/>
              <w:spacing w:line="218" w:lineRule="auto"/>
              <w:rPr>
                <w:sz w:val="16"/>
                <w:szCs w:val="16"/>
              </w:rPr>
            </w:pPr>
            <w:r>
              <w:rPr>
                <w:sz w:val="16"/>
                <w:szCs w:val="16"/>
                <w:spacing w:val="-1"/>
              </w:rPr>
              <w:t>r销设海虑电规管范曾理规定》</w:t>
            </w:r>
          </w:p>
        </w:tc>
      </w:tr>
      <w:tr>
        <w:trPr>
          <w:trHeight w:val="649" w:hRule="atLeast"/>
        </w:trPr>
        <w:tc>
          <w:tcPr>
            <w:tcW w:w="584" w:type="dxa"/>
            <w:vAlign w:val="top"/>
          </w:tcPr>
          <w:p>
            <w:pPr>
              <w:pStyle w:val="TableText"/>
              <w:ind w:left="164"/>
              <w:spacing w:before="290" w:line="183" w:lineRule="auto"/>
              <w:rPr>
                <w:sz w:val="16"/>
                <w:szCs w:val="16"/>
              </w:rPr>
            </w:pPr>
            <w:r>
              <w:rPr>
                <w:sz w:val="16"/>
                <w:szCs w:val="16"/>
                <w:spacing w:val="-2"/>
              </w:rPr>
              <w:t>27N</w:t>
            </w:r>
          </w:p>
        </w:tc>
        <w:tc>
          <w:tcPr>
            <w:tcW w:w="1289" w:type="dxa"/>
            <w:vAlign w:val="top"/>
          </w:tcPr>
          <w:p>
            <w:pPr>
              <w:pStyle w:val="TableText"/>
              <w:ind w:left="231"/>
              <w:spacing w:before="249" w:line="219" w:lineRule="auto"/>
              <w:rPr>
                <w:sz w:val="16"/>
                <w:szCs w:val="16"/>
              </w:rPr>
            </w:pPr>
            <w:r>
              <w:rPr>
                <w:sz w:val="16"/>
                <w:szCs w:val="16"/>
                <w:spacing w:val="-1"/>
              </w:rPr>
              <w:t>包然资源都</w:t>
            </w:r>
          </w:p>
        </w:tc>
        <w:tc>
          <w:tcPr>
            <w:tcW w:w="1648" w:type="dxa"/>
            <w:vAlign w:val="top"/>
          </w:tcPr>
          <w:p>
            <w:pPr>
              <w:pStyle w:val="TableText"/>
              <w:ind w:left="22" w:right="86" w:firstLine="70"/>
              <w:spacing w:before="138" w:line="227" w:lineRule="auto"/>
              <w:rPr>
                <w:sz w:val="16"/>
                <w:szCs w:val="16"/>
              </w:rPr>
            </w:pPr>
            <w:r>
              <w:rPr>
                <w:sz w:val="16"/>
                <w:szCs w:val="16"/>
                <w:spacing w:val="2"/>
              </w:rPr>
              <w:t>无居民海岛开发科用</w:t>
            </w:r>
            <w:r>
              <w:rPr>
                <w:sz w:val="16"/>
                <w:szCs w:val="16"/>
              </w:rPr>
              <w:t xml:space="preserve"> </w:t>
            </w:r>
            <w:r>
              <w:rPr>
                <w:sz w:val="16"/>
                <w:szCs w:val="16"/>
                <w:spacing w:val="3"/>
              </w:rPr>
              <w:t>甲硬</w:t>
            </w:r>
          </w:p>
        </w:tc>
        <w:tc>
          <w:tcPr>
            <w:tcW w:w="2367" w:type="dxa"/>
            <w:vAlign w:val="top"/>
          </w:tcPr>
          <w:p>
            <w:pPr>
              <w:pStyle w:val="TableText"/>
              <w:ind w:left="73" w:right="106" w:firstLine="10"/>
              <w:spacing w:before="147" w:line="237" w:lineRule="auto"/>
              <w:rPr>
                <w:sz w:val="16"/>
                <w:szCs w:val="16"/>
              </w:rPr>
            </w:pPr>
            <w:r>
              <w:rPr>
                <w:sz w:val="16"/>
                <w:szCs w:val="16"/>
              </w:rPr>
              <w:t>白姓资重部；告短登府C由省驶</w:t>
            </w:r>
            <w:r>
              <w:rPr>
                <w:sz w:val="16"/>
                <w:szCs w:val="16"/>
                <w:spacing w:val="5"/>
              </w:rPr>
              <w:t xml:space="preserve"> </w:t>
            </w:r>
            <w:r>
              <w:rPr>
                <w:sz w:val="16"/>
                <w:szCs w:val="16"/>
                <w:spacing w:val="2"/>
              </w:rPr>
              <w:t>育芯资源(海津)部门章办]</w:t>
            </w:r>
          </w:p>
        </w:tc>
        <w:tc>
          <w:tcPr>
            <w:tcW w:w="3711" w:type="dxa"/>
            <w:vAlign w:val="top"/>
          </w:tcPr>
          <w:p>
            <w:pPr>
              <w:pStyle w:val="TableText"/>
              <w:ind w:left="67"/>
              <w:spacing w:before="29" w:line="219" w:lineRule="auto"/>
              <w:rPr>
                <w:sz w:val="16"/>
                <w:szCs w:val="16"/>
              </w:rPr>
            </w:pPr>
            <w:r>
              <w:rPr>
                <w:sz w:val="16"/>
                <w:szCs w:val="16"/>
                <w:spacing w:val="-1"/>
              </w:rPr>
              <w:t>E中华人民共和国海高保护法》</w:t>
            </w:r>
          </w:p>
          <w:p>
            <w:pPr>
              <w:pStyle w:val="TableText"/>
              <w:ind w:left="88" w:right="203" w:hanging="89"/>
              <w:spacing w:before="29" w:line="225" w:lineRule="auto"/>
              <w:rPr>
                <w:sz w:val="16"/>
                <w:szCs w:val="16"/>
              </w:rPr>
            </w:pPr>
            <w:r>
              <w:rPr>
                <w:sz w:val="16"/>
                <w:szCs w:val="16"/>
                <w:spacing w:val="2"/>
              </w:rPr>
              <w:t>【无居民离岛开发剩用市老办法取属摩发(016)25</w:t>
            </w:r>
            <w:r>
              <w:rPr>
                <w:sz w:val="16"/>
                <w:szCs w:val="16"/>
                <w:spacing w:val="6"/>
              </w:rPr>
              <w:t xml:space="preserve"> </w:t>
            </w:r>
            <w:r>
              <w:rPr>
                <w:sz w:val="16"/>
                <w:szCs w:val="16"/>
                <w:spacing w:val="-5"/>
              </w:rPr>
              <w:t>号》</w:t>
            </w:r>
          </w:p>
        </w:tc>
      </w:tr>
      <w:tr>
        <w:trPr>
          <w:trHeight w:val="639" w:hRule="atLeast"/>
        </w:trPr>
        <w:tc>
          <w:tcPr>
            <w:tcW w:w="584" w:type="dxa"/>
            <w:vAlign w:val="top"/>
          </w:tcPr>
          <w:p>
            <w:pPr>
              <w:pStyle w:val="TableText"/>
              <w:ind w:left="164"/>
              <w:spacing w:before="280" w:line="184" w:lineRule="auto"/>
              <w:rPr>
                <w:sz w:val="16"/>
                <w:szCs w:val="16"/>
              </w:rPr>
            </w:pPr>
            <w:r>
              <w:rPr>
                <w:sz w:val="16"/>
                <w:szCs w:val="16"/>
                <w:spacing w:val="-5"/>
              </w:rPr>
              <w:t>170</w:t>
            </w:r>
          </w:p>
        </w:tc>
        <w:tc>
          <w:tcPr>
            <w:tcW w:w="1289" w:type="dxa"/>
            <w:vAlign w:val="top"/>
          </w:tcPr>
          <w:p>
            <w:pPr>
              <w:pStyle w:val="TableText"/>
              <w:ind w:left="271"/>
              <w:spacing w:before="240" w:line="219" w:lineRule="auto"/>
              <w:rPr>
                <w:sz w:val="16"/>
                <w:szCs w:val="16"/>
              </w:rPr>
            </w:pPr>
            <w:r>
              <w:rPr>
                <w:sz w:val="16"/>
                <w:szCs w:val="16"/>
                <w:spacing w:val="-1"/>
              </w:rPr>
              <w:t>4臀资露部</w:t>
            </w:r>
          </w:p>
        </w:tc>
        <w:tc>
          <w:tcPr>
            <w:tcW w:w="1648" w:type="dxa"/>
            <w:vAlign w:val="top"/>
          </w:tcPr>
          <w:p>
            <w:pPr>
              <w:pStyle w:val="TableText"/>
              <w:ind w:left="11" w:right="86" w:firstLine="80"/>
              <w:spacing w:before="139" w:line="222" w:lineRule="auto"/>
              <w:rPr>
                <w:sz w:val="16"/>
                <w:szCs w:val="16"/>
              </w:rPr>
            </w:pPr>
            <w:r>
              <w:rPr>
                <w:sz w:val="16"/>
                <w:szCs w:val="16"/>
                <w:spacing w:val="2"/>
              </w:rPr>
              <w:t>常外尊津利学研究甲</w:t>
            </w:r>
            <w:r>
              <w:rPr>
                <w:sz w:val="16"/>
                <w:szCs w:val="16"/>
              </w:rPr>
              <w:t xml:space="preserve"> </w:t>
            </w:r>
            <w:r>
              <w:rPr>
                <w:sz w:val="16"/>
                <w:szCs w:val="16"/>
              </w:rPr>
              <w:t>我</w:t>
            </w:r>
          </w:p>
        </w:tc>
        <w:tc>
          <w:tcPr>
            <w:tcW w:w="2367" w:type="dxa"/>
            <w:vAlign w:val="top"/>
          </w:tcPr>
          <w:p>
            <w:pPr>
              <w:pStyle w:val="TableText"/>
              <w:ind w:left="73"/>
              <w:spacing w:before="241" w:line="220" w:lineRule="auto"/>
              <w:rPr>
                <w:sz w:val="16"/>
                <w:szCs w:val="16"/>
              </w:rPr>
            </w:pPr>
            <w:r>
              <w:rPr>
                <w:sz w:val="16"/>
                <w:szCs w:val="16"/>
                <w:spacing w:val="1"/>
              </w:rPr>
              <w:t>自结斯题性</w:t>
            </w:r>
          </w:p>
        </w:tc>
        <w:tc>
          <w:tcPr>
            <w:tcW w:w="3711" w:type="dxa"/>
            <w:vAlign w:val="top"/>
          </w:tcPr>
          <w:p>
            <w:pPr>
              <w:pStyle w:val="TableText"/>
              <w:ind w:left="67"/>
              <w:spacing w:before="50" w:line="219" w:lineRule="auto"/>
              <w:rPr>
                <w:sz w:val="16"/>
                <w:szCs w:val="16"/>
              </w:rPr>
            </w:pPr>
            <w:r>
              <w:rPr>
                <w:sz w:val="16"/>
                <w:szCs w:val="16"/>
                <w:spacing w:val="1"/>
              </w:rPr>
              <w:t>(中华人民共和障级商及建理气甚1</w:t>
            </w:r>
          </w:p>
          <w:p>
            <w:pPr>
              <w:pStyle w:val="TableText"/>
              <w:ind w:left="67"/>
              <w:spacing w:line="219" w:lineRule="auto"/>
              <w:rPr>
                <w:sz w:val="16"/>
                <w:szCs w:val="16"/>
              </w:rPr>
            </w:pPr>
            <w:r>
              <w:rPr>
                <w:sz w:val="16"/>
                <w:szCs w:val="16"/>
              </w:rPr>
              <w:t>(中华人民共和国专限经结区称大陆杂法1</w:t>
            </w:r>
          </w:p>
          <w:p>
            <w:pPr>
              <w:pStyle w:val="TableText"/>
              <w:spacing w:before="9" w:line="218" w:lineRule="auto"/>
              <w:rPr>
                <w:sz w:val="16"/>
                <w:szCs w:val="16"/>
              </w:rPr>
            </w:pPr>
            <w:r>
              <w:rPr>
                <w:sz w:val="16"/>
                <w:szCs w:val="16"/>
                <w:spacing w:val="3"/>
              </w:rPr>
              <w:t>【中学人民共和国毒外商张料学研究管理规定)</w:t>
            </w:r>
          </w:p>
        </w:tc>
      </w:tr>
      <w:tr>
        <w:trPr>
          <w:trHeight w:val="449" w:hRule="atLeast"/>
        </w:trPr>
        <w:tc>
          <w:tcPr>
            <w:tcW w:w="584" w:type="dxa"/>
            <w:vAlign w:val="top"/>
          </w:tcPr>
          <w:p>
            <w:pPr>
              <w:pStyle w:val="TableText"/>
              <w:ind w:left="164"/>
              <w:spacing w:before="147" w:line="214" w:lineRule="auto"/>
              <w:rPr>
                <w:sz w:val="16"/>
                <w:szCs w:val="16"/>
              </w:rPr>
            </w:pPr>
            <w:r>
              <w:rPr>
                <w:sz w:val="16"/>
                <w:szCs w:val="16"/>
                <w:spacing w:val="-3"/>
              </w:rPr>
              <w:t>jan</w:t>
            </w:r>
          </w:p>
        </w:tc>
        <w:tc>
          <w:tcPr>
            <w:tcW w:w="1289" w:type="dxa"/>
            <w:vAlign w:val="top"/>
          </w:tcPr>
          <w:p>
            <w:pPr>
              <w:pStyle w:val="TableText"/>
              <w:ind w:left="231"/>
              <w:spacing w:before="151" w:line="219" w:lineRule="auto"/>
              <w:rPr>
                <w:sz w:val="16"/>
                <w:szCs w:val="16"/>
              </w:rPr>
            </w:pPr>
            <w:r>
              <w:rPr>
                <w:sz w:val="16"/>
                <w:szCs w:val="16"/>
                <w:spacing w:val="1"/>
              </w:rPr>
              <w:t>日想资尊部</w:t>
            </w:r>
          </w:p>
        </w:tc>
        <w:tc>
          <w:tcPr>
            <w:tcW w:w="1648" w:type="dxa"/>
            <w:vAlign w:val="top"/>
          </w:tcPr>
          <w:p>
            <w:pPr>
              <w:pStyle w:val="TableText"/>
              <w:ind w:left="22" w:right="96" w:firstLine="70"/>
              <w:spacing w:before="42" w:line="229" w:lineRule="auto"/>
              <w:rPr>
                <w:sz w:val="16"/>
                <w:szCs w:val="16"/>
              </w:rPr>
            </w:pPr>
            <w:r>
              <w:rPr>
                <w:sz w:val="16"/>
                <w:szCs w:val="16"/>
                <w:spacing w:val="1"/>
              </w:rPr>
              <w:t>雨，北孩考别否动市</w:t>
            </w:r>
            <w:r>
              <w:rPr>
                <w:sz w:val="16"/>
                <w:szCs w:val="16"/>
              </w:rPr>
              <w:t xml:space="preserve"> </w:t>
            </w:r>
            <w:r>
              <w:rPr>
                <w:sz w:val="16"/>
                <w:szCs w:val="16"/>
              </w:rPr>
              <w:t>刑</w:t>
            </w:r>
          </w:p>
        </w:tc>
        <w:tc>
          <w:tcPr>
            <w:tcW w:w="2367" w:type="dxa"/>
            <w:vAlign w:val="top"/>
          </w:tcPr>
          <w:p>
            <w:pPr>
              <w:pStyle w:val="TableText"/>
              <w:ind w:left="73"/>
              <w:spacing w:before="151" w:line="219" w:lineRule="auto"/>
              <w:rPr>
                <w:sz w:val="16"/>
                <w:szCs w:val="16"/>
              </w:rPr>
            </w:pPr>
            <w:r>
              <w:rPr>
                <w:sz w:val="16"/>
                <w:szCs w:val="16"/>
                <w:spacing w:val="-2"/>
              </w:rPr>
              <w:t>川者资短器</w:t>
            </w:r>
          </w:p>
        </w:tc>
        <w:tc>
          <w:tcPr>
            <w:tcW w:w="3711" w:type="dxa"/>
            <w:vAlign w:val="top"/>
          </w:tcPr>
          <w:p>
            <w:pPr>
              <w:pStyle w:val="TableText"/>
              <w:ind w:left="67" w:right="187"/>
              <w:spacing w:before="60" w:line="214" w:lineRule="auto"/>
              <w:rPr>
                <w:sz w:val="16"/>
                <w:szCs w:val="16"/>
              </w:rPr>
            </w:pPr>
            <w:r>
              <w:rPr>
                <w:sz w:val="16"/>
                <w:szCs w:val="16"/>
              </w:rPr>
              <w:t>1国务院对确常保所的行政审批研自设定行改评可</w:t>
            </w:r>
            <w:r>
              <w:rPr>
                <w:sz w:val="16"/>
                <w:szCs w:val="16"/>
                <w:spacing w:val="5"/>
              </w:rPr>
              <w:t xml:space="preserve"> </w:t>
            </w:r>
            <w:r>
              <w:rPr>
                <w:sz w:val="16"/>
                <w:szCs w:val="16"/>
                <w:spacing w:val="-3"/>
              </w:rPr>
              <w:t>他决定》</w:t>
            </w:r>
          </w:p>
        </w:tc>
      </w:tr>
      <w:tr>
        <w:trPr>
          <w:trHeight w:val="449" w:hRule="atLeast"/>
        </w:trPr>
        <w:tc>
          <w:tcPr>
            <w:tcW w:w="584" w:type="dxa"/>
            <w:vAlign w:val="top"/>
          </w:tcPr>
          <w:p>
            <w:pPr>
              <w:pStyle w:val="TableText"/>
              <w:ind w:left="164"/>
              <w:spacing w:before="192" w:line="184" w:lineRule="auto"/>
              <w:rPr>
                <w:sz w:val="16"/>
                <w:szCs w:val="16"/>
              </w:rPr>
            </w:pPr>
            <w:r>
              <w:rPr>
                <w:sz w:val="16"/>
                <w:szCs w:val="16"/>
                <w:spacing w:val="-5"/>
              </w:rPr>
              <w:t>1N1</w:t>
            </w:r>
          </w:p>
        </w:tc>
        <w:tc>
          <w:tcPr>
            <w:tcW w:w="1289" w:type="dxa"/>
            <w:vAlign w:val="top"/>
          </w:tcPr>
          <w:p>
            <w:pPr>
              <w:pStyle w:val="TableText"/>
              <w:ind w:left="271"/>
              <w:spacing w:before="152" w:line="219" w:lineRule="auto"/>
              <w:rPr>
                <w:sz w:val="16"/>
                <w:szCs w:val="16"/>
              </w:rPr>
            </w:pPr>
            <w:r>
              <w:rPr>
                <w:sz w:val="16"/>
                <w:szCs w:val="16"/>
                <w:spacing w:val="-1"/>
              </w:rPr>
              <w:t>N线资源部</w:t>
            </w:r>
          </w:p>
        </w:tc>
        <w:tc>
          <w:tcPr>
            <w:tcW w:w="1648" w:type="dxa"/>
            <w:vAlign w:val="top"/>
          </w:tcPr>
          <w:p>
            <w:pPr>
              <w:pStyle w:val="TableText"/>
              <w:ind w:left="42" w:right="114" w:firstLine="50"/>
              <w:spacing w:before="42" w:line="229" w:lineRule="auto"/>
              <w:rPr>
                <w:sz w:val="16"/>
                <w:szCs w:val="16"/>
              </w:rPr>
            </w:pPr>
            <w:r>
              <w:rPr>
                <w:sz w:val="16"/>
                <w:szCs w:val="16"/>
                <w:spacing w:val="-1"/>
              </w:rPr>
              <w:t>军海海表区域资题勘</w:t>
            </w:r>
            <w:r>
              <w:rPr>
                <w:sz w:val="16"/>
                <w:szCs w:val="16"/>
              </w:rPr>
              <w:t xml:space="preserve"> </w:t>
            </w:r>
            <w:r>
              <w:rPr>
                <w:sz w:val="16"/>
                <w:szCs w:val="16"/>
                <w:spacing w:val="-2"/>
              </w:rPr>
              <w:t>按开意许可</w:t>
            </w:r>
          </w:p>
        </w:tc>
        <w:tc>
          <w:tcPr>
            <w:tcW w:w="2367" w:type="dxa"/>
            <w:vAlign w:val="top"/>
          </w:tcPr>
          <w:p>
            <w:pPr>
              <w:pStyle w:val="TableText"/>
              <w:ind w:left="73"/>
              <w:spacing w:before="153" w:line="220" w:lineRule="auto"/>
              <w:rPr>
                <w:sz w:val="16"/>
                <w:szCs w:val="16"/>
              </w:rPr>
            </w:pPr>
            <w:r>
              <w:rPr>
                <w:sz w:val="16"/>
                <w:szCs w:val="16"/>
                <w:spacing w:val="2"/>
              </w:rPr>
              <w:t>自然瓷源加</w:t>
            </w:r>
          </w:p>
        </w:tc>
        <w:tc>
          <w:tcPr>
            <w:tcW w:w="3711" w:type="dxa"/>
            <w:vAlign w:val="top"/>
          </w:tcPr>
          <w:p>
            <w:pPr>
              <w:pStyle w:val="TableText"/>
              <w:ind w:left="67"/>
              <w:spacing w:before="152" w:line="219" w:lineRule="auto"/>
              <w:rPr>
                <w:sz w:val="16"/>
                <w:szCs w:val="16"/>
              </w:rPr>
            </w:pPr>
            <w:r>
              <w:rPr>
                <w:sz w:val="16"/>
                <w:szCs w:val="16"/>
                <w:spacing w:val="-1"/>
              </w:rPr>
              <w:t>E中华人见共和国深海海底国城资源融探开安法》</w:t>
            </w:r>
          </w:p>
        </w:tc>
      </w:tr>
      <w:tr>
        <w:trPr>
          <w:trHeight w:val="639" w:hRule="atLeast"/>
        </w:trPr>
        <w:tc>
          <w:tcPr>
            <w:tcW w:w="584" w:type="dxa"/>
            <w:vAlign w:val="top"/>
          </w:tcPr>
          <w:p>
            <w:pPr>
              <w:pStyle w:val="TableText"/>
              <w:ind w:left="164"/>
              <w:spacing w:before="284" w:line="184" w:lineRule="auto"/>
              <w:rPr>
                <w:sz w:val="16"/>
                <w:szCs w:val="16"/>
              </w:rPr>
            </w:pPr>
            <w:r>
              <w:rPr>
                <w:sz w:val="16"/>
                <w:szCs w:val="16"/>
                <w:spacing w:val="-5"/>
              </w:rPr>
              <w:t>162</w:t>
            </w:r>
          </w:p>
        </w:tc>
        <w:tc>
          <w:tcPr>
            <w:tcW w:w="1289" w:type="dxa"/>
            <w:vAlign w:val="top"/>
          </w:tcPr>
          <w:p>
            <w:pPr>
              <w:pStyle w:val="TableText"/>
              <w:ind w:left="231"/>
              <w:spacing w:before="243" w:line="219" w:lineRule="auto"/>
              <w:rPr>
                <w:sz w:val="16"/>
                <w:szCs w:val="16"/>
              </w:rPr>
            </w:pPr>
            <w:r>
              <w:rPr>
                <w:sz w:val="16"/>
                <w:szCs w:val="16"/>
                <w:spacing w:val="1"/>
              </w:rPr>
              <w:t>自然炭源部</w:t>
            </w:r>
          </w:p>
        </w:tc>
        <w:tc>
          <w:tcPr>
            <w:tcW w:w="1648" w:type="dxa"/>
            <w:vAlign w:val="top"/>
          </w:tcPr>
          <w:p>
            <w:pPr>
              <w:pStyle w:val="TableText"/>
              <w:ind w:left="42" w:right="99" w:firstLine="50"/>
              <w:spacing w:before="62" w:line="218" w:lineRule="auto"/>
              <w:jc w:val="both"/>
              <w:rPr>
                <w:sz w:val="16"/>
                <w:szCs w:val="16"/>
              </w:rPr>
            </w:pPr>
            <w:r>
              <w:rPr>
                <w:sz w:val="16"/>
                <w:szCs w:val="16"/>
              </w:rPr>
              <w:t>国有建设用总使用权</w:t>
            </w:r>
            <w:r>
              <w:rPr>
                <w:sz w:val="16"/>
                <w:szCs w:val="16"/>
                <w:spacing w:val="5"/>
              </w:rPr>
              <w:t xml:space="preserve"> </w:t>
            </w:r>
            <w:r>
              <w:rPr>
                <w:sz w:val="16"/>
                <w:szCs w:val="16"/>
                <w:spacing w:val="6"/>
              </w:rPr>
              <w:t>出让后士地使用权分</w:t>
            </w:r>
            <w:r>
              <w:rPr>
                <w:sz w:val="16"/>
                <w:szCs w:val="16"/>
                <w:spacing w:val="1"/>
              </w:rPr>
              <w:t xml:space="preserve"> </w:t>
            </w:r>
            <w:r>
              <w:rPr>
                <w:sz w:val="16"/>
                <w:szCs w:val="16"/>
                <w:spacing w:val="1"/>
              </w:rPr>
              <w:t>需料让班度</w:t>
            </w:r>
          </w:p>
        </w:tc>
        <w:tc>
          <w:tcPr>
            <w:tcW w:w="2367" w:type="dxa"/>
            <w:vAlign w:val="top"/>
          </w:tcPr>
          <w:p>
            <w:pPr>
              <w:pStyle w:val="TableText"/>
              <w:ind w:left="73"/>
              <w:spacing w:before="243" w:line="219" w:lineRule="auto"/>
              <w:rPr>
                <w:sz w:val="16"/>
                <w:szCs w:val="16"/>
              </w:rPr>
            </w:pPr>
            <w:r>
              <w:rPr>
                <w:sz w:val="16"/>
                <w:szCs w:val="16"/>
                <w:spacing w:val="1"/>
              </w:rPr>
              <w:t>设区的而级，总级有感欲袭部门</w:t>
            </w:r>
          </w:p>
        </w:tc>
        <w:tc>
          <w:tcPr>
            <w:tcW w:w="3711" w:type="dxa"/>
            <w:vAlign w:val="top"/>
          </w:tcPr>
          <w:p>
            <w:pPr>
              <w:pStyle w:val="TableText"/>
              <w:ind w:left="67" w:right="187"/>
              <w:spacing w:before="163" w:line="219" w:lineRule="auto"/>
              <w:rPr>
                <w:sz w:val="16"/>
                <w:szCs w:val="16"/>
              </w:rPr>
            </w:pPr>
            <w:r>
              <w:rPr>
                <w:sz w:val="16"/>
                <w:szCs w:val="16"/>
              </w:rPr>
              <w:t>(中华人托共和国成镇国有土地忱用双出让和暂让</w:t>
            </w:r>
            <w:r>
              <w:rPr>
                <w:sz w:val="16"/>
                <w:szCs w:val="16"/>
                <w:spacing w:val="5"/>
              </w:rPr>
              <w:t xml:space="preserve"> </w:t>
            </w:r>
            <w:r>
              <w:rPr>
                <w:sz w:val="16"/>
                <w:szCs w:val="16"/>
                <w:spacing w:val="-3"/>
              </w:rPr>
              <w:t>暂行条第》</w:t>
            </w:r>
          </w:p>
        </w:tc>
      </w:tr>
      <w:tr>
        <w:trPr>
          <w:trHeight w:val="449" w:hRule="atLeast"/>
        </w:trPr>
        <w:tc>
          <w:tcPr>
            <w:tcW w:w="584" w:type="dxa"/>
            <w:vAlign w:val="top"/>
          </w:tcPr>
          <w:p>
            <w:pPr>
              <w:pStyle w:val="TableText"/>
              <w:ind w:left="164"/>
              <w:spacing w:before="195" w:line="184" w:lineRule="auto"/>
              <w:rPr>
                <w:sz w:val="16"/>
                <w:szCs w:val="16"/>
              </w:rPr>
            </w:pPr>
            <w:r>
              <w:rPr>
                <w:sz w:val="16"/>
                <w:szCs w:val="16"/>
                <w:spacing w:val="-5"/>
              </w:rPr>
              <w:t>1E3</w:t>
            </w:r>
          </w:p>
        </w:tc>
        <w:tc>
          <w:tcPr>
            <w:tcW w:w="1289" w:type="dxa"/>
            <w:vAlign w:val="top"/>
          </w:tcPr>
          <w:p>
            <w:pPr>
              <w:pStyle w:val="TableText"/>
              <w:ind w:left="231"/>
              <w:spacing w:before="154" w:line="219" w:lineRule="auto"/>
              <w:rPr>
                <w:sz w:val="16"/>
                <w:szCs w:val="16"/>
              </w:rPr>
            </w:pPr>
            <w:r>
              <w:rPr>
                <w:sz w:val="16"/>
                <w:szCs w:val="16"/>
                <w:spacing w:val="1"/>
              </w:rPr>
              <w:t>自然管具命</w:t>
            </w:r>
          </w:p>
        </w:tc>
        <w:tc>
          <w:tcPr>
            <w:tcW w:w="1648" w:type="dxa"/>
            <w:vAlign w:val="top"/>
          </w:tcPr>
          <w:p>
            <w:pPr>
              <w:pStyle w:val="TableText"/>
              <w:ind w:left="62" w:right="113" w:firstLine="30"/>
              <w:spacing w:before="74" w:line="208" w:lineRule="auto"/>
              <w:rPr>
                <w:sz w:val="16"/>
                <w:szCs w:val="16"/>
              </w:rPr>
            </w:pPr>
            <w:r>
              <w:rPr>
                <w:sz w:val="16"/>
                <w:szCs w:val="16"/>
                <w:spacing w:val="-1"/>
              </w:rPr>
              <w:t>参(值)村企业使明集</w:t>
            </w:r>
            <w:r>
              <w:rPr>
                <w:sz w:val="16"/>
                <w:szCs w:val="16"/>
                <w:spacing w:val="1"/>
              </w:rPr>
              <w:t xml:space="preserve"> </w:t>
            </w:r>
            <w:r>
              <w:rPr>
                <w:sz w:val="16"/>
                <w:szCs w:val="16"/>
                <w:spacing w:val="-1"/>
              </w:rPr>
              <w:t>体雄设川地审批</w:t>
            </w:r>
          </w:p>
        </w:tc>
        <w:tc>
          <w:tcPr>
            <w:tcW w:w="2367" w:type="dxa"/>
            <w:vAlign w:val="top"/>
          </w:tcPr>
          <w:p>
            <w:pPr>
              <w:pStyle w:val="TableText"/>
              <w:ind w:left="73" w:right="14" w:firstLine="10"/>
              <w:spacing w:before="74" w:line="208" w:lineRule="auto"/>
              <w:rPr>
                <w:sz w:val="16"/>
                <w:szCs w:val="16"/>
              </w:rPr>
            </w:pPr>
            <w:r>
              <w:rPr>
                <w:sz w:val="16"/>
                <w:szCs w:val="16"/>
                <w:spacing w:val="1"/>
              </w:rPr>
              <w:t>省级，说风的市级，北级蓝组曲</w:t>
            </w:r>
            <w:r>
              <w:rPr>
                <w:sz w:val="16"/>
                <w:szCs w:val="16"/>
                <w:spacing w:val="3"/>
              </w:rPr>
              <w:t xml:space="preserve"> </w:t>
            </w:r>
            <w:r>
              <w:rPr>
                <w:sz w:val="16"/>
                <w:szCs w:val="16"/>
                <w:spacing w:val="3"/>
              </w:rPr>
              <w:t>自然资源部们承办)</w:t>
            </w:r>
          </w:p>
        </w:tc>
        <w:tc>
          <w:tcPr>
            <w:tcW w:w="3711" w:type="dxa"/>
            <w:vAlign w:val="top"/>
          </w:tcPr>
          <w:p>
            <w:pPr>
              <w:pStyle w:val="TableText"/>
              <w:ind w:left="67"/>
              <w:spacing w:before="154" w:line="219" w:lineRule="auto"/>
              <w:rPr>
                <w:sz w:val="16"/>
                <w:szCs w:val="16"/>
              </w:rPr>
            </w:pPr>
            <w:r>
              <w:rPr>
                <w:sz w:val="16"/>
                <w:szCs w:val="16"/>
                <w:spacing w:val="1"/>
              </w:rPr>
              <w:t>C中华人民共和国土流营理法1</w:t>
            </w:r>
          </w:p>
        </w:tc>
      </w:tr>
      <w:tr>
        <w:trPr>
          <w:trHeight w:val="684" w:hRule="atLeast"/>
        </w:trPr>
        <w:tc>
          <w:tcPr>
            <w:tcW w:w="584" w:type="dxa"/>
            <w:vAlign w:val="top"/>
          </w:tcPr>
          <w:p>
            <w:pPr>
              <w:spacing w:line="252" w:lineRule="auto"/>
              <w:rPr>
                <w:rFonts w:ascii="Arial"/>
                <w:sz w:val="21"/>
              </w:rPr>
            </w:pPr>
            <w:r/>
          </w:p>
          <w:p>
            <w:pPr>
              <w:pStyle w:val="TableText"/>
              <w:ind w:left="204"/>
              <w:spacing w:before="52" w:line="184" w:lineRule="auto"/>
              <w:rPr>
                <w:sz w:val="16"/>
                <w:szCs w:val="16"/>
              </w:rPr>
            </w:pPr>
            <w:r>
              <w:rPr>
                <w:sz w:val="16"/>
                <w:szCs w:val="16"/>
                <w:spacing w:val="-5"/>
              </w:rPr>
              <w:t>18</w:t>
            </w:r>
          </w:p>
        </w:tc>
        <w:tc>
          <w:tcPr>
            <w:tcW w:w="1289" w:type="dxa"/>
            <w:vAlign w:val="top"/>
          </w:tcPr>
          <w:p>
            <w:pPr>
              <w:pStyle w:val="TableText"/>
              <w:ind w:left="231"/>
              <w:spacing w:before="265" w:line="219" w:lineRule="auto"/>
              <w:rPr>
                <w:sz w:val="16"/>
                <w:szCs w:val="16"/>
              </w:rPr>
            </w:pPr>
            <w:r>
              <w:rPr>
                <w:sz w:val="16"/>
                <w:szCs w:val="16"/>
                <w:spacing w:val="1"/>
              </w:rPr>
              <w:t>自然防算命</w:t>
            </w:r>
          </w:p>
        </w:tc>
        <w:tc>
          <w:tcPr>
            <w:tcW w:w="1648" w:type="dxa"/>
            <w:vAlign w:val="top"/>
          </w:tcPr>
          <w:p>
            <w:pPr>
              <w:pStyle w:val="TableText"/>
              <w:ind w:left="42" w:right="65" w:firstLine="89"/>
              <w:spacing w:before="73" w:line="228" w:lineRule="auto"/>
              <w:jc w:val="both"/>
              <w:rPr>
                <w:sz w:val="16"/>
                <w:szCs w:val="16"/>
              </w:rPr>
            </w:pPr>
            <w:r>
              <w:rPr>
                <w:sz w:val="16"/>
                <w:szCs w:val="16"/>
              </w:rPr>
              <w:t>卢(镇)村公共我商， </w:t>
            </w:r>
            <w:r>
              <w:rPr>
                <w:sz w:val="16"/>
                <w:szCs w:val="16"/>
                <w:spacing w:val="4"/>
              </w:rPr>
              <w:t>会热事业使用业体建</w:t>
            </w:r>
            <w:r>
              <w:rPr>
                <w:sz w:val="16"/>
                <w:szCs w:val="16"/>
                <w:spacing w:val="7"/>
              </w:rPr>
              <w:t xml:space="preserve"> </w:t>
            </w:r>
            <w:r>
              <w:rPr>
                <w:sz w:val="16"/>
                <w:szCs w:val="16"/>
                <w:spacing w:val="-2"/>
              </w:rPr>
              <w:t>设用通审批</w:t>
            </w:r>
          </w:p>
        </w:tc>
        <w:tc>
          <w:tcPr>
            <w:tcW w:w="2367" w:type="dxa"/>
            <w:vAlign w:val="top"/>
          </w:tcPr>
          <w:p>
            <w:pPr>
              <w:pStyle w:val="TableText"/>
              <w:ind w:left="73" w:firstLine="9"/>
              <w:spacing w:before="154" w:line="237" w:lineRule="auto"/>
              <w:rPr>
                <w:sz w:val="16"/>
                <w:szCs w:val="16"/>
              </w:rPr>
            </w:pPr>
            <w:r>
              <w:rPr>
                <w:sz w:val="16"/>
                <w:szCs w:val="16"/>
                <w:spacing w:val="-4"/>
              </w:rPr>
              <w:t>省级、设区的市级，在经改内(由</w:t>
            </w:r>
            <w:r>
              <w:rPr>
                <w:sz w:val="16"/>
                <w:szCs w:val="16"/>
                <w:spacing w:val="12"/>
              </w:rPr>
              <w:t xml:space="preserve"> </w:t>
            </w:r>
            <w:r>
              <w:rPr>
                <w:sz w:val="16"/>
                <w:szCs w:val="16"/>
                <w:spacing w:val="2"/>
              </w:rPr>
              <w:t>自替蟹源厚门承办)</w:t>
            </w:r>
          </w:p>
        </w:tc>
        <w:tc>
          <w:tcPr>
            <w:tcW w:w="3711" w:type="dxa"/>
            <w:vAlign w:val="top"/>
          </w:tcPr>
          <w:p>
            <w:pPr>
              <w:pStyle w:val="TableText"/>
              <w:spacing w:before="265" w:line="219" w:lineRule="auto"/>
              <w:rPr>
                <w:sz w:val="16"/>
                <w:szCs w:val="16"/>
              </w:rPr>
            </w:pPr>
            <w:r>
              <w:rPr>
                <w:sz w:val="16"/>
                <w:szCs w:val="16"/>
                <w:spacing w:val="-1"/>
              </w:rPr>
              <w:t>《中争人民共和国主地督理法)</w:t>
            </w:r>
          </w:p>
        </w:tc>
      </w:tr>
    </w:tbl>
    <w:p>
      <w:pPr>
        <w:pStyle w:val="BodyText"/>
        <w:rPr/>
      </w:pPr>
      <w:r/>
    </w:p>
    <w:p>
      <w:pPr>
        <w:sectPr>
          <w:pgSz w:w="11910" w:h="8220"/>
          <w:pgMar w:top="400" w:right="1165" w:bottom="400" w:left="801" w:header="0" w:footer="0" w:gutter="0"/>
        </w:sectPr>
        <w:rPr/>
      </w:pPr>
    </w:p>
    <w:p>
      <w:pPr>
        <w:spacing w:before="103"/>
        <w:rPr/>
      </w:pPr>
      <w:r>
        <mc:AlternateContent xmlns:mc="http://schemas.openxmlformats.org/markup-compatibility/2006">
          <mc:Choice Requires="wps">
            <w:drawing>
              <wp:anchor distT="0" distB="0" distL="0" distR="0" simplePos="0" relativeHeight="251840512" behindDoc="0" locked="0" layoutInCell="0" allowOverlap="1">
                <wp:simplePos x="0" y="0"/>
                <wp:positionH relativeFrom="page">
                  <wp:posOffset>470967</wp:posOffset>
                </wp:positionH>
                <wp:positionV relativeFrom="page">
                  <wp:posOffset>4382489</wp:posOffset>
                </wp:positionV>
                <wp:extent cx="203834" cy="214629"/>
                <wp:effectExtent l="0" t="0" r="0" b="0"/>
                <wp:wrapNone/>
                <wp:docPr id="200" name="TextBox 200"/>
                <wp:cNvGraphicFramePr/>
                <a:graphic>
                  <a:graphicData uri="http://schemas.microsoft.com/office/word/2010/wordprocessingShape">
                    <wps:wsp>
                      <wps:cNvSpPr txBox="1"/>
                      <wps:spPr>
                        <a:xfrm rot="5400000">
                          <a:off x="470967" y="4382489"/>
                          <a:ext cx="203834"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181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2" style="position:absolute;margin-left:37.084pt;margin-top:345.078pt;mso-position-vertical-relative:page;mso-position-horizontal-relative:page;width:16.05pt;height:16.9pt;z-index:251840512;rotation:90;" o:allowincell="f" filled="false" stroked="false" type="#_x0000_t202">
                <v:fill on="false"/>
                <v:stroke on="false"/>
                <v:path/>
                <v:imagedata o:title=""/>
                <o:lock v:ext="edit" aspectratio="false"/>
                <v:textbox inset="0mm,0mm,0mm,0mm">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181</w:t>
                      </w:r>
                    </w:p>
                  </w:txbxContent>
                </v:textbox>
              </v:shape>
            </w:pict>
          </mc:Fallback>
        </mc:AlternateContent>
      </w:r>
      <w:r/>
    </w:p>
    <w:tbl>
      <w:tblPr>
        <w:tblStyle w:val="TableNormal"/>
        <w:tblW w:w="9594"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99"/>
        <w:gridCol w:w="1638"/>
        <w:gridCol w:w="2367"/>
        <w:gridCol w:w="3706"/>
      </w:tblGrid>
      <w:tr>
        <w:trPr>
          <w:trHeight w:val="424" w:hRule="atLeast"/>
        </w:trPr>
        <w:tc>
          <w:tcPr>
            <w:tcW w:w="584" w:type="dxa"/>
            <w:vAlign w:val="top"/>
          </w:tcPr>
          <w:p>
            <w:pPr>
              <w:pStyle w:val="TableText"/>
              <w:ind w:left="114"/>
              <w:spacing w:before="132" w:line="219" w:lineRule="auto"/>
              <w:rPr>
                <w:sz w:val="17"/>
                <w:szCs w:val="17"/>
              </w:rPr>
            </w:pPr>
            <w:r>
              <w:rPr>
                <w:sz w:val="17"/>
                <w:szCs w:val="17"/>
                <w:spacing w:val="-2"/>
              </w:rPr>
              <w:t>库量</w:t>
            </w:r>
          </w:p>
        </w:tc>
        <w:tc>
          <w:tcPr>
            <w:tcW w:w="1299" w:type="dxa"/>
            <w:vAlign w:val="top"/>
          </w:tcPr>
          <w:p>
            <w:pPr>
              <w:pStyle w:val="TableText"/>
              <w:ind w:left="130"/>
              <w:spacing w:before="132" w:line="219" w:lineRule="auto"/>
              <w:rPr>
                <w:sz w:val="17"/>
                <w:szCs w:val="17"/>
              </w:rPr>
            </w:pPr>
            <w:r>
              <w:rPr>
                <w:sz w:val="17"/>
                <w:szCs w:val="17"/>
                <w:spacing w:val="3"/>
              </w:rPr>
              <w:t>中夹王臀部门</w:t>
            </w:r>
          </w:p>
        </w:tc>
        <w:tc>
          <w:tcPr>
            <w:tcW w:w="1638" w:type="dxa"/>
            <w:vAlign w:val="top"/>
          </w:tcPr>
          <w:p>
            <w:pPr>
              <w:pStyle w:val="TableText"/>
              <w:ind w:left="471"/>
              <w:spacing w:before="132" w:line="220" w:lineRule="auto"/>
              <w:rPr>
                <w:sz w:val="17"/>
                <w:szCs w:val="17"/>
              </w:rPr>
            </w:pPr>
            <w:r>
              <w:rPr>
                <w:sz w:val="17"/>
                <w:szCs w:val="17"/>
                <w:spacing w:val="-2"/>
              </w:rPr>
              <w:t>事项名称</w:t>
            </w:r>
          </w:p>
        </w:tc>
        <w:tc>
          <w:tcPr>
            <w:tcW w:w="2367" w:type="dxa"/>
            <w:vAlign w:val="top"/>
          </w:tcPr>
          <w:p>
            <w:pPr>
              <w:pStyle w:val="TableText"/>
              <w:ind w:left="834"/>
              <w:spacing w:before="130" w:line="219" w:lineRule="auto"/>
              <w:rPr>
                <w:sz w:val="17"/>
                <w:szCs w:val="17"/>
              </w:rPr>
            </w:pPr>
            <w:r>
              <w:rPr>
                <w:sz w:val="17"/>
                <w:szCs w:val="17"/>
                <w:spacing w:val="-3"/>
              </w:rPr>
              <w:t>实地机关</w:t>
            </w:r>
          </w:p>
        </w:tc>
        <w:tc>
          <w:tcPr>
            <w:tcW w:w="3706" w:type="dxa"/>
            <w:vAlign w:val="top"/>
          </w:tcPr>
          <w:p>
            <w:pPr>
              <w:pStyle w:val="TableText"/>
              <w:ind w:left="1259"/>
              <w:spacing w:before="129" w:line="219" w:lineRule="auto"/>
              <w:rPr>
                <w:sz w:val="17"/>
                <w:szCs w:val="17"/>
              </w:rPr>
            </w:pPr>
            <w:r>
              <w:rPr>
                <w:sz w:val="17"/>
                <w:szCs w:val="17"/>
                <w:b/>
                <w:bCs/>
                <w:spacing w:val="-3"/>
              </w:rPr>
              <w:t>设定和实族体据</w:t>
            </w:r>
          </w:p>
        </w:tc>
      </w:tr>
      <w:tr>
        <w:trPr>
          <w:trHeight w:val="489" w:hRule="atLeast"/>
        </w:trPr>
        <w:tc>
          <w:tcPr>
            <w:tcW w:w="584" w:type="dxa"/>
            <w:vAlign w:val="top"/>
          </w:tcPr>
          <w:p>
            <w:pPr>
              <w:pStyle w:val="TableText"/>
              <w:ind w:left="154"/>
              <w:spacing w:before="200" w:line="184" w:lineRule="auto"/>
              <w:rPr>
                <w:sz w:val="17"/>
                <w:szCs w:val="17"/>
              </w:rPr>
            </w:pPr>
            <w:r>
              <w:rPr>
                <w:sz w:val="17"/>
                <w:szCs w:val="17"/>
                <w:spacing w:val="-5"/>
              </w:rPr>
              <w:t>186</w:t>
            </w:r>
          </w:p>
        </w:tc>
        <w:tc>
          <w:tcPr>
            <w:tcW w:w="1299" w:type="dxa"/>
            <w:vAlign w:val="top"/>
          </w:tcPr>
          <w:p>
            <w:pPr>
              <w:pStyle w:val="TableText"/>
              <w:ind w:left="210"/>
              <w:spacing w:before="158" w:line="219" w:lineRule="auto"/>
              <w:rPr>
                <w:sz w:val="17"/>
                <w:szCs w:val="17"/>
              </w:rPr>
            </w:pPr>
            <w:r>
              <w:rPr>
                <w:sz w:val="17"/>
                <w:szCs w:val="17"/>
                <w:spacing w:val="-2"/>
              </w:rPr>
              <w:t>高然贸草辉</w:t>
            </w:r>
          </w:p>
        </w:tc>
        <w:tc>
          <w:tcPr>
            <w:tcW w:w="1638" w:type="dxa"/>
            <w:vAlign w:val="top"/>
          </w:tcPr>
          <w:p>
            <w:pPr>
              <w:pStyle w:val="TableText"/>
              <w:ind w:left="52"/>
              <w:spacing w:before="158" w:line="219" w:lineRule="auto"/>
              <w:rPr>
                <w:sz w:val="17"/>
                <w:szCs w:val="17"/>
              </w:rPr>
            </w:pPr>
            <w:r>
              <w:rPr>
                <w:sz w:val="17"/>
                <w:szCs w:val="17"/>
                <w:spacing w:val="-2"/>
              </w:rPr>
              <w:t>端时用地审报</w:t>
            </w:r>
          </w:p>
        </w:tc>
        <w:tc>
          <w:tcPr>
            <w:tcW w:w="2367" w:type="dxa"/>
            <w:vAlign w:val="top"/>
          </w:tcPr>
          <w:p>
            <w:pPr>
              <w:pStyle w:val="TableText"/>
              <w:ind w:left="24" w:right="26"/>
              <w:spacing w:before="68" w:line="223" w:lineRule="auto"/>
              <w:rPr>
                <w:sz w:val="17"/>
                <w:szCs w:val="17"/>
              </w:rPr>
            </w:pPr>
            <w:r>
              <w:rPr>
                <w:sz w:val="17"/>
                <w:szCs w:val="17"/>
              </w:rPr>
              <w:t>省级：设区的市级.县级有然量</w:t>
            </w:r>
            <w:r>
              <w:rPr>
                <w:sz w:val="17"/>
                <w:szCs w:val="17"/>
                <w:spacing w:val="10"/>
              </w:rPr>
              <w:t xml:space="preserve"> </w:t>
            </w:r>
            <w:r>
              <w:rPr>
                <w:sz w:val="17"/>
                <w:szCs w:val="17"/>
                <w:spacing w:val="6"/>
              </w:rPr>
              <w:t>薰部门</w:t>
            </w:r>
          </w:p>
        </w:tc>
        <w:tc>
          <w:tcPr>
            <w:tcW w:w="3706" w:type="dxa"/>
            <w:vAlign w:val="top"/>
          </w:tcPr>
          <w:p>
            <w:pPr>
              <w:pStyle w:val="TableText"/>
              <w:spacing w:before="158" w:line="219" w:lineRule="auto"/>
              <w:rPr>
                <w:sz w:val="17"/>
                <w:szCs w:val="17"/>
              </w:rPr>
            </w:pPr>
            <w:r>
              <w:rPr>
                <w:sz w:val="17"/>
                <w:szCs w:val="17"/>
                <w:spacing w:val="-3"/>
              </w:rPr>
              <w:t>《中华人民共和国土地营理法</w:t>
            </w:r>
          </w:p>
        </w:tc>
      </w:tr>
      <w:tr>
        <w:trPr>
          <w:trHeight w:val="499" w:hRule="atLeast"/>
        </w:trPr>
        <w:tc>
          <w:tcPr>
            <w:tcW w:w="584" w:type="dxa"/>
            <w:vAlign w:val="top"/>
          </w:tcPr>
          <w:p>
            <w:pPr>
              <w:pStyle w:val="TableText"/>
              <w:ind w:left="154"/>
              <w:spacing w:before="211" w:line="184" w:lineRule="auto"/>
              <w:rPr>
                <w:sz w:val="17"/>
                <w:szCs w:val="17"/>
              </w:rPr>
            </w:pPr>
            <w:r>
              <w:rPr>
                <w:sz w:val="17"/>
                <w:szCs w:val="17"/>
                <w:spacing w:val="-5"/>
              </w:rPr>
              <w:t>186</w:t>
            </w:r>
          </w:p>
        </w:tc>
        <w:tc>
          <w:tcPr>
            <w:tcW w:w="1299" w:type="dxa"/>
            <w:vAlign w:val="top"/>
          </w:tcPr>
          <w:p>
            <w:pPr>
              <w:pStyle w:val="TableText"/>
              <w:ind w:left="301"/>
              <w:spacing w:before="169" w:line="219" w:lineRule="auto"/>
              <w:rPr>
                <w:sz w:val="17"/>
                <w:szCs w:val="17"/>
              </w:rPr>
            </w:pPr>
            <w:r>
              <w:rPr>
                <w:sz w:val="17"/>
                <w:szCs w:val="17"/>
                <w:spacing w:val="-2"/>
              </w:rPr>
              <w:t>然资菜得</w:t>
            </w:r>
          </w:p>
        </w:tc>
        <w:tc>
          <w:tcPr>
            <w:tcW w:w="1638" w:type="dxa"/>
            <w:vAlign w:val="top"/>
          </w:tcPr>
          <w:p>
            <w:pPr>
              <w:pStyle w:val="TableText"/>
              <w:ind w:left="62" w:right="64" w:hanging="20"/>
              <w:spacing w:before="78" w:line="219" w:lineRule="auto"/>
              <w:rPr>
                <w:sz w:val="17"/>
                <w:szCs w:val="17"/>
              </w:rPr>
            </w:pPr>
            <w:r>
              <w:rPr>
                <w:sz w:val="17"/>
                <w:szCs w:val="17"/>
                <w:spacing w:val="-1"/>
              </w:rPr>
              <w:t>建设用地，临时建设</w:t>
            </w:r>
            <w:r>
              <w:rPr>
                <w:sz w:val="17"/>
                <w:szCs w:val="17"/>
              </w:rPr>
              <w:t xml:space="preserve"> </w:t>
            </w:r>
            <w:r>
              <w:rPr>
                <w:sz w:val="17"/>
                <w:szCs w:val="17"/>
                <w:spacing w:val="-2"/>
              </w:rPr>
              <w:t>用地期期许可</w:t>
            </w:r>
          </w:p>
        </w:tc>
        <w:tc>
          <w:tcPr>
            <w:tcW w:w="2367" w:type="dxa"/>
            <w:vAlign w:val="top"/>
          </w:tcPr>
          <w:p>
            <w:pPr>
              <w:pStyle w:val="TableText"/>
              <w:ind w:left="43" w:hanging="29"/>
              <w:spacing w:before="59" w:line="218" w:lineRule="auto"/>
              <w:rPr>
                <w:sz w:val="17"/>
                <w:szCs w:val="17"/>
              </w:rPr>
            </w:pPr>
            <w:r>
              <w:rPr>
                <w:sz w:val="17"/>
                <w:szCs w:val="17"/>
                <w:spacing w:val="-3"/>
              </w:rPr>
              <w:t>直信雨、设区向事级，是级育热</w:t>
            </w:r>
            <w:r>
              <w:rPr>
                <w:sz w:val="17"/>
                <w:szCs w:val="17"/>
                <w:spacing w:val="3"/>
              </w:rPr>
              <w:t xml:space="preserve"> </w:t>
            </w:r>
            <w:r>
              <w:rPr>
                <w:sz w:val="17"/>
                <w:szCs w:val="17"/>
                <w:spacing w:val="4"/>
              </w:rPr>
              <w:t>能原都门</w:t>
            </w:r>
          </w:p>
        </w:tc>
        <w:tc>
          <w:tcPr>
            <w:tcW w:w="3706" w:type="dxa"/>
            <w:vAlign w:val="top"/>
          </w:tcPr>
          <w:p>
            <w:pPr>
              <w:pStyle w:val="TableText"/>
              <w:spacing w:before="169" w:line="219" w:lineRule="auto"/>
              <w:rPr>
                <w:sz w:val="17"/>
                <w:szCs w:val="17"/>
              </w:rPr>
            </w:pPr>
            <w:r>
              <w:rPr>
                <w:sz w:val="17"/>
                <w:szCs w:val="17"/>
                <w:spacing w:val="-3"/>
              </w:rPr>
              <w:t>《中华人民其和国城多规划法</w:t>
            </w:r>
          </w:p>
        </w:tc>
      </w:tr>
      <w:tr>
        <w:trPr>
          <w:trHeight w:val="699" w:hRule="atLeast"/>
        </w:trPr>
        <w:tc>
          <w:tcPr>
            <w:tcW w:w="584" w:type="dxa"/>
            <w:vAlign w:val="top"/>
          </w:tcPr>
          <w:p>
            <w:pPr>
              <w:spacing w:line="256" w:lineRule="auto"/>
              <w:rPr>
                <w:rFonts w:ascii="Arial"/>
                <w:sz w:val="21"/>
              </w:rPr>
            </w:pPr>
            <w:r/>
          </w:p>
          <w:p>
            <w:pPr>
              <w:pStyle w:val="TableText"/>
              <w:ind w:left="154"/>
              <w:spacing w:before="55" w:line="184" w:lineRule="auto"/>
              <w:rPr>
                <w:sz w:val="17"/>
                <w:szCs w:val="17"/>
              </w:rPr>
            </w:pPr>
            <w:r>
              <w:rPr>
                <w:sz w:val="17"/>
                <w:szCs w:val="17"/>
                <w:spacing w:val="-5"/>
              </w:rPr>
              <w:t>187</w:t>
            </w:r>
          </w:p>
        </w:tc>
        <w:tc>
          <w:tcPr>
            <w:tcW w:w="1299" w:type="dxa"/>
            <w:vAlign w:val="top"/>
          </w:tcPr>
          <w:p>
            <w:pPr>
              <w:pStyle w:val="TableText"/>
              <w:ind w:left="210"/>
              <w:spacing w:before="270" w:line="219" w:lineRule="auto"/>
              <w:rPr>
                <w:sz w:val="17"/>
                <w:szCs w:val="17"/>
              </w:rPr>
            </w:pPr>
            <w:r>
              <w:rPr>
                <w:sz w:val="17"/>
                <w:szCs w:val="17"/>
                <w:spacing w:val="1"/>
              </w:rPr>
              <w:t>自愁资源部</w:t>
            </w:r>
          </w:p>
        </w:tc>
        <w:tc>
          <w:tcPr>
            <w:tcW w:w="1638" w:type="dxa"/>
            <w:vAlign w:val="top"/>
          </w:tcPr>
          <w:p>
            <w:pPr>
              <w:pStyle w:val="TableText"/>
              <w:ind w:left="12" w:firstLine="29"/>
              <w:spacing w:before="68" w:line="222" w:lineRule="auto"/>
              <w:jc w:val="both"/>
              <w:rPr>
                <w:sz w:val="17"/>
                <w:szCs w:val="17"/>
              </w:rPr>
            </w:pPr>
            <w:r>
              <w:rPr>
                <w:sz w:val="17"/>
                <w:szCs w:val="17"/>
                <w:spacing w:val="-1"/>
              </w:rPr>
              <w:t>开爱亲确定使用权的 </w:t>
            </w:r>
            <w:r>
              <w:rPr>
                <w:sz w:val="17"/>
                <w:szCs w:val="17"/>
                <w:spacing w:val="-9"/>
              </w:rPr>
              <w:t>国有宽山，气跑，震用</w:t>
            </w:r>
            <w:r>
              <w:rPr>
                <w:sz w:val="17"/>
                <w:szCs w:val="17"/>
                <w:spacing w:val="4"/>
              </w:rPr>
              <w:t xml:space="preserve"> </w:t>
            </w:r>
            <w:r>
              <w:rPr>
                <w:sz w:val="17"/>
                <w:szCs w:val="17"/>
                <w:spacing w:val="2"/>
              </w:rPr>
              <w:t>从省生产审查</w:t>
            </w:r>
          </w:p>
        </w:tc>
        <w:tc>
          <w:tcPr>
            <w:tcW w:w="2367" w:type="dxa"/>
            <w:vAlign w:val="top"/>
          </w:tcPr>
          <w:p>
            <w:pPr>
              <w:pStyle w:val="TableText"/>
              <w:ind w:left="43" w:hanging="29"/>
              <w:spacing w:before="158" w:line="229" w:lineRule="auto"/>
              <w:rPr>
                <w:sz w:val="17"/>
                <w:szCs w:val="17"/>
              </w:rPr>
            </w:pPr>
            <w:r>
              <w:rPr>
                <w:sz w:val="17"/>
                <w:szCs w:val="17"/>
                <w:spacing w:val="-9"/>
              </w:rPr>
              <w:t>省级，设区的市级，母级政府(出</w:t>
            </w:r>
            <w:r>
              <w:rPr>
                <w:sz w:val="17"/>
                <w:szCs w:val="17"/>
                <w:spacing w:val="11"/>
              </w:rPr>
              <w:t xml:space="preserve"> </w:t>
            </w:r>
            <w:r>
              <w:rPr>
                <w:sz w:val="17"/>
                <w:szCs w:val="17"/>
                <w:spacing w:val="2"/>
              </w:rPr>
              <w:t>位然资幕喜门承办)</w:t>
            </w:r>
          </w:p>
        </w:tc>
        <w:tc>
          <w:tcPr>
            <w:tcW w:w="3706" w:type="dxa"/>
            <w:vAlign w:val="top"/>
          </w:tcPr>
          <w:p>
            <w:pPr>
              <w:pStyle w:val="TableText"/>
              <w:spacing w:before="180" w:line="206" w:lineRule="auto"/>
              <w:rPr>
                <w:sz w:val="17"/>
                <w:szCs w:val="17"/>
              </w:rPr>
            </w:pPr>
            <w:r>
              <w:rPr>
                <w:sz w:val="17"/>
                <w:szCs w:val="17"/>
                <w:spacing w:val="-3"/>
              </w:rPr>
              <w:t>《中学人民共和国士的营理法</w:t>
            </w:r>
          </w:p>
          <w:p>
            <w:pPr>
              <w:pStyle w:val="TableText"/>
              <w:spacing w:line="219" w:lineRule="auto"/>
              <w:rPr>
                <w:sz w:val="17"/>
                <w:szCs w:val="17"/>
              </w:rPr>
            </w:pPr>
            <w:r>
              <w:rPr>
                <w:sz w:val="17"/>
                <w:szCs w:val="17"/>
                <w:spacing w:val="-3"/>
              </w:rPr>
              <w:t>《中华人民共和国土地管理法实融备例</w:t>
            </w:r>
          </w:p>
        </w:tc>
      </w:tr>
      <w:tr>
        <w:trPr>
          <w:trHeight w:val="1708" w:hRule="atLeast"/>
        </w:trPr>
        <w:tc>
          <w:tcPr>
            <w:tcW w:w="58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54"/>
              <w:spacing w:before="55" w:line="184" w:lineRule="auto"/>
              <w:rPr>
                <w:sz w:val="17"/>
                <w:szCs w:val="17"/>
              </w:rPr>
            </w:pPr>
            <w:r>
              <w:rPr>
                <w:sz w:val="17"/>
                <w:szCs w:val="17"/>
                <w:spacing w:val="-5"/>
              </w:rPr>
              <w:t>188</w:t>
            </w:r>
          </w:p>
        </w:tc>
        <w:tc>
          <w:tcPr>
            <w:tcW w:w="1299" w:type="dxa"/>
            <w:vAlign w:val="top"/>
          </w:tcPr>
          <w:p>
            <w:pPr>
              <w:spacing w:line="355" w:lineRule="auto"/>
              <w:rPr>
                <w:rFonts w:ascii="Arial"/>
                <w:sz w:val="21"/>
              </w:rPr>
            </w:pPr>
            <w:r/>
          </w:p>
          <w:p>
            <w:pPr>
              <w:spacing w:line="355" w:lineRule="auto"/>
              <w:rPr>
                <w:rFonts w:ascii="Arial"/>
                <w:sz w:val="21"/>
              </w:rPr>
            </w:pPr>
            <w:r/>
          </w:p>
          <w:p>
            <w:pPr>
              <w:pStyle w:val="TableText"/>
              <w:ind w:left="210"/>
              <w:spacing w:before="55" w:line="219" w:lineRule="auto"/>
              <w:rPr>
                <w:sz w:val="17"/>
                <w:szCs w:val="17"/>
              </w:rPr>
            </w:pPr>
            <w:r>
              <w:rPr>
                <w:sz w:val="17"/>
                <w:szCs w:val="17"/>
                <w:spacing w:val="-2"/>
              </w:rPr>
              <w:t>生本环境部</w:t>
            </w:r>
          </w:p>
        </w:tc>
        <w:tc>
          <w:tcPr>
            <w:tcW w:w="1638" w:type="dxa"/>
            <w:vAlign w:val="top"/>
          </w:tcPr>
          <w:p>
            <w:pPr>
              <w:spacing w:line="306" w:lineRule="auto"/>
              <w:rPr>
                <w:rFonts w:ascii="Arial"/>
                <w:sz w:val="21"/>
              </w:rPr>
            </w:pPr>
            <w:r/>
          </w:p>
          <w:p>
            <w:pPr>
              <w:spacing w:line="306" w:lineRule="auto"/>
              <w:rPr>
                <w:rFonts w:ascii="Arial"/>
                <w:sz w:val="21"/>
              </w:rPr>
            </w:pPr>
            <w:r/>
          </w:p>
          <w:p>
            <w:pPr>
              <w:pStyle w:val="TableText"/>
              <w:ind w:left="22" w:right="65" w:firstLine="20"/>
              <w:spacing w:before="55" w:line="222" w:lineRule="auto"/>
              <w:rPr>
                <w:sz w:val="17"/>
                <w:szCs w:val="17"/>
              </w:rPr>
            </w:pPr>
            <w:r>
              <w:rPr>
                <w:sz w:val="17"/>
                <w:szCs w:val="17"/>
                <w:spacing w:val="-2"/>
              </w:rPr>
              <w:t>一能建设被目环境感</w:t>
            </w:r>
            <w:r>
              <w:rPr>
                <w:sz w:val="17"/>
                <w:szCs w:val="17"/>
                <w:spacing w:val="7"/>
              </w:rPr>
              <w:t xml:space="preserve"> </w:t>
            </w:r>
            <w:r>
              <w:rPr>
                <w:sz w:val="17"/>
                <w:szCs w:val="17"/>
                <w:spacing w:val="1"/>
              </w:rPr>
              <w:t>响评价审批</w:t>
            </w:r>
          </w:p>
        </w:tc>
        <w:tc>
          <w:tcPr>
            <w:tcW w:w="2367" w:type="dxa"/>
            <w:vAlign w:val="top"/>
          </w:tcPr>
          <w:p>
            <w:pPr>
              <w:spacing w:line="301" w:lineRule="auto"/>
              <w:rPr>
                <w:rFonts w:ascii="Arial"/>
                <w:sz w:val="21"/>
              </w:rPr>
            </w:pPr>
            <w:r/>
          </w:p>
          <w:p>
            <w:pPr>
              <w:spacing w:line="301" w:lineRule="auto"/>
              <w:rPr>
                <w:rFonts w:ascii="Arial"/>
                <w:sz w:val="21"/>
              </w:rPr>
            </w:pPr>
            <w:r/>
          </w:p>
          <w:p>
            <w:pPr>
              <w:pStyle w:val="TableText"/>
              <w:ind w:left="42" w:hanging="28"/>
              <w:spacing w:before="55" w:line="224" w:lineRule="auto"/>
              <w:rPr>
                <w:sz w:val="17"/>
                <w:szCs w:val="17"/>
              </w:rPr>
            </w:pPr>
            <w:r>
              <w:rPr>
                <w:sz w:val="17"/>
                <w:szCs w:val="17"/>
                <w:spacing w:val="-14"/>
              </w:rPr>
              <w:t>生古环调部，者城，设区的有煤。</w:t>
            </w:r>
            <w:r>
              <w:rPr>
                <w:sz w:val="17"/>
                <w:szCs w:val="17"/>
                <w:spacing w:val="1"/>
              </w:rPr>
              <w:t xml:space="preserve"> </w:t>
            </w:r>
            <w:r>
              <w:rPr>
                <w:sz w:val="17"/>
                <w:szCs w:val="17"/>
                <w:spacing w:val="-4"/>
              </w:rPr>
              <w:t>县级生卷环境船/1</w:t>
            </w:r>
          </w:p>
        </w:tc>
        <w:tc>
          <w:tcPr>
            <w:tcW w:w="3706" w:type="dxa"/>
            <w:vAlign w:val="top"/>
          </w:tcPr>
          <w:p>
            <w:pPr>
              <w:pStyle w:val="TableText"/>
              <w:spacing w:before="91" w:line="194" w:lineRule="auto"/>
              <w:rPr>
                <w:sz w:val="17"/>
                <w:szCs w:val="17"/>
              </w:rPr>
            </w:pPr>
            <w:r>
              <w:rPr>
                <w:sz w:val="17"/>
                <w:szCs w:val="17"/>
                <w:spacing w:val="-3"/>
              </w:rPr>
              <w:t>《中华人现共和侧界境保护块》</w:t>
            </w:r>
          </w:p>
          <w:p>
            <w:pPr>
              <w:pStyle w:val="TableText"/>
              <w:ind w:left="56"/>
              <w:spacing w:line="229" w:lineRule="auto"/>
              <w:rPr>
                <w:sz w:val="17"/>
                <w:szCs w:val="17"/>
              </w:rPr>
            </w:pPr>
            <w:r>
              <w:rPr>
                <w:sz w:val="17"/>
                <w:szCs w:val="17"/>
              </w:rPr>
              <w:t>中华人风共和国环情要约评价芯上</w:t>
            </w:r>
          </w:p>
          <w:p>
            <w:pPr>
              <w:pStyle w:val="TableText"/>
              <w:ind w:left="56"/>
              <w:spacing w:line="206" w:lineRule="auto"/>
              <w:rPr>
                <w:sz w:val="17"/>
                <w:szCs w:val="17"/>
              </w:rPr>
            </w:pPr>
            <w:r>
              <w:rPr>
                <w:sz w:val="17"/>
                <w:szCs w:val="17"/>
                <w:spacing w:val="-1"/>
              </w:rPr>
              <w:t>中中人民共和国水污杂防翁法》</w:t>
            </w:r>
          </w:p>
          <w:p>
            <w:pPr>
              <w:pStyle w:val="TableText"/>
              <w:spacing w:line="217" w:lineRule="auto"/>
              <w:rPr>
                <w:sz w:val="17"/>
                <w:szCs w:val="17"/>
              </w:rPr>
            </w:pPr>
            <w:r>
              <w:rPr>
                <w:sz w:val="17"/>
                <w:szCs w:val="17"/>
                <w:spacing w:val="-3"/>
              </w:rPr>
              <w:t>《中华人民共和侧大气问密防治法</w:t>
            </w:r>
          </w:p>
          <w:p>
            <w:pPr>
              <w:pStyle w:val="TableText"/>
              <w:spacing w:line="219" w:lineRule="auto"/>
              <w:rPr>
                <w:sz w:val="17"/>
                <w:szCs w:val="17"/>
              </w:rPr>
            </w:pPr>
            <w:r>
              <w:rPr>
                <w:sz w:val="17"/>
                <w:szCs w:val="17"/>
                <w:spacing w:val="-2"/>
              </w:rPr>
              <w:t>《中华人民共和圆土骤行欺助治法1</w:t>
            </w:r>
          </w:p>
          <w:p>
            <w:pPr>
              <w:pStyle w:val="TableText"/>
              <w:ind w:left="56"/>
              <w:spacing w:before="9" w:line="216" w:lineRule="auto"/>
              <w:rPr>
                <w:sz w:val="17"/>
                <w:szCs w:val="17"/>
              </w:rPr>
            </w:pPr>
            <w:r>
              <w:rPr>
                <w:sz w:val="17"/>
                <w:szCs w:val="17"/>
                <w:spacing w:val="1"/>
              </w:rPr>
              <w:t>(中华人民其和面黑体废需污染环地防准法)</w:t>
            </w:r>
          </w:p>
          <w:p>
            <w:pPr>
              <w:pStyle w:val="TableText"/>
              <w:ind w:left="56"/>
              <w:spacing w:line="229" w:lineRule="exact"/>
              <w:rPr>
                <w:sz w:val="17"/>
                <w:szCs w:val="17"/>
              </w:rPr>
            </w:pPr>
            <w:r>
              <w:rPr>
                <w:sz w:val="17"/>
                <w:szCs w:val="17"/>
                <w:position w:val="4"/>
              </w:rPr>
              <w:t>(中华人民共和国确声污取防消获</w:t>
            </w:r>
          </w:p>
          <w:p>
            <w:pPr>
              <w:pStyle w:val="TableText"/>
              <w:ind w:left="56"/>
              <w:spacing w:line="203" w:lineRule="auto"/>
              <w:rPr>
                <w:sz w:val="17"/>
                <w:szCs w:val="17"/>
              </w:rPr>
            </w:pPr>
            <w:r>
              <w:rPr>
                <w:sz w:val="17"/>
                <w:szCs w:val="17"/>
                <w:spacing w:val="2"/>
              </w:rPr>
              <w:t>(建汉项日环境保护登理条例)</w:t>
            </w:r>
          </w:p>
        </w:tc>
      </w:tr>
      <w:tr>
        <w:trPr>
          <w:trHeight w:val="1108" w:hRule="atLeast"/>
        </w:trPr>
        <w:tc>
          <w:tcPr>
            <w:tcW w:w="584" w:type="dxa"/>
            <w:vAlign w:val="top"/>
          </w:tcPr>
          <w:p>
            <w:pPr>
              <w:spacing w:line="457" w:lineRule="auto"/>
              <w:rPr>
                <w:rFonts w:ascii="Arial"/>
                <w:sz w:val="21"/>
              </w:rPr>
            </w:pPr>
            <w:r/>
          </w:p>
          <w:p>
            <w:pPr>
              <w:pStyle w:val="TableText"/>
              <w:ind w:left="154"/>
              <w:spacing w:before="56" w:line="184" w:lineRule="auto"/>
              <w:rPr>
                <w:sz w:val="17"/>
                <w:szCs w:val="17"/>
              </w:rPr>
            </w:pPr>
            <w:r>
              <w:rPr>
                <w:sz w:val="17"/>
                <w:szCs w:val="17"/>
                <w:spacing w:val="-5"/>
              </w:rPr>
              <w:t>189</w:t>
            </w:r>
          </w:p>
        </w:tc>
        <w:tc>
          <w:tcPr>
            <w:tcW w:w="1299" w:type="dxa"/>
            <w:vAlign w:val="top"/>
          </w:tcPr>
          <w:p>
            <w:pPr>
              <w:spacing w:line="415" w:lineRule="auto"/>
              <w:rPr>
                <w:rFonts w:ascii="Arial"/>
                <w:sz w:val="21"/>
              </w:rPr>
            </w:pPr>
            <w:r/>
          </w:p>
          <w:p>
            <w:pPr>
              <w:pStyle w:val="TableText"/>
              <w:ind w:left="210"/>
              <w:spacing w:before="55" w:line="219" w:lineRule="auto"/>
              <w:rPr>
                <w:sz w:val="17"/>
                <w:szCs w:val="17"/>
              </w:rPr>
            </w:pPr>
            <w:r>
              <w:rPr>
                <w:sz w:val="17"/>
                <w:szCs w:val="17"/>
                <w:spacing w:val="-2"/>
              </w:rPr>
              <w:t>生老环撞部</w:t>
            </w:r>
          </w:p>
        </w:tc>
        <w:tc>
          <w:tcPr>
            <w:tcW w:w="1638" w:type="dxa"/>
            <w:vAlign w:val="top"/>
          </w:tcPr>
          <w:p>
            <w:pPr>
              <w:spacing w:line="315" w:lineRule="auto"/>
              <w:rPr>
                <w:rFonts w:ascii="Arial"/>
                <w:sz w:val="21"/>
              </w:rPr>
            </w:pPr>
            <w:r/>
          </w:p>
          <w:p>
            <w:pPr>
              <w:pStyle w:val="TableText"/>
              <w:ind w:left="42" w:right="63"/>
              <w:spacing w:before="55" w:line="217" w:lineRule="auto"/>
              <w:rPr>
                <w:sz w:val="17"/>
                <w:szCs w:val="17"/>
              </w:rPr>
            </w:pPr>
            <w:r>
              <w:rPr>
                <w:sz w:val="17"/>
                <w:szCs w:val="17"/>
                <w:spacing w:val="-1"/>
              </w:rPr>
              <w:t>两洋工程建设项目环</w:t>
            </w:r>
            <w:r>
              <w:rPr>
                <w:sz w:val="17"/>
                <w:szCs w:val="17"/>
              </w:rPr>
              <w:t xml:space="preserve"> </w:t>
            </w:r>
            <w:r>
              <w:rPr>
                <w:sz w:val="17"/>
                <w:szCs w:val="17"/>
                <w:spacing w:val="-1"/>
              </w:rPr>
              <w:t>地断常评价审被</w:t>
            </w:r>
          </w:p>
        </w:tc>
        <w:tc>
          <w:tcPr>
            <w:tcW w:w="2367" w:type="dxa"/>
            <w:vAlign w:val="top"/>
          </w:tcPr>
          <w:p>
            <w:pPr>
              <w:spacing w:line="315" w:lineRule="auto"/>
              <w:rPr>
                <w:rFonts w:ascii="Arial"/>
                <w:sz w:val="21"/>
              </w:rPr>
            </w:pPr>
            <w:r/>
          </w:p>
          <w:p>
            <w:pPr>
              <w:pStyle w:val="TableText"/>
              <w:ind w:left="71" w:hanging="57"/>
              <w:spacing w:before="56" w:line="229" w:lineRule="auto"/>
              <w:rPr>
                <w:sz w:val="17"/>
                <w:szCs w:val="17"/>
              </w:rPr>
            </w:pPr>
            <w:r>
              <w:rPr>
                <w:sz w:val="17"/>
                <w:szCs w:val="17"/>
                <w:spacing w:val="-14"/>
              </w:rPr>
              <w:t>生态环境部；省级、设区的重很。</w:t>
            </w:r>
            <w:r>
              <w:rPr>
                <w:sz w:val="17"/>
                <w:szCs w:val="17"/>
                <w:spacing w:val="1"/>
              </w:rPr>
              <w:t xml:space="preserve"> </w:t>
            </w:r>
            <w:r>
              <w:rPr>
                <w:sz w:val="17"/>
                <w:szCs w:val="17"/>
                <w:spacing w:val="-3"/>
              </w:rPr>
              <w:t>兵取生志环凌部门</w:t>
            </w:r>
          </w:p>
        </w:tc>
        <w:tc>
          <w:tcPr>
            <w:tcW w:w="3706" w:type="dxa"/>
            <w:vAlign w:val="top"/>
          </w:tcPr>
          <w:p>
            <w:pPr>
              <w:pStyle w:val="TableText"/>
              <w:ind w:left="56"/>
              <w:spacing w:before="72" w:line="217" w:lineRule="auto"/>
              <w:rPr>
                <w:sz w:val="17"/>
                <w:szCs w:val="17"/>
              </w:rPr>
            </w:pPr>
            <w:r>
              <w:rPr>
                <w:sz w:val="17"/>
                <w:szCs w:val="17"/>
                <w:spacing w:val="-1"/>
              </w:rPr>
              <w:t>1中华人民共和面环装保护法》</w:t>
            </w:r>
          </w:p>
          <w:p>
            <w:pPr>
              <w:pStyle w:val="TableText"/>
              <w:ind w:left="84"/>
              <w:spacing w:line="238" w:lineRule="auto"/>
              <w:rPr>
                <w:sz w:val="17"/>
                <w:szCs w:val="17"/>
              </w:rPr>
            </w:pPr>
            <w:r>
              <w:rPr>
                <w:sz w:val="17"/>
                <w:szCs w:val="17"/>
                <w:spacing w:val="-1"/>
              </w:rPr>
              <w:t>1中华人民共和国环境影响评快法1</w:t>
            </w:r>
          </w:p>
          <w:p>
            <w:pPr>
              <w:pStyle w:val="TableText"/>
              <w:spacing w:line="206" w:lineRule="auto"/>
              <w:rPr>
                <w:sz w:val="17"/>
                <w:szCs w:val="17"/>
              </w:rPr>
            </w:pPr>
            <w:r>
              <w:rPr>
                <w:sz w:val="17"/>
                <w:szCs w:val="17"/>
                <w:spacing w:val="-3"/>
              </w:rPr>
              <w:t>《中华入民共和国海洋环埋保护秸</w:t>
            </w:r>
          </w:p>
          <w:p>
            <w:pPr>
              <w:pStyle w:val="TableText"/>
              <w:ind w:left="64" w:right="9" w:hanging="64"/>
              <w:spacing w:line="225" w:lineRule="auto"/>
              <w:rPr>
                <w:sz w:val="17"/>
                <w:szCs w:val="17"/>
              </w:rPr>
            </w:pPr>
            <w:r>
              <w:rPr>
                <w:sz w:val="17"/>
                <w:szCs w:val="17"/>
                <w:spacing w:val="-3"/>
              </w:rPr>
              <w:t>《数前海洋工程建设项目行套预含海洋环坡管理条</w:t>
            </w:r>
            <w:r>
              <w:rPr>
                <w:sz w:val="17"/>
                <w:szCs w:val="17"/>
                <w:spacing w:val="11"/>
              </w:rPr>
              <w:t xml:space="preserve"> </w:t>
            </w:r>
            <w:r>
              <w:rPr>
                <w:sz w:val="17"/>
                <w:szCs w:val="17"/>
              </w:rPr>
              <w:t>渊</w:t>
            </w:r>
          </w:p>
        </w:tc>
      </w:tr>
      <w:tr>
        <w:trPr>
          <w:trHeight w:val="899" w:hRule="atLeast"/>
        </w:trPr>
        <w:tc>
          <w:tcPr>
            <w:tcW w:w="584" w:type="dxa"/>
            <w:vAlign w:val="top"/>
          </w:tcPr>
          <w:p>
            <w:pPr>
              <w:spacing w:line="360" w:lineRule="auto"/>
              <w:rPr>
                <w:rFonts w:ascii="Arial"/>
                <w:sz w:val="21"/>
              </w:rPr>
            </w:pPr>
            <w:r/>
          </w:p>
          <w:p>
            <w:pPr>
              <w:pStyle w:val="TableText"/>
              <w:ind w:left="154"/>
              <w:spacing w:before="55" w:line="184" w:lineRule="auto"/>
              <w:rPr>
                <w:sz w:val="17"/>
                <w:szCs w:val="17"/>
              </w:rPr>
            </w:pPr>
            <w:r>
              <w:rPr>
                <w:sz w:val="17"/>
                <w:szCs w:val="17"/>
                <w:spacing w:val="-5"/>
              </w:rPr>
              <w:t>190</w:t>
            </w:r>
          </w:p>
        </w:tc>
        <w:tc>
          <w:tcPr>
            <w:tcW w:w="1299" w:type="dxa"/>
            <w:vAlign w:val="top"/>
          </w:tcPr>
          <w:p>
            <w:pPr>
              <w:spacing w:line="317" w:lineRule="auto"/>
              <w:rPr>
                <w:rFonts w:ascii="Arial"/>
                <w:sz w:val="21"/>
              </w:rPr>
            </w:pPr>
            <w:r/>
          </w:p>
          <w:p>
            <w:pPr>
              <w:pStyle w:val="TableText"/>
              <w:ind w:left="210"/>
              <w:spacing w:before="56" w:line="219" w:lineRule="auto"/>
              <w:rPr>
                <w:sz w:val="17"/>
                <w:szCs w:val="17"/>
              </w:rPr>
            </w:pPr>
            <w:r>
              <w:rPr>
                <w:sz w:val="17"/>
                <w:szCs w:val="17"/>
                <w:spacing w:val="-2"/>
              </w:rPr>
              <w:t>生卷环填部</w:t>
            </w:r>
          </w:p>
        </w:tc>
        <w:tc>
          <w:tcPr>
            <w:tcW w:w="1638" w:type="dxa"/>
            <w:vAlign w:val="top"/>
          </w:tcPr>
          <w:p>
            <w:pPr>
              <w:pStyle w:val="TableText"/>
              <w:ind w:left="52" w:right="23" w:hanging="10"/>
              <w:spacing w:before="265" w:line="233" w:lineRule="auto"/>
              <w:rPr>
                <w:sz w:val="17"/>
                <w:szCs w:val="17"/>
              </w:rPr>
            </w:pPr>
            <w:r>
              <w:rPr>
                <w:sz w:val="17"/>
                <w:szCs w:val="17"/>
                <w:spacing w:val="3"/>
              </w:rPr>
              <w:t>栋与辐射类建设项目</w:t>
            </w:r>
            <w:r>
              <w:rPr>
                <w:sz w:val="17"/>
                <w:szCs w:val="17"/>
                <w:spacing w:val="4"/>
              </w:rPr>
              <w:t xml:space="preserve"> </w:t>
            </w:r>
            <w:r>
              <w:rPr>
                <w:sz w:val="17"/>
                <w:szCs w:val="17"/>
                <w:spacing w:val="-1"/>
              </w:rPr>
              <w:t>球填您明评价审批</w:t>
            </w:r>
          </w:p>
        </w:tc>
        <w:tc>
          <w:tcPr>
            <w:tcW w:w="2367" w:type="dxa"/>
            <w:vAlign w:val="top"/>
          </w:tcPr>
          <w:p>
            <w:pPr>
              <w:pStyle w:val="TableText"/>
              <w:ind w:left="54" w:right="23" w:hanging="30"/>
              <w:spacing w:before="264" w:line="223" w:lineRule="auto"/>
              <w:rPr>
                <w:sz w:val="17"/>
                <w:szCs w:val="17"/>
              </w:rPr>
            </w:pPr>
            <w:r>
              <w:rPr>
                <w:sz w:val="17"/>
                <w:szCs w:val="17"/>
                <w:spacing w:val="1"/>
              </w:rPr>
              <w:t>生态环域高；省级.设区的市部</w:t>
            </w:r>
            <w:r>
              <w:rPr>
                <w:sz w:val="17"/>
                <w:szCs w:val="17"/>
              </w:rPr>
              <w:t xml:space="preserve"> </w:t>
            </w:r>
            <w:r>
              <w:rPr>
                <w:sz w:val="17"/>
                <w:szCs w:val="17"/>
                <w:spacing w:val="2"/>
              </w:rPr>
              <w:t>县依生泰环掩那门</w:t>
            </w:r>
          </w:p>
        </w:tc>
        <w:tc>
          <w:tcPr>
            <w:tcW w:w="3706" w:type="dxa"/>
            <w:vAlign w:val="top"/>
          </w:tcPr>
          <w:p>
            <w:pPr>
              <w:pStyle w:val="TableText"/>
              <w:spacing w:before="64" w:line="216" w:lineRule="auto"/>
              <w:rPr>
                <w:sz w:val="17"/>
                <w:szCs w:val="17"/>
              </w:rPr>
            </w:pPr>
            <w:r>
              <w:rPr>
                <w:sz w:val="17"/>
                <w:szCs w:val="17"/>
                <w:spacing w:val="-4"/>
              </w:rPr>
              <w:t>《中华人民共和国环境保护贴?</w:t>
            </w:r>
          </w:p>
          <w:p>
            <w:pPr>
              <w:pStyle w:val="TableText"/>
              <w:spacing w:line="229" w:lineRule="auto"/>
              <w:rPr>
                <w:sz w:val="17"/>
                <w:szCs w:val="17"/>
              </w:rPr>
            </w:pPr>
            <w:r>
              <w:rPr>
                <w:sz w:val="17"/>
                <w:szCs w:val="17"/>
                <w:spacing w:val="-3"/>
              </w:rPr>
              <w:t>《中华人民具和国环境操喻评价法》</w:t>
            </w:r>
          </w:p>
          <w:p>
            <w:pPr>
              <w:pStyle w:val="TableText"/>
              <w:spacing w:line="219" w:lineRule="auto"/>
              <w:rPr>
                <w:sz w:val="17"/>
                <w:szCs w:val="17"/>
              </w:rPr>
            </w:pPr>
            <w:r>
              <w:rPr>
                <w:sz w:val="17"/>
                <w:szCs w:val="17"/>
                <w:spacing w:val="-3"/>
              </w:rPr>
              <w:t>《中华人没我和国意财性污步防希法</w:t>
            </w:r>
          </w:p>
          <w:p>
            <w:pPr>
              <w:pStyle w:val="TableText"/>
              <w:spacing w:before="8" w:line="219" w:lineRule="auto"/>
              <w:rPr>
                <w:sz w:val="17"/>
                <w:szCs w:val="17"/>
              </w:rPr>
            </w:pPr>
            <w:r>
              <w:rPr>
                <w:sz w:val="17"/>
                <w:szCs w:val="17"/>
                <w:spacing w:val="-3"/>
              </w:rPr>
              <w:t>《中华人民共和国祛安全法》</w:t>
            </w:r>
          </w:p>
        </w:tc>
      </w:tr>
      <w:tr>
        <w:trPr>
          <w:trHeight w:val="794" w:hRule="atLeast"/>
        </w:trPr>
        <w:tc>
          <w:tcPr>
            <w:tcW w:w="584" w:type="dxa"/>
            <w:vAlign w:val="top"/>
          </w:tcPr>
          <w:p>
            <w:pPr>
              <w:spacing w:line="301" w:lineRule="auto"/>
              <w:rPr>
                <w:rFonts w:ascii="Arial"/>
                <w:sz w:val="21"/>
              </w:rPr>
            </w:pPr>
            <w:r/>
          </w:p>
          <w:p>
            <w:pPr>
              <w:pStyle w:val="TableText"/>
              <w:ind w:left="154"/>
              <w:spacing w:before="56" w:line="184" w:lineRule="auto"/>
              <w:rPr>
                <w:sz w:val="17"/>
                <w:szCs w:val="17"/>
              </w:rPr>
            </w:pPr>
            <w:r>
              <w:rPr>
                <w:sz w:val="17"/>
                <w:szCs w:val="17"/>
                <w:spacing w:val="-5"/>
              </w:rPr>
              <w:t>101</w:t>
            </w:r>
          </w:p>
        </w:tc>
        <w:tc>
          <w:tcPr>
            <w:tcW w:w="1299" w:type="dxa"/>
            <w:vAlign w:val="top"/>
          </w:tcPr>
          <w:p>
            <w:pPr>
              <w:spacing w:line="259" w:lineRule="auto"/>
              <w:rPr>
                <w:rFonts w:ascii="Arial"/>
                <w:sz w:val="21"/>
              </w:rPr>
            </w:pPr>
            <w:r/>
          </w:p>
          <w:p>
            <w:pPr>
              <w:pStyle w:val="TableText"/>
              <w:ind w:left="210"/>
              <w:spacing w:before="55" w:line="219" w:lineRule="auto"/>
              <w:rPr>
                <w:sz w:val="17"/>
                <w:szCs w:val="17"/>
              </w:rPr>
            </w:pPr>
            <w:r>
              <w:rPr>
                <w:sz w:val="17"/>
                <w:szCs w:val="17"/>
                <w:spacing w:val="-2"/>
              </w:rPr>
              <w:t>生卷环填部</w:t>
            </w:r>
          </w:p>
        </w:tc>
        <w:tc>
          <w:tcPr>
            <w:tcW w:w="1638" w:type="dxa"/>
            <w:vAlign w:val="top"/>
          </w:tcPr>
          <w:p>
            <w:pPr>
              <w:pStyle w:val="TableText"/>
              <w:ind w:left="42" w:right="63"/>
              <w:spacing w:before="227" w:line="223" w:lineRule="auto"/>
              <w:rPr>
                <w:sz w:val="17"/>
                <w:szCs w:val="17"/>
              </w:rPr>
            </w:pPr>
            <w:r>
              <w:rPr>
                <w:sz w:val="17"/>
                <w:szCs w:val="17"/>
                <w:spacing w:val="-1"/>
              </w:rPr>
              <w:t>再开工程建设项目环</w:t>
            </w:r>
            <w:r>
              <w:rPr>
                <w:sz w:val="17"/>
                <w:szCs w:val="17"/>
              </w:rPr>
              <w:t xml:space="preserve"> </w:t>
            </w:r>
            <w:r>
              <w:rPr>
                <w:sz w:val="17"/>
                <w:szCs w:val="17"/>
                <w:spacing w:val="-1"/>
              </w:rPr>
              <w:t>规保护设监理工腐收</w:t>
            </w:r>
          </w:p>
        </w:tc>
        <w:tc>
          <w:tcPr>
            <w:tcW w:w="2367" w:type="dxa"/>
            <w:vAlign w:val="top"/>
          </w:tcPr>
          <w:p>
            <w:pPr>
              <w:pStyle w:val="TableText"/>
              <w:ind w:left="52" w:hanging="38"/>
              <w:spacing w:before="215" w:line="224" w:lineRule="auto"/>
              <w:rPr>
                <w:sz w:val="17"/>
                <w:szCs w:val="17"/>
              </w:rPr>
            </w:pPr>
            <w:r>
              <w:rPr>
                <w:sz w:val="17"/>
                <w:szCs w:val="17"/>
                <w:spacing w:val="-14"/>
              </w:rPr>
              <w:t>生志环域能，省级，设区的而级、</w:t>
            </w:r>
            <w:r>
              <w:rPr>
                <w:sz w:val="17"/>
                <w:szCs w:val="17"/>
                <w:spacing w:val="1"/>
              </w:rPr>
              <w:t xml:space="preserve"> </w:t>
            </w:r>
            <w:r>
              <w:rPr>
                <w:sz w:val="17"/>
                <w:szCs w:val="17"/>
                <w:spacing w:val="-4"/>
              </w:rPr>
              <w:t>2线生态环境部门</w:t>
            </w:r>
          </w:p>
        </w:tc>
        <w:tc>
          <w:tcPr>
            <w:tcW w:w="3706" w:type="dxa"/>
            <w:vAlign w:val="top"/>
          </w:tcPr>
          <w:p>
            <w:pPr>
              <w:pStyle w:val="TableText"/>
              <w:ind w:left="56"/>
              <w:spacing w:before="145" w:line="195" w:lineRule="auto"/>
              <w:rPr>
                <w:sz w:val="17"/>
                <w:szCs w:val="17"/>
              </w:rPr>
            </w:pPr>
            <w:r>
              <w:rPr>
                <w:sz w:val="17"/>
                <w:szCs w:val="17"/>
              </w:rPr>
              <w:t>(中华人民共新国海律环境保护法</w:t>
            </w:r>
          </w:p>
          <w:p>
            <w:pPr>
              <w:pStyle w:val="TableText"/>
              <w:ind w:left="74" w:hanging="74"/>
              <w:spacing w:line="219" w:lineRule="auto"/>
              <w:rPr>
                <w:sz w:val="17"/>
                <w:szCs w:val="17"/>
              </w:rPr>
            </w:pPr>
            <w:r>
              <w:rPr>
                <w:sz w:val="17"/>
                <w:szCs w:val="17"/>
                <w:spacing w:val="-2"/>
              </w:rPr>
              <w:t>《勤治海洋工程建设项目污染描害毒样环缆管</w:t>
            </w:r>
            <w:r>
              <w:rPr>
                <w:sz w:val="17"/>
                <w:szCs w:val="17"/>
                <w:spacing w:val="-3"/>
              </w:rPr>
              <w:t>用表</w:t>
            </w:r>
            <w:r>
              <w:rPr>
                <w:sz w:val="17"/>
                <w:szCs w:val="17"/>
              </w:rPr>
              <w:t xml:space="preserve"> </w:t>
            </w:r>
            <w:r>
              <w:rPr>
                <w:sz w:val="17"/>
                <w:szCs w:val="17"/>
                <w:spacing w:val="-5"/>
              </w:rPr>
              <w:t>何》</w:t>
            </w:r>
          </w:p>
        </w:tc>
      </w:tr>
    </w:tbl>
    <w:p>
      <w:pPr>
        <w:pStyle w:val="BodyText"/>
        <w:rPr/>
      </w:pPr>
      <w:r/>
    </w:p>
    <w:p>
      <w:pPr>
        <w:sectPr>
          <w:pgSz w:w="11910" w:h="8220"/>
          <w:pgMar w:top="400" w:right="1170"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4153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202" name="TextBox 202"/>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4" style="position:absolute;margin-left:36.1352pt;margin-top:49.8954pt;mso-position-vertical-relative:page;mso-position-horizontal-relative:page;width:13.8pt;height:13pt;z-index:25184153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182</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4"/>
              <w:spacing w:before="131" w:line="219" w:lineRule="auto"/>
              <w:rPr>
                <w:sz w:val="16"/>
                <w:szCs w:val="16"/>
              </w:rPr>
            </w:pPr>
            <w:r>
              <w:rPr>
                <w:sz w:val="16"/>
                <w:szCs w:val="16"/>
                <w:spacing w:val="-2"/>
              </w:rPr>
              <w:t>序异</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事填名称</w:t>
            </w:r>
          </w:p>
        </w:tc>
        <w:tc>
          <w:tcPr>
            <w:tcW w:w="2367" w:type="dxa"/>
            <w:vAlign w:val="top"/>
          </w:tcPr>
          <w:p>
            <w:pPr>
              <w:pStyle w:val="TableText"/>
              <w:ind w:left="826"/>
              <w:spacing w:before="128" w:line="219" w:lineRule="auto"/>
              <w:rPr>
                <w:sz w:val="16"/>
                <w:szCs w:val="16"/>
              </w:rPr>
            </w:pPr>
            <w:r>
              <w:rPr>
                <w:sz w:val="16"/>
                <w:szCs w:val="16"/>
                <w:b/>
                <w:bCs/>
                <w:spacing w:val="-4"/>
              </w:rPr>
              <w:t>实施机关</w:t>
            </w:r>
          </w:p>
        </w:tc>
        <w:tc>
          <w:tcPr>
            <w:tcW w:w="3711" w:type="dxa"/>
            <w:vAlign w:val="top"/>
          </w:tcPr>
          <w:p>
            <w:pPr>
              <w:pStyle w:val="TableText"/>
              <w:ind w:left="1266"/>
              <w:spacing w:before="131" w:line="219" w:lineRule="auto"/>
              <w:rPr>
                <w:sz w:val="16"/>
                <w:szCs w:val="16"/>
              </w:rPr>
            </w:pPr>
            <w:r>
              <w:rPr>
                <w:sz w:val="16"/>
                <w:szCs w:val="16"/>
                <w:spacing w:val="2"/>
              </w:rPr>
              <w:t>设定和实施集圈</w:t>
            </w:r>
          </w:p>
        </w:tc>
      </w:tr>
      <w:tr>
        <w:trPr>
          <w:trHeight w:val="1528" w:hRule="atLeast"/>
        </w:trPr>
        <w:tc>
          <w:tcPr>
            <w:tcW w:w="584" w:type="dxa"/>
            <w:vAlign w:val="top"/>
          </w:tcPr>
          <w:p>
            <w:pPr>
              <w:spacing w:line="335" w:lineRule="auto"/>
              <w:rPr>
                <w:rFonts w:ascii="Arial"/>
                <w:sz w:val="21"/>
              </w:rPr>
            </w:pPr>
            <w:r/>
          </w:p>
          <w:p>
            <w:pPr>
              <w:spacing w:line="336" w:lineRule="auto"/>
              <w:rPr>
                <w:rFonts w:ascii="Arial"/>
                <w:sz w:val="21"/>
              </w:rPr>
            </w:pPr>
            <w:r/>
          </w:p>
          <w:p>
            <w:pPr>
              <w:pStyle w:val="TableText"/>
              <w:ind w:left="164"/>
              <w:spacing w:before="52" w:line="184" w:lineRule="auto"/>
              <w:rPr>
                <w:sz w:val="16"/>
                <w:szCs w:val="16"/>
              </w:rPr>
            </w:pPr>
            <w:r>
              <w:rPr>
                <w:sz w:val="16"/>
                <w:szCs w:val="16"/>
                <w:spacing w:val="-5"/>
              </w:rPr>
              <w:t>192</w:t>
            </w:r>
          </w:p>
        </w:tc>
        <w:tc>
          <w:tcPr>
            <w:tcW w:w="1289" w:type="dxa"/>
            <w:vAlign w:val="top"/>
          </w:tcPr>
          <w:p>
            <w:pPr>
              <w:spacing w:line="315" w:lineRule="auto"/>
              <w:rPr>
                <w:rFonts w:ascii="Arial"/>
                <w:sz w:val="21"/>
              </w:rPr>
            </w:pPr>
            <w:r/>
          </w:p>
          <w:p>
            <w:pPr>
              <w:spacing w:line="316" w:lineRule="auto"/>
              <w:rPr>
                <w:rFonts w:ascii="Arial"/>
                <w:sz w:val="21"/>
              </w:rPr>
            </w:pPr>
            <w:r/>
          </w:p>
          <w:p>
            <w:pPr>
              <w:pStyle w:val="TableText"/>
              <w:ind w:left="231"/>
              <w:spacing w:before="52" w:line="219" w:lineRule="auto"/>
              <w:rPr>
                <w:sz w:val="16"/>
                <w:szCs w:val="16"/>
              </w:rPr>
            </w:pPr>
            <w:r>
              <w:rPr>
                <w:sz w:val="16"/>
                <w:szCs w:val="16"/>
                <w:spacing w:val="-2"/>
              </w:rPr>
              <w:t>生态环境部</w:t>
            </w:r>
          </w:p>
        </w:tc>
        <w:tc>
          <w:tcPr>
            <w:tcW w:w="1648" w:type="dxa"/>
            <w:vAlign w:val="top"/>
          </w:tcPr>
          <w:p>
            <w:pPr>
              <w:spacing w:line="316" w:lineRule="auto"/>
              <w:rPr>
                <w:rFonts w:ascii="Arial"/>
                <w:sz w:val="21"/>
              </w:rPr>
            </w:pPr>
            <w:r/>
          </w:p>
          <w:p>
            <w:pPr>
              <w:spacing w:line="316" w:lineRule="auto"/>
              <w:rPr>
                <w:rFonts w:ascii="Arial"/>
                <w:sz w:val="21"/>
              </w:rPr>
            </w:pPr>
            <w:r/>
          </w:p>
          <w:p>
            <w:pPr>
              <w:pStyle w:val="TableText"/>
              <w:ind w:left="32"/>
              <w:spacing w:before="52" w:line="220" w:lineRule="auto"/>
              <w:rPr>
                <w:sz w:val="16"/>
                <w:szCs w:val="16"/>
              </w:rPr>
            </w:pPr>
            <w:r>
              <w:rPr>
                <w:sz w:val="16"/>
                <w:szCs w:val="16"/>
                <w:spacing w:val="-2"/>
              </w:rPr>
              <w:t>排污许可</w:t>
            </w:r>
          </w:p>
        </w:tc>
        <w:tc>
          <w:tcPr>
            <w:tcW w:w="2367" w:type="dxa"/>
            <w:vAlign w:val="top"/>
          </w:tcPr>
          <w:p>
            <w:pPr>
              <w:spacing w:line="315" w:lineRule="auto"/>
              <w:rPr>
                <w:rFonts w:ascii="Arial"/>
                <w:sz w:val="21"/>
              </w:rPr>
            </w:pPr>
            <w:r/>
          </w:p>
          <w:p>
            <w:pPr>
              <w:spacing w:line="316" w:lineRule="auto"/>
              <w:rPr>
                <w:rFonts w:ascii="Arial"/>
                <w:sz w:val="21"/>
              </w:rPr>
            </w:pPr>
            <w:r/>
          </w:p>
          <w:p>
            <w:pPr>
              <w:pStyle w:val="TableText"/>
              <w:ind w:left="54"/>
              <w:spacing w:before="52" w:line="219" w:lineRule="auto"/>
              <w:rPr>
                <w:sz w:val="16"/>
                <w:szCs w:val="16"/>
              </w:rPr>
            </w:pPr>
            <w:r>
              <w:rPr>
                <w:sz w:val="16"/>
                <w:szCs w:val="16"/>
                <w:spacing w:val="1"/>
              </w:rPr>
              <w:t>吉鼓，设区的市级生态环现郁门</w:t>
            </w:r>
          </w:p>
        </w:tc>
        <w:tc>
          <w:tcPr>
            <w:tcW w:w="3711" w:type="dxa"/>
            <w:vAlign w:val="top"/>
          </w:tcPr>
          <w:p>
            <w:pPr>
              <w:pStyle w:val="TableText"/>
              <w:ind w:left="56"/>
              <w:spacing w:before="67" w:line="219" w:lineRule="auto"/>
              <w:rPr>
                <w:sz w:val="16"/>
                <w:szCs w:val="16"/>
              </w:rPr>
            </w:pPr>
            <w:r>
              <w:rPr>
                <w:sz w:val="16"/>
                <w:szCs w:val="16"/>
                <w:spacing w:val="-1"/>
              </w:rPr>
              <w:t>1中华人民共和国环境保护法》</w:t>
            </w:r>
          </w:p>
          <w:p>
            <w:pPr>
              <w:pStyle w:val="TableText"/>
              <w:ind w:left="56"/>
              <w:spacing w:before="9" w:line="219" w:lineRule="auto"/>
              <w:rPr>
                <w:sz w:val="16"/>
                <w:szCs w:val="16"/>
              </w:rPr>
            </w:pPr>
            <w:r>
              <w:rPr>
                <w:sz w:val="16"/>
                <w:szCs w:val="16"/>
              </w:rPr>
              <w:t>1中伊人民共和国本污染防治法</w:t>
            </w:r>
          </w:p>
          <w:p>
            <w:pPr>
              <w:pStyle w:val="TableText"/>
              <w:ind w:left="56"/>
              <w:spacing w:before="31" w:line="219" w:lineRule="auto"/>
              <w:rPr>
                <w:sz w:val="16"/>
                <w:szCs w:val="16"/>
              </w:rPr>
            </w:pPr>
            <w:r>
              <w:rPr>
                <w:sz w:val="16"/>
                <w:szCs w:val="16"/>
                <w:spacing w:val="1"/>
              </w:rPr>
              <w:t>(中华人民共和国大气污易防愉法1</w:t>
            </w:r>
          </w:p>
          <w:p>
            <w:pPr>
              <w:pStyle w:val="TableText"/>
              <w:ind w:left="56" w:right="689"/>
              <w:spacing w:before="20" w:line="224" w:lineRule="auto"/>
              <w:rPr>
                <w:sz w:val="16"/>
                <w:szCs w:val="16"/>
              </w:rPr>
            </w:pPr>
            <w:r>
              <w:rPr>
                <w:sz w:val="16"/>
                <w:szCs w:val="16"/>
                <w:spacing w:val="-1"/>
              </w:rPr>
              <w:t>4中华人民共和国测体废物污染环境防指法</w:t>
            </w:r>
            <w:r>
              <w:rPr>
                <w:sz w:val="16"/>
                <w:szCs w:val="16"/>
                <w:spacing w:val="12"/>
              </w:rPr>
              <w:t xml:space="preserve"> </w:t>
            </w:r>
            <w:r>
              <w:rPr>
                <w:sz w:val="16"/>
                <w:szCs w:val="16"/>
                <w:spacing w:val="2"/>
              </w:rPr>
              <w:t>1中华人民共和国上指河袋防治法)</w:t>
            </w:r>
          </w:p>
          <w:p>
            <w:pPr>
              <w:pStyle w:val="TableText"/>
              <w:ind w:left="56"/>
              <w:spacing w:line="211" w:lineRule="exact"/>
              <w:rPr>
                <w:sz w:val="16"/>
                <w:szCs w:val="16"/>
              </w:rPr>
            </w:pPr>
            <w:r>
              <w:rPr>
                <w:sz w:val="16"/>
                <w:szCs w:val="16"/>
                <w:spacing w:val="1"/>
                <w:position w:val="3"/>
              </w:rPr>
              <w:t>1中华人民共和国噪声行染防价法1</w:t>
            </w:r>
          </w:p>
          <w:p>
            <w:pPr>
              <w:pStyle w:val="TableText"/>
              <w:ind w:left="56"/>
              <w:spacing w:line="219" w:lineRule="auto"/>
              <w:rPr>
                <w:sz w:val="16"/>
                <w:szCs w:val="16"/>
              </w:rPr>
            </w:pPr>
            <w:r>
              <w:rPr>
                <w:sz w:val="16"/>
                <w:szCs w:val="16"/>
                <w:spacing w:val="-1"/>
              </w:rPr>
              <w:t>1押汽符可管理条例》</w:t>
            </w:r>
          </w:p>
        </w:tc>
      </w:tr>
      <w:tr>
        <w:trPr>
          <w:trHeight w:val="1088" w:hRule="atLeast"/>
        </w:trPr>
        <w:tc>
          <w:tcPr>
            <w:tcW w:w="584" w:type="dxa"/>
            <w:vAlign w:val="top"/>
          </w:tcPr>
          <w:p>
            <w:pPr>
              <w:spacing w:line="455" w:lineRule="auto"/>
              <w:rPr>
                <w:rFonts w:ascii="Arial"/>
                <w:sz w:val="21"/>
              </w:rPr>
            </w:pPr>
            <w:r/>
          </w:p>
          <w:p>
            <w:pPr>
              <w:pStyle w:val="TableText"/>
              <w:ind w:left="164"/>
              <w:spacing w:before="52" w:line="184" w:lineRule="auto"/>
              <w:rPr>
                <w:sz w:val="16"/>
                <w:szCs w:val="16"/>
              </w:rPr>
            </w:pPr>
            <w:r>
              <w:rPr>
                <w:sz w:val="16"/>
                <w:szCs w:val="16"/>
                <w:spacing w:val="-5"/>
              </w:rPr>
              <w:t>193</w:t>
            </w:r>
          </w:p>
        </w:tc>
        <w:tc>
          <w:tcPr>
            <w:tcW w:w="1289" w:type="dxa"/>
            <w:vAlign w:val="top"/>
          </w:tcPr>
          <w:p>
            <w:pPr>
              <w:spacing w:line="414" w:lineRule="auto"/>
              <w:rPr>
                <w:rFonts w:ascii="Arial"/>
                <w:sz w:val="21"/>
              </w:rPr>
            </w:pPr>
            <w:r/>
          </w:p>
          <w:p>
            <w:pPr>
              <w:pStyle w:val="TableText"/>
              <w:ind w:left="231"/>
              <w:spacing w:before="52" w:line="219" w:lineRule="auto"/>
              <w:rPr>
                <w:sz w:val="16"/>
                <w:szCs w:val="16"/>
              </w:rPr>
            </w:pPr>
            <w:r>
              <w:rPr>
                <w:sz w:val="16"/>
                <w:szCs w:val="16"/>
                <w:spacing w:val="-2"/>
              </w:rPr>
              <w:t>生书环境部</w:t>
            </w:r>
          </w:p>
        </w:tc>
        <w:tc>
          <w:tcPr>
            <w:tcW w:w="1648" w:type="dxa"/>
            <w:vAlign w:val="top"/>
          </w:tcPr>
          <w:p>
            <w:pPr>
              <w:spacing w:line="325" w:lineRule="auto"/>
              <w:rPr>
                <w:rFonts w:ascii="Arial"/>
                <w:sz w:val="21"/>
              </w:rPr>
            </w:pPr>
            <w:r/>
          </w:p>
          <w:p>
            <w:pPr>
              <w:pStyle w:val="TableText"/>
              <w:ind w:left="91" w:right="32" w:hanging="80"/>
              <w:spacing w:before="52" w:line="214" w:lineRule="auto"/>
              <w:rPr>
                <w:sz w:val="16"/>
                <w:szCs w:val="16"/>
              </w:rPr>
            </w:pPr>
            <w:r>
              <w:rPr>
                <w:sz w:val="16"/>
                <w:szCs w:val="16"/>
                <w:spacing w:val="-1"/>
              </w:rPr>
              <w:t>江同、期箔新建、改理</w:t>
            </w:r>
            <w:r>
              <w:rPr>
                <w:sz w:val="16"/>
                <w:szCs w:val="16"/>
                <w:spacing w:val="2"/>
              </w:rPr>
              <w:t xml:space="preserve"> </w:t>
            </w:r>
            <w:r>
              <w:rPr>
                <w:sz w:val="16"/>
                <w:szCs w:val="16"/>
                <w:spacing w:val="-1"/>
              </w:rPr>
              <w:t>或者扩大描河甘审批</w:t>
            </w:r>
          </w:p>
        </w:tc>
        <w:tc>
          <w:tcPr>
            <w:tcW w:w="2367" w:type="dxa"/>
            <w:vAlign w:val="top"/>
          </w:tcPr>
          <w:p>
            <w:pPr>
              <w:pStyle w:val="TableText"/>
              <w:ind w:left="73"/>
              <w:spacing w:before="259" w:line="219" w:lineRule="auto"/>
              <w:rPr>
                <w:sz w:val="16"/>
                <w:szCs w:val="16"/>
              </w:rPr>
            </w:pPr>
            <w:r>
              <w:rPr>
                <w:sz w:val="16"/>
                <w:szCs w:val="16"/>
                <w:spacing w:val="-1"/>
              </w:rPr>
              <w:t>生签环境形能域厚城生击环模</w:t>
            </w:r>
          </w:p>
          <w:p>
            <w:pPr>
              <w:pStyle w:val="TableText"/>
              <w:ind w:left="54" w:right="60" w:firstLine="10"/>
              <w:spacing w:before="9" w:line="225" w:lineRule="auto"/>
              <w:rPr>
                <w:sz w:val="16"/>
                <w:szCs w:val="16"/>
              </w:rPr>
            </w:pPr>
            <w:r>
              <w:rPr>
                <w:sz w:val="16"/>
                <w:szCs w:val="16"/>
                <w:spacing w:val="-1"/>
              </w:rPr>
              <w:t>数督管理机构；省望，设区向市</w:t>
            </w:r>
            <w:r>
              <w:rPr>
                <w:sz w:val="16"/>
                <w:szCs w:val="16"/>
                <w:spacing w:val="5"/>
              </w:rPr>
              <w:t xml:space="preserve"> </w:t>
            </w:r>
            <w:r>
              <w:rPr>
                <w:sz w:val="16"/>
                <w:szCs w:val="16"/>
                <w:spacing w:val="1"/>
              </w:rPr>
              <w:t>巫，县继生古环结部门</w:t>
            </w:r>
          </w:p>
        </w:tc>
        <w:tc>
          <w:tcPr>
            <w:tcW w:w="3711" w:type="dxa"/>
            <w:vAlign w:val="top"/>
          </w:tcPr>
          <w:p>
            <w:pPr>
              <w:pStyle w:val="TableText"/>
              <w:ind w:left="56"/>
              <w:spacing w:before="59" w:line="219" w:lineRule="auto"/>
              <w:rPr>
                <w:sz w:val="16"/>
                <w:szCs w:val="16"/>
              </w:rPr>
            </w:pPr>
            <w:r>
              <w:rPr>
                <w:sz w:val="16"/>
                <w:szCs w:val="16"/>
                <w:spacing w:val="-1"/>
              </w:rPr>
              <w:t>下中华人民共和国未法?</w:t>
            </w:r>
          </w:p>
          <w:p>
            <w:pPr>
              <w:pStyle w:val="TableText"/>
              <w:ind w:left="56"/>
              <w:spacing w:before="9" w:line="220" w:lineRule="exact"/>
              <w:rPr>
                <w:sz w:val="16"/>
                <w:szCs w:val="16"/>
              </w:rPr>
            </w:pPr>
            <w:r>
              <w:rPr>
                <w:sz w:val="16"/>
                <w:szCs w:val="16"/>
                <w:position w:val="4"/>
              </w:rPr>
              <w:t>1中华人民共和国水汽染数治结</w:t>
            </w:r>
          </w:p>
          <w:p>
            <w:pPr>
              <w:pStyle w:val="TableText"/>
              <w:ind w:left="56"/>
              <w:spacing w:line="218" w:lineRule="auto"/>
              <w:rPr>
                <w:sz w:val="16"/>
                <w:szCs w:val="16"/>
              </w:rPr>
            </w:pPr>
            <w:r>
              <w:rPr>
                <w:sz w:val="16"/>
                <w:szCs w:val="16"/>
                <w:spacing w:val="-1"/>
              </w:rPr>
              <w:t>中华人民共和国长江保护法》</w:t>
            </w:r>
          </w:p>
          <w:p>
            <w:pPr>
              <w:pStyle w:val="TableText"/>
              <w:ind w:left="88" w:right="232" w:hanging="89"/>
              <w:spacing w:line="225" w:lineRule="auto"/>
              <w:rPr>
                <w:sz w:val="16"/>
                <w:szCs w:val="16"/>
              </w:rPr>
            </w:pPr>
            <w:r>
              <w:rPr>
                <w:sz w:val="16"/>
                <w:szCs w:val="16"/>
                <w:spacing w:val="-3"/>
              </w:rPr>
              <w:t>《中火给办关于生杰环境部查斌生态环墙监管机种</w:t>
            </w:r>
            <w:r>
              <w:rPr>
                <w:sz w:val="16"/>
                <w:szCs w:val="16"/>
                <w:spacing w:val="13"/>
              </w:rPr>
              <w:t xml:space="preserve"> </w:t>
            </w:r>
            <w:r>
              <w:rPr>
                <w:sz w:val="16"/>
                <w:szCs w:val="16"/>
                <w:spacing w:val="-2"/>
              </w:rPr>
              <w:t>设置有关事项的通知加中央编办发(2019)6号</w:t>
            </w:r>
          </w:p>
        </w:tc>
      </w:tr>
      <w:tr>
        <w:trPr>
          <w:trHeight w:val="499" w:hRule="atLeast"/>
        </w:trPr>
        <w:tc>
          <w:tcPr>
            <w:tcW w:w="584" w:type="dxa"/>
            <w:vAlign w:val="top"/>
          </w:tcPr>
          <w:p>
            <w:pPr>
              <w:pStyle w:val="TableText"/>
              <w:ind w:left="164"/>
              <w:spacing w:before="211" w:line="184" w:lineRule="auto"/>
              <w:rPr>
                <w:sz w:val="16"/>
                <w:szCs w:val="16"/>
              </w:rPr>
            </w:pPr>
            <w:r>
              <w:rPr>
                <w:sz w:val="16"/>
                <w:szCs w:val="16"/>
                <w:spacing w:val="-5"/>
              </w:rPr>
              <w:t>194</w:t>
            </w:r>
          </w:p>
        </w:tc>
        <w:tc>
          <w:tcPr>
            <w:tcW w:w="1289" w:type="dxa"/>
            <w:vAlign w:val="top"/>
          </w:tcPr>
          <w:p>
            <w:pPr>
              <w:pStyle w:val="TableText"/>
              <w:ind w:left="231"/>
              <w:spacing w:before="171" w:line="219" w:lineRule="auto"/>
              <w:rPr>
                <w:sz w:val="16"/>
                <w:szCs w:val="16"/>
              </w:rPr>
            </w:pPr>
            <w:r>
              <w:rPr>
                <w:sz w:val="16"/>
                <w:szCs w:val="16"/>
                <w:spacing w:val="-2"/>
              </w:rPr>
              <w:t>生多环境部</w:t>
            </w:r>
          </w:p>
        </w:tc>
        <w:tc>
          <w:tcPr>
            <w:tcW w:w="1648" w:type="dxa"/>
            <w:vAlign w:val="top"/>
          </w:tcPr>
          <w:p>
            <w:pPr>
              <w:pStyle w:val="TableText"/>
              <w:ind w:left="92"/>
              <w:spacing w:before="171" w:line="219" w:lineRule="auto"/>
              <w:rPr>
                <w:sz w:val="16"/>
                <w:szCs w:val="16"/>
              </w:rPr>
            </w:pPr>
            <w:r>
              <w:rPr>
                <w:sz w:val="16"/>
                <w:szCs w:val="16"/>
                <w:spacing w:val="-1"/>
              </w:rPr>
              <w:t>成弃物海洋像例计可</w:t>
            </w:r>
          </w:p>
        </w:tc>
        <w:tc>
          <w:tcPr>
            <w:tcW w:w="2367" w:type="dxa"/>
            <w:vAlign w:val="top"/>
          </w:tcPr>
          <w:p>
            <w:pPr>
              <w:pStyle w:val="TableText"/>
              <w:ind w:left="54"/>
              <w:spacing w:before="170" w:line="219" w:lineRule="auto"/>
              <w:rPr>
                <w:sz w:val="16"/>
                <w:szCs w:val="16"/>
              </w:rPr>
            </w:pPr>
            <w:r>
              <w:rPr>
                <w:sz w:val="16"/>
                <w:szCs w:val="16"/>
                <w:spacing w:val="-1"/>
              </w:rPr>
              <w:t>生基环境感及其重出机构</w:t>
            </w:r>
          </w:p>
        </w:tc>
        <w:tc>
          <w:tcPr>
            <w:tcW w:w="3711" w:type="dxa"/>
            <w:vAlign w:val="top"/>
          </w:tcPr>
          <w:p>
            <w:pPr>
              <w:pStyle w:val="TableText"/>
              <w:ind w:left="79"/>
              <w:spacing w:before="81" w:line="242" w:lineRule="auto"/>
              <w:rPr>
                <w:sz w:val="16"/>
                <w:szCs w:val="16"/>
              </w:rPr>
            </w:pPr>
            <w:r>
              <w:rPr>
                <w:sz w:val="16"/>
                <w:szCs w:val="16"/>
                <w:spacing w:val="-1"/>
              </w:rPr>
              <w:t>(中代人民共和国海洋环境保护以1</w:t>
            </w:r>
          </w:p>
          <w:p>
            <w:pPr>
              <w:pStyle w:val="TableText"/>
              <w:spacing w:line="219" w:lineRule="auto"/>
              <w:rPr>
                <w:sz w:val="16"/>
                <w:szCs w:val="16"/>
              </w:rPr>
            </w:pPr>
            <w:r>
              <w:rPr>
                <w:sz w:val="16"/>
                <w:szCs w:val="16"/>
                <w:spacing w:val="-2"/>
              </w:rPr>
              <w:t>《中年人见共和国厚萍倾度管理保例1</w:t>
            </w:r>
          </w:p>
        </w:tc>
      </w:tr>
      <w:tr>
        <w:trPr>
          <w:trHeight w:val="499" w:hRule="atLeast"/>
        </w:trPr>
        <w:tc>
          <w:tcPr>
            <w:tcW w:w="584" w:type="dxa"/>
            <w:vAlign w:val="top"/>
          </w:tcPr>
          <w:p>
            <w:pPr>
              <w:pStyle w:val="TableText"/>
              <w:ind w:left="164"/>
              <w:spacing w:before="213" w:line="184" w:lineRule="auto"/>
              <w:rPr>
                <w:sz w:val="16"/>
                <w:szCs w:val="16"/>
              </w:rPr>
            </w:pPr>
            <w:r>
              <w:rPr>
                <w:sz w:val="16"/>
                <w:szCs w:val="16"/>
                <w:spacing w:val="-5"/>
              </w:rPr>
              <w:t>195</w:t>
            </w:r>
          </w:p>
        </w:tc>
        <w:tc>
          <w:tcPr>
            <w:tcW w:w="1289" w:type="dxa"/>
            <w:vAlign w:val="top"/>
          </w:tcPr>
          <w:p>
            <w:pPr>
              <w:pStyle w:val="TableText"/>
              <w:ind w:left="231"/>
              <w:spacing w:before="173" w:line="220" w:lineRule="auto"/>
              <w:rPr>
                <w:sz w:val="16"/>
                <w:szCs w:val="16"/>
              </w:rPr>
            </w:pPr>
            <w:r>
              <w:rPr>
                <w:sz w:val="16"/>
                <w:szCs w:val="16"/>
                <w:spacing w:val="-2"/>
              </w:rPr>
              <w:t>生态环境郁</w:t>
            </w:r>
          </w:p>
        </w:tc>
        <w:tc>
          <w:tcPr>
            <w:tcW w:w="1648" w:type="dxa"/>
            <w:vAlign w:val="top"/>
          </w:tcPr>
          <w:p>
            <w:pPr>
              <w:pStyle w:val="TableText"/>
              <w:ind w:left="52" w:right="99" w:firstLine="40"/>
              <w:spacing w:before="62" w:line="237" w:lineRule="auto"/>
              <w:rPr>
                <w:sz w:val="16"/>
                <w:szCs w:val="16"/>
              </w:rPr>
            </w:pPr>
            <w:r>
              <w:rPr>
                <w:sz w:val="16"/>
                <w:szCs w:val="16"/>
              </w:rPr>
              <w:t>临时性海洋短值区说</w:t>
            </w:r>
            <w:r>
              <w:rPr>
                <w:sz w:val="16"/>
                <w:szCs w:val="16"/>
                <w:spacing w:val="5"/>
              </w:rPr>
              <w:t xml:space="preserve"> </w:t>
            </w:r>
            <w:r>
              <w:rPr>
                <w:sz w:val="16"/>
                <w:szCs w:val="16"/>
                <w:spacing w:val="-2"/>
              </w:rPr>
              <w:t>置事批</w:t>
            </w:r>
          </w:p>
        </w:tc>
        <w:tc>
          <w:tcPr>
            <w:tcW w:w="2367" w:type="dxa"/>
            <w:vAlign w:val="top"/>
          </w:tcPr>
          <w:p>
            <w:pPr>
              <w:pStyle w:val="TableText"/>
              <w:ind w:left="54"/>
              <w:spacing w:before="173" w:line="220" w:lineRule="auto"/>
              <w:rPr>
                <w:sz w:val="16"/>
                <w:szCs w:val="16"/>
              </w:rPr>
            </w:pPr>
            <w:r>
              <w:rPr>
                <w:sz w:val="16"/>
                <w:szCs w:val="16"/>
                <w:spacing w:val="-2"/>
              </w:rPr>
              <w:t>生苏环境感</w:t>
            </w:r>
          </w:p>
        </w:tc>
        <w:tc>
          <w:tcPr>
            <w:tcW w:w="3711" w:type="dxa"/>
            <w:vAlign w:val="top"/>
          </w:tcPr>
          <w:p>
            <w:pPr>
              <w:pStyle w:val="TableText"/>
              <w:ind w:left="56"/>
              <w:spacing w:before="172" w:line="219" w:lineRule="auto"/>
              <w:rPr>
                <w:sz w:val="16"/>
                <w:szCs w:val="16"/>
              </w:rPr>
            </w:pPr>
            <w:r>
              <w:rPr>
                <w:sz w:val="16"/>
                <w:szCs w:val="16"/>
              </w:rPr>
              <w:t>1中华人民共和国降洋环境保护法</w:t>
            </w:r>
          </w:p>
        </w:tc>
      </w:tr>
      <w:tr>
        <w:trPr>
          <w:trHeight w:val="899" w:hRule="atLeast"/>
        </w:trPr>
        <w:tc>
          <w:tcPr>
            <w:tcW w:w="584" w:type="dxa"/>
            <w:vAlign w:val="top"/>
          </w:tcPr>
          <w:p>
            <w:pPr>
              <w:spacing w:line="359" w:lineRule="auto"/>
              <w:rPr>
                <w:rFonts w:ascii="Arial"/>
                <w:sz w:val="21"/>
              </w:rPr>
            </w:pPr>
            <w:r/>
          </w:p>
          <w:p>
            <w:pPr>
              <w:pStyle w:val="TableText"/>
              <w:ind w:left="164"/>
              <w:spacing w:before="52" w:line="184" w:lineRule="auto"/>
              <w:rPr>
                <w:sz w:val="16"/>
                <w:szCs w:val="16"/>
              </w:rPr>
            </w:pPr>
            <w:r>
              <w:rPr>
                <w:sz w:val="16"/>
                <w:szCs w:val="16"/>
                <w:spacing w:val="-5"/>
              </w:rPr>
              <w:t>19</w:t>
            </w:r>
          </w:p>
        </w:tc>
        <w:tc>
          <w:tcPr>
            <w:tcW w:w="1289" w:type="dxa"/>
            <w:vAlign w:val="top"/>
          </w:tcPr>
          <w:p>
            <w:pPr>
              <w:spacing w:line="319" w:lineRule="auto"/>
              <w:rPr>
                <w:rFonts w:ascii="Arial"/>
                <w:sz w:val="21"/>
              </w:rPr>
            </w:pPr>
            <w:r/>
          </w:p>
          <w:p>
            <w:pPr>
              <w:pStyle w:val="TableText"/>
              <w:ind w:left="231"/>
              <w:spacing w:before="52" w:line="219" w:lineRule="auto"/>
              <w:rPr>
                <w:sz w:val="16"/>
                <w:szCs w:val="16"/>
              </w:rPr>
            </w:pPr>
            <w:r>
              <w:rPr>
                <w:sz w:val="16"/>
                <w:szCs w:val="16"/>
                <w:spacing w:val="-2"/>
              </w:rPr>
              <w:t>生寄环境部</w:t>
            </w:r>
          </w:p>
        </w:tc>
        <w:tc>
          <w:tcPr>
            <w:tcW w:w="1648" w:type="dxa"/>
            <w:vAlign w:val="top"/>
          </w:tcPr>
          <w:p>
            <w:pPr>
              <w:pStyle w:val="TableText"/>
              <w:ind w:left="62" w:right="89" w:firstLine="30"/>
              <w:spacing w:before="174" w:line="227" w:lineRule="auto"/>
              <w:jc w:val="both"/>
              <w:rPr>
                <w:sz w:val="16"/>
                <w:szCs w:val="16"/>
              </w:rPr>
            </w:pPr>
            <w:r>
              <w:rPr>
                <w:sz w:val="16"/>
                <w:szCs w:val="16"/>
                <w:spacing w:val="-1"/>
              </w:rPr>
              <w:t>愉洋石油贴探开业责</w:t>
            </w:r>
            <w:r>
              <w:rPr>
                <w:sz w:val="16"/>
                <w:szCs w:val="16"/>
                <w:spacing w:val="1"/>
              </w:rPr>
              <w:t xml:space="preserve"> </w:t>
            </w:r>
            <w:r>
              <w:rPr>
                <w:sz w:val="16"/>
                <w:szCs w:val="16"/>
                <w:spacing w:val="5"/>
              </w:rPr>
              <w:t>油钻井混曹和沾屑向</w:t>
            </w:r>
            <w:r>
              <w:rPr>
                <w:sz w:val="16"/>
                <w:szCs w:val="16"/>
              </w:rPr>
              <w:t xml:space="preserve"> </w:t>
            </w:r>
            <w:r>
              <w:rPr>
                <w:sz w:val="16"/>
                <w:szCs w:val="16"/>
                <w:spacing w:val="-1"/>
              </w:rPr>
              <w:t>海中指放宣批</w:t>
            </w:r>
          </w:p>
        </w:tc>
        <w:tc>
          <w:tcPr>
            <w:tcW w:w="2367" w:type="dxa"/>
            <w:vAlign w:val="top"/>
          </w:tcPr>
          <w:p>
            <w:pPr>
              <w:pStyle w:val="TableText"/>
              <w:ind w:left="54" w:right="230"/>
              <w:spacing w:before="272" w:line="219" w:lineRule="auto"/>
              <w:rPr>
                <w:sz w:val="16"/>
                <w:szCs w:val="16"/>
              </w:rPr>
            </w:pPr>
            <w:r>
              <w:rPr>
                <w:sz w:val="16"/>
                <w:szCs w:val="16"/>
                <w:spacing w:val="-1"/>
              </w:rPr>
              <w:t>生态环境界范域海城生起苏接</w:t>
            </w:r>
            <w:r>
              <w:rPr>
                <w:sz w:val="16"/>
                <w:szCs w:val="16"/>
                <w:spacing w:val="4"/>
              </w:rPr>
              <w:t xml:space="preserve"> </w:t>
            </w:r>
            <w:r>
              <w:rPr>
                <w:sz w:val="16"/>
                <w:szCs w:val="16"/>
                <w:spacing w:val="-1"/>
              </w:rPr>
              <w:t>监督管理机打</w:t>
            </w:r>
          </w:p>
        </w:tc>
        <w:tc>
          <w:tcPr>
            <w:tcW w:w="3711" w:type="dxa"/>
            <w:vAlign w:val="top"/>
          </w:tcPr>
          <w:p>
            <w:pPr>
              <w:pStyle w:val="TableText"/>
              <w:ind w:left="56" w:right="377" w:hanging="10"/>
              <w:spacing w:before="82" w:line="225" w:lineRule="auto"/>
              <w:rPr>
                <w:sz w:val="16"/>
                <w:szCs w:val="16"/>
              </w:rPr>
            </w:pPr>
            <w:r>
              <w:rPr>
                <w:sz w:val="16"/>
                <w:szCs w:val="16"/>
                <w:spacing w:val="-1"/>
              </w:rPr>
              <w:t>K国务能对确前保前的行改市批项自设定右政许</w:t>
            </w:r>
            <w:r>
              <w:rPr>
                <w:sz w:val="16"/>
                <w:szCs w:val="16"/>
                <w:spacing w:val="16"/>
              </w:rPr>
              <w:t xml:space="preserve"> </w:t>
            </w:r>
            <w:r>
              <w:rPr>
                <w:sz w:val="16"/>
                <w:szCs w:val="16"/>
                <w:spacing w:val="2"/>
              </w:rPr>
              <w:t>的次起</w:t>
            </w:r>
          </w:p>
          <w:p>
            <w:pPr>
              <w:pStyle w:val="TableText"/>
              <w:ind w:left="56" w:right="173" w:firstLine="99"/>
              <w:spacing w:line="231" w:lineRule="auto"/>
              <w:rPr>
                <w:sz w:val="16"/>
                <w:szCs w:val="16"/>
              </w:rPr>
            </w:pPr>
            <w:r>
              <w:rPr>
                <w:sz w:val="16"/>
                <w:szCs w:val="16"/>
              </w:rPr>
              <w:t>中失提办关于生态开境部意或生态环报需管机构</w:t>
            </w:r>
            <w:r>
              <w:rPr>
                <w:sz w:val="16"/>
                <w:szCs w:val="16"/>
                <w:spacing w:val="9"/>
              </w:rPr>
              <w:t xml:space="preserve"> </w:t>
            </w:r>
            <w:r>
              <w:rPr>
                <w:sz w:val="16"/>
                <w:szCs w:val="16"/>
                <w:spacing w:val="1"/>
              </w:rPr>
              <w:t>设置有类事项的通知风中电编办发(2019)26号)</w:t>
            </w:r>
          </w:p>
        </w:tc>
      </w:tr>
      <w:tr>
        <w:trPr>
          <w:trHeight w:val="888" w:hRule="atLeast"/>
        </w:trPr>
        <w:tc>
          <w:tcPr>
            <w:tcW w:w="584" w:type="dxa"/>
            <w:vAlign w:val="top"/>
          </w:tcPr>
          <w:p>
            <w:pPr>
              <w:spacing w:line="360" w:lineRule="auto"/>
              <w:rPr>
                <w:rFonts w:ascii="Arial"/>
                <w:sz w:val="21"/>
              </w:rPr>
            </w:pPr>
            <w:r/>
          </w:p>
          <w:p>
            <w:pPr>
              <w:pStyle w:val="TableText"/>
              <w:ind w:left="164"/>
              <w:spacing w:before="52" w:line="184" w:lineRule="auto"/>
              <w:rPr>
                <w:sz w:val="16"/>
                <w:szCs w:val="16"/>
              </w:rPr>
            </w:pPr>
            <w:r>
              <w:rPr>
                <w:sz w:val="16"/>
                <w:szCs w:val="16"/>
                <w:spacing w:val="-5"/>
              </w:rPr>
              <w:t>197</w:t>
            </w:r>
          </w:p>
        </w:tc>
        <w:tc>
          <w:tcPr>
            <w:tcW w:w="1289" w:type="dxa"/>
            <w:vAlign w:val="top"/>
          </w:tcPr>
          <w:p>
            <w:pPr>
              <w:spacing w:line="320" w:lineRule="auto"/>
              <w:rPr>
                <w:rFonts w:ascii="Arial"/>
                <w:sz w:val="21"/>
              </w:rPr>
            </w:pPr>
            <w:r/>
          </w:p>
          <w:p>
            <w:pPr>
              <w:pStyle w:val="TableText"/>
              <w:ind w:left="231"/>
              <w:spacing w:before="52" w:line="219" w:lineRule="auto"/>
              <w:rPr>
                <w:sz w:val="16"/>
                <w:szCs w:val="16"/>
              </w:rPr>
            </w:pPr>
            <w:r>
              <w:rPr>
                <w:sz w:val="16"/>
                <w:szCs w:val="16"/>
                <w:spacing w:val="-2"/>
              </w:rPr>
              <w:t>生击环填毒</w:t>
            </w:r>
          </w:p>
        </w:tc>
        <w:tc>
          <w:tcPr>
            <w:tcW w:w="1648" w:type="dxa"/>
            <w:vAlign w:val="top"/>
          </w:tcPr>
          <w:p>
            <w:pPr>
              <w:pStyle w:val="TableText"/>
              <w:ind w:left="42" w:right="112" w:firstLine="50"/>
              <w:spacing w:before="283" w:line="219" w:lineRule="auto"/>
              <w:rPr>
                <w:sz w:val="16"/>
                <w:szCs w:val="16"/>
              </w:rPr>
            </w:pPr>
            <w:r>
              <w:rPr>
                <w:sz w:val="16"/>
                <w:szCs w:val="16"/>
                <w:spacing w:val="-1"/>
              </w:rPr>
              <w:t>拆除盗刚置高车工世</w:t>
            </w:r>
            <w:r>
              <w:rPr>
                <w:sz w:val="16"/>
                <w:szCs w:val="16"/>
                <w:spacing w:val="1"/>
              </w:rPr>
              <w:t xml:space="preserve"> </w:t>
            </w:r>
            <w:r>
              <w:rPr>
                <w:sz w:val="16"/>
                <w:szCs w:val="16"/>
                <w:spacing w:val="-1"/>
              </w:rPr>
              <w:t>环境保护砒偶审础</w:t>
            </w:r>
          </w:p>
        </w:tc>
        <w:tc>
          <w:tcPr>
            <w:tcW w:w="2367" w:type="dxa"/>
            <w:vAlign w:val="top"/>
          </w:tcPr>
          <w:p>
            <w:pPr>
              <w:pStyle w:val="TableText"/>
              <w:ind w:left="54" w:right="60" w:firstLine="10"/>
              <w:spacing w:before="284" w:line="219" w:lineRule="auto"/>
              <w:rPr>
                <w:sz w:val="16"/>
                <w:szCs w:val="16"/>
              </w:rPr>
            </w:pPr>
            <w:r>
              <w:rPr>
                <w:sz w:val="16"/>
                <w:szCs w:val="16"/>
                <w:spacing w:val="-1"/>
              </w:rPr>
              <w:t>生志环境言；省国，设巨的市砚</w:t>
            </w:r>
            <w:r>
              <w:rPr>
                <w:sz w:val="16"/>
                <w:szCs w:val="16"/>
                <w:spacing w:val="5"/>
              </w:rPr>
              <w:t xml:space="preserve"> </w:t>
            </w:r>
            <w:r>
              <w:rPr>
                <w:sz w:val="16"/>
                <w:szCs w:val="16"/>
                <w:spacing w:val="2"/>
              </w:rPr>
              <w:t>县级生志环境部门</w:t>
            </w:r>
          </w:p>
        </w:tc>
        <w:tc>
          <w:tcPr>
            <w:tcW w:w="3711" w:type="dxa"/>
            <w:vAlign w:val="top"/>
          </w:tcPr>
          <w:p>
            <w:pPr>
              <w:pStyle w:val="TableText"/>
              <w:spacing w:before="84" w:line="219" w:lineRule="auto"/>
              <w:rPr>
                <w:sz w:val="16"/>
                <w:szCs w:val="16"/>
              </w:rPr>
            </w:pPr>
            <w:r>
              <w:rPr>
                <w:sz w:val="16"/>
                <w:szCs w:val="16"/>
                <w:spacing w:val="-3"/>
              </w:rPr>
              <w:t>《中年人民共和间环墙保护法</w:t>
            </w:r>
          </w:p>
          <w:p>
            <w:pPr>
              <w:pStyle w:val="TableText"/>
              <w:ind w:left="56"/>
              <w:spacing w:before="29" w:line="208" w:lineRule="auto"/>
              <w:rPr>
                <w:sz w:val="16"/>
                <w:szCs w:val="16"/>
              </w:rPr>
            </w:pPr>
            <w:r>
              <w:rPr>
                <w:sz w:val="16"/>
                <w:szCs w:val="16"/>
                <w:spacing w:val="1"/>
              </w:rPr>
              <w:t>中华人记共和国南伴环境似护以1</w:t>
            </w:r>
          </w:p>
          <w:p>
            <w:pPr>
              <w:pStyle w:val="TableText"/>
              <w:ind w:left="56" w:right="287" w:hanging="10"/>
              <w:spacing w:line="226" w:lineRule="auto"/>
              <w:rPr>
                <w:sz w:val="16"/>
                <w:szCs w:val="16"/>
              </w:rPr>
            </w:pPr>
            <w:r>
              <w:rPr>
                <w:sz w:val="16"/>
                <w:szCs w:val="16"/>
              </w:rPr>
              <w:t>防治每序工程建设项日污染提害每洋转现管理条</w:t>
            </w:r>
            <w:r>
              <w:rPr>
                <w:sz w:val="16"/>
                <w:szCs w:val="16"/>
                <w:spacing w:val="5"/>
              </w:rPr>
              <w:t xml:space="preserve"> </w:t>
            </w:r>
            <w:r>
              <w:rPr>
                <w:sz w:val="16"/>
                <w:szCs w:val="16"/>
                <w:spacing w:val="-4"/>
              </w:rPr>
              <w:t>例</w:t>
            </w:r>
            <w:r>
              <w:rPr>
                <w:sz w:val="16"/>
                <w:szCs w:val="16"/>
                <w:spacing w:val="-11"/>
              </w:rPr>
              <w:t xml:space="preserve"> </w:t>
            </w:r>
            <w:r>
              <w:rPr>
                <w:sz w:val="16"/>
                <w:szCs w:val="16"/>
                <w:spacing w:val="-4"/>
              </w:rPr>
              <w:t>!</w:t>
            </w:r>
          </w:p>
        </w:tc>
      </w:tr>
      <w:tr>
        <w:trPr>
          <w:trHeight w:val="794" w:hRule="atLeast"/>
        </w:trPr>
        <w:tc>
          <w:tcPr>
            <w:tcW w:w="584" w:type="dxa"/>
            <w:vAlign w:val="top"/>
          </w:tcPr>
          <w:p>
            <w:pPr>
              <w:spacing w:line="313" w:lineRule="auto"/>
              <w:rPr>
                <w:rFonts w:ascii="Arial"/>
                <w:sz w:val="21"/>
              </w:rPr>
            </w:pPr>
            <w:r/>
          </w:p>
          <w:p>
            <w:pPr>
              <w:pStyle w:val="TableText"/>
              <w:ind w:left="164"/>
              <w:spacing w:before="52" w:line="184" w:lineRule="auto"/>
              <w:rPr>
                <w:sz w:val="16"/>
                <w:szCs w:val="16"/>
              </w:rPr>
            </w:pPr>
            <w:r>
              <w:rPr>
                <w:sz w:val="16"/>
                <w:szCs w:val="16"/>
                <w:spacing w:val="-5"/>
              </w:rPr>
              <w:t>198</w:t>
            </w:r>
          </w:p>
        </w:tc>
        <w:tc>
          <w:tcPr>
            <w:tcW w:w="1289" w:type="dxa"/>
            <w:vAlign w:val="top"/>
          </w:tcPr>
          <w:p>
            <w:pPr>
              <w:spacing w:line="272" w:lineRule="auto"/>
              <w:rPr>
                <w:rFonts w:ascii="Arial"/>
                <w:sz w:val="21"/>
              </w:rPr>
            </w:pPr>
            <w:r/>
          </w:p>
          <w:p>
            <w:pPr>
              <w:pStyle w:val="TableText"/>
              <w:ind w:left="231"/>
              <w:spacing w:before="52" w:line="219" w:lineRule="auto"/>
              <w:rPr>
                <w:sz w:val="16"/>
                <w:szCs w:val="16"/>
              </w:rPr>
            </w:pPr>
            <w:r>
              <w:rPr>
                <w:sz w:val="16"/>
                <w:szCs w:val="16"/>
                <w:spacing w:val="-2"/>
              </w:rPr>
              <w:t>生蒸环绕都</w:t>
            </w:r>
          </w:p>
        </w:tc>
        <w:tc>
          <w:tcPr>
            <w:tcW w:w="1648" w:type="dxa"/>
            <w:vAlign w:val="top"/>
          </w:tcPr>
          <w:p>
            <w:pPr>
              <w:pStyle w:val="TableText"/>
              <w:ind w:left="52" w:right="72" w:firstLine="119"/>
              <w:spacing w:before="134" w:line="228" w:lineRule="auto"/>
              <w:rPr>
                <w:sz w:val="16"/>
                <w:szCs w:val="16"/>
              </w:rPr>
            </w:pPr>
            <w:r>
              <w:rPr>
                <w:sz w:val="16"/>
                <w:szCs w:val="16"/>
                <w:spacing w:val="-2"/>
              </w:rPr>
              <w:t>消耗臭氧层物质生</w:t>
            </w:r>
            <w:r>
              <w:rPr>
                <w:sz w:val="16"/>
                <w:szCs w:val="16"/>
                <w:spacing w:val="2"/>
              </w:rPr>
              <w:t xml:space="preserve">  </w:t>
            </w:r>
            <w:r>
              <w:rPr>
                <w:sz w:val="16"/>
                <w:szCs w:val="16"/>
                <w:spacing w:val="-1"/>
              </w:rPr>
              <w:t>产.悦川，进叫口配赖</w:t>
            </w:r>
            <w:r>
              <w:rPr>
                <w:sz w:val="16"/>
                <w:szCs w:val="16"/>
                <w:spacing w:val="2"/>
              </w:rPr>
              <w:t xml:space="preserve"> </w:t>
            </w:r>
            <w:r>
              <w:rPr>
                <w:sz w:val="16"/>
                <w:szCs w:val="16"/>
                <w:spacing w:val="-1"/>
              </w:rPr>
              <w:t>许可及选出口审盘</w:t>
            </w:r>
          </w:p>
        </w:tc>
        <w:tc>
          <w:tcPr>
            <w:tcW w:w="2367" w:type="dxa"/>
            <w:vAlign w:val="top"/>
          </w:tcPr>
          <w:p>
            <w:pPr>
              <w:pStyle w:val="TableText"/>
              <w:ind w:left="54" w:firstLine="29"/>
              <w:spacing w:before="226" w:line="212" w:lineRule="auto"/>
              <w:rPr>
                <w:sz w:val="20"/>
                <w:szCs w:val="20"/>
              </w:rPr>
            </w:pPr>
            <w:r>
              <w:rPr>
                <w:sz w:val="19"/>
                <w:szCs w:val="19"/>
                <w:spacing w:val="-20"/>
                <w:w w:val="95"/>
              </w:rPr>
              <w:t>生态巧境部，国家消</w:t>
            </w:r>
            <w:r>
              <w:rPr>
                <w:sz w:val="19"/>
                <w:szCs w:val="19"/>
                <w:spacing w:val="-19"/>
                <w:w w:val="95"/>
              </w:rPr>
              <w:t>耗具氧层</w:t>
            </w:r>
            <w:r>
              <w:rPr>
                <w:sz w:val="19"/>
                <w:szCs w:val="19"/>
                <w:spacing w:val="-10"/>
                <w:w w:val="95"/>
              </w:rPr>
              <w:t>物</w:t>
            </w:r>
            <w:r>
              <w:rPr>
                <w:sz w:val="19"/>
                <w:szCs w:val="19"/>
                <w:spacing w:val="11"/>
              </w:rPr>
              <w:t xml:space="preserve"> </w:t>
            </w:r>
            <w:r>
              <w:rPr>
                <w:sz w:val="20"/>
                <w:szCs w:val="20"/>
                <w:spacing w:val="-2"/>
              </w:rPr>
              <w:t>质近出口督皇机形</w:t>
            </w:r>
          </w:p>
        </w:tc>
        <w:tc>
          <w:tcPr>
            <w:tcW w:w="3711" w:type="dxa"/>
            <w:vAlign w:val="top"/>
          </w:tcPr>
          <w:p>
            <w:pPr>
              <w:pStyle w:val="TableText"/>
              <w:ind w:left="79"/>
              <w:spacing w:before="246" w:line="230" w:lineRule="auto"/>
              <w:rPr>
                <w:sz w:val="16"/>
                <w:szCs w:val="16"/>
              </w:rPr>
            </w:pPr>
            <w:r>
              <w:rPr>
                <w:sz w:val="16"/>
                <w:szCs w:val="16"/>
                <w:spacing w:val="-1"/>
              </w:rPr>
              <w:t>中华人民共和国大气方象防情法1</w:t>
            </w:r>
          </w:p>
          <w:p>
            <w:pPr>
              <w:pStyle w:val="TableText"/>
              <w:spacing w:line="218" w:lineRule="auto"/>
              <w:rPr>
                <w:sz w:val="16"/>
                <w:szCs w:val="16"/>
              </w:rPr>
            </w:pPr>
            <w:r>
              <w:rPr>
                <w:sz w:val="16"/>
                <w:szCs w:val="16"/>
                <w:spacing w:val="4"/>
              </w:rPr>
              <w:t>《消民向氧层物庆管理条例】</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4256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04" name="TextBox 20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6" style="position:absolute;margin-left:37.3042pt;margin-top:345.874pt;mso-position-vertical-relative:page;mso-position-horizontal-relative:page;width:13.1pt;height:12.4pt;z-index:25184256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77"/>
        <w:gridCol w:w="3711"/>
      </w:tblGrid>
      <w:tr>
        <w:trPr>
          <w:trHeight w:val="41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中来主管部门</w:t>
            </w:r>
          </w:p>
        </w:tc>
        <w:tc>
          <w:tcPr>
            <w:tcW w:w="1628" w:type="dxa"/>
            <w:vAlign w:val="top"/>
          </w:tcPr>
          <w:p>
            <w:pPr>
              <w:pStyle w:val="TableText"/>
              <w:ind w:left="461"/>
              <w:spacing w:before="130" w:line="219" w:lineRule="auto"/>
              <w:rPr>
                <w:sz w:val="16"/>
                <w:szCs w:val="16"/>
              </w:rPr>
            </w:pPr>
            <w:r>
              <w:rPr>
                <w:sz w:val="16"/>
                <w:szCs w:val="16"/>
                <w:spacing w:val="-2"/>
              </w:rPr>
              <w:t>事填名幕</w:t>
            </w:r>
          </w:p>
        </w:tc>
        <w:tc>
          <w:tcPr>
            <w:tcW w:w="2377" w:type="dxa"/>
            <w:vAlign w:val="top"/>
          </w:tcPr>
          <w:p>
            <w:pPr>
              <w:pStyle w:val="TableText"/>
              <w:ind w:left="834"/>
              <w:spacing w:before="132" w:line="220" w:lineRule="auto"/>
              <w:rPr>
                <w:sz w:val="16"/>
                <w:szCs w:val="16"/>
              </w:rPr>
            </w:pPr>
            <w:r>
              <w:rPr>
                <w:sz w:val="16"/>
                <w:szCs w:val="16"/>
                <w:spacing w:val="-2"/>
              </w:rPr>
              <w:t>实胞税关</w:t>
            </w:r>
          </w:p>
        </w:tc>
        <w:tc>
          <w:tcPr>
            <w:tcW w:w="3711" w:type="dxa"/>
            <w:vAlign w:val="top"/>
          </w:tcPr>
          <w:p>
            <w:pPr>
              <w:pStyle w:val="TableText"/>
              <w:ind w:left="1279"/>
              <w:spacing w:before="128" w:line="219" w:lineRule="auto"/>
              <w:rPr>
                <w:sz w:val="16"/>
                <w:szCs w:val="16"/>
              </w:rPr>
            </w:pPr>
            <w:r>
              <w:rPr>
                <w:sz w:val="16"/>
                <w:szCs w:val="16"/>
                <w:b/>
                <w:bCs/>
                <w:spacing w:val="-3"/>
              </w:rPr>
              <w:t>速定和实期依据</w:t>
            </w:r>
          </w:p>
        </w:tc>
      </w:tr>
      <w:tr>
        <w:trPr>
          <w:trHeight w:val="669" w:hRule="atLeast"/>
        </w:trPr>
        <w:tc>
          <w:tcPr>
            <w:tcW w:w="594" w:type="dxa"/>
            <w:vAlign w:val="top"/>
          </w:tcPr>
          <w:p>
            <w:pPr>
              <w:spacing w:line="243" w:lineRule="auto"/>
              <w:rPr>
                <w:rFonts w:ascii="Arial"/>
                <w:sz w:val="21"/>
              </w:rPr>
            </w:pPr>
            <w:r/>
          </w:p>
          <w:p>
            <w:pPr>
              <w:pStyle w:val="TableText"/>
              <w:ind w:left="164"/>
              <w:spacing w:before="52" w:line="184" w:lineRule="auto"/>
              <w:rPr>
                <w:sz w:val="16"/>
                <w:szCs w:val="16"/>
              </w:rPr>
            </w:pPr>
            <w:r>
              <w:rPr>
                <w:sz w:val="16"/>
                <w:szCs w:val="16"/>
                <w:spacing w:val="-5"/>
              </w:rPr>
              <w:t>190</w:t>
            </w:r>
          </w:p>
        </w:tc>
        <w:tc>
          <w:tcPr>
            <w:tcW w:w="1289" w:type="dxa"/>
            <w:vAlign w:val="top"/>
          </w:tcPr>
          <w:p>
            <w:pPr>
              <w:pStyle w:val="TableText"/>
              <w:ind w:left="231"/>
              <w:spacing w:before="256" w:line="219" w:lineRule="auto"/>
              <w:rPr>
                <w:sz w:val="16"/>
                <w:szCs w:val="16"/>
              </w:rPr>
            </w:pPr>
            <w:r>
              <w:rPr>
                <w:sz w:val="16"/>
                <w:szCs w:val="16"/>
                <w:spacing w:val="-2"/>
              </w:rPr>
              <w:t>生古环地部</w:t>
            </w:r>
          </w:p>
        </w:tc>
        <w:tc>
          <w:tcPr>
            <w:tcW w:w="1628" w:type="dxa"/>
            <w:vAlign w:val="top"/>
          </w:tcPr>
          <w:p>
            <w:pPr>
              <w:pStyle w:val="TableText"/>
              <w:ind w:left="42" w:right="126" w:firstLine="20"/>
              <w:spacing w:before="165" w:line="219" w:lineRule="auto"/>
              <w:rPr>
                <w:sz w:val="16"/>
                <w:szCs w:val="16"/>
              </w:rPr>
            </w:pPr>
            <w:r>
              <w:rPr>
                <w:sz w:val="16"/>
                <w:szCs w:val="16"/>
                <w:spacing w:val="-2"/>
              </w:rPr>
              <w:t>京部议定书济情发展</w:t>
            </w:r>
            <w:r>
              <w:rPr>
                <w:sz w:val="16"/>
                <w:szCs w:val="16"/>
                <w:spacing w:val="6"/>
              </w:rPr>
              <w:t xml:space="preserve"> </w:t>
            </w:r>
            <w:r>
              <w:rPr>
                <w:sz w:val="16"/>
                <w:szCs w:val="16"/>
                <w:spacing w:val="-1"/>
              </w:rPr>
              <w:t>机解合作项目事准</w:t>
            </w:r>
          </w:p>
        </w:tc>
        <w:tc>
          <w:tcPr>
            <w:tcW w:w="2377" w:type="dxa"/>
            <w:vAlign w:val="top"/>
          </w:tcPr>
          <w:p>
            <w:pPr>
              <w:pStyle w:val="TableText"/>
              <w:ind w:left="64"/>
              <w:spacing w:before="255" w:line="219" w:lineRule="auto"/>
              <w:rPr>
                <w:sz w:val="16"/>
                <w:szCs w:val="16"/>
              </w:rPr>
            </w:pPr>
            <w:r>
              <w:rPr>
                <w:sz w:val="16"/>
                <w:szCs w:val="16"/>
                <w:spacing w:val="-1"/>
              </w:rPr>
              <w:t>生击环境部会同科技部，外立部</w:t>
            </w:r>
          </w:p>
        </w:tc>
        <w:tc>
          <w:tcPr>
            <w:tcW w:w="3711" w:type="dxa"/>
            <w:vAlign w:val="top"/>
          </w:tcPr>
          <w:p>
            <w:pPr>
              <w:pStyle w:val="TableText"/>
              <w:ind w:left="69" w:right="207" w:hanging="69"/>
              <w:spacing w:before="66" w:line="231" w:lineRule="auto"/>
              <w:rPr>
                <w:sz w:val="16"/>
                <w:szCs w:val="16"/>
              </w:rPr>
            </w:pPr>
            <w:r>
              <w:rPr>
                <w:sz w:val="16"/>
                <w:szCs w:val="16"/>
                <w:spacing w:val="-2"/>
              </w:rPr>
              <w:t>《细务院对确需保留的行改审发项日设定行盘件可</w:t>
            </w:r>
            <w:r>
              <w:rPr>
                <w:sz w:val="16"/>
                <w:szCs w:val="16"/>
                <w:spacing w:val="16"/>
              </w:rPr>
              <w:t xml:space="preserve"> </w:t>
            </w:r>
            <w:r>
              <w:rPr>
                <w:sz w:val="16"/>
                <w:szCs w:val="16"/>
                <w:spacing w:val="2"/>
              </w:rPr>
              <w:t>的决定</w:t>
            </w:r>
          </w:p>
          <w:p>
            <w:pPr>
              <w:pStyle w:val="TableText"/>
              <w:ind w:left="56"/>
              <w:spacing w:before="9" w:line="211" w:lineRule="auto"/>
              <w:rPr>
                <w:sz w:val="16"/>
                <w:szCs w:val="16"/>
              </w:rPr>
            </w:pPr>
            <w:r>
              <w:rPr>
                <w:sz w:val="16"/>
                <w:szCs w:val="16"/>
              </w:rPr>
              <w:t>1清清发展机制项目运行管理办法</w:t>
            </w:r>
          </w:p>
        </w:tc>
      </w:tr>
      <w:tr>
        <w:trPr>
          <w:trHeight w:val="649" w:hRule="atLeast"/>
        </w:trPr>
        <w:tc>
          <w:tcPr>
            <w:tcW w:w="594" w:type="dxa"/>
            <w:vAlign w:val="top"/>
          </w:tcPr>
          <w:p>
            <w:pPr>
              <w:pStyle w:val="TableText"/>
              <w:ind w:left="164"/>
              <w:spacing w:before="288" w:line="183" w:lineRule="auto"/>
              <w:rPr>
                <w:sz w:val="16"/>
                <w:szCs w:val="16"/>
              </w:rPr>
            </w:pPr>
            <w:r>
              <w:rPr>
                <w:sz w:val="16"/>
                <w:szCs w:val="16"/>
                <w:spacing w:val="-3"/>
              </w:rPr>
              <w:t>7im</w:t>
            </w:r>
          </w:p>
        </w:tc>
        <w:tc>
          <w:tcPr>
            <w:tcW w:w="1289" w:type="dxa"/>
            <w:vAlign w:val="top"/>
          </w:tcPr>
          <w:p>
            <w:pPr>
              <w:pStyle w:val="TableText"/>
              <w:ind w:left="231"/>
              <w:spacing w:before="247" w:line="219" w:lineRule="auto"/>
              <w:rPr>
                <w:sz w:val="16"/>
                <w:szCs w:val="16"/>
              </w:rPr>
            </w:pPr>
            <w:r>
              <w:rPr>
                <w:sz w:val="16"/>
                <w:szCs w:val="16"/>
                <w:spacing w:val="-2"/>
              </w:rPr>
              <w:t>生态环境部</w:t>
            </w:r>
          </w:p>
        </w:tc>
        <w:tc>
          <w:tcPr>
            <w:tcW w:w="1628" w:type="dxa"/>
            <w:vAlign w:val="top"/>
          </w:tcPr>
          <w:p>
            <w:pPr>
              <w:pStyle w:val="TableText"/>
              <w:ind w:left="42" w:right="113"/>
              <w:spacing w:before="157" w:line="219" w:lineRule="auto"/>
              <w:rPr>
                <w:sz w:val="16"/>
                <w:szCs w:val="16"/>
              </w:rPr>
            </w:pPr>
            <w:r>
              <w:rPr>
                <w:sz w:val="16"/>
                <w:szCs w:val="16"/>
                <w:spacing w:val="2"/>
              </w:rPr>
              <w:t>新化学物质环境曾习</w:t>
            </w:r>
            <w:r>
              <w:rPr>
                <w:sz w:val="16"/>
                <w:szCs w:val="16"/>
                <w:spacing w:val="3"/>
              </w:rPr>
              <w:t xml:space="preserve"> </w:t>
            </w:r>
            <w:r>
              <w:rPr>
                <w:sz w:val="16"/>
                <w:szCs w:val="16"/>
                <w:spacing w:val="-1"/>
              </w:rPr>
              <w:t>每记证概发</w:t>
            </w:r>
          </w:p>
        </w:tc>
        <w:tc>
          <w:tcPr>
            <w:tcW w:w="2377" w:type="dxa"/>
            <w:vAlign w:val="top"/>
          </w:tcPr>
          <w:p>
            <w:pPr>
              <w:pStyle w:val="TableText"/>
              <w:ind w:left="64"/>
              <w:spacing w:before="247" w:line="219" w:lineRule="auto"/>
              <w:rPr>
                <w:sz w:val="16"/>
                <w:szCs w:val="16"/>
              </w:rPr>
            </w:pPr>
            <w:r>
              <w:rPr>
                <w:sz w:val="16"/>
                <w:szCs w:val="16"/>
                <w:spacing w:val="-2"/>
              </w:rPr>
              <w:t>生药环填部</w:t>
            </w:r>
          </w:p>
        </w:tc>
        <w:tc>
          <w:tcPr>
            <w:tcW w:w="3711" w:type="dxa"/>
            <w:vAlign w:val="top"/>
          </w:tcPr>
          <w:p>
            <w:pPr>
              <w:pStyle w:val="TableText"/>
              <w:ind w:left="56" w:right="207" w:hanging="10"/>
              <w:spacing w:before="46" w:line="232" w:lineRule="auto"/>
              <w:rPr>
                <w:sz w:val="16"/>
                <w:szCs w:val="16"/>
              </w:rPr>
            </w:pPr>
            <w:r>
              <w:rPr>
                <w:sz w:val="16"/>
                <w:szCs w:val="16"/>
              </w:rPr>
              <w:t>1四务院对确需保值的行政审抗项且很定行战评可</w:t>
            </w:r>
            <w:r>
              <w:rPr>
                <w:sz w:val="16"/>
                <w:szCs w:val="16"/>
                <w:spacing w:val="5"/>
              </w:rPr>
              <w:t xml:space="preserve"> </w:t>
            </w:r>
            <w:r>
              <w:rPr>
                <w:sz w:val="16"/>
                <w:szCs w:val="16"/>
                <w:spacing w:val="3"/>
              </w:rPr>
              <w:t>的块定</w:t>
            </w:r>
          </w:p>
          <w:p>
            <w:pPr>
              <w:pStyle w:val="TableText"/>
              <w:ind w:left="56"/>
              <w:spacing w:before="8" w:line="210" w:lineRule="auto"/>
              <w:rPr>
                <w:sz w:val="16"/>
                <w:szCs w:val="16"/>
              </w:rPr>
            </w:pPr>
            <w:r>
              <w:rPr>
                <w:sz w:val="16"/>
                <w:szCs w:val="16"/>
                <w:spacing w:val="-1"/>
              </w:rPr>
              <w:t>4新化学物五环墙管理费记办铁》</w:t>
            </w:r>
          </w:p>
        </w:tc>
      </w:tr>
      <w:tr>
        <w:trPr>
          <w:trHeight w:val="1867" w:hRule="atLeast"/>
        </w:trPr>
        <w:tc>
          <w:tcPr>
            <w:tcW w:w="594"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64"/>
              <w:spacing w:before="52" w:line="184" w:lineRule="auto"/>
              <w:rPr>
                <w:sz w:val="16"/>
                <w:szCs w:val="16"/>
              </w:rPr>
            </w:pPr>
            <w:r>
              <w:rPr>
                <w:sz w:val="16"/>
                <w:szCs w:val="16"/>
                <w:spacing w:val="-2"/>
              </w:rPr>
              <w:t>201</w:t>
            </w:r>
          </w:p>
        </w:tc>
        <w:tc>
          <w:tcPr>
            <w:tcW w:w="128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31"/>
              <w:spacing w:before="52" w:line="219" w:lineRule="auto"/>
              <w:rPr>
                <w:sz w:val="16"/>
                <w:szCs w:val="16"/>
              </w:rPr>
            </w:pPr>
            <w:r>
              <w:rPr>
                <w:sz w:val="16"/>
                <w:szCs w:val="16"/>
                <w:spacing w:val="-2"/>
              </w:rPr>
              <w:t>生事环能部</w:t>
            </w:r>
          </w:p>
        </w:tc>
        <w:tc>
          <w:tcPr>
            <w:tcW w:w="1628" w:type="dxa"/>
            <w:vAlign w:val="top"/>
          </w:tcPr>
          <w:p>
            <w:pPr>
              <w:spacing w:line="351" w:lineRule="auto"/>
              <w:rPr>
                <w:rFonts w:ascii="Arial"/>
                <w:sz w:val="21"/>
              </w:rPr>
            </w:pPr>
            <w:r/>
          </w:p>
          <w:p>
            <w:pPr>
              <w:spacing w:line="351" w:lineRule="auto"/>
              <w:rPr>
                <w:rFonts w:ascii="Arial"/>
                <w:sz w:val="21"/>
              </w:rPr>
            </w:pPr>
            <w:r/>
          </w:p>
          <w:p>
            <w:pPr>
              <w:pStyle w:val="TableText"/>
              <w:ind w:left="42" w:right="114" w:firstLine="30"/>
              <w:spacing w:before="52" w:line="230" w:lineRule="auto"/>
              <w:rPr>
                <w:sz w:val="16"/>
                <w:szCs w:val="16"/>
              </w:rPr>
            </w:pPr>
            <w:r>
              <w:rPr>
                <w:sz w:val="16"/>
                <w:szCs w:val="16"/>
                <w:spacing w:val="-1"/>
              </w:rPr>
              <w:t>危险化学品违出口环</w:t>
            </w:r>
            <w:r>
              <w:rPr>
                <w:sz w:val="16"/>
                <w:szCs w:val="16"/>
              </w:rPr>
              <w:t xml:space="preserve"> </w:t>
            </w:r>
            <w:r>
              <w:rPr>
                <w:sz w:val="16"/>
                <w:szCs w:val="16"/>
                <w:spacing w:val="-1"/>
              </w:rPr>
              <w:t>境情理登记证机发</w:t>
            </w:r>
          </w:p>
        </w:tc>
        <w:tc>
          <w:tcPr>
            <w:tcW w:w="2377"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64"/>
              <w:spacing w:before="52" w:line="219" w:lineRule="auto"/>
              <w:rPr>
                <w:sz w:val="16"/>
                <w:szCs w:val="16"/>
              </w:rPr>
            </w:pPr>
            <w:r>
              <w:rPr>
                <w:sz w:val="16"/>
                <w:szCs w:val="16"/>
                <w:spacing w:val="-2"/>
              </w:rPr>
              <w:t>生态环域都</w:t>
            </w:r>
          </w:p>
        </w:tc>
        <w:tc>
          <w:tcPr>
            <w:tcW w:w="3711" w:type="dxa"/>
            <w:vAlign w:val="top"/>
          </w:tcPr>
          <w:p>
            <w:pPr>
              <w:pStyle w:val="TableText"/>
              <w:ind w:left="56" w:right="197" w:firstLine="80"/>
              <w:spacing w:before="48" w:line="231" w:lineRule="auto"/>
              <w:rPr>
                <w:sz w:val="16"/>
                <w:szCs w:val="16"/>
              </w:rPr>
            </w:pPr>
            <w:r>
              <w:rPr>
                <w:sz w:val="16"/>
                <w:szCs w:val="16"/>
              </w:rPr>
              <w:t>国各院对确需保值的行改家批理材设定行政许可</w:t>
            </w:r>
            <w:r>
              <w:rPr>
                <w:sz w:val="16"/>
                <w:szCs w:val="16"/>
                <w:spacing w:val="5"/>
              </w:rPr>
              <w:t xml:space="preserve"> </w:t>
            </w:r>
            <w:r>
              <w:rPr>
                <w:sz w:val="16"/>
                <w:szCs w:val="16"/>
                <w:spacing w:val="4"/>
              </w:rPr>
              <w:t>的决定1</w:t>
            </w:r>
          </w:p>
          <w:p>
            <w:pPr>
              <w:pStyle w:val="TableText"/>
              <w:ind w:left="67"/>
              <w:spacing w:before="9" w:line="219" w:lineRule="auto"/>
              <w:rPr>
                <w:sz w:val="16"/>
                <w:szCs w:val="16"/>
              </w:rPr>
            </w:pPr>
            <w:r>
              <w:rPr>
                <w:sz w:val="16"/>
                <w:szCs w:val="16"/>
              </w:rPr>
              <w:t>1全国人民代表大会靠务要具会姜于批难(关干特丸</w:t>
            </w:r>
          </w:p>
          <w:p>
            <w:pPr>
              <w:pStyle w:val="TableText"/>
              <w:ind w:left="56"/>
              <w:spacing w:before="40" w:line="208" w:lineRule="auto"/>
              <w:rPr>
                <w:sz w:val="16"/>
                <w:szCs w:val="16"/>
              </w:rPr>
            </w:pPr>
            <w:r>
              <w:rPr>
                <w:sz w:val="16"/>
                <w:szCs w:val="16"/>
                <w:spacing w:val="-1"/>
              </w:rPr>
              <w:t>性有机污必物的所传高尔章公的的说定</w:t>
            </w:r>
          </w:p>
          <w:p>
            <w:pPr>
              <w:pStyle w:val="TableText"/>
              <w:ind w:left="88" w:right="147" w:hanging="89"/>
              <w:spacing w:before="1" w:line="230" w:lineRule="auto"/>
              <w:rPr>
                <w:sz w:val="16"/>
                <w:szCs w:val="16"/>
              </w:rPr>
            </w:pPr>
            <w:r>
              <w:rPr>
                <w:sz w:val="16"/>
                <w:szCs w:val="16"/>
                <w:spacing w:val="-2"/>
              </w:rPr>
              <w:t>《全国人民代表大化肃务要员会关于批雅(关于</w:t>
            </w:r>
            <w:r>
              <w:rPr>
                <w:sz w:val="16"/>
                <w:szCs w:val="16"/>
                <w:spacing w:val="-3"/>
              </w:rPr>
              <w:t>象龄</w:t>
            </w:r>
            <w:r>
              <w:rPr>
                <w:sz w:val="16"/>
                <w:szCs w:val="16"/>
              </w:rPr>
              <w:t xml:space="preserve"> </w:t>
            </w:r>
            <w:r>
              <w:rPr>
                <w:sz w:val="16"/>
                <w:szCs w:val="16"/>
              </w:rPr>
              <w:t>水同公级》的决定1</w:t>
            </w:r>
          </w:p>
          <w:p>
            <w:pPr>
              <w:pStyle w:val="TableText"/>
              <w:ind w:left="46" w:right="107" w:firstLine="10"/>
              <w:spacing w:before="1" w:line="226" w:lineRule="auto"/>
              <w:jc w:val="both"/>
              <w:rPr>
                <w:sz w:val="16"/>
                <w:szCs w:val="16"/>
              </w:rPr>
            </w:pPr>
            <w:r>
              <w:rPr>
                <w:sz w:val="16"/>
                <w:szCs w:val="16"/>
              </w:rPr>
              <w:t>全国人风代表大杂府务重显会关干批推《某于在国</w:t>
            </w:r>
            <w:r>
              <w:rPr>
                <w:sz w:val="16"/>
                <w:szCs w:val="16"/>
                <w:spacing w:val="15"/>
              </w:rPr>
              <w:t xml:space="preserve"> </w:t>
            </w:r>
            <w:r>
              <w:rPr>
                <w:sz w:val="16"/>
                <w:szCs w:val="16"/>
              </w:rPr>
              <w:t>际置易中对某也位写化学品和农的采用非先知情照</w:t>
            </w:r>
            <w:r>
              <w:rPr>
                <w:sz w:val="16"/>
                <w:szCs w:val="16"/>
                <w:spacing w:val="12"/>
              </w:rPr>
              <w:t xml:space="preserve"> </w:t>
            </w:r>
            <w:r>
              <w:rPr>
                <w:sz w:val="16"/>
                <w:szCs w:val="16"/>
                <w:spacing w:val="-1"/>
              </w:rPr>
              <w:t>查程序的度特丹公购》的决定》</w:t>
            </w:r>
          </w:p>
        </w:tc>
      </w:tr>
      <w:tr>
        <w:trPr>
          <w:trHeight w:val="449" w:hRule="atLeast"/>
        </w:trPr>
        <w:tc>
          <w:tcPr>
            <w:tcW w:w="594" w:type="dxa"/>
            <w:vAlign w:val="top"/>
          </w:tcPr>
          <w:p>
            <w:pPr>
              <w:pStyle w:val="TableText"/>
              <w:ind w:left="164"/>
              <w:spacing w:before="192" w:line="183" w:lineRule="auto"/>
              <w:rPr>
                <w:sz w:val="16"/>
                <w:szCs w:val="16"/>
              </w:rPr>
            </w:pPr>
            <w:r>
              <w:rPr>
                <w:sz w:val="16"/>
                <w:szCs w:val="16"/>
                <w:spacing w:val="-2"/>
              </w:rPr>
              <w:t>202</w:t>
            </w:r>
          </w:p>
        </w:tc>
        <w:tc>
          <w:tcPr>
            <w:tcW w:w="1289" w:type="dxa"/>
            <w:vAlign w:val="top"/>
          </w:tcPr>
          <w:p>
            <w:pPr>
              <w:pStyle w:val="TableText"/>
              <w:ind w:left="231"/>
              <w:spacing w:before="151" w:line="219" w:lineRule="auto"/>
              <w:rPr>
                <w:sz w:val="16"/>
                <w:szCs w:val="16"/>
              </w:rPr>
            </w:pPr>
            <w:r>
              <w:rPr>
                <w:sz w:val="16"/>
                <w:szCs w:val="16"/>
                <w:spacing w:val="-2"/>
              </w:rPr>
              <w:t>生态系境部</w:t>
            </w:r>
          </w:p>
        </w:tc>
        <w:tc>
          <w:tcPr>
            <w:tcW w:w="1628" w:type="dxa"/>
            <w:vAlign w:val="top"/>
          </w:tcPr>
          <w:p>
            <w:pPr>
              <w:pStyle w:val="TableText"/>
              <w:ind w:left="42"/>
              <w:spacing w:before="151" w:line="219" w:lineRule="auto"/>
              <w:rPr>
                <w:sz w:val="16"/>
                <w:szCs w:val="16"/>
              </w:rPr>
            </w:pPr>
            <w:r>
              <w:rPr>
                <w:sz w:val="16"/>
                <w:szCs w:val="16"/>
                <w:spacing w:val="-1"/>
              </w:rPr>
              <w:t>危险度物经管许可</w:t>
            </w:r>
          </w:p>
        </w:tc>
        <w:tc>
          <w:tcPr>
            <w:tcW w:w="2377" w:type="dxa"/>
            <w:vAlign w:val="top"/>
          </w:tcPr>
          <w:p>
            <w:pPr>
              <w:pStyle w:val="TableText"/>
              <w:ind w:left="64" w:right="51" w:firstLine="19"/>
              <w:spacing w:before="40" w:line="226" w:lineRule="auto"/>
              <w:rPr>
                <w:sz w:val="16"/>
                <w:szCs w:val="16"/>
              </w:rPr>
            </w:pPr>
            <w:r>
              <w:rPr>
                <w:sz w:val="16"/>
                <w:szCs w:val="16"/>
                <w:spacing w:val="-1"/>
              </w:rPr>
              <w:t>省段，设区的市级，从取生击环</w:t>
            </w:r>
            <w:r>
              <w:rPr>
                <w:sz w:val="16"/>
                <w:szCs w:val="16"/>
                <w:spacing w:val="4"/>
              </w:rPr>
              <w:t xml:space="preserve"> </w:t>
            </w:r>
            <w:r>
              <w:rPr>
                <w:sz w:val="16"/>
                <w:szCs w:val="16"/>
                <w:spacing w:val="6"/>
              </w:rPr>
              <w:t>境露门</w:t>
            </w:r>
          </w:p>
        </w:tc>
        <w:tc>
          <w:tcPr>
            <w:tcW w:w="3711" w:type="dxa"/>
            <w:vAlign w:val="top"/>
          </w:tcPr>
          <w:p>
            <w:pPr>
              <w:pStyle w:val="TableText"/>
              <w:ind w:left="56" w:right="523"/>
              <w:spacing w:before="71" w:line="212" w:lineRule="auto"/>
              <w:rPr>
                <w:sz w:val="16"/>
                <w:szCs w:val="16"/>
              </w:rPr>
            </w:pPr>
            <w:r>
              <w:rPr>
                <w:sz w:val="16"/>
                <w:szCs w:val="16"/>
              </w:rPr>
              <w:t>(中华人民其和国黑体度需疗染环提防合甚》 </w:t>
            </w:r>
            <w:r>
              <w:rPr>
                <w:sz w:val="16"/>
                <w:szCs w:val="16"/>
              </w:rPr>
              <w:t>1危险政前经齿许可证登理办法?</w:t>
            </w:r>
          </w:p>
        </w:tc>
      </w:tr>
      <w:tr>
        <w:trPr>
          <w:trHeight w:val="459" w:hRule="atLeast"/>
        </w:trPr>
        <w:tc>
          <w:tcPr>
            <w:tcW w:w="594" w:type="dxa"/>
            <w:vAlign w:val="top"/>
          </w:tcPr>
          <w:p>
            <w:pPr>
              <w:pStyle w:val="TableText"/>
              <w:ind w:left="164"/>
              <w:spacing w:before="193" w:line="183" w:lineRule="auto"/>
              <w:rPr>
                <w:sz w:val="16"/>
                <w:szCs w:val="16"/>
              </w:rPr>
            </w:pPr>
            <w:r>
              <w:rPr>
                <w:sz w:val="16"/>
                <w:szCs w:val="16"/>
                <w:spacing w:val="-3"/>
              </w:rPr>
              <w:t>305</w:t>
            </w:r>
          </w:p>
        </w:tc>
        <w:tc>
          <w:tcPr>
            <w:tcW w:w="1289" w:type="dxa"/>
            <w:vAlign w:val="top"/>
          </w:tcPr>
          <w:p>
            <w:pPr>
              <w:pStyle w:val="TableText"/>
              <w:ind w:left="231"/>
              <w:spacing w:before="152" w:line="219" w:lineRule="auto"/>
              <w:rPr>
                <w:sz w:val="16"/>
                <w:szCs w:val="16"/>
              </w:rPr>
            </w:pPr>
            <w:r>
              <w:rPr>
                <w:sz w:val="16"/>
                <w:szCs w:val="16"/>
                <w:spacing w:val="-2"/>
              </w:rPr>
              <w:t>生态环经部</w:t>
            </w:r>
          </w:p>
        </w:tc>
        <w:tc>
          <w:tcPr>
            <w:tcW w:w="1628" w:type="dxa"/>
            <w:vAlign w:val="top"/>
          </w:tcPr>
          <w:p>
            <w:pPr>
              <w:pStyle w:val="TableText"/>
              <w:ind w:left="42" w:right="154" w:hanging="10"/>
              <w:spacing w:before="61" w:line="214" w:lineRule="auto"/>
              <w:rPr>
                <w:sz w:val="16"/>
                <w:szCs w:val="16"/>
              </w:rPr>
            </w:pPr>
            <w:r>
              <w:rPr>
                <w:sz w:val="16"/>
                <w:szCs w:val="16"/>
                <w:spacing w:val="-1"/>
              </w:rPr>
              <w:t>短长地阶驶情心存期</w:t>
            </w:r>
            <w:r>
              <w:rPr>
                <w:sz w:val="16"/>
                <w:szCs w:val="16"/>
              </w:rPr>
              <w:t xml:space="preserve"> </w:t>
            </w:r>
            <w:r>
              <w:rPr>
                <w:sz w:val="16"/>
                <w:szCs w:val="16"/>
                <w:spacing w:val="-2"/>
              </w:rPr>
              <w:t>报市能</w:t>
            </w:r>
          </w:p>
        </w:tc>
        <w:tc>
          <w:tcPr>
            <w:tcW w:w="2377" w:type="dxa"/>
            <w:vAlign w:val="top"/>
          </w:tcPr>
          <w:p>
            <w:pPr>
              <w:pStyle w:val="TableText"/>
              <w:ind w:left="64"/>
              <w:spacing w:before="152" w:line="219" w:lineRule="auto"/>
              <w:rPr>
                <w:sz w:val="16"/>
                <w:szCs w:val="16"/>
              </w:rPr>
            </w:pPr>
            <w:r>
              <w:rPr>
                <w:sz w:val="16"/>
                <w:szCs w:val="16"/>
                <w:spacing w:val="1"/>
              </w:rPr>
              <w:t>古级、设区的市级牛老环地器门</w:t>
            </w:r>
          </w:p>
        </w:tc>
        <w:tc>
          <w:tcPr>
            <w:tcW w:w="3711" w:type="dxa"/>
            <w:vAlign w:val="top"/>
          </w:tcPr>
          <w:p>
            <w:pPr>
              <w:pStyle w:val="TableText"/>
              <w:ind w:left="56"/>
              <w:spacing w:before="151" w:line="219" w:lineRule="auto"/>
              <w:rPr>
                <w:sz w:val="16"/>
                <w:szCs w:val="16"/>
              </w:rPr>
            </w:pPr>
            <w:r>
              <w:rPr>
                <w:sz w:val="16"/>
                <w:szCs w:val="16"/>
              </w:rPr>
              <w:t>1中华人民共和面测体废能汽垫环境防附法至</w:t>
            </w:r>
          </w:p>
        </w:tc>
      </w:tr>
      <w:tr>
        <w:trPr>
          <w:trHeight w:val="449" w:hRule="atLeast"/>
        </w:trPr>
        <w:tc>
          <w:tcPr>
            <w:tcW w:w="594" w:type="dxa"/>
            <w:vAlign w:val="top"/>
          </w:tcPr>
          <w:p>
            <w:pPr>
              <w:pStyle w:val="TableText"/>
              <w:ind w:left="164"/>
              <w:spacing w:before="194" w:line="183" w:lineRule="auto"/>
              <w:rPr>
                <w:sz w:val="16"/>
                <w:szCs w:val="16"/>
              </w:rPr>
            </w:pPr>
            <w:r>
              <w:rPr>
                <w:sz w:val="16"/>
                <w:szCs w:val="16"/>
                <w:spacing w:val="-2"/>
              </w:rPr>
              <w:t>204</w:t>
            </w:r>
          </w:p>
        </w:tc>
        <w:tc>
          <w:tcPr>
            <w:tcW w:w="1289" w:type="dxa"/>
            <w:vAlign w:val="top"/>
          </w:tcPr>
          <w:p>
            <w:pPr>
              <w:pStyle w:val="TableText"/>
              <w:ind w:left="231"/>
              <w:spacing w:before="153" w:line="219" w:lineRule="auto"/>
              <w:rPr>
                <w:sz w:val="16"/>
                <w:szCs w:val="16"/>
              </w:rPr>
            </w:pPr>
            <w:r>
              <w:rPr>
                <w:sz w:val="16"/>
                <w:szCs w:val="16"/>
                <w:spacing w:val="-2"/>
              </w:rPr>
              <w:t>生态环境部</w:t>
            </w:r>
          </w:p>
        </w:tc>
        <w:tc>
          <w:tcPr>
            <w:tcW w:w="1628" w:type="dxa"/>
            <w:vAlign w:val="top"/>
          </w:tcPr>
          <w:p>
            <w:pPr>
              <w:pStyle w:val="TableText"/>
              <w:ind w:left="42" w:right="154" w:hanging="10"/>
              <w:spacing w:before="52" w:line="223" w:lineRule="auto"/>
              <w:rPr>
                <w:sz w:val="16"/>
                <w:szCs w:val="16"/>
              </w:rPr>
            </w:pPr>
            <w:r>
              <w:rPr>
                <w:sz w:val="16"/>
                <w:szCs w:val="16"/>
                <w:spacing w:val="-1"/>
              </w:rPr>
              <w:t>危险度勒蔚管驶行政</w:t>
            </w:r>
            <w:r>
              <w:rPr>
                <w:sz w:val="16"/>
                <w:szCs w:val="16"/>
              </w:rPr>
              <w:t xml:space="preserve"> </w:t>
            </w:r>
            <w:r>
              <w:rPr>
                <w:sz w:val="16"/>
                <w:szCs w:val="16"/>
                <w:spacing w:val="1"/>
              </w:rPr>
              <w:t>区域转礼甲能</w:t>
            </w:r>
          </w:p>
        </w:tc>
        <w:tc>
          <w:tcPr>
            <w:tcW w:w="2377" w:type="dxa"/>
            <w:vAlign w:val="top"/>
          </w:tcPr>
          <w:p>
            <w:pPr>
              <w:pStyle w:val="TableText"/>
              <w:ind w:left="64"/>
              <w:spacing w:before="153" w:line="219" w:lineRule="auto"/>
              <w:rPr>
                <w:sz w:val="16"/>
                <w:szCs w:val="16"/>
              </w:rPr>
            </w:pPr>
            <w:r>
              <w:rPr>
                <w:sz w:val="16"/>
                <w:szCs w:val="16"/>
                <w:spacing w:val="2"/>
              </w:rPr>
              <w:t>看缓生泰环境部门</w:t>
            </w:r>
          </w:p>
        </w:tc>
        <w:tc>
          <w:tcPr>
            <w:tcW w:w="3711" w:type="dxa"/>
            <w:vAlign w:val="top"/>
          </w:tcPr>
          <w:p>
            <w:pPr>
              <w:pStyle w:val="TableText"/>
              <w:ind w:left="56"/>
              <w:spacing w:before="153" w:line="219" w:lineRule="auto"/>
              <w:rPr>
                <w:sz w:val="16"/>
                <w:szCs w:val="16"/>
              </w:rPr>
            </w:pPr>
            <w:r>
              <w:rPr>
                <w:sz w:val="16"/>
                <w:szCs w:val="16"/>
              </w:rPr>
              <w:t>(中华人民共和国属体废物污态环境防指法1</w:t>
            </w:r>
          </w:p>
        </w:tc>
      </w:tr>
      <w:tr>
        <w:trPr>
          <w:trHeight w:val="659" w:hRule="atLeast"/>
        </w:trPr>
        <w:tc>
          <w:tcPr>
            <w:tcW w:w="594" w:type="dxa"/>
            <w:vAlign w:val="top"/>
          </w:tcPr>
          <w:p>
            <w:pPr>
              <w:spacing w:line="242" w:lineRule="auto"/>
              <w:rPr>
                <w:rFonts w:ascii="Arial"/>
                <w:sz w:val="21"/>
              </w:rPr>
            </w:pPr>
            <w:r/>
          </w:p>
          <w:p>
            <w:pPr>
              <w:pStyle w:val="TableText"/>
              <w:ind w:left="164"/>
              <w:spacing w:before="52" w:line="183" w:lineRule="auto"/>
              <w:rPr>
                <w:sz w:val="16"/>
                <w:szCs w:val="16"/>
              </w:rPr>
            </w:pPr>
            <w:r>
              <w:rPr>
                <w:sz w:val="16"/>
                <w:szCs w:val="16"/>
                <w:spacing w:val="-2"/>
              </w:rPr>
              <w:t>206</w:t>
            </w:r>
          </w:p>
        </w:tc>
        <w:tc>
          <w:tcPr>
            <w:tcW w:w="1289" w:type="dxa"/>
            <w:vAlign w:val="top"/>
          </w:tcPr>
          <w:p>
            <w:pPr>
              <w:pStyle w:val="TableText"/>
              <w:ind w:left="231"/>
              <w:spacing w:before="254" w:line="219" w:lineRule="auto"/>
              <w:rPr>
                <w:sz w:val="16"/>
                <w:szCs w:val="16"/>
              </w:rPr>
            </w:pPr>
            <w:r>
              <w:rPr>
                <w:sz w:val="16"/>
                <w:szCs w:val="16"/>
                <w:spacing w:val="-2"/>
              </w:rPr>
              <w:t>牛态环境部</w:t>
            </w:r>
          </w:p>
        </w:tc>
        <w:tc>
          <w:tcPr>
            <w:tcW w:w="1628" w:type="dxa"/>
            <w:vAlign w:val="top"/>
          </w:tcPr>
          <w:p>
            <w:pPr>
              <w:pStyle w:val="TableText"/>
              <w:ind w:left="42" w:right="152" w:hanging="10"/>
              <w:spacing w:before="164" w:line="225" w:lineRule="auto"/>
              <w:rPr>
                <w:sz w:val="16"/>
                <w:szCs w:val="16"/>
              </w:rPr>
            </w:pPr>
            <w:r>
              <w:rPr>
                <w:sz w:val="16"/>
                <w:szCs w:val="16"/>
                <w:spacing w:val="-1"/>
              </w:rPr>
              <w:t>庇险虚物称境特移机</w:t>
            </w:r>
            <w:r>
              <w:rPr>
                <w:sz w:val="16"/>
                <w:szCs w:val="16"/>
                <w:spacing w:val="1"/>
              </w:rPr>
              <w:t xml:space="preserve"> </w:t>
            </w:r>
            <w:r>
              <w:rPr>
                <w:sz w:val="16"/>
                <w:szCs w:val="16"/>
              </w:rPr>
              <w:t>带</w:t>
            </w:r>
          </w:p>
        </w:tc>
        <w:tc>
          <w:tcPr>
            <w:tcW w:w="2377" w:type="dxa"/>
            <w:vAlign w:val="top"/>
          </w:tcPr>
          <w:p>
            <w:pPr>
              <w:pStyle w:val="TableText"/>
              <w:ind w:left="64"/>
              <w:spacing w:before="254" w:line="219" w:lineRule="auto"/>
              <w:rPr>
                <w:sz w:val="16"/>
                <w:szCs w:val="16"/>
              </w:rPr>
            </w:pPr>
            <w:r>
              <w:rPr>
                <w:sz w:val="16"/>
                <w:szCs w:val="16"/>
                <w:spacing w:val="-2"/>
              </w:rPr>
              <w:t>生志环境部</w:t>
            </w:r>
          </w:p>
        </w:tc>
        <w:tc>
          <w:tcPr>
            <w:tcW w:w="3711" w:type="dxa"/>
            <w:vAlign w:val="top"/>
          </w:tcPr>
          <w:p>
            <w:pPr>
              <w:pStyle w:val="TableText"/>
              <w:ind w:left="56" w:right="277"/>
              <w:spacing w:before="54" w:line="231" w:lineRule="auto"/>
              <w:rPr>
                <w:sz w:val="16"/>
                <w:szCs w:val="16"/>
              </w:rPr>
            </w:pPr>
            <w:r>
              <w:rPr>
                <w:sz w:val="16"/>
                <w:szCs w:val="16"/>
              </w:rPr>
              <w:t>国务院对确需保留的有改审查项目论定行政许可</w:t>
            </w:r>
            <w:r>
              <w:rPr>
                <w:sz w:val="16"/>
                <w:szCs w:val="16"/>
                <w:spacing w:val="5"/>
              </w:rPr>
              <w:t xml:space="preserve"> </w:t>
            </w:r>
            <w:r>
              <w:rPr>
                <w:sz w:val="16"/>
                <w:szCs w:val="16"/>
              </w:rPr>
              <w:t>的决定》</w:t>
            </w:r>
          </w:p>
          <w:p>
            <w:pPr>
              <w:pStyle w:val="TableText"/>
              <w:spacing w:before="9" w:line="213" w:lineRule="auto"/>
              <w:rPr>
                <w:sz w:val="16"/>
                <w:szCs w:val="16"/>
              </w:rPr>
            </w:pPr>
            <w:r>
              <w:rPr>
                <w:sz w:val="16"/>
                <w:szCs w:val="16"/>
                <w:spacing w:val="-3"/>
              </w:rPr>
              <w:t>《能隐废物出口羰难管理办法</w:t>
            </w:r>
          </w:p>
        </w:tc>
      </w:tr>
      <w:tr>
        <w:trPr>
          <w:trHeight w:val="459" w:hRule="atLeast"/>
        </w:trPr>
        <w:tc>
          <w:tcPr>
            <w:tcW w:w="594" w:type="dxa"/>
            <w:vAlign w:val="top"/>
          </w:tcPr>
          <w:p>
            <w:pPr>
              <w:pStyle w:val="TableText"/>
              <w:ind w:left="164"/>
              <w:spacing w:before="196" w:line="183" w:lineRule="auto"/>
              <w:rPr>
                <w:sz w:val="16"/>
                <w:szCs w:val="16"/>
              </w:rPr>
            </w:pPr>
            <w:r>
              <w:rPr>
                <w:sz w:val="16"/>
                <w:szCs w:val="16"/>
                <w:spacing w:val="-2"/>
              </w:rPr>
              <w:t>206</w:t>
            </w:r>
          </w:p>
        </w:tc>
        <w:tc>
          <w:tcPr>
            <w:tcW w:w="1289" w:type="dxa"/>
            <w:vAlign w:val="top"/>
          </w:tcPr>
          <w:p>
            <w:pPr>
              <w:pStyle w:val="TableText"/>
              <w:ind w:left="231"/>
              <w:spacing w:before="154" w:line="219" w:lineRule="auto"/>
              <w:rPr>
                <w:sz w:val="16"/>
                <w:szCs w:val="16"/>
              </w:rPr>
            </w:pPr>
            <w:r>
              <w:rPr>
                <w:sz w:val="16"/>
                <w:szCs w:val="16"/>
                <w:spacing w:val="-2"/>
              </w:rPr>
              <w:t>生本环地都</w:t>
            </w:r>
          </w:p>
        </w:tc>
        <w:tc>
          <w:tcPr>
            <w:tcW w:w="1628" w:type="dxa"/>
            <w:vAlign w:val="top"/>
          </w:tcPr>
          <w:p>
            <w:pPr>
              <w:pStyle w:val="TableText"/>
              <w:ind w:left="42" w:right="109" w:firstLine="20"/>
              <w:spacing w:before="55" w:line="227" w:lineRule="auto"/>
              <w:rPr>
                <w:sz w:val="16"/>
                <w:szCs w:val="16"/>
              </w:rPr>
            </w:pPr>
            <w:r>
              <w:rPr>
                <w:sz w:val="16"/>
                <w:szCs w:val="16"/>
              </w:rPr>
              <w:t>易雪经求路运偿民疗</w:t>
            </w:r>
            <w:r>
              <w:rPr>
                <w:sz w:val="16"/>
                <w:szCs w:val="16"/>
                <w:spacing w:val="5"/>
              </w:rPr>
              <w:t xml:space="preserve"> </w:t>
            </w:r>
            <w:r>
              <w:rPr>
                <w:sz w:val="16"/>
                <w:szCs w:val="16"/>
                <w:spacing w:val="-2"/>
              </w:rPr>
              <w:t>疫物事批</w:t>
            </w:r>
          </w:p>
        </w:tc>
        <w:tc>
          <w:tcPr>
            <w:tcW w:w="2377" w:type="dxa"/>
            <w:vAlign w:val="top"/>
          </w:tcPr>
          <w:p>
            <w:pPr>
              <w:pStyle w:val="TableText"/>
              <w:ind w:left="64" w:right="40" w:firstLine="29"/>
              <w:spacing w:before="74" w:line="216" w:lineRule="auto"/>
              <w:rPr>
                <w:sz w:val="16"/>
                <w:szCs w:val="16"/>
              </w:rPr>
            </w:pPr>
            <w:r>
              <w:rPr>
                <w:sz w:val="16"/>
                <w:szCs w:val="16"/>
                <w:spacing w:val="-1"/>
              </w:rPr>
              <w:t>生志环坡部；省级，设区的亦级</w:t>
            </w:r>
            <w:r>
              <w:rPr>
                <w:sz w:val="16"/>
                <w:szCs w:val="16"/>
                <w:spacing w:val="5"/>
              </w:rPr>
              <w:t xml:space="preserve"> </w:t>
            </w:r>
            <w:r>
              <w:rPr>
                <w:sz w:val="16"/>
                <w:szCs w:val="16"/>
                <w:spacing w:val="2"/>
              </w:rPr>
              <w:t>生态环境部门</w:t>
            </w:r>
          </w:p>
        </w:tc>
        <w:tc>
          <w:tcPr>
            <w:tcW w:w="3711" w:type="dxa"/>
            <w:vAlign w:val="top"/>
          </w:tcPr>
          <w:p>
            <w:pPr>
              <w:pStyle w:val="TableText"/>
              <w:spacing w:before="155" w:line="219" w:lineRule="auto"/>
              <w:rPr>
                <w:sz w:val="16"/>
                <w:szCs w:val="16"/>
              </w:rPr>
            </w:pPr>
            <w:r>
              <w:rPr>
                <w:sz w:val="16"/>
                <w:szCs w:val="16"/>
                <w:spacing w:val="-4"/>
              </w:rPr>
              <w:t>《区疗度物管理条例2</w:t>
            </w:r>
          </w:p>
        </w:tc>
      </w:tr>
      <w:tr>
        <w:trPr>
          <w:trHeight w:val="524" w:hRule="atLeast"/>
        </w:trPr>
        <w:tc>
          <w:tcPr>
            <w:tcW w:w="594" w:type="dxa"/>
            <w:vAlign w:val="top"/>
          </w:tcPr>
          <w:p>
            <w:pPr>
              <w:pStyle w:val="TableText"/>
              <w:ind w:left="164"/>
              <w:spacing w:before="227" w:line="183" w:lineRule="auto"/>
              <w:rPr>
                <w:sz w:val="16"/>
                <w:szCs w:val="16"/>
              </w:rPr>
            </w:pPr>
            <w:r>
              <w:rPr>
                <w:sz w:val="16"/>
                <w:szCs w:val="16"/>
                <w:spacing w:val="-2"/>
              </w:rPr>
              <w:t>207</w:t>
            </w:r>
          </w:p>
        </w:tc>
        <w:tc>
          <w:tcPr>
            <w:tcW w:w="1289" w:type="dxa"/>
            <w:vAlign w:val="top"/>
          </w:tcPr>
          <w:p>
            <w:pPr>
              <w:pStyle w:val="TableText"/>
              <w:ind w:left="231"/>
              <w:spacing w:before="185" w:line="219" w:lineRule="auto"/>
              <w:rPr>
                <w:sz w:val="16"/>
                <w:szCs w:val="16"/>
              </w:rPr>
            </w:pPr>
            <w:r>
              <w:rPr>
                <w:sz w:val="16"/>
                <w:szCs w:val="16"/>
                <w:spacing w:val="-2"/>
              </w:rPr>
              <w:t>生态杯境部</w:t>
            </w:r>
          </w:p>
        </w:tc>
        <w:tc>
          <w:tcPr>
            <w:tcW w:w="1628" w:type="dxa"/>
            <w:vAlign w:val="top"/>
          </w:tcPr>
          <w:p>
            <w:pPr>
              <w:pStyle w:val="TableText"/>
              <w:ind w:left="42" w:right="132" w:firstLine="10"/>
              <w:spacing w:before="86" w:line="242" w:lineRule="auto"/>
              <w:rPr>
                <w:sz w:val="16"/>
                <w:szCs w:val="16"/>
              </w:rPr>
            </w:pPr>
            <w:r>
              <w:rPr>
                <w:sz w:val="16"/>
                <w:szCs w:val="16"/>
                <w:spacing w:val="-1"/>
              </w:rPr>
              <w:t>演声电器电子产品处</w:t>
            </w:r>
            <w:r>
              <w:rPr>
                <w:sz w:val="16"/>
                <w:szCs w:val="16"/>
                <w:spacing w:val="1"/>
              </w:rPr>
              <w:t xml:space="preserve"> </w:t>
            </w:r>
            <w:r>
              <w:rPr>
                <w:sz w:val="16"/>
                <w:szCs w:val="16"/>
                <w:spacing w:val="-1"/>
              </w:rPr>
              <w:t>理立业资格审批</w:t>
            </w:r>
          </w:p>
        </w:tc>
        <w:tc>
          <w:tcPr>
            <w:tcW w:w="2377" w:type="dxa"/>
            <w:vAlign w:val="top"/>
          </w:tcPr>
          <w:p>
            <w:pPr>
              <w:pStyle w:val="TableText"/>
              <w:ind w:left="64"/>
              <w:spacing w:before="185" w:line="219" w:lineRule="auto"/>
              <w:rPr>
                <w:sz w:val="16"/>
                <w:szCs w:val="16"/>
              </w:rPr>
            </w:pPr>
            <w:r>
              <w:rPr>
                <w:sz w:val="16"/>
                <w:szCs w:val="16"/>
                <w:spacing w:val="1"/>
              </w:rPr>
              <w:t>设起的布做生去巧继部门</w:t>
            </w:r>
          </w:p>
        </w:tc>
        <w:tc>
          <w:tcPr>
            <w:tcW w:w="3711" w:type="dxa"/>
            <w:vAlign w:val="top"/>
          </w:tcPr>
          <w:p>
            <w:pPr>
              <w:pStyle w:val="TableText"/>
              <w:spacing w:before="186" w:line="219" w:lineRule="auto"/>
              <w:rPr>
                <w:sz w:val="16"/>
                <w:szCs w:val="16"/>
              </w:rPr>
            </w:pPr>
            <w:r>
              <w:rPr>
                <w:sz w:val="16"/>
                <w:szCs w:val="16"/>
                <w:spacing w:val="-3"/>
              </w:rPr>
              <w:t>《度弃电器电子产品回收处项管理条例</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43584" behindDoc="0" locked="0" layoutInCell="0" allowOverlap="1">
                <wp:simplePos x="0" y="0"/>
                <wp:positionH relativeFrom="page">
                  <wp:posOffset>467410</wp:posOffset>
                </wp:positionH>
                <wp:positionV relativeFrom="page">
                  <wp:posOffset>627006</wp:posOffset>
                </wp:positionV>
                <wp:extent cx="166370" cy="157479"/>
                <wp:effectExtent l="0" t="0" r="0" b="0"/>
                <wp:wrapNone/>
                <wp:docPr id="206" name="TextBox 206"/>
                <wp:cNvGraphicFramePr/>
                <a:graphic>
                  <a:graphicData uri="http://schemas.microsoft.com/office/word/2010/wordprocessingShape">
                    <wps:wsp>
                      <wps:cNvSpPr txBox="1"/>
                      <wps:spPr>
                        <a:xfrm rot="5400000">
                          <a:off x="467410" y="627006"/>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8" style="position:absolute;margin-left:36.804pt;margin-top:49.3706pt;mso-position-vertical-relative:page;mso-position-horizontal-relative:page;width:13.1pt;height:12.4pt;z-index:25184358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184</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3"/>
              </w:rPr>
              <w:t>南号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34"/>
              <w:spacing w:before="130" w:line="219" w:lineRule="auto"/>
              <w:rPr>
                <w:sz w:val="16"/>
                <w:szCs w:val="16"/>
              </w:rPr>
            </w:pPr>
            <w:r>
              <w:rPr>
                <w:sz w:val="16"/>
                <w:szCs w:val="16"/>
                <w:spacing w:val="1"/>
              </w:rPr>
              <w:t>窝南机关</w:t>
            </w:r>
          </w:p>
        </w:tc>
        <w:tc>
          <w:tcPr>
            <w:tcW w:w="3711" w:type="dxa"/>
            <w:vAlign w:val="top"/>
          </w:tcPr>
          <w:p>
            <w:pPr>
              <w:pStyle w:val="TableText"/>
              <w:ind w:left="1269"/>
              <w:spacing w:before="129" w:line="219" w:lineRule="auto"/>
              <w:rPr>
                <w:sz w:val="16"/>
                <w:szCs w:val="16"/>
              </w:rPr>
            </w:pPr>
            <w:r>
              <w:rPr>
                <w:sz w:val="16"/>
                <w:szCs w:val="16"/>
                <w:b/>
                <w:bCs/>
                <w:spacing w:val="-3"/>
              </w:rPr>
              <w:t>设宽和实岗保据</w:t>
            </w:r>
          </w:p>
        </w:tc>
      </w:tr>
      <w:tr>
        <w:trPr>
          <w:trHeight w:val="709" w:hRule="atLeast"/>
        </w:trPr>
        <w:tc>
          <w:tcPr>
            <w:tcW w:w="584" w:type="dxa"/>
            <w:vAlign w:val="top"/>
          </w:tcPr>
          <w:p>
            <w:pPr>
              <w:spacing w:line="265" w:lineRule="auto"/>
              <w:rPr>
                <w:rFonts w:ascii="Arial"/>
                <w:sz w:val="21"/>
              </w:rPr>
            </w:pPr>
            <w:r/>
          </w:p>
          <w:p>
            <w:pPr>
              <w:pStyle w:val="TableText"/>
              <w:ind w:left="164"/>
              <w:spacing w:before="52" w:line="183" w:lineRule="auto"/>
              <w:rPr>
                <w:sz w:val="16"/>
                <w:szCs w:val="16"/>
              </w:rPr>
            </w:pPr>
            <w:r>
              <w:rPr>
                <w:sz w:val="16"/>
                <w:szCs w:val="16"/>
                <w:spacing w:val="-2"/>
              </w:rPr>
              <w:t>20H</w:t>
            </w:r>
          </w:p>
        </w:tc>
        <w:tc>
          <w:tcPr>
            <w:tcW w:w="1289" w:type="dxa"/>
            <w:vAlign w:val="top"/>
          </w:tcPr>
          <w:p>
            <w:pPr>
              <w:pStyle w:val="TableText"/>
              <w:ind w:left="231"/>
              <w:spacing w:before="277" w:line="219" w:lineRule="auto"/>
              <w:rPr>
                <w:sz w:val="16"/>
                <w:szCs w:val="16"/>
              </w:rPr>
            </w:pPr>
            <w:r>
              <w:rPr>
                <w:sz w:val="16"/>
                <w:szCs w:val="16"/>
                <w:spacing w:val="-2"/>
              </w:rPr>
              <w:t>生志环境得</w:t>
            </w:r>
          </w:p>
        </w:tc>
        <w:tc>
          <w:tcPr>
            <w:tcW w:w="1648" w:type="dxa"/>
            <w:vAlign w:val="top"/>
          </w:tcPr>
          <w:p>
            <w:pPr>
              <w:pStyle w:val="TableText"/>
              <w:ind w:left="52" w:right="114" w:firstLine="79"/>
              <w:spacing w:before="77" w:line="235" w:lineRule="auto"/>
              <w:jc w:val="both"/>
              <w:rPr>
                <w:sz w:val="16"/>
                <w:szCs w:val="16"/>
              </w:rPr>
            </w:pPr>
            <w:r>
              <w:rPr>
                <w:sz w:val="16"/>
                <w:szCs w:val="16"/>
                <w:spacing w:val="-1"/>
              </w:rPr>
              <w:t>一般M体废物跨直银</w:t>
            </w:r>
            <w:r>
              <w:rPr>
                <w:sz w:val="16"/>
                <w:szCs w:val="16"/>
              </w:rPr>
              <w:t xml:space="preserve"> </w:t>
            </w:r>
            <w:r>
              <w:rPr>
                <w:sz w:val="16"/>
                <w:szCs w:val="16"/>
                <w:spacing w:val="3"/>
              </w:rPr>
              <w:t>行政区域能存，处置 </w:t>
            </w:r>
            <w:r>
              <w:rPr>
                <w:sz w:val="16"/>
                <w:szCs w:val="16"/>
                <w:spacing w:val="3"/>
              </w:rPr>
              <w:t>审批</w:t>
            </w:r>
          </w:p>
        </w:tc>
        <w:tc>
          <w:tcPr>
            <w:tcW w:w="2367" w:type="dxa"/>
            <w:vAlign w:val="top"/>
          </w:tcPr>
          <w:p>
            <w:pPr>
              <w:pStyle w:val="TableText"/>
              <w:ind w:left="54"/>
              <w:spacing w:before="277" w:line="219" w:lineRule="auto"/>
              <w:rPr>
                <w:sz w:val="16"/>
                <w:szCs w:val="16"/>
              </w:rPr>
            </w:pPr>
            <w:r>
              <w:rPr>
                <w:sz w:val="16"/>
                <w:szCs w:val="16"/>
                <w:spacing w:val="2"/>
              </w:rPr>
              <w:t>省级生态环抢部门</w:t>
            </w:r>
          </w:p>
        </w:tc>
        <w:tc>
          <w:tcPr>
            <w:tcW w:w="3711" w:type="dxa"/>
            <w:vAlign w:val="top"/>
          </w:tcPr>
          <w:p>
            <w:pPr>
              <w:pStyle w:val="TableText"/>
              <w:ind w:left="56"/>
              <w:spacing w:before="277" w:line="219" w:lineRule="auto"/>
              <w:rPr>
                <w:sz w:val="16"/>
                <w:szCs w:val="16"/>
              </w:rPr>
            </w:pPr>
            <w:r>
              <w:rPr>
                <w:sz w:val="16"/>
                <w:szCs w:val="16"/>
              </w:rPr>
              <w:t>中华人民共和国制体度物污单环填防故法</w:t>
            </w:r>
          </w:p>
        </w:tc>
      </w:tr>
      <w:tr>
        <w:trPr>
          <w:trHeight w:val="509" w:hRule="atLeast"/>
        </w:trPr>
        <w:tc>
          <w:tcPr>
            <w:tcW w:w="584" w:type="dxa"/>
            <w:vAlign w:val="top"/>
          </w:tcPr>
          <w:p>
            <w:pPr>
              <w:pStyle w:val="TableText"/>
              <w:ind w:left="164"/>
              <w:spacing w:before="219" w:line="183" w:lineRule="auto"/>
              <w:rPr>
                <w:sz w:val="16"/>
                <w:szCs w:val="16"/>
              </w:rPr>
            </w:pPr>
            <w:r>
              <w:rPr>
                <w:sz w:val="16"/>
                <w:szCs w:val="16"/>
                <w:spacing w:val="-2"/>
              </w:rPr>
              <w:t>200</w:t>
            </w:r>
          </w:p>
        </w:tc>
        <w:tc>
          <w:tcPr>
            <w:tcW w:w="1289" w:type="dxa"/>
            <w:vAlign w:val="top"/>
          </w:tcPr>
          <w:p>
            <w:pPr>
              <w:pStyle w:val="TableText"/>
              <w:ind w:left="231"/>
              <w:spacing w:before="178" w:line="219" w:lineRule="auto"/>
              <w:rPr>
                <w:sz w:val="16"/>
                <w:szCs w:val="16"/>
              </w:rPr>
            </w:pPr>
            <w:r>
              <w:rPr>
                <w:sz w:val="16"/>
                <w:szCs w:val="16"/>
                <w:spacing w:val="-2"/>
              </w:rPr>
              <w:t>生态环境部</w:t>
            </w:r>
          </w:p>
        </w:tc>
        <w:tc>
          <w:tcPr>
            <w:tcW w:w="1648" w:type="dxa"/>
            <w:vAlign w:val="top"/>
          </w:tcPr>
          <w:p>
            <w:pPr>
              <w:pStyle w:val="TableText"/>
              <w:ind w:left="92"/>
              <w:spacing w:before="179" w:line="220" w:lineRule="auto"/>
              <w:rPr>
                <w:sz w:val="16"/>
                <w:szCs w:val="16"/>
              </w:rPr>
            </w:pPr>
            <w:r>
              <w:rPr>
                <w:sz w:val="16"/>
                <w:szCs w:val="16"/>
                <w:spacing w:val="-1"/>
              </w:rPr>
              <w:t>故射性核索指放许可</w:t>
            </w:r>
          </w:p>
        </w:tc>
        <w:tc>
          <w:tcPr>
            <w:tcW w:w="2367" w:type="dxa"/>
            <w:vAlign w:val="top"/>
          </w:tcPr>
          <w:p>
            <w:pPr>
              <w:pStyle w:val="TableText"/>
              <w:ind w:left="54" w:firstLine="9"/>
              <w:spacing w:before="58" w:line="231" w:lineRule="auto"/>
              <w:rPr>
                <w:sz w:val="16"/>
                <w:szCs w:val="16"/>
              </w:rPr>
            </w:pPr>
            <w:r>
              <w:rPr>
                <w:sz w:val="16"/>
                <w:szCs w:val="16"/>
                <w:spacing w:val="-8"/>
              </w:rPr>
              <w:t>生态杯政部；省级，设区的市缆。</w:t>
            </w:r>
            <w:r>
              <w:rPr>
                <w:sz w:val="16"/>
                <w:szCs w:val="16"/>
                <w:spacing w:val="12"/>
              </w:rPr>
              <w:t xml:space="preserve"> </w:t>
            </w:r>
            <w:r>
              <w:rPr>
                <w:sz w:val="16"/>
                <w:szCs w:val="16"/>
                <w:spacing w:val="-3"/>
              </w:rPr>
              <w:t>县级生态环进部门</w:t>
            </w:r>
          </w:p>
        </w:tc>
        <w:tc>
          <w:tcPr>
            <w:tcW w:w="3711" w:type="dxa"/>
            <w:vAlign w:val="top"/>
          </w:tcPr>
          <w:p>
            <w:pPr>
              <w:pStyle w:val="TableText"/>
              <w:spacing w:before="178" w:line="219" w:lineRule="auto"/>
              <w:rPr>
                <w:sz w:val="16"/>
                <w:szCs w:val="16"/>
              </w:rPr>
            </w:pPr>
            <w:r>
              <w:rPr>
                <w:sz w:val="16"/>
                <w:szCs w:val="16"/>
                <w:spacing w:val="-3"/>
              </w:rPr>
              <w:t>《中华人民共和国放累性房垂防治法</w:t>
            </w:r>
          </w:p>
        </w:tc>
      </w:tr>
      <w:tr>
        <w:trPr>
          <w:trHeight w:val="919" w:hRule="atLeast"/>
        </w:trPr>
        <w:tc>
          <w:tcPr>
            <w:tcW w:w="584" w:type="dxa"/>
            <w:vAlign w:val="top"/>
          </w:tcPr>
          <w:p>
            <w:pPr>
              <w:spacing w:line="365" w:lineRule="auto"/>
              <w:rPr>
                <w:rFonts w:ascii="Arial"/>
                <w:sz w:val="21"/>
              </w:rPr>
            </w:pPr>
            <w:r/>
          </w:p>
          <w:p>
            <w:pPr>
              <w:pStyle w:val="TableText"/>
              <w:ind w:left="164"/>
              <w:spacing w:before="52" w:line="184" w:lineRule="auto"/>
              <w:rPr>
                <w:sz w:val="16"/>
                <w:szCs w:val="16"/>
              </w:rPr>
            </w:pPr>
            <w:r>
              <w:rPr>
                <w:sz w:val="16"/>
                <w:szCs w:val="16"/>
                <w:spacing w:val="-2"/>
              </w:rPr>
              <w:t>210</w:t>
            </w:r>
          </w:p>
        </w:tc>
        <w:tc>
          <w:tcPr>
            <w:tcW w:w="1289" w:type="dxa"/>
            <w:vAlign w:val="top"/>
          </w:tcPr>
          <w:p>
            <w:pPr>
              <w:spacing w:line="325" w:lineRule="auto"/>
              <w:rPr>
                <w:rFonts w:ascii="Arial"/>
                <w:sz w:val="21"/>
              </w:rPr>
            </w:pPr>
            <w:r/>
          </w:p>
          <w:p>
            <w:pPr>
              <w:pStyle w:val="TableText"/>
              <w:ind w:left="231"/>
              <w:spacing w:before="52" w:line="219" w:lineRule="auto"/>
              <w:rPr>
                <w:sz w:val="16"/>
                <w:szCs w:val="16"/>
              </w:rPr>
            </w:pPr>
            <w:r>
              <w:rPr>
                <w:sz w:val="16"/>
                <w:szCs w:val="16"/>
                <w:spacing w:val="-2"/>
              </w:rPr>
              <w:t>生杂环境部</w:t>
            </w:r>
          </w:p>
        </w:tc>
        <w:tc>
          <w:tcPr>
            <w:tcW w:w="1648" w:type="dxa"/>
            <w:vAlign w:val="top"/>
          </w:tcPr>
          <w:p>
            <w:pPr>
              <w:pStyle w:val="TableText"/>
              <w:ind w:left="22" w:right="111" w:firstLine="70"/>
              <w:spacing w:before="268" w:line="227" w:lineRule="auto"/>
              <w:rPr>
                <w:sz w:val="16"/>
                <w:szCs w:val="16"/>
              </w:rPr>
            </w:pPr>
            <w:r>
              <w:rPr>
                <w:sz w:val="16"/>
                <w:szCs w:val="16"/>
                <w:spacing w:val="-1"/>
              </w:rPr>
              <w:t>往册核安全工和解注</w:t>
            </w:r>
            <w:r>
              <w:rPr>
                <w:sz w:val="16"/>
                <w:szCs w:val="16"/>
                <w:spacing w:val="2"/>
              </w:rPr>
              <w:t xml:space="preserve"> </w:t>
            </w:r>
            <w:r>
              <w:rPr>
                <w:sz w:val="16"/>
                <w:szCs w:val="16"/>
              </w:rPr>
              <w:t>增</w:t>
            </w:r>
          </w:p>
        </w:tc>
        <w:tc>
          <w:tcPr>
            <w:tcW w:w="2367" w:type="dxa"/>
            <w:vAlign w:val="top"/>
          </w:tcPr>
          <w:p>
            <w:pPr>
              <w:spacing w:line="325" w:lineRule="auto"/>
              <w:rPr>
                <w:rFonts w:ascii="Arial"/>
                <w:sz w:val="21"/>
              </w:rPr>
            </w:pPr>
            <w:r/>
          </w:p>
          <w:p>
            <w:pPr>
              <w:pStyle w:val="TableText"/>
              <w:ind w:left="54"/>
              <w:spacing w:before="52" w:line="219" w:lineRule="auto"/>
              <w:rPr>
                <w:sz w:val="16"/>
                <w:szCs w:val="16"/>
              </w:rPr>
            </w:pPr>
            <w:r>
              <w:rPr>
                <w:sz w:val="16"/>
                <w:szCs w:val="16"/>
                <w:spacing w:val="-2"/>
              </w:rPr>
              <w:t>生东环境</w:t>
            </w:r>
          </w:p>
        </w:tc>
        <w:tc>
          <w:tcPr>
            <w:tcW w:w="3711" w:type="dxa"/>
            <w:vAlign w:val="top"/>
          </w:tcPr>
          <w:p>
            <w:pPr>
              <w:pStyle w:val="TableText"/>
              <w:ind w:left="56"/>
              <w:spacing w:before="89" w:line="207" w:lineRule="auto"/>
              <w:rPr>
                <w:sz w:val="16"/>
                <w:szCs w:val="16"/>
              </w:rPr>
            </w:pPr>
            <w:r>
              <w:rPr>
                <w:sz w:val="16"/>
                <w:szCs w:val="16"/>
              </w:rPr>
              <w:t>1中华人民共和国政射在汽染应治法</w:t>
            </w:r>
          </w:p>
          <w:p>
            <w:pPr>
              <w:pStyle w:val="TableText"/>
              <w:ind w:left="46"/>
              <w:spacing w:line="218" w:lineRule="auto"/>
              <w:rPr>
                <w:sz w:val="16"/>
                <w:szCs w:val="16"/>
              </w:rPr>
            </w:pPr>
            <w:r>
              <w:rPr>
                <w:sz w:val="16"/>
                <w:szCs w:val="16"/>
              </w:rPr>
              <w:t>1注府被安全工程师执业预格创现暂行现定×人发</w:t>
            </w:r>
          </w:p>
          <w:p>
            <w:pPr>
              <w:pStyle w:val="TableText"/>
              <w:ind w:left="56"/>
              <w:spacing w:before="51" w:line="184" w:lineRule="auto"/>
              <w:rPr>
                <w:sz w:val="16"/>
                <w:szCs w:val="16"/>
              </w:rPr>
            </w:pPr>
            <w:r>
              <w:rPr>
                <w:sz w:val="16"/>
                <w:szCs w:val="16"/>
                <w:spacing w:val="-3"/>
              </w:rPr>
              <w:t>1220016</w:t>
            </w:r>
          </w:p>
          <w:p>
            <w:pPr>
              <w:pStyle w:val="TableText"/>
              <w:ind w:left="56"/>
              <w:spacing w:line="219" w:lineRule="auto"/>
              <w:rPr>
                <w:sz w:val="16"/>
                <w:szCs w:val="16"/>
              </w:rPr>
            </w:pPr>
            <w:r>
              <w:rPr>
                <w:sz w:val="16"/>
                <w:szCs w:val="16"/>
              </w:rPr>
              <w:t>(国家职业资格日是12021年版)3</w:t>
            </w:r>
          </w:p>
        </w:tc>
      </w:tr>
      <w:tr>
        <w:trPr>
          <w:trHeight w:val="898" w:hRule="atLeast"/>
        </w:trPr>
        <w:tc>
          <w:tcPr>
            <w:tcW w:w="584" w:type="dxa"/>
            <w:vAlign w:val="top"/>
          </w:tcPr>
          <w:p>
            <w:pPr>
              <w:spacing w:line="356" w:lineRule="auto"/>
              <w:rPr>
                <w:rFonts w:ascii="Arial"/>
                <w:sz w:val="21"/>
              </w:rPr>
            </w:pPr>
            <w:r/>
          </w:p>
          <w:p>
            <w:pPr>
              <w:pStyle w:val="TableText"/>
              <w:ind w:left="164"/>
              <w:spacing w:before="52" w:line="184" w:lineRule="auto"/>
              <w:rPr>
                <w:sz w:val="16"/>
                <w:szCs w:val="16"/>
              </w:rPr>
            </w:pPr>
            <w:r>
              <w:rPr>
                <w:sz w:val="16"/>
                <w:szCs w:val="16"/>
                <w:spacing w:val="-2"/>
              </w:rPr>
              <w:t>211</w:t>
            </w:r>
          </w:p>
        </w:tc>
        <w:tc>
          <w:tcPr>
            <w:tcW w:w="1289" w:type="dxa"/>
            <w:vAlign w:val="top"/>
          </w:tcPr>
          <w:p>
            <w:pPr>
              <w:spacing w:line="316" w:lineRule="auto"/>
              <w:rPr>
                <w:rFonts w:ascii="Arial"/>
                <w:sz w:val="21"/>
              </w:rPr>
            </w:pPr>
            <w:r/>
          </w:p>
          <w:p>
            <w:pPr>
              <w:pStyle w:val="TableText"/>
              <w:ind w:left="231"/>
              <w:spacing w:before="52" w:line="219" w:lineRule="auto"/>
              <w:rPr>
                <w:sz w:val="16"/>
                <w:szCs w:val="16"/>
              </w:rPr>
            </w:pPr>
            <w:r>
              <w:rPr>
                <w:sz w:val="16"/>
                <w:szCs w:val="16"/>
                <w:spacing w:val="-2"/>
              </w:rPr>
              <w:t>生态环境都</w:t>
            </w:r>
          </w:p>
        </w:tc>
        <w:tc>
          <w:tcPr>
            <w:tcW w:w="1648" w:type="dxa"/>
            <w:vAlign w:val="top"/>
          </w:tcPr>
          <w:p>
            <w:pPr>
              <w:pStyle w:val="TableText"/>
              <w:ind w:left="52" w:right="84" w:firstLine="40"/>
              <w:spacing w:before="269" w:line="220" w:lineRule="auto"/>
              <w:rPr>
                <w:sz w:val="16"/>
                <w:szCs w:val="16"/>
              </w:rPr>
            </w:pPr>
            <w:r>
              <w:rPr>
                <w:sz w:val="16"/>
                <w:szCs w:val="16"/>
                <w:spacing w:val="2"/>
              </w:rPr>
              <w:t>民用精设施操作人员 </w:t>
            </w:r>
            <w:r>
              <w:rPr>
                <w:sz w:val="16"/>
                <w:szCs w:val="16"/>
                <w:spacing w:val="-2"/>
              </w:rPr>
              <w:t>骑格化定</w:t>
            </w:r>
          </w:p>
        </w:tc>
        <w:tc>
          <w:tcPr>
            <w:tcW w:w="2367" w:type="dxa"/>
            <w:vAlign w:val="top"/>
          </w:tcPr>
          <w:p>
            <w:pPr>
              <w:spacing w:line="317" w:lineRule="auto"/>
              <w:rPr>
                <w:rFonts w:ascii="Arial"/>
                <w:sz w:val="21"/>
              </w:rPr>
            </w:pPr>
            <w:r/>
          </w:p>
          <w:p>
            <w:pPr>
              <w:pStyle w:val="TableText"/>
              <w:ind w:left="54"/>
              <w:spacing w:before="52" w:line="220" w:lineRule="auto"/>
              <w:rPr>
                <w:sz w:val="16"/>
                <w:szCs w:val="16"/>
              </w:rPr>
            </w:pPr>
            <w:r>
              <w:rPr>
                <w:sz w:val="16"/>
                <w:szCs w:val="16"/>
                <w:spacing w:val="-2"/>
              </w:rPr>
              <w:t>生声环填落</w:t>
            </w:r>
          </w:p>
        </w:tc>
        <w:tc>
          <w:tcPr>
            <w:tcW w:w="3711" w:type="dxa"/>
            <w:vAlign w:val="top"/>
          </w:tcPr>
          <w:p>
            <w:pPr>
              <w:pStyle w:val="TableText"/>
              <w:ind w:left="56"/>
              <w:spacing w:before="60" w:line="219" w:lineRule="auto"/>
              <w:rPr>
                <w:sz w:val="16"/>
                <w:szCs w:val="16"/>
              </w:rPr>
            </w:pPr>
            <w:r>
              <w:rPr>
                <w:sz w:val="16"/>
                <w:szCs w:val="16"/>
              </w:rPr>
              <w:t>1中华人民共和同核安全法</w:t>
            </w:r>
          </w:p>
          <w:p>
            <w:pPr>
              <w:pStyle w:val="TableText"/>
              <w:ind w:right="353" w:firstLine="79"/>
              <w:spacing w:before="30" w:line="225" w:lineRule="auto"/>
              <w:rPr>
                <w:sz w:val="16"/>
                <w:szCs w:val="16"/>
              </w:rPr>
            </w:pPr>
            <w:r>
              <w:rPr>
                <w:sz w:val="16"/>
                <w:szCs w:val="16"/>
                <w:spacing w:val="-1"/>
              </w:rPr>
              <w:t>1中毕人民共和国民州核设随安全监督管理条钢</w:t>
            </w:r>
            <w:r>
              <w:rPr>
                <w:sz w:val="16"/>
                <w:szCs w:val="16"/>
                <w:spacing w:val="8"/>
              </w:rPr>
              <w:t xml:space="preserve"> </w:t>
            </w:r>
            <w:r>
              <w:rPr>
                <w:sz w:val="16"/>
                <w:szCs w:val="16"/>
                <w:spacing w:val="3"/>
              </w:rPr>
              <w:t>【民用核设能播作人员资格骨理程定》</w:t>
            </w:r>
          </w:p>
          <w:p>
            <w:pPr>
              <w:pStyle w:val="TableText"/>
              <w:ind w:left="56"/>
              <w:spacing w:before="10" w:line="219" w:lineRule="auto"/>
              <w:rPr>
                <w:sz w:val="16"/>
                <w:szCs w:val="16"/>
              </w:rPr>
            </w:pPr>
            <w:r>
              <w:rPr>
                <w:sz w:val="16"/>
                <w:szCs w:val="16"/>
              </w:rPr>
              <w:t>因意取业肾格自录(202(年版)》</w:t>
            </w:r>
          </w:p>
        </w:tc>
      </w:tr>
      <w:tr>
        <w:trPr>
          <w:trHeight w:val="709" w:hRule="atLeast"/>
        </w:trPr>
        <w:tc>
          <w:tcPr>
            <w:tcW w:w="584" w:type="dxa"/>
            <w:vAlign w:val="top"/>
          </w:tcPr>
          <w:p>
            <w:pPr>
              <w:spacing w:line="269" w:lineRule="auto"/>
              <w:rPr>
                <w:rFonts w:ascii="Arial"/>
                <w:sz w:val="21"/>
              </w:rPr>
            </w:pPr>
            <w:r/>
          </w:p>
          <w:p>
            <w:pPr>
              <w:pStyle w:val="TableText"/>
              <w:ind w:left="164"/>
              <w:spacing w:before="52" w:line="184" w:lineRule="auto"/>
              <w:rPr>
                <w:sz w:val="16"/>
                <w:szCs w:val="16"/>
              </w:rPr>
            </w:pPr>
            <w:r>
              <w:rPr>
                <w:sz w:val="16"/>
                <w:szCs w:val="16"/>
                <w:spacing w:val="-3"/>
              </w:rPr>
              <w:t>312</w:t>
            </w:r>
          </w:p>
        </w:tc>
        <w:tc>
          <w:tcPr>
            <w:tcW w:w="1289" w:type="dxa"/>
            <w:vAlign w:val="top"/>
          </w:tcPr>
          <w:p>
            <w:pPr>
              <w:pStyle w:val="TableText"/>
              <w:ind w:left="231"/>
              <w:spacing w:before="282" w:line="219" w:lineRule="auto"/>
              <w:rPr>
                <w:sz w:val="16"/>
                <w:szCs w:val="16"/>
              </w:rPr>
            </w:pPr>
            <w:r>
              <w:rPr>
                <w:sz w:val="16"/>
                <w:szCs w:val="16"/>
                <w:spacing w:val="-2"/>
              </w:rPr>
              <w:t>生毒环境部</w:t>
            </w:r>
          </w:p>
        </w:tc>
        <w:tc>
          <w:tcPr>
            <w:tcW w:w="1648" w:type="dxa"/>
            <w:vAlign w:val="top"/>
          </w:tcPr>
          <w:p>
            <w:pPr>
              <w:pStyle w:val="TableText"/>
              <w:ind w:left="62" w:right="99" w:firstLine="30"/>
              <w:spacing w:before="172" w:line="231" w:lineRule="auto"/>
              <w:rPr>
                <w:sz w:val="16"/>
                <w:szCs w:val="16"/>
              </w:rPr>
            </w:pPr>
            <w:r>
              <w:rPr>
                <w:sz w:val="16"/>
                <w:szCs w:val="16"/>
              </w:rPr>
              <w:t>民用核安全设备焊接</w:t>
            </w:r>
            <w:r>
              <w:rPr>
                <w:sz w:val="16"/>
                <w:szCs w:val="16"/>
                <w:spacing w:val="5"/>
              </w:rPr>
              <w:t xml:space="preserve"> </w:t>
            </w:r>
            <w:r>
              <w:rPr>
                <w:sz w:val="16"/>
                <w:szCs w:val="16"/>
                <w:spacing w:val="-2"/>
              </w:rPr>
              <w:t>人益置格认定</w:t>
            </w:r>
          </w:p>
        </w:tc>
        <w:tc>
          <w:tcPr>
            <w:tcW w:w="2367" w:type="dxa"/>
            <w:vAlign w:val="top"/>
          </w:tcPr>
          <w:p>
            <w:pPr>
              <w:pStyle w:val="TableText"/>
              <w:ind w:left="54"/>
              <w:spacing w:before="282" w:line="219" w:lineRule="auto"/>
              <w:rPr>
                <w:sz w:val="16"/>
                <w:szCs w:val="16"/>
              </w:rPr>
            </w:pPr>
            <w:r>
              <w:rPr>
                <w:sz w:val="16"/>
                <w:szCs w:val="16"/>
                <w:spacing w:val="-2"/>
              </w:rPr>
              <w:t>生击环增部</w:t>
            </w:r>
          </w:p>
        </w:tc>
        <w:tc>
          <w:tcPr>
            <w:tcW w:w="3711" w:type="dxa"/>
            <w:vAlign w:val="top"/>
          </w:tcPr>
          <w:p>
            <w:pPr>
              <w:pStyle w:val="TableText"/>
              <w:ind w:left="56"/>
              <w:spacing w:before="92" w:line="219" w:lineRule="auto"/>
              <w:rPr>
                <w:sz w:val="16"/>
                <w:szCs w:val="16"/>
              </w:rPr>
            </w:pPr>
            <w:r>
              <w:rPr>
                <w:sz w:val="16"/>
                <w:szCs w:val="16"/>
                <w:spacing w:val="-1"/>
              </w:rPr>
              <w:t>1中华人民共和国横安全选》</w:t>
            </w:r>
          </w:p>
          <w:p>
            <w:pPr>
              <w:pStyle w:val="TableText"/>
              <w:spacing w:before="9" w:line="208" w:lineRule="auto"/>
              <w:rPr>
                <w:sz w:val="16"/>
                <w:szCs w:val="16"/>
              </w:rPr>
            </w:pPr>
            <w:r>
              <w:rPr>
                <w:sz w:val="16"/>
                <w:szCs w:val="16"/>
                <w:spacing w:val="-3"/>
              </w:rPr>
              <w:t>《我用核安全设备监智管理条制》</w:t>
            </w:r>
          </w:p>
          <w:p>
            <w:pPr>
              <w:pStyle w:val="TableText"/>
              <w:spacing w:line="219" w:lineRule="auto"/>
              <w:rPr>
                <w:sz w:val="16"/>
                <w:szCs w:val="16"/>
              </w:rPr>
            </w:pPr>
            <w:r>
              <w:rPr>
                <w:sz w:val="16"/>
                <w:szCs w:val="16"/>
                <w:spacing w:val="-2"/>
              </w:rPr>
              <w:t>《国家职业暨络日录(A121年版)》</w:t>
            </w:r>
          </w:p>
        </w:tc>
      </w:tr>
      <w:tr>
        <w:trPr>
          <w:trHeight w:val="699" w:hRule="atLeast"/>
        </w:trPr>
        <w:tc>
          <w:tcPr>
            <w:tcW w:w="584" w:type="dxa"/>
            <w:vAlign w:val="top"/>
          </w:tcPr>
          <w:p>
            <w:pPr>
              <w:spacing w:line="260" w:lineRule="auto"/>
              <w:rPr>
                <w:rFonts w:ascii="Arial"/>
                <w:sz w:val="21"/>
              </w:rPr>
            </w:pPr>
            <w:r/>
          </w:p>
          <w:p>
            <w:pPr>
              <w:pStyle w:val="TableText"/>
              <w:ind w:left="164"/>
              <w:spacing w:before="52" w:line="184" w:lineRule="auto"/>
              <w:rPr>
                <w:sz w:val="16"/>
                <w:szCs w:val="16"/>
              </w:rPr>
            </w:pPr>
            <w:r>
              <w:rPr>
                <w:sz w:val="16"/>
                <w:szCs w:val="16"/>
                <w:spacing w:val="-2"/>
              </w:rPr>
              <w:t>213</w:t>
            </w:r>
          </w:p>
        </w:tc>
        <w:tc>
          <w:tcPr>
            <w:tcW w:w="1289" w:type="dxa"/>
            <w:vAlign w:val="top"/>
          </w:tcPr>
          <w:p>
            <w:pPr>
              <w:pStyle w:val="TableText"/>
              <w:ind w:left="231"/>
              <w:spacing w:before="273" w:line="219" w:lineRule="auto"/>
              <w:rPr>
                <w:sz w:val="16"/>
                <w:szCs w:val="16"/>
              </w:rPr>
            </w:pPr>
            <w:r>
              <w:rPr>
                <w:sz w:val="16"/>
                <w:szCs w:val="16"/>
                <w:spacing w:val="-2"/>
              </w:rPr>
              <w:t>生态环境部</w:t>
            </w:r>
          </w:p>
        </w:tc>
        <w:tc>
          <w:tcPr>
            <w:tcW w:w="1648" w:type="dxa"/>
            <w:vAlign w:val="top"/>
          </w:tcPr>
          <w:p>
            <w:pPr>
              <w:pStyle w:val="TableText"/>
              <w:ind w:left="72" w:right="96" w:firstLine="20"/>
              <w:spacing w:before="183" w:line="225" w:lineRule="auto"/>
              <w:rPr>
                <w:sz w:val="16"/>
                <w:szCs w:val="16"/>
              </w:rPr>
            </w:pPr>
            <w:r>
              <w:rPr>
                <w:sz w:val="16"/>
                <w:szCs w:val="16"/>
                <w:spacing w:val="1"/>
              </w:rPr>
              <w:t>民用核安全司备无费</w:t>
            </w:r>
            <w:r>
              <w:rPr>
                <w:sz w:val="16"/>
                <w:szCs w:val="16"/>
              </w:rPr>
              <w:t xml:space="preserve"> </w:t>
            </w:r>
            <w:r>
              <w:rPr>
                <w:sz w:val="16"/>
                <w:szCs w:val="16"/>
                <w:spacing w:val="-1"/>
              </w:rPr>
              <w:t>税度人氨肾格认定</w:t>
            </w:r>
          </w:p>
        </w:tc>
        <w:tc>
          <w:tcPr>
            <w:tcW w:w="2367" w:type="dxa"/>
            <w:vAlign w:val="top"/>
          </w:tcPr>
          <w:p>
            <w:pPr>
              <w:pStyle w:val="TableText"/>
              <w:ind w:left="54"/>
              <w:spacing w:before="273" w:line="219" w:lineRule="auto"/>
              <w:rPr>
                <w:sz w:val="16"/>
                <w:szCs w:val="16"/>
              </w:rPr>
            </w:pPr>
            <w:r>
              <w:rPr>
                <w:sz w:val="16"/>
                <w:szCs w:val="16"/>
                <w:spacing w:val="-2"/>
              </w:rPr>
              <w:t>生毒环圾苏</w:t>
            </w:r>
          </w:p>
        </w:tc>
        <w:tc>
          <w:tcPr>
            <w:tcW w:w="3711" w:type="dxa"/>
            <w:vAlign w:val="top"/>
          </w:tcPr>
          <w:p>
            <w:pPr>
              <w:pStyle w:val="TableText"/>
              <w:ind w:left="56"/>
              <w:spacing w:before="94" w:line="195" w:lineRule="auto"/>
              <w:rPr>
                <w:sz w:val="16"/>
                <w:szCs w:val="16"/>
              </w:rPr>
            </w:pPr>
            <w:r>
              <w:rPr>
                <w:sz w:val="16"/>
                <w:szCs w:val="16"/>
                <w:spacing w:val="1"/>
              </w:rPr>
              <w:t>1中华人民非和国施安全西</w:t>
            </w:r>
          </w:p>
          <w:p>
            <w:pPr>
              <w:pStyle w:val="TableText"/>
              <w:spacing w:line="219" w:lineRule="exact"/>
              <w:rPr>
                <w:sz w:val="16"/>
                <w:szCs w:val="16"/>
              </w:rPr>
            </w:pPr>
            <w:r>
              <w:rPr>
                <w:sz w:val="16"/>
                <w:szCs w:val="16"/>
                <w:spacing w:val="-3"/>
                <w:position w:val="4"/>
              </w:rPr>
              <w:t>《民舟核安垒设备监督管理革例》</w:t>
            </w:r>
          </w:p>
          <w:p>
            <w:pPr>
              <w:pStyle w:val="TableText"/>
              <w:spacing w:line="219" w:lineRule="auto"/>
              <w:rPr>
                <w:sz w:val="16"/>
                <w:szCs w:val="16"/>
              </w:rPr>
            </w:pPr>
            <w:r>
              <w:rPr>
                <w:sz w:val="16"/>
                <w:szCs w:val="16"/>
                <w:spacing w:val="-2"/>
              </w:rPr>
              <w:t>《国家则业资格目录(22(年款)》</w:t>
            </w:r>
          </w:p>
        </w:tc>
      </w:tr>
      <w:tr>
        <w:trPr>
          <w:trHeight w:val="499" w:hRule="atLeast"/>
        </w:trPr>
        <w:tc>
          <w:tcPr>
            <w:tcW w:w="584" w:type="dxa"/>
            <w:vAlign w:val="top"/>
          </w:tcPr>
          <w:p>
            <w:pPr>
              <w:pStyle w:val="TableText"/>
              <w:ind w:left="164"/>
              <w:spacing w:before="214" w:line="184" w:lineRule="auto"/>
              <w:rPr>
                <w:sz w:val="16"/>
                <w:szCs w:val="16"/>
              </w:rPr>
            </w:pPr>
            <w:r>
              <w:rPr>
                <w:sz w:val="16"/>
                <w:szCs w:val="16"/>
                <w:spacing w:val="-2"/>
              </w:rPr>
              <w:t>214</w:t>
            </w:r>
          </w:p>
        </w:tc>
        <w:tc>
          <w:tcPr>
            <w:tcW w:w="1289" w:type="dxa"/>
            <w:vAlign w:val="top"/>
          </w:tcPr>
          <w:p>
            <w:pPr>
              <w:pStyle w:val="TableText"/>
              <w:ind w:left="231"/>
              <w:spacing w:before="174" w:line="219" w:lineRule="auto"/>
              <w:rPr>
                <w:sz w:val="16"/>
                <w:szCs w:val="16"/>
              </w:rPr>
            </w:pPr>
            <w:r>
              <w:rPr>
                <w:sz w:val="16"/>
                <w:szCs w:val="16"/>
                <w:spacing w:val="-2"/>
              </w:rPr>
              <w:t>生委品境高</w:t>
            </w:r>
          </w:p>
        </w:tc>
        <w:tc>
          <w:tcPr>
            <w:tcW w:w="1648" w:type="dxa"/>
            <w:vAlign w:val="top"/>
          </w:tcPr>
          <w:p>
            <w:pPr>
              <w:pStyle w:val="TableText"/>
              <w:ind w:left="22" w:right="95" w:firstLine="70"/>
              <w:spacing w:before="104" w:line="215" w:lineRule="auto"/>
              <w:rPr>
                <w:sz w:val="16"/>
                <w:szCs w:val="16"/>
              </w:rPr>
            </w:pPr>
            <w:r>
              <w:rPr>
                <w:sz w:val="16"/>
                <w:szCs w:val="16"/>
                <w:spacing w:val="1"/>
              </w:rPr>
              <w:t>民用牧材科许叶证稿</w:t>
            </w:r>
            <w:r>
              <w:rPr>
                <w:sz w:val="16"/>
                <w:szCs w:val="16"/>
              </w:rPr>
              <w:t xml:space="preserve"> </w:t>
            </w:r>
            <w:r>
              <w:rPr>
                <w:sz w:val="16"/>
                <w:szCs w:val="16"/>
              </w:rPr>
              <w:t>淮</w:t>
            </w:r>
          </w:p>
        </w:tc>
        <w:tc>
          <w:tcPr>
            <w:tcW w:w="2367" w:type="dxa"/>
            <w:vAlign w:val="top"/>
          </w:tcPr>
          <w:p>
            <w:pPr>
              <w:pStyle w:val="TableText"/>
              <w:ind w:left="54"/>
              <w:spacing w:before="174" w:line="219" w:lineRule="auto"/>
              <w:rPr>
                <w:sz w:val="16"/>
                <w:szCs w:val="16"/>
              </w:rPr>
            </w:pPr>
            <w:r>
              <w:rPr>
                <w:sz w:val="16"/>
                <w:szCs w:val="16"/>
                <w:spacing w:val="-2"/>
              </w:rPr>
              <w:t>生态环增部</w:t>
            </w:r>
          </w:p>
        </w:tc>
        <w:tc>
          <w:tcPr>
            <w:tcW w:w="3711" w:type="dxa"/>
            <w:vAlign w:val="top"/>
          </w:tcPr>
          <w:p>
            <w:pPr>
              <w:pStyle w:val="TableText"/>
              <w:spacing w:before="174" w:line="219" w:lineRule="auto"/>
              <w:rPr>
                <w:sz w:val="16"/>
                <w:szCs w:val="16"/>
              </w:rPr>
            </w:pPr>
            <w:r>
              <w:rPr>
                <w:sz w:val="16"/>
                <w:szCs w:val="16"/>
                <w:spacing w:val="-2"/>
              </w:rPr>
              <w:t>《中华人民共和国植贫料管前条例1</w:t>
            </w:r>
          </w:p>
        </w:tc>
      </w:tr>
      <w:tr>
        <w:trPr>
          <w:trHeight w:val="509" w:hRule="atLeast"/>
        </w:trPr>
        <w:tc>
          <w:tcPr>
            <w:tcW w:w="584" w:type="dxa"/>
            <w:vAlign w:val="top"/>
          </w:tcPr>
          <w:p>
            <w:pPr>
              <w:pStyle w:val="TableText"/>
              <w:ind w:left="124"/>
              <w:spacing w:before="226" w:line="184" w:lineRule="auto"/>
              <w:rPr>
                <w:sz w:val="16"/>
                <w:szCs w:val="16"/>
              </w:rPr>
            </w:pPr>
            <w:r>
              <w:rPr>
                <w:sz w:val="16"/>
                <w:szCs w:val="16"/>
                <w:spacing w:val="-6"/>
              </w:rPr>
              <w:t>:215</w:t>
            </w:r>
          </w:p>
        </w:tc>
        <w:tc>
          <w:tcPr>
            <w:tcW w:w="1289" w:type="dxa"/>
            <w:vAlign w:val="top"/>
          </w:tcPr>
          <w:p>
            <w:pPr>
              <w:pStyle w:val="TableText"/>
              <w:ind w:left="231"/>
              <w:spacing w:before="185" w:line="219" w:lineRule="auto"/>
              <w:rPr>
                <w:sz w:val="16"/>
                <w:szCs w:val="16"/>
              </w:rPr>
            </w:pPr>
            <w:r>
              <w:rPr>
                <w:sz w:val="16"/>
                <w:szCs w:val="16"/>
                <w:spacing w:val="-2"/>
              </w:rPr>
              <w:t>生击环境部</w:t>
            </w:r>
          </w:p>
        </w:tc>
        <w:tc>
          <w:tcPr>
            <w:tcW w:w="1648" w:type="dxa"/>
            <w:vAlign w:val="top"/>
          </w:tcPr>
          <w:p>
            <w:pPr>
              <w:pStyle w:val="TableText"/>
              <w:ind w:left="42" w:right="112" w:firstLine="50"/>
              <w:spacing w:before="86" w:line="225" w:lineRule="auto"/>
              <w:rPr>
                <w:sz w:val="16"/>
                <w:szCs w:val="16"/>
              </w:rPr>
            </w:pPr>
            <w:r>
              <w:rPr>
                <w:sz w:val="16"/>
                <w:szCs w:val="16"/>
                <w:spacing w:val="-1"/>
              </w:rPr>
              <w:t>适口民雨核安全设备</w:t>
            </w:r>
            <w:r>
              <w:rPr>
                <w:sz w:val="16"/>
                <w:szCs w:val="16"/>
                <w:spacing w:val="1"/>
              </w:rPr>
              <w:t xml:space="preserve"> </w:t>
            </w:r>
            <w:r>
              <w:rPr>
                <w:sz w:val="16"/>
                <w:szCs w:val="16"/>
                <w:spacing w:val="-2"/>
              </w:rPr>
              <w:t>安全砼情</w:t>
            </w:r>
          </w:p>
        </w:tc>
        <w:tc>
          <w:tcPr>
            <w:tcW w:w="2367" w:type="dxa"/>
            <w:vAlign w:val="top"/>
          </w:tcPr>
          <w:p>
            <w:pPr>
              <w:pStyle w:val="TableText"/>
              <w:ind w:left="54"/>
              <w:spacing w:before="186" w:line="220" w:lineRule="auto"/>
              <w:rPr>
                <w:sz w:val="16"/>
                <w:szCs w:val="16"/>
              </w:rPr>
            </w:pPr>
            <w:r>
              <w:rPr>
                <w:sz w:val="16"/>
                <w:szCs w:val="16"/>
                <w:spacing w:val="-2"/>
              </w:rPr>
              <w:t>生泰环筑常</w:t>
            </w:r>
          </w:p>
        </w:tc>
        <w:tc>
          <w:tcPr>
            <w:tcW w:w="3711" w:type="dxa"/>
            <w:vAlign w:val="top"/>
          </w:tcPr>
          <w:p>
            <w:pPr>
              <w:pStyle w:val="TableText"/>
              <w:ind w:left="56"/>
              <w:spacing w:before="105" w:line="219" w:lineRule="auto"/>
              <w:rPr>
                <w:sz w:val="16"/>
                <w:szCs w:val="16"/>
              </w:rPr>
            </w:pPr>
            <w:r>
              <w:rPr>
                <w:sz w:val="16"/>
                <w:szCs w:val="16"/>
                <w:spacing w:val="-1"/>
              </w:rPr>
              <w:t>(中华人民共和国核安全法》</w:t>
            </w:r>
          </w:p>
          <w:p>
            <w:pPr>
              <w:pStyle w:val="TableText"/>
              <w:spacing w:line="219" w:lineRule="auto"/>
              <w:rPr>
                <w:sz w:val="16"/>
                <w:szCs w:val="16"/>
              </w:rPr>
            </w:pPr>
            <w:r>
              <w:rPr>
                <w:sz w:val="16"/>
                <w:szCs w:val="16"/>
                <w:spacing w:val="-3"/>
              </w:rPr>
              <w:t>《民用核安全设备监每管理条朗》</w:t>
            </w:r>
          </w:p>
        </w:tc>
      </w:tr>
      <w:tr>
        <w:trPr>
          <w:trHeight w:val="724" w:hRule="atLeast"/>
        </w:trPr>
        <w:tc>
          <w:tcPr>
            <w:tcW w:w="584" w:type="dxa"/>
            <w:vAlign w:val="top"/>
          </w:tcPr>
          <w:p>
            <w:pPr>
              <w:spacing w:line="273" w:lineRule="auto"/>
              <w:rPr>
                <w:rFonts w:ascii="Arial"/>
                <w:sz w:val="21"/>
              </w:rPr>
            </w:pPr>
            <w:r/>
          </w:p>
          <w:p>
            <w:pPr>
              <w:pStyle w:val="TableText"/>
              <w:ind w:left="164"/>
              <w:spacing w:before="52" w:line="184" w:lineRule="auto"/>
              <w:rPr>
                <w:sz w:val="16"/>
                <w:szCs w:val="16"/>
              </w:rPr>
            </w:pPr>
            <w:r>
              <w:rPr>
                <w:sz w:val="16"/>
                <w:szCs w:val="16"/>
                <w:spacing w:val="-2"/>
              </w:rPr>
              <w:t>215</w:t>
            </w:r>
          </w:p>
        </w:tc>
        <w:tc>
          <w:tcPr>
            <w:tcW w:w="1289" w:type="dxa"/>
            <w:vAlign w:val="top"/>
          </w:tcPr>
          <w:p>
            <w:pPr>
              <w:pStyle w:val="TableText"/>
              <w:ind w:left="231"/>
              <w:spacing w:before="286" w:line="219" w:lineRule="auto"/>
              <w:rPr>
                <w:sz w:val="16"/>
                <w:szCs w:val="16"/>
              </w:rPr>
            </w:pPr>
            <w:r>
              <w:rPr>
                <w:sz w:val="16"/>
                <w:szCs w:val="16"/>
                <w:spacing w:val="-2"/>
              </w:rPr>
              <w:t>年态拓放缸</w:t>
            </w:r>
          </w:p>
        </w:tc>
        <w:tc>
          <w:tcPr>
            <w:tcW w:w="1648" w:type="dxa"/>
            <w:vAlign w:val="top"/>
          </w:tcPr>
          <w:p>
            <w:pPr>
              <w:pStyle w:val="TableText"/>
              <w:ind w:left="171"/>
              <w:spacing w:before="95" w:line="219" w:lineRule="auto"/>
              <w:rPr>
                <w:sz w:val="16"/>
                <w:szCs w:val="16"/>
              </w:rPr>
            </w:pPr>
            <w:r>
              <w:rPr>
                <w:sz w:val="16"/>
                <w:szCs w:val="16"/>
              </w:rPr>
              <w:t>民州质安全设备设</w:t>
            </w:r>
          </w:p>
          <w:p>
            <w:pPr>
              <w:pStyle w:val="TableText"/>
              <w:ind w:left="41" w:right="32" w:hanging="30"/>
              <w:spacing w:before="10" w:line="237" w:lineRule="auto"/>
              <w:rPr>
                <w:sz w:val="16"/>
                <w:szCs w:val="16"/>
              </w:rPr>
            </w:pPr>
            <w:r>
              <w:rPr>
                <w:sz w:val="16"/>
                <w:szCs w:val="16"/>
                <w:spacing w:val="-1"/>
              </w:rPr>
              <w:t>计，断遍，安装和无似</w:t>
            </w:r>
            <w:r>
              <w:rPr>
                <w:sz w:val="16"/>
                <w:szCs w:val="16"/>
                <w:spacing w:val="2"/>
              </w:rPr>
              <w:t xml:space="preserve"> </w:t>
            </w:r>
            <w:r>
              <w:rPr>
                <w:sz w:val="16"/>
                <w:szCs w:val="16"/>
                <w:spacing w:val="-1"/>
              </w:rPr>
              <w:t>检验单位许可</w:t>
            </w:r>
          </w:p>
        </w:tc>
        <w:tc>
          <w:tcPr>
            <w:tcW w:w="2367" w:type="dxa"/>
            <w:vAlign w:val="top"/>
          </w:tcPr>
          <w:p>
            <w:pPr>
              <w:pStyle w:val="TableText"/>
              <w:ind w:left="54"/>
              <w:spacing w:before="287" w:line="220" w:lineRule="auto"/>
              <w:rPr>
                <w:sz w:val="16"/>
                <w:szCs w:val="16"/>
              </w:rPr>
            </w:pPr>
            <w:r>
              <w:rPr>
                <w:sz w:val="16"/>
                <w:szCs w:val="16"/>
                <w:spacing w:val="-2"/>
              </w:rPr>
              <w:t>生击环越命</w:t>
            </w:r>
          </w:p>
        </w:tc>
        <w:tc>
          <w:tcPr>
            <w:tcW w:w="3711" w:type="dxa"/>
            <w:vAlign w:val="top"/>
          </w:tcPr>
          <w:p>
            <w:pPr>
              <w:pStyle w:val="TableText"/>
              <w:spacing w:before="206" w:line="219" w:lineRule="auto"/>
              <w:rPr>
                <w:sz w:val="16"/>
                <w:szCs w:val="16"/>
              </w:rPr>
            </w:pPr>
            <w:r>
              <w:rPr>
                <w:sz w:val="16"/>
                <w:szCs w:val="16"/>
                <w:spacing w:val="-2"/>
              </w:rPr>
              <w:t>《中华人民共和国核左全法)</w:t>
            </w:r>
          </w:p>
          <w:p>
            <w:pPr>
              <w:pStyle w:val="TableText"/>
              <w:spacing w:line="219" w:lineRule="auto"/>
              <w:rPr>
                <w:sz w:val="16"/>
                <w:szCs w:val="16"/>
              </w:rPr>
            </w:pPr>
            <w:r>
              <w:rPr>
                <w:sz w:val="16"/>
                <w:szCs w:val="16"/>
                <w:spacing w:val="-3"/>
              </w:rPr>
              <w:t>《民用核安全设备监督算理条例</w:t>
            </w:r>
          </w:p>
        </w:tc>
      </w:tr>
    </w:tbl>
    <w:p>
      <w:pPr>
        <w:pStyle w:val="BodyText"/>
        <w:rPr/>
      </w:pPr>
      <w:r/>
    </w:p>
    <w:p>
      <w:pPr>
        <w:sectPr>
          <w:pgSz w:w="11910" w:h="8220"/>
          <w:pgMar w:top="400" w:right="1165" w:bottom="400" w:left="811" w:header="0" w:footer="0" w:gutter="0"/>
        </w:sectPr>
        <w:rPr/>
      </w:pPr>
    </w:p>
    <w:p>
      <w:pPr>
        <w:spacing w:before="93"/>
        <w:rPr/>
      </w:pPr>
      <w:r>
        <mc:AlternateContent xmlns:mc="http://schemas.openxmlformats.org/markup-compatibility/2006">
          <mc:Choice Requires="wps">
            <w:drawing>
              <wp:anchor distT="0" distB="0" distL="0" distR="0" simplePos="0" relativeHeight="251844608"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08" name="TextBox 208"/>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0" style="position:absolute;margin-left:37.3042pt;margin-top:345.874pt;mso-position-vertical-relative:page;mso-position-horizontal-relative:page;width:13.1pt;height:12.4pt;z-index:25184460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185</w:t>
                      </w:r>
                    </w:p>
                  </w:txbxContent>
                </v:textbox>
              </v:shape>
            </w:pict>
          </mc:Fallback>
        </mc:AlternateContent>
      </w:r>
      <w:r/>
    </w:p>
    <w:tbl>
      <w:tblPr>
        <w:tblStyle w:val="TableNormal"/>
        <w:tblW w:w="960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99"/>
        <w:gridCol w:w="1628"/>
        <w:gridCol w:w="2377"/>
        <w:gridCol w:w="3711"/>
      </w:tblGrid>
      <w:tr>
        <w:trPr>
          <w:trHeight w:val="41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中央主管整门</w:t>
            </w:r>
          </w:p>
        </w:tc>
        <w:tc>
          <w:tcPr>
            <w:tcW w:w="1628" w:type="dxa"/>
            <w:vAlign w:val="top"/>
          </w:tcPr>
          <w:p>
            <w:pPr>
              <w:pStyle w:val="TableText"/>
              <w:ind w:left="481"/>
              <w:spacing w:before="132" w:line="220" w:lineRule="auto"/>
              <w:rPr>
                <w:sz w:val="16"/>
                <w:szCs w:val="16"/>
              </w:rPr>
            </w:pPr>
            <w:r>
              <w:rPr>
                <w:sz w:val="16"/>
                <w:szCs w:val="16"/>
                <w:spacing w:val="-2"/>
              </w:rPr>
              <w:t>事项名称</w:t>
            </w:r>
          </w:p>
        </w:tc>
        <w:tc>
          <w:tcPr>
            <w:tcW w:w="2377" w:type="dxa"/>
            <w:vAlign w:val="top"/>
          </w:tcPr>
          <w:p>
            <w:pPr>
              <w:pStyle w:val="TableText"/>
              <w:ind w:left="864"/>
              <w:spacing w:before="132" w:line="220" w:lineRule="auto"/>
              <w:rPr>
                <w:sz w:val="16"/>
                <w:szCs w:val="16"/>
              </w:rPr>
            </w:pPr>
            <w:r>
              <w:rPr>
                <w:sz w:val="16"/>
                <w:szCs w:val="16"/>
                <w:spacing w:val="-2"/>
              </w:rPr>
              <w:t>实售肌关</w:t>
            </w:r>
          </w:p>
        </w:tc>
        <w:tc>
          <w:tcPr>
            <w:tcW w:w="3711" w:type="dxa"/>
            <w:vAlign w:val="top"/>
          </w:tcPr>
          <w:p>
            <w:pPr>
              <w:pStyle w:val="TableText"/>
              <w:ind w:left="1269"/>
              <w:spacing w:before="129" w:line="219" w:lineRule="auto"/>
              <w:rPr>
                <w:sz w:val="16"/>
                <w:szCs w:val="16"/>
              </w:rPr>
            </w:pPr>
            <w:r>
              <w:rPr>
                <w:sz w:val="16"/>
                <w:szCs w:val="16"/>
                <w:b/>
                <w:bCs/>
                <w:spacing w:val="-3"/>
              </w:rPr>
              <w:t>设宽和实算体据</w:t>
            </w:r>
          </w:p>
        </w:tc>
      </w:tr>
      <w:tr>
        <w:trPr>
          <w:trHeight w:val="1078" w:hRule="atLeast"/>
        </w:trPr>
        <w:tc>
          <w:tcPr>
            <w:tcW w:w="594" w:type="dxa"/>
            <w:vAlign w:val="top"/>
          </w:tcPr>
          <w:p>
            <w:pPr>
              <w:spacing w:line="442" w:lineRule="auto"/>
              <w:rPr>
                <w:rFonts w:ascii="Arial"/>
                <w:sz w:val="21"/>
              </w:rPr>
            </w:pPr>
            <w:r/>
          </w:p>
          <w:p>
            <w:pPr>
              <w:pStyle w:val="TableText"/>
              <w:ind w:left="164"/>
              <w:spacing w:before="52" w:line="184" w:lineRule="auto"/>
              <w:rPr>
                <w:sz w:val="16"/>
                <w:szCs w:val="16"/>
              </w:rPr>
            </w:pPr>
            <w:r>
              <w:rPr>
                <w:sz w:val="16"/>
                <w:szCs w:val="16"/>
                <w:spacing w:val="-2"/>
              </w:rPr>
              <w:t>21Y</w:t>
            </w:r>
          </w:p>
        </w:tc>
        <w:tc>
          <w:tcPr>
            <w:tcW w:w="1299" w:type="dxa"/>
            <w:vAlign w:val="top"/>
          </w:tcPr>
          <w:p>
            <w:pPr>
              <w:spacing w:line="402" w:lineRule="auto"/>
              <w:rPr>
                <w:rFonts w:ascii="Arial"/>
                <w:sz w:val="21"/>
              </w:rPr>
            </w:pPr>
            <w:r/>
          </w:p>
          <w:p>
            <w:pPr>
              <w:pStyle w:val="TableText"/>
              <w:ind w:left="241"/>
              <w:spacing w:before="52" w:line="219" w:lineRule="auto"/>
              <w:rPr>
                <w:sz w:val="16"/>
                <w:szCs w:val="16"/>
              </w:rPr>
            </w:pPr>
            <w:r>
              <w:rPr>
                <w:sz w:val="16"/>
                <w:szCs w:val="16"/>
                <w:spacing w:val="-2"/>
              </w:rPr>
              <w:t>牛态环填部</w:t>
            </w:r>
          </w:p>
        </w:tc>
        <w:tc>
          <w:tcPr>
            <w:tcW w:w="1628" w:type="dxa"/>
            <w:vAlign w:val="top"/>
          </w:tcPr>
          <w:p>
            <w:pPr>
              <w:pStyle w:val="TableText"/>
              <w:ind w:left="82" w:right="87"/>
              <w:spacing w:before="77" w:line="228" w:lineRule="auto"/>
              <w:rPr>
                <w:sz w:val="16"/>
                <w:szCs w:val="16"/>
              </w:rPr>
            </w:pPr>
            <w:r>
              <w:rPr>
                <w:sz w:val="16"/>
                <w:szCs w:val="16"/>
                <w:spacing w:val="-1"/>
              </w:rPr>
              <w:t>为境内民用机设施进</w:t>
            </w:r>
            <w:r>
              <w:rPr>
                <w:sz w:val="16"/>
                <w:szCs w:val="16"/>
              </w:rPr>
              <w:t xml:space="preserve"> </w:t>
            </w:r>
            <w:r>
              <w:rPr>
                <w:sz w:val="16"/>
                <w:szCs w:val="16"/>
                <w:spacing w:val="8"/>
              </w:rPr>
              <w:t>万模发全役备级计</w:t>
            </w:r>
            <w:r>
              <w:rPr>
                <w:sz w:val="16"/>
                <w:szCs w:val="16"/>
                <w:spacing w:val="2"/>
              </w:rPr>
              <w:t xml:space="preserve">  </w:t>
            </w:r>
            <w:r>
              <w:rPr>
                <w:sz w:val="16"/>
                <w:szCs w:val="16"/>
                <w:spacing w:val="-1"/>
              </w:rPr>
              <w:t>制查，安装和无捐校</w:t>
            </w:r>
            <w:r>
              <w:rPr>
                <w:sz w:val="16"/>
                <w:szCs w:val="16"/>
                <w:spacing w:val="1"/>
              </w:rPr>
              <w:t xml:space="preserve"> </w:t>
            </w:r>
            <w:r>
              <w:rPr>
                <w:sz w:val="16"/>
                <w:szCs w:val="16"/>
              </w:rPr>
              <w:t>险活块的堆外单位注</w:t>
            </w:r>
          </w:p>
          <w:p>
            <w:pPr>
              <w:pStyle w:val="TableText"/>
              <w:ind w:left="22"/>
              <w:spacing w:line="220" w:lineRule="auto"/>
              <w:rPr>
                <w:sz w:val="16"/>
                <w:szCs w:val="16"/>
              </w:rPr>
            </w:pPr>
            <w:r>
              <w:rPr>
                <w:sz w:val="16"/>
                <w:szCs w:val="16"/>
              </w:rPr>
              <w:t>册</w:t>
            </w:r>
          </w:p>
        </w:tc>
        <w:tc>
          <w:tcPr>
            <w:tcW w:w="2377" w:type="dxa"/>
            <w:vAlign w:val="top"/>
          </w:tcPr>
          <w:p>
            <w:pPr>
              <w:spacing w:line="402" w:lineRule="auto"/>
              <w:rPr>
                <w:rFonts w:ascii="Arial"/>
                <w:sz w:val="21"/>
              </w:rPr>
            </w:pPr>
            <w:r/>
          </w:p>
          <w:p>
            <w:pPr>
              <w:pStyle w:val="TableText"/>
              <w:ind w:left="64"/>
              <w:spacing w:before="52" w:line="220" w:lineRule="auto"/>
              <w:rPr>
                <w:sz w:val="16"/>
                <w:szCs w:val="16"/>
              </w:rPr>
            </w:pPr>
            <w:r>
              <w:rPr>
                <w:sz w:val="16"/>
                <w:szCs w:val="16"/>
                <w:spacing w:val="2"/>
              </w:rPr>
              <w:t>生志环境和</w:t>
            </w:r>
          </w:p>
        </w:tc>
        <w:tc>
          <w:tcPr>
            <w:tcW w:w="3711" w:type="dxa"/>
            <w:vAlign w:val="top"/>
          </w:tcPr>
          <w:p>
            <w:pPr>
              <w:spacing w:line="333" w:lineRule="auto"/>
              <w:rPr>
                <w:rFonts w:ascii="Arial"/>
                <w:sz w:val="21"/>
              </w:rPr>
            </w:pPr>
            <w:r/>
          </w:p>
          <w:p>
            <w:pPr>
              <w:pStyle w:val="TableText"/>
              <w:ind w:left="46"/>
              <w:spacing w:before="52" w:line="207" w:lineRule="auto"/>
              <w:rPr>
                <w:sz w:val="16"/>
                <w:szCs w:val="16"/>
              </w:rPr>
            </w:pPr>
            <w:r>
              <w:rPr>
                <w:sz w:val="16"/>
                <w:szCs w:val="16"/>
                <w:spacing w:val="2"/>
              </w:rPr>
              <w:t>C中华人民其和国核安全括]</w:t>
            </w:r>
          </w:p>
          <w:p>
            <w:pPr>
              <w:pStyle w:val="TableText"/>
              <w:spacing w:line="219" w:lineRule="auto"/>
              <w:rPr>
                <w:sz w:val="16"/>
                <w:szCs w:val="16"/>
              </w:rPr>
            </w:pPr>
            <w:r>
              <w:rPr>
                <w:sz w:val="16"/>
                <w:szCs w:val="16"/>
                <w:spacing w:val="-3"/>
              </w:rPr>
              <w:t>《巨用栋安全母各鱼背管理条制》</w:t>
            </w:r>
          </w:p>
        </w:tc>
      </w:tr>
      <w:tr>
        <w:trPr>
          <w:trHeight w:val="430" w:hRule="atLeast"/>
        </w:trPr>
        <w:tc>
          <w:tcPr>
            <w:tcW w:w="594" w:type="dxa"/>
            <w:vAlign w:val="top"/>
          </w:tcPr>
          <w:p>
            <w:pPr>
              <w:pStyle w:val="TableText"/>
              <w:ind w:left="164"/>
              <w:spacing w:before="179" w:line="184" w:lineRule="auto"/>
              <w:rPr>
                <w:sz w:val="16"/>
                <w:szCs w:val="16"/>
              </w:rPr>
            </w:pPr>
            <w:r>
              <w:rPr>
                <w:sz w:val="16"/>
                <w:szCs w:val="16"/>
                <w:spacing w:val="-2"/>
              </w:rPr>
              <w:t>218</w:t>
            </w:r>
          </w:p>
        </w:tc>
        <w:tc>
          <w:tcPr>
            <w:tcW w:w="1299" w:type="dxa"/>
            <w:vAlign w:val="top"/>
          </w:tcPr>
          <w:p>
            <w:pPr>
              <w:pStyle w:val="TableText"/>
              <w:ind w:left="241"/>
              <w:spacing w:before="138" w:line="219" w:lineRule="auto"/>
              <w:rPr>
                <w:sz w:val="16"/>
                <w:szCs w:val="16"/>
              </w:rPr>
            </w:pPr>
            <w:r>
              <w:rPr>
                <w:sz w:val="16"/>
                <w:szCs w:val="16"/>
                <w:spacing w:val="-2"/>
              </w:rPr>
              <w:t>生态环填部</w:t>
            </w:r>
          </w:p>
        </w:tc>
        <w:tc>
          <w:tcPr>
            <w:tcW w:w="1628" w:type="dxa"/>
            <w:vAlign w:val="top"/>
          </w:tcPr>
          <w:p>
            <w:pPr>
              <w:pStyle w:val="TableText"/>
              <w:ind w:left="82" w:right="83"/>
              <w:spacing w:before="59" w:line="208" w:lineRule="auto"/>
              <w:rPr>
                <w:sz w:val="16"/>
                <w:szCs w:val="16"/>
              </w:rPr>
            </w:pPr>
            <w:r>
              <w:rPr>
                <w:sz w:val="16"/>
                <w:szCs w:val="16"/>
                <w:spacing w:val="1"/>
              </w:rPr>
              <w:t>从事放射性污毫监测</w:t>
            </w:r>
            <w:r>
              <w:rPr>
                <w:sz w:val="16"/>
                <w:szCs w:val="16"/>
                <w:spacing w:val="2"/>
              </w:rPr>
              <w:t xml:space="preserve"> </w:t>
            </w:r>
            <w:r>
              <w:rPr>
                <w:sz w:val="16"/>
                <w:szCs w:val="16"/>
                <w:spacing w:val="-1"/>
              </w:rPr>
              <w:t>工作的机构资质认定</w:t>
            </w:r>
          </w:p>
        </w:tc>
        <w:tc>
          <w:tcPr>
            <w:tcW w:w="2377" w:type="dxa"/>
            <w:vAlign w:val="top"/>
          </w:tcPr>
          <w:p>
            <w:pPr>
              <w:pStyle w:val="TableText"/>
              <w:ind w:left="64"/>
              <w:spacing w:before="138" w:line="219" w:lineRule="auto"/>
              <w:rPr>
                <w:sz w:val="16"/>
                <w:szCs w:val="16"/>
              </w:rPr>
            </w:pPr>
            <w:r>
              <w:rPr>
                <w:sz w:val="16"/>
                <w:szCs w:val="16"/>
                <w:spacing w:val="-2"/>
              </w:rPr>
              <w:t>生态环白部</w:t>
            </w:r>
          </w:p>
        </w:tc>
        <w:tc>
          <w:tcPr>
            <w:tcW w:w="3711" w:type="dxa"/>
            <w:vAlign w:val="top"/>
          </w:tcPr>
          <w:p>
            <w:pPr>
              <w:pStyle w:val="TableText"/>
              <w:ind w:left="46"/>
              <w:spacing w:before="138" w:line="219" w:lineRule="auto"/>
              <w:rPr>
                <w:sz w:val="16"/>
                <w:szCs w:val="16"/>
              </w:rPr>
            </w:pPr>
            <w:r>
              <w:rPr>
                <w:sz w:val="16"/>
                <w:szCs w:val="16"/>
                <w:spacing w:val="-1"/>
              </w:rPr>
              <w:t>F中华人民共相国酸射性污染防命总?</w:t>
            </w:r>
          </w:p>
        </w:tc>
      </w:tr>
      <w:tr>
        <w:trPr>
          <w:trHeight w:val="649" w:hRule="atLeast"/>
        </w:trPr>
        <w:tc>
          <w:tcPr>
            <w:tcW w:w="594" w:type="dxa"/>
            <w:vAlign w:val="top"/>
          </w:tcPr>
          <w:p>
            <w:pPr>
              <w:pStyle w:val="TableText"/>
              <w:ind w:left="164"/>
              <w:spacing w:before="289" w:line="184" w:lineRule="auto"/>
              <w:rPr>
                <w:sz w:val="16"/>
                <w:szCs w:val="16"/>
              </w:rPr>
            </w:pPr>
            <w:r>
              <w:rPr>
                <w:sz w:val="16"/>
                <w:szCs w:val="16"/>
                <w:spacing w:val="-2"/>
              </w:rPr>
              <w:t>219</w:t>
            </w:r>
          </w:p>
        </w:tc>
        <w:tc>
          <w:tcPr>
            <w:tcW w:w="1299" w:type="dxa"/>
            <w:vAlign w:val="top"/>
          </w:tcPr>
          <w:p>
            <w:pPr>
              <w:pStyle w:val="TableText"/>
              <w:ind w:left="241"/>
              <w:spacing w:before="247" w:line="219" w:lineRule="auto"/>
              <w:rPr>
                <w:sz w:val="16"/>
                <w:szCs w:val="16"/>
              </w:rPr>
            </w:pPr>
            <w:r>
              <w:rPr>
                <w:sz w:val="16"/>
                <w:szCs w:val="16"/>
                <w:spacing w:val="-2"/>
              </w:rPr>
              <w:t>生本环轨意</w:t>
            </w:r>
          </w:p>
        </w:tc>
        <w:tc>
          <w:tcPr>
            <w:tcW w:w="1628" w:type="dxa"/>
            <w:vAlign w:val="top"/>
          </w:tcPr>
          <w:p>
            <w:pPr>
              <w:pStyle w:val="TableText"/>
              <w:ind w:left="121" w:right="89" w:hanging="39"/>
              <w:spacing w:before="48" w:line="231" w:lineRule="auto"/>
              <w:rPr>
                <w:sz w:val="16"/>
                <w:szCs w:val="16"/>
              </w:rPr>
            </w:pPr>
            <w:r>
              <w:rPr>
                <w:sz w:val="16"/>
                <w:szCs w:val="16"/>
              </w:rPr>
              <w:t>民用核设黄选址，非</w:t>
            </w:r>
            <w:r>
              <w:rPr>
                <w:sz w:val="16"/>
                <w:szCs w:val="16"/>
                <w:spacing w:val="5"/>
              </w:rPr>
              <w:t xml:space="preserve"> </w:t>
            </w:r>
            <w:r>
              <w:rPr>
                <w:sz w:val="16"/>
                <w:szCs w:val="16"/>
                <w:spacing w:val="-1"/>
              </w:rPr>
              <w:t>动.运行，训投等的</w:t>
            </w:r>
          </w:p>
          <w:p>
            <w:pPr>
              <w:pStyle w:val="TableText"/>
              <w:ind w:left="32"/>
              <w:spacing w:before="2" w:line="217" w:lineRule="auto"/>
              <w:rPr>
                <w:sz w:val="16"/>
                <w:szCs w:val="16"/>
              </w:rPr>
            </w:pPr>
            <w:r>
              <w:rPr>
                <w:sz w:val="16"/>
                <w:szCs w:val="16"/>
                <w:spacing w:val="3"/>
              </w:rPr>
              <w:t>甲可</w:t>
            </w:r>
          </w:p>
        </w:tc>
        <w:tc>
          <w:tcPr>
            <w:tcW w:w="2377" w:type="dxa"/>
            <w:vAlign w:val="top"/>
          </w:tcPr>
          <w:p>
            <w:pPr>
              <w:pStyle w:val="TableText"/>
              <w:ind w:left="64"/>
              <w:spacing w:before="248" w:line="219" w:lineRule="auto"/>
              <w:rPr>
                <w:sz w:val="16"/>
                <w:szCs w:val="16"/>
              </w:rPr>
            </w:pPr>
            <w:r>
              <w:rPr>
                <w:sz w:val="16"/>
                <w:szCs w:val="16"/>
                <w:spacing w:val="-2"/>
              </w:rPr>
              <w:t>生态环境部</w:t>
            </w:r>
          </w:p>
        </w:tc>
        <w:tc>
          <w:tcPr>
            <w:tcW w:w="3711" w:type="dxa"/>
            <w:vAlign w:val="top"/>
          </w:tcPr>
          <w:p>
            <w:pPr>
              <w:pStyle w:val="TableText"/>
              <w:spacing w:before="37" w:line="219" w:lineRule="auto"/>
              <w:rPr>
                <w:sz w:val="16"/>
                <w:szCs w:val="16"/>
              </w:rPr>
            </w:pPr>
            <w:r>
              <w:rPr>
                <w:sz w:val="16"/>
                <w:szCs w:val="16"/>
                <w:spacing w:val="3"/>
              </w:rPr>
              <w:t>《功华人民共和国机安全法】</w:t>
            </w:r>
          </w:p>
          <w:p>
            <w:pPr>
              <w:pStyle w:val="TableText"/>
              <w:spacing w:before="31" w:line="219" w:lineRule="auto"/>
              <w:rPr>
                <w:sz w:val="16"/>
                <w:szCs w:val="16"/>
              </w:rPr>
            </w:pPr>
            <w:r>
              <w:rPr>
                <w:sz w:val="16"/>
                <w:szCs w:val="16"/>
                <w:spacing w:val="-3"/>
              </w:rPr>
              <w:t>《中华人民共和国级射性污梁防拾法》</w:t>
            </w:r>
          </w:p>
          <w:p>
            <w:pPr>
              <w:pStyle w:val="TableText"/>
              <w:spacing w:line="219" w:lineRule="auto"/>
              <w:rPr>
                <w:sz w:val="16"/>
                <w:szCs w:val="16"/>
              </w:rPr>
            </w:pPr>
            <w:r>
              <w:rPr>
                <w:sz w:val="16"/>
                <w:szCs w:val="16"/>
                <w:spacing w:val="-2"/>
              </w:rPr>
              <w:t>《中华人提共和国民用核设质安全监管管理条</w:t>
            </w:r>
            <w:r>
              <w:rPr>
                <w:sz w:val="16"/>
                <w:szCs w:val="16"/>
                <w:spacing w:val="-3"/>
              </w:rPr>
              <w:t>例》</w:t>
            </w:r>
          </w:p>
        </w:tc>
      </w:tr>
      <w:tr>
        <w:trPr>
          <w:trHeight w:val="869" w:hRule="atLeast"/>
        </w:trPr>
        <w:tc>
          <w:tcPr>
            <w:tcW w:w="594" w:type="dxa"/>
            <w:vAlign w:val="top"/>
          </w:tcPr>
          <w:p>
            <w:pPr>
              <w:spacing w:line="346" w:lineRule="auto"/>
              <w:rPr>
                <w:rFonts w:ascii="Arial"/>
                <w:sz w:val="21"/>
              </w:rPr>
            </w:pPr>
            <w:r/>
          </w:p>
          <w:p>
            <w:pPr>
              <w:pStyle w:val="TableText"/>
              <w:ind w:left="164"/>
              <w:spacing w:before="52" w:line="183" w:lineRule="auto"/>
              <w:rPr>
                <w:sz w:val="16"/>
                <w:szCs w:val="16"/>
              </w:rPr>
            </w:pPr>
            <w:r>
              <w:rPr>
                <w:sz w:val="16"/>
                <w:szCs w:val="16"/>
                <w:spacing w:val="-2"/>
              </w:rPr>
              <w:t>22D</w:t>
            </w:r>
          </w:p>
        </w:tc>
        <w:tc>
          <w:tcPr>
            <w:tcW w:w="1299" w:type="dxa"/>
            <w:vAlign w:val="top"/>
          </w:tcPr>
          <w:p>
            <w:pPr>
              <w:spacing w:line="306" w:lineRule="auto"/>
              <w:rPr>
                <w:rFonts w:ascii="Arial"/>
                <w:sz w:val="21"/>
              </w:rPr>
            </w:pPr>
            <w:r/>
          </w:p>
          <w:p>
            <w:pPr>
              <w:pStyle w:val="TableText"/>
              <w:ind w:left="241"/>
              <w:spacing w:before="52" w:line="220" w:lineRule="auto"/>
              <w:rPr>
                <w:sz w:val="16"/>
                <w:szCs w:val="16"/>
              </w:rPr>
            </w:pPr>
            <w:r>
              <w:rPr>
                <w:sz w:val="16"/>
                <w:szCs w:val="16"/>
                <w:spacing w:val="-2"/>
              </w:rPr>
              <w:t>生态环填色</w:t>
            </w:r>
          </w:p>
        </w:tc>
        <w:tc>
          <w:tcPr>
            <w:tcW w:w="1628" w:type="dxa"/>
            <w:vAlign w:val="top"/>
          </w:tcPr>
          <w:p>
            <w:pPr>
              <w:spacing w:line="306" w:lineRule="auto"/>
              <w:rPr>
                <w:rFonts w:ascii="Arial"/>
                <w:sz w:val="21"/>
              </w:rPr>
            </w:pPr>
            <w:r/>
          </w:p>
          <w:p>
            <w:pPr>
              <w:pStyle w:val="TableText"/>
              <w:ind w:left="52"/>
              <w:spacing w:before="52" w:line="220" w:lineRule="auto"/>
              <w:rPr>
                <w:sz w:val="16"/>
                <w:szCs w:val="16"/>
              </w:rPr>
            </w:pPr>
            <w:r>
              <w:rPr>
                <w:sz w:val="16"/>
                <w:szCs w:val="16"/>
                <w:spacing w:val="3"/>
              </w:rPr>
              <w:t>超射安全许问</w:t>
            </w:r>
          </w:p>
        </w:tc>
        <w:tc>
          <w:tcPr>
            <w:tcW w:w="2377" w:type="dxa"/>
            <w:vAlign w:val="top"/>
          </w:tcPr>
          <w:p>
            <w:pPr>
              <w:pStyle w:val="TableText"/>
              <w:ind w:left="64" w:right="160" w:hanging="10"/>
              <w:spacing w:before="239" w:line="231" w:lineRule="auto"/>
              <w:rPr>
                <w:sz w:val="16"/>
                <w:szCs w:val="16"/>
              </w:rPr>
            </w:pPr>
            <w:r>
              <w:rPr>
                <w:sz w:val="16"/>
                <w:szCs w:val="16"/>
                <w:spacing w:val="-1"/>
              </w:rPr>
              <w:t>生态环应部(古级，位区的市飒</w:t>
            </w:r>
            <w:r>
              <w:rPr>
                <w:sz w:val="16"/>
                <w:szCs w:val="16"/>
                <w:spacing w:val="5"/>
              </w:rPr>
              <w:t xml:space="preserve"> </w:t>
            </w:r>
            <w:r>
              <w:rPr>
                <w:sz w:val="16"/>
                <w:szCs w:val="16"/>
                <w:spacing w:val="2"/>
              </w:rPr>
              <w:t>生都环地部门</w:t>
            </w:r>
          </w:p>
        </w:tc>
        <w:tc>
          <w:tcPr>
            <w:tcW w:w="3711" w:type="dxa"/>
            <w:vAlign w:val="top"/>
          </w:tcPr>
          <w:p>
            <w:pPr>
              <w:pStyle w:val="TableText"/>
              <w:spacing w:before="39" w:line="219" w:lineRule="auto"/>
              <w:rPr>
                <w:sz w:val="16"/>
                <w:szCs w:val="16"/>
              </w:rPr>
            </w:pPr>
            <w:r>
              <w:rPr>
                <w:sz w:val="16"/>
                <w:szCs w:val="16"/>
                <w:spacing w:val="-3"/>
              </w:rPr>
              <w:t>《中华人民共和国放射性汽朵防输法》</w:t>
            </w:r>
          </w:p>
          <w:p>
            <w:pPr>
              <w:pStyle w:val="TableText"/>
              <w:spacing w:before="40" w:line="207" w:lineRule="auto"/>
              <w:rPr>
                <w:sz w:val="16"/>
                <w:szCs w:val="16"/>
              </w:rPr>
            </w:pPr>
            <w:r>
              <w:rPr>
                <w:sz w:val="16"/>
                <w:szCs w:val="16"/>
                <w:spacing w:val="-3"/>
              </w:rPr>
              <w:t>《数对世同位素与射线数置安全和防护条例</w:t>
            </w:r>
          </w:p>
          <w:p>
            <w:pPr>
              <w:pStyle w:val="TableText"/>
              <w:ind w:left="69" w:right="50" w:hanging="69"/>
              <w:spacing w:line="236" w:lineRule="auto"/>
              <w:rPr>
                <w:sz w:val="16"/>
                <w:szCs w:val="16"/>
              </w:rPr>
            </w:pPr>
            <w:r>
              <w:rPr>
                <w:sz w:val="16"/>
                <w:szCs w:val="16"/>
                <w:spacing w:val="-2"/>
              </w:rPr>
              <w:t>《国务院关子国化“证照分离”改革讲一步激发布均</w:t>
            </w:r>
            <w:r>
              <w:rPr>
                <w:sz w:val="16"/>
                <w:szCs w:val="16"/>
                <w:spacing w:val="15"/>
              </w:rPr>
              <w:t xml:space="preserve"> </w:t>
            </w:r>
            <w:r>
              <w:rPr>
                <w:sz w:val="16"/>
                <w:szCs w:val="16"/>
                <w:spacing w:val="-2"/>
              </w:rPr>
              <w:t>王体发睡济力的通知(国发(2029)7号</w:t>
            </w:r>
          </w:p>
        </w:tc>
      </w:tr>
      <w:tr>
        <w:trPr>
          <w:trHeight w:val="429" w:hRule="atLeast"/>
        </w:trPr>
        <w:tc>
          <w:tcPr>
            <w:tcW w:w="594" w:type="dxa"/>
            <w:vAlign w:val="top"/>
          </w:tcPr>
          <w:p>
            <w:pPr>
              <w:pStyle w:val="TableText"/>
              <w:ind w:left="164"/>
              <w:spacing w:before="180" w:line="184" w:lineRule="auto"/>
              <w:rPr>
                <w:sz w:val="16"/>
                <w:szCs w:val="16"/>
              </w:rPr>
            </w:pPr>
            <w:r>
              <w:rPr>
                <w:sz w:val="16"/>
                <w:szCs w:val="16"/>
                <w:spacing w:val="-3"/>
              </w:rPr>
              <w:t>z21</w:t>
            </w:r>
          </w:p>
        </w:tc>
        <w:tc>
          <w:tcPr>
            <w:tcW w:w="1299" w:type="dxa"/>
            <w:vAlign w:val="top"/>
          </w:tcPr>
          <w:p>
            <w:pPr>
              <w:pStyle w:val="TableText"/>
              <w:ind w:left="241"/>
              <w:spacing w:before="141" w:line="220" w:lineRule="auto"/>
              <w:rPr>
                <w:sz w:val="16"/>
                <w:szCs w:val="16"/>
              </w:rPr>
            </w:pPr>
            <w:r>
              <w:rPr>
                <w:sz w:val="16"/>
                <w:szCs w:val="16"/>
                <w:spacing w:val="-2"/>
              </w:rPr>
              <w:t>生态环境源</w:t>
            </w:r>
          </w:p>
        </w:tc>
        <w:tc>
          <w:tcPr>
            <w:tcW w:w="1628" w:type="dxa"/>
            <w:vAlign w:val="top"/>
          </w:tcPr>
          <w:p>
            <w:pPr>
              <w:pStyle w:val="TableText"/>
              <w:ind w:left="32" w:right="101" w:firstLine="50"/>
              <w:spacing w:before="30" w:line="224" w:lineRule="auto"/>
              <w:rPr>
                <w:sz w:val="16"/>
                <w:szCs w:val="16"/>
              </w:rPr>
            </w:pPr>
            <w:r>
              <w:rPr>
                <w:sz w:val="16"/>
                <w:szCs w:val="16"/>
                <w:spacing w:val="-1"/>
              </w:rPr>
              <w:t>政到在同位案特让市</w:t>
            </w:r>
            <w:r>
              <w:rPr>
                <w:sz w:val="16"/>
                <w:szCs w:val="16"/>
                <w:spacing w:val="2"/>
              </w:rPr>
              <w:t xml:space="preserve"> </w:t>
            </w:r>
            <w:r>
              <w:rPr>
                <w:sz w:val="16"/>
                <w:szCs w:val="16"/>
              </w:rPr>
              <w:t>批</w:t>
            </w:r>
          </w:p>
        </w:tc>
        <w:tc>
          <w:tcPr>
            <w:tcW w:w="2377" w:type="dxa"/>
            <w:vAlign w:val="top"/>
          </w:tcPr>
          <w:p>
            <w:pPr>
              <w:pStyle w:val="TableText"/>
              <w:ind w:left="64"/>
              <w:spacing w:before="139" w:line="219" w:lineRule="auto"/>
              <w:rPr>
                <w:sz w:val="16"/>
                <w:szCs w:val="16"/>
              </w:rPr>
            </w:pPr>
            <w:r>
              <w:rPr>
                <w:sz w:val="16"/>
                <w:szCs w:val="16"/>
                <w:spacing w:val="2"/>
              </w:rPr>
              <w:t>省假生态环境部门</w:t>
            </w:r>
          </w:p>
        </w:tc>
        <w:tc>
          <w:tcPr>
            <w:tcW w:w="3711" w:type="dxa"/>
            <w:vAlign w:val="top"/>
          </w:tcPr>
          <w:p>
            <w:pPr>
              <w:pStyle w:val="TableText"/>
              <w:spacing w:before="140" w:line="219" w:lineRule="auto"/>
              <w:rPr>
                <w:sz w:val="16"/>
                <w:szCs w:val="16"/>
              </w:rPr>
            </w:pPr>
            <w:r>
              <w:rPr>
                <w:sz w:val="16"/>
                <w:szCs w:val="16"/>
                <w:spacing w:val="-2"/>
              </w:rPr>
              <w:t>《政射性间位累与射段装置安全和防护条例1</w:t>
            </w:r>
          </w:p>
        </w:tc>
      </w:tr>
      <w:tr>
        <w:trPr>
          <w:trHeight w:val="649" w:hRule="atLeast"/>
        </w:trPr>
        <w:tc>
          <w:tcPr>
            <w:tcW w:w="594" w:type="dxa"/>
            <w:vAlign w:val="top"/>
          </w:tcPr>
          <w:p>
            <w:pPr>
              <w:pStyle w:val="TableText"/>
              <w:ind w:left="164"/>
              <w:spacing w:before="267" w:line="239" w:lineRule="auto"/>
              <w:rPr>
                <w:sz w:val="16"/>
                <w:szCs w:val="16"/>
              </w:rPr>
            </w:pPr>
            <w:r>
              <w:rPr>
                <w:sz w:val="16"/>
                <w:szCs w:val="16"/>
                <w:spacing w:val="-2"/>
              </w:rPr>
              <w:t>??2</w:t>
            </w:r>
          </w:p>
        </w:tc>
        <w:tc>
          <w:tcPr>
            <w:tcW w:w="1299" w:type="dxa"/>
            <w:vAlign w:val="top"/>
          </w:tcPr>
          <w:p>
            <w:pPr>
              <w:pStyle w:val="TableText"/>
              <w:ind w:left="241"/>
              <w:spacing w:before="251" w:line="219" w:lineRule="auto"/>
              <w:rPr>
                <w:sz w:val="16"/>
                <w:szCs w:val="16"/>
              </w:rPr>
            </w:pPr>
            <w:r>
              <w:rPr>
                <w:sz w:val="16"/>
                <w:szCs w:val="16"/>
                <w:spacing w:val="-2"/>
              </w:rPr>
              <w:t>生态环境部</w:t>
            </w:r>
          </w:p>
        </w:tc>
        <w:tc>
          <w:tcPr>
            <w:tcW w:w="1628" w:type="dxa"/>
            <w:vAlign w:val="top"/>
          </w:tcPr>
          <w:p>
            <w:pPr>
              <w:pStyle w:val="TableText"/>
              <w:ind w:left="42" w:right="72" w:firstLine="40"/>
              <w:spacing w:before="51" w:line="226" w:lineRule="auto"/>
              <w:jc w:val="both"/>
              <w:rPr>
                <w:sz w:val="16"/>
                <w:szCs w:val="16"/>
              </w:rPr>
            </w:pPr>
            <w:r>
              <w:rPr>
                <w:sz w:val="16"/>
                <w:szCs w:val="16"/>
                <w:spacing w:val="-1"/>
              </w:rPr>
              <w:t>对人形制进出日日章</w:t>
            </w:r>
            <w:r>
              <w:rPr>
                <w:sz w:val="16"/>
                <w:szCs w:val="16"/>
                <w:spacing w:val="2"/>
              </w:rPr>
              <w:t xml:space="preserve"> </w:t>
            </w:r>
            <w:r>
              <w:rPr>
                <w:sz w:val="16"/>
                <w:szCs w:val="16"/>
                <w:spacing w:val="7"/>
              </w:rPr>
              <w:t>的放射性同位素进口</w:t>
            </w:r>
            <w:r>
              <w:rPr>
                <w:sz w:val="16"/>
                <w:szCs w:val="16"/>
              </w:rPr>
              <w:t xml:space="preserve"> </w:t>
            </w:r>
            <w:r>
              <w:rPr>
                <w:sz w:val="16"/>
                <w:szCs w:val="16"/>
                <w:spacing w:val="3"/>
              </w:rPr>
              <w:t>审批</w:t>
            </w:r>
          </w:p>
        </w:tc>
        <w:tc>
          <w:tcPr>
            <w:tcW w:w="2377" w:type="dxa"/>
            <w:vAlign w:val="top"/>
          </w:tcPr>
          <w:p>
            <w:pPr>
              <w:pStyle w:val="TableText"/>
              <w:ind w:left="64"/>
              <w:spacing w:before="251" w:line="219" w:lineRule="auto"/>
              <w:rPr>
                <w:sz w:val="16"/>
                <w:szCs w:val="16"/>
              </w:rPr>
            </w:pPr>
            <w:r>
              <w:rPr>
                <w:sz w:val="16"/>
                <w:szCs w:val="16"/>
                <w:spacing w:val="-2"/>
              </w:rPr>
              <w:t>生态环境部</w:t>
            </w:r>
          </w:p>
        </w:tc>
        <w:tc>
          <w:tcPr>
            <w:tcW w:w="3711" w:type="dxa"/>
            <w:vAlign w:val="top"/>
          </w:tcPr>
          <w:p>
            <w:pPr>
              <w:pStyle w:val="TableText"/>
              <w:spacing w:before="251" w:line="219" w:lineRule="auto"/>
              <w:rPr>
                <w:sz w:val="16"/>
                <w:szCs w:val="16"/>
              </w:rPr>
            </w:pPr>
            <w:r>
              <w:rPr>
                <w:sz w:val="16"/>
                <w:szCs w:val="16"/>
                <w:spacing w:val="-3"/>
              </w:rPr>
              <w:t>《放射性同位紫与射线装登安全和防护签调》</w:t>
            </w:r>
          </w:p>
        </w:tc>
      </w:tr>
      <w:tr>
        <w:trPr>
          <w:trHeight w:val="649" w:hRule="atLeast"/>
        </w:trPr>
        <w:tc>
          <w:tcPr>
            <w:tcW w:w="594" w:type="dxa"/>
            <w:vAlign w:val="top"/>
          </w:tcPr>
          <w:p>
            <w:pPr>
              <w:rPr>
                <w:rFonts w:ascii="Arial"/>
                <w:sz w:val="21"/>
              </w:rPr>
            </w:pPr>
            <w:r/>
          </w:p>
          <w:p>
            <w:pPr>
              <w:pStyle w:val="TableText"/>
              <w:ind w:left="164"/>
              <w:spacing w:before="52" w:line="183" w:lineRule="auto"/>
              <w:rPr>
                <w:sz w:val="16"/>
                <w:szCs w:val="16"/>
              </w:rPr>
            </w:pPr>
            <w:r>
              <w:rPr>
                <w:sz w:val="16"/>
                <w:szCs w:val="16"/>
                <w:spacing w:val="-2"/>
              </w:rPr>
              <w:t>23X</w:t>
            </w:r>
          </w:p>
        </w:tc>
        <w:tc>
          <w:tcPr>
            <w:tcW w:w="1299" w:type="dxa"/>
            <w:vAlign w:val="top"/>
          </w:tcPr>
          <w:p>
            <w:pPr>
              <w:pStyle w:val="TableText"/>
              <w:ind w:left="241"/>
              <w:spacing w:before="252" w:line="219" w:lineRule="auto"/>
              <w:rPr>
                <w:sz w:val="16"/>
                <w:szCs w:val="16"/>
              </w:rPr>
            </w:pPr>
            <w:r>
              <w:rPr>
                <w:sz w:val="16"/>
                <w:szCs w:val="16"/>
                <w:spacing w:val="-2"/>
              </w:rPr>
              <w:t>生态开规部</w:t>
            </w:r>
          </w:p>
        </w:tc>
        <w:tc>
          <w:tcPr>
            <w:tcW w:w="1628" w:type="dxa"/>
            <w:vAlign w:val="top"/>
          </w:tcPr>
          <w:p>
            <w:pPr>
              <w:pStyle w:val="TableText"/>
              <w:ind w:left="42" w:right="62" w:firstLine="40"/>
              <w:spacing w:before="43" w:line="227" w:lineRule="auto"/>
              <w:jc w:val="both"/>
              <w:rPr>
                <w:sz w:val="16"/>
                <w:szCs w:val="16"/>
              </w:rPr>
            </w:pPr>
            <w:r>
              <w:rPr>
                <w:sz w:val="16"/>
                <w:szCs w:val="16"/>
                <w:spacing w:val="-1"/>
              </w:rPr>
              <w:t>我立专门从季效射性</w:t>
            </w:r>
            <w:r>
              <w:rPr>
                <w:sz w:val="16"/>
                <w:szCs w:val="16"/>
              </w:rPr>
              <w:t xml:space="preserve"> </w:t>
            </w:r>
            <w:r>
              <w:rPr>
                <w:sz w:val="16"/>
                <w:szCs w:val="16"/>
                <w:spacing w:val="-1"/>
              </w:rPr>
              <w:t>应销卷理.心在，处置</w:t>
            </w:r>
            <w:r>
              <w:rPr>
                <w:sz w:val="16"/>
                <w:szCs w:val="16"/>
                <w:spacing w:val="2"/>
              </w:rPr>
              <w:t xml:space="preserve"> </w:t>
            </w:r>
            <w:r>
              <w:rPr>
                <w:sz w:val="16"/>
                <w:szCs w:val="16"/>
                <w:spacing w:val="-2"/>
              </w:rPr>
              <w:t>单位许可</w:t>
            </w:r>
          </w:p>
        </w:tc>
        <w:tc>
          <w:tcPr>
            <w:tcW w:w="2377" w:type="dxa"/>
            <w:vAlign w:val="top"/>
          </w:tcPr>
          <w:p>
            <w:pPr>
              <w:pStyle w:val="TableText"/>
              <w:ind w:left="64"/>
              <w:spacing w:before="252" w:line="219" w:lineRule="auto"/>
              <w:rPr>
                <w:sz w:val="16"/>
                <w:szCs w:val="16"/>
              </w:rPr>
            </w:pPr>
            <w:r>
              <w:rPr>
                <w:sz w:val="16"/>
                <w:szCs w:val="16"/>
                <w:spacing w:val="-2"/>
              </w:rPr>
              <w:t>生悬环坝部</w:t>
            </w:r>
          </w:p>
        </w:tc>
        <w:tc>
          <w:tcPr>
            <w:tcW w:w="3711" w:type="dxa"/>
            <w:vAlign w:val="top"/>
          </w:tcPr>
          <w:p>
            <w:pPr>
              <w:pStyle w:val="TableText"/>
              <w:ind w:left="46"/>
              <w:spacing w:before="62" w:line="219" w:lineRule="auto"/>
              <w:rPr>
                <w:sz w:val="16"/>
                <w:szCs w:val="16"/>
              </w:rPr>
            </w:pPr>
            <w:r>
              <w:rPr>
                <w:sz w:val="16"/>
                <w:szCs w:val="16"/>
                <w:spacing w:val="2"/>
              </w:rPr>
              <w:t>(中华人现共和国林安全法)</w:t>
            </w:r>
          </w:p>
          <w:p>
            <w:pPr>
              <w:pStyle w:val="TableText"/>
              <w:spacing w:before="9" w:line="208" w:lineRule="auto"/>
              <w:rPr>
                <w:sz w:val="16"/>
                <w:szCs w:val="16"/>
              </w:rPr>
            </w:pPr>
            <w:r>
              <w:rPr>
                <w:sz w:val="16"/>
                <w:szCs w:val="16"/>
                <w:spacing w:val="-3"/>
              </w:rPr>
              <w:t>《华人民共和国意前性药染防治齿?</w:t>
            </w:r>
          </w:p>
          <w:p>
            <w:pPr>
              <w:pStyle w:val="TableText"/>
              <w:ind w:left="78"/>
              <w:spacing w:line="219" w:lineRule="auto"/>
              <w:rPr>
                <w:sz w:val="16"/>
                <w:szCs w:val="16"/>
              </w:rPr>
            </w:pPr>
            <w:r>
              <w:rPr>
                <w:sz w:val="16"/>
                <w:szCs w:val="16"/>
                <w:spacing w:val="3"/>
              </w:rPr>
              <w:t>t政射性理物安全管理条例】</w:t>
            </w:r>
          </w:p>
        </w:tc>
      </w:tr>
      <w:tr>
        <w:trPr>
          <w:trHeight w:val="459" w:hRule="atLeast"/>
        </w:trPr>
        <w:tc>
          <w:tcPr>
            <w:tcW w:w="594" w:type="dxa"/>
            <w:vAlign w:val="top"/>
          </w:tcPr>
          <w:p>
            <w:pPr>
              <w:pStyle w:val="TableText"/>
              <w:ind w:left="164"/>
              <w:spacing w:before="194" w:line="183" w:lineRule="auto"/>
              <w:rPr>
                <w:sz w:val="16"/>
                <w:szCs w:val="16"/>
              </w:rPr>
            </w:pPr>
            <w:r>
              <w:rPr>
                <w:sz w:val="16"/>
                <w:szCs w:val="16"/>
                <w:spacing w:val="-2"/>
              </w:rPr>
              <w:t>224</w:t>
            </w:r>
          </w:p>
        </w:tc>
        <w:tc>
          <w:tcPr>
            <w:tcW w:w="1299" w:type="dxa"/>
            <w:vAlign w:val="top"/>
          </w:tcPr>
          <w:p>
            <w:pPr>
              <w:pStyle w:val="TableText"/>
              <w:ind w:left="320"/>
              <w:spacing w:before="153" w:line="219" w:lineRule="auto"/>
              <w:rPr>
                <w:sz w:val="16"/>
                <w:szCs w:val="16"/>
              </w:rPr>
            </w:pPr>
            <w:r>
              <w:rPr>
                <w:sz w:val="16"/>
                <w:szCs w:val="16"/>
                <w:spacing w:val="-2"/>
              </w:rPr>
              <w:t>生态环部</w:t>
            </w:r>
          </w:p>
        </w:tc>
        <w:tc>
          <w:tcPr>
            <w:tcW w:w="1628" w:type="dxa"/>
            <w:vAlign w:val="top"/>
          </w:tcPr>
          <w:p>
            <w:pPr>
              <w:pStyle w:val="TableText"/>
              <w:ind w:left="52" w:right="101" w:firstLine="30"/>
              <w:spacing w:before="53" w:line="228" w:lineRule="auto"/>
              <w:rPr>
                <w:sz w:val="16"/>
                <w:szCs w:val="16"/>
              </w:rPr>
            </w:pPr>
            <w:r>
              <w:rPr>
                <w:sz w:val="16"/>
                <w:szCs w:val="16"/>
                <w:spacing w:val="-1"/>
              </w:rPr>
              <w:t>在解外达行营时性风</w:t>
            </w:r>
            <w:r>
              <w:rPr>
                <w:sz w:val="16"/>
                <w:szCs w:val="16"/>
                <w:spacing w:val="2"/>
              </w:rPr>
              <w:t xml:space="preserve"> </w:t>
            </w:r>
            <w:r>
              <w:rPr>
                <w:sz w:val="16"/>
                <w:szCs w:val="16"/>
                <w:spacing w:val="-1"/>
              </w:rPr>
              <w:t>位素示味试验审批</w:t>
            </w:r>
          </w:p>
        </w:tc>
        <w:tc>
          <w:tcPr>
            <w:tcW w:w="2377" w:type="dxa"/>
            <w:vAlign w:val="top"/>
          </w:tcPr>
          <w:p>
            <w:pPr>
              <w:pStyle w:val="TableText"/>
              <w:ind w:left="64"/>
              <w:spacing w:before="153" w:line="219" w:lineRule="auto"/>
              <w:rPr>
                <w:sz w:val="16"/>
                <w:szCs w:val="16"/>
              </w:rPr>
            </w:pPr>
            <w:r>
              <w:rPr>
                <w:sz w:val="16"/>
                <w:szCs w:val="16"/>
                <w:spacing w:val="1"/>
              </w:rPr>
              <w:t>生击环地郁，省城生生环境部门</w:t>
            </w:r>
          </w:p>
        </w:tc>
        <w:tc>
          <w:tcPr>
            <w:tcW w:w="3711" w:type="dxa"/>
            <w:vAlign w:val="top"/>
          </w:tcPr>
          <w:p>
            <w:pPr>
              <w:pStyle w:val="TableText"/>
              <w:spacing w:before="53" w:line="219" w:lineRule="auto"/>
              <w:rPr>
                <w:sz w:val="16"/>
                <w:szCs w:val="16"/>
              </w:rPr>
            </w:pPr>
            <w:r>
              <w:rPr>
                <w:sz w:val="16"/>
                <w:szCs w:val="16"/>
                <w:spacing w:val="-3"/>
              </w:rPr>
              <w:t>《放射性同位素与射丝装置安全和阳护签例》</w:t>
            </w:r>
          </w:p>
          <w:p>
            <w:pPr>
              <w:pStyle w:val="TableText"/>
              <w:spacing w:before="19" w:line="214" w:lineRule="auto"/>
              <w:rPr>
                <w:sz w:val="16"/>
                <w:szCs w:val="16"/>
              </w:rPr>
            </w:pPr>
            <w:r>
              <w:rPr>
                <w:sz w:val="16"/>
                <w:szCs w:val="16"/>
                <w:spacing w:val="-3"/>
              </w:rPr>
              <w:t>《放射性同位嘉与射线装置安全许可管直办法》</w:t>
            </w:r>
          </w:p>
        </w:tc>
      </w:tr>
      <w:tr>
        <w:trPr>
          <w:trHeight w:val="449" w:hRule="atLeast"/>
        </w:trPr>
        <w:tc>
          <w:tcPr>
            <w:tcW w:w="594" w:type="dxa"/>
            <w:vAlign w:val="top"/>
          </w:tcPr>
          <w:p>
            <w:pPr>
              <w:pStyle w:val="TableText"/>
              <w:ind w:left="164"/>
              <w:spacing w:before="195" w:line="184" w:lineRule="auto"/>
              <w:rPr>
                <w:sz w:val="16"/>
                <w:szCs w:val="16"/>
              </w:rPr>
            </w:pPr>
            <w:r>
              <w:rPr>
                <w:sz w:val="16"/>
                <w:szCs w:val="16"/>
                <w:spacing w:val="-2"/>
              </w:rPr>
              <w:t>221</w:t>
            </w:r>
          </w:p>
        </w:tc>
        <w:tc>
          <w:tcPr>
            <w:tcW w:w="1299" w:type="dxa"/>
            <w:vAlign w:val="top"/>
          </w:tcPr>
          <w:p>
            <w:pPr>
              <w:pStyle w:val="TableText"/>
              <w:ind w:left="241"/>
              <w:spacing w:before="155" w:line="220" w:lineRule="auto"/>
              <w:rPr>
                <w:sz w:val="16"/>
                <w:szCs w:val="16"/>
              </w:rPr>
            </w:pPr>
            <w:r>
              <w:rPr>
                <w:sz w:val="16"/>
                <w:szCs w:val="16"/>
                <w:spacing w:val="-2"/>
              </w:rPr>
              <w:t>生态苏境面</w:t>
            </w:r>
          </w:p>
        </w:tc>
        <w:tc>
          <w:tcPr>
            <w:tcW w:w="1628" w:type="dxa"/>
            <w:vAlign w:val="top"/>
          </w:tcPr>
          <w:p>
            <w:pPr>
              <w:pStyle w:val="TableText"/>
              <w:ind w:left="62" w:right="104" w:firstLine="20"/>
              <w:spacing w:before="44" w:line="226" w:lineRule="auto"/>
              <w:rPr>
                <w:sz w:val="16"/>
                <w:szCs w:val="16"/>
              </w:rPr>
            </w:pPr>
            <w:r>
              <w:rPr>
                <w:sz w:val="16"/>
                <w:szCs w:val="16"/>
                <w:spacing w:val="-1"/>
              </w:rPr>
              <w:t>一美旋制性物品运禁</w:t>
            </w:r>
            <w:r>
              <w:rPr>
                <w:sz w:val="16"/>
                <w:szCs w:val="16"/>
              </w:rPr>
              <w:t xml:space="preserve"> </w:t>
            </w:r>
            <w:r>
              <w:rPr>
                <w:sz w:val="16"/>
                <w:szCs w:val="16"/>
                <w:spacing w:val="-2"/>
              </w:rPr>
              <w:t>容要设计审批</w:t>
            </w:r>
          </w:p>
        </w:tc>
        <w:tc>
          <w:tcPr>
            <w:tcW w:w="2377" w:type="dxa"/>
            <w:vAlign w:val="top"/>
          </w:tcPr>
          <w:p>
            <w:pPr>
              <w:pStyle w:val="TableText"/>
              <w:ind w:left="64"/>
              <w:spacing w:before="154" w:line="219" w:lineRule="auto"/>
              <w:rPr>
                <w:sz w:val="16"/>
                <w:szCs w:val="16"/>
              </w:rPr>
            </w:pPr>
            <w:r>
              <w:rPr>
                <w:sz w:val="16"/>
                <w:szCs w:val="16"/>
                <w:spacing w:val="-2"/>
              </w:rPr>
              <w:t>生支环境部</w:t>
            </w:r>
          </w:p>
        </w:tc>
        <w:tc>
          <w:tcPr>
            <w:tcW w:w="3711" w:type="dxa"/>
            <w:vAlign w:val="top"/>
          </w:tcPr>
          <w:p>
            <w:pPr>
              <w:pStyle w:val="TableText"/>
              <w:spacing w:before="154" w:line="219" w:lineRule="auto"/>
              <w:rPr>
                <w:sz w:val="16"/>
                <w:szCs w:val="16"/>
              </w:rPr>
            </w:pPr>
            <w:r>
              <w:rPr>
                <w:sz w:val="16"/>
                <w:szCs w:val="16"/>
                <w:spacing w:val="-3"/>
              </w:rPr>
              <w:t>《放射作物是运献实全管理条侧》</w:t>
            </w:r>
          </w:p>
        </w:tc>
      </w:tr>
      <w:tr>
        <w:trPr>
          <w:trHeight w:val="524" w:hRule="atLeast"/>
        </w:trPr>
        <w:tc>
          <w:tcPr>
            <w:tcW w:w="594" w:type="dxa"/>
            <w:vAlign w:val="top"/>
          </w:tcPr>
          <w:p>
            <w:pPr>
              <w:pStyle w:val="TableText"/>
              <w:ind w:left="164"/>
              <w:spacing w:before="226" w:line="183" w:lineRule="auto"/>
              <w:rPr>
                <w:sz w:val="16"/>
                <w:szCs w:val="16"/>
              </w:rPr>
            </w:pPr>
            <w:r>
              <w:rPr>
                <w:sz w:val="16"/>
                <w:szCs w:val="16"/>
                <w:spacing w:val="-2"/>
              </w:rPr>
              <w:t>20%</w:t>
            </w:r>
          </w:p>
        </w:tc>
        <w:tc>
          <w:tcPr>
            <w:tcW w:w="1299" w:type="dxa"/>
            <w:vAlign w:val="top"/>
          </w:tcPr>
          <w:p>
            <w:pPr>
              <w:pStyle w:val="TableText"/>
              <w:ind w:left="241"/>
              <w:spacing w:before="184" w:line="219" w:lineRule="auto"/>
              <w:rPr>
                <w:sz w:val="16"/>
                <w:szCs w:val="16"/>
              </w:rPr>
            </w:pPr>
            <w:r>
              <w:rPr>
                <w:sz w:val="16"/>
                <w:szCs w:val="16"/>
                <w:spacing w:val="-2"/>
              </w:rPr>
              <w:t>生零茆境蛋</w:t>
            </w:r>
          </w:p>
        </w:tc>
        <w:tc>
          <w:tcPr>
            <w:tcW w:w="1628" w:type="dxa"/>
            <w:vAlign w:val="top"/>
          </w:tcPr>
          <w:p>
            <w:pPr>
              <w:pStyle w:val="TableText"/>
              <w:ind w:left="52" w:right="183" w:firstLine="109"/>
              <w:spacing w:before="94" w:line="232" w:lineRule="auto"/>
              <w:rPr>
                <w:sz w:val="16"/>
                <w:szCs w:val="16"/>
              </w:rPr>
            </w:pPr>
            <w:r>
              <w:rPr>
                <w:sz w:val="16"/>
                <w:szCs w:val="16"/>
                <w:spacing w:val="-1"/>
              </w:rPr>
              <w:t>吴放射性物品运输</w:t>
            </w:r>
            <w:r>
              <w:rPr>
                <w:sz w:val="16"/>
                <w:szCs w:val="16"/>
              </w:rPr>
              <w:t xml:space="preserve"> </w:t>
            </w:r>
            <w:r>
              <w:rPr>
                <w:sz w:val="16"/>
                <w:szCs w:val="16"/>
                <w:spacing w:val="-2"/>
              </w:rPr>
              <w:t>容蓬解查许可</w:t>
            </w:r>
          </w:p>
        </w:tc>
        <w:tc>
          <w:tcPr>
            <w:tcW w:w="2377" w:type="dxa"/>
            <w:vAlign w:val="top"/>
          </w:tcPr>
          <w:p>
            <w:pPr>
              <w:pStyle w:val="TableText"/>
              <w:ind w:left="64"/>
              <w:spacing w:before="185" w:line="219" w:lineRule="auto"/>
              <w:rPr>
                <w:sz w:val="16"/>
                <w:szCs w:val="16"/>
              </w:rPr>
            </w:pPr>
            <w:r>
              <w:rPr>
                <w:sz w:val="16"/>
                <w:szCs w:val="16"/>
                <w:spacing w:val="-2"/>
              </w:rPr>
              <w:t>生志环境部</w:t>
            </w:r>
          </w:p>
        </w:tc>
        <w:tc>
          <w:tcPr>
            <w:tcW w:w="3711" w:type="dxa"/>
            <w:vAlign w:val="top"/>
          </w:tcPr>
          <w:p>
            <w:pPr>
              <w:pStyle w:val="TableText"/>
              <w:ind w:left="46"/>
              <w:spacing w:before="185" w:line="219" w:lineRule="auto"/>
              <w:rPr>
                <w:sz w:val="16"/>
                <w:szCs w:val="16"/>
              </w:rPr>
            </w:pPr>
            <w:r>
              <w:rPr>
                <w:sz w:val="16"/>
                <w:szCs w:val="16"/>
                <w:spacing w:val="-1"/>
              </w:rPr>
              <w:t>4放射性物品是财安全管理条例》</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45632" behindDoc="0" locked="0" layoutInCell="0" allowOverlap="1">
                <wp:simplePos x="0" y="0"/>
                <wp:positionH relativeFrom="page">
                  <wp:posOffset>458917</wp:posOffset>
                </wp:positionH>
                <wp:positionV relativeFrom="page">
                  <wp:posOffset>620987</wp:posOffset>
                </wp:positionV>
                <wp:extent cx="175260" cy="165100"/>
                <wp:effectExtent l="0" t="0" r="0" b="0"/>
                <wp:wrapNone/>
                <wp:docPr id="210" name="TextBox 210"/>
                <wp:cNvGraphicFramePr/>
                <a:graphic>
                  <a:graphicData uri="http://schemas.microsoft.com/office/word/2010/wordprocessingShape">
                    <wps:wsp>
                      <wps:cNvSpPr txBox="1"/>
                      <wps:spPr>
                        <a:xfrm rot="5400000">
                          <a:off x="458917" y="620987"/>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2" style="position:absolute;margin-left:36.1352pt;margin-top:48.8967pt;mso-position-vertical-relative:page;mso-position-horizontal-relative:page;width:13.8pt;height:13pt;z-index:251845632;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186</w:t>
                      </w:r>
                    </w:p>
                  </w:txbxContent>
                </v:textbox>
              </v:shape>
            </w:pict>
          </mc:Fallback>
        </mc:AlternateContent>
      </w:r>
      <w:r/>
    </w:p>
    <w:tbl>
      <w:tblPr>
        <w:tblStyle w:val="TableNormal"/>
        <w:tblW w:w="9599" w:type="dxa"/>
        <w:tblInd w:w="34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38"/>
        <w:gridCol w:w="2367"/>
        <w:gridCol w:w="3711"/>
      </w:tblGrid>
      <w:tr>
        <w:trPr>
          <w:trHeight w:val="424" w:hRule="atLeast"/>
        </w:trPr>
        <w:tc>
          <w:tcPr>
            <w:tcW w:w="594" w:type="dxa"/>
            <w:vAlign w:val="top"/>
          </w:tcPr>
          <w:p>
            <w:pPr>
              <w:pStyle w:val="TableText"/>
              <w:ind w:left="127"/>
              <w:spacing w:before="130" w:line="221" w:lineRule="auto"/>
              <w:rPr>
                <w:sz w:val="16"/>
                <w:szCs w:val="16"/>
              </w:rPr>
            </w:pPr>
            <w:r>
              <w:rPr>
                <w:sz w:val="16"/>
                <w:szCs w:val="16"/>
                <w:b/>
                <w:bCs/>
                <w:spacing w:val="-4"/>
              </w:rPr>
              <w:t>序号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54"/>
              <w:spacing w:before="130" w:line="219" w:lineRule="auto"/>
              <w:rPr>
                <w:sz w:val="16"/>
                <w:szCs w:val="16"/>
              </w:rPr>
            </w:pPr>
            <w:r>
              <w:rPr>
                <w:sz w:val="16"/>
                <w:szCs w:val="16"/>
                <w:spacing w:val="-2"/>
              </w:rPr>
              <w:t>实值机关</w:t>
            </w:r>
          </w:p>
        </w:tc>
        <w:tc>
          <w:tcPr>
            <w:tcW w:w="3711" w:type="dxa"/>
            <w:vAlign w:val="top"/>
          </w:tcPr>
          <w:p>
            <w:pPr>
              <w:pStyle w:val="TableText"/>
              <w:ind w:left="1309"/>
              <w:spacing w:before="128" w:line="219" w:lineRule="auto"/>
              <w:rPr>
                <w:sz w:val="16"/>
                <w:szCs w:val="16"/>
              </w:rPr>
            </w:pPr>
            <w:r>
              <w:rPr>
                <w:sz w:val="16"/>
                <w:szCs w:val="16"/>
                <w:b/>
                <w:bCs/>
                <w:spacing w:val="-3"/>
              </w:rPr>
              <w:t>设定和其施依据</w:t>
            </w:r>
          </w:p>
        </w:tc>
      </w:tr>
      <w:tr>
        <w:trPr>
          <w:trHeight w:val="699" w:hRule="atLeast"/>
        </w:trPr>
        <w:tc>
          <w:tcPr>
            <w:tcW w:w="594" w:type="dxa"/>
            <w:vAlign w:val="top"/>
          </w:tcPr>
          <w:p>
            <w:pPr>
              <w:spacing w:line="255" w:lineRule="auto"/>
              <w:rPr>
                <w:rFonts w:ascii="Arial"/>
                <w:sz w:val="21"/>
              </w:rPr>
            </w:pPr>
            <w:r/>
          </w:p>
          <w:p>
            <w:pPr>
              <w:pStyle w:val="TableText"/>
              <w:ind w:left="164"/>
              <w:spacing w:before="52" w:line="183" w:lineRule="auto"/>
              <w:rPr>
                <w:sz w:val="16"/>
                <w:szCs w:val="16"/>
              </w:rPr>
            </w:pPr>
            <w:r>
              <w:rPr>
                <w:sz w:val="16"/>
                <w:szCs w:val="16"/>
                <w:spacing w:val="-2"/>
              </w:rPr>
              <w:t>227</w:t>
            </w:r>
          </w:p>
        </w:tc>
        <w:tc>
          <w:tcPr>
            <w:tcW w:w="1289" w:type="dxa"/>
            <w:vAlign w:val="top"/>
          </w:tcPr>
          <w:p>
            <w:pPr>
              <w:pStyle w:val="TableText"/>
              <w:ind w:left="231"/>
              <w:spacing w:before="268" w:line="220" w:lineRule="auto"/>
              <w:rPr>
                <w:sz w:val="16"/>
                <w:szCs w:val="16"/>
              </w:rPr>
            </w:pPr>
            <w:r>
              <w:rPr>
                <w:sz w:val="16"/>
                <w:szCs w:val="16"/>
                <w:spacing w:val="-2"/>
              </w:rPr>
              <w:t>生态环镜界</w:t>
            </w:r>
          </w:p>
        </w:tc>
        <w:tc>
          <w:tcPr>
            <w:tcW w:w="1638" w:type="dxa"/>
            <w:vAlign w:val="top"/>
          </w:tcPr>
          <w:p>
            <w:pPr>
              <w:pStyle w:val="TableText"/>
              <w:ind w:left="22" w:right="102" w:firstLine="69"/>
              <w:spacing w:before="76" w:line="224" w:lineRule="auto"/>
              <w:jc w:val="both"/>
              <w:rPr>
                <w:sz w:val="16"/>
                <w:szCs w:val="16"/>
              </w:rPr>
            </w:pPr>
            <w:r>
              <w:rPr>
                <w:sz w:val="16"/>
                <w:szCs w:val="16"/>
                <w:spacing w:val="-1"/>
              </w:rPr>
              <w:t>使用境外单位能量的</w:t>
            </w:r>
            <w:r>
              <w:rPr>
                <w:sz w:val="16"/>
                <w:szCs w:val="16"/>
                <w:spacing w:val="1"/>
              </w:rPr>
              <w:t xml:space="preserve"> </w:t>
            </w:r>
            <w:r>
              <w:rPr>
                <w:sz w:val="16"/>
                <w:szCs w:val="16"/>
                <w:spacing w:val="6"/>
              </w:rPr>
              <w:t>一类放射性物品运输 </w:t>
            </w:r>
            <w:r>
              <w:rPr>
                <w:sz w:val="16"/>
                <w:szCs w:val="16"/>
                <w:spacing w:val="-2"/>
              </w:rPr>
              <w:t>容器审批</w:t>
            </w:r>
          </w:p>
        </w:tc>
        <w:tc>
          <w:tcPr>
            <w:tcW w:w="2367" w:type="dxa"/>
            <w:vAlign w:val="top"/>
          </w:tcPr>
          <w:p>
            <w:pPr>
              <w:pStyle w:val="TableText"/>
              <w:ind w:left="44"/>
              <w:spacing w:before="267" w:line="219" w:lineRule="auto"/>
              <w:rPr>
                <w:sz w:val="16"/>
                <w:szCs w:val="16"/>
              </w:rPr>
            </w:pPr>
            <w:r>
              <w:rPr>
                <w:sz w:val="16"/>
                <w:szCs w:val="16"/>
                <w:spacing w:val="-2"/>
              </w:rPr>
              <w:t>生古环境都</w:t>
            </w:r>
          </w:p>
        </w:tc>
        <w:tc>
          <w:tcPr>
            <w:tcW w:w="3711" w:type="dxa"/>
            <w:vAlign w:val="top"/>
          </w:tcPr>
          <w:p>
            <w:pPr>
              <w:pStyle w:val="TableText"/>
              <w:ind w:left="46"/>
              <w:spacing w:before="267" w:line="219" w:lineRule="auto"/>
              <w:rPr>
                <w:sz w:val="16"/>
                <w:szCs w:val="16"/>
              </w:rPr>
            </w:pPr>
            <w:r>
              <w:rPr>
                <w:sz w:val="16"/>
                <w:szCs w:val="16"/>
                <w:spacing w:val="-1"/>
              </w:rPr>
              <w:t>(放射性物品运输安全管理条例》</w:t>
            </w:r>
          </w:p>
        </w:tc>
      </w:tr>
      <w:tr>
        <w:trPr>
          <w:trHeight w:val="699" w:hRule="atLeast"/>
        </w:trPr>
        <w:tc>
          <w:tcPr>
            <w:tcW w:w="594" w:type="dxa"/>
            <w:vAlign w:val="top"/>
          </w:tcPr>
          <w:p>
            <w:pPr>
              <w:spacing w:line="256" w:lineRule="auto"/>
              <w:rPr>
                <w:rFonts w:ascii="Arial"/>
                <w:sz w:val="21"/>
              </w:rPr>
            </w:pPr>
            <w:r/>
          </w:p>
          <w:p>
            <w:pPr>
              <w:pStyle w:val="TableText"/>
              <w:ind w:left="164"/>
              <w:spacing w:before="52" w:line="183" w:lineRule="auto"/>
              <w:rPr>
                <w:sz w:val="16"/>
                <w:szCs w:val="16"/>
              </w:rPr>
            </w:pPr>
            <w:r>
              <w:rPr>
                <w:sz w:val="16"/>
                <w:szCs w:val="16"/>
                <w:spacing w:val="-2"/>
              </w:rPr>
              <w:t>228</w:t>
            </w:r>
          </w:p>
        </w:tc>
        <w:tc>
          <w:tcPr>
            <w:tcW w:w="1289" w:type="dxa"/>
            <w:vAlign w:val="top"/>
          </w:tcPr>
          <w:p>
            <w:pPr>
              <w:pStyle w:val="TableText"/>
              <w:ind w:left="231"/>
              <w:spacing w:before="268" w:line="219" w:lineRule="auto"/>
              <w:rPr>
                <w:sz w:val="16"/>
                <w:szCs w:val="16"/>
              </w:rPr>
            </w:pPr>
            <w:r>
              <w:rPr>
                <w:sz w:val="16"/>
                <w:szCs w:val="16"/>
                <w:spacing w:val="-2"/>
              </w:rPr>
              <w:t>生克环境部</w:t>
            </w:r>
          </w:p>
        </w:tc>
        <w:tc>
          <w:tcPr>
            <w:tcW w:w="1638" w:type="dxa"/>
            <w:vAlign w:val="top"/>
          </w:tcPr>
          <w:p>
            <w:pPr>
              <w:pStyle w:val="TableText"/>
              <w:ind w:left="42" w:right="89" w:firstLine="49"/>
              <w:spacing w:before="68" w:line="230" w:lineRule="auto"/>
              <w:jc w:val="both"/>
              <w:rPr>
                <w:sz w:val="16"/>
                <w:szCs w:val="16"/>
              </w:rPr>
            </w:pPr>
            <w:r>
              <w:rPr>
                <w:sz w:val="16"/>
                <w:szCs w:val="16"/>
                <w:spacing w:val="-1"/>
              </w:rPr>
              <w:t>一类放射性物品运输</w:t>
            </w:r>
            <w:r>
              <w:rPr>
                <w:sz w:val="16"/>
                <w:szCs w:val="16"/>
              </w:rPr>
              <w:t xml:space="preserve"> </w:t>
            </w:r>
            <w:r>
              <w:rPr>
                <w:sz w:val="16"/>
                <w:szCs w:val="16"/>
                <w:spacing w:val="6"/>
              </w:rPr>
              <w:t>的柱与别射安全分析</w:t>
            </w:r>
            <w:r>
              <w:rPr>
                <w:sz w:val="16"/>
                <w:szCs w:val="16"/>
                <w:spacing w:val="1"/>
              </w:rPr>
              <w:t xml:space="preserve"> </w:t>
            </w:r>
            <w:r>
              <w:rPr>
                <w:sz w:val="16"/>
                <w:szCs w:val="16"/>
                <w:spacing w:val="-1"/>
              </w:rPr>
              <w:t>推告书审批</w:t>
            </w:r>
          </w:p>
        </w:tc>
        <w:tc>
          <w:tcPr>
            <w:tcW w:w="2367" w:type="dxa"/>
            <w:vAlign w:val="top"/>
          </w:tcPr>
          <w:p>
            <w:pPr>
              <w:pStyle w:val="TableText"/>
              <w:ind w:left="54"/>
              <w:spacing w:before="269" w:line="220" w:lineRule="auto"/>
              <w:rPr>
                <w:sz w:val="16"/>
                <w:szCs w:val="16"/>
              </w:rPr>
            </w:pPr>
            <w:r>
              <w:rPr>
                <w:sz w:val="16"/>
                <w:szCs w:val="16"/>
                <w:spacing w:val="-2"/>
              </w:rPr>
              <w:t>生态环填落</w:t>
            </w:r>
          </w:p>
        </w:tc>
        <w:tc>
          <w:tcPr>
            <w:tcW w:w="3711" w:type="dxa"/>
            <w:vAlign w:val="top"/>
          </w:tcPr>
          <w:p>
            <w:pPr>
              <w:pStyle w:val="TableText"/>
              <w:spacing w:before="268" w:line="219" w:lineRule="auto"/>
              <w:rPr>
                <w:sz w:val="16"/>
                <w:szCs w:val="16"/>
              </w:rPr>
            </w:pPr>
            <w:r>
              <w:rPr>
                <w:sz w:val="16"/>
                <w:szCs w:val="16"/>
                <w:spacing w:val="-4"/>
              </w:rPr>
              <w:t>《放射性物品运输安全管理条例</w:t>
            </w:r>
          </w:p>
        </w:tc>
      </w:tr>
      <w:tr>
        <w:trPr>
          <w:trHeight w:val="1917" w:hRule="atLeast"/>
        </w:trPr>
        <w:tc>
          <w:tcPr>
            <w:tcW w:w="594" w:type="dxa"/>
            <w:vAlign w:val="top"/>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64"/>
              <w:spacing w:before="52" w:line="183" w:lineRule="auto"/>
              <w:rPr>
                <w:sz w:val="16"/>
                <w:szCs w:val="16"/>
              </w:rPr>
            </w:pPr>
            <w:r>
              <w:rPr>
                <w:sz w:val="16"/>
                <w:szCs w:val="16"/>
                <w:spacing w:val="-2"/>
              </w:rPr>
              <w:t>220</w:t>
            </w:r>
          </w:p>
        </w:tc>
        <w:tc>
          <w:tcPr>
            <w:tcW w:w="128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70"/>
              <w:spacing w:before="52" w:line="219" w:lineRule="auto"/>
              <w:rPr>
                <w:sz w:val="16"/>
                <w:szCs w:val="16"/>
              </w:rPr>
            </w:pPr>
            <w:r>
              <w:rPr>
                <w:sz w:val="16"/>
                <w:szCs w:val="16"/>
                <w:spacing w:val="-1"/>
              </w:rPr>
              <w:t>住房城乡建设而</w:t>
            </w:r>
          </w:p>
        </w:tc>
        <w:tc>
          <w:tcPr>
            <w:tcW w:w="1638"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91"/>
              <w:spacing w:before="52" w:line="220" w:lineRule="auto"/>
              <w:rPr>
                <w:sz w:val="16"/>
                <w:szCs w:val="16"/>
              </w:rPr>
            </w:pPr>
            <w:r>
              <w:rPr>
                <w:sz w:val="16"/>
                <w:szCs w:val="16"/>
                <w:spacing w:val="-1"/>
              </w:rPr>
              <w:t>建筑业企业资质认定</w:t>
            </w:r>
          </w:p>
        </w:tc>
        <w:tc>
          <w:tcPr>
            <w:tcW w:w="2367" w:type="dxa"/>
            <w:vAlign w:val="top"/>
          </w:tcPr>
          <w:p>
            <w:pPr>
              <w:pStyle w:val="TableText"/>
              <w:ind w:left="14" w:right="29" w:firstLine="79"/>
              <w:spacing w:before="58" w:line="231" w:lineRule="auto"/>
              <w:jc w:val="both"/>
              <w:rPr>
                <w:sz w:val="16"/>
                <w:szCs w:val="16"/>
              </w:rPr>
            </w:pPr>
            <w:r>
              <w:rPr>
                <w:sz w:val="16"/>
                <w:szCs w:val="16"/>
                <w:spacing w:val="-1"/>
              </w:rPr>
              <w:t>住房城多智设部(否及公路，水</w:t>
            </w:r>
            <w:r>
              <w:rPr>
                <w:sz w:val="16"/>
                <w:szCs w:val="16"/>
                <w:spacing w:val="3"/>
              </w:rPr>
              <w:t xml:space="preserve">  </w:t>
            </w:r>
            <w:r>
              <w:rPr>
                <w:sz w:val="16"/>
                <w:szCs w:val="16"/>
                <w:spacing w:val="-1"/>
              </w:rPr>
              <w:t>远.水刷，电于通信，铁路，民族</w:t>
            </w:r>
            <w:r>
              <w:rPr>
                <w:sz w:val="16"/>
                <w:szCs w:val="16"/>
                <w:spacing w:val="7"/>
              </w:rPr>
              <w:t xml:space="preserve"> </w:t>
            </w:r>
            <w:r>
              <w:rPr>
                <w:sz w:val="16"/>
                <w:szCs w:val="16"/>
                <w:spacing w:val="2"/>
              </w:rPr>
              <w:t>总来包和专业承也旋质的，即批</w:t>
            </w:r>
            <w:r>
              <w:rPr>
                <w:sz w:val="16"/>
                <w:szCs w:val="16"/>
              </w:rPr>
              <w:t xml:space="preserve"> </w:t>
            </w:r>
            <w:r>
              <w:rPr>
                <w:sz w:val="16"/>
                <w:szCs w:val="16"/>
                <w:spacing w:val="4"/>
              </w:rPr>
              <w:t>时证求有关行业主管重门意</w:t>
            </w:r>
          </w:p>
          <w:p>
            <w:pPr>
              <w:pStyle w:val="TableText"/>
              <w:ind w:left="54"/>
              <w:spacing w:before="17" w:line="229" w:lineRule="auto"/>
              <w:rPr>
                <w:sz w:val="16"/>
                <w:szCs w:val="16"/>
              </w:rPr>
            </w:pPr>
            <w:r>
              <w:rPr>
                <w:sz w:val="16"/>
                <w:szCs w:val="16"/>
                <w:spacing w:val="1"/>
              </w:rPr>
              <w:t>见，省级，设区的市级佳房城乡</w:t>
            </w:r>
            <w:r>
              <w:rPr>
                <w:sz w:val="16"/>
                <w:szCs w:val="16"/>
                <w:spacing w:val="2"/>
              </w:rPr>
              <w:t xml:space="preserve"> </w:t>
            </w:r>
            <w:r>
              <w:rPr>
                <w:sz w:val="16"/>
                <w:szCs w:val="16"/>
                <w:spacing w:val="2"/>
              </w:rPr>
              <w:t>垫设猫门(市及公路，水运，水</w:t>
            </w:r>
            <w:r>
              <w:rPr>
                <w:sz w:val="16"/>
                <w:szCs w:val="16"/>
              </w:rPr>
              <w:t xml:space="preserve">  </w:t>
            </w:r>
            <w:r>
              <w:rPr>
                <w:sz w:val="16"/>
                <w:szCs w:val="16"/>
                <w:spacing w:val="-7"/>
              </w:rPr>
              <w:t>利，电子活结，钱路、民航总承包</w:t>
            </w:r>
            <w:r>
              <w:rPr>
                <w:sz w:val="16"/>
                <w:szCs w:val="16"/>
                <w:spacing w:val="6"/>
              </w:rPr>
              <w:t xml:space="preserve"> </w:t>
            </w:r>
            <w:r>
              <w:rPr>
                <w:sz w:val="16"/>
                <w:szCs w:val="16"/>
                <w:spacing w:val="-1"/>
              </w:rPr>
              <w:t>和专业承包凭质的，审批时在录</w:t>
            </w:r>
            <w:r>
              <w:rPr>
                <w:sz w:val="16"/>
                <w:szCs w:val="16"/>
                <w:spacing w:val="1"/>
              </w:rPr>
              <w:t xml:space="preserve">  </w:t>
            </w:r>
            <w:r>
              <w:rPr>
                <w:sz w:val="16"/>
                <w:szCs w:val="16"/>
                <w:spacing w:val="-1"/>
              </w:rPr>
              <w:t>有类行象主管润门竞鬼》</w:t>
            </w:r>
          </w:p>
        </w:tc>
        <w:tc>
          <w:tcPr>
            <w:tcW w:w="3711" w:type="dxa"/>
            <w:vAlign w:val="top"/>
          </w:tcPr>
          <w:p>
            <w:pPr>
              <w:spacing w:line="306" w:lineRule="auto"/>
              <w:rPr>
                <w:rFonts w:ascii="Arial"/>
                <w:sz w:val="21"/>
              </w:rPr>
            </w:pPr>
            <w:r/>
          </w:p>
          <w:p>
            <w:pPr>
              <w:spacing w:line="307" w:lineRule="auto"/>
              <w:rPr>
                <w:rFonts w:ascii="Arial"/>
                <w:sz w:val="21"/>
              </w:rPr>
            </w:pPr>
            <w:r/>
          </w:p>
          <w:p>
            <w:pPr>
              <w:pStyle w:val="TableText"/>
              <w:ind w:left="46"/>
              <w:spacing w:before="52" w:line="219" w:lineRule="auto"/>
              <w:rPr>
                <w:sz w:val="16"/>
                <w:szCs w:val="16"/>
              </w:rPr>
            </w:pPr>
            <w:r>
              <w:rPr>
                <w:sz w:val="16"/>
                <w:szCs w:val="16"/>
                <w:spacing w:val="-1"/>
              </w:rPr>
              <w:t>1中作人民共和国建筑法》</w:t>
            </w:r>
          </w:p>
          <w:p>
            <w:pPr>
              <w:pStyle w:val="TableText"/>
              <w:ind w:left="46"/>
              <w:spacing w:before="9" w:line="230" w:lineRule="exact"/>
              <w:rPr>
                <w:sz w:val="16"/>
                <w:szCs w:val="16"/>
              </w:rPr>
            </w:pPr>
            <w:r>
              <w:rPr>
                <w:sz w:val="16"/>
                <w:szCs w:val="16"/>
                <w:spacing w:val="2"/>
                <w:position w:val="5"/>
              </w:rPr>
              <w:t>t建设工程度量管理条例)</w:t>
            </w:r>
          </w:p>
          <w:p>
            <w:pPr>
              <w:pStyle w:val="TableText"/>
              <w:ind w:left="46"/>
              <w:spacing w:line="219" w:lineRule="auto"/>
              <w:rPr>
                <w:sz w:val="16"/>
                <w:szCs w:val="16"/>
              </w:rPr>
            </w:pPr>
            <w:r>
              <w:rPr>
                <w:sz w:val="16"/>
                <w:szCs w:val="16"/>
                <w:spacing w:val="-1"/>
              </w:rPr>
              <w:t>(速复业企业贸质管理规定》</w:t>
            </w:r>
          </w:p>
        </w:tc>
      </w:tr>
      <w:tr>
        <w:trPr>
          <w:trHeight w:val="898" w:hRule="atLeast"/>
        </w:trPr>
        <w:tc>
          <w:tcPr>
            <w:tcW w:w="594" w:type="dxa"/>
            <w:vAlign w:val="top"/>
          </w:tcPr>
          <w:p>
            <w:pPr>
              <w:spacing w:line="359" w:lineRule="auto"/>
              <w:rPr>
                <w:rFonts w:ascii="Arial"/>
                <w:sz w:val="21"/>
              </w:rPr>
            </w:pPr>
            <w:r/>
          </w:p>
          <w:p>
            <w:pPr>
              <w:pStyle w:val="TableText"/>
              <w:ind w:left="164"/>
              <w:spacing w:before="52" w:line="183" w:lineRule="auto"/>
              <w:rPr>
                <w:sz w:val="16"/>
                <w:szCs w:val="16"/>
              </w:rPr>
            </w:pPr>
            <w:r>
              <w:rPr>
                <w:sz w:val="16"/>
                <w:szCs w:val="16"/>
                <w:spacing w:val="-3"/>
              </w:rPr>
              <w:t>330</w:t>
            </w:r>
          </w:p>
        </w:tc>
        <w:tc>
          <w:tcPr>
            <w:tcW w:w="1289" w:type="dxa"/>
            <w:vAlign w:val="top"/>
          </w:tcPr>
          <w:p>
            <w:pPr>
              <w:spacing w:line="319" w:lineRule="auto"/>
              <w:rPr>
                <w:rFonts w:ascii="Arial"/>
                <w:sz w:val="21"/>
              </w:rPr>
            </w:pPr>
            <w:r/>
          </w:p>
          <w:p>
            <w:pPr>
              <w:pStyle w:val="TableText"/>
              <w:ind w:left="70"/>
              <w:spacing w:before="52" w:line="220" w:lineRule="auto"/>
              <w:rPr>
                <w:sz w:val="16"/>
                <w:szCs w:val="16"/>
              </w:rPr>
            </w:pPr>
            <w:r>
              <w:rPr>
                <w:sz w:val="16"/>
                <w:szCs w:val="16"/>
                <w:spacing w:val="-1"/>
              </w:rPr>
              <w:t>住房域乡建设你</w:t>
            </w:r>
          </w:p>
        </w:tc>
        <w:tc>
          <w:tcPr>
            <w:tcW w:w="1638" w:type="dxa"/>
            <w:vAlign w:val="top"/>
          </w:tcPr>
          <w:p>
            <w:pPr>
              <w:pStyle w:val="TableText"/>
              <w:ind w:left="72" w:right="104" w:firstLine="19"/>
              <w:spacing w:before="282" w:line="212" w:lineRule="auto"/>
              <w:rPr>
                <w:sz w:val="16"/>
                <w:szCs w:val="16"/>
              </w:rPr>
            </w:pPr>
            <w:r>
              <w:rPr>
                <w:sz w:val="16"/>
                <w:szCs w:val="16"/>
                <w:spacing w:val="-1"/>
              </w:rPr>
              <w:t>建设下程期架企业瓷</w:t>
            </w:r>
            <w:r>
              <w:rPr>
                <w:sz w:val="16"/>
                <w:szCs w:val="16"/>
              </w:rPr>
              <w:t xml:space="preserve"> </w:t>
            </w:r>
            <w:r>
              <w:rPr>
                <w:sz w:val="16"/>
                <w:szCs w:val="16"/>
                <w:spacing w:val="-2"/>
              </w:rPr>
              <w:t>爆认定</w:t>
            </w:r>
          </w:p>
        </w:tc>
        <w:tc>
          <w:tcPr>
            <w:tcW w:w="2367" w:type="dxa"/>
            <w:vAlign w:val="top"/>
          </w:tcPr>
          <w:p>
            <w:pPr>
              <w:pStyle w:val="TableText"/>
              <w:ind w:left="93" w:right="68" w:hanging="39"/>
              <w:spacing w:before="261" w:line="237" w:lineRule="auto"/>
              <w:rPr>
                <w:sz w:val="16"/>
                <w:szCs w:val="16"/>
              </w:rPr>
            </w:pPr>
            <w:r>
              <w:rPr>
                <w:sz w:val="16"/>
                <w:szCs w:val="16"/>
                <w:spacing w:val="-1"/>
              </w:rPr>
              <w:t>住房暖多建议罪；省圾，说区的</w:t>
            </w:r>
            <w:r>
              <w:rPr>
                <w:sz w:val="16"/>
                <w:szCs w:val="16"/>
                <w:spacing w:val="7"/>
              </w:rPr>
              <w:t xml:space="preserve"> </w:t>
            </w:r>
            <w:r>
              <w:rPr>
                <w:sz w:val="16"/>
                <w:szCs w:val="16"/>
                <w:spacing w:val="1"/>
              </w:rPr>
              <w:t>电磁住房量去靠改部门</w:t>
            </w:r>
          </w:p>
        </w:tc>
        <w:tc>
          <w:tcPr>
            <w:tcW w:w="3711" w:type="dxa"/>
            <w:vAlign w:val="top"/>
          </w:tcPr>
          <w:p>
            <w:pPr>
              <w:pStyle w:val="TableText"/>
              <w:ind w:left="46"/>
              <w:spacing w:before="92" w:line="196" w:lineRule="auto"/>
              <w:rPr>
                <w:sz w:val="16"/>
                <w:szCs w:val="16"/>
              </w:rPr>
            </w:pPr>
            <w:r>
              <w:rPr>
                <w:sz w:val="16"/>
                <w:szCs w:val="16"/>
              </w:rPr>
              <w:t>1中早人民共和国建筑法</w:t>
            </w:r>
          </w:p>
          <w:p>
            <w:pPr>
              <w:pStyle w:val="TableText"/>
              <w:ind w:left="46"/>
              <w:spacing w:line="242" w:lineRule="auto"/>
              <w:rPr>
                <w:sz w:val="16"/>
                <w:szCs w:val="16"/>
              </w:rPr>
            </w:pPr>
            <w:r>
              <w:rPr>
                <w:sz w:val="16"/>
                <w:szCs w:val="16"/>
                <w:spacing w:val="-1"/>
              </w:rPr>
              <w:t>1建设工臣制电设计管理条例》</w:t>
            </w:r>
          </w:p>
          <w:p>
            <w:pPr>
              <w:pStyle w:val="TableText"/>
              <w:ind w:left="46"/>
              <w:spacing w:line="219" w:lineRule="auto"/>
              <w:rPr>
                <w:sz w:val="16"/>
                <w:szCs w:val="16"/>
              </w:rPr>
            </w:pPr>
            <w:r>
              <w:rPr>
                <w:sz w:val="16"/>
                <w:szCs w:val="16"/>
                <w:spacing w:val="-2"/>
              </w:rPr>
              <w:t>t建设工宿监量管理条外》</w:t>
            </w:r>
          </w:p>
          <w:p>
            <w:pPr>
              <w:pStyle w:val="TableText"/>
              <w:ind w:left="46"/>
              <w:spacing w:before="20" w:line="219" w:lineRule="auto"/>
              <w:rPr>
                <w:sz w:val="16"/>
                <w:szCs w:val="16"/>
              </w:rPr>
            </w:pPr>
            <w:r>
              <w:rPr>
                <w:sz w:val="16"/>
                <w:szCs w:val="16"/>
                <w:spacing w:val="2"/>
              </w:rPr>
              <w:t>(建设工程助察设计资质管理规定)</w:t>
            </w:r>
          </w:p>
        </w:tc>
      </w:tr>
      <w:tr>
        <w:trPr>
          <w:trHeight w:val="2002" w:hRule="atLeast"/>
        </w:trPr>
        <w:tc>
          <w:tcPr>
            <w:tcW w:w="594" w:type="dxa"/>
            <w:vAlign w:val="top"/>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pStyle w:val="TableText"/>
              <w:ind w:left="164"/>
              <w:spacing w:before="52" w:line="184" w:lineRule="auto"/>
              <w:rPr>
                <w:sz w:val="16"/>
                <w:szCs w:val="16"/>
              </w:rPr>
            </w:pPr>
            <w:r>
              <w:rPr>
                <w:sz w:val="16"/>
                <w:szCs w:val="16"/>
                <w:spacing w:val="-2"/>
              </w:rPr>
              <w:t>231</w:t>
            </w:r>
          </w:p>
        </w:tc>
        <w:tc>
          <w:tcPr>
            <w:tcW w:w="1289" w:type="dxa"/>
            <w:vAlign w:val="top"/>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70"/>
              <w:spacing w:before="52" w:line="219" w:lineRule="auto"/>
              <w:rPr>
                <w:sz w:val="16"/>
                <w:szCs w:val="16"/>
              </w:rPr>
            </w:pPr>
            <w:r>
              <w:rPr>
                <w:sz w:val="16"/>
                <w:szCs w:val="16"/>
                <w:spacing w:val="-1"/>
              </w:rPr>
              <w:t>住房城乡建设露</w:t>
            </w:r>
          </w:p>
        </w:tc>
        <w:tc>
          <w:tcPr>
            <w:tcW w:w="1638"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52" w:right="84" w:firstLine="39"/>
              <w:spacing w:before="52" w:line="242" w:lineRule="auto"/>
              <w:rPr>
                <w:sz w:val="16"/>
                <w:szCs w:val="16"/>
              </w:rPr>
            </w:pPr>
            <w:r>
              <w:rPr>
                <w:sz w:val="16"/>
                <w:szCs w:val="16"/>
                <w:spacing w:val="1"/>
              </w:rPr>
              <w:t>建设工理设计金业资 </w:t>
            </w:r>
            <w:r>
              <w:rPr>
                <w:sz w:val="16"/>
                <w:szCs w:val="16"/>
                <w:spacing w:val="-2"/>
              </w:rPr>
              <w:t>质化定</w:t>
            </w:r>
          </w:p>
        </w:tc>
        <w:tc>
          <w:tcPr>
            <w:tcW w:w="2367" w:type="dxa"/>
            <w:vAlign w:val="top"/>
          </w:tcPr>
          <w:p>
            <w:pPr>
              <w:pStyle w:val="TableText"/>
              <w:ind w:left="54" w:firstLine="39"/>
              <w:spacing w:before="113" w:line="231" w:lineRule="auto"/>
              <w:rPr>
                <w:sz w:val="16"/>
                <w:szCs w:val="16"/>
              </w:rPr>
            </w:pPr>
            <w:r>
              <w:rPr>
                <w:sz w:val="16"/>
                <w:szCs w:val="16"/>
                <w:spacing w:val="-3"/>
              </w:rPr>
              <w:t>住房城多建设解(涉及公路、水  </w:t>
            </w:r>
            <w:r>
              <w:rPr>
                <w:sz w:val="16"/>
                <w:szCs w:val="16"/>
                <w:spacing w:val="-8"/>
              </w:rPr>
              <w:t>运，水转，电子遇信，快路，民能</w:t>
            </w:r>
            <w:r>
              <w:rPr>
                <w:sz w:val="16"/>
                <w:szCs w:val="16"/>
                <w:spacing w:val="9"/>
              </w:rPr>
              <w:t xml:space="preserve"> </w:t>
            </w:r>
            <w:r>
              <w:rPr>
                <w:sz w:val="16"/>
                <w:szCs w:val="16"/>
                <w:spacing w:val="-2"/>
              </w:rPr>
              <w:t>行业和专业资质的，审指时征求</w:t>
            </w:r>
            <w:r>
              <w:rPr>
                <w:sz w:val="16"/>
                <w:szCs w:val="16"/>
              </w:rPr>
              <w:t xml:space="preserve">  </w:t>
            </w:r>
            <w:r>
              <w:rPr>
                <w:sz w:val="16"/>
                <w:szCs w:val="16"/>
                <w:spacing w:val="-2"/>
              </w:rPr>
              <w:t>有关行业主管命门意见》;省威。</w:t>
            </w:r>
          </w:p>
          <w:p>
            <w:pPr>
              <w:pStyle w:val="TableText"/>
              <w:ind w:left="14" w:right="16" w:firstLine="119"/>
              <w:spacing w:before="7" w:line="236" w:lineRule="auto"/>
              <w:rPr>
                <w:sz w:val="16"/>
                <w:szCs w:val="16"/>
              </w:rPr>
            </w:pPr>
            <w:r>
              <w:rPr>
                <w:sz w:val="16"/>
                <w:szCs w:val="16"/>
                <w:spacing w:val="1"/>
              </w:rPr>
              <w:t>设区的市做住房域乡建设军门</w:t>
            </w:r>
            <w:r>
              <w:rPr>
                <w:sz w:val="16"/>
                <w:szCs w:val="16"/>
                <w:spacing w:val="2"/>
              </w:rPr>
              <w:t xml:space="preserve">  </w:t>
            </w:r>
            <w:r>
              <w:rPr>
                <w:sz w:val="16"/>
                <w:szCs w:val="16"/>
              </w:rPr>
              <w:t>(涉及公路，水运、水利，也千通</w:t>
            </w:r>
            <w:r>
              <w:rPr>
                <w:sz w:val="16"/>
                <w:szCs w:val="16"/>
                <w:spacing w:val="5"/>
              </w:rPr>
              <w:t xml:space="preserve"> </w:t>
            </w:r>
            <w:r>
              <w:rPr>
                <w:sz w:val="16"/>
                <w:szCs w:val="16"/>
                <w:spacing w:val="4"/>
              </w:rPr>
              <w:t>值，饮路，民航行业和专业贸质</w:t>
            </w:r>
            <w:r>
              <w:rPr>
                <w:sz w:val="16"/>
                <w:szCs w:val="16"/>
              </w:rPr>
              <w:t xml:space="preserve"> </w:t>
            </w:r>
            <w:r>
              <w:rPr>
                <w:sz w:val="16"/>
                <w:szCs w:val="16"/>
                <w:spacing w:val="3"/>
              </w:rPr>
              <w:t>的，审批时征求有关行业主骨部</w:t>
            </w:r>
            <w:r>
              <w:rPr>
                <w:sz w:val="16"/>
                <w:szCs w:val="16"/>
                <w:spacing w:val="5"/>
              </w:rPr>
              <w:t xml:space="preserve"> </w:t>
            </w:r>
            <w:r>
              <w:rPr>
                <w:sz w:val="16"/>
                <w:szCs w:val="16"/>
                <w:spacing w:val="14"/>
              </w:rPr>
              <w:t>门意见》</w:t>
            </w:r>
          </w:p>
        </w:tc>
        <w:tc>
          <w:tcPr>
            <w:tcW w:w="3711" w:type="dxa"/>
            <w:vAlign w:val="top"/>
          </w:tcPr>
          <w:p>
            <w:pPr>
              <w:spacing w:line="289" w:lineRule="auto"/>
              <w:rPr>
                <w:rFonts w:ascii="Arial"/>
                <w:sz w:val="21"/>
              </w:rPr>
            </w:pPr>
            <w:r/>
          </w:p>
          <w:p>
            <w:pPr>
              <w:spacing w:line="290" w:lineRule="auto"/>
              <w:rPr>
                <w:rFonts w:ascii="Arial"/>
                <w:sz w:val="21"/>
              </w:rPr>
            </w:pPr>
            <w:r/>
          </w:p>
          <w:p>
            <w:pPr>
              <w:pStyle w:val="TableText"/>
              <w:spacing w:before="52" w:line="219" w:lineRule="auto"/>
              <w:rPr>
                <w:sz w:val="16"/>
                <w:szCs w:val="16"/>
              </w:rPr>
            </w:pPr>
            <w:r>
              <w:rPr>
                <w:sz w:val="16"/>
                <w:szCs w:val="16"/>
                <w:spacing w:val="-4"/>
              </w:rPr>
              <w:t>《中华人民光和国意统法</w:t>
            </w:r>
          </w:p>
          <w:p>
            <w:pPr>
              <w:pStyle w:val="TableText"/>
              <w:ind w:left="46"/>
              <w:spacing w:line="230" w:lineRule="auto"/>
              <w:rPr>
                <w:sz w:val="16"/>
                <w:szCs w:val="16"/>
              </w:rPr>
            </w:pPr>
            <w:r>
              <w:rPr>
                <w:sz w:val="16"/>
                <w:szCs w:val="16"/>
                <w:spacing w:val="-1"/>
              </w:rPr>
              <w:t>(建设工程品群设计管理条例》</w:t>
            </w:r>
          </w:p>
          <w:p>
            <w:pPr>
              <w:pStyle w:val="TableText"/>
              <w:ind w:left="46"/>
              <w:spacing w:line="219" w:lineRule="auto"/>
              <w:rPr>
                <w:sz w:val="16"/>
                <w:szCs w:val="16"/>
              </w:rPr>
            </w:pPr>
            <w:r>
              <w:rPr>
                <w:sz w:val="16"/>
                <w:szCs w:val="16"/>
                <w:spacing w:val="-2"/>
              </w:rPr>
              <w:t>6理设子程成征管提条例》</w:t>
            </w:r>
          </w:p>
          <w:p>
            <w:pPr>
              <w:pStyle w:val="TableText"/>
              <w:spacing w:before="19" w:line="219" w:lineRule="auto"/>
              <w:rPr>
                <w:sz w:val="16"/>
                <w:szCs w:val="16"/>
              </w:rPr>
            </w:pPr>
            <w:r>
              <w:rPr>
                <w:sz w:val="16"/>
                <w:szCs w:val="16"/>
                <w:spacing w:val="-3"/>
              </w:rPr>
              <w:t>《建设工程酚静设计资质管理规定1</w:t>
            </w:r>
          </w:p>
        </w:tc>
      </w:tr>
    </w:tbl>
    <w:p>
      <w:pPr>
        <w:pStyle w:val="BodyText"/>
        <w:rPr/>
      </w:pPr>
      <w:r/>
    </w:p>
    <w:p>
      <w:pPr>
        <w:sectPr>
          <w:pgSz w:w="11910" w:h="8220"/>
          <w:pgMar w:top="400" w:right="115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46656"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12" name="TextBox 212"/>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4" style="position:absolute;margin-left:37.3042pt;margin-top:345.874pt;mso-position-vertical-relative:page;mso-position-horizontal-relative:page;width:13.1pt;height:12.4pt;z-index:25184665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187</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38"/>
        <w:gridCol w:w="2367"/>
        <w:gridCol w:w="3711"/>
      </w:tblGrid>
      <w:tr>
        <w:trPr>
          <w:trHeight w:val="424" w:hRule="atLeast"/>
        </w:trPr>
        <w:tc>
          <w:tcPr>
            <w:tcW w:w="59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中央主管部门</w:t>
            </w:r>
          </w:p>
        </w:tc>
        <w:tc>
          <w:tcPr>
            <w:tcW w:w="1638" w:type="dxa"/>
            <w:vAlign w:val="top"/>
          </w:tcPr>
          <w:p>
            <w:pPr>
              <w:pStyle w:val="TableText"/>
              <w:ind w:left="471"/>
              <w:spacing w:before="132" w:line="220" w:lineRule="auto"/>
              <w:rPr>
                <w:sz w:val="17"/>
                <w:szCs w:val="17"/>
              </w:rPr>
            </w:pPr>
            <w:r>
              <w:rPr>
                <w:sz w:val="17"/>
                <w:szCs w:val="17"/>
                <w:spacing w:val="-2"/>
              </w:rPr>
              <w:t>事项名称</w:t>
            </w:r>
          </w:p>
        </w:tc>
        <w:tc>
          <w:tcPr>
            <w:tcW w:w="2367" w:type="dxa"/>
            <w:vAlign w:val="top"/>
          </w:tcPr>
          <w:p>
            <w:pPr>
              <w:pStyle w:val="TableText"/>
              <w:ind w:left="834"/>
              <w:spacing w:before="130" w:line="219" w:lineRule="auto"/>
              <w:rPr>
                <w:sz w:val="17"/>
                <w:szCs w:val="17"/>
              </w:rPr>
            </w:pPr>
            <w:r>
              <w:rPr>
                <w:sz w:val="17"/>
                <w:szCs w:val="17"/>
                <w:spacing w:val="-3"/>
              </w:rPr>
              <w:t>实施机美</w:t>
            </w:r>
          </w:p>
        </w:tc>
        <w:tc>
          <w:tcPr>
            <w:tcW w:w="3711" w:type="dxa"/>
            <w:vAlign w:val="top"/>
          </w:tcPr>
          <w:p>
            <w:pPr>
              <w:pStyle w:val="TableText"/>
              <w:ind w:left="1309"/>
              <w:spacing w:before="128" w:line="219" w:lineRule="auto"/>
              <w:rPr>
                <w:sz w:val="17"/>
                <w:szCs w:val="17"/>
              </w:rPr>
            </w:pPr>
            <w:r>
              <w:rPr>
                <w:sz w:val="17"/>
                <w:szCs w:val="17"/>
                <w:b/>
                <w:bCs/>
                <w:spacing w:val="-3"/>
              </w:rPr>
              <w:t>设定和实距依据</w:t>
            </w:r>
          </w:p>
        </w:tc>
      </w:tr>
      <w:tr>
        <w:trPr>
          <w:trHeight w:val="1468" w:hRule="atLeast"/>
        </w:trPr>
        <w:tc>
          <w:tcPr>
            <w:tcW w:w="594" w:type="dxa"/>
            <w:vAlign w:val="top"/>
          </w:tcPr>
          <w:p>
            <w:pPr>
              <w:spacing w:line="316" w:lineRule="auto"/>
              <w:rPr>
                <w:rFonts w:ascii="Arial"/>
                <w:sz w:val="21"/>
              </w:rPr>
            </w:pPr>
            <w:r/>
          </w:p>
          <w:p>
            <w:pPr>
              <w:spacing w:line="316" w:lineRule="auto"/>
              <w:rPr>
                <w:rFonts w:ascii="Arial"/>
                <w:sz w:val="21"/>
              </w:rPr>
            </w:pPr>
            <w:r/>
          </w:p>
          <w:p>
            <w:pPr>
              <w:pStyle w:val="TableText"/>
              <w:ind w:left="154"/>
              <w:spacing w:before="55" w:line="183" w:lineRule="auto"/>
              <w:rPr>
                <w:sz w:val="17"/>
                <w:szCs w:val="17"/>
              </w:rPr>
            </w:pPr>
            <w:r>
              <w:rPr>
                <w:sz w:val="17"/>
                <w:szCs w:val="17"/>
                <w:spacing w:val="-2"/>
              </w:rPr>
              <w:t>232</w:t>
            </w:r>
          </w:p>
        </w:tc>
        <w:tc>
          <w:tcPr>
            <w:tcW w:w="1289" w:type="dxa"/>
            <w:vAlign w:val="top"/>
          </w:tcPr>
          <w:p>
            <w:pPr>
              <w:spacing w:line="294" w:lineRule="auto"/>
              <w:rPr>
                <w:rFonts w:ascii="Arial"/>
                <w:sz w:val="21"/>
              </w:rPr>
            </w:pPr>
            <w:r/>
          </w:p>
          <w:p>
            <w:pPr>
              <w:spacing w:line="295" w:lineRule="auto"/>
              <w:rPr>
                <w:rFonts w:ascii="Arial"/>
                <w:sz w:val="21"/>
              </w:rPr>
            </w:pPr>
            <w:r/>
          </w:p>
          <w:p>
            <w:pPr>
              <w:pStyle w:val="TableText"/>
              <w:ind w:left="40"/>
              <w:spacing w:before="55" w:line="219" w:lineRule="auto"/>
              <w:rPr>
                <w:sz w:val="17"/>
                <w:szCs w:val="17"/>
              </w:rPr>
            </w:pPr>
            <w:r>
              <w:rPr>
                <w:sz w:val="17"/>
                <w:szCs w:val="17"/>
                <w:spacing w:val="-1"/>
              </w:rPr>
              <w:t>住房城多建设部</w:t>
            </w:r>
          </w:p>
        </w:tc>
        <w:tc>
          <w:tcPr>
            <w:tcW w:w="1638" w:type="dxa"/>
            <w:vAlign w:val="top"/>
          </w:tcPr>
          <w:p>
            <w:pPr>
              <w:spacing w:line="243" w:lineRule="auto"/>
              <w:rPr>
                <w:rFonts w:ascii="Arial"/>
                <w:sz w:val="21"/>
              </w:rPr>
            </w:pPr>
            <w:r/>
          </w:p>
          <w:p>
            <w:pPr>
              <w:spacing w:line="244" w:lineRule="auto"/>
              <w:rPr>
                <w:rFonts w:ascii="Arial"/>
                <w:sz w:val="21"/>
              </w:rPr>
            </w:pPr>
            <w:r/>
          </w:p>
          <w:p>
            <w:pPr>
              <w:pStyle w:val="TableText"/>
              <w:ind w:left="52" w:right="54"/>
              <w:spacing w:before="55" w:line="220" w:lineRule="auto"/>
              <w:rPr>
                <w:sz w:val="17"/>
                <w:szCs w:val="17"/>
              </w:rPr>
            </w:pPr>
            <w:r>
              <w:rPr>
                <w:sz w:val="17"/>
                <w:szCs w:val="17"/>
                <w:spacing w:val="-1"/>
              </w:rPr>
              <w:t>工程监理企业带爆认</w:t>
            </w:r>
            <w:r>
              <w:rPr>
                <w:sz w:val="17"/>
                <w:szCs w:val="17"/>
              </w:rPr>
              <w:t xml:space="preserve"> </w:t>
            </w:r>
            <w:r>
              <w:rPr>
                <w:sz w:val="17"/>
                <w:szCs w:val="17"/>
              </w:rPr>
              <w:t>定</w:t>
            </w:r>
          </w:p>
        </w:tc>
        <w:tc>
          <w:tcPr>
            <w:tcW w:w="2367" w:type="dxa"/>
            <w:vAlign w:val="top"/>
          </w:tcPr>
          <w:p>
            <w:pPr>
              <w:pStyle w:val="TableText"/>
              <w:ind w:left="44" w:firstLine="69"/>
              <w:spacing w:before="67" w:line="210" w:lineRule="auto"/>
              <w:rPr>
                <w:sz w:val="17"/>
                <w:szCs w:val="17"/>
              </w:rPr>
            </w:pPr>
            <w:r>
              <w:rPr>
                <w:sz w:val="17"/>
                <w:szCs w:val="17"/>
                <w:spacing w:val="-1"/>
              </w:rPr>
              <w:t>住房城乡础设部(净及电子马</w:t>
            </w:r>
            <w:r>
              <w:rPr>
                <w:sz w:val="17"/>
                <w:szCs w:val="17"/>
                <w:spacing w:val="1"/>
              </w:rPr>
              <w:t xml:space="preserve">  </w:t>
            </w:r>
            <w:r>
              <w:rPr>
                <w:sz w:val="17"/>
                <w:szCs w:val="17"/>
                <w:spacing w:val="-17"/>
              </w:rPr>
              <w:t>借，恢路，民航专</w:t>
            </w:r>
            <w:r>
              <w:rPr>
                <w:sz w:val="17"/>
                <w:szCs w:val="17"/>
                <w:spacing w:val="-16"/>
              </w:rPr>
              <w:t>业俊囊的，布</w:t>
            </w:r>
            <w:r>
              <w:rPr>
                <w:sz w:val="17"/>
                <w:szCs w:val="17"/>
                <w:spacing w:val="-8"/>
              </w:rPr>
              <w:t>报</w:t>
            </w:r>
            <w:r>
              <w:rPr>
                <w:sz w:val="17"/>
                <w:szCs w:val="17"/>
                <w:spacing w:val="1"/>
              </w:rPr>
              <w:t xml:space="preserve"> </w:t>
            </w:r>
            <w:r>
              <w:rPr>
                <w:sz w:val="17"/>
                <w:szCs w:val="17"/>
              </w:rPr>
              <w:t>时征求有关行业主致部门意</w:t>
            </w:r>
          </w:p>
          <w:p>
            <w:pPr>
              <w:pStyle w:val="TableText"/>
              <w:ind w:left="14" w:firstLine="57"/>
              <w:spacing w:before="3" w:line="219" w:lineRule="auto"/>
              <w:rPr>
                <w:sz w:val="17"/>
                <w:szCs w:val="17"/>
              </w:rPr>
            </w:pPr>
            <w:r>
              <w:rPr>
                <w:sz w:val="17"/>
                <w:szCs w:val="17"/>
                <w:spacing w:val="-17"/>
              </w:rPr>
              <w:t>更》;省级，设区的市爱住唐短乡</w:t>
            </w:r>
            <w:r>
              <w:rPr>
                <w:sz w:val="17"/>
                <w:szCs w:val="17"/>
                <w:spacing w:val="13"/>
              </w:rPr>
              <w:t xml:space="preserve"> </w:t>
            </w:r>
            <w:r>
              <w:rPr>
                <w:sz w:val="17"/>
                <w:szCs w:val="17"/>
                <w:spacing w:val="-14"/>
              </w:rPr>
              <w:t>建设部门；涉及电子通情，饮路。</w:t>
            </w:r>
            <w:r>
              <w:rPr>
                <w:sz w:val="17"/>
                <w:szCs w:val="17"/>
                <w:spacing w:val="1"/>
              </w:rPr>
              <w:t xml:space="preserve"> </w:t>
            </w:r>
            <w:r>
              <w:rPr>
                <w:sz w:val="17"/>
                <w:szCs w:val="17"/>
                <w:spacing w:val="-8"/>
              </w:rPr>
              <w:t>民敬专业资质胡，审批时征求有</w:t>
            </w:r>
            <w:r>
              <w:rPr>
                <w:sz w:val="17"/>
                <w:szCs w:val="17"/>
                <w:spacing w:val="4"/>
              </w:rPr>
              <w:t xml:space="preserve">  </w:t>
            </w:r>
            <w:r>
              <w:rPr>
                <w:sz w:val="17"/>
                <w:szCs w:val="17"/>
              </w:rPr>
              <w:t>关行业主管都门盒见)</w:t>
            </w:r>
          </w:p>
        </w:tc>
        <w:tc>
          <w:tcPr>
            <w:tcW w:w="3711" w:type="dxa"/>
            <w:vAlign w:val="top"/>
          </w:tcPr>
          <w:p>
            <w:pPr>
              <w:spacing w:line="410" w:lineRule="auto"/>
              <w:rPr>
                <w:rFonts w:ascii="Arial"/>
                <w:sz w:val="21"/>
              </w:rPr>
            </w:pPr>
            <w:r/>
          </w:p>
          <w:p>
            <w:pPr>
              <w:pStyle w:val="TableText"/>
              <w:ind w:left="56"/>
              <w:spacing w:before="55" w:line="206" w:lineRule="auto"/>
              <w:rPr>
                <w:sz w:val="17"/>
                <w:szCs w:val="17"/>
              </w:rPr>
            </w:pPr>
            <w:r>
              <w:rPr>
                <w:sz w:val="17"/>
                <w:szCs w:val="17"/>
                <w:spacing w:val="-1"/>
              </w:rPr>
              <w:t>1中华人民其和国建筑法》</w:t>
            </w:r>
          </w:p>
          <w:p>
            <w:pPr>
              <w:pStyle w:val="TableText"/>
              <w:ind w:left="56"/>
              <w:spacing w:line="219" w:lineRule="auto"/>
              <w:rPr>
                <w:sz w:val="17"/>
                <w:szCs w:val="17"/>
              </w:rPr>
            </w:pPr>
            <w:r>
              <w:rPr>
                <w:sz w:val="17"/>
                <w:szCs w:val="17"/>
                <w:spacing w:val="-2"/>
              </w:rPr>
              <w:t>建设工得质量管理条例》</w:t>
            </w:r>
          </w:p>
          <w:p>
            <w:pPr>
              <w:pStyle w:val="TableText"/>
              <w:ind w:left="56"/>
              <w:spacing w:before="28" w:line="219" w:lineRule="auto"/>
              <w:rPr>
                <w:sz w:val="17"/>
                <w:szCs w:val="17"/>
              </w:rPr>
            </w:pPr>
            <w:r>
              <w:rPr>
                <w:sz w:val="17"/>
                <w:szCs w:val="17"/>
                <w:spacing w:val="2"/>
              </w:rPr>
              <w:t>1工程监理企业资质管理规定!</w:t>
            </w:r>
          </w:p>
        </w:tc>
      </w:tr>
      <w:tr>
        <w:trPr>
          <w:trHeight w:val="1667" w:hRule="atLeast"/>
        </w:trPr>
        <w:tc>
          <w:tcPr>
            <w:tcW w:w="594"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4"/>
              <w:spacing w:before="55" w:line="183" w:lineRule="auto"/>
              <w:rPr>
                <w:sz w:val="17"/>
                <w:szCs w:val="17"/>
              </w:rPr>
            </w:pPr>
            <w:r>
              <w:rPr>
                <w:sz w:val="17"/>
                <w:szCs w:val="17"/>
                <w:spacing w:val="-2"/>
              </w:rPr>
              <w:t>242</w:t>
            </w:r>
          </w:p>
        </w:tc>
        <w:tc>
          <w:tcPr>
            <w:tcW w:w="1289" w:type="dxa"/>
            <w:vAlign w:val="top"/>
          </w:tcPr>
          <w:p>
            <w:pPr>
              <w:spacing w:line="345" w:lineRule="auto"/>
              <w:rPr>
                <w:rFonts w:ascii="Arial"/>
                <w:sz w:val="21"/>
              </w:rPr>
            </w:pPr>
            <w:r/>
          </w:p>
          <w:p>
            <w:pPr>
              <w:spacing w:line="345" w:lineRule="auto"/>
              <w:rPr>
                <w:rFonts w:ascii="Arial"/>
                <w:sz w:val="21"/>
              </w:rPr>
            </w:pPr>
            <w:r/>
          </w:p>
          <w:p>
            <w:pPr>
              <w:pStyle w:val="TableText"/>
              <w:ind w:left="40"/>
              <w:spacing w:before="55" w:line="219" w:lineRule="auto"/>
              <w:rPr>
                <w:sz w:val="17"/>
                <w:szCs w:val="17"/>
              </w:rPr>
            </w:pPr>
            <w:r>
              <w:rPr>
                <w:sz w:val="17"/>
                <w:szCs w:val="17"/>
                <w:spacing w:val="-1"/>
              </w:rPr>
              <w:t>住房城乡建没器</w:t>
            </w:r>
          </w:p>
        </w:tc>
        <w:tc>
          <w:tcPr>
            <w:tcW w:w="1638" w:type="dxa"/>
            <w:vAlign w:val="top"/>
          </w:tcPr>
          <w:p>
            <w:pPr>
              <w:spacing w:line="300" w:lineRule="auto"/>
              <w:rPr>
                <w:rFonts w:ascii="Arial"/>
                <w:sz w:val="21"/>
              </w:rPr>
            </w:pPr>
            <w:r/>
          </w:p>
          <w:p>
            <w:pPr>
              <w:spacing w:line="301" w:lineRule="auto"/>
              <w:rPr>
                <w:rFonts w:ascii="Arial"/>
                <w:sz w:val="21"/>
              </w:rPr>
            </w:pPr>
            <w:r/>
          </w:p>
          <w:p>
            <w:pPr>
              <w:pStyle w:val="TableText"/>
              <w:ind w:left="52" w:right="32" w:firstLine="20"/>
              <w:spacing w:before="55" w:line="212" w:lineRule="auto"/>
              <w:rPr>
                <w:sz w:val="17"/>
                <w:szCs w:val="17"/>
              </w:rPr>
            </w:pPr>
            <w:r>
              <w:rPr>
                <w:sz w:val="17"/>
                <w:szCs w:val="17"/>
                <w:spacing w:val="-1"/>
              </w:rPr>
              <w:t>助客设计法量工程解</w:t>
            </w:r>
            <w:r>
              <w:rPr>
                <w:sz w:val="17"/>
                <w:szCs w:val="17"/>
                <w:spacing w:val="1"/>
              </w:rPr>
              <w:t xml:space="preserve"> </w:t>
            </w:r>
            <w:r>
              <w:rPr>
                <w:sz w:val="17"/>
                <w:szCs w:val="17"/>
                <w:spacing w:val="-1"/>
              </w:rPr>
              <w:t>执业货格认定</w:t>
            </w:r>
          </w:p>
        </w:tc>
        <w:tc>
          <w:tcPr>
            <w:tcW w:w="2367" w:type="dxa"/>
            <w:vAlign w:val="top"/>
          </w:tcPr>
          <w:p>
            <w:pPr>
              <w:pStyle w:val="TableText"/>
              <w:ind w:left="113"/>
              <w:spacing w:before="30" w:line="219" w:lineRule="auto"/>
              <w:rPr>
                <w:sz w:val="17"/>
                <w:szCs w:val="17"/>
              </w:rPr>
            </w:pPr>
            <w:r>
              <w:rPr>
                <w:sz w:val="17"/>
                <w:szCs w:val="17"/>
                <w:spacing w:val="-1"/>
              </w:rPr>
              <w:t>住房城安建设深[上木工程费</w:t>
            </w:r>
          </w:p>
          <w:p>
            <w:pPr>
              <w:pStyle w:val="TableText"/>
              <w:ind w:firstLine="129"/>
              <w:spacing w:before="20" w:line="218" w:lineRule="auto"/>
              <w:rPr>
                <w:sz w:val="17"/>
                <w:szCs w:val="17"/>
              </w:rPr>
            </w:pPr>
            <w:r>
              <w:rPr>
                <w:sz w:val="17"/>
                <w:szCs w:val="17"/>
                <w:spacing w:val="-6"/>
              </w:rPr>
              <w:t>(本到水电工和)出住房域乡建</w:t>
            </w:r>
            <w:r>
              <w:rPr>
                <w:sz w:val="17"/>
                <w:szCs w:val="17"/>
                <w:spacing w:val="3"/>
              </w:rPr>
              <w:t xml:space="preserve">  </w:t>
            </w:r>
            <w:r>
              <w:rPr>
                <w:sz w:val="17"/>
                <w:szCs w:val="17"/>
                <w:spacing w:val="2"/>
              </w:rPr>
              <w:t>设配水利部审批，土术工积年</w:t>
            </w:r>
            <w:r>
              <w:rPr>
                <w:sz w:val="17"/>
                <w:szCs w:val="17"/>
                <w:spacing w:val="5"/>
              </w:rPr>
              <w:t xml:space="preserve">  </w:t>
            </w:r>
            <w:r>
              <w:rPr>
                <w:sz w:val="17"/>
                <w:szCs w:val="17"/>
                <w:spacing w:val="-6"/>
              </w:rPr>
              <w:t>《储口与航道工程，道路工和由 </w:t>
            </w:r>
            <w:r>
              <w:rPr>
                <w:sz w:val="17"/>
                <w:szCs w:val="17"/>
                <w:spacing w:val="-2"/>
              </w:rPr>
              <w:t>住启减参建设都，交器是能部即</w:t>
            </w:r>
            <w:r>
              <w:rPr>
                <w:sz w:val="17"/>
                <w:szCs w:val="17"/>
                <w:spacing w:val="3"/>
              </w:rPr>
              <w:t xml:space="preserve"> </w:t>
            </w:r>
            <w:r>
              <w:rPr>
                <w:sz w:val="17"/>
                <w:szCs w:val="17"/>
                <w:spacing w:val="-4"/>
              </w:rPr>
              <w:t>批，环保工税门击作房城乡起说</w:t>
            </w:r>
            <w:r>
              <w:rPr>
                <w:sz w:val="17"/>
                <w:szCs w:val="17"/>
                <w:spacing w:val="6"/>
              </w:rPr>
              <w:t xml:space="preserve"> </w:t>
            </w:r>
            <w:r>
              <w:rPr>
                <w:sz w:val="17"/>
                <w:szCs w:val="17"/>
              </w:rPr>
              <w:t>郁，生幸环境恶审批]省敏住房</w:t>
            </w:r>
            <w:r>
              <w:rPr>
                <w:sz w:val="17"/>
                <w:szCs w:val="17"/>
                <w:spacing w:val="10"/>
              </w:rPr>
              <w:t xml:space="preserve"> </w:t>
            </w:r>
            <w:r>
              <w:rPr>
                <w:sz w:val="17"/>
                <w:szCs w:val="17"/>
                <w:spacing w:val="13"/>
              </w:rPr>
              <w:t>城多健散部门</w:t>
            </w:r>
          </w:p>
        </w:tc>
        <w:tc>
          <w:tcPr>
            <w:tcW w:w="3711" w:type="dxa"/>
            <w:vAlign w:val="top"/>
          </w:tcPr>
          <w:p>
            <w:pPr>
              <w:spacing w:line="402" w:lineRule="auto"/>
              <w:rPr>
                <w:rFonts w:ascii="Arial"/>
                <w:sz w:val="21"/>
              </w:rPr>
            </w:pPr>
            <w:r/>
          </w:p>
          <w:p>
            <w:pPr>
              <w:pStyle w:val="TableText"/>
              <w:spacing w:before="55" w:line="217" w:lineRule="auto"/>
              <w:rPr>
                <w:sz w:val="17"/>
                <w:szCs w:val="17"/>
              </w:rPr>
            </w:pPr>
            <w:r>
              <w:rPr>
                <w:sz w:val="17"/>
                <w:szCs w:val="17"/>
                <w:spacing w:val="-4"/>
              </w:rPr>
              <w:t>《中华人民共和国雄筑齿》</w:t>
            </w:r>
          </w:p>
          <w:p>
            <w:pPr>
              <w:pStyle w:val="TableText"/>
              <w:spacing w:line="195" w:lineRule="auto"/>
              <w:rPr>
                <w:sz w:val="17"/>
                <w:szCs w:val="17"/>
              </w:rPr>
            </w:pPr>
            <w:r>
              <w:rPr>
                <w:sz w:val="17"/>
                <w:szCs w:val="17"/>
                <w:spacing w:val="-3"/>
              </w:rPr>
              <w:t>《建设工程融察设计管理务创》</w:t>
            </w:r>
          </w:p>
          <w:p>
            <w:pPr>
              <w:pStyle w:val="TableText"/>
              <w:spacing w:line="238" w:lineRule="auto"/>
              <w:rPr>
                <w:sz w:val="17"/>
                <w:szCs w:val="17"/>
              </w:rPr>
            </w:pPr>
            <w:r>
              <w:rPr>
                <w:sz w:val="17"/>
                <w:szCs w:val="17"/>
                <w:spacing w:val="-2"/>
              </w:rPr>
              <w:t>《勘察设计生禁工程部豐理规定)</w:t>
            </w:r>
          </w:p>
          <w:p>
            <w:pPr>
              <w:pStyle w:val="TableText"/>
              <w:ind w:left="84"/>
              <w:spacing w:line="219" w:lineRule="auto"/>
              <w:rPr>
                <w:sz w:val="17"/>
                <w:szCs w:val="17"/>
              </w:rPr>
            </w:pPr>
            <w:r>
              <w:rPr>
                <w:sz w:val="17"/>
                <w:szCs w:val="17"/>
                <w:spacing w:val="-2"/>
              </w:rPr>
              <w:t>乙国家职业资格日录(2081年版》</w:t>
            </w:r>
          </w:p>
        </w:tc>
      </w:tr>
      <w:tr>
        <w:trPr>
          <w:trHeight w:val="649" w:hRule="atLeast"/>
        </w:trPr>
        <w:tc>
          <w:tcPr>
            <w:tcW w:w="594" w:type="dxa"/>
            <w:vAlign w:val="top"/>
          </w:tcPr>
          <w:p>
            <w:pPr>
              <w:pStyle w:val="TableText"/>
              <w:ind w:left="154"/>
              <w:spacing w:before="286" w:line="183" w:lineRule="auto"/>
              <w:rPr>
                <w:sz w:val="17"/>
                <w:szCs w:val="17"/>
              </w:rPr>
            </w:pPr>
            <w:r>
              <w:rPr>
                <w:sz w:val="17"/>
                <w:szCs w:val="17"/>
                <w:spacing w:val="-2"/>
              </w:rPr>
              <w:t>234</w:t>
            </w:r>
          </w:p>
        </w:tc>
        <w:tc>
          <w:tcPr>
            <w:tcW w:w="1289" w:type="dxa"/>
            <w:vAlign w:val="top"/>
          </w:tcPr>
          <w:p>
            <w:pPr>
              <w:pStyle w:val="TableText"/>
              <w:ind w:left="40"/>
              <w:spacing w:before="243" w:line="219" w:lineRule="auto"/>
              <w:rPr>
                <w:sz w:val="17"/>
                <w:szCs w:val="17"/>
              </w:rPr>
            </w:pPr>
            <w:r>
              <w:rPr>
                <w:sz w:val="17"/>
                <w:szCs w:val="17"/>
                <w:spacing w:val="-1"/>
              </w:rPr>
              <w:t>住房成乡建设据</w:t>
            </w:r>
          </w:p>
        </w:tc>
        <w:tc>
          <w:tcPr>
            <w:tcW w:w="1638" w:type="dxa"/>
            <w:vAlign w:val="top"/>
          </w:tcPr>
          <w:p>
            <w:pPr>
              <w:pStyle w:val="TableText"/>
              <w:ind w:left="52" w:right="143" w:hanging="10"/>
              <w:spacing w:before="153" w:line="225" w:lineRule="auto"/>
              <w:rPr>
                <w:sz w:val="17"/>
                <w:szCs w:val="17"/>
              </w:rPr>
            </w:pPr>
            <w:r>
              <w:rPr>
                <w:sz w:val="17"/>
                <w:szCs w:val="17"/>
                <w:spacing w:val="-1"/>
              </w:rPr>
              <w:t>B顶工程萍均业资格</w:t>
            </w:r>
            <w:r>
              <w:rPr>
                <w:sz w:val="17"/>
                <w:szCs w:val="17"/>
                <w:spacing w:val="5"/>
              </w:rPr>
              <w:t xml:space="preserve"> </w:t>
            </w:r>
            <w:r>
              <w:rPr>
                <w:sz w:val="17"/>
                <w:szCs w:val="17"/>
              </w:rPr>
              <w:t>认</w:t>
            </w:r>
          </w:p>
        </w:tc>
        <w:tc>
          <w:tcPr>
            <w:tcW w:w="2367" w:type="dxa"/>
            <w:vAlign w:val="top"/>
          </w:tcPr>
          <w:p>
            <w:pPr>
              <w:pStyle w:val="TableText"/>
              <w:ind w:left="64"/>
              <w:spacing w:before="243" w:line="219" w:lineRule="auto"/>
              <w:rPr>
                <w:sz w:val="17"/>
                <w:szCs w:val="17"/>
              </w:rPr>
            </w:pPr>
            <w:r>
              <w:rPr>
                <w:sz w:val="17"/>
                <w:szCs w:val="17"/>
                <w:spacing w:val="-1"/>
              </w:rPr>
              <w:t>住病城多禁设部</w:t>
            </w:r>
          </w:p>
        </w:tc>
        <w:tc>
          <w:tcPr>
            <w:tcW w:w="3711" w:type="dxa"/>
            <w:vAlign w:val="top"/>
          </w:tcPr>
          <w:p>
            <w:pPr>
              <w:pStyle w:val="TableText"/>
              <w:spacing w:before="42" w:line="217" w:lineRule="auto"/>
              <w:rPr>
                <w:sz w:val="17"/>
                <w:szCs w:val="17"/>
              </w:rPr>
            </w:pPr>
            <w:r>
              <w:rPr>
                <w:sz w:val="17"/>
                <w:szCs w:val="17"/>
                <w:spacing w:val="-4"/>
              </w:rPr>
              <w:t>《中华人民其和国建筑法》</w:t>
            </w:r>
          </w:p>
          <w:p>
            <w:pPr>
              <w:pStyle w:val="TableText"/>
              <w:ind w:left="56"/>
              <w:spacing w:line="219" w:lineRule="auto"/>
              <w:rPr>
                <w:sz w:val="17"/>
                <w:szCs w:val="17"/>
              </w:rPr>
            </w:pPr>
            <w:r>
              <w:rPr>
                <w:sz w:val="17"/>
                <w:szCs w:val="17"/>
                <w:spacing w:val="1"/>
              </w:rPr>
              <w:t>(在解监理工程师置理或定1</w:t>
            </w:r>
          </w:p>
          <w:p>
            <w:pPr>
              <w:pStyle w:val="TableText"/>
              <w:spacing w:before="8" w:line="202" w:lineRule="auto"/>
              <w:rPr>
                <w:sz w:val="17"/>
                <w:szCs w:val="17"/>
              </w:rPr>
            </w:pPr>
            <w:r>
              <w:rPr>
                <w:sz w:val="17"/>
                <w:szCs w:val="17"/>
                <w:spacing w:val="-2"/>
              </w:rPr>
              <w:t>《国家职业查格目录(2021年能)1</w:t>
            </w:r>
          </w:p>
        </w:tc>
      </w:tr>
      <w:tr>
        <w:trPr>
          <w:trHeight w:val="869" w:hRule="atLeast"/>
        </w:trPr>
        <w:tc>
          <w:tcPr>
            <w:tcW w:w="594" w:type="dxa"/>
            <w:vAlign w:val="top"/>
          </w:tcPr>
          <w:p>
            <w:pPr>
              <w:spacing w:line="340" w:lineRule="auto"/>
              <w:rPr>
                <w:rFonts w:ascii="Arial"/>
                <w:sz w:val="21"/>
              </w:rPr>
            </w:pPr>
            <w:r/>
          </w:p>
          <w:p>
            <w:pPr>
              <w:pStyle w:val="TableText"/>
              <w:ind w:left="154"/>
              <w:spacing w:before="55" w:line="183" w:lineRule="auto"/>
              <w:rPr>
                <w:sz w:val="17"/>
                <w:szCs w:val="17"/>
              </w:rPr>
            </w:pPr>
            <w:r>
              <w:rPr>
                <w:sz w:val="17"/>
                <w:szCs w:val="17"/>
                <w:spacing w:val="-2"/>
              </w:rPr>
              <w:t>2#5</w:t>
            </w:r>
          </w:p>
        </w:tc>
        <w:tc>
          <w:tcPr>
            <w:tcW w:w="1289" w:type="dxa"/>
            <w:vAlign w:val="top"/>
          </w:tcPr>
          <w:p>
            <w:pPr>
              <w:spacing w:line="297" w:lineRule="auto"/>
              <w:rPr>
                <w:rFonts w:ascii="Arial"/>
                <w:sz w:val="21"/>
              </w:rPr>
            </w:pPr>
            <w:r/>
          </w:p>
          <w:p>
            <w:pPr>
              <w:pStyle w:val="TableText"/>
              <w:ind w:left="40"/>
              <w:spacing w:before="55" w:line="219" w:lineRule="auto"/>
              <w:rPr>
                <w:sz w:val="17"/>
                <w:szCs w:val="17"/>
              </w:rPr>
            </w:pPr>
            <w:r>
              <w:rPr>
                <w:sz w:val="17"/>
                <w:szCs w:val="17"/>
                <w:spacing w:val="-1"/>
              </w:rPr>
              <w:t>住房城多建设路</w:t>
            </w:r>
          </w:p>
        </w:tc>
        <w:tc>
          <w:tcPr>
            <w:tcW w:w="1638" w:type="dxa"/>
            <w:vAlign w:val="top"/>
          </w:tcPr>
          <w:p>
            <w:pPr>
              <w:spacing w:line="297" w:lineRule="auto"/>
              <w:rPr>
                <w:rFonts w:ascii="Arial"/>
                <w:sz w:val="21"/>
              </w:rPr>
            </w:pPr>
            <w:r/>
          </w:p>
          <w:p>
            <w:pPr>
              <w:pStyle w:val="TableText"/>
              <w:ind w:left="52"/>
              <w:spacing w:before="55" w:line="219" w:lineRule="auto"/>
              <w:rPr>
                <w:sz w:val="17"/>
                <w:szCs w:val="17"/>
              </w:rPr>
            </w:pPr>
            <w:r>
              <w:rPr>
                <w:sz w:val="17"/>
                <w:szCs w:val="17"/>
                <w:spacing w:val="1"/>
              </w:rPr>
              <w:t>吨适购饮立弥格认定</w:t>
            </w:r>
          </w:p>
        </w:tc>
        <w:tc>
          <w:tcPr>
            <w:tcW w:w="2367" w:type="dxa"/>
            <w:vAlign w:val="top"/>
          </w:tcPr>
          <w:p>
            <w:pPr>
              <w:pStyle w:val="TableText"/>
              <w:ind w:left="14" w:firstLine="9"/>
              <w:spacing w:before="74" w:line="213" w:lineRule="auto"/>
              <w:jc w:val="both"/>
              <w:rPr>
                <w:sz w:val="17"/>
                <w:szCs w:val="17"/>
              </w:rPr>
            </w:pPr>
            <w:r>
              <w:rPr>
                <w:sz w:val="17"/>
                <w:szCs w:val="17"/>
                <w:spacing w:val="2"/>
              </w:rPr>
              <w:t>住房级参建设部(部分专业会引 </w:t>
            </w:r>
            <w:r>
              <w:rPr>
                <w:sz w:val="17"/>
                <w:szCs w:val="17"/>
                <w:spacing w:val="4"/>
              </w:rPr>
              <w:t>国务院有关部门家批元省级化</w:t>
            </w:r>
            <w:r>
              <w:rPr>
                <w:sz w:val="17"/>
                <w:szCs w:val="17"/>
                <w:spacing w:val="5"/>
              </w:rPr>
              <w:t xml:space="preserve">  </w:t>
            </w:r>
            <w:r>
              <w:rPr>
                <w:sz w:val="17"/>
                <w:szCs w:val="17"/>
                <w:spacing w:val="-3"/>
              </w:rPr>
              <w:t>房战乡显设系门；都分专业会料</w:t>
            </w:r>
            <w:r>
              <w:rPr>
                <w:sz w:val="17"/>
                <w:szCs w:val="17"/>
                <w:spacing w:val="3"/>
              </w:rPr>
              <w:t xml:space="preserve"> </w:t>
            </w:r>
            <w:r>
              <w:rPr>
                <w:sz w:val="17"/>
                <w:szCs w:val="17"/>
                <w:spacing w:val="6"/>
              </w:rPr>
              <w:t>时覆有关部行审北)</w:t>
            </w:r>
          </w:p>
        </w:tc>
        <w:tc>
          <w:tcPr>
            <w:tcW w:w="3711" w:type="dxa"/>
            <w:vAlign w:val="top"/>
          </w:tcPr>
          <w:p>
            <w:pPr>
              <w:pStyle w:val="TableText"/>
              <w:spacing w:before="153" w:line="217" w:lineRule="auto"/>
              <w:rPr>
                <w:sz w:val="17"/>
                <w:szCs w:val="17"/>
              </w:rPr>
            </w:pPr>
            <w:r>
              <w:rPr>
                <w:sz w:val="17"/>
                <w:szCs w:val="17"/>
                <w:spacing w:val="-4"/>
              </w:rPr>
              <w:t>《作华人民共和国建实法》</w:t>
            </w:r>
          </w:p>
          <w:p>
            <w:pPr>
              <w:pStyle w:val="TableText"/>
              <w:spacing w:line="219" w:lineRule="auto"/>
              <w:rPr>
                <w:sz w:val="17"/>
                <w:szCs w:val="17"/>
              </w:rPr>
            </w:pPr>
            <w:r>
              <w:rPr>
                <w:sz w:val="17"/>
                <w:szCs w:val="17"/>
                <w:spacing w:val="-4"/>
              </w:rPr>
              <w:t>《注册旋击群管理视定》</w:t>
            </w:r>
          </w:p>
          <w:p>
            <w:pPr>
              <w:pStyle w:val="TableText"/>
              <w:ind w:left="56"/>
              <w:spacing w:before="28" w:line="219" w:lineRule="auto"/>
              <w:rPr>
                <w:sz w:val="17"/>
                <w:szCs w:val="17"/>
              </w:rPr>
            </w:pPr>
            <w:r>
              <w:rPr>
                <w:sz w:val="17"/>
                <w:szCs w:val="17"/>
                <w:spacing w:val="2"/>
              </w:rPr>
              <w:t>家职些症税日录(2021年取))</w:t>
            </w:r>
          </w:p>
        </w:tc>
      </w:tr>
      <w:tr>
        <w:trPr>
          <w:trHeight w:val="1068" w:hRule="atLeast"/>
        </w:trPr>
        <w:tc>
          <w:tcPr>
            <w:tcW w:w="594" w:type="dxa"/>
            <w:vAlign w:val="top"/>
          </w:tcPr>
          <w:p>
            <w:pPr>
              <w:spacing w:line="440" w:lineRule="auto"/>
              <w:rPr>
                <w:rFonts w:ascii="Arial"/>
                <w:sz w:val="21"/>
              </w:rPr>
            </w:pPr>
            <w:r/>
          </w:p>
          <w:p>
            <w:pPr>
              <w:pStyle w:val="TableText"/>
              <w:ind w:left="154"/>
              <w:spacing w:before="56" w:line="183" w:lineRule="auto"/>
              <w:rPr>
                <w:sz w:val="17"/>
                <w:szCs w:val="17"/>
              </w:rPr>
            </w:pPr>
            <w:r>
              <w:rPr>
                <w:sz w:val="17"/>
                <w:szCs w:val="17"/>
                <w:spacing w:val="-2"/>
              </w:rPr>
              <w:t>236</w:t>
            </w:r>
          </w:p>
        </w:tc>
        <w:tc>
          <w:tcPr>
            <w:tcW w:w="1289" w:type="dxa"/>
            <w:vAlign w:val="top"/>
          </w:tcPr>
          <w:p>
            <w:pPr>
              <w:spacing w:line="397" w:lineRule="auto"/>
              <w:rPr>
                <w:rFonts w:ascii="Arial"/>
                <w:sz w:val="21"/>
              </w:rPr>
            </w:pPr>
            <w:r/>
          </w:p>
          <w:p>
            <w:pPr>
              <w:pStyle w:val="TableText"/>
              <w:ind w:left="40"/>
              <w:spacing w:before="55" w:line="219" w:lineRule="auto"/>
              <w:rPr>
                <w:sz w:val="17"/>
                <w:szCs w:val="17"/>
              </w:rPr>
            </w:pPr>
            <w:r>
              <w:rPr>
                <w:sz w:val="17"/>
                <w:szCs w:val="17"/>
                <w:spacing w:val="-1"/>
              </w:rPr>
              <w:t>住房城步建设练</w:t>
            </w:r>
          </w:p>
        </w:tc>
        <w:tc>
          <w:tcPr>
            <w:tcW w:w="1638" w:type="dxa"/>
            <w:vAlign w:val="top"/>
          </w:tcPr>
          <w:p>
            <w:pPr>
              <w:spacing w:line="306" w:lineRule="auto"/>
              <w:rPr>
                <w:rFonts w:ascii="Arial"/>
                <w:sz w:val="21"/>
              </w:rPr>
            </w:pPr>
            <w:r/>
          </w:p>
          <w:p>
            <w:pPr>
              <w:pStyle w:val="TableText"/>
              <w:ind w:left="52" w:right="62" w:hanging="10"/>
              <w:spacing w:before="55" w:line="225" w:lineRule="auto"/>
              <w:rPr>
                <w:sz w:val="17"/>
                <w:szCs w:val="17"/>
              </w:rPr>
            </w:pPr>
            <w:r>
              <w:rPr>
                <w:sz w:val="17"/>
                <w:szCs w:val="17"/>
                <w:spacing w:val="-1"/>
              </w:rPr>
              <w:t>注顺建筑体价业资格</w:t>
            </w:r>
            <w:r>
              <w:rPr>
                <w:sz w:val="17"/>
                <w:szCs w:val="17"/>
                <w:spacing w:val="1"/>
              </w:rPr>
              <w:t xml:space="preserve"> </w:t>
            </w:r>
            <w:r>
              <w:rPr>
                <w:sz w:val="17"/>
                <w:szCs w:val="17"/>
                <w:spacing w:val="-2"/>
              </w:rPr>
              <w:t>认定</w:t>
            </w:r>
          </w:p>
        </w:tc>
        <w:tc>
          <w:tcPr>
            <w:tcW w:w="2367" w:type="dxa"/>
            <w:vAlign w:val="top"/>
          </w:tcPr>
          <w:p>
            <w:pPr>
              <w:spacing w:line="308" w:lineRule="auto"/>
              <w:rPr>
                <w:rFonts w:ascii="Arial"/>
                <w:sz w:val="21"/>
              </w:rPr>
            </w:pPr>
            <w:r/>
          </w:p>
          <w:p>
            <w:pPr>
              <w:pStyle w:val="TableText"/>
              <w:ind w:left="23" w:hanging="9"/>
              <w:spacing w:before="55" w:line="212" w:lineRule="auto"/>
              <w:rPr>
                <w:sz w:val="17"/>
                <w:szCs w:val="17"/>
              </w:rPr>
            </w:pPr>
            <w:r>
              <w:rPr>
                <w:sz w:val="17"/>
                <w:szCs w:val="17"/>
                <w:spacing w:val="-3"/>
              </w:rPr>
              <w:t>全国，省敏注册建筑向管理类员</w:t>
            </w:r>
            <w:r>
              <w:rPr>
                <w:sz w:val="17"/>
                <w:szCs w:val="17"/>
                <w:spacing w:val="3"/>
              </w:rPr>
              <w:t xml:space="preserve"> </w:t>
            </w:r>
            <w:r>
              <w:rPr>
                <w:sz w:val="17"/>
                <w:szCs w:val="17"/>
              </w:rPr>
              <w:t>会</w:t>
            </w:r>
          </w:p>
        </w:tc>
        <w:tc>
          <w:tcPr>
            <w:tcW w:w="3711" w:type="dxa"/>
            <w:vAlign w:val="top"/>
          </w:tcPr>
          <w:p>
            <w:pPr>
              <w:pStyle w:val="TableText"/>
              <w:spacing w:before="55" w:line="206" w:lineRule="auto"/>
              <w:rPr>
                <w:sz w:val="17"/>
                <w:szCs w:val="17"/>
              </w:rPr>
            </w:pPr>
            <w:r>
              <w:rPr>
                <w:sz w:val="17"/>
                <w:szCs w:val="17"/>
                <w:spacing w:val="-4"/>
              </w:rPr>
              <w:t>《中华人民共和国建筑法》</w:t>
            </w:r>
          </w:p>
          <w:p>
            <w:pPr>
              <w:pStyle w:val="TableText"/>
              <w:ind w:left="56"/>
              <w:spacing w:line="219" w:lineRule="auto"/>
              <w:rPr>
                <w:sz w:val="17"/>
                <w:szCs w:val="17"/>
              </w:rPr>
            </w:pPr>
            <w:r>
              <w:rPr>
                <w:sz w:val="17"/>
                <w:szCs w:val="17"/>
                <w:spacing w:val="-1"/>
              </w:rPr>
              <w:t>(建设工程题察汉计管理单的》</w:t>
            </w:r>
          </w:p>
          <w:p>
            <w:pPr>
              <w:pStyle w:val="TableText"/>
              <w:spacing w:before="18" w:line="206" w:lineRule="auto"/>
              <w:rPr>
                <w:sz w:val="17"/>
                <w:szCs w:val="17"/>
              </w:rPr>
            </w:pPr>
            <w:r>
              <w:rPr>
                <w:sz w:val="17"/>
                <w:szCs w:val="17"/>
                <w:spacing w:val="-4"/>
              </w:rPr>
              <w:t>《中华人民共和国治量建筑停条例</w:t>
            </w:r>
          </w:p>
          <w:p>
            <w:pPr>
              <w:pStyle w:val="TableText"/>
              <w:ind w:left="83" w:right="516" w:hanging="84"/>
              <w:spacing w:before="1" w:line="218" w:lineRule="auto"/>
              <w:rPr>
                <w:sz w:val="17"/>
                <w:szCs w:val="17"/>
              </w:rPr>
            </w:pPr>
            <w:r>
              <w:rPr>
                <w:sz w:val="17"/>
                <w:szCs w:val="17"/>
                <w:spacing w:val="-3"/>
              </w:rPr>
              <w:t>《中华人民共和国注册建度障条何实随结筒</w:t>
            </w:r>
            <w:r>
              <w:rPr>
                <w:sz w:val="17"/>
                <w:szCs w:val="17"/>
                <w:spacing w:val="10"/>
              </w:rPr>
              <w:t xml:space="preserve"> </w:t>
            </w:r>
            <w:r>
              <w:rPr>
                <w:sz w:val="17"/>
                <w:szCs w:val="17"/>
                <w:spacing w:val="4"/>
              </w:rPr>
              <w:t>国家职业能梯日¥(2081年版小</w:t>
            </w:r>
          </w:p>
        </w:tc>
      </w:tr>
      <w:tr>
        <w:trPr>
          <w:trHeight w:val="494" w:hRule="atLeast"/>
        </w:trPr>
        <w:tc>
          <w:tcPr>
            <w:tcW w:w="594" w:type="dxa"/>
            <w:vAlign w:val="top"/>
          </w:tcPr>
          <w:p>
            <w:pPr>
              <w:pStyle w:val="TableText"/>
              <w:ind w:left="74"/>
              <w:spacing w:before="209" w:line="184" w:lineRule="auto"/>
              <w:rPr>
                <w:sz w:val="17"/>
                <w:szCs w:val="17"/>
              </w:rPr>
            </w:pPr>
            <w:r>
              <w:rPr>
                <w:sz w:val="17"/>
                <w:szCs w:val="17"/>
                <w:spacing w:val="-7"/>
              </w:rPr>
              <w:t>:2.17</w:t>
            </w:r>
          </w:p>
        </w:tc>
        <w:tc>
          <w:tcPr>
            <w:tcW w:w="1289" w:type="dxa"/>
            <w:vAlign w:val="top"/>
          </w:tcPr>
          <w:p>
            <w:pPr>
              <w:pStyle w:val="TableText"/>
              <w:ind w:left="40"/>
              <w:spacing w:before="167" w:line="219" w:lineRule="auto"/>
              <w:rPr>
                <w:sz w:val="17"/>
                <w:szCs w:val="17"/>
              </w:rPr>
            </w:pPr>
            <w:r>
              <w:rPr>
                <w:sz w:val="17"/>
                <w:szCs w:val="17"/>
                <w:spacing w:val="-1"/>
              </w:rPr>
              <w:t>住房城参建设常</w:t>
            </w:r>
          </w:p>
        </w:tc>
        <w:tc>
          <w:tcPr>
            <w:tcW w:w="1638" w:type="dxa"/>
            <w:vAlign w:val="top"/>
          </w:tcPr>
          <w:p>
            <w:pPr>
              <w:pStyle w:val="TableText"/>
              <w:ind w:left="52"/>
              <w:spacing w:before="167" w:line="219" w:lineRule="auto"/>
              <w:rPr>
                <w:sz w:val="17"/>
                <w:szCs w:val="17"/>
              </w:rPr>
            </w:pPr>
            <w:r>
              <w:rPr>
                <w:sz w:val="17"/>
                <w:szCs w:val="17"/>
                <w:spacing w:val="-1"/>
              </w:rPr>
              <w:t>建端工根触工许可</w:t>
            </w:r>
          </w:p>
        </w:tc>
        <w:tc>
          <w:tcPr>
            <w:tcW w:w="2367" w:type="dxa"/>
            <w:vAlign w:val="top"/>
          </w:tcPr>
          <w:p>
            <w:pPr>
              <w:pStyle w:val="TableText"/>
              <w:ind w:left="63" w:hanging="49"/>
              <w:spacing w:before="76" w:line="221" w:lineRule="auto"/>
              <w:rPr>
                <w:sz w:val="17"/>
                <w:szCs w:val="17"/>
              </w:rPr>
            </w:pPr>
            <w:r>
              <w:rPr>
                <w:sz w:val="17"/>
                <w:szCs w:val="17"/>
                <w:spacing w:val="-3"/>
              </w:rPr>
              <w:t>肾战，议区前市级，基级住房属</w:t>
            </w:r>
            <w:r>
              <w:rPr>
                <w:sz w:val="17"/>
                <w:szCs w:val="17"/>
                <w:spacing w:val="3"/>
              </w:rPr>
              <w:t xml:space="preserve"> </w:t>
            </w:r>
            <w:r>
              <w:rPr>
                <w:sz w:val="17"/>
                <w:szCs w:val="17"/>
                <w:spacing w:val="2"/>
              </w:rPr>
              <w:t>乡建设高门</w:t>
            </w:r>
          </w:p>
        </w:tc>
        <w:tc>
          <w:tcPr>
            <w:tcW w:w="3711" w:type="dxa"/>
            <w:vAlign w:val="top"/>
          </w:tcPr>
          <w:p>
            <w:pPr>
              <w:pStyle w:val="TableText"/>
              <w:spacing w:before="57" w:line="219" w:lineRule="auto"/>
              <w:rPr>
                <w:sz w:val="17"/>
                <w:szCs w:val="17"/>
              </w:rPr>
            </w:pPr>
            <w:r>
              <w:rPr>
                <w:sz w:val="17"/>
                <w:szCs w:val="17"/>
                <w:spacing w:val="-4"/>
              </w:rPr>
              <w:t>《中华人民共和国建坑法》</w:t>
            </w:r>
          </w:p>
          <w:p>
            <w:pPr>
              <w:pStyle w:val="TableText"/>
              <w:spacing w:before="18" w:line="219" w:lineRule="auto"/>
              <w:rPr>
                <w:sz w:val="17"/>
                <w:szCs w:val="17"/>
              </w:rPr>
            </w:pPr>
            <w:r>
              <w:rPr>
                <w:sz w:val="17"/>
                <w:szCs w:val="17"/>
                <w:spacing w:val="-3"/>
              </w:rPr>
              <w:t>《通筑工整值了许可管理办法》</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47680" behindDoc="0" locked="0" layoutInCell="0" allowOverlap="1">
                <wp:simplePos x="0" y="0"/>
                <wp:positionH relativeFrom="page">
                  <wp:posOffset>458917</wp:posOffset>
                </wp:positionH>
                <wp:positionV relativeFrom="page">
                  <wp:posOffset>614619</wp:posOffset>
                </wp:positionV>
                <wp:extent cx="175260" cy="165100"/>
                <wp:effectExtent l="0" t="0" r="0" b="0"/>
                <wp:wrapNone/>
                <wp:docPr id="214" name="TextBox 214"/>
                <wp:cNvGraphicFramePr/>
                <a:graphic>
                  <a:graphicData uri="http://schemas.microsoft.com/office/word/2010/wordprocessingShape">
                    <wps:wsp>
                      <wps:cNvSpPr txBox="1"/>
                      <wps:spPr>
                        <a:xfrm rot="5400000">
                          <a:off x="458917" y="614619"/>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6" style="position:absolute;margin-left:36.1352pt;margin-top:48.3952pt;mso-position-vertical-relative:page;mso-position-horizontal-relative:page;width:13.8pt;height:13pt;z-index:251847680;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188</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48"/>
        <w:gridCol w:w="2367"/>
        <w:gridCol w:w="3711"/>
      </w:tblGrid>
      <w:tr>
        <w:trPr>
          <w:trHeight w:val="425" w:hRule="atLeast"/>
        </w:trPr>
        <w:tc>
          <w:tcPr>
            <w:tcW w:w="574" w:type="dxa"/>
            <w:vAlign w:val="top"/>
          </w:tcPr>
          <w:p>
            <w:pPr>
              <w:pStyle w:val="TableText"/>
              <w:ind w:left="114"/>
              <w:spacing w:before="131" w:line="219" w:lineRule="auto"/>
              <w:rPr>
                <w:sz w:val="16"/>
                <w:szCs w:val="16"/>
              </w:rPr>
            </w:pPr>
            <w:r>
              <w:rPr>
                <w:sz w:val="16"/>
                <w:szCs w:val="16"/>
                <w:spacing w:val="-2"/>
              </w:rPr>
              <w:t>牌号</w:t>
            </w:r>
          </w:p>
        </w:tc>
        <w:tc>
          <w:tcPr>
            <w:tcW w:w="1299" w:type="dxa"/>
            <w:vAlign w:val="top"/>
          </w:tcPr>
          <w:p>
            <w:pPr>
              <w:pStyle w:val="TableText"/>
              <w:ind w:left="160"/>
              <w:spacing w:before="131" w:line="219" w:lineRule="auto"/>
              <w:rPr>
                <w:sz w:val="16"/>
                <w:szCs w:val="16"/>
              </w:rPr>
            </w:pPr>
            <w:r>
              <w:rPr>
                <w:sz w:val="16"/>
                <w:szCs w:val="16"/>
                <w:spacing w:val="3"/>
              </w:rPr>
              <w:t>中央主香部门</w:t>
            </w:r>
          </w:p>
        </w:tc>
        <w:tc>
          <w:tcPr>
            <w:tcW w:w="1648" w:type="dxa"/>
            <w:vAlign w:val="top"/>
          </w:tcPr>
          <w:p>
            <w:pPr>
              <w:pStyle w:val="TableText"/>
              <w:ind w:left="461"/>
              <w:spacing w:before="132" w:line="220" w:lineRule="auto"/>
              <w:rPr>
                <w:sz w:val="16"/>
                <w:szCs w:val="16"/>
              </w:rPr>
            </w:pPr>
            <w:r>
              <w:rPr>
                <w:sz w:val="16"/>
                <w:szCs w:val="16"/>
                <w:spacing w:val="-2"/>
              </w:rPr>
              <w:t>事源名称</w:t>
            </w:r>
          </w:p>
        </w:tc>
        <w:tc>
          <w:tcPr>
            <w:tcW w:w="2367" w:type="dxa"/>
            <w:vAlign w:val="top"/>
          </w:tcPr>
          <w:p>
            <w:pPr>
              <w:pStyle w:val="TableText"/>
              <w:ind w:left="824"/>
              <w:spacing w:before="130" w:line="219" w:lineRule="auto"/>
              <w:rPr>
                <w:sz w:val="16"/>
                <w:szCs w:val="16"/>
              </w:rPr>
            </w:pPr>
            <w:r>
              <w:rPr>
                <w:sz w:val="16"/>
                <w:szCs w:val="16"/>
                <w:spacing w:val="-2"/>
              </w:rPr>
              <w:t>高胞机关</w:t>
            </w:r>
          </w:p>
        </w:tc>
        <w:tc>
          <w:tcPr>
            <w:tcW w:w="3711" w:type="dxa"/>
            <w:vAlign w:val="top"/>
          </w:tcPr>
          <w:p>
            <w:pPr>
              <w:pStyle w:val="TableText"/>
              <w:ind w:left="1279"/>
              <w:spacing w:before="128" w:line="219" w:lineRule="auto"/>
              <w:rPr>
                <w:sz w:val="16"/>
                <w:szCs w:val="16"/>
              </w:rPr>
            </w:pPr>
            <w:r>
              <w:rPr>
                <w:sz w:val="16"/>
                <w:szCs w:val="16"/>
                <w:b/>
                <w:bCs/>
                <w:spacing w:val="-3"/>
              </w:rPr>
              <w:t>设定和实施依置</w:t>
            </w:r>
          </w:p>
        </w:tc>
      </w:tr>
      <w:tr>
        <w:trPr>
          <w:trHeight w:val="669" w:hRule="atLeast"/>
        </w:trPr>
        <w:tc>
          <w:tcPr>
            <w:tcW w:w="574" w:type="dxa"/>
            <w:vAlign w:val="top"/>
          </w:tcPr>
          <w:p>
            <w:pPr>
              <w:spacing w:line="244" w:lineRule="auto"/>
              <w:rPr>
                <w:rFonts w:ascii="Arial"/>
                <w:sz w:val="21"/>
              </w:rPr>
            </w:pPr>
            <w:r/>
          </w:p>
          <w:p>
            <w:pPr>
              <w:pStyle w:val="TableText"/>
              <w:ind w:left="154"/>
              <w:spacing w:before="52" w:line="183" w:lineRule="auto"/>
              <w:rPr>
                <w:sz w:val="16"/>
                <w:szCs w:val="16"/>
              </w:rPr>
            </w:pPr>
            <w:r>
              <w:rPr>
                <w:sz w:val="16"/>
                <w:szCs w:val="16"/>
                <w:spacing w:val="-2"/>
              </w:rPr>
              <w:t>23N</w:t>
            </w:r>
          </w:p>
        </w:tc>
        <w:tc>
          <w:tcPr>
            <w:tcW w:w="1299" w:type="dxa"/>
            <w:vAlign w:val="top"/>
          </w:tcPr>
          <w:p>
            <w:pPr>
              <w:pStyle w:val="TableText"/>
              <w:ind w:left="80"/>
              <w:spacing w:before="257" w:line="220" w:lineRule="auto"/>
              <w:rPr>
                <w:sz w:val="16"/>
                <w:szCs w:val="16"/>
              </w:rPr>
            </w:pPr>
            <w:r>
              <w:rPr>
                <w:sz w:val="16"/>
                <w:szCs w:val="16"/>
                <w:spacing w:val="2"/>
              </w:rPr>
              <w:t>住房址乡建设当</w:t>
            </w:r>
          </w:p>
        </w:tc>
        <w:tc>
          <w:tcPr>
            <w:tcW w:w="1648" w:type="dxa"/>
            <w:vAlign w:val="top"/>
          </w:tcPr>
          <w:p>
            <w:pPr>
              <w:pStyle w:val="TableText"/>
              <w:ind w:left="42"/>
              <w:spacing w:before="256" w:line="219" w:lineRule="auto"/>
              <w:rPr>
                <w:sz w:val="16"/>
                <w:szCs w:val="16"/>
              </w:rPr>
            </w:pPr>
            <w:r>
              <w:rPr>
                <w:sz w:val="16"/>
                <w:szCs w:val="16"/>
                <w:spacing w:val="-1"/>
              </w:rPr>
              <w:t>性册重折工程师性册</w:t>
            </w:r>
          </w:p>
        </w:tc>
        <w:tc>
          <w:tcPr>
            <w:tcW w:w="2367" w:type="dxa"/>
            <w:vAlign w:val="top"/>
          </w:tcPr>
          <w:p>
            <w:pPr>
              <w:pStyle w:val="TableText"/>
              <w:ind w:left="83" w:right="11"/>
              <w:spacing w:before="165" w:line="227" w:lineRule="auto"/>
              <w:rPr>
                <w:sz w:val="16"/>
                <w:szCs w:val="16"/>
              </w:rPr>
            </w:pPr>
            <w:r>
              <w:rPr>
                <w:sz w:val="16"/>
                <w:szCs w:val="16"/>
                <w:spacing w:val="1"/>
              </w:rPr>
              <w:t>住原城乡建说部，省师作房易乡</w:t>
            </w:r>
            <w:r>
              <w:rPr>
                <w:sz w:val="16"/>
                <w:szCs w:val="16"/>
                <w:spacing w:val="6"/>
              </w:rPr>
              <w:t xml:space="preserve"> </w:t>
            </w:r>
            <w:r>
              <w:rPr>
                <w:sz w:val="16"/>
                <w:szCs w:val="16"/>
                <w:spacing w:val="4"/>
              </w:rPr>
              <w:t>建设能门</w:t>
            </w:r>
          </w:p>
        </w:tc>
        <w:tc>
          <w:tcPr>
            <w:tcW w:w="3711" w:type="dxa"/>
            <w:vAlign w:val="top"/>
          </w:tcPr>
          <w:p>
            <w:pPr>
              <w:pStyle w:val="TableText"/>
              <w:ind w:left="56"/>
              <w:spacing w:before="46" w:line="219" w:lineRule="auto"/>
              <w:rPr>
                <w:sz w:val="16"/>
                <w:szCs w:val="16"/>
              </w:rPr>
            </w:pPr>
            <w:r>
              <w:rPr>
                <w:sz w:val="16"/>
                <w:szCs w:val="16"/>
              </w:rPr>
              <w:t>1中单人民共和国建氢状</w:t>
            </w:r>
          </w:p>
          <w:p>
            <w:pPr>
              <w:pStyle w:val="TableText"/>
              <w:spacing w:before="48" w:line="209" w:lineRule="auto"/>
              <w:rPr>
                <w:sz w:val="16"/>
                <w:szCs w:val="16"/>
              </w:rPr>
            </w:pPr>
            <w:r>
              <w:rPr>
                <w:sz w:val="16"/>
                <w:szCs w:val="16"/>
                <w:spacing w:val="-3"/>
              </w:rPr>
              <w:t>《注好造价工程单管评办法7</w:t>
            </w:r>
          </w:p>
          <w:p>
            <w:pPr>
              <w:pStyle w:val="TableText"/>
              <w:ind w:left="56"/>
              <w:spacing w:line="219" w:lineRule="auto"/>
              <w:rPr>
                <w:sz w:val="16"/>
                <w:szCs w:val="16"/>
              </w:rPr>
            </w:pPr>
            <w:r>
              <w:rPr>
                <w:sz w:val="16"/>
                <w:szCs w:val="16"/>
                <w:spacing w:val="-1"/>
              </w:rPr>
              <w:t>河家取业资称目展(2021年省)3</w:t>
            </w:r>
          </w:p>
        </w:tc>
      </w:tr>
      <w:tr>
        <w:trPr>
          <w:trHeight w:val="479" w:hRule="atLeast"/>
        </w:trPr>
        <w:tc>
          <w:tcPr>
            <w:tcW w:w="574" w:type="dxa"/>
            <w:vAlign w:val="top"/>
          </w:tcPr>
          <w:p>
            <w:pPr>
              <w:pStyle w:val="TableText"/>
              <w:ind w:left="154"/>
              <w:spacing w:before="198" w:line="183" w:lineRule="auto"/>
              <w:rPr>
                <w:sz w:val="16"/>
                <w:szCs w:val="16"/>
              </w:rPr>
            </w:pPr>
            <w:r>
              <w:rPr>
                <w:sz w:val="16"/>
                <w:szCs w:val="16"/>
                <w:spacing w:val="-2"/>
              </w:rPr>
              <w:t>239</w:t>
            </w:r>
          </w:p>
        </w:tc>
        <w:tc>
          <w:tcPr>
            <w:tcW w:w="1299" w:type="dxa"/>
            <w:vAlign w:val="top"/>
          </w:tcPr>
          <w:p>
            <w:pPr>
              <w:pStyle w:val="TableText"/>
              <w:ind w:left="80"/>
              <w:spacing w:before="158" w:line="220" w:lineRule="auto"/>
              <w:rPr>
                <w:sz w:val="16"/>
                <w:szCs w:val="16"/>
              </w:rPr>
            </w:pPr>
            <w:r>
              <w:rPr>
                <w:sz w:val="16"/>
                <w:szCs w:val="16"/>
                <w:spacing w:val="-1"/>
              </w:rPr>
              <w:t>住房减乡建设离</w:t>
            </w:r>
          </w:p>
        </w:tc>
        <w:tc>
          <w:tcPr>
            <w:tcW w:w="1648" w:type="dxa"/>
            <w:vAlign w:val="top"/>
          </w:tcPr>
          <w:p>
            <w:pPr>
              <w:pStyle w:val="TableText"/>
              <w:ind w:left="42" w:right="136"/>
              <w:spacing w:before="67" w:line="220" w:lineRule="auto"/>
              <w:rPr>
                <w:sz w:val="16"/>
                <w:szCs w:val="16"/>
              </w:rPr>
            </w:pPr>
            <w:r>
              <w:rPr>
                <w:sz w:val="16"/>
                <w:szCs w:val="16"/>
                <w:spacing w:val="2"/>
              </w:rPr>
              <w:t>键设工器咳量检周用</w:t>
            </w:r>
            <w:r>
              <w:rPr>
                <w:sz w:val="16"/>
                <w:szCs w:val="16"/>
              </w:rPr>
              <w:t xml:space="preserve"> </w:t>
            </w:r>
            <w:r>
              <w:rPr>
                <w:sz w:val="16"/>
                <w:szCs w:val="16"/>
                <w:spacing w:val="3"/>
              </w:rPr>
              <w:t>构新重审</w:t>
            </w:r>
          </w:p>
        </w:tc>
        <w:tc>
          <w:tcPr>
            <w:tcW w:w="2367" w:type="dxa"/>
            <w:vAlign w:val="top"/>
          </w:tcPr>
          <w:p>
            <w:pPr>
              <w:pStyle w:val="TableText"/>
              <w:ind w:left="83"/>
              <w:spacing w:before="157" w:line="219" w:lineRule="auto"/>
              <w:rPr>
                <w:sz w:val="16"/>
                <w:szCs w:val="16"/>
              </w:rPr>
            </w:pPr>
            <w:r>
              <w:rPr>
                <w:sz w:val="16"/>
                <w:szCs w:val="16"/>
                <w:spacing w:val="1"/>
              </w:rPr>
              <w:t>有城任用城乡理设部门</w:t>
            </w:r>
          </w:p>
        </w:tc>
        <w:tc>
          <w:tcPr>
            <w:tcW w:w="3711" w:type="dxa"/>
            <w:vAlign w:val="top"/>
          </w:tcPr>
          <w:p>
            <w:pPr>
              <w:pStyle w:val="TableText"/>
              <w:ind w:left="56"/>
              <w:spacing w:before="67" w:line="219" w:lineRule="auto"/>
              <w:rPr>
                <w:sz w:val="16"/>
                <w:szCs w:val="16"/>
              </w:rPr>
            </w:pPr>
            <w:r>
              <w:rPr>
                <w:sz w:val="16"/>
                <w:szCs w:val="16"/>
                <w:spacing w:val="3"/>
              </w:rPr>
              <w:t>建设工程使糙管理条间)</w:t>
            </w:r>
          </w:p>
          <w:p>
            <w:pPr>
              <w:pStyle w:val="TableText"/>
              <w:ind w:left="56"/>
              <w:spacing w:before="22" w:line="215" w:lineRule="auto"/>
              <w:rPr>
                <w:sz w:val="16"/>
                <w:szCs w:val="16"/>
              </w:rPr>
            </w:pPr>
            <w:r>
              <w:rPr>
                <w:sz w:val="16"/>
                <w:szCs w:val="16"/>
              </w:rPr>
              <w:t>|建设工程激制段意管挥办器</w:t>
            </w:r>
          </w:p>
        </w:tc>
      </w:tr>
      <w:tr>
        <w:trPr>
          <w:trHeight w:val="459" w:hRule="atLeast"/>
        </w:trPr>
        <w:tc>
          <w:tcPr>
            <w:tcW w:w="574" w:type="dxa"/>
            <w:vAlign w:val="top"/>
          </w:tcPr>
          <w:p>
            <w:pPr>
              <w:pStyle w:val="TableText"/>
              <w:ind w:left="234"/>
              <w:spacing w:before="225" w:line="123" w:lineRule="exact"/>
              <w:rPr>
                <w:sz w:val="16"/>
                <w:szCs w:val="16"/>
              </w:rPr>
            </w:pPr>
            <w:r>
              <w:rPr>
                <w:sz w:val="16"/>
                <w:szCs w:val="16"/>
              </w:rPr>
              <w:t>n</w:t>
            </w:r>
          </w:p>
        </w:tc>
        <w:tc>
          <w:tcPr>
            <w:tcW w:w="1299" w:type="dxa"/>
            <w:vAlign w:val="top"/>
          </w:tcPr>
          <w:p>
            <w:pPr>
              <w:pStyle w:val="TableText"/>
              <w:ind w:left="80"/>
              <w:spacing w:before="148" w:line="219" w:lineRule="auto"/>
              <w:rPr>
                <w:sz w:val="16"/>
                <w:szCs w:val="16"/>
              </w:rPr>
            </w:pPr>
            <w:r>
              <w:rPr>
                <w:sz w:val="16"/>
                <w:szCs w:val="16"/>
                <w:spacing w:val="-1"/>
              </w:rPr>
              <w:t>住房械与建设想</w:t>
            </w:r>
          </w:p>
        </w:tc>
        <w:tc>
          <w:tcPr>
            <w:tcW w:w="1648" w:type="dxa"/>
            <w:vAlign w:val="top"/>
          </w:tcPr>
          <w:p>
            <w:pPr>
              <w:pStyle w:val="TableText"/>
              <w:ind w:left="42" w:right="164"/>
              <w:spacing w:before="60" w:line="224" w:lineRule="auto"/>
              <w:rPr>
                <w:sz w:val="16"/>
                <w:szCs w:val="16"/>
              </w:rPr>
            </w:pPr>
            <w:r>
              <w:rPr>
                <w:sz w:val="16"/>
                <w:szCs w:val="16"/>
                <w:spacing w:val="-1"/>
              </w:rPr>
              <w:t>建佩盐工企重安全生</w:t>
            </w:r>
            <w:r>
              <w:rPr>
                <w:sz w:val="16"/>
                <w:szCs w:val="16"/>
              </w:rPr>
              <w:t xml:space="preserve"> </w:t>
            </w:r>
            <w:r>
              <w:rPr>
                <w:sz w:val="16"/>
                <w:szCs w:val="16"/>
                <w:spacing w:val="-2"/>
              </w:rPr>
              <w:t>产许可</w:t>
            </w:r>
          </w:p>
        </w:tc>
        <w:tc>
          <w:tcPr>
            <w:tcW w:w="2367" w:type="dxa"/>
            <w:vAlign w:val="top"/>
          </w:tcPr>
          <w:p>
            <w:pPr>
              <w:pStyle w:val="TableText"/>
              <w:ind w:left="83"/>
              <w:spacing w:before="148" w:line="219" w:lineRule="auto"/>
              <w:rPr>
                <w:sz w:val="16"/>
                <w:szCs w:val="16"/>
              </w:rPr>
            </w:pPr>
            <w:r>
              <w:rPr>
                <w:sz w:val="16"/>
                <w:szCs w:val="16"/>
                <w:spacing w:val="1"/>
              </w:rPr>
              <w:t>省数位序城乡建设都门</w:t>
            </w:r>
          </w:p>
        </w:tc>
        <w:tc>
          <w:tcPr>
            <w:tcW w:w="3711" w:type="dxa"/>
            <w:vAlign w:val="top"/>
          </w:tcPr>
          <w:p>
            <w:pPr>
              <w:pStyle w:val="TableText"/>
              <w:ind w:left="56"/>
              <w:spacing w:before="48" w:line="219" w:lineRule="auto"/>
              <w:rPr>
                <w:sz w:val="16"/>
                <w:szCs w:val="16"/>
              </w:rPr>
            </w:pPr>
            <w:r>
              <w:rPr>
                <w:sz w:val="16"/>
                <w:szCs w:val="16"/>
                <w:spacing w:val="-1"/>
              </w:rPr>
              <w:t>(安全生产许可证条博》</w:t>
            </w:r>
          </w:p>
          <w:p>
            <w:pPr>
              <w:pStyle w:val="TableText"/>
              <w:ind w:left="56"/>
              <w:spacing w:before="20" w:line="219" w:lineRule="auto"/>
              <w:rPr>
                <w:sz w:val="16"/>
                <w:szCs w:val="16"/>
              </w:rPr>
            </w:pPr>
            <w:r>
              <w:rPr>
                <w:sz w:val="16"/>
                <w:szCs w:val="16"/>
              </w:rPr>
              <w:t>1建飘端工企业安全生产件可证管理统定?</w:t>
            </w:r>
          </w:p>
        </w:tc>
      </w:tr>
      <w:tr>
        <w:trPr>
          <w:trHeight w:val="889" w:hRule="atLeast"/>
        </w:trPr>
        <w:tc>
          <w:tcPr>
            <w:tcW w:w="574" w:type="dxa"/>
            <w:vAlign w:val="top"/>
          </w:tcPr>
          <w:p>
            <w:pPr>
              <w:spacing w:line="355" w:lineRule="auto"/>
              <w:rPr>
                <w:rFonts w:ascii="Arial"/>
                <w:sz w:val="21"/>
              </w:rPr>
            </w:pPr>
            <w:r/>
          </w:p>
          <w:p>
            <w:pPr>
              <w:pStyle w:val="TableText"/>
              <w:ind w:left="194"/>
              <w:spacing w:before="52" w:line="184" w:lineRule="auto"/>
              <w:rPr>
                <w:sz w:val="16"/>
                <w:szCs w:val="16"/>
              </w:rPr>
            </w:pPr>
            <w:r>
              <w:rPr>
                <w:sz w:val="16"/>
                <w:szCs w:val="16"/>
                <w:spacing w:val="-1"/>
              </w:rPr>
              <w:t>M1</w:t>
            </w:r>
          </w:p>
        </w:tc>
        <w:tc>
          <w:tcPr>
            <w:tcW w:w="1299" w:type="dxa"/>
            <w:vAlign w:val="top"/>
          </w:tcPr>
          <w:p>
            <w:pPr>
              <w:spacing w:line="315" w:lineRule="auto"/>
              <w:rPr>
                <w:rFonts w:ascii="Arial"/>
                <w:sz w:val="21"/>
              </w:rPr>
            </w:pPr>
            <w:r/>
          </w:p>
          <w:p>
            <w:pPr>
              <w:pStyle w:val="TableText"/>
              <w:ind w:left="80"/>
              <w:spacing w:before="52" w:line="219" w:lineRule="auto"/>
              <w:rPr>
                <w:sz w:val="16"/>
                <w:szCs w:val="16"/>
              </w:rPr>
            </w:pPr>
            <w:r>
              <w:rPr>
                <w:sz w:val="16"/>
                <w:szCs w:val="16"/>
                <w:spacing w:val="-1"/>
              </w:rPr>
              <w:t>位房域参建段部</w:t>
            </w:r>
          </w:p>
        </w:tc>
        <w:tc>
          <w:tcPr>
            <w:tcW w:w="1648" w:type="dxa"/>
            <w:vAlign w:val="top"/>
          </w:tcPr>
          <w:p>
            <w:pPr>
              <w:pStyle w:val="TableText"/>
              <w:ind w:left="42" w:right="139" w:firstLine="10"/>
              <w:spacing w:before="88" w:line="225" w:lineRule="auto"/>
              <w:jc w:val="both"/>
              <w:rPr>
                <w:sz w:val="16"/>
                <w:szCs w:val="16"/>
              </w:rPr>
            </w:pPr>
            <w:r>
              <w:rPr>
                <w:sz w:val="16"/>
                <w:szCs w:val="16"/>
              </w:rPr>
              <w:t>时算商工包业主度面</w:t>
            </w:r>
            <w:r>
              <w:rPr>
                <w:sz w:val="16"/>
                <w:szCs w:val="16"/>
                <w:spacing w:val="5"/>
              </w:rPr>
              <w:t xml:space="preserve"> </w:t>
            </w:r>
            <w:r>
              <w:rPr>
                <w:sz w:val="16"/>
                <w:szCs w:val="16"/>
                <w:spacing w:val="3"/>
              </w:rPr>
              <w:t>责人.明们位置人和</w:t>
            </w:r>
            <w:r>
              <w:rPr>
                <w:sz w:val="16"/>
                <w:szCs w:val="16"/>
                <w:spacing w:val="2"/>
              </w:rPr>
              <w:t xml:space="preserve">  </w:t>
            </w:r>
            <w:r>
              <w:rPr>
                <w:sz w:val="16"/>
                <w:szCs w:val="16"/>
                <w:spacing w:val="1"/>
              </w:rPr>
              <w:t>生职灾全生产管习人</w:t>
            </w:r>
            <w:r>
              <w:rPr>
                <w:sz w:val="16"/>
                <w:szCs w:val="16"/>
                <w:spacing w:val="2"/>
              </w:rPr>
              <w:t xml:space="preserve"> </w:t>
            </w:r>
            <w:r>
              <w:rPr>
                <w:sz w:val="16"/>
                <w:szCs w:val="16"/>
                <w:spacing w:val="-1"/>
              </w:rPr>
              <w:t>坐安全生产考机</w:t>
            </w:r>
          </w:p>
        </w:tc>
        <w:tc>
          <w:tcPr>
            <w:tcW w:w="2367" w:type="dxa"/>
            <w:vAlign w:val="top"/>
          </w:tcPr>
          <w:p>
            <w:pPr>
              <w:spacing w:line="315" w:lineRule="auto"/>
              <w:rPr>
                <w:rFonts w:ascii="Arial"/>
                <w:sz w:val="21"/>
              </w:rPr>
            </w:pPr>
            <w:r/>
          </w:p>
          <w:p>
            <w:pPr>
              <w:pStyle w:val="TableText"/>
              <w:ind w:left="83"/>
              <w:spacing w:before="52" w:line="219" w:lineRule="auto"/>
              <w:rPr>
                <w:sz w:val="16"/>
                <w:szCs w:val="16"/>
              </w:rPr>
            </w:pPr>
            <w:r>
              <w:rPr>
                <w:sz w:val="16"/>
                <w:szCs w:val="16"/>
                <w:spacing w:val="1"/>
              </w:rPr>
              <w:t>省短位厉域乡班设都门</w:t>
            </w:r>
          </w:p>
        </w:tc>
        <w:tc>
          <w:tcPr>
            <w:tcW w:w="3711" w:type="dxa"/>
            <w:vAlign w:val="top"/>
          </w:tcPr>
          <w:p>
            <w:pPr>
              <w:pStyle w:val="TableText"/>
              <w:ind w:left="79"/>
              <w:spacing w:before="69" w:line="207" w:lineRule="auto"/>
              <w:rPr>
                <w:sz w:val="16"/>
                <w:szCs w:val="16"/>
              </w:rPr>
            </w:pPr>
            <w:r>
              <w:rPr>
                <w:sz w:val="16"/>
                <w:szCs w:val="16"/>
              </w:rPr>
              <w:t>(中华人民共和国安全生产证)</w:t>
            </w:r>
          </w:p>
          <w:p>
            <w:pPr>
              <w:pStyle w:val="TableText"/>
              <w:spacing w:line="218" w:lineRule="auto"/>
              <w:rPr>
                <w:sz w:val="16"/>
                <w:szCs w:val="16"/>
              </w:rPr>
            </w:pPr>
            <w:r>
              <w:rPr>
                <w:sz w:val="16"/>
                <w:szCs w:val="16"/>
                <w:spacing w:val="-3"/>
              </w:rPr>
              <w:t>《建设工程安全生产管理布例》</w:t>
            </w:r>
          </w:p>
          <w:p>
            <w:pPr>
              <w:pStyle w:val="TableText"/>
              <w:ind w:left="56" w:right="132"/>
              <w:spacing w:before="21" w:line="225" w:lineRule="auto"/>
              <w:rPr>
                <w:sz w:val="16"/>
                <w:szCs w:val="16"/>
              </w:rPr>
            </w:pPr>
            <w:r>
              <w:rPr>
                <w:sz w:val="16"/>
                <w:szCs w:val="16"/>
                <w:spacing w:val="-1"/>
              </w:rPr>
              <w:t>建筑填工全业主要何责人，项目负有人和专职安全</w:t>
            </w:r>
            <w:r>
              <w:rPr>
                <w:sz w:val="16"/>
                <w:szCs w:val="16"/>
                <w:spacing w:val="12"/>
              </w:rPr>
              <w:t xml:space="preserve"> </w:t>
            </w:r>
            <w:r>
              <w:rPr>
                <w:sz w:val="16"/>
                <w:szCs w:val="16"/>
                <w:spacing w:val="-1"/>
              </w:rPr>
              <w:t>生产管型人员安全生产要理展定</w:t>
            </w:r>
          </w:p>
        </w:tc>
      </w:tr>
      <w:tr>
        <w:trPr>
          <w:trHeight w:val="859" w:hRule="atLeast"/>
        </w:trPr>
        <w:tc>
          <w:tcPr>
            <w:tcW w:w="574" w:type="dxa"/>
            <w:vAlign w:val="top"/>
          </w:tcPr>
          <w:p>
            <w:pPr>
              <w:spacing w:line="337" w:lineRule="auto"/>
              <w:rPr>
                <w:rFonts w:ascii="Arial"/>
                <w:sz w:val="21"/>
              </w:rPr>
            </w:pPr>
            <w:r/>
          </w:p>
          <w:p>
            <w:pPr>
              <w:pStyle w:val="TableText"/>
              <w:ind w:left="154"/>
              <w:spacing w:before="52" w:line="183" w:lineRule="auto"/>
              <w:rPr>
                <w:sz w:val="16"/>
                <w:szCs w:val="16"/>
              </w:rPr>
            </w:pPr>
            <w:r>
              <w:rPr>
                <w:sz w:val="16"/>
                <w:szCs w:val="16"/>
                <w:spacing w:val="-2"/>
              </w:rPr>
              <w:t>242</w:t>
            </w:r>
          </w:p>
        </w:tc>
        <w:tc>
          <w:tcPr>
            <w:tcW w:w="1299" w:type="dxa"/>
            <w:vAlign w:val="top"/>
          </w:tcPr>
          <w:p>
            <w:pPr>
              <w:spacing w:line="296" w:lineRule="auto"/>
              <w:rPr>
                <w:rFonts w:ascii="Arial"/>
                <w:sz w:val="21"/>
              </w:rPr>
            </w:pPr>
            <w:r/>
          </w:p>
          <w:p>
            <w:pPr>
              <w:pStyle w:val="TableText"/>
              <w:ind w:left="80"/>
              <w:spacing w:before="52" w:line="219" w:lineRule="auto"/>
              <w:rPr>
                <w:sz w:val="16"/>
                <w:szCs w:val="16"/>
              </w:rPr>
            </w:pPr>
            <w:r>
              <w:rPr>
                <w:sz w:val="16"/>
                <w:szCs w:val="16"/>
                <w:spacing w:val="-1"/>
              </w:rPr>
              <w:t>化团城车建设前</w:t>
            </w:r>
          </w:p>
        </w:tc>
        <w:tc>
          <w:tcPr>
            <w:tcW w:w="1648" w:type="dxa"/>
            <w:vAlign w:val="top"/>
          </w:tcPr>
          <w:p>
            <w:pPr>
              <w:pStyle w:val="TableText"/>
              <w:ind w:left="42" w:right="154" w:firstLine="10"/>
              <w:spacing w:before="249" w:line="219" w:lineRule="auto"/>
              <w:rPr>
                <w:sz w:val="16"/>
                <w:szCs w:val="16"/>
              </w:rPr>
            </w:pPr>
            <w:r>
              <w:rPr>
                <w:sz w:val="16"/>
                <w:szCs w:val="16"/>
                <w:spacing w:val="-1"/>
              </w:rPr>
              <w:t>理算蓬工特科作业人</w:t>
            </w:r>
            <w:r>
              <w:rPr>
                <w:sz w:val="16"/>
                <w:szCs w:val="16"/>
              </w:rPr>
              <w:t xml:space="preserve"> </w:t>
            </w:r>
            <w:r>
              <w:rPr>
                <w:sz w:val="16"/>
                <w:szCs w:val="16"/>
                <w:spacing w:val="-1"/>
              </w:rPr>
              <w:t>业职业府枯认定</w:t>
            </w:r>
          </w:p>
        </w:tc>
        <w:tc>
          <w:tcPr>
            <w:tcW w:w="2367" w:type="dxa"/>
            <w:vAlign w:val="top"/>
          </w:tcPr>
          <w:p>
            <w:pPr>
              <w:spacing w:line="295" w:lineRule="auto"/>
              <w:rPr>
                <w:rFonts w:ascii="Arial"/>
                <w:sz w:val="21"/>
              </w:rPr>
            </w:pPr>
            <w:r/>
          </w:p>
          <w:p>
            <w:pPr>
              <w:pStyle w:val="TableText"/>
              <w:ind w:left="83"/>
              <w:spacing w:before="52" w:line="219" w:lineRule="auto"/>
              <w:rPr>
                <w:sz w:val="16"/>
                <w:szCs w:val="16"/>
              </w:rPr>
            </w:pPr>
            <w:r>
              <w:rPr>
                <w:sz w:val="16"/>
                <w:szCs w:val="16"/>
                <w:spacing w:val="1"/>
              </w:rPr>
              <w:t>有级佳市提与理设部门</w:t>
            </w:r>
          </w:p>
        </w:tc>
        <w:tc>
          <w:tcPr>
            <w:tcW w:w="3711" w:type="dxa"/>
            <w:vAlign w:val="top"/>
          </w:tcPr>
          <w:p>
            <w:pPr>
              <w:pStyle w:val="TableText"/>
              <w:ind w:left="56"/>
              <w:spacing w:before="70" w:line="231" w:lineRule="auto"/>
              <w:rPr>
                <w:sz w:val="16"/>
                <w:szCs w:val="16"/>
              </w:rPr>
            </w:pPr>
            <w:r>
              <w:rPr>
                <w:sz w:val="16"/>
                <w:szCs w:val="16"/>
                <w:spacing w:val="2"/>
              </w:rPr>
              <w:t>1中华人民共和偏安全生产法)</w:t>
            </w:r>
          </w:p>
          <w:p>
            <w:pPr>
              <w:pStyle w:val="TableText"/>
              <w:ind w:left="56"/>
              <w:spacing w:line="207" w:lineRule="auto"/>
              <w:rPr>
                <w:sz w:val="16"/>
                <w:szCs w:val="16"/>
              </w:rPr>
            </w:pPr>
            <w:r>
              <w:rPr>
                <w:sz w:val="16"/>
                <w:szCs w:val="16"/>
                <w:spacing w:val="-1"/>
              </w:rPr>
              <w:t>(建设工程安全生产登理亲例》</w:t>
            </w:r>
          </w:p>
          <w:p>
            <w:pPr>
              <w:pStyle w:val="TableText"/>
              <w:ind w:left="56"/>
              <w:spacing w:line="231" w:lineRule="auto"/>
              <w:rPr>
                <w:sz w:val="16"/>
                <w:szCs w:val="16"/>
              </w:rPr>
            </w:pPr>
            <w:r>
              <w:rPr>
                <w:sz w:val="16"/>
                <w:szCs w:val="16"/>
              </w:rPr>
              <w:t>费筑起重机技安全监管管理营》</w:t>
            </w:r>
          </w:p>
          <w:p>
            <w:pPr>
              <w:pStyle w:val="TableText"/>
              <w:ind w:left="56"/>
              <w:spacing w:line="219" w:lineRule="auto"/>
              <w:rPr>
                <w:sz w:val="16"/>
                <w:szCs w:val="16"/>
              </w:rPr>
            </w:pPr>
            <w:r>
              <w:rPr>
                <w:sz w:val="16"/>
                <w:szCs w:val="16"/>
              </w:rPr>
              <w:t>1国金取业资格目录(2021年前)》</w:t>
            </w:r>
          </w:p>
        </w:tc>
      </w:tr>
      <w:tr>
        <w:trPr>
          <w:trHeight w:val="679" w:hRule="atLeast"/>
        </w:trPr>
        <w:tc>
          <w:tcPr>
            <w:tcW w:w="574" w:type="dxa"/>
            <w:vAlign w:val="top"/>
          </w:tcPr>
          <w:p>
            <w:pPr>
              <w:spacing w:line="249" w:lineRule="auto"/>
              <w:rPr>
                <w:rFonts w:ascii="Arial"/>
                <w:sz w:val="21"/>
              </w:rPr>
            </w:pPr>
            <w:r/>
          </w:p>
          <w:p>
            <w:pPr>
              <w:pStyle w:val="TableText"/>
              <w:ind w:left="154"/>
              <w:spacing w:before="52" w:line="183" w:lineRule="auto"/>
              <w:rPr>
                <w:sz w:val="16"/>
                <w:szCs w:val="16"/>
              </w:rPr>
            </w:pPr>
            <w:r>
              <w:rPr>
                <w:sz w:val="16"/>
                <w:szCs w:val="16"/>
                <w:spacing w:val="-2"/>
              </w:rPr>
              <w:t>243</w:t>
            </w:r>
          </w:p>
        </w:tc>
        <w:tc>
          <w:tcPr>
            <w:tcW w:w="1299" w:type="dxa"/>
            <w:vAlign w:val="top"/>
          </w:tcPr>
          <w:p>
            <w:pPr>
              <w:pStyle w:val="TableText"/>
              <w:ind w:left="80"/>
              <w:spacing w:before="261" w:line="219" w:lineRule="auto"/>
              <w:rPr>
                <w:sz w:val="16"/>
                <w:szCs w:val="16"/>
              </w:rPr>
            </w:pPr>
            <w:r>
              <w:rPr>
                <w:sz w:val="16"/>
                <w:szCs w:val="16"/>
                <w:spacing w:val="-1"/>
              </w:rPr>
              <w:t>伟屏城乡建证高</w:t>
            </w:r>
          </w:p>
        </w:tc>
        <w:tc>
          <w:tcPr>
            <w:tcW w:w="1648" w:type="dxa"/>
            <w:vAlign w:val="top"/>
          </w:tcPr>
          <w:p>
            <w:pPr>
              <w:pStyle w:val="TableText"/>
              <w:ind w:left="42" w:right="161"/>
              <w:spacing w:before="171" w:line="226" w:lineRule="auto"/>
              <w:rPr>
                <w:sz w:val="16"/>
                <w:szCs w:val="16"/>
              </w:rPr>
            </w:pPr>
            <w:r>
              <w:rPr>
                <w:sz w:val="16"/>
                <w:szCs w:val="16"/>
                <w:spacing w:val="-1"/>
              </w:rPr>
              <w:t>超形高基建筑工程抗</w:t>
            </w:r>
            <w:r>
              <w:rPr>
                <w:sz w:val="16"/>
                <w:szCs w:val="16"/>
                <w:spacing w:val="2"/>
              </w:rPr>
              <w:t xml:space="preserve"> </w:t>
            </w:r>
            <w:r>
              <w:rPr>
                <w:sz w:val="16"/>
                <w:szCs w:val="16"/>
                <w:spacing w:val="-2"/>
              </w:rPr>
              <w:t>震设曲菲批</w:t>
            </w:r>
          </w:p>
        </w:tc>
        <w:tc>
          <w:tcPr>
            <w:tcW w:w="2367" w:type="dxa"/>
            <w:vAlign w:val="top"/>
          </w:tcPr>
          <w:p>
            <w:pPr>
              <w:pStyle w:val="TableText"/>
              <w:ind w:left="83"/>
              <w:spacing w:before="261" w:line="219" w:lineRule="auto"/>
              <w:rPr>
                <w:sz w:val="16"/>
                <w:szCs w:val="16"/>
              </w:rPr>
            </w:pPr>
            <w:r>
              <w:rPr>
                <w:sz w:val="16"/>
                <w:szCs w:val="16"/>
                <w:spacing w:val="1"/>
              </w:rPr>
              <w:t>古额作房疑乡建设而门</w:t>
            </w:r>
          </w:p>
        </w:tc>
        <w:tc>
          <w:tcPr>
            <w:tcW w:w="3711" w:type="dxa"/>
            <w:vAlign w:val="top"/>
          </w:tcPr>
          <w:p>
            <w:pPr>
              <w:pStyle w:val="TableText"/>
              <w:ind w:left="56"/>
              <w:spacing w:before="81" w:line="219" w:lineRule="auto"/>
              <w:rPr>
                <w:sz w:val="16"/>
                <w:szCs w:val="16"/>
              </w:rPr>
            </w:pPr>
            <w:r>
              <w:rPr>
                <w:sz w:val="16"/>
                <w:szCs w:val="16"/>
                <w:spacing w:val="1"/>
              </w:rPr>
              <w:t>建没工程抗览管理素例</w:t>
            </w:r>
          </w:p>
          <w:p>
            <w:pPr>
              <w:pStyle w:val="TableText"/>
              <w:ind w:left="56" w:right="217" w:firstLine="60"/>
              <w:spacing w:line="225" w:lineRule="auto"/>
              <w:rPr>
                <w:sz w:val="16"/>
                <w:szCs w:val="16"/>
              </w:rPr>
            </w:pPr>
            <w:r>
              <w:rPr>
                <w:sz w:val="16"/>
                <w:szCs w:val="16"/>
              </w:rPr>
              <w:t>国务能对疫备保管的行收留批统目设定行故行可</w:t>
            </w:r>
            <w:r>
              <w:rPr>
                <w:sz w:val="16"/>
                <w:szCs w:val="16"/>
                <w:spacing w:val="5"/>
              </w:rPr>
              <w:t xml:space="preserve"> </w:t>
            </w:r>
            <w:r>
              <w:rPr>
                <w:sz w:val="16"/>
                <w:szCs w:val="16"/>
                <w:spacing w:val="4"/>
              </w:rPr>
              <w:t>的次应1</w:t>
            </w:r>
          </w:p>
        </w:tc>
      </w:tr>
      <w:tr>
        <w:trPr>
          <w:trHeight w:val="469" w:hRule="atLeast"/>
        </w:trPr>
        <w:tc>
          <w:tcPr>
            <w:tcW w:w="574" w:type="dxa"/>
            <w:vAlign w:val="top"/>
          </w:tcPr>
          <w:p>
            <w:pPr>
              <w:pStyle w:val="TableText"/>
              <w:ind w:left="154"/>
              <w:spacing w:before="203" w:line="184" w:lineRule="auto"/>
              <w:rPr>
                <w:sz w:val="16"/>
                <w:szCs w:val="16"/>
              </w:rPr>
            </w:pPr>
            <w:r>
              <w:rPr>
                <w:sz w:val="16"/>
                <w:szCs w:val="16"/>
                <w:spacing w:val="-2"/>
              </w:rPr>
              <w:t>214</w:t>
            </w:r>
          </w:p>
        </w:tc>
        <w:tc>
          <w:tcPr>
            <w:tcW w:w="1299" w:type="dxa"/>
            <w:vAlign w:val="top"/>
          </w:tcPr>
          <w:p>
            <w:pPr>
              <w:pStyle w:val="TableText"/>
              <w:ind w:left="80"/>
              <w:spacing w:before="162" w:line="219" w:lineRule="auto"/>
              <w:rPr>
                <w:sz w:val="16"/>
                <w:szCs w:val="16"/>
              </w:rPr>
            </w:pPr>
            <w:r>
              <w:rPr>
                <w:sz w:val="16"/>
                <w:szCs w:val="16"/>
                <w:spacing w:val="-1"/>
              </w:rPr>
              <w:t>住屏租乡建设部</w:t>
            </w:r>
          </w:p>
        </w:tc>
        <w:tc>
          <w:tcPr>
            <w:tcW w:w="1648" w:type="dxa"/>
            <w:vAlign w:val="top"/>
          </w:tcPr>
          <w:p>
            <w:pPr>
              <w:pStyle w:val="TableText"/>
              <w:ind w:left="42"/>
              <w:spacing w:before="161" w:line="218" w:lineRule="auto"/>
              <w:rPr>
                <w:sz w:val="16"/>
                <w:szCs w:val="16"/>
              </w:rPr>
            </w:pPr>
            <w:r>
              <w:rPr>
                <w:sz w:val="16"/>
                <w:szCs w:val="16"/>
                <w:spacing w:val="-1"/>
              </w:rPr>
              <w:t>房原产估价障在朗</w:t>
            </w:r>
          </w:p>
        </w:tc>
        <w:tc>
          <w:tcPr>
            <w:tcW w:w="2367" w:type="dxa"/>
            <w:vAlign w:val="top"/>
          </w:tcPr>
          <w:p>
            <w:pPr>
              <w:pStyle w:val="TableText"/>
              <w:ind w:left="83" w:right="238" w:hanging="39"/>
              <w:spacing w:before="72" w:line="220" w:lineRule="auto"/>
              <w:rPr>
                <w:sz w:val="16"/>
                <w:szCs w:val="16"/>
              </w:rPr>
            </w:pPr>
            <w:r>
              <w:rPr>
                <w:sz w:val="16"/>
                <w:szCs w:val="16"/>
                <w:spacing w:val="-1"/>
              </w:rPr>
              <w:t>住房械子建设整会同自然资骤</w:t>
            </w:r>
            <w:r>
              <w:rPr>
                <w:sz w:val="16"/>
                <w:szCs w:val="16"/>
                <w:spacing w:val="6"/>
              </w:rPr>
              <w:t xml:space="preserve"> </w:t>
            </w:r>
            <w:r>
              <w:rPr>
                <w:sz w:val="16"/>
                <w:szCs w:val="16"/>
              </w:rPr>
              <w:t>声</w:t>
            </w:r>
          </w:p>
        </w:tc>
        <w:tc>
          <w:tcPr>
            <w:tcW w:w="3711" w:type="dxa"/>
            <w:vAlign w:val="top"/>
          </w:tcPr>
          <w:p>
            <w:pPr>
              <w:pStyle w:val="TableText"/>
              <w:ind w:left="56"/>
              <w:spacing w:before="52" w:line="230" w:lineRule="exact"/>
              <w:rPr>
                <w:sz w:val="16"/>
                <w:szCs w:val="16"/>
              </w:rPr>
            </w:pPr>
            <w:r>
              <w:rPr>
                <w:sz w:val="16"/>
                <w:szCs w:val="16"/>
                <w:spacing w:val="-1"/>
                <w:position w:val="5"/>
              </w:rPr>
              <w:t>1中早人民共和国域市界地严登解比》</w:t>
            </w:r>
          </w:p>
          <w:p>
            <w:pPr>
              <w:pStyle w:val="TableText"/>
              <w:ind w:left="56"/>
              <w:spacing w:line="203" w:lineRule="auto"/>
              <w:rPr>
                <w:sz w:val="16"/>
                <w:szCs w:val="16"/>
              </w:rPr>
            </w:pPr>
            <w:r>
              <w:rPr>
                <w:sz w:val="16"/>
                <w:szCs w:val="16"/>
                <w:spacing w:val="-1"/>
              </w:rPr>
              <w:t>家职业资格日去1201年动)?</w:t>
            </w:r>
          </w:p>
        </w:tc>
      </w:tr>
      <w:tr>
        <w:trPr>
          <w:trHeight w:val="469" w:hRule="atLeast"/>
        </w:trPr>
        <w:tc>
          <w:tcPr>
            <w:tcW w:w="574" w:type="dxa"/>
            <w:vAlign w:val="top"/>
          </w:tcPr>
          <w:p>
            <w:pPr>
              <w:pStyle w:val="TableText"/>
              <w:ind w:left="154"/>
              <w:spacing w:before="204" w:line="183" w:lineRule="auto"/>
              <w:rPr>
                <w:sz w:val="16"/>
                <w:szCs w:val="16"/>
              </w:rPr>
            </w:pPr>
            <w:r>
              <w:rPr>
                <w:sz w:val="16"/>
                <w:szCs w:val="16"/>
                <w:spacing w:val="-2"/>
              </w:rPr>
              <w:t>245</w:t>
            </w:r>
          </w:p>
        </w:tc>
        <w:tc>
          <w:tcPr>
            <w:tcW w:w="1299" w:type="dxa"/>
            <w:vAlign w:val="top"/>
          </w:tcPr>
          <w:p>
            <w:pPr>
              <w:pStyle w:val="TableText"/>
              <w:ind w:left="80"/>
              <w:spacing w:before="163" w:line="219" w:lineRule="auto"/>
              <w:rPr>
                <w:sz w:val="16"/>
                <w:szCs w:val="16"/>
              </w:rPr>
            </w:pPr>
            <w:r>
              <w:rPr>
                <w:sz w:val="16"/>
                <w:szCs w:val="16"/>
                <w:spacing w:val="-1"/>
              </w:rPr>
              <w:t>在房社乡建设都</w:t>
            </w:r>
          </w:p>
        </w:tc>
        <w:tc>
          <w:tcPr>
            <w:tcW w:w="1648" w:type="dxa"/>
            <w:vAlign w:val="top"/>
          </w:tcPr>
          <w:p>
            <w:pPr>
              <w:pStyle w:val="TableText"/>
              <w:ind w:left="42"/>
              <w:spacing w:before="164" w:line="220" w:lineRule="auto"/>
              <w:rPr>
                <w:sz w:val="16"/>
                <w:szCs w:val="16"/>
              </w:rPr>
            </w:pPr>
            <w:r>
              <w:rPr>
                <w:sz w:val="16"/>
                <w:szCs w:val="16"/>
                <w:spacing w:val="1"/>
              </w:rPr>
              <w:t>商品房预世计列</w:t>
            </w:r>
          </w:p>
        </w:tc>
        <w:tc>
          <w:tcPr>
            <w:tcW w:w="2367" w:type="dxa"/>
            <w:vAlign w:val="top"/>
          </w:tcPr>
          <w:p>
            <w:pPr>
              <w:pStyle w:val="TableText"/>
              <w:ind w:left="83" w:right="40"/>
              <w:spacing w:before="53" w:line="225" w:lineRule="auto"/>
              <w:rPr>
                <w:sz w:val="16"/>
                <w:szCs w:val="16"/>
              </w:rPr>
            </w:pPr>
            <w:r>
              <w:rPr>
                <w:sz w:val="16"/>
                <w:szCs w:val="16"/>
                <w:spacing w:val="-1"/>
              </w:rPr>
              <w:t>直躺市，设区的市规，县城住房</w:t>
            </w:r>
            <w:r>
              <w:rPr>
                <w:sz w:val="16"/>
                <w:szCs w:val="16"/>
                <w:spacing w:val="5"/>
              </w:rPr>
              <w:t xml:space="preserve"> </w:t>
            </w:r>
            <w:r>
              <w:rPr>
                <w:sz w:val="16"/>
                <w:szCs w:val="16"/>
                <w:spacing w:val="1"/>
              </w:rPr>
              <w:t>版安建设(房产)部门</w:t>
            </w:r>
          </w:p>
        </w:tc>
        <w:tc>
          <w:tcPr>
            <w:tcW w:w="3711" w:type="dxa"/>
            <w:vAlign w:val="top"/>
          </w:tcPr>
          <w:p>
            <w:pPr>
              <w:pStyle w:val="TableText"/>
              <w:ind w:left="56"/>
              <w:spacing w:before="163" w:line="219" w:lineRule="auto"/>
              <w:rPr>
                <w:sz w:val="16"/>
                <w:szCs w:val="16"/>
              </w:rPr>
            </w:pPr>
            <w:r>
              <w:rPr>
                <w:sz w:val="16"/>
                <w:szCs w:val="16"/>
                <w:spacing w:val="-1"/>
              </w:rPr>
              <w:t>1中华人民共和国城形房地产看理比》</w:t>
            </w:r>
          </w:p>
        </w:tc>
      </w:tr>
      <w:tr>
        <w:trPr>
          <w:trHeight w:val="669" w:hRule="atLeast"/>
        </w:trPr>
        <w:tc>
          <w:tcPr>
            <w:tcW w:w="574" w:type="dxa"/>
            <w:vAlign w:val="top"/>
          </w:tcPr>
          <w:p>
            <w:pPr>
              <w:pStyle w:val="TableText"/>
              <w:ind w:left="234"/>
              <w:spacing w:before="280" w:line="241" w:lineRule="auto"/>
              <w:rPr>
                <w:sz w:val="16"/>
                <w:szCs w:val="16"/>
              </w:rPr>
            </w:pPr>
            <w:r>
              <w:rPr>
                <w:sz w:val="16"/>
                <w:szCs w:val="16"/>
              </w:rPr>
              <w:t>f</w:t>
            </w:r>
          </w:p>
        </w:tc>
        <w:tc>
          <w:tcPr>
            <w:tcW w:w="1299" w:type="dxa"/>
            <w:vAlign w:val="top"/>
          </w:tcPr>
          <w:p>
            <w:pPr>
              <w:pStyle w:val="TableText"/>
              <w:ind w:left="80"/>
              <w:spacing w:before="264" w:line="219" w:lineRule="auto"/>
              <w:rPr>
                <w:sz w:val="16"/>
                <w:szCs w:val="16"/>
              </w:rPr>
            </w:pPr>
            <w:r>
              <w:rPr>
                <w:sz w:val="16"/>
                <w:szCs w:val="16"/>
                <w:spacing w:val="-1"/>
              </w:rPr>
              <w:t>住房械乡足设部</w:t>
            </w:r>
          </w:p>
        </w:tc>
        <w:tc>
          <w:tcPr>
            <w:tcW w:w="1648" w:type="dxa"/>
            <w:vAlign w:val="top"/>
          </w:tcPr>
          <w:p>
            <w:pPr>
              <w:pStyle w:val="TableText"/>
              <w:ind w:left="42" w:right="128" w:firstLine="10"/>
              <w:spacing w:before="163" w:line="232" w:lineRule="auto"/>
              <w:rPr>
                <w:sz w:val="16"/>
                <w:szCs w:val="16"/>
              </w:rPr>
            </w:pPr>
            <w:r>
              <w:rPr>
                <w:sz w:val="16"/>
                <w:szCs w:val="16"/>
                <w:spacing w:val="1"/>
              </w:rPr>
              <w:t>病地产开堂企业资质</w:t>
            </w:r>
            <w:r>
              <w:rPr>
                <w:sz w:val="16"/>
                <w:szCs w:val="16"/>
                <w:spacing w:val="7"/>
              </w:rPr>
              <w:t xml:space="preserve"> </w:t>
            </w:r>
            <w:r>
              <w:rPr>
                <w:sz w:val="16"/>
                <w:szCs w:val="16"/>
                <w:spacing w:val="-3"/>
              </w:rPr>
              <w:t>核定</w:t>
            </w:r>
          </w:p>
        </w:tc>
        <w:tc>
          <w:tcPr>
            <w:tcW w:w="2367" w:type="dxa"/>
            <w:vAlign w:val="top"/>
          </w:tcPr>
          <w:p>
            <w:pPr>
              <w:pStyle w:val="TableText"/>
              <w:ind w:left="83" w:right="20"/>
              <w:spacing w:before="63" w:line="229" w:lineRule="auto"/>
              <w:jc w:val="both"/>
              <w:rPr>
                <w:sz w:val="16"/>
                <w:szCs w:val="16"/>
              </w:rPr>
            </w:pPr>
            <w:r>
              <w:rPr>
                <w:sz w:val="16"/>
                <w:szCs w:val="16"/>
                <w:spacing w:val="-1"/>
              </w:rPr>
              <w:t>住房城乡建政部《击省板住命通</w:t>
            </w:r>
            <w:r>
              <w:rPr>
                <w:sz w:val="16"/>
                <w:szCs w:val="16"/>
                <w:spacing w:val="7"/>
              </w:rPr>
              <w:t xml:space="preserve"> </w:t>
            </w:r>
            <w:r>
              <w:rPr>
                <w:sz w:val="16"/>
                <w:szCs w:val="16"/>
              </w:rPr>
              <w:t>乡建设都门受建，百址，设区的</w:t>
            </w:r>
            <w:r>
              <w:rPr>
                <w:sz w:val="16"/>
                <w:szCs w:val="16"/>
                <w:spacing w:val="11"/>
              </w:rPr>
              <w:t xml:space="preserve"> </w:t>
            </w:r>
            <w:r>
              <w:rPr>
                <w:sz w:val="16"/>
                <w:szCs w:val="16"/>
                <w:spacing w:val="1"/>
              </w:rPr>
              <w:t>市酸体房城类建设部门</w:t>
            </w:r>
          </w:p>
        </w:tc>
        <w:tc>
          <w:tcPr>
            <w:tcW w:w="3711" w:type="dxa"/>
            <w:vAlign w:val="top"/>
          </w:tcPr>
          <w:p>
            <w:pPr>
              <w:pStyle w:val="TableText"/>
              <w:spacing w:before="174" w:line="231" w:lineRule="auto"/>
              <w:rPr>
                <w:sz w:val="16"/>
                <w:szCs w:val="16"/>
              </w:rPr>
            </w:pPr>
            <w:r>
              <w:rPr>
                <w:sz w:val="16"/>
                <w:szCs w:val="16"/>
                <w:spacing w:val="-3"/>
              </w:rPr>
              <w:t>《城市病总产开发经食管理车例》</w:t>
            </w:r>
          </w:p>
          <w:p>
            <w:pPr>
              <w:pStyle w:val="TableText"/>
              <w:spacing w:line="219" w:lineRule="auto"/>
              <w:rPr>
                <w:sz w:val="16"/>
                <w:szCs w:val="16"/>
              </w:rPr>
            </w:pPr>
            <w:r>
              <w:rPr>
                <w:sz w:val="16"/>
                <w:szCs w:val="16"/>
                <w:spacing w:val="-2"/>
              </w:rPr>
              <w:t>《肉地产并发止业管直管理规望)</w:t>
            </w:r>
          </w:p>
        </w:tc>
      </w:tr>
      <w:tr>
        <w:trPr>
          <w:trHeight w:val="524" w:hRule="atLeast"/>
        </w:trPr>
        <w:tc>
          <w:tcPr>
            <w:tcW w:w="574" w:type="dxa"/>
            <w:vAlign w:val="top"/>
          </w:tcPr>
          <w:p>
            <w:pPr>
              <w:pStyle w:val="TableText"/>
              <w:ind w:left="194"/>
              <w:spacing w:before="201"/>
              <w:rPr>
                <w:sz w:val="16"/>
                <w:szCs w:val="16"/>
              </w:rPr>
            </w:pPr>
            <w:r>
              <w:rPr>
                <w:sz w:val="16"/>
                <w:szCs w:val="16"/>
                <w:spacing w:val="-4"/>
              </w:rPr>
              <w:t>ai</w:t>
            </w:r>
          </w:p>
        </w:tc>
        <w:tc>
          <w:tcPr>
            <w:tcW w:w="1299" w:type="dxa"/>
            <w:vAlign w:val="top"/>
          </w:tcPr>
          <w:p>
            <w:pPr>
              <w:pStyle w:val="TableText"/>
              <w:ind w:left="80"/>
              <w:spacing w:before="185" w:line="219" w:lineRule="auto"/>
              <w:rPr>
                <w:sz w:val="16"/>
                <w:szCs w:val="16"/>
              </w:rPr>
            </w:pPr>
            <w:r>
              <w:rPr>
                <w:sz w:val="16"/>
                <w:szCs w:val="16"/>
                <w:spacing w:val="-1"/>
              </w:rPr>
              <w:t>住房城乡理设部</w:t>
            </w:r>
          </w:p>
        </w:tc>
        <w:tc>
          <w:tcPr>
            <w:tcW w:w="1648" w:type="dxa"/>
            <w:vAlign w:val="top"/>
          </w:tcPr>
          <w:p>
            <w:pPr>
              <w:pStyle w:val="TableText"/>
              <w:ind w:left="42" w:right="24" w:hanging="20"/>
              <w:spacing w:before="84" w:line="242" w:lineRule="auto"/>
              <w:rPr>
                <w:sz w:val="16"/>
                <w:szCs w:val="16"/>
              </w:rPr>
            </w:pPr>
            <w:r>
              <w:rPr>
                <w:sz w:val="16"/>
                <w:szCs w:val="16"/>
                <w:spacing w:val="-1"/>
              </w:rPr>
              <w:t>关用，闲置，吞除城剂</w:t>
            </w:r>
            <w:r>
              <w:rPr>
                <w:sz w:val="16"/>
                <w:szCs w:val="16"/>
              </w:rPr>
              <w:t xml:space="preserve"> </w:t>
            </w:r>
            <w:r>
              <w:rPr>
                <w:sz w:val="16"/>
                <w:szCs w:val="16"/>
                <w:spacing w:val="2"/>
              </w:rPr>
              <w:t>琳境卫生说练许州</w:t>
            </w:r>
          </w:p>
        </w:tc>
        <w:tc>
          <w:tcPr>
            <w:tcW w:w="2367" w:type="dxa"/>
            <w:vAlign w:val="top"/>
          </w:tcPr>
          <w:p>
            <w:pPr>
              <w:pStyle w:val="TableText"/>
              <w:ind w:left="83" w:right="50" w:hanging="10"/>
              <w:spacing w:before="95" w:line="236" w:lineRule="auto"/>
              <w:rPr>
                <w:sz w:val="16"/>
                <w:szCs w:val="16"/>
              </w:rPr>
            </w:pPr>
            <w:r>
              <w:rPr>
                <w:sz w:val="16"/>
                <w:szCs w:val="16"/>
                <w:spacing w:val="-1"/>
              </w:rPr>
              <w:t>直落市，设低的市理，县理环细</w:t>
            </w:r>
            <w:r>
              <w:rPr>
                <w:sz w:val="16"/>
                <w:szCs w:val="16"/>
                <w:spacing w:val="5"/>
              </w:rPr>
              <w:t xml:space="preserve"> </w:t>
            </w:r>
            <w:r>
              <w:rPr>
                <w:sz w:val="16"/>
                <w:szCs w:val="16"/>
                <w:spacing w:val="-1"/>
              </w:rPr>
              <w:t>卫生部门会间生本叶流部(</w:t>
            </w:r>
          </w:p>
        </w:tc>
        <w:tc>
          <w:tcPr>
            <w:tcW w:w="3711" w:type="dxa"/>
            <w:vAlign w:val="top"/>
          </w:tcPr>
          <w:p>
            <w:pPr>
              <w:pStyle w:val="TableText"/>
              <w:spacing w:before="185" w:line="219" w:lineRule="auto"/>
              <w:rPr>
                <w:sz w:val="16"/>
                <w:szCs w:val="16"/>
              </w:rPr>
            </w:pPr>
            <w:r>
              <w:rPr>
                <w:sz w:val="16"/>
                <w:szCs w:val="16"/>
                <w:spacing w:val="-2"/>
              </w:rPr>
              <w:t>《中毕人民共和国据体壹些范除环境防给乱》</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48704"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216" name="TextBox 216"/>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8" style="position:absolute;margin-left:37.3042pt;margin-top:345.373pt;mso-position-vertical-relative:page;mso-position-horizontal-relative:page;width:13.1pt;height:12.4pt;z-index:25184870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189</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77"/>
        <w:gridCol w:w="3701"/>
      </w:tblGrid>
      <w:tr>
        <w:trPr>
          <w:trHeight w:val="415" w:hRule="atLeast"/>
        </w:trPr>
        <w:tc>
          <w:tcPr>
            <w:tcW w:w="594" w:type="dxa"/>
            <w:vAlign w:val="top"/>
          </w:tcPr>
          <w:p>
            <w:pPr>
              <w:pStyle w:val="TableText"/>
              <w:ind w:left="124"/>
              <w:spacing w:before="132" w:line="221" w:lineRule="auto"/>
              <w:rPr>
                <w:sz w:val="16"/>
                <w:szCs w:val="16"/>
              </w:rPr>
            </w:pPr>
            <w:r>
              <w:rPr>
                <w:sz w:val="16"/>
                <w:szCs w:val="16"/>
                <w:spacing w:val="4"/>
              </w:rPr>
              <w:t>厚号</w:t>
            </w:r>
          </w:p>
        </w:tc>
        <w:tc>
          <w:tcPr>
            <w:tcW w:w="1289" w:type="dxa"/>
            <w:vAlign w:val="top"/>
          </w:tcPr>
          <w:p>
            <w:pPr>
              <w:pStyle w:val="TableText"/>
              <w:ind w:left="150"/>
              <w:spacing w:before="131" w:line="219" w:lineRule="auto"/>
              <w:rPr>
                <w:sz w:val="16"/>
                <w:szCs w:val="16"/>
              </w:rPr>
            </w:pPr>
            <w:r>
              <w:rPr>
                <w:sz w:val="16"/>
                <w:szCs w:val="16"/>
                <w:spacing w:val="3"/>
              </w:rPr>
              <w:t>中央主营都门</w:t>
            </w:r>
          </w:p>
        </w:tc>
        <w:tc>
          <w:tcPr>
            <w:tcW w:w="1628" w:type="dxa"/>
            <w:vAlign w:val="top"/>
          </w:tcPr>
          <w:p>
            <w:pPr>
              <w:pStyle w:val="TableText"/>
              <w:ind w:left="481"/>
              <w:spacing w:before="131" w:line="219" w:lineRule="auto"/>
              <w:rPr>
                <w:sz w:val="16"/>
                <w:szCs w:val="16"/>
              </w:rPr>
            </w:pPr>
            <w:r>
              <w:rPr>
                <w:sz w:val="16"/>
                <w:szCs w:val="16"/>
                <w:spacing w:val="2"/>
              </w:rPr>
              <w:t>市项名韩</w:t>
            </w:r>
          </w:p>
        </w:tc>
        <w:tc>
          <w:tcPr>
            <w:tcW w:w="2377" w:type="dxa"/>
            <w:vAlign w:val="top"/>
          </w:tcPr>
          <w:p>
            <w:pPr>
              <w:pStyle w:val="TableText"/>
              <w:ind w:left="854"/>
              <w:spacing w:before="130" w:line="219" w:lineRule="auto"/>
              <w:rPr>
                <w:sz w:val="16"/>
                <w:szCs w:val="16"/>
              </w:rPr>
            </w:pPr>
            <w:r>
              <w:rPr>
                <w:sz w:val="16"/>
                <w:szCs w:val="16"/>
                <w:spacing w:val="-2"/>
              </w:rPr>
              <w:t>其牌机丢</w:t>
            </w:r>
          </w:p>
        </w:tc>
        <w:tc>
          <w:tcPr>
            <w:tcW w:w="3701" w:type="dxa"/>
            <w:vAlign w:val="top"/>
          </w:tcPr>
          <w:p>
            <w:pPr>
              <w:pStyle w:val="TableText"/>
              <w:ind w:left="1309"/>
              <w:spacing w:before="129" w:line="220" w:lineRule="auto"/>
              <w:rPr>
                <w:sz w:val="16"/>
                <w:szCs w:val="16"/>
              </w:rPr>
            </w:pPr>
            <w:r>
              <w:rPr>
                <w:sz w:val="16"/>
                <w:szCs w:val="16"/>
                <w:b/>
                <w:bCs/>
              </w:rPr>
              <w:t>设定和实监体易</w:t>
            </w:r>
          </w:p>
        </w:tc>
      </w:tr>
      <w:tr>
        <w:trPr>
          <w:trHeight w:val="459" w:hRule="atLeast"/>
        </w:trPr>
        <w:tc>
          <w:tcPr>
            <w:tcW w:w="594" w:type="dxa"/>
            <w:vAlign w:val="top"/>
          </w:tcPr>
          <w:p>
            <w:pPr>
              <w:pStyle w:val="TableText"/>
              <w:ind w:left="164"/>
              <w:spacing w:before="187" w:line="183" w:lineRule="auto"/>
              <w:rPr>
                <w:sz w:val="16"/>
                <w:szCs w:val="16"/>
              </w:rPr>
            </w:pPr>
            <w:r>
              <w:rPr>
                <w:sz w:val="16"/>
                <w:szCs w:val="16"/>
                <w:spacing w:val="-2"/>
              </w:rPr>
              <w:t>248</w:t>
            </w:r>
          </w:p>
        </w:tc>
        <w:tc>
          <w:tcPr>
            <w:tcW w:w="1289" w:type="dxa"/>
            <w:vAlign w:val="top"/>
          </w:tcPr>
          <w:p>
            <w:pPr>
              <w:pStyle w:val="TableText"/>
              <w:ind w:left="70"/>
              <w:spacing w:before="146" w:line="219" w:lineRule="auto"/>
              <w:rPr>
                <w:sz w:val="16"/>
                <w:szCs w:val="16"/>
              </w:rPr>
            </w:pPr>
            <w:r>
              <w:rPr>
                <w:sz w:val="16"/>
                <w:szCs w:val="16"/>
                <w:spacing w:val="-1"/>
              </w:rPr>
              <w:t>住房城乡腔设属</w:t>
            </w:r>
          </w:p>
        </w:tc>
        <w:tc>
          <w:tcPr>
            <w:tcW w:w="1628" w:type="dxa"/>
            <w:vAlign w:val="top"/>
          </w:tcPr>
          <w:p>
            <w:pPr>
              <w:pStyle w:val="TableText"/>
              <w:ind w:left="12" w:right="105" w:firstLine="69"/>
              <w:spacing w:before="65" w:line="221" w:lineRule="auto"/>
              <w:rPr>
                <w:sz w:val="16"/>
                <w:szCs w:val="16"/>
              </w:rPr>
            </w:pPr>
            <w:r>
              <w:rPr>
                <w:sz w:val="16"/>
                <w:szCs w:val="16"/>
                <w:spacing w:val="-2"/>
              </w:rPr>
              <w:t>系险异技卫生设想请</w:t>
            </w:r>
            <w:r>
              <w:rPr>
                <w:sz w:val="16"/>
                <w:szCs w:val="16"/>
                <w:spacing w:val="7"/>
              </w:rPr>
              <w:t xml:space="preserve"> </w:t>
            </w:r>
            <w:r>
              <w:rPr>
                <w:sz w:val="16"/>
                <w:szCs w:val="16"/>
              </w:rPr>
              <w:t>可</w:t>
            </w:r>
          </w:p>
        </w:tc>
        <w:tc>
          <w:tcPr>
            <w:tcW w:w="2377" w:type="dxa"/>
            <w:vAlign w:val="top"/>
          </w:tcPr>
          <w:p>
            <w:pPr>
              <w:pStyle w:val="TableText"/>
              <w:ind w:left="44"/>
              <w:spacing w:before="145" w:line="219" w:lineRule="auto"/>
              <w:rPr>
                <w:sz w:val="16"/>
                <w:szCs w:val="16"/>
              </w:rPr>
            </w:pPr>
            <w:r>
              <w:rPr>
                <w:sz w:val="16"/>
                <w:szCs w:val="16"/>
                <w:spacing w:val="1"/>
              </w:rPr>
              <w:t>吨巾政府环境卫生警门</w:t>
            </w:r>
          </w:p>
        </w:tc>
        <w:tc>
          <w:tcPr>
            <w:tcW w:w="3701" w:type="dxa"/>
            <w:vAlign w:val="top"/>
          </w:tcPr>
          <w:p>
            <w:pPr>
              <w:pStyle w:val="TableText"/>
              <w:ind w:left="46"/>
              <w:spacing w:before="146" w:line="219" w:lineRule="auto"/>
              <w:rPr>
                <w:sz w:val="16"/>
                <w:szCs w:val="16"/>
              </w:rPr>
            </w:pPr>
            <w:r>
              <w:rPr>
                <w:sz w:val="16"/>
                <w:szCs w:val="16"/>
                <w:spacing w:val="-1"/>
              </w:rPr>
              <w:t>(结市市容和环境卫生骨理条例》</w:t>
            </w:r>
          </w:p>
        </w:tc>
      </w:tr>
      <w:tr>
        <w:trPr>
          <w:trHeight w:val="679" w:hRule="atLeast"/>
        </w:trPr>
        <w:tc>
          <w:tcPr>
            <w:tcW w:w="594" w:type="dxa"/>
            <w:vAlign w:val="top"/>
          </w:tcPr>
          <w:p>
            <w:pPr>
              <w:spacing w:line="245" w:lineRule="auto"/>
              <w:rPr>
                <w:rFonts w:ascii="Arial"/>
                <w:sz w:val="21"/>
              </w:rPr>
            </w:pPr>
            <w:r/>
          </w:p>
          <w:p>
            <w:pPr>
              <w:pStyle w:val="TableText"/>
              <w:ind w:left="164"/>
              <w:spacing w:before="52" w:line="183" w:lineRule="auto"/>
              <w:rPr>
                <w:sz w:val="16"/>
                <w:szCs w:val="16"/>
              </w:rPr>
            </w:pPr>
            <w:r>
              <w:rPr>
                <w:sz w:val="16"/>
                <w:szCs w:val="16"/>
                <w:spacing w:val="-2"/>
              </w:rPr>
              <w:t>249</w:t>
            </w:r>
          </w:p>
        </w:tc>
        <w:tc>
          <w:tcPr>
            <w:tcW w:w="1289" w:type="dxa"/>
            <w:vAlign w:val="top"/>
          </w:tcPr>
          <w:p>
            <w:pPr>
              <w:pStyle w:val="TableText"/>
              <w:ind w:left="70"/>
              <w:spacing w:before="257" w:line="219" w:lineRule="auto"/>
              <w:rPr>
                <w:sz w:val="16"/>
                <w:szCs w:val="16"/>
              </w:rPr>
            </w:pPr>
            <w:r>
              <w:rPr>
                <w:sz w:val="16"/>
                <w:szCs w:val="16"/>
                <w:spacing w:val="-1"/>
              </w:rPr>
              <w:t>住房域多建议部</w:t>
            </w:r>
          </w:p>
        </w:tc>
        <w:tc>
          <w:tcPr>
            <w:tcW w:w="1628" w:type="dxa"/>
            <w:vAlign w:val="top"/>
          </w:tcPr>
          <w:p>
            <w:pPr>
              <w:pStyle w:val="TableText"/>
              <w:ind w:left="42" w:right="104" w:firstLine="39"/>
              <w:spacing w:before="67" w:line="227" w:lineRule="auto"/>
              <w:jc w:val="both"/>
              <w:rPr>
                <w:sz w:val="16"/>
                <w:szCs w:val="16"/>
              </w:rPr>
            </w:pPr>
            <w:r>
              <w:rPr>
                <w:sz w:val="16"/>
                <w:szCs w:val="16"/>
                <w:spacing w:val="-1"/>
              </w:rPr>
              <w:t>从事显市生货垃裂最</w:t>
            </w:r>
            <w:r>
              <w:rPr>
                <w:sz w:val="16"/>
                <w:szCs w:val="16"/>
              </w:rPr>
              <w:t xml:space="preserve"> </w:t>
            </w:r>
            <w:r>
              <w:rPr>
                <w:sz w:val="16"/>
                <w:szCs w:val="16"/>
                <w:spacing w:val="3"/>
              </w:rPr>
              <w:t>教性清扫，花集、运 </w:t>
            </w:r>
            <w:r>
              <w:rPr>
                <w:sz w:val="16"/>
                <w:szCs w:val="16"/>
                <w:spacing w:val="-1"/>
              </w:rPr>
              <w:t>梁，处理服务审批</w:t>
            </w:r>
          </w:p>
        </w:tc>
        <w:tc>
          <w:tcPr>
            <w:tcW w:w="2377" w:type="dxa"/>
            <w:vAlign w:val="top"/>
          </w:tcPr>
          <w:p>
            <w:pPr>
              <w:pStyle w:val="TableText"/>
              <w:ind w:left="44"/>
              <w:spacing w:before="256" w:line="219" w:lineRule="auto"/>
              <w:rPr>
                <w:sz w:val="16"/>
                <w:szCs w:val="16"/>
              </w:rPr>
            </w:pPr>
            <w:r>
              <w:rPr>
                <w:sz w:val="16"/>
                <w:szCs w:val="16"/>
                <w:spacing w:val="1"/>
              </w:rPr>
              <w:t>城市政府环境卫生能门</w:t>
            </w:r>
          </w:p>
        </w:tc>
        <w:tc>
          <w:tcPr>
            <w:tcW w:w="3701" w:type="dxa"/>
            <w:vAlign w:val="top"/>
          </w:tcPr>
          <w:p>
            <w:pPr>
              <w:pStyle w:val="TableText"/>
              <w:ind w:left="46" w:right="197"/>
              <w:spacing w:before="147" w:line="225" w:lineRule="auto"/>
              <w:rPr>
                <w:sz w:val="16"/>
                <w:szCs w:val="16"/>
              </w:rPr>
            </w:pPr>
            <w:r>
              <w:rPr>
                <w:sz w:val="16"/>
                <w:szCs w:val="16"/>
              </w:rPr>
              <w:t>(国各院对询需保留的行政市微项目设定行或许可</w:t>
            </w:r>
            <w:r>
              <w:rPr>
                <w:sz w:val="16"/>
                <w:szCs w:val="16"/>
                <w:spacing w:val="5"/>
              </w:rPr>
              <w:t xml:space="preserve"> </w:t>
            </w:r>
            <w:r>
              <w:rPr>
                <w:sz w:val="16"/>
                <w:szCs w:val="16"/>
                <w:spacing w:val="4"/>
              </w:rPr>
              <w:t>的决定i</w:t>
            </w:r>
          </w:p>
        </w:tc>
      </w:tr>
      <w:tr>
        <w:trPr>
          <w:trHeight w:val="449" w:hRule="atLeast"/>
        </w:trPr>
        <w:tc>
          <w:tcPr>
            <w:tcW w:w="594" w:type="dxa"/>
            <w:vAlign w:val="top"/>
          </w:tcPr>
          <w:p>
            <w:pPr>
              <w:pStyle w:val="TableText"/>
              <w:ind w:left="164"/>
              <w:spacing w:before="189" w:line="183" w:lineRule="auto"/>
              <w:rPr>
                <w:sz w:val="16"/>
                <w:szCs w:val="16"/>
              </w:rPr>
            </w:pPr>
            <w:r>
              <w:rPr>
                <w:sz w:val="16"/>
                <w:szCs w:val="16"/>
                <w:spacing w:val="-2"/>
              </w:rPr>
              <w:t>250</w:t>
            </w:r>
          </w:p>
        </w:tc>
        <w:tc>
          <w:tcPr>
            <w:tcW w:w="1289" w:type="dxa"/>
            <w:vAlign w:val="top"/>
          </w:tcPr>
          <w:p>
            <w:pPr>
              <w:pStyle w:val="TableText"/>
              <w:ind w:left="70"/>
              <w:spacing w:before="148" w:line="219" w:lineRule="auto"/>
              <w:rPr>
                <w:sz w:val="16"/>
                <w:szCs w:val="16"/>
              </w:rPr>
            </w:pPr>
            <w:r>
              <w:rPr>
                <w:sz w:val="16"/>
                <w:szCs w:val="16"/>
                <w:spacing w:val="-1"/>
              </w:rPr>
              <w:t>往房城乡能设路</w:t>
            </w:r>
          </w:p>
        </w:tc>
        <w:tc>
          <w:tcPr>
            <w:tcW w:w="1628" w:type="dxa"/>
            <w:vAlign w:val="top"/>
          </w:tcPr>
          <w:p>
            <w:pPr>
              <w:pStyle w:val="TableText"/>
              <w:ind w:left="22" w:right="102" w:firstLine="59"/>
              <w:spacing w:before="58" w:line="213" w:lineRule="auto"/>
              <w:rPr>
                <w:sz w:val="16"/>
                <w:szCs w:val="16"/>
              </w:rPr>
            </w:pPr>
            <w:r>
              <w:rPr>
                <w:sz w:val="16"/>
                <w:szCs w:val="16"/>
                <w:spacing w:val="-1"/>
              </w:rPr>
              <w:t>城市安筑垃圾处置份</w:t>
            </w:r>
            <w:r>
              <w:rPr>
                <w:sz w:val="16"/>
                <w:szCs w:val="16"/>
                <w:spacing w:val="1"/>
              </w:rPr>
              <w:t xml:space="preserve"> </w:t>
            </w:r>
            <w:r>
              <w:rPr>
                <w:sz w:val="16"/>
                <w:szCs w:val="16"/>
              </w:rPr>
              <w:t>州</w:t>
            </w:r>
          </w:p>
        </w:tc>
        <w:tc>
          <w:tcPr>
            <w:tcW w:w="2377" w:type="dxa"/>
            <w:vAlign w:val="top"/>
          </w:tcPr>
          <w:p>
            <w:pPr>
              <w:pStyle w:val="TableText"/>
              <w:ind w:left="44"/>
              <w:spacing w:before="147" w:line="219" w:lineRule="auto"/>
              <w:rPr>
                <w:sz w:val="16"/>
                <w:szCs w:val="16"/>
              </w:rPr>
            </w:pPr>
            <w:r>
              <w:rPr>
                <w:sz w:val="16"/>
                <w:szCs w:val="16"/>
                <w:spacing w:val="1"/>
              </w:rPr>
              <w:t>地市数府环境卫生部门</w:t>
            </w:r>
          </w:p>
        </w:tc>
        <w:tc>
          <w:tcPr>
            <w:tcW w:w="3701" w:type="dxa"/>
            <w:vAlign w:val="top"/>
          </w:tcPr>
          <w:p>
            <w:pPr>
              <w:pStyle w:val="TableText"/>
              <w:ind w:left="79" w:right="217" w:hanging="79"/>
              <w:spacing w:before="38" w:line="231" w:lineRule="auto"/>
              <w:rPr>
                <w:sz w:val="16"/>
                <w:szCs w:val="16"/>
              </w:rPr>
            </w:pPr>
            <w:r>
              <w:rPr>
                <w:sz w:val="16"/>
                <w:szCs w:val="16"/>
                <w:spacing w:val="-3"/>
              </w:rPr>
              <w:t>《国务貌对确需保留的行改审微项目设定行成许可</w:t>
            </w:r>
            <w:r>
              <w:rPr>
                <w:sz w:val="16"/>
                <w:szCs w:val="16"/>
                <w:spacing w:val="18"/>
              </w:rPr>
              <w:t xml:space="preserve"> </w:t>
            </w:r>
            <w:r>
              <w:rPr>
                <w:sz w:val="16"/>
                <w:szCs w:val="16"/>
                <w:spacing w:val="2"/>
              </w:rPr>
              <w:t>的决定1</w:t>
            </w:r>
          </w:p>
        </w:tc>
      </w:tr>
      <w:tr>
        <w:trPr>
          <w:trHeight w:val="459" w:hRule="atLeast"/>
        </w:trPr>
        <w:tc>
          <w:tcPr>
            <w:tcW w:w="594" w:type="dxa"/>
            <w:vAlign w:val="top"/>
          </w:tcPr>
          <w:p>
            <w:pPr>
              <w:pStyle w:val="TableText"/>
              <w:ind w:left="164"/>
              <w:spacing w:before="190" w:line="184" w:lineRule="auto"/>
              <w:rPr>
                <w:sz w:val="16"/>
                <w:szCs w:val="16"/>
              </w:rPr>
            </w:pPr>
            <w:r>
              <w:rPr>
                <w:sz w:val="16"/>
                <w:szCs w:val="16"/>
                <w:spacing w:val="-2"/>
              </w:rPr>
              <w:t>251</w:t>
            </w:r>
          </w:p>
        </w:tc>
        <w:tc>
          <w:tcPr>
            <w:tcW w:w="1289" w:type="dxa"/>
            <w:vAlign w:val="top"/>
          </w:tcPr>
          <w:p>
            <w:pPr>
              <w:pStyle w:val="TableText"/>
              <w:ind w:left="150"/>
              <w:spacing w:before="149" w:line="219" w:lineRule="auto"/>
              <w:rPr>
                <w:sz w:val="16"/>
                <w:szCs w:val="16"/>
              </w:rPr>
            </w:pPr>
            <w:r>
              <w:rPr>
                <w:sz w:val="16"/>
                <w:szCs w:val="16"/>
                <w:spacing w:val="-1"/>
              </w:rPr>
              <w:t>往房城乡业设</w:t>
            </w:r>
          </w:p>
        </w:tc>
        <w:tc>
          <w:tcPr>
            <w:tcW w:w="1628" w:type="dxa"/>
            <w:vAlign w:val="top"/>
          </w:tcPr>
          <w:p>
            <w:pPr>
              <w:pStyle w:val="TableText"/>
              <w:ind w:left="42" w:right="102" w:firstLine="39"/>
              <w:spacing w:before="49" w:line="220" w:lineRule="auto"/>
              <w:rPr>
                <w:sz w:val="16"/>
                <w:szCs w:val="16"/>
              </w:rPr>
            </w:pPr>
            <w:r>
              <w:rPr>
                <w:sz w:val="16"/>
                <w:szCs w:val="16"/>
                <w:spacing w:val="-1"/>
              </w:rPr>
              <w:t>城镇污求情人推京管</w:t>
            </w:r>
            <w:r>
              <w:rPr>
                <w:sz w:val="16"/>
                <w:szCs w:val="16"/>
                <w:spacing w:val="1"/>
              </w:rPr>
              <w:t xml:space="preserve"> </w:t>
            </w:r>
            <w:r>
              <w:rPr>
                <w:sz w:val="16"/>
                <w:szCs w:val="16"/>
                <w:spacing w:val="-2"/>
              </w:rPr>
              <w:t>两许可</w:t>
            </w:r>
          </w:p>
        </w:tc>
        <w:tc>
          <w:tcPr>
            <w:tcW w:w="2377" w:type="dxa"/>
            <w:vAlign w:val="top"/>
          </w:tcPr>
          <w:p>
            <w:pPr>
              <w:pStyle w:val="TableText"/>
              <w:ind w:left="44" w:right="40" w:firstLine="49"/>
              <w:spacing w:before="58" w:line="225" w:lineRule="auto"/>
              <w:rPr>
                <w:sz w:val="16"/>
                <w:szCs w:val="16"/>
              </w:rPr>
            </w:pPr>
            <w:r>
              <w:rPr>
                <w:sz w:val="16"/>
                <w:szCs w:val="16"/>
                <w:spacing w:val="-1"/>
              </w:rPr>
              <w:t>直籍市、说区的市级、是级碰镇</w:t>
            </w:r>
            <w:r>
              <w:rPr>
                <w:sz w:val="16"/>
                <w:szCs w:val="16"/>
                <w:spacing w:val="5"/>
              </w:rPr>
              <w:t xml:space="preserve"> </w:t>
            </w:r>
            <w:r>
              <w:rPr>
                <w:sz w:val="16"/>
                <w:szCs w:val="16"/>
                <w:spacing w:val="4"/>
              </w:rPr>
              <w:t>推水部门</w:t>
            </w:r>
          </w:p>
        </w:tc>
        <w:tc>
          <w:tcPr>
            <w:tcW w:w="3701" w:type="dxa"/>
            <w:vAlign w:val="top"/>
          </w:tcPr>
          <w:p>
            <w:pPr>
              <w:pStyle w:val="TableText"/>
              <w:ind w:left="46"/>
              <w:spacing w:before="149" w:line="219" w:lineRule="auto"/>
              <w:rPr>
                <w:sz w:val="16"/>
                <w:szCs w:val="16"/>
              </w:rPr>
            </w:pPr>
            <w:r>
              <w:rPr>
                <w:sz w:val="16"/>
                <w:szCs w:val="16"/>
                <w:spacing w:val="2"/>
              </w:rPr>
              <w:t>(城值排水与后水处理条倒)</w:t>
            </w:r>
          </w:p>
        </w:tc>
      </w:tr>
      <w:tr>
        <w:trPr>
          <w:trHeight w:val="459" w:hRule="atLeast"/>
        </w:trPr>
        <w:tc>
          <w:tcPr>
            <w:tcW w:w="594" w:type="dxa"/>
            <w:vAlign w:val="top"/>
          </w:tcPr>
          <w:p>
            <w:pPr>
              <w:pStyle w:val="TableText"/>
              <w:ind w:left="164"/>
              <w:spacing w:before="191" w:line="183" w:lineRule="auto"/>
              <w:rPr>
                <w:sz w:val="16"/>
                <w:szCs w:val="16"/>
              </w:rPr>
            </w:pPr>
            <w:r>
              <w:rPr>
                <w:sz w:val="16"/>
                <w:szCs w:val="16"/>
                <w:spacing w:val="-2"/>
              </w:rPr>
              <w:t>252</w:t>
            </w:r>
          </w:p>
        </w:tc>
        <w:tc>
          <w:tcPr>
            <w:tcW w:w="1289" w:type="dxa"/>
            <w:vAlign w:val="top"/>
          </w:tcPr>
          <w:p>
            <w:pPr>
              <w:pStyle w:val="TableText"/>
              <w:ind w:left="70"/>
              <w:spacing w:before="150" w:line="219" w:lineRule="auto"/>
              <w:rPr>
                <w:sz w:val="16"/>
                <w:szCs w:val="16"/>
              </w:rPr>
            </w:pPr>
            <w:r>
              <w:rPr>
                <w:sz w:val="16"/>
                <w:szCs w:val="16"/>
                <w:spacing w:val="-1"/>
              </w:rPr>
              <w:t>性房城步健设前</w:t>
            </w:r>
          </w:p>
        </w:tc>
        <w:tc>
          <w:tcPr>
            <w:tcW w:w="1628" w:type="dxa"/>
            <w:vAlign w:val="top"/>
          </w:tcPr>
          <w:p>
            <w:pPr>
              <w:pStyle w:val="TableText"/>
              <w:ind w:left="31" w:right="22" w:hanging="30"/>
              <w:spacing w:before="50" w:line="225" w:lineRule="auto"/>
              <w:rPr>
                <w:sz w:val="16"/>
                <w:szCs w:val="16"/>
              </w:rPr>
            </w:pPr>
            <w:r>
              <w:rPr>
                <w:sz w:val="16"/>
                <w:szCs w:val="16"/>
                <w:spacing w:val="-1"/>
              </w:rPr>
              <w:t>拆除，改动，五移城市</w:t>
            </w:r>
            <w:r>
              <w:rPr>
                <w:sz w:val="16"/>
                <w:szCs w:val="16"/>
                <w:spacing w:val="2"/>
              </w:rPr>
              <w:t xml:space="preserve"> </w:t>
            </w:r>
            <w:r>
              <w:rPr>
                <w:sz w:val="16"/>
                <w:szCs w:val="16"/>
                <w:spacing w:val="1"/>
              </w:rPr>
              <w:t>公共惧太设站重核</w:t>
            </w:r>
          </w:p>
        </w:tc>
        <w:tc>
          <w:tcPr>
            <w:tcW w:w="2377" w:type="dxa"/>
            <w:vAlign w:val="top"/>
          </w:tcPr>
          <w:p>
            <w:pPr>
              <w:pStyle w:val="TableText"/>
              <w:ind w:left="44" w:right="70" w:firstLine="20"/>
              <w:spacing w:before="60" w:line="219" w:lineRule="auto"/>
              <w:rPr>
                <w:sz w:val="16"/>
                <w:szCs w:val="16"/>
              </w:rPr>
            </w:pPr>
            <w:r>
              <w:rPr>
                <w:sz w:val="16"/>
                <w:szCs w:val="16"/>
                <w:spacing w:val="-1"/>
              </w:rPr>
              <w:t>直情市、说区的市级，县缓城而</w:t>
            </w:r>
            <w:r>
              <w:rPr>
                <w:sz w:val="16"/>
                <w:szCs w:val="16"/>
                <w:spacing w:val="5"/>
              </w:rPr>
              <w:t xml:space="preserve"> </w:t>
            </w:r>
            <w:r>
              <w:rPr>
                <w:sz w:val="16"/>
                <w:szCs w:val="16"/>
                <w:spacing w:val="4"/>
              </w:rPr>
              <w:t>保水部门</w:t>
            </w:r>
          </w:p>
        </w:tc>
        <w:tc>
          <w:tcPr>
            <w:tcW w:w="3701" w:type="dxa"/>
            <w:vAlign w:val="top"/>
          </w:tcPr>
          <w:p>
            <w:pPr>
              <w:pStyle w:val="TableText"/>
              <w:spacing w:before="149" w:line="219" w:lineRule="auto"/>
              <w:rPr>
                <w:sz w:val="16"/>
                <w:szCs w:val="16"/>
              </w:rPr>
            </w:pPr>
            <w:r>
              <w:rPr>
                <w:sz w:val="16"/>
                <w:szCs w:val="16"/>
                <w:spacing w:val="-6"/>
              </w:rPr>
              <w:t>《城市供水条烈3</w:t>
            </w:r>
          </w:p>
        </w:tc>
      </w:tr>
      <w:tr>
        <w:trPr>
          <w:trHeight w:val="469" w:hRule="atLeast"/>
        </w:trPr>
        <w:tc>
          <w:tcPr>
            <w:tcW w:w="594" w:type="dxa"/>
            <w:vAlign w:val="top"/>
          </w:tcPr>
          <w:p>
            <w:pPr>
              <w:pStyle w:val="TableText"/>
              <w:ind w:left="164"/>
              <w:spacing w:before="202" w:line="183" w:lineRule="auto"/>
              <w:rPr>
                <w:sz w:val="16"/>
                <w:szCs w:val="16"/>
              </w:rPr>
            </w:pPr>
            <w:r>
              <w:rPr>
                <w:sz w:val="16"/>
                <w:szCs w:val="16"/>
                <w:spacing w:val="-2"/>
              </w:rPr>
              <w:t>258</w:t>
            </w:r>
          </w:p>
        </w:tc>
        <w:tc>
          <w:tcPr>
            <w:tcW w:w="1289" w:type="dxa"/>
            <w:vAlign w:val="top"/>
          </w:tcPr>
          <w:p>
            <w:pPr>
              <w:pStyle w:val="TableText"/>
              <w:ind w:left="70"/>
              <w:spacing w:before="160" w:line="219" w:lineRule="auto"/>
              <w:rPr>
                <w:sz w:val="16"/>
                <w:szCs w:val="16"/>
              </w:rPr>
            </w:pPr>
            <w:r>
              <w:rPr>
                <w:sz w:val="16"/>
                <w:szCs w:val="16"/>
                <w:spacing w:val="-1"/>
              </w:rPr>
              <w:t>住房城乡世设布</w:t>
            </w:r>
          </w:p>
        </w:tc>
        <w:tc>
          <w:tcPr>
            <w:tcW w:w="1628" w:type="dxa"/>
            <w:vAlign w:val="top"/>
          </w:tcPr>
          <w:p>
            <w:pPr>
              <w:pStyle w:val="TableText"/>
              <w:ind w:left="81" w:right="82"/>
              <w:spacing w:before="51" w:line="231" w:lineRule="auto"/>
              <w:rPr>
                <w:sz w:val="16"/>
                <w:szCs w:val="16"/>
              </w:rPr>
            </w:pPr>
            <w:r>
              <w:rPr>
                <w:sz w:val="16"/>
                <w:szCs w:val="16"/>
                <w:spacing w:val="-1"/>
              </w:rPr>
              <w:t>拆除，故出技钢排水</w:t>
            </w:r>
            <w:r>
              <w:rPr>
                <w:sz w:val="16"/>
                <w:szCs w:val="16"/>
                <w:spacing w:val="1"/>
              </w:rPr>
              <w:t xml:space="preserve"> </w:t>
            </w:r>
            <w:r>
              <w:rPr>
                <w:sz w:val="16"/>
                <w:szCs w:val="16"/>
                <w:spacing w:val="1"/>
              </w:rPr>
              <w:t>与污水处理设能市相</w:t>
            </w:r>
          </w:p>
        </w:tc>
        <w:tc>
          <w:tcPr>
            <w:tcW w:w="2377" w:type="dxa"/>
            <w:vAlign w:val="top"/>
          </w:tcPr>
          <w:p>
            <w:pPr>
              <w:pStyle w:val="TableText"/>
              <w:ind w:left="44" w:right="60" w:firstLine="29"/>
              <w:spacing w:before="50" w:line="232" w:lineRule="auto"/>
              <w:rPr>
                <w:sz w:val="16"/>
                <w:szCs w:val="16"/>
              </w:rPr>
            </w:pPr>
            <w:r>
              <w:rPr>
                <w:sz w:val="16"/>
                <w:szCs w:val="16"/>
                <w:spacing w:val="-1"/>
              </w:rPr>
              <w:t>直帮市、说区的市规，县缓短轴</w:t>
            </w:r>
            <w:r>
              <w:rPr>
                <w:sz w:val="16"/>
                <w:szCs w:val="16"/>
                <w:spacing w:val="5"/>
              </w:rPr>
              <w:t xml:space="preserve"> </w:t>
            </w:r>
            <w:r>
              <w:rPr>
                <w:sz w:val="16"/>
                <w:szCs w:val="16"/>
                <w:spacing w:val="4"/>
              </w:rPr>
              <w:t>排点寡门</w:t>
            </w:r>
          </w:p>
        </w:tc>
        <w:tc>
          <w:tcPr>
            <w:tcW w:w="3701" w:type="dxa"/>
            <w:vAlign w:val="top"/>
          </w:tcPr>
          <w:p>
            <w:pPr>
              <w:pStyle w:val="TableText"/>
              <w:spacing w:before="161" w:line="219" w:lineRule="auto"/>
              <w:rPr>
                <w:sz w:val="16"/>
                <w:szCs w:val="16"/>
              </w:rPr>
            </w:pPr>
            <w:r>
              <w:rPr>
                <w:sz w:val="16"/>
                <w:szCs w:val="16"/>
                <w:spacing w:val="3"/>
              </w:rPr>
              <w:t>《城植排水与污水社理务例】</w:t>
            </w:r>
          </w:p>
        </w:tc>
      </w:tr>
      <w:tr>
        <w:trPr>
          <w:trHeight w:val="659" w:hRule="atLeast"/>
        </w:trPr>
        <w:tc>
          <w:tcPr>
            <w:tcW w:w="594" w:type="dxa"/>
            <w:vAlign w:val="top"/>
          </w:tcPr>
          <w:p>
            <w:pPr>
              <w:rPr>
                <w:rFonts w:ascii="Arial"/>
                <w:sz w:val="21"/>
              </w:rPr>
            </w:pPr>
            <w:r/>
          </w:p>
          <w:p>
            <w:pPr>
              <w:pStyle w:val="TableText"/>
              <w:ind w:left="164"/>
              <w:spacing w:before="52" w:line="183" w:lineRule="auto"/>
              <w:rPr>
                <w:sz w:val="16"/>
                <w:szCs w:val="16"/>
              </w:rPr>
            </w:pPr>
            <w:r>
              <w:rPr>
                <w:sz w:val="16"/>
                <w:szCs w:val="16"/>
                <w:spacing w:val="-2"/>
              </w:rPr>
              <w:t>254</w:t>
            </w:r>
          </w:p>
        </w:tc>
        <w:tc>
          <w:tcPr>
            <w:tcW w:w="1289" w:type="dxa"/>
            <w:vAlign w:val="top"/>
          </w:tcPr>
          <w:p>
            <w:pPr>
              <w:pStyle w:val="TableText"/>
              <w:ind w:left="70"/>
              <w:spacing w:before="252" w:line="219" w:lineRule="auto"/>
              <w:rPr>
                <w:sz w:val="16"/>
                <w:szCs w:val="16"/>
              </w:rPr>
            </w:pPr>
            <w:r>
              <w:rPr>
                <w:sz w:val="16"/>
                <w:szCs w:val="16"/>
                <w:spacing w:val="-1"/>
              </w:rPr>
              <w:t>住房藏步建设部</w:t>
            </w:r>
          </w:p>
        </w:tc>
        <w:tc>
          <w:tcPr>
            <w:tcW w:w="1628" w:type="dxa"/>
            <w:vAlign w:val="top"/>
          </w:tcPr>
          <w:p>
            <w:pPr>
              <w:pStyle w:val="TableText"/>
              <w:ind w:left="42" w:right="88" w:firstLine="39"/>
              <w:spacing w:before="43" w:line="230" w:lineRule="auto"/>
              <w:jc w:val="both"/>
              <w:rPr>
                <w:sz w:val="16"/>
                <w:szCs w:val="16"/>
              </w:rPr>
            </w:pPr>
            <w:r>
              <w:rPr>
                <w:sz w:val="16"/>
                <w:szCs w:val="16"/>
              </w:rPr>
              <w:t>山子工招施工，世备</w:t>
            </w:r>
            <w:r>
              <w:rPr>
                <w:sz w:val="16"/>
                <w:szCs w:val="16"/>
                <w:spacing w:val="6"/>
              </w:rPr>
              <w:t xml:space="preserve"> </w:t>
            </w:r>
            <w:r>
              <w:rPr>
                <w:sz w:val="16"/>
                <w:szCs w:val="16"/>
                <w:spacing w:val="3"/>
              </w:rPr>
              <w:t>维修等原因确客停止 </w:t>
            </w:r>
            <w:r>
              <w:rPr>
                <w:sz w:val="16"/>
                <w:szCs w:val="16"/>
                <w:spacing w:val="-2"/>
              </w:rPr>
              <w:t>俱本的市燕</w:t>
            </w:r>
          </w:p>
        </w:tc>
        <w:tc>
          <w:tcPr>
            <w:tcW w:w="2377" w:type="dxa"/>
            <w:vAlign w:val="top"/>
          </w:tcPr>
          <w:p>
            <w:pPr>
              <w:pStyle w:val="TableText"/>
              <w:ind w:left="44"/>
              <w:spacing w:before="251" w:line="219" w:lineRule="auto"/>
              <w:rPr>
                <w:sz w:val="16"/>
                <w:szCs w:val="16"/>
              </w:rPr>
            </w:pPr>
            <w:r>
              <w:rPr>
                <w:sz w:val="16"/>
                <w:szCs w:val="16"/>
                <w:spacing w:val="2"/>
              </w:rPr>
              <w:t>性市变府供水施门</w:t>
            </w:r>
          </w:p>
        </w:tc>
        <w:tc>
          <w:tcPr>
            <w:tcW w:w="3701" w:type="dxa"/>
            <w:vAlign w:val="top"/>
          </w:tcPr>
          <w:p>
            <w:pPr>
              <w:pStyle w:val="TableText"/>
              <w:spacing w:before="252" w:line="219" w:lineRule="auto"/>
              <w:rPr>
                <w:sz w:val="16"/>
                <w:szCs w:val="16"/>
              </w:rPr>
            </w:pPr>
            <w:r>
              <w:rPr>
                <w:sz w:val="16"/>
                <w:szCs w:val="16"/>
                <w:spacing w:val="-6"/>
              </w:rPr>
              <w:t>《城市很水冬创3</w:t>
            </w:r>
          </w:p>
        </w:tc>
      </w:tr>
      <w:tr>
        <w:trPr>
          <w:trHeight w:val="459" w:hRule="atLeast"/>
        </w:trPr>
        <w:tc>
          <w:tcPr>
            <w:tcW w:w="594" w:type="dxa"/>
            <w:vAlign w:val="top"/>
          </w:tcPr>
          <w:p>
            <w:pPr>
              <w:pStyle w:val="TableText"/>
              <w:ind w:left="164"/>
              <w:spacing w:before="194" w:line="183" w:lineRule="auto"/>
              <w:rPr>
                <w:sz w:val="16"/>
                <w:szCs w:val="16"/>
              </w:rPr>
            </w:pPr>
            <w:r>
              <w:rPr>
                <w:sz w:val="16"/>
                <w:szCs w:val="16"/>
                <w:spacing w:val="-2"/>
              </w:rPr>
              <w:t>255</w:t>
            </w:r>
          </w:p>
        </w:tc>
        <w:tc>
          <w:tcPr>
            <w:tcW w:w="1289" w:type="dxa"/>
            <w:vAlign w:val="top"/>
          </w:tcPr>
          <w:p>
            <w:pPr>
              <w:pStyle w:val="TableText"/>
              <w:ind w:left="70"/>
              <w:spacing w:before="153" w:line="219" w:lineRule="auto"/>
              <w:rPr>
                <w:sz w:val="16"/>
                <w:szCs w:val="16"/>
              </w:rPr>
            </w:pPr>
            <w:r>
              <w:rPr>
                <w:sz w:val="16"/>
                <w:szCs w:val="16"/>
                <w:spacing w:val="-1"/>
              </w:rPr>
              <w:t>住扇城步建设部</w:t>
            </w:r>
          </w:p>
        </w:tc>
        <w:tc>
          <w:tcPr>
            <w:tcW w:w="1628" w:type="dxa"/>
            <w:vAlign w:val="top"/>
          </w:tcPr>
          <w:p>
            <w:pPr>
              <w:pStyle w:val="TableText"/>
              <w:ind w:left="32"/>
              <w:spacing w:before="154" w:line="220" w:lineRule="auto"/>
              <w:rPr>
                <w:sz w:val="16"/>
                <w:szCs w:val="16"/>
              </w:rPr>
            </w:pPr>
            <w:r>
              <w:rPr>
                <w:sz w:val="16"/>
                <w:szCs w:val="16"/>
                <w:spacing w:val="-1"/>
              </w:rPr>
              <w:t>世气经营许可</w:t>
            </w:r>
          </w:p>
        </w:tc>
        <w:tc>
          <w:tcPr>
            <w:tcW w:w="2377" w:type="dxa"/>
            <w:vAlign w:val="top"/>
          </w:tcPr>
          <w:p>
            <w:pPr>
              <w:pStyle w:val="TableText"/>
              <w:ind w:left="44" w:right="60" w:firstLine="29"/>
              <w:spacing w:before="43" w:line="231" w:lineRule="auto"/>
              <w:rPr>
                <w:sz w:val="16"/>
                <w:szCs w:val="16"/>
              </w:rPr>
            </w:pPr>
            <w:r>
              <w:rPr>
                <w:sz w:val="16"/>
                <w:szCs w:val="16"/>
                <w:spacing w:val="-1"/>
              </w:rPr>
              <w:t>直信市，改这的市统、身缓想气</w:t>
            </w:r>
            <w:r>
              <w:rPr>
                <w:sz w:val="16"/>
                <w:szCs w:val="16"/>
                <w:spacing w:val="5"/>
              </w:rPr>
              <w:t xml:space="preserve"> </w:t>
            </w:r>
            <w:r>
              <w:rPr>
                <w:sz w:val="16"/>
                <w:szCs w:val="16"/>
                <w:spacing w:val="4"/>
              </w:rPr>
              <w:t>管理部门</w:t>
            </w:r>
          </w:p>
        </w:tc>
        <w:tc>
          <w:tcPr>
            <w:tcW w:w="3701" w:type="dxa"/>
            <w:vAlign w:val="top"/>
          </w:tcPr>
          <w:p>
            <w:pPr>
              <w:pStyle w:val="TableText"/>
              <w:spacing w:before="153" w:line="219" w:lineRule="auto"/>
              <w:rPr>
                <w:sz w:val="16"/>
                <w:szCs w:val="16"/>
              </w:rPr>
            </w:pPr>
            <w:r>
              <w:rPr>
                <w:sz w:val="16"/>
                <w:szCs w:val="16"/>
                <w:spacing w:val="-4"/>
              </w:rPr>
              <w:t>《域情德气管理条候)</w:t>
            </w:r>
          </w:p>
        </w:tc>
      </w:tr>
      <w:tr>
        <w:trPr>
          <w:trHeight w:val="669" w:hRule="atLeast"/>
        </w:trPr>
        <w:tc>
          <w:tcPr>
            <w:tcW w:w="594" w:type="dxa"/>
            <w:vAlign w:val="top"/>
          </w:tcPr>
          <w:p>
            <w:pPr>
              <w:spacing w:line="252" w:lineRule="auto"/>
              <w:rPr>
                <w:rFonts w:ascii="Arial"/>
                <w:sz w:val="21"/>
              </w:rPr>
            </w:pPr>
            <w:r/>
          </w:p>
          <w:p>
            <w:pPr>
              <w:pStyle w:val="TableText"/>
              <w:ind w:left="124"/>
              <w:spacing w:before="52" w:line="183" w:lineRule="auto"/>
              <w:rPr>
                <w:sz w:val="16"/>
                <w:szCs w:val="16"/>
              </w:rPr>
            </w:pPr>
            <w:r>
              <w:rPr>
                <w:sz w:val="16"/>
                <w:szCs w:val="16"/>
                <w:spacing w:val="-6"/>
              </w:rPr>
              <w:t>:2F#</w:t>
            </w:r>
          </w:p>
        </w:tc>
        <w:tc>
          <w:tcPr>
            <w:tcW w:w="1289" w:type="dxa"/>
            <w:vAlign w:val="top"/>
          </w:tcPr>
          <w:p>
            <w:pPr>
              <w:pStyle w:val="TableText"/>
              <w:ind w:left="70"/>
              <w:spacing w:before="264" w:line="219" w:lineRule="auto"/>
              <w:rPr>
                <w:sz w:val="16"/>
                <w:szCs w:val="16"/>
              </w:rPr>
            </w:pPr>
            <w:r>
              <w:rPr>
                <w:sz w:val="16"/>
                <w:szCs w:val="16"/>
                <w:spacing w:val="-1"/>
              </w:rPr>
              <w:t>住房城步建设能</w:t>
            </w:r>
          </w:p>
        </w:tc>
        <w:tc>
          <w:tcPr>
            <w:tcW w:w="1628" w:type="dxa"/>
            <w:vAlign w:val="top"/>
          </w:tcPr>
          <w:p>
            <w:pPr>
              <w:pStyle w:val="TableText"/>
              <w:ind w:left="32" w:right="102" w:firstLine="49"/>
              <w:spacing w:before="144" w:line="231" w:lineRule="auto"/>
              <w:rPr>
                <w:sz w:val="16"/>
                <w:szCs w:val="16"/>
              </w:rPr>
            </w:pPr>
            <w:r>
              <w:rPr>
                <w:sz w:val="16"/>
                <w:szCs w:val="16"/>
                <w:spacing w:val="-1"/>
              </w:rPr>
              <w:t>世气经前者改动由成</w:t>
            </w:r>
            <w:r>
              <w:rPr>
                <w:sz w:val="16"/>
                <w:szCs w:val="16"/>
                <w:spacing w:val="1"/>
              </w:rPr>
              <w:t xml:space="preserve"> </w:t>
            </w:r>
            <w:r>
              <w:rPr>
                <w:sz w:val="16"/>
                <w:szCs w:val="16"/>
                <w:spacing w:val="-1"/>
              </w:rPr>
              <w:t>燃气设临市德</w:t>
            </w:r>
          </w:p>
        </w:tc>
        <w:tc>
          <w:tcPr>
            <w:tcW w:w="2377" w:type="dxa"/>
            <w:vAlign w:val="top"/>
          </w:tcPr>
          <w:p>
            <w:pPr>
              <w:pStyle w:val="TableText"/>
              <w:ind w:left="44"/>
              <w:spacing w:before="263" w:line="219" w:lineRule="auto"/>
              <w:rPr>
                <w:sz w:val="16"/>
                <w:szCs w:val="16"/>
              </w:rPr>
            </w:pPr>
            <w:r>
              <w:rPr>
                <w:sz w:val="16"/>
                <w:szCs w:val="16"/>
                <w:spacing w:val="1"/>
              </w:rPr>
              <w:t>设区的布既，县城地气营罪都门</w:t>
            </w:r>
          </w:p>
        </w:tc>
        <w:tc>
          <w:tcPr>
            <w:tcW w:w="3701" w:type="dxa"/>
            <w:vAlign w:val="top"/>
          </w:tcPr>
          <w:p>
            <w:pPr>
              <w:pStyle w:val="TableText"/>
              <w:ind w:left="46"/>
              <w:spacing w:before="44" w:line="219" w:lineRule="auto"/>
              <w:rPr>
                <w:sz w:val="16"/>
                <w:szCs w:val="16"/>
              </w:rPr>
            </w:pPr>
            <w:r>
              <w:rPr>
                <w:sz w:val="16"/>
                <w:szCs w:val="16"/>
              </w:rPr>
              <w:t>(基镇截气管理条例5</w:t>
            </w:r>
          </w:p>
          <w:p>
            <w:pPr>
              <w:pStyle w:val="TableText"/>
              <w:ind w:left="46" w:right="267" w:firstLine="10"/>
              <w:spacing w:before="20" w:line="233" w:lineRule="auto"/>
              <w:rPr>
                <w:sz w:val="16"/>
                <w:szCs w:val="16"/>
              </w:rPr>
            </w:pPr>
            <w:r>
              <w:rPr>
                <w:sz w:val="16"/>
                <w:szCs w:val="16"/>
              </w:rPr>
              <w:t>国身晓关于第六批收测和两髓行政市些研目的决</w:t>
            </w:r>
            <w:r>
              <w:rPr>
                <w:sz w:val="16"/>
                <w:szCs w:val="16"/>
                <w:spacing w:val="5"/>
              </w:rPr>
              <w:t xml:space="preserve"> </w:t>
            </w:r>
            <w:r>
              <w:rPr>
                <w:sz w:val="16"/>
                <w:szCs w:val="16"/>
                <w:spacing w:val="2"/>
              </w:rPr>
              <w:t>建国发(2012752号)</w:t>
            </w:r>
          </w:p>
        </w:tc>
      </w:tr>
      <w:tr>
        <w:trPr>
          <w:trHeight w:val="869" w:hRule="atLeast"/>
        </w:trPr>
        <w:tc>
          <w:tcPr>
            <w:tcW w:w="594" w:type="dxa"/>
            <w:vAlign w:val="top"/>
          </w:tcPr>
          <w:p>
            <w:pPr>
              <w:spacing w:line="352" w:lineRule="auto"/>
              <w:rPr>
                <w:rFonts w:ascii="Arial"/>
                <w:sz w:val="21"/>
              </w:rPr>
            </w:pPr>
            <w:r/>
          </w:p>
          <w:p>
            <w:pPr>
              <w:pStyle w:val="TableText"/>
              <w:ind w:left="164"/>
              <w:spacing w:before="52" w:line="183" w:lineRule="auto"/>
              <w:rPr>
                <w:sz w:val="16"/>
                <w:szCs w:val="16"/>
              </w:rPr>
            </w:pPr>
            <w:r>
              <w:rPr>
                <w:sz w:val="16"/>
                <w:szCs w:val="16"/>
                <w:spacing w:val="-2"/>
              </w:rPr>
              <w:t>257</w:t>
            </w:r>
          </w:p>
        </w:tc>
        <w:tc>
          <w:tcPr>
            <w:tcW w:w="1289" w:type="dxa"/>
            <w:vAlign w:val="top"/>
          </w:tcPr>
          <w:p>
            <w:pPr>
              <w:spacing w:line="311" w:lineRule="auto"/>
              <w:rPr>
                <w:rFonts w:ascii="Arial"/>
                <w:sz w:val="21"/>
              </w:rPr>
            </w:pPr>
            <w:r/>
          </w:p>
          <w:p>
            <w:pPr>
              <w:pStyle w:val="TableText"/>
              <w:ind w:left="70"/>
              <w:spacing w:before="52" w:line="219" w:lineRule="auto"/>
              <w:rPr>
                <w:sz w:val="16"/>
                <w:szCs w:val="16"/>
              </w:rPr>
            </w:pPr>
            <w:r>
              <w:rPr>
                <w:sz w:val="16"/>
                <w:szCs w:val="16"/>
                <w:spacing w:val="-1"/>
              </w:rPr>
              <w:t>住医城乡建设部</w:t>
            </w:r>
          </w:p>
        </w:tc>
        <w:tc>
          <w:tcPr>
            <w:tcW w:w="1628" w:type="dxa"/>
            <w:vAlign w:val="top"/>
          </w:tcPr>
          <w:p>
            <w:pPr>
              <w:spacing w:line="311" w:lineRule="auto"/>
              <w:rPr>
                <w:rFonts w:ascii="Arial"/>
                <w:sz w:val="21"/>
              </w:rPr>
            </w:pPr>
            <w:r/>
          </w:p>
          <w:p>
            <w:pPr>
              <w:pStyle w:val="TableText"/>
              <w:ind w:left="81"/>
              <w:spacing w:before="52" w:line="219" w:lineRule="auto"/>
              <w:rPr>
                <w:sz w:val="16"/>
                <w:szCs w:val="16"/>
              </w:rPr>
            </w:pPr>
            <w:r>
              <w:rPr>
                <w:sz w:val="16"/>
                <w:szCs w:val="16"/>
                <w:spacing w:val="-2"/>
              </w:rPr>
              <w:t>市政设监建设类审批</w:t>
            </w:r>
          </w:p>
        </w:tc>
        <w:tc>
          <w:tcPr>
            <w:tcW w:w="2377" w:type="dxa"/>
            <w:vAlign w:val="top"/>
          </w:tcPr>
          <w:p>
            <w:pPr>
              <w:pStyle w:val="TableText"/>
              <w:ind w:left="83" w:right="61" w:hanging="10"/>
              <w:spacing w:before="45" w:line="231" w:lineRule="auto"/>
              <w:rPr>
                <w:sz w:val="16"/>
                <w:szCs w:val="16"/>
              </w:rPr>
            </w:pPr>
            <w:r>
              <w:rPr>
                <w:sz w:val="16"/>
                <w:szCs w:val="16"/>
                <w:spacing w:val="-1"/>
              </w:rPr>
              <w:t>真信市、设区的市线，盛续战鸡</w:t>
            </w:r>
            <w:r>
              <w:rPr>
                <w:sz w:val="16"/>
                <w:szCs w:val="16"/>
                <w:spacing w:val="4"/>
              </w:rPr>
              <w:t xml:space="preserve"> </w:t>
            </w:r>
            <w:r>
              <w:rPr>
                <w:sz w:val="16"/>
                <w:szCs w:val="16"/>
              </w:rPr>
              <w:t>由市改工银部门承办)直梨</w:t>
            </w:r>
          </w:p>
          <w:p>
            <w:pPr>
              <w:pStyle w:val="TableText"/>
              <w:ind w:left="44" w:right="53" w:firstLine="39"/>
              <w:spacing w:before="30" w:line="219" w:lineRule="auto"/>
              <w:rPr>
                <w:sz w:val="16"/>
                <w:szCs w:val="16"/>
              </w:rPr>
            </w:pPr>
            <w:r>
              <w:rPr>
                <w:sz w:val="16"/>
                <w:szCs w:val="16"/>
                <w:spacing w:val="-1"/>
              </w:rPr>
              <w:t>市，设区的而级，县现市致工看</w:t>
            </w:r>
            <w:r>
              <w:rPr>
                <w:sz w:val="16"/>
                <w:szCs w:val="16"/>
                <w:spacing w:val="2"/>
              </w:rPr>
              <w:t xml:space="preserve"> </w:t>
            </w:r>
            <w:r>
              <w:rPr>
                <w:sz w:val="16"/>
                <w:szCs w:val="16"/>
                <w:spacing w:val="8"/>
              </w:rPr>
              <w:t>部门</w:t>
            </w:r>
          </w:p>
        </w:tc>
        <w:tc>
          <w:tcPr>
            <w:tcW w:w="3701" w:type="dxa"/>
            <w:vAlign w:val="top"/>
          </w:tcPr>
          <w:p>
            <w:pPr>
              <w:spacing w:line="311" w:lineRule="auto"/>
              <w:rPr>
                <w:rFonts w:ascii="Arial"/>
                <w:sz w:val="21"/>
              </w:rPr>
            </w:pPr>
            <w:r/>
          </w:p>
          <w:p>
            <w:pPr>
              <w:pStyle w:val="TableText"/>
              <w:ind w:left="46"/>
              <w:spacing w:before="52" w:line="219" w:lineRule="auto"/>
              <w:rPr>
                <w:sz w:val="16"/>
                <w:szCs w:val="16"/>
              </w:rPr>
            </w:pPr>
            <w:r>
              <w:rPr>
                <w:sz w:val="16"/>
                <w:szCs w:val="16"/>
                <w:spacing w:val="-1"/>
              </w:rPr>
              <w:t>(城市道路骨理条例》</w:t>
            </w:r>
          </w:p>
        </w:tc>
      </w:tr>
      <w:tr>
        <w:trPr>
          <w:trHeight w:val="544" w:hRule="atLeast"/>
        </w:trPr>
        <w:tc>
          <w:tcPr>
            <w:tcW w:w="594" w:type="dxa"/>
            <w:vAlign w:val="top"/>
          </w:tcPr>
          <w:p>
            <w:pPr>
              <w:pStyle w:val="TableText"/>
              <w:ind w:left="164"/>
              <w:spacing w:before="237" w:line="183" w:lineRule="auto"/>
              <w:rPr>
                <w:sz w:val="16"/>
                <w:szCs w:val="16"/>
              </w:rPr>
            </w:pPr>
            <w:r>
              <w:rPr>
                <w:sz w:val="16"/>
                <w:szCs w:val="16"/>
                <w:spacing w:val="-2"/>
              </w:rPr>
              <w:t>258</w:t>
            </w:r>
          </w:p>
        </w:tc>
        <w:tc>
          <w:tcPr>
            <w:tcW w:w="1289" w:type="dxa"/>
            <w:vAlign w:val="top"/>
          </w:tcPr>
          <w:p>
            <w:pPr>
              <w:pStyle w:val="TableText"/>
              <w:ind w:left="70"/>
              <w:spacing w:before="196" w:line="219" w:lineRule="auto"/>
              <w:rPr>
                <w:sz w:val="16"/>
                <w:szCs w:val="16"/>
              </w:rPr>
            </w:pPr>
            <w:r>
              <w:rPr>
                <w:sz w:val="16"/>
                <w:szCs w:val="16"/>
                <w:spacing w:val="-1"/>
              </w:rPr>
              <w:t>住房械乡准成部</w:t>
            </w:r>
          </w:p>
        </w:tc>
        <w:tc>
          <w:tcPr>
            <w:tcW w:w="1628" w:type="dxa"/>
            <w:vAlign w:val="top"/>
          </w:tcPr>
          <w:p>
            <w:pPr>
              <w:pStyle w:val="TableText"/>
              <w:ind w:left="62" w:right="102" w:firstLine="19"/>
              <w:spacing w:before="106" w:line="220" w:lineRule="auto"/>
              <w:rPr>
                <w:sz w:val="16"/>
                <w:szCs w:val="16"/>
              </w:rPr>
            </w:pPr>
            <w:r>
              <w:rPr>
                <w:sz w:val="16"/>
                <w:szCs w:val="16"/>
                <w:spacing w:val="-1"/>
              </w:rPr>
              <w:t>情销享易在规市道路</w:t>
            </w:r>
            <w:r>
              <w:rPr>
                <w:sz w:val="16"/>
                <w:szCs w:val="16"/>
                <w:spacing w:val="1"/>
              </w:rPr>
              <w:t xml:space="preserve"> </w:t>
            </w:r>
            <w:r>
              <w:rPr>
                <w:sz w:val="16"/>
                <w:szCs w:val="16"/>
                <w:spacing w:val="-2"/>
              </w:rPr>
              <w:t>上行控审批</w:t>
            </w:r>
          </w:p>
        </w:tc>
        <w:tc>
          <w:tcPr>
            <w:tcW w:w="2377" w:type="dxa"/>
            <w:vAlign w:val="top"/>
          </w:tcPr>
          <w:p>
            <w:pPr>
              <w:pStyle w:val="TableText"/>
              <w:ind w:left="44" w:right="30" w:firstLine="59"/>
              <w:spacing w:before="96" w:line="231" w:lineRule="auto"/>
              <w:rPr>
                <w:sz w:val="16"/>
                <w:szCs w:val="16"/>
              </w:rPr>
            </w:pPr>
            <w:r>
              <w:rPr>
                <w:sz w:val="16"/>
                <w:szCs w:val="16"/>
                <w:spacing w:val="-1"/>
              </w:rPr>
              <w:t>直瞎市，做区的市级，正级作数</w:t>
            </w:r>
            <w:r>
              <w:rPr>
                <w:sz w:val="16"/>
                <w:szCs w:val="16"/>
                <w:spacing w:val="5"/>
              </w:rPr>
              <w:t xml:space="preserve"> </w:t>
            </w:r>
            <w:r>
              <w:rPr>
                <w:sz w:val="16"/>
                <w:szCs w:val="16"/>
                <w:spacing w:val="4"/>
              </w:rPr>
              <w:t>工献部门</w:t>
            </w:r>
          </w:p>
        </w:tc>
        <w:tc>
          <w:tcPr>
            <w:tcW w:w="3701" w:type="dxa"/>
            <w:vAlign w:val="top"/>
          </w:tcPr>
          <w:p>
            <w:pPr>
              <w:pStyle w:val="TableText"/>
              <w:spacing w:before="196" w:line="219" w:lineRule="auto"/>
              <w:rPr>
                <w:sz w:val="16"/>
                <w:szCs w:val="16"/>
              </w:rPr>
            </w:pPr>
            <w:r>
              <w:rPr>
                <w:sz w:val="16"/>
                <w:szCs w:val="16"/>
                <w:spacing w:val="-5"/>
              </w:rPr>
              <w:t>《城市道路管印条斜》</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49728"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218" name="TextBox 218"/>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0" style="position:absolute;margin-left:36.1352pt;margin-top:49.3939pt;mso-position-vertical-relative:page;mso-position-horizontal-relative:page;width:13.8pt;height:13pt;z-index:251849728;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190</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48"/>
        <w:gridCol w:w="2367"/>
        <w:gridCol w:w="3711"/>
      </w:tblGrid>
      <w:tr>
        <w:trPr>
          <w:trHeight w:val="42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事清名称</w:t>
            </w:r>
          </w:p>
        </w:tc>
        <w:tc>
          <w:tcPr>
            <w:tcW w:w="2367" w:type="dxa"/>
            <w:vAlign w:val="top"/>
          </w:tcPr>
          <w:p>
            <w:pPr>
              <w:pStyle w:val="TableText"/>
              <w:ind w:left="856"/>
              <w:spacing w:before="128" w:line="219" w:lineRule="auto"/>
              <w:rPr>
                <w:sz w:val="16"/>
                <w:szCs w:val="16"/>
              </w:rPr>
            </w:pPr>
            <w:r>
              <w:rPr>
                <w:sz w:val="16"/>
                <w:szCs w:val="16"/>
                <w:b/>
                <w:bCs/>
                <w:spacing w:val="-3"/>
              </w:rPr>
              <w:t>其施机关</w:t>
            </w:r>
          </w:p>
        </w:tc>
        <w:tc>
          <w:tcPr>
            <w:tcW w:w="3711" w:type="dxa"/>
            <w:vAlign w:val="top"/>
          </w:tcPr>
          <w:p>
            <w:pPr>
              <w:pStyle w:val="TableText"/>
              <w:ind w:left="1269"/>
              <w:spacing w:before="128" w:line="219" w:lineRule="auto"/>
              <w:rPr>
                <w:sz w:val="16"/>
                <w:szCs w:val="16"/>
              </w:rPr>
            </w:pPr>
            <w:r>
              <w:rPr>
                <w:sz w:val="16"/>
                <w:szCs w:val="16"/>
                <w:b/>
                <w:bCs/>
                <w:spacing w:val="-3"/>
              </w:rPr>
              <w:t>设定和实地依据</w:t>
            </w:r>
          </w:p>
        </w:tc>
      </w:tr>
      <w:tr>
        <w:trPr>
          <w:trHeight w:val="509" w:hRule="atLeast"/>
        </w:trPr>
        <w:tc>
          <w:tcPr>
            <w:tcW w:w="574" w:type="dxa"/>
            <w:vAlign w:val="top"/>
          </w:tcPr>
          <w:p>
            <w:pPr>
              <w:pStyle w:val="TableText"/>
              <w:ind w:left="194"/>
              <w:spacing w:before="217" w:line="183" w:lineRule="auto"/>
              <w:rPr>
                <w:sz w:val="16"/>
                <w:szCs w:val="16"/>
              </w:rPr>
            </w:pPr>
            <w:r>
              <w:rPr>
                <w:sz w:val="16"/>
                <w:szCs w:val="16"/>
                <w:spacing w:val="-3"/>
              </w:rPr>
              <w:t>59</w:t>
            </w:r>
          </w:p>
        </w:tc>
        <w:tc>
          <w:tcPr>
            <w:tcW w:w="1299" w:type="dxa"/>
            <w:vAlign w:val="top"/>
          </w:tcPr>
          <w:p>
            <w:pPr>
              <w:pStyle w:val="TableText"/>
              <w:ind w:left="80"/>
              <w:spacing w:before="176" w:line="219" w:lineRule="auto"/>
              <w:rPr>
                <w:sz w:val="16"/>
                <w:szCs w:val="16"/>
              </w:rPr>
            </w:pPr>
            <w:r>
              <w:rPr>
                <w:sz w:val="16"/>
                <w:szCs w:val="16"/>
                <w:spacing w:val="1"/>
              </w:rPr>
              <w:t>付房械乡理设制</w:t>
            </w:r>
          </w:p>
        </w:tc>
        <w:tc>
          <w:tcPr>
            <w:tcW w:w="1648" w:type="dxa"/>
            <w:vAlign w:val="top"/>
          </w:tcPr>
          <w:p>
            <w:pPr>
              <w:pStyle w:val="TableText"/>
              <w:ind w:left="171" w:right="114" w:hanging="79"/>
              <w:spacing w:before="87" w:line="230" w:lineRule="auto"/>
              <w:rPr>
                <w:sz w:val="16"/>
                <w:szCs w:val="16"/>
              </w:rPr>
            </w:pPr>
            <w:r>
              <w:rPr>
                <w:sz w:val="16"/>
                <w:szCs w:val="16"/>
                <w:spacing w:val="-1"/>
              </w:rPr>
              <w:t>故变绿化规划，绿化</w:t>
            </w:r>
            <w:r>
              <w:rPr>
                <w:sz w:val="16"/>
                <w:szCs w:val="16"/>
              </w:rPr>
              <w:t xml:space="preserve"> </w:t>
            </w:r>
            <w:r>
              <w:rPr>
                <w:sz w:val="16"/>
                <w:szCs w:val="16"/>
                <w:spacing w:val="-1"/>
              </w:rPr>
              <w:t>地的使用性度事盐</w:t>
            </w:r>
          </w:p>
        </w:tc>
        <w:tc>
          <w:tcPr>
            <w:tcW w:w="2367" w:type="dxa"/>
            <w:vAlign w:val="top"/>
          </w:tcPr>
          <w:p>
            <w:pPr>
              <w:pStyle w:val="TableText"/>
              <w:ind w:left="44"/>
              <w:spacing w:before="175" w:line="219" w:lineRule="auto"/>
              <w:rPr>
                <w:sz w:val="16"/>
                <w:szCs w:val="16"/>
              </w:rPr>
            </w:pPr>
            <w:r>
              <w:rPr>
                <w:sz w:val="16"/>
                <w:szCs w:val="16"/>
                <w:spacing w:val="2"/>
              </w:rPr>
              <w:t>或市政府绿化部门</w:t>
            </w:r>
          </w:p>
        </w:tc>
        <w:tc>
          <w:tcPr>
            <w:tcW w:w="3711" w:type="dxa"/>
            <w:vAlign w:val="top"/>
          </w:tcPr>
          <w:p>
            <w:pPr>
              <w:pStyle w:val="TableText"/>
              <w:ind w:left="56" w:right="197"/>
              <w:spacing w:before="86" w:line="219" w:lineRule="auto"/>
              <w:rPr>
                <w:sz w:val="16"/>
                <w:szCs w:val="16"/>
              </w:rPr>
            </w:pPr>
            <w:r>
              <w:rPr>
                <w:sz w:val="16"/>
                <w:szCs w:val="16"/>
              </w:rPr>
              <w:t>1国务就对确情保留的行政审批境目设定疗改净可</w:t>
            </w:r>
            <w:r>
              <w:rPr>
                <w:sz w:val="16"/>
                <w:szCs w:val="16"/>
                <w:spacing w:val="5"/>
              </w:rPr>
              <w:t xml:space="preserve"> </w:t>
            </w:r>
            <w:r>
              <w:rPr>
                <w:sz w:val="16"/>
                <w:szCs w:val="16"/>
                <w:spacing w:val="4"/>
              </w:rPr>
              <w:t>的决定1</w:t>
            </w:r>
          </w:p>
        </w:tc>
      </w:tr>
      <w:tr>
        <w:trPr>
          <w:trHeight w:val="509" w:hRule="atLeast"/>
        </w:trPr>
        <w:tc>
          <w:tcPr>
            <w:tcW w:w="574" w:type="dxa"/>
            <w:vAlign w:val="top"/>
          </w:tcPr>
          <w:p>
            <w:pPr>
              <w:pStyle w:val="TableText"/>
              <w:ind w:left="154"/>
              <w:spacing w:before="218" w:line="183" w:lineRule="auto"/>
              <w:rPr>
                <w:sz w:val="16"/>
                <w:szCs w:val="16"/>
              </w:rPr>
            </w:pPr>
            <w:r>
              <w:rPr>
                <w:sz w:val="16"/>
                <w:szCs w:val="16"/>
                <w:spacing w:val="-2"/>
              </w:rPr>
              <w:t>24U</w:t>
            </w:r>
          </w:p>
        </w:tc>
        <w:tc>
          <w:tcPr>
            <w:tcW w:w="1299" w:type="dxa"/>
            <w:vAlign w:val="top"/>
          </w:tcPr>
          <w:p>
            <w:pPr>
              <w:pStyle w:val="TableText"/>
              <w:ind w:left="80"/>
              <w:spacing w:before="177" w:line="219" w:lineRule="auto"/>
              <w:rPr>
                <w:sz w:val="16"/>
                <w:szCs w:val="16"/>
              </w:rPr>
            </w:pPr>
            <w:r>
              <w:rPr>
                <w:sz w:val="16"/>
                <w:szCs w:val="16"/>
                <w:spacing w:val="-1"/>
              </w:rPr>
              <w:t>住穷城乡定设前</w:t>
            </w:r>
          </w:p>
        </w:tc>
        <w:tc>
          <w:tcPr>
            <w:tcW w:w="1648" w:type="dxa"/>
            <w:vAlign w:val="top"/>
          </w:tcPr>
          <w:p>
            <w:pPr>
              <w:pStyle w:val="TableText"/>
              <w:ind w:left="42" w:right="114" w:firstLine="50"/>
              <w:spacing w:before="87" w:line="225" w:lineRule="auto"/>
              <w:rPr>
                <w:sz w:val="16"/>
                <w:szCs w:val="16"/>
              </w:rPr>
            </w:pPr>
            <w:r>
              <w:rPr>
                <w:sz w:val="16"/>
                <w:szCs w:val="16"/>
                <w:spacing w:val="-1"/>
              </w:rPr>
              <w:t>工程业设没及城市华</w:t>
            </w:r>
            <w:r>
              <w:rPr>
                <w:sz w:val="16"/>
                <w:szCs w:val="16"/>
              </w:rPr>
              <w:t xml:space="preserve"> </w:t>
            </w:r>
            <w:r>
              <w:rPr>
                <w:sz w:val="16"/>
                <w:szCs w:val="16"/>
                <w:spacing w:val="-1"/>
              </w:rPr>
              <w:t>地，树木前卷</w:t>
            </w:r>
          </w:p>
        </w:tc>
        <w:tc>
          <w:tcPr>
            <w:tcW w:w="2367" w:type="dxa"/>
            <w:vAlign w:val="top"/>
          </w:tcPr>
          <w:p>
            <w:pPr>
              <w:pStyle w:val="TableText"/>
              <w:ind w:left="44"/>
              <w:spacing w:before="177" w:line="219" w:lineRule="auto"/>
              <w:rPr>
                <w:sz w:val="16"/>
                <w:szCs w:val="16"/>
              </w:rPr>
            </w:pPr>
            <w:r>
              <w:rPr>
                <w:sz w:val="16"/>
                <w:szCs w:val="16"/>
                <w:spacing w:val="2"/>
              </w:rPr>
              <w:t>顺市政购绿化国门</w:t>
            </w:r>
          </w:p>
        </w:tc>
        <w:tc>
          <w:tcPr>
            <w:tcW w:w="3711" w:type="dxa"/>
            <w:vAlign w:val="top"/>
          </w:tcPr>
          <w:p>
            <w:pPr>
              <w:pStyle w:val="TableText"/>
              <w:ind w:left="56"/>
              <w:spacing w:before="177" w:line="219" w:lineRule="auto"/>
              <w:rPr>
                <w:sz w:val="16"/>
                <w:szCs w:val="16"/>
              </w:rPr>
            </w:pPr>
            <w:r>
              <w:rPr>
                <w:sz w:val="16"/>
                <w:szCs w:val="16"/>
                <w:spacing w:val="-1"/>
              </w:rPr>
              <w:t>(超市经化条列》</w:t>
            </w:r>
          </w:p>
        </w:tc>
      </w:tr>
      <w:tr>
        <w:trPr>
          <w:trHeight w:val="499" w:hRule="atLeast"/>
        </w:trPr>
        <w:tc>
          <w:tcPr>
            <w:tcW w:w="574" w:type="dxa"/>
            <w:vAlign w:val="top"/>
          </w:tcPr>
          <w:p>
            <w:pPr>
              <w:pStyle w:val="TableText"/>
              <w:ind w:left="154"/>
              <w:spacing w:before="208" w:line="184" w:lineRule="auto"/>
              <w:rPr>
                <w:sz w:val="16"/>
                <w:szCs w:val="16"/>
              </w:rPr>
            </w:pPr>
            <w:r>
              <w:rPr>
                <w:sz w:val="16"/>
                <w:szCs w:val="16"/>
                <w:spacing w:val="-2"/>
              </w:rPr>
              <w:t>2B1</w:t>
            </w:r>
          </w:p>
        </w:tc>
        <w:tc>
          <w:tcPr>
            <w:tcW w:w="1299" w:type="dxa"/>
            <w:vAlign w:val="top"/>
          </w:tcPr>
          <w:p>
            <w:pPr>
              <w:pStyle w:val="TableText"/>
              <w:ind w:left="80"/>
              <w:spacing w:before="168" w:line="219" w:lineRule="auto"/>
              <w:rPr>
                <w:sz w:val="16"/>
                <w:szCs w:val="16"/>
              </w:rPr>
            </w:pPr>
            <w:r>
              <w:rPr>
                <w:sz w:val="16"/>
                <w:szCs w:val="16"/>
                <w:spacing w:val="-1"/>
              </w:rPr>
              <w:t>住房疑乡建设部</w:t>
            </w:r>
          </w:p>
        </w:tc>
        <w:tc>
          <w:tcPr>
            <w:tcW w:w="1648" w:type="dxa"/>
            <w:vAlign w:val="top"/>
          </w:tcPr>
          <w:p>
            <w:pPr>
              <w:pStyle w:val="TableText"/>
              <w:ind w:left="42" w:right="114" w:firstLine="50"/>
              <w:spacing w:before="88" w:line="219" w:lineRule="auto"/>
              <w:rPr>
                <w:sz w:val="16"/>
                <w:szCs w:val="16"/>
              </w:rPr>
            </w:pPr>
            <w:r>
              <w:rPr>
                <w:sz w:val="16"/>
                <w:szCs w:val="16"/>
                <w:spacing w:val="-1"/>
              </w:rPr>
              <w:t>历史建筑实施原址保</w:t>
            </w:r>
            <w:r>
              <w:rPr>
                <w:sz w:val="16"/>
                <w:szCs w:val="16"/>
              </w:rPr>
              <w:t xml:space="preserve"> </w:t>
            </w:r>
            <w:r>
              <w:rPr>
                <w:sz w:val="16"/>
                <w:szCs w:val="16"/>
                <w:spacing w:val="-2"/>
              </w:rPr>
              <w:t>护宰世</w:t>
            </w:r>
          </w:p>
        </w:tc>
        <w:tc>
          <w:tcPr>
            <w:tcW w:w="2367" w:type="dxa"/>
            <w:vAlign w:val="top"/>
          </w:tcPr>
          <w:p>
            <w:pPr>
              <w:pStyle w:val="TableText"/>
              <w:ind w:left="44" w:right="49" w:firstLine="29"/>
              <w:spacing w:before="68" w:line="230" w:lineRule="auto"/>
              <w:rPr>
                <w:sz w:val="16"/>
                <w:szCs w:val="16"/>
              </w:rPr>
            </w:pPr>
            <w:r>
              <w:rPr>
                <w:sz w:val="16"/>
                <w:szCs w:val="16"/>
                <w:spacing w:val="-1"/>
              </w:rPr>
              <w:t>城市，县政府依法确定的还门会</w:t>
            </w:r>
            <w:r>
              <w:rPr>
                <w:sz w:val="16"/>
                <w:szCs w:val="16"/>
                <w:spacing w:val="6"/>
              </w:rPr>
              <w:t xml:space="preserve"> </w:t>
            </w:r>
            <w:r>
              <w:rPr>
                <w:sz w:val="16"/>
                <w:szCs w:val="16"/>
                <w:spacing w:val="3"/>
              </w:rPr>
              <w:t>同支霸部门</w:t>
            </w:r>
          </w:p>
        </w:tc>
        <w:tc>
          <w:tcPr>
            <w:tcW w:w="3711" w:type="dxa"/>
            <w:vAlign w:val="top"/>
          </w:tcPr>
          <w:p>
            <w:pPr>
              <w:pStyle w:val="TableText"/>
              <w:ind w:left="56"/>
              <w:spacing w:before="167" w:line="219" w:lineRule="auto"/>
              <w:rPr>
                <w:sz w:val="16"/>
                <w:szCs w:val="16"/>
              </w:rPr>
            </w:pPr>
            <w:r>
              <w:rPr>
                <w:sz w:val="16"/>
                <w:szCs w:val="16"/>
                <w:spacing w:val="1"/>
              </w:rPr>
              <w:t>1历史文化名域名值名村保护条例1</w:t>
            </w:r>
          </w:p>
        </w:tc>
      </w:tr>
      <w:tr>
        <w:trPr>
          <w:trHeight w:val="1118" w:hRule="atLeast"/>
        </w:trPr>
        <w:tc>
          <w:tcPr>
            <w:tcW w:w="574" w:type="dxa"/>
            <w:vAlign w:val="top"/>
          </w:tcPr>
          <w:p>
            <w:pPr>
              <w:spacing w:line="466" w:lineRule="auto"/>
              <w:rPr>
                <w:rFonts w:ascii="Arial"/>
                <w:sz w:val="21"/>
              </w:rPr>
            </w:pPr>
            <w:r/>
          </w:p>
          <w:p>
            <w:pPr>
              <w:pStyle w:val="TableText"/>
              <w:ind w:left="154"/>
              <w:spacing w:before="52" w:line="183" w:lineRule="auto"/>
              <w:rPr>
                <w:sz w:val="16"/>
                <w:szCs w:val="16"/>
              </w:rPr>
            </w:pPr>
            <w:r>
              <w:rPr>
                <w:sz w:val="16"/>
                <w:szCs w:val="16"/>
                <w:spacing w:val="-2"/>
              </w:rPr>
              <w:t>262</w:t>
            </w:r>
          </w:p>
        </w:tc>
        <w:tc>
          <w:tcPr>
            <w:tcW w:w="1299" w:type="dxa"/>
            <w:vAlign w:val="top"/>
          </w:tcPr>
          <w:p>
            <w:pPr>
              <w:spacing w:line="425" w:lineRule="auto"/>
              <w:rPr>
                <w:rFonts w:ascii="Arial"/>
                <w:sz w:val="21"/>
              </w:rPr>
            </w:pPr>
            <w:r/>
          </w:p>
          <w:p>
            <w:pPr>
              <w:pStyle w:val="TableText"/>
              <w:ind w:left="80"/>
              <w:spacing w:before="52" w:line="219" w:lineRule="auto"/>
              <w:rPr>
                <w:sz w:val="16"/>
                <w:szCs w:val="16"/>
              </w:rPr>
            </w:pPr>
            <w:r>
              <w:rPr>
                <w:sz w:val="16"/>
                <w:szCs w:val="16"/>
                <w:spacing w:val="-1"/>
              </w:rPr>
              <w:t>任房接乡建设都</w:t>
            </w:r>
          </w:p>
        </w:tc>
        <w:tc>
          <w:tcPr>
            <w:tcW w:w="1648" w:type="dxa"/>
            <w:vAlign w:val="top"/>
          </w:tcPr>
          <w:p>
            <w:pPr>
              <w:pStyle w:val="TableText"/>
              <w:ind w:left="52"/>
              <w:spacing w:before="88" w:line="231" w:lineRule="auto"/>
              <w:jc w:val="both"/>
              <w:rPr>
                <w:sz w:val="16"/>
                <w:szCs w:val="16"/>
              </w:rPr>
            </w:pPr>
            <w:r>
              <w:rPr>
                <w:sz w:val="16"/>
                <w:szCs w:val="16"/>
                <w:spacing w:val="-2"/>
              </w:rPr>
              <w:t>币史文化何区、名镇。</w:t>
            </w:r>
            <w:r>
              <w:rPr>
                <w:sz w:val="16"/>
                <w:szCs w:val="16"/>
                <w:spacing w:val="4"/>
              </w:rPr>
              <w:t xml:space="preserve"> </w:t>
            </w:r>
            <w:r>
              <w:rPr>
                <w:sz w:val="16"/>
                <w:szCs w:val="16"/>
                <w:spacing w:val="5"/>
              </w:rPr>
              <w:t>名月核心保护卷围内</w:t>
            </w:r>
            <w:r>
              <w:rPr>
                <w:sz w:val="16"/>
                <w:szCs w:val="16"/>
                <w:spacing w:val="1"/>
              </w:rPr>
              <w:t xml:space="preserve">  </w:t>
            </w:r>
            <w:r>
              <w:rPr>
                <w:sz w:val="16"/>
                <w:szCs w:val="16"/>
                <w:spacing w:val="2"/>
              </w:rPr>
              <w:t>拆醉师更建氧以界的</w:t>
            </w:r>
            <w:r>
              <w:rPr>
                <w:sz w:val="16"/>
                <w:szCs w:val="16"/>
              </w:rPr>
              <w:t xml:space="preserve">  </w:t>
            </w:r>
            <w:r>
              <w:rPr>
                <w:sz w:val="16"/>
                <w:szCs w:val="16"/>
                <w:spacing w:val="2"/>
              </w:rPr>
              <w:t>建筑物，构筑物或言</w:t>
            </w:r>
            <w:r>
              <w:rPr>
                <w:sz w:val="16"/>
                <w:szCs w:val="16"/>
              </w:rPr>
              <w:t xml:space="preserve">  </w:t>
            </w:r>
            <w:r>
              <w:rPr>
                <w:sz w:val="16"/>
                <w:szCs w:val="16"/>
                <w:spacing w:val="-3"/>
              </w:rPr>
              <w:t>其他役重审批</w:t>
            </w:r>
          </w:p>
        </w:tc>
        <w:tc>
          <w:tcPr>
            <w:tcW w:w="2367" w:type="dxa"/>
            <w:vAlign w:val="top"/>
          </w:tcPr>
          <w:p>
            <w:pPr>
              <w:spacing w:line="344" w:lineRule="auto"/>
              <w:rPr>
                <w:rFonts w:ascii="Arial"/>
                <w:sz w:val="21"/>
              </w:rPr>
            </w:pPr>
            <w:r/>
          </w:p>
          <w:p>
            <w:pPr>
              <w:pStyle w:val="TableText"/>
              <w:ind w:left="44" w:right="69" w:firstLine="10"/>
              <w:spacing w:before="52" w:line="221" w:lineRule="auto"/>
              <w:rPr>
                <w:sz w:val="16"/>
                <w:szCs w:val="16"/>
              </w:rPr>
            </w:pPr>
            <w:r>
              <w:rPr>
                <w:sz w:val="16"/>
                <w:szCs w:val="16"/>
                <w:spacing w:val="-1"/>
              </w:rPr>
              <w:t>碳市，是政府依法确定的带门会</w:t>
            </w:r>
            <w:r>
              <w:rPr>
                <w:sz w:val="16"/>
                <w:szCs w:val="16"/>
                <w:spacing w:val="6"/>
              </w:rPr>
              <w:t xml:space="preserve"> </w:t>
            </w:r>
            <w:r>
              <w:rPr>
                <w:sz w:val="16"/>
                <w:szCs w:val="16"/>
                <w:spacing w:val="3"/>
              </w:rPr>
              <w:t>同文物而门</w:t>
            </w:r>
          </w:p>
        </w:tc>
        <w:tc>
          <w:tcPr>
            <w:tcW w:w="3711" w:type="dxa"/>
            <w:vAlign w:val="top"/>
          </w:tcPr>
          <w:p>
            <w:pPr>
              <w:spacing w:line="424" w:lineRule="auto"/>
              <w:rPr>
                <w:rFonts w:ascii="Arial"/>
                <w:sz w:val="21"/>
              </w:rPr>
            </w:pPr>
            <w:r/>
          </w:p>
          <w:p>
            <w:pPr>
              <w:pStyle w:val="TableText"/>
              <w:ind w:left="56"/>
              <w:spacing w:before="52" w:line="219" w:lineRule="auto"/>
              <w:rPr>
                <w:sz w:val="16"/>
                <w:szCs w:val="16"/>
              </w:rPr>
            </w:pPr>
            <w:r>
              <w:rPr>
                <w:sz w:val="16"/>
                <w:szCs w:val="16"/>
                <w:spacing w:val="1"/>
              </w:rPr>
              <w:t>1历史文化茗碱名偏名村佩护茶偶]</w:t>
            </w:r>
          </w:p>
        </w:tc>
      </w:tr>
      <w:tr>
        <w:trPr>
          <w:trHeight w:val="909" w:hRule="atLeast"/>
        </w:trPr>
        <w:tc>
          <w:tcPr>
            <w:tcW w:w="574" w:type="dxa"/>
            <w:vAlign w:val="top"/>
          </w:tcPr>
          <w:p>
            <w:pPr>
              <w:spacing w:line="368" w:lineRule="auto"/>
              <w:rPr>
                <w:rFonts w:ascii="Arial"/>
                <w:sz w:val="21"/>
              </w:rPr>
            </w:pPr>
            <w:r/>
          </w:p>
          <w:p>
            <w:pPr>
              <w:pStyle w:val="TableText"/>
              <w:ind w:left="154"/>
              <w:spacing w:before="52" w:line="183" w:lineRule="auto"/>
              <w:rPr>
                <w:sz w:val="16"/>
                <w:szCs w:val="16"/>
              </w:rPr>
            </w:pPr>
            <w:r>
              <w:rPr>
                <w:sz w:val="16"/>
                <w:szCs w:val="16"/>
                <w:spacing w:val="-2"/>
              </w:rPr>
              <w:t>863</w:t>
            </w:r>
          </w:p>
        </w:tc>
        <w:tc>
          <w:tcPr>
            <w:tcW w:w="1299" w:type="dxa"/>
            <w:vAlign w:val="top"/>
          </w:tcPr>
          <w:p>
            <w:pPr>
              <w:spacing w:line="327" w:lineRule="auto"/>
              <w:rPr>
                <w:rFonts w:ascii="Arial"/>
                <w:sz w:val="21"/>
              </w:rPr>
            </w:pPr>
            <w:r/>
          </w:p>
          <w:p>
            <w:pPr>
              <w:pStyle w:val="TableText"/>
              <w:ind w:left="80"/>
              <w:spacing w:before="52" w:line="219" w:lineRule="auto"/>
              <w:rPr>
                <w:sz w:val="16"/>
                <w:szCs w:val="16"/>
              </w:rPr>
            </w:pPr>
            <w:r>
              <w:rPr>
                <w:sz w:val="16"/>
                <w:szCs w:val="16"/>
                <w:spacing w:val="-1"/>
              </w:rPr>
              <w:t>化原热参建投部</w:t>
            </w:r>
          </w:p>
        </w:tc>
        <w:tc>
          <w:tcPr>
            <w:tcW w:w="1648" w:type="dxa"/>
            <w:vAlign w:val="top"/>
          </w:tcPr>
          <w:p>
            <w:pPr>
              <w:pStyle w:val="TableText"/>
              <w:ind w:left="92" w:right="112"/>
              <w:spacing w:before="91" w:line="231" w:lineRule="auto"/>
              <w:jc w:val="both"/>
              <w:rPr>
                <w:sz w:val="16"/>
                <w:szCs w:val="16"/>
              </w:rPr>
            </w:pPr>
            <w:r>
              <w:rPr>
                <w:sz w:val="16"/>
                <w:szCs w:val="16"/>
                <w:spacing w:val="-1"/>
              </w:rPr>
              <w:t>所史葡筑养都修爆装</w:t>
            </w:r>
            <w:r>
              <w:rPr>
                <w:sz w:val="16"/>
                <w:szCs w:val="16"/>
                <w:spacing w:val="1"/>
              </w:rPr>
              <w:t xml:space="preserve"> </w:t>
            </w:r>
            <w:r>
              <w:rPr>
                <w:sz w:val="16"/>
                <w:szCs w:val="16"/>
                <w:spacing w:val="3"/>
              </w:rPr>
              <w:t>悔.国血设能以是改</w:t>
            </w:r>
            <w:r>
              <w:rPr>
                <w:sz w:val="16"/>
                <w:szCs w:val="16"/>
                <w:spacing w:val="4"/>
              </w:rPr>
              <w:t xml:space="preserve"> </w:t>
            </w:r>
            <w:r>
              <w:rPr>
                <w:sz w:val="16"/>
                <w:szCs w:val="16"/>
                <w:spacing w:val="-1"/>
              </w:rPr>
              <w:t>变防史建筑的防构或</w:t>
            </w:r>
          </w:p>
          <w:p>
            <w:pPr>
              <w:pStyle w:val="TableText"/>
              <w:ind w:left="42"/>
              <w:spacing w:line="220" w:lineRule="auto"/>
              <w:rPr>
                <w:sz w:val="16"/>
                <w:szCs w:val="16"/>
              </w:rPr>
            </w:pPr>
            <w:r>
              <w:rPr>
                <w:sz w:val="16"/>
                <w:szCs w:val="16"/>
                <w:spacing w:val="-1"/>
              </w:rPr>
              <w:t>者性用生能审量</w:t>
            </w:r>
          </w:p>
        </w:tc>
        <w:tc>
          <w:tcPr>
            <w:tcW w:w="2367" w:type="dxa"/>
            <w:vAlign w:val="top"/>
          </w:tcPr>
          <w:p>
            <w:pPr>
              <w:pStyle w:val="TableText"/>
              <w:ind w:left="44" w:right="79"/>
              <w:spacing w:before="281" w:line="231" w:lineRule="auto"/>
              <w:rPr>
                <w:sz w:val="16"/>
                <w:szCs w:val="16"/>
              </w:rPr>
            </w:pPr>
            <w:r>
              <w:rPr>
                <w:sz w:val="16"/>
                <w:szCs w:val="16"/>
                <w:spacing w:val="-1"/>
              </w:rPr>
              <w:t>地市，县政府依法确定的前门套</w:t>
            </w:r>
            <w:r>
              <w:rPr>
                <w:sz w:val="16"/>
                <w:szCs w:val="16"/>
                <w:spacing w:val="6"/>
              </w:rPr>
              <w:t xml:space="preserve"> </w:t>
            </w:r>
            <w:r>
              <w:rPr>
                <w:sz w:val="16"/>
                <w:szCs w:val="16"/>
                <w:spacing w:val="3"/>
              </w:rPr>
              <w:t>同文物都门</w:t>
            </w:r>
          </w:p>
        </w:tc>
        <w:tc>
          <w:tcPr>
            <w:tcW w:w="3711" w:type="dxa"/>
            <w:vAlign w:val="top"/>
          </w:tcPr>
          <w:p>
            <w:pPr>
              <w:spacing w:line="326" w:lineRule="auto"/>
              <w:rPr>
                <w:rFonts w:ascii="Arial"/>
                <w:sz w:val="21"/>
              </w:rPr>
            </w:pPr>
            <w:r/>
          </w:p>
          <w:p>
            <w:pPr>
              <w:pStyle w:val="TableText"/>
              <w:ind w:left="56"/>
              <w:spacing w:before="52" w:line="219" w:lineRule="auto"/>
              <w:rPr>
                <w:sz w:val="16"/>
                <w:szCs w:val="16"/>
              </w:rPr>
            </w:pPr>
            <w:r>
              <w:rPr>
                <w:sz w:val="16"/>
                <w:szCs w:val="16"/>
                <w:spacing w:val="-1"/>
              </w:rPr>
              <w:t>1历史文化冬填名镇名村保护举例》</w:t>
            </w:r>
          </w:p>
        </w:tc>
      </w:tr>
      <w:tr>
        <w:trPr>
          <w:trHeight w:val="499" w:hRule="atLeast"/>
        </w:trPr>
        <w:tc>
          <w:tcPr>
            <w:tcW w:w="574" w:type="dxa"/>
            <w:vAlign w:val="top"/>
          </w:tcPr>
          <w:p>
            <w:pPr>
              <w:pStyle w:val="TableText"/>
              <w:ind w:left="154"/>
              <w:spacing w:before="213" w:line="183" w:lineRule="auto"/>
              <w:rPr>
                <w:sz w:val="16"/>
                <w:szCs w:val="16"/>
              </w:rPr>
            </w:pPr>
            <w:r>
              <w:rPr>
                <w:sz w:val="16"/>
                <w:szCs w:val="16"/>
                <w:spacing w:val="-2"/>
              </w:rPr>
              <w:t>284</w:t>
            </w:r>
          </w:p>
        </w:tc>
        <w:tc>
          <w:tcPr>
            <w:tcW w:w="1299" w:type="dxa"/>
            <w:vAlign w:val="top"/>
          </w:tcPr>
          <w:p>
            <w:pPr>
              <w:pStyle w:val="TableText"/>
              <w:ind w:left="80"/>
              <w:spacing w:before="172" w:line="219" w:lineRule="auto"/>
              <w:rPr>
                <w:sz w:val="16"/>
                <w:szCs w:val="16"/>
              </w:rPr>
            </w:pPr>
            <w:r>
              <w:rPr>
                <w:sz w:val="16"/>
                <w:szCs w:val="16"/>
                <w:spacing w:val="-1"/>
              </w:rPr>
              <w:t>住房镇乡建设部</w:t>
            </w:r>
          </w:p>
        </w:tc>
        <w:tc>
          <w:tcPr>
            <w:tcW w:w="1648" w:type="dxa"/>
            <w:vAlign w:val="top"/>
          </w:tcPr>
          <w:p>
            <w:pPr>
              <w:pStyle w:val="TableText"/>
              <w:ind w:left="11" w:right="92" w:firstLine="80"/>
              <w:spacing w:before="83" w:line="226" w:lineRule="auto"/>
              <w:rPr>
                <w:sz w:val="16"/>
                <w:szCs w:val="16"/>
              </w:rPr>
            </w:pPr>
            <w:r>
              <w:rPr>
                <w:sz w:val="16"/>
                <w:szCs w:val="16"/>
                <w:spacing w:val="1"/>
              </w:rPr>
              <w:t>建设工程消防设计审</w:t>
            </w:r>
            <w:r>
              <w:rPr>
                <w:sz w:val="16"/>
                <w:szCs w:val="16"/>
                <w:spacing w:val="3"/>
              </w:rPr>
              <w:t xml:space="preserve"> </w:t>
            </w:r>
            <w:r>
              <w:rPr>
                <w:sz w:val="16"/>
                <w:szCs w:val="16"/>
              </w:rPr>
              <w:t>查</w:t>
            </w:r>
          </w:p>
        </w:tc>
        <w:tc>
          <w:tcPr>
            <w:tcW w:w="2367" w:type="dxa"/>
            <w:vAlign w:val="top"/>
          </w:tcPr>
          <w:p>
            <w:pPr>
              <w:pStyle w:val="TableText"/>
              <w:ind w:left="44" w:right="71" w:firstLine="10"/>
              <w:spacing w:before="72" w:line="231" w:lineRule="auto"/>
              <w:rPr>
                <w:sz w:val="16"/>
                <w:szCs w:val="16"/>
              </w:rPr>
            </w:pPr>
            <w:r>
              <w:rPr>
                <w:sz w:val="16"/>
                <w:szCs w:val="16"/>
                <w:spacing w:val="-1"/>
              </w:rPr>
              <w:t>省载，设区的市细、医烟住肉城</w:t>
            </w:r>
            <w:r>
              <w:rPr>
                <w:sz w:val="16"/>
                <w:szCs w:val="16"/>
                <w:spacing w:val="4"/>
              </w:rPr>
              <w:t xml:space="preserve"> </w:t>
            </w:r>
            <w:r>
              <w:rPr>
                <w:sz w:val="16"/>
                <w:szCs w:val="16"/>
                <w:spacing w:val="3"/>
              </w:rPr>
              <w:t>乡题设部门</w:t>
            </w:r>
          </w:p>
        </w:tc>
        <w:tc>
          <w:tcPr>
            <w:tcW w:w="3711" w:type="dxa"/>
            <w:vAlign w:val="top"/>
          </w:tcPr>
          <w:p>
            <w:pPr>
              <w:pStyle w:val="TableText"/>
              <w:spacing w:before="62" w:line="219" w:lineRule="auto"/>
              <w:rPr>
                <w:sz w:val="16"/>
                <w:szCs w:val="16"/>
              </w:rPr>
            </w:pPr>
            <w:r>
              <w:rPr>
                <w:sz w:val="16"/>
                <w:szCs w:val="16"/>
                <w:spacing w:val="-3"/>
              </w:rPr>
              <w:t>《中华人民共和圆消防法》</w:t>
            </w:r>
          </w:p>
          <w:p>
            <w:pPr>
              <w:pStyle w:val="TableText"/>
              <w:ind w:left="56"/>
              <w:spacing w:before="30" w:line="219" w:lineRule="auto"/>
              <w:rPr>
                <w:sz w:val="16"/>
                <w:szCs w:val="16"/>
              </w:rPr>
            </w:pPr>
            <w:r>
              <w:rPr>
                <w:sz w:val="16"/>
                <w:szCs w:val="16"/>
                <w:spacing w:val="1"/>
              </w:rPr>
              <w:t>建设工程前防设计审查验收登理暂行规定)</w:t>
            </w:r>
          </w:p>
        </w:tc>
      </w:tr>
      <w:tr>
        <w:trPr>
          <w:trHeight w:val="499" w:hRule="atLeast"/>
        </w:trPr>
        <w:tc>
          <w:tcPr>
            <w:tcW w:w="574" w:type="dxa"/>
            <w:vAlign w:val="top"/>
          </w:tcPr>
          <w:p>
            <w:pPr>
              <w:pStyle w:val="TableText"/>
              <w:ind w:left="154"/>
              <w:spacing w:before="214" w:line="183" w:lineRule="auto"/>
              <w:rPr>
                <w:sz w:val="16"/>
                <w:szCs w:val="16"/>
              </w:rPr>
            </w:pPr>
            <w:r>
              <w:rPr>
                <w:sz w:val="16"/>
                <w:szCs w:val="16"/>
                <w:spacing w:val="-2"/>
              </w:rPr>
              <w:t>265</w:t>
            </w:r>
          </w:p>
        </w:tc>
        <w:tc>
          <w:tcPr>
            <w:tcW w:w="1299" w:type="dxa"/>
            <w:vAlign w:val="top"/>
          </w:tcPr>
          <w:p>
            <w:pPr>
              <w:pStyle w:val="TableText"/>
              <w:ind w:left="80"/>
              <w:spacing w:before="173" w:line="219" w:lineRule="auto"/>
              <w:rPr>
                <w:sz w:val="16"/>
                <w:szCs w:val="16"/>
              </w:rPr>
            </w:pPr>
            <w:r>
              <w:rPr>
                <w:sz w:val="16"/>
                <w:szCs w:val="16"/>
                <w:spacing w:val="-1"/>
              </w:rPr>
              <w:t>住房通乡跑设存</w:t>
            </w:r>
          </w:p>
        </w:tc>
        <w:tc>
          <w:tcPr>
            <w:tcW w:w="1648" w:type="dxa"/>
            <w:vAlign w:val="top"/>
          </w:tcPr>
          <w:p>
            <w:pPr>
              <w:pStyle w:val="TableText"/>
              <w:ind w:left="52"/>
              <w:spacing w:before="173" w:line="219" w:lineRule="auto"/>
              <w:rPr>
                <w:sz w:val="16"/>
                <w:szCs w:val="16"/>
              </w:rPr>
            </w:pPr>
            <w:r>
              <w:rPr>
                <w:sz w:val="16"/>
                <w:szCs w:val="16"/>
                <w:spacing w:val="-1"/>
              </w:rPr>
              <w:t>建设工程消防验数</w:t>
            </w:r>
          </w:p>
        </w:tc>
        <w:tc>
          <w:tcPr>
            <w:tcW w:w="2367" w:type="dxa"/>
            <w:vAlign w:val="top"/>
          </w:tcPr>
          <w:p>
            <w:pPr>
              <w:pStyle w:val="TableText"/>
              <w:ind w:left="44" w:right="70" w:firstLine="10"/>
              <w:spacing w:before="82" w:line="232" w:lineRule="auto"/>
              <w:rPr>
                <w:sz w:val="16"/>
                <w:szCs w:val="16"/>
              </w:rPr>
            </w:pPr>
            <w:r>
              <w:rPr>
                <w:sz w:val="16"/>
                <w:szCs w:val="16"/>
                <w:spacing w:val="-1"/>
              </w:rPr>
              <w:t>者级，设区的市级，县经住房城</w:t>
            </w:r>
            <w:r>
              <w:rPr>
                <w:sz w:val="16"/>
                <w:szCs w:val="16"/>
                <w:spacing w:val="5"/>
              </w:rPr>
              <w:t xml:space="preserve"> </w:t>
            </w:r>
            <w:r>
              <w:rPr>
                <w:sz w:val="16"/>
                <w:szCs w:val="16"/>
                <w:spacing w:val="3"/>
              </w:rPr>
              <w:t>乡础设命门</w:t>
            </w:r>
          </w:p>
        </w:tc>
        <w:tc>
          <w:tcPr>
            <w:tcW w:w="3711" w:type="dxa"/>
            <w:vAlign w:val="top"/>
          </w:tcPr>
          <w:p>
            <w:pPr>
              <w:pStyle w:val="TableText"/>
              <w:ind w:left="56"/>
              <w:spacing w:before="85" w:line="215" w:lineRule="auto"/>
              <w:rPr>
                <w:sz w:val="16"/>
                <w:szCs w:val="16"/>
              </w:rPr>
            </w:pPr>
            <w:r>
              <w:rPr>
                <w:sz w:val="16"/>
                <w:szCs w:val="16"/>
                <w:spacing w:val="3"/>
              </w:rPr>
              <w:t>1中华人民共和国消动法|</w:t>
            </w:r>
          </w:p>
          <w:p>
            <w:pPr>
              <w:pStyle w:val="TableText"/>
              <w:ind w:left="56"/>
              <w:spacing w:before="11" w:line="219" w:lineRule="auto"/>
              <w:rPr>
                <w:sz w:val="16"/>
                <w:szCs w:val="16"/>
              </w:rPr>
            </w:pPr>
            <w:r>
              <w:rPr>
                <w:sz w:val="16"/>
                <w:szCs w:val="16"/>
              </w:rPr>
              <w:t>1建设工程葡防设计审查险收管现暂行规定》</w:t>
            </w:r>
          </w:p>
        </w:tc>
      </w:tr>
      <w:tr>
        <w:trPr>
          <w:trHeight w:val="719" w:hRule="atLeast"/>
        </w:trPr>
        <w:tc>
          <w:tcPr>
            <w:tcW w:w="574" w:type="dxa"/>
            <w:vAlign w:val="top"/>
          </w:tcPr>
          <w:p>
            <w:pPr>
              <w:spacing w:line="272" w:lineRule="auto"/>
              <w:rPr>
                <w:rFonts w:ascii="Arial"/>
                <w:sz w:val="21"/>
              </w:rPr>
            </w:pPr>
            <w:r/>
          </w:p>
          <w:p>
            <w:pPr>
              <w:pStyle w:val="TableText"/>
              <w:ind w:left="154"/>
              <w:spacing w:before="52" w:line="183" w:lineRule="auto"/>
              <w:rPr>
                <w:sz w:val="16"/>
                <w:szCs w:val="16"/>
              </w:rPr>
            </w:pPr>
            <w:r>
              <w:rPr>
                <w:sz w:val="16"/>
                <w:szCs w:val="16"/>
                <w:spacing w:val="-2"/>
              </w:rPr>
              <w:t>256</w:t>
            </w:r>
          </w:p>
        </w:tc>
        <w:tc>
          <w:tcPr>
            <w:tcW w:w="1299" w:type="dxa"/>
            <w:vAlign w:val="top"/>
          </w:tcPr>
          <w:p>
            <w:pPr>
              <w:pStyle w:val="TableText"/>
              <w:ind w:left="80"/>
              <w:spacing w:before="284" w:line="219" w:lineRule="auto"/>
              <w:rPr>
                <w:sz w:val="16"/>
                <w:szCs w:val="16"/>
              </w:rPr>
            </w:pPr>
            <w:r>
              <w:rPr>
                <w:sz w:val="16"/>
                <w:szCs w:val="16"/>
                <w:spacing w:val="-1"/>
              </w:rPr>
              <w:t>住房城乡建设部</w:t>
            </w:r>
          </w:p>
        </w:tc>
        <w:tc>
          <w:tcPr>
            <w:tcW w:w="1648" w:type="dxa"/>
            <w:vAlign w:val="top"/>
          </w:tcPr>
          <w:p>
            <w:pPr>
              <w:pStyle w:val="TableText"/>
              <w:ind w:left="42" w:right="96" w:firstLine="50"/>
              <w:spacing w:before="104" w:line="227" w:lineRule="auto"/>
              <w:jc w:val="both"/>
              <w:rPr>
                <w:sz w:val="16"/>
                <w:szCs w:val="16"/>
              </w:rPr>
            </w:pPr>
            <w:r>
              <w:rPr>
                <w:sz w:val="16"/>
                <w:szCs w:val="16"/>
                <w:spacing w:val="-1"/>
              </w:rPr>
              <w:t>在村庄，黑钮规划区</w:t>
            </w:r>
            <w:r>
              <w:rPr>
                <w:sz w:val="16"/>
                <w:szCs w:val="16"/>
                <w:spacing w:val="2"/>
              </w:rPr>
              <w:t xml:space="preserve"> </w:t>
            </w:r>
            <w:r>
              <w:rPr>
                <w:sz w:val="16"/>
                <w:szCs w:val="16"/>
                <w:spacing w:val="6"/>
              </w:rPr>
              <w:t>内公共场所橡建临时</w:t>
            </w:r>
            <w:r>
              <w:rPr>
                <w:sz w:val="16"/>
                <w:szCs w:val="16"/>
                <w:spacing w:val="4"/>
              </w:rPr>
              <w:t xml:space="preserve"> </w:t>
            </w:r>
            <w:r>
              <w:rPr>
                <w:sz w:val="16"/>
                <w:szCs w:val="16"/>
                <w:spacing w:val="-1"/>
              </w:rPr>
              <w:t>赚筑等设施市批</w:t>
            </w:r>
          </w:p>
        </w:tc>
        <w:tc>
          <w:tcPr>
            <w:tcW w:w="2367" w:type="dxa"/>
            <w:vAlign w:val="top"/>
          </w:tcPr>
          <w:p>
            <w:pPr>
              <w:pStyle w:val="TableText"/>
              <w:ind w:left="44"/>
              <w:spacing w:before="285" w:line="221" w:lineRule="auto"/>
              <w:rPr>
                <w:sz w:val="16"/>
                <w:szCs w:val="16"/>
              </w:rPr>
            </w:pPr>
            <w:r>
              <w:rPr>
                <w:sz w:val="16"/>
                <w:szCs w:val="16"/>
                <w:spacing w:val="2"/>
              </w:rPr>
              <w:t>乡级政识</w:t>
            </w:r>
          </w:p>
        </w:tc>
        <w:tc>
          <w:tcPr>
            <w:tcW w:w="3711" w:type="dxa"/>
            <w:vAlign w:val="top"/>
          </w:tcPr>
          <w:p>
            <w:pPr>
              <w:pStyle w:val="TableText"/>
              <w:ind w:left="56"/>
              <w:spacing w:before="283" w:line="219" w:lineRule="auto"/>
              <w:rPr>
                <w:sz w:val="16"/>
                <w:szCs w:val="16"/>
              </w:rPr>
            </w:pPr>
            <w:r>
              <w:rPr>
                <w:sz w:val="16"/>
                <w:szCs w:val="16"/>
                <w:spacing w:val="-1"/>
              </w:rPr>
              <w:t>村庄和象算规划请设看规是例》</w:t>
            </w:r>
          </w:p>
        </w:tc>
      </w:tr>
      <w:tr>
        <w:trPr>
          <w:trHeight w:val="914" w:hRule="atLeast"/>
        </w:trPr>
        <w:tc>
          <w:tcPr>
            <w:tcW w:w="574" w:type="dxa"/>
            <w:vAlign w:val="top"/>
          </w:tcPr>
          <w:p>
            <w:pPr>
              <w:spacing w:line="372" w:lineRule="auto"/>
              <w:rPr>
                <w:rFonts w:ascii="Arial"/>
                <w:sz w:val="21"/>
              </w:rPr>
            </w:pPr>
            <w:r/>
          </w:p>
          <w:p>
            <w:pPr>
              <w:pStyle w:val="TableText"/>
              <w:ind w:left="154"/>
              <w:spacing w:before="52" w:line="183" w:lineRule="auto"/>
              <w:rPr>
                <w:sz w:val="16"/>
                <w:szCs w:val="16"/>
              </w:rPr>
            </w:pPr>
            <w:r>
              <w:rPr>
                <w:sz w:val="16"/>
                <w:szCs w:val="16"/>
                <w:spacing w:val="-2"/>
              </w:rPr>
              <w:t>267</w:t>
            </w:r>
          </w:p>
        </w:tc>
        <w:tc>
          <w:tcPr>
            <w:tcW w:w="1299" w:type="dxa"/>
            <w:vAlign w:val="top"/>
          </w:tcPr>
          <w:p>
            <w:pPr>
              <w:spacing w:line="331" w:lineRule="auto"/>
              <w:rPr>
                <w:rFonts w:ascii="Arial"/>
                <w:sz w:val="21"/>
              </w:rPr>
            </w:pPr>
            <w:r/>
          </w:p>
          <w:p>
            <w:pPr>
              <w:pStyle w:val="TableText"/>
              <w:ind w:left="80"/>
              <w:spacing w:before="52" w:line="219" w:lineRule="auto"/>
              <w:rPr>
                <w:sz w:val="16"/>
                <w:szCs w:val="16"/>
              </w:rPr>
            </w:pPr>
            <w:r>
              <w:rPr>
                <w:sz w:val="16"/>
                <w:szCs w:val="16"/>
                <w:spacing w:val="-1"/>
              </w:rPr>
              <w:t>性房城乡建设部</w:t>
            </w:r>
          </w:p>
        </w:tc>
        <w:tc>
          <w:tcPr>
            <w:tcW w:w="1648" w:type="dxa"/>
            <w:vAlign w:val="top"/>
          </w:tcPr>
          <w:p>
            <w:pPr>
              <w:pStyle w:val="TableText"/>
              <w:ind w:left="92" w:right="111"/>
              <w:spacing w:before="95" w:line="223" w:lineRule="auto"/>
              <w:jc w:val="both"/>
              <w:rPr>
                <w:sz w:val="16"/>
                <w:szCs w:val="16"/>
              </w:rPr>
            </w:pPr>
            <w:r>
              <w:rPr>
                <w:sz w:val="16"/>
                <w:szCs w:val="16"/>
                <w:spacing w:val="-1"/>
              </w:rPr>
              <w:t>设置大型户外广传及</w:t>
            </w:r>
            <w:r>
              <w:rPr>
                <w:sz w:val="16"/>
                <w:szCs w:val="16"/>
              </w:rPr>
              <w:t xml:space="preserve"> </w:t>
            </w:r>
            <w:r>
              <w:rPr>
                <w:sz w:val="16"/>
                <w:szCs w:val="16"/>
                <w:spacing w:val="3"/>
              </w:rPr>
              <w:t>在墙市建筑物.议商</w:t>
            </w:r>
            <w:r>
              <w:rPr>
                <w:sz w:val="16"/>
                <w:szCs w:val="16"/>
                <w:spacing w:val="6"/>
              </w:rPr>
              <w:t xml:space="preserve"> </w:t>
            </w:r>
            <w:r>
              <w:rPr>
                <w:sz w:val="16"/>
                <w:szCs w:val="16"/>
                <w:spacing w:val="-1"/>
              </w:rPr>
              <w:t>七慧排，亲贴宣使呈</w:t>
            </w:r>
          </w:p>
          <w:p>
            <w:pPr>
              <w:pStyle w:val="TableText"/>
              <w:ind w:left="42"/>
              <w:spacing w:before="40" w:line="217" w:lineRule="auto"/>
              <w:rPr>
                <w:sz w:val="16"/>
                <w:szCs w:val="16"/>
              </w:rPr>
            </w:pPr>
            <w:r>
              <w:rPr>
                <w:sz w:val="16"/>
                <w:szCs w:val="16"/>
                <w:spacing w:val="4"/>
              </w:rPr>
              <w:t>审物</w:t>
            </w:r>
          </w:p>
        </w:tc>
        <w:tc>
          <w:tcPr>
            <w:tcW w:w="2367" w:type="dxa"/>
            <w:vAlign w:val="top"/>
          </w:tcPr>
          <w:p>
            <w:pPr>
              <w:spacing w:line="330" w:lineRule="auto"/>
              <w:rPr>
                <w:rFonts w:ascii="Arial"/>
                <w:sz w:val="21"/>
              </w:rPr>
            </w:pPr>
            <w:r/>
          </w:p>
          <w:p>
            <w:pPr>
              <w:pStyle w:val="TableText"/>
              <w:ind w:left="44"/>
              <w:spacing w:before="52" w:line="219" w:lineRule="auto"/>
              <w:rPr>
                <w:sz w:val="16"/>
                <w:szCs w:val="16"/>
              </w:rPr>
            </w:pPr>
            <w:r>
              <w:rPr>
                <w:sz w:val="16"/>
                <w:szCs w:val="16"/>
                <w:spacing w:val="1"/>
              </w:rPr>
              <w:t>墙市疏府市容环境卫生部门</w:t>
            </w:r>
          </w:p>
        </w:tc>
        <w:tc>
          <w:tcPr>
            <w:tcW w:w="3711" w:type="dxa"/>
            <w:vAlign w:val="top"/>
          </w:tcPr>
          <w:p>
            <w:pPr>
              <w:spacing w:line="331" w:lineRule="auto"/>
              <w:rPr>
                <w:rFonts w:ascii="Arial"/>
                <w:sz w:val="21"/>
              </w:rPr>
            </w:pPr>
            <w:r/>
          </w:p>
          <w:p>
            <w:pPr>
              <w:pStyle w:val="TableText"/>
              <w:ind w:left="56"/>
              <w:spacing w:before="52" w:line="219" w:lineRule="auto"/>
              <w:rPr>
                <w:sz w:val="16"/>
                <w:szCs w:val="16"/>
              </w:rPr>
            </w:pPr>
            <w:r>
              <w:rPr>
                <w:sz w:val="16"/>
                <w:szCs w:val="16"/>
                <w:spacing w:val="-1"/>
              </w:rPr>
              <w:t>城而市容和环境卫生食理条例》</w:t>
            </w:r>
          </w:p>
        </w:tc>
      </w:tr>
    </w:tbl>
    <w:p>
      <w:pPr>
        <w:pStyle w:val="BodyText"/>
        <w:rPr/>
      </w:pPr>
      <w:r/>
    </w:p>
    <w:p>
      <w:pPr>
        <w:sectPr>
          <w:pgSz w:w="11910" w:h="8220"/>
          <w:pgMar w:top="400" w:right="1165" w:bottom="400" w:left="801" w:header="0" w:footer="0" w:gutter="0"/>
        </w:sectPr>
        <w:rPr/>
      </w:pPr>
    </w:p>
    <w:p>
      <w:pPr>
        <w:spacing w:before="83"/>
        <w:rPr/>
      </w:pPr>
      <w:r>
        <mc:AlternateContent xmlns:mc="http://schemas.openxmlformats.org/markup-compatibility/2006">
          <mc:Choice Requires="wps">
            <w:drawing>
              <wp:anchor distT="0" distB="0" distL="0" distR="0" simplePos="0" relativeHeight="251850752" behindDoc="0" locked="0" layoutInCell="0" allowOverlap="1">
                <wp:simplePos x="0" y="0"/>
                <wp:positionH relativeFrom="page">
                  <wp:posOffset>470967</wp:posOffset>
                </wp:positionH>
                <wp:positionV relativeFrom="page">
                  <wp:posOffset>4382489</wp:posOffset>
                </wp:positionV>
                <wp:extent cx="203834" cy="214629"/>
                <wp:effectExtent l="0" t="0" r="0" b="0"/>
                <wp:wrapNone/>
                <wp:docPr id="220" name="TextBox 220"/>
                <wp:cNvGraphicFramePr/>
                <a:graphic>
                  <a:graphicData uri="http://schemas.microsoft.com/office/word/2010/wordprocessingShape">
                    <wps:wsp>
                      <wps:cNvSpPr txBox="1"/>
                      <wps:spPr>
                        <a:xfrm rot="5400000">
                          <a:off x="470967" y="4382489"/>
                          <a:ext cx="203834"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191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2" style="position:absolute;margin-left:37.084pt;margin-top:345.078pt;mso-position-vertical-relative:page;mso-position-horizontal-relative:page;width:16.05pt;height:16.9pt;z-index:251850752;rotation:90;" o:allowincell="f" filled="false" stroked="false" type="#_x0000_t202">
                <v:fill on="false"/>
                <v:stroke on="false"/>
                <v:path/>
                <v:imagedata o:title=""/>
                <o:lock v:ext="edit" aspectratio="false"/>
                <v:textbox inset="0mm,0mm,0mm,0mm">
                  <w:txbxContent>
                    <w:p>
                      <w:pPr>
                        <w:spacing w:before="88" w:line="184" w:lineRule="auto"/>
                        <w:jc w:val="right"/>
                        <w:rPr>
                          <w:rFonts w:ascii="SimSun" w:hAnsi="SimSun" w:eastAsia="SimSun" w:cs="SimSun"/>
                          <w:sz w:val="23"/>
                          <w:szCs w:val="23"/>
                        </w:rPr>
                      </w:pPr>
                      <w:r>
                        <w:rPr>
                          <w:rFonts w:ascii="SimSun" w:hAnsi="SimSun" w:eastAsia="SimSun" w:cs="SimSun"/>
                          <w:sz w:val="23"/>
                          <w:szCs w:val="23"/>
                          <w:spacing w:val="-22"/>
                        </w:rPr>
                        <w:t>191</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77"/>
        <w:gridCol w:w="3711"/>
      </w:tblGrid>
      <w:tr>
        <w:trPr>
          <w:trHeight w:val="41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中忠主贷想门</w:t>
            </w:r>
          </w:p>
        </w:tc>
        <w:tc>
          <w:tcPr>
            <w:tcW w:w="1628" w:type="dxa"/>
            <w:vAlign w:val="top"/>
          </w:tcPr>
          <w:p>
            <w:pPr>
              <w:pStyle w:val="TableText"/>
              <w:ind w:left="481"/>
              <w:spacing w:before="130" w:line="219" w:lineRule="auto"/>
              <w:rPr>
                <w:sz w:val="16"/>
                <w:szCs w:val="16"/>
              </w:rPr>
            </w:pPr>
            <w:r>
              <w:rPr>
                <w:sz w:val="16"/>
                <w:szCs w:val="16"/>
                <w:spacing w:val="-2"/>
              </w:rPr>
              <w:t>事请名幕</w:t>
            </w:r>
          </w:p>
        </w:tc>
        <w:tc>
          <w:tcPr>
            <w:tcW w:w="2377" w:type="dxa"/>
            <w:vAlign w:val="top"/>
          </w:tcPr>
          <w:p>
            <w:pPr>
              <w:pStyle w:val="TableText"/>
              <w:ind w:left="854"/>
              <w:spacing w:before="130" w:line="219" w:lineRule="auto"/>
              <w:rPr>
                <w:sz w:val="16"/>
                <w:szCs w:val="16"/>
              </w:rPr>
            </w:pPr>
            <w:r>
              <w:rPr>
                <w:sz w:val="16"/>
                <w:szCs w:val="16"/>
                <w:spacing w:val="-2"/>
              </w:rPr>
              <w:t>共旅机类</w:t>
            </w:r>
          </w:p>
        </w:tc>
        <w:tc>
          <w:tcPr>
            <w:tcW w:w="3711" w:type="dxa"/>
            <w:vAlign w:val="top"/>
          </w:tcPr>
          <w:p>
            <w:pPr>
              <w:pStyle w:val="TableText"/>
              <w:ind w:left="1289"/>
              <w:spacing w:before="129" w:line="219" w:lineRule="auto"/>
              <w:rPr>
                <w:sz w:val="16"/>
                <w:szCs w:val="16"/>
              </w:rPr>
            </w:pPr>
            <w:r>
              <w:rPr>
                <w:sz w:val="16"/>
                <w:szCs w:val="16"/>
                <w:b/>
                <w:bCs/>
                <w:spacing w:val="-3"/>
              </w:rPr>
              <w:t>设定和实集体据</w:t>
            </w:r>
          </w:p>
        </w:tc>
      </w:tr>
      <w:tr>
        <w:trPr>
          <w:trHeight w:val="689" w:hRule="atLeast"/>
        </w:trPr>
        <w:tc>
          <w:tcPr>
            <w:tcW w:w="594" w:type="dxa"/>
            <w:vAlign w:val="top"/>
          </w:tcPr>
          <w:p>
            <w:pPr>
              <w:spacing w:line="255" w:lineRule="auto"/>
              <w:rPr>
                <w:rFonts w:ascii="Arial"/>
                <w:sz w:val="21"/>
              </w:rPr>
            </w:pPr>
            <w:r/>
          </w:p>
          <w:p>
            <w:pPr>
              <w:pStyle w:val="TableText"/>
              <w:ind w:left="164"/>
              <w:spacing w:before="52" w:line="183" w:lineRule="auto"/>
              <w:rPr>
                <w:sz w:val="16"/>
                <w:szCs w:val="16"/>
              </w:rPr>
            </w:pPr>
            <w:r>
              <w:rPr>
                <w:sz w:val="16"/>
                <w:szCs w:val="16"/>
                <w:spacing w:val="-2"/>
              </w:rPr>
              <w:t>268</w:t>
            </w:r>
          </w:p>
        </w:tc>
        <w:tc>
          <w:tcPr>
            <w:tcW w:w="1289" w:type="dxa"/>
            <w:vAlign w:val="top"/>
          </w:tcPr>
          <w:p>
            <w:pPr>
              <w:pStyle w:val="TableText"/>
              <w:ind w:left="70"/>
              <w:spacing w:before="266" w:line="219" w:lineRule="auto"/>
              <w:rPr>
                <w:sz w:val="16"/>
                <w:szCs w:val="16"/>
              </w:rPr>
            </w:pPr>
            <w:r>
              <w:rPr>
                <w:sz w:val="16"/>
                <w:szCs w:val="16"/>
                <w:spacing w:val="-1"/>
              </w:rPr>
              <w:t>住房城专建议剂</w:t>
            </w:r>
          </w:p>
        </w:tc>
        <w:tc>
          <w:tcPr>
            <w:tcW w:w="1628" w:type="dxa"/>
            <w:vAlign w:val="top"/>
          </w:tcPr>
          <w:p>
            <w:pPr>
              <w:pStyle w:val="TableText"/>
              <w:ind w:left="52" w:right="135" w:firstLine="149"/>
              <w:spacing w:before="76" w:line="220" w:lineRule="auto"/>
              <w:jc w:val="both"/>
              <w:rPr>
                <w:sz w:val="16"/>
                <w:szCs w:val="16"/>
              </w:rPr>
            </w:pPr>
            <w:r>
              <w:rPr>
                <w:sz w:val="16"/>
                <w:szCs w:val="16"/>
              </w:rPr>
              <w:t>料性建筑装清楚。 </w:t>
            </w:r>
            <w:r>
              <w:rPr>
                <w:sz w:val="16"/>
                <w:szCs w:val="16"/>
                <w:spacing w:val="7"/>
              </w:rPr>
              <w:t>雄放物别.占道跑工</w:t>
            </w:r>
            <w:r>
              <w:rPr>
                <w:sz w:val="16"/>
                <w:szCs w:val="16"/>
              </w:rPr>
              <w:t xml:space="preserve"> </w:t>
            </w:r>
            <w:r>
              <w:rPr>
                <w:sz w:val="16"/>
                <w:szCs w:val="16"/>
                <w:spacing w:val="3"/>
              </w:rPr>
              <w:t>审批</w:t>
            </w:r>
          </w:p>
        </w:tc>
        <w:tc>
          <w:tcPr>
            <w:tcW w:w="2377" w:type="dxa"/>
            <w:vAlign w:val="top"/>
          </w:tcPr>
          <w:p>
            <w:pPr>
              <w:pStyle w:val="TableText"/>
              <w:ind w:left="203"/>
              <w:spacing w:before="266" w:line="219" w:lineRule="auto"/>
              <w:rPr>
                <w:sz w:val="16"/>
                <w:szCs w:val="16"/>
              </w:rPr>
            </w:pPr>
            <w:r>
              <w:rPr>
                <w:sz w:val="16"/>
                <w:szCs w:val="16"/>
                <w:spacing w:val="1"/>
              </w:rPr>
              <w:t>城市政府市容环质卫生加门</w:t>
            </w:r>
          </w:p>
        </w:tc>
        <w:tc>
          <w:tcPr>
            <w:tcW w:w="3711" w:type="dxa"/>
            <w:vAlign w:val="top"/>
          </w:tcPr>
          <w:p>
            <w:pPr>
              <w:pStyle w:val="TableText"/>
              <w:ind w:left="26"/>
              <w:spacing w:before="267" w:line="219" w:lineRule="auto"/>
              <w:rPr>
                <w:sz w:val="16"/>
                <w:szCs w:val="16"/>
              </w:rPr>
            </w:pPr>
            <w:r>
              <w:rPr>
                <w:sz w:val="16"/>
                <w:szCs w:val="16"/>
              </w:rPr>
              <w:t>1描市市安和环境卫生督理条第》</w:t>
            </w:r>
          </w:p>
        </w:tc>
      </w:tr>
      <w:tr>
        <w:trPr>
          <w:trHeight w:val="479" w:hRule="atLeast"/>
        </w:trPr>
        <w:tc>
          <w:tcPr>
            <w:tcW w:w="594" w:type="dxa"/>
            <w:vAlign w:val="top"/>
          </w:tcPr>
          <w:p>
            <w:pPr>
              <w:pStyle w:val="TableText"/>
              <w:ind w:left="164"/>
              <w:spacing w:before="199" w:line="183" w:lineRule="auto"/>
              <w:rPr>
                <w:sz w:val="16"/>
                <w:szCs w:val="16"/>
              </w:rPr>
            </w:pPr>
            <w:r>
              <w:rPr>
                <w:sz w:val="16"/>
                <w:szCs w:val="16"/>
                <w:spacing w:val="-2"/>
              </w:rPr>
              <w:t>269</w:t>
            </w:r>
          </w:p>
        </w:tc>
        <w:tc>
          <w:tcPr>
            <w:tcW w:w="1289" w:type="dxa"/>
            <w:vAlign w:val="top"/>
          </w:tcPr>
          <w:p>
            <w:pPr>
              <w:pStyle w:val="TableText"/>
              <w:ind w:left="70"/>
              <w:spacing w:before="158" w:line="219" w:lineRule="auto"/>
              <w:rPr>
                <w:sz w:val="16"/>
                <w:szCs w:val="16"/>
              </w:rPr>
            </w:pPr>
            <w:r>
              <w:rPr>
                <w:sz w:val="16"/>
                <w:szCs w:val="16"/>
                <w:spacing w:val="-1"/>
              </w:rPr>
              <w:t>住房械乡建没那</w:t>
            </w:r>
          </w:p>
        </w:tc>
        <w:tc>
          <w:tcPr>
            <w:tcW w:w="1628" w:type="dxa"/>
            <w:vAlign w:val="top"/>
          </w:tcPr>
          <w:p>
            <w:pPr>
              <w:pStyle w:val="TableText"/>
              <w:ind w:left="32" w:right="104" w:firstLine="49"/>
              <w:spacing w:before="57" w:line="229" w:lineRule="auto"/>
              <w:rPr>
                <w:sz w:val="16"/>
                <w:szCs w:val="16"/>
              </w:rPr>
            </w:pPr>
            <w:r>
              <w:rPr>
                <w:sz w:val="16"/>
                <w:szCs w:val="16"/>
                <w:spacing w:val="-1"/>
              </w:rPr>
              <w:t>建饮息重机械使用齐</w:t>
            </w:r>
            <w:r>
              <w:rPr>
                <w:sz w:val="16"/>
                <w:szCs w:val="16"/>
              </w:rPr>
              <w:t xml:space="preserve"> </w:t>
            </w:r>
            <w:r>
              <w:rPr>
                <w:sz w:val="16"/>
                <w:szCs w:val="16"/>
              </w:rPr>
              <w:t>记</w:t>
            </w:r>
          </w:p>
        </w:tc>
        <w:tc>
          <w:tcPr>
            <w:tcW w:w="2377" w:type="dxa"/>
            <w:vAlign w:val="top"/>
          </w:tcPr>
          <w:p>
            <w:pPr>
              <w:pStyle w:val="TableText"/>
              <w:ind w:left="203"/>
              <w:spacing w:before="58" w:line="225" w:lineRule="auto"/>
              <w:rPr>
                <w:sz w:val="16"/>
                <w:szCs w:val="16"/>
              </w:rPr>
            </w:pPr>
            <w:r>
              <w:rPr>
                <w:sz w:val="16"/>
                <w:szCs w:val="16"/>
                <w:spacing w:val="-6"/>
              </w:rPr>
              <w:t>直据市，设区的市级，县酸住用</w:t>
            </w:r>
            <w:r>
              <w:rPr>
                <w:sz w:val="16"/>
                <w:szCs w:val="16"/>
                <w:spacing w:val="6"/>
              </w:rPr>
              <w:t xml:space="preserve"> </w:t>
            </w:r>
            <w:r>
              <w:rPr>
                <w:sz w:val="16"/>
                <w:szCs w:val="16"/>
                <w:spacing w:val="1"/>
              </w:rPr>
              <w:t>签乡建说部门</w:t>
            </w:r>
          </w:p>
        </w:tc>
        <w:tc>
          <w:tcPr>
            <w:tcW w:w="3711" w:type="dxa"/>
            <w:vAlign w:val="top"/>
          </w:tcPr>
          <w:p>
            <w:pPr>
              <w:pStyle w:val="TableText"/>
              <w:ind w:left="78"/>
              <w:spacing w:before="68" w:line="242" w:lineRule="auto"/>
              <w:rPr>
                <w:sz w:val="16"/>
                <w:szCs w:val="16"/>
              </w:rPr>
            </w:pPr>
            <w:r>
              <w:rPr>
                <w:sz w:val="16"/>
                <w:szCs w:val="16"/>
                <w:spacing w:val="-4"/>
              </w:rPr>
              <w:t>4中伊人民共和国特种设备安全法</w:t>
            </w:r>
          </w:p>
          <w:p>
            <w:pPr>
              <w:pStyle w:val="TableText"/>
              <w:spacing w:line="219" w:lineRule="auto"/>
              <w:rPr>
                <w:sz w:val="16"/>
                <w:szCs w:val="16"/>
              </w:rPr>
            </w:pPr>
            <w:r>
              <w:rPr>
                <w:sz w:val="16"/>
                <w:szCs w:val="16"/>
                <w:spacing w:val="-5"/>
              </w:rPr>
              <w:t>《建说工程安金生产管厚条的</w:t>
            </w:r>
          </w:p>
        </w:tc>
      </w:tr>
      <w:tr>
        <w:trPr>
          <w:trHeight w:val="479" w:hRule="atLeast"/>
        </w:trPr>
        <w:tc>
          <w:tcPr>
            <w:tcW w:w="594" w:type="dxa"/>
            <w:vAlign w:val="top"/>
          </w:tcPr>
          <w:p>
            <w:pPr>
              <w:pStyle w:val="TableText"/>
              <w:ind w:left="164"/>
              <w:spacing w:before="200" w:line="183" w:lineRule="auto"/>
              <w:rPr>
                <w:sz w:val="16"/>
                <w:szCs w:val="16"/>
              </w:rPr>
            </w:pPr>
            <w:r>
              <w:rPr>
                <w:sz w:val="16"/>
                <w:szCs w:val="16"/>
                <w:spacing w:val="-2"/>
              </w:rPr>
              <w:t>270</w:t>
            </w:r>
          </w:p>
        </w:tc>
        <w:tc>
          <w:tcPr>
            <w:tcW w:w="1289" w:type="dxa"/>
            <w:vAlign w:val="top"/>
          </w:tcPr>
          <w:p>
            <w:pPr>
              <w:pStyle w:val="TableText"/>
              <w:ind w:left="231"/>
              <w:spacing w:before="159" w:line="219" w:lineRule="auto"/>
              <w:rPr>
                <w:sz w:val="16"/>
                <w:szCs w:val="16"/>
              </w:rPr>
            </w:pPr>
            <w:r>
              <w:rPr>
                <w:sz w:val="16"/>
                <w:szCs w:val="16"/>
                <w:spacing w:val="-2"/>
              </w:rPr>
              <w:t>交通运脑高</w:t>
            </w:r>
          </w:p>
        </w:tc>
        <w:tc>
          <w:tcPr>
            <w:tcW w:w="1628" w:type="dxa"/>
            <w:vAlign w:val="top"/>
          </w:tcPr>
          <w:p>
            <w:pPr>
              <w:pStyle w:val="TableText"/>
              <w:ind w:left="62" w:right="67" w:firstLine="19"/>
              <w:spacing w:before="59" w:line="219" w:lineRule="auto"/>
              <w:rPr>
                <w:sz w:val="16"/>
                <w:szCs w:val="16"/>
              </w:rPr>
            </w:pPr>
            <w:r>
              <w:rPr>
                <w:sz w:val="16"/>
                <w:szCs w:val="16"/>
                <w:spacing w:val="3"/>
              </w:rPr>
              <w:t>公路，水砺教资用日</w:t>
            </w:r>
            <w:r>
              <w:rPr>
                <w:sz w:val="16"/>
                <w:szCs w:val="16"/>
              </w:rPr>
              <w:t xml:space="preserve"> </w:t>
            </w:r>
            <w:r>
              <w:rPr>
                <w:sz w:val="16"/>
                <w:szCs w:val="16"/>
                <w:spacing w:val="-2"/>
              </w:rPr>
              <w:t>立项事票</w:t>
            </w:r>
          </w:p>
        </w:tc>
        <w:tc>
          <w:tcPr>
            <w:tcW w:w="2377" w:type="dxa"/>
            <w:vAlign w:val="top"/>
          </w:tcPr>
          <w:p>
            <w:pPr>
              <w:pStyle w:val="TableText"/>
              <w:ind w:left="203"/>
              <w:spacing w:before="158" w:line="219" w:lineRule="auto"/>
              <w:rPr>
                <w:sz w:val="16"/>
                <w:szCs w:val="16"/>
              </w:rPr>
            </w:pPr>
            <w:r>
              <w:rPr>
                <w:sz w:val="16"/>
                <w:szCs w:val="16"/>
                <w:spacing w:val="-2"/>
              </w:rPr>
              <w:t>交盾运品都</w:t>
            </w:r>
          </w:p>
        </w:tc>
        <w:tc>
          <w:tcPr>
            <w:tcW w:w="3711" w:type="dxa"/>
            <w:vAlign w:val="top"/>
          </w:tcPr>
          <w:p>
            <w:pPr>
              <w:pStyle w:val="TableText"/>
              <w:ind w:left="49" w:right="377" w:hanging="49"/>
              <w:spacing w:before="59" w:line="219" w:lineRule="auto"/>
              <w:rPr>
                <w:sz w:val="16"/>
                <w:szCs w:val="16"/>
              </w:rPr>
            </w:pPr>
            <w:r>
              <w:rPr>
                <w:sz w:val="16"/>
                <w:szCs w:val="16"/>
                <w:spacing w:val="-2"/>
              </w:rPr>
              <w:t>《国务院对确需保罪的行政审包境目设定行政许</w:t>
            </w:r>
            <w:r>
              <w:rPr>
                <w:sz w:val="16"/>
                <w:szCs w:val="16"/>
                <w:spacing w:val="4"/>
              </w:rPr>
              <w:t xml:space="preserve"> </w:t>
            </w:r>
            <w:r>
              <w:rPr>
                <w:sz w:val="16"/>
                <w:szCs w:val="16"/>
                <w:spacing w:val="-1"/>
              </w:rPr>
              <w:t>的决定》</w:t>
            </w:r>
          </w:p>
        </w:tc>
      </w:tr>
      <w:tr>
        <w:trPr>
          <w:trHeight w:val="869" w:hRule="atLeast"/>
        </w:trPr>
        <w:tc>
          <w:tcPr>
            <w:tcW w:w="594" w:type="dxa"/>
            <w:vAlign w:val="top"/>
          </w:tcPr>
          <w:p>
            <w:pPr>
              <w:spacing w:line="346" w:lineRule="auto"/>
              <w:rPr>
                <w:rFonts w:ascii="Arial"/>
                <w:sz w:val="21"/>
              </w:rPr>
            </w:pPr>
            <w:r/>
          </w:p>
          <w:p>
            <w:pPr>
              <w:pStyle w:val="TableText"/>
              <w:ind w:left="164"/>
              <w:spacing w:before="52" w:line="184" w:lineRule="auto"/>
              <w:rPr>
                <w:sz w:val="16"/>
                <w:szCs w:val="16"/>
              </w:rPr>
            </w:pPr>
            <w:r>
              <w:rPr>
                <w:sz w:val="16"/>
                <w:szCs w:val="16"/>
                <w:spacing w:val="-2"/>
              </w:rPr>
              <w:t>271</w:t>
            </w:r>
          </w:p>
        </w:tc>
        <w:tc>
          <w:tcPr>
            <w:tcW w:w="1289" w:type="dxa"/>
            <w:vAlign w:val="top"/>
          </w:tcPr>
          <w:p>
            <w:pPr>
              <w:spacing w:line="305" w:lineRule="auto"/>
              <w:rPr>
                <w:rFonts w:ascii="Arial"/>
                <w:sz w:val="21"/>
              </w:rPr>
            </w:pPr>
            <w:r/>
          </w:p>
          <w:p>
            <w:pPr>
              <w:pStyle w:val="TableText"/>
              <w:ind w:left="231"/>
              <w:spacing w:before="52" w:line="219" w:lineRule="auto"/>
              <w:rPr>
                <w:sz w:val="16"/>
                <w:szCs w:val="16"/>
              </w:rPr>
            </w:pPr>
            <w:r>
              <w:rPr>
                <w:sz w:val="16"/>
                <w:szCs w:val="16"/>
                <w:spacing w:val="-2"/>
              </w:rPr>
              <w:t>交通病简常</w:t>
            </w:r>
          </w:p>
        </w:tc>
        <w:tc>
          <w:tcPr>
            <w:tcW w:w="1628" w:type="dxa"/>
            <w:vAlign w:val="top"/>
          </w:tcPr>
          <w:p>
            <w:pPr>
              <w:pStyle w:val="TableText"/>
              <w:ind w:left="22" w:right="87" w:firstLine="59"/>
              <w:spacing w:before="250" w:line="219" w:lineRule="auto"/>
              <w:rPr>
                <w:sz w:val="16"/>
                <w:szCs w:val="16"/>
              </w:rPr>
            </w:pPr>
            <w:r>
              <w:rPr>
                <w:sz w:val="16"/>
                <w:szCs w:val="16"/>
              </w:rPr>
              <w:t>公路建设项日轻计文</w:t>
            </w:r>
            <w:r>
              <w:rPr>
                <w:sz w:val="16"/>
                <w:szCs w:val="16"/>
                <w:spacing w:val="7"/>
              </w:rPr>
              <w:t xml:space="preserve"> </w:t>
            </w:r>
            <w:r>
              <w:rPr>
                <w:sz w:val="16"/>
                <w:szCs w:val="16"/>
                <w:spacing w:val="-2"/>
              </w:rPr>
              <w:t>件市世</w:t>
            </w:r>
          </w:p>
        </w:tc>
        <w:tc>
          <w:tcPr>
            <w:tcW w:w="2377" w:type="dxa"/>
            <w:vAlign w:val="top"/>
          </w:tcPr>
          <w:p>
            <w:pPr>
              <w:pStyle w:val="TableText"/>
              <w:ind w:left="203"/>
              <w:spacing w:before="269" w:line="214" w:lineRule="auto"/>
              <w:rPr>
                <w:sz w:val="16"/>
                <w:szCs w:val="16"/>
              </w:rPr>
            </w:pPr>
            <w:r>
              <w:rPr>
                <w:sz w:val="16"/>
                <w:szCs w:val="16"/>
                <w:spacing w:val="-6"/>
              </w:rPr>
              <w:t>又青达编系；省改、没区的市理</w:t>
            </w:r>
            <w:r>
              <w:rPr>
                <w:sz w:val="16"/>
                <w:szCs w:val="16"/>
                <w:spacing w:val="6"/>
              </w:rPr>
              <w:t xml:space="preserve"> </w:t>
            </w:r>
            <w:r>
              <w:rPr>
                <w:sz w:val="16"/>
                <w:szCs w:val="16"/>
                <w:spacing w:val="2"/>
              </w:rPr>
              <w:t>县级交西新地部门</w:t>
            </w:r>
          </w:p>
        </w:tc>
        <w:tc>
          <w:tcPr>
            <w:tcW w:w="3711" w:type="dxa"/>
            <w:vAlign w:val="top"/>
          </w:tcPr>
          <w:p>
            <w:pPr>
              <w:pStyle w:val="TableText"/>
              <w:spacing w:before="60" w:line="219" w:lineRule="auto"/>
              <w:rPr>
                <w:sz w:val="16"/>
                <w:szCs w:val="16"/>
              </w:rPr>
            </w:pPr>
            <w:r>
              <w:rPr>
                <w:sz w:val="16"/>
                <w:szCs w:val="16"/>
                <w:spacing w:val="-6"/>
              </w:rPr>
              <w:t>《中华人民共和国公路法》</w:t>
            </w:r>
          </w:p>
          <w:p>
            <w:pPr>
              <w:pStyle w:val="TableText"/>
              <w:ind w:left="26"/>
              <w:spacing w:line="218" w:lineRule="auto"/>
              <w:rPr>
                <w:sz w:val="16"/>
                <w:szCs w:val="16"/>
              </w:rPr>
            </w:pPr>
            <w:r>
              <w:rPr>
                <w:sz w:val="16"/>
                <w:szCs w:val="16"/>
                <w:spacing w:val="-1"/>
              </w:rPr>
              <w:t>(请设工程成显管塑条创》</w:t>
            </w:r>
          </w:p>
          <w:p>
            <w:pPr>
              <w:pStyle w:val="TableText"/>
              <w:spacing w:line="242" w:lineRule="auto"/>
              <w:rPr>
                <w:sz w:val="16"/>
                <w:szCs w:val="16"/>
              </w:rPr>
            </w:pPr>
            <w:r>
              <w:rPr>
                <w:sz w:val="16"/>
                <w:szCs w:val="16"/>
                <w:spacing w:val="-5"/>
              </w:rPr>
              <w:t>《建设工程勤察设计管理条例》</w:t>
            </w:r>
          </w:p>
          <w:p>
            <w:pPr>
              <w:pStyle w:val="TableText"/>
              <w:ind w:left="78"/>
              <w:spacing w:line="218" w:lineRule="auto"/>
              <w:rPr>
                <w:sz w:val="16"/>
                <w:szCs w:val="16"/>
              </w:rPr>
            </w:pPr>
            <w:r>
              <w:rPr>
                <w:sz w:val="16"/>
                <w:szCs w:val="16"/>
                <w:spacing w:val="-4"/>
              </w:rPr>
              <w:t>(控村公路坐设管理办法》</w:t>
            </w:r>
          </w:p>
        </w:tc>
      </w:tr>
      <w:tr>
        <w:trPr>
          <w:trHeight w:val="479" w:hRule="atLeast"/>
        </w:trPr>
        <w:tc>
          <w:tcPr>
            <w:tcW w:w="594" w:type="dxa"/>
            <w:vAlign w:val="top"/>
          </w:tcPr>
          <w:p>
            <w:pPr>
              <w:pStyle w:val="TableText"/>
              <w:ind w:left="164"/>
              <w:spacing w:before="202" w:line="183" w:lineRule="auto"/>
              <w:rPr>
                <w:sz w:val="16"/>
                <w:szCs w:val="16"/>
              </w:rPr>
            </w:pPr>
            <w:r>
              <w:rPr>
                <w:sz w:val="16"/>
                <w:szCs w:val="16"/>
                <w:spacing w:val="-2"/>
              </w:rPr>
              <w:t>272</w:t>
            </w:r>
          </w:p>
        </w:tc>
        <w:tc>
          <w:tcPr>
            <w:tcW w:w="1289" w:type="dxa"/>
            <w:vAlign w:val="top"/>
          </w:tcPr>
          <w:p>
            <w:pPr>
              <w:pStyle w:val="TableText"/>
              <w:ind w:left="231"/>
              <w:spacing w:before="161" w:line="219" w:lineRule="auto"/>
              <w:rPr>
                <w:sz w:val="16"/>
                <w:szCs w:val="16"/>
              </w:rPr>
            </w:pPr>
            <w:r>
              <w:rPr>
                <w:sz w:val="16"/>
                <w:szCs w:val="16"/>
                <w:spacing w:val="-2"/>
              </w:rPr>
              <w:t>交通运前都</w:t>
            </w:r>
          </w:p>
        </w:tc>
        <w:tc>
          <w:tcPr>
            <w:tcW w:w="1628" w:type="dxa"/>
            <w:vAlign w:val="top"/>
          </w:tcPr>
          <w:p>
            <w:pPr>
              <w:pStyle w:val="TableText"/>
              <w:ind w:left="12" w:right="107" w:firstLine="69"/>
              <w:spacing w:before="70" w:line="229" w:lineRule="auto"/>
              <w:rPr>
                <w:sz w:val="16"/>
                <w:szCs w:val="16"/>
              </w:rPr>
            </w:pPr>
            <w:r>
              <w:rPr>
                <w:sz w:val="16"/>
                <w:szCs w:val="16"/>
                <w:spacing w:val="-2"/>
              </w:rPr>
              <w:t>公部建使要样能工许</w:t>
            </w:r>
            <w:r>
              <w:rPr>
                <w:sz w:val="16"/>
                <w:szCs w:val="16"/>
                <w:spacing w:val="5"/>
              </w:rPr>
              <w:t xml:space="preserve"> </w:t>
            </w:r>
            <w:r>
              <w:rPr>
                <w:sz w:val="16"/>
                <w:szCs w:val="16"/>
              </w:rPr>
              <w:t>可</w:t>
            </w:r>
          </w:p>
        </w:tc>
        <w:tc>
          <w:tcPr>
            <w:tcW w:w="2377" w:type="dxa"/>
            <w:vAlign w:val="top"/>
          </w:tcPr>
          <w:p>
            <w:pPr>
              <w:pStyle w:val="TableText"/>
              <w:ind w:left="203"/>
              <w:spacing w:before="50" w:line="237" w:lineRule="auto"/>
              <w:rPr>
                <w:sz w:val="16"/>
                <w:szCs w:val="16"/>
              </w:rPr>
            </w:pPr>
            <w:r>
              <w:rPr>
                <w:sz w:val="16"/>
                <w:szCs w:val="16"/>
                <w:spacing w:val="-6"/>
              </w:rPr>
              <w:t>省级，设区的市驳，县级交通语</w:t>
            </w:r>
            <w:r>
              <w:rPr>
                <w:sz w:val="16"/>
                <w:szCs w:val="16"/>
                <w:spacing w:val="6"/>
              </w:rPr>
              <w:t xml:space="preserve"> </w:t>
            </w:r>
            <w:r>
              <w:rPr>
                <w:sz w:val="16"/>
                <w:szCs w:val="16"/>
                <w:spacing w:val="5"/>
              </w:rPr>
              <w:t>输部门</w:t>
            </w:r>
          </w:p>
        </w:tc>
        <w:tc>
          <w:tcPr>
            <w:tcW w:w="3711" w:type="dxa"/>
            <w:vAlign w:val="top"/>
          </w:tcPr>
          <w:p>
            <w:pPr>
              <w:pStyle w:val="TableText"/>
              <w:ind w:left="77"/>
              <w:spacing w:before="61" w:line="242" w:lineRule="auto"/>
              <w:rPr>
                <w:sz w:val="16"/>
                <w:szCs w:val="16"/>
              </w:rPr>
            </w:pPr>
            <w:r>
              <w:rPr>
                <w:sz w:val="16"/>
                <w:szCs w:val="16"/>
                <w:spacing w:val="-5"/>
              </w:rPr>
              <w:t>C中坐人民其和国公路洗》</w:t>
            </w:r>
          </w:p>
          <w:p>
            <w:pPr>
              <w:pStyle w:val="TableText"/>
              <w:spacing w:line="219" w:lineRule="auto"/>
              <w:rPr>
                <w:sz w:val="16"/>
                <w:szCs w:val="16"/>
              </w:rPr>
            </w:pPr>
            <w:r>
              <w:rPr>
                <w:sz w:val="16"/>
                <w:szCs w:val="16"/>
                <w:spacing w:val="-6"/>
              </w:rPr>
              <w:t>《公路谁设市杨管理办齿》</w:t>
            </w:r>
          </w:p>
        </w:tc>
      </w:tr>
      <w:tr>
        <w:trPr>
          <w:trHeight w:val="879" w:hRule="atLeast"/>
        </w:trPr>
        <w:tc>
          <w:tcPr>
            <w:tcW w:w="594" w:type="dxa"/>
            <w:vAlign w:val="top"/>
          </w:tcPr>
          <w:p>
            <w:pPr>
              <w:spacing w:line="349" w:lineRule="auto"/>
              <w:rPr>
                <w:rFonts w:ascii="Arial"/>
                <w:sz w:val="21"/>
              </w:rPr>
            </w:pPr>
            <w:r/>
          </w:p>
          <w:p>
            <w:pPr>
              <w:pStyle w:val="TableText"/>
              <w:ind w:left="164"/>
              <w:spacing w:before="52" w:line="183" w:lineRule="auto"/>
              <w:rPr>
                <w:sz w:val="16"/>
                <w:szCs w:val="16"/>
              </w:rPr>
            </w:pPr>
            <w:r>
              <w:rPr>
                <w:sz w:val="16"/>
                <w:szCs w:val="16"/>
                <w:spacing w:val="-2"/>
              </w:rPr>
              <w:t>273</w:t>
            </w:r>
          </w:p>
        </w:tc>
        <w:tc>
          <w:tcPr>
            <w:tcW w:w="1289" w:type="dxa"/>
            <w:vAlign w:val="top"/>
          </w:tcPr>
          <w:p>
            <w:pPr>
              <w:spacing w:line="308" w:lineRule="auto"/>
              <w:rPr>
                <w:rFonts w:ascii="Arial"/>
                <w:sz w:val="21"/>
              </w:rPr>
            </w:pPr>
            <w:r/>
          </w:p>
          <w:p>
            <w:pPr>
              <w:pStyle w:val="TableText"/>
              <w:ind w:left="231"/>
              <w:spacing w:before="52" w:line="219" w:lineRule="auto"/>
              <w:rPr>
                <w:sz w:val="16"/>
                <w:szCs w:val="16"/>
              </w:rPr>
            </w:pPr>
            <w:r>
              <w:rPr>
                <w:sz w:val="16"/>
                <w:szCs w:val="16"/>
                <w:spacing w:val="-2"/>
              </w:rPr>
              <w:t>交通云输都</w:t>
            </w:r>
          </w:p>
        </w:tc>
        <w:tc>
          <w:tcPr>
            <w:tcW w:w="1628" w:type="dxa"/>
            <w:vAlign w:val="top"/>
          </w:tcPr>
          <w:p>
            <w:pPr>
              <w:pStyle w:val="TableText"/>
              <w:ind w:left="22" w:right="107" w:firstLine="59"/>
              <w:spacing w:before="282" w:line="231" w:lineRule="auto"/>
              <w:rPr>
                <w:sz w:val="16"/>
                <w:szCs w:val="16"/>
              </w:rPr>
            </w:pPr>
            <w:r>
              <w:rPr>
                <w:sz w:val="16"/>
                <w:szCs w:val="16"/>
                <w:spacing w:val="-2"/>
              </w:rPr>
              <w:t>公路建设表目竣工前</w:t>
            </w:r>
            <w:r>
              <w:rPr>
                <w:sz w:val="16"/>
                <w:szCs w:val="16"/>
                <w:spacing w:val="5"/>
              </w:rPr>
              <w:t xml:space="preserve"> </w:t>
            </w:r>
            <w:r>
              <w:rPr>
                <w:sz w:val="16"/>
                <w:szCs w:val="16"/>
              </w:rPr>
              <w:t>收</w:t>
            </w:r>
          </w:p>
        </w:tc>
        <w:tc>
          <w:tcPr>
            <w:tcW w:w="2377" w:type="dxa"/>
            <w:vAlign w:val="top"/>
          </w:tcPr>
          <w:p>
            <w:pPr>
              <w:pStyle w:val="TableText"/>
              <w:ind w:left="203"/>
              <w:spacing w:before="282" w:line="231" w:lineRule="auto"/>
              <w:rPr>
                <w:sz w:val="16"/>
                <w:szCs w:val="16"/>
              </w:rPr>
            </w:pPr>
            <w:r>
              <w:rPr>
                <w:sz w:val="16"/>
                <w:szCs w:val="16"/>
                <w:spacing w:val="-6"/>
              </w:rPr>
              <w:t>交通运输部，省级，设区的而般</w:t>
            </w:r>
            <w:r>
              <w:rPr>
                <w:sz w:val="16"/>
                <w:szCs w:val="16"/>
                <w:spacing w:val="6"/>
              </w:rPr>
              <w:t xml:space="preserve"> </w:t>
            </w:r>
            <w:r>
              <w:rPr>
                <w:sz w:val="16"/>
                <w:szCs w:val="16"/>
                <w:spacing w:val="2"/>
              </w:rPr>
              <w:t>级交名运输部门</w:t>
            </w:r>
          </w:p>
        </w:tc>
        <w:tc>
          <w:tcPr>
            <w:tcW w:w="3711" w:type="dxa"/>
            <w:vAlign w:val="top"/>
          </w:tcPr>
          <w:p>
            <w:pPr>
              <w:pStyle w:val="TableText"/>
              <w:spacing w:before="62" w:line="231" w:lineRule="auto"/>
              <w:rPr>
                <w:sz w:val="16"/>
                <w:szCs w:val="16"/>
              </w:rPr>
            </w:pPr>
            <w:r>
              <w:rPr>
                <w:sz w:val="16"/>
                <w:szCs w:val="16"/>
                <w:spacing w:val="-6"/>
              </w:rPr>
              <w:t>《中华人优共和园公落法》</w:t>
            </w:r>
          </w:p>
          <w:p>
            <w:pPr>
              <w:pStyle w:val="TableText"/>
              <w:ind w:left="77"/>
              <w:spacing w:line="219" w:lineRule="auto"/>
              <w:rPr>
                <w:sz w:val="16"/>
                <w:szCs w:val="16"/>
              </w:rPr>
            </w:pPr>
            <w:r>
              <w:rPr>
                <w:sz w:val="16"/>
                <w:szCs w:val="16"/>
                <w:spacing w:val="-5"/>
              </w:rPr>
              <w:t>C收带公路管理条例》</w:t>
            </w:r>
          </w:p>
          <w:p>
            <w:pPr>
              <w:pStyle w:val="TableText"/>
              <w:ind w:left="77"/>
              <w:spacing w:before="40" w:line="207" w:lineRule="auto"/>
              <w:rPr>
                <w:sz w:val="16"/>
                <w:szCs w:val="16"/>
              </w:rPr>
            </w:pPr>
            <w:r>
              <w:rPr>
                <w:sz w:val="16"/>
                <w:szCs w:val="16"/>
                <w:spacing w:val="-3"/>
              </w:rPr>
              <w:t>[公路工程晚(交)工险收办法</w:t>
            </w:r>
          </w:p>
          <w:p>
            <w:pPr>
              <w:pStyle w:val="TableText"/>
              <w:spacing w:line="218" w:lineRule="auto"/>
              <w:rPr>
                <w:sz w:val="16"/>
                <w:szCs w:val="16"/>
              </w:rPr>
            </w:pPr>
            <w:r>
              <w:rPr>
                <w:sz w:val="16"/>
                <w:szCs w:val="16"/>
                <w:spacing w:val="-5"/>
              </w:rPr>
              <w:t>《农村公路建设管理办法》</w:t>
            </w:r>
          </w:p>
        </w:tc>
      </w:tr>
      <w:tr>
        <w:trPr>
          <w:trHeight w:val="889" w:hRule="atLeast"/>
        </w:trPr>
        <w:tc>
          <w:tcPr>
            <w:tcW w:w="594" w:type="dxa"/>
            <w:vAlign w:val="top"/>
          </w:tcPr>
          <w:p>
            <w:pPr>
              <w:spacing w:line="360" w:lineRule="auto"/>
              <w:rPr>
                <w:rFonts w:ascii="Arial"/>
                <w:sz w:val="21"/>
              </w:rPr>
            </w:pPr>
            <w:r/>
          </w:p>
          <w:p>
            <w:pPr>
              <w:pStyle w:val="TableText"/>
              <w:ind w:left="164"/>
              <w:spacing w:before="52" w:line="183" w:lineRule="auto"/>
              <w:rPr>
                <w:sz w:val="16"/>
                <w:szCs w:val="16"/>
              </w:rPr>
            </w:pPr>
            <w:r>
              <w:rPr>
                <w:sz w:val="16"/>
                <w:szCs w:val="16"/>
                <w:spacing w:val="-2"/>
              </w:rPr>
              <w:t>274</w:t>
            </w:r>
          </w:p>
        </w:tc>
        <w:tc>
          <w:tcPr>
            <w:tcW w:w="1289" w:type="dxa"/>
            <w:vAlign w:val="top"/>
          </w:tcPr>
          <w:p>
            <w:pPr>
              <w:spacing w:line="319" w:lineRule="auto"/>
              <w:rPr>
                <w:rFonts w:ascii="Arial"/>
                <w:sz w:val="21"/>
              </w:rPr>
            </w:pPr>
            <w:r/>
          </w:p>
          <w:p>
            <w:pPr>
              <w:pStyle w:val="TableText"/>
              <w:ind w:left="231"/>
              <w:spacing w:before="52" w:line="219" w:lineRule="auto"/>
              <w:rPr>
                <w:sz w:val="16"/>
                <w:szCs w:val="16"/>
              </w:rPr>
            </w:pPr>
            <w:r>
              <w:rPr>
                <w:sz w:val="16"/>
                <w:szCs w:val="16"/>
                <w:spacing w:val="-2"/>
              </w:rPr>
              <w:t>交通足输部</w:t>
            </w:r>
          </w:p>
        </w:tc>
        <w:tc>
          <w:tcPr>
            <w:tcW w:w="1628" w:type="dxa"/>
            <w:vAlign w:val="top"/>
          </w:tcPr>
          <w:p>
            <w:pPr>
              <w:pStyle w:val="TableText"/>
              <w:ind w:left="81" w:right="87"/>
              <w:spacing w:before="62" w:line="234" w:lineRule="auto"/>
              <w:jc w:val="both"/>
              <w:rPr>
                <w:sz w:val="16"/>
                <w:szCs w:val="16"/>
              </w:rPr>
            </w:pPr>
            <w:r>
              <w:rPr>
                <w:sz w:val="16"/>
                <w:szCs w:val="16"/>
              </w:rPr>
              <w:t>公路水云能工单位主</w:t>
            </w:r>
            <w:r>
              <w:rPr>
                <w:sz w:val="16"/>
                <w:szCs w:val="16"/>
                <w:spacing w:val="7"/>
              </w:rPr>
              <w:t xml:space="preserve"> </w:t>
            </w:r>
            <w:r>
              <w:rPr>
                <w:sz w:val="16"/>
                <w:szCs w:val="16"/>
                <w:spacing w:val="-1"/>
              </w:rPr>
              <w:t>要益责人，项日负置</w:t>
            </w:r>
            <w:r>
              <w:rPr>
                <w:sz w:val="16"/>
                <w:szCs w:val="16"/>
                <w:spacing w:val="1"/>
              </w:rPr>
              <w:t xml:space="preserve"> </w:t>
            </w:r>
            <w:r>
              <w:rPr>
                <w:sz w:val="16"/>
                <w:szCs w:val="16"/>
                <w:spacing w:val="-1"/>
              </w:rPr>
              <w:t>人相身期发全生产它</w:t>
            </w:r>
            <w:r>
              <w:rPr>
                <w:sz w:val="16"/>
                <w:szCs w:val="16"/>
              </w:rPr>
              <w:t xml:space="preserve"> </w:t>
            </w:r>
            <w:r>
              <w:rPr>
                <w:sz w:val="16"/>
                <w:szCs w:val="16"/>
                <w:spacing w:val="-1"/>
              </w:rPr>
              <w:t>理人员安全生产考核</w:t>
            </w:r>
          </w:p>
        </w:tc>
        <w:tc>
          <w:tcPr>
            <w:tcW w:w="2377" w:type="dxa"/>
            <w:vAlign w:val="top"/>
          </w:tcPr>
          <w:p>
            <w:pPr>
              <w:spacing w:line="319" w:lineRule="auto"/>
              <w:rPr>
                <w:rFonts w:ascii="Arial"/>
                <w:sz w:val="21"/>
              </w:rPr>
            </w:pPr>
            <w:r/>
          </w:p>
          <w:p>
            <w:pPr>
              <w:pStyle w:val="TableText"/>
              <w:ind w:left="203"/>
              <w:spacing w:before="52" w:line="219" w:lineRule="auto"/>
              <w:rPr>
                <w:sz w:val="16"/>
                <w:szCs w:val="16"/>
              </w:rPr>
            </w:pPr>
            <w:r>
              <w:rPr>
                <w:sz w:val="16"/>
                <w:szCs w:val="16"/>
                <w:spacing w:val="2"/>
              </w:rPr>
              <w:t>省吸交通适输部门</w:t>
            </w:r>
          </w:p>
        </w:tc>
        <w:tc>
          <w:tcPr>
            <w:tcW w:w="3711" w:type="dxa"/>
            <w:vAlign w:val="top"/>
          </w:tcPr>
          <w:p>
            <w:pPr>
              <w:pStyle w:val="TableText"/>
              <w:spacing w:before="183" w:line="242" w:lineRule="auto"/>
              <w:rPr>
                <w:sz w:val="16"/>
                <w:szCs w:val="16"/>
              </w:rPr>
            </w:pPr>
            <w:r>
              <w:rPr>
                <w:sz w:val="16"/>
                <w:szCs w:val="16"/>
                <w:spacing w:val="-5"/>
              </w:rPr>
              <w:t>《中华人民共和国安全生产法》</w:t>
            </w:r>
          </w:p>
          <w:p>
            <w:pPr>
              <w:pStyle w:val="TableText"/>
              <w:spacing w:line="219" w:lineRule="auto"/>
              <w:rPr>
                <w:sz w:val="16"/>
                <w:szCs w:val="16"/>
              </w:rPr>
            </w:pPr>
            <w:r>
              <w:rPr>
                <w:sz w:val="16"/>
                <w:szCs w:val="16"/>
                <w:spacing w:val="-5"/>
              </w:rPr>
              <w:t>《建设工积安全生产管理务伤</w:t>
            </w:r>
          </w:p>
          <w:p>
            <w:pPr>
              <w:pStyle w:val="TableText"/>
              <w:spacing w:before="20" w:line="219" w:lineRule="auto"/>
              <w:rPr>
                <w:sz w:val="16"/>
                <w:szCs w:val="16"/>
              </w:rPr>
            </w:pPr>
            <w:r>
              <w:rPr>
                <w:sz w:val="16"/>
                <w:szCs w:val="16"/>
                <w:spacing w:val="-4"/>
              </w:rPr>
              <w:t>《公路水选工程应全生产监督值理办法</w:t>
            </w:r>
          </w:p>
        </w:tc>
      </w:tr>
      <w:tr>
        <w:trPr>
          <w:trHeight w:val="679" w:hRule="atLeast"/>
        </w:trPr>
        <w:tc>
          <w:tcPr>
            <w:tcW w:w="594" w:type="dxa"/>
            <w:vAlign w:val="top"/>
          </w:tcPr>
          <w:p>
            <w:pPr>
              <w:spacing w:line="252" w:lineRule="auto"/>
              <w:rPr>
                <w:rFonts w:ascii="Arial"/>
                <w:sz w:val="21"/>
              </w:rPr>
            </w:pPr>
            <w:r/>
          </w:p>
          <w:p>
            <w:pPr>
              <w:pStyle w:val="TableText"/>
              <w:ind w:left="164"/>
              <w:spacing w:before="52" w:line="183" w:lineRule="auto"/>
              <w:rPr>
                <w:sz w:val="16"/>
                <w:szCs w:val="16"/>
              </w:rPr>
            </w:pPr>
            <w:r>
              <w:rPr>
                <w:sz w:val="16"/>
                <w:szCs w:val="16"/>
                <w:spacing w:val="-2"/>
              </w:rPr>
              <w:t>275</w:t>
            </w:r>
          </w:p>
        </w:tc>
        <w:tc>
          <w:tcPr>
            <w:tcW w:w="1289" w:type="dxa"/>
            <w:vAlign w:val="top"/>
          </w:tcPr>
          <w:p>
            <w:pPr>
              <w:pStyle w:val="TableText"/>
              <w:ind w:left="231"/>
              <w:spacing w:before="264" w:line="219" w:lineRule="auto"/>
              <w:rPr>
                <w:sz w:val="16"/>
                <w:szCs w:val="16"/>
              </w:rPr>
            </w:pPr>
            <w:r>
              <w:rPr>
                <w:sz w:val="16"/>
                <w:szCs w:val="16"/>
                <w:spacing w:val="-2"/>
              </w:rPr>
              <w:t>交通运验都</w:t>
            </w:r>
          </w:p>
        </w:tc>
        <w:tc>
          <w:tcPr>
            <w:tcW w:w="1628" w:type="dxa"/>
            <w:vAlign w:val="top"/>
          </w:tcPr>
          <w:p>
            <w:pPr>
              <w:pStyle w:val="TableText"/>
              <w:ind w:left="72"/>
              <w:spacing w:before="264" w:line="219" w:lineRule="auto"/>
              <w:rPr>
                <w:sz w:val="16"/>
                <w:szCs w:val="16"/>
              </w:rPr>
            </w:pPr>
            <w:r>
              <w:rPr>
                <w:sz w:val="16"/>
                <w:szCs w:val="16"/>
                <w:spacing w:val="-2"/>
              </w:rPr>
              <w:t>公题题限医输许可</w:t>
            </w:r>
          </w:p>
        </w:tc>
        <w:tc>
          <w:tcPr>
            <w:tcW w:w="2377" w:type="dxa"/>
            <w:vAlign w:val="top"/>
          </w:tcPr>
          <w:p>
            <w:pPr>
              <w:pStyle w:val="TableText"/>
              <w:ind w:left="203"/>
              <w:spacing w:before="164" w:line="231" w:lineRule="auto"/>
              <w:rPr>
                <w:sz w:val="16"/>
                <w:szCs w:val="16"/>
              </w:rPr>
            </w:pPr>
            <w:r>
              <w:rPr>
                <w:sz w:val="16"/>
                <w:szCs w:val="16"/>
                <w:spacing w:val="-6"/>
              </w:rPr>
              <w:t>省级，设区的肃级，县般交通显</w:t>
            </w:r>
            <w:r>
              <w:rPr>
                <w:sz w:val="16"/>
                <w:szCs w:val="16"/>
                <w:spacing w:val="6"/>
              </w:rPr>
              <w:t xml:space="preserve"> </w:t>
            </w:r>
            <w:r>
              <w:rPr>
                <w:sz w:val="16"/>
                <w:szCs w:val="16"/>
                <w:spacing w:val="3"/>
              </w:rPr>
              <w:t>辅部/1</w:t>
            </w:r>
          </w:p>
        </w:tc>
        <w:tc>
          <w:tcPr>
            <w:tcW w:w="3711" w:type="dxa"/>
            <w:vAlign w:val="top"/>
          </w:tcPr>
          <w:p>
            <w:pPr>
              <w:pStyle w:val="TableText"/>
              <w:spacing w:before="74" w:line="219" w:lineRule="auto"/>
              <w:rPr>
                <w:sz w:val="16"/>
                <w:szCs w:val="16"/>
              </w:rPr>
            </w:pPr>
            <w:r>
              <w:rPr>
                <w:sz w:val="16"/>
                <w:szCs w:val="16"/>
                <w:spacing w:val="-6"/>
              </w:rPr>
              <w:t>《中华人民共和国公路法》</w:t>
            </w:r>
          </w:p>
          <w:p>
            <w:pPr>
              <w:pStyle w:val="TableText"/>
              <w:ind w:left="77"/>
              <w:spacing w:line="219" w:lineRule="auto"/>
              <w:rPr>
                <w:sz w:val="16"/>
                <w:szCs w:val="16"/>
              </w:rPr>
            </w:pPr>
            <w:r>
              <w:rPr>
                <w:sz w:val="16"/>
                <w:szCs w:val="16"/>
                <w:spacing w:val="-4"/>
              </w:rPr>
              <w:t>(公路安全保茶侧》</w:t>
            </w:r>
          </w:p>
          <w:p>
            <w:pPr>
              <w:pStyle w:val="TableText"/>
              <w:spacing w:before="29" w:line="213" w:lineRule="auto"/>
              <w:rPr>
                <w:sz w:val="16"/>
                <w:szCs w:val="16"/>
              </w:rPr>
            </w:pPr>
            <w:r>
              <w:rPr>
                <w:sz w:val="16"/>
                <w:szCs w:val="16"/>
                <w:spacing w:val="-4"/>
              </w:rPr>
              <w:t>《阳及远储车第行被公路针理规定1</w:t>
            </w:r>
          </w:p>
        </w:tc>
      </w:tr>
      <w:tr>
        <w:trPr>
          <w:trHeight w:val="734" w:hRule="atLeast"/>
        </w:trPr>
        <w:tc>
          <w:tcPr>
            <w:tcW w:w="594" w:type="dxa"/>
            <w:vAlign w:val="top"/>
          </w:tcPr>
          <w:p>
            <w:pPr>
              <w:spacing w:line="283" w:lineRule="auto"/>
              <w:rPr>
                <w:rFonts w:ascii="Arial"/>
                <w:sz w:val="21"/>
              </w:rPr>
            </w:pPr>
            <w:r/>
          </w:p>
          <w:p>
            <w:pPr>
              <w:pStyle w:val="TableText"/>
              <w:ind w:left="164"/>
              <w:spacing w:before="52" w:line="183" w:lineRule="auto"/>
              <w:rPr>
                <w:sz w:val="16"/>
                <w:szCs w:val="16"/>
              </w:rPr>
            </w:pPr>
            <w:r>
              <w:rPr>
                <w:sz w:val="16"/>
                <w:szCs w:val="16"/>
                <w:spacing w:val="-2"/>
              </w:rPr>
              <w:t>276</w:t>
            </w:r>
          </w:p>
        </w:tc>
        <w:tc>
          <w:tcPr>
            <w:tcW w:w="1289" w:type="dxa"/>
            <w:vAlign w:val="top"/>
          </w:tcPr>
          <w:p>
            <w:pPr>
              <w:spacing w:line="242" w:lineRule="auto"/>
              <w:rPr>
                <w:rFonts w:ascii="Arial"/>
                <w:sz w:val="21"/>
              </w:rPr>
            </w:pPr>
            <w:r/>
          </w:p>
          <w:p>
            <w:pPr>
              <w:pStyle w:val="TableText"/>
              <w:ind w:left="231"/>
              <w:spacing w:before="52" w:line="219" w:lineRule="auto"/>
              <w:rPr>
                <w:sz w:val="16"/>
                <w:szCs w:val="16"/>
              </w:rPr>
            </w:pPr>
            <w:r>
              <w:rPr>
                <w:sz w:val="16"/>
                <w:szCs w:val="16"/>
                <w:spacing w:val="-2"/>
              </w:rPr>
              <w:t>交通运瑜部</w:t>
            </w:r>
          </w:p>
        </w:tc>
        <w:tc>
          <w:tcPr>
            <w:tcW w:w="1628" w:type="dxa"/>
            <w:vAlign w:val="top"/>
          </w:tcPr>
          <w:p>
            <w:pPr>
              <w:spacing w:line="242" w:lineRule="auto"/>
              <w:rPr>
                <w:rFonts w:ascii="Arial"/>
                <w:sz w:val="21"/>
              </w:rPr>
            </w:pPr>
            <w:r/>
          </w:p>
          <w:p>
            <w:pPr>
              <w:pStyle w:val="TableText"/>
              <w:ind w:left="62"/>
              <w:spacing w:before="52" w:line="219" w:lineRule="auto"/>
              <w:rPr>
                <w:sz w:val="16"/>
                <w:szCs w:val="16"/>
              </w:rPr>
            </w:pPr>
            <w:r>
              <w:rPr>
                <w:sz w:val="16"/>
                <w:szCs w:val="16"/>
                <w:spacing w:val="-1"/>
              </w:rPr>
              <w:t>养是结工许型</w:t>
            </w:r>
          </w:p>
        </w:tc>
        <w:tc>
          <w:tcPr>
            <w:tcW w:w="2377" w:type="dxa"/>
            <w:vAlign w:val="top"/>
          </w:tcPr>
          <w:p>
            <w:pPr>
              <w:pStyle w:val="TableText"/>
              <w:ind w:left="203" w:right="101" w:hanging="169"/>
              <w:spacing w:before="195" w:line="219" w:lineRule="auto"/>
              <w:rPr>
                <w:sz w:val="16"/>
                <w:szCs w:val="16"/>
              </w:rPr>
            </w:pPr>
            <w:r>
              <w:rPr>
                <w:sz w:val="16"/>
                <w:szCs w:val="16"/>
                <w:spacing w:val="-1"/>
              </w:rPr>
              <w:t>各报，设区的市级，是吸交恶运</w:t>
            </w:r>
            <w:r>
              <w:rPr>
                <w:sz w:val="16"/>
                <w:szCs w:val="16"/>
                <w:spacing w:val="4"/>
              </w:rPr>
              <w:t xml:space="preserve"> </w:t>
            </w:r>
            <w:r>
              <w:rPr>
                <w:sz w:val="16"/>
                <w:szCs w:val="16"/>
                <w:spacing w:val="6"/>
              </w:rPr>
              <w:t>输船门</w:t>
            </w:r>
          </w:p>
        </w:tc>
        <w:tc>
          <w:tcPr>
            <w:tcW w:w="3711" w:type="dxa"/>
            <w:vAlign w:val="top"/>
          </w:tcPr>
          <w:p>
            <w:pPr>
              <w:pStyle w:val="TableText"/>
              <w:spacing w:before="85" w:line="242" w:lineRule="auto"/>
              <w:rPr>
                <w:sz w:val="16"/>
                <w:szCs w:val="16"/>
              </w:rPr>
            </w:pPr>
            <w:r>
              <w:rPr>
                <w:sz w:val="16"/>
                <w:szCs w:val="16"/>
                <w:spacing w:val="-6"/>
              </w:rPr>
              <w:t>《中华人民共所同公路法》</w:t>
            </w:r>
          </w:p>
          <w:p>
            <w:pPr>
              <w:pStyle w:val="TableText"/>
              <w:ind w:left="77"/>
              <w:spacing w:line="219" w:lineRule="auto"/>
              <w:rPr>
                <w:sz w:val="16"/>
                <w:szCs w:val="16"/>
              </w:rPr>
            </w:pPr>
            <w:r>
              <w:rPr>
                <w:sz w:val="16"/>
                <w:szCs w:val="16"/>
                <w:spacing w:val="-5"/>
              </w:rPr>
              <w:t>4位路发全保护条博P</w:t>
            </w:r>
          </w:p>
          <w:p>
            <w:pPr>
              <w:pStyle w:val="TableText"/>
              <w:spacing w:before="10" w:line="219" w:lineRule="auto"/>
              <w:rPr>
                <w:sz w:val="16"/>
                <w:szCs w:val="16"/>
              </w:rPr>
            </w:pPr>
            <w:r>
              <w:rPr>
                <w:sz w:val="16"/>
                <w:szCs w:val="16"/>
                <w:spacing w:val="-9"/>
              </w:rPr>
              <w:t>《路政管理规定3</w:t>
            </w:r>
          </w:p>
        </w:tc>
      </w:tr>
    </w:tbl>
    <w:p>
      <w:pPr>
        <w:pStyle w:val="BodyText"/>
        <w:rPr/>
      </w:pPr>
      <w:r/>
    </w:p>
    <w:p>
      <w:pPr>
        <w:sectPr>
          <w:pgSz w:w="11910" w:h="8220"/>
          <w:pgMar w:top="400" w:right="115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51776"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222" name="TextBox 222"/>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4" style="position:absolute;margin-left:36.1352pt;margin-top:49.8954pt;mso-position-vertical-relative:page;mso-position-horizontal-relative:page;width:13.8pt;height:13pt;z-index:251851776;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192</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中央主管您门</w:t>
            </w:r>
          </w:p>
        </w:tc>
        <w:tc>
          <w:tcPr>
            <w:tcW w:w="1638" w:type="dxa"/>
            <w:vAlign w:val="top"/>
          </w:tcPr>
          <w:p>
            <w:pPr>
              <w:pStyle w:val="TableText"/>
              <w:ind w:left="494"/>
              <w:spacing w:before="129" w:line="220" w:lineRule="auto"/>
              <w:rPr>
                <w:sz w:val="16"/>
                <w:szCs w:val="16"/>
              </w:rPr>
            </w:pPr>
            <w:r>
              <w:rPr>
                <w:sz w:val="16"/>
                <w:szCs w:val="16"/>
                <w:b/>
                <w:bCs/>
                <w:spacing w:val="-3"/>
              </w:rPr>
              <w:t>事项名种</w:t>
            </w:r>
          </w:p>
        </w:tc>
        <w:tc>
          <w:tcPr>
            <w:tcW w:w="2377" w:type="dxa"/>
            <w:vAlign w:val="top"/>
          </w:tcPr>
          <w:p>
            <w:pPr>
              <w:pStyle w:val="TableText"/>
              <w:ind w:left="834"/>
              <w:spacing w:before="130" w:line="219" w:lineRule="auto"/>
              <w:rPr>
                <w:sz w:val="16"/>
                <w:szCs w:val="16"/>
              </w:rPr>
            </w:pPr>
            <w:r>
              <w:rPr>
                <w:sz w:val="16"/>
                <w:szCs w:val="16"/>
                <w:spacing w:val="-2"/>
              </w:rPr>
              <w:t>实施机关</w:t>
            </w:r>
          </w:p>
        </w:tc>
        <w:tc>
          <w:tcPr>
            <w:tcW w:w="3711" w:type="dxa"/>
            <w:vAlign w:val="top"/>
          </w:tcPr>
          <w:p>
            <w:pPr>
              <w:pStyle w:val="TableText"/>
              <w:ind w:left="1259"/>
              <w:spacing w:before="129" w:line="219" w:lineRule="auto"/>
              <w:rPr>
                <w:sz w:val="16"/>
                <w:szCs w:val="16"/>
              </w:rPr>
            </w:pPr>
            <w:r>
              <w:rPr>
                <w:sz w:val="16"/>
                <w:szCs w:val="16"/>
                <w:b/>
                <w:bCs/>
                <w:spacing w:val="-4"/>
              </w:rPr>
              <w:t>收定和实施体挪</w:t>
            </w:r>
          </w:p>
        </w:tc>
      </w:tr>
      <w:tr>
        <w:trPr>
          <w:trHeight w:val="689" w:hRule="atLeast"/>
        </w:trPr>
        <w:tc>
          <w:tcPr>
            <w:tcW w:w="574" w:type="dxa"/>
            <w:vAlign w:val="top"/>
          </w:tcPr>
          <w:p>
            <w:pPr>
              <w:pStyle w:val="TableText"/>
              <w:ind w:left="154"/>
              <w:spacing w:before="282" w:line="239" w:lineRule="auto"/>
              <w:rPr>
                <w:sz w:val="16"/>
                <w:szCs w:val="16"/>
              </w:rPr>
            </w:pPr>
            <w:r>
              <w:rPr>
                <w:sz w:val="16"/>
                <w:szCs w:val="16"/>
                <w:spacing w:val="-2"/>
              </w:rPr>
              <w:t>27?</w:t>
            </w:r>
          </w:p>
        </w:tc>
        <w:tc>
          <w:tcPr>
            <w:tcW w:w="1299" w:type="dxa"/>
            <w:vAlign w:val="top"/>
          </w:tcPr>
          <w:p>
            <w:pPr>
              <w:pStyle w:val="TableText"/>
              <w:ind w:left="241"/>
              <w:spacing w:before="266" w:line="219" w:lineRule="auto"/>
              <w:rPr>
                <w:sz w:val="16"/>
                <w:szCs w:val="16"/>
              </w:rPr>
            </w:pPr>
            <w:r>
              <w:rPr>
                <w:sz w:val="16"/>
                <w:szCs w:val="16"/>
                <w:spacing w:val="-2"/>
              </w:rPr>
              <w:t>交通益辅部</w:t>
            </w:r>
          </w:p>
        </w:tc>
        <w:tc>
          <w:tcPr>
            <w:tcW w:w="1638" w:type="dxa"/>
            <w:vAlign w:val="top"/>
          </w:tcPr>
          <w:p>
            <w:pPr>
              <w:pStyle w:val="TableText"/>
              <w:ind w:left="52" w:right="16" w:firstLine="40"/>
              <w:spacing w:before="86" w:line="218" w:lineRule="auto"/>
              <w:jc w:val="both"/>
              <w:rPr>
                <w:sz w:val="16"/>
                <w:szCs w:val="16"/>
              </w:rPr>
            </w:pPr>
            <w:r>
              <w:rPr>
                <w:sz w:val="16"/>
                <w:szCs w:val="16"/>
                <w:spacing w:val="-2"/>
              </w:rPr>
              <w:t>公</w:t>
            </w:r>
            <w:r>
              <w:rPr>
                <w:sz w:val="16"/>
                <w:szCs w:val="16"/>
                <w:spacing w:val="17"/>
              </w:rPr>
              <w:t xml:space="preserve"> </w:t>
            </w:r>
            <w:r>
              <w:rPr>
                <w:sz w:val="16"/>
                <w:szCs w:val="16"/>
                <w:spacing w:val="-2"/>
              </w:rPr>
              <w:t>路周边孽筑规喝，</w:t>
            </w:r>
            <w:r>
              <w:rPr>
                <w:sz w:val="16"/>
                <w:szCs w:val="16"/>
              </w:rPr>
              <w:t xml:space="preserve"> </w:t>
            </w:r>
            <w:r>
              <w:rPr>
                <w:sz w:val="16"/>
                <w:szCs w:val="16"/>
                <w:spacing w:val="3"/>
              </w:rPr>
              <w:t>压据或者肺★两床许</w:t>
            </w:r>
            <w:r>
              <w:rPr>
                <w:sz w:val="16"/>
                <w:szCs w:val="16"/>
                <w:spacing w:val="2"/>
              </w:rPr>
              <w:t xml:space="preserve">  </w:t>
            </w:r>
            <w:r>
              <w:rPr>
                <w:sz w:val="16"/>
                <w:szCs w:val="16"/>
              </w:rPr>
              <w:t>可</w:t>
            </w:r>
          </w:p>
        </w:tc>
        <w:tc>
          <w:tcPr>
            <w:tcW w:w="2377" w:type="dxa"/>
            <w:vAlign w:val="top"/>
          </w:tcPr>
          <w:p>
            <w:pPr>
              <w:pStyle w:val="TableText"/>
              <w:ind w:left="74" w:right="221"/>
              <w:spacing w:before="155" w:line="229" w:lineRule="auto"/>
              <w:rPr>
                <w:sz w:val="16"/>
                <w:szCs w:val="16"/>
              </w:rPr>
            </w:pPr>
            <w:r>
              <w:rPr>
                <w:sz w:val="16"/>
                <w:szCs w:val="16"/>
                <w:spacing w:val="-1"/>
              </w:rPr>
              <w:t>省型交通运赞部门会同水利部</w:t>
            </w:r>
            <w:r>
              <w:rPr>
                <w:sz w:val="16"/>
                <w:szCs w:val="16"/>
                <w:spacing w:val="3"/>
              </w:rPr>
              <w:t xml:space="preserve"> </w:t>
            </w:r>
            <w:r>
              <w:rPr>
                <w:sz w:val="16"/>
                <w:szCs w:val="16"/>
              </w:rPr>
              <w:t>门</w:t>
            </w:r>
          </w:p>
        </w:tc>
        <w:tc>
          <w:tcPr>
            <w:tcW w:w="3711" w:type="dxa"/>
            <w:vAlign w:val="top"/>
          </w:tcPr>
          <w:p>
            <w:pPr>
              <w:pStyle w:val="TableText"/>
              <w:spacing w:before="46" w:line="231" w:lineRule="auto"/>
              <w:rPr>
                <w:sz w:val="16"/>
                <w:szCs w:val="16"/>
              </w:rPr>
            </w:pPr>
            <w:r>
              <w:rPr>
                <w:sz w:val="16"/>
                <w:szCs w:val="16"/>
                <w:spacing w:val="-5"/>
              </w:rPr>
              <w:t>《中华人民共和国公路法</w:t>
            </w:r>
          </w:p>
          <w:p>
            <w:pPr>
              <w:pStyle w:val="TableText"/>
              <w:ind w:left="78"/>
              <w:spacing w:line="219" w:lineRule="auto"/>
              <w:rPr>
                <w:sz w:val="16"/>
                <w:szCs w:val="16"/>
              </w:rPr>
            </w:pPr>
            <w:r>
              <w:rPr>
                <w:sz w:val="16"/>
                <w:szCs w:val="16"/>
                <w:spacing w:val="-2"/>
              </w:rPr>
              <w:t>1公路安全保护条例1</w:t>
            </w:r>
          </w:p>
          <w:p>
            <w:pPr>
              <w:pStyle w:val="TableText"/>
              <w:ind w:left="36"/>
              <w:spacing w:before="20" w:line="219" w:lineRule="auto"/>
              <w:rPr>
                <w:sz w:val="16"/>
                <w:szCs w:val="16"/>
              </w:rPr>
            </w:pPr>
            <w:r>
              <w:rPr>
                <w:sz w:val="16"/>
                <w:szCs w:val="16"/>
                <w:spacing w:val="-2"/>
              </w:rPr>
              <w:t>K路政情理统定》</w:t>
            </w:r>
          </w:p>
        </w:tc>
      </w:tr>
      <w:tr>
        <w:trPr>
          <w:trHeight w:val="679" w:hRule="atLeast"/>
        </w:trPr>
        <w:tc>
          <w:tcPr>
            <w:tcW w:w="574" w:type="dxa"/>
            <w:vAlign w:val="top"/>
          </w:tcPr>
          <w:p>
            <w:pPr>
              <w:spacing w:line="245" w:lineRule="auto"/>
              <w:rPr>
                <w:rFonts w:ascii="Arial"/>
                <w:sz w:val="21"/>
              </w:rPr>
            </w:pPr>
            <w:r/>
          </w:p>
          <w:p>
            <w:pPr>
              <w:pStyle w:val="TableText"/>
              <w:ind w:left="154"/>
              <w:spacing w:before="52" w:line="183" w:lineRule="auto"/>
              <w:rPr>
                <w:sz w:val="16"/>
                <w:szCs w:val="16"/>
              </w:rPr>
            </w:pPr>
            <w:r>
              <w:rPr>
                <w:sz w:val="16"/>
                <w:szCs w:val="16"/>
                <w:spacing w:val="-2"/>
              </w:rPr>
              <w:t>278</w:t>
            </w:r>
          </w:p>
        </w:tc>
        <w:tc>
          <w:tcPr>
            <w:tcW w:w="1299" w:type="dxa"/>
            <w:vAlign w:val="top"/>
          </w:tcPr>
          <w:p>
            <w:pPr>
              <w:pStyle w:val="TableText"/>
              <w:ind w:left="241"/>
              <w:spacing w:before="257" w:line="219" w:lineRule="auto"/>
              <w:rPr>
                <w:sz w:val="16"/>
                <w:szCs w:val="16"/>
              </w:rPr>
            </w:pPr>
            <w:r>
              <w:rPr>
                <w:sz w:val="16"/>
                <w:szCs w:val="16"/>
                <w:spacing w:val="-2"/>
              </w:rPr>
              <w:t>交通运销部</w:t>
            </w:r>
          </w:p>
        </w:tc>
        <w:tc>
          <w:tcPr>
            <w:tcW w:w="1638" w:type="dxa"/>
            <w:vAlign w:val="top"/>
          </w:tcPr>
          <w:p>
            <w:pPr>
              <w:pStyle w:val="TableText"/>
              <w:ind w:left="92"/>
              <w:spacing w:before="257" w:line="219" w:lineRule="auto"/>
              <w:rPr>
                <w:sz w:val="16"/>
                <w:szCs w:val="16"/>
              </w:rPr>
            </w:pPr>
            <w:r>
              <w:rPr>
                <w:sz w:val="16"/>
                <w:szCs w:val="16"/>
                <w:spacing w:val="-1"/>
              </w:rPr>
              <w:t>更新果伐护路林電乱</w:t>
            </w:r>
          </w:p>
        </w:tc>
        <w:tc>
          <w:tcPr>
            <w:tcW w:w="2377" w:type="dxa"/>
            <w:vAlign w:val="top"/>
          </w:tcPr>
          <w:p>
            <w:pPr>
              <w:pStyle w:val="TableText"/>
              <w:ind w:left="74" w:right="74" w:hanging="10"/>
              <w:spacing w:before="167" w:line="230" w:lineRule="auto"/>
              <w:rPr>
                <w:sz w:val="16"/>
                <w:szCs w:val="16"/>
              </w:rPr>
            </w:pPr>
            <w:r>
              <w:rPr>
                <w:sz w:val="16"/>
                <w:szCs w:val="16"/>
                <w:spacing w:val="-1"/>
              </w:rPr>
              <w:t>吉级。没区的市观，县维交遵远</w:t>
            </w:r>
            <w:r>
              <w:rPr>
                <w:sz w:val="16"/>
                <w:szCs w:val="16"/>
                <w:spacing w:val="1"/>
              </w:rPr>
              <w:t xml:space="preserve"> </w:t>
            </w:r>
            <w:r>
              <w:rPr>
                <w:sz w:val="16"/>
                <w:szCs w:val="16"/>
                <w:spacing w:val="1"/>
              </w:rPr>
              <w:t>验部门或者政府指定部门</w:t>
            </w:r>
          </w:p>
        </w:tc>
        <w:tc>
          <w:tcPr>
            <w:tcW w:w="3711" w:type="dxa"/>
            <w:vAlign w:val="top"/>
          </w:tcPr>
          <w:p>
            <w:pPr>
              <w:pStyle w:val="TableText"/>
              <w:ind w:left="78"/>
              <w:spacing w:before="37" w:line="240" w:lineRule="exact"/>
              <w:rPr>
                <w:sz w:val="16"/>
                <w:szCs w:val="16"/>
              </w:rPr>
            </w:pPr>
            <w:r>
              <w:rPr>
                <w:sz w:val="16"/>
                <w:szCs w:val="16"/>
                <w:spacing w:val="-3"/>
                <w:position w:val="5"/>
              </w:rPr>
              <w:t>中华人民其和国公路法1</w:t>
            </w:r>
          </w:p>
          <w:p>
            <w:pPr>
              <w:pStyle w:val="TableText"/>
              <w:spacing w:line="219" w:lineRule="auto"/>
              <w:rPr>
                <w:sz w:val="16"/>
                <w:szCs w:val="16"/>
              </w:rPr>
            </w:pPr>
            <w:r>
              <w:rPr>
                <w:sz w:val="16"/>
                <w:szCs w:val="16"/>
                <w:spacing w:val="-4"/>
              </w:rPr>
              <w:t>《公器安全保护条例)</w:t>
            </w:r>
          </w:p>
          <w:p>
            <w:pPr>
              <w:pStyle w:val="TableText"/>
              <w:ind w:left="36"/>
              <w:spacing w:line="219" w:lineRule="auto"/>
              <w:rPr>
                <w:sz w:val="16"/>
                <w:szCs w:val="16"/>
              </w:rPr>
            </w:pPr>
            <w:r>
              <w:rPr>
                <w:sz w:val="16"/>
                <w:szCs w:val="16"/>
                <w:spacing w:val="-3"/>
              </w:rPr>
              <w:t>高改管理能定》</w:t>
            </w:r>
          </w:p>
        </w:tc>
      </w:tr>
      <w:tr>
        <w:trPr>
          <w:trHeight w:val="1089" w:hRule="atLeast"/>
        </w:trPr>
        <w:tc>
          <w:tcPr>
            <w:tcW w:w="574" w:type="dxa"/>
            <w:vAlign w:val="top"/>
          </w:tcPr>
          <w:p>
            <w:pPr>
              <w:spacing w:line="455" w:lineRule="auto"/>
              <w:rPr>
                <w:rFonts w:ascii="Arial"/>
                <w:sz w:val="21"/>
              </w:rPr>
            </w:pPr>
            <w:r/>
          </w:p>
          <w:p>
            <w:pPr>
              <w:pStyle w:val="TableText"/>
              <w:ind w:left="154"/>
              <w:spacing w:before="52" w:line="183" w:lineRule="auto"/>
              <w:rPr>
                <w:sz w:val="16"/>
                <w:szCs w:val="16"/>
              </w:rPr>
            </w:pPr>
            <w:r>
              <w:rPr>
                <w:sz w:val="16"/>
                <w:szCs w:val="16"/>
                <w:spacing w:val="-3"/>
              </w:rPr>
              <w:t>379</w:t>
            </w:r>
          </w:p>
        </w:tc>
        <w:tc>
          <w:tcPr>
            <w:tcW w:w="1299" w:type="dxa"/>
            <w:vAlign w:val="top"/>
          </w:tcPr>
          <w:p>
            <w:pPr>
              <w:spacing w:line="414" w:lineRule="auto"/>
              <w:rPr>
                <w:rFonts w:ascii="Arial"/>
                <w:sz w:val="21"/>
              </w:rPr>
            </w:pPr>
            <w:r/>
          </w:p>
          <w:p>
            <w:pPr>
              <w:pStyle w:val="TableText"/>
              <w:ind w:left="241"/>
              <w:spacing w:before="52" w:line="219" w:lineRule="auto"/>
              <w:rPr>
                <w:sz w:val="16"/>
                <w:szCs w:val="16"/>
              </w:rPr>
            </w:pPr>
            <w:r>
              <w:rPr>
                <w:sz w:val="16"/>
                <w:szCs w:val="16"/>
                <w:spacing w:val="-2"/>
              </w:rPr>
              <w:t>交通运辅部</w:t>
            </w:r>
          </w:p>
        </w:tc>
        <w:tc>
          <w:tcPr>
            <w:tcW w:w="1638" w:type="dxa"/>
            <w:vAlign w:val="top"/>
          </w:tcPr>
          <w:p>
            <w:pPr>
              <w:spacing w:line="325" w:lineRule="auto"/>
              <w:rPr>
                <w:rFonts w:ascii="Arial"/>
                <w:sz w:val="21"/>
              </w:rPr>
            </w:pPr>
            <w:r/>
          </w:p>
          <w:p>
            <w:pPr>
              <w:pStyle w:val="TableText"/>
              <w:ind w:left="42" w:right="86" w:firstLine="50"/>
              <w:spacing w:before="52" w:line="213" w:lineRule="auto"/>
              <w:rPr>
                <w:sz w:val="16"/>
                <w:szCs w:val="16"/>
              </w:rPr>
            </w:pPr>
            <w:r>
              <w:rPr>
                <w:sz w:val="16"/>
                <w:szCs w:val="16"/>
                <w:spacing w:val="1"/>
              </w:rPr>
              <w:t>公路工程监康企业费</w:t>
            </w:r>
            <w:r>
              <w:rPr>
                <w:sz w:val="16"/>
                <w:szCs w:val="16"/>
              </w:rPr>
              <w:t xml:space="preserve"> </w:t>
            </w:r>
            <w:r>
              <w:rPr>
                <w:sz w:val="16"/>
                <w:szCs w:val="16"/>
                <w:spacing w:val="-2"/>
              </w:rPr>
              <w:t>凌许可</w:t>
            </w:r>
          </w:p>
        </w:tc>
        <w:tc>
          <w:tcPr>
            <w:tcW w:w="2377" w:type="dxa"/>
            <w:vAlign w:val="top"/>
          </w:tcPr>
          <w:p>
            <w:pPr>
              <w:spacing w:line="414" w:lineRule="auto"/>
              <w:rPr>
                <w:rFonts w:ascii="Arial"/>
                <w:sz w:val="21"/>
              </w:rPr>
            </w:pPr>
            <w:r/>
          </w:p>
          <w:p>
            <w:pPr>
              <w:pStyle w:val="TableText"/>
              <w:ind w:left="74"/>
              <w:spacing w:before="52" w:line="219" w:lineRule="auto"/>
              <w:rPr>
                <w:sz w:val="16"/>
                <w:szCs w:val="16"/>
              </w:rPr>
            </w:pPr>
            <w:r>
              <w:rPr>
                <w:sz w:val="16"/>
                <w:szCs w:val="16"/>
                <w:spacing w:val="1"/>
              </w:rPr>
              <w:t>交通运情别，省战交通运输部门</w:t>
            </w:r>
          </w:p>
        </w:tc>
        <w:tc>
          <w:tcPr>
            <w:tcW w:w="3711" w:type="dxa"/>
            <w:vAlign w:val="top"/>
          </w:tcPr>
          <w:p>
            <w:pPr>
              <w:pStyle w:val="TableText"/>
              <w:ind w:left="36"/>
              <w:spacing w:before="58" w:line="242" w:lineRule="auto"/>
              <w:rPr>
                <w:sz w:val="16"/>
                <w:szCs w:val="16"/>
              </w:rPr>
            </w:pPr>
            <w:r>
              <w:rPr>
                <w:sz w:val="16"/>
                <w:szCs w:val="16"/>
                <w:spacing w:val="-1"/>
              </w:rPr>
              <w:t>1中作人民共和国公器数》</w:t>
            </w:r>
          </w:p>
          <w:p>
            <w:pPr>
              <w:pStyle w:val="TableText"/>
              <w:ind w:left="36"/>
              <w:spacing w:line="219" w:lineRule="auto"/>
              <w:rPr>
                <w:sz w:val="16"/>
                <w:szCs w:val="16"/>
              </w:rPr>
            </w:pPr>
            <w:r>
              <w:rPr>
                <w:sz w:val="16"/>
                <w:szCs w:val="16"/>
                <w:spacing w:val="1"/>
              </w:rPr>
              <w:t>1建投工理底是管理条侧</w:t>
            </w:r>
          </w:p>
          <w:p>
            <w:pPr>
              <w:pStyle w:val="TableText"/>
              <w:ind w:left="36"/>
              <w:spacing w:before="29" w:line="208" w:lineRule="auto"/>
              <w:rPr>
                <w:sz w:val="16"/>
                <w:szCs w:val="16"/>
              </w:rPr>
            </w:pPr>
            <w:r>
              <w:rPr>
                <w:sz w:val="16"/>
                <w:szCs w:val="16"/>
                <w:spacing w:val="1"/>
              </w:rPr>
              <w:t>1公路水丘工望苗建企业安重管理规定)</w:t>
            </w:r>
          </w:p>
          <w:p>
            <w:pPr>
              <w:pStyle w:val="TableText"/>
              <w:ind w:left="36" w:right="129"/>
              <w:spacing w:line="236" w:lineRule="auto"/>
              <w:rPr>
                <w:sz w:val="16"/>
                <w:szCs w:val="16"/>
              </w:rPr>
            </w:pPr>
            <w:r>
              <w:rPr>
                <w:sz w:val="16"/>
                <w:szCs w:val="16"/>
              </w:rPr>
              <w:t>国务院关于起化“泛限分真“改革过一去微发市局</w:t>
            </w:r>
            <w:r>
              <w:rPr>
                <w:sz w:val="16"/>
                <w:szCs w:val="16"/>
                <w:spacing w:val="13"/>
              </w:rPr>
              <w:t xml:space="preserve"> </w:t>
            </w:r>
            <w:r>
              <w:rPr>
                <w:sz w:val="16"/>
                <w:szCs w:val="16"/>
                <w:spacing w:val="1"/>
              </w:rPr>
              <w:t>主体发四活力的通知家国发(2021)7号)</w:t>
            </w:r>
          </w:p>
        </w:tc>
      </w:tr>
      <w:tr>
        <w:trPr>
          <w:trHeight w:val="479" w:hRule="atLeast"/>
        </w:trPr>
        <w:tc>
          <w:tcPr>
            <w:tcW w:w="574" w:type="dxa"/>
            <w:vAlign w:val="top"/>
          </w:tcPr>
          <w:p>
            <w:pPr>
              <w:pStyle w:val="TableText"/>
              <w:ind w:left="154"/>
              <w:spacing w:before="200" w:line="183" w:lineRule="auto"/>
              <w:rPr>
                <w:sz w:val="16"/>
                <w:szCs w:val="16"/>
              </w:rPr>
            </w:pPr>
            <w:r>
              <w:rPr>
                <w:sz w:val="16"/>
                <w:szCs w:val="16"/>
                <w:spacing w:val="-2"/>
              </w:rPr>
              <w:t>280</w:t>
            </w:r>
          </w:p>
        </w:tc>
        <w:tc>
          <w:tcPr>
            <w:tcW w:w="1299" w:type="dxa"/>
            <w:vAlign w:val="top"/>
          </w:tcPr>
          <w:p>
            <w:pPr>
              <w:pStyle w:val="TableText"/>
              <w:ind w:left="241"/>
              <w:spacing w:before="159" w:line="219" w:lineRule="auto"/>
              <w:rPr>
                <w:sz w:val="16"/>
                <w:szCs w:val="16"/>
              </w:rPr>
            </w:pPr>
            <w:r>
              <w:rPr>
                <w:sz w:val="16"/>
                <w:szCs w:val="16"/>
                <w:spacing w:val="-2"/>
              </w:rPr>
              <w:t>交通运输器</w:t>
            </w:r>
          </w:p>
        </w:tc>
        <w:tc>
          <w:tcPr>
            <w:tcW w:w="1638" w:type="dxa"/>
            <w:vAlign w:val="top"/>
          </w:tcPr>
          <w:p>
            <w:pPr>
              <w:pStyle w:val="TableText"/>
              <w:ind w:left="32" w:right="84" w:firstLine="60"/>
              <w:spacing w:before="68" w:line="231" w:lineRule="auto"/>
              <w:rPr>
                <w:sz w:val="16"/>
                <w:szCs w:val="16"/>
              </w:rPr>
            </w:pPr>
            <w:r>
              <w:rPr>
                <w:sz w:val="16"/>
                <w:szCs w:val="16"/>
                <w:spacing w:val="1"/>
              </w:rPr>
              <w:t>公路荐护件业单位资 </w:t>
            </w:r>
            <w:r>
              <w:rPr>
                <w:sz w:val="16"/>
                <w:szCs w:val="16"/>
                <w:spacing w:val="-2"/>
              </w:rPr>
              <w:t>质审批</w:t>
            </w:r>
          </w:p>
        </w:tc>
        <w:tc>
          <w:tcPr>
            <w:tcW w:w="2377" w:type="dxa"/>
            <w:vAlign w:val="top"/>
          </w:tcPr>
          <w:p>
            <w:pPr>
              <w:pStyle w:val="TableText"/>
              <w:ind w:left="74"/>
              <w:spacing w:before="159" w:line="219" w:lineRule="auto"/>
              <w:rPr>
                <w:sz w:val="16"/>
                <w:szCs w:val="16"/>
              </w:rPr>
            </w:pPr>
            <w:r>
              <w:rPr>
                <w:sz w:val="16"/>
                <w:szCs w:val="16"/>
                <w:spacing w:val="2"/>
              </w:rPr>
              <w:t>省银交通运输部门</w:t>
            </w:r>
          </w:p>
        </w:tc>
        <w:tc>
          <w:tcPr>
            <w:tcW w:w="3711" w:type="dxa"/>
            <w:vAlign w:val="top"/>
          </w:tcPr>
          <w:p>
            <w:pPr>
              <w:pStyle w:val="TableText"/>
              <w:ind w:left="36"/>
              <w:spacing w:before="158" w:line="219" w:lineRule="auto"/>
              <w:rPr>
                <w:sz w:val="16"/>
                <w:szCs w:val="16"/>
              </w:rPr>
            </w:pPr>
            <w:r>
              <w:rPr>
                <w:sz w:val="16"/>
                <w:szCs w:val="16"/>
                <w:spacing w:val="1"/>
              </w:rPr>
              <w:t>(公路安全保护条州1</w:t>
            </w:r>
          </w:p>
        </w:tc>
      </w:tr>
      <w:tr>
        <w:trPr>
          <w:trHeight w:val="479" w:hRule="atLeast"/>
        </w:trPr>
        <w:tc>
          <w:tcPr>
            <w:tcW w:w="574" w:type="dxa"/>
            <w:vAlign w:val="top"/>
          </w:tcPr>
          <w:p>
            <w:pPr>
              <w:pStyle w:val="TableText"/>
              <w:ind w:left="154"/>
              <w:spacing w:before="165" w:line="224" w:lineRule="auto"/>
              <w:rPr>
                <w:sz w:val="16"/>
                <w:szCs w:val="16"/>
              </w:rPr>
            </w:pPr>
            <w:r>
              <w:rPr>
                <w:sz w:val="16"/>
                <w:szCs w:val="16"/>
                <w:spacing w:val="-2"/>
              </w:rPr>
              <w:t>28]</w:t>
            </w:r>
          </w:p>
        </w:tc>
        <w:tc>
          <w:tcPr>
            <w:tcW w:w="1299" w:type="dxa"/>
            <w:vAlign w:val="top"/>
          </w:tcPr>
          <w:p>
            <w:pPr>
              <w:pStyle w:val="TableText"/>
              <w:ind w:left="241"/>
              <w:spacing w:before="160" w:line="219" w:lineRule="auto"/>
              <w:rPr>
                <w:sz w:val="16"/>
                <w:szCs w:val="16"/>
              </w:rPr>
            </w:pPr>
            <w:r>
              <w:rPr>
                <w:sz w:val="16"/>
                <w:szCs w:val="16"/>
                <w:spacing w:val="2"/>
              </w:rPr>
              <w:t>交通运做属</w:t>
            </w:r>
          </w:p>
        </w:tc>
        <w:tc>
          <w:tcPr>
            <w:tcW w:w="1638" w:type="dxa"/>
            <w:vAlign w:val="top"/>
          </w:tcPr>
          <w:p>
            <w:pPr>
              <w:pStyle w:val="TableText"/>
              <w:ind w:left="11" w:right="107" w:firstLine="80"/>
              <w:spacing w:before="70" w:line="230" w:lineRule="auto"/>
              <w:rPr>
                <w:sz w:val="16"/>
                <w:szCs w:val="16"/>
              </w:rPr>
            </w:pPr>
            <w:r>
              <w:rPr>
                <w:sz w:val="16"/>
                <w:szCs w:val="16"/>
                <w:spacing w:val="-2"/>
              </w:rPr>
              <w:t>公降水话工程能脏检</w:t>
            </w:r>
            <w:r>
              <w:rPr>
                <w:sz w:val="16"/>
                <w:szCs w:val="16"/>
                <w:spacing w:val="5"/>
              </w:rPr>
              <w:t xml:space="preserve"> </w:t>
            </w:r>
            <w:r>
              <w:rPr>
                <w:sz w:val="16"/>
                <w:szCs w:val="16"/>
                <w:spacing w:val="-1"/>
              </w:rPr>
              <w:t>制机构资质中霍</w:t>
            </w:r>
          </w:p>
        </w:tc>
        <w:tc>
          <w:tcPr>
            <w:tcW w:w="2377" w:type="dxa"/>
            <w:vAlign w:val="top"/>
          </w:tcPr>
          <w:p>
            <w:pPr>
              <w:pStyle w:val="TableText"/>
              <w:ind w:left="74"/>
              <w:spacing w:before="160" w:line="219" w:lineRule="auto"/>
              <w:rPr>
                <w:sz w:val="16"/>
                <w:szCs w:val="16"/>
              </w:rPr>
            </w:pPr>
            <w:r>
              <w:rPr>
                <w:sz w:val="16"/>
                <w:szCs w:val="16"/>
                <w:spacing w:val="1"/>
              </w:rPr>
              <w:t>楚通后检据，界展交得云输部门</w:t>
            </w:r>
          </w:p>
        </w:tc>
        <w:tc>
          <w:tcPr>
            <w:tcW w:w="3711" w:type="dxa"/>
            <w:vAlign w:val="top"/>
          </w:tcPr>
          <w:p>
            <w:pPr>
              <w:pStyle w:val="TableText"/>
              <w:ind w:left="36"/>
              <w:spacing w:before="160" w:line="219" w:lineRule="auto"/>
              <w:rPr>
                <w:sz w:val="16"/>
                <w:szCs w:val="16"/>
              </w:rPr>
            </w:pPr>
            <w:r>
              <w:rPr>
                <w:sz w:val="16"/>
                <w:szCs w:val="16"/>
                <w:spacing w:val="-2"/>
              </w:rPr>
              <w:t>律亚工程质是肾理备侧》</w:t>
            </w:r>
          </w:p>
        </w:tc>
      </w:tr>
      <w:tr>
        <w:trPr>
          <w:trHeight w:val="669" w:hRule="atLeast"/>
        </w:trPr>
        <w:tc>
          <w:tcPr>
            <w:tcW w:w="574" w:type="dxa"/>
            <w:vAlign w:val="top"/>
          </w:tcPr>
          <w:p>
            <w:pPr>
              <w:spacing w:line="249" w:lineRule="auto"/>
              <w:rPr>
                <w:rFonts w:ascii="Arial"/>
                <w:sz w:val="21"/>
              </w:rPr>
            </w:pPr>
            <w:r/>
          </w:p>
          <w:p>
            <w:pPr>
              <w:pStyle w:val="TableText"/>
              <w:ind w:left="154"/>
              <w:spacing w:before="52" w:line="183" w:lineRule="auto"/>
              <w:rPr>
                <w:sz w:val="16"/>
                <w:szCs w:val="16"/>
              </w:rPr>
            </w:pPr>
            <w:r>
              <w:rPr>
                <w:sz w:val="16"/>
                <w:szCs w:val="16"/>
                <w:spacing w:val="-2"/>
              </w:rPr>
              <w:t>2B2</w:t>
            </w:r>
          </w:p>
        </w:tc>
        <w:tc>
          <w:tcPr>
            <w:tcW w:w="1299" w:type="dxa"/>
            <w:vAlign w:val="top"/>
          </w:tcPr>
          <w:p>
            <w:pPr>
              <w:pStyle w:val="TableText"/>
              <w:ind w:left="241"/>
              <w:spacing w:before="261" w:line="219" w:lineRule="auto"/>
              <w:rPr>
                <w:sz w:val="16"/>
                <w:szCs w:val="16"/>
              </w:rPr>
            </w:pPr>
            <w:r>
              <w:rPr>
                <w:sz w:val="16"/>
                <w:szCs w:val="16"/>
                <w:spacing w:val="2"/>
              </w:rPr>
              <w:t>交通运输属</w:t>
            </w:r>
          </w:p>
        </w:tc>
        <w:tc>
          <w:tcPr>
            <w:tcW w:w="1638" w:type="dxa"/>
            <w:vAlign w:val="top"/>
          </w:tcPr>
          <w:p>
            <w:pPr>
              <w:pStyle w:val="TableText"/>
              <w:ind w:left="42"/>
              <w:spacing w:before="261" w:line="219" w:lineRule="auto"/>
              <w:rPr>
                <w:sz w:val="16"/>
                <w:szCs w:val="16"/>
              </w:rPr>
            </w:pPr>
            <w:r>
              <w:rPr>
                <w:sz w:val="16"/>
                <w:szCs w:val="16"/>
                <w:spacing w:val="3"/>
              </w:rPr>
              <w:t>公路收质审出</w:t>
            </w:r>
          </w:p>
        </w:tc>
        <w:tc>
          <w:tcPr>
            <w:tcW w:w="2377" w:type="dxa"/>
            <w:vAlign w:val="top"/>
          </w:tcPr>
          <w:p>
            <w:pPr>
              <w:pStyle w:val="TableText"/>
              <w:ind w:left="74" w:right="61" w:hanging="10"/>
              <w:spacing w:before="70" w:line="219" w:lineRule="auto"/>
              <w:rPr>
                <w:sz w:val="16"/>
                <w:szCs w:val="16"/>
              </w:rPr>
            </w:pPr>
            <w:r>
              <w:rPr>
                <w:sz w:val="16"/>
                <w:szCs w:val="16"/>
                <w:spacing w:val="-1"/>
              </w:rPr>
              <w:t>省级器府(酒分事项面交通起赖</w:t>
            </w:r>
            <w:r>
              <w:rPr>
                <w:sz w:val="16"/>
                <w:szCs w:val="16"/>
                <w:spacing w:val="2"/>
              </w:rPr>
              <w:t xml:space="preserve">  </w:t>
            </w:r>
            <w:r>
              <w:rPr>
                <w:sz w:val="16"/>
                <w:szCs w:val="16"/>
                <w:spacing w:val="-1"/>
              </w:rPr>
              <w:t>部门承办，部分事项由交通远输</w:t>
            </w:r>
            <w:r>
              <w:rPr>
                <w:sz w:val="16"/>
                <w:szCs w:val="16"/>
                <w:spacing w:val="4"/>
              </w:rPr>
              <w:t xml:space="preserve"> </w:t>
            </w:r>
            <w:r>
              <w:rPr>
                <w:sz w:val="16"/>
                <w:szCs w:val="16"/>
                <w:spacing w:val="-1"/>
              </w:rPr>
              <w:t>部门会同有美部门承办?</w:t>
            </w:r>
          </w:p>
        </w:tc>
        <w:tc>
          <w:tcPr>
            <w:tcW w:w="3711" w:type="dxa"/>
            <w:vAlign w:val="top"/>
          </w:tcPr>
          <w:p>
            <w:pPr>
              <w:pStyle w:val="TableText"/>
              <w:ind w:left="78"/>
              <w:spacing w:before="151" w:line="242" w:lineRule="auto"/>
              <w:rPr>
                <w:sz w:val="16"/>
                <w:szCs w:val="16"/>
              </w:rPr>
            </w:pPr>
            <w:r>
              <w:rPr>
                <w:sz w:val="16"/>
                <w:szCs w:val="16"/>
                <w:spacing w:val="-4"/>
              </w:rPr>
              <w:t>L中华人民共和国公路据》</w:t>
            </w:r>
          </w:p>
          <w:p>
            <w:pPr>
              <w:pStyle w:val="TableText"/>
              <w:spacing w:line="219" w:lineRule="auto"/>
              <w:rPr>
                <w:sz w:val="16"/>
                <w:szCs w:val="16"/>
              </w:rPr>
            </w:pPr>
            <w:r>
              <w:rPr>
                <w:sz w:val="16"/>
                <w:szCs w:val="16"/>
                <w:spacing w:val="-5"/>
              </w:rPr>
              <w:t>《收费公路管理条领</w:t>
            </w:r>
          </w:p>
        </w:tc>
      </w:tr>
      <w:tr>
        <w:trPr>
          <w:trHeight w:val="479" w:hRule="atLeast"/>
        </w:trPr>
        <w:tc>
          <w:tcPr>
            <w:tcW w:w="574" w:type="dxa"/>
            <w:vAlign w:val="top"/>
          </w:tcPr>
          <w:p>
            <w:pPr>
              <w:pStyle w:val="TableText"/>
              <w:ind w:left="234"/>
              <w:spacing w:before="203" w:line="183" w:lineRule="auto"/>
              <w:rPr>
                <w:sz w:val="16"/>
                <w:szCs w:val="16"/>
              </w:rPr>
            </w:pPr>
            <w:r>
              <w:rPr>
                <w:sz w:val="16"/>
                <w:szCs w:val="16"/>
              </w:rPr>
              <w:t>9</w:t>
            </w:r>
          </w:p>
        </w:tc>
        <w:tc>
          <w:tcPr>
            <w:tcW w:w="1299" w:type="dxa"/>
            <w:vAlign w:val="top"/>
          </w:tcPr>
          <w:p>
            <w:pPr>
              <w:pStyle w:val="TableText"/>
              <w:ind w:left="241"/>
              <w:spacing w:before="162" w:line="219" w:lineRule="auto"/>
              <w:rPr>
                <w:sz w:val="16"/>
                <w:szCs w:val="16"/>
              </w:rPr>
            </w:pPr>
            <w:r>
              <w:rPr>
                <w:sz w:val="16"/>
                <w:szCs w:val="16"/>
                <w:spacing w:val="-2"/>
              </w:rPr>
              <w:t>交通运输部</w:t>
            </w:r>
          </w:p>
        </w:tc>
        <w:tc>
          <w:tcPr>
            <w:tcW w:w="1638" w:type="dxa"/>
            <w:vAlign w:val="top"/>
          </w:tcPr>
          <w:p>
            <w:pPr>
              <w:pStyle w:val="TableText"/>
              <w:ind w:left="11" w:right="102" w:firstLine="80"/>
              <w:spacing w:before="61" w:line="229" w:lineRule="auto"/>
              <w:rPr>
                <w:sz w:val="16"/>
                <w:szCs w:val="16"/>
              </w:rPr>
            </w:pPr>
            <w:r>
              <w:rPr>
                <w:sz w:val="16"/>
                <w:szCs w:val="16"/>
                <w:spacing w:val="-1"/>
              </w:rPr>
              <w:t>逗路娘喜运输经称许</w:t>
            </w:r>
            <w:r>
              <w:rPr>
                <w:sz w:val="16"/>
                <w:szCs w:val="16"/>
                <w:spacing w:val="1"/>
              </w:rPr>
              <w:t xml:space="preserve"> </w:t>
            </w:r>
            <w:r>
              <w:rPr>
                <w:sz w:val="16"/>
                <w:szCs w:val="16"/>
              </w:rPr>
              <w:t>可</w:t>
            </w:r>
          </w:p>
        </w:tc>
        <w:tc>
          <w:tcPr>
            <w:tcW w:w="2377" w:type="dxa"/>
            <w:vAlign w:val="top"/>
          </w:tcPr>
          <w:p>
            <w:pPr>
              <w:pStyle w:val="TableText"/>
              <w:spacing w:before="162" w:line="219" w:lineRule="auto"/>
              <w:jc w:val="right"/>
              <w:rPr>
                <w:sz w:val="16"/>
                <w:szCs w:val="16"/>
              </w:rPr>
            </w:pPr>
            <w:r>
              <w:rPr>
                <w:sz w:val="16"/>
                <w:szCs w:val="16"/>
                <w:spacing w:val="-2"/>
              </w:rPr>
              <w:t>设区的市级，且级交增孟的爸[门</w:t>
            </w:r>
          </w:p>
        </w:tc>
        <w:tc>
          <w:tcPr>
            <w:tcW w:w="3711" w:type="dxa"/>
            <w:vAlign w:val="top"/>
          </w:tcPr>
          <w:p>
            <w:pPr>
              <w:pStyle w:val="TableText"/>
              <w:ind w:left="36"/>
              <w:spacing w:before="81" w:line="219" w:lineRule="auto"/>
              <w:rPr>
                <w:sz w:val="16"/>
                <w:szCs w:val="16"/>
              </w:rPr>
            </w:pPr>
            <w:r>
              <w:rPr>
                <w:sz w:val="16"/>
                <w:szCs w:val="16"/>
              </w:rPr>
              <w:t>中华人民共和简道路运辅录例》</w:t>
            </w:r>
          </w:p>
          <w:p>
            <w:pPr>
              <w:pStyle w:val="TableText"/>
              <w:spacing w:before="11" w:line="215" w:lineRule="auto"/>
              <w:rPr>
                <w:sz w:val="16"/>
                <w:szCs w:val="16"/>
              </w:rPr>
            </w:pPr>
            <w:r>
              <w:rPr>
                <w:sz w:val="16"/>
                <w:szCs w:val="16"/>
                <w:spacing w:val="-3"/>
              </w:rPr>
              <w:t>《道路业客运物及客坛结查理域直1</w:t>
            </w:r>
          </w:p>
        </w:tc>
      </w:tr>
      <w:tr>
        <w:trPr>
          <w:trHeight w:val="479" w:hRule="atLeast"/>
        </w:trPr>
        <w:tc>
          <w:tcPr>
            <w:tcW w:w="574" w:type="dxa"/>
            <w:vAlign w:val="top"/>
          </w:tcPr>
          <w:p>
            <w:pPr>
              <w:pStyle w:val="TableText"/>
              <w:ind w:left="154"/>
              <w:spacing w:before="204" w:line="183" w:lineRule="auto"/>
              <w:rPr>
                <w:sz w:val="16"/>
                <w:szCs w:val="16"/>
              </w:rPr>
            </w:pPr>
            <w:r>
              <w:rPr>
                <w:sz w:val="16"/>
                <w:szCs w:val="16"/>
                <w:spacing w:val="-2"/>
              </w:rPr>
              <w:t>28+</w:t>
            </w:r>
          </w:p>
        </w:tc>
        <w:tc>
          <w:tcPr>
            <w:tcW w:w="1299" w:type="dxa"/>
            <w:vAlign w:val="top"/>
          </w:tcPr>
          <w:p>
            <w:pPr>
              <w:pStyle w:val="TableText"/>
              <w:ind w:left="241"/>
              <w:spacing w:before="163" w:line="219" w:lineRule="auto"/>
              <w:rPr>
                <w:sz w:val="16"/>
                <w:szCs w:val="16"/>
              </w:rPr>
            </w:pPr>
            <w:r>
              <w:rPr>
                <w:sz w:val="16"/>
                <w:szCs w:val="16"/>
                <w:spacing w:val="-2"/>
              </w:rPr>
              <w:t>交通运输部</w:t>
            </w:r>
          </w:p>
        </w:tc>
        <w:tc>
          <w:tcPr>
            <w:tcW w:w="1638" w:type="dxa"/>
            <w:vAlign w:val="top"/>
          </w:tcPr>
          <w:p>
            <w:pPr>
              <w:pStyle w:val="TableText"/>
              <w:ind w:left="42" w:right="101" w:firstLine="50"/>
              <w:spacing w:before="62" w:line="232" w:lineRule="auto"/>
              <w:rPr>
                <w:sz w:val="16"/>
                <w:szCs w:val="16"/>
              </w:rPr>
            </w:pPr>
            <w:r>
              <w:rPr>
                <w:sz w:val="16"/>
                <w:szCs w:val="16"/>
                <w:spacing w:val="-1"/>
              </w:rPr>
              <w:t>道路放务运物防学营</w:t>
            </w:r>
            <w:r>
              <w:rPr>
                <w:sz w:val="16"/>
                <w:szCs w:val="16"/>
                <w:spacing w:val="2"/>
              </w:rPr>
              <w:t xml:space="preserve"> </w:t>
            </w:r>
            <w:r>
              <w:rPr>
                <w:sz w:val="16"/>
                <w:szCs w:val="16"/>
                <w:spacing w:val="-2"/>
              </w:rPr>
              <w:t>许可</w:t>
            </w:r>
          </w:p>
        </w:tc>
        <w:tc>
          <w:tcPr>
            <w:tcW w:w="2377" w:type="dxa"/>
            <w:vAlign w:val="top"/>
          </w:tcPr>
          <w:p>
            <w:pPr>
              <w:pStyle w:val="TableText"/>
              <w:ind w:left="74"/>
              <w:spacing w:before="163" w:line="219" w:lineRule="auto"/>
              <w:rPr>
                <w:sz w:val="16"/>
                <w:szCs w:val="16"/>
              </w:rPr>
            </w:pPr>
            <w:r>
              <w:rPr>
                <w:sz w:val="16"/>
                <w:szCs w:val="16"/>
                <w:spacing w:val="2"/>
              </w:rPr>
              <w:t>5级交通运输部门</w:t>
            </w:r>
          </w:p>
        </w:tc>
        <w:tc>
          <w:tcPr>
            <w:tcW w:w="3711" w:type="dxa"/>
            <w:vAlign w:val="top"/>
          </w:tcPr>
          <w:p>
            <w:pPr>
              <w:pStyle w:val="TableText"/>
              <w:ind w:left="36"/>
              <w:spacing w:before="73" w:line="219" w:lineRule="exact"/>
              <w:rPr>
                <w:sz w:val="16"/>
                <w:szCs w:val="16"/>
              </w:rPr>
            </w:pPr>
            <w:r>
              <w:rPr>
                <w:sz w:val="16"/>
                <w:szCs w:val="16"/>
                <w:spacing w:val="-1"/>
                <w:position w:val="4"/>
              </w:rPr>
              <w:t>(中华人民共和国重陷运物条民》</w:t>
            </w:r>
          </w:p>
          <w:p>
            <w:pPr>
              <w:pStyle w:val="TableText"/>
              <w:ind w:left="36"/>
              <w:spacing w:line="203" w:lineRule="auto"/>
              <w:rPr>
                <w:sz w:val="16"/>
                <w:szCs w:val="16"/>
              </w:rPr>
            </w:pPr>
            <w:r>
              <w:rPr>
                <w:sz w:val="16"/>
                <w:szCs w:val="16"/>
                <w:spacing w:val="1"/>
              </w:rPr>
              <w:t>填路数客还输及客运站查理促定1</w:t>
            </w:r>
          </w:p>
        </w:tc>
      </w:tr>
      <w:tr>
        <w:trPr>
          <w:trHeight w:val="1133" w:hRule="atLeast"/>
        </w:trPr>
        <w:tc>
          <w:tcPr>
            <w:tcW w:w="574" w:type="dxa"/>
            <w:vAlign w:val="top"/>
          </w:tcPr>
          <w:p>
            <w:pPr>
              <w:rPr>
                <w:rFonts w:ascii="Arial"/>
                <w:sz w:val="21"/>
              </w:rPr>
            </w:pPr>
            <w:r/>
          </w:p>
          <w:p>
            <w:pPr>
              <w:rPr>
                <w:rFonts w:ascii="Arial"/>
                <w:sz w:val="21"/>
              </w:rPr>
            </w:pPr>
            <w:r/>
          </w:p>
          <w:p>
            <w:pPr>
              <w:pStyle w:val="TableText"/>
              <w:ind w:left="154"/>
              <w:spacing w:before="52" w:line="183" w:lineRule="auto"/>
              <w:rPr>
                <w:sz w:val="16"/>
                <w:szCs w:val="16"/>
              </w:rPr>
            </w:pPr>
            <w:r>
              <w:rPr>
                <w:sz w:val="16"/>
                <w:szCs w:val="16"/>
                <w:spacing w:val="-2"/>
              </w:rPr>
              <w:t>235</w:t>
            </w:r>
          </w:p>
        </w:tc>
        <w:tc>
          <w:tcPr>
            <w:tcW w:w="1299" w:type="dxa"/>
            <w:vAlign w:val="top"/>
          </w:tcPr>
          <w:p>
            <w:pPr>
              <w:spacing w:line="440" w:lineRule="auto"/>
              <w:rPr>
                <w:rFonts w:ascii="Arial"/>
                <w:sz w:val="21"/>
              </w:rPr>
            </w:pPr>
            <w:r/>
          </w:p>
          <w:p>
            <w:pPr>
              <w:pStyle w:val="TableText"/>
              <w:ind w:left="241"/>
              <w:spacing w:before="52" w:line="219" w:lineRule="auto"/>
              <w:rPr>
                <w:sz w:val="16"/>
                <w:szCs w:val="16"/>
              </w:rPr>
            </w:pPr>
            <w:r>
              <w:rPr>
                <w:sz w:val="16"/>
                <w:szCs w:val="16"/>
                <w:spacing w:val="-2"/>
              </w:rPr>
              <w:t>交通运输部</w:t>
            </w:r>
          </w:p>
        </w:tc>
        <w:tc>
          <w:tcPr>
            <w:tcW w:w="1638" w:type="dxa"/>
            <w:vAlign w:val="top"/>
          </w:tcPr>
          <w:p>
            <w:pPr>
              <w:pStyle w:val="TableText"/>
              <w:ind w:left="92" w:right="101"/>
              <w:spacing w:before="93" w:line="231" w:lineRule="auto"/>
              <w:jc w:val="both"/>
              <w:rPr>
                <w:sz w:val="16"/>
                <w:szCs w:val="16"/>
              </w:rPr>
            </w:pPr>
            <w:r>
              <w:rPr>
                <w:sz w:val="16"/>
                <w:szCs w:val="16"/>
                <w:spacing w:val="-1"/>
              </w:rPr>
              <w:t>通路货物运输坠尚许</w:t>
            </w:r>
            <w:r>
              <w:rPr>
                <w:sz w:val="16"/>
                <w:szCs w:val="16"/>
                <w:spacing w:val="1"/>
              </w:rPr>
              <w:t xml:space="preserve"> </w:t>
            </w:r>
            <w:r>
              <w:rPr>
                <w:sz w:val="16"/>
                <w:szCs w:val="16"/>
                <w:spacing w:val="2"/>
              </w:rPr>
              <w:t>可(除使用4500千克</w:t>
            </w:r>
            <w:r>
              <w:rPr>
                <w:sz w:val="16"/>
                <w:szCs w:val="16"/>
                <w:spacing w:val="9"/>
              </w:rPr>
              <w:t xml:space="preserve"> </w:t>
            </w:r>
            <w:r>
              <w:rPr>
                <w:sz w:val="16"/>
                <w:szCs w:val="16"/>
                <w:spacing w:val="-1"/>
              </w:rPr>
              <w:t>及以下著通软闭车帮</w:t>
            </w:r>
          </w:p>
          <w:p>
            <w:pPr>
              <w:pStyle w:val="TableText"/>
              <w:ind w:left="11" w:right="184" w:firstLine="159"/>
              <w:spacing w:before="30" w:line="208" w:lineRule="auto"/>
              <w:rPr>
                <w:sz w:val="16"/>
                <w:szCs w:val="16"/>
              </w:rPr>
            </w:pPr>
            <w:r>
              <w:rPr>
                <w:sz w:val="16"/>
                <w:szCs w:val="16"/>
                <w:spacing w:val="-2"/>
              </w:rPr>
              <w:t>从事普通资运经背</w:t>
            </w:r>
            <w:r>
              <w:rPr>
                <w:sz w:val="16"/>
                <w:szCs w:val="16"/>
                <w:spacing w:val="6"/>
              </w:rPr>
              <w:t xml:space="preserve"> </w:t>
            </w:r>
            <w:r>
              <w:rPr>
                <w:sz w:val="16"/>
                <w:szCs w:val="16"/>
                <w:spacing w:val="-5"/>
              </w:rPr>
              <w:t>外</w:t>
            </w:r>
            <w:r>
              <w:rPr>
                <w:sz w:val="16"/>
                <w:szCs w:val="16"/>
                <w:spacing w:val="-29"/>
              </w:rPr>
              <w:t xml:space="preserve"> </w:t>
            </w:r>
            <w:r>
              <w:rPr>
                <w:sz w:val="16"/>
                <w:szCs w:val="16"/>
                <w:spacing w:val="-5"/>
              </w:rPr>
              <w:t>)</w:t>
            </w:r>
          </w:p>
        </w:tc>
        <w:tc>
          <w:tcPr>
            <w:tcW w:w="2377" w:type="dxa"/>
            <w:vAlign w:val="top"/>
          </w:tcPr>
          <w:p>
            <w:pPr>
              <w:spacing w:line="440" w:lineRule="auto"/>
              <w:rPr>
                <w:rFonts w:ascii="Arial"/>
                <w:sz w:val="21"/>
              </w:rPr>
            </w:pPr>
            <w:r/>
          </w:p>
          <w:p>
            <w:pPr>
              <w:pStyle w:val="TableText"/>
              <w:ind w:left="74"/>
              <w:spacing w:before="52" w:line="219" w:lineRule="auto"/>
              <w:rPr>
                <w:sz w:val="16"/>
                <w:szCs w:val="16"/>
              </w:rPr>
            </w:pPr>
            <w:r>
              <w:rPr>
                <w:sz w:val="16"/>
                <w:szCs w:val="16"/>
                <w:spacing w:val="2"/>
              </w:rPr>
              <w:t>县最交进后检起门</w:t>
            </w:r>
          </w:p>
        </w:tc>
        <w:tc>
          <w:tcPr>
            <w:tcW w:w="3711" w:type="dxa"/>
            <w:vAlign w:val="top"/>
          </w:tcPr>
          <w:p>
            <w:pPr>
              <w:spacing w:line="369" w:lineRule="auto"/>
              <w:rPr>
                <w:rFonts w:ascii="Arial"/>
                <w:sz w:val="21"/>
              </w:rPr>
            </w:pPr>
            <w:r/>
          </w:p>
          <w:p>
            <w:pPr>
              <w:pStyle w:val="TableText"/>
              <w:ind w:left="78"/>
              <w:spacing w:before="52" w:line="208" w:lineRule="auto"/>
              <w:rPr>
                <w:sz w:val="16"/>
                <w:szCs w:val="16"/>
              </w:rPr>
            </w:pPr>
            <w:r>
              <w:rPr>
                <w:sz w:val="16"/>
                <w:szCs w:val="16"/>
                <w:spacing w:val="-4"/>
              </w:rPr>
              <w:t>工中华人民共和国道路词输条德》</w:t>
            </w:r>
          </w:p>
          <w:p>
            <w:pPr>
              <w:pStyle w:val="TableText"/>
              <w:spacing w:line="219" w:lineRule="auto"/>
              <w:rPr>
                <w:sz w:val="16"/>
                <w:szCs w:val="16"/>
              </w:rPr>
            </w:pPr>
            <w:r>
              <w:rPr>
                <w:sz w:val="16"/>
                <w:szCs w:val="16"/>
                <w:spacing w:val="-4"/>
              </w:rPr>
              <w:t>《词路能的法越及站场管理规定》</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52800"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24" name="TextBox 224"/>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6" style="position:absolute;margin-left:37.3042pt;margin-top:345.874pt;mso-position-vertical-relative:page;mso-position-horizontal-relative:page;width:13.1pt;height:12.4pt;z-index:25185280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11"/>
      </w:tblGrid>
      <w:tr>
        <w:trPr>
          <w:trHeight w:val="414" w:hRule="atLeast"/>
        </w:trPr>
        <w:tc>
          <w:tcPr>
            <w:tcW w:w="594" w:type="dxa"/>
            <w:vAlign w:val="top"/>
          </w:tcPr>
          <w:p>
            <w:pPr>
              <w:pStyle w:val="TableText"/>
              <w:ind w:left="127"/>
              <w:spacing w:before="130" w:line="221" w:lineRule="auto"/>
              <w:rPr>
                <w:sz w:val="16"/>
                <w:szCs w:val="16"/>
              </w:rPr>
            </w:pPr>
            <w:r>
              <w:rPr>
                <w:sz w:val="16"/>
                <w:szCs w:val="16"/>
                <w:b/>
                <w:bCs/>
                <w:spacing w:val="-4"/>
              </w:rPr>
              <w:t>序号</w:t>
            </w:r>
          </w:p>
        </w:tc>
        <w:tc>
          <w:tcPr>
            <w:tcW w:w="1279" w:type="dxa"/>
            <w:vAlign w:val="top"/>
          </w:tcPr>
          <w:p>
            <w:pPr>
              <w:pStyle w:val="TableText"/>
              <w:ind w:left="153"/>
              <w:spacing w:before="129" w:line="219" w:lineRule="auto"/>
              <w:rPr>
                <w:sz w:val="16"/>
                <w:szCs w:val="16"/>
              </w:rPr>
            </w:pPr>
            <w:r>
              <w:rPr>
                <w:sz w:val="16"/>
                <w:szCs w:val="16"/>
                <w:b/>
                <w:bCs/>
              </w:rPr>
              <w:t>中央主管部门</w:t>
            </w:r>
          </w:p>
        </w:tc>
        <w:tc>
          <w:tcPr>
            <w:tcW w:w="1638" w:type="dxa"/>
            <w:vAlign w:val="top"/>
          </w:tcPr>
          <w:p>
            <w:pPr>
              <w:pStyle w:val="TableText"/>
              <w:ind w:left="464"/>
              <w:spacing w:before="129" w:line="220" w:lineRule="auto"/>
              <w:rPr>
                <w:sz w:val="16"/>
                <w:szCs w:val="16"/>
              </w:rPr>
            </w:pPr>
            <w:r>
              <w:rPr>
                <w:sz w:val="16"/>
                <w:szCs w:val="16"/>
                <w:b/>
                <w:bCs/>
                <w:spacing w:val="-3"/>
              </w:rPr>
              <w:t>事项名称</w:t>
            </w:r>
          </w:p>
        </w:tc>
        <w:tc>
          <w:tcPr>
            <w:tcW w:w="2377" w:type="dxa"/>
            <w:vAlign w:val="top"/>
          </w:tcPr>
          <w:p>
            <w:pPr>
              <w:pStyle w:val="TableText"/>
              <w:ind w:left="866"/>
              <w:spacing w:before="128" w:line="219" w:lineRule="auto"/>
              <w:rPr>
                <w:sz w:val="16"/>
                <w:szCs w:val="16"/>
              </w:rPr>
            </w:pPr>
            <w:r>
              <w:rPr>
                <w:sz w:val="16"/>
                <w:szCs w:val="16"/>
                <w:b/>
                <w:bCs/>
                <w:spacing w:val="-4"/>
              </w:rPr>
              <w:t>实陶机关</w:t>
            </w:r>
          </w:p>
        </w:tc>
        <w:tc>
          <w:tcPr>
            <w:tcW w:w="3711" w:type="dxa"/>
            <w:vAlign w:val="top"/>
          </w:tcPr>
          <w:p>
            <w:pPr>
              <w:pStyle w:val="TableText"/>
              <w:ind w:left="1309"/>
              <w:spacing w:before="128" w:line="219" w:lineRule="auto"/>
              <w:rPr>
                <w:sz w:val="16"/>
                <w:szCs w:val="16"/>
              </w:rPr>
            </w:pPr>
            <w:r>
              <w:rPr>
                <w:sz w:val="16"/>
                <w:szCs w:val="16"/>
                <w:b/>
                <w:bCs/>
                <w:spacing w:val="-3"/>
              </w:rPr>
              <w:t>设定和实监依据</w:t>
            </w:r>
          </w:p>
        </w:tc>
      </w:tr>
      <w:tr>
        <w:trPr>
          <w:trHeight w:val="1078" w:hRule="atLeast"/>
        </w:trPr>
        <w:tc>
          <w:tcPr>
            <w:tcW w:w="594" w:type="dxa"/>
            <w:vAlign w:val="top"/>
          </w:tcPr>
          <w:p>
            <w:pPr>
              <w:spacing w:line="444" w:lineRule="auto"/>
              <w:rPr>
                <w:rFonts w:ascii="Arial"/>
                <w:sz w:val="21"/>
              </w:rPr>
            </w:pPr>
            <w:r/>
          </w:p>
          <w:p>
            <w:pPr>
              <w:pStyle w:val="TableText"/>
              <w:ind w:left="164"/>
              <w:spacing w:before="52" w:line="183" w:lineRule="auto"/>
              <w:rPr>
                <w:sz w:val="16"/>
                <w:szCs w:val="16"/>
              </w:rPr>
            </w:pPr>
            <w:r>
              <w:rPr>
                <w:sz w:val="16"/>
                <w:szCs w:val="16"/>
                <w:spacing w:val="-2"/>
              </w:rPr>
              <w:t>288</w:t>
            </w:r>
          </w:p>
        </w:tc>
        <w:tc>
          <w:tcPr>
            <w:tcW w:w="1279" w:type="dxa"/>
            <w:vAlign w:val="top"/>
          </w:tcPr>
          <w:p>
            <w:pPr>
              <w:spacing w:line="403" w:lineRule="auto"/>
              <w:rPr>
                <w:rFonts w:ascii="Arial"/>
                <w:sz w:val="21"/>
              </w:rPr>
            </w:pPr>
            <w:r/>
          </w:p>
          <w:p>
            <w:pPr>
              <w:pStyle w:val="TableText"/>
              <w:ind w:left="231"/>
              <w:spacing w:before="52" w:line="219" w:lineRule="auto"/>
              <w:rPr>
                <w:sz w:val="16"/>
                <w:szCs w:val="16"/>
              </w:rPr>
            </w:pPr>
            <w:r>
              <w:rPr>
                <w:sz w:val="16"/>
                <w:szCs w:val="16"/>
                <w:spacing w:val="-2"/>
              </w:rPr>
              <w:t>交道运融都</w:t>
            </w:r>
          </w:p>
        </w:tc>
        <w:tc>
          <w:tcPr>
            <w:tcW w:w="1638" w:type="dxa"/>
            <w:vAlign w:val="top"/>
          </w:tcPr>
          <w:p>
            <w:pPr>
              <w:spacing w:line="312" w:lineRule="auto"/>
              <w:rPr>
                <w:rFonts w:ascii="Arial"/>
                <w:sz w:val="21"/>
              </w:rPr>
            </w:pPr>
            <w:r/>
          </w:p>
          <w:p>
            <w:pPr>
              <w:pStyle w:val="TableText"/>
              <w:ind w:left="52" w:right="144"/>
              <w:spacing w:before="52" w:line="219" w:lineRule="auto"/>
              <w:rPr>
                <w:sz w:val="16"/>
                <w:szCs w:val="16"/>
              </w:rPr>
            </w:pPr>
            <w:r>
              <w:rPr>
                <w:sz w:val="16"/>
                <w:szCs w:val="16"/>
                <w:spacing w:val="-1"/>
              </w:rPr>
              <w:t>危险货物酒路造物经</w:t>
            </w:r>
            <w:r>
              <w:rPr>
                <w:sz w:val="16"/>
                <w:szCs w:val="16"/>
              </w:rPr>
              <w:t xml:space="preserve"> </w:t>
            </w:r>
            <w:r>
              <w:rPr>
                <w:sz w:val="16"/>
                <w:szCs w:val="16"/>
                <w:spacing w:val="-3"/>
              </w:rPr>
              <w:t>臂许可</w:t>
            </w:r>
          </w:p>
        </w:tc>
        <w:tc>
          <w:tcPr>
            <w:tcW w:w="2377" w:type="dxa"/>
            <w:vAlign w:val="top"/>
          </w:tcPr>
          <w:p>
            <w:pPr>
              <w:spacing w:line="403" w:lineRule="auto"/>
              <w:rPr>
                <w:rFonts w:ascii="Arial"/>
                <w:sz w:val="21"/>
              </w:rPr>
            </w:pPr>
            <w:r/>
          </w:p>
          <w:p>
            <w:pPr>
              <w:pStyle w:val="TableText"/>
              <w:ind w:left="44"/>
              <w:spacing w:before="52" w:line="219" w:lineRule="auto"/>
              <w:rPr>
                <w:sz w:val="16"/>
                <w:szCs w:val="16"/>
              </w:rPr>
            </w:pPr>
            <w:r>
              <w:rPr>
                <w:sz w:val="16"/>
                <w:szCs w:val="16"/>
                <w:spacing w:val="1"/>
              </w:rPr>
              <w:t>役区的市级交通话输部门</w:t>
            </w:r>
          </w:p>
        </w:tc>
        <w:tc>
          <w:tcPr>
            <w:tcW w:w="3711" w:type="dxa"/>
            <w:vAlign w:val="top"/>
          </w:tcPr>
          <w:p>
            <w:pPr>
              <w:pStyle w:val="TableText"/>
              <w:ind w:left="56"/>
              <w:spacing w:before="57" w:line="219" w:lineRule="auto"/>
              <w:rPr>
                <w:sz w:val="16"/>
                <w:szCs w:val="16"/>
              </w:rPr>
            </w:pPr>
            <w:r>
              <w:rPr>
                <w:sz w:val="16"/>
                <w:szCs w:val="16"/>
              </w:rPr>
              <w:t>1中华人民共和国道路运输条例》</w:t>
            </w:r>
          </w:p>
          <w:p>
            <w:pPr>
              <w:pStyle w:val="TableText"/>
              <w:spacing w:before="29" w:line="219" w:lineRule="auto"/>
              <w:rPr>
                <w:sz w:val="16"/>
                <w:szCs w:val="16"/>
              </w:rPr>
            </w:pPr>
            <w:r>
              <w:rPr>
                <w:sz w:val="16"/>
                <w:szCs w:val="16"/>
                <w:spacing w:val="-3"/>
              </w:rPr>
              <w:t>《危治化学品安全管理条州》</w:t>
            </w:r>
          </w:p>
          <w:p>
            <w:pPr>
              <w:pStyle w:val="TableText"/>
              <w:ind w:left="56"/>
              <w:spacing w:line="220" w:lineRule="exact"/>
              <w:rPr>
                <w:sz w:val="16"/>
                <w:szCs w:val="16"/>
              </w:rPr>
            </w:pPr>
            <w:r>
              <w:rPr>
                <w:sz w:val="16"/>
                <w:szCs w:val="16"/>
                <w:spacing w:val="-1"/>
                <w:position w:val="4"/>
              </w:rPr>
              <w:t>致封性物品运贴安全管理条例》</w:t>
            </w:r>
          </w:p>
          <w:p>
            <w:pPr>
              <w:pStyle w:val="TableText"/>
              <w:ind w:left="56"/>
              <w:spacing w:line="208" w:lineRule="auto"/>
              <w:rPr>
                <w:sz w:val="16"/>
                <w:szCs w:val="16"/>
              </w:rPr>
            </w:pPr>
            <w:r>
              <w:rPr>
                <w:sz w:val="16"/>
                <w:szCs w:val="16"/>
                <w:spacing w:val="2"/>
              </w:rPr>
              <w:t>道客有险货物运输管理规足)</w:t>
            </w:r>
          </w:p>
          <w:p>
            <w:pPr>
              <w:pStyle w:val="TableText"/>
              <w:ind w:left="56"/>
              <w:spacing w:line="219" w:lineRule="auto"/>
              <w:rPr>
                <w:sz w:val="16"/>
                <w:szCs w:val="16"/>
              </w:rPr>
            </w:pPr>
            <w:r>
              <w:rPr>
                <w:sz w:val="16"/>
                <w:szCs w:val="16"/>
              </w:rPr>
              <w:t>t放封性物品词路运验管度规定</w:t>
            </w:r>
          </w:p>
        </w:tc>
      </w:tr>
      <w:tr>
        <w:trPr>
          <w:trHeight w:val="469" w:hRule="atLeast"/>
        </w:trPr>
        <w:tc>
          <w:tcPr>
            <w:tcW w:w="594" w:type="dxa"/>
            <w:vAlign w:val="top"/>
          </w:tcPr>
          <w:p>
            <w:pPr>
              <w:pStyle w:val="TableText"/>
              <w:ind w:left="164"/>
              <w:spacing w:before="200" w:line="183" w:lineRule="auto"/>
              <w:rPr>
                <w:sz w:val="16"/>
                <w:szCs w:val="16"/>
              </w:rPr>
            </w:pPr>
            <w:r>
              <w:rPr>
                <w:sz w:val="16"/>
                <w:szCs w:val="16"/>
                <w:spacing w:val="-2"/>
              </w:rPr>
              <w:t>287</w:t>
            </w:r>
          </w:p>
        </w:tc>
        <w:tc>
          <w:tcPr>
            <w:tcW w:w="1279" w:type="dxa"/>
            <w:vAlign w:val="top"/>
          </w:tcPr>
          <w:p>
            <w:pPr>
              <w:pStyle w:val="TableText"/>
              <w:ind w:left="231"/>
              <w:spacing w:before="159" w:line="219" w:lineRule="auto"/>
              <w:rPr>
                <w:sz w:val="16"/>
                <w:szCs w:val="16"/>
              </w:rPr>
            </w:pPr>
            <w:r>
              <w:rPr>
                <w:sz w:val="16"/>
                <w:szCs w:val="16"/>
                <w:spacing w:val="-2"/>
              </w:rPr>
              <w:t>交通运输部</w:t>
            </w:r>
          </w:p>
        </w:tc>
        <w:tc>
          <w:tcPr>
            <w:tcW w:w="1638" w:type="dxa"/>
            <w:vAlign w:val="top"/>
          </w:tcPr>
          <w:p>
            <w:pPr>
              <w:pStyle w:val="TableText"/>
              <w:ind w:left="52" w:right="99" w:firstLine="30"/>
              <w:spacing w:before="69" w:line="225" w:lineRule="auto"/>
              <w:rPr>
                <w:sz w:val="16"/>
                <w:szCs w:val="16"/>
              </w:rPr>
            </w:pPr>
            <w:r>
              <w:rPr>
                <w:sz w:val="16"/>
                <w:szCs w:val="16"/>
              </w:rPr>
              <w:t>国际道路施客运输经</w:t>
            </w:r>
            <w:r>
              <w:rPr>
                <w:sz w:val="16"/>
                <w:szCs w:val="16"/>
                <w:spacing w:val="5"/>
              </w:rPr>
              <w:t xml:space="preserve"> </w:t>
            </w:r>
            <w:r>
              <w:rPr>
                <w:sz w:val="16"/>
                <w:szCs w:val="16"/>
                <w:spacing w:val="6"/>
              </w:rPr>
              <w:t>营诈叫</w:t>
            </w:r>
          </w:p>
        </w:tc>
        <w:tc>
          <w:tcPr>
            <w:tcW w:w="2377" w:type="dxa"/>
            <w:vAlign w:val="top"/>
          </w:tcPr>
          <w:p>
            <w:pPr>
              <w:pStyle w:val="TableText"/>
              <w:ind w:left="83"/>
              <w:spacing w:before="158" w:line="219" w:lineRule="auto"/>
              <w:rPr>
                <w:sz w:val="16"/>
                <w:szCs w:val="16"/>
              </w:rPr>
            </w:pPr>
            <w:r>
              <w:rPr>
                <w:sz w:val="16"/>
                <w:szCs w:val="16"/>
                <w:spacing w:val="2"/>
              </w:rPr>
              <w:t>省级交看运精部门</w:t>
            </w:r>
          </w:p>
        </w:tc>
        <w:tc>
          <w:tcPr>
            <w:tcW w:w="3711" w:type="dxa"/>
            <w:vAlign w:val="top"/>
          </w:tcPr>
          <w:p>
            <w:pPr>
              <w:pStyle w:val="TableText"/>
              <w:ind w:left="56"/>
              <w:spacing w:before="58" w:line="231" w:lineRule="auto"/>
              <w:rPr>
                <w:sz w:val="16"/>
                <w:szCs w:val="16"/>
              </w:rPr>
            </w:pPr>
            <w:r>
              <w:rPr>
                <w:sz w:val="16"/>
                <w:szCs w:val="16"/>
                <w:spacing w:val="-1"/>
              </w:rPr>
              <w:t>(中华人民共和国遗路运恰条例》</w:t>
            </w:r>
          </w:p>
          <w:p>
            <w:pPr>
              <w:pStyle w:val="TableText"/>
              <w:ind w:left="56"/>
              <w:spacing w:line="218" w:lineRule="auto"/>
              <w:rPr>
                <w:sz w:val="16"/>
                <w:szCs w:val="16"/>
              </w:rPr>
            </w:pPr>
            <w:r>
              <w:rPr>
                <w:sz w:val="16"/>
                <w:szCs w:val="16"/>
                <w:spacing w:val="3"/>
              </w:rPr>
              <w:t>风际道路运输管章规定)</w:t>
            </w:r>
          </w:p>
        </w:tc>
      </w:tr>
      <w:tr>
        <w:trPr>
          <w:trHeight w:val="869" w:hRule="atLeast"/>
        </w:trPr>
        <w:tc>
          <w:tcPr>
            <w:tcW w:w="594" w:type="dxa"/>
            <w:vAlign w:val="top"/>
          </w:tcPr>
          <w:p>
            <w:pPr>
              <w:spacing w:line="347" w:lineRule="auto"/>
              <w:rPr>
                <w:rFonts w:ascii="Arial"/>
                <w:sz w:val="21"/>
              </w:rPr>
            </w:pPr>
            <w:r/>
          </w:p>
          <w:p>
            <w:pPr>
              <w:pStyle w:val="TableText"/>
              <w:ind w:left="164"/>
              <w:spacing w:before="52" w:line="183" w:lineRule="auto"/>
              <w:rPr>
                <w:sz w:val="16"/>
                <w:szCs w:val="16"/>
              </w:rPr>
            </w:pPr>
            <w:r>
              <w:rPr>
                <w:sz w:val="16"/>
                <w:szCs w:val="16"/>
                <w:spacing w:val="-2"/>
              </w:rPr>
              <w:t>288</w:t>
            </w:r>
          </w:p>
        </w:tc>
        <w:tc>
          <w:tcPr>
            <w:tcW w:w="1279" w:type="dxa"/>
            <w:vAlign w:val="top"/>
          </w:tcPr>
          <w:p>
            <w:pPr>
              <w:spacing w:line="306" w:lineRule="auto"/>
              <w:rPr>
                <w:rFonts w:ascii="Arial"/>
                <w:sz w:val="21"/>
              </w:rPr>
            </w:pPr>
            <w:r/>
          </w:p>
          <w:p>
            <w:pPr>
              <w:pStyle w:val="TableText"/>
              <w:ind w:left="231"/>
              <w:spacing w:before="52" w:line="219" w:lineRule="auto"/>
              <w:rPr>
                <w:sz w:val="16"/>
                <w:szCs w:val="16"/>
              </w:rPr>
            </w:pPr>
            <w:r>
              <w:rPr>
                <w:sz w:val="16"/>
                <w:szCs w:val="16"/>
                <w:spacing w:val="-2"/>
              </w:rPr>
              <w:t>交通运输部</w:t>
            </w:r>
          </w:p>
        </w:tc>
        <w:tc>
          <w:tcPr>
            <w:tcW w:w="1638" w:type="dxa"/>
            <w:vAlign w:val="top"/>
          </w:tcPr>
          <w:p>
            <w:pPr>
              <w:spacing w:line="306" w:lineRule="auto"/>
              <w:rPr>
                <w:rFonts w:ascii="Arial"/>
                <w:sz w:val="21"/>
              </w:rPr>
            </w:pPr>
            <w:r/>
          </w:p>
          <w:p>
            <w:pPr>
              <w:pStyle w:val="TableText"/>
              <w:ind w:left="52"/>
              <w:spacing w:before="52" w:line="219" w:lineRule="auto"/>
              <w:rPr>
                <w:sz w:val="16"/>
                <w:szCs w:val="16"/>
              </w:rPr>
            </w:pPr>
            <w:r>
              <w:rPr>
                <w:sz w:val="16"/>
                <w:szCs w:val="16"/>
              </w:rPr>
              <w:t>出租光车经背诈可</w:t>
            </w:r>
          </w:p>
        </w:tc>
        <w:tc>
          <w:tcPr>
            <w:tcW w:w="2377" w:type="dxa"/>
            <w:vAlign w:val="top"/>
          </w:tcPr>
          <w:p>
            <w:pPr>
              <w:pStyle w:val="TableText"/>
              <w:ind w:left="64" w:right="70"/>
              <w:spacing w:before="260" w:line="236" w:lineRule="auto"/>
              <w:rPr>
                <w:sz w:val="16"/>
                <w:szCs w:val="16"/>
              </w:rPr>
            </w:pPr>
            <w:r>
              <w:rPr>
                <w:sz w:val="16"/>
                <w:szCs w:val="16"/>
                <w:spacing w:val="-1"/>
              </w:rPr>
              <w:t>直情市，设区的布级、是进交道</w:t>
            </w:r>
            <w:r>
              <w:rPr>
                <w:sz w:val="16"/>
                <w:szCs w:val="16"/>
                <w:spacing w:val="5"/>
              </w:rPr>
              <w:t xml:space="preserve"> </w:t>
            </w:r>
            <w:r>
              <w:rPr>
                <w:sz w:val="16"/>
                <w:szCs w:val="16"/>
                <w:spacing w:val="1"/>
              </w:rPr>
              <w:t>运家部门或者改府情定需门</w:t>
            </w:r>
          </w:p>
        </w:tc>
        <w:tc>
          <w:tcPr>
            <w:tcW w:w="3711" w:type="dxa"/>
            <w:vAlign w:val="top"/>
          </w:tcPr>
          <w:p>
            <w:pPr>
              <w:pStyle w:val="TableText"/>
              <w:ind w:left="56" w:right="287" w:hanging="10"/>
              <w:spacing w:before="49" w:line="237" w:lineRule="auto"/>
              <w:rPr>
                <w:sz w:val="16"/>
                <w:szCs w:val="16"/>
              </w:rPr>
            </w:pPr>
            <w:r>
              <w:rPr>
                <w:sz w:val="16"/>
                <w:szCs w:val="16"/>
              </w:rPr>
              <w:t>国每院对确需保能的行政审批项们设定行政许可</w:t>
            </w:r>
            <w:r>
              <w:rPr>
                <w:sz w:val="16"/>
                <w:szCs w:val="16"/>
                <w:spacing w:val="5"/>
              </w:rPr>
              <w:t xml:space="preserve"> </w:t>
            </w:r>
            <w:r>
              <w:rPr>
                <w:sz w:val="16"/>
                <w:szCs w:val="16"/>
                <w:spacing w:val="3"/>
              </w:rPr>
              <w:t>的决定</w:t>
            </w:r>
          </w:p>
          <w:p>
            <w:pPr>
              <w:pStyle w:val="TableText"/>
              <w:ind w:left="56"/>
              <w:spacing w:before="20" w:line="219" w:lineRule="auto"/>
              <w:rPr>
                <w:sz w:val="16"/>
                <w:szCs w:val="16"/>
              </w:rPr>
            </w:pPr>
            <w:r>
              <w:rPr>
                <w:sz w:val="16"/>
                <w:szCs w:val="16"/>
                <w:spacing w:val="1"/>
              </w:rPr>
              <w:t>泛前出租汽车经者权务管理规定1</w:t>
            </w:r>
          </w:p>
          <w:p>
            <w:pPr>
              <w:pStyle w:val="TableText"/>
              <w:spacing w:before="9" w:line="206" w:lineRule="auto"/>
              <w:rPr>
                <w:sz w:val="16"/>
                <w:szCs w:val="16"/>
              </w:rPr>
            </w:pPr>
            <w:r>
              <w:rPr>
                <w:sz w:val="16"/>
                <w:szCs w:val="16"/>
                <w:spacing w:val="2"/>
              </w:rPr>
              <w:t>【属格预约出阳汽车能落屋务管理看行扑法》</w:t>
            </w:r>
          </w:p>
        </w:tc>
      </w:tr>
      <w:tr>
        <w:trPr>
          <w:trHeight w:val="878" w:hRule="atLeast"/>
        </w:trPr>
        <w:tc>
          <w:tcPr>
            <w:tcW w:w="594" w:type="dxa"/>
            <w:vAlign w:val="top"/>
          </w:tcPr>
          <w:p>
            <w:pPr>
              <w:spacing w:line="348" w:lineRule="auto"/>
              <w:rPr>
                <w:rFonts w:ascii="Arial"/>
                <w:sz w:val="21"/>
              </w:rPr>
            </w:pPr>
            <w:r/>
          </w:p>
          <w:p>
            <w:pPr>
              <w:pStyle w:val="TableText"/>
              <w:ind w:left="164"/>
              <w:spacing w:before="52" w:line="183" w:lineRule="auto"/>
              <w:rPr>
                <w:sz w:val="16"/>
                <w:szCs w:val="16"/>
              </w:rPr>
            </w:pPr>
            <w:r>
              <w:rPr>
                <w:sz w:val="16"/>
                <w:szCs w:val="16"/>
                <w:spacing w:val="-2"/>
              </w:rPr>
              <w:t>289</w:t>
            </w:r>
          </w:p>
        </w:tc>
        <w:tc>
          <w:tcPr>
            <w:tcW w:w="1279" w:type="dxa"/>
            <w:vAlign w:val="top"/>
          </w:tcPr>
          <w:p>
            <w:pPr>
              <w:spacing w:line="307" w:lineRule="auto"/>
              <w:rPr>
                <w:rFonts w:ascii="Arial"/>
                <w:sz w:val="21"/>
              </w:rPr>
            </w:pPr>
            <w:r/>
          </w:p>
          <w:p>
            <w:pPr>
              <w:pStyle w:val="TableText"/>
              <w:ind w:left="231"/>
              <w:spacing w:before="52" w:line="219" w:lineRule="auto"/>
              <w:rPr>
                <w:sz w:val="16"/>
                <w:szCs w:val="16"/>
              </w:rPr>
            </w:pPr>
            <w:r>
              <w:rPr>
                <w:sz w:val="16"/>
                <w:szCs w:val="16"/>
                <w:spacing w:val="2"/>
              </w:rPr>
              <w:t>交通运输郎</w:t>
            </w:r>
          </w:p>
        </w:tc>
        <w:tc>
          <w:tcPr>
            <w:tcW w:w="1638" w:type="dxa"/>
            <w:vAlign w:val="top"/>
          </w:tcPr>
          <w:p>
            <w:pPr>
              <w:pStyle w:val="TableText"/>
              <w:ind w:left="52" w:right="109" w:firstLine="20"/>
              <w:spacing w:before="271" w:line="225" w:lineRule="auto"/>
              <w:rPr>
                <w:sz w:val="16"/>
                <w:szCs w:val="16"/>
              </w:rPr>
            </w:pPr>
            <w:r>
              <w:rPr>
                <w:sz w:val="16"/>
                <w:szCs w:val="16"/>
              </w:rPr>
              <w:t>山租汽车车辆造营证</w:t>
            </w:r>
            <w:r>
              <w:rPr>
                <w:sz w:val="16"/>
                <w:szCs w:val="16"/>
                <w:spacing w:val="5"/>
              </w:rPr>
              <w:t xml:space="preserve"> </w:t>
            </w:r>
            <w:r>
              <w:rPr>
                <w:sz w:val="16"/>
                <w:szCs w:val="16"/>
                <w:spacing w:val="-2"/>
              </w:rPr>
              <w:t>植发</w:t>
            </w:r>
          </w:p>
        </w:tc>
        <w:tc>
          <w:tcPr>
            <w:tcW w:w="2377" w:type="dxa"/>
            <w:vAlign w:val="top"/>
          </w:tcPr>
          <w:p>
            <w:pPr>
              <w:pStyle w:val="TableText"/>
              <w:ind w:left="83" w:right="70" w:hanging="19"/>
              <w:spacing w:before="250" w:line="237" w:lineRule="auto"/>
              <w:rPr>
                <w:sz w:val="16"/>
                <w:szCs w:val="16"/>
              </w:rPr>
            </w:pPr>
            <w:r>
              <w:rPr>
                <w:sz w:val="16"/>
                <w:szCs w:val="16"/>
                <w:spacing w:val="-1"/>
              </w:rPr>
              <w:t>直辖市、说区的市级，再前交青</w:t>
            </w:r>
            <w:r>
              <w:rPr>
                <w:sz w:val="16"/>
                <w:szCs w:val="16"/>
                <w:spacing w:val="5"/>
              </w:rPr>
              <w:t xml:space="preserve"> </w:t>
            </w:r>
            <w:r>
              <w:rPr>
                <w:sz w:val="16"/>
                <w:szCs w:val="16"/>
                <w:spacing w:val="1"/>
              </w:rPr>
              <w:t>监翰部门或者政应检定部门</w:t>
            </w:r>
          </w:p>
        </w:tc>
        <w:tc>
          <w:tcPr>
            <w:tcW w:w="3711" w:type="dxa"/>
            <w:vAlign w:val="top"/>
          </w:tcPr>
          <w:p>
            <w:pPr>
              <w:pStyle w:val="TableText"/>
              <w:ind w:left="88" w:right="133" w:hanging="89"/>
              <w:spacing w:before="71" w:line="219" w:lineRule="auto"/>
              <w:rPr>
                <w:sz w:val="16"/>
                <w:szCs w:val="16"/>
              </w:rPr>
            </w:pPr>
            <w:r>
              <w:rPr>
                <w:sz w:val="16"/>
                <w:szCs w:val="16"/>
                <w:spacing w:val="2"/>
              </w:rPr>
              <w:t>【国务院对确寄体整的行政市批而日设定行政许可 </w:t>
            </w:r>
            <w:r>
              <w:rPr>
                <w:sz w:val="16"/>
                <w:szCs w:val="16"/>
                <w:spacing w:val="6"/>
              </w:rPr>
              <w:t>的决定!</w:t>
            </w:r>
          </w:p>
          <w:p>
            <w:pPr>
              <w:pStyle w:val="TableText"/>
              <w:spacing w:before="10" w:line="219" w:lineRule="auto"/>
              <w:rPr>
                <w:sz w:val="16"/>
                <w:szCs w:val="16"/>
              </w:rPr>
            </w:pPr>
            <w:r>
              <w:rPr>
                <w:sz w:val="16"/>
                <w:szCs w:val="16"/>
                <w:spacing w:val="-2"/>
              </w:rPr>
              <w:t>《退游山祖汽车经黄屋务情理短定!</w:t>
            </w:r>
          </w:p>
          <w:p>
            <w:pPr>
              <w:pStyle w:val="TableText"/>
              <w:ind w:left="56"/>
              <w:spacing w:before="20" w:line="219" w:lineRule="auto"/>
              <w:rPr>
                <w:sz w:val="16"/>
                <w:szCs w:val="16"/>
              </w:rPr>
            </w:pPr>
            <w:r>
              <w:rPr>
                <w:sz w:val="16"/>
                <w:szCs w:val="16"/>
                <w:spacing w:val="-1"/>
              </w:rPr>
              <w:t>网物预药米相汽车经营取务登理暂行办弘》</w:t>
            </w:r>
          </w:p>
        </w:tc>
      </w:tr>
      <w:tr>
        <w:trPr>
          <w:trHeight w:val="669" w:hRule="atLeast"/>
        </w:trPr>
        <w:tc>
          <w:tcPr>
            <w:tcW w:w="594" w:type="dxa"/>
            <w:vAlign w:val="top"/>
          </w:tcPr>
          <w:p>
            <w:pPr>
              <w:spacing w:line="251" w:lineRule="auto"/>
              <w:rPr>
                <w:rFonts w:ascii="Arial"/>
                <w:sz w:val="21"/>
              </w:rPr>
            </w:pPr>
            <w:r/>
          </w:p>
          <w:p>
            <w:pPr>
              <w:pStyle w:val="TableText"/>
              <w:ind w:left="164"/>
              <w:spacing w:before="52" w:line="183" w:lineRule="auto"/>
              <w:rPr>
                <w:sz w:val="16"/>
                <w:szCs w:val="16"/>
              </w:rPr>
            </w:pPr>
            <w:r>
              <w:rPr>
                <w:sz w:val="16"/>
                <w:szCs w:val="16"/>
                <w:spacing w:val="-2"/>
              </w:rPr>
              <w:t>290</w:t>
            </w:r>
          </w:p>
        </w:tc>
        <w:tc>
          <w:tcPr>
            <w:tcW w:w="1279" w:type="dxa"/>
            <w:vAlign w:val="top"/>
          </w:tcPr>
          <w:p>
            <w:pPr>
              <w:pStyle w:val="TableText"/>
              <w:ind w:left="231"/>
              <w:spacing w:before="263" w:line="219" w:lineRule="auto"/>
              <w:rPr>
                <w:sz w:val="16"/>
                <w:szCs w:val="16"/>
              </w:rPr>
            </w:pPr>
            <w:r>
              <w:rPr>
                <w:sz w:val="16"/>
                <w:szCs w:val="16"/>
                <w:spacing w:val="-2"/>
              </w:rPr>
              <w:t>交通运输部</w:t>
            </w:r>
          </w:p>
        </w:tc>
        <w:tc>
          <w:tcPr>
            <w:tcW w:w="1638" w:type="dxa"/>
            <w:vAlign w:val="top"/>
          </w:tcPr>
          <w:p>
            <w:pPr>
              <w:pStyle w:val="TableText"/>
              <w:ind w:left="52"/>
              <w:spacing w:before="263" w:line="219" w:lineRule="auto"/>
              <w:rPr>
                <w:sz w:val="16"/>
                <w:szCs w:val="16"/>
              </w:rPr>
            </w:pPr>
            <w:r>
              <w:rPr>
                <w:sz w:val="16"/>
                <w:szCs w:val="16"/>
                <w:spacing w:val="-1"/>
              </w:rPr>
              <w:t>擦口岸线使用审看</w:t>
            </w:r>
          </w:p>
        </w:tc>
        <w:tc>
          <w:tcPr>
            <w:tcW w:w="2377" w:type="dxa"/>
            <w:vAlign w:val="top"/>
          </w:tcPr>
          <w:p>
            <w:pPr>
              <w:pStyle w:val="TableText"/>
              <w:ind w:left="143"/>
              <w:spacing w:before="52" w:line="219" w:lineRule="auto"/>
              <w:rPr>
                <w:sz w:val="16"/>
                <w:szCs w:val="16"/>
              </w:rPr>
            </w:pPr>
            <w:r>
              <w:rPr>
                <w:sz w:val="16"/>
                <w:szCs w:val="16"/>
                <w:spacing w:val="-1"/>
              </w:rPr>
              <w:t>交通运输部会同国家发展改革</w:t>
            </w:r>
          </w:p>
          <w:p>
            <w:pPr>
              <w:pStyle w:val="TableText"/>
              <w:ind w:left="73" w:hanging="59"/>
              <w:spacing w:before="31" w:line="222" w:lineRule="auto"/>
              <w:rPr>
                <w:sz w:val="16"/>
                <w:szCs w:val="16"/>
              </w:rPr>
            </w:pPr>
            <w:r>
              <w:rPr>
                <w:sz w:val="16"/>
                <w:szCs w:val="16"/>
                <w:spacing w:val="-4"/>
              </w:rPr>
              <w:t>委；名级，设区的市级，是级能口</w:t>
            </w:r>
            <w:r>
              <w:rPr>
                <w:sz w:val="16"/>
                <w:szCs w:val="16"/>
                <w:spacing w:val="11"/>
              </w:rPr>
              <w:t xml:space="preserve"> </w:t>
            </w:r>
            <w:r>
              <w:rPr>
                <w:sz w:val="16"/>
                <w:szCs w:val="16"/>
                <w:spacing w:val="1"/>
              </w:rPr>
              <w:t>行成督理部/门</w:t>
            </w:r>
          </w:p>
        </w:tc>
        <w:tc>
          <w:tcPr>
            <w:tcW w:w="3711" w:type="dxa"/>
            <w:vAlign w:val="top"/>
          </w:tcPr>
          <w:p>
            <w:pPr>
              <w:pStyle w:val="TableText"/>
              <w:ind w:left="56"/>
              <w:spacing w:before="183" w:line="219" w:lineRule="auto"/>
              <w:rPr>
                <w:sz w:val="16"/>
                <w:szCs w:val="16"/>
              </w:rPr>
            </w:pPr>
            <w:r>
              <w:rPr>
                <w:sz w:val="16"/>
                <w:szCs w:val="16"/>
                <w:spacing w:val="-1"/>
              </w:rPr>
              <w:t>t中年人民共和国能口法</w:t>
            </w:r>
          </w:p>
          <w:p>
            <w:pPr>
              <w:pStyle w:val="TableText"/>
              <w:ind w:left="56"/>
              <w:spacing w:line="219" w:lineRule="auto"/>
              <w:rPr>
                <w:sz w:val="16"/>
                <w:szCs w:val="16"/>
              </w:rPr>
            </w:pPr>
            <w:r>
              <w:rPr>
                <w:sz w:val="16"/>
                <w:szCs w:val="16"/>
                <w:spacing w:val="2"/>
              </w:rPr>
              <w:t>4是 岸税使用律批管理办法)</w:t>
            </w:r>
          </w:p>
        </w:tc>
      </w:tr>
      <w:tr>
        <w:trPr>
          <w:trHeight w:val="1478" w:hRule="atLeast"/>
        </w:trPr>
        <w:tc>
          <w:tcPr>
            <w:tcW w:w="594" w:type="dxa"/>
            <w:vAlign w:val="top"/>
          </w:tcPr>
          <w:p>
            <w:pPr>
              <w:rPr>
                <w:rFonts w:ascii="Arial"/>
                <w:sz w:val="21"/>
              </w:rPr>
            </w:pPr>
            <w:r/>
          </w:p>
        </w:tc>
        <w:tc>
          <w:tcPr>
            <w:tcW w:w="1279" w:type="dxa"/>
            <w:vAlign w:val="top"/>
          </w:tcPr>
          <w:p>
            <w:pPr>
              <w:spacing w:line="303" w:lineRule="auto"/>
              <w:rPr>
                <w:rFonts w:ascii="Arial"/>
                <w:sz w:val="21"/>
              </w:rPr>
            </w:pPr>
            <w:r/>
          </w:p>
          <w:p>
            <w:pPr>
              <w:spacing w:line="304" w:lineRule="auto"/>
              <w:rPr>
                <w:rFonts w:ascii="Arial"/>
                <w:sz w:val="21"/>
              </w:rPr>
            </w:pPr>
            <w:r/>
          </w:p>
          <w:p>
            <w:pPr>
              <w:pStyle w:val="TableText"/>
              <w:ind w:left="231"/>
              <w:spacing w:before="52" w:line="219" w:lineRule="auto"/>
              <w:rPr>
                <w:sz w:val="16"/>
                <w:szCs w:val="16"/>
              </w:rPr>
            </w:pPr>
            <w:r>
              <w:rPr>
                <w:sz w:val="16"/>
                <w:szCs w:val="16"/>
                <w:spacing w:val="-2"/>
              </w:rPr>
              <w:t>交进运轴部</w:t>
            </w:r>
          </w:p>
        </w:tc>
        <w:tc>
          <w:tcPr>
            <w:tcW w:w="1638" w:type="dxa"/>
            <w:vAlign w:val="top"/>
          </w:tcPr>
          <w:p>
            <w:pPr>
              <w:spacing w:line="249" w:lineRule="auto"/>
              <w:rPr>
                <w:rFonts w:ascii="Arial"/>
                <w:sz w:val="21"/>
              </w:rPr>
            </w:pPr>
            <w:r/>
          </w:p>
          <w:p>
            <w:pPr>
              <w:spacing w:line="250" w:lineRule="auto"/>
              <w:rPr>
                <w:rFonts w:ascii="Arial"/>
                <w:sz w:val="21"/>
              </w:rPr>
            </w:pPr>
            <w:r/>
          </w:p>
          <w:p>
            <w:pPr>
              <w:pStyle w:val="TableText"/>
              <w:ind w:left="52" w:right="114" w:firstLine="30"/>
              <w:spacing w:before="52" w:line="242" w:lineRule="auto"/>
              <w:rPr>
                <w:sz w:val="16"/>
                <w:szCs w:val="16"/>
              </w:rPr>
            </w:pPr>
            <w:r>
              <w:rPr>
                <w:sz w:val="16"/>
                <w:szCs w:val="16"/>
                <w:spacing w:val="-1"/>
              </w:rPr>
              <w:t>水适建设项目设计文</w:t>
            </w:r>
            <w:r>
              <w:rPr>
                <w:sz w:val="16"/>
                <w:szCs w:val="16"/>
              </w:rPr>
              <w:t xml:space="preserve"> </w:t>
            </w:r>
            <w:r>
              <w:rPr>
                <w:sz w:val="16"/>
                <w:szCs w:val="16"/>
                <w:spacing w:val="-2"/>
              </w:rPr>
              <w:t>件审批</w:t>
            </w:r>
          </w:p>
        </w:tc>
        <w:tc>
          <w:tcPr>
            <w:tcW w:w="2377" w:type="dxa"/>
            <w:vAlign w:val="top"/>
          </w:tcPr>
          <w:p>
            <w:pPr>
              <w:spacing w:line="264" w:lineRule="auto"/>
              <w:rPr>
                <w:rFonts w:ascii="Arial"/>
                <w:sz w:val="21"/>
              </w:rPr>
            </w:pPr>
            <w:r/>
          </w:p>
          <w:p>
            <w:pPr>
              <w:spacing w:line="264" w:lineRule="auto"/>
              <w:rPr>
                <w:rFonts w:ascii="Arial"/>
                <w:sz w:val="21"/>
              </w:rPr>
            </w:pPr>
            <w:r/>
          </w:p>
          <w:p>
            <w:pPr>
              <w:pStyle w:val="TableText"/>
              <w:ind w:left="93" w:right="72" w:hanging="29"/>
              <w:spacing w:before="52" w:line="214" w:lineRule="auto"/>
              <w:rPr>
                <w:sz w:val="16"/>
                <w:szCs w:val="16"/>
              </w:rPr>
            </w:pPr>
            <w:r>
              <w:rPr>
                <w:sz w:val="16"/>
                <w:szCs w:val="16"/>
                <w:spacing w:val="-1"/>
              </w:rPr>
              <w:t>交通试楚都；省师、说区的市级</w:t>
            </w:r>
            <w:r>
              <w:rPr>
                <w:sz w:val="16"/>
                <w:szCs w:val="16"/>
                <w:spacing w:val="3"/>
              </w:rPr>
              <w:t xml:space="preserve"> </w:t>
            </w:r>
            <w:r>
              <w:rPr>
                <w:sz w:val="16"/>
                <w:szCs w:val="16"/>
                <w:spacing w:val="2"/>
              </w:rPr>
              <w:t>具级交通运输部门</w:t>
            </w:r>
          </w:p>
        </w:tc>
        <w:tc>
          <w:tcPr>
            <w:tcW w:w="3711" w:type="dxa"/>
            <w:vAlign w:val="top"/>
          </w:tcPr>
          <w:p>
            <w:pPr>
              <w:pStyle w:val="TableText"/>
              <w:ind w:left="56"/>
              <w:spacing w:before="64" w:line="242" w:lineRule="auto"/>
              <w:rPr>
                <w:sz w:val="16"/>
                <w:szCs w:val="16"/>
              </w:rPr>
            </w:pPr>
            <w:r>
              <w:rPr>
                <w:sz w:val="16"/>
                <w:szCs w:val="16"/>
                <w:spacing w:val="-1"/>
              </w:rPr>
              <w:t>1中非人民共和国走口法》</w:t>
            </w:r>
          </w:p>
          <w:p>
            <w:pPr>
              <w:pStyle w:val="TableText"/>
              <w:ind w:left="56"/>
              <w:spacing w:line="218" w:lineRule="auto"/>
              <w:rPr>
                <w:sz w:val="16"/>
                <w:szCs w:val="16"/>
              </w:rPr>
            </w:pPr>
            <w:r>
              <w:rPr>
                <w:sz w:val="16"/>
                <w:szCs w:val="16"/>
                <w:spacing w:val="-1"/>
              </w:rPr>
              <w:t>(中华人民共和国蔽道法》</w:t>
            </w:r>
          </w:p>
          <w:p>
            <w:pPr>
              <w:pStyle w:val="TableText"/>
              <w:ind w:left="56"/>
              <w:spacing w:line="242" w:lineRule="auto"/>
              <w:rPr>
                <w:sz w:val="16"/>
                <w:szCs w:val="16"/>
              </w:rPr>
            </w:pPr>
            <w:r>
              <w:rPr>
                <w:sz w:val="16"/>
                <w:szCs w:val="16"/>
                <w:spacing w:val="2"/>
              </w:rPr>
              <w:t>1中华人民其和国就道情理叠偶)</w:t>
            </w:r>
          </w:p>
          <w:p>
            <w:pPr>
              <w:pStyle w:val="TableText"/>
              <w:ind w:left="56"/>
              <w:spacing w:line="218" w:lineRule="auto"/>
              <w:rPr>
                <w:sz w:val="16"/>
                <w:szCs w:val="16"/>
              </w:rPr>
            </w:pPr>
            <w:r>
              <w:rPr>
                <w:sz w:val="16"/>
                <w:szCs w:val="16"/>
                <w:spacing w:val="-1"/>
              </w:rPr>
              <w:t>(建设工背重就情项书例》</w:t>
            </w:r>
          </w:p>
          <w:p>
            <w:pPr>
              <w:pStyle w:val="TableText"/>
              <w:ind w:left="79"/>
              <w:spacing w:before="10" w:line="208" w:lineRule="auto"/>
              <w:rPr>
                <w:sz w:val="16"/>
                <w:szCs w:val="16"/>
              </w:rPr>
            </w:pPr>
            <w:r>
              <w:rPr>
                <w:sz w:val="16"/>
                <w:szCs w:val="16"/>
                <w:spacing w:val="-2"/>
              </w:rPr>
              <w:t>1建设工程期察设计骨建获倒》</w:t>
            </w:r>
          </w:p>
          <w:p>
            <w:pPr>
              <w:pStyle w:val="TableText"/>
              <w:spacing w:before="1" w:line="219" w:lineRule="auto"/>
              <w:rPr>
                <w:sz w:val="16"/>
                <w:szCs w:val="16"/>
              </w:rPr>
            </w:pPr>
            <w:r>
              <w:rPr>
                <w:sz w:val="16"/>
                <w:szCs w:val="16"/>
                <w:spacing w:val="-3"/>
              </w:rPr>
              <w:t>《愈口工程管设管理规定</w:t>
            </w:r>
          </w:p>
          <w:p>
            <w:pPr>
              <w:pStyle w:val="TableText"/>
              <w:spacing w:before="39" w:line="212" w:lineRule="auto"/>
              <w:rPr>
                <w:sz w:val="16"/>
                <w:szCs w:val="16"/>
              </w:rPr>
            </w:pPr>
            <w:r>
              <w:rPr>
                <w:sz w:val="16"/>
                <w:szCs w:val="16"/>
                <w:spacing w:val="-3"/>
              </w:rPr>
              <w:t>《旅温工程建设管理地定》</w:t>
            </w:r>
          </w:p>
        </w:tc>
      </w:tr>
      <w:tr>
        <w:trPr>
          <w:trHeight w:val="764" w:hRule="atLeast"/>
        </w:trPr>
        <w:tc>
          <w:tcPr>
            <w:tcW w:w="594" w:type="dxa"/>
            <w:vAlign w:val="top"/>
          </w:tcPr>
          <w:p>
            <w:pPr>
              <w:spacing w:line="294" w:lineRule="auto"/>
              <w:rPr>
                <w:rFonts w:ascii="Arial"/>
                <w:sz w:val="21"/>
              </w:rPr>
            </w:pPr>
            <w:r/>
          </w:p>
          <w:p>
            <w:pPr>
              <w:pStyle w:val="TableText"/>
              <w:ind w:left="164"/>
              <w:spacing w:before="52" w:line="183" w:lineRule="auto"/>
              <w:rPr>
                <w:sz w:val="16"/>
                <w:szCs w:val="16"/>
              </w:rPr>
            </w:pPr>
            <w:r>
              <w:rPr>
                <w:sz w:val="16"/>
                <w:szCs w:val="16"/>
                <w:spacing w:val="-2"/>
              </w:rPr>
              <w:t>203</w:t>
            </w:r>
          </w:p>
        </w:tc>
        <w:tc>
          <w:tcPr>
            <w:tcW w:w="1279" w:type="dxa"/>
            <w:vAlign w:val="top"/>
          </w:tcPr>
          <w:p>
            <w:pPr>
              <w:spacing w:line="253" w:lineRule="auto"/>
              <w:rPr>
                <w:rFonts w:ascii="Arial"/>
                <w:sz w:val="21"/>
              </w:rPr>
            </w:pPr>
            <w:r/>
          </w:p>
          <w:p>
            <w:pPr>
              <w:pStyle w:val="TableText"/>
              <w:ind w:left="231"/>
              <w:spacing w:before="52" w:line="219" w:lineRule="auto"/>
              <w:rPr>
                <w:sz w:val="16"/>
                <w:szCs w:val="16"/>
              </w:rPr>
            </w:pPr>
            <w:r>
              <w:rPr>
                <w:sz w:val="16"/>
                <w:szCs w:val="16"/>
                <w:spacing w:val="-2"/>
              </w:rPr>
              <w:t>文话运输部</w:t>
            </w:r>
          </w:p>
        </w:tc>
        <w:tc>
          <w:tcPr>
            <w:tcW w:w="1638" w:type="dxa"/>
            <w:vAlign w:val="top"/>
          </w:tcPr>
          <w:p>
            <w:pPr>
              <w:pStyle w:val="TableText"/>
              <w:ind w:left="52" w:right="142"/>
              <w:spacing w:before="217" w:line="216" w:lineRule="auto"/>
              <w:rPr>
                <w:sz w:val="16"/>
                <w:szCs w:val="16"/>
              </w:rPr>
            </w:pPr>
            <w:r>
              <w:rPr>
                <w:sz w:val="16"/>
                <w:szCs w:val="16"/>
                <w:spacing w:val="-1"/>
              </w:rPr>
              <w:t>通航建筑物运行方案</w:t>
            </w:r>
            <w:r>
              <w:rPr>
                <w:sz w:val="16"/>
                <w:szCs w:val="16"/>
                <w:spacing w:val="1"/>
              </w:rPr>
              <w:t xml:space="preserve"> </w:t>
            </w:r>
            <w:r>
              <w:rPr>
                <w:sz w:val="16"/>
                <w:szCs w:val="16"/>
                <w:spacing w:val="-2"/>
              </w:rPr>
              <w:t>密摇</w:t>
            </w:r>
          </w:p>
        </w:tc>
        <w:tc>
          <w:tcPr>
            <w:tcW w:w="2377" w:type="dxa"/>
            <w:vAlign w:val="top"/>
          </w:tcPr>
          <w:p>
            <w:pPr>
              <w:pStyle w:val="TableText"/>
              <w:ind w:left="54" w:right="50" w:firstLine="10"/>
              <w:spacing w:before="105" w:line="231" w:lineRule="auto"/>
              <w:jc w:val="both"/>
              <w:rPr>
                <w:sz w:val="16"/>
                <w:szCs w:val="16"/>
              </w:rPr>
            </w:pPr>
            <w:r>
              <w:rPr>
                <w:sz w:val="16"/>
                <w:szCs w:val="16"/>
                <w:spacing w:val="-1"/>
              </w:rPr>
              <w:t>交烟运敏而长在能务管型局，有</w:t>
            </w:r>
            <w:r>
              <w:rPr>
                <w:sz w:val="16"/>
                <w:szCs w:val="16"/>
                <w:spacing w:val="3"/>
              </w:rPr>
              <w:t xml:space="preserve"> </w:t>
            </w:r>
            <w:r>
              <w:rPr>
                <w:sz w:val="16"/>
                <w:szCs w:val="16"/>
                <w:spacing w:val="1"/>
              </w:rPr>
              <w:t>吸，设区的市视，县极交进证的</w:t>
            </w:r>
            <w:r>
              <w:rPr>
                <w:sz w:val="16"/>
                <w:szCs w:val="16"/>
                <w:spacing w:val="7"/>
              </w:rPr>
              <w:t xml:space="preserve"> </w:t>
            </w:r>
            <w:r>
              <w:rPr>
                <w:sz w:val="16"/>
                <w:szCs w:val="16"/>
                <w:spacing w:val="8"/>
              </w:rPr>
              <w:t>部门</w:t>
            </w:r>
          </w:p>
        </w:tc>
        <w:tc>
          <w:tcPr>
            <w:tcW w:w="3711" w:type="dxa"/>
            <w:vAlign w:val="top"/>
          </w:tcPr>
          <w:p>
            <w:pPr>
              <w:pStyle w:val="TableText"/>
              <w:ind w:left="56"/>
              <w:spacing w:before="226" w:line="219" w:lineRule="auto"/>
              <w:rPr>
                <w:sz w:val="16"/>
                <w:szCs w:val="16"/>
              </w:rPr>
            </w:pPr>
            <w:r>
              <w:rPr>
                <w:sz w:val="16"/>
                <w:szCs w:val="16"/>
                <w:spacing w:val="1"/>
              </w:rPr>
              <w:t>中华人民共和国就道法1</w:t>
            </w:r>
          </w:p>
          <w:p>
            <w:pPr>
              <w:pStyle w:val="TableText"/>
              <w:spacing w:line="219" w:lineRule="auto"/>
              <w:rPr>
                <w:sz w:val="16"/>
                <w:szCs w:val="16"/>
              </w:rPr>
            </w:pPr>
            <w:r>
              <w:rPr>
                <w:sz w:val="16"/>
                <w:szCs w:val="16"/>
                <w:spacing w:val="-3"/>
              </w:rPr>
              <w:t>《流解时筑为运行管理办甚》</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53824"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226" name="TextBox 226"/>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8" style="position:absolute;margin-left:36.1352pt;margin-top:49.3939pt;mso-position-vertical-relative:page;mso-position-horizontal-relative:page;width:13.8pt;height:13pt;z-index:251853824;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194</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5" w:hRule="atLeast"/>
        </w:trPr>
        <w:tc>
          <w:tcPr>
            <w:tcW w:w="584" w:type="dxa"/>
            <w:vAlign w:val="top"/>
          </w:tcPr>
          <w:p>
            <w:pPr>
              <w:pStyle w:val="TableText"/>
              <w:ind w:left="124"/>
              <w:spacing w:before="132" w:line="221" w:lineRule="auto"/>
              <w:rPr>
                <w:sz w:val="16"/>
                <w:szCs w:val="16"/>
              </w:rPr>
            </w:pPr>
            <w:r>
              <w:rPr>
                <w:sz w:val="16"/>
                <w:szCs w:val="16"/>
                <w:spacing w:val="-2"/>
              </w:rPr>
              <w:t>麻号</w:t>
            </w:r>
          </w:p>
        </w:tc>
        <w:tc>
          <w:tcPr>
            <w:tcW w:w="1289" w:type="dxa"/>
            <w:vAlign w:val="top"/>
          </w:tcPr>
          <w:p>
            <w:pPr>
              <w:pStyle w:val="TableText"/>
              <w:ind w:left="150"/>
              <w:spacing w:before="131" w:line="219" w:lineRule="auto"/>
              <w:rPr>
                <w:sz w:val="16"/>
                <w:szCs w:val="16"/>
              </w:rPr>
            </w:pPr>
            <w:r>
              <w:rPr>
                <w:sz w:val="16"/>
                <w:szCs w:val="16"/>
                <w:spacing w:val="3"/>
              </w:rPr>
              <w:t>中央主骨部门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34"/>
              <w:spacing w:before="130" w:line="219" w:lineRule="auto"/>
              <w:rPr>
                <w:sz w:val="16"/>
                <w:szCs w:val="16"/>
              </w:rPr>
            </w:pPr>
            <w:r>
              <w:rPr>
                <w:sz w:val="16"/>
                <w:szCs w:val="16"/>
                <w:spacing w:val="-2"/>
              </w:rPr>
              <w:t>实跑机关</w:t>
            </w:r>
          </w:p>
        </w:tc>
        <w:tc>
          <w:tcPr>
            <w:tcW w:w="3711" w:type="dxa"/>
            <w:vAlign w:val="top"/>
          </w:tcPr>
          <w:p>
            <w:pPr>
              <w:pStyle w:val="TableText"/>
              <w:ind w:left="1266"/>
              <w:spacing w:before="131" w:line="219" w:lineRule="auto"/>
              <w:rPr>
                <w:sz w:val="16"/>
                <w:szCs w:val="16"/>
              </w:rPr>
            </w:pPr>
            <w:r>
              <w:rPr>
                <w:sz w:val="16"/>
                <w:szCs w:val="16"/>
                <w:spacing w:val="-2"/>
              </w:rPr>
              <w:t>设定和实施作据</w:t>
            </w:r>
          </w:p>
        </w:tc>
      </w:tr>
      <w:tr>
        <w:trPr>
          <w:trHeight w:val="699" w:hRule="atLeast"/>
        </w:trPr>
        <w:tc>
          <w:tcPr>
            <w:tcW w:w="584" w:type="dxa"/>
            <w:vAlign w:val="top"/>
          </w:tcPr>
          <w:p>
            <w:pPr>
              <w:spacing w:line="254" w:lineRule="auto"/>
              <w:rPr>
                <w:rFonts w:ascii="Arial"/>
                <w:sz w:val="21"/>
              </w:rPr>
            </w:pPr>
            <w:r/>
          </w:p>
          <w:p>
            <w:pPr>
              <w:pStyle w:val="TableText"/>
              <w:ind w:left="164"/>
              <w:spacing w:before="52" w:line="183" w:lineRule="auto"/>
              <w:rPr>
                <w:sz w:val="16"/>
                <w:szCs w:val="16"/>
              </w:rPr>
            </w:pPr>
            <w:r>
              <w:rPr>
                <w:sz w:val="16"/>
                <w:szCs w:val="16"/>
                <w:spacing w:val="-2"/>
              </w:rPr>
              <w:t>292</w:t>
            </w:r>
          </w:p>
        </w:tc>
        <w:tc>
          <w:tcPr>
            <w:tcW w:w="1289" w:type="dxa"/>
            <w:vAlign w:val="top"/>
          </w:tcPr>
          <w:p>
            <w:pPr>
              <w:pStyle w:val="TableText"/>
              <w:ind w:left="231"/>
              <w:spacing w:before="266" w:line="219" w:lineRule="auto"/>
              <w:rPr>
                <w:sz w:val="16"/>
                <w:szCs w:val="16"/>
              </w:rPr>
            </w:pPr>
            <w:r>
              <w:rPr>
                <w:sz w:val="16"/>
                <w:szCs w:val="16"/>
                <w:spacing w:val="2"/>
              </w:rPr>
              <w:t>交通适检言</w:t>
            </w:r>
          </w:p>
        </w:tc>
        <w:tc>
          <w:tcPr>
            <w:tcW w:w="1648" w:type="dxa"/>
            <w:vAlign w:val="top"/>
          </w:tcPr>
          <w:p>
            <w:pPr>
              <w:pStyle w:val="TableText"/>
              <w:ind w:left="32" w:right="111" w:firstLine="60"/>
              <w:spacing w:before="185" w:line="224" w:lineRule="auto"/>
              <w:rPr>
                <w:sz w:val="16"/>
                <w:szCs w:val="16"/>
              </w:rPr>
            </w:pPr>
            <w:r>
              <w:rPr>
                <w:sz w:val="16"/>
                <w:szCs w:val="16"/>
                <w:spacing w:val="-1"/>
              </w:rPr>
              <w:t>机遭通吼条件整确评</w:t>
            </w:r>
            <w:r>
              <w:rPr>
                <w:sz w:val="16"/>
                <w:szCs w:val="16"/>
                <w:spacing w:val="2"/>
              </w:rPr>
              <w:t xml:space="preserve"> </w:t>
            </w:r>
            <w:r>
              <w:rPr>
                <w:sz w:val="16"/>
                <w:szCs w:val="16"/>
                <w:spacing w:val="6"/>
              </w:rPr>
              <w:t>价家名</w:t>
            </w:r>
          </w:p>
        </w:tc>
        <w:tc>
          <w:tcPr>
            <w:tcW w:w="2367" w:type="dxa"/>
            <w:vAlign w:val="top"/>
          </w:tcPr>
          <w:p>
            <w:pPr>
              <w:pStyle w:val="TableText"/>
              <w:ind w:left="54" w:firstLine="19"/>
              <w:spacing w:before="76" w:line="227" w:lineRule="auto"/>
              <w:jc w:val="both"/>
              <w:rPr>
                <w:sz w:val="16"/>
                <w:szCs w:val="16"/>
              </w:rPr>
            </w:pPr>
            <w:r>
              <w:rPr>
                <w:sz w:val="16"/>
                <w:szCs w:val="16"/>
              </w:rPr>
              <w:t>交国流笔部，交雨试地加在江意</w:t>
            </w:r>
            <w:r>
              <w:rPr>
                <w:sz w:val="16"/>
                <w:szCs w:val="16"/>
                <w:spacing w:val="5"/>
              </w:rPr>
              <w:t xml:space="preserve"> </w:t>
            </w:r>
            <w:r>
              <w:rPr>
                <w:sz w:val="16"/>
                <w:szCs w:val="16"/>
                <w:spacing w:val="-7"/>
              </w:rPr>
              <w:t>务管理局：省级，设区的事版，县</w:t>
            </w:r>
            <w:r>
              <w:rPr>
                <w:sz w:val="16"/>
                <w:szCs w:val="16"/>
                <w:spacing w:val="6"/>
              </w:rPr>
              <w:t xml:space="preserve"> </w:t>
            </w:r>
            <w:r>
              <w:rPr>
                <w:sz w:val="16"/>
                <w:szCs w:val="16"/>
                <w:spacing w:val="2"/>
              </w:rPr>
              <w:t>烦交液污输部门</w:t>
            </w:r>
          </w:p>
        </w:tc>
        <w:tc>
          <w:tcPr>
            <w:tcW w:w="3711" w:type="dxa"/>
            <w:vAlign w:val="top"/>
          </w:tcPr>
          <w:p>
            <w:pPr>
              <w:pStyle w:val="TableText"/>
              <w:spacing w:before="156" w:line="219" w:lineRule="auto"/>
              <w:rPr>
                <w:sz w:val="16"/>
                <w:szCs w:val="16"/>
              </w:rPr>
            </w:pPr>
            <w:r>
              <w:rPr>
                <w:sz w:val="16"/>
                <w:szCs w:val="16"/>
                <w:spacing w:val="-4"/>
              </w:rPr>
              <w:t>《中非人民共和国能道式：</w:t>
            </w:r>
          </w:p>
          <w:p>
            <w:pPr>
              <w:pStyle w:val="TableText"/>
              <w:ind w:left="36"/>
              <w:spacing w:before="28" w:line="218" w:lineRule="auto"/>
              <w:rPr>
                <w:sz w:val="16"/>
                <w:szCs w:val="16"/>
              </w:rPr>
            </w:pPr>
            <w:r>
              <w:rPr>
                <w:sz w:val="16"/>
                <w:szCs w:val="16"/>
                <w:spacing w:val="2"/>
              </w:rPr>
              <w:t>航通道用条什色响评价审核管肃力法)</w:t>
            </w:r>
          </w:p>
        </w:tc>
      </w:tr>
      <w:tr>
        <w:trPr>
          <w:trHeight w:val="1108" w:hRule="atLeast"/>
        </w:trPr>
        <w:tc>
          <w:tcPr>
            <w:tcW w:w="584" w:type="dxa"/>
            <w:vAlign w:val="top"/>
          </w:tcPr>
          <w:p>
            <w:pPr>
              <w:spacing w:line="464" w:lineRule="auto"/>
              <w:rPr>
                <w:rFonts w:ascii="Arial"/>
                <w:sz w:val="21"/>
              </w:rPr>
            </w:pPr>
            <w:r/>
          </w:p>
          <w:p>
            <w:pPr>
              <w:pStyle w:val="TableText"/>
              <w:ind w:left="164"/>
              <w:spacing w:before="52" w:line="183" w:lineRule="auto"/>
              <w:rPr>
                <w:sz w:val="16"/>
                <w:szCs w:val="16"/>
              </w:rPr>
            </w:pPr>
            <w:r>
              <w:rPr>
                <w:sz w:val="16"/>
                <w:szCs w:val="16"/>
                <w:spacing w:val="-2"/>
              </w:rPr>
              <w:t>294</w:t>
            </w:r>
          </w:p>
        </w:tc>
        <w:tc>
          <w:tcPr>
            <w:tcW w:w="1289" w:type="dxa"/>
            <w:vAlign w:val="top"/>
          </w:tcPr>
          <w:p>
            <w:pPr>
              <w:spacing w:line="423" w:lineRule="auto"/>
              <w:rPr>
                <w:rFonts w:ascii="Arial"/>
                <w:sz w:val="21"/>
              </w:rPr>
            </w:pPr>
            <w:r/>
          </w:p>
          <w:p>
            <w:pPr>
              <w:pStyle w:val="TableText"/>
              <w:ind w:left="231"/>
              <w:spacing w:before="52" w:line="219" w:lineRule="auto"/>
              <w:rPr>
                <w:sz w:val="16"/>
                <w:szCs w:val="16"/>
              </w:rPr>
            </w:pPr>
            <w:r>
              <w:rPr>
                <w:sz w:val="16"/>
                <w:szCs w:val="16"/>
                <w:spacing w:val="-2"/>
              </w:rPr>
              <w:t>交逸运输部</w:t>
            </w:r>
          </w:p>
        </w:tc>
        <w:tc>
          <w:tcPr>
            <w:tcW w:w="1648" w:type="dxa"/>
            <w:vAlign w:val="top"/>
          </w:tcPr>
          <w:p>
            <w:pPr>
              <w:spacing w:line="323" w:lineRule="auto"/>
              <w:rPr>
                <w:rFonts w:ascii="Arial"/>
                <w:sz w:val="21"/>
              </w:rPr>
            </w:pPr>
            <w:r/>
          </w:p>
          <w:p>
            <w:pPr>
              <w:pStyle w:val="TableText"/>
              <w:ind w:left="62" w:right="114" w:firstLine="30"/>
              <w:spacing w:before="52" w:line="225" w:lineRule="auto"/>
              <w:rPr>
                <w:sz w:val="16"/>
                <w:szCs w:val="16"/>
              </w:rPr>
            </w:pPr>
            <w:r>
              <w:rPr>
                <w:sz w:val="16"/>
                <w:szCs w:val="16"/>
                <w:spacing w:val="-1"/>
              </w:rPr>
              <w:t>水运工程建说理研峻</w:t>
            </w:r>
            <w:r>
              <w:rPr>
                <w:sz w:val="16"/>
                <w:szCs w:val="16"/>
              </w:rPr>
              <w:t xml:space="preserve"> </w:t>
            </w:r>
            <w:r>
              <w:rPr>
                <w:sz w:val="16"/>
                <w:szCs w:val="16"/>
                <w:spacing w:val="-2"/>
              </w:rPr>
              <w:t>工腔收</w:t>
            </w:r>
          </w:p>
        </w:tc>
        <w:tc>
          <w:tcPr>
            <w:tcW w:w="2367" w:type="dxa"/>
            <w:vAlign w:val="top"/>
          </w:tcPr>
          <w:p>
            <w:pPr>
              <w:spacing w:line="333" w:lineRule="auto"/>
              <w:rPr>
                <w:rFonts w:ascii="Arial"/>
                <w:sz w:val="21"/>
              </w:rPr>
            </w:pPr>
            <w:r/>
          </w:p>
          <w:p>
            <w:pPr>
              <w:pStyle w:val="TableText"/>
              <w:ind w:left="54" w:right="50" w:firstLine="19"/>
              <w:spacing w:before="52" w:line="219" w:lineRule="auto"/>
              <w:rPr>
                <w:sz w:val="16"/>
                <w:szCs w:val="16"/>
              </w:rPr>
            </w:pPr>
            <w:r>
              <w:rPr>
                <w:sz w:val="16"/>
                <w:szCs w:val="16"/>
                <w:spacing w:val="-1"/>
              </w:rPr>
              <w:t>者级：议区的面级，县级交清英</w:t>
            </w:r>
            <w:r>
              <w:rPr>
                <w:sz w:val="16"/>
                <w:szCs w:val="16"/>
                <w:spacing w:val="5"/>
              </w:rPr>
              <w:t xml:space="preserve"> </w:t>
            </w:r>
            <w:r>
              <w:rPr>
                <w:sz w:val="16"/>
                <w:szCs w:val="16"/>
                <w:spacing w:val="6"/>
              </w:rPr>
              <w:t>输易门</w:t>
            </w:r>
          </w:p>
        </w:tc>
        <w:tc>
          <w:tcPr>
            <w:tcW w:w="3711" w:type="dxa"/>
            <w:vAlign w:val="top"/>
          </w:tcPr>
          <w:p>
            <w:pPr>
              <w:pStyle w:val="TableText"/>
              <w:spacing w:before="67" w:line="219" w:lineRule="auto"/>
              <w:rPr>
                <w:sz w:val="16"/>
                <w:szCs w:val="16"/>
              </w:rPr>
            </w:pPr>
            <w:r>
              <w:rPr>
                <w:sz w:val="16"/>
                <w:szCs w:val="16"/>
                <w:spacing w:val="-5"/>
              </w:rPr>
              <w:t>《中华人民共和国能卫法</w:t>
            </w:r>
          </w:p>
          <w:p>
            <w:pPr>
              <w:pStyle w:val="TableText"/>
              <w:ind w:left="36"/>
              <w:spacing w:before="39" w:line="208" w:lineRule="auto"/>
              <w:rPr>
                <w:sz w:val="16"/>
                <w:szCs w:val="16"/>
              </w:rPr>
            </w:pPr>
            <w:r>
              <w:rPr>
                <w:sz w:val="16"/>
                <w:szCs w:val="16"/>
                <w:spacing w:val="-1"/>
              </w:rPr>
              <w:t>1中华人民共和国解道法》</w:t>
            </w:r>
          </w:p>
          <w:p>
            <w:pPr>
              <w:pStyle w:val="TableText"/>
              <w:ind w:left="36"/>
              <w:spacing w:line="230" w:lineRule="auto"/>
              <w:rPr>
                <w:sz w:val="16"/>
                <w:szCs w:val="16"/>
              </w:rPr>
            </w:pPr>
            <w:r>
              <w:rPr>
                <w:sz w:val="16"/>
                <w:szCs w:val="16"/>
              </w:rPr>
              <w:t>1中作人民共和调做道管理条例》</w:t>
            </w:r>
          </w:p>
          <w:p>
            <w:pPr>
              <w:pStyle w:val="TableText"/>
              <w:ind w:left="36"/>
              <w:spacing w:line="219" w:lineRule="auto"/>
              <w:rPr>
                <w:sz w:val="16"/>
                <w:szCs w:val="16"/>
              </w:rPr>
            </w:pPr>
            <w:r>
              <w:rPr>
                <w:sz w:val="16"/>
                <w:szCs w:val="16"/>
                <w:spacing w:val="-1"/>
              </w:rPr>
              <w:t>(限口工程建设管理规定》</w:t>
            </w:r>
          </w:p>
          <w:p>
            <w:pPr>
              <w:pStyle w:val="TableText"/>
              <w:ind w:left="36"/>
              <w:spacing w:before="9" w:line="219" w:lineRule="auto"/>
              <w:rPr>
                <w:sz w:val="16"/>
                <w:szCs w:val="16"/>
              </w:rPr>
            </w:pPr>
            <w:r>
              <w:rPr>
                <w:sz w:val="16"/>
                <w:szCs w:val="16"/>
                <w:spacing w:val="-1"/>
              </w:rPr>
              <w:t>1板动工程键议管理规定》</w:t>
            </w:r>
          </w:p>
        </w:tc>
      </w:tr>
      <w:tr>
        <w:trPr>
          <w:trHeight w:val="699" w:hRule="atLeast"/>
        </w:trPr>
        <w:tc>
          <w:tcPr>
            <w:tcW w:w="584" w:type="dxa"/>
            <w:vAlign w:val="top"/>
          </w:tcPr>
          <w:p>
            <w:pPr>
              <w:spacing w:line="273" w:lineRule="auto"/>
              <w:rPr>
                <w:rFonts w:ascii="Arial"/>
                <w:sz w:val="21"/>
              </w:rPr>
            </w:pPr>
            <w:r/>
          </w:p>
          <w:p>
            <w:pPr>
              <w:pStyle w:val="TableText"/>
              <w:ind w:left="164"/>
              <w:spacing w:before="52" w:line="121" w:lineRule="exact"/>
              <w:rPr>
                <w:sz w:val="16"/>
                <w:szCs w:val="16"/>
              </w:rPr>
            </w:pPr>
            <w:r>
              <w:rPr>
                <w:sz w:val="16"/>
                <w:szCs w:val="16"/>
                <w:spacing w:val="-4"/>
                <w:position w:val="1"/>
              </w:rPr>
              <w:t>eyg</w:t>
            </w:r>
          </w:p>
        </w:tc>
        <w:tc>
          <w:tcPr>
            <w:tcW w:w="1289" w:type="dxa"/>
            <w:vAlign w:val="top"/>
          </w:tcPr>
          <w:p>
            <w:pPr>
              <w:pStyle w:val="TableText"/>
              <w:ind w:left="231"/>
              <w:spacing w:before="269" w:line="219" w:lineRule="auto"/>
              <w:rPr>
                <w:sz w:val="16"/>
                <w:szCs w:val="16"/>
              </w:rPr>
            </w:pPr>
            <w:r>
              <w:rPr>
                <w:sz w:val="16"/>
                <w:szCs w:val="16"/>
                <w:spacing w:val="-2"/>
              </w:rPr>
              <w:t>交通运输部</w:t>
            </w:r>
          </w:p>
        </w:tc>
        <w:tc>
          <w:tcPr>
            <w:tcW w:w="1648" w:type="dxa"/>
            <w:vAlign w:val="top"/>
          </w:tcPr>
          <w:p>
            <w:pPr>
              <w:pStyle w:val="TableText"/>
              <w:ind w:left="42" w:right="84" w:firstLine="50"/>
              <w:spacing w:before="79" w:line="223" w:lineRule="auto"/>
              <w:jc w:val="both"/>
              <w:rPr>
                <w:sz w:val="16"/>
                <w:szCs w:val="16"/>
              </w:rPr>
            </w:pPr>
            <w:r>
              <w:rPr>
                <w:sz w:val="16"/>
                <w:szCs w:val="16"/>
                <w:spacing w:val="2"/>
              </w:rPr>
              <w:t>从事大陆与合满，内 </w:t>
            </w:r>
            <w:r>
              <w:rPr>
                <w:sz w:val="16"/>
                <w:szCs w:val="16"/>
                <w:spacing w:val="4"/>
              </w:rPr>
              <w:t>地与地澳间海上运貌</w:t>
            </w:r>
            <w:r>
              <w:rPr>
                <w:sz w:val="16"/>
                <w:szCs w:val="16"/>
                <w:spacing w:val="6"/>
              </w:rPr>
              <w:t xml:space="preserve"> </w:t>
            </w:r>
            <w:r>
              <w:rPr>
                <w:sz w:val="16"/>
                <w:szCs w:val="16"/>
                <w:spacing w:val="-2"/>
              </w:rPr>
              <w:t>业务许可</w:t>
            </w:r>
          </w:p>
        </w:tc>
        <w:tc>
          <w:tcPr>
            <w:tcW w:w="2367" w:type="dxa"/>
            <w:vAlign w:val="top"/>
          </w:tcPr>
          <w:p>
            <w:pPr>
              <w:pStyle w:val="TableText"/>
              <w:ind w:left="54"/>
              <w:spacing w:before="269" w:line="219" w:lineRule="auto"/>
              <w:rPr>
                <w:sz w:val="16"/>
                <w:szCs w:val="16"/>
              </w:rPr>
            </w:pPr>
            <w:r>
              <w:rPr>
                <w:sz w:val="16"/>
                <w:szCs w:val="16"/>
                <w:spacing w:val="1"/>
              </w:rPr>
              <w:t>交通运输邮；省级交通运输部门</w:t>
            </w:r>
          </w:p>
        </w:tc>
        <w:tc>
          <w:tcPr>
            <w:tcW w:w="3711" w:type="dxa"/>
            <w:vAlign w:val="top"/>
          </w:tcPr>
          <w:p>
            <w:pPr>
              <w:pStyle w:val="TableText"/>
              <w:ind w:left="36" w:right="297"/>
              <w:spacing w:before="179" w:line="219" w:lineRule="auto"/>
              <w:rPr>
                <w:sz w:val="16"/>
                <w:szCs w:val="16"/>
              </w:rPr>
            </w:pPr>
            <w:r>
              <w:rPr>
                <w:sz w:val="16"/>
                <w:szCs w:val="16"/>
              </w:rPr>
              <w:t>国务家对确需保留的行政审批项自设定行改许可</w:t>
            </w:r>
            <w:r>
              <w:rPr>
                <w:sz w:val="16"/>
                <w:szCs w:val="16"/>
                <w:spacing w:val="5"/>
              </w:rPr>
              <w:t xml:space="preserve"> </w:t>
            </w:r>
            <w:r>
              <w:rPr>
                <w:sz w:val="16"/>
                <w:szCs w:val="16"/>
                <w:spacing w:val="4"/>
              </w:rPr>
              <w:t>的决定1</w:t>
            </w:r>
          </w:p>
        </w:tc>
      </w:tr>
      <w:tr>
        <w:trPr>
          <w:trHeight w:val="499" w:hRule="atLeast"/>
        </w:trPr>
        <w:tc>
          <w:tcPr>
            <w:tcW w:w="584" w:type="dxa"/>
            <w:vAlign w:val="top"/>
          </w:tcPr>
          <w:p>
            <w:pPr>
              <w:pStyle w:val="TableText"/>
              <w:ind w:left="164"/>
              <w:spacing w:before="191" w:line="183" w:lineRule="auto"/>
              <w:rPr>
                <w:sz w:val="16"/>
                <w:szCs w:val="16"/>
              </w:rPr>
            </w:pPr>
            <w:r>
              <w:rPr>
                <w:sz w:val="16"/>
                <w:szCs w:val="16"/>
                <w:spacing w:val="-2"/>
              </w:rPr>
              <w:t>2y6</w:t>
            </w:r>
          </w:p>
        </w:tc>
        <w:tc>
          <w:tcPr>
            <w:tcW w:w="1289" w:type="dxa"/>
            <w:vAlign w:val="top"/>
          </w:tcPr>
          <w:p>
            <w:pPr>
              <w:pStyle w:val="TableText"/>
              <w:ind w:left="231"/>
              <w:spacing w:before="169" w:line="219" w:lineRule="auto"/>
              <w:rPr>
                <w:sz w:val="16"/>
                <w:szCs w:val="16"/>
              </w:rPr>
            </w:pPr>
            <w:r>
              <w:rPr>
                <w:sz w:val="16"/>
                <w:szCs w:val="16"/>
                <w:spacing w:val="-2"/>
              </w:rPr>
              <w:t>交通运轴部</w:t>
            </w:r>
          </w:p>
        </w:tc>
        <w:tc>
          <w:tcPr>
            <w:tcW w:w="1648" w:type="dxa"/>
            <w:vAlign w:val="top"/>
          </w:tcPr>
          <w:p>
            <w:pPr>
              <w:pStyle w:val="TableText"/>
              <w:ind w:left="42" w:right="99" w:firstLine="50"/>
              <w:spacing w:before="80" w:line="223" w:lineRule="auto"/>
              <w:rPr>
                <w:sz w:val="16"/>
                <w:szCs w:val="16"/>
              </w:rPr>
            </w:pPr>
            <w:r>
              <w:rPr>
                <w:sz w:val="16"/>
                <w:szCs w:val="16"/>
              </w:rPr>
              <w:t>国内水路运输经君造</w:t>
            </w:r>
            <w:r>
              <w:rPr>
                <w:sz w:val="16"/>
                <w:szCs w:val="16"/>
                <w:spacing w:val="5"/>
              </w:rPr>
              <w:t xml:space="preserve"> </w:t>
            </w:r>
            <w:r>
              <w:rPr>
                <w:sz w:val="16"/>
                <w:szCs w:val="16"/>
              </w:rPr>
              <w:t>可</w:t>
            </w:r>
          </w:p>
        </w:tc>
        <w:tc>
          <w:tcPr>
            <w:tcW w:w="2367" w:type="dxa"/>
            <w:vAlign w:val="top"/>
          </w:tcPr>
          <w:p>
            <w:pPr>
              <w:pStyle w:val="TableText"/>
              <w:ind w:left="54" w:right="42" w:firstLine="29"/>
              <w:spacing w:before="71" w:line="241" w:lineRule="auto"/>
              <w:rPr>
                <w:sz w:val="16"/>
                <w:szCs w:val="16"/>
              </w:rPr>
            </w:pPr>
            <w:r>
              <w:rPr>
                <w:sz w:val="16"/>
                <w:szCs w:val="16"/>
                <w:spacing w:val="-1"/>
              </w:rPr>
              <w:t>交通运镇部，宣级，设区的市级</w:t>
            </w:r>
            <w:r>
              <w:rPr>
                <w:sz w:val="16"/>
                <w:szCs w:val="16"/>
                <w:spacing w:val="3"/>
              </w:rPr>
              <w:t xml:space="preserve"> </w:t>
            </w:r>
            <w:r>
              <w:rPr>
                <w:sz w:val="16"/>
                <w:szCs w:val="16"/>
                <w:spacing w:val="3"/>
              </w:rPr>
              <w:t>交通运量部门</w:t>
            </w:r>
          </w:p>
        </w:tc>
        <w:tc>
          <w:tcPr>
            <w:tcW w:w="3711" w:type="dxa"/>
            <w:vAlign w:val="top"/>
          </w:tcPr>
          <w:p>
            <w:pPr>
              <w:pStyle w:val="TableText"/>
              <w:ind w:left="78"/>
              <w:spacing w:before="80" w:line="242" w:lineRule="auto"/>
              <w:rPr>
                <w:sz w:val="16"/>
                <w:szCs w:val="16"/>
              </w:rPr>
            </w:pPr>
            <w:r>
              <w:rPr>
                <w:sz w:val="16"/>
                <w:szCs w:val="16"/>
                <w:spacing w:val="-2"/>
              </w:rPr>
              <w:t>1国内水染运物管理录罚1</w:t>
            </w:r>
          </w:p>
          <w:p>
            <w:pPr>
              <w:pStyle w:val="TableText"/>
              <w:spacing w:line="219" w:lineRule="auto"/>
              <w:rPr>
                <w:sz w:val="16"/>
                <w:szCs w:val="16"/>
              </w:rPr>
            </w:pPr>
            <w:r>
              <w:rPr>
                <w:sz w:val="16"/>
                <w:szCs w:val="16"/>
                <w:spacing w:val="-5"/>
              </w:rPr>
              <w:t>《国内水是运检管理规定</w:t>
            </w:r>
          </w:p>
        </w:tc>
      </w:tr>
      <w:tr>
        <w:trPr>
          <w:trHeight w:val="899" w:hRule="atLeast"/>
        </w:trPr>
        <w:tc>
          <w:tcPr>
            <w:tcW w:w="584" w:type="dxa"/>
            <w:vAlign w:val="top"/>
          </w:tcPr>
          <w:p>
            <w:pPr>
              <w:spacing w:line="337" w:lineRule="auto"/>
              <w:rPr>
                <w:rFonts w:ascii="Arial"/>
                <w:sz w:val="21"/>
              </w:rPr>
            </w:pPr>
            <w:r/>
          </w:p>
          <w:p>
            <w:pPr>
              <w:pStyle w:val="TableText"/>
              <w:ind w:left="124"/>
              <w:spacing w:before="68" w:line="183" w:lineRule="auto"/>
              <w:rPr>
                <w:sz w:val="21"/>
                <w:szCs w:val="21"/>
              </w:rPr>
            </w:pPr>
            <w:r>
              <w:rPr>
                <w:sz w:val="21"/>
                <w:szCs w:val="21"/>
                <w:spacing w:val="-3"/>
              </w:rPr>
              <w:t>297</w:t>
            </w:r>
          </w:p>
        </w:tc>
        <w:tc>
          <w:tcPr>
            <w:tcW w:w="1289" w:type="dxa"/>
            <w:vAlign w:val="top"/>
          </w:tcPr>
          <w:p>
            <w:pPr>
              <w:spacing w:line="317" w:lineRule="auto"/>
              <w:rPr>
                <w:rFonts w:ascii="Arial"/>
                <w:sz w:val="21"/>
              </w:rPr>
            </w:pPr>
            <w:r/>
          </w:p>
          <w:p>
            <w:pPr>
              <w:pStyle w:val="TableText"/>
              <w:ind w:left="231"/>
              <w:spacing w:before="52" w:line="219" w:lineRule="auto"/>
              <w:rPr>
                <w:sz w:val="16"/>
                <w:szCs w:val="16"/>
              </w:rPr>
            </w:pPr>
            <w:r>
              <w:rPr>
                <w:sz w:val="16"/>
                <w:szCs w:val="16"/>
                <w:spacing w:val="-2"/>
              </w:rPr>
              <w:t>交通递染都</w:t>
            </w:r>
          </w:p>
        </w:tc>
        <w:tc>
          <w:tcPr>
            <w:tcW w:w="1648" w:type="dxa"/>
            <w:vAlign w:val="top"/>
          </w:tcPr>
          <w:p>
            <w:pPr>
              <w:pStyle w:val="TableText"/>
              <w:ind w:left="52" w:right="112" w:firstLine="40"/>
              <w:spacing w:before="260" w:line="237" w:lineRule="auto"/>
              <w:rPr>
                <w:sz w:val="16"/>
                <w:szCs w:val="16"/>
              </w:rPr>
            </w:pPr>
            <w:r>
              <w:rPr>
                <w:sz w:val="16"/>
                <w:szCs w:val="16"/>
                <w:spacing w:val="-1"/>
              </w:rPr>
              <w:t>新增国内客船，危险</w:t>
            </w:r>
            <w:r>
              <w:rPr>
                <w:sz w:val="16"/>
                <w:szCs w:val="16"/>
                <w:spacing w:val="1"/>
              </w:rPr>
              <w:t xml:space="preserve"> </w:t>
            </w:r>
            <w:r>
              <w:rPr>
                <w:sz w:val="16"/>
                <w:szCs w:val="16"/>
                <w:spacing w:val="2"/>
              </w:rPr>
              <w:t>品船运力审烈</w:t>
            </w:r>
          </w:p>
        </w:tc>
        <w:tc>
          <w:tcPr>
            <w:tcW w:w="2367" w:type="dxa"/>
            <w:vAlign w:val="top"/>
          </w:tcPr>
          <w:p>
            <w:pPr>
              <w:pStyle w:val="TableText"/>
              <w:ind w:left="54" w:right="72"/>
              <w:spacing w:before="281" w:line="225" w:lineRule="auto"/>
              <w:rPr>
                <w:sz w:val="16"/>
                <w:szCs w:val="16"/>
              </w:rPr>
            </w:pPr>
            <w:r>
              <w:rPr>
                <w:sz w:val="16"/>
                <w:szCs w:val="16"/>
                <w:spacing w:val="-1"/>
              </w:rPr>
              <w:t>交通运检温；省级，设区的市级</w:t>
            </w:r>
            <w:r>
              <w:rPr>
                <w:sz w:val="16"/>
                <w:szCs w:val="16"/>
                <w:spacing w:val="3"/>
              </w:rPr>
              <w:t xml:space="preserve"> </w:t>
            </w:r>
            <w:r>
              <w:rPr>
                <w:sz w:val="16"/>
                <w:szCs w:val="16"/>
                <w:spacing w:val="3"/>
              </w:rPr>
              <w:t>交通益偿带门</w:t>
            </w:r>
          </w:p>
        </w:tc>
        <w:tc>
          <w:tcPr>
            <w:tcW w:w="3711" w:type="dxa"/>
            <w:vAlign w:val="top"/>
          </w:tcPr>
          <w:p>
            <w:pPr>
              <w:pStyle w:val="TableText"/>
              <w:ind w:left="36"/>
              <w:spacing w:before="81" w:line="208" w:lineRule="auto"/>
              <w:rPr>
                <w:sz w:val="16"/>
                <w:szCs w:val="16"/>
              </w:rPr>
            </w:pPr>
            <w:r>
              <w:rPr>
                <w:sz w:val="16"/>
                <w:szCs w:val="16"/>
              </w:rPr>
              <w:t>1国务院对缴需保留的行战审批项息设定行故许可</w:t>
            </w:r>
          </w:p>
          <w:p>
            <w:pPr>
              <w:pStyle w:val="TableText"/>
              <w:ind w:left="36"/>
              <w:spacing w:line="219" w:lineRule="auto"/>
              <w:rPr>
                <w:sz w:val="16"/>
                <w:szCs w:val="16"/>
              </w:rPr>
            </w:pPr>
            <w:r>
              <w:rPr>
                <w:sz w:val="16"/>
                <w:szCs w:val="16"/>
              </w:rPr>
              <w:t>的决定》</w:t>
            </w:r>
          </w:p>
          <w:p>
            <w:pPr>
              <w:pStyle w:val="TableText"/>
              <w:ind w:left="36"/>
              <w:spacing w:before="20" w:line="230" w:lineRule="auto"/>
              <w:rPr>
                <w:sz w:val="16"/>
                <w:szCs w:val="16"/>
              </w:rPr>
            </w:pPr>
            <w:r>
              <w:rPr>
                <w:sz w:val="16"/>
                <w:szCs w:val="16"/>
              </w:rPr>
              <w:t>1国内水路运输管理条何</w:t>
            </w:r>
          </w:p>
          <w:p>
            <w:pPr>
              <w:pStyle w:val="TableText"/>
              <w:ind w:left="36"/>
              <w:spacing w:line="218" w:lineRule="auto"/>
              <w:rPr>
                <w:sz w:val="16"/>
                <w:szCs w:val="16"/>
              </w:rPr>
            </w:pPr>
            <w:r>
              <w:rPr>
                <w:sz w:val="16"/>
                <w:szCs w:val="16"/>
                <w:spacing w:val="2"/>
              </w:rPr>
              <w:t>1国内水路运轴管择能定)</w:t>
            </w:r>
          </w:p>
        </w:tc>
      </w:tr>
      <w:tr>
        <w:trPr>
          <w:trHeight w:val="489" w:hRule="atLeast"/>
        </w:trPr>
        <w:tc>
          <w:tcPr>
            <w:tcW w:w="584" w:type="dxa"/>
            <w:vAlign w:val="top"/>
          </w:tcPr>
          <w:p>
            <w:pPr>
              <w:pStyle w:val="TableText"/>
              <w:ind w:left="204"/>
              <w:spacing w:before="213" w:line="183" w:lineRule="auto"/>
              <w:rPr>
                <w:sz w:val="16"/>
                <w:szCs w:val="16"/>
              </w:rPr>
            </w:pPr>
            <w:r>
              <w:rPr>
                <w:sz w:val="16"/>
                <w:szCs w:val="16"/>
                <w:spacing w:val="-3"/>
              </w:rPr>
              <w:t>2N</w:t>
            </w:r>
          </w:p>
        </w:tc>
        <w:tc>
          <w:tcPr>
            <w:tcW w:w="1289" w:type="dxa"/>
            <w:vAlign w:val="top"/>
          </w:tcPr>
          <w:p>
            <w:pPr>
              <w:pStyle w:val="TableText"/>
              <w:ind w:left="231"/>
              <w:spacing w:before="172" w:line="219" w:lineRule="auto"/>
              <w:rPr>
                <w:sz w:val="16"/>
                <w:szCs w:val="16"/>
              </w:rPr>
            </w:pPr>
            <w:r>
              <w:rPr>
                <w:sz w:val="16"/>
                <w:szCs w:val="16"/>
                <w:spacing w:val="-2"/>
              </w:rPr>
              <w:t>交透运物部</w:t>
            </w:r>
          </w:p>
        </w:tc>
        <w:tc>
          <w:tcPr>
            <w:tcW w:w="1648" w:type="dxa"/>
            <w:vAlign w:val="top"/>
          </w:tcPr>
          <w:p>
            <w:pPr>
              <w:pStyle w:val="TableText"/>
              <w:ind w:left="82" w:right="113" w:firstLine="10"/>
              <w:spacing w:before="91" w:line="215" w:lineRule="auto"/>
              <w:rPr>
                <w:sz w:val="16"/>
                <w:szCs w:val="16"/>
              </w:rPr>
            </w:pPr>
            <w:r>
              <w:rPr>
                <w:sz w:val="16"/>
                <w:szCs w:val="16"/>
                <w:spacing w:val="-1"/>
              </w:rPr>
              <w:t>经营国内简相管理业</w:t>
            </w:r>
            <w:r>
              <w:rPr>
                <w:sz w:val="16"/>
                <w:szCs w:val="16"/>
              </w:rPr>
              <w:t xml:space="preserve"> </w:t>
            </w:r>
            <w:r>
              <w:rPr>
                <w:sz w:val="16"/>
                <w:szCs w:val="16"/>
                <w:spacing w:val="-2"/>
              </w:rPr>
              <w:t>各审批</w:t>
            </w:r>
          </w:p>
        </w:tc>
        <w:tc>
          <w:tcPr>
            <w:tcW w:w="2367" w:type="dxa"/>
            <w:vAlign w:val="top"/>
          </w:tcPr>
          <w:p>
            <w:pPr>
              <w:pStyle w:val="TableText"/>
              <w:ind w:left="54"/>
              <w:spacing w:before="172" w:line="219" w:lineRule="auto"/>
              <w:rPr>
                <w:sz w:val="16"/>
                <w:szCs w:val="16"/>
              </w:rPr>
            </w:pPr>
            <w:r>
              <w:rPr>
                <w:sz w:val="16"/>
                <w:szCs w:val="16"/>
                <w:spacing w:val="2"/>
              </w:rPr>
              <w:t>省践交通运辅部门</w:t>
            </w:r>
          </w:p>
        </w:tc>
        <w:tc>
          <w:tcPr>
            <w:tcW w:w="3711" w:type="dxa"/>
            <w:vAlign w:val="top"/>
          </w:tcPr>
          <w:p>
            <w:pPr>
              <w:pStyle w:val="TableText"/>
              <w:ind w:left="36"/>
              <w:spacing w:before="92" w:line="219" w:lineRule="auto"/>
              <w:rPr>
                <w:sz w:val="16"/>
                <w:szCs w:val="16"/>
              </w:rPr>
            </w:pPr>
            <w:r>
              <w:rPr>
                <w:sz w:val="16"/>
                <w:szCs w:val="16"/>
                <w:spacing w:val="1"/>
              </w:rPr>
              <w:t>1国内水路运输管建条例</w:t>
            </w:r>
          </w:p>
          <w:p>
            <w:pPr>
              <w:pStyle w:val="TableText"/>
              <w:ind w:left="36"/>
              <w:spacing w:before="10" w:line="215" w:lineRule="auto"/>
              <w:rPr>
                <w:sz w:val="16"/>
                <w:szCs w:val="16"/>
              </w:rPr>
            </w:pPr>
            <w:r>
              <w:rPr>
                <w:sz w:val="16"/>
                <w:szCs w:val="16"/>
              </w:rPr>
              <w:t>国内水的示物翻助业管理规定</w:t>
            </w:r>
          </w:p>
        </w:tc>
      </w:tr>
      <w:tr>
        <w:trPr>
          <w:trHeight w:val="699" w:hRule="atLeast"/>
        </w:trPr>
        <w:tc>
          <w:tcPr>
            <w:tcW w:w="584" w:type="dxa"/>
            <w:vAlign w:val="top"/>
          </w:tcPr>
          <w:p>
            <w:pPr>
              <w:spacing w:line="241" w:lineRule="auto"/>
              <w:rPr>
                <w:rFonts w:ascii="Arial"/>
                <w:sz w:val="21"/>
              </w:rPr>
            </w:pPr>
            <w:r/>
          </w:p>
          <w:p>
            <w:pPr>
              <w:pStyle w:val="TableText"/>
              <w:ind w:left="164"/>
              <w:spacing w:before="52" w:line="183" w:lineRule="auto"/>
              <w:rPr>
                <w:sz w:val="16"/>
                <w:szCs w:val="16"/>
              </w:rPr>
            </w:pPr>
            <w:r>
              <w:rPr>
                <w:sz w:val="16"/>
                <w:szCs w:val="16"/>
                <w:spacing w:val="-2"/>
              </w:rPr>
              <w:t>2yy</w:t>
            </w:r>
          </w:p>
        </w:tc>
        <w:tc>
          <w:tcPr>
            <w:tcW w:w="1289" w:type="dxa"/>
            <w:vAlign w:val="top"/>
          </w:tcPr>
          <w:p>
            <w:pPr>
              <w:pStyle w:val="TableText"/>
              <w:ind w:left="231"/>
              <w:spacing w:before="272" w:line="219" w:lineRule="auto"/>
              <w:rPr>
                <w:sz w:val="16"/>
                <w:szCs w:val="16"/>
              </w:rPr>
            </w:pPr>
            <w:r>
              <w:rPr>
                <w:sz w:val="16"/>
                <w:szCs w:val="16"/>
                <w:spacing w:val="-2"/>
              </w:rPr>
              <w:t>交通远轴命</w:t>
            </w:r>
          </w:p>
        </w:tc>
        <w:tc>
          <w:tcPr>
            <w:tcW w:w="1648" w:type="dxa"/>
            <w:vAlign w:val="top"/>
          </w:tcPr>
          <w:p>
            <w:pPr>
              <w:pStyle w:val="TableText"/>
              <w:ind w:left="52" w:right="89" w:firstLine="40"/>
              <w:spacing w:before="92" w:line="223" w:lineRule="auto"/>
              <w:jc w:val="both"/>
              <w:rPr>
                <w:sz w:val="16"/>
                <w:szCs w:val="16"/>
              </w:rPr>
            </w:pPr>
            <w:r>
              <w:rPr>
                <w:sz w:val="16"/>
                <w:szCs w:val="16"/>
                <w:spacing w:val="1"/>
              </w:rPr>
              <w:t>外国箱船解经青中国</w:t>
            </w:r>
            <w:r>
              <w:rPr>
                <w:sz w:val="16"/>
                <w:szCs w:val="16"/>
                <w:spacing w:val="6"/>
              </w:rPr>
              <w:t xml:space="preserve"> </w:t>
            </w:r>
            <w:r>
              <w:rPr>
                <w:sz w:val="16"/>
                <w:szCs w:val="16"/>
                <w:spacing w:val="3"/>
              </w:rPr>
              <w:t>港口之阅海上运贴和</w:t>
            </w:r>
            <w:r>
              <w:rPr>
                <w:sz w:val="16"/>
                <w:szCs w:val="16"/>
                <w:spacing w:val="6"/>
              </w:rPr>
              <w:t xml:space="preserve"> </w:t>
            </w:r>
            <w:r>
              <w:rPr>
                <w:sz w:val="16"/>
                <w:szCs w:val="16"/>
                <w:spacing w:val="-2"/>
              </w:rPr>
              <w:t>机就许可</w:t>
            </w:r>
          </w:p>
        </w:tc>
        <w:tc>
          <w:tcPr>
            <w:tcW w:w="2367" w:type="dxa"/>
            <w:vAlign w:val="top"/>
          </w:tcPr>
          <w:p>
            <w:pPr>
              <w:pStyle w:val="TableText"/>
              <w:ind w:left="54"/>
              <w:spacing w:before="273" w:line="219" w:lineRule="auto"/>
              <w:rPr>
                <w:sz w:val="16"/>
                <w:szCs w:val="16"/>
              </w:rPr>
            </w:pPr>
            <w:r>
              <w:rPr>
                <w:sz w:val="16"/>
                <w:szCs w:val="16"/>
                <w:spacing w:val="-2"/>
              </w:rPr>
              <w:t>交酒元萄部</w:t>
            </w:r>
          </w:p>
        </w:tc>
        <w:tc>
          <w:tcPr>
            <w:tcW w:w="3711" w:type="dxa"/>
            <w:vAlign w:val="top"/>
          </w:tcPr>
          <w:p>
            <w:pPr>
              <w:pStyle w:val="TableText"/>
              <w:ind w:left="36"/>
              <w:spacing w:before="193" w:line="230" w:lineRule="auto"/>
              <w:rPr>
                <w:sz w:val="16"/>
                <w:szCs w:val="16"/>
              </w:rPr>
            </w:pPr>
            <w:r>
              <w:rPr>
                <w:sz w:val="16"/>
                <w:szCs w:val="16"/>
                <w:spacing w:val="3"/>
              </w:rPr>
              <w:t>中华人民共和国商商法)</w:t>
            </w:r>
          </w:p>
          <w:p>
            <w:pPr>
              <w:pStyle w:val="TableText"/>
              <w:ind w:left="36"/>
              <w:spacing w:line="218" w:lineRule="auto"/>
              <w:rPr>
                <w:sz w:val="16"/>
                <w:szCs w:val="16"/>
              </w:rPr>
            </w:pPr>
            <w:r>
              <w:rPr>
                <w:sz w:val="16"/>
                <w:szCs w:val="16"/>
              </w:rPr>
              <w:t>国内水路远轴管里茶别》</w:t>
            </w:r>
          </w:p>
        </w:tc>
      </w:tr>
      <w:tr>
        <w:trPr>
          <w:trHeight w:val="489" w:hRule="atLeast"/>
        </w:trPr>
        <w:tc>
          <w:tcPr>
            <w:tcW w:w="584" w:type="dxa"/>
            <w:vAlign w:val="top"/>
          </w:tcPr>
          <w:p>
            <w:pPr>
              <w:pStyle w:val="TableText"/>
              <w:ind w:left="164"/>
              <w:spacing w:before="215" w:line="183" w:lineRule="auto"/>
              <w:rPr>
                <w:sz w:val="16"/>
                <w:szCs w:val="16"/>
              </w:rPr>
            </w:pPr>
            <w:r>
              <w:rPr>
                <w:sz w:val="16"/>
                <w:szCs w:val="16"/>
                <w:spacing w:val="-3"/>
              </w:rPr>
              <w:t>305</w:t>
            </w:r>
          </w:p>
        </w:tc>
        <w:tc>
          <w:tcPr>
            <w:tcW w:w="1289" w:type="dxa"/>
            <w:vAlign w:val="top"/>
          </w:tcPr>
          <w:p>
            <w:pPr>
              <w:pStyle w:val="TableText"/>
              <w:ind w:left="231"/>
              <w:spacing w:before="174" w:line="219" w:lineRule="auto"/>
              <w:rPr>
                <w:sz w:val="16"/>
                <w:szCs w:val="16"/>
              </w:rPr>
            </w:pPr>
            <w:r>
              <w:rPr>
                <w:sz w:val="16"/>
                <w:szCs w:val="16"/>
                <w:spacing w:val="-2"/>
              </w:rPr>
              <w:t>交通运做部</w:t>
            </w:r>
          </w:p>
        </w:tc>
        <w:tc>
          <w:tcPr>
            <w:tcW w:w="1648" w:type="dxa"/>
            <w:vAlign w:val="top"/>
          </w:tcPr>
          <w:p>
            <w:pPr>
              <w:pStyle w:val="TableText"/>
              <w:ind w:left="72" w:right="97" w:firstLine="20"/>
              <w:spacing w:before="93" w:line="214" w:lineRule="auto"/>
              <w:rPr>
                <w:sz w:val="16"/>
                <w:szCs w:val="16"/>
              </w:rPr>
            </w:pPr>
            <w:r>
              <w:rPr>
                <w:sz w:val="16"/>
                <w:szCs w:val="16"/>
              </w:rPr>
              <w:t>国际自上运也童务旋</w:t>
            </w:r>
            <w:r>
              <w:rPr>
                <w:sz w:val="16"/>
                <w:szCs w:val="16"/>
                <w:spacing w:val="7"/>
              </w:rPr>
              <w:t xml:space="preserve"> </w:t>
            </w:r>
            <w:r>
              <w:rPr>
                <w:sz w:val="16"/>
                <w:szCs w:val="16"/>
                <w:spacing w:val="-2"/>
              </w:rPr>
              <w:t>黄许可</w:t>
            </w:r>
          </w:p>
        </w:tc>
        <w:tc>
          <w:tcPr>
            <w:tcW w:w="2367" w:type="dxa"/>
            <w:vAlign w:val="top"/>
          </w:tcPr>
          <w:p>
            <w:pPr>
              <w:pStyle w:val="TableText"/>
              <w:ind w:left="54"/>
              <w:spacing w:before="175" w:line="221" w:lineRule="auto"/>
              <w:rPr>
                <w:sz w:val="16"/>
                <w:szCs w:val="16"/>
              </w:rPr>
            </w:pPr>
            <w:r>
              <w:rPr>
                <w:sz w:val="16"/>
                <w:szCs w:val="16"/>
                <w:spacing w:val="-2"/>
              </w:rPr>
              <w:t>交题运慧前</w:t>
            </w:r>
          </w:p>
        </w:tc>
        <w:tc>
          <w:tcPr>
            <w:tcW w:w="3711" w:type="dxa"/>
            <w:vAlign w:val="top"/>
          </w:tcPr>
          <w:p>
            <w:pPr>
              <w:pStyle w:val="TableText"/>
              <w:ind w:left="36"/>
              <w:spacing w:before="173" w:line="219" w:lineRule="auto"/>
              <w:rPr>
                <w:sz w:val="16"/>
                <w:szCs w:val="16"/>
              </w:rPr>
            </w:pPr>
            <w:r>
              <w:rPr>
                <w:sz w:val="16"/>
                <w:szCs w:val="16"/>
              </w:rPr>
              <w:t>中华人民共和回国称简运条务</w:t>
            </w:r>
          </w:p>
        </w:tc>
      </w:tr>
      <w:tr>
        <w:trPr>
          <w:trHeight w:val="584" w:hRule="atLeast"/>
        </w:trPr>
        <w:tc>
          <w:tcPr>
            <w:tcW w:w="584" w:type="dxa"/>
            <w:vAlign w:val="top"/>
          </w:tcPr>
          <w:p>
            <w:pPr>
              <w:pStyle w:val="TableText"/>
              <w:ind w:left="164"/>
              <w:spacing w:before="256" w:line="183" w:lineRule="auto"/>
              <w:rPr>
                <w:sz w:val="16"/>
                <w:szCs w:val="16"/>
              </w:rPr>
            </w:pPr>
            <w:r>
              <w:rPr>
                <w:sz w:val="16"/>
                <w:szCs w:val="16"/>
                <w:spacing w:val="-3"/>
              </w:rPr>
              <w:t>304</w:t>
            </w:r>
          </w:p>
        </w:tc>
        <w:tc>
          <w:tcPr>
            <w:tcW w:w="1289" w:type="dxa"/>
            <w:vAlign w:val="top"/>
          </w:tcPr>
          <w:p>
            <w:pPr>
              <w:pStyle w:val="TableText"/>
              <w:ind w:left="231"/>
              <w:spacing w:before="214" w:line="219" w:lineRule="auto"/>
              <w:rPr>
                <w:sz w:val="16"/>
                <w:szCs w:val="16"/>
              </w:rPr>
            </w:pPr>
            <w:r>
              <w:rPr>
                <w:sz w:val="16"/>
                <w:szCs w:val="16"/>
                <w:spacing w:val="-2"/>
              </w:rPr>
              <w:t>交通运精部</w:t>
            </w:r>
          </w:p>
        </w:tc>
        <w:tc>
          <w:tcPr>
            <w:tcW w:w="1648" w:type="dxa"/>
            <w:vAlign w:val="top"/>
          </w:tcPr>
          <w:p>
            <w:pPr>
              <w:pStyle w:val="TableText"/>
              <w:ind w:left="62"/>
              <w:spacing w:before="216" w:line="220" w:lineRule="auto"/>
              <w:rPr>
                <w:sz w:val="16"/>
                <w:szCs w:val="16"/>
              </w:rPr>
            </w:pPr>
            <w:r>
              <w:rPr>
                <w:sz w:val="16"/>
                <w:szCs w:val="16"/>
                <w:spacing w:val="-1"/>
              </w:rPr>
              <w:t>基口经营许可</w:t>
            </w:r>
          </w:p>
        </w:tc>
        <w:tc>
          <w:tcPr>
            <w:tcW w:w="2367" w:type="dxa"/>
            <w:vAlign w:val="top"/>
          </w:tcPr>
          <w:p>
            <w:pPr>
              <w:pStyle w:val="TableText"/>
              <w:ind w:left="54" w:right="73"/>
              <w:spacing w:before="145" w:line="219" w:lineRule="auto"/>
              <w:rPr>
                <w:sz w:val="16"/>
                <w:szCs w:val="16"/>
              </w:rPr>
            </w:pPr>
            <w:r>
              <w:rPr>
                <w:sz w:val="16"/>
                <w:szCs w:val="16"/>
                <w:spacing w:val="-1"/>
              </w:rPr>
              <w:t>管级，设区的市级，县级落口行</w:t>
            </w:r>
            <w:r>
              <w:rPr>
                <w:sz w:val="16"/>
                <w:szCs w:val="16"/>
                <w:spacing w:val="2"/>
              </w:rPr>
              <w:t xml:space="preserve"> </w:t>
            </w:r>
            <w:r>
              <w:rPr>
                <w:sz w:val="16"/>
                <w:szCs w:val="16"/>
                <w:spacing w:val="3"/>
              </w:rPr>
              <w:t>政管理薄门</w:t>
            </w:r>
          </w:p>
        </w:tc>
        <w:tc>
          <w:tcPr>
            <w:tcW w:w="3711" w:type="dxa"/>
            <w:vAlign w:val="top"/>
          </w:tcPr>
          <w:p>
            <w:pPr>
              <w:pStyle w:val="TableText"/>
              <w:ind w:left="36"/>
              <w:spacing w:before="215" w:line="219" w:lineRule="auto"/>
              <w:rPr>
                <w:sz w:val="16"/>
                <w:szCs w:val="16"/>
              </w:rPr>
            </w:pPr>
            <w:r>
              <w:rPr>
                <w:sz w:val="16"/>
                <w:szCs w:val="16"/>
              </w:rPr>
              <w:t>中中人民共和同海口甚》</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54848"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28" name="TextBox 228"/>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0" style="position:absolute;margin-left:37.3042pt;margin-top:345.874pt;mso-position-vertical-relative:page;mso-position-horizontal-relative:page;width:13.1pt;height:12.4pt;z-index:25185484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48"/>
        <w:gridCol w:w="2367"/>
        <w:gridCol w:w="3711"/>
      </w:tblGrid>
      <w:tr>
        <w:trPr>
          <w:trHeight w:val="41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中央主管烈门</w:t>
            </w:r>
          </w:p>
        </w:tc>
        <w:tc>
          <w:tcPr>
            <w:tcW w:w="1648" w:type="dxa"/>
            <w:vAlign w:val="top"/>
          </w:tcPr>
          <w:p>
            <w:pPr>
              <w:pStyle w:val="TableText"/>
              <w:ind w:left="461"/>
              <w:spacing w:before="132" w:line="220" w:lineRule="auto"/>
              <w:rPr>
                <w:sz w:val="16"/>
                <w:szCs w:val="16"/>
              </w:rPr>
            </w:pPr>
            <w:r>
              <w:rPr>
                <w:sz w:val="16"/>
                <w:szCs w:val="16"/>
                <w:spacing w:val="-2"/>
              </w:rPr>
              <w:t>事填名称</w:t>
            </w:r>
          </w:p>
        </w:tc>
        <w:tc>
          <w:tcPr>
            <w:tcW w:w="2367" w:type="dxa"/>
            <w:vAlign w:val="top"/>
          </w:tcPr>
          <w:p>
            <w:pPr>
              <w:pStyle w:val="TableText"/>
              <w:ind w:left="834"/>
              <w:spacing w:before="131" w:line="219" w:lineRule="auto"/>
              <w:rPr>
                <w:sz w:val="16"/>
                <w:szCs w:val="16"/>
              </w:rPr>
            </w:pPr>
            <w:r>
              <w:rPr>
                <w:sz w:val="16"/>
                <w:szCs w:val="16"/>
                <w:spacing w:val="-2"/>
              </w:rPr>
              <w:t>实饰模关</w:t>
            </w:r>
          </w:p>
        </w:tc>
        <w:tc>
          <w:tcPr>
            <w:tcW w:w="3711" w:type="dxa"/>
            <w:vAlign w:val="top"/>
          </w:tcPr>
          <w:p>
            <w:pPr>
              <w:pStyle w:val="TableText"/>
              <w:ind w:left="1269"/>
              <w:spacing w:before="128" w:line="219" w:lineRule="auto"/>
              <w:rPr>
                <w:sz w:val="16"/>
                <w:szCs w:val="16"/>
              </w:rPr>
            </w:pPr>
            <w:r>
              <w:rPr>
                <w:sz w:val="16"/>
                <w:szCs w:val="16"/>
                <w:b/>
                <w:bCs/>
              </w:rPr>
              <w:t>设定和实施依累</w:t>
            </w:r>
          </w:p>
        </w:tc>
      </w:tr>
      <w:tr>
        <w:trPr>
          <w:trHeight w:val="749" w:hRule="atLeast"/>
        </w:trPr>
        <w:tc>
          <w:tcPr>
            <w:tcW w:w="594" w:type="dxa"/>
            <w:vAlign w:val="top"/>
          </w:tcPr>
          <w:p>
            <w:pPr>
              <w:spacing w:line="285" w:lineRule="auto"/>
              <w:rPr>
                <w:rFonts w:ascii="Arial"/>
                <w:sz w:val="21"/>
              </w:rPr>
            </w:pPr>
            <w:r/>
          </w:p>
          <w:p>
            <w:pPr>
              <w:pStyle w:val="TableText"/>
              <w:ind w:left="164"/>
              <w:spacing w:before="52" w:line="183" w:lineRule="auto"/>
              <w:rPr>
                <w:sz w:val="16"/>
                <w:szCs w:val="16"/>
              </w:rPr>
            </w:pPr>
            <w:r>
              <w:rPr>
                <w:sz w:val="16"/>
                <w:szCs w:val="16"/>
                <w:spacing w:val="-3"/>
              </w:rPr>
              <w:t>302</w:t>
            </w:r>
          </w:p>
        </w:tc>
        <w:tc>
          <w:tcPr>
            <w:tcW w:w="1279" w:type="dxa"/>
            <w:vAlign w:val="top"/>
          </w:tcPr>
          <w:p>
            <w:pPr>
              <w:spacing w:line="244" w:lineRule="auto"/>
              <w:rPr>
                <w:rFonts w:ascii="Arial"/>
                <w:sz w:val="21"/>
              </w:rPr>
            </w:pPr>
            <w:r/>
          </w:p>
          <w:p>
            <w:pPr>
              <w:pStyle w:val="TableText"/>
              <w:ind w:left="231"/>
              <w:spacing w:before="52" w:line="219" w:lineRule="auto"/>
              <w:rPr>
                <w:sz w:val="16"/>
                <w:szCs w:val="16"/>
              </w:rPr>
            </w:pPr>
            <w:r>
              <w:rPr>
                <w:sz w:val="16"/>
                <w:szCs w:val="16"/>
                <w:spacing w:val="-2"/>
              </w:rPr>
              <w:t>交通远偷部</w:t>
            </w:r>
          </w:p>
        </w:tc>
        <w:tc>
          <w:tcPr>
            <w:tcW w:w="1648" w:type="dxa"/>
            <w:vAlign w:val="top"/>
          </w:tcPr>
          <w:p>
            <w:pPr>
              <w:pStyle w:val="TableText"/>
              <w:ind w:left="42" w:right="144" w:firstLine="20"/>
              <w:spacing w:before="197" w:line="225" w:lineRule="auto"/>
              <w:rPr>
                <w:sz w:val="16"/>
                <w:szCs w:val="16"/>
              </w:rPr>
            </w:pPr>
            <w:r>
              <w:rPr>
                <w:sz w:val="16"/>
                <w:szCs w:val="16"/>
                <w:spacing w:val="-1"/>
              </w:rPr>
              <w:t>危险货物离口世设项</w:t>
            </w:r>
            <w:r>
              <w:rPr>
                <w:sz w:val="16"/>
                <w:szCs w:val="16"/>
              </w:rPr>
              <w:t xml:space="preserve"> </w:t>
            </w:r>
            <w:r>
              <w:rPr>
                <w:sz w:val="16"/>
                <w:szCs w:val="16"/>
                <w:spacing w:val="-2"/>
              </w:rPr>
              <w:t>登安全条作审查</w:t>
            </w:r>
          </w:p>
        </w:tc>
        <w:tc>
          <w:tcPr>
            <w:tcW w:w="2367" w:type="dxa"/>
            <w:vAlign w:val="top"/>
          </w:tcPr>
          <w:p>
            <w:pPr>
              <w:pStyle w:val="TableText"/>
              <w:ind w:left="64" w:right="71" w:hanging="10"/>
              <w:spacing w:before="197" w:line="231" w:lineRule="auto"/>
              <w:rPr>
                <w:sz w:val="16"/>
                <w:szCs w:val="16"/>
              </w:rPr>
            </w:pPr>
            <w:r>
              <w:rPr>
                <w:sz w:val="16"/>
                <w:szCs w:val="16"/>
                <w:spacing w:val="-1"/>
              </w:rPr>
              <w:t>省级，设区的市级液口行政管痛</w:t>
            </w:r>
            <w:r>
              <w:rPr>
                <w:sz w:val="16"/>
                <w:szCs w:val="16"/>
                <w:spacing w:val="4"/>
              </w:rPr>
              <w:t xml:space="preserve"> </w:t>
            </w:r>
            <w:r>
              <w:rPr>
                <w:sz w:val="16"/>
                <w:szCs w:val="16"/>
                <w:spacing w:val="8"/>
              </w:rPr>
              <w:t>部门</w:t>
            </w:r>
          </w:p>
        </w:tc>
        <w:tc>
          <w:tcPr>
            <w:tcW w:w="3711" w:type="dxa"/>
            <w:vAlign w:val="top"/>
          </w:tcPr>
          <w:p>
            <w:pPr>
              <w:pStyle w:val="TableText"/>
              <w:ind w:left="46"/>
              <w:spacing w:before="107" w:line="219" w:lineRule="auto"/>
              <w:rPr>
                <w:sz w:val="16"/>
                <w:szCs w:val="16"/>
              </w:rPr>
            </w:pPr>
            <w:r>
              <w:rPr>
                <w:sz w:val="16"/>
                <w:szCs w:val="16"/>
              </w:rPr>
              <w:t>1中华人虽共和向毒口花</w:t>
            </w:r>
          </w:p>
          <w:p>
            <w:pPr>
              <w:pStyle w:val="TableText"/>
              <w:ind w:left="46"/>
              <w:spacing w:before="9" w:line="219" w:lineRule="auto"/>
              <w:rPr>
                <w:sz w:val="16"/>
                <w:szCs w:val="16"/>
              </w:rPr>
            </w:pPr>
            <w:r>
              <w:rPr>
                <w:sz w:val="16"/>
                <w:szCs w:val="16"/>
                <w:spacing w:val="1"/>
              </w:rPr>
              <w:t>1危貌化学品安全管理冬例1</w:t>
            </w:r>
          </w:p>
          <w:p>
            <w:pPr>
              <w:pStyle w:val="TableText"/>
              <w:ind w:left="46"/>
              <w:spacing w:line="218" w:lineRule="auto"/>
              <w:rPr>
                <w:sz w:val="16"/>
                <w:szCs w:val="16"/>
              </w:rPr>
            </w:pPr>
            <w:r>
              <w:rPr>
                <w:sz w:val="16"/>
                <w:szCs w:val="16"/>
              </w:rPr>
              <w:t>t第口危险货物安全管理规定</w:t>
            </w:r>
          </w:p>
        </w:tc>
      </w:tr>
      <w:tr>
        <w:trPr>
          <w:trHeight w:val="739" w:hRule="atLeast"/>
        </w:trPr>
        <w:tc>
          <w:tcPr>
            <w:tcW w:w="594" w:type="dxa"/>
            <w:vAlign w:val="top"/>
          </w:tcPr>
          <w:p>
            <w:pPr>
              <w:spacing w:line="276" w:lineRule="auto"/>
              <w:rPr>
                <w:rFonts w:ascii="Arial"/>
                <w:sz w:val="21"/>
              </w:rPr>
            </w:pPr>
            <w:r/>
          </w:p>
          <w:p>
            <w:pPr>
              <w:pStyle w:val="TableText"/>
              <w:ind w:left="164"/>
              <w:spacing w:before="52" w:line="183" w:lineRule="auto"/>
              <w:rPr>
                <w:sz w:val="16"/>
                <w:szCs w:val="16"/>
              </w:rPr>
            </w:pPr>
            <w:r>
              <w:rPr>
                <w:sz w:val="16"/>
                <w:szCs w:val="16"/>
                <w:spacing w:val="-3"/>
              </w:rPr>
              <w:t>302</w:t>
            </w:r>
          </w:p>
        </w:tc>
        <w:tc>
          <w:tcPr>
            <w:tcW w:w="1279" w:type="dxa"/>
            <w:vAlign w:val="top"/>
          </w:tcPr>
          <w:p>
            <w:pPr>
              <w:pStyle w:val="TableText"/>
              <w:ind w:left="231"/>
              <w:spacing w:before="288" w:line="219" w:lineRule="auto"/>
              <w:rPr>
                <w:sz w:val="16"/>
                <w:szCs w:val="16"/>
              </w:rPr>
            </w:pPr>
            <w:r>
              <w:rPr>
                <w:sz w:val="16"/>
                <w:szCs w:val="16"/>
                <w:spacing w:val="2"/>
              </w:rPr>
              <w:t>交通运检知</w:t>
            </w:r>
          </w:p>
        </w:tc>
        <w:tc>
          <w:tcPr>
            <w:tcW w:w="1648" w:type="dxa"/>
            <w:vAlign w:val="top"/>
          </w:tcPr>
          <w:p>
            <w:pPr>
              <w:pStyle w:val="TableText"/>
              <w:ind w:left="42" w:right="126" w:firstLine="40"/>
              <w:spacing w:before="208" w:line="220" w:lineRule="auto"/>
              <w:rPr>
                <w:sz w:val="16"/>
                <w:szCs w:val="16"/>
              </w:rPr>
            </w:pPr>
            <w:r>
              <w:rPr>
                <w:sz w:val="16"/>
                <w:szCs w:val="16"/>
                <w:spacing w:val="-2"/>
              </w:rPr>
              <w:t>范险优物落口建设项</w:t>
            </w:r>
            <w:r>
              <w:rPr>
                <w:sz w:val="16"/>
                <w:szCs w:val="16"/>
                <w:spacing w:val="6"/>
              </w:rPr>
              <w:t xml:space="preserve"> </w:t>
            </w:r>
            <w:r>
              <w:rPr>
                <w:sz w:val="16"/>
                <w:szCs w:val="16"/>
                <w:spacing w:val="-1"/>
              </w:rPr>
              <w:t>且安全设烟设计审查</w:t>
            </w:r>
          </w:p>
        </w:tc>
        <w:tc>
          <w:tcPr>
            <w:tcW w:w="2367" w:type="dxa"/>
            <w:vAlign w:val="top"/>
          </w:tcPr>
          <w:p>
            <w:pPr>
              <w:pStyle w:val="TableText"/>
              <w:ind w:left="64" w:right="74" w:hanging="10"/>
              <w:spacing w:before="208" w:line="225" w:lineRule="auto"/>
              <w:rPr>
                <w:sz w:val="16"/>
                <w:szCs w:val="16"/>
              </w:rPr>
            </w:pPr>
            <w:r>
              <w:rPr>
                <w:sz w:val="16"/>
                <w:szCs w:val="16"/>
                <w:spacing w:val="-1"/>
              </w:rPr>
              <w:t>吉版，设区的面级，县级施口行</w:t>
            </w:r>
            <w:r>
              <w:rPr>
                <w:sz w:val="16"/>
                <w:szCs w:val="16"/>
                <w:spacing w:val="1"/>
              </w:rPr>
              <w:t xml:space="preserve"> </w:t>
            </w:r>
            <w:r>
              <w:rPr>
                <w:sz w:val="16"/>
                <w:szCs w:val="16"/>
                <w:spacing w:val="3"/>
              </w:rPr>
              <w:t>改管罪部门</w:t>
            </w:r>
          </w:p>
        </w:tc>
        <w:tc>
          <w:tcPr>
            <w:tcW w:w="3711" w:type="dxa"/>
            <w:vAlign w:val="top"/>
          </w:tcPr>
          <w:p>
            <w:pPr>
              <w:pStyle w:val="TableText"/>
              <w:ind w:left="46"/>
              <w:spacing w:before="108" w:line="219" w:lineRule="auto"/>
              <w:rPr>
                <w:sz w:val="16"/>
                <w:szCs w:val="16"/>
              </w:rPr>
            </w:pPr>
            <w:r>
              <w:rPr>
                <w:sz w:val="16"/>
                <w:szCs w:val="16"/>
              </w:rPr>
              <w:t>中甲人民其和国意口法</w:t>
            </w:r>
          </w:p>
          <w:p>
            <w:pPr>
              <w:pStyle w:val="TableText"/>
              <w:ind w:left="78"/>
              <w:spacing w:line="230" w:lineRule="auto"/>
              <w:rPr>
                <w:sz w:val="16"/>
                <w:szCs w:val="16"/>
              </w:rPr>
            </w:pPr>
            <w:r>
              <w:rPr>
                <w:sz w:val="16"/>
                <w:szCs w:val="16"/>
                <w:spacing w:val="-2"/>
              </w:rPr>
              <w:t>中华人民共和国安全生产张</w:t>
            </w:r>
          </w:p>
          <w:p>
            <w:pPr>
              <w:pStyle w:val="TableText"/>
              <w:spacing w:line="218" w:lineRule="auto"/>
              <w:rPr>
                <w:sz w:val="16"/>
                <w:szCs w:val="16"/>
              </w:rPr>
            </w:pPr>
            <w:r>
              <w:rPr>
                <w:sz w:val="16"/>
                <w:szCs w:val="16"/>
                <w:spacing w:val="-4"/>
              </w:rPr>
              <w:t>《装白危险货物安全管理规定</w:t>
            </w:r>
          </w:p>
        </w:tc>
      </w:tr>
      <w:tr>
        <w:trPr>
          <w:trHeight w:val="549" w:hRule="atLeast"/>
        </w:trPr>
        <w:tc>
          <w:tcPr>
            <w:tcW w:w="594" w:type="dxa"/>
            <w:vAlign w:val="top"/>
          </w:tcPr>
          <w:p>
            <w:pPr>
              <w:pStyle w:val="TableText"/>
              <w:ind w:left="164"/>
              <w:spacing w:before="240" w:line="183" w:lineRule="auto"/>
              <w:rPr>
                <w:sz w:val="16"/>
                <w:szCs w:val="16"/>
              </w:rPr>
            </w:pPr>
            <w:r>
              <w:rPr>
                <w:sz w:val="16"/>
                <w:szCs w:val="16"/>
                <w:spacing w:val="-3"/>
              </w:rPr>
              <w:t>304</w:t>
            </w:r>
          </w:p>
        </w:tc>
        <w:tc>
          <w:tcPr>
            <w:tcW w:w="1279" w:type="dxa"/>
            <w:vAlign w:val="top"/>
          </w:tcPr>
          <w:p>
            <w:pPr>
              <w:pStyle w:val="TableText"/>
              <w:ind w:left="231"/>
              <w:spacing w:before="199" w:line="219" w:lineRule="auto"/>
              <w:rPr>
                <w:sz w:val="16"/>
                <w:szCs w:val="16"/>
              </w:rPr>
            </w:pPr>
            <w:r>
              <w:rPr>
                <w:sz w:val="16"/>
                <w:szCs w:val="16"/>
                <w:spacing w:val="-2"/>
              </w:rPr>
              <w:t>交满运独部</w:t>
            </w:r>
          </w:p>
        </w:tc>
        <w:tc>
          <w:tcPr>
            <w:tcW w:w="1648" w:type="dxa"/>
            <w:vAlign w:val="top"/>
          </w:tcPr>
          <w:p>
            <w:pPr>
              <w:pStyle w:val="TableText"/>
              <w:ind w:left="42" w:right="314" w:firstLine="10"/>
              <w:spacing w:before="99" w:line="225" w:lineRule="auto"/>
              <w:rPr>
                <w:sz w:val="16"/>
                <w:szCs w:val="16"/>
              </w:rPr>
            </w:pPr>
            <w:r>
              <w:rPr>
                <w:sz w:val="16"/>
                <w:szCs w:val="16"/>
                <w:spacing w:val="-2"/>
              </w:rPr>
              <w:t>前口采据雄破患工</w:t>
            </w:r>
            <w:r>
              <w:rPr>
                <w:sz w:val="16"/>
                <w:szCs w:val="16"/>
                <w:spacing w:val="6"/>
              </w:rPr>
              <w:t xml:space="preserve"> </w:t>
            </w:r>
            <w:r>
              <w:rPr>
                <w:sz w:val="16"/>
                <w:szCs w:val="16"/>
                <w:spacing w:val="-2"/>
              </w:rPr>
              <w:t>作费件可</w:t>
            </w:r>
          </w:p>
        </w:tc>
        <w:tc>
          <w:tcPr>
            <w:tcW w:w="2367" w:type="dxa"/>
            <w:vAlign w:val="top"/>
          </w:tcPr>
          <w:p>
            <w:pPr>
              <w:pStyle w:val="TableText"/>
              <w:ind w:left="64" w:right="51" w:firstLine="9"/>
              <w:spacing w:before="89" w:line="231" w:lineRule="auto"/>
              <w:rPr>
                <w:sz w:val="16"/>
                <w:szCs w:val="16"/>
              </w:rPr>
            </w:pPr>
            <w:r>
              <w:rPr>
                <w:sz w:val="16"/>
                <w:szCs w:val="16"/>
                <w:spacing w:val="-1"/>
              </w:rPr>
              <w:t>省级、议区的市级，县级落口行</w:t>
            </w:r>
            <w:r>
              <w:rPr>
                <w:sz w:val="16"/>
                <w:szCs w:val="16"/>
                <w:spacing w:val="4"/>
              </w:rPr>
              <w:t xml:space="preserve"> </w:t>
            </w:r>
            <w:r>
              <w:rPr>
                <w:sz w:val="16"/>
                <w:szCs w:val="16"/>
                <w:spacing w:val="3"/>
              </w:rPr>
              <w:t>政管理部门</w:t>
            </w:r>
          </w:p>
        </w:tc>
        <w:tc>
          <w:tcPr>
            <w:tcW w:w="3711" w:type="dxa"/>
            <w:vAlign w:val="top"/>
          </w:tcPr>
          <w:p>
            <w:pPr>
              <w:pStyle w:val="TableText"/>
              <w:ind w:left="46"/>
              <w:spacing w:before="199" w:line="219" w:lineRule="auto"/>
              <w:rPr>
                <w:sz w:val="16"/>
                <w:szCs w:val="16"/>
              </w:rPr>
            </w:pPr>
            <w:r>
              <w:rPr>
                <w:sz w:val="16"/>
                <w:szCs w:val="16"/>
              </w:rPr>
              <w:t>中华人民共和国前口法》</w:t>
            </w:r>
          </w:p>
        </w:tc>
      </w:tr>
      <w:tr>
        <w:trPr>
          <w:trHeight w:val="729" w:hRule="atLeast"/>
        </w:trPr>
        <w:tc>
          <w:tcPr>
            <w:tcW w:w="594" w:type="dxa"/>
            <w:vAlign w:val="top"/>
          </w:tcPr>
          <w:p>
            <w:pPr>
              <w:spacing w:line="278" w:lineRule="auto"/>
              <w:rPr>
                <w:rFonts w:ascii="Arial"/>
                <w:sz w:val="21"/>
              </w:rPr>
            </w:pPr>
            <w:r/>
          </w:p>
          <w:p>
            <w:pPr>
              <w:pStyle w:val="TableText"/>
              <w:ind w:left="164"/>
              <w:spacing w:before="52" w:line="183" w:lineRule="auto"/>
              <w:rPr>
                <w:sz w:val="16"/>
                <w:szCs w:val="16"/>
              </w:rPr>
            </w:pPr>
            <w:r>
              <w:rPr>
                <w:sz w:val="16"/>
                <w:szCs w:val="16"/>
                <w:spacing w:val="-3"/>
              </w:rPr>
              <w:t>3MS</w:t>
            </w:r>
          </w:p>
        </w:tc>
        <w:tc>
          <w:tcPr>
            <w:tcW w:w="1279" w:type="dxa"/>
            <w:vAlign w:val="top"/>
          </w:tcPr>
          <w:p>
            <w:pPr>
              <w:pStyle w:val="TableText"/>
              <w:ind w:left="231"/>
              <w:spacing w:before="289" w:line="219" w:lineRule="auto"/>
              <w:rPr>
                <w:sz w:val="16"/>
                <w:szCs w:val="16"/>
              </w:rPr>
            </w:pPr>
            <w:r>
              <w:rPr>
                <w:sz w:val="16"/>
                <w:szCs w:val="16"/>
                <w:spacing w:val="-2"/>
              </w:rPr>
              <w:t>交通运轴部</w:t>
            </w:r>
          </w:p>
        </w:tc>
        <w:tc>
          <w:tcPr>
            <w:tcW w:w="1648" w:type="dxa"/>
            <w:vAlign w:val="top"/>
          </w:tcPr>
          <w:p>
            <w:pPr>
              <w:pStyle w:val="TableText"/>
              <w:ind w:left="42" w:right="129"/>
              <w:spacing w:before="109" w:line="222" w:lineRule="auto"/>
              <w:jc w:val="both"/>
              <w:rPr>
                <w:sz w:val="16"/>
                <w:szCs w:val="16"/>
              </w:rPr>
            </w:pPr>
            <w:r>
              <w:rPr>
                <w:sz w:val="16"/>
                <w:szCs w:val="16"/>
                <w:spacing w:val="-1"/>
              </w:rPr>
              <w:t>混口内进行龙险货物</w:t>
            </w:r>
            <w:r>
              <w:rPr>
                <w:sz w:val="16"/>
                <w:szCs w:val="16"/>
              </w:rPr>
              <w:t xml:space="preserve"> </w:t>
            </w:r>
            <w:r>
              <w:rPr>
                <w:sz w:val="16"/>
                <w:szCs w:val="16"/>
                <w:spacing w:val="2"/>
              </w:rPr>
              <w:t>的装如，过袋作业许</w:t>
            </w:r>
            <w:r>
              <w:rPr>
                <w:sz w:val="16"/>
                <w:szCs w:val="16"/>
                <w:spacing w:val="7"/>
              </w:rPr>
              <w:t xml:space="preserve"> </w:t>
            </w:r>
            <w:r>
              <w:rPr>
                <w:sz w:val="16"/>
                <w:szCs w:val="16"/>
              </w:rPr>
              <w:t>可</w:t>
            </w:r>
          </w:p>
        </w:tc>
        <w:tc>
          <w:tcPr>
            <w:tcW w:w="2367" w:type="dxa"/>
            <w:vAlign w:val="top"/>
          </w:tcPr>
          <w:p>
            <w:pPr>
              <w:pStyle w:val="TableText"/>
              <w:ind w:left="64" w:right="51" w:firstLine="9"/>
              <w:spacing w:before="180" w:line="231" w:lineRule="auto"/>
              <w:rPr>
                <w:sz w:val="16"/>
                <w:szCs w:val="16"/>
              </w:rPr>
            </w:pPr>
            <w:r>
              <w:rPr>
                <w:sz w:val="16"/>
                <w:szCs w:val="16"/>
                <w:spacing w:val="-1"/>
              </w:rPr>
              <w:t>省级，设区明市级、县级道口行</w:t>
            </w:r>
            <w:r>
              <w:rPr>
                <w:sz w:val="16"/>
                <w:szCs w:val="16"/>
                <w:spacing w:val="4"/>
              </w:rPr>
              <w:t xml:space="preserve"> </w:t>
            </w:r>
            <w:r>
              <w:rPr>
                <w:sz w:val="16"/>
                <w:szCs w:val="16"/>
                <w:spacing w:val="3"/>
              </w:rPr>
              <w:t>政管理落门</w:t>
            </w:r>
          </w:p>
        </w:tc>
        <w:tc>
          <w:tcPr>
            <w:tcW w:w="3711" w:type="dxa"/>
            <w:vAlign w:val="top"/>
          </w:tcPr>
          <w:p>
            <w:pPr>
              <w:pStyle w:val="TableText"/>
              <w:ind w:left="46"/>
              <w:spacing w:before="180" w:line="230" w:lineRule="auto"/>
              <w:rPr>
                <w:sz w:val="16"/>
                <w:szCs w:val="16"/>
              </w:rPr>
            </w:pPr>
            <w:r>
              <w:rPr>
                <w:sz w:val="16"/>
                <w:szCs w:val="16"/>
                <w:spacing w:val="2"/>
              </w:rPr>
              <w:t>个中空人范共和回卷口法)</w:t>
            </w:r>
          </w:p>
          <w:p>
            <w:pPr>
              <w:pStyle w:val="TableText"/>
              <w:ind w:left="46"/>
              <w:spacing w:line="218" w:lineRule="auto"/>
              <w:rPr>
                <w:sz w:val="16"/>
                <w:szCs w:val="16"/>
              </w:rPr>
            </w:pPr>
            <w:r>
              <w:rPr>
                <w:sz w:val="16"/>
                <w:szCs w:val="16"/>
                <w:spacing w:val="-1"/>
              </w:rPr>
              <w:t>地口危阶货物安全管理显定：</w:t>
            </w:r>
          </w:p>
        </w:tc>
      </w:tr>
      <w:tr>
        <w:trPr>
          <w:trHeight w:val="739" w:hRule="atLeast"/>
        </w:trPr>
        <w:tc>
          <w:tcPr>
            <w:tcW w:w="594" w:type="dxa"/>
            <w:vAlign w:val="top"/>
          </w:tcPr>
          <w:p>
            <w:pPr>
              <w:spacing w:line="279" w:lineRule="auto"/>
              <w:rPr>
                <w:rFonts w:ascii="Arial"/>
                <w:sz w:val="21"/>
              </w:rPr>
            </w:pPr>
            <w:r/>
          </w:p>
          <w:p>
            <w:pPr>
              <w:pStyle w:val="TableText"/>
              <w:ind w:left="164"/>
              <w:spacing w:before="52" w:line="183" w:lineRule="auto"/>
              <w:rPr>
                <w:sz w:val="16"/>
                <w:szCs w:val="16"/>
              </w:rPr>
            </w:pPr>
            <w:r>
              <w:rPr>
                <w:sz w:val="16"/>
                <w:szCs w:val="16"/>
                <w:spacing w:val="-3"/>
              </w:rPr>
              <w:t>306</w:t>
            </w:r>
          </w:p>
        </w:tc>
        <w:tc>
          <w:tcPr>
            <w:tcW w:w="1279" w:type="dxa"/>
            <w:vAlign w:val="top"/>
          </w:tcPr>
          <w:p>
            <w:pPr>
              <w:pStyle w:val="TableText"/>
              <w:ind w:left="241"/>
              <w:spacing w:before="290" w:line="219" w:lineRule="auto"/>
              <w:rPr>
                <w:sz w:val="16"/>
                <w:szCs w:val="16"/>
              </w:rPr>
            </w:pPr>
            <w:r>
              <w:rPr>
                <w:sz w:val="16"/>
                <w:szCs w:val="16"/>
                <w:spacing w:val="-7"/>
              </w:rPr>
              <w:t>交</w:t>
            </w:r>
            <w:r>
              <w:rPr>
                <w:sz w:val="16"/>
                <w:szCs w:val="16"/>
                <w:spacing w:val="-15"/>
              </w:rPr>
              <w:t xml:space="preserve"> </w:t>
            </w:r>
            <w:r>
              <w:rPr>
                <w:sz w:val="16"/>
                <w:szCs w:val="16"/>
                <w:spacing w:val="-7"/>
              </w:rPr>
              <w:t>前</w:t>
            </w:r>
            <w:r>
              <w:rPr>
                <w:sz w:val="16"/>
                <w:szCs w:val="16"/>
                <w:spacing w:val="-20"/>
              </w:rPr>
              <w:t xml:space="preserve"> </w:t>
            </w:r>
            <w:r>
              <w:rPr>
                <w:sz w:val="16"/>
                <w:szCs w:val="16"/>
                <w:spacing w:val="-7"/>
              </w:rPr>
              <w:t>运</w:t>
            </w:r>
            <w:r>
              <w:rPr>
                <w:sz w:val="16"/>
                <w:szCs w:val="16"/>
                <w:spacing w:val="-20"/>
              </w:rPr>
              <w:t xml:space="preserve"> </w:t>
            </w:r>
            <w:r>
              <w:rPr>
                <w:sz w:val="16"/>
                <w:szCs w:val="16"/>
                <w:spacing w:val="-7"/>
              </w:rPr>
              <w:t>轴</w:t>
            </w:r>
          </w:p>
        </w:tc>
        <w:tc>
          <w:tcPr>
            <w:tcW w:w="1648" w:type="dxa"/>
            <w:vAlign w:val="top"/>
          </w:tcPr>
          <w:p>
            <w:pPr>
              <w:pStyle w:val="TableText"/>
              <w:ind w:left="42" w:right="151" w:firstLine="10"/>
              <w:spacing w:before="191" w:line="226" w:lineRule="auto"/>
              <w:rPr>
                <w:sz w:val="16"/>
                <w:szCs w:val="16"/>
              </w:rPr>
            </w:pPr>
            <w:r>
              <w:rPr>
                <w:sz w:val="16"/>
                <w:szCs w:val="16"/>
                <w:spacing w:val="-1"/>
              </w:rPr>
              <w:t>港口设能保安证书核</w:t>
            </w:r>
            <w:r>
              <w:rPr>
                <w:sz w:val="16"/>
                <w:szCs w:val="16"/>
                <w:spacing w:val="2"/>
              </w:rPr>
              <w:t xml:space="preserve"> </w:t>
            </w:r>
            <w:r>
              <w:rPr>
                <w:sz w:val="16"/>
                <w:szCs w:val="16"/>
              </w:rPr>
              <w:t>发</w:t>
            </w:r>
          </w:p>
        </w:tc>
        <w:tc>
          <w:tcPr>
            <w:tcW w:w="2367" w:type="dxa"/>
            <w:vAlign w:val="top"/>
          </w:tcPr>
          <w:p>
            <w:pPr>
              <w:pStyle w:val="TableText"/>
              <w:ind w:left="64"/>
              <w:spacing w:before="290" w:line="219" w:lineRule="auto"/>
              <w:rPr>
                <w:sz w:val="16"/>
                <w:szCs w:val="16"/>
              </w:rPr>
            </w:pPr>
            <w:r>
              <w:rPr>
                <w:sz w:val="16"/>
                <w:szCs w:val="16"/>
                <w:spacing w:val="-1"/>
              </w:rPr>
              <w:t>省级交通流轴(德口)范</w:t>
            </w:r>
          </w:p>
        </w:tc>
        <w:tc>
          <w:tcPr>
            <w:tcW w:w="3711" w:type="dxa"/>
            <w:vAlign w:val="top"/>
          </w:tcPr>
          <w:p>
            <w:pPr>
              <w:pStyle w:val="TableText"/>
              <w:ind w:left="46" w:right="287"/>
              <w:spacing w:before="81" w:line="225" w:lineRule="auto"/>
              <w:rPr>
                <w:sz w:val="16"/>
                <w:szCs w:val="16"/>
              </w:rPr>
            </w:pPr>
            <w:r>
              <w:rPr>
                <w:sz w:val="16"/>
                <w:szCs w:val="16"/>
              </w:rPr>
              <w:t>国务民对调高伴置的行政审性项师设定行政许可</w:t>
            </w:r>
            <w:r>
              <w:rPr>
                <w:sz w:val="16"/>
                <w:szCs w:val="16"/>
                <w:spacing w:val="5"/>
              </w:rPr>
              <w:t xml:space="preserve"> </w:t>
            </w:r>
            <w:r>
              <w:rPr>
                <w:sz w:val="16"/>
                <w:szCs w:val="16"/>
                <w:spacing w:val="8"/>
              </w:rPr>
              <w:t>的决定)</w:t>
            </w:r>
          </w:p>
          <w:p>
            <w:pPr>
              <w:pStyle w:val="TableText"/>
              <w:ind w:left="46"/>
              <w:spacing w:before="30" w:line="219" w:lineRule="auto"/>
              <w:rPr>
                <w:sz w:val="16"/>
                <w:szCs w:val="16"/>
              </w:rPr>
            </w:pPr>
            <w:r>
              <w:rPr>
                <w:sz w:val="16"/>
                <w:szCs w:val="16"/>
                <w:spacing w:val="1"/>
              </w:rPr>
              <w:t>1中华人民共和四能口没造保安观闹</w:t>
            </w:r>
          </w:p>
        </w:tc>
      </w:tr>
      <w:tr>
        <w:trPr>
          <w:trHeight w:val="549" w:hRule="atLeast"/>
        </w:trPr>
        <w:tc>
          <w:tcPr>
            <w:tcW w:w="594" w:type="dxa"/>
            <w:vAlign w:val="top"/>
          </w:tcPr>
          <w:p>
            <w:pPr>
              <w:pStyle w:val="TableText"/>
              <w:ind w:left="164"/>
              <w:spacing w:before="243" w:line="183" w:lineRule="auto"/>
              <w:rPr>
                <w:sz w:val="16"/>
                <w:szCs w:val="16"/>
              </w:rPr>
            </w:pPr>
            <w:r>
              <w:rPr>
                <w:sz w:val="16"/>
                <w:szCs w:val="16"/>
                <w:spacing w:val="-3"/>
              </w:rPr>
              <w:t>307</w:t>
            </w:r>
          </w:p>
        </w:tc>
        <w:tc>
          <w:tcPr>
            <w:tcW w:w="1279" w:type="dxa"/>
            <w:vAlign w:val="top"/>
          </w:tcPr>
          <w:p>
            <w:pPr>
              <w:pStyle w:val="TableText"/>
              <w:ind w:left="231"/>
              <w:spacing w:before="202" w:line="219" w:lineRule="auto"/>
              <w:rPr>
                <w:sz w:val="16"/>
                <w:szCs w:val="16"/>
              </w:rPr>
            </w:pPr>
            <w:r>
              <w:rPr>
                <w:sz w:val="16"/>
                <w:szCs w:val="16"/>
                <w:spacing w:val="2"/>
              </w:rPr>
              <w:t>交通每的加</w:t>
            </w:r>
          </w:p>
        </w:tc>
        <w:tc>
          <w:tcPr>
            <w:tcW w:w="1648" w:type="dxa"/>
            <w:vAlign w:val="top"/>
          </w:tcPr>
          <w:p>
            <w:pPr>
              <w:pStyle w:val="TableText"/>
              <w:ind w:left="42"/>
              <w:spacing w:before="201" w:line="219" w:lineRule="auto"/>
              <w:rPr>
                <w:sz w:val="16"/>
                <w:szCs w:val="16"/>
              </w:rPr>
            </w:pPr>
            <w:r>
              <w:rPr>
                <w:sz w:val="16"/>
                <w:szCs w:val="16"/>
                <w:spacing w:val="-1"/>
              </w:rPr>
              <w:t>级立引酸机构审量</w:t>
            </w:r>
          </w:p>
        </w:tc>
        <w:tc>
          <w:tcPr>
            <w:tcW w:w="2367" w:type="dxa"/>
            <w:vAlign w:val="top"/>
          </w:tcPr>
          <w:p>
            <w:pPr>
              <w:pStyle w:val="TableText"/>
              <w:ind w:left="64"/>
              <w:spacing w:before="202" w:line="219" w:lineRule="auto"/>
              <w:rPr>
                <w:sz w:val="16"/>
                <w:szCs w:val="16"/>
              </w:rPr>
            </w:pPr>
            <w:r>
              <w:rPr>
                <w:sz w:val="16"/>
                <w:szCs w:val="16"/>
                <w:spacing w:val="2"/>
              </w:rPr>
              <w:t>交通运输加</w:t>
            </w:r>
          </w:p>
        </w:tc>
        <w:tc>
          <w:tcPr>
            <w:tcW w:w="3711" w:type="dxa"/>
            <w:vAlign w:val="top"/>
          </w:tcPr>
          <w:p>
            <w:pPr>
              <w:pStyle w:val="TableText"/>
              <w:ind w:left="46" w:right="208" w:firstLine="10"/>
              <w:spacing w:before="91" w:line="237" w:lineRule="auto"/>
              <w:rPr>
                <w:sz w:val="16"/>
                <w:szCs w:val="16"/>
              </w:rPr>
            </w:pPr>
            <w:r>
              <w:rPr>
                <w:sz w:val="16"/>
                <w:szCs w:val="16"/>
                <w:spacing w:val="-1"/>
              </w:rPr>
              <w:t>T国务食对确管律群的行故审批项世设定行改许可</w:t>
            </w:r>
            <w:r>
              <w:rPr>
                <w:sz w:val="16"/>
                <w:szCs w:val="16"/>
                <w:spacing w:val="16"/>
              </w:rPr>
              <w:t xml:space="preserve"> </w:t>
            </w:r>
            <w:r>
              <w:rPr>
                <w:sz w:val="16"/>
                <w:szCs w:val="16"/>
              </w:rPr>
              <w:t>的决定》</w:t>
            </w:r>
          </w:p>
        </w:tc>
      </w:tr>
      <w:tr>
        <w:trPr>
          <w:trHeight w:val="529" w:hRule="atLeast"/>
        </w:trPr>
        <w:tc>
          <w:tcPr>
            <w:tcW w:w="594" w:type="dxa"/>
            <w:vAlign w:val="top"/>
          </w:tcPr>
          <w:p>
            <w:pPr>
              <w:pStyle w:val="TableText"/>
              <w:ind w:left="164"/>
              <w:spacing w:before="234" w:line="183" w:lineRule="auto"/>
              <w:rPr>
                <w:sz w:val="16"/>
                <w:szCs w:val="16"/>
              </w:rPr>
            </w:pPr>
            <w:r>
              <w:rPr>
                <w:sz w:val="16"/>
                <w:szCs w:val="16"/>
                <w:spacing w:val="-3"/>
              </w:rPr>
              <w:t>506</w:t>
            </w:r>
          </w:p>
        </w:tc>
        <w:tc>
          <w:tcPr>
            <w:tcW w:w="1279" w:type="dxa"/>
            <w:vAlign w:val="top"/>
          </w:tcPr>
          <w:p>
            <w:pPr>
              <w:pStyle w:val="TableText"/>
              <w:ind w:left="231"/>
              <w:spacing w:before="193" w:line="219" w:lineRule="auto"/>
              <w:rPr>
                <w:sz w:val="16"/>
                <w:szCs w:val="16"/>
              </w:rPr>
            </w:pPr>
            <w:r>
              <w:rPr>
                <w:sz w:val="16"/>
                <w:szCs w:val="16"/>
                <w:spacing w:val="-2"/>
              </w:rPr>
              <w:t>交通运输落</w:t>
            </w:r>
          </w:p>
        </w:tc>
        <w:tc>
          <w:tcPr>
            <w:tcW w:w="1648" w:type="dxa"/>
            <w:vAlign w:val="top"/>
          </w:tcPr>
          <w:p>
            <w:pPr>
              <w:pStyle w:val="TableText"/>
              <w:ind w:left="42" w:right="132" w:firstLine="10"/>
              <w:spacing w:before="93" w:line="230" w:lineRule="auto"/>
              <w:rPr>
                <w:sz w:val="16"/>
                <w:szCs w:val="16"/>
              </w:rPr>
            </w:pPr>
            <w:r>
              <w:rPr>
                <w:sz w:val="16"/>
                <w:szCs w:val="16"/>
                <w:spacing w:val="1"/>
              </w:rPr>
              <w:t>段立船船检岩机构审</w:t>
            </w:r>
            <w:r>
              <w:rPr>
                <w:sz w:val="16"/>
                <w:szCs w:val="16"/>
                <w:spacing w:val="3"/>
              </w:rPr>
              <w:t xml:space="preserve"> </w:t>
            </w:r>
            <w:r>
              <w:rPr>
                <w:sz w:val="16"/>
                <w:szCs w:val="16"/>
              </w:rPr>
              <w:t>君</w:t>
            </w:r>
          </w:p>
        </w:tc>
        <w:tc>
          <w:tcPr>
            <w:tcW w:w="2367" w:type="dxa"/>
            <w:vAlign w:val="top"/>
          </w:tcPr>
          <w:p>
            <w:pPr>
              <w:pStyle w:val="TableText"/>
              <w:ind w:left="64"/>
              <w:spacing w:before="193" w:line="219" w:lineRule="auto"/>
              <w:rPr>
                <w:sz w:val="16"/>
                <w:szCs w:val="16"/>
              </w:rPr>
            </w:pPr>
            <w:r>
              <w:rPr>
                <w:sz w:val="16"/>
                <w:szCs w:val="16"/>
                <w:spacing w:val="1"/>
              </w:rPr>
              <w:t>交通运检部海非局</w:t>
            </w:r>
          </w:p>
        </w:tc>
        <w:tc>
          <w:tcPr>
            <w:tcW w:w="3711" w:type="dxa"/>
            <w:vAlign w:val="top"/>
          </w:tcPr>
          <w:p>
            <w:pPr>
              <w:pStyle w:val="TableText"/>
              <w:ind w:left="46"/>
              <w:spacing w:before="93" w:line="219" w:lineRule="auto"/>
              <w:rPr>
                <w:sz w:val="16"/>
                <w:szCs w:val="16"/>
              </w:rPr>
            </w:pPr>
            <w:r>
              <w:rPr>
                <w:sz w:val="16"/>
                <w:szCs w:val="16"/>
                <w:spacing w:val="1"/>
              </w:rPr>
              <w:t>4中华人民共和国海上交录安全以1</w:t>
            </w:r>
          </w:p>
          <w:p>
            <w:pPr>
              <w:pStyle w:val="TableText"/>
              <w:ind w:left="46"/>
              <w:spacing w:before="10" w:line="219" w:lineRule="auto"/>
              <w:rPr>
                <w:sz w:val="16"/>
                <w:szCs w:val="16"/>
              </w:rPr>
            </w:pPr>
            <w:r>
              <w:rPr>
                <w:sz w:val="16"/>
                <w:szCs w:val="16"/>
                <w:spacing w:val="-1"/>
              </w:rPr>
              <w:t>中华人民共和国册范和确上说施检验条例》</w:t>
            </w:r>
          </w:p>
        </w:tc>
      </w:tr>
      <w:tr>
        <w:trPr>
          <w:trHeight w:val="959" w:hRule="atLeast"/>
        </w:trPr>
        <w:tc>
          <w:tcPr>
            <w:tcW w:w="594" w:type="dxa"/>
            <w:vAlign w:val="top"/>
          </w:tcPr>
          <w:p>
            <w:pPr>
              <w:spacing w:line="391" w:lineRule="auto"/>
              <w:rPr>
                <w:rFonts w:ascii="Arial"/>
                <w:sz w:val="21"/>
              </w:rPr>
            </w:pPr>
            <w:r/>
          </w:p>
          <w:p>
            <w:pPr>
              <w:pStyle w:val="TableText"/>
              <w:ind w:left="164"/>
              <w:spacing w:before="52" w:line="183" w:lineRule="auto"/>
              <w:rPr>
                <w:sz w:val="16"/>
                <w:szCs w:val="16"/>
              </w:rPr>
            </w:pPr>
            <w:r>
              <w:rPr>
                <w:sz w:val="16"/>
                <w:szCs w:val="16"/>
                <w:spacing w:val="-2"/>
              </w:rPr>
              <w:t>409</w:t>
            </w:r>
          </w:p>
        </w:tc>
        <w:tc>
          <w:tcPr>
            <w:tcW w:w="1279" w:type="dxa"/>
            <w:vAlign w:val="top"/>
          </w:tcPr>
          <w:p>
            <w:pPr>
              <w:spacing w:line="350" w:lineRule="auto"/>
              <w:rPr>
                <w:rFonts w:ascii="Arial"/>
                <w:sz w:val="21"/>
              </w:rPr>
            </w:pPr>
            <w:r/>
          </w:p>
          <w:p>
            <w:pPr>
              <w:pStyle w:val="TableText"/>
              <w:ind w:left="231"/>
              <w:spacing w:before="52" w:line="219" w:lineRule="auto"/>
              <w:rPr>
                <w:sz w:val="16"/>
                <w:szCs w:val="16"/>
              </w:rPr>
            </w:pPr>
            <w:r>
              <w:rPr>
                <w:sz w:val="16"/>
                <w:szCs w:val="16"/>
                <w:spacing w:val="-2"/>
              </w:rPr>
              <w:t>交通运销都</w:t>
            </w:r>
          </w:p>
        </w:tc>
        <w:tc>
          <w:tcPr>
            <w:tcW w:w="1648" w:type="dxa"/>
            <w:vAlign w:val="top"/>
          </w:tcPr>
          <w:p>
            <w:pPr>
              <w:spacing w:line="270" w:lineRule="auto"/>
              <w:rPr>
                <w:rFonts w:ascii="Arial"/>
                <w:sz w:val="21"/>
              </w:rPr>
            </w:pPr>
            <w:r/>
          </w:p>
          <w:p>
            <w:pPr>
              <w:pStyle w:val="TableText"/>
              <w:ind w:left="42" w:right="134" w:firstLine="30"/>
              <w:spacing w:before="52" w:line="220" w:lineRule="auto"/>
              <w:rPr>
                <w:sz w:val="16"/>
                <w:szCs w:val="16"/>
              </w:rPr>
            </w:pPr>
            <w:r>
              <w:rPr>
                <w:sz w:val="16"/>
                <w:szCs w:val="16"/>
                <w:spacing w:val="-1"/>
              </w:rPr>
              <w:t>水适工程监互企业资</w:t>
            </w:r>
            <w:r>
              <w:rPr>
                <w:sz w:val="16"/>
                <w:szCs w:val="16"/>
              </w:rPr>
              <w:t xml:space="preserve"> </w:t>
            </w:r>
            <w:r>
              <w:rPr>
                <w:sz w:val="16"/>
                <w:szCs w:val="16"/>
                <w:spacing w:val="-3"/>
              </w:rPr>
              <w:t>照许可</w:t>
            </w:r>
          </w:p>
        </w:tc>
        <w:tc>
          <w:tcPr>
            <w:tcW w:w="2367" w:type="dxa"/>
            <w:vAlign w:val="top"/>
          </w:tcPr>
          <w:p>
            <w:pPr>
              <w:spacing w:line="349" w:lineRule="auto"/>
              <w:rPr>
                <w:rFonts w:ascii="Arial"/>
                <w:sz w:val="21"/>
              </w:rPr>
            </w:pPr>
            <w:r/>
          </w:p>
          <w:p>
            <w:pPr>
              <w:pStyle w:val="TableText"/>
              <w:ind w:left="64"/>
              <w:spacing w:before="52" w:line="219" w:lineRule="auto"/>
              <w:rPr>
                <w:sz w:val="16"/>
                <w:szCs w:val="16"/>
              </w:rPr>
            </w:pPr>
            <w:r>
              <w:rPr>
                <w:sz w:val="16"/>
                <w:szCs w:val="16"/>
                <w:spacing w:val="2"/>
              </w:rPr>
              <w:t>省酸交通送就幕门</w:t>
            </w:r>
          </w:p>
        </w:tc>
        <w:tc>
          <w:tcPr>
            <w:tcW w:w="3711" w:type="dxa"/>
            <w:vAlign w:val="top"/>
          </w:tcPr>
          <w:p>
            <w:pPr>
              <w:pStyle w:val="TableText"/>
              <w:ind w:left="46"/>
              <w:spacing w:before="104" w:line="219" w:lineRule="auto"/>
              <w:rPr>
                <w:sz w:val="16"/>
                <w:szCs w:val="16"/>
              </w:rPr>
            </w:pPr>
            <w:r>
              <w:rPr>
                <w:sz w:val="16"/>
                <w:szCs w:val="16"/>
                <w:spacing w:val="1"/>
              </w:rPr>
              <w:t>1建设工程度量行理条多1</w:t>
            </w:r>
          </w:p>
          <w:p>
            <w:pPr>
              <w:pStyle w:val="TableText"/>
              <w:ind w:left="46"/>
              <w:spacing w:before="29" w:line="208" w:lineRule="auto"/>
              <w:rPr>
                <w:sz w:val="16"/>
                <w:szCs w:val="16"/>
              </w:rPr>
            </w:pPr>
            <w:r>
              <w:rPr>
                <w:sz w:val="16"/>
                <w:szCs w:val="16"/>
              </w:rPr>
              <w:t>1公路水运工型宿理金业资应管府规定》</w:t>
            </w:r>
          </w:p>
          <w:p>
            <w:pPr>
              <w:pStyle w:val="TableText"/>
              <w:ind w:left="46" w:right="33" w:firstLine="10"/>
              <w:spacing w:line="236" w:lineRule="auto"/>
              <w:rPr>
                <w:sz w:val="16"/>
                <w:szCs w:val="16"/>
              </w:rPr>
            </w:pPr>
            <w:r>
              <w:rPr>
                <w:sz w:val="16"/>
                <w:szCs w:val="16"/>
              </w:rPr>
              <w:t>(国务院关于源化“近用分离”改革道一步激发市场</w:t>
            </w:r>
            <w:r>
              <w:rPr>
                <w:sz w:val="16"/>
                <w:szCs w:val="16"/>
                <w:spacing w:val="9"/>
              </w:rPr>
              <w:t xml:space="preserve"> </w:t>
            </w:r>
            <w:r>
              <w:rPr>
                <w:sz w:val="16"/>
                <w:szCs w:val="16"/>
                <w:spacing w:val="1"/>
              </w:rPr>
              <w:t>主体发展活力的通包料包发(208)]7号)</w:t>
            </w:r>
          </w:p>
        </w:tc>
      </w:tr>
      <w:tr>
        <w:trPr>
          <w:trHeight w:val="644" w:hRule="atLeast"/>
        </w:trPr>
        <w:tc>
          <w:tcPr>
            <w:tcW w:w="594" w:type="dxa"/>
            <w:vAlign w:val="top"/>
          </w:tcPr>
          <w:p>
            <w:pPr>
              <w:pStyle w:val="TableText"/>
              <w:ind w:left="164"/>
              <w:spacing w:before="286" w:line="184" w:lineRule="auto"/>
              <w:rPr>
                <w:sz w:val="16"/>
                <w:szCs w:val="16"/>
              </w:rPr>
            </w:pPr>
            <w:r>
              <w:rPr>
                <w:sz w:val="16"/>
                <w:szCs w:val="16"/>
                <w:spacing w:val="-3"/>
              </w:rPr>
              <w:t>310</w:t>
            </w:r>
          </w:p>
        </w:tc>
        <w:tc>
          <w:tcPr>
            <w:tcW w:w="1279" w:type="dxa"/>
            <w:vAlign w:val="top"/>
          </w:tcPr>
          <w:p>
            <w:pPr>
              <w:pStyle w:val="TableText"/>
              <w:ind w:left="310"/>
              <w:spacing w:before="246" w:line="220" w:lineRule="auto"/>
              <w:rPr>
                <w:sz w:val="16"/>
                <w:szCs w:val="16"/>
              </w:rPr>
            </w:pPr>
            <w:r>
              <w:rPr>
                <w:sz w:val="16"/>
                <w:szCs w:val="16"/>
                <w:spacing w:val="-2"/>
              </w:rPr>
              <w:t>交前运徐</w:t>
            </w:r>
          </w:p>
        </w:tc>
        <w:tc>
          <w:tcPr>
            <w:tcW w:w="1648" w:type="dxa"/>
            <w:vAlign w:val="top"/>
          </w:tcPr>
          <w:p>
            <w:pPr>
              <w:pStyle w:val="TableText"/>
              <w:ind w:left="42" w:right="124" w:firstLine="40"/>
              <w:spacing w:before="166" w:line="221" w:lineRule="auto"/>
              <w:rPr>
                <w:sz w:val="16"/>
                <w:szCs w:val="16"/>
              </w:rPr>
            </w:pPr>
            <w:r>
              <w:rPr>
                <w:sz w:val="16"/>
                <w:szCs w:val="16"/>
                <w:spacing w:val="-1"/>
              </w:rPr>
              <w:t>从事酱员外需业务而</w:t>
            </w:r>
            <w:r>
              <w:rPr>
                <w:sz w:val="16"/>
                <w:szCs w:val="16"/>
              </w:rPr>
              <w:t xml:space="preserve"> </w:t>
            </w:r>
            <w:r>
              <w:rPr>
                <w:sz w:val="16"/>
                <w:szCs w:val="16"/>
              </w:rPr>
              <w:t>批</w:t>
            </w:r>
          </w:p>
        </w:tc>
        <w:tc>
          <w:tcPr>
            <w:tcW w:w="2367" w:type="dxa"/>
            <w:vAlign w:val="top"/>
          </w:tcPr>
          <w:p>
            <w:pPr>
              <w:pStyle w:val="TableText"/>
              <w:ind w:left="64"/>
              <w:spacing w:before="246" w:line="220" w:lineRule="auto"/>
              <w:rPr>
                <w:sz w:val="16"/>
                <w:szCs w:val="16"/>
              </w:rPr>
            </w:pPr>
            <w:r>
              <w:rPr>
                <w:sz w:val="16"/>
                <w:szCs w:val="16"/>
                <w:spacing w:val="2"/>
              </w:rPr>
              <w:t>直翼海事局</w:t>
            </w:r>
          </w:p>
        </w:tc>
        <w:tc>
          <w:tcPr>
            <w:tcW w:w="3711" w:type="dxa"/>
            <w:vAlign w:val="top"/>
          </w:tcPr>
          <w:p>
            <w:pPr>
              <w:pStyle w:val="TableText"/>
              <w:ind w:left="46"/>
              <w:spacing w:before="164" w:line="219" w:lineRule="auto"/>
              <w:rPr>
                <w:sz w:val="16"/>
                <w:szCs w:val="16"/>
              </w:rPr>
            </w:pPr>
            <w:r>
              <w:rPr>
                <w:sz w:val="16"/>
                <w:szCs w:val="16"/>
                <w:spacing w:val="1"/>
              </w:rPr>
              <w:t>1对外劳务合作管理条剂1</w:t>
            </w:r>
          </w:p>
          <w:p>
            <w:pPr>
              <w:pStyle w:val="TableText"/>
              <w:ind w:left="46"/>
              <w:spacing w:before="1" w:line="219" w:lineRule="auto"/>
              <w:rPr>
                <w:sz w:val="16"/>
                <w:szCs w:val="16"/>
              </w:rPr>
            </w:pPr>
            <w:r>
              <w:rPr>
                <w:sz w:val="16"/>
                <w:szCs w:val="16"/>
              </w:rPr>
              <w:t>1中华人民共和国沟富外孤情理量定</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55872" behindDoc="0" locked="0" layoutInCell="0" allowOverlap="1">
                <wp:simplePos x="0" y="0"/>
                <wp:positionH relativeFrom="page">
                  <wp:posOffset>458917</wp:posOffset>
                </wp:positionH>
                <wp:positionV relativeFrom="page">
                  <wp:posOffset>627303</wp:posOffset>
                </wp:positionV>
                <wp:extent cx="175260" cy="165100"/>
                <wp:effectExtent l="0" t="0" r="0" b="0"/>
                <wp:wrapNone/>
                <wp:docPr id="230" name="TextBox 230"/>
                <wp:cNvGraphicFramePr/>
                <a:graphic>
                  <a:graphicData uri="http://schemas.microsoft.com/office/word/2010/wordprocessingShape">
                    <wps:wsp>
                      <wps:cNvSpPr txBox="1"/>
                      <wps:spPr>
                        <a:xfrm rot="5400000">
                          <a:off x="458917" y="627303"/>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2" style="position:absolute;margin-left:36.1352pt;margin-top:49.3939pt;mso-position-vertical-relative:page;mso-position-horizontal-relative:page;width:13.8pt;height:13pt;z-index:251855872;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196</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4"/>
              <w:spacing w:before="130" w:line="219" w:lineRule="auto"/>
              <w:rPr>
                <w:sz w:val="16"/>
                <w:szCs w:val="16"/>
              </w:rPr>
            </w:pPr>
            <w:r>
              <w:rPr>
                <w:sz w:val="16"/>
                <w:szCs w:val="16"/>
                <w:spacing w:val="4"/>
              </w:rPr>
              <w:t>章号</w:t>
            </w:r>
          </w:p>
        </w:tc>
        <w:tc>
          <w:tcPr>
            <w:tcW w:w="1289" w:type="dxa"/>
            <w:vAlign w:val="top"/>
          </w:tcPr>
          <w:p>
            <w:pPr>
              <w:pStyle w:val="TableText"/>
              <w:ind w:left="150"/>
              <w:spacing w:before="132" w:line="220" w:lineRule="auto"/>
              <w:rPr>
                <w:sz w:val="16"/>
                <w:szCs w:val="16"/>
              </w:rPr>
            </w:pPr>
            <w:r>
              <w:rPr>
                <w:sz w:val="16"/>
                <w:szCs w:val="16"/>
                <w:spacing w:val="3"/>
              </w:rPr>
              <w:t>中央主登账门</w:t>
            </w:r>
          </w:p>
        </w:tc>
        <w:tc>
          <w:tcPr>
            <w:tcW w:w="1648" w:type="dxa"/>
            <w:vAlign w:val="top"/>
          </w:tcPr>
          <w:p>
            <w:pPr>
              <w:pStyle w:val="TableText"/>
              <w:ind w:left="491"/>
              <w:spacing w:before="132" w:line="220" w:lineRule="auto"/>
              <w:rPr>
                <w:sz w:val="16"/>
                <w:szCs w:val="16"/>
              </w:rPr>
            </w:pPr>
            <w:r>
              <w:rPr>
                <w:sz w:val="16"/>
                <w:szCs w:val="16"/>
                <w:spacing w:val="-2"/>
              </w:rPr>
              <w:t>事项者称</w:t>
            </w:r>
          </w:p>
        </w:tc>
        <w:tc>
          <w:tcPr>
            <w:tcW w:w="2367" w:type="dxa"/>
            <w:vAlign w:val="top"/>
          </w:tcPr>
          <w:p>
            <w:pPr>
              <w:pStyle w:val="TableText"/>
              <w:ind w:left="834"/>
              <w:spacing w:before="130" w:line="219" w:lineRule="auto"/>
              <w:rPr>
                <w:sz w:val="16"/>
                <w:szCs w:val="16"/>
              </w:rPr>
            </w:pPr>
            <w:r>
              <w:rPr>
                <w:sz w:val="16"/>
                <w:szCs w:val="16"/>
                <w:spacing w:val="-2"/>
              </w:rPr>
              <w:t>实造机关</w:t>
            </w:r>
          </w:p>
        </w:tc>
        <w:tc>
          <w:tcPr>
            <w:tcW w:w="3711" w:type="dxa"/>
            <w:vAlign w:val="top"/>
          </w:tcPr>
          <w:p>
            <w:pPr>
              <w:pStyle w:val="TableText"/>
              <w:ind w:left="1296"/>
              <w:spacing w:before="130" w:line="219" w:lineRule="auto"/>
              <w:rPr>
                <w:sz w:val="16"/>
                <w:szCs w:val="16"/>
              </w:rPr>
            </w:pPr>
            <w:r>
              <w:rPr>
                <w:sz w:val="16"/>
                <w:szCs w:val="16"/>
                <w:spacing w:val="-2"/>
              </w:rPr>
              <w:t>设定和古防依桐</w:t>
            </w:r>
          </w:p>
        </w:tc>
      </w:tr>
      <w:tr>
        <w:trPr>
          <w:trHeight w:val="1068" w:hRule="atLeast"/>
        </w:trPr>
        <w:tc>
          <w:tcPr>
            <w:tcW w:w="584" w:type="dxa"/>
            <w:vAlign w:val="top"/>
          </w:tcPr>
          <w:p>
            <w:pPr>
              <w:spacing w:line="443" w:lineRule="auto"/>
              <w:rPr>
                <w:rFonts w:ascii="Arial"/>
                <w:sz w:val="21"/>
              </w:rPr>
            </w:pPr>
            <w:r/>
          </w:p>
          <w:p>
            <w:pPr>
              <w:pStyle w:val="TableText"/>
              <w:ind w:left="204"/>
              <w:spacing w:before="52" w:line="184" w:lineRule="auto"/>
              <w:rPr>
                <w:sz w:val="16"/>
                <w:szCs w:val="16"/>
              </w:rPr>
            </w:pPr>
            <w:r>
              <w:rPr>
                <w:sz w:val="16"/>
                <w:szCs w:val="16"/>
                <w:spacing w:val="-2"/>
              </w:rPr>
              <w:t>a1</w:t>
            </w:r>
          </w:p>
        </w:tc>
        <w:tc>
          <w:tcPr>
            <w:tcW w:w="1289" w:type="dxa"/>
            <w:vAlign w:val="top"/>
          </w:tcPr>
          <w:p>
            <w:pPr>
              <w:spacing w:line="403" w:lineRule="auto"/>
              <w:rPr>
                <w:rFonts w:ascii="Arial"/>
                <w:sz w:val="21"/>
              </w:rPr>
            </w:pPr>
            <w:r/>
          </w:p>
          <w:p>
            <w:pPr>
              <w:pStyle w:val="TableText"/>
              <w:ind w:left="231"/>
              <w:spacing w:before="52" w:line="219" w:lineRule="auto"/>
              <w:rPr>
                <w:sz w:val="16"/>
                <w:szCs w:val="16"/>
              </w:rPr>
            </w:pPr>
            <w:r>
              <w:rPr>
                <w:sz w:val="16"/>
                <w:szCs w:val="16"/>
                <w:spacing w:val="-2"/>
              </w:rPr>
              <w:t>交通运偿部</w:t>
            </w:r>
          </w:p>
        </w:tc>
        <w:tc>
          <w:tcPr>
            <w:tcW w:w="1648" w:type="dxa"/>
            <w:vAlign w:val="top"/>
          </w:tcPr>
          <w:p>
            <w:pPr>
              <w:pStyle w:val="TableText"/>
              <w:ind w:left="171"/>
              <w:spacing w:before="77" w:line="219" w:lineRule="auto"/>
              <w:rPr>
                <w:sz w:val="16"/>
                <w:szCs w:val="16"/>
              </w:rPr>
            </w:pPr>
            <w:r>
              <w:rPr>
                <w:sz w:val="16"/>
                <w:szCs w:val="16"/>
                <w:spacing w:val="-1"/>
              </w:rPr>
              <w:t>在内河通禁水规载</w:t>
            </w:r>
          </w:p>
          <w:p>
            <w:pPr>
              <w:pStyle w:val="TableText"/>
              <w:ind w:left="11" w:firstLine="39"/>
              <w:spacing w:before="9" w:line="225" w:lineRule="auto"/>
              <w:rPr>
                <w:sz w:val="16"/>
                <w:szCs w:val="16"/>
              </w:rPr>
            </w:pPr>
            <w:r>
              <w:rPr>
                <w:sz w:val="16"/>
                <w:szCs w:val="16"/>
                <w:spacing w:val="-2"/>
              </w:rPr>
              <w:t>画、拖管通型，超长。</w:t>
            </w:r>
            <w:r>
              <w:rPr>
                <w:sz w:val="16"/>
                <w:szCs w:val="16"/>
                <w:spacing w:val="5"/>
              </w:rPr>
              <w:t xml:space="preserve"> </w:t>
            </w:r>
            <w:r>
              <w:rPr>
                <w:sz w:val="16"/>
                <w:szCs w:val="16"/>
                <w:spacing w:val="-2"/>
              </w:rPr>
              <w:t>刷高，越累，半潜省体</w:t>
            </w:r>
          </w:p>
          <w:p>
            <w:pPr>
              <w:pStyle w:val="TableText"/>
              <w:ind w:left="52" w:right="92" w:firstLine="40"/>
              <w:spacing w:before="10" w:line="219" w:lineRule="auto"/>
              <w:rPr>
                <w:sz w:val="16"/>
                <w:szCs w:val="16"/>
              </w:rPr>
            </w:pPr>
            <w:r>
              <w:rPr>
                <w:sz w:val="16"/>
                <w:szCs w:val="16"/>
                <w:spacing w:val="1"/>
              </w:rPr>
              <w:t>或者指致竹，木尊制</w:t>
            </w:r>
            <w:r>
              <w:rPr>
                <w:sz w:val="16"/>
                <w:szCs w:val="16"/>
                <w:spacing w:val="3"/>
              </w:rPr>
              <w:t xml:space="preserve"> </w:t>
            </w:r>
            <w:r>
              <w:rPr>
                <w:sz w:val="16"/>
                <w:szCs w:val="16"/>
                <w:spacing w:val="-2"/>
              </w:rPr>
              <w:t>体许可</w:t>
            </w:r>
          </w:p>
        </w:tc>
        <w:tc>
          <w:tcPr>
            <w:tcW w:w="2367" w:type="dxa"/>
            <w:vAlign w:val="top"/>
          </w:tcPr>
          <w:p>
            <w:pPr>
              <w:spacing w:line="303" w:lineRule="auto"/>
              <w:rPr>
                <w:rFonts w:ascii="Arial"/>
                <w:sz w:val="21"/>
              </w:rPr>
            </w:pPr>
            <w:r/>
          </w:p>
          <w:p>
            <w:pPr>
              <w:pStyle w:val="TableText"/>
              <w:ind w:left="64" w:right="71" w:hanging="10"/>
              <w:spacing w:before="52" w:line="225" w:lineRule="auto"/>
              <w:rPr>
                <w:sz w:val="16"/>
                <w:szCs w:val="16"/>
              </w:rPr>
            </w:pPr>
            <w:r>
              <w:rPr>
                <w:sz w:val="16"/>
                <w:szCs w:val="16"/>
                <w:spacing w:val="-1"/>
              </w:rPr>
              <w:t>分支海事兵，设体的市端，孔蜘</w:t>
            </w:r>
            <w:r>
              <w:rPr>
                <w:sz w:val="16"/>
                <w:szCs w:val="16"/>
                <w:spacing w:val="4"/>
              </w:rPr>
              <w:t xml:space="preserve"> </w:t>
            </w:r>
            <w:r>
              <w:rPr>
                <w:sz w:val="16"/>
                <w:szCs w:val="16"/>
                <w:spacing w:val="3"/>
              </w:rPr>
              <w:t>交通运细部门</w:t>
            </w:r>
          </w:p>
        </w:tc>
        <w:tc>
          <w:tcPr>
            <w:tcW w:w="3711" w:type="dxa"/>
            <w:vAlign w:val="top"/>
          </w:tcPr>
          <w:p>
            <w:pPr>
              <w:spacing w:line="403" w:lineRule="auto"/>
              <w:rPr>
                <w:rFonts w:ascii="Arial"/>
                <w:sz w:val="21"/>
              </w:rPr>
            </w:pPr>
            <w:r/>
          </w:p>
          <w:p>
            <w:pPr>
              <w:pStyle w:val="TableText"/>
              <w:ind w:left="47"/>
              <w:spacing w:before="52" w:line="219" w:lineRule="auto"/>
              <w:rPr>
                <w:sz w:val="16"/>
                <w:szCs w:val="16"/>
              </w:rPr>
            </w:pPr>
            <w:r>
              <w:rPr>
                <w:sz w:val="16"/>
                <w:szCs w:val="16"/>
                <w:spacing w:val="-2"/>
              </w:rPr>
              <w:t>《中华人民共和国内何交通安全管理冬例</w:t>
            </w:r>
          </w:p>
        </w:tc>
      </w:tr>
      <w:tr>
        <w:trPr>
          <w:trHeight w:val="669" w:hRule="atLeast"/>
        </w:trPr>
        <w:tc>
          <w:tcPr>
            <w:tcW w:w="584" w:type="dxa"/>
            <w:vAlign w:val="top"/>
          </w:tcPr>
          <w:p>
            <w:pPr>
              <w:spacing w:line="246" w:lineRule="auto"/>
              <w:rPr>
                <w:rFonts w:ascii="Arial"/>
                <w:sz w:val="21"/>
              </w:rPr>
            </w:pPr>
            <w:r/>
          </w:p>
          <w:p>
            <w:pPr>
              <w:pStyle w:val="TableText"/>
              <w:ind w:left="164"/>
              <w:spacing w:before="52" w:line="184" w:lineRule="auto"/>
              <w:rPr>
                <w:sz w:val="16"/>
                <w:szCs w:val="16"/>
              </w:rPr>
            </w:pPr>
            <w:r>
              <w:rPr>
                <w:sz w:val="16"/>
                <w:szCs w:val="16"/>
                <w:spacing w:val="-3"/>
              </w:rPr>
              <w:t>312</w:t>
            </w:r>
          </w:p>
        </w:tc>
        <w:tc>
          <w:tcPr>
            <w:tcW w:w="1289" w:type="dxa"/>
            <w:vAlign w:val="top"/>
          </w:tcPr>
          <w:p>
            <w:pPr>
              <w:pStyle w:val="TableText"/>
              <w:ind w:left="231"/>
              <w:spacing w:before="260" w:line="221" w:lineRule="auto"/>
              <w:rPr>
                <w:sz w:val="16"/>
                <w:szCs w:val="16"/>
              </w:rPr>
            </w:pPr>
            <w:r>
              <w:rPr>
                <w:sz w:val="16"/>
                <w:szCs w:val="16"/>
                <w:spacing w:val="3"/>
              </w:rPr>
              <w:t>交通云验出</w:t>
            </w:r>
          </w:p>
        </w:tc>
        <w:tc>
          <w:tcPr>
            <w:tcW w:w="1648" w:type="dxa"/>
            <w:vAlign w:val="top"/>
          </w:tcPr>
          <w:p>
            <w:pPr>
              <w:pStyle w:val="TableText"/>
              <w:ind w:left="62" w:right="112" w:firstLine="109"/>
              <w:spacing w:before="68" w:line="227" w:lineRule="auto"/>
              <w:jc w:val="both"/>
              <w:rPr>
                <w:sz w:val="16"/>
                <w:szCs w:val="16"/>
              </w:rPr>
            </w:pPr>
            <w:r>
              <w:rPr>
                <w:sz w:val="16"/>
                <w:szCs w:val="16"/>
              </w:rPr>
              <w:t>内常专用款春收置</w:t>
            </w:r>
            <w:r>
              <w:rPr>
                <w:sz w:val="16"/>
                <w:szCs w:val="16"/>
                <w:spacing w:val="2"/>
              </w:rPr>
              <w:t xml:space="preserve">  </w:t>
            </w:r>
            <w:r>
              <w:rPr>
                <w:sz w:val="16"/>
                <w:szCs w:val="16"/>
                <w:spacing w:val="2"/>
              </w:rPr>
              <w:t>微的、位置移动和其</w:t>
            </w:r>
            <w:r>
              <w:rPr>
                <w:sz w:val="16"/>
                <w:szCs w:val="16"/>
                <w:spacing w:val="4"/>
              </w:rPr>
              <w:t xml:space="preserve"> </w:t>
            </w:r>
            <w:r>
              <w:rPr>
                <w:sz w:val="16"/>
                <w:szCs w:val="16"/>
                <w:spacing w:val="-1"/>
              </w:rPr>
              <w:t>他状况改受重批</w:t>
            </w:r>
          </w:p>
        </w:tc>
        <w:tc>
          <w:tcPr>
            <w:tcW w:w="2367" w:type="dxa"/>
            <w:vAlign w:val="top"/>
          </w:tcPr>
          <w:p>
            <w:pPr>
              <w:pStyle w:val="TableText"/>
              <w:ind w:left="64" w:right="28" w:firstLine="9"/>
              <w:spacing w:before="40" w:line="238" w:lineRule="auto"/>
              <w:jc w:val="both"/>
              <w:rPr>
                <w:sz w:val="16"/>
                <w:szCs w:val="16"/>
              </w:rPr>
            </w:pPr>
            <w:r>
              <w:rPr>
                <w:sz w:val="16"/>
                <w:szCs w:val="16"/>
                <w:spacing w:val="1"/>
              </w:rPr>
              <w:t>交通运输离长在航多管理局，省</w:t>
            </w:r>
            <w:r>
              <w:rPr>
                <w:sz w:val="16"/>
                <w:szCs w:val="16"/>
              </w:rPr>
              <w:t xml:space="preserve"> </w:t>
            </w:r>
            <w:r>
              <w:rPr>
                <w:sz w:val="16"/>
                <w:szCs w:val="16"/>
                <w:spacing w:val="-1"/>
              </w:rPr>
              <w:t>统，设区的市级，是吸交高环糖</w:t>
            </w:r>
            <w:r>
              <w:rPr>
                <w:sz w:val="16"/>
                <w:szCs w:val="16"/>
                <w:spacing w:val="12"/>
              </w:rPr>
              <w:t xml:space="preserve"> </w:t>
            </w:r>
            <w:r>
              <w:rPr>
                <w:sz w:val="16"/>
                <w:szCs w:val="16"/>
                <w:spacing w:val="8"/>
              </w:rPr>
              <w:t>喜门</w:t>
            </w:r>
          </w:p>
        </w:tc>
        <w:tc>
          <w:tcPr>
            <w:tcW w:w="3711" w:type="dxa"/>
            <w:vAlign w:val="top"/>
          </w:tcPr>
          <w:p>
            <w:pPr>
              <w:pStyle w:val="TableText"/>
              <w:ind w:left="47"/>
              <w:spacing w:before="169" w:line="219" w:lineRule="auto"/>
              <w:rPr>
                <w:sz w:val="16"/>
                <w:szCs w:val="16"/>
              </w:rPr>
            </w:pPr>
            <w:r>
              <w:rPr>
                <w:sz w:val="16"/>
                <w:szCs w:val="16"/>
                <w:spacing w:val="-1"/>
              </w:rPr>
              <w:t>《中华人民共和国航标桑例]</w:t>
            </w:r>
          </w:p>
          <w:p>
            <w:pPr>
              <w:pStyle w:val="TableText"/>
              <w:ind w:left="47"/>
              <w:spacing w:line="219" w:lineRule="auto"/>
              <w:rPr>
                <w:sz w:val="16"/>
                <w:szCs w:val="16"/>
              </w:rPr>
            </w:pPr>
            <w:r>
              <w:rPr>
                <w:sz w:val="16"/>
                <w:szCs w:val="16"/>
                <w:spacing w:val="-1"/>
              </w:rPr>
              <w:t>《中华人民共和园统重管维条所》</w:t>
            </w:r>
          </w:p>
        </w:tc>
      </w:tr>
      <w:tr>
        <w:trPr>
          <w:trHeight w:val="659" w:hRule="atLeast"/>
        </w:trPr>
        <w:tc>
          <w:tcPr>
            <w:tcW w:w="584" w:type="dxa"/>
            <w:vAlign w:val="top"/>
          </w:tcPr>
          <w:p>
            <w:pPr>
              <w:pStyle w:val="TableText"/>
              <w:ind w:left="164"/>
              <w:spacing w:before="290" w:line="184" w:lineRule="auto"/>
              <w:rPr>
                <w:sz w:val="16"/>
                <w:szCs w:val="16"/>
              </w:rPr>
            </w:pPr>
            <w:r>
              <w:rPr>
                <w:sz w:val="16"/>
                <w:szCs w:val="16"/>
                <w:spacing w:val="-3"/>
              </w:rPr>
              <w:t>313</w:t>
            </w:r>
          </w:p>
        </w:tc>
        <w:tc>
          <w:tcPr>
            <w:tcW w:w="1289" w:type="dxa"/>
            <w:vAlign w:val="top"/>
          </w:tcPr>
          <w:p>
            <w:pPr>
              <w:pStyle w:val="TableText"/>
              <w:ind w:left="231"/>
              <w:spacing w:before="250" w:line="219" w:lineRule="auto"/>
              <w:rPr>
                <w:sz w:val="16"/>
                <w:szCs w:val="16"/>
              </w:rPr>
            </w:pPr>
            <w:r>
              <w:rPr>
                <w:sz w:val="16"/>
                <w:szCs w:val="16"/>
                <w:spacing w:val="-2"/>
              </w:rPr>
              <w:t>交通运监部</w:t>
            </w:r>
          </w:p>
        </w:tc>
        <w:tc>
          <w:tcPr>
            <w:tcW w:w="1648" w:type="dxa"/>
            <w:vAlign w:val="top"/>
          </w:tcPr>
          <w:p>
            <w:pPr>
              <w:pStyle w:val="TableText"/>
              <w:ind w:left="52" w:right="66" w:firstLine="79"/>
              <w:spacing w:before="79" w:line="219" w:lineRule="auto"/>
              <w:jc w:val="both"/>
              <w:rPr>
                <w:sz w:val="16"/>
                <w:szCs w:val="16"/>
              </w:rPr>
            </w:pPr>
            <w:r>
              <w:rPr>
                <w:sz w:val="16"/>
                <w:szCs w:val="16"/>
              </w:rPr>
              <w:t>必角专用航标没置。 </w:t>
            </w:r>
            <w:r>
              <w:rPr>
                <w:sz w:val="16"/>
                <w:szCs w:val="16"/>
                <w:spacing w:val="3"/>
              </w:rPr>
              <w:t>微除，位置步动和其</w:t>
            </w:r>
            <w:r>
              <w:rPr>
                <w:sz w:val="16"/>
                <w:szCs w:val="16"/>
                <w:spacing w:val="5"/>
              </w:rPr>
              <w:t xml:space="preserve"> </w:t>
            </w:r>
            <w:r>
              <w:rPr>
                <w:sz w:val="16"/>
                <w:szCs w:val="16"/>
                <w:spacing w:val="-1"/>
              </w:rPr>
              <w:t>他状况改要事批</w:t>
            </w:r>
          </w:p>
        </w:tc>
        <w:tc>
          <w:tcPr>
            <w:tcW w:w="2367" w:type="dxa"/>
            <w:vAlign w:val="top"/>
          </w:tcPr>
          <w:p>
            <w:pPr>
              <w:pStyle w:val="TableText"/>
              <w:ind w:left="64" w:right="223"/>
              <w:spacing w:before="139" w:line="232" w:lineRule="auto"/>
              <w:rPr>
                <w:sz w:val="16"/>
                <w:szCs w:val="16"/>
              </w:rPr>
            </w:pPr>
            <w:r>
              <w:rPr>
                <w:sz w:val="16"/>
                <w:szCs w:val="16"/>
                <w:spacing w:val="-1"/>
              </w:rPr>
              <w:t>女通运输后海作助，直须流半</w:t>
            </w:r>
            <w:r>
              <w:rPr>
                <w:sz w:val="16"/>
                <w:szCs w:val="16"/>
                <w:spacing w:val="1"/>
              </w:rPr>
              <w:t xml:space="preserve"> </w:t>
            </w:r>
            <w:r>
              <w:rPr>
                <w:sz w:val="16"/>
                <w:szCs w:val="16"/>
                <w:spacing w:val="2"/>
              </w:rPr>
              <w:t>局，分士两事周</w:t>
            </w:r>
          </w:p>
        </w:tc>
        <w:tc>
          <w:tcPr>
            <w:tcW w:w="3711" w:type="dxa"/>
            <w:vAlign w:val="top"/>
          </w:tcPr>
          <w:p>
            <w:pPr>
              <w:pStyle w:val="TableText"/>
              <w:ind w:left="127"/>
              <w:spacing w:before="72" w:line="217" w:lineRule="auto"/>
              <w:rPr>
                <w:sz w:val="16"/>
                <w:szCs w:val="16"/>
              </w:rPr>
            </w:pPr>
            <w:r>
              <w:rPr>
                <w:sz w:val="16"/>
                <w:szCs w:val="16"/>
                <w:spacing w:val="2"/>
              </w:rPr>
              <w:t>中华人民共和国海上交通安全法|</w:t>
            </w:r>
          </w:p>
          <w:p>
            <w:pPr>
              <w:pStyle w:val="TableText"/>
              <w:ind w:left="127"/>
              <w:spacing w:line="219" w:lineRule="auto"/>
              <w:rPr>
                <w:sz w:val="16"/>
                <w:szCs w:val="16"/>
              </w:rPr>
            </w:pPr>
            <w:r>
              <w:rPr>
                <w:sz w:val="16"/>
                <w:szCs w:val="16"/>
                <w:spacing w:val="-1"/>
              </w:rPr>
              <w:t>中作人民共和国则标基测》</w:t>
            </w:r>
          </w:p>
          <w:p>
            <w:pPr>
              <w:pStyle w:val="TableText"/>
              <w:ind w:left="47"/>
              <w:spacing w:line="219" w:lineRule="auto"/>
              <w:rPr>
                <w:sz w:val="16"/>
                <w:szCs w:val="16"/>
              </w:rPr>
            </w:pPr>
            <w:r>
              <w:rPr>
                <w:sz w:val="16"/>
                <w:szCs w:val="16"/>
                <w:spacing w:val="-2"/>
              </w:rPr>
              <w:t>《中毕人民共和国统道登理各例</w:t>
            </w:r>
          </w:p>
        </w:tc>
      </w:tr>
      <w:tr>
        <w:trPr>
          <w:trHeight w:val="669" w:hRule="atLeast"/>
        </w:trPr>
        <w:tc>
          <w:tcPr>
            <w:tcW w:w="584" w:type="dxa"/>
            <w:vAlign w:val="top"/>
          </w:tcPr>
          <w:p>
            <w:pPr>
              <w:spacing w:line="248" w:lineRule="auto"/>
              <w:rPr>
                <w:rFonts w:ascii="Arial"/>
                <w:sz w:val="21"/>
              </w:rPr>
            </w:pPr>
            <w:r/>
          </w:p>
          <w:p>
            <w:pPr>
              <w:pStyle w:val="TableText"/>
              <w:ind w:left="164"/>
              <w:spacing w:before="52" w:line="184" w:lineRule="auto"/>
              <w:rPr>
                <w:sz w:val="16"/>
                <w:szCs w:val="16"/>
              </w:rPr>
            </w:pPr>
            <w:r>
              <w:rPr>
                <w:sz w:val="16"/>
                <w:szCs w:val="16"/>
                <w:spacing w:val="-3"/>
              </w:rPr>
              <w:t>314</w:t>
            </w:r>
          </w:p>
        </w:tc>
        <w:tc>
          <w:tcPr>
            <w:tcW w:w="1289" w:type="dxa"/>
            <w:vAlign w:val="top"/>
          </w:tcPr>
          <w:p>
            <w:pPr>
              <w:pStyle w:val="TableText"/>
              <w:ind w:left="231"/>
              <w:spacing w:before="261" w:line="219" w:lineRule="auto"/>
              <w:rPr>
                <w:sz w:val="16"/>
                <w:szCs w:val="16"/>
              </w:rPr>
            </w:pPr>
            <w:r>
              <w:rPr>
                <w:sz w:val="16"/>
                <w:szCs w:val="16"/>
                <w:spacing w:val="-2"/>
              </w:rPr>
              <w:t>文请运册票</w:t>
            </w:r>
          </w:p>
        </w:tc>
        <w:tc>
          <w:tcPr>
            <w:tcW w:w="1648" w:type="dxa"/>
            <w:vAlign w:val="top"/>
          </w:tcPr>
          <w:p>
            <w:pPr>
              <w:pStyle w:val="TableText"/>
              <w:ind w:left="62" w:right="111" w:firstLine="30"/>
              <w:spacing w:before="60" w:line="230" w:lineRule="auto"/>
              <w:jc w:val="both"/>
              <w:rPr>
                <w:sz w:val="16"/>
                <w:szCs w:val="16"/>
              </w:rPr>
            </w:pPr>
            <w:r>
              <w:rPr>
                <w:sz w:val="16"/>
                <w:szCs w:val="16"/>
                <w:spacing w:val="-1"/>
              </w:rPr>
              <w:t>船的油污报害区事直</w:t>
            </w:r>
            <w:r>
              <w:rPr>
                <w:sz w:val="16"/>
                <w:szCs w:val="16"/>
                <w:spacing w:val="1"/>
              </w:rPr>
              <w:t xml:space="preserve"> </w:t>
            </w:r>
            <w:r>
              <w:rPr>
                <w:sz w:val="16"/>
                <w:szCs w:val="16"/>
                <w:spacing w:val="2"/>
              </w:rPr>
              <w:t>任保险证书或者尉务</w:t>
            </w:r>
            <w:r>
              <w:rPr>
                <w:sz w:val="16"/>
                <w:szCs w:val="16"/>
                <w:spacing w:val="5"/>
              </w:rPr>
              <w:t xml:space="preserve"> </w:t>
            </w:r>
            <w:r>
              <w:rPr>
                <w:sz w:val="16"/>
                <w:szCs w:val="16"/>
                <w:spacing w:val="-1"/>
              </w:rPr>
              <w:t>保证征书桃裂</w:t>
            </w:r>
          </w:p>
        </w:tc>
        <w:tc>
          <w:tcPr>
            <w:tcW w:w="2367" w:type="dxa"/>
            <w:vAlign w:val="top"/>
          </w:tcPr>
          <w:p>
            <w:pPr>
              <w:pStyle w:val="TableText"/>
              <w:ind w:left="64"/>
              <w:spacing w:before="260" w:line="219" w:lineRule="auto"/>
              <w:rPr>
                <w:sz w:val="16"/>
                <w:szCs w:val="16"/>
              </w:rPr>
            </w:pPr>
            <w:r>
              <w:rPr>
                <w:sz w:val="16"/>
                <w:szCs w:val="16"/>
                <w:spacing w:val="1"/>
              </w:rPr>
              <w:t>直偶海事局，分立清事同</w:t>
            </w:r>
          </w:p>
        </w:tc>
        <w:tc>
          <w:tcPr>
            <w:tcW w:w="3711" w:type="dxa"/>
            <w:vAlign w:val="top"/>
          </w:tcPr>
          <w:p>
            <w:pPr>
              <w:pStyle w:val="TableText"/>
              <w:ind w:left="47"/>
              <w:spacing w:before="260" w:line="219" w:lineRule="auto"/>
              <w:rPr>
                <w:sz w:val="16"/>
                <w:szCs w:val="16"/>
              </w:rPr>
            </w:pPr>
            <w:r>
              <w:rPr>
                <w:sz w:val="16"/>
                <w:szCs w:val="16"/>
                <w:spacing w:val="-2"/>
              </w:rPr>
              <w:t>《防治船约传染海悍环境管理条例</w:t>
            </w:r>
          </w:p>
        </w:tc>
      </w:tr>
      <w:tr>
        <w:trPr>
          <w:trHeight w:val="1068" w:hRule="atLeast"/>
        </w:trPr>
        <w:tc>
          <w:tcPr>
            <w:tcW w:w="584" w:type="dxa"/>
            <w:vAlign w:val="top"/>
          </w:tcPr>
          <w:p>
            <w:pPr>
              <w:spacing w:line="449" w:lineRule="auto"/>
              <w:rPr>
                <w:rFonts w:ascii="Arial"/>
                <w:sz w:val="21"/>
              </w:rPr>
            </w:pPr>
            <w:r/>
          </w:p>
          <w:p>
            <w:pPr>
              <w:pStyle w:val="TableText"/>
              <w:ind w:left="164"/>
              <w:spacing w:before="52" w:line="183" w:lineRule="auto"/>
              <w:rPr>
                <w:sz w:val="16"/>
                <w:szCs w:val="16"/>
              </w:rPr>
            </w:pPr>
            <w:r>
              <w:rPr>
                <w:sz w:val="16"/>
                <w:szCs w:val="16"/>
                <w:spacing w:val="-3"/>
              </w:rPr>
              <w:t>3i5</w:t>
            </w:r>
          </w:p>
        </w:tc>
        <w:tc>
          <w:tcPr>
            <w:tcW w:w="1289" w:type="dxa"/>
            <w:vAlign w:val="top"/>
          </w:tcPr>
          <w:p>
            <w:pPr>
              <w:spacing w:line="408" w:lineRule="auto"/>
              <w:rPr>
                <w:rFonts w:ascii="Arial"/>
                <w:sz w:val="21"/>
              </w:rPr>
            </w:pPr>
            <w:r/>
          </w:p>
          <w:p>
            <w:pPr>
              <w:pStyle w:val="TableText"/>
              <w:ind w:left="231"/>
              <w:spacing w:before="52" w:line="219" w:lineRule="auto"/>
              <w:rPr>
                <w:sz w:val="16"/>
                <w:szCs w:val="16"/>
              </w:rPr>
            </w:pPr>
            <w:r>
              <w:rPr>
                <w:sz w:val="16"/>
                <w:szCs w:val="16"/>
                <w:spacing w:val="-2"/>
              </w:rPr>
              <w:t>交题远验部</w:t>
            </w:r>
          </w:p>
        </w:tc>
        <w:tc>
          <w:tcPr>
            <w:tcW w:w="1648" w:type="dxa"/>
            <w:vAlign w:val="top"/>
          </w:tcPr>
          <w:p>
            <w:pPr>
              <w:pStyle w:val="TableText"/>
              <w:ind w:left="92" w:right="98"/>
              <w:spacing w:before="261" w:line="227" w:lineRule="auto"/>
              <w:jc w:val="both"/>
              <w:rPr>
                <w:sz w:val="16"/>
                <w:szCs w:val="16"/>
              </w:rPr>
            </w:pPr>
            <w:r>
              <w:rPr>
                <w:sz w:val="16"/>
                <w:szCs w:val="16"/>
                <w:spacing w:val="-1"/>
              </w:rPr>
              <w:t>每阳还行底装原体方</w:t>
            </w:r>
            <w:r>
              <w:rPr>
                <w:sz w:val="16"/>
                <w:szCs w:val="16"/>
                <w:spacing w:val="1"/>
              </w:rPr>
              <w:t xml:space="preserve"> </w:t>
            </w:r>
            <w:r>
              <w:rPr>
                <w:sz w:val="16"/>
                <w:szCs w:val="16"/>
              </w:rPr>
              <w:t>除危害性登物政者鱼</w:t>
            </w:r>
            <w:r>
              <w:rPr>
                <w:sz w:val="16"/>
                <w:szCs w:val="16"/>
                <w:spacing w:val="6"/>
              </w:rPr>
              <w:t xml:space="preserve"> </w:t>
            </w:r>
            <w:r>
              <w:rPr>
                <w:sz w:val="16"/>
                <w:szCs w:val="16"/>
              </w:rPr>
              <w:t>需货物过散作业件可</w:t>
            </w:r>
          </w:p>
        </w:tc>
        <w:tc>
          <w:tcPr>
            <w:tcW w:w="2367" w:type="dxa"/>
            <w:vAlign w:val="top"/>
          </w:tcPr>
          <w:p>
            <w:pPr>
              <w:spacing w:line="299" w:lineRule="auto"/>
              <w:rPr>
                <w:rFonts w:ascii="Arial"/>
                <w:sz w:val="21"/>
              </w:rPr>
            </w:pPr>
            <w:r/>
          </w:p>
          <w:p>
            <w:pPr>
              <w:pStyle w:val="TableText"/>
              <w:ind w:left="64" w:right="51" w:firstLine="9"/>
              <w:spacing w:before="52" w:line="230" w:lineRule="auto"/>
              <w:rPr>
                <w:sz w:val="16"/>
                <w:szCs w:val="16"/>
              </w:rPr>
            </w:pPr>
            <w:r>
              <w:rPr>
                <w:sz w:val="16"/>
                <w:szCs w:val="16"/>
                <w:spacing w:val="-1"/>
              </w:rPr>
              <w:t>分支流事局，设区创商现：县硬</w:t>
            </w:r>
            <w:r>
              <w:rPr>
                <w:sz w:val="16"/>
                <w:szCs w:val="16"/>
                <w:spacing w:val="4"/>
              </w:rPr>
              <w:t xml:space="preserve"> </w:t>
            </w:r>
            <w:r>
              <w:rPr>
                <w:sz w:val="16"/>
                <w:szCs w:val="16"/>
                <w:spacing w:val="3"/>
              </w:rPr>
              <w:t>交罐岳结部门</w:t>
            </w:r>
          </w:p>
        </w:tc>
        <w:tc>
          <w:tcPr>
            <w:tcW w:w="3711" w:type="dxa"/>
            <w:vAlign w:val="top"/>
          </w:tcPr>
          <w:p>
            <w:pPr>
              <w:pStyle w:val="TableText"/>
              <w:ind w:left="127"/>
              <w:spacing w:before="42" w:line="219" w:lineRule="auto"/>
              <w:rPr>
                <w:sz w:val="16"/>
                <w:szCs w:val="16"/>
              </w:rPr>
            </w:pPr>
            <w:r>
              <w:rPr>
                <w:sz w:val="16"/>
                <w:szCs w:val="16"/>
              </w:rPr>
              <w:t>中华人民共和圆水符量防始法》</w:t>
            </w:r>
          </w:p>
          <w:p>
            <w:pPr>
              <w:pStyle w:val="TableText"/>
              <w:ind w:left="127"/>
              <w:spacing w:before="20" w:line="242" w:lineRule="auto"/>
              <w:rPr>
                <w:sz w:val="16"/>
                <w:szCs w:val="16"/>
              </w:rPr>
            </w:pPr>
            <w:r>
              <w:rPr>
                <w:sz w:val="16"/>
                <w:szCs w:val="16"/>
                <w:spacing w:val="1"/>
              </w:rPr>
              <w:t>1中华人民共和国尊降环境保护径1</w:t>
            </w:r>
          </w:p>
          <w:p>
            <w:pPr>
              <w:pStyle w:val="TableText"/>
              <w:ind w:left="47"/>
              <w:spacing w:line="219" w:lineRule="auto"/>
              <w:rPr>
                <w:sz w:val="16"/>
                <w:szCs w:val="16"/>
              </w:rPr>
            </w:pPr>
            <w:r>
              <w:rPr>
                <w:sz w:val="16"/>
                <w:szCs w:val="16"/>
              </w:rPr>
              <w:t>《中作人民共和国临</w:t>
            </w:r>
            <w:r>
              <w:rPr>
                <w:sz w:val="16"/>
                <w:szCs w:val="16"/>
                <w:u w:val="single" w:color="auto"/>
              </w:rPr>
              <w:t>上</w:t>
            </w:r>
            <w:r>
              <w:rPr>
                <w:sz w:val="16"/>
                <w:szCs w:val="16"/>
              </w:rPr>
              <w:t>交西安全法</w:t>
            </w:r>
          </w:p>
          <w:p>
            <w:pPr>
              <w:pStyle w:val="TableText"/>
              <w:ind w:left="127" w:right="694" w:hanging="80"/>
              <w:spacing w:line="234" w:lineRule="auto"/>
              <w:rPr>
                <w:sz w:val="16"/>
                <w:szCs w:val="16"/>
              </w:rPr>
            </w:pPr>
            <w:r>
              <w:rPr>
                <w:sz w:val="16"/>
                <w:szCs w:val="16"/>
                <w:spacing w:val="-1"/>
              </w:rPr>
              <w:t>《中华人民共和国内同交通安全管理备钢!</w:t>
            </w:r>
            <w:r>
              <w:rPr>
                <w:sz w:val="16"/>
                <w:szCs w:val="16"/>
                <w:spacing w:val="17"/>
              </w:rPr>
              <w:t xml:space="preserve"> </w:t>
            </w:r>
            <w:r>
              <w:rPr>
                <w:sz w:val="16"/>
                <w:szCs w:val="16"/>
                <w:spacing w:val="1"/>
              </w:rPr>
              <w:t>助后赔阳污染需津乐填骨理条司1</w:t>
            </w:r>
          </w:p>
        </w:tc>
      </w:tr>
      <w:tr>
        <w:trPr>
          <w:trHeight w:val="849" w:hRule="atLeast"/>
        </w:trPr>
        <w:tc>
          <w:tcPr>
            <w:tcW w:w="584" w:type="dxa"/>
            <w:vAlign w:val="top"/>
          </w:tcPr>
          <w:p>
            <w:pPr>
              <w:spacing w:line="340" w:lineRule="auto"/>
              <w:rPr>
                <w:rFonts w:ascii="Arial"/>
                <w:sz w:val="21"/>
              </w:rPr>
            </w:pPr>
            <w:r/>
          </w:p>
          <w:p>
            <w:pPr>
              <w:pStyle w:val="TableText"/>
              <w:ind w:left="164"/>
              <w:spacing w:before="52" w:line="184" w:lineRule="auto"/>
              <w:rPr>
                <w:sz w:val="16"/>
                <w:szCs w:val="16"/>
              </w:rPr>
            </w:pPr>
            <w:r>
              <w:rPr>
                <w:sz w:val="16"/>
                <w:szCs w:val="16"/>
                <w:spacing w:val="-3"/>
              </w:rPr>
              <w:t>316</w:t>
            </w:r>
          </w:p>
        </w:tc>
        <w:tc>
          <w:tcPr>
            <w:tcW w:w="1289" w:type="dxa"/>
            <w:vAlign w:val="top"/>
          </w:tcPr>
          <w:p>
            <w:pPr>
              <w:spacing w:line="300" w:lineRule="auto"/>
              <w:rPr>
                <w:rFonts w:ascii="Arial"/>
                <w:sz w:val="21"/>
              </w:rPr>
            </w:pPr>
            <w:r/>
          </w:p>
          <w:p>
            <w:pPr>
              <w:pStyle w:val="TableText"/>
              <w:ind w:left="231"/>
              <w:spacing w:before="52" w:line="219" w:lineRule="auto"/>
              <w:rPr>
                <w:sz w:val="16"/>
                <w:szCs w:val="16"/>
              </w:rPr>
            </w:pPr>
            <w:r>
              <w:rPr>
                <w:sz w:val="16"/>
                <w:szCs w:val="16"/>
                <w:spacing w:val="-2"/>
              </w:rPr>
              <w:t>交通运做部</w:t>
            </w:r>
          </w:p>
        </w:tc>
        <w:tc>
          <w:tcPr>
            <w:tcW w:w="1648" w:type="dxa"/>
            <w:vAlign w:val="top"/>
          </w:tcPr>
          <w:p>
            <w:pPr>
              <w:pStyle w:val="TableText"/>
              <w:ind w:left="72" w:right="112" w:firstLine="20"/>
              <w:spacing w:before="173" w:line="224" w:lineRule="auto"/>
              <w:jc w:val="both"/>
              <w:rPr>
                <w:sz w:val="16"/>
                <w:szCs w:val="16"/>
              </w:rPr>
            </w:pPr>
            <w:r>
              <w:rPr>
                <w:sz w:val="16"/>
                <w:szCs w:val="16"/>
                <w:spacing w:val="-1"/>
              </w:rPr>
              <w:t>船归具运污朵危害作</w:t>
            </w:r>
            <w:r>
              <w:rPr>
                <w:sz w:val="16"/>
                <w:szCs w:val="16"/>
                <w:spacing w:val="1"/>
              </w:rPr>
              <w:t xml:space="preserve"> </w:t>
            </w:r>
            <w:r>
              <w:rPr>
                <w:sz w:val="16"/>
                <w:szCs w:val="16"/>
                <w:spacing w:val="1"/>
              </w:rPr>
              <w:t>货物或者您险望物业</w:t>
            </w:r>
            <w:r>
              <w:rPr>
                <w:sz w:val="16"/>
                <w:szCs w:val="16"/>
              </w:rPr>
              <w:t xml:space="preserve"> </w:t>
            </w:r>
            <w:r>
              <w:rPr>
                <w:sz w:val="16"/>
                <w:szCs w:val="16"/>
                <w:spacing w:val="1"/>
              </w:rPr>
              <w:t>出耀口许可</w:t>
            </w:r>
          </w:p>
        </w:tc>
        <w:tc>
          <w:tcPr>
            <w:tcW w:w="2367" w:type="dxa"/>
            <w:vAlign w:val="top"/>
          </w:tcPr>
          <w:p>
            <w:pPr>
              <w:pStyle w:val="TableText"/>
              <w:ind w:left="64" w:right="51" w:firstLine="9"/>
              <w:spacing w:before="244" w:line="231" w:lineRule="auto"/>
              <w:rPr>
                <w:sz w:val="16"/>
                <w:szCs w:val="16"/>
              </w:rPr>
            </w:pPr>
            <w:r>
              <w:rPr>
                <w:sz w:val="16"/>
                <w:szCs w:val="16"/>
                <w:spacing w:val="-1"/>
              </w:rPr>
              <w:t>分支海事具；设区的市竣，很项</w:t>
            </w:r>
            <w:r>
              <w:rPr>
                <w:sz w:val="16"/>
                <w:szCs w:val="16"/>
                <w:spacing w:val="4"/>
              </w:rPr>
              <w:t xml:space="preserve"> </w:t>
            </w:r>
            <w:r>
              <w:rPr>
                <w:sz w:val="16"/>
                <w:szCs w:val="16"/>
                <w:spacing w:val="2"/>
              </w:rPr>
              <w:t>交通远输部f门</w:t>
            </w:r>
          </w:p>
        </w:tc>
        <w:tc>
          <w:tcPr>
            <w:tcW w:w="3711" w:type="dxa"/>
            <w:vAlign w:val="top"/>
          </w:tcPr>
          <w:p>
            <w:pPr>
              <w:pStyle w:val="TableText"/>
              <w:ind w:left="47"/>
              <w:spacing w:before="44" w:line="219" w:lineRule="auto"/>
              <w:rPr>
                <w:sz w:val="16"/>
                <w:szCs w:val="16"/>
              </w:rPr>
            </w:pPr>
            <w:r>
              <w:rPr>
                <w:sz w:val="16"/>
                <w:szCs w:val="16"/>
                <w:spacing w:val="-1"/>
              </w:rPr>
              <w:t>《中毕人它共和面海洋环填保护法》</w:t>
            </w:r>
          </w:p>
          <w:p>
            <w:pPr>
              <w:pStyle w:val="TableText"/>
              <w:ind w:left="127"/>
              <w:spacing w:before="29" w:line="208" w:lineRule="auto"/>
              <w:rPr>
                <w:sz w:val="16"/>
                <w:szCs w:val="16"/>
              </w:rPr>
            </w:pPr>
            <w:r>
              <w:rPr>
                <w:sz w:val="16"/>
                <w:szCs w:val="16"/>
                <w:spacing w:val="2"/>
              </w:rPr>
              <w:t>中毕人民共和国简上文通安全战!</w:t>
            </w:r>
          </w:p>
          <w:p>
            <w:pPr>
              <w:pStyle w:val="TableText"/>
              <w:ind w:left="47" w:right="627"/>
              <w:spacing w:before="1" w:line="227" w:lineRule="auto"/>
              <w:rPr>
                <w:sz w:val="16"/>
                <w:szCs w:val="16"/>
              </w:rPr>
            </w:pPr>
            <w:r>
              <w:rPr>
                <w:sz w:val="16"/>
                <w:szCs w:val="16"/>
                <w:spacing w:val="-1"/>
              </w:rPr>
              <w:t>《中华人民共和同内同交道实全管理条例》</w:t>
            </w:r>
            <w:r>
              <w:rPr>
                <w:sz w:val="16"/>
                <w:szCs w:val="16"/>
                <w:spacing w:val="4"/>
              </w:rPr>
              <w:t xml:space="preserve"> </w:t>
            </w:r>
            <w:r>
              <w:rPr>
                <w:sz w:val="16"/>
                <w:szCs w:val="16"/>
                <w:spacing w:val="-2"/>
              </w:rPr>
              <w:t>《助治船的与荣海洋环地管育备例</w:t>
            </w:r>
          </w:p>
        </w:tc>
      </w:tr>
      <w:tr>
        <w:trPr>
          <w:trHeight w:val="469" w:hRule="atLeast"/>
        </w:trPr>
        <w:tc>
          <w:tcPr>
            <w:tcW w:w="584" w:type="dxa"/>
            <w:vAlign w:val="top"/>
          </w:tcPr>
          <w:p>
            <w:pPr>
              <w:pStyle w:val="TableText"/>
              <w:ind w:left="164"/>
              <w:spacing w:before="206" w:line="183" w:lineRule="auto"/>
              <w:rPr>
                <w:sz w:val="16"/>
                <w:szCs w:val="16"/>
              </w:rPr>
            </w:pPr>
            <w:r>
              <w:rPr>
                <w:sz w:val="16"/>
                <w:szCs w:val="16"/>
                <w:spacing w:val="-3"/>
              </w:rPr>
              <w:t>307</w:t>
            </w:r>
          </w:p>
        </w:tc>
        <w:tc>
          <w:tcPr>
            <w:tcW w:w="1289" w:type="dxa"/>
            <w:vAlign w:val="top"/>
          </w:tcPr>
          <w:p>
            <w:pPr>
              <w:pStyle w:val="TableText"/>
              <w:ind w:left="231"/>
              <w:spacing w:before="164" w:line="219" w:lineRule="auto"/>
              <w:rPr>
                <w:sz w:val="16"/>
                <w:szCs w:val="16"/>
              </w:rPr>
            </w:pPr>
            <w:r>
              <w:rPr>
                <w:sz w:val="16"/>
                <w:szCs w:val="16"/>
                <w:spacing w:val="2"/>
              </w:rPr>
              <w:t>交通运轴那</w:t>
            </w:r>
          </w:p>
        </w:tc>
        <w:tc>
          <w:tcPr>
            <w:tcW w:w="1648" w:type="dxa"/>
            <w:vAlign w:val="top"/>
          </w:tcPr>
          <w:p>
            <w:pPr>
              <w:pStyle w:val="TableText"/>
              <w:ind w:left="42" w:right="112" w:firstLine="50"/>
              <w:spacing w:before="74" w:line="222" w:lineRule="auto"/>
              <w:rPr>
                <w:sz w:val="16"/>
                <w:szCs w:val="16"/>
              </w:rPr>
            </w:pPr>
            <w:r>
              <w:rPr>
                <w:sz w:val="16"/>
                <w:szCs w:val="16"/>
                <w:spacing w:val="-1"/>
              </w:rPr>
              <w:t>船员。引值看期话精</w:t>
            </w:r>
            <w:r>
              <w:rPr>
                <w:sz w:val="16"/>
                <w:szCs w:val="16"/>
                <w:spacing w:val="1"/>
              </w:rPr>
              <w:t xml:space="preserve"> </w:t>
            </w:r>
            <w:r>
              <w:rPr>
                <w:sz w:val="16"/>
                <w:szCs w:val="16"/>
                <w:spacing w:val="-2"/>
              </w:rPr>
              <w:t>构或立许可</w:t>
            </w:r>
          </w:p>
        </w:tc>
        <w:tc>
          <w:tcPr>
            <w:tcW w:w="2367" w:type="dxa"/>
            <w:vAlign w:val="top"/>
          </w:tcPr>
          <w:p>
            <w:pPr>
              <w:pStyle w:val="TableText"/>
              <w:ind w:left="64"/>
              <w:spacing w:before="165" w:line="219" w:lineRule="auto"/>
              <w:rPr>
                <w:sz w:val="16"/>
                <w:szCs w:val="16"/>
              </w:rPr>
            </w:pPr>
            <w:r>
              <w:rPr>
                <w:sz w:val="16"/>
                <w:szCs w:val="16"/>
                <w:spacing w:val="1"/>
              </w:rPr>
              <w:t>交通运输部同喜局</w:t>
            </w:r>
          </w:p>
        </w:tc>
        <w:tc>
          <w:tcPr>
            <w:tcW w:w="3711" w:type="dxa"/>
            <w:vAlign w:val="top"/>
          </w:tcPr>
          <w:p>
            <w:pPr>
              <w:pStyle w:val="TableText"/>
              <w:ind w:left="47"/>
              <w:spacing w:before="164" w:line="219" w:lineRule="auto"/>
              <w:rPr>
                <w:sz w:val="16"/>
                <w:szCs w:val="16"/>
              </w:rPr>
            </w:pPr>
            <w:r>
              <w:rPr>
                <w:sz w:val="16"/>
                <w:szCs w:val="16"/>
                <w:spacing w:val="-1"/>
              </w:rPr>
              <w:t>《中华人选共机国船易查例1</w:t>
            </w:r>
          </w:p>
        </w:tc>
      </w:tr>
      <w:tr>
        <w:trPr>
          <w:trHeight w:val="734" w:hRule="atLeast"/>
        </w:trPr>
        <w:tc>
          <w:tcPr>
            <w:tcW w:w="584" w:type="dxa"/>
            <w:vAlign w:val="top"/>
          </w:tcPr>
          <w:p>
            <w:pPr>
              <w:spacing w:line="259" w:lineRule="auto"/>
              <w:rPr>
                <w:rFonts w:ascii="Arial"/>
                <w:sz w:val="21"/>
              </w:rPr>
            </w:pPr>
            <w:r/>
          </w:p>
          <w:p>
            <w:pPr>
              <w:pStyle w:val="TableText"/>
              <w:ind w:left="164"/>
              <w:spacing w:before="52"/>
              <w:rPr>
                <w:sz w:val="16"/>
                <w:szCs w:val="16"/>
              </w:rPr>
            </w:pPr>
            <w:r>
              <w:rPr>
                <w:sz w:val="16"/>
                <w:szCs w:val="16"/>
                <w:spacing w:val="-2"/>
              </w:rPr>
              <w:t>xla</w:t>
            </w:r>
          </w:p>
        </w:tc>
        <w:tc>
          <w:tcPr>
            <w:tcW w:w="1289" w:type="dxa"/>
            <w:vAlign w:val="top"/>
          </w:tcPr>
          <w:p>
            <w:pPr>
              <w:spacing w:line="243" w:lineRule="auto"/>
              <w:rPr>
                <w:rFonts w:ascii="Arial"/>
                <w:sz w:val="21"/>
              </w:rPr>
            </w:pPr>
            <w:r/>
          </w:p>
          <w:p>
            <w:pPr>
              <w:pStyle w:val="TableText"/>
              <w:ind w:left="231"/>
              <w:spacing w:before="52" w:line="219" w:lineRule="auto"/>
              <w:rPr>
                <w:sz w:val="16"/>
                <w:szCs w:val="16"/>
              </w:rPr>
            </w:pPr>
            <w:r>
              <w:rPr>
                <w:sz w:val="16"/>
                <w:szCs w:val="16"/>
                <w:spacing w:val="-2"/>
              </w:rPr>
              <w:t>文造运册部</w:t>
            </w:r>
          </w:p>
        </w:tc>
        <w:tc>
          <w:tcPr>
            <w:tcW w:w="1648" w:type="dxa"/>
            <w:vAlign w:val="top"/>
          </w:tcPr>
          <w:p>
            <w:pPr>
              <w:pStyle w:val="TableText"/>
              <w:ind w:left="131" w:right="112" w:hanging="39"/>
              <w:spacing w:before="106" w:line="221" w:lineRule="auto"/>
              <w:rPr>
                <w:sz w:val="16"/>
                <w:szCs w:val="16"/>
              </w:rPr>
            </w:pPr>
            <w:r>
              <w:rPr>
                <w:sz w:val="16"/>
                <w:szCs w:val="16"/>
                <w:spacing w:val="-1"/>
              </w:rPr>
              <w:t>器垃或者内有意能水</w:t>
            </w:r>
            <w:r>
              <w:rPr>
                <w:sz w:val="16"/>
                <w:szCs w:val="16"/>
                <w:spacing w:val="1"/>
              </w:rPr>
              <w:t xml:space="preserve"> </w:t>
            </w:r>
            <w:r>
              <w:rPr>
                <w:sz w:val="16"/>
                <w:szCs w:val="16"/>
                <w:spacing w:val="-1"/>
              </w:rPr>
              <w:t>城.岸残施工作业许</w:t>
            </w:r>
          </w:p>
          <w:p>
            <w:pPr>
              <w:pStyle w:val="TableText"/>
              <w:ind w:left="42"/>
              <w:spacing w:line="222" w:lineRule="auto"/>
              <w:rPr>
                <w:sz w:val="16"/>
                <w:szCs w:val="16"/>
              </w:rPr>
            </w:pPr>
            <w:r>
              <w:rPr>
                <w:sz w:val="16"/>
                <w:szCs w:val="16"/>
              </w:rPr>
              <w:t>可</w:t>
            </w:r>
          </w:p>
        </w:tc>
        <w:tc>
          <w:tcPr>
            <w:tcW w:w="2367" w:type="dxa"/>
            <w:vAlign w:val="top"/>
          </w:tcPr>
          <w:p>
            <w:pPr>
              <w:pStyle w:val="TableText"/>
              <w:ind w:left="64" w:right="51" w:firstLine="9"/>
              <w:spacing w:before="196" w:line="231" w:lineRule="auto"/>
              <w:rPr>
                <w:sz w:val="16"/>
                <w:szCs w:val="16"/>
              </w:rPr>
            </w:pPr>
            <w:r>
              <w:rPr>
                <w:sz w:val="16"/>
                <w:szCs w:val="16"/>
                <w:spacing w:val="-1"/>
              </w:rPr>
              <w:t>分支海事第；设区的布划，再绣</w:t>
            </w:r>
            <w:r>
              <w:rPr>
                <w:sz w:val="16"/>
                <w:szCs w:val="16"/>
                <w:spacing w:val="4"/>
              </w:rPr>
              <w:t xml:space="preserve"> </w:t>
            </w:r>
            <w:r>
              <w:rPr>
                <w:sz w:val="16"/>
                <w:szCs w:val="16"/>
                <w:spacing w:val="3"/>
              </w:rPr>
              <w:t>交通运偷部门</w:t>
            </w:r>
          </w:p>
        </w:tc>
        <w:tc>
          <w:tcPr>
            <w:tcW w:w="3711" w:type="dxa"/>
            <w:vAlign w:val="top"/>
          </w:tcPr>
          <w:p>
            <w:pPr>
              <w:pStyle w:val="TableText"/>
              <w:ind w:left="47"/>
              <w:spacing w:before="176" w:line="219" w:lineRule="auto"/>
              <w:rPr>
                <w:sz w:val="16"/>
                <w:szCs w:val="16"/>
              </w:rPr>
            </w:pPr>
            <w:r>
              <w:rPr>
                <w:sz w:val="16"/>
                <w:szCs w:val="16"/>
                <w:spacing w:val="-1"/>
              </w:rPr>
              <w:t>《中华人见共花国高上交通安全法》</w:t>
            </w:r>
          </w:p>
          <w:p>
            <w:pPr>
              <w:pStyle w:val="TableText"/>
              <w:ind w:left="47"/>
              <w:spacing w:before="40" w:line="219" w:lineRule="auto"/>
              <w:rPr>
                <w:sz w:val="16"/>
                <w:szCs w:val="16"/>
              </w:rPr>
            </w:pPr>
            <w:r>
              <w:rPr>
                <w:sz w:val="16"/>
                <w:szCs w:val="16"/>
                <w:spacing w:val="-1"/>
              </w:rPr>
              <w:t>《中华人民共和国内河交量安全管理条侧)</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56896" behindDoc="0" locked="0" layoutInCell="0" allowOverlap="1">
                <wp:simplePos x="0" y="0"/>
                <wp:positionH relativeFrom="page">
                  <wp:posOffset>473762</wp:posOffset>
                </wp:positionH>
                <wp:positionV relativeFrom="page">
                  <wp:posOffset>4392603</wp:posOffset>
                </wp:positionV>
                <wp:extent cx="166370" cy="157479"/>
                <wp:effectExtent l="0" t="0" r="0" b="0"/>
                <wp:wrapNone/>
                <wp:docPr id="232" name="TextBox 232"/>
                <wp:cNvGraphicFramePr/>
                <a:graphic>
                  <a:graphicData uri="http://schemas.microsoft.com/office/word/2010/wordprocessingShape">
                    <wps:wsp>
                      <wps:cNvSpPr txBox="1"/>
                      <wps:spPr>
                        <a:xfrm rot="5400000">
                          <a:off x="473762" y="4392603"/>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4" style="position:absolute;margin-left:37.3042pt;margin-top:345.874pt;mso-position-vertical-relative:page;mso-position-horizontal-relative:page;width:13.1pt;height:12.4pt;z-index:25185689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197</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1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中央主骨郎门</w:t>
            </w:r>
          </w:p>
        </w:tc>
        <w:tc>
          <w:tcPr>
            <w:tcW w:w="1638" w:type="dxa"/>
            <w:vAlign w:val="top"/>
          </w:tcPr>
          <w:p>
            <w:pPr>
              <w:pStyle w:val="TableText"/>
              <w:ind w:left="461"/>
              <w:spacing w:before="132" w:line="220" w:lineRule="auto"/>
              <w:rPr>
                <w:sz w:val="16"/>
                <w:szCs w:val="16"/>
              </w:rPr>
            </w:pPr>
            <w:r>
              <w:rPr>
                <w:sz w:val="16"/>
                <w:szCs w:val="16"/>
                <w:spacing w:val="-2"/>
              </w:rPr>
              <w:t>事填名称</w:t>
            </w:r>
          </w:p>
        </w:tc>
        <w:tc>
          <w:tcPr>
            <w:tcW w:w="2377" w:type="dxa"/>
            <w:vAlign w:val="top"/>
          </w:tcPr>
          <w:p>
            <w:pPr>
              <w:pStyle w:val="TableText"/>
              <w:ind w:left="854"/>
              <w:spacing w:before="132" w:line="220" w:lineRule="auto"/>
              <w:rPr>
                <w:sz w:val="16"/>
                <w:szCs w:val="16"/>
              </w:rPr>
            </w:pPr>
            <w:r>
              <w:rPr>
                <w:sz w:val="16"/>
                <w:szCs w:val="16"/>
                <w:spacing w:val="-2"/>
              </w:rPr>
              <w:t>实售标关</w:t>
            </w:r>
          </w:p>
        </w:tc>
        <w:tc>
          <w:tcPr>
            <w:tcW w:w="3711" w:type="dxa"/>
            <w:vAlign w:val="top"/>
          </w:tcPr>
          <w:p>
            <w:pPr>
              <w:pStyle w:val="TableText"/>
              <w:ind w:left="1269"/>
              <w:spacing w:before="129" w:line="219" w:lineRule="auto"/>
              <w:rPr>
                <w:sz w:val="16"/>
                <w:szCs w:val="16"/>
              </w:rPr>
            </w:pPr>
            <w:r>
              <w:rPr>
                <w:sz w:val="16"/>
                <w:szCs w:val="16"/>
                <w:b/>
                <w:bCs/>
                <w:spacing w:val="-3"/>
              </w:rPr>
              <w:t>设定和实施获留</w:t>
            </w:r>
          </w:p>
        </w:tc>
      </w:tr>
      <w:tr>
        <w:trPr>
          <w:trHeight w:val="449" w:hRule="atLeast"/>
        </w:trPr>
        <w:tc>
          <w:tcPr>
            <w:tcW w:w="584" w:type="dxa"/>
            <w:vAlign w:val="top"/>
          </w:tcPr>
          <w:p>
            <w:pPr>
              <w:pStyle w:val="TableText"/>
              <w:ind w:left="244"/>
              <w:spacing w:before="188" w:line="182" w:lineRule="auto"/>
              <w:rPr>
                <w:sz w:val="16"/>
                <w:szCs w:val="16"/>
              </w:rPr>
            </w:pPr>
            <w:r>
              <w:rPr>
                <w:sz w:val="16"/>
                <w:szCs w:val="16"/>
              </w:rPr>
              <w:t>W</w:t>
            </w:r>
          </w:p>
        </w:tc>
        <w:tc>
          <w:tcPr>
            <w:tcW w:w="1289" w:type="dxa"/>
            <w:vAlign w:val="top"/>
          </w:tcPr>
          <w:p>
            <w:pPr>
              <w:pStyle w:val="TableText"/>
              <w:ind w:left="231"/>
              <w:spacing w:before="147" w:line="221" w:lineRule="auto"/>
              <w:rPr>
                <w:sz w:val="16"/>
                <w:szCs w:val="16"/>
              </w:rPr>
            </w:pPr>
            <w:r>
              <w:rPr>
                <w:sz w:val="16"/>
                <w:szCs w:val="16"/>
                <w:spacing w:val="-2"/>
              </w:rPr>
              <w:t>交通量验形</w:t>
            </w:r>
          </w:p>
        </w:tc>
        <w:tc>
          <w:tcPr>
            <w:tcW w:w="1638" w:type="dxa"/>
            <w:vAlign w:val="top"/>
          </w:tcPr>
          <w:p>
            <w:pPr>
              <w:pStyle w:val="TableText"/>
              <w:ind w:left="42" w:right="122"/>
              <w:spacing w:before="65" w:line="208" w:lineRule="auto"/>
              <w:rPr>
                <w:sz w:val="16"/>
                <w:szCs w:val="16"/>
              </w:rPr>
            </w:pPr>
            <w:r>
              <w:rPr>
                <w:sz w:val="16"/>
                <w:szCs w:val="16"/>
                <w:spacing w:val="2"/>
              </w:rPr>
              <w:t>再解东行想检进出口</w:t>
            </w:r>
            <w:r>
              <w:rPr>
                <w:sz w:val="16"/>
                <w:szCs w:val="16"/>
                <w:spacing w:val="4"/>
              </w:rPr>
              <w:t xml:space="preserve"> </w:t>
            </w:r>
            <w:r>
              <w:rPr>
                <w:sz w:val="16"/>
                <w:szCs w:val="16"/>
                <w:spacing w:val="-2"/>
              </w:rPr>
              <w:t>焊许可</w:t>
            </w:r>
          </w:p>
        </w:tc>
        <w:tc>
          <w:tcPr>
            <w:tcW w:w="2377" w:type="dxa"/>
            <w:vAlign w:val="top"/>
          </w:tcPr>
          <w:p>
            <w:pPr>
              <w:pStyle w:val="TableText"/>
              <w:ind w:left="74"/>
              <w:spacing w:before="147" w:line="220" w:lineRule="auto"/>
              <w:rPr>
                <w:sz w:val="16"/>
                <w:szCs w:val="16"/>
              </w:rPr>
            </w:pPr>
            <w:r>
              <w:rPr>
                <w:sz w:val="16"/>
                <w:szCs w:val="16"/>
                <w:spacing w:val="2"/>
              </w:rPr>
              <w:t>分支陶事局</w:t>
            </w:r>
          </w:p>
        </w:tc>
        <w:tc>
          <w:tcPr>
            <w:tcW w:w="3711" w:type="dxa"/>
            <w:vAlign w:val="top"/>
          </w:tcPr>
          <w:p>
            <w:pPr>
              <w:pStyle w:val="TableText"/>
              <w:ind w:left="56"/>
              <w:spacing w:before="66" w:line="196" w:lineRule="auto"/>
              <w:rPr>
                <w:sz w:val="16"/>
                <w:szCs w:val="16"/>
              </w:rPr>
            </w:pPr>
            <w:r>
              <w:rPr>
                <w:sz w:val="16"/>
                <w:szCs w:val="16"/>
                <w:spacing w:val="1"/>
              </w:rPr>
              <w:t>1中华人民共和调海上交马安全张1</w:t>
            </w:r>
          </w:p>
          <w:p>
            <w:pPr>
              <w:pStyle w:val="TableText"/>
              <w:ind w:left="56"/>
              <w:spacing w:line="219" w:lineRule="auto"/>
              <w:rPr>
                <w:sz w:val="16"/>
                <w:szCs w:val="16"/>
              </w:rPr>
            </w:pPr>
            <w:r>
              <w:rPr>
                <w:sz w:val="16"/>
                <w:szCs w:val="16"/>
              </w:rPr>
              <w:t>(回际就行前始选出中华人民共和国口岸检查办</w:t>
            </w:r>
            <w:r>
              <w:rPr>
                <w:sz w:val="16"/>
                <w:szCs w:val="16"/>
                <w:spacing w:val="-1"/>
              </w:rPr>
              <w:t>法》</w:t>
            </w:r>
          </w:p>
        </w:tc>
      </w:tr>
      <w:tr>
        <w:trPr>
          <w:trHeight w:val="449" w:hRule="atLeast"/>
        </w:trPr>
        <w:tc>
          <w:tcPr>
            <w:tcW w:w="584" w:type="dxa"/>
            <w:vAlign w:val="top"/>
          </w:tcPr>
          <w:p>
            <w:pPr>
              <w:pStyle w:val="TableText"/>
              <w:ind w:left="164"/>
              <w:spacing w:before="188" w:line="183" w:lineRule="auto"/>
              <w:rPr>
                <w:sz w:val="16"/>
                <w:szCs w:val="16"/>
              </w:rPr>
            </w:pPr>
            <w:r>
              <w:rPr>
                <w:sz w:val="16"/>
                <w:szCs w:val="16"/>
                <w:spacing w:val="-3"/>
              </w:rPr>
              <w:t>320</w:t>
            </w:r>
          </w:p>
        </w:tc>
        <w:tc>
          <w:tcPr>
            <w:tcW w:w="1289" w:type="dxa"/>
            <w:vAlign w:val="top"/>
          </w:tcPr>
          <w:p>
            <w:pPr>
              <w:pStyle w:val="TableText"/>
              <w:ind w:left="231"/>
              <w:spacing w:before="147" w:line="219" w:lineRule="auto"/>
              <w:rPr>
                <w:sz w:val="16"/>
                <w:szCs w:val="16"/>
              </w:rPr>
            </w:pPr>
            <w:r>
              <w:rPr>
                <w:sz w:val="16"/>
                <w:szCs w:val="16"/>
                <w:spacing w:val="-2"/>
              </w:rPr>
              <w:t>交通运翻都</w:t>
            </w:r>
          </w:p>
        </w:tc>
        <w:tc>
          <w:tcPr>
            <w:tcW w:w="1638" w:type="dxa"/>
            <w:vAlign w:val="top"/>
          </w:tcPr>
          <w:p>
            <w:pPr>
              <w:pStyle w:val="TableText"/>
              <w:ind w:left="42" w:right="85" w:firstLine="69"/>
              <w:spacing w:before="57" w:line="220" w:lineRule="auto"/>
              <w:rPr>
                <w:sz w:val="16"/>
                <w:szCs w:val="16"/>
              </w:rPr>
            </w:pPr>
            <w:r>
              <w:rPr>
                <w:sz w:val="16"/>
                <w:szCs w:val="16"/>
                <w:spacing w:val="-2"/>
              </w:rPr>
              <w:t>外国精启前篇时出人</w:t>
            </w:r>
            <w:r>
              <w:rPr>
                <w:sz w:val="16"/>
                <w:szCs w:val="16"/>
                <w:spacing w:val="7"/>
              </w:rPr>
              <w:t xml:space="preserve"> </w:t>
            </w:r>
            <w:r>
              <w:rPr>
                <w:sz w:val="16"/>
                <w:szCs w:val="16"/>
                <w:spacing w:val="-1"/>
              </w:rPr>
              <w:t>非对异开能水城中可</w:t>
            </w:r>
          </w:p>
        </w:tc>
        <w:tc>
          <w:tcPr>
            <w:tcW w:w="2377" w:type="dxa"/>
            <w:vAlign w:val="top"/>
          </w:tcPr>
          <w:p>
            <w:pPr>
              <w:pStyle w:val="TableText"/>
              <w:ind w:left="74"/>
              <w:spacing w:before="147" w:line="219" w:lineRule="auto"/>
              <w:rPr>
                <w:sz w:val="16"/>
                <w:szCs w:val="16"/>
              </w:rPr>
            </w:pPr>
            <w:r>
              <w:rPr>
                <w:sz w:val="16"/>
                <w:szCs w:val="16"/>
                <w:spacing w:val="-2"/>
              </w:rPr>
              <w:t>交通运帮都</w:t>
            </w:r>
          </w:p>
        </w:tc>
        <w:tc>
          <w:tcPr>
            <w:tcW w:w="3711" w:type="dxa"/>
            <w:vAlign w:val="top"/>
          </w:tcPr>
          <w:p>
            <w:pPr>
              <w:pStyle w:val="TableText"/>
              <w:ind w:left="79"/>
              <w:spacing w:before="67" w:line="219" w:lineRule="auto"/>
              <w:rPr>
                <w:sz w:val="16"/>
                <w:szCs w:val="16"/>
              </w:rPr>
            </w:pPr>
            <w:r>
              <w:rPr>
                <w:sz w:val="16"/>
                <w:szCs w:val="16"/>
                <w:spacing w:val="-1"/>
              </w:rPr>
              <w:t>1中华人民共和国尚上交通去全除1</w:t>
            </w:r>
          </w:p>
          <w:p>
            <w:pPr>
              <w:pStyle w:val="TableText"/>
              <w:spacing w:line="210" w:lineRule="auto"/>
              <w:rPr>
                <w:sz w:val="16"/>
                <w:szCs w:val="16"/>
              </w:rPr>
            </w:pPr>
            <w:r>
              <w:rPr>
                <w:sz w:val="16"/>
                <w:szCs w:val="16"/>
                <w:spacing w:val="-2"/>
              </w:rPr>
              <w:t>《国务院关十口犟开政的苔干规定)</w:t>
            </w:r>
          </w:p>
        </w:tc>
      </w:tr>
      <w:tr>
        <w:trPr>
          <w:trHeight w:val="849" w:hRule="atLeast"/>
        </w:trPr>
        <w:tc>
          <w:tcPr>
            <w:tcW w:w="584" w:type="dxa"/>
            <w:vAlign w:val="top"/>
          </w:tcPr>
          <w:p>
            <w:pPr>
              <w:spacing w:line="334" w:lineRule="auto"/>
              <w:rPr>
                <w:rFonts w:ascii="Arial"/>
                <w:sz w:val="21"/>
              </w:rPr>
            </w:pPr>
            <w:r/>
          </w:p>
          <w:p>
            <w:pPr>
              <w:pStyle w:val="TableText"/>
              <w:ind w:left="164"/>
              <w:spacing w:before="52" w:line="184" w:lineRule="auto"/>
              <w:rPr>
                <w:sz w:val="16"/>
                <w:szCs w:val="16"/>
              </w:rPr>
            </w:pPr>
            <w:r>
              <w:rPr>
                <w:sz w:val="16"/>
                <w:szCs w:val="16"/>
                <w:spacing w:val="-2"/>
              </w:rPr>
              <w:t>221</w:t>
            </w:r>
          </w:p>
        </w:tc>
        <w:tc>
          <w:tcPr>
            <w:tcW w:w="1289" w:type="dxa"/>
            <w:vAlign w:val="top"/>
          </w:tcPr>
          <w:p>
            <w:pPr>
              <w:spacing w:line="294" w:lineRule="auto"/>
              <w:rPr>
                <w:rFonts w:ascii="Arial"/>
                <w:sz w:val="21"/>
              </w:rPr>
            </w:pPr>
            <w:r/>
          </w:p>
          <w:p>
            <w:pPr>
              <w:pStyle w:val="TableText"/>
              <w:ind w:left="231"/>
              <w:spacing w:before="52" w:line="219" w:lineRule="auto"/>
              <w:rPr>
                <w:sz w:val="16"/>
                <w:szCs w:val="16"/>
              </w:rPr>
            </w:pPr>
            <w:r>
              <w:rPr>
                <w:sz w:val="16"/>
                <w:szCs w:val="16"/>
                <w:spacing w:val="-2"/>
              </w:rPr>
              <w:t>交通远验部</w:t>
            </w:r>
          </w:p>
        </w:tc>
        <w:tc>
          <w:tcPr>
            <w:tcW w:w="1638" w:type="dxa"/>
            <w:vAlign w:val="top"/>
          </w:tcPr>
          <w:p>
            <w:pPr>
              <w:spacing w:line="295" w:lineRule="auto"/>
              <w:rPr>
                <w:rFonts w:ascii="Arial"/>
                <w:sz w:val="21"/>
              </w:rPr>
            </w:pPr>
            <w:r/>
          </w:p>
          <w:p>
            <w:pPr>
              <w:pStyle w:val="TableText"/>
              <w:ind w:left="42"/>
              <w:spacing w:before="52" w:line="220" w:lineRule="auto"/>
              <w:rPr>
                <w:sz w:val="16"/>
                <w:szCs w:val="16"/>
              </w:rPr>
            </w:pPr>
            <w:r>
              <w:rPr>
                <w:sz w:val="16"/>
                <w:szCs w:val="16"/>
                <w:spacing w:val="-1"/>
              </w:rPr>
              <w:t>注册验船尊准磨</w:t>
            </w:r>
          </w:p>
        </w:tc>
        <w:tc>
          <w:tcPr>
            <w:tcW w:w="2377" w:type="dxa"/>
            <w:vAlign w:val="top"/>
          </w:tcPr>
          <w:p>
            <w:pPr>
              <w:spacing w:line="293" w:lineRule="auto"/>
              <w:rPr>
                <w:rFonts w:ascii="Arial"/>
                <w:sz w:val="21"/>
              </w:rPr>
            </w:pPr>
            <w:r/>
          </w:p>
          <w:p>
            <w:pPr>
              <w:pStyle w:val="TableText"/>
              <w:ind w:left="74"/>
              <w:spacing w:before="52" w:line="219" w:lineRule="auto"/>
              <w:rPr>
                <w:sz w:val="16"/>
                <w:szCs w:val="16"/>
              </w:rPr>
            </w:pPr>
            <w:r>
              <w:rPr>
                <w:sz w:val="16"/>
                <w:szCs w:val="16"/>
                <w:spacing w:val="-2"/>
              </w:rPr>
              <w:t>交通运轴都</w:t>
            </w:r>
          </w:p>
        </w:tc>
        <w:tc>
          <w:tcPr>
            <w:tcW w:w="3711" w:type="dxa"/>
            <w:vAlign w:val="top"/>
          </w:tcPr>
          <w:p>
            <w:pPr>
              <w:pStyle w:val="TableText"/>
              <w:ind w:left="56" w:right="649"/>
              <w:spacing w:before="58" w:line="225" w:lineRule="auto"/>
              <w:rPr>
                <w:sz w:val="16"/>
                <w:szCs w:val="16"/>
              </w:rPr>
            </w:pPr>
            <w:r>
              <w:rPr>
                <w:sz w:val="16"/>
                <w:szCs w:val="16"/>
                <w:spacing w:val="1"/>
              </w:rPr>
              <w:t>中学人说共和国量脑和属上设施检验条例)</w:t>
            </w:r>
            <w:r>
              <w:rPr>
                <w:sz w:val="16"/>
                <w:szCs w:val="16"/>
                <w:spacing w:val="14"/>
              </w:rPr>
              <w:t xml:space="preserve"> </w:t>
            </w:r>
            <w:r>
              <w:rPr>
                <w:sz w:val="16"/>
                <w:szCs w:val="16"/>
                <w:spacing w:val="-1"/>
              </w:rPr>
              <w:t>1中华人民扰和国溶业密过检验条侧》</w:t>
            </w:r>
          </w:p>
          <w:p>
            <w:pPr>
              <w:pStyle w:val="TableText"/>
              <w:ind w:right="354" w:firstLine="79"/>
              <w:spacing w:line="225" w:lineRule="auto"/>
              <w:rPr>
                <w:sz w:val="16"/>
                <w:szCs w:val="16"/>
              </w:rPr>
            </w:pPr>
            <w:r>
              <w:rPr>
                <w:sz w:val="16"/>
                <w:szCs w:val="16"/>
                <w:spacing w:val="-1"/>
              </w:rPr>
              <w:t>1注磨验船师解应暂行起定C国人都发(2006)9号</w:t>
            </w:r>
            <w:r>
              <w:rPr>
                <w:sz w:val="16"/>
                <w:szCs w:val="16"/>
                <w:spacing w:val="11"/>
              </w:rPr>
              <w:t xml:space="preserve"> </w:t>
            </w:r>
            <w:r>
              <w:rPr>
                <w:sz w:val="16"/>
                <w:szCs w:val="16"/>
                <w:spacing w:val="-1"/>
              </w:rPr>
              <w:t>《国家明些资相日单(2021年版))</w:t>
            </w:r>
          </w:p>
        </w:tc>
      </w:tr>
      <w:tr>
        <w:trPr>
          <w:trHeight w:val="440" w:hRule="atLeast"/>
        </w:trPr>
        <w:tc>
          <w:tcPr>
            <w:tcW w:w="584" w:type="dxa"/>
            <w:vAlign w:val="top"/>
          </w:tcPr>
          <w:p>
            <w:pPr>
              <w:pStyle w:val="TableText"/>
              <w:ind w:left="164"/>
              <w:spacing w:before="180" w:line="183" w:lineRule="auto"/>
              <w:rPr>
                <w:sz w:val="16"/>
                <w:szCs w:val="16"/>
              </w:rPr>
            </w:pPr>
            <w:r>
              <w:rPr>
                <w:sz w:val="16"/>
                <w:szCs w:val="16"/>
                <w:spacing w:val="-3"/>
              </w:rPr>
              <w:t>322</w:t>
            </w:r>
          </w:p>
        </w:tc>
        <w:tc>
          <w:tcPr>
            <w:tcW w:w="1289" w:type="dxa"/>
            <w:vAlign w:val="top"/>
          </w:tcPr>
          <w:p>
            <w:pPr>
              <w:pStyle w:val="TableText"/>
              <w:ind w:left="231"/>
              <w:spacing w:before="139" w:line="219" w:lineRule="auto"/>
              <w:rPr>
                <w:sz w:val="16"/>
                <w:szCs w:val="16"/>
              </w:rPr>
            </w:pPr>
            <w:r>
              <w:rPr>
                <w:sz w:val="16"/>
                <w:szCs w:val="16"/>
                <w:spacing w:val="-2"/>
              </w:rPr>
              <w:t>交通运地部</w:t>
            </w:r>
          </w:p>
        </w:tc>
        <w:tc>
          <w:tcPr>
            <w:tcW w:w="1638" w:type="dxa"/>
            <w:vAlign w:val="top"/>
          </w:tcPr>
          <w:p>
            <w:pPr>
              <w:pStyle w:val="TableText"/>
              <w:ind w:left="42"/>
              <w:spacing w:before="139" w:line="219" w:lineRule="auto"/>
              <w:rPr>
                <w:sz w:val="16"/>
                <w:szCs w:val="16"/>
              </w:rPr>
            </w:pPr>
            <w:r>
              <w:rPr>
                <w:sz w:val="16"/>
                <w:szCs w:val="16"/>
                <w:spacing w:val="-1"/>
              </w:rPr>
              <w:t>桩舶国能查记</w:t>
            </w:r>
          </w:p>
        </w:tc>
        <w:tc>
          <w:tcPr>
            <w:tcW w:w="2377" w:type="dxa"/>
            <w:vAlign w:val="top"/>
          </w:tcPr>
          <w:p>
            <w:pPr>
              <w:pStyle w:val="TableText"/>
              <w:ind w:left="74"/>
              <w:spacing w:before="48" w:line="220" w:lineRule="auto"/>
              <w:rPr>
                <w:sz w:val="16"/>
                <w:szCs w:val="16"/>
              </w:rPr>
            </w:pPr>
            <w:r>
              <w:rPr>
                <w:sz w:val="16"/>
                <w:szCs w:val="16"/>
                <w:spacing w:val="-8"/>
              </w:rPr>
              <w:t>直易海事局，分支师摩高，省级，</w:t>
            </w:r>
            <w:r>
              <w:rPr>
                <w:sz w:val="16"/>
                <w:szCs w:val="16"/>
                <w:spacing w:val="11"/>
              </w:rPr>
              <w:t xml:space="preserve"> </w:t>
            </w:r>
            <w:r>
              <w:rPr>
                <w:sz w:val="16"/>
                <w:szCs w:val="16"/>
                <w:spacing w:val="-3"/>
              </w:rPr>
              <w:t>设区的市裂交考远室部门</w:t>
            </w:r>
          </w:p>
        </w:tc>
        <w:tc>
          <w:tcPr>
            <w:tcW w:w="3711" w:type="dxa"/>
            <w:vAlign w:val="top"/>
          </w:tcPr>
          <w:p>
            <w:pPr>
              <w:pStyle w:val="TableText"/>
              <w:ind w:left="79"/>
              <w:spacing w:before="49" w:line="208" w:lineRule="auto"/>
              <w:rPr>
                <w:sz w:val="16"/>
                <w:szCs w:val="16"/>
              </w:rPr>
            </w:pPr>
            <w:r>
              <w:rPr>
                <w:sz w:val="16"/>
                <w:szCs w:val="16"/>
                <w:spacing w:val="-1"/>
              </w:rPr>
              <w:t>中华人民共和国每上又量发全故1</w:t>
            </w:r>
          </w:p>
          <w:p>
            <w:pPr>
              <w:pStyle w:val="TableText"/>
              <w:spacing w:line="219" w:lineRule="auto"/>
              <w:rPr>
                <w:sz w:val="16"/>
                <w:szCs w:val="16"/>
              </w:rPr>
            </w:pPr>
            <w:r>
              <w:rPr>
                <w:sz w:val="16"/>
                <w:szCs w:val="16"/>
                <w:spacing w:val="-3"/>
              </w:rPr>
              <w:t>《中华人足共和国视档些记条部》</w:t>
            </w:r>
          </w:p>
        </w:tc>
      </w:tr>
      <w:tr>
        <w:trPr>
          <w:trHeight w:val="449" w:hRule="atLeast"/>
        </w:trPr>
        <w:tc>
          <w:tcPr>
            <w:tcW w:w="584" w:type="dxa"/>
            <w:vAlign w:val="top"/>
          </w:tcPr>
          <w:p>
            <w:pPr>
              <w:pStyle w:val="TableText"/>
              <w:ind w:left="164"/>
              <w:spacing w:before="190" w:line="183" w:lineRule="auto"/>
              <w:rPr>
                <w:sz w:val="16"/>
                <w:szCs w:val="16"/>
              </w:rPr>
            </w:pPr>
            <w:r>
              <w:rPr>
                <w:sz w:val="16"/>
                <w:szCs w:val="16"/>
                <w:spacing w:val="-3"/>
              </w:rPr>
              <w:t>323</w:t>
            </w:r>
          </w:p>
        </w:tc>
        <w:tc>
          <w:tcPr>
            <w:tcW w:w="1289" w:type="dxa"/>
            <w:vAlign w:val="top"/>
          </w:tcPr>
          <w:p>
            <w:pPr>
              <w:pStyle w:val="TableText"/>
              <w:ind w:left="231"/>
              <w:spacing w:before="149" w:line="219" w:lineRule="auto"/>
              <w:rPr>
                <w:sz w:val="16"/>
                <w:szCs w:val="16"/>
              </w:rPr>
            </w:pPr>
            <w:r>
              <w:rPr>
                <w:sz w:val="16"/>
                <w:szCs w:val="16"/>
                <w:spacing w:val="-2"/>
              </w:rPr>
              <w:t>交当运输部</w:t>
            </w:r>
          </w:p>
        </w:tc>
        <w:tc>
          <w:tcPr>
            <w:tcW w:w="1638" w:type="dxa"/>
            <w:vAlign w:val="top"/>
          </w:tcPr>
          <w:p>
            <w:pPr>
              <w:pStyle w:val="TableText"/>
              <w:ind w:left="42" w:right="129" w:firstLine="10"/>
              <w:spacing w:before="50" w:line="224" w:lineRule="auto"/>
              <w:rPr>
                <w:sz w:val="16"/>
                <w:szCs w:val="16"/>
              </w:rPr>
            </w:pPr>
            <w:r>
              <w:rPr>
                <w:sz w:val="16"/>
                <w:szCs w:val="16"/>
              </w:rPr>
              <w:t>国际施行加税海事分</w:t>
            </w:r>
            <w:r>
              <w:rPr>
                <w:sz w:val="16"/>
                <w:szCs w:val="16"/>
                <w:spacing w:val="5"/>
              </w:rPr>
              <w:t xml:space="preserve"> </w:t>
            </w:r>
            <w:r>
              <w:rPr>
                <w:sz w:val="16"/>
                <w:szCs w:val="16"/>
                <w:spacing w:val="-2"/>
              </w:rPr>
              <w:t>工证书核发</w:t>
            </w:r>
          </w:p>
        </w:tc>
        <w:tc>
          <w:tcPr>
            <w:tcW w:w="2377" w:type="dxa"/>
            <w:vAlign w:val="top"/>
          </w:tcPr>
          <w:p>
            <w:pPr>
              <w:pStyle w:val="TableText"/>
              <w:ind w:left="74"/>
              <w:spacing w:before="149" w:line="219" w:lineRule="auto"/>
              <w:rPr>
                <w:sz w:val="16"/>
                <w:szCs w:val="16"/>
              </w:rPr>
            </w:pPr>
            <w:r>
              <w:rPr>
                <w:sz w:val="16"/>
                <w:szCs w:val="16"/>
                <w:spacing w:val="1"/>
              </w:rPr>
              <w:t>交画运抗部海事局</w:t>
            </w:r>
          </w:p>
        </w:tc>
        <w:tc>
          <w:tcPr>
            <w:tcW w:w="3711" w:type="dxa"/>
            <w:vAlign w:val="top"/>
          </w:tcPr>
          <w:p>
            <w:pPr>
              <w:pStyle w:val="TableText"/>
              <w:ind w:left="56"/>
              <w:spacing w:before="149" w:line="219" w:lineRule="auto"/>
              <w:rPr>
                <w:sz w:val="16"/>
                <w:szCs w:val="16"/>
              </w:rPr>
            </w:pPr>
            <w:r>
              <w:rPr>
                <w:sz w:val="16"/>
                <w:szCs w:val="16"/>
                <w:spacing w:val="1"/>
              </w:rPr>
              <w:t>中华人民共和四南上交通安全范1</w:t>
            </w:r>
          </w:p>
        </w:tc>
      </w:tr>
      <w:tr>
        <w:trPr>
          <w:trHeight w:val="859" w:hRule="atLeast"/>
        </w:trPr>
        <w:tc>
          <w:tcPr>
            <w:tcW w:w="584" w:type="dxa"/>
            <w:vAlign w:val="top"/>
          </w:tcPr>
          <w:p>
            <w:pPr>
              <w:spacing w:line="337" w:lineRule="auto"/>
              <w:rPr>
                <w:rFonts w:ascii="Arial"/>
                <w:sz w:val="21"/>
              </w:rPr>
            </w:pPr>
            <w:r/>
          </w:p>
          <w:p>
            <w:pPr>
              <w:pStyle w:val="TableText"/>
              <w:ind w:left="164"/>
              <w:spacing w:before="52" w:line="183" w:lineRule="auto"/>
              <w:rPr>
                <w:sz w:val="16"/>
                <w:szCs w:val="16"/>
              </w:rPr>
            </w:pPr>
            <w:r>
              <w:rPr>
                <w:sz w:val="16"/>
                <w:szCs w:val="16"/>
                <w:spacing w:val="-2"/>
              </w:rPr>
              <w:t>224</w:t>
            </w:r>
          </w:p>
        </w:tc>
        <w:tc>
          <w:tcPr>
            <w:tcW w:w="1289" w:type="dxa"/>
            <w:vAlign w:val="top"/>
          </w:tcPr>
          <w:p>
            <w:pPr>
              <w:spacing w:line="297" w:lineRule="auto"/>
              <w:rPr>
                <w:rFonts w:ascii="Arial"/>
                <w:sz w:val="21"/>
              </w:rPr>
            </w:pPr>
            <w:r/>
          </w:p>
          <w:p>
            <w:pPr>
              <w:pStyle w:val="TableText"/>
              <w:ind w:left="231"/>
              <w:spacing w:before="52" w:line="221" w:lineRule="auto"/>
              <w:rPr>
                <w:sz w:val="16"/>
                <w:szCs w:val="16"/>
              </w:rPr>
            </w:pPr>
            <w:r>
              <w:rPr>
                <w:sz w:val="16"/>
                <w:szCs w:val="16"/>
                <w:spacing w:val="-2"/>
              </w:rPr>
              <w:t>交通运德前</w:t>
            </w:r>
          </w:p>
        </w:tc>
        <w:tc>
          <w:tcPr>
            <w:tcW w:w="1638" w:type="dxa"/>
            <w:vAlign w:val="top"/>
          </w:tcPr>
          <w:p>
            <w:pPr>
              <w:pStyle w:val="TableText"/>
              <w:ind w:left="42" w:right="132" w:firstLine="10"/>
              <w:spacing w:before="72" w:line="224" w:lineRule="auto"/>
              <w:jc w:val="both"/>
              <w:rPr>
                <w:sz w:val="16"/>
                <w:szCs w:val="16"/>
              </w:rPr>
            </w:pPr>
            <w:r>
              <w:rPr>
                <w:sz w:val="16"/>
                <w:szCs w:val="16"/>
                <w:spacing w:val="-1"/>
              </w:rPr>
              <w:t>航适公司实全营区与</w:t>
            </w:r>
            <w:r>
              <w:rPr>
                <w:sz w:val="16"/>
                <w:szCs w:val="16"/>
                <w:spacing w:val="1"/>
              </w:rPr>
              <w:t xml:space="preserve"> </w:t>
            </w:r>
            <w:r>
              <w:rPr>
                <w:sz w:val="16"/>
                <w:szCs w:val="16"/>
                <w:spacing w:val="1"/>
              </w:rPr>
              <w:t>防河最加力有合延制</w:t>
            </w:r>
            <w:r>
              <w:rPr>
                <w:sz w:val="16"/>
                <w:szCs w:val="16"/>
                <w:spacing w:val="3"/>
              </w:rPr>
              <w:t xml:space="preserve"> </w:t>
            </w:r>
            <w:r>
              <w:rPr>
                <w:sz w:val="16"/>
                <w:szCs w:val="16"/>
                <w:spacing w:val="1"/>
              </w:rPr>
              <w:t>和船也安全管源低书</w:t>
            </w:r>
            <w:r>
              <w:rPr>
                <w:sz w:val="16"/>
                <w:szCs w:val="16"/>
                <w:spacing w:val="3"/>
              </w:rPr>
              <w:t xml:space="preserve"> </w:t>
            </w:r>
            <w:r>
              <w:rPr>
                <w:sz w:val="16"/>
                <w:szCs w:val="16"/>
                <w:spacing w:val="-2"/>
              </w:rPr>
              <w:t>碳置</w:t>
            </w:r>
          </w:p>
        </w:tc>
        <w:tc>
          <w:tcPr>
            <w:tcW w:w="2377" w:type="dxa"/>
            <w:vAlign w:val="top"/>
          </w:tcPr>
          <w:p>
            <w:pPr>
              <w:spacing w:line="297" w:lineRule="auto"/>
              <w:rPr>
                <w:rFonts w:ascii="Arial"/>
                <w:sz w:val="21"/>
              </w:rPr>
            </w:pPr>
            <w:r/>
          </w:p>
          <w:p>
            <w:pPr>
              <w:pStyle w:val="TableText"/>
              <w:ind w:left="74"/>
              <w:spacing w:before="52" w:line="220" w:lineRule="auto"/>
              <w:rPr>
                <w:sz w:val="16"/>
                <w:szCs w:val="16"/>
              </w:rPr>
            </w:pPr>
            <w:r>
              <w:rPr>
                <w:sz w:val="16"/>
                <w:szCs w:val="16"/>
                <w:spacing w:val="-1"/>
              </w:rPr>
              <w:t>直聪海非股.分支隐业项</w:t>
            </w:r>
          </w:p>
        </w:tc>
        <w:tc>
          <w:tcPr>
            <w:tcW w:w="3711" w:type="dxa"/>
            <w:vAlign w:val="top"/>
          </w:tcPr>
          <w:p>
            <w:pPr>
              <w:pStyle w:val="TableText"/>
              <w:ind w:left="56"/>
              <w:spacing w:before="139" w:line="211" w:lineRule="exact"/>
              <w:rPr>
                <w:sz w:val="16"/>
                <w:szCs w:val="16"/>
              </w:rPr>
            </w:pPr>
            <w:r>
              <w:rPr>
                <w:sz w:val="16"/>
                <w:szCs w:val="16"/>
                <w:spacing w:val="1"/>
                <w:position w:val="3"/>
              </w:rPr>
              <w:t>C中毕人促共和国再上交题安全法1</w:t>
            </w:r>
          </w:p>
          <w:p>
            <w:pPr>
              <w:pStyle w:val="TableText"/>
              <w:ind w:left="56"/>
              <w:spacing w:line="219" w:lineRule="auto"/>
              <w:rPr>
                <w:sz w:val="16"/>
                <w:szCs w:val="16"/>
              </w:rPr>
            </w:pPr>
            <w:r>
              <w:rPr>
                <w:sz w:val="16"/>
                <w:szCs w:val="16"/>
                <w:spacing w:val="1"/>
              </w:rPr>
              <w:t>防治配胎竹染海洋环填的理条例1</w:t>
            </w:r>
          </w:p>
          <w:p>
            <w:pPr>
              <w:pStyle w:val="TableText"/>
              <w:ind w:left="56"/>
              <w:spacing w:before="10" w:line="219" w:lineRule="auto"/>
              <w:rPr>
                <w:sz w:val="16"/>
                <w:szCs w:val="16"/>
              </w:rPr>
            </w:pPr>
            <w:r>
              <w:rPr>
                <w:sz w:val="16"/>
                <w:szCs w:val="16"/>
              </w:rPr>
              <w:t>(中华人民共师国航运公司安全与防污业骨理授</w:t>
            </w:r>
            <w:r>
              <w:rPr>
                <w:sz w:val="16"/>
                <w:szCs w:val="16"/>
                <w:spacing w:val="-1"/>
              </w:rPr>
              <w:t>定》</w:t>
            </w:r>
          </w:p>
        </w:tc>
      </w:tr>
      <w:tr>
        <w:trPr>
          <w:trHeight w:val="439" w:hRule="atLeast"/>
        </w:trPr>
        <w:tc>
          <w:tcPr>
            <w:tcW w:w="584" w:type="dxa"/>
            <w:vAlign w:val="top"/>
          </w:tcPr>
          <w:p>
            <w:pPr>
              <w:pStyle w:val="TableText"/>
              <w:ind w:left="164"/>
              <w:spacing w:before="182" w:line="183" w:lineRule="auto"/>
              <w:rPr>
                <w:sz w:val="16"/>
                <w:szCs w:val="16"/>
              </w:rPr>
            </w:pPr>
            <w:r>
              <w:rPr>
                <w:sz w:val="16"/>
                <w:szCs w:val="16"/>
                <w:spacing w:val="-3"/>
              </w:rPr>
              <w:t>526</w:t>
            </w:r>
          </w:p>
        </w:tc>
        <w:tc>
          <w:tcPr>
            <w:tcW w:w="1289" w:type="dxa"/>
            <w:vAlign w:val="top"/>
          </w:tcPr>
          <w:p>
            <w:pPr>
              <w:pStyle w:val="TableText"/>
              <w:ind w:left="231"/>
              <w:spacing w:before="141" w:line="219" w:lineRule="auto"/>
              <w:rPr>
                <w:sz w:val="16"/>
                <w:szCs w:val="16"/>
              </w:rPr>
            </w:pPr>
            <w:r>
              <w:rPr>
                <w:sz w:val="16"/>
                <w:szCs w:val="16"/>
                <w:spacing w:val="-2"/>
              </w:rPr>
              <w:t>义通运警部</w:t>
            </w:r>
          </w:p>
        </w:tc>
        <w:tc>
          <w:tcPr>
            <w:tcW w:w="1638" w:type="dxa"/>
            <w:vAlign w:val="top"/>
          </w:tcPr>
          <w:p>
            <w:pPr>
              <w:pStyle w:val="TableText"/>
              <w:ind w:left="42" w:right="155"/>
              <w:spacing w:before="61" w:line="212" w:lineRule="auto"/>
              <w:rPr>
                <w:sz w:val="16"/>
                <w:szCs w:val="16"/>
              </w:rPr>
            </w:pPr>
            <w:r>
              <w:rPr>
                <w:sz w:val="16"/>
                <w:szCs w:val="16"/>
                <w:spacing w:val="-2"/>
              </w:rPr>
              <w:t>交通运输系统无改电</w:t>
            </w:r>
            <w:r>
              <w:rPr>
                <w:sz w:val="16"/>
                <w:szCs w:val="16"/>
                <w:spacing w:val="7"/>
              </w:rPr>
              <w:t xml:space="preserve"> </w:t>
            </w:r>
            <w:r>
              <w:rPr>
                <w:sz w:val="16"/>
                <w:szCs w:val="16"/>
                <w:spacing w:val="2"/>
              </w:rPr>
              <w:t>台审批</w:t>
            </w:r>
          </w:p>
        </w:tc>
        <w:tc>
          <w:tcPr>
            <w:tcW w:w="2377" w:type="dxa"/>
            <w:vAlign w:val="top"/>
          </w:tcPr>
          <w:p>
            <w:pPr>
              <w:pStyle w:val="TableText"/>
              <w:ind w:left="74"/>
              <w:spacing w:before="141" w:line="219" w:lineRule="auto"/>
              <w:rPr>
                <w:sz w:val="16"/>
                <w:szCs w:val="16"/>
              </w:rPr>
            </w:pPr>
            <w:r>
              <w:rPr>
                <w:sz w:val="16"/>
                <w:szCs w:val="16"/>
                <w:spacing w:val="-2"/>
              </w:rPr>
              <w:t>交盖话糊部</w:t>
            </w:r>
          </w:p>
        </w:tc>
        <w:tc>
          <w:tcPr>
            <w:tcW w:w="3711" w:type="dxa"/>
            <w:vAlign w:val="top"/>
          </w:tcPr>
          <w:p>
            <w:pPr>
              <w:pStyle w:val="TableText"/>
              <w:ind w:left="56"/>
              <w:spacing w:before="61" w:line="207" w:lineRule="auto"/>
              <w:rPr>
                <w:sz w:val="16"/>
                <w:szCs w:val="16"/>
              </w:rPr>
            </w:pPr>
            <w:r>
              <w:rPr>
                <w:sz w:val="16"/>
                <w:szCs w:val="16"/>
                <w:spacing w:val="1"/>
              </w:rPr>
              <w:t>1中华人纪共和国海上交通发全法1</w:t>
            </w:r>
          </w:p>
          <w:p>
            <w:pPr>
              <w:pStyle w:val="TableText"/>
              <w:ind w:left="56"/>
              <w:spacing w:line="216" w:lineRule="auto"/>
              <w:rPr>
                <w:sz w:val="16"/>
                <w:szCs w:val="16"/>
              </w:rPr>
            </w:pPr>
            <w:r>
              <w:rPr>
                <w:sz w:val="16"/>
                <w:szCs w:val="16"/>
                <w:spacing w:val="2"/>
              </w:rPr>
              <w:t>1中华人民其和国无规电置理爷解)</w:t>
            </w:r>
          </w:p>
        </w:tc>
      </w:tr>
      <w:tr>
        <w:trPr>
          <w:trHeight w:val="449" w:hRule="atLeast"/>
        </w:trPr>
        <w:tc>
          <w:tcPr>
            <w:tcW w:w="584" w:type="dxa"/>
            <w:vAlign w:val="top"/>
          </w:tcPr>
          <w:p>
            <w:pPr>
              <w:pStyle w:val="TableText"/>
              <w:ind w:left="164"/>
              <w:spacing w:before="193" w:line="183" w:lineRule="auto"/>
              <w:rPr>
                <w:sz w:val="16"/>
                <w:szCs w:val="16"/>
              </w:rPr>
            </w:pPr>
            <w:r>
              <w:rPr>
                <w:sz w:val="16"/>
                <w:szCs w:val="16"/>
                <w:spacing w:val="-3"/>
              </w:rPr>
              <w:t>326</w:t>
            </w:r>
          </w:p>
        </w:tc>
        <w:tc>
          <w:tcPr>
            <w:tcW w:w="1289" w:type="dxa"/>
            <w:vAlign w:val="top"/>
          </w:tcPr>
          <w:p>
            <w:pPr>
              <w:pStyle w:val="TableText"/>
              <w:ind w:left="231"/>
              <w:spacing w:before="152" w:line="219" w:lineRule="auto"/>
              <w:rPr>
                <w:sz w:val="16"/>
                <w:szCs w:val="16"/>
              </w:rPr>
            </w:pPr>
            <w:r>
              <w:rPr>
                <w:sz w:val="16"/>
                <w:szCs w:val="16"/>
                <w:spacing w:val="-2"/>
              </w:rPr>
              <w:t>交通远验部</w:t>
            </w:r>
          </w:p>
        </w:tc>
        <w:tc>
          <w:tcPr>
            <w:tcW w:w="1638" w:type="dxa"/>
            <w:vAlign w:val="top"/>
          </w:tcPr>
          <w:p>
            <w:pPr>
              <w:pStyle w:val="TableText"/>
              <w:ind w:left="42" w:right="144" w:firstLine="10"/>
              <w:spacing w:before="52" w:line="223" w:lineRule="auto"/>
              <w:rPr>
                <w:sz w:val="16"/>
                <w:szCs w:val="16"/>
              </w:rPr>
            </w:pPr>
            <w:r>
              <w:rPr>
                <w:sz w:val="16"/>
                <w:szCs w:val="16"/>
                <w:spacing w:val="-1"/>
              </w:rPr>
              <w:t>设置或者橡销内可我</w:t>
            </w:r>
            <w:r>
              <w:rPr>
                <w:sz w:val="16"/>
                <w:szCs w:val="16"/>
              </w:rPr>
              <w:t xml:space="preserve"> </w:t>
            </w:r>
            <w:r>
              <w:rPr>
                <w:sz w:val="16"/>
                <w:szCs w:val="16"/>
                <w:spacing w:val="2"/>
              </w:rPr>
              <w:t>口事批</w:t>
            </w:r>
          </w:p>
        </w:tc>
        <w:tc>
          <w:tcPr>
            <w:tcW w:w="2377" w:type="dxa"/>
            <w:vAlign w:val="top"/>
          </w:tcPr>
          <w:p>
            <w:pPr>
              <w:pStyle w:val="TableText"/>
              <w:ind w:left="74"/>
              <w:spacing w:before="152" w:line="219" w:lineRule="auto"/>
              <w:rPr>
                <w:sz w:val="16"/>
                <w:szCs w:val="16"/>
              </w:rPr>
            </w:pPr>
            <w:r>
              <w:rPr>
                <w:sz w:val="16"/>
                <w:szCs w:val="16"/>
                <w:spacing w:val="-1"/>
              </w:rPr>
              <w:t>基级政好(市其持它部门承办》</w:t>
            </w:r>
          </w:p>
        </w:tc>
        <w:tc>
          <w:tcPr>
            <w:tcW w:w="3711" w:type="dxa"/>
            <w:vAlign w:val="top"/>
          </w:tcPr>
          <w:p>
            <w:pPr>
              <w:pStyle w:val="TableText"/>
              <w:ind w:left="56"/>
              <w:spacing w:before="152" w:line="219" w:lineRule="auto"/>
              <w:rPr>
                <w:sz w:val="16"/>
                <w:szCs w:val="16"/>
              </w:rPr>
            </w:pPr>
            <w:r>
              <w:rPr>
                <w:sz w:val="16"/>
                <w:szCs w:val="16"/>
              </w:rPr>
              <w:t>中华人民共和国内河交活发全骨押条的》</w:t>
            </w:r>
          </w:p>
        </w:tc>
      </w:tr>
      <w:tr>
        <w:trPr>
          <w:trHeight w:val="649" w:hRule="atLeast"/>
        </w:trPr>
        <w:tc>
          <w:tcPr>
            <w:tcW w:w="584" w:type="dxa"/>
            <w:vAlign w:val="top"/>
          </w:tcPr>
          <w:p>
            <w:pPr>
              <w:spacing w:line="241" w:lineRule="auto"/>
              <w:rPr>
                <w:rFonts w:ascii="Arial"/>
                <w:sz w:val="21"/>
              </w:rPr>
            </w:pPr>
            <w:r/>
          </w:p>
          <w:p>
            <w:pPr>
              <w:pStyle w:val="TableText"/>
              <w:ind w:left="164"/>
              <w:spacing w:before="52" w:line="183" w:lineRule="auto"/>
              <w:rPr>
                <w:sz w:val="16"/>
                <w:szCs w:val="16"/>
              </w:rPr>
            </w:pPr>
            <w:r>
              <w:rPr>
                <w:sz w:val="16"/>
                <w:szCs w:val="16"/>
                <w:spacing w:val="-3"/>
              </w:rPr>
              <w:t>307</w:t>
            </w:r>
          </w:p>
        </w:tc>
        <w:tc>
          <w:tcPr>
            <w:tcW w:w="1289" w:type="dxa"/>
            <w:vAlign w:val="top"/>
          </w:tcPr>
          <w:p>
            <w:pPr>
              <w:pStyle w:val="TableText"/>
              <w:ind w:left="231"/>
              <w:spacing w:before="253" w:line="219" w:lineRule="auto"/>
              <w:rPr>
                <w:sz w:val="16"/>
                <w:szCs w:val="16"/>
              </w:rPr>
            </w:pPr>
            <w:r>
              <w:rPr>
                <w:sz w:val="16"/>
                <w:szCs w:val="16"/>
                <w:spacing w:val="-2"/>
              </w:rPr>
              <w:t>交通运物部</w:t>
            </w:r>
          </w:p>
        </w:tc>
        <w:tc>
          <w:tcPr>
            <w:tcW w:w="1638" w:type="dxa"/>
            <w:vAlign w:val="top"/>
          </w:tcPr>
          <w:p>
            <w:pPr>
              <w:pStyle w:val="TableText"/>
              <w:ind w:left="42" w:right="173" w:hanging="20"/>
              <w:spacing w:before="153" w:line="226" w:lineRule="auto"/>
              <w:rPr>
                <w:sz w:val="16"/>
                <w:szCs w:val="16"/>
              </w:rPr>
            </w:pPr>
            <w:r>
              <w:rPr>
                <w:sz w:val="16"/>
                <w:szCs w:val="16"/>
                <w:spacing w:val="-1"/>
              </w:rPr>
              <w:t>经营性客运考驶岗从</w:t>
            </w:r>
            <w:r>
              <w:rPr>
                <w:sz w:val="16"/>
                <w:szCs w:val="16"/>
              </w:rPr>
              <w:t xml:space="preserve"> </w:t>
            </w:r>
            <w:r>
              <w:rPr>
                <w:sz w:val="16"/>
                <w:szCs w:val="16"/>
                <w:spacing w:val="-1"/>
              </w:rPr>
              <w:t>业资楷从定</w:t>
            </w:r>
          </w:p>
        </w:tc>
        <w:tc>
          <w:tcPr>
            <w:tcW w:w="2377" w:type="dxa"/>
            <w:vAlign w:val="top"/>
          </w:tcPr>
          <w:p>
            <w:pPr>
              <w:pStyle w:val="TableText"/>
              <w:ind w:left="74"/>
              <w:spacing w:before="253" w:line="219" w:lineRule="auto"/>
              <w:rPr>
                <w:sz w:val="16"/>
                <w:szCs w:val="16"/>
              </w:rPr>
            </w:pPr>
            <w:r>
              <w:rPr>
                <w:sz w:val="16"/>
                <w:szCs w:val="16"/>
                <w:spacing w:val="1"/>
              </w:rPr>
              <w:t>设区的而银交司定垫都(门</w:t>
            </w:r>
          </w:p>
        </w:tc>
        <w:tc>
          <w:tcPr>
            <w:tcW w:w="3711" w:type="dxa"/>
            <w:vAlign w:val="top"/>
          </w:tcPr>
          <w:p>
            <w:pPr>
              <w:pStyle w:val="TableText"/>
              <w:ind w:left="56"/>
              <w:spacing w:before="43" w:line="231" w:lineRule="auto"/>
              <w:rPr>
                <w:sz w:val="16"/>
                <w:szCs w:val="16"/>
              </w:rPr>
            </w:pPr>
            <w:r>
              <w:rPr>
                <w:sz w:val="16"/>
                <w:szCs w:val="16"/>
              </w:rPr>
              <w:t>1中华人民共和国重路元输杂剧?</w:t>
            </w:r>
          </w:p>
          <w:p>
            <w:pPr>
              <w:pStyle w:val="TableText"/>
              <w:ind w:left="56"/>
              <w:spacing w:line="219" w:lineRule="auto"/>
              <w:rPr>
                <w:sz w:val="16"/>
                <w:szCs w:val="16"/>
              </w:rPr>
            </w:pPr>
            <w:r>
              <w:rPr>
                <w:sz w:val="16"/>
                <w:szCs w:val="16"/>
                <w:spacing w:val="-1"/>
              </w:rPr>
              <w:t>4回家职业斯格目录(2U21年版)3</w:t>
            </w:r>
          </w:p>
          <w:p>
            <w:pPr>
              <w:pStyle w:val="TableText"/>
              <w:ind w:left="56"/>
              <w:spacing w:before="22" w:line="211" w:lineRule="auto"/>
              <w:rPr>
                <w:sz w:val="16"/>
                <w:szCs w:val="16"/>
              </w:rPr>
            </w:pPr>
            <w:r>
              <w:rPr>
                <w:sz w:val="16"/>
                <w:szCs w:val="16"/>
                <w:spacing w:val="1"/>
              </w:rPr>
              <w:t>|武原法辅从业人员登理规定1</w:t>
            </w:r>
          </w:p>
        </w:tc>
      </w:tr>
      <w:tr>
        <w:trPr>
          <w:trHeight w:val="1143" w:hRule="atLeast"/>
        </w:trPr>
        <w:tc>
          <w:tcPr>
            <w:tcW w:w="584" w:type="dxa"/>
            <w:vAlign w:val="top"/>
          </w:tcPr>
          <w:p>
            <w:pPr>
              <w:rPr>
                <w:rFonts w:ascii="Arial"/>
                <w:sz w:val="21"/>
              </w:rPr>
            </w:pPr>
            <w:r/>
          </w:p>
          <w:p>
            <w:pPr>
              <w:rPr>
                <w:rFonts w:ascii="Arial"/>
                <w:sz w:val="21"/>
              </w:rPr>
            </w:pPr>
            <w:r/>
          </w:p>
          <w:p>
            <w:pPr>
              <w:pStyle w:val="TableText"/>
              <w:ind w:left="164"/>
              <w:spacing w:before="52" w:line="183" w:lineRule="auto"/>
              <w:rPr>
                <w:sz w:val="16"/>
                <w:szCs w:val="16"/>
              </w:rPr>
            </w:pPr>
            <w:r>
              <w:rPr>
                <w:sz w:val="16"/>
                <w:szCs w:val="16"/>
                <w:spacing w:val="-3"/>
              </w:rPr>
              <w:t>328</w:t>
            </w:r>
          </w:p>
        </w:tc>
        <w:tc>
          <w:tcPr>
            <w:tcW w:w="1289" w:type="dxa"/>
            <w:vAlign w:val="top"/>
          </w:tcPr>
          <w:p>
            <w:pPr>
              <w:spacing w:line="440" w:lineRule="auto"/>
              <w:rPr>
                <w:rFonts w:ascii="Arial"/>
                <w:sz w:val="21"/>
              </w:rPr>
            </w:pPr>
            <w:r/>
          </w:p>
          <w:p>
            <w:pPr>
              <w:pStyle w:val="TableText"/>
              <w:ind w:left="231"/>
              <w:spacing w:before="52" w:line="221" w:lineRule="auto"/>
              <w:rPr>
                <w:sz w:val="16"/>
                <w:szCs w:val="16"/>
              </w:rPr>
            </w:pPr>
            <w:r>
              <w:rPr>
                <w:sz w:val="16"/>
                <w:szCs w:val="16"/>
                <w:spacing w:val="-2"/>
              </w:rPr>
              <w:t>交通话地前</w:t>
            </w:r>
          </w:p>
        </w:tc>
        <w:tc>
          <w:tcPr>
            <w:tcW w:w="1638" w:type="dxa"/>
            <w:vAlign w:val="top"/>
          </w:tcPr>
          <w:p>
            <w:pPr>
              <w:pStyle w:val="TableText"/>
              <w:ind w:left="22" w:right="141"/>
              <w:spacing w:before="111" w:line="234" w:lineRule="auto"/>
              <w:rPr>
                <w:sz w:val="16"/>
                <w:szCs w:val="16"/>
              </w:rPr>
            </w:pPr>
            <w:r>
              <w:rPr>
                <w:sz w:val="16"/>
                <w:szCs w:val="16"/>
                <w:spacing w:val="-1"/>
              </w:rPr>
              <w:t>经营性货区智驶员从</w:t>
            </w:r>
            <w:r>
              <w:rPr>
                <w:sz w:val="16"/>
                <w:szCs w:val="16"/>
              </w:rPr>
              <w:t xml:space="preserve"> </w:t>
            </w:r>
            <w:r>
              <w:rPr>
                <w:sz w:val="16"/>
                <w:szCs w:val="16"/>
                <w:spacing w:val="2"/>
              </w:rPr>
              <w:t>业资格认定(摩使用</w:t>
            </w:r>
            <w:r>
              <w:rPr>
                <w:sz w:val="16"/>
                <w:szCs w:val="16"/>
              </w:rPr>
              <w:t xml:space="preserve">  </w:t>
            </w:r>
            <w:r>
              <w:rPr>
                <w:sz w:val="16"/>
                <w:szCs w:val="16"/>
                <w:spacing w:val="2"/>
              </w:rPr>
              <w:t>4500千克及以下普通</w:t>
            </w:r>
            <w:r>
              <w:rPr>
                <w:sz w:val="16"/>
                <w:szCs w:val="16"/>
                <w:spacing w:val="1"/>
              </w:rPr>
              <w:t xml:space="preserve"> </w:t>
            </w:r>
            <w:r>
              <w:rPr>
                <w:sz w:val="16"/>
                <w:szCs w:val="16"/>
                <w:spacing w:val="1"/>
              </w:rPr>
              <w:t>帮适车刷的书院人星</w:t>
            </w:r>
            <w:r>
              <w:rPr>
                <w:sz w:val="16"/>
                <w:szCs w:val="16"/>
              </w:rPr>
              <w:t xml:space="preserve"> </w:t>
            </w:r>
            <w:r>
              <w:rPr>
                <w:sz w:val="16"/>
                <w:szCs w:val="16"/>
                <w:spacing w:val="5"/>
              </w:rPr>
              <w:t>外</w:t>
            </w:r>
            <w:r>
              <w:rPr>
                <w:sz w:val="16"/>
                <w:szCs w:val="16"/>
                <w:spacing w:val="-29"/>
              </w:rPr>
              <w:t xml:space="preserve"> </w:t>
            </w:r>
            <w:r>
              <w:rPr>
                <w:sz w:val="16"/>
                <w:szCs w:val="16"/>
                <w:spacing w:val="5"/>
              </w:rPr>
              <w:t>)</w:t>
            </w:r>
          </w:p>
        </w:tc>
        <w:tc>
          <w:tcPr>
            <w:tcW w:w="2377" w:type="dxa"/>
            <w:vAlign w:val="top"/>
          </w:tcPr>
          <w:p>
            <w:pPr>
              <w:spacing w:line="438" w:lineRule="auto"/>
              <w:rPr>
                <w:rFonts w:ascii="Arial"/>
                <w:sz w:val="21"/>
              </w:rPr>
            </w:pPr>
            <w:r/>
          </w:p>
          <w:p>
            <w:pPr>
              <w:pStyle w:val="TableText"/>
              <w:ind w:left="74"/>
              <w:spacing w:before="52" w:line="219" w:lineRule="auto"/>
              <w:rPr>
                <w:sz w:val="16"/>
                <w:szCs w:val="16"/>
              </w:rPr>
            </w:pPr>
            <w:r>
              <w:rPr>
                <w:sz w:val="16"/>
                <w:szCs w:val="16"/>
                <w:spacing w:val="1"/>
              </w:rPr>
              <w:t>没以的市级交责品替布门</w:t>
            </w:r>
          </w:p>
        </w:tc>
        <w:tc>
          <w:tcPr>
            <w:tcW w:w="3711" w:type="dxa"/>
            <w:vAlign w:val="top"/>
          </w:tcPr>
          <w:p>
            <w:pPr>
              <w:spacing w:line="241" w:lineRule="auto"/>
              <w:rPr>
                <w:rFonts w:ascii="Arial"/>
                <w:sz w:val="21"/>
              </w:rPr>
            </w:pPr>
            <w:r/>
          </w:p>
          <w:p>
            <w:pPr>
              <w:pStyle w:val="TableText"/>
              <w:ind w:left="56"/>
              <w:spacing w:before="52" w:line="242" w:lineRule="auto"/>
              <w:rPr>
                <w:sz w:val="16"/>
                <w:szCs w:val="16"/>
              </w:rPr>
            </w:pPr>
            <w:r>
              <w:rPr>
                <w:sz w:val="16"/>
                <w:szCs w:val="16"/>
              </w:rPr>
              <w:t>1中华人民共和国道路运输务部》</w:t>
            </w:r>
          </w:p>
          <w:p>
            <w:pPr>
              <w:pStyle w:val="TableText"/>
              <w:ind w:left="56"/>
              <w:spacing w:line="219" w:lineRule="auto"/>
              <w:rPr>
                <w:sz w:val="16"/>
                <w:szCs w:val="16"/>
              </w:rPr>
            </w:pPr>
            <w:r>
              <w:rPr>
                <w:sz w:val="16"/>
                <w:szCs w:val="16"/>
              </w:rPr>
              <w:t>1国家取业资格目录(2021年般)2</w:t>
            </w:r>
          </w:p>
          <w:p>
            <w:pPr>
              <w:pStyle w:val="TableText"/>
              <w:ind w:left="56"/>
              <w:spacing w:before="30" w:line="219" w:lineRule="auto"/>
              <w:rPr>
                <w:sz w:val="16"/>
                <w:szCs w:val="16"/>
              </w:rPr>
            </w:pPr>
            <w:r>
              <w:rPr>
                <w:sz w:val="16"/>
                <w:szCs w:val="16"/>
                <w:spacing w:val="-1"/>
              </w:rPr>
              <w:t>(通路孟物从业人是分理规定》</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57920" behindDoc="0" locked="0" layoutInCell="0" allowOverlap="1">
                <wp:simplePos x="0" y="0"/>
                <wp:positionH relativeFrom="page">
                  <wp:posOffset>458917</wp:posOffset>
                </wp:positionH>
                <wp:positionV relativeFrom="page">
                  <wp:posOffset>633671</wp:posOffset>
                </wp:positionV>
                <wp:extent cx="175260" cy="165100"/>
                <wp:effectExtent l="0" t="0" r="0" b="0"/>
                <wp:wrapNone/>
                <wp:docPr id="234" name="TextBox 234"/>
                <wp:cNvGraphicFramePr/>
                <a:graphic>
                  <a:graphicData uri="http://schemas.microsoft.com/office/word/2010/wordprocessingShape">
                    <wps:wsp>
                      <wps:cNvSpPr txBox="1"/>
                      <wps:spPr>
                        <a:xfrm rot="5400000">
                          <a:off x="458917" y="63367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6" style="position:absolute;margin-left:36.1352pt;margin-top:49.8954pt;mso-position-vertical-relative:page;mso-position-horizontal-relative:page;width:13.8pt;height:13pt;z-index:251857920;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198</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中央主管部门</w:t>
            </w:r>
          </w:p>
        </w:tc>
        <w:tc>
          <w:tcPr>
            <w:tcW w:w="1648" w:type="dxa"/>
            <w:vAlign w:val="top"/>
          </w:tcPr>
          <w:p>
            <w:pPr>
              <w:pStyle w:val="TableText"/>
              <w:ind w:left="474"/>
              <w:spacing w:before="128" w:line="219" w:lineRule="auto"/>
              <w:rPr>
                <w:sz w:val="17"/>
                <w:szCs w:val="17"/>
              </w:rPr>
            </w:pPr>
            <w:r>
              <w:rPr>
                <w:sz w:val="17"/>
                <w:szCs w:val="17"/>
                <w:b/>
                <w:bCs/>
                <w:spacing w:val="-4"/>
              </w:rPr>
              <w:t>事项名章</w:t>
            </w:r>
          </w:p>
        </w:tc>
        <w:tc>
          <w:tcPr>
            <w:tcW w:w="2367" w:type="dxa"/>
            <w:vAlign w:val="top"/>
          </w:tcPr>
          <w:p>
            <w:pPr>
              <w:pStyle w:val="TableText"/>
              <w:ind w:left="856"/>
              <w:spacing w:before="128" w:line="219" w:lineRule="auto"/>
              <w:rPr>
                <w:sz w:val="17"/>
                <w:szCs w:val="17"/>
              </w:rPr>
            </w:pPr>
            <w:r>
              <w:rPr>
                <w:sz w:val="17"/>
                <w:szCs w:val="17"/>
                <w:b/>
                <w:bCs/>
                <w:spacing w:val="-4"/>
              </w:rPr>
              <w:t>实节机关</w:t>
            </w:r>
          </w:p>
        </w:tc>
        <w:tc>
          <w:tcPr>
            <w:tcW w:w="3711" w:type="dxa"/>
            <w:vAlign w:val="top"/>
          </w:tcPr>
          <w:p>
            <w:pPr>
              <w:pStyle w:val="TableText"/>
              <w:ind w:left="1276"/>
              <w:spacing w:before="130" w:line="219" w:lineRule="auto"/>
              <w:rPr>
                <w:sz w:val="17"/>
                <w:szCs w:val="17"/>
              </w:rPr>
            </w:pPr>
            <w:r>
              <w:rPr>
                <w:sz w:val="17"/>
                <w:szCs w:val="17"/>
                <w:spacing w:val="-2"/>
              </w:rPr>
              <w:t>设定和实施依据</w:t>
            </w:r>
          </w:p>
        </w:tc>
      </w:tr>
      <w:tr>
        <w:trPr>
          <w:trHeight w:val="1268" w:hRule="atLeast"/>
        </w:trPr>
        <w:tc>
          <w:tcPr>
            <w:tcW w:w="584" w:type="dxa"/>
            <w:vAlign w:val="top"/>
          </w:tcPr>
          <w:p>
            <w:pPr>
              <w:spacing w:line="266" w:lineRule="auto"/>
              <w:rPr>
                <w:rFonts w:ascii="Arial"/>
                <w:sz w:val="21"/>
              </w:rPr>
            </w:pPr>
            <w:r/>
          </w:p>
          <w:p>
            <w:pPr>
              <w:spacing w:line="267" w:lineRule="auto"/>
              <w:rPr>
                <w:rFonts w:ascii="Arial"/>
                <w:sz w:val="21"/>
              </w:rPr>
            </w:pPr>
            <w:r/>
          </w:p>
          <w:p>
            <w:pPr>
              <w:pStyle w:val="TableText"/>
              <w:ind w:left="154"/>
              <w:spacing w:before="55" w:line="183" w:lineRule="auto"/>
              <w:rPr>
                <w:sz w:val="17"/>
                <w:szCs w:val="17"/>
              </w:rPr>
            </w:pPr>
            <w:r>
              <w:rPr>
                <w:sz w:val="17"/>
                <w:szCs w:val="17"/>
                <w:spacing w:val="-3"/>
              </w:rPr>
              <w:t>329</w:t>
            </w:r>
          </w:p>
        </w:tc>
        <w:tc>
          <w:tcPr>
            <w:tcW w:w="1289" w:type="dxa"/>
            <w:vAlign w:val="top"/>
          </w:tcPr>
          <w:p>
            <w:pPr>
              <w:spacing w:line="244" w:lineRule="auto"/>
              <w:rPr>
                <w:rFonts w:ascii="Arial"/>
                <w:sz w:val="21"/>
              </w:rPr>
            </w:pPr>
            <w:r/>
          </w:p>
          <w:p>
            <w:pPr>
              <w:spacing w:line="245" w:lineRule="auto"/>
              <w:rPr>
                <w:rFonts w:ascii="Arial"/>
                <w:sz w:val="21"/>
              </w:rPr>
            </w:pPr>
            <w:r/>
          </w:p>
          <w:p>
            <w:pPr>
              <w:pStyle w:val="TableText"/>
              <w:ind w:left="210"/>
              <w:spacing w:before="56" w:line="219" w:lineRule="auto"/>
              <w:rPr>
                <w:sz w:val="17"/>
                <w:szCs w:val="17"/>
              </w:rPr>
            </w:pPr>
            <w:r>
              <w:rPr>
                <w:sz w:val="17"/>
                <w:szCs w:val="17"/>
                <w:spacing w:val="-2"/>
              </w:rPr>
              <w:t>交通运地部</w:t>
            </w:r>
          </w:p>
        </w:tc>
        <w:tc>
          <w:tcPr>
            <w:tcW w:w="1648" w:type="dxa"/>
            <w:vAlign w:val="top"/>
          </w:tcPr>
          <w:p>
            <w:pPr>
              <w:spacing w:line="419" w:lineRule="auto"/>
              <w:rPr>
                <w:rFonts w:ascii="Arial"/>
                <w:sz w:val="21"/>
              </w:rPr>
            </w:pPr>
            <w:r/>
          </w:p>
          <w:p>
            <w:pPr>
              <w:pStyle w:val="TableText"/>
              <w:ind w:left="62" w:right="63" w:hanging="10"/>
              <w:spacing w:before="55" w:line="213" w:lineRule="auto"/>
              <w:rPr>
                <w:sz w:val="17"/>
                <w:szCs w:val="17"/>
              </w:rPr>
            </w:pPr>
            <w:r>
              <w:rPr>
                <w:sz w:val="17"/>
                <w:szCs w:val="17"/>
                <w:spacing w:val="-1"/>
              </w:rPr>
              <w:t>州租汽车驾驶英客运</w:t>
            </w:r>
            <w:r>
              <w:rPr>
                <w:sz w:val="17"/>
                <w:szCs w:val="17"/>
              </w:rPr>
              <w:t xml:space="preserve"> </w:t>
            </w:r>
            <w:r>
              <w:rPr>
                <w:sz w:val="17"/>
                <w:szCs w:val="17"/>
                <w:spacing w:val="1"/>
              </w:rPr>
              <w:t>资格江核发</w:t>
            </w:r>
          </w:p>
        </w:tc>
        <w:tc>
          <w:tcPr>
            <w:tcW w:w="2367" w:type="dxa"/>
            <w:vAlign w:val="top"/>
          </w:tcPr>
          <w:p>
            <w:pPr>
              <w:spacing w:line="400" w:lineRule="auto"/>
              <w:rPr>
                <w:rFonts w:ascii="Arial"/>
                <w:sz w:val="21"/>
              </w:rPr>
            </w:pPr>
            <w:r/>
          </w:p>
          <w:p>
            <w:pPr>
              <w:pStyle w:val="TableText"/>
              <w:ind w:left="54" w:right="82" w:firstLine="19"/>
              <w:spacing w:before="55" w:line="223" w:lineRule="auto"/>
              <w:rPr>
                <w:sz w:val="17"/>
                <w:szCs w:val="17"/>
              </w:rPr>
            </w:pPr>
            <w:r>
              <w:rPr>
                <w:sz w:val="17"/>
                <w:szCs w:val="17"/>
                <w:spacing w:val="-1"/>
              </w:rPr>
              <w:t>没区的市级交溺运输部门或者</w:t>
            </w:r>
            <w:r>
              <w:rPr>
                <w:sz w:val="17"/>
                <w:szCs w:val="17"/>
                <w:spacing w:val="2"/>
              </w:rPr>
              <w:t xml:space="preserve"> </w:t>
            </w:r>
            <w:r>
              <w:rPr>
                <w:sz w:val="17"/>
                <w:szCs w:val="17"/>
                <w:spacing w:val="3"/>
              </w:rPr>
              <w:t>收府指定部门</w:t>
            </w:r>
          </w:p>
        </w:tc>
        <w:tc>
          <w:tcPr>
            <w:tcW w:w="3711" w:type="dxa"/>
            <w:vAlign w:val="top"/>
          </w:tcPr>
          <w:p>
            <w:pPr>
              <w:pStyle w:val="TableText"/>
              <w:ind w:left="93" w:right="13" w:hanging="94"/>
              <w:spacing w:before="148" w:line="218" w:lineRule="auto"/>
              <w:rPr>
                <w:sz w:val="17"/>
                <w:szCs w:val="17"/>
              </w:rPr>
            </w:pPr>
            <w:r>
              <w:rPr>
                <w:sz w:val="17"/>
                <w:szCs w:val="17"/>
                <w:spacing w:val="-3"/>
              </w:rPr>
              <w:t>《国务院对确需保解的行战审都项目设定行改许可</w:t>
            </w:r>
            <w:r>
              <w:rPr>
                <w:sz w:val="17"/>
                <w:szCs w:val="17"/>
                <w:spacing w:val="12"/>
              </w:rPr>
              <w:t xml:space="preserve"> </w:t>
            </w:r>
            <w:r>
              <w:rPr>
                <w:sz w:val="17"/>
                <w:szCs w:val="17"/>
                <w:spacing w:val="-3"/>
              </w:rPr>
              <w:t>的决应》</w:t>
            </w:r>
          </w:p>
          <w:p>
            <w:pPr>
              <w:pStyle w:val="TableText"/>
              <w:ind w:left="56"/>
              <w:spacing w:before="28" w:line="206" w:lineRule="auto"/>
              <w:rPr>
                <w:sz w:val="17"/>
                <w:szCs w:val="17"/>
              </w:rPr>
            </w:pPr>
            <w:r>
              <w:rPr>
                <w:sz w:val="17"/>
                <w:szCs w:val="17"/>
              </w:rPr>
              <w:t>出相气车驾款黄从业贺格管理规定3</w:t>
            </w:r>
          </w:p>
          <w:p>
            <w:pPr>
              <w:pStyle w:val="TableText"/>
              <w:ind w:right="512"/>
              <w:spacing w:before="1" w:line="212" w:lineRule="auto"/>
              <w:rPr>
                <w:sz w:val="17"/>
                <w:szCs w:val="17"/>
              </w:rPr>
            </w:pPr>
            <w:r>
              <w:rPr>
                <w:sz w:val="17"/>
                <w:szCs w:val="17"/>
                <w:spacing w:val="-3"/>
              </w:rPr>
              <w:t>《网研预约出租汽车经营服务登理暂行办法</w:t>
            </w:r>
            <w:r>
              <w:rPr>
                <w:sz w:val="17"/>
                <w:szCs w:val="17"/>
                <w:spacing w:val="14"/>
              </w:rPr>
              <w:t xml:space="preserve"> </w:t>
            </w:r>
            <w:r>
              <w:rPr>
                <w:sz w:val="17"/>
                <w:szCs w:val="17"/>
                <w:spacing w:val="-2"/>
              </w:rPr>
              <w:t>《调家职业资格目原(2021年版》)</w:t>
            </w:r>
          </w:p>
        </w:tc>
      </w:tr>
      <w:tr>
        <w:trPr>
          <w:trHeight w:val="1667" w:hRule="atLeast"/>
        </w:trPr>
        <w:tc>
          <w:tcPr>
            <w:tcW w:w="584"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4"/>
              <w:spacing w:before="55" w:line="183" w:lineRule="auto"/>
              <w:rPr>
                <w:sz w:val="17"/>
                <w:szCs w:val="17"/>
              </w:rPr>
            </w:pPr>
            <w:r>
              <w:rPr>
                <w:sz w:val="17"/>
                <w:szCs w:val="17"/>
                <w:spacing w:val="-3"/>
              </w:rPr>
              <w:t>330</w:t>
            </w:r>
          </w:p>
        </w:tc>
        <w:tc>
          <w:tcPr>
            <w:tcW w:w="1289" w:type="dxa"/>
            <w:vAlign w:val="top"/>
          </w:tcPr>
          <w:p>
            <w:pPr>
              <w:spacing w:line="345" w:lineRule="auto"/>
              <w:rPr>
                <w:rFonts w:ascii="Arial"/>
                <w:sz w:val="21"/>
              </w:rPr>
            </w:pPr>
            <w:r/>
          </w:p>
          <w:p>
            <w:pPr>
              <w:spacing w:line="345" w:lineRule="auto"/>
              <w:rPr>
                <w:rFonts w:ascii="Arial"/>
                <w:sz w:val="21"/>
              </w:rPr>
            </w:pPr>
            <w:r/>
          </w:p>
          <w:p>
            <w:pPr>
              <w:pStyle w:val="TableText"/>
              <w:ind w:left="210"/>
              <w:spacing w:before="55" w:line="219" w:lineRule="auto"/>
              <w:rPr>
                <w:sz w:val="17"/>
                <w:szCs w:val="17"/>
              </w:rPr>
            </w:pPr>
            <w:r>
              <w:rPr>
                <w:sz w:val="17"/>
                <w:szCs w:val="17"/>
                <w:spacing w:val="-2"/>
              </w:rPr>
              <w:t>交通运输部</w:t>
            </w:r>
          </w:p>
        </w:tc>
        <w:tc>
          <w:tcPr>
            <w:tcW w:w="1648" w:type="dxa"/>
            <w:vAlign w:val="top"/>
          </w:tcPr>
          <w:p>
            <w:pPr>
              <w:spacing w:line="300" w:lineRule="auto"/>
              <w:rPr>
                <w:rFonts w:ascii="Arial"/>
                <w:sz w:val="21"/>
              </w:rPr>
            </w:pPr>
            <w:r/>
          </w:p>
          <w:p>
            <w:pPr>
              <w:spacing w:line="300" w:lineRule="auto"/>
              <w:rPr>
                <w:rFonts w:ascii="Arial"/>
                <w:sz w:val="21"/>
              </w:rPr>
            </w:pPr>
            <w:r/>
          </w:p>
          <w:p>
            <w:pPr>
              <w:pStyle w:val="TableText"/>
              <w:ind w:left="52" w:right="61"/>
              <w:spacing w:before="55" w:line="224" w:lineRule="auto"/>
              <w:rPr>
                <w:sz w:val="17"/>
                <w:szCs w:val="17"/>
              </w:rPr>
            </w:pPr>
            <w:r>
              <w:rPr>
                <w:sz w:val="17"/>
                <w:szCs w:val="17"/>
                <w:spacing w:val="-1"/>
              </w:rPr>
              <w:t>危险货物道路运描从</w:t>
            </w:r>
            <w:r>
              <w:rPr>
                <w:sz w:val="17"/>
                <w:szCs w:val="17"/>
              </w:rPr>
              <w:t xml:space="preserve"> </w:t>
            </w:r>
            <w:r>
              <w:rPr>
                <w:sz w:val="17"/>
                <w:szCs w:val="17"/>
                <w:spacing w:val="-1"/>
              </w:rPr>
              <w:t>业人质从业资格认定</w:t>
            </w:r>
          </w:p>
        </w:tc>
        <w:tc>
          <w:tcPr>
            <w:tcW w:w="2367" w:type="dxa"/>
            <w:vAlign w:val="top"/>
          </w:tcPr>
          <w:p>
            <w:pPr>
              <w:spacing w:line="345" w:lineRule="auto"/>
              <w:rPr>
                <w:rFonts w:ascii="Arial"/>
                <w:sz w:val="21"/>
              </w:rPr>
            </w:pPr>
            <w:r/>
          </w:p>
          <w:p>
            <w:pPr>
              <w:spacing w:line="345" w:lineRule="auto"/>
              <w:rPr>
                <w:rFonts w:ascii="Arial"/>
                <w:sz w:val="21"/>
              </w:rPr>
            </w:pPr>
            <w:r/>
          </w:p>
          <w:p>
            <w:pPr>
              <w:pStyle w:val="TableText"/>
              <w:ind w:left="54"/>
              <w:spacing w:before="55" w:line="219" w:lineRule="auto"/>
              <w:rPr>
                <w:sz w:val="17"/>
                <w:szCs w:val="17"/>
              </w:rPr>
            </w:pPr>
            <w:r>
              <w:rPr>
                <w:sz w:val="17"/>
                <w:szCs w:val="17"/>
                <w:spacing w:val="1"/>
              </w:rPr>
              <w:t>设区的市级交通运能部门</w:t>
            </w:r>
          </w:p>
        </w:tc>
        <w:tc>
          <w:tcPr>
            <w:tcW w:w="3711" w:type="dxa"/>
            <w:vAlign w:val="top"/>
          </w:tcPr>
          <w:p>
            <w:pPr>
              <w:pStyle w:val="TableText"/>
              <w:spacing w:before="149" w:line="217" w:lineRule="auto"/>
              <w:rPr>
                <w:sz w:val="17"/>
                <w:szCs w:val="17"/>
              </w:rPr>
            </w:pPr>
            <w:r>
              <w:rPr>
                <w:sz w:val="17"/>
                <w:szCs w:val="17"/>
                <w:spacing w:val="-2"/>
              </w:rPr>
              <w:t>《中催人民共和国道路运输条例)</w:t>
            </w:r>
          </w:p>
          <w:p>
            <w:pPr>
              <w:pStyle w:val="TableText"/>
              <w:spacing w:line="219" w:lineRule="auto"/>
              <w:rPr>
                <w:sz w:val="17"/>
                <w:szCs w:val="17"/>
              </w:rPr>
            </w:pPr>
            <w:r>
              <w:rPr>
                <w:sz w:val="17"/>
                <w:szCs w:val="17"/>
                <w:spacing w:val="-3"/>
              </w:rPr>
              <w:t>《危险化学品安全管理条例》</w:t>
            </w:r>
          </w:p>
          <w:p>
            <w:pPr>
              <w:pStyle w:val="TableText"/>
              <w:spacing w:before="7" w:line="228" w:lineRule="auto"/>
              <w:rPr>
                <w:sz w:val="17"/>
                <w:szCs w:val="17"/>
              </w:rPr>
            </w:pPr>
            <w:r>
              <w:rPr>
                <w:sz w:val="17"/>
                <w:szCs w:val="17"/>
                <w:spacing w:val="-3"/>
              </w:rPr>
              <w:t>《数耐性物品运输安全管硬条例》</w:t>
            </w:r>
          </w:p>
          <w:p>
            <w:pPr>
              <w:pStyle w:val="TableText"/>
              <w:spacing w:line="206" w:lineRule="auto"/>
              <w:rPr>
                <w:sz w:val="17"/>
                <w:szCs w:val="17"/>
              </w:rPr>
            </w:pPr>
            <w:r>
              <w:rPr>
                <w:sz w:val="17"/>
                <w:szCs w:val="17"/>
                <w:spacing w:val="-3"/>
              </w:rPr>
              <w:t>《道路发险货物运输管理规定》</w:t>
            </w:r>
          </w:p>
          <w:p>
            <w:pPr>
              <w:pStyle w:val="TableText"/>
              <w:spacing w:line="228" w:lineRule="auto"/>
              <w:rPr>
                <w:sz w:val="17"/>
                <w:szCs w:val="17"/>
              </w:rPr>
            </w:pPr>
            <w:r>
              <w:rPr>
                <w:sz w:val="17"/>
                <w:szCs w:val="17"/>
                <w:spacing w:val="-2"/>
              </w:rPr>
              <w:t>《放有性物品道路坛情管理规定)</w:t>
            </w:r>
          </w:p>
          <w:p>
            <w:pPr>
              <w:pStyle w:val="TableText"/>
              <w:spacing w:line="217" w:lineRule="auto"/>
              <w:rPr>
                <w:sz w:val="17"/>
                <w:szCs w:val="17"/>
              </w:rPr>
            </w:pPr>
            <w:r>
              <w:rPr>
                <w:sz w:val="17"/>
                <w:szCs w:val="17"/>
                <w:spacing w:val="-4"/>
              </w:rPr>
              <w:t>《道路运输从业人员管理型它</w:t>
            </w:r>
          </w:p>
          <w:p>
            <w:pPr>
              <w:pStyle w:val="TableText"/>
              <w:spacing w:before="1" w:line="219" w:lineRule="auto"/>
              <w:rPr>
                <w:sz w:val="17"/>
                <w:szCs w:val="17"/>
              </w:rPr>
            </w:pPr>
            <w:r>
              <w:rPr>
                <w:sz w:val="17"/>
                <w:szCs w:val="17"/>
                <w:spacing w:val="-2"/>
              </w:rPr>
              <w:t>《国家职业警格日录(2021年取)</w:t>
            </w:r>
          </w:p>
        </w:tc>
      </w:tr>
      <w:tr>
        <w:trPr>
          <w:trHeight w:val="1248" w:hRule="atLeast"/>
        </w:trPr>
        <w:tc>
          <w:tcPr>
            <w:tcW w:w="584" w:type="dxa"/>
            <w:vAlign w:val="top"/>
          </w:tcPr>
          <w:p>
            <w:pPr>
              <w:spacing w:line="263" w:lineRule="auto"/>
              <w:rPr>
                <w:rFonts w:ascii="Arial"/>
                <w:sz w:val="21"/>
              </w:rPr>
            </w:pPr>
            <w:r/>
          </w:p>
          <w:p>
            <w:pPr>
              <w:spacing w:line="264" w:lineRule="auto"/>
              <w:rPr>
                <w:rFonts w:ascii="Arial"/>
                <w:sz w:val="21"/>
              </w:rPr>
            </w:pPr>
            <w:r/>
          </w:p>
          <w:p>
            <w:pPr>
              <w:pStyle w:val="TableText"/>
              <w:ind w:left="154"/>
              <w:spacing w:before="55" w:line="184" w:lineRule="auto"/>
              <w:rPr>
                <w:sz w:val="17"/>
                <w:szCs w:val="17"/>
              </w:rPr>
            </w:pPr>
            <w:r>
              <w:rPr>
                <w:sz w:val="17"/>
                <w:szCs w:val="17"/>
                <w:spacing w:val="-3"/>
              </w:rPr>
              <w:t>331</w:t>
            </w:r>
          </w:p>
        </w:tc>
        <w:tc>
          <w:tcPr>
            <w:tcW w:w="1289" w:type="dxa"/>
            <w:vAlign w:val="top"/>
          </w:tcPr>
          <w:p>
            <w:pPr>
              <w:spacing w:line="242" w:lineRule="auto"/>
              <w:rPr>
                <w:rFonts w:ascii="Arial"/>
                <w:sz w:val="21"/>
              </w:rPr>
            </w:pPr>
            <w:r/>
          </w:p>
          <w:p>
            <w:pPr>
              <w:spacing w:line="242" w:lineRule="auto"/>
              <w:rPr>
                <w:rFonts w:ascii="Arial"/>
                <w:sz w:val="21"/>
              </w:rPr>
            </w:pPr>
            <w:r/>
          </w:p>
          <w:p>
            <w:pPr>
              <w:pStyle w:val="TableText"/>
              <w:ind w:left="210"/>
              <w:spacing w:before="56" w:line="219" w:lineRule="auto"/>
              <w:rPr>
                <w:sz w:val="17"/>
                <w:szCs w:val="17"/>
              </w:rPr>
            </w:pPr>
            <w:r>
              <w:rPr>
                <w:sz w:val="17"/>
                <w:szCs w:val="17"/>
                <w:spacing w:val="-2"/>
              </w:rPr>
              <w:t>交函法辅部</w:t>
            </w:r>
          </w:p>
        </w:tc>
        <w:tc>
          <w:tcPr>
            <w:tcW w:w="1648" w:type="dxa"/>
            <w:vAlign w:val="top"/>
          </w:tcPr>
          <w:p>
            <w:pPr>
              <w:spacing w:line="414" w:lineRule="auto"/>
              <w:rPr>
                <w:rFonts w:ascii="Arial"/>
                <w:sz w:val="21"/>
              </w:rPr>
            </w:pPr>
            <w:r/>
          </w:p>
          <w:p>
            <w:pPr>
              <w:pStyle w:val="TableText"/>
              <w:ind w:left="42" w:right="63" w:firstLine="10"/>
              <w:spacing w:before="55" w:line="213" w:lineRule="auto"/>
              <w:rPr>
                <w:sz w:val="17"/>
                <w:szCs w:val="17"/>
              </w:rPr>
            </w:pPr>
            <w:r>
              <w:rPr>
                <w:sz w:val="17"/>
                <w:szCs w:val="17"/>
                <w:spacing w:val="-1"/>
              </w:rPr>
              <w:t>龙险化学品水路屈能</w:t>
            </w:r>
            <w:r>
              <w:rPr>
                <w:sz w:val="17"/>
                <w:szCs w:val="17"/>
              </w:rPr>
              <w:t xml:space="preserve"> </w:t>
            </w:r>
            <w:r>
              <w:rPr>
                <w:sz w:val="17"/>
                <w:szCs w:val="17"/>
                <w:spacing w:val="-1"/>
              </w:rPr>
              <w:t>人员从业资格认定</w:t>
            </w:r>
          </w:p>
        </w:tc>
        <w:tc>
          <w:tcPr>
            <w:tcW w:w="2367" w:type="dxa"/>
            <w:vAlign w:val="top"/>
          </w:tcPr>
          <w:p>
            <w:pPr>
              <w:spacing w:line="242" w:lineRule="auto"/>
              <w:rPr>
                <w:rFonts w:ascii="Arial"/>
                <w:sz w:val="21"/>
              </w:rPr>
            </w:pPr>
            <w:r/>
          </w:p>
          <w:p>
            <w:pPr>
              <w:spacing w:line="242" w:lineRule="auto"/>
              <w:rPr>
                <w:rFonts w:ascii="Arial"/>
                <w:sz w:val="21"/>
              </w:rPr>
            </w:pPr>
            <w:r/>
          </w:p>
          <w:p>
            <w:pPr>
              <w:pStyle w:val="TableText"/>
              <w:spacing w:before="56" w:line="219" w:lineRule="auto"/>
              <w:jc w:val="right"/>
              <w:rPr>
                <w:sz w:val="17"/>
                <w:szCs w:val="17"/>
              </w:rPr>
            </w:pPr>
            <w:r>
              <w:rPr>
                <w:sz w:val="17"/>
                <w:szCs w:val="17"/>
                <w:spacing w:val="-6"/>
              </w:rPr>
              <w:t>直属每毕身，省级交通运榆部门</w:t>
            </w:r>
          </w:p>
        </w:tc>
        <w:tc>
          <w:tcPr>
            <w:tcW w:w="3711" w:type="dxa"/>
            <w:vAlign w:val="top"/>
          </w:tcPr>
          <w:p>
            <w:pPr>
              <w:pStyle w:val="TableText"/>
              <w:spacing w:before="142" w:line="228" w:lineRule="auto"/>
              <w:rPr>
                <w:sz w:val="17"/>
                <w:szCs w:val="17"/>
              </w:rPr>
            </w:pPr>
            <w:r>
              <w:rPr>
                <w:sz w:val="17"/>
                <w:szCs w:val="17"/>
                <w:spacing w:val="-3"/>
              </w:rPr>
              <w:t>《中华人民共和国安全生产法》</w:t>
            </w:r>
          </w:p>
          <w:p>
            <w:pPr>
              <w:pStyle w:val="TableText"/>
              <w:spacing w:line="216" w:lineRule="auto"/>
              <w:rPr>
                <w:sz w:val="17"/>
                <w:szCs w:val="17"/>
              </w:rPr>
            </w:pPr>
            <w:r>
              <w:rPr>
                <w:sz w:val="17"/>
                <w:szCs w:val="17"/>
                <w:spacing w:val="-2"/>
              </w:rPr>
              <w:t>《危给化学品安全管理是例)</w:t>
            </w:r>
          </w:p>
          <w:p>
            <w:pPr>
              <w:pStyle w:val="TableText"/>
              <w:ind w:left="56" w:right="8" w:hanging="20"/>
              <w:spacing w:line="217" w:lineRule="auto"/>
              <w:rPr>
                <w:sz w:val="17"/>
                <w:szCs w:val="17"/>
              </w:rPr>
            </w:pPr>
            <w:r>
              <w:rPr>
                <w:sz w:val="17"/>
                <w:szCs w:val="17"/>
              </w:rPr>
              <w:t>(检险货物水路运输从业人员考核师从业欲格骨理 </w:t>
            </w:r>
            <w:r>
              <w:rPr>
                <w:sz w:val="17"/>
                <w:szCs w:val="17"/>
                <w:spacing w:val="-4"/>
              </w:rPr>
              <w:t>规定》</w:t>
            </w:r>
          </w:p>
          <w:p>
            <w:pPr>
              <w:pStyle w:val="TableText"/>
              <w:spacing w:line="219" w:lineRule="auto"/>
              <w:rPr>
                <w:sz w:val="17"/>
                <w:szCs w:val="17"/>
              </w:rPr>
            </w:pPr>
            <w:r>
              <w:rPr>
                <w:sz w:val="17"/>
                <w:szCs w:val="17"/>
                <w:spacing w:val="-2"/>
              </w:rPr>
              <w:t>《国家帆业资倍目录，2021年级)门</w:t>
            </w:r>
          </w:p>
        </w:tc>
      </w:tr>
      <w:tr>
        <w:trPr>
          <w:trHeight w:val="859" w:hRule="atLeast"/>
        </w:trPr>
        <w:tc>
          <w:tcPr>
            <w:tcW w:w="584" w:type="dxa"/>
            <w:vAlign w:val="top"/>
          </w:tcPr>
          <w:p>
            <w:pPr>
              <w:spacing w:line="341" w:lineRule="auto"/>
              <w:rPr>
                <w:rFonts w:ascii="Arial"/>
                <w:sz w:val="21"/>
              </w:rPr>
            </w:pPr>
            <w:r/>
          </w:p>
          <w:p>
            <w:pPr>
              <w:pStyle w:val="TableText"/>
              <w:ind w:left="154"/>
              <w:spacing w:before="55" w:line="183" w:lineRule="auto"/>
              <w:rPr>
                <w:sz w:val="17"/>
                <w:szCs w:val="17"/>
              </w:rPr>
            </w:pPr>
            <w:r>
              <w:rPr>
                <w:sz w:val="17"/>
                <w:szCs w:val="17"/>
                <w:spacing w:val="-3"/>
              </w:rPr>
              <w:t>332</w:t>
            </w:r>
          </w:p>
        </w:tc>
        <w:tc>
          <w:tcPr>
            <w:tcW w:w="1289" w:type="dxa"/>
            <w:vAlign w:val="top"/>
          </w:tcPr>
          <w:p>
            <w:pPr>
              <w:spacing w:line="298" w:lineRule="auto"/>
              <w:rPr>
                <w:rFonts w:ascii="Arial"/>
                <w:sz w:val="21"/>
              </w:rPr>
            </w:pPr>
            <w:r/>
          </w:p>
          <w:p>
            <w:pPr>
              <w:pStyle w:val="TableText"/>
              <w:ind w:left="210"/>
              <w:spacing w:before="55" w:line="220" w:lineRule="auto"/>
              <w:rPr>
                <w:sz w:val="17"/>
                <w:szCs w:val="17"/>
              </w:rPr>
            </w:pPr>
            <w:r>
              <w:rPr>
                <w:sz w:val="17"/>
                <w:szCs w:val="17"/>
                <w:spacing w:val="2"/>
              </w:rPr>
              <w:t>交通运轨郁</w:t>
            </w:r>
          </w:p>
        </w:tc>
        <w:tc>
          <w:tcPr>
            <w:tcW w:w="1648" w:type="dxa"/>
            <w:vAlign w:val="top"/>
          </w:tcPr>
          <w:p>
            <w:pPr>
              <w:spacing w:line="296" w:lineRule="auto"/>
              <w:rPr>
                <w:rFonts w:ascii="Arial"/>
                <w:sz w:val="21"/>
              </w:rPr>
            </w:pPr>
            <w:r/>
          </w:p>
          <w:p>
            <w:pPr>
              <w:pStyle w:val="TableText"/>
              <w:ind w:left="52"/>
              <w:spacing w:before="56" w:line="219" w:lineRule="auto"/>
              <w:rPr>
                <w:sz w:val="17"/>
                <w:szCs w:val="17"/>
              </w:rPr>
            </w:pPr>
            <w:r>
              <w:rPr>
                <w:sz w:val="17"/>
                <w:szCs w:val="17"/>
                <w:spacing w:val="-1"/>
              </w:rPr>
              <w:t>船易适仔证书核发</w:t>
            </w:r>
          </w:p>
        </w:tc>
        <w:tc>
          <w:tcPr>
            <w:tcW w:w="2367" w:type="dxa"/>
            <w:vAlign w:val="top"/>
          </w:tcPr>
          <w:p>
            <w:pPr>
              <w:pStyle w:val="TableText"/>
              <w:ind w:left="54" w:firstLine="19"/>
              <w:spacing w:before="254" w:line="223" w:lineRule="auto"/>
              <w:rPr>
                <w:sz w:val="17"/>
                <w:szCs w:val="17"/>
              </w:rPr>
            </w:pPr>
            <w:r>
              <w:rPr>
                <w:sz w:val="17"/>
                <w:szCs w:val="17"/>
                <w:spacing w:val="-7"/>
              </w:rPr>
              <w:t>直嘱海事局，分支得事息；设区</w:t>
            </w:r>
            <w:r>
              <w:rPr>
                <w:sz w:val="17"/>
                <w:szCs w:val="17"/>
              </w:rPr>
              <w:t xml:space="preserve"> </w:t>
            </w:r>
            <w:r>
              <w:rPr>
                <w:sz w:val="17"/>
                <w:szCs w:val="17"/>
              </w:rPr>
              <w:t>的市级，县缓交通运轴部门</w:t>
            </w:r>
          </w:p>
        </w:tc>
        <w:tc>
          <w:tcPr>
            <w:tcW w:w="3711" w:type="dxa"/>
            <w:vAlign w:val="top"/>
          </w:tcPr>
          <w:p>
            <w:pPr>
              <w:pStyle w:val="TableText"/>
              <w:ind w:left="56"/>
              <w:spacing w:before="175" w:line="217" w:lineRule="auto"/>
              <w:rPr>
                <w:sz w:val="17"/>
                <w:szCs w:val="17"/>
              </w:rPr>
            </w:pPr>
            <w:r>
              <w:rPr>
                <w:sz w:val="17"/>
                <w:szCs w:val="17"/>
                <w:spacing w:val="1"/>
              </w:rPr>
              <w:t>1中华人民共和国得上交通安全法1</w:t>
            </w:r>
          </w:p>
          <w:p>
            <w:pPr>
              <w:pStyle w:val="TableText"/>
              <w:ind w:left="56"/>
              <w:spacing w:line="195" w:lineRule="auto"/>
              <w:rPr>
                <w:sz w:val="17"/>
                <w:szCs w:val="17"/>
              </w:rPr>
            </w:pPr>
            <w:r>
              <w:rPr>
                <w:sz w:val="17"/>
                <w:szCs w:val="17"/>
              </w:rPr>
              <w:t>(中华人民共和国部员亮例》</w:t>
            </w:r>
          </w:p>
          <w:p>
            <w:pPr>
              <w:pStyle w:val="TableText"/>
              <w:spacing w:line="219" w:lineRule="auto"/>
              <w:rPr>
                <w:sz w:val="17"/>
                <w:szCs w:val="17"/>
              </w:rPr>
            </w:pPr>
            <w:r>
              <w:rPr>
                <w:sz w:val="17"/>
                <w:szCs w:val="17"/>
                <w:spacing w:val="-3"/>
              </w:rPr>
              <w:t>《国家职业资格目录(2021年取?</w:t>
            </w:r>
          </w:p>
        </w:tc>
      </w:tr>
      <w:tr>
        <w:trPr>
          <w:trHeight w:val="1183" w:hRule="atLeast"/>
        </w:trPr>
        <w:tc>
          <w:tcPr>
            <w:tcW w:w="584" w:type="dxa"/>
            <w:vAlign w:val="top"/>
          </w:tcPr>
          <w:p>
            <w:pPr>
              <w:spacing w:line="250" w:lineRule="auto"/>
              <w:rPr>
                <w:rFonts w:ascii="Arial"/>
                <w:sz w:val="21"/>
              </w:rPr>
            </w:pPr>
            <w:r/>
          </w:p>
          <w:p>
            <w:pPr>
              <w:spacing w:line="251" w:lineRule="auto"/>
              <w:rPr>
                <w:rFonts w:ascii="Arial"/>
                <w:sz w:val="21"/>
              </w:rPr>
            </w:pPr>
            <w:r/>
          </w:p>
          <w:p>
            <w:pPr>
              <w:pStyle w:val="TableText"/>
              <w:ind w:left="154"/>
              <w:spacing w:before="55" w:line="183" w:lineRule="auto"/>
              <w:rPr>
                <w:sz w:val="17"/>
                <w:szCs w:val="17"/>
              </w:rPr>
            </w:pPr>
            <w:r>
              <w:rPr>
                <w:sz w:val="17"/>
                <w:szCs w:val="17"/>
                <w:spacing w:val="-3"/>
              </w:rPr>
              <w:t>333</w:t>
            </w:r>
          </w:p>
        </w:tc>
        <w:tc>
          <w:tcPr>
            <w:tcW w:w="1289" w:type="dxa"/>
            <w:vAlign w:val="top"/>
          </w:tcPr>
          <w:p>
            <w:pPr>
              <w:spacing w:line="458" w:lineRule="auto"/>
              <w:rPr>
                <w:rFonts w:ascii="Arial"/>
                <w:sz w:val="21"/>
              </w:rPr>
            </w:pPr>
            <w:r/>
          </w:p>
          <w:p>
            <w:pPr>
              <w:pStyle w:val="TableText"/>
              <w:ind w:left="210"/>
              <w:spacing w:before="55" w:line="219" w:lineRule="auto"/>
              <w:rPr>
                <w:sz w:val="17"/>
                <w:szCs w:val="17"/>
              </w:rPr>
            </w:pPr>
            <w:r>
              <w:rPr>
                <w:sz w:val="17"/>
                <w:szCs w:val="17"/>
                <w:spacing w:val="-2"/>
              </w:rPr>
              <w:t>交西运地部</w:t>
            </w:r>
          </w:p>
        </w:tc>
        <w:tc>
          <w:tcPr>
            <w:tcW w:w="1648" w:type="dxa"/>
            <w:vAlign w:val="top"/>
          </w:tcPr>
          <w:p>
            <w:pPr>
              <w:spacing w:line="458" w:lineRule="auto"/>
              <w:rPr>
                <w:rFonts w:ascii="Arial"/>
                <w:sz w:val="21"/>
              </w:rPr>
            </w:pPr>
            <w:r/>
          </w:p>
          <w:p>
            <w:pPr>
              <w:pStyle w:val="TableText"/>
              <w:ind w:left="52"/>
              <w:spacing w:before="55" w:line="220" w:lineRule="auto"/>
              <w:rPr>
                <w:sz w:val="17"/>
                <w:szCs w:val="17"/>
              </w:rPr>
            </w:pPr>
            <w:r>
              <w:rPr>
                <w:sz w:val="17"/>
                <w:szCs w:val="17"/>
                <w:spacing w:val="-1"/>
              </w:rPr>
              <w:t>海鱼证核发</w:t>
            </w:r>
          </w:p>
        </w:tc>
        <w:tc>
          <w:tcPr>
            <w:tcW w:w="2367" w:type="dxa"/>
            <w:vAlign w:val="top"/>
          </w:tcPr>
          <w:p>
            <w:pPr>
              <w:spacing w:line="458" w:lineRule="auto"/>
              <w:rPr>
                <w:rFonts w:ascii="Arial"/>
                <w:sz w:val="21"/>
              </w:rPr>
            </w:pPr>
            <w:r/>
          </w:p>
          <w:p>
            <w:pPr>
              <w:pStyle w:val="TableText"/>
              <w:ind w:left="54"/>
              <w:spacing w:before="55" w:line="219" w:lineRule="auto"/>
              <w:rPr>
                <w:sz w:val="17"/>
                <w:szCs w:val="17"/>
              </w:rPr>
            </w:pPr>
            <w:r>
              <w:rPr>
                <w:sz w:val="17"/>
                <w:szCs w:val="17"/>
                <w:spacing w:val="1"/>
              </w:rPr>
              <w:t>直属商事局，部分分支南事局</w:t>
            </w:r>
          </w:p>
        </w:tc>
        <w:tc>
          <w:tcPr>
            <w:tcW w:w="3711" w:type="dxa"/>
            <w:vAlign w:val="top"/>
          </w:tcPr>
          <w:p>
            <w:pPr>
              <w:pStyle w:val="TableText"/>
              <w:ind w:left="56"/>
              <w:spacing w:before="226" w:line="219" w:lineRule="auto"/>
              <w:rPr>
                <w:sz w:val="17"/>
                <w:szCs w:val="17"/>
              </w:rPr>
            </w:pPr>
            <w:r>
              <w:rPr>
                <w:sz w:val="17"/>
                <w:szCs w:val="17"/>
                <w:spacing w:val="-1"/>
              </w:rPr>
              <w:t>K中华人况共和回护展法》</w:t>
            </w:r>
          </w:p>
          <w:p>
            <w:pPr>
              <w:pStyle w:val="TableText"/>
              <w:spacing w:before="8" w:line="228" w:lineRule="auto"/>
              <w:rPr>
                <w:sz w:val="17"/>
                <w:szCs w:val="17"/>
              </w:rPr>
            </w:pPr>
            <w:r>
              <w:rPr>
                <w:sz w:val="17"/>
                <w:szCs w:val="17"/>
                <w:spacing w:val="-3"/>
              </w:rPr>
              <w:t>《中华人民共和国出境人境管理法》</w:t>
            </w:r>
          </w:p>
          <w:p>
            <w:pPr>
              <w:pStyle w:val="TableText"/>
              <w:ind w:left="84"/>
              <w:spacing w:line="217" w:lineRule="auto"/>
              <w:rPr>
                <w:sz w:val="17"/>
                <w:szCs w:val="17"/>
              </w:rPr>
            </w:pPr>
            <w:r>
              <w:rPr>
                <w:sz w:val="17"/>
                <w:szCs w:val="17"/>
                <w:spacing w:val="-1"/>
              </w:rPr>
              <w:t>(中华人民共和国船员条例1</w:t>
            </w:r>
          </w:p>
          <w:p>
            <w:pPr>
              <w:pStyle w:val="TableText"/>
              <w:spacing w:line="219" w:lineRule="auto"/>
              <w:rPr>
                <w:sz w:val="17"/>
                <w:szCs w:val="17"/>
              </w:rPr>
            </w:pPr>
            <w:r>
              <w:rPr>
                <w:sz w:val="17"/>
                <w:szCs w:val="17"/>
                <w:spacing w:val="2"/>
              </w:rPr>
              <w:t>《国家积业查格日录《2021年版》】</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58944" behindDoc="0" locked="0" layoutInCell="0" allowOverlap="1">
                <wp:simplePos x="0" y="0"/>
                <wp:positionH relativeFrom="page">
                  <wp:posOffset>458917</wp:posOffset>
                </wp:positionH>
                <wp:positionV relativeFrom="page">
                  <wp:posOffset>4386531</wp:posOffset>
                </wp:positionV>
                <wp:extent cx="175260" cy="165100"/>
                <wp:effectExtent l="0" t="0" r="0" b="0"/>
                <wp:wrapNone/>
                <wp:docPr id="236" name="TextBox 236"/>
                <wp:cNvGraphicFramePr/>
                <a:graphic>
                  <a:graphicData uri="http://schemas.microsoft.com/office/word/2010/wordprocessingShape">
                    <wps:wsp>
                      <wps:cNvSpPr txBox="1"/>
                      <wps:spPr>
                        <a:xfrm rot="5400000">
                          <a:off x="458917" y="4386531"/>
                          <a:ext cx="175260"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8" style="position:absolute;margin-left:36.1352pt;margin-top:345.396pt;mso-position-vertical-relative:page;mso-position-horizontal-relative:page;width:13.8pt;height:13pt;z-index:251858944;rotation:90;" o:allowincell="f" filled="false" stroked="false" type="#_x0000_t202">
                <v:fill on="false"/>
                <v:stroke on="false"/>
                <v:path/>
                <v:imagedata o:title=""/>
                <o:lock v:ext="edit" aspectratio="false"/>
                <v:textbox inset="0mm,0mm,0mm,0mm">
                  <w:txbxContent>
                    <w:p>
                      <w:pPr>
                        <w:ind w:left="20"/>
                        <w:spacing w:before="70" w:line="184" w:lineRule="auto"/>
                        <w:rPr>
                          <w:rFonts w:ascii="SimSun" w:hAnsi="SimSun" w:eastAsia="SimSun" w:cs="SimSun"/>
                          <w:sz w:val="17"/>
                          <w:szCs w:val="17"/>
                        </w:rPr>
                      </w:pPr>
                      <w:r>
                        <w:rPr>
                          <w:rFonts w:ascii="SimSun" w:hAnsi="SimSun" w:eastAsia="SimSun" w:cs="SimSun"/>
                          <w:sz w:val="17"/>
                          <w:szCs w:val="17"/>
                          <w:spacing w:val="-5"/>
                        </w:rPr>
                        <w:t>199</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21"/>
      </w:tblGrid>
      <w:tr>
        <w:trPr>
          <w:trHeight w:val="41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38" w:type="dxa"/>
            <w:vAlign w:val="top"/>
          </w:tcPr>
          <w:p>
            <w:pPr>
              <w:pStyle w:val="TableText"/>
              <w:ind w:left="461"/>
              <w:spacing w:before="132" w:line="220" w:lineRule="auto"/>
              <w:rPr>
                <w:sz w:val="16"/>
                <w:szCs w:val="16"/>
              </w:rPr>
            </w:pPr>
            <w:r>
              <w:rPr>
                <w:sz w:val="16"/>
                <w:szCs w:val="16"/>
                <w:spacing w:val="-2"/>
              </w:rPr>
              <w:t>事项名称</w:t>
            </w:r>
          </w:p>
        </w:tc>
        <w:tc>
          <w:tcPr>
            <w:tcW w:w="2367" w:type="dxa"/>
            <w:vAlign w:val="top"/>
          </w:tcPr>
          <w:p>
            <w:pPr>
              <w:pStyle w:val="TableText"/>
              <w:ind w:left="846"/>
              <w:spacing w:before="128" w:line="219" w:lineRule="auto"/>
              <w:rPr>
                <w:sz w:val="16"/>
                <w:szCs w:val="16"/>
              </w:rPr>
            </w:pPr>
            <w:r>
              <w:rPr>
                <w:sz w:val="16"/>
                <w:szCs w:val="16"/>
                <w:b/>
                <w:bCs/>
                <w:spacing w:val="-4"/>
              </w:rPr>
              <w:t>实施机关</w:t>
            </w:r>
          </w:p>
        </w:tc>
        <w:tc>
          <w:tcPr>
            <w:tcW w:w="3721" w:type="dxa"/>
            <w:vAlign w:val="top"/>
          </w:tcPr>
          <w:p>
            <w:pPr>
              <w:pStyle w:val="TableText"/>
              <w:ind w:left="1299"/>
              <w:spacing w:before="128" w:line="219" w:lineRule="auto"/>
              <w:rPr>
                <w:sz w:val="16"/>
                <w:szCs w:val="16"/>
              </w:rPr>
            </w:pPr>
            <w:r>
              <w:rPr>
                <w:sz w:val="16"/>
                <w:szCs w:val="16"/>
                <w:b/>
                <w:bCs/>
                <w:spacing w:val="-3"/>
              </w:rPr>
              <w:t>设定和实施依屋</w:t>
            </w:r>
          </w:p>
        </w:tc>
      </w:tr>
      <w:tr>
        <w:trPr>
          <w:trHeight w:val="1278" w:hRule="atLeast"/>
        </w:trPr>
        <w:tc>
          <w:tcPr>
            <w:tcW w:w="584" w:type="dxa"/>
            <w:vAlign w:val="top"/>
          </w:tcPr>
          <w:p>
            <w:pPr>
              <w:spacing w:line="271" w:lineRule="auto"/>
              <w:rPr>
                <w:rFonts w:ascii="Arial"/>
                <w:sz w:val="21"/>
              </w:rPr>
            </w:pPr>
            <w:r/>
          </w:p>
          <w:p>
            <w:pPr>
              <w:spacing w:line="272" w:lineRule="auto"/>
              <w:rPr>
                <w:rFonts w:ascii="Arial"/>
                <w:sz w:val="21"/>
              </w:rPr>
            </w:pPr>
            <w:r/>
          </w:p>
          <w:p>
            <w:pPr>
              <w:pStyle w:val="TableText"/>
              <w:ind w:left="164"/>
              <w:spacing w:before="52" w:line="183" w:lineRule="auto"/>
              <w:rPr>
                <w:sz w:val="16"/>
                <w:szCs w:val="16"/>
              </w:rPr>
            </w:pPr>
            <w:r>
              <w:rPr>
                <w:sz w:val="16"/>
                <w:szCs w:val="16"/>
                <w:spacing w:val="-2"/>
              </w:rPr>
              <w:t>a3*</w:t>
            </w:r>
          </w:p>
        </w:tc>
        <w:tc>
          <w:tcPr>
            <w:tcW w:w="1289" w:type="dxa"/>
            <w:vAlign w:val="top"/>
          </w:tcPr>
          <w:p>
            <w:pPr>
              <w:spacing w:line="251" w:lineRule="auto"/>
              <w:rPr>
                <w:rFonts w:ascii="Arial"/>
                <w:sz w:val="21"/>
              </w:rPr>
            </w:pPr>
            <w:r/>
          </w:p>
          <w:p>
            <w:pPr>
              <w:spacing w:line="251" w:lineRule="auto"/>
              <w:rPr>
                <w:rFonts w:ascii="Arial"/>
                <w:sz w:val="21"/>
              </w:rPr>
            </w:pPr>
            <w:r/>
          </w:p>
          <w:p>
            <w:pPr>
              <w:pStyle w:val="TableText"/>
              <w:ind w:left="231"/>
              <w:spacing w:before="52" w:line="219" w:lineRule="auto"/>
              <w:rPr>
                <w:sz w:val="16"/>
                <w:szCs w:val="16"/>
              </w:rPr>
            </w:pPr>
            <w:r>
              <w:rPr>
                <w:sz w:val="16"/>
                <w:szCs w:val="16"/>
                <w:spacing w:val="-2"/>
              </w:rPr>
              <w:t>交通运辅部</w:t>
            </w:r>
          </w:p>
        </w:tc>
        <w:tc>
          <w:tcPr>
            <w:tcW w:w="1638" w:type="dxa"/>
            <w:vAlign w:val="top"/>
          </w:tcPr>
          <w:p>
            <w:pPr>
              <w:spacing w:line="422" w:lineRule="auto"/>
              <w:rPr>
                <w:rFonts w:ascii="Arial"/>
                <w:sz w:val="21"/>
              </w:rPr>
            </w:pPr>
            <w:r/>
          </w:p>
          <w:p>
            <w:pPr>
              <w:pStyle w:val="TableText"/>
              <w:ind w:left="52" w:right="231" w:hanging="10"/>
              <w:spacing w:before="52" w:line="214" w:lineRule="auto"/>
              <w:rPr>
                <w:sz w:val="16"/>
                <w:szCs w:val="16"/>
              </w:rPr>
            </w:pPr>
            <w:r>
              <w:rPr>
                <w:sz w:val="16"/>
                <w:szCs w:val="16"/>
                <w:spacing w:val="-3"/>
              </w:rPr>
              <w:t>造价工程</w:t>
            </w:r>
            <w:r>
              <w:rPr>
                <w:sz w:val="16"/>
                <w:szCs w:val="16"/>
                <w:spacing w:val="9"/>
              </w:rPr>
              <w:t xml:space="preserve">  </w:t>
            </w:r>
            <w:r>
              <w:rPr>
                <w:sz w:val="16"/>
                <w:szCs w:val="16"/>
                <w:spacing w:val="-3"/>
              </w:rPr>
              <w:t>1交通起</w:t>
            </w:r>
            <w:r>
              <w:rPr>
                <w:sz w:val="16"/>
                <w:szCs w:val="16"/>
              </w:rPr>
              <w:t xml:space="preserve"> </w:t>
            </w:r>
            <w:r>
              <w:rPr>
                <w:sz w:val="16"/>
                <w:szCs w:val="16"/>
                <w:spacing w:val="-1"/>
              </w:rPr>
              <w:t>检工程&gt;注册</w:t>
            </w:r>
          </w:p>
        </w:tc>
        <w:tc>
          <w:tcPr>
            <w:tcW w:w="2367" w:type="dxa"/>
            <w:vAlign w:val="top"/>
          </w:tcPr>
          <w:p>
            <w:pPr>
              <w:spacing w:line="251" w:lineRule="auto"/>
              <w:rPr>
                <w:rFonts w:ascii="Arial"/>
                <w:sz w:val="21"/>
              </w:rPr>
            </w:pPr>
            <w:r/>
          </w:p>
          <w:p>
            <w:pPr>
              <w:spacing w:line="251" w:lineRule="auto"/>
              <w:rPr>
                <w:rFonts w:ascii="Arial"/>
                <w:sz w:val="21"/>
              </w:rPr>
            </w:pPr>
            <w:r/>
          </w:p>
          <w:p>
            <w:pPr>
              <w:pStyle w:val="TableText"/>
              <w:ind w:left="83"/>
              <w:spacing w:before="52" w:line="219" w:lineRule="auto"/>
              <w:rPr>
                <w:sz w:val="16"/>
                <w:szCs w:val="16"/>
              </w:rPr>
            </w:pPr>
            <w:r>
              <w:rPr>
                <w:sz w:val="16"/>
                <w:szCs w:val="16"/>
                <w:spacing w:val="1"/>
              </w:rPr>
              <w:t>交通运输部，能设文当运输部门</w:t>
            </w:r>
          </w:p>
        </w:tc>
        <w:tc>
          <w:tcPr>
            <w:tcW w:w="3721" w:type="dxa"/>
            <w:vAlign w:val="top"/>
          </w:tcPr>
          <w:p>
            <w:pPr>
              <w:pStyle w:val="TableText"/>
              <w:ind w:left="56"/>
              <w:spacing w:before="56" w:line="219" w:lineRule="auto"/>
              <w:rPr>
                <w:sz w:val="16"/>
                <w:szCs w:val="16"/>
              </w:rPr>
            </w:pPr>
            <w:r>
              <w:rPr>
                <w:sz w:val="16"/>
                <w:szCs w:val="16"/>
              </w:rPr>
              <w:t>1中华人民共和借建策法</w:t>
            </w:r>
          </w:p>
          <w:p>
            <w:pPr>
              <w:pStyle w:val="TableText"/>
              <w:ind w:left="46"/>
              <w:spacing w:before="10" w:line="219" w:lineRule="auto"/>
              <w:rPr>
                <w:sz w:val="16"/>
                <w:szCs w:val="16"/>
              </w:rPr>
            </w:pPr>
            <w:r>
              <w:rPr>
                <w:sz w:val="16"/>
                <w:szCs w:val="16"/>
              </w:rPr>
              <w:t>1住房城步建改部交运运轴面水利信人力资返社</w:t>
            </w:r>
          </w:p>
          <w:p>
            <w:pPr>
              <w:pStyle w:val="TableText"/>
              <w:ind w:left="46"/>
              <w:spacing w:before="9" w:line="218" w:lineRule="auto"/>
              <w:rPr>
                <w:sz w:val="16"/>
                <w:szCs w:val="16"/>
              </w:rPr>
            </w:pPr>
            <w:r>
              <w:rPr>
                <w:sz w:val="16"/>
                <w:szCs w:val="16"/>
              </w:rPr>
              <w:t>公保障部关于印发(造价工程鲜职业资格制盘现定</w:t>
            </w:r>
          </w:p>
          <w:p>
            <w:pPr>
              <w:pStyle w:val="TableText"/>
              <w:ind w:left="66"/>
              <w:spacing w:before="11" w:line="218" w:lineRule="auto"/>
              <w:rPr>
                <w:sz w:val="16"/>
                <w:szCs w:val="16"/>
              </w:rPr>
            </w:pPr>
            <w:r>
              <w:rPr>
                <w:sz w:val="16"/>
                <w:szCs w:val="16"/>
                <w:spacing w:val="-1"/>
              </w:rPr>
              <w:t>责价工程师服业资格季试实能办甚》的通知5(建人</w:t>
            </w:r>
          </w:p>
          <w:p>
            <w:pPr>
              <w:pStyle w:val="TableText"/>
              <w:ind w:left="56"/>
              <w:spacing w:before="43" w:line="218" w:lineRule="auto"/>
              <w:rPr>
                <w:sz w:val="16"/>
                <w:szCs w:val="16"/>
              </w:rPr>
            </w:pPr>
            <w:r>
              <w:rPr>
                <w:sz w:val="16"/>
                <w:szCs w:val="16"/>
                <w:spacing w:val="-1"/>
              </w:rPr>
              <w:t>C2013)67号</w:t>
            </w:r>
          </w:p>
          <w:p>
            <w:pPr>
              <w:pStyle w:val="TableText"/>
              <w:ind w:left="56"/>
              <w:spacing w:line="219" w:lineRule="auto"/>
              <w:rPr>
                <w:sz w:val="16"/>
                <w:szCs w:val="16"/>
              </w:rPr>
            </w:pPr>
            <w:r>
              <w:rPr>
                <w:sz w:val="16"/>
                <w:szCs w:val="16"/>
                <w:spacing w:val="2"/>
              </w:rPr>
              <w:t>1网农职业质格目录(202(年管)</w:t>
            </w:r>
          </w:p>
        </w:tc>
      </w:tr>
      <w:tr>
        <w:trPr>
          <w:trHeight w:val="1678" w:hRule="atLeast"/>
        </w:trPr>
        <w:tc>
          <w:tcPr>
            <w:tcW w:w="58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64"/>
              <w:spacing w:before="52" w:line="183" w:lineRule="auto"/>
              <w:rPr>
                <w:sz w:val="16"/>
                <w:szCs w:val="16"/>
              </w:rPr>
            </w:pPr>
            <w:r>
              <w:rPr>
                <w:sz w:val="16"/>
                <w:szCs w:val="16"/>
                <w:spacing w:val="-3"/>
              </w:rPr>
              <w:t>335</w:t>
            </w:r>
          </w:p>
        </w:tc>
        <w:tc>
          <w:tcPr>
            <w:tcW w:w="1289" w:type="dxa"/>
            <w:vAlign w:val="top"/>
          </w:tcPr>
          <w:p>
            <w:pPr>
              <w:spacing w:line="351" w:lineRule="auto"/>
              <w:rPr>
                <w:rFonts w:ascii="Arial"/>
                <w:sz w:val="21"/>
              </w:rPr>
            </w:pPr>
            <w:r/>
          </w:p>
          <w:p>
            <w:pPr>
              <w:spacing w:line="352" w:lineRule="auto"/>
              <w:rPr>
                <w:rFonts w:ascii="Arial"/>
                <w:sz w:val="21"/>
              </w:rPr>
            </w:pPr>
            <w:r/>
          </w:p>
          <w:p>
            <w:pPr>
              <w:pStyle w:val="TableText"/>
              <w:ind w:left="231"/>
              <w:spacing w:before="52" w:line="220" w:lineRule="auto"/>
              <w:rPr>
                <w:sz w:val="16"/>
                <w:szCs w:val="16"/>
              </w:rPr>
            </w:pPr>
            <w:r>
              <w:rPr>
                <w:sz w:val="16"/>
                <w:szCs w:val="16"/>
                <w:spacing w:val="-2"/>
              </w:rPr>
              <w:t>交海运墙邢</w:t>
            </w:r>
          </w:p>
        </w:tc>
        <w:tc>
          <w:tcPr>
            <w:tcW w:w="1638" w:type="dxa"/>
            <w:vAlign w:val="top"/>
          </w:tcPr>
          <w:p>
            <w:pPr>
              <w:spacing w:line="307" w:lineRule="auto"/>
              <w:rPr>
                <w:rFonts w:ascii="Arial"/>
                <w:sz w:val="21"/>
              </w:rPr>
            </w:pPr>
            <w:r/>
          </w:p>
          <w:p>
            <w:pPr>
              <w:spacing w:line="307" w:lineRule="auto"/>
              <w:rPr>
                <w:rFonts w:ascii="Arial"/>
                <w:sz w:val="21"/>
              </w:rPr>
            </w:pPr>
            <w:r/>
          </w:p>
          <w:p>
            <w:pPr>
              <w:pStyle w:val="TableText"/>
              <w:ind w:left="52" w:right="222"/>
              <w:spacing w:before="52" w:line="237" w:lineRule="auto"/>
              <w:rPr>
                <w:sz w:val="16"/>
                <w:szCs w:val="16"/>
              </w:rPr>
            </w:pPr>
            <w:r>
              <w:rPr>
                <w:sz w:val="16"/>
                <w:szCs w:val="16"/>
                <w:spacing w:val="-1"/>
              </w:rPr>
              <w:t>监理工程师(交通送</w:t>
            </w:r>
            <w:r>
              <w:rPr>
                <w:sz w:val="16"/>
                <w:szCs w:val="16"/>
                <w:spacing w:val="1"/>
              </w:rPr>
              <w:t xml:space="preserve"> </w:t>
            </w:r>
            <w:r>
              <w:rPr>
                <w:sz w:val="16"/>
                <w:szCs w:val="16"/>
                <w:spacing w:val="-2"/>
              </w:rPr>
              <w:t>葡工型)注期</w:t>
            </w:r>
          </w:p>
        </w:tc>
        <w:tc>
          <w:tcPr>
            <w:tcW w:w="2367" w:type="dxa"/>
            <w:vAlign w:val="top"/>
          </w:tcPr>
          <w:p>
            <w:pPr>
              <w:spacing w:line="351" w:lineRule="auto"/>
              <w:rPr>
                <w:rFonts w:ascii="Arial"/>
                <w:sz w:val="21"/>
              </w:rPr>
            </w:pPr>
            <w:r/>
          </w:p>
          <w:p>
            <w:pPr>
              <w:spacing w:line="352" w:lineRule="auto"/>
              <w:rPr>
                <w:rFonts w:ascii="Arial"/>
                <w:sz w:val="21"/>
              </w:rPr>
            </w:pPr>
            <w:r/>
          </w:p>
          <w:p>
            <w:pPr>
              <w:pStyle w:val="TableText"/>
              <w:ind w:left="83"/>
              <w:spacing w:before="52" w:line="219" w:lineRule="auto"/>
              <w:rPr>
                <w:sz w:val="16"/>
                <w:szCs w:val="16"/>
              </w:rPr>
            </w:pPr>
            <w:r>
              <w:rPr>
                <w:sz w:val="16"/>
                <w:szCs w:val="16"/>
                <w:spacing w:val="-2"/>
              </w:rPr>
              <w:t>交通运抗都</w:t>
            </w:r>
          </w:p>
        </w:tc>
        <w:tc>
          <w:tcPr>
            <w:tcW w:w="3721" w:type="dxa"/>
            <w:vAlign w:val="top"/>
          </w:tcPr>
          <w:p>
            <w:pPr>
              <w:pStyle w:val="TableText"/>
              <w:ind w:left="56"/>
              <w:spacing w:before="59" w:line="242" w:lineRule="auto"/>
              <w:rPr>
                <w:sz w:val="16"/>
                <w:szCs w:val="16"/>
              </w:rPr>
            </w:pPr>
            <w:r>
              <w:rPr>
                <w:sz w:val="16"/>
                <w:szCs w:val="16"/>
              </w:rPr>
              <w:t>(中华人民共和国常筑法</w:t>
            </w:r>
          </w:p>
          <w:p>
            <w:pPr>
              <w:pStyle w:val="TableText"/>
              <w:ind w:left="56"/>
              <w:spacing w:line="219" w:lineRule="auto"/>
              <w:rPr>
                <w:sz w:val="16"/>
                <w:szCs w:val="16"/>
              </w:rPr>
            </w:pPr>
            <w:r>
              <w:rPr>
                <w:sz w:val="16"/>
                <w:szCs w:val="16"/>
                <w:spacing w:val="-1"/>
              </w:rPr>
              <w:t>1建设工程港址管理条例：</w:t>
            </w:r>
          </w:p>
          <w:p>
            <w:pPr>
              <w:pStyle w:val="TableText"/>
              <w:ind w:left="56"/>
              <w:spacing w:before="9" w:line="208" w:lineRule="auto"/>
              <w:rPr>
                <w:sz w:val="16"/>
                <w:szCs w:val="16"/>
              </w:rPr>
            </w:pPr>
            <w:r>
              <w:rPr>
                <w:sz w:val="16"/>
                <w:szCs w:val="16"/>
                <w:spacing w:val="2"/>
              </w:rPr>
              <w:t>公路水运工程监理企业餐质替理肥定)</w:t>
            </w:r>
          </w:p>
          <w:p>
            <w:pPr>
              <w:pStyle w:val="TableText"/>
              <w:ind w:left="36" w:right="241" w:firstLine="10"/>
              <w:spacing w:before="1" w:line="230" w:lineRule="auto"/>
              <w:rPr>
                <w:sz w:val="16"/>
                <w:szCs w:val="16"/>
              </w:rPr>
            </w:pPr>
            <w:r>
              <w:rPr>
                <w:sz w:val="16"/>
                <w:szCs w:val="16"/>
              </w:rPr>
              <w:t>1住房和城乡建设部克消运暗苏水科茄人方第加  </w:t>
            </w:r>
            <w:r>
              <w:rPr>
                <w:sz w:val="16"/>
                <w:szCs w:val="16"/>
                <w:spacing w:val="-1"/>
              </w:rPr>
              <w:t>社会保筹部关于创发(卷理工程济歌业贸格制改红</w:t>
            </w:r>
            <w:r>
              <w:rPr>
                <w:sz w:val="16"/>
                <w:szCs w:val="16"/>
                <w:spacing w:val="13"/>
              </w:rPr>
              <w:t xml:space="preserve"> </w:t>
            </w:r>
            <w:r>
              <w:rPr>
                <w:sz w:val="16"/>
                <w:szCs w:val="16"/>
              </w:rPr>
              <w:t>定分监嗅工程师职业资桥考试实题办法|的</w:t>
            </w:r>
            <w:r>
              <w:rPr>
                <w:sz w:val="16"/>
                <w:szCs w:val="16"/>
                <w:spacing w:val="-1"/>
              </w:rPr>
              <w:t>通短</w:t>
            </w:r>
          </w:p>
          <w:p>
            <w:pPr>
              <w:pStyle w:val="TableText"/>
              <w:ind w:left="56"/>
              <w:spacing w:before="22" w:line="221" w:lineRule="auto"/>
              <w:rPr>
                <w:sz w:val="16"/>
                <w:szCs w:val="16"/>
              </w:rPr>
            </w:pPr>
            <w:r>
              <w:rPr>
                <w:sz w:val="16"/>
                <w:szCs w:val="16"/>
                <w:spacing w:val="2"/>
              </w:rPr>
              <w:t>(建人想(2020)3号)</w:t>
            </w:r>
          </w:p>
          <w:p>
            <w:pPr>
              <w:pStyle w:val="TableText"/>
              <w:ind w:left="56"/>
              <w:spacing w:before="7" w:line="219" w:lineRule="auto"/>
              <w:rPr>
                <w:sz w:val="16"/>
                <w:szCs w:val="16"/>
              </w:rPr>
            </w:pPr>
            <w:r>
              <w:rPr>
                <w:sz w:val="16"/>
                <w:szCs w:val="16"/>
                <w:spacing w:val="2"/>
              </w:rPr>
              <w:t>国家明业班常目录(</w:t>
            </w:r>
            <w:r>
              <w:rPr>
                <w:sz w:val="16"/>
                <w:szCs w:val="16"/>
              </w:rPr>
              <w:t>ar</w:t>
            </w:r>
            <w:r>
              <w:rPr>
                <w:sz w:val="16"/>
                <w:szCs w:val="16"/>
                <w:spacing w:val="2"/>
              </w:rPr>
              <w:t>2(车意))</w:t>
            </w:r>
          </w:p>
        </w:tc>
      </w:tr>
      <w:tr>
        <w:trPr>
          <w:trHeight w:val="669" w:hRule="atLeast"/>
        </w:trPr>
        <w:tc>
          <w:tcPr>
            <w:tcW w:w="584" w:type="dxa"/>
            <w:vAlign w:val="top"/>
          </w:tcPr>
          <w:p>
            <w:pPr>
              <w:spacing w:line="249" w:lineRule="auto"/>
              <w:rPr>
                <w:rFonts w:ascii="Arial"/>
                <w:sz w:val="21"/>
              </w:rPr>
            </w:pPr>
            <w:r/>
          </w:p>
          <w:p>
            <w:pPr>
              <w:pStyle w:val="TableText"/>
              <w:ind w:left="164"/>
              <w:spacing w:before="52" w:line="183" w:lineRule="auto"/>
              <w:rPr>
                <w:sz w:val="16"/>
                <w:szCs w:val="16"/>
              </w:rPr>
            </w:pPr>
            <w:r>
              <w:rPr>
                <w:sz w:val="16"/>
                <w:szCs w:val="16"/>
                <w:spacing w:val="-2"/>
              </w:rPr>
              <w:t>836</w:t>
            </w:r>
          </w:p>
        </w:tc>
        <w:tc>
          <w:tcPr>
            <w:tcW w:w="1289" w:type="dxa"/>
            <w:vAlign w:val="top"/>
          </w:tcPr>
          <w:p>
            <w:pPr>
              <w:pStyle w:val="TableText"/>
              <w:ind w:left="231"/>
              <w:spacing w:before="260" w:line="219" w:lineRule="auto"/>
              <w:rPr>
                <w:sz w:val="16"/>
                <w:szCs w:val="16"/>
              </w:rPr>
            </w:pPr>
            <w:r>
              <w:rPr>
                <w:sz w:val="16"/>
                <w:szCs w:val="16"/>
                <w:spacing w:val="-2"/>
              </w:rPr>
              <w:t>交通运轴部</w:t>
            </w:r>
          </w:p>
        </w:tc>
        <w:tc>
          <w:tcPr>
            <w:tcW w:w="1638" w:type="dxa"/>
            <w:vAlign w:val="top"/>
          </w:tcPr>
          <w:p>
            <w:pPr>
              <w:pStyle w:val="TableText"/>
              <w:ind w:left="52" w:right="102" w:firstLine="20"/>
              <w:spacing w:before="60" w:line="230" w:lineRule="auto"/>
              <w:jc w:val="both"/>
              <w:rPr>
                <w:sz w:val="16"/>
                <w:szCs w:val="16"/>
              </w:rPr>
            </w:pPr>
            <w:r>
              <w:rPr>
                <w:sz w:val="16"/>
                <w:szCs w:val="16"/>
                <w:spacing w:val="-1"/>
              </w:rPr>
              <w:t>长江流线水生生做重</w:t>
            </w:r>
            <w:r>
              <w:rPr>
                <w:sz w:val="16"/>
                <w:szCs w:val="16"/>
                <w:spacing w:val="1"/>
              </w:rPr>
              <w:t xml:space="preserve"> </w:t>
            </w:r>
            <w:r>
              <w:rPr>
                <w:sz w:val="16"/>
                <w:szCs w:val="16"/>
                <w:spacing w:val="3"/>
              </w:rPr>
              <w:t>要稻且地靠止就行区</w:t>
            </w:r>
            <w:r>
              <w:rPr>
                <w:sz w:val="16"/>
                <w:szCs w:val="16"/>
                <w:spacing w:val="5"/>
              </w:rPr>
              <w:t xml:space="preserve"> </w:t>
            </w:r>
            <w:r>
              <w:rPr>
                <w:sz w:val="16"/>
                <w:szCs w:val="16"/>
                <w:spacing w:val="-2"/>
              </w:rPr>
              <w:t>填内席行审Ⅲ</w:t>
            </w:r>
          </w:p>
        </w:tc>
        <w:tc>
          <w:tcPr>
            <w:tcW w:w="2367" w:type="dxa"/>
            <w:vAlign w:val="top"/>
          </w:tcPr>
          <w:p>
            <w:pPr>
              <w:pStyle w:val="TableText"/>
              <w:ind w:left="83"/>
              <w:spacing w:before="260" w:line="219" w:lineRule="auto"/>
              <w:rPr>
                <w:sz w:val="16"/>
                <w:szCs w:val="16"/>
              </w:rPr>
            </w:pPr>
            <w:r>
              <w:rPr>
                <w:sz w:val="16"/>
                <w:szCs w:val="16"/>
                <w:spacing w:val="-1"/>
              </w:rPr>
              <w:t>交源孟精都会同农业农村部</w:t>
            </w:r>
          </w:p>
        </w:tc>
        <w:tc>
          <w:tcPr>
            <w:tcW w:w="3721" w:type="dxa"/>
            <w:vAlign w:val="top"/>
          </w:tcPr>
          <w:p>
            <w:pPr>
              <w:pStyle w:val="TableText"/>
              <w:ind w:left="56"/>
              <w:spacing w:before="261" w:line="219" w:lineRule="auto"/>
              <w:rPr>
                <w:sz w:val="16"/>
                <w:szCs w:val="16"/>
              </w:rPr>
            </w:pPr>
            <w:r>
              <w:rPr>
                <w:sz w:val="16"/>
                <w:szCs w:val="16"/>
                <w:spacing w:val="-1"/>
              </w:rPr>
              <w:t>1中华人民共和国长江保护法》</w:t>
            </w:r>
          </w:p>
        </w:tc>
      </w:tr>
      <w:tr>
        <w:trPr>
          <w:trHeight w:val="469" w:hRule="atLeast"/>
        </w:trPr>
        <w:tc>
          <w:tcPr>
            <w:tcW w:w="584" w:type="dxa"/>
            <w:vAlign w:val="top"/>
          </w:tcPr>
          <w:p>
            <w:pPr>
              <w:pStyle w:val="TableText"/>
              <w:ind w:left="204"/>
              <w:spacing w:before="203" w:line="183" w:lineRule="auto"/>
              <w:rPr>
                <w:sz w:val="16"/>
                <w:szCs w:val="16"/>
              </w:rPr>
            </w:pPr>
            <w:r>
              <w:rPr>
                <w:sz w:val="16"/>
                <w:szCs w:val="16"/>
                <w:spacing w:val="-3"/>
              </w:rPr>
              <w:t>27</w:t>
            </w:r>
          </w:p>
        </w:tc>
        <w:tc>
          <w:tcPr>
            <w:tcW w:w="1289" w:type="dxa"/>
            <w:vAlign w:val="top"/>
          </w:tcPr>
          <w:p>
            <w:pPr>
              <w:pStyle w:val="TableText"/>
              <w:ind w:left="390"/>
              <w:spacing w:before="162" w:line="219" w:lineRule="auto"/>
              <w:rPr>
                <w:sz w:val="16"/>
                <w:szCs w:val="16"/>
              </w:rPr>
            </w:pPr>
            <w:r>
              <w:rPr>
                <w:sz w:val="16"/>
                <w:szCs w:val="16"/>
                <w:spacing w:val="-2"/>
              </w:rPr>
              <w:t>未利部</w:t>
            </w:r>
          </w:p>
        </w:tc>
        <w:tc>
          <w:tcPr>
            <w:tcW w:w="1638" w:type="dxa"/>
            <w:vAlign w:val="top"/>
          </w:tcPr>
          <w:p>
            <w:pPr>
              <w:pStyle w:val="TableText"/>
              <w:ind w:left="52" w:right="124" w:firstLine="20"/>
              <w:spacing w:before="82" w:line="217" w:lineRule="auto"/>
              <w:rPr>
                <w:sz w:val="16"/>
                <w:szCs w:val="16"/>
              </w:rPr>
            </w:pPr>
            <w:r>
              <w:rPr>
                <w:sz w:val="16"/>
                <w:szCs w:val="16"/>
                <w:spacing w:val="-1"/>
              </w:rPr>
              <w:t>水利基建项口都步说</w:t>
            </w:r>
            <w:r>
              <w:rPr>
                <w:sz w:val="16"/>
                <w:szCs w:val="16"/>
              </w:rPr>
              <w:t xml:space="preserve"> </w:t>
            </w:r>
            <w:r>
              <w:rPr>
                <w:sz w:val="16"/>
                <w:szCs w:val="16"/>
                <w:spacing w:val="-1"/>
              </w:rPr>
              <w:t>计文件罪批</w:t>
            </w:r>
          </w:p>
        </w:tc>
        <w:tc>
          <w:tcPr>
            <w:tcW w:w="2367" w:type="dxa"/>
            <w:vAlign w:val="top"/>
          </w:tcPr>
          <w:p>
            <w:pPr>
              <w:pStyle w:val="TableText"/>
              <w:ind w:left="83"/>
              <w:spacing w:before="81" w:line="214" w:lineRule="auto"/>
              <w:rPr>
                <w:sz w:val="16"/>
                <w:szCs w:val="16"/>
              </w:rPr>
            </w:pPr>
            <w:r>
              <w:rPr>
                <w:sz w:val="16"/>
                <w:szCs w:val="16"/>
                <w:spacing w:val="-4"/>
              </w:rPr>
              <w:t>水利部；省顿.设区的而组，县呢</w:t>
            </w:r>
            <w:r>
              <w:rPr>
                <w:sz w:val="16"/>
                <w:szCs w:val="16"/>
                <w:spacing w:val="12"/>
              </w:rPr>
              <w:t xml:space="preserve"> </w:t>
            </w:r>
            <w:r>
              <w:rPr>
                <w:sz w:val="16"/>
                <w:szCs w:val="16"/>
                <w:spacing w:val="4"/>
              </w:rPr>
              <w:t>水刺部门</w:t>
            </w:r>
          </w:p>
        </w:tc>
        <w:tc>
          <w:tcPr>
            <w:tcW w:w="3721" w:type="dxa"/>
            <w:vAlign w:val="top"/>
          </w:tcPr>
          <w:p>
            <w:pPr>
              <w:pStyle w:val="TableText"/>
              <w:ind w:left="56" w:right="207"/>
              <w:spacing w:before="51" w:line="220" w:lineRule="auto"/>
              <w:rPr>
                <w:sz w:val="16"/>
                <w:szCs w:val="16"/>
              </w:rPr>
            </w:pPr>
            <w:r>
              <w:rPr>
                <w:sz w:val="16"/>
                <w:szCs w:val="16"/>
              </w:rPr>
              <w:t>(国务院对确需保窗的行收审批项自设定行我弹可</w:t>
            </w:r>
            <w:r>
              <w:rPr>
                <w:sz w:val="16"/>
                <w:szCs w:val="16"/>
                <w:spacing w:val="5"/>
              </w:rPr>
              <w:t xml:space="preserve"> </w:t>
            </w:r>
            <w:r>
              <w:rPr>
                <w:sz w:val="16"/>
                <w:szCs w:val="16"/>
              </w:rPr>
              <w:t>的决空》</w:t>
            </w:r>
          </w:p>
        </w:tc>
      </w:tr>
      <w:tr>
        <w:trPr>
          <w:trHeight w:val="479" w:hRule="atLeast"/>
        </w:trPr>
        <w:tc>
          <w:tcPr>
            <w:tcW w:w="584" w:type="dxa"/>
            <w:vAlign w:val="top"/>
          </w:tcPr>
          <w:p>
            <w:pPr>
              <w:pStyle w:val="TableText"/>
              <w:ind w:left="164"/>
              <w:spacing w:before="204" w:line="183" w:lineRule="auto"/>
              <w:rPr>
                <w:sz w:val="16"/>
                <w:szCs w:val="16"/>
              </w:rPr>
            </w:pPr>
            <w:r>
              <w:rPr>
                <w:sz w:val="16"/>
                <w:szCs w:val="16"/>
                <w:spacing w:val="-3"/>
              </w:rPr>
              <w:t>338</w:t>
            </w:r>
          </w:p>
        </w:tc>
        <w:tc>
          <w:tcPr>
            <w:tcW w:w="1289" w:type="dxa"/>
            <w:vAlign w:val="top"/>
          </w:tcPr>
          <w:p>
            <w:pPr>
              <w:pStyle w:val="TableText"/>
              <w:ind w:left="390"/>
              <w:spacing w:before="163" w:line="219" w:lineRule="auto"/>
              <w:rPr>
                <w:sz w:val="16"/>
                <w:szCs w:val="16"/>
              </w:rPr>
            </w:pPr>
            <w:r>
              <w:rPr>
                <w:sz w:val="16"/>
                <w:szCs w:val="16"/>
                <w:spacing w:val="-2"/>
              </w:rPr>
              <w:t>水利部</w:t>
            </w:r>
          </w:p>
        </w:tc>
        <w:tc>
          <w:tcPr>
            <w:tcW w:w="1638" w:type="dxa"/>
            <w:vAlign w:val="top"/>
          </w:tcPr>
          <w:p>
            <w:pPr>
              <w:pStyle w:val="TableText"/>
              <w:ind w:left="52"/>
              <w:spacing w:before="163" w:line="219" w:lineRule="auto"/>
              <w:rPr>
                <w:sz w:val="16"/>
                <w:szCs w:val="16"/>
              </w:rPr>
            </w:pPr>
            <w:r>
              <w:rPr>
                <w:sz w:val="16"/>
                <w:szCs w:val="16"/>
                <w:spacing w:val="-2"/>
              </w:rPr>
              <w:t>重水许可</w:t>
            </w:r>
          </w:p>
        </w:tc>
        <w:tc>
          <w:tcPr>
            <w:tcW w:w="2367" w:type="dxa"/>
            <w:vAlign w:val="top"/>
          </w:tcPr>
          <w:p>
            <w:pPr>
              <w:pStyle w:val="TableText"/>
              <w:ind w:left="83" w:right="211" w:hanging="9"/>
              <w:spacing w:before="52" w:line="237" w:lineRule="auto"/>
              <w:rPr>
                <w:sz w:val="16"/>
                <w:szCs w:val="16"/>
              </w:rPr>
            </w:pPr>
            <w:r>
              <w:rPr>
                <w:sz w:val="16"/>
                <w:szCs w:val="16"/>
                <w:spacing w:val="-1"/>
              </w:rPr>
              <w:t>水利签各流域营理机梅，者般</w:t>
            </w:r>
            <w:r>
              <w:rPr>
                <w:sz w:val="16"/>
                <w:szCs w:val="16"/>
                <w:spacing w:val="3"/>
              </w:rPr>
              <w:t xml:space="preserve"> </w:t>
            </w:r>
            <w:r>
              <w:rPr>
                <w:sz w:val="16"/>
                <w:szCs w:val="16"/>
                <w:spacing w:val="1"/>
              </w:rPr>
              <w:t>议区的市额.县殿水利部门</w:t>
            </w:r>
          </w:p>
        </w:tc>
        <w:tc>
          <w:tcPr>
            <w:tcW w:w="3721" w:type="dxa"/>
            <w:vAlign w:val="top"/>
          </w:tcPr>
          <w:p>
            <w:pPr>
              <w:pStyle w:val="TableText"/>
              <w:ind w:left="56"/>
              <w:spacing w:before="45" w:line="215" w:lineRule="auto"/>
              <w:rPr>
                <w:sz w:val="16"/>
                <w:szCs w:val="16"/>
              </w:rPr>
            </w:pPr>
            <w:r>
              <w:rPr>
                <w:sz w:val="16"/>
                <w:szCs w:val="16"/>
                <w:spacing w:val="3"/>
              </w:rPr>
              <w:t>|中华人民共和国水法)</w:t>
            </w:r>
          </w:p>
          <w:p>
            <w:pPr>
              <w:pStyle w:val="TableText"/>
              <w:spacing w:before="21" w:line="219" w:lineRule="auto"/>
              <w:rPr>
                <w:sz w:val="16"/>
                <w:szCs w:val="16"/>
              </w:rPr>
            </w:pPr>
            <w:r>
              <w:rPr>
                <w:sz w:val="16"/>
                <w:szCs w:val="16"/>
                <w:spacing w:val="-3"/>
              </w:rPr>
              <w:t>《水许日和水资等份征收情理条别》</w:t>
            </w:r>
          </w:p>
        </w:tc>
      </w:tr>
      <w:tr>
        <w:trPr>
          <w:trHeight w:val="879" w:hRule="atLeast"/>
        </w:trPr>
        <w:tc>
          <w:tcPr>
            <w:tcW w:w="584" w:type="dxa"/>
            <w:vAlign w:val="top"/>
          </w:tcPr>
          <w:p>
            <w:pPr>
              <w:spacing w:line="351" w:lineRule="auto"/>
              <w:rPr>
                <w:rFonts w:ascii="Arial"/>
                <w:sz w:val="21"/>
              </w:rPr>
            </w:pPr>
            <w:r/>
          </w:p>
          <w:p>
            <w:pPr>
              <w:pStyle w:val="TableText"/>
              <w:ind w:left="164"/>
              <w:spacing w:before="52" w:line="183" w:lineRule="auto"/>
              <w:rPr>
                <w:sz w:val="16"/>
                <w:szCs w:val="16"/>
              </w:rPr>
            </w:pPr>
            <w:r>
              <w:rPr>
                <w:sz w:val="16"/>
                <w:szCs w:val="16"/>
                <w:spacing w:val="-3"/>
              </w:rPr>
              <w:t>339</w:t>
            </w:r>
          </w:p>
        </w:tc>
        <w:tc>
          <w:tcPr>
            <w:tcW w:w="1289" w:type="dxa"/>
            <w:vAlign w:val="top"/>
          </w:tcPr>
          <w:p>
            <w:pPr>
              <w:spacing w:line="309" w:lineRule="auto"/>
              <w:rPr>
                <w:rFonts w:ascii="Arial"/>
                <w:sz w:val="21"/>
              </w:rPr>
            </w:pPr>
            <w:r/>
          </w:p>
          <w:p>
            <w:pPr>
              <w:pStyle w:val="TableText"/>
              <w:ind w:left="390"/>
              <w:spacing w:before="52" w:line="219" w:lineRule="auto"/>
              <w:rPr>
                <w:sz w:val="16"/>
                <w:szCs w:val="16"/>
              </w:rPr>
            </w:pPr>
            <w:r>
              <w:rPr>
                <w:sz w:val="16"/>
                <w:szCs w:val="16"/>
                <w:spacing w:val="-2"/>
              </w:rPr>
              <w:t>水科部</w:t>
            </w:r>
          </w:p>
        </w:tc>
        <w:tc>
          <w:tcPr>
            <w:tcW w:w="1638" w:type="dxa"/>
            <w:vAlign w:val="top"/>
          </w:tcPr>
          <w:p>
            <w:pPr>
              <w:spacing w:line="309" w:lineRule="auto"/>
              <w:rPr>
                <w:rFonts w:ascii="Arial"/>
                <w:sz w:val="21"/>
              </w:rPr>
            </w:pPr>
            <w:r/>
          </w:p>
          <w:p>
            <w:pPr>
              <w:pStyle w:val="TableText"/>
              <w:ind w:left="52"/>
              <w:spacing w:before="52" w:line="218" w:lineRule="auto"/>
              <w:rPr>
                <w:sz w:val="16"/>
                <w:szCs w:val="16"/>
              </w:rPr>
            </w:pPr>
            <w:r>
              <w:rPr>
                <w:sz w:val="16"/>
                <w:szCs w:val="16"/>
                <w:spacing w:val="-1"/>
              </w:rPr>
              <w:t>属水数解评价要重数</w:t>
            </w:r>
          </w:p>
        </w:tc>
        <w:tc>
          <w:tcPr>
            <w:tcW w:w="2367" w:type="dxa"/>
            <w:vAlign w:val="top"/>
          </w:tcPr>
          <w:p>
            <w:pPr>
              <w:pStyle w:val="TableText"/>
              <w:ind w:left="83"/>
              <w:spacing w:before="163" w:line="219" w:lineRule="auto"/>
              <w:rPr>
                <w:sz w:val="16"/>
                <w:szCs w:val="16"/>
              </w:rPr>
            </w:pPr>
            <w:r>
              <w:rPr>
                <w:sz w:val="16"/>
                <w:szCs w:val="16"/>
                <w:spacing w:val="-1"/>
              </w:rPr>
              <w:t>水利部；水利等各流械管理机</w:t>
            </w:r>
          </w:p>
          <w:p>
            <w:pPr>
              <w:pStyle w:val="TableText"/>
              <w:ind w:left="83" w:hanging="39"/>
              <w:spacing w:before="21" w:line="219" w:lineRule="auto"/>
              <w:rPr>
                <w:sz w:val="16"/>
                <w:szCs w:val="16"/>
              </w:rPr>
            </w:pPr>
            <w:r>
              <w:rPr>
                <w:sz w:val="16"/>
                <w:szCs w:val="16"/>
                <w:spacing w:val="-6"/>
              </w:rPr>
              <w:t>抑：省级，设区的市统，县源求别</w:t>
            </w:r>
            <w:r>
              <w:rPr>
                <w:sz w:val="16"/>
                <w:szCs w:val="16"/>
                <w:spacing w:val="1"/>
              </w:rPr>
              <w:t xml:space="preserve"> </w:t>
            </w:r>
            <w:r>
              <w:rPr>
                <w:sz w:val="16"/>
                <w:szCs w:val="16"/>
                <w:spacing w:val="-1"/>
              </w:rPr>
              <w:t>Bn</w:t>
            </w:r>
          </w:p>
        </w:tc>
        <w:tc>
          <w:tcPr>
            <w:tcW w:w="3721" w:type="dxa"/>
            <w:vAlign w:val="top"/>
          </w:tcPr>
          <w:p>
            <w:pPr>
              <w:pStyle w:val="TableText"/>
              <w:ind w:left="56"/>
              <w:spacing w:before="54" w:line="219" w:lineRule="auto"/>
              <w:rPr>
                <w:sz w:val="16"/>
                <w:szCs w:val="16"/>
              </w:rPr>
            </w:pPr>
            <w:r>
              <w:rPr>
                <w:sz w:val="16"/>
                <w:szCs w:val="16"/>
                <w:spacing w:val="-1"/>
              </w:rPr>
              <w:t>(中华人民共和四水法》</w:t>
            </w:r>
          </w:p>
          <w:p>
            <w:pPr>
              <w:pStyle w:val="TableText"/>
              <w:ind w:left="56"/>
              <w:spacing w:line="219" w:lineRule="auto"/>
              <w:rPr>
                <w:sz w:val="16"/>
                <w:szCs w:val="16"/>
              </w:rPr>
            </w:pPr>
            <w:r>
              <w:rPr>
                <w:sz w:val="16"/>
                <w:szCs w:val="16"/>
                <w:spacing w:val="-1"/>
              </w:rPr>
              <w:t>1中华人民共和国防洪法》</w:t>
            </w:r>
          </w:p>
          <w:p>
            <w:pPr>
              <w:pStyle w:val="TableText"/>
              <w:spacing w:before="19" w:line="210" w:lineRule="exact"/>
              <w:rPr>
                <w:sz w:val="16"/>
                <w:szCs w:val="16"/>
              </w:rPr>
            </w:pPr>
            <w:r>
              <w:rPr>
                <w:sz w:val="16"/>
                <w:szCs w:val="16"/>
                <w:spacing w:val="-3"/>
                <w:position w:val="3"/>
              </w:rPr>
              <w:t>《中华人民共和国河道青理象例?</w:t>
            </w:r>
          </w:p>
          <w:p>
            <w:pPr>
              <w:pStyle w:val="TableText"/>
              <w:spacing w:line="219" w:lineRule="auto"/>
              <w:rPr>
                <w:sz w:val="16"/>
                <w:szCs w:val="16"/>
              </w:rPr>
            </w:pPr>
            <w:r>
              <w:rPr>
                <w:sz w:val="16"/>
                <w:szCs w:val="16"/>
                <w:spacing w:val="-3"/>
              </w:rPr>
              <w:t>《中华人民共和国水交条例》</w:t>
            </w:r>
          </w:p>
        </w:tc>
      </w:tr>
      <w:tr>
        <w:trPr>
          <w:trHeight w:val="754" w:hRule="atLeast"/>
        </w:trPr>
        <w:tc>
          <w:tcPr>
            <w:tcW w:w="584" w:type="dxa"/>
            <w:vAlign w:val="top"/>
          </w:tcPr>
          <w:p>
            <w:pPr>
              <w:spacing w:line="293" w:lineRule="auto"/>
              <w:rPr>
                <w:rFonts w:ascii="Arial"/>
                <w:sz w:val="21"/>
              </w:rPr>
            </w:pPr>
            <w:r/>
          </w:p>
          <w:p>
            <w:pPr>
              <w:pStyle w:val="TableText"/>
              <w:ind w:left="204"/>
              <w:spacing w:before="52" w:line="183" w:lineRule="auto"/>
              <w:rPr>
                <w:sz w:val="16"/>
                <w:szCs w:val="16"/>
              </w:rPr>
            </w:pPr>
            <w:r>
              <w:rPr>
                <w:sz w:val="16"/>
                <w:szCs w:val="16"/>
                <w:spacing w:val="-3"/>
              </w:rPr>
              <w:t>30</w:t>
            </w:r>
          </w:p>
        </w:tc>
        <w:tc>
          <w:tcPr>
            <w:tcW w:w="1289" w:type="dxa"/>
            <w:vAlign w:val="top"/>
          </w:tcPr>
          <w:p>
            <w:pPr>
              <w:spacing w:line="251" w:lineRule="auto"/>
              <w:rPr>
                <w:rFonts w:ascii="Arial"/>
                <w:sz w:val="21"/>
              </w:rPr>
            </w:pPr>
            <w:r/>
          </w:p>
          <w:p>
            <w:pPr>
              <w:pStyle w:val="TableText"/>
              <w:ind w:left="390"/>
              <w:spacing w:before="52" w:line="219" w:lineRule="auto"/>
              <w:rPr>
                <w:sz w:val="16"/>
                <w:szCs w:val="16"/>
              </w:rPr>
            </w:pPr>
            <w:r>
              <w:rPr>
                <w:sz w:val="16"/>
                <w:szCs w:val="16"/>
                <w:spacing w:val="-2"/>
              </w:rPr>
              <w:t>本利部</w:t>
            </w:r>
          </w:p>
        </w:tc>
        <w:tc>
          <w:tcPr>
            <w:tcW w:w="1638" w:type="dxa"/>
            <w:vAlign w:val="top"/>
          </w:tcPr>
          <w:p>
            <w:pPr>
              <w:pStyle w:val="TableText"/>
              <w:ind w:left="52" w:right="151" w:hanging="10"/>
              <w:spacing w:before="205" w:line="231" w:lineRule="auto"/>
              <w:rPr>
                <w:sz w:val="16"/>
                <w:szCs w:val="16"/>
              </w:rPr>
            </w:pPr>
            <w:r>
              <w:rPr>
                <w:sz w:val="16"/>
                <w:szCs w:val="16"/>
                <w:spacing w:val="-1"/>
              </w:rPr>
              <w:t>河道管理范得件特定</w:t>
            </w:r>
            <w:r>
              <w:rPr>
                <w:sz w:val="16"/>
                <w:szCs w:val="16"/>
                <w:spacing w:val="2"/>
              </w:rPr>
              <w:t xml:space="preserve"> </w:t>
            </w:r>
            <w:r>
              <w:rPr>
                <w:sz w:val="16"/>
                <w:szCs w:val="16"/>
                <w:spacing w:val="-2"/>
              </w:rPr>
              <w:t>活动审优</w:t>
            </w:r>
          </w:p>
        </w:tc>
        <w:tc>
          <w:tcPr>
            <w:tcW w:w="2367" w:type="dxa"/>
            <w:vAlign w:val="top"/>
          </w:tcPr>
          <w:p>
            <w:pPr>
              <w:pStyle w:val="TableText"/>
              <w:ind w:left="83"/>
              <w:spacing w:before="114" w:line="227" w:lineRule="auto"/>
              <w:jc w:val="both"/>
              <w:rPr>
                <w:sz w:val="16"/>
                <w:szCs w:val="16"/>
              </w:rPr>
            </w:pPr>
            <w:r>
              <w:rPr>
                <w:sz w:val="16"/>
                <w:szCs w:val="16"/>
                <w:spacing w:val="-1"/>
              </w:rPr>
              <w:t>水利部真问，灌问，海河本利要</w:t>
            </w:r>
            <w:r>
              <w:rPr>
                <w:sz w:val="16"/>
                <w:szCs w:val="16"/>
              </w:rPr>
              <w:t xml:space="preserve"> </w:t>
            </w:r>
            <w:r>
              <w:rPr>
                <w:sz w:val="16"/>
                <w:szCs w:val="16"/>
                <w:spacing w:val="-10"/>
              </w:rPr>
              <w:t>贝</w:t>
            </w:r>
            <w:r>
              <w:rPr>
                <w:sz w:val="16"/>
                <w:szCs w:val="16"/>
                <w:spacing w:val="-9"/>
              </w:rPr>
              <w:t>杂：省堰，设区的市裂，县经</w:t>
            </w:r>
            <w:r>
              <w:rPr>
                <w:sz w:val="16"/>
                <w:szCs w:val="16"/>
                <w:spacing w:val="-8"/>
              </w:rPr>
              <w:t>水</w:t>
            </w:r>
            <w:r>
              <w:rPr>
                <w:sz w:val="16"/>
                <w:szCs w:val="16"/>
                <w:spacing w:val="7"/>
              </w:rPr>
              <w:t xml:space="preserve"> </w:t>
            </w:r>
            <w:r>
              <w:rPr>
                <w:sz w:val="16"/>
                <w:szCs w:val="16"/>
                <w:spacing w:val="5"/>
              </w:rPr>
              <w:t>科部门</w:t>
            </w:r>
          </w:p>
        </w:tc>
        <w:tc>
          <w:tcPr>
            <w:tcW w:w="3721" w:type="dxa"/>
            <w:vAlign w:val="top"/>
          </w:tcPr>
          <w:p>
            <w:pPr>
              <w:spacing w:line="251" w:lineRule="auto"/>
              <w:rPr>
                <w:rFonts w:ascii="Arial"/>
                <w:sz w:val="21"/>
              </w:rPr>
            </w:pPr>
            <w:r/>
          </w:p>
          <w:p>
            <w:pPr>
              <w:pStyle w:val="TableText"/>
              <w:ind w:left="56"/>
              <w:spacing w:before="52" w:line="219" w:lineRule="auto"/>
              <w:rPr>
                <w:sz w:val="16"/>
                <w:szCs w:val="16"/>
              </w:rPr>
            </w:pPr>
            <w:r>
              <w:rPr>
                <w:sz w:val="16"/>
                <w:szCs w:val="16"/>
              </w:rPr>
              <w:t>1中华人民共和国河道管理条偶》</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59968"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238" name="TextBox 238"/>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0" style="position:absolute;margin-left:35.8547pt;margin-top:48.6757pt;mso-position-vertical-relative:page;mso-position-horizontal-relative:page;width:14.35pt;height:13pt;z-index:251859968;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200</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48"/>
        <w:gridCol w:w="236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中史主管部门</w:t>
            </w:r>
          </w:p>
        </w:tc>
        <w:tc>
          <w:tcPr>
            <w:tcW w:w="1648" w:type="dxa"/>
            <w:vAlign w:val="top"/>
          </w:tcPr>
          <w:p>
            <w:pPr>
              <w:pStyle w:val="TableText"/>
              <w:ind w:left="471"/>
              <w:spacing w:before="130" w:line="219" w:lineRule="auto"/>
              <w:rPr>
                <w:sz w:val="16"/>
                <w:szCs w:val="16"/>
              </w:rPr>
            </w:pPr>
            <w:r>
              <w:rPr>
                <w:sz w:val="16"/>
                <w:szCs w:val="16"/>
                <w:spacing w:val="-2"/>
              </w:rPr>
              <w:t>事项名幕</w:t>
            </w:r>
          </w:p>
        </w:tc>
        <w:tc>
          <w:tcPr>
            <w:tcW w:w="2367" w:type="dxa"/>
            <w:vAlign w:val="top"/>
          </w:tcPr>
          <w:p>
            <w:pPr>
              <w:pStyle w:val="TableText"/>
              <w:ind w:left="836"/>
              <w:spacing w:before="128" w:line="219" w:lineRule="auto"/>
              <w:rPr>
                <w:sz w:val="16"/>
                <w:szCs w:val="16"/>
              </w:rPr>
            </w:pPr>
            <w:r>
              <w:rPr>
                <w:sz w:val="16"/>
                <w:szCs w:val="16"/>
                <w:b/>
                <w:bCs/>
                <w:spacing w:val="-4"/>
              </w:rPr>
              <w:t>实确机关</w:t>
            </w:r>
          </w:p>
        </w:tc>
        <w:tc>
          <w:tcPr>
            <w:tcW w:w="3711" w:type="dxa"/>
            <w:vAlign w:val="top"/>
          </w:tcPr>
          <w:p>
            <w:pPr>
              <w:pStyle w:val="TableText"/>
              <w:ind w:left="1269"/>
              <w:spacing w:before="128" w:line="219" w:lineRule="auto"/>
              <w:rPr>
                <w:sz w:val="16"/>
                <w:szCs w:val="16"/>
              </w:rPr>
            </w:pPr>
            <w:r>
              <w:rPr>
                <w:sz w:val="16"/>
                <w:szCs w:val="16"/>
                <w:b/>
                <w:bCs/>
                <w:spacing w:val="-3"/>
              </w:rPr>
              <w:t>设定和实施依理</w:t>
            </w:r>
          </w:p>
        </w:tc>
      </w:tr>
      <w:tr>
        <w:trPr>
          <w:trHeight w:val="949" w:hRule="atLeast"/>
        </w:trPr>
        <w:tc>
          <w:tcPr>
            <w:tcW w:w="574" w:type="dxa"/>
            <w:vAlign w:val="top"/>
          </w:tcPr>
          <w:p>
            <w:pPr>
              <w:spacing w:line="383" w:lineRule="auto"/>
              <w:rPr>
                <w:rFonts w:ascii="Arial"/>
                <w:sz w:val="21"/>
              </w:rPr>
            </w:pPr>
            <w:r/>
          </w:p>
          <w:p>
            <w:pPr>
              <w:pStyle w:val="TableText"/>
              <w:ind w:left="154"/>
              <w:spacing w:before="52" w:line="184" w:lineRule="auto"/>
              <w:rPr>
                <w:sz w:val="16"/>
                <w:szCs w:val="16"/>
              </w:rPr>
            </w:pPr>
            <w:r>
              <w:rPr>
                <w:sz w:val="16"/>
                <w:szCs w:val="16"/>
                <w:spacing w:val="-3"/>
              </w:rPr>
              <w:t>341</w:t>
            </w:r>
          </w:p>
        </w:tc>
        <w:tc>
          <w:tcPr>
            <w:tcW w:w="1299" w:type="dxa"/>
            <w:vAlign w:val="top"/>
          </w:tcPr>
          <w:p>
            <w:pPr>
              <w:spacing w:line="343" w:lineRule="auto"/>
              <w:rPr>
                <w:rFonts w:ascii="Arial"/>
                <w:sz w:val="21"/>
              </w:rPr>
            </w:pPr>
            <w:r/>
          </w:p>
          <w:p>
            <w:pPr>
              <w:pStyle w:val="TableText"/>
              <w:ind w:left="390"/>
              <w:spacing w:before="52" w:line="219" w:lineRule="auto"/>
              <w:rPr>
                <w:sz w:val="16"/>
                <w:szCs w:val="16"/>
              </w:rPr>
            </w:pPr>
            <w:r>
              <w:rPr>
                <w:sz w:val="16"/>
                <w:szCs w:val="16"/>
                <w:spacing w:val="-4"/>
              </w:rPr>
              <w:t>承</w:t>
            </w:r>
            <w:r>
              <w:rPr>
                <w:sz w:val="16"/>
                <w:szCs w:val="16"/>
                <w:spacing w:val="22"/>
                <w:w w:val="101"/>
              </w:rPr>
              <w:t xml:space="preserve">  </w:t>
            </w:r>
            <w:r>
              <w:rPr>
                <w:sz w:val="16"/>
                <w:szCs w:val="16"/>
                <w:spacing w:val="-4"/>
              </w:rPr>
              <w:t>利</w:t>
            </w:r>
          </w:p>
        </w:tc>
        <w:tc>
          <w:tcPr>
            <w:tcW w:w="1648" w:type="dxa"/>
            <w:vAlign w:val="top"/>
          </w:tcPr>
          <w:p>
            <w:pPr>
              <w:spacing w:line="342" w:lineRule="auto"/>
              <w:rPr>
                <w:rFonts w:ascii="Arial"/>
                <w:sz w:val="21"/>
              </w:rPr>
            </w:pPr>
            <w:r/>
          </w:p>
          <w:p>
            <w:pPr>
              <w:pStyle w:val="TableText"/>
              <w:ind w:left="52"/>
              <w:spacing w:before="52" w:line="219" w:lineRule="auto"/>
              <w:rPr>
                <w:sz w:val="16"/>
                <w:szCs w:val="16"/>
              </w:rPr>
            </w:pPr>
            <w:r>
              <w:rPr>
                <w:sz w:val="16"/>
                <w:szCs w:val="16"/>
                <w:spacing w:val="-1"/>
              </w:rPr>
              <w:t>河通采砂许可</w:t>
            </w:r>
          </w:p>
        </w:tc>
        <w:tc>
          <w:tcPr>
            <w:tcW w:w="2367" w:type="dxa"/>
            <w:vAlign w:val="top"/>
          </w:tcPr>
          <w:p>
            <w:pPr>
              <w:pStyle w:val="TableText"/>
              <w:ind w:left="83"/>
              <w:spacing w:before="217" w:line="223" w:lineRule="auto"/>
              <w:jc w:val="both"/>
              <w:rPr>
                <w:sz w:val="16"/>
                <w:szCs w:val="16"/>
              </w:rPr>
            </w:pPr>
            <w:r>
              <w:rPr>
                <w:sz w:val="16"/>
                <w:szCs w:val="16"/>
                <w:spacing w:val="-10"/>
              </w:rPr>
              <w:t>水</w:t>
            </w:r>
            <w:r>
              <w:rPr>
                <w:sz w:val="16"/>
                <w:szCs w:val="16"/>
                <w:spacing w:val="-9"/>
              </w:rPr>
              <w:t>利部长江，国闷，泡河，毒高</w:t>
            </w:r>
            <w:r>
              <w:rPr>
                <w:sz w:val="16"/>
                <w:szCs w:val="16"/>
                <w:spacing w:val="-8"/>
              </w:rPr>
              <w:t>水</w:t>
            </w:r>
            <w:r>
              <w:rPr>
                <w:sz w:val="16"/>
                <w:szCs w:val="16"/>
                <w:spacing w:val="7"/>
              </w:rPr>
              <w:t xml:space="preserve"> </w:t>
            </w:r>
            <w:r>
              <w:rPr>
                <w:sz w:val="16"/>
                <w:szCs w:val="16"/>
                <w:spacing w:val="-10"/>
              </w:rPr>
              <w:t>材</w:t>
            </w:r>
            <w:r>
              <w:rPr>
                <w:sz w:val="16"/>
                <w:szCs w:val="16"/>
                <w:spacing w:val="-9"/>
              </w:rPr>
              <w:t>费员念，宣级，设区的市级，</w:t>
            </w:r>
            <w:r>
              <w:rPr>
                <w:sz w:val="16"/>
                <w:szCs w:val="16"/>
                <w:spacing w:val="-8"/>
              </w:rPr>
              <w:t>县</w:t>
            </w:r>
            <w:r>
              <w:rPr>
                <w:sz w:val="16"/>
                <w:szCs w:val="16"/>
                <w:spacing w:val="7"/>
              </w:rPr>
              <w:t xml:space="preserve"> </w:t>
            </w:r>
            <w:r>
              <w:rPr>
                <w:sz w:val="16"/>
                <w:szCs w:val="16"/>
                <w:spacing w:val="3"/>
              </w:rPr>
              <w:t>吸水利部门</w:t>
            </w:r>
          </w:p>
        </w:tc>
        <w:tc>
          <w:tcPr>
            <w:tcW w:w="3711" w:type="dxa"/>
            <w:vAlign w:val="top"/>
          </w:tcPr>
          <w:p>
            <w:pPr>
              <w:pStyle w:val="TableText"/>
              <w:ind w:left="26"/>
              <w:spacing w:before="87" w:line="219" w:lineRule="auto"/>
              <w:rPr>
                <w:sz w:val="16"/>
                <w:szCs w:val="16"/>
              </w:rPr>
            </w:pPr>
            <w:r>
              <w:rPr>
                <w:sz w:val="16"/>
                <w:szCs w:val="16"/>
              </w:rPr>
              <w:t>中华人民共和国水法》</w:t>
            </w:r>
          </w:p>
          <w:p>
            <w:pPr>
              <w:pStyle w:val="TableText"/>
              <w:ind w:left="26"/>
              <w:spacing w:before="30" w:line="219" w:lineRule="auto"/>
              <w:rPr>
                <w:sz w:val="16"/>
                <w:szCs w:val="16"/>
              </w:rPr>
            </w:pPr>
            <w:r>
              <w:rPr>
                <w:sz w:val="16"/>
                <w:szCs w:val="16"/>
              </w:rPr>
              <w:t>1中华人民共和国长江保护缺</w:t>
            </w:r>
          </w:p>
          <w:p>
            <w:pPr>
              <w:pStyle w:val="TableText"/>
              <w:ind w:left="26"/>
              <w:spacing w:before="9" w:line="219" w:lineRule="auto"/>
              <w:rPr>
                <w:sz w:val="16"/>
                <w:szCs w:val="16"/>
              </w:rPr>
            </w:pPr>
            <w:r>
              <w:rPr>
                <w:sz w:val="16"/>
                <w:szCs w:val="16"/>
              </w:rPr>
              <w:t>1中华人民共和细问逾管理条色》</w:t>
            </w:r>
          </w:p>
          <w:p>
            <w:pPr>
              <w:pStyle w:val="TableText"/>
              <w:ind w:left="26"/>
              <w:spacing w:line="218" w:lineRule="auto"/>
              <w:rPr>
                <w:sz w:val="16"/>
                <w:szCs w:val="16"/>
              </w:rPr>
            </w:pPr>
            <w:r>
              <w:rPr>
                <w:sz w:val="16"/>
                <w:szCs w:val="16"/>
                <w:spacing w:val="-1"/>
              </w:rPr>
              <w:t>1长江河道采砂管章条例》</w:t>
            </w:r>
          </w:p>
        </w:tc>
      </w:tr>
      <w:tr>
        <w:trPr>
          <w:trHeight w:val="549" w:hRule="atLeast"/>
        </w:trPr>
        <w:tc>
          <w:tcPr>
            <w:tcW w:w="574" w:type="dxa"/>
            <w:vAlign w:val="top"/>
          </w:tcPr>
          <w:p>
            <w:pPr>
              <w:pStyle w:val="TableText"/>
              <w:ind w:left="154"/>
              <w:spacing w:before="239" w:line="183" w:lineRule="auto"/>
              <w:rPr>
                <w:sz w:val="16"/>
                <w:szCs w:val="16"/>
              </w:rPr>
            </w:pPr>
            <w:r>
              <w:rPr>
                <w:sz w:val="16"/>
                <w:szCs w:val="16"/>
                <w:spacing w:val="-3"/>
              </w:rPr>
              <w:t>342</w:t>
            </w:r>
          </w:p>
        </w:tc>
        <w:tc>
          <w:tcPr>
            <w:tcW w:w="1299" w:type="dxa"/>
            <w:vAlign w:val="top"/>
          </w:tcPr>
          <w:p>
            <w:pPr>
              <w:pStyle w:val="TableText"/>
              <w:ind w:left="400"/>
              <w:spacing w:before="198" w:line="219" w:lineRule="auto"/>
              <w:rPr>
                <w:sz w:val="16"/>
                <w:szCs w:val="16"/>
              </w:rPr>
            </w:pPr>
            <w:r>
              <w:rPr>
                <w:sz w:val="16"/>
                <w:szCs w:val="16"/>
                <w:spacing w:val="-2"/>
              </w:rPr>
              <w:t>水利部</w:t>
            </w:r>
          </w:p>
        </w:tc>
        <w:tc>
          <w:tcPr>
            <w:tcW w:w="1648" w:type="dxa"/>
            <w:vAlign w:val="top"/>
          </w:tcPr>
          <w:p>
            <w:pPr>
              <w:pStyle w:val="TableText"/>
              <w:ind w:left="52" w:right="153"/>
              <w:spacing w:before="108" w:line="225" w:lineRule="auto"/>
              <w:rPr>
                <w:sz w:val="16"/>
                <w:szCs w:val="16"/>
              </w:rPr>
            </w:pPr>
            <w:r>
              <w:rPr>
                <w:sz w:val="16"/>
                <w:szCs w:val="16"/>
                <w:spacing w:val="-1"/>
              </w:rPr>
              <w:t>生产建设项目求土保</w:t>
            </w:r>
            <w:r>
              <w:rPr>
                <w:sz w:val="16"/>
                <w:szCs w:val="16"/>
              </w:rPr>
              <w:t xml:space="preserve"> </w:t>
            </w:r>
            <w:r>
              <w:rPr>
                <w:sz w:val="16"/>
                <w:szCs w:val="16"/>
                <w:spacing w:val="-1"/>
              </w:rPr>
              <w:t>特方监甲批</w:t>
            </w:r>
          </w:p>
        </w:tc>
        <w:tc>
          <w:tcPr>
            <w:tcW w:w="2367" w:type="dxa"/>
            <w:vAlign w:val="top"/>
          </w:tcPr>
          <w:p>
            <w:pPr>
              <w:pStyle w:val="TableText"/>
              <w:ind w:left="83"/>
              <w:spacing w:before="87" w:line="237" w:lineRule="auto"/>
              <w:rPr>
                <w:sz w:val="16"/>
                <w:szCs w:val="16"/>
              </w:rPr>
            </w:pPr>
            <w:r>
              <w:rPr>
                <w:sz w:val="16"/>
                <w:szCs w:val="16"/>
                <w:spacing w:val="-9"/>
              </w:rPr>
              <w:t>水别部，省级、设以的中级，县级</w:t>
            </w:r>
            <w:r>
              <w:rPr>
                <w:sz w:val="16"/>
                <w:szCs w:val="16"/>
                <w:spacing w:val="7"/>
              </w:rPr>
              <w:t xml:space="preserve"> </w:t>
            </w:r>
            <w:r>
              <w:rPr>
                <w:sz w:val="16"/>
                <w:szCs w:val="16"/>
                <w:spacing w:val="2"/>
              </w:rPr>
              <w:t>水别韶(1</w:t>
            </w:r>
          </w:p>
        </w:tc>
        <w:tc>
          <w:tcPr>
            <w:tcW w:w="3711" w:type="dxa"/>
            <w:vAlign w:val="top"/>
          </w:tcPr>
          <w:p>
            <w:pPr>
              <w:pStyle w:val="TableText"/>
              <w:ind w:left="26"/>
              <w:spacing w:before="198" w:line="219" w:lineRule="auto"/>
              <w:rPr>
                <w:sz w:val="16"/>
                <w:szCs w:val="16"/>
              </w:rPr>
            </w:pPr>
            <w:r>
              <w:rPr>
                <w:sz w:val="16"/>
                <w:szCs w:val="16"/>
              </w:rPr>
              <w:t>1中华人民共和国求上保持法卡</w:t>
            </w:r>
          </w:p>
        </w:tc>
      </w:tr>
      <w:tr>
        <w:trPr>
          <w:trHeight w:val="539" w:hRule="atLeast"/>
        </w:trPr>
        <w:tc>
          <w:tcPr>
            <w:tcW w:w="574" w:type="dxa"/>
            <w:vAlign w:val="top"/>
          </w:tcPr>
          <w:p>
            <w:pPr>
              <w:pStyle w:val="TableText"/>
              <w:ind w:left="154"/>
              <w:spacing w:before="230" w:line="183" w:lineRule="auto"/>
              <w:rPr>
                <w:sz w:val="16"/>
                <w:szCs w:val="16"/>
              </w:rPr>
            </w:pPr>
            <w:r>
              <w:rPr>
                <w:sz w:val="16"/>
                <w:szCs w:val="16"/>
                <w:spacing w:val="-3"/>
              </w:rPr>
              <w:t>343</w:t>
            </w:r>
          </w:p>
        </w:tc>
        <w:tc>
          <w:tcPr>
            <w:tcW w:w="1299" w:type="dxa"/>
            <w:vAlign w:val="top"/>
          </w:tcPr>
          <w:p>
            <w:pPr>
              <w:pStyle w:val="TableText"/>
              <w:ind w:left="400"/>
              <w:spacing w:before="188" w:line="219" w:lineRule="auto"/>
              <w:rPr>
                <w:sz w:val="16"/>
                <w:szCs w:val="16"/>
              </w:rPr>
            </w:pPr>
            <w:r>
              <w:rPr>
                <w:sz w:val="16"/>
                <w:szCs w:val="16"/>
                <w:spacing w:val="5"/>
              </w:rPr>
              <w:t>求科即</w:t>
            </w:r>
          </w:p>
        </w:tc>
        <w:tc>
          <w:tcPr>
            <w:tcW w:w="1648" w:type="dxa"/>
            <w:vAlign w:val="top"/>
          </w:tcPr>
          <w:p>
            <w:pPr>
              <w:pStyle w:val="TableText"/>
              <w:ind w:left="52" w:right="135" w:firstLine="20"/>
              <w:spacing w:before="109" w:line="214" w:lineRule="auto"/>
              <w:rPr>
                <w:sz w:val="16"/>
                <w:szCs w:val="16"/>
              </w:rPr>
            </w:pPr>
            <w:r>
              <w:rPr>
                <w:sz w:val="16"/>
                <w:szCs w:val="16"/>
                <w:spacing w:val="-2"/>
              </w:rPr>
              <w:t>外国组风反个人在华</w:t>
            </w:r>
            <w:r>
              <w:rPr>
                <w:sz w:val="16"/>
                <w:szCs w:val="16"/>
                <w:spacing w:val="7"/>
              </w:rPr>
              <w:t xml:space="preserve"> </w:t>
            </w:r>
            <w:r>
              <w:rPr>
                <w:sz w:val="16"/>
                <w:szCs w:val="16"/>
                <w:spacing w:val="-1"/>
              </w:rPr>
              <w:t>从事永文活动审批</w:t>
            </w:r>
          </w:p>
        </w:tc>
        <w:tc>
          <w:tcPr>
            <w:tcW w:w="2367" w:type="dxa"/>
            <w:vAlign w:val="top"/>
          </w:tcPr>
          <w:p>
            <w:pPr>
              <w:pStyle w:val="TableText"/>
              <w:ind w:left="83"/>
              <w:spacing w:before="188" w:line="219" w:lineRule="auto"/>
              <w:rPr>
                <w:sz w:val="16"/>
                <w:szCs w:val="16"/>
              </w:rPr>
            </w:pPr>
            <w:r>
              <w:rPr>
                <w:sz w:val="16"/>
                <w:szCs w:val="16"/>
                <w:spacing w:val="2"/>
              </w:rPr>
              <w:t>水科部合问有关都门</w:t>
            </w:r>
          </w:p>
        </w:tc>
        <w:tc>
          <w:tcPr>
            <w:tcW w:w="3711" w:type="dxa"/>
            <w:vAlign w:val="top"/>
          </w:tcPr>
          <w:p>
            <w:pPr>
              <w:pStyle w:val="TableText"/>
              <w:ind w:left="26"/>
              <w:spacing w:before="188" w:line="219" w:lineRule="auto"/>
              <w:rPr>
                <w:sz w:val="16"/>
                <w:szCs w:val="16"/>
              </w:rPr>
            </w:pPr>
            <w:r>
              <w:rPr>
                <w:sz w:val="16"/>
                <w:szCs w:val="16"/>
                <w:spacing w:val="6"/>
              </w:rPr>
              <w:t>1中催人民共和国本文条例】</w:t>
            </w:r>
          </w:p>
        </w:tc>
      </w:tr>
      <w:tr>
        <w:trPr>
          <w:trHeight w:val="529" w:hRule="atLeast"/>
        </w:trPr>
        <w:tc>
          <w:tcPr>
            <w:tcW w:w="574" w:type="dxa"/>
            <w:vAlign w:val="top"/>
          </w:tcPr>
          <w:p>
            <w:pPr>
              <w:pStyle w:val="TableText"/>
              <w:ind w:left="154"/>
              <w:spacing w:before="231" w:line="183" w:lineRule="auto"/>
              <w:rPr>
                <w:sz w:val="16"/>
                <w:szCs w:val="16"/>
              </w:rPr>
            </w:pPr>
            <w:r>
              <w:rPr>
                <w:sz w:val="16"/>
                <w:szCs w:val="16"/>
                <w:spacing w:val="-3"/>
              </w:rPr>
              <w:t>344</w:t>
            </w:r>
          </w:p>
        </w:tc>
        <w:tc>
          <w:tcPr>
            <w:tcW w:w="1299" w:type="dxa"/>
            <w:vAlign w:val="top"/>
          </w:tcPr>
          <w:p>
            <w:pPr>
              <w:pStyle w:val="TableText"/>
              <w:ind w:left="400"/>
              <w:spacing w:before="190" w:line="219" w:lineRule="auto"/>
              <w:rPr>
                <w:sz w:val="16"/>
                <w:szCs w:val="16"/>
              </w:rPr>
            </w:pPr>
            <w:r>
              <w:rPr>
                <w:sz w:val="16"/>
                <w:szCs w:val="16"/>
                <w:spacing w:val="-2"/>
              </w:rPr>
              <w:t>烈利部</w:t>
            </w:r>
          </w:p>
        </w:tc>
        <w:tc>
          <w:tcPr>
            <w:tcW w:w="1648" w:type="dxa"/>
            <w:vAlign w:val="top"/>
          </w:tcPr>
          <w:p>
            <w:pPr>
              <w:pStyle w:val="TableText"/>
              <w:ind w:left="52" w:right="108" w:firstLine="30"/>
              <w:spacing w:before="120" w:line="220" w:lineRule="auto"/>
              <w:rPr>
                <w:sz w:val="16"/>
                <w:szCs w:val="16"/>
              </w:rPr>
            </w:pPr>
            <w:r>
              <w:rPr>
                <w:sz w:val="16"/>
                <w:szCs w:val="16"/>
              </w:rPr>
              <w:t>国家基本水文科站设</w:t>
            </w:r>
            <w:r>
              <w:rPr>
                <w:sz w:val="16"/>
                <w:szCs w:val="16"/>
                <w:spacing w:val="6"/>
              </w:rPr>
              <w:t xml:space="preserve"> </w:t>
            </w:r>
            <w:r>
              <w:rPr>
                <w:sz w:val="16"/>
                <w:szCs w:val="16"/>
                <w:spacing w:val="-1"/>
              </w:rPr>
              <w:t>立和問整审批</w:t>
            </w:r>
          </w:p>
        </w:tc>
        <w:tc>
          <w:tcPr>
            <w:tcW w:w="2367" w:type="dxa"/>
            <w:vAlign w:val="top"/>
          </w:tcPr>
          <w:p>
            <w:pPr>
              <w:pStyle w:val="TableText"/>
              <w:ind w:left="83"/>
              <w:spacing w:before="190" w:line="219" w:lineRule="auto"/>
              <w:rPr>
                <w:sz w:val="16"/>
                <w:szCs w:val="16"/>
              </w:rPr>
            </w:pPr>
            <w:r>
              <w:rPr>
                <w:sz w:val="16"/>
                <w:szCs w:val="16"/>
                <w:spacing w:val="1"/>
              </w:rPr>
              <w:t>水刺部，咨源水利都门</w:t>
            </w:r>
          </w:p>
        </w:tc>
        <w:tc>
          <w:tcPr>
            <w:tcW w:w="3711" w:type="dxa"/>
            <w:vAlign w:val="top"/>
          </w:tcPr>
          <w:p>
            <w:pPr>
              <w:pStyle w:val="TableText"/>
              <w:ind w:left="26"/>
              <w:spacing w:before="190" w:line="219" w:lineRule="auto"/>
              <w:rPr>
                <w:sz w:val="16"/>
                <w:szCs w:val="16"/>
              </w:rPr>
            </w:pPr>
            <w:r>
              <w:rPr>
                <w:sz w:val="16"/>
                <w:szCs w:val="16"/>
                <w:spacing w:val="1"/>
              </w:rPr>
              <w:t>(中堡人民共和国水交条例</w:t>
            </w:r>
          </w:p>
        </w:tc>
      </w:tr>
      <w:tr>
        <w:trPr>
          <w:trHeight w:val="549" w:hRule="atLeast"/>
        </w:trPr>
        <w:tc>
          <w:tcPr>
            <w:tcW w:w="574" w:type="dxa"/>
            <w:vAlign w:val="top"/>
          </w:tcPr>
          <w:p>
            <w:pPr>
              <w:pStyle w:val="TableText"/>
              <w:ind w:left="154"/>
              <w:spacing w:before="242" w:line="183" w:lineRule="auto"/>
              <w:rPr>
                <w:sz w:val="16"/>
                <w:szCs w:val="16"/>
              </w:rPr>
            </w:pPr>
            <w:r>
              <w:rPr>
                <w:sz w:val="16"/>
                <w:szCs w:val="16"/>
                <w:spacing w:val="-3"/>
              </w:rPr>
              <w:t>345</w:t>
            </w:r>
          </w:p>
        </w:tc>
        <w:tc>
          <w:tcPr>
            <w:tcW w:w="1299" w:type="dxa"/>
            <w:vAlign w:val="top"/>
          </w:tcPr>
          <w:p>
            <w:pPr>
              <w:pStyle w:val="TableText"/>
              <w:ind w:left="400"/>
              <w:spacing w:before="200" w:line="219" w:lineRule="auto"/>
              <w:rPr>
                <w:sz w:val="16"/>
                <w:szCs w:val="16"/>
              </w:rPr>
            </w:pPr>
            <w:r>
              <w:rPr>
                <w:sz w:val="16"/>
                <w:szCs w:val="16"/>
                <w:spacing w:val="-2"/>
              </w:rPr>
              <w:t>水科部</w:t>
            </w:r>
          </w:p>
        </w:tc>
        <w:tc>
          <w:tcPr>
            <w:tcW w:w="1648" w:type="dxa"/>
            <w:vAlign w:val="top"/>
          </w:tcPr>
          <w:p>
            <w:pPr>
              <w:pStyle w:val="TableText"/>
              <w:ind w:left="52" w:right="125" w:firstLine="20"/>
              <w:spacing w:before="101" w:line="225" w:lineRule="auto"/>
              <w:rPr>
                <w:sz w:val="16"/>
                <w:szCs w:val="16"/>
              </w:rPr>
            </w:pPr>
            <w:r>
              <w:rPr>
                <w:sz w:val="16"/>
                <w:szCs w:val="16"/>
              </w:rPr>
              <w:t>专用本文部站设立， </w:t>
            </w:r>
            <w:r>
              <w:rPr>
                <w:sz w:val="16"/>
                <w:szCs w:val="16"/>
                <w:spacing w:val="-2"/>
              </w:rPr>
              <w:t>撇销市批</w:t>
            </w:r>
          </w:p>
        </w:tc>
        <w:tc>
          <w:tcPr>
            <w:tcW w:w="2367" w:type="dxa"/>
            <w:vAlign w:val="top"/>
          </w:tcPr>
          <w:p>
            <w:pPr>
              <w:pStyle w:val="TableText"/>
              <w:ind w:left="83" w:right="41"/>
              <w:spacing w:before="91" w:line="236" w:lineRule="auto"/>
              <w:rPr>
                <w:sz w:val="16"/>
                <w:szCs w:val="16"/>
              </w:rPr>
            </w:pPr>
            <w:r>
              <w:rPr>
                <w:sz w:val="16"/>
                <w:szCs w:val="16"/>
                <w:spacing w:val="-1"/>
              </w:rPr>
              <w:t>水利部各范酸管理机构；省级水</w:t>
            </w:r>
            <w:r>
              <w:rPr>
                <w:sz w:val="16"/>
                <w:szCs w:val="16"/>
                <w:spacing w:val="4"/>
              </w:rPr>
              <w:t xml:space="preserve"> </w:t>
            </w:r>
            <w:r>
              <w:rPr>
                <w:sz w:val="16"/>
                <w:szCs w:val="16"/>
                <w:spacing w:val="-1"/>
              </w:rPr>
              <w:t>利都门直属水交机构</w:t>
            </w:r>
          </w:p>
        </w:tc>
        <w:tc>
          <w:tcPr>
            <w:tcW w:w="3711" w:type="dxa"/>
            <w:vAlign w:val="top"/>
          </w:tcPr>
          <w:p>
            <w:pPr>
              <w:pStyle w:val="TableText"/>
              <w:ind w:left="26"/>
              <w:spacing w:before="201" w:line="219" w:lineRule="auto"/>
              <w:rPr>
                <w:sz w:val="16"/>
                <w:szCs w:val="16"/>
              </w:rPr>
            </w:pPr>
            <w:r>
              <w:rPr>
                <w:sz w:val="16"/>
                <w:szCs w:val="16"/>
              </w:rPr>
              <w:t>1中集人民共和国水文条例3</w:t>
            </w:r>
          </w:p>
        </w:tc>
      </w:tr>
      <w:tr>
        <w:trPr>
          <w:trHeight w:val="739" w:hRule="atLeast"/>
        </w:trPr>
        <w:tc>
          <w:tcPr>
            <w:tcW w:w="574" w:type="dxa"/>
            <w:vAlign w:val="top"/>
          </w:tcPr>
          <w:p>
            <w:pPr>
              <w:spacing w:line="280" w:lineRule="auto"/>
              <w:rPr>
                <w:rFonts w:ascii="Arial"/>
                <w:sz w:val="21"/>
              </w:rPr>
            </w:pPr>
            <w:r/>
          </w:p>
          <w:p>
            <w:pPr>
              <w:pStyle w:val="TableText"/>
              <w:ind w:left="194"/>
              <w:spacing w:before="52" w:line="183" w:lineRule="auto"/>
              <w:rPr>
                <w:sz w:val="16"/>
                <w:szCs w:val="16"/>
              </w:rPr>
            </w:pPr>
            <w:r>
              <w:rPr>
                <w:sz w:val="16"/>
                <w:szCs w:val="16"/>
                <w:spacing w:val="-3"/>
              </w:rPr>
              <w:t>36</w:t>
            </w:r>
          </w:p>
        </w:tc>
        <w:tc>
          <w:tcPr>
            <w:tcW w:w="1299" w:type="dxa"/>
            <w:vAlign w:val="top"/>
          </w:tcPr>
          <w:p>
            <w:pPr>
              <w:pStyle w:val="TableText"/>
              <w:ind w:left="400"/>
              <w:spacing w:before="292" w:line="219" w:lineRule="auto"/>
              <w:rPr>
                <w:sz w:val="16"/>
                <w:szCs w:val="16"/>
              </w:rPr>
            </w:pPr>
            <w:r>
              <w:rPr>
                <w:sz w:val="16"/>
                <w:szCs w:val="16"/>
                <w:spacing w:val="-2"/>
              </w:rPr>
              <w:t>水利部</w:t>
            </w:r>
          </w:p>
        </w:tc>
        <w:tc>
          <w:tcPr>
            <w:tcW w:w="1648" w:type="dxa"/>
            <w:vAlign w:val="top"/>
          </w:tcPr>
          <w:p>
            <w:pPr>
              <w:pStyle w:val="TableText"/>
              <w:ind w:left="52" w:right="164" w:hanging="10"/>
              <w:spacing w:before="211" w:line="219" w:lineRule="auto"/>
              <w:rPr>
                <w:sz w:val="16"/>
                <w:szCs w:val="16"/>
              </w:rPr>
            </w:pPr>
            <w:r>
              <w:rPr>
                <w:sz w:val="16"/>
                <w:szCs w:val="16"/>
                <w:spacing w:val="-1"/>
              </w:rPr>
              <w:t>水利工和建设监室单</w:t>
            </w:r>
            <w:r>
              <w:rPr>
                <w:sz w:val="16"/>
                <w:szCs w:val="16"/>
              </w:rPr>
              <w:t xml:space="preserve"> </w:t>
            </w:r>
            <w:r>
              <w:rPr>
                <w:sz w:val="16"/>
                <w:szCs w:val="16"/>
                <w:spacing w:val="-1"/>
              </w:rPr>
              <w:t>位货质认室</w:t>
            </w:r>
          </w:p>
        </w:tc>
        <w:tc>
          <w:tcPr>
            <w:tcW w:w="2367" w:type="dxa"/>
            <w:vAlign w:val="top"/>
          </w:tcPr>
          <w:p>
            <w:pPr>
              <w:pStyle w:val="TableText"/>
              <w:ind w:left="83"/>
              <w:spacing w:before="292" w:line="219" w:lineRule="auto"/>
              <w:rPr>
                <w:sz w:val="16"/>
                <w:szCs w:val="16"/>
              </w:rPr>
            </w:pPr>
            <w:r>
              <w:rPr>
                <w:sz w:val="16"/>
                <w:szCs w:val="16"/>
                <w:spacing w:val="-2"/>
              </w:rPr>
              <w:t>水利部</w:t>
            </w:r>
          </w:p>
        </w:tc>
        <w:tc>
          <w:tcPr>
            <w:tcW w:w="3711" w:type="dxa"/>
            <w:vAlign w:val="top"/>
          </w:tcPr>
          <w:p>
            <w:pPr>
              <w:pStyle w:val="TableText"/>
              <w:ind w:left="26" w:right="307"/>
              <w:spacing w:before="102" w:line="219" w:lineRule="auto"/>
              <w:rPr>
                <w:sz w:val="16"/>
                <w:szCs w:val="16"/>
              </w:rPr>
            </w:pPr>
            <w:r>
              <w:rPr>
                <w:sz w:val="16"/>
                <w:szCs w:val="16"/>
              </w:rPr>
              <w:t>国务院对确高似面的行改审批项日设定行政许可</w:t>
            </w:r>
            <w:r>
              <w:rPr>
                <w:sz w:val="16"/>
                <w:szCs w:val="16"/>
                <w:spacing w:val="5"/>
              </w:rPr>
              <w:t xml:space="preserve"> </w:t>
            </w:r>
            <w:r>
              <w:rPr>
                <w:sz w:val="16"/>
                <w:szCs w:val="16"/>
                <w:spacing w:val="3"/>
              </w:rPr>
              <w:t>的决定</w:t>
            </w:r>
          </w:p>
          <w:p>
            <w:pPr>
              <w:pStyle w:val="TableText"/>
              <w:spacing w:before="40" w:line="219" w:lineRule="auto"/>
              <w:rPr>
                <w:sz w:val="16"/>
                <w:szCs w:val="16"/>
              </w:rPr>
            </w:pPr>
            <w:r>
              <w:rPr>
                <w:sz w:val="16"/>
                <w:szCs w:val="16"/>
                <w:spacing w:val="1"/>
              </w:rPr>
              <w:t>【水利工程建设监理单位资质情现办括</w:t>
            </w:r>
          </w:p>
        </w:tc>
      </w:tr>
      <w:tr>
        <w:trPr>
          <w:trHeight w:val="939" w:hRule="atLeast"/>
        </w:trPr>
        <w:tc>
          <w:tcPr>
            <w:tcW w:w="574" w:type="dxa"/>
            <w:vAlign w:val="top"/>
          </w:tcPr>
          <w:p>
            <w:pPr>
              <w:spacing w:line="380" w:lineRule="auto"/>
              <w:rPr>
                <w:rFonts w:ascii="Arial"/>
                <w:sz w:val="21"/>
              </w:rPr>
            </w:pPr>
            <w:r/>
          </w:p>
          <w:p>
            <w:pPr>
              <w:pStyle w:val="TableText"/>
              <w:ind w:left="154"/>
              <w:spacing w:before="52" w:line="183" w:lineRule="auto"/>
              <w:rPr>
                <w:sz w:val="16"/>
                <w:szCs w:val="16"/>
              </w:rPr>
            </w:pPr>
            <w:r>
              <w:rPr>
                <w:sz w:val="16"/>
                <w:szCs w:val="16"/>
                <w:spacing w:val="-3"/>
              </w:rPr>
              <w:t>347</w:t>
            </w:r>
          </w:p>
        </w:tc>
        <w:tc>
          <w:tcPr>
            <w:tcW w:w="1299" w:type="dxa"/>
            <w:vAlign w:val="top"/>
          </w:tcPr>
          <w:p>
            <w:pPr>
              <w:spacing w:line="339" w:lineRule="auto"/>
              <w:rPr>
                <w:rFonts w:ascii="Arial"/>
                <w:sz w:val="21"/>
              </w:rPr>
            </w:pPr>
            <w:r/>
          </w:p>
          <w:p>
            <w:pPr>
              <w:pStyle w:val="TableText"/>
              <w:ind w:left="400"/>
              <w:spacing w:before="52" w:line="219" w:lineRule="auto"/>
              <w:rPr>
                <w:sz w:val="16"/>
                <w:szCs w:val="16"/>
              </w:rPr>
            </w:pPr>
            <w:r>
              <w:rPr>
                <w:sz w:val="16"/>
                <w:szCs w:val="16"/>
                <w:spacing w:val="-2"/>
              </w:rPr>
              <w:t>水利部</w:t>
            </w:r>
          </w:p>
        </w:tc>
        <w:tc>
          <w:tcPr>
            <w:tcW w:w="1648" w:type="dxa"/>
            <w:vAlign w:val="top"/>
          </w:tcPr>
          <w:p>
            <w:pPr>
              <w:rPr>
                <w:rFonts w:ascii="Arial"/>
                <w:sz w:val="21"/>
              </w:rPr>
            </w:pPr>
            <w:r/>
          </w:p>
          <w:p>
            <w:pPr>
              <w:pStyle w:val="TableText"/>
              <w:ind w:left="52" w:right="164" w:hanging="10"/>
              <w:spacing w:before="52" w:line="237" w:lineRule="auto"/>
              <w:rPr>
                <w:sz w:val="16"/>
                <w:szCs w:val="16"/>
              </w:rPr>
            </w:pPr>
            <w:r>
              <w:rPr>
                <w:sz w:val="16"/>
                <w:szCs w:val="16"/>
                <w:spacing w:val="-1"/>
              </w:rPr>
              <w:t>水利工程匝量检测单</w:t>
            </w:r>
            <w:r>
              <w:rPr>
                <w:sz w:val="16"/>
                <w:szCs w:val="16"/>
              </w:rPr>
              <w:t xml:space="preserve"> </w:t>
            </w:r>
            <w:r>
              <w:rPr>
                <w:sz w:val="16"/>
                <w:szCs w:val="16"/>
                <w:spacing w:val="-1"/>
              </w:rPr>
              <w:t>位资质认定</w:t>
            </w:r>
          </w:p>
        </w:tc>
        <w:tc>
          <w:tcPr>
            <w:tcW w:w="2367" w:type="dxa"/>
            <w:vAlign w:val="top"/>
          </w:tcPr>
          <w:p>
            <w:pPr>
              <w:spacing w:line="339" w:lineRule="auto"/>
              <w:rPr>
                <w:rFonts w:ascii="Arial"/>
                <w:sz w:val="21"/>
              </w:rPr>
            </w:pPr>
            <w:r/>
          </w:p>
          <w:p>
            <w:pPr>
              <w:pStyle w:val="TableText"/>
              <w:ind w:left="83"/>
              <w:spacing w:before="52" w:line="219" w:lineRule="auto"/>
              <w:rPr>
                <w:sz w:val="16"/>
                <w:szCs w:val="16"/>
              </w:rPr>
            </w:pPr>
            <w:r>
              <w:rPr>
                <w:sz w:val="16"/>
                <w:szCs w:val="16"/>
                <w:spacing w:val="1"/>
              </w:rPr>
              <w:t>水利部；者级水利靠门</w:t>
            </w:r>
          </w:p>
        </w:tc>
        <w:tc>
          <w:tcPr>
            <w:tcW w:w="3711" w:type="dxa"/>
            <w:vAlign w:val="top"/>
          </w:tcPr>
          <w:p>
            <w:pPr>
              <w:pStyle w:val="TableText"/>
              <w:ind w:left="26" w:right="307"/>
              <w:spacing w:before="112" w:line="208" w:lineRule="auto"/>
              <w:rPr>
                <w:sz w:val="16"/>
                <w:szCs w:val="16"/>
              </w:rPr>
            </w:pPr>
            <w:r>
              <w:rPr>
                <w:sz w:val="16"/>
                <w:szCs w:val="16"/>
              </w:rPr>
              <w:t>因务院对确需保别的行政审投项们设定行政许可</w:t>
            </w:r>
            <w:r>
              <w:rPr>
                <w:sz w:val="16"/>
                <w:szCs w:val="16"/>
                <w:spacing w:val="5"/>
              </w:rPr>
              <w:t xml:space="preserve"> </w:t>
            </w:r>
            <w:r>
              <w:rPr>
                <w:sz w:val="16"/>
                <w:szCs w:val="16"/>
                <w:spacing w:val="8"/>
              </w:rPr>
              <w:t>的决定)</w:t>
            </w:r>
          </w:p>
          <w:p>
            <w:pPr>
              <w:pStyle w:val="TableText"/>
              <w:spacing w:before="19" w:line="219" w:lineRule="auto"/>
              <w:rPr>
                <w:sz w:val="16"/>
                <w:szCs w:val="16"/>
              </w:rPr>
            </w:pPr>
            <w:r>
              <w:rPr>
                <w:sz w:val="16"/>
                <w:szCs w:val="16"/>
                <w:spacing w:val="-6"/>
              </w:rPr>
              <w:t>《建设工程废量管理条偶》</w:t>
            </w:r>
          </w:p>
          <w:p>
            <w:pPr>
              <w:pStyle w:val="TableText"/>
              <w:ind w:left="26"/>
              <w:spacing w:before="11" w:line="219" w:lineRule="auto"/>
              <w:rPr>
                <w:sz w:val="16"/>
                <w:szCs w:val="16"/>
              </w:rPr>
            </w:pPr>
            <w:r>
              <w:rPr>
                <w:sz w:val="16"/>
                <w:szCs w:val="16"/>
                <w:spacing w:val="-1"/>
              </w:rPr>
              <w:t>水和工智度量检测管理度定</w:t>
            </w:r>
          </w:p>
        </w:tc>
      </w:tr>
      <w:tr>
        <w:trPr>
          <w:trHeight w:val="1383" w:hRule="atLeast"/>
        </w:trPr>
        <w:tc>
          <w:tcPr>
            <w:tcW w:w="574" w:type="dxa"/>
            <w:vAlign w:val="top"/>
          </w:tcPr>
          <w:p>
            <w:pPr>
              <w:spacing w:line="300" w:lineRule="auto"/>
              <w:rPr>
                <w:rFonts w:ascii="Arial"/>
                <w:sz w:val="21"/>
              </w:rPr>
            </w:pPr>
            <w:r/>
          </w:p>
          <w:p>
            <w:pPr>
              <w:spacing w:line="300" w:lineRule="auto"/>
              <w:rPr>
                <w:rFonts w:ascii="Arial"/>
                <w:sz w:val="21"/>
              </w:rPr>
            </w:pPr>
            <w:r/>
          </w:p>
          <w:p>
            <w:pPr>
              <w:pStyle w:val="TableText"/>
              <w:ind w:left="154"/>
              <w:spacing w:before="52" w:line="183" w:lineRule="auto"/>
              <w:rPr>
                <w:sz w:val="16"/>
                <w:szCs w:val="16"/>
              </w:rPr>
            </w:pPr>
            <w:r>
              <w:rPr>
                <w:sz w:val="16"/>
                <w:szCs w:val="16"/>
                <w:spacing w:val="-3"/>
              </w:rPr>
              <w:t>34#</w:t>
            </w:r>
          </w:p>
        </w:tc>
        <w:tc>
          <w:tcPr>
            <w:tcW w:w="1299" w:type="dxa"/>
            <w:vAlign w:val="top"/>
          </w:tcPr>
          <w:p>
            <w:pPr>
              <w:spacing w:line="279" w:lineRule="auto"/>
              <w:rPr>
                <w:rFonts w:ascii="Arial"/>
                <w:sz w:val="21"/>
              </w:rPr>
            </w:pPr>
            <w:r/>
          </w:p>
          <w:p>
            <w:pPr>
              <w:spacing w:line="280" w:lineRule="auto"/>
              <w:rPr>
                <w:rFonts w:ascii="Arial"/>
                <w:sz w:val="21"/>
              </w:rPr>
            </w:pPr>
            <w:r/>
          </w:p>
          <w:p>
            <w:pPr>
              <w:pStyle w:val="TableText"/>
              <w:ind w:left="400"/>
              <w:spacing w:before="52" w:line="219" w:lineRule="auto"/>
              <w:rPr>
                <w:sz w:val="16"/>
                <w:szCs w:val="16"/>
              </w:rPr>
            </w:pPr>
            <w:r>
              <w:rPr>
                <w:sz w:val="16"/>
                <w:szCs w:val="16"/>
                <w:spacing w:val="-2"/>
              </w:rPr>
              <w:t>水利露</w:t>
            </w:r>
          </w:p>
        </w:tc>
        <w:tc>
          <w:tcPr>
            <w:tcW w:w="1648" w:type="dxa"/>
            <w:vAlign w:val="top"/>
          </w:tcPr>
          <w:p>
            <w:pPr>
              <w:spacing w:line="243" w:lineRule="auto"/>
              <w:rPr>
                <w:rFonts w:ascii="Arial"/>
                <w:sz w:val="21"/>
              </w:rPr>
            </w:pPr>
            <w:r/>
          </w:p>
          <w:p>
            <w:pPr>
              <w:spacing w:line="244" w:lineRule="auto"/>
              <w:rPr>
                <w:rFonts w:ascii="Arial"/>
                <w:sz w:val="21"/>
              </w:rPr>
            </w:pPr>
            <w:r/>
          </w:p>
          <w:p>
            <w:pPr>
              <w:pStyle w:val="TableText"/>
              <w:ind w:left="52" w:right="201" w:firstLine="30"/>
              <w:spacing w:before="52" w:line="226" w:lineRule="auto"/>
              <w:rPr>
                <w:sz w:val="16"/>
                <w:szCs w:val="16"/>
              </w:rPr>
            </w:pPr>
            <w:r>
              <w:rPr>
                <w:sz w:val="16"/>
                <w:szCs w:val="16"/>
                <w:spacing w:val="-1"/>
              </w:rPr>
              <w:t>造价工称情(永利工</w:t>
            </w:r>
            <w:r>
              <w:rPr>
                <w:sz w:val="16"/>
                <w:szCs w:val="16"/>
                <w:spacing w:val="2"/>
              </w:rPr>
              <w:t xml:space="preserve"> </w:t>
            </w:r>
            <w:r>
              <w:rPr>
                <w:sz w:val="16"/>
                <w:szCs w:val="16"/>
                <w:spacing w:val="4"/>
              </w:rPr>
              <w:t>权)注用</w:t>
            </w:r>
          </w:p>
        </w:tc>
        <w:tc>
          <w:tcPr>
            <w:tcW w:w="2367" w:type="dxa"/>
            <w:vAlign w:val="top"/>
          </w:tcPr>
          <w:p>
            <w:pPr>
              <w:spacing w:line="279" w:lineRule="auto"/>
              <w:rPr>
                <w:rFonts w:ascii="Arial"/>
                <w:sz w:val="21"/>
              </w:rPr>
            </w:pPr>
            <w:r/>
          </w:p>
          <w:p>
            <w:pPr>
              <w:spacing w:line="279" w:lineRule="auto"/>
              <w:rPr>
                <w:rFonts w:ascii="Arial"/>
                <w:sz w:val="21"/>
              </w:rPr>
            </w:pPr>
            <w:r/>
          </w:p>
          <w:p>
            <w:pPr>
              <w:pStyle w:val="TableText"/>
              <w:ind w:left="83"/>
              <w:spacing w:before="52" w:line="219" w:lineRule="auto"/>
              <w:rPr>
                <w:sz w:val="16"/>
                <w:szCs w:val="16"/>
              </w:rPr>
            </w:pPr>
            <w:r>
              <w:rPr>
                <w:sz w:val="16"/>
                <w:szCs w:val="16"/>
                <w:spacing w:val="1"/>
              </w:rPr>
              <w:t>水科部，看级水利部门</w:t>
            </w:r>
          </w:p>
        </w:tc>
        <w:tc>
          <w:tcPr>
            <w:tcW w:w="3711" w:type="dxa"/>
            <w:vAlign w:val="top"/>
          </w:tcPr>
          <w:p>
            <w:pPr>
              <w:pStyle w:val="TableText"/>
              <w:spacing w:before="124" w:line="208" w:lineRule="auto"/>
              <w:rPr>
                <w:sz w:val="16"/>
                <w:szCs w:val="16"/>
              </w:rPr>
            </w:pPr>
            <w:r>
              <w:rPr>
                <w:sz w:val="16"/>
                <w:szCs w:val="16"/>
                <w:spacing w:val="-5"/>
              </w:rPr>
              <w:t>《中华人民共和国建筑法)</w:t>
            </w:r>
          </w:p>
          <w:p>
            <w:pPr>
              <w:pStyle w:val="TableText"/>
              <w:ind w:left="56"/>
              <w:spacing w:line="219" w:lineRule="auto"/>
              <w:rPr>
                <w:sz w:val="16"/>
                <w:szCs w:val="16"/>
              </w:rPr>
            </w:pPr>
            <w:r>
              <w:rPr>
                <w:sz w:val="16"/>
                <w:szCs w:val="16"/>
                <w:spacing w:val="-1"/>
              </w:rPr>
              <w:t>住房城子建设每交填运响据水利国人方能源壮</w:t>
            </w:r>
          </w:p>
          <w:p>
            <w:pPr>
              <w:pStyle w:val="TableText"/>
              <w:ind w:left="26" w:right="117" w:firstLine="30"/>
              <w:spacing w:before="19" w:line="232" w:lineRule="auto"/>
              <w:jc w:val="both"/>
              <w:rPr>
                <w:sz w:val="16"/>
                <w:szCs w:val="16"/>
              </w:rPr>
            </w:pPr>
            <w:r>
              <w:rPr>
                <w:sz w:val="16"/>
                <w:szCs w:val="16"/>
                <w:spacing w:val="-1"/>
              </w:rPr>
              <w:t>会保障部关子甲发《进价工数师职亚售临制度理定</w:t>
            </w:r>
            <w:r>
              <w:rPr>
                <w:sz w:val="16"/>
                <w:szCs w:val="16"/>
                <w:spacing w:val="15"/>
              </w:rPr>
              <w:t xml:space="preserve"> </w:t>
            </w:r>
            <w:r>
              <w:rPr>
                <w:sz w:val="16"/>
                <w:szCs w:val="16"/>
                <w:spacing w:val="1"/>
              </w:rPr>
              <w:t>(造价工程所帆业资格考试实能方法)的造短利度人</w:t>
            </w:r>
            <w:r>
              <w:rPr>
                <w:sz w:val="16"/>
                <w:szCs w:val="16"/>
                <w:spacing w:val="12"/>
              </w:rPr>
              <w:t xml:space="preserve"> </w:t>
            </w:r>
            <w:r>
              <w:rPr>
                <w:sz w:val="16"/>
                <w:szCs w:val="16"/>
                <w:spacing w:val="1"/>
              </w:rPr>
              <w:t>(2018)67号1</w:t>
            </w:r>
          </w:p>
          <w:p>
            <w:pPr>
              <w:pStyle w:val="TableText"/>
              <w:spacing w:before="17" w:line="219" w:lineRule="auto"/>
              <w:rPr>
                <w:sz w:val="16"/>
                <w:szCs w:val="16"/>
              </w:rPr>
            </w:pPr>
            <w:r>
              <w:rPr>
                <w:sz w:val="16"/>
                <w:szCs w:val="16"/>
                <w:spacing w:val="-4"/>
              </w:rPr>
              <w:t>《国家职业资格目录/2021年版</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60992" behindDoc="0" locked="0" layoutInCell="0" allowOverlap="1">
                <wp:simplePos x="0" y="0"/>
                <wp:positionH relativeFrom="page">
                  <wp:posOffset>470613</wp:posOffset>
                </wp:positionH>
                <wp:positionV relativeFrom="page">
                  <wp:posOffset>4370332</wp:posOffset>
                </wp:positionV>
                <wp:extent cx="172720" cy="157479"/>
                <wp:effectExtent l="0" t="0" r="0" b="0"/>
                <wp:wrapNone/>
                <wp:docPr id="240" name="TextBox 240"/>
                <wp:cNvGraphicFramePr/>
                <a:graphic>
                  <a:graphicData uri="http://schemas.microsoft.com/office/word/2010/wordprocessingShape">
                    <wps:wsp>
                      <wps:cNvSpPr txBox="1"/>
                      <wps:spPr>
                        <a:xfrm rot="5400000">
                          <a:off x="470613" y="437033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201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2" style="position:absolute;margin-left:37.0562pt;margin-top:344.121pt;mso-position-vertical-relative:page;mso-position-horizontal-relative:page;width:13.6pt;height:12.4pt;z-index:25186099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201</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48"/>
        <w:gridCol w:w="2367"/>
        <w:gridCol w:w="370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5"/>
              </w:rPr>
              <w:t>中央主骨部()</w:t>
            </w:r>
          </w:p>
        </w:tc>
        <w:tc>
          <w:tcPr>
            <w:tcW w:w="1648" w:type="dxa"/>
            <w:vAlign w:val="top"/>
          </w:tcPr>
          <w:p>
            <w:pPr>
              <w:pStyle w:val="TableText"/>
              <w:ind w:left="491"/>
              <w:spacing w:before="132" w:line="220" w:lineRule="auto"/>
              <w:rPr>
                <w:sz w:val="16"/>
                <w:szCs w:val="16"/>
              </w:rPr>
            </w:pPr>
            <w:r>
              <w:rPr>
                <w:sz w:val="16"/>
                <w:szCs w:val="16"/>
                <w:spacing w:val="-2"/>
              </w:rPr>
              <w:t>事璃名称</w:t>
            </w:r>
          </w:p>
        </w:tc>
        <w:tc>
          <w:tcPr>
            <w:tcW w:w="2367" w:type="dxa"/>
            <w:vAlign w:val="top"/>
          </w:tcPr>
          <w:p>
            <w:pPr>
              <w:pStyle w:val="TableText"/>
              <w:ind w:left="854"/>
              <w:spacing w:before="130" w:line="219" w:lineRule="auto"/>
              <w:rPr>
                <w:sz w:val="16"/>
                <w:szCs w:val="16"/>
              </w:rPr>
            </w:pPr>
            <w:r>
              <w:rPr>
                <w:sz w:val="16"/>
                <w:szCs w:val="16"/>
                <w:spacing w:val="-2"/>
              </w:rPr>
              <w:t>实物机类</w:t>
            </w:r>
          </w:p>
        </w:tc>
        <w:tc>
          <w:tcPr>
            <w:tcW w:w="3701" w:type="dxa"/>
            <w:vAlign w:val="top"/>
          </w:tcPr>
          <w:p>
            <w:pPr>
              <w:pStyle w:val="TableText"/>
              <w:ind w:left="1309"/>
              <w:spacing w:before="129" w:line="219" w:lineRule="auto"/>
              <w:rPr>
                <w:sz w:val="16"/>
                <w:szCs w:val="16"/>
              </w:rPr>
            </w:pPr>
            <w:r>
              <w:rPr>
                <w:sz w:val="16"/>
                <w:szCs w:val="16"/>
                <w:b/>
                <w:bCs/>
                <w:spacing w:val="-3"/>
              </w:rPr>
              <w:t>设定和实当保据</w:t>
            </w:r>
          </w:p>
        </w:tc>
      </w:tr>
      <w:tr>
        <w:trPr>
          <w:trHeight w:val="1258" w:hRule="atLeast"/>
        </w:trPr>
        <w:tc>
          <w:tcPr>
            <w:tcW w:w="594" w:type="dxa"/>
            <w:vAlign w:val="top"/>
          </w:tcPr>
          <w:p>
            <w:pPr>
              <w:spacing w:line="266" w:lineRule="auto"/>
              <w:rPr>
                <w:rFonts w:ascii="Arial"/>
                <w:sz w:val="21"/>
              </w:rPr>
            </w:pPr>
            <w:r/>
          </w:p>
          <w:p>
            <w:pPr>
              <w:spacing w:line="266" w:lineRule="auto"/>
              <w:rPr>
                <w:rFonts w:ascii="Arial"/>
                <w:sz w:val="21"/>
              </w:rPr>
            </w:pPr>
            <w:r/>
          </w:p>
          <w:p>
            <w:pPr>
              <w:pStyle w:val="TableText"/>
              <w:ind w:left="164"/>
              <w:spacing w:before="52" w:line="183" w:lineRule="auto"/>
              <w:rPr>
                <w:sz w:val="16"/>
                <w:szCs w:val="16"/>
              </w:rPr>
            </w:pPr>
            <w:r>
              <w:rPr>
                <w:sz w:val="16"/>
                <w:szCs w:val="16"/>
                <w:spacing w:val="-2"/>
              </w:rPr>
              <w:t>249</w:t>
            </w:r>
          </w:p>
        </w:tc>
        <w:tc>
          <w:tcPr>
            <w:tcW w:w="1279" w:type="dxa"/>
            <w:vAlign w:val="top"/>
          </w:tcPr>
          <w:p>
            <w:pPr>
              <w:spacing w:line="245" w:lineRule="auto"/>
              <w:rPr>
                <w:rFonts w:ascii="Arial"/>
                <w:sz w:val="21"/>
              </w:rPr>
            </w:pPr>
            <w:r/>
          </w:p>
          <w:p>
            <w:pPr>
              <w:spacing w:line="246" w:lineRule="auto"/>
              <w:rPr>
                <w:rFonts w:ascii="Arial"/>
                <w:sz w:val="21"/>
              </w:rPr>
            </w:pPr>
            <w:r/>
          </w:p>
          <w:p>
            <w:pPr>
              <w:pStyle w:val="TableText"/>
              <w:ind w:left="390"/>
              <w:spacing w:before="52" w:line="219" w:lineRule="auto"/>
              <w:rPr>
                <w:sz w:val="16"/>
                <w:szCs w:val="16"/>
              </w:rPr>
            </w:pPr>
            <w:r>
              <w:rPr>
                <w:sz w:val="16"/>
                <w:szCs w:val="16"/>
                <w:spacing w:val="-2"/>
              </w:rPr>
              <w:t>水剥部</w:t>
            </w:r>
          </w:p>
        </w:tc>
        <w:tc>
          <w:tcPr>
            <w:tcW w:w="1648" w:type="dxa"/>
            <w:vAlign w:val="top"/>
          </w:tcPr>
          <w:p>
            <w:pPr>
              <w:spacing w:line="382" w:lineRule="auto"/>
              <w:rPr>
                <w:rFonts w:ascii="Arial"/>
                <w:sz w:val="21"/>
              </w:rPr>
            </w:pPr>
            <w:r/>
          </w:p>
          <w:p>
            <w:pPr>
              <w:pStyle w:val="TableText"/>
              <w:ind w:left="22" w:right="137" w:firstLine="109"/>
              <w:spacing w:before="52" w:line="232" w:lineRule="auto"/>
              <w:rPr>
                <w:sz w:val="16"/>
                <w:szCs w:val="16"/>
              </w:rPr>
            </w:pPr>
            <w:r>
              <w:rPr>
                <w:sz w:val="16"/>
                <w:szCs w:val="16"/>
              </w:rPr>
              <w:t>四理工程解(求利工</w:t>
            </w:r>
            <w:r>
              <w:rPr>
                <w:sz w:val="16"/>
                <w:szCs w:val="16"/>
                <w:spacing w:val="7"/>
              </w:rPr>
              <w:t xml:space="preserve"> </w:t>
            </w:r>
            <w:r>
              <w:rPr>
                <w:sz w:val="16"/>
                <w:szCs w:val="16"/>
                <w:spacing w:val="4"/>
              </w:rPr>
              <w:t>W)注用</w:t>
            </w:r>
          </w:p>
        </w:tc>
        <w:tc>
          <w:tcPr>
            <w:tcW w:w="2367" w:type="dxa"/>
            <w:vAlign w:val="top"/>
          </w:tcPr>
          <w:p>
            <w:pPr>
              <w:spacing w:line="245" w:lineRule="auto"/>
              <w:rPr>
                <w:rFonts w:ascii="Arial"/>
                <w:sz w:val="21"/>
              </w:rPr>
            </w:pPr>
            <w:r/>
          </w:p>
          <w:p>
            <w:pPr>
              <w:spacing w:line="246" w:lineRule="auto"/>
              <w:rPr>
                <w:rFonts w:ascii="Arial"/>
                <w:sz w:val="21"/>
              </w:rPr>
            </w:pPr>
            <w:r/>
          </w:p>
          <w:p>
            <w:pPr>
              <w:pStyle w:val="TableText"/>
              <w:ind w:left="34"/>
              <w:spacing w:before="52" w:line="219" w:lineRule="auto"/>
              <w:rPr>
                <w:sz w:val="16"/>
                <w:szCs w:val="16"/>
              </w:rPr>
            </w:pPr>
            <w:r>
              <w:rPr>
                <w:sz w:val="16"/>
                <w:szCs w:val="16"/>
                <w:spacing w:val="-2"/>
              </w:rPr>
              <w:t>水利都</w:t>
            </w:r>
          </w:p>
        </w:tc>
        <w:tc>
          <w:tcPr>
            <w:tcW w:w="3701" w:type="dxa"/>
            <w:vAlign w:val="top"/>
          </w:tcPr>
          <w:p>
            <w:pPr>
              <w:pStyle w:val="TableText"/>
              <w:ind w:left="36"/>
              <w:spacing w:before="36" w:line="219" w:lineRule="auto"/>
              <w:rPr>
                <w:sz w:val="16"/>
                <w:szCs w:val="16"/>
              </w:rPr>
            </w:pPr>
            <w:r>
              <w:rPr>
                <w:sz w:val="16"/>
                <w:szCs w:val="16"/>
                <w:spacing w:val="-1"/>
              </w:rPr>
              <w:t>r中年人民共和嗅建筑法》</w:t>
            </w:r>
          </w:p>
          <w:p>
            <w:pPr>
              <w:pStyle w:val="TableText"/>
              <w:ind w:left="46"/>
              <w:spacing w:before="30" w:line="219" w:lineRule="auto"/>
              <w:rPr>
                <w:sz w:val="16"/>
                <w:szCs w:val="16"/>
              </w:rPr>
            </w:pPr>
            <w:r>
              <w:rPr>
                <w:sz w:val="16"/>
                <w:szCs w:val="16"/>
                <w:spacing w:val="-1"/>
              </w:rPr>
              <w:t>住房和城乡建设部交通运紫那水利都人力贸氢</w:t>
            </w:r>
          </w:p>
          <w:p>
            <w:pPr>
              <w:pStyle w:val="TableText"/>
              <w:ind w:left="56" w:right="131" w:hanging="10"/>
              <w:spacing w:before="18" w:line="225" w:lineRule="auto"/>
              <w:rPr>
                <w:sz w:val="16"/>
                <w:szCs w:val="16"/>
              </w:rPr>
            </w:pPr>
            <w:r>
              <w:rPr>
                <w:sz w:val="16"/>
                <w:szCs w:val="16"/>
                <w:spacing w:val="-1"/>
              </w:rPr>
              <w:t>社会批食前关于印发《监源工程体积业贸格额度见</w:t>
            </w:r>
            <w:r>
              <w:rPr>
                <w:sz w:val="16"/>
                <w:szCs w:val="16"/>
                <w:spacing w:val="13"/>
              </w:rPr>
              <w:t xml:space="preserve"> </w:t>
            </w:r>
            <w:r>
              <w:rPr>
                <w:sz w:val="16"/>
                <w:szCs w:val="16"/>
              </w:rPr>
              <w:t>定川监理工程静职业责格考试实施办法[的选知</w:t>
            </w:r>
          </w:p>
          <w:p>
            <w:pPr>
              <w:pStyle w:val="TableText"/>
              <w:ind w:left="36"/>
              <w:spacing w:before="12" w:line="221" w:lineRule="auto"/>
              <w:rPr>
                <w:sz w:val="16"/>
                <w:szCs w:val="16"/>
              </w:rPr>
            </w:pPr>
            <w:r>
              <w:rPr>
                <w:sz w:val="16"/>
                <w:szCs w:val="16"/>
                <w:spacing w:val="2"/>
              </w:rPr>
              <w:t>7建人施(020)8号)</w:t>
            </w:r>
          </w:p>
          <w:p>
            <w:pPr>
              <w:pStyle w:val="TableText"/>
              <w:ind w:left="36"/>
              <w:spacing w:before="6" w:line="210" w:lineRule="auto"/>
              <w:rPr>
                <w:sz w:val="16"/>
                <w:szCs w:val="16"/>
              </w:rPr>
            </w:pPr>
            <w:r>
              <w:rPr>
                <w:sz w:val="16"/>
                <w:szCs w:val="16"/>
              </w:rPr>
              <w:t>K国家职业资输目度(2021年ki)1</w:t>
            </w:r>
          </w:p>
        </w:tc>
      </w:tr>
      <w:tr>
        <w:trPr>
          <w:trHeight w:val="1049" w:hRule="atLeast"/>
        </w:trPr>
        <w:tc>
          <w:tcPr>
            <w:tcW w:w="594" w:type="dxa"/>
            <w:vAlign w:val="top"/>
          </w:tcPr>
          <w:p>
            <w:pPr>
              <w:spacing w:line="435" w:lineRule="auto"/>
              <w:rPr>
                <w:rFonts w:ascii="Arial"/>
                <w:sz w:val="21"/>
              </w:rPr>
            </w:pPr>
            <w:r/>
          </w:p>
          <w:p>
            <w:pPr>
              <w:pStyle w:val="TableText"/>
              <w:ind w:left="164"/>
              <w:spacing w:before="52" w:line="183" w:lineRule="auto"/>
              <w:rPr>
                <w:sz w:val="16"/>
                <w:szCs w:val="16"/>
              </w:rPr>
            </w:pPr>
            <w:r>
              <w:rPr>
                <w:sz w:val="16"/>
                <w:szCs w:val="16"/>
                <w:spacing w:val="-3"/>
              </w:rPr>
              <w:t>35u</w:t>
            </w:r>
          </w:p>
        </w:tc>
        <w:tc>
          <w:tcPr>
            <w:tcW w:w="1279" w:type="dxa"/>
            <w:vAlign w:val="top"/>
          </w:tcPr>
          <w:p>
            <w:pPr>
              <w:spacing w:line="395" w:lineRule="auto"/>
              <w:rPr>
                <w:rFonts w:ascii="Arial"/>
                <w:sz w:val="21"/>
              </w:rPr>
            </w:pPr>
            <w:r/>
          </w:p>
          <w:p>
            <w:pPr>
              <w:pStyle w:val="TableText"/>
              <w:ind w:left="390"/>
              <w:spacing w:before="52" w:line="221" w:lineRule="auto"/>
              <w:rPr>
                <w:sz w:val="16"/>
                <w:szCs w:val="16"/>
              </w:rPr>
            </w:pPr>
            <w:r>
              <w:rPr>
                <w:sz w:val="16"/>
                <w:szCs w:val="16"/>
                <w:spacing w:val="-2"/>
              </w:rPr>
              <w:t>求利面</w:t>
            </w:r>
          </w:p>
        </w:tc>
        <w:tc>
          <w:tcPr>
            <w:tcW w:w="1648" w:type="dxa"/>
            <w:vAlign w:val="top"/>
          </w:tcPr>
          <w:p>
            <w:pPr>
              <w:pStyle w:val="TableText"/>
              <w:ind w:left="42" w:right="77" w:firstLine="49"/>
              <w:spacing w:before="50" w:line="228" w:lineRule="auto"/>
              <w:jc w:val="both"/>
              <w:rPr>
                <w:sz w:val="16"/>
                <w:szCs w:val="16"/>
              </w:rPr>
            </w:pPr>
            <w:r>
              <w:rPr>
                <w:sz w:val="16"/>
                <w:szCs w:val="16"/>
                <w:spacing w:val="-1"/>
              </w:rPr>
              <w:t>求利求电丁型题工土</w:t>
            </w:r>
            <w:r>
              <w:rPr>
                <w:sz w:val="16"/>
                <w:szCs w:val="16"/>
              </w:rPr>
              <w:t xml:space="preserve"> </w:t>
            </w:r>
            <w:r>
              <w:rPr>
                <w:sz w:val="16"/>
                <w:szCs w:val="16"/>
                <w:spacing w:val="8"/>
              </w:rPr>
              <w:t>业主要免责人，项日</w:t>
            </w:r>
            <w:r>
              <w:rPr>
                <w:sz w:val="16"/>
                <w:szCs w:val="16"/>
                <w:spacing w:val="5"/>
              </w:rPr>
              <w:t xml:space="preserve"> </w:t>
            </w:r>
            <w:r>
              <w:rPr>
                <w:sz w:val="16"/>
                <w:szCs w:val="16"/>
                <w:spacing w:val="6"/>
              </w:rPr>
              <w:t>负青人和专镇安全垄</w:t>
            </w:r>
            <w:r>
              <w:rPr>
                <w:sz w:val="16"/>
                <w:szCs w:val="16"/>
                <w:spacing w:val="3"/>
              </w:rPr>
              <w:t xml:space="preserve"> </w:t>
            </w:r>
            <w:r>
              <w:rPr>
                <w:sz w:val="16"/>
                <w:szCs w:val="16"/>
                <w:spacing w:val="4"/>
              </w:rPr>
              <w:t>产管理人强安全生产</w:t>
            </w:r>
            <w:r>
              <w:rPr>
                <w:sz w:val="16"/>
                <w:szCs w:val="16"/>
                <w:spacing w:val="6"/>
              </w:rPr>
              <w:t xml:space="preserve"> </w:t>
            </w:r>
            <w:r>
              <w:rPr>
                <w:sz w:val="16"/>
                <w:szCs w:val="16"/>
                <w:spacing w:val="-2"/>
              </w:rPr>
              <w:t>子极</w:t>
            </w:r>
          </w:p>
        </w:tc>
        <w:tc>
          <w:tcPr>
            <w:tcW w:w="2367" w:type="dxa"/>
            <w:vAlign w:val="top"/>
          </w:tcPr>
          <w:p>
            <w:pPr>
              <w:spacing w:line="394" w:lineRule="auto"/>
              <w:rPr>
                <w:rFonts w:ascii="Arial"/>
                <w:sz w:val="21"/>
              </w:rPr>
            </w:pPr>
            <w:r/>
          </w:p>
          <w:p>
            <w:pPr>
              <w:pStyle w:val="TableText"/>
              <w:ind w:left="34"/>
              <w:spacing w:before="52" w:line="219" w:lineRule="auto"/>
              <w:rPr>
                <w:sz w:val="16"/>
                <w:szCs w:val="16"/>
              </w:rPr>
            </w:pPr>
            <w:r>
              <w:rPr>
                <w:sz w:val="16"/>
                <w:szCs w:val="16"/>
                <w:spacing w:val="1"/>
              </w:rPr>
              <w:t>永利部；电暖水利而门</w:t>
            </w:r>
          </w:p>
        </w:tc>
        <w:tc>
          <w:tcPr>
            <w:tcW w:w="3701" w:type="dxa"/>
            <w:vAlign w:val="top"/>
          </w:tcPr>
          <w:p>
            <w:pPr>
              <w:pStyle w:val="TableText"/>
              <w:ind w:left="36"/>
              <w:spacing w:before="58" w:line="208" w:lineRule="auto"/>
              <w:rPr>
                <w:sz w:val="16"/>
                <w:szCs w:val="16"/>
              </w:rPr>
            </w:pPr>
            <w:r>
              <w:rPr>
                <w:sz w:val="16"/>
                <w:szCs w:val="16"/>
                <w:spacing w:val="-1"/>
              </w:rPr>
              <w:t>中华人民共和国安全生产法》</w:t>
            </w:r>
          </w:p>
          <w:p>
            <w:pPr>
              <w:pStyle w:val="TableText"/>
              <w:ind w:left="36"/>
              <w:spacing w:line="219" w:lineRule="auto"/>
              <w:rPr>
                <w:sz w:val="16"/>
                <w:szCs w:val="16"/>
              </w:rPr>
            </w:pPr>
            <w:r>
              <w:rPr>
                <w:sz w:val="16"/>
                <w:szCs w:val="16"/>
                <w:spacing w:val="2"/>
              </w:rPr>
              <w:t>1建设工程安全生产管理条例)</w:t>
            </w:r>
          </w:p>
          <w:p>
            <w:pPr>
              <w:pStyle w:val="TableText"/>
              <w:ind w:left="36" w:right="120"/>
              <w:spacing w:before="30" w:line="223" w:lineRule="auto"/>
              <w:jc w:val="both"/>
              <w:rPr>
                <w:sz w:val="16"/>
                <w:szCs w:val="16"/>
              </w:rPr>
            </w:pPr>
            <w:r>
              <w:rPr>
                <w:sz w:val="16"/>
                <w:szCs w:val="16"/>
              </w:rPr>
              <w:t>本和求也工程能工企业主要负责人，项口负责人和</w:t>
            </w:r>
            <w:r>
              <w:rPr>
                <w:sz w:val="16"/>
                <w:szCs w:val="16"/>
                <w:spacing w:val="12"/>
              </w:rPr>
              <w:t xml:space="preserve"> </w:t>
            </w:r>
            <w:r>
              <w:rPr>
                <w:sz w:val="16"/>
                <w:szCs w:val="16"/>
              </w:rPr>
              <w:t>专职安全生产管理人员安全生产考核食理办法  水</w:t>
            </w:r>
            <w:r>
              <w:rPr>
                <w:sz w:val="16"/>
                <w:szCs w:val="16"/>
                <w:spacing w:val="12"/>
              </w:rPr>
              <w:t xml:space="preserve"> </w:t>
            </w:r>
            <w:r>
              <w:rPr>
                <w:sz w:val="16"/>
                <w:szCs w:val="16"/>
              </w:rPr>
              <w:t>安盛(2015)874号，</w:t>
            </w:r>
          </w:p>
        </w:tc>
      </w:tr>
      <w:tr>
        <w:trPr>
          <w:trHeight w:val="439" w:hRule="atLeast"/>
        </w:trPr>
        <w:tc>
          <w:tcPr>
            <w:tcW w:w="594" w:type="dxa"/>
            <w:vAlign w:val="top"/>
          </w:tcPr>
          <w:p>
            <w:pPr>
              <w:pStyle w:val="TableText"/>
              <w:ind w:left="164"/>
              <w:spacing w:before="180" w:line="184" w:lineRule="auto"/>
              <w:rPr>
                <w:sz w:val="16"/>
                <w:szCs w:val="16"/>
              </w:rPr>
            </w:pPr>
            <w:r>
              <w:rPr>
                <w:sz w:val="16"/>
                <w:szCs w:val="16"/>
                <w:spacing w:val="-3"/>
              </w:rPr>
              <w:t>351</w:t>
            </w:r>
          </w:p>
        </w:tc>
        <w:tc>
          <w:tcPr>
            <w:tcW w:w="1279" w:type="dxa"/>
            <w:vAlign w:val="top"/>
          </w:tcPr>
          <w:p>
            <w:pPr>
              <w:pStyle w:val="TableText"/>
              <w:ind w:left="390"/>
              <w:spacing w:before="139" w:line="219" w:lineRule="auto"/>
              <w:rPr>
                <w:sz w:val="16"/>
                <w:szCs w:val="16"/>
              </w:rPr>
            </w:pPr>
            <w:r>
              <w:rPr>
                <w:sz w:val="16"/>
                <w:szCs w:val="16"/>
                <w:spacing w:val="-2"/>
              </w:rPr>
              <w:t>水利定</w:t>
            </w:r>
          </w:p>
        </w:tc>
        <w:tc>
          <w:tcPr>
            <w:tcW w:w="1648" w:type="dxa"/>
            <w:vAlign w:val="top"/>
          </w:tcPr>
          <w:p>
            <w:pPr>
              <w:pStyle w:val="TableText"/>
              <w:ind w:left="52" w:right="111" w:firstLine="39"/>
              <w:spacing w:before="68" w:line="208" w:lineRule="auto"/>
              <w:rPr>
                <w:sz w:val="16"/>
                <w:szCs w:val="16"/>
              </w:rPr>
            </w:pPr>
            <w:r>
              <w:rPr>
                <w:sz w:val="16"/>
                <w:szCs w:val="16"/>
                <w:spacing w:val="-1"/>
              </w:rPr>
              <w:t>表村基体经资组或修</w:t>
            </w:r>
            <w:r>
              <w:rPr>
                <w:sz w:val="16"/>
                <w:szCs w:val="16"/>
                <w:spacing w:val="2"/>
              </w:rPr>
              <w:t xml:space="preserve"> </w:t>
            </w:r>
            <w:r>
              <w:rPr>
                <w:sz w:val="16"/>
                <w:szCs w:val="16"/>
                <w:spacing w:val="-2"/>
              </w:rPr>
              <w:t>建水南密花</w:t>
            </w:r>
          </w:p>
        </w:tc>
        <w:tc>
          <w:tcPr>
            <w:tcW w:w="2367" w:type="dxa"/>
            <w:vAlign w:val="top"/>
          </w:tcPr>
          <w:p>
            <w:pPr>
              <w:pStyle w:val="TableText"/>
              <w:ind w:left="34" w:right="91"/>
              <w:spacing w:before="49" w:line="219" w:lineRule="auto"/>
              <w:rPr>
                <w:sz w:val="16"/>
                <w:szCs w:val="16"/>
              </w:rPr>
            </w:pPr>
            <w:r>
              <w:rPr>
                <w:sz w:val="16"/>
                <w:szCs w:val="16"/>
                <w:spacing w:val="-1"/>
              </w:rPr>
              <w:t>省酸、双红的市部，县观水利部</w:t>
            </w:r>
            <w:r>
              <w:rPr>
                <w:sz w:val="16"/>
                <w:szCs w:val="16"/>
                <w:spacing w:val="4"/>
              </w:rPr>
              <w:t xml:space="preserve"> </w:t>
            </w:r>
            <w:r>
              <w:rPr>
                <w:sz w:val="16"/>
                <w:szCs w:val="16"/>
              </w:rPr>
              <w:t>门</w:t>
            </w:r>
          </w:p>
        </w:tc>
        <w:tc>
          <w:tcPr>
            <w:tcW w:w="3701" w:type="dxa"/>
            <w:vAlign w:val="top"/>
          </w:tcPr>
          <w:p>
            <w:pPr>
              <w:pStyle w:val="TableText"/>
              <w:ind w:left="36"/>
              <w:spacing w:before="139" w:line="219" w:lineRule="auto"/>
              <w:rPr>
                <w:sz w:val="16"/>
                <w:szCs w:val="16"/>
              </w:rPr>
            </w:pPr>
            <w:r>
              <w:rPr>
                <w:sz w:val="16"/>
                <w:szCs w:val="16"/>
              </w:rPr>
              <w:t>中华人民共和国水法》</w:t>
            </w:r>
          </w:p>
        </w:tc>
      </w:tr>
      <w:tr>
        <w:trPr>
          <w:trHeight w:val="450" w:hRule="atLeast"/>
        </w:trPr>
        <w:tc>
          <w:tcPr>
            <w:tcW w:w="594" w:type="dxa"/>
            <w:vAlign w:val="top"/>
          </w:tcPr>
          <w:p>
            <w:pPr>
              <w:pStyle w:val="TableText"/>
              <w:ind w:left="164"/>
              <w:spacing w:before="191" w:line="183" w:lineRule="auto"/>
              <w:rPr>
                <w:sz w:val="16"/>
                <w:szCs w:val="16"/>
              </w:rPr>
            </w:pPr>
            <w:r>
              <w:rPr>
                <w:sz w:val="16"/>
                <w:szCs w:val="16"/>
                <w:spacing w:val="-1"/>
              </w:rPr>
              <w:t>MM2</w:t>
            </w:r>
          </w:p>
        </w:tc>
        <w:tc>
          <w:tcPr>
            <w:tcW w:w="1279" w:type="dxa"/>
            <w:vAlign w:val="top"/>
          </w:tcPr>
          <w:p>
            <w:pPr>
              <w:pStyle w:val="TableText"/>
              <w:ind w:left="390"/>
              <w:spacing w:before="150" w:line="219" w:lineRule="auto"/>
              <w:rPr>
                <w:sz w:val="16"/>
                <w:szCs w:val="16"/>
              </w:rPr>
            </w:pPr>
            <w:r>
              <w:rPr>
                <w:sz w:val="16"/>
                <w:szCs w:val="16"/>
                <w:spacing w:val="-2"/>
              </w:rPr>
              <w:t>求利部</w:t>
            </w:r>
          </w:p>
        </w:tc>
        <w:tc>
          <w:tcPr>
            <w:tcW w:w="1648" w:type="dxa"/>
            <w:vAlign w:val="top"/>
          </w:tcPr>
          <w:p>
            <w:pPr>
              <w:pStyle w:val="TableText"/>
              <w:ind w:left="52" w:right="66" w:firstLine="79"/>
              <w:spacing w:before="60" w:line="219" w:lineRule="auto"/>
              <w:rPr>
                <w:sz w:val="16"/>
                <w:szCs w:val="16"/>
              </w:rPr>
            </w:pPr>
            <w:r>
              <w:rPr>
                <w:sz w:val="16"/>
                <w:szCs w:val="16"/>
                <w:spacing w:val="-1"/>
              </w:rPr>
              <w:t>城市弥配址地京域。</w:t>
            </w:r>
            <w:r>
              <w:rPr>
                <w:sz w:val="16"/>
                <w:szCs w:val="16"/>
                <w:spacing w:val="7"/>
              </w:rPr>
              <w:t xml:space="preserve"> </w:t>
            </w:r>
            <w:r>
              <w:rPr>
                <w:sz w:val="16"/>
                <w:szCs w:val="16"/>
                <w:spacing w:val="-2"/>
              </w:rPr>
              <w:t>旋除患基市批</w:t>
            </w:r>
          </w:p>
        </w:tc>
        <w:tc>
          <w:tcPr>
            <w:tcW w:w="2367" w:type="dxa"/>
            <w:vAlign w:val="top"/>
          </w:tcPr>
          <w:p>
            <w:pPr>
              <w:pStyle w:val="TableText"/>
              <w:ind w:left="34" w:right="69" w:firstLine="20"/>
              <w:spacing w:before="70" w:line="213" w:lineRule="auto"/>
              <w:rPr>
                <w:sz w:val="16"/>
                <w:szCs w:val="16"/>
              </w:rPr>
            </w:pPr>
            <w:r>
              <w:rPr>
                <w:sz w:val="16"/>
                <w:szCs w:val="16"/>
                <w:spacing w:val="-1"/>
              </w:rPr>
              <w:t>重防市、设区的市级，县级政府</w:t>
            </w:r>
            <w:r>
              <w:rPr>
                <w:sz w:val="16"/>
                <w:szCs w:val="16"/>
                <w:spacing w:val="6"/>
              </w:rPr>
              <w:t xml:space="preserve"> </w:t>
            </w:r>
            <w:r>
              <w:rPr>
                <w:sz w:val="16"/>
                <w:szCs w:val="16"/>
                <w:spacing w:val="1"/>
              </w:rPr>
              <w:t>(由本利部门系办1</w:t>
            </w:r>
          </w:p>
        </w:tc>
        <w:tc>
          <w:tcPr>
            <w:tcW w:w="3701" w:type="dxa"/>
            <w:vAlign w:val="top"/>
          </w:tcPr>
          <w:p>
            <w:pPr>
              <w:pStyle w:val="TableText"/>
              <w:spacing w:before="150" w:line="219" w:lineRule="auto"/>
              <w:rPr>
                <w:sz w:val="16"/>
                <w:szCs w:val="16"/>
              </w:rPr>
            </w:pPr>
            <w:r>
              <w:rPr>
                <w:sz w:val="16"/>
                <w:szCs w:val="16"/>
                <w:spacing w:val="-5"/>
              </w:rPr>
              <w:t>《中些人民共阳国的燥法》</w:t>
            </w:r>
          </w:p>
        </w:tc>
      </w:tr>
      <w:tr>
        <w:trPr>
          <w:trHeight w:val="449" w:hRule="atLeast"/>
        </w:trPr>
        <w:tc>
          <w:tcPr>
            <w:tcW w:w="594" w:type="dxa"/>
            <w:vAlign w:val="top"/>
          </w:tcPr>
          <w:p>
            <w:pPr>
              <w:pStyle w:val="TableText"/>
              <w:ind w:left="164"/>
              <w:spacing w:before="191" w:line="183" w:lineRule="auto"/>
              <w:rPr>
                <w:sz w:val="16"/>
                <w:szCs w:val="16"/>
              </w:rPr>
            </w:pPr>
            <w:r>
              <w:rPr>
                <w:sz w:val="16"/>
                <w:szCs w:val="16"/>
                <w:spacing w:val="-2"/>
              </w:rPr>
              <w:t>063</w:t>
            </w:r>
          </w:p>
        </w:tc>
        <w:tc>
          <w:tcPr>
            <w:tcW w:w="1279" w:type="dxa"/>
            <w:vAlign w:val="top"/>
          </w:tcPr>
          <w:p>
            <w:pPr>
              <w:pStyle w:val="TableText"/>
              <w:ind w:left="390"/>
              <w:spacing w:before="149" w:line="219" w:lineRule="auto"/>
              <w:rPr>
                <w:sz w:val="16"/>
                <w:szCs w:val="16"/>
              </w:rPr>
            </w:pPr>
            <w:r>
              <w:rPr>
                <w:sz w:val="16"/>
                <w:szCs w:val="16"/>
                <w:spacing w:val="-2"/>
              </w:rPr>
              <w:t>本机想</w:t>
            </w:r>
          </w:p>
        </w:tc>
        <w:tc>
          <w:tcPr>
            <w:tcW w:w="1648" w:type="dxa"/>
            <w:vAlign w:val="top"/>
          </w:tcPr>
          <w:p>
            <w:pPr>
              <w:pStyle w:val="TableText"/>
              <w:ind w:left="62" w:right="66" w:firstLine="69"/>
              <w:spacing w:before="49" w:line="220" w:lineRule="auto"/>
              <w:rPr>
                <w:sz w:val="16"/>
                <w:szCs w:val="16"/>
              </w:rPr>
            </w:pPr>
            <w:r>
              <w:rPr>
                <w:sz w:val="16"/>
                <w:szCs w:val="16"/>
              </w:rPr>
              <w:t>占用农卷烟我本源， </w:t>
            </w:r>
            <w:r>
              <w:rPr>
                <w:sz w:val="16"/>
                <w:szCs w:val="16"/>
                <w:spacing w:val="-1"/>
              </w:rPr>
              <w:t>准牌工程段路审批</w:t>
            </w:r>
          </w:p>
        </w:tc>
        <w:tc>
          <w:tcPr>
            <w:tcW w:w="2367" w:type="dxa"/>
            <w:vAlign w:val="top"/>
          </w:tcPr>
          <w:p>
            <w:pPr>
              <w:pStyle w:val="TableText"/>
              <w:ind w:left="34" w:right="71" w:firstLine="20"/>
              <w:spacing w:before="50" w:line="224" w:lineRule="auto"/>
              <w:rPr>
                <w:sz w:val="16"/>
                <w:szCs w:val="16"/>
              </w:rPr>
            </w:pPr>
            <w:r>
              <w:rPr>
                <w:sz w:val="16"/>
                <w:szCs w:val="16"/>
                <w:spacing w:val="-1"/>
              </w:rPr>
              <w:t>省烟，设区的市酸，县暂水利都</w:t>
            </w:r>
            <w:r>
              <w:rPr>
                <w:sz w:val="16"/>
                <w:szCs w:val="16"/>
                <w:spacing w:val="4"/>
              </w:rPr>
              <w:t xml:space="preserve"> </w:t>
            </w:r>
            <w:r>
              <w:rPr>
                <w:sz w:val="16"/>
                <w:szCs w:val="16"/>
                <w:spacing w:val="-2"/>
              </w:rPr>
              <w:t>/1</w:t>
            </w:r>
          </w:p>
        </w:tc>
        <w:tc>
          <w:tcPr>
            <w:tcW w:w="3701" w:type="dxa"/>
            <w:vAlign w:val="top"/>
          </w:tcPr>
          <w:p>
            <w:pPr>
              <w:pStyle w:val="TableText"/>
              <w:ind w:left="79" w:right="227" w:hanging="79"/>
              <w:spacing w:before="49" w:line="219" w:lineRule="auto"/>
              <w:rPr>
                <w:sz w:val="16"/>
                <w:szCs w:val="16"/>
              </w:rPr>
            </w:pPr>
            <w:r>
              <w:rPr>
                <w:sz w:val="16"/>
                <w:szCs w:val="16"/>
                <w:spacing w:val="-3"/>
              </w:rPr>
              <w:t>《闲务院刚动需保票的行政审批项目设定行收许可</w:t>
            </w:r>
            <w:r>
              <w:rPr>
                <w:sz w:val="16"/>
                <w:szCs w:val="16"/>
                <w:spacing w:val="8"/>
              </w:rPr>
              <w:t xml:space="preserve"> </w:t>
            </w:r>
            <w:r>
              <w:rPr>
                <w:sz w:val="16"/>
                <w:szCs w:val="16"/>
              </w:rPr>
              <w:t>的虎变</w:t>
            </w:r>
          </w:p>
        </w:tc>
      </w:tr>
      <w:tr>
        <w:trPr>
          <w:trHeight w:val="439" w:hRule="atLeast"/>
        </w:trPr>
        <w:tc>
          <w:tcPr>
            <w:tcW w:w="594" w:type="dxa"/>
            <w:vAlign w:val="top"/>
          </w:tcPr>
          <w:p>
            <w:pPr>
              <w:pStyle w:val="TableText"/>
              <w:ind w:left="164"/>
              <w:spacing w:before="182" w:line="183" w:lineRule="auto"/>
              <w:rPr>
                <w:sz w:val="16"/>
                <w:szCs w:val="16"/>
              </w:rPr>
            </w:pPr>
            <w:r>
              <w:rPr>
                <w:sz w:val="16"/>
                <w:szCs w:val="16"/>
                <w:spacing w:val="-3"/>
              </w:rPr>
              <w:t>354</w:t>
            </w:r>
          </w:p>
        </w:tc>
        <w:tc>
          <w:tcPr>
            <w:tcW w:w="1279" w:type="dxa"/>
            <w:vAlign w:val="top"/>
          </w:tcPr>
          <w:p>
            <w:pPr>
              <w:pStyle w:val="TableText"/>
              <w:ind w:left="390"/>
              <w:spacing w:before="144" w:line="222" w:lineRule="auto"/>
              <w:rPr>
                <w:sz w:val="16"/>
                <w:szCs w:val="16"/>
              </w:rPr>
            </w:pPr>
            <w:r>
              <w:rPr>
                <w:sz w:val="16"/>
                <w:szCs w:val="16"/>
                <w:spacing w:val="-2"/>
              </w:rPr>
              <w:t>永彩配</w:t>
            </w:r>
          </w:p>
        </w:tc>
        <w:tc>
          <w:tcPr>
            <w:tcW w:w="1648" w:type="dxa"/>
            <w:vAlign w:val="top"/>
          </w:tcPr>
          <w:p>
            <w:pPr>
              <w:pStyle w:val="TableText"/>
              <w:ind w:left="62" w:right="152" w:firstLine="69"/>
              <w:spacing w:before="51" w:line="218" w:lineRule="auto"/>
              <w:rPr>
                <w:sz w:val="16"/>
                <w:szCs w:val="16"/>
              </w:rPr>
            </w:pPr>
            <w:r>
              <w:rPr>
                <w:sz w:val="16"/>
                <w:szCs w:val="16"/>
                <w:spacing w:val="-1"/>
              </w:rPr>
              <w:t>利I望顶，该有票你</w:t>
            </w:r>
            <w:r>
              <w:rPr>
                <w:sz w:val="16"/>
                <w:szCs w:val="16"/>
                <w:spacing w:val="1"/>
              </w:rPr>
              <w:t xml:space="preserve"> </w:t>
            </w:r>
            <w:r>
              <w:rPr>
                <w:sz w:val="16"/>
                <w:szCs w:val="16"/>
                <w:spacing w:val="-3"/>
              </w:rPr>
              <w:t>公易审筑</w:t>
            </w:r>
          </w:p>
        </w:tc>
        <w:tc>
          <w:tcPr>
            <w:tcW w:w="2367" w:type="dxa"/>
            <w:vAlign w:val="top"/>
          </w:tcPr>
          <w:p>
            <w:pPr>
              <w:pStyle w:val="TableText"/>
              <w:ind w:left="34" w:right="69" w:firstLine="20"/>
              <w:spacing w:before="51" w:line="218" w:lineRule="auto"/>
              <w:rPr>
                <w:sz w:val="16"/>
                <w:szCs w:val="16"/>
              </w:rPr>
            </w:pPr>
            <w:r>
              <w:rPr>
                <w:sz w:val="16"/>
                <w:szCs w:val="16"/>
                <w:spacing w:val="-1"/>
              </w:rPr>
              <w:t>岩被，成试的市战，瓜级有道主</w:t>
            </w:r>
            <w:r>
              <w:rPr>
                <w:sz w:val="16"/>
                <w:szCs w:val="16"/>
                <w:spacing w:val="6"/>
              </w:rPr>
              <w:t xml:space="preserve"> </w:t>
            </w:r>
            <w:r>
              <w:rPr>
                <w:sz w:val="16"/>
                <w:szCs w:val="16"/>
                <w:spacing w:val="-3"/>
              </w:rPr>
              <w:t>管机关</w:t>
            </w:r>
          </w:p>
        </w:tc>
        <w:tc>
          <w:tcPr>
            <w:tcW w:w="3701" w:type="dxa"/>
            <w:vAlign w:val="top"/>
          </w:tcPr>
          <w:p>
            <w:pPr>
              <w:pStyle w:val="TableText"/>
              <w:ind w:left="36"/>
              <w:spacing w:before="141" w:line="219" w:lineRule="auto"/>
              <w:rPr>
                <w:sz w:val="16"/>
                <w:szCs w:val="16"/>
              </w:rPr>
            </w:pPr>
            <w:r>
              <w:rPr>
                <w:sz w:val="16"/>
                <w:szCs w:val="16"/>
                <w:spacing w:val="-1"/>
              </w:rPr>
              <w:t>有中华人民共和国河道管理走例》</w:t>
            </w:r>
          </w:p>
        </w:tc>
      </w:tr>
      <w:tr>
        <w:trPr>
          <w:trHeight w:val="449" w:hRule="atLeast"/>
        </w:trPr>
        <w:tc>
          <w:tcPr>
            <w:tcW w:w="594" w:type="dxa"/>
            <w:vAlign w:val="top"/>
          </w:tcPr>
          <w:p>
            <w:pPr>
              <w:pStyle w:val="TableText"/>
              <w:ind w:left="164"/>
              <w:spacing w:before="193" w:line="183" w:lineRule="auto"/>
              <w:rPr>
                <w:sz w:val="16"/>
                <w:szCs w:val="16"/>
              </w:rPr>
            </w:pPr>
            <w:r>
              <w:rPr>
                <w:sz w:val="16"/>
                <w:szCs w:val="16"/>
                <w:spacing w:val="-3"/>
              </w:rPr>
              <w:t>385</w:t>
            </w:r>
          </w:p>
        </w:tc>
        <w:tc>
          <w:tcPr>
            <w:tcW w:w="1279" w:type="dxa"/>
            <w:vAlign w:val="top"/>
          </w:tcPr>
          <w:p>
            <w:pPr>
              <w:pStyle w:val="TableText"/>
              <w:ind w:left="390"/>
              <w:spacing w:before="153" w:line="221" w:lineRule="auto"/>
              <w:rPr>
                <w:sz w:val="16"/>
                <w:szCs w:val="16"/>
              </w:rPr>
            </w:pPr>
            <w:r>
              <w:rPr>
                <w:sz w:val="16"/>
                <w:szCs w:val="16"/>
                <w:spacing w:val="5"/>
              </w:rPr>
              <w:t>永利圆</w:t>
            </w:r>
          </w:p>
        </w:tc>
        <w:tc>
          <w:tcPr>
            <w:tcW w:w="1648" w:type="dxa"/>
            <w:vAlign w:val="top"/>
          </w:tcPr>
          <w:p>
            <w:pPr>
              <w:pStyle w:val="TableText"/>
              <w:ind w:left="42"/>
              <w:spacing w:before="152" w:line="219" w:lineRule="auto"/>
              <w:rPr>
                <w:sz w:val="16"/>
                <w:szCs w:val="16"/>
              </w:rPr>
            </w:pPr>
            <w:r>
              <w:rPr>
                <w:sz w:val="16"/>
                <w:szCs w:val="16"/>
                <w:spacing w:val="-1"/>
              </w:rPr>
              <w:t>坦顶油险公汽市批</w:t>
            </w:r>
          </w:p>
        </w:tc>
        <w:tc>
          <w:tcPr>
            <w:tcW w:w="2367" w:type="dxa"/>
            <w:vAlign w:val="top"/>
          </w:tcPr>
          <w:p>
            <w:pPr>
              <w:pStyle w:val="TableText"/>
              <w:ind w:left="34" w:right="41" w:firstLine="49"/>
              <w:spacing w:before="63" w:line="213" w:lineRule="auto"/>
              <w:rPr>
                <w:sz w:val="16"/>
                <w:szCs w:val="16"/>
              </w:rPr>
            </w:pPr>
            <w:r>
              <w:rPr>
                <w:sz w:val="16"/>
                <w:szCs w:val="16"/>
                <w:spacing w:val="-1"/>
              </w:rPr>
              <w:t>省级：设区的而级，耳组大相主</w:t>
            </w:r>
            <w:r>
              <w:rPr>
                <w:sz w:val="16"/>
                <w:szCs w:val="16"/>
                <w:spacing w:val="4"/>
              </w:rPr>
              <w:t xml:space="preserve"> </w:t>
            </w:r>
            <w:r>
              <w:rPr>
                <w:sz w:val="16"/>
                <w:szCs w:val="16"/>
                <w:spacing w:val="6"/>
              </w:rPr>
              <w:t>管息门</w:t>
            </w:r>
          </w:p>
        </w:tc>
        <w:tc>
          <w:tcPr>
            <w:tcW w:w="3701" w:type="dxa"/>
            <w:vAlign w:val="top"/>
          </w:tcPr>
          <w:p>
            <w:pPr>
              <w:pStyle w:val="TableText"/>
              <w:spacing w:before="152" w:line="219" w:lineRule="auto"/>
              <w:rPr>
                <w:sz w:val="16"/>
                <w:szCs w:val="16"/>
              </w:rPr>
            </w:pPr>
            <w:r>
              <w:rPr>
                <w:sz w:val="16"/>
                <w:szCs w:val="16"/>
                <w:spacing w:val="3"/>
              </w:rPr>
              <w:t>《水库大圳安全管理备钢】</w:t>
            </w:r>
          </w:p>
        </w:tc>
      </w:tr>
      <w:tr>
        <w:trPr>
          <w:trHeight w:val="459" w:hRule="atLeast"/>
        </w:trPr>
        <w:tc>
          <w:tcPr>
            <w:tcW w:w="594" w:type="dxa"/>
            <w:vAlign w:val="top"/>
          </w:tcPr>
          <w:p>
            <w:pPr>
              <w:pStyle w:val="TableText"/>
              <w:ind w:left="164"/>
              <w:spacing w:before="194" w:line="184" w:lineRule="auto"/>
              <w:rPr>
                <w:sz w:val="16"/>
                <w:szCs w:val="16"/>
              </w:rPr>
            </w:pPr>
            <w:r>
              <w:rPr>
                <w:sz w:val="16"/>
                <w:szCs w:val="16"/>
                <w:spacing w:val="-5"/>
              </w:rPr>
              <w:t>155</w:t>
            </w:r>
          </w:p>
        </w:tc>
        <w:tc>
          <w:tcPr>
            <w:tcW w:w="1279" w:type="dxa"/>
            <w:vAlign w:val="top"/>
          </w:tcPr>
          <w:p>
            <w:pPr>
              <w:pStyle w:val="TableText"/>
              <w:ind w:left="390"/>
              <w:spacing w:before="153" w:line="219" w:lineRule="auto"/>
              <w:rPr>
                <w:sz w:val="16"/>
                <w:szCs w:val="16"/>
              </w:rPr>
            </w:pPr>
            <w:r>
              <w:rPr>
                <w:sz w:val="16"/>
                <w:szCs w:val="16"/>
                <w:spacing w:val="-2"/>
              </w:rPr>
              <w:t>水礼部</w:t>
            </w:r>
          </w:p>
        </w:tc>
        <w:tc>
          <w:tcPr>
            <w:tcW w:w="1648" w:type="dxa"/>
            <w:vAlign w:val="top"/>
          </w:tcPr>
          <w:p>
            <w:pPr>
              <w:pStyle w:val="TableText"/>
              <w:ind w:left="42" w:right="112" w:firstLine="49"/>
              <w:spacing w:before="53" w:line="226" w:lineRule="auto"/>
              <w:rPr>
                <w:sz w:val="16"/>
                <w:szCs w:val="16"/>
              </w:rPr>
            </w:pPr>
            <w:r>
              <w:rPr>
                <w:sz w:val="16"/>
                <w:szCs w:val="16"/>
                <w:spacing w:val="-1"/>
              </w:rPr>
              <w:t>器障例氏合供设监建</w:t>
            </w:r>
            <w:r>
              <w:rPr>
                <w:sz w:val="16"/>
                <w:szCs w:val="16"/>
                <w:spacing w:val="1"/>
              </w:rPr>
              <w:t xml:space="preserve"> </w:t>
            </w:r>
            <w:r>
              <w:rPr>
                <w:sz w:val="16"/>
                <w:szCs w:val="16"/>
                <w:spacing w:val="-2"/>
              </w:rPr>
              <w:t>设审畏</w:t>
            </w:r>
          </w:p>
        </w:tc>
        <w:tc>
          <w:tcPr>
            <w:tcW w:w="2367" w:type="dxa"/>
            <w:vAlign w:val="top"/>
          </w:tcPr>
          <w:p>
            <w:pPr>
              <w:pStyle w:val="TableText"/>
              <w:ind w:left="34" w:right="81" w:firstLine="10"/>
              <w:spacing w:before="43" w:line="234" w:lineRule="auto"/>
              <w:rPr>
                <w:sz w:val="16"/>
                <w:szCs w:val="16"/>
              </w:rPr>
            </w:pPr>
            <w:r>
              <w:rPr>
                <w:sz w:val="16"/>
                <w:szCs w:val="16"/>
                <w:spacing w:val="-1"/>
              </w:rPr>
              <w:t>省级，设区的市最，县信水我皇</w:t>
            </w:r>
            <w:r>
              <w:rPr>
                <w:sz w:val="16"/>
                <w:szCs w:val="16"/>
                <w:spacing w:val="4"/>
              </w:rPr>
              <w:t xml:space="preserve"> </w:t>
            </w:r>
            <w:r>
              <w:rPr>
                <w:sz w:val="16"/>
                <w:szCs w:val="16"/>
              </w:rPr>
              <w:t>1</w:t>
            </w:r>
          </w:p>
        </w:tc>
        <w:tc>
          <w:tcPr>
            <w:tcW w:w="3701" w:type="dxa"/>
            <w:vAlign w:val="top"/>
          </w:tcPr>
          <w:p>
            <w:pPr>
              <w:pStyle w:val="TableText"/>
              <w:ind w:left="69" w:right="217" w:hanging="69"/>
              <w:spacing w:before="53" w:line="228" w:lineRule="auto"/>
              <w:rPr>
                <w:sz w:val="16"/>
                <w:szCs w:val="16"/>
              </w:rPr>
            </w:pPr>
            <w:r>
              <w:rPr>
                <w:sz w:val="16"/>
                <w:szCs w:val="16"/>
                <w:spacing w:val="-3"/>
              </w:rPr>
              <w:t>《团务院对确需保罪的石政市批硝目没定行政许可</w:t>
            </w:r>
            <w:r>
              <w:rPr>
                <w:sz w:val="16"/>
                <w:szCs w:val="16"/>
                <w:spacing w:val="18"/>
              </w:rPr>
              <w:t xml:space="preserve"> </w:t>
            </w:r>
            <w:r>
              <w:rPr>
                <w:sz w:val="16"/>
                <w:szCs w:val="16"/>
                <w:spacing w:val="2"/>
              </w:rPr>
              <w:t>的决定1</w:t>
            </w:r>
          </w:p>
        </w:tc>
      </w:tr>
      <w:tr>
        <w:trPr>
          <w:trHeight w:val="439" w:hRule="atLeast"/>
        </w:trPr>
        <w:tc>
          <w:tcPr>
            <w:tcW w:w="594" w:type="dxa"/>
            <w:vAlign w:val="top"/>
          </w:tcPr>
          <w:p>
            <w:pPr>
              <w:pStyle w:val="TableText"/>
              <w:ind w:left="164"/>
              <w:spacing w:before="185" w:line="183" w:lineRule="auto"/>
              <w:rPr>
                <w:sz w:val="16"/>
                <w:szCs w:val="16"/>
              </w:rPr>
            </w:pPr>
            <w:r>
              <w:rPr>
                <w:sz w:val="16"/>
                <w:szCs w:val="16"/>
                <w:spacing w:val="-3"/>
              </w:rPr>
              <w:t>357</w:t>
            </w:r>
          </w:p>
        </w:tc>
        <w:tc>
          <w:tcPr>
            <w:tcW w:w="1279" w:type="dxa"/>
            <w:vAlign w:val="top"/>
          </w:tcPr>
          <w:p>
            <w:pPr>
              <w:pStyle w:val="TableText"/>
              <w:ind w:left="390"/>
              <w:spacing w:before="144" w:line="219" w:lineRule="auto"/>
              <w:rPr>
                <w:sz w:val="16"/>
                <w:szCs w:val="16"/>
              </w:rPr>
            </w:pPr>
            <w:r>
              <w:rPr>
                <w:sz w:val="16"/>
                <w:szCs w:val="16"/>
                <w:spacing w:val="-2"/>
              </w:rPr>
              <w:t>水载器</w:t>
            </w:r>
          </w:p>
        </w:tc>
        <w:tc>
          <w:tcPr>
            <w:tcW w:w="1648" w:type="dxa"/>
            <w:vAlign w:val="top"/>
          </w:tcPr>
          <w:p>
            <w:pPr>
              <w:pStyle w:val="TableText"/>
              <w:ind w:left="62" w:right="114" w:firstLine="29"/>
              <w:spacing w:before="64" w:line="208" w:lineRule="auto"/>
              <w:rPr>
                <w:sz w:val="16"/>
                <w:szCs w:val="16"/>
              </w:rPr>
            </w:pPr>
            <w:r>
              <w:rPr>
                <w:sz w:val="16"/>
                <w:szCs w:val="16"/>
                <w:spacing w:val="-1"/>
              </w:rPr>
              <w:t>大中型本利水电工程</w:t>
            </w:r>
            <w:r>
              <w:rPr>
                <w:sz w:val="16"/>
                <w:szCs w:val="16"/>
              </w:rPr>
              <w:t xml:space="preserve"> </w:t>
            </w:r>
            <w:r>
              <w:rPr>
                <w:sz w:val="16"/>
                <w:szCs w:val="16"/>
                <w:spacing w:val="-1"/>
              </w:rPr>
              <w:t>移民安管规刘面耗</w:t>
            </w:r>
          </w:p>
        </w:tc>
        <w:tc>
          <w:tcPr>
            <w:tcW w:w="2367" w:type="dxa"/>
            <w:vAlign w:val="top"/>
          </w:tcPr>
          <w:p>
            <w:pPr>
              <w:pStyle w:val="TableText"/>
              <w:ind w:left="34"/>
              <w:spacing w:before="143" w:line="219" w:lineRule="auto"/>
              <w:rPr>
                <w:sz w:val="16"/>
                <w:szCs w:val="16"/>
              </w:rPr>
            </w:pPr>
            <w:r>
              <w:rPr>
                <w:sz w:val="16"/>
                <w:szCs w:val="16"/>
                <w:spacing w:val="-1"/>
              </w:rPr>
              <w:t>答说厚民管理机执</w:t>
            </w:r>
          </w:p>
        </w:tc>
        <w:tc>
          <w:tcPr>
            <w:tcW w:w="3701" w:type="dxa"/>
            <w:vAlign w:val="top"/>
          </w:tcPr>
          <w:p>
            <w:pPr>
              <w:pStyle w:val="TableText"/>
              <w:ind w:left="69" w:right="123" w:hanging="69"/>
              <w:spacing w:before="44" w:line="222" w:lineRule="auto"/>
              <w:rPr>
                <w:sz w:val="16"/>
                <w:szCs w:val="16"/>
              </w:rPr>
            </w:pPr>
            <w:r>
              <w:rPr>
                <w:sz w:val="16"/>
                <w:szCs w:val="16"/>
                <w:spacing w:val="2"/>
              </w:rPr>
              <w:t>【大中星水利水电工程业政花输补国和感民安置茶 </w:t>
            </w:r>
            <w:r>
              <w:rPr>
                <w:sz w:val="16"/>
                <w:szCs w:val="16"/>
                <w:spacing w:val="6"/>
              </w:rPr>
              <w:t>铜1</w:t>
            </w:r>
          </w:p>
        </w:tc>
      </w:tr>
      <w:tr>
        <w:trPr>
          <w:trHeight w:val="724" w:hRule="atLeast"/>
        </w:trPr>
        <w:tc>
          <w:tcPr>
            <w:tcW w:w="594" w:type="dxa"/>
            <w:vAlign w:val="top"/>
          </w:tcPr>
          <w:p>
            <w:pPr>
              <w:spacing w:line="272" w:lineRule="auto"/>
              <w:rPr>
                <w:rFonts w:ascii="Arial"/>
                <w:sz w:val="21"/>
              </w:rPr>
            </w:pPr>
            <w:r/>
          </w:p>
          <w:p>
            <w:pPr>
              <w:pStyle w:val="TableText"/>
              <w:ind w:left="164"/>
              <w:spacing w:before="52" w:line="184" w:lineRule="auto"/>
              <w:rPr>
                <w:sz w:val="16"/>
                <w:szCs w:val="16"/>
              </w:rPr>
            </w:pPr>
            <w:r>
              <w:rPr>
                <w:sz w:val="16"/>
                <w:szCs w:val="16"/>
                <w:spacing w:val="-5"/>
              </w:rPr>
              <w:t>158</w:t>
            </w:r>
          </w:p>
        </w:tc>
        <w:tc>
          <w:tcPr>
            <w:tcW w:w="1279" w:type="dxa"/>
            <w:vAlign w:val="top"/>
          </w:tcPr>
          <w:p>
            <w:pPr>
              <w:pStyle w:val="TableText"/>
              <w:ind w:left="390"/>
              <w:spacing w:before="285" w:line="219" w:lineRule="auto"/>
              <w:rPr>
                <w:sz w:val="16"/>
                <w:szCs w:val="16"/>
              </w:rPr>
            </w:pPr>
            <w:r>
              <w:rPr>
                <w:sz w:val="16"/>
                <w:szCs w:val="16"/>
                <w:spacing w:val="-2"/>
              </w:rPr>
              <w:t>水利部</w:t>
            </w:r>
          </w:p>
        </w:tc>
        <w:tc>
          <w:tcPr>
            <w:tcW w:w="1648" w:type="dxa"/>
            <w:vAlign w:val="top"/>
          </w:tcPr>
          <w:p>
            <w:pPr>
              <w:pStyle w:val="TableText"/>
              <w:ind w:left="32" w:right="91" w:firstLine="59"/>
              <w:spacing w:before="96" w:line="225" w:lineRule="auto"/>
              <w:jc w:val="both"/>
              <w:rPr>
                <w:sz w:val="16"/>
                <w:szCs w:val="16"/>
              </w:rPr>
            </w:pPr>
            <w:r>
              <w:rPr>
                <w:sz w:val="16"/>
                <w:szCs w:val="16"/>
                <w:spacing w:val="1"/>
              </w:rPr>
              <w:t>大填查理和保护范围</w:t>
            </w:r>
            <w:r>
              <w:rPr>
                <w:sz w:val="16"/>
                <w:szCs w:val="16"/>
                <w:spacing w:val="5"/>
              </w:rPr>
              <w:t xml:space="preserve"> </w:t>
            </w:r>
            <w:r>
              <w:rPr>
                <w:sz w:val="16"/>
                <w:szCs w:val="16"/>
                <w:spacing w:val="7"/>
              </w:rPr>
              <w:t>内你座码头、幽功许</w:t>
            </w:r>
            <w:r>
              <w:rPr>
                <w:sz w:val="16"/>
                <w:szCs w:val="16"/>
                <w:spacing w:val="2"/>
              </w:rPr>
              <w:t xml:space="preserve"> </w:t>
            </w:r>
            <w:r>
              <w:rPr>
                <w:sz w:val="16"/>
                <w:szCs w:val="16"/>
              </w:rPr>
              <w:t>可</w:t>
            </w:r>
          </w:p>
        </w:tc>
        <w:tc>
          <w:tcPr>
            <w:tcW w:w="2367" w:type="dxa"/>
            <w:vAlign w:val="top"/>
          </w:tcPr>
          <w:p>
            <w:pPr>
              <w:pStyle w:val="TableText"/>
              <w:ind w:left="34" w:firstLine="38"/>
              <w:spacing w:before="104" w:line="231" w:lineRule="auto"/>
              <w:jc w:val="both"/>
              <w:rPr>
                <w:sz w:val="16"/>
                <w:szCs w:val="16"/>
              </w:rPr>
            </w:pPr>
            <w:r>
              <w:rPr>
                <w:sz w:val="16"/>
                <w:szCs w:val="16"/>
                <w:spacing w:val="-18"/>
              </w:rPr>
              <w:t>本利部；本利部长江，如河，再词，</w:t>
            </w:r>
            <w:r>
              <w:rPr>
                <w:sz w:val="16"/>
                <w:szCs w:val="16"/>
                <w:spacing w:val="11"/>
              </w:rPr>
              <w:t xml:space="preserve"> </w:t>
            </w:r>
            <w:r>
              <w:rPr>
                <w:sz w:val="16"/>
                <w:szCs w:val="16"/>
                <w:spacing w:val="-10"/>
              </w:rPr>
              <w:t>我江、松江求利美负会；省缓，设</w:t>
            </w:r>
            <w:r>
              <w:rPr>
                <w:sz w:val="16"/>
                <w:szCs w:val="16"/>
              </w:rPr>
              <w:t xml:space="preserve">  </w:t>
            </w:r>
            <w:r>
              <w:rPr>
                <w:sz w:val="16"/>
                <w:szCs w:val="16"/>
                <w:spacing w:val="-4"/>
              </w:rPr>
              <w:t>区的南线，县极大规主管部门</w:t>
            </w:r>
          </w:p>
        </w:tc>
        <w:tc>
          <w:tcPr>
            <w:tcW w:w="3701" w:type="dxa"/>
            <w:vAlign w:val="top"/>
          </w:tcPr>
          <w:p>
            <w:pPr>
              <w:pStyle w:val="TableText"/>
              <w:spacing w:before="285" w:line="219" w:lineRule="auto"/>
              <w:rPr>
                <w:sz w:val="16"/>
                <w:szCs w:val="16"/>
              </w:rPr>
            </w:pPr>
            <w:r>
              <w:rPr>
                <w:sz w:val="16"/>
                <w:szCs w:val="16"/>
                <w:spacing w:val="-4"/>
              </w:rPr>
              <w:t>《水店大填安全管理态例：</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62016" behindDoc="0" locked="0" layoutInCell="0" allowOverlap="1">
                <wp:simplePos x="0" y="0"/>
                <wp:positionH relativeFrom="page">
                  <wp:posOffset>455354</wp:posOffset>
                </wp:positionH>
                <wp:positionV relativeFrom="page">
                  <wp:posOffset>624549</wp:posOffset>
                </wp:positionV>
                <wp:extent cx="182245" cy="165100"/>
                <wp:effectExtent l="0" t="0" r="0" b="0"/>
                <wp:wrapNone/>
                <wp:docPr id="242" name="TextBox 242"/>
                <wp:cNvGraphicFramePr/>
                <a:graphic>
                  <a:graphicData uri="http://schemas.microsoft.com/office/word/2010/wordprocessingShape">
                    <wps:wsp>
                      <wps:cNvSpPr txBox="1"/>
                      <wps:spPr>
                        <a:xfrm rot="5400000">
                          <a:off x="455354" y="624549"/>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4" style="position:absolute;margin-left:35.8547pt;margin-top:49.1771pt;mso-position-vertical-relative:page;mso-position-horizontal-relative:page;width:14.35pt;height:13pt;z-index:251862016;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202</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中央主登部门</w:t>
            </w:r>
          </w:p>
        </w:tc>
        <w:tc>
          <w:tcPr>
            <w:tcW w:w="1638" w:type="dxa"/>
            <w:vAlign w:val="top"/>
          </w:tcPr>
          <w:p>
            <w:pPr>
              <w:pStyle w:val="TableText"/>
              <w:ind w:left="461"/>
              <w:spacing w:before="132" w:line="220" w:lineRule="auto"/>
              <w:rPr>
                <w:sz w:val="16"/>
                <w:szCs w:val="16"/>
              </w:rPr>
            </w:pPr>
            <w:r>
              <w:rPr>
                <w:sz w:val="16"/>
                <w:szCs w:val="16"/>
                <w:spacing w:val="-2"/>
              </w:rPr>
              <w:t>事项名称</w:t>
            </w:r>
          </w:p>
        </w:tc>
        <w:tc>
          <w:tcPr>
            <w:tcW w:w="2377" w:type="dxa"/>
            <w:vAlign w:val="top"/>
          </w:tcPr>
          <w:p>
            <w:pPr>
              <w:pStyle w:val="TableText"/>
              <w:ind w:left="836"/>
              <w:spacing w:before="128" w:line="219" w:lineRule="auto"/>
              <w:rPr>
                <w:sz w:val="16"/>
                <w:szCs w:val="16"/>
              </w:rPr>
            </w:pPr>
            <w:r>
              <w:rPr>
                <w:sz w:val="16"/>
                <w:szCs w:val="16"/>
                <w:b/>
                <w:bCs/>
                <w:spacing w:val="-4"/>
              </w:rPr>
              <w:t>实雄机关</w:t>
            </w:r>
          </w:p>
        </w:tc>
        <w:tc>
          <w:tcPr>
            <w:tcW w:w="3711" w:type="dxa"/>
            <w:vAlign w:val="top"/>
          </w:tcPr>
          <w:p>
            <w:pPr>
              <w:pStyle w:val="TableText"/>
              <w:ind w:left="1269"/>
              <w:spacing w:before="128" w:line="219" w:lineRule="auto"/>
              <w:rPr>
                <w:sz w:val="16"/>
                <w:szCs w:val="16"/>
              </w:rPr>
            </w:pPr>
            <w:r>
              <w:rPr>
                <w:sz w:val="16"/>
                <w:szCs w:val="16"/>
                <w:b/>
                <w:bCs/>
                <w:spacing w:val="-3"/>
              </w:rPr>
              <w:t>设定和实施依那</w:t>
            </w:r>
          </w:p>
        </w:tc>
      </w:tr>
      <w:tr>
        <w:trPr>
          <w:trHeight w:val="459" w:hRule="atLeast"/>
        </w:trPr>
        <w:tc>
          <w:tcPr>
            <w:tcW w:w="574" w:type="dxa"/>
            <w:vAlign w:val="top"/>
          </w:tcPr>
          <w:p>
            <w:pPr>
              <w:pStyle w:val="TableText"/>
              <w:ind w:left="154"/>
              <w:spacing w:before="167" w:line="183" w:lineRule="auto"/>
              <w:rPr>
                <w:sz w:val="16"/>
                <w:szCs w:val="16"/>
              </w:rPr>
            </w:pPr>
            <w:r>
              <w:rPr>
                <w:sz w:val="16"/>
                <w:szCs w:val="16"/>
                <w:spacing w:val="-3"/>
              </w:rPr>
              <w:t>35y</w:t>
            </w:r>
          </w:p>
        </w:tc>
        <w:tc>
          <w:tcPr>
            <w:tcW w:w="1299" w:type="dxa"/>
            <w:vAlign w:val="top"/>
          </w:tcPr>
          <w:p>
            <w:pPr>
              <w:pStyle w:val="TableText"/>
              <w:ind w:left="400"/>
              <w:spacing w:before="146" w:line="219" w:lineRule="auto"/>
              <w:rPr>
                <w:sz w:val="16"/>
                <w:szCs w:val="16"/>
              </w:rPr>
            </w:pPr>
            <w:r>
              <w:rPr>
                <w:sz w:val="16"/>
                <w:szCs w:val="16"/>
                <w:spacing w:val="-2"/>
              </w:rPr>
              <w:t>水利深</w:t>
            </w:r>
          </w:p>
        </w:tc>
        <w:tc>
          <w:tcPr>
            <w:tcW w:w="1638" w:type="dxa"/>
            <w:vAlign w:val="top"/>
          </w:tcPr>
          <w:p>
            <w:pPr>
              <w:pStyle w:val="TableText"/>
              <w:ind w:left="52"/>
              <w:spacing w:before="147" w:line="220" w:lineRule="auto"/>
              <w:rPr>
                <w:sz w:val="16"/>
                <w:szCs w:val="16"/>
              </w:rPr>
            </w:pPr>
            <w:r>
              <w:rPr>
                <w:sz w:val="16"/>
                <w:szCs w:val="16"/>
                <w:spacing w:val="1"/>
              </w:rPr>
              <w:t>需乳河道审核</w:t>
            </w:r>
          </w:p>
        </w:tc>
        <w:tc>
          <w:tcPr>
            <w:tcW w:w="2377" w:type="dxa"/>
            <w:vAlign w:val="top"/>
          </w:tcPr>
          <w:p>
            <w:pPr>
              <w:pStyle w:val="TableText"/>
              <w:ind w:left="54"/>
              <w:spacing w:before="145" w:line="219" w:lineRule="auto"/>
              <w:rPr>
                <w:sz w:val="16"/>
                <w:szCs w:val="16"/>
              </w:rPr>
            </w:pPr>
            <w:r>
              <w:rPr>
                <w:sz w:val="16"/>
                <w:szCs w:val="16"/>
                <w:spacing w:val="-2"/>
              </w:rPr>
              <w:t>吉额政府(市水利需门承办》</w:t>
            </w:r>
          </w:p>
        </w:tc>
        <w:tc>
          <w:tcPr>
            <w:tcW w:w="3711" w:type="dxa"/>
            <w:vAlign w:val="top"/>
          </w:tcPr>
          <w:p>
            <w:pPr>
              <w:pStyle w:val="TableText"/>
              <w:ind w:left="56"/>
              <w:spacing w:before="66" w:line="231" w:lineRule="auto"/>
              <w:rPr>
                <w:sz w:val="16"/>
                <w:szCs w:val="16"/>
              </w:rPr>
            </w:pPr>
            <w:r>
              <w:rPr>
                <w:sz w:val="16"/>
                <w:szCs w:val="16"/>
                <w:spacing w:val="3"/>
              </w:rPr>
              <w:t>1中华人民其和国本县)</w:t>
            </w:r>
          </w:p>
          <w:p>
            <w:pPr>
              <w:pStyle w:val="TableText"/>
              <w:ind w:left="56"/>
              <w:spacing w:line="210" w:lineRule="auto"/>
              <w:rPr>
                <w:sz w:val="16"/>
                <w:szCs w:val="16"/>
              </w:rPr>
            </w:pPr>
            <w:r>
              <w:rPr>
                <w:sz w:val="16"/>
                <w:szCs w:val="16"/>
                <w:spacing w:val="-1"/>
              </w:rPr>
              <w:t>(中华人民先和国防洲法》</w:t>
            </w:r>
          </w:p>
        </w:tc>
      </w:tr>
      <w:tr>
        <w:trPr>
          <w:trHeight w:val="469" w:hRule="atLeast"/>
        </w:trPr>
        <w:tc>
          <w:tcPr>
            <w:tcW w:w="574" w:type="dxa"/>
            <w:vAlign w:val="top"/>
          </w:tcPr>
          <w:p>
            <w:pPr>
              <w:pStyle w:val="TableText"/>
              <w:ind w:left="154"/>
              <w:spacing w:before="198" w:line="183" w:lineRule="auto"/>
              <w:rPr>
                <w:sz w:val="16"/>
                <w:szCs w:val="16"/>
              </w:rPr>
            </w:pPr>
            <w:r>
              <w:rPr>
                <w:sz w:val="16"/>
                <w:szCs w:val="16"/>
                <w:spacing w:val="-3"/>
              </w:rPr>
              <w:t>360</w:t>
            </w:r>
          </w:p>
        </w:tc>
        <w:tc>
          <w:tcPr>
            <w:tcW w:w="1299" w:type="dxa"/>
            <w:vAlign w:val="top"/>
          </w:tcPr>
          <w:p>
            <w:pPr>
              <w:pStyle w:val="TableText"/>
              <w:ind w:left="241"/>
              <w:spacing w:before="156" w:line="219" w:lineRule="auto"/>
              <w:rPr>
                <w:sz w:val="16"/>
                <w:szCs w:val="16"/>
              </w:rPr>
            </w:pPr>
            <w:r>
              <w:rPr>
                <w:sz w:val="16"/>
                <w:szCs w:val="16"/>
                <w:spacing w:val="-2"/>
              </w:rPr>
              <w:t>家壶农村部</w:t>
            </w:r>
          </w:p>
        </w:tc>
        <w:tc>
          <w:tcPr>
            <w:tcW w:w="1638" w:type="dxa"/>
            <w:vAlign w:val="top"/>
          </w:tcPr>
          <w:p>
            <w:pPr>
              <w:pStyle w:val="TableText"/>
              <w:ind w:left="52"/>
              <w:spacing w:before="158" w:line="220" w:lineRule="auto"/>
              <w:rPr>
                <w:sz w:val="16"/>
                <w:szCs w:val="16"/>
              </w:rPr>
            </w:pPr>
            <w:r>
              <w:rPr>
                <w:sz w:val="16"/>
                <w:szCs w:val="16"/>
                <w:spacing w:val="-2"/>
              </w:rPr>
              <w:t>农药登记</w:t>
            </w:r>
          </w:p>
        </w:tc>
        <w:tc>
          <w:tcPr>
            <w:tcW w:w="2377" w:type="dxa"/>
            <w:vAlign w:val="top"/>
          </w:tcPr>
          <w:p>
            <w:pPr>
              <w:pStyle w:val="TableText"/>
              <w:ind w:left="54" w:right="160"/>
              <w:spacing w:before="67" w:line="226" w:lineRule="auto"/>
              <w:rPr>
                <w:sz w:val="16"/>
                <w:szCs w:val="16"/>
              </w:rPr>
            </w:pPr>
            <w:r>
              <w:rPr>
                <w:sz w:val="16"/>
                <w:szCs w:val="16"/>
                <w:spacing w:val="-1"/>
              </w:rPr>
              <w:t>家业农村部(部分由省量农壹农</w:t>
            </w:r>
            <w:r>
              <w:rPr>
                <w:sz w:val="16"/>
                <w:szCs w:val="16"/>
                <w:spacing w:val="5"/>
              </w:rPr>
              <w:t xml:space="preserve"> </w:t>
            </w:r>
            <w:r>
              <w:rPr>
                <w:sz w:val="16"/>
                <w:szCs w:val="16"/>
                <w:spacing w:val="-2"/>
              </w:rPr>
              <w:t>村范门教市</w:t>
            </w:r>
          </w:p>
        </w:tc>
        <w:tc>
          <w:tcPr>
            <w:tcW w:w="3711" w:type="dxa"/>
            <w:vAlign w:val="top"/>
          </w:tcPr>
          <w:p>
            <w:pPr>
              <w:pStyle w:val="TableText"/>
              <w:spacing w:before="156" w:line="219" w:lineRule="auto"/>
              <w:rPr>
                <w:sz w:val="16"/>
                <w:szCs w:val="16"/>
              </w:rPr>
            </w:pPr>
            <w:r>
              <w:rPr>
                <w:sz w:val="16"/>
                <w:szCs w:val="16"/>
                <w:spacing w:val="7"/>
              </w:rPr>
              <w:t>【农码雪塑豪例》</w:t>
            </w:r>
          </w:p>
        </w:tc>
      </w:tr>
      <w:tr>
        <w:trPr>
          <w:trHeight w:val="459" w:hRule="atLeast"/>
        </w:trPr>
        <w:tc>
          <w:tcPr>
            <w:tcW w:w="574" w:type="dxa"/>
            <w:vAlign w:val="top"/>
          </w:tcPr>
          <w:p>
            <w:pPr>
              <w:pStyle w:val="TableText"/>
              <w:ind w:left="154"/>
              <w:spacing w:before="189" w:line="184" w:lineRule="auto"/>
              <w:rPr>
                <w:sz w:val="16"/>
                <w:szCs w:val="16"/>
              </w:rPr>
            </w:pPr>
            <w:r>
              <w:rPr>
                <w:sz w:val="16"/>
                <w:szCs w:val="16"/>
                <w:spacing w:val="-3"/>
              </w:rPr>
              <w:t>351</w:t>
            </w:r>
          </w:p>
        </w:tc>
        <w:tc>
          <w:tcPr>
            <w:tcW w:w="1299" w:type="dxa"/>
            <w:vAlign w:val="top"/>
          </w:tcPr>
          <w:p>
            <w:pPr>
              <w:pStyle w:val="TableText"/>
              <w:ind w:left="241"/>
              <w:spacing w:before="147" w:line="219" w:lineRule="auto"/>
              <w:rPr>
                <w:sz w:val="16"/>
                <w:szCs w:val="16"/>
              </w:rPr>
            </w:pPr>
            <w:r>
              <w:rPr>
                <w:sz w:val="16"/>
                <w:szCs w:val="16"/>
                <w:spacing w:val="-1"/>
              </w:rPr>
              <w:t>农查表村海</w:t>
            </w:r>
          </w:p>
        </w:tc>
        <w:tc>
          <w:tcPr>
            <w:tcW w:w="1638" w:type="dxa"/>
            <w:vAlign w:val="top"/>
          </w:tcPr>
          <w:p>
            <w:pPr>
              <w:pStyle w:val="TableText"/>
              <w:ind w:left="52" w:right="152" w:hanging="10"/>
              <w:spacing w:before="59" w:line="225" w:lineRule="auto"/>
              <w:rPr>
                <w:sz w:val="16"/>
                <w:szCs w:val="16"/>
              </w:rPr>
            </w:pPr>
            <w:r>
              <w:rPr>
                <w:sz w:val="16"/>
                <w:szCs w:val="16"/>
                <w:spacing w:val="-1"/>
              </w:rPr>
              <w:t>袁药登记筑验单位也</w:t>
            </w:r>
            <w:r>
              <w:rPr>
                <w:sz w:val="16"/>
                <w:szCs w:val="16"/>
                <w:spacing w:val="1"/>
              </w:rPr>
              <w:t xml:space="preserve"> </w:t>
            </w:r>
            <w:r>
              <w:rPr>
                <w:sz w:val="16"/>
                <w:szCs w:val="16"/>
              </w:rPr>
              <w:t>定</w:t>
            </w:r>
          </w:p>
        </w:tc>
        <w:tc>
          <w:tcPr>
            <w:tcW w:w="2377" w:type="dxa"/>
            <w:vAlign w:val="top"/>
          </w:tcPr>
          <w:p>
            <w:pPr>
              <w:pStyle w:val="TableText"/>
              <w:ind w:left="54"/>
              <w:spacing w:before="147" w:line="219" w:lineRule="auto"/>
              <w:rPr>
                <w:sz w:val="16"/>
                <w:szCs w:val="16"/>
              </w:rPr>
            </w:pPr>
            <w:r>
              <w:rPr>
                <w:sz w:val="16"/>
                <w:szCs w:val="16"/>
                <w:spacing w:val="-1"/>
              </w:rPr>
              <w:t>表业农村部</w:t>
            </w:r>
          </w:p>
        </w:tc>
        <w:tc>
          <w:tcPr>
            <w:tcW w:w="3711" w:type="dxa"/>
            <w:vAlign w:val="top"/>
          </w:tcPr>
          <w:p>
            <w:pPr>
              <w:pStyle w:val="TableText"/>
              <w:ind w:left="56"/>
              <w:spacing w:before="148" w:line="219" w:lineRule="auto"/>
              <w:rPr>
                <w:sz w:val="16"/>
                <w:szCs w:val="16"/>
              </w:rPr>
            </w:pPr>
            <w:r>
              <w:rPr>
                <w:sz w:val="16"/>
                <w:szCs w:val="16"/>
                <w:spacing w:val="-1"/>
              </w:rPr>
              <w:t>(农疗管理美例》</w:t>
            </w:r>
          </w:p>
        </w:tc>
      </w:tr>
      <w:tr>
        <w:trPr>
          <w:trHeight w:val="260" w:hRule="atLeast"/>
        </w:trPr>
        <w:tc>
          <w:tcPr>
            <w:tcW w:w="574" w:type="dxa"/>
            <w:vAlign w:val="top"/>
          </w:tcPr>
          <w:p>
            <w:pPr>
              <w:pStyle w:val="TableText"/>
              <w:ind w:left="154"/>
              <w:spacing w:before="90" w:line="183" w:lineRule="auto"/>
              <w:rPr>
                <w:sz w:val="16"/>
                <w:szCs w:val="16"/>
              </w:rPr>
            </w:pPr>
            <w:r>
              <w:rPr>
                <w:sz w:val="16"/>
                <w:szCs w:val="16"/>
                <w:spacing w:val="-3"/>
              </w:rPr>
              <w:t>362</w:t>
            </w:r>
          </w:p>
        </w:tc>
        <w:tc>
          <w:tcPr>
            <w:tcW w:w="1299" w:type="dxa"/>
            <w:vAlign w:val="top"/>
          </w:tcPr>
          <w:p>
            <w:pPr>
              <w:pStyle w:val="TableText"/>
              <w:ind w:left="241"/>
              <w:spacing w:before="49" w:line="219" w:lineRule="auto"/>
              <w:rPr>
                <w:sz w:val="16"/>
                <w:szCs w:val="16"/>
              </w:rPr>
            </w:pPr>
            <w:r>
              <w:rPr>
                <w:sz w:val="16"/>
                <w:szCs w:val="16"/>
                <w:spacing w:val="-1"/>
              </w:rPr>
              <w:t>农业农付部</w:t>
            </w:r>
          </w:p>
        </w:tc>
        <w:tc>
          <w:tcPr>
            <w:tcW w:w="1638" w:type="dxa"/>
            <w:vAlign w:val="top"/>
          </w:tcPr>
          <w:p>
            <w:pPr>
              <w:pStyle w:val="TableText"/>
              <w:ind w:left="52"/>
              <w:spacing w:before="49" w:line="219" w:lineRule="auto"/>
              <w:rPr>
                <w:sz w:val="16"/>
                <w:szCs w:val="16"/>
              </w:rPr>
            </w:pPr>
            <w:r>
              <w:rPr>
                <w:sz w:val="16"/>
                <w:szCs w:val="16"/>
                <w:spacing w:val="-1"/>
              </w:rPr>
              <w:t>农药生产许可</w:t>
            </w:r>
          </w:p>
        </w:tc>
        <w:tc>
          <w:tcPr>
            <w:tcW w:w="2377" w:type="dxa"/>
            <w:vAlign w:val="top"/>
          </w:tcPr>
          <w:p>
            <w:pPr>
              <w:pStyle w:val="TableText"/>
              <w:ind w:left="54"/>
              <w:spacing w:before="48" w:line="219" w:lineRule="auto"/>
              <w:rPr>
                <w:sz w:val="16"/>
                <w:szCs w:val="16"/>
              </w:rPr>
            </w:pPr>
            <w:r>
              <w:rPr>
                <w:sz w:val="16"/>
                <w:szCs w:val="16"/>
                <w:spacing w:val="2"/>
              </w:rPr>
              <w:t>省盘农业农村惠门</w:t>
            </w:r>
          </w:p>
        </w:tc>
        <w:tc>
          <w:tcPr>
            <w:tcW w:w="3711" w:type="dxa"/>
            <w:vAlign w:val="top"/>
          </w:tcPr>
          <w:p>
            <w:pPr>
              <w:pStyle w:val="TableText"/>
              <w:ind w:left="56"/>
              <w:spacing w:before="49" w:line="219" w:lineRule="auto"/>
              <w:rPr>
                <w:sz w:val="16"/>
                <w:szCs w:val="16"/>
              </w:rPr>
            </w:pPr>
            <w:r>
              <w:rPr>
                <w:sz w:val="16"/>
                <w:szCs w:val="16"/>
                <w:spacing w:val="-1"/>
              </w:rPr>
              <w:t>(农药管理条倒》</w:t>
            </w:r>
          </w:p>
        </w:tc>
      </w:tr>
      <w:tr>
        <w:trPr>
          <w:trHeight w:val="459" w:hRule="atLeast"/>
        </w:trPr>
        <w:tc>
          <w:tcPr>
            <w:tcW w:w="574" w:type="dxa"/>
            <w:vAlign w:val="top"/>
          </w:tcPr>
          <w:p>
            <w:pPr>
              <w:pStyle w:val="TableText"/>
              <w:ind w:left="154"/>
              <w:spacing w:before="190" w:line="183" w:lineRule="auto"/>
              <w:rPr>
                <w:sz w:val="16"/>
                <w:szCs w:val="16"/>
              </w:rPr>
            </w:pPr>
            <w:r>
              <w:rPr>
                <w:sz w:val="16"/>
                <w:szCs w:val="16"/>
                <w:spacing w:val="-3"/>
              </w:rPr>
              <w:t>363</w:t>
            </w:r>
          </w:p>
        </w:tc>
        <w:tc>
          <w:tcPr>
            <w:tcW w:w="1299" w:type="dxa"/>
            <w:vAlign w:val="top"/>
          </w:tcPr>
          <w:p>
            <w:pPr>
              <w:pStyle w:val="TableText"/>
              <w:ind w:left="241"/>
              <w:spacing w:before="148" w:line="219" w:lineRule="auto"/>
              <w:rPr>
                <w:sz w:val="16"/>
                <w:szCs w:val="16"/>
              </w:rPr>
            </w:pPr>
            <w:r>
              <w:rPr>
                <w:sz w:val="16"/>
                <w:szCs w:val="16"/>
                <w:spacing w:val="-1"/>
              </w:rPr>
              <w:t>农更农村备</w:t>
            </w:r>
          </w:p>
        </w:tc>
        <w:tc>
          <w:tcPr>
            <w:tcW w:w="1638" w:type="dxa"/>
            <w:vAlign w:val="top"/>
          </w:tcPr>
          <w:p>
            <w:pPr>
              <w:pStyle w:val="TableText"/>
              <w:ind w:left="52"/>
              <w:spacing w:before="150" w:line="220" w:lineRule="auto"/>
              <w:rPr>
                <w:sz w:val="16"/>
                <w:szCs w:val="16"/>
              </w:rPr>
            </w:pPr>
            <w:r>
              <w:rPr>
                <w:sz w:val="16"/>
                <w:szCs w:val="16"/>
                <w:spacing w:val="-1"/>
              </w:rPr>
              <w:t>农药昼意许可</w:t>
            </w:r>
          </w:p>
        </w:tc>
        <w:tc>
          <w:tcPr>
            <w:tcW w:w="2377" w:type="dxa"/>
            <w:vAlign w:val="top"/>
          </w:tcPr>
          <w:p>
            <w:pPr>
              <w:pStyle w:val="TableText"/>
              <w:ind w:left="54" w:right="71" w:firstLine="10"/>
              <w:spacing w:before="60" w:line="224" w:lineRule="auto"/>
              <w:rPr>
                <w:sz w:val="16"/>
                <w:szCs w:val="16"/>
              </w:rPr>
            </w:pPr>
            <w:r>
              <w:rPr>
                <w:sz w:val="16"/>
                <w:szCs w:val="16"/>
                <w:spacing w:val="-1"/>
              </w:rPr>
              <w:t>省度，设区的市级，县饭省业表</w:t>
            </w:r>
            <w:r>
              <w:rPr>
                <w:sz w:val="16"/>
                <w:szCs w:val="16"/>
                <w:spacing w:val="4"/>
              </w:rPr>
              <w:t xml:space="preserve"> </w:t>
            </w:r>
            <w:r>
              <w:rPr>
                <w:sz w:val="16"/>
                <w:szCs w:val="16"/>
                <w:spacing w:val="6"/>
              </w:rPr>
              <w:t>村部门</w:t>
            </w:r>
          </w:p>
        </w:tc>
        <w:tc>
          <w:tcPr>
            <w:tcW w:w="3711" w:type="dxa"/>
            <w:vAlign w:val="top"/>
          </w:tcPr>
          <w:p>
            <w:pPr>
              <w:pStyle w:val="TableText"/>
              <w:spacing w:before="149" w:line="219" w:lineRule="auto"/>
              <w:rPr>
                <w:sz w:val="16"/>
                <w:szCs w:val="16"/>
              </w:rPr>
            </w:pPr>
            <w:r>
              <w:rPr>
                <w:sz w:val="16"/>
                <w:szCs w:val="16"/>
                <w:spacing w:val="7"/>
              </w:rPr>
              <w:t>【农药管理条例》</w:t>
            </w:r>
          </w:p>
        </w:tc>
      </w:tr>
      <w:tr>
        <w:trPr>
          <w:trHeight w:val="260" w:hRule="atLeast"/>
        </w:trPr>
        <w:tc>
          <w:tcPr>
            <w:tcW w:w="574" w:type="dxa"/>
            <w:vAlign w:val="top"/>
          </w:tcPr>
          <w:p>
            <w:pPr>
              <w:pStyle w:val="TableText"/>
              <w:ind w:left="154"/>
              <w:spacing w:before="91" w:line="183" w:lineRule="auto"/>
              <w:rPr>
                <w:sz w:val="16"/>
                <w:szCs w:val="16"/>
              </w:rPr>
            </w:pPr>
            <w:r>
              <w:rPr>
                <w:sz w:val="16"/>
                <w:szCs w:val="16"/>
                <w:spacing w:val="-3"/>
              </w:rPr>
              <w:t>354</w:t>
            </w:r>
          </w:p>
        </w:tc>
        <w:tc>
          <w:tcPr>
            <w:tcW w:w="1299" w:type="dxa"/>
            <w:vAlign w:val="top"/>
          </w:tcPr>
          <w:p>
            <w:pPr>
              <w:pStyle w:val="TableText"/>
              <w:ind w:left="241"/>
              <w:spacing w:before="49" w:line="219" w:lineRule="auto"/>
              <w:rPr>
                <w:sz w:val="16"/>
                <w:szCs w:val="16"/>
              </w:rPr>
            </w:pPr>
            <w:r>
              <w:rPr>
                <w:sz w:val="16"/>
                <w:szCs w:val="16"/>
                <w:spacing w:val="-1"/>
              </w:rPr>
              <w:t>柴壶表村部</w:t>
            </w:r>
          </w:p>
        </w:tc>
        <w:tc>
          <w:tcPr>
            <w:tcW w:w="1638" w:type="dxa"/>
            <w:vAlign w:val="top"/>
          </w:tcPr>
          <w:p>
            <w:pPr>
              <w:pStyle w:val="TableText"/>
              <w:ind w:left="52"/>
              <w:spacing w:before="49" w:line="218" w:lineRule="auto"/>
              <w:rPr>
                <w:sz w:val="16"/>
                <w:szCs w:val="16"/>
              </w:rPr>
            </w:pPr>
            <w:r>
              <w:rPr>
                <w:sz w:val="16"/>
                <w:szCs w:val="16"/>
                <w:spacing w:val="-1"/>
              </w:rPr>
              <w:t>在师广告审查</w:t>
            </w:r>
          </w:p>
        </w:tc>
        <w:tc>
          <w:tcPr>
            <w:tcW w:w="2377" w:type="dxa"/>
            <w:vAlign w:val="top"/>
          </w:tcPr>
          <w:p>
            <w:pPr>
              <w:pStyle w:val="TableText"/>
              <w:ind w:left="54"/>
              <w:spacing w:before="49" w:line="219" w:lineRule="auto"/>
              <w:rPr>
                <w:sz w:val="16"/>
                <w:szCs w:val="16"/>
              </w:rPr>
            </w:pPr>
            <w:r>
              <w:rPr>
                <w:sz w:val="16"/>
                <w:szCs w:val="16"/>
                <w:spacing w:val="2"/>
              </w:rPr>
              <w:t>省裂农业农村部门</w:t>
            </w:r>
          </w:p>
        </w:tc>
        <w:tc>
          <w:tcPr>
            <w:tcW w:w="3711" w:type="dxa"/>
            <w:vAlign w:val="top"/>
          </w:tcPr>
          <w:p>
            <w:pPr>
              <w:pStyle w:val="TableText"/>
              <w:ind w:left="56"/>
              <w:spacing w:before="49" w:line="218" w:lineRule="auto"/>
              <w:rPr>
                <w:sz w:val="16"/>
                <w:szCs w:val="16"/>
              </w:rPr>
            </w:pPr>
            <w:r>
              <w:rPr>
                <w:sz w:val="16"/>
                <w:szCs w:val="16"/>
                <w:spacing w:val="-1"/>
              </w:rPr>
              <w:t>1中华人民共和国广告法》</w:t>
            </w:r>
          </w:p>
        </w:tc>
      </w:tr>
      <w:tr>
        <w:trPr>
          <w:trHeight w:val="469" w:hRule="atLeast"/>
        </w:trPr>
        <w:tc>
          <w:tcPr>
            <w:tcW w:w="574" w:type="dxa"/>
            <w:vAlign w:val="top"/>
          </w:tcPr>
          <w:p>
            <w:pPr>
              <w:pStyle w:val="TableText"/>
              <w:ind w:left="154"/>
              <w:spacing w:before="201" w:line="183" w:lineRule="auto"/>
              <w:rPr>
                <w:sz w:val="16"/>
                <w:szCs w:val="16"/>
              </w:rPr>
            </w:pPr>
            <w:r>
              <w:rPr>
                <w:sz w:val="16"/>
                <w:szCs w:val="16"/>
                <w:spacing w:val="-3"/>
              </w:rPr>
              <w:t>385</w:t>
            </w:r>
          </w:p>
        </w:tc>
        <w:tc>
          <w:tcPr>
            <w:tcW w:w="1299" w:type="dxa"/>
            <w:vAlign w:val="top"/>
          </w:tcPr>
          <w:p>
            <w:pPr>
              <w:pStyle w:val="TableText"/>
              <w:ind w:left="241"/>
              <w:spacing w:before="159" w:line="219" w:lineRule="auto"/>
              <w:rPr>
                <w:sz w:val="16"/>
                <w:szCs w:val="16"/>
              </w:rPr>
            </w:pPr>
            <w:r>
              <w:rPr>
                <w:sz w:val="16"/>
                <w:szCs w:val="16"/>
                <w:spacing w:val="-1"/>
              </w:rPr>
              <w:t>农重表科部</w:t>
            </w:r>
          </w:p>
        </w:tc>
        <w:tc>
          <w:tcPr>
            <w:tcW w:w="1638" w:type="dxa"/>
            <w:vAlign w:val="top"/>
          </w:tcPr>
          <w:p>
            <w:pPr>
              <w:pStyle w:val="TableText"/>
              <w:ind w:left="52"/>
              <w:spacing w:before="161" w:line="220" w:lineRule="auto"/>
              <w:rPr>
                <w:sz w:val="16"/>
                <w:szCs w:val="16"/>
              </w:rPr>
            </w:pPr>
            <w:r>
              <w:rPr>
                <w:sz w:val="16"/>
                <w:szCs w:val="16"/>
                <w:spacing w:val="-2"/>
              </w:rPr>
              <w:t>尼料登记</w:t>
            </w:r>
          </w:p>
        </w:tc>
        <w:tc>
          <w:tcPr>
            <w:tcW w:w="2377" w:type="dxa"/>
            <w:vAlign w:val="top"/>
          </w:tcPr>
          <w:p>
            <w:pPr>
              <w:pStyle w:val="TableText"/>
              <w:ind w:left="54" w:right="159"/>
              <w:spacing w:before="60" w:line="230" w:lineRule="auto"/>
              <w:rPr>
                <w:sz w:val="16"/>
                <w:szCs w:val="16"/>
              </w:rPr>
            </w:pPr>
            <w:r>
              <w:rPr>
                <w:sz w:val="16"/>
                <w:szCs w:val="16"/>
                <w:spacing w:val="-1"/>
              </w:rPr>
              <w:t>农专农村部(由省级农重农料害</w:t>
            </w:r>
            <w:r>
              <w:rPr>
                <w:sz w:val="16"/>
                <w:szCs w:val="16"/>
                <w:spacing w:val="6"/>
              </w:rPr>
              <w:t xml:space="preserve"> </w:t>
            </w:r>
            <w:r>
              <w:rPr>
                <w:sz w:val="16"/>
                <w:szCs w:val="16"/>
                <w:spacing w:val="1"/>
              </w:rPr>
              <w:t>门受理):省级农业农村部门</w:t>
            </w:r>
          </w:p>
        </w:tc>
        <w:tc>
          <w:tcPr>
            <w:tcW w:w="3711" w:type="dxa"/>
            <w:vAlign w:val="top"/>
          </w:tcPr>
          <w:p>
            <w:pPr>
              <w:pStyle w:val="TableText"/>
              <w:ind w:left="56"/>
              <w:spacing w:before="30" w:line="240" w:lineRule="exact"/>
              <w:rPr>
                <w:sz w:val="16"/>
                <w:szCs w:val="16"/>
              </w:rPr>
            </w:pPr>
            <w:r>
              <w:rPr>
                <w:sz w:val="16"/>
                <w:szCs w:val="16"/>
                <w:spacing w:val="1"/>
                <w:position w:val="5"/>
              </w:rPr>
              <w:t>t中华人民共和国土填与级防治法!</w:t>
            </w:r>
          </w:p>
          <w:p>
            <w:pPr>
              <w:pStyle w:val="TableText"/>
              <w:ind w:left="56"/>
              <w:spacing w:line="217" w:lineRule="auto"/>
              <w:rPr>
                <w:sz w:val="16"/>
                <w:szCs w:val="16"/>
              </w:rPr>
            </w:pPr>
            <w:r>
              <w:rPr>
                <w:sz w:val="16"/>
                <w:szCs w:val="16"/>
                <w:spacing w:val="8"/>
              </w:rPr>
              <w:t>配料登记管理办法；</w:t>
            </w:r>
          </w:p>
        </w:tc>
      </w:tr>
      <w:tr>
        <w:trPr>
          <w:trHeight w:val="459" w:hRule="atLeast"/>
        </w:trPr>
        <w:tc>
          <w:tcPr>
            <w:tcW w:w="574" w:type="dxa"/>
            <w:vAlign w:val="top"/>
          </w:tcPr>
          <w:p>
            <w:pPr>
              <w:pStyle w:val="TableText"/>
              <w:ind w:left="154"/>
              <w:spacing w:before="192" w:line="183" w:lineRule="auto"/>
              <w:rPr>
                <w:sz w:val="16"/>
                <w:szCs w:val="16"/>
              </w:rPr>
            </w:pPr>
            <w:r>
              <w:rPr>
                <w:sz w:val="16"/>
                <w:szCs w:val="16"/>
                <w:spacing w:val="-3"/>
              </w:rPr>
              <w:t>356</w:t>
            </w:r>
          </w:p>
        </w:tc>
        <w:tc>
          <w:tcPr>
            <w:tcW w:w="1299" w:type="dxa"/>
            <w:vAlign w:val="top"/>
          </w:tcPr>
          <w:p>
            <w:pPr>
              <w:pStyle w:val="TableText"/>
              <w:ind w:left="241"/>
              <w:spacing w:before="151" w:line="219" w:lineRule="auto"/>
              <w:rPr>
                <w:sz w:val="16"/>
                <w:szCs w:val="16"/>
              </w:rPr>
            </w:pPr>
            <w:r>
              <w:rPr>
                <w:sz w:val="16"/>
                <w:szCs w:val="16"/>
                <w:spacing w:val="-1"/>
              </w:rPr>
              <w:t>农业表料部</w:t>
            </w:r>
          </w:p>
        </w:tc>
        <w:tc>
          <w:tcPr>
            <w:tcW w:w="1638" w:type="dxa"/>
            <w:vAlign w:val="top"/>
          </w:tcPr>
          <w:p>
            <w:pPr>
              <w:pStyle w:val="TableText"/>
              <w:ind w:left="52" w:right="142"/>
              <w:spacing w:before="71" w:line="218" w:lineRule="auto"/>
              <w:rPr>
                <w:sz w:val="16"/>
                <w:szCs w:val="16"/>
              </w:rPr>
            </w:pPr>
            <w:r>
              <w:rPr>
                <w:sz w:val="16"/>
                <w:szCs w:val="16"/>
                <w:spacing w:val="-1"/>
              </w:rPr>
              <w:t>器悄料，新饲料悉切</w:t>
            </w:r>
            <w:r>
              <w:rPr>
                <w:sz w:val="16"/>
                <w:szCs w:val="16"/>
                <w:spacing w:val="1"/>
              </w:rPr>
              <w:t xml:space="preserve"> </w:t>
            </w:r>
            <w:r>
              <w:rPr>
                <w:sz w:val="16"/>
                <w:szCs w:val="16"/>
                <w:spacing w:val="1"/>
              </w:rPr>
              <w:t>间证书核发</w:t>
            </w:r>
          </w:p>
        </w:tc>
        <w:tc>
          <w:tcPr>
            <w:tcW w:w="2377" w:type="dxa"/>
            <w:vAlign w:val="top"/>
          </w:tcPr>
          <w:p>
            <w:pPr>
              <w:pStyle w:val="TableText"/>
              <w:ind w:left="54"/>
              <w:spacing w:before="150" w:line="219" w:lineRule="auto"/>
              <w:rPr>
                <w:sz w:val="16"/>
                <w:szCs w:val="16"/>
              </w:rPr>
            </w:pPr>
            <w:r>
              <w:rPr>
                <w:sz w:val="16"/>
                <w:szCs w:val="16"/>
                <w:spacing w:val="-1"/>
              </w:rPr>
              <w:t>农业农村基</w:t>
            </w:r>
          </w:p>
        </w:tc>
        <w:tc>
          <w:tcPr>
            <w:tcW w:w="3711" w:type="dxa"/>
            <w:vAlign w:val="top"/>
          </w:tcPr>
          <w:p>
            <w:pPr>
              <w:pStyle w:val="TableText"/>
              <w:ind w:left="56"/>
              <w:spacing w:before="150" w:line="219" w:lineRule="auto"/>
              <w:rPr>
                <w:sz w:val="16"/>
                <w:szCs w:val="16"/>
              </w:rPr>
            </w:pPr>
            <w:r>
              <w:rPr>
                <w:sz w:val="16"/>
                <w:szCs w:val="16"/>
                <w:spacing w:val="-1"/>
              </w:rPr>
              <w:t>1饲料和同科动加剂登理条例》</w:t>
            </w:r>
          </w:p>
        </w:tc>
      </w:tr>
      <w:tr>
        <w:trPr>
          <w:trHeight w:val="450" w:hRule="atLeast"/>
        </w:trPr>
        <w:tc>
          <w:tcPr>
            <w:tcW w:w="574" w:type="dxa"/>
            <w:vAlign w:val="top"/>
          </w:tcPr>
          <w:p>
            <w:pPr>
              <w:pStyle w:val="TableText"/>
              <w:ind w:left="154"/>
              <w:spacing w:before="193" w:line="183" w:lineRule="auto"/>
              <w:rPr>
                <w:sz w:val="16"/>
                <w:szCs w:val="16"/>
              </w:rPr>
            </w:pPr>
            <w:r>
              <w:rPr>
                <w:sz w:val="16"/>
                <w:szCs w:val="16"/>
                <w:spacing w:val="-3"/>
              </w:rPr>
              <w:t>357</w:t>
            </w:r>
          </w:p>
        </w:tc>
        <w:tc>
          <w:tcPr>
            <w:tcW w:w="1299" w:type="dxa"/>
            <w:vAlign w:val="top"/>
          </w:tcPr>
          <w:p>
            <w:pPr>
              <w:pStyle w:val="TableText"/>
              <w:ind w:left="241"/>
              <w:spacing w:before="151" w:line="219" w:lineRule="auto"/>
              <w:rPr>
                <w:sz w:val="16"/>
                <w:szCs w:val="16"/>
              </w:rPr>
            </w:pPr>
            <w:r>
              <w:rPr>
                <w:sz w:val="16"/>
                <w:szCs w:val="16"/>
                <w:spacing w:val="-1"/>
              </w:rPr>
              <w:t>农业农科部</w:t>
            </w:r>
          </w:p>
        </w:tc>
        <w:tc>
          <w:tcPr>
            <w:tcW w:w="1638" w:type="dxa"/>
            <w:vAlign w:val="top"/>
          </w:tcPr>
          <w:p>
            <w:pPr>
              <w:pStyle w:val="TableText"/>
              <w:ind w:left="52" w:right="121" w:firstLine="20"/>
              <w:spacing w:before="53" w:line="223" w:lineRule="auto"/>
              <w:rPr>
                <w:sz w:val="16"/>
                <w:szCs w:val="16"/>
              </w:rPr>
            </w:pPr>
            <w:r>
              <w:rPr>
                <w:sz w:val="16"/>
                <w:szCs w:val="16"/>
                <w:spacing w:val="-1"/>
              </w:rPr>
              <w:t>海口饲料和饲料示加</w:t>
            </w:r>
            <w:r>
              <w:rPr>
                <w:sz w:val="16"/>
                <w:szCs w:val="16"/>
                <w:spacing w:val="2"/>
              </w:rPr>
              <w:t xml:space="preserve"> </w:t>
            </w:r>
            <w:r>
              <w:rPr>
                <w:sz w:val="16"/>
                <w:szCs w:val="16"/>
                <w:spacing w:val="-2"/>
              </w:rPr>
              <w:t>州登记</w:t>
            </w:r>
          </w:p>
        </w:tc>
        <w:tc>
          <w:tcPr>
            <w:tcW w:w="2377" w:type="dxa"/>
            <w:vAlign w:val="top"/>
          </w:tcPr>
          <w:p>
            <w:pPr>
              <w:pStyle w:val="TableText"/>
              <w:ind w:left="54"/>
              <w:spacing w:before="151" w:line="219" w:lineRule="auto"/>
              <w:rPr>
                <w:sz w:val="16"/>
                <w:szCs w:val="16"/>
              </w:rPr>
            </w:pPr>
            <w:r>
              <w:rPr>
                <w:sz w:val="16"/>
                <w:szCs w:val="16"/>
                <w:spacing w:val="-1"/>
              </w:rPr>
              <w:t>农业农村部</w:t>
            </w:r>
          </w:p>
        </w:tc>
        <w:tc>
          <w:tcPr>
            <w:tcW w:w="3711" w:type="dxa"/>
            <w:vAlign w:val="top"/>
          </w:tcPr>
          <w:p>
            <w:pPr>
              <w:pStyle w:val="TableText"/>
              <w:ind w:left="56"/>
              <w:spacing w:before="151" w:line="219" w:lineRule="auto"/>
              <w:rPr>
                <w:sz w:val="16"/>
                <w:szCs w:val="16"/>
              </w:rPr>
            </w:pPr>
            <w:r>
              <w:rPr>
                <w:sz w:val="16"/>
                <w:szCs w:val="16"/>
                <w:spacing w:val="-1"/>
              </w:rPr>
              <w:t>饲料和例科擦加希管理素例</w:t>
            </w:r>
          </w:p>
        </w:tc>
      </w:tr>
      <w:tr>
        <w:trPr>
          <w:trHeight w:val="459" w:hRule="atLeast"/>
        </w:trPr>
        <w:tc>
          <w:tcPr>
            <w:tcW w:w="574" w:type="dxa"/>
            <w:vAlign w:val="top"/>
          </w:tcPr>
          <w:p>
            <w:pPr>
              <w:pStyle w:val="TableText"/>
              <w:ind w:left="154"/>
              <w:spacing w:before="193" w:line="183" w:lineRule="auto"/>
              <w:rPr>
                <w:sz w:val="16"/>
                <w:szCs w:val="16"/>
              </w:rPr>
            </w:pPr>
            <w:r>
              <w:rPr>
                <w:sz w:val="16"/>
                <w:szCs w:val="16"/>
                <w:spacing w:val="-3"/>
              </w:rPr>
              <w:t>368</w:t>
            </w:r>
          </w:p>
        </w:tc>
        <w:tc>
          <w:tcPr>
            <w:tcW w:w="1299" w:type="dxa"/>
            <w:vAlign w:val="top"/>
          </w:tcPr>
          <w:p>
            <w:pPr>
              <w:pStyle w:val="TableText"/>
              <w:ind w:left="241"/>
              <w:spacing w:before="153" w:line="220" w:lineRule="auto"/>
              <w:rPr>
                <w:sz w:val="16"/>
                <w:szCs w:val="16"/>
              </w:rPr>
            </w:pPr>
            <w:r>
              <w:rPr>
                <w:sz w:val="16"/>
                <w:szCs w:val="16"/>
                <w:spacing w:val="-1"/>
              </w:rPr>
              <w:t>农业农日需</w:t>
            </w:r>
          </w:p>
        </w:tc>
        <w:tc>
          <w:tcPr>
            <w:tcW w:w="1638" w:type="dxa"/>
            <w:vAlign w:val="top"/>
          </w:tcPr>
          <w:p>
            <w:pPr>
              <w:pStyle w:val="TableText"/>
              <w:ind w:left="52" w:right="120" w:firstLine="20"/>
              <w:spacing w:before="52" w:line="229" w:lineRule="auto"/>
              <w:rPr>
                <w:sz w:val="16"/>
                <w:szCs w:val="16"/>
              </w:rPr>
            </w:pPr>
            <w:r>
              <w:rPr>
                <w:sz w:val="16"/>
                <w:szCs w:val="16"/>
                <w:spacing w:val="-1"/>
              </w:rPr>
              <w:t>侧料能加割产品批准</w:t>
            </w:r>
            <w:r>
              <w:rPr>
                <w:sz w:val="16"/>
                <w:szCs w:val="16"/>
                <w:spacing w:val="3"/>
              </w:rPr>
              <w:t xml:space="preserve"> </w:t>
            </w:r>
            <w:r>
              <w:rPr>
                <w:sz w:val="16"/>
                <w:szCs w:val="16"/>
                <w:spacing w:val="-2"/>
              </w:rPr>
              <w:t>文号蕉发</w:t>
            </w:r>
          </w:p>
        </w:tc>
        <w:tc>
          <w:tcPr>
            <w:tcW w:w="2377" w:type="dxa"/>
            <w:vAlign w:val="top"/>
          </w:tcPr>
          <w:p>
            <w:pPr>
              <w:pStyle w:val="TableText"/>
              <w:ind w:left="54"/>
              <w:spacing w:before="151" w:line="219" w:lineRule="auto"/>
              <w:rPr>
                <w:sz w:val="16"/>
                <w:szCs w:val="16"/>
              </w:rPr>
            </w:pPr>
            <w:r>
              <w:rPr>
                <w:sz w:val="16"/>
                <w:szCs w:val="16"/>
                <w:spacing w:val="2"/>
              </w:rPr>
              <w:t>省级农业农村部门</w:t>
            </w:r>
          </w:p>
        </w:tc>
        <w:tc>
          <w:tcPr>
            <w:tcW w:w="3711" w:type="dxa"/>
            <w:vAlign w:val="top"/>
          </w:tcPr>
          <w:p>
            <w:pPr>
              <w:pStyle w:val="TableText"/>
              <w:ind w:left="56"/>
              <w:spacing w:before="152" w:line="219" w:lineRule="auto"/>
              <w:rPr>
                <w:sz w:val="16"/>
                <w:szCs w:val="16"/>
              </w:rPr>
            </w:pPr>
            <w:r>
              <w:rPr>
                <w:sz w:val="16"/>
                <w:szCs w:val="16"/>
              </w:rPr>
              <w:t>1闻料和例料器加氛管理秦倒</w:t>
            </w:r>
          </w:p>
        </w:tc>
      </w:tr>
      <w:tr>
        <w:trPr>
          <w:trHeight w:val="469" w:hRule="atLeast"/>
        </w:trPr>
        <w:tc>
          <w:tcPr>
            <w:tcW w:w="574" w:type="dxa"/>
            <w:vAlign w:val="top"/>
          </w:tcPr>
          <w:p>
            <w:pPr>
              <w:pStyle w:val="TableText"/>
              <w:ind w:left="234"/>
              <w:spacing w:before="220" w:line="122" w:lineRule="exact"/>
              <w:rPr>
                <w:sz w:val="16"/>
                <w:szCs w:val="16"/>
              </w:rPr>
            </w:pPr>
            <w:r>
              <w:rPr>
                <w:sz w:val="16"/>
                <w:szCs w:val="16"/>
                <w:position w:val="1"/>
              </w:rPr>
              <w:t>g</w:t>
            </w:r>
          </w:p>
        </w:tc>
        <w:tc>
          <w:tcPr>
            <w:tcW w:w="1299" w:type="dxa"/>
            <w:vAlign w:val="top"/>
          </w:tcPr>
          <w:p>
            <w:pPr>
              <w:pStyle w:val="TableText"/>
              <w:ind w:left="241"/>
              <w:spacing w:before="163" w:line="219" w:lineRule="auto"/>
              <w:rPr>
                <w:sz w:val="16"/>
                <w:szCs w:val="16"/>
              </w:rPr>
            </w:pPr>
            <w:r>
              <w:rPr>
                <w:sz w:val="16"/>
                <w:szCs w:val="16"/>
                <w:spacing w:val="-1"/>
              </w:rPr>
              <w:t>农业农料部</w:t>
            </w:r>
          </w:p>
        </w:tc>
        <w:tc>
          <w:tcPr>
            <w:tcW w:w="1638" w:type="dxa"/>
            <w:vAlign w:val="top"/>
          </w:tcPr>
          <w:p>
            <w:pPr>
              <w:pStyle w:val="TableText"/>
              <w:ind w:left="52" w:right="134" w:firstLine="10"/>
              <w:spacing w:before="63" w:line="225" w:lineRule="auto"/>
              <w:rPr>
                <w:sz w:val="16"/>
                <w:szCs w:val="16"/>
              </w:rPr>
            </w:pPr>
            <w:r>
              <w:rPr>
                <w:sz w:val="16"/>
                <w:szCs w:val="16"/>
                <w:spacing w:val="-1"/>
              </w:rPr>
              <w:t>从事悯和，词料面士</w:t>
            </w:r>
            <w:r>
              <w:rPr>
                <w:sz w:val="16"/>
                <w:szCs w:val="16"/>
              </w:rPr>
              <w:t xml:space="preserve"> </w:t>
            </w:r>
            <w:r>
              <w:rPr>
                <w:sz w:val="16"/>
                <w:szCs w:val="16"/>
                <w:spacing w:val="-1"/>
              </w:rPr>
              <w:t>期生产的金业审脱</w:t>
            </w:r>
          </w:p>
        </w:tc>
        <w:tc>
          <w:tcPr>
            <w:tcW w:w="2377" w:type="dxa"/>
            <w:vAlign w:val="top"/>
          </w:tcPr>
          <w:p>
            <w:pPr>
              <w:pStyle w:val="TableText"/>
              <w:ind w:left="54"/>
              <w:spacing w:before="162" w:line="219" w:lineRule="auto"/>
              <w:rPr>
                <w:sz w:val="16"/>
                <w:szCs w:val="16"/>
              </w:rPr>
            </w:pPr>
            <w:r>
              <w:rPr>
                <w:sz w:val="16"/>
                <w:szCs w:val="16"/>
                <w:spacing w:val="2"/>
              </w:rPr>
              <w:t>苗级农业农村部门</w:t>
            </w:r>
          </w:p>
        </w:tc>
        <w:tc>
          <w:tcPr>
            <w:tcW w:w="3711" w:type="dxa"/>
            <w:vAlign w:val="top"/>
          </w:tcPr>
          <w:p>
            <w:pPr>
              <w:pStyle w:val="TableText"/>
              <w:ind w:left="56"/>
              <w:spacing w:before="162" w:line="219" w:lineRule="auto"/>
              <w:rPr>
                <w:sz w:val="16"/>
                <w:szCs w:val="16"/>
              </w:rPr>
            </w:pPr>
            <w:r>
              <w:rPr>
                <w:sz w:val="16"/>
                <w:szCs w:val="16"/>
                <w:spacing w:val="2"/>
              </w:rPr>
              <w:t>t饲科和饲料需加剂管理条例!</w:t>
            </w:r>
          </w:p>
        </w:tc>
      </w:tr>
      <w:tr>
        <w:trPr>
          <w:trHeight w:val="449" w:hRule="atLeast"/>
        </w:trPr>
        <w:tc>
          <w:tcPr>
            <w:tcW w:w="574" w:type="dxa"/>
            <w:vAlign w:val="top"/>
          </w:tcPr>
          <w:p>
            <w:pPr>
              <w:pStyle w:val="TableText"/>
              <w:ind w:left="154"/>
              <w:spacing w:before="170"/>
              <w:rPr>
                <w:sz w:val="16"/>
                <w:szCs w:val="16"/>
              </w:rPr>
            </w:pPr>
            <w:r>
              <w:rPr>
                <w:sz w:val="16"/>
                <w:szCs w:val="16"/>
                <w:spacing w:val="-3"/>
              </w:rPr>
              <w:t>3rb</w:t>
            </w:r>
          </w:p>
        </w:tc>
        <w:tc>
          <w:tcPr>
            <w:tcW w:w="1299" w:type="dxa"/>
            <w:vAlign w:val="top"/>
          </w:tcPr>
          <w:p>
            <w:pPr>
              <w:pStyle w:val="TableText"/>
              <w:ind w:left="241"/>
              <w:spacing w:before="153" w:line="219" w:lineRule="auto"/>
              <w:rPr>
                <w:sz w:val="16"/>
                <w:szCs w:val="16"/>
              </w:rPr>
            </w:pPr>
            <w:r>
              <w:rPr>
                <w:sz w:val="16"/>
                <w:szCs w:val="16"/>
                <w:spacing w:val="-1"/>
              </w:rPr>
              <w:t>衣业农村都</w:t>
            </w:r>
          </w:p>
        </w:tc>
        <w:tc>
          <w:tcPr>
            <w:tcW w:w="1638" w:type="dxa"/>
            <w:vAlign w:val="top"/>
          </w:tcPr>
          <w:p>
            <w:pPr>
              <w:pStyle w:val="TableText"/>
              <w:ind w:left="52" w:right="142"/>
              <w:spacing w:before="64" w:line="216" w:lineRule="auto"/>
              <w:rPr>
                <w:sz w:val="16"/>
                <w:szCs w:val="16"/>
              </w:rPr>
            </w:pPr>
            <w:r>
              <w:rPr>
                <w:sz w:val="16"/>
                <w:szCs w:val="16"/>
                <w:spacing w:val="-1"/>
              </w:rPr>
              <w:t>新路苏研制，注册市</w:t>
            </w:r>
            <w:r>
              <w:rPr>
                <w:sz w:val="16"/>
                <w:szCs w:val="16"/>
                <w:spacing w:val="1"/>
              </w:rPr>
              <w:t xml:space="preserve"> </w:t>
            </w:r>
            <w:r>
              <w:rPr>
                <w:sz w:val="16"/>
                <w:szCs w:val="16"/>
              </w:rPr>
              <w:t>世</w:t>
            </w:r>
          </w:p>
        </w:tc>
        <w:tc>
          <w:tcPr>
            <w:tcW w:w="2377" w:type="dxa"/>
            <w:vAlign w:val="top"/>
          </w:tcPr>
          <w:p>
            <w:pPr>
              <w:pStyle w:val="TableText"/>
              <w:ind w:left="54"/>
              <w:spacing w:before="155" w:line="220" w:lineRule="auto"/>
              <w:rPr>
                <w:sz w:val="16"/>
                <w:szCs w:val="16"/>
              </w:rPr>
            </w:pPr>
            <w:r>
              <w:rPr>
                <w:sz w:val="16"/>
                <w:szCs w:val="16"/>
                <w:spacing w:val="-1"/>
              </w:rPr>
              <w:t>农业农料郁</w:t>
            </w:r>
          </w:p>
        </w:tc>
        <w:tc>
          <w:tcPr>
            <w:tcW w:w="3711" w:type="dxa"/>
            <w:vAlign w:val="top"/>
          </w:tcPr>
          <w:p>
            <w:pPr>
              <w:pStyle w:val="TableText"/>
              <w:spacing w:before="154" w:line="219" w:lineRule="auto"/>
              <w:rPr>
                <w:sz w:val="16"/>
                <w:szCs w:val="16"/>
              </w:rPr>
            </w:pPr>
            <w:r>
              <w:rPr>
                <w:sz w:val="16"/>
                <w:szCs w:val="16"/>
                <w:spacing w:val="7"/>
              </w:rPr>
              <w:t>《色药管理条例】</w:t>
            </w:r>
          </w:p>
        </w:tc>
      </w:tr>
      <w:tr>
        <w:trPr>
          <w:trHeight w:val="669" w:hRule="atLeast"/>
        </w:trPr>
        <w:tc>
          <w:tcPr>
            <w:tcW w:w="574" w:type="dxa"/>
            <w:vAlign w:val="top"/>
          </w:tcPr>
          <w:p>
            <w:pPr>
              <w:spacing w:line="252" w:lineRule="auto"/>
              <w:rPr>
                <w:rFonts w:ascii="Arial"/>
                <w:sz w:val="21"/>
              </w:rPr>
            </w:pPr>
            <w:r/>
          </w:p>
          <w:p>
            <w:pPr>
              <w:pStyle w:val="TableText"/>
              <w:ind w:left="154"/>
              <w:spacing w:before="52" w:line="184" w:lineRule="auto"/>
              <w:rPr>
                <w:sz w:val="16"/>
                <w:szCs w:val="16"/>
              </w:rPr>
            </w:pPr>
            <w:r>
              <w:rPr>
                <w:sz w:val="16"/>
                <w:szCs w:val="16"/>
                <w:spacing w:val="-3"/>
              </w:rPr>
              <w:t>371</w:t>
            </w:r>
          </w:p>
        </w:tc>
        <w:tc>
          <w:tcPr>
            <w:tcW w:w="1299" w:type="dxa"/>
            <w:vAlign w:val="top"/>
          </w:tcPr>
          <w:p>
            <w:pPr>
              <w:pStyle w:val="TableText"/>
              <w:ind w:left="241"/>
              <w:spacing w:before="264" w:line="219" w:lineRule="auto"/>
              <w:rPr>
                <w:sz w:val="16"/>
                <w:szCs w:val="16"/>
              </w:rPr>
            </w:pPr>
            <w:r>
              <w:rPr>
                <w:sz w:val="16"/>
                <w:szCs w:val="16"/>
                <w:spacing w:val="-1"/>
              </w:rPr>
              <w:t>表业农村藏</w:t>
            </w:r>
          </w:p>
        </w:tc>
        <w:tc>
          <w:tcPr>
            <w:tcW w:w="1638" w:type="dxa"/>
            <w:vAlign w:val="top"/>
          </w:tcPr>
          <w:p>
            <w:pPr>
              <w:pStyle w:val="TableText"/>
              <w:ind w:left="62" w:right="142" w:hanging="10"/>
              <w:spacing w:before="55" w:line="230" w:lineRule="auto"/>
              <w:rPr>
                <w:sz w:val="16"/>
                <w:szCs w:val="16"/>
              </w:rPr>
            </w:pPr>
            <w:r>
              <w:rPr>
                <w:sz w:val="16"/>
                <w:szCs w:val="16"/>
                <w:spacing w:val="-1"/>
              </w:rPr>
              <w:t>位药产品批难工号卷</w:t>
            </w:r>
            <w:r>
              <w:rPr>
                <w:sz w:val="16"/>
                <w:szCs w:val="16"/>
                <w:spacing w:val="1"/>
              </w:rPr>
              <w:t xml:space="preserve"> </w:t>
            </w:r>
            <w:r>
              <w:rPr>
                <w:sz w:val="16"/>
                <w:szCs w:val="16"/>
                <w:spacing w:val="-2"/>
              </w:rPr>
              <w:t>发及标签.把明书</w:t>
            </w:r>
          </w:p>
          <w:p>
            <w:pPr>
              <w:pStyle w:val="TableText"/>
              <w:ind w:left="52"/>
              <w:spacing w:before="22" w:line="210" w:lineRule="auto"/>
              <w:rPr>
                <w:sz w:val="16"/>
                <w:szCs w:val="16"/>
              </w:rPr>
            </w:pPr>
            <w:r>
              <w:rPr>
                <w:sz w:val="16"/>
                <w:szCs w:val="16"/>
              </w:rPr>
              <w:t>能</w:t>
            </w:r>
          </w:p>
        </w:tc>
        <w:tc>
          <w:tcPr>
            <w:tcW w:w="2377" w:type="dxa"/>
            <w:vAlign w:val="top"/>
          </w:tcPr>
          <w:p>
            <w:pPr>
              <w:pStyle w:val="TableText"/>
              <w:ind w:left="54"/>
              <w:spacing w:before="266" w:line="221" w:lineRule="auto"/>
              <w:rPr>
                <w:sz w:val="16"/>
                <w:szCs w:val="16"/>
              </w:rPr>
            </w:pPr>
            <w:r>
              <w:rPr>
                <w:sz w:val="16"/>
                <w:szCs w:val="16"/>
                <w:spacing w:val="-1"/>
              </w:rPr>
              <w:t>农业农利落</w:t>
            </w:r>
          </w:p>
        </w:tc>
        <w:tc>
          <w:tcPr>
            <w:tcW w:w="3711" w:type="dxa"/>
            <w:vAlign w:val="top"/>
          </w:tcPr>
          <w:p>
            <w:pPr>
              <w:pStyle w:val="TableText"/>
              <w:spacing w:before="266" w:line="220" w:lineRule="auto"/>
              <w:rPr>
                <w:sz w:val="16"/>
                <w:szCs w:val="16"/>
              </w:rPr>
            </w:pPr>
            <w:r>
              <w:rPr>
                <w:sz w:val="16"/>
                <w:szCs w:val="16"/>
                <w:spacing w:val="-5"/>
              </w:rPr>
              <w:t>《登药赁理冬创2</w:t>
            </w:r>
          </w:p>
        </w:tc>
      </w:tr>
      <w:tr>
        <w:trPr>
          <w:trHeight w:val="325" w:hRule="atLeast"/>
        </w:trPr>
        <w:tc>
          <w:tcPr>
            <w:tcW w:w="574" w:type="dxa"/>
            <w:vAlign w:val="top"/>
          </w:tcPr>
          <w:p>
            <w:pPr>
              <w:rPr>
                <w:rFonts w:ascii="Arial"/>
                <w:sz w:val="21"/>
              </w:rPr>
            </w:pPr>
            <w:r/>
          </w:p>
        </w:tc>
        <w:tc>
          <w:tcPr>
            <w:tcW w:w="1299" w:type="dxa"/>
            <w:vAlign w:val="top"/>
          </w:tcPr>
          <w:p>
            <w:pPr>
              <w:pStyle w:val="TableText"/>
              <w:ind w:left="241"/>
              <w:spacing w:before="85" w:line="219" w:lineRule="auto"/>
              <w:rPr>
                <w:sz w:val="16"/>
                <w:szCs w:val="16"/>
              </w:rPr>
            </w:pPr>
            <w:r>
              <w:rPr>
                <w:sz w:val="16"/>
                <w:szCs w:val="16"/>
                <w:spacing w:val="-1"/>
              </w:rPr>
              <w:t>农业衣科都</w:t>
            </w:r>
          </w:p>
        </w:tc>
        <w:tc>
          <w:tcPr>
            <w:tcW w:w="1638" w:type="dxa"/>
            <w:vAlign w:val="top"/>
          </w:tcPr>
          <w:p>
            <w:pPr>
              <w:pStyle w:val="TableText"/>
              <w:ind w:left="52"/>
              <w:spacing w:before="86" w:line="219" w:lineRule="auto"/>
              <w:rPr>
                <w:sz w:val="16"/>
                <w:szCs w:val="16"/>
              </w:rPr>
            </w:pPr>
            <w:r>
              <w:rPr>
                <w:sz w:val="16"/>
                <w:szCs w:val="16"/>
                <w:spacing w:val="-1"/>
              </w:rPr>
              <w:t>停病生产许可</w:t>
            </w:r>
          </w:p>
        </w:tc>
        <w:tc>
          <w:tcPr>
            <w:tcW w:w="2377" w:type="dxa"/>
            <w:vAlign w:val="top"/>
          </w:tcPr>
          <w:p>
            <w:pPr>
              <w:pStyle w:val="TableText"/>
              <w:ind w:left="54"/>
              <w:spacing w:before="86" w:line="219" w:lineRule="auto"/>
              <w:rPr>
                <w:sz w:val="16"/>
                <w:szCs w:val="16"/>
              </w:rPr>
            </w:pPr>
            <w:r>
              <w:rPr>
                <w:sz w:val="16"/>
                <w:szCs w:val="16"/>
                <w:spacing w:val="2"/>
              </w:rPr>
              <w:t>省维畜粒典现郁门</w:t>
            </w:r>
          </w:p>
        </w:tc>
        <w:tc>
          <w:tcPr>
            <w:tcW w:w="3711" w:type="dxa"/>
            <w:vAlign w:val="top"/>
          </w:tcPr>
          <w:p>
            <w:pPr>
              <w:pStyle w:val="TableText"/>
              <w:spacing w:before="86" w:line="219" w:lineRule="auto"/>
              <w:rPr>
                <w:sz w:val="16"/>
                <w:szCs w:val="16"/>
              </w:rPr>
            </w:pPr>
            <w:r>
              <w:rPr>
                <w:sz w:val="16"/>
                <w:szCs w:val="16"/>
                <w:spacing w:val="-3"/>
              </w:rPr>
              <w:t>《验路管理条钢]</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63040"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244" name="TextBox 244"/>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6" style="position:absolute;margin-left:37.0402pt;margin-top:344.137pt;mso-position-vertical-relative:page;mso-position-horizontal-relative:page;width:13.6pt;height:12.35pt;z-index:25186304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11"/>
      </w:tblGrid>
      <w:tr>
        <w:trPr>
          <w:trHeight w:val="42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中央主管郎门</w:t>
            </w:r>
          </w:p>
        </w:tc>
        <w:tc>
          <w:tcPr>
            <w:tcW w:w="1638" w:type="dxa"/>
            <w:vAlign w:val="top"/>
          </w:tcPr>
          <w:p>
            <w:pPr>
              <w:pStyle w:val="TableText"/>
              <w:ind w:left="491"/>
              <w:spacing w:before="132" w:line="220" w:lineRule="auto"/>
              <w:rPr>
                <w:sz w:val="16"/>
                <w:szCs w:val="16"/>
              </w:rPr>
            </w:pPr>
            <w:r>
              <w:rPr>
                <w:sz w:val="16"/>
                <w:szCs w:val="16"/>
                <w:spacing w:val="-2"/>
              </w:rPr>
              <w:t>事理名称</w:t>
            </w:r>
          </w:p>
        </w:tc>
        <w:tc>
          <w:tcPr>
            <w:tcW w:w="2377" w:type="dxa"/>
            <w:vAlign w:val="top"/>
          </w:tcPr>
          <w:p>
            <w:pPr>
              <w:pStyle w:val="TableText"/>
              <w:ind w:left="854"/>
              <w:spacing w:before="130" w:line="219" w:lineRule="auto"/>
              <w:rPr>
                <w:sz w:val="16"/>
                <w:szCs w:val="16"/>
              </w:rPr>
            </w:pPr>
            <w:r>
              <w:rPr>
                <w:sz w:val="16"/>
                <w:szCs w:val="16"/>
                <w:spacing w:val="-2"/>
              </w:rPr>
              <w:t>实监机关</w:t>
            </w:r>
          </w:p>
        </w:tc>
        <w:tc>
          <w:tcPr>
            <w:tcW w:w="3711" w:type="dxa"/>
            <w:vAlign w:val="top"/>
          </w:tcPr>
          <w:p>
            <w:pPr>
              <w:pStyle w:val="TableText"/>
              <w:ind w:left="1309"/>
              <w:spacing w:before="129" w:line="219" w:lineRule="auto"/>
              <w:rPr>
                <w:sz w:val="16"/>
                <w:szCs w:val="16"/>
              </w:rPr>
            </w:pPr>
            <w:r>
              <w:rPr>
                <w:sz w:val="16"/>
                <w:szCs w:val="16"/>
                <w:b/>
                <w:bCs/>
                <w:spacing w:val="-3"/>
              </w:rPr>
              <w:t>没定和实步保据</w:t>
            </w:r>
          </w:p>
        </w:tc>
      </w:tr>
      <w:tr>
        <w:trPr>
          <w:trHeight w:val="469" w:hRule="atLeast"/>
        </w:trPr>
        <w:tc>
          <w:tcPr>
            <w:tcW w:w="594" w:type="dxa"/>
            <w:vAlign w:val="top"/>
          </w:tcPr>
          <w:p>
            <w:pPr>
              <w:pStyle w:val="TableText"/>
              <w:ind w:left="164"/>
              <w:spacing w:before="198" w:line="183" w:lineRule="auto"/>
              <w:rPr>
                <w:sz w:val="16"/>
                <w:szCs w:val="16"/>
              </w:rPr>
            </w:pPr>
            <w:r>
              <w:rPr>
                <w:sz w:val="16"/>
                <w:szCs w:val="16"/>
                <w:spacing w:val="-3"/>
              </w:rPr>
              <w:t>374</w:t>
            </w:r>
          </w:p>
        </w:tc>
        <w:tc>
          <w:tcPr>
            <w:tcW w:w="1279" w:type="dxa"/>
            <w:vAlign w:val="top"/>
          </w:tcPr>
          <w:p>
            <w:pPr>
              <w:pStyle w:val="TableText"/>
              <w:ind w:left="231"/>
              <w:spacing w:before="156" w:line="219" w:lineRule="auto"/>
              <w:rPr>
                <w:sz w:val="16"/>
                <w:szCs w:val="16"/>
              </w:rPr>
            </w:pPr>
            <w:r>
              <w:rPr>
                <w:sz w:val="16"/>
                <w:szCs w:val="16"/>
                <w:spacing w:val="-2"/>
              </w:rPr>
              <w:t>家业农材器</w:t>
            </w:r>
          </w:p>
        </w:tc>
        <w:tc>
          <w:tcPr>
            <w:tcW w:w="1638" w:type="dxa"/>
            <w:vAlign w:val="top"/>
          </w:tcPr>
          <w:p>
            <w:pPr>
              <w:pStyle w:val="TableText"/>
              <w:ind w:left="42"/>
              <w:spacing w:before="157" w:line="219" w:lineRule="auto"/>
              <w:rPr>
                <w:sz w:val="16"/>
                <w:szCs w:val="16"/>
              </w:rPr>
            </w:pPr>
            <w:r>
              <w:rPr>
                <w:sz w:val="16"/>
                <w:szCs w:val="16"/>
                <w:spacing w:val="-2"/>
              </w:rPr>
              <w:t>尊药经背诈可</w:t>
            </w:r>
          </w:p>
        </w:tc>
        <w:tc>
          <w:tcPr>
            <w:tcW w:w="2377" w:type="dxa"/>
            <w:vAlign w:val="top"/>
          </w:tcPr>
          <w:p>
            <w:pPr>
              <w:pStyle w:val="TableText"/>
              <w:ind w:left="54" w:right="38" w:firstLine="20"/>
              <w:spacing w:before="78" w:line="213" w:lineRule="auto"/>
              <w:rPr>
                <w:sz w:val="16"/>
                <w:szCs w:val="16"/>
              </w:rPr>
            </w:pPr>
            <w:r>
              <w:rPr>
                <w:sz w:val="16"/>
                <w:szCs w:val="16"/>
                <w:spacing w:val="1"/>
              </w:rPr>
              <w:t>省级、设风的而级、旦姬奋教局</w:t>
            </w:r>
            <w:r>
              <w:rPr>
                <w:sz w:val="16"/>
                <w:szCs w:val="16"/>
              </w:rPr>
              <w:t xml:space="preserve"> </w:t>
            </w:r>
            <w:r>
              <w:rPr>
                <w:sz w:val="16"/>
                <w:szCs w:val="16"/>
                <w:spacing w:val="6"/>
              </w:rPr>
              <w:t>医都门</w:t>
            </w:r>
          </w:p>
        </w:tc>
        <w:tc>
          <w:tcPr>
            <w:tcW w:w="3711" w:type="dxa"/>
            <w:vAlign w:val="top"/>
          </w:tcPr>
          <w:p>
            <w:pPr>
              <w:pStyle w:val="TableText"/>
              <w:ind w:left="106"/>
              <w:spacing w:before="157" w:line="219" w:lineRule="auto"/>
              <w:rPr>
                <w:sz w:val="16"/>
                <w:szCs w:val="16"/>
              </w:rPr>
            </w:pPr>
            <w:r>
              <w:rPr>
                <w:sz w:val="16"/>
                <w:szCs w:val="16"/>
                <w:spacing w:val="-2"/>
              </w:rPr>
              <w:t>《鲁防管理荣例》</w:t>
            </w:r>
          </w:p>
        </w:tc>
      </w:tr>
      <w:tr>
        <w:trPr>
          <w:trHeight w:val="479" w:hRule="atLeast"/>
        </w:trPr>
        <w:tc>
          <w:tcPr>
            <w:tcW w:w="594" w:type="dxa"/>
            <w:vAlign w:val="top"/>
          </w:tcPr>
          <w:p>
            <w:pPr>
              <w:pStyle w:val="TableText"/>
              <w:ind w:left="164"/>
              <w:spacing w:before="199" w:line="183" w:lineRule="auto"/>
              <w:rPr>
                <w:sz w:val="16"/>
                <w:szCs w:val="16"/>
              </w:rPr>
            </w:pPr>
            <w:r>
              <w:rPr>
                <w:sz w:val="16"/>
                <w:szCs w:val="16"/>
                <w:spacing w:val="-3"/>
              </w:rPr>
              <w:t>374</w:t>
            </w:r>
          </w:p>
        </w:tc>
        <w:tc>
          <w:tcPr>
            <w:tcW w:w="1279" w:type="dxa"/>
            <w:vAlign w:val="top"/>
          </w:tcPr>
          <w:p>
            <w:pPr>
              <w:pStyle w:val="TableText"/>
              <w:ind w:left="231"/>
              <w:spacing w:before="158" w:line="219" w:lineRule="auto"/>
              <w:rPr>
                <w:sz w:val="16"/>
                <w:szCs w:val="16"/>
              </w:rPr>
            </w:pPr>
            <w:r>
              <w:rPr>
                <w:sz w:val="16"/>
                <w:szCs w:val="16"/>
                <w:spacing w:val="-1"/>
              </w:rPr>
              <w:t>农业农料部</w:t>
            </w:r>
          </w:p>
        </w:tc>
        <w:tc>
          <w:tcPr>
            <w:tcW w:w="1638" w:type="dxa"/>
            <w:vAlign w:val="top"/>
          </w:tcPr>
          <w:p>
            <w:pPr>
              <w:pStyle w:val="TableText"/>
              <w:ind w:left="52" w:right="100" w:firstLine="40"/>
              <w:spacing w:before="67" w:line="226" w:lineRule="auto"/>
              <w:rPr>
                <w:sz w:val="16"/>
                <w:szCs w:val="16"/>
              </w:rPr>
            </w:pPr>
            <w:r>
              <w:rPr>
                <w:sz w:val="16"/>
                <w:szCs w:val="16"/>
                <w:spacing w:val="-1"/>
              </w:rPr>
              <w:t>进口器药在解和僧动</w:t>
            </w:r>
            <w:r>
              <w:rPr>
                <w:sz w:val="16"/>
                <w:szCs w:val="16"/>
                <w:spacing w:val="3"/>
              </w:rPr>
              <w:t xml:space="preserve"> </w:t>
            </w:r>
            <w:r>
              <w:rPr>
                <w:sz w:val="16"/>
                <w:szCs w:val="16"/>
                <w:spacing w:val="-2"/>
              </w:rPr>
              <w:t>班口审批</w:t>
            </w:r>
          </w:p>
        </w:tc>
        <w:tc>
          <w:tcPr>
            <w:tcW w:w="2377" w:type="dxa"/>
            <w:vAlign w:val="top"/>
          </w:tcPr>
          <w:p>
            <w:pPr>
              <w:pStyle w:val="TableText"/>
              <w:ind w:left="54"/>
              <w:spacing w:before="157" w:line="219" w:lineRule="auto"/>
              <w:rPr>
                <w:sz w:val="16"/>
                <w:szCs w:val="16"/>
              </w:rPr>
            </w:pPr>
            <w:r>
              <w:rPr>
                <w:sz w:val="16"/>
                <w:szCs w:val="16"/>
                <w:spacing w:val="-1"/>
              </w:rPr>
              <w:t>农或农村馨</w:t>
            </w:r>
          </w:p>
        </w:tc>
        <w:tc>
          <w:tcPr>
            <w:tcW w:w="3711" w:type="dxa"/>
            <w:vAlign w:val="top"/>
          </w:tcPr>
          <w:p>
            <w:pPr>
              <w:pStyle w:val="TableText"/>
              <w:ind w:left="186"/>
              <w:spacing w:before="158" w:line="219" w:lineRule="auto"/>
              <w:rPr>
                <w:sz w:val="16"/>
                <w:szCs w:val="16"/>
              </w:rPr>
            </w:pPr>
            <w:r>
              <w:rPr>
                <w:sz w:val="16"/>
                <w:szCs w:val="16"/>
                <w:spacing w:val="1"/>
              </w:rPr>
              <w:t>1春药资理条部3</w:t>
            </w:r>
          </w:p>
        </w:tc>
      </w:tr>
      <w:tr>
        <w:trPr>
          <w:trHeight w:val="669" w:hRule="atLeast"/>
        </w:trPr>
        <w:tc>
          <w:tcPr>
            <w:tcW w:w="594" w:type="dxa"/>
            <w:vAlign w:val="top"/>
          </w:tcPr>
          <w:p>
            <w:pPr>
              <w:spacing w:line="247" w:lineRule="auto"/>
              <w:rPr>
                <w:rFonts w:ascii="Arial"/>
                <w:sz w:val="21"/>
              </w:rPr>
            </w:pPr>
            <w:r/>
          </w:p>
          <w:p>
            <w:pPr>
              <w:pStyle w:val="TableText"/>
              <w:ind w:left="164"/>
              <w:spacing w:before="52" w:line="183" w:lineRule="auto"/>
              <w:rPr>
                <w:sz w:val="16"/>
                <w:szCs w:val="16"/>
              </w:rPr>
            </w:pPr>
            <w:r>
              <w:rPr>
                <w:sz w:val="16"/>
                <w:szCs w:val="16"/>
                <w:spacing w:val="-3"/>
              </w:rPr>
              <w:t>375</w:t>
            </w:r>
          </w:p>
        </w:tc>
        <w:tc>
          <w:tcPr>
            <w:tcW w:w="1279" w:type="dxa"/>
            <w:vAlign w:val="top"/>
          </w:tcPr>
          <w:p>
            <w:pPr>
              <w:pStyle w:val="TableText"/>
              <w:ind w:left="231"/>
              <w:spacing w:before="258" w:line="219" w:lineRule="auto"/>
              <w:rPr>
                <w:sz w:val="16"/>
                <w:szCs w:val="16"/>
              </w:rPr>
            </w:pPr>
            <w:r>
              <w:rPr>
                <w:sz w:val="16"/>
                <w:szCs w:val="16"/>
                <w:spacing w:val="-1"/>
              </w:rPr>
              <w:t>装业衣村部</w:t>
            </w:r>
          </w:p>
        </w:tc>
        <w:tc>
          <w:tcPr>
            <w:tcW w:w="1638" w:type="dxa"/>
            <w:vAlign w:val="top"/>
          </w:tcPr>
          <w:p>
            <w:pPr>
              <w:pStyle w:val="TableText"/>
              <w:ind w:left="42" w:right="102" w:firstLine="50"/>
              <w:spacing w:before="158" w:line="214" w:lineRule="auto"/>
              <w:rPr>
                <w:sz w:val="16"/>
                <w:szCs w:val="16"/>
              </w:rPr>
            </w:pPr>
            <w:r>
              <w:rPr>
                <w:sz w:val="16"/>
                <w:szCs w:val="16"/>
                <w:spacing w:val="-1"/>
              </w:rPr>
              <w:t>鲁医敬生物菌，毒种</w:t>
            </w:r>
            <w:r>
              <w:rPr>
                <w:sz w:val="16"/>
                <w:szCs w:val="16"/>
                <w:spacing w:val="1"/>
              </w:rPr>
              <w:t xml:space="preserve"> </w:t>
            </w:r>
            <w:r>
              <w:rPr>
                <w:sz w:val="16"/>
                <w:szCs w:val="16"/>
                <w:spacing w:val="-1"/>
              </w:rPr>
              <w:t>选出口审报</w:t>
            </w:r>
          </w:p>
        </w:tc>
        <w:tc>
          <w:tcPr>
            <w:tcW w:w="2377" w:type="dxa"/>
            <w:vAlign w:val="top"/>
          </w:tcPr>
          <w:p>
            <w:pPr>
              <w:pStyle w:val="TableText"/>
              <w:ind w:left="54"/>
              <w:spacing w:before="258" w:line="219" w:lineRule="auto"/>
              <w:rPr>
                <w:sz w:val="16"/>
                <w:szCs w:val="16"/>
              </w:rPr>
            </w:pPr>
            <w:r>
              <w:rPr>
                <w:sz w:val="16"/>
                <w:szCs w:val="16"/>
                <w:spacing w:val="-1"/>
              </w:rPr>
              <w:t>表业农村高</w:t>
            </w:r>
          </w:p>
        </w:tc>
        <w:tc>
          <w:tcPr>
            <w:tcW w:w="3711" w:type="dxa"/>
            <w:vAlign w:val="top"/>
          </w:tcPr>
          <w:p>
            <w:pPr>
              <w:pStyle w:val="TableText"/>
              <w:ind w:left="186" w:right="55"/>
              <w:spacing w:before="59" w:line="225" w:lineRule="auto"/>
              <w:rPr>
                <w:sz w:val="16"/>
                <w:szCs w:val="16"/>
              </w:rPr>
            </w:pPr>
            <w:r>
              <w:rPr>
                <w:sz w:val="16"/>
                <w:szCs w:val="16"/>
              </w:rPr>
              <w:t>1国务院对确置保自的行改审拉项目设定行故许问</w:t>
            </w:r>
            <w:r>
              <w:rPr>
                <w:sz w:val="16"/>
                <w:szCs w:val="16"/>
                <w:spacing w:val="17"/>
              </w:rPr>
              <w:t xml:space="preserve"> </w:t>
            </w:r>
            <w:r>
              <w:rPr>
                <w:sz w:val="16"/>
                <w:szCs w:val="16"/>
                <w:spacing w:val="4"/>
              </w:rPr>
              <w:t>的内定1</w:t>
            </w:r>
          </w:p>
          <w:p>
            <w:pPr>
              <w:pStyle w:val="TableText"/>
              <w:ind w:left="186"/>
              <w:spacing w:before="10" w:line="219" w:lineRule="auto"/>
              <w:rPr>
                <w:sz w:val="16"/>
                <w:szCs w:val="16"/>
              </w:rPr>
            </w:pPr>
            <w:r>
              <w:rPr>
                <w:sz w:val="16"/>
                <w:szCs w:val="16"/>
              </w:rPr>
              <w:t>1清的时原础生物海(毒)种化监管理办法1</w:t>
            </w:r>
          </w:p>
        </w:tc>
      </w:tr>
      <w:tr>
        <w:trPr>
          <w:trHeight w:val="459" w:hRule="atLeast"/>
        </w:trPr>
        <w:tc>
          <w:tcPr>
            <w:tcW w:w="594" w:type="dxa"/>
            <w:vAlign w:val="top"/>
          </w:tcPr>
          <w:p>
            <w:pPr>
              <w:pStyle w:val="TableText"/>
              <w:ind w:left="164"/>
              <w:spacing w:before="191" w:line="183" w:lineRule="auto"/>
              <w:rPr>
                <w:sz w:val="16"/>
                <w:szCs w:val="16"/>
              </w:rPr>
            </w:pPr>
            <w:r>
              <w:rPr>
                <w:sz w:val="16"/>
                <w:szCs w:val="16"/>
                <w:spacing w:val="-3"/>
              </w:rPr>
              <w:t>376</w:t>
            </w:r>
          </w:p>
        </w:tc>
        <w:tc>
          <w:tcPr>
            <w:tcW w:w="1279" w:type="dxa"/>
            <w:vAlign w:val="top"/>
          </w:tcPr>
          <w:p>
            <w:pPr>
              <w:pStyle w:val="TableText"/>
              <w:ind w:left="231"/>
              <w:spacing w:before="149" w:line="219" w:lineRule="auto"/>
              <w:rPr>
                <w:sz w:val="16"/>
                <w:szCs w:val="16"/>
              </w:rPr>
            </w:pPr>
            <w:r>
              <w:rPr>
                <w:sz w:val="16"/>
                <w:szCs w:val="16"/>
                <w:spacing w:val="-1"/>
              </w:rPr>
              <w:t>农业农村部</w:t>
            </w:r>
          </w:p>
        </w:tc>
        <w:tc>
          <w:tcPr>
            <w:tcW w:w="1638" w:type="dxa"/>
            <w:vAlign w:val="top"/>
          </w:tcPr>
          <w:p>
            <w:pPr>
              <w:pStyle w:val="TableText"/>
              <w:ind w:left="62"/>
              <w:spacing w:before="149" w:line="218" w:lineRule="auto"/>
              <w:rPr>
                <w:sz w:val="16"/>
                <w:szCs w:val="16"/>
              </w:rPr>
            </w:pPr>
            <w:r>
              <w:rPr>
                <w:sz w:val="16"/>
                <w:szCs w:val="16"/>
                <w:spacing w:val="-2"/>
              </w:rPr>
              <w:t>曹药广告审世</w:t>
            </w:r>
          </w:p>
        </w:tc>
        <w:tc>
          <w:tcPr>
            <w:tcW w:w="2377" w:type="dxa"/>
            <w:vAlign w:val="top"/>
          </w:tcPr>
          <w:p>
            <w:pPr>
              <w:pStyle w:val="TableText"/>
              <w:ind w:left="54"/>
              <w:spacing w:before="149" w:line="219" w:lineRule="auto"/>
              <w:rPr>
                <w:sz w:val="16"/>
                <w:szCs w:val="16"/>
              </w:rPr>
            </w:pPr>
            <w:r>
              <w:rPr>
                <w:sz w:val="16"/>
                <w:szCs w:val="16"/>
                <w:spacing w:val="1"/>
              </w:rPr>
              <w:t>表业农村称，名级香牧音医那门</w:t>
            </w:r>
          </w:p>
        </w:tc>
        <w:tc>
          <w:tcPr>
            <w:tcW w:w="3711" w:type="dxa"/>
            <w:vAlign w:val="top"/>
          </w:tcPr>
          <w:p>
            <w:pPr>
              <w:pStyle w:val="TableText"/>
              <w:ind w:left="106"/>
              <w:spacing w:before="39" w:line="210" w:lineRule="exact"/>
              <w:rPr>
                <w:sz w:val="16"/>
                <w:szCs w:val="16"/>
              </w:rPr>
            </w:pPr>
            <w:r>
              <w:rPr>
                <w:sz w:val="16"/>
                <w:szCs w:val="16"/>
                <w:spacing w:val="-2"/>
                <w:position w:val="3"/>
              </w:rPr>
              <w:t>《中华人民共和愿广告法》</w:t>
            </w:r>
          </w:p>
          <w:p>
            <w:pPr>
              <w:pStyle w:val="TableText"/>
              <w:ind w:left="186"/>
              <w:spacing w:line="218" w:lineRule="auto"/>
              <w:rPr>
                <w:sz w:val="16"/>
                <w:szCs w:val="16"/>
              </w:rPr>
            </w:pPr>
            <w:r>
              <w:rPr>
                <w:sz w:val="16"/>
                <w:szCs w:val="16"/>
                <w:spacing w:val="-2"/>
              </w:rPr>
              <w:t>界药弈理条训》</w:t>
            </w:r>
          </w:p>
        </w:tc>
      </w:tr>
      <w:tr>
        <w:trPr>
          <w:trHeight w:val="679" w:hRule="atLeast"/>
        </w:trPr>
        <w:tc>
          <w:tcPr>
            <w:tcW w:w="594" w:type="dxa"/>
            <w:vAlign w:val="top"/>
          </w:tcPr>
          <w:p>
            <w:pPr>
              <w:spacing w:line="249" w:lineRule="auto"/>
              <w:rPr>
                <w:rFonts w:ascii="Arial"/>
                <w:sz w:val="21"/>
              </w:rPr>
            </w:pPr>
            <w:r/>
          </w:p>
          <w:p>
            <w:pPr>
              <w:pStyle w:val="TableText"/>
              <w:ind w:left="164"/>
              <w:spacing w:before="52" w:line="183" w:lineRule="auto"/>
              <w:rPr>
                <w:sz w:val="16"/>
                <w:szCs w:val="16"/>
              </w:rPr>
            </w:pPr>
            <w:r>
              <w:rPr>
                <w:sz w:val="16"/>
                <w:szCs w:val="16"/>
                <w:spacing w:val="-3"/>
              </w:rPr>
              <w:t>377</w:t>
            </w:r>
          </w:p>
        </w:tc>
        <w:tc>
          <w:tcPr>
            <w:tcW w:w="1279" w:type="dxa"/>
            <w:vAlign w:val="top"/>
          </w:tcPr>
          <w:p>
            <w:pPr>
              <w:pStyle w:val="TableText"/>
              <w:ind w:left="231"/>
              <w:spacing w:before="260" w:line="219" w:lineRule="auto"/>
              <w:rPr>
                <w:sz w:val="16"/>
                <w:szCs w:val="16"/>
              </w:rPr>
            </w:pPr>
            <w:r>
              <w:rPr>
                <w:sz w:val="16"/>
                <w:szCs w:val="16"/>
                <w:spacing w:val="-1"/>
              </w:rPr>
              <w:t>农业农村部</w:t>
            </w:r>
          </w:p>
        </w:tc>
        <w:tc>
          <w:tcPr>
            <w:tcW w:w="1638" w:type="dxa"/>
            <w:vAlign w:val="top"/>
          </w:tcPr>
          <w:p>
            <w:pPr>
              <w:pStyle w:val="TableText"/>
              <w:ind w:left="42" w:right="86" w:firstLine="50"/>
              <w:spacing w:before="71" w:line="223" w:lineRule="auto"/>
              <w:jc w:val="both"/>
              <w:rPr>
                <w:sz w:val="16"/>
                <w:szCs w:val="16"/>
              </w:rPr>
            </w:pPr>
            <w:r>
              <w:rPr>
                <w:sz w:val="16"/>
                <w:szCs w:val="16"/>
                <w:spacing w:val="1"/>
              </w:rPr>
              <w:t>国家重点保护的天热</w:t>
            </w:r>
            <w:r>
              <w:rPr>
                <w:sz w:val="16"/>
                <w:szCs w:val="16"/>
              </w:rPr>
              <w:t xml:space="preserve"> </w:t>
            </w:r>
            <w:r>
              <w:rPr>
                <w:sz w:val="16"/>
                <w:szCs w:val="16"/>
                <w:spacing w:val="4"/>
              </w:rPr>
              <w:t>种质资源的采集，采</w:t>
            </w:r>
            <w:r>
              <w:rPr>
                <w:sz w:val="16"/>
                <w:szCs w:val="16"/>
                <w:spacing w:val="6"/>
              </w:rPr>
              <w:t xml:space="preserve"> </w:t>
            </w:r>
            <w:r>
              <w:rPr>
                <w:sz w:val="16"/>
                <w:szCs w:val="16"/>
                <w:spacing w:val="-2"/>
              </w:rPr>
              <w:t>找抚雅</w:t>
            </w:r>
          </w:p>
        </w:tc>
        <w:tc>
          <w:tcPr>
            <w:tcW w:w="2377" w:type="dxa"/>
            <w:vAlign w:val="top"/>
          </w:tcPr>
          <w:p>
            <w:pPr>
              <w:pStyle w:val="TableText"/>
              <w:ind w:left="54"/>
              <w:spacing w:before="260" w:line="219" w:lineRule="auto"/>
              <w:rPr>
                <w:sz w:val="16"/>
                <w:szCs w:val="16"/>
              </w:rPr>
            </w:pPr>
            <w:r>
              <w:rPr>
                <w:sz w:val="16"/>
                <w:szCs w:val="16"/>
                <w:spacing w:val="2"/>
              </w:rPr>
              <w:t>皆做农业农村都门</w:t>
            </w:r>
          </w:p>
        </w:tc>
        <w:tc>
          <w:tcPr>
            <w:tcW w:w="3711" w:type="dxa"/>
            <w:vAlign w:val="top"/>
          </w:tcPr>
          <w:p>
            <w:pPr>
              <w:pStyle w:val="TableText"/>
              <w:ind w:left="186"/>
              <w:spacing w:before="261" w:line="219" w:lineRule="auto"/>
              <w:rPr>
                <w:sz w:val="16"/>
                <w:szCs w:val="16"/>
              </w:rPr>
            </w:pPr>
            <w:r>
              <w:rPr>
                <w:sz w:val="16"/>
                <w:szCs w:val="16"/>
              </w:rPr>
              <w:t>1中华人说共和国种子法</w:t>
            </w:r>
          </w:p>
        </w:tc>
      </w:tr>
      <w:tr>
        <w:trPr>
          <w:trHeight w:val="669" w:hRule="atLeast"/>
        </w:trPr>
        <w:tc>
          <w:tcPr>
            <w:tcW w:w="594" w:type="dxa"/>
            <w:vAlign w:val="top"/>
          </w:tcPr>
          <w:p>
            <w:pPr>
              <w:spacing w:line="250" w:lineRule="auto"/>
              <w:rPr>
                <w:rFonts w:ascii="Arial"/>
                <w:sz w:val="21"/>
              </w:rPr>
            </w:pPr>
            <w:r/>
          </w:p>
          <w:p>
            <w:pPr>
              <w:pStyle w:val="TableText"/>
              <w:ind w:left="164"/>
              <w:spacing w:before="52" w:line="183" w:lineRule="auto"/>
              <w:rPr>
                <w:sz w:val="16"/>
                <w:szCs w:val="16"/>
              </w:rPr>
            </w:pPr>
            <w:r>
              <w:rPr>
                <w:sz w:val="16"/>
                <w:szCs w:val="16"/>
                <w:spacing w:val="-3"/>
              </w:rPr>
              <w:t>378</w:t>
            </w:r>
          </w:p>
        </w:tc>
        <w:tc>
          <w:tcPr>
            <w:tcW w:w="1279" w:type="dxa"/>
            <w:vAlign w:val="top"/>
          </w:tcPr>
          <w:p>
            <w:pPr>
              <w:pStyle w:val="TableText"/>
              <w:ind w:left="231"/>
              <w:spacing w:before="261" w:line="219" w:lineRule="auto"/>
              <w:rPr>
                <w:sz w:val="16"/>
                <w:szCs w:val="16"/>
              </w:rPr>
            </w:pPr>
            <w:r>
              <w:rPr>
                <w:sz w:val="16"/>
                <w:szCs w:val="16"/>
                <w:spacing w:val="-1"/>
              </w:rPr>
              <w:t>农业农村都</w:t>
            </w:r>
          </w:p>
        </w:tc>
        <w:tc>
          <w:tcPr>
            <w:tcW w:w="1638" w:type="dxa"/>
            <w:vAlign w:val="top"/>
          </w:tcPr>
          <w:p>
            <w:pPr>
              <w:pStyle w:val="TableText"/>
              <w:ind w:left="32" w:right="102" w:firstLine="60"/>
              <w:spacing w:before="151" w:line="232" w:lineRule="auto"/>
              <w:rPr>
                <w:sz w:val="16"/>
                <w:szCs w:val="16"/>
              </w:rPr>
            </w:pPr>
            <w:r>
              <w:rPr>
                <w:sz w:val="16"/>
                <w:szCs w:val="16"/>
                <w:spacing w:val="-1"/>
              </w:rPr>
              <w:t>农作物种子生产经营</w:t>
            </w:r>
            <w:r>
              <w:rPr>
                <w:sz w:val="16"/>
                <w:szCs w:val="16"/>
                <w:spacing w:val="1"/>
              </w:rPr>
              <w:t xml:space="preserve"> </w:t>
            </w:r>
            <w:r>
              <w:rPr>
                <w:sz w:val="16"/>
                <w:szCs w:val="16"/>
                <w:spacing w:val="-2"/>
              </w:rPr>
              <w:t>评可</w:t>
            </w:r>
          </w:p>
        </w:tc>
        <w:tc>
          <w:tcPr>
            <w:tcW w:w="2377" w:type="dxa"/>
            <w:vAlign w:val="top"/>
          </w:tcPr>
          <w:p>
            <w:pPr>
              <w:pStyle w:val="TableText"/>
              <w:ind w:left="54" w:right="89" w:hanging="10"/>
              <w:spacing w:before="151" w:line="219" w:lineRule="auto"/>
              <w:rPr>
                <w:sz w:val="16"/>
                <w:szCs w:val="16"/>
              </w:rPr>
            </w:pPr>
            <w:r>
              <w:rPr>
                <w:sz w:val="16"/>
                <w:szCs w:val="16"/>
                <w:spacing w:val="-1"/>
              </w:rPr>
              <w:t>农业农村感，管域，设区的市级</w:t>
            </w:r>
            <w:r>
              <w:rPr>
                <w:sz w:val="16"/>
                <w:szCs w:val="16"/>
                <w:spacing w:val="6"/>
              </w:rPr>
              <w:t xml:space="preserve"> </w:t>
            </w:r>
            <w:r>
              <w:rPr>
                <w:sz w:val="16"/>
                <w:szCs w:val="16"/>
                <w:spacing w:val="2"/>
              </w:rPr>
              <w:t>甚级表查农村醒门</w:t>
            </w:r>
          </w:p>
        </w:tc>
        <w:tc>
          <w:tcPr>
            <w:tcW w:w="3711" w:type="dxa"/>
            <w:vAlign w:val="top"/>
          </w:tcPr>
          <w:p>
            <w:pPr>
              <w:pStyle w:val="TableText"/>
              <w:ind w:left="186"/>
              <w:spacing w:before="62" w:line="219" w:lineRule="auto"/>
              <w:rPr>
                <w:sz w:val="16"/>
                <w:szCs w:val="16"/>
              </w:rPr>
            </w:pPr>
            <w:r>
              <w:rPr>
                <w:sz w:val="16"/>
                <w:szCs w:val="16"/>
                <w:spacing w:val="-2"/>
              </w:rPr>
              <w:t>和华人民共和国辞子法》</w:t>
            </w:r>
          </w:p>
          <w:p>
            <w:pPr>
              <w:pStyle w:val="TableText"/>
              <w:ind w:left="186"/>
              <w:spacing w:before="10" w:line="219" w:lineRule="auto"/>
              <w:rPr>
                <w:sz w:val="16"/>
                <w:szCs w:val="16"/>
              </w:rPr>
            </w:pPr>
            <w:r>
              <w:rPr>
                <w:sz w:val="16"/>
                <w:szCs w:val="16"/>
              </w:rPr>
              <w:t>(农业转基四生物安全管理条间?</w:t>
            </w:r>
          </w:p>
          <w:p>
            <w:pPr>
              <w:pStyle w:val="TableText"/>
              <w:ind w:left="186"/>
              <w:spacing w:before="20" w:line="215" w:lineRule="auto"/>
              <w:rPr>
                <w:sz w:val="16"/>
                <w:szCs w:val="16"/>
              </w:rPr>
            </w:pPr>
            <w:r>
              <w:rPr>
                <w:sz w:val="16"/>
                <w:szCs w:val="16"/>
                <w:spacing w:val="-1"/>
              </w:rPr>
              <w:t>T装作物种子生产经背许可替理办法》</w:t>
            </w:r>
          </w:p>
        </w:tc>
      </w:tr>
      <w:tr>
        <w:trPr>
          <w:trHeight w:val="669" w:hRule="atLeast"/>
        </w:trPr>
        <w:tc>
          <w:tcPr>
            <w:tcW w:w="594" w:type="dxa"/>
            <w:vAlign w:val="top"/>
          </w:tcPr>
          <w:p>
            <w:pPr>
              <w:spacing w:line="251" w:lineRule="auto"/>
              <w:rPr>
                <w:rFonts w:ascii="Arial"/>
                <w:sz w:val="21"/>
              </w:rPr>
            </w:pPr>
            <w:r/>
          </w:p>
          <w:p>
            <w:pPr>
              <w:pStyle w:val="TableText"/>
              <w:ind w:left="164"/>
              <w:spacing w:before="52" w:line="183" w:lineRule="auto"/>
              <w:rPr>
                <w:sz w:val="16"/>
                <w:szCs w:val="16"/>
              </w:rPr>
            </w:pPr>
            <w:r>
              <w:rPr>
                <w:sz w:val="16"/>
                <w:szCs w:val="16"/>
                <w:spacing w:val="-3"/>
              </w:rPr>
              <w:t>379</w:t>
            </w:r>
          </w:p>
        </w:tc>
        <w:tc>
          <w:tcPr>
            <w:tcW w:w="1279" w:type="dxa"/>
            <w:vAlign w:val="top"/>
          </w:tcPr>
          <w:p>
            <w:pPr>
              <w:pStyle w:val="TableText"/>
              <w:ind w:left="231"/>
              <w:spacing w:before="262" w:line="219" w:lineRule="auto"/>
              <w:rPr>
                <w:sz w:val="16"/>
                <w:szCs w:val="16"/>
              </w:rPr>
            </w:pPr>
            <w:r>
              <w:rPr>
                <w:sz w:val="16"/>
                <w:szCs w:val="16"/>
                <w:spacing w:val="-1"/>
              </w:rPr>
              <w:t>表虫农村部</w:t>
            </w:r>
          </w:p>
        </w:tc>
        <w:tc>
          <w:tcPr>
            <w:tcW w:w="1638" w:type="dxa"/>
            <w:vAlign w:val="top"/>
          </w:tcPr>
          <w:p>
            <w:pPr>
              <w:pStyle w:val="TableText"/>
              <w:ind w:left="42" w:right="102" w:firstLine="50"/>
              <w:spacing w:before="162" w:line="232" w:lineRule="auto"/>
              <w:rPr>
                <w:sz w:val="16"/>
                <w:szCs w:val="16"/>
              </w:rPr>
            </w:pPr>
            <w:r>
              <w:rPr>
                <w:sz w:val="16"/>
                <w:szCs w:val="16"/>
                <w:spacing w:val="-1"/>
              </w:rPr>
              <w:t>食用菌菌种生产经背</w:t>
            </w:r>
            <w:r>
              <w:rPr>
                <w:sz w:val="16"/>
                <w:szCs w:val="16"/>
                <w:spacing w:val="1"/>
              </w:rPr>
              <w:t xml:space="preserve"> </w:t>
            </w:r>
            <w:r>
              <w:rPr>
                <w:sz w:val="16"/>
                <w:szCs w:val="16"/>
                <w:spacing w:val="-2"/>
              </w:rPr>
              <w:t>许可</w:t>
            </w:r>
          </w:p>
        </w:tc>
        <w:tc>
          <w:tcPr>
            <w:tcW w:w="2377" w:type="dxa"/>
            <w:vAlign w:val="top"/>
          </w:tcPr>
          <w:p>
            <w:pPr>
              <w:pStyle w:val="TableText"/>
              <w:ind w:left="54" w:right="231" w:firstLine="10"/>
              <w:spacing w:before="53" w:line="233" w:lineRule="auto"/>
              <w:jc w:val="both"/>
              <w:rPr>
                <w:sz w:val="16"/>
                <w:szCs w:val="16"/>
              </w:rPr>
            </w:pPr>
            <w:r>
              <w:rPr>
                <w:sz w:val="16"/>
                <w:szCs w:val="16"/>
                <w:spacing w:val="-1"/>
              </w:rPr>
              <w:t>省强农重农村部门由县级衣业</w:t>
            </w:r>
            <w:r>
              <w:rPr>
                <w:sz w:val="16"/>
                <w:szCs w:val="16"/>
                <w:spacing w:val="3"/>
              </w:rPr>
              <w:t xml:space="preserve"> </w:t>
            </w:r>
            <w:r>
              <w:rPr>
                <w:sz w:val="16"/>
                <w:szCs w:val="16"/>
              </w:rPr>
              <w:t>表村部门受理r基职表业表村</w:t>
            </w:r>
            <w:r>
              <w:rPr>
                <w:sz w:val="16"/>
                <w:szCs w:val="16"/>
                <w:spacing w:val="1"/>
              </w:rPr>
              <w:t xml:space="preserve">  </w:t>
            </w:r>
            <w:r>
              <w:rPr>
                <w:sz w:val="16"/>
                <w:szCs w:val="16"/>
                <w:spacing w:val="8"/>
              </w:rPr>
              <w:t>本门</w:t>
            </w:r>
          </w:p>
        </w:tc>
        <w:tc>
          <w:tcPr>
            <w:tcW w:w="3711" w:type="dxa"/>
            <w:vAlign w:val="top"/>
          </w:tcPr>
          <w:p>
            <w:pPr>
              <w:pStyle w:val="TableText"/>
              <w:ind w:left="186"/>
              <w:spacing w:before="173" w:line="242" w:lineRule="auto"/>
              <w:rPr>
                <w:sz w:val="16"/>
                <w:szCs w:val="16"/>
              </w:rPr>
            </w:pPr>
            <w:r>
              <w:rPr>
                <w:sz w:val="16"/>
                <w:szCs w:val="16"/>
                <w:spacing w:val="6"/>
              </w:rPr>
              <w:t>(中伴人风非和国种子法】</w:t>
            </w:r>
          </w:p>
          <w:p>
            <w:pPr>
              <w:pStyle w:val="TableText"/>
              <w:ind w:left="186"/>
              <w:spacing w:line="219" w:lineRule="auto"/>
              <w:rPr>
                <w:sz w:val="16"/>
                <w:szCs w:val="16"/>
              </w:rPr>
            </w:pPr>
            <w:r>
              <w:rPr>
                <w:sz w:val="16"/>
                <w:szCs w:val="16"/>
              </w:rPr>
              <w:t>1食加落菌种含鑫杂法》</w:t>
            </w:r>
          </w:p>
        </w:tc>
      </w:tr>
      <w:tr>
        <w:trPr>
          <w:trHeight w:val="679" w:hRule="atLeast"/>
        </w:trPr>
        <w:tc>
          <w:tcPr>
            <w:tcW w:w="594" w:type="dxa"/>
            <w:vAlign w:val="top"/>
          </w:tcPr>
          <w:p>
            <w:pPr>
              <w:spacing w:line="252" w:lineRule="auto"/>
              <w:rPr>
                <w:rFonts w:ascii="Arial"/>
                <w:sz w:val="21"/>
              </w:rPr>
            </w:pPr>
            <w:r/>
          </w:p>
          <w:p>
            <w:pPr>
              <w:pStyle w:val="TableText"/>
              <w:ind w:left="164"/>
              <w:spacing w:before="52" w:line="183" w:lineRule="auto"/>
              <w:rPr>
                <w:sz w:val="16"/>
                <w:szCs w:val="16"/>
              </w:rPr>
            </w:pPr>
            <w:r>
              <w:rPr>
                <w:sz w:val="16"/>
                <w:szCs w:val="16"/>
                <w:spacing w:val="-3"/>
              </w:rPr>
              <w:t>380</w:t>
            </w:r>
          </w:p>
        </w:tc>
        <w:tc>
          <w:tcPr>
            <w:tcW w:w="1279" w:type="dxa"/>
            <w:vAlign w:val="top"/>
          </w:tcPr>
          <w:p>
            <w:pPr>
              <w:pStyle w:val="TableText"/>
              <w:ind w:left="231"/>
              <w:spacing w:before="263" w:line="219" w:lineRule="auto"/>
              <w:rPr>
                <w:sz w:val="16"/>
                <w:szCs w:val="16"/>
              </w:rPr>
            </w:pPr>
            <w:r>
              <w:rPr>
                <w:sz w:val="16"/>
                <w:szCs w:val="16"/>
                <w:spacing w:val="-1"/>
              </w:rPr>
              <w:t>农业农村都</w:t>
            </w:r>
          </w:p>
        </w:tc>
        <w:tc>
          <w:tcPr>
            <w:tcW w:w="1638" w:type="dxa"/>
            <w:vAlign w:val="top"/>
          </w:tcPr>
          <w:p>
            <w:pPr>
              <w:pStyle w:val="TableText"/>
              <w:ind w:left="62" w:right="102" w:firstLine="30"/>
              <w:spacing w:before="83" w:line="224" w:lineRule="auto"/>
              <w:jc w:val="both"/>
              <w:rPr>
                <w:sz w:val="16"/>
                <w:szCs w:val="16"/>
              </w:rPr>
            </w:pPr>
            <w:r>
              <w:rPr>
                <w:sz w:val="16"/>
                <w:szCs w:val="16"/>
                <w:spacing w:val="-1"/>
              </w:rPr>
              <w:t>农作物种子，食用满</w:t>
            </w:r>
            <w:r>
              <w:rPr>
                <w:sz w:val="16"/>
                <w:szCs w:val="16"/>
                <w:spacing w:val="1"/>
              </w:rPr>
              <w:t xml:space="preserve"> </w:t>
            </w:r>
            <w:r>
              <w:rPr>
                <w:sz w:val="16"/>
                <w:szCs w:val="16"/>
                <w:spacing w:val="2"/>
              </w:rPr>
              <w:t>蓝种质量检翁机构资</w:t>
            </w:r>
            <w:r>
              <w:rPr>
                <w:sz w:val="16"/>
                <w:szCs w:val="16"/>
                <w:spacing w:val="4"/>
              </w:rPr>
              <w:t xml:space="preserve"> </w:t>
            </w:r>
            <w:r>
              <w:rPr>
                <w:sz w:val="16"/>
                <w:szCs w:val="16"/>
                <w:spacing w:val="-2"/>
              </w:rPr>
              <w:t>质认定</w:t>
            </w:r>
          </w:p>
        </w:tc>
        <w:tc>
          <w:tcPr>
            <w:tcW w:w="2377" w:type="dxa"/>
            <w:vAlign w:val="top"/>
          </w:tcPr>
          <w:p>
            <w:pPr>
              <w:pStyle w:val="TableText"/>
              <w:ind w:left="54"/>
              <w:spacing w:before="263" w:line="219" w:lineRule="auto"/>
              <w:rPr>
                <w:sz w:val="16"/>
                <w:szCs w:val="16"/>
              </w:rPr>
            </w:pPr>
            <w:r>
              <w:rPr>
                <w:sz w:val="16"/>
                <w:szCs w:val="16"/>
                <w:spacing w:val="2"/>
              </w:rPr>
              <w:t>省腹农查表村常门</w:t>
            </w:r>
          </w:p>
        </w:tc>
        <w:tc>
          <w:tcPr>
            <w:tcW w:w="3711" w:type="dxa"/>
            <w:vAlign w:val="top"/>
          </w:tcPr>
          <w:p>
            <w:pPr>
              <w:pStyle w:val="TableText"/>
              <w:ind w:left="186"/>
              <w:spacing w:before="264" w:line="219" w:lineRule="auto"/>
              <w:rPr>
                <w:sz w:val="16"/>
                <w:szCs w:val="16"/>
              </w:rPr>
            </w:pPr>
            <w:r>
              <w:rPr>
                <w:sz w:val="16"/>
                <w:szCs w:val="16"/>
                <w:spacing w:val="1"/>
              </w:rPr>
              <w:t>中华人民共和属种子法1</w:t>
            </w:r>
          </w:p>
        </w:tc>
      </w:tr>
      <w:tr>
        <w:trPr>
          <w:trHeight w:val="669" w:hRule="atLeast"/>
        </w:trPr>
        <w:tc>
          <w:tcPr>
            <w:tcW w:w="594" w:type="dxa"/>
            <w:vAlign w:val="top"/>
          </w:tcPr>
          <w:p>
            <w:pPr>
              <w:spacing w:line="252" w:lineRule="auto"/>
              <w:rPr>
                <w:rFonts w:ascii="Arial"/>
                <w:sz w:val="21"/>
              </w:rPr>
            </w:pPr>
            <w:r/>
          </w:p>
          <w:p>
            <w:pPr>
              <w:pStyle w:val="TableText"/>
              <w:ind w:left="164"/>
              <w:spacing w:before="52" w:line="184" w:lineRule="auto"/>
              <w:rPr>
                <w:sz w:val="16"/>
                <w:szCs w:val="16"/>
              </w:rPr>
            </w:pPr>
            <w:r>
              <w:rPr>
                <w:sz w:val="16"/>
                <w:szCs w:val="16"/>
                <w:spacing w:val="-3"/>
              </w:rPr>
              <w:t>381</w:t>
            </w:r>
          </w:p>
        </w:tc>
        <w:tc>
          <w:tcPr>
            <w:tcW w:w="1279" w:type="dxa"/>
            <w:vAlign w:val="top"/>
          </w:tcPr>
          <w:p>
            <w:pPr>
              <w:pStyle w:val="TableText"/>
              <w:ind w:left="231"/>
              <w:spacing w:before="264" w:line="219" w:lineRule="auto"/>
              <w:rPr>
                <w:sz w:val="16"/>
                <w:szCs w:val="16"/>
              </w:rPr>
            </w:pPr>
            <w:r>
              <w:rPr>
                <w:sz w:val="16"/>
                <w:szCs w:val="16"/>
                <w:spacing w:val="-1"/>
              </w:rPr>
              <w:t>农业农村部</w:t>
            </w:r>
          </w:p>
        </w:tc>
        <w:tc>
          <w:tcPr>
            <w:tcW w:w="1638" w:type="dxa"/>
            <w:vAlign w:val="top"/>
          </w:tcPr>
          <w:p>
            <w:pPr>
              <w:pStyle w:val="TableText"/>
              <w:ind w:left="72" w:right="101" w:firstLine="20"/>
              <w:spacing w:before="73" w:line="225" w:lineRule="auto"/>
              <w:jc w:val="both"/>
              <w:rPr>
                <w:sz w:val="16"/>
                <w:szCs w:val="16"/>
              </w:rPr>
            </w:pPr>
            <w:r>
              <w:rPr>
                <w:sz w:val="16"/>
                <w:szCs w:val="16"/>
                <w:spacing w:val="-1"/>
              </w:rPr>
              <w:t>对外抛供种质系盘与</w:t>
            </w:r>
            <w:r>
              <w:rPr>
                <w:sz w:val="16"/>
                <w:szCs w:val="16"/>
                <w:spacing w:val="2"/>
              </w:rPr>
              <w:t xml:space="preserve"> </w:t>
            </w:r>
            <w:r>
              <w:rPr>
                <w:sz w:val="16"/>
                <w:szCs w:val="16"/>
                <w:spacing w:val="1"/>
              </w:rPr>
              <w:t>农作物种了，食用需</w:t>
            </w:r>
            <w:r>
              <w:rPr>
                <w:sz w:val="16"/>
                <w:szCs w:val="16"/>
                <w:spacing w:val="3"/>
              </w:rPr>
              <w:t xml:space="preserve"> </w:t>
            </w:r>
            <w:r>
              <w:rPr>
                <w:sz w:val="16"/>
                <w:szCs w:val="16"/>
                <w:spacing w:val="-2"/>
              </w:rPr>
              <w:t>菌种货出口审北</w:t>
            </w:r>
          </w:p>
        </w:tc>
        <w:tc>
          <w:tcPr>
            <w:tcW w:w="2377" w:type="dxa"/>
            <w:vAlign w:val="top"/>
          </w:tcPr>
          <w:p>
            <w:pPr>
              <w:pStyle w:val="TableText"/>
              <w:ind w:left="54"/>
              <w:spacing w:before="264" w:line="219" w:lineRule="auto"/>
              <w:rPr>
                <w:sz w:val="16"/>
                <w:szCs w:val="16"/>
              </w:rPr>
            </w:pPr>
            <w:r>
              <w:rPr>
                <w:sz w:val="16"/>
                <w:szCs w:val="16"/>
                <w:spacing w:val="1"/>
              </w:rPr>
              <w:t>农业表付部，首级表业衣村部门</w:t>
            </w:r>
          </w:p>
        </w:tc>
        <w:tc>
          <w:tcPr>
            <w:tcW w:w="3711" w:type="dxa"/>
            <w:vAlign w:val="top"/>
          </w:tcPr>
          <w:p>
            <w:pPr>
              <w:pStyle w:val="TableText"/>
              <w:ind w:left="186"/>
              <w:spacing w:before="266" w:line="220" w:lineRule="auto"/>
              <w:rPr>
                <w:sz w:val="16"/>
                <w:szCs w:val="16"/>
              </w:rPr>
            </w:pPr>
            <w:r>
              <w:rPr>
                <w:sz w:val="16"/>
                <w:szCs w:val="16"/>
                <w:spacing w:val="1"/>
              </w:rPr>
              <w:t>1中华人民其和回种子法1</w:t>
            </w:r>
          </w:p>
        </w:tc>
      </w:tr>
      <w:tr>
        <w:trPr>
          <w:trHeight w:val="734" w:hRule="atLeast"/>
        </w:trPr>
        <w:tc>
          <w:tcPr>
            <w:tcW w:w="594" w:type="dxa"/>
            <w:vAlign w:val="top"/>
          </w:tcPr>
          <w:p>
            <w:pPr>
              <w:spacing w:line="284" w:lineRule="auto"/>
              <w:rPr>
                <w:rFonts w:ascii="Arial"/>
                <w:sz w:val="21"/>
              </w:rPr>
            </w:pPr>
            <w:r/>
          </w:p>
          <w:p>
            <w:pPr>
              <w:pStyle w:val="TableText"/>
              <w:ind w:left="164"/>
              <w:spacing w:before="52" w:line="183" w:lineRule="auto"/>
              <w:rPr>
                <w:sz w:val="16"/>
                <w:szCs w:val="16"/>
              </w:rPr>
            </w:pPr>
            <w:r>
              <w:rPr>
                <w:sz w:val="16"/>
                <w:szCs w:val="16"/>
                <w:spacing w:val="-3"/>
              </w:rPr>
              <w:t>382</w:t>
            </w:r>
          </w:p>
        </w:tc>
        <w:tc>
          <w:tcPr>
            <w:tcW w:w="1279" w:type="dxa"/>
            <w:vAlign w:val="top"/>
          </w:tcPr>
          <w:p>
            <w:pPr>
              <w:spacing w:line="242" w:lineRule="auto"/>
              <w:rPr>
                <w:rFonts w:ascii="Arial"/>
                <w:sz w:val="21"/>
              </w:rPr>
            </w:pPr>
            <w:r/>
          </w:p>
          <w:p>
            <w:pPr>
              <w:pStyle w:val="TableText"/>
              <w:ind w:left="231"/>
              <w:spacing w:before="52" w:line="219" w:lineRule="auto"/>
              <w:rPr>
                <w:sz w:val="16"/>
                <w:szCs w:val="16"/>
              </w:rPr>
            </w:pPr>
            <w:r>
              <w:rPr>
                <w:sz w:val="16"/>
                <w:szCs w:val="16"/>
                <w:spacing w:val="-1"/>
              </w:rPr>
              <w:t>农业农科部</w:t>
            </w:r>
          </w:p>
        </w:tc>
        <w:tc>
          <w:tcPr>
            <w:tcW w:w="1638" w:type="dxa"/>
            <w:vAlign w:val="top"/>
          </w:tcPr>
          <w:p>
            <w:pPr>
              <w:pStyle w:val="TableText"/>
              <w:ind w:left="52" w:right="79" w:firstLine="119"/>
              <w:spacing w:before="106" w:line="227" w:lineRule="auto"/>
              <w:rPr>
                <w:sz w:val="16"/>
                <w:szCs w:val="16"/>
              </w:rPr>
            </w:pPr>
            <w:r>
              <w:rPr>
                <w:sz w:val="16"/>
                <w:szCs w:val="16"/>
              </w:rPr>
              <w:t>向外国人转让农业</w:t>
            </w:r>
            <w:r>
              <w:rPr>
                <w:sz w:val="16"/>
                <w:szCs w:val="16"/>
                <w:spacing w:val="2"/>
              </w:rPr>
              <w:t xml:space="preserve">  </w:t>
            </w:r>
            <w:r>
              <w:rPr>
                <w:sz w:val="16"/>
                <w:szCs w:val="16"/>
                <w:spacing w:val="6"/>
              </w:rPr>
              <w:t>物新品种中请权或品</w:t>
            </w:r>
            <w:r>
              <w:rPr>
                <w:sz w:val="16"/>
                <w:szCs w:val="16"/>
                <w:spacing w:val="1"/>
              </w:rPr>
              <w:t xml:space="preserve"> </w:t>
            </w:r>
            <w:r>
              <w:rPr>
                <w:sz w:val="16"/>
                <w:szCs w:val="16"/>
                <w:spacing w:val="-2"/>
              </w:rPr>
              <w:t>种权审北</w:t>
            </w:r>
          </w:p>
        </w:tc>
        <w:tc>
          <w:tcPr>
            <w:tcW w:w="2377" w:type="dxa"/>
            <w:vAlign w:val="top"/>
          </w:tcPr>
          <w:p>
            <w:pPr>
              <w:spacing w:line="242" w:lineRule="auto"/>
              <w:rPr>
                <w:rFonts w:ascii="Arial"/>
                <w:sz w:val="21"/>
              </w:rPr>
            </w:pPr>
            <w:r/>
          </w:p>
          <w:p>
            <w:pPr>
              <w:pStyle w:val="TableText"/>
              <w:ind w:left="54"/>
              <w:spacing w:before="52" w:line="219" w:lineRule="auto"/>
              <w:rPr>
                <w:sz w:val="16"/>
                <w:szCs w:val="16"/>
              </w:rPr>
            </w:pPr>
            <w:r>
              <w:rPr>
                <w:sz w:val="16"/>
                <w:szCs w:val="16"/>
                <w:spacing w:val="-1"/>
              </w:rPr>
              <w:t>农生农村面</w:t>
            </w:r>
          </w:p>
        </w:tc>
        <w:tc>
          <w:tcPr>
            <w:tcW w:w="3711" w:type="dxa"/>
            <w:vAlign w:val="top"/>
          </w:tcPr>
          <w:p>
            <w:pPr>
              <w:spacing w:line="243" w:lineRule="auto"/>
              <w:rPr>
                <w:rFonts w:ascii="Arial"/>
                <w:sz w:val="21"/>
              </w:rPr>
            </w:pPr>
            <w:r/>
          </w:p>
          <w:p>
            <w:pPr>
              <w:pStyle w:val="TableText"/>
              <w:ind w:left="186"/>
              <w:spacing w:before="52" w:line="219" w:lineRule="auto"/>
              <w:rPr>
                <w:sz w:val="16"/>
                <w:szCs w:val="16"/>
              </w:rPr>
            </w:pPr>
            <w:r>
              <w:rPr>
                <w:sz w:val="16"/>
                <w:szCs w:val="16"/>
              </w:rPr>
              <w:t>中华人民共和国植期新品种保护条努?</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64064"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246" name="TextBox 246"/>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8" style="position:absolute;margin-left:35.8547pt;margin-top:48.6757pt;mso-position-vertical-relative:page;mso-position-horizontal-relative:page;width:14.35pt;height:13pt;z-index:251864064;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204</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99"/>
        <w:gridCol w:w="1628"/>
        <w:gridCol w:w="2367"/>
        <w:gridCol w:w="3711"/>
      </w:tblGrid>
      <w:tr>
        <w:trPr>
          <w:trHeight w:val="424" w:hRule="atLeast"/>
        </w:trPr>
        <w:tc>
          <w:tcPr>
            <w:tcW w:w="594" w:type="dxa"/>
            <w:vAlign w:val="top"/>
          </w:tcPr>
          <w:p>
            <w:pPr>
              <w:pStyle w:val="TableText"/>
              <w:ind w:left="124"/>
              <w:spacing w:before="132" w:line="220" w:lineRule="auto"/>
              <w:rPr>
                <w:sz w:val="16"/>
                <w:szCs w:val="16"/>
              </w:rPr>
            </w:pPr>
            <w:r>
              <w:rPr>
                <w:sz w:val="16"/>
                <w:szCs w:val="16"/>
                <w:spacing w:val="-2"/>
              </w:rPr>
              <w:t>席号</w:t>
            </w:r>
          </w:p>
        </w:tc>
        <w:tc>
          <w:tcPr>
            <w:tcW w:w="1299" w:type="dxa"/>
            <w:vAlign w:val="top"/>
          </w:tcPr>
          <w:p>
            <w:pPr>
              <w:pStyle w:val="TableText"/>
              <w:ind w:left="160"/>
              <w:spacing w:before="132" w:line="220" w:lineRule="auto"/>
              <w:rPr>
                <w:sz w:val="16"/>
                <w:szCs w:val="16"/>
              </w:rPr>
            </w:pPr>
            <w:r>
              <w:rPr>
                <w:sz w:val="16"/>
                <w:szCs w:val="16"/>
                <w:spacing w:val="3"/>
              </w:rPr>
              <w:t>中央主费感门</w:t>
            </w:r>
          </w:p>
        </w:tc>
        <w:tc>
          <w:tcPr>
            <w:tcW w:w="1628" w:type="dxa"/>
            <w:vAlign w:val="top"/>
          </w:tcPr>
          <w:p>
            <w:pPr>
              <w:pStyle w:val="TableText"/>
              <w:ind w:left="481"/>
              <w:spacing w:before="132" w:line="220" w:lineRule="auto"/>
              <w:rPr>
                <w:sz w:val="16"/>
                <w:szCs w:val="16"/>
              </w:rPr>
            </w:pPr>
            <w:r>
              <w:rPr>
                <w:sz w:val="16"/>
                <w:szCs w:val="16"/>
                <w:spacing w:val="-2"/>
              </w:rPr>
              <w:t>事填名称</w:t>
            </w:r>
          </w:p>
        </w:tc>
        <w:tc>
          <w:tcPr>
            <w:tcW w:w="2367" w:type="dxa"/>
            <w:vAlign w:val="top"/>
          </w:tcPr>
          <w:p>
            <w:pPr>
              <w:pStyle w:val="TableText"/>
              <w:ind w:left="856"/>
              <w:spacing w:before="128" w:line="219" w:lineRule="auto"/>
              <w:rPr>
                <w:sz w:val="16"/>
                <w:szCs w:val="16"/>
              </w:rPr>
            </w:pPr>
            <w:r>
              <w:rPr>
                <w:sz w:val="16"/>
                <w:szCs w:val="16"/>
                <w:b/>
                <w:bCs/>
                <w:spacing w:val="-4"/>
              </w:rPr>
              <w:t>实施机关</w:t>
            </w:r>
          </w:p>
        </w:tc>
        <w:tc>
          <w:tcPr>
            <w:tcW w:w="3711" w:type="dxa"/>
            <w:vAlign w:val="top"/>
          </w:tcPr>
          <w:p>
            <w:pPr>
              <w:pStyle w:val="TableText"/>
              <w:ind w:left="1279"/>
              <w:spacing w:before="128" w:line="219" w:lineRule="auto"/>
              <w:rPr>
                <w:sz w:val="16"/>
                <w:szCs w:val="16"/>
              </w:rPr>
            </w:pPr>
            <w:r>
              <w:rPr>
                <w:sz w:val="16"/>
                <w:szCs w:val="16"/>
                <w:b/>
                <w:bCs/>
                <w:spacing w:val="-3"/>
              </w:rPr>
              <w:t>设定和实施依据</w:t>
            </w:r>
          </w:p>
        </w:tc>
      </w:tr>
      <w:tr>
        <w:trPr>
          <w:trHeight w:val="699" w:hRule="atLeast"/>
        </w:trPr>
        <w:tc>
          <w:tcPr>
            <w:tcW w:w="594" w:type="dxa"/>
            <w:vAlign w:val="top"/>
          </w:tcPr>
          <w:p>
            <w:pPr>
              <w:spacing w:line="255" w:lineRule="auto"/>
              <w:rPr>
                <w:rFonts w:ascii="Arial"/>
                <w:sz w:val="21"/>
              </w:rPr>
            </w:pPr>
            <w:r/>
          </w:p>
          <w:p>
            <w:pPr>
              <w:pStyle w:val="TableText"/>
              <w:ind w:left="164"/>
              <w:spacing w:before="52" w:line="183" w:lineRule="auto"/>
              <w:rPr>
                <w:sz w:val="16"/>
                <w:szCs w:val="16"/>
              </w:rPr>
            </w:pPr>
            <w:r>
              <w:rPr>
                <w:sz w:val="16"/>
                <w:szCs w:val="16"/>
                <w:spacing w:val="-3"/>
              </w:rPr>
              <w:t>3N3</w:t>
            </w:r>
          </w:p>
        </w:tc>
        <w:tc>
          <w:tcPr>
            <w:tcW w:w="1299" w:type="dxa"/>
            <w:vAlign w:val="top"/>
          </w:tcPr>
          <w:p>
            <w:pPr>
              <w:pStyle w:val="TableText"/>
              <w:ind w:left="241"/>
              <w:spacing w:before="266" w:line="219" w:lineRule="auto"/>
              <w:rPr>
                <w:sz w:val="16"/>
                <w:szCs w:val="16"/>
              </w:rPr>
            </w:pPr>
            <w:r>
              <w:rPr>
                <w:sz w:val="16"/>
                <w:szCs w:val="16"/>
                <w:spacing w:val="-1"/>
              </w:rPr>
              <w:t>农重农材部</w:t>
            </w:r>
          </w:p>
        </w:tc>
        <w:tc>
          <w:tcPr>
            <w:tcW w:w="1628" w:type="dxa"/>
            <w:vAlign w:val="top"/>
          </w:tcPr>
          <w:p>
            <w:pPr>
              <w:pStyle w:val="TableText"/>
              <w:ind w:left="32" w:right="102" w:firstLine="50"/>
              <w:spacing w:before="86" w:line="224" w:lineRule="auto"/>
              <w:jc w:val="both"/>
              <w:rPr>
                <w:sz w:val="16"/>
                <w:szCs w:val="16"/>
              </w:rPr>
            </w:pPr>
            <w:r>
              <w:rPr>
                <w:sz w:val="16"/>
                <w:szCs w:val="16"/>
                <w:spacing w:val="-1"/>
              </w:rPr>
              <w:t>使用低于因家成地方</w:t>
            </w:r>
            <w:r>
              <w:rPr>
                <w:sz w:val="16"/>
                <w:szCs w:val="16"/>
                <w:spacing w:val="1"/>
              </w:rPr>
              <w:t xml:space="preserve"> </w:t>
            </w:r>
            <w:r>
              <w:rPr>
                <w:sz w:val="16"/>
                <w:szCs w:val="16"/>
                <w:spacing w:val="4"/>
              </w:rPr>
              <w:t>规定的种用标肃的表</w:t>
            </w:r>
            <w:r>
              <w:rPr>
                <w:sz w:val="16"/>
                <w:szCs w:val="16"/>
                <w:spacing w:val="6"/>
              </w:rPr>
              <w:t xml:space="preserve"> </w:t>
            </w:r>
            <w:r>
              <w:rPr>
                <w:sz w:val="16"/>
                <w:szCs w:val="16"/>
                <w:spacing w:val="-1"/>
              </w:rPr>
              <w:t>作物种子审批</w:t>
            </w:r>
          </w:p>
        </w:tc>
        <w:tc>
          <w:tcPr>
            <w:tcW w:w="2367" w:type="dxa"/>
            <w:vAlign w:val="top"/>
          </w:tcPr>
          <w:p>
            <w:pPr>
              <w:pStyle w:val="TableText"/>
              <w:ind w:left="44" w:right="4" w:hanging="30"/>
              <w:spacing w:before="187" w:line="231" w:lineRule="auto"/>
              <w:rPr>
                <w:sz w:val="16"/>
                <w:szCs w:val="16"/>
              </w:rPr>
            </w:pPr>
            <w:r>
              <w:rPr>
                <w:sz w:val="16"/>
                <w:szCs w:val="16"/>
                <w:spacing w:val="1"/>
              </w:rPr>
              <w:t>省额，受区的市级，是银登府(由</w:t>
            </w:r>
            <w:r>
              <w:rPr>
                <w:sz w:val="16"/>
                <w:szCs w:val="16"/>
                <w:spacing w:val="2"/>
              </w:rPr>
              <w:t xml:space="preserve"> </w:t>
            </w:r>
            <w:r>
              <w:rPr>
                <w:sz w:val="16"/>
                <w:szCs w:val="16"/>
                <w:spacing w:val="3"/>
              </w:rPr>
              <w:t>农查农对部门承办)</w:t>
            </w:r>
          </w:p>
        </w:tc>
        <w:tc>
          <w:tcPr>
            <w:tcW w:w="3711" w:type="dxa"/>
            <w:vAlign w:val="top"/>
          </w:tcPr>
          <w:p>
            <w:pPr>
              <w:pStyle w:val="TableText"/>
              <w:ind w:left="46"/>
              <w:spacing w:before="267" w:line="219" w:lineRule="auto"/>
              <w:rPr>
                <w:sz w:val="16"/>
                <w:szCs w:val="16"/>
              </w:rPr>
            </w:pPr>
            <w:r>
              <w:rPr>
                <w:sz w:val="16"/>
                <w:szCs w:val="16"/>
              </w:rPr>
              <w:t>1中毕人民共和写种子法</w:t>
            </w:r>
          </w:p>
        </w:tc>
      </w:tr>
      <w:tr>
        <w:trPr>
          <w:trHeight w:val="679" w:hRule="atLeast"/>
        </w:trPr>
        <w:tc>
          <w:tcPr>
            <w:tcW w:w="594" w:type="dxa"/>
            <w:vAlign w:val="top"/>
          </w:tcPr>
          <w:p>
            <w:pPr>
              <w:spacing w:line="246" w:lineRule="auto"/>
              <w:rPr>
                <w:rFonts w:ascii="Arial"/>
                <w:sz w:val="21"/>
              </w:rPr>
            </w:pPr>
            <w:r/>
          </w:p>
          <w:p>
            <w:pPr>
              <w:pStyle w:val="TableText"/>
              <w:ind w:left="164"/>
              <w:spacing w:before="52" w:line="183" w:lineRule="auto"/>
              <w:rPr>
                <w:sz w:val="16"/>
                <w:szCs w:val="16"/>
              </w:rPr>
            </w:pPr>
            <w:r>
              <w:rPr>
                <w:sz w:val="16"/>
                <w:szCs w:val="16"/>
                <w:spacing w:val="-3"/>
              </w:rPr>
              <w:t>384</w:t>
            </w:r>
          </w:p>
        </w:tc>
        <w:tc>
          <w:tcPr>
            <w:tcW w:w="1299" w:type="dxa"/>
            <w:vAlign w:val="top"/>
          </w:tcPr>
          <w:p>
            <w:pPr>
              <w:pStyle w:val="TableText"/>
              <w:ind w:left="241"/>
              <w:spacing w:before="257" w:line="219" w:lineRule="auto"/>
              <w:rPr>
                <w:sz w:val="16"/>
                <w:szCs w:val="16"/>
              </w:rPr>
            </w:pPr>
            <w:r>
              <w:rPr>
                <w:sz w:val="16"/>
                <w:szCs w:val="16"/>
                <w:spacing w:val="-1"/>
              </w:rPr>
              <w:t>农卓农科部</w:t>
            </w:r>
          </w:p>
        </w:tc>
        <w:tc>
          <w:tcPr>
            <w:tcW w:w="1628" w:type="dxa"/>
            <w:vAlign w:val="top"/>
          </w:tcPr>
          <w:p>
            <w:pPr>
              <w:pStyle w:val="TableText"/>
              <w:ind w:left="11" w:hanging="9"/>
              <w:spacing w:before="89" w:line="223" w:lineRule="auto"/>
              <w:jc w:val="both"/>
              <w:rPr>
                <w:sz w:val="16"/>
                <w:szCs w:val="16"/>
              </w:rPr>
            </w:pPr>
            <w:r>
              <w:rPr>
                <w:sz w:val="16"/>
                <w:szCs w:val="16"/>
                <w:spacing w:val="-2"/>
              </w:rPr>
              <w:t>高食，辟、画造传资器</w:t>
            </w:r>
            <w:r>
              <w:rPr>
                <w:sz w:val="16"/>
                <w:szCs w:val="16"/>
                <w:spacing w:val="4"/>
              </w:rPr>
              <w:t xml:space="preserve"> </w:t>
            </w:r>
            <w:r>
              <w:rPr>
                <w:sz w:val="16"/>
                <w:szCs w:val="16"/>
                <w:spacing w:val="-10"/>
              </w:rPr>
              <w:t>引进，给</w:t>
            </w:r>
            <w:r>
              <w:rPr>
                <w:sz w:val="16"/>
                <w:szCs w:val="16"/>
                <w:spacing w:val="25"/>
              </w:rPr>
              <w:t xml:space="preserve"> </w:t>
            </w:r>
            <w:r>
              <w:rPr>
                <w:sz w:val="16"/>
                <w:szCs w:val="16"/>
                <w:spacing w:val="-10"/>
              </w:rPr>
              <w:t>山，对外合作</w:t>
            </w:r>
            <w:r>
              <w:rPr>
                <w:sz w:val="16"/>
                <w:szCs w:val="16"/>
              </w:rPr>
              <w:t xml:space="preserve"> </w:t>
            </w:r>
            <w:r>
              <w:rPr>
                <w:sz w:val="16"/>
                <w:szCs w:val="16"/>
                <w:spacing w:val="10"/>
              </w:rPr>
              <w:t>研元审救</w:t>
            </w:r>
          </w:p>
        </w:tc>
        <w:tc>
          <w:tcPr>
            <w:tcW w:w="2367" w:type="dxa"/>
            <w:vAlign w:val="top"/>
          </w:tcPr>
          <w:p>
            <w:pPr>
              <w:pStyle w:val="TableText"/>
              <w:ind w:left="54" w:right="53" w:firstLine="119"/>
              <w:spacing w:before="59" w:line="234" w:lineRule="auto"/>
              <w:rPr>
                <w:sz w:val="16"/>
                <w:szCs w:val="16"/>
              </w:rPr>
            </w:pPr>
            <w:r>
              <w:rPr>
                <w:sz w:val="16"/>
                <w:szCs w:val="16"/>
                <w:spacing w:val="-1"/>
              </w:rPr>
              <w:t>农费农村部(由省城表业农村  </w:t>
            </w:r>
            <w:r>
              <w:rPr>
                <w:sz w:val="16"/>
                <w:szCs w:val="16"/>
              </w:rPr>
              <w:t>(端业，要业)命门录理；省魏农</w:t>
            </w:r>
            <w:r>
              <w:rPr>
                <w:sz w:val="16"/>
                <w:szCs w:val="16"/>
                <w:spacing w:val="8"/>
              </w:rPr>
              <w:t xml:space="preserve"> </w:t>
            </w:r>
            <w:r>
              <w:rPr>
                <w:sz w:val="16"/>
                <w:szCs w:val="16"/>
                <w:spacing w:val="1"/>
              </w:rPr>
              <w:t>业表村(蜂业，蛋业)都门</w:t>
            </w:r>
          </w:p>
        </w:tc>
        <w:tc>
          <w:tcPr>
            <w:tcW w:w="3711" w:type="dxa"/>
            <w:vAlign w:val="top"/>
          </w:tcPr>
          <w:p>
            <w:pPr>
              <w:pStyle w:val="TableText"/>
              <w:spacing w:before="168" w:line="230" w:lineRule="auto"/>
              <w:rPr>
                <w:sz w:val="16"/>
                <w:szCs w:val="16"/>
              </w:rPr>
            </w:pPr>
            <w:r>
              <w:rPr>
                <w:sz w:val="16"/>
                <w:szCs w:val="16"/>
                <w:spacing w:val="-4"/>
              </w:rPr>
              <w:t>《中华人民其和国部数法</w:t>
            </w:r>
          </w:p>
          <w:p>
            <w:pPr>
              <w:pStyle w:val="TableText"/>
              <w:ind w:left="78"/>
              <w:spacing w:line="218" w:lineRule="auto"/>
              <w:rPr>
                <w:sz w:val="16"/>
                <w:szCs w:val="16"/>
              </w:rPr>
            </w:pPr>
            <w:r>
              <w:rPr>
                <w:sz w:val="16"/>
                <w:szCs w:val="16"/>
                <w:spacing w:val="-3"/>
              </w:rPr>
              <w:t>1查种管军办法》</w:t>
            </w:r>
          </w:p>
        </w:tc>
      </w:tr>
      <w:tr>
        <w:trPr>
          <w:trHeight w:val="699" w:hRule="atLeast"/>
        </w:trPr>
        <w:tc>
          <w:tcPr>
            <w:tcW w:w="594" w:type="dxa"/>
            <w:vAlign w:val="top"/>
          </w:tcPr>
          <w:p>
            <w:pPr>
              <w:spacing w:line="257" w:lineRule="auto"/>
              <w:rPr>
                <w:rFonts w:ascii="Arial"/>
                <w:sz w:val="21"/>
              </w:rPr>
            </w:pPr>
            <w:r/>
          </w:p>
          <w:p>
            <w:pPr>
              <w:pStyle w:val="TableText"/>
              <w:ind w:left="164"/>
              <w:spacing w:before="52" w:line="183" w:lineRule="auto"/>
              <w:rPr>
                <w:sz w:val="16"/>
                <w:szCs w:val="16"/>
              </w:rPr>
            </w:pPr>
            <w:r>
              <w:rPr>
                <w:sz w:val="16"/>
                <w:szCs w:val="16"/>
                <w:spacing w:val="-3"/>
              </w:rPr>
              <w:t>385</w:t>
            </w:r>
          </w:p>
        </w:tc>
        <w:tc>
          <w:tcPr>
            <w:tcW w:w="1299" w:type="dxa"/>
            <w:vAlign w:val="top"/>
          </w:tcPr>
          <w:p>
            <w:pPr>
              <w:pStyle w:val="TableText"/>
              <w:ind w:left="241"/>
              <w:spacing w:before="268" w:line="219" w:lineRule="auto"/>
              <w:rPr>
                <w:sz w:val="16"/>
                <w:szCs w:val="16"/>
              </w:rPr>
            </w:pPr>
            <w:r>
              <w:rPr>
                <w:sz w:val="16"/>
                <w:szCs w:val="16"/>
                <w:spacing w:val="3"/>
              </w:rPr>
              <w:t>农查表村阳</w:t>
            </w:r>
          </w:p>
        </w:tc>
        <w:tc>
          <w:tcPr>
            <w:tcW w:w="1628" w:type="dxa"/>
            <w:vAlign w:val="top"/>
          </w:tcPr>
          <w:p>
            <w:pPr>
              <w:pStyle w:val="TableText"/>
              <w:ind w:left="82"/>
              <w:spacing w:before="269" w:line="219" w:lineRule="auto"/>
              <w:rPr>
                <w:sz w:val="16"/>
                <w:szCs w:val="16"/>
              </w:rPr>
            </w:pPr>
            <w:r>
              <w:rPr>
                <w:sz w:val="16"/>
                <w:szCs w:val="16"/>
                <w:spacing w:val="1"/>
              </w:rPr>
              <w:t>种新俞生产卧背中叫</w:t>
            </w:r>
          </w:p>
        </w:tc>
        <w:tc>
          <w:tcPr>
            <w:tcW w:w="2367" w:type="dxa"/>
            <w:vAlign w:val="top"/>
          </w:tcPr>
          <w:p>
            <w:pPr>
              <w:pStyle w:val="TableText"/>
              <w:ind w:left="44" w:right="69" w:firstLine="10"/>
              <w:spacing w:before="188" w:line="232" w:lineRule="auto"/>
              <w:rPr>
                <w:sz w:val="16"/>
                <w:szCs w:val="16"/>
              </w:rPr>
            </w:pPr>
            <w:r>
              <w:rPr>
                <w:sz w:val="16"/>
                <w:szCs w:val="16"/>
                <w:spacing w:val="-1"/>
              </w:rPr>
              <w:t>农业农村部；省似，度区的市银</w:t>
            </w:r>
            <w:r>
              <w:rPr>
                <w:sz w:val="16"/>
                <w:szCs w:val="16"/>
                <w:spacing w:val="6"/>
              </w:rPr>
              <w:t xml:space="preserve"> </w:t>
            </w:r>
            <w:r>
              <w:rPr>
                <w:sz w:val="16"/>
                <w:szCs w:val="16"/>
                <w:spacing w:val="2"/>
              </w:rPr>
              <w:t>县级农查农转照门</w:t>
            </w:r>
          </w:p>
        </w:tc>
        <w:tc>
          <w:tcPr>
            <w:tcW w:w="3711" w:type="dxa"/>
            <w:vAlign w:val="top"/>
          </w:tcPr>
          <w:p>
            <w:pPr>
              <w:pStyle w:val="TableText"/>
              <w:ind w:left="46"/>
              <w:spacing w:before="69" w:line="219" w:lineRule="auto"/>
              <w:rPr>
                <w:sz w:val="16"/>
                <w:szCs w:val="16"/>
              </w:rPr>
            </w:pPr>
            <w:r>
              <w:rPr>
                <w:sz w:val="16"/>
                <w:szCs w:val="16"/>
              </w:rPr>
              <w:t>1中节人园共和国高粒法</w:t>
            </w:r>
          </w:p>
          <w:p>
            <w:pPr>
              <w:pStyle w:val="TableText"/>
              <w:ind w:left="46"/>
              <w:spacing w:before="29" w:line="208" w:lineRule="auto"/>
              <w:rPr>
                <w:sz w:val="16"/>
                <w:szCs w:val="16"/>
              </w:rPr>
            </w:pPr>
            <w:r>
              <w:rPr>
                <w:sz w:val="16"/>
                <w:szCs w:val="16"/>
                <w:spacing w:val="-1"/>
              </w:rPr>
              <w:t>农业别基时性制定全管现条偶》</w:t>
            </w:r>
          </w:p>
          <w:p>
            <w:pPr>
              <w:pStyle w:val="TableText"/>
              <w:spacing w:line="219" w:lineRule="auto"/>
              <w:rPr>
                <w:sz w:val="16"/>
                <w:szCs w:val="16"/>
              </w:rPr>
            </w:pPr>
            <w:r>
              <w:rPr>
                <w:sz w:val="16"/>
                <w:szCs w:val="16"/>
                <w:spacing w:val="-2"/>
              </w:rPr>
              <w:t>《养蝉售理办法(试行)(学业部公套第1E</w:t>
            </w:r>
            <w:r>
              <w:rPr>
                <w:sz w:val="16"/>
                <w:szCs w:val="16"/>
                <w:spacing w:val="-3"/>
              </w:rPr>
              <w:t>02号</w:t>
            </w:r>
          </w:p>
        </w:tc>
      </w:tr>
      <w:tr>
        <w:trPr>
          <w:trHeight w:val="679" w:hRule="atLeast"/>
        </w:trPr>
        <w:tc>
          <w:tcPr>
            <w:tcW w:w="594" w:type="dxa"/>
            <w:vAlign w:val="top"/>
          </w:tcPr>
          <w:p>
            <w:pPr>
              <w:pStyle w:val="TableText"/>
              <w:ind w:left="204"/>
              <w:spacing w:before="261" w:line="220" w:lineRule="auto"/>
              <w:rPr>
                <w:sz w:val="16"/>
                <w:szCs w:val="16"/>
              </w:rPr>
            </w:pPr>
            <w:r>
              <w:rPr>
                <w:sz w:val="16"/>
                <w:szCs w:val="16"/>
              </w:rPr>
              <w:t>折</w:t>
            </w:r>
          </w:p>
        </w:tc>
        <w:tc>
          <w:tcPr>
            <w:tcW w:w="1299" w:type="dxa"/>
            <w:vAlign w:val="top"/>
          </w:tcPr>
          <w:p>
            <w:pPr>
              <w:pStyle w:val="TableText"/>
              <w:ind w:left="241"/>
              <w:spacing w:before="259" w:line="219" w:lineRule="auto"/>
              <w:rPr>
                <w:sz w:val="16"/>
                <w:szCs w:val="16"/>
              </w:rPr>
            </w:pPr>
            <w:r>
              <w:rPr>
                <w:sz w:val="16"/>
                <w:szCs w:val="16"/>
                <w:spacing w:val="-1"/>
              </w:rPr>
              <w:t>农业农村部</w:t>
            </w:r>
          </w:p>
        </w:tc>
        <w:tc>
          <w:tcPr>
            <w:tcW w:w="1628" w:type="dxa"/>
            <w:vAlign w:val="top"/>
          </w:tcPr>
          <w:p>
            <w:pPr>
              <w:pStyle w:val="TableText"/>
              <w:ind w:left="72"/>
              <w:spacing w:before="260" w:line="219" w:lineRule="auto"/>
              <w:rPr>
                <w:sz w:val="16"/>
                <w:szCs w:val="16"/>
              </w:rPr>
            </w:pPr>
            <w:r>
              <w:rPr>
                <w:sz w:val="16"/>
                <w:szCs w:val="16"/>
                <w:spacing w:val="-1"/>
              </w:rPr>
              <w:t>查种生产比营许可</w:t>
            </w:r>
          </w:p>
        </w:tc>
        <w:tc>
          <w:tcPr>
            <w:tcW w:w="2367" w:type="dxa"/>
            <w:vAlign w:val="top"/>
          </w:tcPr>
          <w:p>
            <w:pPr>
              <w:pStyle w:val="TableText"/>
              <w:ind w:left="54" w:right="68"/>
              <w:spacing w:before="78" w:line="227" w:lineRule="auto"/>
              <w:jc w:val="both"/>
              <w:rPr>
                <w:sz w:val="16"/>
                <w:szCs w:val="16"/>
              </w:rPr>
            </w:pPr>
            <w:r>
              <w:rPr>
                <w:sz w:val="16"/>
                <w:szCs w:val="16"/>
                <w:spacing w:val="-1"/>
              </w:rPr>
              <w:t>省裂农业装村(需业》部门C市设</w:t>
            </w:r>
            <w:r>
              <w:rPr>
                <w:sz w:val="16"/>
                <w:szCs w:val="16"/>
                <w:spacing w:val="5"/>
              </w:rPr>
              <w:t xml:space="preserve"> </w:t>
            </w:r>
            <w:r>
              <w:rPr>
                <w:sz w:val="16"/>
                <w:szCs w:val="16"/>
                <w:spacing w:val="5"/>
              </w:rPr>
              <w:t>区的市级，县级农业农村壶重)</w:t>
            </w:r>
            <w:r>
              <w:rPr>
                <w:sz w:val="16"/>
                <w:szCs w:val="16"/>
                <w:spacing w:val="3"/>
              </w:rPr>
              <w:t xml:space="preserve"> </w:t>
            </w:r>
            <w:r>
              <w:rPr>
                <w:sz w:val="16"/>
                <w:szCs w:val="16"/>
                <w:spacing w:val="6"/>
              </w:rPr>
              <w:t>陈门受理)</w:t>
            </w:r>
          </w:p>
        </w:tc>
        <w:tc>
          <w:tcPr>
            <w:tcW w:w="3711" w:type="dxa"/>
            <w:vAlign w:val="top"/>
          </w:tcPr>
          <w:p>
            <w:pPr>
              <w:pStyle w:val="TableText"/>
              <w:spacing w:before="170" w:line="219" w:lineRule="auto"/>
              <w:rPr>
                <w:sz w:val="16"/>
                <w:szCs w:val="16"/>
              </w:rPr>
            </w:pPr>
            <w:r>
              <w:rPr>
                <w:sz w:val="16"/>
                <w:szCs w:val="16"/>
                <w:spacing w:val="-3"/>
              </w:rPr>
              <w:t>《中作人民共和国畜岗法1</w:t>
            </w:r>
          </w:p>
          <w:p>
            <w:pPr>
              <w:pStyle w:val="TableText"/>
              <w:ind w:left="78"/>
              <w:spacing w:line="219" w:lineRule="auto"/>
              <w:rPr>
                <w:sz w:val="16"/>
                <w:szCs w:val="16"/>
              </w:rPr>
            </w:pPr>
            <w:r>
              <w:rPr>
                <w:sz w:val="16"/>
                <w:szCs w:val="16"/>
                <w:spacing w:val="-2"/>
              </w:rPr>
              <w:t>(查种管理办法?</w:t>
            </w:r>
          </w:p>
        </w:tc>
      </w:tr>
      <w:tr>
        <w:trPr>
          <w:trHeight w:val="899" w:hRule="atLeast"/>
        </w:trPr>
        <w:tc>
          <w:tcPr>
            <w:tcW w:w="594" w:type="dxa"/>
            <w:vAlign w:val="top"/>
          </w:tcPr>
          <w:p>
            <w:pPr>
              <w:spacing w:line="358" w:lineRule="auto"/>
              <w:rPr>
                <w:rFonts w:ascii="Arial"/>
                <w:sz w:val="21"/>
              </w:rPr>
            </w:pPr>
            <w:r/>
          </w:p>
          <w:p>
            <w:pPr>
              <w:pStyle w:val="TableText"/>
              <w:ind w:left="164"/>
              <w:spacing w:before="52" w:line="183" w:lineRule="auto"/>
              <w:rPr>
                <w:sz w:val="16"/>
                <w:szCs w:val="16"/>
              </w:rPr>
            </w:pPr>
            <w:r>
              <w:rPr>
                <w:sz w:val="16"/>
                <w:szCs w:val="16"/>
                <w:spacing w:val="-2"/>
              </w:rPr>
              <w:t>237</w:t>
            </w:r>
          </w:p>
        </w:tc>
        <w:tc>
          <w:tcPr>
            <w:tcW w:w="1299" w:type="dxa"/>
            <w:vAlign w:val="top"/>
          </w:tcPr>
          <w:p>
            <w:pPr>
              <w:spacing w:line="316" w:lineRule="auto"/>
              <w:rPr>
                <w:rFonts w:ascii="Arial"/>
                <w:sz w:val="21"/>
              </w:rPr>
            </w:pPr>
            <w:r/>
          </w:p>
          <w:p>
            <w:pPr>
              <w:pStyle w:val="TableText"/>
              <w:ind w:left="241"/>
              <w:spacing w:before="52" w:line="219" w:lineRule="auto"/>
              <w:rPr>
                <w:sz w:val="16"/>
                <w:szCs w:val="16"/>
              </w:rPr>
            </w:pPr>
            <w:r>
              <w:rPr>
                <w:sz w:val="16"/>
                <w:szCs w:val="16"/>
                <w:spacing w:val="-1"/>
              </w:rPr>
              <w:t>袁业农村部</w:t>
            </w:r>
          </w:p>
        </w:tc>
        <w:tc>
          <w:tcPr>
            <w:tcW w:w="1628" w:type="dxa"/>
            <w:vAlign w:val="top"/>
          </w:tcPr>
          <w:p>
            <w:pPr>
              <w:pStyle w:val="TableText"/>
              <w:ind w:left="62" w:right="184" w:firstLine="99"/>
              <w:spacing w:before="271" w:line="237" w:lineRule="auto"/>
              <w:rPr>
                <w:sz w:val="16"/>
                <w:szCs w:val="16"/>
              </w:rPr>
            </w:pPr>
            <w:r>
              <w:rPr>
                <w:sz w:val="16"/>
                <w:szCs w:val="16"/>
                <w:spacing w:val="-2"/>
              </w:rPr>
              <w:t>从国外外近装业种</w:t>
            </w:r>
            <w:r>
              <w:rPr>
                <w:sz w:val="16"/>
                <w:szCs w:val="16"/>
                <w:spacing w:val="6"/>
              </w:rPr>
              <w:t xml:space="preserve"> </w:t>
            </w:r>
            <w:r>
              <w:rPr>
                <w:sz w:val="16"/>
                <w:szCs w:val="16"/>
                <w:spacing w:val="-1"/>
              </w:rPr>
              <w:t>子，苗未验疫审批</w:t>
            </w:r>
          </w:p>
        </w:tc>
        <w:tc>
          <w:tcPr>
            <w:tcW w:w="2367" w:type="dxa"/>
            <w:vAlign w:val="top"/>
          </w:tcPr>
          <w:p>
            <w:pPr>
              <w:pStyle w:val="TableText"/>
              <w:ind w:left="74" w:right="109" w:firstLine="19"/>
              <w:spacing w:before="91" w:line="230" w:lineRule="auto"/>
              <w:jc w:val="both"/>
              <w:rPr>
                <w:sz w:val="16"/>
                <w:szCs w:val="16"/>
              </w:rPr>
            </w:pPr>
            <w:r>
              <w:rPr>
                <w:sz w:val="16"/>
                <w:szCs w:val="16"/>
                <w:spacing w:val="-1"/>
              </w:rPr>
              <w:t>农业农村部(由省统农业农村部</w:t>
            </w:r>
            <w:r>
              <w:rPr>
                <w:sz w:val="16"/>
                <w:szCs w:val="16"/>
                <w:spacing w:val="6"/>
              </w:rPr>
              <w:t xml:space="preserve"> </w:t>
            </w:r>
            <w:r>
              <w:rPr>
                <w:sz w:val="16"/>
                <w:szCs w:val="16"/>
                <w:spacing w:val="5"/>
              </w:rPr>
              <w:t>门或者其所风的植物检控病构</w:t>
            </w:r>
            <w:r>
              <w:rPr>
                <w:sz w:val="16"/>
                <w:szCs w:val="16"/>
                <w:spacing w:val="4"/>
              </w:rPr>
              <w:t xml:space="preserve"> </w:t>
            </w:r>
            <w:r>
              <w:rPr>
                <w:sz w:val="16"/>
                <w:szCs w:val="16"/>
                <w:spacing w:val="3"/>
              </w:rPr>
              <w:t>是理儿省假索业农村露们或者</w:t>
            </w:r>
            <w:r>
              <w:rPr>
                <w:sz w:val="16"/>
                <w:szCs w:val="16"/>
                <w:spacing w:val="11"/>
              </w:rPr>
              <w:t xml:space="preserve"> </w:t>
            </w:r>
            <w:r>
              <w:rPr>
                <w:sz w:val="16"/>
                <w:szCs w:val="16"/>
                <w:spacing w:val="-1"/>
              </w:rPr>
              <w:t>其所国的植物检疫机构</w:t>
            </w:r>
          </w:p>
        </w:tc>
        <w:tc>
          <w:tcPr>
            <w:tcW w:w="3711" w:type="dxa"/>
            <w:vAlign w:val="top"/>
          </w:tcPr>
          <w:p>
            <w:pPr>
              <w:pStyle w:val="TableText"/>
              <w:spacing w:before="291" w:line="219" w:lineRule="auto"/>
              <w:rPr>
                <w:sz w:val="16"/>
                <w:szCs w:val="16"/>
              </w:rPr>
            </w:pPr>
            <w:r>
              <w:rPr>
                <w:sz w:val="16"/>
                <w:szCs w:val="16"/>
                <w:spacing w:val="-6"/>
              </w:rPr>
              <w:t>《殖常检疫条的》</w:t>
            </w:r>
          </w:p>
          <w:p>
            <w:pPr>
              <w:pStyle w:val="TableText"/>
              <w:spacing w:before="10" w:line="219" w:lineRule="auto"/>
              <w:rPr>
                <w:sz w:val="16"/>
                <w:szCs w:val="16"/>
              </w:rPr>
            </w:pPr>
            <w:r>
              <w:rPr>
                <w:sz w:val="16"/>
                <w:szCs w:val="16"/>
                <w:spacing w:val="-3"/>
              </w:rPr>
              <w:t>《植为检疫资国文站如则(农业意分)》</w:t>
            </w:r>
          </w:p>
        </w:tc>
      </w:tr>
      <w:tr>
        <w:trPr>
          <w:trHeight w:val="689" w:hRule="atLeast"/>
        </w:trPr>
        <w:tc>
          <w:tcPr>
            <w:tcW w:w="594" w:type="dxa"/>
            <w:vAlign w:val="top"/>
          </w:tcPr>
          <w:p>
            <w:pPr>
              <w:spacing w:line="260" w:lineRule="auto"/>
              <w:rPr>
                <w:rFonts w:ascii="Arial"/>
                <w:sz w:val="21"/>
              </w:rPr>
            </w:pPr>
            <w:r/>
          </w:p>
          <w:p>
            <w:pPr>
              <w:pStyle w:val="TableText"/>
              <w:ind w:left="164"/>
              <w:spacing w:before="52" w:line="183" w:lineRule="auto"/>
              <w:rPr>
                <w:sz w:val="16"/>
                <w:szCs w:val="16"/>
              </w:rPr>
            </w:pPr>
            <w:r>
              <w:rPr>
                <w:sz w:val="16"/>
                <w:szCs w:val="16"/>
                <w:spacing w:val="-3"/>
              </w:rPr>
              <w:t>3BN</w:t>
            </w:r>
          </w:p>
        </w:tc>
        <w:tc>
          <w:tcPr>
            <w:tcW w:w="1299" w:type="dxa"/>
            <w:vAlign w:val="top"/>
          </w:tcPr>
          <w:p>
            <w:pPr>
              <w:pStyle w:val="TableText"/>
              <w:ind w:left="241"/>
              <w:spacing w:before="271" w:line="219" w:lineRule="auto"/>
              <w:rPr>
                <w:sz w:val="16"/>
                <w:szCs w:val="16"/>
              </w:rPr>
            </w:pPr>
            <w:r>
              <w:rPr>
                <w:sz w:val="16"/>
                <w:szCs w:val="16"/>
                <w:spacing w:val="-1"/>
              </w:rPr>
              <w:t>袁业农村部</w:t>
            </w:r>
          </w:p>
        </w:tc>
        <w:tc>
          <w:tcPr>
            <w:tcW w:w="1628" w:type="dxa"/>
            <w:vAlign w:val="top"/>
          </w:tcPr>
          <w:p>
            <w:pPr>
              <w:pStyle w:val="TableText"/>
              <w:ind w:left="22" w:right="102" w:firstLine="60"/>
              <w:spacing w:before="182" w:line="220" w:lineRule="auto"/>
              <w:rPr>
                <w:sz w:val="16"/>
                <w:szCs w:val="16"/>
              </w:rPr>
            </w:pPr>
            <w:r>
              <w:rPr>
                <w:sz w:val="16"/>
                <w:szCs w:val="16"/>
                <w:spacing w:val="-1"/>
              </w:rPr>
              <w:t>农业植物检疫证利模</w:t>
            </w:r>
            <w:r>
              <w:rPr>
                <w:sz w:val="16"/>
                <w:szCs w:val="16"/>
                <w:spacing w:val="1"/>
              </w:rPr>
              <w:t xml:space="preserve"> </w:t>
            </w:r>
            <w:r>
              <w:rPr>
                <w:sz w:val="16"/>
                <w:szCs w:val="16"/>
              </w:rPr>
              <w:t>发</w:t>
            </w:r>
          </w:p>
        </w:tc>
        <w:tc>
          <w:tcPr>
            <w:tcW w:w="2367" w:type="dxa"/>
            <w:vAlign w:val="top"/>
          </w:tcPr>
          <w:p>
            <w:pPr>
              <w:pStyle w:val="TableText"/>
              <w:ind w:left="133" w:right="71" w:hanging="79"/>
              <w:spacing w:before="92" w:line="207" w:lineRule="auto"/>
              <w:rPr>
                <w:sz w:val="16"/>
                <w:szCs w:val="16"/>
              </w:rPr>
            </w:pPr>
            <w:r>
              <w:rPr>
                <w:sz w:val="16"/>
                <w:szCs w:val="16"/>
                <w:spacing w:val="-1"/>
              </w:rPr>
              <w:t>省限，设区的市级，县观表业农</w:t>
            </w:r>
            <w:r>
              <w:rPr>
                <w:sz w:val="16"/>
                <w:szCs w:val="16"/>
                <w:spacing w:val="4"/>
              </w:rPr>
              <w:t xml:space="preserve"> </w:t>
            </w:r>
            <w:r>
              <w:rPr>
                <w:sz w:val="16"/>
                <w:szCs w:val="16"/>
                <w:spacing w:val="-1"/>
              </w:rPr>
              <w:t>村常门或者其新温的植物确疫</w:t>
            </w:r>
          </w:p>
          <w:p>
            <w:pPr>
              <w:pStyle w:val="TableText"/>
              <w:ind w:left="44"/>
              <w:spacing w:before="30" w:line="219" w:lineRule="auto"/>
              <w:rPr>
                <w:sz w:val="16"/>
                <w:szCs w:val="16"/>
              </w:rPr>
            </w:pPr>
            <w:r>
              <w:rPr>
                <w:sz w:val="16"/>
                <w:szCs w:val="16"/>
                <w:spacing w:val="-2"/>
              </w:rPr>
              <w:t>机构</w:t>
            </w:r>
          </w:p>
        </w:tc>
        <w:tc>
          <w:tcPr>
            <w:tcW w:w="3711" w:type="dxa"/>
            <w:vAlign w:val="top"/>
          </w:tcPr>
          <w:p>
            <w:pPr>
              <w:pStyle w:val="TableText"/>
              <w:ind w:left="46"/>
              <w:spacing w:before="271" w:line="219" w:lineRule="auto"/>
              <w:rPr>
                <w:sz w:val="16"/>
                <w:szCs w:val="16"/>
              </w:rPr>
            </w:pPr>
            <w:r>
              <w:rPr>
                <w:sz w:val="16"/>
                <w:szCs w:val="16"/>
              </w:rPr>
              <w:t>1植物粮疫承的》</w:t>
            </w:r>
          </w:p>
        </w:tc>
      </w:tr>
      <w:tr>
        <w:trPr>
          <w:trHeight w:val="679" w:hRule="atLeast"/>
        </w:trPr>
        <w:tc>
          <w:tcPr>
            <w:tcW w:w="594" w:type="dxa"/>
            <w:vAlign w:val="top"/>
          </w:tcPr>
          <w:p>
            <w:pPr>
              <w:spacing w:line="251" w:lineRule="auto"/>
              <w:rPr>
                <w:rFonts w:ascii="Arial"/>
                <w:sz w:val="21"/>
              </w:rPr>
            </w:pPr>
            <w:r/>
          </w:p>
          <w:p>
            <w:pPr>
              <w:pStyle w:val="TableText"/>
              <w:ind w:left="164"/>
              <w:spacing w:before="52" w:line="183" w:lineRule="auto"/>
              <w:rPr>
                <w:sz w:val="16"/>
                <w:szCs w:val="16"/>
              </w:rPr>
            </w:pPr>
            <w:r>
              <w:rPr>
                <w:sz w:val="16"/>
                <w:szCs w:val="16"/>
                <w:spacing w:val="-2"/>
              </w:rPr>
              <w:t>2a9</w:t>
            </w:r>
          </w:p>
        </w:tc>
        <w:tc>
          <w:tcPr>
            <w:tcW w:w="1299" w:type="dxa"/>
            <w:vAlign w:val="top"/>
          </w:tcPr>
          <w:p>
            <w:pPr>
              <w:pStyle w:val="TableText"/>
              <w:ind w:left="241"/>
              <w:spacing w:before="262" w:line="219" w:lineRule="auto"/>
              <w:rPr>
                <w:sz w:val="16"/>
                <w:szCs w:val="16"/>
              </w:rPr>
            </w:pPr>
            <w:r>
              <w:rPr>
                <w:sz w:val="16"/>
                <w:szCs w:val="16"/>
                <w:spacing w:val="-1"/>
              </w:rPr>
              <w:t>农业表村部</w:t>
            </w:r>
          </w:p>
        </w:tc>
        <w:tc>
          <w:tcPr>
            <w:tcW w:w="1628" w:type="dxa"/>
            <w:vAlign w:val="top"/>
          </w:tcPr>
          <w:p>
            <w:pPr>
              <w:pStyle w:val="TableText"/>
              <w:ind w:left="32" w:right="102" w:firstLine="50"/>
              <w:spacing w:before="173" w:line="219" w:lineRule="auto"/>
              <w:rPr>
                <w:sz w:val="16"/>
                <w:szCs w:val="16"/>
              </w:rPr>
            </w:pPr>
            <w:r>
              <w:rPr>
                <w:sz w:val="16"/>
                <w:szCs w:val="16"/>
                <w:spacing w:val="-1"/>
              </w:rPr>
              <w:t>农业植物产地检税合</w:t>
            </w:r>
            <w:r>
              <w:rPr>
                <w:sz w:val="16"/>
                <w:szCs w:val="16"/>
                <w:spacing w:val="1"/>
              </w:rPr>
              <w:t xml:space="preserve"> </w:t>
            </w:r>
            <w:r>
              <w:rPr>
                <w:sz w:val="16"/>
                <w:szCs w:val="16"/>
                <w:spacing w:val="-2"/>
              </w:rPr>
              <w:t>格证等发</w:t>
            </w:r>
          </w:p>
        </w:tc>
        <w:tc>
          <w:tcPr>
            <w:tcW w:w="2367" w:type="dxa"/>
            <w:vAlign w:val="top"/>
          </w:tcPr>
          <w:p>
            <w:pPr>
              <w:pStyle w:val="TableText"/>
              <w:ind w:left="54" w:right="71"/>
              <w:spacing w:before="73" w:line="229" w:lineRule="auto"/>
              <w:jc w:val="both"/>
              <w:rPr>
                <w:sz w:val="16"/>
                <w:szCs w:val="16"/>
              </w:rPr>
            </w:pPr>
            <w:r>
              <w:rPr>
                <w:sz w:val="16"/>
                <w:szCs w:val="16"/>
                <w:spacing w:val="-1"/>
              </w:rPr>
              <w:t>省级、说区的市级，身袋靠吏索</w:t>
            </w:r>
            <w:r>
              <w:rPr>
                <w:sz w:val="16"/>
                <w:szCs w:val="16"/>
                <w:spacing w:val="4"/>
              </w:rPr>
              <w:t xml:space="preserve"> </w:t>
            </w:r>
            <w:r>
              <w:rPr>
                <w:sz w:val="16"/>
                <w:szCs w:val="16"/>
                <w:spacing w:val="5"/>
              </w:rPr>
              <w:t>村部门成者其所属的植世检酸</w:t>
            </w:r>
            <w:r>
              <w:rPr>
                <w:sz w:val="16"/>
                <w:szCs w:val="16"/>
                <w:spacing w:val="3"/>
              </w:rPr>
              <w:t xml:space="preserve">  </w:t>
            </w:r>
            <w:r>
              <w:rPr>
                <w:sz w:val="16"/>
                <w:szCs w:val="16"/>
                <w:spacing w:val="-2"/>
              </w:rPr>
              <w:t>机构</w:t>
            </w:r>
          </w:p>
        </w:tc>
        <w:tc>
          <w:tcPr>
            <w:tcW w:w="3711" w:type="dxa"/>
            <w:vAlign w:val="top"/>
          </w:tcPr>
          <w:p>
            <w:pPr>
              <w:pStyle w:val="TableText"/>
              <w:ind w:left="46"/>
              <w:spacing w:before="263" w:line="219" w:lineRule="auto"/>
              <w:rPr>
                <w:sz w:val="16"/>
                <w:szCs w:val="16"/>
              </w:rPr>
            </w:pPr>
            <w:r>
              <w:rPr>
                <w:sz w:val="16"/>
                <w:szCs w:val="16"/>
                <w:spacing w:val="-1"/>
              </w:rPr>
              <w:t>植物检监条侧?</w:t>
            </w:r>
          </w:p>
        </w:tc>
      </w:tr>
      <w:tr>
        <w:trPr>
          <w:trHeight w:val="1163" w:hRule="atLeast"/>
        </w:trPr>
        <w:tc>
          <w:tcPr>
            <w:tcW w:w="594" w:type="dxa"/>
            <w:vAlign w:val="top"/>
          </w:tcPr>
          <w:p>
            <w:pPr>
              <w:spacing w:line="245" w:lineRule="auto"/>
              <w:rPr>
                <w:rFonts w:ascii="Arial"/>
                <w:sz w:val="21"/>
              </w:rPr>
            </w:pPr>
            <w:r/>
          </w:p>
          <w:p>
            <w:pPr>
              <w:spacing w:line="245" w:lineRule="auto"/>
              <w:rPr>
                <w:rFonts w:ascii="Arial"/>
                <w:sz w:val="21"/>
              </w:rPr>
            </w:pPr>
            <w:r/>
          </w:p>
          <w:p>
            <w:pPr>
              <w:pStyle w:val="TableText"/>
              <w:ind w:left="164"/>
              <w:spacing w:before="52" w:line="183" w:lineRule="auto"/>
              <w:rPr>
                <w:sz w:val="16"/>
                <w:szCs w:val="16"/>
              </w:rPr>
            </w:pPr>
            <w:r>
              <w:rPr>
                <w:sz w:val="16"/>
                <w:szCs w:val="16"/>
                <w:spacing w:val="-3"/>
              </w:rPr>
              <w:t>390</w:t>
            </w:r>
          </w:p>
        </w:tc>
        <w:tc>
          <w:tcPr>
            <w:tcW w:w="1299" w:type="dxa"/>
            <w:vAlign w:val="top"/>
          </w:tcPr>
          <w:p>
            <w:pPr>
              <w:spacing w:line="449" w:lineRule="auto"/>
              <w:rPr>
                <w:rFonts w:ascii="Arial"/>
                <w:sz w:val="21"/>
              </w:rPr>
            </w:pPr>
            <w:r/>
          </w:p>
          <w:p>
            <w:pPr>
              <w:pStyle w:val="TableText"/>
              <w:ind w:left="241"/>
              <w:spacing w:before="52" w:line="219" w:lineRule="auto"/>
              <w:rPr>
                <w:sz w:val="16"/>
                <w:szCs w:val="16"/>
              </w:rPr>
            </w:pPr>
            <w:r>
              <w:rPr>
                <w:sz w:val="16"/>
                <w:szCs w:val="16"/>
                <w:spacing w:val="-1"/>
              </w:rPr>
              <w:t>农业农林部</w:t>
            </w:r>
          </w:p>
        </w:tc>
        <w:tc>
          <w:tcPr>
            <w:tcW w:w="1628" w:type="dxa"/>
            <w:vAlign w:val="top"/>
          </w:tcPr>
          <w:p>
            <w:pPr>
              <w:pStyle w:val="TableText"/>
              <w:ind w:left="42" w:right="77" w:firstLine="40"/>
              <w:spacing w:before="113" w:line="238" w:lineRule="auto"/>
              <w:jc w:val="both"/>
              <w:rPr>
                <w:sz w:val="16"/>
                <w:szCs w:val="16"/>
              </w:rPr>
            </w:pPr>
            <w:r>
              <w:rPr>
                <w:sz w:val="16"/>
                <w:szCs w:val="16"/>
                <w:spacing w:val="-1"/>
              </w:rPr>
              <w:t>把日国家查点保护的</w:t>
            </w:r>
            <w:r>
              <w:rPr>
                <w:sz w:val="16"/>
                <w:szCs w:val="16"/>
                <w:spacing w:val="1"/>
              </w:rPr>
              <w:t xml:space="preserve"> </w:t>
            </w:r>
            <w:r>
              <w:rPr>
                <w:sz w:val="16"/>
                <w:szCs w:val="16"/>
                <w:spacing w:val="6"/>
              </w:rPr>
              <w:t>农业野生植物或进由</w:t>
            </w:r>
            <w:r>
              <w:rPr>
                <w:sz w:val="16"/>
                <w:szCs w:val="16"/>
                <w:spacing w:val="3"/>
              </w:rPr>
              <w:t xml:space="preserve"> </w:t>
            </w:r>
            <w:r>
              <w:rPr>
                <w:sz w:val="16"/>
                <w:szCs w:val="16"/>
                <w:spacing w:val="5"/>
              </w:rPr>
              <w:t>口中国参用的国际公</w:t>
            </w:r>
            <w:r>
              <w:rPr>
                <w:sz w:val="16"/>
                <w:szCs w:val="16"/>
                <w:spacing w:val="3"/>
              </w:rPr>
              <w:t xml:space="preserve"> </w:t>
            </w:r>
            <w:r>
              <w:rPr>
                <w:sz w:val="16"/>
                <w:szCs w:val="16"/>
                <w:spacing w:val="5"/>
              </w:rPr>
              <w:t>的限割进出口的农业</w:t>
            </w:r>
            <w:r>
              <w:rPr>
                <w:sz w:val="16"/>
                <w:szCs w:val="16"/>
              </w:rPr>
              <w:t xml:space="preserve"> </w:t>
            </w:r>
            <w:r>
              <w:rPr>
                <w:sz w:val="16"/>
                <w:szCs w:val="16"/>
                <w:spacing w:val="-1"/>
              </w:rPr>
              <w:t>野生植物审批</w:t>
            </w:r>
          </w:p>
        </w:tc>
        <w:tc>
          <w:tcPr>
            <w:tcW w:w="2367" w:type="dxa"/>
            <w:vAlign w:val="top"/>
          </w:tcPr>
          <w:p>
            <w:pPr>
              <w:spacing w:line="449" w:lineRule="auto"/>
              <w:rPr>
                <w:rFonts w:ascii="Arial"/>
                <w:sz w:val="21"/>
              </w:rPr>
            </w:pPr>
            <w:r/>
          </w:p>
          <w:p>
            <w:pPr>
              <w:pStyle w:val="TableText"/>
              <w:ind w:left="74"/>
              <w:spacing w:before="52" w:line="219" w:lineRule="auto"/>
              <w:rPr>
                <w:sz w:val="16"/>
                <w:szCs w:val="16"/>
              </w:rPr>
            </w:pPr>
            <w:r>
              <w:rPr>
                <w:sz w:val="16"/>
                <w:szCs w:val="16"/>
                <w:spacing w:val="2"/>
              </w:rPr>
              <w:t>省设表业表料部门</w:t>
            </w:r>
          </w:p>
        </w:tc>
        <w:tc>
          <w:tcPr>
            <w:tcW w:w="3711" w:type="dxa"/>
            <w:vAlign w:val="top"/>
          </w:tcPr>
          <w:p>
            <w:pPr>
              <w:spacing w:line="449" w:lineRule="auto"/>
              <w:rPr>
                <w:rFonts w:ascii="Arial"/>
                <w:sz w:val="21"/>
              </w:rPr>
            </w:pPr>
            <w:r/>
          </w:p>
          <w:p>
            <w:pPr>
              <w:pStyle w:val="TableText"/>
              <w:ind w:left="46"/>
              <w:spacing w:before="52" w:line="219" w:lineRule="auto"/>
              <w:rPr>
                <w:sz w:val="16"/>
                <w:szCs w:val="16"/>
              </w:rPr>
            </w:pPr>
            <w:r>
              <w:rPr>
                <w:sz w:val="16"/>
                <w:szCs w:val="16"/>
                <w:spacing w:val="2"/>
              </w:rPr>
              <w:t>1中华人民共和间对生植警保护条例)</w:t>
            </w:r>
          </w:p>
        </w:tc>
      </w:tr>
    </w:tbl>
    <w:p>
      <w:pPr>
        <w:pStyle w:val="BodyText"/>
        <w:rPr/>
      </w:pPr>
      <w:r/>
    </w:p>
    <w:p>
      <w:pPr>
        <w:sectPr>
          <w:pgSz w:w="11910" w:h="8220"/>
          <w:pgMar w:top="400" w:right="117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65088"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248" name="TextBox 248"/>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0" style="position:absolute;margin-left:37.0402pt;margin-top:344.137pt;mso-position-vertical-relative:page;mso-position-horizontal-relative:page;width:13.6pt;height:12.35pt;z-index:2518650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48"/>
        <w:gridCol w:w="2367"/>
        <w:gridCol w:w="3711"/>
      </w:tblGrid>
      <w:tr>
        <w:trPr>
          <w:trHeight w:val="415" w:hRule="atLeast"/>
        </w:trPr>
        <w:tc>
          <w:tcPr>
            <w:tcW w:w="594" w:type="dxa"/>
            <w:vAlign w:val="top"/>
          </w:tcPr>
          <w:p>
            <w:pPr>
              <w:pStyle w:val="TableText"/>
              <w:ind w:left="124"/>
              <w:spacing w:before="131" w:line="219" w:lineRule="auto"/>
              <w:rPr>
                <w:sz w:val="16"/>
                <w:szCs w:val="16"/>
              </w:rPr>
            </w:pPr>
            <w:r>
              <w:rPr>
                <w:sz w:val="16"/>
                <w:szCs w:val="16"/>
                <w:spacing w:val="-2"/>
              </w:rPr>
              <w:t>牌号</w:t>
            </w:r>
          </w:p>
        </w:tc>
        <w:tc>
          <w:tcPr>
            <w:tcW w:w="1279" w:type="dxa"/>
            <w:vAlign w:val="top"/>
          </w:tcPr>
          <w:p>
            <w:pPr>
              <w:pStyle w:val="TableText"/>
              <w:ind w:left="150"/>
              <w:spacing w:before="131" w:line="219" w:lineRule="auto"/>
              <w:rPr>
                <w:sz w:val="16"/>
                <w:szCs w:val="16"/>
              </w:rPr>
            </w:pPr>
            <w:r>
              <w:rPr>
                <w:sz w:val="16"/>
                <w:szCs w:val="16"/>
                <w:spacing w:val="3"/>
              </w:rPr>
              <w:t>中央主骨部门</w:t>
            </w:r>
          </w:p>
        </w:tc>
        <w:tc>
          <w:tcPr>
            <w:tcW w:w="1648" w:type="dxa"/>
            <w:vAlign w:val="top"/>
          </w:tcPr>
          <w:p>
            <w:pPr>
              <w:pStyle w:val="TableText"/>
              <w:ind w:left="451"/>
              <w:spacing w:before="131" w:line="219" w:lineRule="auto"/>
              <w:rPr>
                <w:sz w:val="16"/>
                <w:szCs w:val="16"/>
              </w:rPr>
            </w:pPr>
            <w:r>
              <w:rPr>
                <w:sz w:val="16"/>
                <w:szCs w:val="16"/>
                <w:spacing w:val="-2"/>
              </w:rPr>
              <w:t>市请名称</w:t>
            </w:r>
          </w:p>
        </w:tc>
        <w:tc>
          <w:tcPr>
            <w:tcW w:w="2367" w:type="dxa"/>
            <w:vAlign w:val="top"/>
          </w:tcPr>
          <w:p>
            <w:pPr>
              <w:pStyle w:val="TableText"/>
              <w:ind w:left="844"/>
              <w:spacing w:before="130" w:line="219" w:lineRule="auto"/>
              <w:rPr>
                <w:sz w:val="16"/>
                <w:szCs w:val="16"/>
              </w:rPr>
            </w:pPr>
            <w:r>
              <w:rPr>
                <w:sz w:val="16"/>
                <w:szCs w:val="16"/>
                <w:spacing w:val="-2"/>
              </w:rPr>
              <w:t>实物机关</w:t>
            </w:r>
          </w:p>
        </w:tc>
        <w:tc>
          <w:tcPr>
            <w:tcW w:w="3711" w:type="dxa"/>
            <w:vAlign w:val="top"/>
          </w:tcPr>
          <w:p>
            <w:pPr>
              <w:pStyle w:val="TableText"/>
              <w:ind w:left="1266"/>
              <w:spacing w:before="130" w:line="219" w:lineRule="auto"/>
              <w:rPr>
                <w:sz w:val="16"/>
                <w:szCs w:val="16"/>
              </w:rPr>
            </w:pPr>
            <w:r>
              <w:rPr>
                <w:sz w:val="16"/>
                <w:szCs w:val="16"/>
                <w:spacing w:val="-1"/>
              </w:rPr>
              <w:t>说定和实酱依题</w:t>
            </w:r>
          </w:p>
        </w:tc>
      </w:tr>
      <w:tr>
        <w:trPr>
          <w:trHeight w:val="849" w:hRule="atLeast"/>
        </w:trPr>
        <w:tc>
          <w:tcPr>
            <w:tcW w:w="594" w:type="dxa"/>
            <w:vAlign w:val="top"/>
          </w:tcPr>
          <w:p>
            <w:pPr>
              <w:spacing w:line="332" w:lineRule="auto"/>
              <w:rPr>
                <w:rFonts w:ascii="Arial"/>
                <w:sz w:val="21"/>
              </w:rPr>
            </w:pPr>
            <w:r/>
          </w:p>
          <w:p>
            <w:pPr>
              <w:pStyle w:val="TableText"/>
              <w:ind w:left="164"/>
              <w:spacing w:before="52" w:line="184" w:lineRule="auto"/>
              <w:rPr>
                <w:sz w:val="16"/>
                <w:szCs w:val="16"/>
              </w:rPr>
            </w:pPr>
            <w:r>
              <w:rPr>
                <w:sz w:val="16"/>
                <w:szCs w:val="16"/>
                <w:spacing w:val="-2"/>
              </w:rPr>
              <w:t>201</w:t>
            </w:r>
          </w:p>
        </w:tc>
        <w:tc>
          <w:tcPr>
            <w:tcW w:w="1279" w:type="dxa"/>
            <w:vAlign w:val="top"/>
          </w:tcPr>
          <w:p>
            <w:pPr>
              <w:spacing w:line="291" w:lineRule="auto"/>
              <w:rPr>
                <w:rFonts w:ascii="Arial"/>
                <w:sz w:val="21"/>
              </w:rPr>
            </w:pPr>
            <w:r/>
          </w:p>
          <w:p>
            <w:pPr>
              <w:pStyle w:val="TableText"/>
              <w:ind w:left="231"/>
              <w:spacing w:before="52" w:line="219" w:lineRule="auto"/>
              <w:rPr>
                <w:sz w:val="16"/>
                <w:szCs w:val="16"/>
              </w:rPr>
            </w:pPr>
            <w:r>
              <w:rPr>
                <w:sz w:val="16"/>
                <w:szCs w:val="16"/>
                <w:spacing w:val="-1"/>
              </w:rPr>
              <w:t>农业农村部</w:t>
            </w:r>
          </w:p>
        </w:tc>
        <w:tc>
          <w:tcPr>
            <w:tcW w:w="1648" w:type="dxa"/>
            <w:vAlign w:val="top"/>
          </w:tcPr>
          <w:p>
            <w:pPr>
              <w:pStyle w:val="TableText"/>
              <w:ind w:left="42"/>
              <w:spacing w:before="155" w:line="219" w:lineRule="auto"/>
              <w:rPr>
                <w:sz w:val="16"/>
                <w:szCs w:val="16"/>
              </w:rPr>
            </w:pPr>
            <w:r>
              <w:rPr>
                <w:sz w:val="16"/>
                <w:szCs w:val="16"/>
              </w:rPr>
              <w:t>表壶野生相寄采藻，</w:t>
            </w:r>
          </w:p>
          <w:p>
            <w:pPr>
              <w:pStyle w:val="TableText"/>
              <w:ind w:left="42"/>
              <w:spacing w:line="231" w:lineRule="auto"/>
              <w:rPr>
                <w:sz w:val="16"/>
                <w:szCs w:val="16"/>
              </w:rPr>
            </w:pPr>
            <w:r>
              <w:rPr>
                <w:sz w:val="16"/>
                <w:szCs w:val="16"/>
                <w:spacing w:val="-1"/>
              </w:rPr>
              <w:t>出密，收跑、野外考摩</w:t>
            </w:r>
            <w:r>
              <w:rPr>
                <w:sz w:val="16"/>
                <w:szCs w:val="16"/>
                <w:spacing w:val="4"/>
              </w:rPr>
              <w:t xml:space="preserve"> </w:t>
            </w:r>
            <w:r>
              <w:rPr>
                <w:sz w:val="16"/>
                <w:szCs w:val="16"/>
                <w:spacing w:val="-4"/>
              </w:rPr>
              <w:t>市然</w:t>
            </w:r>
          </w:p>
        </w:tc>
        <w:tc>
          <w:tcPr>
            <w:tcW w:w="2367" w:type="dxa"/>
            <w:vAlign w:val="top"/>
          </w:tcPr>
          <w:p>
            <w:pPr>
              <w:pStyle w:val="TableText"/>
              <w:ind w:left="54" w:right="148" w:firstLine="19"/>
              <w:spacing w:before="55" w:line="226" w:lineRule="auto"/>
              <w:rPr>
                <w:sz w:val="16"/>
                <w:szCs w:val="16"/>
              </w:rPr>
            </w:pPr>
            <w:r>
              <w:rPr>
                <w:sz w:val="16"/>
                <w:szCs w:val="16"/>
                <w:spacing w:val="-1"/>
              </w:rPr>
              <w:t>省级农业农村票门成者其翟权</w:t>
            </w:r>
            <w:r>
              <w:rPr>
                <w:sz w:val="16"/>
                <w:szCs w:val="16"/>
                <w:spacing w:val="1"/>
              </w:rPr>
              <w:t xml:space="preserve">  </w:t>
            </w:r>
            <w:r>
              <w:rPr>
                <w:sz w:val="16"/>
                <w:szCs w:val="16"/>
                <w:spacing w:val="-1"/>
              </w:rPr>
              <w:t>机构(采集国家二级草护野生和</w:t>
            </w:r>
            <w:r>
              <w:rPr>
                <w:sz w:val="16"/>
                <w:szCs w:val="16"/>
                <w:spacing w:val="7"/>
              </w:rPr>
              <w:t xml:space="preserve"> </w:t>
            </w:r>
            <w:r>
              <w:rPr>
                <w:sz w:val="16"/>
                <w:szCs w:val="16"/>
                <w:spacing w:val="-1"/>
              </w:rPr>
              <w:t>怕的，雨县级农业卷村部门学</w:t>
            </w:r>
            <w:r>
              <w:rPr>
                <w:sz w:val="16"/>
                <w:szCs w:val="16"/>
              </w:rPr>
              <w:t xml:space="preserve">  </w:t>
            </w:r>
            <w:r>
              <w:rPr>
                <w:sz w:val="16"/>
                <w:szCs w:val="16"/>
              </w:rPr>
              <w:t>理</w:t>
            </w:r>
            <w:r>
              <w:rPr>
                <w:sz w:val="16"/>
                <w:szCs w:val="16"/>
                <w:spacing w:val="-30"/>
              </w:rPr>
              <w:t xml:space="preserve"> </w:t>
            </w:r>
            <w:r>
              <w:rPr>
                <w:sz w:val="16"/>
                <w:szCs w:val="16"/>
              </w:rPr>
              <w:t>)</w:t>
            </w:r>
          </w:p>
        </w:tc>
        <w:tc>
          <w:tcPr>
            <w:tcW w:w="3711" w:type="dxa"/>
            <w:vAlign w:val="top"/>
          </w:tcPr>
          <w:p>
            <w:pPr>
              <w:spacing w:line="292" w:lineRule="auto"/>
              <w:rPr>
                <w:rFonts w:ascii="Arial"/>
                <w:sz w:val="21"/>
              </w:rPr>
            </w:pPr>
            <w:r/>
          </w:p>
          <w:p>
            <w:pPr>
              <w:pStyle w:val="TableText"/>
              <w:ind w:left="166"/>
              <w:spacing w:before="52" w:line="219" w:lineRule="auto"/>
              <w:rPr>
                <w:sz w:val="16"/>
                <w:szCs w:val="16"/>
              </w:rPr>
            </w:pPr>
            <w:r>
              <w:rPr>
                <w:sz w:val="16"/>
                <w:szCs w:val="16"/>
                <w:spacing w:val="1"/>
              </w:rPr>
              <w:t>中作人N共相据野生杭物保护兼据!</w:t>
            </w:r>
          </w:p>
        </w:tc>
      </w:tr>
      <w:tr>
        <w:trPr>
          <w:trHeight w:val="649" w:hRule="atLeast"/>
        </w:trPr>
        <w:tc>
          <w:tcPr>
            <w:tcW w:w="594" w:type="dxa"/>
            <w:vAlign w:val="top"/>
          </w:tcPr>
          <w:p>
            <w:pPr>
              <w:pStyle w:val="TableText"/>
              <w:ind w:left="164"/>
              <w:spacing w:before="288" w:line="183" w:lineRule="auto"/>
              <w:rPr>
                <w:sz w:val="16"/>
                <w:szCs w:val="16"/>
              </w:rPr>
            </w:pPr>
            <w:r>
              <w:rPr>
                <w:sz w:val="16"/>
                <w:szCs w:val="16"/>
                <w:spacing w:val="-3"/>
              </w:rPr>
              <w:t>302</w:t>
            </w:r>
          </w:p>
        </w:tc>
        <w:tc>
          <w:tcPr>
            <w:tcW w:w="1279" w:type="dxa"/>
            <w:vAlign w:val="top"/>
          </w:tcPr>
          <w:p>
            <w:pPr>
              <w:pStyle w:val="TableText"/>
              <w:ind w:left="231"/>
              <w:spacing w:before="246" w:line="219" w:lineRule="auto"/>
              <w:rPr>
                <w:sz w:val="16"/>
                <w:szCs w:val="16"/>
              </w:rPr>
            </w:pPr>
            <w:r>
              <w:rPr>
                <w:sz w:val="16"/>
                <w:szCs w:val="16"/>
                <w:spacing w:val="-2"/>
              </w:rPr>
              <w:t>客应农村都</w:t>
            </w:r>
          </w:p>
        </w:tc>
        <w:tc>
          <w:tcPr>
            <w:tcW w:w="1648" w:type="dxa"/>
            <w:vAlign w:val="top"/>
          </w:tcPr>
          <w:p>
            <w:pPr>
              <w:pStyle w:val="TableText"/>
              <w:ind w:left="42"/>
              <w:spacing w:before="58" w:line="218" w:lineRule="auto"/>
              <w:rPr>
                <w:sz w:val="16"/>
                <w:szCs w:val="16"/>
              </w:rPr>
            </w:pPr>
            <w:r>
              <w:rPr>
                <w:sz w:val="16"/>
                <w:szCs w:val="16"/>
                <w:spacing w:val="-1"/>
              </w:rPr>
              <w:t>表业转基四生物研</w:t>
            </w:r>
          </w:p>
          <w:p>
            <w:pPr>
              <w:pStyle w:val="TableText"/>
              <w:ind w:left="42" w:right="42" w:firstLine="10"/>
              <w:spacing w:line="226" w:lineRule="auto"/>
              <w:rPr>
                <w:sz w:val="16"/>
                <w:szCs w:val="16"/>
              </w:rPr>
            </w:pPr>
            <w:r>
              <w:rPr>
                <w:sz w:val="16"/>
                <w:szCs w:val="16"/>
                <w:spacing w:val="2"/>
              </w:rPr>
              <w:t>究、试股.加工：进口 </w:t>
            </w:r>
            <w:r>
              <w:rPr>
                <w:sz w:val="16"/>
                <w:szCs w:val="16"/>
                <w:spacing w:val="-2"/>
              </w:rPr>
              <w:t>和广告乾批</w:t>
            </w:r>
          </w:p>
        </w:tc>
        <w:tc>
          <w:tcPr>
            <w:tcW w:w="2367" w:type="dxa"/>
            <w:vAlign w:val="top"/>
          </w:tcPr>
          <w:p>
            <w:pPr>
              <w:pStyle w:val="TableText"/>
              <w:ind w:left="64"/>
              <w:spacing w:before="246" w:line="219" w:lineRule="auto"/>
              <w:rPr>
                <w:sz w:val="16"/>
                <w:szCs w:val="16"/>
              </w:rPr>
            </w:pPr>
            <w:r>
              <w:rPr>
                <w:sz w:val="16"/>
                <w:szCs w:val="16"/>
                <w:spacing w:val="-1"/>
              </w:rPr>
              <w:t>表业农村都；名级表书表和部</w:t>
            </w:r>
          </w:p>
        </w:tc>
        <w:tc>
          <w:tcPr>
            <w:tcW w:w="3711" w:type="dxa"/>
            <w:vAlign w:val="top"/>
          </w:tcPr>
          <w:p>
            <w:pPr>
              <w:pStyle w:val="TableText"/>
              <w:ind w:left="86"/>
              <w:spacing w:before="57" w:line="242" w:lineRule="auto"/>
              <w:rPr>
                <w:sz w:val="16"/>
                <w:szCs w:val="16"/>
              </w:rPr>
            </w:pPr>
            <w:r>
              <w:rPr>
                <w:sz w:val="16"/>
                <w:szCs w:val="16"/>
                <w:spacing w:val="-1"/>
              </w:rPr>
              <w:t>《农量转基因生脂安全营理帮包》</w:t>
            </w:r>
          </w:p>
          <w:p>
            <w:pPr>
              <w:pStyle w:val="TableText"/>
              <w:ind w:left="166"/>
              <w:spacing w:line="196" w:lineRule="auto"/>
              <w:rPr>
                <w:sz w:val="16"/>
                <w:szCs w:val="16"/>
              </w:rPr>
            </w:pPr>
            <w:r>
              <w:rPr>
                <w:sz w:val="16"/>
                <w:szCs w:val="16"/>
              </w:rPr>
              <w:t>当转基因生能进口农全管国办些</w:t>
            </w:r>
          </w:p>
          <w:p>
            <w:pPr>
              <w:pStyle w:val="TableText"/>
              <w:ind w:left="166"/>
              <w:spacing w:line="219" w:lineRule="auto"/>
              <w:rPr>
                <w:sz w:val="16"/>
                <w:szCs w:val="16"/>
              </w:rPr>
            </w:pPr>
            <w:r>
              <w:rPr>
                <w:sz w:val="16"/>
                <w:szCs w:val="16"/>
                <w:spacing w:val="-1"/>
              </w:rPr>
              <w:t>农意转基因生物道工审世办法?</w:t>
            </w:r>
          </w:p>
        </w:tc>
      </w:tr>
      <w:tr>
        <w:trPr>
          <w:trHeight w:val="629" w:hRule="atLeast"/>
        </w:trPr>
        <w:tc>
          <w:tcPr>
            <w:tcW w:w="594" w:type="dxa"/>
            <w:vAlign w:val="top"/>
          </w:tcPr>
          <w:p>
            <w:pPr>
              <w:pStyle w:val="TableText"/>
              <w:ind w:left="164"/>
              <w:spacing w:before="279" w:line="183" w:lineRule="auto"/>
              <w:rPr>
                <w:sz w:val="16"/>
                <w:szCs w:val="16"/>
              </w:rPr>
            </w:pPr>
            <w:r>
              <w:rPr>
                <w:sz w:val="16"/>
                <w:szCs w:val="16"/>
                <w:spacing w:val="-3"/>
              </w:rPr>
              <w:t>304</w:t>
            </w:r>
          </w:p>
        </w:tc>
        <w:tc>
          <w:tcPr>
            <w:tcW w:w="1279" w:type="dxa"/>
            <w:vAlign w:val="top"/>
          </w:tcPr>
          <w:p>
            <w:pPr>
              <w:pStyle w:val="TableText"/>
              <w:ind w:left="231"/>
              <w:spacing w:before="237" w:line="219" w:lineRule="auto"/>
              <w:rPr>
                <w:sz w:val="16"/>
                <w:szCs w:val="16"/>
              </w:rPr>
            </w:pPr>
            <w:r>
              <w:rPr>
                <w:sz w:val="16"/>
                <w:szCs w:val="16"/>
                <w:spacing w:val="-1"/>
              </w:rPr>
              <w:t>农毫农村部</w:t>
            </w:r>
          </w:p>
        </w:tc>
        <w:tc>
          <w:tcPr>
            <w:tcW w:w="1648" w:type="dxa"/>
            <w:vAlign w:val="top"/>
          </w:tcPr>
          <w:p>
            <w:pPr>
              <w:pStyle w:val="TableText"/>
              <w:ind w:left="42" w:right="143"/>
              <w:spacing w:before="39" w:line="223" w:lineRule="auto"/>
              <w:jc w:val="both"/>
              <w:rPr>
                <w:sz w:val="16"/>
                <w:szCs w:val="16"/>
              </w:rPr>
            </w:pPr>
            <w:r>
              <w:rPr>
                <w:sz w:val="16"/>
                <w:szCs w:val="16"/>
                <w:spacing w:val="1"/>
              </w:rPr>
              <w:t>区输离致唐性病原福</w:t>
            </w:r>
            <w:r>
              <w:rPr>
                <w:sz w:val="16"/>
                <w:szCs w:val="16"/>
              </w:rPr>
              <w:t xml:space="preserve"> </w:t>
            </w:r>
            <w:r>
              <w:rPr>
                <w:sz w:val="16"/>
                <w:szCs w:val="16"/>
                <w:spacing w:val="1"/>
              </w:rPr>
              <w:t>生物面，席种或者精</w:t>
            </w:r>
            <w:r>
              <w:rPr>
                <w:sz w:val="16"/>
                <w:szCs w:val="16"/>
                <w:spacing w:val="2"/>
              </w:rPr>
              <w:t xml:space="preserve"> </w:t>
            </w:r>
            <w:r>
              <w:rPr>
                <w:sz w:val="16"/>
                <w:szCs w:val="16"/>
                <w:spacing w:val="-2"/>
              </w:rPr>
              <w:t>本审盘</w:t>
            </w:r>
          </w:p>
        </w:tc>
        <w:tc>
          <w:tcPr>
            <w:tcW w:w="2367" w:type="dxa"/>
            <w:vAlign w:val="top"/>
          </w:tcPr>
          <w:p>
            <w:pPr>
              <w:pStyle w:val="TableText"/>
              <w:ind w:left="64" w:right="139"/>
              <w:spacing w:before="127" w:line="237" w:lineRule="auto"/>
              <w:rPr>
                <w:sz w:val="16"/>
                <w:szCs w:val="16"/>
              </w:rPr>
            </w:pPr>
            <w:r>
              <w:rPr>
                <w:sz w:val="16"/>
                <w:szCs w:val="16"/>
                <w:spacing w:val="-1"/>
              </w:rPr>
              <w:t>农业表科部(山省级前我育医意</w:t>
            </w:r>
            <w:r>
              <w:rPr>
                <w:sz w:val="16"/>
                <w:szCs w:val="16"/>
                <w:spacing w:val="6"/>
              </w:rPr>
              <w:t xml:space="preserve"> </w:t>
            </w:r>
            <w:r>
              <w:rPr>
                <w:sz w:val="16"/>
                <w:szCs w:val="16"/>
                <w:spacing w:val="1"/>
              </w:rPr>
              <w:t>门受理后省级奇较善抵加力</w:t>
            </w:r>
          </w:p>
        </w:tc>
        <w:tc>
          <w:tcPr>
            <w:tcW w:w="3711" w:type="dxa"/>
            <w:vAlign w:val="top"/>
          </w:tcPr>
          <w:p>
            <w:pPr>
              <w:pStyle w:val="TableText"/>
              <w:ind w:left="166"/>
              <w:spacing w:before="238" w:line="219" w:lineRule="auto"/>
              <w:rPr>
                <w:sz w:val="16"/>
                <w:szCs w:val="16"/>
              </w:rPr>
            </w:pPr>
            <w:r>
              <w:rPr>
                <w:sz w:val="16"/>
                <w:szCs w:val="16"/>
              </w:rPr>
              <w:t>牌华源作每实验室生物安主要源条称1</w:t>
            </w:r>
          </w:p>
        </w:tc>
      </w:tr>
      <w:tr>
        <w:trPr>
          <w:trHeight w:val="639" w:hRule="atLeast"/>
        </w:trPr>
        <w:tc>
          <w:tcPr>
            <w:tcW w:w="594" w:type="dxa"/>
            <w:vAlign w:val="top"/>
          </w:tcPr>
          <w:p>
            <w:pPr>
              <w:pStyle w:val="TableText"/>
              <w:ind w:left="164"/>
              <w:spacing w:before="280" w:line="183" w:lineRule="auto"/>
              <w:rPr>
                <w:sz w:val="16"/>
                <w:szCs w:val="16"/>
              </w:rPr>
            </w:pPr>
            <w:r>
              <w:rPr>
                <w:sz w:val="16"/>
                <w:szCs w:val="16"/>
                <w:spacing w:val="-3"/>
              </w:rPr>
              <w:t>304</w:t>
            </w:r>
          </w:p>
        </w:tc>
        <w:tc>
          <w:tcPr>
            <w:tcW w:w="1279" w:type="dxa"/>
            <w:vAlign w:val="top"/>
          </w:tcPr>
          <w:p>
            <w:pPr>
              <w:pStyle w:val="TableText"/>
              <w:ind w:left="231"/>
              <w:spacing w:before="238" w:line="219" w:lineRule="auto"/>
              <w:rPr>
                <w:sz w:val="16"/>
                <w:szCs w:val="16"/>
              </w:rPr>
            </w:pPr>
            <w:r>
              <w:rPr>
                <w:sz w:val="16"/>
                <w:szCs w:val="16"/>
                <w:spacing w:val="-2"/>
              </w:rPr>
              <w:t>卷业表村你</w:t>
            </w:r>
          </w:p>
        </w:tc>
        <w:tc>
          <w:tcPr>
            <w:tcW w:w="1648" w:type="dxa"/>
            <w:vAlign w:val="top"/>
          </w:tcPr>
          <w:p>
            <w:pPr>
              <w:pStyle w:val="TableText"/>
              <w:ind w:left="42" w:right="146" w:firstLine="20"/>
              <w:spacing w:before="59" w:line="219" w:lineRule="auto"/>
              <w:rPr>
                <w:sz w:val="16"/>
                <w:szCs w:val="16"/>
              </w:rPr>
            </w:pPr>
            <w:r>
              <w:rPr>
                <w:sz w:val="16"/>
                <w:szCs w:val="16"/>
                <w:spacing w:val="-2"/>
              </w:rPr>
              <w:t>高致病性成聚似高亚</w:t>
            </w:r>
            <w:r>
              <w:rPr>
                <w:sz w:val="16"/>
                <w:szCs w:val="16"/>
                <w:spacing w:val="6"/>
              </w:rPr>
              <w:t xml:space="preserve"> </w:t>
            </w:r>
            <w:r>
              <w:rPr>
                <w:sz w:val="16"/>
                <w:szCs w:val="16"/>
                <w:spacing w:val="-1"/>
              </w:rPr>
              <w:t>和性和系值生物实</w:t>
            </w:r>
          </w:p>
          <w:p>
            <w:pPr>
              <w:pStyle w:val="TableText"/>
              <w:ind w:left="42"/>
              <w:spacing w:before="10" w:line="206" w:lineRule="auto"/>
              <w:rPr>
                <w:sz w:val="16"/>
                <w:szCs w:val="16"/>
              </w:rPr>
            </w:pPr>
            <w:r>
              <w:rPr>
                <w:sz w:val="16"/>
                <w:szCs w:val="16"/>
                <w:spacing w:val="-2"/>
              </w:rPr>
              <w:t>活动审老</w:t>
            </w:r>
          </w:p>
        </w:tc>
        <w:tc>
          <w:tcPr>
            <w:tcW w:w="2367" w:type="dxa"/>
            <w:vAlign w:val="top"/>
          </w:tcPr>
          <w:p>
            <w:pPr>
              <w:pStyle w:val="TableText"/>
              <w:ind w:left="64" w:right="149" w:hanging="10"/>
              <w:spacing w:before="58" w:line="215" w:lineRule="auto"/>
              <w:jc w:val="both"/>
              <w:rPr>
                <w:sz w:val="16"/>
                <w:szCs w:val="16"/>
              </w:rPr>
            </w:pPr>
            <w:r>
              <w:rPr>
                <w:sz w:val="16"/>
                <w:szCs w:val="16"/>
                <w:spacing w:val="-1"/>
              </w:rPr>
              <w:t>农业农村部(实验秸萄由管级青</w:t>
            </w:r>
            <w:r>
              <w:rPr>
                <w:sz w:val="16"/>
                <w:szCs w:val="16"/>
                <w:spacing w:val="6"/>
              </w:rPr>
              <w:t xml:space="preserve"> </w:t>
            </w:r>
            <w:r>
              <w:rPr>
                <w:sz w:val="16"/>
                <w:szCs w:val="16"/>
                <w:spacing w:val="2"/>
              </w:rPr>
              <w:t>牧非底部门受置作省液靠校目</w:t>
            </w:r>
            <w:r>
              <w:rPr>
                <w:sz w:val="16"/>
                <w:szCs w:val="16"/>
                <w:spacing w:val="3"/>
              </w:rPr>
              <w:t xml:space="preserve"> </w:t>
            </w:r>
            <w:r>
              <w:rPr>
                <w:sz w:val="16"/>
                <w:szCs w:val="16"/>
                <w:spacing w:val="6"/>
              </w:rPr>
              <w:t>医爆门</w:t>
            </w:r>
          </w:p>
        </w:tc>
        <w:tc>
          <w:tcPr>
            <w:tcW w:w="3711" w:type="dxa"/>
            <w:vAlign w:val="top"/>
          </w:tcPr>
          <w:p>
            <w:pPr>
              <w:pStyle w:val="TableText"/>
              <w:ind w:left="166"/>
              <w:spacing w:before="239" w:line="219" w:lineRule="auto"/>
              <w:rPr>
                <w:sz w:val="16"/>
                <w:szCs w:val="16"/>
              </w:rPr>
            </w:pPr>
            <w:r>
              <w:rPr>
                <w:sz w:val="16"/>
                <w:szCs w:val="16"/>
              </w:rPr>
              <w:t>宿琼置生数实登室生协发全登深条积1</w:t>
            </w:r>
          </w:p>
        </w:tc>
      </w:tr>
      <w:tr>
        <w:trPr>
          <w:trHeight w:val="449" w:hRule="atLeast"/>
        </w:trPr>
        <w:tc>
          <w:tcPr>
            <w:tcW w:w="594" w:type="dxa"/>
            <w:vAlign w:val="top"/>
          </w:tcPr>
          <w:p>
            <w:pPr>
              <w:rPr>
                <w:rFonts w:ascii="Arial"/>
                <w:sz w:val="21"/>
              </w:rPr>
            </w:pPr>
            <w:r/>
          </w:p>
        </w:tc>
        <w:tc>
          <w:tcPr>
            <w:tcW w:w="1279" w:type="dxa"/>
            <w:vAlign w:val="top"/>
          </w:tcPr>
          <w:p>
            <w:pPr>
              <w:pStyle w:val="TableText"/>
              <w:ind w:left="231"/>
              <w:spacing w:before="149" w:line="219" w:lineRule="auto"/>
              <w:rPr>
                <w:sz w:val="16"/>
                <w:szCs w:val="16"/>
              </w:rPr>
            </w:pPr>
            <w:r>
              <w:rPr>
                <w:sz w:val="16"/>
                <w:szCs w:val="16"/>
                <w:spacing w:val="-1"/>
              </w:rPr>
              <w:t>农业农科露</w:t>
            </w:r>
          </w:p>
        </w:tc>
        <w:tc>
          <w:tcPr>
            <w:tcW w:w="1648" w:type="dxa"/>
            <w:vAlign w:val="top"/>
          </w:tcPr>
          <w:p>
            <w:pPr>
              <w:pStyle w:val="TableText"/>
              <w:ind w:left="42" w:right="152" w:firstLine="10"/>
              <w:spacing w:before="50" w:line="224" w:lineRule="auto"/>
              <w:rPr>
                <w:sz w:val="16"/>
                <w:szCs w:val="16"/>
              </w:rPr>
            </w:pPr>
            <w:r>
              <w:rPr>
                <w:sz w:val="16"/>
                <w:szCs w:val="16"/>
                <w:spacing w:val="-1"/>
              </w:rPr>
              <w:t>动物查动物产品检校</w:t>
            </w:r>
            <w:r>
              <w:rPr>
                <w:sz w:val="16"/>
                <w:szCs w:val="16"/>
                <w:spacing w:val="1"/>
              </w:rPr>
              <w:t xml:space="preserve"> </w:t>
            </w:r>
            <w:r>
              <w:rPr>
                <w:sz w:val="16"/>
                <w:szCs w:val="16"/>
                <w:spacing w:val="-2"/>
              </w:rPr>
              <w:t>合格战族定</w:t>
            </w:r>
          </w:p>
        </w:tc>
        <w:tc>
          <w:tcPr>
            <w:tcW w:w="2367" w:type="dxa"/>
            <w:vAlign w:val="top"/>
          </w:tcPr>
          <w:p>
            <w:pPr>
              <w:pStyle w:val="TableText"/>
              <w:ind w:left="64" w:right="61"/>
              <w:spacing w:before="50" w:line="224" w:lineRule="auto"/>
              <w:rPr>
                <w:sz w:val="16"/>
                <w:szCs w:val="16"/>
              </w:rPr>
            </w:pPr>
            <w:r>
              <w:rPr>
                <w:sz w:val="16"/>
                <w:szCs w:val="16"/>
                <w:spacing w:val="-1"/>
              </w:rPr>
              <w:t>设区的市址，县继动物卫主监鲁</w:t>
            </w:r>
            <w:r>
              <w:rPr>
                <w:sz w:val="16"/>
                <w:szCs w:val="16"/>
                <w:spacing w:val="4"/>
              </w:rPr>
              <w:t xml:space="preserve"> </w:t>
            </w:r>
            <w:r>
              <w:rPr>
                <w:sz w:val="16"/>
                <w:szCs w:val="16"/>
                <w:spacing w:val="-2"/>
              </w:rPr>
              <w:t>机构</w:t>
            </w:r>
          </w:p>
        </w:tc>
        <w:tc>
          <w:tcPr>
            <w:tcW w:w="3711" w:type="dxa"/>
            <w:vAlign w:val="top"/>
          </w:tcPr>
          <w:p>
            <w:pPr>
              <w:pStyle w:val="TableText"/>
              <w:ind w:left="86"/>
              <w:spacing w:before="50" w:line="220" w:lineRule="exact"/>
              <w:rPr>
                <w:sz w:val="16"/>
                <w:szCs w:val="16"/>
              </w:rPr>
            </w:pPr>
            <w:r>
              <w:rPr>
                <w:sz w:val="16"/>
                <w:szCs w:val="16"/>
                <w:position w:val="4"/>
              </w:rPr>
              <w:t>《中华人民共称馏动物防应法)</w:t>
            </w:r>
          </w:p>
          <w:p>
            <w:pPr>
              <w:pStyle w:val="TableText"/>
              <w:ind w:left="166"/>
              <w:spacing w:line="194" w:lineRule="auto"/>
              <w:rPr>
                <w:sz w:val="16"/>
                <w:szCs w:val="16"/>
              </w:rPr>
            </w:pPr>
            <w:r>
              <w:rPr>
                <w:sz w:val="16"/>
                <w:szCs w:val="16"/>
                <w:spacing w:val="-1"/>
              </w:rPr>
              <w:t>动物检疫喻理办悲</w:t>
            </w:r>
          </w:p>
        </w:tc>
      </w:tr>
      <w:tr>
        <w:trPr>
          <w:trHeight w:val="429" w:hRule="atLeast"/>
        </w:trPr>
        <w:tc>
          <w:tcPr>
            <w:tcW w:w="594" w:type="dxa"/>
            <w:vAlign w:val="top"/>
          </w:tcPr>
          <w:p>
            <w:pPr>
              <w:pStyle w:val="TableText"/>
              <w:ind w:left="164"/>
              <w:spacing w:before="182" w:line="183" w:lineRule="auto"/>
              <w:rPr>
                <w:sz w:val="16"/>
                <w:szCs w:val="16"/>
              </w:rPr>
            </w:pPr>
            <w:r>
              <w:rPr>
                <w:sz w:val="16"/>
                <w:szCs w:val="16"/>
                <w:spacing w:val="-2"/>
              </w:rPr>
              <w:t>x0*</w:t>
            </w:r>
          </w:p>
        </w:tc>
        <w:tc>
          <w:tcPr>
            <w:tcW w:w="1279" w:type="dxa"/>
            <w:vAlign w:val="top"/>
          </w:tcPr>
          <w:p>
            <w:pPr>
              <w:pStyle w:val="TableText"/>
              <w:ind w:left="231"/>
              <w:spacing w:before="140" w:line="219" w:lineRule="auto"/>
              <w:rPr>
                <w:sz w:val="16"/>
                <w:szCs w:val="16"/>
              </w:rPr>
            </w:pPr>
            <w:r>
              <w:rPr>
                <w:sz w:val="16"/>
                <w:szCs w:val="16"/>
                <w:spacing w:val="-2"/>
              </w:rPr>
              <w:t>安应农村带</w:t>
            </w:r>
          </w:p>
        </w:tc>
        <w:tc>
          <w:tcPr>
            <w:tcW w:w="1648" w:type="dxa"/>
            <w:vAlign w:val="top"/>
          </w:tcPr>
          <w:p>
            <w:pPr>
              <w:pStyle w:val="TableText"/>
              <w:ind w:left="42" w:right="162"/>
              <w:spacing w:before="51" w:line="212" w:lineRule="auto"/>
              <w:rPr>
                <w:sz w:val="16"/>
                <w:szCs w:val="16"/>
              </w:rPr>
            </w:pPr>
            <w:r>
              <w:rPr>
                <w:sz w:val="16"/>
                <w:szCs w:val="16"/>
                <w:spacing w:val="-1"/>
              </w:rPr>
              <w:t>动物防校单件合格证</w:t>
            </w:r>
            <w:r>
              <w:rPr>
                <w:sz w:val="16"/>
                <w:szCs w:val="16"/>
                <w:spacing w:val="1"/>
              </w:rPr>
              <w:t xml:space="preserve"> </w:t>
            </w:r>
            <w:r>
              <w:rPr>
                <w:sz w:val="16"/>
                <w:szCs w:val="16"/>
                <w:spacing w:val="-2"/>
              </w:rPr>
              <w:t>精安</w:t>
            </w:r>
          </w:p>
        </w:tc>
        <w:tc>
          <w:tcPr>
            <w:tcW w:w="2367" w:type="dxa"/>
            <w:vAlign w:val="top"/>
          </w:tcPr>
          <w:p>
            <w:pPr>
              <w:pStyle w:val="TableText"/>
              <w:ind w:left="64"/>
              <w:spacing w:before="140" w:line="219" w:lineRule="auto"/>
              <w:rPr>
                <w:sz w:val="16"/>
                <w:szCs w:val="16"/>
              </w:rPr>
            </w:pPr>
            <w:r>
              <w:rPr>
                <w:sz w:val="16"/>
                <w:szCs w:val="16"/>
                <w:spacing w:val="2"/>
              </w:rPr>
              <w:t>血级发业农村部门</w:t>
            </w:r>
          </w:p>
        </w:tc>
        <w:tc>
          <w:tcPr>
            <w:tcW w:w="3711" w:type="dxa"/>
            <w:vAlign w:val="top"/>
          </w:tcPr>
          <w:p>
            <w:pPr>
              <w:pStyle w:val="TableText"/>
              <w:ind w:left="166"/>
              <w:spacing w:before="41" w:line="219" w:lineRule="exact"/>
              <w:rPr>
                <w:sz w:val="16"/>
                <w:szCs w:val="16"/>
              </w:rPr>
            </w:pPr>
            <w:r>
              <w:rPr>
                <w:sz w:val="16"/>
                <w:szCs w:val="16"/>
                <w:spacing w:val="2"/>
                <w:position w:val="4"/>
              </w:rPr>
              <w:t>W甲人民共和国防物防度莲)</w:t>
            </w:r>
          </w:p>
          <w:p>
            <w:pPr>
              <w:pStyle w:val="TableText"/>
              <w:ind w:left="166"/>
              <w:spacing w:line="183" w:lineRule="auto"/>
              <w:rPr>
                <w:sz w:val="16"/>
                <w:szCs w:val="16"/>
              </w:rPr>
            </w:pPr>
            <w:r>
              <w:rPr>
                <w:sz w:val="16"/>
                <w:szCs w:val="16"/>
                <w:spacing w:val="2"/>
              </w:rPr>
              <w:t>(动物防限条件市查空法)</w:t>
            </w:r>
          </w:p>
        </w:tc>
      </w:tr>
      <w:tr>
        <w:trPr>
          <w:trHeight w:val="639" w:hRule="atLeast"/>
        </w:trPr>
        <w:tc>
          <w:tcPr>
            <w:tcW w:w="594" w:type="dxa"/>
            <w:vAlign w:val="top"/>
          </w:tcPr>
          <w:p>
            <w:pPr>
              <w:pStyle w:val="TableText"/>
              <w:ind w:left="164"/>
              <w:spacing w:before="283" w:line="183" w:lineRule="auto"/>
              <w:rPr>
                <w:sz w:val="16"/>
                <w:szCs w:val="16"/>
              </w:rPr>
            </w:pPr>
            <w:r>
              <w:rPr>
                <w:sz w:val="16"/>
                <w:szCs w:val="16"/>
                <w:spacing w:val="-2"/>
              </w:rPr>
              <w:t>607</w:t>
            </w:r>
          </w:p>
        </w:tc>
        <w:tc>
          <w:tcPr>
            <w:tcW w:w="1279" w:type="dxa"/>
            <w:vAlign w:val="top"/>
          </w:tcPr>
          <w:p>
            <w:pPr>
              <w:pStyle w:val="TableText"/>
              <w:ind w:left="231"/>
              <w:spacing w:before="241" w:line="219" w:lineRule="auto"/>
              <w:rPr>
                <w:sz w:val="16"/>
                <w:szCs w:val="16"/>
              </w:rPr>
            </w:pPr>
            <w:r>
              <w:rPr>
                <w:sz w:val="16"/>
                <w:szCs w:val="16"/>
                <w:spacing w:val="-1"/>
              </w:rPr>
              <w:t>表重衣村部</w:t>
            </w:r>
          </w:p>
        </w:tc>
        <w:tc>
          <w:tcPr>
            <w:tcW w:w="1648" w:type="dxa"/>
            <w:vAlign w:val="top"/>
          </w:tcPr>
          <w:p>
            <w:pPr>
              <w:pStyle w:val="TableText"/>
              <w:ind w:left="42" w:right="112" w:firstLine="30"/>
              <w:spacing w:before="62" w:line="218" w:lineRule="auto"/>
              <w:jc w:val="both"/>
              <w:rPr>
                <w:sz w:val="16"/>
                <w:szCs w:val="16"/>
              </w:rPr>
            </w:pPr>
            <w:r>
              <w:rPr>
                <w:sz w:val="16"/>
                <w:szCs w:val="16"/>
                <w:spacing w:val="1"/>
              </w:rPr>
              <w:t>向无规定动物座府区</w:t>
            </w:r>
            <w:r>
              <w:rPr>
                <w:sz w:val="16"/>
                <w:szCs w:val="16"/>
                <w:spacing w:val="3"/>
              </w:rPr>
              <w:t xml:space="preserve"> </w:t>
            </w:r>
            <w:r>
              <w:rPr>
                <w:sz w:val="16"/>
                <w:szCs w:val="16"/>
                <w:spacing w:val="1"/>
              </w:rPr>
              <w:t>第入影感动物，动节</w:t>
            </w:r>
            <w:r>
              <w:rPr>
                <w:sz w:val="16"/>
                <w:szCs w:val="16"/>
                <w:spacing w:val="3"/>
              </w:rPr>
              <w:t xml:space="preserve"> </w:t>
            </w:r>
            <w:r>
              <w:rPr>
                <w:sz w:val="16"/>
                <w:szCs w:val="16"/>
                <w:spacing w:val="-1"/>
              </w:rPr>
              <w:t>产品的检疫市批</w:t>
            </w:r>
          </w:p>
        </w:tc>
        <w:tc>
          <w:tcPr>
            <w:tcW w:w="2367" w:type="dxa"/>
            <w:vAlign w:val="top"/>
          </w:tcPr>
          <w:p>
            <w:pPr>
              <w:pStyle w:val="TableText"/>
              <w:ind w:left="64"/>
              <w:spacing w:before="241" w:line="219" w:lineRule="auto"/>
              <w:rPr>
                <w:sz w:val="16"/>
                <w:szCs w:val="16"/>
              </w:rPr>
            </w:pPr>
            <w:r>
              <w:rPr>
                <w:sz w:val="16"/>
                <w:szCs w:val="16"/>
                <w:spacing w:val="-1"/>
              </w:rPr>
              <w:t>具级动物卫生监管机料</w:t>
            </w:r>
          </w:p>
        </w:tc>
        <w:tc>
          <w:tcPr>
            <w:tcW w:w="3711" w:type="dxa"/>
            <w:vAlign w:val="top"/>
          </w:tcPr>
          <w:p>
            <w:pPr>
              <w:pStyle w:val="TableText"/>
              <w:ind w:left="166"/>
              <w:spacing w:before="142" w:line="222" w:lineRule="auto"/>
              <w:rPr>
                <w:sz w:val="16"/>
                <w:szCs w:val="16"/>
              </w:rPr>
            </w:pPr>
            <w:r>
              <w:rPr>
                <w:sz w:val="16"/>
                <w:szCs w:val="16"/>
                <w:spacing w:val="-2"/>
              </w:rPr>
              <w:t>小华人民共和体站物的疫法》</w:t>
            </w:r>
          </w:p>
          <w:p>
            <w:pPr>
              <w:pStyle w:val="TableText"/>
              <w:ind w:left="166"/>
              <w:spacing w:line="215" w:lineRule="auto"/>
              <w:rPr>
                <w:sz w:val="16"/>
                <w:szCs w:val="16"/>
              </w:rPr>
            </w:pPr>
            <w:r>
              <w:rPr>
                <w:sz w:val="16"/>
                <w:szCs w:val="16"/>
                <w:spacing w:val="4"/>
              </w:rPr>
              <w:t>动物能疫警理办法|</w:t>
            </w:r>
          </w:p>
        </w:tc>
      </w:tr>
      <w:tr>
        <w:trPr>
          <w:trHeight w:val="459" w:hRule="atLeast"/>
        </w:trPr>
        <w:tc>
          <w:tcPr>
            <w:tcW w:w="594" w:type="dxa"/>
            <w:vAlign w:val="top"/>
          </w:tcPr>
          <w:p>
            <w:pPr>
              <w:pStyle w:val="TableText"/>
              <w:ind w:left="164"/>
              <w:spacing w:before="194" w:line="183" w:lineRule="auto"/>
              <w:rPr>
                <w:sz w:val="16"/>
                <w:szCs w:val="16"/>
              </w:rPr>
            </w:pPr>
            <w:r>
              <w:rPr>
                <w:sz w:val="16"/>
                <w:szCs w:val="16"/>
                <w:spacing w:val="-3"/>
              </w:rPr>
              <w:t>3V2</w:t>
            </w:r>
          </w:p>
        </w:tc>
        <w:tc>
          <w:tcPr>
            <w:tcW w:w="1279" w:type="dxa"/>
            <w:vAlign w:val="top"/>
          </w:tcPr>
          <w:p>
            <w:pPr>
              <w:pStyle w:val="TableText"/>
              <w:ind w:left="231"/>
              <w:spacing w:before="153" w:line="219" w:lineRule="auto"/>
              <w:rPr>
                <w:sz w:val="16"/>
                <w:szCs w:val="16"/>
              </w:rPr>
            </w:pPr>
            <w:r>
              <w:rPr>
                <w:sz w:val="16"/>
                <w:szCs w:val="16"/>
                <w:spacing w:val="-1"/>
              </w:rPr>
              <w:t>农业农料部</w:t>
            </w:r>
          </w:p>
        </w:tc>
        <w:tc>
          <w:tcPr>
            <w:tcW w:w="1648" w:type="dxa"/>
            <w:vAlign w:val="top"/>
          </w:tcPr>
          <w:p>
            <w:pPr>
              <w:pStyle w:val="TableText"/>
              <w:ind w:left="42"/>
              <w:spacing w:before="154" w:line="220" w:lineRule="auto"/>
              <w:rPr>
                <w:sz w:val="16"/>
                <w:szCs w:val="16"/>
              </w:rPr>
            </w:pPr>
            <w:r>
              <w:rPr>
                <w:sz w:val="16"/>
                <w:szCs w:val="16"/>
                <w:spacing w:val="-1"/>
              </w:rPr>
              <w:t>动物诊疗许可</w:t>
            </w:r>
          </w:p>
        </w:tc>
        <w:tc>
          <w:tcPr>
            <w:tcW w:w="2367" w:type="dxa"/>
            <w:vAlign w:val="top"/>
          </w:tcPr>
          <w:p>
            <w:pPr>
              <w:pStyle w:val="TableText"/>
              <w:ind w:left="64"/>
              <w:spacing w:before="152" w:line="219" w:lineRule="auto"/>
              <w:rPr>
                <w:sz w:val="16"/>
                <w:szCs w:val="16"/>
              </w:rPr>
            </w:pPr>
            <w:r>
              <w:rPr>
                <w:sz w:val="16"/>
                <w:szCs w:val="16"/>
                <w:spacing w:val="1"/>
              </w:rPr>
              <w:t>设区的南雄，县操农业农科部门</w:t>
            </w:r>
          </w:p>
        </w:tc>
        <w:tc>
          <w:tcPr>
            <w:tcW w:w="3711" w:type="dxa"/>
            <w:vAlign w:val="top"/>
          </w:tcPr>
          <w:p>
            <w:pPr>
              <w:pStyle w:val="TableText"/>
              <w:ind w:left="166"/>
              <w:spacing w:before="63" w:line="212" w:lineRule="exact"/>
              <w:rPr>
                <w:sz w:val="16"/>
                <w:szCs w:val="16"/>
              </w:rPr>
            </w:pPr>
            <w:r>
              <w:rPr>
                <w:sz w:val="16"/>
                <w:szCs w:val="16"/>
                <w:position w:val="3"/>
              </w:rPr>
              <w:t>1中华人民共和据动物防变法</w:t>
            </w:r>
          </w:p>
          <w:p>
            <w:pPr>
              <w:pStyle w:val="TableText"/>
              <w:ind w:left="166"/>
              <w:spacing w:line="199" w:lineRule="auto"/>
              <w:rPr>
                <w:sz w:val="16"/>
                <w:szCs w:val="16"/>
              </w:rPr>
            </w:pPr>
            <w:r>
              <w:rPr>
                <w:sz w:val="16"/>
                <w:szCs w:val="16"/>
                <w:spacing w:val="1"/>
              </w:rPr>
              <w:t>|法物诊疗机构管理办出1</w:t>
            </w:r>
          </w:p>
        </w:tc>
      </w:tr>
      <w:tr>
        <w:trPr>
          <w:trHeight w:val="429" w:hRule="atLeast"/>
        </w:trPr>
        <w:tc>
          <w:tcPr>
            <w:tcW w:w="594" w:type="dxa"/>
            <w:vAlign w:val="top"/>
          </w:tcPr>
          <w:p>
            <w:pPr>
              <w:pStyle w:val="TableText"/>
              <w:ind w:left="164"/>
              <w:spacing w:before="185" w:line="183" w:lineRule="auto"/>
              <w:rPr>
                <w:sz w:val="16"/>
                <w:szCs w:val="16"/>
              </w:rPr>
            </w:pPr>
            <w:r>
              <w:rPr>
                <w:sz w:val="16"/>
                <w:szCs w:val="16"/>
                <w:spacing w:val="-3"/>
              </w:rPr>
              <w:t>30H</w:t>
            </w:r>
          </w:p>
        </w:tc>
        <w:tc>
          <w:tcPr>
            <w:tcW w:w="1279" w:type="dxa"/>
            <w:vAlign w:val="top"/>
          </w:tcPr>
          <w:p>
            <w:pPr>
              <w:pStyle w:val="TableText"/>
              <w:ind w:left="231"/>
              <w:spacing w:before="143" w:line="219" w:lineRule="auto"/>
              <w:rPr>
                <w:sz w:val="16"/>
                <w:szCs w:val="16"/>
              </w:rPr>
            </w:pPr>
            <w:r>
              <w:rPr>
                <w:sz w:val="16"/>
                <w:szCs w:val="16"/>
                <w:spacing w:val="-1"/>
              </w:rPr>
              <w:t>在业表村部</w:t>
            </w:r>
          </w:p>
        </w:tc>
        <w:tc>
          <w:tcPr>
            <w:tcW w:w="1648" w:type="dxa"/>
            <w:vAlign w:val="top"/>
          </w:tcPr>
          <w:p>
            <w:pPr>
              <w:pStyle w:val="TableText"/>
              <w:ind w:left="42"/>
              <w:spacing w:before="144" w:line="219" w:lineRule="auto"/>
              <w:rPr>
                <w:sz w:val="16"/>
                <w:szCs w:val="16"/>
              </w:rPr>
            </w:pPr>
            <w:r>
              <w:rPr>
                <w:sz w:val="16"/>
                <w:szCs w:val="16"/>
                <w:spacing w:val="-1"/>
              </w:rPr>
              <w:t>我业信医亮特认定</w:t>
            </w:r>
          </w:p>
        </w:tc>
        <w:tc>
          <w:tcPr>
            <w:tcW w:w="2367" w:type="dxa"/>
            <w:vAlign w:val="top"/>
          </w:tcPr>
          <w:p>
            <w:pPr>
              <w:pStyle w:val="TableText"/>
              <w:ind w:left="64"/>
              <w:spacing w:before="143" w:line="219" w:lineRule="auto"/>
              <w:rPr>
                <w:sz w:val="16"/>
                <w:szCs w:val="16"/>
              </w:rPr>
            </w:pPr>
            <w:r>
              <w:rPr>
                <w:sz w:val="16"/>
                <w:szCs w:val="16"/>
                <w:spacing w:val="2"/>
              </w:rPr>
              <w:t>省碱农业在材部门</w:t>
            </w:r>
          </w:p>
        </w:tc>
        <w:tc>
          <w:tcPr>
            <w:tcW w:w="3711" w:type="dxa"/>
            <w:vAlign w:val="top"/>
          </w:tcPr>
          <w:p>
            <w:pPr>
              <w:pStyle w:val="TableText"/>
              <w:ind w:left="166"/>
              <w:spacing w:before="54" w:line="231" w:lineRule="auto"/>
              <w:rPr>
                <w:sz w:val="16"/>
                <w:szCs w:val="16"/>
              </w:rPr>
            </w:pPr>
            <w:r>
              <w:rPr>
                <w:sz w:val="16"/>
                <w:szCs w:val="16"/>
                <w:spacing w:val="2"/>
              </w:rPr>
              <w:t>1中华人民共和偶动节防交法)</w:t>
            </w:r>
          </w:p>
          <w:p>
            <w:pPr>
              <w:pStyle w:val="TableText"/>
              <w:ind w:left="166"/>
              <w:spacing w:line="189" w:lineRule="auto"/>
              <w:rPr>
                <w:sz w:val="16"/>
                <w:szCs w:val="16"/>
              </w:rPr>
            </w:pPr>
            <w:r>
              <w:rPr>
                <w:sz w:val="16"/>
                <w:szCs w:val="16"/>
                <w:spacing w:val="-4"/>
              </w:rPr>
              <w:t>网家职</w:t>
            </w:r>
            <w:r>
              <w:rPr>
                <w:sz w:val="16"/>
                <w:szCs w:val="16"/>
                <w:spacing w:val="9"/>
              </w:rPr>
              <w:t xml:space="preserve">      </w:t>
            </w:r>
            <w:r>
              <w:rPr>
                <w:sz w:val="16"/>
                <w:szCs w:val="16"/>
                <w:spacing w:val="-4"/>
              </w:rPr>
              <w:t>目录(2021年原)》</w:t>
            </w:r>
          </w:p>
        </w:tc>
      </w:tr>
      <w:tr>
        <w:trPr>
          <w:trHeight w:val="439" w:hRule="atLeast"/>
        </w:trPr>
        <w:tc>
          <w:tcPr>
            <w:tcW w:w="594" w:type="dxa"/>
            <w:vAlign w:val="top"/>
          </w:tcPr>
          <w:p>
            <w:pPr>
              <w:pStyle w:val="TableText"/>
              <w:ind w:left="164"/>
              <w:spacing w:before="186" w:line="183" w:lineRule="auto"/>
              <w:rPr>
                <w:sz w:val="16"/>
                <w:szCs w:val="16"/>
              </w:rPr>
            </w:pPr>
            <w:r>
              <w:rPr>
                <w:sz w:val="16"/>
                <w:szCs w:val="16"/>
                <w:spacing w:val="-2"/>
              </w:rPr>
              <w:t>400</w:t>
            </w:r>
          </w:p>
        </w:tc>
        <w:tc>
          <w:tcPr>
            <w:tcW w:w="1279" w:type="dxa"/>
            <w:vAlign w:val="top"/>
          </w:tcPr>
          <w:p>
            <w:pPr>
              <w:pStyle w:val="TableText"/>
              <w:ind w:left="231"/>
              <w:spacing w:before="144" w:line="219" w:lineRule="auto"/>
              <w:rPr>
                <w:sz w:val="16"/>
                <w:szCs w:val="16"/>
              </w:rPr>
            </w:pPr>
            <w:r>
              <w:rPr>
                <w:sz w:val="16"/>
                <w:szCs w:val="16"/>
                <w:spacing w:val="-2"/>
              </w:rPr>
              <w:t>武虫农材部</w:t>
            </w:r>
          </w:p>
        </w:tc>
        <w:tc>
          <w:tcPr>
            <w:tcW w:w="1648" w:type="dxa"/>
            <w:vAlign w:val="top"/>
          </w:tcPr>
          <w:p>
            <w:pPr>
              <w:pStyle w:val="TableText"/>
              <w:ind w:left="42" w:right="59" w:firstLine="30"/>
              <w:spacing w:before="35" w:line="227" w:lineRule="auto"/>
              <w:rPr>
                <w:sz w:val="16"/>
                <w:szCs w:val="16"/>
              </w:rPr>
            </w:pPr>
            <w:r>
              <w:rPr>
                <w:sz w:val="16"/>
                <w:szCs w:val="16"/>
                <w:spacing w:val="-2"/>
              </w:rPr>
              <w:t>生第定点属事厂(场》</w:t>
            </w:r>
            <w:r>
              <w:rPr>
                <w:sz w:val="16"/>
                <w:szCs w:val="16"/>
                <w:spacing w:val="5"/>
              </w:rPr>
              <w:t xml:space="preserve"> </w:t>
            </w:r>
            <w:r>
              <w:rPr>
                <w:sz w:val="16"/>
                <w:szCs w:val="16"/>
                <w:spacing w:val="-2"/>
              </w:rPr>
              <w:t>设置市查</w:t>
            </w:r>
          </w:p>
        </w:tc>
        <w:tc>
          <w:tcPr>
            <w:tcW w:w="2367" w:type="dxa"/>
            <w:vAlign w:val="top"/>
          </w:tcPr>
          <w:p>
            <w:pPr>
              <w:pStyle w:val="TableText"/>
              <w:ind w:left="64" w:right="161" w:hanging="20"/>
              <w:spacing w:before="35" w:line="227" w:lineRule="auto"/>
              <w:rPr>
                <w:sz w:val="16"/>
                <w:szCs w:val="16"/>
              </w:rPr>
            </w:pPr>
            <w:r>
              <w:rPr>
                <w:sz w:val="16"/>
                <w:szCs w:val="16"/>
                <w:spacing w:val="-1"/>
              </w:rPr>
              <w:t>设区的市级登府(由农收农材声</w:t>
            </w:r>
            <w:r>
              <w:rPr>
                <w:sz w:val="16"/>
                <w:szCs w:val="16"/>
                <w:spacing w:val="4"/>
              </w:rPr>
              <w:t xml:space="preserve"> </w:t>
            </w:r>
            <w:r>
              <w:rPr>
                <w:sz w:val="16"/>
                <w:szCs w:val="16"/>
                <w:spacing w:val="-1"/>
              </w:rPr>
              <w:t>门而办》</w:t>
            </w:r>
          </w:p>
        </w:tc>
        <w:tc>
          <w:tcPr>
            <w:tcW w:w="3711" w:type="dxa"/>
            <w:vAlign w:val="top"/>
          </w:tcPr>
          <w:p>
            <w:pPr>
              <w:pStyle w:val="TableText"/>
              <w:ind w:left="166"/>
              <w:spacing w:before="144" w:line="219" w:lineRule="auto"/>
              <w:rPr>
                <w:sz w:val="16"/>
                <w:szCs w:val="16"/>
              </w:rPr>
            </w:pPr>
            <w:r>
              <w:rPr>
                <w:sz w:val="16"/>
                <w:szCs w:val="16"/>
                <w:spacing w:val="3"/>
              </w:rPr>
              <w:t>1生精居常管理名例)</w:t>
            </w:r>
          </w:p>
        </w:tc>
      </w:tr>
      <w:tr>
        <w:trPr>
          <w:trHeight w:val="240" w:hRule="atLeast"/>
        </w:trPr>
        <w:tc>
          <w:tcPr>
            <w:tcW w:w="594" w:type="dxa"/>
            <w:vAlign w:val="top"/>
          </w:tcPr>
          <w:p>
            <w:pPr>
              <w:pStyle w:val="TableText"/>
              <w:ind w:left="164"/>
              <w:spacing w:before="87" w:line="165" w:lineRule="auto"/>
              <w:rPr>
                <w:sz w:val="16"/>
                <w:szCs w:val="16"/>
              </w:rPr>
            </w:pPr>
            <w:r>
              <w:rPr>
                <w:sz w:val="16"/>
                <w:szCs w:val="16"/>
                <w:spacing w:val="-2"/>
              </w:rPr>
              <w:t>401</w:t>
            </w:r>
          </w:p>
        </w:tc>
        <w:tc>
          <w:tcPr>
            <w:tcW w:w="1279" w:type="dxa"/>
            <w:vAlign w:val="top"/>
          </w:tcPr>
          <w:p>
            <w:pPr>
              <w:pStyle w:val="TableText"/>
              <w:ind w:left="231"/>
              <w:spacing w:before="46" w:line="212" w:lineRule="auto"/>
              <w:rPr>
                <w:sz w:val="16"/>
                <w:szCs w:val="16"/>
              </w:rPr>
            </w:pPr>
            <w:r>
              <w:rPr>
                <w:sz w:val="16"/>
                <w:szCs w:val="16"/>
                <w:spacing w:val="-1"/>
              </w:rPr>
              <w:t>农业农村部</w:t>
            </w:r>
          </w:p>
        </w:tc>
        <w:tc>
          <w:tcPr>
            <w:tcW w:w="1648" w:type="dxa"/>
            <w:vAlign w:val="top"/>
          </w:tcPr>
          <w:p>
            <w:pPr>
              <w:pStyle w:val="TableText"/>
              <w:ind w:left="42"/>
              <w:spacing w:before="46" w:line="212" w:lineRule="auto"/>
              <w:rPr>
                <w:sz w:val="16"/>
                <w:szCs w:val="16"/>
              </w:rPr>
            </w:pPr>
            <w:r>
              <w:rPr>
                <w:sz w:val="16"/>
                <w:szCs w:val="16"/>
                <w:spacing w:val="-1"/>
              </w:rPr>
              <w:t>生帮乳收购站许可</w:t>
            </w:r>
          </w:p>
        </w:tc>
        <w:tc>
          <w:tcPr>
            <w:tcW w:w="2367" w:type="dxa"/>
            <w:vAlign w:val="top"/>
          </w:tcPr>
          <w:p>
            <w:pPr>
              <w:pStyle w:val="TableText"/>
              <w:ind w:left="64"/>
              <w:spacing w:before="46" w:line="212" w:lineRule="auto"/>
              <w:rPr>
                <w:sz w:val="16"/>
                <w:szCs w:val="16"/>
              </w:rPr>
            </w:pPr>
            <w:r>
              <w:rPr>
                <w:sz w:val="16"/>
                <w:szCs w:val="16"/>
                <w:spacing w:val="2"/>
              </w:rPr>
              <w:t>县重者牧鲁医驾门</w:t>
            </w:r>
          </w:p>
        </w:tc>
        <w:tc>
          <w:tcPr>
            <w:tcW w:w="3711" w:type="dxa"/>
            <w:vAlign w:val="top"/>
          </w:tcPr>
          <w:p>
            <w:pPr>
              <w:pStyle w:val="TableText"/>
              <w:ind w:left="166"/>
              <w:spacing w:before="46" w:line="212" w:lineRule="auto"/>
              <w:rPr>
                <w:sz w:val="16"/>
                <w:szCs w:val="16"/>
              </w:rPr>
            </w:pPr>
            <w:r>
              <w:rPr>
                <w:sz w:val="16"/>
                <w:szCs w:val="16"/>
              </w:rPr>
              <w:t>(乳品货量安全监省背理条偶</w:t>
            </w:r>
          </w:p>
        </w:tc>
      </w:tr>
      <w:tr>
        <w:trPr>
          <w:trHeight w:val="285" w:hRule="atLeast"/>
        </w:trPr>
        <w:tc>
          <w:tcPr>
            <w:tcW w:w="594" w:type="dxa"/>
            <w:vAlign w:val="top"/>
          </w:tcPr>
          <w:p>
            <w:pPr>
              <w:pStyle w:val="TableText"/>
              <w:ind w:left="164"/>
              <w:spacing w:before="107" w:line="184" w:lineRule="auto"/>
              <w:rPr>
                <w:sz w:val="16"/>
                <w:szCs w:val="16"/>
              </w:rPr>
            </w:pPr>
            <w:r>
              <w:rPr>
                <w:sz w:val="16"/>
                <w:szCs w:val="16"/>
                <w:spacing w:val="-1"/>
              </w:rPr>
              <w:t>Ai2</w:t>
            </w:r>
          </w:p>
        </w:tc>
        <w:tc>
          <w:tcPr>
            <w:tcW w:w="1279" w:type="dxa"/>
            <w:vAlign w:val="top"/>
          </w:tcPr>
          <w:p>
            <w:pPr>
              <w:pStyle w:val="TableText"/>
              <w:ind w:left="231"/>
              <w:spacing w:before="65" w:line="219" w:lineRule="auto"/>
              <w:rPr>
                <w:sz w:val="16"/>
                <w:szCs w:val="16"/>
              </w:rPr>
            </w:pPr>
            <w:r>
              <w:rPr>
                <w:sz w:val="16"/>
                <w:szCs w:val="16"/>
                <w:spacing w:val="-1"/>
              </w:rPr>
              <w:t>表业表材库</w:t>
            </w:r>
          </w:p>
        </w:tc>
        <w:tc>
          <w:tcPr>
            <w:tcW w:w="1648" w:type="dxa"/>
            <w:vAlign w:val="top"/>
          </w:tcPr>
          <w:p>
            <w:pPr>
              <w:pStyle w:val="TableText"/>
              <w:ind w:left="42"/>
              <w:spacing w:before="66" w:line="219" w:lineRule="auto"/>
              <w:rPr>
                <w:sz w:val="16"/>
                <w:szCs w:val="16"/>
              </w:rPr>
            </w:pPr>
            <w:r>
              <w:rPr>
                <w:sz w:val="16"/>
                <w:szCs w:val="16"/>
                <w:spacing w:val="-1"/>
              </w:rPr>
              <w:t>生群乳希综证明核发</w:t>
            </w:r>
          </w:p>
        </w:tc>
        <w:tc>
          <w:tcPr>
            <w:tcW w:w="2367" w:type="dxa"/>
            <w:vAlign w:val="top"/>
          </w:tcPr>
          <w:p>
            <w:pPr>
              <w:pStyle w:val="TableText"/>
              <w:ind w:left="64"/>
              <w:spacing w:before="66" w:line="219" w:lineRule="auto"/>
              <w:rPr>
                <w:sz w:val="16"/>
                <w:szCs w:val="16"/>
              </w:rPr>
            </w:pPr>
            <w:r>
              <w:rPr>
                <w:sz w:val="16"/>
                <w:szCs w:val="16"/>
                <w:spacing w:val="-1"/>
              </w:rPr>
              <w:t>吸</w:t>
            </w:r>
            <w:r>
              <w:rPr>
                <w:sz w:val="16"/>
                <w:szCs w:val="16"/>
                <w:spacing w:val="11"/>
              </w:rPr>
              <w:t xml:space="preserve">  </w:t>
            </w:r>
            <w:r>
              <w:rPr>
                <w:sz w:val="16"/>
                <w:szCs w:val="16"/>
                <w:spacing w:val="-1"/>
              </w:rPr>
              <w:t>较得医屋门</w:t>
            </w:r>
          </w:p>
        </w:tc>
        <w:tc>
          <w:tcPr>
            <w:tcW w:w="3711" w:type="dxa"/>
            <w:vAlign w:val="top"/>
          </w:tcPr>
          <w:p>
            <w:pPr>
              <w:pStyle w:val="TableText"/>
              <w:ind w:left="166"/>
              <w:spacing w:before="65" w:line="219" w:lineRule="auto"/>
              <w:rPr>
                <w:sz w:val="16"/>
                <w:szCs w:val="16"/>
              </w:rPr>
            </w:pPr>
            <w:r>
              <w:rPr>
                <w:sz w:val="16"/>
                <w:szCs w:val="16"/>
                <w:spacing w:val="1"/>
              </w:rPr>
              <w:t>(乳品成虽安全直省就理条州1</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66112"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250" name="TextBox 250"/>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2" style="position:absolute;margin-left:35.8547pt;margin-top:48.6757pt;mso-position-vertical-relative:page;mso-position-horizontal-relative:page;width:14.35pt;height:13pt;z-index:251866112;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206</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中央主登部门</w:t>
            </w:r>
          </w:p>
        </w:tc>
        <w:tc>
          <w:tcPr>
            <w:tcW w:w="1638" w:type="dxa"/>
            <w:vAlign w:val="top"/>
          </w:tcPr>
          <w:p>
            <w:pPr>
              <w:pStyle w:val="TableText"/>
              <w:ind w:left="491"/>
              <w:spacing w:before="131" w:line="219" w:lineRule="auto"/>
              <w:rPr>
                <w:sz w:val="16"/>
                <w:szCs w:val="16"/>
              </w:rPr>
            </w:pPr>
            <w:r>
              <w:rPr>
                <w:sz w:val="16"/>
                <w:szCs w:val="16"/>
                <w:spacing w:val="-2"/>
              </w:rPr>
              <w:t>事项者算</w:t>
            </w:r>
          </w:p>
        </w:tc>
        <w:tc>
          <w:tcPr>
            <w:tcW w:w="2377" w:type="dxa"/>
            <w:vAlign w:val="top"/>
          </w:tcPr>
          <w:p>
            <w:pPr>
              <w:pStyle w:val="TableText"/>
              <w:ind w:left="836"/>
              <w:spacing w:before="128" w:line="219" w:lineRule="auto"/>
              <w:rPr>
                <w:sz w:val="16"/>
                <w:szCs w:val="16"/>
              </w:rPr>
            </w:pPr>
            <w:r>
              <w:rPr>
                <w:sz w:val="16"/>
                <w:szCs w:val="16"/>
                <w:b/>
                <w:bCs/>
                <w:spacing w:val="-3"/>
              </w:rPr>
              <w:t>其腿机关</w:t>
            </w:r>
          </w:p>
        </w:tc>
        <w:tc>
          <w:tcPr>
            <w:tcW w:w="3711" w:type="dxa"/>
            <w:vAlign w:val="top"/>
          </w:tcPr>
          <w:p>
            <w:pPr>
              <w:pStyle w:val="TableText"/>
              <w:ind w:left="1309"/>
              <w:spacing w:before="129" w:line="220" w:lineRule="auto"/>
              <w:rPr>
                <w:sz w:val="16"/>
                <w:szCs w:val="16"/>
              </w:rPr>
            </w:pPr>
            <w:r>
              <w:rPr>
                <w:sz w:val="16"/>
                <w:szCs w:val="16"/>
                <w:b/>
                <w:bCs/>
                <w:spacing w:val="-3"/>
              </w:rPr>
              <w:t>设定和实施体量</w:t>
            </w:r>
          </w:p>
        </w:tc>
      </w:tr>
      <w:tr>
        <w:trPr>
          <w:trHeight w:val="459" w:hRule="atLeast"/>
        </w:trPr>
        <w:tc>
          <w:tcPr>
            <w:tcW w:w="574" w:type="dxa"/>
            <w:vAlign w:val="top"/>
          </w:tcPr>
          <w:p>
            <w:pPr>
              <w:pStyle w:val="TableText"/>
              <w:ind w:left="154"/>
              <w:spacing w:before="187" w:line="183" w:lineRule="auto"/>
              <w:rPr>
                <w:sz w:val="16"/>
                <w:szCs w:val="16"/>
              </w:rPr>
            </w:pPr>
            <w:r>
              <w:rPr>
                <w:sz w:val="16"/>
                <w:szCs w:val="16"/>
                <w:spacing w:val="-2"/>
              </w:rPr>
              <w:t>403</w:t>
            </w:r>
          </w:p>
        </w:tc>
        <w:tc>
          <w:tcPr>
            <w:tcW w:w="1299" w:type="dxa"/>
            <w:vAlign w:val="top"/>
          </w:tcPr>
          <w:p>
            <w:pPr>
              <w:pStyle w:val="TableText"/>
              <w:ind w:left="241"/>
              <w:spacing w:before="145" w:line="219" w:lineRule="auto"/>
              <w:rPr>
                <w:sz w:val="16"/>
                <w:szCs w:val="16"/>
              </w:rPr>
            </w:pPr>
            <w:r>
              <w:rPr>
                <w:sz w:val="16"/>
                <w:szCs w:val="16"/>
                <w:spacing w:val="-1"/>
              </w:rPr>
              <w:t>表要农村部</w:t>
            </w:r>
          </w:p>
        </w:tc>
        <w:tc>
          <w:tcPr>
            <w:tcW w:w="1638" w:type="dxa"/>
            <w:vAlign w:val="top"/>
          </w:tcPr>
          <w:p>
            <w:pPr>
              <w:pStyle w:val="TableText"/>
              <w:ind w:left="62" w:right="102" w:firstLine="30"/>
              <w:spacing w:before="76" w:line="215" w:lineRule="auto"/>
              <w:rPr>
                <w:sz w:val="16"/>
                <w:szCs w:val="16"/>
              </w:rPr>
            </w:pPr>
            <w:r>
              <w:rPr>
                <w:sz w:val="16"/>
                <w:szCs w:val="16"/>
                <w:spacing w:val="-1"/>
              </w:rPr>
              <w:t>养放机和题合收育机</w:t>
            </w:r>
            <w:r>
              <w:rPr>
                <w:sz w:val="16"/>
                <w:szCs w:val="16"/>
                <w:spacing w:val="1"/>
              </w:rPr>
              <w:t xml:space="preserve"> </w:t>
            </w:r>
            <w:r>
              <w:rPr>
                <w:sz w:val="16"/>
                <w:szCs w:val="16"/>
                <w:spacing w:val="-2"/>
              </w:rPr>
              <w:t>烈驶证社发</w:t>
            </w:r>
          </w:p>
        </w:tc>
        <w:tc>
          <w:tcPr>
            <w:tcW w:w="2377" w:type="dxa"/>
            <w:vAlign w:val="top"/>
          </w:tcPr>
          <w:p>
            <w:pPr>
              <w:pStyle w:val="TableText"/>
              <w:ind w:left="54"/>
              <w:spacing w:before="145" w:line="219" w:lineRule="auto"/>
              <w:rPr>
                <w:sz w:val="16"/>
                <w:szCs w:val="16"/>
              </w:rPr>
            </w:pPr>
            <w:r>
              <w:rPr>
                <w:sz w:val="16"/>
                <w:szCs w:val="16"/>
                <w:spacing w:val="2"/>
              </w:rPr>
              <w:t>县师农业霍村起门</w:t>
            </w:r>
          </w:p>
        </w:tc>
        <w:tc>
          <w:tcPr>
            <w:tcW w:w="3711" w:type="dxa"/>
            <w:vAlign w:val="top"/>
          </w:tcPr>
          <w:p>
            <w:pPr>
              <w:pStyle w:val="TableText"/>
              <w:ind w:left="56"/>
              <w:spacing w:before="56" w:line="207" w:lineRule="auto"/>
              <w:rPr>
                <w:sz w:val="16"/>
                <w:szCs w:val="16"/>
              </w:rPr>
            </w:pPr>
            <w:r>
              <w:rPr>
                <w:sz w:val="16"/>
                <w:szCs w:val="16"/>
                <w:spacing w:val="2"/>
              </w:rPr>
              <w:t>1中华人民共和国适题交填发全法)</w:t>
            </w:r>
          </w:p>
          <w:p>
            <w:pPr>
              <w:pStyle w:val="TableText"/>
              <w:ind w:left="56"/>
              <w:spacing w:line="218" w:lineRule="auto"/>
              <w:rPr>
                <w:sz w:val="16"/>
                <w:szCs w:val="16"/>
              </w:rPr>
            </w:pPr>
            <w:r>
              <w:rPr>
                <w:sz w:val="16"/>
                <w:szCs w:val="16"/>
                <w:spacing w:val="-1"/>
              </w:rPr>
              <w:t>4农业机械女全篮鲁管理备例》</w:t>
            </w:r>
          </w:p>
        </w:tc>
      </w:tr>
      <w:tr>
        <w:trPr>
          <w:trHeight w:val="469" w:hRule="atLeast"/>
        </w:trPr>
        <w:tc>
          <w:tcPr>
            <w:tcW w:w="574" w:type="dxa"/>
            <w:vAlign w:val="top"/>
          </w:tcPr>
          <w:p>
            <w:pPr>
              <w:pStyle w:val="TableText"/>
              <w:ind w:left="154"/>
              <w:spacing w:before="198" w:line="183" w:lineRule="auto"/>
              <w:rPr>
                <w:sz w:val="16"/>
                <w:szCs w:val="16"/>
              </w:rPr>
            </w:pPr>
            <w:r>
              <w:rPr>
                <w:sz w:val="16"/>
                <w:szCs w:val="16"/>
                <w:spacing w:val="-2"/>
              </w:rPr>
              <w:t>604</w:t>
            </w:r>
          </w:p>
        </w:tc>
        <w:tc>
          <w:tcPr>
            <w:tcW w:w="1299" w:type="dxa"/>
            <w:vAlign w:val="top"/>
          </w:tcPr>
          <w:p>
            <w:pPr>
              <w:pStyle w:val="TableText"/>
              <w:ind w:left="241"/>
              <w:spacing w:before="156" w:line="219" w:lineRule="auto"/>
              <w:rPr>
                <w:sz w:val="16"/>
                <w:szCs w:val="16"/>
              </w:rPr>
            </w:pPr>
            <w:r>
              <w:rPr>
                <w:sz w:val="16"/>
                <w:szCs w:val="16"/>
                <w:spacing w:val="-1"/>
              </w:rPr>
              <w:t>表春农村部</w:t>
            </w:r>
          </w:p>
        </w:tc>
        <w:tc>
          <w:tcPr>
            <w:tcW w:w="1638" w:type="dxa"/>
            <w:vAlign w:val="top"/>
          </w:tcPr>
          <w:p>
            <w:pPr>
              <w:pStyle w:val="TableText"/>
              <w:ind w:left="62" w:right="106" w:firstLine="30"/>
              <w:spacing w:before="77" w:line="220" w:lineRule="auto"/>
              <w:rPr>
                <w:sz w:val="16"/>
                <w:szCs w:val="16"/>
              </w:rPr>
            </w:pPr>
            <w:r>
              <w:rPr>
                <w:sz w:val="16"/>
                <w:szCs w:val="16"/>
                <w:spacing w:val="-2"/>
              </w:rPr>
              <w:t>范控机和联合收剂机</w:t>
            </w:r>
            <w:r>
              <w:rPr>
                <w:sz w:val="16"/>
                <w:szCs w:val="16"/>
                <w:spacing w:val="6"/>
              </w:rPr>
              <w:t xml:space="preserve"> </w:t>
            </w:r>
            <w:r>
              <w:rPr>
                <w:sz w:val="16"/>
                <w:szCs w:val="16"/>
                <w:spacing w:val="-3"/>
              </w:rPr>
              <w:t>登记</w:t>
            </w:r>
          </w:p>
        </w:tc>
        <w:tc>
          <w:tcPr>
            <w:tcW w:w="2377" w:type="dxa"/>
            <w:vAlign w:val="top"/>
          </w:tcPr>
          <w:p>
            <w:pPr>
              <w:pStyle w:val="TableText"/>
              <w:ind w:left="54"/>
              <w:spacing w:before="156" w:line="219" w:lineRule="auto"/>
              <w:rPr>
                <w:sz w:val="16"/>
                <w:szCs w:val="16"/>
              </w:rPr>
            </w:pPr>
            <w:r>
              <w:rPr>
                <w:sz w:val="16"/>
                <w:szCs w:val="16"/>
                <w:spacing w:val="2"/>
              </w:rPr>
              <w:t>县视直业在材部门</w:t>
            </w:r>
          </w:p>
        </w:tc>
        <w:tc>
          <w:tcPr>
            <w:tcW w:w="3711" w:type="dxa"/>
            <w:vAlign w:val="top"/>
          </w:tcPr>
          <w:p>
            <w:pPr>
              <w:pStyle w:val="TableText"/>
              <w:ind w:left="79"/>
              <w:spacing w:before="67" w:line="219" w:lineRule="exact"/>
              <w:rPr>
                <w:sz w:val="16"/>
                <w:szCs w:val="16"/>
              </w:rPr>
            </w:pPr>
            <w:r>
              <w:rPr>
                <w:sz w:val="16"/>
                <w:szCs w:val="16"/>
                <w:spacing w:val="-1"/>
                <w:position w:val="4"/>
              </w:rPr>
              <w:t>中华人民其和国道路交道安全法1</w:t>
            </w:r>
          </w:p>
          <w:p>
            <w:pPr>
              <w:pStyle w:val="TableText"/>
              <w:spacing w:line="198" w:lineRule="auto"/>
              <w:rPr>
                <w:sz w:val="16"/>
                <w:szCs w:val="16"/>
              </w:rPr>
            </w:pPr>
            <w:r>
              <w:rPr>
                <w:sz w:val="16"/>
                <w:szCs w:val="16"/>
                <w:spacing w:val="-2"/>
              </w:rPr>
              <w:t>《农型机精要全管答管理条例)</w:t>
            </w:r>
          </w:p>
        </w:tc>
      </w:tr>
      <w:tr>
        <w:trPr>
          <w:trHeight w:val="459" w:hRule="atLeast"/>
        </w:trPr>
        <w:tc>
          <w:tcPr>
            <w:tcW w:w="574" w:type="dxa"/>
            <w:vAlign w:val="top"/>
          </w:tcPr>
          <w:p>
            <w:pPr>
              <w:pStyle w:val="TableText"/>
              <w:ind w:left="154"/>
              <w:spacing w:before="189" w:line="183" w:lineRule="auto"/>
              <w:rPr>
                <w:sz w:val="16"/>
                <w:szCs w:val="16"/>
              </w:rPr>
            </w:pPr>
            <w:r>
              <w:rPr>
                <w:sz w:val="16"/>
                <w:szCs w:val="16"/>
                <w:spacing w:val="-2"/>
              </w:rPr>
              <w:t>405</w:t>
            </w:r>
          </w:p>
        </w:tc>
        <w:tc>
          <w:tcPr>
            <w:tcW w:w="1299" w:type="dxa"/>
            <w:vAlign w:val="top"/>
          </w:tcPr>
          <w:p>
            <w:pPr>
              <w:pStyle w:val="TableText"/>
              <w:ind w:left="241"/>
              <w:spacing w:before="148" w:line="219" w:lineRule="auto"/>
              <w:rPr>
                <w:sz w:val="16"/>
                <w:szCs w:val="16"/>
              </w:rPr>
            </w:pPr>
            <w:r>
              <w:rPr>
                <w:sz w:val="16"/>
                <w:szCs w:val="16"/>
                <w:spacing w:val="-1"/>
              </w:rPr>
              <w:t>农业表行部</w:t>
            </w:r>
          </w:p>
        </w:tc>
        <w:tc>
          <w:tcPr>
            <w:tcW w:w="1638" w:type="dxa"/>
            <w:vAlign w:val="top"/>
          </w:tcPr>
          <w:p>
            <w:pPr>
              <w:pStyle w:val="TableText"/>
              <w:ind w:left="32" w:right="80" w:firstLine="60"/>
              <w:spacing w:before="59" w:line="224" w:lineRule="auto"/>
              <w:rPr>
                <w:sz w:val="16"/>
                <w:szCs w:val="16"/>
              </w:rPr>
            </w:pPr>
            <w:r>
              <w:rPr>
                <w:sz w:val="16"/>
                <w:szCs w:val="16"/>
                <w:spacing w:val="1"/>
              </w:rPr>
              <w:t>收产是族盛安全楼圈</w:t>
            </w:r>
            <w:r>
              <w:rPr>
                <w:sz w:val="16"/>
                <w:szCs w:val="16"/>
                <w:spacing w:val="5"/>
              </w:rPr>
              <w:t xml:space="preserve"> </w:t>
            </w:r>
            <w:r>
              <w:rPr>
                <w:sz w:val="16"/>
                <w:szCs w:val="16"/>
                <w:spacing w:val="-2"/>
              </w:rPr>
              <w:t>机构考机</w:t>
            </w:r>
          </w:p>
        </w:tc>
        <w:tc>
          <w:tcPr>
            <w:tcW w:w="2377" w:type="dxa"/>
            <w:vAlign w:val="top"/>
          </w:tcPr>
          <w:p>
            <w:pPr>
              <w:pStyle w:val="TableText"/>
              <w:ind w:left="54"/>
              <w:spacing w:before="147" w:line="219" w:lineRule="auto"/>
              <w:rPr>
                <w:sz w:val="16"/>
                <w:szCs w:val="16"/>
              </w:rPr>
            </w:pPr>
            <w:r>
              <w:rPr>
                <w:sz w:val="16"/>
                <w:szCs w:val="16"/>
                <w:spacing w:val="1"/>
              </w:rPr>
              <w:t>表业衣材器，省取表业表料部门</w:t>
            </w:r>
          </w:p>
        </w:tc>
        <w:tc>
          <w:tcPr>
            <w:tcW w:w="3711" w:type="dxa"/>
            <w:vAlign w:val="top"/>
          </w:tcPr>
          <w:p>
            <w:pPr>
              <w:pStyle w:val="TableText"/>
              <w:ind w:left="56"/>
              <w:spacing w:before="48" w:line="230" w:lineRule="auto"/>
              <w:rPr>
                <w:sz w:val="16"/>
                <w:szCs w:val="16"/>
              </w:rPr>
            </w:pPr>
            <w:r>
              <w:rPr>
                <w:sz w:val="16"/>
                <w:szCs w:val="16"/>
                <w:spacing w:val="-1"/>
              </w:rPr>
              <w:t>1中华人民共和国农产品质显安全法》</w:t>
            </w:r>
          </w:p>
          <w:p>
            <w:pPr>
              <w:pStyle w:val="TableText"/>
              <w:ind w:left="56"/>
              <w:spacing w:line="218" w:lineRule="auto"/>
              <w:rPr>
                <w:sz w:val="16"/>
                <w:szCs w:val="16"/>
              </w:rPr>
            </w:pPr>
            <w:r>
              <w:rPr>
                <w:sz w:val="16"/>
                <w:szCs w:val="16"/>
              </w:rPr>
              <w:t>1农产品质量安杂检测机构号确办齿</w:t>
            </w:r>
          </w:p>
        </w:tc>
      </w:tr>
      <w:tr>
        <w:trPr>
          <w:trHeight w:val="659" w:hRule="atLeast"/>
        </w:trPr>
        <w:tc>
          <w:tcPr>
            <w:tcW w:w="574" w:type="dxa"/>
            <w:vAlign w:val="top"/>
          </w:tcPr>
          <w:p>
            <w:pPr>
              <w:pStyle w:val="TableText"/>
              <w:ind w:left="154"/>
              <w:spacing w:before="290" w:line="183" w:lineRule="auto"/>
              <w:rPr>
                <w:sz w:val="16"/>
                <w:szCs w:val="16"/>
              </w:rPr>
            </w:pPr>
            <w:r>
              <w:rPr>
                <w:sz w:val="16"/>
                <w:szCs w:val="16"/>
                <w:spacing w:val="-2"/>
              </w:rPr>
              <w:t>496</w:t>
            </w:r>
          </w:p>
        </w:tc>
        <w:tc>
          <w:tcPr>
            <w:tcW w:w="1299" w:type="dxa"/>
            <w:vAlign w:val="top"/>
          </w:tcPr>
          <w:p>
            <w:pPr>
              <w:pStyle w:val="TableText"/>
              <w:ind w:left="241"/>
              <w:spacing w:before="248" w:line="219" w:lineRule="auto"/>
              <w:rPr>
                <w:sz w:val="16"/>
                <w:szCs w:val="16"/>
              </w:rPr>
            </w:pPr>
            <w:r>
              <w:rPr>
                <w:sz w:val="16"/>
                <w:szCs w:val="16"/>
                <w:spacing w:val="-1"/>
              </w:rPr>
              <w:t>表业表村部</w:t>
            </w:r>
          </w:p>
        </w:tc>
        <w:tc>
          <w:tcPr>
            <w:tcW w:w="1638" w:type="dxa"/>
            <w:vAlign w:val="top"/>
          </w:tcPr>
          <w:p>
            <w:pPr>
              <w:pStyle w:val="TableText"/>
              <w:ind w:left="62" w:right="102" w:firstLine="30"/>
              <w:spacing w:before="69" w:line="223" w:lineRule="auto"/>
              <w:jc w:val="both"/>
              <w:rPr>
                <w:sz w:val="16"/>
                <w:szCs w:val="16"/>
              </w:rPr>
            </w:pPr>
            <w:r>
              <w:rPr>
                <w:sz w:val="16"/>
                <w:szCs w:val="16"/>
                <w:spacing w:val="-1"/>
              </w:rPr>
              <w:t>工题企业等社会相本</w:t>
            </w:r>
            <w:r>
              <w:rPr>
                <w:sz w:val="16"/>
                <w:szCs w:val="16"/>
              </w:rPr>
              <w:t xml:space="preserve"> </w:t>
            </w:r>
            <w:r>
              <w:rPr>
                <w:sz w:val="16"/>
                <w:szCs w:val="16"/>
                <w:spacing w:val="2"/>
              </w:rPr>
              <w:t>通过清转收得土地经</w:t>
            </w:r>
            <w:r>
              <w:rPr>
                <w:sz w:val="16"/>
                <w:szCs w:val="16"/>
                <w:spacing w:val="4"/>
              </w:rPr>
              <w:t xml:space="preserve"> </w:t>
            </w:r>
            <w:r>
              <w:rPr>
                <w:sz w:val="16"/>
                <w:szCs w:val="16"/>
                <w:spacing w:val="-3"/>
              </w:rPr>
              <w:t>营权平器</w:t>
            </w:r>
          </w:p>
        </w:tc>
        <w:tc>
          <w:tcPr>
            <w:tcW w:w="2377" w:type="dxa"/>
            <w:vAlign w:val="top"/>
          </w:tcPr>
          <w:p>
            <w:pPr>
              <w:pStyle w:val="TableText"/>
              <w:ind w:left="54" w:firstLine="19"/>
              <w:spacing w:before="78" w:line="219" w:lineRule="auto"/>
              <w:rPr>
                <w:sz w:val="16"/>
                <w:szCs w:val="16"/>
              </w:rPr>
            </w:pPr>
            <w:r>
              <w:rPr>
                <w:sz w:val="16"/>
                <w:szCs w:val="16"/>
                <w:spacing w:val="-9"/>
              </w:rPr>
              <w:t>省</w:t>
            </w:r>
            <w:r>
              <w:rPr>
                <w:sz w:val="16"/>
                <w:szCs w:val="16"/>
                <w:spacing w:val="-8"/>
              </w:rPr>
              <w:t>朗，设区的市级，县以，乡镇</w:t>
            </w:r>
            <w:r>
              <w:rPr>
                <w:sz w:val="16"/>
                <w:szCs w:val="16"/>
                <w:spacing w:val="-7"/>
              </w:rPr>
              <w:t>政</w:t>
            </w:r>
            <w:r>
              <w:rPr>
                <w:sz w:val="16"/>
                <w:szCs w:val="16"/>
                <w:spacing w:val="12"/>
              </w:rPr>
              <w:t xml:space="preserve"> </w:t>
            </w:r>
            <w:r>
              <w:rPr>
                <w:sz w:val="16"/>
                <w:szCs w:val="16"/>
                <w:spacing w:val="-1"/>
              </w:rPr>
              <w:t>州(击袁业表打部门或表表料量</w:t>
            </w:r>
          </w:p>
          <w:p>
            <w:pPr>
              <w:pStyle w:val="TableText"/>
              <w:ind w:left="54"/>
              <w:spacing w:line="219" w:lineRule="auto"/>
              <w:rPr>
                <w:sz w:val="16"/>
                <w:szCs w:val="16"/>
              </w:rPr>
            </w:pPr>
            <w:r>
              <w:rPr>
                <w:sz w:val="16"/>
                <w:szCs w:val="16"/>
                <w:spacing w:val="4"/>
              </w:rPr>
              <w:t>背管理部门承办)</w:t>
            </w:r>
          </w:p>
        </w:tc>
        <w:tc>
          <w:tcPr>
            <w:tcW w:w="3711" w:type="dxa"/>
            <w:vAlign w:val="top"/>
          </w:tcPr>
          <w:p>
            <w:pPr>
              <w:pStyle w:val="TableText"/>
              <w:ind w:left="56"/>
              <w:spacing w:before="162" w:line="227" w:lineRule="auto"/>
              <w:rPr>
                <w:sz w:val="16"/>
                <w:szCs w:val="16"/>
              </w:rPr>
            </w:pPr>
            <w:r>
              <w:rPr>
                <w:sz w:val="16"/>
                <w:szCs w:val="16"/>
              </w:rPr>
              <w:t>|中华人民共相国农村土些承包径</w:t>
            </w:r>
          </w:p>
          <w:p>
            <w:pPr>
              <w:pStyle w:val="TableText"/>
              <w:ind w:left="56"/>
              <w:spacing w:line="218" w:lineRule="auto"/>
              <w:rPr>
                <w:sz w:val="16"/>
                <w:szCs w:val="16"/>
              </w:rPr>
            </w:pPr>
            <w:r>
              <w:rPr>
                <w:sz w:val="16"/>
                <w:szCs w:val="16"/>
                <w:spacing w:val="-1"/>
              </w:rPr>
              <w:t>率村土感经营权查转管理办齿》</w:t>
            </w:r>
          </w:p>
        </w:tc>
      </w:tr>
      <w:tr>
        <w:trPr>
          <w:trHeight w:val="260" w:hRule="atLeast"/>
        </w:trPr>
        <w:tc>
          <w:tcPr>
            <w:tcW w:w="574" w:type="dxa"/>
            <w:vAlign w:val="top"/>
          </w:tcPr>
          <w:p>
            <w:pPr>
              <w:pStyle w:val="TableText"/>
              <w:ind w:left="154"/>
              <w:spacing w:before="92" w:line="182" w:lineRule="auto"/>
              <w:rPr>
                <w:sz w:val="16"/>
                <w:szCs w:val="16"/>
              </w:rPr>
            </w:pPr>
            <w:r>
              <w:rPr>
                <w:sz w:val="16"/>
                <w:szCs w:val="16"/>
                <w:spacing w:val="-2"/>
              </w:rPr>
              <w:t>497</w:t>
            </w:r>
          </w:p>
        </w:tc>
        <w:tc>
          <w:tcPr>
            <w:tcW w:w="1299" w:type="dxa"/>
            <w:vAlign w:val="top"/>
          </w:tcPr>
          <w:p>
            <w:pPr>
              <w:pStyle w:val="TableText"/>
              <w:ind w:left="241"/>
              <w:spacing w:before="49" w:line="219" w:lineRule="auto"/>
              <w:rPr>
                <w:sz w:val="16"/>
                <w:szCs w:val="16"/>
              </w:rPr>
            </w:pPr>
            <w:r>
              <w:rPr>
                <w:sz w:val="16"/>
                <w:szCs w:val="16"/>
                <w:spacing w:val="-1"/>
              </w:rPr>
              <w:t>农登表材部</w:t>
            </w:r>
          </w:p>
        </w:tc>
        <w:tc>
          <w:tcPr>
            <w:tcW w:w="1638" w:type="dxa"/>
            <w:vAlign w:val="top"/>
          </w:tcPr>
          <w:p>
            <w:pPr>
              <w:pStyle w:val="TableText"/>
              <w:ind w:left="92"/>
              <w:spacing w:before="49" w:line="219" w:lineRule="auto"/>
              <w:rPr>
                <w:sz w:val="16"/>
                <w:szCs w:val="16"/>
              </w:rPr>
            </w:pPr>
            <w:r>
              <w:rPr>
                <w:sz w:val="16"/>
                <w:szCs w:val="16"/>
                <w:spacing w:val="-1"/>
              </w:rPr>
              <w:t>表村村民毛基地审随</w:t>
            </w:r>
          </w:p>
        </w:tc>
        <w:tc>
          <w:tcPr>
            <w:tcW w:w="2377" w:type="dxa"/>
            <w:vAlign w:val="top"/>
          </w:tcPr>
          <w:p>
            <w:pPr>
              <w:pStyle w:val="TableText"/>
              <w:ind w:left="54"/>
              <w:spacing w:before="50" w:line="219" w:lineRule="auto"/>
              <w:rPr>
                <w:sz w:val="16"/>
                <w:szCs w:val="16"/>
              </w:rPr>
            </w:pPr>
            <w:r>
              <w:rPr>
                <w:sz w:val="16"/>
                <w:szCs w:val="16"/>
                <w:spacing w:val="-2"/>
              </w:rPr>
              <w:t>少镇教</w:t>
            </w:r>
          </w:p>
        </w:tc>
        <w:tc>
          <w:tcPr>
            <w:tcW w:w="3711" w:type="dxa"/>
            <w:vAlign w:val="top"/>
          </w:tcPr>
          <w:p>
            <w:pPr>
              <w:pStyle w:val="TableText"/>
              <w:ind w:left="56"/>
              <w:spacing w:before="50" w:line="219" w:lineRule="auto"/>
              <w:rPr>
                <w:sz w:val="16"/>
                <w:szCs w:val="16"/>
              </w:rPr>
            </w:pPr>
            <w:r>
              <w:rPr>
                <w:sz w:val="16"/>
                <w:szCs w:val="16"/>
                <w:spacing w:val="2"/>
              </w:rPr>
              <w:t>1中华人民其和国土地音理征)</w:t>
            </w:r>
          </w:p>
        </w:tc>
      </w:tr>
      <w:tr>
        <w:trPr>
          <w:trHeight w:val="459" w:hRule="atLeast"/>
        </w:trPr>
        <w:tc>
          <w:tcPr>
            <w:tcW w:w="574" w:type="dxa"/>
            <w:vAlign w:val="top"/>
          </w:tcPr>
          <w:p>
            <w:pPr>
              <w:pStyle w:val="TableText"/>
              <w:ind w:left="154"/>
              <w:spacing w:before="227" w:line="123" w:lineRule="exact"/>
              <w:rPr>
                <w:sz w:val="16"/>
                <w:szCs w:val="16"/>
              </w:rPr>
            </w:pPr>
            <w:r>
              <w:rPr>
                <w:sz w:val="16"/>
                <w:szCs w:val="16"/>
                <w:spacing w:val="-2"/>
              </w:rPr>
              <w:t>ann</w:t>
            </w:r>
          </w:p>
        </w:tc>
        <w:tc>
          <w:tcPr>
            <w:tcW w:w="1299" w:type="dxa"/>
            <w:vAlign w:val="top"/>
          </w:tcPr>
          <w:p>
            <w:pPr>
              <w:pStyle w:val="TableText"/>
              <w:ind w:left="241"/>
              <w:spacing w:before="149" w:line="219" w:lineRule="auto"/>
              <w:rPr>
                <w:sz w:val="16"/>
                <w:szCs w:val="16"/>
              </w:rPr>
            </w:pPr>
            <w:r>
              <w:rPr>
                <w:sz w:val="16"/>
                <w:szCs w:val="16"/>
                <w:spacing w:val="-1"/>
              </w:rPr>
              <w:t>农业衣村需</w:t>
            </w:r>
          </w:p>
        </w:tc>
        <w:tc>
          <w:tcPr>
            <w:tcW w:w="1638" w:type="dxa"/>
            <w:vAlign w:val="top"/>
          </w:tcPr>
          <w:p>
            <w:pPr>
              <w:pStyle w:val="TableText"/>
              <w:ind w:left="52" w:right="81" w:firstLine="40"/>
              <w:spacing w:before="71" w:line="218" w:lineRule="auto"/>
              <w:rPr>
                <w:sz w:val="16"/>
                <w:szCs w:val="16"/>
              </w:rPr>
            </w:pPr>
            <w:r>
              <w:rPr>
                <w:sz w:val="16"/>
                <w:szCs w:val="16"/>
                <w:spacing w:val="1"/>
              </w:rPr>
              <w:t>而结国家重点保的点</w:t>
            </w:r>
            <w:r>
              <w:rPr>
                <w:sz w:val="16"/>
                <w:szCs w:val="16"/>
                <w:spacing w:val="4"/>
              </w:rPr>
              <w:t xml:space="preserve"> </w:t>
            </w:r>
            <w:r>
              <w:rPr>
                <w:sz w:val="16"/>
                <w:szCs w:val="16"/>
                <w:spacing w:val="2"/>
              </w:rPr>
              <w:t>生野生两物审</w:t>
            </w:r>
          </w:p>
        </w:tc>
        <w:tc>
          <w:tcPr>
            <w:tcW w:w="2377" w:type="dxa"/>
            <w:vAlign w:val="top"/>
          </w:tcPr>
          <w:p>
            <w:pPr>
              <w:pStyle w:val="TableText"/>
              <w:ind w:left="54" w:right="169" w:hanging="10"/>
              <w:spacing w:before="60" w:line="222" w:lineRule="auto"/>
              <w:rPr>
                <w:sz w:val="16"/>
                <w:szCs w:val="16"/>
              </w:rPr>
            </w:pPr>
            <w:r>
              <w:rPr>
                <w:sz w:val="16"/>
                <w:szCs w:val="16"/>
                <w:spacing w:val="-1"/>
              </w:rPr>
              <w:t>农业安村范(由省继海业部门章</w:t>
            </w:r>
            <w:r>
              <w:rPr>
                <w:sz w:val="16"/>
                <w:szCs w:val="16"/>
                <w:spacing w:val="6"/>
              </w:rPr>
              <w:t xml:space="preserve"> </w:t>
            </w:r>
            <w:r>
              <w:rPr>
                <w:sz w:val="16"/>
                <w:szCs w:val="16"/>
                <w:spacing w:val="2"/>
              </w:rPr>
              <w:t>理),青双流业驾门</w:t>
            </w:r>
          </w:p>
        </w:tc>
        <w:tc>
          <w:tcPr>
            <w:tcW w:w="3711" w:type="dxa"/>
            <w:vAlign w:val="top"/>
          </w:tcPr>
          <w:p>
            <w:pPr>
              <w:pStyle w:val="TableText"/>
              <w:ind w:left="56"/>
              <w:spacing w:before="50" w:line="219" w:lineRule="auto"/>
              <w:rPr>
                <w:sz w:val="16"/>
                <w:szCs w:val="16"/>
              </w:rPr>
            </w:pPr>
            <w:r>
              <w:rPr>
                <w:sz w:val="16"/>
                <w:szCs w:val="16"/>
                <w:spacing w:val="1"/>
              </w:rPr>
              <w:t>4中作人间共和国厨生动物保护摆1</w:t>
            </w:r>
          </w:p>
          <w:p>
            <w:pPr>
              <w:pStyle w:val="TableText"/>
              <w:ind w:left="56"/>
              <w:spacing w:before="10" w:line="219" w:lineRule="auto"/>
              <w:rPr>
                <w:sz w:val="16"/>
                <w:szCs w:val="16"/>
              </w:rPr>
            </w:pPr>
            <w:r>
              <w:rPr>
                <w:sz w:val="16"/>
                <w:szCs w:val="16"/>
              </w:rPr>
              <w:t>中华人民共和国水生野生动特保护实施系制</w:t>
            </w:r>
          </w:p>
        </w:tc>
      </w:tr>
      <w:tr>
        <w:trPr>
          <w:trHeight w:val="669" w:hRule="atLeast"/>
        </w:trPr>
        <w:tc>
          <w:tcPr>
            <w:tcW w:w="574" w:type="dxa"/>
            <w:vAlign w:val="top"/>
          </w:tcPr>
          <w:p>
            <w:pPr>
              <w:pStyle w:val="TableText"/>
              <w:ind w:left="154"/>
              <w:spacing w:before="282" w:line="183" w:lineRule="auto"/>
              <w:rPr>
                <w:sz w:val="16"/>
                <w:szCs w:val="16"/>
              </w:rPr>
            </w:pPr>
            <w:r>
              <w:rPr>
                <w:sz w:val="16"/>
                <w:szCs w:val="16"/>
                <w:spacing w:val="-2"/>
              </w:rPr>
              <w:t>40y</w:t>
            </w:r>
          </w:p>
        </w:tc>
        <w:tc>
          <w:tcPr>
            <w:tcW w:w="1299" w:type="dxa"/>
            <w:vAlign w:val="top"/>
          </w:tcPr>
          <w:p>
            <w:pPr>
              <w:pStyle w:val="TableText"/>
              <w:ind w:left="241"/>
              <w:spacing w:before="260" w:line="219" w:lineRule="auto"/>
              <w:rPr>
                <w:sz w:val="16"/>
                <w:szCs w:val="16"/>
              </w:rPr>
            </w:pPr>
            <w:r>
              <w:rPr>
                <w:sz w:val="16"/>
                <w:szCs w:val="16"/>
                <w:spacing w:val="-1"/>
              </w:rPr>
              <w:t>表业表科部</w:t>
            </w:r>
          </w:p>
        </w:tc>
        <w:tc>
          <w:tcPr>
            <w:tcW w:w="1638" w:type="dxa"/>
            <w:vAlign w:val="top"/>
          </w:tcPr>
          <w:p>
            <w:pPr>
              <w:pStyle w:val="TableText"/>
              <w:ind w:left="91" w:right="6" w:hanging="80"/>
              <w:spacing w:before="61" w:line="231" w:lineRule="auto"/>
              <w:rPr>
                <w:sz w:val="16"/>
                <w:szCs w:val="16"/>
              </w:rPr>
            </w:pPr>
            <w:r>
              <w:rPr>
                <w:sz w:val="16"/>
                <w:szCs w:val="16"/>
              </w:rPr>
              <w:t>出售：白实，科何面家</w:t>
            </w:r>
            <w:r>
              <w:rPr>
                <w:sz w:val="16"/>
                <w:szCs w:val="16"/>
                <w:spacing w:val="8"/>
              </w:rPr>
              <w:t xml:space="preserve"> </w:t>
            </w:r>
            <w:r>
              <w:rPr>
                <w:sz w:val="16"/>
                <w:szCs w:val="16"/>
                <w:spacing w:val="-1"/>
              </w:rPr>
              <w:t>重点保护水生群生动</w:t>
            </w:r>
          </w:p>
          <w:p>
            <w:pPr>
              <w:pStyle w:val="TableText"/>
              <w:ind w:left="72"/>
              <w:spacing w:line="219" w:lineRule="auto"/>
              <w:rPr>
                <w:sz w:val="16"/>
                <w:szCs w:val="16"/>
              </w:rPr>
            </w:pPr>
            <w:r>
              <w:rPr>
                <w:sz w:val="16"/>
                <w:szCs w:val="16"/>
                <w:spacing w:val="-1"/>
              </w:rPr>
              <w:t>期及其前高审酸</w:t>
            </w:r>
          </w:p>
        </w:tc>
        <w:tc>
          <w:tcPr>
            <w:tcW w:w="2377" w:type="dxa"/>
            <w:vAlign w:val="top"/>
          </w:tcPr>
          <w:p>
            <w:pPr>
              <w:pStyle w:val="TableText"/>
              <w:ind w:left="54" w:right="169" w:hanging="10"/>
              <w:spacing w:before="160" w:line="237" w:lineRule="auto"/>
              <w:rPr>
                <w:sz w:val="16"/>
                <w:szCs w:val="16"/>
              </w:rPr>
            </w:pPr>
            <w:r>
              <w:rPr>
                <w:sz w:val="16"/>
                <w:szCs w:val="16"/>
                <w:spacing w:val="-1"/>
              </w:rPr>
              <w:t>农业农科而c山春应将业部们卷</w:t>
            </w:r>
            <w:r>
              <w:rPr>
                <w:sz w:val="16"/>
                <w:szCs w:val="16"/>
                <w:spacing w:val="6"/>
              </w:rPr>
              <w:t xml:space="preserve"> </w:t>
            </w:r>
            <w:r>
              <w:rPr>
                <w:sz w:val="16"/>
                <w:szCs w:val="16"/>
                <w:spacing w:val="2"/>
              </w:rPr>
              <w:t>锂气营题激业驾门</w:t>
            </w:r>
          </w:p>
        </w:tc>
        <w:tc>
          <w:tcPr>
            <w:tcW w:w="3711" w:type="dxa"/>
            <w:vAlign w:val="top"/>
          </w:tcPr>
          <w:p>
            <w:pPr>
              <w:pStyle w:val="TableText"/>
              <w:ind w:left="56"/>
              <w:spacing w:before="51" w:line="219" w:lineRule="auto"/>
              <w:rPr>
                <w:sz w:val="16"/>
                <w:szCs w:val="16"/>
              </w:rPr>
            </w:pPr>
            <w:r>
              <w:rPr>
                <w:sz w:val="16"/>
                <w:szCs w:val="16"/>
                <w:spacing w:val="1"/>
              </w:rPr>
              <w:t>1中作人民共和酵肝生动的保护法1</w:t>
            </w:r>
          </w:p>
          <w:p>
            <w:pPr>
              <w:pStyle w:val="TableText"/>
              <w:ind w:left="56" w:right="408"/>
              <w:spacing w:before="29" w:line="224" w:lineRule="auto"/>
              <w:rPr>
                <w:sz w:val="16"/>
                <w:szCs w:val="16"/>
              </w:rPr>
            </w:pPr>
            <w:r>
              <w:rPr>
                <w:sz w:val="16"/>
                <w:szCs w:val="16"/>
                <w:spacing w:val="1"/>
              </w:rPr>
              <w:t>1中华人民其和国水生野生动物保护实能茶偶)</w:t>
            </w:r>
            <w:r>
              <w:rPr>
                <w:sz w:val="16"/>
                <w:szCs w:val="16"/>
                <w:spacing w:val="13"/>
              </w:rPr>
              <w:t xml:space="preserve"> </w:t>
            </w:r>
            <w:r>
              <w:rPr>
                <w:sz w:val="16"/>
                <w:szCs w:val="16"/>
                <w:spacing w:val="1"/>
              </w:rPr>
              <w:t>T国室秋查勤，害春部公签2(2017年第14号)</w:t>
            </w:r>
          </w:p>
        </w:tc>
      </w:tr>
      <w:tr>
        <w:trPr>
          <w:trHeight w:val="659" w:hRule="atLeast"/>
        </w:trPr>
        <w:tc>
          <w:tcPr>
            <w:tcW w:w="574" w:type="dxa"/>
            <w:vAlign w:val="top"/>
          </w:tcPr>
          <w:p>
            <w:pPr>
              <w:pStyle w:val="TableText"/>
              <w:ind w:left="154"/>
              <w:spacing w:before="293" w:line="184" w:lineRule="auto"/>
              <w:rPr>
                <w:sz w:val="16"/>
                <w:szCs w:val="16"/>
              </w:rPr>
            </w:pPr>
            <w:r>
              <w:rPr>
                <w:sz w:val="16"/>
                <w:szCs w:val="16"/>
                <w:spacing w:val="-5"/>
              </w:rPr>
              <w:t>110</w:t>
            </w:r>
          </w:p>
        </w:tc>
        <w:tc>
          <w:tcPr>
            <w:tcW w:w="1299" w:type="dxa"/>
            <w:vAlign w:val="top"/>
          </w:tcPr>
          <w:p>
            <w:pPr>
              <w:pStyle w:val="TableText"/>
              <w:ind w:left="241"/>
              <w:spacing w:before="251" w:line="219" w:lineRule="auto"/>
              <w:rPr>
                <w:sz w:val="16"/>
                <w:szCs w:val="16"/>
              </w:rPr>
            </w:pPr>
            <w:r>
              <w:rPr>
                <w:sz w:val="16"/>
                <w:szCs w:val="16"/>
                <w:spacing w:val="-1"/>
              </w:rPr>
              <w:t>表业农村部</w:t>
            </w:r>
          </w:p>
        </w:tc>
        <w:tc>
          <w:tcPr>
            <w:tcW w:w="1638" w:type="dxa"/>
            <w:vAlign w:val="top"/>
          </w:tcPr>
          <w:p>
            <w:pPr>
              <w:pStyle w:val="TableText"/>
              <w:ind w:left="92" w:right="102"/>
              <w:spacing w:before="171" w:line="220" w:lineRule="auto"/>
              <w:rPr>
                <w:sz w:val="16"/>
                <w:szCs w:val="16"/>
              </w:rPr>
            </w:pPr>
            <w:r>
              <w:rPr>
                <w:sz w:val="16"/>
                <w:szCs w:val="16"/>
                <w:spacing w:val="-1"/>
              </w:rPr>
              <w:t>人工繁育国军重点件</w:t>
            </w:r>
            <w:r>
              <w:rPr>
                <w:sz w:val="16"/>
                <w:szCs w:val="16"/>
              </w:rPr>
              <w:t xml:space="preserve"> </w:t>
            </w:r>
            <w:r>
              <w:rPr>
                <w:sz w:val="16"/>
                <w:szCs w:val="16"/>
                <w:spacing w:val="-1"/>
              </w:rPr>
              <w:t>护水生野生矿物业他</w:t>
            </w:r>
          </w:p>
        </w:tc>
        <w:tc>
          <w:tcPr>
            <w:tcW w:w="2377" w:type="dxa"/>
            <w:vAlign w:val="top"/>
          </w:tcPr>
          <w:p>
            <w:pPr>
              <w:pStyle w:val="TableText"/>
              <w:ind w:left="54" w:right="249" w:hanging="10"/>
              <w:spacing w:before="162" w:line="225" w:lineRule="auto"/>
              <w:rPr>
                <w:sz w:val="16"/>
                <w:szCs w:val="16"/>
              </w:rPr>
            </w:pPr>
            <w:r>
              <w:rPr>
                <w:sz w:val="16"/>
                <w:szCs w:val="16"/>
                <w:spacing w:val="-1"/>
              </w:rPr>
              <w:t>农业农科部街查硬题查席门受</w:t>
            </w:r>
            <w:r>
              <w:rPr>
                <w:sz w:val="16"/>
                <w:szCs w:val="16"/>
                <w:spacing w:val="5"/>
              </w:rPr>
              <w:t xml:space="preserve"> </w:t>
            </w:r>
            <w:r>
              <w:rPr>
                <w:sz w:val="16"/>
                <w:szCs w:val="16"/>
                <w:spacing w:val="2"/>
              </w:rPr>
              <w:t>限为省短为业意门</w:t>
            </w:r>
          </w:p>
        </w:tc>
        <w:tc>
          <w:tcPr>
            <w:tcW w:w="3711" w:type="dxa"/>
            <w:vAlign w:val="top"/>
          </w:tcPr>
          <w:p>
            <w:pPr>
              <w:pStyle w:val="TableText"/>
              <w:ind w:left="56"/>
              <w:spacing w:before="73" w:line="218" w:lineRule="auto"/>
              <w:rPr>
                <w:sz w:val="16"/>
                <w:szCs w:val="16"/>
              </w:rPr>
            </w:pPr>
            <w:r>
              <w:rPr>
                <w:sz w:val="16"/>
                <w:szCs w:val="16"/>
                <w:spacing w:val="2"/>
              </w:rPr>
              <w:t>t中平人民其和国即生动物保护法)</w:t>
            </w:r>
          </w:p>
          <w:p>
            <w:pPr>
              <w:pStyle w:val="TableText"/>
              <w:ind w:left="56" w:right="489"/>
              <w:spacing w:line="219" w:lineRule="auto"/>
              <w:rPr>
                <w:sz w:val="16"/>
                <w:szCs w:val="16"/>
              </w:rPr>
            </w:pPr>
            <w:r>
              <w:rPr>
                <w:sz w:val="16"/>
                <w:szCs w:val="16"/>
              </w:rPr>
              <w:t>1中华入民其和国求生野生动物利用特许办芯</w:t>
            </w:r>
            <w:r>
              <w:rPr>
                <w:sz w:val="16"/>
                <w:szCs w:val="16"/>
                <w:spacing w:val="7"/>
              </w:rPr>
              <w:t xml:space="preserve"> </w:t>
            </w:r>
            <w:r>
              <w:rPr>
                <w:sz w:val="16"/>
                <w:szCs w:val="16"/>
                <w:spacing w:val="1"/>
              </w:rPr>
              <w:t>1国家林款勉，农业都公当》(2017年第14号)</w:t>
            </w:r>
          </w:p>
        </w:tc>
      </w:tr>
      <w:tr>
        <w:trPr>
          <w:trHeight w:val="459" w:hRule="atLeast"/>
        </w:trPr>
        <w:tc>
          <w:tcPr>
            <w:tcW w:w="574" w:type="dxa"/>
            <w:vAlign w:val="top"/>
          </w:tcPr>
          <w:p>
            <w:pPr>
              <w:pStyle w:val="TableText"/>
              <w:ind w:left="234"/>
              <w:spacing w:before="229" w:line="124" w:lineRule="exact"/>
              <w:rPr>
                <w:sz w:val="16"/>
                <w:szCs w:val="16"/>
              </w:rPr>
            </w:pPr>
            <w:r>
              <w:rPr>
                <w:sz w:val="16"/>
                <w:szCs w:val="16"/>
              </w:rPr>
              <w:t>u</w:t>
            </w:r>
          </w:p>
        </w:tc>
        <w:tc>
          <w:tcPr>
            <w:tcW w:w="1299" w:type="dxa"/>
            <w:vAlign w:val="top"/>
          </w:tcPr>
          <w:p>
            <w:pPr>
              <w:pStyle w:val="TableText"/>
              <w:ind w:left="241"/>
              <w:spacing w:before="153" w:line="219" w:lineRule="auto"/>
              <w:rPr>
                <w:sz w:val="16"/>
                <w:szCs w:val="16"/>
              </w:rPr>
            </w:pPr>
            <w:r>
              <w:rPr>
                <w:sz w:val="16"/>
                <w:szCs w:val="16"/>
                <w:spacing w:val="-1"/>
              </w:rPr>
              <w:t>表业农料部</w:t>
            </w:r>
          </w:p>
        </w:tc>
        <w:tc>
          <w:tcPr>
            <w:tcW w:w="1638" w:type="dxa"/>
            <w:vAlign w:val="top"/>
          </w:tcPr>
          <w:p>
            <w:pPr>
              <w:pStyle w:val="TableText"/>
              <w:ind w:left="52" w:right="102" w:firstLine="40"/>
              <w:spacing w:before="83" w:line="211" w:lineRule="auto"/>
              <w:rPr>
                <w:sz w:val="16"/>
                <w:szCs w:val="16"/>
              </w:rPr>
            </w:pPr>
            <w:r>
              <w:rPr>
                <w:sz w:val="16"/>
                <w:szCs w:val="16"/>
                <w:spacing w:val="-1"/>
              </w:rPr>
              <w:t>本生资生动铕或者其</w:t>
            </w:r>
            <w:r>
              <w:rPr>
                <w:sz w:val="16"/>
                <w:szCs w:val="16"/>
                <w:spacing w:val="1"/>
              </w:rPr>
              <w:t xml:space="preserve"> </w:t>
            </w:r>
            <w:r>
              <w:rPr>
                <w:sz w:val="16"/>
                <w:szCs w:val="16"/>
                <w:spacing w:val="-1"/>
              </w:rPr>
              <w:t>制晶道出口审批</w:t>
            </w:r>
          </w:p>
        </w:tc>
        <w:tc>
          <w:tcPr>
            <w:tcW w:w="2377" w:type="dxa"/>
            <w:vAlign w:val="top"/>
          </w:tcPr>
          <w:p>
            <w:pPr>
              <w:pStyle w:val="TableText"/>
              <w:ind w:left="54"/>
              <w:spacing w:before="152" w:line="219" w:lineRule="auto"/>
              <w:rPr>
                <w:sz w:val="16"/>
                <w:szCs w:val="16"/>
              </w:rPr>
            </w:pPr>
            <w:r>
              <w:rPr>
                <w:sz w:val="16"/>
                <w:szCs w:val="16"/>
                <w:spacing w:val="-1"/>
              </w:rPr>
              <w:t>农尊发村前</w:t>
            </w:r>
          </w:p>
        </w:tc>
        <w:tc>
          <w:tcPr>
            <w:tcW w:w="3711" w:type="dxa"/>
            <w:vAlign w:val="top"/>
          </w:tcPr>
          <w:p>
            <w:pPr>
              <w:pStyle w:val="TableText"/>
              <w:ind w:left="56"/>
              <w:spacing w:before="153" w:line="219" w:lineRule="auto"/>
              <w:rPr>
                <w:sz w:val="16"/>
                <w:szCs w:val="16"/>
              </w:rPr>
            </w:pPr>
            <w:r>
              <w:rPr>
                <w:sz w:val="16"/>
                <w:szCs w:val="16"/>
                <w:spacing w:val="1"/>
              </w:rPr>
              <w:t>中华人础共留因题生动的保们法1</w:t>
            </w:r>
          </w:p>
        </w:tc>
      </w:tr>
      <w:tr>
        <w:trPr>
          <w:trHeight w:val="1069" w:hRule="atLeast"/>
        </w:trPr>
        <w:tc>
          <w:tcPr>
            <w:tcW w:w="574" w:type="dxa"/>
            <w:vAlign w:val="top"/>
          </w:tcPr>
          <w:p>
            <w:pPr>
              <w:spacing w:line="451" w:lineRule="auto"/>
              <w:rPr>
                <w:rFonts w:ascii="Arial"/>
                <w:sz w:val="21"/>
              </w:rPr>
            </w:pPr>
            <w:r/>
          </w:p>
          <w:p>
            <w:pPr>
              <w:pStyle w:val="TableText"/>
              <w:ind w:left="194"/>
              <w:spacing w:before="52" w:line="183" w:lineRule="auto"/>
              <w:rPr>
                <w:sz w:val="16"/>
                <w:szCs w:val="16"/>
              </w:rPr>
            </w:pPr>
            <w:r>
              <w:rPr>
                <w:sz w:val="16"/>
                <w:szCs w:val="16"/>
                <w:spacing w:val="-2"/>
              </w:rPr>
              <w:t>40</w:t>
            </w:r>
          </w:p>
        </w:tc>
        <w:tc>
          <w:tcPr>
            <w:tcW w:w="1299" w:type="dxa"/>
            <w:vAlign w:val="top"/>
          </w:tcPr>
          <w:p>
            <w:pPr>
              <w:spacing w:line="410" w:lineRule="auto"/>
              <w:rPr>
                <w:rFonts w:ascii="Arial"/>
                <w:sz w:val="21"/>
              </w:rPr>
            </w:pPr>
            <w:r/>
          </w:p>
          <w:p>
            <w:pPr>
              <w:pStyle w:val="TableText"/>
              <w:ind w:left="241"/>
              <w:spacing w:before="52" w:line="219" w:lineRule="auto"/>
              <w:rPr>
                <w:sz w:val="16"/>
                <w:szCs w:val="16"/>
              </w:rPr>
            </w:pPr>
            <w:r>
              <w:rPr>
                <w:sz w:val="16"/>
                <w:szCs w:val="16"/>
                <w:spacing w:val="-1"/>
              </w:rPr>
              <w:t>农重农林部</w:t>
            </w:r>
          </w:p>
        </w:tc>
        <w:tc>
          <w:tcPr>
            <w:tcW w:w="1638" w:type="dxa"/>
            <w:vAlign w:val="top"/>
          </w:tcPr>
          <w:p>
            <w:pPr>
              <w:pStyle w:val="TableText"/>
              <w:ind w:left="92" w:right="102"/>
              <w:spacing w:before="62" w:line="230" w:lineRule="auto"/>
              <w:jc w:val="both"/>
              <w:rPr>
                <w:sz w:val="16"/>
                <w:szCs w:val="16"/>
              </w:rPr>
            </w:pPr>
            <w:r>
              <w:rPr>
                <w:sz w:val="16"/>
                <w:szCs w:val="16"/>
                <w:spacing w:val="-1"/>
              </w:rPr>
              <w:t>科国人在我国对国家</w:t>
            </w:r>
            <w:r>
              <w:rPr>
                <w:sz w:val="16"/>
                <w:szCs w:val="16"/>
                <w:spacing w:val="1"/>
              </w:rPr>
              <w:t xml:space="preserve"> </w:t>
            </w:r>
            <w:r>
              <w:rPr>
                <w:sz w:val="16"/>
                <w:szCs w:val="16"/>
                <w:spacing w:val="-1"/>
              </w:rPr>
              <w:t>重点保护水生野生动</w:t>
            </w:r>
            <w:r>
              <w:rPr>
                <w:sz w:val="16"/>
                <w:szCs w:val="16"/>
                <w:spacing w:val="1"/>
              </w:rPr>
              <w:t xml:space="preserve"> </w:t>
            </w:r>
            <w:r>
              <w:rPr>
                <w:sz w:val="16"/>
                <w:szCs w:val="16"/>
                <w:spacing w:val="-1"/>
              </w:rPr>
              <w:t>贴进行芽外专察液者</w:t>
            </w:r>
            <w:r>
              <w:rPr>
                <w:sz w:val="16"/>
                <w:szCs w:val="16"/>
              </w:rPr>
              <w:t xml:space="preserve"> </w:t>
            </w:r>
            <w:r>
              <w:rPr>
                <w:sz w:val="16"/>
                <w:szCs w:val="16"/>
                <w:spacing w:val="9"/>
              </w:rPr>
              <w:t>在野外花指鬼账录</w:t>
            </w:r>
            <w:r>
              <w:rPr>
                <w:sz w:val="16"/>
                <w:szCs w:val="16"/>
              </w:rPr>
              <w:t xml:space="preserve">  </w:t>
            </w:r>
            <w:r>
              <w:rPr>
                <w:sz w:val="16"/>
                <w:szCs w:val="16"/>
                <w:spacing w:val="5"/>
              </w:rPr>
              <w:t>便写活动市批</w:t>
            </w:r>
          </w:p>
        </w:tc>
        <w:tc>
          <w:tcPr>
            <w:tcW w:w="2377" w:type="dxa"/>
            <w:vAlign w:val="top"/>
          </w:tcPr>
          <w:p>
            <w:pPr>
              <w:spacing w:line="410" w:lineRule="auto"/>
              <w:rPr>
                <w:rFonts w:ascii="Arial"/>
                <w:sz w:val="21"/>
              </w:rPr>
            </w:pPr>
            <w:r/>
          </w:p>
          <w:p>
            <w:pPr>
              <w:pStyle w:val="TableText"/>
              <w:ind w:left="54"/>
              <w:spacing w:before="52" w:line="219" w:lineRule="auto"/>
              <w:rPr>
                <w:sz w:val="16"/>
                <w:szCs w:val="16"/>
              </w:rPr>
            </w:pPr>
            <w:r>
              <w:rPr>
                <w:sz w:val="16"/>
                <w:szCs w:val="16"/>
                <w:spacing w:val="3"/>
              </w:rPr>
              <w:t>省级流业而门</w:t>
            </w:r>
          </w:p>
        </w:tc>
        <w:tc>
          <w:tcPr>
            <w:tcW w:w="3711" w:type="dxa"/>
            <w:vAlign w:val="top"/>
          </w:tcPr>
          <w:p>
            <w:pPr>
              <w:spacing w:line="410" w:lineRule="auto"/>
              <w:rPr>
                <w:rFonts w:ascii="Arial"/>
                <w:sz w:val="21"/>
              </w:rPr>
            </w:pPr>
            <w:r/>
          </w:p>
          <w:p>
            <w:pPr>
              <w:pStyle w:val="TableText"/>
              <w:ind w:left="56"/>
              <w:spacing w:before="52" w:line="219" w:lineRule="auto"/>
              <w:rPr>
                <w:sz w:val="16"/>
                <w:szCs w:val="16"/>
              </w:rPr>
            </w:pPr>
            <w:r>
              <w:rPr>
                <w:sz w:val="16"/>
                <w:szCs w:val="16"/>
              </w:rPr>
              <w:t>1中华人代共和国野生动物保护法</w:t>
            </w:r>
          </w:p>
        </w:tc>
      </w:tr>
      <w:tr>
        <w:trPr>
          <w:trHeight w:val="534" w:hRule="atLeast"/>
        </w:trPr>
        <w:tc>
          <w:tcPr>
            <w:tcW w:w="574" w:type="dxa"/>
            <w:vAlign w:val="top"/>
          </w:tcPr>
          <w:p>
            <w:pPr>
              <w:pStyle w:val="TableText"/>
              <w:ind w:left="154"/>
              <w:spacing w:before="235" w:line="184" w:lineRule="auto"/>
              <w:rPr>
                <w:sz w:val="16"/>
                <w:szCs w:val="16"/>
              </w:rPr>
            </w:pPr>
            <w:r>
              <w:rPr>
                <w:sz w:val="16"/>
                <w:szCs w:val="16"/>
                <w:spacing w:val="-2"/>
              </w:rPr>
              <w:t>414</w:t>
            </w:r>
          </w:p>
        </w:tc>
        <w:tc>
          <w:tcPr>
            <w:tcW w:w="1299" w:type="dxa"/>
            <w:vAlign w:val="top"/>
          </w:tcPr>
          <w:p>
            <w:pPr>
              <w:pStyle w:val="TableText"/>
              <w:ind w:left="241"/>
              <w:spacing w:before="194" w:line="219" w:lineRule="auto"/>
              <w:rPr>
                <w:sz w:val="16"/>
                <w:szCs w:val="16"/>
              </w:rPr>
            </w:pPr>
            <w:r>
              <w:rPr>
                <w:sz w:val="16"/>
                <w:szCs w:val="16"/>
                <w:spacing w:val="-2"/>
              </w:rPr>
              <w:t>靠生农行章</w:t>
            </w:r>
          </w:p>
        </w:tc>
        <w:tc>
          <w:tcPr>
            <w:tcW w:w="1638" w:type="dxa"/>
            <w:vAlign w:val="top"/>
          </w:tcPr>
          <w:p>
            <w:pPr>
              <w:pStyle w:val="TableText"/>
              <w:ind w:left="62" w:right="104" w:firstLine="30"/>
              <w:spacing w:before="106" w:line="224" w:lineRule="auto"/>
              <w:rPr>
                <w:sz w:val="16"/>
                <w:szCs w:val="16"/>
              </w:rPr>
            </w:pPr>
            <w:r>
              <w:rPr>
                <w:sz w:val="16"/>
                <w:szCs w:val="16"/>
                <w:spacing w:val="-1"/>
              </w:rPr>
              <w:t>理设禁治区境内例游</w:t>
            </w:r>
            <w:r>
              <w:rPr>
                <w:sz w:val="16"/>
                <w:szCs w:val="16"/>
              </w:rPr>
              <w:t xml:space="preserve"> </w:t>
            </w:r>
            <w:r>
              <w:rPr>
                <w:sz w:val="16"/>
                <w:szCs w:val="16"/>
                <w:spacing w:val="-1"/>
              </w:rPr>
              <w:t>入工鱼德本征</w:t>
            </w:r>
          </w:p>
        </w:tc>
        <w:tc>
          <w:tcPr>
            <w:tcW w:w="2377" w:type="dxa"/>
            <w:vAlign w:val="top"/>
          </w:tcPr>
          <w:p>
            <w:pPr>
              <w:pStyle w:val="TableText"/>
              <w:ind w:left="54"/>
              <w:spacing w:before="195" w:line="219" w:lineRule="auto"/>
              <w:rPr>
                <w:sz w:val="16"/>
                <w:szCs w:val="16"/>
              </w:rPr>
            </w:pPr>
            <w:r>
              <w:rPr>
                <w:sz w:val="16"/>
                <w:szCs w:val="16"/>
              </w:rPr>
              <w:t>审级海业苏门或者其起权单数</w:t>
            </w:r>
          </w:p>
        </w:tc>
        <w:tc>
          <w:tcPr>
            <w:tcW w:w="3711" w:type="dxa"/>
            <w:vAlign w:val="top"/>
          </w:tcPr>
          <w:p>
            <w:pPr>
              <w:pStyle w:val="TableText"/>
              <w:ind w:left="56"/>
              <w:spacing w:before="194" w:line="218" w:lineRule="auto"/>
              <w:rPr>
                <w:sz w:val="16"/>
                <w:szCs w:val="16"/>
              </w:rPr>
            </w:pPr>
            <w:r>
              <w:rPr>
                <w:sz w:val="16"/>
                <w:szCs w:val="16"/>
                <w:spacing w:val="-1"/>
              </w:rPr>
              <w:t>甲生人热共和国选学悲实施幅别》</w:t>
            </w:r>
          </w:p>
        </w:tc>
      </w:tr>
    </w:tbl>
    <w:p>
      <w:pPr>
        <w:pStyle w:val="BodyText"/>
        <w:rPr/>
      </w:pPr>
      <w:r/>
    </w:p>
    <w:p>
      <w:pPr>
        <w:sectPr>
          <w:pgSz w:w="11910" w:h="8220"/>
          <w:pgMar w:top="400" w:right="1165" w:bottom="400" w:left="801" w:header="0" w:footer="0" w:gutter="0"/>
        </w:sectPr>
        <w:rPr/>
      </w:pPr>
    </w:p>
    <w:p>
      <w:pPr>
        <w:spacing w:before="123"/>
        <w:rPr/>
      </w:pPr>
      <w:r>
        <mc:AlternateContent xmlns:mc="http://schemas.openxmlformats.org/markup-compatibility/2006">
          <mc:Choice Requires="wps">
            <w:drawing>
              <wp:anchor distT="0" distB="0" distL="0" distR="0" simplePos="0" relativeHeight="251867136"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252" name="TextBox 252"/>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4" style="position:absolute;margin-left:37.0402pt;margin-top:344.638pt;mso-position-vertical-relative:page;mso-position-horizontal-relative:page;width:13.6pt;height:12.35pt;z-index:2518671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207</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01"/>
      </w:tblGrid>
      <w:tr>
        <w:trPr>
          <w:trHeight w:val="415" w:hRule="atLeast"/>
        </w:trPr>
        <w:tc>
          <w:tcPr>
            <w:tcW w:w="574" w:type="dxa"/>
            <w:vAlign w:val="top"/>
          </w:tcPr>
          <w:p>
            <w:pPr>
              <w:pStyle w:val="TableText"/>
              <w:ind w:left="104"/>
              <w:spacing w:before="122" w:line="221" w:lineRule="auto"/>
              <w:rPr>
                <w:sz w:val="17"/>
                <w:szCs w:val="17"/>
              </w:rPr>
            </w:pPr>
            <w:r>
              <w:rPr>
                <w:sz w:val="17"/>
                <w:szCs w:val="17"/>
                <w:spacing w:val="-2"/>
              </w:rPr>
              <w:t>序号</w:t>
            </w:r>
          </w:p>
        </w:tc>
        <w:tc>
          <w:tcPr>
            <w:tcW w:w="1299" w:type="dxa"/>
            <w:vAlign w:val="top"/>
          </w:tcPr>
          <w:p>
            <w:pPr>
              <w:pStyle w:val="TableText"/>
              <w:ind w:left="130"/>
              <w:spacing w:before="122" w:line="219" w:lineRule="auto"/>
              <w:rPr>
                <w:sz w:val="17"/>
                <w:szCs w:val="17"/>
              </w:rPr>
            </w:pPr>
            <w:r>
              <w:rPr>
                <w:sz w:val="17"/>
                <w:szCs w:val="17"/>
                <w:spacing w:val="3"/>
              </w:rPr>
              <w:t>中央主管部门</w:t>
            </w:r>
          </w:p>
        </w:tc>
        <w:tc>
          <w:tcPr>
            <w:tcW w:w="1638" w:type="dxa"/>
            <w:vAlign w:val="top"/>
          </w:tcPr>
          <w:p>
            <w:pPr>
              <w:pStyle w:val="TableText"/>
              <w:ind w:left="461"/>
              <w:spacing w:before="122" w:line="220" w:lineRule="auto"/>
              <w:rPr>
                <w:sz w:val="17"/>
                <w:szCs w:val="17"/>
              </w:rPr>
            </w:pPr>
            <w:r>
              <w:rPr>
                <w:sz w:val="17"/>
                <w:szCs w:val="17"/>
                <w:spacing w:val="-2"/>
              </w:rPr>
              <w:t>事填名称</w:t>
            </w:r>
          </w:p>
        </w:tc>
        <w:tc>
          <w:tcPr>
            <w:tcW w:w="2377" w:type="dxa"/>
            <w:vAlign w:val="top"/>
          </w:tcPr>
          <w:p>
            <w:pPr>
              <w:pStyle w:val="TableText"/>
              <w:ind w:left="844"/>
              <w:spacing w:before="120" w:line="219" w:lineRule="auto"/>
              <w:rPr>
                <w:sz w:val="17"/>
                <w:szCs w:val="17"/>
              </w:rPr>
            </w:pPr>
            <w:r>
              <w:rPr>
                <w:sz w:val="17"/>
                <w:szCs w:val="17"/>
                <w:spacing w:val="-3"/>
              </w:rPr>
              <w:t>实简机关</w:t>
            </w:r>
          </w:p>
        </w:tc>
        <w:tc>
          <w:tcPr>
            <w:tcW w:w="3701" w:type="dxa"/>
            <w:vAlign w:val="top"/>
          </w:tcPr>
          <w:p>
            <w:pPr>
              <w:pStyle w:val="TableText"/>
              <w:ind w:left="1299"/>
              <w:spacing w:before="118" w:line="219" w:lineRule="auto"/>
              <w:rPr>
                <w:sz w:val="17"/>
                <w:szCs w:val="17"/>
              </w:rPr>
            </w:pPr>
            <w:r>
              <w:rPr>
                <w:sz w:val="17"/>
                <w:szCs w:val="17"/>
                <w:b/>
                <w:bCs/>
                <w:spacing w:val="-3"/>
              </w:rPr>
              <w:t>设定和宾路依据</w:t>
            </w:r>
          </w:p>
        </w:tc>
      </w:tr>
      <w:tr>
        <w:trPr>
          <w:trHeight w:val="659" w:hRule="atLeast"/>
        </w:trPr>
        <w:tc>
          <w:tcPr>
            <w:tcW w:w="574" w:type="dxa"/>
            <w:vAlign w:val="top"/>
          </w:tcPr>
          <w:p>
            <w:pPr>
              <w:pStyle w:val="TableText"/>
              <w:ind w:left="234"/>
              <w:spacing w:before="290" w:line="183" w:lineRule="auto"/>
              <w:rPr>
                <w:sz w:val="17"/>
                <w:szCs w:val="17"/>
              </w:rPr>
            </w:pPr>
            <w:r>
              <w:rPr>
                <w:sz w:val="17"/>
                <w:szCs w:val="17"/>
              </w:rPr>
              <w:t>4</w:t>
            </w:r>
          </w:p>
        </w:tc>
        <w:tc>
          <w:tcPr>
            <w:tcW w:w="1299" w:type="dxa"/>
            <w:vAlign w:val="top"/>
          </w:tcPr>
          <w:p>
            <w:pPr>
              <w:pStyle w:val="TableText"/>
              <w:ind w:left="301"/>
              <w:spacing w:before="245" w:line="219" w:lineRule="auto"/>
              <w:rPr>
                <w:sz w:val="17"/>
                <w:szCs w:val="17"/>
              </w:rPr>
            </w:pPr>
            <w:r>
              <w:rPr>
                <w:sz w:val="17"/>
                <w:szCs w:val="17"/>
                <w:spacing w:val="-2"/>
              </w:rPr>
              <w:t>农业表村</w:t>
            </w:r>
          </w:p>
        </w:tc>
        <w:tc>
          <w:tcPr>
            <w:tcW w:w="1638" w:type="dxa"/>
            <w:vAlign w:val="top"/>
          </w:tcPr>
          <w:p>
            <w:pPr>
              <w:pStyle w:val="TableText"/>
              <w:ind w:left="32" w:right="73"/>
              <w:spacing w:before="166" w:line="214" w:lineRule="auto"/>
              <w:rPr>
                <w:sz w:val="17"/>
                <w:szCs w:val="17"/>
              </w:rPr>
            </w:pPr>
            <w:r>
              <w:rPr>
                <w:sz w:val="17"/>
                <w:szCs w:val="17"/>
                <w:spacing w:val="-1"/>
              </w:rPr>
              <w:t>益业船贴前吴证书棋</w:t>
            </w:r>
            <w:r>
              <w:rPr>
                <w:sz w:val="17"/>
                <w:szCs w:val="17"/>
              </w:rPr>
              <w:t xml:space="preserve"> </w:t>
            </w:r>
            <w:r>
              <w:rPr>
                <w:sz w:val="17"/>
                <w:szCs w:val="17"/>
              </w:rPr>
              <w:t>发</w:t>
            </w:r>
          </w:p>
        </w:tc>
        <w:tc>
          <w:tcPr>
            <w:tcW w:w="2377" w:type="dxa"/>
            <w:vAlign w:val="top"/>
          </w:tcPr>
          <w:p>
            <w:pPr>
              <w:pStyle w:val="TableText"/>
              <w:ind w:left="14"/>
              <w:spacing w:before="165" w:line="217" w:lineRule="auto"/>
              <w:rPr>
                <w:sz w:val="17"/>
                <w:szCs w:val="17"/>
              </w:rPr>
            </w:pPr>
            <w:r>
              <w:rPr>
                <w:sz w:val="17"/>
                <w:szCs w:val="17"/>
                <w:spacing w:val="-2"/>
              </w:rPr>
              <w:t>有般，设区的市级，县级当业部</w:t>
            </w:r>
            <w:r>
              <w:rPr>
                <w:sz w:val="17"/>
                <w:szCs w:val="17"/>
              </w:rPr>
              <w:t xml:space="preserve"> </w:t>
            </w:r>
            <w:r>
              <w:rPr>
                <w:sz w:val="17"/>
                <w:szCs w:val="17"/>
              </w:rPr>
              <w:t>门</w:t>
            </w:r>
          </w:p>
        </w:tc>
        <w:tc>
          <w:tcPr>
            <w:tcW w:w="3701" w:type="dxa"/>
            <w:vAlign w:val="top"/>
          </w:tcPr>
          <w:p>
            <w:pPr>
              <w:pStyle w:val="TableText"/>
              <w:ind w:left="46" w:right="159"/>
              <w:spacing w:before="56" w:line="213" w:lineRule="auto"/>
              <w:rPr>
                <w:sz w:val="17"/>
                <w:szCs w:val="17"/>
              </w:rPr>
            </w:pPr>
            <w:r>
              <w:rPr>
                <w:sz w:val="17"/>
                <w:szCs w:val="17"/>
              </w:rPr>
              <w:t>1中华人民共和保油池水城交蒸安全世主多</w:t>
            </w:r>
            <w:r>
              <w:rPr>
                <w:sz w:val="17"/>
                <w:szCs w:val="17"/>
                <w:spacing w:val="-1"/>
              </w:rPr>
              <w:t>的》</w:t>
            </w:r>
            <w:r>
              <w:rPr>
                <w:sz w:val="17"/>
                <w:szCs w:val="17"/>
              </w:rPr>
              <w:t xml:space="preserve"> </w:t>
            </w:r>
            <w:r>
              <w:rPr>
                <w:sz w:val="17"/>
                <w:szCs w:val="17"/>
                <w:spacing w:val="-1"/>
              </w:rPr>
              <w:t>4中华人民共和国渔业船员骨理办法?</w:t>
            </w:r>
          </w:p>
          <w:p>
            <w:pPr>
              <w:pStyle w:val="TableText"/>
              <w:ind w:left="46"/>
              <w:spacing w:before="7" w:line="209" w:lineRule="auto"/>
              <w:rPr>
                <w:sz w:val="17"/>
                <w:szCs w:val="17"/>
              </w:rPr>
            </w:pPr>
            <w:r>
              <w:rPr>
                <w:sz w:val="17"/>
                <w:szCs w:val="17"/>
              </w:rPr>
              <w:t>1国家职业资格目址(2021呼顺》2</w:t>
            </w:r>
          </w:p>
        </w:tc>
      </w:tr>
      <w:tr>
        <w:trPr>
          <w:trHeight w:val="439" w:hRule="atLeast"/>
        </w:trPr>
        <w:tc>
          <w:tcPr>
            <w:tcW w:w="574" w:type="dxa"/>
            <w:vAlign w:val="top"/>
          </w:tcPr>
          <w:p>
            <w:pPr>
              <w:pStyle w:val="TableText"/>
              <w:ind w:left="144"/>
              <w:spacing w:before="180" w:line="184" w:lineRule="auto"/>
              <w:rPr>
                <w:sz w:val="17"/>
                <w:szCs w:val="17"/>
              </w:rPr>
            </w:pPr>
            <w:r>
              <w:rPr>
                <w:sz w:val="17"/>
                <w:szCs w:val="17"/>
                <w:spacing w:val="-2"/>
              </w:rPr>
              <w:t>415</w:t>
            </w:r>
          </w:p>
        </w:tc>
        <w:tc>
          <w:tcPr>
            <w:tcW w:w="1299" w:type="dxa"/>
            <w:vAlign w:val="top"/>
          </w:tcPr>
          <w:p>
            <w:pPr>
              <w:pStyle w:val="TableText"/>
              <w:ind w:left="210"/>
              <w:spacing w:before="136" w:line="219" w:lineRule="auto"/>
              <w:rPr>
                <w:sz w:val="17"/>
                <w:szCs w:val="17"/>
              </w:rPr>
            </w:pPr>
            <w:r>
              <w:rPr>
                <w:sz w:val="17"/>
                <w:szCs w:val="17"/>
                <w:spacing w:val="-2"/>
              </w:rPr>
              <w:t>农业农材前</w:t>
            </w:r>
          </w:p>
        </w:tc>
        <w:tc>
          <w:tcPr>
            <w:tcW w:w="1638" w:type="dxa"/>
            <w:vAlign w:val="top"/>
          </w:tcPr>
          <w:p>
            <w:pPr>
              <w:pStyle w:val="TableText"/>
              <w:ind w:left="32"/>
              <w:spacing w:before="138" w:line="219" w:lineRule="auto"/>
              <w:rPr>
                <w:sz w:val="17"/>
                <w:szCs w:val="17"/>
              </w:rPr>
            </w:pPr>
            <w:r>
              <w:rPr>
                <w:sz w:val="17"/>
                <w:szCs w:val="17"/>
                <w:spacing w:val="-1"/>
              </w:rPr>
              <w:t>求产前种进出口审世</w:t>
            </w:r>
          </w:p>
        </w:tc>
        <w:tc>
          <w:tcPr>
            <w:tcW w:w="2377" w:type="dxa"/>
            <w:vAlign w:val="top"/>
          </w:tcPr>
          <w:p>
            <w:pPr>
              <w:pStyle w:val="TableText"/>
              <w:ind w:left="44" w:right="44" w:hanging="10"/>
              <w:spacing w:before="36" w:line="213" w:lineRule="auto"/>
              <w:rPr>
                <w:sz w:val="17"/>
                <w:szCs w:val="17"/>
              </w:rPr>
            </w:pPr>
            <w:r>
              <w:rPr>
                <w:sz w:val="17"/>
                <w:szCs w:val="17"/>
                <w:spacing w:val="-1"/>
              </w:rPr>
              <w:t>农业农村部(市安级商业那门登</w:t>
            </w:r>
            <w:r>
              <w:rPr>
                <w:sz w:val="17"/>
                <w:szCs w:val="17"/>
                <w:spacing w:val="6"/>
              </w:rPr>
              <w:t xml:space="preserve"> </w:t>
            </w:r>
            <w:r>
              <w:rPr>
                <w:sz w:val="17"/>
                <w:szCs w:val="17"/>
                <w:spacing w:val="2"/>
              </w:rPr>
              <w:t>理);古城渔业都门</w:t>
            </w:r>
          </w:p>
        </w:tc>
        <w:tc>
          <w:tcPr>
            <w:tcW w:w="3701" w:type="dxa"/>
            <w:vAlign w:val="top"/>
          </w:tcPr>
          <w:p>
            <w:pPr>
              <w:pStyle w:val="TableText"/>
              <w:ind w:left="46"/>
              <w:spacing w:before="27" w:line="239" w:lineRule="auto"/>
              <w:rPr>
                <w:sz w:val="17"/>
                <w:szCs w:val="17"/>
              </w:rPr>
            </w:pPr>
            <w:r>
              <w:rPr>
                <w:sz w:val="17"/>
                <w:szCs w:val="17"/>
              </w:rPr>
              <w:t>中体人民共和图通业法</w:t>
            </w:r>
          </w:p>
          <w:p>
            <w:pPr>
              <w:pStyle w:val="TableText"/>
              <w:ind w:left="46"/>
              <w:spacing w:line="196" w:lineRule="auto"/>
              <w:rPr>
                <w:sz w:val="17"/>
                <w:szCs w:val="17"/>
              </w:rPr>
            </w:pPr>
            <w:r>
              <w:rPr>
                <w:sz w:val="17"/>
                <w:szCs w:val="17"/>
                <w:spacing w:val="3"/>
              </w:rPr>
              <w:t>L水产苗种管理办法)</w:t>
            </w:r>
          </w:p>
        </w:tc>
      </w:tr>
      <w:tr>
        <w:trPr>
          <w:trHeight w:val="649" w:hRule="atLeast"/>
        </w:trPr>
        <w:tc>
          <w:tcPr>
            <w:tcW w:w="574" w:type="dxa"/>
            <w:vAlign w:val="top"/>
          </w:tcPr>
          <w:p>
            <w:pPr>
              <w:pStyle w:val="TableText"/>
              <w:ind w:left="104"/>
              <w:spacing w:before="239" w:line="219" w:lineRule="auto"/>
              <w:rPr>
                <w:sz w:val="17"/>
                <w:szCs w:val="17"/>
              </w:rPr>
            </w:pPr>
            <w:r>
              <w:rPr>
                <w:sz w:val="17"/>
                <w:szCs w:val="17"/>
                <w:spacing w:val="11"/>
              </w:rPr>
              <w:t>41月</w:t>
            </w:r>
          </w:p>
        </w:tc>
        <w:tc>
          <w:tcPr>
            <w:tcW w:w="1299" w:type="dxa"/>
            <w:vAlign w:val="top"/>
          </w:tcPr>
          <w:p>
            <w:pPr>
              <w:pStyle w:val="TableText"/>
              <w:ind w:left="210"/>
              <w:spacing w:before="237" w:line="219" w:lineRule="auto"/>
              <w:rPr>
                <w:sz w:val="17"/>
                <w:szCs w:val="17"/>
              </w:rPr>
            </w:pPr>
            <w:r>
              <w:rPr>
                <w:sz w:val="17"/>
                <w:szCs w:val="17"/>
                <w:spacing w:val="-2"/>
              </w:rPr>
              <w:t>农业衣村郡</w:t>
            </w:r>
          </w:p>
        </w:tc>
        <w:tc>
          <w:tcPr>
            <w:tcW w:w="1638" w:type="dxa"/>
            <w:vAlign w:val="top"/>
          </w:tcPr>
          <w:p>
            <w:pPr>
              <w:pStyle w:val="TableText"/>
              <w:ind w:left="32" w:right="41" w:firstLine="10"/>
              <w:spacing w:before="157" w:line="211" w:lineRule="auto"/>
              <w:rPr>
                <w:sz w:val="17"/>
                <w:szCs w:val="17"/>
              </w:rPr>
            </w:pPr>
            <w:r>
              <w:rPr>
                <w:sz w:val="17"/>
                <w:szCs w:val="17"/>
                <w:spacing w:val="1"/>
              </w:rPr>
              <w:t>本产街种生产经营审</w:t>
            </w:r>
            <w:r>
              <w:rPr>
                <w:sz w:val="17"/>
                <w:szCs w:val="17"/>
                <w:spacing w:val="4"/>
              </w:rPr>
              <w:t xml:space="preserve"> </w:t>
            </w:r>
            <w:r>
              <w:rPr>
                <w:sz w:val="17"/>
                <w:szCs w:val="17"/>
              </w:rPr>
              <w:t>和</w:t>
            </w:r>
          </w:p>
        </w:tc>
        <w:tc>
          <w:tcPr>
            <w:tcW w:w="2377" w:type="dxa"/>
            <w:vAlign w:val="top"/>
          </w:tcPr>
          <w:p>
            <w:pPr>
              <w:pStyle w:val="TableText"/>
              <w:ind w:left="53" w:hanging="39"/>
              <w:spacing w:before="138" w:line="230" w:lineRule="auto"/>
              <w:rPr>
                <w:sz w:val="17"/>
                <w:szCs w:val="17"/>
              </w:rPr>
            </w:pPr>
            <w:r>
              <w:rPr>
                <w:sz w:val="17"/>
                <w:szCs w:val="17"/>
                <w:spacing w:val="-2"/>
              </w:rPr>
              <w:t>农业农村部；省级，设区的市般</w:t>
            </w:r>
            <w:r>
              <w:rPr>
                <w:sz w:val="17"/>
                <w:szCs w:val="17"/>
              </w:rPr>
              <w:t xml:space="preserve"> </w:t>
            </w:r>
            <w:r>
              <w:rPr>
                <w:sz w:val="17"/>
                <w:szCs w:val="17"/>
                <w:spacing w:val="1"/>
              </w:rPr>
              <w:t>县级渝业限门</w:t>
            </w:r>
          </w:p>
        </w:tc>
        <w:tc>
          <w:tcPr>
            <w:tcW w:w="3701" w:type="dxa"/>
            <w:vAlign w:val="top"/>
          </w:tcPr>
          <w:p>
            <w:pPr>
              <w:pStyle w:val="TableText"/>
              <w:ind w:left="46"/>
              <w:spacing w:before="48" w:line="239" w:lineRule="auto"/>
              <w:rPr>
                <w:sz w:val="17"/>
                <w:szCs w:val="17"/>
              </w:rPr>
            </w:pPr>
            <w:r>
              <w:rPr>
                <w:sz w:val="17"/>
                <w:szCs w:val="17"/>
                <w:spacing w:val="-1"/>
              </w:rPr>
              <w:t>中华人民共和国渔业法》</w:t>
            </w:r>
          </w:p>
          <w:p>
            <w:pPr>
              <w:pStyle w:val="TableText"/>
              <w:ind w:left="46"/>
              <w:spacing w:line="205" w:lineRule="auto"/>
              <w:rPr>
                <w:sz w:val="17"/>
                <w:szCs w:val="17"/>
              </w:rPr>
            </w:pPr>
            <w:r>
              <w:rPr>
                <w:sz w:val="17"/>
                <w:szCs w:val="17"/>
              </w:rPr>
              <w:t>[水产苗种管理办共</w:t>
            </w:r>
          </w:p>
          <w:p>
            <w:pPr>
              <w:pStyle w:val="TableText"/>
              <w:spacing w:line="196" w:lineRule="auto"/>
              <w:rPr>
                <w:sz w:val="17"/>
                <w:szCs w:val="17"/>
              </w:rPr>
            </w:pPr>
            <w:r>
              <w:rPr>
                <w:sz w:val="17"/>
                <w:szCs w:val="17"/>
                <w:spacing w:val="2"/>
              </w:rPr>
              <w:t>【农业特基因生物安全告理查例》</w:t>
            </w:r>
          </w:p>
        </w:tc>
      </w:tr>
      <w:tr>
        <w:trPr>
          <w:trHeight w:val="449" w:hRule="atLeast"/>
        </w:trPr>
        <w:tc>
          <w:tcPr>
            <w:tcW w:w="574" w:type="dxa"/>
            <w:vAlign w:val="top"/>
          </w:tcPr>
          <w:p>
            <w:pPr>
              <w:pStyle w:val="TableText"/>
              <w:ind w:left="144"/>
              <w:spacing w:before="182" w:line="184" w:lineRule="auto"/>
              <w:rPr>
                <w:sz w:val="17"/>
                <w:szCs w:val="17"/>
              </w:rPr>
            </w:pPr>
            <w:r>
              <w:rPr>
                <w:sz w:val="17"/>
                <w:szCs w:val="17"/>
                <w:spacing w:val="-2"/>
              </w:rPr>
              <w:t>417</w:t>
            </w:r>
          </w:p>
        </w:tc>
        <w:tc>
          <w:tcPr>
            <w:tcW w:w="1299" w:type="dxa"/>
            <w:vAlign w:val="top"/>
          </w:tcPr>
          <w:p>
            <w:pPr>
              <w:pStyle w:val="TableText"/>
              <w:ind w:left="210"/>
              <w:spacing w:before="138" w:line="219" w:lineRule="auto"/>
              <w:rPr>
                <w:sz w:val="17"/>
                <w:szCs w:val="17"/>
              </w:rPr>
            </w:pPr>
            <w:r>
              <w:rPr>
                <w:sz w:val="17"/>
                <w:szCs w:val="17"/>
                <w:spacing w:val="-2"/>
              </w:rPr>
              <w:t>农业农村部</w:t>
            </w:r>
          </w:p>
        </w:tc>
        <w:tc>
          <w:tcPr>
            <w:tcW w:w="1638" w:type="dxa"/>
            <w:vAlign w:val="top"/>
          </w:tcPr>
          <w:p>
            <w:pPr>
              <w:pStyle w:val="TableText"/>
              <w:ind w:left="32"/>
              <w:spacing w:before="140" w:line="219" w:lineRule="auto"/>
              <w:rPr>
                <w:sz w:val="17"/>
                <w:szCs w:val="17"/>
              </w:rPr>
            </w:pPr>
            <w:r>
              <w:rPr>
                <w:sz w:val="17"/>
                <w:szCs w:val="17"/>
                <w:spacing w:val="-1"/>
              </w:rPr>
              <w:t>水城滩绘养随证核发</w:t>
            </w:r>
          </w:p>
        </w:tc>
        <w:tc>
          <w:tcPr>
            <w:tcW w:w="2377" w:type="dxa"/>
            <w:vAlign w:val="top"/>
          </w:tcPr>
          <w:p>
            <w:pPr>
              <w:pStyle w:val="TableText"/>
              <w:ind w:left="43" w:hanging="29"/>
              <w:spacing w:before="59" w:line="206" w:lineRule="auto"/>
              <w:rPr>
                <w:sz w:val="17"/>
                <w:szCs w:val="17"/>
              </w:rPr>
            </w:pPr>
            <w:r>
              <w:rPr>
                <w:sz w:val="17"/>
                <w:szCs w:val="17"/>
                <w:spacing w:val="-2"/>
              </w:rPr>
              <w:t>古级、没区的市级，县线意府市</w:t>
            </w:r>
            <w:r>
              <w:rPr>
                <w:sz w:val="17"/>
                <w:szCs w:val="17"/>
              </w:rPr>
              <w:t xml:space="preserve"> </w:t>
            </w:r>
            <w:r>
              <w:rPr>
                <w:sz w:val="17"/>
                <w:szCs w:val="17"/>
                <w:spacing w:val="3"/>
              </w:rPr>
              <w:t>泡业部门单办)</w:t>
            </w:r>
          </w:p>
        </w:tc>
        <w:tc>
          <w:tcPr>
            <w:tcW w:w="3701" w:type="dxa"/>
            <w:vAlign w:val="top"/>
          </w:tcPr>
          <w:p>
            <w:pPr>
              <w:pStyle w:val="TableText"/>
              <w:ind w:left="46"/>
              <w:spacing w:before="140" w:line="219" w:lineRule="auto"/>
              <w:rPr>
                <w:sz w:val="17"/>
                <w:szCs w:val="17"/>
              </w:rPr>
            </w:pPr>
            <w:r>
              <w:rPr>
                <w:sz w:val="17"/>
                <w:szCs w:val="17"/>
                <w:spacing w:val="1"/>
              </w:rPr>
              <w:t>K中华人民共和国海业法1</w:t>
            </w:r>
          </w:p>
        </w:tc>
      </w:tr>
      <w:tr>
        <w:trPr>
          <w:trHeight w:val="439" w:hRule="atLeast"/>
        </w:trPr>
        <w:tc>
          <w:tcPr>
            <w:tcW w:w="574" w:type="dxa"/>
            <w:vAlign w:val="top"/>
          </w:tcPr>
          <w:p>
            <w:pPr>
              <w:pStyle w:val="TableText"/>
              <w:ind w:left="144"/>
              <w:spacing w:before="183" w:line="184" w:lineRule="auto"/>
              <w:rPr>
                <w:sz w:val="17"/>
                <w:szCs w:val="17"/>
              </w:rPr>
            </w:pPr>
            <w:r>
              <w:rPr>
                <w:sz w:val="17"/>
                <w:szCs w:val="17"/>
                <w:spacing w:val="-2"/>
              </w:rPr>
              <w:t>418</w:t>
            </w:r>
          </w:p>
        </w:tc>
        <w:tc>
          <w:tcPr>
            <w:tcW w:w="1299" w:type="dxa"/>
            <w:vAlign w:val="top"/>
          </w:tcPr>
          <w:p>
            <w:pPr>
              <w:pStyle w:val="TableText"/>
              <w:ind w:left="210"/>
              <w:spacing w:before="139" w:line="219" w:lineRule="auto"/>
              <w:rPr>
                <w:sz w:val="17"/>
                <w:szCs w:val="17"/>
              </w:rPr>
            </w:pPr>
            <w:r>
              <w:rPr>
                <w:sz w:val="17"/>
                <w:szCs w:val="17"/>
                <w:spacing w:val="-2"/>
              </w:rPr>
              <w:t>农壶表科部</w:t>
            </w:r>
          </w:p>
        </w:tc>
        <w:tc>
          <w:tcPr>
            <w:tcW w:w="1638" w:type="dxa"/>
            <w:vAlign w:val="top"/>
          </w:tcPr>
          <w:p>
            <w:pPr>
              <w:pStyle w:val="TableText"/>
              <w:ind w:left="32"/>
              <w:spacing w:before="139" w:line="219" w:lineRule="auto"/>
              <w:rPr>
                <w:sz w:val="17"/>
                <w:szCs w:val="17"/>
              </w:rPr>
            </w:pPr>
            <w:r>
              <w:rPr>
                <w:sz w:val="17"/>
                <w:szCs w:val="17"/>
              </w:rPr>
              <w:t>国基布商观龄市世</w:t>
            </w:r>
          </w:p>
        </w:tc>
        <w:tc>
          <w:tcPr>
            <w:tcW w:w="2377" w:type="dxa"/>
            <w:vAlign w:val="top"/>
          </w:tcPr>
          <w:p>
            <w:pPr>
              <w:pStyle w:val="TableText"/>
              <w:ind w:left="83" w:hanging="69"/>
              <w:spacing w:before="31" w:line="216" w:lineRule="auto"/>
              <w:rPr>
                <w:sz w:val="17"/>
                <w:szCs w:val="17"/>
              </w:rPr>
            </w:pPr>
            <w:r>
              <w:rPr>
                <w:sz w:val="17"/>
                <w:szCs w:val="17"/>
                <w:spacing w:val="-8"/>
              </w:rPr>
              <w:t>省级，设区的市皱，是慢政府(山</w:t>
            </w:r>
            <w:r>
              <w:rPr>
                <w:sz w:val="17"/>
                <w:szCs w:val="17"/>
                <w:spacing w:val="6"/>
              </w:rPr>
              <w:t xml:space="preserve"> </w:t>
            </w:r>
            <w:r>
              <w:rPr>
                <w:sz w:val="17"/>
                <w:szCs w:val="17"/>
                <w:spacing w:val="9"/>
              </w:rPr>
              <w:t>其探定部门录办】</w:t>
            </w:r>
          </w:p>
        </w:tc>
        <w:tc>
          <w:tcPr>
            <w:tcW w:w="3701" w:type="dxa"/>
            <w:vAlign w:val="top"/>
          </w:tcPr>
          <w:p>
            <w:pPr>
              <w:pStyle w:val="TableText"/>
              <w:ind w:left="46"/>
              <w:spacing w:before="139" w:line="217" w:lineRule="auto"/>
              <w:rPr>
                <w:sz w:val="17"/>
                <w:szCs w:val="17"/>
              </w:rPr>
            </w:pPr>
            <w:r>
              <w:rPr>
                <w:sz w:val="17"/>
                <w:szCs w:val="17"/>
                <w:spacing w:val="-1"/>
              </w:rPr>
              <w:t>①中华人识共和国缝业法1</w:t>
            </w:r>
          </w:p>
        </w:tc>
      </w:tr>
      <w:tr>
        <w:trPr>
          <w:trHeight w:val="639" w:hRule="atLeast"/>
        </w:trPr>
        <w:tc>
          <w:tcPr>
            <w:tcW w:w="574" w:type="dxa"/>
            <w:vAlign w:val="top"/>
          </w:tcPr>
          <w:p>
            <w:pPr>
              <w:pStyle w:val="TableText"/>
              <w:ind w:left="144"/>
              <w:spacing w:before="284" w:line="184" w:lineRule="auto"/>
              <w:rPr>
                <w:sz w:val="17"/>
                <w:szCs w:val="17"/>
              </w:rPr>
            </w:pPr>
            <w:r>
              <w:rPr>
                <w:sz w:val="17"/>
                <w:szCs w:val="17"/>
                <w:spacing w:val="-2"/>
              </w:rPr>
              <w:t>419</w:t>
            </w:r>
          </w:p>
        </w:tc>
        <w:tc>
          <w:tcPr>
            <w:tcW w:w="1299" w:type="dxa"/>
            <w:vAlign w:val="top"/>
          </w:tcPr>
          <w:p>
            <w:pPr>
              <w:pStyle w:val="TableText"/>
              <w:ind w:left="210"/>
              <w:spacing w:before="240" w:line="219" w:lineRule="auto"/>
              <w:rPr>
                <w:sz w:val="17"/>
                <w:szCs w:val="17"/>
              </w:rPr>
            </w:pPr>
            <w:r>
              <w:rPr>
                <w:sz w:val="17"/>
                <w:szCs w:val="17"/>
                <w:spacing w:val="-2"/>
              </w:rPr>
              <w:t>管重农村靠</w:t>
            </w:r>
          </w:p>
        </w:tc>
        <w:tc>
          <w:tcPr>
            <w:tcW w:w="1638" w:type="dxa"/>
            <w:vAlign w:val="top"/>
          </w:tcPr>
          <w:p>
            <w:pPr>
              <w:pStyle w:val="TableText"/>
              <w:ind w:left="32" w:right="61" w:firstLine="10"/>
              <w:spacing w:before="141" w:line="210" w:lineRule="auto"/>
              <w:rPr>
                <w:sz w:val="17"/>
                <w:szCs w:val="17"/>
              </w:rPr>
            </w:pPr>
            <w:r>
              <w:rPr>
                <w:sz w:val="17"/>
                <w:szCs w:val="17"/>
                <w:spacing w:val="-1"/>
              </w:rPr>
              <w:t>海业能网工真指拆索</w:t>
            </w:r>
            <w:r>
              <w:rPr>
                <w:sz w:val="17"/>
                <w:szCs w:val="17"/>
                <w:spacing w:val="2"/>
              </w:rPr>
              <w:t xml:space="preserve"> </w:t>
            </w:r>
            <w:r>
              <w:rPr>
                <w:sz w:val="17"/>
                <w:szCs w:val="17"/>
              </w:rPr>
              <w:t>批</w:t>
            </w:r>
          </w:p>
        </w:tc>
        <w:tc>
          <w:tcPr>
            <w:tcW w:w="2377" w:type="dxa"/>
            <w:vAlign w:val="top"/>
          </w:tcPr>
          <w:p>
            <w:pPr>
              <w:pStyle w:val="TableText"/>
              <w:ind w:left="14" w:firstLine="19"/>
              <w:spacing w:before="51" w:line="209" w:lineRule="auto"/>
              <w:jc w:val="both"/>
              <w:rPr>
                <w:sz w:val="17"/>
                <w:szCs w:val="17"/>
              </w:rPr>
            </w:pPr>
            <w:r>
              <w:rPr>
                <w:sz w:val="17"/>
                <w:szCs w:val="17"/>
                <w:spacing w:val="-2"/>
              </w:rPr>
              <w:t>表业衣料部(由省级源量带门受 </w:t>
            </w:r>
            <w:r>
              <w:rPr>
                <w:sz w:val="17"/>
                <w:szCs w:val="17"/>
                <w:spacing w:val="-2"/>
              </w:rPr>
              <w:t>型);省风，设区的市烟。昌场差</w:t>
            </w:r>
            <w:r>
              <w:rPr>
                <w:sz w:val="17"/>
                <w:szCs w:val="17"/>
                <w:spacing w:val="1"/>
              </w:rPr>
              <w:t xml:space="preserve"> </w:t>
            </w:r>
            <w:r>
              <w:rPr>
                <w:sz w:val="17"/>
                <w:szCs w:val="17"/>
                <w:spacing w:val="18"/>
              </w:rPr>
              <w:t>业部门</w:t>
            </w:r>
          </w:p>
        </w:tc>
        <w:tc>
          <w:tcPr>
            <w:tcW w:w="3701" w:type="dxa"/>
            <w:vAlign w:val="top"/>
          </w:tcPr>
          <w:p>
            <w:pPr>
              <w:pStyle w:val="TableText"/>
              <w:spacing w:before="152" w:line="206" w:lineRule="auto"/>
              <w:rPr>
                <w:sz w:val="17"/>
                <w:szCs w:val="17"/>
              </w:rPr>
            </w:pPr>
            <w:r>
              <w:rPr>
                <w:sz w:val="17"/>
                <w:szCs w:val="17"/>
                <w:spacing w:val="-4"/>
              </w:rPr>
              <w:t>《#华人民共和国滑业法)</w:t>
            </w:r>
          </w:p>
          <w:p>
            <w:pPr>
              <w:pStyle w:val="TableText"/>
              <w:spacing w:line="219" w:lineRule="auto"/>
              <w:rPr>
                <w:sz w:val="17"/>
                <w:szCs w:val="17"/>
              </w:rPr>
            </w:pPr>
            <w:r>
              <w:rPr>
                <w:sz w:val="17"/>
                <w:szCs w:val="17"/>
                <w:spacing w:val="-4"/>
              </w:rPr>
              <w:t>《惟业城情许可管理规定》</w:t>
            </w:r>
          </w:p>
        </w:tc>
      </w:tr>
      <w:tr>
        <w:trPr>
          <w:trHeight w:val="649" w:hRule="atLeast"/>
        </w:trPr>
        <w:tc>
          <w:tcPr>
            <w:tcW w:w="574" w:type="dxa"/>
            <w:vAlign w:val="top"/>
          </w:tcPr>
          <w:p>
            <w:pPr>
              <w:pStyle w:val="TableText"/>
              <w:ind w:left="144"/>
              <w:spacing w:before="286" w:line="183" w:lineRule="auto"/>
              <w:rPr>
                <w:sz w:val="17"/>
                <w:szCs w:val="17"/>
              </w:rPr>
            </w:pPr>
            <w:r>
              <w:rPr>
                <w:sz w:val="17"/>
                <w:szCs w:val="17"/>
                <w:spacing w:val="-2"/>
              </w:rPr>
              <w:t>420</w:t>
            </w:r>
          </w:p>
        </w:tc>
        <w:tc>
          <w:tcPr>
            <w:tcW w:w="1299" w:type="dxa"/>
            <w:vAlign w:val="top"/>
          </w:tcPr>
          <w:p>
            <w:pPr>
              <w:pStyle w:val="TableText"/>
              <w:ind w:left="210"/>
              <w:spacing w:before="241" w:line="219" w:lineRule="auto"/>
              <w:rPr>
                <w:sz w:val="17"/>
                <w:szCs w:val="17"/>
              </w:rPr>
            </w:pPr>
            <w:r>
              <w:rPr>
                <w:sz w:val="17"/>
                <w:szCs w:val="17"/>
                <w:spacing w:val="-2"/>
              </w:rPr>
              <w:t>农业表科部</w:t>
            </w:r>
          </w:p>
        </w:tc>
        <w:tc>
          <w:tcPr>
            <w:tcW w:w="1638" w:type="dxa"/>
            <w:vAlign w:val="top"/>
          </w:tcPr>
          <w:p>
            <w:pPr>
              <w:pStyle w:val="TableText"/>
              <w:ind w:left="32"/>
              <w:spacing w:before="243" w:line="220" w:lineRule="auto"/>
              <w:rPr>
                <w:sz w:val="17"/>
                <w:szCs w:val="17"/>
              </w:rPr>
            </w:pPr>
            <w:r>
              <w:rPr>
                <w:sz w:val="17"/>
                <w:szCs w:val="17"/>
                <w:spacing w:val="3"/>
              </w:rPr>
              <w:t>渔业招防许司</w:t>
            </w:r>
          </w:p>
        </w:tc>
        <w:tc>
          <w:tcPr>
            <w:tcW w:w="2377" w:type="dxa"/>
            <w:vAlign w:val="top"/>
          </w:tcPr>
          <w:p>
            <w:pPr>
              <w:pStyle w:val="TableText"/>
              <w:ind w:left="14" w:firstLine="19"/>
              <w:spacing w:before="42" w:line="216" w:lineRule="auto"/>
              <w:jc w:val="both"/>
              <w:rPr>
                <w:sz w:val="17"/>
                <w:szCs w:val="17"/>
              </w:rPr>
            </w:pPr>
            <w:r>
              <w:rPr>
                <w:sz w:val="17"/>
                <w:szCs w:val="17"/>
                <w:spacing w:val="-1"/>
              </w:rPr>
              <w:t>农业农村部(陈分由省概商必都</w:t>
            </w:r>
            <w:r>
              <w:rPr>
                <w:sz w:val="17"/>
                <w:szCs w:val="17"/>
                <w:spacing w:val="5"/>
              </w:rPr>
              <w:t xml:space="preserve"> </w:t>
            </w:r>
            <w:r>
              <w:rPr>
                <w:sz w:val="17"/>
                <w:szCs w:val="17"/>
                <w:spacing w:val="-2"/>
              </w:rPr>
              <w:t>门交指，省级，段区则市眼，县</w:t>
            </w:r>
            <w:r>
              <w:rPr>
                <w:sz w:val="17"/>
                <w:szCs w:val="17"/>
              </w:rPr>
              <w:t xml:space="preserve"> </w:t>
            </w:r>
            <w:r>
              <w:rPr>
                <w:sz w:val="17"/>
                <w:szCs w:val="17"/>
                <w:spacing w:val="9"/>
              </w:rPr>
              <w:t>坦海重部门</w:t>
            </w:r>
          </w:p>
        </w:tc>
        <w:tc>
          <w:tcPr>
            <w:tcW w:w="3701" w:type="dxa"/>
            <w:vAlign w:val="top"/>
          </w:tcPr>
          <w:p>
            <w:pPr>
              <w:pStyle w:val="TableText"/>
              <w:ind w:left="46"/>
              <w:spacing w:before="62" w:line="218" w:lineRule="auto"/>
              <w:rPr>
                <w:sz w:val="17"/>
                <w:szCs w:val="17"/>
              </w:rPr>
            </w:pPr>
            <w:r>
              <w:rPr>
                <w:sz w:val="17"/>
                <w:szCs w:val="17"/>
                <w:spacing w:val="2"/>
              </w:rPr>
              <w:t>中华人民共和国签业法)</w:t>
            </w:r>
          </w:p>
          <w:p>
            <w:pPr>
              <w:pStyle w:val="TableText"/>
              <w:ind w:left="83"/>
              <w:spacing w:line="216" w:lineRule="auto"/>
              <w:rPr>
                <w:sz w:val="17"/>
                <w:szCs w:val="17"/>
              </w:rPr>
            </w:pPr>
            <w:r>
              <w:rPr>
                <w:sz w:val="17"/>
                <w:szCs w:val="17"/>
              </w:rPr>
              <w:t>(中华人民其和国险学蓝实源细刷)</w:t>
            </w:r>
          </w:p>
          <w:p>
            <w:pPr>
              <w:pStyle w:val="TableText"/>
              <w:spacing w:line="191" w:lineRule="auto"/>
              <w:rPr>
                <w:sz w:val="17"/>
                <w:szCs w:val="17"/>
              </w:rPr>
            </w:pPr>
            <w:r>
              <w:rPr>
                <w:sz w:val="17"/>
                <w:szCs w:val="17"/>
                <w:spacing w:val="-4"/>
              </w:rPr>
              <w:t>《施业指岗许可管理地定</w:t>
            </w:r>
          </w:p>
        </w:tc>
      </w:tr>
      <w:tr>
        <w:trPr>
          <w:trHeight w:val="849" w:hRule="atLeast"/>
        </w:trPr>
        <w:tc>
          <w:tcPr>
            <w:tcW w:w="574" w:type="dxa"/>
            <w:vAlign w:val="top"/>
          </w:tcPr>
          <w:p>
            <w:pPr>
              <w:spacing w:line="329" w:lineRule="auto"/>
              <w:rPr>
                <w:rFonts w:ascii="Arial"/>
                <w:sz w:val="21"/>
              </w:rPr>
            </w:pPr>
            <w:r/>
          </w:p>
          <w:p>
            <w:pPr>
              <w:pStyle w:val="TableText"/>
              <w:ind w:left="144"/>
              <w:spacing w:before="55" w:line="184" w:lineRule="auto"/>
              <w:rPr>
                <w:sz w:val="17"/>
                <w:szCs w:val="17"/>
              </w:rPr>
            </w:pPr>
            <w:r>
              <w:rPr>
                <w:sz w:val="17"/>
                <w:szCs w:val="17"/>
                <w:spacing w:val="-2"/>
              </w:rPr>
              <w:t>421</w:t>
            </w:r>
          </w:p>
        </w:tc>
        <w:tc>
          <w:tcPr>
            <w:tcW w:w="1299" w:type="dxa"/>
            <w:vAlign w:val="top"/>
          </w:tcPr>
          <w:p>
            <w:pPr>
              <w:spacing w:line="285" w:lineRule="auto"/>
              <w:rPr>
                <w:rFonts w:ascii="Arial"/>
                <w:sz w:val="21"/>
              </w:rPr>
            </w:pPr>
            <w:r/>
          </w:p>
          <w:p>
            <w:pPr>
              <w:pStyle w:val="TableText"/>
              <w:ind w:left="210"/>
              <w:spacing w:before="56" w:line="219" w:lineRule="auto"/>
              <w:rPr>
                <w:sz w:val="17"/>
                <w:szCs w:val="17"/>
              </w:rPr>
            </w:pPr>
            <w:r>
              <w:rPr>
                <w:sz w:val="17"/>
                <w:szCs w:val="17"/>
                <w:spacing w:val="-1"/>
              </w:rPr>
              <w:t>表业表材解</w:t>
            </w:r>
          </w:p>
        </w:tc>
        <w:tc>
          <w:tcPr>
            <w:tcW w:w="1638" w:type="dxa"/>
            <w:vAlign w:val="top"/>
          </w:tcPr>
          <w:p>
            <w:pPr>
              <w:spacing w:line="287" w:lineRule="auto"/>
              <w:rPr>
                <w:rFonts w:ascii="Arial"/>
                <w:sz w:val="21"/>
              </w:rPr>
            </w:pPr>
            <w:r/>
          </w:p>
          <w:p>
            <w:pPr>
              <w:pStyle w:val="TableText"/>
              <w:ind w:left="32"/>
              <w:spacing w:before="55" w:line="219" w:lineRule="auto"/>
              <w:rPr>
                <w:sz w:val="17"/>
                <w:szCs w:val="17"/>
              </w:rPr>
            </w:pPr>
            <w:r>
              <w:rPr>
                <w:sz w:val="17"/>
                <w:szCs w:val="17"/>
                <w:spacing w:val="-1"/>
              </w:rPr>
              <w:t>远群清卓审批</w:t>
            </w:r>
          </w:p>
        </w:tc>
        <w:tc>
          <w:tcPr>
            <w:tcW w:w="2377" w:type="dxa"/>
            <w:vAlign w:val="top"/>
          </w:tcPr>
          <w:p>
            <w:pPr>
              <w:spacing w:line="285" w:lineRule="auto"/>
              <w:rPr>
                <w:rFonts w:ascii="Arial"/>
                <w:sz w:val="21"/>
              </w:rPr>
            </w:pPr>
            <w:r/>
          </w:p>
          <w:p>
            <w:pPr>
              <w:pStyle w:val="TableText"/>
              <w:ind w:left="44"/>
              <w:spacing w:before="56" w:line="219" w:lineRule="auto"/>
              <w:rPr>
                <w:sz w:val="17"/>
                <w:szCs w:val="17"/>
              </w:rPr>
            </w:pPr>
            <w:r>
              <w:rPr>
                <w:sz w:val="17"/>
                <w:szCs w:val="17"/>
                <w:spacing w:val="-1"/>
              </w:rPr>
              <w:t>表查农村醒</w:t>
            </w:r>
          </w:p>
        </w:tc>
        <w:tc>
          <w:tcPr>
            <w:tcW w:w="3701" w:type="dxa"/>
            <w:vAlign w:val="top"/>
          </w:tcPr>
          <w:p>
            <w:pPr>
              <w:pStyle w:val="TableText"/>
              <w:ind w:left="46"/>
              <w:spacing w:before="44" w:line="219" w:lineRule="auto"/>
              <w:rPr>
                <w:sz w:val="17"/>
                <w:szCs w:val="17"/>
              </w:rPr>
            </w:pPr>
            <w:r>
              <w:rPr>
                <w:sz w:val="17"/>
                <w:szCs w:val="17"/>
                <w:spacing w:val="-1"/>
              </w:rPr>
              <w:t>T中华人民共和积滴业法</w:t>
            </w:r>
          </w:p>
          <w:p>
            <w:pPr>
              <w:pStyle w:val="TableText"/>
              <w:ind w:left="46"/>
              <w:spacing w:before="18" w:line="219" w:lineRule="auto"/>
              <w:rPr>
                <w:sz w:val="17"/>
                <w:szCs w:val="17"/>
              </w:rPr>
            </w:pPr>
            <w:r>
              <w:rPr>
                <w:sz w:val="17"/>
                <w:szCs w:val="17"/>
                <w:spacing w:val="4"/>
              </w:rPr>
              <w:t>(中华人民共和饵净业法实造伟需】</w:t>
            </w:r>
          </w:p>
          <w:p>
            <w:pPr>
              <w:pStyle w:val="TableText"/>
              <w:ind w:left="83" w:hanging="83"/>
              <w:spacing w:before="8" w:line="198" w:lineRule="auto"/>
              <w:rPr>
                <w:sz w:val="17"/>
                <w:szCs w:val="17"/>
              </w:rPr>
            </w:pPr>
            <w:r>
              <w:rPr>
                <w:sz w:val="17"/>
                <w:szCs w:val="17"/>
                <w:spacing w:val="-10"/>
              </w:rPr>
              <w:t>【国务院关于国化“证风分典”政带班一步微发市场</w:t>
            </w:r>
            <w:r>
              <w:rPr>
                <w:sz w:val="17"/>
                <w:szCs w:val="17"/>
                <w:spacing w:val="9"/>
              </w:rPr>
              <w:t xml:space="preserve"> </w:t>
            </w:r>
            <w:r>
              <w:rPr>
                <w:sz w:val="17"/>
                <w:szCs w:val="17"/>
                <w:spacing w:val="-1"/>
              </w:rPr>
              <w:t>主体监感售力的备知数国发(021)7号)</w:t>
            </w:r>
          </w:p>
        </w:tc>
      </w:tr>
      <w:tr>
        <w:trPr>
          <w:trHeight w:val="659" w:hRule="atLeast"/>
        </w:trPr>
        <w:tc>
          <w:tcPr>
            <w:tcW w:w="574" w:type="dxa"/>
            <w:vAlign w:val="top"/>
          </w:tcPr>
          <w:p>
            <w:pPr>
              <w:spacing w:line="242" w:lineRule="auto"/>
              <w:rPr>
                <w:rFonts w:ascii="Arial"/>
                <w:sz w:val="21"/>
              </w:rPr>
            </w:pPr>
            <w:r/>
          </w:p>
          <w:p>
            <w:pPr>
              <w:pStyle w:val="TableText"/>
              <w:ind w:left="144"/>
              <w:spacing w:before="55" w:line="183" w:lineRule="auto"/>
              <w:rPr>
                <w:sz w:val="17"/>
                <w:szCs w:val="17"/>
              </w:rPr>
            </w:pPr>
            <w:r>
              <w:rPr>
                <w:sz w:val="17"/>
                <w:szCs w:val="17"/>
                <w:spacing w:val="-2"/>
              </w:rPr>
              <w:t>427</w:t>
            </w:r>
          </w:p>
        </w:tc>
        <w:tc>
          <w:tcPr>
            <w:tcW w:w="1299" w:type="dxa"/>
            <w:vAlign w:val="top"/>
          </w:tcPr>
          <w:p>
            <w:pPr>
              <w:pStyle w:val="TableText"/>
              <w:ind w:left="210"/>
              <w:spacing w:before="253" w:line="219" w:lineRule="auto"/>
              <w:rPr>
                <w:sz w:val="17"/>
                <w:szCs w:val="17"/>
              </w:rPr>
            </w:pPr>
            <w:r>
              <w:rPr>
                <w:sz w:val="17"/>
                <w:szCs w:val="17"/>
                <w:spacing w:val="-2"/>
              </w:rPr>
              <w:t>农业农村部</w:t>
            </w:r>
          </w:p>
        </w:tc>
        <w:tc>
          <w:tcPr>
            <w:tcW w:w="1638" w:type="dxa"/>
            <w:vAlign w:val="top"/>
          </w:tcPr>
          <w:p>
            <w:pPr>
              <w:pStyle w:val="TableText"/>
              <w:ind w:left="32" w:right="20" w:firstLine="30"/>
              <w:spacing w:before="74" w:line="208" w:lineRule="auto"/>
              <w:jc w:val="both"/>
              <w:rPr>
                <w:sz w:val="17"/>
                <w:szCs w:val="17"/>
              </w:rPr>
            </w:pPr>
            <w:r>
              <w:rPr>
                <w:sz w:val="17"/>
                <w:szCs w:val="17"/>
                <w:spacing w:val="1"/>
              </w:rPr>
              <w:t>专用航标的设登，省</w:t>
            </w:r>
            <w:r>
              <w:rPr>
                <w:sz w:val="17"/>
                <w:szCs w:val="17"/>
                <w:spacing w:val="5"/>
              </w:rPr>
              <w:t xml:space="preserve"> </w:t>
            </w:r>
            <w:r>
              <w:rPr>
                <w:sz w:val="17"/>
                <w:szCs w:val="17"/>
                <w:spacing w:val="-1"/>
              </w:rPr>
              <w:t>热，位置移动和其他</w:t>
            </w:r>
            <w:r>
              <w:rPr>
                <w:sz w:val="17"/>
                <w:szCs w:val="17"/>
                <w:spacing w:val="7"/>
              </w:rPr>
              <w:t xml:space="preserve"> </w:t>
            </w:r>
            <w:r>
              <w:rPr>
                <w:sz w:val="17"/>
                <w:szCs w:val="17"/>
                <w:spacing w:val="3"/>
              </w:rPr>
              <w:t>状况准变调出</w:t>
            </w:r>
          </w:p>
        </w:tc>
        <w:tc>
          <w:tcPr>
            <w:tcW w:w="2377" w:type="dxa"/>
            <w:vAlign w:val="top"/>
          </w:tcPr>
          <w:p>
            <w:pPr>
              <w:pStyle w:val="TableText"/>
              <w:ind w:left="53" w:hanging="39"/>
              <w:spacing w:before="155" w:line="227" w:lineRule="auto"/>
              <w:rPr>
                <w:sz w:val="17"/>
                <w:szCs w:val="17"/>
              </w:rPr>
            </w:pPr>
            <w:r>
              <w:rPr>
                <w:sz w:val="17"/>
                <w:szCs w:val="17"/>
                <w:spacing w:val="-2"/>
              </w:rPr>
              <w:t>皆级，设区的市顷，县似愉业寒</w:t>
            </w:r>
            <w:r>
              <w:rPr>
                <w:sz w:val="17"/>
                <w:szCs w:val="17"/>
              </w:rPr>
              <w:t xml:space="preserve"> </w:t>
            </w:r>
            <w:r>
              <w:rPr>
                <w:sz w:val="17"/>
                <w:szCs w:val="17"/>
              </w:rPr>
              <w:t>门</w:t>
            </w:r>
          </w:p>
        </w:tc>
        <w:tc>
          <w:tcPr>
            <w:tcW w:w="3701" w:type="dxa"/>
            <w:vAlign w:val="top"/>
          </w:tcPr>
          <w:p>
            <w:pPr>
              <w:pStyle w:val="TableText"/>
              <w:spacing w:before="154" w:line="239" w:lineRule="auto"/>
              <w:rPr>
                <w:sz w:val="17"/>
                <w:szCs w:val="17"/>
              </w:rPr>
            </w:pPr>
            <w:r>
              <w:rPr>
                <w:sz w:val="17"/>
                <w:szCs w:val="17"/>
                <w:spacing w:val="-5"/>
              </w:rPr>
              <w:t>《中华人民共和国欣标务间</w:t>
            </w:r>
          </w:p>
          <w:p>
            <w:pPr>
              <w:pStyle w:val="TableText"/>
              <w:ind w:left="83"/>
              <w:spacing w:line="219" w:lineRule="auto"/>
              <w:rPr>
                <w:sz w:val="17"/>
                <w:szCs w:val="17"/>
              </w:rPr>
            </w:pPr>
            <w:r>
              <w:rPr>
                <w:sz w:val="17"/>
                <w:szCs w:val="17"/>
                <w:spacing w:val="-4"/>
              </w:rPr>
              <w:t>潜业航标情理办法1</w:t>
            </w:r>
          </w:p>
        </w:tc>
      </w:tr>
      <w:tr>
        <w:trPr>
          <w:trHeight w:val="734" w:hRule="atLeast"/>
        </w:trPr>
        <w:tc>
          <w:tcPr>
            <w:tcW w:w="574" w:type="dxa"/>
            <w:vAlign w:val="top"/>
          </w:tcPr>
          <w:p>
            <w:pPr>
              <w:spacing w:line="272" w:lineRule="auto"/>
              <w:rPr>
                <w:rFonts w:ascii="Arial"/>
                <w:sz w:val="21"/>
              </w:rPr>
            </w:pPr>
            <w:r/>
          </w:p>
          <w:p>
            <w:pPr>
              <w:pStyle w:val="TableText"/>
              <w:ind w:left="144"/>
              <w:spacing w:before="56" w:line="183" w:lineRule="auto"/>
              <w:rPr>
                <w:sz w:val="17"/>
                <w:szCs w:val="17"/>
              </w:rPr>
            </w:pPr>
            <w:r>
              <w:rPr>
                <w:sz w:val="17"/>
                <w:szCs w:val="17"/>
                <w:spacing w:val="-2"/>
              </w:rPr>
              <w:t>425</w:t>
            </w:r>
          </w:p>
        </w:tc>
        <w:tc>
          <w:tcPr>
            <w:tcW w:w="1299" w:type="dxa"/>
            <w:vAlign w:val="top"/>
          </w:tcPr>
          <w:p>
            <w:pPr>
              <w:pStyle w:val="TableText"/>
              <w:ind w:left="210"/>
              <w:spacing w:before="284" w:line="219" w:lineRule="auto"/>
              <w:rPr>
                <w:sz w:val="17"/>
                <w:szCs w:val="17"/>
              </w:rPr>
            </w:pPr>
            <w:r>
              <w:rPr>
                <w:sz w:val="17"/>
                <w:szCs w:val="17"/>
                <w:spacing w:val="-2"/>
              </w:rPr>
              <w:t>农业农科部</w:t>
            </w:r>
          </w:p>
        </w:tc>
        <w:tc>
          <w:tcPr>
            <w:tcW w:w="1638" w:type="dxa"/>
            <w:vAlign w:val="top"/>
          </w:tcPr>
          <w:p>
            <w:pPr>
              <w:pStyle w:val="TableText"/>
              <w:ind w:left="51" w:hanging="9"/>
              <w:spacing w:before="105" w:line="223" w:lineRule="auto"/>
              <w:rPr>
                <w:sz w:val="17"/>
                <w:szCs w:val="17"/>
              </w:rPr>
            </w:pPr>
            <w:r>
              <w:rPr>
                <w:sz w:val="17"/>
                <w:szCs w:val="17"/>
                <w:spacing w:val="-13"/>
              </w:rPr>
              <w:t>渔雅内新</w:t>
            </w:r>
            <w:r>
              <w:rPr>
                <w:sz w:val="17"/>
                <w:szCs w:val="17"/>
                <w:spacing w:val="-12"/>
              </w:rPr>
              <w:t>建，改建，</w:t>
            </w:r>
            <w:r>
              <w:rPr>
                <w:sz w:val="17"/>
                <w:szCs w:val="17"/>
                <w:spacing w:val="-8"/>
              </w:rPr>
              <w:t>打</w:t>
            </w:r>
            <w:r>
              <w:rPr>
                <w:sz w:val="17"/>
                <w:szCs w:val="17"/>
                <w:spacing w:val="4"/>
              </w:rPr>
              <w:t xml:space="preserve"> </w:t>
            </w:r>
            <w:r>
              <w:rPr>
                <w:sz w:val="17"/>
                <w:szCs w:val="17"/>
                <w:spacing w:val="-1"/>
              </w:rPr>
              <w:t>健让施成看其的求</w:t>
            </w:r>
          </w:p>
          <w:p>
            <w:pPr>
              <w:pStyle w:val="TableText"/>
              <w:ind w:left="32"/>
              <w:spacing w:line="219" w:lineRule="auto"/>
              <w:rPr>
                <w:sz w:val="17"/>
                <w:szCs w:val="17"/>
              </w:rPr>
            </w:pPr>
            <w:r>
              <w:rPr>
                <w:sz w:val="17"/>
                <w:szCs w:val="17"/>
                <w:spacing w:val="-1"/>
              </w:rPr>
              <w:t>上.水下施工事拉</w:t>
            </w:r>
          </w:p>
        </w:tc>
        <w:tc>
          <w:tcPr>
            <w:tcW w:w="2377" w:type="dxa"/>
            <w:vAlign w:val="top"/>
          </w:tcPr>
          <w:p>
            <w:pPr>
              <w:pStyle w:val="TableText"/>
              <w:ind w:left="23" w:hanging="9"/>
              <w:spacing w:before="195" w:line="214" w:lineRule="auto"/>
              <w:rPr>
                <w:sz w:val="17"/>
                <w:szCs w:val="17"/>
              </w:rPr>
            </w:pPr>
            <w:r>
              <w:rPr>
                <w:sz w:val="17"/>
                <w:szCs w:val="17"/>
                <w:spacing w:val="-2"/>
              </w:rPr>
              <w:t>者级，设区劳市圾，县级滴量部</w:t>
            </w:r>
            <w:r>
              <w:rPr>
                <w:sz w:val="17"/>
                <w:szCs w:val="17"/>
              </w:rPr>
              <w:t xml:space="preserve"> </w:t>
            </w:r>
            <w:r>
              <w:rPr>
                <w:sz w:val="17"/>
                <w:szCs w:val="17"/>
              </w:rPr>
              <w:t>自</w:t>
            </w:r>
          </w:p>
        </w:tc>
        <w:tc>
          <w:tcPr>
            <w:tcW w:w="3701" w:type="dxa"/>
            <w:vAlign w:val="top"/>
          </w:tcPr>
          <w:p>
            <w:pPr>
              <w:pStyle w:val="TableText"/>
              <w:ind w:left="46"/>
              <w:spacing w:before="286" w:line="219" w:lineRule="auto"/>
              <w:rPr>
                <w:sz w:val="17"/>
                <w:szCs w:val="17"/>
              </w:rPr>
            </w:pPr>
            <w:r>
              <w:rPr>
                <w:sz w:val="17"/>
                <w:szCs w:val="17"/>
              </w:rPr>
              <w:t>(中体人民共和国海测水填交确安全背理务例1</w:t>
            </w:r>
          </w:p>
        </w:tc>
      </w:tr>
    </w:tbl>
    <w:p>
      <w:pPr>
        <w:pStyle w:val="BodyText"/>
        <w:rPr/>
      </w:pPr>
      <w:r/>
    </w:p>
    <w:p>
      <w:pPr>
        <w:sectPr>
          <w:pgSz w:w="11910" w:h="8220"/>
          <w:pgMar w:top="400" w:right="117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68160" behindDoc="0" locked="0" layoutInCell="0" allowOverlap="1">
                <wp:simplePos x="0" y="0"/>
                <wp:positionH relativeFrom="page">
                  <wp:posOffset>455355</wp:posOffset>
                </wp:positionH>
                <wp:positionV relativeFrom="page">
                  <wp:posOffset>611813</wp:posOffset>
                </wp:positionV>
                <wp:extent cx="182245" cy="165100"/>
                <wp:effectExtent l="0" t="0" r="0" b="0"/>
                <wp:wrapNone/>
                <wp:docPr id="254" name="TextBox 254"/>
                <wp:cNvGraphicFramePr/>
                <a:graphic>
                  <a:graphicData uri="http://schemas.microsoft.com/office/word/2010/wordprocessingShape">
                    <wps:wsp>
                      <wps:cNvSpPr txBox="1"/>
                      <wps:spPr>
                        <a:xfrm rot="5400000">
                          <a:off x="455355" y="611813"/>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6" style="position:absolute;margin-left:35.8547pt;margin-top:48.1743pt;mso-position-vertical-relative:page;mso-position-horizontal-relative:page;width:14.35pt;height:13pt;z-index:251868160;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208</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04"/>
              <w:spacing w:before="132" w:line="221" w:lineRule="auto"/>
              <w:rPr>
                <w:sz w:val="17"/>
                <w:szCs w:val="17"/>
              </w:rPr>
            </w:pPr>
            <w:r>
              <w:rPr>
                <w:sz w:val="17"/>
                <w:szCs w:val="17"/>
                <w:spacing w:val="-2"/>
              </w:rPr>
              <w:t>序号</w:t>
            </w:r>
          </w:p>
        </w:tc>
        <w:tc>
          <w:tcPr>
            <w:tcW w:w="1299" w:type="dxa"/>
            <w:vAlign w:val="top"/>
          </w:tcPr>
          <w:p>
            <w:pPr>
              <w:pStyle w:val="TableText"/>
              <w:ind w:left="130"/>
              <w:spacing w:before="132" w:line="219" w:lineRule="auto"/>
              <w:rPr>
                <w:sz w:val="17"/>
                <w:szCs w:val="17"/>
              </w:rPr>
            </w:pPr>
            <w:r>
              <w:rPr>
                <w:sz w:val="17"/>
                <w:szCs w:val="17"/>
                <w:spacing w:val="3"/>
              </w:rPr>
              <w:t>中央主骨都门</w:t>
            </w:r>
          </w:p>
        </w:tc>
        <w:tc>
          <w:tcPr>
            <w:tcW w:w="1638" w:type="dxa"/>
            <w:vAlign w:val="top"/>
          </w:tcPr>
          <w:p>
            <w:pPr>
              <w:pStyle w:val="TableText"/>
              <w:ind w:left="471"/>
              <w:spacing w:before="132" w:line="220" w:lineRule="auto"/>
              <w:rPr>
                <w:sz w:val="17"/>
                <w:szCs w:val="17"/>
              </w:rPr>
            </w:pPr>
            <w:r>
              <w:rPr>
                <w:sz w:val="17"/>
                <w:szCs w:val="17"/>
                <w:spacing w:val="-2"/>
              </w:rPr>
              <w:t>事项名称</w:t>
            </w:r>
          </w:p>
        </w:tc>
        <w:tc>
          <w:tcPr>
            <w:tcW w:w="2377" w:type="dxa"/>
            <w:vAlign w:val="top"/>
          </w:tcPr>
          <w:p>
            <w:pPr>
              <w:pStyle w:val="TableText"/>
              <w:ind w:left="854"/>
              <w:spacing w:before="130" w:line="219" w:lineRule="auto"/>
              <w:rPr>
                <w:sz w:val="17"/>
                <w:szCs w:val="17"/>
              </w:rPr>
            </w:pPr>
            <w:r>
              <w:rPr>
                <w:sz w:val="17"/>
                <w:szCs w:val="17"/>
                <w:spacing w:val="-3"/>
              </w:rPr>
              <w:t>实幽机关</w:t>
            </w:r>
          </w:p>
        </w:tc>
        <w:tc>
          <w:tcPr>
            <w:tcW w:w="3711" w:type="dxa"/>
            <w:vAlign w:val="top"/>
          </w:tcPr>
          <w:p>
            <w:pPr>
              <w:pStyle w:val="TableText"/>
              <w:ind w:left="1279"/>
              <w:spacing w:before="129" w:line="219" w:lineRule="auto"/>
              <w:rPr>
                <w:sz w:val="17"/>
                <w:szCs w:val="17"/>
              </w:rPr>
            </w:pPr>
            <w:r>
              <w:rPr>
                <w:sz w:val="17"/>
                <w:szCs w:val="17"/>
                <w:b/>
                <w:bCs/>
                <w:spacing w:val="-3"/>
              </w:rPr>
              <w:t>设定和实施体据</w:t>
            </w:r>
          </w:p>
        </w:tc>
      </w:tr>
      <w:tr>
        <w:trPr>
          <w:trHeight w:val="639" w:hRule="atLeast"/>
        </w:trPr>
        <w:tc>
          <w:tcPr>
            <w:tcW w:w="574" w:type="dxa"/>
            <w:vAlign w:val="top"/>
          </w:tcPr>
          <w:p>
            <w:pPr>
              <w:pStyle w:val="TableText"/>
              <w:ind w:left="144"/>
              <w:spacing w:before="281" w:line="183" w:lineRule="auto"/>
              <w:rPr>
                <w:sz w:val="17"/>
                <w:szCs w:val="17"/>
              </w:rPr>
            </w:pPr>
            <w:r>
              <w:rPr>
                <w:sz w:val="17"/>
                <w:szCs w:val="17"/>
                <w:spacing w:val="-2"/>
              </w:rPr>
              <w:t>424</w:t>
            </w:r>
          </w:p>
        </w:tc>
        <w:tc>
          <w:tcPr>
            <w:tcW w:w="1299" w:type="dxa"/>
            <w:vAlign w:val="top"/>
          </w:tcPr>
          <w:p>
            <w:pPr>
              <w:pStyle w:val="TableText"/>
              <w:ind w:left="210"/>
              <w:spacing w:before="236" w:line="219" w:lineRule="auto"/>
              <w:rPr>
                <w:sz w:val="17"/>
                <w:szCs w:val="17"/>
              </w:rPr>
            </w:pPr>
            <w:r>
              <w:rPr>
                <w:sz w:val="17"/>
                <w:szCs w:val="17"/>
                <w:spacing w:val="-2"/>
              </w:rPr>
              <w:t>农业表科部</w:t>
            </w:r>
          </w:p>
        </w:tc>
        <w:tc>
          <w:tcPr>
            <w:tcW w:w="1638" w:type="dxa"/>
            <w:vAlign w:val="top"/>
          </w:tcPr>
          <w:p>
            <w:pPr>
              <w:pStyle w:val="TableText"/>
              <w:ind w:left="62" w:firstLine="19"/>
              <w:spacing w:before="157" w:line="224" w:lineRule="auto"/>
              <w:rPr>
                <w:sz w:val="17"/>
                <w:szCs w:val="17"/>
              </w:rPr>
            </w:pPr>
            <w:r>
              <w:rPr>
                <w:sz w:val="17"/>
                <w:szCs w:val="17"/>
                <w:spacing w:val="-17"/>
              </w:rPr>
              <w:t>热液内基世，易</w:t>
            </w:r>
            <w:r>
              <w:rPr>
                <w:sz w:val="17"/>
                <w:szCs w:val="17"/>
                <w:spacing w:val="-16"/>
              </w:rPr>
              <w:t>举，</w:t>
            </w:r>
            <w:r>
              <w:rPr>
                <w:sz w:val="17"/>
                <w:szCs w:val="17"/>
                <w:spacing w:val="-9"/>
              </w:rPr>
              <w:t>有</w:t>
            </w:r>
            <w:r>
              <w:rPr>
                <w:sz w:val="17"/>
                <w:szCs w:val="17"/>
                <w:spacing w:val="4"/>
              </w:rPr>
              <w:t xml:space="preserve"> </w:t>
            </w:r>
            <w:r>
              <w:rPr>
                <w:sz w:val="17"/>
                <w:szCs w:val="17"/>
                <w:spacing w:val="-1"/>
              </w:rPr>
              <w:t>毒寺范险是装绑审批</w:t>
            </w:r>
          </w:p>
        </w:tc>
        <w:tc>
          <w:tcPr>
            <w:tcW w:w="2377" w:type="dxa"/>
            <w:vAlign w:val="top"/>
          </w:tcPr>
          <w:p>
            <w:pPr>
              <w:pStyle w:val="TableText"/>
              <w:ind w:left="64"/>
              <w:spacing w:before="158" w:line="216" w:lineRule="auto"/>
              <w:rPr>
                <w:sz w:val="17"/>
                <w:szCs w:val="17"/>
              </w:rPr>
            </w:pPr>
            <w:r>
              <w:rPr>
                <w:sz w:val="17"/>
                <w:szCs w:val="17"/>
                <w:spacing w:val="-6"/>
              </w:rPr>
              <w:t>省型，设区的市级，县级浙业常</w:t>
            </w:r>
            <w:r>
              <w:rPr>
                <w:sz w:val="17"/>
                <w:szCs w:val="17"/>
                <w:spacing w:val="5"/>
              </w:rPr>
              <w:t xml:space="preserve"> </w:t>
            </w:r>
            <w:r>
              <w:rPr>
                <w:sz w:val="17"/>
                <w:szCs w:val="17"/>
              </w:rPr>
              <w:t>门</w:t>
            </w:r>
          </w:p>
        </w:tc>
        <w:tc>
          <w:tcPr>
            <w:tcW w:w="3711" w:type="dxa"/>
            <w:vAlign w:val="top"/>
          </w:tcPr>
          <w:p>
            <w:pPr>
              <w:pStyle w:val="TableText"/>
              <w:ind w:right="172"/>
              <w:spacing w:before="138" w:line="229" w:lineRule="auto"/>
              <w:rPr>
                <w:sz w:val="17"/>
                <w:szCs w:val="17"/>
              </w:rPr>
            </w:pPr>
            <w:r>
              <w:rPr>
                <w:sz w:val="17"/>
                <w:szCs w:val="17"/>
                <w:spacing w:val="-2"/>
              </w:rPr>
              <w:t>《中华人奖此和回治准水城交通安全情星条偶》</w:t>
            </w:r>
            <w:r>
              <w:rPr>
                <w:sz w:val="17"/>
                <w:szCs w:val="17"/>
              </w:rPr>
              <w:t xml:space="preserve"> </w:t>
            </w:r>
            <w:r>
              <w:rPr>
                <w:sz w:val="17"/>
                <w:szCs w:val="17"/>
                <w:spacing w:val="-2"/>
              </w:rPr>
              <w:t>《中华人民共和国内河交通安全管理条例》</w:t>
            </w:r>
          </w:p>
        </w:tc>
      </w:tr>
      <w:tr>
        <w:trPr>
          <w:trHeight w:val="839" w:hRule="atLeast"/>
        </w:trPr>
        <w:tc>
          <w:tcPr>
            <w:tcW w:w="574" w:type="dxa"/>
            <w:vAlign w:val="top"/>
          </w:tcPr>
          <w:p>
            <w:pPr>
              <w:spacing w:line="325" w:lineRule="auto"/>
              <w:rPr>
                <w:rFonts w:ascii="Arial"/>
                <w:sz w:val="21"/>
              </w:rPr>
            </w:pPr>
            <w:r/>
          </w:p>
          <w:p>
            <w:pPr>
              <w:pStyle w:val="TableText"/>
              <w:ind w:left="144"/>
              <w:spacing w:before="55" w:line="183" w:lineRule="auto"/>
              <w:rPr>
                <w:sz w:val="17"/>
                <w:szCs w:val="17"/>
              </w:rPr>
            </w:pPr>
            <w:r>
              <w:rPr>
                <w:sz w:val="17"/>
                <w:szCs w:val="17"/>
                <w:spacing w:val="-2"/>
              </w:rPr>
              <w:t>425</w:t>
            </w:r>
          </w:p>
        </w:tc>
        <w:tc>
          <w:tcPr>
            <w:tcW w:w="1299" w:type="dxa"/>
            <w:vAlign w:val="top"/>
          </w:tcPr>
          <w:p>
            <w:pPr>
              <w:spacing w:line="280" w:lineRule="auto"/>
              <w:rPr>
                <w:rFonts w:ascii="Arial"/>
                <w:sz w:val="21"/>
              </w:rPr>
            </w:pPr>
            <w:r/>
          </w:p>
          <w:p>
            <w:pPr>
              <w:pStyle w:val="TableText"/>
              <w:ind w:left="210"/>
              <w:spacing w:before="56" w:line="219" w:lineRule="auto"/>
              <w:rPr>
                <w:sz w:val="17"/>
                <w:szCs w:val="17"/>
              </w:rPr>
            </w:pPr>
            <w:r>
              <w:rPr>
                <w:sz w:val="17"/>
                <w:szCs w:val="17"/>
                <w:spacing w:val="-2"/>
              </w:rPr>
              <w:t>农些表科部</w:t>
            </w:r>
          </w:p>
        </w:tc>
        <w:tc>
          <w:tcPr>
            <w:tcW w:w="1638" w:type="dxa"/>
            <w:vAlign w:val="top"/>
          </w:tcPr>
          <w:p>
            <w:pPr>
              <w:spacing w:line="280" w:lineRule="auto"/>
              <w:rPr>
                <w:rFonts w:ascii="Arial"/>
                <w:sz w:val="21"/>
              </w:rPr>
            </w:pPr>
            <w:r/>
          </w:p>
          <w:p>
            <w:pPr>
              <w:pStyle w:val="TableText"/>
              <w:ind w:left="62"/>
              <w:spacing w:before="56" w:line="219" w:lineRule="auto"/>
              <w:rPr>
                <w:sz w:val="17"/>
                <w:szCs w:val="17"/>
              </w:rPr>
            </w:pPr>
            <w:r>
              <w:rPr>
                <w:sz w:val="17"/>
                <w:szCs w:val="17"/>
                <w:spacing w:val="-1"/>
              </w:rPr>
              <w:t>遭业船和国籍查记</w:t>
            </w:r>
          </w:p>
        </w:tc>
        <w:tc>
          <w:tcPr>
            <w:tcW w:w="2377" w:type="dxa"/>
            <w:vAlign w:val="top"/>
          </w:tcPr>
          <w:p>
            <w:pPr>
              <w:pStyle w:val="TableText"/>
              <w:spacing w:before="239" w:line="219" w:lineRule="auto"/>
              <w:jc w:val="right"/>
              <w:rPr>
                <w:sz w:val="17"/>
                <w:szCs w:val="17"/>
              </w:rPr>
            </w:pPr>
            <w:r>
              <w:rPr>
                <w:sz w:val="17"/>
                <w:szCs w:val="17"/>
                <w:spacing w:val="-6"/>
              </w:rPr>
              <w:t>省盘，设区的市级，县短地变保</w:t>
            </w:r>
          </w:p>
          <w:p>
            <w:pPr>
              <w:pStyle w:val="TableText"/>
              <w:ind w:left="64"/>
              <w:spacing w:before="89" w:line="131" w:lineRule="exact"/>
              <w:rPr>
                <w:sz w:val="17"/>
                <w:szCs w:val="17"/>
              </w:rPr>
            </w:pPr>
            <w:r>
              <w:rPr>
                <w:sz w:val="17"/>
                <w:szCs w:val="17"/>
              </w:rPr>
              <w:t>n</w:t>
            </w:r>
          </w:p>
        </w:tc>
        <w:tc>
          <w:tcPr>
            <w:tcW w:w="3711" w:type="dxa"/>
            <w:vAlign w:val="top"/>
          </w:tcPr>
          <w:p>
            <w:pPr>
              <w:pStyle w:val="TableText"/>
              <w:spacing w:before="137" w:line="219" w:lineRule="auto"/>
              <w:rPr>
                <w:sz w:val="17"/>
                <w:szCs w:val="17"/>
              </w:rPr>
            </w:pPr>
            <w:r>
              <w:rPr>
                <w:sz w:val="17"/>
                <w:szCs w:val="17"/>
                <w:spacing w:val="-3"/>
              </w:rPr>
              <w:t>《中华人民共和国加伯叠记条例?</w:t>
            </w:r>
          </w:p>
          <w:p>
            <w:pPr>
              <w:pStyle w:val="TableText"/>
              <w:ind w:left="56" w:right="399"/>
              <w:spacing w:before="8" w:line="213" w:lineRule="auto"/>
              <w:rPr>
                <w:sz w:val="17"/>
                <w:szCs w:val="17"/>
              </w:rPr>
            </w:pPr>
            <w:r>
              <w:rPr>
                <w:sz w:val="17"/>
                <w:szCs w:val="17"/>
              </w:rPr>
              <w:t>中华人民共和国清地水城交通安全骨理著例</w:t>
            </w:r>
            <w:r>
              <w:rPr>
                <w:sz w:val="17"/>
                <w:szCs w:val="17"/>
                <w:spacing w:val="13"/>
              </w:rPr>
              <w:t xml:space="preserve"> </w:t>
            </w:r>
            <w:r>
              <w:rPr>
                <w:sz w:val="17"/>
                <w:szCs w:val="17"/>
                <w:spacing w:val="-1"/>
              </w:rPr>
              <w:t>山罗人现共和国意变和倍查记办结》</w:t>
            </w:r>
          </w:p>
        </w:tc>
      </w:tr>
      <w:tr>
        <w:trPr>
          <w:trHeight w:val="629" w:hRule="atLeast"/>
        </w:trPr>
        <w:tc>
          <w:tcPr>
            <w:tcW w:w="574" w:type="dxa"/>
            <w:vAlign w:val="top"/>
          </w:tcPr>
          <w:p>
            <w:pPr>
              <w:pStyle w:val="TableText"/>
              <w:ind w:left="144"/>
              <w:spacing w:before="273" w:line="183" w:lineRule="auto"/>
              <w:rPr>
                <w:sz w:val="17"/>
                <w:szCs w:val="17"/>
              </w:rPr>
            </w:pPr>
            <w:r>
              <w:rPr>
                <w:sz w:val="17"/>
                <w:szCs w:val="17"/>
                <w:spacing w:val="-2"/>
              </w:rPr>
              <w:t>426</w:t>
            </w:r>
          </w:p>
        </w:tc>
        <w:tc>
          <w:tcPr>
            <w:tcW w:w="1299" w:type="dxa"/>
            <w:vAlign w:val="top"/>
          </w:tcPr>
          <w:p>
            <w:pPr>
              <w:pStyle w:val="TableText"/>
              <w:ind w:left="380"/>
              <w:spacing w:before="230" w:line="219" w:lineRule="auto"/>
              <w:rPr>
                <w:sz w:val="17"/>
                <w:szCs w:val="17"/>
              </w:rPr>
            </w:pPr>
            <w:r>
              <w:rPr>
                <w:sz w:val="17"/>
                <w:szCs w:val="17"/>
                <w:spacing w:val="-3"/>
              </w:rPr>
              <w:t>商务部</w:t>
            </w:r>
          </w:p>
        </w:tc>
        <w:tc>
          <w:tcPr>
            <w:tcW w:w="1638" w:type="dxa"/>
            <w:vAlign w:val="top"/>
          </w:tcPr>
          <w:p>
            <w:pPr>
              <w:pStyle w:val="TableText"/>
              <w:ind w:left="62" w:right="43"/>
              <w:spacing w:before="149" w:line="219" w:lineRule="auto"/>
              <w:rPr>
                <w:sz w:val="17"/>
                <w:szCs w:val="17"/>
              </w:rPr>
            </w:pPr>
            <w:r>
              <w:rPr>
                <w:sz w:val="17"/>
                <w:szCs w:val="17"/>
                <w:spacing w:val="-1"/>
              </w:rPr>
              <w:t>直销企业及其分支精</w:t>
            </w:r>
            <w:r>
              <w:rPr>
                <w:sz w:val="17"/>
                <w:szCs w:val="17"/>
              </w:rPr>
              <w:t xml:space="preserve"> </w:t>
            </w:r>
            <w:r>
              <w:rPr>
                <w:sz w:val="17"/>
                <w:szCs w:val="17"/>
                <w:spacing w:val="-1"/>
              </w:rPr>
              <w:t>构设立，变更审我</w:t>
            </w:r>
          </w:p>
        </w:tc>
        <w:tc>
          <w:tcPr>
            <w:tcW w:w="2377" w:type="dxa"/>
            <w:vAlign w:val="top"/>
          </w:tcPr>
          <w:p>
            <w:pPr>
              <w:pStyle w:val="TableText"/>
              <w:ind w:left="64" w:right="28" w:hanging="10"/>
              <w:spacing w:before="160" w:line="207" w:lineRule="auto"/>
              <w:rPr>
                <w:sz w:val="17"/>
                <w:szCs w:val="17"/>
              </w:rPr>
            </w:pPr>
            <w:r>
              <w:rPr>
                <w:sz w:val="17"/>
                <w:szCs w:val="17"/>
                <w:spacing w:val="-1"/>
              </w:rPr>
              <w:t>商芳部(诈在时且求市场监登总</w:t>
            </w:r>
            <w:r>
              <w:rPr>
                <w:sz w:val="17"/>
                <w:szCs w:val="17"/>
                <w:spacing w:val="2"/>
              </w:rPr>
              <w:t xml:space="preserve"> </w:t>
            </w:r>
            <w:r>
              <w:rPr>
                <w:sz w:val="17"/>
                <w:szCs w:val="17"/>
                <w:spacing w:val="-2"/>
              </w:rPr>
              <w:t>局意见</w:t>
            </w:r>
          </w:p>
        </w:tc>
        <w:tc>
          <w:tcPr>
            <w:tcW w:w="3711" w:type="dxa"/>
            <w:vAlign w:val="top"/>
          </w:tcPr>
          <w:p>
            <w:pPr>
              <w:pStyle w:val="TableText"/>
              <w:spacing w:before="228" w:line="219" w:lineRule="auto"/>
              <w:rPr>
                <w:sz w:val="17"/>
                <w:szCs w:val="17"/>
              </w:rPr>
            </w:pPr>
            <w:r>
              <w:rPr>
                <w:sz w:val="17"/>
                <w:szCs w:val="17"/>
                <w:spacing w:val="-5"/>
              </w:rPr>
              <w:t>《直命管理条偶》</w:t>
            </w:r>
          </w:p>
        </w:tc>
      </w:tr>
      <w:tr>
        <w:trPr>
          <w:trHeight w:val="639" w:hRule="atLeast"/>
        </w:trPr>
        <w:tc>
          <w:tcPr>
            <w:tcW w:w="574" w:type="dxa"/>
            <w:vAlign w:val="top"/>
          </w:tcPr>
          <w:p>
            <w:pPr>
              <w:pStyle w:val="TableText"/>
              <w:ind w:left="144"/>
              <w:spacing w:before="284" w:line="183" w:lineRule="auto"/>
              <w:rPr>
                <w:sz w:val="17"/>
                <w:szCs w:val="17"/>
              </w:rPr>
            </w:pPr>
            <w:r>
              <w:rPr>
                <w:sz w:val="17"/>
                <w:szCs w:val="17"/>
                <w:spacing w:val="-2"/>
              </w:rPr>
              <w:t>427</w:t>
            </w:r>
          </w:p>
        </w:tc>
        <w:tc>
          <w:tcPr>
            <w:tcW w:w="1299" w:type="dxa"/>
            <w:vAlign w:val="top"/>
          </w:tcPr>
          <w:p>
            <w:pPr>
              <w:pStyle w:val="TableText"/>
              <w:ind w:left="380"/>
              <w:spacing w:before="241" w:line="219" w:lineRule="auto"/>
              <w:rPr>
                <w:sz w:val="17"/>
                <w:szCs w:val="17"/>
              </w:rPr>
            </w:pPr>
            <w:r>
              <w:rPr>
                <w:sz w:val="17"/>
                <w:szCs w:val="17"/>
                <w:spacing w:val="-3"/>
              </w:rPr>
              <w:t>商务雄</w:t>
            </w:r>
          </w:p>
        </w:tc>
        <w:tc>
          <w:tcPr>
            <w:tcW w:w="1638" w:type="dxa"/>
            <w:vAlign w:val="top"/>
          </w:tcPr>
          <w:p>
            <w:pPr>
              <w:pStyle w:val="TableText"/>
              <w:ind w:left="62" w:right="41"/>
              <w:spacing w:before="159" w:line="214" w:lineRule="auto"/>
              <w:rPr>
                <w:sz w:val="17"/>
                <w:szCs w:val="17"/>
              </w:rPr>
            </w:pPr>
            <w:r>
              <w:rPr>
                <w:sz w:val="17"/>
                <w:szCs w:val="17"/>
                <w:spacing w:val="-1"/>
              </w:rPr>
              <w:t>报度机动主同收企界</w:t>
            </w:r>
            <w:r>
              <w:rPr>
                <w:sz w:val="17"/>
                <w:szCs w:val="17"/>
                <w:spacing w:val="2"/>
              </w:rPr>
              <w:t xml:space="preserve"> </w:t>
            </w:r>
            <w:r>
              <w:rPr>
                <w:sz w:val="17"/>
                <w:szCs w:val="17"/>
                <w:spacing w:val="2"/>
              </w:rPr>
              <w:t>资质认定</w:t>
            </w:r>
          </w:p>
        </w:tc>
        <w:tc>
          <w:tcPr>
            <w:tcW w:w="2377" w:type="dxa"/>
            <w:vAlign w:val="top"/>
          </w:tcPr>
          <w:p>
            <w:pPr>
              <w:pStyle w:val="TableText"/>
              <w:ind w:left="64" w:right="82" w:firstLine="19"/>
              <w:spacing w:before="150" w:line="224" w:lineRule="auto"/>
              <w:rPr>
                <w:sz w:val="17"/>
                <w:szCs w:val="17"/>
              </w:rPr>
            </w:pPr>
            <w:r>
              <w:rPr>
                <w:sz w:val="17"/>
                <w:szCs w:val="17"/>
                <w:spacing w:val="-1"/>
              </w:rPr>
              <w:t>省级改府值责激改机动事回收</w:t>
            </w:r>
            <w:r>
              <w:rPr>
                <w:sz w:val="17"/>
                <w:szCs w:val="17"/>
                <w:spacing w:val="2"/>
              </w:rPr>
              <w:t xml:space="preserve"> </w:t>
            </w:r>
            <w:r>
              <w:rPr>
                <w:sz w:val="17"/>
                <w:szCs w:val="17"/>
                <w:spacing w:val="3"/>
              </w:rPr>
              <w:t>管理的部门</w:t>
            </w:r>
          </w:p>
        </w:tc>
        <w:tc>
          <w:tcPr>
            <w:tcW w:w="3711" w:type="dxa"/>
            <w:vAlign w:val="top"/>
          </w:tcPr>
          <w:p>
            <w:pPr>
              <w:pStyle w:val="TableText"/>
              <w:ind w:left="56"/>
              <w:spacing w:before="239" w:line="219" w:lineRule="auto"/>
              <w:rPr>
                <w:sz w:val="17"/>
                <w:szCs w:val="17"/>
              </w:rPr>
            </w:pPr>
            <w:r>
              <w:rPr>
                <w:sz w:val="17"/>
                <w:szCs w:val="17"/>
                <w:spacing w:val="2"/>
              </w:rPr>
              <w:t>(权废机动车回收置理办陆)</w:t>
            </w:r>
          </w:p>
        </w:tc>
      </w:tr>
      <w:tr>
        <w:trPr>
          <w:trHeight w:val="639" w:hRule="atLeast"/>
        </w:trPr>
        <w:tc>
          <w:tcPr>
            <w:tcW w:w="574" w:type="dxa"/>
            <w:vAlign w:val="top"/>
          </w:tcPr>
          <w:p>
            <w:pPr>
              <w:pStyle w:val="TableText"/>
              <w:ind w:left="144"/>
              <w:spacing w:before="285" w:line="183" w:lineRule="auto"/>
              <w:rPr>
                <w:sz w:val="17"/>
                <w:szCs w:val="17"/>
              </w:rPr>
            </w:pPr>
            <w:r>
              <w:rPr>
                <w:sz w:val="17"/>
                <w:szCs w:val="17"/>
                <w:spacing w:val="-2"/>
              </w:rPr>
              <w:t>428</w:t>
            </w:r>
          </w:p>
        </w:tc>
        <w:tc>
          <w:tcPr>
            <w:tcW w:w="1299" w:type="dxa"/>
            <w:vAlign w:val="top"/>
          </w:tcPr>
          <w:p>
            <w:pPr>
              <w:pStyle w:val="TableText"/>
              <w:ind w:left="380"/>
              <w:spacing w:before="242" w:line="219" w:lineRule="auto"/>
              <w:rPr>
                <w:sz w:val="17"/>
                <w:szCs w:val="17"/>
              </w:rPr>
            </w:pPr>
            <w:r>
              <w:rPr>
                <w:sz w:val="17"/>
                <w:szCs w:val="17"/>
                <w:spacing w:val="-3"/>
              </w:rPr>
              <w:t>商务部</w:t>
            </w:r>
          </w:p>
        </w:tc>
        <w:tc>
          <w:tcPr>
            <w:tcW w:w="1638" w:type="dxa"/>
            <w:vAlign w:val="top"/>
          </w:tcPr>
          <w:p>
            <w:pPr>
              <w:pStyle w:val="TableText"/>
              <w:ind w:left="62" w:right="53" w:hanging="10"/>
              <w:spacing w:before="162" w:line="212" w:lineRule="auto"/>
              <w:rPr>
                <w:sz w:val="17"/>
                <w:szCs w:val="17"/>
              </w:rPr>
            </w:pPr>
            <w:r>
              <w:rPr>
                <w:sz w:val="17"/>
                <w:szCs w:val="17"/>
                <w:spacing w:val="-1"/>
              </w:rPr>
              <w:t>顺品仙零售经常资华</w:t>
            </w:r>
            <w:r>
              <w:rPr>
                <w:sz w:val="17"/>
                <w:szCs w:val="17"/>
              </w:rPr>
              <w:t xml:space="preserve"> </w:t>
            </w:r>
            <w:r>
              <w:rPr>
                <w:sz w:val="17"/>
                <w:szCs w:val="17"/>
                <w:spacing w:val="6"/>
              </w:rPr>
              <w:t>审章</w:t>
            </w:r>
          </w:p>
        </w:tc>
        <w:tc>
          <w:tcPr>
            <w:tcW w:w="2377" w:type="dxa"/>
            <w:vAlign w:val="top"/>
          </w:tcPr>
          <w:p>
            <w:pPr>
              <w:pStyle w:val="TableText"/>
              <w:ind w:left="64"/>
              <w:spacing w:before="240" w:line="219" w:lineRule="auto"/>
              <w:rPr>
                <w:sz w:val="17"/>
                <w:szCs w:val="17"/>
              </w:rPr>
            </w:pPr>
            <w:r>
              <w:rPr>
                <w:sz w:val="17"/>
                <w:szCs w:val="17"/>
                <w:spacing w:val="1"/>
              </w:rPr>
              <w:t>设区的市级改府指定越门</w:t>
            </w:r>
          </w:p>
        </w:tc>
        <w:tc>
          <w:tcPr>
            <w:tcW w:w="3711" w:type="dxa"/>
            <w:vAlign w:val="top"/>
          </w:tcPr>
          <w:p>
            <w:pPr>
              <w:pStyle w:val="TableText"/>
              <w:ind w:left="93" w:right="13" w:hanging="94"/>
              <w:spacing w:before="140" w:line="219" w:lineRule="auto"/>
              <w:rPr>
                <w:sz w:val="17"/>
                <w:szCs w:val="17"/>
              </w:rPr>
            </w:pPr>
            <w:r>
              <w:rPr>
                <w:sz w:val="17"/>
                <w:szCs w:val="17"/>
                <w:spacing w:val="-3"/>
              </w:rPr>
              <w:t>《国务装对确青保值的行致审批项目设定右政许可</w:t>
            </w:r>
            <w:r>
              <w:rPr>
                <w:sz w:val="17"/>
                <w:szCs w:val="17"/>
                <w:spacing w:val="12"/>
              </w:rPr>
              <w:t xml:space="preserve"> </w:t>
            </w:r>
            <w:r>
              <w:rPr>
                <w:sz w:val="17"/>
                <w:szCs w:val="17"/>
                <w:spacing w:val="1"/>
              </w:rPr>
              <w:t>的决定</w:t>
            </w:r>
          </w:p>
        </w:tc>
      </w:tr>
      <w:tr>
        <w:trPr>
          <w:trHeight w:val="629" w:hRule="atLeast"/>
        </w:trPr>
        <w:tc>
          <w:tcPr>
            <w:tcW w:w="574" w:type="dxa"/>
            <w:vAlign w:val="top"/>
          </w:tcPr>
          <w:p>
            <w:pPr>
              <w:pStyle w:val="TableText"/>
              <w:ind w:left="144"/>
              <w:spacing w:before="276" w:line="183" w:lineRule="auto"/>
              <w:rPr>
                <w:sz w:val="17"/>
                <w:szCs w:val="17"/>
              </w:rPr>
            </w:pPr>
            <w:r>
              <w:rPr>
                <w:sz w:val="17"/>
                <w:szCs w:val="17"/>
                <w:spacing w:val="-2"/>
              </w:rPr>
              <w:t>*2P</w:t>
            </w:r>
          </w:p>
        </w:tc>
        <w:tc>
          <w:tcPr>
            <w:tcW w:w="1299" w:type="dxa"/>
            <w:vAlign w:val="top"/>
          </w:tcPr>
          <w:p>
            <w:pPr>
              <w:pStyle w:val="TableText"/>
              <w:ind w:left="380"/>
              <w:spacing w:before="233" w:line="219" w:lineRule="auto"/>
              <w:rPr>
                <w:sz w:val="17"/>
                <w:szCs w:val="17"/>
              </w:rPr>
            </w:pPr>
            <w:r>
              <w:rPr>
                <w:sz w:val="17"/>
                <w:szCs w:val="17"/>
                <w:spacing w:val="-3"/>
              </w:rPr>
              <w:t>商考都</w:t>
            </w:r>
          </w:p>
        </w:tc>
        <w:tc>
          <w:tcPr>
            <w:tcW w:w="1638" w:type="dxa"/>
            <w:vAlign w:val="top"/>
          </w:tcPr>
          <w:p>
            <w:pPr>
              <w:pStyle w:val="TableText"/>
              <w:ind w:left="62"/>
              <w:spacing w:before="233" w:line="220" w:lineRule="auto"/>
              <w:rPr>
                <w:sz w:val="17"/>
                <w:szCs w:val="17"/>
              </w:rPr>
            </w:pPr>
            <w:r>
              <w:rPr>
                <w:sz w:val="17"/>
                <w:szCs w:val="17"/>
                <w:spacing w:val="-1"/>
              </w:rPr>
              <w:t>从事拍卖业各许可</w:t>
            </w:r>
          </w:p>
        </w:tc>
        <w:tc>
          <w:tcPr>
            <w:tcW w:w="2377" w:type="dxa"/>
            <w:vAlign w:val="top"/>
          </w:tcPr>
          <w:p>
            <w:pPr>
              <w:pStyle w:val="TableText"/>
              <w:ind w:left="64"/>
              <w:spacing w:before="141" w:line="219" w:lineRule="auto"/>
              <w:rPr>
                <w:sz w:val="17"/>
                <w:szCs w:val="17"/>
              </w:rPr>
            </w:pPr>
            <w:r>
              <w:rPr>
                <w:sz w:val="17"/>
                <w:szCs w:val="17"/>
                <w:spacing w:val="-6"/>
              </w:rPr>
              <w:t>青理育务部门《由设风能市级直</w:t>
            </w:r>
            <w:r>
              <w:rPr>
                <w:sz w:val="17"/>
                <w:szCs w:val="17"/>
                <w:spacing w:val="5"/>
              </w:rPr>
              <w:t xml:space="preserve"> </w:t>
            </w:r>
            <w:r>
              <w:rPr>
                <w:sz w:val="17"/>
                <w:szCs w:val="17"/>
                <w:spacing w:val="5"/>
              </w:rPr>
              <w:t>务部门受理)</w:t>
            </w:r>
          </w:p>
        </w:tc>
        <w:tc>
          <w:tcPr>
            <w:tcW w:w="3711" w:type="dxa"/>
            <w:vAlign w:val="top"/>
          </w:tcPr>
          <w:p>
            <w:pPr>
              <w:pStyle w:val="TableText"/>
              <w:ind w:left="56"/>
              <w:spacing w:before="143" w:line="206" w:lineRule="auto"/>
              <w:rPr>
                <w:sz w:val="17"/>
                <w:szCs w:val="17"/>
              </w:rPr>
            </w:pPr>
            <w:r>
              <w:rPr>
                <w:sz w:val="17"/>
                <w:szCs w:val="17"/>
              </w:rPr>
              <w:t>中单人民共和国担卖法</w:t>
            </w:r>
          </w:p>
          <w:p>
            <w:pPr>
              <w:pStyle w:val="TableText"/>
              <w:ind w:left="56"/>
              <w:spacing w:line="219" w:lineRule="auto"/>
              <w:rPr>
                <w:sz w:val="17"/>
                <w:szCs w:val="17"/>
              </w:rPr>
            </w:pPr>
            <w:r>
              <w:rPr>
                <w:sz w:val="17"/>
                <w:szCs w:val="17"/>
                <w:spacing w:val="-1"/>
              </w:rPr>
              <w:t>(拍卖管理办造》</w:t>
            </w:r>
          </w:p>
        </w:tc>
      </w:tr>
      <w:tr>
        <w:trPr>
          <w:trHeight w:val="639" w:hRule="atLeast"/>
        </w:trPr>
        <w:tc>
          <w:tcPr>
            <w:tcW w:w="574" w:type="dxa"/>
            <w:vAlign w:val="top"/>
          </w:tcPr>
          <w:p>
            <w:pPr>
              <w:pStyle w:val="TableText"/>
              <w:ind w:left="144"/>
              <w:spacing w:before="287" w:line="183" w:lineRule="auto"/>
              <w:rPr>
                <w:sz w:val="17"/>
                <w:szCs w:val="17"/>
              </w:rPr>
            </w:pPr>
            <w:r>
              <w:rPr>
                <w:sz w:val="17"/>
                <w:szCs w:val="17"/>
                <w:spacing w:val="-2"/>
              </w:rPr>
              <w:t>430</w:t>
            </w:r>
          </w:p>
        </w:tc>
        <w:tc>
          <w:tcPr>
            <w:tcW w:w="1299" w:type="dxa"/>
            <w:vAlign w:val="top"/>
          </w:tcPr>
          <w:p>
            <w:pPr>
              <w:pStyle w:val="TableText"/>
              <w:ind w:left="380"/>
              <w:spacing w:before="244" w:line="219" w:lineRule="auto"/>
              <w:rPr>
                <w:sz w:val="17"/>
                <w:szCs w:val="17"/>
              </w:rPr>
            </w:pPr>
            <w:r>
              <w:rPr>
                <w:sz w:val="17"/>
                <w:szCs w:val="17"/>
                <w:spacing w:val="-2"/>
              </w:rPr>
              <w:t>南务部</w:t>
            </w:r>
          </w:p>
        </w:tc>
        <w:tc>
          <w:tcPr>
            <w:tcW w:w="1638" w:type="dxa"/>
            <w:vAlign w:val="top"/>
          </w:tcPr>
          <w:p>
            <w:pPr>
              <w:pStyle w:val="TableText"/>
              <w:ind w:left="62"/>
              <w:spacing w:before="244" w:line="219" w:lineRule="auto"/>
              <w:rPr>
                <w:sz w:val="17"/>
                <w:szCs w:val="17"/>
              </w:rPr>
            </w:pPr>
            <w:r>
              <w:rPr>
                <w:sz w:val="17"/>
                <w:szCs w:val="17"/>
                <w:spacing w:val="1"/>
              </w:rPr>
              <w:t>怕业伸职业贸格认定</w:t>
            </w:r>
          </w:p>
        </w:tc>
        <w:tc>
          <w:tcPr>
            <w:tcW w:w="2377" w:type="dxa"/>
            <w:vAlign w:val="top"/>
          </w:tcPr>
          <w:p>
            <w:pPr>
              <w:pStyle w:val="TableText"/>
              <w:ind w:left="64"/>
              <w:spacing w:before="244" w:line="220" w:lineRule="auto"/>
              <w:rPr>
                <w:sz w:val="17"/>
                <w:szCs w:val="17"/>
              </w:rPr>
            </w:pPr>
            <w:r>
              <w:rPr>
                <w:sz w:val="17"/>
                <w:szCs w:val="17"/>
                <w:spacing w:val="1"/>
              </w:rPr>
              <w:t>中偿怕卖行业协套</w:t>
            </w:r>
          </w:p>
        </w:tc>
        <w:tc>
          <w:tcPr>
            <w:tcW w:w="3711" w:type="dxa"/>
            <w:vAlign w:val="top"/>
          </w:tcPr>
          <w:p>
            <w:pPr>
              <w:pStyle w:val="TableText"/>
              <w:ind w:left="56"/>
              <w:spacing w:before="142" w:line="219" w:lineRule="auto"/>
              <w:rPr>
                <w:sz w:val="17"/>
                <w:szCs w:val="17"/>
              </w:rPr>
            </w:pPr>
            <w:r>
              <w:rPr>
                <w:sz w:val="17"/>
                <w:szCs w:val="17"/>
              </w:rPr>
              <w:t>(中华人民共和国牺卖冰</w:t>
            </w:r>
          </w:p>
          <w:p>
            <w:pPr>
              <w:pStyle w:val="TableText"/>
              <w:spacing w:before="9" w:line="219" w:lineRule="auto"/>
              <w:rPr>
                <w:sz w:val="17"/>
                <w:szCs w:val="17"/>
              </w:rPr>
            </w:pPr>
            <w:r>
              <w:rPr>
                <w:sz w:val="17"/>
                <w:szCs w:val="17"/>
                <w:spacing w:val="-2"/>
              </w:rPr>
              <w:t>《团家职业资路自果(2U21年年))</w:t>
            </w:r>
          </w:p>
        </w:tc>
      </w:tr>
      <w:tr>
        <w:trPr>
          <w:trHeight w:val="829" w:hRule="atLeast"/>
        </w:trPr>
        <w:tc>
          <w:tcPr>
            <w:tcW w:w="574" w:type="dxa"/>
            <w:vAlign w:val="top"/>
          </w:tcPr>
          <w:p>
            <w:pPr>
              <w:spacing w:line="320" w:lineRule="auto"/>
              <w:rPr>
                <w:rFonts w:ascii="Arial"/>
                <w:sz w:val="21"/>
              </w:rPr>
            </w:pPr>
            <w:r/>
          </w:p>
          <w:p>
            <w:pPr>
              <w:pStyle w:val="TableText"/>
              <w:ind w:left="144"/>
              <w:spacing w:before="56" w:line="184" w:lineRule="auto"/>
              <w:rPr>
                <w:sz w:val="17"/>
                <w:szCs w:val="17"/>
              </w:rPr>
            </w:pPr>
            <w:r>
              <w:rPr>
                <w:sz w:val="17"/>
                <w:szCs w:val="17"/>
                <w:spacing w:val="-2"/>
              </w:rPr>
              <w:t>431</w:t>
            </w:r>
          </w:p>
        </w:tc>
        <w:tc>
          <w:tcPr>
            <w:tcW w:w="1299" w:type="dxa"/>
            <w:vAlign w:val="top"/>
          </w:tcPr>
          <w:p>
            <w:pPr>
              <w:spacing w:line="278" w:lineRule="auto"/>
              <w:rPr>
                <w:rFonts w:ascii="Arial"/>
                <w:sz w:val="21"/>
              </w:rPr>
            </w:pPr>
            <w:r/>
          </w:p>
          <w:p>
            <w:pPr>
              <w:pStyle w:val="TableText"/>
              <w:ind w:left="380"/>
              <w:spacing w:before="55" w:line="219" w:lineRule="auto"/>
              <w:rPr>
                <w:sz w:val="17"/>
                <w:szCs w:val="17"/>
              </w:rPr>
            </w:pPr>
            <w:r>
              <w:rPr>
                <w:sz w:val="17"/>
                <w:szCs w:val="17"/>
                <w:spacing w:val="-3"/>
              </w:rPr>
              <w:t>商务部</w:t>
            </w:r>
          </w:p>
        </w:tc>
        <w:tc>
          <w:tcPr>
            <w:tcW w:w="1638" w:type="dxa"/>
            <w:vAlign w:val="top"/>
          </w:tcPr>
          <w:p>
            <w:pPr>
              <w:pStyle w:val="TableText"/>
              <w:ind w:left="62" w:right="25" w:hanging="10"/>
              <w:spacing w:before="244" w:line="219" w:lineRule="auto"/>
              <w:rPr>
                <w:sz w:val="17"/>
                <w:szCs w:val="17"/>
              </w:rPr>
            </w:pPr>
            <w:r>
              <w:rPr>
                <w:sz w:val="17"/>
                <w:szCs w:val="17"/>
                <w:spacing w:val="2"/>
              </w:rPr>
              <w:t>限制建出日货物进出</w:t>
            </w:r>
            <w:r>
              <w:rPr>
                <w:sz w:val="17"/>
                <w:szCs w:val="17"/>
                <w:spacing w:val="1"/>
              </w:rPr>
              <w:t xml:space="preserve"> </w:t>
            </w:r>
            <w:r>
              <w:rPr>
                <w:sz w:val="17"/>
                <w:szCs w:val="17"/>
                <w:spacing w:val="7"/>
              </w:rPr>
              <w:t>日许司</w:t>
            </w:r>
          </w:p>
        </w:tc>
        <w:tc>
          <w:tcPr>
            <w:tcW w:w="2377" w:type="dxa"/>
            <w:vAlign w:val="top"/>
          </w:tcPr>
          <w:p>
            <w:pPr>
              <w:pStyle w:val="TableText"/>
              <w:ind w:left="64" w:right="7" w:firstLine="10"/>
              <w:spacing w:before="134" w:line="229" w:lineRule="auto"/>
              <w:rPr>
                <w:sz w:val="17"/>
                <w:szCs w:val="17"/>
              </w:rPr>
            </w:pPr>
            <w:r>
              <w:rPr>
                <w:sz w:val="17"/>
                <w:szCs w:val="17"/>
                <w:spacing w:val="-1"/>
              </w:rPr>
              <w:t>前务部(部分事项更托省统，剥</w:t>
            </w:r>
            <w:r>
              <w:rPr>
                <w:sz w:val="17"/>
                <w:szCs w:val="17"/>
                <w:spacing w:val="3"/>
              </w:rPr>
              <w:t xml:space="preserve"> </w:t>
            </w:r>
            <w:r>
              <w:rPr>
                <w:sz w:val="17"/>
                <w:szCs w:val="17"/>
              </w:rPr>
              <w:t>省题装市南冬都门实德为商务  </w:t>
            </w:r>
            <w:r>
              <w:rPr>
                <w:sz w:val="17"/>
                <w:szCs w:val="17"/>
                <w:spacing w:val="-2"/>
              </w:rPr>
              <w:t>部驻操方特露办</w:t>
            </w:r>
          </w:p>
        </w:tc>
        <w:tc>
          <w:tcPr>
            <w:tcW w:w="3711" w:type="dxa"/>
            <w:vAlign w:val="top"/>
          </w:tcPr>
          <w:p>
            <w:pPr>
              <w:pStyle w:val="TableText"/>
              <w:spacing w:before="244" w:line="217" w:lineRule="auto"/>
              <w:rPr>
                <w:sz w:val="17"/>
                <w:szCs w:val="17"/>
              </w:rPr>
            </w:pPr>
            <w:r>
              <w:rPr>
                <w:sz w:val="17"/>
                <w:szCs w:val="17"/>
                <w:spacing w:val="-2"/>
              </w:rPr>
              <w:t>《中华人民共和隔对外算易法：</w:t>
            </w:r>
          </w:p>
          <w:p>
            <w:pPr>
              <w:pStyle w:val="TableText"/>
              <w:ind w:left="56"/>
              <w:spacing w:line="218" w:lineRule="auto"/>
              <w:rPr>
                <w:sz w:val="17"/>
                <w:szCs w:val="17"/>
              </w:rPr>
            </w:pPr>
            <w:r>
              <w:rPr>
                <w:sz w:val="17"/>
                <w:szCs w:val="17"/>
              </w:rPr>
              <w:t>中学人民共和国货物进出口登理条例1</w:t>
            </w:r>
          </w:p>
        </w:tc>
      </w:tr>
      <w:tr>
        <w:trPr>
          <w:trHeight w:val="694" w:hRule="atLeast"/>
        </w:trPr>
        <w:tc>
          <w:tcPr>
            <w:tcW w:w="574" w:type="dxa"/>
            <w:vAlign w:val="top"/>
          </w:tcPr>
          <w:p>
            <w:pPr>
              <w:spacing w:line="253" w:lineRule="auto"/>
              <w:rPr>
                <w:rFonts w:ascii="Arial"/>
                <w:sz w:val="21"/>
              </w:rPr>
            </w:pPr>
            <w:r/>
          </w:p>
          <w:p>
            <w:pPr>
              <w:pStyle w:val="TableText"/>
              <w:ind w:left="144"/>
              <w:spacing w:before="55" w:line="183" w:lineRule="auto"/>
              <w:rPr>
                <w:sz w:val="17"/>
                <w:szCs w:val="17"/>
              </w:rPr>
            </w:pPr>
            <w:r>
              <w:rPr>
                <w:sz w:val="17"/>
                <w:szCs w:val="17"/>
                <w:spacing w:val="-2"/>
              </w:rPr>
              <w:t>432</w:t>
            </w:r>
          </w:p>
        </w:tc>
        <w:tc>
          <w:tcPr>
            <w:tcW w:w="1299" w:type="dxa"/>
            <w:vAlign w:val="top"/>
          </w:tcPr>
          <w:p>
            <w:pPr>
              <w:pStyle w:val="TableText"/>
              <w:ind w:left="380"/>
              <w:spacing w:before="266" w:line="219" w:lineRule="auto"/>
              <w:rPr>
                <w:sz w:val="17"/>
                <w:szCs w:val="17"/>
              </w:rPr>
            </w:pPr>
            <w:r>
              <w:rPr>
                <w:sz w:val="17"/>
                <w:szCs w:val="17"/>
                <w:spacing w:val="-3"/>
              </w:rPr>
              <w:t>商务都</w:t>
            </w:r>
          </w:p>
        </w:tc>
        <w:tc>
          <w:tcPr>
            <w:tcW w:w="1638" w:type="dxa"/>
            <w:vAlign w:val="top"/>
          </w:tcPr>
          <w:p>
            <w:pPr>
              <w:pStyle w:val="TableText"/>
              <w:ind w:left="62" w:right="25" w:hanging="10"/>
              <w:spacing w:before="176" w:line="208" w:lineRule="auto"/>
              <w:rPr>
                <w:sz w:val="17"/>
                <w:szCs w:val="17"/>
              </w:rPr>
            </w:pPr>
            <w:r>
              <w:rPr>
                <w:sz w:val="17"/>
                <w:szCs w:val="17"/>
                <w:spacing w:val="2"/>
              </w:rPr>
              <w:t>限制进出口技系进出</w:t>
            </w:r>
            <w:r>
              <w:rPr>
                <w:sz w:val="17"/>
                <w:szCs w:val="17"/>
                <w:spacing w:val="1"/>
              </w:rPr>
              <w:t xml:space="preserve"> </w:t>
            </w:r>
            <w:r>
              <w:rPr>
                <w:sz w:val="17"/>
                <w:szCs w:val="17"/>
                <w:spacing w:val="2"/>
              </w:rPr>
              <w:t>口许可</w:t>
            </w:r>
          </w:p>
        </w:tc>
        <w:tc>
          <w:tcPr>
            <w:tcW w:w="2377" w:type="dxa"/>
            <w:vAlign w:val="top"/>
          </w:tcPr>
          <w:p>
            <w:pPr>
              <w:pStyle w:val="TableText"/>
              <w:ind w:left="64" w:firstLine="19"/>
              <w:spacing w:before="164" w:line="229" w:lineRule="auto"/>
              <w:rPr>
                <w:sz w:val="17"/>
                <w:szCs w:val="17"/>
              </w:rPr>
            </w:pPr>
            <w:r>
              <w:rPr>
                <w:sz w:val="17"/>
                <w:szCs w:val="17"/>
                <w:spacing w:val="-7"/>
              </w:rPr>
              <w:t>省级商务部门，省级商务器门全</w:t>
            </w:r>
            <w:r>
              <w:rPr>
                <w:sz w:val="17"/>
                <w:szCs w:val="17"/>
              </w:rPr>
              <w:t xml:space="preserve"> </w:t>
            </w:r>
            <w:r>
              <w:rPr>
                <w:sz w:val="17"/>
                <w:szCs w:val="17"/>
                <w:spacing w:val="2"/>
              </w:rPr>
              <w:t>同省级科技部门</w:t>
            </w:r>
          </w:p>
        </w:tc>
        <w:tc>
          <w:tcPr>
            <w:tcW w:w="3711" w:type="dxa"/>
            <w:vAlign w:val="top"/>
          </w:tcPr>
          <w:p>
            <w:pPr>
              <w:pStyle w:val="TableText"/>
              <w:spacing w:before="176" w:line="219" w:lineRule="auto"/>
              <w:rPr>
                <w:sz w:val="17"/>
                <w:szCs w:val="17"/>
              </w:rPr>
            </w:pPr>
            <w:r>
              <w:rPr>
                <w:sz w:val="17"/>
                <w:szCs w:val="17"/>
                <w:spacing w:val="4"/>
              </w:rPr>
              <w:t>【中华人民共和国动外置易盐</w:t>
            </w:r>
          </w:p>
          <w:p>
            <w:pPr>
              <w:pStyle w:val="TableText"/>
              <w:ind w:left="56"/>
              <w:spacing w:before="17" w:line="219" w:lineRule="auto"/>
              <w:rPr>
                <w:sz w:val="17"/>
                <w:szCs w:val="17"/>
              </w:rPr>
            </w:pPr>
            <w:r>
              <w:rPr>
                <w:sz w:val="17"/>
                <w:szCs w:val="17"/>
                <w:spacing w:val="-1"/>
              </w:rPr>
              <w:t>K中作人业先和国技不连出口管理每剂</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6918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256" name="TextBox 256"/>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8" style="position:absolute;margin-left:37.0402pt;margin-top:344.638pt;mso-position-vertical-relative:page;mso-position-horizontal-relative:page;width:13.6pt;height:12.35pt;z-index:2518691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209</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01"/>
      </w:tblGrid>
      <w:tr>
        <w:trPr>
          <w:trHeight w:val="414" w:hRule="atLeast"/>
        </w:trPr>
        <w:tc>
          <w:tcPr>
            <w:tcW w:w="594" w:type="dxa"/>
            <w:vAlign w:val="top"/>
          </w:tcPr>
          <w:p>
            <w:pPr>
              <w:pStyle w:val="TableText"/>
              <w:ind w:left="114"/>
              <w:spacing w:before="122" w:line="221" w:lineRule="auto"/>
              <w:rPr>
                <w:sz w:val="17"/>
                <w:szCs w:val="17"/>
              </w:rPr>
            </w:pPr>
            <w:r>
              <w:rPr>
                <w:sz w:val="17"/>
                <w:szCs w:val="17"/>
                <w:spacing w:val="-2"/>
              </w:rPr>
              <w:t>序号</w:t>
            </w:r>
          </w:p>
        </w:tc>
        <w:tc>
          <w:tcPr>
            <w:tcW w:w="1279" w:type="dxa"/>
            <w:vAlign w:val="top"/>
          </w:tcPr>
          <w:p>
            <w:pPr>
              <w:pStyle w:val="TableText"/>
              <w:ind w:left="120"/>
              <w:spacing w:before="122" w:line="219" w:lineRule="auto"/>
              <w:rPr>
                <w:sz w:val="17"/>
                <w:szCs w:val="17"/>
              </w:rPr>
            </w:pPr>
            <w:r>
              <w:rPr>
                <w:sz w:val="17"/>
                <w:szCs w:val="17"/>
                <w:spacing w:val="3"/>
              </w:rPr>
              <w:t>中央主骨部门</w:t>
            </w:r>
          </w:p>
        </w:tc>
        <w:tc>
          <w:tcPr>
            <w:tcW w:w="1638" w:type="dxa"/>
            <w:vAlign w:val="top"/>
          </w:tcPr>
          <w:p>
            <w:pPr>
              <w:pStyle w:val="TableText"/>
              <w:ind w:left="471"/>
              <w:spacing w:before="122" w:line="220" w:lineRule="auto"/>
              <w:rPr>
                <w:sz w:val="17"/>
                <w:szCs w:val="17"/>
              </w:rPr>
            </w:pPr>
            <w:r>
              <w:rPr>
                <w:sz w:val="17"/>
                <w:szCs w:val="17"/>
                <w:spacing w:val="-2"/>
              </w:rPr>
              <w:t>事填名称</w:t>
            </w:r>
          </w:p>
        </w:tc>
        <w:tc>
          <w:tcPr>
            <w:tcW w:w="2377" w:type="dxa"/>
            <w:vAlign w:val="top"/>
          </w:tcPr>
          <w:p>
            <w:pPr>
              <w:pStyle w:val="TableText"/>
              <w:ind w:left="864"/>
              <w:spacing w:before="120" w:line="219" w:lineRule="auto"/>
              <w:rPr>
                <w:sz w:val="17"/>
                <w:szCs w:val="17"/>
              </w:rPr>
            </w:pPr>
            <w:r>
              <w:rPr>
                <w:sz w:val="17"/>
                <w:szCs w:val="17"/>
                <w:spacing w:val="2"/>
              </w:rPr>
              <w:t>实监机芙</w:t>
            </w:r>
          </w:p>
        </w:tc>
        <w:tc>
          <w:tcPr>
            <w:tcW w:w="3701" w:type="dxa"/>
            <w:vAlign w:val="top"/>
          </w:tcPr>
          <w:p>
            <w:pPr>
              <w:pStyle w:val="TableText"/>
              <w:ind w:left="1289"/>
              <w:spacing w:before="118" w:line="219" w:lineRule="auto"/>
              <w:rPr>
                <w:sz w:val="17"/>
                <w:szCs w:val="17"/>
              </w:rPr>
            </w:pPr>
            <w:r>
              <w:rPr>
                <w:sz w:val="17"/>
                <w:szCs w:val="17"/>
                <w:b/>
                <w:bCs/>
                <w:spacing w:val="-3"/>
              </w:rPr>
              <w:t>没定和要售依据</w:t>
            </w:r>
          </w:p>
        </w:tc>
      </w:tr>
      <w:tr>
        <w:trPr>
          <w:trHeight w:val="2466" w:hRule="atLeast"/>
        </w:trPr>
        <w:tc>
          <w:tcPr>
            <w:tcW w:w="594"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154"/>
              <w:spacing w:before="55" w:line="183" w:lineRule="auto"/>
              <w:rPr>
                <w:sz w:val="17"/>
                <w:szCs w:val="17"/>
              </w:rPr>
            </w:pPr>
            <w:r>
              <w:rPr>
                <w:sz w:val="17"/>
                <w:szCs w:val="17"/>
                <w:spacing w:val="-2"/>
              </w:rPr>
              <w:t>434</w:t>
            </w:r>
          </w:p>
        </w:tc>
        <w:tc>
          <w:tcPr>
            <w:tcW w:w="1279"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70"/>
              <w:spacing w:before="55" w:line="219" w:lineRule="auto"/>
              <w:rPr>
                <w:sz w:val="17"/>
                <w:szCs w:val="17"/>
              </w:rPr>
            </w:pPr>
            <w:r>
              <w:rPr>
                <w:sz w:val="17"/>
                <w:szCs w:val="17"/>
                <w:spacing w:val="-3"/>
              </w:rPr>
              <w:t>商务部</w:t>
            </w:r>
          </w:p>
        </w:tc>
        <w:tc>
          <w:tcPr>
            <w:tcW w:w="1638"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2" w:right="34"/>
              <w:spacing w:before="55" w:line="219" w:lineRule="auto"/>
              <w:rPr>
                <w:sz w:val="17"/>
                <w:szCs w:val="17"/>
              </w:rPr>
            </w:pPr>
            <w:r>
              <w:rPr>
                <w:sz w:val="17"/>
                <w:szCs w:val="17"/>
                <w:spacing w:val="2"/>
              </w:rPr>
              <w:t>两用物项和教术迎山 </w:t>
            </w:r>
            <w:r>
              <w:rPr>
                <w:sz w:val="17"/>
                <w:szCs w:val="17"/>
                <w:spacing w:val="2"/>
              </w:rPr>
              <w:t>口许可</w:t>
            </w:r>
          </w:p>
        </w:tc>
        <w:tc>
          <w:tcPr>
            <w:tcW w:w="2377"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4" w:right="13" w:firstLine="20"/>
              <w:spacing w:before="55" w:line="229" w:lineRule="auto"/>
              <w:rPr>
                <w:sz w:val="17"/>
                <w:szCs w:val="17"/>
              </w:rPr>
            </w:pPr>
            <w:r>
              <w:rPr>
                <w:sz w:val="17"/>
                <w:szCs w:val="17"/>
                <w:spacing w:val="-1"/>
              </w:rPr>
              <w:t>庭务部(部分事项会同国家原子</w:t>
            </w:r>
            <w:r>
              <w:rPr>
                <w:sz w:val="17"/>
                <w:szCs w:val="17"/>
                <w:spacing w:val="7"/>
              </w:rPr>
              <w:t xml:space="preserve"> </w:t>
            </w:r>
            <w:r>
              <w:rPr>
                <w:sz w:val="17"/>
                <w:szCs w:val="17"/>
                <w:spacing w:val="-1"/>
              </w:rPr>
              <w:t>施机构，国家密码具审批</w:t>
            </w:r>
          </w:p>
        </w:tc>
        <w:tc>
          <w:tcPr>
            <w:tcW w:w="3701" w:type="dxa"/>
            <w:vAlign w:val="top"/>
          </w:tcPr>
          <w:p>
            <w:pPr>
              <w:pStyle w:val="TableText"/>
              <w:ind w:left="36"/>
              <w:spacing w:before="67" w:line="217" w:lineRule="auto"/>
              <w:rPr>
                <w:sz w:val="17"/>
                <w:szCs w:val="17"/>
              </w:rPr>
            </w:pPr>
            <w:r>
              <w:rPr>
                <w:sz w:val="17"/>
                <w:szCs w:val="17"/>
                <w:spacing w:val="-1"/>
              </w:rPr>
              <w:t>1中中人民共和国击口营制法》</w:t>
            </w:r>
          </w:p>
          <w:p>
            <w:pPr>
              <w:pStyle w:val="TableText"/>
              <w:ind w:left="36"/>
              <w:spacing w:line="206" w:lineRule="auto"/>
              <w:rPr>
                <w:sz w:val="17"/>
                <w:szCs w:val="17"/>
              </w:rPr>
            </w:pPr>
            <w:r>
              <w:rPr>
                <w:sz w:val="17"/>
                <w:szCs w:val="17"/>
                <w:spacing w:val="-1"/>
              </w:rPr>
              <w:t>4中华人民其和国写外贸县征》</w:t>
            </w:r>
          </w:p>
          <w:p>
            <w:pPr>
              <w:pStyle w:val="TableText"/>
              <w:ind w:left="36"/>
              <w:spacing w:before="10" w:line="206" w:lineRule="auto"/>
              <w:rPr>
                <w:sz w:val="17"/>
                <w:szCs w:val="17"/>
              </w:rPr>
            </w:pPr>
            <w:r>
              <w:rPr>
                <w:sz w:val="17"/>
                <w:szCs w:val="17"/>
              </w:rPr>
              <w:t>1中华人民共和训密码法</w:t>
            </w:r>
          </w:p>
          <w:p>
            <w:pPr>
              <w:pStyle w:val="TableText"/>
              <w:ind w:left="36" w:right="679"/>
              <w:spacing w:before="1" w:line="222" w:lineRule="auto"/>
              <w:rPr>
                <w:sz w:val="17"/>
                <w:szCs w:val="17"/>
              </w:rPr>
            </w:pPr>
            <w:r>
              <w:rPr>
                <w:sz w:val="17"/>
                <w:szCs w:val="17"/>
              </w:rPr>
              <w:t>1中华人民共和国贷物进出口整理条同1</w:t>
            </w:r>
            <w:r>
              <w:rPr>
                <w:sz w:val="17"/>
                <w:szCs w:val="17"/>
                <w:spacing w:val="8"/>
              </w:rPr>
              <w:t xml:space="preserve">  </w:t>
            </w:r>
            <w:r>
              <w:rPr>
                <w:sz w:val="17"/>
                <w:szCs w:val="17"/>
                <w:spacing w:val="9"/>
              </w:rPr>
              <w:t>中¥人民其和国技术进出口管理条圳】</w:t>
            </w:r>
          </w:p>
          <w:p>
            <w:pPr>
              <w:pStyle w:val="TableText"/>
              <w:spacing w:line="219" w:lineRule="auto"/>
              <w:jc w:val="right"/>
              <w:rPr>
                <w:sz w:val="17"/>
                <w:szCs w:val="17"/>
              </w:rPr>
            </w:pPr>
            <w:r>
              <w:rPr>
                <w:sz w:val="17"/>
                <w:szCs w:val="17"/>
                <w:spacing w:val="-3"/>
              </w:rPr>
              <w:t>《中作人民共和国往两用品及和关技术出口管解务</w:t>
            </w:r>
          </w:p>
          <w:p>
            <w:pPr>
              <w:pStyle w:val="TableText"/>
              <w:ind w:left="36"/>
              <w:spacing w:before="51" w:line="170" w:lineRule="auto"/>
              <w:rPr>
                <w:sz w:val="17"/>
                <w:szCs w:val="17"/>
              </w:rPr>
            </w:pPr>
            <w:r>
              <w:rPr>
                <w:sz w:val="17"/>
                <w:szCs w:val="17"/>
                <w:spacing w:val="-2"/>
              </w:rPr>
              <w:t>91</w:t>
            </w:r>
          </w:p>
          <w:p>
            <w:pPr>
              <w:pStyle w:val="TableText"/>
              <w:ind w:left="83" w:right="4" w:hanging="83"/>
              <w:spacing w:before="2" w:line="212" w:lineRule="auto"/>
              <w:rPr>
                <w:sz w:val="17"/>
                <w:szCs w:val="17"/>
              </w:rPr>
            </w:pPr>
            <w:r>
              <w:rPr>
                <w:sz w:val="17"/>
                <w:szCs w:val="17"/>
                <w:spacing w:val="-3"/>
              </w:rPr>
              <w:t>《中华人民共和国生能两用品及相关设备和技术出</w:t>
            </w:r>
            <w:r>
              <w:rPr>
                <w:sz w:val="17"/>
                <w:szCs w:val="17"/>
                <w:spacing w:val="11"/>
              </w:rPr>
              <w:t xml:space="preserve"> </w:t>
            </w:r>
            <w:r>
              <w:rPr>
                <w:sz w:val="17"/>
                <w:szCs w:val="17"/>
                <w:spacing w:val="2"/>
              </w:rPr>
              <w:t>口管制条例!</w:t>
            </w:r>
          </w:p>
          <w:p>
            <w:pPr>
              <w:pStyle w:val="TableText"/>
              <w:ind w:left="74" w:right="2" w:hanging="74"/>
              <w:spacing w:before="8" w:line="207" w:lineRule="auto"/>
              <w:rPr>
                <w:sz w:val="17"/>
                <w:szCs w:val="17"/>
              </w:rPr>
            </w:pPr>
            <w:r>
              <w:rPr>
                <w:sz w:val="17"/>
                <w:szCs w:val="17"/>
                <w:spacing w:val="-3"/>
              </w:rPr>
              <w:t>【中华人民共和障异常及相关制度和技术浓甘每制</w:t>
            </w:r>
            <w:r>
              <w:rPr>
                <w:sz w:val="17"/>
                <w:szCs w:val="17"/>
                <w:spacing w:val="13"/>
              </w:rPr>
              <w:t xml:space="preserve"> </w:t>
            </w:r>
            <w:r>
              <w:rPr>
                <w:sz w:val="17"/>
                <w:szCs w:val="17"/>
                <w:spacing w:val="-4"/>
              </w:rPr>
              <w:t>条创3</w:t>
            </w:r>
          </w:p>
          <w:p>
            <w:pPr>
              <w:pStyle w:val="TableText"/>
              <w:ind w:left="36"/>
              <w:spacing w:before="9" w:line="204" w:lineRule="auto"/>
              <w:rPr>
                <w:sz w:val="17"/>
                <w:szCs w:val="17"/>
              </w:rPr>
            </w:pPr>
            <w:r>
              <w:rPr>
                <w:sz w:val="17"/>
                <w:szCs w:val="17"/>
                <w:spacing w:val="2"/>
              </w:rPr>
              <w:t>(中华人现共和国盐控化学品登通景例)</w:t>
            </w:r>
          </w:p>
        </w:tc>
      </w:tr>
      <w:tr>
        <w:trPr>
          <w:trHeight w:val="829" w:hRule="atLeast"/>
        </w:trPr>
        <w:tc>
          <w:tcPr>
            <w:tcW w:w="594" w:type="dxa"/>
            <w:vAlign w:val="top"/>
          </w:tcPr>
          <w:p>
            <w:pPr>
              <w:spacing w:line="318" w:lineRule="auto"/>
              <w:rPr>
                <w:rFonts w:ascii="Arial"/>
                <w:sz w:val="21"/>
              </w:rPr>
            </w:pPr>
            <w:r/>
          </w:p>
          <w:p>
            <w:pPr>
              <w:pStyle w:val="TableText"/>
              <w:ind w:left="154"/>
              <w:spacing w:before="55" w:line="183" w:lineRule="auto"/>
              <w:rPr>
                <w:sz w:val="17"/>
                <w:szCs w:val="17"/>
              </w:rPr>
            </w:pPr>
            <w:r>
              <w:rPr>
                <w:sz w:val="17"/>
                <w:szCs w:val="17"/>
                <w:spacing w:val="-2"/>
              </w:rPr>
              <w:t>424</w:t>
            </w:r>
          </w:p>
        </w:tc>
        <w:tc>
          <w:tcPr>
            <w:tcW w:w="1279" w:type="dxa"/>
            <w:vAlign w:val="top"/>
          </w:tcPr>
          <w:p>
            <w:pPr>
              <w:spacing w:line="275" w:lineRule="auto"/>
              <w:rPr>
                <w:rFonts w:ascii="Arial"/>
                <w:sz w:val="21"/>
              </w:rPr>
            </w:pPr>
            <w:r/>
          </w:p>
          <w:p>
            <w:pPr>
              <w:pStyle w:val="TableText"/>
              <w:ind w:left="370"/>
              <w:spacing w:before="55" w:line="219" w:lineRule="auto"/>
              <w:rPr>
                <w:sz w:val="17"/>
                <w:szCs w:val="17"/>
              </w:rPr>
            </w:pPr>
            <w:r>
              <w:rPr>
                <w:sz w:val="17"/>
                <w:szCs w:val="17"/>
                <w:spacing w:val="-3"/>
              </w:rPr>
              <w:t>商务部</w:t>
            </w:r>
          </w:p>
        </w:tc>
        <w:tc>
          <w:tcPr>
            <w:tcW w:w="1638" w:type="dxa"/>
            <w:vAlign w:val="top"/>
          </w:tcPr>
          <w:p>
            <w:pPr>
              <w:pStyle w:val="TableText"/>
              <w:ind w:left="42" w:right="30"/>
              <w:spacing w:before="241" w:line="219" w:lineRule="auto"/>
              <w:rPr>
                <w:sz w:val="17"/>
                <w:szCs w:val="17"/>
              </w:rPr>
            </w:pPr>
            <w:r>
              <w:rPr>
                <w:sz w:val="17"/>
                <w:szCs w:val="17"/>
                <w:spacing w:val="2"/>
              </w:rPr>
              <w:t>易制年化学是毒出口</w:t>
            </w:r>
            <w:r>
              <w:rPr>
                <w:sz w:val="17"/>
                <w:szCs w:val="17"/>
                <w:spacing w:val="6"/>
              </w:rPr>
              <w:t xml:space="preserve"> </w:t>
            </w:r>
            <w:r>
              <w:rPr>
                <w:sz w:val="17"/>
                <w:szCs w:val="17"/>
                <w:spacing w:val="-2"/>
              </w:rPr>
              <w:t>许可</w:t>
            </w:r>
          </w:p>
        </w:tc>
        <w:tc>
          <w:tcPr>
            <w:tcW w:w="2377" w:type="dxa"/>
            <w:vAlign w:val="top"/>
          </w:tcPr>
          <w:p>
            <w:pPr>
              <w:pStyle w:val="TableText"/>
              <w:ind w:left="44" w:firstLine="9"/>
              <w:spacing w:before="52" w:line="208" w:lineRule="auto"/>
              <w:rPr>
                <w:sz w:val="17"/>
                <w:szCs w:val="17"/>
              </w:rPr>
            </w:pPr>
            <w:r>
              <w:rPr>
                <w:sz w:val="17"/>
                <w:szCs w:val="17"/>
                <w:spacing w:val="-2"/>
              </w:rPr>
              <w:t>商务部(可委元石级有务主们部</w:t>
            </w:r>
            <w:r>
              <w:rPr>
                <w:sz w:val="17"/>
                <w:szCs w:val="17"/>
                <w:spacing w:val="8"/>
              </w:rPr>
              <w:t xml:space="preserve"> </w:t>
            </w:r>
            <w:r>
              <w:rPr>
                <w:sz w:val="17"/>
                <w:szCs w:val="17"/>
                <w:spacing w:val="-5"/>
              </w:rPr>
              <w:t>门审藏，涉及进口第一类中的动</w:t>
            </w:r>
            <w:r>
              <w:rPr>
                <w:sz w:val="17"/>
                <w:szCs w:val="17"/>
                <w:spacing w:val="11"/>
              </w:rPr>
              <w:t xml:space="preserve"> </w:t>
            </w:r>
            <w:r>
              <w:rPr>
                <w:sz w:val="17"/>
                <w:szCs w:val="17"/>
              </w:rPr>
              <w:t>品哭易制毒化学品会同国家高</w:t>
            </w:r>
            <w:r>
              <w:rPr>
                <w:sz w:val="17"/>
                <w:szCs w:val="17"/>
                <w:spacing w:val="3"/>
              </w:rPr>
              <w:t xml:space="preserve">  </w:t>
            </w:r>
            <w:r>
              <w:rPr>
                <w:sz w:val="17"/>
                <w:szCs w:val="17"/>
                <w:spacing w:val="5"/>
              </w:rPr>
              <w:t>监场审老)</w:t>
            </w:r>
          </w:p>
        </w:tc>
        <w:tc>
          <w:tcPr>
            <w:tcW w:w="3701" w:type="dxa"/>
            <w:vAlign w:val="top"/>
          </w:tcPr>
          <w:p>
            <w:pPr>
              <w:pStyle w:val="TableText"/>
              <w:ind w:left="36"/>
              <w:spacing w:before="51" w:line="195" w:lineRule="auto"/>
              <w:rPr>
                <w:sz w:val="17"/>
                <w:szCs w:val="17"/>
              </w:rPr>
            </w:pPr>
            <w:r>
              <w:rPr>
                <w:sz w:val="17"/>
                <w:szCs w:val="17"/>
                <w:spacing w:val="5"/>
              </w:rPr>
              <w:t>(中序人民共和国对外前易款】</w:t>
            </w:r>
          </w:p>
          <w:p>
            <w:pPr>
              <w:pStyle w:val="TableText"/>
              <w:spacing w:line="218" w:lineRule="auto"/>
              <w:rPr>
                <w:sz w:val="17"/>
                <w:szCs w:val="17"/>
              </w:rPr>
            </w:pPr>
            <w:r>
              <w:rPr>
                <w:sz w:val="17"/>
                <w:szCs w:val="17"/>
                <w:spacing w:val="1"/>
              </w:rPr>
              <w:t>《中华人民共和国货物进出口管理条例】</w:t>
            </w:r>
          </w:p>
          <w:p>
            <w:pPr>
              <w:pStyle w:val="TableText"/>
              <w:spacing w:before="19" w:line="196" w:lineRule="auto"/>
              <w:rPr>
                <w:sz w:val="17"/>
                <w:szCs w:val="17"/>
              </w:rPr>
            </w:pPr>
            <w:r>
              <w:rPr>
                <w:sz w:val="17"/>
                <w:szCs w:val="17"/>
                <w:spacing w:val="-6"/>
              </w:rPr>
              <w:t>《中华人民共和国禁毒法</w:t>
            </w:r>
          </w:p>
          <w:p>
            <w:pPr>
              <w:pStyle w:val="TableText"/>
              <w:spacing w:line="202" w:lineRule="auto"/>
              <w:rPr>
                <w:sz w:val="17"/>
                <w:szCs w:val="17"/>
              </w:rPr>
            </w:pPr>
            <w:r>
              <w:rPr>
                <w:sz w:val="17"/>
                <w:szCs w:val="17"/>
                <w:spacing w:val="-6"/>
              </w:rPr>
              <w:t>《易即志化学品情理多例</w:t>
            </w:r>
          </w:p>
        </w:tc>
      </w:tr>
      <w:tr>
        <w:trPr>
          <w:trHeight w:val="649" w:hRule="atLeast"/>
        </w:trPr>
        <w:tc>
          <w:tcPr>
            <w:tcW w:w="594" w:type="dxa"/>
            <w:vAlign w:val="top"/>
          </w:tcPr>
          <w:p>
            <w:pPr>
              <w:pStyle w:val="TableText"/>
              <w:ind w:left="154"/>
              <w:spacing w:before="286" w:line="183" w:lineRule="auto"/>
              <w:rPr>
                <w:sz w:val="17"/>
                <w:szCs w:val="17"/>
              </w:rPr>
            </w:pPr>
            <w:r>
              <w:rPr>
                <w:sz w:val="17"/>
                <w:szCs w:val="17"/>
                <w:spacing w:val="-2"/>
              </w:rPr>
              <w:t>445</w:t>
            </w:r>
          </w:p>
        </w:tc>
        <w:tc>
          <w:tcPr>
            <w:tcW w:w="1279" w:type="dxa"/>
            <w:vAlign w:val="top"/>
          </w:tcPr>
          <w:p>
            <w:pPr>
              <w:pStyle w:val="TableText"/>
              <w:ind w:left="370"/>
              <w:spacing w:before="243" w:line="219" w:lineRule="auto"/>
              <w:rPr>
                <w:sz w:val="17"/>
                <w:szCs w:val="17"/>
              </w:rPr>
            </w:pPr>
            <w:r>
              <w:rPr>
                <w:sz w:val="17"/>
                <w:szCs w:val="17"/>
                <w:spacing w:val="-3"/>
              </w:rPr>
              <w:t>商务部</w:t>
            </w:r>
          </w:p>
        </w:tc>
        <w:tc>
          <w:tcPr>
            <w:tcW w:w="1638" w:type="dxa"/>
            <w:vAlign w:val="top"/>
          </w:tcPr>
          <w:p>
            <w:pPr>
              <w:pStyle w:val="TableText"/>
              <w:ind w:left="42" w:right="38"/>
              <w:spacing w:before="142" w:line="230" w:lineRule="auto"/>
              <w:rPr>
                <w:sz w:val="17"/>
                <w:szCs w:val="17"/>
              </w:rPr>
            </w:pPr>
            <w:r>
              <w:rPr>
                <w:sz w:val="17"/>
                <w:szCs w:val="17"/>
                <w:spacing w:val="1"/>
              </w:rPr>
              <w:t>货物进出口国营要易</w:t>
            </w:r>
            <w:r>
              <w:rPr>
                <w:sz w:val="17"/>
                <w:szCs w:val="17"/>
                <w:spacing w:val="7"/>
              </w:rPr>
              <w:t xml:space="preserve"> </w:t>
            </w:r>
            <w:r>
              <w:rPr>
                <w:sz w:val="17"/>
                <w:szCs w:val="17"/>
                <w:spacing w:val="-2"/>
              </w:rPr>
              <w:t>许可</w:t>
            </w:r>
          </w:p>
        </w:tc>
        <w:tc>
          <w:tcPr>
            <w:tcW w:w="2377" w:type="dxa"/>
            <w:vAlign w:val="top"/>
          </w:tcPr>
          <w:p>
            <w:pPr>
              <w:pStyle w:val="TableText"/>
              <w:ind w:left="44"/>
              <w:spacing w:before="243" w:line="219" w:lineRule="auto"/>
              <w:rPr>
                <w:sz w:val="17"/>
                <w:szCs w:val="17"/>
              </w:rPr>
            </w:pPr>
            <w:r>
              <w:rPr>
                <w:sz w:val="17"/>
                <w:szCs w:val="17"/>
                <w:spacing w:val="-2"/>
              </w:rPr>
              <w:t>面务部</w:t>
            </w:r>
          </w:p>
        </w:tc>
        <w:tc>
          <w:tcPr>
            <w:tcW w:w="3701" w:type="dxa"/>
            <w:vAlign w:val="top"/>
          </w:tcPr>
          <w:p>
            <w:pPr>
              <w:pStyle w:val="TableText"/>
              <w:spacing w:before="62" w:line="196" w:lineRule="auto"/>
              <w:rPr>
                <w:sz w:val="17"/>
                <w:szCs w:val="17"/>
              </w:rPr>
            </w:pPr>
            <w:r>
              <w:rPr>
                <w:sz w:val="17"/>
                <w:szCs w:val="17"/>
                <w:spacing w:val="-5"/>
              </w:rPr>
              <w:t>《中华人民共和偶对兴能是原》</w:t>
            </w:r>
          </w:p>
          <w:p>
            <w:pPr>
              <w:pStyle w:val="TableText"/>
              <w:ind w:left="83" w:right="692" w:hanging="83"/>
              <w:spacing w:line="215" w:lineRule="auto"/>
              <w:rPr>
                <w:sz w:val="17"/>
                <w:szCs w:val="17"/>
              </w:rPr>
            </w:pPr>
            <w:r>
              <w:rPr>
                <w:sz w:val="17"/>
                <w:szCs w:val="17"/>
                <w:spacing w:val="-4"/>
              </w:rPr>
              <w:t>《中华人民共和国优物进山口资理茶员》</w:t>
            </w:r>
            <w:r>
              <w:rPr>
                <w:sz w:val="17"/>
                <w:szCs w:val="17"/>
                <w:spacing w:val="9"/>
              </w:rPr>
              <w:t xml:space="preserve"> </w:t>
            </w:r>
            <w:r>
              <w:rPr>
                <w:sz w:val="17"/>
                <w:szCs w:val="17"/>
                <w:spacing w:val="-3"/>
              </w:rPr>
              <w:t>1中华人民共和国保购法</w:t>
            </w:r>
          </w:p>
        </w:tc>
      </w:tr>
      <w:tr>
        <w:trPr>
          <w:trHeight w:val="429" w:hRule="atLeast"/>
        </w:trPr>
        <w:tc>
          <w:tcPr>
            <w:tcW w:w="594" w:type="dxa"/>
            <w:vAlign w:val="top"/>
          </w:tcPr>
          <w:p>
            <w:pPr>
              <w:pStyle w:val="TableText"/>
              <w:ind w:left="154"/>
              <w:spacing w:before="177" w:line="183" w:lineRule="auto"/>
              <w:rPr>
                <w:sz w:val="17"/>
                <w:szCs w:val="17"/>
              </w:rPr>
            </w:pPr>
            <w:r>
              <w:rPr>
                <w:sz w:val="17"/>
                <w:szCs w:val="17"/>
                <w:spacing w:val="-2"/>
              </w:rPr>
              <w:t>4.6</w:t>
            </w:r>
          </w:p>
        </w:tc>
        <w:tc>
          <w:tcPr>
            <w:tcW w:w="1279" w:type="dxa"/>
            <w:vAlign w:val="top"/>
          </w:tcPr>
          <w:p>
            <w:pPr>
              <w:pStyle w:val="TableText"/>
              <w:ind w:left="370"/>
              <w:spacing w:before="134" w:line="219" w:lineRule="auto"/>
              <w:rPr>
                <w:sz w:val="17"/>
                <w:szCs w:val="17"/>
              </w:rPr>
            </w:pPr>
            <w:r>
              <w:rPr>
                <w:sz w:val="17"/>
                <w:szCs w:val="17"/>
                <w:spacing w:val="-3"/>
              </w:rPr>
              <w:t>商务部</w:t>
            </w:r>
          </w:p>
        </w:tc>
        <w:tc>
          <w:tcPr>
            <w:tcW w:w="1638" w:type="dxa"/>
            <w:vAlign w:val="top"/>
          </w:tcPr>
          <w:p>
            <w:pPr>
              <w:pStyle w:val="TableText"/>
              <w:ind w:left="42" w:right="62"/>
              <w:spacing w:before="63" w:line="193" w:lineRule="auto"/>
              <w:rPr>
                <w:sz w:val="17"/>
                <w:szCs w:val="17"/>
              </w:rPr>
            </w:pPr>
            <w:r>
              <w:rPr>
                <w:sz w:val="17"/>
                <w:szCs w:val="17"/>
                <w:spacing w:val="-1"/>
              </w:rPr>
              <w:t>供是限活直意经青裂</w:t>
            </w:r>
            <w:r>
              <w:rPr>
                <w:sz w:val="17"/>
                <w:szCs w:val="17"/>
                <w:spacing w:val="1"/>
              </w:rPr>
              <w:t xml:space="preserve"> </w:t>
            </w:r>
            <w:r>
              <w:rPr>
                <w:sz w:val="17"/>
                <w:szCs w:val="17"/>
                <w:spacing w:val="-3"/>
              </w:rPr>
              <w:t>非米</w:t>
            </w:r>
          </w:p>
        </w:tc>
        <w:tc>
          <w:tcPr>
            <w:tcW w:w="2377" w:type="dxa"/>
            <w:vAlign w:val="top"/>
          </w:tcPr>
          <w:p>
            <w:pPr>
              <w:pStyle w:val="TableText"/>
              <w:ind w:left="44"/>
              <w:spacing w:before="134" w:line="219" w:lineRule="auto"/>
              <w:rPr>
                <w:sz w:val="17"/>
                <w:szCs w:val="17"/>
              </w:rPr>
            </w:pPr>
            <w:r>
              <w:rPr>
                <w:sz w:val="17"/>
                <w:szCs w:val="17"/>
                <w:spacing w:val="-3"/>
              </w:rPr>
              <w:t>商务部</w:t>
            </w:r>
          </w:p>
        </w:tc>
        <w:tc>
          <w:tcPr>
            <w:tcW w:w="3701" w:type="dxa"/>
            <w:vAlign w:val="top"/>
          </w:tcPr>
          <w:p>
            <w:pPr>
              <w:pStyle w:val="TableText"/>
              <w:spacing w:before="132" w:line="219" w:lineRule="auto"/>
              <w:rPr>
                <w:sz w:val="17"/>
                <w:szCs w:val="17"/>
              </w:rPr>
            </w:pPr>
            <w:r>
              <w:rPr>
                <w:sz w:val="17"/>
                <w:szCs w:val="17"/>
                <w:spacing w:val="-4"/>
              </w:rPr>
              <w:t>《申华人见共和国货物进出口管良整例》</w:t>
            </w:r>
          </w:p>
        </w:tc>
      </w:tr>
      <w:tr>
        <w:trPr>
          <w:trHeight w:val="639" w:hRule="atLeast"/>
        </w:trPr>
        <w:tc>
          <w:tcPr>
            <w:tcW w:w="594" w:type="dxa"/>
            <w:vAlign w:val="top"/>
          </w:tcPr>
          <w:p>
            <w:pPr>
              <w:pStyle w:val="TableText"/>
              <w:ind w:left="154"/>
              <w:spacing w:before="287" w:line="184" w:lineRule="auto"/>
              <w:rPr>
                <w:sz w:val="17"/>
                <w:szCs w:val="17"/>
              </w:rPr>
            </w:pPr>
            <w:r>
              <w:rPr>
                <w:sz w:val="17"/>
                <w:szCs w:val="17"/>
                <w:spacing w:val="-2"/>
              </w:rPr>
              <w:t>451</w:t>
            </w:r>
          </w:p>
        </w:tc>
        <w:tc>
          <w:tcPr>
            <w:tcW w:w="1279" w:type="dxa"/>
            <w:vAlign w:val="top"/>
          </w:tcPr>
          <w:p>
            <w:pPr>
              <w:pStyle w:val="TableText"/>
              <w:ind w:left="370"/>
              <w:spacing w:before="245" w:line="219" w:lineRule="auto"/>
              <w:rPr>
                <w:sz w:val="17"/>
                <w:szCs w:val="17"/>
              </w:rPr>
            </w:pPr>
            <w:r>
              <w:rPr>
                <w:sz w:val="17"/>
                <w:szCs w:val="17"/>
                <w:spacing w:val="-3"/>
              </w:rPr>
              <w:t>商务部</w:t>
            </w:r>
          </w:p>
        </w:tc>
        <w:tc>
          <w:tcPr>
            <w:tcW w:w="1638" w:type="dxa"/>
            <w:vAlign w:val="top"/>
          </w:tcPr>
          <w:p>
            <w:pPr>
              <w:pStyle w:val="TableText"/>
              <w:ind w:left="42" w:right="63"/>
              <w:spacing w:before="73" w:line="201" w:lineRule="auto"/>
              <w:jc w:val="both"/>
              <w:rPr>
                <w:sz w:val="17"/>
                <w:szCs w:val="17"/>
              </w:rPr>
            </w:pPr>
            <w:r>
              <w:rPr>
                <w:sz w:val="17"/>
                <w:szCs w:val="17"/>
                <w:spacing w:val="-1"/>
              </w:rPr>
              <w:t>填内学办特定涉外经</w:t>
            </w:r>
            <w:r>
              <w:rPr>
                <w:sz w:val="17"/>
                <w:szCs w:val="17"/>
              </w:rPr>
              <w:t xml:space="preserve"> </w:t>
            </w:r>
            <w:r>
              <w:rPr>
                <w:sz w:val="17"/>
                <w:szCs w:val="17"/>
                <w:spacing w:val="-1"/>
              </w:rPr>
              <w:t>济我术展览会办展项</w:t>
            </w:r>
            <w:r>
              <w:rPr>
                <w:sz w:val="17"/>
                <w:szCs w:val="17"/>
              </w:rPr>
              <w:t xml:space="preserve"> </w:t>
            </w:r>
            <w:r>
              <w:rPr>
                <w:sz w:val="17"/>
                <w:szCs w:val="17"/>
                <w:spacing w:val="8"/>
              </w:rPr>
              <w:t>■市批</w:t>
            </w:r>
          </w:p>
        </w:tc>
        <w:tc>
          <w:tcPr>
            <w:tcW w:w="2377" w:type="dxa"/>
            <w:vAlign w:val="top"/>
          </w:tcPr>
          <w:p>
            <w:pPr>
              <w:pStyle w:val="TableText"/>
              <w:ind w:left="44"/>
              <w:spacing w:before="245" w:line="219" w:lineRule="auto"/>
              <w:rPr>
                <w:sz w:val="17"/>
                <w:szCs w:val="17"/>
              </w:rPr>
            </w:pPr>
            <w:r>
              <w:rPr>
                <w:sz w:val="17"/>
                <w:szCs w:val="17"/>
                <w:spacing w:val="-3"/>
              </w:rPr>
              <w:t>商务器</w:t>
            </w:r>
          </w:p>
        </w:tc>
        <w:tc>
          <w:tcPr>
            <w:tcW w:w="3701" w:type="dxa"/>
            <w:vAlign w:val="top"/>
          </w:tcPr>
          <w:p>
            <w:pPr>
              <w:pStyle w:val="TableText"/>
              <w:ind w:left="36" w:right="92"/>
              <w:spacing w:before="155" w:line="218" w:lineRule="auto"/>
              <w:rPr>
                <w:sz w:val="17"/>
                <w:szCs w:val="17"/>
              </w:rPr>
            </w:pPr>
            <w:r>
              <w:rPr>
                <w:sz w:val="17"/>
                <w:szCs w:val="17"/>
                <w:spacing w:val="-1"/>
              </w:rPr>
              <w:t>属务实对确需保面的行政审批页目设定行故许可</w:t>
            </w:r>
            <w:r>
              <w:rPr>
                <w:sz w:val="17"/>
                <w:szCs w:val="17"/>
                <w:spacing w:val="12"/>
              </w:rPr>
              <w:t xml:space="preserve"> </w:t>
            </w:r>
            <w:r>
              <w:rPr>
                <w:sz w:val="17"/>
                <w:szCs w:val="17"/>
                <w:spacing w:val="8"/>
              </w:rPr>
              <w:t>的决定)</w:t>
            </w:r>
          </w:p>
        </w:tc>
      </w:tr>
      <w:tr>
        <w:trPr>
          <w:trHeight w:val="649" w:hRule="atLeast"/>
        </w:trPr>
        <w:tc>
          <w:tcPr>
            <w:tcW w:w="594" w:type="dxa"/>
            <w:vAlign w:val="top"/>
          </w:tcPr>
          <w:p>
            <w:pPr>
              <w:pStyle w:val="TableText"/>
              <w:ind w:left="154"/>
              <w:spacing w:before="289" w:line="183" w:lineRule="auto"/>
              <w:rPr>
                <w:sz w:val="17"/>
                <w:szCs w:val="17"/>
              </w:rPr>
            </w:pPr>
            <w:r>
              <w:rPr>
                <w:sz w:val="17"/>
                <w:szCs w:val="17"/>
                <w:spacing w:val="-2"/>
              </w:rPr>
              <w:t>438</w:t>
            </w:r>
          </w:p>
        </w:tc>
        <w:tc>
          <w:tcPr>
            <w:tcW w:w="1279" w:type="dxa"/>
            <w:vAlign w:val="top"/>
          </w:tcPr>
          <w:p>
            <w:pPr>
              <w:pStyle w:val="TableText"/>
              <w:ind w:left="370"/>
              <w:spacing w:before="246" w:line="219" w:lineRule="auto"/>
              <w:rPr>
                <w:sz w:val="17"/>
                <w:szCs w:val="17"/>
              </w:rPr>
            </w:pPr>
            <w:r>
              <w:rPr>
                <w:sz w:val="17"/>
                <w:szCs w:val="17"/>
                <w:spacing w:val="-2"/>
              </w:rPr>
              <w:t>两务费</w:t>
            </w:r>
          </w:p>
        </w:tc>
        <w:tc>
          <w:tcPr>
            <w:tcW w:w="1638" w:type="dxa"/>
            <w:vAlign w:val="top"/>
          </w:tcPr>
          <w:p>
            <w:pPr>
              <w:pStyle w:val="TableText"/>
              <w:ind w:left="42" w:right="18"/>
              <w:spacing w:before="64" w:line="208" w:lineRule="auto"/>
              <w:jc w:val="both"/>
              <w:rPr>
                <w:sz w:val="17"/>
                <w:szCs w:val="17"/>
              </w:rPr>
            </w:pPr>
            <w:r>
              <w:rPr>
                <w:sz w:val="17"/>
                <w:szCs w:val="17"/>
                <w:spacing w:val="1"/>
              </w:rPr>
              <w:t>国内企业在境外开办</w:t>
            </w:r>
            <w:r>
              <w:rPr>
                <w:sz w:val="17"/>
                <w:szCs w:val="17"/>
              </w:rPr>
              <w:t xml:space="preserve"> </w:t>
            </w:r>
            <w:r>
              <w:rPr>
                <w:sz w:val="17"/>
                <w:szCs w:val="17"/>
                <w:spacing w:val="3"/>
              </w:rPr>
              <w:t>企业(金融全业除外)</w:t>
            </w:r>
            <w:r>
              <w:rPr>
                <w:sz w:val="17"/>
                <w:szCs w:val="17"/>
                <w:spacing w:val="6"/>
              </w:rPr>
              <w:t xml:space="preserve"> </w:t>
            </w:r>
            <w:r>
              <w:rPr>
                <w:sz w:val="17"/>
                <w:szCs w:val="17"/>
                <w:spacing w:val="-2"/>
              </w:rPr>
              <w:t>机难</w:t>
            </w:r>
          </w:p>
        </w:tc>
        <w:tc>
          <w:tcPr>
            <w:tcW w:w="2377" w:type="dxa"/>
            <w:vAlign w:val="top"/>
          </w:tcPr>
          <w:p>
            <w:pPr>
              <w:pStyle w:val="TableText"/>
              <w:ind w:left="44"/>
              <w:spacing w:before="246" w:line="219" w:lineRule="auto"/>
              <w:rPr>
                <w:sz w:val="17"/>
                <w:szCs w:val="17"/>
              </w:rPr>
            </w:pPr>
            <w:r>
              <w:rPr>
                <w:sz w:val="17"/>
                <w:szCs w:val="17"/>
                <w:spacing w:val="3"/>
              </w:rPr>
              <w:t>育务部</w:t>
            </w:r>
          </w:p>
        </w:tc>
        <w:tc>
          <w:tcPr>
            <w:tcW w:w="3701" w:type="dxa"/>
            <w:vAlign w:val="top"/>
          </w:tcPr>
          <w:p>
            <w:pPr>
              <w:pStyle w:val="TableText"/>
              <w:ind w:left="83" w:right="13" w:hanging="83"/>
              <w:spacing w:before="176" w:line="207" w:lineRule="auto"/>
              <w:rPr>
                <w:sz w:val="17"/>
                <w:szCs w:val="17"/>
              </w:rPr>
            </w:pPr>
            <w:r>
              <w:rPr>
                <w:sz w:val="17"/>
                <w:szCs w:val="17"/>
                <w:spacing w:val="-3"/>
              </w:rPr>
              <w:t>《国务院对确需保育的行政审批项且设定行政许可</w:t>
            </w:r>
            <w:r>
              <w:rPr>
                <w:sz w:val="17"/>
                <w:szCs w:val="17"/>
                <w:spacing w:val="2"/>
              </w:rPr>
              <w:t xml:space="preserve"> </w:t>
            </w:r>
            <w:r>
              <w:rPr>
                <w:sz w:val="17"/>
                <w:szCs w:val="17"/>
                <w:spacing w:val="-3"/>
              </w:rPr>
              <w:t>的决定》</w:t>
            </w:r>
          </w:p>
        </w:tc>
      </w:tr>
      <w:tr>
        <w:trPr>
          <w:trHeight w:val="544" w:hRule="atLeast"/>
        </w:trPr>
        <w:tc>
          <w:tcPr>
            <w:tcW w:w="594" w:type="dxa"/>
            <w:vAlign w:val="top"/>
          </w:tcPr>
          <w:p>
            <w:pPr>
              <w:pStyle w:val="TableText"/>
              <w:ind w:left="154"/>
              <w:spacing w:before="240" w:line="183" w:lineRule="auto"/>
              <w:rPr>
                <w:sz w:val="17"/>
                <w:szCs w:val="17"/>
              </w:rPr>
            </w:pPr>
            <w:r>
              <w:rPr>
                <w:sz w:val="17"/>
                <w:szCs w:val="17"/>
                <w:spacing w:val="-2"/>
              </w:rPr>
              <w:t>449</w:t>
            </w:r>
          </w:p>
        </w:tc>
        <w:tc>
          <w:tcPr>
            <w:tcW w:w="1279" w:type="dxa"/>
            <w:vAlign w:val="top"/>
          </w:tcPr>
          <w:p>
            <w:pPr>
              <w:pStyle w:val="TableText"/>
              <w:ind w:left="370"/>
              <w:spacing w:before="197" w:line="219" w:lineRule="auto"/>
              <w:rPr>
                <w:sz w:val="17"/>
                <w:szCs w:val="17"/>
              </w:rPr>
            </w:pPr>
            <w:r>
              <w:rPr>
                <w:sz w:val="17"/>
                <w:szCs w:val="17"/>
                <w:spacing w:val="-3"/>
              </w:rPr>
              <w:t>商务部</w:t>
            </w:r>
          </w:p>
        </w:tc>
        <w:tc>
          <w:tcPr>
            <w:tcW w:w="1638" w:type="dxa"/>
            <w:vAlign w:val="top"/>
          </w:tcPr>
          <w:p>
            <w:pPr>
              <w:pStyle w:val="TableText"/>
              <w:ind w:left="52" w:right="61" w:hanging="10"/>
              <w:spacing w:before="117" w:line="218" w:lineRule="auto"/>
              <w:rPr>
                <w:sz w:val="17"/>
                <w:szCs w:val="17"/>
              </w:rPr>
            </w:pPr>
            <w:r>
              <w:rPr>
                <w:sz w:val="17"/>
                <w:szCs w:val="17"/>
                <w:spacing w:val="-1"/>
              </w:rPr>
              <w:t>授外顶门实施全业资</w:t>
            </w:r>
            <w:r>
              <w:rPr>
                <w:sz w:val="17"/>
                <w:szCs w:val="17"/>
                <w:spacing w:val="2"/>
              </w:rPr>
              <w:t xml:space="preserve"> </w:t>
            </w:r>
            <w:r>
              <w:rPr>
                <w:sz w:val="17"/>
                <w:szCs w:val="17"/>
                <w:spacing w:val="-2"/>
              </w:rPr>
              <w:t>格认定</w:t>
            </w:r>
          </w:p>
        </w:tc>
        <w:tc>
          <w:tcPr>
            <w:tcW w:w="2377" w:type="dxa"/>
            <w:vAlign w:val="top"/>
          </w:tcPr>
          <w:p>
            <w:pPr>
              <w:pStyle w:val="TableText"/>
              <w:ind w:left="44"/>
              <w:spacing w:before="197" w:line="219" w:lineRule="auto"/>
              <w:rPr>
                <w:sz w:val="17"/>
                <w:szCs w:val="17"/>
              </w:rPr>
            </w:pPr>
            <w:r>
              <w:rPr>
                <w:sz w:val="17"/>
                <w:szCs w:val="17"/>
                <w:spacing w:val="3"/>
              </w:rPr>
              <w:t>百务部</w:t>
            </w:r>
          </w:p>
        </w:tc>
        <w:tc>
          <w:tcPr>
            <w:tcW w:w="3701" w:type="dxa"/>
            <w:vAlign w:val="top"/>
          </w:tcPr>
          <w:p>
            <w:pPr>
              <w:pStyle w:val="TableText"/>
              <w:ind w:left="36" w:right="76"/>
              <w:spacing w:before="107" w:line="224" w:lineRule="auto"/>
              <w:rPr>
                <w:sz w:val="17"/>
                <w:szCs w:val="17"/>
              </w:rPr>
            </w:pPr>
            <w:r>
              <w:rPr>
                <w:sz w:val="17"/>
                <w:szCs w:val="17"/>
              </w:rPr>
              <w:t>国务院对葫需保前的行敬审批项目设定行故件可</w:t>
            </w:r>
            <w:r>
              <w:rPr>
                <w:sz w:val="17"/>
                <w:szCs w:val="17"/>
                <w:spacing w:val="6"/>
              </w:rPr>
              <w:t xml:space="preserve"> </w:t>
            </w:r>
            <w:r>
              <w:rPr>
                <w:sz w:val="17"/>
                <w:szCs w:val="17"/>
                <w:spacing w:val="-3"/>
              </w:rPr>
              <w:t>韵庆定》</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70208" behindDoc="0" locked="0" layoutInCell="0" allowOverlap="1">
                <wp:simplePos x="0" y="0"/>
                <wp:positionH relativeFrom="page">
                  <wp:posOffset>464260</wp:posOffset>
                </wp:positionH>
                <wp:positionV relativeFrom="page">
                  <wp:posOffset>617472</wp:posOffset>
                </wp:positionV>
                <wp:extent cx="172720" cy="157479"/>
                <wp:effectExtent l="0" t="0" r="0" b="0"/>
                <wp:wrapNone/>
                <wp:docPr id="258" name="TextBox 258"/>
                <wp:cNvGraphicFramePr/>
                <a:graphic>
                  <a:graphicData uri="http://schemas.microsoft.com/office/word/2010/wordprocessingShape">
                    <wps:wsp>
                      <wps:cNvSpPr txBox="1"/>
                      <wps:spPr>
                        <a:xfrm rot="5400000">
                          <a:off x="464260" y="61747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0" style="position:absolute;margin-left:36.556pt;margin-top:48.6199pt;mso-position-vertical-relative:page;mso-position-horizontal-relative:page;width:13.6pt;height:12.4pt;z-index:25187020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210</w:t>
                      </w:r>
                    </w:p>
                  </w:txbxContent>
                </v:textbox>
              </v:shape>
            </w:pict>
          </mc:Fallback>
        </mc:AlternateContent>
      </w:r>
      <w:r/>
    </w:p>
    <w:tbl>
      <w:tblPr>
        <w:tblStyle w:val="TableNormal"/>
        <w:tblW w:w="960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87"/>
        <w:gridCol w:w="371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中央主骨那门</w:t>
            </w:r>
          </w:p>
        </w:tc>
        <w:tc>
          <w:tcPr>
            <w:tcW w:w="1628" w:type="dxa"/>
            <w:vAlign w:val="top"/>
          </w:tcPr>
          <w:p>
            <w:pPr>
              <w:pStyle w:val="TableText"/>
              <w:ind w:left="481"/>
              <w:spacing w:before="132" w:line="220" w:lineRule="auto"/>
              <w:rPr>
                <w:sz w:val="16"/>
                <w:szCs w:val="16"/>
              </w:rPr>
            </w:pPr>
            <w:r>
              <w:rPr>
                <w:sz w:val="16"/>
                <w:szCs w:val="16"/>
                <w:spacing w:val="-2"/>
              </w:rPr>
              <w:t>事项名称</w:t>
            </w:r>
          </w:p>
        </w:tc>
        <w:tc>
          <w:tcPr>
            <w:tcW w:w="2387" w:type="dxa"/>
            <w:vAlign w:val="top"/>
          </w:tcPr>
          <w:p>
            <w:pPr>
              <w:pStyle w:val="TableText"/>
              <w:ind w:left="844"/>
              <w:spacing w:before="130" w:line="219" w:lineRule="auto"/>
              <w:rPr>
                <w:sz w:val="16"/>
                <w:szCs w:val="16"/>
              </w:rPr>
            </w:pPr>
            <w:r>
              <w:rPr>
                <w:sz w:val="16"/>
                <w:szCs w:val="16"/>
                <w:spacing w:val="-2"/>
              </w:rPr>
              <w:t>害幽机关</w:t>
            </w:r>
          </w:p>
        </w:tc>
        <w:tc>
          <w:tcPr>
            <w:tcW w:w="3711" w:type="dxa"/>
            <w:vAlign w:val="top"/>
          </w:tcPr>
          <w:p>
            <w:pPr>
              <w:pStyle w:val="TableText"/>
              <w:ind w:left="1276"/>
              <w:spacing w:before="131" w:line="219" w:lineRule="auto"/>
              <w:rPr>
                <w:sz w:val="16"/>
                <w:szCs w:val="16"/>
              </w:rPr>
            </w:pPr>
            <w:r>
              <w:rPr>
                <w:sz w:val="16"/>
                <w:szCs w:val="16"/>
                <w:spacing w:val="-2"/>
              </w:rPr>
              <w:t>设定和实施作据</w:t>
            </w:r>
          </w:p>
        </w:tc>
      </w:tr>
      <w:tr>
        <w:trPr>
          <w:trHeight w:val="479" w:hRule="atLeast"/>
        </w:trPr>
        <w:tc>
          <w:tcPr>
            <w:tcW w:w="594" w:type="dxa"/>
            <w:vAlign w:val="top"/>
          </w:tcPr>
          <w:p>
            <w:pPr>
              <w:pStyle w:val="TableText"/>
              <w:ind w:left="164"/>
              <w:spacing w:before="197" w:line="183" w:lineRule="auto"/>
              <w:rPr>
                <w:sz w:val="16"/>
                <w:szCs w:val="16"/>
              </w:rPr>
            </w:pPr>
            <w:r>
              <w:rPr>
                <w:sz w:val="16"/>
                <w:szCs w:val="16"/>
                <w:spacing w:val="-2"/>
              </w:rPr>
              <w:t>440</w:t>
            </w:r>
          </w:p>
        </w:tc>
        <w:tc>
          <w:tcPr>
            <w:tcW w:w="1289" w:type="dxa"/>
            <w:vAlign w:val="top"/>
          </w:tcPr>
          <w:p>
            <w:pPr>
              <w:pStyle w:val="TableText"/>
              <w:ind w:left="390"/>
              <w:spacing w:before="156" w:line="219" w:lineRule="auto"/>
              <w:rPr>
                <w:sz w:val="16"/>
                <w:szCs w:val="16"/>
              </w:rPr>
            </w:pPr>
            <w:r>
              <w:rPr>
                <w:sz w:val="16"/>
                <w:szCs w:val="16"/>
                <w:spacing w:val="4"/>
              </w:rPr>
              <w:t>商务驾</w:t>
            </w:r>
          </w:p>
        </w:tc>
        <w:tc>
          <w:tcPr>
            <w:tcW w:w="1628" w:type="dxa"/>
            <w:vAlign w:val="top"/>
          </w:tcPr>
          <w:p>
            <w:pPr>
              <w:pStyle w:val="TableText"/>
              <w:ind w:left="32" w:right="102" w:firstLine="49"/>
              <w:spacing w:before="85" w:line="220" w:lineRule="auto"/>
              <w:rPr>
                <w:sz w:val="16"/>
                <w:szCs w:val="16"/>
              </w:rPr>
            </w:pPr>
            <w:r>
              <w:rPr>
                <w:sz w:val="16"/>
                <w:szCs w:val="16"/>
                <w:spacing w:val="-1"/>
              </w:rPr>
              <w:t>研外劳务合作经苗歌</w:t>
            </w:r>
            <w:r>
              <w:rPr>
                <w:sz w:val="16"/>
                <w:szCs w:val="16"/>
                <w:spacing w:val="1"/>
              </w:rPr>
              <w:t xml:space="preserve"> </w:t>
            </w:r>
            <w:r>
              <w:rPr>
                <w:sz w:val="16"/>
                <w:szCs w:val="16"/>
                <w:spacing w:val="-2"/>
              </w:rPr>
              <w:t>格林准</w:t>
            </w:r>
          </w:p>
        </w:tc>
        <w:tc>
          <w:tcPr>
            <w:tcW w:w="2387" w:type="dxa"/>
            <w:vAlign w:val="top"/>
          </w:tcPr>
          <w:p>
            <w:pPr>
              <w:pStyle w:val="TableText"/>
              <w:ind w:left="44" w:right="188" w:firstLine="49"/>
              <w:spacing w:before="56" w:line="225" w:lineRule="auto"/>
              <w:rPr>
                <w:sz w:val="16"/>
                <w:szCs w:val="16"/>
              </w:rPr>
            </w:pPr>
            <w:r>
              <w:rPr>
                <w:sz w:val="16"/>
                <w:szCs w:val="16"/>
                <w:spacing w:val="1"/>
              </w:rPr>
              <w:t>商务部会同国务放池液办；省</w:t>
            </w:r>
            <w:r>
              <w:rPr>
                <w:sz w:val="16"/>
                <w:szCs w:val="16"/>
              </w:rPr>
              <w:t xml:space="preserve"> </w:t>
            </w:r>
            <w:r>
              <w:rPr>
                <w:sz w:val="16"/>
                <w:szCs w:val="16"/>
                <w:spacing w:val="1"/>
              </w:rPr>
              <w:t>城，极区的市饭需务部门</w:t>
            </w:r>
          </w:p>
        </w:tc>
        <w:tc>
          <w:tcPr>
            <w:tcW w:w="3711" w:type="dxa"/>
            <w:vAlign w:val="top"/>
          </w:tcPr>
          <w:p>
            <w:pPr>
              <w:pStyle w:val="TableText"/>
              <w:spacing w:before="56" w:line="230" w:lineRule="exact"/>
              <w:rPr>
                <w:sz w:val="16"/>
                <w:szCs w:val="16"/>
              </w:rPr>
            </w:pPr>
            <w:r>
              <w:rPr>
                <w:sz w:val="16"/>
                <w:szCs w:val="16"/>
                <w:spacing w:val="-4"/>
                <w:position w:val="5"/>
              </w:rPr>
              <w:t>《中华人民共和国对研贸提法》</w:t>
            </w:r>
          </w:p>
          <w:p>
            <w:pPr>
              <w:pStyle w:val="TableText"/>
              <w:spacing w:line="210" w:lineRule="auto"/>
              <w:rPr>
                <w:sz w:val="16"/>
                <w:szCs w:val="16"/>
              </w:rPr>
            </w:pPr>
            <w:r>
              <w:rPr>
                <w:sz w:val="16"/>
                <w:szCs w:val="16"/>
                <w:spacing w:val="-4"/>
              </w:rPr>
              <w:t>《对外背务合作管理条到》</w:t>
            </w:r>
          </w:p>
        </w:tc>
      </w:tr>
      <w:tr>
        <w:trPr>
          <w:trHeight w:val="689" w:hRule="atLeast"/>
        </w:trPr>
        <w:tc>
          <w:tcPr>
            <w:tcW w:w="594" w:type="dxa"/>
            <w:vAlign w:val="top"/>
          </w:tcPr>
          <w:p>
            <w:pPr>
              <w:spacing w:line="254" w:lineRule="auto"/>
              <w:rPr>
                <w:rFonts w:ascii="Arial"/>
                <w:sz w:val="21"/>
              </w:rPr>
            </w:pPr>
            <w:r/>
          </w:p>
          <w:p>
            <w:pPr>
              <w:pStyle w:val="TableText"/>
              <w:ind w:left="164"/>
              <w:spacing w:before="52" w:line="184" w:lineRule="auto"/>
              <w:rPr>
                <w:sz w:val="16"/>
                <w:szCs w:val="16"/>
              </w:rPr>
            </w:pPr>
            <w:r>
              <w:rPr>
                <w:sz w:val="16"/>
                <w:szCs w:val="16"/>
                <w:spacing w:val="-2"/>
              </w:rPr>
              <w:t>441</w:t>
            </w:r>
          </w:p>
        </w:tc>
        <w:tc>
          <w:tcPr>
            <w:tcW w:w="1289" w:type="dxa"/>
            <w:vAlign w:val="top"/>
          </w:tcPr>
          <w:p>
            <w:pPr>
              <w:pStyle w:val="TableText"/>
              <w:ind w:left="390"/>
              <w:spacing w:before="267" w:line="219" w:lineRule="auto"/>
              <w:rPr>
                <w:sz w:val="16"/>
                <w:szCs w:val="16"/>
              </w:rPr>
            </w:pPr>
            <w:r>
              <w:rPr>
                <w:sz w:val="16"/>
                <w:szCs w:val="16"/>
                <w:spacing w:val="-3"/>
              </w:rPr>
              <w:t>商务部</w:t>
            </w:r>
          </w:p>
        </w:tc>
        <w:tc>
          <w:tcPr>
            <w:tcW w:w="1628" w:type="dxa"/>
            <w:vAlign w:val="top"/>
          </w:tcPr>
          <w:p>
            <w:pPr>
              <w:pStyle w:val="TableText"/>
              <w:ind w:left="161"/>
              <w:spacing w:before="67" w:line="219" w:lineRule="auto"/>
              <w:rPr>
                <w:sz w:val="16"/>
                <w:szCs w:val="16"/>
              </w:rPr>
            </w:pPr>
            <w:r>
              <w:rPr>
                <w:sz w:val="16"/>
                <w:szCs w:val="16"/>
                <w:spacing w:val="-1"/>
              </w:rPr>
              <w:t>趾台同地区带亦觜</w:t>
            </w:r>
          </w:p>
          <w:p>
            <w:pPr>
              <w:pStyle w:val="TableText"/>
              <w:ind w:left="31" w:right="25" w:hanging="30"/>
              <w:spacing w:before="20" w:line="227" w:lineRule="auto"/>
              <w:rPr>
                <w:sz w:val="16"/>
                <w:szCs w:val="16"/>
              </w:rPr>
            </w:pPr>
            <w:r>
              <w:rPr>
                <w:sz w:val="16"/>
                <w:szCs w:val="16"/>
                <w:spacing w:val="-1"/>
              </w:rPr>
              <w:t>商、办脱，参刚心动市</w:t>
            </w:r>
            <w:r>
              <w:rPr>
                <w:sz w:val="16"/>
                <w:szCs w:val="16"/>
              </w:rPr>
              <w:t xml:space="preserve"> </w:t>
            </w:r>
            <w:r>
              <w:rPr>
                <w:sz w:val="16"/>
                <w:szCs w:val="16"/>
              </w:rPr>
              <w:t>批</w:t>
            </w:r>
          </w:p>
        </w:tc>
        <w:tc>
          <w:tcPr>
            <w:tcW w:w="2387" w:type="dxa"/>
            <w:vAlign w:val="top"/>
          </w:tcPr>
          <w:p>
            <w:pPr>
              <w:pStyle w:val="TableText"/>
              <w:ind w:left="44"/>
              <w:spacing w:before="267" w:line="219" w:lineRule="auto"/>
              <w:rPr>
                <w:sz w:val="16"/>
                <w:szCs w:val="16"/>
              </w:rPr>
            </w:pPr>
            <w:r>
              <w:rPr>
                <w:sz w:val="16"/>
                <w:szCs w:val="16"/>
                <w:spacing w:val="-3"/>
              </w:rPr>
              <w:t>商务部</w:t>
            </w:r>
          </w:p>
        </w:tc>
        <w:tc>
          <w:tcPr>
            <w:tcW w:w="3711" w:type="dxa"/>
            <w:vAlign w:val="top"/>
          </w:tcPr>
          <w:p>
            <w:pPr>
              <w:pStyle w:val="TableText"/>
              <w:ind w:left="36" w:right="297"/>
              <w:spacing w:before="167" w:line="231" w:lineRule="auto"/>
              <w:rPr>
                <w:sz w:val="16"/>
                <w:szCs w:val="16"/>
              </w:rPr>
            </w:pPr>
            <w:r>
              <w:rPr>
                <w:sz w:val="16"/>
                <w:szCs w:val="16"/>
              </w:rPr>
              <w:t>国务院对确属保前的行改审批碳日设定行政许可</w:t>
            </w:r>
            <w:r>
              <w:rPr>
                <w:sz w:val="16"/>
                <w:szCs w:val="16"/>
                <w:spacing w:val="5"/>
              </w:rPr>
              <w:t xml:space="preserve"> </w:t>
            </w:r>
            <w:r>
              <w:rPr>
                <w:sz w:val="16"/>
                <w:szCs w:val="16"/>
                <w:spacing w:val="-2"/>
              </w:rPr>
              <w:t>而决定</w:t>
            </w:r>
          </w:p>
        </w:tc>
      </w:tr>
      <w:tr>
        <w:trPr>
          <w:trHeight w:val="679" w:hRule="atLeast"/>
        </w:trPr>
        <w:tc>
          <w:tcPr>
            <w:tcW w:w="594" w:type="dxa"/>
            <w:vAlign w:val="top"/>
          </w:tcPr>
          <w:p>
            <w:pPr>
              <w:spacing w:line="246" w:lineRule="auto"/>
              <w:rPr>
                <w:rFonts w:ascii="Arial"/>
                <w:sz w:val="21"/>
              </w:rPr>
            </w:pPr>
            <w:r/>
          </w:p>
          <w:p>
            <w:pPr>
              <w:pStyle w:val="TableText"/>
              <w:ind w:left="204"/>
              <w:spacing w:before="52" w:line="183" w:lineRule="auto"/>
              <w:rPr>
                <w:sz w:val="16"/>
                <w:szCs w:val="16"/>
              </w:rPr>
            </w:pPr>
            <w:r>
              <w:rPr>
                <w:sz w:val="16"/>
                <w:szCs w:val="16"/>
                <w:spacing w:val="-2"/>
              </w:rPr>
              <w:t>42</w:t>
            </w:r>
          </w:p>
        </w:tc>
        <w:tc>
          <w:tcPr>
            <w:tcW w:w="1289" w:type="dxa"/>
            <w:vAlign w:val="top"/>
          </w:tcPr>
          <w:p>
            <w:pPr>
              <w:pStyle w:val="TableText"/>
              <w:ind w:left="390"/>
              <w:spacing w:before="258" w:line="219" w:lineRule="auto"/>
              <w:rPr>
                <w:sz w:val="16"/>
                <w:szCs w:val="16"/>
              </w:rPr>
            </w:pPr>
            <w:r>
              <w:rPr>
                <w:sz w:val="16"/>
                <w:szCs w:val="16"/>
                <w:spacing w:val="-3"/>
              </w:rPr>
              <w:t>商务配</w:t>
            </w:r>
          </w:p>
        </w:tc>
        <w:tc>
          <w:tcPr>
            <w:tcW w:w="1628" w:type="dxa"/>
            <w:vAlign w:val="top"/>
          </w:tcPr>
          <w:p>
            <w:pPr>
              <w:pStyle w:val="TableText"/>
              <w:ind w:left="42" w:right="89" w:firstLine="39"/>
              <w:spacing w:before="77" w:line="227" w:lineRule="auto"/>
              <w:jc w:val="both"/>
              <w:rPr>
                <w:sz w:val="16"/>
                <w:szCs w:val="16"/>
              </w:rPr>
            </w:pPr>
            <w:r>
              <w:rPr>
                <w:sz w:val="16"/>
                <w:szCs w:val="16"/>
              </w:rPr>
              <w:t>台两井余虚级济银机</w:t>
            </w:r>
            <w:r>
              <w:rPr>
                <w:sz w:val="16"/>
                <w:szCs w:val="16"/>
                <w:spacing w:val="5"/>
              </w:rPr>
              <w:t xml:space="preserve"> </w:t>
            </w:r>
            <w:r>
              <w:rPr>
                <w:sz w:val="16"/>
                <w:szCs w:val="16"/>
                <w:spacing w:val="3"/>
              </w:rPr>
              <w:t>在大防设卫常社代表</w:t>
            </w:r>
            <w:r>
              <w:rPr>
                <w:sz w:val="16"/>
                <w:szCs w:val="16"/>
                <w:spacing w:val="6"/>
              </w:rPr>
              <w:t xml:space="preserve"> </w:t>
            </w:r>
            <w:r>
              <w:rPr>
                <w:sz w:val="16"/>
                <w:szCs w:val="16"/>
                <w:spacing w:val="-2"/>
              </w:rPr>
              <w:t>机构审数</w:t>
            </w:r>
          </w:p>
        </w:tc>
        <w:tc>
          <w:tcPr>
            <w:tcW w:w="2387" w:type="dxa"/>
            <w:vAlign w:val="top"/>
          </w:tcPr>
          <w:p>
            <w:pPr>
              <w:pStyle w:val="TableText"/>
              <w:ind w:left="44"/>
              <w:spacing w:before="258" w:line="219" w:lineRule="auto"/>
              <w:rPr>
                <w:sz w:val="16"/>
                <w:szCs w:val="16"/>
              </w:rPr>
            </w:pPr>
            <w:r>
              <w:rPr>
                <w:sz w:val="16"/>
                <w:szCs w:val="16"/>
                <w:spacing w:val="-3"/>
              </w:rPr>
              <w:t>商并部</w:t>
            </w:r>
          </w:p>
        </w:tc>
        <w:tc>
          <w:tcPr>
            <w:tcW w:w="3711" w:type="dxa"/>
            <w:vAlign w:val="top"/>
          </w:tcPr>
          <w:p>
            <w:pPr>
              <w:pStyle w:val="TableText"/>
              <w:ind w:left="59" w:right="217" w:hanging="59"/>
              <w:spacing w:before="148" w:line="231" w:lineRule="auto"/>
              <w:rPr>
                <w:sz w:val="16"/>
                <w:szCs w:val="16"/>
              </w:rPr>
            </w:pPr>
            <w:r>
              <w:rPr>
                <w:sz w:val="16"/>
                <w:szCs w:val="16"/>
                <w:spacing w:val="-2"/>
              </w:rPr>
              <w:t>《国务能对确常保前的行成市批项目设定行政许可</w:t>
            </w:r>
            <w:r>
              <w:rPr>
                <w:sz w:val="16"/>
                <w:szCs w:val="16"/>
                <w:spacing w:val="6"/>
              </w:rPr>
              <w:t xml:space="preserve"> </w:t>
            </w:r>
            <w:r>
              <w:rPr>
                <w:sz w:val="16"/>
                <w:szCs w:val="16"/>
                <w:spacing w:val="3"/>
              </w:rPr>
              <w:t>的决定1</w:t>
            </w:r>
          </w:p>
        </w:tc>
      </w:tr>
      <w:tr>
        <w:trPr>
          <w:trHeight w:val="479" w:hRule="atLeast"/>
        </w:trPr>
        <w:tc>
          <w:tcPr>
            <w:tcW w:w="594" w:type="dxa"/>
            <w:vAlign w:val="top"/>
          </w:tcPr>
          <w:p>
            <w:pPr>
              <w:pStyle w:val="TableText"/>
              <w:ind w:left="164"/>
              <w:spacing w:before="200" w:line="183" w:lineRule="auto"/>
              <w:rPr>
                <w:sz w:val="16"/>
                <w:szCs w:val="16"/>
              </w:rPr>
            </w:pPr>
            <w:r>
              <w:rPr>
                <w:sz w:val="16"/>
                <w:szCs w:val="16"/>
                <w:spacing w:val="-2"/>
              </w:rPr>
              <w:t>643</w:t>
            </w:r>
          </w:p>
        </w:tc>
        <w:tc>
          <w:tcPr>
            <w:tcW w:w="1289" w:type="dxa"/>
            <w:vAlign w:val="top"/>
          </w:tcPr>
          <w:p>
            <w:pPr>
              <w:pStyle w:val="TableText"/>
              <w:ind w:left="150"/>
              <w:spacing w:before="159" w:line="219" w:lineRule="auto"/>
              <w:rPr>
                <w:sz w:val="16"/>
                <w:szCs w:val="16"/>
              </w:rPr>
            </w:pPr>
            <w:r>
              <w:rPr>
                <w:sz w:val="16"/>
                <w:szCs w:val="16"/>
                <w:spacing w:val="-2"/>
              </w:rPr>
              <w:t>文化和旅龄都</w:t>
            </w:r>
          </w:p>
        </w:tc>
        <w:tc>
          <w:tcPr>
            <w:tcW w:w="1628" w:type="dxa"/>
            <w:vAlign w:val="top"/>
          </w:tcPr>
          <w:p>
            <w:pPr>
              <w:pStyle w:val="TableText"/>
              <w:ind w:left="32" w:right="105" w:firstLine="49"/>
              <w:spacing w:before="78" w:line="224" w:lineRule="auto"/>
              <w:rPr>
                <w:sz w:val="16"/>
                <w:szCs w:val="16"/>
              </w:rPr>
            </w:pPr>
            <w:r>
              <w:rPr>
                <w:sz w:val="16"/>
                <w:szCs w:val="16"/>
                <w:spacing w:val="-2"/>
              </w:rPr>
              <w:t>交艺丧演团体设立市</w:t>
            </w:r>
            <w:r>
              <w:rPr>
                <w:sz w:val="16"/>
                <w:szCs w:val="16"/>
                <w:spacing w:val="7"/>
              </w:rPr>
              <w:t xml:space="preserve"> </w:t>
            </w:r>
            <w:r>
              <w:rPr>
                <w:sz w:val="16"/>
                <w:szCs w:val="16"/>
              </w:rPr>
              <w:t>世</w:t>
            </w:r>
          </w:p>
        </w:tc>
        <w:tc>
          <w:tcPr>
            <w:tcW w:w="2387" w:type="dxa"/>
            <w:vAlign w:val="top"/>
          </w:tcPr>
          <w:p>
            <w:pPr>
              <w:pStyle w:val="TableText"/>
              <w:ind w:left="44"/>
              <w:spacing w:before="159" w:line="219" w:lineRule="auto"/>
              <w:rPr>
                <w:sz w:val="16"/>
                <w:szCs w:val="16"/>
              </w:rPr>
            </w:pPr>
            <w:r>
              <w:rPr>
                <w:sz w:val="16"/>
                <w:szCs w:val="16"/>
                <w:spacing w:val="1"/>
              </w:rPr>
              <w:t>省塑，善组文化和旅酸盘门</w:t>
            </w:r>
          </w:p>
        </w:tc>
        <w:tc>
          <w:tcPr>
            <w:tcW w:w="3711" w:type="dxa"/>
            <w:vAlign w:val="top"/>
          </w:tcPr>
          <w:p>
            <w:pPr>
              <w:pStyle w:val="TableText"/>
              <w:ind w:left="36"/>
              <w:spacing w:before="159" w:line="219" w:lineRule="auto"/>
              <w:rPr>
                <w:sz w:val="16"/>
                <w:szCs w:val="16"/>
              </w:rPr>
            </w:pPr>
            <w:r>
              <w:rPr>
                <w:sz w:val="16"/>
                <w:szCs w:val="16"/>
                <w:spacing w:val="-1"/>
              </w:rPr>
              <w:t>C意业性颜出管理务例?</w:t>
            </w:r>
          </w:p>
        </w:tc>
      </w:tr>
      <w:tr>
        <w:trPr>
          <w:trHeight w:val="470" w:hRule="atLeast"/>
        </w:trPr>
        <w:tc>
          <w:tcPr>
            <w:tcW w:w="594" w:type="dxa"/>
            <w:vAlign w:val="top"/>
          </w:tcPr>
          <w:p>
            <w:pPr>
              <w:rPr>
                <w:rFonts w:ascii="Arial"/>
                <w:sz w:val="21"/>
              </w:rPr>
            </w:pPr>
            <w:r/>
          </w:p>
        </w:tc>
        <w:tc>
          <w:tcPr>
            <w:tcW w:w="1289" w:type="dxa"/>
            <w:vAlign w:val="top"/>
          </w:tcPr>
          <w:p>
            <w:pPr>
              <w:pStyle w:val="TableText"/>
              <w:ind w:left="150"/>
              <w:spacing w:before="161" w:line="220" w:lineRule="auto"/>
              <w:rPr>
                <w:sz w:val="16"/>
                <w:szCs w:val="16"/>
              </w:rPr>
            </w:pPr>
            <w:r>
              <w:rPr>
                <w:sz w:val="16"/>
                <w:szCs w:val="16"/>
                <w:spacing w:val="2"/>
              </w:rPr>
              <w:t>文化和费器系</w:t>
            </w:r>
          </w:p>
        </w:tc>
        <w:tc>
          <w:tcPr>
            <w:tcW w:w="1628" w:type="dxa"/>
            <w:vAlign w:val="top"/>
          </w:tcPr>
          <w:p>
            <w:pPr>
              <w:pStyle w:val="TableText"/>
              <w:ind w:left="72" w:right="103" w:firstLine="9"/>
              <w:spacing w:before="70" w:line="214" w:lineRule="auto"/>
              <w:rPr>
                <w:sz w:val="16"/>
                <w:szCs w:val="16"/>
              </w:rPr>
            </w:pPr>
            <w:r>
              <w:rPr>
                <w:sz w:val="16"/>
                <w:szCs w:val="16"/>
                <w:spacing w:val="-1"/>
              </w:rPr>
              <w:t>填外投资清出畅所经</w:t>
            </w:r>
            <w:r>
              <w:rPr>
                <w:sz w:val="16"/>
                <w:szCs w:val="16"/>
              </w:rPr>
              <w:t xml:space="preserve"> </w:t>
            </w:r>
            <w:r>
              <w:rPr>
                <w:sz w:val="16"/>
                <w:szCs w:val="16"/>
                <w:spacing w:val="-1"/>
              </w:rPr>
              <w:t>配单位设文审重</w:t>
            </w:r>
          </w:p>
        </w:tc>
        <w:tc>
          <w:tcPr>
            <w:tcW w:w="2387" w:type="dxa"/>
            <w:vAlign w:val="top"/>
          </w:tcPr>
          <w:p>
            <w:pPr>
              <w:pStyle w:val="TableText"/>
              <w:ind w:left="44" w:right="50" w:firstLine="49"/>
              <w:spacing w:before="59" w:line="231" w:lineRule="auto"/>
              <w:rPr>
                <w:sz w:val="16"/>
                <w:szCs w:val="16"/>
              </w:rPr>
            </w:pPr>
            <w:r>
              <w:rPr>
                <w:sz w:val="16"/>
                <w:szCs w:val="16"/>
                <w:spacing w:val="-1"/>
              </w:rPr>
              <w:t>文化和结龄部，省级文化和监学</w:t>
            </w:r>
            <w:r>
              <w:rPr>
                <w:sz w:val="16"/>
                <w:szCs w:val="16"/>
                <w:spacing w:val="5"/>
              </w:rPr>
              <w:t xml:space="preserve"> </w:t>
            </w:r>
            <w:r>
              <w:rPr>
                <w:sz w:val="16"/>
                <w:szCs w:val="16"/>
                <w:spacing w:val="8"/>
              </w:rPr>
              <w:t>部门</w:t>
            </w:r>
          </w:p>
        </w:tc>
        <w:tc>
          <w:tcPr>
            <w:tcW w:w="3711" w:type="dxa"/>
            <w:vAlign w:val="top"/>
          </w:tcPr>
          <w:p>
            <w:pPr>
              <w:pStyle w:val="TableText"/>
              <w:ind w:left="36"/>
              <w:spacing w:before="160" w:line="219" w:lineRule="auto"/>
              <w:rPr>
                <w:sz w:val="16"/>
                <w:szCs w:val="16"/>
              </w:rPr>
            </w:pPr>
            <w:r>
              <w:rPr>
                <w:sz w:val="16"/>
                <w:szCs w:val="16"/>
                <w:spacing w:val="3"/>
              </w:rPr>
              <w:t>否业性消出管理条例)</w:t>
            </w:r>
          </w:p>
        </w:tc>
      </w:tr>
      <w:tr>
        <w:trPr>
          <w:trHeight w:val="479" w:hRule="atLeast"/>
        </w:trPr>
        <w:tc>
          <w:tcPr>
            <w:tcW w:w="594" w:type="dxa"/>
            <w:vAlign w:val="top"/>
          </w:tcPr>
          <w:p>
            <w:pPr>
              <w:pStyle w:val="TableText"/>
              <w:ind w:left="164"/>
              <w:spacing w:before="201" w:line="183" w:lineRule="auto"/>
              <w:rPr>
                <w:sz w:val="16"/>
                <w:szCs w:val="16"/>
              </w:rPr>
            </w:pPr>
            <w:r>
              <w:rPr>
                <w:sz w:val="16"/>
                <w:szCs w:val="16"/>
                <w:spacing w:val="-2"/>
              </w:rPr>
              <w:t>045</w:t>
            </w:r>
          </w:p>
        </w:tc>
        <w:tc>
          <w:tcPr>
            <w:tcW w:w="1289" w:type="dxa"/>
            <w:vAlign w:val="top"/>
          </w:tcPr>
          <w:p>
            <w:pPr>
              <w:pStyle w:val="TableText"/>
              <w:ind w:left="150"/>
              <w:spacing w:before="160" w:line="219" w:lineRule="auto"/>
              <w:rPr>
                <w:sz w:val="16"/>
                <w:szCs w:val="16"/>
              </w:rPr>
            </w:pPr>
            <w:r>
              <w:rPr>
                <w:sz w:val="16"/>
                <w:szCs w:val="16"/>
                <w:spacing w:val="-2"/>
              </w:rPr>
              <w:t>文化和院酚部</w:t>
            </w:r>
          </w:p>
        </w:tc>
        <w:tc>
          <w:tcPr>
            <w:tcW w:w="1628" w:type="dxa"/>
            <w:vAlign w:val="top"/>
          </w:tcPr>
          <w:p>
            <w:pPr>
              <w:pStyle w:val="TableText"/>
              <w:ind w:left="22" w:right="82" w:firstLine="59"/>
              <w:spacing w:before="71" w:line="226" w:lineRule="auto"/>
              <w:rPr>
                <w:sz w:val="16"/>
                <w:szCs w:val="16"/>
              </w:rPr>
            </w:pPr>
            <w:r>
              <w:rPr>
                <w:sz w:val="16"/>
                <w:szCs w:val="16"/>
                <w:spacing w:val="1"/>
              </w:rPr>
              <w:t>演出经纪扭构设立审</w:t>
            </w:r>
            <w:r>
              <w:rPr>
                <w:sz w:val="16"/>
                <w:szCs w:val="16"/>
                <w:spacing w:val="3"/>
              </w:rPr>
              <w:t xml:space="preserve"> </w:t>
            </w:r>
            <w:r>
              <w:rPr>
                <w:sz w:val="16"/>
                <w:szCs w:val="16"/>
              </w:rPr>
              <w:t>盘</w:t>
            </w:r>
          </w:p>
        </w:tc>
        <w:tc>
          <w:tcPr>
            <w:tcW w:w="2387" w:type="dxa"/>
            <w:vAlign w:val="top"/>
          </w:tcPr>
          <w:p>
            <w:pPr>
              <w:pStyle w:val="TableText"/>
              <w:ind w:left="44" w:right="50" w:firstLine="49"/>
              <w:spacing w:before="60" w:line="225" w:lineRule="auto"/>
              <w:rPr>
                <w:sz w:val="16"/>
                <w:szCs w:val="16"/>
              </w:rPr>
            </w:pPr>
            <w:r>
              <w:rPr>
                <w:sz w:val="16"/>
                <w:szCs w:val="16"/>
                <w:spacing w:val="-1"/>
              </w:rPr>
              <w:t>文化和家醉部；者级文化和版游</w:t>
            </w:r>
            <w:r>
              <w:rPr>
                <w:sz w:val="16"/>
                <w:szCs w:val="16"/>
                <w:spacing w:val="5"/>
              </w:rPr>
              <w:t xml:space="preserve"> </w:t>
            </w:r>
            <w:r>
              <w:rPr>
                <w:sz w:val="16"/>
                <w:szCs w:val="16"/>
                <w:spacing w:val="8"/>
              </w:rPr>
              <w:t>都1</w:t>
            </w:r>
          </w:p>
        </w:tc>
        <w:tc>
          <w:tcPr>
            <w:tcW w:w="3711" w:type="dxa"/>
            <w:vAlign w:val="top"/>
          </w:tcPr>
          <w:p>
            <w:pPr>
              <w:pStyle w:val="TableText"/>
              <w:ind w:left="36"/>
              <w:spacing w:before="159" w:line="219" w:lineRule="auto"/>
              <w:rPr>
                <w:sz w:val="16"/>
                <w:szCs w:val="16"/>
              </w:rPr>
            </w:pPr>
            <w:r>
              <w:rPr>
                <w:sz w:val="16"/>
                <w:szCs w:val="16"/>
                <w:spacing w:val="3"/>
              </w:rPr>
              <w:t>1意业作演州青理集例)</w:t>
            </w:r>
          </w:p>
        </w:tc>
      </w:tr>
      <w:tr>
        <w:trPr>
          <w:trHeight w:val="479" w:hRule="atLeast"/>
        </w:trPr>
        <w:tc>
          <w:tcPr>
            <w:tcW w:w="594" w:type="dxa"/>
            <w:vAlign w:val="top"/>
          </w:tcPr>
          <w:p>
            <w:pPr>
              <w:pStyle w:val="TableText"/>
              <w:ind w:left="164"/>
              <w:spacing w:before="202" w:line="183" w:lineRule="auto"/>
              <w:rPr>
                <w:sz w:val="16"/>
                <w:szCs w:val="16"/>
              </w:rPr>
            </w:pPr>
            <w:r>
              <w:rPr>
                <w:sz w:val="16"/>
                <w:szCs w:val="16"/>
                <w:spacing w:val="-2"/>
              </w:rPr>
              <w:t>446</w:t>
            </w:r>
          </w:p>
        </w:tc>
        <w:tc>
          <w:tcPr>
            <w:tcW w:w="1289" w:type="dxa"/>
            <w:vAlign w:val="top"/>
          </w:tcPr>
          <w:p>
            <w:pPr>
              <w:pStyle w:val="TableText"/>
              <w:ind w:left="150"/>
              <w:spacing w:before="161" w:line="219" w:lineRule="auto"/>
              <w:rPr>
                <w:sz w:val="16"/>
                <w:szCs w:val="16"/>
              </w:rPr>
            </w:pPr>
            <w:r>
              <w:rPr>
                <w:sz w:val="16"/>
                <w:szCs w:val="16"/>
                <w:spacing w:val="-2"/>
              </w:rPr>
              <w:t>文化和察原零</w:t>
            </w:r>
          </w:p>
        </w:tc>
        <w:tc>
          <w:tcPr>
            <w:tcW w:w="1628" w:type="dxa"/>
            <w:vAlign w:val="top"/>
          </w:tcPr>
          <w:p>
            <w:pPr>
              <w:pStyle w:val="TableText"/>
              <w:ind w:left="42"/>
              <w:spacing w:before="161" w:line="219" w:lineRule="auto"/>
              <w:rPr>
                <w:sz w:val="16"/>
                <w:szCs w:val="16"/>
              </w:rPr>
            </w:pPr>
            <w:r>
              <w:rPr>
                <w:sz w:val="16"/>
                <w:szCs w:val="16"/>
                <w:spacing w:val="-1"/>
              </w:rPr>
              <w:t>冀业性请压市量</w:t>
            </w:r>
          </w:p>
        </w:tc>
        <w:tc>
          <w:tcPr>
            <w:tcW w:w="2387" w:type="dxa"/>
            <w:vAlign w:val="top"/>
          </w:tcPr>
          <w:p>
            <w:pPr>
              <w:pStyle w:val="TableText"/>
              <w:ind w:left="44"/>
              <w:spacing w:before="161" w:line="219" w:lineRule="auto"/>
              <w:rPr>
                <w:sz w:val="16"/>
                <w:szCs w:val="16"/>
              </w:rPr>
            </w:pPr>
            <w:r>
              <w:rPr>
                <w:sz w:val="16"/>
                <w:szCs w:val="16"/>
                <w:spacing w:val="1"/>
              </w:rPr>
              <w:t>首级，县极文化和林鼻部门</w:t>
            </w:r>
          </w:p>
        </w:tc>
        <w:tc>
          <w:tcPr>
            <w:tcW w:w="3711" w:type="dxa"/>
            <w:vAlign w:val="top"/>
          </w:tcPr>
          <w:p>
            <w:pPr>
              <w:pStyle w:val="TableText"/>
              <w:spacing w:before="81" w:line="219" w:lineRule="auto"/>
              <w:rPr>
                <w:sz w:val="16"/>
                <w:szCs w:val="16"/>
              </w:rPr>
            </w:pPr>
            <w:r>
              <w:rPr>
                <w:sz w:val="16"/>
                <w:szCs w:val="16"/>
                <w:spacing w:val="3"/>
              </w:rPr>
              <w:t>【意业性途品管理条都</w:t>
            </w:r>
          </w:p>
          <w:p>
            <w:pPr>
              <w:pStyle w:val="TableText"/>
              <w:spacing w:line="219" w:lineRule="auto"/>
              <w:rPr>
                <w:sz w:val="16"/>
                <w:szCs w:val="16"/>
              </w:rPr>
            </w:pPr>
            <w:r>
              <w:rPr>
                <w:sz w:val="16"/>
                <w:szCs w:val="16"/>
                <w:spacing w:val="-3"/>
              </w:rPr>
              <w:t>《营业性育出管理条例实范细制)</w:t>
            </w:r>
          </w:p>
        </w:tc>
      </w:tr>
      <w:tr>
        <w:trPr>
          <w:trHeight w:val="479" w:hRule="atLeast"/>
        </w:trPr>
        <w:tc>
          <w:tcPr>
            <w:tcW w:w="594" w:type="dxa"/>
            <w:vAlign w:val="top"/>
          </w:tcPr>
          <w:p>
            <w:pPr>
              <w:pStyle w:val="TableText"/>
              <w:ind w:left="204"/>
              <w:spacing w:before="203" w:line="183" w:lineRule="auto"/>
              <w:rPr>
                <w:sz w:val="16"/>
                <w:szCs w:val="16"/>
              </w:rPr>
            </w:pPr>
            <w:r>
              <w:rPr>
                <w:sz w:val="16"/>
                <w:szCs w:val="16"/>
                <w:spacing w:val="-2"/>
              </w:rPr>
              <w:t>47</w:t>
            </w:r>
          </w:p>
        </w:tc>
        <w:tc>
          <w:tcPr>
            <w:tcW w:w="1289" w:type="dxa"/>
            <w:vAlign w:val="top"/>
          </w:tcPr>
          <w:p>
            <w:pPr>
              <w:pStyle w:val="TableText"/>
              <w:ind w:left="150"/>
              <w:spacing w:before="163" w:line="220" w:lineRule="auto"/>
              <w:rPr>
                <w:sz w:val="16"/>
                <w:szCs w:val="16"/>
              </w:rPr>
            </w:pPr>
            <w:r>
              <w:rPr>
                <w:sz w:val="16"/>
                <w:szCs w:val="16"/>
                <w:spacing w:val="-2"/>
              </w:rPr>
              <w:t>文化和能游者</w:t>
            </w:r>
          </w:p>
        </w:tc>
        <w:tc>
          <w:tcPr>
            <w:tcW w:w="1628" w:type="dxa"/>
            <w:vAlign w:val="top"/>
          </w:tcPr>
          <w:p>
            <w:pPr>
              <w:pStyle w:val="TableText"/>
              <w:ind w:left="22" w:right="101" w:firstLine="59"/>
              <w:spacing w:before="72" w:line="214" w:lineRule="auto"/>
              <w:rPr>
                <w:sz w:val="16"/>
                <w:szCs w:val="16"/>
              </w:rPr>
            </w:pPr>
            <w:r>
              <w:rPr>
                <w:sz w:val="16"/>
                <w:szCs w:val="16"/>
                <w:spacing w:val="-1"/>
              </w:rPr>
              <w:t>黄出昼配人的资型认</w:t>
            </w:r>
            <w:r>
              <w:rPr>
                <w:sz w:val="16"/>
                <w:szCs w:val="16"/>
                <w:spacing w:val="2"/>
              </w:rPr>
              <w:t xml:space="preserve"> </w:t>
            </w:r>
            <w:r>
              <w:rPr>
                <w:sz w:val="16"/>
                <w:szCs w:val="16"/>
              </w:rPr>
              <w:t>定</w:t>
            </w:r>
          </w:p>
        </w:tc>
        <w:tc>
          <w:tcPr>
            <w:tcW w:w="2387" w:type="dxa"/>
            <w:vAlign w:val="top"/>
          </w:tcPr>
          <w:p>
            <w:pPr>
              <w:pStyle w:val="TableText"/>
              <w:ind w:left="44"/>
              <w:spacing w:before="162" w:line="219" w:lineRule="auto"/>
              <w:rPr>
                <w:sz w:val="16"/>
                <w:szCs w:val="16"/>
              </w:rPr>
            </w:pPr>
            <w:r>
              <w:rPr>
                <w:sz w:val="16"/>
                <w:szCs w:val="16"/>
                <w:spacing w:val="-2"/>
              </w:rPr>
              <w:t>文化和森卧菌</w:t>
            </w:r>
          </w:p>
        </w:tc>
        <w:tc>
          <w:tcPr>
            <w:tcW w:w="3711" w:type="dxa"/>
            <w:vAlign w:val="top"/>
          </w:tcPr>
          <w:p>
            <w:pPr>
              <w:pStyle w:val="TableText"/>
              <w:spacing w:before="82" w:line="219" w:lineRule="auto"/>
              <w:rPr>
                <w:sz w:val="16"/>
                <w:szCs w:val="16"/>
              </w:rPr>
            </w:pPr>
            <w:r>
              <w:rPr>
                <w:sz w:val="16"/>
                <w:szCs w:val="16"/>
                <w:spacing w:val="-6"/>
              </w:rPr>
              <w:t>《营业性谓出管电条房</w:t>
            </w:r>
          </w:p>
          <w:p>
            <w:pPr>
              <w:pStyle w:val="TableText"/>
              <w:ind w:left="36"/>
              <w:spacing w:line="219" w:lineRule="auto"/>
              <w:rPr>
                <w:sz w:val="16"/>
                <w:szCs w:val="16"/>
              </w:rPr>
            </w:pPr>
            <w:r>
              <w:rPr>
                <w:sz w:val="16"/>
                <w:szCs w:val="16"/>
              </w:rPr>
              <w:t>1因家职业须括目录(2021年版)%</w:t>
            </w:r>
          </w:p>
        </w:tc>
      </w:tr>
      <w:tr>
        <w:trPr>
          <w:trHeight w:val="479" w:hRule="atLeast"/>
        </w:trPr>
        <w:tc>
          <w:tcPr>
            <w:tcW w:w="594" w:type="dxa"/>
            <w:vAlign w:val="top"/>
          </w:tcPr>
          <w:p>
            <w:pPr>
              <w:pStyle w:val="TableText"/>
              <w:ind w:left="164"/>
              <w:spacing w:before="204" w:line="183" w:lineRule="auto"/>
              <w:rPr>
                <w:sz w:val="16"/>
                <w:szCs w:val="16"/>
              </w:rPr>
            </w:pPr>
            <w:r>
              <w:rPr>
                <w:sz w:val="16"/>
                <w:szCs w:val="16"/>
                <w:spacing w:val="-3"/>
              </w:rPr>
              <w:t>6ia</w:t>
            </w:r>
          </w:p>
        </w:tc>
        <w:tc>
          <w:tcPr>
            <w:tcW w:w="1289" w:type="dxa"/>
            <w:vAlign w:val="top"/>
          </w:tcPr>
          <w:p>
            <w:pPr>
              <w:pStyle w:val="TableText"/>
              <w:ind w:left="150"/>
              <w:spacing w:before="163" w:line="219" w:lineRule="auto"/>
              <w:rPr>
                <w:sz w:val="16"/>
                <w:szCs w:val="16"/>
              </w:rPr>
            </w:pPr>
            <w:r>
              <w:rPr>
                <w:sz w:val="16"/>
                <w:szCs w:val="16"/>
                <w:spacing w:val="-2"/>
              </w:rPr>
              <w:t>文化和集前常</w:t>
            </w:r>
          </w:p>
        </w:tc>
        <w:tc>
          <w:tcPr>
            <w:tcW w:w="1628" w:type="dxa"/>
            <w:vAlign w:val="top"/>
          </w:tcPr>
          <w:p>
            <w:pPr>
              <w:pStyle w:val="TableText"/>
              <w:ind w:left="12" w:right="82" w:firstLine="69"/>
              <w:spacing w:before="63" w:line="234" w:lineRule="auto"/>
              <w:rPr>
                <w:sz w:val="16"/>
                <w:szCs w:val="16"/>
              </w:rPr>
            </w:pPr>
            <w:r>
              <w:rPr>
                <w:sz w:val="16"/>
                <w:szCs w:val="16"/>
                <w:spacing w:val="1"/>
              </w:rPr>
              <w:t>蛭乐场所经营活动审</w:t>
            </w:r>
            <w:r>
              <w:rPr>
                <w:sz w:val="16"/>
                <w:szCs w:val="16"/>
                <w:spacing w:val="3"/>
              </w:rPr>
              <w:t xml:space="preserve"> </w:t>
            </w:r>
            <w:r>
              <w:rPr>
                <w:sz w:val="16"/>
                <w:szCs w:val="16"/>
              </w:rPr>
              <w:t>型</w:t>
            </w:r>
          </w:p>
        </w:tc>
        <w:tc>
          <w:tcPr>
            <w:tcW w:w="2387" w:type="dxa"/>
            <w:vAlign w:val="top"/>
          </w:tcPr>
          <w:p>
            <w:pPr>
              <w:pStyle w:val="TableText"/>
              <w:ind w:left="44"/>
              <w:spacing w:before="163" w:line="219" w:lineRule="auto"/>
              <w:rPr>
                <w:sz w:val="16"/>
                <w:szCs w:val="16"/>
              </w:rPr>
            </w:pPr>
            <w:r>
              <w:rPr>
                <w:sz w:val="16"/>
                <w:szCs w:val="16"/>
                <w:spacing w:val="1"/>
              </w:rPr>
              <w:t>古级，县烟立化和缺路郁门</w:t>
            </w:r>
          </w:p>
        </w:tc>
        <w:tc>
          <w:tcPr>
            <w:tcW w:w="3711" w:type="dxa"/>
            <w:vAlign w:val="top"/>
          </w:tcPr>
          <w:p>
            <w:pPr>
              <w:pStyle w:val="TableText"/>
              <w:spacing w:before="163" w:line="219" w:lineRule="auto"/>
              <w:rPr>
                <w:sz w:val="16"/>
                <w:szCs w:val="16"/>
              </w:rPr>
            </w:pPr>
            <w:r>
              <w:rPr>
                <w:sz w:val="16"/>
                <w:szCs w:val="16"/>
                <w:spacing w:val="-6"/>
              </w:rPr>
              <w:t>《颇乐物所管理临例?</w:t>
            </w:r>
          </w:p>
        </w:tc>
      </w:tr>
      <w:tr>
        <w:trPr>
          <w:trHeight w:val="479" w:hRule="atLeast"/>
        </w:trPr>
        <w:tc>
          <w:tcPr>
            <w:tcW w:w="594" w:type="dxa"/>
            <w:vAlign w:val="top"/>
          </w:tcPr>
          <w:p>
            <w:pPr>
              <w:pStyle w:val="TableText"/>
              <w:ind w:left="164"/>
              <w:spacing w:before="205" w:line="183" w:lineRule="auto"/>
              <w:rPr>
                <w:sz w:val="16"/>
                <w:szCs w:val="16"/>
              </w:rPr>
            </w:pPr>
            <w:r>
              <w:rPr>
                <w:sz w:val="16"/>
                <w:szCs w:val="16"/>
                <w:spacing w:val="-2"/>
              </w:rPr>
              <w:t>449</w:t>
            </w:r>
          </w:p>
        </w:tc>
        <w:tc>
          <w:tcPr>
            <w:tcW w:w="1289" w:type="dxa"/>
            <w:vAlign w:val="top"/>
          </w:tcPr>
          <w:p>
            <w:pPr>
              <w:pStyle w:val="TableText"/>
              <w:ind w:left="150"/>
              <w:spacing w:before="164" w:line="219" w:lineRule="auto"/>
              <w:rPr>
                <w:sz w:val="16"/>
                <w:szCs w:val="16"/>
              </w:rPr>
            </w:pPr>
            <w:r>
              <w:rPr>
                <w:sz w:val="16"/>
                <w:szCs w:val="16"/>
                <w:spacing w:val="-2"/>
              </w:rPr>
              <w:t>文化和始面部</w:t>
            </w:r>
          </w:p>
        </w:tc>
        <w:tc>
          <w:tcPr>
            <w:tcW w:w="1628" w:type="dxa"/>
            <w:vAlign w:val="top"/>
          </w:tcPr>
          <w:p>
            <w:pPr>
              <w:pStyle w:val="TableText"/>
              <w:ind w:left="32" w:right="103" w:firstLine="49"/>
              <w:spacing w:before="84" w:line="219" w:lineRule="auto"/>
              <w:rPr>
                <w:sz w:val="16"/>
                <w:szCs w:val="16"/>
              </w:rPr>
            </w:pPr>
            <w:r>
              <w:rPr>
                <w:sz w:val="16"/>
                <w:szCs w:val="16"/>
                <w:spacing w:val="-1"/>
              </w:rPr>
              <w:t>左联同上网靠务营业</w:t>
            </w:r>
            <w:r>
              <w:rPr>
                <w:sz w:val="16"/>
                <w:szCs w:val="16"/>
              </w:rPr>
              <w:t xml:space="preserve"> </w:t>
            </w:r>
            <w:r>
              <w:rPr>
                <w:sz w:val="16"/>
                <w:szCs w:val="16"/>
                <w:spacing w:val="-1"/>
              </w:rPr>
              <w:t>场所包建市批</w:t>
            </w:r>
          </w:p>
        </w:tc>
        <w:tc>
          <w:tcPr>
            <w:tcW w:w="2387" w:type="dxa"/>
            <w:vAlign w:val="top"/>
          </w:tcPr>
          <w:p>
            <w:pPr>
              <w:pStyle w:val="TableText"/>
              <w:ind w:left="44"/>
              <w:spacing w:before="164" w:line="219" w:lineRule="auto"/>
              <w:rPr>
                <w:sz w:val="16"/>
                <w:szCs w:val="16"/>
              </w:rPr>
            </w:pPr>
            <w:r>
              <w:rPr>
                <w:sz w:val="16"/>
                <w:szCs w:val="16"/>
                <w:spacing w:val="1"/>
              </w:rPr>
              <w:t>省圾，坠设支化和练察部门</w:t>
            </w:r>
          </w:p>
        </w:tc>
        <w:tc>
          <w:tcPr>
            <w:tcW w:w="3711" w:type="dxa"/>
            <w:vAlign w:val="top"/>
          </w:tcPr>
          <w:p>
            <w:pPr>
              <w:pStyle w:val="TableText"/>
              <w:ind w:left="36"/>
              <w:spacing w:before="164" w:line="219" w:lineRule="auto"/>
              <w:rPr>
                <w:sz w:val="16"/>
                <w:szCs w:val="16"/>
              </w:rPr>
            </w:pPr>
            <w:r>
              <w:rPr>
                <w:sz w:val="16"/>
                <w:szCs w:val="16"/>
              </w:rPr>
              <w:t>左联网上网放务营业替所管理杂</w:t>
            </w:r>
          </w:p>
        </w:tc>
      </w:tr>
      <w:tr>
        <w:trPr>
          <w:trHeight w:val="479" w:hRule="atLeast"/>
        </w:trPr>
        <w:tc>
          <w:tcPr>
            <w:tcW w:w="594" w:type="dxa"/>
            <w:vAlign w:val="top"/>
          </w:tcPr>
          <w:p>
            <w:pPr>
              <w:pStyle w:val="TableText"/>
              <w:ind w:left="164"/>
              <w:spacing w:before="206" w:line="184" w:lineRule="auto"/>
              <w:rPr>
                <w:sz w:val="16"/>
                <w:szCs w:val="16"/>
              </w:rPr>
            </w:pPr>
            <w:r>
              <w:rPr>
                <w:sz w:val="16"/>
                <w:szCs w:val="16"/>
                <w:spacing w:val="-2"/>
              </w:rPr>
              <w:t>651</w:t>
            </w:r>
          </w:p>
        </w:tc>
        <w:tc>
          <w:tcPr>
            <w:tcW w:w="1289" w:type="dxa"/>
            <w:vAlign w:val="top"/>
          </w:tcPr>
          <w:p>
            <w:pPr>
              <w:pStyle w:val="TableText"/>
              <w:ind w:left="150"/>
              <w:spacing w:before="165" w:line="219" w:lineRule="auto"/>
              <w:rPr>
                <w:sz w:val="16"/>
                <w:szCs w:val="16"/>
              </w:rPr>
            </w:pPr>
            <w:r>
              <w:rPr>
                <w:sz w:val="16"/>
                <w:szCs w:val="16"/>
                <w:spacing w:val="-2"/>
              </w:rPr>
              <w:t>文化和旅龄部</w:t>
            </w:r>
          </w:p>
        </w:tc>
        <w:tc>
          <w:tcPr>
            <w:tcW w:w="1628" w:type="dxa"/>
            <w:vAlign w:val="top"/>
          </w:tcPr>
          <w:p>
            <w:pPr>
              <w:pStyle w:val="TableText"/>
              <w:ind w:left="42" w:right="104" w:firstLine="39"/>
              <w:spacing w:before="75" w:line="220" w:lineRule="auto"/>
              <w:rPr>
                <w:sz w:val="16"/>
                <w:szCs w:val="16"/>
              </w:rPr>
            </w:pPr>
            <w:r>
              <w:rPr>
                <w:sz w:val="16"/>
                <w:szCs w:val="16"/>
                <w:spacing w:val="-1"/>
              </w:rPr>
              <w:t>五联同上两皇务经卷</w:t>
            </w:r>
            <w:r>
              <w:rPr>
                <w:sz w:val="16"/>
                <w:szCs w:val="16"/>
              </w:rPr>
              <w:t xml:space="preserve"> </w:t>
            </w:r>
            <w:r>
              <w:rPr>
                <w:sz w:val="16"/>
                <w:szCs w:val="16"/>
                <w:spacing w:val="-2"/>
              </w:rPr>
              <w:t>德动审在</w:t>
            </w:r>
          </w:p>
        </w:tc>
        <w:tc>
          <w:tcPr>
            <w:tcW w:w="2387" w:type="dxa"/>
            <w:vAlign w:val="top"/>
          </w:tcPr>
          <w:p>
            <w:pPr>
              <w:pStyle w:val="TableText"/>
              <w:ind w:left="44"/>
              <w:spacing w:before="165" w:line="219" w:lineRule="auto"/>
              <w:rPr>
                <w:sz w:val="16"/>
                <w:szCs w:val="16"/>
              </w:rPr>
            </w:pPr>
            <w:r>
              <w:rPr>
                <w:sz w:val="16"/>
                <w:szCs w:val="16"/>
                <w:spacing w:val="1"/>
              </w:rPr>
              <w:t>省题，县型文化和非龄常门</w:t>
            </w:r>
          </w:p>
        </w:tc>
        <w:tc>
          <w:tcPr>
            <w:tcW w:w="3711" w:type="dxa"/>
            <w:vAlign w:val="top"/>
          </w:tcPr>
          <w:p>
            <w:pPr>
              <w:pStyle w:val="TableText"/>
              <w:ind w:left="36"/>
              <w:spacing w:before="165" w:line="219" w:lineRule="auto"/>
              <w:rPr>
                <w:sz w:val="16"/>
                <w:szCs w:val="16"/>
              </w:rPr>
            </w:pPr>
            <w:r>
              <w:rPr>
                <w:sz w:val="16"/>
                <w:szCs w:val="16"/>
              </w:rPr>
              <w:t>(互能网上网型委营业场所管规条房》</w:t>
            </w:r>
          </w:p>
        </w:tc>
      </w:tr>
      <w:tr>
        <w:trPr>
          <w:trHeight w:val="475" w:hRule="atLeast"/>
        </w:trPr>
        <w:tc>
          <w:tcPr>
            <w:tcW w:w="594" w:type="dxa"/>
            <w:vAlign w:val="top"/>
          </w:tcPr>
          <w:p>
            <w:pPr>
              <w:pStyle w:val="TableText"/>
              <w:ind w:left="164"/>
              <w:spacing w:before="207" w:line="184" w:lineRule="auto"/>
              <w:rPr>
                <w:sz w:val="16"/>
                <w:szCs w:val="16"/>
              </w:rPr>
            </w:pPr>
            <w:r>
              <w:rPr>
                <w:sz w:val="16"/>
                <w:szCs w:val="16"/>
                <w:spacing w:val="-2"/>
              </w:rPr>
              <w:t>451</w:t>
            </w:r>
          </w:p>
        </w:tc>
        <w:tc>
          <w:tcPr>
            <w:tcW w:w="1289" w:type="dxa"/>
            <w:vAlign w:val="top"/>
          </w:tcPr>
          <w:p>
            <w:pPr>
              <w:pStyle w:val="TableText"/>
              <w:ind w:left="150"/>
              <w:spacing w:before="166" w:line="219" w:lineRule="auto"/>
              <w:rPr>
                <w:sz w:val="16"/>
                <w:szCs w:val="16"/>
              </w:rPr>
            </w:pPr>
            <w:r>
              <w:rPr>
                <w:sz w:val="16"/>
                <w:szCs w:val="16"/>
                <w:spacing w:val="-2"/>
              </w:rPr>
              <w:t>文化和菜游部</w:t>
            </w:r>
          </w:p>
        </w:tc>
        <w:tc>
          <w:tcPr>
            <w:tcW w:w="1628" w:type="dxa"/>
            <w:vAlign w:val="top"/>
          </w:tcPr>
          <w:p>
            <w:pPr>
              <w:pStyle w:val="TableText"/>
              <w:ind w:left="62" w:right="104" w:firstLine="19"/>
              <w:spacing w:before="66" w:line="225" w:lineRule="auto"/>
              <w:rPr>
                <w:sz w:val="16"/>
                <w:szCs w:val="16"/>
              </w:rPr>
            </w:pPr>
            <w:r>
              <w:rPr>
                <w:sz w:val="16"/>
                <w:szCs w:val="16"/>
                <w:spacing w:val="-1"/>
              </w:rPr>
              <w:t>设立经营世互联网文</w:t>
            </w:r>
            <w:r>
              <w:rPr>
                <w:sz w:val="16"/>
                <w:szCs w:val="16"/>
              </w:rPr>
              <w:t xml:space="preserve"> </w:t>
            </w:r>
            <w:r>
              <w:rPr>
                <w:sz w:val="16"/>
                <w:szCs w:val="16"/>
                <w:spacing w:val="-2"/>
              </w:rPr>
              <w:t>化单权南批</w:t>
            </w:r>
          </w:p>
        </w:tc>
        <w:tc>
          <w:tcPr>
            <w:tcW w:w="2387" w:type="dxa"/>
            <w:vAlign w:val="top"/>
          </w:tcPr>
          <w:p>
            <w:pPr>
              <w:pStyle w:val="TableText"/>
              <w:ind w:left="44"/>
              <w:spacing w:before="166" w:line="219" w:lineRule="auto"/>
              <w:rPr>
                <w:sz w:val="16"/>
                <w:szCs w:val="16"/>
              </w:rPr>
            </w:pPr>
            <w:r>
              <w:rPr>
                <w:sz w:val="16"/>
                <w:szCs w:val="16"/>
                <w:spacing w:val="1"/>
              </w:rPr>
              <w:t>省级文化和数器部门</w:t>
            </w:r>
          </w:p>
        </w:tc>
        <w:tc>
          <w:tcPr>
            <w:tcW w:w="3711" w:type="dxa"/>
            <w:vAlign w:val="top"/>
          </w:tcPr>
          <w:p>
            <w:pPr>
              <w:pStyle w:val="TableText"/>
              <w:ind w:left="59" w:right="217" w:hanging="59"/>
              <w:spacing w:before="57" w:line="230" w:lineRule="auto"/>
              <w:rPr>
                <w:sz w:val="16"/>
                <w:szCs w:val="16"/>
              </w:rPr>
            </w:pPr>
            <w:r>
              <w:rPr>
                <w:sz w:val="16"/>
                <w:szCs w:val="16"/>
                <w:spacing w:val="-2"/>
              </w:rPr>
              <w:t>《国各院对确需保前的容政审意项自设定行政许可</w:t>
            </w:r>
            <w:r>
              <w:rPr>
                <w:sz w:val="16"/>
                <w:szCs w:val="16"/>
                <w:spacing w:val="6"/>
              </w:rPr>
              <w:t xml:space="preserve"> </w:t>
            </w:r>
            <w:r>
              <w:rPr>
                <w:sz w:val="16"/>
                <w:szCs w:val="16"/>
                <w:spacing w:val="2"/>
              </w:rPr>
              <w:t>的决定</w:t>
            </w:r>
          </w:p>
        </w:tc>
      </w:tr>
    </w:tbl>
    <w:p>
      <w:pPr>
        <w:pStyle w:val="BodyText"/>
        <w:rPr/>
      </w:pPr>
      <w:r/>
    </w:p>
    <w:p>
      <w:pPr>
        <w:sectPr>
          <w:pgSz w:w="11910" w:h="8220"/>
          <w:pgMar w:top="400" w:right="114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871232" behindDoc="0" locked="0" layoutInCell="0" allowOverlap="1">
                <wp:simplePos x="0" y="0"/>
                <wp:positionH relativeFrom="page">
                  <wp:posOffset>465002</wp:posOffset>
                </wp:positionH>
                <wp:positionV relativeFrom="page">
                  <wp:posOffset>4375745</wp:posOffset>
                </wp:positionV>
                <wp:extent cx="217170" cy="215900"/>
                <wp:effectExtent l="0" t="0" r="0" b="0"/>
                <wp:wrapNone/>
                <wp:docPr id="260" name="TextBox 260"/>
                <wp:cNvGraphicFramePr/>
                <a:graphic>
                  <a:graphicData uri="http://schemas.microsoft.com/office/word/2010/wordprocessingShape">
                    <wps:wsp>
                      <wps:cNvSpPr txBox="1"/>
                      <wps:spPr>
                        <a:xfrm rot="5400000">
                          <a:off x="465002" y="4375745"/>
                          <a:ext cx="217170" cy="2159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90" w:line="184" w:lineRule="auto"/>
                              <w:rPr>
                                <w:rFonts w:ascii="SimSun" w:hAnsi="SimSun" w:eastAsia="SimSun" w:cs="SimSun"/>
                                <w:sz w:val="23"/>
                                <w:szCs w:val="23"/>
                              </w:rPr>
                            </w:pPr>
                            <w:r>
                              <w:rPr>
                                <w:rFonts w:ascii="SimSun" w:hAnsi="SimSun" w:eastAsia="SimSun" w:cs="SimSun"/>
                                <w:sz w:val="23"/>
                                <w:szCs w:val="23"/>
                                <w:spacing w:val="-10"/>
                              </w:rPr>
                              <w:t>211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2" style="position:absolute;margin-left:36.6144pt;margin-top:344.547pt;mso-position-vertical-relative:page;mso-position-horizontal-relative:page;width:17.1pt;height:17pt;z-index:251871232;rotation:90;" o:allowincell="f" filled="false" stroked="false" type="#_x0000_t202">
                <v:fill on="false"/>
                <v:stroke on="false"/>
                <v:path/>
                <v:imagedata o:title=""/>
                <o:lock v:ext="edit" aspectratio="false"/>
                <v:textbox inset="0mm,0mm,0mm,0mm">
                  <w:txbxContent>
                    <w:p>
                      <w:pPr>
                        <w:ind w:left="20"/>
                        <w:spacing w:before="90" w:line="184" w:lineRule="auto"/>
                        <w:rPr>
                          <w:rFonts w:ascii="SimSun" w:hAnsi="SimSun" w:eastAsia="SimSun" w:cs="SimSun"/>
                          <w:sz w:val="23"/>
                          <w:szCs w:val="23"/>
                        </w:rPr>
                      </w:pPr>
                      <w:r>
                        <w:rPr>
                          <w:rFonts w:ascii="SimSun" w:hAnsi="SimSun" w:eastAsia="SimSun" w:cs="SimSun"/>
                          <w:sz w:val="23"/>
                          <w:szCs w:val="23"/>
                          <w:spacing w:val="-10"/>
                        </w:rPr>
                        <w:t>211</w:t>
                      </w:r>
                    </w:p>
                  </w:txbxContent>
                </v:textbox>
              </v:shape>
            </w:pict>
          </mc:Fallback>
        </mc:AlternateContent>
      </w:r>
      <w:r/>
    </w:p>
    <w:tbl>
      <w:tblPr>
        <w:tblStyle w:val="TableNormal"/>
        <w:tblW w:w="9589" w:type="dxa"/>
        <w:tblInd w:w="31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01"/>
      </w:tblGrid>
      <w:tr>
        <w:trPr>
          <w:trHeight w:val="41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2" w:line="220" w:lineRule="auto"/>
              <w:rPr>
                <w:sz w:val="16"/>
                <w:szCs w:val="16"/>
              </w:rPr>
            </w:pPr>
            <w:r>
              <w:rPr>
                <w:sz w:val="16"/>
                <w:szCs w:val="16"/>
                <w:spacing w:val="3"/>
              </w:rPr>
              <w:t>中央主昏园门</w:t>
            </w:r>
          </w:p>
        </w:tc>
        <w:tc>
          <w:tcPr>
            <w:tcW w:w="1638" w:type="dxa"/>
            <w:vAlign w:val="top"/>
          </w:tcPr>
          <w:p>
            <w:pPr>
              <w:pStyle w:val="TableText"/>
              <w:ind w:left="461"/>
              <w:spacing w:before="132" w:line="220" w:lineRule="auto"/>
              <w:rPr>
                <w:sz w:val="16"/>
                <w:szCs w:val="16"/>
              </w:rPr>
            </w:pPr>
            <w:r>
              <w:rPr>
                <w:sz w:val="16"/>
                <w:szCs w:val="16"/>
                <w:spacing w:val="-2"/>
              </w:rPr>
              <w:t>事滨名积</w:t>
            </w:r>
          </w:p>
        </w:tc>
        <w:tc>
          <w:tcPr>
            <w:tcW w:w="2377" w:type="dxa"/>
            <w:vAlign w:val="top"/>
          </w:tcPr>
          <w:p>
            <w:pPr>
              <w:pStyle w:val="TableText"/>
              <w:ind w:left="856"/>
              <w:spacing w:before="128" w:line="219" w:lineRule="auto"/>
              <w:rPr>
                <w:sz w:val="16"/>
                <w:szCs w:val="16"/>
              </w:rPr>
            </w:pPr>
            <w:r>
              <w:rPr>
                <w:sz w:val="16"/>
                <w:szCs w:val="16"/>
                <w:b/>
                <w:bCs/>
                <w:spacing w:val="-4"/>
              </w:rPr>
              <w:t>实营机天</w:t>
            </w:r>
          </w:p>
        </w:tc>
        <w:tc>
          <w:tcPr>
            <w:tcW w:w="3701" w:type="dxa"/>
            <w:vAlign w:val="top"/>
          </w:tcPr>
          <w:p>
            <w:pPr>
              <w:pStyle w:val="TableText"/>
              <w:ind w:left="1276"/>
              <w:spacing w:before="131" w:line="219" w:lineRule="auto"/>
              <w:rPr>
                <w:sz w:val="16"/>
                <w:szCs w:val="16"/>
              </w:rPr>
            </w:pPr>
            <w:r>
              <w:rPr>
                <w:sz w:val="16"/>
                <w:szCs w:val="16"/>
                <w:spacing w:val="-2"/>
              </w:rPr>
              <w:t>设定和实尊张据</w:t>
            </w:r>
          </w:p>
        </w:tc>
      </w:tr>
      <w:tr>
        <w:trPr>
          <w:trHeight w:val="659" w:hRule="atLeast"/>
        </w:trPr>
        <w:tc>
          <w:tcPr>
            <w:tcW w:w="584" w:type="dxa"/>
            <w:vAlign w:val="top"/>
          </w:tcPr>
          <w:p>
            <w:pPr>
              <w:pStyle w:val="TableText"/>
              <w:ind w:left="164"/>
              <w:spacing w:before="287" w:line="183" w:lineRule="auto"/>
              <w:rPr>
                <w:sz w:val="16"/>
                <w:szCs w:val="16"/>
              </w:rPr>
            </w:pPr>
            <w:r>
              <w:rPr>
                <w:sz w:val="16"/>
                <w:szCs w:val="16"/>
                <w:spacing w:val="-2"/>
              </w:rPr>
              <w:t>452</w:t>
            </w:r>
          </w:p>
        </w:tc>
        <w:tc>
          <w:tcPr>
            <w:tcW w:w="1289" w:type="dxa"/>
            <w:vAlign w:val="top"/>
          </w:tcPr>
          <w:p>
            <w:pPr>
              <w:pStyle w:val="TableText"/>
              <w:ind w:left="150"/>
              <w:spacing w:before="246" w:line="219" w:lineRule="auto"/>
              <w:rPr>
                <w:sz w:val="16"/>
                <w:szCs w:val="16"/>
              </w:rPr>
            </w:pPr>
            <w:r>
              <w:rPr>
                <w:sz w:val="16"/>
                <w:szCs w:val="16"/>
                <w:spacing w:val="-2"/>
              </w:rPr>
              <w:t>文化和款带建</w:t>
            </w:r>
          </w:p>
        </w:tc>
        <w:tc>
          <w:tcPr>
            <w:tcW w:w="1638" w:type="dxa"/>
            <w:vAlign w:val="top"/>
          </w:tcPr>
          <w:p>
            <w:pPr>
              <w:pStyle w:val="TableText"/>
              <w:ind w:left="72" w:right="72" w:firstLine="20"/>
              <w:spacing w:before="37" w:line="242" w:lineRule="auto"/>
              <w:rPr>
                <w:sz w:val="16"/>
                <w:szCs w:val="16"/>
              </w:rPr>
            </w:pPr>
            <w:r>
              <w:rPr>
                <w:sz w:val="16"/>
                <w:szCs w:val="16"/>
                <w:spacing w:val="2"/>
              </w:rPr>
              <w:t>耳联同文化单他建口</w:t>
            </w:r>
            <w:r>
              <w:rPr>
                <w:sz w:val="16"/>
                <w:szCs w:val="16"/>
                <w:spacing w:val="4"/>
              </w:rPr>
              <w:t xml:space="preserve"> </w:t>
            </w:r>
            <w:r>
              <w:rPr>
                <w:sz w:val="16"/>
                <w:szCs w:val="16"/>
                <w:spacing w:val="-1"/>
              </w:rPr>
              <w:t>互联制文化产品内壁</w:t>
            </w:r>
          </w:p>
          <w:p>
            <w:pPr>
              <w:pStyle w:val="TableText"/>
              <w:ind w:left="201"/>
              <w:spacing w:line="220" w:lineRule="auto"/>
              <w:rPr>
                <w:sz w:val="16"/>
                <w:szCs w:val="16"/>
              </w:rPr>
            </w:pPr>
            <w:r>
              <w:rPr>
                <w:sz w:val="16"/>
                <w:szCs w:val="16"/>
                <w:spacing w:val="4"/>
              </w:rPr>
              <w:t>审差</w:t>
            </w:r>
          </w:p>
        </w:tc>
        <w:tc>
          <w:tcPr>
            <w:tcW w:w="2377" w:type="dxa"/>
            <w:vAlign w:val="top"/>
          </w:tcPr>
          <w:p>
            <w:pPr>
              <w:pStyle w:val="TableText"/>
              <w:ind w:left="54"/>
              <w:spacing w:before="245" w:line="219" w:lineRule="auto"/>
              <w:rPr>
                <w:sz w:val="16"/>
                <w:szCs w:val="16"/>
              </w:rPr>
            </w:pPr>
            <w:r>
              <w:rPr>
                <w:sz w:val="16"/>
                <w:szCs w:val="16"/>
                <w:spacing w:val="-2"/>
              </w:rPr>
              <w:t>文化和族静部</w:t>
            </w:r>
          </w:p>
        </w:tc>
        <w:tc>
          <w:tcPr>
            <w:tcW w:w="3701" w:type="dxa"/>
            <w:vAlign w:val="top"/>
          </w:tcPr>
          <w:p>
            <w:pPr>
              <w:pStyle w:val="TableText"/>
              <w:ind w:left="56" w:right="187"/>
              <w:spacing w:before="166" w:line="226" w:lineRule="auto"/>
              <w:rPr>
                <w:sz w:val="16"/>
                <w:szCs w:val="16"/>
              </w:rPr>
            </w:pPr>
            <w:r>
              <w:rPr>
                <w:sz w:val="16"/>
                <w:szCs w:val="16"/>
              </w:rPr>
              <w:t>1四务院射确需保留的行致审批德目设定行旋拌可</w:t>
            </w:r>
            <w:r>
              <w:rPr>
                <w:sz w:val="16"/>
                <w:szCs w:val="16"/>
                <w:spacing w:val="5"/>
              </w:rPr>
              <w:t xml:space="preserve"> </w:t>
            </w:r>
            <w:r>
              <w:rPr>
                <w:sz w:val="16"/>
                <w:szCs w:val="16"/>
                <w:spacing w:val="3"/>
              </w:rPr>
              <w:t>的庆定</w:t>
            </w:r>
          </w:p>
        </w:tc>
      </w:tr>
      <w:tr>
        <w:trPr>
          <w:trHeight w:val="459" w:hRule="atLeast"/>
        </w:trPr>
        <w:tc>
          <w:tcPr>
            <w:tcW w:w="584" w:type="dxa"/>
            <w:vAlign w:val="top"/>
          </w:tcPr>
          <w:p>
            <w:pPr>
              <w:pStyle w:val="TableText"/>
              <w:ind w:left="164"/>
              <w:spacing w:before="188" w:line="183" w:lineRule="auto"/>
              <w:rPr>
                <w:sz w:val="16"/>
                <w:szCs w:val="16"/>
              </w:rPr>
            </w:pPr>
            <w:r>
              <w:rPr>
                <w:sz w:val="16"/>
                <w:szCs w:val="16"/>
                <w:spacing w:val="-2"/>
              </w:rPr>
              <w:t>455</w:t>
            </w:r>
          </w:p>
        </w:tc>
        <w:tc>
          <w:tcPr>
            <w:tcW w:w="1289" w:type="dxa"/>
            <w:vAlign w:val="top"/>
          </w:tcPr>
          <w:p>
            <w:pPr>
              <w:pStyle w:val="TableText"/>
              <w:ind w:left="150"/>
              <w:spacing w:before="147" w:line="219" w:lineRule="auto"/>
              <w:rPr>
                <w:sz w:val="16"/>
                <w:szCs w:val="16"/>
              </w:rPr>
            </w:pPr>
            <w:r>
              <w:rPr>
                <w:sz w:val="16"/>
                <w:szCs w:val="16"/>
                <w:spacing w:val="2"/>
              </w:rPr>
              <w:t>主化和森游测</w:t>
            </w:r>
          </w:p>
        </w:tc>
        <w:tc>
          <w:tcPr>
            <w:tcW w:w="1638" w:type="dxa"/>
            <w:vAlign w:val="top"/>
          </w:tcPr>
          <w:p>
            <w:pPr>
              <w:pStyle w:val="TableText"/>
              <w:ind w:left="201" w:right="122" w:hanging="129"/>
              <w:spacing w:before="57" w:line="220" w:lineRule="auto"/>
              <w:rPr>
                <w:sz w:val="16"/>
                <w:szCs w:val="16"/>
              </w:rPr>
            </w:pPr>
            <w:r>
              <w:rPr>
                <w:sz w:val="16"/>
                <w:szCs w:val="16"/>
                <w:spacing w:val="-1"/>
              </w:rPr>
              <w:t>规术易盗出口经督师</w:t>
            </w:r>
            <w:r>
              <w:rPr>
                <w:sz w:val="16"/>
                <w:szCs w:val="16"/>
                <w:spacing w:val="1"/>
              </w:rPr>
              <w:t xml:space="preserve"> </w:t>
            </w:r>
            <w:r>
              <w:rPr>
                <w:sz w:val="16"/>
                <w:szCs w:val="16"/>
                <w:spacing w:val="-2"/>
              </w:rPr>
              <w:t>动事有</w:t>
            </w:r>
          </w:p>
        </w:tc>
        <w:tc>
          <w:tcPr>
            <w:tcW w:w="2377" w:type="dxa"/>
            <w:vAlign w:val="top"/>
          </w:tcPr>
          <w:p>
            <w:pPr>
              <w:pStyle w:val="TableText"/>
              <w:ind w:left="54"/>
              <w:spacing w:before="147" w:line="219" w:lineRule="auto"/>
              <w:rPr>
                <w:sz w:val="16"/>
                <w:szCs w:val="16"/>
              </w:rPr>
            </w:pPr>
            <w:r>
              <w:rPr>
                <w:sz w:val="16"/>
                <w:szCs w:val="16"/>
                <w:spacing w:val="1"/>
              </w:rPr>
              <w:t>育观工化称理面部门</w:t>
            </w:r>
          </w:p>
        </w:tc>
        <w:tc>
          <w:tcPr>
            <w:tcW w:w="3701" w:type="dxa"/>
            <w:vAlign w:val="top"/>
          </w:tcPr>
          <w:p>
            <w:pPr>
              <w:pStyle w:val="TableText"/>
              <w:ind w:left="56" w:right="377" w:hanging="20"/>
              <w:spacing w:before="56" w:line="220" w:lineRule="auto"/>
              <w:rPr>
                <w:sz w:val="16"/>
                <w:szCs w:val="16"/>
              </w:rPr>
            </w:pPr>
            <w:r>
              <w:rPr>
                <w:sz w:val="16"/>
                <w:szCs w:val="16"/>
                <w:spacing w:val="-1"/>
              </w:rPr>
              <w:t>K博务院别确需保育的行政审批项几设定行致许</w:t>
            </w:r>
            <w:r>
              <w:rPr>
                <w:sz w:val="16"/>
                <w:szCs w:val="16"/>
                <w:spacing w:val="16"/>
              </w:rPr>
              <w:t xml:space="preserve"> </w:t>
            </w:r>
            <w:r>
              <w:rPr>
                <w:sz w:val="16"/>
                <w:szCs w:val="16"/>
                <w:spacing w:val="3"/>
              </w:rPr>
              <w:t>的决定</w:t>
            </w:r>
          </w:p>
        </w:tc>
      </w:tr>
      <w:tr>
        <w:trPr>
          <w:trHeight w:val="449" w:hRule="atLeast"/>
        </w:trPr>
        <w:tc>
          <w:tcPr>
            <w:tcW w:w="584" w:type="dxa"/>
            <w:vAlign w:val="top"/>
          </w:tcPr>
          <w:p>
            <w:pPr>
              <w:pStyle w:val="TableText"/>
              <w:ind w:left="164"/>
              <w:spacing w:before="189" w:line="183" w:lineRule="auto"/>
              <w:rPr>
                <w:sz w:val="16"/>
                <w:szCs w:val="16"/>
              </w:rPr>
            </w:pPr>
            <w:r>
              <w:rPr>
                <w:sz w:val="16"/>
                <w:szCs w:val="16"/>
                <w:spacing w:val="-2"/>
              </w:rPr>
              <w:t>454</w:t>
            </w:r>
          </w:p>
        </w:tc>
        <w:tc>
          <w:tcPr>
            <w:tcW w:w="1289" w:type="dxa"/>
            <w:vAlign w:val="top"/>
          </w:tcPr>
          <w:p>
            <w:pPr>
              <w:pStyle w:val="TableText"/>
              <w:ind w:left="150"/>
              <w:spacing w:before="148" w:line="219" w:lineRule="auto"/>
              <w:rPr>
                <w:sz w:val="16"/>
                <w:szCs w:val="16"/>
              </w:rPr>
            </w:pPr>
            <w:r>
              <w:rPr>
                <w:sz w:val="16"/>
                <w:szCs w:val="16"/>
                <w:spacing w:val="-2"/>
              </w:rPr>
              <w:t>文化和宣数害</w:t>
            </w:r>
          </w:p>
        </w:tc>
        <w:tc>
          <w:tcPr>
            <w:tcW w:w="1638" w:type="dxa"/>
            <w:vAlign w:val="top"/>
          </w:tcPr>
          <w:p>
            <w:pPr>
              <w:pStyle w:val="TableText"/>
              <w:ind w:left="201"/>
              <w:spacing w:before="38" w:line="230" w:lineRule="auto"/>
              <w:rPr>
                <w:sz w:val="16"/>
                <w:szCs w:val="16"/>
              </w:rPr>
            </w:pPr>
            <w:r>
              <w:rPr>
                <w:sz w:val="16"/>
                <w:szCs w:val="16"/>
                <w:spacing w:val="-2"/>
              </w:rPr>
              <w:t>设置社会艺术感甲书</w:t>
            </w:r>
            <w:r>
              <w:rPr>
                <w:sz w:val="16"/>
                <w:szCs w:val="16"/>
                <w:spacing w:val="3"/>
              </w:rPr>
              <w:t xml:space="preserve"> </w:t>
            </w:r>
            <w:r>
              <w:rPr>
                <w:sz w:val="16"/>
                <w:szCs w:val="16"/>
                <w:spacing w:val="-2"/>
              </w:rPr>
              <w:t>骤机构审肃</w:t>
            </w:r>
          </w:p>
        </w:tc>
        <w:tc>
          <w:tcPr>
            <w:tcW w:w="2377" w:type="dxa"/>
            <w:vAlign w:val="top"/>
          </w:tcPr>
          <w:p>
            <w:pPr>
              <w:pStyle w:val="TableText"/>
              <w:ind w:left="54"/>
              <w:spacing w:before="148" w:line="219" w:lineRule="auto"/>
              <w:rPr>
                <w:sz w:val="16"/>
                <w:szCs w:val="16"/>
              </w:rPr>
            </w:pPr>
            <w:r>
              <w:rPr>
                <w:sz w:val="16"/>
                <w:szCs w:val="16"/>
                <w:spacing w:val="1"/>
              </w:rPr>
              <w:t>否第文化租是面部门</w:t>
            </w:r>
          </w:p>
        </w:tc>
        <w:tc>
          <w:tcPr>
            <w:tcW w:w="3701" w:type="dxa"/>
            <w:vAlign w:val="top"/>
          </w:tcPr>
          <w:p>
            <w:pPr>
              <w:pStyle w:val="TableText"/>
              <w:ind w:left="56" w:right="186" w:hanging="10"/>
              <w:spacing w:before="28" w:line="231" w:lineRule="auto"/>
              <w:rPr>
                <w:sz w:val="16"/>
                <w:szCs w:val="16"/>
              </w:rPr>
            </w:pPr>
            <w:r>
              <w:rPr>
                <w:sz w:val="16"/>
                <w:szCs w:val="16"/>
              </w:rPr>
              <w:t>T国务家时确需程做的行故审批项用设定方改许叫</w:t>
            </w:r>
            <w:r>
              <w:rPr>
                <w:sz w:val="16"/>
                <w:szCs w:val="16"/>
                <w:spacing w:val="16"/>
              </w:rPr>
              <w:t xml:space="preserve"> </w:t>
            </w:r>
            <w:r>
              <w:rPr>
                <w:sz w:val="16"/>
                <w:szCs w:val="16"/>
              </w:rPr>
              <w:t>的决定》</w:t>
            </w:r>
          </w:p>
        </w:tc>
      </w:tr>
      <w:tr>
        <w:trPr>
          <w:trHeight w:val="659" w:hRule="atLeast"/>
        </w:trPr>
        <w:tc>
          <w:tcPr>
            <w:tcW w:w="584" w:type="dxa"/>
            <w:vAlign w:val="top"/>
          </w:tcPr>
          <w:p>
            <w:pPr>
              <w:pStyle w:val="TableText"/>
              <w:ind w:left="164"/>
              <w:spacing w:before="290" w:line="183" w:lineRule="auto"/>
              <w:rPr>
                <w:sz w:val="16"/>
                <w:szCs w:val="16"/>
              </w:rPr>
            </w:pPr>
            <w:r>
              <w:rPr>
                <w:sz w:val="16"/>
                <w:szCs w:val="16"/>
                <w:spacing w:val="-2"/>
              </w:rPr>
              <w:t>452</w:t>
            </w:r>
          </w:p>
        </w:tc>
        <w:tc>
          <w:tcPr>
            <w:tcW w:w="1289" w:type="dxa"/>
            <w:vAlign w:val="top"/>
          </w:tcPr>
          <w:p>
            <w:pPr>
              <w:pStyle w:val="TableText"/>
              <w:ind w:left="150"/>
              <w:spacing w:before="248" w:line="219" w:lineRule="auto"/>
              <w:rPr>
                <w:sz w:val="16"/>
                <w:szCs w:val="16"/>
              </w:rPr>
            </w:pPr>
            <w:r>
              <w:rPr>
                <w:sz w:val="16"/>
                <w:szCs w:val="16"/>
                <w:spacing w:val="-2"/>
              </w:rPr>
              <w:t>文化和能勤存</w:t>
            </w:r>
          </w:p>
        </w:tc>
        <w:tc>
          <w:tcPr>
            <w:tcW w:w="1638" w:type="dxa"/>
            <w:vAlign w:val="top"/>
          </w:tcPr>
          <w:p>
            <w:pPr>
              <w:pStyle w:val="TableText"/>
              <w:ind w:left="201"/>
              <w:spacing w:before="28" w:line="231" w:lineRule="auto"/>
              <w:jc w:val="both"/>
              <w:rPr>
                <w:sz w:val="16"/>
                <w:szCs w:val="16"/>
              </w:rPr>
            </w:pPr>
            <w:r>
              <w:rPr>
                <w:sz w:val="16"/>
                <w:szCs w:val="16"/>
                <w:spacing w:val="-2"/>
              </w:rPr>
              <w:t>填纤组织观着个人在</w:t>
            </w:r>
            <w:r>
              <w:rPr>
                <w:sz w:val="16"/>
                <w:szCs w:val="16"/>
                <w:spacing w:val="3"/>
              </w:rPr>
              <w:t xml:space="preserve"> </w:t>
            </w:r>
            <w:r>
              <w:rPr>
                <w:sz w:val="16"/>
                <w:szCs w:val="16"/>
                <w:spacing w:val="-2"/>
              </w:rPr>
              <w:t>填内避行再物质交化</w:t>
            </w:r>
            <w:r>
              <w:rPr>
                <w:sz w:val="16"/>
                <w:szCs w:val="16"/>
                <w:spacing w:val="3"/>
              </w:rPr>
              <w:t xml:space="preserve"> </w:t>
            </w:r>
            <w:r>
              <w:rPr>
                <w:sz w:val="16"/>
                <w:szCs w:val="16"/>
                <w:spacing w:val="-2"/>
              </w:rPr>
              <w:t>通产商查审批</w:t>
            </w:r>
          </w:p>
        </w:tc>
        <w:tc>
          <w:tcPr>
            <w:tcW w:w="2377" w:type="dxa"/>
            <w:vAlign w:val="top"/>
          </w:tcPr>
          <w:p>
            <w:pPr>
              <w:pStyle w:val="TableText"/>
              <w:ind w:left="54" w:right="90" w:hanging="10"/>
              <w:spacing w:before="138" w:line="238" w:lineRule="auto"/>
              <w:rPr>
                <w:sz w:val="16"/>
                <w:szCs w:val="16"/>
              </w:rPr>
            </w:pPr>
            <w:r>
              <w:rPr>
                <w:sz w:val="16"/>
                <w:szCs w:val="16"/>
                <w:spacing w:val="-1"/>
              </w:rPr>
              <w:t>文化和雄静范；省规文化和油甜</w:t>
            </w:r>
            <w:r>
              <w:rPr>
                <w:sz w:val="16"/>
                <w:szCs w:val="16"/>
                <w:spacing w:val="5"/>
              </w:rPr>
              <w:t xml:space="preserve"> </w:t>
            </w:r>
            <w:r>
              <w:rPr>
                <w:sz w:val="16"/>
                <w:szCs w:val="16"/>
                <w:spacing w:val="8"/>
              </w:rPr>
              <w:t>事门</w:t>
            </w:r>
          </w:p>
        </w:tc>
        <w:tc>
          <w:tcPr>
            <w:tcW w:w="3701" w:type="dxa"/>
            <w:vAlign w:val="top"/>
          </w:tcPr>
          <w:p>
            <w:pPr>
              <w:pStyle w:val="TableText"/>
              <w:spacing w:before="249" w:line="219" w:lineRule="auto"/>
              <w:rPr>
                <w:sz w:val="16"/>
                <w:szCs w:val="16"/>
              </w:rPr>
            </w:pPr>
            <w:r>
              <w:rPr>
                <w:sz w:val="16"/>
                <w:szCs w:val="16"/>
                <w:spacing w:val="-2"/>
              </w:rPr>
              <w:t>《加华人民共和信非物质文化通产生》</w:t>
            </w:r>
          </w:p>
        </w:tc>
      </w:tr>
      <w:tr>
        <w:trPr>
          <w:trHeight w:val="450" w:hRule="atLeast"/>
        </w:trPr>
        <w:tc>
          <w:tcPr>
            <w:tcW w:w="584" w:type="dxa"/>
            <w:vAlign w:val="top"/>
          </w:tcPr>
          <w:p>
            <w:pPr>
              <w:pStyle w:val="TableText"/>
              <w:ind w:left="244"/>
              <w:spacing w:before="191" w:line="183" w:lineRule="auto"/>
              <w:rPr>
                <w:sz w:val="16"/>
                <w:szCs w:val="16"/>
              </w:rPr>
            </w:pPr>
            <w:r>
              <w:rPr>
                <w:sz w:val="16"/>
                <w:szCs w:val="16"/>
              </w:rPr>
              <w:t>4</w:t>
            </w:r>
          </w:p>
        </w:tc>
        <w:tc>
          <w:tcPr>
            <w:tcW w:w="1289" w:type="dxa"/>
            <w:vAlign w:val="top"/>
          </w:tcPr>
          <w:p>
            <w:pPr>
              <w:pStyle w:val="TableText"/>
              <w:ind w:left="150"/>
              <w:spacing w:before="150" w:line="219" w:lineRule="auto"/>
              <w:rPr>
                <w:sz w:val="16"/>
                <w:szCs w:val="16"/>
              </w:rPr>
            </w:pPr>
            <w:r>
              <w:rPr>
                <w:sz w:val="16"/>
                <w:szCs w:val="16"/>
                <w:spacing w:val="-2"/>
              </w:rPr>
              <w:t>文化和旅煎部</w:t>
            </w:r>
          </w:p>
        </w:tc>
        <w:tc>
          <w:tcPr>
            <w:tcW w:w="1638" w:type="dxa"/>
            <w:vAlign w:val="top"/>
          </w:tcPr>
          <w:p>
            <w:pPr>
              <w:pStyle w:val="TableText"/>
              <w:ind w:left="201"/>
              <w:spacing w:before="150" w:line="219" w:lineRule="auto"/>
              <w:rPr>
                <w:sz w:val="16"/>
                <w:szCs w:val="16"/>
              </w:rPr>
            </w:pPr>
            <w:r>
              <w:rPr>
                <w:sz w:val="16"/>
                <w:szCs w:val="16"/>
                <w:spacing w:val="-1"/>
              </w:rPr>
              <w:t>综行杜设立许可</w:t>
            </w:r>
          </w:p>
        </w:tc>
        <w:tc>
          <w:tcPr>
            <w:tcW w:w="2377" w:type="dxa"/>
            <w:vAlign w:val="top"/>
          </w:tcPr>
          <w:p>
            <w:pPr>
              <w:pStyle w:val="TableText"/>
              <w:ind w:left="54" w:right="50" w:firstLine="29"/>
              <w:spacing w:before="51" w:line="224" w:lineRule="auto"/>
              <w:rPr>
                <w:sz w:val="16"/>
                <w:szCs w:val="16"/>
              </w:rPr>
            </w:pPr>
            <w:r>
              <w:rPr>
                <w:sz w:val="16"/>
                <w:szCs w:val="16"/>
                <w:spacing w:val="-1"/>
              </w:rPr>
              <w:t>右理文化前施酒感们；可垂托设</w:t>
            </w:r>
            <w:r>
              <w:rPr>
                <w:sz w:val="16"/>
                <w:szCs w:val="16"/>
                <w:spacing w:val="5"/>
              </w:rPr>
              <w:t xml:space="preserve"> </w:t>
            </w:r>
            <w:r>
              <w:rPr>
                <w:sz w:val="16"/>
                <w:szCs w:val="16"/>
                <w:spacing w:val="2"/>
              </w:rPr>
              <w:t>区倒市现文化和故群报门实断)</w:t>
            </w:r>
          </w:p>
        </w:tc>
        <w:tc>
          <w:tcPr>
            <w:tcW w:w="3701" w:type="dxa"/>
            <w:vAlign w:val="top"/>
          </w:tcPr>
          <w:p>
            <w:pPr>
              <w:pStyle w:val="TableText"/>
              <w:ind w:left="56"/>
              <w:spacing w:before="49" w:line="220" w:lineRule="auto"/>
              <w:rPr>
                <w:sz w:val="16"/>
                <w:szCs w:val="16"/>
              </w:rPr>
            </w:pPr>
            <w:r>
              <w:rPr>
                <w:sz w:val="16"/>
                <w:szCs w:val="16"/>
              </w:rPr>
              <w:t>中华人民共和两集静法</w:t>
            </w:r>
          </w:p>
          <w:p>
            <w:pPr>
              <w:pStyle w:val="TableText"/>
              <w:ind w:left="56"/>
              <w:spacing w:line="219" w:lineRule="auto"/>
              <w:rPr>
                <w:sz w:val="16"/>
                <w:szCs w:val="16"/>
              </w:rPr>
            </w:pPr>
            <w:r>
              <w:rPr>
                <w:sz w:val="16"/>
                <w:szCs w:val="16"/>
                <w:spacing w:val="4"/>
              </w:rPr>
              <w:t>(集行社条例!</w:t>
            </w:r>
          </w:p>
        </w:tc>
      </w:tr>
      <w:tr>
        <w:trPr>
          <w:trHeight w:val="449" w:hRule="atLeast"/>
        </w:trPr>
        <w:tc>
          <w:tcPr>
            <w:tcW w:w="584" w:type="dxa"/>
            <w:vAlign w:val="top"/>
          </w:tcPr>
          <w:p>
            <w:pPr>
              <w:pStyle w:val="TableText"/>
              <w:ind w:left="244"/>
              <w:spacing w:before="191" w:line="183" w:lineRule="auto"/>
              <w:rPr>
                <w:sz w:val="16"/>
                <w:szCs w:val="16"/>
              </w:rPr>
            </w:pPr>
            <w:r>
              <w:rPr>
                <w:sz w:val="16"/>
                <w:szCs w:val="16"/>
              </w:rPr>
              <w:t>4</w:t>
            </w:r>
          </w:p>
        </w:tc>
        <w:tc>
          <w:tcPr>
            <w:tcW w:w="1289" w:type="dxa"/>
            <w:vAlign w:val="top"/>
          </w:tcPr>
          <w:p>
            <w:pPr>
              <w:pStyle w:val="TableText"/>
              <w:ind w:left="150"/>
              <w:spacing w:before="150" w:line="219" w:lineRule="auto"/>
              <w:rPr>
                <w:sz w:val="16"/>
                <w:szCs w:val="16"/>
              </w:rPr>
            </w:pPr>
            <w:r>
              <w:rPr>
                <w:sz w:val="16"/>
                <w:szCs w:val="16"/>
                <w:spacing w:val="-2"/>
              </w:rPr>
              <w:t>文化和蕉型部</w:t>
            </w:r>
          </w:p>
        </w:tc>
        <w:tc>
          <w:tcPr>
            <w:tcW w:w="1638" w:type="dxa"/>
            <w:vAlign w:val="top"/>
          </w:tcPr>
          <w:p>
            <w:pPr>
              <w:pStyle w:val="TableText"/>
              <w:ind w:left="201"/>
              <w:spacing w:before="29" w:line="236" w:lineRule="auto"/>
              <w:rPr>
                <w:sz w:val="16"/>
                <w:szCs w:val="16"/>
              </w:rPr>
            </w:pPr>
            <w:r>
              <w:rPr>
                <w:sz w:val="16"/>
                <w:szCs w:val="16"/>
                <w:spacing w:val="-2"/>
              </w:rPr>
              <w:t>外重投蛋能行性些务</w:t>
            </w:r>
            <w:r>
              <w:rPr>
                <w:sz w:val="16"/>
                <w:szCs w:val="16"/>
                <w:spacing w:val="3"/>
              </w:rPr>
              <w:t xml:space="preserve"> </w:t>
            </w:r>
            <w:r>
              <w:rPr>
                <w:sz w:val="16"/>
                <w:szCs w:val="16"/>
                <w:spacing w:val="-2"/>
              </w:rPr>
              <w:t>许可</w:t>
            </w:r>
          </w:p>
        </w:tc>
        <w:tc>
          <w:tcPr>
            <w:tcW w:w="2377" w:type="dxa"/>
            <w:vAlign w:val="top"/>
          </w:tcPr>
          <w:p>
            <w:pPr>
              <w:pStyle w:val="TableText"/>
              <w:ind w:left="54" w:right="118" w:firstLine="29"/>
              <w:spacing w:before="29" w:line="236" w:lineRule="auto"/>
              <w:rPr>
                <w:sz w:val="16"/>
                <w:szCs w:val="16"/>
              </w:rPr>
            </w:pPr>
            <w:r>
              <w:rPr>
                <w:sz w:val="16"/>
                <w:szCs w:val="16"/>
                <w:spacing w:val="-1"/>
              </w:rPr>
              <w:t>省级文化和故游部们明委压设</w:t>
            </w:r>
            <w:r>
              <w:rPr>
                <w:sz w:val="16"/>
                <w:szCs w:val="16"/>
                <w:spacing w:val="1"/>
              </w:rPr>
              <w:t xml:space="preserve">  </w:t>
            </w:r>
            <w:r>
              <w:rPr>
                <w:sz w:val="16"/>
                <w:szCs w:val="16"/>
                <w:spacing w:val="2"/>
              </w:rPr>
              <w:t>区创肃提文化和楚面派门学题)</w:t>
            </w:r>
          </w:p>
        </w:tc>
        <w:tc>
          <w:tcPr>
            <w:tcW w:w="3701" w:type="dxa"/>
            <w:vAlign w:val="top"/>
          </w:tcPr>
          <w:p>
            <w:pPr>
              <w:pStyle w:val="TableText"/>
              <w:spacing w:before="50" w:line="219" w:lineRule="auto"/>
              <w:rPr>
                <w:sz w:val="16"/>
                <w:szCs w:val="16"/>
              </w:rPr>
            </w:pPr>
            <w:r>
              <w:rPr>
                <w:sz w:val="16"/>
                <w:szCs w:val="16"/>
                <w:spacing w:val="-2"/>
              </w:rPr>
              <w:t>《中华人见共和国常游法)</w:t>
            </w:r>
          </w:p>
          <w:p>
            <w:pPr>
              <w:pStyle w:val="TableText"/>
              <w:ind w:left="78"/>
              <w:spacing w:line="219" w:lineRule="auto"/>
              <w:rPr>
                <w:sz w:val="16"/>
                <w:szCs w:val="16"/>
              </w:rPr>
            </w:pPr>
            <w:r>
              <w:rPr>
                <w:sz w:val="16"/>
                <w:szCs w:val="16"/>
                <w:spacing w:val="3"/>
              </w:rPr>
              <w:t>四行社条组)</w:t>
            </w:r>
          </w:p>
        </w:tc>
      </w:tr>
      <w:tr>
        <w:trPr>
          <w:trHeight w:val="459" w:hRule="atLeast"/>
        </w:trPr>
        <w:tc>
          <w:tcPr>
            <w:tcW w:w="584" w:type="dxa"/>
            <w:vAlign w:val="top"/>
          </w:tcPr>
          <w:p>
            <w:pPr>
              <w:pStyle w:val="TableText"/>
              <w:ind w:left="164"/>
              <w:spacing w:before="192" w:line="183" w:lineRule="auto"/>
              <w:rPr>
                <w:sz w:val="16"/>
                <w:szCs w:val="16"/>
              </w:rPr>
            </w:pPr>
            <w:r>
              <w:rPr>
                <w:sz w:val="16"/>
                <w:szCs w:val="16"/>
                <w:spacing w:val="-2"/>
              </w:rPr>
              <w:t>456</w:t>
            </w:r>
          </w:p>
        </w:tc>
        <w:tc>
          <w:tcPr>
            <w:tcW w:w="1289" w:type="dxa"/>
            <w:vAlign w:val="top"/>
          </w:tcPr>
          <w:p>
            <w:pPr>
              <w:pStyle w:val="TableText"/>
              <w:ind w:left="150"/>
              <w:spacing w:before="151" w:line="219" w:lineRule="auto"/>
              <w:rPr>
                <w:sz w:val="16"/>
                <w:szCs w:val="16"/>
              </w:rPr>
            </w:pPr>
            <w:r>
              <w:rPr>
                <w:sz w:val="16"/>
                <w:szCs w:val="16"/>
                <w:spacing w:val="-2"/>
              </w:rPr>
              <w:t>文化和镇碎部</w:t>
            </w:r>
          </w:p>
        </w:tc>
        <w:tc>
          <w:tcPr>
            <w:tcW w:w="1638" w:type="dxa"/>
            <w:vAlign w:val="top"/>
          </w:tcPr>
          <w:p>
            <w:pPr>
              <w:pStyle w:val="TableText"/>
              <w:ind w:left="201" w:right="147" w:hanging="169"/>
              <w:spacing w:before="41" w:line="225" w:lineRule="auto"/>
              <w:rPr>
                <w:sz w:val="16"/>
                <w:szCs w:val="16"/>
              </w:rPr>
            </w:pPr>
            <w:r>
              <w:rPr>
                <w:sz w:val="16"/>
                <w:szCs w:val="16"/>
              </w:rPr>
              <w:t>除行位楚需出模球游</w:t>
            </w:r>
            <w:r>
              <w:rPr>
                <w:sz w:val="16"/>
                <w:szCs w:val="16"/>
                <w:spacing w:val="7"/>
              </w:rPr>
              <w:t xml:space="preserve"> </w:t>
            </w:r>
            <w:r>
              <w:rPr>
                <w:sz w:val="16"/>
                <w:szCs w:val="16"/>
                <w:spacing w:val="-2"/>
              </w:rPr>
              <w:t>步各资解审技</w:t>
            </w:r>
          </w:p>
        </w:tc>
        <w:tc>
          <w:tcPr>
            <w:tcW w:w="2377" w:type="dxa"/>
            <w:vAlign w:val="top"/>
          </w:tcPr>
          <w:p>
            <w:pPr>
              <w:pStyle w:val="TableText"/>
              <w:ind w:left="54" w:right="150" w:firstLine="10"/>
              <w:spacing w:before="61" w:line="220" w:lineRule="auto"/>
              <w:rPr>
                <w:sz w:val="16"/>
                <w:szCs w:val="16"/>
              </w:rPr>
            </w:pPr>
            <w:r>
              <w:rPr>
                <w:sz w:val="16"/>
                <w:szCs w:val="16"/>
                <w:spacing w:val="-1"/>
              </w:rPr>
              <w:t>文化和绿前部(可委托货级文化</w:t>
            </w:r>
            <w:r>
              <w:rPr>
                <w:sz w:val="16"/>
                <w:szCs w:val="16"/>
                <w:spacing w:val="5"/>
              </w:rPr>
              <w:t xml:space="preserve"> </w:t>
            </w:r>
            <w:r>
              <w:rPr>
                <w:sz w:val="16"/>
                <w:szCs w:val="16"/>
                <w:spacing w:val="4"/>
              </w:rPr>
              <w:t>和油游能门实流)</w:t>
            </w:r>
          </w:p>
        </w:tc>
        <w:tc>
          <w:tcPr>
            <w:tcW w:w="3701" w:type="dxa"/>
            <w:vAlign w:val="top"/>
          </w:tcPr>
          <w:p>
            <w:pPr>
              <w:pStyle w:val="TableText"/>
              <w:ind w:left="56"/>
              <w:spacing w:before="61" w:line="231" w:lineRule="auto"/>
              <w:rPr>
                <w:sz w:val="16"/>
                <w:szCs w:val="16"/>
              </w:rPr>
            </w:pPr>
            <w:r>
              <w:rPr>
                <w:sz w:val="16"/>
                <w:szCs w:val="16"/>
              </w:rPr>
              <w:t>1中华人民共和国象游法</w:t>
            </w:r>
          </w:p>
          <w:p>
            <w:pPr>
              <w:pStyle w:val="TableText"/>
              <w:ind w:left="56"/>
              <w:spacing w:line="216" w:lineRule="auto"/>
              <w:rPr>
                <w:sz w:val="16"/>
                <w:szCs w:val="16"/>
              </w:rPr>
            </w:pPr>
            <w:r>
              <w:rPr>
                <w:sz w:val="16"/>
                <w:szCs w:val="16"/>
                <w:spacing w:val="-1"/>
              </w:rPr>
              <w:t>(物行社条例》</w:t>
            </w:r>
          </w:p>
        </w:tc>
      </w:tr>
      <w:tr>
        <w:trPr>
          <w:trHeight w:val="450" w:hRule="atLeast"/>
        </w:trPr>
        <w:tc>
          <w:tcPr>
            <w:tcW w:w="584" w:type="dxa"/>
            <w:vAlign w:val="top"/>
          </w:tcPr>
          <w:p>
            <w:pPr>
              <w:pStyle w:val="TableText"/>
              <w:ind w:left="164"/>
              <w:spacing w:before="193" w:line="183" w:lineRule="auto"/>
              <w:rPr>
                <w:sz w:val="16"/>
                <w:szCs w:val="16"/>
              </w:rPr>
            </w:pPr>
            <w:r>
              <w:rPr>
                <w:sz w:val="16"/>
                <w:szCs w:val="16"/>
                <w:spacing w:val="-2"/>
              </w:rPr>
              <w:t>489</w:t>
            </w:r>
          </w:p>
        </w:tc>
        <w:tc>
          <w:tcPr>
            <w:tcW w:w="1289" w:type="dxa"/>
            <w:vAlign w:val="top"/>
          </w:tcPr>
          <w:p>
            <w:pPr>
              <w:pStyle w:val="TableText"/>
              <w:ind w:left="150"/>
              <w:spacing w:before="152" w:line="219" w:lineRule="auto"/>
              <w:rPr>
                <w:sz w:val="16"/>
                <w:szCs w:val="16"/>
              </w:rPr>
            </w:pPr>
            <w:r>
              <w:rPr>
                <w:sz w:val="16"/>
                <w:szCs w:val="16"/>
                <w:spacing w:val="-1"/>
              </w:rPr>
              <w:t>支化和施母部</w:t>
            </w:r>
          </w:p>
        </w:tc>
        <w:tc>
          <w:tcPr>
            <w:tcW w:w="1638" w:type="dxa"/>
            <w:vAlign w:val="top"/>
          </w:tcPr>
          <w:p>
            <w:pPr>
              <w:pStyle w:val="TableText"/>
              <w:ind w:left="201" w:right="1"/>
              <w:spacing w:before="41" w:line="214" w:lineRule="auto"/>
              <w:rPr>
                <w:sz w:val="16"/>
                <w:szCs w:val="16"/>
              </w:rPr>
            </w:pPr>
            <w:r>
              <w:rPr>
                <w:sz w:val="16"/>
                <w:szCs w:val="16"/>
                <w:spacing w:val="-2"/>
              </w:rPr>
              <w:t>陈行杜统置边胰旅器</w:t>
            </w:r>
            <w:r>
              <w:rPr>
                <w:sz w:val="16"/>
                <w:szCs w:val="16"/>
                <w:spacing w:val="1"/>
              </w:rPr>
              <w:t xml:space="preserve"> </w:t>
            </w:r>
            <w:r>
              <w:rPr>
                <w:sz w:val="16"/>
                <w:szCs w:val="16"/>
                <w:spacing w:val="-2"/>
              </w:rPr>
              <w:t>格市世</w:t>
            </w:r>
          </w:p>
        </w:tc>
        <w:tc>
          <w:tcPr>
            <w:tcW w:w="2377" w:type="dxa"/>
            <w:vAlign w:val="top"/>
          </w:tcPr>
          <w:p>
            <w:pPr>
              <w:pStyle w:val="TableText"/>
              <w:ind w:left="54" w:right="291" w:firstLine="10"/>
              <w:spacing w:before="62" w:line="218" w:lineRule="auto"/>
              <w:rPr>
                <w:sz w:val="16"/>
                <w:szCs w:val="16"/>
              </w:rPr>
            </w:pPr>
            <w:r>
              <w:rPr>
                <w:sz w:val="16"/>
                <w:szCs w:val="16"/>
              </w:rPr>
              <w:t>管政文化和旅数部门(边装挡</w:t>
            </w:r>
            <w:r>
              <w:rPr>
                <w:sz w:val="16"/>
                <w:szCs w:val="16"/>
                <w:spacing w:val="10"/>
              </w:rPr>
              <w:t xml:space="preserve"> </w:t>
            </w:r>
            <w:r>
              <w:rPr>
                <w:sz w:val="16"/>
                <w:szCs w:val="16"/>
                <w:spacing w:val="-1"/>
              </w:rPr>
              <w:t>区》</w:t>
            </w:r>
          </w:p>
        </w:tc>
        <w:tc>
          <w:tcPr>
            <w:tcW w:w="3701" w:type="dxa"/>
            <w:vAlign w:val="top"/>
          </w:tcPr>
          <w:p>
            <w:pPr>
              <w:pStyle w:val="TableText"/>
              <w:ind w:left="56"/>
              <w:spacing w:before="151" w:line="219" w:lineRule="auto"/>
              <w:rPr>
                <w:sz w:val="16"/>
                <w:szCs w:val="16"/>
              </w:rPr>
            </w:pPr>
            <w:r>
              <w:rPr>
                <w:sz w:val="16"/>
                <w:szCs w:val="16"/>
                <w:spacing w:val="-1"/>
              </w:rPr>
              <w:t>P华人民共和国章团法</w:t>
            </w:r>
          </w:p>
        </w:tc>
      </w:tr>
      <w:tr>
        <w:trPr>
          <w:trHeight w:val="449" w:hRule="atLeast"/>
        </w:trPr>
        <w:tc>
          <w:tcPr>
            <w:tcW w:w="584" w:type="dxa"/>
            <w:vAlign w:val="top"/>
          </w:tcPr>
          <w:p>
            <w:pPr>
              <w:pStyle w:val="TableText"/>
              <w:ind w:left="164"/>
              <w:spacing w:before="200" w:line="183" w:lineRule="auto"/>
              <w:rPr>
                <w:sz w:val="12"/>
                <w:szCs w:val="12"/>
              </w:rPr>
            </w:pPr>
            <w:r>
              <w:rPr>
                <w:sz w:val="12"/>
                <w:szCs w:val="12"/>
                <w:spacing w:val="-5"/>
              </w:rPr>
              <w:t>、60</w:t>
            </w:r>
          </w:p>
        </w:tc>
        <w:tc>
          <w:tcPr>
            <w:tcW w:w="1289" w:type="dxa"/>
            <w:vAlign w:val="top"/>
          </w:tcPr>
          <w:p>
            <w:pPr>
              <w:pStyle w:val="TableText"/>
              <w:ind w:left="150"/>
              <w:spacing w:before="152" w:line="219" w:lineRule="auto"/>
              <w:rPr>
                <w:sz w:val="16"/>
                <w:szCs w:val="16"/>
              </w:rPr>
            </w:pPr>
            <w:r>
              <w:rPr>
                <w:sz w:val="16"/>
                <w:szCs w:val="16"/>
                <w:spacing w:val="-2"/>
              </w:rPr>
              <w:t>文化和嫩碍部</w:t>
            </w:r>
          </w:p>
        </w:tc>
        <w:tc>
          <w:tcPr>
            <w:tcW w:w="1638" w:type="dxa"/>
            <w:vAlign w:val="top"/>
          </w:tcPr>
          <w:p>
            <w:pPr>
              <w:pStyle w:val="TableText"/>
              <w:ind w:left="201"/>
              <w:spacing w:before="152" w:line="219" w:lineRule="auto"/>
              <w:rPr>
                <w:sz w:val="16"/>
                <w:szCs w:val="16"/>
              </w:rPr>
            </w:pPr>
            <w:r>
              <w:rPr>
                <w:sz w:val="16"/>
                <w:szCs w:val="16"/>
                <w:spacing w:val="-1"/>
              </w:rPr>
              <w:t>研磷人且算格认定</w:t>
            </w:r>
          </w:p>
        </w:tc>
        <w:tc>
          <w:tcPr>
            <w:tcW w:w="2377" w:type="dxa"/>
            <w:vAlign w:val="top"/>
          </w:tcPr>
          <w:p>
            <w:pPr>
              <w:pStyle w:val="TableText"/>
              <w:ind w:left="54" w:right="140" w:firstLine="20"/>
              <w:spacing w:before="61" w:line="214" w:lineRule="auto"/>
              <w:rPr>
                <w:sz w:val="16"/>
                <w:szCs w:val="16"/>
              </w:rPr>
            </w:pPr>
            <w:r>
              <w:rPr>
                <w:sz w:val="16"/>
                <w:szCs w:val="16"/>
                <w:spacing w:val="-1"/>
              </w:rPr>
              <w:t>文化和账群部(可委托管限文化</w:t>
            </w:r>
            <w:r>
              <w:rPr>
                <w:sz w:val="16"/>
                <w:szCs w:val="16"/>
                <w:spacing w:val="5"/>
              </w:rPr>
              <w:t xml:space="preserve"> </w:t>
            </w:r>
            <w:r>
              <w:rPr>
                <w:sz w:val="16"/>
                <w:szCs w:val="16"/>
                <w:spacing w:val="4"/>
              </w:rPr>
              <w:t>和造前部力表响)</w:t>
            </w:r>
          </w:p>
        </w:tc>
        <w:tc>
          <w:tcPr>
            <w:tcW w:w="3701" w:type="dxa"/>
            <w:vAlign w:val="top"/>
          </w:tcPr>
          <w:p>
            <w:pPr>
              <w:pStyle w:val="TableText"/>
              <w:ind w:left="56"/>
              <w:spacing w:before="52" w:line="219" w:lineRule="auto"/>
              <w:rPr>
                <w:sz w:val="16"/>
                <w:szCs w:val="16"/>
              </w:rPr>
            </w:pPr>
            <w:r>
              <w:rPr>
                <w:sz w:val="16"/>
                <w:szCs w:val="16"/>
              </w:rPr>
              <w:t>(异路人员骨理紧例?</w:t>
            </w:r>
          </w:p>
          <w:p>
            <w:pPr>
              <w:pStyle w:val="TableText"/>
              <w:ind w:left="56"/>
              <w:spacing w:before="19" w:line="204" w:lineRule="auto"/>
              <w:rPr>
                <w:sz w:val="16"/>
                <w:szCs w:val="16"/>
              </w:rPr>
            </w:pPr>
            <w:r>
              <w:rPr>
                <w:sz w:val="16"/>
                <w:szCs w:val="16"/>
              </w:rPr>
              <w:t>(国家班业资栋目录(2021年形)5</w:t>
            </w:r>
          </w:p>
        </w:tc>
      </w:tr>
      <w:tr>
        <w:trPr>
          <w:trHeight w:val="459" w:hRule="atLeast"/>
        </w:trPr>
        <w:tc>
          <w:tcPr>
            <w:tcW w:w="584" w:type="dxa"/>
            <w:vAlign w:val="top"/>
          </w:tcPr>
          <w:p>
            <w:pPr>
              <w:pStyle w:val="TableText"/>
              <w:ind w:left="164"/>
              <w:spacing w:before="194" w:line="184" w:lineRule="auto"/>
              <w:rPr>
                <w:sz w:val="16"/>
                <w:szCs w:val="16"/>
              </w:rPr>
            </w:pPr>
            <w:r>
              <w:rPr>
                <w:sz w:val="16"/>
                <w:szCs w:val="16"/>
                <w:spacing w:val="-2"/>
              </w:rPr>
              <w:t>461</w:t>
            </w:r>
          </w:p>
        </w:tc>
        <w:tc>
          <w:tcPr>
            <w:tcW w:w="1289" w:type="dxa"/>
            <w:vAlign w:val="top"/>
          </w:tcPr>
          <w:p>
            <w:pPr>
              <w:pStyle w:val="TableText"/>
              <w:ind w:left="150"/>
              <w:spacing w:before="154" w:line="220" w:lineRule="auto"/>
              <w:rPr>
                <w:sz w:val="16"/>
                <w:szCs w:val="16"/>
              </w:rPr>
            </w:pPr>
            <w:r>
              <w:rPr>
                <w:sz w:val="16"/>
                <w:szCs w:val="16"/>
                <w:spacing w:val="-2"/>
              </w:rPr>
              <w:t>文化和前动爸</w:t>
            </w:r>
          </w:p>
        </w:tc>
        <w:tc>
          <w:tcPr>
            <w:tcW w:w="1638" w:type="dxa"/>
            <w:vAlign w:val="top"/>
          </w:tcPr>
          <w:p>
            <w:pPr>
              <w:pStyle w:val="TableText"/>
              <w:ind w:left="201"/>
              <w:spacing w:before="153" w:line="219" w:lineRule="auto"/>
              <w:rPr>
                <w:sz w:val="16"/>
                <w:szCs w:val="16"/>
              </w:rPr>
            </w:pPr>
            <w:r>
              <w:rPr>
                <w:sz w:val="16"/>
                <w:szCs w:val="16"/>
                <w:spacing w:val="-1"/>
              </w:rPr>
              <w:t>件善盛硫免</w:t>
            </w:r>
          </w:p>
        </w:tc>
        <w:tc>
          <w:tcPr>
            <w:tcW w:w="2377" w:type="dxa"/>
            <w:vAlign w:val="top"/>
          </w:tcPr>
          <w:p>
            <w:pPr>
              <w:pStyle w:val="TableText"/>
              <w:ind w:left="54"/>
              <w:spacing w:before="153" w:line="219" w:lineRule="auto"/>
              <w:rPr>
                <w:sz w:val="16"/>
                <w:szCs w:val="16"/>
              </w:rPr>
            </w:pPr>
            <w:r>
              <w:rPr>
                <w:sz w:val="16"/>
                <w:szCs w:val="16"/>
                <w:spacing w:val="1"/>
              </w:rPr>
              <w:t>古组上化和地的部门</w:t>
            </w:r>
          </w:p>
        </w:tc>
        <w:tc>
          <w:tcPr>
            <w:tcW w:w="3701" w:type="dxa"/>
            <w:vAlign w:val="top"/>
          </w:tcPr>
          <w:p>
            <w:pPr>
              <w:pStyle w:val="TableText"/>
              <w:ind w:left="56"/>
              <w:spacing w:before="53" w:line="230" w:lineRule="exact"/>
              <w:rPr>
                <w:sz w:val="16"/>
                <w:szCs w:val="16"/>
              </w:rPr>
            </w:pPr>
            <w:r>
              <w:rPr>
                <w:sz w:val="16"/>
                <w:szCs w:val="16"/>
                <w:position w:val="5"/>
              </w:rPr>
              <w:t>中催人民其物富康群盐</w:t>
            </w:r>
          </w:p>
          <w:p>
            <w:pPr>
              <w:pStyle w:val="TableText"/>
              <w:ind w:left="56"/>
              <w:spacing w:line="191" w:lineRule="auto"/>
              <w:rPr>
                <w:sz w:val="16"/>
                <w:szCs w:val="16"/>
              </w:rPr>
            </w:pPr>
            <w:r>
              <w:rPr>
                <w:sz w:val="16"/>
                <w:szCs w:val="16"/>
                <w:spacing w:val="1"/>
              </w:rPr>
              <w:t>1特测人员管理尔朝1</w:t>
            </w:r>
          </w:p>
        </w:tc>
      </w:tr>
      <w:tr>
        <w:trPr>
          <w:trHeight w:val="250" w:hRule="atLeast"/>
        </w:trPr>
        <w:tc>
          <w:tcPr>
            <w:tcW w:w="584" w:type="dxa"/>
            <w:vAlign w:val="top"/>
          </w:tcPr>
          <w:p>
            <w:pPr>
              <w:pStyle w:val="TableText"/>
              <w:ind w:left="204"/>
              <w:spacing w:before="96" w:line="166" w:lineRule="auto"/>
              <w:rPr>
                <w:sz w:val="16"/>
                <w:szCs w:val="16"/>
              </w:rPr>
            </w:pPr>
            <w:r>
              <w:rPr>
                <w:sz w:val="16"/>
                <w:szCs w:val="16"/>
                <w:spacing w:val="-2"/>
              </w:rPr>
              <w:t>45</w:t>
            </w:r>
          </w:p>
        </w:tc>
        <w:tc>
          <w:tcPr>
            <w:tcW w:w="1289" w:type="dxa"/>
            <w:vAlign w:val="top"/>
          </w:tcPr>
          <w:p>
            <w:pPr>
              <w:pStyle w:val="TableText"/>
              <w:ind w:left="70"/>
              <w:spacing w:before="54" w:line="214" w:lineRule="auto"/>
              <w:rPr>
                <w:sz w:val="16"/>
                <w:szCs w:val="16"/>
              </w:rPr>
            </w:pPr>
            <w:r>
              <w:rPr>
                <w:sz w:val="16"/>
                <w:szCs w:val="16"/>
              </w:rPr>
              <w:t>闻家丑生资康委</w:t>
            </w:r>
          </w:p>
        </w:tc>
        <w:tc>
          <w:tcPr>
            <w:tcW w:w="1638" w:type="dxa"/>
            <w:vAlign w:val="top"/>
          </w:tcPr>
          <w:p>
            <w:pPr>
              <w:pStyle w:val="TableText"/>
              <w:ind w:left="201"/>
              <w:spacing w:before="54" w:line="214" w:lineRule="auto"/>
              <w:rPr>
                <w:sz w:val="16"/>
                <w:szCs w:val="16"/>
              </w:rPr>
            </w:pPr>
            <w:r>
              <w:rPr>
                <w:sz w:val="16"/>
                <w:szCs w:val="16"/>
                <w:spacing w:val="-1"/>
              </w:rPr>
              <w:t>新食品源样审也</w:t>
            </w:r>
          </w:p>
        </w:tc>
        <w:tc>
          <w:tcPr>
            <w:tcW w:w="2377" w:type="dxa"/>
            <w:vAlign w:val="top"/>
          </w:tcPr>
          <w:p>
            <w:pPr>
              <w:pStyle w:val="TableText"/>
              <w:ind w:left="54"/>
              <w:spacing w:before="54" w:line="214" w:lineRule="auto"/>
              <w:rPr>
                <w:sz w:val="16"/>
                <w:szCs w:val="16"/>
              </w:rPr>
            </w:pPr>
            <w:r>
              <w:rPr>
                <w:sz w:val="16"/>
                <w:szCs w:val="16"/>
              </w:rPr>
              <w:t>国宰卫生健原置</w:t>
            </w:r>
          </w:p>
        </w:tc>
        <w:tc>
          <w:tcPr>
            <w:tcW w:w="3701" w:type="dxa"/>
            <w:vAlign w:val="top"/>
          </w:tcPr>
          <w:p>
            <w:pPr>
              <w:pStyle w:val="TableText"/>
              <w:ind w:left="56"/>
              <w:spacing w:before="54" w:line="214" w:lineRule="auto"/>
              <w:rPr>
                <w:sz w:val="16"/>
                <w:szCs w:val="16"/>
              </w:rPr>
            </w:pPr>
            <w:r>
              <w:rPr>
                <w:sz w:val="16"/>
                <w:szCs w:val="16"/>
                <w:spacing w:val="2"/>
              </w:rPr>
              <w:t>P0华人民共和需食品安全法!</w:t>
            </w:r>
          </w:p>
        </w:tc>
      </w:tr>
      <w:tr>
        <w:trPr>
          <w:trHeight w:val="449" w:hRule="atLeast"/>
        </w:trPr>
        <w:tc>
          <w:tcPr>
            <w:tcW w:w="584" w:type="dxa"/>
            <w:vAlign w:val="top"/>
          </w:tcPr>
          <w:p>
            <w:pPr>
              <w:pStyle w:val="TableText"/>
              <w:ind w:left="164"/>
              <w:spacing w:before="195" w:line="183" w:lineRule="auto"/>
              <w:rPr>
                <w:sz w:val="16"/>
                <w:szCs w:val="16"/>
              </w:rPr>
            </w:pPr>
            <w:r>
              <w:rPr>
                <w:sz w:val="16"/>
                <w:szCs w:val="16"/>
                <w:spacing w:val="-2"/>
              </w:rPr>
              <w:t>453</w:t>
            </w:r>
          </w:p>
        </w:tc>
        <w:tc>
          <w:tcPr>
            <w:tcW w:w="1289" w:type="dxa"/>
            <w:vAlign w:val="top"/>
          </w:tcPr>
          <w:p>
            <w:pPr>
              <w:pStyle w:val="TableText"/>
              <w:ind w:left="70"/>
              <w:spacing w:before="155" w:line="220" w:lineRule="auto"/>
              <w:rPr>
                <w:sz w:val="16"/>
                <w:szCs w:val="16"/>
              </w:rPr>
            </w:pPr>
            <w:r>
              <w:rPr>
                <w:sz w:val="16"/>
                <w:szCs w:val="16"/>
              </w:rPr>
              <w:t>国家卫生能座委</w:t>
            </w:r>
          </w:p>
        </w:tc>
        <w:tc>
          <w:tcPr>
            <w:tcW w:w="1638" w:type="dxa"/>
            <w:vAlign w:val="top"/>
          </w:tcPr>
          <w:p>
            <w:pPr>
              <w:pStyle w:val="TableText"/>
              <w:ind w:left="201"/>
              <w:spacing w:before="54" w:line="222" w:lineRule="auto"/>
              <w:rPr>
                <w:sz w:val="16"/>
                <w:szCs w:val="16"/>
              </w:rPr>
            </w:pPr>
            <w:r>
              <w:rPr>
                <w:sz w:val="16"/>
                <w:szCs w:val="16"/>
                <w:spacing w:val="-2"/>
              </w:rPr>
              <w:t>金品思加剂新品球圳</w:t>
            </w:r>
            <w:r>
              <w:rPr>
                <w:sz w:val="16"/>
                <w:szCs w:val="16"/>
                <w:spacing w:val="3"/>
              </w:rPr>
              <w:t xml:space="preserve"> </w:t>
            </w:r>
            <w:r>
              <w:rPr>
                <w:sz w:val="16"/>
                <w:szCs w:val="16"/>
              </w:rPr>
              <w:t>批</w:t>
            </w:r>
          </w:p>
        </w:tc>
        <w:tc>
          <w:tcPr>
            <w:tcW w:w="2377" w:type="dxa"/>
            <w:vAlign w:val="top"/>
          </w:tcPr>
          <w:p>
            <w:pPr>
              <w:pStyle w:val="TableText"/>
              <w:ind w:left="54"/>
              <w:spacing w:before="154" w:line="219" w:lineRule="auto"/>
              <w:rPr>
                <w:sz w:val="16"/>
                <w:szCs w:val="16"/>
              </w:rPr>
            </w:pPr>
            <w:r>
              <w:rPr>
                <w:sz w:val="16"/>
                <w:szCs w:val="16"/>
                <w:spacing w:val="1"/>
              </w:rPr>
              <w:t>国家卫生健阐要</w:t>
            </w:r>
          </w:p>
        </w:tc>
        <w:tc>
          <w:tcPr>
            <w:tcW w:w="3701" w:type="dxa"/>
            <w:vAlign w:val="top"/>
          </w:tcPr>
          <w:p>
            <w:pPr>
              <w:pStyle w:val="TableText"/>
              <w:ind w:left="56"/>
              <w:spacing w:before="153" w:line="219" w:lineRule="auto"/>
              <w:rPr>
                <w:sz w:val="16"/>
                <w:szCs w:val="16"/>
              </w:rPr>
            </w:pPr>
            <w:r>
              <w:rPr>
                <w:sz w:val="16"/>
                <w:szCs w:val="16"/>
                <w:spacing w:val="-1"/>
              </w:rPr>
              <w:t>D*华人民共和附食品安全法</w:t>
            </w:r>
          </w:p>
        </w:tc>
      </w:tr>
      <w:tr>
        <w:trPr>
          <w:trHeight w:val="484" w:hRule="atLeast"/>
        </w:trPr>
        <w:tc>
          <w:tcPr>
            <w:tcW w:w="584" w:type="dxa"/>
            <w:vAlign w:val="top"/>
          </w:tcPr>
          <w:p>
            <w:pPr>
              <w:pStyle w:val="TableText"/>
              <w:ind w:left="164"/>
              <w:spacing w:before="206" w:line="183" w:lineRule="auto"/>
              <w:rPr>
                <w:sz w:val="16"/>
                <w:szCs w:val="16"/>
              </w:rPr>
            </w:pPr>
            <w:r>
              <w:rPr>
                <w:sz w:val="16"/>
                <w:szCs w:val="16"/>
                <w:spacing w:val="-2"/>
              </w:rPr>
              <w:t>464</w:t>
            </w:r>
          </w:p>
        </w:tc>
        <w:tc>
          <w:tcPr>
            <w:tcW w:w="1289" w:type="dxa"/>
            <w:vAlign w:val="top"/>
          </w:tcPr>
          <w:p>
            <w:pPr>
              <w:pStyle w:val="TableText"/>
              <w:ind w:left="70"/>
              <w:spacing w:before="165" w:line="219" w:lineRule="auto"/>
              <w:rPr>
                <w:sz w:val="16"/>
                <w:szCs w:val="16"/>
              </w:rPr>
            </w:pPr>
            <w:r>
              <w:rPr>
                <w:sz w:val="16"/>
                <w:szCs w:val="16"/>
                <w:spacing w:val="-1"/>
              </w:rPr>
              <w:t>厘家下生油重季</w:t>
            </w:r>
          </w:p>
        </w:tc>
        <w:tc>
          <w:tcPr>
            <w:tcW w:w="1638" w:type="dxa"/>
            <w:vAlign w:val="top"/>
          </w:tcPr>
          <w:p>
            <w:pPr>
              <w:pStyle w:val="TableText"/>
              <w:ind w:left="201" w:right="152" w:hanging="159"/>
              <w:spacing w:before="64" w:line="236" w:lineRule="auto"/>
              <w:rPr>
                <w:sz w:val="16"/>
                <w:szCs w:val="16"/>
              </w:rPr>
            </w:pPr>
            <w:r>
              <w:rPr>
                <w:sz w:val="16"/>
                <w:szCs w:val="16"/>
                <w:spacing w:val="-1"/>
              </w:rPr>
              <w:t>食品机关产品新显种</w:t>
            </w:r>
            <w:r>
              <w:rPr>
                <w:sz w:val="16"/>
                <w:szCs w:val="16"/>
                <w:spacing w:val="1"/>
              </w:rPr>
              <w:t xml:space="preserve"> </w:t>
            </w:r>
            <w:r>
              <w:rPr>
                <w:sz w:val="16"/>
                <w:szCs w:val="16"/>
                <w:spacing w:val="3"/>
              </w:rPr>
              <w:t>审拉</w:t>
            </w:r>
          </w:p>
        </w:tc>
        <w:tc>
          <w:tcPr>
            <w:tcW w:w="2377" w:type="dxa"/>
            <w:vAlign w:val="top"/>
          </w:tcPr>
          <w:p>
            <w:pPr>
              <w:pStyle w:val="TableText"/>
              <w:ind w:left="54"/>
              <w:spacing w:before="166" w:line="220" w:lineRule="auto"/>
              <w:rPr>
                <w:sz w:val="16"/>
                <w:szCs w:val="16"/>
              </w:rPr>
            </w:pPr>
            <w:r>
              <w:rPr>
                <w:sz w:val="16"/>
                <w:szCs w:val="16"/>
                <w:spacing w:val="-1"/>
              </w:rPr>
              <w:t>但别工生健质要</w:t>
            </w:r>
          </w:p>
        </w:tc>
        <w:tc>
          <w:tcPr>
            <w:tcW w:w="3701" w:type="dxa"/>
            <w:vAlign w:val="top"/>
          </w:tcPr>
          <w:p>
            <w:pPr>
              <w:pStyle w:val="TableText"/>
              <w:ind w:left="56"/>
              <w:spacing w:before="165" w:line="219" w:lineRule="auto"/>
              <w:rPr>
                <w:sz w:val="16"/>
                <w:szCs w:val="16"/>
              </w:rPr>
            </w:pPr>
            <w:r>
              <w:rPr>
                <w:sz w:val="16"/>
                <w:szCs w:val="16"/>
                <w:spacing w:val="-1"/>
              </w:rPr>
              <w:t>E中丝人民共和国食品安全法》</w:t>
            </w:r>
          </w:p>
        </w:tc>
      </w:tr>
    </w:tbl>
    <w:p>
      <w:pPr>
        <w:pStyle w:val="BodyText"/>
        <w:rPr/>
      </w:pPr>
      <w:r/>
    </w:p>
    <w:p>
      <w:pPr>
        <w:sectPr>
          <w:pgSz w:w="11910" w:h="8220"/>
          <w:pgMar w:top="400" w:right="1175" w:bottom="400" w:left="823" w:header="0" w:footer="0" w:gutter="0"/>
        </w:sectPr>
        <w:rPr/>
      </w:pPr>
    </w:p>
    <w:p>
      <w:pPr>
        <w:spacing w:before="113"/>
        <w:rPr/>
      </w:pPr>
      <w:r>
        <mc:AlternateContent xmlns:mc="http://schemas.openxmlformats.org/markup-compatibility/2006">
          <mc:Choice Requires="wps">
            <w:drawing>
              <wp:anchor distT="0" distB="0" distL="0" distR="0" simplePos="0" relativeHeight="251872256" behindDoc="0" locked="0" layoutInCell="0" allowOverlap="1">
                <wp:simplePos x="0" y="0"/>
                <wp:positionH relativeFrom="page">
                  <wp:posOffset>471020</wp:posOffset>
                </wp:positionH>
                <wp:positionV relativeFrom="page">
                  <wp:posOffset>623453</wp:posOffset>
                </wp:positionV>
                <wp:extent cx="172720" cy="158114"/>
                <wp:effectExtent l="0" t="0" r="0" b="0"/>
                <wp:wrapNone/>
                <wp:docPr id="262" name="TextBox 262"/>
                <wp:cNvGraphicFramePr/>
                <a:graphic>
                  <a:graphicData uri="http://schemas.microsoft.com/office/word/2010/wordprocessingShape">
                    <wps:wsp>
                      <wps:cNvSpPr txBox="1"/>
                      <wps:spPr>
                        <a:xfrm rot="5400000">
                          <a:off x="471020" y="623453"/>
                          <a:ext cx="17272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4" style="position:absolute;margin-left:37.0882pt;margin-top:49.0909pt;mso-position-vertical-relative:page;mso-position-horizontal-relative:page;width:13.6pt;height:12.45pt;z-index:251872256;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212</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24" w:hRule="atLeast"/>
        </w:trPr>
        <w:tc>
          <w:tcPr>
            <w:tcW w:w="584" w:type="dxa"/>
            <w:vAlign w:val="top"/>
          </w:tcPr>
          <w:p>
            <w:pPr>
              <w:pStyle w:val="TableText"/>
              <w:ind w:left="124"/>
              <w:spacing w:before="131" w:line="219" w:lineRule="auto"/>
              <w:rPr>
                <w:sz w:val="16"/>
                <w:szCs w:val="16"/>
              </w:rPr>
            </w:pPr>
            <w:r>
              <w:rPr>
                <w:sz w:val="16"/>
                <w:szCs w:val="16"/>
                <w:spacing w:val="-3"/>
              </w:rPr>
              <w:t>部号</w:t>
            </w:r>
          </w:p>
        </w:tc>
        <w:tc>
          <w:tcPr>
            <w:tcW w:w="1289" w:type="dxa"/>
            <w:vAlign w:val="top"/>
          </w:tcPr>
          <w:p>
            <w:pPr>
              <w:pStyle w:val="TableText"/>
              <w:ind w:left="150"/>
              <w:spacing w:before="131" w:line="219" w:lineRule="auto"/>
              <w:rPr>
                <w:sz w:val="16"/>
                <w:szCs w:val="16"/>
              </w:rPr>
            </w:pPr>
            <w:r>
              <w:rPr>
                <w:sz w:val="16"/>
                <w:szCs w:val="16"/>
                <w:spacing w:val="3"/>
              </w:rPr>
              <w:t>中央主骨郁门</w:t>
            </w:r>
          </w:p>
        </w:tc>
        <w:tc>
          <w:tcPr>
            <w:tcW w:w="1638" w:type="dxa"/>
            <w:vAlign w:val="top"/>
          </w:tcPr>
          <w:p>
            <w:pPr>
              <w:pStyle w:val="TableText"/>
              <w:ind w:left="491"/>
              <w:spacing w:before="131" w:line="219" w:lineRule="auto"/>
              <w:rPr>
                <w:sz w:val="16"/>
                <w:szCs w:val="16"/>
              </w:rPr>
            </w:pPr>
            <w:r>
              <w:rPr>
                <w:sz w:val="16"/>
                <w:szCs w:val="16"/>
                <w:spacing w:val="-2"/>
              </w:rPr>
              <w:t>事弱名牌</w:t>
            </w:r>
          </w:p>
        </w:tc>
        <w:tc>
          <w:tcPr>
            <w:tcW w:w="2377" w:type="dxa"/>
            <w:vAlign w:val="top"/>
          </w:tcPr>
          <w:p>
            <w:pPr>
              <w:pStyle w:val="TableText"/>
              <w:ind w:left="824"/>
              <w:spacing w:before="130" w:line="219" w:lineRule="auto"/>
              <w:rPr>
                <w:sz w:val="16"/>
                <w:szCs w:val="16"/>
              </w:rPr>
            </w:pPr>
            <w:r>
              <w:rPr>
                <w:sz w:val="16"/>
                <w:szCs w:val="16"/>
                <w:spacing w:val="-2"/>
              </w:rPr>
              <w:t>宝能机关</w:t>
            </w:r>
          </w:p>
        </w:tc>
        <w:tc>
          <w:tcPr>
            <w:tcW w:w="3711" w:type="dxa"/>
            <w:vAlign w:val="top"/>
          </w:tcPr>
          <w:p>
            <w:pPr>
              <w:pStyle w:val="TableText"/>
              <w:ind w:left="1269"/>
              <w:spacing w:before="129" w:line="219" w:lineRule="auto"/>
              <w:rPr>
                <w:sz w:val="16"/>
                <w:szCs w:val="16"/>
              </w:rPr>
            </w:pPr>
            <w:r>
              <w:rPr>
                <w:sz w:val="16"/>
                <w:szCs w:val="16"/>
                <w:b/>
                <w:bCs/>
                <w:spacing w:val="-2"/>
              </w:rPr>
              <w:t>W定和卖售体据</w:t>
            </w:r>
          </w:p>
        </w:tc>
      </w:tr>
      <w:tr>
        <w:trPr>
          <w:trHeight w:val="859" w:hRule="atLeast"/>
        </w:trPr>
        <w:tc>
          <w:tcPr>
            <w:tcW w:w="584" w:type="dxa"/>
            <w:vAlign w:val="top"/>
          </w:tcPr>
          <w:p>
            <w:pPr>
              <w:spacing w:line="334" w:lineRule="auto"/>
              <w:rPr>
                <w:rFonts w:ascii="Arial"/>
                <w:sz w:val="21"/>
              </w:rPr>
            </w:pPr>
            <w:r/>
          </w:p>
          <w:p>
            <w:pPr>
              <w:pStyle w:val="TableText"/>
              <w:ind w:left="204"/>
              <w:spacing w:before="52" w:line="183" w:lineRule="auto"/>
              <w:rPr>
                <w:sz w:val="16"/>
                <w:szCs w:val="16"/>
              </w:rPr>
            </w:pPr>
            <w:r>
              <w:rPr>
                <w:sz w:val="16"/>
                <w:szCs w:val="16"/>
                <w:spacing w:val="-2"/>
              </w:rPr>
              <w:t>4n</w:t>
            </w:r>
          </w:p>
        </w:tc>
        <w:tc>
          <w:tcPr>
            <w:tcW w:w="1289" w:type="dxa"/>
            <w:vAlign w:val="top"/>
          </w:tcPr>
          <w:p>
            <w:pPr>
              <w:spacing w:line="293" w:lineRule="auto"/>
              <w:rPr>
                <w:rFonts w:ascii="Arial"/>
                <w:sz w:val="21"/>
              </w:rPr>
            </w:pPr>
            <w:r/>
          </w:p>
          <w:p>
            <w:pPr>
              <w:pStyle w:val="TableText"/>
              <w:ind w:left="70"/>
              <w:spacing w:before="52" w:line="219" w:lineRule="auto"/>
              <w:rPr>
                <w:sz w:val="16"/>
                <w:szCs w:val="16"/>
              </w:rPr>
            </w:pPr>
            <w:r>
              <w:rPr>
                <w:sz w:val="16"/>
                <w:szCs w:val="16"/>
                <w:spacing w:val="1"/>
              </w:rPr>
              <w:t>国家卫生意康要</w:t>
            </w:r>
          </w:p>
        </w:tc>
        <w:tc>
          <w:tcPr>
            <w:tcW w:w="1638" w:type="dxa"/>
            <w:vAlign w:val="top"/>
          </w:tcPr>
          <w:p>
            <w:pPr>
              <w:pStyle w:val="TableText"/>
              <w:ind w:left="72" w:right="101" w:firstLine="20"/>
              <w:spacing w:before="158" w:line="231" w:lineRule="auto"/>
              <w:jc w:val="both"/>
              <w:rPr>
                <w:sz w:val="16"/>
                <w:szCs w:val="16"/>
              </w:rPr>
            </w:pPr>
            <w:r>
              <w:rPr>
                <w:sz w:val="16"/>
                <w:szCs w:val="16"/>
                <w:spacing w:val="-2"/>
              </w:rPr>
              <w:t>高家暂性应疑拟高黄</w:t>
            </w:r>
            <w:r>
              <w:rPr>
                <w:sz w:val="16"/>
                <w:szCs w:val="16"/>
                <w:spacing w:val="6"/>
              </w:rPr>
              <w:t xml:space="preserve"> </w:t>
            </w:r>
            <w:r>
              <w:rPr>
                <w:sz w:val="16"/>
                <w:szCs w:val="16"/>
                <w:spacing w:val="1"/>
              </w:rPr>
              <w:t>解佳病家题生物食输</w:t>
            </w:r>
            <w:r>
              <w:rPr>
                <w:sz w:val="16"/>
                <w:szCs w:val="16"/>
                <w:spacing w:val="4"/>
              </w:rPr>
              <w:t xml:space="preserve"> </w:t>
            </w:r>
            <w:r>
              <w:rPr>
                <w:sz w:val="16"/>
                <w:szCs w:val="16"/>
                <w:spacing w:val="-2"/>
              </w:rPr>
              <w:t>活动审地</w:t>
            </w:r>
          </w:p>
        </w:tc>
        <w:tc>
          <w:tcPr>
            <w:tcW w:w="2377" w:type="dxa"/>
            <w:vAlign w:val="top"/>
          </w:tcPr>
          <w:p>
            <w:pPr>
              <w:pStyle w:val="TableText"/>
              <w:ind w:left="44" w:right="57" w:firstLine="20"/>
              <w:spacing w:before="166" w:line="225" w:lineRule="auto"/>
              <w:rPr>
                <w:sz w:val="16"/>
                <w:szCs w:val="16"/>
              </w:rPr>
            </w:pPr>
            <w:r>
              <w:rPr>
                <w:sz w:val="16"/>
                <w:szCs w:val="16"/>
              </w:rPr>
              <w:t>国家卫生假康委《由省理卫生程</w:t>
            </w:r>
            <w:r>
              <w:rPr>
                <w:sz w:val="16"/>
                <w:szCs w:val="16"/>
                <w:spacing w:val="4"/>
              </w:rPr>
              <w:t xml:space="preserve"> </w:t>
            </w:r>
            <w:r>
              <w:rPr>
                <w:sz w:val="16"/>
                <w:szCs w:val="16"/>
                <w:spacing w:val="1"/>
              </w:rPr>
              <w:t>雨区门受理1;有蚜卫生雄康角</w:t>
            </w:r>
          </w:p>
          <w:p>
            <w:pPr>
              <w:pStyle w:val="TableText"/>
              <w:ind w:left="54"/>
              <w:spacing w:before="31" w:line="184" w:lineRule="auto"/>
              <w:rPr>
                <w:sz w:val="16"/>
                <w:szCs w:val="16"/>
              </w:rPr>
            </w:pPr>
            <w:r>
              <w:rPr>
                <w:sz w:val="16"/>
                <w:szCs w:val="16"/>
              </w:rPr>
              <w:t>1</w:t>
            </w:r>
          </w:p>
        </w:tc>
        <w:tc>
          <w:tcPr>
            <w:tcW w:w="3711" w:type="dxa"/>
            <w:vAlign w:val="top"/>
          </w:tcPr>
          <w:p>
            <w:pPr>
              <w:pStyle w:val="TableText"/>
              <w:ind w:left="117"/>
              <w:spacing w:before="67" w:line="219" w:lineRule="auto"/>
              <w:rPr>
                <w:sz w:val="16"/>
                <w:szCs w:val="16"/>
              </w:rPr>
            </w:pPr>
            <w:r>
              <w:rPr>
                <w:sz w:val="16"/>
                <w:szCs w:val="16"/>
                <w:spacing w:val="-1"/>
              </w:rPr>
              <w:t>上中华人说具和国生替安全法》</w:t>
            </w:r>
          </w:p>
          <w:p>
            <w:pPr>
              <w:pStyle w:val="TableText"/>
              <w:ind w:left="117"/>
              <w:spacing w:before="19" w:line="208" w:lineRule="auto"/>
              <w:rPr>
                <w:sz w:val="16"/>
                <w:szCs w:val="16"/>
              </w:rPr>
            </w:pPr>
            <w:r>
              <w:rPr>
                <w:sz w:val="16"/>
                <w:szCs w:val="16"/>
                <w:spacing w:val="1"/>
              </w:rPr>
              <w:t>T病早意生朝实股室生物安全查军条州</w:t>
            </w:r>
          </w:p>
          <w:p>
            <w:pPr>
              <w:pStyle w:val="TableText"/>
              <w:ind w:left="158" w:right="223" w:hanging="158"/>
              <w:spacing w:line="225" w:lineRule="auto"/>
              <w:rPr>
                <w:sz w:val="16"/>
                <w:szCs w:val="16"/>
              </w:rPr>
            </w:pPr>
            <w:r>
              <w:rPr>
                <w:sz w:val="16"/>
                <w:szCs w:val="16"/>
                <w:spacing w:val="-2"/>
              </w:rPr>
              <w:t>《人同传业的高致病性病原偿生物实验重和实家训</w:t>
            </w:r>
            <w:r>
              <w:rPr>
                <w:sz w:val="16"/>
                <w:szCs w:val="16"/>
              </w:rPr>
              <w:t xml:space="preserve"> </w:t>
            </w:r>
            <w:r>
              <w:rPr>
                <w:sz w:val="16"/>
                <w:szCs w:val="16"/>
                <w:spacing w:val="-2"/>
              </w:rPr>
              <w:t>的生物安全审批营要办甚</w:t>
            </w:r>
          </w:p>
        </w:tc>
      </w:tr>
      <w:tr>
        <w:trPr>
          <w:trHeight w:val="849" w:hRule="atLeast"/>
        </w:trPr>
        <w:tc>
          <w:tcPr>
            <w:tcW w:w="584" w:type="dxa"/>
            <w:vAlign w:val="top"/>
          </w:tcPr>
          <w:p>
            <w:pPr>
              <w:spacing w:line="335" w:lineRule="auto"/>
              <w:rPr>
                <w:rFonts w:ascii="Arial"/>
                <w:sz w:val="21"/>
              </w:rPr>
            </w:pPr>
            <w:r/>
          </w:p>
          <w:p>
            <w:pPr>
              <w:pStyle w:val="TableText"/>
              <w:ind w:left="164"/>
              <w:spacing w:before="52" w:line="183" w:lineRule="auto"/>
              <w:rPr>
                <w:sz w:val="16"/>
                <w:szCs w:val="16"/>
              </w:rPr>
            </w:pPr>
            <w:r>
              <w:rPr>
                <w:sz w:val="16"/>
                <w:szCs w:val="16"/>
                <w:spacing w:val="-2"/>
              </w:rPr>
              <w:t>460</w:t>
            </w:r>
          </w:p>
        </w:tc>
        <w:tc>
          <w:tcPr>
            <w:tcW w:w="1289" w:type="dxa"/>
            <w:vAlign w:val="top"/>
          </w:tcPr>
          <w:p>
            <w:pPr>
              <w:spacing w:line="294" w:lineRule="auto"/>
              <w:rPr>
                <w:rFonts w:ascii="Arial"/>
                <w:sz w:val="21"/>
              </w:rPr>
            </w:pPr>
            <w:r/>
          </w:p>
          <w:p>
            <w:pPr>
              <w:pStyle w:val="TableText"/>
              <w:ind w:left="70"/>
              <w:spacing w:before="52" w:line="219" w:lineRule="auto"/>
              <w:rPr>
                <w:sz w:val="16"/>
                <w:szCs w:val="16"/>
              </w:rPr>
            </w:pPr>
            <w:r>
              <w:rPr>
                <w:sz w:val="16"/>
                <w:szCs w:val="16"/>
                <w:spacing w:val="1"/>
              </w:rPr>
              <w:t>国家卫生能康垂</w:t>
            </w:r>
          </w:p>
        </w:tc>
        <w:tc>
          <w:tcPr>
            <w:tcW w:w="1638" w:type="dxa"/>
            <w:vAlign w:val="top"/>
          </w:tcPr>
          <w:p>
            <w:pPr>
              <w:pStyle w:val="TableText"/>
              <w:ind w:left="52" w:right="86" w:firstLine="40"/>
              <w:spacing w:before="247" w:line="232" w:lineRule="auto"/>
              <w:rPr>
                <w:sz w:val="16"/>
                <w:szCs w:val="16"/>
              </w:rPr>
            </w:pPr>
            <w:r>
              <w:rPr>
                <w:sz w:val="16"/>
                <w:szCs w:val="16"/>
                <w:spacing w:val="1"/>
              </w:rPr>
              <w:t>高要病性病愿做生助</w:t>
            </w:r>
            <w:r>
              <w:rPr>
                <w:sz w:val="16"/>
                <w:szCs w:val="16"/>
              </w:rPr>
              <w:t xml:space="preserve"> </w:t>
            </w:r>
            <w:r>
              <w:rPr>
                <w:sz w:val="16"/>
                <w:szCs w:val="16"/>
                <w:spacing w:val="-2"/>
              </w:rPr>
              <w:t>运能期</w:t>
            </w:r>
          </w:p>
        </w:tc>
        <w:tc>
          <w:tcPr>
            <w:tcW w:w="2377" w:type="dxa"/>
            <w:vAlign w:val="top"/>
          </w:tcPr>
          <w:p>
            <w:pPr>
              <w:pStyle w:val="TableText"/>
              <w:ind w:left="44" w:right="116" w:firstLine="39"/>
              <w:spacing w:before="148" w:line="231" w:lineRule="auto"/>
              <w:rPr>
                <w:sz w:val="16"/>
                <w:szCs w:val="16"/>
              </w:rPr>
            </w:pPr>
            <w:r>
              <w:rPr>
                <w:sz w:val="16"/>
                <w:szCs w:val="16"/>
              </w:rPr>
              <w:t>园零卫生解面委(由省级卫生餐</w:t>
            </w:r>
            <w:r>
              <w:rPr>
                <w:sz w:val="16"/>
                <w:szCs w:val="16"/>
                <w:spacing w:val="5"/>
              </w:rPr>
              <w:t xml:space="preserve"> </w:t>
            </w:r>
            <w:r>
              <w:rPr>
                <w:sz w:val="16"/>
                <w:szCs w:val="16"/>
                <w:spacing w:val="-1"/>
              </w:rPr>
              <w:t>唐量门加作);省些1生健康春</w:t>
            </w:r>
          </w:p>
          <w:p>
            <w:pPr>
              <w:pStyle w:val="TableText"/>
              <w:ind w:left="54"/>
              <w:spacing w:before="13" w:line="223" w:lineRule="auto"/>
              <w:rPr>
                <w:sz w:val="16"/>
                <w:szCs w:val="16"/>
              </w:rPr>
            </w:pPr>
            <w:r>
              <w:rPr>
                <w:sz w:val="16"/>
                <w:szCs w:val="16"/>
              </w:rPr>
              <w:t>门</w:t>
            </w:r>
          </w:p>
        </w:tc>
        <w:tc>
          <w:tcPr>
            <w:tcW w:w="3711" w:type="dxa"/>
            <w:vAlign w:val="top"/>
          </w:tcPr>
          <w:p>
            <w:pPr>
              <w:pStyle w:val="TableText"/>
              <w:ind w:left="37"/>
              <w:spacing w:before="47" w:line="219" w:lineRule="auto"/>
              <w:rPr>
                <w:sz w:val="16"/>
                <w:szCs w:val="16"/>
              </w:rPr>
            </w:pPr>
            <w:r>
              <w:rPr>
                <w:sz w:val="16"/>
                <w:szCs w:val="16"/>
                <w:spacing w:val="-1"/>
              </w:rPr>
              <w:t>《中华人民共和国传染病防治法》</w:t>
            </w:r>
          </w:p>
          <w:p>
            <w:pPr>
              <w:pStyle w:val="TableText"/>
              <w:ind w:left="37"/>
              <w:spacing w:before="30" w:line="208" w:lineRule="auto"/>
              <w:rPr>
                <w:sz w:val="16"/>
                <w:szCs w:val="16"/>
              </w:rPr>
            </w:pPr>
            <w:r>
              <w:rPr>
                <w:sz w:val="16"/>
                <w:szCs w:val="16"/>
                <w:spacing w:val="-1"/>
              </w:rPr>
              <w:t>《宿草强生带实股空生物安全有深条惯1</w:t>
            </w:r>
          </w:p>
          <w:p>
            <w:pPr>
              <w:pStyle w:val="TableText"/>
              <w:ind w:left="148" w:right="230" w:hanging="148"/>
              <w:spacing w:before="1" w:line="225" w:lineRule="auto"/>
              <w:rPr>
                <w:sz w:val="16"/>
                <w:szCs w:val="16"/>
              </w:rPr>
            </w:pPr>
            <w:r>
              <w:rPr>
                <w:sz w:val="16"/>
                <w:szCs w:val="16"/>
                <w:spacing w:val="-3"/>
              </w:rPr>
              <w:t>《可热鱼人关的高世病性有原徙生物德(章)种或柳</w:t>
            </w:r>
            <w:r>
              <w:rPr>
                <w:sz w:val="16"/>
                <w:szCs w:val="16"/>
                <w:spacing w:val="18"/>
              </w:rPr>
              <w:t xml:space="preserve"> </w:t>
            </w:r>
            <w:r>
              <w:rPr>
                <w:sz w:val="16"/>
                <w:szCs w:val="16"/>
                <w:spacing w:val="-3"/>
              </w:rPr>
              <w:t>本伍缺智现脱定》</w:t>
            </w:r>
          </w:p>
        </w:tc>
      </w:tr>
      <w:tr>
        <w:trPr>
          <w:trHeight w:val="649" w:hRule="atLeast"/>
        </w:trPr>
        <w:tc>
          <w:tcPr>
            <w:tcW w:w="584" w:type="dxa"/>
            <w:vAlign w:val="top"/>
          </w:tcPr>
          <w:p>
            <w:pPr>
              <w:pStyle w:val="TableText"/>
              <w:ind w:left="244"/>
              <w:spacing w:before="265" w:line="239" w:lineRule="auto"/>
              <w:rPr>
                <w:sz w:val="16"/>
                <w:szCs w:val="16"/>
              </w:rPr>
            </w:pPr>
            <w:r>
              <w:rPr>
                <w:sz w:val="16"/>
                <w:szCs w:val="16"/>
              </w:rPr>
              <w:t>?</w:t>
            </w:r>
          </w:p>
        </w:tc>
        <w:tc>
          <w:tcPr>
            <w:tcW w:w="1289" w:type="dxa"/>
            <w:vAlign w:val="top"/>
          </w:tcPr>
          <w:p>
            <w:pPr>
              <w:pStyle w:val="TableText"/>
              <w:ind w:left="70"/>
              <w:spacing w:before="250" w:line="220" w:lineRule="auto"/>
              <w:rPr>
                <w:sz w:val="16"/>
                <w:szCs w:val="16"/>
              </w:rPr>
            </w:pPr>
            <w:r>
              <w:rPr>
                <w:sz w:val="16"/>
                <w:szCs w:val="16"/>
              </w:rPr>
              <w:t>国家卫生健事委</w:t>
            </w:r>
          </w:p>
        </w:tc>
        <w:tc>
          <w:tcPr>
            <w:tcW w:w="1638" w:type="dxa"/>
            <w:vAlign w:val="top"/>
          </w:tcPr>
          <w:p>
            <w:pPr>
              <w:pStyle w:val="TableText"/>
              <w:ind w:left="92" w:right="102"/>
              <w:spacing w:before="58" w:line="219" w:lineRule="auto"/>
              <w:rPr>
                <w:sz w:val="16"/>
                <w:szCs w:val="16"/>
              </w:rPr>
            </w:pPr>
            <w:r>
              <w:rPr>
                <w:sz w:val="16"/>
                <w:szCs w:val="16"/>
                <w:spacing w:val="-1"/>
              </w:rPr>
              <w:t>职登卫生，数射卫生</w:t>
            </w:r>
            <w:r>
              <w:rPr>
                <w:sz w:val="16"/>
                <w:szCs w:val="16"/>
                <w:spacing w:val="1"/>
              </w:rPr>
              <w:t xml:space="preserve"> </w:t>
            </w:r>
            <w:r>
              <w:rPr>
                <w:sz w:val="16"/>
                <w:szCs w:val="16"/>
                <w:spacing w:val="-1"/>
              </w:rPr>
              <w:t>材术国务机构资医试</w:t>
            </w:r>
          </w:p>
        </w:tc>
        <w:tc>
          <w:tcPr>
            <w:tcW w:w="2377" w:type="dxa"/>
            <w:vAlign w:val="top"/>
          </w:tcPr>
          <w:p>
            <w:pPr>
              <w:pStyle w:val="TableText"/>
              <w:ind w:left="54"/>
              <w:spacing w:before="248" w:line="219" w:lineRule="auto"/>
              <w:rPr>
                <w:sz w:val="16"/>
                <w:szCs w:val="16"/>
              </w:rPr>
            </w:pPr>
            <w:r>
              <w:rPr>
                <w:sz w:val="16"/>
                <w:szCs w:val="16"/>
                <w:spacing w:val="2"/>
              </w:rPr>
              <w:t>省理卫生健牵间门</w:t>
            </w:r>
          </w:p>
        </w:tc>
        <w:tc>
          <w:tcPr>
            <w:tcW w:w="3711" w:type="dxa"/>
            <w:vAlign w:val="top"/>
          </w:tcPr>
          <w:p>
            <w:pPr>
              <w:pStyle w:val="TableText"/>
              <w:ind w:left="117"/>
              <w:spacing w:before="69" w:line="219" w:lineRule="auto"/>
              <w:rPr>
                <w:sz w:val="16"/>
                <w:szCs w:val="16"/>
              </w:rPr>
            </w:pPr>
            <w:r>
              <w:rPr>
                <w:sz w:val="16"/>
                <w:szCs w:val="16"/>
              </w:rPr>
              <w:t>1中学人民共和国职业病防治法》</w:t>
            </w:r>
          </w:p>
          <w:p>
            <w:pPr>
              <w:pStyle w:val="TableText"/>
              <w:ind w:left="117"/>
              <w:spacing w:line="242" w:lineRule="auto"/>
              <w:rPr>
                <w:sz w:val="16"/>
                <w:szCs w:val="16"/>
              </w:rPr>
            </w:pPr>
            <w:r>
              <w:rPr>
                <w:sz w:val="16"/>
                <w:szCs w:val="16"/>
                <w:spacing w:val="2"/>
              </w:rPr>
              <w:t>(职各卫生技术以务机构管理办徒)</w:t>
            </w:r>
          </w:p>
          <w:p>
            <w:pPr>
              <w:pStyle w:val="TableText"/>
              <w:ind w:left="37"/>
              <w:spacing w:line="196" w:lineRule="auto"/>
              <w:rPr>
                <w:sz w:val="16"/>
                <w:szCs w:val="16"/>
              </w:rPr>
            </w:pPr>
            <w:r>
              <w:rPr>
                <w:sz w:val="16"/>
                <w:szCs w:val="16"/>
                <w:spacing w:val="-1"/>
              </w:rPr>
              <w:t>《检射卫生技术理务机构管理办法1</w:t>
            </w:r>
          </w:p>
        </w:tc>
      </w:tr>
      <w:tr>
        <w:trPr>
          <w:trHeight w:val="649" w:hRule="atLeast"/>
        </w:trPr>
        <w:tc>
          <w:tcPr>
            <w:tcW w:w="584" w:type="dxa"/>
            <w:vAlign w:val="top"/>
          </w:tcPr>
          <w:p>
            <w:pPr>
              <w:pStyle w:val="TableText"/>
              <w:ind w:left="164"/>
              <w:spacing w:before="291" w:line="183" w:lineRule="auto"/>
              <w:rPr>
                <w:sz w:val="16"/>
                <w:szCs w:val="16"/>
              </w:rPr>
            </w:pPr>
            <w:r>
              <w:rPr>
                <w:sz w:val="16"/>
                <w:szCs w:val="16"/>
                <w:spacing w:val="-2"/>
              </w:rPr>
              <w:t>46W</w:t>
            </w:r>
          </w:p>
        </w:tc>
        <w:tc>
          <w:tcPr>
            <w:tcW w:w="1289" w:type="dxa"/>
            <w:vAlign w:val="top"/>
          </w:tcPr>
          <w:p>
            <w:pPr>
              <w:pStyle w:val="TableText"/>
              <w:ind w:left="70"/>
              <w:spacing w:before="250" w:line="219" w:lineRule="auto"/>
              <w:rPr>
                <w:sz w:val="16"/>
                <w:szCs w:val="16"/>
              </w:rPr>
            </w:pPr>
            <w:r>
              <w:rPr>
                <w:sz w:val="16"/>
                <w:szCs w:val="16"/>
              </w:rPr>
              <w:t>国家卫生的康类</w:t>
            </w:r>
          </w:p>
        </w:tc>
        <w:tc>
          <w:tcPr>
            <w:tcW w:w="1638" w:type="dxa"/>
            <w:vAlign w:val="top"/>
          </w:tcPr>
          <w:p>
            <w:pPr>
              <w:pStyle w:val="TableText"/>
              <w:ind w:left="52" w:right="102" w:firstLine="40"/>
              <w:spacing w:before="59" w:line="223" w:lineRule="auto"/>
              <w:jc w:val="both"/>
              <w:rPr>
                <w:sz w:val="16"/>
                <w:szCs w:val="16"/>
              </w:rPr>
            </w:pPr>
            <w:r>
              <w:rPr>
                <w:sz w:val="16"/>
                <w:szCs w:val="16"/>
                <w:spacing w:val="-2"/>
              </w:rPr>
              <w:t>医护机构建设项们放</w:t>
            </w:r>
            <w:r>
              <w:rPr>
                <w:sz w:val="16"/>
                <w:szCs w:val="16"/>
                <w:spacing w:val="3"/>
              </w:rPr>
              <w:t xml:space="preserve"> </w:t>
            </w:r>
            <w:r>
              <w:rPr>
                <w:sz w:val="16"/>
                <w:szCs w:val="16"/>
                <w:spacing w:val="3"/>
              </w:rPr>
              <w:t>射性职北国能害指作</w:t>
            </w:r>
            <w:r>
              <w:rPr>
                <w:sz w:val="16"/>
                <w:szCs w:val="16"/>
                <w:spacing w:val="5"/>
              </w:rPr>
              <w:t xml:space="preserve"> </w:t>
            </w:r>
            <w:r>
              <w:rPr>
                <w:sz w:val="16"/>
                <w:szCs w:val="16"/>
                <w:spacing w:val="-2"/>
              </w:rPr>
              <w:t>价望也市档</w:t>
            </w:r>
          </w:p>
        </w:tc>
        <w:tc>
          <w:tcPr>
            <w:tcW w:w="2377" w:type="dxa"/>
            <w:vAlign w:val="top"/>
          </w:tcPr>
          <w:p>
            <w:pPr>
              <w:pStyle w:val="TableText"/>
              <w:ind w:left="54" w:right="60" w:firstLine="20"/>
              <w:spacing w:before="169" w:line="214" w:lineRule="auto"/>
              <w:rPr>
                <w:sz w:val="16"/>
                <w:szCs w:val="16"/>
              </w:rPr>
            </w:pPr>
            <w:r>
              <w:rPr>
                <w:sz w:val="16"/>
                <w:szCs w:val="16"/>
                <w:spacing w:val="-1"/>
              </w:rPr>
              <w:t>者毁、设区约市以，县改卫生望</w:t>
            </w:r>
            <w:r>
              <w:rPr>
                <w:sz w:val="16"/>
                <w:szCs w:val="16"/>
                <w:spacing w:val="5"/>
              </w:rPr>
              <w:t xml:space="preserve"> </w:t>
            </w:r>
            <w:r>
              <w:rPr>
                <w:sz w:val="16"/>
                <w:szCs w:val="16"/>
                <w:spacing w:val="5"/>
              </w:rPr>
              <w:t>*部门</w:t>
            </w:r>
          </w:p>
        </w:tc>
        <w:tc>
          <w:tcPr>
            <w:tcW w:w="3711" w:type="dxa"/>
            <w:vAlign w:val="top"/>
          </w:tcPr>
          <w:p>
            <w:pPr>
              <w:pStyle w:val="TableText"/>
              <w:ind w:left="37"/>
              <w:spacing w:before="140" w:line="242" w:lineRule="auto"/>
              <w:rPr>
                <w:sz w:val="16"/>
                <w:szCs w:val="16"/>
              </w:rPr>
            </w:pPr>
            <w:r>
              <w:rPr>
                <w:sz w:val="16"/>
                <w:szCs w:val="16"/>
                <w:spacing w:val="-1"/>
              </w:rPr>
              <w:t>《中华人民共和国取业病胁治结?</w:t>
            </w:r>
          </w:p>
          <w:p>
            <w:pPr>
              <w:pStyle w:val="TableText"/>
              <w:ind w:left="117"/>
              <w:spacing w:line="218" w:lineRule="auto"/>
              <w:rPr>
                <w:sz w:val="16"/>
                <w:szCs w:val="16"/>
              </w:rPr>
            </w:pPr>
            <w:r>
              <w:rPr>
                <w:sz w:val="16"/>
                <w:szCs w:val="16"/>
                <w:spacing w:val="-2"/>
              </w:rPr>
              <w:t>故材委疗管理醒定》</w:t>
            </w:r>
          </w:p>
        </w:tc>
      </w:tr>
      <w:tr>
        <w:trPr>
          <w:trHeight w:val="639" w:hRule="atLeast"/>
        </w:trPr>
        <w:tc>
          <w:tcPr>
            <w:tcW w:w="584" w:type="dxa"/>
            <w:vAlign w:val="top"/>
          </w:tcPr>
          <w:p>
            <w:pPr>
              <w:pStyle w:val="TableText"/>
              <w:ind w:left="164"/>
              <w:spacing w:before="282" w:line="183" w:lineRule="auto"/>
              <w:rPr>
                <w:sz w:val="16"/>
                <w:szCs w:val="16"/>
              </w:rPr>
            </w:pPr>
            <w:r>
              <w:rPr>
                <w:sz w:val="16"/>
                <w:szCs w:val="16"/>
                <w:spacing w:val="-2"/>
              </w:rPr>
              <w:t>469</w:t>
            </w:r>
          </w:p>
        </w:tc>
        <w:tc>
          <w:tcPr>
            <w:tcW w:w="1289" w:type="dxa"/>
            <w:vAlign w:val="top"/>
          </w:tcPr>
          <w:p>
            <w:pPr>
              <w:pStyle w:val="TableText"/>
              <w:ind w:left="70"/>
              <w:spacing w:before="241" w:line="219" w:lineRule="auto"/>
              <w:rPr>
                <w:sz w:val="16"/>
                <w:szCs w:val="16"/>
              </w:rPr>
            </w:pPr>
            <w:r>
              <w:rPr>
                <w:sz w:val="16"/>
                <w:szCs w:val="16"/>
                <w:spacing w:val="-1"/>
              </w:rPr>
              <w:t>财字卫生健束委</w:t>
            </w:r>
          </w:p>
        </w:tc>
        <w:tc>
          <w:tcPr>
            <w:tcW w:w="1638" w:type="dxa"/>
            <w:vAlign w:val="top"/>
          </w:tcPr>
          <w:p>
            <w:pPr>
              <w:pStyle w:val="TableText"/>
              <w:ind w:left="42" w:right="102" w:firstLine="50"/>
              <w:spacing w:before="62" w:line="218" w:lineRule="auto"/>
              <w:jc w:val="both"/>
              <w:rPr>
                <w:sz w:val="16"/>
                <w:szCs w:val="16"/>
              </w:rPr>
            </w:pPr>
            <w:r>
              <w:rPr>
                <w:sz w:val="16"/>
                <w:szCs w:val="16"/>
                <w:spacing w:val="-1"/>
              </w:rPr>
              <w:t>风持风相建设项目益</w:t>
            </w:r>
            <w:r>
              <w:rPr>
                <w:sz w:val="16"/>
                <w:szCs w:val="16"/>
                <w:spacing w:val="1"/>
              </w:rPr>
              <w:t xml:space="preserve"> </w:t>
            </w:r>
            <w:r>
              <w:rPr>
                <w:sz w:val="16"/>
                <w:szCs w:val="16"/>
                <w:spacing w:val="4"/>
              </w:rPr>
              <w:t>射性型业病防护设革</w:t>
            </w:r>
            <w:r>
              <w:rPr>
                <w:sz w:val="16"/>
                <w:szCs w:val="16"/>
                <w:spacing w:val="6"/>
              </w:rPr>
              <w:t xml:space="preserve"> </w:t>
            </w:r>
            <w:r>
              <w:rPr>
                <w:sz w:val="16"/>
                <w:szCs w:val="16"/>
                <w:spacing w:val="-2"/>
              </w:rPr>
              <w:t>编工数收</w:t>
            </w:r>
          </w:p>
        </w:tc>
        <w:tc>
          <w:tcPr>
            <w:tcW w:w="2377" w:type="dxa"/>
            <w:vAlign w:val="top"/>
          </w:tcPr>
          <w:p>
            <w:pPr>
              <w:pStyle w:val="TableText"/>
              <w:ind w:left="54" w:right="81"/>
              <w:spacing w:before="151" w:line="225" w:lineRule="auto"/>
              <w:rPr>
                <w:sz w:val="16"/>
                <w:szCs w:val="16"/>
              </w:rPr>
            </w:pPr>
            <w:r>
              <w:rPr>
                <w:sz w:val="16"/>
                <w:szCs w:val="16"/>
                <w:spacing w:val="-1"/>
              </w:rPr>
              <w:t>省超，设区的市短，县世卫生做</w:t>
            </w:r>
            <w:r>
              <w:rPr>
                <w:sz w:val="16"/>
                <w:szCs w:val="16"/>
                <w:spacing w:val="4"/>
              </w:rPr>
              <w:t xml:space="preserve"> </w:t>
            </w:r>
            <w:r>
              <w:rPr>
                <w:sz w:val="16"/>
                <w:szCs w:val="16"/>
                <w:spacing w:val="6"/>
              </w:rPr>
              <w:t>毕部门</w:t>
            </w:r>
          </w:p>
        </w:tc>
        <w:tc>
          <w:tcPr>
            <w:tcW w:w="3711" w:type="dxa"/>
            <w:vAlign w:val="top"/>
          </w:tcPr>
          <w:p>
            <w:pPr>
              <w:pStyle w:val="TableText"/>
              <w:ind w:left="117"/>
              <w:spacing w:before="131" w:line="220" w:lineRule="exact"/>
              <w:rPr>
                <w:sz w:val="16"/>
                <w:szCs w:val="16"/>
              </w:rPr>
            </w:pPr>
            <w:r>
              <w:rPr>
                <w:sz w:val="16"/>
                <w:szCs w:val="16"/>
                <w:position w:val="4"/>
              </w:rPr>
              <w:t>1中华人民共和国职业病政消求》</w:t>
            </w:r>
          </w:p>
          <w:p>
            <w:pPr>
              <w:pStyle w:val="TableText"/>
              <w:ind w:left="117"/>
              <w:spacing w:line="219" w:lineRule="auto"/>
              <w:rPr>
                <w:sz w:val="16"/>
                <w:szCs w:val="16"/>
              </w:rPr>
            </w:pPr>
            <w:r>
              <w:rPr>
                <w:sz w:val="16"/>
                <w:szCs w:val="16"/>
                <w:spacing w:val="1"/>
              </w:rPr>
              <w:t>故射话疗管理规定1</w:t>
            </w:r>
          </w:p>
        </w:tc>
      </w:tr>
      <w:tr>
        <w:trPr>
          <w:trHeight w:val="449" w:hRule="atLeast"/>
        </w:trPr>
        <w:tc>
          <w:tcPr>
            <w:tcW w:w="584" w:type="dxa"/>
            <w:vAlign w:val="top"/>
          </w:tcPr>
          <w:p>
            <w:pPr>
              <w:pStyle w:val="TableText"/>
              <w:ind w:left="164"/>
              <w:spacing w:before="193" w:line="183" w:lineRule="auto"/>
              <w:rPr>
                <w:sz w:val="16"/>
                <w:szCs w:val="16"/>
              </w:rPr>
            </w:pPr>
            <w:r>
              <w:rPr>
                <w:sz w:val="16"/>
                <w:szCs w:val="16"/>
                <w:spacing w:val="-2"/>
              </w:rPr>
              <w:t>670</w:t>
            </w:r>
          </w:p>
        </w:tc>
        <w:tc>
          <w:tcPr>
            <w:tcW w:w="1289" w:type="dxa"/>
            <w:vAlign w:val="top"/>
          </w:tcPr>
          <w:p>
            <w:pPr>
              <w:pStyle w:val="TableText"/>
              <w:ind w:left="70"/>
              <w:spacing w:before="152" w:line="219" w:lineRule="auto"/>
              <w:rPr>
                <w:sz w:val="16"/>
                <w:szCs w:val="16"/>
              </w:rPr>
            </w:pPr>
            <w:r>
              <w:rPr>
                <w:sz w:val="16"/>
                <w:szCs w:val="16"/>
                <w:spacing w:val="-1"/>
              </w:rPr>
              <w:t>解家卫生接康委</w:t>
            </w:r>
          </w:p>
        </w:tc>
        <w:tc>
          <w:tcPr>
            <w:tcW w:w="1638" w:type="dxa"/>
            <w:vAlign w:val="top"/>
          </w:tcPr>
          <w:p>
            <w:pPr>
              <w:pStyle w:val="TableText"/>
              <w:ind w:left="42"/>
              <w:spacing w:before="151" w:line="219" w:lineRule="auto"/>
              <w:rPr>
                <w:sz w:val="16"/>
                <w:szCs w:val="16"/>
              </w:rPr>
            </w:pPr>
            <w:r>
              <w:rPr>
                <w:sz w:val="16"/>
                <w:szCs w:val="16"/>
              </w:rPr>
              <w:t>国疗机构设量市批</w:t>
            </w:r>
          </w:p>
        </w:tc>
        <w:tc>
          <w:tcPr>
            <w:tcW w:w="2377" w:type="dxa"/>
            <w:vAlign w:val="top"/>
          </w:tcPr>
          <w:p>
            <w:pPr>
              <w:pStyle w:val="TableText"/>
              <w:ind w:left="54" w:right="81"/>
              <w:spacing w:before="71" w:line="212" w:lineRule="auto"/>
              <w:rPr>
                <w:sz w:val="16"/>
                <w:szCs w:val="16"/>
              </w:rPr>
            </w:pPr>
            <w:r>
              <w:rPr>
                <w:sz w:val="16"/>
                <w:szCs w:val="16"/>
                <w:spacing w:val="-1"/>
              </w:rPr>
              <w:t>省蜓、设化的而划，外烟卫生健</w:t>
            </w:r>
            <w:r>
              <w:rPr>
                <w:sz w:val="16"/>
                <w:szCs w:val="16"/>
                <w:spacing w:val="4"/>
              </w:rPr>
              <w:t xml:space="preserve"> </w:t>
            </w:r>
            <w:r>
              <w:rPr>
                <w:sz w:val="16"/>
                <w:szCs w:val="16"/>
                <w:spacing w:val="6"/>
              </w:rPr>
              <w:t>事部门</w:t>
            </w:r>
          </w:p>
        </w:tc>
        <w:tc>
          <w:tcPr>
            <w:tcW w:w="3711" w:type="dxa"/>
            <w:vAlign w:val="top"/>
          </w:tcPr>
          <w:p>
            <w:pPr>
              <w:pStyle w:val="TableText"/>
              <w:ind w:left="37"/>
              <w:spacing w:before="151" w:line="219" w:lineRule="auto"/>
              <w:rPr>
                <w:sz w:val="16"/>
                <w:szCs w:val="16"/>
              </w:rPr>
            </w:pPr>
            <w:r>
              <w:rPr>
                <w:sz w:val="16"/>
                <w:szCs w:val="16"/>
                <w:spacing w:val="-2"/>
              </w:rPr>
              <w:t>《思疗机构管理备例》</w:t>
            </w:r>
          </w:p>
        </w:tc>
      </w:tr>
      <w:tr>
        <w:trPr>
          <w:trHeight w:val="449" w:hRule="atLeast"/>
        </w:trPr>
        <w:tc>
          <w:tcPr>
            <w:tcW w:w="584" w:type="dxa"/>
            <w:vAlign w:val="top"/>
          </w:tcPr>
          <w:p>
            <w:pPr>
              <w:pStyle w:val="TableText"/>
              <w:ind w:left="164"/>
              <w:spacing w:before="193" w:line="184" w:lineRule="auto"/>
              <w:rPr>
                <w:sz w:val="16"/>
                <w:szCs w:val="16"/>
              </w:rPr>
            </w:pPr>
            <w:r>
              <w:rPr>
                <w:sz w:val="16"/>
                <w:szCs w:val="16"/>
                <w:spacing w:val="-2"/>
              </w:rPr>
              <w:t>471</w:t>
            </w:r>
          </w:p>
        </w:tc>
        <w:tc>
          <w:tcPr>
            <w:tcW w:w="1289" w:type="dxa"/>
            <w:vAlign w:val="top"/>
          </w:tcPr>
          <w:p>
            <w:pPr>
              <w:pStyle w:val="TableText"/>
              <w:ind w:left="70"/>
              <w:spacing w:before="153" w:line="219" w:lineRule="auto"/>
              <w:rPr>
                <w:sz w:val="16"/>
                <w:szCs w:val="16"/>
              </w:rPr>
            </w:pPr>
            <w:r>
              <w:rPr>
                <w:sz w:val="16"/>
                <w:szCs w:val="16"/>
                <w:spacing w:val="1"/>
              </w:rPr>
              <w:t>国案卫生键果着</w:t>
            </w:r>
          </w:p>
        </w:tc>
        <w:tc>
          <w:tcPr>
            <w:tcW w:w="1638" w:type="dxa"/>
            <w:vAlign w:val="top"/>
          </w:tcPr>
          <w:p>
            <w:pPr>
              <w:pStyle w:val="TableText"/>
              <w:ind w:left="62"/>
              <w:spacing w:before="152" w:line="219" w:lineRule="auto"/>
              <w:rPr>
                <w:sz w:val="16"/>
                <w:szCs w:val="16"/>
              </w:rPr>
            </w:pPr>
            <w:r>
              <w:rPr>
                <w:sz w:val="16"/>
                <w:szCs w:val="16"/>
                <w:spacing w:val="1"/>
              </w:rPr>
              <w:t>医样机构找业亚已</w:t>
            </w:r>
          </w:p>
        </w:tc>
        <w:tc>
          <w:tcPr>
            <w:tcW w:w="2377" w:type="dxa"/>
            <w:vAlign w:val="top"/>
          </w:tcPr>
          <w:p>
            <w:pPr>
              <w:pStyle w:val="TableText"/>
              <w:ind w:left="54" w:right="86"/>
              <w:spacing w:before="43" w:line="225" w:lineRule="auto"/>
              <w:rPr>
                <w:sz w:val="16"/>
                <w:szCs w:val="16"/>
              </w:rPr>
            </w:pPr>
            <w:r>
              <w:rPr>
                <w:sz w:val="16"/>
                <w:szCs w:val="16"/>
                <w:spacing w:val="-1"/>
              </w:rPr>
              <w:t>言题，设区的市填，县雄卫生镇</w:t>
            </w:r>
            <w:r>
              <w:rPr>
                <w:sz w:val="16"/>
                <w:szCs w:val="16"/>
              </w:rPr>
              <w:t xml:space="preserve"> </w:t>
            </w:r>
            <w:r>
              <w:rPr>
                <w:sz w:val="16"/>
                <w:szCs w:val="16"/>
                <w:spacing w:val="6"/>
              </w:rPr>
              <w:t>東部门</w:t>
            </w:r>
          </w:p>
        </w:tc>
        <w:tc>
          <w:tcPr>
            <w:tcW w:w="3711" w:type="dxa"/>
            <w:vAlign w:val="top"/>
          </w:tcPr>
          <w:p>
            <w:pPr>
              <w:pStyle w:val="TableText"/>
              <w:ind w:left="117"/>
              <w:spacing w:before="152" w:line="219" w:lineRule="auto"/>
              <w:rPr>
                <w:sz w:val="16"/>
                <w:szCs w:val="16"/>
              </w:rPr>
            </w:pPr>
            <w:r>
              <w:rPr>
                <w:sz w:val="16"/>
                <w:szCs w:val="16"/>
                <w:spacing w:val="1"/>
              </w:rPr>
              <w:t>(医片机构管理条1</w:t>
            </w:r>
          </w:p>
        </w:tc>
      </w:tr>
      <w:tr>
        <w:trPr>
          <w:trHeight w:val="439" w:hRule="atLeast"/>
        </w:trPr>
        <w:tc>
          <w:tcPr>
            <w:tcW w:w="584" w:type="dxa"/>
            <w:vAlign w:val="top"/>
          </w:tcPr>
          <w:p>
            <w:pPr>
              <w:pStyle w:val="TableText"/>
              <w:ind w:left="164"/>
              <w:spacing w:before="185" w:line="183" w:lineRule="auto"/>
              <w:rPr>
                <w:sz w:val="16"/>
                <w:szCs w:val="16"/>
              </w:rPr>
            </w:pPr>
            <w:r>
              <w:rPr>
                <w:sz w:val="16"/>
                <w:szCs w:val="16"/>
                <w:spacing w:val="-2"/>
              </w:rPr>
              <w:t>472</w:t>
            </w:r>
          </w:p>
        </w:tc>
        <w:tc>
          <w:tcPr>
            <w:tcW w:w="1289" w:type="dxa"/>
            <w:vAlign w:val="top"/>
          </w:tcPr>
          <w:p>
            <w:pPr>
              <w:pStyle w:val="TableText"/>
              <w:ind w:left="70"/>
              <w:spacing w:before="145" w:line="220" w:lineRule="auto"/>
              <w:rPr>
                <w:sz w:val="16"/>
                <w:szCs w:val="16"/>
              </w:rPr>
            </w:pPr>
            <w:r>
              <w:rPr>
                <w:sz w:val="16"/>
                <w:szCs w:val="16"/>
                <w:spacing w:val="-1"/>
              </w:rPr>
              <w:t>讨家卫生健唐委</w:t>
            </w:r>
          </w:p>
        </w:tc>
        <w:tc>
          <w:tcPr>
            <w:tcW w:w="1638" w:type="dxa"/>
            <w:vAlign w:val="top"/>
          </w:tcPr>
          <w:p>
            <w:pPr>
              <w:pStyle w:val="TableText"/>
              <w:ind w:left="52" w:right="87" w:firstLine="40"/>
              <w:spacing w:before="43" w:line="219" w:lineRule="auto"/>
              <w:rPr>
                <w:sz w:val="16"/>
                <w:szCs w:val="16"/>
              </w:rPr>
            </w:pPr>
            <w:r>
              <w:rPr>
                <w:sz w:val="16"/>
                <w:szCs w:val="16"/>
              </w:rPr>
              <w:t>医背积构人体器宜称</w:t>
            </w:r>
            <w:r>
              <w:rPr>
                <w:sz w:val="16"/>
                <w:szCs w:val="16"/>
                <w:spacing w:val="7"/>
              </w:rPr>
              <w:t xml:space="preserve"> </w:t>
            </w:r>
            <w:r>
              <w:rPr>
                <w:sz w:val="16"/>
                <w:szCs w:val="16"/>
                <w:spacing w:val="-1"/>
              </w:rPr>
              <w:t>植读介码育登记</w:t>
            </w:r>
          </w:p>
        </w:tc>
        <w:tc>
          <w:tcPr>
            <w:tcW w:w="2377" w:type="dxa"/>
            <w:vAlign w:val="top"/>
          </w:tcPr>
          <w:p>
            <w:pPr>
              <w:pStyle w:val="TableText"/>
              <w:ind w:left="54"/>
              <w:spacing w:before="144" w:line="219" w:lineRule="auto"/>
              <w:rPr>
                <w:sz w:val="16"/>
                <w:szCs w:val="16"/>
              </w:rPr>
            </w:pPr>
            <w:r>
              <w:rPr>
                <w:sz w:val="16"/>
                <w:szCs w:val="16"/>
                <w:spacing w:val="2"/>
              </w:rPr>
              <w:t>百级卫生剪束部门</w:t>
            </w:r>
          </w:p>
        </w:tc>
        <w:tc>
          <w:tcPr>
            <w:tcW w:w="3711" w:type="dxa"/>
            <w:vAlign w:val="top"/>
          </w:tcPr>
          <w:p>
            <w:pPr>
              <w:pStyle w:val="TableText"/>
              <w:ind w:left="117"/>
              <w:spacing w:before="144" w:line="219" w:lineRule="auto"/>
              <w:rPr>
                <w:sz w:val="16"/>
                <w:szCs w:val="16"/>
              </w:rPr>
            </w:pPr>
            <w:r>
              <w:rPr>
                <w:sz w:val="16"/>
                <w:szCs w:val="16"/>
                <w:spacing w:val="-1"/>
              </w:rPr>
              <w:t>(人体整宣协植亲保》</w:t>
            </w:r>
          </w:p>
        </w:tc>
      </w:tr>
      <w:tr>
        <w:trPr>
          <w:trHeight w:val="649" w:hRule="atLeast"/>
        </w:trPr>
        <w:tc>
          <w:tcPr>
            <w:tcW w:w="584" w:type="dxa"/>
            <w:vAlign w:val="top"/>
          </w:tcPr>
          <w:p>
            <w:pPr>
              <w:spacing w:line="242" w:lineRule="auto"/>
              <w:rPr>
                <w:rFonts w:ascii="Arial"/>
                <w:sz w:val="21"/>
              </w:rPr>
            </w:pPr>
            <w:r/>
          </w:p>
          <w:p>
            <w:pPr>
              <w:pStyle w:val="TableText"/>
              <w:ind w:left="164"/>
              <w:spacing w:before="52" w:line="184" w:lineRule="auto"/>
              <w:rPr>
                <w:sz w:val="16"/>
                <w:szCs w:val="16"/>
              </w:rPr>
            </w:pPr>
            <w:r>
              <w:rPr>
                <w:sz w:val="16"/>
                <w:szCs w:val="16"/>
                <w:spacing w:val="-2"/>
              </w:rPr>
              <w:t>471</w:t>
            </w:r>
          </w:p>
        </w:tc>
        <w:tc>
          <w:tcPr>
            <w:tcW w:w="1289" w:type="dxa"/>
            <w:vAlign w:val="top"/>
          </w:tcPr>
          <w:p>
            <w:pPr>
              <w:pStyle w:val="TableText"/>
              <w:ind w:left="70"/>
              <w:spacing w:before="256" w:line="220" w:lineRule="auto"/>
              <w:rPr>
                <w:sz w:val="16"/>
                <w:szCs w:val="16"/>
              </w:rPr>
            </w:pPr>
            <w:r>
              <w:rPr>
                <w:sz w:val="16"/>
                <w:szCs w:val="16"/>
              </w:rPr>
              <w:t>国家卫生能事委</w:t>
            </w:r>
          </w:p>
        </w:tc>
        <w:tc>
          <w:tcPr>
            <w:tcW w:w="1638" w:type="dxa"/>
            <w:vAlign w:val="top"/>
          </w:tcPr>
          <w:p>
            <w:pPr>
              <w:pStyle w:val="TableText"/>
              <w:ind w:left="22" w:right="106" w:firstLine="70"/>
              <w:spacing w:before="145" w:line="225" w:lineRule="auto"/>
              <w:rPr>
                <w:sz w:val="16"/>
                <w:szCs w:val="16"/>
              </w:rPr>
            </w:pPr>
            <w:r>
              <w:rPr>
                <w:sz w:val="16"/>
                <w:szCs w:val="16"/>
                <w:spacing w:val="-2"/>
              </w:rPr>
              <w:t>月繁保读材本程务机</w:t>
            </w:r>
            <w:r>
              <w:rPr>
                <w:sz w:val="16"/>
                <w:szCs w:val="16"/>
                <w:spacing w:val="6"/>
              </w:rPr>
              <w:t xml:space="preserve"> </w:t>
            </w:r>
            <w:r>
              <w:rPr>
                <w:sz w:val="16"/>
                <w:szCs w:val="16"/>
                <w:spacing w:val="-2"/>
              </w:rPr>
              <w:t>和执业昨n</w:t>
            </w:r>
          </w:p>
        </w:tc>
        <w:tc>
          <w:tcPr>
            <w:tcW w:w="2377" w:type="dxa"/>
            <w:vAlign w:val="top"/>
          </w:tcPr>
          <w:p>
            <w:pPr>
              <w:pStyle w:val="TableText"/>
              <w:ind w:left="54"/>
              <w:spacing w:before="254" w:line="219" w:lineRule="auto"/>
              <w:rPr>
                <w:sz w:val="16"/>
                <w:szCs w:val="16"/>
              </w:rPr>
            </w:pPr>
            <w:r>
              <w:rPr>
                <w:sz w:val="16"/>
                <w:szCs w:val="16"/>
                <w:spacing w:val="1"/>
              </w:rPr>
              <w:t>省献，其领卫生简康部门</w:t>
            </w:r>
          </w:p>
        </w:tc>
        <w:tc>
          <w:tcPr>
            <w:tcW w:w="3711" w:type="dxa"/>
            <w:vAlign w:val="top"/>
          </w:tcPr>
          <w:p>
            <w:pPr>
              <w:pStyle w:val="TableText"/>
              <w:ind w:left="117"/>
              <w:spacing w:before="65" w:line="196" w:lineRule="auto"/>
              <w:rPr>
                <w:sz w:val="16"/>
                <w:szCs w:val="16"/>
              </w:rPr>
            </w:pPr>
            <w:r>
              <w:rPr>
                <w:sz w:val="16"/>
                <w:szCs w:val="16"/>
                <w:spacing w:val="2"/>
              </w:rPr>
              <w:t>中生人民共和国母要保馨盐)</w:t>
            </w:r>
          </w:p>
          <w:p>
            <w:pPr>
              <w:pStyle w:val="TableText"/>
              <w:ind w:left="117"/>
              <w:spacing w:line="219" w:lineRule="auto"/>
              <w:rPr>
                <w:sz w:val="16"/>
                <w:szCs w:val="16"/>
              </w:rPr>
            </w:pPr>
            <w:r>
              <w:rPr>
                <w:sz w:val="16"/>
                <w:szCs w:val="16"/>
              </w:rPr>
              <w:t>(中华人民共和属母要保峰法实施办法1</w:t>
            </w:r>
          </w:p>
          <w:p>
            <w:pPr>
              <w:pStyle w:val="TableText"/>
              <w:ind w:left="46"/>
              <w:spacing w:before="20" w:line="219" w:lineRule="auto"/>
              <w:rPr>
                <w:sz w:val="16"/>
                <w:szCs w:val="16"/>
              </w:rPr>
            </w:pPr>
            <w:r>
              <w:rPr>
                <w:sz w:val="16"/>
                <w:szCs w:val="16"/>
              </w:rPr>
              <w:t>1种要保偿专观技术服务许可花人员斯格管理办法</w:t>
            </w:r>
          </w:p>
        </w:tc>
      </w:tr>
      <w:tr>
        <w:trPr>
          <w:trHeight w:val="534" w:hRule="atLeast"/>
        </w:trPr>
        <w:tc>
          <w:tcPr>
            <w:tcW w:w="584" w:type="dxa"/>
            <w:vAlign w:val="top"/>
          </w:tcPr>
          <w:p>
            <w:pPr>
              <w:pStyle w:val="TableText"/>
              <w:ind w:left="164"/>
              <w:spacing w:before="236" w:line="184" w:lineRule="auto"/>
              <w:rPr>
                <w:sz w:val="16"/>
                <w:szCs w:val="16"/>
              </w:rPr>
            </w:pPr>
            <w:r>
              <w:rPr>
                <w:sz w:val="16"/>
                <w:szCs w:val="16"/>
                <w:spacing w:val="-2"/>
              </w:rPr>
              <w:t>471</w:t>
            </w:r>
          </w:p>
        </w:tc>
        <w:tc>
          <w:tcPr>
            <w:tcW w:w="1289" w:type="dxa"/>
            <w:vAlign w:val="top"/>
          </w:tcPr>
          <w:p>
            <w:pPr>
              <w:pStyle w:val="TableText"/>
              <w:ind w:left="70"/>
              <w:spacing w:before="196" w:line="219" w:lineRule="auto"/>
              <w:rPr>
                <w:sz w:val="16"/>
                <w:szCs w:val="16"/>
              </w:rPr>
            </w:pPr>
            <w:r>
              <w:rPr>
                <w:sz w:val="16"/>
                <w:szCs w:val="16"/>
              </w:rPr>
              <w:t>国家卫生能康委</w:t>
            </w:r>
          </w:p>
        </w:tc>
        <w:tc>
          <w:tcPr>
            <w:tcW w:w="1638" w:type="dxa"/>
            <w:vAlign w:val="top"/>
          </w:tcPr>
          <w:p>
            <w:pPr>
              <w:pStyle w:val="TableText"/>
              <w:ind w:left="52" w:right="85" w:firstLine="40"/>
              <w:spacing w:before="115" w:line="214" w:lineRule="auto"/>
              <w:rPr>
                <w:sz w:val="16"/>
                <w:szCs w:val="16"/>
              </w:rPr>
            </w:pPr>
            <w:r>
              <w:rPr>
                <w:sz w:val="16"/>
                <w:szCs w:val="16"/>
                <w:spacing w:val="1"/>
              </w:rPr>
              <w:t>医开机当开周人天朝</w:t>
            </w:r>
            <w:r>
              <w:rPr>
                <w:sz w:val="16"/>
                <w:szCs w:val="16"/>
              </w:rPr>
              <w:t xml:space="preserve"> </w:t>
            </w:r>
            <w:r>
              <w:rPr>
                <w:sz w:val="16"/>
                <w:szCs w:val="16"/>
              </w:rPr>
              <w:t>团生动技术许可</w:t>
            </w:r>
          </w:p>
        </w:tc>
        <w:tc>
          <w:tcPr>
            <w:tcW w:w="2377" w:type="dxa"/>
            <w:vAlign w:val="top"/>
          </w:tcPr>
          <w:p>
            <w:pPr>
              <w:pStyle w:val="TableText"/>
              <w:ind w:left="54"/>
              <w:spacing w:before="196" w:line="219" w:lineRule="auto"/>
              <w:rPr>
                <w:sz w:val="16"/>
                <w:szCs w:val="16"/>
              </w:rPr>
            </w:pPr>
            <w:r>
              <w:rPr>
                <w:sz w:val="16"/>
                <w:szCs w:val="16"/>
                <w:spacing w:val="2"/>
              </w:rPr>
              <w:t>者级卫生律审部门</w:t>
            </w:r>
          </w:p>
        </w:tc>
        <w:tc>
          <w:tcPr>
            <w:tcW w:w="3711" w:type="dxa"/>
            <w:vAlign w:val="top"/>
          </w:tcPr>
          <w:p>
            <w:pPr>
              <w:pStyle w:val="TableText"/>
              <w:ind w:left="117" w:right="377"/>
              <w:spacing w:before="96" w:line="231" w:lineRule="auto"/>
              <w:rPr>
                <w:sz w:val="16"/>
                <w:szCs w:val="16"/>
              </w:rPr>
            </w:pPr>
            <w:r>
              <w:rPr>
                <w:sz w:val="16"/>
                <w:szCs w:val="16"/>
              </w:rPr>
              <w:t>田务院材需蓄保前的行收率批要目设红行取许</w:t>
            </w:r>
            <w:r>
              <w:rPr>
                <w:sz w:val="16"/>
                <w:szCs w:val="16"/>
                <w:spacing w:val="5"/>
              </w:rPr>
              <w:t xml:space="preserve"> </w:t>
            </w:r>
            <w:r>
              <w:rPr>
                <w:sz w:val="16"/>
                <w:szCs w:val="16"/>
                <w:spacing w:val="3"/>
              </w:rPr>
              <w:t>的决安</w:t>
            </w:r>
          </w:p>
        </w:tc>
      </w:tr>
    </w:tbl>
    <w:p>
      <w:pPr>
        <w:pStyle w:val="BodyText"/>
        <w:rPr/>
      </w:pPr>
      <w:r/>
    </w:p>
    <w:p>
      <w:pPr>
        <w:sectPr>
          <w:pgSz w:w="11910" w:h="8220"/>
          <w:pgMar w:top="400" w:right="1165" w:bottom="400" w:left="822" w:header="0" w:footer="0" w:gutter="0"/>
        </w:sectPr>
        <w:rPr/>
      </w:pPr>
    </w:p>
    <w:p>
      <w:pPr>
        <w:spacing w:before="113"/>
        <w:rPr/>
      </w:pPr>
      <w:r>
        <mc:AlternateContent xmlns:mc="http://schemas.openxmlformats.org/markup-compatibility/2006">
          <mc:Choice Requires="wps">
            <w:drawing>
              <wp:anchor distT="0" distB="0" distL="0" distR="0" simplePos="0" relativeHeight="251873280"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264" name="TextBox 264"/>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6" style="position:absolute;margin-left:37.0562pt;margin-top:345.119pt;mso-position-vertical-relative:page;mso-position-horizontal-relative:page;width:13.6pt;height:12.4pt;z-index:25187328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1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甲央主管部门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64"/>
              <w:spacing w:before="130" w:line="219" w:lineRule="auto"/>
              <w:rPr>
                <w:sz w:val="16"/>
                <w:szCs w:val="16"/>
              </w:rPr>
            </w:pPr>
            <w:r>
              <w:rPr>
                <w:sz w:val="16"/>
                <w:szCs w:val="16"/>
                <w:spacing w:val="-2"/>
              </w:rPr>
              <w:t>实前机关</w:t>
            </w:r>
          </w:p>
        </w:tc>
        <w:tc>
          <w:tcPr>
            <w:tcW w:w="3711" w:type="dxa"/>
            <w:vAlign w:val="top"/>
          </w:tcPr>
          <w:p>
            <w:pPr>
              <w:pStyle w:val="TableText"/>
              <w:ind w:left="1276"/>
              <w:spacing w:before="131" w:line="219" w:lineRule="auto"/>
              <w:rPr>
                <w:sz w:val="16"/>
                <w:szCs w:val="16"/>
              </w:rPr>
            </w:pPr>
            <w:r>
              <w:rPr>
                <w:sz w:val="16"/>
                <w:szCs w:val="16"/>
                <w:spacing w:val="-2"/>
              </w:rPr>
              <w:t>设定和实陶保据</w:t>
            </w:r>
          </w:p>
        </w:tc>
      </w:tr>
      <w:tr>
        <w:trPr>
          <w:trHeight w:val="449" w:hRule="atLeast"/>
        </w:trPr>
        <w:tc>
          <w:tcPr>
            <w:tcW w:w="584" w:type="dxa"/>
            <w:vAlign w:val="top"/>
          </w:tcPr>
          <w:p>
            <w:pPr>
              <w:pStyle w:val="TableText"/>
              <w:ind w:left="164"/>
              <w:spacing w:before="188" w:line="183" w:lineRule="auto"/>
              <w:rPr>
                <w:sz w:val="16"/>
                <w:szCs w:val="16"/>
              </w:rPr>
            </w:pPr>
            <w:r>
              <w:rPr>
                <w:sz w:val="16"/>
                <w:szCs w:val="16"/>
                <w:spacing w:val="-2"/>
              </w:rPr>
              <w:t>47:</w:t>
            </w:r>
          </w:p>
        </w:tc>
        <w:tc>
          <w:tcPr>
            <w:tcW w:w="1289" w:type="dxa"/>
            <w:vAlign w:val="top"/>
          </w:tcPr>
          <w:p>
            <w:pPr>
              <w:pStyle w:val="TableText"/>
              <w:ind w:left="70"/>
              <w:spacing w:before="148" w:line="220" w:lineRule="auto"/>
              <w:rPr>
                <w:sz w:val="16"/>
                <w:szCs w:val="16"/>
              </w:rPr>
            </w:pPr>
            <w:r>
              <w:rPr>
                <w:sz w:val="16"/>
                <w:szCs w:val="16"/>
              </w:rPr>
              <w:t>国室卫生健聚委</w:t>
            </w:r>
          </w:p>
        </w:tc>
        <w:tc>
          <w:tcPr>
            <w:tcW w:w="1638" w:type="dxa"/>
            <w:vAlign w:val="top"/>
          </w:tcPr>
          <w:p>
            <w:pPr>
              <w:pStyle w:val="TableText"/>
              <w:ind w:left="52" w:right="79" w:firstLine="40"/>
              <w:spacing w:before="67" w:line="207" w:lineRule="auto"/>
              <w:rPr>
                <w:sz w:val="16"/>
                <w:szCs w:val="16"/>
              </w:rPr>
            </w:pPr>
            <w:r>
              <w:rPr>
                <w:sz w:val="16"/>
                <w:szCs w:val="16"/>
                <w:spacing w:val="1"/>
              </w:rPr>
              <w:t>账射亚保疗挂本和国</w:t>
            </w:r>
            <w:r>
              <w:rPr>
                <w:sz w:val="16"/>
                <w:szCs w:val="16"/>
                <w:spacing w:val="6"/>
              </w:rPr>
              <w:t xml:space="preserve"> </w:t>
            </w:r>
            <w:r>
              <w:rPr>
                <w:sz w:val="16"/>
                <w:szCs w:val="16"/>
                <w:spacing w:val="-1"/>
              </w:rPr>
              <w:t>用智黏机构许可</w:t>
            </w:r>
          </w:p>
        </w:tc>
        <w:tc>
          <w:tcPr>
            <w:tcW w:w="2377" w:type="dxa"/>
            <w:vAlign w:val="top"/>
          </w:tcPr>
          <w:p>
            <w:pPr>
              <w:pStyle w:val="TableText"/>
              <w:ind w:left="54" w:right="81"/>
              <w:spacing w:before="37" w:line="225" w:lineRule="auto"/>
              <w:rPr>
                <w:sz w:val="16"/>
                <w:szCs w:val="16"/>
              </w:rPr>
            </w:pPr>
            <w:r>
              <w:rPr>
                <w:sz w:val="16"/>
                <w:szCs w:val="16"/>
                <w:spacing w:val="-1"/>
              </w:rPr>
              <w:t>省版，设区的布级，县战卫生峰</w:t>
            </w:r>
            <w:r>
              <w:rPr>
                <w:sz w:val="16"/>
                <w:szCs w:val="16"/>
                <w:spacing w:val="4"/>
              </w:rPr>
              <w:t xml:space="preserve"> </w:t>
            </w:r>
            <w:r>
              <w:rPr>
                <w:sz w:val="16"/>
                <w:szCs w:val="16"/>
                <w:spacing w:val="6"/>
              </w:rPr>
              <w:t>单都门</w:t>
            </w:r>
          </w:p>
        </w:tc>
        <w:tc>
          <w:tcPr>
            <w:tcW w:w="3711" w:type="dxa"/>
            <w:vAlign w:val="top"/>
          </w:tcPr>
          <w:p>
            <w:pPr>
              <w:pStyle w:val="TableText"/>
              <w:ind w:left="79" w:right="693" w:hanging="79"/>
              <w:spacing w:before="37" w:line="225" w:lineRule="auto"/>
              <w:rPr>
                <w:sz w:val="16"/>
                <w:szCs w:val="16"/>
              </w:rPr>
            </w:pPr>
            <w:r>
              <w:rPr>
                <w:sz w:val="16"/>
                <w:szCs w:val="16"/>
                <w:spacing w:val="-2"/>
              </w:rPr>
              <w:t>《故射性同位素与射线装皆安全和防护条例</w:t>
            </w:r>
            <w:r>
              <w:rPr>
                <w:sz w:val="16"/>
                <w:szCs w:val="16"/>
                <w:spacing w:val="4"/>
              </w:rPr>
              <w:t xml:space="preserve"> </w:t>
            </w:r>
            <w:r>
              <w:rPr>
                <w:sz w:val="16"/>
                <w:szCs w:val="16"/>
                <w:spacing w:val="-2"/>
              </w:rPr>
              <w:t>4软射讼建管理规足</w:t>
            </w:r>
          </w:p>
        </w:tc>
      </w:tr>
      <w:tr>
        <w:trPr>
          <w:trHeight w:val="649" w:hRule="atLeast"/>
        </w:trPr>
        <w:tc>
          <w:tcPr>
            <w:tcW w:w="584" w:type="dxa"/>
            <w:vAlign w:val="top"/>
          </w:tcPr>
          <w:p>
            <w:pPr>
              <w:pStyle w:val="TableText"/>
              <w:ind w:left="164"/>
              <w:spacing w:before="289" w:line="183" w:lineRule="auto"/>
              <w:rPr>
                <w:sz w:val="16"/>
                <w:szCs w:val="16"/>
              </w:rPr>
            </w:pPr>
            <w:r>
              <w:rPr>
                <w:sz w:val="16"/>
                <w:szCs w:val="16"/>
                <w:spacing w:val="-2"/>
              </w:rPr>
              <w:t>4TK</w:t>
            </w:r>
          </w:p>
        </w:tc>
        <w:tc>
          <w:tcPr>
            <w:tcW w:w="1289" w:type="dxa"/>
            <w:vAlign w:val="top"/>
          </w:tcPr>
          <w:p>
            <w:pPr>
              <w:pStyle w:val="TableText"/>
              <w:ind w:left="70"/>
              <w:spacing w:before="248" w:line="219" w:lineRule="auto"/>
              <w:rPr>
                <w:sz w:val="16"/>
                <w:szCs w:val="16"/>
              </w:rPr>
            </w:pPr>
            <w:r>
              <w:rPr>
                <w:sz w:val="16"/>
                <w:szCs w:val="16"/>
              </w:rPr>
              <w:t>四率卫生健康委</w:t>
            </w:r>
          </w:p>
        </w:tc>
        <w:tc>
          <w:tcPr>
            <w:tcW w:w="1638" w:type="dxa"/>
            <w:vAlign w:val="top"/>
          </w:tcPr>
          <w:p>
            <w:pPr>
              <w:pStyle w:val="TableText"/>
              <w:ind w:left="42" w:right="87" w:firstLine="50"/>
              <w:spacing w:before="59" w:line="223" w:lineRule="auto"/>
              <w:jc w:val="both"/>
              <w:rPr>
                <w:sz w:val="16"/>
                <w:szCs w:val="16"/>
              </w:rPr>
            </w:pPr>
            <w:r>
              <w:rPr>
                <w:sz w:val="16"/>
                <w:szCs w:val="16"/>
                <w:spacing w:val="-1"/>
              </w:rPr>
              <w:t>设置戒号落疗税构或</w:t>
            </w:r>
            <w:r>
              <w:rPr>
                <w:sz w:val="16"/>
                <w:szCs w:val="16"/>
              </w:rPr>
              <w:t xml:space="preserve"> </w:t>
            </w:r>
            <w:r>
              <w:rPr>
                <w:sz w:val="16"/>
                <w:szCs w:val="16"/>
                <w:spacing w:val="6"/>
              </w:rPr>
              <w:t>需医育机构从事戒有</w:t>
            </w:r>
            <w:r>
              <w:rPr>
                <w:sz w:val="16"/>
                <w:szCs w:val="16"/>
                <w:spacing w:val="3"/>
              </w:rPr>
              <w:t xml:space="preserve"> </w:t>
            </w:r>
            <w:r>
              <w:rPr>
                <w:sz w:val="16"/>
                <w:szCs w:val="16"/>
                <w:spacing w:val="-2"/>
              </w:rPr>
              <w:t>治疗业务许可</w:t>
            </w:r>
          </w:p>
        </w:tc>
        <w:tc>
          <w:tcPr>
            <w:tcW w:w="2377" w:type="dxa"/>
            <w:vAlign w:val="top"/>
          </w:tcPr>
          <w:p>
            <w:pPr>
              <w:pStyle w:val="TableText"/>
              <w:ind w:left="54"/>
              <w:spacing w:before="248" w:line="219" w:lineRule="auto"/>
              <w:rPr>
                <w:sz w:val="16"/>
                <w:szCs w:val="16"/>
              </w:rPr>
            </w:pPr>
            <w:r>
              <w:rPr>
                <w:sz w:val="16"/>
                <w:szCs w:val="16"/>
              </w:rPr>
              <w:t>省级卫生就</w:t>
            </w:r>
            <w:r>
              <w:rPr>
                <w:sz w:val="16"/>
                <w:szCs w:val="16"/>
                <w:spacing w:val="9"/>
              </w:rPr>
              <w:t xml:space="preserve">  </w:t>
            </w:r>
            <w:r>
              <w:rPr>
                <w:sz w:val="16"/>
                <w:szCs w:val="16"/>
              </w:rPr>
              <w:t>瓶门</w:t>
            </w:r>
          </w:p>
        </w:tc>
        <w:tc>
          <w:tcPr>
            <w:tcW w:w="3711" w:type="dxa"/>
            <w:vAlign w:val="top"/>
          </w:tcPr>
          <w:p>
            <w:pPr>
              <w:pStyle w:val="TableText"/>
              <w:spacing w:before="248" w:line="219" w:lineRule="auto"/>
              <w:rPr>
                <w:sz w:val="16"/>
                <w:szCs w:val="16"/>
              </w:rPr>
            </w:pPr>
            <w:r>
              <w:rPr>
                <w:sz w:val="16"/>
                <w:szCs w:val="16"/>
                <w:spacing w:val="-2"/>
              </w:rPr>
              <w:t>《中华人民共和国禁尊做》</w:t>
            </w:r>
          </w:p>
        </w:tc>
      </w:tr>
      <w:tr>
        <w:trPr>
          <w:trHeight w:val="839" w:hRule="atLeast"/>
        </w:trPr>
        <w:tc>
          <w:tcPr>
            <w:tcW w:w="584" w:type="dxa"/>
            <w:vAlign w:val="top"/>
          </w:tcPr>
          <w:p>
            <w:pPr>
              <w:spacing w:line="326" w:lineRule="auto"/>
              <w:rPr>
                <w:rFonts w:ascii="Arial"/>
                <w:sz w:val="21"/>
              </w:rPr>
            </w:pPr>
            <w:r/>
          </w:p>
          <w:p>
            <w:pPr>
              <w:pStyle w:val="TableText"/>
              <w:ind w:left="164"/>
              <w:spacing w:before="52" w:line="183" w:lineRule="auto"/>
              <w:rPr>
                <w:sz w:val="16"/>
                <w:szCs w:val="16"/>
              </w:rPr>
            </w:pPr>
            <w:r>
              <w:rPr>
                <w:sz w:val="16"/>
                <w:szCs w:val="16"/>
                <w:spacing w:val="-2"/>
              </w:rPr>
              <w:t>477</w:t>
            </w:r>
          </w:p>
        </w:tc>
        <w:tc>
          <w:tcPr>
            <w:tcW w:w="1289" w:type="dxa"/>
            <w:vAlign w:val="top"/>
          </w:tcPr>
          <w:p>
            <w:pPr>
              <w:spacing w:line="285" w:lineRule="auto"/>
              <w:rPr>
                <w:rFonts w:ascii="Arial"/>
                <w:sz w:val="21"/>
              </w:rPr>
            </w:pPr>
            <w:r/>
          </w:p>
          <w:p>
            <w:pPr>
              <w:pStyle w:val="TableText"/>
              <w:ind w:left="70"/>
              <w:spacing w:before="52" w:line="219" w:lineRule="auto"/>
              <w:rPr>
                <w:sz w:val="16"/>
                <w:szCs w:val="16"/>
              </w:rPr>
            </w:pPr>
            <w:r>
              <w:rPr>
                <w:sz w:val="16"/>
                <w:szCs w:val="16"/>
              </w:rPr>
              <w:t>国象卫生健康委</w:t>
            </w:r>
          </w:p>
        </w:tc>
        <w:tc>
          <w:tcPr>
            <w:tcW w:w="1638" w:type="dxa"/>
            <w:vAlign w:val="top"/>
          </w:tcPr>
          <w:p>
            <w:pPr>
              <w:pStyle w:val="TableText"/>
              <w:ind w:left="72" w:right="87" w:firstLine="20"/>
              <w:spacing w:before="247" w:line="226" w:lineRule="auto"/>
              <w:rPr>
                <w:sz w:val="16"/>
                <w:szCs w:val="16"/>
              </w:rPr>
            </w:pPr>
            <w:r>
              <w:rPr>
                <w:sz w:val="16"/>
                <w:szCs w:val="16"/>
              </w:rPr>
              <w:t>医作机构设置人奥精</w:t>
            </w:r>
            <w:r>
              <w:rPr>
                <w:sz w:val="16"/>
                <w:szCs w:val="16"/>
                <w:spacing w:val="7"/>
              </w:rPr>
              <w:t xml:space="preserve"> </w:t>
            </w:r>
            <w:r>
              <w:rPr>
                <w:sz w:val="16"/>
                <w:szCs w:val="16"/>
                <w:spacing w:val="1"/>
              </w:rPr>
              <w:t>了库审报</w:t>
            </w:r>
          </w:p>
        </w:tc>
        <w:tc>
          <w:tcPr>
            <w:tcW w:w="2377" w:type="dxa"/>
            <w:vAlign w:val="top"/>
          </w:tcPr>
          <w:p>
            <w:pPr>
              <w:spacing w:line="285" w:lineRule="auto"/>
              <w:rPr>
                <w:rFonts w:ascii="Arial"/>
                <w:sz w:val="21"/>
              </w:rPr>
            </w:pPr>
            <w:r/>
          </w:p>
          <w:p>
            <w:pPr>
              <w:pStyle w:val="TableText"/>
              <w:ind w:left="54"/>
              <w:spacing w:before="52" w:line="219" w:lineRule="auto"/>
              <w:rPr>
                <w:sz w:val="16"/>
                <w:szCs w:val="16"/>
              </w:rPr>
            </w:pPr>
            <w:r>
              <w:rPr>
                <w:sz w:val="16"/>
                <w:szCs w:val="16"/>
                <w:spacing w:val="2"/>
              </w:rPr>
              <w:t>省级卫生能康部门</w:t>
            </w:r>
          </w:p>
        </w:tc>
        <w:tc>
          <w:tcPr>
            <w:tcW w:w="3711" w:type="dxa"/>
            <w:vAlign w:val="top"/>
          </w:tcPr>
          <w:p>
            <w:pPr>
              <w:pStyle w:val="TableText"/>
              <w:ind w:left="67" w:right="187"/>
              <w:spacing w:before="49" w:line="225" w:lineRule="auto"/>
              <w:rPr>
                <w:sz w:val="16"/>
                <w:szCs w:val="16"/>
              </w:rPr>
            </w:pPr>
            <w:r>
              <w:rPr>
                <w:sz w:val="16"/>
                <w:szCs w:val="16"/>
              </w:rPr>
              <w:t>1国务院对确蓄保面的行政审批项目设定行政许可</w:t>
            </w:r>
            <w:r>
              <w:rPr>
                <w:sz w:val="16"/>
                <w:szCs w:val="16"/>
                <w:spacing w:val="5"/>
              </w:rPr>
              <w:t xml:space="preserve"> </w:t>
            </w:r>
            <w:r>
              <w:rPr>
                <w:sz w:val="16"/>
                <w:szCs w:val="16"/>
                <w:spacing w:val="3"/>
              </w:rPr>
              <w:t>的决定</w:t>
            </w:r>
          </w:p>
          <w:p>
            <w:pPr>
              <w:pStyle w:val="TableText"/>
              <w:ind w:left="98" w:right="227" w:hanging="99"/>
              <w:spacing w:before="8" w:line="215" w:lineRule="auto"/>
              <w:rPr>
                <w:sz w:val="16"/>
                <w:szCs w:val="16"/>
              </w:rPr>
            </w:pPr>
            <w:r>
              <w:rPr>
                <w:sz w:val="16"/>
                <w:szCs w:val="16"/>
                <w:spacing w:val="-3"/>
              </w:rPr>
              <w:t>《国务貌关于菜四牡麻清和调整行政市批理目的决</w:t>
            </w:r>
            <w:r>
              <w:rPr>
                <w:sz w:val="16"/>
                <w:szCs w:val="16"/>
                <w:spacing w:val="18"/>
              </w:rPr>
              <w:t xml:space="preserve"> </w:t>
            </w:r>
            <w:r>
              <w:rPr>
                <w:sz w:val="16"/>
                <w:szCs w:val="16"/>
                <w:spacing w:val="1"/>
              </w:rPr>
              <w:t>定材国发[2</w:t>
            </w:r>
            <w:r>
              <w:rPr>
                <w:sz w:val="16"/>
                <w:szCs w:val="16"/>
              </w:rPr>
              <w:t>ji</w:t>
            </w:r>
            <w:r>
              <w:rPr>
                <w:sz w:val="16"/>
                <w:szCs w:val="16"/>
                <w:spacing w:val="1"/>
              </w:rPr>
              <w:t>]38号]</w:t>
            </w:r>
          </w:p>
        </w:tc>
      </w:tr>
      <w:tr>
        <w:trPr>
          <w:trHeight w:val="649" w:hRule="atLeast"/>
        </w:trPr>
        <w:tc>
          <w:tcPr>
            <w:tcW w:w="584" w:type="dxa"/>
            <w:vAlign w:val="top"/>
          </w:tcPr>
          <w:p>
            <w:pPr>
              <w:pStyle w:val="TableText"/>
              <w:ind w:left="164"/>
              <w:spacing w:before="291" w:line="183" w:lineRule="auto"/>
              <w:rPr>
                <w:sz w:val="16"/>
                <w:szCs w:val="16"/>
              </w:rPr>
            </w:pPr>
            <w:r>
              <w:rPr>
                <w:sz w:val="16"/>
                <w:szCs w:val="16"/>
                <w:spacing w:val="-2"/>
              </w:rPr>
              <w:t>478</w:t>
            </w:r>
          </w:p>
        </w:tc>
        <w:tc>
          <w:tcPr>
            <w:tcW w:w="1289" w:type="dxa"/>
            <w:vAlign w:val="top"/>
          </w:tcPr>
          <w:p>
            <w:pPr>
              <w:pStyle w:val="TableText"/>
              <w:ind w:left="70"/>
              <w:spacing w:before="250" w:line="219" w:lineRule="auto"/>
              <w:rPr>
                <w:sz w:val="16"/>
                <w:szCs w:val="16"/>
              </w:rPr>
            </w:pPr>
            <w:r>
              <w:rPr>
                <w:sz w:val="16"/>
                <w:szCs w:val="16"/>
              </w:rPr>
              <w:t>国家卫生使康委</w:t>
            </w:r>
          </w:p>
        </w:tc>
        <w:tc>
          <w:tcPr>
            <w:tcW w:w="1638" w:type="dxa"/>
            <w:vAlign w:val="top"/>
          </w:tcPr>
          <w:p>
            <w:pPr>
              <w:pStyle w:val="TableText"/>
              <w:ind w:left="52" w:right="79" w:firstLine="40"/>
              <w:spacing w:before="59" w:line="223" w:lineRule="auto"/>
              <w:jc w:val="both"/>
              <w:rPr>
                <w:sz w:val="16"/>
                <w:szCs w:val="16"/>
              </w:rPr>
            </w:pPr>
            <w:r>
              <w:rPr>
                <w:sz w:val="16"/>
                <w:szCs w:val="16"/>
              </w:rPr>
              <w:t>医疗机构路用率的药</w:t>
            </w:r>
            <w:r>
              <w:rPr>
                <w:sz w:val="16"/>
                <w:szCs w:val="16"/>
                <w:spacing w:val="6"/>
              </w:rPr>
              <w:t xml:space="preserve"> </w:t>
            </w:r>
            <w:r>
              <w:rPr>
                <w:sz w:val="16"/>
                <w:szCs w:val="16"/>
                <w:spacing w:val="6"/>
              </w:rPr>
              <w:t>品，如一类精弗药品</w:t>
            </w:r>
            <w:r>
              <w:rPr>
                <w:sz w:val="16"/>
                <w:szCs w:val="16"/>
                <w:spacing w:val="1"/>
              </w:rPr>
              <w:t xml:space="preserve"> </w:t>
            </w:r>
            <w:r>
              <w:rPr>
                <w:sz w:val="16"/>
                <w:szCs w:val="16"/>
                <w:spacing w:val="-2"/>
              </w:rPr>
              <w:t>许可</w:t>
            </w:r>
          </w:p>
        </w:tc>
        <w:tc>
          <w:tcPr>
            <w:tcW w:w="2377" w:type="dxa"/>
            <w:vAlign w:val="top"/>
          </w:tcPr>
          <w:p>
            <w:pPr>
              <w:pStyle w:val="TableText"/>
              <w:ind w:left="54"/>
              <w:spacing w:before="250" w:line="219" w:lineRule="auto"/>
              <w:rPr>
                <w:sz w:val="16"/>
                <w:szCs w:val="16"/>
              </w:rPr>
            </w:pPr>
            <w:r>
              <w:rPr>
                <w:sz w:val="16"/>
                <w:szCs w:val="16"/>
                <w:spacing w:val="1"/>
              </w:rPr>
              <w:t>证区的得级卫生解康都门</w:t>
            </w:r>
          </w:p>
        </w:tc>
        <w:tc>
          <w:tcPr>
            <w:tcW w:w="3711" w:type="dxa"/>
            <w:vAlign w:val="top"/>
          </w:tcPr>
          <w:p>
            <w:pPr>
              <w:pStyle w:val="TableText"/>
              <w:ind w:left="67"/>
              <w:spacing w:before="160" w:line="219" w:lineRule="auto"/>
              <w:rPr>
                <w:sz w:val="16"/>
                <w:szCs w:val="16"/>
              </w:rPr>
            </w:pPr>
            <w:r>
              <w:rPr>
                <w:sz w:val="16"/>
                <w:szCs w:val="16"/>
                <w:spacing w:val="1"/>
              </w:rPr>
              <w:t>中华人民基和国辈毒法1</w:t>
            </w:r>
          </w:p>
          <w:p>
            <w:pPr>
              <w:pStyle w:val="TableText"/>
              <w:ind w:left="67"/>
              <w:spacing w:before="9" w:line="219" w:lineRule="auto"/>
              <w:rPr>
                <w:sz w:val="16"/>
                <w:szCs w:val="16"/>
              </w:rPr>
            </w:pPr>
            <w:r>
              <w:rPr>
                <w:sz w:val="16"/>
                <w:szCs w:val="16"/>
                <w:spacing w:val="-1"/>
              </w:rPr>
              <w:t>t衰醇此品郁精神药品管理  例3</w:t>
            </w:r>
          </w:p>
        </w:tc>
      </w:tr>
      <w:tr>
        <w:trPr>
          <w:trHeight w:val="459" w:hRule="atLeast"/>
        </w:trPr>
        <w:tc>
          <w:tcPr>
            <w:tcW w:w="584" w:type="dxa"/>
            <w:vAlign w:val="top"/>
          </w:tcPr>
          <w:p>
            <w:pPr>
              <w:pStyle w:val="TableText"/>
              <w:ind w:left="164"/>
              <w:spacing w:before="192" w:line="183" w:lineRule="auto"/>
              <w:rPr>
                <w:sz w:val="16"/>
                <w:szCs w:val="16"/>
              </w:rPr>
            </w:pPr>
            <w:r>
              <w:rPr>
                <w:sz w:val="16"/>
                <w:szCs w:val="16"/>
                <w:spacing w:val="-2"/>
              </w:rPr>
              <w:t>479</w:t>
            </w:r>
          </w:p>
        </w:tc>
        <w:tc>
          <w:tcPr>
            <w:tcW w:w="1289" w:type="dxa"/>
            <w:vAlign w:val="top"/>
          </w:tcPr>
          <w:p>
            <w:pPr>
              <w:pStyle w:val="TableText"/>
              <w:ind w:left="70"/>
              <w:spacing w:before="151" w:line="219" w:lineRule="auto"/>
              <w:rPr>
                <w:sz w:val="16"/>
                <w:szCs w:val="16"/>
              </w:rPr>
            </w:pPr>
            <w:r>
              <w:rPr>
                <w:sz w:val="16"/>
                <w:szCs w:val="16"/>
                <w:spacing w:val="1"/>
              </w:rPr>
              <w:t>园家卫生健康垂</w:t>
            </w:r>
          </w:p>
        </w:tc>
        <w:tc>
          <w:tcPr>
            <w:tcW w:w="1638" w:type="dxa"/>
            <w:vAlign w:val="top"/>
          </w:tcPr>
          <w:p>
            <w:pPr>
              <w:pStyle w:val="TableText"/>
              <w:ind w:left="62" w:right="104" w:firstLine="30"/>
              <w:spacing w:before="52" w:line="229" w:lineRule="auto"/>
              <w:rPr>
                <w:sz w:val="16"/>
                <w:szCs w:val="16"/>
              </w:rPr>
            </w:pPr>
            <w:r>
              <w:rPr>
                <w:sz w:val="16"/>
                <w:szCs w:val="16"/>
                <w:spacing w:val="-1"/>
              </w:rPr>
              <w:t>★站设置中慧和执责</w:t>
            </w:r>
            <w:r>
              <w:rPr>
                <w:sz w:val="16"/>
                <w:szCs w:val="16"/>
              </w:rPr>
              <w:t xml:space="preserve"> </w:t>
            </w:r>
            <w:r>
              <w:rPr>
                <w:sz w:val="16"/>
                <w:szCs w:val="16"/>
                <w:spacing w:val="-3"/>
              </w:rPr>
              <w:t>登记</w:t>
            </w:r>
          </w:p>
        </w:tc>
        <w:tc>
          <w:tcPr>
            <w:tcW w:w="2377" w:type="dxa"/>
            <w:vAlign w:val="top"/>
          </w:tcPr>
          <w:p>
            <w:pPr>
              <w:pStyle w:val="TableText"/>
              <w:ind w:left="54" w:right="51" w:firstLine="10"/>
              <w:spacing w:before="71" w:line="218" w:lineRule="auto"/>
              <w:rPr>
                <w:sz w:val="16"/>
                <w:szCs w:val="16"/>
              </w:rPr>
            </w:pPr>
            <w:r>
              <w:rPr>
                <w:sz w:val="16"/>
                <w:szCs w:val="16"/>
              </w:rPr>
              <w:t>国家卫生雄康委；古雄卫生自岸</w:t>
            </w:r>
            <w:r>
              <w:rPr>
                <w:sz w:val="16"/>
                <w:szCs w:val="16"/>
                <w:spacing w:val="10"/>
              </w:rPr>
              <w:t xml:space="preserve"> </w:t>
            </w:r>
            <w:r>
              <w:rPr>
                <w:sz w:val="16"/>
                <w:szCs w:val="16"/>
                <w:spacing w:val="8"/>
              </w:rPr>
              <w:t>部门</w:t>
            </w:r>
          </w:p>
        </w:tc>
        <w:tc>
          <w:tcPr>
            <w:tcW w:w="3711" w:type="dxa"/>
            <w:vAlign w:val="top"/>
          </w:tcPr>
          <w:p>
            <w:pPr>
              <w:pStyle w:val="TableText"/>
              <w:spacing w:before="151" w:line="219" w:lineRule="auto"/>
              <w:rPr>
                <w:sz w:val="16"/>
                <w:szCs w:val="16"/>
              </w:rPr>
            </w:pPr>
            <w:r>
              <w:rPr>
                <w:sz w:val="16"/>
                <w:szCs w:val="16"/>
                <w:spacing w:val="-3"/>
              </w:rPr>
              <w:t>《中华人民共和国献直法</w:t>
            </w:r>
          </w:p>
        </w:tc>
      </w:tr>
      <w:tr>
        <w:trPr>
          <w:trHeight w:val="629" w:hRule="atLeast"/>
        </w:trPr>
        <w:tc>
          <w:tcPr>
            <w:tcW w:w="584" w:type="dxa"/>
            <w:vAlign w:val="top"/>
          </w:tcPr>
          <w:p>
            <w:pPr>
              <w:pStyle w:val="TableText"/>
              <w:ind w:left="164"/>
              <w:spacing w:before="258"/>
              <w:rPr>
                <w:sz w:val="16"/>
                <w:szCs w:val="16"/>
              </w:rPr>
            </w:pPr>
            <w:r>
              <w:rPr>
                <w:sz w:val="16"/>
                <w:szCs w:val="16"/>
                <w:spacing w:val="-3"/>
              </w:rPr>
              <w:t>dN0</w:t>
            </w:r>
          </w:p>
        </w:tc>
        <w:tc>
          <w:tcPr>
            <w:tcW w:w="1289" w:type="dxa"/>
            <w:vAlign w:val="top"/>
          </w:tcPr>
          <w:p>
            <w:pPr>
              <w:pStyle w:val="TableText"/>
              <w:ind w:left="70"/>
              <w:spacing w:before="243" w:line="220" w:lineRule="auto"/>
              <w:rPr>
                <w:sz w:val="16"/>
                <w:szCs w:val="16"/>
              </w:rPr>
            </w:pPr>
            <w:r>
              <w:rPr>
                <w:sz w:val="16"/>
                <w:szCs w:val="16"/>
                <w:spacing w:val="1"/>
              </w:rPr>
              <w:t>国家卫生通南费</w:t>
            </w:r>
          </w:p>
        </w:tc>
        <w:tc>
          <w:tcPr>
            <w:tcW w:w="1638" w:type="dxa"/>
            <w:vAlign w:val="top"/>
          </w:tcPr>
          <w:p>
            <w:pPr>
              <w:pStyle w:val="TableText"/>
              <w:ind w:left="92"/>
              <w:spacing w:before="241" w:line="219" w:lineRule="auto"/>
              <w:rPr>
                <w:sz w:val="16"/>
                <w:szCs w:val="16"/>
              </w:rPr>
            </w:pPr>
            <w:r>
              <w:rPr>
                <w:sz w:val="16"/>
                <w:szCs w:val="16"/>
                <w:spacing w:val="-1"/>
              </w:rPr>
              <w:t>车采古梁站设置审批</w:t>
            </w:r>
          </w:p>
        </w:tc>
        <w:tc>
          <w:tcPr>
            <w:tcW w:w="2377" w:type="dxa"/>
            <w:vAlign w:val="top"/>
          </w:tcPr>
          <w:p>
            <w:pPr>
              <w:pStyle w:val="TableText"/>
              <w:ind w:left="64"/>
              <w:spacing w:before="42" w:line="219" w:lineRule="auto"/>
              <w:rPr>
                <w:sz w:val="16"/>
                <w:szCs w:val="16"/>
              </w:rPr>
            </w:pPr>
            <w:r>
              <w:rPr>
                <w:sz w:val="16"/>
                <w:szCs w:val="16"/>
                <w:spacing w:val="-1"/>
              </w:rPr>
              <w:t>省联其生健康品门(内&amp;级卫生</w:t>
            </w:r>
          </w:p>
          <w:p>
            <w:pPr>
              <w:pStyle w:val="TableText"/>
              <w:ind w:left="54" w:right="59" w:firstLine="20"/>
              <w:spacing w:line="223" w:lineRule="auto"/>
              <w:rPr>
                <w:sz w:val="16"/>
                <w:szCs w:val="16"/>
              </w:rPr>
            </w:pPr>
            <w:r>
              <w:rPr>
                <w:sz w:val="16"/>
                <w:szCs w:val="16"/>
                <w:spacing w:val="-1"/>
              </w:rPr>
              <w:t>她申部门初审、设区的而候卫生</w:t>
            </w:r>
            <w:r>
              <w:rPr>
                <w:sz w:val="16"/>
                <w:szCs w:val="16"/>
                <w:spacing w:val="6"/>
              </w:rPr>
              <w:t xml:space="preserve"> </w:t>
            </w:r>
            <w:r>
              <w:rPr>
                <w:sz w:val="16"/>
                <w:szCs w:val="16"/>
                <w:spacing w:val="11"/>
              </w:rPr>
              <w:t>仙康都门二事；</w:t>
            </w:r>
          </w:p>
        </w:tc>
        <w:tc>
          <w:tcPr>
            <w:tcW w:w="3711" w:type="dxa"/>
            <w:vAlign w:val="top"/>
          </w:tcPr>
          <w:p>
            <w:pPr>
              <w:pStyle w:val="TableText"/>
              <w:spacing w:before="241" w:line="218" w:lineRule="auto"/>
              <w:rPr>
                <w:sz w:val="16"/>
                <w:szCs w:val="16"/>
              </w:rPr>
            </w:pPr>
            <w:r>
              <w:rPr>
                <w:sz w:val="16"/>
                <w:szCs w:val="16"/>
                <w:spacing w:val="6"/>
              </w:rPr>
              <w:t>《电液航品告理各例；</w:t>
            </w:r>
          </w:p>
        </w:tc>
      </w:tr>
      <w:tr>
        <w:trPr>
          <w:trHeight w:val="659" w:hRule="atLeast"/>
        </w:trPr>
        <w:tc>
          <w:tcPr>
            <w:tcW w:w="584" w:type="dxa"/>
            <w:vAlign w:val="top"/>
          </w:tcPr>
          <w:p>
            <w:pPr>
              <w:spacing w:line="241" w:lineRule="auto"/>
              <w:rPr>
                <w:rFonts w:ascii="Arial"/>
                <w:sz w:val="21"/>
              </w:rPr>
            </w:pPr>
            <w:r/>
          </w:p>
          <w:p>
            <w:pPr>
              <w:pStyle w:val="TableText"/>
              <w:ind w:left="204"/>
              <w:spacing w:before="52" w:line="183" w:lineRule="auto"/>
              <w:rPr>
                <w:sz w:val="16"/>
                <w:szCs w:val="16"/>
              </w:rPr>
            </w:pPr>
            <w:r>
              <w:rPr>
                <w:sz w:val="16"/>
                <w:szCs w:val="16"/>
                <w:spacing w:val="-2"/>
              </w:rPr>
              <w:t>48</w:t>
            </w:r>
          </w:p>
        </w:tc>
        <w:tc>
          <w:tcPr>
            <w:tcW w:w="1289" w:type="dxa"/>
            <w:vAlign w:val="top"/>
          </w:tcPr>
          <w:p>
            <w:pPr>
              <w:pStyle w:val="TableText"/>
              <w:ind w:left="70"/>
              <w:spacing w:before="253" w:line="219" w:lineRule="auto"/>
              <w:rPr>
                <w:sz w:val="16"/>
                <w:szCs w:val="16"/>
              </w:rPr>
            </w:pPr>
            <w:r>
              <w:rPr>
                <w:sz w:val="16"/>
                <w:szCs w:val="16"/>
              </w:rPr>
              <w:t>国家卫生健申委</w:t>
            </w:r>
          </w:p>
        </w:tc>
        <w:tc>
          <w:tcPr>
            <w:tcW w:w="1638" w:type="dxa"/>
            <w:vAlign w:val="top"/>
          </w:tcPr>
          <w:p>
            <w:pPr>
              <w:pStyle w:val="TableText"/>
              <w:ind w:left="52" w:right="104" w:firstLine="40"/>
              <w:spacing w:before="164" w:line="228" w:lineRule="auto"/>
              <w:rPr>
                <w:sz w:val="16"/>
                <w:szCs w:val="16"/>
              </w:rPr>
            </w:pPr>
            <w:r>
              <w:rPr>
                <w:sz w:val="16"/>
                <w:szCs w:val="16"/>
                <w:spacing w:val="-1"/>
              </w:rPr>
              <w:t>大型医用设备配置许</w:t>
            </w:r>
            <w:r>
              <w:rPr>
                <w:sz w:val="16"/>
                <w:szCs w:val="16"/>
              </w:rPr>
              <w:t xml:space="preserve"> </w:t>
            </w:r>
            <w:r>
              <w:rPr>
                <w:sz w:val="16"/>
                <w:szCs w:val="16"/>
              </w:rPr>
              <w:t>可</w:t>
            </w:r>
          </w:p>
        </w:tc>
        <w:tc>
          <w:tcPr>
            <w:tcW w:w="2377" w:type="dxa"/>
            <w:vAlign w:val="top"/>
          </w:tcPr>
          <w:p>
            <w:pPr>
              <w:pStyle w:val="TableText"/>
              <w:ind w:left="54" w:right="41" w:firstLine="20"/>
              <w:spacing w:before="142" w:line="237" w:lineRule="auto"/>
              <w:rPr>
                <w:sz w:val="16"/>
                <w:szCs w:val="16"/>
              </w:rPr>
            </w:pPr>
            <w:r>
              <w:rPr>
                <w:sz w:val="16"/>
                <w:szCs w:val="16"/>
              </w:rPr>
              <w:t>国家卫生费毕委；者疲卫生健岸</w:t>
            </w:r>
            <w:r>
              <w:rPr>
                <w:sz w:val="16"/>
                <w:szCs w:val="16"/>
                <w:spacing w:val="10"/>
              </w:rPr>
              <w:t xml:space="preserve"> </w:t>
            </w:r>
            <w:r>
              <w:rPr>
                <w:sz w:val="16"/>
                <w:szCs w:val="16"/>
                <w:spacing w:val="8"/>
              </w:rPr>
              <w:t>部门</w:t>
            </w:r>
          </w:p>
        </w:tc>
        <w:tc>
          <w:tcPr>
            <w:tcW w:w="3711" w:type="dxa"/>
            <w:vAlign w:val="top"/>
          </w:tcPr>
          <w:p>
            <w:pPr>
              <w:pStyle w:val="TableText"/>
              <w:spacing w:before="43" w:line="219" w:lineRule="auto"/>
              <w:rPr>
                <w:sz w:val="16"/>
                <w:szCs w:val="16"/>
              </w:rPr>
            </w:pPr>
            <w:r>
              <w:rPr>
                <w:sz w:val="16"/>
                <w:szCs w:val="16"/>
                <w:spacing w:val="-2"/>
              </w:rPr>
              <w:t>《它疗卷越监售管理条例》</w:t>
            </w:r>
          </w:p>
          <w:p>
            <w:pPr>
              <w:pStyle w:val="TableText"/>
              <w:ind w:left="67" w:right="152" w:firstLine="50"/>
              <w:spacing w:before="30" w:line="222" w:lineRule="auto"/>
              <w:rPr>
                <w:sz w:val="16"/>
                <w:szCs w:val="16"/>
              </w:rPr>
            </w:pPr>
            <w:r>
              <w:rPr>
                <w:sz w:val="16"/>
                <w:szCs w:val="16"/>
                <w:spacing w:val="-1"/>
              </w:rPr>
              <w:t>大智医用设各配置与使用骨理办法《试行》;国卫</w:t>
            </w:r>
            <w:r>
              <w:rPr>
                <w:sz w:val="16"/>
                <w:szCs w:val="16"/>
                <w:spacing w:val="12"/>
              </w:rPr>
              <w:t xml:space="preserve"> </w:t>
            </w:r>
            <w:r>
              <w:rPr>
                <w:sz w:val="16"/>
                <w:szCs w:val="16"/>
                <w:spacing w:val="1"/>
              </w:rPr>
              <w:t>起讨发[201</w:t>
            </w:r>
            <w:r>
              <w:rPr>
                <w:sz w:val="16"/>
                <w:szCs w:val="16"/>
              </w:rPr>
              <w:t>NO</w:t>
            </w:r>
            <w:r>
              <w:rPr>
                <w:sz w:val="16"/>
                <w:szCs w:val="16"/>
                <w:spacing w:val="1"/>
              </w:rPr>
              <w:t>12号1</w:t>
            </w:r>
          </w:p>
        </w:tc>
      </w:tr>
      <w:tr>
        <w:trPr>
          <w:trHeight w:val="649" w:hRule="atLeast"/>
        </w:trPr>
        <w:tc>
          <w:tcPr>
            <w:tcW w:w="584" w:type="dxa"/>
            <w:vAlign w:val="top"/>
          </w:tcPr>
          <w:p>
            <w:pPr>
              <w:pStyle w:val="TableText"/>
              <w:ind w:left="164"/>
              <w:spacing w:before="261" w:line="228" w:lineRule="auto"/>
              <w:rPr>
                <w:sz w:val="16"/>
                <w:szCs w:val="16"/>
              </w:rPr>
            </w:pPr>
            <w:r>
              <w:rPr>
                <w:sz w:val="16"/>
                <w:szCs w:val="16"/>
                <w:spacing w:val="-1"/>
              </w:rPr>
              <w:t>4它</w:t>
            </w:r>
          </w:p>
        </w:tc>
        <w:tc>
          <w:tcPr>
            <w:tcW w:w="1289" w:type="dxa"/>
            <w:vAlign w:val="top"/>
          </w:tcPr>
          <w:p>
            <w:pPr>
              <w:pStyle w:val="TableText"/>
              <w:ind w:left="70"/>
              <w:spacing w:before="254" w:line="219" w:lineRule="auto"/>
              <w:rPr>
                <w:sz w:val="16"/>
                <w:szCs w:val="16"/>
              </w:rPr>
            </w:pPr>
            <w:r>
              <w:rPr>
                <w:sz w:val="16"/>
                <w:szCs w:val="16"/>
                <w:spacing w:val="3"/>
              </w:rPr>
              <w:t>国家卫生协康勇</w:t>
            </w:r>
          </w:p>
        </w:tc>
        <w:tc>
          <w:tcPr>
            <w:tcW w:w="1638" w:type="dxa"/>
            <w:vAlign w:val="top"/>
          </w:tcPr>
          <w:p>
            <w:pPr>
              <w:pStyle w:val="TableText"/>
              <w:ind w:left="62"/>
              <w:spacing w:before="254" w:line="219" w:lineRule="auto"/>
              <w:rPr>
                <w:sz w:val="16"/>
                <w:szCs w:val="16"/>
              </w:rPr>
            </w:pPr>
            <w:r>
              <w:rPr>
                <w:sz w:val="16"/>
                <w:szCs w:val="16"/>
                <w:spacing w:val="-1"/>
              </w:rPr>
              <w:t>磁师质格认立</w:t>
            </w:r>
          </w:p>
        </w:tc>
        <w:tc>
          <w:tcPr>
            <w:tcW w:w="2377" w:type="dxa"/>
            <w:vAlign w:val="top"/>
          </w:tcPr>
          <w:p>
            <w:pPr>
              <w:pStyle w:val="TableText"/>
              <w:ind w:left="54"/>
              <w:spacing w:before="254" w:line="219" w:lineRule="auto"/>
              <w:rPr>
                <w:sz w:val="16"/>
                <w:szCs w:val="16"/>
              </w:rPr>
            </w:pPr>
            <w:r>
              <w:rPr>
                <w:sz w:val="16"/>
                <w:szCs w:val="16"/>
                <w:spacing w:val="2"/>
              </w:rPr>
              <w:t>省维豆生健康察门</w:t>
            </w:r>
          </w:p>
        </w:tc>
        <w:tc>
          <w:tcPr>
            <w:tcW w:w="3711" w:type="dxa"/>
            <w:vAlign w:val="top"/>
          </w:tcPr>
          <w:p>
            <w:pPr>
              <w:pStyle w:val="TableText"/>
              <w:spacing w:before="54" w:line="231" w:lineRule="auto"/>
              <w:rPr>
                <w:sz w:val="16"/>
                <w:szCs w:val="16"/>
              </w:rPr>
            </w:pPr>
            <w:r>
              <w:rPr>
                <w:sz w:val="16"/>
                <w:szCs w:val="16"/>
                <w:spacing w:val="-2"/>
              </w:rPr>
              <w:t>《中华人民共和国医师法》</w:t>
            </w:r>
          </w:p>
          <w:p>
            <w:pPr>
              <w:pStyle w:val="TableText"/>
              <w:spacing w:line="219" w:lineRule="auto"/>
              <w:rPr>
                <w:sz w:val="16"/>
                <w:szCs w:val="16"/>
              </w:rPr>
            </w:pPr>
            <w:r>
              <w:rPr>
                <w:sz w:val="16"/>
                <w:szCs w:val="16"/>
                <w:spacing w:val="-2"/>
              </w:rPr>
              <w:t>《包师资格考以管行办法)</w:t>
            </w:r>
          </w:p>
          <w:p>
            <w:pPr>
              <w:pStyle w:val="TableText"/>
              <w:ind w:left="67"/>
              <w:spacing w:before="19" w:line="202" w:lineRule="auto"/>
              <w:rPr>
                <w:sz w:val="16"/>
                <w:szCs w:val="16"/>
              </w:rPr>
            </w:pPr>
            <w:r>
              <w:rPr>
                <w:sz w:val="16"/>
                <w:szCs w:val="16"/>
                <w:spacing w:val="-1"/>
              </w:rPr>
              <w:t>薄家明业劳格目录(2021年版)》</w:t>
            </w:r>
          </w:p>
        </w:tc>
      </w:tr>
      <w:tr>
        <w:trPr>
          <w:trHeight w:val="440" w:hRule="atLeast"/>
        </w:trPr>
        <w:tc>
          <w:tcPr>
            <w:tcW w:w="584" w:type="dxa"/>
            <w:vAlign w:val="top"/>
          </w:tcPr>
          <w:p>
            <w:pPr>
              <w:pStyle w:val="TableText"/>
              <w:ind w:left="164"/>
              <w:spacing w:before="186" w:line="183" w:lineRule="auto"/>
              <w:rPr>
                <w:sz w:val="16"/>
                <w:szCs w:val="16"/>
              </w:rPr>
            </w:pPr>
            <w:r>
              <w:rPr>
                <w:sz w:val="16"/>
                <w:szCs w:val="16"/>
                <w:spacing w:val="-2"/>
              </w:rPr>
              <w:t>465</w:t>
            </w:r>
          </w:p>
        </w:tc>
        <w:tc>
          <w:tcPr>
            <w:tcW w:w="1289" w:type="dxa"/>
            <w:vAlign w:val="top"/>
          </w:tcPr>
          <w:p>
            <w:pPr>
              <w:pStyle w:val="TableText"/>
              <w:ind w:left="70"/>
              <w:spacing w:before="145" w:line="219" w:lineRule="auto"/>
              <w:rPr>
                <w:sz w:val="16"/>
                <w:szCs w:val="16"/>
              </w:rPr>
            </w:pPr>
            <w:r>
              <w:rPr>
                <w:sz w:val="16"/>
                <w:szCs w:val="16"/>
              </w:rPr>
              <w:t>国家Ⅱ生算康委</w:t>
            </w:r>
          </w:p>
        </w:tc>
        <w:tc>
          <w:tcPr>
            <w:tcW w:w="1638" w:type="dxa"/>
            <w:vAlign w:val="top"/>
          </w:tcPr>
          <w:p>
            <w:pPr>
              <w:pStyle w:val="TableText"/>
              <w:ind w:left="62"/>
              <w:spacing w:before="145" w:line="219" w:lineRule="auto"/>
              <w:rPr>
                <w:sz w:val="16"/>
                <w:szCs w:val="16"/>
              </w:rPr>
            </w:pPr>
            <w:r>
              <w:rPr>
                <w:sz w:val="16"/>
                <w:szCs w:val="16"/>
                <w:spacing w:val="-2"/>
              </w:rPr>
              <w:t>落师技业在册</w:t>
            </w:r>
          </w:p>
        </w:tc>
        <w:tc>
          <w:tcPr>
            <w:tcW w:w="2377" w:type="dxa"/>
            <w:vAlign w:val="top"/>
          </w:tcPr>
          <w:p>
            <w:pPr>
              <w:pStyle w:val="TableText"/>
              <w:ind w:left="54" w:right="71" w:firstLine="10"/>
              <w:spacing w:before="64" w:line="208" w:lineRule="auto"/>
              <w:rPr>
                <w:sz w:val="16"/>
                <w:szCs w:val="16"/>
              </w:rPr>
            </w:pPr>
            <w:r>
              <w:rPr>
                <w:sz w:val="16"/>
                <w:szCs w:val="16"/>
                <w:spacing w:val="-1"/>
              </w:rPr>
              <w:t>省级，良区的市碳，易战卫生健</w:t>
            </w:r>
            <w:r>
              <w:rPr>
                <w:sz w:val="16"/>
                <w:szCs w:val="16"/>
                <w:spacing w:val="4"/>
              </w:rPr>
              <w:t xml:space="preserve"> </w:t>
            </w:r>
            <w:r>
              <w:rPr>
                <w:sz w:val="16"/>
                <w:szCs w:val="16"/>
                <w:spacing w:val="6"/>
              </w:rPr>
              <w:t>康加门</w:t>
            </w:r>
          </w:p>
        </w:tc>
        <w:tc>
          <w:tcPr>
            <w:tcW w:w="3711" w:type="dxa"/>
            <w:vAlign w:val="top"/>
          </w:tcPr>
          <w:p>
            <w:pPr>
              <w:pStyle w:val="TableText"/>
              <w:ind w:left="79"/>
              <w:spacing w:before="55" w:line="242" w:lineRule="auto"/>
              <w:rPr>
                <w:sz w:val="16"/>
                <w:szCs w:val="16"/>
              </w:rPr>
            </w:pPr>
            <w:r>
              <w:rPr>
                <w:sz w:val="16"/>
                <w:szCs w:val="16"/>
                <w:spacing w:val="5"/>
              </w:rPr>
              <w:t>(中作人民共和国既师法】</w:t>
            </w:r>
          </w:p>
          <w:p>
            <w:pPr>
              <w:pStyle w:val="TableText"/>
              <w:spacing w:line="189" w:lineRule="auto"/>
              <w:rPr>
                <w:sz w:val="16"/>
                <w:szCs w:val="16"/>
              </w:rPr>
            </w:pPr>
            <w:r>
              <w:rPr>
                <w:sz w:val="16"/>
                <w:szCs w:val="16"/>
                <w:spacing w:val="-1"/>
              </w:rPr>
              <w:t>《怎师抗业注量行理办法)</w:t>
            </w:r>
          </w:p>
        </w:tc>
      </w:tr>
      <w:tr>
        <w:trPr>
          <w:trHeight w:val="250" w:hRule="atLeast"/>
        </w:trPr>
        <w:tc>
          <w:tcPr>
            <w:tcW w:w="584" w:type="dxa"/>
            <w:vAlign w:val="top"/>
          </w:tcPr>
          <w:p>
            <w:pPr>
              <w:pStyle w:val="TableText"/>
              <w:ind w:left="164"/>
              <w:spacing w:before="97" w:line="165" w:lineRule="auto"/>
              <w:rPr>
                <w:sz w:val="16"/>
                <w:szCs w:val="16"/>
              </w:rPr>
            </w:pPr>
            <w:r>
              <w:rPr>
                <w:sz w:val="16"/>
                <w:szCs w:val="16"/>
                <w:spacing w:val="-2"/>
              </w:rPr>
              <w:t>464</w:t>
            </w:r>
          </w:p>
        </w:tc>
        <w:tc>
          <w:tcPr>
            <w:tcW w:w="1289" w:type="dxa"/>
            <w:vAlign w:val="top"/>
          </w:tcPr>
          <w:p>
            <w:pPr>
              <w:pStyle w:val="TableText"/>
              <w:ind w:left="70"/>
              <w:spacing w:before="56" w:line="212" w:lineRule="auto"/>
              <w:rPr>
                <w:sz w:val="16"/>
                <w:szCs w:val="16"/>
              </w:rPr>
            </w:pPr>
            <w:r>
              <w:rPr>
                <w:sz w:val="16"/>
                <w:szCs w:val="16"/>
              </w:rPr>
              <w:t>国家卫生知中委</w:t>
            </w:r>
          </w:p>
        </w:tc>
        <w:tc>
          <w:tcPr>
            <w:tcW w:w="1638" w:type="dxa"/>
            <w:vAlign w:val="top"/>
          </w:tcPr>
          <w:p>
            <w:pPr>
              <w:pStyle w:val="TableText"/>
              <w:ind w:left="82"/>
              <w:spacing w:before="55" w:line="213" w:lineRule="auto"/>
              <w:rPr>
                <w:sz w:val="16"/>
                <w:szCs w:val="16"/>
              </w:rPr>
            </w:pPr>
            <w:r>
              <w:rPr>
                <w:sz w:val="16"/>
                <w:szCs w:val="16"/>
                <w:spacing w:val="-2"/>
              </w:rPr>
              <w:t>乡样所生执业注船</w:t>
            </w:r>
          </w:p>
        </w:tc>
        <w:tc>
          <w:tcPr>
            <w:tcW w:w="2377" w:type="dxa"/>
            <w:vAlign w:val="top"/>
          </w:tcPr>
          <w:p>
            <w:pPr>
              <w:pStyle w:val="TableText"/>
              <w:ind w:left="54"/>
              <w:spacing w:before="55" w:line="213" w:lineRule="auto"/>
              <w:rPr>
                <w:sz w:val="16"/>
                <w:szCs w:val="16"/>
              </w:rPr>
            </w:pPr>
            <w:r>
              <w:rPr>
                <w:sz w:val="16"/>
                <w:szCs w:val="16"/>
                <w:spacing w:val="2"/>
              </w:rPr>
              <w:t>是级卫生健康部门</w:t>
            </w:r>
          </w:p>
        </w:tc>
        <w:tc>
          <w:tcPr>
            <w:tcW w:w="3711" w:type="dxa"/>
            <w:vAlign w:val="top"/>
          </w:tcPr>
          <w:p>
            <w:pPr>
              <w:pStyle w:val="TableText"/>
              <w:ind w:left="67"/>
              <w:spacing w:before="54" w:line="214" w:lineRule="auto"/>
              <w:rPr>
                <w:sz w:val="16"/>
                <w:szCs w:val="16"/>
              </w:rPr>
            </w:pPr>
            <w:r>
              <w:rPr>
                <w:sz w:val="16"/>
                <w:szCs w:val="16"/>
                <w:spacing w:val="-1"/>
              </w:rPr>
              <w:t>(梦材医牛从重骨理备制》</w:t>
            </w:r>
          </w:p>
        </w:tc>
      </w:tr>
      <w:tr>
        <w:trPr>
          <w:trHeight w:val="484" w:hRule="atLeast"/>
        </w:trPr>
        <w:tc>
          <w:tcPr>
            <w:tcW w:w="584" w:type="dxa"/>
            <w:vAlign w:val="top"/>
          </w:tcPr>
          <w:p>
            <w:pPr>
              <w:pStyle w:val="TableText"/>
              <w:ind w:left="164"/>
              <w:spacing w:before="206" w:line="183" w:lineRule="auto"/>
              <w:rPr>
                <w:sz w:val="16"/>
                <w:szCs w:val="16"/>
              </w:rPr>
            </w:pPr>
            <w:r>
              <w:rPr>
                <w:sz w:val="16"/>
                <w:szCs w:val="16"/>
                <w:spacing w:val="-2"/>
              </w:rPr>
              <w:t>485</w:t>
            </w:r>
          </w:p>
        </w:tc>
        <w:tc>
          <w:tcPr>
            <w:tcW w:w="1289" w:type="dxa"/>
            <w:vAlign w:val="top"/>
          </w:tcPr>
          <w:p>
            <w:pPr>
              <w:pStyle w:val="TableText"/>
              <w:ind w:left="70"/>
              <w:spacing w:before="165" w:line="219" w:lineRule="auto"/>
              <w:rPr>
                <w:sz w:val="16"/>
                <w:szCs w:val="16"/>
              </w:rPr>
            </w:pPr>
            <w:r>
              <w:rPr>
                <w:sz w:val="16"/>
                <w:szCs w:val="16"/>
              </w:rPr>
              <w:t>国家卫生健康委</w:t>
            </w:r>
          </w:p>
        </w:tc>
        <w:tc>
          <w:tcPr>
            <w:tcW w:w="1638" w:type="dxa"/>
            <w:vAlign w:val="top"/>
          </w:tcPr>
          <w:p>
            <w:pPr>
              <w:pStyle w:val="TableText"/>
              <w:ind w:left="52" w:right="79" w:firstLine="40"/>
              <w:spacing w:before="64" w:line="236" w:lineRule="auto"/>
              <w:rPr>
                <w:sz w:val="16"/>
                <w:szCs w:val="16"/>
              </w:rPr>
            </w:pPr>
            <w:r>
              <w:rPr>
                <w:sz w:val="16"/>
                <w:szCs w:val="16"/>
                <w:spacing w:val="1"/>
              </w:rPr>
              <w:t>人体器食花植执业因</w:t>
            </w:r>
            <w:r>
              <w:rPr>
                <w:sz w:val="16"/>
                <w:szCs w:val="16"/>
                <w:spacing w:val="6"/>
              </w:rPr>
              <w:t xml:space="preserve"> </w:t>
            </w:r>
            <w:r>
              <w:rPr>
                <w:sz w:val="16"/>
                <w:szCs w:val="16"/>
                <w:spacing w:val="-2"/>
              </w:rPr>
              <w:t>师症所</w:t>
            </w:r>
          </w:p>
        </w:tc>
        <w:tc>
          <w:tcPr>
            <w:tcW w:w="2377" w:type="dxa"/>
            <w:vAlign w:val="top"/>
          </w:tcPr>
          <w:p>
            <w:pPr>
              <w:pStyle w:val="TableText"/>
              <w:ind w:left="54"/>
              <w:spacing w:before="165" w:line="219" w:lineRule="auto"/>
              <w:rPr>
                <w:sz w:val="16"/>
                <w:szCs w:val="16"/>
              </w:rPr>
            </w:pPr>
            <w:r>
              <w:rPr>
                <w:sz w:val="16"/>
                <w:szCs w:val="16"/>
                <w:spacing w:val="2"/>
              </w:rPr>
              <w:t>管张卫生健康部门</w:t>
            </w:r>
          </w:p>
        </w:tc>
        <w:tc>
          <w:tcPr>
            <w:tcW w:w="3711" w:type="dxa"/>
            <w:vAlign w:val="top"/>
          </w:tcPr>
          <w:p>
            <w:pPr>
              <w:pStyle w:val="TableText"/>
              <w:ind w:left="67"/>
              <w:spacing w:before="165" w:line="219" w:lineRule="auto"/>
              <w:rPr>
                <w:sz w:val="16"/>
                <w:szCs w:val="16"/>
              </w:rPr>
            </w:pPr>
            <w:r>
              <w:rPr>
                <w:sz w:val="16"/>
                <w:szCs w:val="16"/>
              </w:rPr>
              <w:t>中华人民共和国医草法</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74304" behindDoc="0" locked="0" layoutInCell="0" allowOverlap="1">
                <wp:simplePos x="0" y="0"/>
                <wp:positionH relativeFrom="page">
                  <wp:posOffset>466978</wp:posOffset>
                </wp:positionH>
                <wp:positionV relativeFrom="page">
                  <wp:posOffset>616617</wp:posOffset>
                </wp:positionV>
                <wp:extent cx="163829" cy="149860"/>
                <wp:effectExtent l="0" t="0" r="0" b="0"/>
                <wp:wrapNone/>
                <wp:docPr id="266" name="TextBox 266"/>
                <wp:cNvGraphicFramePr/>
                <a:graphic>
                  <a:graphicData uri="http://schemas.microsoft.com/office/word/2010/wordprocessingShape">
                    <wps:wsp>
                      <wps:cNvSpPr txBox="1"/>
                      <wps:spPr>
                        <a:xfrm rot="5400000">
                          <a:off x="466978" y="616617"/>
                          <a:ext cx="163829" cy="14986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5" w:line="184" w:lineRule="auto"/>
                              <w:rPr>
                                <w:rFonts w:ascii="SimSun" w:hAnsi="SimSun" w:eastAsia="SimSun" w:cs="SimSun"/>
                                <w:sz w:val="15"/>
                                <w:szCs w:val="15"/>
                              </w:rPr>
                            </w:pPr>
                            <w:r>
                              <w:rPr>
                                <w:rFonts w:ascii="SimSun" w:hAnsi="SimSun" w:eastAsia="SimSun" w:cs="SimSun"/>
                                <w:sz w:val="15"/>
                                <w:szCs w:val="15"/>
                                <w:spacing w:val="-2"/>
                              </w:rPr>
                              <w:t>214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8" style="position:absolute;margin-left:36.7699pt;margin-top:48.5526pt;mso-position-vertical-relative:page;mso-position-horizontal-relative:page;width:12.9pt;height:11.8pt;z-index:251874304;rotation:90;" o:allowincell="f" filled="false" stroked="false" type="#_x0000_t202">
                <v:fill on="false"/>
                <v:stroke on="false"/>
                <v:path/>
                <v:imagedata o:title=""/>
                <o:lock v:ext="edit" aspectratio="false"/>
                <v:textbox inset="0mm,0mm,0mm,0mm">
                  <w:txbxContent>
                    <w:p>
                      <w:pPr>
                        <w:ind w:left="20"/>
                        <w:spacing w:before="65" w:line="184" w:lineRule="auto"/>
                        <w:rPr>
                          <w:rFonts w:ascii="SimSun" w:hAnsi="SimSun" w:eastAsia="SimSun" w:cs="SimSun"/>
                          <w:sz w:val="15"/>
                          <w:szCs w:val="15"/>
                        </w:rPr>
                      </w:pPr>
                      <w:r>
                        <w:rPr>
                          <w:rFonts w:ascii="SimSun" w:hAnsi="SimSun" w:eastAsia="SimSun" w:cs="SimSun"/>
                          <w:sz w:val="15"/>
                          <w:szCs w:val="15"/>
                          <w:spacing w:val="-2"/>
                        </w:rPr>
                        <w:t>214</w:t>
                      </w:r>
                    </w:p>
                  </w:txbxContent>
                </v:textbox>
              </v:shape>
            </w:pict>
          </mc:Fallback>
        </mc:AlternateContent>
      </w:r>
      <w:r/>
    </w:p>
    <w:tbl>
      <w:tblPr>
        <w:tblStyle w:val="TableNormal"/>
        <w:tblW w:w="9589" w:type="dxa"/>
        <w:tblInd w:w="32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0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4"/>
              </w:rPr>
              <w:t>图号</w:t>
            </w:r>
          </w:p>
        </w:tc>
        <w:tc>
          <w:tcPr>
            <w:tcW w:w="1299" w:type="dxa"/>
            <w:vAlign w:val="top"/>
          </w:tcPr>
          <w:p>
            <w:pPr>
              <w:pStyle w:val="TableText"/>
              <w:ind w:left="160"/>
              <w:spacing w:before="131" w:line="219" w:lineRule="auto"/>
              <w:rPr>
                <w:sz w:val="16"/>
                <w:szCs w:val="16"/>
              </w:rPr>
            </w:pPr>
            <w:r>
              <w:rPr>
                <w:sz w:val="16"/>
                <w:szCs w:val="16"/>
                <w:spacing w:val="3"/>
              </w:rPr>
              <w:t>中头主管想门</w:t>
            </w:r>
          </w:p>
        </w:tc>
        <w:tc>
          <w:tcPr>
            <w:tcW w:w="1638" w:type="dxa"/>
            <w:vAlign w:val="top"/>
          </w:tcPr>
          <w:p>
            <w:pPr>
              <w:pStyle w:val="TableText"/>
              <w:ind w:left="491"/>
              <w:spacing w:before="131" w:line="219" w:lineRule="auto"/>
              <w:rPr>
                <w:sz w:val="16"/>
                <w:szCs w:val="16"/>
              </w:rPr>
            </w:pPr>
            <w:r>
              <w:rPr>
                <w:sz w:val="16"/>
                <w:szCs w:val="16"/>
                <w:spacing w:val="-2"/>
              </w:rPr>
              <w:t>事项名释</w:t>
            </w:r>
          </w:p>
        </w:tc>
        <w:tc>
          <w:tcPr>
            <w:tcW w:w="2377" w:type="dxa"/>
            <w:vAlign w:val="top"/>
          </w:tcPr>
          <w:p>
            <w:pPr>
              <w:pStyle w:val="TableText"/>
              <w:ind w:left="854"/>
              <w:spacing w:before="130" w:line="219" w:lineRule="auto"/>
              <w:rPr>
                <w:sz w:val="16"/>
                <w:szCs w:val="16"/>
              </w:rPr>
            </w:pPr>
            <w:r>
              <w:rPr>
                <w:sz w:val="16"/>
                <w:szCs w:val="16"/>
                <w:spacing w:val="-2"/>
              </w:rPr>
              <w:t>实旋机关</w:t>
            </w:r>
          </w:p>
        </w:tc>
        <w:tc>
          <w:tcPr>
            <w:tcW w:w="3701" w:type="dxa"/>
            <w:vAlign w:val="top"/>
          </w:tcPr>
          <w:p>
            <w:pPr>
              <w:pStyle w:val="TableText"/>
              <w:ind w:left="1269"/>
              <w:spacing w:before="128" w:line="219" w:lineRule="auto"/>
              <w:rPr>
                <w:sz w:val="16"/>
                <w:szCs w:val="16"/>
              </w:rPr>
            </w:pPr>
            <w:r>
              <w:rPr>
                <w:sz w:val="16"/>
                <w:szCs w:val="16"/>
                <w:b/>
                <w:bCs/>
                <w:spacing w:val="-3"/>
              </w:rPr>
              <w:t>证定和实施依据</w:t>
            </w:r>
          </w:p>
        </w:tc>
      </w:tr>
      <w:tr>
        <w:trPr>
          <w:trHeight w:val="449" w:hRule="atLeast"/>
        </w:trPr>
        <w:tc>
          <w:tcPr>
            <w:tcW w:w="574" w:type="dxa"/>
            <w:vAlign w:val="top"/>
          </w:tcPr>
          <w:p>
            <w:pPr>
              <w:pStyle w:val="TableText"/>
              <w:ind w:left="154"/>
              <w:spacing w:before="188" w:line="183" w:lineRule="auto"/>
              <w:rPr>
                <w:sz w:val="16"/>
                <w:szCs w:val="16"/>
              </w:rPr>
            </w:pPr>
            <w:r>
              <w:rPr>
                <w:sz w:val="16"/>
                <w:szCs w:val="16"/>
                <w:spacing w:val="-2"/>
              </w:rPr>
              <w:t>480</w:t>
            </w:r>
          </w:p>
        </w:tc>
        <w:tc>
          <w:tcPr>
            <w:tcW w:w="1299" w:type="dxa"/>
            <w:vAlign w:val="top"/>
          </w:tcPr>
          <w:p>
            <w:pPr>
              <w:pStyle w:val="TableText"/>
              <w:ind w:left="80"/>
              <w:spacing w:before="147" w:line="219" w:lineRule="auto"/>
              <w:rPr>
                <w:sz w:val="16"/>
                <w:szCs w:val="16"/>
              </w:rPr>
            </w:pPr>
            <w:r>
              <w:rPr>
                <w:sz w:val="16"/>
                <w:szCs w:val="16"/>
              </w:rPr>
              <w:t>叫求卫主健康委</w:t>
            </w:r>
          </w:p>
        </w:tc>
        <w:tc>
          <w:tcPr>
            <w:tcW w:w="1638" w:type="dxa"/>
            <w:vAlign w:val="top"/>
          </w:tcPr>
          <w:p>
            <w:pPr>
              <w:pStyle w:val="TableText"/>
              <w:ind w:left="72" w:right="107" w:firstLine="20"/>
              <w:spacing w:before="68" w:line="214" w:lineRule="auto"/>
              <w:rPr>
                <w:sz w:val="16"/>
                <w:szCs w:val="16"/>
              </w:rPr>
            </w:pPr>
            <w:r>
              <w:rPr>
                <w:sz w:val="16"/>
                <w:szCs w:val="16"/>
                <w:spacing w:val="-2"/>
              </w:rPr>
              <w:t>帆应有让断技重医师</w:t>
            </w:r>
            <w:r>
              <w:rPr>
                <w:sz w:val="16"/>
                <w:szCs w:val="16"/>
                <w:spacing w:val="5"/>
              </w:rPr>
              <w:t xml:space="preserve"> </w:t>
            </w:r>
            <w:r>
              <w:rPr>
                <w:sz w:val="16"/>
                <w:szCs w:val="16"/>
                <w:spacing w:val="3"/>
              </w:rPr>
              <w:t>罚路认片</w:t>
            </w:r>
          </w:p>
        </w:tc>
        <w:tc>
          <w:tcPr>
            <w:tcW w:w="2377" w:type="dxa"/>
            <w:vAlign w:val="top"/>
          </w:tcPr>
          <w:p>
            <w:pPr>
              <w:pStyle w:val="TableText"/>
              <w:ind w:left="34"/>
              <w:spacing w:before="147" w:line="219" w:lineRule="auto"/>
              <w:rPr>
                <w:sz w:val="16"/>
                <w:szCs w:val="16"/>
              </w:rPr>
            </w:pPr>
            <w:r>
              <w:rPr>
                <w:sz w:val="16"/>
                <w:szCs w:val="16"/>
                <w:spacing w:val="2"/>
              </w:rPr>
              <w:t>省师卫生能来西门</w:t>
            </w:r>
          </w:p>
        </w:tc>
        <w:tc>
          <w:tcPr>
            <w:tcW w:w="3701" w:type="dxa"/>
            <w:vAlign w:val="top"/>
          </w:tcPr>
          <w:p>
            <w:pPr>
              <w:pStyle w:val="TableText"/>
              <w:ind w:left="78"/>
              <w:spacing w:before="66" w:line="220" w:lineRule="auto"/>
              <w:rPr>
                <w:sz w:val="16"/>
                <w:szCs w:val="16"/>
              </w:rPr>
            </w:pPr>
            <w:r>
              <w:rPr>
                <w:sz w:val="16"/>
                <w:szCs w:val="16"/>
                <w:spacing w:val="-2"/>
              </w:rPr>
              <w:t>1中华人园其和国氧业期防治函</w:t>
            </w:r>
          </w:p>
          <w:p>
            <w:pPr>
              <w:pStyle w:val="TableText"/>
              <w:spacing w:line="209" w:lineRule="auto"/>
              <w:rPr>
                <w:sz w:val="16"/>
                <w:szCs w:val="16"/>
              </w:rPr>
            </w:pPr>
            <w:r>
              <w:rPr>
                <w:sz w:val="16"/>
                <w:szCs w:val="16"/>
                <w:spacing w:val="2"/>
              </w:rPr>
              <w:t>【肌业病诊新与验定带理办法》</w:t>
            </w:r>
          </w:p>
        </w:tc>
      </w:tr>
      <w:tr>
        <w:trPr>
          <w:trHeight w:val="849" w:hRule="atLeast"/>
        </w:trPr>
        <w:tc>
          <w:tcPr>
            <w:tcW w:w="574" w:type="dxa"/>
            <w:vAlign w:val="top"/>
          </w:tcPr>
          <w:p>
            <w:pPr>
              <w:spacing w:line="335" w:lineRule="auto"/>
              <w:rPr>
                <w:rFonts w:ascii="Arial"/>
                <w:sz w:val="21"/>
              </w:rPr>
            </w:pPr>
            <w:r/>
          </w:p>
          <w:p>
            <w:pPr>
              <w:pStyle w:val="TableText"/>
              <w:ind w:left="154"/>
              <w:spacing w:before="52" w:line="183" w:lineRule="auto"/>
              <w:rPr>
                <w:sz w:val="16"/>
                <w:szCs w:val="16"/>
              </w:rPr>
            </w:pPr>
            <w:r>
              <w:rPr>
                <w:sz w:val="16"/>
                <w:szCs w:val="16"/>
                <w:spacing w:val="-2"/>
              </w:rPr>
              <w:t>4K7</w:t>
            </w:r>
          </w:p>
        </w:tc>
        <w:tc>
          <w:tcPr>
            <w:tcW w:w="1299" w:type="dxa"/>
            <w:vAlign w:val="top"/>
          </w:tcPr>
          <w:p>
            <w:pPr>
              <w:spacing w:line="294" w:lineRule="auto"/>
              <w:rPr>
                <w:rFonts w:ascii="Arial"/>
                <w:sz w:val="21"/>
              </w:rPr>
            </w:pPr>
            <w:r/>
          </w:p>
          <w:p>
            <w:pPr>
              <w:pStyle w:val="TableText"/>
              <w:ind w:left="80"/>
              <w:spacing w:before="52" w:line="219" w:lineRule="auto"/>
              <w:rPr>
                <w:sz w:val="16"/>
                <w:szCs w:val="16"/>
              </w:rPr>
            </w:pPr>
            <w:r>
              <w:rPr>
                <w:sz w:val="16"/>
                <w:szCs w:val="16"/>
                <w:spacing w:val="-1"/>
              </w:rPr>
              <w:t>按家卫生同理委</w:t>
            </w:r>
          </w:p>
        </w:tc>
        <w:tc>
          <w:tcPr>
            <w:tcW w:w="1638" w:type="dxa"/>
            <w:vAlign w:val="top"/>
          </w:tcPr>
          <w:p>
            <w:pPr>
              <w:pStyle w:val="TableText"/>
              <w:ind w:left="52" w:right="101" w:firstLine="40"/>
              <w:spacing w:before="258" w:line="219" w:lineRule="auto"/>
              <w:rPr>
                <w:sz w:val="16"/>
                <w:szCs w:val="16"/>
              </w:rPr>
            </w:pPr>
            <w:r>
              <w:rPr>
                <w:sz w:val="16"/>
                <w:szCs w:val="16"/>
                <w:spacing w:val="-1"/>
              </w:rPr>
              <w:t>对要似便属务人员研</w:t>
            </w:r>
            <w:r>
              <w:rPr>
                <w:sz w:val="16"/>
                <w:szCs w:val="16"/>
                <w:spacing w:val="2"/>
              </w:rPr>
              <w:t xml:space="preserve"> </w:t>
            </w:r>
            <w:r>
              <w:rPr>
                <w:sz w:val="16"/>
                <w:szCs w:val="16"/>
                <w:spacing w:val="-3"/>
              </w:rPr>
              <w:t>帮认定</w:t>
            </w:r>
          </w:p>
        </w:tc>
        <w:tc>
          <w:tcPr>
            <w:tcW w:w="2377" w:type="dxa"/>
            <w:vAlign w:val="top"/>
          </w:tcPr>
          <w:p>
            <w:pPr>
              <w:spacing w:line="293" w:lineRule="auto"/>
              <w:rPr>
                <w:rFonts w:ascii="Arial"/>
                <w:sz w:val="21"/>
              </w:rPr>
            </w:pPr>
            <w:r/>
          </w:p>
          <w:p>
            <w:pPr>
              <w:pStyle w:val="TableText"/>
              <w:ind w:left="34"/>
              <w:spacing w:before="52" w:line="219" w:lineRule="auto"/>
              <w:rPr>
                <w:sz w:val="16"/>
                <w:szCs w:val="16"/>
              </w:rPr>
            </w:pPr>
            <w:r>
              <w:rPr>
                <w:sz w:val="16"/>
                <w:szCs w:val="16"/>
                <w:spacing w:val="1"/>
              </w:rPr>
              <w:t>青级，县圾卫生健带部门</w:t>
            </w:r>
          </w:p>
        </w:tc>
        <w:tc>
          <w:tcPr>
            <w:tcW w:w="3701" w:type="dxa"/>
            <w:vAlign w:val="top"/>
          </w:tcPr>
          <w:p>
            <w:pPr>
              <w:pStyle w:val="TableText"/>
              <w:ind w:left="36"/>
              <w:spacing w:before="48" w:line="219" w:lineRule="auto"/>
              <w:rPr>
                <w:sz w:val="16"/>
                <w:szCs w:val="16"/>
              </w:rPr>
            </w:pPr>
            <w:r>
              <w:rPr>
                <w:sz w:val="16"/>
                <w:szCs w:val="16"/>
                <w:spacing w:val="1"/>
              </w:rPr>
              <w:t>中华人民共和国母型保登法1</w:t>
            </w:r>
          </w:p>
          <w:p>
            <w:pPr>
              <w:pStyle w:val="TableText"/>
              <w:spacing w:line="219" w:lineRule="auto"/>
              <w:rPr>
                <w:sz w:val="16"/>
                <w:szCs w:val="16"/>
              </w:rPr>
            </w:pPr>
            <w:r>
              <w:rPr>
                <w:sz w:val="16"/>
                <w:szCs w:val="16"/>
                <w:spacing w:val="2"/>
              </w:rPr>
              <w:t>【中作人民共和国母量保能认实施办医》</w:t>
            </w:r>
          </w:p>
          <w:p>
            <w:pPr>
              <w:pStyle w:val="TableText"/>
              <w:ind w:right="117" w:firstLine="79"/>
              <w:spacing w:before="29" w:line="220" w:lineRule="auto"/>
              <w:rPr>
                <w:sz w:val="16"/>
                <w:szCs w:val="16"/>
              </w:rPr>
            </w:pPr>
            <w:r>
              <w:rPr>
                <w:sz w:val="16"/>
                <w:szCs w:val="16"/>
                <w:spacing w:val="-1"/>
              </w:rPr>
              <w:t>1排要保储专项执术以务许可及人员资格查</w:t>
            </w:r>
            <w:r>
              <w:rPr>
                <w:sz w:val="16"/>
                <w:szCs w:val="16"/>
                <w:spacing w:val="-2"/>
              </w:rPr>
              <w:t>理办法1</w:t>
            </w:r>
            <w:r>
              <w:rPr>
                <w:sz w:val="16"/>
                <w:szCs w:val="16"/>
              </w:rPr>
              <w:t xml:space="preserve"> </w:t>
            </w:r>
            <w:r>
              <w:rPr>
                <w:sz w:val="16"/>
                <w:szCs w:val="16"/>
                <w:spacing w:val="-3"/>
              </w:rPr>
              <w:t>《国京帆业斯格以量(202)等瓶》》</w:t>
            </w:r>
          </w:p>
        </w:tc>
      </w:tr>
      <w:tr>
        <w:trPr>
          <w:trHeight w:val="449" w:hRule="atLeast"/>
        </w:trPr>
        <w:tc>
          <w:tcPr>
            <w:tcW w:w="574" w:type="dxa"/>
            <w:vAlign w:val="top"/>
          </w:tcPr>
          <w:p>
            <w:pPr>
              <w:pStyle w:val="TableText"/>
              <w:ind w:left="154"/>
              <w:spacing w:before="190" w:line="183" w:lineRule="auto"/>
              <w:rPr>
                <w:sz w:val="16"/>
                <w:szCs w:val="16"/>
              </w:rPr>
            </w:pPr>
            <w:r>
              <w:rPr>
                <w:sz w:val="16"/>
                <w:szCs w:val="16"/>
                <w:spacing w:val="-2"/>
              </w:rPr>
              <w:t>46m</w:t>
            </w:r>
          </w:p>
        </w:tc>
        <w:tc>
          <w:tcPr>
            <w:tcW w:w="1299" w:type="dxa"/>
            <w:vAlign w:val="top"/>
          </w:tcPr>
          <w:p>
            <w:pPr>
              <w:pStyle w:val="TableText"/>
              <w:ind w:left="80"/>
              <w:spacing w:before="150" w:line="220" w:lineRule="auto"/>
              <w:rPr>
                <w:sz w:val="16"/>
                <w:szCs w:val="16"/>
              </w:rPr>
            </w:pPr>
            <w:r>
              <w:rPr>
                <w:sz w:val="16"/>
                <w:szCs w:val="16"/>
                <w:spacing w:val="-1"/>
              </w:rPr>
              <w:t>属家卫生道重委</w:t>
            </w:r>
          </w:p>
        </w:tc>
        <w:tc>
          <w:tcPr>
            <w:tcW w:w="1638" w:type="dxa"/>
            <w:vAlign w:val="top"/>
          </w:tcPr>
          <w:p>
            <w:pPr>
              <w:pStyle w:val="TableText"/>
              <w:ind w:left="62" w:right="105" w:firstLine="30"/>
              <w:spacing w:before="59" w:line="219" w:lineRule="auto"/>
              <w:rPr>
                <w:sz w:val="16"/>
                <w:szCs w:val="16"/>
              </w:rPr>
            </w:pPr>
            <w:r>
              <w:rPr>
                <w:sz w:val="16"/>
                <w:szCs w:val="16"/>
                <w:spacing w:val="-2"/>
              </w:rPr>
              <w:t>外品西原在华包彻执</w:t>
            </w:r>
            <w:r>
              <w:rPr>
                <w:sz w:val="16"/>
                <w:szCs w:val="16"/>
                <w:spacing w:val="7"/>
              </w:rPr>
              <w:t xml:space="preserve"> </w:t>
            </w:r>
            <w:r>
              <w:rPr>
                <w:sz w:val="16"/>
                <w:szCs w:val="16"/>
                <w:spacing w:val="6"/>
              </w:rPr>
              <w:t>业许门</w:t>
            </w:r>
          </w:p>
        </w:tc>
        <w:tc>
          <w:tcPr>
            <w:tcW w:w="2377" w:type="dxa"/>
            <w:vAlign w:val="top"/>
          </w:tcPr>
          <w:p>
            <w:pPr>
              <w:pStyle w:val="TableText"/>
              <w:ind w:left="34"/>
              <w:spacing w:before="148" w:line="219" w:lineRule="auto"/>
              <w:rPr>
                <w:sz w:val="16"/>
                <w:szCs w:val="16"/>
              </w:rPr>
            </w:pPr>
            <w:r>
              <w:rPr>
                <w:sz w:val="16"/>
                <w:szCs w:val="16"/>
                <w:spacing w:val="1"/>
              </w:rPr>
              <w:t>设区的电级亚生能康布门</w:t>
            </w:r>
          </w:p>
        </w:tc>
        <w:tc>
          <w:tcPr>
            <w:tcW w:w="3701" w:type="dxa"/>
            <w:vAlign w:val="top"/>
          </w:tcPr>
          <w:p>
            <w:pPr>
              <w:pStyle w:val="TableText"/>
              <w:ind w:left="36" w:right="217" w:firstLine="70"/>
              <w:spacing w:before="49" w:line="219" w:lineRule="auto"/>
              <w:rPr>
                <w:sz w:val="16"/>
                <w:szCs w:val="16"/>
              </w:rPr>
            </w:pPr>
            <w:r>
              <w:rPr>
                <w:sz w:val="16"/>
                <w:szCs w:val="16"/>
              </w:rPr>
              <w:t>国务院对确需保值的行改留批析目设定行我计可</w:t>
            </w:r>
            <w:r>
              <w:rPr>
                <w:sz w:val="16"/>
                <w:szCs w:val="16"/>
                <w:spacing w:val="5"/>
              </w:rPr>
              <w:t xml:space="preserve"> </w:t>
            </w:r>
            <w:r>
              <w:rPr>
                <w:sz w:val="16"/>
                <w:szCs w:val="16"/>
              </w:rPr>
              <w:t>的决定：</w:t>
            </w:r>
          </w:p>
        </w:tc>
      </w:tr>
      <w:tr>
        <w:trPr>
          <w:trHeight w:val="449" w:hRule="atLeast"/>
        </w:trPr>
        <w:tc>
          <w:tcPr>
            <w:tcW w:w="574" w:type="dxa"/>
            <w:vAlign w:val="top"/>
          </w:tcPr>
          <w:p>
            <w:pPr>
              <w:pStyle w:val="TableText"/>
              <w:ind w:left="154"/>
              <w:spacing w:before="190" w:line="185" w:lineRule="auto"/>
              <w:rPr>
                <w:sz w:val="16"/>
                <w:szCs w:val="16"/>
              </w:rPr>
            </w:pPr>
            <w:r>
              <w:rPr>
                <w:sz w:val="16"/>
                <w:szCs w:val="16"/>
                <w:spacing w:val="-1"/>
              </w:rPr>
              <w:t>A89</w:t>
            </w:r>
          </w:p>
        </w:tc>
        <w:tc>
          <w:tcPr>
            <w:tcW w:w="1299" w:type="dxa"/>
            <w:vAlign w:val="top"/>
          </w:tcPr>
          <w:p>
            <w:pPr>
              <w:pStyle w:val="TableText"/>
              <w:ind w:left="80"/>
              <w:spacing w:before="150" w:line="219" w:lineRule="auto"/>
              <w:rPr>
                <w:sz w:val="16"/>
                <w:szCs w:val="16"/>
              </w:rPr>
            </w:pPr>
            <w:r>
              <w:rPr>
                <w:sz w:val="16"/>
                <w:szCs w:val="16"/>
                <w:spacing w:val="-1"/>
              </w:rPr>
              <w:t>属家卫生厘康带</w:t>
            </w:r>
          </w:p>
        </w:tc>
        <w:tc>
          <w:tcPr>
            <w:tcW w:w="1638" w:type="dxa"/>
            <w:vAlign w:val="top"/>
          </w:tcPr>
          <w:p>
            <w:pPr>
              <w:pStyle w:val="TableText"/>
              <w:ind w:left="42"/>
              <w:spacing w:before="150" w:line="219" w:lineRule="auto"/>
              <w:rPr>
                <w:sz w:val="16"/>
                <w:szCs w:val="16"/>
              </w:rPr>
            </w:pPr>
            <w:r>
              <w:rPr>
                <w:sz w:val="16"/>
                <w:szCs w:val="16"/>
                <w:spacing w:val="-1"/>
              </w:rPr>
              <w:t>护土执业作原</w:t>
            </w:r>
          </w:p>
        </w:tc>
        <w:tc>
          <w:tcPr>
            <w:tcW w:w="2377" w:type="dxa"/>
            <w:vAlign w:val="top"/>
          </w:tcPr>
          <w:p>
            <w:pPr>
              <w:pStyle w:val="TableText"/>
              <w:ind w:left="34" w:right="94" w:firstLine="10"/>
              <w:spacing w:before="50" w:line="219" w:lineRule="auto"/>
              <w:rPr>
                <w:sz w:val="16"/>
                <w:szCs w:val="16"/>
              </w:rPr>
            </w:pPr>
            <w:r>
              <w:rPr>
                <w:sz w:val="16"/>
                <w:szCs w:val="16"/>
                <w:spacing w:val="-1"/>
              </w:rPr>
              <w:t>吉鼓，设区的帝短，县理卫主做</w:t>
            </w:r>
            <w:r>
              <w:rPr>
                <w:sz w:val="16"/>
                <w:szCs w:val="16"/>
                <w:spacing w:val="1"/>
              </w:rPr>
              <w:t xml:space="preserve"> </w:t>
            </w:r>
            <w:r>
              <w:rPr>
                <w:sz w:val="16"/>
                <w:szCs w:val="16"/>
                <w:spacing w:val="-2"/>
              </w:rPr>
              <w:t>康部们</w:t>
            </w:r>
          </w:p>
        </w:tc>
        <w:tc>
          <w:tcPr>
            <w:tcW w:w="3701" w:type="dxa"/>
            <w:vAlign w:val="top"/>
          </w:tcPr>
          <w:p>
            <w:pPr>
              <w:pStyle w:val="TableText"/>
              <w:ind w:left="36"/>
              <w:spacing w:before="40" w:line="219" w:lineRule="auto"/>
              <w:rPr>
                <w:sz w:val="16"/>
                <w:szCs w:val="16"/>
              </w:rPr>
            </w:pPr>
            <w:r>
              <w:rPr>
                <w:sz w:val="16"/>
                <w:szCs w:val="16"/>
                <w:spacing w:val="-3"/>
              </w:rPr>
              <w:t>护土条例》</w:t>
            </w:r>
          </w:p>
          <w:p>
            <w:pPr>
              <w:pStyle w:val="TableText"/>
              <w:ind w:left="36"/>
              <w:spacing w:before="19" w:line="218" w:lineRule="auto"/>
              <w:rPr>
                <w:sz w:val="16"/>
                <w:szCs w:val="16"/>
              </w:rPr>
            </w:pPr>
            <w:r>
              <w:rPr>
                <w:sz w:val="16"/>
                <w:szCs w:val="16"/>
                <w:spacing w:val="2"/>
              </w:rPr>
              <w:t>国室裂业赔格目录：202)年版)</w:t>
            </w:r>
          </w:p>
        </w:tc>
      </w:tr>
      <w:tr>
        <w:trPr>
          <w:trHeight w:val="439" w:hRule="atLeast"/>
        </w:trPr>
        <w:tc>
          <w:tcPr>
            <w:tcW w:w="574" w:type="dxa"/>
            <w:vAlign w:val="top"/>
          </w:tcPr>
          <w:p>
            <w:pPr>
              <w:pStyle w:val="TableText"/>
              <w:ind w:left="154"/>
              <w:spacing w:before="181" w:line="184" w:lineRule="auto"/>
              <w:rPr>
                <w:sz w:val="16"/>
                <w:szCs w:val="16"/>
              </w:rPr>
            </w:pPr>
            <w:r>
              <w:rPr>
                <w:sz w:val="16"/>
                <w:szCs w:val="16"/>
                <w:spacing w:val="-5"/>
              </w:rPr>
              <w:t>180</w:t>
            </w:r>
          </w:p>
        </w:tc>
        <w:tc>
          <w:tcPr>
            <w:tcW w:w="1299" w:type="dxa"/>
            <w:vAlign w:val="top"/>
          </w:tcPr>
          <w:p>
            <w:pPr>
              <w:pStyle w:val="TableText"/>
              <w:ind w:left="80"/>
              <w:spacing w:before="142" w:line="220" w:lineRule="auto"/>
              <w:rPr>
                <w:sz w:val="16"/>
                <w:szCs w:val="16"/>
              </w:rPr>
            </w:pPr>
            <w:r>
              <w:rPr>
                <w:sz w:val="16"/>
                <w:szCs w:val="16"/>
                <w:spacing w:val="-1"/>
              </w:rPr>
              <w:t>研家卫生建融委</w:t>
            </w:r>
          </w:p>
        </w:tc>
        <w:tc>
          <w:tcPr>
            <w:tcW w:w="1638" w:type="dxa"/>
            <w:vAlign w:val="top"/>
          </w:tcPr>
          <w:p>
            <w:pPr>
              <w:pStyle w:val="TableText"/>
              <w:ind w:left="62"/>
              <w:spacing w:before="141" w:line="219" w:lineRule="auto"/>
              <w:rPr>
                <w:sz w:val="16"/>
                <w:szCs w:val="16"/>
              </w:rPr>
            </w:pPr>
            <w:r>
              <w:rPr>
                <w:sz w:val="16"/>
                <w:szCs w:val="16"/>
                <w:spacing w:val="1"/>
              </w:rPr>
              <w:t>医音广图市查</w:t>
            </w:r>
          </w:p>
        </w:tc>
        <w:tc>
          <w:tcPr>
            <w:tcW w:w="2377" w:type="dxa"/>
            <w:vAlign w:val="top"/>
          </w:tcPr>
          <w:p>
            <w:pPr>
              <w:pStyle w:val="TableText"/>
              <w:ind w:left="34"/>
              <w:spacing w:before="141" w:line="219" w:lineRule="auto"/>
              <w:rPr>
                <w:sz w:val="16"/>
                <w:szCs w:val="16"/>
              </w:rPr>
            </w:pPr>
            <w:r>
              <w:rPr>
                <w:sz w:val="16"/>
                <w:szCs w:val="16"/>
                <w:spacing w:val="2"/>
              </w:rPr>
              <w:t>省绿卫生健康都门</w:t>
            </w:r>
          </w:p>
        </w:tc>
        <w:tc>
          <w:tcPr>
            <w:tcW w:w="3701" w:type="dxa"/>
            <w:vAlign w:val="top"/>
          </w:tcPr>
          <w:p>
            <w:pPr>
              <w:pStyle w:val="TableText"/>
              <w:ind w:left="36"/>
              <w:spacing w:before="41" w:line="228" w:lineRule="exact"/>
              <w:rPr>
                <w:sz w:val="16"/>
                <w:szCs w:val="16"/>
              </w:rPr>
            </w:pPr>
            <w:r>
              <w:rPr>
                <w:sz w:val="16"/>
                <w:szCs w:val="16"/>
                <w:position w:val="5"/>
              </w:rPr>
              <w:t>1中华人民共和国广省法</w:t>
            </w:r>
          </w:p>
          <w:p>
            <w:pPr>
              <w:pStyle w:val="TableText"/>
              <w:ind w:left="36"/>
              <w:spacing w:line="183" w:lineRule="auto"/>
              <w:rPr>
                <w:sz w:val="16"/>
                <w:szCs w:val="16"/>
              </w:rPr>
            </w:pPr>
            <w:r>
              <w:rPr>
                <w:sz w:val="16"/>
                <w:szCs w:val="16"/>
                <w:spacing w:val="-2"/>
              </w:rPr>
              <w:t>医疗广告登握办法</w:t>
            </w:r>
          </w:p>
        </w:tc>
      </w:tr>
      <w:tr>
        <w:trPr>
          <w:trHeight w:val="1059" w:hRule="atLeast"/>
        </w:trPr>
        <w:tc>
          <w:tcPr>
            <w:tcW w:w="574" w:type="dxa"/>
            <w:vAlign w:val="top"/>
          </w:tcPr>
          <w:p>
            <w:pPr>
              <w:spacing w:line="438" w:lineRule="auto"/>
              <w:rPr>
                <w:rFonts w:ascii="Arial"/>
                <w:sz w:val="21"/>
              </w:rPr>
            </w:pPr>
            <w:r/>
          </w:p>
          <w:p>
            <w:pPr>
              <w:pStyle w:val="TableText"/>
              <w:ind w:left="194"/>
              <w:spacing w:before="52" w:line="184" w:lineRule="auto"/>
              <w:rPr>
                <w:sz w:val="16"/>
                <w:szCs w:val="16"/>
              </w:rPr>
            </w:pPr>
            <w:r>
              <w:rPr>
                <w:sz w:val="16"/>
                <w:szCs w:val="16"/>
                <w:spacing w:val="-2"/>
              </w:rPr>
              <w:t>41</w:t>
            </w:r>
          </w:p>
        </w:tc>
        <w:tc>
          <w:tcPr>
            <w:tcW w:w="1299" w:type="dxa"/>
            <w:vAlign w:val="top"/>
          </w:tcPr>
          <w:p>
            <w:pPr>
              <w:spacing w:line="398" w:lineRule="auto"/>
              <w:rPr>
                <w:rFonts w:ascii="Arial"/>
                <w:sz w:val="21"/>
              </w:rPr>
            </w:pPr>
            <w:r/>
          </w:p>
          <w:p>
            <w:pPr>
              <w:pStyle w:val="TableText"/>
              <w:ind w:left="400"/>
              <w:spacing w:before="52" w:line="219" w:lineRule="auto"/>
              <w:rPr>
                <w:sz w:val="16"/>
                <w:szCs w:val="16"/>
              </w:rPr>
            </w:pPr>
            <w:r>
              <w:rPr>
                <w:sz w:val="16"/>
                <w:szCs w:val="16"/>
                <w:spacing w:val="2"/>
              </w:rPr>
              <w:t>印急器</w:t>
            </w:r>
          </w:p>
        </w:tc>
        <w:tc>
          <w:tcPr>
            <w:tcW w:w="1638" w:type="dxa"/>
            <w:vAlign w:val="top"/>
          </w:tcPr>
          <w:p>
            <w:pPr>
              <w:spacing w:line="297" w:lineRule="auto"/>
              <w:rPr>
                <w:rFonts w:ascii="Arial"/>
                <w:sz w:val="21"/>
              </w:rPr>
            </w:pPr>
            <w:r/>
          </w:p>
          <w:p>
            <w:pPr>
              <w:pStyle w:val="TableText"/>
              <w:ind w:left="42" w:right="67" w:firstLine="50"/>
              <w:spacing w:before="52" w:line="237" w:lineRule="auto"/>
              <w:rPr>
                <w:sz w:val="16"/>
                <w:szCs w:val="16"/>
              </w:rPr>
            </w:pPr>
            <w:r>
              <w:rPr>
                <w:sz w:val="16"/>
                <w:szCs w:val="16"/>
                <w:spacing w:val="3"/>
              </w:rPr>
              <w:t>石渝天做气建设重日</w:t>
            </w:r>
            <w:r>
              <w:rPr>
                <w:sz w:val="16"/>
                <w:szCs w:val="16"/>
              </w:rPr>
              <w:t xml:space="preserve"> </w:t>
            </w:r>
            <w:r>
              <w:rPr>
                <w:sz w:val="16"/>
                <w:szCs w:val="16"/>
                <w:spacing w:val="1"/>
              </w:rPr>
              <w:t>收全说施议计前煮</w:t>
            </w:r>
          </w:p>
        </w:tc>
        <w:tc>
          <w:tcPr>
            <w:tcW w:w="2377" w:type="dxa"/>
            <w:vAlign w:val="top"/>
          </w:tcPr>
          <w:p>
            <w:pPr>
              <w:spacing w:line="318" w:lineRule="auto"/>
              <w:rPr>
                <w:rFonts w:ascii="Arial"/>
                <w:sz w:val="21"/>
              </w:rPr>
            </w:pPr>
            <w:r/>
          </w:p>
          <w:p>
            <w:pPr>
              <w:pStyle w:val="TableText"/>
              <w:ind w:left="34"/>
              <w:spacing w:before="52" w:line="225" w:lineRule="auto"/>
              <w:rPr>
                <w:sz w:val="16"/>
                <w:szCs w:val="16"/>
              </w:rPr>
            </w:pPr>
            <w:r>
              <w:rPr>
                <w:sz w:val="16"/>
                <w:szCs w:val="16"/>
                <w:spacing w:val="-5"/>
              </w:rPr>
              <w:t>座荣昌，省民，设区的布级，县观</w:t>
            </w:r>
            <w:r>
              <w:rPr>
                <w:sz w:val="16"/>
                <w:szCs w:val="16"/>
                <w:spacing w:val="6"/>
              </w:rPr>
              <w:t xml:space="preserve"> </w:t>
            </w:r>
            <w:r>
              <w:rPr>
                <w:sz w:val="16"/>
                <w:szCs w:val="16"/>
                <w:spacing w:val="2"/>
              </w:rPr>
              <w:t>应要管理部门</w:t>
            </w:r>
          </w:p>
        </w:tc>
        <w:tc>
          <w:tcPr>
            <w:tcW w:w="3701" w:type="dxa"/>
            <w:vAlign w:val="top"/>
          </w:tcPr>
          <w:p>
            <w:pPr>
              <w:pStyle w:val="TableText"/>
              <w:ind w:left="36"/>
              <w:spacing w:before="42" w:line="219" w:lineRule="auto"/>
              <w:rPr>
                <w:sz w:val="16"/>
                <w:szCs w:val="16"/>
              </w:rPr>
            </w:pPr>
            <w:r>
              <w:rPr>
                <w:sz w:val="16"/>
                <w:szCs w:val="16"/>
                <w:spacing w:val="1"/>
              </w:rPr>
              <w:t>1中华入民共和国安金生产基1</w:t>
            </w:r>
          </w:p>
          <w:p>
            <w:pPr>
              <w:pStyle w:val="TableText"/>
              <w:ind w:left="36"/>
              <w:spacing w:before="30" w:line="219" w:lineRule="auto"/>
              <w:rPr>
                <w:sz w:val="16"/>
                <w:szCs w:val="16"/>
              </w:rPr>
            </w:pPr>
            <w:r>
              <w:rPr>
                <w:sz w:val="16"/>
                <w:szCs w:val="16"/>
              </w:rPr>
              <w:t>1动设示自安全设意“之同时”盖督偿理办法?</w:t>
            </w:r>
          </w:p>
          <w:p>
            <w:pPr>
              <w:pStyle w:val="TableText"/>
              <w:ind w:left="36" w:right="206"/>
              <w:spacing w:before="19" w:line="222" w:lineRule="auto"/>
              <w:rPr>
                <w:sz w:val="16"/>
                <w:szCs w:val="16"/>
              </w:rPr>
            </w:pPr>
            <w:r>
              <w:rPr>
                <w:sz w:val="16"/>
                <w:szCs w:val="16"/>
              </w:rPr>
              <w:t>1国家安全面营总局办必方关于明确参解矿山建设</w:t>
            </w:r>
            <w:r>
              <w:rPr>
                <w:sz w:val="16"/>
                <w:szCs w:val="16"/>
                <w:spacing w:val="6"/>
              </w:rPr>
              <w:t xml:space="preserve"> </w:t>
            </w:r>
            <w:r>
              <w:rPr>
                <w:sz w:val="16"/>
                <w:szCs w:val="16"/>
                <w:spacing w:val="-1"/>
              </w:rPr>
              <w:t>项后安全流管职查特非项的盖知《安监总厅管一</w:t>
            </w:r>
            <w:r>
              <w:rPr>
                <w:sz w:val="16"/>
                <w:szCs w:val="16"/>
                <w:spacing w:val="5"/>
              </w:rPr>
              <w:t xml:space="preserve">  </w:t>
            </w:r>
            <w:r>
              <w:rPr>
                <w:sz w:val="16"/>
                <w:szCs w:val="16"/>
                <w:spacing w:val="3"/>
              </w:rPr>
              <w:t>(2013243考)</w:t>
            </w:r>
          </w:p>
        </w:tc>
      </w:tr>
      <w:tr>
        <w:trPr>
          <w:trHeight w:val="439" w:hRule="atLeast"/>
        </w:trPr>
        <w:tc>
          <w:tcPr>
            <w:tcW w:w="574" w:type="dxa"/>
            <w:vAlign w:val="top"/>
          </w:tcPr>
          <w:p>
            <w:pPr>
              <w:pStyle w:val="TableText"/>
              <w:ind w:left="154"/>
              <w:spacing w:before="184" w:line="184" w:lineRule="auto"/>
              <w:rPr>
                <w:sz w:val="16"/>
                <w:szCs w:val="16"/>
              </w:rPr>
            </w:pPr>
            <w:r>
              <w:rPr>
                <w:sz w:val="16"/>
                <w:szCs w:val="16"/>
                <w:spacing w:val="-5"/>
              </w:rPr>
              <w:t>162</w:t>
            </w:r>
          </w:p>
        </w:tc>
        <w:tc>
          <w:tcPr>
            <w:tcW w:w="1299" w:type="dxa"/>
            <w:vAlign w:val="top"/>
          </w:tcPr>
          <w:p>
            <w:pPr>
              <w:pStyle w:val="TableText"/>
              <w:ind w:left="400"/>
              <w:spacing w:before="142" w:line="219" w:lineRule="auto"/>
              <w:rPr>
                <w:sz w:val="16"/>
                <w:szCs w:val="16"/>
              </w:rPr>
            </w:pPr>
            <w:r>
              <w:rPr>
                <w:sz w:val="16"/>
                <w:szCs w:val="16"/>
                <w:spacing w:val="-2"/>
              </w:rPr>
              <w:t>府急部</w:t>
            </w:r>
          </w:p>
        </w:tc>
        <w:tc>
          <w:tcPr>
            <w:tcW w:w="1638" w:type="dxa"/>
            <w:vAlign w:val="top"/>
          </w:tcPr>
          <w:p>
            <w:pPr>
              <w:pStyle w:val="TableText"/>
              <w:ind w:left="11" w:right="102" w:firstLine="80"/>
              <w:spacing w:before="64" w:line="207" w:lineRule="auto"/>
              <w:rPr>
                <w:sz w:val="16"/>
                <w:szCs w:val="16"/>
              </w:rPr>
            </w:pPr>
            <w:r>
              <w:rPr>
                <w:sz w:val="16"/>
                <w:szCs w:val="16"/>
                <w:spacing w:val="-1"/>
              </w:rPr>
              <w:t>石南去世气企业安全</w:t>
            </w:r>
            <w:r>
              <w:rPr>
                <w:sz w:val="16"/>
                <w:szCs w:val="16"/>
                <w:spacing w:val="1"/>
              </w:rPr>
              <w:t xml:space="preserve"> </w:t>
            </w:r>
            <w:r>
              <w:rPr>
                <w:sz w:val="16"/>
                <w:szCs w:val="16"/>
                <w:spacing w:val="-2"/>
              </w:rPr>
              <w:t>生产许可</w:t>
            </w:r>
          </w:p>
        </w:tc>
        <w:tc>
          <w:tcPr>
            <w:tcW w:w="2377" w:type="dxa"/>
            <w:vAlign w:val="top"/>
          </w:tcPr>
          <w:p>
            <w:pPr>
              <w:pStyle w:val="TableText"/>
              <w:ind w:left="34"/>
              <w:spacing w:before="143" w:line="219" w:lineRule="auto"/>
              <w:rPr>
                <w:sz w:val="16"/>
                <w:szCs w:val="16"/>
              </w:rPr>
            </w:pPr>
            <w:r>
              <w:rPr>
                <w:sz w:val="16"/>
                <w:szCs w:val="16"/>
                <w:spacing w:val="1"/>
              </w:rPr>
              <w:t>使地层，著级或数置群部门</w:t>
            </w:r>
          </w:p>
        </w:tc>
        <w:tc>
          <w:tcPr>
            <w:tcW w:w="3701" w:type="dxa"/>
            <w:vAlign w:val="top"/>
          </w:tcPr>
          <w:p>
            <w:pPr>
              <w:pStyle w:val="TableText"/>
              <w:ind w:left="36"/>
              <w:spacing w:before="43" w:line="219" w:lineRule="auto"/>
              <w:rPr>
                <w:sz w:val="16"/>
                <w:szCs w:val="16"/>
              </w:rPr>
            </w:pPr>
            <w:r>
              <w:rPr>
                <w:sz w:val="16"/>
                <w:szCs w:val="16"/>
              </w:rPr>
              <w:t>1安全生产许可证条间》</w:t>
            </w:r>
          </w:p>
          <w:p>
            <w:pPr>
              <w:pStyle w:val="TableText"/>
              <w:ind w:left="36"/>
              <w:spacing w:before="19" w:line="203" w:lineRule="auto"/>
              <w:rPr>
                <w:sz w:val="16"/>
                <w:szCs w:val="16"/>
              </w:rPr>
            </w:pPr>
            <w:r>
              <w:rPr>
                <w:sz w:val="16"/>
                <w:szCs w:val="16"/>
                <w:spacing w:val="-1"/>
              </w:rPr>
              <w:t>非举矿石山业业安全生产计可证实能办法》</w:t>
            </w:r>
          </w:p>
        </w:tc>
      </w:tr>
      <w:tr>
        <w:trPr>
          <w:trHeight w:val="649" w:hRule="atLeast"/>
        </w:trPr>
        <w:tc>
          <w:tcPr>
            <w:tcW w:w="574" w:type="dxa"/>
            <w:vAlign w:val="top"/>
          </w:tcPr>
          <w:p>
            <w:pPr>
              <w:rPr>
                <w:rFonts w:ascii="Arial"/>
                <w:sz w:val="21"/>
              </w:rPr>
            </w:pPr>
            <w:r/>
          </w:p>
          <w:p>
            <w:pPr>
              <w:pStyle w:val="TableText"/>
              <w:ind w:left="154"/>
              <w:spacing w:before="52" w:line="185" w:lineRule="auto"/>
              <w:rPr>
                <w:sz w:val="16"/>
                <w:szCs w:val="16"/>
              </w:rPr>
            </w:pPr>
            <w:r>
              <w:rPr>
                <w:sz w:val="16"/>
                <w:szCs w:val="16"/>
                <w:spacing w:val="-1"/>
              </w:rPr>
              <w:t>A71</w:t>
            </w:r>
          </w:p>
        </w:tc>
        <w:tc>
          <w:tcPr>
            <w:tcW w:w="1299" w:type="dxa"/>
            <w:vAlign w:val="top"/>
          </w:tcPr>
          <w:p>
            <w:pPr>
              <w:pStyle w:val="TableText"/>
              <w:ind w:left="400"/>
              <w:spacing w:before="254" w:line="219" w:lineRule="auto"/>
              <w:rPr>
                <w:sz w:val="16"/>
                <w:szCs w:val="16"/>
              </w:rPr>
            </w:pPr>
            <w:r>
              <w:rPr>
                <w:sz w:val="16"/>
                <w:szCs w:val="16"/>
                <w:spacing w:val="2"/>
              </w:rPr>
              <w:t>四急部</w:t>
            </w:r>
          </w:p>
        </w:tc>
        <w:tc>
          <w:tcPr>
            <w:tcW w:w="1638" w:type="dxa"/>
            <w:vAlign w:val="top"/>
          </w:tcPr>
          <w:p>
            <w:pPr>
              <w:pStyle w:val="TableText"/>
              <w:ind w:left="52" w:right="103" w:firstLine="40"/>
              <w:spacing w:before="143" w:line="238" w:lineRule="auto"/>
              <w:rPr>
                <w:sz w:val="16"/>
                <w:szCs w:val="16"/>
              </w:rPr>
            </w:pPr>
            <w:r>
              <w:rPr>
                <w:sz w:val="16"/>
                <w:szCs w:val="16"/>
                <w:spacing w:val="-1"/>
              </w:rPr>
              <w:t>金属伯练建设现自安</w:t>
            </w:r>
            <w:r>
              <w:rPr>
                <w:sz w:val="16"/>
                <w:szCs w:val="16"/>
              </w:rPr>
              <w:t xml:space="preserve"> </w:t>
            </w:r>
            <w:r>
              <w:rPr>
                <w:sz w:val="16"/>
                <w:szCs w:val="16"/>
                <w:spacing w:val="-1"/>
              </w:rPr>
              <w:t>全设益设计审查</w:t>
            </w:r>
          </w:p>
        </w:tc>
        <w:tc>
          <w:tcPr>
            <w:tcW w:w="2377" w:type="dxa"/>
            <w:vAlign w:val="top"/>
          </w:tcPr>
          <w:p>
            <w:pPr>
              <w:pStyle w:val="TableText"/>
              <w:ind w:left="34" w:firstLine="9"/>
              <w:spacing w:before="164" w:line="219" w:lineRule="auto"/>
              <w:rPr>
                <w:sz w:val="16"/>
                <w:szCs w:val="16"/>
              </w:rPr>
            </w:pPr>
            <w:r>
              <w:rPr>
                <w:sz w:val="16"/>
                <w:szCs w:val="16"/>
                <w:spacing w:val="-6"/>
              </w:rPr>
              <w:t>应急尾；省级，设区德市理，县眠</w:t>
            </w:r>
            <w:r>
              <w:rPr>
                <w:sz w:val="16"/>
                <w:szCs w:val="16"/>
                <w:spacing w:val="11"/>
              </w:rPr>
              <w:t xml:space="preserve"> </w:t>
            </w:r>
            <w:r>
              <w:rPr>
                <w:sz w:val="16"/>
                <w:szCs w:val="16"/>
                <w:spacing w:val="2"/>
              </w:rPr>
              <w:t>流急管理部门</w:t>
            </w:r>
          </w:p>
        </w:tc>
        <w:tc>
          <w:tcPr>
            <w:tcW w:w="3701" w:type="dxa"/>
            <w:vAlign w:val="top"/>
          </w:tcPr>
          <w:p>
            <w:pPr>
              <w:pStyle w:val="TableText"/>
              <w:ind w:left="36"/>
              <w:spacing w:before="64" w:line="219" w:lineRule="auto"/>
              <w:rPr>
                <w:sz w:val="16"/>
                <w:szCs w:val="16"/>
              </w:rPr>
            </w:pPr>
            <w:r>
              <w:rPr>
                <w:sz w:val="16"/>
                <w:szCs w:val="16"/>
                <w:spacing w:val="2"/>
              </w:rPr>
              <w:t>1中华人民共和国实全生产法)</w:t>
            </w:r>
          </w:p>
          <w:p>
            <w:pPr>
              <w:pStyle w:val="TableText"/>
              <w:ind w:right="373" w:firstLine="78"/>
              <w:spacing w:before="1" w:line="221" w:lineRule="auto"/>
              <w:rPr>
                <w:sz w:val="16"/>
                <w:szCs w:val="16"/>
              </w:rPr>
            </w:pPr>
            <w:r>
              <w:rPr>
                <w:sz w:val="16"/>
                <w:szCs w:val="16"/>
                <w:spacing w:val="-2"/>
              </w:rPr>
              <w:t>1建设喷目要色说施“己同时”登育管国办岳》</w:t>
            </w:r>
            <w:r>
              <w:rPr>
                <w:sz w:val="16"/>
                <w:szCs w:val="16"/>
              </w:rPr>
              <w:t xml:space="preserve"> </w:t>
            </w:r>
            <w:r>
              <w:rPr>
                <w:sz w:val="16"/>
                <w:szCs w:val="16"/>
                <w:spacing w:val="2"/>
              </w:rPr>
              <w:t>【治金击业和有包金偶企应安企生严规定》</w:t>
            </w:r>
          </w:p>
        </w:tc>
      </w:tr>
      <w:tr>
        <w:trPr>
          <w:trHeight w:val="649" w:hRule="atLeast"/>
        </w:trPr>
        <w:tc>
          <w:tcPr>
            <w:tcW w:w="574" w:type="dxa"/>
            <w:vAlign w:val="top"/>
          </w:tcPr>
          <w:p>
            <w:pPr>
              <w:spacing w:line="242" w:lineRule="auto"/>
              <w:rPr>
                <w:rFonts w:ascii="Arial"/>
                <w:sz w:val="21"/>
              </w:rPr>
            </w:pPr>
            <w:r/>
          </w:p>
          <w:p>
            <w:pPr>
              <w:pStyle w:val="TableText"/>
              <w:ind w:left="154"/>
              <w:spacing w:before="52" w:line="184" w:lineRule="auto"/>
              <w:rPr>
                <w:sz w:val="16"/>
                <w:szCs w:val="16"/>
              </w:rPr>
            </w:pPr>
            <w:r>
              <w:rPr>
                <w:sz w:val="16"/>
                <w:szCs w:val="16"/>
                <w:spacing w:val="-2"/>
              </w:rPr>
              <w:t>491</w:t>
            </w:r>
          </w:p>
        </w:tc>
        <w:tc>
          <w:tcPr>
            <w:tcW w:w="1299" w:type="dxa"/>
            <w:vAlign w:val="top"/>
          </w:tcPr>
          <w:p>
            <w:pPr>
              <w:pStyle w:val="TableText"/>
              <w:ind w:left="400"/>
              <w:spacing w:before="255" w:line="219" w:lineRule="auto"/>
              <w:rPr>
                <w:sz w:val="16"/>
                <w:szCs w:val="16"/>
              </w:rPr>
            </w:pPr>
            <w:r>
              <w:rPr>
                <w:sz w:val="16"/>
                <w:szCs w:val="16"/>
                <w:spacing w:val="-2"/>
              </w:rPr>
              <w:t>况意数</w:t>
            </w:r>
          </w:p>
        </w:tc>
        <w:tc>
          <w:tcPr>
            <w:tcW w:w="1638" w:type="dxa"/>
            <w:vAlign w:val="top"/>
          </w:tcPr>
          <w:p>
            <w:pPr>
              <w:pStyle w:val="TableText"/>
              <w:ind w:left="92"/>
              <w:spacing w:before="65" w:line="219" w:lineRule="auto"/>
              <w:rPr>
                <w:sz w:val="16"/>
                <w:szCs w:val="16"/>
              </w:rPr>
            </w:pPr>
            <w:r>
              <w:rPr>
                <w:sz w:val="16"/>
                <w:szCs w:val="16"/>
                <w:spacing w:val="-1"/>
              </w:rPr>
              <w:t>生产，础有能险化苹</w:t>
            </w:r>
          </w:p>
          <w:p>
            <w:pPr>
              <w:pStyle w:val="TableText"/>
              <w:ind w:left="11" w:right="85" w:firstLine="80"/>
              <w:spacing w:line="221" w:lineRule="auto"/>
              <w:rPr>
                <w:sz w:val="16"/>
                <w:szCs w:val="16"/>
              </w:rPr>
            </w:pPr>
            <w:r>
              <w:rPr>
                <w:sz w:val="16"/>
                <w:szCs w:val="16"/>
                <w:spacing w:val="1"/>
              </w:rPr>
              <w:t>晶建说增日表金出作</w:t>
            </w:r>
            <w:r>
              <w:rPr>
                <w:sz w:val="16"/>
                <w:szCs w:val="16"/>
              </w:rPr>
              <w:t xml:space="preserve"> </w:t>
            </w:r>
            <w:r>
              <w:rPr>
                <w:sz w:val="16"/>
                <w:szCs w:val="16"/>
                <w:spacing w:val="4"/>
              </w:rPr>
              <w:t>审查</w:t>
            </w:r>
          </w:p>
        </w:tc>
        <w:tc>
          <w:tcPr>
            <w:tcW w:w="2377" w:type="dxa"/>
            <w:vAlign w:val="top"/>
          </w:tcPr>
          <w:p>
            <w:pPr>
              <w:pStyle w:val="TableText"/>
              <w:ind w:left="34" w:right="89" w:firstLine="10"/>
              <w:spacing w:before="174" w:line="219" w:lineRule="auto"/>
              <w:rPr>
                <w:sz w:val="16"/>
                <w:szCs w:val="16"/>
              </w:rPr>
            </w:pPr>
            <w:r>
              <w:rPr>
                <w:sz w:val="16"/>
                <w:szCs w:val="16"/>
                <w:spacing w:val="-1"/>
              </w:rPr>
              <w:t>应幕部；青现，设区的市缴应志</w:t>
            </w:r>
            <w:r>
              <w:rPr>
                <w:sz w:val="16"/>
                <w:szCs w:val="16"/>
                <w:spacing w:val="6"/>
              </w:rPr>
              <w:t xml:space="preserve"> </w:t>
            </w:r>
            <w:r>
              <w:rPr>
                <w:sz w:val="16"/>
                <w:szCs w:val="16"/>
                <w:spacing w:val="6"/>
              </w:rPr>
              <w:t>包章门</w:t>
            </w:r>
          </w:p>
        </w:tc>
        <w:tc>
          <w:tcPr>
            <w:tcW w:w="3701" w:type="dxa"/>
            <w:vAlign w:val="top"/>
          </w:tcPr>
          <w:p>
            <w:pPr>
              <w:pStyle w:val="TableText"/>
              <w:ind w:left="36"/>
              <w:spacing w:before="155" w:line="219" w:lineRule="auto"/>
              <w:rPr>
                <w:sz w:val="16"/>
                <w:szCs w:val="16"/>
              </w:rPr>
            </w:pPr>
            <w:r>
              <w:rPr>
                <w:sz w:val="16"/>
                <w:szCs w:val="16"/>
                <w:spacing w:val="1"/>
              </w:rPr>
              <w:t>1龙同化学品发全管程茶例</w:t>
            </w:r>
          </w:p>
          <w:p>
            <w:pPr>
              <w:pStyle w:val="TableText"/>
              <w:ind w:left="36"/>
              <w:spacing w:before="10" w:line="219" w:lineRule="auto"/>
              <w:rPr>
                <w:sz w:val="16"/>
                <w:szCs w:val="16"/>
              </w:rPr>
            </w:pPr>
            <w:r>
              <w:rPr>
                <w:sz w:val="16"/>
                <w:szCs w:val="16"/>
                <w:spacing w:val="-1"/>
              </w:rPr>
              <w:t>危的化学品建设项目安全置售资理办法</w:t>
            </w:r>
          </w:p>
        </w:tc>
      </w:tr>
      <w:tr>
        <w:trPr>
          <w:trHeight w:val="734" w:hRule="atLeast"/>
        </w:trPr>
        <w:tc>
          <w:tcPr>
            <w:tcW w:w="574" w:type="dxa"/>
            <w:vAlign w:val="top"/>
          </w:tcPr>
          <w:p>
            <w:pPr>
              <w:spacing w:line="282" w:lineRule="auto"/>
              <w:rPr>
                <w:rFonts w:ascii="Arial"/>
                <w:sz w:val="21"/>
              </w:rPr>
            </w:pPr>
            <w:r/>
          </w:p>
          <w:p>
            <w:pPr>
              <w:pStyle w:val="TableText"/>
              <w:ind w:left="194"/>
              <w:spacing w:before="52" w:line="185" w:lineRule="auto"/>
              <w:rPr>
                <w:sz w:val="16"/>
                <w:szCs w:val="16"/>
              </w:rPr>
            </w:pPr>
            <w:r>
              <w:rPr>
                <w:sz w:val="16"/>
                <w:szCs w:val="16"/>
                <w:spacing w:val="-1"/>
              </w:rPr>
              <w:t>A9</w:t>
            </w:r>
          </w:p>
        </w:tc>
        <w:tc>
          <w:tcPr>
            <w:tcW w:w="1299" w:type="dxa"/>
            <w:vAlign w:val="top"/>
          </w:tcPr>
          <w:p>
            <w:pPr>
              <w:spacing w:line="243" w:lineRule="auto"/>
              <w:rPr>
                <w:rFonts w:ascii="Arial"/>
                <w:sz w:val="21"/>
              </w:rPr>
            </w:pPr>
            <w:r/>
          </w:p>
          <w:p>
            <w:pPr>
              <w:pStyle w:val="TableText"/>
              <w:ind w:left="400"/>
              <w:spacing w:before="52" w:line="219" w:lineRule="auto"/>
              <w:rPr>
                <w:sz w:val="16"/>
                <w:szCs w:val="16"/>
              </w:rPr>
            </w:pPr>
            <w:r>
              <w:rPr>
                <w:sz w:val="16"/>
                <w:szCs w:val="16"/>
                <w:spacing w:val="-2"/>
              </w:rPr>
              <w:t>魔急部</w:t>
            </w:r>
          </w:p>
        </w:tc>
        <w:tc>
          <w:tcPr>
            <w:tcW w:w="1638" w:type="dxa"/>
            <w:vAlign w:val="top"/>
          </w:tcPr>
          <w:p>
            <w:pPr>
              <w:pStyle w:val="TableText"/>
              <w:ind w:left="52" w:right="88" w:firstLine="40"/>
              <w:spacing w:before="105" w:line="224" w:lineRule="auto"/>
              <w:jc w:val="both"/>
              <w:rPr>
                <w:sz w:val="16"/>
                <w:szCs w:val="16"/>
              </w:rPr>
            </w:pPr>
            <w:r>
              <w:rPr>
                <w:sz w:val="16"/>
                <w:szCs w:val="16"/>
                <w:spacing w:val="-1"/>
              </w:rPr>
              <w:t>生产，动行危险化学</w:t>
            </w:r>
            <w:r>
              <w:rPr>
                <w:sz w:val="16"/>
                <w:szCs w:val="16"/>
              </w:rPr>
              <w:t xml:space="preserve"> </w:t>
            </w:r>
            <w:r>
              <w:rPr>
                <w:sz w:val="16"/>
                <w:szCs w:val="16"/>
                <w:spacing w:val="5"/>
              </w:rPr>
              <w:t>晶位设项目安全设益</w:t>
            </w:r>
            <w:r>
              <w:rPr>
                <w:sz w:val="16"/>
                <w:szCs w:val="16"/>
                <w:spacing w:val="1"/>
              </w:rPr>
              <w:t xml:space="preserve"> </w:t>
            </w:r>
            <w:r>
              <w:rPr>
                <w:sz w:val="16"/>
                <w:szCs w:val="16"/>
                <w:spacing w:val="-2"/>
              </w:rPr>
              <w:t>视计家在</w:t>
            </w:r>
          </w:p>
        </w:tc>
        <w:tc>
          <w:tcPr>
            <w:tcW w:w="2377" w:type="dxa"/>
            <w:vAlign w:val="top"/>
          </w:tcPr>
          <w:p>
            <w:pPr>
              <w:pStyle w:val="TableText"/>
              <w:ind w:left="34" w:right="89" w:firstLine="10"/>
              <w:spacing w:before="196" w:line="225" w:lineRule="auto"/>
              <w:rPr>
                <w:sz w:val="16"/>
                <w:szCs w:val="16"/>
              </w:rPr>
            </w:pPr>
            <w:r>
              <w:rPr>
                <w:sz w:val="16"/>
                <w:szCs w:val="16"/>
                <w:spacing w:val="-1"/>
              </w:rPr>
              <w:t>应点部：古复，设源的市短庄也</w:t>
            </w:r>
            <w:r>
              <w:rPr>
                <w:sz w:val="16"/>
                <w:szCs w:val="16"/>
                <w:spacing w:val="6"/>
              </w:rPr>
              <w:t xml:space="preserve"> </w:t>
            </w:r>
            <w:r>
              <w:rPr>
                <w:sz w:val="16"/>
                <w:szCs w:val="16"/>
                <w:spacing w:val="3"/>
              </w:rPr>
              <w:t>管星部/1</w:t>
            </w:r>
          </w:p>
        </w:tc>
        <w:tc>
          <w:tcPr>
            <w:tcW w:w="3701" w:type="dxa"/>
            <w:vAlign w:val="top"/>
          </w:tcPr>
          <w:p>
            <w:pPr>
              <w:pStyle w:val="TableText"/>
              <w:spacing w:before="196" w:line="219" w:lineRule="auto"/>
              <w:rPr>
                <w:sz w:val="16"/>
                <w:szCs w:val="16"/>
              </w:rPr>
            </w:pPr>
            <w:r>
              <w:rPr>
                <w:sz w:val="16"/>
                <w:szCs w:val="16"/>
                <w:spacing w:val="-4"/>
              </w:rPr>
              <w:t>《中华人民共和偏实全生产法》</w:t>
            </w:r>
          </w:p>
          <w:p>
            <w:pPr>
              <w:pStyle w:val="TableText"/>
              <w:ind w:left="36"/>
              <w:spacing w:before="20" w:line="219" w:lineRule="auto"/>
              <w:rPr>
                <w:sz w:val="16"/>
                <w:szCs w:val="16"/>
              </w:rPr>
            </w:pPr>
            <w:r>
              <w:rPr>
                <w:sz w:val="16"/>
                <w:szCs w:val="16"/>
              </w:rPr>
              <w:t>t危险化学局建设项目安全监替管理办法1</w:t>
            </w:r>
          </w:p>
        </w:tc>
      </w:tr>
    </w:tbl>
    <w:p>
      <w:pPr>
        <w:pStyle w:val="BodyText"/>
        <w:rPr/>
      </w:pPr>
      <w:r/>
    </w:p>
    <w:p>
      <w:pPr>
        <w:sectPr>
          <w:pgSz w:w="11910" w:h="8220"/>
          <w:pgMar w:top="400" w:right="1175" w:bottom="400" w:left="812" w:header="0" w:footer="0" w:gutter="0"/>
        </w:sectPr>
        <w:rPr/>
      </w:pPr>
    </w:p>
    <w:p>
      <w:pPr>
        <w:spacing w:before="103"/>
        <w:rPr/>
      </w:pPr>
      <w:r>
        <mc:AlternateContent xmlns:mc="http://schemas.openxmlformats.org/markup-compatibility/2006">
          <mc:Choice Requires="wps">
            <w:drawing>
              <wp:anchor distT="0" distB="0" distL="0" distR="0" simplePos="0" relativeHeight="251875328"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268" name="TextBox 268"/>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0" style="position:absolute;margin-left:37.0562pt;margin-top:345.119pt;mso-position-vertical-relative:page;mso-position-horizontal-relative:page;width:13.6pt;height:12.4pt;z-index:25187532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215</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67"/>
        <w:gridCol w:w="3711"/>
      </w:tblGrid>
      <w:tr>
        <w:trPr>
          <w:trHeight w:val="415" w:hRule="atLeast"/>
        </w:trPr>
        <w:tc>
          <w:tcPr>
            <w:tcW w:w="574" w:type="dxa"/>
            <w:vAlign w:val="top"/>
          </w:tcPr>
          <w:p>
            <w:pPr>
              <w:pStyle w:val="TableText"/>
              <w:ind w:left="104"/>
              <w:spacing w:before="122" w:line="219" w:lineRule="auto"/>
              <w:rPr>
                <w:sz w:val="17"/>
                <w:szCs w:val="17"/>
              </w:rPr>
            </w:pPr>
            <w:r>
              <w:rPr>
                <w:sz w:val="17"/>
                <w:szCs w:val="17"/>
                <w:spacing w:val="-2"/>
              </w:rPr>
              <w:t>牌号</w:t>
            </w:r>
          </w:p>
        </w:tc>
        <w:tc>
          <w:tcPr>
            <w:tcW w:w="1299" w:type="dxa"/>
            <w:vAlign w:val="top"/>
          </w:tcPr>
          <w:p>
            <w:pPr>
              <w:pStyle w:val="TableText"/>
              <w:ind w:left="130"/>
              <w:spacing w:before="122" w:line="219" w:lineRule="auto"/>
              <w:rPr>
                <w:sz w:val="17"/>
                <w:szCs w:val="17"/>
              </w:rPr>
            </w:pPr>
            <w:r>
              <w:rPr>
                <w:sz w:val="17"/>
                <w:szCs w:val="17"/>
                <w:spacing w:val="3"/>
              </w:rPr>
              <w:t>中央主登部门</w:t>
            </w:r>
          </w:p>
        </w:tc>
        <w:tc>
          <w:tcPr>
            <w:tcW w:w="1638" w:type="dxa"/>
            <w:vAlign w:val="top"/>
          </w:tcPr>
          <w:p>
            <w:pPr>
              <w:pStyle w:val="TableText"/>
              <w:ind w:left="461"/>
              <w:spacing w:before="122" w:line="220" w:lineRule="auto"/>
              <w:rPr>
                <w:sz w:val="17"/>
                <w:szCs w:val="17"/>
              </w:rPr>
            </w:pPr>
            <w:r>
              <w:rPr>
                <w:sz w:val="17"/>
                <w:szCs w:val="17"/>
                <w:spacing w:val="-2"/>
              </w:rPr>
              <w:t>事填者称</w:t>
            </w:r>
          </w:p>
        </w:tc>
        <w:tc>
          <w:tcPr>
            <w:tcW w:w="2367" w:type="dxa"/>
            <w:vAlign w:val="top"/>
          </w:tcPr>
          <w:p>
            <w:pPr>
              <w:pStyle w:val="TableText"/>
              <w:ind w:left="824"/>
              <w:spacing w:before="120" w:line="219" w:lineRule="auto"/>
              <w:rPr>
                <w:sz w:val="17"/>
                <w:szCs w:val="17"/>
              </w:rPr>
            </w:pPr>
            <w:r>
              <w:rPr>
                <w:sz w:val="17"/>
                <w:szCs w:val="17"/>
                <w:spacing w:val="-2"/>
              </w:rPr>
              <w:t>其雄机关</w:t>
            </w:r>
          </w:p>
        </w:tc>
        <w:tc>
          <w:tcPr>
            <w:tcW w:w="3711" w:type="dxa"/>
            <w:vAlign w:val="top"/>
          </w:tcPr>
          <w:p>
            <w:pPr>
              <w:pStyle w:val="TableText"/>
              <w:ind w:left="1269"/>
              <w:spacing w:before="118" w:line="219" w:lineRule="auto"/>
              <w:rPr>
                <w:sz w:val="17"/>
                <w:szCs w:val="17"/>
              </w:rPr>
            </w:pPr>
            <w:r>
              <w:rPr>
                <w:sz w:val="17"/>
                <w:szCs w:val="17"/>
                <w:b/>
                <w:bCs/>
                <w:spacing w:val="-3"/>
              </w:rPr>
              <w:t>设定和实施依能</w:t>
            </w:r>
          </w:p>
        </w:tc>
      </w:tr>
      <w:tr>
        <w:trPr>
          <w:trHeight w:val="439" w:hRule="atLeast"/>
        </w:trPr>
        <w:tc>
          <w:tcPr>
            <w:tcW w:w="574" w:type="dxa"/>
            <w:vAlign w:val="top"/>
          </w:tcPr>
          <w:p>
            <w:pPr>
              <w:pStyle w:val="TableText"/>
              <w:ind w:left="104"/>
              <w:spacing w:before="180" w:line="183" w:lineRule="auto"/>
              <w:rPr>
                <w:sz w:val="17"/>
                <w:szCs w:val="17"/>
              </w:rPr>
            </w:pPr>
            <w:r>
              <w:rPr>
                <w:sz w:val="17"/>
                <w:szCs w:val="17"/>
                <w:spacing w:val="-1"/>
              </w:rPr>
              <w:t>49π</w:t>
            </w:r>
          </w:p>
        </w:tc>
        <w:tc>
          <w:tcPr>
            <w:tcW w:w="1299" w:type="dxa"/>
            <w:vAlign w:val="top"/>
          </w:tcPr>
          <w:p>
            <w:pPr>
              <w:pStyle w:val="TableText"/>
              <w:ind w:left="380"/>
              <w:spacing w:before="137" w:line="219" w:lineRule="auto"/>
              <w:rPr>
                <w:sz w:val="17"/>
                <w:szCs w:val="17"/>
              </w:rPr>
            </w:pPr>
            <w:r>
              <w:rPr>
                <w:sz w:val="17"/>
                <w:szCs w:val="17"/>
                <w:spacing w:val="-2"/>
              </w:rPr>
              <w:t>草急部</w:t>
            </w:r>
          </w:p>
        </w:tc>
        <w:tc>
          <w:tcPr>
            <w:tcW w:w="1638" w:type="dxa"/>
            <w:vAlign w:val="top"/>
          </w:tcPr>
          <w:p>
            <w:pPr>
              <w:pStyle w:val="TableText"/>
              <w:ind w:left="42" w:right="42" w:firstLine="20"/>
              <w:spacing w:before="27" w:line="218" w:lineRule="auto"/>
              <w:rPr>
                <w:sz w:val="17"/>
                <w:szCs w:val="17"/>
              </w:rPr>
            </w:pPr>
            <w:r>
              <w:rPr>
                <w:sz w:val="17"/>
                <w:szCs w:val="17"/>
                <w:spacing w:val="-1"/>
              </w:rPr>
              <w:t>他理化字品生产走业</w:t>
            </w:r>
            <w:r>
              <w:rPr>
                <w:sz w:val="17"/>
                <w:szCs w:val="17"/>
                <w:spacing w:val="1"/>
              </w:rPr>
              <w:t xml:space="preserve"> </w:t>
            </w:r>
            <w:r>
              <w:rPr>
                <w:sz w:val="17"/>
                <w:szCs w:val="17"/>
                <w:spacing w:val="-2"/>
              </w:rPr>
              <w:t>安全生产许可</w:t>
            </w:r>
          </w:p>
        </w:tc>
        <w:tc>
          <w:tcPr>
            <w:tcW w:w="2367" w:type="dxa"/>
            <w:vAlign w:val="top"/>
          </w:tcPr>
          <w:p>
            <w:pPr>
              <w:pStyle w:val="TableText"/>
              <w:ind w:left="54"/>
              <w:spacing w:before="137" w:line="219" w:lineRule="auto"/>
              <w:rPr>
                <w:sz w:val="17"/>
                <w:szCs w:val="17"/>
              </w:rPr>
            </w:pPr>
            <w:r>
              <w:rPr>
                <w:sz w:val="17"/>
                <w:szCs w:val="17"/>
                <w:spacing w:val="1"/>
              </w:rPr>
              <w:t>应急常，省级应急情理商门</w:t>
            </w:r>
          </w:p>
        </w:tc>
        <w:tc>
          <w:tcPr>
            <w:tcW w:w="3711" w:type="dxa"/>
            <w:vAlign w:val="top"/>
          </w:tcPr>
          <w:p>
            <w:pPr>
              <w:pStyle w:val="TableText"/>
              <w:spacing w:before="47" w:line="195" w:lineRule="auto"/>
              <w:rPr>
                <w:sz w:val="17"/>
                <w:szCs w:val="17"/>
              </w:rPr>
            </w:pPr>
            <w:r>
              <w:rPr>
                <w:sz w:val="17"/>
                <w:szCs w:val="17"/>
                <w:spacing w:val="-3"/>
              </w:rPr>
              <w:t>《安全生产许可证条例》</w:t>
            </w:r>
          </w:p>
          <w:p>
            <w:pPr>
              <w:pStyle w:val="TableText"/>
              <w:spacing w:line="219" w:lineRule="auto"/>
              <w:rPr>
                <w:sz w:val="17"/>
                <w:szCs w:val="17"/>
              </w:rPr>
            </w:pPr>
            <w:r>
              <w:rPr>
                <w:sz w:val="17"/>
                <w:szCs w:val="17"/>
                <w:spacing w:val="-3"/>
              </w:rPr>
              <w:t>《危险化学是安全性度条创5</w:t>
            </w:r>
          </w:p>
        </w:tc>
      </w:tr>
      <w:tr>
        <w:trPr>
          <w:trHeight w:val="439" w:hRule="atLeast"/>
        </w:trPr>
        <w:tc>
          <w:tcPr>
            <w:tcW w:w="574" w:type="dxa"/>
            <w:vAlign w:val="top"/>
          </w:tcPr>
          <w:p>
            <w:pPr>
              <w:pStyle w:val="TableText"/>
              <w:ind w:left="144"/>
              <w:spacing w:before="180" w:line="184" w:lineRule="auto"/>
              <w:rPr>
                <w:sz w:val="17"/>
                <w:szCs w:val="17"/>
              </w:rPr>
            </w:pPr>
            <w:r>
              <w:rPr>
                <w:sz w:val="17"/>
                <w:szCs w:val="17"/>
                <w:spacing w:val="-5"/>
              </w:rPr>
              <w:t>197</w:t>
            </w:r>
          </w:p>
        </w:tc>
        <w:tc>
          <w:tcPr>
            <w:tcW w:w="1299" w:type="dxa"/>
            <w:vAlign w:val="top"/>
          </w:tcPr>
          <w:p>
            <w:pPr>
              <w:pStyle w:val="TableText"/>
              <w:ind w:left="380"/>
              <w:spacing w:before="138" w:line="219" w:lineRule="auto"/>
              <w:rPr>
                <w:sz w:val="17"/>
                <w:szCs w:val="17"/>
              </w:rPr>
            </w:pPr>
            <w:r>
              <w:rPr>
                <w:sz w:val="17"/>
                <w:szCs w:val="17"/>
                <w:spacing w:val="5"/>
              </w:rPr>
              <w:t>应象即</w:t>
            </w:r>
          </w:p>
        </w:tc>
        <w:tc>
          <w:tcPr>
            <w:tcW w:w="1638" w:type="dxa"/>
            <w:vAlign w:val="top"/>
          </w:tcPr>
          <w:p>
            <w:pPr>
              <w:pStyle w:val="TableText"/>
              <w:ind w:left="42" w:right="35"/>
              <w:spacing w:before="56" w:line="202" w:lineRule="auto"/>
              <w:rPr>
                <w:sz w:val="17"/>
                <w:szCs w:val="17"/>
              </w:rPr>
            </w:pPr>
            <w:r>
              <w:rPr>
                <w:sz w:val="17"/>
                <w:szCs w:val="17"/>
                <w:spacing w:val="2"/>
              </w:rPr>
              <w:t>趋斯化学高变全使用</w:t>
            </w:r>
            <w:r>
              <w:rPr>
                <w:sz w:val="17"/>
                <w:szCs w:val="17"/>
                <w:spacing w:val="1"/>
              </w:rPr>
              <w:t xml:space="preserve"> </w:t>
            </w:r>
            <w:r>
              <w:rPr>
                <w:sz w:val="17"/>
                <w:szCs w:val="17"/>
                <w:spacing w:val="11"/>
              </w:rPr>
              <w:t>班司</w:t>
            </w:r>
          </w:p>
        </w:tc>
        <w:tc>
          <w:tcPr>
            <w:tcW w:w="2367" w:type="dxa"/>
            <w:vAlign w:val="top"/>
          </w:tcPr>
          <w:p>
            <w:pPr>
              <w:pStyle w:val="TableText"/>
              <w:ind w:left="54"/>
              <w:spacing w:before="138" w:line="219" w:lineRule="auto"/>
              <w:rPr>
                <w:sz w:val="17"/>
                <w:szCs w:val="17"/>
              </w:rPr>
            </w:pPr>
            <w:r>
              <w:rPr>
                <w:sz w:val="17"/>
                <w:szCs w:val="17"/>
                <w:spacing w:val="1"/>
              </w:rPr>
              <w:t>设区的市缺应数管理部/门</w:t>
            </w:r>
          </w:p>
        </w:tc>
        <w:tc>
          <w:tcPr>
            <w:tcW w:w="3711" w:type="dxa"/>
            <w:vAlign w:val="top"/>
          </w:tcPr>
          <w:p>
            <w:pPr>
              <w:pStyle w:val="TableText"/>
              <w:spacing w:before="48" w:line="219" w:lineRule="auto"/>
              <w:rPr>
                <w:sz w:val="17"/>
                <w:szCs w:val="17"/>
              </w:rPr>
            </w:pPr>
            <w:r>
              <w:rPr>
                <w:sz w:val="17"/>
                <w:szCs w:val="17"/>
                <w:spacing w:val="-3"/>
              </w:rPr>
              <w:t>《危险化学品安全管理美例》</w:t>
            </w:r>
          </w:p>
          <w:p>
            <w:pPr>
              <w:pStyle w:val="TableText"/>
              <w:ind w:left="66"/>
              <w:spacing w:before="7" w:line="186" w:lineRule="auto"/>
              <w:rPr>
                <w:sz w:val="17"/>
                <w:szCs w:val="17"/>
              </w:rPr>
            </w:pPr>
            <w:r>
              <w:rPr>
                <w:sz w:val="17"/>
                <w:szCs w:val="17"/>
              </w:rPr>
              <w:t>(鱼险化学品安全使用许可证实通办法</w:t>
            </w:r>
          </w:p>
        </w:tc>
      </w:tr>
      <w:tr>
        <w:trPr>
          <w:trHeight w:val="440" w:hRule="atLeast"/>
        </w:trPr>
        <w:tc>
          <w:tcPr>
            <w:tcW w:w="574" w:type="dxa"/>
            <w:vAlign w:val="top"/>
          </w:tcPr>
          <w:p>
            <w:pPr>
              <w:pStyle w:val="TableText"/>
              <w:ind w:left="144"/>
              <w:spacing w:before="182" w:line="183" w:lineRule="auto"/>
              <w:rPr>
                <w:sz w:val="17"/>
                <w:szCs w:val="17"/>
              </w:rPr>
            </w:pPr>
            <w:r>
              <w:rPr>
                <w:sz w:val="17"/>
                <w:szCs w:val="17"/>
                <w:spacing w:val="-2"/>
              </w:rPr>
              <w:t>400</w:t>
            </w:r>
          </w:p>
        </w:tc>
        <w:tc>
          <w:tcPr>
            <w:tcW w:w="1299" w:type="dxa"/>
            <w:vAlign w:val="top"/>
          </w:tcPr>
          <w:p>
            <w:pPr>
              <w:pStyle w:val="TableText"/>
              <w:ind w:left="380"/>
              <w:spacing w:before="139" w:line="219" w:lineRule="auto"/>
              <w:rPr>
                <w:sz w:val="17"/>
                <w:szCs w:val="17"/>
              </w:rPr>
            </w:pPr>
            <w:r>
              <w:rPr>
                <w:sz w:val="17"/>
                <w:szCs w:val="17"/>
                <w:spacing w:val="-2"/>
              </w:rPr>
              <w:t>应金部</w:t>
            </w:r>
          </w:p>
        </w:tc>
        <w:tc>
          <w:tcPr>
            <w:tcW w:w="1638" w:type="dxa"/>
            <w:vAlign w:val="top"/>
          </w:tcPr>
          <w:p>
            <w:pPr>
              <w:pStyle w:val="TableText"/>
              <w:ind w:left="42"/>
              <w:spacing w:before="139" w:line="220" w:lineRule="auto"/>
              <w:rPr>
                <w:sz w:val="17"/>
                <w:szCs w:val="17"/>
              </w:rPr>
            </w:pPr>
            <w:r>
              <w:rPr>
                <w:sz w:val="17"/>
                <w:szCs w:val="17"/>
                <w:spacing w:val="-1"/>
              </w:rPr>
              <w:t>危险化学品澄昔许可</w:t>
            </w:r>
          </w:p>
        </w:tc>
        <w:tc>
          <w:tcPr>
            <w:tcW w:w="2367" w:type="dxa"/>
            <w:vAlign w:val="top"/>
          </w:tcPr>
          <w:p>
            <w:pPr>
              <w:pStyle w:val="TableText"/>
              <w:spacing w:before="137" w:line="219" w:lineRule="auto"/>
              <w:jc w:val="right"/>
              <w:rPr>
                <w:sz w:val="17"/>
                <w:szCs w:val="17"/>
              </w:rPr>
            </w:pPr>
            <w:r>
              <w:rPr>
                <w:sz w:val="17"/>
                <w:szCs w:val="17"/>
                <w:spacing w:val="-6"/>
              </w:rPr>
              <w:t>设同的市级，乱须益食传理部门</w:t>
            </w:r>
          </w:p>
        </w:tc>
        <w:tc>
          <w:tcPr>
            <w:tcW w:w="3711" w:type="dxa"/>
            <w:vAlign w:val="top"/>
          </w:tcPr>
          <w:p>
            <w:pPr>
              <w:pStyle w:val="TableText"/>
              <w:ind w:left="66"/>
              <w:spacing w:before="49" w:line="195" w:lineRule="auto"/>
              <w:rPr>
                <w:sz w:val="17"/>
                <w:szCs w:val="17"/>
              </w:rPr>
            </w:pPr>
            <w:r>
              <w:rPr>
                <w:sz w:val="17"/>
                <w:szCs w:val="17"/>
              </w:rPr>
              <w:t>1@险化望品安全管理条</w:t>
            </w:r>
          </w:p>
          <w:p>
            <w:pPr>
              <w:pStyle w:val="TableText"/>
              <w:ind w:left="66"/>
              <w:spacing w:line="218" w:lineRule="auto"/>
              <w:rPr>
                <w:sz w:val="17"/>
                <w:szCs w:val="17"/>
              </w:rPr>
            </w:pPr>
            <w:r>
              <w:rPr>
                <w:sz w:val="17"/>
                <w:szCs w:val="17"/>
              </w:rPr>
              <w:t>危的化学总经指话可证信理办张1</w:t>
            </w:r>
          </w:p>
        </w:tc>
      </w:tr>
      <w:tr>
        <w:trPr>
          <w:trHeight w:val="649" w:hRule="atLeast"/>
        </w:trPr>
        <w:tc>
          <w:tcPr>
            <w:tcW w:w="574" w:type="dxa"/>
            <w:vAlign w:val="top"/>
          </w:tcPr>
          <w:p>
            <w:pPr>
              <w:pStyle w:val="TableText"/>
              <w:ind w:left="234"/>
              <w:spacing w:before="282" w:line="183" w:lineRule="auto"/>
              <w:rPr>
                <w:sz w:val="17"/>
                <w:szCs w:val="17"/>
              </w:rPr>
            </w:pPr>
            <w:r>
              <w:rPr>
                <w:sz w:val="17"/>
                <w:szCs w:val="17"/>
              </w:rPr>
              <w:t>4</w:t>
            </w:r>
          </w:p>
        </w:tc>
        <w:tc>
          <w:tcPr>
            <w:tcW w:w="1299" w:type="dxa"/>
            <w:vAlign w:val="top"/>
          </w:tcPr>
          <w:p>
            <w:pPr>
              <w:pStyle w:val="TableText"/>
              <w:ind w:left="380"/>
              <w:spacing w:before="241" w:line="221" w:lineRule="auto"/>
              <w:rPr>
                <w:sz w:val="17"/>
                <w:szCs w:val="17"/>
              </w:rPr>
            </w:pPr>
            <w:r>
              <w:rPr>
                <w:sz w:val="17"/>
                <w:szCs w:val="17"/>
                <w:spacing w:val="-2"/>
              </w:rPr>
              <w:t>应急加</w:t>
            </w:r>
          </w:p>
        </w:tc>
        <w:tc>
          <w:tcPr>
            <w:tcW w:w="1638" w:type="dxa"/>
            <w:vAlign w:val="top"/>
          </w:tcPr>
          <w:p>
            <w:pPr>
              <w:pStyle w:val="TableText"/>
              <w:ind w:left="42" w:right="32" w:firstLine="20"/>
              <w:spacing w:before="47" w:line="214" w:lineRule="auto"/>
              <w:jc w:val="both"/>
              <w:rPr>
                <w:sz w:val="17"/>
                <w:szCs w:val="17"/>
              </w:rPr>
            </w:pPr>
            <w:r>
              <w:rPr>
                <w:sz w:val="17"/>
                <w:szCs w:val="17"/>
                <w:spacing w:val="-1"/>
              </w:rPr>
              <w:t>生产，解存烟无爆竹</w:t>
            </w:r>
            <w:r>
              <w:rPr>
                <w:sz w:val="17"/>
                <w:szCs w:val="17"/>
              </w:rPr>
              <w:t xml:space="preserve"> </w:t>
            </w:r>
            <w:r>
              <w:rPr>
                <w:sz w:val="17"/>
                <w:szCs w:val="17"/>
                <w:spacing w:val="2"/>
              </w:rPr>
              <w:t>健设理目安毫设原设</w:t>
            </w:r>
            <w:r>
              <w:rPr>
                <w:sz w:val="17"/>
                <w:szCs w:val="17"/>
                <w:spacing w:val="4"/>
              </w:rPr>
              <w:t xml:space="preserve"> </w:t>
            </w:r>
            <w:r>
              <w:rPr>
                <w:sz w:val="17"/>
                <w:szCs w:val="17"/>
                <w:spacing w:val="-2"/>
              </w:rPr>
              <w:t>计事查</w:t>
            </w:r>
          </w:p>
        </w:tc>
        <w:tc>
          <w:tcPr>
            <w:tcW w:w="2367" w:type="dxa"/>
            <w:vAlign w:val="top"/>
          </w:tcPr>
          <w:p>
            <w:pPr>
              <w:pStyle w:val="TableText"/>
              <w:ind w:left="53" w:hanging="9"/>
              <w:spacing w:before="138" w:line="224" w:lineRule="auto"/>
              <w:rPr>
                <w:sz w:val="17"/>
                <w:szCs w:val="17"/>
              </w:rPr>
            </w:pPr>
            <w:r>
              <w:rPr>
                <w:sz w:val="17"/>
                <w:szCs w:val="17"/>
                <w:spacing w:val="-5"/>
              </w:rPr>
              <w:t>者埂，设区的市线，县致应急营</w:t>
            </w:r>
            <w:r>
              <w:rPr>
                <w:sz w:val="17"/>
                <w:szCs w:val="17"/>
                <w:spacing w:val="1"/>
              </w:rPr>
              <w:t xml:space="preserve"> </w:t>
            </w:r>
            <w:r>
              <w:rPr>
                <w:sz w:val="17"/>
                <w:szCs w:val="17"/>
                <w:spacing w:val="4"/>
              </w:rPr>
              <w:t>理能力</w:t>
            </w:r>
          </w:p>
        </w:tc>
        <w:tc>
          <w:tcPr>
            <w:tcW w:w="3711" w:type="dxa"/>
            <w:vAlign w:val="top"/>
          </w:tcPr>
          <w:p>
            <w:pPr>
              <w:pStyle w:val="TableText"/>
              <w:ind w:left="66"/>
              <w:spacing w:before="149" w:line="206" w:lineRule="auto"/>
              <w:rPr>
                <w:sz w:val="17"/>
                <w:szCs w:val="17"/>
              </w:rPr>
            </w:pPr>
            <w:r>
              <w:rPr>
                <w:sz w:val="17"/>
                <w:szCs w:val="17"/>
                <w:spacing w:val="-1"/>
              </w:rPr>
              <w:t>1中带人民共和国安全生严法》</w:t>
            </w:r>
          </w:p>
          <w:p>
            <w:pPr>
              <w:pStyle w:val="TableText"/>
              <w:ind w:left="66"/>
              <w:spacing w:line="219" w:lineRule="auto"/>
              <w:rPr>
                <w:sz w:val="17"/>
                <w:szCs w:val="17"/>
              </w:rPr>
            </w:pPr>
            <w:r>
              <w:rPr>
                <w:sz w:val="17"/>
                <w:szCs w:val="17"/>
                <w:spacing w:val="4"/>
              </w:rPr>
              <w:t>请议项日安全设或“三同时”监骨置理办法】</w:t>
            </w:r>
          </w:p>
        </w:tc>
      </w:tr>
      <w:tr>
        <w:trPr>
          <w:trHeight w:val="639" w:hRule="atLeast"/>
        </w:trPr>
        <w:tc>
          <w:tcPr>
            <w:tcW w:w="574" w:type="dxa"/>
            <w:vAlign w:val="top"/>
          </w:tcPr>
          <w:p>
            <w:pPr>
              <w:pStyle w:val="TableText"/>
              <w:ind w:left="144"/>
              <w:spacing w:before="283" w:line="183" w:lineRule="auto"/>
              <w:rPr>
                <w:sz w:val="17"/>
                <w:szCs w:val="17"/>
              </w:rPr>
            </w:pPr>
            <w:r>
              <w:rPr>
                <w:sz w:val="17"/>
                <w:szCs w:val="17"/>
                <w:spacing w:val="-2"/>
              </w:rPr>
              <w:t>900</w:t>
            </w:r>
          </w:p>
        </w:tc>
        <w:tc>
          <w:tcPr>
            <w:tcW w:w="1299" w:type="dxa"/>
            <w:vAlign w:val="top"/>
          </w:tcPr>
          <w:p>
            <w:pPr>
              <w:pStyle w:val="TableText"/>
              <w:ind w:left="380"/>
              <w:spacing w:before="242" w:line="221" w:lineRule="auto"/>
              <w:rPr>
                <w:sz w:val="17"/>
                <w:szCs w:val="17"/>
              </w:rPr>
            </w:pPr>
            <w:r>
              <w:rPr>
                <w:sz w:val="17"/>
                <w:szCs w:val="17"/>
                <w:spacing w:val="-2"/>
              </w:rPr>
              <w:t>应是意</w:t>
            </w:r>
          </w:p>
        </w:tc>
        <w:tc>
          <w:tcPr>
            <w:tcW w:w="1638" w:type="dxa"/>
            <w:vAlign w:val="top"/>
          </w:tcPr>
          <w:p>
            <w:pPr>
              <w:pStyle w:val="TableText"/>
              <w:ind w:left="42" w:right="41" w:firstLine="20"/>
              <w:spacing w:before="129" w:line="224" w:lineRule="auto"/>
              <w:rPr>
                <w:sz w:val="17"/>
                <w:szCs w:val="17"/>
              </w:rPr>
            </w:pPr>
            <w:r>
              <w:rPr>
                <w:sz w:val="17"/>
                <w:szCs w:val="17"/>
                <w:spacing w:val="-1"/>
              </w:rPr>
              <w:t>切花领有生产止业支</w:t>
            </w:r>
            <w:r>
              <w:rPr>
                <w:sz w:val="17"/>
                <w:szCs w:val="17"/>
                <w:spacing w:val="2"/>
              </w:rPr>
              <w:t xml:space="preserve"> </w:t>
            </w:r>
            <w:r>
              <w:rPr>
                <w:sz w:val="17"/>
                <w:szCs w:val="17"/>
                <w:spacing w:val="-2"/>
              </w:rPr>
              <w:t>全生产许</w:t>
            </w:r>
          </w:p>
        </w:tc>
        <w:tc>
          <w:tcPr>
            <w:tcW w:w="2367" w:type="dxa"/>
            <w:vAlign w:val="top"/>
          </w:tcPr>
          <w:p>
            <w:pPr>
              <w:pStyle w:val="TableText"/>
              <w:ind w:left="54"/>
              <w:spacing w:before="240" w:line="219" w:lineRule="auto"/>
              <w:rPr>
                <w:sz w:val="17"/>
                <w:szCs w:val="17"/>
              </w:rPr>
            </w:pPr>
            <w:r>
              <w:rPr>
                <w:sz w:val="17"/>
                <w:szCs w:val="17"/>
                <w:spacing w:val="2"/>
              </w:rPr>
              <w:t>贸级应意量理部门</w:t>
            </w:r>
          </w:p>
        </w:tc>
        <w:tc>
          <w:tcPr>
            <w:tcW w:w="3711" w:type="dxa"/>
            <w:vAlign w:val="top"/>
          </w:tcPr>
          <w:p>
            <w:pPr>
              <w:pStyle w:val="TableText"/>
              <w:spacing w:before="39" w:line="217" w:lineRule="auto"/>
              <w:rPr>
                <w:sz w:val="17"/>
                <w:szCs w:val="17"/>
              </w:rPr>
            </w:pPr>
            <w:r>
              <w:rPr>
                <w:sz w:val="17"/>
                <w:szCs w:val="17"/>
                <w:spacing w:val="-3"/>
              </w:rPr>
              <w:t>《安全生产许可证条例》</w:t>
            </w:r>
          </w:p>
          <w:p>
            <w:pPr>
              <w:pStyle w:val="TableText"/>
              <w:spacing w:line="206" w:lineRule="auto"/>
              <w:rPr>
                <w:sz w:val="17"/>
                <w:szCs w:val="17"/>
              </w:rPr>
            </w:pPr>
            <w:r>
              <w:rPr>
                <w:sz w:val="17"/>
                <w:szCs w:val="17"/>
                <w:spacing w:val="-4"/>
              </w:rPr>
              <w:t>《增花偿竹装全管理苏例</w:t>
            </w:r>
          </w:p>
          <w:p>
            <w:pPr>
              <w:pStyle w:val="TableText"/>
              <w:ind w:left="66"/>
              <w:spacing w:line="216" w:lineRule="auto"/>
              <w:rPr>
                <w:sz w:val="17"/>
                <w:szCs w:val="17"/>
              </w:rPr>
            </w:pPr>
            <w:r>
              <w:rPr>
                <w:sz w:val="17"/>
                <w:szCs w:val="17"/>
              </w:rPr>
              <w:t>1加龙保竹生产是业安全生产许可近实施小法</w:t>
            </w:r>
          </w:p>
        </w:tc>
      </w:tr>
      <w:tr>
        <w:trPr>
          <w:trHeight w:val="429" w:hRule="atLeast"/>
        </w:trPr>
        <w:tc>
          <w:tcPr>
            <w:tcW w:w="574" w:type="dxa"/>
            <w:vAlign w:val="top"/>
          </w:tcPr>
          <w:p>
            <w:pPr>
              <w:pStyle w:val="TableText"/>
              <w:ind w:left="144"/>
              <w:spacing w:before="175" w:line="182" w:lineRule="auto"/>
              <w:rPr>
                <w:sz w:val="17"/>
                <w:szCs w:val="17"/>
              </w:rPr>
            </w:pPr>
            <w:r>
              <w:rPr>
                <w:sz w:val="17"/>
                <w:szCs w:val="17"/>
                <w:spacing w:val="-2"/>
              </w:rPr>
              <w:t>Eat</w:t>
            </w:r>
          </w:p>
        </w:tc>
        <w:tc>
          <w:tcPr>
            <w:tcW w:w="1299" w:type="dxa"/>
            <w:vAlign w:val="top"/>
          </w:tcPr>
          <w:p>
            <w:pPr>
              <w:pStyle w:val="TableText"/>
              <w:ind w:left="380"/>
              <w:spacing w:before="131" w:line="219" w:lineRule="auto"/>
              <w:rPr>
                <w:sz w:val="17"/>
                <w:szCs w:val="17"/>
              </w:rPr>
            </w:pPr>
            <w:r>
              <w:rPr>
                <w:sz w:val="17"/>
                <w:szCs w:val="17"/>
                <w:spacing w:val="-2"/>
              </w:rPr>
              <w:t>应意牌</w:t>
            </w:r>
          </w:p>
        </w:tc>
        <w:tc>
          <w:tcPr>
            <w:tcW w:w="1638" w:type="dxa"/>
            <w:vAlign w:val="top"/>
          </w:tcPr>
          <w:p>
            <w:pPr>
              <w:pStyle w:val="TableText"/>
              <w:ind w:left="42"/>
              <w:spacing w:before="129" w:line="218" w:lineRule="auto"/>
              <w:rPr>
                <w:sz w:val="17"/>
                <w:szCs w:val="17"/>
              </w:rPr>
            </w:pPr>
            <w:r>
              <w:rPr>
                <w:sz w:val="17"/>
                <w:szCs w:val="17"/>
                <w:spacing w:val="2"/>
              </w:rPr>
              <w:t>相花爆竹技背许司</w:t>
            </w:r>
          </w:p>
        </w:tc>
        <w:tc>
          <w:tcPr>
            <w:tcW w:w="2367" w:type="dxa"/>
            <w:vAlign w:val="top"/>
          </w:tcPr>
          <w:p>
            <w:pPr>
              <w:pStyle w:val="TableText"/>
              <w:spacing w:before="131" w:line="219" w:lineRule="auto"/>
              <w:jc w:val="right"/>
              <w:rPr>
                <w:sz w:val="17"/>
                <w:szCs w:val="17"/>
              </w:rPr>
            </w:pPr>
            <w:r>
              <w:rPr>
                <w:sz w:val="17"/>
                <w:szCs w:val="17"/>
                <w:spacing w:val="-6"/>
              </w:rPr>
              <w:t>设区的市袋，县概引色管理部门</w:t>
            </w:r>
          </w:p>
        </w:tc>
        <w:tc>
          <w:tcPr>
            <w:tcW w:w="3711" w:type="dxa"/>
            <w:vAlign w:val="top"/>
          </w:tcPr>
          <w:p>
            <w:pPr>
              <w:pStyle w:val="TableText"/>
              <w:ind w:left="66"/>
              <w:spacing w:before="50" w:line="194" w:lineRule="auto"/>
              <w:rPr>
                <w:sz w:val="17"/>
                <w:szCs w:val="17"/>
              </w:rPr>
            </w:pPr>
            <w:r>
              <w:rPr>
                <w:sz w:val="17"/>
                <w:szCs w:val="17"/>
                <w:spacing w:val="-1"/>
              </w:rPr>
              <w:t>1</w:t>
            </w:r>
            <w:r>
              <w:rPr>
                <w:sz w:val="17"/>
                <w:szCs w:val="17"/>
                <w:spacing w:val="13"/>
              </w:rPr>
              <w:t xml:space="preserve">  </w:t>
            </w:r>
            <w:r>
              <w:rPr>
                <w:sz w:val="17"/>
                <w:szCs w:val="17"/>
                <w:spacing w:val="-1"/>
              </w:rPr>
              <w:t>充些竹窗全管理条测1</w:t>
            </w:r>
          </w:p>
          <w:p>
            <w:pPr>
              <w:pStyle w:val="TableText"/>
              <w:ind w:left="66"/>
              <w:spacing w:line="205" w:lineRule="auto"/>
              <w:rPr>
                <w:sz w:val="17"/>
                <w:szCs w:val="17"/>
              </w:rPr>
            </w:pPr>
            <w:r>
              <w:rPr>
                <w:sz w:val="17"/>
                <w:szCs w:val="17"/>
                <w:spacing w:val="-1"/>
              </w:rPr>
              <w:t>(端花爆的总黄斯可安做办法》</w:t>
            </w:r>
          </w:p>
        </w:tc>
      </w:tr>
      <w:tr>
        <w:trPr>
          <w:trHeight w:val="450" w:hRule="atLeast"/>
        </w:trPr>
        <w:tc>
          <w:tcPr>
            <w:tcW w:w="574" w:type="dxa"/>
            <w:vAlign w:val="top"/>
          </w:tcPr>
          <w:p>
            <w:pPr>
              <w:pStyle w:val="TableText"/>
              <w:ind w:left="144"/>
              <w:spacing w:before="185" w:line="183" w:lineRule="auto"/>
              <w:rPr>
                <w:sz w:val="17"/>
                <w:szCs w:val="17"/>
              </w:rPr>
            </w:pPr>
            <w:r>
              <w:rPr>
                <w:sz w:val="17"/>
                <w:szCs w:val="17"/>
                <w:spacing w:val="-3"/>
              </w:rPr>
              <w:t>502</w:t>
            </w:r>
          </w:p>
        </w:tc>
        <w:tc>
          <w:tcPr>
            <w:tcW w:w="1299" w:type="dxa"/>
            <w:vAlign w:val="top"/>
          </w:tcPr>
          <w:p>
            <w:pPr>
              <w:pStyle w:val="TableText"/>
              <w:ind w:left="380"/>
              <w:spacing w:before="144" w:line="221" w:lineRule="auto"/>
              <w:rPr>
                <w:sz w:val="17"/>
                <w:szCs w:val="17"/>
              </w:rPr>
            </w:pPr>
            <w:r>
              <w:rPr>
                <w:sz w:val="17"/>
                <w:szCs w:val="17"/>
                <w:spacing w:val="-2"/>
              </w:rPr>
              <w:t>应急施</w:t>
            </w:r>
          </w:p>
        </w:tc>
        <w:tc>
          <w:tcPr>
            <w:tcW w:w="1638" w:type="dxa"/>
            <w:vAlign w:val="top"/>
          </w:tcPr>
          <w:p>
            <w:pPr>
              <w:pStyle w:val="TableText"/>
              <w:ind w:left="42" w:right="41"/>
              <w:spacing w:before="42" w:line="216" w:lineRule="auto"/>
              <w:rPr>
                <w:sz w:val="17"/>
                <w:szCs w:val="17"/>
              </w:rPr>
            </w:pPr>
            <w:r>
              <w:rPr>
                <w:sz w:val="17"/>
                <w:szCs w:val="17"/>
                <w:spacing w:val="1"/>
              </w:rPr>
              <w:t>前一更非药品类形制</w:t>
            </w:r>
            <w:r>
              <w:rPr>
                <w:sz w:val="17"/>
                <w:szCs w:val="17"/>
                <w:spacing w:val="4"/>
              </w:rPr>
              <w:t xml:space="preserve"> </w:t>
            </w:r>
            <w:r>
              <w:rPr>
                <w:sz w:val="17"/>
                <w:szCs w:val="17"/>
                <w:spacing w:val="1"/>
              </w:rPr>
              <w:t>面化学品生产许印</w:t>
            </w:r>
          </w:p>
        </w:tc>
        <w:tc>
          <w:tcPr>
            <w:tcW w:w="2367" w:type="dxa"/>
            <w:vAlign w:val="top"/>
          </w:tcPr>
          <w:p>
            <w:pPr>
              <w:pStyle w:val="TableText"/>
              <w:ind w:left="54"/>
              <w:spacing w:before="142" w:line="219" w:lineRule="auto"/>
              <w:rPr>
                <w:sz w:val="17"/>
                <w:szCs w:val="17"/>
              </w:rPr>
            </w:pPr>
            <w:r>
              <w:rPr>
                <w:sz w:val="17"/>
                <w:szCs w:val="17"/>
                <w:spacing w:val="2"/>
              </w:rPr>
              <w:t>省级想至管理加门</w:t>
            </w:r>
          </w:p>
        </w:tc>
        <w:tc>
          <w:tcPr>
            <w:tcW w:w="3711" w:type="dxa"/>
            <w:vAlign w:val="top"/>
          </w:tcPr>
          <w:p>
            <w:pPr>
              <w:pStyle w:val="TableText"/>
              <w:ind w:left="66"/>
              <w:spacing w:before="50" w:line="229" w:lineRule="auto"/>
              <w:rPr>
                <w:sz w:val="17"/>
                <w:szCs w:val="17"/>
              </w:rPr>
            </w:pPr>
            <w:r>
              <w:rPr>
                <w:sz w:val="17"/>
                <w:szCs w:val="17"/>
                <w:spacing w:val="1"/>
              </w:rPr>
              <w:t>1中华人民共和围带章法1</w:t>
            </w:r>
          </w:p>
          <w:p>
            <w:pPr>
              <w:pStyle w:val="TableText"/>
              <w:ind w:left="66"/>
              <w:spacing w:line="193" w:lineRule="auto"/>
              <w:rPr>
                <w:sz w:val="17"/>
                <w:szCs w:val="17"/>
              </w:rPr>
            </w:pPr>
            <w:r>
              <w:rPr>
                <w:sz w:val="17"/>
                <w:szCs w:val="17"/>
                <w:spacing w:val="3"/>
              </w:rPr>
              <w:t>1显制毒化学品管莲条绸)</w:t>
            </w:r>
          </w:p>
        </w:tc>
      </w:tr>
      <w:tr>
        <w:trPr>
          <w:trHeight w:val="439" w:hRule="atLeast"/>
        </w:trPr>
        <w:tc>
          <w:tcPr>
            <w:tcW w:w="574" w:type="dxa"/>
            <w:vAlign w:val="top"/>
          </w:tcPr>
          <w:p>
            <w:pPr>
              <w:pStyle w:val="TableText"/>
              <w:ind w:left="194"/>
              <w:spacing w:before="185" w:line="183" w:lineRule="auto"/>
              <w:rPr>
                <w:sz w:val="17"/>
                <w:szCs w:val="17"/>
              </w:rPr>
            </w:pPr>
            <w:r>
              <w:rPr>
                <w:sz w:val="17"/>
                <w:szCs w:val="17"/>
                <w:spacing w:val="-2"/>
              </w:rPr>
              <w:t>65</w:t>
            </w:r>
          </w:p>
        </w:tc>
        <w:tc>
          <w:tcPr>
            <w:tcW w:w="1299" w:type="dxa"/>
            <w:vAlign w:val="top"/>
          </w:tcPr>
          <w:p>
            <w:pPr>
              <w:pStyle w:val="TableText"/>
              <w:ind w:left="380"/>
              <w:spacing w:before="142" w:line="219" w:lineRule="auto"/>
              <w:rPr>
                <w:sz w:val="17"/>
                <w:szCs w:val="17"/>
              </w:rPr>
            </w:pPr>
            <w:r>
              <w:rPr>
                <w:sz w:val="17"/>
                <w:szCs w:val="17"/>
                <w:spacing w:val="3"/>
              </w:rPr>
              <w:t>意业部</w:t>
            </w:r>
          </w:p>
        </w:tc>
        <w:tc>
          <w:tcPr>
            <w:tcW w:w="1638" w:type="dxa"/>
            <w:vAlign w:val="top"/>
          </w:tcPr>
          <w:p>
            <w:pPr>
              <w:pStyle w:val="TableText"/>
              <w:ind w:left="42" w:right="41"/>
              <w:spacing w:before="51" w:line="205" w:lineRule="auto"/>
              <w:rPr>
                <w:sz w:val="17"/>
                <w:szCs w:val="17"/>
              </w:rPr>
            </w:pPr>
            <w:r>
              <w:rPr>
                <w:sz w:val="17"/>
                <w:szCs w:val="17"/>
                <w:spacing w:val="1"/>
              </w:rPr>
              <w:t>第一类主药品克复图</w:t>
            </w:r>
            <w:r>
              <w:rPr>
                <w:sz w:val="17"/>
                <w:szCs w:val="17"/>
                <w:spacing w:val="4"/>
              </w:rPr>
              <w:t xml:space="preserve"> </w:t>
            </w:r>
            <w:r>
              <w:rPr>
                <w:sz w:val="17"/>
                <w:szCs w:val="17"/>
                <w:spacing w:val="2"/>
              </w:rPr>
              <w:t>翠化学品经普许门</w:t>
            </w:r>
          </w:p>
        </w:tc>
        <w:tc>
          <w:tcPr>
            <w:tcW w:w="2367" w:type="dxa"/>
            <w:vAlign w:val="top"/>
          </w:tcPr>
          <w:p>
            <w:pPr>
              <w:pStyle w:val="TableText"/>
              <w:ind w:left="54"/>
              <w:spacing w:before="142" w:line="219" w:lineRule="auto"/>
              <w:rPr>
                <w:sz w:val="17"/>
                <w:szCs w:val="17"/>
              </w:rPr>
            </w:pPr>
            <w:r>
              <w:rPr>
                <w:sz w:val="17"/>
                <w:szCs w:val="17"/>
                <w:spacing w:val="2"/>
              </w:rPr>
              <w:t>省载应也情理都门</w:t>
            </w:r>
          </w:p>
        </w:tc>
        <w:tc>
          <w:tcPr>
            <w:tcW w:w="3711" w:type="dxa"/>
            <w:vAlign w:val="top"/>
          </w:tcPr>
          <w:p>
            <w:pPr>
              <w:pStyle w:val="TableText"/>
              <w:ind w:left="66"/>
              <w:spacing w:before="52" w:line="206" w:lineRule="auto"/>
              <w:rPr>
                <w:sz w:val="17"/>
                <w:szCs w:val="17"/>
              </w:rPr>
            </w:pPr>
            <w:r>
              <w:rPr>
                <w:sz w:val="17"/>
                <w:szCs w:val="17"/>
                <w:spacing w:val="-1"/>
              </w:rPr>
              <w:t>1中华人民并和国禁意臣》</w:t>
            </w:r>
          </w:p>
          <w:p>
            <w:pPr>
              <w:pStyle w:val="TableText"/>
              <w:ind w:left="66"/>
              <w:spacing w:line="203" w:lineRule="auto"/>
              <w:rPr>
                <w:sz w:val="17"/>
                <w:szCs w:val="17"/>
              </w:rPr>
            </w:pPr>
            <w:r>
              <w:rPr>
                <w:sz w:val="17"/>
                <w:szCs w:val="17"/>
                <w:spacing w:val="1"/>
              </w:rPr>
              <w:t>1易鼠量化学品管理条得1</w:t>
            </w:r>
          </w:p>
        </w:tc>
      </w:tr>
      <w:tr>
        <w:trPr>
          <w:trHeight w:val="639" w:hRule="atLeast"/>
        </w:trPr>
        <w:tc>
          <w:tcPr>
            <w:tcW w:w="574" w:type="dxa"/>
            <w:vAlign w:val="top"/>
          </w:tcPr>
          <w:p>
            <w:pPr>
              <w:pStyle w:val="TableText"/>
              <w:ind w:left="144"/>
              <w:spacing w:before="286" w:line="183" w:lineRule="auto"/>
              <w:rPr>
                <w:sz w:val="17"/>
                <w:szCs w:val="17"/>
              </w:rPr>
            </w:pPr>
            <w:r>
              <w:rPr>
                <w:sz w:val="17"/>
                <w:szCs w:val="17"/>
                <w:spacing w:val="-3"/>
              </w:rPr>
              <w:t>504</w:t>
            </w:r>
          </w:p>
        </w:tc>
        <w:tc>
          <w:tcPr>
            <w:tcW w:w="1299" w:type="dxa"/>
            <w:vAlign w:val="top"/>
          </w:tcPr>
          <w:p>
            <w:pPr>
              <w:pStyle w:val="TableText"/>
              <w:ind w:left="380"/>
              <w:spacing w:before="243" w:line="219" w:lineRule="auto"/>
              <w:rPr>
                <w:sz w:val="17"/>
                <w:szCs w:val="17"/>
              </w:rPr>
            </w:pPr>
            <w:r>
              <w:rPr>
                <w:sz w:val="17"/>
                <w:szCs w:val="17"/>
                <w:spacing w:val="3"/>
              </w:rPr>
              <w:t>白总部</w:t>
            </w:r>
          </w:p>
        </w:tc>
        <w:tc>
          <w:tcPr>
            <w:tcW w:w="1638" w:type="dxa"/>
            <w:vAlign w:val="top"/>
          </w:tcPr>
          <w:p>
            <w:pPr>
              <w:pStyle w:val="TableText"/>
              <w:ind w:left="42" w:right="56" w:firstLine="10"/>
              <w:spacing w:before="152" w:line="219" w:lineRule="auto"/>
              <w:rPr>
                <w:sz w:val="17"/>
                <w:szCs w:val="17"/>
              </w:rPr>
            </w:pPr>
            <w:r>
              <w:rPr>
                <w:sz w:val="17"/>
                <w:szCs w:val="17"/>
                <w:spacing w:val="-2"/>
              </w:rPr>
              <w:t>安全评你检面检触机</w:t>
            </w:r>
            <w:r>
              <w:rPr>
                <w:sz w:val="17"/>
                <w:szCs w:val="17"/>
                <w:spacing w:val="6"/>
              </w:rPr>
              <w:t xml:space="preserve"> </w:t>
            </w:r>
            <w:r>
              <w:rPr>
                <w:sz w:val="17"/>
                <w:szCs w:val="17"/>
                <w:spacing w:val="-2"/>
              </w:rPr>
              <w:t>构塑质认定</w:t>
            </w:r>
          </w:p>
        </w:tc>
        <w:tc>
          <w:tcPr>
            <w:tcW w:w="2367" w:type="dxa"/>
            <w:vAlign w:val="top"/>
          </w:tcPr>
          <w:p>
            <w:pPr>
              <w:pStyle w:val="TableText"/>
              <w:ind w:left="54" w:right="14"/>
              <w:spacing w:before="133" w:line="229" w:lineRule="auto"/>
              <w:rPr>
                <w:sz w:val="17"/>
                <w:szCs w:val="17"/>
              </w:rPr>
            </w:pPr>
            <w:r>
              <w:rPr>
                <w:sz w:val="17"/>
                <w:szCs w:val="17"/>
                <w:spacing w:val="-1"/>
              </w:rPr>
              <w:t>应急库，容级应急暂理露)政者</w:t>
            </w:r>
            <w:r>
              <w:rPr>
                <w:sz w:val="17"/>
                <w:szCs w:val="17"/>
                <w:spacing w:val="6"/>
              </w:rPr>
              <w:t xml:space="preserve"> </w:t>
            </w:r>
            <w:r>
              <w:rPr>
                <w:sz w:val="17"/>
                <w:szCs w:val="17"/>
                <w:spacing w:val="1"/>
              </w:rPr>
              <w:t>省级规矿安全监骨都门</w:t>
            </w:r>
          </w:p>
        </w:tc>
        <w:tc>
          <w:tcPr>
            <w:tcW w:w="3711" w:type="dxa"/>
            <w:vAlign w:val="top"/>
          </w:tcPr>
          <w:p>
            <w:pPr>
              <w:pStyle w:val="TableText"/>
              <w:ind w:left="66"/>
              <w:spacing w:before="32" w:line="217" w:lineRule="auto"/>
              <w:rPr>
                <w:sz w:val="17"/>
                <w:szCs w:val="17"/>
              </w:rPr>
            </w:pPr>
            <w:r>
              <w:rPr>
                <w:sz w:val="17"/>
                <w:szCs w:val="17"/>
                <w:spacing w:val="-1"/>
              </w:rPr>
              <w:t>中华人民共和国发全生产法》</w:t>
            </w:r>
          </w:p>
          <w:p>
            <w:pPr>
              <w:pStyle w:val="TableText"/>
              <w:ind w:left="66"/>
              <w:spacing w:line="215" w:lineRule="auto"/>
              <w:rPr>
                <w:sz w:val="17"/>
                <w:szCs w:val="17"/>
              </w:rPr>
            </w:pPr>
            <w:r>
              <w:rPr>
                <w:sz w:val="17"/>
                <w:szCs w:val="17"/>
                <w:spacing w:val="-1"/>
              </w:rPr>
              <w:t>海岸万滑安身生产规定</w:t>
            </w:r>
          </w:p>
          <w:p>
            <w:pPr>
              <w:pStyle w:val="TableText"/>
              <w:spacing w:line="214" w:lineRule="auto"/>
              <w:rPr>
                <w:sz w:val="17"/>
                <w:szCs w:val="17"/>
              </w:rPr>
            </w:pPr>
            <w:r>
              <w:rPr>
                <w:sz w:val="17"/>
                <w:szCs w:val="17"/>
                <w:spacing w:val="-3"/>
              </w:rPr>
              <w:t>《查全停价构前检靠桥构督度办医</w:t>
            </w:r>
          </w:p>
        </w:tc>
      </w:tr>
      <w:tr>
        <w:trPr>
          <w:trHeight w:val="649" w:hRule="atLeast"/>
        </w:trPr>
        <w:tc>
          <w:tcPr>
            <w:tcW w:w="574" w:type="dxa"/>
            <w:vAlign w:val="top"/>
          </w:tcPr>
          <w:p>
            <w:pPr>
              <w:pStyle w:val="TableText"/>
              <w:ind w:left="144"/>
              <w:spacing w:before="287" w:line="183" w:lineRule="auto"/>
              <w:rPr>
                <w:sz w:val="17"/>
                <w:szCs w:val="17"/>
              </w:rPr>
            </w:pPr>
            <w:r>
              <w:rPr>
                <w:sz w:val="17"/>
                <w:szCs w:val="17"/>
                <w:spacing w:val="-3"/>
              </w:rPr>
              <w:t>505</w:t>
            </w:r>
          </w:p>
        </w:tc>
        <w:tc>
          <w:tcPr>
            <w:tcW w:w="1299" w:type="dxa"/>
            <w:vAlign w:val="top"/>
          </w:tcPr>
          <w:p>
            <w:pPr>
              <w:pStyle w:val="TableText"/>
              <w:ind w:left="380"/>
              <w:spacing w:before="246" w:line="221" w:lineRule="auto"/>
              <w:rPr>
                <w:sz w:val="17"/>
                <w:szCs w:val="17"/>
              </w:rPr>
            </w:pPr>
            <w:r>
              <w:rPr>
                <w:sz w:val="17"/>
                <w:szCs w:val="17"/>
                <w:spacing w:val="-2"/>
              </w:rPr>
              <w:t>应急前</w:t>
            </w:r>
          </w:p>
        </w:tc>
        <w:tc>
          <w:tcPr>
            <w:tcW w:w="1638" w:type="dxa"/>
            <w:vAlign w:val="top"/>
          </w:tcPr>
          <w:p>
            <w:pPr>
              <w:pStyle w:val="TableText"/>
              <w:ind w:left="22" w:right="56" w:firstLine="30"/>
              <w:spacing w:before="45" w:line="215" w:lineRule="auto"/>
              <w:jc w:val="both"/>
              <w:rPr>
                <w:sz w:val="17"/>
                <w:szCs w:val="17"/>
              </w:rPr>
            </w:pPr>
            <w:r>
              <w:rPr>
                <w:sz w:val="17"/>
                <w:szCs w:val="17"/>
                <w:spacing w:val="-2"/>
              </w:rPr>
              <w:t>处点罪型杨所段入使</w:t>
            </w:r>
            <w:r>
              <w:rPr>
                <w:sz w:val="17"/>
                <w:szCs w:val="17"/>
                <w:spacing w:val="6"/>
              </w:rPr>
              <w:t xml:space="preserve"> </w:t>
            </w:r>
            <w:r>
              <w:rPr>
                <w:sz w:val="17"/>
                <w:szCs w:val="17"/>
                <w:spacing w:val="-1"/>
              </w:rPr>
              <w:t>用、审登前剂林安全</w:t>
            </w:r>
            <w:r>
              <w:rPr>
                <w:sz w:val="17"/>
                <w:szCs w:val="17"/>
              </w:rPr>
              <w:t xml:space="preserve"> </w:t>
            </w:r>
            <w:r>
              <w:rPr>
                <w:sz w:val="17"/>
                <w:szCs w:val="17"/>
                <w:spacing w:val="5"/>
              </w:rPr>
              <w:t>构香</w:t>
            </w:r>
          </w:p>
        </w:tc>
        <w:tc>
          <w:tcPr>
            <w:tcW w:w="2367" w:type="dxa"/>
            <w:vAlign w:val="top"/>
          </w:tcPr>
          <w:p>
            <w:pPr>
              <w:pStyle w:val="TableText"/>
              <w:ind w:left="54"/>
              <w:spacing w:before="153" w:line="218" w:lineRule="auto"/>
              <w:rPr>
                <w:sz w:val="17"/>
                <w:szCs w:val="17"/>
              </w:rPr>
            </w:pPr>
            <w:r>
              <w:rPr>
                <w:sz w:val="17"/>
                <w:szCs w:val="17"/>
                <w:spacing w:val="-6"/>
              </w:rPr>
              <w:t>立署市，段区的市或，热或前防</w:t>
            </w:r>
            <w:r>
              <w:rPr>
                <w:sz w:val="17"/>
                <w:szCs w:val="17"/>
                <w:spacing w:val="5"/>
              </w:rPr>
              <w:t xml:space="preserve"> </w:t>
            </w:r>
            <w:r>
              <w:rPr>
                <w:sz w:val="17"/>
                <w:szCs w:val="17"/>
                <w:spacing w:val="-2"/>
              </w:rPr>
              <w:t>鼓缓机构</w:t>
            </w:r>
          </w:p>
        </w:tc>
        <w:tc>
          <w:tcPr>
            <w:tcW w:w="3711" w:type="dxa"/>
            <w:vAlign w:val="top"/>
          </w:tcPr>
          <w:p>
            <w:pPr>
              <w:pStyle w:val="TableText"/>
              <w:spacing w:before="244" w:line="220" w:lineRule="auto"/>
              <w:rPr>
                <w:sz w:val="17"/>
                <w:szCs w:val="17"/>
              </w:rPr>
            </w:pPr>
            <w:r>
              <w:rPr>
                <w:sz w:val="17"/>
                <w:szCs w:val="17"/>
                <w:spacing w:val="-3"/>
              </w:rPr>
              <w:t>《中华人民具和国消防法》</w:t>
            </w:r>
          </w:p>
        </w:tc>
      </w:tr>
      <w:tr>
        <w:trPr>
          <w:trHeight w:val="439" w:hRule="atLeast"/>
        </w:trPr>
        <w:tc>
          <w:tcPr>
            <w:tcW w:w="574" w:type="dxa"/>
            <w:vAlign w:val="top"/>
          </w:tcPr>
          <w:p>
            <w:pPr>
              <w:pStyle w:val="TableText"/>
              <w:ind w:left="144"/>
              <w:spacing w:before="188" w:line="183" w:lineRule="auto"/>
              <w:rPr>
                <w:sz w:val="17"/>
                <w:szCs w:val="17"/>
              </w:rPr>
            </w:pPr>
            <w:r>
              <w:rPr>
                <w:sz w:val="17"/>
                <w:szCs w:val="17"/>
                <w:spacing w:val="-3"/>
              </w:rPr>
              <w:t>506</w:t>
            </w:r>
          </w:p>
        </w:tc>
        <w:tc>
          <w:tcPr>
            <w:tcW w:w="1299" w:type="dxa"/>
            <w:vAlign w:val="top"/>
          </w:tcPr>
          <w:p>
            <w:pPr>
              <w:pStyle w:val="TableText"/>
              <w:ind w:left="380"/>
              <w:spacing w:before="145" w:line="219" w:lineRule="auto"/>
              <w:rPr>
                <w:sz w:val="17"/>
                <w:szCs w:val="17"/>
              </w:rPr>
            </w:pPr>
            <w:r>
              <w:rPr>
                <w:sz w:val="17"/>
                <w:szCs w:val="17"/>
                <w:spacing w:val="-2"/>
              </w:rPr>
              <w:t>应息部</w:t>
            </w:r>
          </w:p>
        </w:tc>
        <w:tc>
          <w:tcPr>
            <w:tcW w:w="1638" w:type="dxa"/>
            <w:vAlign w:val="top"/>
          </w:tcPr>
          <w:p>
            <w:pPr>
              <w:pStyle w:val="TableText"/>
              <w:ind w:left="42"/>
              <w:spacing w:before="145" w:line="219" w:lineRule="auto"/>
              <w:rPr>
                <w:sz w:val="17"/>
                <w:szCs w:val="17"/>
              </w:rPr>
            </w:pPr>
            <w:r>
              <w:rPr>
                <w:sz w:val="17"/>
                <w:szCs w:val="17"/>
                <w:spacing w:val="2"/>
              </w:rPr>
              <w:t>注册羽防工程律往用</w:t>
            </w:r>
          </w:p>
        </w:tc>
        <w:tc>
          <w:tcPr>
            <w:tcW w:w="2367" w:type="dxa"/>
            <w:vAlign w:val="top"/>
          </w:tcPr>
          <w:p>
            <w:pPr>
              <w:pStyle w:val="TableText"/>
              <w:ind w:left="54"/>
              <w:spacing w:before="143" w:line="219" w:lineRule="auto"/>
              <w:rPr>
                <w:sz w:val="17"/>
                <w:szCs w:val="17"/>
              </w:rPr>
            </w:pPr>
            <w:r>
              <w:rPr>
                <w:sz w:val="17"/>
                <w:szCs w:val="17"/>
                <w:spacing w:val="-1"/>
              </w:rPr>
              <w:t>卓急都，省级消防就国机构</w:t>
            </w:r>
          </w:p>
        </w:tc>
        <w:tc>
          <w:tcPr>
            <w:tcW w:w="3711" w:type="dxa"/>
            <w:vAlign w:val="top"/>
          </w:tcPr>
          <w:p>
            <w:pPr>
              <w:pStyle w:val="TableText"/>
              <w:ind w:left="66"/>
              <w:spacing w:before="34" w:line="217" w:lineRule="auto"/>
              <w:rPr>
                <w:sz w:val="17"/>
                <w:szCs w:val="17"/>
              </w:rPr>
            </w:pPr>
            <w:r>
              <w:rPr>
                <w:sz w:val="17"/>
                <w:szCs w:val="17"/>
              </w:rPr>
              <w:t>中华人是共和超用防法5</w:t>
            </w:r>
          </w:p>
          <w:p>
            <w:pPr>
              <w:pStyle w:val="TableText"/>
              <w:spacing w:line="210" w:lineRule="auto"/>
              <w:rPr>
                <w:sz w:val="17"/>
                <w:szCs w:val="17"/>
              </w:rPr>
            </w:pPr>
            <w:r>
              <w:rPr>
                <w:sz w:val="17"/>
                <w:szCs w:val="17"/>
                <w:spacing w:val="-2"/>
              </w:rPr>
              <w:t>《国家职业质格山票(2021年原x</w:t>
            </w:r>
          </w:p>
        </w:tc>
      </w:tr>
      <w:tr>
        <w:trPr>
          <w:trHeight w:val="504" w:hRule="atLeast"/>
        </w:trPr>
        <w:tc>
          <w:tcPr>
            <w:tcW w:w="574" w:type="dxa"/>
            <w:vAlign w:val="top"/>
          </w:tcPr>
          <w:p>
            <w:pPr>
              <w:pStyle w:val="TableText"/>
              <w:ind w:left="144"/>
              <w:spacing w:before="219" w:line="183" w:lineRule="auto"/>
              <w:rPr>
                <w:sz w:val="17"/>
                <w:szCs w:val="17"/>
              </w:rPr>
            </w:pPr>
            <w:r>
              <w:rPr>
                <w:sz w:val="17"/>
                <w:szCs w:val="17"/>
                <w:spacing w:val="-3"/>
              </w:rPr>
              <w:t>507</w:t>
            </w:r>
          </w:p>
        </w:tc>
        <w:tc>
          <w:tcPr>
            <w:tcW w:w="1299" w:type="dxa"/>
            <w:vAlign w:val="top"/>
          </w:tcPr>
          <w:p>
            <w:pPr>
              <w:pStyle w:val="TableText"/>
              <w:ind w:left="380"/>
              <w:spacing w:before="176" w:line="219" w:lineRule="auto"/>
              <w:rPr>
                <w:sz w:val="17"/>
                <w:szCs w:val="17"/>
              </w:rPr>
            </w:pPr>
            <w:r>
              <w:rPr>
                <w:sz w:val="17"/>
                <w:szCs w:val="17"/>
                <w:spacing w:val="-2"/>
              </w:rPr>
              <w:t>应急部</w:t>
            </w:r>
          </w:p>
        </w:tc>
        <w:tc>
          <w:tcPr>
            <w:tcW w:w="1638" w:type="dxa"/>
            <w:vAlign w:val="top"/>
          </w:tcPr>
          <w:p>
            <w:pPr>
              <w:pStyle w:val="TableText"/>
              <w:ind w:left="42" w:right="55" w:firstLine="10"/>
              <w:spacing w:before="87" w:line="212" w:lineRule="auto"/>
              <w:rPr>
                <w:sz w:val="17"/>
                <w:szCs w:val="17"/>
              </w:rPr>
            </w:pPr>
            <w:r>
              <w:rPr>
                <w:sz w:val="17"/>
                <w:szCs w:val="17"/>
                <w:spacing w:val="-2"/>
              </w:rPr>
              <w:t>前防设施接作员职业</w:t>
            </w:r>
            <w:r>
              <w:rPr>
                <w:sz w:val="17"/>
                <w:szCs w:val="17"/>
                <w:spacing w:val="7"/>
              </w:rPr>
              <w:t xml:space="preserve"> </w:t>
            </w:r>
            <w:r>
              <w:rPr>
                <w:sz w:val="17"/>
                <w:szCs w:val="17"/>
                <w:spacing w:val="-2"/>
              </w:rPr>
              <w:t>策格认定</w:t>
            </w:r>
          </w:p>
        </w:tc>
        <w:tc>
          <w:tcPr>
            <w:tcW w:w="2367" w:type="dxa"/>
            <w:vAlign w:val="top"/>
          </w:tcPr>
          <w:p>
            <w:pPr>
              <w:pStyle w:val="TableText"/>
              <w:ind w:left="54" w:firstLine="9"/>
              <w:spacing w:before="85" w:line="218" w:lineRule="auto"/>
              <w:rPr>
                <w:sz w:val="17"/>
                <w:szCs w:val="17"/>
              </w:rPr>
            </w:pPr>
            <w:r>
              <w:rPr>
                <w:sz w:val="17"/>
                <w:szCs w:val="17"/>
                <w:spacing w:val="-7"/>
              </w:rPr>
              <w:t>应急用消防教段局，依级消防行</w:t>
            </w:r>
            <w:r>
              <w:rPr>
                <w:sz w:val="17"/>
                <w:szCs w:val="17"/>
                <w:spacing w:val="9"/>
              </w:rPr>
              <w:t xml:space="preserve"> </w:t>
            </w:r>
            <w:r>
              <w:rPr>
                <w:sz w:val="17"/>
                <w:szCs w:val="17"/>
                <w:spacing w:val="-1"/>
              </w:rPr>
              <w:t>业职业技能是定机构</w:t>
            </w:r>
          </w:p>
        </w:tc>
        <w:tc>
          <w:tcPr>
            <w:tcW w:w="3711" w:type="dxa"/>
            <w:vAlign w:val="top"/>
          </w:tcPr>
          <w:p>
            <w:pPr>
              <w:pStyle w:val="TableText"/>
              <w:ind w:left="66"/>
              <w:spacing w:before="64" w:line="219" w:lineRule="auto"/>
              <w:rPr>
                <w:sz w:val="17"/>
                <w:szCs w:val="17"/>
              </w:rPr>
            </w:pPr>
            <w:r>
              <w:rPr>
                <w:sz w:val="17"/>
                <w:szCs w:val="17"/>
                <w:spacing w:val="-1"/>
              </w:rPr>
              <w:t>4*华人屋共和智精防法》</w:t>
            </w:r>
          </w:p>
          <w:p>
            <w:pPr>
              <w:pStyle w:val="TableText"/>
              <w:ind w:left="66"/>
              <w:spacing w:before="28" w:line="216" w:lineRule="auto"/>
              <w:rPr>
                <w:sz w:val="17"/>
                <w:szCs w:val="17"/>
              </w:rPr>
            </w:pPr>
            <w:r>
              <w:rPr>
                <w:sz w:val="17"/>
                <w:szCs w:val="17"/>
              </w:rPr>
              <w:t>国家款业青格口解(2021年版)1</w:t>
            </w:r>
          </w:p>
        </w:tc>
      </w:tr>
    </w:tbl>
    <w:p>
      <w:pPr>
        <w:pStyle w:val="BodyText"/>
        <w:rPr/>
      </w:pPr>
      <w:r/>
    </w:p>
    <w:p>
      <w:pPr>
        <w:sectPr>
          <w:pgSz w:w="11910" w:h="8220"/>
          <w:pgMar w:top="400" w:right="117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76352" behindDoc="0" locked="0" layoutInCell="0" allowOverlap="1">
                <wp:simplePos x="0" y="0"/>
                <wp:positionH relativeFrom="page">
                  <wp:posOffset>464260</wp:posOffset>
                </wp:positionH>
                <wp:positionV relativeFrom="page">
                  <wp:posOffset>617472</wp:posOffset>
                </wp:positionV>
                <wp:extent cx="172720" cy="157479"/>
                <wp:effectExtent l="0" t="0" r="0" b="0"/>
                <wp:wrapNone/>
                <wp:docPr id="270" name="TextBox 270"/>
                <wp:cNvGraphicFramePr/>
                <a:graphic>
                  <a:graphicData uri="http://schemas.microsoft.com/office/word/2010/wordprocessingShape">
                    <wps:wsp>
                      <wps:cNvSpPr txBox="1"/>
                      <wps:spPr>
                        <a:xfrm rot="5400000">
                          <a:off x="464260" y="61747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2" style="position:absolute;margin-left:36.556pt;margin-top:48.6199pt;mso-position-vertical-relative:page;mso-position-horizontal-relative:page;width:13.6pt;height:12.4pt;z-index:25187635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216</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中卖主管部门</w:t>
            </w:r>
          </w:p>
        </w:tc>
        <w:tc>
          <w:tcPr>
            <w:tcW w:w="1638" w:type="dxa"/>
            <w:vAlign w:val="top"/>
          </w:tcPr>
          <w:p>
            <w:pPr>
              <w:pStyle w:val="TableText"/>
              <w:ind w:left="461"/>
              <w:spacing w:before="132" w:line="220" w:lineRule="auto"/>
              <w:rPr>
                <w:sz w:val="16"/>
                <w:szCs w:val="16"/>
              </w:rPr>
            </w:pPr>
            <w:r>
              <w:rPr>
                <w:sz w:val="16"/>
                <w:szCs w:val="16"/>
                <w:spacing w:val="-2"/>
              </w:rPr>
              <w:t>事项名称</w:t>
            </w:r>
          </w:p>
        </w:tc>
        <w:tc>
          <w:tcPr>
            <w:tcW w:w="2377" w:type="dxa"/>
            <w:vAlign w:val="top"/>
          </w:tcPr>
          <w:p>
            <w:pPr>
              <w:pStyle w:val="TableText"/>
              <w:ind w:left="836"/>
              <w:spacing w:before="128" w:line="219" w:lineRule="auto"/>
              <w:rPr>
                <w:sz w:val="16"/>
                <w:szCs w:val="16"/>
              </w:rPr>
            </w:pPr>
            <w:r>
              <w:rPr>
                <w:sz w:val="16"/>
                <w:szCs w:val="16"/>
                <w:b/>
                <w:bCs/>
                <w:spacing w:val="-4"/>
              </w:rPr>
              <w:t>实雄机关</w:t>
            </w:r>
          </w:p>
        </w:tc>
        <w:tc>
          <w:tcPr>
            <w:tcW w:w="3711" w:type="dxa"/>
            <w:vAlign w:val="top"/>
          </w:tcPr>
          <w:p>
            <w:pPr>
              <w:pStyle w:val="TableText"/>
              <w:ind w:left="1259"/>
              <w:spacing w:before="128" w:line="219" w:lineRule="auto"/>
              <w:rPr>
                <w:sz w:val="16"/>
                <w:szCs w:val="16"/>
              </w:rPr>
            </w:pPr>
            <w:r>
              <w:rPr>
                <w:sz w:val="16"/>
                <w:szCs w:val="16"/>
                <w:b/>
                <w:bCs/>
                <w:spacing w:val="-3"/>
              </w:rPr>
              <w:t>设定和实施依挪</w:t>
            </w:r>
          </w:p>
        </w:tc>
      </w:tr>
      <w:tr>
        <w:trPr>
          <w:trHeight w:val="479" w:hRule="atLeast"/>
        </w:trPr>
        <w:tc>
          <w:tcPr>
            <w:tcW w:w="574" w:type="dxa"/>
            <w:vAlign w:val="top"/>
          </w:tcPr>
          <w:p>
            <w:pPr>
              <w:pStyle w:val="TableText"/>
              <w:ind w:left="154"/>
              <w:spacing w:before="197" w:line="183" w:lineRule="auto"/>
              <w:rPr>
                <w:sz w:val="16"/>
                <w:szCs w:val="16"/>
              </w:rPr>
            </w:pPr>
            <w:r>
              <w:rPr>
                <w:sz w:val="16"/>
                <w:szCs w:val="16"/>
                <w:spacing w:val="-3"/>
              </w:rPr>
              <w:t>30H</w:t>
            </w:r>
          </w:p>
        </w:tc>
        <w:tc>
          <w:tcPr>
            <w:tcW w:w="1299" w:type="dxa"/>
            <w:vAlign w:val="top"/>
          </w:tcPr>
          <w:p>
            <w:pPr>
              <w:pStyle w:val="TableText"/>
              <w:ind w:left="400"/>
              <w:spacing w:before="157" w:line="220" w:lineRule="auto"/>
              <w:rPr>
                <w:sz w:val="16"/>
                <w:szCs w:val="16"/>
              </w:rPr>
            </w:pPr>
            <w:r>
              <w:rPr>
                <w:sz w:val="16"/>
                <w:szCs w:val="16"/>
                <w:spacing w:val="-2"/>
              </w:rPr>
              <w:t>后急靠</w:t>
            </w:r>
          </w:p>
        </w:tc>
        <w:tc>
          <w:tcPr>
            <w:tcW w:w="1638" w:type="dxa"/>
            <w:vAlign w:val="top"/>
          </w:tcPr>
          <w:p>
            <w:pPr>
              <w:pStyle w:val="TableText"/>
              <w:ind w:left="42"/>
              <w:spacing w:before="156" w:line="219" w:lineRule="auto"/>
              <w:rPr>
                <w:sz w:val="16"/>
                <w:szCs w:val="16"/>
              </w:rPr>
            </w:pPr>
            <w:r>
              <w:rPr>
                <w:sz w:val="16"/>
                <w:szCs w:val="16"/>
                <w:spacing w:val="-1"/>
              </w:rPr>
              <w:t>在厨发全工称第在册</w:t>
            </w:r>
          </w:p>
        </w:tc>
        <w:tc>
          <w:tcPr>
            <w:tcW w:w="2377" w:type="dxa"/>
            <w:vAlign w:val="top"/>
          </w:tcPr>
          <w:p>
            <w:pPr>
              <w:pStyle w:val="TableText"/>
              <w:ind w:left="54"/>
              <w:spacing w:before="156" w:line="219" w:lineRule="auto"/>
              <w:rPr>
                <w:sz w:val="16"/>
                <w:szCs w:val="16"/>
              </w:rPr>
            </w:pPr>
            <w:r>
              <w:rPr>
                <w:sz w:val="16"/>
                <w:szCs w:val="16"/>
                <w:spacing w:val="1"/>
              </w:rPr>
              <w:t>风意部，置级应总有莲等门</w:t>
            </w:r>
          </w:p>
        </w:tc>
        <w:tc>
          <w:tcPr>
            <w:tcW w:w="3711" w:type="dxa"/>
            <w:vAlign w:val="top"/>
          </w:tcPr>
          <w:p>
            <w:pPr>
              <w:pStyle w:val="TableText"/>
              <w:ind w:left="56"/>
              <w:spacing w:before="66" w:line="242" w:lineRule="auto"/>
              <w:rPr>
                <w:sz w:val="16"/>
                <w:szCs w:val="16"/>
              </w:rPr>
            </w:pPr>
            <w:r>
              <w:rPr>
                <w:sz w:val="16"/>
                <w:szCs w:val="16"/>
                <w:spacing w:val="-1"/>
              </w:rPr>
              <w:t>1中作人民共和国安全生产法》</w:t>
            </w:r>
          </w:p>
          <w:p>
            <w:pPr>
              <w:pStyle w:val="TableText"/>
              <w:ind w:left="56"/>
              <w:spacing w:line="219" w:lineRule="auto"/>
              <w:rPr>
                <w:sz w:val="16"/>
                <w:szCs w:val="16"/>
              </w:rPr>
            </w:pPr>
            <w:r>
              <w:rPr>
                <w:sz w:val="16"/>
                <w:szCs w:val="16"/>
                <w:spacing w:val="2"/>
              </w:rPr>
              <w:t>国家职业资格日录(2021年版)</w:t>
            </w:r>
          </w:p>
        </w:tc>
      </w:tr>
      <w:tr>
        <w:trPr>
          <w:trHeight w:val="669" w:hRule="atLeast"/>
        </w:trPr>
        <w:tc>
          <w:tcPr>
            <w:tcW w:w="574" w:type="dxa"/>
            <w:vAlign w:val="top"/>
          </w:tcPr>
          <w:p>
            <w:pPr>
              <w:spacing w:line="245" w:lineRule="auto"/>
              <w:rPr>
                <w:rFonts w:ascii="Arial"/>
                <w:sz w:val="21"/>
              </w:rPr>
            </w:pPr>
            <w:r/>
          </w:p>
          <w:p>
            <w:pPr>
              <w:pStyle w:val="TableText"/>
              <w:ind w:left="154"/>
              <w:spacing w:before="52" w:line="183" w:lineRule="auto"/>
              <w:rPr>
                <w:sz w:val="16"/>
                <w:szCs w:val="16"/>
              </w:rPr>
            </w:pPr>
            <w:r>
              <w:rPr>
                <w:sz w:val="16"/>
                <w:szCs w:val="16"/>
                <w:spacing w:val="-3"/>
              </w:rPr>
              <w:t>509</w:t>
            </w:r>
          </w:p>
        </w:tc>
        <w:tc>
          <w:tcPr>
            <w:tcW w:w="1299" w:type="dxa"/>
            <w:vAlign w:val="top"/>
          </w:tcPr>
          <w:p>
            <w:pPr>
              <w:pStyle w:val="TableText"/>
              <w:ind w:left="400"/>
              <w:spacing w:before="259" w:line="221" w:lineRule="auto"/>
              <w:rPr>
                <w:sz w:val="16"/>
                <w:szCs w:val="16"/>
              </w:rPr>
            </w:pPr>
            <w:r>
              <w:rPr>
                <w:sz w:val="16"/>
                <w:szCs w:val="16"/>
                <w:spacing w:val="-2"/>
              </w:rPr>
              <w:t>应急而</w:t>
            </w:r>
          </w:p>
        </w:tc>
        <w:tc>
          <w:tcPr>
            <w:tcW w:w="1638" w:type="dxa"/>
            <w:vAlign w:val="top"/>
          </w:tcPr>
          <w:p>
            <w:pPr>
              <w:pStyle w:val="TableText"/>
              <w:ind w:left="32" w:right="162"/>
              <w:spacing w:before="167" w:line="220" w:lineRule="auto"/>
              <w:rPr>
                <w:sz w:val="16"/>
                <w:szCs w:val="16"/>
              </w:rPr>
            </w:pPr>
            <w:r>
              <w:rPr>
                <w:sz w:val="16"/>
                <w:szCs w:val="16"/>
                <w:spacing w:val="-1"/>
              </w:rPr>
              <w:t>特种作业人员钢款资</w:t>
            </w:r>
            <w:r>
              <w:rPr>
                <w:sz w:val="16"/>
                <w:szCs w:val="16"/>
                <w:spacing w:val="1"/>
              </w:rPr>
              <w:t xml:space="preserve"> </w:t>
            </w:r>
            <w:r>
              <w:rPr>
                <w:sz w:val="16"/>
                <w:szCs w:val="16"/>
                <w:spacing w:val="3"/>
              </w:rPr>
              <w:t>防认定</w:t>
            </w:r>
          </w:p>
        </w:tc>
        <w:tc>
          <w:tcPr>
            <w:tcW w:w="2377" w:type="dxa"/>
            <w:vAlign w:val="top"/>
          </w:tcPr>
          <w:p>
            <w:pPr>
              <w:pStyle w:val="TableText"/>
              <w:ind w:left="54"/>
              <w:spacing w:before="257" w:line="219" w:lineRule="auto"/>
              <w:rPr>
                <w:sz w:val="16"/>
                <w:szCs w:val="16"/>
              </w:rPr>
            </w:pPr>
            <w:r>
              <w:rPr>
                <w:sz w:val="16"/>
                <w:szCs w:val="16"/>
                <w:spacing w:val="2"/>
              </w:rPr>
              <w:t>含凝应急管理都门</w:t>
            </w:r>
          </w:p>
        </w:tc>
        <w:tc>
          <w:tcPr>
            <w:tcW w:w="3711" w:type="dxa"/>
            <w:vAlign w:val="top"/>
          </w:tcPr>
          <w:p>
            <w:pPr>
              <w:pStyle w:val="TableText"/>
              <w:ind w:left="56"/>
              <w:spacing w:before="57" w:line="219" w:lineRule="auto"/>
              <w:rPr>
                <w:sz w:val="16"/>
                <w:szCs w:val="16"/>
              </w:rPr>
            </w:pPr>
            <w:r>
              <w:rPr>
                <w:sz w:val="16"/>
                <w:szCs w:val="16"/>
                <w:spacing w:val="-1"/>
              </w:rPr>
              <w:t>K中华人民共和国安全生产陆?</w:t>
            </w:r>
          </w:p>
          <w:p>
            <w:pPr>
              <w:pStyle w:val="TableText"/>
              <w:ind w:left="79" w:right="537" w:hanging="79"/>
              <w:spacing w:before="1" w:line="236" w:lineRule="auto"/>
              <w:rPr>
                <w:sz w:val="16"/>
                <w:szCs w:val="16"/>
              </w:rPr>
            </w:pPr>
            <w:r>
              <w:rPr>
                <w:sz w:val="16"/>
                <w:szCs w:val="16"/>
                <w:spacing w:val="-2"/>
              </w:rPr>
              <w:t>《排种作业人益安全技术培通考社管理规定》</w:t>
            </w:r>
            <w:r>
              <w:rPr>
                <w:sz w:val="16"/>
                <w:szCs w:val="16"/>
                <w:spacing w:val="2"/>
              </w:rPr>
              <w:t xml:space="preserve"> </w:t>
            </w:r>
            <w:r>
              <w:rPr>
                <w:sz w:val="16"/>
                <w:szCs w:val="16"/>
                <w:spacing w:val="1"/>
              </w:rPr>
              <w:t>国家刷业资桥目录(2021年版)</w:t>
            </w:r>
          </w:p>
        </w:tc>
      </w:tr>
      <w:tr>
        <w:trPr>
          <w:trHeight w:val="469" w:hRule="atLeast"/>
        </w:trPr>
        <w:tc>
          <w:tcPr>
            <w:tcW w:w="574" w:type="dxa"/>
            <w:vAlign w:val="top"/>
          </w:tcPr>
          <w:p>
            <w:pPr>
              <w:pStyle w:val="TableText"/>
              <w:ind w:left="154"/>
              <w:spacing w:before="199" w:line="184" w:lineRule="auto"/>
              <w:rPr>
                <w:sz w:val="16"/>
                <w:szCs w:val="16"/>
              </w:rPr>
            </w:pPr>
            <w:r>
              <w:rPr>
                <w:sz w:val="16"/>
                <w:szCs w:val="16"/>
                <w:spacing w:val="-3"/>
              </w:rPr>
              <w:t>51m</w:t>
            </w:r>
          </w:p>
        </w:tc>
        <w:tc>
          <w:tcPr>
            <w:tcW w:w="1299" w:type="dxa"/>
            <w:vAlign w:val="top"/>
          </w:tcPr>
          <w:p>
            <w:pPr>
              <w:pStyle w:val="TableText"/>
              <w:ind w:left="400"/>
              <w:spacing w:before="158" w:line="219" w:lineRule="auto"/>
              <w:rPr>
                <w:sz w:val="16"/>
                <w:szCs w:val="16"/>
              </w:rPr>
            </w:pPr>
            <w:r>
              <w:rPr>
                <w:sz w:val="16"/>
                <w:szCs w:val="16"/>
                <w:spacing w:val="2"/>
              </w:rPr>
              <w:t>资皇部</w:t>
            </w:r>
          </w:p>
        </w:tc>
        <w:tc>
          <w:tcPr>
            <w:tcW w:w="1638" w:type="dxa"/>
            <w:vAlign w:val="top"/>
          </w:tcPr>
          <w:p>
            <w:pPr>
              <w:pStyle w:val="TableText"/>
              <w:ind w:left="42" w:right="152"/>
              <w:spacing w:before="58" w:line="226" w:lineRule="auto"/>
              <w:rPr>
                <w:sz w:val="16"/>
                <w:szCs w:val="16"/>
              </w:rPr>
            </w:pPr>
            <w:r>
              <w:rPr>
                <w:sz w:val="16"/>
                <w:szCs w:val="16"/>
                <w:spacing w:val="-1"/>
              </w:rPr>
              <w:t>重大工程抗育设防要</w:t>
            </w:r>
            <w:r>
              <w:rPr>
                <w:sz w:val="16"/>
                <w:szCs w:val="16"/>
                <w:spacing w:val="1"/>
              </w:rPr>
              <w:t xml:space="preserve"> </w:t>
            </w:r>
            <w:r>
              <w:rPr>
                <w:sz w:val="16"/>
                <w:szCs w:val="16"/>
                <w:spacing w:val="-2"/>
              </w:rPr>
              <w:t>求审定</w:t>
            </w:r>
          </w:p>
        </w:tc>
        <w:tc>
          <w:tcPr>
            <w:tcW w:w="2377" w:type="dxa"/>
            <w:vAlign w:val="top"/>
          </w:tcPr>
          <w:p>
            <w:pPr>
              <w:pStyle w:val="TableText"/>
              <w:ind w:left="54"/>
              <w:spacing w:before="158" w:line="219" w:lineRule="auto"/>
              <w:rPr>
                <w:sz w:val="16"/>
                <w:szCs w:val="16"/>
              </w:rPr>
            </w:pPr>
            <w:r>
              <w:rPr>
                <w:sz w:val="16"/>
                <w:szCs w:val="16"/>
                <w:spacing w:val="1"/>
              </w:rPr>
              <w:t>中国地需局，省维培重部门</w:t>
            </w:r>
          </w:p>
        </w:tc>
        <w:tc>
          <w:tcPr>
            <w:tcW w:w="3711" w:type="dxa"/>
            <w:vAlign w:val="top"/>
          </w:tcPr>
          <w:p>
            <w:pPr>
              <w:pStyle w:val="TableText"/>
              <w:spacing w:before="68" w:line="229" w:lineRule="auto"/>
              <w:rPr>
                <w:sz w:val="16"/>
                <w:szCs w:val="16"/>
              </w:rPr>
            </w:pPr>
            <w:r>
              <w:rPr>
                <w:sz w:val="16"/>
                <w:szCs w:val="16"/>
                <w:spacing w:val="-3"/>
              </w:rPr>
              <w:t>《中华人民共和国防囊筑笑陆》</w:t>
            </w:r>
          </w:p>
          <w:p>
            <w:pPr>
              <w:pStyle w:val="TableText"/>
              <w:ind w:left="79"/>
              <w:spacing w:line="217" w:lineRule="auto"/>
              <w:rPr>
                <w:sz w:val="16"/>
                <w:szCs w:val="16"/>
              </w:rPr>
            </w:pPr>
            <w:r>
              <w:rPr>
                <w:sz w:val="16"/>
                <w:szCs w:val="16"/>
                <w:spacing w:val="1"/>
              </w:rPr>
              <w:t>(地属安全性评价管界禁例)</w:t>
            </w:r>
          </w:p>
        </w:tc>
      </w:tr>
      <w:tr>
        <w:trPr>
          <w:trHeight w:val="669" w:hRule="atLeast"/>
        </w:trPr>
        <w:tc>
          <w:tcPr>
            <w:tcW w:w="574" w:type="dxa"/>
            <w:vAlign w:val="top"/>
          </w:tcPr>
          <w:p>
            <w:pPr>
              <w:spacing w:line="246" w:lineRule="auto"/>
              <w:rPr>
                <w:rFonts w:ascii="Arial"/>
                <w:sz w:val="21"/>
              </w:rPr>
            </w:pPr>
            <w:r/>
          </w:p>
          <w:p>
            <w:pPr>
              <w:pStyle w:val="TableText"/>
              <w:ind w:left="154"/>
              <w:spacing w:before="52" w:line="184" w:lineRule="auto"/>
              <w:rPr>
                <w:sz w:val="16"/>
                <w:szCs w:val="16"/>
              </w:rPr>
            </w:pPr>
            <w:r>
              <w:rPr>
                <w:sz w:val="16"/>
                <w:szCs w:val="16"/>
                <w:spacing w:val="-3"/>
              </w:rPr>
              <w:t>511</w:t>
            </w:r>
          </w:p>
        </w:tc>
        <w:tc>
          <w:tcPr>
            <w:tcW w:w="1299" w:type="dxa"/>
            <w:vAlign w:val="top"/>
          </w:tcPr>
          <w:p>
            <w:pPr>
              <w:pStyle w:val="TableText"/>
              <w:ind w:left="400"/>
              <w:spacing w:before="259" w:line="219" w:lineRule="auto"/>
              <w:rPr>
                <w:sz w:val="16"/>
                <w:szCs w:val="16"/>
              </w:rPr>
            </w:pPr>
            <w:r>
              <w:rPr>
                <w:sz w:val="16"/>
                <w:szCs w:val="16"/>
                <w:spacing w:val="-2"/>
              </w:rPr>
              <w:t>些象命</w:t>
            </w:r>
          </w:p>
        </w:tc>
        <w:tc>
          <w:tcPr>
            <w:tcW w:w="1638" w:type="dxa"/>
            <w:vAlign w:val="top"/>
          </w:tcPr>
          <w:p>
            <w:pPr>
              <w:pStyle w:val="TableText"/>
              <w:ind w:left="52" w:right="132" w:hanging="10"/>
              <w:spacing w:before="50" w:line="234" w:lineRule="auto"/>
              <w:jc w:val="both"/>
              <w:rPr>
                <w:sz w:val="16"/>
                <w:szCs w:val="16"/>
              </w:rPr>
            </w:pPr>
            <w:r>
              <w:rPr>
                <w:sz w:val="16"/>
                <w:szCs w:val="16"/>
                <w:spacing w:val="-2"/>
              </w:rPr>
              <w:t>外回项织或者个人在</w:t>
            </w:r>
            <w:r>
              <w:rPr>
                <w:sz w:val="16"/>
                <w:szCs w:val="16"/>
                <w:spacing w:val="7"/>
              </w:rPr>
              <w:t xml:space="preserve"> </w:t>
            </w:r>
            <w:r>
              <w:rPr>
                <w:sz w:val="16"/>
                <w:szCs w:val="16"/>
              </w:rPr>
              <w:t>华从牵隐常盐画需动</w:t>
            </w:r>
            <w:r>
              <w:rPr>
                <w:sz w:val="16"/>
                <w:szCs w:val="16"/>
                <w:spacing w:val="2"/>
              </w:rPr>
              <w:t xml:space="preserve"> </w:t>
            </w:r>
            <w:r>
              <w:rPr>
                <w:sz w:val="16"/>
                <w:szCs w:val="16"/>
                <w:spacing w:val="3"/>
              </w:rPr>
              <w:t>审批</w:t>
            </w:r>
          </w:p>
        </w:tc>
        <w:tc>
          <w:tcPr>
            <w:tcW w:w="2377" w:type="dxa"/>
            <w:vAlign w:val="top"/>
          </w:tcPr>
          <w:p>
            <w:pPr>
              <w:pStyle w:val="TableText"/>
              <w:ind w:left="54"/>
              <w:spacing w:before="258" w:line="219" w:lineRule="auto"/>
              <w:rPr>
                <w:sz w:val="16"/>
                <w:szCs w:val="16"/>
              </w:rPr>
            </w:pPr>
            <w:r>
              <w:rPr>
                <w:sz w:val="16"/>
                <w:szCs w:val="16"/>
                <w:spacing w:val="1"/>
              </w:rPr>
              <w:t>中国地演场会同有关师门</w:t>
            </w:r>
          </w:p>
        </w:tc>
        <w:tc>
          <w:tcPr>
            <w:tcW w:w="3711" w:type="dxa"/>
            <w:vAlign w:val="top"/>
          </w:tcPr>
          <w:p>
            <w:pPr>
              <w:pStyle w:val="TableText"/>
              <w:ind w:left="79"/>
              <w:spacing w:before="169" w:line="242" w:lineRule="auto"/>
              <w:rPr>
                <w:sz w:val="16"/>
                <w:szCs w:val="16"/>
              </w:rPr>
            </w:pPr>
            <w:r>
              <w:rPr>
                <w:sz w:val="16"/>
                <w:szCs w:val="16"/>
              </w:rPr>
              <w:t>中华人园其和国防宣城完法!</w:t>
            </w:r>
          </w:p>
          <w:p>
            <w:pPr>
              <w:pStyle w:val="TableText"/>
              <w:spacing w:line="219" w:lineRule="auto"/>
              <w:rPr>
                <w:sz w:val="16"/>
                <w:szCs w:val="16"/>
              </w:rPr>
            </w:pPr>
            <w:r>
              <w:rPr>
                <w:sz w:val="16"/>
                <w:szCs w:val="16"/>
                <w:spacing w:val="-2"/>
              </w:rPr>
              <w:t>《培查些副管理春例)</w:t>
            </w:r>
          </w:p>
        </w:tc>
      </w:tr>
      <w:tr>
        <w:trPr>
          <w:trHeight w:val="679" w:hRule="atLeast"/>
        </w:trPr>
        <w:tc>
          <w:tcPr>
            <w:tcW w:w="574" w:type="dxa"/>
            <w:vAlign w:val="top"/>
          </w:tcPr>
          <w:p>
            <w:pPr>
              <w:spacing w:line="247" w:lineRule="auto"/>
              <w:rPr>
                <w:rFonts w:ascii="Arial"/>
                <w:sz w:val="21"/>
              </w:rPr>
            </w:pPr>
            <w:r/>
          </w:p>
          <w:p>
            <w:pPr>
              <w:pStyle w:val="TableText"/>
              <w:ind w:left="154"/>
              <w:spacing w:before="52" w:line="184" w:lineRule="auto"/>
              <w:rPr>
                <w:sz w:val="16"/>
                <w:szCs w:val="16"/>
              </w:rPr>
            </w:pPr>
            <w:r>
              <w:rPr>
                <w:sz w:val="16"/>
                <w:szCs w:val="16"/>
                <w:spacing w:val="-3"/>
              </w:rPr>
              <w:t>512</w:t>
            </w:r>
          </w:p>
        </w:tc>
        <w:tc>
          <w:tcPr>
            <w:tcW w:w="1299" w:type="dxa"/>
            <w:vAlign w:val="top"/>
          </w:tcPr>
          <w:p>
            <w:pPr>
              <w:pStyle w:val="TableText"/>
              <w:ind w:left="360"/>
              <w:spacing w:before="261" w:line="220" w:lineRule="auto"/>
              <w:rPr>
                <w:sz w:val="16"/>
                <w:szCs w:val="16"/>
              </w:rPr>
            </w:pPr>
            <w:r>
              <w:rPr>
                <w:sz w:val="16"/>
                <w:szCs w:val="16"/>
                <w:spacing w:val="-1"/>
              </w:rPr>
              <w:t>A风恒行</w:t>
            </w:r>
          </w:p>
        </w:tc>
        <w:tc>
          <w:tcPr>
            <w:tcW w:w="1638" w:type="dxa"/>
            <w:vAlign w:val="top"/>
          </w:tcPr>
          <w:p>
            <w:pPr>
              <w:pStyle w:val="TableText"/>
              <w:ind w:left="11" w:right="141" w:firstLine="40"/>
              <w:spacing w:before="81" w:line="226" w:lineRule="auto"/>
              <w:jc w:val="both"/>
              <w:rPr>
                <w:sz w:val="16"/>
                <w:szCs w:val="16"/>
              </w:rPr>
            </w:pPr>
            <w:r>
              <w:rPr>
                <w:sz w:val="16"/>
                <w:szCs w:val="16"/>
                <w:spacing w:val="-1"/>
              </w:rPr>
              <w:t>在报方同有春市品卖</w:t>
            </w:r>
            <w:r>
              <w:rPr>
                <w:sz w:val="16"/>
                <w:szCs w:val="16"/>
                <w:spacing w:val="2"/>
              </w:rPr>
              <w:t xml:space="preserve"> </w:t>
            </w:r>
            <w:r>
              <w:rPr>
                <w:sz w:val="16"/>
                <w:szCs w:val="16"/>
                <w:spacing w:val="1"/>
              </w:rPr>
              <w:t>到填外发行全融值券</w:t>
            </w:r>
            <w:r>
              <w:rPr>
                <w:sz w:val="16"/>
                <w:szCs w:val="16"/>
              </w:rPr>
              <w:t xml:space="preserve"> </w:t>
            </w:r>
            <w:r>
              <w:rPr>
                <w:sz w:val="16"/>
                <w:szCs w:val="16"/>
                <w:spacing w:val="-2"/>
              </w:rPr>
              <w:t>律批</w:t>
            </w:r>
          </w:p>
        </w:tc>
        <w:tc>
          <w:tcPr>
            <w:tcW w:w="2377" w:type="dxa"/>
            <w:vAlign w:val="top"/>
          </w:tcPr>
          <w:p>
            <w:pPr>
              <w:pStyle w:val="TableText"/>
              <w:ind w:left="54"/>
              <w:spacing w:before="261" w:line="220" w:lineRule="auto"/>
              <w:rPr>
                <w:sz w:val="16"/>
                <w:szCs w:val="16"/>
              </w:rPr>
            </w:pPr>
            <w:r>
              <w:rPr>
                <w:sz w:val="16"/>
                <w:szCs w:val="16"/>
                <w:spacing w:val="-2"/>
              </w:rPr>
              <w:t>人民德行</w:t>
            </w:r>
          </w:p>
        </w:tc>
        <w:tc>
          <w:tcPr>
            <w:tcW w:w="3711" w:type="dxa"/>
            <w:vAlign w:val="top"/>
          </w:tcPr>
          <w:p>
            <w:pPr>
              <w:pStyle w:val="TableText"/>
              <w:ind w:left="56"/>
              <w:spacing w:before="180" w:line="231" w:lineRule="auto"/>
              <w:rPr>
                <w:sz w:val="16"/>
                <w:szCs w:val="16"/>
              </w:rPr>
            </w:pPr>
            <w:r>
              <w:rPr>
                <w:sz w:val="16"/>
                <w:szCs w:val="16"/>
                <w:spacing w:val="-1"/>
              </w:rPr>
              <w:t>下中华人民其和量中国人民假石些</w:t>
            </w:r>
          </w:p>
          <w:p>
            <w:pPr>
              <w:pStyle w:val="TableText"/>
              <w:ind w:left="56"/>
              <w:spacing w:line="219" w:lineRule="auto"/>
              <w:rPr>
                <w:sz w:val="16"/>
                <w:szCs w:val="16"/>
              </w:rPr>
            </w:pPr>
            <w:r>
              <w:rPr>
                <w:sz w:val="16"/>
                <w:szCs w:val="16"/>
                <w:spacing w:val="-1"/>
              </w:rPr>
              <w:t>L中车人园共和国能业盛程认》</w:t>
            </w:r>
          </w:p>
        </w:tc>
      </w:tr>
      <w:tr>
        <w:trPr>
          <w:trHeight w:val="869" w:hRule="atLeast"/>
        </w:trPr>
        <w:tc>
          <w:tcPr>
            <w:tcW w:w="574" w:type="dxa"/>
            <w:vAlign w:val="top"/>
          </w:tcPr>
          <w:p>
            <w:pPr>
              <w:spacing w:line="347" w:lineRule="auto"/>
              <w:rPr>
                <w:rFonts w:ascii="Arial"/>
                <w:sz w:val="21"/>
              </w:rPr>
            </w:pPr>
            <w:r/>
          </w:p>
          <w:p>
            <w:pPr>
              <w:pStyle w:val="TableText"/>
              <w:ind w:left="154"/>
              <w:spacing w:before="52" w:line="184" w:lineRule="auto"/>
              <w:rPr>
                <w:sz w:val="16"/>
                <w:szCs w:val="16"/>
              </w:rPr>
            </w:pPr>
            <w:r>
              <w:rPr>
                <w:sz w:val="16"/>
                <w:szCs w:val="16"/>
                <w:spacing w:val="-3"/>
              </w:rPr>
              <w:t>513</w:t>
            </w:r>
          </w:p>
        </w:tc>
        <w:tc>
          <w:tcPr>
            <w:tcW w:w="1299" w:type="dxa"/>
            <w:vAlign w:val="top"/>
          </w:tcPr>
          <w:p>
            <w:pPr>
              <w:spacing w:line="306" w:lineRule="auto"/>
              <w:rPr>
                <w:rFonts w:ascii="Arial"/>
                <w:sz w:val="21"/>
              </w:rPr>
            </w:pPr>
            <w:r/>
          </w:p>
          <w:p>
            <w:pPr>
              <w:pStyle w:val="TableText"/>
              <w:ind w:left="320"/>
              <w:spacing w:before="52" w:line="219" w:lineRule="auto"/>
              <w:rPr>
                <w:sz w:val="16"/>
                <w:szCs w:val="16"/>
              </w:rPr>
            </w:pPr>
            <w:r>
              <w:rPr>
                <w:sz w:val="16"/>
                <w:szCs w:val="16"/>
                <w:spacing w:val="4"/>
              </w:rPr>
              <w:t>人砚银币</w:t>
            </w:r>
          </w:p>
        </w:tc>
        <w:tc>
          <w:tcPr>
            <w:tcW w:w="1638" w:type="dxa"/>
            <w:vAlign w:val="top"/>
          </w:tcPr>
          <w:p>
            <w:pPr>
              <w:pStyle w:val="TableText"/>
              <w:ind w:left="42" w:right="221" w:firstLine="169"/>
              <w:spacing w:before="251" w:line="231" w:lineRule="auto"/>
              <w:rPr>
                <w:sz w:val="16"/>
                <w:szCs w:val="16"/>
              </w:rPr>
            </w:pPr>
            <w:r>
              <w:rPr>
                <w:sz w:val="16"/>
                <w:szCs w:val="16"/>
                <w:spacing w:val="-1"/>
              </w:rPr>
              <w:t>业银行.得用社代</w:t>
            </w:r>
            <w:r>
              <w:rPr>
                <w:sz w:val="16"/>
                <w:szCs w:val="16"/>
                <w:spacing w:val="1"/>
              </w:rPr>
              <w:t xml:space="preserve"> </w:t>
            </w:r>
            <w:r>
              <w:rPr>
                <w:sz w:val="16"/>
                <w:szCs w:val="16"/>
                <w:spacing w:val="-1"/>
              </w:rPr>
              <w:t>理支萍业务事批</w:t>
            </w:r>
          </w:p>
        </w:tc>
        <w:tc>
          <w:tcPr>
            <w:tcW w:w="2377" w:type="dxa"/>
            <w:vAlign w:val="top"/>
          </w:tcPr>
          <w:p>
            <w:pPr>
              <w:pStyle w:val="TableText"/>
              <w:ind w:left="54" w:right="70" w:firstLine="10"/>
              <w:spacing w:before="270" w:line="220" w:lineRule="auto"/>
              <w:rPr>
                <w:sz w:val="16"/>
                <w:szCs w:val="16"/>
              </w:rPr>
            </w:pPr>
            <w:r>
              <w:rPr>
                <w:sz w:val="16"/>
                <w:szCs w:val="16"/>
                <w:spacing w:val="-1"/>
              </w:rPr>
              <w:t>人民银行省师，副省领分支机构</w:t>
            </w:r>
            <w:r>
              <w:rPr>
                <w:sz w:val="16"/>
                <w:szCs w:val="16"/>
                <w:spacing w:val="5"/>
              </w:rPr>
              <w:t xml:space="preserve"> </w:t>
            </w:r>
            <w:r>
              <w:rPr>
                <w:sz w:val="16"/>
                <w:szCs w:val="16"/>
                <w:spacing w:val="3"/>
              </w:rPr>
              <w:t>(由址市中心支行量理)</w:t>
            </w:r>
          </w:p>
        </w:tc>
        <w:tc>
          <w:tcPr>
            <w:tcW w:w="3711" w:type="dxa"/>
            <w:vAlign w:val="top"/>
          </w:tcPr>
          <w:p>
            <w:pPr>
              <w:pStyle w:val="TableText"/>
              <w:ind w:left="98" w:right="143" w:hanging="98"/>
              <w:spacing w:before="70" w:line="214" w:lineRule="auto"/>
              <w:rPr>
                <w:sz w:val="16"/>
                <w:szCs w:val="16"/>
              </w:rPr>
            </w:pPr>
            <w:r>
              <w:rPr>
                <w:sz w:val="16"/>
                <w:szCs w:val="16"/>
                <w:spacing w:val="1"/>
              </w:rPr>
              <w:t>【母务貌对壶需保前的行政审批力目段定行改许可</w:t>
            </w:r>
            <w:r>
              <w:rPr>
                <w:sz w:val="16"/>
                <w:szCs w:val="16"/>
                <w:spacing w:val="14"/>
              </w:rPr>
              <w:t xml:space="preserve"> </w:t>
            </w:r>
            <w:r>
              <w:rPr>
                <w:sz w:val="16"/>
                <w:szCs w:val="16"/>
                <w:spacing w:val="-2"/>
              </w:rPr>
              <w:t>的决定》</w:t>
            </w:r>
          </w:p>
          <w:p>
            <w:pPr>
              <w:pStyle w:val="TableText"/>
              <w:ind w:left="56" w:right="124" w:hanging="10"/>
              <w:spacing w:before="20" w:line="229" w:lineRule="auto"/>
              <w:rPr>
                <w:sz w:val="16"/>
                <w:szCs w:val="16"/>
              </w:rPr>
            </w:pPr>
            <w:r>
              <w:rPr>
                <w:sz w:val="16"/>
                <w:szCs w:val="16"/>
              </w:rPr>
              <w:t>1两业能行，信川社代理支库业务源批工作观程t督</w:t>
            </w:r>
            <w:r>
              <w:rPr>
                <w:sz w:val="16"/>
                <w:szCs w:val="16"/>
                <w:spacing w:val="8"/>
              </w:rPr>
              <w:t xml:space="preserve"> </w:t>
            </w:r>
            <w:r>
              <w:rPr>
                <w:sz w:val="16"/>
                <w:szCs w:val="16"/>
                <w:spacing w:val="2"/>
              </w:rPr>
              <w:t>行》服发(2005)N9号)</w:t>
            </w:r>
          </w:p>
        </w:tc>
      </w:tr>
      <w:tr>
        <w:trPr>
          <w:trHeight w:val="469" w:hRule="atLeast"/>
        </w:trPr>
        <w:tc>
          <w:tcPr>
            <w:tcW w:w="574" w:type="dxa"/>
            <w:vAlign w:val="top"/>
          </w:tcPr>
          <w:p>
            <w:pPr>
              <w:pStyle w:val="TableText"/>
              <w:ind w:left="194"/>
              <w:spacing w:before="203" w:line="183" w:lineRule="auto"/>
              <w:rPr>
                <w:sz w:val="16"/>
                <w:szCs w:val="16"/>
              </w:rPr>
            </w:pPr>
            <w:r>
              <w:rPr>
                <w:sz w:val="16"/>
                <w:szCs w:val="16"/>
                <w:spacing w:val="-2"/>
              </w:rPr>
              <w:t>67</w:t>
            </w:r>
          </w:p>
        </w:tc>
        <w:tc>
          <w:tcPr>
            <w:tcW w:w="1299" w:type="dxa"/>
            <w:vAlign w:val="top"/>
          </w:tcPr>
          <w:p>
            <w:pPr>
              <w:pStyle w:val="TableText"/>
              <w:ind w:left="320"/>
              <w:spacing w:before="163" w:line="220" w:lineRule="auto"/>
              <w:rPr>
                <w:sz w:val="16"/>
                <w:szCs w:val="16"/>
              </w:rPr>
            </w:pPr>
            <w:r>
              <w:rPr>
                <w:sz w:val="16"/>
                <w:szCs w:val="16"/>
                <w:spacing w:val="-2"/>
              </w:rPr>
              <w:t>人民银行</w:t>
            </w:r>
          </w:p>
        </w:tc>
        <w:tc>
          <w:tcPr>
            <w:tcW w:w="1638" w:type="dxa"/>
            <w:vAlign w:val="top"/>
          </w:tcPr>
          <w:p>
            <w:pPr>
              <w:pStyle w:val="TableText"/>
              <w:ind w:left="52" w:right="162" w:hanging="20"/>
              <w:spacing w:before="62" w:line="219" w:lineRule="auto"/>
              <w:rPr>
                <w:sz w:val="16"/>
                <w:szCs w:val="16"/>
              </w:rPr>
            </w:pPr>
            <w:r>
              <w:rPr>
                <w:sz w:val="16"/>
                <w:szCs w:val="16"/>
                <w:spacing w:val="-1"/>
              </w:rPr>
              <w:t>包行问信春市场结算</w:t>
            </w:r>
            <w:r>
              <w:rPr>
                <w:sz w:val="16"/>
                <w:szCs w:val="16"/>
                <w:spacing w:val="1"/>
              </w:rPr>
              <w:t xml:space="preserve"> </w:t>
            </w:r>
            <w:r>
              <w:rPr>
                <w:sz w:val="16"/>
                <w:szCs w:val="16"/>
                <w:spacing w:val="-1"/>
              </w:rPr>
              <w:t>代真人审北</w:t>
            </w:r>
          </w:p>
        </w:tc>
        <w:tc>
          <w:tcPr>
            <w:tcW w:w="2377" w:type="dxa"/>
            <w:vAlign w:val="top"/>
          </w:tcPr>
          <w:p>
            <w:pPr>
              <w:pStyle w:val="TableText"/>
              <w:ind w:left="54"/>
              <w:spacing w:before="163" w:line="220" w:lineRule="auto"/>
              <w:rPr>
                <w:sz w:val="16"/>
                <w:szCs w:val="16"/>
              </w:rPr>
            </w:pPr>
            <w:r>
              <w:rPr>
                <w:sz w:val="16"/>
                <w:szCs w:val="16"/>
                <w:spacing w:val="-2"/>
              </w:rPr>
              <w:t>人民银行</w:t>
            </w:r>
          </w:p>
        </w:tc>
        <w:tc>
          <w:tcPr>
            <w:tcW w:w="3711" w:type="dxa"/>
            <w:vAlign w:val="top"/>
          </w:tcPr>
          <w:p>
            <w:pPr>
              <w:pStyle w:val="TableText"/>
              <w:ind w:left="56" w:right="197"/>
              <w:spacing w:before="62" w:line="220" w:lineRule="auto"/>
              <w:rPr>
                <w:sz w:val="16"/>
                <w:szCs w:val="16"/>
              </w:rPr>
            </w:pPr>
            <w:r>
              <w:rPr>
                <w:sz w:val="16"/>
                <w:szCs w:val="16"/>
              </w:rPr>
              <w:t>1国务院对确简保面的行避审批巩算设定行政许可</w:t>
            </w:r>
            <w:r>
              <w:rPr>
                <w:sz w:val="16"/>
                <w:szCs w:val="16"/>
                <w:spacing w:val="5"/>
              </w:rPr>
              <w:t xml:space="preserve"> </w:t>
            </w:r>
            <w:r>
              <w:rPr>
                <w:sz w:val="16"/>
                <w:szCs w:val="16"/>
                <w:spacing w:val="3"/>
              </w:rPr>
              <w:t>的皮定</w:t>
            </w:r>
          </w:p>
        </w:tc>
      </w:tr>
      <w:tr>
        <w:trPr>
          <w:trHeight w:val="669" w:hRule="atLeast"/>
        </w:trPr>
        <w:tc>
          <w:tcPr>
            <w:tcW w:w="574" w:type="dxa"/>
            <w:vAlign w:val="top"/>
          </w:tcPr>
          <w:p>
            <w:pPr>
              <w:spacing w:line="251" w:lineRule="auto"/>
              <w:rPr>
                <w:rFonts w:ascii="Arial"/>
                <w:sz w:val="21"/>
              </w:rPr>
            </w:pPr>
            <w:r/>
          </w:p>
          <w:p>
            <w:pPr>
              <w:pStyle w:val="TableText"/>
              <w:ind w:left="154"/>
              <w:spacing w:before="52" w:line="183" w:lineRule="auto"/>
              <w:rPr>
                <w:sz w:val="16"/>
                <w:szCs w:val="16"/>
              </w:rPr>
            </w:pPr>
            <w:r>
              <w:rPr>
                <w:sz w:val="16"/>
                <w:szCs w:val="16"/>
                <w:spacing w:val="-2"/>
              </w:rPr>
              <w:t>608</w:t>
            </w:r>
          </w:p>
        </w:tc>
        <w:tc>
          <w:tcPr>
            <w:tcW w:w="1299" w:type="dxa"/>
            <w:vAlign w:val="top"/>
          </w:tcPr>
          <w:p>
            <w:pPr>
              <w:pStyle w:val="TableText"/>
              <w:ind w:left="320"/>
              <w:spacing w:before="264" w:line="220" w:lineRule="auto"/>
              <w:rPr>
                <w:sz w:val="16"/>
                <w:szCs w:val="16"/>
              </w:rPr>
            </w:pPr>
            <w:r>
              <w:rPr>
                <w:sz w:val="16"/>
                <w:szCs w:val="16"/>
                <w:spacing w:val="-2"/>
              </w:rPr>
              <w:t>人配银行</w:t>
            </w:r>
          </w:p>
        </w:tc>
        <w:tc>
          <w:tcPr>
            <w:tcW w:w="1638" w:type="dxa"/>
            <w:vAlign w:val="top"/>
          </w:tcPr>
          <w:p>
            <w:pPr>
              <w:pStyle w:val="TableText"/>
              <w:ind w:left="52" w:right="132" w:hanging="20"/>
              <w:spacing w:before="163" w:line="225" w:lineRule="auto"/>
              <w:rPr>
                <w:sz w:val="16"/>
                <w:szCs w:val="16"/>
              </w:rPr>
            </w:pPr>
            <w:r>
              <w:rPr>
                <w:sz w:val="16"/>
                <w:szCs w:val="16"/>
                <w:spacing w:val="2"/>
              </w:rPr>
              <w:t>黄金及式制品逝山口</w:t>
            </w:r>
            <w:r>
              <w:rPr>
                <w:sz w:val="16"/>
                <w:szCs w:val="16"/>
                <w:spacing w:val="4"/>
              </w:rPr>
              <w:t xml:space="preserve"> </w:t>
            </w:r>
            <w:r>
              <w:rPr>
                <w:sz w:val="16"/>
                <w:szCs w:val="16"/>
                <w:spacing w:val="3"/>
              </w:rPr>
              <w:t>审社</w:t>
            </w:r>
          </w:p>
        </w:tc>
        <w:tc>
          <w:tcPr>
            <w:tcW w:w="2377" w:type="dxa"/>
            <w:vAlign w:val="top"/>
          </w:tcPr>
          <w:p>
            <w:pPr>
              <w:pStyle w:val="TableText"/>
              <w:ind w:left="273" w:right="50" w:hanging="190"/>
              <w:spacing w:before="53" w:line="230" w:lineRule="auto"/>
              <w:rPr>
                <w:sz w:val="16"/>
                <w:szCs w:val="16"/>
              </w:rPr>
            </w:pPr>
            <w:r>
              <w:rPr>
                <w:sz w:val="16"/>
                <w:szCs w:val="16"/>
                <w:spacing w:val="-1"/>
              </w:rPr>
              <w:t>人民做行；入民银行省级分支机</w:t>
            </w:r>
            <w:r>
              <w:rPr>
                <w:sz w:val="16"/>
                <w:szCs w:val="16"/>
                <w:spacing w:val="5"/>
              </w:rPr>
              <w:t xml:space="preserve"> </w:t>
            </w:r>
            <w:r>
              <w:rPr>
                <w:sz w:val="16"/>
                <w:szCs w:val="16"/>
              </w:rPr>
              <w:t>山设区的市敬以上分支机构</w:t>
            </w:r>
          </w:p>
          <w:p>
            <w:pPr>
              <w:pStyle w:val="TableText"/>
              <w:ind w:left="54"/>
              <w:spacing w:before="22" w:line="212" w:lineRule="auto"/>
              <w:rPr>
                <w:sz w:val="16"/>
                <w:szCs w:val="16"/>
              </w:rPr>
            </w:pPr>
            <w:r>
              <w:rPr>
                <w:sz w:val="16"/>
                <w:szCs w:val="16"/>
                <w:spacing w:val="-3"/>
              </w:rPr>
              <w:t>受理</w:t>
            </w:r>
          </w:p>
        </w:tc>
        <w:tc>
          <w:tcPr>
            <w:tcW w:w="3711" w:type="dxa"/>
            <w:vAlign w:val="top"/>
          </w:tcPr>
          <w:p>
            <w:pPr>
              <w:pStyle w:val="TableText"/>
              <w:ind w:left="56" w:right="197" w:firstLine="80"/>
              <w:spacing w:before="42" w:line="237" w:lineRule="auto"/>
              <w:rPr>
                <w:sz w:val="16"/>
                <w:szCs w:val="16"/>
              </w:rPr>
            </w:pPr>
            <w:r>
              <w:rPr>
                <w:sz w:val="16"/>
                <w:szCs w:val="16"/>
              </w:rPr>
              <w:t>国务院对助育保间的行改审批项目设定有政作可</w:t>
            </w:r>
            <w:r>
              <w:rPr>
                <w:sz w:val="16"/>
                <w:szCs w:val="16"/>
                <w:spacing w:val="5"/>
              </w:rPr>
              <w:t xml:space="preserve"> </w:t>
            </w:r>
            <w:r>
              <w:rPr>
                <w:sz w:val="16"/>
                <w:szCs w:val="16"/>
                <w:spacing w:val="3"/>
              </w:rPr>
              <w:t>的决度</w:t>
            </w:r>
          </w:p>
          <w:p>
            <w:pPr>
              <w:pStyle w:val="TableText"/>
              <w:ind w:left="56"/>
              <w:spacing w:before="29" w:line="203" w:lineRule="auto"/>
              <w:rPr>
                <w:sz w:val="16"/>
                <w:szCs w:val="16"/>
              </w:rPr>
            </w:pPr>
            <w:r>
              <w:rPr>
                <w:sz w:val="16"/>
                <w:szCs w:val="16"/>
                <w:spacing w:val="2"/>
              </w:rPr>
              <w:t>黄金及黄全制品进出习看国办法)</w:t>
            </w:r>
          </w:p>
        </w:tc>
      </w:tr>
      <w:tr>
        <w:trPr>
          <w:trHeight w:val="469" w:hRule="atLeast"/>
        </w:trPr>
        <w:tc>
          <w:tcPr>
            <w:tcW w:w="574" w:type="dxa"/>
            <w:vAlign w:val="top"/>
          </w:tcPr>
          <w:p>
            <w:pPr>
              <w:pStyle w:val="TableText"/>
              <w:ind w:left="154"/>
              <w:spacing w:before="205" w:line="183" w:lineRule="auto"/>
              <w:rPr>
                <w:sz w:val="16"/>
                <w:szCs w:val="16"/>
              </w:rPr>
            </w:pPr>
            <w:r>
              <w:rPr>
                <w:sz w:val="16"/>
                <w:szCs w:val="16"/>
                <w:spacing w:val="-3"/>
              </w:rPr>
              <w:t>506</w:t>
            </w:r>
          </w:p>
        </w:tc>
        <w:tc>
          <w:tcPr>
            <w:tcW w:w="1299" w:type="dxa"/>
            <w:vAlign w:val="top"/>
          </w:tcPr>
          <w:p>
            <w:pPr>
              <w:pStyle w:val="TableText"/>
              <w:ind w:left="320"/>
              <w:spacing w:before="165" w:line="220" w:lineRule="auto"/>
              <w:rPr>
                <w:sz w:val="16"/>
                <w:szCs w:val="16"/>
              </w:rPr>
            </w:pPr>
            <w:r>
              <w:rPr>
                <w:sz w:val="16"/>
                <w:szCs w:val="16"/>
                <w:spacing w:val="-2"/>
              </w:rPr>
              <w:t>人民银行</w:t>
            </w:r>
          </w:p>
        </w:tc>
        <w:tc>
          <w:tcPr>
            <w:tcW w:w="1638" w:type="dxa"/>
            <w:vAlign w:val="top"/>
          </w:tcPr>
          <w:p>
            <w:pPr>
              <w:pStyle w:val="TableText"/>
              <w:ind w:left="42"/>
              <w:spacing w:before="165" w:line="220" w:lineRule="auto"/>
              <w:rPr>
                <w:sz w:val="16"/>
                <w:szCs w:val="16"/>
              </w:rPr>
            </w:pPr>
            <w:r>
              <w:rPr>
                <w:sz w:val="16"/>
                <w:szCs w:val="16"/>
                <w:spacing w:val="-1"/>
              </w:rPr>
              <w:t>银行非户开户作可</w:t>
            </w:r>
          </w:p>
        </w:tc>
        <w:tc>
          <w:tcPr>
            <w:tcW w:w="2377" w:type="dxa"/>
            <w:vAlign w:val="top"/>
          </w:tcPr>
          <w:p>
            <w:pPr>
              <w:pStyle w:val="TableText"/>
              <w:ind w:left="54"/>
              <w:spacing w:before="163" w:line="219" w:lineRule="auto"/>
              <w:rPr>
                <w:sz w:val="16"/>
                <w:szCs w:val="16"/>
              </w:rPr>
            </w:pPr>
            <w:r>
              <w:rPr>
                <w:sz w:val="16"/>
                <w:szCs w:val="16"/>
                <w:spacing w:val="-1"/>
              </w:rPr>
              <w:t>人园恒行及其分支机构</w:t>
            </w:r>
          </w:p>
        </w:tc>
        <w:tc>
          <w:tcPr>
            <w:tcW w:w="3711" w:type="dxa"/>
            <w:vAlign w:val="top"/>
          </w:tcPr>
          <w:p>
            <w:pPr>
              <w:pStyle w:val="TableText"/>
              <w:ind w:left="56" w:right="130"/>
              <w:spacing w:before="44" w:line="231" w:lineRule="auto"/>
              <w:rPr>
                <w:sz w:val="16"/>
                <w:szCs w:val="16"/>
              </w:rPr>
            </w:pPr>
            <w:r>
              <w:rPr>
                <w:sz w:val="16"/>
                <w:szCs w:val="16"/>
                <w:spacing w:val="-1"/>
              </w:rPr>
              <w:t>个国务能别格前保前的行改审批境日设定有收碎可</w:t>
            </w:r>
            <w:r>
              <w:rPr>
                <w:sz w:val="16"/>
                <w:szCs w:val="16"/>
                <w:spacing w:val="14"/>
              </w:rPr>
              <w:t xml:space="preserve"> </w:t>
            </w:r>
            <w:r>
              <w:rPr>
                <w:sz w:val="16"/>
                <w:szCs w:val="16"/>
                <w:spacing w:val="4"/>
              </w:rPr>
              <w:t>的决应1</w:t>
            </w:r>
          </w:p>
        </w:tc>
      </w:tr>
      <w:tr>
        <w:trPr>
          <w:trHeight w:val="724" w:hRule="atLeast"/>
        </w:trPr>
        <w:tc>
          <w:tcPr>
            <w:tcW w:w="574" w:type="dxa"/>
            <w:vAlign w:val="top"/>
          </w:tcPr>
          <w:p>
            <w:pPr>
              <w:spacing w:line="272" w:lineRule="auto"/>
              <w:rPr>
                <w:rFonts w:ascii="Arial"/>
                <w:sz w:val="21"/>
              </w:rPr>
            </w:pPr>
            <w:r/>
          </w:p>
          <w:p>
            <w:pPr>
              <w:pStyle w:val="TableText"/>
              <w:ind w:left="154"/>
              <w:spacing w:before="52" w:line="184" w:lineRule="auto"/>
              <w:rPr>
                <w:sz w:val="16"/>
                <w:szCs w:val="16"/>
              </w:rPr>
            </w:pPr>
            <w:r>
              <w:rPr>
                <w:sz w:val="16"/>
                <w:szCs w:val="16"/>
                <w:spacing w:val="-3"/>
              </w:rPr>
              <w:t>517</w:t>
            </w:r>
          </w:p>
        </w:tc>
        <w:tc>
          <w:tcPr>
            <w:tcW w:w="1299" w:type="dxa"/>
            <w:vAlign w:val="top"/>
          </w:tcPr>
          <w:p>
            <w:pPr>
              <w:pStyle w:val="TableText"/>
              <w:ind w:left="320"/>
              <w:spacing w:before="286" w:line="220" w:lineRule="auto"/>
              <w:rPr>
                <w:sz w:val="16"/>
                <w:szCs w:val="16"/>
              </w:rPr>
            </w:pPr>
            <w:r>
              <w:rPr>
                <w:sz w:val="16"/>
                <w:szCs w:val="16"/>
                <w:spacing w:val="-2"/>
              </w:rPr>
              <w:t>人民租行</w:t>
            </w:r>
          </w:p>
        </w:tc>
        <w:tc>
          <w:tcPr>
            <w:tcW w:w="1638" w:type="dxa"/>
            <w:vAlign w:val="top"/>
          </w:tcPr>
          <w:p>
            <w:pPr>
              <w:pStyle w:val="TableText"/>
              <w:ind w:left="42" w:right="142" w:firstLine="10"/>
              <w:spacing w:before="195" w:line="225" w:lineRule="auto"/>
              <w:rPr>
                <w:sz w:val="16"/>
                <w:szCs w:val="16"/>
              </w:rPr>
            </w:pPr>
            <w:r>
              <w:rPr>
                <w:sz w:val="16"/>
                <w:szCs w:val="16"/>
                <w:spacing w:val="-1"/>
              </w:rPr>
              <w:t>全国恒行间模券市场</w:t>
            </w:r>
            <w:r>
              <w:rPr>
                <w:sz w:val="16"/>
                <w:szCs w:val="16"/>
                <w:spacing w:val="1"/>
              </w:rPr>
              <w:t xml:space="preserve"> </w:t>
            </w:r>
            <w:r>
              <w:rPr>
                <w:sz w:val="16"/>
                <w:szCs w:val="16"/>
                <w:spacing w:val="-2"/>
              </w:rPr>
              <w:t>准人件可</w:t>
            </w:r>
          </w:p>
        </w:tc>
        <w:tc>
          <w:tcPr>
            <w:tcW w:w="2377" w:type="dxa"/>
            <w:vAlign w:val="top"/>
          </w:tcPr>
          <w:p>
            <w:pPr>
              <w:pStyle w:val="TableText"/>
              <w:ind w:left="54" w:right="150" w:firstLine="10"/>
              <w:spacing w:before="185" w:line="231" w:lineRule="auto"/>
              <w:rPr>
                <w:sz w:val="16"/>
                <w:szCs w:val="16"/>
              </w:rPr>
            </w:pPr>
            <w:r>
              <w:rPr>
                <w:sz w:val="16"/>
                <w:szCs w:val="16"/>
                <w:spacing w:val="-1"/>
              </w:rPr>
              <w:t>人民饱行(授程人区银存上高态</w:t>
            </w:r>
            <w:r>
              <w:rPr>
                <w:sz w:val="16"/>
                <w:szCs w:val="16"/>
                <w:spacing w:val="5"/>
              </w:rPr>
              <w:t xml:space="preserve"> </w:t>
            </w:r>
            <w:r>
              <w:rPr>
                <w:sz w:val="16"/>
                <w:szCs w:val="16"/>
                <w:spacing w:val="-2"/>
              </w:rPr>
              <w:t>部承办</w:t>
            </w:r>
          </w:p>
        </w:tc>
        <w:tc>
          <w:tcPr>
            <w:tcW w:w="3711" w:type="dxa"/>
            <w:vAlign w:val="top"/>
          </w:tcPr>
          <w:p>
            <w:pPr>
              <w:pStyle w:val="TableText"/>
              <w:ind w:left="56" w:right="227" w:firstLine="50"/>
              <w:spacing w:before="74" w:line="237" w:lineRule="auto"/>
              <w:rPr>
                <w:sz w:val="16"/>
                <w:szCs w:val="16"/>
              </w:rPr>
            </w:pPr>
            <w:r>
              <w:rPr>
                <w:sz w:val="16"/>
                <w:szCs w:val="16"/>
              </w:rPr>
              <w:t>国务能对填需保留的行故审批项目设定新载开可</w:t>
            </w:r>
            <w:r>
              <w:rPr>
                <w:sz w:val="16"/>
                <w:szCs w:val="16"/>
                <w:spacing w:val="5"/>
              </w:rPr>
              <w:t xml:space="preserve"> </w:t>
            </w:r>
            <w:r>
              <w:rPr>
                <w:sz w:val="16"/>
                <w:szCs w:val="16"/>
              </w:rPr>
              <w:t>的决应》</w:t>
            </w:r>
          </w:p>
          <w:p>
            <w:pPr>
              <w:pStyle w:val="TableText"/>
              <w:ind w:left="56"/>
              <w:spacing w:before="10" w:line="219" w:lineRule="auto"/>
              <w:rPr>
                <w:sz w:val="16"/>
                <w:szCs w:val="16"/>
              </w:rPr>
            </w:pPr>
            <w:r>
              <w:rPr>
                <w:sz w:val="16"/>
                <w:szCs w:val="16"/>
                <w:spacing w:val="1"/>
              </w:rPr>
              <w:t>4中属人民整行公常料2006年第4号)</w:t>
            </w:r>
          </w:p>
        </w:tc>
      </w:tr>
    </w:tbl>
    <w:p>
      <w:pPr>
        <w:pStyle w:val="BodyText"/>
        <w:rPr/>
      </w:pPr>
      <w:r/>
    </w:p>
    <w:p>
      <w:pPr>
        <w:sectPr>
          <w:pgSz w:w="11910" w:h="8220"/>
          <w:pgMar w:top="400" w:right="116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877376"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272" name="TextBox 272"/>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4" style="position:absolute;margin-left:37.0562pt;margin-top:345.119pt;mso-position-vertical-relative:page;mso-position-horizontal-relative:page;width:13.6pt;height:12.4pt;z-index:25187737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217</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11"/>
      </w:tblGrid>
      <w:tr>
        <w:trPr>
          <w:trHeight w:val="425" w:hRule="atLeast"/>
        </w:trPr>
        <w:tc>
          <w:tcPr>
            <w:tcW w:w="594" w:type="dxa"/>
            <w:vAlign w:val="top"/>
          </w:tcPr>
          <w:p>
            <w:pPr>
              <w:pStyle w:val="TableText"/>
              <w:ind w:left="127"/>
              <w:spacing w:before="130" w:line="221" w:lineRule="auto"/>
              <w:rPr>
                <w:sz w:val="16"/>
                <w:szCs w:val="16"/>
              </w:rPr>
            </w:pPr>
            <w:r>
              <w:rPr>
                <w:sz w:val="16"/>
                <w:szCs w:val="16"/>
                <w:b/>
                <w:bCs/>
                <w:spacing w:val="-4"/>
              </w:rPr>
              <w:t>序号</w:t>
            </w:r>
          </w:p>
        </w:tc>
        <w:tc>
          <w:tcPr>
            <w:tcW w:w="1279" w:type="dxa"/>
            <w:vAlign w:val="top"/>
          </w:tcPr>
          <w:p>
            <w:pPr>
              <w:pStyle w:val="TableText"/>
              <w:ind w:left="153"/>
              <w:spacing w:before="129" w:line="219" w:lineRule="auto"/>
              <w:rPr>
                <w:sz w:val="16"/>
                <w:szCs w:val="16"/>
              </w:rPr>
            </w:pPr>
            <w:r>
              <w:rPr>
                <w:sz w:val="16"/>
                <w:szCs w:val="16"/>
                <w:b/>
                <w:bCs/>
              </w:rPr>
              <w:t>中央主管部门</w:t>
            </w:r>
          </w:p>
        </w:tc>
        <w:tc>
          <w:tcPr>
            <w:tcW w:w="1638" w:type="dxa"/>
            <w:vAlign w:val="top"/>
          </w:tcPr>
          <w:p>
            <w:pPr>
              <w:pStyle w:val="TableText"/>
              <w:ind w:left="494"/>
              <w:spacing w:before="129" w:line="220" w:lineRule="auto"/>
              <w:rPr>
                <w:sz w:val="16"/>
                <w:szCs w:val="16"/>
              </w:rPr>
            </w:pPr>
            <w:r>
              <w:rPr>
                <w:sz w:val="16"/>
                <w:szCs w:val="16"/>
                <w:b/>
                <w:bCs/>
                <w:spacing w:val="-3"/>
              </w:rPr>
              <w:t>事项名称</w:t>
            </w:r>
          </w:p>
        </w:tc>
        <w:tc>
          <w:tcPr>
            <w:tcW w:w="2377" w:type="dxa"/>
            <w:vAlign w:val="top"/>
          </w:tcPr>
          <w:p>
            <w:pPr>
              <w:pStyle w:val="TableText"/>
              <w:ind w:left="846"/>
              <w:spacing w:before="128" w:line="219" w:lineRule="auto"/>
              <w:rPr>
                <w:sz w:val="16"/>
                <w:szCs w:val="16"/>
              </w:rPr>
            </w:pPr>
            <w:r>
              <w:rPr>
                <w:sz w:val="16"/>
                <w:szCs w:val="16"/>
                <w:b/>
                <w:bCs/>
                <w:spacing w:val="-4"/>
              </w:rPr>
              <w:t>实输机关</w:t>
            </w:r>
          </w:p>
        </w:tc>
        <w:tc>
          <w:tcPr>
            <w:tcW w:w="3711" w:type="dxa"/>
            <w:vAlign w:val="top"/>
          </w:tcPr>
          <w:p>
            <w:pPr>
              <w:pStyle w:val="TableText"/>
              <w:ind w:left="1279"/>
              <w:spacing w:before="129" w:line="219" w:lineRule="auto"/>
              <w:rPr>
                <w:sz w:val="16"/>
                <w:szCs w:val="16"/>
              </w:rPr>
            </w:pPr>
            <w:r>
              <w:rPr>
                <w:sz w:val="16"/>
                <w:szCs w:val="16"/>
                <w:b/>
                <w:bCs/>
                <w:spacing w:val="-3"/>
              </w:rPr>
              <w:t>设定和要典策据</w:t>
            </w:r>
          </w:p>
        </w:tc>
      </w:tr>
      <w:tr>
        <w:trPr>
          <w:trHeight w:val="469" w:hRule="atLeast"/>
        </w:trPr>
        <w:tc>
          <w:tcPr>
            <w:tcW w:w="594" w:type="dxa"/>
            <w:vAlign w:val="top"/>
          </w:tcPr>
          <w:p>
            <w:pPr>
              <w:pStyle w:val="TableText"/>
              <w:ind w:left="164"/>
              <w:spacing w:before="196" w:line="184" w:lineRule="auto"/>
              <w:rPr>
                <w:sz w:val="16"/>
                <w:szCs w:val="16"/>
              </w:rPr>
            </w:pPr>
            <w:r>
              <w:rPr>
                <w:sz w:val="16"/>
                <w:szCs w:val="16"/>
                <w:spacing w:val="-3"/>
              </w:rPr>
              <w:t>518</w:t>
            </w:r>
          </w:p>
        </w:tc>
        <w:tc>
          <w:tcPr>
            <w:tcW w:w="1279" w:type="dxa"/>
            <w:vAlign w:val="top"/>
          </w:tcPr>
          <w:p>
            <w:pPr>
              <w:pStyle w:val="TableText"/>
              <w:ind w:left="310"/>
              <w:spacing w:before="157" w:line="220" w:lineRule="auto"/>
              <w:rPr>
                <w:sz w:val="16"/>
                <w:szCs w:val="16"/>
              </w:rPr>
            </w:pPr>
            <w:r>
              <w:rPr>
                <w:sz w:val="16"/>
                <w:szCs w:val="16"/>
                <w:spacing w:val="-2"/>
              </w:rPr>
              <w:t>人民银行</w:t>
            </w:r>
          </w:p>
        </w:tc>
        <w:tc>
          <w:tcPr>
            <w:tcW w:w="1638" w:type="dxa"/>
            <w:vAlign w:val="top"/>
          </w:tcPr>
          <w:p>
            <w:pPr>
              <w:pStyle w:val="TableText"/>
              <w:ind w:left="42" w:right="86" w:firstLine="49"/>
              <w:spacing w:before="75" w:line="214" w:lineRule="auto"/>
              <w:rPr>
                <w:sz w:val="16"/>
                <w:szCs w:val="16"/>
              </w:rPr>
            </w:pPr>
            <w:r>
              <w:rPr>
                <w:sz w:val="16"/>
                <w:szCs w:val="16"/>
                <w:spacing w:val="1"/>
              </w:rPr>
              <w:t>国库集中收付代泉电</w:t>
            </w:r>
            <w:r>
              <w:rPr>
                <w:sz w:val="16"/>
                <w:szCs w:val="16"/>
              </w:rPr>
              <w:t xml:space="preserve"> </w:t>
            </w:r>
            <w:r>
              <w:rPr>
                <w:sz w:val="16"/>
                <w:szCs w:val="16"/>
                <w:spacing w:val="-2"/>
              </w:rPr>
              <w:t>行资格认定</w:t>
            </w:r>
          </w:p>
        </w:tc>
        <w:tc>
          <w:tcPr>
            <w:tcW w:w="2377" w:type="dxa"/>
            <w:vAlign w:val="top"/>
          </w:tcPr>
          <w:p>
            <w:pPr>
              <w:pStyle w:val="TableText"/>
              <w:ind w:left="64"/>
              <w:spacing w:before="155" w:line="219" w:lineRule="auto"/>
              <w:rPr>
                <w:sz w:val="16"/>
                <w:szCs w:val="16"/>
              </w:rPr>
            </w:pPr>
            <w:r>
              <w:rPr>
                <w:sz w:val="16"/>
                <w:szCs w:val="16"/>
                <w:spacing w:val="-1"/>
              </w:rPr>
              <w:t>人民报行及其分支机构</w:t>
            </w:r>
          </w:p>
        </w:tc>
        <w:tc>
          <w:tcPr>
            <w:tcW w:w="3711" w:type="dxa"/>
            <w:vAlign w:val="top"/>
          </w:tcPr>
          <w:p>
            <w:pPr>
              <w:pStyle w:val="TableText"/>
              <w:ind w:left="67" w:right="267"/>
              <w:spacing w:before="66" w:line="225" w:lineRule="auto"/>
              <w:rPr>
                <w:sz w:val="16"/>
                <w:szCs w:val="16"/>
              </w:rPr>
            </w:pPr>
            <w:r>
              <w:rPr>
                <w:sz w:val="16"/>
                <w:szCs w:val="16"/>
              </w:rPr>
              <w:t>国务院对确需保前创行政审批理目设定在收许可</w:t>
            </w:r>
            <w:r>
              <w:rPr>
                <w:sz w:val="16"/>
                <w:szCs w:val="16"/>
                <w:spacing w:val="5"/>
              </w:rPr>
              <w:t xml:space="preserve"> </w:t>
            </w:r>
            <w:r>
              <w:rPr>
                <w:sz w:val="16"/>
                <w:szCs w:val="16"/>
              </w:rPr>
              <w:t>的决定》</w:t>
            </w:r>
          </w:p>
        </w:tc>
      </w:tr>
      <w:tr>
        <w:trPr>
          <w:trHeight w:val="479" w:hRule="atLeast"/>
        </w:trPr>
        <w:tc>
          <w:tcPr>
            <w:tcW w:w="594" w:type="dxa"/>
            <w:vAlign w:val="top"/>
          </w:tcPr>
          <w:p>
            <w:pPr>
              <w:pStyle w:val="TableText"/>
              <w:ind w:left="164"/>
              <w:spacing w:before="198" w:line="184" w:lineRule="auto"/>
              <w:rPr>
                <w:sz w:val="16"/>
                <w:szCs w:val="16"/>
              </w:rPr>
            </w:pPr>
            <w:r>
              <w:rPr>
                <w:sz w:val="16"/>
                <w:szCs w:val="16"/>
                <w:spacing w:val="-3"/>
              </w:rPr>
              <w:t>519</w:t>
            </w:r>
          </w:p>
        </w:tc>
        <w:tc>
          <w:tcPr>
            <w:tcW w:w="1279" w:type="dxa"/>
            <w:vAlign w:val="top"/>
          </w:tcPr>
          <w:p>
            <w:pPr>
              <w:pStyle w:val="TableText"/>
              <w:ind w:left="310"/>
              <w:spacing w:before="158" w:line="220" w:lineRule="auto"/>
              <w:rPr>
                <w:sz w:val="16"/>
                <w:szCs w:val="16"/>
              </w:rPr>
            </w:pPr>
            <w:r>
              <w:rPr>
                <w:sz w:val="16"/>
                <w:szCs w:val="16"/>
                <w:spacing w:val="-2"/>
              </w:rPr>
              <w:t>人民锂行</w:t>
            </w:r>
          </w:p>
        </w:tc>
        <w:tc>
          <w:tcPr>
            <w:tcW w:w="1638" w:type="dxa"/>
            <w:vAlign w:val="top"/>
          </w:tcPr>
          <w:p>
            <w:pPr>
              <w:pStyle w:val="TableText"/>
              <w:ind w:left="22" w:right="102" w:firstLine="69"/>
              <w:spacing w:before="47"/>
              <w:rPr>
                <w:sz w:val="16"/>
                <w:szCs w:val="16"/>
              </w:rPr>
            </w:pPr>
            <w:r>
              <w:rPr>
                <w:sz w:val="16"/>
                <w:szCs w:val="16"/>
                <w:spacing w:val="-1"/>
              </w:rPr>
              <w:t>个人征信业务经费许</w:t>
            </w:r>
            <w:r>
              <w:rPr>
                <w:sz w:val="16"/>
                <w:szCs w:val="16"/>
                <w:spacing w:val="1"/>
              </w:rPr>
              <w:t xml:space="preserve"> </w:t>
            </w:r>
            <w:r>
              <w:rPr>
                <w:sz w:val="16"/>
                <w:szCs w:val="16"/>
              </w:rPr>
              <w:t>可</w:t>
            </w:r>
          </w:p>
        </w:tc>
        <w:tc>
          <w:tcPr>
            <w:tcW w:w="2377" w:type="dxa"/>
            <w:vAlign w:val="top"/>
          </w:tcPr>
          <w:p>
            <w:pPr>
              <w:pStyle w:val="TableText"/>
              <w:ind w:left="64"/>
              <w:spacing w:before="158" w:line="220" w:lineRule="auto"/>
              <w:rPr>
                <w:sz w:val="16"/>
                <w:szCs w:val="16"/>
              </w:rPr>
            </w:pPr>
            <w:r>
              <w:rPr>
                <w:sz w:val="16"/>
                <w:szCs w:val="16"/>
                <w:spacing w:val="-2"/>
              </w:rPr>
              <w:t>人民恨行</w:t>
            </w:r>
          </w:p>
        </w:tc>
        <w:tc>
          <w:tcPr>
            <w:tcW w:w="3711" w:type="dxa"/>
            <w:vAlign w:val="top"/>
          </w:tcPr>
          <w:p>
            <w:pPr>
              <w:pStyle w:val="TableText"/>
              <w:ind w:left="67"/>
              <w:spacing w:before="157" w:line="219" w:lineRule="auto"/>
              <w:rPr>
                <w:sz w:val="16"/>
                <w:szCs w:val="16"/>
              </w:rPr>
            </w:pPr>
            <w:r>
              <w:rPr>
                <w:sz w:val="16"/>
                <w:szCs w:val="16"/>
                <w:spacing w:val="1"/>
              </w:rPr>
              <w:t>1在倩业管要茶同1</w:t>
            </w:r>
          </w:p>
        </w:tc>
      </w:tr>
      <w:tr>
        <w:trPr>
          <w:trHeight w:val="689" w:hRule="atLeast"/>
        </w:trPr>
        <w:tc>
          <w:tcPr>
            <w:tcW w:w="594" w:type="dxa"/>
            <w:vAlign w:val="top"/>
          </w:tcPr>
          <w:p>
            <w:pPr>
              <w:spacing w:line="256" w:lineRule="auto"/>
              <w:rPr>
                <w:rFonts w:ascii="Arial"/>
                <w:sz w:val="21"/>
              </w:rPr>
            </w:pPr>
            <w:r/>
          </w:p>
          <w:p>
            <w:pPr>
              <w:pStyle w:val="TableText"/>
              <w:ind w:left="164"/>
              <w:spacing w:before="52" w:line="183" w:lineRule="auto"/>
              <w:rPr>
                <w:sz w:val="16"/>
                <w:szCs w:val="16"/>
              </w:rPr>
            </w:pPr>
            <w:r>
              <w:rPr>
                <w:sz w:val="16"/>
                <w:szCs w:val="16"/>
                <w:spacing w:val="-3"/>
              </w:rPr>
              <w:t>520</w:t>
            </w:r>
          </w:p>
        </w:tc>
        <w:tc>
          <w:tcPr>
            <w:tcW w:w="1279" w:type="dxa"/>
            <w:vAlign w:val="top"/>
          </w:tcPr>
          <w:p>
            <w:pPr>
              <w:pStyle w:val="TableText"/>
              <w:ind w:left="310"/>
              <w:spacing w:before="269" w:line="220" w:lineRule="auto"/>
              <w:rPr>
                <w:sz w:val="16"/>
                <w:szCs w:val="16"/>
              </w:rPr>
            </w:pPr>
            <w:r>
              <w:rPr>
                <w:sz w:val="16"/>
                <w:szCs w:val="16"/>
                <w:spacing w:val="-2"/>
              </w:rPr>
              <w:t>人民银行</w:t>
            </w:r>
          </w:p>
        </w:tc>
        <w:tc>
          <w:tcPr>
            <w:tcW w:w="1638" w:type="dxa"/>
            <w:vAlign w:val="top"/>
          </w:tcPr>
          <w:p>
            <w:pPr>
              <w:pStyle w:val="TableText"/>
              <w:ind w:left="42" w:right="74" w:firstLine="129"/>
              <w:spacing w:before="78" w:line="223" w:lineRule="auto"/>
              <w:rPr>
                <w:sz w:val="16"/>
                <w:szCs w:val="16"/>
              </w:rPr>
            </w:pPr>
            <w:r>
              <w:rPr>
                <w:sz w:val="16"/>
                <w:szCs w:val="16"/>
                <w:spacing w:val="-1"/>
              </w:rPr>
              <w:t>个人征信机构董事</w:t>
            </w:r>
            <w:r>
              <w:rPr>
                <w:sz w:val="16"/>
                <w:szCs w:val="16"/>
              </w:rPr>
              <w:t xml:space="preserve">  </w:t>
            </w:r>
            <w:r>
              <w:rPr>
                <w:sz w:val="16"/>
                <w:szCs w:val="16"/>
                <w:spacing w:val="7"/>
              </w:rPr>
              <w:t>监事和高统管题人员 </w:t>
            </w:r>
            <w:r>
              <w:rPr>
                <w:sz w:val="16"/>
                <w:szCs w:val="16"/>
                <w:spacing w:val="-1"/>
              </w:rPr>
              <w:t>任职览格林准</w:t>
            </w:r>
          </w:p>
        </w:tc>
        <w:tc>
          <w:tcPr>
            <w:tcW w:w="2377" w:type="dxa"/>
            <w:vAlign w:val="top"/>
          </w:tcPr>
          <w:p>
            <w:pPr>
              <w:pStyle w:val="TableText"/>
              <w:ind w:left="64"/>
              <w:spacing w:before="269" w:line="220" w:lineRule="auto"/>
              <w:rPr>
                <w:sz w:val="16"/>
                <w:szCs w:val="16"/>
              </w:rPr>
            </w:pPr>
            <w:r>
              <w:rPr>
                <w:sz w:val="16"/>
                <w:szCs w:val="16"/>
                <w:spacing w:val="-2"/>
              </w:rPr>
              <w:t>人民银行</w:t>
            </w:r>
          </w:p>
        </w:tc>
        <w:tc>
          <w:tcPr>
            <w:tcW w:w="3711" w:type="dxa"/>
            <w:vAlign w:val="top"/>
          </w:tcPr>
          <w:p>
            <w:pPr>
              <w:pStyle w:val="TableText"/>
              <w:spacing w:before="268" w:line="219" w:lineRule="auto"/>
              <w:rPr>
                <w:sz w:val="16"/>
                <w:szCs w:val="16"/>
              </w:rPr>
            </w:pPr>
            <w:r>
              <w:rPr>
                <w:sz w:val="16"/>
                <w:szCs w:val="16"/>
                <w:spacing w:val="-2"/>
              </w:rPr>
              <w:t>《红信业管理事例1</w:t>
            </w:r>
          </w:p>
        </w:tc>
      </w:tr>
      <w:tr>
        <w:trPr>
          <w:trHeight w:val="469" w:hRule="atLeast"/>
        </w:trPr>
        <w:tc>
          <w:tcPr>
            <w:tcW w:w="594" w:type="dxa"/>
            <w:vAlign w:val="top"/>
          </w:tcPr>
          <w:p>
            <w:pPr>
              <w:pStyle w:val="TableText"/>
              <w:ind w:left="164"/>
              <w:spacing w:before="201" w:line="182" w:lineRule="auto"/>
              <w:rPr>
                <w:sz w:val="16"/>
                <w:szCs w:val="16"/>
              </w:rPr>
            </w:pPr>
            <w:r>
              <w:rPr>
                <w:sz w:val="16"/>
                <w:szCs w:val="16"/>
              </w:rPr>
              <w:t>5</w:t>
            </w:r>
          </w:p>
        </w:tc>
        <w:tc>
          <w:tcPr>
            <w:tcW w:w="1279" w:type="dxa"/>
            <w:vAlign w:val="top"/>
          </w:tcPr>
          <w:p>
            <w:pPr>
              <w:pStyle w:val="TableText"/>
              <w:ind w:left="310"/>
              <w:spacing w:before="159" w:line="219" w:lineRule="auto"/>
              <w:rPr>
                <w:sz w:val="16"/>
                <w:szCs w:val="16"/>
              </w:rPr>
            </w:pPr>
            <w:r>
              <w:rPr>
                <w:sz w:val="16"/>
                <w:szCs w:val="16"/>
                <w:spacing w:val="-2"/>
              </w:rPr>
              <w:t>人国侧行</w:t>
            </w:r>
          </w:p>
        </w:tc>
        <w:tc>
          <w:tcPr>
            <w:tcW w:w="1638" w:type="dxa"/>
            <w:vAlign w:val="top"/>
          </w:tcPr>
          <w:p>
            <w:pPr>
              <w:pStyle w:val="TableText"/>
              <w:ind w:left="42" w:right="74" w:firstLine="49"/>
              <w:spacing w:before="68" w:line="220" w:lineRule="auto"/>
              <w:rPr>
                <w:sz w:val="16"/>
                <w:szCs w:val="16"/>
              </w:rPr>
            </w:pPr>
            <w:r>
              <w:rPr>
                <w:sz w:val="16"/>
                <w:szCs w:val="16"/>
                <w:spacing w:val="2"/>
              </w:rPr>
              <w:t>填外注情机构在填内 </w:t>
            </w:r>
            <w:r>
              <w:rPr>
                <w:sz w:val="16"/>
                <w:szCs w:val="16"/>
                <w:spacing w:val="-1"/>
              </w:rPr>
              <w:t>经营征偿费务审批</w:t>
            </w:r>
          </w:p>
        </w:tc>
        <w:tc>
          <w:tcPr>
            <w:tcW w:w="2377" w:type="dxa"/>
            <w:vAlign w:val="top"/>
          </w:tcPr>
          <w:p>
            <w:pPr>
              <w:pStyle w:val="TableText"/>
              <w:ind w:left="64"/>
              <w:spacing w:before="160" w:line="220" w:lineRule="auto"/>
              <w:rPr>
                <w:sz w:val="16"/>
                <w:szCs w:val="16"/>
              </w:rPr>
            </w:pPr>
            <w:r>
              <w:rPr>
                <w:sz w:val="16"/>
                <w:szCs w:val="16"/>
                <w:spacing w:val="-2"/>
              </w:rPr>
              <w:t>人民银行</w:t>
            </w:r>
          </w:p>
        </w:tc>
        <w:tc>
          <w:tcPr>
            <w:tcW w:w="3711" w:type="dxa"/>
            <w:vAlign w:val="top"/>
          </w:tcPr>
          <w:p>
            <w:pPr>
              <w:pStyle w:val="TableText"/>
              <w:ind w:left="67"/>
              <w:spacing w:before="158" w:line="219" w:lineRule="auto"/>
              <w:rPr>
                <w:sz w:val="16"/>
                <w:szCs w:val="16"/>
              </w:rPr>
            </w:pPr>
            <w:r>
              <w:rPr>
                <w:sz w:val="16"/>
                <w:szCs w:val="16"/>
                <w:spacing w:val="1"/>
              </w:rPr>
              <w:t>(征情业管理条州1</w:t>
            </w:r>
          </w:p>
        </w:tc>
      </w:tr>
      <w:tr>
        <w:trPr>
          <w:trHeight w:val="479" w:hRule="atLeast"/>
        </w:trPr>
        <w:tc>
          <w:tcPr>
            <w:tcW w:w="594" w:type="dxa"/>
            <w:vAlign w:val="top"/>
          </w:tcPr>
          <w:p>
            <w:pPr>
              <w:pStyle w:val="TableText"/>
              <w:ind w:left="164"/>
              <w:spacing w:before="201" w:line="183" w:lineRule="auto"/>
              <w:rPr>
                <w:sz w:val="16"/>
                <w:szCs w:val="16"/>
              </w:rPr>
            </w:pPr>
            <w:r>
              <w:rPr>
                <w:sz w:val="16"/>
                <w:szCs w:val="16"/>
                <w:spacing w:val="-3"/>
              </w:rPr>
              <w:t>52</w:t>
            </w:r>
          </w:p>
        </w:tc>
        <w:tc>
          <w:tcPr>
            <w:tcW w:w="1279" w:type="dxa"/>
            <w:vAlign w:val="top"/>
          </w:tcPr>
          <w:p>
            <w:pPr>
              <w:pStyle w:val="TableText"/>
              <w:ind w:left="310"/>
              <w:spacing w:before="161" w:line="220" w:lineRule="auto"/>
              <w:rPr>
                <w:sz w:val="16"/>
                <w:szCs w:val="16"/>
              </w:rPr>
            </w:pPr>
            <w:r>
              <w:rPr>
                <w:sz w:val="16"/>
                <w:szCs w:val="16"/>
                <w:spacing w:val="-2"/>
              </w:rPr>
              <w:t>人民锥行</w:t>
            </w:r>
          </w:p>
        </w:tc>
        <w:tc>
          <w:tcPr>
            <w:tcW w:w="1638" w:type="dxa"/>
            <w:vAlign w:val="top"/>
          </w:tcPr>
          <w:p>
            <w:pPr>
              <w:pStyle w:val="TableText"/>
              <w:ind w:left="91"/>
              <w:spacing w:before="159" w:line="219" w:lineRule="auto"/>
              <w:rPr>
                <w:sz w:val="16"/>
                <w:szCs w:val="16"/>
              </w:rPr>
            </w:pPr>
            <w:r>
              <w:rPr>
                <w:sz w:val="16"/>
                <w:szCs w:val="16"/>
                <w:spacing w:val="-1"/>
              </w:rPr>
              <w:t>人民币图样使用审批</w:t>
            </w:r>
          </w:p>
        </w:tc>
        <w:tc>
          <w:tcPr>
            <w:tcW w:w="2377" w:type="dxa"/>
            <w:vAlign w:val="top"/>
          </w:tcPr>
          <w:p>
            <w:pPr>
              <w:pStyle w:val="TableText"/>
              <w:ind w:left="64" w:right="29" w:firstLine="19"/>
              <w:spacing w:before="60" w:line="220" w:lineRule="auto"/>
              <w:rPr>
                <w:sz w:val="16"/>
                <w:szCs w:val="16"/>
              </w:rPr>
            </w:pPr>
            <w:r>
              <w:rPr>
                <w:sz w:val="16"/>
                <w:szCs w:val="16"/>
              </w:rPr>
              <w:t>人民锻行省继分支机构，人民相</w:t>
            </w:r>
            <w:r>
              <w:rPr>
                <w:sz w:val="16"/>
                <w:szCs w:val="16"/>
                <w:spacing w:val="12"/>
              </w:rPr>
              <w:t xml:space="preserve"> </w:t>
            </w:r>
            <w:r>
              <w:rPr>
                <w:sz w:val="16"/>
                <w:szCs w:val="16"/>
                <w:spacing w:val="-1"/>
              </w:rPr>
              <w:t>行深则而中心发石</w:t>
            </w:r>
          </w:p>
        </w:tc>
        <w:tc>
          <w:tcPr>
            <w:tcW w:w="3711" w:type="dxa"/>
            <w:vAlign w:val="top"/>
          </w:tcPr>
          <w:p>
            <w:pPr>
              <w:pStyle w:val="TableText"/>
              <w:spacing w:before="159" w:line="219" w:lineRule="auto"/>
              <w:rPr>
                <w:sz w:val="16"/>
                <w:szCs w:val="16"/>
              </w:rPr>
            </w:pPr>
            <w:r>
              <w:rPr>
                <w:sz w:val="16"/>
                <w:szCs w:val="16"/>
                <w:spacing w:val="-2"/>
              </w:rPr>
              <w:t>《中华人民共和四人民币情理条新</w:t>
            </w:r>
          </w:p>
        </w:tc>
      </w:tr>
      <w:tr>
        <w:trPr>
          <w:trHeight w:val="470" w:hRule="atLeast"/>
        </w:trPr>
        <w:tc>
          <w:tcPr>
            <w:tcW w:w="594" w:type="dxa"/>
            <w:vAlign w:val="top"/>
          </w:tcPr>
          <w:p>
            <w:pPr>
              <w:pStyle w:val="TableText"/>
              <w:ind w:left="164"/>
              <w:spacing w:before="202" w:line="183" w:lineRule="auto"/>
              <w:rPr>
                <w:sz w:val="16"/>
                <w:szCs w:val="16"/>
              </w:rPr>
            </w:pPr>
            <w:r>
              <w:rPr>
                <w:sz w:val="16"/>
                <w:szCs w:val="16"/>
                <w:spacing w:val="-3"/>
              </w:rPr>
              <w:t>523</w:t>
            </w:r>
          </w:p>
        </w:tc>
        <w:tc>
          <w:tcPr>
            <w:tcW w:w="1279" w:type="dxa"/>
            <w:vAlign w:val="top"/>
          </w:tcPr>
          <w:p>
            <w:pPr>
              <w:pStyle w:val="TableText"/>
              <w:ind w:left="310"/>
              <w:spacing w:before="162" w:line="220" w:lineRule="auto"/>
              <w:rPr>
                <w:sz w:val="16"/>
                <w:szCs w:val="16"/>
              </w:rPr>
            </w:pPr>
            <w:r>
              <w:rPr>
                <w:sz w:val="16"/>
                <w:szCs w:val="16"/>
                <w:spacing w:val="-2"/>
              </w:rPr>
              <w:t>人民恨行</w:t>
            </w:r>
          </w:p>
        </w:tc>
        <w:tc>
          <w:tcPr>
            <w:tcW w:w="1638" w:type="dxa"/>
            <w:vAlign w:val="top"/>
          </w:tcPr>
          <w:p>
            <w:pPr>
              <w:pStyle w:val="TableText"/>
              <w:ind w:left="52"/>
              <w:spacing w:before="161" w:line="219" w:lineRule="auto"/>
              <w:rPr>
                <w:sz w:val="16"/>
                <w:szCs w:val="16"/>
              </w:rPr>
            </w:pPr>
            <w:r>
              <w:rPr>
                <w:sz w:val="16"/>
                <w:szCs w:val="16"/>
                <w:spacing w:val="-1"/>
              </w:rPr>
              <w:t>支付业务许可</w:t>
            </w:r>
          </w:p>
        </w:tc>
        <w:tc>
          <w:tcPr>
            <w:tcW w:w="2377" w:type="dxa"/>
            <w:vAlign w:val="top"/>
          </w:tcPr>
          <w:p>
            <w:pPr>
              <w:pStyle w:val="TableText"/>
              <w:ind w:left="64"/>
              <w:spacing w:before="161" w:line="219" w:lineRule="auto"/>
              <w:rPr>
                <w:sz w:val="16"/>
                <w:szCs w:val="16"/>
              </w:rPr>
            </w:pPr>
            <w:r>
              <w:rPr>
                <w:sz w:val="16"/>
                <w:szCs w:val="16"/>
                <w:spacing w:val="-2"/>
              </w:rPr>
              <w:t>人民集行</w:t>
            </w:r>
          </w:p>
        </w:tc>
        <w:tc>
          <w:tcPr>
            <w:tcW w:w="3711" w:type="dxa"/>
            <w:vAlign w:val="top"/>
          </w:tcPr>
          <w:p>
            <w:pPr>
              <w:pStyle w:val="TableText"/>
              <w:ind w:left="79"/>
              <w:spacing w:before="51" w:line="229" w:lineRule="exact"/>
              <w:rPr>
                <w:sz w:val="16"/>
                <w:szCs w:val="16"/>
              </w:rPr>
            </w:pPr>
            <w:r>
              <w:rPr>
                <w:sz w:val="16"/>
                <w:szCs w:val="16"/>
                <w:spacing w:val="-2"/>
                <w:position w:val="5"/>
              </w:rPr>
              <w:t>C中华人民共和国中国人民报行法</w:t>
            </w:r>
          </w:p>
          <w:p>
            <w:pPr>
              <w:pStyle w:val="TableText"/>
              <w:spacing w:line="206" w:lineRule="auto"/>
              <w:rPr>
                <w:sz w:val="16"/>
                <w:szCs w:val="16"/>
              </w:rPr>
            </w:pPr>
            <w:r>
              <w:rPr>
                <w:sz w:val="16"/>
                <w:szCs w:val="16"/>
                <w:spacing w:val="-1"/>
              </w:rPr>
              <w:t>《安会题机构支对民务管理办法)</w:t>
            </w:r>
          </w:p>
        </w:tc>
      </w:tr>
      <w:tr>
        <w:trPr>
          <w:trHeight w:val="489" w:hRule="atLeast"/>
        </w:trPr>
        <w:tc>
          <w:tcPr>
            <w:tcW w:w="594" w:type="dxa"/>
            <w:vAlign w:val="top"/>
          </w:tcPr>
          <w:p>
            <w:pPr>
              <w:pStyle w:val="TableText"/>
              <w:ind w:left="164"/>
              <w:spacing w:before="212" w:line="183" w:lineRule="auto"/>
              <w:rPr>
                <w:sz w:val="16"/>
                <w:szCs w:val="16"/>
              </w:rPr>
            </w:pPr>
            <w:r>
              <w:rPr>
                <w:sz w:val="16"/>
                <w:szCs w:val="16"/>
                <w:spacing w:val="-3"/>
              </w:rPr>
              <w:t>524</w:t>
            </w:r>
          </w:p>
        </w:tc>
        <w:tc>
          <w:tcPr>
            <w:tcW w:w="1279" w:type="dxa"/>
            <w:vAlign w:val="top"/>
          </w:tcPr>
          <w:p>
            <w:pPr>
              <w:pStyle w:val="TableText"/>
              <w:ind w:left="310"/>
              <w:spacing w:before="172" w:line="220" w:lineRule="auto"/>
              <w:rPr>
                <w:sz w:val="16"/>
                <w:szCs w:val="16"/>
              </w:rPr>
            </w:pPr>
            <w:r>
              <w:rPr>
                <w:sz w:val="16"/>
                <w:szCs w:val="16"/>
                <w:spacing w:val="-2"/>
              </w:rPr>
              <w:t>人说银行</w:t>
            </w:r>
          </w:p>
        </w:tc>
        <w:tc>
          <w:tcPr>
            <w:tcW w:w="1638" w:type="dxa"/>
            <w:vAlign w:val="top"/>
          </w:tcPr>
          <w:p>
            <w:pPr>
              <w:pStyle w:val="TableText"/>
              <w:ind w:left="91"/>
              <w:spacing w:before="170" w:line="219" w:lineRule="auto"/>
              <w:rPr>
                <w:sz w:val="16"/>
                <w:szCs w:val="16"/>
              </w:rPr>
            </w:pPr>
            <w:r>
              <w:rPr>
                <w:sz w:val="16"/>
                <w:szCs w:val="16"/>
                <w:spacing w:val="-1"/>
              </w:rPr>
              <w:t>根行卡济静机构许可</w:t>
            </w:r>
          </w:p>
        </w:tc>
        <w:tc>
          <w:tcPr>
            <w:tcW w:w="2377" w:type="dxa"/>
            <w:vAlign w:val="top"/>
          </w:tcPr>
          <w:p>
            <w:pPr>
              <w:pStyle w:val="TableText"/>
              <w:ind w:left="64"/>
              <w:spacing w:before="170" w:line="219" w:lineRule="auto"/>
              <w:rPr>
                <w:sz w:val="16"/>
                <w:szCs w:val="16"/>
              </w:rPr>
            </w:pPr>
            <w:r>
              <w:rPr>
                <w:sz w:val="16"/>
                <w:szCs w:val="16"/>
                <w:spacing w:val="-1"/>
              </w:rPr>
              <w:t>人民丽行会同假保监盘</w:t>
            </w:r>
          </w:p>
        </w:tc>
        <w:tc>
          <w:tcPr>
            <w:tcW w:w="3711" w:type="dxa"/>
            <w:vAlign w:val="top"/>
          </w:tcPr>
          <w:p>
            <w:pPr>
              <w:pStyle w:val="TableText"/>
              <w:ind w:right="47"/>
              <w:spacing w:before="71" w:line="235" w:lineRule="auto"/>
              <w:rPr>
                <w:sz w:val="16"/>
                <w:szCs w:val="16"/>
              </w:rPr>
            </w:pPr>
            <w:r>
              <w:rPr>
                <w:sz w:val="16"/>
                <w:szCs w:val="16"/>
                <w:spacing w:val="-2"/>
              </w:rPr>
              <w:t>《国券能美于实能假行卡清算机构准入管理的决定》</w:t>
            </w:r>
            <w:r>
              <w:rPr>
                <w:sz w:val="16"/>
                <w:szCs w:val="16"/>
                <w:spacing w:val="18"/>
              </w:rPr>
              <w:t xml:space="preserve"> </w:t>
            </w:r>
            <w:r>
              <w:rPr>
                <w:sz w:val="16"/>
                <w:szCs w:val="16"/>
                <w:spacing w:val="-1"/>
              </w:rPr>
              <w:t>《国发02015]22号1</w:t>
            </w:r>
          </w:p>
        </w:tc>
      </w:tr>
      <w:tr>
        <w:trPr>
          <w:trHeight w:val="669" w:hRule="atLeast"/>
        </w:trPr>
        <w:tc>
          <w:tcPr>
            <w:tcW w:w="594" w:type="dxa"/>
            <w:vAlign w:val="top"/>
          </w:tcPr>
          <w:p>
            <w:pPr>
              <w:spacing w:line="250" w:lineRule="auto"/>
              <w:rPr>
                <w:rFonts w:ascii="Arial"/>
                <w:sz w:val="21"/>
              </w:rPr>
            </w:pPr>
            <w:r/>
          </w:p>
          <w:p>
            <w:pPr>
              <w:pStyle w:val="TableText"/>
              <w:ind w:left="164"/>
              <w:spacing w:before="52" w:line="183" w:lineRule="auto"/>
              <w:rPr>
                <w:sz w:val="16"/>
                <w:szCs w:val="16"/>
              </w:rPr>
            </w:pPr>
            <w:r>
              <w:rPr>
                <w:sz w:val="16"/>
                <w:szCs w:val="16"/>
                <w:spacing w:val="-3"/>
              </w:rPr>
              <w:t>525</w:t>
            </w:r>
          </w:p>
        </w:tc>
        <w:tc>
          <w:tcPr>
            <w:tcW w:w="1279" w:type="dxa"/>
            <w:vAlign w:val="top"/>
          </w:tcPr>
          <w:p>
            <w:pPr>
              <w:pStyle w:val="TableText"/>
              <w:ind w:left="310"/>
              <w:spacing w:before="261" w:line="219" w:lineRule="auto"/>
              <w:rPr>
                <w:sz w:val="16"/>
                <w:szCs w:val="16"/>
              </w:rPr>
            </w:pPr>
            <w:r>
              <w:rPr>
                <w:sz w:val="16"/>
                <w:szCs w:val="16"/>
                <w:spacing w:val="-2"/>
              </w:rPr>
              <w:t>人我假行</w:t>
            </w:r>
          </w:p>
        </w:tc>
        <w:tc>
          <w:tcPr>
            <w:tcW w:w="1638" w:type="dxa"/>
            <w:vAlign w:val="top"/>
          </w:tcPr>
          <w:p>
            <w:pPr>
              <w:pStyle w:val="TableText"/>
              <w:ind w:left="52" w:right="76" w:firstLine="39"/>
              <w:spacing w:before="41" w:line="231" w:lineRule="auto"/>
              <w:jc w:val="both"/>
              <w:rPr>
                <w:sz w:val="16"/>
                <w:szCs w:val="16"/>
              </w:rPr>
            </w:pPr>
            <w:r>
              <w:rPr>
                <w:sz w:val="16"/>
                <w:szCs w:val="16"/>
                <w:spacing w:val="-1"/>
              </w:rPr>
              <w:t>根行水清算机构荒事</w:t>
            </w:r>
            <w:r>
              <w:rPr>
                <w:sz w:val="16"/>
                <w:szCs w:val="16"/>
                <w:spacing w:val="1"/>
              </w:rPr>
              <w:t xml:space="preserve"> </w:t>
            </w:r>
            <w:r>
              <w:rPr>
                <w:sz w:val="16"/>
                <w:szCs w:val="16"/>
                <w:spacing w:val="6"/>
              </w:rPr>
              <w:t>和高酸曾理人加任用</w:t>
            </w:r>
            <w:r>
              <w:rPr>
                <w:sz w:val="16"/>
                <w:szCs w:val="16"/>
                <w:spacing w:val="4"/>
              </w:rPr>
              <w:t xml:space="preserve"> </w:t>
            </w:r>
            <w:r>
              <w:rPr>
                <w:sz w:val="16"/>
                <w:szCs w:val="16"/>
                <w:spacing w:val="-2"/>
              </w:rPr>
              <w:t>黄格植准</w:t>
            </w:r>
          </w:p>
        </w:tc>
        <w:tc>
          <w:tcPr>
            <w:tcW w:w="2377" w:type="dxa"/>
            <w:vAlign w:val="top"/>
          </w:tcPr>
          <w:p>
            <w:pPr>
              <w:pStyle w:val="TableText"/>
              <w:ind w:left="64"/>
              <w:spacing w:before="261" w:line="219" w:lineRule="auto"/>
              <w:rPr>
                <w:sz w:val="16"/>
                <w:szCs w:val="16"/>
              </w:rPr>
            </w:pPr>
            <w:r>
              <w:rPr>
                <w:sz w:val="16"/>
                <w:szCs w:val="16"/>
                <w:spacing w:val="-1"/>
              </w:rPr>
              <w:t>人民能行会属级保态会</w:t>
            </w:r>
          </w:p>
        </w:tc>
        <w:tc>
          <w:tcPr>
            <w:tcW w:w="3711" w:type="dxa"/>
            <w:vAlign w:val="top"/>
          </w:tcPr>
          <w:p>
            <w:pPr>
              <w:pStyle w:val="TableText"/>
              <w:ind w:right="208" w:firstLine="69"/>
              <w:spacing w:before="161" w:line="232" w:lineRule="auto"/>
              <w:rPr>
                <w:sz w:val="16"/>
                <w:szCs w:val="16"/>
              </w:rPr>
            </w:pPr>
            <w:r>
              <w:rPr>
                <w:sz w:val="16"/>
                <w:szCs w:val="16"/>
                <w:spacing w:val="-1"/>
              </w:rPr>
              <w:t>C国务院关于实陆假行卡清算机构准入管理的决定</w:t>
            </w:r>
            <w:r>
              <w:rPr>
                <w:sz w:val="16"/>
                <w:szCs w:val="16"/>
                <w:spacing w:val="3"/>
              </w:rPr>
              <w:t xml:space="preserve"> </w:t>
            </w:r>
            <w:r>
              <w:rPr>
                <w:sz w:val="16"/>
                <w:szCs w:val="16"/>
                <w:spacing w:val="-1"/>
              </w:rPr>
              <w:t>《国发C2015)22号1</w:t>
            </w:r>
          </w:p>
        </w:tc>
      </w:tr>
      <w:tr>
        <w:trPr>
          <w:trHeight w:val="479" w:hRule="atLeast"/>
        </w:trPr>
        <w:tc>
          <w:tcPr>
            <w:tcW w:w="594" w:type="dxa"/>
            <w:vAlign w:val="top"/>
          </w:tcPr>
          <w:p>
            <w:pPr>
              <w:pStyle w:val="TableText"/>
              <w:ind w:left="164"/>
              <w:spacing w:before="204" w:line="183" w:lineRule="auto"/>
              <w:rPr>
                <w:sz w:val="16"/>
                <w:szCs w:val="16"/>
              </w:rPr>
            </w:pPr>
            <w:r>
              <w:rPr>
                <w:sz w:val="16"/>
                <w:szCs w:val="16"/>
                <w:spacing w:val="-3"/>
              </w:rPr>
              <w:t>526</w:t>
            </w:r>
          </w:p>
        </w:tc>
        <w:tc>
          <w:tcPr>
            <w:tcW w:w="1279" w:type="dxa"/>
            <w:vAlign w:val="top"/>
          </w:tcPr>
          <w:p>
            <w:pPr>
              <w:pStyle w:val="TableText"/>
              <w:ind w:left="310"/>
              <w:spacing w:before="164" w:line="220" w:lineRule="auto"/>
              <w:rPr>
                <w:sz w:val="16"/>
                <w:szCs w:val="16"/>
              </w:rPr>
            </w:pPr>
            <w:r>
              <w:rPr>
                <w:sz w:val="16"/>
                <w:szCs w:val="16"/>
                <w:spacing w:val="-2"/>
              </w:rPr>
              <w:t>人民饱行</w:t>
            </w:r>
          </w:p>
        </w:tc>
        <w:tc>
          <w:tcPr>
            <w:tcW w:w="1638" w:type="dxa"/>
            <w:vAlign w:val="top"/>
          </w:tcPr>
          <w:p>
            <w:pPr>
              <w:pStyle w:val="TableText"/>
              <w:ind w:left="82"/>
              <w:spacing w:before="162" w:line="218" w:lineRule="auto"/>
              <w:rPr>
                <w:sz w:val="16"/>
                <w:szCs w:val="16"/>
              </w:rPr>
            </w:pPr>
            <w:r>
              <w:rPr>
                <w:sz w:val="16"/>
                <w:szCs w:val="16"/>
                <w:spacing w:val="-1"/>
              </w:rPr>
              <w:t>金融腔股会司价可</w:t>
            </w:r>
          </w:p>
        </w:tc>
        <w:tc>
          <w:tcPr>
            <w:tcW w:w="2377" w:type="dxa"/>
            <w:vAlign w:val="top"/>
          </w:tcPr>
          <w:p>
            <w:pPr>
              <w:pStyle w:val="TableText"/>
              <w:ind w:left="64"/>
              <w:spacing w:before="163" w:line="219" w:lineRule="auto"/>
              <w:rPr>
                <w:sz w:val="16"/>
                <w:szCs w:val="16"/>
              </w:rPr>
            </w:pPr>
            <w:r>
              <w:rPr>
                <w:sz w:val="16"/>
                <w:szCs w:val="16"/>
                <w:spacing w:val="-2"/>
              </w:rPr>
              <w:t>人民模行</w:t>
            </w:r>
          </w:p>
        </w:tc>
        <w:tc>
          <w:tcPr>
            <w:tcW w:w="3711" w:type="dxa"/>
            <w:vAlign w:val="top"/>
          </w:tcPr>
          <w:p>
            <w:pPr>
              <w:pStyle w:val="TableText"/>
              <w:ind w:left="108" w:right="401" w:hanging="108"/>
              <w:spacing w:before="62" w:line="227" w:lineRule="auto"/>
              <w:rPr>
                <w:sz w:val="16"/>
                <w:szCs w:val="16"/>
              </w:rPr>
            </w:pPr>
            <w:r>
              <w:rPr>
                <w:sz w:val="16"/>
                <w:szCs w:val="16"/>
                <w:spacing w:val="-3"/>
              </w:rPr>
              <w:t>《国务晚关子实施金能控股公司准人管理的决定</w:t>
            </w:r>
            <w:r>
              <w:rPr>
                <w:sz w:val="16"/>
                <w:szCs w:val="16"/>
                <w:spacing w:val="1"/>
              </w:rPr>
              <w:t xml:space="preserve"> </w:t>
            </w:r>
            <w:r>
              <w:rPr>
                <w:sz w:val="16"/>
                <w:szCs w:val="16"/>
                <w:spacing w:val="1"/>
              </w:rPr>
              <w:t>(国黑20300(2号)</w:t>
            </w:r>
          </w:p>
        </w:tc>
      </w:tr>
      <w:tr>
        <w:trPr>
          <w:trHeight w:val="689" w:hRule="atLeast"/>
        </w:trPr>
        <w:tc>
          <w:tcPr>
            <w:tcW w:w="594" w:type="dxa"/>
            <w:vAlign w:val="top"/>
          </w:tcPr>
          <w:p>
            <w:pPr>
              <w:spacing w:line="262" w:lineRule="auto"/>
              <w:rPr>
                <w:rFonts w:ascii="Arial"/>
                <w:sz w:val="21"/>
              </w:rPr>
            </w:pPr>
            <w:r/>
          </w:p>
          <w:p>
            <w:pPr>
              <w:pStyle w:val="TableText"/>
              <w:ind w:left="164"/>
              <w:spacing w:before="52" w:line="183" w:lineRule="auto"/>
              <w:rPr>
                <w:sz w:val="16"/>
                <w:szCs w:val="16"/>
              </w:rPr>
            </w:pPr>
            <w:r>
              <w:rPr>
                <w:sz w:val="16"/>
                <w:szCs w:val="16"/>
                <w:spacing w:val="-3"/>
              </w:rPr>
              <w:t>527</w:t>
            </w:r>
          </w:p>
        </w:tc>
        <w:tc>
          <w:tcPr>
            <w:tcW w:w="1279" w:type="dxa"/>
            <w:vAlign w:val="top"/>
          </w:tcPr>
          <w:p>
            <w:pPr>
              <w:pStyle w:val="TableText"/>
              <w:ind w:left="310"/>
              <w:spacing w:before="275" w:line="220" w:lineRule="auto"/>
              <w:rPr>
                <w:sz w:val="16"/>
                <w:szCs w:val="16"/>
              </w:rPr>
            </w:pPr>
            <w:r>
              <w:rPr>
                <w:sz w:val="16"/>
                <w:szCs w:val="16"/>
                <w:spacing w:val="-2"/>
              </w:rPr>
              <w:t>海关总署</w:t>
            </w:r>
          </w:p>
        </w:tc>
        <w:tc>
          <w:tcPr>
            <w:tcW w:w="1638" w:type="dxa"/>
            <w:vAlign w:val="top"/>
          </w:tcPr>
          <w:p>
            <w:pPr>
              <w:pStyle w:val="TableText"/>
              <w:ind w:left="72"/>
              <w:spacing w:before="274" w:line="219" w:lineRule="auto"/>
              <w:rPr>
                <w:sz w:val="16"/>
                <w:szCs w:val="16"/>
              </w:rPr>
            </w:pPr>
            <w:r>
              <w:rPr>
                <w:sz w:val="16"/>
                <w:szCs w:val="16"/>
                <w:spacing w:val="-1"/>
              </w:rPr>
              <w:t>保税全库设立证批</w:t>
            </w:r>
          </w:p>
        </w:tc>
        <w:tc>
          <w:tcPr>
            <w:tcW w:w="2377" w:type="dxa"/>
            <w:vAlign w:val="top"/>
          </w:tcPr>
          <w:p>
            <w:pPr>
              <w:pStyle w:val="TableText"/>
              <w:ind w:left="64" w:right="160" w:hanging="10"/>
              <w:spacing w:before="174" w:line="228" w:lineRule="auto"/>
              <w:rPr>
                <w:sz w:val="16"/>
                <w:szCs w:val="16"/>
              </w:rPr>
            </w:pPr>
            <w:r>
              <w:rPr>
                <w:sz w:val="16"/>
                <w:szCs w:val="16"/>
                <w:spacing w:val="-1"/>
              </w:rPr>
              <w:t>直属海头(由所在均主作海关要</w:t>
            </w:r>
            <w:r>
              <w:rPr>
                <w:sz w:val="16"/>
                <w:szCs w:val="16"/>
                <w:spacing w:val="5"/>
              </w:rPr>
              <w:t xml:space="preserve"> </w:t>
            </w:r>
            <w:r>
              <w:rPr>
                <w:sz w:val="16"/>
                <w:szCs w:val="16"/>
                <w:spacing w:val="-5"/>
              </w:rPr>
              <w:t>理</w:t>
            </w:r>
            <w:r>
              <w:rPr>
                <w:sz w:val="16"/>
                <w:szCs w:val="16"/>
                <w:spacing w:val="-30"/>
              </w:rPr>
              <w:t xml:space="preserve"> </w:t>
            </w:r>
            <w:r>
              <w:rPr>
                <w:sz w:val="16"/>
                <w:szCs w:val="16"/>
                <w:spacing w:val="-5"/>
              </w:rPr>
              <w:t>)</w:t>
            </w:r>
          </w:p>
        </w:tc>
        <w:tc>
          <w:tcPr>
            <w:tcW w:w="3711" w:type="dxa"/>
            <w:vAlign w:val="top"/>
          </w:tcPr>
          <w:p>
            <w:pPr>
              <w:pStyle w:val="TableText"/>
              <w:ind w:left="67"/>
              <w:spacing w:before="74" w:line="219" w:lineRule="auto"/>
              <w:rPr>
                <w:sz w:val="16"/>
                <w:szCs w:val="16"/>
              </w:rPr>
            </w:pPr>
            <w:r>
              <w:rPr>
                <w:sz w:val="16"/>
                <w:szCs w:val="16"/>
                <w:spacing w:val="1"/>
              </w:rPr>
              <w:t>(中华人况共和国两关出</w:t>
            </w:r>
          </w:p>
          <w:p>
            <w:pPr>
              <w:pStyle w:val="TableText"/>
              <w:ind w:left="79" w:right="210" w:hanging="79"/>
              <w:spacing w:before="18" w:line="215" w:lineRule="auto"/>
              <w:rPr>
                <w:sz w:val="16"/>
                <w:szCs w:val="16"/>
              </w:rPr>
            </w:pPr>
            <w:r>
              <w:rPr>
                <w:sz w:val="16"/>
                <w:szCs w:val="16"/>
                <w:spacing w:val="-2"/>
              </w:rPr>
              <w:t>《中生人民共和国态关材保税在体及乐存背物的官</w:t>
            </w:r>
            <w:r>
              <w:rPr>
                <w:sz w:val="16"/>
                <w:szCs w:val="16"/>
                <w:spacing w:val="13"/>
              </w:rPr>
              <w:t xml:space="preserve"> </w:t>
            </w:r>
            <w:r>
              <w:rPr>
                <w:sz w:val="16"/>
                <w:szCs w:val="16"/>
                <w:spacing w:val="-4"/>
              </w:rPr>
              <w:t>理理定》</w:t>
            </w:r>
          </w:p>
        </w:tc>
      </w:tr>
      <w:tr>
        <w:trPr>
          <w:trHeight w:val="764" w:hRule="atLeast"/>
        </w:trPr>
        <w:tc>
          <w:tcPr>
            <w:tcW w:w="594" w:type="dxa"/>
            <w:vAlign w:val="top"/>
          </w:tcPr>
          <w:p>
            <w:pPr>
              <w:spacing w:line="293" w:lineRule="auto"/>
              <w:rPr>
                <w:rFonts w:ascii="Arial"/>
                <w:sz w:val="21"/>
              </w:rPr>
            </w:pPr>
            <w:r/>
          </w:p>
          <w:p>
            <w:pPr>
              <w:pStyle w:val="TableText"/>
              <w:ind w:left="164"/>
              <w:spacing w:before="52" w:line="183" w:lineRule="auto"/>
              <w:rPr>
                <w:sz w:val="16"/>
                <w:szCs w:val="16"/>
              </w:rPr>
            </w:pPr>
            <w:r>
              <w:rPr>
                <w:sz w:val="16"/>
                <w:szCs w:val="16"/>
                <w:spacing w:val="-3"/>
              </w:rPr>
              <w:t>528</w:t>
            </w:r>
          </w:p>
        </w:tc>
        <w:tc>
          <w:tcPr>
            <w:tcW w:w="1279" w:type="dxa"/>
            <w:vAlign w:val="top"/>
          </w:tcPr>
          <w:p>
            <w:pPr>
              <w:spacing w:line="252" w:lineRule="auto"/>
              <w:rPr>
                <w:rFonts w:ascii="Arial"/>
                <w:sz w:val="21"/>
              </w:rPr>
            </w:pPr>
            <w:r/>
          </w:p>
          <w:p>
            <w:pPr>
              <w:pStyle w:val="TableText"/>
              <w:ind w:left="310"/>
              <w:spacing w:before="52" w:line="219" w:lineRule="auto"/>
              <w:rPr>
                <w:sz w:val="16"/>
                <w:szCs w:val="16"/>
              </w:rPr>
            </w:pPr>
            <w:r>
              <w:rPr>
                <w:sz w:val="16"/>
                <w:szCs w:val="16"/>
                <w:spacing w:val="-2"/>
              </w:rPr>
              <w:t>海吴总果</w:t>
            </w:r>
          </w:p>
        </w:tc>
        <w:tc>
          <w:tcPr>
            <w:tcW w:w="1638" w:type="dxa"/>
            <w:vAlign w:val="top"/>
          </w:tcPr>
          <w:p>
            <w:pPr>
              <w:pStyle w:val="TableText"/>
              <w:ind w:left="22" w:right="101" w:firstLine="69"/>
              <w:spacing w:before="195" w:line="241" w:lineRule="auto"/>
              <w:rPr>
                <w:sz w:val="16"/>
                <w:szCs w:val="16"/>
              </w:rPr>
            </w:pPr>
            <w:r>
              <w:rPr>
                <w:sz w:val="16"/>
                <w:szCs w:val="16"/>
                <w:spacing w:val="-1"/>
              </w:rPr>
              <w:t>施口监营仓青设立事</w:t>
            </w:r>
            <w:r>
              <w:rPr>
                <w:sz w:val="16"/>
                <w:szCs w:val="16"/>
                <w:spacing w:val="2"/>
              </w:rPr>
              <w:t xml:space="preserve"> </w:t>
            </w:r>
            <w:r>
              <w:rPr>
                <w:sz w:val="16"/>
                <w:szCs w:val="16"/>
              </w:rPr>
              <w:t>世</w:t>
            </w:r>
          </w:p>
        </w:tc>
        <w:tc>
          <w:tcPr>
            <w:tcW w:w="2377" w:type="dxa"/>
            <w:vAlign w:val="top"/>
          </w:tcPr>
          <w:p>
            <w:pPr>
              <w:pStyle w:val="TableText"/>
              <w:ind w:left="64" w:right="160" w:hanging="10"/>
              <w:spacing w:before="204" w:line="234" w:lineRule="auto"/>
              <w:rPr>
                <w:sz w:val="16"/>
                <w:szCs w:val="16"/>
              </w:rPr>
            </w:pPr>
            <w:r>
              <w:rPr>
                <w:sz w:val="16"/>
                <w:szCs w:val="16"/>
                <w:spacing w:val="-1"/>
              </w:rPr>
              <w:t>直属清关(由所在地上管海美变</w:t>
            </w:r>
            <w:r>
              <w:rPr>
                <w:sz w:val="16"/>
                <w:szCs w:val="16"/>
                <w:spacing w:val="5"/>
              </w:rPr>
              <w:t xml:space="preserve"> </w:t>
            </w:r>
            <w:r>
              <w:rPr>
                <w:sz w:val="16"/>
                <w:szCs w:val="16"/>
                <w:spacing w:val="-5"/>
              </w:rPr>
              <w:t>理</w:t>
            </w:r>
            <w:r>
              <w:rPr>
                <w:sz w:val="16"/>
                <w:szCs w:val="16"/>
                <w:spacing w:val="-30"/>
              </w:rPr>
              <w:t xml:space="preserve"> </w:t>
            </w:r>
            <w:r>
              <w:rPr>
                <w:sz w:val="16"/>
                <w:szCs w:val="16"/>
                <w:spacing w:val="-5"/>
              </w:rPr>
              <w:t>)</w:t>
            </w:r>
          </w:p>
        </w:tc>
        <w:tc>
          <w:tcPr>
            <w:tcW w:w="3711" w:type="dxa"/>
            <w:vAlign w:val="top"/>
          </w:tcPr>
          <w:p>
            <w:pPr>
              <w:pStyle w:val="TableText"/>
              <w:spacing w:before="95" w:line="219" w:lineRule="auto"/>
              <w:rPr>
                <w:sz w:val="16"/>
                <w:szCs w:val="16"/>
              </w:rPr>
            </w:pPr>
            <w:r>
              <w:rPr>
                <w:sz w:val="16"/>
                <w:szCs w:val="16"/>
                <w:spacing w:val="-2"/>
              </w:rPr>
              <w:t>《中华人见共和国街关法：</w:t>
            </w:r>
          </w:p>
          <w:p>
            <w:pPr>
              <w:pStyle w:val="TableText"/>
              <w:ind w:left="67" w:right="185"/>
              <w:spacing w:before="39" w:line="225" w:lineRule="auto"/>
              <w:rPr>
                <w:sz w:val="16"/>
                <w:szCs w:val="16"/>
              </w:rPr>
            </w:pPr>
            <w:r>
              <w:rPr>
                <w:sz w:val="16"/>
                <w:szCs w:val="16"/>
              </w:rPr>
              <w:t>(中华人民共和国厚关对出口蓝管仓库及所有肯物</w:t>
            </w:r>
            <w:r>
              <w:rPr>
                <w:sz w:val="16"/>
                <w:szCs w:val="16"/>
                <w:spacing w:val="7"/>
              </w:rPr>
              <w:t xml:space="preserve"> </w:t>
            </w:r>
            <w:r>
              <w:rPr>
                <w:sz w:val="16"/>
                <w:szCs w:val="16"/>
                <w:spacing w:val="1"/>
              </w:rPr>
              <w:t>的管理办法</w:t>
            </w:r>
          </w:p>
        </w:tc>
      </w:tr>
    </w:tbl>
    <w:p>
      <w:pPr>
        <w:pStyle w:val="BodyText"/>
        <w:rPr/>
      </w:pPr>
      <w:r/>
    </w:p>
    <w:p>
      <w:pPr>
        <w:sectPr>
          <w:pgSz w:w="11910" w:h="8220"/>
          <w:pgMar w:top="400" w:right="115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78400" behindDoc="0" locked="0" layoutInCell="0" allowOverlap="1">
                <wp:simplePos x="0" y="0"/>
                <wp:positionH relativeFrom="page">
                  <wp:posOffset>466597</wp:posOffset>
                </wp:positionH>
                <wp:positionV relativeFrom="page">
                  <wp:posOffset>623348</wp:posOffset>
                </wp:positionV>
                <wp:extent cx="163829" cy="149225"/>
                <wp:effectExtent l="0" t="0" r="0" b="0"/>
                <wp:wrapNone/>
                <wp:docPr id="274" name="TextBox 274"/>
                <wp:cNvGraphicFramePr/>
                <a:graphic>
                  <a:graphicData uri="http://schemas.microsoft.com/office/word/2010/wordprocessingShape">
                    <wps:wsp>
                      <wps:cNvSpPr txBox="1"/>
                      <wps:spPr>
                        <a:xfrm rot="5400000">
                          <a:off x="466597" y="623348"/>
                          <a:ext cx="163829" cy="1492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4" w:line="184" w:lineRule="auto"/>
                              <w:rPr>
                                <w:rFonts w:ascii="SimSun" w:hAnsi="SimSun" w:eastAsia="SimSun" w:cs="SimSun"/>
                                <w:sz w:val="15"/>
                                <w:szCs w:val="15"/>
                              </w:rPr>
                            </w:pPr>
                            <w:r>
                              <w:rPr>
                                <w:rFonts w:ascii="SimSun" w:hAnsi="SimSun" w:eastAsia="SimSun" w:cs="SimSun"/>
                                <w:sz w:val="15"/>
                                <w:szCs w:val="15"/>
                                <w:spacing w:val="-2"/>
                              </w:rPr>
                              <w:t>218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6" style="position:absolute;margin-left:36.7399pt;margin-top:49.0826pt;mso-position-vertical-relative:page;mso-position-horizontal-relative:page;width:12.9pt;height:11.75pt;z-index:251878400;rotation:90;" o:allowincell="f" filled="false" stroked="false" type="#_x0000_t202">
                <v:fill on="false"/>
                <v:stroke on="false"/>
                <v:path/>
                <v:imagedata o:title=""/>
                <o:lock v:ext="edit" aspectratio="false"/>
                <v:textbox inset="0mm,0mm,0mm,0mm">
                  <w:txbxContent>
                    <w:p>
                      <w:pPr>
                        <w:ind w:left="20"/>
                        <w:spacing w:before="64" w:line="184" w:lineRule="auto"/>
                        <w:rPr>
                          <w:rFonts w:ascii="SimSun" w:hAnsi="SimSun" w:eastAsia="SimSun" w:cs="SimSun"/>
                          <w:sz w:val="15"/>
                          <w:szCs w:val="15"/>
                        </w:rPr>
                      </w:pPr>
                      <w:r>
                        <w:rPr>
                          <w:rFonts w:ascii="SimSun" w:hAnsi="SimSun" w:eastAsia="SimSun" w:cs="SimSun"/>
                          <w:sz w:val="15"/>
                          <w:szCs w:val="15"/>
                          <w:spacing w:val="-2"/>
                        </w:rPr>
                        <w:t>218</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中央主管部门</w:t>
            </w:r>
          </w:p>
        </w:tc>
        <w:tc>
          <w:tcPr>
            <w:tcW w:w="1638" w:type="dxa"/>
            <w:vAlign w:val="top"/>
          </w:tcPr>
          <w:p>
            <w:pPr>
              <w:pStyle w:val="TableText"/>
              <w:ind w:left="491"/>
              <w:spacing w:before="130" w:line="219" w:lineRule="auto"/>
              <w:rPr>
                <w:sz w:val="16"/>
                <w:szCs w:val="16"/>
              </w:rPr>
            </w:pPr>
            <w:r>
              <w:rPr>
                <w:sz w:val="16"/>
                <w:szCs w:val="16"/>
                <w:spacing w:val="-2"/>
              </w:rPr>
              <w:t>事填名幕</w:t>
            </w:r>
          </w:p>
        </w:tc>
        <w:tc>
          <w:tcPr>
            <w:tcW w:w="2377" w:type="dxa"/>
            <w:vAlign w:val="top"/>
          </w:tcPr>
          <w:p>
            <w:pPr>
              <w:pStyle w:val="TableText"/>
              <w:ind w:left="836"/>
              <w:spacing w:before="128" w:line="219" w:lineRule="auto"/>
              <w:rPr>
                <w:sz w:val="16"/>
                <w:szCs w:val="16"/>
              </w:rPr>
            </w:pPr>
            <w:r>
              <w:rPr>
                <w:sz w:val="16"/>
                <w:szCs w:val="16"/>
                <w:b/>
                <w:bCs/>
                <w:spacing w:val="-4"/>
              </w:rPr>
              <w:t>实游机关</w:t>
            </w:r>
          </w:p>
        </w:tc>
        <w:tc>
          <w:tcPr>
            <w:tcW w:w="3711" w:type="dxa"/>
            <w:vAlign w:val="top"/>
          </w:tcPr>
          <w:p>
            <w:pPr>
              <w:pStyle w:val="TableText"/>
              <w:ind w:left="1259"/>
              <w:spacing w:before="128" w:line="219" w:lineRule="auto"/>
              <w:rPr>
                <w:sz w:val="16"/>
                <w:szCs w:val="16"/>
              </w:rPr>
            </w:pPr>
            <w:r>
              <w:rPr>
                <w:sz w:val="16"/>
                <w:szCs w:val="16"/>
                <w:b/>
                <w:bCs/>
                <w:spacing w:val="-3"/>
              </w:rPr>
              <w:t>设定和实地依据</w:t>
            </w:r>
          </w:p>
        </w:tc>
      </w:tr>
      <w:tr>
        <w:trPr>
          <w:trHeight w:val="679" w:hRule="atLeast"/>
        </w:trPr>
        <w:tc>
          <w:tcPr>
            <w:tcW w:w="574" w:type="dxa"/>
            <w:vAlign w:val="top"/>
          </w:tcPr>
          <w:p>
            <w:pPr>
              <w:spacing w:line="245" w:lineRule="auto"/>
              <w:rPr>
                <w:rFonts w:ascii="Arial"/>
                <w:sz w:val="21"/>
              </w:rPr>
            </w:pPr>
            <w:r/>
          </w:p>
          <w:p>
            <w:pPr>
              <w:pStyle w:val="TableText"/>
              <w:ind w:left="154"/>
              <w:spacing w:before="52" w:line="183" w:lineRule="auto"/>
              <w:rPr>
                <w:sz w:val="16"/>
                <w:szCs w:val="16"/>
              </w:rPr>
            </w:pPr>
            <w:r>
              <w:rPr>
                <w:sz w:val="16"/>
                <w:szCs w:val="16"/>
                <w:spacing w:val="-3"/>
              </w:rPr>
              <w:t>579</w:t>
            </w:r>
          </w:p>
        </w:tc>
        <w:tc>
          <w:tcPr>
            <w:tcW w:w="1299" w:type="dxa"/>
            <w:vAlign w:val="top"/>
          </w:tcPr>
          <w:p>
            <w:pPr>
              <w:pStyle w:val="TableText"/>
              <w:ind w:left="320"/>
              <w:spacing w:before="258" w:line="220" w:lineRule="auto"/>
              <w:rPr>
                <w:sz w:val="16"/>
                <w:szCs w:val="16"/>
              </w:rPr>
            </w:pPr>
            <w:r>
              <w:rPr>
                <w:sz w:val="16"/>
                <w:szCs w:val="16"/>
                <w:spacing w:val="-2"/>
              </w:rPr>
              <w:t>海关总暑</w:t>
            </w:r>
          </w:p>
        </w:tc>
        <w:tc>
          <w:tcPr>
            <w:tcW w:w="1638" w:type="dxa"/>
            <w:vAlign w:val="top"/>
          </w:tcPr>
          <w:p>
            <w:pPr>
              <w:pStyle w:val="TableText"/>
              <w:ind w:left="42"/>
              <w:spacing w:before="258" w:line="220" w:lineRule="auto"/>
              <w:rPr>
                <w:sz w:val="16"/>
                <w:szCs w:val="16"/>
              </w:rPr>
            </w:pPr>
            <w:r>
              <w:rPr>
                <w:sz w:val="16"/>
                <w:szCs w:val="16"/>
                <w:spacing w:val="-2"/>
              </w:rPr>
              <w:t>免税商店经同许可</w:t>
            </w:r>
          </w:p>
        </w:tc>
        <w:tc>
          <w:tcPr>
            <w:tcW w:w="2377" w:type="dxa"/>
            <w:vAlign w:val="top"/>
          </w:tcPr>
          <w:p>
            <w:pPr>
              <w:pStyle w:val="TableText"/>
              <w:ind w:left="64"/>
              <w:spacing w:before="256" w:line="219" w:lineRule="auto"/>
              <w:rPr>
                <w:sz w:val="16"/>
                <w:szCs w:val="16"/>
              </w:rPr>
            </w:pPr>
            <w:r>
              <w:rPr>
                <w:sz w:val="16"/>
                <w:szCs w:val="16"/>
                <w:spacing w:val="-2"/>
              </w:rPr>
              <w:t>海关总书</w:t>
            </w:r>
          </w:p>
        </w:tc>
        <w:tc>
          <w:tcPr>
            <w:tcW w:w="3711" w:type="dxa"/>
            <w:vAlign w:val="top"/>
          </w:tcPr>
          <w:p>
            <w:pPr>
              <w:pStyle w:val="TableText"/>
              <w:ind w:left="56"/>
              <w:spacing w:before="48" w:line="220" w:lineRule="auto"/>
              <w:rPr>
                <w:sz w:val="16"/>
                <w:szCs w:val="16"/>
              </w:rPr>
            </w:pPr>
            <w:r>
              <w:rPr>
                <w:sz w:val="16"/>
                <w:szCs w:val="16"/>
                <w:spacing w:val="1"/>
              </w:rPr>
              <w:t>1中华人民其和国海关法1</w:t>
            </w:r>
          </w:p>
          <w:p>
            <w:pPr>
              <w:pStyle w:val="TableText"/>
              <w:ind w:left="56" w:right="194"/>
              <w:spacing w:before="28" w:line="231" w:lineRule="auto"/>
              <w:rPr>
                <w:sz w:val="16"/>
                <w:szCs w:val="16"/>
              </w:rPr>
            </w:pPr>
            <w:r>
              <w:rPr>
                <w:sz w:val="16"/>
                <w:szCs w:val="16"/>
              </w:rPr>
              <w:t>1中华人民其细国海关对免积商结及免税品监着办</w:t>
            </w:r>
            <w:r>
              <w:rPr>
                <w:sz w:val="16"/>
                <w:szCs w:val="16"/>
                <w:spacing w:val="8"/>
              </w:rPr>
              <w:t xml:space="preserve"> </w:t>
            </w:r>
            <w:r>
              <w:rPr>
                <w:sz w:val="16"/>
                <w:szCs w:val="16"/>
                <w:spacing w:val="8"/>
              </w:rPr>
              <w:t>法1</w:t>
            </w:r>
          </w:p>
        </w:tc>
      </w:tr>
      <w:tr>
        <w:trPr>
          <w:trHeight w:val="1089" w:hRule="atLeast"/>
        </w:trPr>
        <w:tc>
          <w:tcPr>
            <w:tcW w:w="574" w:type="dxa"/>
            <w:vAlign w:val="top"/>
          </w:tcPr>
          <w:p>
            <w:pPr>
              <w:spacing w:line="455" w:lineRule="auto"/>
              <w:rPr>
                <w:rFonts w:ascii="Arial"/>
                <w:sz w:val="21"/>
              </w:rPr>
            </w:pPr>
            <w:r/>
          </w:p>
          <w:p>
            <w:pPr>
              <w:pStyle w:val="TableText"/>
              <w:ind w:left="154"/>
              <w:spacing w:before="52" w:line="183" w:lineRule="auto"/>
              <w:rPr>
                <w:sz w:val="16"/>
                <w:szCs w:val="16"/>
              </w:rPr>
            </w:pPr>
            <w:r>
              <w:rPr>
                <w:sz w:val="16"/>
                <w:szCs w:val="16"/>
                <w:spacing w:val="-3"/>
              </w:rPr>
              <w:t>530</w:t>
            </w:r>
          </w:p>
        </w:tc>
        <w:tc>
          <w:tcPr>
            <w:tcW w:w="1299" w:type="dxa"/>
            <w:vAlign w:val="top"/>
          </w:tcPr>
          <w:p>
            <w:pPr>
              <w:spacing w:line="414" w:lineRule="auto"/>
              <w:rPr>
                <w:rFonts w:ascii="Arial"/>
                <w:sz w:val="21"/>
              </w:rPr>
            </w:pPr>
            <w:r/>
          </w:p>
          <w:p>
            <w:pPr>
              <w:pStyle w:val="TableText"/>
              <w:ind w:left="320"/>
              <w:spacing w:before="52" w:line="219" w:lineRule="auto"/>
              <w:rPr>
                <w:sz w:val="16"/>
                <w:szCs w:val="16"/>
              </w:rPr>
            </w:pPr>
            <w:r>
              <w:rPr>
                <w:sz w:val="16"/>
                <w:szCs w:val="16"/>
                <w:spacing w:val="4"/>
              </w:rPr>
              <w:t>省关总男</w:t>
            </w:r>
          </w:p>
        </w:tc>
        <w:tc>
          <w:tcPr>
            <w:tcW w:w="1638" w:type="dxa"/>
            <w:vAlign w:val="top"/>
          </w:tcPr>
          <w:p>
            <w:pPr>
              <w:spacing w:line="324" w:lineRule="auto"/>
              <w:rPr>
                <w:rFonts w:ascii="Arial"/>
                <w:sz w:val="21"/>
              </w:rPr>
            </w:pPr>
            <w:r/>
          </w:p>
          <w:p>
            <w:pPr>
              <w:pStyle w:val="TableText"/>
              <w:ind w:left="42" w:right="82" w:firstLine="50"/>
              <w:spacing w:before="52" w:line="227" w:lineRule="auto"/>
              <w:rPr>
                <w:sz w:val="16"/>
                <w:szCs w:val="16"/>
              </w:rPr>
            </w:pPr>
            <w:r>
              <w:rPr>
                <w:sz w:val="16"/>
                <w:szCs w:val="16"/>
                <w:spacing w:val="1"/>
              </w:rPr>
              <w:t>保税物范中心设查审</w:t>
            </w:r>
            <w:r>
              <w:rPr>
                <w:sz w:val="16"/>
                <w:szCs w:val="16"/>
                <w:spacing w:val="3"/>
              </w:rPr>
              <w:t xml:space="preserve"> </w:t>
            </w:r>
            <w:r>
              <w:rPr>
                <w:sz w:val="16"/>
                <w:szCs w:val="16"/>
              </w:rPr>
              <w:t>把</w:t>
            </w:r>
          </w:p>
        </w:tc>
        <w:tc>
          <w:tcPr>
            <w:tcW w:w="2377" w:type="dxa"/>
            <w:vAlign w:val="top"/>
          </w:tcPr>
          <w:p>
            <w:pPr>
              <w:pStyle w:val="TableText"/>
              <w:ind w:left="54" w:right="151" w:firstLine="10"/>
              <w:spacing w:before="168" w:line="231" w:lineRule="auto"/>
              <w:jc w:val="both"/>
              <w:rPr>
                <w:sz w:val="16"/>
                <w:szCs w:val="16"/>
              </w:rPr>
            </w:pPr>
            <w:r>
              <w:rPr>
                <w:sz w:val="16"/>
                <w:szCs w:val="16"/>
                <w:spacing w:val="-1"/>
              </w:rPr>
              <w:t>海关总署会同财数部，脱务总</w:t>
            </w:r>
            <w:r>
              <w:rPr>
                <w:sz w:val="16"/>
                <w:szCs w:val="16"/>
                <w:spacing w:val="3"/>
              </w:rPr>
              <w:t xml:space="preserve">  </w:t>
            </w:r>
            <w:r>
              <w:rPr>
                <w:sz w:val="16"/>
                <w:szCs w:val="16"/>
              </w:rPr>
              <w:t>局，国家外正箭(出重马海美登 </w:t>
            </w:r>
            <w:r>
              <w:rPr>
                <w:sz w:val="16"/>
                <w:szCs w:val="16"/>
                <w:spacing w:val="-1"/>
              </w:rPr>
              <w:t>理);直风海关(由后在地主世海</w:t>
            </w:r>
            <w:r>
              <w:rPr>
                <w:sz w:val="16"/>
                <w:szCs w:val="16"/>
                <w:spacing w:val="5"/>
              </w:rPr>
              <w:t xml:space="preserve"> </w:t>
            </w:r>
            <w:r>
              <w:rPr>
                <w:sz w:val="16"/>
                <w:szCs w:val="16"/>
                <w:spacing w:val="11"/>
              </w:rPr>
              <w:t>关受理)</w:t>
            </w:r>
          </w:p>
        </w:tc>
        <w:tc>
          <w:tcPr>
            <w:tcW w:w="3711" w:type="dxa"/>
            <w:vAlign w:val="top"/>
          </w:tcPr>
          <w:p>
            <w:pPr>
              <w:pStyle w:val="TableText"/>
              <w:ind w:left="56"/>
              <w:spacing w:before="68" w:line="219" w:lineRule="auto"/>
              <w:rPr>
                <w:sz w:val="16"/>
                <w:szCs w:val="16"/>
              </w:rPr>
            </w:pPr>
            <w:r>
              <w:rPr>
                <w:sz w:val="16"/>
                <w:szCs w:val="16"/>
              </w:rPr>
              <w:t>中华人民共和国海关张</w:t>
            </w:r>
          </w:p>
          <w:p>
            <w:pPr>
              <w:pStyle w:val="TableText"/>
              <w:ind w:left="56" w:right="298" w:hanging="10"/>
              <w:spacing w:before="1" w:line="230" w:lineRule="auto"/>
              <w:rPr>
                <w:sz w:val="16"/>
                <w:szCs w:val="16"/>
              </w:rPr>
            </w:pPr>
            <w:r>
              <w:rPr>
                <w:sz w:val="16"/>
                <w:szCs w:val="16"/>
                <w:spacing w:val="-1"/>
              </w:rPr>
              <w:t>L中非人民共和国海关喻保税备范中心(A五)的智</w:t>
            </w:r>
            <w:r>
              <w:rPr>
                <w:sz w:val="16"/>
                <w:szCs w:val="16"/>
                <w:spacing w:val="17"/>
              </w:rPr>
              <w:t xml:space="preserve"> </w:t>
            </w:r>
            <w:r>
              <w:rPr>
                <w:sz w:val="16"/>
                <w:szCs w:val="16"/>
                <w:spacing w:val="-2"/>
              </w:rPr>
              <w:t>行育厚办法3</w:t>
            </w:r>
          </w:p>
          <w:p>
            <w:pPr>
              <w:pStyle w:val="TableText"/>
              <w:ind w:left="56" w:right="196"/>
              <w:spacing w:before="20" w:line="225" w:lineRule="auto"/>
              <w:rPr>
                <w:sz w:val="16"/>
                <w:szCs w:val="16"/>
              </w:rPr>
            </w:pPr>
            <w:r>
              <w:rPr>
                <w:sz w:val="16"/>
                <w:szCs w:val="16"/>
              </w:rPr>
              <w:t>1中作人民共和面衡关对保说物施中心(B型》的暂</w:t>
            </w:r>
            <w:r>
              <w:rPr>
                <w:sz w:val="16"/>
                <w:szCs w:val="16"/>
                <w:spacing w:val="6"/>
              </w:rPr>
              <w:t xml:space="preserve"> </w:t>
            </w:r>
            <w:r>
              <w:rPr>
                <w:sz w:val="16"/>
                <w:szCs w:val="16"/>
                <w:spacing w:val="5"/>
              </w:rPr>
              <w:t>行置理办法)</w:t>
            </w:r>
          </w:p>
        </w:tc>
      </w:tr>
      <w:tr>
        <w:trPr>
          <w:trHeight w:val="479" w:hRule="atLeast"/>
        </w:trPr>
        <w:tc>
          <w:tcPr>
            <w:tcW w:w="574" w:type="dxa"/>
            <w:vAlign w:val="top"/>
          </w:tcPr>
          <w:p>
            <w:pPr>
              <w:pStyle w:val="TableText"/>
              <w:ind w:left="154"/>
              <w:spacing w:before="199" w:line="184" w:lineRule="auto"/>
              <w:rPr>
                <w:sz w:val="16"/>
                <w:szCs w:val="16"/>
              </w:rPr>
            </w:pPr>
            <w:r>
              <w:rPr>
                <w:sz w:val="16"/>
                <w:szCs w:val="16"/>
                <w:spacing w:val="-3"/>
              </w:rPr>
              <w:t>531</w:t>
            </w:r>
          </w:p>
        </w:tc>
        <w:tc>
          <w:tcPr>
            <w:tcW w:w="1299" w:type="dxa"/>
            <w:vAlign w:val="top"/>
          </w:tcPr>
          <w:p>
            <w:pPr>
              <w:pStyle w:val="TableText"/>
              <w:ind w:left="320"/>
              <w:spacing w:before="160" w:line="220" w:lineRule="auto"/>
              <w:rPr>
                <w:sz w:val="16"/>
                <w:szCs w:val="16"/>
              </w:rPr>
            </w:pPr>
            <w:r>
              <w:rPr>
                <w:sz w:val="16"/>
                <w:szCs w:val="16"/>
                <w:spacing w:val="2"/>
              </w:rPr>
              <w:t>幽关总署</w:t>
            </w:r>
          </w:p>
        </w:tc>
        <w:tc>
          <w:tcPr>
            <w:tcW w:w="1638" w:type="dxa"/>
            <w:vAlign w:val="top"/>
          </w:tcPr>
          <w:p>
            <w:pPr>
              <w:pStyle w:val="TableText"/>
              <w:ind w:left="52" w:right="102" w:firstLine="40"/>
              <w:spacing w:before="78" w:line="208" w:lineRule="auto"/>
              <w:rPr>
                <w:sz w:val="16"/>
                <w:szCs w:val="16"/>
              </w:rPr>
            </w:pPr>
            <w:r>
              <w:rPr>
                <w:sz w:val="16"/>
                <w:szCs w:val="16"/>
                <w:spacing w:val="-1"/>
              </w:rPr>
              <w:t>每天监香货物仓础企</w:t>
            </w:r>
            <w:r>
              <w:rPr>
                <w:sz w:val="16"/>
                <w:szCs w:val="16"/>
                <w:spacing w:val="1"/>
              </w:rPr>
              <w:t xml:space="preserve"> </w:t>
            </w:r>
            <w:r>
              <w:rPr>
                <w:sz w:val="16"/>
                <w:szCs w:val="16"/>
                <w:spacing w:val="-2"/>
              </w:rPr>
              <w:t>变往看</w:t>
            </w:r>
          </w:p>
        </w:tc>
        <w:tc>
          <w:tcPr>
            <w:tcW w:w="2377" w:type="dxa"/>
            <w:vAlign w:val="top"/>
          </w:tcPr>
          <w:p>
            <w:pPr>
              <w:pStyle w:val="TableText"/>
              <w:ind w:left="64"/>
              <w:spacing w:before="159" w:line="219" w:lineRule="auto"/>
              <w:rPr>
                <w:sz w:val="16"/>
                <w:szCs w:val="16"/>
              </w:rPr>
            </w:pPr>
            <w:r>
              <w:rPr>
                <w:sz w:val="16"/>
                <w:szCs w:val="16"/>
                <w:spacing w:val="-1"/>
              </w:rPr>
              <w:t>直属海关或者申规海天</w:t>
            </w:r>
          </w:p>
        </w:tc>
        <w:tc>
          <w:tcPr>
            <w:tcW w:w="3711" w:type="dxa"/>
            <w:vAlign w:val="top"/>
          </w:tcPr>
          <w:p>
            <w:pPr>
              <w:pStyle w:val="TableText"/>
              <w:ind w:left="56"/>
              <w:spacing w:before="80" w:line="207" w:lineRule="auto"/>
              <w:rPr>
                <w:sz w:val="16"/>
                <w:szCs w:val="16"/>
              </w:rPr>
            </w:pPr>
            <w:r>
              <w:rPr>
                <w:sz w:val="16"/>
                <w:szCs w:val="16"/>
              </w:rPr>
              <w:t>1中半人民其和国海关</w:t>
            </w:r>
          </w:p>
          <w:p>
            <w:pPr>
              <w:pStyle w:val="TableText"/>
              <w:ind w:left="56"/>
              <w:spacing w:line="219" w:lineRule="auto"/>
              <w:rPr>
                <w:sz w:val="16"/>
                <w:szCs w:val="16"/>
              </w:rPr>
            </w:pPr>
            <w:r>
              <w:rPr>
                <w:sz w:val="16"/>
                <w:szCs w:val="16"/>
                <w:spacing w:val="-1"/>
              </w:rPr>
              <w:t>K中华人民共和国海关监重区管取暂行办法》</w:t>
            </w:r>
          </w:p>
        </w:tc>
      </w:tr>
      <w:tr>
        <w:trPr>
          <w:trHeight w:val="689" w:hRule="atLeast"/>
        </w:trPr>
        <w:tc>
          <w:tcPr>
            <w:tcW w:w="574" w:type="dxa"/>
            <w:vAlign w:val="top"/>
          </w:tcPr>
          <w:p>
            <w:pPr>
              <w:spacing w:line="258" w:lineRule="auto"/>
              <w:rPr>
                <w:rFonts w:ascii="Arial"/>
                <w:sz w:val="21"/>
              </w:rPr>
            </w:pPr>
            <w:r/>
          </w:p>
          <w:p>
            <w:pPr>
              <w:pStyle w:val="TableText"/>
              <w:ind w:left="154"/>
              <w:spacing w:before="52" w:line="183" w:lineRule="auto"/>
              <w:rPr>
                <w:sz w:val="16"/>
                <w:szCs w:val="16"/>
              </w:rPr>
            </w:pPr>
            <w:r>
              <w:rPr>
                <w:sz w:val="16"/>
                <w:szCs w:val="16"/>
                <w:spacing w:val="-2"/>
              </w:rPr>
              <w:t>632</w:t>
            </w:r>
          </w:p>
        </w:tc>
        <w:tc>
          <w:tcPr>
            <w:tcW w:w="1299" w:type="dxa"/>
            <w:vAlign w:val="top"/>
          </w:tcPr>
          <w:p>
            <w:pPr>
              <w:pStyle w:val="TableText"/>
              <w:ind w:left="320"/>
              <w:spacing w:before="271" w:line="220" w:lineRule="auto"/>
              <w:rPr>
                <w:sz w:val="16"/>
                <w:szCs w:val="16"/>
              </w:rPr>
            </w:pPr>
            <w:r>
              <w:rPr>
                <w:sz w:val="16"/>
                <w:szCs w:val="16"/>
                <w:spacing w:val="-2"/>
              </w:rPr>
              <w:t>海关总署</w:t>
            </w:r>
          </w:p>
        </w:tc>
        <w:tc>
          <w:tcPr>
            <w:tcW w:w="1638" w:type="dxa"/>
            <w:vAlign w:val="top"/>
          </w:tcPr>
          <w:p>
            <w:pPr>
              <w:pStyle w:val="TableText"/>
              <w:ind w:left="42" w:right="102" w:firstLine="50"/>
              <w:spacing w:before="70" w:line="234" w:lineRule="auto"/>
              <w:jc w:val="both"/>
              <w:rPr>
                <w:sz w:val="16"/>
                <w:szCs w:val="16"/>
              </w:rPr>
            </w:pPr>
            <w:r>
              <w:rPr>
                <w:sz w:val="16"/>
                <w:szCs w:val="16"/>
                <w:spacing w:val="-1"/>
              </w:rPr>
              <w:t>过境动输，连境转定</w:t>
            </w:r>
            <w:r>
              <w:rPr>
                <w:sz w:val="16"/>
                <w:szCs w:val="16"/>
                <w:spacing w:val="1"/>
              </w:rPr>
              <w:t xml:space="preserve"> </w:t>
            </w:r>
            <w:r>
              <w:rPr>
                <w:sz w:val="16"/>
                <w:szCs w:val="16"/>
                <w:spacing w:val="4"/>
              </w:rPr>
              <w:t>动植物及其产品检应</w:t>
            </w:r>
            <w:r>
              <w:rPr>
                <w:sz w:val="16"/>
                <w:szCs w:val="16"/>
                <w:spacing w:val="6"/>
              </w:rPr>
              <w:t xml:space="preserve"> </w:t>
            </w:r>
            <w:r>
              <w:rPr>
                <w:sz w:val="16"/>
                <w:szCs w:val="16"/>
                <w:spacing w:val="3"/>
              </w:rPr>
              <w:t>审批</w:t>
            </w:r>
          </w:p>
        </w:tc>
        <w:tc>
          <w:tcPr>
            <w:tcW w:w="2377" w:type="dxa"/>
            <w:vAlign w:val="top"/>
          </w:tcPr>
          <w:p>
            <w:pPr>
              <w:pStyle w:val="TableText"/>
              <w:ind w:left="64" w:right="228"/>
              <w:spacing w:before="170" w:line="237" w:lineRule="auto"/>
              <w:rPr>
                <w:sz w:val="16"/>
                <w:szCs w:val="16"/>
              </w:rPr>
            </w:pPr>
            <w:r>
              <w:rPr>
                <w:sz w:val="16"/>
                <w:szCs w:val="16"/>
                <w:spacing w:val="-1"/>
              </w:rPr>
              <w:t>海片单署或者其设权的直暑南</w:t>
            </w:r>
            <w:r>
              <w:rPr>
                <w:sz w:val="16"/>
                <w:szCs w:val="16"/>
                <w:spacing w:val="6"/>
              </w:rPr>
              <w:t xml:space="preserve"> </w:t>
            </w:r>
            <w:r>
              <w:rPr>
                <w:sz w:val="16"/>
                <w:szCs w:val="16"/>
              </w:rPr>
              <w:t>美</w:t>
            </w:r>
          </w:p>
        </w:tc>
        <w:tc>
          <w:tcPr>
            <w:tcW w:w="3711" w:type="dxa"/>
            <w:vAlign w:val="top"/>
          </w:tcPr>
          <w:p>
            <w:pPr>
              <w:pStyle w:val="TableText"/>
              <w:ind w:left="56"/>
              <w:spacing w:before="170" w:line="219" w:lineRule="auto"/>
              <w:rPr>
                <w:sz w:val="16"/>
                <w:szCs w:val="16"/>
              </w:rPr>
            </w:pPr>
            <w:r>
              <w:rPr>
                <w:sz w:val="16"/>
                <w:szCs w:val="16"/>
              </w:rPr>
              <w:t>(中作人民共和国造出垃动植物检疫法》</w:t>
            </w:r>
          </w:p>
          <w:p>
            <w:pPr>
              <w:pStyle w:val="TableText"/>
              <w:ind w:left="56"/>
              <w:spacing w:before="19" w:line="219" w:lineRule="auto"/>
              <w:rPr>
                <w:sz w:val="16"/>
                <w:szCs w:val="16"/>
              </w:rPr>
            </w:pPr>
            <w:r>
              <w:rPr>
                <w:sz w:val="16"/>
                <w:szCs w:val="16"/>
              </w:rPr>
              <w:t>1中华人民其和国进出填动植特程交总实防录偶》</w:t>
            </w:r>
          </w:p>
        </w:tc>
      </w:tr>
      <w:tr>
        <w:trPr>
          <w:trHeight w:val="879" w:hRule="atLeast"/>
        </w:trPr>
        <w:tc>
          <w:tcPr>
            <w:tcW w:w="574" w:type="dxa"/>
            <w:vAlign w:val="top"/>
          </w:tcPr>
          <w:p>
            <w:pPr>
              <w:spacing w:line="348" w:lineRule="auto"/>
              <w:rPr>
                <w:rFonts w:ascii="Arial"/>
                <w:sz w:val="21"/>
              </w:rPr>
            </w:pPr>
            <w:r/>
          </w:p>
          <w:p>
            <w:pPr>
              <w:pStyle w:val="TableText"/>
              <w:ind w:left="154"/>
              <w:spacing w:before="52" w:line="183" w:lineRule="auto"/>
              <w:rPr>
                <w:sz w:val="16"/>
                <w:szCs w:val="16"/>
              </w:rPr>
            </w:pPr>
            <w:r>
              <w:rPr>
                <w:sz w:val="16"/>
                <w:szCs w:val="16"/>
                <w:spacing w:val="-3"/>
              </w:rPr>
              <w:t>533</w:t>
            </w:r>
          </w:p>
        </w:tc>
        <w:tc>
          <w:tcPr>
            <w:tcW w:w="1299" w:type="dxa"/>
            <w:vAlign w:val="top"/>
          </w:tcPr>
          <w:p>
            <w:pPr>
              <w:spacing w:line="308" w:lineRule="auto"/>
              <w:rPr>
                <w:rFonts w:ascii="Arial"/>
                <w:sz w:val="21"/>
              </w:rPr>
            </w:pPr>
            <w:r/>
          </w:p>
          <w:p>
            <w:pPr>
              <w:pStyle w:val="TableText"/>
              <w:ind w:left="320"/>
              <w:spacing w:before="52" w:line="220" w:lineRule="auto"/>
              <w:rPr>
                <w:sz w:val="16"/>
                <w:szCs w:val="16"/>
              </w:rPr>
            </w:pPr>
            <w:r>
              <w:rPr>
                <w:sz w:val="16"/>
                <w:szCs w:val="16"/>
                <w:spacing w:val="-2"/>
              </w:rPr>
              <w:t>海关总署</w:t>
            </w:r>
          </w:p>
        </w:tc>
        <w:tc>
          <w:tcPr>
            <w:tcW w:w="1638" w:type="dxa"/>
            <w:vAlign w:val="top"/>
          </w:tcPr>
          <w:p>
            <w:pPr>
              <w:pStyle w:val="TableText"/>
              <w:ind w:left="92"/>
              <w:spacing w:before="71" w:line="219" w:lineRule="auto"/>
              <w:rPr>
                <w:sz w:val="16"/>
                <w:szCs w:val="16"/>
              </w:rPr>
            </w:pPr>
            <w:r>
              <w:rPr>
                <w:sz w:val="16"/>
                <w:szCs w:val="16"/>
              </w:rPr>
              <w:t>山填特定动植物及基</w:t>
            </w:r>
          </w:p>
          <w:p>
            <w:pPr>
              <w:pStyle w:val="TableText"/>
              <w:ind w:left="11" w:right="23" w:firstLine="80"/>
              <w:spacing w:before="19" w:line="226" w:lineRule="auto"/>
              <w:rPr>
                <w:sz w:val="16"/>
                <w:szCs w:val="16"/>
              </w:rPr>
            </w:pPr>
            <w:r>
              <w:rPr>
                <w:sz w:val="16"/>
                <w:szCs w:val="16"/>
                <w:spacing w:val="-1"/>
              </w:rPr>
              <w:t>产品和其他检症物的</w:t>
            </w:r>
            <w:r>
              <w:rPr>
                <w:sz w:val="16"/>
                <w:szCs w:val="16"/>
              </w:rPr>
              <w:t xml:space="preserve">  </w:t>
            </w:r>
            <w:r>
              <w:rPr>
                <w:sz w:val="16"/>
                <w:szCs w:val="16"/>
                <w:spacing w:val="-1"/>
              </w:rPr>
              <w:t>生产，加工，存政单益</w:t>
            </w:r>
            <w:r>
              <w:rPr>
                <w:sz w:val="16"/>
                <w:szCs w:val="16"/>
                <w:spacing w:val="1"/>
              </w:rPr>
              <w:t xml:space="preserve"> </w:t>
            </w:r>
            <w:r>
              <w:rPr>
                <w:sz w:val="16"/>
                <w:szCs w:val="16"/>
                <w:spacing w:val="3"/>
              </w:rPr>
              <w:t>注朋登记</w:t>
            </w:r>
          </w:p>
        </w:tc>
        <w:tc>
          <w:tcPr>
            <w:tcW w:w="2377" w:type="dxa"/>
            <w:vAlign w:val="top"/>
          </w:tcPr>
          <w:p>
            <w:pPr>
              <w:spacing w:line="308" w:lineRule="auto"/>
              <w:rPr>
                <w:rFonts w:ascii="Arial"/>
                <w:sz w:val="21"/>
              </w:rPr>
            </w:pPr>
            <w:r/>
          </w:p>
          <w:p>
            <w:pPr>
              <w:pStyle w:val="TableText"/>
              <w:ind w:left="64"/>
              <w:spacing w:before="52" w:line="220" w:lineRule="auto"/>
              <w:rPr>
                <w:sz w:val="16"/>
                <w:szCs w:val="16"/>
              </w:rPr>
            </w:pPr>
            <w:r>
              <w:rPr>
                <w:sz w:val="16"/>
                <w:szCs w:val="16"/>
                <w:spacing w:val="-2"/>
              </w:rPr>
              <w:t>直属周关</w:t>
            </w:r>
          </w:p>
        </w:tc>
        <w:tc>
          <w:tcPr>
            <w:tcW w:w="3711" w:type="dxa"/>
            <w:vAlign w:val="top"/>
          </w:tcPr>
          <w:p>
            <w:pPr>
              <w:spacing w:line="307" w:lineRule="auto"/>
              <w:rPr>
                <w:rFonts w:ascii="Arial"/>
                <w:sz w:val="21"/>
              </w:rPr>
            </w:pPr>
            <w:r/>
          </w:p>
          <w:p>
            <w:pPr>
              <w:pStyle w:val="TableText"/>
              <w:ind w:left="56"/>
              <w:spacing w:before="52" w:line="219" w:lineRule="auto"/>
              <w:rPr>
                <w:sz w:val="16"/>
                <w:szCs w:val="16"/>
              </w:rPr>
            </w:pPr>
            <w:r>
              <w:rPr>
                <w:sz w:val="16"/>
                <w:szCs w:val="16"/>
              </w:rPr>
              <w:t>1中华人民共和国进出量动植物检疫法卖地条侧》</w:t>
            </w:r>
          </w:p>
        </w:tc>
      </w:tr>
      <w:tr>
        <w:trPr>
          <w:trHeight w:val="469" w:hRule="atLeast"/>
        </w:trPr>
        <w:tc>
          <w:tcPr>
            <w:tcW w:w="574" w:type="dxa"/>
            <w:vAlign w:val="top"/>
          </w:tcPr>
          <w:p>
            <w:pPr>
              <w:pStyle w:val="TableText"/>
              <w:ind w:left="154"/>
              <w:spacing w:before="203" w:line="183" w:lineRule="auto"/>
              <w:rPr>
                <w:sz w:val="16"/>
                <w:szCs w:val="16"/>
              </w:rPr>
            </w:pPr>
            <w:r>
              <w:rPr>
                <w:sz w:val="16"/>
                <w:szCs w:val="16"/>
                <w:spacing w:val="-3"/>
              </w:rPr>
              <w:t>53t</w:t>
            </w:r>
          </w:p>
        </w:tc>
        <w:tc>
          <w:tcPr>
            <w:tcW w:w="1299" w:type="dxa"/>
            <w:vAlign w:val="top"/>
          </w:tcPr>
          <w:p>
            <w:pPr>
              <w:pStyle w:val="TableText"/>
              <w:ind w:left="320"/>
              <w:spacing w:before="162" w:line="219" w:lineRule="auto"/>
              <w:rPr>
                <w:sz w:val="16"/>
                <w:szCs w:val="16"/>
              </w:rPr>
            </w:pPr>
            <w:r>
              <w:rPr>
                <w:sz w:val="16"/>
                <w:szCs w:val="16"/>
                <w:spacing w:val="3"/>
              </w:rPr>
              <w:t>牌关总增</w:t>
            </w:r>
          </w:p>
        </w:tc>
        <w:tc>
          <w:tcPr>
            <w:tcW w:w="1638" w:type="dxa"/>
            <w:vAlign w:val="top"/>
          </w:tcPr>
          <w:p>
            <w:pPr>
              <w:pStyle w:val="TableText"/>
              <w:ind w:left="52" w:right="100" w:firstLine="40"/>
              <w:spacing w:before="82" w:line="217" w:lineRule="auto"/>
              <w:rPr>
                <w:sz w:val="16"/>
                <w:szCs w:val="16"/>
              </w:rPr>
            </w:pPr>
            <w:r>
              <w:rPr>
                <w:sz w:val="16"/>
                <w:szCs w:val="16"/>
                <w:spacing w:val="-1"/>
              </w:rPr>
              <w:t>进出境动植铷检徒除</w:t>
            </w:r>
            <w:r>
              <w:rPr>
                <w:sz w:val="16"/>
                <w:szCs w:val="16"/>
                <w:spacing w:val="3"/>
              </w:rPr>
              <w:t xml:space="preserve"> </w:t>
            </w:r>
            <w:r>
              <w:rPr>
                <w:sz w:val="16"/>
                <w:szCs w:val="16"/>
                <w:spacing w:val="-2"/>
              </w:rPr>
              <w:t>害处理单位核限</w:t>
            </w:r>
          </w:p>
        </w:tc>
        <w:tc>
          <w:tcPr>
            <w:tcW w:w="2377" w:type="dxa"/>
            <w:vAlign w:val="top"/>
          </w:tcPr>
          <w:p>
            <w:pPr>
              <w:pStyle w:val="TableText"/>
              <w:ind w:left="64"/>
              <w:spacing w:before="163" w:line="220" w:lineRule="auto"/>
              <w:rPr>
                <w:sz w:val="16"/>
                <w:szCs w:val="16"/>
              </w:rPr>
            </w:pPr>
            <w:r>
              <w:rPr>
                <w:sz w:val="16"/>
                <w:szCs w:val="16"/>
                <w:spacing w:val="-2"/>
              </w:rPr>
              <w:t>直属海关</w:t>
            </w:r>
          </w:p>
        </w:tc>
        <w:tc>
          <w:tcPr>
            <w:tcW w:w="3711" w:type="dxa"/>
            <w:vAlign w:val="top"/>
          </w:tcPr>
          <w:p>
            <w:pPr>
              <w:pStyle w:val="TableText"/>
              <w:ind w:left="56"/>
              <w:spacing w:before="162" w:line="219" w:lineRule="auto"/>
              <w:rPr>
                <w:sz w:val="16"/>
                <w:szCs w:val="16"/>
              </w:rPr>
            </w:pPr>
            <w:r>
              <w:rPr>
                <w:sz w:val="16"/>
                <w:szCs w:val="16"/>
                <w:spacing w:val="-1"/>
              </w:rPr>
              <w:t>工中保人民共和国进出植动植物检变法实施条例》</w:t>
            </w:r>
          </w:p>
        </w:tc>
      </w:tr>
      <w:tr>
        <w:trPr>
          <w:trHeight w:val="479" w:hRule="atLeast"/>
        </w:trPr>
        <w:tc>
          <w:tcPr>
            <w:tcW w:w="574" w:type="dxa"/>
            <w:vAlign w:val="top"/>
          </w:tcPr>
          <w:p>
            <w:pPr>
              <w:pStyle w:val="TableText"/>
              <w:ind w:left="154"/>
              <w:spacing w:before="204" w:line="183" w:lineRule="auto"/>
              <w:rPr>
                <w:sz w:val="16"/>
                <w:szCs w:val="16"/>
              </w:rPr>
            </w:pPr>
            <w:r>
              <w:rPr>
                <w:sz w:val="16"/>
                <w:szCs w:val="16"/>
                <w:spacing w:val="-3"/>
              </w:rPr>
              <w:t>535</w:t>
            </w:r>
          </w:p>
        </w:tc>
        <w:tc>
          <w:tcPr>
            <w:tcW w:w="1299" w:type="dxa"/>
            <w:vAlign w:val="top"/>
          </w:tcPr>
          <w:p>
            <w:pPr>
              <w:pStyle w:val="TableText"/>
              <w:ind w:left="320"/>
              <w:spacing w:before="164" w:line="220" w:lineRule="auto"/>
              <w:rPr>
                <w:sz w:val="16"/>
                <w:szCs w:val="16"/>
              </w:rPr>
            </w:pPr>
            <w:r>
              <w:rPr>
                <w:sz w:val="16"/>
                <w:szCs w:val="16"/>
                <w:spacing w:val="2"/>
              </w:rPr>
              <w:t>尚关总要</w:t>
            </w:r>
          </w:p>
        </w:tc>
        <w:tc>
          <w:tcPr>
            <w:tcW w:w="1638" w:type="dxa"/>
            <w:vAlign w:val="top"/>
          </w:tcPr>
          <w:p>
            <w:pPr>
              <w:pStyle w:val="TableText"/>
              <w:ind w:left="52" w:right="102" w:firstLine="40"/>
              <w:spacing w:before="92" w:line="214" w:lineRule="auto"/>
              <w:rPr>
                <w:sz w:val="16"/>
                <w:szCs w:val="16"/>
              </w:rPr>
            </w:pPr>
            <w:r>
              <w:rPr>
                <w:sz w:val="16"/>
                <w:szCs w:val="16"/>
                <w:spacing w:val="-1"/>
              </w:rPr>
              <w:t>特殊物品出人境卫生</w:t>
            </w:r>
            <w:r>
              <w:rPr>
                <w:sz w:val="16"/>
                <w:szCs w:val="16"/>
                <w:spacing w:val="1"/>
              </w:rPr>
              <w:t xml:space="preserve"> </w:t>
            </w:r>
            <w:r>
              <w:rPr>
                <w:sz w:val="16"/>
                <w:szCs w:val="16"/>
                <w:spacing w:val="-2"/>
              </w:rPr>
              <w:t>检疫审批</w:t>
            </w:r>
          </w:p>
        </w:tc>
        <w:tc>
          <w:tcPr>
            <w:tcW w:w="2377" w:type="dxa"/>
            <w:vAlign w:val="top"/>
          </w:tcPr>
          <w:p>
            <w:pPr>
              <w:pStyle w:val="TableText"/>
              <w:ind w:left="64"/>
              <w:spacing w:before="162" w:line="219" w:lineRule="auto"/>
              <w:rPr>
                <w:sz w:val="16"/>
                <w:szCs w:val="16"/>
              </w:rPr>
            </w:pPr>
            <w:r>
              <w:rPr>
                <w:sz w:val="16"/>
                <w:szCs w:val="16"/>
                <w:spacing w:val="-2"/>
              </w:rPr>
              <w:t>直闻海麦</w:t>
            </w:r>
          </w:p>
        </w:tc>
        <w:tc>
          <w:tcPr>
            <w:tcW w:w="3711" w:type="dxa"/>
            <w:vAlign w:val="top"/>
          </w:tcPr>
          <w:p>
            <w:pPr>
              <w:pStyle w:val="TableText"/>
              <w:ind w:left="56"/>
              <w:spacing w:before="163" w:line="219" w:lineRule="auto"/>
              <w:rPr>
                <w:sz w:val="16"/>
                <w:szCs w:val="16"/>
              </w:rPr>
            </w:pPr>
            <w:r>
              <w:rPr>
                <w:sz w:val="16"/>
                <w:szCs w:val="16"/>
              </w:rPr>
              <w:t>1中华人民共和国国将卫生税疫法实意结则》</w:t>
            </w:r>
          </w:p>
        </w:tc>
      </w:tr>
      <w:tr>
        <w:trPr>
          <w:trHeight w:val="879" w:hRule="atLeast"/>
        </w:trPr>
        <w:tc>
          <w:tcPr>
            <w:tcW w:w="574" w:type="dxa"/>
            <w:vAlign w:val="top"/>
          </w:tcPr>
          <w:p>
            <w:pPr>
              <w:spacing w:line="351" w:lineRule="auto"/>
              <w:rPr>
                <w:rFonts w:ascii="Arial"/>
                <w:sz w:val="21"/>
              </w:rPr>
            </w:pPr>
            <w:r/>
          </w:p>
          <w:p>
            <w:pPr>
              <w:pStyle w:val="TableText"/>
              <w:ind w:left="154"/>
              <w:spacing w:before="52" w:line="183" w:lineRule="auto"/>
              <w:rPr>
                <w:sz w:val="16"/>
                <w:szCs w:val="16"/>
              </w:rPr>
            </w:pPr>
            <w:r>
              <w:rPr>
                <w:sz w:val="16"/>
                <w:szCs w:val="16"/>
                <w:spacing w:val="-2"/>
              </w:rPr>
              <w:t>236</w:t>
            </w:r>
          </w:p>
        </w:tc>
        <w:tc>
          <w:tcPr>
            <w:tcW w:w="1299" w:type="dxa"/>
            <w:vAlign w:val="top"/>
          </w:tcPr>
          <w:p>
            <w:pPr>
              <w:spacing w:line="311" w:lineRule="auto"/>
              <w:rPr>
                <w:rFonts w:ascii="Arial"/>
                <w:sz w:val="21"/>
              </w:rPr>
            </w:pPr>
            <w:r/>
          </w:p>
          <w:p>
            <w:pPr>
              <w:pStyle w:val="TableText"/>
              <w:ind w:left="320"/>
              <w:spacing w:before="52" w:line="220" w:lineRule="auto"/>
              <w:rPr>
                <w:sz w:val="16"/>
                <w:szCs w:val="16"/>
              </w:rPr>
            </w:pPr>
            <w:r>
              <w:rPr>
                <w:sz w:val="16"/>
                <w:szCs w:val="16"/>
                <w:spacing w:val="-2"/>
              </w:rPr>
              <w:t>海笑总常</w:t>
            </w:r>
          </w:p>
        </w:tc>
        <w:tc>
          <w:tcPr>
            <w:tcW w:w="1638" w:type="dxa"/>
            <w:vAlign w:val="top"/>
          </w:tcPr>
          <w:p>
            <w:pPr>
              <w:spacing w:line="311" w:lineRule="auto"/>
              <w:rPr>
                <w:rFonts w:ascii="Arial"/>
                <w:sz w:val="21"/>
              </w:rPr>
            </w:pPr>
            <w:r/>
          </w:p>
          <w:p>
            <w:pPr>
              <w:pStyle w:val="TableText"/>
              <w:ind w:left="171"/>
              <w:spacing w:before="52" w:line="220" w:lineRule="auto"/>
              <w:rPr>
                <w:sz w:val="16"/>
                <w:szCs w:val="16"/>
              </w:rPr>
            </w:pPr>
            <w:r>
              <w:rPr>
                <w:sz w:val="16"/>
                <w:szCs w:val="16"/>
                <w:spacing w:val="2"/>
              </w:rPr>
              <w:t>国境口理卫生许司</w:t>
            </w:r>
          </w:p>
        </w:tc>
        <w:tc>
          <w:tcPr>
            <w:tcW w:w="2377" w:type="dxa"/>
            <w:vAlign w:val="top"/>
          </w:tcPr>
          <w:p>
            <w:pPr>
              <w:spacing w:line="310" w:lineRule="auto"/>
              <w:rPr>
                <w:rFonts w:ascii="Arial"/>
                <w:sz w:val="21"/>
              </w:rPr>
            </w:pPr>
            <w:r/>
          </w:p>
          <w:p>
            <w:pPr>
              <w:pStyle w:val="TableText"/>
              <w:ind w:left="64"/>
              <w:spacing w:before="52" w:line="219" w:lineRule="auto"/>
              <w:rPr>
                <w:sz w:val="16"/>
                <w:szCs w:val="16"/>
              </w:rPr>
            </w:pPr>
            <w:r>
              <w:rPr>
                <w:sz w:val="16"/>
                <w:szCs w:val="16"/>
                <w:spacing w:val="-1"/>
              </w:rPr>
              <w:t>直属前发成著隶屋萍关</w:t>
            </w:r>
          </w:p>
        </w:tc>
        <w:tc>
          <w:tcPr>
            <w:tcW w:w="3711" w:type="dxa"/>
            <w:vAlign w:val="top"/>
          </w:tcPr>
          <w:p>
            <w:pPr>
              <w:pStyle w:val="TableText"/>
              <w:ind w:left="56"/>
              <w:spacing w:before="63" w:line="221" w:lineRule="exact"/>
              <w:rPr>
                <w:sz w:val="16"/>
                <w:szCs w:val="16"/>
              </w:rPr>
            </w:pPr>
            <w:r>
              <w:rPr>
                <w:sz w:val="16"/>
                <w:szCs w:val="16"/>
                <w:spacing w:val="1"/>
                <w:position w:val="4"/>
              </w:rPr>
              <w:t>十中华人采共和得国境卫生险疫法1</w:t>
            </w:r>
          </w:p>
          <w:p>
            <w:pPr>
              <w:pStyle w:val="TableText"/>
              <w:ind w:left="56"/>
              <w:spacing w:line="219" w:lineRule="auto"/>
              <w:rPr>
                <w:sz w:val="16"/>
                <w:szCs w:val="16"/>
              </w:rPr>
            </w:pPr>
            <w:r>
              <w:rPr>
                <w:sz w:val="16"/>
                <w:szCs w:val="16"/>
                <w:spacing w:val="-1"/>
              </w:rPr>
              <w:t>中华人民共和国食品安全法》</w:t>
            </w:r>
          </w:p>
          <w:p>
            <w:pPr>
              <w:pStyle w:val="TableText"/>
              <w:ind w:right="604" w:firstLine="79"/>
              <w:spacing w:line="219" w:lineRule="auto"/>
              <w:rPr>
                <w:sz w:val="16"/>
                <w:szCs w:val="16"/>
              </w:rPr>
            </w:pPr>
            <w:r>
              <w:rPr>
                <w:sz w:val="16"/>
                <w:szCs w:val="16"/>
                <w:spacing w:val="-2"/>
              </w:rPr>
              <w:t>中华人民其和国国净卫生税疫法实解增则》</w:t>
            </w:r>
            <w:r>
              <w:rPr>
                <w:sz w:val="16"/>
                <w:szCs w:val="16"/>
                <w:spacing w:val="14"/>
              </w:rPr>
              <w:t xml:space="preserve"> </w:t>
            </w:r>
            <w:r>
              <w:rPr>
                <w:sz w:val="16"/>
                <w:szCs w:val="16"/>
                <w:spacing w:val="-3"/>
              </w:rPr>
              <w:t>《公具场所卫生管理备例》</w:t>
            </w:r>
          </w:p>
        </w:tc>
      </w:tr>
      <w:tr>
        <w:trPr>
          <w:trHeight w:val="524" w:hRule="atLeast"/>
        </w:trPr>
        <w:tc>
          <w:tcPr>
            <w:tcW w:w="574" w:type="dxa"/>
            <w:vAlign w:val="top"/>
          </w:tcPr>
          <w:p>
            <w:pPr>
              <w:pStyle w:val="TableText"/>
              <w:ind w:left="154"/>
              <w:spacing w:before="226" w:line="183" w:lineRule="auto"/>
              <w:rPr>
                <w:sz w:val="16"/>
                <w:szCs w:val="16"/>
              </w:rPr>
            </w:pPr>
            <w:r>
              <w:rPr>
                <w:sz w:val="16"/>
                <w:szCs w:val="16"/>
                <w:spacing w:val="-2"/>
              </w:rPr>
              <w:t>287</w:t>
            </w:r>
          </w:p>
        </w:tc>
        <w:tc>
          <w:tcPr>
            <w:tcW w:w="1299" w:type="dxa"/>
            <w:vAlign w:val="top"/>
          </w:tcPr>
          <w:p>
            <w:pPr>
              <w:pStyle w:val="TableText"/>
              <w:ind w:left="320"/>
              <w:spacing w:before="185" w:line="219" w:lineRule="auto"/>
              <w:rPr>
                <w:sz w:val="16"/>
                <w:szCs w:val="16"/>
              </w:rPr>
            </w:pPr>
            <w:r>
              <w:rPr>
                <w:sz w:val="16"/>
                <w:szCs w:val="16"/>
                <w:spacing w:val="3"/>
              </w:rPr>
              <w:t>地务盐局</w:t>
            </w:r>
          </w:p>
        </w:tc>
        <w:tc>
          <w:tcPr>
            <w:tcW w:w="1638" w:type="dxa"/>
            <w:vAlign w:val="top"/>
          </w:tcPr>
          <w:p>
            <w:pPr>
              <w:pStyle w:val="TableText"/>
              <w:ind w:left="62" w:right="102" w:firstLine="30"/>
              <w:spacing w:before="115" w:line="230" w:lineRule="auto"/>
              <w:rPr>
                <w:sz w:val="16"/>
                <w:szCs w:val="16"/>
              </w:rPr>
            </w:pPr>
            <w:r>
              <w:rPr>
                <w:sz w:val="16"/>
                <w:szCs w:val="16"/>
                <w:spacing w:val="-1"/>
              </w:rPr>
              <w:t>增值和防伤税症系统</w:t>
            </w:r>
            <w:r>
              <w:rPr>
                <w:sz w:val="16"/>
                <w:szCs w:val="16"/>
                <w:spacing w:val="1"/>
              </w:rPr>
              <w:t xml:space="preserve"> </w:t>
            </w:r>
            <w:r>
              <w:rPr>
                <w:sz w:val="16"/>
                <w:szCs w:val="16"/>
                <w:spacing w:val="-1"/>
              </w:rPr>
              <w:t>谢高开票阳餐审批</w:t>
            </w:r>
          </w:p>
        </w:tc>
        <w:tc>
          <w:tcPr>
            <w:tcW w:w="2377" w:type="dxa"/>
            <w:vAlign w:val="top"/>
          </w:tcPr>
          <w:p>
            <w:pPr>
              <w:pStyle w:val="TableText"/>
              <w:ind w:left="64"/>
              <w:spacing w:before="185" w:line="219" w:lineRule="auto"/>
              <w:rPr>
                <w:sz w:val="16"/>
                <w:szCs w:val="16"/>
              </w:rPr>
            </w:pPr>
            <w:r>
              <w:rPr>
                <w:sz w:val="16"/>
                <w:szCs w:val="16"/>
                <w:spacing w:val="2"/>
              </w:rPr>
              <w:t>是烟税考部门</w:t>
            </w:r>
          </w:p>
        </w:tc>
        <w:tc>
          <w:tcPr>
            <w:tcW w:w="3711" w:type="dxa"/>
            <w:vAlign w:val="top"/>
          </w:tcPr>
          <w:p>
            <w:pPr>
              <w:pStyle w:val="TableText"/>
              <w:ind w:left="56" w:right="437"/>
              <w:spacing w:before="84" w:line="237" w:lineRule="auto"/>
              <w:rPr>
                <w:sz w:val="16"/>
                <w:szCs w:val="16"/>
              </w:rPr>
            </w:pPr>
            <w:r>
              <w:rPr>
                <w:sz w:val="16"/>
                <w:szCs w:val="16"/>
              </w:rPr>
              <w:t>国务良对确肾保群的行故审批项日设定行收许</w:t>
            </w:r>
            <w:r>
              <w:rPr>
                <w:sz w:val="16"/>
                <w:szCs w:val="16"/>
                <w:spacing w:val="5"/>
              </w:rPr>
              <w:t xml:space="preserve"> </w:t>
            </w:r>
            <w:r>
              <w:rPr>
                <w:sz w:val="16"/>
                <w:szCs w:val="16"/>
                <w:spacing w:val="19"/>
              </w:rPr>
              <w:t>部决定】</w:t>
            </w:r>
          </w:p>
        </w:tc>
      </w:tr>
    </w:tbl>
    <w:p>
      <w:pPr>
        <w:pStyle w:val="BodyText"/>
        <w:rPr/>
      </w:pPr>
      <w:r/>
    </w:p>
    <w:p>
      <w:pPr>
        <w:sectPr>
          <w:pgSz w:w="11910" w:h="8220"/>
          <w:pgMar w:top="400" w:right="116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879424" behindDoc="0" locked="0" layoutInCell="0" allowOverlap="1">
                <wp:simplePos x="0" y="0"/>
                <wp:positionH relativeFrom="page">
                  <wp:posOffset>470613</wp:posOffset>
                </wp:positionH>
                <wp:positionV relativeFrom="page">
                  <wp:posOffset>4376700</wp:posOffset>
                </wp:positionV>
                <wp:extent cx="172720" cy="157479"/>
                <wp:effectExtent l="0" t="0" r="0" b="0"/>
                <wp:wrapNone/>
                <wp:docPr id="276" name="TextBox 276"/>
                <wp:cNvGraphicFramePr/>
                <a:graphic>
                  <a:graphicData uri="http://schemas.microsoft.com/office/word/2010/wordprocessingShape">
                    <wps:wsp>
                      <wps:cNvSpPr txBox="1"/>
                      <wps:spPr>
                        <a:xfrm rot="5400000">
                          <a:off x="470613" y="4376700"/>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8" style="position:absolute;margin-left:37.0562pt;margin-top:344.622pt;mso-position-vertical-relative:page;mso-position-horizontal-relative:page;width:13.6pt;height:12.4pt;z-index:25187942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219</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1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0" w:line="219" w:lineRule="auto"/>
              <w:rPr>
                <w:sz w:val="16"/>
                <w:szCs w:val="16"/>
              </w:rPr>
            </w:pPr>
            <w:r>
              <w:rPr>
                <w:sz w:val="16"/>
                <w:szCs w:val="16"/>
                <w:spacing w:val="3"/>
              </w:rPr>
              <w:t>中央主臂器门</w:t>
            </w:r>
          </w:p>
        </w:tc>
        <w:tc>
          <w:tcPr>
            <w:tcW w:w="1638" w:type="dxa"/>
            <w:vAlign w:val="top"/>
          </w:tcPr>
          <w:p>
            <w:pPr>
              <w:pStyle w:val="TableText"/>
              <w:ind w:left="491"/>
              <w:spacing w:before="132" w:line="220" w:lineRule="auto"/>
              <w:rPr>
                <w:sz w:val="16"/>
                <w:szCs w:val="16"/>
              </w:rPr>
            </w:pPr>
            <w:r>
              <w:rPr>
                <w:sz w:val="16"/>
                <w:szCs w:val="16"/>
                <w:spacing w:val="-2"/>
              </w:rPr>
              <w:t>事填名称</w:t>
            </w:r>
          </w:p>
        </w:tc>
        <w:tc>
          <w:tcPr>
            <w:tcW w:w="2377" w:type="dxa"/>
            <w:vAlign w:val="top"/>
          </w:tcPr>
          <w:p>
            <w:pPr>
              <w:pStyle w:val="TableText"/>
              <w:ind w:left="824"/>
              <w:spacing w:before="132" w:line="220" w:lineRule="auto"/>
              <w:rPr>
                <w:sz w:val="16"/>
                <w:szCs w:val="16"/>
              </w:rPr>
            </w:pPr>
            <w:r>
              <w:rPr>
                <w:sz w:val="16"/>
                <w:szCs w:val="16"/>
                <w:spacing w:val="-2"/>
              </w:rPr>
              <w:t>实购积笑</w:t>
            </w:r>
          </w:p>
        </w:tc>
        <w:tc>
          <w:tcPr>
            <w:tcW w:w="3711" w:type="dxa"/>
            <w:vAlign w:val="top"/>
          </w:tcPr>
          <w:p>
            <w:pPr>
              <w:pStyle w:val="TableText"/>
              <w:ind w:left="1269"/>
              <w:spacing w:before="128" w:line="219" w:lineRule="auto"/>
              <w:rPr>
                <w:sz w:val="16"/>
                <w:szCs w:val="16"/>
              </w:rPr>
            </w:pPr>
            <w:r>
              <w:rPr>
                <w:sz w:val="16"/>
                <w:szCs w:val="16"/>
                <w:b/>
                <w:bCs/>
                <w:spacing w:val="-3"/>
              </w:rPr>
              <w:t>设定和实葱依据</w:t>
            </w:r>
          </w:p>
        </w:tc>
      </w:tr>
      <w:tr>
        <w:trPr>
          <w:trHeight w:val="489" w:hRule="atLeast"/>
        </w:trPr>
        <w:tc>
          <w:tcPr>
            <w:tcW w:w="584" w:type="dxa"/>
            <w:vAlign w:val="top"/>
          </w:tcPr>
          <w:p>
            <w:pPr>
              <w:pStyle w:val="TableText"/>
              <w:ind w:left="164"/>
              <w:spacing w:before="207" w:line="183" w:lineRule="auto"/>
              <w:rPr>
                <w:sz w:val="16"/>
                <w:szCs w:val="16"/>
              </w:rPr>
            </w:pPr>
            <w:r>
              <w:rPr>
                <w:sz w:val="16"/>
                <w:szCs w:val="16"/>
                <w:spacing w:val="-2"/>
              </w:rPr>
              <w:t>S3N</w:t>
            </w:r>
          </w:p>
        </w:tc>
        <w:tc>
          <w:tcPr>
            <w:tcW w:w="1289" w:type="dxa"/>
            <w:vAlign w:val="top"/>
          </w:tcPr>
          <w:p>
            <w:pPr>
              <w:pStyle w:val="TableText"/>
              <w:ind w:left="150"/>
              <w:spacing w:before="166" w:line="219" w:lineRule="auto"/>
              <w:rPr>
                <w:sz w:val="16"/>
                <w:szCs w:val="16"/>
              </w:rPr>
            </w:pPr>
            <w:r>
              <w:rPr>
                <w:sz w:val="16"/>
                <w:szCs w:val="16"/>
                <w:spacing w:val="-2"/>
              </w:rPr>
              <w:t>市场监管总超</w:t>
            </w:r>
          </w:p>
        </w:tc>
        <w:tc>
          <w:tcPr>
            <w:tcW w:w="1638" w:type="dxa"/>
            <w:vAlign w:val="top"/>
          </w:tcPr>
          <w:p>
            <w:pPr>
              <w:pStyle w:val="TableText"/>
              <w:ind w:left="42" w:right="102" w:firstLine="50"/>
              <w:spacing w:before="76" w:line="217" w:lineRule="auto"/>
              <w:rPr>
                <w:sz w:val="16"/>
                <w:szCs w:val="16"/>
              </w:rPr>
            </w:pPr>
            <w:r>
              <w:rPr>
                <w:sz w:val="16"/>
                <w:szCs w:val="16"/>
                <w:spacing w:val="-1"/>
              </w:rPr>
              <w:t>重要工业产品生产许</w:t>
            </w:r>
            <w:r>
              <w:rPr>
                <w:sz w:val="16"/>
                <w:szCs w:val="16"/>
                <w:spacing w:val="1"/>
              </w:rPr>
              <w:t xml:space="preserve"> </w:t>
            </w:r>
            <w:r>
              <w:rPr>
                <w:sz w:val="16"/>
                <w:szCs w:val="16"/>
              </w:rPr>
              <w:t>可</w:t>
            </w:r>
          </w:p>
        </w:tc>
        <w:tc>
          <w:tcPr>
            <w:tcW w:w="2377" w:type="dxa"/>
            <w:vAlign w:val="top"/>
          </w:tcPr>
          <w:p>
            <w:pPr>
              <w:pStyle w:val="TableText"/>
              <w:ind w:left="74"/>
              <w:spacing w:before="166" w:line="219" w:lineRule="auto"/>
              <w:rPr>
                <w:sz w:val="16"/>
                <w:szCs w:val="16"/>
              </w:rPr>
            </w:pPr>
            <w:r>
              <w:rPr>
                <w:sz w:val="16"/>
                <w:szCs w:val="16"/>
                <w:spacing w:val="2"/>
              </w:rPr>
              <w:t>省级市场贴竹四门</w:t>
            </w:r>
          </w:p>
        </w:tc>
        <w:tc>
          <w:tcPr>
            <w:tcW w:w="3711" w:type="dxa"/>
            <w:vAlign w:val="top"/>
          </w:tcPr>
          <w:p>
            <w:pPr>
              <w:pStyle w:val="TableText"/>
              <w:ind w:right="547" w:firstLine="78"/>
              <w:spacing w:before="65" w:line="237" w:lineRule="auto"/>
              <w:rPr>
                <w:sz w:val="16"/>
                <w:szCs w:val="16"/>
              </w:rPr>
            </w:pPr>
            <w:r>
              <w:rPr>
                <w:sz w:val="16"/>
                <w:szCs w:val="16"/>
                <w:spacing w:val="-3"/>
              </w:rPr>
              <w:t>P华人民共和国工业产品生产作可证优理条例</w:t>
            </w:r>
            <w:r>
              <w:rPr>
                <w:sz w:val="16"/>
                <w:szCs w:val="16"/>
                <w:spacing w:val="13"/>
              </w:rPr>
              <w:t xml:space="preserve"> </w:t>
            </w:r>
            <w:r>
              <w:rPr>
                <w:sz w:val="16"/>
                <w:szCs w:val="16"/>
                <w:spacing w:val="-3"/>
              </w:rPr>
              <w:t>《中华人民共和据食岛安全法》</w:t>
            </w:r>
          </w:p>
        </w:tc>
      </w:tr>
      <w:tr>
        <w:trPr>
          <w:trHeight w:val="469" w:hRule="atLeast"/>
        </w:trPr>
        <w:tc>
          <w:tcPr>
            <w:tcW w:w="584" w:type="dxa"/>
            <w:vAlign w:val="top"/>
          </w:tcPr>
          <w:p>
            <w:pPr>
              <w:pStyle w:val="TableText"/>
              <w:ind w:left="164"/>
              <w:spacing w:before="234" w:line="123" w:lineRule="exact"/>
              <w:rPr>
                <w:sz w:val="16"/>
                <w:szCs w:val="16"/>
              </w:rPr>
            </w:pPr>
            <w:r>
              <w:rPr>
                <w:sz w:val="16"/>
                <w:szCs w:val="16"/>
                <w:spacing w:val="-3"/>
              </w:rPr>
              <w:t>san</w:t>
            </w:r>
          </w:p>
        </w:tc>
        <w:tc>
          <w:tcPr>
            <w:tcW w:w="1289" w:type="dxa"/>
            <w:vAlign w:val="top"/>
          </w:tcPr>
          <w:p>
            <w:pPr>
              <w:pStyle w:val="TableText"/>
              <w:ind w:left="150"/>
              <w:spacing w:before="157" w:line="219" w:lineRule="auto"/>
              <w:rPr>
                <w:sz w:val="16"/>
                <w:szCs w:val="16"/>
              </w:rPr>
            </w:pPr>
            <w:r>
              <w:rPr>
                <w:sz w:val="16"/>
                <w:szCs w:val="16"/>
                <w:spacing w:val="2"/>
              </w:rPr>
              <w:t>市场监管总局</w:t>
            </w:r>
          </w:p>
        </w:tc>
        <w:tc>
          <w:tcPr>
            <w:tcW w:w="1638" w:type="dxa"/>
            <w:vAlign w:val="top"/>
          </w:tcPr>
          <w:p>
            <w:pPr>
              <w:pStyle w:val="TableText"/>
              <w:ind w:left="72"/>
              <w:spacing w:before="157" w:line="219" w:lineRule="auto"/>
              <w:rPr>
                <w:sz w:val="16"/>
                <w:szCs w:val="16"/>
              </w:rPr>
            </w:pPr>
            <w:r>
              <w:rPr>
                <w:sz w:val="16"/>
                <w:szCs w:val="16"/>
                <w:spacing w:val="-1"/>
              </w:rPr>
              <w:t>盘品生产许可</w:t>
            </w:r>
          </w:p>
        </w:tc>
        <w:tc>
          <w:tcPr>
            <w:tcW w:w="2377" w:type="dxa"/>
            <w:vAlign w:val="top"/>
          </w:tcPr>
          <w:p>
            <w:pPr>
              <w:pStyle w:val="TableText"/>
              <w:ind w:left="74" w:right="61"/>
              <w:spacing w:before="47" w:line="231" w:lineRule="auto"/>
              <w:rPr>
                <w:sz w:val="16"/>
                <w:szCs w:val="16"/>
              </w:rPr>
            </w:pPr>
            <w:r>
              <w:rPr>
                <w:sz w:val="16"/>
                <w:szCs w:val="16"/>
                <w:spacing w:val="-1"/>
              </w:rPr>
              <w:t>省缓，设区的市坡，基坦市鸟仓</w:t>
            </w:r>
            <w:r>
              <w:rPr>
                <w:sz w:val="16"/>
                <w:szCs w:val="16"/>
                <w:spacing w:val="4"/>
              </w:rPr>
              <w:t xml:space="preserve"> </w:t>
            </w:r>
            <w:r>
              <w:rPr>
                <w:sz w:val="16"/>
                <w:szCs w:val="16"/>
                <w:spacing w:val="6"/>
              </w:rPr>
              <w:t>管部门</w:t>
            </w:r>
          </w:p>
        </w:tc>
        <w:tc>
          <w:tcPr>
            <w:tcW w:w="3711" w:type="dxa"/>
            <w:vAlign w:val="top"/>
          </w:tcPr>
          <w:p>
            <w:pPr>
              <w:pStyle w:val="TableText"/>
              <w:spacing w:before="57" w:line="231" w:lineRule="auto"/>
              <w:rPr>
                <w:sz w:val="16"/>
                <w:szCs w:val="16"/>
              </w:rPr>
            </w:pPr>
            <w:r>
              <w:rPr>
                <w:sz w:val="16"/>
                <w:szCs w:val="16"/>
                <w:spacing w:val="-4"/>
              </w:rPr>
              <w:t>《中华人民共和国友品支全法》</w:t>
            </w:r>
          </w:p>
          <w:p>
            <w:pPr>
              <w:pStyle w:val="TableText"/>
              <w:spacing w:line="219" w:lineRule="auto"/>
              <w:rPr>
                <w:sz w:val="16"/>
                <w:szCs w:val="16"/>
              </w:rPr>
            </w:pPr>
            <w:r>
              <w:rPr>
                <w:sz w:val="16"/>
                <w:szCs w:val="16"/>
                <w:spacing w:val="-4"/>
              </w:rPr>
              <w:t>《食品生产许可智理办法</w:t>
            </w:r>
          </w:p>
        </w:tc>
      </w:tr>
      <w:tr>
        <w:trPr>
          <w:trHeight w:val="479" w:hRule="atLeast"/>
        </w:trPr>
        <w:tc>
          <w:tcPr>
            <w:tcW w:w="584" w:type="dxa"/>
            <w:vAlign w:val="top"/>
          </w:tcPr>
          <w:p>
            <w:pPr>
              <w:pStyle w:val="TableText"/>
              <w:ind w:left="164"/>
              <w:spacing w:before="199" w:line="183" w:lineRule="auto"/>
              <w:rPr>
                <w:sz w:val="16"/>
                <w:szCs w:val="16"/>
              </w:rPr>
            </w:pPr>
            <w:r>
              <w:rPr>
                <w:sz w:val="16"/>
                <w:szCs w:val="16"/>
                <w:spacing w:val="-3"/>
              </w:rPr>
              <w:t>340</w:t>
            </w:r>
          </w:p>
        </w:tc>
        <w:tc>
          <w:tcPr>
            <w:tcW w:w="1289" w:type="dxa"/>
            <w:vAlign w:val="top"/>
          </w:tcPr>
          <w:p>
            <w:pPr>
              <w:pStyle w:val="TableText"/>
              <w:ind w:left="150"/>
              <w:spacing w:before="158" w:line="219" w:lineRule="auto"/>
              <w:rPr>
                <w:sz w:val="16"/>
                <w:szCs w:val="16"/>
              </w:rPr>
            </w:pPr>
            <w:r>
              <w:rPr>
                <w:sz w:val="16"/>
                <w:szCs w:val="16"/>
                <w:spacing w:val="2"/>
              </w:rPr>
              <w:t>市场监育总局</w:t>
            </w:r>
          </w:p>
        </w:tc>
        <w:tc>
          <w:tcPr>
            <w:tcW w:w="1638" w:type="dxa"/>
            <w:vAlign w:val="top"/>
          </w:tcPr>
          <w:p>
            <w:pPr>
              <w:pStyle w:val="TableText"/>
              <w:ind w:left="92"/>
              <w:spacing w:before="158" w:line="219" w:lineRule="auto"/>
              <w:rPr>
                <w:sz w:val="16"/>
                <w:szCs w:val="16"/>
              </w:rPr>
            </w:pPr>
            <w:r>
              <w:rPr>
                <w:sz w:val="16"/>
                <w:szCs w:val="16"/>
                <w:spacing w:val="-1"/>
              </w:rPr>
              <w:t>食品亚加都生产许可</w:t>
            </w:r>
          </w:p>
        </w:tc>
        <w:tc>
          <w:tcPr>
            <w:tcW w:w="2377" w:type="dxa"/>
            <w:vAlign w:val="top"/>
          </w:tcPr>
          <w:p>
            <w:pPr>
              <w:pStyle w:val="TableText"/>
              <w:ind w:left="74" w:right="29"/>
              <w:spacing w:before="88" w:line="208" w:lineRule="auto"/>
              <w:rPr>
                <w:sz w:val="16"/>
                <w:szCs w:val="16"/>
              </w:rPr>
            </w:pPr>
            <w:r>
              <w:rPr>
                <w:sz w:val="16"/>
                <w:szCs w:val="16"/>
                <w:spacing w:val="1"/>
              </w:rPr>
              <w:t>省级，设区的市硬，县吸市场口</w:t>
            </w:r>
            <w:r>
              <w:rPr>
                <w:sz w:val="16"/>
                <w:szCs w:val="16"/>
                <w:spacing w:val="8"/>
              </w:rPr>
              <w:t xml:space="preserve"> </w:t>
            </w:r>
            <w:r>
              <w:rPr>
                <w:sz w:val="16"/>
                <w:szCs w:val="16"/>
                <w:spacing w:val="6"/>
              </w:rPr>
              <w:t>管加门</w:t>
            </w:r>
          </w:p>
        </w:tc>
        <w:tc>
          <w:tcPr>
            <w:tcW w:w="3711" w:type="dxa"/>
            <w:vAlign w:val="top"/>
          </w:tcPr>
          <w:p>
            <w:pPr>
              <w:pStyle w:val="TableText"/>
              <w:ind w:left="78"/>
              <w:spacing w:before="58" w:line="220" w:lineRule="exact"/>
              <w:rPr>
                <w:sz w:val="16"/>
                <w:szCs w:val="16"/>
              </w:rPr>
            </w:pPr>
            <w:r>
              <w:rPr>
                <w:sz w:val="16"/>
                <w:szCs w:val="16"/>
                <w:spacing w:val="-3"/>
                <w:position w:val="4"/>
              </w:rPr>
              <w:t>(中华人民共和强食品安全法》</w:t>
            </w:r>
          </w:p>
          <w:p>
            <w:pPr>
              <w:pStyle w:val="TableText"/>
              <w:spacing w:line="219" w:lineRule="auto"/>
              <w:rPr>
                <w:sz w:val="16"/>
                <w:szCs w:val="16"/>
              </w:rPr>
            </w:pPr>
            <w:r>
              <w:rPr>
                <w:sz w:val="16"/>
                <w:szCs w:val="16"/>
                <w:spacing w:val="-4"/>
              </w:rPr>
              <w:t>《食品生户许可行里办法</w:t>
            </w:r>
          </w:p>
        </w:tc>
      </w:tr>
      <w:tr>
        <w:trPr>
          <w:trHeight w:val="489" w:hRule="atLeast"/>
        </w:trPr>
        <w:tc>
          <w:tcPr>
            <w:tcW w:w="584" w:type="dxa"/>
            <w:vAlign w:val="top"/>
          </w:tcPr>
          <w:p>
            <w:pPr>
              <w:pStyle w:val="TableText"/>
              <w:ind w:left="164"/>
              <w:spacing w:before="210" w:line="184" w:lineRule="auto"/>
              <w:rPr>
                <w:sz w:val="16"/>
                <w:szCs w:val="16"/>
              </w:rPr>
            </w:pPr>
            <w:r>
              <w:rPr>
                <w:sz w:val="16"/>
                <w:szCs w:val="16"/>
                <w:spacing w:val="-3"/>
              </w:rPr>
              <w:t>541</w:t>
            </w:r>
          </w:p>
        </w:tc>
        <w:tc>
          <w:tcPr>
            <w:tcW w:w="1289" w:type="dxa"/>
            <w:vAlign w:val="top"/>
          </w:tcPr>
          <w:p>
            <w:pPr>
              <w:pStyle w:val="TableText"/>
              <w:ind w:left="150"/>
              <w:spacing w:before="169" w:line="219" w:lineRule="auto"/>
              <w:rPr>
                <w:sz w:val="16"/>
                <w:szCs w:val="16"/>
              </w:rPr>
            </w:pPr>
            <w:r>
              <w:rPr>
                <w:sz w:val="16"/>
                <w:szCs w:val="16"/>
                <w:spacing w:val="2"/>
              </w:rPr>
              <w:t>市场政管总局</w:t>
            </w:r>
          </w:p>
        </w:tc>
        <w:tc>
          <w:tcPr>
            <w:tcW w:w="1638" w:type="dxa"/>
            <w:vAlign w:val="top"/>
          </w:tcPr>
          <w:p>
            <w:pPr>
              <w:pStyle w:val="TableText"/>
              <w:ind w:left="62"/>
              <w:spacing w:before="170" w:line="220" w:lineRule="auto"/>
              <w:rPr>
                <w:sz w:val="16"/>
                <w:szCs w:val="16"/>
              </w:rPr>
            </w:pPr>
            <w:r>
              <w:rPr>
                <w:sz w:val="16"/>
                <w:szCs w:val="16"/>
                <w:spacing w:val="-2"/>
              </w:rPr>
              <w:t>查品经营许可</w:t>
            </w:r>
          </w:p>
        </w:tc>
        <w:tc>
          <w:tcPr>
            <w:tcW w:w="2377" w:type="dxa"/>
            <w:vAlign w:val="top"/>
          </w:tcPr>
          <w:p>
            <w:pPr>
              <w:pStyle w:val="TableText"/>
              <w:ind w:left="74" w:right="46" w:hanging="10"/>
              <w:spacing w:before="69" w:line="225" w:lineRule="auto"/>
              <w:rPr>
                <w:sz w:val="16"/>
                <w:szCs w:val="16"/>
              </w:rPr>
            </w:pPr>
            <w:r>
              <w:rPr>
                <w:sz w:val="16"/>
                <w:szCs w:val="16"/>
                <w:spacing w:val="1"/>
              </w:rPr>
              <w:t>省取、设区的市级，县级布场固 </w:t>
            </w:r>
            <w:r>
              <w:rPr>
                <w:sz w:val="16"/>
                <w:szCs w:val="16"/>
                <w:spacing w:val="6"/>
              </w:rPr>
              <w:t>营部门</w:t>
            </w:r>
          </w:p>
        </w:tc>
        <w:tc>
          <w:tcPr>
            <w:tcW w:w="3711" w:type="dxa"/>
            <w:vAlign w:val="top"/>
          </w:tcPr>
          <w:p>
            <w:pPr>
              <w:pStyle w:val="TableText"/>
              <w:spacing w:before="49" w:line="242" w:lineRule="auto"/>
              <w:rPr>
                <w:sz w:val="16"/>
                <w:szCs w:val="16"/>
              </w:rPr>
            </w:pPr>
            <w:r>
              <w:rPr>
                <w:sz w:val="16"/>
                <w:szCs w:val="16"/>
                <w:spacing w:val="-4"/>
              </w:rPr>
              <w:t>《中生人裂共和回食品安全法》</w:t>
            </w:r>
          </w:p>
          <w:p>
            <w:pPr>
              <w:pStyle w:val="TableText"/>
              <w:spacing w:line="219" w:lineRule="auto"/>
              <w:rPr>
                <w:sz w:val="16"/>
                <w:szCs w:val="16"/>
              </w:rPr>
            </w:pPr>
            <w:r>
              <w:rPr>
                <w:sz w:val="16"/>
                <w:szCs w:val="16"/>
                <w:spacing w:val="-4"/>
              </w:rPr>
              <w:t>《女喜经营许可管理办法</w:t>
            </w:r>
          </w:p>
        </w:tc>
      </w:tr>
      <w:tr>
        <w:trPr>
          <w:trHeight w:val="1268" w:hRule="atLeast"/>
        </w:trPr>
        <w:tc>
          <w:tcPr>
            <w:tcW w:w="584" w:type="dxa"/>
            <w:vAlign w:val="top"/>
          </w:tcPr>
          <w:p>
            <w:pPr>
              <w:spacing w:line="273" w:lineRule="auto"/>
              <w:rPr>
                <w:rFonts w:ascii="Arial"/>
                <w:sz w:val="21"/>
              </w:rPr>
            </w:pPr>
            <w:r/>
          </w:p>
          <w:p>
            <w:pPr>
              <w:spacing w:line="273" w:lineRule="auto"/>
              <w:rPr>
                <w:rFonts w:ascii="Arial"/>
                <w:sz w:val="21"/>
              </w:rPr>
            </w:pPr>
            <w:r/>
          </w:p>
          <w:p>
            <w:pPr>
              <w:pStyle w:val="TableText"/>
              <w:ind w:left="164"/>
              <w:spacing w:before="52" w:line="183" w:lineRule="auto"/>
              <w:rPr>
                <w:sz w:val="16"/>
                <w:szCs w:val="16"/>
              </w:rPr>
            </w:pPr>
            <w:r>
              <w:rPr>
                <w:sz w:val="16"/>
                <w:szCs w:val="16"/>
                <w:spacing w:val="-3"/>
              </w:rPr>
              <w:t>542</w:t>
            </w:r>
          </w:p>
        </w:tc>
        <w:tc>
          <w:tcPr>
            <w:tcW w:w="1289" w:type="dxa"/>
            <w:vAlign w:val="top"/>
          </w:tcPr>
          <w:p>
            <w:pPr>
              <w:spacing w:line="252" w:lineRule="auto"/>
              <w:rPr>
                <w:rFonts w:ascii="Arial"/>
                <w:sz w:val="21"/>
              </w:rPr>
            </w:pPr>
            <w:r/>
          </w:p>
          <w:p>
            <w:pPr>
              <w:spacing w:line="253" w:lineRule="auto"/>
              <w:rPr>
                <w:rFonts w:ascii="Arial"/>
                <w:sz w:val="21"/>
              </w:rPr>
            </w:pPr>
            <w:r/>
          </w:p>
          <w:p>
            <w:pPr>
              <w:pStyle w:val="TableText"/>
              <w:ind w:left="150"/>
              <w:spacing w:before="52" w:line="219" w:lineRule="auto"/>
              <w:rPr>
                <w:sz w:val="16"/>
                <w:szCs w:val="16"/>
              </w:rPr>
            </w:pPr>
            <w:r>
              <w:rPr>
                <w:sz w:val="16"/>
                <w:szCs w:val="16"/>
                <w:spacing w:val="2"/>
              </w:rPr>
              <w:t>市场监管总局</w:t>
            </w:r>
          </w:p>
        </w:tc>
        <w:tc>
          <w:tcPr>
            <w:tcW w:w="1638" w:type="dxa"/>
            <w:vAlign w:val="top"/>
          </w:tcPr>
          <w:p>
            <w:pPr>
              <w:pStyle w:val="TableText"/>
              <w:ind w:left="92" w:right="84"/>
              <w:spacing w:before="59" w:line="225" w:lineRule="auto"/>
              <w:jc w:val="both"/>
              <w:rPr>
                <w:sz w:val="16"/>
                <w:szCs w:val="16"/>
              </w:rPr>
            </w:pPr>
            <w:r>
              <w:rPr>
                <w:sz w:val="16"/>
                <w:szCs w:val="16"/>
                <w:spacing w:val="1"/>
              </w:rPr>
              <w:t>管川伴想查是菜样们 </w:t>
            </w:r>
            <w:r>
              <w:rPr>
                <w:sz w:val="16"/>
                <w:szCs w:val="16"/>
                <w:spacing w:val="-2"/>
              </w:rPr>
              <w:t>学以外原料阳首次责</w:t>
            </w:r>
            <w:r>
              <w:rPr>
                <w:sz w:val="16"/>
                <w:szCs w:val="16"/>
                <w:spacing w:val="7"/>
              </w:rPr>
              <w:t xml:space="preserve"> </w:t>
            </w:r>
            <w:r>
              <w:rPr>
                <w:sz w:val="16"/>
                <w:szCs w:val="16"/>
                <w:spacing w:val="5"/>
              </w:rPr>
              <w:t>口的保峰食品(除属</w:t>
            </w:r>
            <w:r>
              <w:rPr>
                <w:sz w:val="16"/>
                <w:szCs w:val="16"/>
                <w:spacing w:val="7"/>
              </w:rPr>
              <w:t xml:space="preserve"> </w:t>
            </w:r>
            <w:r>
              <w:rPr>
                <w:sz w:val="16"/>
                <w:szCs w:val="16"/>
                <w:spacing w:val="-1"/>
              </w:rPr>
              <w:t>子补充理生者，扩勒</w:t>
            </w:r>
          </w:p>
          <w:p>
            <w:pPr>
              <w:pStyle w:val="TableText"/>
              <w:ind w:left="22" w:right="142" w:firstLine="109"/>
              <w:spacing w:before="30" w:line="214" w:lineRule="auto"/>
              <w:rPr>
                <w:sz w:val="16"/>
                <w:szCs w:val="16"/>
              </w:rPr>
            </w:pPr>
            <w:r>
              <w:rPr>
                <w:sz w:val="16"/>
                <w:szCs w:val="16"/>
                <w:spacing w:val="-1"/>
              </w:rPr>
              <w:t>质等营养临质外1往</w:t>
            </w:r>
            <w:r>
              <w:rPr>
                <w:sz w:val="16"/>
                <w:szCs w:val="16"/>
                <w:spacing w:val="1"/>
              </w:rPr>
              <w:t xml:space="preserve"> </w:t>
            </w:r>
            <w:r>
              <w:rPr>
                <w:sz w:val="16"/>
                <w:szCs w:val="16"/>
              </w:rPr>
              <w:t>骨</w:t>
            </w:r>
          </w:p>
        </w:tc>
        <w:tc>
          <w:tcPr>
            <w:tcW w:w="2377" w:type="dxa"/>
            <w:vAlign w:val="top"/>
          </w:tcPr>
          <w:p>
            <w:pPr>
              <w:spacing w:line="252" w:lineRule="auto"/>
              <w:rPr>
                <w:rFonts w:ascii="Arial"/>
                <w:sz w:val="21"/>
              </w:rPr>
            </w:pPr>
            <w:r/>
          </w:p>
          <w:p>
            <w:pPr>
              <w:spacing w:line="253" w:lineRule="auto"/>
              <w:rPr>
                <w:rFonts w:ascii="Arial"/>
                <w:sz w:val="21"/>
              </w:rPr>
            </w:pPr>
            <w:r/>
          </w:p>
          <w:p>
            <w:pPr>
              <w:pStyle w:val="TableText"/>
              <w:ind w:left="74"/>
              <w:spacing w:before="52" w:line="219" w:lineRule="auto"/>
              <w:rPr>
                <w:sz w:val="16"/>
                <w:szCs w:val="16"/>
              </w:rPr>
            </w:pPr>
            <w:r>
              <w:rPr>
                <w:sz w:val="16"/>
                <w:szCs w:val="16"/>
                <w:spacing w:val="2"/>
              </w:rPr>
              <w:t>市场监常总局</w:t>
            </w:r>
          </w:p>
        </w:tc>
        <w:tc>
          <w:tcPr>
            <w:tcW w:w="3711" w:type="dxa"/>
            <w:vAlign w:val="top"/>
          </w:tcPr>
          <w:p>
            <w:pPr>
              <w:spacing w:line="252" w:lineRule="auto"/>
              <w:rPr>
                <w:rFonts w:ascii="Arial"/>
                <w:sz w:val="21"/>
              </w:rPr>
            </w:pPr>
            <w:r/>
          </w:p>
          <w:p>
            <w:pPr>
              <w:spacing w:line="253" w:lineRule="auto"/>
              <w:rPr>
                <w:rFonts w:ascii="Arial"/>
                <w:sz w:val="21"/>
              </w:rPr>
            </w:pPr>
            <w:r/>
          </w:p>
          <w:p>
            <w:pPr>
              <w:pStyle w:val="TableText"/>
              <w:ind w:left="36"/>
              <w:spacing w:before="52" w:line="219" w:lineRule="auto"/>
              <w:rPr>
                <w:sz w:val="16"/>
                <w:szCs w:val="16"/>
              </w:rPr>
            </w:pPr>
            <w:r>
              <w:rPr>
                <w:sz w:val="16"/>
                <w:szCs w:val="16"/>
              </w:rPr>
              <w:t>中华人民共和国我是发全法</w:t>
            </w:r>
          </w:p>
        </w:tc>
      </w:tr>
      <w:tr>
        <w:trPr>
          <w:trHeight w:val="489" w:hRule="atLeast"/>
        </w:trPr>
        <w:tc>
          <w:tcPr>
            <w:tcW w:w="584" w:type="dxa"/>
            <w:vAlign w:val="top"/>
          </w:tcPr>
          <w:p>
            <w:pPr>
              <w:pStyle w:val="TableText"/>
              <w:ind w:left="164"/>
              <w:spacing w:before="213" w:line="183" w:lineRule="auto"/>
              <w:rPr>
                <w:sz w:val="16"/>
                <w:szCs w:val="16"/>
              </w:rPr>
            </w:pPr>
            <w:r>
              <w:rPr>
                <w:sz w:val="16"/>
                <w:szCs w:val="16"/>
                <w:spacing w:val="-3"/>
              </w:rPr>
              <w:t>543</w:t>
            </w:r>
          </w:p>
        </w:tc>
        <w:tc>
          <w:tcPr>
            <w:tcW w:w="1289" w:type="dxa"/>
            <w:vAlign w:val="top"/>
          </w:tcPr>
          <w:p>
            <w:pPr>
              <w:pStyle w:val="TableText"/>
              <w:ind w:left="150"/>
              <w:spacing w:before="172" w:line="219" w:lineRule="auto"/>
              <w:rPr>
                <w:sz w:val="16"/>
                <w:szCs w:val="16"/>
              </w:rPr>
            </w:pPr>
            <w:r>
              <w:rPr>
                <w:sz w:val="16"/>
                <w:szCs w:val="16"/>
                <w:spacing w:val="2"/>
              </w:rPr>
              <w:t>市场防登益局</w:t>
            </w:r>
          </w:p>
        </w:tc>
        <w:tc>
          <w:tcPr>
            <w:tcW w:w="1638" w:type="dxa"/>
            <w:vAlign w:val="top"/>
          </w:tcPr>
          <w:p>
            <w:pPr>
              <w:pStyle w:val="TableText"/>
              <w:ind w:left="52" w:right="79" w:firstLine="40"/>
              <w:spacing w:before="71" w:line="227" w:lineRule="auto"/>
              <w:rPr>
                <w:sz w:val="16"/>
                <w:szCs w:val="16"/>
              </w:rPr>
            </w:pPr>
            <w:r>
              <w:rPr>
                <w:sz w:val="16"/>
                <w:szCs w:val="16"/>
                <w:spacing w:val="1"/>
              </w:rPr>
              <w:t>要物儿配方乳卷产品</w:t>
            </w:r>
            <w:r>
              <w:rPr>
                <w:sz w:val="16"/>
                <w:szCs w:val="16"/>
                <w:spacing w:val="6"/>
              </w:rPr>
              <w:t xml:space="preserve"> </w:t>
            </w:r>
            <w:r>
              <w:rPr>
                <w:sz w:val="16"/>
                <w:szCs w:val="16"/>
                <w:spacing w:val="-2"/>
              </w:rPr>
              <w:t>配方注册</w:t>
            </w:r>
          </w:p>
        </w:tc>
        <w:tc>
          <w:tcPr>
            <w:tcW w:w="2377" w:type="dxa"/>
            <w:vAlign w:val="top"/>
          </w:tcPr>
          <w:p>
            <w:pPr>
              <w:pStyle w:val="TableText"/>
              <w:ind w:left="74"/>
              <w:spacing w:before="172" w:line="219" w:lineRule="auto"/>
              <w:rPr>
                <w:sz w:val="16"/>
                <w:szCs w:val="16"/>
              </w:rPr>
            </w:pPr>
            <w:r>
              <w:rPr>
                <w:sz w:val="16"/>
                <w:szCs w:val="16"/>
                <w:spacing w:val="-2"/>
              </w:rPr>
              <w:t>市杨财管卫层</w:t>
            </w:r>
          </w:p>
        </w:tc>
        <w:tc>
          <w:tcPr>
            <w:tcW w:w="3711" w:type="dxa"/>
            <w:vAlign w:val="top"/>
          </w:tcPr>
          <w:p>
            <w:pPr>
              <w:pStyle w:val="TableText"/>
              <w:ind w:left="36"/>
              <w:spacing w:before="172" w:line="219" w:lineRule="auto"/>
              <w:rPr>
                <w:sz w:val="16"/>
                <w:szCs w:val="16"/>
              </w:rPr>
            </w:pPr>
            <w:r>
              <w:rPr>
                <w:sz w:val="16"/>
                <w:szCs w:val="16"/>
                <w:spacing w:val="-1"/>
              </w:rPr>
              <w:t>不中生人民共和国食品安全跌</w:t>
            </w:r>
          </w:p>
        </w:tc>
      </w:tr>
      <w:tr>
        <w:trPr>
          <w:trHeight w:val="479" w:hRule="atLeast"/>
        </w:trPr>
        <w:tc>
          <w:tcPr>
            <w:tcW w:w="584" w:type="dxa"/>
            <w:vAlign w:val="top"/>
          </w:tcPr>
          <w:p>
            <w:pPr>
              <w:pStyle w:val="TableText"/>
              <w:ind w:left="164"/>
              <w:spacing w:before="204" w:line="183" w:lineRule="auto"/>
              <w:rPr>
                <w:sz w:val="16"/>
                <w:szCs w:val="16"/>
              </w:rPr>
            </w:pPr>
            <w:r>
              <w:rPr>
                <w:sz w:val="16"/>
                <w:szCs w:val="16"/>
                <w:spacing w:val="-3"/>
              </w:rPr>
              <w:t>544</w:t>
            </w:r>
          </w:p>
        </w:tc>
        <w:tc>
          <w:tcPr>
            <w:tcW w:w="1289" w:type="dxa"/>
            <w:vAlign w:val="top"/>
          </w:tcPr>
          <w:p>
            <w:pPr>
              <w:pStyle w:val="TableText"/>
              <w:ind w:left="150"/>
              <w:spacing w:before="163" w:line="219" w:lineRule="auto"/>
              <w:rPr>
                <w:sz w:val="16"/>
                <w:szCs w:val="16"/>
              </w:rPr>
            </w:pPr>
            <w:r>
              <w:rPr>
                <w:sz w:val="16"/>
                <w:szCs w:val="16"/>
                <w:spacing w:val="2"/>
              </w:rPr>
              <w:t>市输世管总局</w:t>
            </w:r>
          </w:p>
        </w:tc>
        <w:tc>
          <w:tcPr>
            <w:tcW w:w="1638" w:type="dxa"/>
            <w:vAlign w:val="top"/>
          </w:tcPr>
          <w:p>
            <w:pPr>
              <w:pStyle w:val="TableText"/>
              <w:ind w:left="52" w:right="102" w:firstLine="40"/>
              <w:spacing w:before="73" w:line="215" w:lineRule="auto"/>
              <w:rPr>
                <w:sz w:val="16"/>
                <w:szCs w:val="16"/>
              </w:rPr>
            </w:pPr>
            <w:r>
              <w:rPr>
                <w:sz w:val="16"/>
                <w:szCs w:val="16"/>
                <w:spacing w:val="-1"/>
              </w:rPr>
              <w:t>特殊园学用金配方食</w:t>
            </w:r>
            <w:r>
              <w:rPr>
                <w:sz w:val="16"/>
                <w:szCs w:val="16"/>
                <w:spacing w:val="1"/>
              </w:rPr>
              <w:t xml:space="preserve"> </w:t>
            </w:r>
            <w:r>
              <w:rPr>
                <w:sz w:val="16"/>
                <w:szCs w:val="16"/>
                <w:spacing w:val="2"/>
              </w:rPr>
              <w:t>品注册</w:t>
            </w:r>
          </w:p>
        </w:tc>
        <w:tc>
          <w:tcPr>
            <w:tcW w:w="2377" w:type="dxa"/>
            <w:vAlign w:val="top"/>
          </w:tcPr>
          <w:p>
            <w:pPr>
              <w:pStyle w:val="TableText"/>
              <w:ind w:left="74"/>
              <w:spacing w:before="163" w:line="219" w:lineRule="auto"/>
              <w:rPr>
                <w:sz w:val="16"/>
                <w:szCs w:val="16"/>
              </w:rPr>
            </w:pPr>
            <w:r>
              <w:rPr>
                <w:sz w:val="16"/>
                <w:szCs w:val="16"/>
                <w:spacing w:val="1"/>
              </w:rPr>
              <w:t>市易池管总场</w:t>
            </w:r>
          </w:p>
        </w:tc>
        <w:tc>
          <w:tcPr>
            <w:tcW w:w="3711" w:type="dxa"/>
            <w:vAlign w:val="top"/>
          </w:tcPr>
          <w:p>
            <w:pPr>
              <w:pStyle w:val="TableText"/>
              <w:spacing w:before="163" w:line="219" w:lineRule="auto"/>
              <w:rPr>
                <w:sz w:val="16"/>
                <w:szCs w:val="16"/>
              </w:rPr>
            </w:pPr>
            <w:r>
              <w:rPr>
                <w:sz w:val="16"/>
                <w:szCs w:val="16"/>
                <w:spacing w:val="-4"/>
              </w:rPr>
              <w:t>《中华人民共和国食品安全法</w:t>
            </w:r>
          </w:p>
        </w:tc>
      </w:tr>
      <w:tr>
        <w:trPr>
          <w:trHeight w:val="470" w:hRule="atLeast"/>
        </w:trPr>
        <w:tc>
          <w:tcPr>
            <w:tcW w:w="584" w:type="dxa"/>
            <w:vAlign w:val="top"/>
          </w:tcPr>
          <w:p>
            <w:pPr>
              <w:pStyle w:val="TableText"/>
              <w:ind w:left="174"/>
              <w:spacing w:before="190" w:line="183" w:lineRule="auto"/>
              <w:rPr>
                <w:sz w:val="21"/>
                <w:szCs w:val="21"/>
              </w:rPr>
            </w:pPr>
            <w:r>
              <w:rPr>
                <w:sz w:val="21"/>
                <w:szCs w:val="21"/>
                <w:spacing w:val="-4"/>
              </w:rPr>
              <w:t>54</w:t>
            </w:r>
          </w:p>
        </w:tc>
        <w:tc>
          <w:tcPr>
            <w:tcW w:w="1289" w:type="dxa"/>
            <w:vAlign w:val="top"/>
          </w:tcPr>
          <w:p>
            <w:pPr>
              <w:pStyle w:val="TableText"/>
              <w:ind w:left="150"/>
              <w:spacing w:before="164" w:line="219" w:lineRule="auto"/>
              <w:rPr>
                <w:sz w:val="16"/>
                <w:szCs w:val="16"/>
              </w:rPr>
            </w:pPr>
            <w:r>
              <w:rPr>
                <w:sz w:val="16"/>
                <w:szCs w:val="16"/>
                <w:spacing w:val="2"/>
              </w:rPr>
              <w:t>市杨蓝管总局</w:t>
            </w:r>
          </w:p>
        </w:tc>
        <w:tc>
          <w:tcPr>
            <w:tcW w:w="1638" w:type="dxa"/>
            <w:vAlign w:val="top"/>
          </w:tcPr>
          <w:p>
            <w:pPr>
              <w:pStyle w:val="TableText"/>
              <w:ind w:left="32" w:right="102" w:firstLine="60"/>
              <w:spacing w:before="54" w:line="234" w:lineRule="auto"/>
              <w:rPr>
                <w:sz w:val="16"/>
                <w:szCs w:val="16"/>
              </w:rPr>
            </w:pPr>
            <w:r>
              <w:rPr>
                <w:sz w:val="16"/>
                <w:szCs w:val="16"/>
                <w:spacing w:val="-1"/>
              </w:rPr>
              <w:t>材种设各生产单位许</w:t>
            </w:r>
            <w:r>
              <w:rPr>
                <w:sz w:val="16"/>
                <w:szCs w:val="16"/>
                <w:spacing w:val="1"/>
              </w:rPr>
              <w:t xml:space="preserve"> </w:t>
            </w:r>
            <w:r>
              <w:rPr>
                <w:sz w:val="16"/>
                <w:szCs w:val="16"/>
              </w:rPr>
              <w:t>可</w:t>
            </w:r>
          </w:p>
        </w:tc>
        <w:tc>
          <w:tcPr>
            <w:tcW w:w="2377" w:type="dxa"/>
            <w:vAlign w:val="top"/>
          </w:tcPr>
          <w:p>
            <w:pPr>
              <w:pStyle w:val="TableText"/>
              <w:ind w:left="74" w:right="63"/>
              <w:spacing w:before="55" w:line="202" w:lineRule="auto"/>
              <w:rPr>
                <w:sz w:val="21"/>
                <w:szCs w:val="21"/>
              </w:rPr>
            </w:pPr>
            <w:r>
              <w:rPr>
                <w:sz w:val="16"/>
                <w:szCs w:val="16"/>
                <w:spacing w:val="-1"/>
              </w:rPr>
              <w:t>市当监督总局：省医市名监管部</w:t>
            </w:r>
            <w:r>
              <w:rPr>
                <w:sz w:val="16"/>
                <w:szCs w:val="16"/>
                <w:spacing w:val="2"/>
              </w:rPr>
              <w:t xml:space="preserve"> </w:t>
            </w:r>
            <w:r>
              <w:rPr>
                <w:sz w:val="21"/>
                <w:szCs w:val="21"/>
              </w:rPr>
              <w:t>n</w:t>
            </w:r>
          </w:p>
        </w:tc>
        <w:tc>
          <w:tcPr>
            <w:tcW w:w="3711" w:type="dxa"/>
            <w:vAlign w:val="top"/>
          </w:tcPr>
          <w:p>
            <w:pPr>
              <w:pStyle w:val="TableText"/>
              <w:spacing w:before="64" w:line="219" w:lineRule="auto"/>
              <w:rPr>
                <w:sz w:val="16"/>
                <w:szCs w:val="16"/>
              </w:rPr>
            </w:pPr>
            <w:r>
              <w:rPr>
                <w:sz w:val="16"/>
                <w:szCs w:val="16"/>
                <w:spacing w:val="-3"/>
              </w:rPr>
              <w:t>《中华人民共和国特种设者安全路1</w:t>
            </w:r>
          </w:p>
          <w:p>
            <w:pPr>
              <w:pStyle w:val="TableText"/>
              <w:spacing w:line="219" w:lineRule="auto"/>
              <w:rPr>
                <w:sz w:val="16"/>
                <w:szCs w:val="16"/>
              </w:rPr>
            </w:pPr>
            <w:r>
              <w:rPr>
                <w:sz w:val="16"/>
                <w:szCs w:val="16"/>
                <w:spacing w:val="4"/>
              </w:rPr>
              <w:t>【替种设备安全监字条例</w:t>
            </w:r>
          </w:p>
        </w:tc>
      </w:tr>
      <w:tr>
        <w:trPr>
          <w:trHeight w:val="490" w:hRule="atLeast"/>
        </w:trPr>
        <w:tc>
          <w:tcPr>
            <w:tcW w:w="584" w:type="dxa"/>
            <w:vAlign w:val="top"/>
          </w:tcPr>
          <w:p>
            <w:pPr>
              <w:pStyle w:val="TableText"/>
              <w:ind w:left="164"/>
              <w:spacing w:before="215" w:line="183" w:lineRule="auto"/>
              <w:rPr>
                <w:sz w:val="16"/>
                <w:szCs w:val="16"/>
              </w:rPr>
            </w:pPr>
            <w:r>
              <w:rPr>
                <w:sz w:val="16"/>
                <w:szCs w:val="16"/>
                <w:spacing w:val="-3"/>
              </w:rPr>
              <w:t>546</w:t>
            </w:r>
          </w:p>
        </w:tc>
        <w:tc>
          <w:tcPr>
            <w:tcW w:w="1289" w:type="dxa"/>
            <w:vAlign w:val="top"/>
          </w:tcPr>
          <w:p>
            <w:pPr>
              <w:pStyle w:val="TableText"/>
              <w:ind w:left="150"/>
              <w:spacing w:before="174" w:line="219" w:lineRule="auto"/>
              <w:rPr>
                <w:sz w:val="16"/>
                <w:szCs w:val="16"/>
              </w:rPr>
            </w:pPr>
            <w:r>
              <w:rPr>
                <w:sz w:val="16"/>
                <w:szCs w:val="16"/>
                <w:spacing w:val="-1"/>
              </w:rPr>
              <w:t>而场监管总最</w:t>
            </w:r>
          </w:p>
        </w:tc>
        <w:tc>
          <w:tcPr>
            <w:tcW w:w="1638" w:type="dxa"/>
            <w:vAlign w:val="top"/>
          </w:tcPr>
          <w:p>
            <w:pPr>
              <w:pStyle w:val="TableText"/>
              <w:ind w:left="62" w:right="102" w:firstLine="30"/>
              <w:spacing w:before="84" w:line="213" w:lineRule="auto"/>
              <w:rPr>
                <w:sz w:val="16"/>
                <w:szCs w:val="16"/>
              </w:rPr>
            </w:pPr>
            <w:r>
              <w:rPr>
                <w:sz w:val="16"/>
                <w:szCs w:val="16"/>
                <w:spacing w:val="-1"/>
              </w:rPr>
              <w:t>得动式压力容器，气</w:t>
            </w:r>
            <w:r>
              <w:rPr>
                <w:sz w:val="16"/>
                <w:szCs w:val="16"/>
                <w:spacing w:val="1"/>
              </w:rPr>
              <w:t xml:space="preserve"> </w:t>
            </w:r>
            <w:r>
              <w:rPr>
                <w:sz w:val="16"/>
                <w:szCs w:val="16"/>
                <w:spacing w:val="4"/>
              </w:rPr>
              <w:t>陈充装许司</w:t>
            </w:r>
          </w:p>
        </w:tc>
        <w:tc>
          <w:tcPr>
            <w:tcW w:w="2377" w:type="dxa"/>
            <w:vAlign w:val="top"/>
          </w:tcPr>
          <w:p>
            <w:pPr>
              <w:pStyle w:val="TableText"/>
              <w:ind w:left="74"/>
              <w:spacing w:before="174" w:line="219" w:lineRule="auto"/>
              <w:rPr>
                <w:sz w:val="16"/>
                <w:szCs w:val="16"/>
              </w:rPr>
            </w:pPr>
            <w:r>
              <w:rPr>
                <w:sz w:val="16"/>
                <w:szCs w:val="16"/>
                <w:spacing w:val="2"/>
              </w:rPr>
              <w:t>者级市场监管部门</w:t>
            </w:r>
          </w:p>
        </w:tc>
        <w:tc>
          <w:tcPr>
            <w:tcW w:w="3711" w:type="dxa"/>
            <w:vAlign w:val="top"/>
          </w:tcPr>
          <w:p>
            <w:pPr>
              <w:pStyle w:val="TableText"/>
              <w:ind w:left="78"/>
              <w:spacing w:before="64" w:line="219" w:lineRule="exact"/>
              <w:rPr>
                <w:sz w:val="16"/>
                <w:szCs w:val="16"/>
              </w:rPr>
            </w:pPr>
            <w:r>
              <w:rPr>
                <w:sz w:val="16"/>
                <w:szCs w:val="16"/>
                <w:spacing w:val="2"/>
                <w:position w:val="4"/>
              </w:rPr>
              <w:t>中华人民共和固特种设备安全法」</w:t>
            </w:r>
          </w:p>
          <w:p>
            <w:pPr>
              <w:pStyle w:val="TableText"/>
              <w:spacing w:line="218" w:lineRule="auto"/>
              <w:rPr>
                <w:sz w:val="16"/>
                <w:szCs w:val="16"/>
              </w:rPr>
            </w:pPr>
            <w:r>
              <w:rPr>
                <w:sz w:val="16"/>
                <w:szCs w:val="16"/>
                <w:spacing w:val="-4"/>
              </w:rPr>
              <w:t>《特科收备登全监容备刚》</w:t>
            </w:r>
          </w:p>
        </w:tc>
      </w:tr>
      <w:tr>
        <w:trPr>
          <w:trHeight w:val="479" w:hRule="atLeast"/>
        </w:trPr>
        <w:tc>
          <w:tcPr>
            <w:tcW w:w="584" w:type="dxa"/>
            <w:vAlign w:val="top"/>
          </w:tcPr>
          <w:p>
            <w:pPr>
              <w:pStyle w:val="TableText"/>
              <w:ind w:left="164"/>
              <w:spacing w:before="205" w:line="183" w:lineRule="auto"/>
              <w:rPr>
                <w:sz w:val="16"/>
                <w:szCs w:val="16"/>
              </w:rPr>
            </w:pPr>
            <w:r>
              <w:rPr>
                <w:sz w:val="16"/>
                <w:szCs w:val="16"/>
                <w:spacing w:val="-3"/>
              </w:rPr>
              <w:t>547</w:t>
            </w:r>
          </w:p>
        </w:tc>
        <w:tc>
          <w:tcPr>
            <w:tcW w:w="1289" w:type="dxa"/>
            <w:vAlign w:val="top"/>
          </w:tcPr>
          <w:p>
            <w:pPr>
              <w:pStyle w:val="TableText"/>
              <w:ind w:left="150"/>
              <w:spacing w:before="163" w:line="219" w:lineRule="auto"/>
              <w:rPr>
                <w:sz w:val="16"/>
                <w:szCs w:val="16"/>
              </w:rPr>
            </w:pPr>
            <w:r>
              <w:rPr>
                <w:sz w:val="16"/>
                <w:szCs w:val="16"/>
                <w:spacing w:val="2"/>
              </w:rPr>
              <w:t>市格监借息局</w:t>
            </w:r>
          </w:p>
        </w:tc>
        <w:tc>
          <w:tcPr>
            <w:tcW w:w="1638" w:type="dxa"/>
            <w:vAlign w:val="top"/>
          </w:tcPr>
          <w:p>
            <w:pPr>
              <w:pStyle w:val="TableText"/>
              <w:ind w:left="72"/>
              <w:spacing w:before="165" w:line="220" w:lineRule="auto"/>
              <w:rPr>
                <w:sz w:val="16"/>
                <w:szCs w:val="16"/>
              </w:rPr>
            </w:pPr>
            <w:r>
              <w:rPr>
                <w:sz w:val="16"/>
                <w:szCs w:val="16"/>
                <w:spacing w:val="-1"/>
              </w:rPr>
              <w:t>料种设备他用登己</w:t>
            </w:r>
          </w:p>
        </w:tc>
        <w:tc>
          <w:tcPr>
            <w:tcW w:w="2377" w:type="dxa"/>
            <w:vAlign w:val="top"/>
          </w:tcPr>
          <w:p>
            <w:pPr>
              <w:pStyle w:val="TableText"/>
              <w:ind w:left="74" w:right="60"/>
              <w:spacing w:before="53" w:line="237" w:lineRule="auto"/>
              <w:rPr>
                <w:sz w:val="16"/>
                <w:szCs w:val="16"/>
              </w:rPr>
            </w:pPr>
            <w:r>
              <w:rPr>
                <w:sz w:val="16"/>
                <w:szCs w:val="16"/>
                <w:spacing w:val="-1"/>
              </w:rPr>
              <w:t>直辖市市场监管部门，设区的西</w:t>
            </w:r>
            <w:r>
              <w:rPr>
                <w:sz w:val="16"/>
                <w:szCs w:val="16"/>
                <w:spacing w:val="5"/>
              </w:rPr>
              <w:t xml:space="preserve"> </w:t>
            </w:r>
            <w:r>
              <w:rPr>
                <w:sz w:val="16"/>
                <w:szCs w:val="16"/>
                <w:spacing w:val="2"/>
              </w:rPr>
              <w:t>级市场效管部门</w:t>
            </w:r>
          </w:p>
        </w:tc>
        <w:tc>
          <w:tcPr>
            <w:tcW w:w="3711" w:type="dxa"/>
            <w:vAlign w:val="top"/>
          </w:tcPr>
          <w:p>
            <w:pPr>
              <w:pStyle w:val="TableText"/>
              <w:ind w:left="36"/>
              <w:spacing w:before="84" w:line="219" w:lineRule="auto"/>
              <w:rPr>
                <w:sz w:val="16"/>
                <w:szCs w:val="16"/>
              </w:rPr>
            </w:pPr>
            <w:r>
              <w:rPr>
                <w:sz w:val="16"/>
                <w:szCs w:val="16"/>
              </w:rPr>
              <w:t>Cm</w:t>
            </w:r>
            <w:r>
              <w:rPr>
                <w:sz w:val="16"/>
                <w:szCs w:val="16"/>
                <w:spacing w:val="1"/>
              </w:rPr>
              <w:t>华人民共和国物种设备安全法1</w:t>
            </w:r>
          </w:p>
          <w:p>
            <w:pPr>
              <w:pStyle w:val="TableText"/>
              <w:ind w:left="36"/>
              <w:spacing w:line="219" w:lineRule="auto"/>
              <w:rPr>
                <w:sz w:val="16"/>
                <w:szCs w:val="16"/>
              </w:rPr>
            </w:pPr>
            <w:r>
              <w:rPr>
                <w:sz w:val="16"/>
                <w:szCs w:val="16"/>
                <w:spacing w:val="-1"/>
              </w:rPr>
              <w:t>(样种设备安全昌卷条锅》</w:t>
            </w:r>
          </w:p>
        </w:tc>
      </w:tr>
      <w:tr>
        <w:trPr>
          <w:trHeight w:val="554" w:hRule="atLeast"/>
        </w:trPr>
        <w:tc>
          <w:tcPr>
            <w:tcW w:w="584" w:type="dxa"/>
            <w:vAlign w:val="top"/>
          </w:tcPr>
          <w:p>
            <w:pPr>
              <w:pStyle w:val="TableText"/>
              <w:ind w:left="104"/>
              <w:spacing w:before="230" w:line="183" w:lineRule="auto"/>
              <w:rPr>
                <w:sz w:val="24"/>
                <w:szCs w:val="24"/>
              </w:rPr>
            </w:pPr>
            <w:r>
              <w:rPr>
                <w:sz w:val="24"/>
                <w:szCs w:val="24"/>
                <w:spacing w:val="-4"/>
              </w:rPr>
              <w:t>5M9</w:t>
            </w:r>
          </w:p>
        </w:tc>
        <w:tc>
          <w:tcPr>
            <w:tcW w:w="1289" w:type="dxa"/>
            <w:vAlign w:val="top"/>
          </w:tcPr>
          <w:p>
            <w:pPr>
              <w:pStyle w:val="TableText"/>
              <w:ind w:left="150"/>
              <w:spacing w:before="205" w:line="219" w:lineRule="auto"/>
              <w:rPr>
                <w:sz w:val="16"/>
                <w:szCs w:val="16"/>
              </w:rPr>
            </w:pPr>
            <w:r>
              <w:rPr>
                <w:sz w:val="16"/>
                <w:szCs w:val="16"/>
                <w:spacing w:val="2"/>
              </w:rPr>
              <w:t>市场监骨总局</w:t>
            </w:r>
          </w:p>
        </w:tc>
        <w:tc>
          <w:tcPr>
            <w:tcW w:w="1638" w:type="dxa"/>
            <w:vAlign w:val="top"/>
          </w:tcPr>
          <w:p>
            <w:pPr>
              <w:pStyle w:val="TableText"/>
              <w:ind w:left="52" w:right="102" w:firstLine="40"/>
              <w:spacing w:before="115" w:line="214" w:lineRule="auto"/>
              <w:rPr>
                <w:sz w:val="16"/>
                <w:szCs w:val="16"/>
              </w:rPr>
            </w:pPr>
            <w:r>
              <w:rPr>
                <w:sz w:val="16"/>
                <w:szCs w:val="16"/>
                <w:spacing w:val="-1"/>
              </w:rPr>
              <w:t>排种设备检验，检到</w:t>
            </w:r>
            <w:r>
              <w:rPr>
                <w:sz w:val="16"/>
                <w:szCs w:val="16"/>
                <w:spacing w:val="1"/>
              </w:rPr>
              <w:t xml:space="preserve"> </w:t>
            </w:r>
            <w:r>
              <w:rPr>
                <w:sz w:val="16"/>
                <w:szCs w:val="16"/>
                <w:spacing w:val="-2"/>
              </w:rPr>
              <w:t>根构核准</w:t>
            </w:r>
          </w:p>
        </w:tc>
        <w:tc>
          <w:tcPr>
            <w:tcW w:w="2377" w:type="dxa"/>
            <w:vAlign w:val="top"/>
          </w:tcPr>
          <w:p>
            <w:pPr>
              <w:pStyle w:val="TableText"/>
              <w:ind w:left="74"/>
              <w:spacing w:before="86" w:line="211" w:lineRule="auto"/>
              <w:rPr>
                <w:sz w:val="21"/>
                <w:szCs w:val="21"/>
              </w:rPr>
            </w:pPr>
            <w:r>
              <w:rPr>
                <w:sz w:val="19"/>
                <w:szCs w:val="19"/>
                <w:spacing w:val="-20"/>
                <w:w w:val="96"/>
              </w:rPr>
              <w:t>市场业管总局，省版市</w:t>
            </w:r>
            <w:r>
              <w:rPr>
                <w:sz w:val="19"/>
                <w:szCs w:val="19"/>
                <w:spacing w:val="-19"/>
                <w:w w:val="96"/>
              </w:rPr>
              <w:t>备监忏</w:t>
            </w:r>
            <w:r>
              <w:rPr>
                <w:sz w:val="19"/>
                <w:szCs w:val="19"/>
                <w:spacing w:val="-9"/>
                <w:w w:val="96"/>
              </w:rPr>
              <w:t>都</w:t>
            </w:r>
            <w:r>
              <w:rPr>
                <w:sz w:val="19"/>
                <w:szCs w:val="19"/>
                <w:spacing w:val="4"/>
              </w:rPr>
              <w:t xml:space="preserve"> </w:t>
            </w:r>
            <w:r>
              <w:rPr>
                <w:sz w:val="21"/>
                <w:szCs w:val="21"/>
                <w:spacing w:val="-4"/>
              </w:rPr>
              <w:t>71</w:t>
            </w:r>
          </w:p>
        </w:tc>
        <w:tc>
          <w:tcPr>
            <w:tcW w:w="3711" w:type="dxa"/>
            <w:vAlign w:val="top"/>
          </w:tcPr>
          <w:p>
            <w:pPr>
              <w:pStyle w:val="TableText"/>
              <w:spacing w:before="115" w:line="219" w:lineRule="auto"/>
              <w:rPr>
                <w:sz w:val="16"/>
                <w:szCs w:val="16"/>
              </w:rPr>
            </w:pPr>
            <w:r>
              <w:rPr>
                <w:sz w:val="16"/>
                <w:szCs w:val="16"/>
                <w:spacing w:val="-3"/>
              </w:rPr>
              <w:t>《中华人民共和国特种设备安全法1</w:t>
            </w:r>
          </w:p>
          <w:p>
            <w:pPr>
              <w:pStyle w:val="TableText"/>
              <w:ind w:left="78"/>
              <w:spacing w:line="218" w:lineRule="auto"/>
              <w:rPr>
                <w:sz w:val="16"/>
                <w:szCs w:val="16"/>
              </w:rPr>
            </w:pPr>
            <w:r>
              <w:rPr>
                <w:sz w:val="16"/>
                <w:szCs w:val="16"/>
                <w:spacing w:val="-2"/>
              </w:rPr>
              <w:t>(特样设备安全监察备惯?</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80448"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278" name="TextBox 278"/>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0" style="position:absolute;margin-left:35.8547pt;margin-top:48.6757pt;mso-position-vertical-relative:page;mso-position-horizontal-relative:page;width:14.35pt;height:13pt;z-index:251880448;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220</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中夹主督部门</w:t>
            </w:r>
          </w:p>
        </w:tc>
        <w:tc>
          <w:tcPr>
            <w:tcW w:w="1638" w:type="dxa"/>
            <w:vAlign w:val="top"/>
          </w:tcPr>
          <w:p>
            <w:pPr>
              <w:pStyle w:val="TableText"/>
              <w:ind w:left="451"/>
              <w:spacing w:before="132" w:line="220" w:lineRule="auto"/>
              <w:rPr>
                <w:sz w:val="16"/>
                <w:szCs w:val="16"/>
              </w:rPr>
            </w:pPr>
            <w:r>
              <w:rPr>
                <w:sz w:val="16"/>
                <w:szCs w:val="16"/>
                <w:spacing w:val="-2"/>
              </w:rPr>
              <w:t>事填名称</w:t>
            </w:r>
          </w:p>
        </w:tc>
        <w:tc>
          <w:tcPr>
            <w:tcW w:w="2377" w:type="dxa"/>
            <w:vAlign w:val="top"/>
          </w:tcPr>
          <w:p>
            <w:pPr>
              <w:pStyle w:val="TableText"/>
              <w:ind w:left="834"/>
              <w:spacing w:before="130" w:line="219" w:lineRule="auto"/>
              <w:rPr>
                <w:sz w:val="16"/>
                <w:szCs w:val="16"/>
              </w:rPr>
            </w:pPr>
            <w:r>
              <w:rPr>
                <w:sz w:val="16"/>
                <w:szCs w:val="16"/>
                <w:spacing w:val="-2"/>
              </w:rPr>
              <w:t>实雄机关</w:t>
            </w:r>
          </w:p>
        </w:tc>
        <w:tc>
          <w:tcPr>
            <w:tcW w:w="3711" w:type="dxa"/>
            <w:vAlign w:val="top"/>
          </w:tcPr>
          <w:p>
            <w:pPr>
              <w:pStyle w:val="TableText"/>
              <w:ind w:left="1259"/>
              <w:spacing w:before="129" w:line="220" w:lineRule="auto"/>
              <w:rPr>
                <w:sz w:val="16"/>
                <w:szCs w:val="16"/>
              </w:rPr>
            </w:pPr>
            <w:r>
              <w:rPr>
                <w:sz w:val="16"/>
                <w:szCs w:val="16"/>
                <w:b/>
                <w:bCs/>
                <w:spacing w:val="-3"/>
              </w:rPr>
              <w:t>设定和实筑体基</w:t>
            </w:r>
          </w:p>
        </w:tc>
      </w:tr>
      <w:tr>
        <w:trPr>
          <w:trHeight w:val="729" w:hRule="atLeast"/>
        </w:trPr>
        <w:tc>
          <w:tcPr>
            <w:tcW w:w="574" w:type="dxa"/>
            <w:vAlign w:val="top"/>
          </w:tcPr>
          <w:p>
            <w:pPr>
              <w:spacing w:line="275" w:lineRule="auto"/>
              <w:rPr>
                <w:rFonts w:ascii="Arial"/>
                <w:sz w:val="21"/>
              </w:rPr>
            </w:pPr>
            <w:r/>
          </w:p>
          <w:p>
            <w:pPr>
              <w:pStyle w:val="TableText"/>
              <w:ind w:left="154"/>
              <w:spacing w:before="52" w:line="183" w:lineRule="auto"/>
              <w:rPr>
                <w:sz w:val="16"/>
                <w:szCs w:val="16"/>
              </w:rPr>
            </w:pPr>
            <w:r>
              <w:rPr>
                <w:sz w:val="16"/>
                <w:szCs w:val="16"/>
                <w:spacing w:val="-3"/>
              </w:rPr>
              <w:t>540</w:t>
            </w:r>
          </w:p>
        </w:tc>
        <w:tc>
          <w:tcPr>
            <w:tcW w:w="1299" w:type="dxa"/>
            <w:vAlign w:val="top"/>
          </w:tcPr>
          <w:p>
            <w:pPr>
              <w:pStyle w:val="TableText"/>
              <w:ind w:left="160"/>
              <w:spacing w:before="287" w:line="219" w:lineRule="auto"/>
              <w:rPr>
                <w:sz w:val="16"/>
                <w:szCs w:val="16"/>
              </w:rPr>
            </w:pPr>
            <w:r>
              <w:rPr>
                <w:sz w:val="16"/>
                <w:szCs w:val="16"/>
                <w:spacing w:val="2"/>
              </w:rPr>
              <w:t>市场盐管总局</w:t>
            </w:r>
          </w:p>
        </w:tc>
        <w:tc>
          <w:tcPr>
            <w:tcW w:w="1638" w:type="dxa"/>
            <w:vAlign w:val="top"/>
          </w:tcPr>
          <w:p>
            <w:pPr>
              <w:pStyle w:val="TableText"/>
              <w:ind w:left="42" w:right="152"/>
              <w:spacing w:before="187" w:line="225" w:lineRule="auto"/>
              <w:rPr>
                <w:sz w:val="16"/>
                <w:szCs w:val="16"/>
              </w:rPr>
            </w:pPr>
            <w:r>
              <w:rPr>
                <w:sz w:val="16"/>
                <w:szCs w:val="16"/>
                <w:spacing w:val="-1"/>
              </w:rPr>
              <w:t>钟种设备检险，检测</w:t>
            </w:r>
            <w:r>
              <w:rPr>
                <w:sz w:val="16"/>
                <w:szCs w:val="16"/>
                <w:spacing w:val="1"/>
              </w:rPr>
              <w:t xml:space="preserve"> </w:t>
            </w:r>
            <w:r>
              <w:rPr>
                <w:sz w:val="16"/>
                <w:szCs w:val="16"/>
                <w:spacing w:val="-2"/>
              </w:rPr>
              <w:t>人员资格认定</w:t>
            </w:r>
          </w:p>
        </w:tc>
        <w:tc>
          <w:tcPr>
            <w:tcW w:w="2377" w:type="dxa"/>
            <w:vAlign w:val="top"/>
          </w:tcPr>
          <w:p>
            <w:pPr>
              <w:pStyle w:val="TableText"/>
              <w:ind w:left="44" w:right="93"/>
              <w:spacing w:before="186" w:line="229" w:lineRule="auto"/>
              <w:rPr>
                <w:sz w:val="16"/>
                <w:szCs w:val="16"/>
              </w:rPr>
            </w:pPr>
            <w:r>
              <w:rPr>
                <w:sz w:val="16"/>
                <w:szCs w:val="16"/>
                <w:spacing w:val="-1"/>
              </w:rPr>
              <w:t>市易盐管总局；省级市场监世部</w:t>
            </w:r>
            <w:r>
              <w:rPr>
                <w:sz w:val="16"/>
                <w:szCs w:val="16"/>
                <w:spacing w:val="2"/>
              </w:rPr>
              <w:t xml:space="preserve"> </w:t>
            </w:r>
            <w:r>
              <w:rPr>
                <w:sz w:val="16"/>
                <w:szCs w:val="16"/>
              </w:rPr>
              <w:t>门</w:t>
            </w:r>
          </w:p>
        </w:tc>
        <w:tc>
          <w:tcPr>
            <w:tcW w:w="3711" w:type="dxa"/>
            <w:vAlign w:val="top"/>
          </w:tcPr>
          <w:p>
            <w:pPr>
              <w:pStyle w:val="TableText"/>
              <w:ind w:left="56"/>
              <w:spacing w:before="77" w:line="242" w:lineRule="auto"/>
              <w:rPr>
                <w:sz w:val="16"/>
                <w:szCs w:val="16"/>
              </w:rPr>
            </w:pPr>
            <w:r>
              <w:rPr>
                <w:sz w:val="16"/>
                <w:szCs w:val="16"/>
              </w:rPr>
              <w:t>1中份人民其和国特种议备安全法</w:t>
            </w:r>
          </w:p>
          <w:p>
            <w:pPr>
              <w:pStyle w:val="TableText"/>
              <w:ind w:left="56"/>
              <w:spacing w:line="218" w:lineRule="auto"/>
              <w:rPr>
                <w:sz w:val="16"/>
                <w:szCs w:val="16"/>
              </w:rPr>
            </w:pPr>
            <w:r>
              <w:rPr>
                <w:sz w:val="16"/>
                <w:szCs w:val="16"/>
                <w:spacing w:val="1"/>
              </w:rPr>
              <w:t>t特科设备安全监率条例1</w:t>
            </w:r>
          </w:p>
          <w:p>
            <w:pPr>
              <w:pStyle w:val="TableText"/>
              <w:ind w:left="56"/>
              <w:spacing w:before="11" w:line="219" w:lineRule="auto"/>
              <w:rPr>
                <w:sz w:val="16"/>
                <w:szCs w:val="16"/>
              </w:rPr>
            </w:pPr>
            <w:r>
              <w:rPr>
                <w:sz w:val="16"/>
                <w:szCs w:val="16"/>
              </w:rPr>
              <w:t>1国家职业质格信录(702(三版)》</w:t>
            </w:r>
          </w:p>
        </w:tc>
      </w:tr>
      <w:tr>
        <w:trPr>
          <w:trHeight w:val="929" w:hRule="atLeast"/>
        </w:trPr>
        <w:tc>
          <w:tcPr>
            <w:tcW w:w="574" w:type="dxa"/>
            <w:vAlign w:val="top"/>
          </w:tcPr>
          <w:p>
            <w:pPr>
              <w:spacing w:line="376" w:lineRule="auto"/>
              <w:rPr>
                <w:rFonts w:ascii="Arial"/>
                <w:sz w:val="21"/>
              </w:rPr>
            </w:pPr>
            <w:r/>
          </w:p>
          <w:p>
            <w:pPr>
              <w:pStyle w:val="TableText"/>
              <w:ind w:left="154"/>
              <w:spacing w:before="52" w:line="182" w:lineRule="auto"/>
              <w:rPr>
                <w:sz w:val="16"/>
                <w:szCs w:val="16"/>
              </w:rPr>
            </w:pPr>
            <w:r>
              <w:rPr>
                <w:sz w:val="16"/>
                <w:szCs w:val="16"/>
                <w:spacing w:val="-3"/>
              </w:rPr>
              <w:t>55U</w:t>
            </w:r>
          </w:p>
        </w:tc>
        <w:tc>
          <w:tcPr>
            <w:tcW w:w="1299" w:type="dxa"/>
            <w:vAlign w:val="top"/>
          </w:tcPr>
          <w:p>
            <w:pPr>
              <w:spacing w:line="334" w:lineRule="auto"/>
              <w:rPr>
                <w:rFonts w:ascii="Arial"/>
                <w:sz w:val="21"/>
              </w:rPr>
            </w:pPr>
            <w:r/>
          </w:p>
          <w:p>
            <w:pPr>
              <w:pStyle w:val="TableText"/>
              <w:ind w:left="160"/>
              <w:spacing w:before="52" w:line="219" w:lineRule="auto"/>
              <w:rPr>
                <w:sz w:val="16"/>
                <w:szCs w:val="16"/>
              </w:rPr>
            </w:pPr>
            <w:r>
              <w:rPr>
                <w:sz w:val="16"/>
                <w:szCs w:val="16"/>
                <w:spacing w:val="2"/>
              </w:rPr>
              <w:t>市炀监管总品</w:t>
            </w:r>
          </w:p>
        </w:tc>
        <w:tc>
          <w:tcPr>
            <w:tcW w:w="1638" w:type="dxa"/>
            <w:vAlign w:val="top"/>
          </w:tcPr>
          <w:p>
            <w:pPr>
              <w:spacing w:line="243" w:lineRule="auto"/>
              <w:rPr>
                <w:rFonts w:ascii="Arial"/>
                <w:sz w:val="21"/>
              </w:rPr>
            </w:pPr>
            <w:r/>
          </w:p>
          <w:p>
            <w:pPr>
              <w:pStyle w:val="TableText"/>
              <w:ind w:left="42" w:right="71" w:firstLine="79"/>
              <w:spacing w:before="52" w:line="225" w:lineRule="auto"/>
              <w:rPr>
                <w:sz w:val="16"/>
                <w:szCs w:val="16"/>
              </w:rPr>
            </w:pPr>
            <w:r>
              <w:rPr>
                <w:sz w:val="16"/>
                <w:szCs w:val="16"/>
                <w:spacing w:val="-1"/>
              </w:rPr>
              <w:t>粉精设备安全管理水</w:t>
            </w:r>
            <w:r>
              <w:rPr>
                <w:sz w:val="16"/>
                <w:szCs w:val="16"/>
                <w:spacing w:val="2"/>
              </w:rPr>
              <w:t xml:space="preserve"> </w:t>
            </w:r>
            <w:r>
              <w:rPr>
                <w:sz w:val="16"/>
                <w:szCs w:val="16"/>
                <w:spacing w:val="-1"/>
              </w:rPr>
              <w:t>作壶人员货格认定</w:t>
            </w:r>
          </w:p>
        </w:tc>
        <w:tc>
          <w:tcPr>
            <w:tcW w:w="2377" w:type="dxa"/>
            <w:vAlign w:val="top"/>
          </w:tcPr>
          <w:p>
            <w:pPr>
              <w:pStyle w:val="TableText"/>
              <w:ind w:left="44" w:right="60" w:firstLine="30"/>
              <w:spacing w:before="278" w:line="225" w:lineRule="auto"/>
              <w:rPr>
                <w:sz w:val="16"/>
                <w:szCs w:val="16"/>
              </w:rPr>
            </w:pPr>
            <w:r>
              <w:rPr>
                <w:sz w:val="16"/>
                <w:szCs w:val="16"/>
                <w:spacing w:val="-1"/>
              </w:rPr>
              <w:t>者级，设区的市级，要圾市勒蓝</w:t>
            </w:r>
            <w:r>
              <w:rPr>
                <w:sz w:val="16"/>
                <w:szCs w:val="16"/>
                <w:spacing w:val="5"/>
              </w:rPr>
              <w:t xml:space="preserve"> </w:t>
            </w:r>
            <w:r>
              <w:rPr>
                <w:sz w:val="16"/>
                <w:szCs w:val="16"/>
                <w:spacing w:val="6"/>
              </w:rPr>
              <w:t>督都门</w:t>
            </w:r>
          </w:p>
        </w:tc>
        <w:tc>
          <w:tcPr>
            <w:tcW w:w="3711" w:type="dxa"/>
            <w:vAlign w:val="top"/>
          </w:tcPr>
          <w:p>
            <w:pPr>
              <w:pStyle w:val="TableText"/>
              <w:ind w:left="56"/>
              <w:spacing w:before="88" w:line="220" w:lineRule="exact"/>
              <w:rPr>
                <w:sz w:val="16"/>
                <w:szCs w:val="16"/>
              </w:rPr>
            </w:pPr>
            <w:r>
              <w:rPr>
                <w:sz w:val="16"/>
                <w:szCs w:val="16"/>
                <w:spacing w:val="-1"/>
                <w:position w:val="4"/>
              </w:rPr>
              <w:t>中华人园共和国特种设各安全法》</w:t>
            </w:r>
          </w:p>
          <w:p>
            <w:pPr>
              <w:pStyle w:val="TableText"/>
              <w:ind w:left="56"/>
              <w:spacing w:line="219" w:lineRule="auto"/>
              <w:rPr>
                <w:sz w:val="16"/>
                <w:szCs w:val="16"/>
              </w:rPr>
            </w:pPr>
            <w:r>
              <w:rPr>
                <w:sz w:val="16"/>
                <w:szCs w:val="16"/>
                <w:spacing w:val="7"/>
              </w:rPr>
              <w:t>特种设备安全范察质院】</w:t>
            </w:r>
          </w:p>
          <w:p>
            <w:pPr>
              <w:pStyle w:val="TableText"/>
              <w:ind w:left="56"/>
              <w:spacing w:before="9" w:line="226" w:lineRule="auto"/>
              <w:rPr>
                <w:sz w:val="16"/>
                <w:szCs w:val="16"/>
              </w:rPr>
            </w:pPr>
            <w:r>
              <w:rPr>
                <w:sz w:val="16"/>
                <w:szCs w:val="16"/>
                <w:spacing w:val="-1"/>
              </w:rPr>
              <w:t>轻种设务作业人员监备管理办法》</w:t>
            </w:r>
          </w:p>
          <w:p>
            <w:pPr>
              <w:pStyle w:val="TableText"/>
              <w:ind w:left="56"/>
              <w:spacing w:line="214" w:lineRule="auto"/>
              <w:rPr>
                <w:sz w:val="16"/>
                <w:szCs w:val="16"/>
              </w:rPr>
            </w:pPr>
            <w:r>
              <w:rPr>
                <w:sz w:val="16"/>
                <w:szCs w:val="16"/>
              </w:rPr>
              <w:t>1国家职业斯格目录(202j年版》8</w:t>
            </w:r>
          </w:p>
        </w:tc>
      </w:tr>
      <w:tr>
        <w:trPr>
          <w:trHeight w:val="719" w:hRule="atLeast"/>
        </w:trPr>
        <w:tc>
          <w:tcPr>
            <w:tcW w:w="574" w:type="dxa"/>
            <w:vAlign w:val="top"/>
          </w:tcPr>
          <w:p>
            <w:pPr>
              <w:spacing w:line="266" w:lineRule="auto"/>
              <w:rPr>
                <w:rFonts w:ascii="Arial"/>
                <w:sz w:val="21"/>
              </w:rPr>
            </w:pPr>
            <w:r/>
          </w:p>
          <w:p>
            <w:pPr>
              <w:pStyle w:val="TableText"/>
              <w:ind w:left="154"/>
              <w:spacing w:before="52" w:line="184" w:lineRule="auto"/>
              <w:rPr>
                <w:sz w:val="16"/>
                <w:szCs w:val="16"/>
              </w:rPr>
            </w:pPr>
            <w:r>
              <w:rPr>
                <w:sz w:val="16"/>
                <w:szCs w:val="16"/>
                <w:spacing w:val="-3"/>
              </w:rPr>
              <w:t>551</w:t>
            </w:r>
          </w:p>
        </w:tc>
        <w:tc>
          <w:tcPr>
            <w:tcW w:w="1299" w:type="dxa"/>
            <w:vAlign w:val="top"/>
          </w:tcPr>
          <w:p>
            <w:pPr>
              <w:pStyle w:val="TableText"/>
              <w:ind w:left="160"/>
              <w:spacing w:before="278" w:line="219" w:lineRule="auto"/>
              <w:rPr>
                <w:sz w:val="16"/>
                <w:szCs w:val="16"/>
              </w:rPr>
            </w:pPr>
            <w:r>
              <w:rPr>
                <w:sz w:val="16"/>
                <w:szCs w:val="16"/>
                <w:spacing w:val="2"/>
              </w:rPr>
              <w:t>市场简管总局</w:t>
            </w:r>
          </w:p>
        </w:tc>
        <w:tc>
          <w:tcPr>
            <w:tcW w:w="1638" w:type="dxa"/>
            <w:vAlign w:val="top"/>
          </w:tcPr>
          <w:p>
            <w:pPr>
              <w:pStyle w:val="TableText"/>
              <w:ind w:left="42"/>
              <w:spacing w:before="88" w:line="219" w:lineRule="auto"/>
              <w:rPr>
                <w:sz w:val="16"/>
                <w:szCs w:val="16"/>
              </w:rPr>
            </w:pPr>
            <w:r>
              <w:rPr>
                <w:sz w:val="16"/>
                <w:szCs w:val="16"/>
                <w:spacing w:val="-1"/>
              </w:rPr>
              <w:t>特种设备采旧新群</w:t>
            </w:r>
          </w:p>
          <w:p>
            <w:pPr>
              <w:pStyle w:val="TableText"/>
              <w:ind w:left="42"/>
              <w:spacing w:before="20" w:line="226" w:lineRule="auto"/>
              <w:rPr>
                <w:sz w:val="16"/>
                <w:szCs w:val="16"/>
              </w:rPr>
            </w:pPr>
            <w:r>
              <w:rPr>
                <w:sz w:val="16"/>
                <w:szCs w:val="16"/>
                <w:spacing w:val="-2"/>
              </w:rPr>
              <w:t>料，析校术，新工艺审</w:t>
            </w:r>
            <w:r>
              <w:rPr>
                <w:sz w:val="16"/>
                <w:szCs w:val="16"/>
                <w:spacing w:val="4"/>
              </w:rPr>
              <w:t xml:space="preserve"> </w:t>
            </w:r>
            <w:r>
              <w:rPr>
                <w:sz w:val="16"/>
                <w:szCs w:val="16"/>
              </w:rPr>
              <w:t>泄</w:t>
            </w:r>
          </w:p>
        </w:tc>
        <w:tc>
          <w:tcPr>
            <w:tcW w:w="2377" w:type="dxa"/>
            <w:vAlign w:val="top"/>
          </w:tcPr>
          <w:p>
            <w:pPr>
              <w:pStyle w:val="TableText"/>
              <w:ind w:left="44"/>
              <w:spacing w:before="278" w:line="219" w:lineRule="auto"/>
              <w:rPr>
                <w:sz w:val="16"/>
                <w:szCs w:val="16"/>
              </w:rPr>
            </w:pPr>
            <w:r>
              <w:rPr>
                <w:sz w:val="16"/>
                <w:szCs w:val="16"/>
                <w:spacing w:val="2"/>
              </w:rPr>
              <w:t>市场监臂总局</w:t>
            </w:r>
          </w:p>
        </w:tc>
        <w:tc>
          <w:tcPr>
            <w:tcW w:w="3711" w:type="dxa"/>
            <w:vAlign w:val="top"/>
          </w:tcPr>
          <w:p>
            <w:pPr>
              <w:pStyle w:val="TableText"/>
              <w:spacing w:before="278" w:line="219" w:lineRule="auto"/>
              <w:rPr>
                <w:sz w:val="16"/>
                <w:szCs w:val="16"/>
              </w:rPr>
            </w:pPr>
            <w:r>
              <w:rPr>
                <w:sz w:val="16"/>
                <w:szCs w:val="16"/>
                <w:spacing w:val="-2"/>
              </w:rPr>
              <w:t>《中军人民其和国答种设签安全法)</w:t>
            </w:r>
          </w:p>
        </w:tc>
      </w:tr>
      <w:tr>
        <w:trPr>
          <w:trHeight w:val="729" w:hRule="atLeast"/>
        </w:trPr>
        <w:tc>
          <w:tcPr>
            <w:tcW w:w="574" w:type="dxa"/>
            <w:vAlign w:val="top"/>
          </w:tcPr>
          <w:p>
            <w:pPr>
              <w:spacing w:line="278" w:lineRule="auto"/>
              <w:rPr>
                <w:rFonts w:ascii="Arial"/>
                <w:sz w:val="21"/>
              </w:rPr>
            </w:pPr>
            <w:r/>
          </w:p>
          <w:p>
            <w:pPr>
              <w:pStyle w:val="TableText"/>
              <w:ind w:left="154"/>
              <w:spacing w:before="52" w:line="183" w:lineRule="auto"/>
              <w:rPr>
                <w:sz w:val="16"/>
                <w:szCs w:val="16"/>
              </w:rPr>
            </w:pPr>
            <w:r>
              <w:rPr>
                <w:sz w:val="16"/>
                <w:szCs w:val="16"/>
                <w:spacing w:val="-3"/>
              </w:rPr>
              <w:t>562</w:t>
            </w:r>
          </w:p>
        </w:tc>
        <w:tc>
          <w:tcPr>
            <w:tcW w:w="1299" w:type="dxa"/>
            <w:vAlign w:val="top"/>
          </w:tcPr>
          <w:p>
            <w:pPr>
              <w:pStyle w:val="TableText"/>
              <w:ind w:left="160"/>
              <w:spacing w:before="290" w:line="219" w:lineRule="auto"/>
              <w:rPr>
                <w:sz w:val="16"/>
                <w:szCs w:val="16"/>
              </w:rPr>
            </w:pPr>
            <w:r>
              <w:rPr>
                <w:sz w:val="16"/>
                <w:szCs w:val="16"/>
                <w:spacing w:val="2"/>
              </w:rPr>
              <w:t>市杨蓝管总局</w:t>
            </w:r>
          </w:p>
        </w:tc>
        <w:tc>
          <w:tcPr>
            <w:tcW w:w="1638" w:type="dxa"/>
            <w:vAlign w:val="top"/>
          </w:tcPr>
          <w:p>
            <w:pPr>
              <w:pStyle w:val="TableText"/>
              <w:ind w:left="42"/>
              <w:spacing w:before="291" w:line="220" w:lineRule="auto"/>
              <w:rPr>
                <w:sz w:val="16"/>
                <w:szCs w:val="16"/>
              </w:rPr>
            </w:pPr>
            <w:r>
              <w:rPr>
                <w:sz w:val="16"/>
                <w:szCs w:val="16"/>
                <w:spacing w:val="-1"/>
              </w:rPr>
              <w:t>计量标准器具核准</w:t>
            </w:r>
          </w:p>
        </w:tc>
        <w:tc>
          <w:tcPr>
            <w:tcW w:w="2377" w:type="dxa"/>
            <w:vAlign w:val="top"/>
          </w:tcPr>
          <w:p>
            <w:pPr>
              <w:pStyle w:val="TableText"/>
              <w:ind w:left="44" w:right="93"/>
              <w:spacing w:before="200" w:line="231" w:lineRule="auto"/>
              <w:rPr>
                <w:sz w:val="16"/>
                <w:szCs w:val="16"/>
              </w:rPr>
            </w:pPr>
            <w:r>
              <w:rPr>
                <w:sz w:val="16"/>
                <w:szCs w:val="16"/>
                <w:spacing w:val="-1"/>
              </w:rPr>
              <w:t>市杨监管总局，省级、观已的市</w:t>
            </w:r>
            <w:r>
              <w:rPr>
                <w:sz w:val="16"/>
                <w:szCs w:val="16"/>
                <w:spacing w:val="2"/>
              </w:rPr>
              <w:t xml:space="preserve"> </w:t>
            </w:r>
            <w:r>
              <w:rPr>
                <w:sz w:val="16"/>
                <w:szCs w:val="16"/>
                <w:spacing w:val="1"/>
              </w:rPr>
              <w:t>慰，且处市场些督部门</w:t>
            </w:r>
          </w:p>
        </w:tc>
        <w:tc>
          <w:tcPr>
            <w:tcW w:w="3711" w:type="dxa"/>
            <w:vAlign w:val="top"/>
          </w:tcPr>
          <w:p>
            <w:pPr>
              <w:pStyle w:val="TableText"/>
              <w:ind w:left="56"/>
              <w:spacing w:before="91" w:line="206" w:lineRule="auto"/>
              <w:rPr>
                <w:sz w:val="16"/>
                <w:szCs w:val="16"/>
              </w:rPr>
            </w:pPr>
            <w:r>
              <w:rPr>
                <w:sz w:val="16"/>
                <w:szCs w:val="16"/>
                <w:spacing w:val="8"/>
              </w:rPr>
              <w:t>中¥人民其和国计量法1</w:t>
            </w:r>
          </w:p>
          <w:p>
            <w:pPr>
              <w:pStyle w:val="TableText"/>
              <w:spacing w:line="230" w:lineRule="exact"/>
              <w:rPr>
                <w:sz w:val="16"/>
                <w:szCs w:val="16"/>
              </w:rPr>
            </w:pPr>
            <w:r>
              <w:rPr>
                <w:sz w:val="16"/>
                <w:szCs w:val="16"/>
                <w:spacing w:val="-3"/>
                <w:position w:val="5"/>
              </w:rPr>
              <w:t>《中作人民共和国计量法文能旅州?</w:t>
            </w:r>
          </w:p>
          <w:p>
            <w:pPr>
              <w:pStyle w:val="TableText"/>
              <w:spacing w:line="219" w:lineRule="auto"/>
              <w:rPr>
                <w:sz w:val="16"/>
                <w:szCs w:val="16"/>
              </w:rPr>
            </w:pPr>
            <w:r>
              <w:rPr>
                <w:sz w:val="16"/>
                <w:szCs w:val="16"/>
                <w:spacing w:val="6"/>
              </w:rPr>
              <w:t>《计量标准考转办法】</w:t>
            </w:r>
          </w:p>
        </w:tc>
      </w:tr>
      <w:tr>
        <w:trPr>
          <w:trHeight w:val="729" w:hRule="atLeast"/>
        </w:trPr>
        <w:tc>
          <w:tcPr>
            <w:tcW w:w="574" w:type="dxa"/>
            <w:vAlign w:val="top"/>
          </w:tcPr>
          <w:p>
            <w:pPr>
              <w:spacing w:line="279" w:lineRule="auto"/>
              <w:rPr>
                <w:rFonts w:ascii="Arial"/>
                <w:sz w:val="21"/>
              </w:rPr>
            </w:pPr>
            <w:r/>
          </w:p>
          <w:p>
            <w:pPr>
              <w:pStyle w:val="TableText"/>
              <w:ind w:left="154"/>
              <w:spacing w:before="52" w:line="183" w:lineRule="auto"/>
              <w:rPr>
                <w:sz w:val="16"/>
                <w:szCs w:val="16"/>
              </w:rPr>
            </w:pPr>
            <w:r>
              <w:rPr>
                <w:sz w:val="16"/>
                <w:szCs w:val="16"/>
                <w:spacing w:val="-3"/>
              </w:rPr>
              <w:t>357</w:t>
            </w:r>
          </w:p>
        </w:tc>
        <w:tc>
          <w:tcPr>
            <w:tcW w:w="1299" w:type="dxa"/>
            <w:vAlign w:val="top"/>
          </w:tcPr>
          <w:p>
            <w:pPr>
              <w:pStyle w:val="TableText"/>
              <w:ind w:left="160"/>
              <w:spacing w:before="291" w:line="219" w:lineRule="auto"/>
              <w:rPr>
                <w:sz w:val="16"/>
                <w:szCs w:val="16"/>
              </w:rPr>
            </w:pPr>
            <w:r>
              <w:rPr>
                <w:sz w:val="16"/>
                <w:szCs w:val="16"/>
                <w:spacing w:val="2"/>
              </w:rPr>
              <w:t>市场监管总局</w:t>
            </w:r>
          </w:p>
        </w:tc>
        <w:tc>
          <w:tcPr>
            <w:tcW w:w="1638" w:type="dxa"/>
            <w:vAlign w:val="top"/>
          </w:tcPr>
          <w:p>
            <w:pPr>
              <w:pStyle w:val="TableText"/>
              <w:ind w:left="42"/>
              <w:spacing w:before="292" w:line="221" w:lineRule="auto"/>
              <w:rPr>
                <w:sz w:val="16"/>
                <w:szCs w:val="16"/>
              </w:rPr>
            </w:pPr>
            <w:r>
              <w:rPr>
                <w:sz w:val="16"/>
                <w:szCs w:val="16"/>
                <w:spacing w:val="-1"/>
              </w:rPr>
              <w:t>计量器具和式业准</w:t>
            </w:r>
          </w:p>
        </w:tc>
        <w:tc>
          <w:tcPr>
            <w:tcW w:w="2377" w:type="dxa"/>
            <w:vAlign w:val="top"/>
          </w:tcPr>
          <w:p>
            <w:pPr>
              <w:pStyle w:val="TableText"/>
              <w:ind w:left="44" w:right="83" w:firstLine="10"/>
              <w:spacing w:before="211" w:line="217" w:lineRule="auto"/>
              <w:rPr>
                <w:sz w:val="16"/>
                <w:szCs w:val="16"/>
              </w:rPr>
            </w:pPr>
            <w:r>
              <w:rPr>
                <w:sz w:val="16"/>
                <w:szCs w:val="16"/>
                <w:spacing w:val="-1"/>
              </w:rPr>
              <w:t>市场监省总局；省级市场监置露</w:t>
            </w:r>
            <w:r>
              <w:rPr>
                <w:sz w:val="16"/>
                <w:szCs w:val="16"/>
                <w:spacing w:val="2"/>
              </w:rPr>
              <w:t xml:space="preserve"> </w:t>
            </w:r>
            <w:r>
              <w:rPr>
                <w:sz w:val="16"/>
                <w:szCs w:val="16"/>
              </w:rPr>
              <w:t>门</w:t>
            </w:r>
          </w:p>
        </w:tc>
        <w:tc>
          <w:tcPr>
            <w:tcW w:w="3711" w:type="dxa"/>
            <w:vAlign w:val="top"/>
          </w:tcPr>
          <w:p>
            <w:pPr>
              <w:pStyle w:val="TableText"/>
              <w:ind w:left="56"/>
              <w:spacing w:before="71" w:line="219" w:lineRule="auto"/>
              <w:rPr>
                <w:sz w:val="16"/>
                <w:szCs w:val="16"/>
              </w:rPr>
            </w:pPr>
            <w:r>
              <w:rPr>
                <w:sz w:val="16"/>
                <w:szCs w:val="16"/>
                <w:spacing w:val="3"/>
              </w:rPr>
              <w:t>中华人民共和国计量法)</w:t>
            </w:r>
          </w:p>
          <w:p>
            <w:pPr>
              <w:pStyle w:val="TableText"/>
              <w:ind w:left="56"/>
              <w:spacing w:before="40" w:line="218" w:lineRule="auto"/>
              <w:rPr>
                <w:sz w:val="16"/>
                <w:szCs w:val="16"/>
              </w:rPr>
            </w:pPr>
            <w:r>
              <w:rPr>
                <w:sz w:val="16"/>
                <w:szCs w:val="16"/>
                <w:spacing w:val="-1"/>
              </w:rPr>
              <w:t>中单人民其和国计量法实愿地销》</w:t>
            </w:r>
          </w:p>
          <w:p>
            <w:pPr>
              <w:pStyle w:val="TableText"/>
              <w:spacing w:line="219" w:lineRule="auto"/>
              <w:rPr>
                <w:sz w:val="16"/>
                <w:szCs w:val="16"/>
              </w:rPr>
            </w:pPr>
            <w:r>
              <w:rPr>
                <w:sz w:val="16"/>
                <w:szCs w:val="16"/>
                <w:spacing w:val="-2"/>
              </w:rPr>
              <w:t>《中华人民共和同进口计量国具监督管理办高</w:t>
            </w:r>
          </w:p>
        </w:tc>
      </w:tr>
      <w:tr>
        <w:trPr>
          <w:trHeight w:val="519" w:hRule="atLeast"/>
        </w:trPr>
        <w:tc>
          <w:tcPr>
            <w:tcW w:w="574" w:type="dxa"/>
            <w:vAlign w:val="top"/>
          </w:tcPr>
          <w:p>
            <w:pPr>
              <w:pStyle w:val="TableText"/>
              <w:ind w:left="154"/>
              <w:spacing w:before="223" w:line="183" w:lineRule="auto"/>
              <w:rPr>
                <w:sz w:val="16"/>
                <w:szCs w:val="16"/>
              </w:rPr>
            </w:pPr>
            <w:r>
              <w:rPr>
                <w:sz w:val="16"/>
                <w:szCs w:val="16"/>
                <w:spacing w:val="-3"/>
              </w:rPr>
              <w:t>554</w:t>
            </w:r>
          </w:p>
        </w:tc>
        <w:tc>
          <w:tcPr>
            <w:tcW w:w="1299" w:type="dxa"/>
            <w:vAlign w:val="top"/>
          </w:tcPr>
          <w:p>
            <w:pPr>
              <w:pStyle w:val="TableText"/>
              <w:ind w:left="160"/>
              <w:spacing w:before="182" w:line="219" w:lineRule="auto"/>
              <w:rPr>
                <w:sz w:val="16"/>
                <w:szCs w:val="16"/>
              </w:rPr>
            </w:pPr>
            <w:r>
              <w:rPr>
                <w:sz w:val="16"/>
                <w:szCs w:val="16"/>
                <w:spacing w:val="-2"/>
              </w:rPr>
              <w:t>声场蓝管总最</w:t>
            </w:r>
          </w:p>
        </w:tc>
        <w:tc>
          <w:tcPr>
            <w:tcW w:w="1638" w:type="dxa"/>
            <w:vAlign w:val="top"/>
          </w:tcPr>
          <w:p>
            <w:pPr>
              <w:pStyle w:val="TableText"/>
              <w:ind w:left="42" w:right="142" w:firstLine="10"/>
              <w:spacing w:before="92" w:line="231" w:lineRule="auto"/>
              <w:rPr>
                <w:sz w:val="16"/>
                <w:szCs w:val="16"/>
              </w:rPr>
            </w:pPr>
            <w:r>
              <w:rPr>
                <w:sz w:val="16"/>
                <w:szCs w:val="16"/>
                <w:spacing w:val="-1"/>
              </w:rPr>
              <w:t>承担国家法定计塑检</w:t>
            </w:r>
            <w:r>
              <w:rPr>
                <w:sz w:val="16"/>
                <w:szCs w:val="16"/>
                <w:spacing w:val="1"/>
              </w:rPr>
              <w:t xml:space="preserve"> </w:t>
            </w:r>
            <w:r>
              <w:rPr>
                <w:sz w:val="16"/>
                <w:szCs w:val="16"/>
                <w:spacing w:val="-2"/>
              </w:rPr>
              <w:t>定税构任孝授权</w:t>
            </w:r>
          </w:p>
        </w:tc>
        <w:tc>
          <w:tcPr>
            <w:tcW w:w="2377" w:type="dxa"/>
            <w:vAlign w:val="top"/>
          </w:tcPr>
          <w:p>
            <w:pPr>
              <w:pStyle w:val="TableText"/>
              <w:ind w:left="44" w:right="73" w:firstLine="20"/>
              <w:spacing w:before="72" w:line="248" w:lineRule="auto"/>
              <w:rPr>
                <w:sz w:val="16"/>
                <w:szCs w:val="16"/>
              </w:rPr>
            </w:pPr>
            <w:r>
              <w:rPr>
                <w:sz w:val="16"/>
                <w:szCs w:val="16"/>
                <w:spacing w:val="-1"/>
              </w:rPr>
              <w:t>市场监管总局，省级，动区的市</w:t>
            </w:r>
            <w:r>
              <w:rPr>
                <w:sz w:val="16"/>
                <w:szCs w:val="16"/>
                <w:spacing w:val="2"/>
              </w:rPr>
              <w:t xml:space="preserve"> </w:t>
            </w:r>
            <w:r>
              <w:rPr>
                <w:sz w:val="16"/>
                <w:szCs w:val="16"/>
                <w:spacing w:val="1"/>
              </w:rPr>
              <w:t>驶，县硬市奶监管苏门</w:t>
            </w:r>
          </w:p>
        </w:tc>
        <w:tc>
          <w:tcPr>
            <w:tcW w:w="3711" w:type="dxa"/>
            <w:vAlign w:val="top"/>
          </w:tcPr>
          <w:p>
            <w:pPr>
              <w:pStyle w:val="TableText"/>
              <w:ind w:left="56"/>
              <w:spacing w:before="72" w:line="219" w:lineRule="auto"/>
              <w:rPr>
                <w:sz w:val="16"/>
                <w:szCs w:val="16"/>
              </w:rPr>
            </w:pPr>
            <w:r>
              <w:rPr>
                <w:sz w:val="16"/>
                <w:szCs w:val="16"/>
              </w:rPr>
              <w:t>1中华人民共和得计数法</w:t>
            </w:r>
          </w:p>
          <w:p>
            <w:pPr>
              <w:pStyle w:val="TableText"/>
              <w:ind w:left="56"/>
              <w:spacing w:before="50" w:line="219" w:lineRule="auto"/>
              <w:rPr>
                <w:sz w:val="16"/>
                <w:szCs w:val="16"/>
              </w:rPr>
            </w:pPr>
            <w:r>
              <w:rPr>
                <w:sz w:val="16"/>
                <w:szCs w:val="16"/>
                <w:spacing w:val="4"/>
              </w:rPr>
              <w:t>1中华人民共和国计量法奖监带腐】</w:t>
            </w:r>
          </w:p>
        </w:tc>
      </w:tr>
      <w:tr>
        <w:trPr>
          <w:trHeight w:val="719" w:hRule="atLeast"/>
        </w:trPr>
        <w:tc>
          <w:tcPr>
            <w:tcW w:w="574" w:type="dxa"/>
            <w:vAlign w:val="top"/>
          </w:tcPr>
          <w:p>
            <w:pPr>
              <w:spacing w:line="272" w:lineRule="auto"/>
              <w:rPr>
                <w:rFonts w:ascii="Arial"/>
                <w:sz w:val="21"/>
              </w:rPr>
            </w:pPr>
            <w:r/>
          </w:p>
          <w:p>
            <w:pPr>
              <w:pStyle w:val="TableText"/>
              <w:ind w:left="154"/>
              <w:spacing w:before="52" w:line="182" w:lineRule="auto"/>
              <w:rPr>
                <w:sz w:val="16"/>
                <w:szCs w:val="16"/>
              </w:rPr>
            </w:pPr>
            <w:r>
              <w:rPr>
                <w:sz w:val="16"/>
                <w:szCs w:val="16"/>
                <w:spacing w:val="-3"/>
              </w:rPr>
              <w:t>555</w:t>
            </w:r>
          </w:p>
        </w:tc>
        <w:tc>
          <w:tcPr>
            <w:tcW w:w="1299" w:type="dxa"/>
            <w:vAlign w:val="top"/>
          </w:tcPr>
          <w:p>
            <w:pPr>
              <w:pStyle w:val="TableText"/>
              <w:ind w:left="160"/>
              <w:spacing w:before="283" w:line="219" w:lineRule="auto"/>
              <w:rPr>
                <w:sz w:val="16"/>
                <w:szCs w:val="16"/>
              </w:rPr>
            </w:pPr>
            <w:r>
              <w:rPr>
                <w:sz w:val="16"/>
                <w:szCs w:val="16"/>
                <w:spacing w:val="2"/>
              </w:rPr>
              <w:t>市场监管总品</w:t>
            </w:r>
          </w:p>
        </w:tc>
        <w:tc>
          <w:tcPr>
            <w:tcW w:w="1638" w:type="dxa"/>
            <w:vAlign w:val="top"/>
          </w:tcPr>
          <w:p>
            <w:pPr>
              <w:pStyle w:val="TableText"/>
              <w:ind w:left="42"/>
              <w:spacing w:before="283" w:line="219" w:lineRule="auto"/>
              <w:rPr>
                <w:sz w:val="16"/>
                <w:szCs w:val="16"/>
              </w:rPr>
            </w:pPr>
            <w:r>
              <w:rPr>
                <w:sz w:val="16"/>
                <w:szCs w:val="16"/>
                <w:spacing w:val="-1"/>
              </w:rPr>
              <w:t>住前计量师注量</w:t>
            </w:r>
          </w:p>
        </w:tc>
        <w:tc>
          <w:tcPr>
            <w:tcW w:w="2377" w:type="dxa"/>
            <w:vAlign w:val="top"/>
          </w:tcPr>
          <w:p>
            <w:pPr>
              <w:pStyle w:val="TableText"/>
              <w:ind w:left="44"/>
              <w:spacing w:before="283" w:line="219" w:lineRule="auto"/>
              <w:rPr>
                <w:sz w:val="16"/>
                <w:szCs w:val="16"/>
              </w:rPr>
            </w:pPr>
            <w:r>
              <w:rPr>
                <w:sz w:val="16"/>
                <w:szCs w:val="16"/>
                <w:spacing w:val="2"/>
              </w:rPr>
              <w:t>谓级市场监管部门</w:t>
            </w:r>
          </w:p>
        </w:tc>
        <w:tc>
          <w:tcPr>
            <w:tcW w:w="3711" w:type="dxa"/>
            <w:vAlign w:val="top"/>
          </w:tcPr>
          <w:p>
            <w:pPr>
              <w:pStyle w:val="TableText"/>
              <w:spacing w:before="93" w:line="219" w:lineRule="auto"/>
              <w:rPr>
                <w:sz w:val="16"/>
                <w:szCs w:val="16"/>
              </w:rPr>
            </w:pPr>
            <w:r>
              <w:rPr>
                <w:sz w:val="16"/>
                <w:szCs w:val="16"/>
                <w:spacing w:val="-3"/>
              </w:rPr>
              <w:t>《中华人民共和醇计量法》</w:t>
            </w:r>
          </w:p>
          <w:p>
            <w:pPr>
              <w:pStyle w:val="TableText"/>
              <w:ind w:left="79"/>
              <w:spacing w:before="19" w:line="231" w:lineRule="auto"/>
              <w:rPr>
                <w:sz w:val="16"/>
                <w:szCs w:val="16"/>
              </w:rPr>
            </w:pPr>
            <w:r>
              <w:rPr>
                <w:sz w:val="16"/>
                <w:szCs w:val="16"/>
                <w:spacing w:val="-1"/>
              </w:rPr>
              <w:t>(平华人民共和医计量法实违增号1</w:t>
            </w:r>
          </w:p>
          <w:p>
            <w:pPr>
              <w:pStyle w:val="TableText"/>
              <w:spacing w:line="219" w:lineRule="auto"/>
              <w:rPr>
                <w:sz w:val="16"/>
                <w:szCs w:val="16"/>
              </w:rPr>
            </w:pPr>
            <w:r>
              <w:rPr>
                <w:sz w:val="16"/>
                <w:szCs w:val="16"/>
                <w:spacing w:val="-2"/>
              </w:rPr>
              <w:t>《国家积业资格目录(2021年浴)》</w:t>
            </w:r>
          </w:p>
        </w:tc>
      </w:tr>
      <w:tr>
        <w:trPr>
          <w:trHeight w:val="729" w:hRule="atLeast"/>
        </w:trPr>
        <w:tc>
          <w:tcPr>
            <w:tcW w:w="574" w:type="dxa"/>
            <w:vAlign w:val="top"/>
          </w:tcPr>
          <w:p>
            <w:pPr>
              <w:spacing w:line="282" w:lineRule="auto"/>
              <w:rPr>
                <w:rFonts w:ascii="Arial"/>
                <w:sz w:val="21"/>
              </w:rPr>
            </w:pPr>
            <w:r/>
          </w:p>
          <w:p>
            <w:pPr>
              <w:pStyle w:val="TableText"/>
              <w:ind w:left="194"/>
              <w:spacing w:before="52" w:line="183" w:lineRule="auto"/>
              <w:rPr>
                <w:sz w:val="16"/>
                <w:szCs w:val="16"/>
              </w:rPr>
            </w:pPr>
            <w:r>
              <w:rPr>
                <w:sz w:val="16"/>
                <w:szCs w:val="16"/>
                <w:spacing w:val="-3"/>
              </w:rPr>
              <w:t>56</w:t>
            </w:r>
          </w:p>
        </w:tc>
        <w:tc>
          <w:tcPr>
            <w:tcW w:w="1299" w:type="dxa"/>
            <w:vAlign w:val="top"/>
          </w:tcPr>
          <w:p>
            <w:pPr>
              <w:spacing w:line="241" w:lineRule="auto"/>
              <w:rPr>
                <w:rFonts w:ascii="Arial"/>
                <w:sz w:val="21"/>
              </w:rPr>
            </w:pPr>
            <w:r/>
          </w:p>
          <w:p>
            <w:pPr>
              <w:pStyle w:val="TableText"/>
              <w:ind w:left="160"/>
              <w:spacing w:before="52" w:line="219" w:lineRule="auto"/>
              <w:rPr>
                <w:sz w:val="16"/>
                <w:szCs w:val="16"/>
              </w:rPr>
            </w:pPr>
            <w:r>
              <w:rPr>
                <w:sz w:val="16"/>
                <w:szCs w:val="16"/>
                <w:spacing w:val="2"/>
              </w:rPr>
              <w:t>市岛监管总局</w:t>
            </w:r>
          </w:p>
        </w:tc>
        <w:tc>
          <w:tcPr>
            <w:tcW w:w="1638" w:type="dxa"/>
            <w:vAlign w:val="top"/>
          </w:tcPr>
          <w:p>
            <w:pPr>
              <w:pStyle w:val="TableText"/>
              <w:ind w:left="42" w:right="114" w:firstLine="40"/>
              <w:spacing w:before="105" w:line="234" w:lineRule="auto"/>
              <w:jc w:val="both"/>
              <w:rPr>
                <w:sz w:val="16"/>
                <w:szCs w:val="16"/>
              </w:rPr>
            </w:pPr>
            <w:r>
              <w:rPr>
                <w:sz w:val="16"/>
                <w:szCs w:val="16"/>
                <w:spacing w:val="-1"/>
              </w:rPr>
              <w:t>从事事制性产后认证</w:t>
            </w:r>
            <w:r>
              <w:rPr>
                <w:sz w:val="16"/>
                <w:szCs w:val="16"/>
              </w:rPr>
              <w:t xml:space="preserve"> </w:t>
            </w:r>
            <w:r>
              <w:rPr>
                <w:sz w:val="16"/>
                <w:szCs w:val="16"/>
                <w:spacing w:val="1"/>
              </w:rPr>
              <w:t>以及相关话动的认证</w:t>
            </w:r>
            <w:r>
              <w:rPr>
                <w:sz w:val="16"/>
                <w:szCs w:val="16"/>
                <w:spacing w:val="6"/>
              </w:rPr>
              <w:t xml:space="preserve"> </w:t>
            </w:r>
            <w:r>
              <w:rPr>
                <w:sz w:val="16"/>
                <w:szCs w:val="16"/>
                <w:spacing w:val="-1"/>
              </w:rPr>
              <w:t>机构，实重室指完</w:t>
            </w:r>
          </w:p>
        </w:tc>
        <w:tc>
          <w:tcPr>
            <w:tcW w:w="2377" w:type="dxa"/>
            <w:vAlign w:val="top"/>
          </w:tcPr>
          <w:p>
            <w:pPr>
              <w:spacing w:line="241" w:lineRule="auto"/>
              <w:rPr>
                <w:rFonts w:ascii="Arial"/>
                <w:sz w:val="21"/>
              </w:rPr>
            </w:pPr>
            <w:r/>
          </w:p>
          <w:p>
            <w:pPr>
              <w:pStyle w:val="TableText"/>
              <w:ind w:left="44"/>
              <w:spacing w:before="52" w:line="219" w:lineRule="auto"/>
              <w:rPr>
                <w:sz w:val="16"/>
                <w:szCs w:val="16"/>
              </w:rPr>
            </w:pPr>
            <w:r>
              <w:rPr>
                <w:sz w:val="16"/>
                <w:szCs w:val="16"/>
                <w:spacing w:val="2"/>
              </w:rPr>
              <w:t>市场监量益局</w:t>
            </w:r>
          </w:p>
        </w:tc>
        <w:tc>
          <w:tcPr>
            <w:tcW w:w="3711" w:type="dxa"/>
            <w:vAlign w:val="top"/>
          </w:tcPr>
          <w:p>
            <w:pPr>
              <w:spacing w:line="241" w:lineRule="auto"/>
              <w:rPr>
                <w:rFonts w:ascii="Arial"/>
                <w:sz w:val="21"/>
              </w:rPr>
            </w:pPr>
            <w:r/>
          </w:p>
          <w:p>
            <w:pPr>
              <w:pStyle w:val="TableText"/>
              <w:ind w:left="56"/>
              <w:spacing w:before="52" w:line="219" w:lineRule="auto"/>
              <w:rPr>
                <w:sz w:val="16"/>
                <w:szCs w:val="16"/>
              </w:rPr>
            </w:pPr>
            <w:r>
              <w:rPr>
                <w:sz w:val="16"/>
                <w:szCs w:val="16"/>
              </w:rPr>
              <w:t>(中华人民共和国认证认可条例3</w:t>
            </w:r>
          </w:p>
        </w:tc>
      </w:tr>
      <w:tr>
        <w:trPr>
          <w:trHeight w:val="364" w:hRule="atLeast"/>
        </w:trPr>
        <w:tc>
          <w:tcPr>
            <w:tcW w:w="574" w:type="dxa"/>
            <w:vAlign w:val="top"/>
          </w:tcPr>
          <w:p>
            <w:pPr>
              <w:pStyle w:val="TableText"/>
              <w:ind w:left="154"/>
              <w:spacing w:before="121" w:line="239" w:lineRule="auto"/>
              <w:rPr>
                <w:sz w:val="16"/>
                <w:szCs w:val="16"/>
              </w:rPr>
            </w:pPr>
            <w:r>
              <w:rPr>
                <w:sz w:val="16"/>
                <w:szCs w:val="16"/>
                <w:spacing w:val="-2"/>
              </w:rPr>
              <w:t>85?</w:t>
            </w:r>
          </w:p>
        </w:tc>
        <w:tc>
          <w:tcPr>
            <w:tcW w:w="1299" w:type="dxa"/>
            <w:vAlign w:val="top"/>
          </w:tcPr>
          <w:p>
            <w:pPr>
              <w:pStyle w:val="TableText"/>
              <w:ind w:left="160"/>
              <w:spacing w:before="105" w:line="219" w:lineRule="auto"/>
              <w:rPr>
                <w:sz w:val="16"/>
                <w:szCs w:val="16"/>
              </w:rPr>
            </w:pPr>
            <w:r>
              <w:rPr>
                <w:sz w:val="16"/>
                <w:szCs w:val="16"/>
                <w:spacing w:val="2"/>
              </w:rPr>
              <w:t>市场监管总局</w:t>
            </w:r>
          </w:p>
        </w:tc>
        <w:tc>
          <w:tcPr>
            <w:tcW w:w="1638" w:type="dxa"/>
            <w:vAlign w:val="top"/>
          </w:tcPr>
          <w:p>
            <w:pPr>
              <w:pStyle w:val="TableText"/>
              <w:ind w:left="42"/>
              <w:spacing w:before="104" w:line="219" w:lineRule="auto"/>
              <w:rPr>
                <w:sz w:val="16"/>
                <w:szCs w:val="16"/>
              </w:rPr>
            </w:pPr>
            <w:r>
              <w:rPr>
                <w:sz w:val="16"/>
                <w:szCs w:val="16"/>
                <w:spacing w:val="-1"/>
              </w:rPr>
              <w:t>认证机构瓷质许可</w:t>
            </w:r>
          </w:p>
        </w:tc>
        <w:tc>
          <w:tcPr>
            <w:tcW w:w="2377" w:type="dxa"/>
            <w:vAlign w:val="top"/>
          </w:tcPr>
          <w:p>
            <w:pPr>
              <w:pStyle w:val="TableText"/>
              <w:ind w:left="44"/>
              <w:spacing w:before="105" w:line="219" w:lineRule="auto"/>
              <w:rPr>
                <w:sz w:val="16"/>
                <w:szCs w:val="16"/>
              </w:rPr>
            </w:pPr>
            <w:r>
              <w:rPr>
                <w:sz w:val="16"/>
                <w:szCs w:val="16"/>
                <w:spacing w:val="-2"/>
              </w:rPr>
              <w:t>市场监置总具</w:t>
            </w:r>
          </w:p>
        </w:tc>
        <w:tc>
          <w:tcPr>
            <w:tcW w:w="3711" w:type="dxa"/>
            <w:vAlign w:val="top"/>
          </w:tcPr>
          <w:p>
            <w:pPr>
              <w:pStyle w:val="TableText"/>
              <w:ind w:left="56"/>
              <w:spacing w:before="106" w:line="220" w:lineRule="auto"/>
              <w:rPr>
                <w:sz w:val="16"/>
                <w:szCs w:val="16"/>
              </w:rPr>
            </w:pPr>
            <w:r>
              <w:rPr>
                <w:sz w:val="16"/>
                <w:szCs w:val="16"/>
                <w:spacing w:val="-1"/>
              </w:rPr>
              <w:t>不中安人臣其和国认试认可非创》</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881472" behindDoc="0" locked="0" layoutInCell="0" allowOverlap="1">
                <wp:simplePos x="0" y="0"/>
                <wp:positionH relativeFrom="page">
                  <wp:posOffset>471019</wp:posOffset>
                </wp:positionH>
                <wp:positionV relativeFrom="page">
                  <wp:posOffset>4369945</wp:posOffset>
                </wp:positionV>
                <wp:extent cx="172720" cy="158114"/>
                <wp:effectExtent l="0" t="0" r="0" b="0"/>
                <wp:wrapNone/>
                <wp:docPr id="280" name="TextBox 280"/>
                <wp:cNvGraphicFramePr/>
                <a:graphic>
                  <a:graphicData uri="http://schemas.microsoft.com/office/word/2010/wordprocessingShape">
                    <wps:wsp>
                      <wps:cNvSpPr txBox="1"/>
                      <wps:spPr>
                        <a:xfrm rot="5400000">
                          <a:off x="471019" y="4369945"/>
                          <a:ext cx="17272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221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2" style="position:absolute;margin-left:37.0882pt;margin-top:344.09pt;mso-position-vertical-relative:page;mso-position-horizontal-relative:page;width:13.6pt;height:12.45pt;z-index:251881472;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221</w:t>
                      </w:r>
                    </w:p>
                  </w:txbxContent>
                </v:textbox>
              </v:shape>
            </w:pict>
          </mc:Fallback>
        </mc:AlternateContent>
      </w:r>
      <w:r/>
    </w:p>
    <w:tbl>
      <w:tblPr>
        <w:tblStyle w:val="TableNormal"/>
        <w:tblW w:w="9589" w:type="dxa"/>
        <w:tblInd w:w="32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28"/>
        <w:gridCol w:w="2377"/>
        <w:gridCol w:w="3701"/>
      </w:tblGrid>
      <w:tr>
        <w:trPr>
          <w:trHeight w:val="414" w:hRule="atLeast"/>
        </w:trPr>
        <w:tc>
          <w:tcPr>
            <w:tcW w:w="594" w:type="dxa"/>
            <w:vAlign w:val="top"/>
          </w:tcPr>
          <w:p>
            <w:pPr>
              <w:pStyle w:val="TableText"/>
              <w:ind w:left="124"/>
              <w:spacing w:before="131" w:line="219" w:lineRule="auto"/>
              <w:rPr>
                <w:sz w:val="16"/>
                <w:szCs w:val="16"/>
              </w:rPr>
            </w:pPr>
            <w:r>
              <w:rPr>
                <w:sz w:val="16"/>
                <w:szCs w:val="16"/>
                <w:spacing w:val="-2"/>
              </w:rPr>
              <w:t>牌号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28" w:type="dxa"/>
            <w:vAlign w:val="top"/>
          </w:tcPr>
          <w:p>
            <w:pPr>
              <w:pStyle w:val="TableText"/>
              <w:ind w:left="451"/>
              <w:spacing w:before="132" w:line="220" w:lineRule="auto"/>
              <w:rPr>
                <w:sz w:val="16"/>
                <w:szCs w:val="16"/>
              </w:rPr>
            </w:pPr>
            <w:r>
              <w:rPr>
                <w:sz w:val="16"/>
                <w:szCs w:val="16"/>
                <w:spacing w:val="-2"/>
              </w:rPr>
              <w:t>事项名非</w:t>
            </w:r>
          </w:p>
        </w:tc>
        <w:tc>
          <w:tcPr>
            <w:tcW w:w="2377" w:type="dxa"/>
            <w:vAlign w:val="top"/>
          </w:tcPr>
          <w:p>
            <w:pPr>
              <w:pStyle w:val="TableText"/>
              <w:ind w:left="864"/>
              <w:spacing w:before="130" w:line="219" w:lineRule="auto"/>
              <w:rPr>
                <w:sz w:val="16"/>
                <w:szCs w:val="16"/>
              </w:rPr>
            </w:pPr>
            <w:r>
              <w:rPr>
                <w:sz w:val="16"/>
                <w:szCs w:val="16"/>
                <w:spacing w:val="-2"/>
              </w:rPr>
              <w:t>其脂机关</w:t>
            </w:r>
          </w:p>
        </w:tc>
        <w:tc>
          <w:tcPr>
            <w:tcW w:w="3701" w:type="dxa"/>
            <w:vAlign w:val="top"/>
          </w:tcPr>
          <w:p>
            <w:pPr>
              <w:pStyle w:val="TableText"/>
              <w:ind w:left="1306"/>
              <w:spacing w:before="130" w:line="219" w:lineRule="auto"/>
              <w:rPr>
                <w:sz w:val="16"/>
                <w:szCs w:val="16"/>
              </w:rPr>
            </w:pPr>
            <w:r>
              <w:rPr>
                <w:sz w:val="16"/>
                <w:szCs w:val="16"/>
                <w:spacing w:val="-2"/>
              </w:rPr>
              <w:t>没定和实尊依据</w:t>
            </w:r>
          </w:p>
        </w:tc>
      </w:tr>
      <w:tr>
        <w:trPr>
          <w:trHeight w:val="1498" w:hRule="atLeast"/>
        </w:trPr>
        <w:tc>
          <w:tcPr>
            <w:tcW w:w="594" w:type="dxa"/>
            <w:vAlign w:val="top"/>
          </w:tcPr>
          <w:p>
            <w:pPr>
              <w:spacing w:line="326" w:lineRule="auto"/>
              <w:rPr>
                <w:rFonts w:ascii="Arial"/>
                <w:sz w:val="21"/>
              </w:rPr>
            </w:pPr>
            <w:r/>
          </w:p>
          <w:p>
            <w:pPr>
              <w:spacing w:line="326" w:lineRule="auto"/>
              <w:rPr>
                <w:rFonts w:ascii="Arial"/>
                <w:sz w:val="21"/>
              </w:rPr>
            </w:pPr>
            <w:r/>
          </w:p>
          <w:p>
            <w:pPr>
              <w:pStyle w:val="TableText"/>
              <w:ind w:left="164"/>
              <w:spacing w:before="52" w:line="183" w:lineRule="auto"/>
              <w:rPr>
                <w:sz w:val="16"/>
                <w:szCs w:val="16"/>
              </w:rPr>
            </w:pPr>
            <w:r>
              <w:rPr>
                <w:sz w:val="16"/>
                <w:szCs w:val="16"/>
                <w:spacing w:val="-3"/>
              </w:rPr>
              <w:t>558</w:t>
            </w:r>
          </w:p>
        </w:tc>
        <w:tc>
          <w:tcPr>
            <w:tcW w:w="1289" w:type="dxa"/>
            <w:vAlign w:val="top"/>
          </w:tcPr>
          <w:p>
            <w:pPr>
              <w:spacing w:line="305" w:lineRule="auto"/>
              <w:rPr>
                <w:rFonts w:ascii="Arial"/>
                <w:sz w:val="21"/>
              </w:rPr>
            </w:pPr>
            <w:r/>
          </w:p>
          <w:p>
            <w:pPr>
              <w:spacing w:line="306" w:lineRule="auto"/>
              <w:rPr>
                <w:rFonts w:ascii="Arial"/>
                <w:sz w:val="21"/>
              </w:rPr>
            </w:pPr>
            <w:r/>
          </w:p>
          <w:p>
            <w:pPr>
              <w:pStyle w:val="TableText"/>
              <w:ind w:left="150"/>
              <w:spacing w:before="52" w:line="219" w:lineRule="auto"/>
              <w:rPr>
                <w:sz w:val="16"/>
                <w:szCs w:val="16"/>
              </w:rPr>
            </w:pPr>
            <w:r>
              <w:rPr>
                <w:sz w:val="16"/>
                <w:szCs w:val="16"/>
                <w:spacing w:val="2"/>
              </w:rPr>
              <w:t>市场监管总局</w:t>
            </w:r>
          </w:p>
        </w:tc>
        <w:tc>
          <w:tcPr>
            <w:tcW w:w="1628" w:type="dxa"/>
            <w:vAlign w:val="top"/>
          </w:tcPr>
          <w:p>
            <w:pPr>
              <w:spacing w:line="261" w:lineRule="auto"/>
              <w:rPr>
                <w:rFonts w:ascii="Arial"/>
                <w:sz w:val="21"/>
              </w:rPr>
            </w:pPr>
            <w:r/>
          </w:p>
          <w:p>
            <w:pPr>
              <w:spacing w:line="261" w:lineRule="auto"/>
              <w:rPr>
                <w:rFonts w:ascii="Arial"/>
                <w:sz w:val="21"/>
              </w:rPr>
            </w:pPr>
            <w:r/>
          </w:p>
          <w:p>
            <w:pPr>
              <w:pStyle w:val="TableText"/>
              <w:ind w:left="52" w:right="152" w:hanging="20"/>
              <w:spacing w:before="52" w:line="220" w:lineRule="auto"/>
              <w:rPr>
                <w:sz w:val="16"/>
                <w:szCs w:val="16"/>
              </w:rPr>
            </w:pPr>
            <w:r>
              <w:rPr>
                <w:sz w:val="16"/>
                <w:szCs w:val="16"/>
                <w:spacing w:val="-1"/>
              </w:rPr>
              <w:t>检险检副机构资题认</w:t>
            </w:r>
            <w:r>
              <w:rPr>
                <w:sz w:val="16"/>
                <w:szCs w:val="16"/>
                <w:spacing w:val="1"/>
              </w:rPr>
              <w:t xml:space="preserve"> </w:t>
            </w:r>
            <w:r>
              <w:rPr>
                <w:sz w:val="16"/>
                <w:szCs w:val="16"/>
              </w:rPr>
              <w:t>定</w:t>
            </w:r>
          </w:p>
        </w:tc>
        <w:tc>
          <w:tcPr>
            <w:tcW w:w="2377" w:type="dxa"/>
            <w:vAlign w:val="top"/>
          </w:tcPr>
          <w:p>
            <w:pPr>
              <w:spacing w:line="255" w:lineRule="auto"/>
              <w:rPr>
                <w:rFonts w:ascii="Arial"/>
                <w:sz w:val="21"/>
              </w:rPr>
            </w:pPr>
            <w:r/>
          </w:p>
          <w:p>
            <w:pPr>
              <w:spacing w:line="256" w:lineRule="auto"/>
              <w:rPr>
                <w:rFonts w:ascii="Arial"/>
                <w:sz w:val="21"/>
              </w:rPr>
            </w:pPr>
            <w:r/>
          </w:p>
          <w:p>
            <w:pPr>
              <w:pStyle w:val="TableText"/>
              <w:ind w:left="54" w:right="93" w:hanging="10"/>
              <w:spacing w:before="52" w:line="237" w:lineRule="auto"/>
              <w:rPr>
                <w:sz w:val="22"/>
                <w:szCs w:val="22"/>
              </w:rPr>
            </w:pPr>
            <w:r>
              <w:rPr>
                <w:sz w:val="16"/>
                <w:szCs w:val="16"/>
                <w:spacing w:val="-1"/>
              </w:rPr>
              <w:t>市场监管总局，置级市基适管部</w:t>
            </w:r>
            <w:r>
              <w:rPr>
                <w:sz w:val="16"/>
                <w:szCs w:val="16"/>
                <w:spacing w:val="2"/>
              </w:rPr>
              <w:t xml:space="preserve"> </w:t>
            </w:r>
            <w:r>
              <w:rPr>
                <w:sz w:val="22"/>
                <w:szCs w:val="22"/>
              </w:rPr>
              <w:t>n</w:t>
            </w:r>
          </w:p>
        </w:tc>
        <w:tc>
          <w:tcPr>
            <w:tcW w:w="3701" w:type="dxa"/>
            <w:vAlign w:val="top"/>
          </w:tcPr>
          <w:p>
            <w:pPr>
              <w:pStyle w:val="TableText"/>
              <w:ind w:left="36"/>
              <w:spacing w:before="57" w:line="219" w:lineRule="auto"/>
              <w:rPr>
                <w:sz w:val="16"/>
                <w:szCs w:val="16"/>
              </w:rPr>
            </w:pPr>
            <w:r>
              <w:rPr>
                <w:sz w:val="16"/>
                <w:szCs w:val="16"/>
                <w:spacing w:val="2"/>
              </w:rPr>
              <w:t>1中华人民共和国计量法!</w:t>
            </w:r>
          </w:p>
          <w:p>
            <w:pPr>
              <w:pStyle w:val="TableText"/>
              <w:ind w:left="127"/>
              <w:spacing w:before="30" w:line="219" w:lineRule="auto"/>
              <w:rPr>
                <w:sz w:val="16"/>
                <w:szCs w:val="16"/>
              </w:rPr>
            </w:pPr>
            <w:r>
              <w:rPr>
                <w:sz w:val="16"/>
                <w:szCs w:val="16"/>
                <w:spacing w:val="-1"/>
              </w:rPr>
              <w:t>中伍人民我和国产品质量法》</w:t>
            </w:r>
          </w:p>
          <w:p>
            <w:pPr>
              <w:pStyle w:val="TableText"/>
              <w:ind w:left="36"/>
              <w:spacing w:before="19" w:line="231" w:lineRule="auto"/>
              <w:rPr>
                <w:sz w:val="16"/>
                <w:szCs w:val="16"/>
              </w:rPr>
            </w:pPr>
            <w:r>
              <w:rPr>
                <w:sz w:val="16"/>
                <w:szCs w:val="16"/>
                <w:spacing w:val="1"/>
              </w:rPr>
              <w:t>(中华人民共和国计量法实地组则1</w:t>
            </w:r>
          </w:p>
          <w:p>
            <w:pPr>
              <w:pStyle w:val="TableText"/>
              <w:ind w:left="36"/>
              <w:spacing w:line="219" w:lineRule="auto"/>
              <w:rPr>
                <w:sz w:val="16"/>
                <w:szCs w:val="16"/>
              </w:rPr>
            </w:pPr>
            <w:r>
              <w:rPr>
                <w:sz w:val="16"/>
                <w:szCs w:val="16"/>
              </w:rPr>
              <w:t>1P华人民其和国认证认可条</w:t>
            </w:r>
          </w:p>
          <w:p>
            <w:pPr>
              <w:pStyle w:val="TableText"/>
              <w:ind w:left="36"/>
              <w:spacing w:before="20" w:line="196" w:lineRule="auto"/>
              <w:rPr>
                <w:sz w:val="16"/>
                <w:szCs w:val="16"/>
              </w:rPr>
            </w:pPr>
            <w:r>
              <w:rPr>
                <w:sz w:val="16"/>
                <w:szCs w:val="16"/>
                <w:spacing w:val="-1"/>
              </w:rPr>
              <w:t>4中作人民共和国食品安全法</w:t>
            </w:r>
          </w:p>
          <w:p>
            <w:pPr>
              <w:pStyle w:val="TableText"/>
              <w:ind w:left="36"/>
              <w:spacing w:line="219" w:lineRule="auto"/>
              <w:rPr>
                <w:sz w:val="16"/>
                <w:szCs w:val="16"/>
              </w:rPr>
            </w:pPr>
            <w:r>
              <w:rPr>
                <w:sz w:val="16"/>
                <w:szCs w:val="16"/>
                <w:spacing w:val="1"/>
              </w:rPr>
              <w:t>些疗器成监量情理条例</w:t>
            </w:r>
          </w:p>
          <w:p>
            <w:pPr>
              <w:pStyle w:val="TableText"/>
              <w:spacing w:before="39" w:line="219" w:lineRule="auto"/>
              <w:rPr>
                <w:sz w:val="16"/>
                <w:szCs w:val="16"/>
              </w:rPr>
            </w:pPr>
            <w:r>
              <w:rPr>
                <w:sz w:val="16"/>
                <w:szCs w:val="16"/>
                <w:spacing w:val="-3"/>
              </w:rPr>
              <w:t>《模登检测机构资重认定登理办法1</w:t>
            </w:r>
          </w:p>
        </w:tc>
      </w:tr>
      <w:tr>
        <w:trPr>
          <w:trHeight w:val="888" w:hRule="atLeast"/>
        </w:trPr>
        <w:tc>
          <w:tcPr>
            <w:tcW w:w="594" w:type="dxa"/>
            <w:vAlign w:val="top"/>
          </w:tcPr>
          <w:p>
            <w:pPr>
              <w:spacing w:line="356" w:lineRule="auto"/>
              <w:rPr>
                <w:rFonts w:ascii="Arial"/>
                <w:sz w:val="21"/>
              </w:rPr>
            </w:pPr>
            <w:r/>
          </w:p>
          <w:p>
            <w:pPr>
              <w:pStyle w:val="TableText"/>
              <w:ind w:left="164"/>
              <w:spacing w:before="52" w:line="183" w:lineRule="auto"/>
              <w:rPr>
                <w:sz w:val="16"/>
                <w:szCs w:val="16"/>
              </w:rPr>
            </w:pPr>
            <w:r>
              <w:rPr>
                <w:sz w:val="16"/>
                <w:szCs w:val="16"/>
                <w:spacing w:val="-3"/>
              </w:rPr>
              <w:t>559</w:t>
            </w:r>
          </w:p>
        </w:tc>
        <w:tc>
          <w:tcPr>
            <w:tcW w:w="1289" w:type="dxa"/>
            <w:vAlign w:val="top"/>
          </w:tcPr>
          <w:p>
            <w:pPr>
              <w:spacing w:line="315" w:lineRule="auto"/>
              <w:rPr>
                <w:rFonts w:ascii="Arial"/>
                <w:sz w:val="21"/>
              </w:rPr>
            </w:pPr>
            <w:r/>
          </w:p>
          <w:p>
            <w:pPr>
              <w:pStyle w:val="TableText"/>
              <w:ind w:left="150"/>
              <w:spacing w:before="52" w:line="219" w:lineRule="auto"/>
              <w:rPr>
                <w:sz w:val="16"/>
                <w:szCs w:val="16"/>
              </w:rPr>
            </w:pPr>
            <w:r>
              <w:rPr>
                <w:sz w:val="16"/>
                <w:szCs w:val="16"/>
                <w:spacing w:val="-2"/>
              </w:rPr>
              <w:t>市杨监管点题</w:t>
            </w:r>
          </w:p>
        </w:tc>
        <w:tc>
          <w:tcPr>
            <w:tcW w:w="1628" w:type="dxa"/>
            <w:vAlign w:val="top"/>
          </w:tcPr>
          <w:p>
            <w:pPr>
              <w:spacing w:line="314" w:lineRule="auto"/>
              <w:rPr>
                <w:rFonts w:ascii="Arial"/>
                <w:sz w:val="21"/>
              </w:rPr>
            </w:pPr>
            <w:r/>
          </w:p>
          <w:p>
            <w:pPr>
              <w:pStyle w:val="TableText"/>
              <w:ind w:left="52"/>
              <w:spacing w:before="52" w:line="218" w:lineRule="auto"/>
              <w:rPr>
                <w:sz w:val="16"/>
                <w:szCs w:val="16"/>
              </w:rPr>
            </w:pPr>
            <w:r>
              <w:rPr>
                <w:sz w:val="16"/>
                <w:szCs w:val="16"/>
                <w:spacing w:val="-2"/>
              </w:rPr>
              <w:t>药高广告业查</w:t>
            </w:r>
          </w:p>
        </w:tc>
        <w:tc>
          <w:tcPr>
            <w:tcW w:w="2377" w:type="dxa"/>
            <w:vAlign w:val="top"/>
          </w:tcPr>
          <w:p>
            <w:pPr>
              <w:pStyle w:val="TableText"/>
              <w:ind w:left="54" w:right="241"/>
              <w:spacing w:before="259" w:line="225" w:lineRule="auto"/>
              <w:rPr>
                <w:sz w:val="16"/>
                <w:szCs w:val="16"/>
              </w:rPr>
            </w:pPr>
            <w:r>
              <w:rPr>
                <w:sz w:val="16"/>
                <w:szCs w:val="16"/>
                <w:spacing w:val="-1"/>
              </w:rPr>
              <w:t>省级市场位督部门求者符品盛</w:t>
            </w:r>
            <w:r>
              <w:rPr>
                <w:sz w:val="16"/>
                <w:szCs w:val="16"/>
                <w:spacing w:val="3"/>
              </w:rPr>
              <w:t xml:space="preserve"> </w:t>
            </w:r>
            <w:r>
              <w:rPr>
                <w:sz w:val="16"/>
                <w:szCs w:val="16"/>
                <w:spacing w:val="6"/>
              </w:rPr>
              <w:t>管器门</w:t>
            </w:r>
          </w:p>
        </w:tc>
        <w:tc>
          <w:tcPr>
            <w:tcW w:w="3701" w:type="dxa"/>
            <w:vAlign w:val="top"/>
          </w:tcPr>
          <w:p>
            <w:pPr>
              <w:pStyle w:val="TableText"/>
              <w:ind w:left="36"/>
              <w:spacing w:before="78" w:line="218" w:lineRule="auto"/>
              <w:rPr>
                <w:sz w:val="16"/>
                <w:szCs w:val="16"/>
              </w:rPr>
            </w:pPr>
            <w:r>
              <w:rPr>
                <w:sz w:val="16"/>
                <w:szCs w:val="16"/>
                <w:spacing w:val="32"/>
              </w:rPr>
              <w:t>W人民共和国广告法?</w:t>
            </w:r>
          </w:p>
          <w:p>
            <w:pPr>
              <w:pStyle w:val="TableText"/>
              <w:spacing w:before="22" w:line="196" w:lineRule="auto"/>
              <w:rPr>
                <w:sz w:val="16"/>
                <w:szCs w:val="16"/>
              </w:rPr>
            </w:pPr>
            <w:r>
              <w:rPr>
                <w:sz w:val="16"/>
                <w:szCs w:val="16"/>
                <w:spacing w:val="-4"/>
              </w:rPr>
              <w:t>《中华人民共和国码县管理进》</w:t>
            </w:r>
          </w:p>
          <w:p>
            <w:pPr>
              <w:pStyle w:val="TableText"/>
              <w:ind w:left="59" w:right="4" w:hanging="59"/>
              <w:spacing w:line="235" w:lineRule="auto"/>
              <w:rPr>
                <w:sz w:val="16"/>
                <w:szCs w:val="16"/>
              </w:rPr>
            </w:pPr>
            <w:r>
              <w:rPr>
                <w:sz w:val="16"/>
                <w:szCs w:val="16"/>
                <w:spacing w:val="-7"/>
              </w:rPr>
              <w:t>《药盐，医疗器械，保健食品，特殊医学用途配方食品</w:t>
            </w:r>
            <w:r>
              <w:rPr>
                <w:sz w:val="16"/>
                <w:szCs w:val="16"/>
                <w:spacing w:val="13"/>
              </w:rPr>
              <w:t xml:space="preserve"> </w:t>
            </w:r>
            <w:r>
              <w:rPr>
                <w:sz w:val="16"/>
                <w:szCs w:val="16"/>
                <w:spacing w:val="-2"/>
              </w:rPr>
              <w:t>广告家春管理暂行办法</w:t>
            </w:r>
          </w:p>
        </w:tc>
      </w:tr>
      <w:tr>
        <w:trPr>
          <w:trHeight w:val="889" w:hRule="atLeast"/>
        </w:trPr>
        <w:tc>
          <w:tcPr>
            <w:tcW w:w="594" w:type="dxa"/>
            <w:vAlign w:val="top"/>
          </w:tcPr>
          <w:p>
            <w:pPr>
              <w:spacing w:line="358" w:lineRule="auto"/>
              <w:rPr>
                <w:rFonts w:ascii="Arial"/>
                <w:sz w:val="21"/>
              </w:rPr>
            </w:pPr>
            <w:r/>
          </w:p>
          <w:p>
            <w:pPr>
              <w:pStyle w:val="TableText"/>
              <w:ind w:left="164"/>
              <w:spacing w:before="52" w:line="183" w:lineRule="auto"/>
              <w:rPr>
                <w:sz w:val="16"/>
                <w:szCs w:val="16"/>
              </w:rPr>
            </w:pPr>
            <w:r>
              <w:rPr>
                <w:sz w:val="16"/>
                <w:szCs w:val="16"/>
                <w:spacing w:val="-3"/>
              </w:rPr>
              <w:t>560</w:t>
            </w:r>
          </w:p>
        </w:tc>
        <w:tc>
          <w:tcPr>
            <w:tcW w:w="1289" w:type="dxa"/>
            <w:vAlign w:val="top"/>
          </w:tcPr>
          <w:p>
            <w:pPr>
              <w:spacing w:line="317" w:lineRule="auto"/>
              <w:rPr>
                <w:rFonts w:ascii="Arial"/>
                <w:sz w:val="21"/>
              </w:rPr>
            </w:pPr>
            <w:r/>
          </w:p>
          <w:p>
            <w:pPr>
              <w:pStyle w:val="TableText"/>
              <w:ind w:left="150"/>
              <w:spacing w:before="52" w:line="219" w:lineRule="auto"/>
              <w:rPr>
                <w:sz w:val="16"/>
                <w:szCs w:val="16"/>
              </w:rPr>
            </w:pPr>
            <w:r>
              <w:rPr>
                <w:sz w:val="16"/>
                <w:szCs w:val="16"/>
                <w:spacing w:val="2"/>
              </w:rPr>
              <w:t>市场写管范局</w:t>
            </w:r>
          </w:p>
        </w:tc>
        <w:tc>
          <w:tcPr>
            <w:tcW w:w="1628" w:type="dxa"/>
            <w:vAlign w:val="top"/>
          </w:tcPr>
          <w:p>
            <w:pPr>
              <w:spacing w:line="316" w:lineRule="auto"/>
              <w:rPr>
                <w:rFonts w:ascii="Arial"/>
                <w:sz w:val="21"/>
              </w:rPr>
            </w:pPr>
            <w:r/>
          </w:p>
          <w:p>
            <w:pPr>
              <w:pStyle w:val="TableText"/>
              <w:ind w:left="52"/>
              <w:spacing w:before="52" w:line="218" w:lineRule="auto"/>
              <w:rPr>
                <w:sz w:val="16"/>
                <w:szCs w:val="16"/>
              </w:rPr>
            </w:pPr>
            <w:r>
              <w:rPr>
                <w:sz w:val="16"/>
                <w:szCs w:val="16"/>
                <w:spacing w:val="1"/>
              </w:rPr>
              <w:t>医疗器核广告康查</w:t>
            </w:r>
          </w:p>
        </w:tc>
        <w:tc>
          <w:tcPr>
            <w:tcW w:w="2377" w:type="dxa"/>
            <w:vAlign w:val="top"/>
          </w:tcPr>
          <w:p>
            <w:pPr>
              <w:pStyle w:val="TableText"/>
              <w:ind w:left="54" w:right="211" w:firstLine="29"/>
              <w:spacing w:before="280" w:line="214" w:lineRule="auto"/>
              <w:rPr>
                <w:sz w:val="16"/>
                <w:szCs w:val="16"/>
              </w:rPr>
            </w:pPr>
            <w:r>
              <w:rPr>
                <w:sz w:val="16"/>
                <w:szCs w:val="16"/>
                <w:spacing w:val="-1"/>
              </w:rPr>
              <w:t>省规市场监督部门或者药品县</w:t>
            </w:r>
            <w:r>
              <w:rPr>
                <w:sz w:val="16"/>
                <w:szCs w:val="16"/>
                <w:spacing w:val="3"/>
              </w:rPr>
              <w:t xml:space="preserve"> </w:t>
            </w:r>
            <w:r>
              <w:rPr>
                <w:sz w:val="16"/>
                <w:szCs w:val="16"/>
                <w:spacing w:val="6"/>
              </w:rPr>
              <w:t>管部门</w:t>
            </w:r>
          </w:p>
        </w:tc>
        <w:tc>
          <w:tcPr>
            <w:tcW w:w="3701" w:type="dxa"/>
            <w:vAlign w:val="top"/>
          </w:tcPr>
          <w:p>
            <w:pPr>
              <w:pStyle w:val="TableText"/>
              <w:spacing w:before="60" w:line="231" w:lineRule="auto"/>
              <w:rPr>
                <w:sz w:val="16"/>
                <w:szCs w:val="16"/>
              </w:rPr>
            </w:pPr>
            <w:r>
              <w:rPr>
                <w:sz w:val="16"/>
                <w:szCs w:val="16"/>
                <w:spacing w:val="-5"/>
              </w:rPr>
              <w:t>《中华人民共和国广青法》</w:t>
            </w:r>
          </w:p>
          <w:p>
            <w:pPr>
              <w:pStyle w:val="TableText"/>
              <w:spacing w:line="218" w:lineRule="auto"/>
              <w:rPr>
                <w:sz w:val="16"/>
                <w:szCs w:val="16"/>
              </w:rPr>
            </w:pPr>
            <w:r>
              <w:rPr>
                <w:sz w:val="16"/>
                <w:szCs w:val="16"/>
                <w:spacing w:val="-5"/>
              </w:rPr>
              <w:t>《虑疗器被监督管理羊例》</w:t>
            </w:r>
          </w:p>
          <w:p>
            <w:pPr>
              <w:pStyle w:val="TableText"/>
              <w:ind w:left="36"/>
              <w:spacing w:before="10" w:line="224" w:lineRule="auto"/>
              <w:rPr>
                <w:sz w:val="16"/>
                <w:szCs w:val="16"/>
              </w:rPr>
            </w:pPr>
            <w:r>
              <w:rPr>
                <w:sz w:val="16"/>
                <w:szCs w:val="16"/>
                <w:spacing w:val="-1"/>
              </w:rPr>
              <w:t>药品，医行器械，保健食品，将殊医学用途</w:t>
            </w:r>
            <w:r>
              <w:rPr>
                <w:sz w:val="16"/>
                <w:szCs w:val="16"/>
                <w:spacing w:val="-2"/>
              </w:rPr>
              <w:t>配方食品</w:t>
            </w:r>
            <w:r>
              <w:rPr>
                <w:sz w:val="16"/>
                <w:szCs w:val="16"/>
              </w:rPr>
              <w:t xml:space="preserve"> </w:t>
            </w:r>
            <w:r>
              <w:rPr>
                <w:sz w:val="16"/>
                <w:szCs w:val="16"/>
                <w:spacing w:val="-2"/>
              </w:rPr>
              <w:t>广告审查管塑暂行办法</w:t>
            </w:r>
          </w:p>
        </w:tc>
      </w:tr>
      <w:tr>
        <w:trPr>
          <w:trHeight w:val="889" w:hRule="atLeast"/>
        </w:trPr>
        <w:tc>
          <w:tcPr>
            <w:tcW w:w="594" w:type="dxa"/>
            <w:vAlign w:val="top"/>
          </w:tcPr>
          <w:p>
            <w:pPr>
              <w:spacing w:line="358" w:lineRule="auto"/>
              <w:rPr>
                <w:rFonts w:ascii="Arial"/>
                <w:sz w:val="21"/>
              </w:rPr>
            </w:pPr>
            <w:r/>
          </w:p>
          <w:p>
            <w:pPr>
              <w:pStyle w:val="TableText"/>
              <w:ind w:left="164"/>
              <w:spacing w:before="52" w:line="184" w:lineRule="auto"/>
              <w:rPr>
                <w:sz w:val="16"/>
                <w:szCs w:val="16"/>
              </w:rPr>
            </w:pPr>
            <w:r>
              <w:rPr>
                <w:sz w:val="16"/>
                <w:szCs w:val="16"/>
                <w:spacing w:val="-3"/>
              </w:rPr>
              <w:t>561</w:t>
            </w:r>
          </w:p>
        </w:tc>
        <w:tc>
          <w:tcPr>
            <w:tcW w:w="1289" w:type="dxa"/>
            <w:vAlign w:val="top"/>
          </w:tcPr>
          <w:p>
            <w:pPr>
              <w:spacing w:line="318" w:lineRule="auto"/>
              <w:rPr>
                <w:rFonts w:ascii="Arial"/>
                <w:sz w:val="21"/>
              </w:rPr>
            </w:pPr>
            <w:r/>
          </w:p>
          <w:p>
            <w:pPr>
              <w:pStyle w:val="TableText"/>
              <w:ind w:left="150"/>
              <w:spacing w:before="52" w:line="219" w:lineRule="auto"/>
              <w:rPr>
                <w:sz w:val="16"/>
                <w:szCs w:val="16"/>
              </w:rPr>
            </w:pPr>
            <w:r>
              <w:rPr>
                <w:sz w:val="16"/>
                <w:szCs w:val="16"/>
                <w:spacing w:val="-2"/>
              </w:rPr>
              <w:t>市场萄管总是</w:t>
            </w:r>
          </w:p>
        </w:tc>
        <w:tc>
          <w:tcPr>
            <w:tcW w:w="1628" w:type="dxa"/>
            <w:vAlign w:val="top"/>
          </w:tcPr>
          <w:p>
            <w:pPr>
              <w:spacing w:line="317" w:lineRule="auto"/>
              <w:rPr>
                <w:rFonts w:ascii="Arial"/>
                <w:sz w:val="21"/>
              </w:rPr>
            </w:pPr>
            <w:r/>
          </w:p>
          <w:p>
            <w:pPr>
              <w:pStyle w:val="TableText"/>
              <w:ind w:left="52"/>
              <w:spacing w:before="52" w:line="218" w:lineRule="auto"/>
              <w:rPr>
                <w:sz w:val="16"/>
                <w:szCs w:val="16"/>
              </w:rPr>
            </w:pPr>
            <w:r>
              <w:rPr>
                <w:sz w:val="16"/>
                <w:szCs w:val="16"/>
                <w:spacing w:val="-1"/>
              </w:rPr>
              <w:t>似健分品广告审养</w:t>
            </w:r>
          </w:p>
        </w:tc>
        <w:tc>
          <w:tcPr>
            <w:tcW w:w="2377" w:type="dxa"/>
            <w:vAlign w:val="top"/>
          </w:tcPr>
          <w:p>
            <w:pPr>
              <w:spacing w:line="318" w:lineRule="auto"/>
              <w:rPr>
                <w:rFonts w:ascii="Arial"/>
                <w:sz w:val="21"/>
              </w:rPr>
            </w:pPr>
            <w:r/>
          </w:p>
          <w:p>
            <w:pPr>
              <w:pStyle w:val="TableText"/>
              <w:ind w:left="54"/>
              <w:spacing w:before="52" w:line="219" w:lineRule="auto"/>
              <w:rPr>
                <w:sz w:val="16"/>
                <w:szCs w:val="16"/>
              </w:rPr>
            </w:pPr>
            <w:r>
              <w:rPr>
                <w:sz w:val="16"/>
                <w:szCs w:val="16"/>
                <w:spacing w:val="2"/>
              </w:rPr>
              <w:t>省级市场监管部门</w:t>
            </w:r>
          </w:p>
        </w:tc>
        <w:tc>
          <w:tcPr>
            <w:tcW w:w="3701" w:type="dxa"/>
            <w:vAlign w:val="top"/>
          </w:tcPr>
          <w:p>
            <w:pPr>
              <w:pStyle w:val="TableText"/>
              <w:spacing w:before="81" w:line="218" w:lineRule="auto"/>
              <w:rPr>
                <w:sz w:val="16"/>
                <w:szCs w:val="16"/>
              </w:rPr>
            </w:pPr>
            <w:r>
              <w:rPr>
                <w:sz w:val="16"/>
                <w:szCs w:val="16"/>
                <w:spacing w:val="-5"/>
              </w:rPr>
              <w:t>《中华人纪共和国广告齿》</w:t>
            </w:r>
          </w:p>
          <w:p>
            <w:pPr>
              <w:pStyle w:val="TableText"/>
              <w:spacing w:before="22" w:line="196" w:lineRule="auto"/>
              <w:rPr>
                <w:sz w:val="16"/>
                <w:szCs w:val="16"/>
              </w:rPr>
            </w:pPr>
            <w:r>
              <w:rPr>
                <w:sz w:val="16"/>
                <w:szCs w:val="16"/>
                <w:spacing w:val="-4"/>
              </w:rPr>
              <w:t>《中华人民共和国食品安全生》</w:t>
            </w:r>
          </w:p>
          <w:p>
            <w:pPr>
              <w:pStyle w:val="TableText"/>
              <w:ind w:left="59" w:right="4" w:hanging="59"/>
              <w:rPr>
                <w:sz w:val="16"/>
                <w:szCs w:val="16"/>
              </w:rPr>
            </w:pPr>
            <w:r>
              <w:rPr>
                <w:sz w:val="16"/>
                <w:szCs w:val="16"/>
                <w:spacing w:val="-7"/>
              </w:rPr>
              <w:t>《药品，医疗器械，保旋食基，特殊胜学用途能方盒县</w:t>
            </w:r>
            <w:r>
              <w:rPr>
                <w:sz w:val="16"/>
                <w:szCs w:val="16"/>
                <w:spacing w:val="13"/>
              </w:rPr>
              <w:t xml:space="preserve"> </w:t>
            </w:r>
            <w:r>
              <w:rPr>
                <w:sz w:val="16"/>
                <w:szCs w:val="16"/>
                <w:spacing w:val="-2"/>
              </w:rPr>
              <w:t>广告审查管理险行办法</w:t>
            </w:r>
          </w:p>
        </w:tc>
      </w:tr>
      <w:tr>
        <w:trPr>
          <w:trHeight w:val="1298" w:hRule="atLeast"/>
        </w:trPr>
        <w:tc>
          <w:tcPr>
            <w:tcW w:w="594" w:type="dxa"/>
            <w:vAlign w:val="top"/>
          </w:tcPr>
          <w:p>
            <w:pPr>
              <w:spacing w:line="279" w:lineRule="auto"/>
              <w:rPr>
                <w:rFonts w:ascii="Arial"/>
                <w:sz w:val="21"/>
              </w:rPr>
            </w:pPr>
            <w:r/>
          </w:p>
          <w:p>
            <w:pPr>
              <w:spacing w:line="280" w:lineRule="auto"/>
              <w:rPr>
                <w:rFonts w:ascii="Arial"/>
                <w:sz w:val="21"/>
              </w:rPr>
            </w:pPr>
            <w:r/>
          </w:p>
          <w:p>
            <w:pPr>
              <w:pStyle w:val="TableText"/>
              <w:ind w:left="164"/>
              <w:spacing w:before="52" w:line="183" w:lineRule="auto"/>
              <w:rPr>
                <w:sz w:val="16"/>
                <w:szCs w:val="16"/>
              </w:rPr>
            </w:pPr>
            <w:r>
              <w:rPr>
                <w:sz w:val="16"/>
                <w:szCs w:val="16"/>
                <w:spacing w:val="-3"/>
              </w:rPr>
              <w:t>562</w:t>
            </w:r>
          </w:p>
        </w:tc>
        <w:tc>
          <w:tcPr>
            <w:tcW w:w="1289" w:type="dxa"/>
            <w:vAlign w:val="top"/>
          </w:tcPr>
          <w:p>
            <w:pPr>
              <w:spacing w:line="259" w:lineRule="auto"/>
              <w:rPr>
                <w:rFonts w:ascii="Arial"/>
                <w:sz w:val="21"/>
              </w:rPr>
            </w:pPr>
            <w:r/>
          </w:p>
          <w:p>
            <w:pPr>
              <w:spacing w:line="259" w:lineRule="auto"/>
              <w:rPr>
                <w:rFonts w:ascii="Arial"/>
                <w:sz w:val="21"/>
              </w:rPr>
            </w:pPr>
            <w:r/>
          </w:p>
          <w:p>
            <w:pPr>
              <w:pStyle w:val="TableText"/>
              <w:ind w:left="150"/>
              <w:spacing w:before="52" w:line="219" w:lineRule="auto"/>
              <w:rPr>
                <w:sz w:val="16"/>
                <w:szCs w:val="16"/>
              </w:rPr>
            </w:pPr>
            <w:r>
              <w:rPr>
                <w:sz w:val="16"/>
                <w:szCs w:val="16"/>
                <w:spacing w:val="-2"/>
              </w:rPr>
              <w:t>市场出管总是</w:t>
            </w:r>
          </w:p>
        </w:tc>
        <w:tc>
          <w:tcPr>
            <w:tcW w:w="1628" w:type="dxa"/>
            <w:vAlign w:val="top"/>
          </w:tcPr>
          <w:p>
            <w:pPr>
              <w:spacing w:line="419" w:lineRule="auto"/>
              <w:rPr>
                <w:rFonts w:ascii="Arial"/>
                <w:sz w:val="21"/>
              </w:rPr>
            </w:pPr>
            <w:r/>
          </w:p>
          <w:p>
            <w:pPr>
              <w:pStyle w:val="TableText"/>
              <w:ind w:left="52" w:right="152" w:hanging="20"/>
              <w:spacing w:before="52" w:line="229" w:lineRule="auto"/>
              <w:rPr>
                <w:sz w:val="16"/>
                <w:szCs w:val="16"/>
              </w:rPr>
            </w:pPr>
            <w:r>
              <w:rPr>
                <w:sz w:val="16"/>
                <w:szCs w:val="16"/>
                <w:spacing w:val="-1"/>
              </w:rPr>
              <w:t>特殊医学用途配方食</w:t>
            </w:r>
            <w:r>
              <w:rPr>
                <w:sz w:val="16"/>
                <w:szCs w:val="16"/>
                <w:spacing w:val="1"/>
              </w:rPr>
              <w:t xml:space="preserve"> </w:t>
            </w:r>
            <w:r>
              <w:rPr>
                <w:sz w:val="16"/>
                <w:szCs w:val="16"/>
                <w:spacing w:val="1"/>
              </w:rPr>
              <w:t>品广告审查</w:t>
            </w:r>
          </w:p>
        </w:tc>
        <w:tc>
          <w:tcPr>
            <w:tcW w:w="2377" w:type="dxa"/>
            <w:vAlign w:val="top"/>
          </w:tcPr>
          <w:p>
            <w:pPr>
              <w:spacing w:line="259" w:lineRule="auto"/>
              <w:rPr>
                <w:rFonts w:ascii="Arial"/>
                <w:sz w:val="21"/>
              </w:rPr>
            </w:pPr>
            <w:r/>
          </w:p>
          <w:p>
            <w:pPr>
              <w:spacing w:line="259" w:lineRule="auto"/>
              <w:rPr>
                <w:rFonts w:ascii="Arial"/>
                <w:sz w:val="21"/>
              </w:rPr>
            </w:pPr>
            <w:r/>
          </w:p>
          <w:p>
            <w:pPr>
              <w:pStyle w:val="TableText"/>
              <w:ind w:left="54"/>
              <w:spacing w:before="52" w:line="219" w:lineRule="auto"/>
              <w:rPr>
                <w:sz w:val="16"/>
                <w:szCs w:val="16"/>
              </w:rPr>
            </w:pPr>
            <w:r>
              <w:rPr>
                <w:sz w:val="16"/>
                <w:szCs w:val="16"/>
                <w:spacing w:val="2"/>
              </w:rPr>
              <w:t>省级市场监管都门</w:t>
            </w:r>
          </w:p>
        </w:tc>
        <w:tc>
          <w:tcPr>
            <w:tcW w:w="3701" w:type="dxa"/>
            <w:vAlign w:val="top"/>
          </w:tcPr>
          <w:p>
            <w:pPr>
              <w:pStyle w:val="TableText"/>
              <w:ind w:left="36"/>
              <w:spacing w:before="72" w:line="218" w:lineRule="auto"/>
              <w:rPr>
                <w:sz w:val="16"/>
                <w:szCs w:val="16"/>
              </w:rPr>
            </w:pPr>
            <w:r>
              <w:rPr>
                <w:sz w:val="16"/>
                <w:szCs w:val="16"/>
                <w:spacing w:val="-1"/>
              </w:rPr>
              <w:t>(中华人民共和国广告状》</w:t>
            </w:r>
          </w:p>
          <w:p>
            <w:pPr>
              <w:pStyle w:val="TableText"/>
              <w:spacing w:before="12" w:line="231" w:lineRule="auto"/>
              <w:rPr>
                <w:sz w:val="16"/>
                <w:szCs w:val="16"/>
              </w:rPr>
            </w:pPr>
            <w:r>
              <w:rPr>
                <w:sz w:val="16"/>
                <w:szCs w:val="16"/>
                <w:spacing w:val="-4"/>
              </w:rPr>
              <w:t>《中华人巴共和国药品营重法?</w:t>
            </w:r>
          </w:p>
          <w:p>
            <w:pPr>
              <w:pStyle w:val="TableText"/>
              <w:spacing w:line="219" w:lineRule="auto"/>
              <w:rPr>
                <w:sz w:val="16"/>
                <w:szCs w:val="16"/>
              </w:rPr>
            </w:pPr>
            <w:r>
              <w:rPr>
                <w:sz w:val="16"/>
                <w:szCs w:val="16"/>
                <w:spacing w:val="-4"/>
              </w:rPr>
              <w:t>《中华人民共和国食品安全法?</w:t>
            </w:r>
          </w:p>
          <w:p>
            <w:pPr>
              <w:pStyle w:val="TableText"/>
              <w:ind w:left="36"/>
              <w:spacing w:before="10" w:line="219" w:lineRule="auto"/>
              <w:rPr>
                <w:sz w:val="16"/>
                <w:szCs w:val="16"/>
              </w:rPr>
            </w:pPr>
            <w:r>
              <w:rPr>
                <w:sz w:val="16"/>
                <w:szCs w:val="16"/>
              </w:rPr>
              <w:t>(中华人民其和国食品发免法实施务部》</w:t>
            </w:r>
          </w:p>
          <w:p>
            <w:pPr>
              <w:pStyle w:val="TableText"/>
              <w:ind w:left="59" w:right="4" w:hanging="59"/>
              <w:spacing w:before="8" w:line="236" w:lineRule="auto"/>
              <w:rPr>
                <w:sz w:val="16"/>
                <w:szCs w:val="16"/>
              </w:rPr>
            </w:pPr>
            <w:r>
              <w:rPr>
                <w:sz w:val="16"/>
                <w:szCs w:val="16"/>
                <w:spacing w:val="-7"/>
              </w:rPr>
              <w:t>《的品，医疗器械，保能食是，传在照学用论配方食是</w:t>
            </w:r>
            <w:r>
              <w:rPr>
                <w:sz w:val="16"/>
                <w:szCs w:val="16"/>
                <w:spacing w:val="13"/>
              </w:rPr>
              <w:t xml:space="preserve"> </w:t>
            </w:r>
            <w:r>
              <w:rPr>
                <w:sz w:val="16"/>
                <w:szCs w:val="16"/>
                <w:spacing w:val="-2"/>
              </w:rPr>
              <w:t>广告审查管星暂行办法</w:t>
            </w:r>
          </w:p>
        </w:tc>
      </w:tr>
      <w:tr>
        <w:trPr>
          <w:trHeight w:val="744" w:hRule="atLeast"/>
        </w:trPr>
        <w:tc>
          <w:tcPr>
            <w:tcW w:w="594" w:type="dxa"/>
            <w:vAlign w:val="top"/>
          </w:tcPr>
          <w:p>
            <w:pPr>
              <w:spacing w:line="283" w:lineRule="auto"/>
              <w:rPr>
                <w:rFonts w:ascii="Arial"/>
                <w:sz w:val="21"/>
              </w:rPr>
            </w:pPr>
            <w:r/>
          </w:p>
          <w:p>
            <w:pPr>
              <w:pStyle w:val="TableText"/>
              <w:ind w:left="164"/>
              <w:spacing w:before="52" w:line="183" w:lineRule="auto"/>
              <w:rPr>
                <w:sz w:val="16"/>
                <w:szCs w:val="16"/>
              </w:rPr>
            </w:pPr>
            <w:r>
              <w:rPr>
                <w:sz w:val="16"/>
                <w:szCs w:val="16"/>
                <w:spacing w:val="-3"/>
              </w:rPr>
              <w:t>563</w:t>
            </w:r>
          </w:p>
        </w:tc>
        <w:tc>
          <w:tcPr>
            <w:tcW w:w="1289" w:type="dxa"/>
            <w:vAlign w:val="top"/>
          </w:tcPr>
          <w:p>
            <w:pPr>
              <w:spacing w:line="242" w:lineRule="auto"/>
              <w:rPr>
                <w:rFonts w:ascii="Arial"/>
                <w:sz w:val="21"/>
              </w:rPr>
            </w:pPr>
            <w:r/>
          </w:p>
          <w:p>
            <w:pPr>
              <w:pStyle w:val="TableText"/>
              <w:ind w:left="150"/>
              <w:spacing w:before="52" w:line="219" w:lineRule="auto"/>
              <w:rPr>
                <w:sz w:val="16"/>
                <w:szCs w:val="16"/>
              </w:rPr>
            </w:pPr>
            <w:r>
              <w:rPr>
                <w:sz w:val="16"/>
                <w:szCs w:val="16"/>
                <w:spacing w:val="2"/>
              </w:rPr>
              <w:t>市场监管总局</w:t>
            </w:r>
          </w:p>
        </w:tc>
        <w:tc>
          <w:tcPr>
            <w:tcW w:w="1628" w:type="dxa"/>
            <w:vAlign w:val="top"/>
          </w:tcPr>
          <w:p>
            <w:pPr>
              <w:pStyle w:val="TableText"/>
              <w:ind w:left="52" w:right="132" w:hanging="20"/>
              <w:spacing w:before="195" w:line="232" w:lineRule="auto"/>
              <w:rPr>
                <w:sz w:val="16"/>
                <w:szCs w:val="16"/>
              </w:rPr>
            </w:pPr>
            <w:r>
              <w:rPr>
                <w:sz w:val="16"/>
                <w:szCs w:val="16"/>
                <w:spacing w:val="1"/>
              </w:rPr>
              <w:t>经营者集中反垄斯审</w:t>
            </w:r>
            <w:r>
              <w:rPr>
                <w:sz w:val="16"/>
                <w:szCs w:val="16"/>
                <w:spacing w:val="3"/>
              </w:rPr>
              <w:t xml:space="preserve"> </w:t>
            </w:r>
            <w:r>
              <w:rPr>
                <w:sz w:val="16"/>
                <w:szCs w:val="16"/>
              </w:rPr>
              <w:t>查</w:t>
            </w:r>
          </w:p>
        </w:tc>
        <w:tc>
          <w:tcPr>
            <w:tcW w:w="2377" w:type="dxa"/>
            <w:vAlign w:val="top"/>
          </w:tcPr>
          <w:p>
            <w:pPr>
              <w:spacing w:line="242" w:lineRule="auto"/>
              <w:rPr>
                <w:rFonts w:ascii="Arial"/>
                <w:sz w:val="21"/>
              </w:rPr>
            </w:pPr>
            <w:r/>
          </w:p>
          <w:p>
            <w:pPr>
              <w:pStyle w:val="TableText"/>
              <w:ind w:left="54"/>
              <w:spacing w:before="52" w:line="219" w:lineRule="auto"/>
              <w:rPr>
                <w:sz w:val="16"/>
                <w:szCs w:val="16"/>
              </w:rPr>
            </w:pPr>
            <w:r>
              <w:rPr>
                <w:sz w:val="16"/>
                <w:szCs w:val="16"/>
                <w:spacing w:val="2"/>
              </w:rPr>
              <w:t>市场腐管总局</w:t>
            </w:r>
          </w:p>
        </w:tc>
        <w:tc>
          <w:tcPr>
            <w:tcW w:w="3701" w:type="dxa"/>
            <w:vAlign w:val="top"/>
          </w:tcPr>
          <w:p>
            <w:pPr>
              <w:pStyle w:val="TableText"/>
              <w:spacing w:before="105" w:line="219" w:lineRule="auto"/>
              <w:rPr>
                <w:sz w:val="16"/>
                <w:szCs w:val="16"/>
              </w:rPr>
            </w:pPr>
            <w:r>
              <w:rPr>
                <w:sz w:val="16"/>
                <w:szCs w:val="16"/>
                <w:spacing w:val="-2"/>
              </w:rPr>
              <w:t>《中华人国共和国反要断</w:t>
            </w:r>
            <w:r>
              <w:rPr>
                <w:sz w:val="16"/>
                <w:szCs w:val="16"/>
                <w:spacing w:val="11"/>
              </w:rPr>
              <w:t xml:space="preserve">  </w:t>
            </w:r>
            <w:r>
              <w:rPr>
                <w:sz w:val="16"/>
                <w:szCs w:val="16"/>
                <w:spacing w:val="-2"/>
              </w:rPr>
              <w:t>)</w:t>
            </w:r>
          </w:p>
          <w:p>
            <w:pPr>
              <w:pStyle w:val="TableText"/>
              <w:ind w:right="693" w:firstLine="78"/>
              <w:spacing w:line="231" w:lineRule="auto"/>
              <w:rPr>
                <w:sz w:val="16"/>
                <w:szCs w:val="16"/>
              </w:rPr>
            </w:pPr>
            <w:r>
              <w:rPr>
                <w:sz w:val="16"/>
                <w:szCs w:val="16"/>
                <w:spacing w:val="-3"/>
              </w:rPr>
              <w:t>(因务院发于经背者集中申剂标亮的规定》</w:t>
            </w:r>
            <w:r>
              <w:rPr>
                <w:sz w:val="16"/>
                <w:szCs w:val="16"/>
                <w:spacing w:val="14"/>
              </w:rPr>
              <w:t xml:space="preserve"> </w:t>
            </w:r>
            <w:r>
              <w:rPr>
                <w:sz w:val="16"/>
                <w:szCs w:val="16"/>
                <w:spacing w:val="-3"/>
              </w:rPr>
              <w:t>《能营者集中审查暂行屋定1</w:t>
            </w:r>
          </w:p>
        </w:tc>
      </w:tr>
    </w:tbl>
    <w:p>
      <w:pPr>
        <w:pStyle w:val="BodyText"/>
        <w:rPr/>
      </w:pPr>
      <w:r/>
    </w:p>
    <w:p>
      <w:pPr>
        <w:sectPr>
          <w:pgSz w:w="11910" w:h="8220"/>
          <w:pgMar w:top="400" w:right="1165" w:bottom="400" w:left="822" w:header="0" w:footer="0" w:gutter="0"/>
        </w:sectPr>
        <w:rPr/>
      </w:pPr>
    </w:p>
    <w:p>
      <w:pPr>
        <w:spacing w:before="113"/>
        <w:rPr/>
      </w:pPr>
      <w:r>
        <mc:AlternateContent xmlns:mc="http://schemas.openxmlformats.org/markup-compatibility/2006">
          <mc:Choice Requires="wps">
            <w:drawing>
              <wp:anchor distT="0" distB="0" distL="0" distR="0" simplePos="0" relativeHeight="251882496" behindDoc="0" locked="0" layoutInCell="0" allowOverlap="1">
                <wp:simplePos x="0" y="0"/>
                <wp:positionH relativeFrom="page">
                  <wp:posOffset>470817</wp:posOffset>
                </wp:positionH>
                <wp:positionV relativeFrom="page">
                  <wp:posOffset>623657</wp:posOffset>
                </wp:positionV>
                <wp:extent cx="172720" cy="157479"/>
                <wp:effectExtent l="0" t="0" r="0" b="0"/>
                <wp:wrapNone/>
                <wp:docPr id="282" name="TextBox 282"/>
                <wp:cNvGraphicFramePr/>
                <a:graphic>
                  <a:graphicData uri="http://schemas.microsoft.com/office/word/2010/wordprocessingShape">
                    <wps:wsp>
                      <wps:cNvSpPr txBox="1"/>
                      <wps:spPr>
                        <a:xfrm rot="5400000">
                          <a:off x="470817" y="623657"/>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4" style="position:absolute;margin-left:37.0722pt;margin-top:49.1069pt;mso-position-vertical-relative:page;mso-position-horizontal-relative:page;width:13.6pt;height:12.4pt;z-index:251882496;rotation:90;" o:allowincell="f" filled="false" stroked="false" type="#_x0000_t202">
                <v:fill on="false"/>
                <v:stroke on="false"/>
                <v:path/>
                <v:imagedata o:title=""/>
                <o:lock v:ext="edit" aspectratio="false"/>
                <v:textbox inset="0mm,0mm,0mm,0mm">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222</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34" w:hRule="atLeast"/>
        </w:trPr>
        <w:tc>
          <w:tcPr>
            <w:tcW w:w="574" w:type="dxa"/>
            <w:vAlign w:val="top"/>
          </w:tcPr>
          <w:p>
            <w:pPr>
              <w:pStyle w:val="TableText"/>
              <w:ind w:left="104"/>
              <w:spacing w:before="132" w:line="221" w:lineRule="auto"/>
              <w:rPr>
                <w:sz w:val="17"/>
                <w:szCs w:val="17"/>
              </w:rPr>
            </w:pPr>
            <w:r>
              <w:rPr>
                <w:sz w:val="17"/>
                <w:szCs w:val="17"/>
                <w:spacing w:val="-2"/>
              </w:rPr>
              <w:t>序号</w:t>
            </w:r>
          </w:p>
        </w:tc>
        <w:tc>
          <w:tcPr>
            <w:tcW w:w="1299" w:type="dxa"/>
            <w:vAlign w:val="top"/>
          </w:tcPr>
          <w:p>
            <w:pPr>
              <w:pStyle w:val="TableText"/>
              <w:ind w:left="130"/>
              <w:spacing w:before="132" w:line="219" w:lineRule="auto"/>
              <w:rPr>
                <w:sz w:val="17"/>
                <w:szCs w:val="17"/>
              </w:rPr>
            </w:pPr>
            <w:r>
              <w:rPr>
                <w:sz w:val="17"/>
                <w:szCs w:val="17"/>
                <w:spacing w:val="3"/>
              </w:rPr>
              <w:t>中央主骨郎门</w:t>
            </w:r>
          </w:p>
        </w:tc>
        <w:tc>
          <w:tcPr>
            <w:tcW w:w="1638" w:type="dxa"/>
            <w:vAlign w:val="top"/>
          </w:tcPr>
          <w:p>
            <w:pPr>
              <w:pStyle w:val="TableText"/>
              <w:ind w:left="461"/>
              <w:spacing w:before="132" w:line="220" w:lineRule="auto"/>
              <w:rPr>
                <w:sz w:val="17"/>
                <w:szCs w:val="17"/>
              </w:rPr>
            </w:pPr>
            <w:r>
              <w:rPr>
                <w:sz w:val="17"/>
                <w:szCs w:val="17"/>
                <w:spacing w:val="-2"/>
              </w:rPr>
              <w:t>那填名称</w:t>
            </w:r>
          </w:p>
        </w:tc>
        <w:tc>
          <w:tcPr>
            <w:tcW w:w="2377" w:type="dxa"/>
            <w:vAlign w:val="top"/>
          </w:tcPr>
          <w:p>
            <w:pPr>
              <w:pStyle w:val="TableText"/>
              <w:ind w:left="854"/>
              <w:spacing w:before="130" w:line="219" w:lineRule="auto"/>
              <w:rPr>
                <w:sz w:val="17"/>
                <w:szCs w:val="17"/>
              </w:rPr>
            </w:pPr>
            <w:r>
              <w:rPr>
                <w:sz w:val="17"/>
                <w:szCs w:val="17"/>
                <w:spacing w:val="-3"/>
              </w:rPr>
              <w:t>实黄机关</w:t>
            </w:r>
          </w:p>
        </w:tc>
        <w:tc>
          <w:tcPr>
            <w:tcW w:w="3711" w:type="dxa"/>
            <w:vAlign w:val="top"/>
          </w:tcPr>
          <w:p>
            <w:pPr>
              <w:pStyle w:val="TableText"/>
              <w:ind w:left="1299"/>
              <w:spacing w:before="128" w:line="219" w:lineRule="auto"/>
              <w:rPr>
                <w:sz w:val="17"/>
                <w:szCs w:val="17"/>
              </w:rPr>
            </w:pPr>
            <w:r>
              <w:rPr>
                <w:sz w:val="17"/>
                <w:szCs w:val="17"/>
                <w:b/>
                <w:bCs/>
                <w:spacing w:val="-3"/>
              </w:rPr>
              <w:t>设定和实集依擦</w:t>
            </w:r>
          </w:p>
        </w:tc>
      </w:tr>
      <w:tr>
        <w:trPr>
          <w:trHeight w:val="1448" w:hRule="atLeast"/>
        </w:trPr>
        <w:tc>
          <w:tcPr>
            <w:tcW w:w="574" w:type="dxa"/>
            <w:vAlign w:val="top"/>
          </w:tcPr>
          <w:p>
            <w:pPr>
              <w:spacing w:line="311" w:lineRule="auto"/>
              <w:rPr>
                <w:rFonts w:ascii="Arial"/>
                <w:sz w:val="21"/>
              </w:rPr>
            </w:pPr>
            <w:r/>
          </w:p>
          <w:p>
            <w:pPr>
              <w:spacing w:line="311" w:lineRule="auto"/>
              <w:rPr>
                <w:rFonts w:ascii="Arial"/>
                <w:sz w:val="21"/>
              </w:rPr>
            </w:pPr>
            <w:r/>
          </w:p>
          <w:p>
            <w:pPr>
              <w:pStyle w:val="TableText"/>
              <w:ind w:left="144"/>
              <w:spacing w:before="56" w:line="183" w:lineRule="auto"/>
              <w:rPr>
                <w:sz w:val="17"/>
                <w:szCs w:val="17"/>
              </w:rPr>
            </w:pPr>
            <w:r>
              <w:rPr>
                <w:sz w:val="17"/>
                <w:szCs w:val="17"/>
                <w:spacing w:val="-3"/>
              </w:rPr>
              <w:t>554</w:t>
            </w:r>
          </w:p>
        </w:tc>
        <w:tc>
          <w:tcPr>
            <w:tcW w:w="1299" w:type="dxa"/>
            <w:vAlign w:val="top"/>
          </w:tcPr>
          <w:p>
            <w:pPr>
              <w:spacing w:line="289" w:lineRule="auto"/>
              <w:rPr>
                <w:rFonts w:ascii="Arial"/>
                <w:sz w:val="21"/>
              </w:rPr>
            </w:pPr>
            <w:r/>
          </w:p>
          <w:p>
            <w:pPr>
              <w:spacing w:line="290" w:lineRule="auto"/>
              <w:rPr>
                <w:rFonts w:ascii="Arial"/>
                <w:sz w:val="21"/>
              </w:rPr>
            </w:pPr>
            <w:r/>
          </w:p>
          <w:p>
            <w:pPr>
              <w:pStyle w:val="TableText"/>
              <w:ind w:left="130"/>
              <w:spacing w:before="55" w:line="219" w:lineRule="auto"/>
              <w:rPr>
                <w:sz w:val="17"/>
                <w:szCs w:val="17"/>
              </w:rPr>
            </w:pPr>
            <w:r>
              <w:rPr>
                <w:sz w:val="17"/>
                <w:szCs w:val="17"/>
                <w:spacing w:val="2"/>
              </w:rPr>
              <w:t>临场监管总局</w:t>
            </w:r>
          </w:p>
        </w:tc>
        <w:tc>
          <w:tcPr>
            <w:tcW w:w="1638" w:type="dxa"/>
            <w:vAlign w:val="top"/>
          </w:tcPr>
          <w:p>
            <w:pPr>
              <w:spacing w:line="289" w:lineRule="auto"/>
              <w:rPr>
                <w:rFonts w:ascii="Arial"/>
                <w:sz w:val="21"/>
              </w:rPr>
            </w:pPr>
            <w:r/>
          </w:p>
          <w:p>
            <w:pPr>
              <w:spacing w:line="290" w:lineRule="auto"/>
              <w:rPr>
                <w:rFonts w:ascii="Arial"/>
                <w:sz w:val="21"/>
              </w:rPr>
            </w:pPr>
            <w:r/>
          </w:p>
          <w:p>
            <w:pPr>
              <w:pStyle w:val="TableText"/>
              <w:ind w:left="52"/>
              <w:spacing w:before="55" w:line="219" w:lineRule="auto"/>
              <w:rPr>
                <w:sz w:val="17"/>
                <w:szCs w:val="17"/>
              </w:rPr>
            </w:pPr>
            <w:r>
              <w:rPr>
                <w:sz w:val="17"/>
                <w:szCs w:val="17"/>
                <w:spacing w:val="1"/>
              </w:rPr>
              <w:t>企业登记注信</w:t>
            </w:r>
          </w:p>
        </w:tc>
        <w:tc>
          <w:tcPr>
            <w:tcW w:w="2377" w:type="dxa"/>
            <w:vAlign w:val="top"/>
          </w:tcPr>
          <w:p>
            <w:pPr>
              <w:spacing w:line="244" w:lineRule="auto"/>
              <w:rPr>
                <w:rFonts w:ascii="Arial"/>
                <w:sz w:val="21"/>
              </w:rPr>
            </w:pPr>
            <w:r/>
          </w:p>
          <w:p>
            <w:pPr>
              <w:spacing w:line="244" w:lineRule="auto"/>
              <w:rPr>
                <w:rFonts w:ascii="Arial"/>
                <w:sz w:val="21"/>
              </w:rPr>
            </w:pPr>
            <w:r/>
          </w:p>
          <w:p>
            <w:pPr>
              <w:pStyle w:val="TableText"/>
              <w:ind w:left="63" w:hanging="19"/>
              <w:spacing w:before="56" w:line="224" w:lineRule="auto"/>
              <w:rPr>
                <w:sz w:val="17"/>
                <w:szCs w:val="17"/>
              </w:rPr>
            </w:pPr>
            <w:r>
              <w:rPr>
                <w:sz w:val="17"/>
                <w:szCs w:val="17"/>
                <w:spacing w:val="-5"/>
              </w:rPr>
              <w:t>市场监管总局；省蚜，设区的市</w:t>
            </w:r>
            <w:r>
              <w:rPr>
                <w:sz w:val="17"/>
                <w:szCs w:val="17"/>
                <w:spacing w:val="11"/>
              </w:rPr>
              <w:t xml:space="preserve"> </w:t>
            </w:r>
            <w:r>
              <w:rPr>
                <w:sz w:val="17"/>
                <w:szCs w:val="17"/>
                <w:spacing w:val="1"/>
              </w:rPr>
              <w:t>胶，县以内场监管部门</w:t>
            </w:r>
          </w:p>
        </w:tc>
        <w:tc>
          <w:tcPr>
            <w:tcW w:w="3711" w:type="dxa"/>
            <w:vAlign w:val="top"/>
          </w:tcPr>
          <w:p>
            <w:pPr>
              <w:pStyle w:val="TableText"/>
              <w:spacing w:before="47" w:line="217" w:lineRule="auto"/>
              <w:rPr>
                <w:sz w:val="17"/>
                <w:szCs w:val="17"/>
              </w:rPr>
            </w:pPr>
            <w:r>
              <w:rPr>
                <w:sz w:val="17"/>
                <w:szCs w:val="17"/>
                <w:spacing w:val="-4"/>
              </w:rPr>
              <w:t>《中华人电共和国公局法》</w:t>
            </w:r>
          </w:p>
          <w:p>
            <w:pPr>
              <w:pStyle w:val="TableText"/>
              <w:ind w:left="46"/>
              <w:spacing w:line="206" w:lineRule="auto"/>
              <w:rPr>
                <w:sz w:val="17"/>
                <w:szCs w:val="17"/>
              </w:rPr>
            </w:pPr>
            <w:r>
              <w:rPr>
                <w:sz w:val="17"/>
                <w:szCs w:val="17"/>
                <w:spacing w:val="2"/>
              </w:rPr>
              <w:t>4中华人民北和国合优全壶法)</w:t>
            </w:r>
          </w:p>
          <w:p>
            <w:pPr>
              <w:pStyle w:val="TableText"/>
              <w:ind w:left="46"/>
              <w:spacing w:line="227" w:lineRule="auto"/>
              <w:rPr>
                <w:sz w:val="17"/>
                <w:szCs w:val="17"/>
              </w:rPr>
            </w:pPr>
            <w:r>
              <w:rPr>
                <w:sz w:val="17"/>
                <w:szCs w:val="17"/>
                <w:spacing w:val="-1"/>
              </w:rPr>
              <w:t>1中华人民共和国个人监资企办选》</w:t>
            </w:r>
          </w:p>
          <w:p>
            <w:pPr>
              <w:pStyle w:val="TableText"/>
              <w:ind w:left="46"/>
              <w:spacing w:line="217" w:lineRule="auto"/>
              <w:rPr>
                <w:sz w:val="17"/>
                <w:szCs w:val="17"/>
              </w:rPr>
            </w:pPr>
            <w:r>
              <w:rPr>
                <w:sz w:val="17"/>
                <w:szCs w:val="17"/>
              </w:rPr>
              <w:t>1中年人民我和国外商投货动</w:t>
            </w:r>
          </w:p>
          <w:p>
            <w:pPr>
              <w:pStyle w:val="TableText"/>
              <w:ind w:right="560" w:firstLine="83"/>
              <w:spacing w:before="1" w:line="222" w:lineRule="auto"/>
              <w:rPr>
                <w:sz w:val="17"/>
                <w:szCs w:val="17"/>
              </w:rPr>
            </w:pPr>
            <w:r>
              <w:rPr>
                <w:sz w:val="17"/>
                <w:szCs w:val="17"/>
                <w:spacing w:val="-1"/>
              </w:rPr>
              <w:t>1中学人民共和国市杨土体登记管理杂例!</w:t>
            </w:r>
            <w:r>
              <w:rPr>
                <w:sz w:val="17"/>
                <w:szCs w:val="17"/>
                <w:spacing w:val="14"/>
              </w:rPr>
              <w:t xml:space="preserve"> </w:t>
            </w:r>
            <w:r>
              <w:rPr>
                <w:sz w:val="17"/>
                <w:szCs w:val="17"/>
                <w:spacing w:val="-3"/>
              </w:rPr>
              <w:t>《中华人民其和遇外高投至法实激条》</w:t>
            </w:r>
          </w:p>
          <w:p>
            <w:pPr>
              <w:pStyle w:val="TableText"/>
              <w:spacing w:before="1" w:line="195" w:lineRule="auto"/>
              <w:jc w:val="right"/>
              <w:rPr>
                <w:sz w:val="17"/>
                <w:szCs w:val="17"/>
              </w:rPr>
            </w:pPr>
            <w:r>
              <w:rPr>
                <w:sz w:val="17"/>
                <w:szCs w:val="17"/>
                <w:spacing w:val="-4"/>
              </w:rPr>
              <w:t>(中华人民共称国市杨主体登记情理条例实能细测)</w:t>
            </w:r>
          </w:p>
        </w:tc>
      </w:tr>
      <w:tr>
        <w:trPr>
          <w:trHeight w:val="639" w:hRule="atLeast"/>
        </w:trPr>
        <w:tc>
          <w:tcPr>
            <w:tcW w:w="574" w:type="dxa"/>
            <w:vAlign w:val="top"/>
          </w:tcPr>
          <w:p>
            <w:pPr>
              <w:pStyle w:val="TableText"/>
              <w:ind w:left="144"/>
              <w:spacing w:before="284" w:line="182" w:lineRule="auto"/>
              <w:rPr>
                <w:sz w:val="17"/>
                <w:szCs w:val="17"/>
              </w:rPr>
            </w:pPr>
            <w:r>
              <w:rPr>
                <w:sz w:val="17"/>
                <w:szCs w:val="17"/>
                <w:spacing w:val="-3"/>
              </w:rPr>
              <w:t>555</w:t>
            </w:r>
          </w:p>
        </w:tc>
        <w:tc>
          <w:tcPr>
            <w:tcW w:w="1299" w:type="dxa"/>
            <w:vAlign w:val="top"/>
          </w:tcPr>
          <w:p>
            <w:pPr>
              <w:pStyle w:val="TableText"/>
              <w:ind w:left="130"/>
              <w:spacing w:before="240" w:line="219" w:lineRule="auto"/>
              <w:rPr>
                <w:sz w:val="17"/>
                <w:szCs w:val="17"/>
              </w:rPr>
            </w:pPr>
            <w:r>
              <w:rPr>
                <w:sz w:val="17"/>
                <w:szCs w:val="17"/>
                <w:spacing w:val="2"/>
              </w:rPr>
              <w:t>市场监管总局</w:t>
            </w:r>
          </w:p>
        </w:tc>
        <w:tc>
          <w:tcPr>
            <w:tcW w:w="1638" w:type="dxa"/>
            <w:vAlign w:val="top"/>
          </w:tcPr>
          <w:p>
            <w:pPr>
              <w:pStyle w:val="TableText"/>
              <w:ind w:left="52"/>
              <w:spacing w:before="240" w:line="219" w:lineRule="auto"/>
              <w:rPr>
                <w:sz w:val="17"/>
                <w:szCs w:val="17"/>
              </w:rPr>
            </w:pPr>
            <w:r>
              <w:rPr>
                <w:sz w:val="17"/>
                <w:szCs w:val="17"/>
                <w:spacing w:val="-1"/>
              </w:rPr>
              <w:t>个律工商户登记在册</w:t>
            </w:r>
          </w:p>
        </w:tc>
        <w:tc>
          <w:tcPr>
            <w:tcW w:w="2377" w:type="dxa"/>
            <w:vAlign w:val="top"/>
          </w:tcPr>
          <w:p>
            <w:pPr>
              <w:pStyle w:val="TableText"/>
              <w:ind w:left="64"/>
              <w:spacing w:before="240" w:line="219" w:lineRule="auto"/>
              <w:rPr>
                <w:sz w:val="17"/>
                <w:szCs w:val="17"/>
              </w:rPr>
            </w:pPr>
            <w:r>
              <w:rPr>
                <w:sz w:val="17"/>
                <w:szCs w:val="17"/>
                <w:spacing w:val="2"/>
              </w:rPr>
              <w:t>县境市场监营部门</w:t>
            </w:r>
          </w:p>
        </w:tc>
        <w:tc>
          <w:tcPr>
            <w:tcW w:w="3711" w:type="dxa"/>
            <w:vAlign w:val="top"/>
          </w:tcPr>
          <w:p>
            <w:pPr>
              <w:pStyle w:val="TableText"/>
              <w:ind w:left="83" w:right="593" w:hanging="83"/>
              <w:spacing w:before="49" w:line="212" w:lineRule="auto"/>
              <w:rPr>
                <w:sz w:val="17"/>
                <w:szCs w:val="17"/>
              </w:rPr>
            </w:pPr>
            <w:r>
              <w:rPr>
                <w:sz w:val="17"/>
                <w:szCs w:val="17"/>
                <w:spacing w:val="-2"/>
              </w:rPr>
              <w:t>《中华人民共和国市场主体征记骨理条例1</w:t>
            </w:r>
            <w:r>
              <w:rPr>
                <w:sz w:val="17"/>
                <w:szCs w:val="17"/>
              </w:rPr>
              <w:t xml:space="preserve"> </w:t>
            </w:r>
            <w:r>
              <w:rPr>
                <w:sz w:val="17"/>
                <w:szCs w:val="17"/>
                <w:spacing w:val="-2"/>
              </w:rPr>
              <w:t>1促进个体工向户发磨条部》</w:t>
            </w:r>
          </w:p>
          <w:p>
            <w:pPr>
              <w:pStyle w:val="TableText"/>
              <w:spacing w:line="205" w:lineRule="auto"/>
              <w:jc w:val="right"/>
              <w:rPr>
                <w:sz w:val="17"/>
                <w:szCs w:val="17"/>
              </w:rPr>
            </w:pPr>
            <w:r>
              <w:rPr>
                <w:sz w:val="17"/>
                <w:szCs w:val="17"/>
                <w:spacing w:val="-1"/>
              </w:rPr>
              <w:t>t中华人民共和国市场主体业记管理各例实能组洲</w:t>
            </w:r>
          </w:p>
        </w:tc>
      </w:tr>
      <w:tr>
        <w:trPr>
          <w:trHeight w:val="649" w:hRule="atLeast"/>
        </w:trPr>
        <w:tc>
          <w:tcPr>
            <w:tcW w:w="574" w:type="dxa"/>
            <w:vAlign w:val="top"/>
          </w:tcPr>
          <w:p>
            <w:pPr>
              <w:pStyle w:val="TableText"/>
              <w:ind w:left="144"/>
              <w:spacing w:before="285" w:line="182" w:lineRule="auto"/>
              <w:rPr>
                <w:sz w:val="17"/>
                <w:szCs w:val="17"/>
              </w:rPr>
            </w:pPr>
            <w:r>
              <w:rPr>
                <w:sz w:val="17"/>
                <w:szCs w:val="17"/>
                <w:spacing w:val="-3"/>
              </w:rPr>
              <w:t>55f</w:t>
            </w:r>
          </w:p>
        </w:tc>
        <w:tc>
          <w:tcPr>
            <w:tcW w:w="1299" w:type="dxa"/>
            <w:vAlign w:val="top"/>
          </w:tcPr>
          <w:p>
            <w:pPr>
              <w:pStyle w:val="TableText"/>
              <w:ind w:left="130"/>
              <w:spacing w:before="241" w:line="219" w:lineRule="auto"/>
              <w:rPr>
                <w:sz w:val="17"/>
                <w:szCs w:val="17"/>
              </w:rPr>
            </w:pPr>
            <w:r>
              <w:rPr>
                <w:sz w:val="17"/>
                <w:szCs w:val="17"/>
                <w:spacing w:val="3"/>
              </w:rPr>
              <w:t>古场霞管草司</w:t>
            </w:r>
          </w:p>
        </w:tc>
        <w:tc>
          <w:tcPr>
            <w:tcW w:w="1638" w:type="dxa"/>
            <w:vAlign w:val="top"/>
          </w:tcPr>
          <w:p>
            <w:pPr>
              <w:pStyle w:val="TableText"/>
              <w:ind w:left="52" w:right="52"/>
              <w:spacing w:before="140" w:line="230" w:lineRule="auto"/>
              <w:rPr>
                <w:sz w:val="17"/>
                <w:szCs w:val="17"/>
              </w:rPr>
            </w:pPr>
            <w:r>
              <w:rPr>
                <w:sz w:val="17"/>
                <w:szCs w:val="17"/>
                <w:spacing w:val="-1"/>
              </w:rPr>
              <w:t>农昆季业合作社登记</w:t>
            </w:r>
            <w:r>
              <w:rPr>
                <w:sz w:val="17"/>
                <w:szCs w:val="17"/>
                <w:spacing w:val="1"/>
              </w:rPr>
              <w:t xml:space="preserve"> </w:t>
            </w:r>
            <w:r>
              <w:rPr>
                <w:sz w:val="17"/>
                <w:szCs w:val="17"/>
                <w:spacing w:val="-3"/>
              </w:rPr>
              <w:t>诈册</w:t>
            </w:r>
          </w:p>
        </w:tc>
        <w:tc>
          <w:tcPr>
            <w:tcW w:w="2377" w:type="dxa"/>
            <w:vAlign w:val="top"/>
          </w:tcPr>
          <w:p>
            <w:pPr>
              <w:pStyle w:val="TableText"/>
              <w:ind w:left="64"/>
              <w:spacing w:before="241" w:line="219" w:lineRule="auto"/>
              <w:rPr>
                <w:sz w:val="17"/>
                <w:szCs w:val="17"/>
              </w:rPr>
            </w:pPr>
            <w:r>
              <w:rPr>
                <w:sz w:val="17"/>
                <w:szCs w:val="17"/>
                <w:spacing w:val="2"/>
              </w:rPr>
              <w:t>基规市场监管部门</w:t>
            </w:r>
          </w:p>
        </w:tc>
        <w:tc>
          <w:tcPr>
            <w:tcW w:w="3711" w:type="dxa"/>
            <w:vAlign w:val="top"/>
          </w:tcPr>
          <w:p>
            <w:pPr>
              <w:pStyle w:val="TableText"/>
              <w:ind w:left="46"/>
              <w:spacing w:before="61" w:line="219" w:lineRule="auto"/>
              <w:rPr>
                <w:sz w:val="17"/>
                <w:szCs w:val="17"/>
              </w:rPr>
            </w:pPr>
            <w:r>
              <w:rPr>
                <w:sz w:val="17"/>
                <w:szCs w:val="17"/>
              </w:rPr>
              <w:t>1中华人民共和国农民专志合作社法》</w:t>
            </w:r>
          </w:p>
          <w:p>
            <w:pPr>
              <w:pStyle w:val="TableText"/>
              <w:ind w:left="46"/>
              <w:spacing w:before="7" w:line="206" w:lineRule="auto"/>
              <w:rPr>
                <w:sz w:val="17"/>
                <w:szCs w:val="17"/>
              </w:rPr>
            </w:pPr>
            <w:r>
              <w:rPr>
                <w:sz w:val="17"/>
                <w:szCs w:val="17"/>
                <w:spacing w:val="1"/>
              </w:rPr>
              <w:t>1中华人民共和国市桥主体登记登理条别!</w:t>
            </w:r>
          </w:p>
          <w:p>
            <w:pPr>
              <w:pStyle w:val="TableText"/>
              <w:ind w:left="46"/>
              <w:spacing w:line="194" w:lineRule="auto"/>
              <w:rPr>
                <w:sz w:val="17"/>
                <w:szCs w:val="17"/>
              </w:rPr>
            </w:pPr>
            <w:r>
              <w:rPr>
                <w:sz w:val="17"/>
                <w:szCs w:val="17"/>
              </w:rPr>
              <w:t>1中华人说共和偏市格主体贷记世现布例实练况</w:t>
            </w:r>
          </w:p>
        </w:tc>
      </w:tr>
      <w:tr>
        <w:trPr>
          <w:trHeight w:val="439" w:hRule="atLeast"/>
        </w:trPr>
        <w:tc>
          <w:tcPr>
            <w:tcW w:w="574" w:type="dxa"/>
            <w:vAlign w:val="top"/>
          </w:tcPr>
          <w:p>
            <w:pPr>
              <w:pStyle w:val="TableText"/>
              <w:ind w:left="144"/>
              <w:spacing w:before="185" w:line="183" w:lineRule="auto"/>
              <w:rPr>
                <w:sz w:val="17"/>
                <w:szCs w:val="17"/>
              </w:rPr>
            </w:pPr>
            <w:r>
              <w:rPr>
                <w:sz w:val="17"/>
                <w:szCs w:val="17"/>
                <w:spacing w:val="-3"/>
              </w:rPr>
              <w:t>562</w:t>
            </w:r>
          </w:p>
        </w:tc>
        <w:tc>
          <w:tcPr>
            <w:tcW w:w="1299" w:type="dxa"/>
            <w:vAlign w:val="top"/>
          </w:tcPr>
          <w:p>
            <w:pPr>
              <w:pStyle w:val="TableText"/>
              <w:ind w:left="130"/>
              <w:spacing w:before="142" w:line="219" w:lineRule="auto"/>
              <w:rPr>
                <w:sz w:val="17"/>
                <w:szCs w:val="17"/>
              </w:rPr>
            </w:pPr>
            <w:r>
              <w:rPr>
                <w:sz w:val="17"/>
                <w:szCs w:val="17"/>
                <w:spacing w:val="2"/>
              </w:rPr>
              <w:t>声场蓝管总局</w:t>
            </w:r>
          </w:p>
        </w:tc>
        <w:tc>
          <w:tcPr>
            <w:tcW w:w="1638" w:type="dxa"/>
            <w:vAlign w:val="top"/>
          </w:tcPr>
          <w:p>
            <w:pPr>
              <w:pStyle w:val="TableText"/>
              <w:ind w:left="52" w:right="76" w:hanging="20"/>
              <w:spacing w:before="51" w:line="205" w:lineRule="auto"/>
              <w:rPr>
                <w:sz w:val="17"/>
                <w:szCs w:val="17"/>
              </w:rPr>
            </w:pPr>
            <w:r>
              <w:rPr>
                <w:sz w:val="17"/>
                <w:szCs w:val="17"/>
                <w:spacing w:val="-2"/>
              </w:rPr>
              <w:t>外国念业章非代表机</w:t>
            </w:r>
            <w:r>
              <w:rPr>
                <w:sz w:val="17"/>
                <w:szCs w:val="17"/>
                <w:spacing w:val="6"/>
              </w:rPr>
              <w:t xml:space="preserve"> </w:t>
            </w:r>
            <w:r>
              <w:rPr>
                <w:sz w:val="17"/>
                <w:szCs w:val="17"/>
                <w:spacing w:val="-2"/>
              </w:rPr>
              <w:t>构登记</w:t>
            </w:r>
          </w:p>
        </w:tc>
        <w:tc>
          <w:tcPr>
            <w:tcW w:w="2377" w:type="dxa"/>
            <w:vAlign w:val="top"/>
          </w:tcPr>
          <w:p>
            <w:pPr>
              <w:pStyle w:val="TableText"/>
              <w:ind w:left="64"/>
              <w:spacing w:before="142" w:line="219" w:lineRule="auto"/>
              <w:rPr>
                <w:sz w:val="17"/>
                <w:szCs w:val="17"/>
              </w:rPr>
            </w:pPr>
            <w:r>
              <w:rPr>
                <w:sz w:val="17"/>
                <w:szCs w:val="17"/>
                <w:spacing w:val="3"/>
              </w:rPr>
              <w:t>者聚市场监管部口</w:t>
            </w:r>
          </w:p>
        </w:tc>
        <w:tc>
          <w:tcPr>
            <w:tcW w:w="3711" w:type="dxa"/>
            <w:vAlign w:val="top"/>
          </w:tcPr>
          <w:p>
            <w:pPr>
              <w:pStyle w:val="TableText"/>
              <w:ind w:left="46"/>
              <w:spacing w:before="140" w:line="219" w:lineRule="auto"/>
              <w:rPr>
                <w:sz w:val="17"/>
                <w:szCs w:val="17"/>
              </w:rPr>
            </w:pPr>
            <w:r>
              <w:rPr>
                <w:sz w:val="17"/>
                <w:szCs w:val="17"/>
                <w:spacing w:val="2"/>
              </w:rPr>
              <w:t>1外国企业食驻代表机构登记管理条例)</w:t>
            </w:r>
          </w:p>
        </w:tc>
      </w:tr>
      <w:tr>
        <w:trPr>
          <w:trHeight w:val="839" w:hRule="atLeast"/>
        </w:trPr>
        <w:tc>
          <w:tcPr>
            <w:tcW w:w="574" w:type="dxa"/>
            <w:vAlign w:val="top"/>
          </w:tcPr>
          <w:p>
            <w:pPr>
              <w:spacing w:line="302" w:lineRule="auto"/>
              <w:rPr>
                <w:rFonts w:ascii="Arial"/>
                <w:sz w:val="21"/>
              </w:rPr>
            </w:pPr>
            <w:r/>
          </w:p>
          <w:p>
            <w:pPr>
              <w:pStyle w:val="TableText"/>
              <w:ind w:left="144"/>
              <w:spacing w:before="55"/>
              <w:rPr>
                <w:sz w:val="17"/>
                <w:szCs w:val="17"/>
              </w:rPr>
            </w:pPr>
            <w:r>
              <w:rPr>
                <w:sz w:val="17"/>
                <w:szCs w:val="17"/>
                <w:spacing w:val="-2"/>
              </w:rPr>
              <w:t>66h</w:t>
            </w:r>
          </w:p>
        </w:tc>
        <w:tc>
          <w:tcPr>
            <w:tcW w:w="1299" w:type="dxa"/>
            <w:vAlign w:val="top"/>
          </w:tcPr>
          <w:p>
            <w:pPr>
              <w:spacing w:line="286" w:lineRule="auto"/>
              <w:rPr>
                <w:rFonts w:ascii="Arial"/>
                <w:sz w:val="21"/>
              </w:rPr>
            </w:pPr>
            <w:r/>
          </w:p>
          <w:p>
            <w:pPr>
              <w:pStyle w:val="TableText"/>
              <w:ind w:left="130"/>
              <w:spacing w:before="55" w:line="219" w:lineRule="auto"/>
              <w:rPr>
                <w:sz w:val="17"/>
                <w:szCs w:val="17"/>
              </w:rPr>
            </w:pPr>
            <w:r>
              <w:rPr>
                <w:sz w:val="17"/>
                <w:szCs w:val="17"/>
                <w:spacing w:val="2"/>
              </w:rPr>
              <w:t>市场蓝管益局</w:t>
            </w:r>
          </w:p>
        </w:tc>
        <w:tc>
          <w:tcPr>
            <w:tcW w:w="1638" w:type="dxa"/>
            <w:vAlign w:val="top"/>
          </w:tcPr>
          <w:p>
            <w:pPr>
              <w:pStyle w:val="TableText"/>
              <w:ind w:left="52" w:right="27"/>
              <w:spacing w:before="143" w:line="218" w:lineRule="auto"/>
              <w:jc w:val="both"/>
              <w:rPr>
                <w:sz w:val="17"/>
                <w:szCs w:val="17"/>
              </w:rPr>
            </w:pPr>
            <w:r>
              <w:rPr>
                <w:sz w:val="17"/>
                <w:szCs w:val="17"/>
                <w:spacing w:val="1"/>
              </w:rPr>
              <w:t>外酮(购以)查变在中</w:t>
            </w:r>
            <w:r>
              <w:rPr>
                <w:sz w:val="17"/>
                <w:szCs w:val="17"/>
                <w:spacing w:val="7"/>
              </w:rPr>
              <w:t xml:space="preserve"> </w:t>
            </w:r>
            <w:r>
              <w:rPr>
                <w:sz w:val="17"/>
                <w:szCs w:val="17"/>
                <w:spacing w:val="-1"/>
              </w:rPr>
              <w:t>确填内从事生产经登</w:t>
            </w:r>
            <w:r>
              <w:rPr>
                <w:sz w:val="17"/>
                <w:szCs w:val="17"/>
                <w:spacing w:val="1"/>
              </w:rPr>
              <w:t xml:space="preserve"> </w:t>
            </w:r>
            <w:r>
              <w:rPr>
                <w:sz w:val="17"/>
                <w:szCs w:val="17"/>
                <w:spacing w:val="-2"/>
              </w:rPr>
              <w:t>语动核星</w:t>
            </w:r>
          </w:p>
        </w:tc>
        <w:tc>
          <w:tcPr>
            <w:tcW w:w="2377" w:type="dxa"/>
            <w:vAlign w:val="top"/>
          </w:tcPr>
          <w:p>
            <w:pPr>
              <w:spacing w:line="286" w:lineRule="auto"/>
              <w:rPr>
                <w:rFonts w:ascii="Arial"/>
                <w:sz w:val="21"/>
              </w:rPr>
            </w:pPr>
            <w:r/>
          </w:p>
          <w:p>
            <w:pPr>
              <w:pStyle w:val="TableText"/>
              <w:ind w:left="64"/>
              <w:spacing w:before="55" w:line="219" w:lineRule="auto"/>
              <w:rPr>
                <w:sz w:val="17"/>
                <w:szCs w:val="17"/>
              </w:rPr>
            </w:pPr>
            <w:r>
              <w:rPr>
                <w:sz w:val="17"/>
                <w:szCs w:val="17"/>
                <w:spacing w:val="3"/>
              </w:rPr>
              <w:t>省联市屿监管命口</w:t>
            </w:r>
          </w:p>
        </w:tc>
        <w:tc>
          <w:tcPr>
            <w:tcW w:w="3711" w:type="dxa"/>
            <w:vAlign w:val="top"/>
          </w:tcPr>
          <w:p>
            <w:pPr>
              <w:pStyle w:val="TableText"/>
              <w:ind w:left="46"/>
              <w:spacing w:before="61" w:line="208" w:lineRule="auto"/>
              <w:rPr>
                <w:sz w:val="17"/>
                <w:szCs w:val="17"/>
              </w:rPr>
            </w:pPr>
            <w:r>
              <w:rPr>
                <w:sz w:val="17"/>
                <w:szCs w:val="17"/>
              </w:rPr>
              <w:t>1国务院对确需保祖的行世审批机自设定行改</w:t>
            </w:r>
            <w:r>
              <w:rPr>
                <w:sz w:val="17"/>
                <w:szCs w:val="17"/>
                <w:spacing w:val="-1"/>
              </w:rPr>
              <w:t>许可</w:t>
            </w:r>
            <w:r>
              <w:rPr>
                <w:sz w:val="17"/>
                <w:szCs w:val="17"/>
              </w:rPr>
              <w:t xml:space="preserve"> </w:t>
            </w:r>
            <w:r>
              <w:rPr>
                <w:sz w:val="17"/>
                <w:szCs w:val="17"/>
                <w:spacing w:val="21"/>
              </w:rPr>
              <w:t>的决定】</w:t>
            </w:r>
          </w:p>
          <w:p>
            <w:pPr>
              <w:pStyle w:val="TableText"/>
              <w:ind w:left="46"/>
              <w:spacing w:before="8" w:line="204" w:lineRule="auto"/>
              <w:rPr>
                <w:sz w:val="17"/>
                <w:szCs w:val="17"/>
              </w:rPr>
            </w:pPr>
            <w:r>
              <w:rPr>
                <w:sz w:val="17"/>
                <w:szCs w:val="17"/>
              </w:rPr>
              <w:t>(外国(物区)全业在中国境内从事生产经育活</w:t>
            </w:r>
            <w:r>
              <w:rPr>
                <w:sz w:val="17"/>
                <w:szCs w:val="17"/>
                <w:spacing w:val="-1"/>
              </w:rPr>
              <w:t>动表</w:t>
            </w:r>
            <w:r>
              <w:rPr>
                <w:sz w:val="17"/>
                <w:szCs w:val="17"/>
              </w:rPr>
              <w:t xml:space="preserve"> </w:t>
            </w:r>
            <w:r>
              <w:rPr>
                <w:sz w:val="17"/>
                <w:szCs w:val="17"/>
                <w:spacing w:val="-2"/>
              </w:rPr>
              <w:t>记首理办法》</w:t>
            </w:r>
          </w:p>
        </w:tc>
      </w:tr>
      <w:tr>
        <w:trPr>
          <w:trHeight w:val="429" w:hRule="atLeast"/>
        </w:trPr>
        <w:tc>
          <w:tcPr>
            <w:tcW w:w="574" w:type="dxa"/>
            <w:vAlign w:val="top"/>
          </w:tcPr>
          <w:p>
            <w:pPr>
              <w:pStyle w:val="TableText"/>
              <w:ind w:left="144"/>
              <w:spacing w:before="177" w:line="183" w:lineRule="auto"/>
              <w:rPr>
                <w:sz w:val="17"/>
                <w:szCs w:val="17"/>
              </w:rPr>
            </w:pPr>
            <w:r>
              <w:rPr>
                <w:sz w:val="17"/>
                <w:szCs w:val="17"/>
                <w:spacing w:val="-2"/>
              </w:rPr>
              <w:t>659</w:t>
            </w:r>
          </w:p>
        </w:tc>
        <w:tc>
          <w:tcPr>
            <w:tcW w:w="1299" w:type="dxa"/>
            <w:vAlign w:val="top"/>
          </w:tcPr>
          <w:p>
            <w:pPr>
              <w:pStyle w:val="TableText"/>
              <w:ind w:left="301"/>
              <w:spacing w:before="134" w:line="221" w:lineRule="auto"/>
              <w:rPr>
                <w:sz w:val="17"/>
                <w:szCs w:val="17"/>
              </w:rPr>
            </w:pPr>
            <w:r>
              <w:rPr>
                <w:sz w:val="17"/>
                <w:szCs w:val="17"/>
                <w:spacing w:val="3"/>
              </w:rPr>
              <w:t>广电总局</w:t>
            </w:r>
          </w:p>
        </w:tc>
        <w:tc>
          <w:tcPr>
            <w:tcW w:w="1638" w:type="dxa"/>
            <w:vAlign w:val="top"/>
          </w:tcPr>
          <w:p>
            <w:pPr>
              <w:pStyle w:val="TableText"/>
              <w:ind w:left="52" w:right="52"/>
              <w:spacing w:before="43" w:line="204" w:lineRule="auto"/>
              <w:rPr>
                <w:sz w:val="17"/>
                <w:szCs w:val="17"/>
              </w:rPr>
            </w:pPr>
            <w:r>
              <w:rPr>
                <w:sz w:val="17"/>
                <w:szCs w:val="17"/>
                <w:spacing w:val="-1"/>
              </w:rPr>
              <w:t>广播电孩节目前作经</w:t>
            </w:r>
            <w:r>
              <w:rPr>
                <w:sz w:val="17"/>
                <w:szCs w:val="17"/>
                <w:spacing w:val="1"/>
              </w:rPr>
              <w:t xml:space="preserve"> </w:t>
            </w:r>
            <w:r>
              <w:rPr>
                <w:sz w:val="17"/>
                <w:szCs w:val="17"/>
                <w:spacing w:val="-1"/>
              </w:rPr>
              <w:t>置单位没立审挝</w:t>
            </w:r>
          </w:p>
        </w:tc>
        <w:tc>
          <w:tcPr>
            <w:tcW w:w="2377" w:type="dxa"/>
            <w:vAlign w:val="top"/>
          </w:tcPr>
          <w:p>
            <w:pPr>
              <w:pStyle w:val="TableText"/>
              <w:ind w:left="64"/>
              <w:spacing w:before="134" w:line="219" w:lineRule="auto"/>
              <w:rPr>
                <w:sz w:val="17"/>
                <w:szCs w:val="17"/>
              </w:rPr>
            </w:pPr>
            <w:r>
              <w:rPr>
                <w:sz w:val="17"/>
                <w:szCs w:val="17"/>
                <w:spacing w:val="1"/>
              </w:rPr>
              <w:t>广电总周；省袋广电部门</w:t>
            </w:r>
          </w:p>
        </w:tc>
        <w:tc>
          <w:tcPr>
            <w:tcW w:w="3711" w:type="dxa"/>
            <w:vAlign w:val="top"/>
          </w:tcPr>
          <w:p>
            <w:pPr>
              <w:pStyle w:val="TableText"/>
              <w:spacing w:before="134" w:line="219" w:lineRule="auto"/>
              <w:rPr>
                <w:sz w:val="17"/>
                <w:szCs w:val="17"/>
              </w:rPr>
            </w:pPr>
            <w:r>
              <w:rPr>
                <w:sz w:val="17"/>
                <w:szCs w:val="17"/>
                <w:spacing w:val="-4"/>
              </w:rPr>
              <w:t>《广唐电视管理房例]</w:t>
            </w:r>
          </w:p>
        </w:tc>
      </w:tr>
      <w:tr>
        <w:trPr>
          <w:trHeight w:val="439" w:hRule="atLeast"/>
        </w:trPr>
        <w:tc>
          <w:tcPr>
            <w:tcW w:w="574" w:type="dxa"/>
            <w:vAlign w:val="top"/>
          </w:tcPr>
          <w:p>
            <w:pPr>
              <w:pStyle w:val="TableText"/>
              <w:ind w:left="144"/>
              <w:spacing w:before="188" w:line="183" w:lineRule="auto"/>
              <w:rPr>
                <w:sz w:val="17"/>
                <w:szCs w:val="17"/>
              </w:rPr>
            </w:pPr>
            <w:r>
              <w:rPr>
                <w:sz w:val="17"/>
                <w:szCs w:val="17"/>
                <w:spacing w:val="-3"/>
              </w:rPr>
              <w:t>570</w:t>
            </w:r>
          </w:p>
        </w:tc>
        <w:tc>
          <w:tcPr>
            <w:tcW w:w="1299" w:type="dxa"/>
            <w:vAlign w:val="top"/>
          </w:tcPr>
          <w:p>
            <w:pPr>
              <w:pStyle w:val="TableText"/>
              <w:ind w:left="301"/>
              <w:spacing w:before="145" w:line="219" w:lineRule="auto"/>
              <w:rPr>
                <w:sz w:val="17"/>
                <w:szCs w:val="17"/>
              </w:rPr>
            </w:pPr>
            <w:r>
              <w:rPr>
                <w:sz w:val="17"/>
                <w:szCs w:val="17"/>
                <w:spacing w:val="-2"/>
              </w:rPr>
              <w:t>广电监随</w:t>
            </w:r>
          </w:p>
        </w:tc>
        <w:tc>
          <w:tcPr>
            <w:tcW w:w="1638" w:type="dxa"/>
            <w:vAlign w:val="top"/>
          </w:tcPr>
          <w:p>
            <w:pPr>
              <w:pStyle w:val="TableText"/>
              <w:ind w:left="52" w:right="65" w:hanging="10"/>
              <w:spacing w:before="55" w:line="203" w:lineRule="auto"/>
              <w:rPr>
                <w:sz w:val="17"/>
                <w:szCs w:val="17"/>
              </w:rPr>
            </w:pPr>
            <w:r>
              <w:rPr>
                <w:sz w:val="17"/>
                <w:szCs w:val="17"/>
                <w:spacing w:val="-2"/>
              </w:rPr>
              <w:t>设立电抗的制件单位</w:t>
            </w:r>
            <w:r>
              <w:rPr>
                <w:sz w:val="17"/>
                <w:szCs w:val="17"/>
                <w:spacing w:val="7"/>
              </w:rPr>
              <w:t xml:space="preserve"> </w:t>
            </w:r>
            <w:r>
              <w:rPr>
                <w:sz w:val="17"/>
                <w:szCs w:val="17"/>
                <w:spacing w:val="-2"/>
              </w:rPr>
              <w:t>第表</w:t>
            </w:r>
          </w:p>
        </w:tc>
        <w:tc>
          <w:tcPr>
            <w:tcW w:w="2377" w:type="dxa"/>
            <w:vAlign w:val="top"/>
          </w:tcPr>
          <w:p>
            <w:pPr>
              <w:pStyle w:val="TableText"/>
              <w:ind w:left="64"/>
              <w:spacing w:before="145" w:line="220" w:lineRule="auto"/>
              <w:rPr>
                <w:sz w:val="17"/>
                <w:szCs w:val="17"/>
              </w:rPr>
            </w:pPr>
            <w:r>
              <w:rPr>
                <w:sz w:val="17"/>
                <w:szCs w:val="17"/>
                <w:spacing w:val="-2"/>
              </w:rPr>
              <w:t>广些总再</w:t>
            </w:r>
          </w:p>
        </w:tc>
        <w:tc>
          <w:tcPr>
            <w:tcW w:w="3711" w:type="dxa"/>
            <w:vAlign w:val="top"/>
          </w:tcPr>
          <w:p>
            <w:pPr>
              <w:pStyle w:val="TableText"/>
              <w:ind w:left="46"/>
              <w:spacing w:before="145" w:line="219" w:lineRule="auto"/>
              <w:rPr>
                <w:sz w:val="17"/>
                <w:szCs w:val="17"/>
              </w:rPr>
            </w:pPr>
            <w:r>
              <w:rPr>
                <w:sz w:val="17"/>
                <w:szCs w:val="17"/>
                <w:spacing w:val="-1"/>
              </w:rPr>
              <w:t>t广播电概管理条例：</w:t>
            </w:r>
          </w:p>
        </w:tc>
      </w:tr>
      <w:tr>
        <w:trPr>
          <w:trHeight w:val="639" w:hRule="atLeast"/>
        </w:trPr>
        <w:tc>
          <w:tcPr>
            <w:tcW w:w="574" w:type="dxa"/>
            <w:vAlign w:val="top"/>
          </w:tcPr>
          <w:p>
            <w:pPr>
              <w:pStyle w:val="TableText"/>
              <w:ind w:left="144"/>
              <w:spacing w:before="287" w:line="185" w:lineRule="auto"/>
              <w:rPr>
                <w:sz w:val="17"/>
                <w:szCs w:val="17"/>
              </w:rPr>
            </w:pPr>
            <w:r>
              <w:rPr>
                <w:sz w:val="17"/>
                <w:szCs w:val="17"/>
                <w:spacing w:val="-1"/>
              </w:rPr>
              <w:t>A71</w:t>
            </w:r>
          </w:p>
        </w:tc>
        <w:tc>
          <w:tcPr>
            <w:tcW w:w="1299" w:type="dxa"/>
            <w:vAlign w:val="top"/>
          </w:tcPr>
          <w:p>
            <w:pPr>
              <w:pStyle w:val="TableText"/>
              <w:ind w:left="301"/>
              <w:spacing w:before="246" w:line="219" w:lineRule="auto"/>
              <w:rPr>
                <w:sz w:val="17"/>
                <w:szCs w:val="17"/>
              </w:rPr>
            </w:pPr>
            <w:r>
              <w:rPr>
                <w:sz w:val="17"/>
                <w:szCs w:val="17"/>
                <w:spacing w:val="-2"/>
              </w:rPr>
              <w:t>广电豆高</w:t>
            </w:r>
          </w:p>
        </w:tc>
        <w:tc>
          <w:tcPr>
            <w:tcW w:w="1638" w:type="dxa"/>
            <w:vAlign w:val="top"/>
          </w:tcPr>
          <w:p>
            <w:pPr>
              <w:pStyle w:val="TableText"/>
              <w:ind w:left="52"/>
              <w:spacing w:before="246" w:line="219" w:lineRule="auto"/>
              <w:rPr>
                <w:sz w:val="17"/>
                <w:szCs w:val="17"/>
              </w:rPr>
            </w:pPr>
            <w:r>
              <w:rPr>
                <w:sz w:val="17"/>
                <w:szCs w:val="17"/>
                <w:spacing w:val="1"/>
              </w:rPr>
              <w:t>国产根氢防片审查</w:t>
            </w:r>
          </w:p>
        </w:tc>
        <w:tc>
          <w:tcPr>
            <w:tcW w:w="2377" w:type="dxa"/>
            <w:vAlign w:val="top"/>
          </w:tcPr>
          <w:p>
            <w:pPr>
              <w:pStyle w:val="TableText"/>
              <w:ind w:left="64"/>
              <w:spacing w:before="246" w:line="219" w:lineRule="auto"/>
              <w:rPr>
                <w:sz w:val="17"/>
                <w:szCs w:val="17"/>
              </w:rPr>
            </w:pPr>
            <w:r>
              <w:rPr>
                <w:sz w:val="17"/>
                <w:szCs w:val="17"/>
                <w:spacing w:val="1"/>
              </w:rPr>
              <w:t>广电总局，省理广女都门</w:t>
            </w:r>
          </w:p>
        </w:tc>
        <w:tc>
          <w:tcPr>
            <w:tcW w:w="3711" w:type="dxa"/>
            <w:vAlign w:val="top"/>
          </w:tcPr>
          <w:p>
            <w:pPr>
              <w:pStyle w:val="TableText"/>
              <w:ind w:left="83" w:right="13" w:hanging="84"/>
              <w:spacing w:before="65" w:line="207" w:lineRule="auto"/>
              <w:rPr>
                <w:sz w:val="17"/>
                <w:szCs w:val="17"/>
              </w:rPr>
            </w:pPr>
            <w:r>
              <w:rPr>
                <w:sz w:val="17"/>
                <w:szCs w:val="17"/>
                <w:spacing w:val="-3"/>
              </w:rPr>
              <w:t>《酒务武对确圆保解的行致审批项目设定行政许可</w:t>
            </w:r>
            <w:r>
              <w:rPr>
                <w:sz w:val="17"/>
                <w:szCs w:val="17"/>
                <w:spacing w:val="12"/>
              </w:rPr>
              <w:t xml:space="preserve"> </w:t>
            </w:r>
            <w:r>
              <w:rPr>
                <w:sz w:val="17"/>
                <w:szCs w:val="17"/>
                <w:spacing w:val="19"/>
              </w:rPr>
              <w:t>的送采】</w:t>
            </w:r>
          </w:p>
          <w:p>
            <w:pPr>
              <w:pStyle w:val="TableText"/>
              <w:ind w:left="46"/>
              <w:spacing w:before="19" w:line="177" w:lineRule="auto"/>
              <w:rPr>
                <w:sz w:val="17"/>
                <w:szCs w:val="17"/>
              </w:rPr>
            </w:pPr>
            <w:r>
              <w:rPr>
                <w:sz w:val="17"/>
                <w:szCs w:val="17"/>
                <w:spacing w:val="1"/>
              </w:rPr>
              <w:t>电器制内将管理规定1</w:t>
            </w:r>
          </w:p>
        </w:tc>
      </w:tr>
      <w:tr>
        <w:trPr>
          <w:trHeight w:val="654" w:hRule="atLeast"/>
        </w:trPr>
        <w:tc>
          <w:tcPr>
            <w:tcW w:w="574" w:type="dxa"/>
            <w:vAlign w:val="top"/>
          </w:tcPr>
          <w:p>
            <w:pPr>
              <w:pStyle w:val="TableText"/>
              <w:ind w:left="144"/>
              <w:spacing w:before="289" w:line="184" w:lineRule="auto"/>
              <w:rPr>
                <w:sz w:val="17"/>
                <w:szCs w:val="17"/>
              </w:rPr>
            </w:pPr>
            <w:r>
              <w:rPr>
                <w:sz w:val="17"/>
                <w:szCs w:val="17"/>
                <w:spacing w:val="-3"/>
              </w:rPr>
              <w:t>571</w:t>
            </w:r>
          </w:p>
        </w:tc>
        <w:tc>
          <w:tcPr>
            <w:tcW w:w="1299" w:type="dxa"/>
            <w:vAlign w:val="top"/>
          </w:tcPr>
          <w:p>
            <w:pPr>
              <w:pStyle w:val="TableText"/>
              <w:ind w:left="301"/>
              <w:spacing w:before="247" w:line="221" w:lineRule="auto"/>
              <w:rPr>
                <w:sz w:val="17"/>
                <w:szCs w:val="17"/>
              </w:rPr>
            </w:pPr>
            <w:r>
              <w:rPr>
                <w:sz w:val="17"/>
                <w:szCs w:val="17"/>
                <w:spacing w:val="3"/>
              </w:rPr>
              <w:t>广电总局</w:t>
            </w:r>
          </w:p>
        </w:tc>
        <w:tc>
          <w:tcPr>
            <w:tcW w:w="1638" w:type="dxa"/>
            <w:vAlign w:val="top"/>
          </w:tcPr>
          <w:p>
            <w:pPr>
              <w:pStyle w:val="TableText"/>
              <w:ind w:left="52" w:right="32"/>
              <w:spacing w:before="74" w:line="206" w:lineRule="auto"/>
              <w:jc w:val="both"/>
              <w:rPr>
                <w:sz w:val="17"/>
                <w:szCs w:val="17"/>
              </w:rPr>
            </w:pPr>
            <w:r>
              <w:rPr>
                <w:sz w:val="17"/>
                <w:szCs w:val="17"/>
                <w:spacing w:val="1"/>
              </w:rPr>
              <w:t>愿校节目部作机构与</w:t>
            </w:r>
            <w:r>
              <w:rPr>
                <w:sz w:val="17"/>
                <w:szCs w:val="17"/>
                <w:spacing w:val="3"/>
              </w:rPr>
              <w:t xml:space="preserve"> </w:t>
            </w:r>
            <w:r>
              <w:rPr>
                <w:sz w:val="17"/>
                <w:szCs w:val="17"/>
                <w:spacing w:val="1"/>
              </w:rPr>
              <w:t>外方合作料作电税刷</w:t>
            </w:r>
            <w:r>
              <w:rPr>
                <w:sz w:val="17"/>
                <w:szCs w:val="17"/>
                <w:spacing w:val="3"/>
              </w:rPr>
              <w:t xml:space="preserve"> </w:t>
            </w:r>
            <w:r>
              <w:rPr>
                <w:sz w:val="17"/>
                <w:szCs w:val="17"/>
                <w:spacing w:val="3"/>
              </w:rPr>
              <w:t>审批</w:t>
            </w:r>
          </w:p>
        </w:tc>
        <w:tc>
          <w:tcPr>
            <w:tcW w:w="2377" w:type="dxa"/>
            <w:vAlign w:val="top"/>
          </w:tcPr>
          <w:p>
            <w:pPr>
              <w:pStyle w:val="TableText"/>
              <w:ind w:left="64" w:right="184"/>
              <w:spacing w:before="167" w:line="228" w:lineRule="auto"/>
              <w:rPr>
                <w:sz w:val="17"/>
                <w:szCs w:val="17"/>
              </w:rPr>
            </w:pPr>
            <w:r>
              <w:rPr>
                <w:sz w:val="17"/>
                <w:szCs w:val="17"/>
                <w:spacing w:val="-1"/>
              </w:rPr>
              <w:t>广电总局(由省级广电部门量</w:t>
            </w:r>
            <w:r>
              <w:rPr>
                <w:sz w:val="17"/>
                <w:szCs w:val="17"/>
                <w:spacing w:val="5"/>
              </w:rPr>
              <w:t xml:space="preserve"> </w:t>
            </w:r>
            <w:r>
              <w:rPr>
                <w:sz w:val="17"/>
                <w:szCs w:val="17"/>
                <w:spacing w:val="-4"/>
              </w:rPr>
              <w:t>理》</w:t>
            </w:r>
          </w:p>
        </w:tc>
        <w:tc>
          <w:tcPr>
            <w:tcW w:w="3711" w:type="dxa"/>
            <w:vAlign w:val="top"/>
          </w:tcPr>
          <w:p>
            <w:pPr>
              <w:pStyle w:val="TableText"/>
              <w:ind w:left="83" w:right="13" w:hanging="84"/>
              <w:spacing w:before="157" w:line="224" w:lineRule="auto"/>
              <w:rPr>
                <w:sz w:val="17"/>
                <w:szCs w:val="17"/>
              </w:rPr>
            </w:pPr>
            <w:r>
              <w:rPr>
                <w:sz w:val="17"/>
                <w:szCs w:val="17"/>
                <w:spacing w:val="-3"/>
              </w:rPr>
              <w:t>《国务酸则确需保题的行政审批项日设定行政许可</w:t>
            </w:r>
            <w:r>
              <w:rPr>
                <w:sz w:val="17"/>
                <w:szCs w:val="17"/>
                <w:spacing w:val="12"/>
              </w:rPr>
              <w:t xml:space="preserve"> </w:t>
            </w:r>
            <w:r>
              <w:rPr>
                <w:sz w:val="17"/>
                <w:szCs w:val="17"/>
                <w:spacing w:val="-3"/>
              </w:rPr>
              <w:t>的费定》</w:t>
            </w:r>
          </w:p>
        </w:tc>
      </w:tr>
    </w:tbl>
    <w:p>
      <w:pPr>
        <w:pStyle w:val="BodyText"/>
        <w:rPr/>
      </w:pPr>
      <w:r/>
    </w:p>
    <w:p>
      <w:pPr>
        <w:sectPr>
          <w:pgSz w:w="11910" w:h="8220"/>
          <w:pgMar w:top="400" w:right="1165" w:bottom="400" w:left="822" w:header="0" w:footer="0" w:gutter="0"/>
        </w:sectPr>
        <w:rPr/>
      </w:pPr>
    </w:p>
    <w:p>
      <w:pPr>
        <w:spacing w:before="103"/>
        <w:rPr/>
      </w:pPr>
      <w:r>
        <mc:AlternateContent xmlns:mc="http://schemas.openxmlformats.org/markup-compatibility/2006">
          <mc:Choice Requires="wps">
            <w:drawing>
              <wp:anchor distT="0" distB="0" distL="0" distR="0" simplePos="0" relativeHeight="25188352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284" name="TextBox 28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6" style="position:absolute;margin-left:37.0402pt;margin-top:345.135pt;mso-position-vertical-relative:page;mso-position-horizontal-relative:page;width:13.6pt;height:12.35pt;z-index:25188352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5" w:hRule="atLeast"/>
        </w:trPr>
        <w:tc>
          <w:tcPr>
            <w:tcW w:w="574" w:type="dxa"/>
            <w:vAlign w:val="top"/>
          </w:tcPr>
          <w:p>
            <w:pPr>
              <w:pStyle w:val="TableText"/>
              <w:ind w:left="104"/>
              <w:spacing w:before="122" w:line="221" w:lineRule="auto"/>
              <w:rPr>
                <w:sz w:val="17"/>
                <w:szCs w:val="17"/>
              </w:rPr>
            </w:pPr>
            <w:r>
              <w:rPr>
                <w:sz w:val="17"/>
                <w:szCs w:val="17"/>
                <w:spacing w:val="5"/>
              </w:rPr>
              <w:t>厚号</w:t>
            </w:r>
          </w:p>
        </w:tc>
        <w:tc>
          <w:tcPr>
            <w:tcW w:w="1299" w:type="dxa"/>
            <w:vAlign w:val="top"/>
          </w:tcPr>
          <w:p>
            <w:pPr>
              <w:pStyle w:val="TableText"/>
              <w:ind w:left="130"/>
              <w:spacing w:before="122" w:line="219" w:lineRule="auto"/>
              <w:rPr>
                <w:sz w:val="17"/>
                <w:szCs w:val="17"/>
              </w:rPr>
            </w:pPr>
            <w:r>
              <w:rPr>
                <w:sz w:val="17"/>
                <w:szCs w:val="17"/>
                <w:spacing w:val="3"/>
              </w:rPr>
              <w:t>中央主登部门</w:t>
            </w:r>
          </w:p>
        </w:tc>
        <w:tc>
          <w:tcPr>
            <w:tcW w:w="1638" w:type="dxa"/>
            <w:vAlign w:val="top"/>
          </w:tcPr>
          <w:p>
            <w:pPr>
              <w:pStyle w:val="TableText"/>
              <w:ind w:left="471"/>
              <w:spacing w:before="122" w:line="220" w:lineRule="auto"/>
              <w:rPr>
                <w:sz w:val="17"/>
                <w:szCs w:val="17"/>
              </w:rPr>
            </w:pPr>
            <w:r>
              <w:rPr>
                <w:sz w:val="17"/>
                <w:szCs w:val="17"/>
                <w:spacing w:val="-2"/>
              </w:rPr>
              <w:t>事项名称</w:t>
            </w:r>
          </w:p>
        </w:tc>
        <w:tc>
          <w:tcPr>
            <w:tcW w:w="2377" w:type="dxa"/>
            <w:vAlign w:val="top"/>
          </w:tcPr>
          <w:p>
            <w:pPr>
              <w:pStyle w:val="TableText"/>
              <w:ind w:left="834"/>
              <w:spacing w:before="120" w:line="219" w:lineRule="auto"/>
              <w:rPr>
                <w:sz w:val="17"/>
                <w:szCs w:val="17"/>
              </w:rPr>
            </w:pPr>
            <w:r>
              <w:rPr>
                <w:sz w:val="17"/>
                <w:szCs w:val="17"/>
                <w:spacing w:val="-3"/>
              </w:rPr>
              <w:t>实施机关</w:t>
            </w:r>
          </w:p>
        </w:tc>
        <w:tc>
          <w:tcPr>
            <w:tcW w:w="3711" w:type="dxa"/>
            <w:vAlign w:val="top"/>
          </w:tcPr>
          <w:p>
            <w:pPr>
              <w:pStyle w:val="TableText"/>
              <w:ind w:left="1276"/>
              <w:spacing w:before="120" w:line="219" w:lineRule="auto"/>
              <w:rPr>
                <w:sz w:val="17"/>
                <w:szCs w:val="17"/>
              </w:rPr>
            </w:pPr>
            <w:r>
              <w:rPr>
                <w:sz w:val="17"/>
                <w:szCs w:val="17"/>
                <w:spacing w:val="-2"/>
              </w:rPr>
              <w:t>设定和实练依据</w:t>
            </w:r>
          </w:p>
        </w:tc>
      </w:tr>
      <w:tr>
        <w:trPr>
          <w:trHeight w:val="519" w:hRule="atLeast"/>
        </w:trPr>
        <w:tc>
          <w:tcPr>
            <w:tcW w:w="574" w:type="dxa"/>
            <w:vAlign w:val="top"/>
          </w:tcPr>
          <w:p>
            <w:pPr>
              <w:pStyle w:val="TableText"/>
              <w:ind w:left="144"/>
              <w:spacing w:before="220" w:line="183" w:lineRule="auto"/>
              <w:rPr>
                <w:sz w:val="17"/>
                <w:szCs w:val="17"/>
              </w:rPr>
            </w:pPr>
            <w:r>
              <w:rPr>
                <w:sz w:val="17"/>
                <w:szCs w:val="17"/>
                <w:spacing w:val="-3"/>
              </w:rPr>
              <w:t>573</w:t>
            </w:r>
          </w:p>
        </w:tc>
        <w:tc>
          <w:tcPr>
            <w:tcW w:w="1299" w:type="dxa"/>
            <w:vAlign w:val="top"/>
          </w:tcPr>
          <w:p>
            <w:pPr>
              <w:pStyle w:val="TableText"/>
              <w:ind w:left="380"/>
              <w:spacing w:before="177" w:line="221" w:lineRule="auto"/>
              <w:rPr>
                <w:sz w:val="17"/>
                <w:szCs w:val="17"/>
              </w:rPr>
            </w:pPr>
            <w:r>
              <w:rPr>
                <w:sz w:val="17"/>
                <w:szCs w:val="17"/>
                <w:spacing w:val="5"/>
              </w:rPr>
              <w:t>电总局</w:t>
            </w:r>
          </w:p>
        </w:tc>
        <w:tc>
          <w:tcPr>
            <w:tcW w:w="1638" w:type="dxa"/>
            <w:vAlign w:val="top"/>
          </w:tcPr>
          <w:p>
            <w:pPr>
              <w:pStyle w:val="TableText"/>
              <w:ind w:left="22" w:right="41" w:firstLine="20"/>
              <w:spacing w:before="86" w:line="219" w:lineRule="auto"/>
              <w:rPr>
                <w:sz w:val="17"/>
                <w:szCs w:val="17"/>
              </w:rPr>
            </w:pPr>
            <w:r>
              <w:rPr>
                <w:sz w:val="17"/>
                <w:szCs w:val="17"/>
                <w:spacing w:val="1"/>
              </w:rPr>
              <w:t>绩外广糙电视节目审</w:t>
            </w:r>
            <w:r>
              <w:rPr>
                <w:sz w:val="17"/>
                <w:szCs w:val="17"/>
                <w:spacing w:val="4"/>
              </w:rPr>
              <w:t xml:space="preserve"> </w:t>
            </w:r>
            <w:r>
              <w:rPr>
                <w:sz w:val="17"/>
                <w:szCs w:val="17"/>
              </w:rPr>
              <w:t>院</w:t>
            </w:r>
          </w:p>
        </w:tc>
        <w:tc>
          <w:tcPr>
            <w:tcW w:w="2377" w:type="dxa"/>
            <w:vAlign w:val="top"/>
          </w:tcPr>
          <w:p>
            <w:pPr>
              <w:pStyle w:val="TableText"/>
              <w:ind w:left="64"/>
              <w:spacing w:before="177" w:line="219" w:lineRule="auto"/>
              <w:rPr>
                <w:sz w:val="17"/>
                <w:szCs w:val="17"/>
              </w:rPr>
            </w:pPr>
            <w:r>
              <w:rPr>
                <w:sz w:val="17"/>
                <w:szCs w:val="17"/>
                <w:spacing w:val="1"/>
              </w:rPr>
              <w:t>广电益局，古观广电部门</w:t>
            </w:r>
          </w:p>
        </w:tc>
        <w:tc>
          <w:tcPr>
            <w:tcW w:w="3711" w:type="dxa"/>
            <w:vAlign w:val="top"/>
          </w:tcPr>
          <w:p>
            <w:pPr>
              <w:pStyle w:val="TableText"/>
              <w:ind w:left="137"/>
              <w:spacing w:before="87" w:line="217" w:lineRule="auto"/>
              <w:rPr>
                <w:sz w:val="17"/>
                <w:szCs w:val="17"/>
              </w:rPr>
            </w:pPr>
            <w:r>
              <w:rPr>
                <w:sz w:val="17"/>
                <w:szCs w:val="17"/>
                <w:spacing w:val="-2"/>
              </w:rPr>
              <w:t>广每电担管理条创》</w:t>
            </w:r>
          </w:p>
          <w:p>
            <w:pPr>
              <w:pStyle w:val="TableText"/>
              <w:ind w:left="137"/>
              <w:spacing w:line="219" w:lineRule="auto"/>
              <w:rPr>
                <w:sz w:val="17"/>
                <w:szCs w:val="17"/>
              </w:rPr>
            </w:pPr>
            <w:r>
              <w:rPr>
                <w:sz w:val="17"/>
                <w:szCs w:val="17"/>
              </w:rPr>
              <w:t>(境外电概节目引迹，播出暂理煤定》</w:t>
            </w:r>
          </w:p>
        </w:tc>
      </w:tr>
      <w:tr>
        <w:trPr>
          <w:trHeight w:val="919" w:hRule="atLeast"/>
        </w:trPr>
        <w:tc>
          <w:tcPr>
            <w:tcW w:w="574" w:type="dxa"/>
            <w:vAlign w:val="top"/>
          </w:tcPr>
          <w:p>
            <w:pPr>
              <w:spacing w:line="364" w:lineRule="auto"/>
              <w:rPr>
                <w:rFonts w:ascii="Arial"/>
                <w:sz w:val="21"/>
              </w:rPr>
            </w:pPr>
            <w:r/>
          </w:p>
          <w:p>
            <w:pPr>
              <w:pStyle w:val="TableText"/>
              <w:ind w:left="144"/>
              <w:spacing w:before="55" w:line="183" w:lineRule="auto"/>
              <w:rPr>
                <w:sz w:val="17"/>
                <w:szCs w:val="17"/>
              </w:rPr>
            </w:pPr>
            <w:r>
              <w:rPr>
                <w:sz w:val="17"/>
                <w:szCs w:val="17"/>
                <w:spacing w:val="-3"/>
              </w:rPr>
              <w:t>574</w:t>
            </w:r>
          </w:p>
        </w:tc>
        <w:tc>
          <w:tcPr>
            <w:tcW w:w="1299" w:type="dxa"/>
            <w:vAlign w:val="top"/>
          </w:tcPr>
          <w:p>
            <w:pPr>
              <w:spacing w:line="321" w:lineRule="auto"/>
              <w:rPr>
                <w:rFonts w:ascii="Arial"/>
                <w:sz w:val="21"/>
              </w:rPr>
            </w:pPr>
            <w:r/>
          </w:p>
          <w:p>
            <w:pPr>
              <w:pStyle w:val="TableText"/>
              <w:ind w:left="301"/>
              <w:spacing w:before="55" w:line="221" w:lineRule="auto"/>
              <w:rPr>
                <w:sz w:val="17"/>
                <w:szCs w:val="17"/>
              </w:rPr>
            </w:pPr>
            <w:r>
              <w:rPr>
                <w:sz w:val="17"/>
                <w:szCs w:val="17"/>
                <w:spacing w:val="3"/>
              </w:rPr>
              <w:t>广电总局</w:t>
            </w:r>
          </w:p>
        </w:tc>
        <w:tc>
          <w:tcPr>
            <w:tcW w:w="1638" w:type="dxa"/>
            <w:vAlign w:val="top"/>
          </w:tcPr>
          <w:p>
            <w:pPr>
              <w:pStyle w:val="TableText"/>
              <w:ind w:left="42"/>
              <w:spacing w:before="67" w:line="217" w:lineRule="auto"/>
              <w:rPr>
                <w:sz w:val="17"/>
                <w:szCs w:val="17"/>
              </w:rPr>
            </w:pPr>
            <w:r>
              <w:rPr>
                <w:sz w:val="17"/>
                <w:szCs w:val="17"/>
                <w:spacing w:val="-1"/>
              </w:rPr>
              <w:t>广播电古，电视介队</w:t>
            </w:r>
          </w:p>
          <w:p>
            <w:pPr>
              <w:pStyle w:val="TableText"/>
              <w:ind w:left="131"/>
              <w:spacing w:line="218" w:lineRule="auto"/>
              <w:rPr>
                <w:sz w:val="17"/>
                <w:szCs w:val="17"/>
              </w:rPr>
            </w:pPr>
            <w:r>
              <w:rPr>
                <w:sz w:val="17"/>
                <w:szCs w:val="17"/>
                <w:spacing w:val="-1"/>
              </w:rPr>
              <w:t>卫是等传曾方志进</w:t>
            </w:r>
          </w:p>
          <w:p>
            <w:pPr>
              <w:pStyle w:val="TableText"/>
              <w:ind w:left="82"/>
              <w:spacing w:before="19" w:line="207" w:lineRule="auto"/>
              <w:rPr>
                <w:sz w:val="17"/>
                <w:szCs w:val="17"/>
              </w:rPr>
            </w:pPr>
            <w:r>
              <w:rPr>
                <w:sz w:val="17"/>
                <w:szCs w:val="17"/>
                <w:spacing w:val="1"/>
              </w:rPr>
              <w:t>口.转酒境外广播电</w:t>
            </w:r>
          </w:p>
          <w:p>
            <w:pPr>
              <w:pStyle w:val="TableText"/>
              <w:ind w:left="52"/>
              <w:spacing w:line="220" w:lineRule="auto"/>
              <w:rPr>
                <w:sz w:val="17"/>
                <w:szCs w:val="17"/>
              </w:rPr>
            </w:pPr>
            <w:r>
              <w:rPr>
                <w:sz w:val="17"/>
                <w:szCs w:val="17"/>
                <w:spacing w:val="-1"/>
              </w:rPr>
              <w:t>程节目要批</w:t>
            </w:r>
          </w:p>
        </w:tc>
        <w:tc>
          <w:tcPr>
            <w:tcW w:w="2377" w:type="dxa"/>
            <w:vAlign w:val="top"/>
          </w:tcPr>
          <w:p>
            <w:pPr>
              <w:pStyle w:val="TableText"/>
              <w:ind w:left="64" w:right="184"/>
              <w:spacing w:before="287" w:line="215" w:lineRule="auto"/>
              <w:rPr>
                <w:sz w:val="17"/>
                <w:szCs w:val="17"/>
              </w:rPr>
            </w:pPr>
            <w:r>
              <w:rPr>
                <w:sz w:val="17"/>
                <w:szCs w:val="17"/>
                <w:spacing w:val="-1"/>
              </w:rPr>
              <w:t>广能总船1面省圾广重器门变</w:t>
            </w:r>
            <w:r>
              <w:rPr>
                <w:sz w:val="17"/>
                <w:szCs w:val="17"/>
                <w:spacing w:val="5"/>
              </w:rPr>
              <w:t xml:space="preserve"> </w:t>
            </w:r>
            <w:r>
              <w:rPr>
                <w:sz w:val="17"/>
                <w:szCs w:val="17"/>
                <w:spacing w:val="6"/>
              </w:rPr>
              <w:t>厚1</w:t>
            </w:r>
          </w:p>
        </w:tc>
        <w:tc>
          <w:tcPr>
            <w:tcW w:w="3711" w:type="dxa"/>
            <w:vAlign w:val="top"/>
          </w:tcPr>
          <w:p>
            <w:pPr>
              <w:spacing w:line="320" w:lineRule="auto"/>
              <w:rPr>
                <w:rFonts w:ascii="Arial"/>
                <w:sz w:val="21"/>
              </w:rPr>
            </w:pPr>
            <w:r/>
          </w:p>
          <w:p>
            <w:pPr>
              <w:pStyle w:val="TableText"/>
              <w:ind w:left="137"/>
              <w:spacing w:before="56" w:line="219" w:lineRule="auto"/>
              <w:rPr>
                <w:sz w:val="17"/>
                <w:szCs w:val="17"/>
              </w:rPr>
            </w:pPr>
            <w:r>
              <w:rPr>
                <w:sz w:val="17"/>
                <w:szCs w:val="17"/>
                <w:spacing w:val="-2"/>
              </w:rPr>
              <w:t>4广播电拉管理条例》</w:t>
            </w:r>
          </w:p>
        </w:tc>
      </w:tr>
      <w:tr>
        <w:trPr>
          <w:trHeight w:val="509" w:hRule="atLeast"/>
        </w:trPr>
        <w:tc>
          <w:tcPr>
            <w:tcW w:w="574" w:type="dxa"/>
            <w:vAlign w:val="top"/>
          </w:tcPr>
          <w:p>
            <w:pPr>
              <w:pStyle w:val="TableText"/>
              <w:ind w:left="144"/>
              <w:spacing w:before="213" w:line="182" w:lineRule="auto"/>
              <w:rPr>
                <w:sz w:val="17"/>
                <w:szCs w:val="17"/>
              </w:rPr>
            </w:pPr>
            <w:r>
              <w:rPr>
                <w:sz w:val="17"/>
                <w:szCs w:val="17"/>
                <w:spacing w:val="-3"/>
              </w:rPr>
              <w:t>575</w:t>
            </w:r>
          </w:p>
        </w:tc>
        <w:tc>
          <w:tcPr>
            <w:tcW w:w="1299" w:type="dxa"/>
            <w:vAlign w:val="top"/>
          </w:tcPr>
          <w:p>
            <w:pPr>
              <w:pStyle w:val="TableText"/>
              <w:ind w:left="301"/>
              <w:spacing w:before="167" w:line="219" w:lineRule="auto"/>
              <w:rPr>
                <w:sz w:val="17"/>
                <w:szCs w:val="17"/>
              </w:rPr>
            </w:pPr>
            <w:r>
              <w:rPr>
                <w:sz w:val="17"/>
                <w:szCs w:val="17"/>
                <w:spacing w:val="4"/>
              </w:rPr>
              <w:t>广电总鼎</w:t>
            </w:r>
          </w:p>
        </w:tc>
        <w:tc>
          <w:tcPr>
            <w:tcW w:w="1638" w:type="dxa"/>
            <w:vAlign w:val="top"/>
          </w:tcPr>
          <w:p>
            <w:pPr>
              <w:pStyle w:val="TableText"/>
              <w:ind w:left="42" w:right="63"/>
              <w:spacing w:before="78" w:line="223" w:lineRule="auto"/>
              <w:rPr>
                <w:sz w:val="17"/>
                <w:szCs w:val="17"/>
              </w:rPr>
            </w:pPr>
            <w:r>
              <w:rPr>
                <w:sz w:val="17"/>
                <w:szCs w:val="17"/>
                <w:spacing w:val="-1"/>
              </w:rPr>
              <w:t>谓外广播面视机构在</w:t>
            </w:r>
            <w:r>
              <w:rPr>
                <w:sz w:val="17"/>
                <w:szCs w:val="17"/>
              </w:rPr>
              <w:t xml:space="preserve"> </w:t>
            </w:r>
            <w:r>
              <w:rPr>
                <w:sz w:val="17"/>
                <w:szCs w:val="17"/>
                <w:spacing w:val="-1"/>
              </w:rPr>
              <w:t>作设交办事机构审我</w:t>
            </w:r>
          </w:p>
        </w:tc>
        <w:tc>
          <w:tcPr>
            <w:tcW w:w="2377" w:type="dxa"/>
            <w:vAlign w:val="top"/>
          </w:tcPr>
          <w:p>
            <w:pPr>
              <w:pStyle w:val="TableText"/>
              <w:ind w:left="64"/>
              <w:spacing w:before="167" w:line="219" w:lineRule="auto"/>
              <w:rPr>
                <w:sz w:val="17"/>
                <w:szCs w:val="17"/>
              </w:rPr>
            </w:pPr>
            <w:r>
              <w:rPr>
                <w:sz w:val="17"/>
                <w:szCs w:val="17"/>
                <w:spacing w:val="-1"/>
              </w:rPr>
              <w:t>广电总同会列面务院新园办</w:t>
            </w:r>
          </w:p>
        </w:tc>
        <w:tc>
          <w:tcPr>
            <w:tcW w:w="3711" w:type="dxa"/>
            <w:vAlign w:val="top"/>
          </w:tcPr>
          <w:p>
            <w:pPr>
              <w:pStyle w:val="TableText"/>
              <w:ind w:left="137" w:right="4" w:hanging="85"/>
              <w:spacing w:before="88" w:line="213" w:lineRule="auto"/>
              <w:rPr>
                <w:sz w:val="17"/>
                <w:szCs w:val="17"/>
              </w:rPr>
            </w:pPr>
            <w:r>
              <w:rPr>
                <w:sz w:val="17"/>
                <w:szCs w:val="17"/>
                <w:spacing w:val="-5"/>
              </w:rPr>
              <w:t>《网务院对确需保解的行政审热项日设定行政许可</w:t>
            </w:r>
            <w:r>
              <w:rPr>
                <w:sz w:val="17"/>
                <w:szCs w:val="17"/>
                <w:spacing w:val="13"/>
              </w:rPr>
              <w:t xml:space="preserve"> </w:t>
            </w:r>
            <w:r>
              <w:rPr>
                <w:sz w:val="17"/>
                <w:szCs w:val="17"/>
                <w:spacing w:val="-1"/>
              </w:rPr>
              <w:t>的决定》</w:t>
            </w:r>
          </w:p>
        </w:tc>
      </w:tr>
      <w:tr>
        <w:trPr>
          <w:trHeight w:val="509" w:hRule="atLeast"/>
        </w:trPr>
        <w:tc>
          <w:tcPr>
            <w:tcW w:w="574" w:type="dxa"/>
            <w:vAlign w:val="top"/>
          </w:tcPr>
          <w:p>
            <w:pPr>
              <w:pStyle w:val="TableText"/>
              <w:ind w:left="144"/>
              <w:spacing w:before="213" w:line="183" w:lineRule="auto"/>
              <w:rPr>
                <w:sz w:val="17"/>
                <w:szCs w:val="17"/>
              </w:rPr>
            </w:pPr>
            <w:r>
              <w:rPr>
                <w:sz w:val="17"/>
                <w:szCs w:val="17"/>
                <w:spacing w:val="-3"/>
              </w:rPr>
              <w:t>576</w:t>
            </w:r>
          </w:p>
        </w:tc>
        <w:tc>
          <w:tcPr>
            <w:tcW w:w="1299" w:type="dxa"/>
            <w:vAlign w:val="top"/>
          </w:tcPr>
          <w:p>
            <w:pPr>
              <w:pStyle w:val="TableText"/>
              <w:ind w:left="301"/>
              <w:spacing w:before="170" w:line="221" w:lineRule="auto"/>
              <w:rPr>
                <w:sz w:val="17"/>
                <w:szCs w:val="17"/>
              </w:rPr>
            </w:pPr>
            <w:r>
              <w:rPr>
                <w:sz w:val="17"/>
                <w:szCs w:val="17"/>
                <w:spacing w:val="3"/>
              </w:rPr>
              <w:t>广电总局</w:t>
            </w:r>
          </w:p>
        </w:tc>
        <w:tc>
          <w:tcPr>
            <w:tcW w:w="1638" w:type="dxa"/>
            <w:vAlign w:val="top"/>
          </w:tcPr>
          <w:p>
            <w:pPr>
              <w:pStyle w:val="TableText"/>
              <w:ind w:left="52" w:right="63" w:hanging="10"/>
              <w:spacing w:before="71" w:line="223" w:lineRule="auto"/>
              <w:rPr>
                <w:sz w:val="17"/>
                <w:szCs w:val="17"/>
              </w:rPr>
            </w:pPr>
            <w:r>
              <w:rPr>
                <w:sz w:val="17"/>
                <w:szCs w:val="17"/>
                <w:spacing w:val="-1"/>
              </w:rPr>
              <w:t>境外卫星电视病通落</w:t>
            </w:r>
            <w:r>
              <w:rPr>
                <w:sz w:val="17"/>
                <w:szCs w:val="17"/>
              </w:rPr>
              <w:t xml:space="preserve"> </w:t>
            </w:r>
            <w:r>
              <w:rPr>
                <w:sz w:val="17"/>
                <w:szCs w:val="17"/>
                <w:spacing w:val="-2"/>
              </w:rPr>
              <w:t>地审社</w:t>
            </w:r>
          </w:p>
        </w:tc>
        <w:tc>
          <w:tcPr>
            <w:tcW w:w="2377" w:type="dxa"/>
            <w:vAlign w:val="top"/>
          </w:tcPr>
          <w:p>
            <w:pPr>
              <w:pStyle w:val="TableText"/>
              <w:ind w:left="64"/>
              <w:spacing w:before="170" w:line="221" w:lineRule="auto"/>
              <w:rPr>
                <w:sz w:val="17"/>
                <w:szCs w:val="17"/>
              </w:rPr>
            </w:pPr>
            <w:r>
              <w:rPr>
                <w:sz w:val="17"/>
                <w:szCs w:val="17"/>
                <w:spacing w:val="3"/>
              </w:rPr>
              <w:t>广电总局</w:t>
            </w:r>
          </w:p>
        </w:tc>
        <w:tc>
          <w:tcPr>
            <w:tcW w:w="3711" w:type="dxa"/>
            <w:vAlign w:val="top"/>
          </w:tcPr>
          <w:p>
            <w:pPr>
              <w:pStyle w:val="TableText"/>
              <w:ind w:left="137"/>
              <w:spacing w:before="70" w:line="218" w:lineRule="auto"/>
              <w:rPr>
                <w:sz w:val="17"/>
                <w:szCs w:val="17"/>
              </w:rPr>
            </w:pPr>
            <w:r>
              <w:rPr>
                <w:sz w:val="17"/>
                <w:szCs w:val="17"/>
                <w:spacing w:val="-1"/>
              </w:rPr>
              <w:t>城务就对确客保部的有政审老理日设容行或环可</w:t>
            </w:r>
            <w:r>
              <w:rPr>
                <w:sz w:val="17"/>
                <w:szCs w:val="17"/>
                <w:spacing w:val="13"/>
              </w:rPr>
              <w:t xml:space="preserve"> </w:t>
            </w:r>
            <w:r>
              <w:rPr>
                <w:sz w:val="17"/>
                <w:szCs w:val="17"/>
                <w:spacing w:val="3"/>
              </w:rPr>
              <w:t>的决定</w:t>
            </w:r>
          </w:p>
        </w:tc>
      </w:tr>
      <w:tr>
        <w:trPr>
          <w:trHeight w:val="519" w:hRule="atLeast"/>
        </w:trPr>
        <w:tc>
          <w:tcPr>
            <w:tcW w:w="574" w:type="dxa"/>
            <w:vAlign w:val="top"/>
          </w:tcPr>
          <w:p>
            <w:pPr>
              <w:pStyle w:val="TableText"/>
              <w:ind w:left="144"/>
              <w:spacing w:before="197" w:line="239" w:lineRule="auto"/>
              <w:rPr>
                <w:sz w:val="17"/>
                <w:szCs w:val="17"/>
              </w:rPr>
            </w:pPr>
            <w:r>
              <w:rPr>
                <w:sz w:val="17"/>
                <w:szCs w:val="17"/>
                <w:spacing w:val="-3"/>
              </w:rPr>
              <w:t>57?</w:t>
            </w:r>
          </w:p>
        </w:tc>
        <w:tc>
          <w:tcPr>
            <w:tcW w:w="1299" w:type="dxa"/>
            <w:vAlign w:val="top"/>
          </w:tcPr>
          <w:p>
            <w:pPr>
              <w:pStyle w:val="TableText"/>
              <w:ind w:left="301"/>
              <w:spacing w:before="181" w:line="221" w:lineRule="auto"/>
              <w:rPr>
                <w:sz w:val="17"/>
                <w:szCs w:val="17"/>
              </w:rPr>
            </w:pPr>
            <w:r>
              <w:rPr>
                <w:sz w:val="17"/>
                <w:szCs w:val="17"/>
                <w:spacing w:val="3"/>
              </w:rPr>
              <w:t>广电总照</w:t>
            </w:r>
          </w:p>
        </w:tc>
        <w:tc>
          <w:tcPr>
            <w:tcW w:w="1638" w:type="dxa"/>
            <w:vAlign w:val="top"/>
          </w:tcPr>
          <w:p>
            <w:pPr>
              <w:pStyle w:val="TableText"/>
              <w:ind w:left="42" w:right="63"/>
              <w:spacing w:before="90" w:line="219" w:lineRule="auto"/>
              <w:rPr>
                <w:sz w:val="17"/>
                <w:szCs w:val="17"/>
              </w:rPr>
            </w:pPr>
            <w:r>
              <w:rPr>
                <w:sz w:val="17"/>
                <w:szCs w:val="17"/>
                <w:spacing w:val="-1"/>
              </w:rPr>
              <w:t>草办广借电夜节目交</w:t>
            </w:r>
            <w:r>
              <w:rPr>
                <w:sz w:val="17"/>
                <w:szCs w:val="17"/>
              </w:rPr>
              <w:t xml:space="preserve"> </w:t>
            </w:r>
            <w:r>
              <w:rPr>
                <w:sz w:val="17"/>
                <w:szCs w:val="17"/>
                <w:spacing w:val="-1"/>
              </w:rPr>
              <w:t>施，交易洒动审扯</w:t>
            </w:r>
          </w:p>
        </w:tc>
        <w:tc>
          <w:tcPr>
            <w:tcW w:w="2377" w:type="dxa"/>
            <w:vAlign w:val="top"/>
          </w:tcPr>
          <w:p>
            <w:pPr>
              <w:pStyle w:val="TableText"/>
              <w:ind w:left="64"/>
              <w:spacing w:before="181" w:line="219" w:lineRule="auto"/>
              <w:rPr>
                <w:sz w:val="17"/>
                <w:szCs w:val="17"/>
              </w:rPr>
            </w:pPr>
            <w:r>
              <w:rPr>
                <w:sz w:val="17"/>
                <w:szCs w:val="17"/>
                <w:spacing w:val="1"/>
              </w:rPr>
              <w:t>广电总局，省级广电部门</w:t>
            </w:r>
          </w:p>
        </w:tc>
        <w:tc>
          <w:tcPr>
            <w:tcW w:w="3711" w:type="dxa"/>
            <w:vAlign w:val="top"/>
          </w:tcPr>
          <w:p>
            <w:pPr>
              <w:pStyle w:val="TableText"/>
              <w:ind w:left="137"/>
              <w:spacing w:before="181" w:line="219" w:lineRule="auto"/>
              <w:rPr>
                <w:sz w:val="17"/>
                <w:szCs w:val="17"/>
              </w:rPr>
            </w:pPr>
            <w:r>
              <w:rPr>
                <w:sz w:val="17"/>
                <w:szCs w:val="17"/>
                <w:spacing w:val="-2"/>
              </w:rPr>
              <w:t>广描电视管理条创》</w:t>
            </w:r>
          </w:p>
        </w:tc>
      </w:tr>
      <w:tr>
        <w:trPr>
          <w:trHeight w:val="509" w:hRule="atLeast"/>
        </w:trPr>
        <w:tc>
          <w:tcPr>
            <w:tcW w:w="574" w:type="dxa"/>
            <w:vAlign w:val="top"/>
          </w:tcPr>
          <w:p>
            <w:pPr>
              <w:pStyle w:val="TableText"/>
              <w:ind w:left="144"/>
              <w:spacing w:before="215" w:line="183" w:lineRule="auto"/>
              <w:rPr>
                <w:sz w:val="17"/>
                <w:szCs w:val="17"/>
              </w:rPr>
            </w:pPr>
            <w:r>
              <w:rPr>
                <w:sz w:val="17"/>
                <w:szCs w:val="17"/>
                <w:spacing w:val="-3"/>
              </w:rPr>
              <w:t>578</w:t>
            </w:r>
          </w:p>
        </w:tc>
        <w:tc>
          <w:tcPr>
            <w:tcW w:w="1299" w:type="dxa"/>
            <w:vAlign w:val="top"/>
          </w:tcPr>
          <w:p>
            <w:pPr>
              <w:pStyle w:val="TableText"/>
              <w:ind w:left="301"/>
              <w:spacing w:before="172" w:line="219" w:lineRule="auto"/>
              <w:rPr>
                <w:sz w:val="17"/>
                <w:szCs w:val="17"/>
              </w:rPr>
            </w:pPr>
            <w:r>
              <w:rPr>
                <w:sz w:val="17"/>
                <w:szCs w:val="17"/>
                <w:spacing w:val="3"/>
              </w:rPr>
              <w:t>产电总局</w:t>
            </w:r>
          </w:p>
        </w:tc>
        <w:tc>
          <w:tcPr>
            <w:tcW w:w="1638" w:type="dxa"/>
            <w:vAlign w:val="top"/>
          </w:tcPr>
          <w:p>
            <w:pPr>
              <w:pStyle w:val="TableText"/>
              <w:ind w:left="62" w:right="62" w:hanging="20"/>
              <w:spacing w:before="92" w:line="218" w:lineRule="auto"/>
              <w:rPr>
                <w:sz w:val="17"/>
                <w:szCs w:val="17"/>
              </w:rPr>
            </w:pPr>
            <w:r>
              <w:rPr>
                <w:sz w:val="17"/>
                <w:szCs w:val="17"/>
                <w:spacing w:val="-1"/>
              </w:rPr>
              <w:t>广播电权专用辆段票</w:t>
            </w:r>
            <w:r>
              <w:rPr>
                <w:sz w:val="17"/>
                <w:szCs w:val="17"/>
                <w:spacing w:val="1"/>
              </w:rPr>
              <w:t xml:space="preserve"> </w:t>
            </w:r>
            <w:r>
              <w:rPr>
                <w:sz w:val="17"/>
                <w:szCs w:val="17"/>
                <w:spacing w:val="-2"/>
              </w:rPr>
              <w:t>率使用许可</w:t>
            </w:r>
          </w:p>
        </w:tc>
        <w:tc>
          <w:tcPr>
            <w:tcW w:w="2377" w:type="dxa"/>
            <w:vAlign w:val="top"/>
          </w:tcPr>
          <w:p>
            <w:pPr>
              <w:pStyle w:val="TableText"/>
              <w:ind w:left="63" w:hanging="19"/>
              <w:spacing w:before="91" w:line="220" w:lineRule="auto"/>
              <w:rPr>
                <w:sz w:val="17"/>
                <w:szCs w:val="17"/>
              </w:rPr>
            </w:pPr>
            <w:r>
              <w:rPr>
                <w:sz w:val="17"/>
                <w:szCs w:val="17"/>
                <w:spacing w:val="-5"/>
              </w:rPr>
              <w:t>广电总局《由本烟广电部门受理</w:t>
            </w:r>
            <w:r>
              <w:rPr>
                <w:sz w:val="17"/>
                <w:szCs w:val="17"/>
                <w:spacing w:val="11"/>
              </w:rPr>
              <w:t xml:space="preserve"> </w:t>
            </w:r>
            <w:r>
              <w:rPr>
                <w:sz w:val="17"/>
                <w:szCs w:val="17"/>
                <w:spacing w:val="5"/>
              </w:rPr>
              <w:t>升莲级上跟)</w:t>
            </w:r>
          </w:p>
        </w:tc>
        <w:tc>
          <w:tcPr>
            <w:tcW w:w="3711" w:type="dxa"/>
            <w:vAlign w:val="top"/>
          </w:tcPr>
          <w:p>
            <w:pPr>
              <w:pStyle w:val="TableText"/>
              <w:ind w:left="52"/>
              <w:spacing w:before="172" w:line="219" w:lineRule="auto"/>
              <w:rPr>
                <w:sz w:val="17"/>
                <w:szCs w:val="17"/>
              </w:rPr>
            </w:pPr>
            <w:r>
              <w:rPr>
                <w:sz w:val="17"/>
                <w:szCs w:val="17"/>
                <w:spacing w:val="-2"/>
              </w:rPr>
              <w:t>《广招电摆售理务例》</w:t>
            </w:r>
          </w:p>
        </w:tc>
      </w:tr>
      <w:tr>
        <w:trPr>
          <w:trHeight w:val="519" w:hRule="atLeast"/>
        </w:trPr>
        <w:tc>
          <w:tcPr>
            <w:tcW w:w="574" w:type="dxa"/>
            <w:vAlign w:val="top"/>
          </w:tcPr>
          <w:p>
            <w:pPr>
              <w:pStyle w:val="TableText"/>
              <w:ind w:left="144"/>
              <w:spacing w:before="226" w:line="183" w:lineRule="auto"/>
              <w:rPr>
                <w:sz w:val="17"/>
                <w:szCs w:val="17"/>
              </w:rPr>
            </w:pPr>
            <w:r>
              <w:rPr>
                <w:sz w:val="17"/>
                <w:szCs w:val="17"/>
                <w:spacing w:val="-3"/>
              </w:rPr>
              <w:t>579</w:t>
            </w:r>
          </w:p>
        </w:tc>
        <w:tc>
          <w:tcPr>
            <w:tcW w:w="1299" w:type="dxa"/>
            <w:vAlign w:val="top"/>
          </w:tcPr>
          <w:p>
            <w:pPr>
              <w:pStyle w:val="TableText"/>
              <w:ind w:left="301"/>
              <w:spacing w:before="183" w:line="221" w:lineRule="auto"/>
              <w:rPr>
                <w:sz w:val="17"/>
                <w:szCs w:val="17"/>
              </w:rPr>
            </w:pPr>
            <w:r>
              <w:rPr>
                <w:sz w:val="17"/>
                <w:szCs w:val="17"/>
                <w:spacing w:val="3"/>
              </w:rPr>
              <w:t>广电总局</w:t>
            </w:r>
          </w:p>
        </w:tc>
        <w:tc>
          <w:tcPr>
            <w:tcW w:w="1638" w:type="dxa"/>
            <w:vAlign w:val="top"/>
          </w:tcPr>
          <w:p>
            <w:pPr>
              <w:pStyle w:val="TableText"/>
              <w:ind w:left="52" w:right="63" w:hanging="10"/>
              <w:spacing w:before="93" w:line="218" w:lineRule="auto"/>
              <w:rPr>
                <w:sz w:val="17"/>
                <w:szCs w:val="17"/>
              </w:rPr>
            </w:pPr>
            <w:r>
              <w:rPr>
                <w:sz w:val="17"/>
                <w:szCs w:val="17"/>
                <w:spacing w:val="-1"/>
              </w:rPr>
              <w:t>无线广播电视发射设</w:t>
            </w:r>
            <w:r>
              <w:rPr>
                <w:sz w:val="17"/>
                <w:szCs w:val="17"/>
              </w:rPr>
              <w:t xml:space="preserve"> </w:t>
            </w:r>
            <w:r>
              <w:rPr>
                <w:sz w:val="17"/>
                <w:szCs w:val="17"/>
                <w:spacing w:val="-2"/>
              </w:rPr>
              <w:t>备订购证明棱发</w:t>
            </w:r>
          </w:p>
        </w:tc>
        <w:tc>
          <w:tcPr>
            <w:tcW w:w="2377" w:type="dxa"/>
            <w:vAlign w:val="top"/>
          </w:tcPr>
          <w:p>
            <w:pPr>
              <w:pStyle w:val="TableText"/>
              <w:ind w:left="64"/>
              <w:spacing w:before="183" w:line="219" w:lineRule="auto"/>
              <w:rPr>
                <w:sz w:val="17"/>
                <w:szCs w:val="17"/>
              </w:rPr>
            </w:pPr>
            <w:r>
              <w:rPr>
                <w:sz w:val="17"/>
                <w:szCs w:val="17"/>
                <w:spacing w:val="1"/>
              </w:rPr>
              <w:t>广电卷局；者塘广通部门</w:t>
            </w:r>
          </w:p>
        </w:tc>
        <w:tc>
          <w:tcPr>
            <w:tcW w:w="3711" w:type="dxa"/>
            <w:vAlign w:val="top"/>
          </w:tcPr>
          <w:p>
            <w:pPr>
              <w:pStyle w:val="TableText"/>
              <w:ind w:left="137" w:right="56" w:hanging="70"/>
              <w:spacing w:before="63" w:line="229" w:lineRule="auto"/>
              <w:rPr>
                <w:sz w:val="17"/>
                <w:szCs w:val="17"/>
              </w:rPr>
            </w:pPr>
            <w:r>
              <w:rPr>
                <w:sz w:val="17"/>
                <w:szCs w:val="17"/>
              </w:rPr>
              <w:t>国务院对确离保面的行改事批项目设定和此作可</w:t>
            </w:r>
            <w:r>
              <w:rPr>
                <w:sz w:val="17"/>
                <w:szCs w:val="17"/>
                <w:spacing w:val="6"/>
              </w:rPr>
              <w:t xml:space="preserve"> </w:t>
            </w:r>
            <w:r>
              <w:rPr>
                <w:sz w:val="17"/>
                <w:szCs w:val="17"/>
                <w:spacing w:val="3"/>
              </w:rPr>
              <w:t>的决定1</w:t>
            </w:r>
          </w:p>
        </w:tc>
      </w:tr>
      <w:tr>
        <w:trPr>
          <w:trHeight w:val="509" w:hRule="atLeast"/>
        </w:trPr>
        <w:tc>
          <w:tcPr>
            <w:tcW w:w="574" w:type="dxa"/>
            <w:vAlign w:val="top"/>
          </w:tcPr>
          <w:p>
            <w:pPr>
              <w:pStyle w:val="TableText"/>
              <w:ind w:left="144"/>
              <w:spacing w:before="217" w:line="183" w:lineRule="auto"/>
              <w:rPr>
                <w:sz w:val="17"/>
                <w:szCs w:val="17"/>
              </w:rPr>
            </w:pPr>
            <w:r>
              <w:rPr>
                <w:sz w:val="17"/>
                <w:szCs w:val="17"/>
                <w:spacing w:val="-3"/>
              </w:rPr>
              <w:t>580</w:t>
            </w:r>
          </w:p>
        </w:tc>
        <w:tc>
          <w:tcPr>
            <w:tcW w:w="1299" w:type="dxa"/>
            <w:vAlign w:val="top"/>
          </w:tcPr>
          <w:p>
            <w:pPr>
              <w:pStyle w:val="TableText"/>
              <w:ind w:left="301"/>
              <w:spacing w:before="174" w:line="221" w:lineRule="auto"/>
              <w:rPr>
                <w:sz w:val="17"/>
                <w:szCs w:val="17"/>
              </w:rPr>
            </w:pPr>
            <w:r>
              <w:rPr>
                <w:sz w:val="17"/>
                <w:szCs w:val="17"/>
                <w:spacing w:val="3"/>
              </w:rPr>
              <w:t>广电益局</w:t>
            </w:r>
          </w:p>
        </w:tc>
        <w:tc>
          <w:tcPr>
            <w:tcW w:w="1638" w:type="dxa"/>
            <w:vAlign w:val="top"/>
          </w:tcPr>
          <w:p>
            <w:pPr>
              <w:pStyle w:val="TableText"/>
              <w:ind w:left="52" w:right="62" w:hanging="10"/>
              <w:spacing w:before="83" w:line="219" w:lineRule="auto"/>
              <w:rPr>
                <w:sz w:val="17"/>
                <w:szCs w:val="17"/>
              </w:rPr>
            </w:pPr>
            <w:r>
              <w:rPr>
                <w:sz w:val="17"/>
                <w:szCs w:val="17"/>
                <w:spacing w:val="-1"/>
              </w:rPr>
              <w:t>广播电器设备器材人</w:t>
            </w:r>
            <w:r>
              <w:rPr>
                <w:sz w:val="17"/>
                <w:szCs w:val="17"/>
                <w:spacing w:val="1"/>
              </w:rPr>
              <w:t xml:space="preserve"> </w:t>
            </w:r>
            <w:r>
              <w:rPr>
                <w:sz w:val="17"/>
                <w:szCs w:val="17"/>
                <w:spacing w:val="3"/>
              </w:rPr>
              <w:t>网认定</w:t>
            </w:r>
          </w:p>
        </w:tc>
        <w:tc>
          <w:tcPr>
            <w:tcW w:w="2377" w:type="dxa"/>
            <w:vAlign w:val="top"/>
          </w:tcPr>
          <w:p>
            <w:pPr>
              <w:pStyle w:val="TableText"/>
              <w:ind w:left="64"/>
              <w:spacing w:before="174" w:line="221" w:lineRule="auto"/>
              <w:rPr>
                <w:sz w:val="17"/>
                <w:szCs w:val="17"/>
              </w:rPr>
            </w:pPr>
            <w:r>
              <w:rPr>
                <w:sz w:val="17"/>
                <w:szCs w:val="17"/>
                <w:spacing w:val="3"/>
              </w:rPr>
              <w:t>广电总局</w:t>
            </w:r>
          </w:p>
        </w:tc>
        <w:tc>
          <w:tcPr>
            <w:tcW w:w="3711" w:type="dxa"/>
            <w:vAlign w:val="top"/>
          </w:tcPr>
          <w:p>
            <w:pPr>
              <w:pStyle w:val="TableText"/>
              <w:ind w:left="136" w:right="8" w:hanging="80"/>
              <w:spacing w:before="63" w:line="224" w:lineRule="auto"/>
              <w:rPr>
                <w:sz w:val="17"/>
                <w:szCs w:val="17"/>
              </w:rPr>
            </w:pPr>
            <w:r>
              <w:rPr>
                <w:sz w:val="17"/>
                <w:szCs w:val="17"/>
                <w:spacing w:val="-1"/>
              </w:rPr>
              <w:t>1国齐院起编需保信的有故取批项日设定行战作可</w:t>
            </w:r>
            <w:r>
              <w:rPr>
                <w:sz w:val="17"/>
                <w:szCs w:val="17"/>
                <w:spacing w:val="1"/>
              </w:rPr>
              <w:t xml:space="preserve"> </w:t>
            </w:r>
            <w:r>
              <w:rPr>
                <w:sz w:val="17"/>
                <w:szCs w:val="17"/>
                <w:spacing w:val="-1"/>
              </w:rPr>
              <w:t>的决定》</w:t>
            </w:r>
          </w:p>
        </w:tc>
      </w:tr>
      <w:tr>
        <w:trPr>
          <w:trHeight w:val="719" w:hRule="atLeast"/>
        </w:trPr>
        <w:tc>
          <w:tcPr>
            <w:tcW w:w="574" w:type="dxa"/>
            <w:vAlign w:val="top"/>
          </w:tcPr>
          <w:p>
            <w:pPr>
              <w:spacing w:line="271" w:lineRule="auto"/>
              <w:rPr>
                <w:rFonts w:ascii="Arial"/>
                <w:sz w:val="21"/>
              </w:rPr>
            </w:pPr>
            <w:r/>
          </w:p>
          <w:p>
            <w:pPr>
              <w:pStyle w:val="TableText"/>
              <w:ind w:left="144"/>
              <w:spacing w:before="55" w:line="184" w:lineRule="auto"/>
              <w:rPr>
                <w:sz w:val="17"/>
                <w:szCs w:val="17"/>
              </w:rPr>
            </w:pPr>
            <w:r>
              <w:rPr>
                <w:sz w:val="17"/>
                <w:szCs w:val="17"/>
                <w:spacing w:val="-3"/>
              </w:rPr>
              <w:t>581</w:t>
            </w:r>
          </w:p>
        </w:tc>
        <w:tc>
          <w:tcPr>
            <w:tcW w:w="1299" w:type="dxa"/>
            <w:vAlign w:val="top"/>
          </w:tcPr>
          <w:p>
            <w:pPr>
              <w:pStyle w:val="TableText"/>
              <w:ind w:left="301"/>
              <w:spacing w:before="285" w:line="221" w:lineRule="auto"/>
              <w:rPr>
                <w:sz w:val="17"/>
                <w:szCs w:val="17"/>
              </w:rPr>
            </w:pPr>
            <w:r>
              <w:rPr>
                <w:sz w:val="17"/>
                <w:szCs w:val="17"/>
                <w:spacing w:val="3"/>
              </w:rPr>
              <w:t>广电总局</w:t>
            </w:r>
          </w:p>
        </w:tc>
        <w:tc>
          <w:tcPr>
            <w:tcW w:w="1638" w:type="dxa"/>
            <w:vAlign w:val="top"/>
          </w:tcPr>
          <w:p>
            <w:pPr>
              <w:pStyle w:val="TableText"/>
              <w:ind w:left="42" w:right="62"/>
              <w:spacing w:before="194" w:line="214" w:lineRule="auto"/>
              <w:rPr>
                <w:sz w:val="17"/>
                <w:szCs w:val="17"/>
              </w:rPr>
            </w:pPr>
            <w:r>
              <w:rPr>
                <w:sz w:val="17"/>
                <w:szCs w:val="17"/>
                <w:spacing w:val="-1"/>
              </w:rPr>
              <w:t>广播电古，电视古设</w:t>
            </w:r>
            <w:r>
              <w:rPr>
                <w:sz w:val="17"/>
                <w:szCs w:val="17"/>
                <w:spacing w:val="1"/>
              </w:rPr>
              <w:t xml:space="preserve"> </w:t>
            </w:r>
            <w:r>
              <w:rPr>
                <w:sz w:val="17"/>
                <w:szCs w:val="17"/>
                <w:spacing w:val="-1"/>
              </w:rPr>
              <w:t>立，终止审税</w:t>
            </w:r>
          </w:p>
        </w:tc>
        <w:tc>
          <w:tcPr>
            <w:tcW w:w="2377" w:type="dxa"/>
            <w:vAlign w:val="top"/>
          </w:tcPr>
          <w:p>
            <w:pPr>
              <w:pStyle w:val="TableText"/>
              <w:ind w:left="64"/>
              <w:spacing w:before="74" w:line="229" w:lineRule="auto"/>
              <w:jc w:val="both"/>
              <w:rPr>
                <w:sz w:val="17"/>
                <w:szCs w:val="17"/>
              </w:rPr>
            </w:pPr>
            <w:r>
              <w:rPr>
                <w:sz w:val="17"/>
                <w:szCs w:val="17"/>
                <w:spacing w:val="-2"/>
              </w:rPr>
              <w:t>广电总局(地方广福电自，电税</w:t>
            </w:r>
            <w:r>
              <w:rPr>
                <w:sz w:val="17"/>
                <w:szCs w:val="17"/>
                <w:spacing w:val="4"/>
              </w:rPr>
              <w:t xml:space="preserve"> </w:t>
            </w:r>
            <w:r>
              <w:rPr>
                <w:sz w:val="17"/>
                <w:szCs w:val="17"/>
                <w:spacing w:val="-6"/>
              </w:rPr>
              <w:t>台设立，盘止由其本级厂电部门</w:t>
            </w:r>
            <w:r>
              <w:rPr>
                <w:sz w:val="17"/>
                <w:szCs w:val="17"/>
                <w:spacing w:val="5"/>
              </w:rPr>
              <w:t xml:space="preserve"> </w:t>
            </w:r>
            <w:r>
              <w:rPr>
                <w:sz w:val="17"/>
                <w:szCs w:val="17"/>
                <w:spacing w:val="2"/>
              </w:rPr>
              <w:t>受理并亚级上报!</w:t>
            </w:r>
          </w:p>
        </w:tc>
        <w:tc>
          <w:tcPr>
            <w:tcW w:w="3711" w:type="dxa"/>
            <w:vAlign w:val="top"/>
          </w:tcPr>
          <w:p>
            <w:pPr>
              <w:pStyle w:val="TableText"/>
              <w:ind w:left="137"/>
              <w:spacing w:before="285" w:line="219" w:lineRule="auto"/>
              <w:rPr>
                <w:sz w:val="17"/>
                <w:szCs w:val="17"/>
              </w:rPr>
            </w:pPr>
            <w:r>
              <w:rPr>
                <w:sz w:val="17"/>
                <w:szCs w:val="17"/>
              </w:rPr>
              <w:t>1广形电视管理茶例</w:t>
            </w:r>
          </w:p>
        </w:tc>
      </w:tr>
      <w:tr>
        <w:trPr>
          <w:trHeight w:val="944" w:hRule="atLeast"/>
        </w:trPr>
        <w:tc>
          <w:tcPr>
            <w:tcW w:w="574" w:type="dxa"/>
            <w:vAlign w:val="top"/>
          </w:tcPr>
          <w:p>
            <w:pPr>
              <w:spacing w:line="382" w:lineRule="auto"/>
              <w:rPr>
                <w:rFonts w:ascii="Arial"/>
                <w:sz w:val="21"/>
              </w:rPr>
            </w:pPr>
            <w:r/>
          </w:p>
          <w:p>
            <w:pPr>
              <w:pStyle w:val="TableText"/>
              <w:ind w:left="144"/>
              <w:spacing w:before="55" w:line="183" w:lineRule="auto"/>
              <w:rPr>
                <w:sz w:val="17"/>
                <w:szCs w:val="17"/>
              </w:rPr>
            </w:pPr>
            <w:r>
              <w:rPr>
                <w:sz w:val="17"/>
                <w:szCs w:val="17"/>
                <w:spacing w:val="-3"/>
              </w:rPr>
              <w:t>582</w:t>
            </w:r>
          </w:p>
        </w:tc>
        <w:tc>
          <w:tcPr>
            <w:tcW w:w="1299" w:type="dxa"/>
            <w:vAlign w:val="top"/>
          </w:tcPr>
          <w:p>
            <w:pPr>
              <w:spacing w:line="339" w:lineRule="auto"/>
              <w:rPr>
                <w:rFonts w:ascii="Arial"/>
                <w:sz w:val="21"/>
              </w:rPr>
            </w:pPr>
            <w:r/>
          </w:p>
          <w:p>
            <w:pPr>
              <w:pStyle w:val="TableText"/>
              <w:ind w:left="301"/>
              <w:spacing w:before="55" w:line="221" w:lineRule="auto"/>
              <w:rPr>
                <w:sz w:val="17"/>
                <w:szCs w:val="17"/>
              </w:rPr>
            </w:pPr>
            <w:r>
              <w:rPr>
                <w:sz w:val="17"/>
                <w:szCs w:val="17"/>
                <w:spacing w:val="3"/>
              </w:rPr>
              <w:t>广电益局</w:t>
            </w:r>
          </w:p>
        </w:tc>
        <w:tc>
          <w:tcPr>
            <w:tcW w:w="1638" w:type="dxa"/>
            <w:vAlign w:val="top"/>
          </w:tcPr>
          <w:p>
            <w:pPr>
              <w:pStyle w:val="TableText"/>
              <w:ind w:left="11" w:firstLine="69"/>
              <w:spacing w:before="95" w:line="218" w:lineRule="auto"/>
              <w:rPr>
                <w:sz w:val="13"/>
                <w:szCs w:val="13"/>
              </w:rPr>
            </w:pPr>
            <w:r>
              <w:rPr>
                <w:sz w:val="17"/>
                <w:szCs w:val="17"/>
                <w:spacing w:val="1"/>
              </w:rPr>
              <w:t>广播电台.电视台查  </w:t>
            </w:r>
            <w:r>
              <w:rPr>
                <w:sz w:val="17"/>
                <w:szCs w:val="17"/>
                <w:spacing w:val="-10"/>
              </w:rPr>
              <w:t>更</w:t>
            </w:r>
            <w:r>
              <w:rPr>
                <w:sz w:val="17"/>
                <w:szCs w:val="17"/>
                <w:spacing w:val="-9"/>
              </w:rPr>
              <w:t>白名，台标，节目</w:t>
            </w:r>
            <w:r>
              <w:rPr>
                <w:sz w:val="17"/>
                <w:szCs w:val="17"/>
                <w:spacing w:val="-8"/>
              </w:rPr>
              <w:t>设</w:t>
            </w:r>
            <w:r>
              <w:rPr>
                <w:sz w:val="17"/>
                <w:szCs w:val="17"/>
                <w:spacing w:val="5"/>
              </w:rPr>
              <w:t xml:space="preserve"> </w:t>
            </w:r>
            <w:r>
              <w:rPr>
                <w:sz w:val="17"/>
                <w:szCs w:val="17"/>
                <w:spacing w:val="2"/>
              </w:rPr>
              <w:t>置范用或节目套数审 </w:t>
            </w:r>
            <w:r>
              <w:rPr>
                <w:sz w:val="13"/>
                <w:szCs w:val="13"/>
                <w:spacing w:val="11"/>
              </w:rPr>
              <w:t>煮</w:t>
            </w:r>
          </w:p>
        </w:tc>
        <w:tc>
          <w:tcPr>
            <w:tcW w:w="2377" w:type="dxa"/>
            <w:vAlign w:val="top"/>
          </w:tcPr>
          <w:p>
            <w:pPr>
              <w:spacing w:line="248" w:lineRule="auto"/>
              <w:rPr>
                <w:rFonts w:ascii="Arial"/>
                <w:sz w:val="21"/>
              </w:rPr>
            </w:pPr>
            <w:r/>
          </w:p>
          <w:p>
            <w:pPr>
              <w:pStyle w:val="TableText"/>
              <w:ind w:left="64" w:firstLine="9"/>
              <w:spacing w:before="56" w:line="213" w:lineRule="auto"/>
              <w:rPr>
                <w:sz w:val="17"/>
                <w:szCs w:val="17"/>
              </w:rPr>
            </w:pPr>
            <w:r>
              <w:rPr>
                <w:sz w:val="17"/>
                <w:szCs w:val="17"/>
                <w:spacing w:val="-8"/>
              </w:rPr>
              <w:t>广</w:t>
            </w:r>
            <w:r>
              <w:rPr>
                <w:sz w:val="17"/>
                <w:szCs w:val="17"/>
                <w:spacing w:val="-7"/>
              </w:rPr>
              <w:t>电总具《由本级广电部门受</w:t>
            </w:r>
            <w:r>
              <w:rPr>
                <w:sz w:val="17"/>
                <w:szCs w:val="17"/>
                <w:spacing w:val="-6"/>
              </w:rPr>
              <w:t>理</w:t>
            </w:r>
            <w:r>
              <w:rPr>
                <w:sz w:val="17"/>
                <w:szCs w:val="17"/>
                <w:spacing w:val="9"/>
              </w:rPr>
              <w:t xml:space="preserve"> </w:t>
            </w:r>
            <w:r>
              <w:rPr>
                <w:sz w:val="17"/>
                <w:szCs w:val="17"/>
                <w:spacing w:val="1"/>
              </w:rPr>
              <w:t>并蓬载上报);省装广电部门</w:t>
            </w:r>
          </w:p>
        </w:tc>
        <w:tc>
          <w:tcPr>
            <w:tcW w:w="3711" w:type="dxa"/>
            <w:vAlign w:val="top"/>
          </w:tcPr>
          <w:p>
            <w:pPr>
              <w:spacing w:line="338" w:lineRule="auto"/>
              <w:rPr>
                <w:rFonts w:ascii="Arial"/>
                <w:sz w:val="21"/>
              </w:rPr>
            </w:pPr>
            <w:r/>
          </w:p>
          <w:p>
            <w:pPr>
              <w:pStyle w:val="TableText"/>
              <w:ind w:left="52"/>
              <w:spacing w:before="56" w:line="219" w:lineRule="auto"/>
              <w:rPr>
                <w:sz w:val="17"/>
                <w:szCs w:val="17"/>
              </w:rPr>
            </w:pPr>
            <w:r>
              <w:rPr>
                <w:sz w:val="17"/>
                <w:szCs w:val="17"/>
                <w:spacing w:val="-1"/>
              </w:rPr>
              <w:t>《广德电视管理条例)</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84544" behindDoc="0" locked="0" layoutInCell="0" allowOverlap="1">
                <wp:simplePos x="0" y="0"/>
                <wp:positionH relativeFrom="page">
                  <wp:posOffset>470816</wp:posOffset>
                </wp:positionH>
                <wp:positionV relativeFrom="page">
                  <wp:posOffset>617289</wp:posOffset>
                </wp:positionV>
                <wp:extent cx="172720" cy="157479"/>
                <wp:effectExtent l="0" t="0" r="0" b="0"/>
                <wp:wrapNone/>
                <wp:docPr id="286" name="TextBox 286"/>
                <wp:cNvGraphicFramePr/>
                <a:graphic>
                  <a:graphicData uri="http://schemas.microsoft.com/office/word/2010/wordprocessingShape">
                    <wps:wsp>
                      <wps:cNvSpPr txBox="1"/>
                      <wps:spPr>
                        <a:xfrm rot="5400000">
                          <a:off x="470816" y="617289"/>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8" style="position:absolute;margin-left:37.0722pt;margin-top:48.6055pt;mso-position-vertical-relative:page;mso-position-horizontal-relative:page;width:13.6pt;height:12.4pt;z-index:251884544;rotation:90;" o:allowincell="f" filled="false" stroked="false" type="#_x0000_t202">
                <v:fill on="false"/>
                <v:stroke on="false"/>
                <v:path/>
                <v:imagedata o:title=""/>
                <o:lock v:ext="edit" aspectratio="false"/>
                <v:textbox inset="0mm,0mm,0mm,0mm">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224</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中央主骨部门</w:t>
            </w:r>
          </w:p>
        </w:tc>
        <w:tc>
          <w:tcPr>
            <w:tcW w:w="1648" w:type="dxa"/>
            <w:vAlign w:val="top"/>
          </w:tcPr>
          <w:p>
            <w:pPr>
              <w:pStyle w:val="TableText"/>
              <w:ind w:left="471"/>
              <w:spacing w:before="132" w:line="220" w:lineRule="auto"/>
              <w:rPr>
                <w:sz w:val="17"/>
                <w:szCs w:val="17"/>
              </w:rPr>
            </w:pPr>
            <w:r>
              <w:rPr>
                <w:sz w:val="17"/>
                <w:szCs w:val="17"/>
                <w:spacing w:val="-2"/>
              </w:rPr>
              <w:t>事项名称</w:t>
            </w:r>
          </w:p>
        </w:tc>
        <w:tc>
          <w:tcPr>
            <w:tcW w:w="2367" w:type="dxa"/>
            <w:vAlign w:val="top"/>
          </w:tcPr>
          <w:p>
            <w:pPr>
              <w:pStyle w:val="TableText"/>
              <w:ind w:left="834"/>
              <w:spacing w:before="130" w:line="219" w:lineRule="auto"/>
              <w:rPr>
                <w:sz w:val="17"/>
                <w:szCs w:val="17"/>
              </w:rPr>
            </w:pPr>
            <w:r>
              <w:rPr>
                <w:sz w:val="17"/>
                <w:szCs w:val="17"/>
                <w:spacing w:val="-3"/>
              </w:rPr>
              <w:t>实增机关</w:t>
            </w:r>
          </w:p>
        </w:tc>
        <w:tc>
          <w:tcPr>
            <w:tcW w:w="3711" w:type="dxa"/>
            <w:vAlign w:val="top"/>
          </w:tcPr>
          <w:p>
            <w:pPr>
              <w:pStyle w:val="TableText"/>
              <w:ind w:left="1306"/>
              <w:spacing w:before="132" w:line="219" w:lineRule="auto"/>
              <w:rPr>
                <w:sz w:val="17"/>
                <w:szCs w:val="17"/>
              </w:rPr>
            </w:pPr>
            <w:r>
              <w:rPr>
                <w:sz w:val="17"/>
                <w:szCs w:val="17"/>
                <w:spacing w:val="-2"/>
              </w:rPr>
              <w:t>设定和穿施保据</w:t>
            </w:r>
          </w:p>
        </w:tc>
      </w:tr>
      <w:tr>
        <w:trPr>
          <w:trHeight w:val="879" w:hRule="atLeast"/>
        </w:trPr>
        <w:tc>
          <w:tcPr>
            <w:tcW w:w="584" w:type="dxa"/>
            <w:vAlign w:val="top"/>
          </w:tcPr>
          <w:p>
            <w:pPr>
              <w:spacing w:line="344" w:lineRule="auto"/>
              <w:rPr>
                <w:rFonts w:ascii="Arial"/>
                <w:sz w:val="21"/>
              </w:rPr>
            </w:pPr>
            <w:r/>
          </w:p>
          <w:p>
            <w:pPr>
              <w:pStyle w:val="TableText"/>
              <w:ind w:left="154"/>
              <w:spacing w:before="55" w:line="183" w:lineRule="auto"/>
              <w:rPr>
                <w:sz w:val="17"/>
                <w:szCs w:val="17"/>
              </w:rPr>
            </w:pPr>
            <w:r>
              <w:rPr>
                <w:sz w:val="17"/>
                <w:szCs w:val="17"/>
                <w:spacing w:val="-3"/>
              </w:rPr>
              <w:t>583</w:t>
            </w:r>
          </w:p>
        </w:tc>
        <w:tc>
          <w:tcPr>
            <w:tcW w:w="1289" w:type="dxa"/>
            <w:vAlign w:val="top"/>
          </w:tcPr>
          <w:p>
            <w:pPr>
              <w:spacing w:line="301" w:lineRule="auto"/>
              <w:rPr>
                <w:rFonts w:ascii="Arial"/>
                <w:sz w:val="21"/>
              </w:rPr>
            </w:pPr>
            <w:r/>
          </w:p>
          <w:p>
            <w:pPr>
              <w:pStyle w:val="TableText"/>
              <w:ind w:left="291"/>
              <w:spacing w:before="56" w:line="221" w:lineRule="auto"/>
              <w:rPr>
                <w:sz w:val="17"/>
                <w:szCs w:val="17"/>
              </w:rPr>
            </w:pPr>
            <w:r>
              <w:rPr>
                <w:sz w:val="17"/>
                <w:szCs w:val="17"/>
                <w:spacing w:val="3"/>
              </w:rPr>
              <w:t>广电总局</w:t>
            </w:r>
          </w:p>
        </w:tc>
        <w:tc>
          <w:tcPr>
            <w:tcW w:w="1648" w:type="dxa"/>
            <w:vAlign w:val="top"/>
          </w:tcPr>
          <w:p>
            <w:pPr>
              <w:pStyle w:val="TableText"/>
              <w:ind w:left="22" w:firstLine="29"/>
              <w:spacing w:before="77" w:line="215" w:lineRule="auto"/>
              <w:jc w:val="both"/>
              <w:rPr>
                <w:sz w:val="17"/>
                <w:szCs w:val="17"/>
              </w:rPr>
            </w:pPr>
            <w:r>
              <w:rPr>
                <w:sz w:val="17"/>
                <w:szCs w:val="17"/>
                <w:spacing w:val="-3"/>
              </w:rPr>
              <w:t>乡循设立广排电能贴</w:t>
            </w:r>
            <w:r>
              <w:rPr>
                <w:sz w:val="17"/>
                <w:szCs w:val="17"/>
                <w:spacing w:val="3"/>
              </w:rPr>
              <w:t xml:space="preserve">  </w:t>
            </w:r>
            <w:r>
              <w:rPr>
                <w:sz w:val="17"/>
                <w:szCs w:val="17"/>
              </w:rPr>
              <w:t>和机美.部队，闭体， </w:t>
            </w:r>
            <w:r>
              <w:rPr>
                <w:sz w:val="17"/>
                <w:szCs w:val="17"/>
                <w:spacing w:val="-1"/>
              </w:rPr>
              <w:t>止业非业单传设立有</w:t>
            </w:r>
            <w:r>
              <w:rPr>
                <w:sz w:val="17"/>
                <w:szCs w:val="17"/>
                <w:spacing w:val="1"/>
              </w:rPr>
              <w:t xml:space="preserve">  </w:t>
            </w:r>
            <w:r>
              <w:rPr>
                <w:sz w:val="17"/>
                <w:szCs w:val="17"/>
                <w:spacing w:val="-4"/>
              </w:rPr>
              <w:t>线广播电视哈你批</w:t>
            </w:r>
          </w:p>
        </w:tc>
        <w:tc>
          <w:tcPr>
            <w:tcW w:w="2367" w:type="dxa"/>
            <w:vAlign w:val="top"/>
          </w:tcPr>
          <w:p>
            <w:pPr>
              <w:pStyle w:val="TableText"/>
              <w:ind w:left="44" w:right="167" w:firstLine="29"/>
              <w:spacing w:before="267" w:line="219" w:lineRule="auto"/>
              <w:rPr>
                <w:sz w:val="17"/>
                <w:szCs w:val="17"/>
              </w:rPr>
            </w:pPr>
            <w:r>
              <w:rPr>
                <w:sz w:val="17"/>
                <w:szCs w:val="17"/>
                <w:spacing w:val="-1"/>
              </w:rPr>
              <w:t>省幔广电喜门(山设区的南煤</w:t>
            </w:r>
            <w:r>
              <w:rPr>
                <w:sz w:val="17"/>
                <w:szCs w:val="17"/>
                <w:spacing w:val="2"/>
              </w:rPr>
              <w:t xml:space="preserve"> </w:t>
            </w:r>
            <w:r>
              <w:rPr>
                <w:sz w:val="17"/>
                <w:szCs w:val="17"/>
                <w:spacing w:val="3"/>
              </w:rPr>
              <w:t>县级厂电器门初审)</w:t>
            </w:r>
          </w:p>
        </w:tc>
        <w:tc>
          <w:tcPr>
            <w:tcW w:w="3711" w:type="dxa"/>
            <w:vAlign w:val="top"/>
          </w:tcPr>
          <w:p>
            <w:pPr>
              <w:pStyle w:val="TableText"/>
              <w:ind w:left="46"/>
              <w:spacing w:before="248" w:line="220" w:lineRule="auto"/>
              <w:rPr>
                <w:sz w:val="17"/>
                <w:szCs w:val="17"/>
              </w:rPr>
            </w:pPr>
            <w:r>
              <w:rPr>
                <w:sz w:val="17"/>
                <w:szCs w:val="17"/>
                <w:spacing w:val="-1"/>
              </w:rPr>
              <w:t>1广届电探营望备例》</w:t>
            </w:r>
          </w:p>
          <w:p>
            <w:pPr>
              <w:pStyle w:val="TableText"/>
              <w:ind w:left="46"/>
              <w:spacing w:before="6" w:line="219" w:lineRule="auto"/>
              <w:rPr>
                <w:sz w:val="17"/>
                <w:szCs w:val="17"/>
              </w:rPr>
            </w:pPr>
            <w:r>
              <w:rPr>
                <w:sz w:val="17"/>
                <w:szCs w:val="17"/>
                <w:spacing w:val="2"/>
              </w:rPr>
              <w:t>广善电视站事批管理暂行观定)</w:t>
            </w:r>
          </w:p>
        </w:tc>
      </w:tr>
      <w:tr>
        <w:trPr>
          <w:trHeight w:val="439" w:hRule="atLeast"/>
        </w:trPr>
        <w:tc>
          <w:tcPr>
            <w:tcW w:w="584" w:type="dxa"/>
            <w:vAlign w:val="top"/>
          </w:tcPr>
          <w:p>
            <w:pPr>
              <w:pStyle w:val="TableText"/>
              <w:ind w:left="154"/>
              <w:spacing w:before="182" w:line="183" w:lineRule="auto"/>
              <w:rPr>
                <w:sz w:val="17"/>
                <w:szCs w:val="17"/>
              </w:rPr>
            </w:pPr>
            <w:r>
              <w:rPr>
                <w:sz w:val="17"/>
                <w:szCs w:val="17"/>
                <w:spacing w:val="-3"/>
              </w:rPr>
              <w:t>394</w:t>
            </w:r>
          </w:p>
        </w:tc>
        <w:tc>
          <w:tcPr>
            <w:tcW w:w="1289" w:type="dxa"/>
            <w:vAlign w:val="top"/>
          </w:tcPr>
          <w:p>
            <w:pPr>
              <w:pStyle w:val="TableText"/>
              <w:ind w:left="291"/>
              <w:spacing w:before="139" w:line="220" w:lineRule="auto"/>
              <w:rPr>
                <w:sz w:val="17"/>
                <w:szCs w:val="17"/>
              </w:rPr>
            </w:pPr>
            <w:r>
              <w:rPr>
                <w:sz w:val="17"/>
                <w:szCs w:val="17"/>
                <w:spacing w:val="3"/>
              </w:rPr>
              <w:t>广重尊局</w:t>
            </w:r>
          </w:p>
        </w:tc>
        <w:tc>
          <w:tcPr>
            <w:tcW w:w="1648" w:type="dxa"/>
            <w:vAlign w:val="top"/>
          </w:tcPr>
          <w:p>
            <w:pPr>
              <w:pStyle w:val="TableText"/>
              <w:ind w:left="42" w:right="63" w:firstLine="10"/>
              <w:spacing w:before="47" w:line="207" w:lineRule="auto"/>
              <w:rPr>
                <w:sz w:val="17"/>
                <w:szCs w:val="17"/>
              </w:rPr>
            </w:pPr>
            <w:r>
              <w:rPr>
                <w:sz w:val="17"/>
                <w:szCs w:val="17"/>
                <w:spacing w:val="-1"/>
              </w:rPr>
              <w:t>有线广推电视传师现</w:t>
            </w:r>
            <w:r>
              <w:rPr>
                <w:sz w:val="17"/>
                <w:szCs w:val="17"/>
              </w:rPr>
              <w:t xml:space="preserve"> </w:t>
            </w:r>
            <w:r>
              <w:rPr>
                <w:sz w:val="17"/>
                <w:szCs w:val="17"/>
                <w:spacing w:val="1"/>
              </w:rPr>
              <w:t>首两工程购收市临</w:t>
            </w:r>
          </w:p>
        </w:tc>
        <w:tc>
          <w:tcPr>
            <w:tcW w:w="2367" w:type="dxa"/>
            <w:vAlign w:val="top"/>
          </w:tcPr>
          <w:p>
            <w:pPr>
              <w:pStyle w:val="TableText"/>
              <w:ind w:left="44" w:firstLine="9"/>
              <w:spacing w:before="58" w:line="201" w:lineRule="auto"/>
              <w:rPr>
                <w:sz w:val="17"/>
                <w:szCs w:val="17"/>
              </w:rPr>
            </w:pPr>
            <w:r>
              <w:rPr>
                <w:sz w:val="17"/>
                <w:szCs w:val="17"/>
                <w:spacing w:val="-6"/>
              </w:rPr>
              <w:t>省理，设区的市攻，真级广电落</w:t>
            </w:r>
            <w:r>
              <w:rPr>
                <w:sz w:val="17"/>
                <w:szCs w:val="17"/>
                <w:spacing w:val="5"/>
              </w:rPr>
              <w:t xml:space="preserve"> </w:t>
            </w:r>
            <w:r>
              <w:rPr>
                <w:sz w:val="17"/>
                <w:szCs w:val="17"/>
              </w:rPr>
              <w:t>白</w:t>
            </w:r>
          </w:p>
        </w:tc>
        <w:tc>
          <w:tcPr>
            <w:tcW w:w="3711" w:type="dxa"/>
            <w:vAlign w:val="top"/>
          </w:tcPr>
          <w:p>
            <w:pPr>
              <w:pStyle w:val="TableText"/>
              <w:ind w:left="46"/>
              <w:spacing w:before="139" w:line="219" w:lineRule="auto"/>
              <w:rPr>
                <w:sz w:val="17"/>
                <w:szCs w:val="17"/>
              </w:rPr>
            </w:pPr>
            <w:r>
              <w:rPr>
                <w:sz w:val="17"/>
                <w:szCs w:val="17"/>
                <w:spacing w:val="-1"/>
              </w:rPr>
              <w:t>情电把管理条例：</w:t>
            </w:r>
          </w:p>
        </w:tc>
      </w:tr>
      <w:tr>
        <w:trPr>
          <w:trHeight w:val="469" w:hRule="atLeast"/>
        </w:trPr>
        <w:tc>
          <w:tcPr>
            <w:tcW w:w="584" w:type="dxa"/>
            <w:vAlign w:val="top"/>
          </w:tcPr>
          <w:p>
            <w:pPr>
              <w:pStyle w:val="TableText"/>
              <w:ind w:left="154"/>
              <w:spacing w:before="193" w:line="183" w:lineRule="auto"/>
              <w:rPr>
                <w:sz w:val="17"/>
                <w:szCs w:val="17"/>
              </w:rPr>
            </w:pPr>
            <w:r>
              <w:rPr>
                <w:sz w:val="17"/>
                <w:szCs w:val="17"/>
                <w:spacing w:val="-3"/>
              </w:rPr>
              <w:t>3M5</w:t>
            </w:r>
          </w:p>
        </w:tc>
        <w:tc>
          <w:tcPr>
            <w:tcW w:w="1289" w:type="dxa"/>
            <w:vAlign w:val="top"/>
          </w:tcPr>
          <w:p>
            <w:pPr>
              <w:pStyle w:val="TableText"/>
              <w:ind w:left="291"/>
              <w:spacing w:before="150" w:line="221" w:lineRule="auto"/>
              <w:rPr>
                <w:sz w:val="17"/>
                <w:szCs w:val="17"/>
              </w:rPr>
            </w:pPr>
            <w:r>
              <w:rPr>
                <w:sz w:val="17"/>
                <w:szCs w:val="17"/>
                <w:spacing w:val="3"/>
              </w:rPr>
              <w:t>广电县局</w:t>
            </w:r>
          </w:p>
        </w:tc>
        <w:tc>
          <w:tcPr>
            <w:tcW w:w="1648" w:type="dxa"/>
            <w:vAlign w:val="top"/>
          </w:tcPr>
          <w:p>
            <w:pPr>
              <w:pStyle w:val="TableText"/>
              <w:ind w:left="52" w:right="62"/>
              <w:spacing w:before="70" w:line="211" w:lineRule="auto"/>
              <w:rPr>
                <w:sz w:val="17"/>
                <w:szCs w:val="17"/>
              </w:rPr>
            </w:pPr>
            <w:r>
              <w:rPr>
                <w:sz w:val="17"/>
                <w:szCs w:val="17"/>
                <w:spacing w:val="-1"/>
              </w:rPr>
              <w:t>广语电院双防过理断</w:t>
            </w:r>
            <w:r>
              <w:rPr>
                <w:sz w:val="17"/>
                <w:szCs w:val="17"/>
                <w:spacing w:val="1"/>
              </w:rPr>
              <w:t xml:space="preserve"> </w:t>
            </w:r>
            <w:r>
              <w:rPr>
                <w:sz w:val="17"/>
                <w:szCs w:val="17"/>
                <w:spacing w:val="-1"/>
              </w:rPr>
              <w:t>址及技末杂数市母</w:t>
            </w:r>
          </w:p>
        </w:tc>
        <w:tc>
          <w:tcPr>
            <w:tcW w:w="2367" w:type="dxa"/>
            <w:vAlign w:val="top"/>
          </w:tcPr>
          <w:p>
            <w:pPr>
              <w:pStyle w:val="TableText"/>
              <w:ind w:left="44"/>
              <w:spacing w:before="150" w:line="221" w:lineRule="auto"/>
              <w:rPr>
                <w:sz w:val="17"/>
                <w:szCs w:val="17"/>
              </w:rPr>
            </w:pPr>
            <w:r>
              <w:rPr>
                <w:sz w:val="17"/>
                <w:szCs w:val="17"/>
                <w:spacing w:val="-2"/>
              </w:rPr>
              <w:t>广电基具</w:t>
            </w:r>
          </w:p>
        </w:tc>
        <w:tc>
          <w:tcPr>
            <w:tcW w:w="3711" w:type="dxa"/>
            <w:vAlign w:val="top"/>
          </w:tcPr>
          <w:p>
            <w:pPr>
              <w:pStyle w:val="TableText"/>
              <w:ind w:left="46"/>
              <w:spacing w:before="49" w:line="217" w:lineRule="auto"/>
              <w:rPr>
                <w:sz w:val="17"/>
                <w:szCs w:val="17"/>
              </w:rPr>
            </w:pPr>
            <w:r>
              <w:rPr>
                <w:sz w:val="17"/>
                <w:szCs w:val="17"/>
                <w:spacing w:val="3"/>
              </w:rPr>
              <w:t>1广播电规设施保护条例)</w:t>
            </w:r>
          </w:p>
          <w:p>
            <w:pPr>
              <w:pStyle w:val="TableText"/>
              <w:ind w:left="46"/>
              <w:spacing w:line="218" w:lineRule="auto"/>
              <w:rPr>
                <w:sz w:val="17"/>
                <w:szCs w:val="17"/>
              </w:rPr>
            </w:pPr>
            <w:r>
              <w:rPr>
                <w:sz w:val="17"/>
                <w:szCs w:val="17"/>
              </w:rPr>
              <w:t>1广播电批无线传做简差同管理办法》</w:t>
            </w:r>
          </w:p>
        </w:tc>
      </w:tr>
      <w:tr>
        <w:trPr>
          <w:trHeight w:val="859" w:hRule="atLeast"/>
        </w:trPr>
        <w:tc>
          <w:tcPr>
            <w:tcW w:w="584" w:type="dxa"/>
            <w:vAlign w:val="top"/>
          </w:tcPr>
          <w:p>
            <w:pPr>
              <w:spacing w:line="310" w:lineRule="auto"/>
              <w:rPr>
                <w:rFonts w:ascii="Arial"/>
                <w:sz w:val="21"/>
              </w:rPr>
            </w:pPr>
            <w:r/>
          </w:p>
          <w:p>
            <w:pPr>
              <w:pStyle w:val="TableText"/>
              <w:ind w:left="234"/>
              <w:spacing w:before="56" w:line="241" w:lineRule="auto"/>
              <w:rPr>
                <w:sz w:val="17"/>
                <w:szCs w:val="17"/>
              </w:rPr>
            </w:pPr>
            <w:r>
              <w:rPr>
                <w:sz w:val="17"/>
                <w:szCs w:val="17"/>
              </w:rPr>
              <w:t>m</w:t>
            </w:r>
          </w:p>
        </w:tc>
        <w:tc>
          <w:tcPr>
            <w:tcW w:w="1289" w:type="dxa"/>
            <w:vAlign w:val="top"/>
          </w:tcPr>
          <w:p>
            <w:pPr>
              <w:spacing w:line="294" w:lineRule="auto"/>
              <w:rPr>
                <w:rFonts w:ascii="Arial"/>
                <w:sz w:val="21"/>
              </w:rPr>
            </w:pPr>
            <w:r/>
          </w:p>
          <w:p>
            <w:pPr>
              <w:pStyle w:val="TableText"/>
              <w:ind w:left="251"/>
              <w:spacing w:before="56" w:line="221" w:lineRule="auto"/>
              <w:rPr>
                <w:sz w:val="17"/>
                <w:szCs w:val="17"/>
              </w:rPr>
            </w:pPr>
            <w:r>
              <w:rPr>
                <w:sz w:val="17"/>
                <w:szCs w:val="17"/>
                <w:spacing w:val="2"/>
              </w:rPr>
              <w:t>1“电点局</w:t>
            </w:r>
          </w:p>
        </w:tc>
        <w:tc>
          <w:tcPr>
            <w:tcW w:w="1648" w:type="dxa"/>
            <w:vAlign w:val="top"/>
          </w:tcPr>
          <w:p>
            <w:pPr>
              <w:pStyle w:val="TableText"/>
              <w:ind w:left="1" w:firstLine="47"/>
              <w:spacing w:before="71" w:line="211" w:lineRule="auto"/>
              <w:jc w:val="both"/>
              <w:rPr>
                <w:sz w:val="17"/>
                <w:szCs w:val="17"/>
              </w:rPr>
            </w:pPr>
            <w:r>
              <w:rPr>
                <w:sz w:val="17"/>
                <w:szCs w:val="17"/>
                <w:spacing w:val="-8"/>
              </w:rPr>
              <w:t>对费题道开办，终止</w:t>
            </w:r>
            <w:r>
              <w:rPr>
                <w:sz w:val="17"/>
                <w:szCs w:val="17"/>
                <w:spacing w:val="1"/>
              </w:rPr>
              <w:t xml:space="preserve">  </w:t>
            </w:r>
            <w:r>
              <w:rPr>
                <w:sz w:val="17"/>
                <w:szCs w:val="17"/>
                <w:spacing w:val="-3"/>
              </w:rPr>
              <w:t>和节自设置周整及描</w:t>
            </w:r>
            <w:r>
              <w:rPr>
                <w:sz w:val="17"/>
                <w:szCs w:val="17"/>
                <w:spacing w:val="2"/>
              </w:rPr>
              <w:t xml:space="preserve">  </w:t>
            </w:r>
            <w:r>
              <w:rPr>
                <w:sz w:val="17"/>
                <w:szCs w:val="17"/>
                <w:spacing w:val="-7"/>
              </w:rPr>
              <w:t>出怀城，可号，标识。</w:t>
            </w:r>
            <w:r>
              <w:rPr>
                <w:sz w:val="17"/>
                <w:szCs w:val="17"/>
                <w:spacing w:val="5"/>
              </w:rPr>
              <w:t xml:space="preserve"> </w:t>
            </w:r>
            <w:r>
              <w:rPr>
                <w:sz w:val="17"/>
                <w:szCs w:val="17"/>
                <w:spacing w:val="5"/>
              </w:rPr>
              <w:t>机别号审批</w:t>
            </w:r>
          </w:p>
        </w:tc>
        <w:tc>
          <w:tcPr>
            <w:tcW w:w="2367" w:type="dxa"/>
            <w:vAlign w:val="top"/>
          </w:tcPr>
          <w:p>
            <w:pPr>
              <w:pStyle w:val="TableText"/>
              <w:ind w:left="44" w:right="184" w:firstLine="10"/>
              <w:spacing w:before="250" w:line="232" w:lineRule="auto"/>
              <w:rPr>
                <w:sz w:val="17"/>
                <w:szCs w:val="17"/>
              </w:rPr>
            </w:pPr>
            <w:r>
              <w:rPr>
                <w:sz w:val="17"/>
                <w:szCs w:val="17"/>
                <w:spacing w:val="-1"/>
              </w:rPr>
              <w:t>广电总隐(由省级广电部门量</w:t>
            </w:r>
            <w:r>
              <w:rPr>
                <w:sz w:val="17"/>
                <w:szCs w:val="17"/>
                <w:spacing w:val="5"/>
              </w:rPr>
              <w:t xml:space="preserve"> </w:t>
            </w:r>
            <w:r>
              <w:rPr>
                <w:sz w:val="17"/>
                <w:szCs w:val="17"/>
                <w:spacing w:val="-5"/>
              </w:rPr>
              <w:t>理</w:t>
            </w:r>
            <w:r>
              <w:rPr>
                <w:sz w:val="17"/>
                <w:szCs w:val="17"/>
                <w:spacing w:val="-37"/>
              </w:rPr>
              <w:t xml:space="preserve"> </w:t>
            </w:r>
            <w:r>
              <w:rPr>
                <w:sz w:val="17"/>
                <w:szCs w:val="17"/>
                <w:spacing w:val="-5"/>
              </w:rPr>
              <w:t>)</w:t>
            </w:r>
          </w:p>
        </w:tc>
        <w:tc>
          <w:tcPr>
            <w:tcW w:w="3711" w:type="dxa"/>
            <w:vAlign w:val="top"/>
          </w:tcPr>
          <w:p>
            <w:pPr>
              <w:pStyle w:val="TableText"/>
              <w:ind w:left="46" w:right="76"/>
              <w:spacing w:before="251" w:line="218" w:lineRule="auto"/>
              <w:rPr>
                <w:sz w:val="17"/>
                <w:szCs w:val="17"/>
              </w:rPr>
            </w:pPr>
            <w:r>
              <w:rPr>
                <w:sz w:val="17"/>
                <w:szCs w:val="17"/>
              </w:rPr>
              <w:t>国务院对选需仪前的行政审批项料设定行政许可</w:t>
            </w:r>
            <w:r>
              <w:rPr>
                <w:sz w:val="17"/>
                <w:szCs w:val="17"/>
                <w:spacing w:val="6"/>
              </w:rPr>
              <w:t xml:space="preserve"> </w:t>
            </w:r>
            <w:r>
              <w:rPr>
                <w:sz w:val="17"/>
                <w:szCs w:val="17"/>
                <w:spacing w:val="3"/>
              </w:rPr>
              <w:t>的决定</w:t>
            </w:r>
          </w:p>
        </w:tc>
      </w:tr>
      <w:tr>
        <w:trPr>
          <w:trHeight w:val="659" w:hRule="atLeast"/>
        </w:trPr>
        <w:tc>
          <w:tcPr>
            <w:tcW w:w="584" w:type="dxa"/>
            <w:vAlign w:val="top"/>
          </w:tcPr>
          <w:p>
            <w:pPr>
              <w:pStyle w:val="TableText"/>
              <w:ind w:left="154"/>
              <w:spacing w:before="246" w:line="214" w:lineRule="auto"/>
              <w:rPr>
                <w:sz w:val="17"/>
                <w:szCs w:val="17"/>
              </w:rPr>
            </w:pPr>
            <w:r>
              <w:rPr>
                <w:sz w:val="17"/>
                <w:szCs w:val="17"/>
                <w:spacing w:val="-3"/>
              </w:rPr>
              <w:t>5g?</w:t>
            </w:r>
          </w:p>
        </w:tc>
        <w:tc>
          <w:tcPr>
            <w:tcW w:w="1289" w:type="dxa"/>
            <w:vAlign w:val="top"/>
          </w:tcPr>
          <w:p>
            <w:pPr>
              <w:pStyle w:val="TableText"/>
              <w:ind w:left="291"/>
              <w:spacing w:before="252" w:line="221" w:lineRule="auto"/>
              <w:rPr>
                <w:sz w:val="17"/>
                <w:szCs w:val="17"/>
              </w:rPr>
            </w:pPr>
            <w:r>
              <w:rPr>
                <w:sz w:val="17"/>
                <w:szCs w:val="17"/>
                <w:spacing w:val="-2"/>
              </w:rPr>
              <w:t>广电卷前</w:t>
            </w:r>
          </w:p>
        </w:tc>
        <w:tc>
          <w:tcPr>
            <w:tcW w:w="1648" w:type="dxa"/>
            <w:vAlign w:val="top"/>
          </w:tcPr>
          <w:p>
            <w:pPr>
              <w:pStyle w:val="TableText"/>
              <w:ind w:left="22" w:right="62" w:firstLine="30"/>
              <w:spacing w:before="172" w:line="207" w:lineRule="auto"/>
              <w:rPr>
                <w:sz w:val="17"/>
                <w:szCs w:val="17"/>
              </w:rPr>
            </w:pPr>
            <w:r>
              <w:rPr>
                <w:sz w:val="17"/>
                <w:szCs w:val="17"/>
                <w:spacing w:val="-1"/>
              </w:rPr>
              <w:t>广替电技视薪点排业</w:t>
            </w:r>
            <w:r>
              <w:rPr>
                <w:sz w:val="17"/>
                <w:szCs w:val="17"/>
                <w:spacing w:val="1"/>
              </w:rPr>
              <w:t xml:space="preserve"> </w:t>
            </w:r>
            <w:r>
              <w:rPr>
                <w:sz w:val="17"/>
                <w:szCs w:val="17"/>
                <w:spacing w:val="-2"/>
              </w:rPr>
              <w:t>务串批</w:t>
            </w:r>
          </w:p>
        </w:tc>
        <w:tc>
          <w:tcPr>
            <w:tcW w:w="2367" w:type="dxa"/>
            <w:vAlign w:val="top"/>
          </w:tcPr>
          <w:p>
            <w:pPr>
              <w:pStyle w:val="TableText"/>
              <w:ind w:left="44" w:right="124" w:firstLine="10"/>
              <w:spacing w:before="171" w:line="213" w:lineRule="auto"/>
              <w:rPr>
                <w:sz w:val="17"/>
                <w:szCs w:val="17"/>
              </w:rPr>
            </w:pPr>
            <w:r>
              <w:rPr>
                <w:sz w:val="17"/>
                <w:szCs w:val="17"/>
                <w:spacing w:val="-1"/>
              </w:rPr>
              <w:t>广电基；省级广电部门由本  </w:t>
            </w:r>
            <w:r>
              <w:rPr>
                <w:sz w:val="17"/>
                <w:szCs w:val="17"/>
                <w:spacing w:val="-2"/>
              </w:rPr>
              <w:t>咽广电高门登理并逐便上报》</w:t>
            </w:r>
          </w:p>
        </w:tc>
        <w:tc>
          <w:tcPr>
            <w:tcW w:w="3711" w:type="dxa"/>
            <w:vAlign w:val="top"/>
          </w:tcPr>
          <w:p>
            <w:pPr>
              <w:pStyle w:val="TableText"/>
              <w:ind w:left="46" w:right="8" w:firstLine="10"/>
              <w:spacing w:before="62" w:line="218" w:lineRule="auto"/>
              <w:rPr>
                <w:sz w:val="17"/>
                <w:szCs w:val="17"/>
              </w:rPr>
            </w:pPr>
            <w:r>
              <w:rPr>
                <w:sz w:val="17"/>
                <w:szCs w:val="17"/>
                <w:spacing w:val="-1"/>
              </w:rPr>
              <w:t>1国务院对确需保所的行取审批碘目政定行改评听</w:t>
            </w:r>
            <w:r>
              <w:rPr>
                <w:sz w:val="17"/>
                <w:szCs w:val="17"/>
                <w:spacing w:val="1"/>
              </w:rPr>
              <w:t xml:space="preserve"> </w:t>
            </w:r>
            <w:r>
              <w:rPr>
                <w:sz w:val="17"/>
                <w:szCs w:val="17"/>
                <w:spacing w:val="3"/>
              </w:rPr>
              <w:t>的决定</w:t>
            </w:r>
          </w:p>
          <w:p>
            <w:pPr>
              <w:pStyle w:val="TableText"/>
              <w:spacing w:before="8" w:line="192" w:lineRule="auto"/>
              <w:rPr>
                <w:sz w:val="17"/>
                <w:szCs w:val="17"/>
              </w:rPr>
            </w:pPr>
            <w:r>
              <w:rPr>
                <w:sz w:val="17"/>
                <w:szCs w:val="17"/>
                <w:spacing w:val="-3"/>
              </w:rPr>
              <w:t>《  语电程器观点播业务营项必法</w:t>
            </w:r>
          </w:p>
        </w:tc>
      </w:tr>
      <w:tr>
        <w:trPr>
          <w:trHeight w:val="1048" w:hRule="atLeast"/>
        </w:trPr>
        <w:tc>
          <w:tcPr>
            <w:tcW w:w="584" w:type="dxa"/>
            <w:vAlign w:val="top"/>
          </w:tcPr>
          <w:p>
            <w:pPr>
              <w:spacing w:line="428" w:lineRule="auto"/>
              <w:rPr>
                <w:rFonts w:ascii="Arial"/>
                <w:sz w:val="21"/>
              </w:rPr>
            </w:pPr>
            <w:r/>
          </w:p>
          <w:p>
            <w:pPr>
              <w:pStyle w:val="TableText"/>
              <w:ind w:left="154"/>
              <w:spacing w:before="56" w:line="183" w:lineRule="auto"/>
              <w:rPr>
                <w:sz w:val="17"/>
                <w:szCs w:val="17"/>
              </w:rPr>
            </w:pPr>
            <w:r>
              <w:rPr>
                <w:sz w:val="17"/>
                <w:szCs w:val="17"/>
                <w:spacing w:val="-3"/>
              </w:rPr>
              <w:t>SNX</w:t>
            </w:r>
          </w:p>
        </w:tc>
        <w:tc>
          <w:tcPr>
            <w:tcW w:w="1289" w:type="dxa"/>
            <w:vAlign w:val="top"/>
          </w:tcPr>
          <w:p>
            <w:pPr>
              <w:spacing w:line="384" w:lineRule="auto"/>
              <w:rPr>
                <w:rFonts w:ascii="Arial"/>
                <w:sz w:val="21"/>
              </w:rPr>
            </w:pPr>
            <w:r/>
          </w:p>
          <w:p>
            <w:pPr>
              <w:pStyle w:val="TableText"/>
              <w:ind w:left="291"/>
              <w:spacing w:before="55" w:line="219" w:lineRule="auto"/>
              <w:rPr>
                <w:sz w:val="17"/>
                <w:szCs w:val="17"/>
              </w:rPr>
            </w:pPr>
            <w:r>
              <w:rPr>
                <w:sz w:val="17"/>
                <w:szCs w:val="17"/>
                <w:spacing w:val="3"/>
              </w:rPr>
              <w:t>广电章局</w:t>
            </w:r>
          </w:p>
        </w:tc>
        <w:tc>
          <w:tcPr>
            <w:tcW w:w="1648" w:type="dxa"/>
            <w:vAlign w:val="top"/>
          </w:tcPr>
          <w:p>
            <w:pPr>
              <w:spacing w:line="296" w:lineRule="auto"/>
              <w:rPr>
                <w:rFonts w:ascii="Arial"/>
                <w:sz w:val="21"/>
              </w:rPr>
            </w:pPr>
            <w:r/>
          </w:p>
          <w:p>
            <w:pPr>
              <w:pStyle w:val="TableText"/>
              <w:ind w:left="52" w:right="62"/>
              <w:spacing w:before="55" w:line="218" w:lineRule="auto"/>
              <w:rPr>
                <w:sz w:val="17"/>
                <w:szCs w:val="17"/>
              </w:rPr>
            </w:pPr>
            <w:r>
              <w:rPr>
                <w:sz w:val="17"/>
                <w:szCs w:val="17"/>
                <w:spacing w:val="-1"/>
              </w:rPr>
              <w:t>信息网埚构描院所节</w:t>
            </w:r>
            <w:r>
              <w:rPr>
                <w:sz w:val="17"/>
                <w:szCs w:val="17"/>
                <w:spacing w:val="1"/>
              </w:rPr>
              <w:t xml:space="preserve"> </w:t>
            </w:r>
            <w:r>
              <w:rPr>
                <w:sz w:val="17"/>
                <w:szCs w:val="17"/>
                <w:spacing w:val="1"/>
              </w:rPr>
              <w:t>目许可区修况</w:t>
            </w:r>
          </w:p>
        </w:tc>
        <w:tc>
          <w:tcPr>
            <w:tcW w:w="2367" w:type="dxa"/>
            <w:vAlign w:val="top"/>
          </w:tcPr>
          <w:p>
            <w:pPr>
              <w:spacing w:line="314" w:lineRule="auto"/>
              <w:rPr>
                <w:rFonts w:ascii="Arial"/>
                <w:sz w:val="21"/>
              </w:rPr>
            </w:pPr>
            <w:r/>
          </w:p>
          <w:p>
            <w:pPr>
              <w:pStyle w:val="TableText"/>
              <w:ind w:left="44" w:right="166" w:firstLine="29"/>
              <w:spacing w:before="56" w:line="214" w:lineRule="auto"/>
              <w:rPr>
                <w:sz w:val="17"/>
                <w:szCs w:val="17"/>
              </w:rPr>
            </w:pPr>
            <w:r>
              <w:rPr>
                <w:sz w:val="17"/>
                <w:szCs w:val="17"/>
                <w:spacing w:val="-1"/>
              </w:rPr>
              <w:t>厂电总局(由省限厂电部门发</w:t>
            </w:r>
            <w:r>
              <w:rPr>
                <w:sz w:val="17"/>
                <w:szCs w:val="17"/>
                <w:spacing w:val="3"/>
              </w:rPr>
              <w:t xml:space="preserve"> </w:t>
            </w:r>
            <w:r>
              <w:rPr>
                <w:sz w:val="17"/>
                <w:szCs w:val="17"/>
                <w:spacing w:val="2"/>
              </w:rPr>
              <w:t>理1;卷坂广电德门</w:t>
            </w:r>
          </w:p>
        </w:tc>
        <w:tc>
          <w:tcPr>
            <w:tcW w:w="3711" w:type="dxa"/>
            <w:vAlign w:val="top"/>
          </w:tcPr>
          <w:p>
            <w:pPr>
              <w:pStyle w:val="TableText"/>
              <w:ind w:left="46"/>
              <w:spacing w:before="63" w:line="207" w:lineRule="auto"/>
              <w:rPr>
                <w:sz w:val="17"/>
                <w:szCs w:val="17"/>
              </w:rPr>
            </w:pPr>
            <w:r>
              <w:rPr>
                <w:sz w:val="17"/>
                <w:szCs w:val="17"/>
              </w:rPr>
              <w:t>1国务能对确需保箭的行武审批相自设淀行政</w:t>
            </w:r>
            <w:r>
              <w:rPr>
                <w:sz w:val="17"/>
                <w:szCs w:val="17"/>
                <w:spacing w:val="-1"/>
              </w:rPr>
              <w:t>许可</w:t>
            </w:r>
            <w:r>
              <w:rPr>
                <w:sz w:val="17"/>
                <w:szCs w:val="17"/>
              </w:rPr>
              <w:t xml:space="preserve"> </w:t>
            </w:r>
            <w:r>
              <w:rPr>
                <w:sz w:val="17"/>
                <w:szCs w:val="17"/>
                <w:spacing w:val="3"/>
              </w:rPr>
              <w:t>的决定</w:t>
            </w:r>
          </w:p>
          <w:p>
            <w:pPr>
              <w:pStyle w:val="TableText"/>
              <w:ind w:left="83" w:right="4" w:hanging="84"/>
              <w:spacing w:before="7" w:line="212" w:lineRule="auto"/>
              <w:jc w:val="both"/>
              <w:rPr>
                <w:sz w:val="17"/>
                <w:szCs w:val="17"/>
              </w:rPr>
            </w:pPr>
            <w:r>
              <w:rPr>
                <w:sz w:val="17"/>
                <w:szCs w:val="17"/>
                <w:spacing w:val="-6"/>
              </w:rPr>
              <w:t>《回务院关于修改(因务酸对确需保留的行登室扭理</w:t>
            </w:r>
            <w:r>
              <w:rPr>
                <w:sz w:val="17"/>
                <w:szCs w:val="17"/>
                <w:spacing w:val="8"/>
              </w:rPr>
              <w:t xml:space="preserve"> </w:t>
            </w:r>
            <w:r>
              <w:rPr>
                <w:sz w:val="17"/>
                <w:szCs w:val="17"/>
              </w:rPr>
              <w:t>目没定行盘许可的块立》的决定H国务范令势.67</w:t>
            </w:r>
            <w:r>
              <w:rPr>
                <w:sz w:val="17"/>
                <w:szCs w:val="17"/>
                <w:spacing w:val="12"/>
              </w:rPr>
              <w:t xml:space="preserve"> </w:t>
            </w:r>
            <w:r>
              <w:rPr>
                <w:sz w:val="17"/>
                <w:szCs w:val="17"/>
                <w:spacing w:val="-7"/>
              </w:rPr>
              <w:t>号</w:t>
            </w:r>
            <w:r>
              <w:rPr>
                <w:sz w:val="17"/>
                <w:szCs w:val="17"/>
                <w:spacing w:val="-35"/>
              </w:rPr>
              <w:t xml:space="preserve"> </w:t>
            </w:r>
            <w:r>
              <w:rPr>
                <w:sz w:val="17"/>
                <w:szCs w:val="17"/>
                <w:spacing w:val="-7"/>
              </w:rPr>
              <w:t>)</w:t>
            </w:r>
          </w:p>
        </w:tc>
      </w:tr>
      <w:tr>
        <w:trPr>
          <w:trHeight w:val="469" w:hRule="atLeast"/>
        </w:trPr>
        <w:tc>
          <w:tcPr>
            <w:tcW w:w="584" w:type="dxa"/>
            <w:vAlign w:val="top"/>
          </w:tcPr>
          <w:p>
            <w:pPr>
              <w:pStyle w:val="TableText"/>
              <w:ind w:left="154"/>
              <w:spacing w:before="196" w:line="185" w:lineRule="auto"/>
              <w:rPr>
                <w:sz w:val="17"/>
                <w:szCs w:val="17"/>
              </w:rPr>
            </w:pPr>
            <w:r>
              <w:rPr>
                <w:sz w:val="17"/>
                <w:szCs w:val="17"/>
                <w:spacing w:val="-1"/>
              </w:rPr>
              <w:t>AA9</w:t>
            </w:r>
          </w:p>
        </w:tc>
        <w:tc>
          <w:tcPr>
            <w:tcW w:w="1289" w:type="dxa"/>
            <w:vAlign w:val="top"/>
          </w:tcPr>
          <w:p>
            <w:pPr>
              <w:pStyle w:val="TableText"/>
              <w:ind w:left="291"/>
              <w:spacing w:before="155" w:line="221" w:lineRule="auto"/>
              <w:rPr>
                <w:sz w:val="17"/>
                <w:szCs w:val="17"/>
              </w:rPr>
            </w:pPr>
            <w:r>
              <w:rPr>
                <w:sz w:val="17"/>
                <w:szCs w:val="17"/>
                <w:spacing w:val="3"/>
              </w:rPr>
              <w:t>广电易局</w:t>
            </w:r>
          </w:p>
        </w:tc>
        <w:tc>
          <w:tcPr>
            <w:tcW w:w="1648" w:type="dxa"/>
            <w:vAlign w:val="top"/>
          </w:tcPr>
          <w:p>
            <w:pPr>
              <w:pStyle w:val="TableText"/>
              <w:ind w:left="42" w:right="63" w:firstLine="10"/>
              <w:spacing w:before="74" w:line="209" w:lineRule="auto"/>
              <w:rPr>
                <w:sz w:val="17"/>
                <w:szCs w:val="17"/>
              </w:rPr>
            </w:pPr>
            <w:r>
              <w:rPr>
                <w:sz w:val="17"/>
                <w:szCs w:val="17"/>
                <w:spacing w:val="-1"/>
              </w:rPr>
              <w:t>绿营广德电视书目传</w:t>
            </w:r>
            <w:r>
              <w:rPr>
                <w:sz w:val="17"/>
                <w:szCs w:val="17"/>
              </w:rPr>
              <w:t xml:space="preserve"> </w:t>
            </w:r>
            <w:r>
              <w:rPr>
                <w:sz w:val="17"/>
                <w:szCs w:val="17"/>
                <w:spacing w:val="-2"/>
              </w:rPr>
              <w:t>迟变务电批</w:t>
            </w:r>
          </w:p>
        </w:tc>
        <w:tc>
          <w:tcPr>
            <w:tcW w:w="2367" w:type="dxa"/>
            <w:vAlign w:val="top"/>
          </w:tcPr>
          <w:p>
            <w:pPr>
              <w:pStyle w:val="TableText"/>
              <w:ind w:left="44"/>
              <w:spacing w:before="153" w:line="219" w:lineRule="auto"/>
              <w:rPr>
                <w:sz w:val="17"/>
                <w:szCs w:val="17"/>
              </w:rPr>
            </w:pPr>
            <w:r>
              <w:rPr>
                <w:sz w:val="17"/>
                <w:szCs w:val="17"/>
                <w:spacing w:val="1"/>
              </w:rPr>
              <w:t>广电益局；青型广电都门</w:t>
            </w:r>
          </w:p>
        </w:tc>
        <w:tc>
          <w:tcPr>
            <w:tcW w:w="3711" w:type="dxa"/>
            <w:vAlign w:val="top"/>
          </w:tcPr>
          <w:p>
            <w:pPr>
              <w:pStyle w:val="TableText"/>
              <w:ind w:left="83" w:right="13" w:hanging="84"/>
              <w:spacing w:before="64" w:line="214" w:lineRule="auto"/>
              <w:rPr>
                <w:sz w:val="17"/>
                <w:szCs w:val="17"/>
              </w:rPr>
            </w:pPr>
            <w:r>
              <w:rPr>
                <w:sz w:val="17"/>
                <w:szCs w:val="17"/>
                <w:spacing w:val="-3"/>
              </w:rPr>
              <w:t>《国务院对确需保带的行数事批确目设定行收许可</w:t>
            </w:r>
            <w:r>
              <w:rPr>
                <w:sz w:val="17"/>
                <w:szCs w:val="17"/>
                <w:spacing w:val="12"/>
              </w:rPr>
              <w:t xml:space="preserve"> </w:t>
            </w:r>
            <w:r>
              <w:rPr>
                <w:sz w:val="17"/>
                <w:szCs w:val="17"/>
                <w:spacing w:val="6"/>
              </w:rPr>
              <w:t>的庆定)</w:t>
            </w:r>
          </w:p>
        </w:tc>
      </w:tr>
      <w:tr>
        <w:trPr>
          <w:trHeight w:val="459" w:hRule="atLeast"/>
        </w:trPr>
        <w:tc>
          <w:tcPr>
            <w:tcW w:w="584" w:type="dxa"/>
            <w:vAlign w:val="top"/>
          </w:tcPr>
          <w:p>
            <w:pPr>
              <w:pStyle w:val="TableText"/>
              <w:ind w:left="194"/>
              <w:spacing w:before="158" w:line="222" w:lineRule="auto"/>
              <w:rPr>
                <w:sz w:val="17"/>
                <w:szCs w:val="17"/>
              </w:rPr>
            </w:pPr>
            <w:r>
              <w:rPr>
                <w:sz w:val="17"/>
                <w:szCs w:val="17"/>
                <w:spacing w:val="-1"/>
              </w:rPr>
              <w:t>N)</w:t>
            </w:r>
          </w:p>
        </w:tc>
        <w:tc>
          <w:tcPr>
            <w:tcW w:w="1289" w:type="dxa"/>
            <w:vAlign w:val="top"/>
          </w:tcPr>
          <w:p>
            <w:pPr>
              <w:pStyle w:val="TableText"/>
              <w:ind w:left="380"/>
              <w:spacing w:before="156" w:line="219" w:lineRule="auto"/>
              <w:rPr>
                <w:sz w:val="17"/>
                <w:szCs w:val="17"/>
              </w:rPr>
            </w:pPr>
            <w:r>
              <w:rPr>
                <w:sz w:val="17"/>
                <w:szCs w:val="17"/>
                <w:spacing w:val="5"/>
              </w:rPr>
              <w:t>电身局</w:t>
            </w:r>
          </w:p>
        </w:tc>
        <w:tc>
          <w:tcPr>
            <w:tcW w:w="1648" w:type="dxa"/>
            <w:vAlign w:val="top"/>
          </w:tcPr>
          <w:p>
            <w:pPr>
              <w:pStyle w:val="TableText"/>
              <w:ind w:left="52" w:right="152" w:firstLine="79"/>
              <w:spacing w:before="54" w:line="214" w:lineRule="auto"/>
              <w:rPr>
                <w:sz w:val="17"/>
                <w:szCs w:val="17"/>
              </w:rPr>
            </w:pPr>
            <w:r>
              <w:rPr>
                <w:sz w:val="17"/>
                <w:szCs w:val="17"/>
                <w:spacing w:val="-1"/>
              </w:rPr>
              <w:t>刺期卫星力式传临</w:t>
            </w:r>
            <w:r>
              <w:rPr>
                <w:sz w:val="17"/>
                <w:szCs w:val="17"/>
                <w:spacing w:val="1"/>
              </w:rPr>
              <w:t xml:space="preserve"> </w:t>
            </w:r>
            <w:r>
              <w:rPr>
                <w:sz w:val="17"/>
                <w:szCs w:val="17"/>
              </w:rPr>
              <w:t>需电报节料审批</w:t>
            </w:r>
          </w:p>
        </w:tc>
        <w:tc>
          <w:tcPr>
            <w:tcW w:w="2367" w:type="dxa"/>
            <w:vAlign w:val="top"/>
          </w:tcPr>
          <w:p>
            <w:pPr>
              <w:pStyle w:val="TableText"/>
              <w:ind w:left="44"/>
              <w:spacing w:before="156" w:line="221" w:lineRule="auto"/>
              <w:rPr>
                <w:sz w:val="17"/>
                <w:szCs w:val="17"/>
              </w:rPr>
            </w:pPr>
            <w:r>
              <w:rPr>
                <w:sz w:val="17"/>
                <w:szCs w:val="17"/>
                <w:spacing w:val="3"/>
              </w:rPr>
              <w:t>广电总局</w:t>
            </w:r>
          </w:p>
        </w:tc>
        <w:tc>
          <w:tcPr>
            <w:tcW w:w="3711" w:type="dxa"/>
            <w:vAlign w:val="top"/>
          </w:tcPr>
          <w:p>
            <w:pPr>
              <w:pStyle w:val="TableText"/>
              <w:ind w:left="46"/>
              <w:spacing w:before="156" w:line="219" w:lineRule="auto"/>
              <w:rPr>
                <w:sz w:val="17"/>
                <w:szCs w:val="17"/>
              </w:rPr>
            </w:pPr>
            <w:r>
              <w:rPr>
                <w:sz w:val="17"/>
                <w:szCs w:val="17"/>
              </w:rPr>
              <w:t>(广插电乳昏理杂例?</w:t>
            </w:r>
          </w:p>
        </w:tc>
      </w:tr>
      <w:tr>
        <w:trPr>
          <w:trHeight w:val="904" w:hRule="atLeast"/>
        </w:trPr>
        <w:tc>
          <w:tcPr>
            <w:tcW w:w="584" w:type="dxa"/>
            <w:vAlign w:val="top"/>
          </w:tcPr>
          <w:p>
            <w:pPr>
              <w:spacing w:line="363" w:lineRule="auto"/>
              <w:rPr>
                <w:rFonts w:ascii="Arial"/>
                <w:sz w:val="21"/>
              </w:rPr>
            </w:pPr>
            <w:r/>
          </w:p>
          <w:p>
            <w:pPr>
              <w:pStyle w:val="TableText"/>
              <w:ind w:left="194"/>
              <w:spacing w:before="55" w:line="183" w:lineRule="auto"/>
              <w:rPr>
                <w:sz w:val="17"/>
                <w:szCs w:val="17"/>
              </w:rPr>
            </w:pPr>
            <w:r>
              <w:rPr>
                <w:sz w:val="17"/>
                <w:szCs w:val="17"/>
                <w:spacing w:val="-3"/>
              </w:rPr>
              <w:t>59</w:t>
            </w:r>
          </w:p>
        </w:tc>
        <w:tc>
          <w:tcPr>
            <w:tcW w:w="1289" w:type="dxa"/>
            <w:vAlign w:val="top"/>
          </w:tcPr>
          <w:p>
            <w:pPr>
              <w:spacing w:line="320" w:lineRule="auto"/>
              <w:rPr>
                <w:rFonts w:ascii="Arial"/>
                <w:sz w:val="21"/>
              </w:rPr>
            </w:pPr>
            <w:r/>
          </w:p>
          <w:p>
            <w:pPr>
              <w:pStyle w:val="TableText"/>
              <w:ind w:left="291"/>
              <w:spacing w:before="55" w:line="221" w:lineRule="auto"/>
              <w:rPr>
                <w:sz w:val="17"/>
                <w:szCs w:val="17"/>
              </w:rPr>
            </w:pPr>
            <w:r>
              <w:rPr>
                <w:sz w:val="17"/>
                <w:szCs w:val="17"/>
                <w:spacing w:val="3"/>
              </w:rPr>
              <w:t>广电益局</w:t>
            </w:r>
          </w:p>
        </w:tc>
        <w:tc>
          <w:tcPr>
            <w:tcW w:w="1648" w:type="dxa"/>
            <w:vAlign w:val="top"/>
          </w:tcPr>
          <w:p>
            <w:pPr>
              <w:pStyle w:val="TableText"/>
              <w:ind w:left="52" w:right="61" w:firstLine="40"/>
              <w:spacing w:before="287" w:line="218" w:lineRule="auto"/>
              <w:rPr>
                <w:sz w:val="17"/>
                <w:szCs w:val="17"/>
              </w:rPr>
            </w:pPr>
            <w:r>
              <w:rPr>
                <w:sz w:val="17"/>
                <w:szCs w:val="17"/>
                <w:spacing w:val="-1"/>
              </w:rPr>
              <w:t>V星电视广提速面福</w:t>
            </w:r>
            <w:r>
              <w:rPr>
                <w:sz w:val="17"/>
                <w:szCs w:val="17"/>
                <w:spacing w:val="5"/>
              </w:rPr>
              <w:t xml:space="preserve"> </w:t>
            </w:r>
            <w:r>
              <w:rPr>
                <w:sz w:val="17"/>
                <w:szCs w:val="17"/>
                <w:spacing w:val="-1"/>
              </w:rPr>
              <w:t>政疫施发皆原务许可</w:t>
            </w:r>
          </w:p>
        </w:tc>
        <w:tc>
          <w:tcPr>
            <w:tcW w:w="2367" w:type="dxa"/>
            <w:vAlign w:val="top"/>
          </w:tcPr>
          <w:p>
            <w:pPr>
              <w:pStyle w:val="TableText"/>
              <w:ind w:left="44" w:firstLine="29"/>
              <w:spacing w:before="176" w:line="232" w:lineRule="auto"/>
              <w:jc w:val="both"/>
              <w:rPr>
                <w:sz w:val="17"/>
                <w:szCs w:val="17"/>
              </w:rPr>
            </w:pPr>
            <w:r>
              <w:rPr>
                <w:sz w:val="17"/>
                <w:szCs w:val="17"/>
              </w:rPr>
              <w:t>广电点局部分由省级广电起门 </w:t>
            </w:r>
            <w:r>
              <w:rPr>
                <w:sz w:val="17"/>
                <w:szCs w:val="17"/>
                <w:spacing w:val="1"/>
              </w:rPr>
              <w:t>初带；省现产电部门(由设区的</w:t>
            </w:r>
            <w:r>
              <w:rPr>
                <w:sz w:val="17"/>
                <w:szCs w:val="17"/>
                <w:spacing w:val="2"/>
              </w:rPr>
              <w:t xml:space="preserve"> </w:t>
            </w:r>
            <w:r>
              <w:rPr>
                <w:sz w:val="17"/>
                <w:szCs w:val="17"/>
                <w:spacing w:val="-2"/>
              </w:rPr>
              <w:t>市硬，县缺厂电部门机平</w:t>
            </w:r>
          </w:p>
        </w:tc>
        <w:tc>
          <w:tcPr>
            <w:tcW w:w="3711" w:type="dxa"/>
            <w:vAlign w:val="top"/>
          </w:tcPr>
          <w:p>
            <w:pPr>
              <w:pStyle w:val="TableText"/>
              <w:ind w:left="46"/>
              <w:spacing w:before="76" w:line="217" w:lineRule="auto"/>
              <w:rPr>
                <w:sz w:val="17"/>
                <w:szCs w:val="17"/>
              </w:rPr>
            </w:pPr>
            <w:r>
              <w:rPr>
                <w:sz w:val="17"/>
                <w:szCs w:val="17"/>
                <w:spacing w:val="-1"/>
              </w:rPr>
              <w:t>卫见电视厂播地而接收段监登理发定》</w:t>
            </w:r>
          </w:p>
          <w:p>
            <w:pPr>
              <w:pStyle w:val="TableText"/>
              <w:ind w:right="12"/>
              <w:spacing w:before="1" w:line="220" w:lineRule="auto"/>
              <w:jc w:val="both"/>
              <w:rPr>
                <w:sz w:val="17"/>
                <w:szCs w:val="17"/>
              </w:rPr>
            </w:pPr>
            <w:r>
              <w:rPr>
                <w:sz w:val="17"/>
                <w:szCs w:val="17"/>
                <w:spacing w:val="-3"/>
              </w:rPr>
              <w:t>《卫昆电钱广杨地画技业说施安装现务备行办法》</w:t>
            </w:r>
            <w:r>
              <w:rPr>
                <w:sz w:val="17"/>
                <w:szCs w:val="17"/>
                <w:spacing w:val="13"/>
              </w:rPr>
              <w:t xml:space="preserve"> </w:t>
            </w:r>
            <w:r>
              <w:rPr>
                <w:sz w:val="17"/>
                <w:szCs w:val="17"/>
                <w:spacing w:val="-3"/>
              </w:rPr>
              <w:t>《广电益局关于设立卫星随面能收设能安装屋务机</w:t>
            </w:r>
            <w:r>
              <w:rPr>
                <w:sz w:val="17"/>
                <w:szCs w:val="17"/>
                <w:spacing w:val="13"/>
              </w:rPr>
              <w:t xml:space="preserve"> </w:t>
            </w:r>
            <w:r>
              <w:rPr>
                <w:sz w:val="17"/>
                <w:szCs w:val="17"/>
                <w:spacing w:val="3"/>
              </w:rPr>
              <w:t>构审批单项的通包家广发T2D10J24号1</w:t>
            </w:r>
          </w:p>
        </w:tc>
      </w:tr>
    </w:tbl>
    <w:p>
      <w:pPr>
        <w:pStyle w:val="BodyText"/>
        <w:rPr/>
      </w:pPr>
      <w:r/>
    </w:p>
    <w:p>
      <w:pPr>
        <w:sectPr>
          <w:pgSz w:w="11910" w:h="8220"/>
          <w:pgMar w:top="400" w:right="1165" w:bottom="400" w:left="822" w:header="0" w:footer="0" w:gutter="0"/>
        </w:sectPr>
        <w:rPr/>
      </w:pPr>
    </w:p>
    <w:p>
      <w:pPr>
        <w:spacing w:before="123"/>
        <w:rPr/>
      </w:pPr>
      <w:r>
        <mc:AlternateContent xmlns:mc="http://schemas.openxmlformats.org/markup-compatibility/2006">
          <mc:Choice Requires="wps">
            <w:drawing>
              <wp:anchor distT="0" distB="0" distL="0" distR="0" simplePos="0" relativeHeight="251885568"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288" name="TextBox 288"/>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0" style="position:absolute;margin-left:37.0402pt;margin-top:344.137pt;mso-position-vertical-relative:page;mso-position-horizontal-relative:page;width:13.6pt;height:12.35pt;z-index:25188556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15" w:hRule="atLeast"/>
        </w:trPr>
        <w:tc>
          <w:tcPr>
            <w:tcW w:w="584" w:type="dxa"/>
            <w:vAlign w:val="top"/>
          </w:tcPr>
          <w:p>
            <w:pPr>
              <w:pStyle w:val="TableText"/>
              <w:ind w:left="124"/>
              <w:spacing w:before="131" w:line="219" w:lineRule="auto"/>
              <w:rPr>
                <w:sz w:val="16"/>
                <w:szCs w:val="16"/>
              </w:rPr>
            </w:pPr>
            <w:r>
              <w:rPr>
                <w:sz w:val="16"/>
                <w:szCs w:val="16"/>
                <w:spacing w:val="-2"/>
              </w:rPr>
              <w:t>存号</w:t>
            </w:r>
          </w:p>
        </w:tc>
        <w:tc>
          <w:tcPr>
            <w:tcW w:w="1289" w:type="dxa"/>
            <w:vAlign w:val="top"/>
          </w:tcPr>
          <w:p>
            <w:pPr>
              <w:pStyle w:val="TableText"/>
              <w:ind w:left="150"/>
              <w:spacing w:before="131" w:line="219" w:lineRule="auto"/>
              <w:rPr>
                <w:sz w:val="16"/>
                <w:szCs w:val="16"/>
              </w:rPr>
            </w:pPr>
            <w:r>
              <w:rPr>
                <w:sz w:val="16"/>
                <w:szCs w:val="16"/>
                <w:spacing w:val="3"/>
              </w:rPr>
              <w:t>中央主营部门</w:t>
            </w:r>
          </w:p>
        </w:tc>
        <w:tc>
          <w:tcPr>
            <w:tcW w:w="1638" w:type="dxa"/>
            <w:vAlign w:val="top"/>
          </w:tcPr>
          <w:p>
            <w:pPr>
              <w:pStyle w:val="TableText"/>
              <w:ind w:left="491"/>
              <w:spacing w:before="131" w:line="219" w:lineRule="auto"/>
              <w:rPr>
                <w:sz w:val="16"/>
                <w:szCs w:val="16"/>
              </w:rPr>
            </w:pPr>
            <w:r>
              <w:rPr>
                <w:sz w:val="16"/>
                <w:szCs w:val="16"/>
                <w:spacing w:val="-2"/>
              </w:rPr>
              <w:t>事署名郡</w:t>
            </w:r>
          </w:p>
        </w:tc>
        <w:tc>
          <w:tcPr>
            <w:tcW w:w="2377" w:type="dxa"/>
            <w:vAlign w:val="top"/>
          </w:tcPr>
          <w:p>
            <w:pPr>
              <w:pStyle w:val="TableText"/>
              <w:ind w:left="834"/>
              <w:spacing w:before="130" w:line="219" w:lineRule="auto"/>
              <w:rPr>
                <w:sz w:val="16"/>
                <w:szCs w:val="16"/>
              </w:rPr>
            </w:pPr>
            <w:r>
              <w:rPr>
                <w:sz w:val="16"/>
                <w:szCs w:val="16"/>
                <w:spacing w:val="-2"/>
              </w:rPr>
              <w:t>实弗机关</w:t>
            </w:r>
          </w:p>
        </w:tc>
        <w:tc>
          <w:tcPr>
            <w:tcW w:w="3711" w:type="dxa"/>
            <w:vAlign w:val="top"/>
          </w:tcPr>
          <w:p>
            <w:pPr>
              <w:pStyle w:val="TableText"/>
              <w:ind w:left="1276"/>
              <w:spacing w:before="130" w:line="219" w:lineRule="auto"/>
              <w:rPr>
                <w:sz w:val="16"/>
                <w:szCs w:val="16"/>
              </w:rPr>
            </w:pPr>
            <w:r>
              <w:rPr>
                <w:sz w:val="16"/>
                <w:szCs w:val="16"/>
                <w:spacing w:val="-2"/>
              </w:rPr>
              <w:t>设定和实施依据</w:t>
            </w:r>
          </w:p>
        </w:tc>
      </w:tr>
      <w:tr>
        <w:trPr>
          <w:trHeight w:val="459" w:hRule="atLeast"/>
        </w:trPr>
        <w:tc>
          <w:tcPr>
            <w:tcW w:w="584" w:type="dxa"/>
            <w:vAlign w:val="top"/>
          </w:tcPr>
          <w:p>
            <w:pPr>
              <w:pStyle w:val="TableText"/>
              <w:ind w:left="164"/>
              <w:spacing w:before="187" w:line="183" w:lineRule="auto"/>
              <w:rPr>
                <w:sz w:val="16"/>
                <w:szCs w:val="16"/>
              </w:rPr>
            </w:pPr>
            <w:r>
              <w:rPr>
                <w:sz w:val="16"/>
                <w:szCs w:val="16"/>
                <w:spacing w:val="-3"/>
              </w:rPr>
              <w:t>592</w:t>
            </w:r>
          </w:p>
        </w:tc>
        <w:tc>
          <w:tcPr>
            <w:tcW w:w="1289" w:type="dxa"/>
            <w:vAlign w:val="top"/>
          </w:tcPr>
          <w:p>
            <w:pPr>
              <w:pStyle w:val="TableText"/>
              <w:ind w:left="310"/>
              <w:spacing w:before="147" w:line="221" w:lineRule="auto"/>
              <w:rPr>
                <w:sz w:val="16"/>
                <w:szCs w:val="16"/>
              </w:rPr>
            </w:pPr>
            <w:r>
              <w:rPr>
                <w:sz w:val="16"/>
                <w:szCs w:val="16"/>
                <w:spacing w:val="3"/>
              </w:rPr>
              <w:t>广电总局</w:t>
            </w:r>
          </w:p>
        </w:tc>
        <w:tc>
          <w:tcPr>
            <w:tcW w:w="1638" w:type="dxa"/>
            <w:vAlign w:val="top"/>
          </w:tcPr>
          <w:p>
            <w:pPr>
              <w:pStyle w:val="TableText"/>
              <w:ind w:left="52" w:right="104" w:firstLine="40"/>
              <w:spacing w:before="56" w:line="225" w:lineRule="auto"/>
              <w:rPr>
                <w:sz w:val="16"/>
                <w:szCs w:val="16"/>
              </w:rPr>
            </w:pPr>
            <w:r>
              <w:rPr>
                <w:sz w:val="16"/>
                <w:szCs w:val="16"/>
                <w:spacing w:val="-1"/>
              </w:rPr>
              <w:t>设置卫显电视广痛地</w:t>
            </w:r>
            <w:r>
              <w:rPr>
                <w:sz w:val="16"/>
                <w:szCs w:val="16"/>
              </w:rPr>
              <w:t xml:space="preserve"> </w:t>
            </w:r>
            <w:r>
              <w:rPr>
                <w:sz w:val="16"/>
                <w:szCs w:val="16"/>
                <w:spacing w:val="-2"/>
              </w:rPr>
              <w:t>菌接收设施审拉</w:t>
            </w:r>
          </w:p>
        </w:tc>
        <w:tc>
          <w:tcPr>
            <w:tcW w:w="2377" w:type="dxa"/>
            <w:vAlign w:val="top"/>
          </w:tcPr>
          <w:p>
            <w:pPr>
              <w:pStyle w:val="TableText"/>
              <w:ind w:left="44" w:right="233" w:firstLine="20"/>
              <w:spacing w:before="65" w:line="221" w:lineRule="auto"/>
              <w:rPr>
                <w:sz w:val="16"/>
                <w:szCs w:val="16"/>
              </w:rPr>
            </w:pPr>
            <w:r>
              <w:rPr>
                <w:sz w:val="16"/>
                <w:szCs w:val="16"/>
                <w:spacing w:val="-1"/>
              </w:rPr>
              <w:t>古级广电都门《市设区的市级</w:t>
            </w:r>
            <w:r>
              <w:rPr>
                <w:sz w:val="16"/>
                <w:szCs w:val="16"/>
                <w:spacing w:val="1"/>
              </w:rPr>
              <w:t xml:space="preserve"> </w:t>
            </w:r>
            <w:r>
              <w:rPr>
                <w:sz w:val="16"/>
                <w:szCs w:val="16"/>
              </w:rPr>
              <w:t>县世广电都门初市：</w:t>
            </w:r>
          </w:p>
        </w:tc>
        <w:tc>
          <w:tcPr>
            <w:tcW w:w="3711" w:type="dxa"/>
            <w:vAlign w:val="top"/>
          </w:tcPr>
          <w:p>
            <w:pPr>
              <w:pStyle w:val="TableText"/>
              <w:ind w:left="56"/>
              <w:spacing w:before="45" w:line="219" w:lineRule="auto"/>
              <w:rPr>
                <w:sz w:val="16"/>
                <w:szCs w:val="16"/>
              </w:rPr>
            </w:pPr>
            <w:r>
              <w:rPr>
                <w:sz w:val="16"/>
                <w:szCs w:val="16"/>
                <w:spacing w:val="-2"/>
              </w:rPr>
              <w:t>广档见程管章条例》</w:t>
            </w:r>
          </w:p>
          <w:p>
            <w:pPr>
              <w:pStyle w:val="TableText"/>
              <w:spacing w:before="21" w:line="219" w:lineRule="auto"/>
              <w:rPr>
                <w:sz w:val="16"/>
                <w:szCs w:val="16"/>
              </w:rPr>
            </w:pPr>
            <w:r>
              <w:rPr>
                <w:sz w:val="16"/>
                <w:szCs w:val="16"/>
                <w:spacing w:val="-3"/>
              </w:rPr>
              <w:t>《卫星电税广播地面较收设策管现境定</w:t>
            </w:r>
          </w:p>
        </w:tc>
      </w:tr>
      <w:tr>
        <w:trPr>
          <w:trHeight w:val="469" w:hRule="atLeast"/>
        </w:trPr>
        <w:tc>
          <w:tcPr>
            <w:tcW w:w="584" w:type="dxa"/>
            <w:vAlign w:val="top"/>
          </w:tcPr>
          <w:p>
            <w:pPr>
              <w:pStyle w:val="TableText"/>
              <w:ind w:left="164"/>
              <w:spacing w:before="198" w:line="183" w:lineRule="auto"/>
              <w:rPr>
                <w:sz w:val="16"/>
                <w:szCs w:val="16"/>
              </w:rPr>
            </w:pPr>
            <w:r>
              <w:rPr>
                <w:sz w:val="16"/>
                <w:szCs w:val="16"/>
                <w:spacing w:val="-3"/>
              </w:rPr>
              <w:t>590</w:t>
            </w:r>
          </w:p>
        </w:tc>
        <w:tc>
          <w:tcPr>
            <w:tcW w:w="1289" w:type="dxa"/>
            <w:vAlign w:val="top"/>
          </w:tcPr>
          <w:p>
            <w:pPr>
              <w:pStyle w:val="TableText"/>
              <w:ind w:left="310"/>
              <w:spacing w:before="158" w:line="221" w:lineRule="auto"/>
              <w:rPr>
                <w:sz w:val="16"/>
                <w:szCs w:val="16"/>
              </w:rPr>
            </w:pPr>
            <w:r>
              <w:rPr>
                <w:sz w:val="16"/>
                <w:szCs w:val="16"/>
                <w:spacing w:val="3"/>
              </w:rPr>
              <w:t>广电总局</w:t>
            </w:r>
          </w:p>
        </w:tc>
        <w:tc>
          <w:tcPr>
            <w:tcW w:w="1638" w:type="dxa"/>
            <w:vAlign w:val="top"/>
          </w:tcPr>
          <w:p>
            <w:pPr>
              <w:pStyle w:val="TableText"/>
              <w:ind w:left="92" w:right="100"/>
              <w:spacing w:before="68" w:line="213" w:lineRule="auto"/>
              <w:rPr>
                <w:sz w:val="16"/>
                <w:szCs w:val="16"/>
              </w:rPr>
            </w:pPr>
            <w:r>
              <w:rPr>
                <w:sz w:val="16"/>
                <w:szCs w:val="16"/>
                <w:spacing w:val="-1"/>
              </w:rPr>
              <w:t>进口卫星电视广西地</w:t>
            </w:r>
            <w:r>
              <w:rPr>
                <w:sz w:val="16"/>
                <w:szCs w:val="16"/>
                <w:spacing w:val="3"/>
              </w:rPr>
              <w:t xml:space="preserve"> </w:t>
            </w:r>
            <w:r>
              <w:rPr>
                <w:sz w:val="16"/>
                <w:szCs w:val="16"/>
                <w:spacing w:val="-1"/>
              </w:rPr>
              <w:t>面垫收设施审量</w:t>
            </w:r>
          </w:p>
        </w:tc>
        <w:tc>
          <w:tcPr>
            <w:tcW w:w="2377" w:type="dxa"/>
            <w:vAlign w:val="top"/>
          </w:tcPr>
          <w:p>
            <w:pPr>
              <w:pStyle w:val="TableText"/>
              <w:ind w:left="44"/>
              <w:spacing w:before="158" w:line="221" w:lineRule="auto"/>
              <w:rPr>
                <w:sz w:val="16"/>
                <w:szCs w:val="16"/>
              </w:rPr>
            </w:pPr>
            <w:r>
              <w:rPr>
                <w:sz w:val="16"/>
                <w:szCs w:val="16"/>
                <w:spacing w:val="3"/>
              </w:rPr>
              <w:t>广电总局</w:t>
            </w:r>
          </w:p>
        </w:tc>
        <w:tc>
          <w:tcPr>
            <w:tcW w:w="3711" w:type="dxa"/>
            <w:vAlign w:val="top"/>
          </w:tcPr>
          <w:p>
            <w:pPr>
              <w:pStyle w:val="TableText"/>
              <w:spacing w:before="157" w:line="219" w:lineRule="auto"/>
              <w:rPr>
                <w:sz w:val="16"/>
                <w:szCs w:val="16"/>
              </w:rPr>
            </w:pPr>
            <w:r>
              <w:rPr>
                <w:sz w:val="16"/>
                <w:szCs w:val="16"/>
                <w:spacing w:val="-4"/>
              </w:rPr>
              <w:t>《广指电抛管理条例》</w:t>
            </w:r>
          </w:p>
        </w:tc>
      </w:tr>
      <w:tr>
        <w:trPr>
          <w:trHeight w:val="659" w:hRule="atLeast"/>
        </w:trPr>
        <w:tc>
          <w:tcPr>
            <w:tcW w:w="584" w:type="dxa"/>
            <w:vAlign w:val="top"/>
          </w:tcPr>
          <w:p>
            <w:pPr>
              <w:pStyle w:val="TableText"/>
              <w:ind w:left="164"/>
              <w:spacing w:before="289" w:line="184" w:lineRule="auto"/>
              <w:rPr>
                <w:sz w:val="16"/>
                <w:szCs w:val="16"/>
              </w:rPr>
            </w:pPr>
            <w:r>
              <w:rPr>
                <w:sz w:val="16"/>
                <w:szCs w:val="16"/>
                <w:spacing w:val="-3"/>
              </w:rPr>
              <w:t>514</w:t>
            </w:r>
          </w:p>
        </w:tc>
        <w:tc>
          <w:tcPr>
            <w:tcW w:w="1289" w:type="dxa"/>
            <w:vAlign w:val="top"/>
          </w:tcPr>
          <w:p>
            <w:pPr>
              <w:pStyle w:val="TableText"/>
              <w:ind w:left="310"/>
              <w:spacing w:before="249" w:line="221" w:lineRule="auto"/>
              <w:rPr>
                <w:sz w:val="16"/>
                <w:szCs w:val="16"/>
              </w:rPr>
            </w:pPr>
            <w:r>
              <w:rPr>
                <w:sz w:val="16"/>
                <w:szCs w:val="16"/>
                <w:spacing w:val="3"/>
              </w:rPr>
              <w:t>广电总局</w:t>
            </w:r>
          </w:p>
        </w:tc>
        <w:tc>
          <w:tcPr>
            <w:tcW w:w="1638" w:type="dxa"/>
            <w:vAlign w:val="top"/>
          </w:tcPr>
          <w:p>
            <w:pPr>
              <w:pStyle w:val="TableText"/>
              <w:ind w:left="42" w:right="142" w:firstLine="89"/>
              <w:spacing w:before="148" w:line="219" w:lineRule="auto"/>
              <w:rPr>
                <w:sz w:val="16"/>
                <w:szCs w:val="16"/>
              </w:rPr>
            </w:pPr>
            <w:r>
              <w:rPr>
                <w:sz w:val="16"/>
                <w:szCs w:val="16"/>
                <w:spacing w:val="-1"/>
              </w:rPr>
              <w:t>广增电视暂查员.主</w:t>
            </w:r>
            <w:r>
              <w:rPr>
                <w:sz w:val="16"/>
                <w:szCs w:val="16"/>
                <w:spacing w:val="1"/>
              </w:rPr>
              <w:t xml:space="preserve"> </w:t>
            </w:r>
            <w:r>
              <w:rPr>
                <w:sz w:val="16"/>
                <w:szCs w:val="16"/>
                <w:spacing w:val="-2"/>
              </w:rPr>
              <w:t>持人暨格化定</w:t>
            </w:r>
          </w:p>
        </w:tc>
        <w:tc>
          <w:tcPr>
            <w:tcW w:w="2377" w:type="dxa"/>
            <w:vAlign w:val="top"/>
          </w:tcPr>
          <w:p>
            <w:pPr>
              <w:pStyle w:val="TableText"/>
              <w:ind w:left="44" w:right="309" w:firstLine="20"/>
              <w:spacing w:before="157" w:line="224" w:lineRule="auto"/>
              <w:rPr>
                <w:sz w:val="16"/>
                <w:szCs w:val="16"/>
              </w:rPr>
            </w:pPr>
            <w:r>
              <w:rPr>
                <w:sz w:val="16"/>
                <w:szCs w:val="16"/>
                <w:spacing w:val="-1"/>
              </w:rPr>
              <w:t>广电总局t由省垢广电都门委</w:t>
            </w:r>
            <w:r>
              <w:rPr>
                <w:sz w:val="16"/>
                <w:szCs w:val="16"/>
                <w:spacing w:val="5"/>
              </w:rPr>
              <w:t xml:space="preserve"> </w:t>
            </w:r>
            <w:r>
              <w:rPr>
                <w:sz w:val="16"/>
                <w:szCs w:val="16"/>
              </w:rPr>
              <w:t>理</w:t>
            </w:r>
          </w:p>
        </w:tc>
        <w:tc>
          <w:tcPr>
            <w:tcW w:w="3711" w:type="dxa"/>
            <w:vAlign w:val="top"/>
          </w:tcPr>
          <w:p>
            <w:pPr>
              <w:pStyle w:val="TableText"/>
              <w:ind w:left="56" w:right="267" w:firstLine="10"/>
              <w:spacing w:before="48" w:line="231" w:lineRule="auto"/>
              <w:rPr>
                <w:sz w:val="16"/>
                <w:szCs w:val="16"/>
              </w:rPr>
            </w:pPr>
            <w:r>
              <w:rPr>
                <w:sz w:val="16"/>
                <w:szCs w:val="16"/>
              </w:rPr>
              <w:t>区务院对确需保群的行政审者项用象定行收许可</w:t>
            </w:r>
            <w:r>
              <w:rPr>
                <w:sz w:val="16"/>
                <w:szCs w:val="16"/>
                <w:spacing w:val="5"/>
              </w:rPr>
              <w:t xml:space="preserve"> </w:t>
            </w:r>
            <w:r>
              <w:rPr>
                <w:sz w:val="16"/>
                <w:szCs w:val="16"/>
                <w:spacing w:val="-3"/>
              </w:rPr>
              <w:t>前决定》</w:t>
            </w:r>
          </w:p>
          <w:p>
            <w:pPr>
              <w:pStyle w:val="TableText"/>
              <w:ind w:left="56"/>
              <w:spacing w:before="20" w:line="208" w:lineRule="auto"/>
              <w:rPr>
                <w:sz w:val="16"/>
                <w:szCs w:val="16"/>
              </w:rPr>
            </w:pPr>
            <w:r>
              <w:rPr>
                <w:sz w:val="16"/>
                <w:szCs w:val="16"/>
                <w:spacing w:val="2"/>
              </w:rPr>
              <w:t>泻家制业资格目录(20)]年放月</w:t>
            </w:r>
          </w:p>
        </w:tc>
      </w:tr>
      <w:tr>
        <w:trPr>
          <w:trHeight w:val="459" w:hRule="atLeast"/>
        </w:trPr>
        <w:tc>
          <w:tcPr>
            <w:tcW w:w="584" w:type="dxa"/>
            <w:vAlign w:val="top"/>
          </w:tcPr>
          <w:p>
            <w:pPr>
              <w:pStyle w:val="TableText"/>
              <w:ind w:left="164"/>
              <w:spacing w:before="190" w:line="183" w:lineRule="auto"/>
              <w:rPr>
                <w:sz w:val="16"/>
                <w:szCs w:val="16"/>
              </w:rPr>
            </w:pPr>
            <w:r>
              <w:rPr>
                <w:sz w:val="16"/>
                <w:szCs w:val="16"/>
                <w:spacing w:val="-3"/>
              </w:rPr>
              <w:t>595</w:t>
            </w:r>
          </w:p>
        </w:tc>
        <w:tc>
          <w:tcPr>
            <w:tcW w:w="1289" w:type="dxa"/>
            <w:vAlign w:val="top"/>
          </w:tcPr>
          <w:p>
            <w:pPr>
              <w:pStyle w:val="TableText"/>
              <w:ind w:left="310"/>
              <w:spacing w:before="150" w:line="221" w:lineRule="auto"/>
              <w:rPr>
                <w:sz w:val="16"/>
                <w:szCs w:val="16"/>
              </w:rPr>
            </w:pPr>
            <w:r>
              <w:rPr>
                <w:sz w:val="16"/>
                <w:szCs w:val="16"/>
                <w:spacing w:val="3"/>
              </w:rPr>
              <w:t>广电总局</w:t>
            </w:r>
          </w:p>
        </w:tc>
        <w:tc>
          <w:tcPr>
            <w:tcW w:w="1638" w:type="dxa"/>
            <w:vAlign w:val="top"/>
          </w:tcPr>
          <w:p>
            <w:pPr>
              <w:pStyle w:val="TableText"/>
              <w:ind w:left="52" w:right="102" w:firstLine="40"/>
              <w:spacing w:before="58" w:line="225" w:lineRule="auto"/>
              <w:rPr>
                <w:sz w:val="16"/>
                <w:szCs w:val="16"/>
              </w:rPr>
            </w:pPr>
            <w:r>
              <w:rPr>
                <w:sz w:val="16"/>
                <w:szCs w:val="16"/>
                <w:spacing w:val="-1"/>
              </w:rPr>
              <w:t>广昌韦台，电望当使</w:t>
            </w:r>
            <w:r>
              <w:rPr>
                <w:sz w:val="16"/>
                <w:szCs w:val="16"/>
                <w:spacing w:val="1"/>
              </w:rPr>
              <w:t xml:space="preserve"> </w:t>
            </w:r>
            <w:r>
              <w:rPr>
                <w:sz w:val="16"/>
                <w:szCs w:val="16"/>
                <w:spacing w:val="-1"/>
              </w:rPr>
              <w:t>用方言播音审址</w:t>
            </w:r>
          </w:p>
        </w:tc>
        <w:tc>
          <w:tcPr>
            <w:tcW w:w="2377" w:type="dxa"/>
            <w:vAlign w:val="top"/>
          </w:tcPr>
          <w:p>
            <w:pPr>
              <w:pStyle w:val="TableText"/>
              <w:ind w:left="44"/>
              <w:spacing w:before="149" w:line="219" w:lineRule="auto"/>
              <w:rPr>
                <w:sz w:val="16"/>
                <w:szCs w:val="16"/>
              </w:rPr>
            </w:pPr>
            <w:r>
              <w:rPr>
                <w:sz w:val="16"/>
                <w:szCs w:val="16"/>
                <w:spacing w:val="1"/>
              </w:rPr>
              <w:t>广电总属，省纸广电部门</w:t>
            </w:r>
          </w:p>
        </w:tc>
        <w:tc>
          <w:tcPr>
            <w:tcW w:w="3711" w:type="dxa"/>
            <w:vAlign w:val="top"/>
          </w:tcPr>
          <w:p>
            <w:pPr>
              <w:pStyle w:val="TableText"/>
              <w:spacing w:before="149" w:line="219" w:lineRule="auto"/>
              <w:rPr>
                <w:sz w:val="16"/>
                <w:szCs w:val="16"/>
              </w:rPr>
            </w:pPr>
            <w:r>
              <w:rPr>
                <w:sz w:val="16"/>
                <w:szCs w:val="16"/>
                <w:spacing w:val="-2"/>
              </w:rPr>
              <w:t>《中华人民共和国国家通用语古文字法》</w:t>
            </w:r>
          </w:p>
        </w:tc>
      </w:tr>
      <w:tr>
        <w:trPr>
          <w:trHeight w:val="449" w:hRule="atLeast"/>
        </w:trPr>
        <w:tc>
          <w:tcPr>
            <w:tcW w:w="584" w:type="dxa"/>
            <w:vAlign w:val="top"/>
          </w:tcPr>
          <w:p>
            <w:pPr>
              <w:pStyle w:val="TableText"/>
              <w:ind w:left="164"/>
              <w:spacing w:before="191" w:line="183" w:lineRule="auto"/>
              <w:rPr>
                <w:sz w:val="16"/>
                <w:szCs w:val="16"/>
              </w:rPr>
            </w:pPr>
            <w:r>
              <w:rPr>
                <w:sz w:val="16"/>
                <w:szCs w:val="16"/>
                <w:spacing w:val="-3"/>
              </w:rPr>
              <w:t>596</w:t>
            </w:r>
          </w:p>
        </w:tc>
        <w:tc>
          <w:tcPr>
            <w:tcW w:w="1289" w:type="dxa"/>
            <w:vAlign w:val="top"/>
          </w:tcPr>
          <w:p>
            <w:pPr>
              <w:pStyle w:val="TableText"/>
              <w:ind w:left="310"/>
              <w:spacing w:before="151" w:line="220" w:lineRule="auto"/>
              <w:rPr>
                <w:sz w:val="16"/>
                <w:szCs w:val="16"/>
              </w:rPr>
            </w:pPr>
            <w:r>
              <w:rPr>
                <w:sz w:val="16"/>
                <w:szCs w:val="16"/>
                <w:spacing w:val="3"/>
              </w:rPr>
              <w:t>厂电总局</w:t>
            </w:r>
          </w:p>
        </w:tc>
        <w:tc>
          <w:tcPr>
            <w:tcW w:w="1638" w:type="dxa"/>
            <w:vAlign w:val="top"/>
          </w:tcPr>
          <w:p>
            <w:pPr>
              <w:pStyle w:val="TableText"/>
              <w:ind w:left="92" w:right="102"/>
              <w:spacing w:before="69" w:line="213" w:lineRule="auto"/>
              <w:rPr>
                <w:sz w:val="16"/>
                <w:szCs w:val="16"/>
              </w:rPr>
            </w:pPr>
            <w:r>
              <w:rPr>
                <w:sz w:val="16"/>
                <w:szCs w:val="16"/>
                <w:spacing w:val="-1"/>
              </w:rPr>
              <w:t>广描电台，电视台使</w:t>
            </w:r>
            <w:r>
              <w:rPr>
                <w:sz w:val="16"/>
                <w:szCs w:val="16"/>
                <w:spacing w:val="1"/>
              </w:rPr>
              <w:t xml:space="preserve"> </w:t>
            </w:r>
            <w:r>
              <w:rPr>
                <w:sz w:val="16"/>
                <w:szCs w:val="16"/>
                <w:spacing w:val="-1"/>
              </w:rPr>
              <w:t>用外国讲言善音审批</w:t>
            </w:r>
          </w:p>
        </w:tc>
        <w:tc>
          <w:tcPr>
            <w:tcW w:w="2377" w:type="dxa"/>
            <w:vAlign w:val="top"/>
          </w:tcPr>
          <w:p>
            <w:pPr>
              <w:pStyle w:val="TableText"/>
              <w:ind w:left="44"/>
              <w:spacing w:before="151" w:line="221" w:lineRule="auto"/>
              <w:rPr>
                <w:sz w:val="16"/>
                <w:szCs w:val="16"/>
              </w:rPr>
            </w:pPr>
            <w:r>
              <w:rPr>
                <w:sz w:val="16"/>
                <w:szCs w:val="16"/>
                <w:spacing w:val="-2"/>
              </w:rPr>
              <w:t>广电总属</w:t>
            </w:r>
          </w:p>
        </w:tc>
        <w:tc>
          <w:tcPr>
            <w:tcW w:w="3711" w:type="dxa"/>
            <w:vAlign w:val="top"/>
          </w:tcPr>
          <w:p>
            <w:pPr>
              <w:pStyle w:val="TableText"/>
              <w:spacing w:before="150" w:line="219" w:lineRule="auto"/>
              <w:rPr>
                <w:sz w:val="16"/>
                <w:szCs w:val="16"/>
              </w:rPr>
            </w:pPr>
            <w:r>
              <w:rPr>
                <w:sz w:val="16"/>
                <w:szCs w:val="16"/>
                <w:spacing w:val="-2"/>
              </w:rPr>
              <w:t>《中华人民共和国国家通川语合文字法)</w:t>
            </w:r>
          </w:p>
        </w:tc>
      </w:tr>
      <w:tr>
        <w:trPr>
          <w:trHeight w:val="669" w:hRule="atLeast"/>
        </w:trPr>
        <w:tc>
          <w:tcPr>
            <w:tcW w:w="584" w:type="dxa"/>
            <w:vAlign w:val="top"/>
          </w:tcPr>
          <w:p>
            <w:pPr>
              <w:spacing w:line="249" w:lineRule="auto"/>
              <w:rPr>
                <w:rFonts w:ascii="Arial"/>
                <w:sz w:val="21"/>
              </w:rPr>
            </w:pPr>
            <w:r/>
          </w:p>
          <w:p>
            <w:pPr>
              <w:pStyle w:val="TableText"/>
              <w:ind w:left="164"/>
              <w:spacing w:before="52" w:line="183" w:lineRule="auto"/>
              <w:rPr>
                <w:sz w:val="16"/>
                <w:szCs w:val="16"/>
              </w:rPr>
            </w:pPr>
            <w:r>
              <w:rPr>
                <w:sz w:val="16"/>
                <w:szCs w:val="16"/>
                <w:spacing w:val="-3"/>
              </w:rPr>
              <w:t>597</w:t>
            </w:r>
          </w:p>
        </w:tc>
        <w:tc>
          <w:tcPr>
            <w:tcW w:w="1289" w:type="dxa"/>
            <w:vAlign w:val="top"/>
          </w:tcPr>
          <w:p>
            <w:pPr>
              <w:pStyle w:val="TableText"/>
              <w:ind w:left="310"/>
              <w:spacing w:before="261" w:line="219" w:lineRule="auto"/>
              <w:rPr>
                <w:sz w:val="16"/>
                <w:szCs w:val="16"/>
              </w:rPr>
            </w:pPr>
            <w:r>
              <w:rPr>
                <w:sz w:val="16"/>
                <w:szCs w:val="16"/>
                <w:spacing w:val="3"/>
              </w:rPr>
              <w:t>体育总局</w:t>
            </w:r>
          </w:p>
        </w:tc>
        <w:tc>
          <w:tcPr>
            <w:tcW w:w="1638" w:type="dxa"/>
            <w:vAlign w:val="top"/>
          </w:tcPr>
          <w:p>
            <w:pPr>
              <w:pStyle w:val="TableText"/>
              <w:ind w:left="62" w:right="102" w:firstLine="30"/>
              <w:spacing w:before="161" w:line="231" w:lineRule="auto"/>
              <w:rPr>
                <w:sz w:val="16"/>
                <w:szCs w:val="16"/>
              </w:rPr>
            </w:pPr>
            <w:r>
              <w:rPr>
                <w:sz w:val="16"/>
                <w:szCs w:val="16"/>
                <w:spacing w:val="-1"/>
              </w:rPr>
              <w:t>排办健导气功活动是</w:t>
            </w:r>
            <w:r>
              <w:rPr>
                <w:sz w:val="16"/>
                <w:szCs w:val="16"/>
                <w:spacing w:val="1"/>
              </w:rPr>
              <w:t xml:space="preserve"> </w:t>
            </w:r>
            <w:r>
              <w:rPr>
                <w:sz w:val="16"/>
                <w:szCs w:val="16"/>
                <w:spacing w:val="-2"/>
              </w:rPr>
              <w:t>设立站点霉粉</w:t>
            </w:r>
          </w:p>
        </w:tc>
        <w:tc>
          <w:tcPr>
            <w:tcW w:w="2377" w:type="dxa"/>
            <w:vAlign w:val="top"/>
          </w:tcPr>
          <w:p>
            <w:pPr>
              <w:pStyle w:val="TableText"/>
              <w:ind w:left="44"/>
              <w:spacing w:before="150" w:line="237" w:lineRule="auto"/>
              <w:rPr>
                <w:sz w:val="16"/>
                <w:szCs w:val="16"/>
              </w:rPr>
            </w:pPr>
            <w:r>
              <w:rPr>
                <w:sz w:val="16"/>
                <w:szCs w:val="16"/>
                <w:spacing w:val="-6"/>
              </w:rPr>
              <w:t>体育总局；在级，设区的布烟，是</w:t>
            </w:r>
            <w:r>
              <w:rPr>
                <w:sz w:val="16"/>
                <w:szCs w:val="16"/>
                <w:spacing w:val="11"/>
              </w:rPr>
              <w:t xml:space="preserve"> </w:t>
            </w:r>
            <w:r>
              <w:rPr>
                <w:sz w:val="16"/>
                <w:szCs w:val="16"/>
                <w:spacing w:val="3"/>
              </w:rPr>
              <w:t>或体育部门</w:t>
            </w:r>
          </w:p>
        </w:tc>
        <w:tc>
          <w:tcPr>
            <w:tcW w:w="3711" w:type="dxa"/>
            <w:vAlign w:val="top"/>
          </w:tcPr>
          <w:p>
            <w:pPr>
              <w:pStyle w:val="TableText"/>
              <w:ind w:left="79" w:right="377" w:hanging="79"/>
              <w:spacing w:before="61" w:line="225" w:lineRule="auto"/>
              <w:rPr>
                <w:sz w:val="16"/>
                <w:szCs w:val="16"/>
              </w:rPr>
            </w:pPr>
            <w:r>
              <w:rPr>
                <w:sz w:val="16"/>
                <w:szCs w:val="16"/>
                <w:spacing w:val="-2"/>
              </w:rPr>
              <w:t>《国务胶对确需保留的行政市能境日设定行收许</w:t>
            </w:r>
            <w:r>
              <w:rPr>
                <w:sz w:val="16"/>
                <w:szCs w:val="16"/>
                <w:spacing w:val="4"/>
              </w:rPr>
              <w:t xml:space="preserve"> </w:t>
            </w:r>
            <w:r>
              <w:rPr>
                <w:sz w:val="16"/>
                <w:szCs w:val="16"/>
                <w:spacing w:val="3"/>
              </w:rPr>
              <w:t>的决定1</w:t>
            </w:r>
          </w:p>
          <w:p>
            <w:pPr>
              <w:pStyle w:val="TableText"/>
              <w:ind w:left="56"/>
              <w:spacing w:before="40" w:line="193" w:lineRule="auto"/>
              <w:rPr>
                <w:sz w:val="16"/>
                <w:szCs w:val="16"/>
              </w:rPr>
            </w:pPr>
            <w:r>
              <w:rPr>
                <w:sz w:val="16"/>
                <w:szCs w:val="16"/>
                <w:spacing w:val="-2"/>
              </w:rPr>
              <w:t>健身气功管理办共》</w:t>
            </w:r>
          </w:p>
        </w:tc>
      </w:tr>
      <w:tr>
        <w:trPr>
          <w:trHeight w:val="869" w:hRule="atLeast"/>
        </w:trPr>
        <w:tc>
          <w:tcPr>
            <w:tcW w:w="584" w:type="dxa"/>
            <w:vAlign w:val="top"/>
          </w:tcPr>
          <w:p>
            <w:pPr>
              <w:spacing w:line="349" w:lineRule="auto"/>
              <w:rPr>
                <w:rFonts w:ascii="Arial"/>
                <w:sz w:val="21"/>
              </w:rPr>
            </w:pPr>
            <w:r/>
          </w:p>
          <w:p>
            <w:pPr>
              <w:pStyle w:val="TableText"/>
              <w:ind w:left="164"/>
              <w:spacing w:before="52" w:line="183" w:lineRule="auto"/>
              <w:rPr>
                <w:sz w:val="16"/>
                <w:szCs w:val="16"/>
              </w:rPr>
            </w:pPr>
            <w:r>
              <w:rPr>
                <w:sz w:val="16"/>
                <w:szCs w:val="16"/>
                <w:spacing w:val="-3"/>
              </w:rPr>
              <w:t>542</w:t>
            </w:r>
          </w:p>
        </w:tc>
        <w:tc>
          <w:tcPr>
            <w:tcW w:w="1289" w:type="dxa"/>
            <w:vAlign w:val="top"/>
          </w:tcPr>
          <w:p>
            <w:pPr>
              <w:spacing w:line="309" w:lineRule="auto"/>
              <w:rPr>
                <w:rFonts w:ascii="Arial"/>
                <w:sz w:val="21"/>
              </w:rPr>
            </w:pPr>
            <w:r/>
          </w:p>
          <w:p>
            <w:pPr>
              <w:pStyle w:val="TableText"/>
              <w:ind w:left="310"/>
              <w:spacing w:before="52" w:line="221" w:lineRule="auto"/>
              <w:rPr>
                <w:sz w:val="16"/>
                <w:szCs w:val="16"/>
              </w:rPr>
            </w:pPr>
            <w:r>
              <w:rPr>
                <w:sz w:val="16"/>
                <w:szCs w:val="16"/>
                <w:spacing w:val="3"/>
              </w:rPr>
              <w:t>体查点局</w:t>
            </w:r>
          </w:p>
        </w:tc>
        <w:tc>
          <w:tcPr>
            <w:tcW w:w="1638" w:type="dxa"/>
            <w:vAlign w:val="top"/>
          </w:tcPr>
          <w:p>
            <w:pPr>
              <w:pStyle w:val="TableText"/>
              <w:ind w:left="32" w:right="103" w:firstLine="60"/>
              <w:spacing w:before="252" w:line="227" w:lineRule="auto"/>
              <w:rPr>
                <w:sz w:val="16"/>
                <w:szCs w:val="16"/>
              </w:rPr>
            </w:pPr>
            <w:r>
              <w:rPr>
                <w:sz w:val="16"/>
                <w:szCs w:val="16"/>
                <w:spacing w:val="-1"/>
              </w:rPr>
              <w:t>单办星登山尊活动電</w:t>
            </w:r>
            <w:r>
              <w:rPr>
                <w:sz w:val="16"/>
                <w:szCs w:val="16"/>
              </w:rPr>
              <w:t xml:space="preserve"> </w:t>
            </w:r>
            <w:r>
              <w:rPr>
                <w:sz w:val="16"/>
                <w:szCs w:val="16"/>
              </w:rPr>
              <w:t>批</w:t>
            </w:r>
          </w:p>
        </w:tc>
        <w:tc>
          <w:tcPr>
            <w:tcW w:w="2377" w:type="dxa"/>
            <w:vAlign w:val="top"/>
          </w:tcPr>
          <w:p>
            <w:pPr>
              <w:spacing w:line="308" w:lineRule="auto"/>
              <w:rPr>
                <w:rFonts w:ascii="Arial"/>
                <w:sz w:val="21"/>
              </w:rPr>
            </w:pPr>
            <w:r/>
          </w:p>
          <w:p>
            <w:pPr>
              <w:pStyle w:val="TableText"/>
              <w:ind w:left="44"/>
              <w:spacing w:before="52" w:line="219" w:lineRule="auto"/>
              <w:rPr>
                <w:sz w:val="16"/>
                <w:szCs w:val="16"/>
              </w:rPr>
            </w:pPr>
            <w:r>
              <w:rPr>
                <w:sz w:val="16"/>
                <w:szCs w:val="16"/>
                <w:spacing w:val="1"/>
              </w:rPr>
              <w:t>体育总局；省级体育部门</w:t>
            </w:r>
          </w:p>
        </w:tc>
        <w:tc>
          <w:tcPr>
            <w:tcW w:w="3711" w:type="dxa"/>
            <w:vAlign w:val="top"/>
          </w:tcPr>
          <w:p>
            <w:pPr>
              <w:pStyle w:val="TableText"/>
              <w:ind w:left="127"/>
              <w:spacing w:before="51" w:line="219" w:lineRule="auto"/>
              <w:rPr>
                <w:sz w:val="16"/>
                <w:szCs w:val="16"/>
              </w:rPr>
            </w:pPr>
            <w:r>
              <w:rPr>
                <w:sz w:val="16"/>
                <w:szCs w:val="16"/>
              </w:rPr>
              <w:t>国务款对滴骨保群的行疲审批项目设它行章作可</w:t>
            </w:r>
          </w:p>
          <w:p>
            <w:pPr>
              <w:pStyle w:val="TableText"/>
              <w:ind w:left="56"/>
              <w:spacing w:before="31" w:line="207" w:lineRule="auto"/>
              <w:rPr>
                <w:sz w:val="16"/>
                <w:szCs w:val="16"/>
              </w:rPr>
            </w:pPr>
            <w:r>
              <w:rPr>
                <w:sz w:val="16"/>
                <w:szCs w:val="16"/>
                <w:spacing w:val="4"/>
              </w:rPr>
              <w:t>的庆定1</w:t>
            </w:r>
          </w:p>
          <w:p>
            <w:pPr>
              <w:pStyle w:val="TableText"/>
              <w:spacing w:line="219" w:lineRule="auto"/>
              <w:rPr>
                <w:sz w:val="16"/>
                <w:szCs w:val="16"/>
              </w:rPr>
            </w:pPr>
            <w:r>
              <w:rPr>
                <w:sz w:val="16"/>
                <w:szCs w:val="16"/>
                <w:spacing w:val="-4"/>
              </w:rPr>
              <w:t>《国内被山管理办法合</w:t>
            </w:r>
          </w:p>
          <w:p>
            <w:pPr>
              <w:pStyle w:val="TableText"/>
              <w:ind w:left="56"/>
              <w:spacing w:before="39" w:line="204" w:lineRule="auto"/>
              <w:rPr>
                <w:sz w:val="16"/>
                <w:szCs w:val="16"/>
              </w:rPr>
            </w:pPr>
            <w:r>
              <w:rPr>
                <w:sz w:val="16"/>
                <w:szCs w:val="16"/>
                <w:spacing w:val="-1"/>
              </w:rPr>
              <w:t>(外国人来华登山登理办陆》</w:t>
            </w:r>
          </w:p>
        </w:tc>
      </w:tr>
      <w:tr>
        <w:trPr>
          <w:trHeight w:val="459" w:hRule="atLeast"/>
        </w:trPr>
        <w:tc>
          <w:tcPr>
            <w:tcW w:w="584" w:type="dxa"/>
            <w:vAlign w:val="top"/>
          </w:tcPr>
          <w:p>
            <w:pPr>
              <w:pStyle w:val="TableText"/>
              <w:ind w:left="164"/>
              <w:spacing w:before="194" w:line="183" w:lineRule="auto"/>
              <w:rPr>
                <w:sz w:val="16"/>
                <w:szCs w:val="16"/>
              </w:rPr>
            </w:pPr>
            <w:r>
              <w:rPr>
                <w:sz w:val="16"/>
                <w:szCs w:val="16"/>
                <w:spacing w:val="-3"/>
              </w:rPr>
              <w:t>599</w:t>
            </w:r>
          </w:p>
        </w:tc>
        <w:tc>
          <w:tcPr>
            <w:tcW w:w="1289" w:type="dxa"/>
            <w:vAlign w:val="top"/>
          </w:tcPr>
          <w:p>
            <w:pPr>
              <w:pStyle w:val="TableText"/>
              <w:ind w:left="310"/>
              <w:spacing w:before="153" w:line="219" w:lineRule="auto"/>
              <w:rPr>
                <w:sz w:val="16"/>
                <w:szCs w:val="16"/>
              </w:rPr>
            </w:pPr>
            <w:r>
              <w:rPr>
                <w:sz w:val="16"/>
                <w:szCs w:val="16"/>
                <w:spacing w:val="3"/>
              </w:rPr>
              <w:t>体育总同</w:t>
            </w:r>
          </w:p>
        </w:tc>
        <w:tc>
          <w:tcPr>
            <w:tcW w:w="1638" w:type="dxa"/>
            <w:vAlign w:val="top"/>
          </w:tcPr>
          <w:p>
            <w:pPr>
              <w:pStyle w:val="TableText"/>
              <w:ind w:left="52" w:right="56" w:firstLine="79"/>
              <w:spacing w:before="72" w:line="217" w:lineRule="auto"/>
              <w:rPr>
                <w:sz w:val="16"/>
                <w:szCs w:val="16"/>
              </w:rPr>
            </w:pPr>
            <w:r>
              <w:rPr>
                <w:sz w:val="16"/>
                <w:szCs w:val="16"/>
              </w:rPr>
              <w:t>情型射击运动枪古。 </w:t>
            </w:r>
            <w:r>
              <w:rPr>
                <w:sz w:val="16"/>
                <w:szCs w:val="16"/>
                <w:spacing w:val="-2"/>
              </w:rPr>
              <w:t>弹药相入接审批</w:t>
            </w:r>
          </w:p>
        </w:tc>
        <w:tc>
          <w:tcPr>
            <w:tcW w:w="2377" w:type="dxa"/>
            <w:vAlign w:val="top"/>
          </w:tcPr>
          <w:p>
            <w:pPr>
              <w:pStyle w:val="TableText"/>
              <w:ind w:left="44"/>
              <w:spacing w:before="153" w:line="219" w:lineRule="auto"/>
              <w:rPr>
                <w:sz w:val="16"/>
                <w:szCs w:val="16"/>
              </w:rPr>
            </w:pPr>
            <w:r>
              <w:rPr>
                <w:sz w:val="16"/>
                <w:szCs w:val="16"/>
                <w:spacing w:val="-2"/>
              </w:rPr>
              <w:t>体育血属</w:t>
            </w:r>
          </w:p>
        </w:tc>
        <w:tc>
          <w:tcPr>
            <w:tcW w:w="3711" w:type="dxa"/>
            <w:vAlign w:val="top"/>
          </w:tcPr>
          <w:p>
            <w:pPr>
              <w:pStyle w:val="TableText"/>
              <w:ind w:left="56"/>
              <w:spacing w:before="153" w:line="219" w:lineRule="auto"/>
              <w:rPr>
                <w:sz w:val="16"/>
                <w:szCs w:val="16"/>
              </w:rPr>
            </w:pPr>
            <w:r>
              <w:rPr>
                <w:sz w:val="16"/>
                <w:szCs w:val="16"/>
                <w:spacing w:val="-1"/>
              </w:rPr>
              <w:t>(中作人民共和国检支管理法》</w:t>
            </w:r>
          </w:p>
        </w:tc>
      </w:tr>
      <w:tr>
        <w:trPr>
          <w:trHeight w:val="459" w:hRule="atLeast"/>
        </w:trPr>
        <w:tc>
          <w:tcPr>
            <w:tcW w:w="584" w:type="dxa"/>
            <w:vAlign w:val="top"/>
          </w:tcPr>
          <w:p>
            <w:pPr>
              <w:pStyle w:val="TableText"/>
              <w:ind w:left="164"/>
              <w:spacing w:before="195" w:line="183" w:lineRule="auto"/>
              <w:rPr>
                <w:sz w:val="16"/>
                <w:szCs w:val="16"/>
              </w:rPr>
            </w:pPr>
            <w:r>
              <w:rPr>
                <w:sz w:val="16"/>
                <w:szCs w:val="16"/>
                <w:spacing w:val="-2"/>
              </w:rPr>
              <w:t>8UG</w:t>
            </w:r>
          </w:p>
        </w:tc>
        <w:tc>
          <w:tcPr>
            <w:tcW w:w="1289" w:type="dxa"/>
            <w:vAlign w:val="top"/>
          </w:tcPr>
          <w:p>
            <w:pPr>
              <w:pStyle w:val="TableText"/>
              <w:ind w:left="310"/>
              <w:spacing w:before="153" w:line="219" w:lineRule="auto"/>
              <w:rPr>
                <w:sz w:val="16"/>
                <w:szCs w:val="16"/>
              </w:rPr>
            </w:pPr>
            <w:r>
              <w:rPr>
                <w:sz w:val="16"/>
                <w:szCs w:val="16"/>
                <w:spacing w:val="-2"/>
              </w:rPr>
              <w:t>体香总简</w:t>
            </w:r>
          </w:p>
        </w:tc>
        <w:tc>
          <w:tcPr>
            <w:tcW w:w="1638" w:type="dxa"/>
            <w:vAlign w:val="top"/>
          </w:tcPr>
          <w:p>
            <w:pPr>
              <w:pStyle w:val="TableText"/>
              <w:ind w:left="52" w:right="89" w:firstLine="40"/>
              <w:spacing w:before="84" w:line="210" w:lineRule="auto"/>
              <w:rPr>
                <w:sz w:val="16"/>
                <w:szCs w:val="16"/>
              </w:rPr>
            </w:pPr>
            <w:r>
              <w:rPr>
                <w:sz w:val="16"/>
                <w:szCs w:val="16"/>
              </w:rPr>
              <w:t>战事射击苋被体食元</w:t>
            </w:r>
            <w:r>
              <w:rPr>
                <w:sz w:val="16"/>
                <w:szCs w:val="16"/>
                <w:spacing w:val="5"/>
              </w:rPr>
              <w:t xml:space="preserve"> </w:t>
            </w:r>
            <w:r>
              <w:rPr>
                <w:sz w:val="16"/>
                <w:szCs w:val="16"/>
                <w:spacing w:val="-2"/>
              </w:rPr>
              <w:t>动单位事批</w:t>
            </w:r>
          </w:p>
        </w:tc>
        <w:tc>
          <w:tcPr>
            <w:tcW w:w="2377" w:type="dxa"/>
            <w:vAlign w:val="top"/>
          </w:tcPr>
          <w:p>
            <w:pPr>
              <w:pStyle w:val="TableText"/>
              <w:ind w:left="44"/>
              <w:spacing w:before="154" w:line="219" w:lineRule="auto"/>
              <w:rPr>
                <w:sz w:val="16"/>
                <w:szCs w:val="16"/>
              </w:rPr>
            </w:pPr>
            <w:r>
              <w:rPr>
                <w:sz w:val="16"/>
                <w:szCs w:val="16"/>
                <w:spacing w:val="2"/>
              </w:rPr>
              <w:t>省观体育前(门</w:t>
            </w:r>
          </w:p>
        </w:tc>
        <w:tc>
          <w:tcPr>
            <w:tcW w:w="3711" w:type="dxa"/>
            <w:vAlign w:val="top"/>
          </w:tcPr>
          <w:p>
            <w:pPr>
              <w:pStyle w:val="TableText"/>
              <w:spacing w:before="154" w:line="219" w:lineRule="auto"/>
              <w:rPr>
                <w:sz w:val="16"/>
                <w:szCs w:val="16"/>
              </w:rPr>
            </w:pPr>
            <w:r>
              <w:rPr>
                <w:sz w:val="16"/>
                <w:szCs w:val="16"/>
                <w:spacing w:val="-3"/>
              </w:rPr>
              <w:t>《中作人民共和信检支管厘称》</w:t>
            </w:r>
          </w:p>
        </w:tc>
      </w:tr>
      <w:tr>
        <w:trPr>
          <w:trHeight w:val="470" w:hRule="atLeast"/>
        </w:trPr>
        <w:tc>
          <w:tcPr>
            <w:tcW w:w="584" w:type="dxa"/>
            <w:vAlign w:val="top"/>
          </w:tcPr>
          <w:p>
            <w:pPr>
              <w:pStyle w:val="TableText"/>
              <w:ind w:left="164"/>
              <w:spacing w:before="206" w:line="183" w:lineRule="auto"/>
              <w:rPr>
                <w:sz w:val="16"/>
                <w:szCs w:val="16"/>
              </w:rPr>
            </w:pPr>
            <w:r>
              <w:rPr>
                <w:sz w:val="16"/>
                <w:szCs w:val="16"/>
                <w:spacing w:val="-2"/>
              </w:rPr>
              <w:t>GMi</w:t>
            </w:r>
          </w:p>
        </w:tc>
        <w:tc>
          <w:tcPr>
            <w:tcW w:w="1289" w:type="dxa"/>
            <w:vAlign w:val="top"/>
          </w:tcPr>
          <w:p>
            <w:pPr>
              <w:pStyle w:val="TableText"/>
              <w:ind w:left="310"/>
              <w:spacing w:before="164" w:line="219" w:lineRule="auto"/>
              <w:rPr>
                <w:sz w:val="16"/>
                <w:szCs w:val="16"/>
              </w:rPr>
            </w:pPr>
            <w:r>
              <w:rPr>
                <w:sz w:val="16"/>
                <w:szCs w:val="16"/>
                <w:spacing w:val="3"/>
              </w:rPr>
              <w:t>体青总局</w:t>
            </w:r>
          </w:p>
        </w:tc>
        <w:tc>
          <w:tcPr>
            <w:tcW w:w="1638" w:type="dxa"/>
            <w:vAlign w:val="top"/>
          </w:tcPr>
          <w:p>
            <w:pPr>
              <w:pStyle w:val="TableText"/>
              <w:ind w:left="42" w:right="106" w:firstLine="50"/>
              <w:spacing w:before="65" w:line="226" w:lineRule="auto"/>
              <w:rPr>
                <w:sz w:val="16"/>
                <w:szCs w:val="16"/>
              </w:rPr>
            </w:pPr>
            <w:r>
              <w:rPr>
                <w:sz w:val="16"/>
                <w:szCs w:val="16"/>
                <w:spacing w:val="-2"/>
              </w:rPr>
              <w:t>高危意性体直型日能</w:t>
            </w:r>
            <w:r>
              <w:rPr>
                <w:sz w:val="16"/>
                <w:szCs w:val="16"/>
                <w:spacing w:val="6"/>
              </w:rPr>
              <w:t xml:space="preserve"> </w:t>
            </w:r>
            <w:r>
              <w:rPr>
                <w:sz w:val="16"/>
                <w:szCs w:val="16"/>
                <w:spacing w:val="7"/>
              </w:rPr>
              <w:t>营许司</w:t>
            </w:r>
          </w:p>
        </w:tc>
        <w:tc>
          <w:tcPr>
            <w:tcW w:w="2377" w:type="dxa"/>
            <w:vAlign w:val="top"/>
          </w:tcPr>
          <w:p>
            <w:pPr>
              <w:pStyle w:val="TableText"/>
              <w:ind w:left="44" w:right="48" w:firstLine="20"/>
              <w:spacing w:before="86" w:line="211" w:lineRule="auto"/>
              <w:rPr>
                <w:sz w:val="16"/>
                <w:szCs w:val="16"/>
              </w:rPr>
            </w:pPr>
            <w:r>
              <w:rPr>
                <w:sz w:val="16"/>
                <w:szCs w:val="16"/>
                <w:spacing w:val="1"/>
              </w:rPr>
              <w:t>省限，说区的市位，县液体育当</w:t>
            </w:r>
            <w:r>
              <w:rPr>
                <w:sz w:val="16"/>
                <w:szCs w:val="16"/>
              </w:rPr>
              <w:t xml:space="preserve"> </w:t>
            </w:r>
            <w:r>
              <w:rPr>
                <w:sz w:val="16"/>
                <w:szCs w:val="16"/>
              </w:rPr>
              <w:t>门</w:t>
            </w:r>
          </w:p>
        </w:tc>
        <w:tc>
          <w:tcPr>
            <w:tcW w:w="3711" w:type="dxa"/>
            <w:vAlign w:val="top"/>
          </w:tcPr>
          <w:p>
            <w:pPr>
              <w:pStyle w:val="TableText"/>
              <w:ind w:left="56"/>
              <w:spacing w:before="55" w:line="242" w:lineRule="auto"/>
              <w:rPr>
                <w:sz w:val="16"/>
                <w:szCs w:val="16"/>
              </w:rPr>
            </w:pPr>
            <w:r>
              <w:rPr>
                <w:sz w:val="16"/>
                <w:szCs w:val="16"/>
              </w:rPr>
              <w:t>中华人民共和国体查次》</w:t>
            </w:r>
          </w:p>
          <w:p>
            <w:pPr>
              <w:pStyle w:val="TableText"/>
              <w:ind w:left="56"/>
              <w:spacing w:line="219" w:lineRule="auto"/>
              <w:rPr>
                <w:sz w:val="16"/>
                <w:szCs w:val="16"/>
              </w:rPr>
            </w:pPr>
            <w:r>
              <w:rPr>
                <w:sz w:val="16"/>
                <w:szCs w:val="16"/>
                <w:spacing w:val="-2"/>
              </w:rPr>
              <w:t>6全民能身条例》</w:t>
            </w:r>
          </w:p>
        </w:tc>
      </w:tr>
      <w:tr>
        <w:trPr>
          <w:trHeight w:val="734" w:hRule="atLeast"/>
        </w:trPr>
        <w:tc>
          <w:tcPr>
            <w:tcW w:w="584" w:type="dxa"/>
            <w:vAlign w:val="top"/>
          </w:tcPr>
          <w:p>
            <w:pPr>
              <w:spacing w:line="283" w:lineRule="auto"/>
              <w:rPr>
                <w:rFonts w:ascii="Arial"/>
                <w:sz w:val="21"/>
              </w:rPr>
            </w:pPr>
            <w:r/>
          </w:p>
          <w:p>
            <w:pPr>
              <w:pStyle w:val="TableText"/>
              <w:ind w:left="164"/>
              <w:spacing w:before="52" w:line="183" w:lineRule="auto"/>
              <w:rPr>
                <w:sz w:val="16"/>
                <w:szCs w:val="16"/>
              </w:rPr>
            </w:pPr>
            <w:r>
              <w:rPr>
                <w:sz w:val="16"/>
                <w:szCs w:val="16"/>
                <w:spacing w:val="-2"/>
              </w:rPr>
              <w:t>602</w:t>
            </w:r>
          </w:p>
        </w:tc>
        <w:tc>
          <w:tcPr>
            <w:tcW w:w="1289" w:type="dxa"/>
            <w:vAlign w:val="top"/>
          </w:tcPr>
          <w:p>
            <w:pPr>
              <w:spacing w:line="242" w:lineRule="auto"/>
              <w:rPr>
                <w:rFonts w:ascii="Arial"/>
                <w:sz w:val="21"/>
              </w:rPr>
            </w:pPr>
            <w:r/>
          </w:p>
          <w:p>
            <w:pPr>
              <w:pStyle w:val="TableText"/>
              <w:ind w:left="310"/>
              <w:spacing w:before="53" w:line="221" w:lineRule="auto"/>
              <w:rPr>
                <w:sz w:val="16"/>
                <w:szCs w:val="16"/>
              </w:rPr>
            </w:pPr>
            <w:r>
              <w:rPr>
                <w:sz w:val="16"/>
                <w:szCs w:val="16"/>
                <w:spacing w:val="4"/>
              </w:rPr>
              <w:t>体方总品</w:t>
            </w:r>
          </w:p>
        </w:tc>
        <w:tc>
          <w:tcPr>
            <w:tcW w:w="1638" w:type="dxa"/>
            <w:vAlign w:val="top"/>
          </w:tcPr>
          <w:p>
            <w:pPr>
              <w:pStyle w:val="TableText"/>
              <w:ind w:left="42" w:right="102" w:firstLine="129"/>
              <w:spacing w:before="104" w:line="226" w:lineRule="auto"/>
              <w:jc w:val="both"/>
              <w:rPr>
                <w:sz w:val="16"/>
                <w:szCs w:val="16"/>
              </w:rPr>
            </w:pPr>
            <w:r>
              <w:rPr>
                <w:sz w:val="16"/>
                <w:szCs w:val="16"/>
                <w:spacing w:val="1"/>
              </w:rPr>
              <w:t>北金体育指异高和 </w:t>
            </w:r>
            <w:r>
              <w:rPr>
                <w:sz w:val="16"/>
                <w:szCs w:val="16"/>
                <w:spacing w:val="4"/>
              </w:rPr>
              <w:t>冰改生负职业既格认</w:t>
            </w:r>
            <w:r>
              <w:rPr>
                <w:sz w:val="16"/>
                <w:szCs w:val="16"/>
                <w:spacing w:val="6"/>
              </w:rPr>
              <w:t xml:space="preserve"> </w:t>
            </w:r>
            <w:r>
              <w:rPr>
                <w:sz w:val="16"/>
                <w:szCs w:val="16"/>
              </w:rPr>
              <w:t>是</w:t>
            </w:r>
          </w:p>
        </w:tc>
        <w:tc>
          <w:tcPr>
            <w:tcW w:w="2377" w:type="dxa"/>
            <w:vAlign w:val="top"/>
          </w:tcPr>
          <w:p>
            <w:pPr>
              <w:pStyle w:val="TableText"/>
              <w:ind w:left="44" w:right="225"/>
              <w:spacing w:before="174" w:line="252" w:lineRule="auto"/>
              <w:rPr>
                <w:sz w:val="16"/>
                <w:szCs w:val="16"/>
              </w:rPr>
            </w:pPr>
            <w:r>
              <w:rPr>
                <w:sz w:val="16"/>
                <w:szCs w:val="16"/>
                <w:spacing w:val="1"/>
              </w:rPr>
              <w:t>体育森险取业技能鉴定指身中</w:t>
            </w:r>
            <w:r>
              <w:rPr>
                <w:sz w:val="16"/>
                <w:szCs w:val="16"/>
                <w:spacing w:val="3"/>
              </w:rPr>
              <w:t xml:space="preserve"> </w:t>
            </w:r>
            <w:r>
              <w:rPr>
                <w:sz w:val="16"/>
                <w:szCs w:val="16"/>
              </w:rPr>
              <w:t>心</w:t>
            </w:r>
          </w:p>
        </w:tc>
        <w:tc>
          <w:tcPr>
            <w:tcW w:w="3711" w:type="dxa"/>
            <w:vAlign w:val="top"/>
          </w:tcPr>
          <w:p>
            <w:pPr>
              <w:pStyle w:val="TableText"/>
              <w:ind w:left="56"/>
              <w:spacing w:before="195" w:line="219" w:lineRule="auto"/>
              <w:rPr>
                <w:sz w:val="16"/>
                <w:szCs w:val="16"/>
              </w:rPr>
            </w:pPr>
            <w:r>
              <w:rPr>
                <w:sz w:val="16"/>
                <w:szCs w:val="16"/>
              </w:rPr>
              <w:t>1全民雄身最例》</w:t>
            </w:r>
          </w:p>
          <w:p>
            <w:pPr>
              <w:pStyle w:val="TableText"/>
              <w:ind w:left="56"/>
              <w:spacing w:before="30" w:line="219" w:lineRule="auto"/>
              <w:rPr>
                <w:sz w:val="16"/>
                <w:szCs w:val="16"/>
              </w:rPr>
            </w:pPr>
            <w:r>
              <w:rPr>
                <w:sz w:val="16"/>
                <w:szCs w:val="16"/>
              </w:rPr>
              <w:t>1国家职业资格目录(2021年和)3</w:t>
            </w:r>
          </w:p>
        </w:tc>
      </w:tr>
    </w:tbl>
    <w:p>
      <w:pPr>
        <w:pStyle w:val="BodyText"/>
        <w:rPr/>
      </w:pPr>
      <w:r/>
    </w:p>
    <w:p>
      <w:pPr>
        <w:sectPr>
          <w:pgSz w:w="11910" w:h="8220"/>
          <w:pgMar w:top="400" w:right="116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886592" behindDoc="0" locked="0" layoutInCell="0" allowOverlap="1">
                <wp:simplePos x="0" y="0"/>
                <wp:positionH relativeFrom="page">
                  <wp:posOffset>464057</wp:posOffset>
                </wp:positionH>
                <wp:positionV relativeFrom="page">
                  <wp:posOffset>617676</wp:posOffset>
                </wp:positionV>
                <wp:extent cx="172720" cy="156845"/>
                <wp:effectExtent l="0" t="0" r="0" b="0"/>
                <wp:wrapNone/>
                <wp:docPr id="290" name="TextBox 290"/>
                <wp:cNvGraphicFramePr/>
                <a:graphic>
                  <a:graphicData uri="http://schemas.microsoft.com/office/word/2010/wordprocessingShape">
                    <wps:wsp>
                      <wps:cNvSpPr txBox="1"/>
                      <wps:spPr>
                        <a:xfrm rot="5400000">
                          <a:off x="464057"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2" style="position:absolute;margin-left:36.54pt;margin-top:48.6359pt;mso-position-vertical-relative:page;mso-position-horizontal-relative:page;width:13.6pt;height:12.35pt;z-index:25188659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226</w:t>
                      </w:r>
                    </w:p>
                  </w:txbxContent>
                </v:textbox>
              </v:shape>
            </w:pict>
          </mc:Fallback>
        </mc:AlternateContent>
      </w:r>
      <w:r/>
    </w:p>
    <w:tbl>
      <w:tblPr>
        <w:tblStyle w:val="TableNormal"/>
        <w:tblW w:w="960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48"/>
        <w:gridCol w:w="2367"/>
        <w:gridCol w:w="372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中央主骨部门</w:t>
            </w:r>
          </w:p>
        </w:tc>
        <w:tc>
          <w:tcPr>
            <w:tcW w:w="1648" w:type="dxa"/>
            <w:vAlign w:val="top"/>
          </w:tcPr>
          <w:p>
            <w:pPr>
              <w:pStyle w:val="TableText"/>
              <w:ind w:left="461"/>
              <w:spacing w:before="132" w:line="220" w:lineRule="auto"/>
              <w:rPr>
                <w:sz w:val="16"/>
                <w:szCs w:val="16"/>
              </w:rPr>
            </w:pPr>
            <w:r>
              <w:rPr>
                <w:sz w:val="16"/>
                <w:szCs w:val="16"/>
                <w:spacing w:val="-2"/>
              </w:rPr>
              <w:t>事填名称</w:t>
            </w:r>
          </w:p>
        </w:tc>
        <w:tc>
          <w:tcPr>
            <w:tcW w:w="2367" w:type="dxa"/>
            <w:vAlign w:val="top"/>
          </w:tcPr>
          <w:p>
            <w:pPr>
              <w:pStyle w:val="TableText"/>
              <w:ind w:left="834"/>
              <w:spacing w:before="130" w:line="219" w:lineRule="auto"/>
              <w:rPr>
                <w:sz w:val="16"/>
                <w:szCs w:val="16"/>
              </w:rPr>
            </w:pPr>
            <w:r>
              <w:rPr>
                <w:sz w:val="16"/>
                <w:szCs w:val="16"/>
                <w:spacing w:val="-2"/>
              </w:rPr>
              <w:t>实唐机关</w:t>
            </w:r>
          </w:p>
        </w:tc>
        <w:tc>
          <w:tcPr>
            <w:tcW w:w="3721" w:type="dxa"/>
            <w:vAlign w:val="top"/>
          </w:tcPr>
          <w:p>
            <w:pPr>
              <w:pStyle w:val="TableText"/>
              <w:ind w:left="1319"/>
              <w:spacing w:before="129" w:line="219" w:lineRule="auto"/>
              <w:rPr>
                <w:sz w:val="16"/>
                <w:szCs w:val="16"/>
              </w:rPr>
            </w:pPr>
            <w:r>
              <w:rPr>
                <w:sz w:val="16"/>
                <w:szCs w:val="16"/>
                <w:b/>
                <w:bCs/>
                <w:spacing w:val="-3"/>
              </w:rPr>
              <w:t>设定和写是体据</w:t>
            </w:r>
          </w:p>
        </w:tc>
      </w:tr>
      <w:tr>
        <w:trPr>
          <w:trHeight w:val="469" w:hRule="atLeast"/>
        </w:trPr>
        <w:tc>
          <w:tcPr>
            <w:tcW w:w="594" w:type="dxa"/>
            <w:vAlign w:val="top"/>
          </w:tcPr>
          <w:p>
            <w:pPr>
              <w:pStyle w:val="TableText"/>
              <w:ind w:left="164"/>
              <w:spacing w:before="197" w:line="183" w:lineRule="auto"/>
              <w:rPr>
                <w:sz w:val="16"/>
                <w:szCs w:val="16"/>
              </w:rPr>
            </w:pPr>
            <w:r>
              <w:rPr>
                <w:sz w:val="16"/>
                <w:szCs w:val="16"/>
                <w:spacing w:val="-3"/>
              </w:rPr>
              <w:t>to3</w:t>
            </w:r>
          </w:p>
        </w:tc>
        <w:tc>
          <w:tcPr>
            <w:tcW w:w="1279" w:type="dxa"/>
            <w:vAlign w:val="top"/>
          </w:tcPr>
          <w:p>
            <w:pPr>
              <w:pStyle w:val="TableText"/>
              <w:ind w:left="310"/>
              <w:spacing w:before="156" w:line="219" w:lineRule="auto"/>
              <w:rPr>
                <w:sz w:val="16"/>
                <w:szCs w:val="16"/>
              </w:rPr>
            </w:pPr>
            <w:r>
              <w:rPr>
                <w:sz w:val="16"/>
                <w:szCs w:val="16"/>
                <w:spacing w:val="3"/>
              </w:rPr>
              <w:t>体育总局</w:t>
            </w:r>
          </w:p>
        </w:tc>
        <w:tc>
          <w:tcPr>
            <w:tcW w:w="1648" w:type="dxa"/>
            <w:vAlign w:val="top"/>
          </w:tcPr>
          <w:p>
            <w:pPr>
              <w:pStyle w:val="TableText"/>
              <w:ind w:left="72" w:right="146" w:hanging="30"/>
              <w:spacing w:before="75" w:line="215" w:lineRule="auto"/>
              <w:rPr>
                <w:sz w:val="16"/>
                <w:szCs w:val="16"/>
              </w:rPr>
            </w:pPr>
            <w:r>
              <w:rPr>
                <w:sz w:val="16"/>
                <w:szCs w:val="16"/>
                <w:spacing w:val="1"/>
              </w:rPr>
              <w:t>临时占用公共体胃场</w:t>
            </w:r>
            <w:r>
              <w:rPr>
                <w:sz w:val="16"/>
                <w:szCs w:val="16"/>
              </w:rPr>
              <w:t xml:space="preserve"> </w:t>
            </w:r>
            <w:r>
              <w:rPr>
                <w:sz w:val="16"/>
                <w:szCs w:val="16"/>
                <w:spacing w:val="-1"/>
              </w:rPr>
              <w:t>地设统审批</w:t>
            </w:r>
          </w:p>
        </w:tc>
        <w:tc>
          <w:tcPr>
            <w:tcW w:w="2367" w:type="dxa"/>
            <w:vAlign w:val="top"/>
          </w:tcPr>
          <w:p>
            <w:pPr>
              <w:pStyle w:val="TableText"/>
              <w:ind w:left="64" w:firstLine="9"/>
              <w:spacing w:before="66" w:line="219" w:lineRule="auto"/>
              <w:rPr>
                <w:sz w:val="16"/>
                <w:szCs w:val="16"/>
              </w:rPr>
            </w:pPr>
            <w:r>
              <w:rPr>
                <w:sz w:val="16"/>
                <w:szCs w:val="16"/>
                <w:spacing w:val="-8"/>
              </w:rPr>
              <w:t>体育总局；省级，设区的雨级，屈</w:t>
            </w:r>
            <w:r>
              <w:rPr>
                <w:sz w:val="16"/>
                <w:szCs w:val="16"/>
                <w:spacing w:val="2"/>
              </w:rPr>
              <w:t xml:space="preserve"> </w:t>
            </w:r>
            <w:r>
              <w:rPr>
                <w:sz w:val="16"/>
                <w:szCs w:val="16"/>
                <w:spacing w:val="2"/>
              </w:rPr>
              <w:t>规体育编门</w:t>
            </w:r>
          </w:p>
        </w:tc>
        <w:tc>
          <w:tcPr>
            <w:tcW w:w="3721" w:type="dxa"/>
            <w:vAlign w:val="top"/>
          </w:tcPr>
          <w:p>
            <w:pPr>
              <w:pStyle w:val="TableText"/>
              <w:spacing w:before="156" w:line="219" w:lineRule="auto"/>
              <w:rPr>
                <w:sz w:val="16"/>
                <w:szCs w:val="16"/>
              </w:rPr>
            </w:pPr>
            <w:r>
              <w:rPr>
                <w:sz w:val="16"/>
                <w:szCs w:val="16"/>
                <w:spacing w:val="-5"/>
              </w:rPr>
              <w:t>《中华人民式和国体育法</w:t>
            </w:r>
          </w:p>
        </w:tc>
      </w:tr>
      <w:tr>
        <w:trPr>
          <w:trHeight w:val="469" w:hRule="atLeast"/>
        </w:trPr>
        <w:tc>
          <w:tcPr>
            <w:tcW w:w="594" w:type="dxa"/>
            <w:vAlign w:val="top"/>
          </w:tcPr>
          <w:p>
            <w:pPr>
              <w:pStyle w:val="TableText"/>
              <w:ind w:left="164"/>
              <w:spacing w:before="198" w:line="183" w:lineRule="auto"/>
              <w:rPr>
                <w:sz w:val="16"/>
                <w:szCs w:val="16"/>
              </w:rPr>
            </w:pPr>
            <w:r>
              <w:rPr>
                <w:sz w:val="16"/>
                <w:szCs w:val="16"/>
                <w:spacing w:val="-2"/>
              </w:rPr>
              <w:t>6im</w:t>
            </w:r>
          </w:p>
        </w:tc>
        <w:tc>
          <w:tcPr>
            <w:tcW w:w="1279" w:type="dxa"/>
            <w:vAlign w:val="top"/>
          </w:tcPr>
          <w:p>
            <w:pPr>
              <w:pStyle w:val="TableText"/>
              <w:ind w:left="310"/>
              <w:spacing w:before="157" w:line="219" w:lineRule="auto"/>
              <w:rPr>
                <w:sz w:val="16"/>
                <w:szCs w:val="16"/>
              </w:rPr>
            </w:pPr>
            <w:r>
              <w:rPr>
                <w:sz w:val="16"/>
                <w:szCs w:val="16"/>
                <w:spacing w:val="3"/>
              </w:rPr>
              <w:t>体育总局</w:t>
            </w:r>
          </w:p>
        </w:tc>
        <w:tc>
          <w:tcPr>
            <w:tcW w:w="1648" w:type="dxa"/>
            <w:vAlign w:val="top"/>
          </w:tcPr>
          <w:p>
            <w:pPr>
              <w:pStyle w:val="TableText"/>
              <w:ind w:left="72" w:right="175" w:hanging="40"/>
              <w:spacing w:before="56" w:line="232" w:lineRule="auto"/>
              <w:rPr>
                <w:sz w:val="16"/>
                <w:szCs w:val="16"/>
              </w:rPr>
            </w:pPr>
            <w:r>
              <w:rPr>
                <w:sz w:val="16"/>
                <w:szCs w:val="16"/>
                <w:spacing w:val="-2"/>
              </w:rPr>
              <w:t>兴奋剂检部机构鉴范</w:t>
            </w:r>
            <w:r>
              <w:rPr>
                <w:sz w:val="16"/>
                <w:szCs w:val="16"/>
                <w:spacing w:val="7"/>
              </w:rPr>
              <w:t xml:space="preserve"> </w:t>
            </w:r>
            <w:r>
              <w:rPr>
                <w:sz w:val="16"/>
                <w:szCs w:val="16"/>
                <w:spacing w:val="-3"/>
              </w:rPr>
              <w:t>从定</w:t>
            </w:r>
          </w:p>
        </w:tc>
        <w:tc>
          <w:tcPr>
            <w:tcW w:w="2367" w:type="dxa"/>
            <w:vAlign w:val="top"/>
          </w:tcPr>
          <w:p>
            <w:pPr>
              <w:pStyle w:val="TableText"/>
              <w:ind w:left="64"/>
              <w:spacing w:before="156" w:line="219" w:lineRule="auto"/>
              <w:rPr>
                <w:sz w:val="16"/>
                <w:szCs w:val="16"/>
              </w:rPr>
            </w:pPr>
            <w:r>
              <w:rPr>
                <w:sz w:val="16"/>
                <w:szCs w:val="16"/>
                <w:spacing w:val="3"/>
              </w:rPr>
              <w:t>体青总局</w:t>
            </w:r>
          </w:p>
        </w:tc>
        <w:tc>
          <w:tcPr>
            <w:tcW w:w="3721" w:type="dxa"/>
            <w:vAlign w:val="top"/>
          </w:tcPr>
          <w:p>
            <w:pPr>
              <w:pStyle w:val="TableText"/>
              <w:ind w:left="36"/>
              <w:spacing w:before="156" w:line="219" w:lineRule="auto"/>
              <w:rPr>
                <w:sz w:val="16"/>
                <w:szCs w:val="16"/>
              </w:rPr>
            </w:pPr>
            <w:r>
              <w:rPr>
                <w:sz w:val="16"/>
                <w:szCs w:val="16"/>
                <w:spacing w:val="1"/>
              </w:rPr>
              <w:t>(反网奋剂卷例?</w:t>
            </w:r>
          </w:p>
        </w:tc>
      </w:tr>
      <w:tr>
        <w:trPr>
          <w:trHeight w:val="479" w:hRule="atLeast"/>
        </w:trPr>
        <w:tc>
          <w:tcPr>
            <w:tcW w:w="594" w:type="dxa"/>
            <w:vAlign w:val="top"/>
          </w:tcPr>
          <w:p>
            <w:pPr>
              <w:pStyle w:val="TableText"/>
              <w:ind w:left="164"/>
              <w:spacing w:before="199" w:line="183" w:lineRule="auto"/>
              <w:rPr>
                <w:sz w:val="16"/>
                <w:szCs w:val="16"/>
              </w:rPr>
            </w:pPr>
            <w:r>
              <w:rPr>
                <w:sz w:val="16"/>
                <w:szCs w:val="16"/>
                <w:spacing w:val="-2"/>
              </w:rPr>
              <w:t>605</w:t>
            </w:r>
          </w:p>
        </w:tc>
        <w:tc>
          <w:tcPr>
            <w:tcW w:w="1279" w:type="dxa"/>
            <w:vAlign w:val="top"/>
          </w:tcPr>
          <w:p>
            <w:pPr>
              <w:pStyle w:val="TableText"/>
              <w:ind w:left="310"/>
              <w:spacing w:before="159" w:line="221" w:lineRule="auto"/>
              <w:rPr>
                <w:sz w:val="16"/>
                <w:szCs w:val="16"/>
              </w:rPr>
            </w:pPr>
            <w:r>
              <w:rPr>
                <w:sz w:val="16"/>
                <w:szCs w:val="16"/>
                <w:spacing w:val="3"/>
              </w:rPr>
              <w:t>体直总局</w:t>
            </w:r>
          </w:p>
        </w:tc>
        <w:tc>
          <w:tcPr>
            <w:tcW w:w="1648" w:type="dxa"/>
            <w:vAlign w:val="top"/>
          </w:tcPr>
          <w:p>
            <w:pPr>
              <w:pStyle w:val="TableText"/>
              <w:ind w:left="72" w:right="133"/>
              <w:spacing w:before="68" w:line="226" w:lineRule="auto"/>
              <w:rPr>
                <w:sz w:val="16"/>
                <w:szCs w:val="16"/>
              </w:rPr>
            </w:pPr>
            <w:r>
              <w:rPr>
                <w:sz w:val="16"/>
                <w:szCs w:val="16"/>
                <w:spacing w:val="-1"/>
              </w:rPr>
              <w:t>牵办高危隐性体育事</w:t>
            </w:r>
            <w:r>
              <w:rPr>
                <w:sz w:val="16"/>
                <w:szCs w:val="16"/>
              </w:rPr>
              <w:t xml:space="preserve"> </w:t>
            </w:r>
            <w:r>
              <w:rPr>
                <w:sz w:val="16"/>
                <w:szCs w:val="16"/>
                <w:spacing w:val="-1"/>
              </w:rPr>
              <w:t>事活动许可</w:t>
            </w:r>
          </w:p>
        </w:tc>
        <w:tc>
          <w:tcPr>
            <w:tcW w:w="2367" w:type="dxa"/>
            <w:vAlign w:val="top"/>
          </w:tcPr>
          <w:p>
            <w:pPr>
              <w:pStyle w:val="TableText"/>
              <w:ind w:left="64" w:right="41" w:firstLine="19"/>
              <w:spacing w:before="59" w:line="199" w:lineRule="auto"/>
              <w:rPr>
                <w:sz w:val="22"/>
                <w:szCs w:val="22"/>
              </w:rPr>
            </w:pPr>
            <w:r>
              <w:rPr>
                <w:sz w:val="16"/>
                <w:szCs w:val="16"/>
                <w:spacing w:val="-1"/>
              </w:rPr>
              <w:t>查级、说区的市载、具朝体有部</w:t>
            </w:r>
            <w:r>
              <w:rPr>
                <w:sz w:val="16"/>
                <w:szCs w:val="16"/>
                <w:spacing w:val="4"/>
              </w:rPr>
              <w:t xml:space="preserve"> </w:t>
            </w:r>
            <w:r>
              <w:rPr>
                <w:sz w:val="22"/>
                <w:szCs w:val="22"/>
              </w:rPr>
              <w:t>n</w:t>
            </w:r>
          </w:p>
        </w:tc>
        <w:tc>
          <w:tcPr>
            <w:tcW w:w="3721" w:type="dxa"/>
            <w:vAlign w:val="top"/>
          </w:tcPr>
          <w:p>
            <w:pPr>
              <w:pStyle w:val="TableText"/>
              <w:ind w:left="36"/>
              <w:spacing w:before="158" w:line="219" w:lineRule="auto"/>
              <w:rPr>
                <w:sz w:val="16"/>
                <w:szCs w:val="16"/>
              </w:rPr>
            </w:pPr>
            <w:r>
              <w:rPr>
                <w:sz w:val="16"/>
                <w:szCs w:val="16"/>
                <w:spacing w:val="-1"/>
              </w:rPr>
              <w:t>4中车人民共和露体育法</w:t>
            </w:r>
          </w:p>
        </w:tc>
      </w:tr>
      <w:tr>
        <w:trPr>
          <w:trHeight w:val="470" w:hRule="atLeast"/>
        </w:trPr>
        <w:tc>
          <w:tcPr>
            <w:tcW w:w="594" w:type="dxa"/>
            <w:vAlign w:val="top"/>
            <w:tcBorders>
              <w:bottom w:val="single" w:color="000000" w:sz="2" w:space="0"/>
            </w:tcBorders>
          </w:tcPr>
          <w:p>
            <w:pPr>
              <w:pStyle w:val="TableText"/>
              <w:ind w:left="164"/>
              <w:spacing w:before="200" w:line="183" w:lineRule="auto"/>
              <w:rPr>
                <w:sz w:val="16"/>
                <w:szCs w:val="16"/>
              </w:rPr>
            </w:pPr>
            <w:r>
              <w:rPr>
                <w:sz w:val="16"/>
                <w:szCs w:val="16"/>
                <w:spacing w:val="-2"/>
              </w:rPr>
              <w:t>606</w:t>
            </w:r>
          </w:p>
        </w:tc>
        <w:tc>
          <w:tcPr>
            <w:tcW w:w="1279" w:type="dxa"/>
            <w:vAlign w:val="top"/>
            <w:tcBorders>
              <w:bottom w:val="single" w:color="000000" w:sz="2" w:space="0"/>
            </w:tcBorders>
          </w:tcPr>
          <w:p>
            <w:pPr>
              <w:pStyle w:val="TableText"/>
              <w:ind w:left="231"/>
              <w:spacing w:before="160" w:line="220" w:lineRule="auto"/>
              <w:rPr>
                <w:sz w:val="16"/>
                <w:szCs w:val="16"/>
              </w:rPr>
            </w:pPr>
            <w:r>
              <w:rPr>
                <w:sz w:val="16"/>
                <w:szCs w:val="16"/>
                <w:spacing w:val="1"/>
              </w:rPr>
              <w:t>国家统计是</w:t>
            </w:r>
          </w:p>
        </w:tc>
        <w:tc>
          <w:tcPr>
            <w:tcW w:w="1648" w:type="dxa"/>
            <w:vAlign w:val="top"/>
            <w:tcBorders>
              <w:bottom w:val="single" w:color="000000" w:sz="2" w:space="0"/>
            </w:tcBorders>
          </w:tcPr>
          <w:p>
            <w:pPr>
              <w:pStyle w:val="TableText"/>
              <w:ind w:left="72" w:right="133"/>
              <w:spacing w:before="59" w:line="226" w:lineRule="auto"/>
              <w:rPr>
                <w:sz w:val="16"/>
                <w:szCs w:val="16"/>
              </w:rPr>
            </w:pPr>
            <w:r>
              <w:rPr>
                <w:sz w:val="16"/>
                <w:szCs w:val="16"/>
                <w:spacing w:val="-1"/>
              </w:rPr>
              <w:t>涉外统计闻查资称共</w:t>
            </w:r>
            <w:r>
              <w:rPr>
                <w:sz w:val="16"/>
                <w:szCs w:val="16"/>
              </w:rPr>
              <w:t xml:space="preserve"> </w:t>
            </w:r>
            <w:r>
              <w:rPr>
                <w:sz w:val="16"/>
                <w:szCs w:val="16"/>
              </w:rPr>
              <w:t>定</w:t>
            </w:r>
          </w:p>
        </w:tc>
        <w:tc>
          <w:tcPr>
            <w:tcW w:w="2367" w:type="dxa"/>
            <w:vAlign w:val="top"/>
            <w:tcBorders>
              <w:bottom w:val="single" w:color="000000" w:sz="2" w:space="0"/>
            </w:tcBorders>
          </w:tcPr>
          <w:p>
            <w:pPr>
              <w:pStyle w:val="TableText"/>
              <w:ind w:left="64"/>
              <w:spacing w:before="158" w:line="219" w:lineRule="auto"/>
              <w:rPr>
                <w:sz w:val="16"/>
                <w:szCs w:val="16"/>
              </w:rPr>
            </w:pPr>
            <w:r>
              <w:rPr>
                <w:sz w:val="16"/>
                <w:szCs w:val="16"/>
              </w:rPr>
              <w:t>四家说计筋，若统就肩既外机料</w:t>
            </w:r>
          </w:p>
        </w:tc>
        <w:tc>
          <w:tcPr>
            <w:tcW w:w="3721" w:type="dxa"/>
            <w:vAlign w:val="top"/>
            <w:tcBorders>
              <w:bottom w:val="single" w:color="000000" w:sz="2" w:space="0"/>
            </w:tcBorders>
          </w:tcPr>
          <w:p>
            <w:pPr>
              <w:pStyle w:val="TableText"/>
              <w:ind w:left="36"/>
              <w:spacing w:before="159" w:line="219" w:lineRule="auto"/>
              <w:rPr>
                <w:sz w:val="16"/>
                <w:szCs w:val="16"/>
              </w:rPr>
            </w:pPr>
            <w:r>
              <w:rPr>
                <w:sz w:val="16"/>
                <w:szCs w:val="16"/>
                <w:spacing w:val="1"/>
              </w:rPr>
              <w:t>中华人民共和醋统计试实药条据1</w:t>
            </w:r>
          </w:p>
        </w:tc>
      </w:tr>
      <w:tr>
        <w:trPr>
          <w:trHeight w:val="464" w:hRule="atLeast"/>
        </w:trPr>
        <w:tc>
          <w:tcPr>
            <w:tcW w:w="594" w:type="dxa"/>
            <w:vAlign w:val="top"/>
            <w:tcBorders>
              <w:top w:val="single" w:color="000000" w:sz="2" w:space="0"/>
            </w:tcBorders>
          </w:tcPr>
          <w:p>
            <w:pPr>
              <w:pStyle w:val="TableText"/>
              <w:ind w:left="164"/>
              <w:spacing w:before="195" w:line="183" w:lineRule="auto"/>
              <w:rPr>
                <w:sz w:val="16"/>
                <w:szCs w:val="16"/>
              </w:rPr>
            </w:pPr>
            <w:r>
              <w:rPr>
                <w:sz w:val="16"/>
                <w:szCs w:val="16"/>
                <w:spacing w:val="-2"/>
              </w:rPr>
              <w:t>607</w:t>
            </w:r>
          </w:p>
        </w:tc>
        <w:tc>
          <w:tcPr>
            <w:tcW w:w="1279" w:type="dxa"/>
            <w:vAlign w:val="top"/>
            <w:tcBorders>
              <w:top w:val="single" w:color="000000" w:sz="2" w:space="0"/>
            </w:tcBorders>
          </w:tcPr>
          <w:p>
            <w:pPr>
              <w:pStyle w:val="TableText"/>
              <w:ind w:left="231"/>
              <w:spacing w:before="155" w:line="220" w:lineRule="auto"/>
              <w:rPr>
                <w:sz w:val="16"/>
                <w:szCs w:val="16"/>
              </w:rPr>
            </w:pPr>
            <w:r>
              <w:rPr>
                <w:sz w:val="16"/>
                <w:szCs w:val="16"/>
                <w:spacing w:val="2"/>
              </w:rPr>
              <w:t>国家统计局</w:t>
            </w:r>
          </w:p>
        </w:tc>
        <w:tc>
          <w:tcPr>
            <w:tcW w:w="1648" w:type="dxa"/>
            <w:vAlign w:val="top"/>
            <w:tcBorders>
              <w:top w:val="single" w:color="000000" w:sz="2" w:space="0"/>
            </w:tcBorders>
          </w:tcPr>
          <w:p>
            <w:pPr>
              <w:pStyle w:val="TableText"/>
              <w:ind w:left="72" w:right="133"/>
              <w:spacing w:before="63" w:line="225" w:lineRule="auto"/>
              <w:rPr>
                <w:sz w:val="16"/>
                <w:szCs w:val="16"/>
              </w:rPr>
            </w:pPr>
            <w:r>
              <w:rPr>
                <w:sz w:val="16"/>
                <w:szCs w:val="16"/>
                <w:spacing w:val="-1"/>
              </w:rPr>
              <w:t>涉外社会调查理目市</w:t>
            </w:r>
            <w:r>
              <w:rPr>
                <w:sz w:val="16"/>
                <w:szCs w:val="16"/>
              </w:rPr>
              <w:t xml:space="preserve"> </w:t>
            </w:r>
            <w:r>
              <w:rPr>
                <w:sz w:val="16"/>
                <w:szCs w:val="16"/>
              </w:rPr>
              <w:t>批</w:t>
            </w:r>
          </w:p>
        </w:tc>
        <w:tc>
          <w:tcPr>
            <w:tcW w:w="2367" w:type="dxa"/>
            <w:vAlign w:val="top"/>
            <w:tcBorders>
              <w:top w:val="single" w:color="000000" w:sz="2" w:space="0"/>
            </w:tcBorders>
          </w:tcPr>
          <w:p>
            <w:pPr>
              <w:pStyle w:val="TableText"/>
              <w:ind w:left="64"/>
              <w:spacing w:before="153" w:line="219" w:lineRule="auto"/>
              <w:rPr>
                <w:sz w:val="16"/>
                <w:szCs w:val="16"/>
              </w:rPr>
            </w:pPr>
            <w:r>
              <w:rPr>
                <w:sz w:val="16"/>
                <w:szCs w:val="16"/>
              </w:rPr>
              <w:t>因家统计局；者慢政府能计流构</w:t>
            </w:r>
          </w:p>
        </w:tc>
        <w:tc>
          <w:tcPr>
            <w:tcW w:w="3721" w:type="dxa"/>
            <w:vAlign w:val="top"/>
            <w:tcBorders>
              <w:top w:val="single" w:color="000000" w:sz="2" w:space="0"/>
            </w:tcBorders>
          </w:tcPr>
          <w:p>
            <w:pPr>
              <w:pStyle w:val="TableText"/>
              <w:ind w:left="36"/>
              <w:spacing w:before="85" w:line="220" w:lineRule="auto"/>
              <w:rPr>
                <w:sz w:val="16"/>
                <w:szCs w:val="16"/>
              </w:rPr>
            </w:pPr>
            <w:r>
              <w:rPr>
                <w:sz w:val="16"/>
                <w:szCs w:val="16"/>
                <w:spacing w:val="-1"/>
              </w:rPr>
              <w:t>(中华人民井和国统非法》</w:t>
            </w:r>
          </w:p>
          <w:p>
            <w:pPr>
              <w:pStyle w:val="TableText"/>
              <w:spacing w:before="8" w:line="196" w:lineRule="auto"/>
              <w:rPr>
                <w:sz w:val="16"/>
                <w:szCs w:val="16"/>
              </w:rPr>
            </w:pPr>
            <w:r>
              <w:rPr>
                <w:sz w:val="16"/>
                <w:szCs w:val="16"/>
                <w:spacing w:val="-3"/>
              </w:rPr>
              <w:t>《中华人民共初国能计法实磕条例)</w:t>
            </w:r>
          </w:p>
        </w:tc>
      </w:tr>
      <w:tr>
        <w:trPr>
          <w:trHeight w:val="469" w:hRule="atLeast"/>
        </w:trPr>
        <w:tc>
          <w:tcPr>
            <w:tcW w:w="594" w:type="dxa"/>
            <w:vAlign w:val="top"/>
          </w:tcPr>
          <w:p>
            <w:pPr>
              <w:pStyle w:val="TableText"/>
              <w:ind w:left="164"/>
              <w:spacing w:before="201" w:line="183" w:lineRule="auto"/>
              <w:rPr>
                <w:sz w:val="16"/>
                <w:szCs w:val="16"/>
              </w:rPr>
            </w:pPr>
            <w:r>
              <w:rPr>
                <w:sz w:val="16"/>
                <w:szCs w:val="16"/>
                <w:spacing w:val="-2"/>
              </w:rPr>
              <w:t>60N</w:t>
            </w:r>
          </w:p>
        </w:tc>
        <w:tc>
          <w:tcPr>
            <w:tcW w:w="1279" w:type="dxa"/>
            <w:vAlign w:val="top"/>
          </w:tcPr>
          <w:p>
            <w:pPr>
              <w:pStyle w:val="TableText"/>
              <w:ind w:left="70"/>
              <w:spacing w:before="161" w:line="220" w:lineRule="auto"/>
              <w:rPr>
                <w:sz w:val="16"/>
                <w:szCs w:val="16"/>
              </w:rPr>
            </w:pPr>
            <w:r>
              <w:rPr>
                <w:sz w:val="16"/>
                <w:szCs w:val="16"/>
                <w:spacing w:val="1"/>
              </w:rPr>
              <w:t>国际发展合作要</w:t>
            </w:r>
          </w:p>
        </w:tc>
        <w:tc>
          <w:tcPr>
            <w:tcW w:w="1648" w:type="dxa"/>
            <w:vAlign w:val="top"/>
          </w:tcPr>
          <w:p>
            <w:pPr>
              <w:pStyle w:val="TableText"/>
              <w:ind w:left="72" w:right="132"/>
              <w:spacing w:before="70" w:line="224" w:lineRule="auto"/>
              <w:rPr>
                <w:sz w:val="16"/>
                <w:szCs w:val="16"/>
              </w:rPr>
            </w:pPr>
            <w:r>
              <w:rPr>
                <w:sz w:val="16"/>
                <w:szCs w:val="16"/>
                <w:spacing w:val="-1"/>
              </w:rPr>
              <w:t>援外项目实意合业资</w:t>
            </w:r>
            <w:r>
              <w:rPr>
                <w:sz w:val="16"/>
                <w:szCs w:val="16"/>
                <w:spacing w:val="1"/>
              </w:rPr>
              <w:t xml:space="preserve"> </w:t>
            </w:r>
            <w:r>
              <w:rPr>
                <w:sz w:val="16"/>
                <w:szCs w:val="16"/>
                <w:spacing w:val="-2"/>
              </w:rPr>
              <w:t>格认定</w:t>
            </w:r>
          </w:p>
        </w:tc>
        <w:tc>
          <w:tcPr>
            <w:tcW w:w="2367" w:type="dxa"/>
            <w:vAlign w:val="top"/>
          </w:tcPr>
          <w:p>
            <w:pPr>
              <w:pStyle w:val="TableText"/>
              <w:ind w:left="64"/>
              <w:spacing w:before="161" w:line="220" w:lineRule="auto"/>
              <w:rPr>
                <w:sz w:val="16"/>
                <w:szCs w:val="16"/>
              </w:rPr>
            </w:pPr>
            <w:r>
              <w:rPr>
                <w:sz w:val="16"/>
                <w:szCs w:val="16"/>
                <w:spacing w:val="-1"/>
              </w:rPr>
              <w:t>河绿发是合化测</w:t>
            </w:r>
          </w:p>
        </w:tc>
        <w:tc>
          <w:tcPr>
            <w:tcW w:w="3721" w:type="dxa"/>
            <w:vAlign w:val="top"/>
          </w:tcPr>
          <w:p>
            <w:pPr>
              <w:pStyle w:val="TableText"/>
              <w:ind w:left="36" w:right="321"/>
              <w:spacing w:before="58" w:line="231" w:lineRule="auto"/>
              <w:rPr>
                <w:sz w:val="16"/>
                <w:szCs w:val="16"/>
              </w:rPr>
            </w:pPr>
            <w:r>
              <w:rPr>
                <w:sz w:val="16"/>
                <w:szCs w:val="16"/>
                <w:spacing w:val="-1"/>
              </w:rPr>
              <w:t>居务院处高常保前的行改审批度日设定行战价可</w:t>
            </w:r>
            <w:r>
              <w:rPr>
                <w:sz w:val="16"/>
                <w:szCs w:val="16"/>
                <w:spacing w:val="12"/>
              </w:rPr>
              <w:t xml:space="preserve"> </w:t>
            </w:r>
            <w:r>
              <w:rPr>
                <w:sz w:val="16"/>
                <w:szCs w:val="16"/>
                <w:spacing w:val="3"/>
              </w:rPr>
              <w:t>的决章</w:t>
            </w:r>
          </w:p>
        </w:tc>
      </w:tr>
      <w:tr>
        <w:trPr>
          <w:trHeight w:val="1278" w:hRule="atLeast"/>
        </w:trPr>
        <w:tc>
          <w:tcPr>
            <w:tcW w:w="594" w:type="dxa"/>
            <w:vAlign w:val="top"/>
          </w:tcPr>
          <w:p>
            <w:pPr>
              <w:spacing w:line="258" w:lineRule="auto"/>
              <w:rPr>
                <w:rFonts w:ascii="Arial"/>
                <w:sz w:val="21"/>
              </w:rPr>
            </w:pPr>
            <w:r/>
          </w:p>
          <w:p>
            <w:pPr>
              <w:spacing w:line="258" w:lineRule="auto"/>
              <w:rPr>
                <w:rFonts w:ascii="Arial"/>
                <w:sz w:val="21"/>
              </w:rPr>
            </w:pPr>
            <w:r/>
          </w:p>
          <w:p>
            <w:pPr>
              <w:pStyle w:val="TableText"/>
              <w:ind w:left="124"/>
              <w:spacing w:before="71" w:line="183" w:lineRule="auto"/>
              <w:rPr>
                <w:sz w:val="22"/>
                <w:szCs w:val="22"/>
              </w:rPr>
            </w:pPr>
            <w:r>
              <w:rPr>
                <w:sz w:val="22"/>
                <w:szCs w:val="22"/>
                <w:spacing w:val="-3"/>
              </w:rPr>
              <w:t>609</w:t>
            </w:r>
          </w:p>
        </w:tc>
        <w:tc>
          <w:tcPr>
            <w:tcW w:w="1279" w:type="dxa"/>
            <w:vAlign w:val="top"/>
          </w:tcPr>
          <w:p>
            <w:pPr>
              <w:spacing w:line="253" w:lineRule="auto"/>
              <w:rPr>
                <w:rFonts w:ascii="Arial"/>
                <w:sz w:val="21"/>
              </w:rPr>
            </w:pPr>
            <w:r/>
          </w:p>
          <w:p>
            <w:pPr>
              <w:spacing w:line="253" w:lineRule="auto"/>
              <w:rPr>
                <w:rFonts w:ascii="Arial"/>
                <w:sz w:val="21"/>
              </w:rPr>
            </w:pPr>
            <w:r/>
          </w:p>
          <w:p>
            <w:pPr>
              <w:pStyle w:val="TableText"/>
              <w:ind w:left="390"/>
              <w:spacing w:before="52" w:line="219" w:lineRule="auto"/>
              <w:rPr>
                <w:sz w:val="16"/>
                <w:szCs w:val="16"/>
              </w:rPr>
            </w:pPr>
            <w:r>
              <w:rPr>
                <w:sz w:val="16"/>
                <w:szCs w:val="16"/>
                <w:spacing w:val="6"/>
              </w:rPr>
              <w:t>国管周</w:t>
            </w:r>
          </w:p>
        </w:tc>
        <w:tc>
          <w:tcPr>
            <w:tcW w:w="1648" w:type="dxa"/>
            <w:vAlign w:val="top"/>
          </w:tcPr>
          <w:p>
            <w:pPr>
              <w:spacing w:line="425" w:lineRule="auto"/>
              <w:rPr>
                <w:rFonts w:ascii="Arial"/>
                <w:sz w:val="21"/>
              </w:rPr>
            </w:pPr>
            <w:r/>
          </w:p>
          <w:p>
            <w:pPr>
              <w:pStyle w:val="TableText"/>
              <w:ind w:left="72" w:right="117"/>
              <w:spacing w:before="52" w:line="220" w:lineRule="auto"/>
              <w:rPr>
                <w:sz w:val="16"/>
                <w:szCs w:val="16"/>
              </w:rPr>
            </w:pPr>
            <w:r>
              <w:rPr>
                <w:sz w:val="16"/>
                <w:szCs w:val="16"/>
              </w:rPr>
              <w:t>中火国家机关人陆工</w:t>
            </w:r>
            <w:r>
              <w:rPr>
                <w:sz w:val="16"/>
                <w:szCs w:val="16"/>
                <w:spacing w:val="7"/>
              </w:rPr>
              <w:t xml:space="preserve"> </w:t>
            </w:r>
            <w:r>
              <w:rPr>
                <w:sz w:val="16"/>
                <w:szCs w:val="16"/>
                <w:spacing w:val="-1"/>
              </w:rPr>
              <w:t>程使用审批</w:t>
            </w:r>
          </w:p>
        </w:tc>
        <w:tc>
          <w:tcPr>
            <w:tcW w:w="2367" w:type="dxa"/>
            <w:vAlign w:val="top"/>
          </w:tcPr>
          <w:p>
            <w:pPr>
              <w:spacing w:line="253" w:lineRule="auto"/>
              <w:rPr>
                <w:rFonts w:ascii="Arial"/>
                <w:sz w:val="21"/>
              </w:rPr>
            </w:pPr>
            <w:r/>
          </w:p>
          <w:p>
            <w:pPr>
              <w:spacing w:line="253" w:lineRule="auto"/>
              <w:rPr>
                <w:rFonts w:ascii="Arial"/>
                <w:sz w:val="21"/>
              </w:rPr>
            </w:pPr>
            <w:r/>
          </w:p>
          <w:p>
            <w:pPr>
              <w:pStyle w:val="TableText"/>
              <w:ind w:left="64"/>
              <w:spacing w:before="52" w:line="219" w:lineRule="auto"/>
              <w:rPr>
                <w:sz w:val="16"/>
                <w:szCs w:val="16"/>
              </w:rPr>
            </w:pPr>
            <w:r>
              <w:rPr>
                <w:sz w:val="16"/>
                <w:szCs w:val="16"/>
                <w:spacing w:val="4"/>
              </w:rPr>
              <w:t>国管局</w:t>
            </w:r>
          </w:p>
        </w:tc>
        <w:tc>
          <w:tcPr>
            <w:tcW w:w="3721" w:type="dxa"/>
            <w:vAlign w:val="top"/>
          </w:tcPr>
          <w:p>
            <w:pPr>
              <w:pStyle w:val="TableText"/>
              <w:spacing w:before="80" w:line="219" w:lineRule="auto"/>
              <w:rPr>
                <w:sz w:val="16"/>
                <w:szCs w:val="16"/>
              </w:rPr>
            </w:pPr>
            <w:r>
              <w:rPr>
                <w:sz w:val="16"/>
                <w:szCs w:val="16"/>
                <w:spacing w:val="-3"/>
              </w:rPr>
              <w:t>《中华人民共书国人民防李法!</w:t>
            </w:r>
          </w:p>
          <w:p>
            <w:pPr>
              <w:pStyle w:val="TableText"/>
              <w:ind w:left="49" w:right="219" w:hanging="49"/>
              <w:spacing w:line="227" w:lineRule="auto"/>
              <w:jc w:val="both"/>
              <w:rPr>
                <w:sz w:val="16"/>
                <w:szCs w:val="16"/>
              </w:rPr>
            </w:pPr>
            <w:r>
              <w:rPr>
                <w:sz w:val="16"/>
                <w:szCs w:val="16"/>
                <w:spacing w:val="-2"/>
              </w:rPr>
              <w:t>《国务院办公厅关手中发国务能扭天事务管理局主</w:t>
            </w:r>
            <w:r>
              <w:rPr>
                <w:sz w:val="16"/>
                <w:szCs w:val="16"/>
                <w:spacing w:val="14"/>
              </w:rPr>
              <w:t xml:space="preserve"> </w:t>
            </w:r>
            <w:r>
              <w:rPr>
                <w:sz w:val="16"/>
                <w:szCs w:val="16"/>
              </w:rPr>
              <w:t>要职业内设机构和人员姆制纪定的通句《国办发</w:t>
            </w:r>
            <w:r>
              <w:rPr>
                <w:sz w:val="16"/>
                <w:szCs w:val="16"/>
                <w:spacing w:val="4"/>
              </w:rPr>
              <w:t xml:space="preserve">  </w:t>
            </w:r>
            <w:r>
              <w:rPr>
                <w:sz w:val="16"/>
                <w:szCs w:val="16"/>
                <w:spacing w:val="3"/>
              </w:rPr>
              <w:t>12008056号)</w:t>
            </w:r>
          </w:p>
          <w:p>
            <w:pPr>
              <w:pStyle w:val="TableText"/>
              <w:ind w:left="36" w:right="216" w:firstLine="10"/>
              <w:spacing w:before="1" w:line="234" w:lineRule="auto"/>
              <w:rPr>
                <w:sz w:val="16"/>
                <w:szCs w:val="16"/>
              </w:rPr>
            </w:pPr>
            <w:r>
              <w:rPr>
                <w:sz w:val="16"/>
                <w:szCs w:val="16"/>
              </w:rPr>
              <w:t>1中央国家机关人民断空于理和普道地下定安全使</w:t>
            </w:r>
            <w:r>
              <w:rPr>
                <w:sz w:val="16"/>
                <w:szCs w:val="16"/>
                <w:spacing w:val="6"/>
              </w:rPr>
              <w:t xml:space="preserve"> </w:t>
            </w:r>
            <w:r>
              <w:rPr>
                <w:sz w:val="16"/>
                <w:szCs w:val="16"/>
                <w:spacing w:val="1"/>
              </w:rPr>
              <w:t>用管理办法放国管人防3020138号)</w:t>
            </w:r>
          </w:p>
        </w:tc>
      </w:tr>
      <w:tr>
        <w:trPr>
          <w:trHeight w:val="889" w:hRule="atLeast"/>
        </w:trPr>
        <w:tc>
          <w:tcPr>
            <w:tcW w:w="594" w:type="dxa"/>
            <w:vAlign w:val="top"/>
          </w:tcPr>
          <w:p>
            <w:pPr>
              <w:spacing w:line="377" w:lineRule="auto"/>
              <w:rPr>
                <w:rFonts w:ascii="Arial"/>
                <w:sz w:val="21"/>
              </w:rPr>
            </w:pPr>
            <w:r/>
          </w:p>
          <w:p>
            <w:pPr>
              <w:pStyle w:val="TableText"/>
              <w:ind w:left="234"/>
              <w:spacing w:before="72" w:line="169" w:lineRule="exact"/>
              <w:rPr>
                <w:sz w:val="22"/>
                <w:szCs w:val="22"/>
              </w:rPr>
            </w:pPr>
            <w:r>
              <w:rPr>
                <w:sz w:val="22"/>
                <w:szCs w:val="22"/>
              </w:rPr>
              <w:t>n</w:t>
            </w:r>
          </w:p>
        </w:tc>
        <w:tc>
          <w:tcPr>
            <w:tcW w:w="1279" w:type="dxa"/>
            <w:vAlign w:val="top"/>
          </w:tcPr>
          <w:p>
            <w:pPr>
              <w:spacing w:line="320" w:lineRule="auto"/>
              <w:rPr>
                <w:rFonts w:ascii="Arial"/>
                <w:sz w:val="21"/>
              </w:rPr>
            </w:pPr>
            <w:r/>
          </w:p>
          <w:p>
            <w:pPr>
              <w:pStyle w:val="TableText"/>
              <w:ind w:left="231"/>
              <w:spacing w:before="52" w:line="220" w:lineRule="auto"/>
              <w:rPr>
                <w:sz w:val="16"/>
                <w:szCs w:val="16"/>
              </w:rPr>
            </w:pPr>
            <w:r>
              <w:rPr>
                <w:sz w:val="16"/>
                <w:szCs w:val="16"/>
                <w:spacing w:val="-2"/>
              </w:rPr>
              <w:t>新间出版署</w:t>
            </w:r>
          </w:p>
        </w:tc>
        <w:tc>
          <w:tcPr>
            <w:tcW w:w="1648" w:type="dxa"/>
            <w:vAlign w:val="top"/>
          </w:tcPr>
          <w:p>
            <w:pPr>
              <w:pStyle w:val="TableText"/>
              <w:ind w:left="72" w:firstLine="9"/>
              <w:spacing w:before="184" w:line="226" w:lineRule="auto"/>
              <w:rPr>
                <w:sz w:val="16"/>
                <w:szCs w:val="16"/>
              </w:rPr>
            </w:pPr>
            <w:r>
              <w:rPr>
                <w:sz w:val="16"/>
                <w:szCs w:val="16"/>
              </w:rPr>
              <w:t>出版单校设立、变更</w:t>
            </w:r>
            <w:r>
              <w:rPr>
                <w:sz w:val="16"/>
                <w:szCs w:val="16"/>
                <w:spacing w:val="1"/>
              </w:rPr>
              <w:t xml:space="preserve">  </w:t>
            </w:r>
            <w:r>
              <w:rPr>
                <w:sz w:val="16"/>
                <w:szCs w:val="16"/>
                <w:spacing w:val="-4"/>
              </w:rPr>
              <w:t>合井，分立，设立分支</w:t>
            </w:r>
            <w:r>
              <w:rPr>
                <w:sz w:val="16"/>
                <w:szCs w:val="16"/>
                <w:spacing w:val="4"/>
              </w:rPr>
              <w:t xml:space="preserve"> </w:t>
            </w:r>
            <w:r>
              <w:rPr>
                <w:sz w:val="16"/>
                <w:szCs w:val="16"/>
                <w:spacing w:val="-2"/>
              </w:rPr>
              <w:t>机构市批</w:t>
            </w:r>
          </w:p>
        </w:tc>
        <w:tc>
          <w:tcPr>
            <w:tcW w:w="2367" w:type="dxa"/>
            <w:vAlign w:val="top"/>
          </w:tcPr>
          <w:p>
            <w:pPr>
              <w:pStyle w:val="TableText"/>
              <w:ind w:left="64" w:right="150" w:hanging="10"/>
              <w:spacing w:before="273" w:line="225" w:lineRule="auto"/>
              <w:rPr>
                <w:sz w:val="16"/>
                <w:szCs w:val="16"/>
              </w:rPr>
            </w:pPr>
            <w:r>
              <w:rPr>
                <w:sz w:val="16"/>
                <w:szCs w:val="16"/>
                <w:spacing w:val="-1"/>
              </w:rPr>
              <w:t>李闻出名署(南盆理族闻出画起</w:t>
            </w:r>
            <w:r>
              <w:rPr>
                <w:sz w:val="16"/>
                <w:szCs w:val="16"/>
                <w:spacing w:val="5"/>
              </w:rPr>
              <w:t xml:space="preserve"> </w:t>
            </w:r>
            <w:r>
              <w:rPr>
                <w:sz w:val="16"/>
                <w:szCs w:val="16"/>
                <w:spacing w:val="8"/>
              </w:rPr>
              <w:t>1韧事)</w:t>
            </w:r>
          </w:p>
        </w:tc>
        <w:tc>
          <w:tcPr>
            <w:tcW w:w="3721" w:type="dxa"/>
            <w:vAlign w:val="top"/>
          </w:tcPr>
          <w:p>
            <w:pPr>
              <w:pStyle w:val="TableText"/>
              <w:ind w:left="36"/>
              <w:spacing w:before="65" w:line="205" w:lineRule="auto"/>
              <w:rPr>
                <w:sz w:val="16"/>
                <w:szCs w:val="16"/>
              </w:rPr>
            </w:pPr>
            <w:r>
              <w:rPr>
                <w:sz w:val="16"/>
                <w:szCs w:val="16"/>
              </w:rPr>
              <w:t>|出属香理条创》</w:t>
            </w:r>
          </w:p>
          <w:p>
            <w:pPr>
              <w:pStyle w:val="TableText"/>
              <w:ind w:left="36"/>
              <w:spacing w:line="219" w:lineRule="auto"/>
              <w:rPr>
                <w:sz w:val="16"/>
                <w:szCs w:val="16"/>
              </w:rPr>
            </w:pPr>
            <w:r>
              <w:rPr>
                <w:sz w:val="16"/>
                <w:szCs w:val="16"/>
                <w:spacing w:val="-1"/>
              </w:rPr>
              <w:t>4奋偿制品管龙务制</w:t>
            </w:r>
          </w:p>
          <w:p>
            <w:pPr>
              <w:pStyle w:val="TableText"/>
              <w:spacing w:before="49" w:line="231" w:lineRule="auto"/>
              <w:rPr>
                <w:sz w:val="16"/>
                <w:szCs w:val="16"/>
              </w:rPr>
            </w:pPr>
            <w:r>
              <w:rPr>
                <w:sz w:val="16"/>
                <w:szCs w:val="16"/>
                <w:spacing w:val="2"/>
              </w:rPr>
              <w:t>《豆氧网情显以务登理办法】</w:t>
            </w:r>
          </w:p>
          <w:p>
            <w:pPr>
              <w:pStyle w:val="TableText"/>
              <w:ind w:left="78"/>
              <w:spacing w:line="219" w:lineRule="auto"/>
              <w:rPr>
                <w:sz w:val="16"/>
                <w:szCs w:val="16"/>
              </w:rPr>
            </w:pPr>
            <w:r>
              <w:rPr>
                <w:sz w:val="16"/>
                <w:szCs w:val="16"/>
                <w:spacing w:val="-3"/>
              </w:rPr>
              <w:t>网将出版服务情理规定》</w:t>
            </w:r>
          </w:p>
        </w:tc>
      </w:tr>
      <w:tr>
        <w:trPr>
          <w:trHeight w:val="459" w:hRule="atLeast"/>
        </w:trPr>
        <w:tc>
          <w:tcPr>
            <w:tcW w:w="594" w:type="dxa"/>
            <w:vAlign w:val="top"/>
          </w:tcPr>
          <w:p>
            <w:pPr>
              <w:pStyle w:val="TableText"/>
              <w:ind w:left="204"/>
              <w:spacing w:before="195" w:line="183" w:lineRule="auto"/>
              <w:rPr>
                <w:sz w:val="16"/>
                <w:szCs w:val="16"/>
              </w:rPr>
            </w:pPr>
            <w:r>
              <w:rPr>
                <w:sz w:val="16"/>
                <w:szCs w:val="16"/>
                <w:spacing w:val="-2"/>
              </w:rPr>
              <w:t>6U</w:t>
            </w:r>
          </w:p>
        </w:tc>
        <w:tc>
          <w:tcPr>
            <w:tcW w:w="1279" w:type="dxa"/>
            <w:vAlign w:val="top"/>
          </w:tcPr>
          <w:p>
            <w:pPr>
              <w:pStyle w:val="TableText"/>
              <w:ind w:left="231"/>
              <w:spacing w:before="155" w:line="220" w:lineRule="auto"/>
              <w:rPr>
                <w:sz w:val="16"/>
                <w:szCs w:val="16"/>
              </w:rPr>
            </w:pPr>
            <w:r>
              <w:rPr>
                <w:sz w:val="16"/>
                <w:szCs w:val="16"/>
                <w:spacing w:val="-2"/>
              </w:rPr>
              <w:t>新间出取署</w:t>
            </w:r>
          </w:p>
        </w:tc>
        <w:tc>
          <w:tcPr>
            <w:tcW w:w="1648" w:type="dxa"/>
            <w:vAlign w:val="top"/>
          </w:tcPr>
          <w:p>
            <w:pPr>
              <w:pStyle w:val="TableText"/>
              <w:ind w:left="72"/>
              <w:spacing w:before="65" w:line="221" w:lineRule="auto"/>
              <w:rPr>
                <w:sz w:val="16"/>
                <w:szCs w:val="16"/>
              </w:rPr>
            </w:pPr>
            <w:r>
              <w:rPr>
                <w:sz w:val="16"/>
                <w:szCs w:val="16"/>
                <w:spacing w:val="-4"/>
              </w:rPr>
              <w:t>相纸，期刊，造续型电</w:t>
            </w:r>
            <w:r>
              <w:rPr>
                <w:sz w:val="16"/>
                <w:szCs w:val="16"/>
                <w:spacing w:val="4"/>
              </w:rPr>
              <w:t xml:space="preserve"> </w:t>
            </w:r>
            <w:r>
              <w:rPr>
                <w:sz w:val="16"/>
                <w:szCs w:val="16"/>
                <w:spacing w:val="-2"/>
              </w:rPr>
              <w:t>子出版物得版审批</w:t>
            </w:r>
          </w:p>
        </w:tc>
        <w:tc>
          <w:tcPr>
            <w:tcW w:w="2367" w:type="dxa"/>
            <w:vAlign w:val="top"/>
          </w:tcPr>
          <w:p>
            <w:pPr>
              <w:pStyle w:val="TableText"/>
              <w:ind w:left="64" w:right="59"/>
              <w:spacing w:before="84" w:line="210" w:lineRule="auto"/>
              <w:rPr>
                <w:sz w:val="16"/>
                <w:szCs w:val="16"/>
              </w:rPr>
            </w:pPr>
            <w:r>
              <w:rPr>
                <w:sz w:val="16"/>
                <w:szCs w:val="16"/>
                <w:spacing w:val="-1"/>
              </w:rPr>
              <w:t>新阳出加害《由省壁新间面至是</w:t>
            </w:r>
            <w:r>
              <w:rPr>
                <w:sz w:val="16"/>
                <w:szCs w:val="16"/>
                <w:spacing w:val="6"/>
              </w:rPr>
              <w:t xml:space="preserve"> </w:t>
            </w:r>
            <w:r>
              <w:rPr>
                <w:sz w:val="16"/>
                <w:szCs w:val="16"/>
                <w:spacing w:val="8"/>
              </w:rPr>
              <w:t>门材审)</w:t>
            </w:r>
          </w:p>
        </w:tc>
        <w:tc>
          <w:tcPr>
            <w:tcW w:w="3721" w:type="dxa"/>
            <w:vAlign w:val="top"/>
          </w:tcPr>
          <w:p>
            <w:pPr>
              <w:pStyle w:val="TableText"/>
              <w:ind w:left="36"/>
              <w:spacing w:before="64" w:line="219" w:lineRule="auto"/>
              <w:rPr>
                <w:sz w:val="16"/>
                <w:szCs w:val="16"/>
              </w:rPr>
            </w:pPr>
            <w:r>
              <w:rPr>
                <w:sz w:val="16"/>
                <w:szCs w:val="16"/>
                <w:spacing w:val="-2"/>
              </w:rPr>
              <w:t>H程管理基就》</w:t>
            </w:r>
          </w:p>
          <w:p>
            <w:pPr>
              <w:pStyle w:val="TableText"/>
              <w:ind w:left="36"/>
              <w:spacing w:before="29" w:line="190" w:lineRule="auto"/>
              <w:rPr>
                <w:sz w:val="16"/>
                <w:szCs w:val="16"/>
              </w:rPr>
            </w:pPr>
            <w:r>
              <w:rPr>
                <w:sz w:val="16"/>
                <w:szCs w:val="16"/>
                <w:spacing w:val="2"/>
              </w:rPr>
              <w:t>1电子出版答出数管理规定)</w:t>
            </w:r>
          </w:p>
        </w:tc>
      </w:tr>
      <w:tr>
        <w:trPr>
          <w:trHeight w:val="724" w:hRule="atLeast"/>
        </w:trPr>
        <w:tc>
          <w:tcPr>
            <w:tcW w:w="594" w:type="dxa"/>
            <w:vAlign w:val="top"/>
          </w:tcPr>
          <w:p>
            <w:pPr>
              <w:spacing w:line="272" w:lineRule="auto"/>
              <w:rPr>
                <w:rFonts w:ascii="Arial"/>
                <w:sz w:val="21"/>
              </w:rPr>
            </w:pPr>
            <w:r/>
          </w:p>
          <w:p>
            <w:pPr>
              <w:pStyle w:val="TableText"/>
              <w:ind w:left="164"/>
              <w:spacing w:before="52" w:line="184" w:lineRule="auto"/>
              <w:rPr>
                <w:sz w:val="16"/>
                <w:szCs w:val="16"/>
              </w:rPr>
            </w:pPr>
            <w:r>
              <w:rPr>
                <w:sz w:val="16"/>
                <w:szCs w:val="16"/>
                <w:spacing w:val="-2"/>
              </w:rPr>
              <w:t>612</w:t>
            </w:r>
          </w:p>
        </w:tc>
        <w:tc>
          <w:tcPr>
            <w:tcW w:w="1279" w:type="dxa"/>
            <w:vAlign w:val="top"/>
          </w:tcPr>
          <w:p>
            <w:pPr>
              <w:pStyle w:val="TableText"/>
              <w:ind w:left="231"/>
              <w:spacing w:before="285" w:line="219" w:lineRule="auto"/>
              <w:rPr>
                <w:sz w:val="16"/>
                <w:szCs w:val="16"/>
              </w:rPr>
            </w:pPr>
            <w:r>
              <w:rPr>
                <w:sz w:val="16"/>
                <w:szCs w:val="16"/>
                <w:spacing w:val="-2"/>
              </w:rPr>
              <w:t>斯驾出展署</w:t>
            </w:r>
          </w:p>
        </w:tc>
        <w:tc>
          <w:tcPr>
            <w:tcW w:w="1648" w:type="dxa"/>
            <w:vAlign w:val="top"/>
          </w:tcPr>
          <w:p>
            <w:pPr>
              <w:pStyle w:val="TableText"/>
              <w:ind w:left="72"/>
              <w:spacing w:before="96" w:line="224" w:lineRule="auto"/>
              <w:rPr>
                <w:sz w:val="16"/>
                <w:szCs w:val="16"/>
              </w:rPr>
            </w:pPr>
            <w:r>
              <w:rPr>
                <w:sz w:val="16"/>
                <w:szCs w:val="16"/>
                <w:spacing w:val="-4"/>
              </w:rPr>
              <w:t>指纸，期刊，道续堑电</w:t>
            </w:r>
            <w:r>
              <w:rPr>
                <w:sz w:val="16"/>
                <w:szCs w:val="16"/>
                <w:spacing w:val="4"/>
              </w:rPr>
              <w:t xml:space="preserve"> </w:t>
            </w:r>
            <w:r>
              <w:rPr>
                <w:sz w:val="16"/>
                <w:szCs w:val="16"/>
                <w:spacing w:val="-1"/>
              </w:rPr>
              <w:t>于出版物要更科期，</w:t>
            </w:r>
          </w:p>
          <w:p>
            <w:pPr>
              <w:pStyle w:val="TableText"/>
              <w:ind w:left="72"/>
              <w:spacing w:before="11" w:line="219" w:lineRule="auto"/>
              <w:rPr>
                <w:sz w:val="16"/>
                <w:szCs w:val="16"/>
              </w:rPr>
            </w:pPr>
            <w:r>
              <w:rPr>
                <w:sz w:val="16"/>
                <w:szCs w:val="16"/>
                <w:spacing w:val="-2"/>
              </w:rPr>
              <w:t>开级出数</w:t>
            </w:r>
          </w:p>
        </w:tc>
        <w:tc>
          <w:tcPr>
            <w:tcW w:w="2367" w:type="dxa"/>
            <w:vAlign w:val="top"/>
          </w:tcPr>
          <w:p>
            <w:pPr>
              <w:pStyle w:val="TableText"/>
              <w:ind w:left="64"/>
              <w:spacing w:before="285" w:line="219" w:lineRule="auto"/>
              <w:rPr>
                <w:sz w:val="16"/>
                <w:szCs w:val="16"/>
              </w:rPr>
            </w:pPr>
            <w:r>
              <w:rPr>
                <w:sz w:val="16"/>
                <w:szCs w:val="16"/>
                <w:spacing w:val="2"/>
              </w:rPr>
              <w:t>省级新间出施落门</w:t>
            </w:r>
          </w:p>
        </w:tc>
        <w:tc>
          <w:tcPr>
            <w:tcW w:w="3721" w:type="dxa"/>
            <w:vAlign w:val="top"/>
          </w:tcPr>
          <w:p>
            <w:pPr>
              <w:pStyle w:val="TableText"/>
              <w:ind w:left="36"/>
              <w:spacing w:before="285" w:line="219" w:lineRule="auto"/>
              <w:rPr>
                <w:sz w:val="16"/>
                <w:szCs w:val="16"/>
              </w:rPr>
            </w:pPr>
            <w:r>
              <w:rPr>
                <w:sz w:val="16"/>
                <w:szCs w:val="16"/>
                <w:spacing w:val="4"/>
              </w:rPr>
              <w:t>E用版壹理条情)</w:t>
            </w:r>
          </w:p>
        </w:tc>
      </w:tr>
    </w:tbl>
    <w:p>
      <w:pPr>
        <w:pStyle w:val="BodyText"/>
        <w:rPr/>
      </w:pPr>
      <w:r/>
    </w:p>
    <w:p>
      <w:pPr>
        <w:sectPr>
          <w:pgSz w:w="11910" w:h="8220"/>
          <w:pgMar w:top="400" w:right="1165" w:bottom="400" w:left="811" w:header="0" w:footer="0" w:gutter="0"/>
        </w:sectPr>
        <w:rPr/>
      </w:pPr>
    </w:p>
    <w:p>
      <w:pPr>
        <w:spacing w:before="113"/>
        <w:rPr/>
      </w:pPr>
      <w:r>
        <mc:AlternateContent xmlns:mc="http://schemas.openxmlformats.org/markup-compatibility/2006">
          <mc:Choice Requires="wps">
            <w:drawing>
              <wp:anchor distT="0" distB="0" distL="0" distR="0" simplePos="0" relativeHeight="251887616" behindDoc="0" locked="0" layoutInCell="0" allowOverlap="1">
                <wp:simplePos x="0" y="0"/>
                <wp:positionH relativeFrom="page">
                  <wp:posOffset>455355</wp:posOffset>
                </wp:positionH>
                <wp:positionV relativeFrom="page">
                  <wp:posOffset>4383725</wp:posOffset>
                </wp:positionV>
                <wp:extent cx="182245" cy="165100"/>
                <wp:effectExtent l="0" t="0" r="0" b="0"/>
                <wp:wrapNone/>
                <wp:docPr id="292" name="TextBox 292"/>
                <wp:cNvGraphicFramePr/>
                <a:graphic>
                  <a:graphicData uri="http://schemas.microsoft.com/office/word/2010/wordprocessingShape">
                    <wps:wsp>
                      <wps:cNvSpPr txBox="1"/>
                      <wps:spPr>
                        <a:xfrm rot="5400000">
                          <a:off x="455355" y="4383725"/>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4" style="position:absolute;margin-left:35.8547pt;margin-top:345.175pt;mso-position-vertical-relative:page;mso-position-horizontal-relative:page;width:14.35pt;height:13pt;z-index:251887616;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227</w:t>
                      </w:r>
                    </w:p>
                  </w:txbxContent>
                </v:textbox>
              </v:shape>
            </w:pict>
          </mc:Fallback>
        </mc:AlternateContent>
      </w:r>
      <w:r/>
    </w:p>
    <w:tbl>
      <w:tblPr>
        <w:tblStyle w:val="TableNormal"/>
        <w:tblW w:w="959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4"/>
              </w:rPr>
              <w:t>原号</w:t>
            </w:r>
          </w:p>
        </w:tc>
        <w:tc>
          <w:tcPr>
            <w:tcW w:w="1299" w:type="dxa"/>
            <w:vAlign w:val="top"/>
          </w:tcPr>
          <w:p>
            <w:pPr>
              <w:pStyle w:val="TableText"/>
              <w:ind w:left="160"/>
              <w:spacing w:before="131" w:line="219" w:lineRule="auto"/>
              <w:rPr>
                <w:sz w:val="16"/>
                <w:szCs w:val="16"/>
              </w:rPr>
            </w:pPr>
            <w:r>
              <w:rPr>
                <w:sz w:val="16"/>
                <w:szCs w:val="16"/>
                <w:spacing w:val="3"/>
              </w:rPr>
              <w:t>中央主管器门</w:t>
            </w:r>
          </w:p>
        </w:tc>
        <w:tc>
          <w:tcPr>
            <w:tcW w:w="1638" w:type="dxa"/>
            <w:vAlign w:val="top"/>
          </w:tcPr>
          <w:p>
            <w:pPr>
              <w:pStyle w:val="TableText"/>
              <w:ind w:left="491"/>
              <w:spacing w:before="130" w:line="219" w:lineRule="auto"/>
              <w:rPr>
                <w:sz w:val="16"/>
                <w:szCs w:val="16"/>
              </w:rPr>
            </w:pPr>
            <w:r>
              <w:rPr>
                <w:sz w:val="16"/>
                <w:szCs w:val="16"/>
                <w:spacing w:val="-2"/>
              </w:rPr>
              <w:t>事项名幕</w:t>
            </w:r>
          </w:p>
        </w:tc>
        <w:tc>
          <w:tcPr>
            <w:tcW w:w="2377" w:type="dxa"/>
            <w:vAlign w:val="top"/>
          </w:tcPr>
          <w:p>
            <w:pPr>
              <w:pStyle w:val="TableText"/>
              <w:ind w:left="834"/>
              <w:spacing w:before="130" w:line="219" w:lineRule="auto"/>
              <w:rPr>
                <w:sz w:val="16"/>
                <w:szCs w:val="16"/>
              </w:rPr>
            </w:pPr>
            <w:r>
              <w:rPr>
                <w:sz w:val="16"/>
                <w:szCs w:val="16"/>
                <w:spacing w:val="-2"/>
              </w:rPr>
              <w:t>实施机关</w:t>
            </w:r>
          </w:p>
        </w:tc>
        <w:tc>
          <w:tcPr>
            <w:tcW w:w="3711" w:type="dxa"/>
            <w:vAlign w:val="top"/>
          </w:tcPr>
          <w:p>
            <w:pPr>
              <w:pStyle w:val="TableText"/>
              <w:ind w:left="1279"/>
              <w:spacing w:before="128" w:line="219" w:lineRule="auto"/>
              <w:rPr>
                <w:sz w:val="16"/>
                <w:szCs w:val="16"/>
              </w:rPr>
            </w:pPr>
            <w:r>
              <w:rPr>
                <w:sz w:val="16"/>
                <w:szCs w:val="16"/>
                <w:b/>
                <w:bCs/>
                <w:spacing w:val="-3"/>
              </w:rPr>
              <w:t>设定和实施依据</w:t>
            </w:r>
          </w:p>
        </w:tc>
      </w:tr>
      <w:tr>
        <w:trPr>
          <w:trHeight w:val="659" w:hRule="atLeast"/>
        </w:trPr>
        <w:tc>
          <w:tcPr>
            <w:tcW w:w="574" w:type="dxa"/>
            <w:vAlign w:val="top"/>
          </w:tcPr>
          <w:p>
            <w:pPr>
              <w:pStyle w:val="TableText"/>
              <w:ind w:left="154"/>
              <w:spacing w:before="288" w:line="184" w:lineRule="auto"/>
              <w:rPr>
                <w:sz w:val="16"/>
                <w:szCs w:val="16"/>
              </w:rPr>
            </w:pPr>
            <w:r>
              <w:rPr>
                <w:sz w:val="16"/>
                <w:szCs w:val="16"/>
                <w:spacing w:val="-2"/>
              </w:rPr>
              <w:t>613</w:t>
            </w:r>
          </w:p>
        </w:tc>
        <w:tc>
          <w:tcPr>
            <w:tcW w:w="1299" w:type="dxa"/>
            <w:vAlign w:val="top"/>
          </w:tcPr>
          <w:p>
            <w:pPr>
              <w:pStyle w:val="TableText"/>
              <w:ind w:left="241"/>
              <w:spacing w:before="248" w:line="220" w:lineRule="auto"/>
              <w:rPr>
                <w:sz w:val="16"/>
                <w:szCs w:val="16"/>
              </w:rPr>
            </w:pPr>
            <w:r>
              <w:rPr>
                <w:sz w:val="16"/>
                <w:szCs w:val="16"/>
                <w:spacing w:val="-2"/>
              </w:rPr>
              <w:t>新闻出版署</w:t>
            </w:r>
          </w:p>
        </w:tc>
        <w:tc>
          <w:tcPr>
            <w:tcW w:w="1638" w:type="dxa"/>
            <w:vAlign w:val="top"/>
          </w:tcPr>
          <w:p>
            <w:pPr>
              <w:pStyle w:val="TableText"/>
              <w:ind w:left="42" w:right="84" w:firstLine="50"/>
              <w:spacing w:before="57" w:line="227" w:lineRule="auto"/>
              <w:jc w:val="both"/>
              <w:rPr>
                <w:sz w:val="16"/>
                <w:szCs w:val="16"/>
              </w:rPr>
            </w:pPr>
            <w:r>
              <w:rPr>
                <w:sz w:val="16"/>
                <w:szCs w:val="16"/>
                <w:spacing w:val="1"/>
              </w:rPr>
              <w:t>图书，期利、音谏割 </w:t>
            </w:r>
            <w:r>
              <w:rPr>
                <w:sz w:val="16"/>
                <w:szCs w:val="16"/>
                <w:spacing w:val="6"/>
              </w:rPr>
              <w:t>品，电子出质物重大</w:t>
            </w:r>
            <w:r>
              <w:rPr>
                <w:sz w:val="16"/>
                <w:szCs w:val="16"/>
                <w:spacing w:val="2"/>
              </w:rPr>
              <w:t xml:space="preserve"> </w:t>
            </w:r>
            <w:r>
              <w:rPr>
                <w:sz w:val="16"/>
                <w:szCs w:val="16"/>
                <w:spacing w:val="-2"/>
              </w:rPr>
              <w:t>选题核市</w:t>
            </w:r>
          </w:p>
        </w:tc>
        <w:tc>
          <w:tcPr>
            <w:tcW w:w="2377" w:type="dxa"/>
            <w:vAlign w:val="top"/>
          </w:tcPr>
          <w:p>
            <w:pPr>
              <w:pStyle w:val="TableText"/>
              <w:ind w:left="64" w:right="44"/>
              <w:spacing w:before="167" w:line="220" w:lineRule="auto"/>
              <w:rPr>
                <w:sz w:val="16"/>
                <w:szCs w:val="16"/>
              </w:rPr>
            </w:pPr>
            <w:r>
              <w:rPr>
                <w:sz w:val="16"/>
                <w:szCs w:val="16"/>
                <w:spacing w:val="1"/>
              </w:rPr>
              <w:t>新闻出级君《山省级紧网出版累</w:t>
            </w:r>
            <w:r>
              <w:rPr>
                <w:sz w:val="16"/>
                <w:szCs w:val="16"/>
                <w:spacing w:val="3"/>
              </w:rPr>
              <w:t xml:space="preserve"> </w:t>
            </w:r>
            <w:r>
              <w:rPr>
                <w:sz w:val="16"/>
                <w:szCs w:val="16"/>
                <w:spacing w:val="7"/>
              </w:rPr>
              <w:t>门初事!</w:t>
            </w:r>
          </w:p>
        </w:tc>
        <w:tc>
          <w:tcPr>
            <w:tcW w:w="3711" w:type="dxa"/>
            <w:vAlign w:val="top"/>
          </w:tcPr>
          <w:p>
            <w:pPr>
              <w:pStyle w:val="TableText"/>
              <w:ind w:left="26"/>
              <w:spacing w:before="247" w:line="219" w:lineRule="auto"/>
              <w:rPr>
                <w:sz w:val="16"/>
                <w:szCs w:val="16"/>
              </w:rPr>
            </w:pPr>
            <w:r>
              <w:rPr>
                <w:sz w:val="16"/>
                <w:szCs w:val="16"/>
                <w:spacing w:val="-1"/>
              </w:rPr>
              <w:t>(H版管理条创》</w:t>
            </w:r>
          </w:p>
        </w:tc>
      </w:tr>
      <w:tr>
        <w:trPr>
          <w:trHeight w:val="459" w:hRule="atLeast"/>
        </w:trPr>
        <w:tc>
          <w:tcPr>
            <w:tcW w:w="574" w:type="dxa"/>
            <w:vAlign w:val="top"/>
          </w:tcPr>
          <w:p>
            <w:pPr>
              <w:pStyle w:val="TableText"/>
              <w:ind w:left="154"/>
              <w:spacing w:before="188" w:line="184" w:lineRule="auto"/>
              <w:rPr>
                <w:sz w:val="16"/>
                <w:szCs w:val="16"/>
              </w:rPr>
            </w:pPr>
            <w:r>
              <w:rPr>
                <w:sz w:val="16"/>
                <w:szCs w:val="16"/>
                <w:spacing w:val="-2"/>
              </w:rPr>
              <w:t>614</w:t>
            </w:r>
          </w:p>
        </w:tc>
        <w:tc>
          <w:tcPr>
            <w:tcW w:w="1299" w:type="dxa"/>
            <w:vAlign w:val="top"/>
          </w:tcPr>
          <w:p>
            <w:pPr>
              <w:pStyle w:val="TableText"/>
              <w:ind w:left="241"/>
              <w:spacing w:before="149" w:line="220" w:lineRule="auto"/>
              <w:rPr>
                <w:sz w:val="16"/>
                <w:szCs w:val="16"/>
              </w:rPr>
            </w:pPr>
            <w:r>
              <w:rPr>
                <w:sz w:val="16"/>
                <w:szCs w:val="16"/>
                <w:spacing w:val="-2"/>
              </w:rPr>
              <w:t>新常出版署</w:t>
            </w:r>
          </w:p>
        </w:tc>
        <w:tc>
          <w:tcPr>
            <w:tcW w:w="1638" w:type="dxa"/>
            <w:vAlign w:val="top"/>
          </w:tcPr>
          <w:p>
            <w:pPr>
              <w:pStyle w:val="TableText"/>
              <w:ind w:left="52" w:right="85" w:firstLine="40"/>
              <w:spacing w:before="67" w:line="220" w:lineRule="auto"/>
              <w:rPr>
                <w:sz w:val="16"/>
                <w:szCs w:val="16"/>
              </w:rPr>
            </w:pPr>
            <w:r>
              <w:rPr>
                <w:sz w:val="16"/>
                <w:szCs w:val="16"/>
                <w:spacing w:val="1"/>
              </w:rPr>
              <w:t>由原国产网络游戏作</w:t>
            </w:r>
            <w:r>
              <w:rPr>
                <w:sz w:val="16"/>
                <w:szCs w:val="16"/>
              </w:rPr>
              <w:t xml:space="preserve"> </w:t>
            </w:r>
            <w:r>
              <w:rPr>
                <w:sz w:val="16"/>
                <w:szCs w:val="16"/>
                <w:spacing w:val="2"/>
              </w:rPr>
              <w:t>品事批</w:t>
            </w:r>
          </w:p>
        </w:tc>
        <w:tc>
          <w:tcPr>
            <w:tcW w:w="2377" w:type="dxa"/>
            <w:vAlign w:val="top"/>
          </w:tcPr>
          <w:p>
            <w:pPr>
              <w:pStyle w:val="TableText"/>
              <w:ind w:left="64" w:right="139" w:firstLine="10"/>
              <w:spacing w:before="67" w:line="220" w:lineRule="auto"/>
              <w:rPr>
                <w:sz w:val="16"/>
                <w:szCs w:val="16"/>
              </w:rPr>
            </w:pPr>
            <w:r>
              <w:rPr>
                <w:sz w:val="16"/>
                <w:szCs w:val="16"/>
                <w:spacing w:val="-1"/>
              </w:rPr>
              <w:t>所叫出能常(由省级新间出放帮</w:t>
            </w:r>
            <w:r>
              <w:rPr>
                <w:sz w:val="16"/>
                <w:szCs w:val="16"/>
                <w:spacing w:val="6"/>
              </w:rPr>
              <w:t xml:space="preserve"> </w:t>
            </w:r>
            <w:r>
              <w:rPr>
                <w:sz w:val="16"/>
                <w:szCs w:val="16"/>
                <w:spacing w:val="-1"/>
              </w:rPr>
              <w:t>门制事》</w:t>
            </w:r>
          </w:p>
        </w:tc>
        <w:tc>
          <w:tcPr>
            <w:tcW w:w="3711" w:type="dxa"/>
            <w:vAlign w:val="top"/>
          </w:tcPr>
          <w:p>
            <w:pPr>
              <w:pStyle w:val="TableText"/>
              <w:ind w:left="26"/>
              <w:spacing w:before="58" w:line="207" w:lineRule="auto"/>
              <w:rPr>
                <w:sz w:val="16"/>
                <w:szCs w:val="16"/>
              </w:rPr>
            </w:pPr>
            <w:r>
              <w:rPr>
                <w:sz w:val="16"/>
                <w:szCs w:val="16"/>
                <w:spacing w:val="-1"/>
              </w:rPr>
              <w:t>*H版督题是例</w:t>
            </w:r>
          </w:p>
          <w:p>
            <w:pPr>
              <w:pStyle w:val="TableText"/>
              <w:spacing w:line="219" w:lineRule="auto"/>
              <w:rPr>
                <w:sz w:val="16"/>
                <w:szCs w:val="16"/>
              </w:rPr>
            </w:pPr>
            <w:r>
              <w:rPr>
                <w:sz w:val="16"/>
                <w:szCs w:val="16"/>
                <w:spacing w:val="-6"/>
              </w:rPr>
              <w:t>《网格出服层务管理规空5</w:t>
            </w:r>
          </w:p>
        </w:tc>
      </w:tr>
      <w:tr>
        <w:trPr>
          <w:trHeight w:val="659" w:hRule="atLeast"/>
        </w:trPr>
        <w:tc>
          <w:tcPr>
            <w:tcW w:w="574" w:type="dxa"/>
            <w:vAlign w:val="top"/>
          </w:tcPr>
          <w:p>
            <w:pPr>
              <w:pStyle w:val="TableText"/>
              <w:ind w:left="154"/>
              <w:spacing w:before="289" w:line="184" w:lineRule="auto"/>
              <w:rPr>
                <w:sz w:val="16"/>
                <w:szCs w:val="16"/>
              </w:rPr>
            </w:pPr>
            <w:r>
              <w:rPr>
                <w:sz w:val="16"/>
                <w:szCs w:val="16"/>
                <w:spacing w:val="-2"/>
              </w:rPr>
              <w:t>615</w:t>
            </w:r>
          </w:p>
        </w:tc>
        <w:tc>
          <w:tcPr>
            <w:tcW w:w="1299" w:type="dxa"/>
            <w:vAlign w:val="top"/>
          </w:tcPr>
          <w:p>
            <w:pPr>
              <w:pStyle w:val="TableText"/>
              <w:ind w:left="241"/>
              <w:spacing w:before="250" w:line="220" w:lineRule="auto"/>
              <w:rPr>
                <w:sz w:val="16"/>
                <w:szCs w:val="16"/>
              </w:rPr>
            </w:pPr>
            <w:r>
              <w:rPr>
                <w:sz w:val="16"/>
                <w:szCs w:val="16"/>
                <w:spacing w:val="-2"/>
              </w:rPr>
              <w:t>新闻出版署</w:t>
            </w:r>
          </w:p>
        </w:tc>
        <w:tc>
          <w:tcPr>
            <w:tcW w:w="1638" w:type="dxa"/>
            <w:vAlign w:val="top"/>
          </w:tcPr>
          <w:p>
            <w:pPr>
              <w:pStyle w:val="TableText"/>
              <w:ind w:left="42" w:right="88" w:firstLine="50"/>
              <w:spacing w:before="58" w:line="227" w:lineRule="auto"/>
              <w:jc w:val="both"/>
              <w:rPr>
                <w:sz w:val="16"/>
                <w:szCs w:val="16"/>
              </w:rPr>
            </w:pPr>
            <w:r>
              <w:rPr>
                <w:sz w:val="16"/>
                <w:szCs w:val="16"/>
              </w:rPr>
              <w:t>出童境外着作权人授</w:t>
            </w:r>
            <w:r>
              <w:rPr>
                <w:sz w:val="16"/>
                <w:szCs w:val="16"/>
                <w:spacing w:val="6"/>
              </w:rPr>
              <w:t xml:space="preserve"> </w:t>
            </w:r>
            <w:r>
              <w:rPr>
                <w:sz w:val="16"/>
                <w:szCs w:val="16"/>
                <w:spacing w:val="4"/>
              </w:rPr>
              <w:t>权的电子出版物，互</w:t>
            </w:r>
            <w:r>
              <w:rPr>
                <w:sz w:val="16"/>
                <w:szCs w:val="16"/>
                <w:spacing w:val="7"/>
              </w:rPr>
              <w:t xml:space="preserve"> </w:t>
            </w:r>
            <w:r>
              <w:rPr>
                <w:sz w:val="16"/>
                <w:szCs w:val="16"/>
                <w:spacing w:val="-1"/>
              </w:rPr>
              <w:t>脑网游观作品审量</w:t>
            </w:r>
          </w:p>
        </w:tc>
        <w:tc>
          <w:tcPr>
            <w:tcW w:w="2377" w:type="dxa"/>
            <w:vAlign w:val="top"/>
          </w:tcPr>
          <w:p>
            <w:pPr>
              <w:pStyle w:val="TableText"/>
              <w:ind w:left="64"/>
              <w:spacing w:before="250" w:line="220" w:lineRule="auto"/>
              <w:rPr>
                <w:sz w:val="16"/>
                <w:szCs w:val="16"/>
              </w:rPr>
            </w:pPr>
            <w:r>
              <w:rPr>
                <w:sz w:val="16"/>
                <w:szCs w:val="16"/>
                <w:spacing w:val="-2"/>
              </w:rPr>
              <w:t>新闻山版署</w:t>
            </w:r>
          </w:p>
        </w:tc>
        <w:tc>
          <w:tcPr>
            <w:tcW w:w="3711" w:type="dxa"/>
            <w:vAlign w:val="top"/>
          </w:tcPr>
          <w:p>
            <w:pPr>
              <w:pStyle w:val="TableText"/>
              <w:ind w:left="26"/>
              <w:spacing w:before="69" w:line="219" w:lineRule="auto"/>
              <w:rPr>
                <w:sz w:val="16"/>
                <w:szCs w:val="16"/>
              </w:rPr>
            </w:pPr>
            <w:r>
              <w:rPr>
                <w:sz w:val="16"/>
                <w:szCs w:val="16"/>
                <w:spacing w:val="-1"/>
              </w:rPr>
              <w:t>看障就品管理条例</w:t>
            </w:r>
          </w:p>
          <w:p>
            <w:pPr>
              <w:pStyle w:val="TableText"/>
              <w:ind w:left="69" w:right="224" w:hanging="69"/>
              <w:spacing w:line="219" w:lineRule="auto"/>
              <w:rPr>
                <w:sz w:val="16"/>
                <w:szCs w:val="16"/>
              </w:rPr>
            </w:pPr>
            <w:r>
              <w:rPr>
                <w:sz w:val="16"/>
                <w:szCs w:val="16"/>
                <w:spacing w:val="-2"/>
              </w:rPr>
              <w:t>《间务院对确信保前的行政市微项自设定行建诈司</w:t>
            </w:r>
            <w:r>
              <w:rPr>
                <w:sz w:val="16"/>
                <w:szCs w:val="16"/>
              </w:rPr>
              <w:t xml:space="preserve"> </w:t>
            </w:r>
            <w:r>
              <w:rPr>
                <w:sz w:val="16"/>
                <w:szCs w:val="16"/>
                <w:spacing w:val="2"/>
              </w:rPr>
              <w:t>的决定1</w:t>
            </w:r>
          </w:p>
        </w:tc>
      </w:tr>
      <w:tr>
        <w:trPr>
          <w:trHeight w:val="459" w:hRule="atLeast"/>
        </w:trPr>
        <w:tc>
          <w:tcPr>
            <w:tcW w:w="574" w:type="dxa"/>
            <w:vAlign w:val="top"/>
          </w:tcPr>
          <w:p>
            <w:pPr>
              <w:pStyle w:val="TableText"/>
              <w:ind w:left="154"/>
              <w:spacing w:before="191" w:line="184" w:lineRule="auto"/>
              <w:rPr>
                <w:sz w:val="16"/>
                <w:szCs w:val="16"/>
              </w:rPr>
            </w:pPr>
            <w:r>
              <w:rPr>
                <w:sz w:val="16"/>
                <w:szCs w:val="16"/>
                <w:spacing w:val="-2"/>
              </w:rPr>
              <w:t>616</w:t>
            </w:r>
          </w:p>
        </w:tc>
        <w:tc>
          <w:tcPr>
            <w:tcW w:w="1299" w:type="dxa"/>
            <w:vAlign w:val="top"/>
          </w:tcPr>
          <w:p>
            <w:pPr>
              <w:pStyle w:val="TableText"/>
              <w:ind w:left="241"/>
              <w:spacing w:before="149" w:line="219" w:lineRule="auto"/>
              <w:rPr>
                <w:sz w:val="16"/>
                <w:szCs w:val="16"/>
              </w:rPr>
            </w:pPr>
            <w:r>
              <w:rPr>
                <w:sz w:val="16"/>
                <w:szCs w:val="16"/>
                <w:spacing w:val="-2"/>
              </w:rPr>
              <w:t>斯闻州敬客</w:t>
            </w:r>
          </w:p>
        </w:tc>
        <w:tc>
          <w:tcPr>
            <w:tcW w:w="1638" w:type="dxa"/>
            <w:vAlign w:val="top"/>
          </w:tcPr>
          <w:p>
            <w:pPr>
              <w:pStyle w:val="TableText"/>
              <w:ind w:left="72" w:right="89" w:firstLine="20"/>
              <w:spacing w:before="60" w:line="224" w:lineRule="auto"/>
              <w:rPr>
                <w:sz w:val="16"/>
                <w:szCs w:val="16"/>
              </w:rPr>
            </w:pPr>
            <w:r>
              <w:rPr>
                <w:sz w:val="16"/>
                <w:szCs w:val="16"/>
              </w:rPr>
              <w:t>中学小李数料书出版</w:t>
            </w:r>
            <w:r>
              <w:rPr>
                <w:sz w:val="16"/>
                <w:szCs w:val="16"/>
                <w:spacing w:val="5"/>
              </w:rPr>
              <w:t xml:space="preserve"> </w:t>
            </w:r>
            <w:r>
              <w:rPr>
                <w:sz w:val="16"/>
                <w:szCs w:val="16"/>
                <w:spacing w:val="-2"/>
              </w:rPr>
              <w:t>衰度要批</w:t>
            </w:r>
          </w:p>
        </w:tc>
        <w:tc>
          <w:tcPr>
            <w:tcW w:w="2377" w:type="dxa"/>
            <w:vAlign w:val="top"/>
          </w:tcPr>
          <w:p>
            <w:pPr>
              <w:pStyle w:val="TableText"/>
              <w:ind w:left="64" w:right="155"/>
              <w:spacing w:before="70" w:line="215" w:lineRule="auto"/>
              <w:rPr>
                <w:sz w:val="16"/>
                <w:szCs w:val="16"/>
              </w:rPr>
            </w:pPr>
            <w:r>
              <w:rPr>
                <w:sz w:val="16"/>
                <w:szCs w:val="16"/>
                <w:spacing w:val="-1"/>
              </w:rPr>
              <w:t>断闻出版著(由者级新间出版客</w:t>
            </w:r>
            <w:r>
              <w:rPr>
                <w:sz w:val="16"/>
                <w:szCs w:val="16"/>
              </w:rPr>
              <w:t xml:space="preserve"> </w:t>
            </w:r>
            <w:r>
              <w:rPr>
                <w:sz w:val="16"/>
                <w:szCs w:val="16"/>
                <w:spacing w:val="2"/>
              </w:rPr>
              <w:t>门受课</w:t>
            </w:r>
          </w:p>
        </w:tc>
        <w:tc>
          <w:tcPr>
            <w:tcW w:w="3711" w:type="dxa"/>
            <w:vAlign w:val="top"/>
          </w:tcPr>
          <w:p>
            <w:pPr>
              <w:pStyle w:val="TableText"/>
              <w:ind w:left="26"/>
              <w:spacing w:before="149" w:line="219" w:lineRule="auto"/>
              <w:rPr>
                <w:sz w:val="16"/>
                <w:szCs w:val="16"/>
              </w:rPr>
            </w:pPr>
            <w:r>
              <w:rPr>
                <w:sz w:val="16"/>
                <w:szCs w:val="16"/>
                <w:spacing w:val="4"/>
              </w:rPr>
              <w:t>(州版管理条例)</w:t>
            </w:r>
          </w:p>
        </w:tc>
      </w:tr>
      <w:tr>
        <w:trPr>
          <w:trHeight w:val="459" w:hRule="atLeast"/>
        </w:trPr>
        <w:tc>
          <w:tcPr>
            <w:tcW w:w="574" w:type="dxa"/>
            <w:vAlign w:val="top"/>
          </w:tcPr>
          <w:p>
            <w:pPr>
              <w:pStyle w:val="TableText"/>
              <w:ind w:left="154"/>
              <w:spacing w:before="191" w:line="184" w:lineRule="auto"/>
              <w:rPr>
                <w:sz w:val="16"/>
                <w:szCs w:val="16"/>
              </w:rPr>
            </w:pPr>
            <w:r>
              <w:rPr>
                <w:sz w:val="16"/>
                <w:szCs w:val="16"/>
                <w:spacing w:val="-2"/>
              </w:rPr>
              <w:t>617</w:t>
            </w:r>
          </w:p>
        </w:tc>
        <w:tc>
          <w:tcPr>
            <w:tcW w:w="1299" w:type="dxa"/>
            <w:vAlign w:val="top"/>
          </w:tcPr>
          <w:p>
            <w:pPr>
              <w:pStyle w:val="TableText"/>
              <w:ind w:left="241"/>
              <w:spacing w:before="152" w:line="220" w:lineRule="auto"/>
              <w:rPr>
                <w:sz w:val="16"/>
                <w:szCs w:val="16"/>
              </w:rPr>
            </w:pPr>
            <w:r>
              <w:rPr>
                <w:sz w:val="16"/>
                <w:szCs w:val="16"/>
                <w:spacing w:val="-2"/>
              </w:rPr>
              <w:t>斯属旧取署</w:t>
            </w:r>
          </w:p>
        </w:tc>
        <w:tc>
          <w:tcPr>
            <w:tcW w:w="1638" w:type="dxa"/>
            <w:vAlign w:val="top"/>
          </w:tcPr>
          <w:p>
            <w:pPr>
              <w:pStyle w:val="TableText"/>
              <w:ind w:left="72" w:right="87" w:firstLine="20"/>
              <w:spacing w:before="50" w:line="220" w:lineRule="auto"/>
              <w:rPr>
                <w:sz w:val="16"/>
                <w:szCs w:val="16"/>
              </w:rPr>
            </w:pPr>
            <w:r>
              <w:rPr>
                <w:sz w:val="16"/>
                <w:szCs w:val="16"/>
              </w:rPr>
              <w:t>中李小学数料书发行</w:t>
            </w:r>
            <w:r>
              <w:rPr>
                <w:sz w:val="16"/>
                <w:szCs w:val="16"/>
                <w:spacing w:val="6"/>
              </w:rPr>
              <w:t xml:space="preserve"> </w:t>
            </w:r>
            <w:r>
              <w:rPr>
                <w:sz w:val="16"/>
                <w:szCs w:val="16"/>
                <w:spacing w:val="-2"/>
              </w:rPr>
              <w:t>餐度望改</w:t>
            </w:r>
          </w:p>
        </w:tc>
        <w:tc>
          <w:tcPr>
            <w:tcW w:w="2377" w:type="dxa"/>
            <w:vAlign w:val="top"/>
          </w:tcPr>
          <w:p>
            <w:pPr>
              <w:pStyle w:val="TableText"/>
              <w:ind w:left="64"/>
              <w:spacing w:before="152" w:line="220" w:lineRule="auto"/>
              <w:rPr>
                <w:sz w:val="16"/>
                <w:szCs w:val="16"/>
              </w:rPr>
            </w:pPr>
            <w:r>
              <w:rPr>
                <w:sz w:val="16"/>
                <w:szCs w:val="16"/>
                <w:spacing w:val="-2"/>
              </w:rPr>
              <w:t>系闻出版署</w:t>
            </w:r>
          </w:p>
        </w:tc>
        <w:tc>
          <w:tcPr>
            <w:tcW w:w="3711" w:type="dxa"/>
            <w:vAlign w:val="top"/>
          </w:tcPr>
          <w:p>
            <w:pPr>
              <w:pStyle w:val="TableText"/>
              <w:ind w:left="26"/>
              <w:spacing w:before="150" w:line="219" w:lineRule="auto"/>
              <w:rPr>
                <w:sz w:val="16"/>
                <w:szCs w:val="16"/>
              </w:rPr>
            </w:pPr>
            <w:r>
              <w:rPr>
                <w:sz w:val="16"/>
                <w:szCs w:val="16"/>
                <w:spacing w:val="1"/>
              </w:rPr>
              <w:t>(州版管理条例3</w:t>
            </w:r>
          </w:p>
        </w:tc>
      </w:tr>
      <w:tr>
        <w:trPr>
          <w:trHeight w:val="459" w:hRule="atLeast"/>
        </w:trPr>
        <w:tc>
          <w:tcPr>
            <w:tcW w:w="574" w:type="dxa"/>
            <w:vAlign w:val="top"/>
          </w:tcPr>
          <w:p>
            <w:pPr>
              <w:pStyle w:val="TableText"/>
              <w:ind w:left="154"/>
              <w:spacing w:before="192" w:line="184" w:lineRule="auto"/>
              <w:rPr>
                <w:sz w:val="16"/>
                <w:szCs w:val="16"/>
              </w:rPr>
            </w:pPr>
            <w:r>
              <w:rPr>
                <w:sz w:val="16"/>
                <w:szCs w:val="16"/>
                <w:spacing w:val="-2"/>
              </w:rPr>
              <w:t>618</w:t>
            </w:r>
          </w:p>
        </w:tc>
        <w:tc>
          <w:tcPr>
            <w:tcW w:w="1299" w:type="dxa"/>
            <w:vAlign w:val="top"/>
          </w:tcPr>
          <w:p>
            <w:pPr>
              <w:pStyle w:val="TableText"/>
              <w:ind w:left="241"/>
              <w:spacing w:before="153" w:line="220" w:lineRule="auto"/>
              <w:rPr>
                <w:sz w:val="16"/>
                <w:szCs w:val="16"/>
              </w:rPr>
            </w:pPr>
            <w:r>
              <w:rPr>
                <w:sz w:val="16"/>
                <w:szCs w:val="16"/>
                <w:spacing w:val="-2"/>
              </w:rPr>
              <w:t>新闻出版署</w:t>
            </w:r>
          </w:p>
        </w:tc>
        <w:tc>
          <w:tcPr>
            <w:tcW w:w="1638" w:type="dxa"/>
            <w:vAlign w:val="top"/>
          </w:tcPr>
          <w:p>
            <w:pPr>
              <w:pStyle w:val="TableText"/>
              <w:ind w:left="52" w:right="85" w:firstLine="40"/>
              <w:spacing w:before="62" w:line="223" w:lineRule="auto"/>
              <w:rPr>
                <w:sz w:val="16"/>
                <w:szCs w:val="16"/>
              </w:rPr>
            </w:pPr>
            <w:r>
              <w:rPr>
                <w:sz w:val="16"/>
                <w:szCs w:val="16"/>
                <w:spacing w:val="1"/>
              </w:rPr>
              <w:t>出原物教发业务经营</w:t>
            </w:r>
            <w:r>
              <w:rPr>
                <w:sz w:val="16"/>
                <w:szCs w:val="16"/>
              </w:rPr>
              <w:t xml:space="preserve"> </w:t>
            </w:r>
            <w:r>
              <w:rPr>
                <w:sz w:val="16"/>
                <w:szCs w:val="16"/>
                <w:spacing w:val="-2"/>
              </w:rPr>
              <w:t>研可</w:t>
            </w:r>
          </w:p>
        </w:tc>
        <w:tc>
          <w:tcPr>
            <w:tcW w:w="2377" w:type="dxa"/>
            <w:vAlign w:val="top"/>
          </w:tcPr>
          <w:p>
            <w:pPr>
              <w:pStyle w:val="TableText"/>
              <w:ind w:left="64"/>
              <w:spacing w:before="152" w:line="219" w:lineRule="auto"/>
              <w:rPr>
                <w:sz w:val="16"/>
                <w:szCs w:val="16"/>
              </w:rPr>
            </w:pPr>
            <w:r>
              <w:rPr>
                <w:sz w:val="16"/>
                <w:szCs w:val="16"/>
                <w:spacing w:val="2"/>
              </w:rPr>
              <w:t>省装师间出版都门</w:t>
            </w:r>
          </w:p>
        </w:tc>
        <w:tc>
          <w:tcPr>
            <w:tcW w:w="3711" w:type="dxa"/>
            <w:vAlign w:val="top"/>
          </w:tcPr>
          <w:p>
            <w:pPr>
              <w:pStyle w:val="TableText"/>
              <w:spacing w:before="152" w:line="219" w:lineRule="auto"/>
              <w:rPr>
                <w:sz w:val="16"/>
                <w:szCs w:val="16"/>
              </w:rPr>
            </w:pPr>
            <w:r>
              <w:rPr>
                <w:sz w:val="16"/>
                <w:szCs w:val="16"/>
                <w:spacing w:val="-7"/>
              </w:rPr>
              <w:t>《出度情理条例]</w:t>
            </w:r>
          </w:p>
        </w:tc>
      </w:tr>
      <w:tr>
        <w:trPr>
          <w:trHeight w:val="459" w:hRule="atLeast"/>
        </w:trPr>
        <w:tc>
          <w:tcPr>
            <w:tcW w:w="574" w:type="dxa"/>
            <w:vAlign w:val="top"/>
          </w:tcPr>
          <w:p>
            <w:pPr>
              <w:pStyle w:val="TableText"/>
              <w:ind w:left="154"/>
              <w:spacing w:before="193" w:line="184" w:lineRule="auto"/>
              <w:rPr>
                <w:sz w:val="16"/>
                <w:szCs w:val="16"/>
              </w:rPr>
            </w:pPr>
            <w:r>
              <w:rPr>
                <w:sz w:val="16"/>
                <w:szCs w:val="16"/>
                <w:spacing w:val="-2"/>
              </w:rPr>
              <w:t>619</w:t>
            </w:r>
          </w:p>
        </w:tc>
        <w:tc>
          <w:tcPr>
            <w:tcW w:w="1299" w:type="dxa"/>
            <w:vAlign w:val="top"/>
          </w:tcPr>
          <w:p>
            <w:pPr>
              <w:pStyle w:val="TableText"/>
              <w:ind w:left="241"/>
              <w:spacing w:before="154" w:line="220" w:lineRule="auto"/>
              <w:rPr>
                <w:sz w:val="16"/>
                <w:szCs w:val="16"/>
              </w:rPr>
            </w:pPr>
            <w:r>
              <w:rPr>
                <w:sz w:val="16"/>
                <w:szCs w:val="16"/>
                <w:spacing w:val="-2"/>
              </w:rPr>
              <w:t>新阿出取署</w:t>
            </w:r>
          </w:p>
        </w:tc>
        <w:tc>
          <w:tcPr>
            <w:tcW w:w="1638" w:type="dxa"/>
            <w:vAlign w:val="top"/>
          </w:tcPr>
          <w:p>
            <w:pPr>
              <w:pStyle w:val="TableText"/>
              <w:ind w:left="42" w:right="85" w:firstLine="50"/>
              <w:spacing w:before="72" w:line="217" w:lineRule="auto"/>
              <w:rPr>
                <w:sz w:val="16"/>
                <w:szCs w:val="16"/>
              </w:rPr>
            </w:pPr>
            <w:r>
              <w:rPr>
                <w:sz w:val="16"/>
                <w:szCs w:val="16"/>
                <w:spacing w:val="1"/>
              </w:rPr>
              <w:t>山原物幸售录务吾营</w:t>
            </w:r>
            <w:r>
              <w:rPr>
                <w:sz w:val="16"/>
                <w:szCs w:val="16"/>
              </w:rPr>
              <w:t xml:space="preserve"> </w:t>
            </w:r>
            <w:r>
              <w:rPr>
                <w:sz w:val="16"/>
                <w:szCs w:val="16"/>
                <w:spacing w:val="-2"/>
              </w:rPr>
              <w:t>许可</w:t>
            </w:r>
          </w:p>
        </w:tc>
        <w:tc>
          <w:tcPr>
            <w:tcW w:w="2377" w:type="dxa"/>
            <w:vAlign w:val="top"/>
          </w:tcPr>
          <w:p>
            <w:pPr>
              <w:pStyle w:val="TableText"/>
              <w:ind w:left="64"/>
              <w:spacing w:before="154" w:line="220" w:lineRule="auto"/>
              <w:rPr>
                <w:sz w:val="16"/>
                <w:szCs w:val="16"/>
              </w:rPr>
            </w:pPr>
            <w:r>
              <w:rPr>
                <w:sz w:val="16"/>
                <w:szCs w:val="16"/>
                <w:spacing w:val="2"/>
              </w:rPr>
              <w:t>县遐原海出新基门</w:t>
            </w:r>
          </w:p>
        </w:tc>
        <w:tc>
          <w:tcPr>
            <w:tcW w:w="3711" w:type="dxa"/>
            <w:vAlign w:val="top"/>
          </w:tcPr>
          <w:p>
            <w:pPr>
              <w:pStyle w:val="TableText"/>
              <w:ind w:left="26"/>
              <w:spacing w:before="153" w:line="219" w:lineRule="auto"/>
              <w:rPr>
                <w:sz w:val="16"/>
                <w:szCs w:val="16"/>
              </w:rPr>
            </w:pPr>
            <w:r>
              <w:rPr>
                <w:sz w:val="16"/>
                <w:szCs w:val="16"/>
              </w:rPr>
              <w:t>1出版管理条例》</w:t>
            </w:r>
          </w:p>
        </w:tc>
      </w:tr>
      <w:tr>
        <w:trPr>
          <w:trHeight w:val="869" w:hRule="atLeast"/>
        </w:trPr>
        <w:tc>
          <w:tcPr>
            <w:tcW w:w="574" w:type="dxa"/>
            <w:vAlign w:val="top"/>
          </w:tcPr>
          <w:p>
            <w:pPr>
              <w:spacing w:line="351" w:lineRule="auto"/>
              <w:rPr>
                <w:rFonts w:ascii="Arial"/>
                <w:sz w:val="21"/>
              </w:rPr>
            </w:pPr>
            <w:r/>
          </w:p>
          <w:p>
            <w:pPr>
              <w:pStyle w:val="TableText"/>
              <w:ind w:left="154"/>
              <w:spacing w:before="52" w:line="183" w:lineRule="auto"/>
              <w:rPr>
                <w:sz w:val="16"/>
                <w:szCs w:val="16"/>
              </w:rPr>
            </w:pPr>
            <w:r>
              <w:rPr>
                <w:sz w:val="16"/>
                <w:szCs w:val="16"/>
                <w:spacing w:val="-2"/>
              </w:rPr>
              <w:t>620</w:t>
            </w:r>
          </w:p>
        </w:tc>
        <w:tc>
          <w:tcPr>
            <w:tcW w:w="1299" w:type="dxa"/>
            <w:vAlign w:val="top"/>
          </w:tcPr>
          <w:p>
            <w:pPr>
              <w:spacing w:line="311" w:lineRule="auto"/>
              <w:rPr>
                <w:rFonts w:ascii="Arial"/>
                <w:sz w:val="21"/>
              </w:rPr>
            </w:pPr>
            <w:r/>
          </w:p>
          <w:p>
            <w:pPr>
              <w:pStyle w:val="TableText"/>
              <w:ind w:left="241"/>
              <w:spacing w:before="52" w:line="220" w:lineRule="auto"/>
              <w:rPr>
                <w:sz w:val="16"/>
                <w:szCs w:val="16"/>
              </w:rPr>
            </w:pPr>
            <w:r>
              <w:rPr>
                <w:sz w:val="16"/>
                <w:szCs w:val="16"/>
                <w:spacing w:val="-2"/>
              </w:rPr>
              <w:t>斯闻出版署</w:t>
            </w:r>
          </w:p>
        </w:tc>
        <w:tc>
          <w:tcPr>
            <w:tcW w:w="1638" w:type="dxa"/>
            <w:vAlign w:val="top"/>
          </w:tcPr>
          <w:p>
            <w:pPr>
              <w:pStyle w:val="TableText"/>
              <w:ind w:left="11" w:right="22" w:firstLine="80"/>
              <w:spacing w:before="54" w:line="236" w:lineRule="auto"/>
              <w:rPr>
                <w:sz w:val="16"/>
                <w:szCs w:val="16"/>
              </w:rPr>
            </w:pPr>
            <w:r>
              <w:rPr>
                <w:sz w:val="16"/>
                <w:szCs w:val="16"/>
              </w:rPr>
              <w:t>出草物流口经查单位</w:t>
            </w:r>
            <w:r>
              <w:rPr>
                <w:sz w:val="16"/>
                <w:szCs w:val="16"/>
                <w:spacing w:val="2"/>
              </w:rPr>
              <w:t xml:space="preserve">  </w:t>
            </w:r>
            <w:r>
              <w:rPr>
                <w:sz w:val="16"/>
                <w:szCs w:val="16"/>
                <w:spacing w:val="-1"/>
              </w:rPr>
              <w:t>碳立，变更，合井，分</w:t>
            </w:r>
          </w:p>
          <w:p>
            <w:pPr>
              <w:pStyle w:val="TableText"/>
              <w:ind w:left="32" w:right="102" w:firstLine="60"/>
              <w:spacing w:line="227" w:lineRule="auto"/>
              <w:rPr>
                <w:sz w:val="16"/>
                <w:szCs w:val="16"/>
              </w:rPr>
            </w:pPr>
            <w:r>
              <w:rPr>
                <w:sz w:val="16"/>
                <w:szCs w:val="16"/>
                <w:spacing w:val="-1"/>
              </w:rPr>
              <w:t>立、设文分支机构审</w:t>
            </w:r>
            <w:r>
              <w:rPr>
                <w:sz w:val="16"/>
                <w:szCs w:val="16"/>
                <w:spacing w:val="1"/>
              </w:rPr>
              <w:t xml:space="preserve"> </w:t>
            </w:r>
            <w:r>
              <w:rPr>
                <w:sz w:val="16"/>
                <w:szCs w:val="16"/>
              </w:rPr>
              <w:t>批</w:t>
            </w:r>
          </w:p>
        </w:tc>
        <w:tc>
          <w:tcPr>
            <w:tcW w:w="2377" w:type="dxa"/>
            <w:vAlign w:val="top"/>
          </w:tcPr>
          <w:p>
            <w:pPr>
              <w:pStyle w:val="TableText"/>
              <w:ind w:left="64" w:right="153"/>
              <w:spacing w:before="255" w:line="221" w:lineRule="auto"/>
              <w:rPr>
                <w:sz w:val="16"/>
                <w:szCs w:val="16"/>
              </w:rPr>
            </w:pPr>
            <w:r>
              <w:rPr>
                <w:sz w:val="16"/>
                <w:szCs w:val="16"/>
                <w:spacing w:val="-1"/>
              </w:rPr>
              <w:t>劳闯出意署(山者碳新两出饭部</w:t>
            </w:r>
            <w:r>
              <w:rPr>
                <w:sz w:val="16"/>
                <w:szCs w:val="16"/>
                <w:spacing w:val="2"/>
              </w:rPr>
              <w:t xml:space="preserve"> </w:t>
            </w:r>
            <w:r>
              <w:rPr>
                <w:sz w:val="16"/>
                <w:szCs w:val="16"/>
                <w:spacing w:val="1"/>
              </w:rPr>
              <w:t>门受理</w:t>
            </w:r>
          </w:p>
        </w:tc>
        <w:tc>
          <w:tcPr>
            <w:tcW w:w="3711" w:type="dxa"/>
            <w:vAlign w:val="top"/>
          </w:tcPr>
          <w:p>
            <w:pPr>
              <w:pStyle w:val="TableText"/>
              <w:ind w:left="26"/>
              <w:spacing w:before="254" w:line="219" w:lineRule="auto"/>
              <w:rPr>
                <w:sz w:val="16"/>
                <w:szCs w:val="16"/>
              </w:rPr>
            </w:pPr>
            <w:r>
              <w:rPr>
                <w:sz w:val="16"/>
                <w:szCs w:val="16"/>
              </w:rPr>
              <w:t>1出版管理条创》</w:t>
            </w:r>
          </w:p>
          <w:p>
            <w:pPr>
              <w:pStyle w:val="TableText"/>
              <w:ind w:left="26"/>
              <w:spacing w:before="19" w:line="219" w:lineRule="auto"/>
              <w:rPr>
                <w:sz w:val="16"/>
                <w:szCs w:val="16"/>
              </w:rPr>
            </w:pPr>
            <w:r>
              <w:rPr>
                <w:sz w:val="16"/>
                <w:szCs w:val="16"/>
                <w:spacing w:val="3"/>
              </w:rPr>
              <w:t>1音弹解品背理条例)</w:t>
            </w:r>
          </w:p>
        </w:tc>
      </w:tr>
      <w:tr>
        <w:trPr>
          <w:trHeight w:val="260" w:hRule="atLeast"/>
        </w:trPr>
        <w:tc>
          <w:tcPr>
            <w:tcW w:w="574" w:type="dxa"/>
            <w:vAlign w:val="top"/>
          </w:tcPr>
          <w:p>
            <w:pPr>
              <w:pStyle w:val="TableText"/>
              <w:ind w:left="154"/>
              <w:spacing w:before="96" w:line="177" w:lineRule="auto"/>
              <w:rPr>
                <w:sz w:val="16"/>
                <w:szCs w:val="16"/>
              </w:rPr>
            </w:pPr>
            <w:r>
              <w:rPr>
                <w:sz w:val="16"/>
                <w:szCs w:val="16"/>
                <w:spacing w:val="-2"/>
              </w:rPr>
              <w:t>621</w:t>
            </w:r>
          </w:p>
        </w:tc>
        <w:tc>
          <w:tcPr>
            <w:tcW w:w="1299" w:type="dxa"/>
            <w:vAlign w:val="top"/>
          </w:tcPr>
          <w:p>
            <w:pPr>
              <w:pStyle w:val="TableText"/>
              <w:ind w:left="241"/>
              <w:spacing w:before="55" w:line="219" w:lineRule="auto"/>
              <w:rPr>
                <w:sz w:val="16"/>
                <w:szCs w:val="16"/>
              </w:rPr>
            </w:pPr>
            <w:r>
              <w:rPr>
                <w:sz w:val="16"/>
                <w:szCs w:val="16"/>
                <w:spacing w:val="1"/>
              </w:rPr>
              <w:t>断闻出版罪</w:t>
            </w:r>
          </w:p>
        </w:tc>
        <w:tc>
          <w:tcPr>
            <w:tcW w:w="1638" w:type="dxa"/>
            <w:vAlign w:val="top"/>
          </w:tcPr>
          <w:p>
            <w:pPr>
              <w:pStyle w:val="TableText"/>
              <w:ind w:left="92"/>
              <w:spacing w:before="54" w:line="219" w:lineRule="auto"/>
              <w:rPr>
                <w:sz w:val="16"/>
                <w:szCs w:val="16"/>
              </w:rPr>
            </w:pPr>
            <w:r>
              <w:rPr>
                <w:sz w:val="16"/>
                <w:szCs w:val="16"/>
                <w:spacing w:val="-1"/>
              </w:rPr>
              <w:t>许口用版物日录精带</w:t>
            </w:r>
          </w:p>
        </w:tc>
        <w:tc>
          <w:tcPr>
            <w:tcW w:w="2377" w:type="dxa"/>
            <w:vAlign w:val="top"/>
          </w:tcPr>
          <w:p>
            <w:pPr>
              <w:pStyle w:val="TableText"/>
              <w:ind w:left="64"/>
              <w:spacing w:before="55" w:line="219" w:lineRule="auto"/>
              <w:rPr>
                <w:sz w:val="16"/>
                <w:szCs w:val="16"/>
              </w:rPr>
            </w:pPr>
            <w:r>
              <w:rPr>
                <w:sz w:val="16"/>
                <w:szCs w:val="16"/>
                <w:spacing w:val="1"/>
              </w:rPr>
              <w:t>新间出液署，管设新闻用放部门</w:t>
            </w:r>
          </w:p>
        </w:tc>
        <w:tc>
          <w:tcPr>
            <w:tcW w:w="3711" w:type="dxa"/>
            <w:vAlign w:val="top"/>
          </w:tcPr>
          <w:p>
            <w:pPr>
              <w:pStyle w:val="TableText"/>
              <w:ind w:left="26"/>
              <w:spacing w:before="55" w:line="219" w:lineRule="auto"/>
              <w:rPr>
                <w:sz w:val="16"/>
                <w:szCs w:val="16"/>
              </w:rPr>
            </w:pPr>
            <w:r>
              <w:rPr>
                <w:sz w:val="16"/>
                <w:szCs w:val="16"/>
              </w:rPr>
              <w:t>出戴管理条例》</w:t>
            </w:r>
          </w:p>
        </w:tc>
      </w:tr>
      <w:tr>
        <w:trPr>
          <w:trHeight w:val="869" w:hRule="atLeast"/>
        </w:trPr>
        <w:tc>
          <w:tcPr>
            <w:tcW w:w="574" w:type="dxa"/>
            <w:vAlign w:val="top"/>
          </w:tcPr>
          <w:p>
            <w:pPr>
              <w:spacing w:line="352" w:lineRule="auto"/>
              <w:rPr>
                <w:rFonts w:ascii="Arial"/>
                <w:sz w:val="21"/>
              </w:rPr>
            </w:pPr>
            <w:r/>
          </w:p>
          <w:p>
            <w:pPr>
              <w:pStyle w:val="TableText"/>
              <w:ind w:left="154"/>
              <w:spacing w:before="52" w:line="183" w:lineRule="auto"/>
              <w:rPr>
                <w:sz w:val="16"/>
                <w:szCs w:val="16"/>
              </w:rPr>
            </w:pPr>
            <w:r>
              <w:rPr>
                <w:sz w:val="16"/>
                <w:szCs w:val="16"/>
                <w:spacing w:val="-2"/>
              </w:rPr>
              <w:t>622</w:t>
            </w:r>
          </w:p>
        </w:tc>
        <w:tc>
          <w:tcPr>
            <w:tcW w:w="1299" w:type="dxa"/>
            <w:vAlign w:val="top"/>
          </w:tcPr>
          <w:p>
            <w:pPr>
              <w:spacing w:line="312" w:lineRule="auto"/>
              <w:rPr>
                <w:rFonts w:ascii="Arial"/>
                <w:sz w:val="21"/>
              </w:rPr>
            </w:pPr>
            <w:r/>
          </w:p>
          <w:p>
            <w:pPr>
              <w:pStyle w:val="TableText"/>
              <w:ind w:left="241"/>
              <w:spacing w:before="52" w:line="220" w:lineRule="auto"/>
              <w:rPr>
                <w:sz w:val="16"/>
                <w:szCs w:val="16"/>
              </w:rPr>
            </w:pPr>
            <w:r>
              <w:rPr>
                <w:sz w:val="16"/>
                <w:szCs w:val="16"/>
                <w:spacing w:val="-2"/>
              </w:rPr>
              <w:t>新闻出版署</w:t>
            </w:r>
          </w:p>
        </w:tc>
        <w:tc>
          <w:tcPr>
            <w:tcW w:w="1638" w:type="dxa"/>
            <w:vAlign w:val="top"/>
          </w:tcPr>
          <w:p>
            <w:pPr>
              <w:pStyle w:val="TableText"/>
              <w:ind w:left="42" w:right="102" w:firstLine="50"/>
              <w:spacing w:before="275" w:line="226" w:lineRule="auto"/>
              <w:rPr>
                <w:sz w:val="16"/>
                <w:szCs w:val="16"/>
              </w:rPr>
            </w:pPr>
            <w:r>
              <w:rPr>
                <w:sz w:val="16"/>
                <w:szCs w:val="16"/>
                <w:spacing w:val="-1"/>
              </w:rPr>
              <w:t>损受填外机构线个人</w:t>
            </w:r>
            <w:r>
              <w:rPr>
                <w:sz w:val="16"/>
                <w:szCs w:val="16"/>
                <w:spacing w:val="1"/>
              </w:rPr>
              <w:t xml:space="preserve"> </w:t>
            </w:r>
            <w:r>
              <w:rPr>
                <w:sz w:val="16"/>
                <w:szCs w:val="16"/>
                <w:spacing w:val="-1"/>
              </w:rPr>
              <w:t>赠达出版辑审批</w:t>
            </w:r>
          </w:p>
        </w:tc>
        <w:tc>
          <w:tcPr>
            <w:tcW w:w="2377" w:type="dxa"/>
            <w:vAlign w:val="top"/>
          </w:tcPr>
          <w:p>
            <w:pPr>
              <w:pStyle w:val="TableText"/>
              <w:ind w:left="64" w:right="159" w:hanging="10"/>
              <w:spacing w:before="275" w:line="220" w:lineRule="auto"/>
              <w:rPr>
                <w:sz w:val="16"/>
                <w:szCs w:val="16"/>
              </w:rPr>
            </w:pPr>
            <w:r>
              <w:rPr>
                <w:sz w:val="16"/>
                <w:szCs w:val="16"/>
                <w:spacing w:val="-1"/>
              </w:rPr>
              <w:t>整闻出版署(山省做新闯出意部</w:t>
            </w:r>
            <w:r>
              <w:rPr>
                <w:sz w:val="16"/>
                <w:szCs w:val="16"/>
                <w:spacing w:val="6"/>
              </w:rPr>
              <w:t xml:space="preserve"> </w:t>
            </w:r>
            <w:r>
              <w:rPr>
                <w:sz w:val="16"/>
                <w:szCs w:val="16"/>
                <w:spacing w:val="4"/>
              </w:rPr>
              <w:t>门积审1</w:t>
            </w:r>
          </w:p>
        </w:tc>
        <w:tc>
          <w:tcPr>
            <w:tcW w:w="3711" w:type="dxa"/>
            <w:vAlign w:val="top"/>
          </w:tcPr>
          <w:p>
            <w:pPr>
              <w:pStyle w:val="TableText"/>
              <w:ind w:left="26"/>
              <w:spacing w:before="54" w:line="219" w:lineRule="auto"/>
              <w:rPr>
                <w:sz w:val="16"/>
                <w:szCs w:val="16"/>
              </w:rPr>
            </w:pPr>
            <w:r>
              <w:rPr>
                <w:sz w:val="16"/>
                <w:szCs w:val="16"/>
              </w:rPr>
              <w:t>1出版臂理备制》</w:t>
            </w:r>
          </w:p>
          <w:p>
            <w:pPr>
              <w:pStyle w:val="TableText"/>
              <w:ind w:left="56" w:right="176" w:firstLine="10"/>
              <w:spacing w:before="10" w:line="225" w:lineRule="auto"/>
              <w:rPr>
                <w:sz w:val="16"/>
                <w:szCs w:val="16"/>
              </w:rPr>
            </w:pPr>
            <w:r>
              <w:rPr>
                <w:sz w:val="16"/>
                <w:szCs w:val="16"/>
              </w:rPr>
              <w:t>1新网出版益署教育部关子捣受地外机构感个人回</w:t>
            </w:r>
            <w:r>
              <w:rPr>
                <w:sz w:val="16"/>
                <w:szCs w:val="16"/>
                <w:spacing w:val="16"/>
              </w:rPr>
              <w:t xml:space="preserve"> </w:t>
            </w:r>
            <w:r>
              <w:rPr>
                <w:sz w:val="16"/>
                <w:szCs w:val="16"/>
                <w:spacing w:val="-1"/>
              </w:rPr>
              <w:t>送度外州版粉有关事顶的通知氧新出联口的门5</w:t>
            </w:r>
          </w:p>
          <w:p>
            <w:pPr>
              <w:pStyle w:val="TableText"/>
              <w:ind w:left="26"/>
              <w:spacing w:before="12" w:line="221" w:lineRule="auto"/>
              <w:rPr>
                <w:sz w:val="16"/>
                <w:szCs w:val="16"/>
              </w:rPr>
            </w:pPr>
            <w:r>
              <w:rPr>
                <w:sz w:val="16"/>
                <w:szCs w:val="16"/>
                <w:spacing w:val="-5"/>
              </w:rPr>
              <w:t>号》</w:t>
            </w:r>
          </w:p>
        </w:tc>
      </w:tr>
      <w:tr>
        <w:trPr>
          <w:trHeight w:val="544" w:hRule="atLeast"/>
        </w:trPr>
        <w:tc>
          <w:tcPr>
            <w:tcW w:w="574" w:type="dxa"/>
            <w:vAlign w:val="top"/>
          </w:tcPr>
          <w:p>
            <w:pPr>
              <w:pStyle w:val="TableText"/>
              <w:ind w:left="154"/>
              <w:spacing w:before="237" w:line="183" w:lineRule="auto"/>
              <w:rPr>
                <w:sz w:val="16"/>
                <w:szCs w:val="16"/>
              </w:rPr>
            </w:pPr>
            <w:r>
              <w:rPr>
                <w:sz w:val="16"/>
                <w:szCs w:val="16"/>
                <w:spacing w:val="-2"/>
              </w:rPr>
              <w:t>623</w:t>
            </w:r>
          </w:p>
        </w:tc>
        <w:tc>
          <w:tcPr>
            <w:tcW w:w="1299" w:type="dxa"/>
            <w:vAlign w:val="top"/>
          </w:tcPr>
          <w:p>
            <w:pPr>
              <w:pStyle w:val="TableText"/>
              <w:ind w:left="241"/>
              <w:spacing w:before="197" w:line="220" w:lineRule="auto"/>
              <w:rPr>
                <w:sz w:val="16"/>
                <w:szCs w:val="16"/>
              </w:rPr>
            </w:pPr>
            <w:r>
              <w:rPr>
                <w:sz w:val="16"/>
                <w:szCs w:val="16"/>
                <w:spacing w:val="-2"/>
              </w:rPr>
              <w:t>新四出版署</w:t>
            </w:r>
          </w:p>
        </w:tc>
        <w:tc>
          <w:tcPr>
            <w:tcW w:w="1638" w:type="dxa"/>
            <w:vAlign w:val="top"/>
          </w:tcPr>
          <w:p>
            <w:pPr>
              <w:pStyle w:val="TableText"/>
              <w:ind w:left="52" w:right="104" w:firstLine="40"/>
              <w:spacing w:before="106" w:line="220" w:lineRule="auto"/>
              <w:rPr>
                <w:sz w:val="16"/>
                <w:szCs w:val="16"/>
              </w:rPr>
            </w:pPr>
            <w:r>
              <w:rPr>
                <w:sz w:val="16"/>
                <w:szCs w:val="16"/>
                <w:spacing w:val="-1"/>
              </w:rPr>
              <w:t>订户订部境外出版费</w:t>
            </w:r>
            <w:r>
              <w:rPr>
                <w:sz w:val="16"/>
                <w:szCs w:val="16"/>
              </w:rPr>
              <w:t xml:space="preserve"> </w:t>
            </w:r>
            <w:r>
              <w:rPr>
                <w:sz w:val="16"/>
                <w:szCs w:val="16"/>
                <w:spacing w:val="3"/>
              </w:rPr>
              <w:t>审批</w:t>
            </w:r>
          </w:p>
        </w:tc>
        <w:tc>
          <w:tcPr>
            <w:tcW w:w="2377" w:type="dxa"/>
            <w:vAlign w:val="top"/>
          </w:tcPr>
          <w:p>
            <w:pPr>
              <w:pStyle w:val="TableText"/>
              <w:ind w:left="64"/>
              <w:spacing w:before="196" w:line="219" w:lineRule="auto"/>
              <w:rPr>
                <w:sz w:val="16"/>
                <w:szCs w:val="16"/>
              </w:rPr>
            </w:pPr>
            <w:r>
              <w:rPr>
                <w:sz w:val="16"/>
                <w:szCs w:val="16"/>
                <w:spacing w:val="1"/>
              </w:rPr>
              <w:t>新起山版署；省级新闻出取部门</w:t>
            </w:r>
          </w:p>
        </w:tc>
        <w:tc>
          <w:tcPr>
            <w:tcW w:w="3711" w:type="dxa"/>
            <w:vAlign w:val="top"/>
          </w:tcPr>
          <w:p>
            <w:pPr>
              <w:pStyle w:val="TableText"/>
              <w:ind w:left="26"/>
              <w:spacing w:before="86" w:line="219" w:lineRule="auto"/>
              <w:rPr>
                <w:sz w:val="16"/>
                <w:szCs w:val="16"/>
              </w:rPr>
            </w:pPr>
            <w:r>
              <w:rPr>
                <w:sz w:val="16"/>
                <w:szCs w:val="16"/>
              </w:rPr>
              <w:t>1出激管理各例》</w:t>
            </w:r>
          </w:p>
          <w:p>
            <w:pPr>
              <w:pStyle w:val="TableText"/>
              <w:spacing w:before="20" w:line="219" w:lineRule="auto"/>
              <w:rPr>
                <w:sz w:val="16"/>
                <w:szCs w:val="16"/>
              </w:rPr>
            </w:pPr>
            <w:r>
              <w:rPr>
                <w:sz w:val="16"/>
                <w:szCs w:val="16"/>
                <w:spacing w:val="-5"/>
              </w:rPr>
              <w:t>《订户订观进口出版物管理办法》</w:t>
            </w:r>
          </w:p>
        </w:tc>
      </w:tr>
    </w:tbl>
    <w:p>
      <w:pPr>
        <w:pStyle w:val="BodyText"/>
        <w:rPr/>
      </w:pPr>
      <w:r/>
    </w:p>
    <w:p>
      <w:pPr>
        <w:sectPr>
          <w:pgSz w:w="11910" w:h="8220"/>
          <w:pgMar w:top="400" w:right="1165" w:bottom="400" w:left="801" w:header="0" w:footer="0" w:gutter="0"/>
        </w:sectPr>
        <w:rPr/>
      </w:pPr>
    </w:p>
    <w:p>
      <w:pPr>
        <w:spacing w:before="93"/>
        <w:rPr/>
      </w:pPr>
      <w:r>
        <mc:AlternateContent xmlns:mc="http://schemas.openxmlformats.org/markup-compatibility/2006">
          <mc:Choice Requires="wps">
            <w:drawing>
              <wp:anchor distT="0" distB="0" distL="0" distR="0" simplePos="0" relativeHeight="251888640" behindDoc="0" locked="0" layoutInCell="0" allowOverlap="1">
                <wp:simplePos x="0" y="0"/>
                <wp:positionH relativeFrom="page">
                  <wp:posOffset>456310</wp:posOffset>
                </wp:positionH>
                <wp:positionV relativeFrom="page">
                  <wp:posOffset>625423</wp:posOffset>
                </wp:positionV>
                <wp:extent cx="183514" cy="164464"/>
                <wp:effectExtent l="0" t="0" r="0" b="0"/>
                <wp:wrapNone/>
                <wp:docPr id="294" name="TextBox 294"/>
                <wp:cNvGraphicFramePr/>
                <a:graphic>
                  <a:graphicData uri="http://schemas.microsoft.com/office/word/2010/wordprocessingShape">
                    <wps:wsp>
                      <wps:cNvSpPr txBox="1"/>
                      <wps:spPr>
                        <a:xfrm rot="5400000">
                          <a:off x="456310" y="625423"/>
                          <a:ext cx="183514" cy="16446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6" w:line="193" w:lineRule="auto"/>
                              <w:rPr>
                                <w:rFonts w:ascii="STHupo" w:hAnsi="STHupo" w:eastAsia="STHupo" w:cs="STHupo"/>
                                <w:sz w:val="15"/>
                                <w:szCs w:val="15"/>
                              </w:rPr>
                            </w:pPr>
                            <w:r>
                              <w:rPr>
                                <w:rFonts w:ascii="STHupo" w:hAnsi="STHupo" w:eastAsia="STHupo" w:cs="STHupo"/>
                                <w:sz w:val="15"/>
                                <w:szCs w:val="15"/>
                                <w:spacing w:val="-2"/>
                              </w:rPr>
                              <w:t>228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6" style="position:absolute;margin-left:35.93pt;margin-top:49.246pt;mso-position-vertical-relative:page;mso-position-horizontal-relative:page;width:14.45pt;height:12.95pt;z-index:251888640;rotation:90;" o:allowincell="f" filled="false" stroked="false" type="#_x0000_t202">
                <v:fill on="false"/>
                <v:stroke on="false"/>
                <v:path/>
                <v:imagedata o:title=""/>
                <o:lock v:ext="edit" aspectratio="false"/>
                <v:textbox inset="0mm,0mm,0mm,0mm">
                  <w:txbxContent>
                    <w:p>
                      <w:pPr>
                        <w:ind w:left="20"/>
                        <w:spacing w:before="76" w:line="193" w:lineRule="auto"/>
                        <w:rPr>
                          <w:rFonts w:ascii="STHupo" w:hAnsi="STHupo" w:eastAsia="STHupo" w:cs="STHupo"/>
                          <w:sz w:val="15"/>
                          <w:szCs w:val="15"/>
                        </w:rPr>
                      </w:pPr>
                      <w:r>
                        <w:rPr>
                          <w:rFonts w:ascii="STHupo" w:hAnsi="STHupo" w:eastAsia="STHupo" w:cs="STHupo"/>
                          <w:sz w:val="15"/>
                          <w:szCs w:val="15"/>
                          <w:spacing w:val="-2"/>
                        </w:rPr>
                        <w:t>228</w:t>
                      </w:r>
                    </w:p>
                  </w:txbxContent>
                </v:textbox>
              </v:shape>
            </w:pict>
          </mc:Fallback>
        </mc:AlternateContent>
      </w:r>
      <w:r/>
    </w:p>
    <w:tbl>
      <w:tblPr>
        <w:tblStyle w:val="TableNormal"/>
        <w:tblW w:w="9609" w:type="dxa"/>
        <w:tblInd w:w="3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89"/>
        <w:gridCol w:w="1648"/>
        <w:gridCol w:w="2357"/>
        <w:gridCol w:w="3721"/>
      </w:tblGrid>
      <w:tr>
        <w:trPr>
          <w:trHeight w:val="425" w:hRule="atLeast"/>
        </w:trPr>
        <w:tc>
          <w:tcPr>
            <w:tcW w:w="59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中夹主骨部门</w:t>
            </w:r>
          </w:p>
        </w:tc>
        <w:tc>
          <w:tcPr>
            <w:tcW w:w="1648" w:type="dxa"/>
            <w:vAlign w:val="top"/>
          </w:tcPr>
          <w:p>
            <w:pPr>
              <w:pStyle w:val="TableText"/>
              <w:ind w:left="471"/>
              <w:spacing w:before="132" w:line="220" w:lineRule="auto"/>
              <w:rPr>
                <w:sz w:val="17"/>
                <w:szCs w:val="17"/>
              </w:rPr>
            </w:pPr>
            <w:r>
              <w:rPr>
                <w:sz w:val="17"/>
                <w:szCs w:val="17"/>
                <w:spacing w:val="-2"/>
              </w:rPr>
              <w:t>事填名称</w:t>
            </w:r>
          </w:p>
        </w:tc>
        <w:tc>
          <w:tcPr>
            <w:tcW w:w="2357" w:type="dxa"/>
            <w:vAlign w:val="top"/>
          </w:tcPr>
          <w:p>
            <w:pPr>
              <w:pStyle w:val="TableText"/>
              <w:ind w:left="854"/>
              <w:spacing w:before="130" w:line="219" w:lineRule="auto"/>
              <w:rPr>
                <w:sz w:val="17"/>
                <w:szCs w:val="17"/>
              </w:rPr>
            </w:pPr>
            <w:r>
              <w:rPr>
                <w:sz w:val="17"/>
                <w:szCs w:val="17"/>
                <w:spacing w:val="-3"/>
              </w:rPr>
              <w:t>实简机关</w:t>
            </w:r>
          </w:p>
        </w:tc>
        <w:tc>
          <w:tcPr>
            <w:tcW w:w="3721" w:type="dxa"/>
            <w:vAlign w:val="top"/>
          </w:tcPr>
          <w:p>
            <w:pPr>
              <w:pStyle w:val="TableText"/>
              <w:ind w:left="1266"/>
              <w:spacing w:before="132" w:line="219" w:lineRule="auto"/>
              <w:rPr>
                <w:sz w:val="17"/>
                <w:szCs w:val="17"/>
              </w:rPr>
            </w:pPr>
            <w:r>
              <w:rPr>
                <w:sz w:val="17"/>
                <w:szCs w:val="17"/>
                <w:spacing w:val="-2"/>
              </w:rPr>
              <w:t>设震和安施体据</w:t>
            </w:r>
          </w:p>
        </w:tc>
      </w:tr>
      <w:tr>
        <w:trPr>
          <w:trHeight w:val="459" w:hRule="atLeast"/>
        </w:trPr>
        <w:tc>
          <w:tcPr>
            <w:tcW w:w="594" w:type="dxa"/>
            <w:vAlign w:val="top"/>
          </w:tcPr>
          <w:p>
            <w:pPr>
              <w:pStyle w:val="TableText"/>
              <w:ind w:left="154"/>
              <w:spacing w:before="190" w:line="183" w:lineRule="auto"/>
              <w:rPr>
                <w:sz w:val="17"/>
                <w:szCs w:val="17"/>
              </w:rPr>
            </w:pPr>
            <w:r>
              <w:rPr>
                <w:sz w:val="17"/>
                <w:szCs w:val="17"/>
                <w:spacing w:val="-2"/>
              </w:rPr>
              <w:t>424</w:t>
            </w:r>
          </w:p>
        </w:tc>
        <w:tc>
          <w:tcPr>
            <w:tcW w:w="1289" w:type="dxa"/>
            <w:vAlign w:val="top"/>
          </w:tcPr>
          <w:p>
            <w:pPr>
              <w:pStyle w:val="TableText"/>
              <w:ind w:left="210"/>
              <w:spacing w:before="147" w:line="220" w:lineRule="auto"/>
              <w:rPr>
                <w:sz w:val="17"/>
                <w:szCs w:val="17"/>
              </w:rPr>
            </w:pPr>
            <w:r>
              <w:rPr>
                <w:sz w:val="17"/>
                <w:szCs w:val="17"/>
                <w:spacing w:val="-2"/>
              </w:rPr>
              <w:t>新理出服署</w:t>
            </w:r>
          </w:p>
        </w:tc>
        <w:tc>
          <w:tcPr>
            <w:tcW w:w="1648" w:type="dxa"/>
            <w:vAlign w:val="top"/>
          </w:tcPr>
          <w:p>
            <w:pPr>
              <w:pStyle w:val="TableText"/>
              <w:ind w:left="52" w:right="63"/>
              <w:spacing w:before="65" w:line="208" w:lineRule="auto"/>
              <w:rPr>
                <w:sz w:val="17"/>
                <w:szCs w:val="17"/>
              </w:rPr>
            </w:pPr>
            <w:r>
              <w:rPr>
                <w:sz w:val="17"/>
                <w:szCs w:val="17"/>
                <w:spacing w:val="-1"/>
              </w:rPr>
              <w:t>牵办填外出取物展堂</w:t>
            </w:r>
            <w:r>
              <w:rPr>
                <w:sz w:val="17"/>
                <w:szCs w:val="17"/>
              </w:rPr>
              <w:t xml:space="preserve"> </w:t>
            </w:r>
            <w:r>
              <w:rPr>
                <w:sz w:val="17"/>
                <w:szCs w:val="17"/>
                <w:spacing w:val="3"/>
              </w:rPr>
              <w:t>审批</w:t>
            </w:r>
          </w:p>
        </w:tc>
        <w:tc>
          <w:tcPr>
            <w:tcW w:w="2357" w:type="dxa"/>
            <w:vAlign w:val="top"/>
          </w:tcPr>
          <w:p>
            <w:pPr>
              <w:pStyle w:val="TableText"/>
              <w:ind w:left="34"/>
              <w:spacing w:before="147" w:line="219" w:lineRule="auto"/>
              <w:rPr>
                <w:sz w:val="17"/>
                <w:szCs w:val="17"/>
              </w:rPr>
            </w:pPr>
            <w:r>
              <w:rPr>
                <w:sz w:val="17"/>
                <w:szCs w:val="17"/>
                <w:spacing w:val="-2"/>
              </w:rPr>
              <w:t>好向出旅署</w:t>
            </w:r>
          </w:p>
        </w:tc>
        <w:tc>
          <w:tcPr>
            <w:tcW w:w="3721" w:type="dxa"/>
            <w:vAlign w:val="top"/>
          </w:tcPr>
          <w:p>
            <w:pPr>
              <w:pStyle w:val="TableText"/>
              <w:spacing w:before="147" w:line="219" w:lineRule="auto"/>
              <w:rPr>
                <w:sz w:val="17"/>
                <w:szCs w:val="17"/>
              </w:rPr>
            </w:pPr>
            <w:r>
              <w:rPr>
                <w:sz w:val="17"/>
                <w:szCs w:val="17"/>
                <w:spacing w:val="-8"/>
              </w:rPr>
              <w:t>《出愿管理务例》</w:t>
            </w:r>
          </w:p>
        </w:tc>
      </w:tr>
      <w:tr>
        <w:trPr>
          <w:trHeight w:val="470" w:hRule="atLeast"/>
        </w:trPr>
        <w:tc>
          <w:tcPr>
            <w:tcW w:w="594" w:type="dxa"/>
            <w:vAlign w:val="top"/>
          </w:tcPr>
          <w:p>
            <w:pPr>
              <w:pStyle w:val="TableText"/>
              <w:ind w:left="154"/>
              <w:spacing w:before="191" w:line="183" w:lineRule="auto"/>
              <w:rPr>
                <w:sz w:val="17"/>
                <w:szCs w:val="17"/>
              </w:rPr>
            </w:pPr>
            <w:r>
              <w:rPr>
                <w:sz w:val="17"/>
                <w:szCs w:val="17"/>
                <w:spacing w:val="-2"/>
              </w:rPr>
              <w:t>675</w:t>
            </w:r>
          </w:p>
        </w:tc>
        <w:tc>
          <w:tcPr>
            <w:tcW w:w="1289" w:type="dxa"/>
            <w:vAlign w:val="top"/>
          </w:tcPr>
          <w:p>
            <w:pPr>
              <w:pStyle w:val="TableText"/>
              <w:ind w:left="210"/>
              <w:spacing w:before="148" w:line="219" w:lineRule="auto"/>
              <w:rPr>
                <w:sz w:val="17"/>
                <w:szCs w:val="17"/>
              </w:rPr>
            </w:pPr>
            <w:r>
              <w:rPr>
                <w:sz w:val="17"/>
                <w:szCs w:val="17"/>
                <w:spacing w:val="-2"/>
              </w:rPr>
              <w:t>新闻出版著</w:t>
            </w:r>
          </w:p>
        </w:tc>
        <w:tc>
          <w:tcPr>
            <w:tcW w:w="1648" w:type="dxa"/>
            <w:vAlign w:val="top"/>
          </w:tcPr>
          <w:p>
            <w:pPr>
              <w:pStyle w:val="TableText"/>
              <w:ind w:left="62" w:right="63" w:hanging="10"/>
              <w:spacing w:before="78" w:line="207" w:lineRule="auto"/>
              <w:rPr>
                <w:sz w:val="17"/>
                <w:szCs w:val="17"/>
              </w:rPr>
            </w:pPr>
            <w:r>
              <w:rPr>
                <w:sz w:val="17"/>
                <w:szCs w:val="17"/>
                <w:spacing w:val="-1"/>
              </w:rPr>
              <w:t>新闻出版中外合作项</w:t>
            </w:r>
            <w:r>
              <w:rPr>
                <w:sz w:val="17"/>
                <w:szCs w:val="17"/>
              </w:rPr>
              <w:t xml:space="preserve"> </w:t>
            </w:r>
            <w:r>
              <w:rPr>
                <w:sz w:val="17"/>
                <w:szCs w:val="17"/>
                <w:spacing w:val="2"/>
              </w:rPr>
              <w:t>■审批</w:t>
            </w:r>
          </w:p>
        </w:tc>
        <w:tc>
          <w:tcPr>
            <w:tcW w:w="2357" w:type="dxa"/>
            <w:vAlign w:val="top"/>
          </w:tcPr>
          <w:p>
            <w:pPr>
              <w:pStyle w:val="TableText"/>
              <w:ind w:left="34"/>
              <w:spacing w:before="148" w:line="220" w:lineRule="auto"/>
              <w:rPr>
                <w:sz w:val="17"/>
                <w:szCs w:val="17"/>
              </w:rPr>
            </w:pPr>
            <w:r>
              <w:rPr>
                <w:sz w:val="17"/>
                <w:szCs w:val="17"/>
                <w:spacing w:val="-2"/>
              </w:rPr>
              <w:t>新闻出瓶署</w:t>
            </w:r>
          </w:p>
        </w:tc>
        <w:tc>
          <w:tcPr>
            <w:tcW w:w="3721" w:type="dxa"/>
            <w:vAlign w:val="top"/>
          </w:tcPr>
          <w:p>
            <w:pPr>
              <w:pStyle w:val="TableText"/>
              <w:ind w:left="26" w:right="106"/>
              <w:spacing w:before="58" w:line="218" w:lineRule="auto"/>
              <w:rPr>
                <w:sz w:val="17"/>
                <w:szCs w:val="17"/>
              </w:rPr>
            </w:pPr>
            <w:r>
              <w:rPr>
                <w:sz w:val="17"/>
                <w:szCs w:val="17"/>
              </w:rPr>
              <w:t>国务院对助需保路的行收审批项目设定行故指可</w:t>
            </w:r>
            <w:r>
              <w:rPr>
                <w:sz w:val="17"/>
                <w:szCs w:val="17"/>
                <w:spacing w:val="6"/>
              </w:rPr>
              <w:t xml:space="preserve"> </w:t>
            </w:r>
            <w:r>
              <w:rPr>
                <w:sz w:val="17"/>
                <w:szCs w:val="17"/>
                <w:spacing w:val="-1"/>
              </w:rPr>
              <w:t>的决定：</w:t>
            </w:r>
          </w:p>
        </w:tc>
      </w:tr>
      <w:tr>
        <w:trPr>
          <w:trHeight w:val="459" w:hRule="atLeast"/>
        </w:trPr>
        <w:tc>
          <w:tcPr>
            <w:tcW w:w="594" w:type="dxa"/>
            <w:vAlign w:val="top"/>
          </w:tcPr>
          <w:p>
            <w:pPr>
              <w:pStyle w:val="TableText"/>
              <w:ind w:left="154"/>
              <w:spacing w:before="191" w:line="183" w:lineRule="auto"/>
              <w:rPr>
                <w:sz w:val="17"/>
                <w:szCs w:val="17"/>
              </w:rPr>
            </w:pPr>
            <w:r>
              <w:rPr>
                <w:sz w:val="17"/>
                <w:szCs w:val="17"/>
                <w:spacing w:val="-2"/>
              </w:rPr>
              <w:t>626</w:t>
            </w:r>
          </w:p>
        </w:tc>
        <w:tc>
          <w:tcPr>
            <w:tcW w:w="1289" w:type="dxa"/>
            <w:vAlign w:val="top"/>
          </w:tcPr>
          <w:p>
            <w:pPr>
              <w:pStyle w:val="TableText"/>
              <w:ind w:left="210"/>
              <w:spacing w:before="148" w:line="220" w:lineRule="auto"/>
              <w:rPr>
                <w:sz w:val="17"/>
                <w:szCs w:val="17"/>
              </w:rPr>
            </w:pPr>
            <w:r>
              <w:rPr>
                <w:sz w:val="17"/>
                <w:szCs w:val="17"/>
                <w:spacing w:val="-2"/>
              </w:rPr>
              <w:t>斯国出版暑</w:t>
            </w:r>
          </w:p>
        </w:tc>
        <w:tc>
          <w:tcPr>
            <w:tcW w:w="1648" w:type="dxa"/>
            <w:vAlign w:val="top"/>
          </w:tcPr>
          <w:p>
            <w:pPr>
              <w:pStyle w:val="TableText"/>
              <w:ind w:left="42" w:right="32" w:firstLine="10"/>
              <w:spacing w:before="47" w:line="218" w:lineRule="auto"/>
              <w:rPr>
                <w:sz w:val="17"/>
                <w:szCs w:val="17"/>
              </w:rPr>
            </w:pPr>
            <w:r>
              <w:rPr>
                <w:sz w:val="17"/>
                <w:szCs w:val="17"/>
                <w:spacing w:val="2"/>
              </w:rPr>
              <w:t>地外出版机构在现内</w:t>
            </w:r>
            <w:r>
              <w:rPr>
                <w:sz w:val="17"/>
                <w:szCs w:val="17"/>
                <w:spacing w:val="4"/>
              </w:rPr>
              <w:t xml:space="preserve"> </w:t>
            </w:r>
            <w:r>
              <w:rPr>
                <w:sz w:val="17"/>
                <w:szCs w:val="17"/>
                <w:spacing w:val="-2"/>
              </w:rPr>
              <w:t>设立办非机构审表</w:t>
            </w:r>
          </w:p>
        </w:tc>
        <w:tc>
          <w:tcPr>
            <w:tcW w:w="2357" w:type="dxa"/>
            <w:vAlign w:val="top"/>
          </w:tcPr>
          <w:p>
            <w:pPr>
              <w:pStyle w:val="TableText"/>
              <w:ind w:left="34" w:right="91" w:firstLine="19"/>
              <w:spacing w:before="56" w:line="213" w:lineRule="auto"/>
              <w:rPr>
                <w:sz w:val="17"/>
                <w:szCs w:val="17"/>
              </w:rPr>
            </w:pPr>
            <w:r>
              <w:rPr>
                <w:sz w:val="17"/>
                <w:szCs w:val="17"/>
                <w:spacing w:val="-1"/>
              </w:rPr>
              <w:t>素国出版署会问国务院新闻办</w:t>
            </w:r>
            <w:r>
              <w:rPr>
                <w:sz w:val="17"/>
                <w:szCs w:val="17"/>
                <w:spacing w:val="3"/>
              </w:rPr>
              <w:t xml:space="preserve"> </w:t>
            </w:r>
            <w:r>
              <w:rPr>
                <w:sz w:val="17"/>
                <w:szCs w:val="17"/>
                <w:spacing w:val="2"/>
              </w:rPr>
              <w:t>(由省级新国州版意门交星)</w:t>
            </w:r>
          </w:p>
        </w:tc>
        <w:tc>
          <w:tcPr>
            <w:tcW w:w="3721" w:type="dxa"/>
            <w:vAlign w:val="top"/>
          </w:tcPr>
          <w:p>
            <w:pPr>
              <w:pStyle w:val="TableText"/>
              <w:ind w:left="26" w:firstLine="29"/>
              <w:spacing w:before="47" w:line="218" w:lineRule="auto"/>
              <w:rPr>
                <w:sz w:val="17"/>
                <w:szCs w:val="17"/>
              </w:rPr>
            </w:pPr>
            <w:r>
              <w:rPr>
                <w:sz w:val="17"/>
                <w:szCs w:val="17"/>
              </w:rPr>
              <w:t>1国务院对确需保同的行政审批项目设定行改</w:t>
            </w:r>
            <w:r>
              <w:rPr>
                <w:sz w:val="17"/>
                <w:szCs w:val="17"/>
                <w:spacing w:val="-1"/>
              </w:rPr>
              <w:t>许可</w:t>
            </w:r>
            <w:r>
              <w:rPr>
                <w:sz w:val="17"/>
                <w:szCs w:val="17"/>
              </w:rPr>
              <w:t xml:space="preserve"> </w:t>
            </w:r>
            <w:r>
              <w:rPr>
                <w:sz w:val="17"/>
                <w:szCs w:val="17"/>
                <w:spacing w:val="3"/>
              </w:rPr>
              <w:t>的央定</w:t>
            </w:r>
          </w:p>
        </w:tc>
      </w:tr>
      <w:tr>
        <w:trPr>
          <w:trHeight w:val="469" w:hRule="atLeast"/>
        </w:trPr>
        <w:tc>
          <w:tcPr>
            <w:tcW w:w="594" w:type="dxa"/>
            <w:vAlign w:val="top"/>
          </w:tcPr>
          <w:p>
            <w:pPr>
              <w:pStyle w:val="TableText"/>
              <w:ind w:left="154"/>
              <w:spacing w:before="192" w:line="183" w:lineRule="auto"/>
              <w:rPr>
                <w:sz w:val="17"/>
                <w:szCs w:val="17"/>
              </w:rPr>
            </w:pPr>
            <w:r>
              <w:rPr>
                <w:sz w:val="17"/>
                <w:szCs w:val="17"/>
                <w:spacing w:val="-2"/>
              </w:rPr>
              <w:t>627</w:t>
            </w:r>
          </w:p>
        </w:tc>
        <w:tc>
          <w:tcPr>
            <w:tcW w:w="1289" w:type="dxa"/>
            <w:vAlign w:val="top"/>
          </w:tcPr>
          <w:p>
            <w:pPr>
              <w:pStyle w:val="TableText"/>
              <w:ind w:left="210"/>
              <w:spacing w:before="149" w:line="220" w:lineRule="auto"/>
              <w:rPr>
                <w:sz w:val="17"/>
                <w:szCs w:val="17"/>
              </w:rPr>
            </w:pPr>
            <w:r>
              <w:rPr>
                <w:sz w:val="17"/>
                <w:szCs w:val="17"/>
                <w:spacing w:val="-2"/>
              </w:rPr>
              <w:t>新闻出版署</w:t>
            </w:r>
          </w:p>
        </w:tc>
        <w:tc>
          <w:tcPr>
            <w:tcW w:w="1648" w:type="dxa"/>
            <w:vAlign w:val="top"/>
          </w:tcPr>
          <w:p>
            <w:pPr>
              <w:pStyle w:val="TableText"/>
              <w:ind w:left="32" w:right="63" w:firstLine="20"/>
              <w:spacing w:before="58" w:line="210" w:lineRule="auto"/>
              <w:rPr>
                <w:sz w:val="17"/>
                <w:szCs w:val="17"/>
              </w:rPr>
            </w:pPr>
            <w:r>
              <w:rPr>
                <w:sz w:val="17"/>
                <w:szCs w:val="17"/>
                <w:spacing w:val="-1"/>
              </w:rPr>
              <w:t>音保酬品据作业务许</w:t>
            </w:r>
            <w:r>
              <w:rPr>
                <w:sz w:val="17"/>
                <w:szCs w:val="17"/>
              </w:rPr>
              <w:t xml:space="preserve"> </w:t>
            </w:r>
            <w:r>
              <w:rPr>
                <w:sz w:val="17"/>
                <w:szCs w:val="17"/>
              </w:rPr>
              <w:t>时</w:t>
            </w:r>
          </w:p>
        </w:tc>
        <w:tc>
          <w:tcPr>
            <w:tcW w:w="2357" w:type="dxa"/>
            <w:vAlign w:val="top"/>
          </w:tcPr>
          <w:p>
            <w:pPr>
              <w:pStyle w:val="TableText"/>
              <w:ind w:left="34"/>
              <w:spacing w:before="149" w:line="219" w:lineRule="auto"/>
              <w:rPr>
                <w:sz w:val="17"/>
                <w:szCs w:val="17"/>
              </w:rPr>
            </w:pPr>
            <w:r>
              <w:rPr>
                <w:sz w:val="17"/>
                <w:szCs w:val="17"/>
                <w:spacing w:val="2"/>
              </w:rPr>
              <w:t>省级新网出版部门</w:t>
            </w:r>
          </w:p>
        </w:tc>
        <w:tc>
          <w:tcPr>
            <w:tcW w:w="3721" w:type="dxa"/>
            <w:vAlign w:val="top"/>
          </w:tcPr>
          <w:p>
            <w:pPr>
              <w:pStyle w:val="TableText"/>
              <w:ind w:left="26"/>
              <w:spacing w:before="149" w:line="219" w:lineRule="auto"/>
              <w:rPr>
                <w:sz w:val="17"/>
                <w:szCs w:val="17"/>
              </w:rPr>
            </w:pPr>
            <w:r>
              <w:rPr>
                <w:sz w:val="17"/>
                <w:szCs w:val="17"/>
                <w:spacing w:val="3"/>
              </w:rPr>
              <w:t>1音像制品管理条例)</w:t>
            </w:r>
          </w:p>
        </w:tc>
      </w:tr>
      <w:tr>
        <w:trPr>
          <w:trHeight w:val="459" w:hRule="atLeast"/>
        </w:trPr>
        <w:tc>
          <w:tcPr>
            <w:tcW w:w="594" w:type="dxa"/>
            <w:vAlign w:val="top"/>
          </w:tcPr>
          <w:p>
            <w:pPr>
              <w:pStyle w:val="TableText"/>
              <w:ind w:left="154"/>
              <w:spacing w:before="193" w:line="183" w:lineRule="auto"/>
              <w:rPr>
                <w:sz w:val="17"/>
                <w:szCs w:val="17"/>
              </w:rPr>
            </w:pPr>
            <w:r>
              <w:rPr>
                <w:sz w:val="17"/>
                <w:szCs w:val="17"/>
                <w:spacing w:val="-2"/>
              </w:rPr>
              <w:t>628</w:t>
            </w:r>
          </w:p>
        </w:tc>
        <w:tc>
          <w:tcPr>
            <w:tcW w:w="1289" w:type="dxa"/>
            <w:vAlign w:val="top"/>
          </w:tcPr>
          <w:p>
            <w:pPr>
              <w:pStyle w:val="TableText"/>
              <w:ind w:left="210"/>
              <w:spacing w:before="150" w:line="220" w:lineRule="auto"/>
              <w:rPr>
                <w:sz w:val="17"/>
                <w:szCs w:val="17"/>
              </w:rPr>
            </w:pPr>
            <w:r>
              <w:rPr>
                <w:sz w:val="17"/>
                <w:szCs w:val="17"/>
                <w:spacing w:val="-2"/>
              </w:rPr>
              <w:t>新闻出版署</w:t>
            </w:r>
          </w:p>
        </w:tc>
        <w:tc>
          <w:tcPr>
            <w:tcW w:w="1648" w:type="dxa"/>
            <w:vAlign w:val="top"/>
          </w:tcPr>
          <w:p>
            <w:pPr>
              <w:pStyle w:val="TableText"/>
              <w:ind w:left="12" w:right="48" w:firstLine="40"/>
              <w:spacing w:before="40" w:line="222" w:lineRule="auto"/>
              <w:rPr>
                <w:sz w:val="17"/>
                <w:szCs w:val="17"/>
              </w:rPr>
            </w:pPr>
            <w:r>
              <w:rPr>
                <w:sz w:val="17"/>
                <w:szCs w:val="17"/>
              </w:rPr>
              <w:t>电子出版物酬作业务</w:t>
            </w:r>
            <w:r>
              <w:rPr>
                <w:sz w:val="17"/>
                <w:szCs w:val="17"/>
                <w:spacing w:val="6"/>
              </w:rPr>
              <w:t xml:space="preserve"> </w:t>
            </w:r>
            <w:r>
              <w:rPr>
                <w:sz w:val="17"/>
                <w:szCs w:val="17"/>
                <w:spacing w:val="-2"/>
              </w:rPr>
              <w:t>许可</w:t>
            </w:r>
          </w:p>
        </w:tc>
        <w:tc>
          <w:tcPr>
            <w:tcW w:w="2357" w:type="dxa"/>
            <w:vAlign w:val="top"/>
          </w:tcPr>
          <w:p>
            <w:pPr>
              <w:pStyle w:val="TableText"/>
              <w:ind w:left="34"/>
              <w:spacing w:before="150" w:line="219" w:lineRule="auto"/>
              <w:rPr>
                <w:sz w:val="17"/>
                <w:szCs w:val="17"/>
              </w:rPr>
            </w:pPr>
            <w:r>
              <w:rPr>
                <w:sz w:val="17"/>
                <w:szCs w:val="17"/>
                <w:spacing w:val="2"/>
              </w:rPr>
              <w:t>省级新等出愿部门</w:t>
            </w:r>
          </w:p>
        </w:tc>
        <w:tc>
          <w:tcPr>
            <w:tcW w:w="3721" w:type="dxa"/>
            <w:vAlign w:val="top"/>
          </w:tcPr>
          <w:p>
            <w:pPr>
              <w:pStyle w:val="TableText"/>
              <w:ind w:left="26"/>
              <w:spacing w:before="150" w:line="219" w:lineRule="auto"/>
              <w:rPr>
                <w:sz w:val="17"/>
                <w:szCs w:val="17"/>
              </w:rPr>
            </w:pPr>
            <w:r>
              <w:rPr>
                <w:sz w:val="17"/>
                <w:szCs w:val="17"/>
                <w:spacing w:val="-1"/>
              </w:rPr>
              <w:t>音像射品管理条例：</w:t>
            </w:r>
          </w:p>
        </w:tc>
      </w:tr>
      <w:tr>
        <w:trPr>
          <w:trHeight w:val="659" w:hRule="atLeast"/>
        </w:trPr>
        <w:tc>
          <w:tcPr>
            <w:tcW w:w="594" w:type="dxa"/>
            <w:vAlign w:val="top"/>
          </w:tcPr>
          <w:p>
            <w:pPr>
              <w:pStyle w:val="TableText"/>
              <w:ind w:left="154"/>
              <w:spacing w:before="294" w:line="183" w:lineRule="auto"/>
              <w:rPr>
                <w:sz w:val="17"/>
                <w:szCs w:val="17"/>
              </w:rPr>
            </w:pPr>
            <w:r>
              <w:rPr>
                <w:sz w:val="17"/>
                <w:szCs w:val="17"/>
                <w:spacing w:val="-2"/>
              </w:rPr>
              <w:t>629</w:t>
            </w:r>
          </w:p>
        </w:tc>
        <w:tc>
          <w:tcPr>
            <w:tcW w:w="1289" w:type="dxa"/>
            <w:vAlign w:val="top"/>
          </w:tcPr>
          <w:p>
            <w:pPr>
              <w:pStyle w:val="TableText"/>
              <w:ind w:left="210"/>
              <w:spacing w:before="251" w:line="220" w:lineRule="auto"/>
              <w:rPr>
                <w:sz w:val="17"/>
                <w:szCs w:val="17"/>
              </w:rPr>
            </w:pPr>
            <w:r>
              <w:rPr>
                <w:sz w:val="17"/>
                <w:szCs w:val="17"/>
                <w:spacing w:val="-2"/>
              </w:rPr>
              <w:t>新闻出版署</w:t>
            </w:r>
          </w:p>
        </w:tc>
        <w:tc>
          <w:tcPr>
            <w:tcW w:w="1648" w:type="dxa"/>
            <w:vAlign w:val="top"/>
          </w:tcPr>
          <w:p>
            <w:pPr>
              <w:pStyle w:val="TableText"/>
              <w:ind w:left="52" w:right="38"/>
              <w:spacing w:before="49" w:line="217" w:lineRule="auto"/>
              <w:jc w:val="both"/>
              <w:rPr>
                <w:sz w:val="17"/>
                <w:szCs w:val="17"/>
              </w:rPr>
            </w:pPr>
            <w:r>
              <w:rPr>
                <w:sz w:val="17"/>
                <w:szCs w:val="17"/>
                <w:spacing w:val="-1"/>
              </w:rPr>
              <w:t>进口用于出版的音像</w:t>
            </w:r>
            <w:r>
              <w:rPr>
                <w:sz w:val="17"/>
                <w:szCs w:val="17"/>
                <w:spacing w:val="2"/>
              </w:rPr>
              <w:t xml:space="preserve"> </w:t>
            </w:r>
            <w:r>
              <w:rPr>
                <w:sz w:val="17"/>
                <w:szCs w:val="17"/>
                <w:spacing w:val="1"/>
              </w:rPr>
              <w:t>制品和音停需品载品</w:t>
            </w:r>
            <w:r>
              <w:rPr>
                <w:sz w:val="17"/>
                <w:szCs w:val="17"/>
                <w:spacing w:val="7"/>
              </w:rPr>
              <w:t xml:space="preserve"> </w:t>
            </w:r>
            <w:r>
              <w:rPr>
                <w:sz w:val="17"/>
                <w:szCs w:val="17"/>
                <w:spacing w:val="38"/>
              </w:rPr>
              <w:t>审批</w:t>
            </w:r>
          </w:p>
        </w:tc>
        <w:tc>
          <w:tcPr>
            <w:tcW w:w="2357" w:type="dxa"/>
            <w:vAlign w:val="top"/>
          </w:tcPr>
          <w:p>
            <w:pPr>
              <w:pStyle w:val="TableText"/>
              <w:ind w:left="34"/>
              <w:spacing w:before="251" w:line="219" w:lineRule="auto"/>
              <w:rPr>
                <w:sz w:val="17"/>
                <w:szCs w:val="17"/>
              </w:rPr>
            </w:pPr>
            <w:r>
              <w:rPr>
                <w:sz w:val="17"/>
                <w:szCs w:val="17"/>
                <w:spacing w:val="1"/>
              </w:rPr>
              <w:t>赤间出活署</w:t>
            </w:r>
          </w:p>
        </w:tc>
        <w:tc>
          <w:tcPr>
            <w:tcW w:w="3721" w:type="dxa"/>
            <w:vAlign w:val="top"/>
          </w:tcPr>
          <w:p>
            <w:pPr>
              <w:pStyle w:val="TableText"/>
              <w:ind w:left="26"/>
              <w:spacing w:before="251" w:line="219" w:lineRule="auto"/>
              <w:rPr>
                <w:sz w:val="17"/>
                <w:szCs w:val="17"/>
              </w:rPr>
            </w:pPr>
            <w:r>
              <w:rPr>
                <w:sz w:val="17"/>
                <w:szCs w:val="17"/>
                <w:spacing w:val="-1"/>
              </w:rPr>
              <w:t>(音带制品管理条例：</w:t>
            </w:r>
          </w:p>
        </w:tc>
      </w:tr>
      <w:tr>
        <w:trPr>
          <w:trHeight w:val="459" w:hRule="atLeast"/>
        </w:trPr>
        <w:tc>
          <w:tcPr>
            <w:tcW w:w="594" w:type="dxa"/>
            <w:vAlign w:val="top"/>
          </w:tcPr>
          <w:p>
            <w:pPr>
              <w:pStyle w:val="TableText"/>
              <w:ind w:left="154"/>
              <w:spacing w:before="195" w:line="183" w:lineRule="auto"/>
              <w:rPr>
                <w:sz w:val="17"/>
                <w:szCs w:val="17"/>
              </w:rPr>
            </w:pPr>
            <w:r>
              <w:rPr>
                <w:sz w:val="17"/>
                <w:szCs w:val="17"/>
                <w:spacing w:val="-2"/>
              </w:rPr>
              <w:t>630</w:t>
            </w:r>
          </w:p>
        </w:tc>
        <w:tc>
          <w:tcPr>
            <w:tcW w:w="1289" w:type="dxa"/>
            <w:vAlign w:val="top"/>
          </w:tcPr>
          <w:p>
            <w:pPr>
              <w:pStyle w:val="TableText"/>
              <w:ind w:left="210"/>
              <w:spacing w:before="152" w:line="220" w:lineRule="auto"/>
              <w:rPr>
                <w:sz w:val="17"/>
                <w:szCs w:val="17"/>
              </w:rPr>
            </w:pPr>
            <w:r>
              <w:rPr>
                <w:sz w:val="17"/>
                <w:szCs w:val="17"/>
                <w:spacing w:val="-2"/>
              </w:rPr>
              <w:t>新闻出版署</w:t>
            </w:r>
          </w:p>
        </w:tc>
        <w:tc>
          <w:tcPr>
            <w:tcW w:w="1648" w:type="dxa"/>
            <w:vAlign w:val="top"/>
          </w:tcPr>
          <w:p>
            <w:pPr>
              <w:pStyle w:val="TableText"/>
              <w:ind w:left="52" w:right="38"/>
              <w:spacing w:before="52" w:line="213" w:lineRule="auto"/>
              <w:rPr>
                <w:sz w:val="17"/>
                <w:szCs w:val="17"/>
              </w:rPr>
            </w:pPr>
            <w:r>
              <w:rPr>
                <w:sz w:val="17"/>
                <w:szCs w:val="17"/>
                <w:spacing w:val="1"/>
              </w:rPr>
              <w:t>进口电子出版物成品</w:t>
            </w:r>
            <w:r>
              <w:rPr>
                <w:sz w:val="17"/>
                <w:szCs w:val="17"/>
                <w:spacing w:val="7"/>
              </w:rPr>
              <w:t xml:space="preserve"> </w:t>
            </w:r>
            <w:r>
              <w:rPr>
                <w:sz w:val="17"/>
                <w:szCs w:val="17"/>
                <w:spacing w:val="3"/>
              </w:rPr>
              <w:t>审批</w:t>
            </w:r>
          </w:p>
        </w:tc>
        <w:tc>
          <w:tcPr>
            <w:tcW w:w="2357" w:type="dxa"/>
            <w:vAlign w:val="top"/>
          </w:tcPr>
          <w:p>
            <w:pPr>
              <w:pStyle w:val="TableText"/>
              <w:ind w:left="34"/>
              <w:spacing w:before="150" w:line="219" w:lineRule="auto"/>
              <w:rPr>
                <w:sz w:val="17"/>
                <w:szCs w:val="17"/>
              </w:rPr>
            </w:pPr>
            <w:r>
              <w:rPr>
                <w:sz w:val="17"/>
                <w:szCs w:val="17"/>
                <w:spacing w:val="-1"/>
              </w:rPr>
              <w:t>低闻州版署</w:t>
            </w:r>
          </w:p>
        </w:tc>
        <w:tc>
          <w:tcPr>
            <w:tcW w:w="3721" w:type="dxa"/>
            <w:vAlign w:val="top"/>
          </w:tcPr>
          <w:p>
            <w:pPr>
              <w:pStyle w:val="TableText"/>
              <w:ind w:left="26"/>
              <w:spacing w:before="152" w:line="219" w:lineRule="auto"/>
              <w:rPr>
                <w:sz w:val="17"/>
                <w:szCs w:val="17"/>
              </w:rPr>
            </w:pPr>
            <w:r>
              <w:rPr>
                <w:sz w:val="17"/>
                <w:szCs w:val="17"/>
                <w:spacing w:val="1"/>
              </w:rPr>
              <w:t>音傅制品管理条例1</w:t>
            </w:r>
          </w:p>
        </w:tc>
      </w:tr>
      <w:tr>
        <w:trPr>
          <w:trHeight w:val="869" w:hRule="atLeast"/>
        </w:trPr>
        <w:tc>
          <w:tcPr>
            <w:tcW w:w="594" w:type="dxa"/>
            <w:vAlign w:val="top"/>
          </w:tcPr>
          <w:p>
            <w:pPr>
              <w:spacing w:line="338" w:lineRule="auto"/>
              <w:rPr>
                <w:rFonts w:ascii="Arial"/>
                <w:sz w:val="21"/>
              </w:rPr>
            </w:pPr>
            <w:r/>
          </w:p>
          <w:p>
            <w:pPr>
              <w:pStyle w:val="TableText"/>
              <w:ind w:left="154"/>
              <w:spacing w:before="55" w:line="184" w:lineRule="auto"/>
              <w:rPr>
                <w:sz w:val="17"/>
                <w:szCs w:val="17"/>
              </w:rPr>
            </w:pPr>
            <w:r>
              <w:rPr>
                <w:sz w:val="17"/>
                <w:szCs w:val="17"/>
                <w:spacing w:val="-1"/>
              </w:rPr>
              <w:t>B71</w:t>
            </w:r>
          </w:p>
        </w:tc>
        <w:tc>
          <w:tcPr>
            <w:tcW w:w="1289" w:type="dxa"/>
            <w:vAlign w:val="top"/>
          </w:tcPr>
          <w:p>
            <w:pPr>
              <w:spacing w:line="296" w:lineRule="auto"/>
              <w:rPr>
                <w:rFonts w:ascii="Arial"/>
                <w:sz w:val="21"/>
              </w:rPr>
            </w:pPr>
            <w:r/>
          </w:p>
          <w:p>
            <w:pPr>
              <w:pStyle w:val="TableText"/>
              <w:ind w:left="210"/>
              <w:spacing w:before="55" w:line="220" w:lineRule="auto"/>
              <w:rPr>
                <w:sz w:val="17"/>
                <w:szCs w:val="17"/>
              </w:rPr>
            </w:pPr>
            <w:r>
              <w:rPr>
                <w:sz w:val="17"/>
                <w:szCs w:val="17"/>
                <w:spacing w:val="-2"/>
              </w:rPr>
              <w:t>新闻出蚯居</w:t>
            </w:r>
          </w:p>
        </w:tc>
        <w:tc>
          <w:tcPr>
            <w:tcW w:w="1648" w:type="dxa"/>
            <w:vAlign w:val="top"/>
          </w:tcPr>
          <w:p>
            <w:pPr>
              <w:pStyle w:val="TableText"/>
              <w:ind w:left="1" w:right="9" w:firstLine="50"/>
              <w:spacing w:before="70" w:line="214" w:lineRule="auto"/>
              <w:jc w:val="both"/>
              <w:rPr>
                <w:sz w:val="17"/>
                <w:szCs w:val="17"/>
              </w:rPr>
            </w:pPr>
            <w:r>
              <w:rPr>
                <w:sz w:val="17"/>
                <w:szCs w:val="17"/>
                <w:spacing w:val="-2"/>
              </w:rPr>
              <w:t>青像制品，电于出冠 </w:t>
            </w:r>
            <w:r>
              <w:rPr>
                <w:sz w:val="17"/>
                <w:szCs w:val="17"/>
                <w:spacing w:val="3"/>
              </w:rPr>
              <w:t>物复制单位设立，变 </w:t>
            </w:r>
            <w:r>
              <w:rPr>
                <w:sz w:val="17"/>
                <w:szCs w:val="17"/>
                <w:spacing w:val="1"/>
              </w:rPr>
              <w:t>更，兼井.介井，分立</w:t>
            </w:r>
            <w:r>
              <w:rPr>
                <w:sz w:val="17"/>
                <w:szCs w:val="17"/>
              </w:rPr>
              <w:t xml:space="preserve"> </w:t>
            </w:r>
            <w:r>
              <w:rPr>
                <w:sz w:val="17"/>
                <w:szCs w:val="17"/>
                <w:spacing w:val="18"/>
              </w:rPr>
              <w:t>审批</w:t>
            </w:r>
          </w:p>
        </w:tc>
        <w:tc>
          <w:tcPr>
            <w:tcW w:w="2357" w:type="dxa"/>
            <w:vAlign w:val="top"/>
          </w:tcPr>
          <w:p>
            <w:pPr>
              <w:spacing w:line="296" w:lineRule="auto"/>
              <w:rPr>
                <w:rFonts w:ascii="Arial"/>
                <w:sz w:val="21"/>
              </w:rPr>
            </w:pPr>
            <w:r/>
          </w:p>
          <w:p>
            <w:pPr>
              <w:pStyle w:val="TableText"/>
              <w:ind w:left="34"/>
              <w:spacing w:before="55" w:line="219" w:lineRule="auto"/>
              <w:rPr>
                <w:sz w:val="17"/>
                <w:szCs w:val="17"/>
              </w:rPr>
            </w:pPr>
            <w:r>
              <w:rPr>
                <w:sz w:val="17"/>
                <w:szCs w:val="17"/>
                <w:spacing w:val="2"/>
              </w:rPr>
              <w:t>省级新再出版苗门</w:t>
            </w:r>
          </w:p>
        </w:tc>
        <w:tc>
          <w:tcPr>
            <w:tcW w:w="3721" w:type="dxa"/>
            <w:vAlign w:val="top"/>
          </w:tcPr>
          <w:p>
            <w:pPr>
              <w:spacing w:line="296" w:lineRule="auto"/>
              <w:rPr>
                <w:rFonts w:ascii="Arial"/>
                <w:sz w:val="21"/>
              </w:rPr>
            </w:pPr>
            <w:r/>
          </w:p>
          <w:p>
            <w:pPr>
              <w:pStyle w:val="TableText"/>
              <w:ind w:left="26"/>
              <w:spacing w:before="55" w:line="219" w:lineRule="auto"/>
              <w:rPr>
                <w:sz w:val="17"/>
                <w:szCs w:val="17"/>
              </w:rPr>
            </w:pPr>
            <w:r>
              <w:rPr>
                <w:sz w:val="17"/>
                <w:szCs w:val="17"/>
                <w:spacing w:val="-2"/>
              </w:rPr>
              <w:t>4奇健制品管理条例》</w:t>
            </w:r>
          </w:p>
        </w:tc>
      </w:tr>
      <w:tr>
        <w:trPr>
          <w:trHeight w:val="859" w:hRule="atLeast"/>
        </w:trPr>
        <w:tc>
          <w:tcPr>
            <w:tcW w:w="594" w:type="dxa"/>
            <w:vAlign w:val="top"/>
          </w:tcPr>
          <w:p>
            <w:pPr>
              <w:spacing w:line="340" w:lineRule="auto"/>
              <w:rPr>
                <w:rFonts w:ascii="Arial"/>
                <w:sz w:val="21"/>
              </w:rPr>
            </w:pPr>
            <w:r/>
          </w:p>
          <w:p>
            <w:pPr>
              <w:pStyle w:val="TableText"/>
              <w:ind w:left="154"/>
              <w:spacing w:before="55" w:line="183" w:lineRule="auto"/>
              <w:rPr>
                <w:sz w:val="17"/>
                <w:szCs w:val="17"/>
              </w:rPr>
            </w:pPr>
            <w:r>
              <w:rPr>
                <w:sz w:val="17"/>
                <w:szCs w:val="17"/>
                <w:spacing w:val="-2"/>
              </w:rPr>
              <w:t>682</w:t>
            </w:r>
          </w:p>
        </w:tc>
        <w:tc>
          <w:tcPr>
            <w:tcW w:w="1289" w:type="dxa"/>
            <w:vAlign w:val="top"/>
          </w:tcPr>
          <w:p>
            <w:pPr>
              <w:spacing w:line="297" w:lineRule="auto"/>
              <w:rPr>
                <w:rFonts w:ascii="Arial"/>
                <w:sz w:val="21"/>
              </w:rPr>
            </w:pPr>
            <w:r/>
          </w:p>
          <w:p>
            <w:pPr>
              <w:pStyle w:val="TableText"/>
              <w:ind w:left="210"/>
              <w:spacing w:before="55" w:line="220" w:lineRule="auto"/>
              <w:rPr>
                <w:sz w:val="17"/>
                <w:szCs w:val="17"/>
              </w:rPr>
            </w:pPr>
            <w:r>
              <w:rPr>
                <w:sz w:val="17"/>
                <w:szCs w:val="17"/>
                <w:spacing w:val="1"/>
              </w:rPr>
              <w:t>听闻出版署</w:t>
            </w:r>
          </w:p>
        </w:tc>
        <w:tc>
          <w:tcPr>
            <w:tcW w:w="1648" w:type="dxa"/>
            <w:vAlign w:val="top"/>
          </w:tcPr>
          <w:p>
            <w:pPr>
              <w:pStyle w:val="TableText"/>
              <w:ind w:left="52" w:right="43"/>
              <w:spacing w:before="53" w:line="216" w:lineRule="auto"/>
              <w:jc w:val="both"/>
              <w:rPr>
                <w:sz w:val="17"/>
                <w:szCs w:val="17"/>
              </w:rPr>
            </w:pPr>
            <w:r>
              <w:rPr>
                <w:sz w:val="17"/>
                <w:szCs w:val="17"/>
              </w:rPr>
              <w:t>言律复制单位，也子</w:t>
            </w:r>
            <w:r>
              <w:rPr>
                <w:sz w:val="17"/>
                <w:szCs w:val="17"/>
                <w:spacing w:val="6"/>
              </w:rPr>
              <w:t xml:space="preserve"> </w:t>
            </w:r>
            <w:r>
              <w:rPr>
                <w:sz w:val="17"/>
                <w:szCs w:val="17"/>
              </w:rPr>
              <w:t>出展物复起单位接要</w:t>
            </w:r>
            <w:r>
              <w:rPr>
                <w:sz w:val="17"/>
                <w:szCs w:val="17"/>
                <w:spacing w:val="7"/>
              </w:rPr>
              <w:t xml:space="preserve"> </w:t>
            </w:r>
            <w:r>
              <w:rPr>
                <w:sz w:val="17"/>
                <w:szCs w:val="17"/>
                <w:spacing w:val="1"/>
              </w:rPr>
              <w:t>费托复别境外音像割</w:t>
            </w:r>
            <w:r>
              <w:rPr>
                <w:sz w:val="17"/>
                <w:szCs w:val="17"/>
                <w:spacing w:val="2"/>
              </w:rPr>
              <w:t xml:space="preserve"> </w:t>
            </w:r>
            <w:r>
              <w:rPr>
                <w:sz w:val="17"/>
                <w:szCs w:val="17"/>
                <w:spacing w:val="-1"/>
              </w:rPr>
              <w:t>后，电子出取物审誉</w:t>
            </w:r>
          </w:p>
        </w:tc>
        <w:tc>
          <w:tcPr>
            <w:tcW w:w="2357" w:type="dxa"/>
            <w:vAlign w:val="top"/>
          </w:tcPr>
          <w:p>
            <w:pPr>
              <w:spacing w:line="297" w:lineRule="auto"/>
              <w:rPr>
                <w:rFonts w:ascii="Arial"/>
                <w:sz w:val="21"/>
              </w:rPr>
            </w:pPr>
            <w:r/>
          </w:p>
          <w:p>
            <w:pPr>
              <w:pStyle w:val="TableText"/>
              <w:ind w:left="34"/>
              <w:spacing w:before="55" w:line="219" w:lineRule="auto"/>
              <w:rPr>
                <w:sz w:val="17"/>
                <w:szCs w:val="17"/>
              </w:rPr>
            </w:pPr>
            <w:r>
              <w:rPr>
                <w:sz w:val="17"/>
                <w:szCs w:val="17"/>
                <w:spacing w:val="2"/>
              </w:rPr>
              <w:t>省级画闻出版解门</w:t>
            </w:r>
          </w:p>
        </w:tc>
        <w:tc>
          <w:tcPr>
            <w:tcW w:w="3721" w:type="dxa"/>
            <w:vAlign w:val="top"/>
          </w:tcPr>
          <w:p>
            <w:pPr>
              <w:pStyle w:val="TableText"/>
              <w:ind w:left="26"/>
              <w:spacing w:before="244" w:line="217" w:lineRule="auto"/>
              <w:rPr>
                <w:sz w:val="17"/>
                <w:szCs w:val="17"/>
              </w:rPr>
            </w:pPr>
            <w:r>
              <w:rPr>
                <w:sz w:val="17"/>
                <w:szCs w:val="17"/>
              </w:rPr>
              <w:t>(普像解品管理杀例》</w:t>
            </w:r>
          </w:p>
          <w:p>
            <w:pPr>
              <w:pStyle w:val="TableText"/>
              <w:ind w:left="26"/>
              <w:spacing w:line="219" w:lineRule="auto"/>
              <w:rPr>
                <w:sz w:val="17"/>
                <w:szCs w:val="17"/>
              </w:rPr>
            </w:pPr>
            <w:r>
              <w:rPr>
                <w:sz w:val="17"/>
                <w:szCs w:val="17"/>
                <w:spacing w:val="-1"/>
              </w:rPr>
              <w:t>出表管题是刻》</w:t>
            </w:r>
          </w:p>
        </w:tc>
      </w:tr>
      <w:tr>
        <w:trPr>
          <w:trHeight w:val="459" w:hRule="atLeast"/>
        </w:trPr>
        <w:tc>
          <w:tcPr>
            <w:tcW w:w="594" w:type="dxa"/>
            <w:vAlign w:val="top"/>
          </w:tcPr>
          <w:p>
            <w:pPr>
              <w:pStyle w:val="TableText"/>
              <w:ind w:left="154"/>
              <w:spacing w:before="198" w:line="183" w:lineRule="auto"/>
              <w:rPr>
                <w:sz w:val="17"/>
                <w:szCs w:val="17"/>
              </w:rPr>
            </w:pPr>
            <w:r>
              <w:rPr>
                <w:sz w:val="17"/>
                <w:szCs w:val="17"/>
                <w:spacing w:val="-3"/>
              </w:rPr>
              <w:t>532</w:t>
            </w:r>
          </w:p>
        </w:tc>
        <w:tc>
          <w:tcPr>
            <w:tcW w:w="1289" w:type="dxa"/>
            <w:vAlign w:val="top"/>
          </w:tcPr>
          <w:p>
            <w:pPr>
              <w:pStyle w:val="TableText"/>
              <w:ind w:left="210"/>
              <w:spacing w:before="155" w:line="220" w:lineRule="auto"/>
              <w:rPr>
                <w:sz w:val="17"/>
                <w:szCs w:val="17"/>
              </w:rPr>
            </w:pPr>
            <w:r>
              <w:rPr>
                <w:sz w:val="17"/>
                <w:szCs w:val="17"/>
                <w:spacing w:val="-2"/>
              </w:rPr>
              <w:t>新阳出版暑</w:t>
            </w:r>
          </w:p>
        </w:tc>
        <w:tc>
          <w:tcPr>
            <w:tcW w:w="1648" w:type="dxa"/>
            <w:vAlign w:val="top"/>
          </w:tcPr>
          <w:p>
            <w:pPr>
              <w:pStyle w:val="TableText"/>
              <w:ind w:left="1" w:right="26" w:firstLine="50"/>
              <w:spacing w:before="75" w:line="203" w:lineRule="auto"/>
              <w:rPr>
                <w:sz w:val="17"/>
                <w:szCs w:val="17"/>
              </w:rPr>
            </w:pPr>
            <w:r>
              <w:rPr>
                <w:sz w:val="17"/>
                <w:szCs w:val="17"/>
              </w:rPr>
              <w:t>凹刷企世设立、变更</w:t>
            </w:r>
            <w:r>
              <w:rPr>
                <w:sz w:val="17"/>
                <w:szCs w:val="17"/>
                <w:spacing w:val="6"/>
              </w:rPr>
              <w:t xml:space="preserve"> </w:t>
            </w:r>
            <w:r>
              <w:rPr>
                <w:sz w:val="17"/>
                <w:szCs w:val="17"/>
                <w:spacing w:val="-1"/>
              </w:rPr>
              <w:t>黄井.合非，分立审批</w:t>
            </w:r>
          </w:p>
        </w:tc>
        <w:tc>
          <w:tcPr>
            <w:tcW w:w="2357" w:type="dxa"/>
            <w:vAlign w:val="top"/>
          </w:tcPr>
          <w:p>
            <w:pPr>
              <w:pStyle w:val="TableText"/>
              <w:ind w:right="3"/>
              <w:spacing w:before="153" w:line="219" w:lineRule="auto"/>
              <w:jc w:val="right"/>
              <w:rPr>
                <w:sz w:val="17"/>
                <w:szCs w:val="17"/>
              </w:rPr>
            </w:pPr>
            <w:r>
              <w:rPr>
                <w:sz w:val="17"/>
                <w:szCs w:val="17"/>
                <w:spacing w:val="1"/>
              </w:rPr>
              <w:t>有线.设区的布级新需出数客门</w:t>
            </w:r>
          </w:p>
        </w:tc>
        <w:tc>
          <w:tcPr>
            <w:tcW w:w="3721" w:type="dxa"/>
            <w:vAlign w:val="top"/>
          </w:tcPr>
          <w:p>
            <w:pPr>
              <w:pStyle w:val="TableText"/>
              <w:ind w:left="81"/>
              <w:spacing w:before="45" w:line="217" w:lineRule="auto"/>
              <w:rPr>
                <w:sz w:val="17"/>
                <w:szCs w:val="17"/>
              </w:rPr>
            </w:pPr>
            <w:r>
              <w:rPr>
                <w:sz w:val="17"/>
                <w:szCs w:val="17"/>
                <w:spacing w:val="2"/>
              </w:rPr>
              <w:t>C印解业肾理条例】</w:t>
            </w:r>
          </w:p>
          <w:p>
            <w:pPr>
              <w:pStyle w:val="TableText"/>
              <w:spacing w:line="219" w:lineRule="auto"/>
              <w:rPr>
                <w:sz w:val="17"/>
                <w:szCs w:val="17"/>
              </w:rPr>
            </w:pPr>
            <w:r>
              <w:rPr>
                <w:sz w:val="17"/>
                <w:szCs w:val="17"/>
                <w:spacing w:val="-7"/>
              </w:rPr>
              <w:t>《出版管理条例》</w:t>
            </w:r>
          </w:p>
        </w:tc>
      </w:tr>
      <w:tr>
        <w:trPr>
          <w:trHeight w:val="534" w:hRule="atLeast"/>
        </w:trPr>
        <w:tc>
          <w:tcPr>
            <w:tcW w:w="594" w:type="dxa"/>
            <w:vAlign w:val="top"/>
          </w:tcPr>
          <w:p>
            <w:pPr>
              <w:pStyle w:val="TableText"/>
              <w:ind w:left="154"/>
              <w:spacing w:before="229" w:line="183" w:lineRule="auto"/>
              <w:rPr>
                <w:sz w:val="17"/>
                <w:szCs w:val="17"/>
              </w:rPr>
            </w:pPr>
            <w:r>
              <w:rPr>
                <w:sz w:val="17"/>
                <w:szCs w:val="17"/>
                <w:spacing w:val="-2"/>
              </w:rPr>
              <w:t>634</w:t>
            </w:r>
          </w:p>
        </w:tc>
        <w:tc>
          <w:tcPr>
            <w:tcW w:w="1289" w:type="dxa"/>
            <w:vAlign w:val="top"/>
          </w:tcPr>
          <w:p>
            <w:pPr>
              <w:pStyle w:val="TableText"/>
              <w:ind w:left="210"/>
              <w:spacing w:before="186" w:line="220" w:lineRule="auto"/>
              <w:rPr>
                <w:sz w:val="17"/>
                <w:szCs w:val="17"/>
              </w:rPr>
            </w:pPr>
            <w:r>
              <w:rPr>
                <w:sz w:val="17"/>
                <w:szCs w:val="17"/>
                <w:spacing w:val="-2"/>
              </w:rPr>
              <w:t>新圆出版雾</w:t>
            </w:r>
          </w:p>
        </w:tc>
        <w:tc>
          <w:tcPr>
            <w:tcW w:w="1648" w:type="dxa"/>
            <w:vAlign w:val="top"/>
          </w:tcPr>
          <w:p>
            <w:pPr>
              <w:pStyle w:val="TableText"/>
              <w:ind w:left="52" w:right="47"/>
              <w:spacing w:before="105" w:line="219" w:lineRule="auto"/>
              <w:rPr>
                <w:sz w:val="17"/>
                <w:szCs w:val="17"/>
              </w:rPr>
            </w:pPr>
            <w:r>
              <w:rPr>
                <w:sz w:val="17"/>
                <w:szCs w:val="17"/>
              </w:rPr>
              <w:t>内部肾料性出版物准</w:t>
            </w:r>
            <w:r>
              <w:rPr>
                <w:sz w:val="17"/>
                <w:szCs w:val="17"/>
                <w:spacing w:val="7"/>
              </w:rPr>
              <w:t xml:space="preserve"> </w:t>
            </w:r>
            <w:r>
              <w:rPr>
                <w:sz w:val="17"/>
                <w:szCs w:val="17"/>
                <w:spacing w:val="-2"/>
              </w:rPr>
              <w:t>研事世</w:t>
            </w:r>
          </w:p>
        </w:tc>
        <w:tc>
          <w:tcPr>
            <w:tcW w:w="2357" w:type="dxa"/>
            <w:vAlign w:val="top"/>
          </w:tcPr>
          <w:p>
            <w:pPr>
              <w:pStyle w:val="TableText"/>
              <w:ind w:left="34"/>
              <w:spacing w:before="186" w:line="219" w:lineRule="auto"/>
              <w:rPr>
                <w:sz w:val="17"/>
                <w:szCs w:val="17"/>
              </w:rPr>
            </w:pPr>
            <w:r>
              <w:rPr>
                <w:sz w:val="17"/>
                <w:szCs w:val="17"/>
                <w:spacing w:val="2"/>
              </w:rPr>
              <w:t>省级新阳出师施门</w:t>
            </w:r>
          </w:p>
        </w:tc>
        <w:tc>
          <w:tcPr>
            <w:tcW w:w="3721" w:type="dxa"/>
            <w:vAlign w:val="top"/>
          </w:tcPr>
          <w:p>
            <w:pPr>
              <w:pStyle w:val="TableText"/>
              <w:spacing w:before="106" w:line="219" w:lineRule="auto"/>
              <w:rPr>
                <w:sz w:val="17"/>
                <w:szCs w:val="17"/>
              </w:rPr>
            </w:pPr>
            <w:r>
              <w:rPr>
                <w:sz w:val="17"/>
                <w:szCs w:val="17"/>
                <w:spacing w:val="-7"/>
              </w:rPr>
              <w:t>《印郡业管理条街1</w:t>
            </w:r>
          </w:p>
          <w:p>
            <w:pPr>
              <w:pStyle w:val="TableText"/>
              <w:spacing w:before="18" w:line="215" w:lineRule="auto"/>
              <w:rPr>
                <w:sz w:val="17"/>
                <w:szCs w:val="17"/>
              </w:rPr>
            </w:pPr>
            <w:r>
              <w:rPr>
                <w:sz w:val="17"/>
                <w:szCs w:val="17"/>
                <w:spacing w:val="-5"/>
              </w:rPr>
              <w:t>《内部资料性出取物管理办法》</w:t>
            </w:r>
          </w:p>
        </w:tc>
      </w:tr>
    </w:tbl>
    <w:p>
      <w:pPr>
        <w:pStyle w:val="BodyText"/>
        <w:rPr/>
      </w:pPr>
      <w:r/>
    </w:p>
    <w:p>
      <w:pPr>
        <w:sectPr>
          <w:pgSz w:w="11910" w:h="8220"/>
          <w:pgMar w:top="400" w:right="1145" w:bottom="400" w:left="809" w:header="0" w:footer="0" w:gutter="0"/>
        </w:sectPr>
        <w:rPr/>
      </w:pPr>
    </w:p>
    <w:p>
      <w:pPr>
        <w:spacing w:before="123"/>
        <w:rPr/>
      </w:pPr>
      <w:r>
        <mc:AlternateContent xmlns:mc="http://schemas.openxmlformats.org/markup-compatibility/2006">
          <mc:Choice Requires="wps">
            <w:drawing>
              <wp:anchor distT="0" distB="0" distL="0" distR="0" simplePos="0" relativeHeight="25188966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296" name="TextBox 296"/>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8" style="position:absolute;margin-left:37.0402pt;margin-top:344.638pt;mso-position-vertical-relative:page;mso-position-horizontal-relative:page;width:13.6pt;height:12.35pt;z-index:25188966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229</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48"/>
        <w:gridCol w:w="2367"/>
        <w:gridCol w:w="370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54"/>
              <w:spacing w:before="130" w:line="219" w:lineRule="auto"/>
              <w:rPr>
                <w:sz w:val="16"/>
                <w:szCs w:val="16"/>
              </w:rPr>
            </w:pPr>
            <w:r>
              <w:rPr>
                <w:sz w:val="16"/>
                <w:szCs w:val="16"/>
                <w:spacing w:val="-2"/>
              </w:rPr>
              <w:t>实险机类</w:t>
            </w:r>
          </w:p>
        </w:tc>
        <w:tc>
          <w:tcPr>
            <w:tcW w:w="3701" w:type="dxa"/>
            <w:vAlign w:val="top"/>
          </w:tcPr>
          <w:p>
            <w:pPr>
              <w:pStyle w:val="TableText"/>
              <w:ind w:left="1276"/>
              <w:spacing w:before="131" w:line="219" w:lineRule="auto"/>
              <w:rPr>
                <w:sz w:val="16"/>
                <w:szCs w:val="16"/>
              </w:rPr>
            </w:pPr>
            <w:r>
              <w:rPr>
                <w:sz w:val="16"/>
                <w:szCs w:val="16"/>
                <w:spacing w:val="-2"/>
              </w:rPr>
              <w:t>设定和实防体据</w:t>
            </w:r>
          </w:p>
        </w:tc>
      </w:tr>
      <w:tr>
        <w:trPr>
          <w:trHeight w:val="469" w:hRule="atLeast"/>
        </w:trPr>
        <w:tc>
          <w:tcPr>
            <w:tcW w:w="594" w:type="dxa"/>
            <w:vAlign w:val="top"/>
          </w:tcPr>
          <w:p>
            <w:pPr>
              <w:pStyle w:val="TableText"/>
              <w:ind w:left="164"/>
              <w:spacing w:before="197" w:line="183" w:lineRule="auto"/>
              <w:rPr>
                <w:sz w:val="16"/>
                <w:szCs w:val="16"/>
              </w:rPr>
            </w:pPr>
            <w:r>
              <w:rPr>
                <w:sz w:val="16"/>
                <w:szCs w:val="16"/>
                <w:spacing w:val="-2"/>
              </w:rPr>
              <w:t>435</w:t>
            </w:r>
          </w:p>
        </w:tc>
        <w:tc>
          <w:tcPr>
            <w:tcW w:w="1279" w:type="dxa"/>
            <w:vAlign w:val="top"/>
          </w:tcPr>
          <w:p>
            <w:pPr>
              <w:pStyle w:val="TableText"/>
              <w:ind w:left="231"/>
              <w:spacing w:before="156" w:line="219" w:lineRule="auto"/>
              <w:rPr>
                <w:sz w:val="16"/>
                <w:szCs w:val="16"/>
              </w:rPr>
            </w:pPr>
            <w:r>
              <w:rPr>
                <w:sz w:val="16"/>
                <w:szCs w:val="16"/>
                <w:spacing w:val="-2"/>
              </w:rPr>
              <w:t>新同山瓶薯</w:t>
            </w:r>
          </w:p>
        </w:tc>
        <w:tc>
          <w:tcPr>
            <w:tcW w:w="1648" w:type="dxa"/>
            <w:vAlign w:val="top"/>
          </w:tcPr>
          <w:p>
            <w:pPr>
              <w:pStyle w:val="TableText"/>
              <w:ind w:left="52" w:right="91" w:firstLine="39"/>
              <w:spacing w:before="75" w:line="221" w:lineRule="auto"/>
              <w:rPr>
                <w:sz w:val="16"/>
                <w:szCs w:val="16"/>
              </w:rPr>
            </w:pPr>
            <w:r>
              <w:rPr>
                <w:sz w:val="16"/>
                <w:szCs w:val="16"/>
                <w:spacing w:val="1"/>
              </w:rPr>
              <w:t>印删企业核受委托印</w:t>
            </w:r>
            <w:r>
              <w:rPr>
                <w:sz w:val="16"/>
                <w:szCs w:val="16"/>
                <w:spacing w:val="4"/>
              </w:rPr>
              <w:t xml:space="preserve"> </w:t>
            </w:r>
            <w:r>
              <w:rPr>
                <w:sz w:val="16"/>
                <w:szCs w:val="16"/>
                <w:spacing w:val="-1"/>
              </w:rPr>
              <w:t>剧地外山施物草花</w:t>
            </w:r>
          </w:p>
        </w:tc>
        <w:tc>
          <w:tcPr>
            <w:tcW w:w="2367" w:type="dxa"/>
            <w:vAlign w:val="top"/>
          </w:tcPr>
          <w:p>
            <w:pPr>
              <w:pStyle w:val="TableText"/>
              <w:ind w:left="54"/>
              <w:spacing w:before="156" w:line="219" w:lineRule="auto"/>
              <w:rPr>
                <w:sz w:val="16"/>
                <w:szCs w:val="16"/>
              </w:rPr>
            </w:pPr>
            <w:r>
              <w:rPr>
                <w:sz w:val="16"/>
                <w:szCs w:val="16"/>
                <w:spacing w:val="2"/>
              </w:rPr>
              <w:t>省级新离出范叁门</w:t>
            </w:r>
          </w:p>
        </w:tc>
        <w:tc>
          <w:tcPr>
            <w:tcW w:w="3701" w:type="dxa"/>
            <w:vAlign w:val="top"/>
          </w:tcPr>
          <w:p>
            <w:pPr>
              <w:pStyle w:val="TableText"/>
              <w:ind w:left="46"/>
              <w:spacing w:before="56" w:line="219" w:lineRule="auto"/>
              <w:rPr>
                <w:sz w:val="16"/>
                <w:szCs w:val="16"/>
              </w:rPr>
            </w:pPr>
            <w:r>
              <w:rPr>
                <w:sz w:val="16"/>
                <w:szCs w:val="16"/>
                <w:spacing w:val="3"/>
              </w:rPr>
              <w:t>1印届业管理备例)</w:t>
            </w:r>
          </w:p>
          <w:p>
            <w:pPr>
              <w:pStyle w:val="TableText"/>
              <w:ind w:left="46"/>
              <w:spacing w:line="219" w:lineRule="auto"/>
              <w:rPr>
                <w:sz w:val="16"/>
                <w:szCs w:val="16"/>
              </w:rPr>
            </w:pPr>
            <w:r>
              <w:rPr>
                <w:sz w:val="16"/>
                <w:szCs w:val="16"/>
                <w:spacing w:val="-1"/>
              </w:rPr>
              <w:t>4出版管理条位3</w:t>
            </w:r>
          </w:p>
        </w:tc>
      </w:tr>
      <w:tr>
        <w:trPr>
          <w:trHeight w:val="260" w:hRule="atLeast"/>
        </w:trPr>
        <w:tc>
          <w:tcPr>
            <w:tcW w:w="594" w:type="dxa"/>
            <w:vAlign w:val="top"/>
          </w:tcPr>
          <w:p>
            <w:pPr>
              <w:pStyle w:val="TableText"/>
              <w:ind w:left="164"/>
              <w:spacing w:before="88" w:line="183" w:lineRule="auto"/>
              <w:rPr>
                <w:sz w:val="16"/>
                <w:szCs w:val="16"/>
              </w:rPr>
            </w:pPr>
            <w:r>
              <w:rPr>
                <w:sz w:val="16"/>
                <w:szCs w:val="16"/>
                <w:spacing w:val="-2"/>
              </w:rPr>
              <w:t>636</w:t>
            </w:r>
          </w:p>
        </w:tc>
        <w:tc>
          <w:tcPr>
            <w:tcW w:w="1279" w:type="dxa"/>
            <w:vAlign w:val="top"/>
          </w:tcPr>
          <w:p>
            <w:pPr>
              <w:pStyle w:val="TableText"/>
              <w:ind w:left="231"/>
              <w:spacing w:before="46" w:line="219" w:lineRule="auto"/>
              <w:rPr>
                <w:sz w:val="16"/>
                <w:szCs w:val="16"/>
              </w:rPr>
            </w:pPr>
            <w:r>
              <w:rPr>
                <w:sz w:val="16"/>
                <w:szCs w:val="16"/>
                <w:spacing w:val="-2"/>
              </w:rPr>
              <w:t>新窝州服署</w:t>
            </w:r>
          </w:p>
        </w:tc>
        <w:tc>
          <w:tcPr>
            <w:tcW w:w="1648" w:type="dxa"/>
            <w:vAlign w:val="top"/>
          </w:tcPr>
          <w:p>
            <w:pPr>
              <w:pStyle w:val="TableText"/>
              <w:ind w:left="52"/>
              <w:spacing w:before="47" w:line="219" w:lineRule="auto"/>
              <w:rPr>
                <w:sz w:val="16"/>
                <w:szCs w:val="16"/>
              </w:rPr>
            </w:pPr>
            <w:r>
              <w:rPr>
                <w:sz w:val="16"/>
                <w:szCs w:val="16"/>
                <w:spacing w:val="-1"/>
              </w:rPr>
              <w:t>宗数用品准印审者</w:t>
            </w:r>
          </w:p>
        </w:tc>
        <w:tc>
          <w:tcPr>
            <w:tcW w:w="2367" w:type="dxa"/>
            <w:vAlign w:val="top"/>
          </w:tcPr>
          <w:p>
            <w:pPr>
              <w:pStyle w:val="TableText"/>
              <w:ind w:left="54"/>
              <w:spacing w:before="47" w:line="219" w:lineRule="auto"/>
              <w:rPr>
                <w:sz w:val="16"/>
                <w:szCs w:val="16"/>
              </w:rPr>
            </w:pPr>
            <w:r>
              <w:rPr>
                <w:sz w:val="16"/>
                <w:szCs w:val="16"/>
                <w:spacing w:val="2"/>
              </w:rPr>
              <w:t>省圾新得出版部门</w:t>
            </w:r>
          </w:p>
        </w:tc>
        <w:tc>
          <w:tcPr>
            <w:tcW w:w="3701" w:type="dxa"/>
            <w:vAlign w:val="top"/>
          </w:tcPr>
          <w:p>
            <w:pPr>
              <w:pStyle w:val="TableText"/>
              <w:spacing w:before="47" w:line="219" w:lineRule="auto"/>
              <w:rPr>
                <w:sz w:val="16"/>
                <w:szCs w:val="16"/>
              </w:rPr>
            </w:pPr>
            <w:r>
              <w:rPr>
                <w:sz w:val="16"/>
                <w:szCs w:val="16"/>
                <w:spacing w:val="-4"/>
              </w:rPr>
              <w:t>《印既业管理茶例)</w:t>
            </w:r>
          </w:p>
        </w:tc>
      </w:tr>
      <w:tr>
        <w:trPr>
          <w:trHeight w:val="669" w:hRule="atLeast"/>
        </w:trPr>
        <w:tc>
          <w:tcPr>
            <w:tcW w:w="594" w:type="dxa"/>
            <w:vAlign w:val="top"/>
          </w:tcPr>
          <w:p>
            <w:pPr>
              <w:spacing w:line="245" w:lineRule="auto"/>
              <w:rPr>
                <w:rFonts w:ascii="Arial"/>
                <w:sz w:val="21"/>
              </w:rPr>
            </w:pPr>
            <w:r/>
          </w:p>
          <w:p>
            <w:pPr>
              <w:pStyle w:val="TableText"/>
              <w:ind w:left="164"/>
              <w:spacing w:before="52" w:line="183" w:lineRule="auto"/>
              <w:rPr>
                <w:sz w:val="16"/>
                <w:szCs w:val="16"/>
              </w:rPr>
            </w:pPr>
            <w:r>
              <w:rPr>
                <w:sz w:val="16"/>
                <w:szCs w:val="16"/>
                <w:spacing w:val="-2"/>
              </w:rPr>
              <w:t>637</w:t>
            </w:r>
          </w:p>
        </w:tc>
        <w:tc>
          <w:tcPr>
            <w:tcW w:w="1279" w:type="dxa"/>
            <w:vAlign w:val="top"/>
          </w:tcPr>
          <w:p>
            <w:pPr>
              <w:pStyle w:val="TableText"/>
              <w:ind w:left="231"/>
              <w:spacing w:before="258" w:line="220" w:lineRule="auto"/>
              <w:rPr>
                <w:sz w:val="16"/>
                <w:szCs w:val="16"/>
              </w:rPr>
            </w:pPr>
            <w:r>
              <w:rPr>
                <w:sz w:val="16"/>
                <w:szCs w:val="16"/>
                <w:spacing w:val="-2"/>
              </w:rPr>
              <w:t>新间出般署</w:t>
            </w:r>
          </w:p>
        </w:tc>
        <w:tc>
          <w:tcPr>
            <w:tcW w:w="1648" w:type="dxa"/>
            <w:vAlign w:val="top"/>
          </w:tcPr>
          <w:p>
            <w:pPr>
              <w:pStyle w:val="TableText"/>
              <w:ind w:left="32" w:right="112" w:firstLine="59"/>
              <w:spacing w:before="167" w:line="214" w:lineRule="auto"/>
              <w:rPr>
                <w:sz w:val="16"/>
                <w:szCs w:val="16"/>
              </w:rPr>
            </w:pPr>
            <w:r>
              <w:rPr>
                <w:sz w:val="16"/>
                <w:szCs w:val="16"/>
                <w:spacing w:val="-1"/>
              </w:rPr>
              <w:t>新闻记者配业整格认</w:t>
            </w:r>
            <w:r>
              <w:rPr>
                <w:sz w:val="16"/>
                <w:szCs w:val="16"/>
                <w:spacing w:val="1"/>
              </w:rPr>
              <w:t xml:space="preserve"> </w:t>
            </w:r>
            <w:r>
              <w:rPr>
                <w:sz w:val="16"/>
                <w:szCs w:val="16"/>
              </w:rPr>
              <w:t>定</w:t>
            </w:r>
          </w:p>
        </w:tc>
        <w:tc>
          <w:tcPr>
            <w:tcW w:w="2367" w:type="dxa"/>
            <w:vAlign w:val="top"/>
          </w:tcPr>
          <w:p>
            <w:pPr>
              <w:pStyle w:val="TableText"/>
              <w:ind w:left="54"/>
              <w:spacing w:before="258" w:line="221" w:lineRule="auto"/>
              <w:rPr>
                <w:sz w:val="16"/>
                <w:szCs w:val="16"/>
              </w:rPr>
            </w:pPr>
            <w:r>
              <w:rPr>
                <w:sz w:val="16"/>
                <w:szCs w:val="16"/>
                <w:spacing w:val="-2"/>
              </w:rPr>
              <w:t>系闻出崖署</w:t>
            </w:r>
          </w:p>
        </w:tc>
        <w:tc>
          <w:tcPr>
            <w:tcW w:w="3701" w:type="dxa"/>
            <w:vAlign w:val="top"/>
          </w:tcPr>
          <w:p>
            <w:pPr>
              <w:pStyle w:val="TableText"/>
              <w:ind w:left="46" w:right="196" w:hanging="10"/>
              <w:spacing w:before="47" w:line="225" w:lineRule="auto"/>
              <w:rPr>
                <w:sz w:val="16"/>
                <w:szCs w:val="16"/>
              </w:rPr>
            </w:pPr>
            <w:r>
              <w:rPr>
                <w:sz w:val="16"/>
                <w:szCs w:val="16"/>
              </w:rPr>
              <w:t>1国务院对确密保部的行改市批项目设定行政许中</w:t>
            </w:r>
            <w:r>
              <w:rPr>
                <w:sz w:val="16"/>
                <w:szCs w:val="16"/>
                <w:spacing w:val="16"/>
              </w:rPr>
              <w:t xml:space="preserve"> </w:t>
            </w:r>
            <w:r>
              <w:rPr>
                <w:sz w:val="16"/>
                <w:szCs w:val="16"/>
              </w:rPr>
              <w:t>的决定》</w:t>
            </w:r>
          </w:p>
          <w:p>
            <w:pPr>
              <w:pStyle w:val="TableText"/>
              <w:spacing w:before="30" w:line="220" w:lineRule="auto"/>
              <w:rPr>
                <w:sz w:val="16"/>
                <w:szCs w:val="16"/>
              </w:rPr>
            </w:pPr>
            <w:r>
              <w:rPr>
                <w:sz w:val="16"/>
                <w:szCs w:val="16"/>
                <w:spacing w:val="-3"/>
              </w:rPr>
              <w:t>《国家职业资研目录(20)1苹版</w:t>
            </w:r>
          </w:p>
        </w:tc>
      </w:tr>
      <w:tr>
        <w:trPr>
          <w:trHeight w:val="479" w:hRule="atLeast"/>
        </w:trPr>
        <w:tc>
          <w:tcPr>
            <w:tcW w:w="594" w:type="dxa"/>
            <w:vAlign w:val="top"/>
          </w:tcPr>
          <w:p>
            <w:pPr>
              <w:pStyle w:val="TableText"/>
              <w:ind w:left="164"/>
              <w:spacing w:before="199" w:line="183" w:lineRule="auto"/>
              <w:rPr>
                <w:sz w:val="16"/>
                <w:szCs w:val="16"/>
              </w:rPr>
            </w:pPr>
            <w:r>
              <w:rPr>
                <w:sz w:val="16"/>
                <w:szCs w:val="16"/>
                <w:spacing w:val="-2"/>
              </w:rPr>
              <w:t>632</w:t>
            </w:r>
          </w:p>
        </w:tc>
        <w:tc>
          <w:tcPr>
            <w:tcW w:w="1279" w:type="dxa"/>
            <w:vAlign w:val="top"/>
          </w:tcPr>
          <w:p>
            <w:pPr>
              <w:pStyle w:val="TableText"/>
              <w:ind w:left="231"/>
              <w:spacing w:before="159" w:line="220" w:lineRule="auto"/>
              <w:rPr>
                <w:sz w:val="16"/>
                <w:szCs w:val="16"/>
              </w:rPr>
            </w:pPr>
            <w:r>
              <w:rPr>
                <w:sz w:val="16"/>
                <w:szCs w:val="16"/>
                <w:spacing w:val="3"/>
              </w:rPr>
              <w:t>新闻出般用</w:t>
            </w:r>
          </w:p>
        </w:tc>
        <w:tc>
          <w:tcPr>
            <w:tcW w:w="1648" w:type="dxa"/>
            <w:vAlign w:val="top"/>
          </w:tcPr>
          <w:p>
            <w:pPr>
              <w:pStyle w:val="TableText"/>
              <w:ind w:left="42"/>
              <w:spacing w:before="159" w:line="220" w:lineRule="auto"/>
              <w:rPr>
                <w:sz w:val="16"/>
                <w:szCs w:val="16"/>
              </w:rPr>
            </w:pPr>
            <w:r>
              <w:rPr>
                <w:sz w:val="16"/>
                <w:szCs w:val="16"/>
                <w:spacing w:val="-1"/>
              </w:rPr>
              <w:t>新闻记者证酸发</w:t>
            </w:r>
          </w:p>
        </w:tc>
        <w:tc>
          <w:tcPr>
            <w:tcW w:w="2367" w:type="dxa"/>
            <w:vAlign w:val="top"/>
          </w:tcPr>
          <w:p>
            <w:pPr>
              <w:pStyle w:val="TableText"/>
              <w:ind w:left="54"/>
              <w:spacing w:before="158" w:line="219" w:lineRule="auto"/>
              <w:rPr>
                <w:sz w:val="16"/>
                <w:szCs w:val="16"/>
              </w:rPr>
            </w:pPr>
            <w:r>
              <w:rPr>
                <w:sz w:val="16"/>
                <w:szCs w:val="16"/>
                <w:spacing w:val="-2"/>
              </w:rPr>
              <w:t>新闻出旅著</w:t>
            </w:r>
          </w:p>
        </w:tc>
        <w:tc>
          <w:tcPr>
            <w:tcW w:w="3701" w:type="dxa"/>
            <w:vAlign w:val="top"/>
          </w:tcPr>
          <w:p>
            <w:pPr>
              <w:pStyle w:val="TableText"/>
              <w:ind w:left="46" w:right="277"/>
              <w:spacing w:before="47" w:line="237" w:lineRule="auto"/>
              <w:rPr>
                <w:sz w:val="16"/>
                <w:szCs w:val="16"/>
              </w:rPr>
            </w:pPr>
            <w:r>
              <w:rPr>
                <w:sz w:val="16"/>
                <w:szCs w:val="16"/>
              </w:rPr>
              <w:t>国务院对确需保部的行就审看项目设定行我听可</w:t>
            </w:r>
            <w:r>
              <w:rPr>
                <w:sz w:val="16"/>
                <w:szCs w:val="16"/>
                <w:spacing w:val="5"/>
              </w:rPr>
              <w:t xml:space="preserve"> </w:t>
            </w:r>
            <w:r>
              <w:rPr>
                <w:sz w:val="16"/>
                <w:szCs w:val="16"/>
                <w:spacing w:val="3"/>
              </w:rPr>
              <w:t>的决定</w:t>
            </w:r>
          </w:p>
        </w:tc>
      </w:tr>
      <w:tr>
        <w:trPr>
          <w:trHeight w:val="1068" w:hRule="atLeast"/>
        </w:trPr>
        <w:tc>
          <w:tcPr>
            <w:tcW w:w="594" w:type="dxa"/>
            <w:vAlign w:val="top"/>
          </w:tcPr>
          <w:p>
            <w:pPr>
              <w:spacing w:line="446" w:lineRule="auto"/>
              <w:rPr>
                <w:rFonts w:ascii="Arial"/>
                <w:sz w:val="21"/>
              </w:rPr>
            </w:pPr>
            <w:r/>
          </w:p>
          <w:p>
            <w:pPr>
              <w:pStyle w:val="TableText"/>
              <w:ind w:left="164"/>
              <w:spacing w:before="52" w:line="183" w:lineRule="auto"/>
              <w:rPr>
                <w:sz w:val="16"/>
                <w:szCs w:val="16"/>
              </w:rPr>
            </w:pPr>
            <w:r>
              <w:rPr>
                <w:sz w:val="16"/>
                <w:szCs w:val="16"/>
                <w:spacing w:val="-2"/>
              </w:rPr>
              <w:t>632</w:t>
            </w:r>
          </w:p>
        </w:tc>
        <w:tc>
          <w:tcPr>
            <w:tcW w:w="1279" w:type="dxa"/>
            <w:vAlign w:val="top"/>
          </w:tcPr>
          <w:p>
            <w:pPr>
              <w:spacing w:line="405" w:lineRule="auto"/>
              <w:rPr>
                <w:rFonts w:ascii="Arial"/>
                <w:sz w:val="21"/>
              </w:rPr>
            </w:pPr>
            <w:r/>
          </w:p>
          <w:p>
            <w:pPr>
              <w:pStyle w:val="TableText"/>
              <w:ind w:left="231"/>
              <w:spacing w:before="52" w:line="219" w:lineRule="auto"/>
              <w:rPr>
                <w:sz w:val="16"/>
                <w:szCs w:val="16"/>
              </w:rPr>
            </w:pPr>
            <w:r>
              <w:rPr>
                <w:sz w:val="16"/>
                <w:szCs w:val="16"/>
                <w:spacing w:val="-1"/>
              </w:rPr>
              <w:t>所网由度着</w:t>
            </w:r>
          </w:p>
        </w:tc>
        <w:tc>
          <w:tcPr>
            <w:tcW w:w="1648" w:type="dxa"/>
            <w:vAlign w:val="top"/>
          </w:tcPr>
          <w:p>
            <w:pPr>
              <w:spacing w:line="296" w:lineRule="auto"/>
              <w:rPr>
                <w:rFonts w:ascii="Arial"/>
                <w:sz w:val="21"/>
              </w:rPr>
            </w:pPr>
            <w:r/>
          </w:p>
          <w:p>
            <w:pPr>
              <w:pStyle w:val="TableText"/>
              <w:ind w:left="52" w:right="112" w:firstLine="39"/>
              <w:spacing w:before="52" w:line="224" w:lineRule="auto"/>
              <w:rPr>
                <w:sz w:val="16"/>
                <w:szCs w:val="16"/>
              </w:rPr>
            </w:pPr>
            <w:r>
              <w:rPr>
                <w:sz w:val="16"/>
                <w:szCs w:val="16"/>
                <w:spacing w:val="-1"/>
              </w:rPr>
              <w:t>所闻单位设立能地古</w:t>
            </w:r>
            <w:r>
              <w:rPr>
                <w:sz w:val="16"/>
                <w:szCs w:val="16"/>
                <w:spacing w:val="1"/>
              </w:rPr>
              <w:t xml:space="preserve"> </w:t>
            </w:r>
            <w:r>
              <w:rPr>
                <w:sz w:val="16"/>
                <w:szCs w:val="16"/>
                <w:spacing w:val="-2"/>
              </w:rPr>
              <w:t>机构审费</w:t>
            </w:r>
          </w:p>
        </w:tc>
        <w:tc>
          <w:tcPr>
            <w:tcW w:w="2367" w:type="dxa"/>
            <w:vAlign w:val="top"/>
          </w:tcPr>
          <w:p>
            <w:pPr>
              <w:spacing w:line="405" w:lineRule="auto"/>
              <w:rPr>
                <w:rFonts w:ascii="Arial"/>
                <w:sz w:val="21"/>
              </w:rPr>
            </w:pPr>
            <w:r/>
          </w:p>
          <w:p>
            <w:pPr>
              <w:pStyle w:val="TableText"/>
              <w:ind w:left="54"/>
              <w:spacing w:before="52" w:line="219" w:lineRule="auto"/>
              <w:rPr>
                <w:sz w:val="16"/>
                <w:szCs w:val="16"/>
              </w:rPr>
            </w:pPr>
            <w:r>
              <w:rPr>
                <w:sz w:val="16"/>
                <w:szCs w:val="16"/>
                <w:spacing w:val="2"/>
              </w:rPr>
              <w:t>省袋新闻出施部门</w:t>
            </w:r>
          </w:p>
        </w:tc>
        <w:tc>
          <w:tcPr>
            <w:tcW w:w="3701" w:type="dxa"/>
            <w:vAlign w:val="top"/>
          </w:tcPr>
          <w:p>
            <w:pPr>
              <w:pStyle w:val="TableText"/>
              <w:ind w:left="46" w:right="207" w:firstLine="70"/>
              <w:spacing w:before="49" w:line="225" w:lineRule="auto"/>
              <w:rPr>
                <w:sz w:val="16"/>
                <w:szCs w:val="16"/>
              </w:rPr>
            </w:pPr>
            <w:r>
              <w:rPr>
                <w:sz w:val="16"/>
                <w:szCs w:val="16"/>
              </w:rPr>
              <w:t>国务院对确需伴留的行收审制项排设定行敢许可</w:t>
            </w:r>
            <w:r>
              <w:rPr>
                <w:sz w:val="16"/>
                <w:szCs w:val="16"/>
                <w:spacing w:val="5"/>
              </w:rPr>
              <w:t xml:space="preserve"> </w:t>
            </w:r>
            <w:r>
              <w:rPr>
                <w:sz w:val="16"/>
                <w:szCs w:val="16"/>
              </w:rPr>
              <w:t>的决定》</w:t>
            </w:r>
          </w:p>
          <w:p>
            <w:pPr>
              <w:pStyle w:val="TableText"/>
              <w:ind w:left="46" w:right="113"/>
              <w:spacing w:before="38" w:line="213" w:lineRule="auto"/>
              <w:rPr>
                <w:sz w:val="16"/>
                <w:szCs w:val="16"/>
              </w:rPr>
            </w:pPr>
            <w:r>
              <w:rPr>
                <w:sz w:val="16"/>
                <w:szCs w:val="16"/>
              </w:rPr>
              <w:t>1如务院关于修改(国务菌对西盒保靠的行战市批功</w:t>
            </w:r>
            <w:r>
              <w:rPr>
                <w:sz w:val="16"/>
                <w:szCs w:val="16"/>
                <w:spacing w:val="9"/>
              </w:rPr>
              <w:t xml:space="preserve"> </w:t>
            </w:r>
            <w:r>
              <w:rPr>
                <w:sz w:val="16"/>
                <w:szCs w:val="16"/>
                <w:spacing w:val="3"/>
              </w:rPr>
              <w:t>日议定行政许可的表定?的决定有国务期少</w:t>
            </w:r>
            <w:r>
              <w:rPr>
                <w:sz w:val="16"/>
                <w:szCs w:val="16"/>
                <w:spacing w:val="2"/>
              </w:rPr>
              <w:t>第871</w:t>
            </w:r>
            <w:r>
              <w:rPr>
                <w:sz w:val="16"/>
                <w:szCs w:val="16"/>
              </w:rPr>
              <w:t xml:space="preserve">  </w:t>
            </w:r>
            <w:r>
              <w:rPr>
                <w:sz w:val="16"/>
                <w:szCs w:val="16"/>
                <w:spacing w:val="8"/>
              </w:rPr>
              <w:t>号1</w:t>
            </w:r>
          </w:p>
        </w:tc>
      </w:tr>
      <w:tr>
        <w:trPr>
          <w:trHeight w:val="469" w:hRule="atLeast"/>
        </w:trPr>
        <w:tc>
          <w:tcPr>
            <w:tcW w:w="594" w:type="dxa"/>
            <w:vAlign w:val="top"/>
          </w:tcPr>
          <w:p>
            <w:pPr>
              <w:pStyle w:val="TableText"/>
              <w:ind w:left="164"/>
              <w:spacing w:before="202" w:line="183" w:lineRule="auto"/>
              <w:rPr>
                <w:sz w:val="16"/>
                <w:szCs w:val="16"/>
              </w:rPr>
            </w:pPr>
            <w:r>
              <w:rPr>
                <w:sz w:val="16"/>
                <w:szCs w:val="16"/>
                <w:spacing w:val="-2"/>
              </w:rPr>
              <w:t>640</w:t>
            </w:r>
          </w:p>
        </w:tc>
        <w:tc>
          <w:tcPr>
            <w:tcW w:w="1279" w:type="dxa"/>
            <w:vAlign w:val="top"/>
          </w:tcPr>
          <w:p>
            <w:pPr>
              <w:pStyle w:val="TableText"/>
              <w:ind w:left="231"/>
              <w:spacing w:before="161" w:line="219" w:lineRule="auto"/>
              <w:rPr>
                <w:sz w:val="16"/>
                <w:szCs w:val="16"/>
              </w:rPr>
            </w:pPr>
            <w:r>
              <w:rPr>
                <w:sz w:val="16"/>
                <w:szCs w:val="16"/>
                <w:spacing w:val="2"/>
              </w:rPr>
              <w:t>国家取改局</w:t>
            </w:r>
          </w:p>
        </w:tc>
        <w:tc>
          <w:tcPr>
            <w:tcW w:w="1648" w:type="dxa"/>
            <w:vAlign w:val="top"/>
          </w:tcPr>
          <w:p>
            <w:pPr>
              <w:pStyle w:val="TableText"/>
              <w:ind w:left="91" w:right="111"/>
              <w:spacing w:before="70" w:line="219" w:lineRule="auto"/>
              <w:rPr>
                <w:sz w:val="16"/>
                <w:szCs w:val="16"/>
              </w:rPr>
            </w:pPr>
            <w:r>
              <w:rPr>
                <w:sz w:val="16"/>
                <w:szCs w:val="16"/>
                <w:spacing w:val="-1"/>
              </w:rPr>
              <w:t>表件权梨体登冠组机</w:t>
            </w:r>
            <w:r>
              <w:rPr>
                <w:sz w:val="16"/>
                <w:szCs w:val="16"/>
                <w:spacing w:val="2"/>
              </w:rPr>
              <w:t xml:space="preserve"> </w:t>
            </w:r>
            <w:r>
              <w:rPr>
                <w:sz w:val="16"/>
                <w:szCs w:val="16"/>
                <w:spacing w:val="-1"/>
              </w:rPr>
              <w:t>及分交机构谈立审批</w:t>
            </w:r>
          </w:p>
        </w:tc>
        <w:tc>
          <w:tcPr>
            <w:tcW w:w="2367" w:type="dxa"/>
            <w:vAlign w:val="top"/>
          </w:tcPr>
          <w:p>
            <w:pPr>
              <w:pStyle w:val="TableText"/>
              <w:ind w:left="54"/>
              <w:spacing w:before="161" w:line="219" w:lineRule="auto"/>
              <w:rPr>
                <w:sz w:val="16"/>
                <w:szCs w:val="16"/>
              </w:rPr>
            </w:pPr>
            <w:r>
              <w:rPr>
                <w:sz w:val="16"/>
                <w:szCs w:val="16"/>
                <w:spacing w:val="1"/>
              </w:rPr>
              <w:t>国家版权葡</w:t>
            </w:r>
          </w:p>
        </w:tc>
        <w:tc>
          <w:tcPr>
            <w:tcW w:w="3701" w:type="dxa"/>
            <w:vAlign w:val="top"/>
          </w:tcPr>
          <w:p>
            <w:pPr>
              <w:pStyle w:val="TableText"/>
              <w:ind w:left="46"/>
              <w:spacing w:before="160" w:line="219" w:lineRule="auto"/>
              <w:rPr>
                <w:sz w:val="16"/>
                <w:szCs w:val="16"/>
              </w:rPr>
            </w:pPr>
            <w:r>
              <w:rPr>
                <w:sz w:val="16"/>
                <w:szCs w:val="16"/>
                <w:spacing w:val="3"/>
              </w:rPr>
              <w:t>(著作民集体管理杀州)</w:t>
            </w:r>
          </w:p>
        </w:tc>
      </w:tr>
      <w:tr>
        <w:trPr>
          <w:trHeight w:val="1079" w:hRule="atLeast"/>
        </w:trPr>
        <w:tc>
          <w:tcPr>
            <w:tcW w:w="594" w:type="dxa"/>
            <w:vAlign w:val="top"/>
          </w:tcPr>
          <w:p>
            <w:pPr>
              <w:spacing w:line="448" w:lineRule="auto"/>
              <w:rPr>
                <w:rFonts w:ascii="Arial"/>
                <w:sz w:val="21"/>
              </w:rPr>
            </w:pPr>
            <w:r/>
          </w:p>
          <w:p>
            <w:pPr>
              <w:pStyle w:val="TableText"/>
              <w:ind w:left="164"/>
              <w:spacing w:before="52" w:line="184" w:lineRule="auto"/>
              <w:rPr>
                <w:sz w:val="16"/>
                <w:szCs w:val="16"/>
              </w:rPr>
            </w:pPr>
            <w:r>
              <w:rPr>
                <w:sz w:val="16"/>
                <w:szCs w:val="16"/>
                <w:spacing w:val="-2"/>
              </w:rPr>
              <w:t>641</w:t>
            </w:r>
          </w:p>
        </w:tc>
        <w:tc>
          <w:tcPr>
            <w:tcW w:w="1279" w:type="dxa"/>
            <w:vAlign w:val="top"/>
          </w:tcPr>
          <w:p>
            <w:pPr>
              <w:spacing w:line="408" w:lineRule="auto"/>
              <w:rPr>
                <w:rFonts w:ascii="Arial"/>
                <w:sz w:val="21"/>
              </w:rPr>
            </w:pPr>
            <w:r/>
          </w:p>
          <w:p>
            <w:pPr>
              <w:pStyle w:val="TableText"/>
              <w:ind w:left="231"/>
              <w:spacing w:before="52" w:line="219" w:lineRule="auto"/>
              <w:rPr>
                <w:sz w:val="16"/>
                <w:szCs w:val="16"/>
              </w:rPr>
            </w:pPr>
            <w:r>
              <w:rPr>
                <w:sz w:val="16"/>
                <w:szCs w:val="16"/>
                <w:spacing w:val="4"/>
              </w:rPr>
              <w:t>国发版权员</w:t>
            </w:r>
          </w:p>
        </w:tc>
        <w:tc>
          <w:tcPr>
            <w:tcW w:w="1648" w:type="dxa"/>
            <w:vAlign w:val="top"/>
          </w:tcPr>
          <w:p>
            <w:pPr>
              <w:pStyle w:val="TableText"/>
              <w:ind w:left="91" w:right="89"/>
              <w:spacing w:before="42" w:line="228" w:lineRule="auto"/>
              <w:jc w:val="both"/>
              <w:rPr>
                <w:sz w:val="16"/>
                <w:szCs w:val="16"/>
              </w:rPr>
            </w:pPr>
            <w:r>
              <w:rPr>
                <w:sz w:val="16"/>
                <w:szCs w:val="16"/>
                <w:spacing w:val="1"/>
              </w:rPr>
              <w:t>著作权涉外机构，国</w:t>
            </w:r>
            <w:r>
              <w:rPr>
                <w:sz w:val="16"/>
                <w:szCs w:val="16"/>
                <w:spacing w:val="6"/>
              </w:rPr>
              <w:t xml:space="preserve"> </w:t>
            </w:r>
            <w:r>
              <w:rPr>
                <w:sz w:val="16"/>
                <w:szCs w:val="16"/>
              </w:rPr>
              <w:t>(题)外著作权认证机</w:t>
            </w:r>
            <w:r>
              <w:rPr>
                <w:sz w:val="16"/>
                <w:szCs w:val="16"/>
                <w:spacing w:val="5"/>
              </w:rPr>
              <w:t xml:space="preserve"> </w:t>
            </w:r>
            <w:r>
              <w:rPr>
                <w:sz w:val="16"/>
                <w:szCs w:val="16"/>
                <w:spacing w:val="3"/>
              </w:rPr>
              <w:t>构.外国和国家关件</w:t>
            </w:r>
            <w:r>
              <w:rPr>
                <w:sz w:val="16"/>
                <w:szCs w:val="16"/>
                <w:spacing w:val="1"/>
              </w:rPr>
              <w:t xml:space="preserve">  </w:t>
            </w:r>
            <w:r>
              <w:rPr>
                <w:sz w:val="16"/>
                <w:szCs w:val="16"/>
                <w:spacing w:val="-1"/>
              </w:rPr>
              <w:t>权培纪在华设立代表</w:t>
            </w:r>
          </w:p>
          <w:p>
            <w:pPr>
              <w:pStyle w:val="TableText"/>
              <w:ind w:left="42"/>
              <w:spacing w:before="19" w:line="219" w:lineRule="auto"/>
              <w:rPr>
                <w:sz w:val="16"/>
                <w:szCs w:val="16"/>
              </w:rPr>
            </w:pPr>
            <w:r>
              <w:rPr>
                <w:sz w:val="16"/>
                <w:szCs w:val="16"/>
                <w:spacing w:val="-2"/>
              </w:rPr>
              <w:t>机物审置</w:t>
            </w:r>
          </w:p>
        </w:tc>
        <w:tc>
          <w:tcPr>
            <w:tcW w:w="2367" w:type="dxa"/>
            <w:vAlign w:val="top"/>
          </w:tcPr>
          <w:p>
            <w:pPr>
              <w:spacing w:line="408" w:lineRule="auto"/>
              <w:rPr>
                <w:rFonts w:ascii="Arial"/>
                <w:sz w:val="21"/>
              </w:rPr>
            </w:pPr>
            <w:r/>
          </w:p>
          <w:p>
            <w:pPr>
              <w:pStyle w:val="TableText"/>
              <w:ind w:left="54"/>
              <w:spacing w:before="52" w:line="219" w:lineRule="auto"/>
              <w:rPr>
                <w:sz w:val="16"/>
                <w:szCs w:val="16"/>
              </w:rPr>
            </w:pPr>
            <w:r>
              <w:rPr>
                <w:sz w:val="16"/>
                <w:szCs w:val="16"/>
                <w:spacing w:val="2"/>
              </w:rPr>
              <w:t>国家版权局</w:t>
            </w:r>
          </w:p>
        </w:tc>
        <w:tc>
          <w:tcPr>
            <w:tcW w:w="3701" w:type="dxa"/>
            <w:vAlign w:val="top"/>
          </w:tcPr>
          <w:p>
            <w:pPr>
              <w:spacing w:line="281" w:lineRule="auto"/>
              <w:rPr>
                <w:rFonts w:ascii="Arial"/>
                <w:sz w:val="21"/>
              </w:rPr>
            </w:pPr>
            <w:r/>
          </w:p>
          <w:p>
            <w:pPr>
              <w:pStyle w:val="TableText"/>
              <w:ind w:left="46" w:right="167" w:firstLine="30"/>
              <w:spacing w:before="52" w:line="241" w:lineRule="auto"/>
              <w:rPr>
                <w:sz w:val="16"/>
                <w:szCs w:val="16"/>
              </w:rPr>
            </w:pPr>
            <w:r>
              <w:rPr>
                <w:sz w:val="16"/>
                <w:szCs w:val="16"/>
              </w:rPr>
              <w:t>|国各院对场意保留的行故审批项目设定行敬作可</w:t>
            </w:r>
            <w:r>
              <w:rPr>
                <w:sz w:val="16"/>
                <w:szCs w:val="16"/>
                <w:spacing w:val="5"/>
              </w:rPr>
              <w:t xml:space="preserve"> </w:t>
            </w:r>
            <w:r>
              <w:rPr>
                <w:sz w:val="16"/>
                <w:szCs w:val="16"/>
                <w:spacing w:val="4"/>
              </w:rPr>
              <w:t>的决定1</w:t>
            </w:r>
          </w:p>
        </w:tc>
      </w:tr>
      <w:tr>
        <w:trPr>
          <w:trHeight w:val="469" w:hRule="atLeast"/>
        </w:trPr>
        <w:tc>
          <w:tcPr>
            <w:tcW w:w="594" w:type="dxa"/>
            <w:vAlign w:val="top"/>
          </w:tcPr>
          <w:p>
            <w:pPr>
              <w:pStyle w:val="TableText"/>
              <w:ind w:left="164"/>
              <w:spacing w:before="204" w:line="183" w:lineRule="auto"/>
              <w:rPr>
                <w:sz w:val="16"/>
                <w:szCs w:val="16"/>
              </w:rPr>
            </w:pPr>
            <w:r>
              <w:rPr>
                <w:sz w:val="16"/>
                <w:szCs w:val="16"/>
                <w:spacing w:val="-2"/>
              </w:rPr>
              <w:t>642</w:t>
            </w:r>
          </w:p>
        </w:tc>
        <w:tc>
          <w:tcPr>
            <w:tcW w:w="1279" w:type="dxa"/>
            <w:vAlign w:val="top"/>
          </w:tcPr>
          <w:p>
            <w:pPr>
              <w:pStyle w:val="TableText"/>
              <w:ind w:left="231"/>
              <w:spacing w:before="163" w:line="219" w:lineRule="auto"/>
              <w:rPr>
                <w:sz w:val="16"/>
                <w:szCs w:val="16"/>
              </w:rPr>
            </w:pPr>
            <w:r>
              <w:rPr>
                <w:sz w:val="16"/>
                <w:szCs w:val="16"/>
                <w:spacing w:val="2"/>
              </w:rPr>
              <w:t>国家宗教局</w:t>
            </w:r>
          </w:p>
        </w:tc>
        <w:tc>
          <w:tcPr>
            <w:tcW w:w="1648" w:type="dxa"/>
            <w:vAlign w:val="top"/>
          </w:tcPr>
          <w:p>
            <w:pPr>
              <w:pStyle w:val="TableText"/>
              <w:ind w:left="11" w:firstLine="39"/>
              <w:spacing w:before="63" w:line="226" w:lineRule="auto"/>
              <w:rPr>
                <w:sz w:val="16"/>
                <w:szCs w:val="16"/>
              </w:rPr>
            </w:pPr>
            <w:r>
              <w:rPr>
                <w:sz w:val="16"/>
                <w:szCs w:val="16"/>
                <w:spacing w:val="-2"/>
              </w:rPr>
              <w:t>余教院权设立、变更，</w:t>
            </w:r>
            <w:r>
              <w:rPr>
                <w:sz w:val="16"/>
                <w:szCs w:val="16"/>
                <w:spacing w:val="5"/>
              </w:rPr>
              <w:t xml:space="preserve"> </w:t>
            </w:r>
            <w:r>
              <w:rPr>
                <w:sz w:val="16"/>
                <w:szCs w:val="16"/>
                <w:spacing w:val="-2"/>
              </w:rPr>
              <w:t>合非，分设，整止许可</w:t>
            </w:r>
          </w:p>
        </w:tc>
        <w:tc>
          <w:tcPr>
            <w:tcW w:w="2367" w:type="dxa"/>
            <w:vAlign w:val="top"/>
          </w:tcPr>
          <w:p>
            <w:pPr>
              <w:pStyle w:val="TableText"/>
              <w:ind w:left="54" w:right="114" w:firstLine="19"/>
              <w:spacing w:before="52" w:line="232" w:lineRule="auto"/>
              <w:rPr>
                <w:sz w:val="16"/>
                <w:szCs w:val="16"/>
              </w:rPr>
            </w:pPr>
            <w:r>
              <w:rPr>
                <w:sz w:val="16"/>
                <w:szCs w:val="16"/>
              </w:rPr>
              <w:t>国家宗教局(市分由省级宗教部</w:t>
            </w:r>
            <w:r>
              <w:rPr>
                <w:sz w:val="16"/>
                <w:szCs w:val="16"/>
                <w:spacing w:val="7"/>
              </w:rPr>
              <w:t xml:space="preserve"> </w:t>
            </w:r>
            <w:r>
              <w:rPr>
                <w:sz w:val="16"/>
                <w:szCs w:val="16"/>
                <w:spacing w:val="4"/>
              </w:rPr>
              <w:t>门初中1</w:t>
            </w:r>
          </w:p>
        </w:tc>
        <w:tc>
          <w:tcPr>
            <w:tcW w:w="3701" w:type="dxa"/>
            <w:vAlign w:val="top"/>
          </w:tcPr>
          <w:p>
            <w:pPr>
              <w:pStyle w:val="TableText"/>
              <w:ind w:left="46"/>
              <w:spacing w:before="163" w:line="219" w:lineRule="auto"/>
              <w:rPr>
                <w:sz w:val="16"/>
                <w:szCs w:val="16"/>
              </w:rPr>
            </w:pPr>
            <w:r>
              <w:rPr>
                <w:sz w:val="16"/>
                <w:szCs w:val="16"/>
              </w:rPr>
              <w:t>1宗数事务条例》</w:t>
            </w:r>
          </w:p>
        </w:tc>
      </w:tr>
      <w:tr>
        <w:trPr>
          <w:trHeight w:val="469" w:hRule="atLeast"/>
        </w:trPr>
        <w:tc>
          <w:tcPr>
            <w:tcW w:w="594" w:type="dxa"/>
            <w:vAlign w:val="top"/>
          </w:tcPr>
          <w:p>
            <w:pPr>
              <w:pStyle w:val="TableText"/>
              <w:ind w:left="104"/>
              <w:spacing w:before="189" w:line="183" w:lineRule="auto"/>
              <w:rPr>
                <w:sz w:val="24"/>
                <w:szCs w:val="24"/>
              </w:rPr>
            </w:pPr>
            <w:r>
              <w:rPr>
                <w:sz w:val="24"/>
                <w:szCs w:val="24"/>
                <w:spacing w:val="-3"/>
              </w:rPr>
              <w:t>645</w:t>
            </w:r>
          </w:p>
        </w:tc>
        <w:tc>
          <w:tcPr>
            <w:tcW w:w="1279" w:type="dxa"/>
            <w:vAlign w:val="top"/>
          </w:tcPr>
          <w:p>
            <w:pPr>
              <w:pStyle w:val="TableText"/>
              <w:ind w:left="231"/>
              <w:spacing w:before="165" w:line="220" w:lineRule="auto"/>
              <w:rPr>
                <w:sz w:val="16"/>
                <w:szCs w:val="16"/>
              </w:rPr>
            </w:pPr>
            <w:r>
              <w:rPr>
                <w:sz w:val="16"/>
                <w:szCs w:val="16"/>
                <w:spacing w:val="3"/>
              </w:rPr>
              <w:t>国家守敬马</w:t>
            </w:r>
          </w:p>
        </w:tc>
        <w:tc>
          <w:tcPr>
            <w:tcW w:w="1648" w:type="dxa"/>
            <w:vAlign w:val="top"/>
          </w:tcPr>
          <w:p>
            <w:pPr>
              <w:pStyle w:val="TableText"/>
              <w:ind w:left="72" w:right="113" w:firstLine="19"/>
              <w:spacing w:before="75" w:line="208" w:lineRule="auto"/>
              <w:rPr>
                <w:sz w:val="16"/>
                <w:szCs w:val="16"/>
              </w:rPr>
            </w:pPr>
            <w:r>
              <w:rPr>
                <w:sz w:val="16"/>
                <w:szCs w:val="16"/>
                <w:spacing w:val="-1"/>
              </w:rPr>
              <w:t>家教民校聘用外箱专</w:t>
            </w:r>
            <w:r>
              <w:rPr>
                <w:sz w:val="16"/>
                <w:szCs w:val="16"/>
              </w:rPr>
              <w:t xml:space="preserve"> </w:t>
            </w:r>
            <w:r>
              <w:rPr>
                <w:sz w:val="16"/>
                <w:szCs w:val="16"/>
                <w:spacing w:val="-2"/>
              </w:rPr>
              <w:t>生人员诈可</w:t>
            </w:r>
          </w:p>
        </w:tc>
        <w:tc>
          <w:tcPr>
            <w:tcW w:w="2367" w:type="dxa"/>
            <w:vAlign w:val="top"/>
          </w:tcPr>
          <w:p>
            <w:pPr>
              <w:pStyle w:val="TableText"/>
              <w:ind w:left="54"/>
              <w:spacing w:before="164" w:line="219" w:lineRule="auto"/>
              <w:rPr>
                <w:sz w:val="16"/>
                <w:szCs w:val="16"/>
              </w:rPr>
            </w:pPr>
            <w:r>
              <w:rPr>
                <w:sz w:val="16"/>
                <w:szCs w:val="16"/>
                <w:spacing w:val="2"/>
              </w:rPr>
              <w:t>国家常教局</w:t>
            </w:r>
          </w:p>
        </w:tc>
        <w:tc>
          <w:tcPr>
            <w:tcW w:w="3701" w:type="dxa"/>
            <w:vAlign w:val="top"/>
          </w:tcPr>
          <w:p>
            <w:pPr>
              <w:pStyle w:val="TableText"/>
              <w:ind w:left="46"/>
              <w:spacing w:before="164" w:line="219" w:lineRule="auto"/>
              <w:rPr>
                <w:sz w:val="16"/>
                <w:szCs w:val="16"/>
              </w:rPr>
            </w:pPr>
            <w:r>
              <w:rPr>
                <w:sz w:val="16"/>
                <w:szCs w:val="16"/>
              </w:rPr>
              <w:t>1罪程事务条的》</w:t>
            </w:r>
          </w:p>
        </w:tc>
      </w:tr>
      <w:tr>
        <w:trPr>
          <w:trHeight w:val="714" w:hRule="atLeast"/>
        </w:trPr>
        <w:tc>
          <w:tcPr>
            <w:tcW w:w="594" w:type="dxa"/>
            <w:vAlign w:val="top"/>
          </w:tcPr>
          <w:p>
            <w:pPr>
              <w:spacing w:line="273" w:lineRule="auto"/>
              <w:rPr>
                <w:rFonts w:ascii="Arial"/>
                <w:sz w:val="21"/>
              </w:rPr>
            </w:pPr>
            <w:r/>
          </w:p>
          <w:p>
            <w:pPr>
              <w:pStyle w:val="TableText"/>
              <w:ind w:left="164"/>
              <w:spacing w:before="52" w:line="183" w:lineRule="auto"/>
              <w:rPr>
                <w:sz w:val="16"/>
                <w:szCs w:val="16"/>
              </w:rPr>
            </w:pPr>
            <w:r>
              <w:rPr>
                <w:sz w:val="16"/>
                <w:szCs w:val="16"/>
                <w:spacing w:val="-2"/>
              </w:rPr>
              <w:t>644</w:t>
            </w:r>
          </w:p>
        </w:tc>
        <w:tc>
          <w:tcPr>
            <w:tcW w:w="1279" w:type="dxa"/>
            <w:vAlign w:val="top"/>
          </w:tcPr>
          <w:p>
            <w:pPr>
              <w:pStyle w:val="TableText"/>
              <w:ind w:left="231"/>
              <w:spacing w:before="286" w:line="220" w:lineRule="auto"/>
              <w:rPr>
                <w:sz w:val="16"/>
                <w:szCs w:val="16"/>
              </w:rPr>
            </w:pPr>
            <w:r>
              <w:rPr>
                <w:sz w:val="16"/>
                <w:szCs w:val="16"/>
                <w:spacing w:val="2"/>
              </w:rPr>
              <w:t>属家家溉局</w:t>
            </w:r>
          </w:p>
        </w:tc>
        <w:tc>
          <w:tcPr>
            <w:tcW w:w="1648" w:type="dxa"/>
            <w:vAlign w:val="top"/>
          </w:tcPr>
          <w:p>
            <w:pPr>
              <w:pStyle w:val="TableText"/>
              <w:ind w:left="62" w:right="112" w:firstLine="29"/>
              <w:spacing w:before="185" w:line="227" w:lineRule="auto"/>
              <w:rPr>
                <w:sz w:val="16"/>
                <w:szCs w:val="16"/>
              </w:rPr>
            </w:pPr>
            <w:r>
              <w:rPr>
                <w:sz w:val="16"/>
                <w:szCs w:val="16"/>
                <w:spacing w:val="-1"/>
              </w:rPr>
              <w:t>米教教育研调活动件</w:t>
            </w:r>
            <w:r>
              <w:rPr>
                <w:sz w:val="16"/>
                <w:szCs w:val="16"/>
                <w:spacing w:val="1"/>
              </w:rPr>
              <w:t xml:space="preserve"> </w:t>
            </w:r>
            <w:r>
              <w:rPr>
                <w:sz w:val="16"/>
                <w:szCs w:val="16"/>
              </w:rPr>
              <w:t>司</w:t>
            </w:r>
          </w:p>
        </w:tc>
        <w:tc>
          <w:tcPr>
            <w:tcW w:w="2367" w:type="dxa"/>
            <w:vAlign w:val="top"/>
          </w:tcPr>
          <w:p>
            <w:pPr>
              <w:pStyle w:val="TableText"/>
              <w:ind w:left="54"/>
              <w:spacing w:before="285" w:line="219" w:lineRule="auto"/>
              <w:rPr>
                <w:sz w:val="16"/>
                <w:szCs w:val="16"/>
              </w:rPr>
            </w:pPr>
            <w:r>
              <w:rPr>
                <w:sz w:val="16"/>
                <w:szCs w:val="16"/>
                <w:spacing w:val="1"/>
              </w:rPr>
              <w:t>设区的市破帝要船门</w:t>
            </w:r>
          </w:p>
        </w:tc>
        <w:tc>
          <w:tcPr>
            <w:tcW w:w="3701" w:type="dxa"/>
            <w:vAlign w:val="top"/>
          </w:tcPr>
          <w:p>
            <w:pPr>
              <w:pStyle w:val="TableText"/>
              <w:ind w:left="46"/>
              <w:spacing w:before="74" w:line="219" w:lineRule="auto"/>
              <w:rPr>
                <w:sz w:val="16"/>
                <w:szCs w:val="16"/>
              </w:rPr>
            </w:pPr>
            <w:r>
              <w:rPr>
                <w:sz w:val="16"/>
                <w:szCs w:val="16"/>
                <w:spacing w:val="-2"/>
              </w:rPr>
              <w:t>采教事务条例》</w:t>
            </w:r>
          </w:p>
          <w:p>
            <w:pPr>
              <w:pStyle w:val="TableText"/>
              <w:ind w:left="46" w:right="438" w:firstLine="10"/>
              <w:spacing w:before="19" w:line="236" w:lineRule="auto"/>
              <w:rPr>
                <w:sz w:val="16"/>
                <w:szCs w:val="16"/>
              </w:rPr>
            </w:pPr>
            <w:r>
              <w:rPr>
                <w:sz w:val="16"/>
                <w:szCs w:val="16"/>
                <w:spacing w:val="-1"/>
              </w:rPr>
              <w:t>T宗教事务帛分行政许可理目实感办总(国乐发</w:t>
            </w:r>
            <w:r>
              <w:rPr>
                <w:sz w:val="16"/>
                <w:szCs w:val="16"/>
                <w:spacing w:val="15"/>
              </w:rPr>
              <w:t xml:space="preserve"> </w:t>
            </w:r>
            <w:r>
              <w:rPr>
                <w:sz w:val="16"/>
                <w:szCs w:val="16"/>
                <w:spacing w:val="3"/>
              </w:rPr>
              <w:t>(2616J11号)</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90688"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298" name="TextBox 298"/>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0" style="position:absolute;margin-left:37.0402pt;margin-top:48.636pt;mso-position-vertical-relative:page;mso-position-horizontal-relative:page;width:13.6pt;height:12.35pt;z-index:2518906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230</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48"/>
        <w:gridCol w:w="2367"/>
        <w:gridCol w:w="3711"/>
      </w:tblGrid>
      <w:tr>
        <w:trPr>
          <w:trHeight w:val="425" w:hRule="atLeast"/>
        </w:trPr>
        <w:tc>
          <w:tcPr>
            <w:tcW w:w="574" w:type="dxa"/>
            <w:vAlign w:val="top"/>
          </w:tcPr>
          <w:p>
            <w:pPr>
              <w:pStyle w:val="TableText"/>
              <w:ind w:left="114"/>
              <w:spacing w:before="132" w:line="220" w:lineRule="auto"/>
              <w:rPr>
                <w:sz w:val="16"/>
                <w:szCs w:val="16"/>
              </w:rPr>
            </w:pPr>
            <w:r>
              <w:rPr>
                <w:sz w:val="16"/>
                <w:szCs w:val="16"/>
                <w:spacing w:val="-2"/>
              </w:rPr>
              <w:t>岸母</w:t>
            </w:r>
          </w:p>
        </w:tc>
        <w:tc>
          <w:tcPr>
            <w:tcW w:w="1299" w:type="dxa"/>
            <w:vAlign w:val="top"/>
          </w:tcPr>
          <w:p>
            <w:pPr>
              <w:pStyle w:val="TableText"/>
              <w:ind w:left="160"/>
              <w:spacing w:before="131" w:line="219" w:lineRule="auto"/>
              <w:rPr>
                <w:sz w:val="16"/>
                <w:szCs w:val="16"/>
              </w:rPr>
            </w:pPr>
            <w:r>
              <w:rPr>
                <w:sz w:val="16"/>
                <w:szCs w:val="16"/>
                <w:spacing w:val="3"/>
              </w:rPr>
              <w:t>中央主鲁部门</w:t>
            </w:r>
          </w:p>
        </w:tc>
        <w:tc>
          <w:tcPr>
            <w:tcW w:w="1648" w:type="dxa"/>
            <w:vAlign w:val="top"/>
          </w:tcPr>
          <w:p>
            <w:pPr>
              <w:pStyle w:val="TableText"/>
              <w:ind w:left="451"/>
              <w:spacing w:before="132" w:line="220" w:lineRule="auto"/>
              <w:rPr>
                <w:sz w:val="16"/>
                <w:szCs w:val="16"/>
              </w:rPr>
            </w:pPr>
            <w:r>
              <w:rPr>
                <w:sz w:val="16"/>
                <w:szCs w:val="16"/>
                <w:spacing w:val="-2"/>
              </w:rPr>
              <w:t>事项名称</w:t>
            </w:r>
          </w:p>
        </w:tc>
        <w:tc>
          <w:tcPr>
            <w:tcW w:w="2367" w:type="dxa"/>
            <w:vAlign w:val="top"/>
          </w:tcPr>
          <w:p>
            <w:pPr>
              <w:pStyle w:val="TableText"/>
              <w:ind w:left="814"/>
              <w:spacing w:before="130" w:line="219" w:lineRule="auto"/>
              <w:rPr>
                <w:sz w:val="16"/>
                <w:szCs w:val="16"/>
              </w:rPr>
            </w:pPr>
            <w:r>
              <w:rPr>
                <w:sz w:val="16"/>
                <w:szCs w:val="16"/>
                <w:spacing w:val="-2"/>
              </w:rPr>
              <w:t>实幽机关</w:t>
            </w:r>
          </w:p>
        </w:tc>
        <w:tc>
          <w:tcPr>
            <w:tcW w:w="3711" w:type="dxa"/>
            <w:vAlign w:val="top"/>
          </w:tcPr>
          <w:p>
            <w:pPr>
              <w:pStyle w:val="TableText"/>
              <w:ind w:left="1269"/>
              <w:spacing w:before="128" w:line="219" w:lineRule="auto"/>
              <w:rPr>
                <w:sz w:val="16"/>
                <w:szCs w:val="16"/>
              </w:rPr>
            </w:pPr>
            <w:r>
              <w:rPr>
                <w:sz w:val="16"/>
                <w:szCs w:val="16"/>
                <w:b/>
                <w:bCs/>
                <w:spacing w:val="-3"/>
              </w:rPr>
              <w:t>设定和实地依据</w:t>
            </w:r>
          </w:p>
        </w:tc>
      </w:tr>
      <w:tr>
        <w:trPr>
          <w:trHeight w:val="899" w:hRule="atLeast"/>
        </w:trPr>
        <w:tc>
          <w:tcPr>
            <w:tcW w:w="574" w:type="dxa"/>
            <w:vAlign w:val="top"/>
          </w:tcPr>
          <w:p>
            <w:pPr>
              <w:spacing w:line="353" w:lineRule="auto"/>
              <w:rPr>
                <w:rFonts w:ascii="Arial"/>
                <w:sz w:val="21"/>
              </w:rPr>
            </w:pPr>
            <w:r/>
          </w:p>
          <w:p>
            <w:pPr>
              <w:pStyle w:val="TableText"/>
              <w:ind w:left="154"/>
              <w:spacing w:before="52" w:line="183" w:lineRule="auto"/>
              <w:rPr>
                <w:sz w:val="16"/>
                <w:szCs w:val="16"/>
              </w:rPr>
            </w:pPr>
            <w:r>
              <w:rPr>
                <w:sz w:val="16"/>
                <w:szCs w:val="16"/>
                <w:spacing w:val="-3"/>
              </w:rPr>
              <w:t>54%</w:t>
            </w:r>
          </w:p>
        </w:tc>
        <w:tc>
          <w:tcPr>
            <w:tcW w:w="1299" w:type="dxa"/>
            <w:vAlign w:val="top"/>
          </w:tcPr>
          <w:p>
            <w:pPr>
              <w:spacing w:line="312" w:lineRule="auto"/>
              <w:rPr>
                <w:rFonts w:ascii="Arial"/>
                <w:sz w:val="21"/>
              </w:rPr>
            </w:pPr>
            <w:r/>
          </w:p>
          <w:p>
            <w:pPr>
              <w:pStyle w:val="TableText"/>
              <w:ind w:left="241"/>
              <w:spacing w:before="52" w:line="219" w:lineRule="auto"/>
              <w:rPr>
                <w:sz w:val="16"/>
                <w:szCs w:val="16"/>
              </w:rPr>
            </w:pPr>
            <w:r>
              <w:rPr>
                <w:sz w:val="16"/>
                <w:szCs w:val="16"/>
                <w:spacing w:val="1"/>
              </w:rPr>
              <w:t>园家宗教题</w:t>
            </w:r>
          </w:p>
        </w:tc>
        <w:tc>
          <w:tcPr>
            <w:tcW w:w="1648" w:type="dxa"/>
            <w:vAlign w:val="top"/>
          </w:tcPr>
          <w:p>
            <w:pPr>
              <w:pStyle w:val="TableText"/>
              <w:ind w:left="32" w:right="172"/>
              <w:spacing w:before="286" w:line="214" w:lineRule="auto"/>
              <w:rPr>
                <w:sz w:val="16"/>
                <w:szCs w:val="16"/>
              </w:rPr>
            </w:pPr>
            <w:r>
              <w:rPr>
                <w:sz w:val="16"/>
                <w:szCs w:val="16"/>
                <w:spacing w:val="-1"/>
              </w:rPr>
              <w:t>农我活动墙所奉备设</w:t>
            </w:r>
            <w:r>
              <w:rPr>
                <w:sz w:val="16"/>
                <w:szCs w:val="16"/>
                <w:spacing w:val="1"/>
              </w:rPr>
              <w:t xml:space="preserve"> </w:t>
            </w:r>
            <w:r>
              <w:rPr>
                <w:sz w:val="16"/>
                <w:szCs w:val="16"/>
                <w:spacing w:val="-2"/>
              </w:rPr>
              <w:t>立审意</w:t>
            </w:r>
          </w:p>
        </w:tc>
        <w:tc>
          <w:tcPr>
            <w:tcW w:w="2367" w:type="dxa"/>
            <w:vAlign w:val="top"/>
          </w:tcPr>
          <w:p>
            <w:pPr>
              <w:pStyle w:val="TableText"/>
              <w:ind w:left="54"/>
              <w:spacing w:before="76" w:line="219" w:lineRule="auto"/>
              <w:rPr>
                <w:sz w:val="16"/>
                <w:szCs w:val="16"/>
              </w:rPr>
            </w:pPr>
            <w:r>
              <w:rPr>
                <w:sz w:val="16"/>
                <w:szCs w:val="16"/>
                <w:spacing w:val="-1"/>
              </w:rPr>
              <w:t>者级主教施门(点设区单市级</w:t>
            </w:r>
          </w:p>
          <w:p>
            <w:pPr>
              <w:pStyle w:val="TableText"/>
              <w:ind w:left="54" w:right="151" w:firstLine="19"/>
              <w:spacing w:before="26" w:line="225" w:lineRule="auto"/>
              <w:rPr>
                <w:sz w:val="16"/>
                <w:szCs w:val="16"/>
              </w:rPr>
            </w:pPr>
            <w:r>
              <w:rPr>
                <w:sz w:val="16"/>
                <w:szCs w:val="16"/>
                <w:spacing w:val="-1"/>
              </w:rPr>
              <w:t>县级浆教部门构市),设区的心 </w:t>
            </w:r>
            <w:r>
              <w:rPr>
                <w:sz w:val="16"/>
                <w:szCs w:val="16"/>
                <w:spacing w:val="-1"/>
              </w:rPr>
              <w:t>级宋教部门(由县晚宗教部门初</w:t>
            </w:r>
            <w:r>
              <w:rPr>
                <w:sz w:val="16"/>
                <w:szCs w:val="16"/>
                <w:spacing w:val="4"/>
              </w:rPr>
              <w:t xml:space="preserve"> </w:t>
            </w:r>
            <w:r>
              <w:rPr>
                <w:sz w:val="16"/>
                <w:szCs w:val="16"/>
                <w:spacing w:val="-8"/>
              </w:rPr>
              <w:t>审</w:t>
            </w:r>
            <w:r>
              <w:rPr>
                <w:sz w:val="16"/>
                <w:szCs w:val="16"/>
                <w:spacing w:val="-24"/>
              </w:rPr>
              <w:t xml:space="preserve"> </w:t>
            </w:r>
            <w:r>
              <w:rPr>
                <w:sz w:val="16"/>
                <w:szCs w:val="16"/>
                <w:spacing w:val="-8"/>
              </w:rPr>
              <w:t>)</w:t>
            </w:r>
          </w:p>
        </w:tc>
        <w:tc>
          <w:tcPr>
            <w:tcW w:w="3711" w:type="dxa"/>
            <w:vAlign w:val="top"/>
          </w:tcPr>
          <w:p>
            <w:pPr>
              <w:spacing w:line="311" w:lineRule="auto"/>
              <w:rPr>
                <w:rFonts w:ascii="Arial"/>
                <w:sz w:val="21"/>
              </w:rPr>
            </w:pPr>
            <w:r/>
          </w:p>
          <w:p>
            <w:pPr>
              <w:pStyle w:val="TableText"/>
              <w:spacing w:before="52" w:line="219" w:lineRule="auto"/>
              <w:rPr>
                <w:sz w:val="16"/>
                <w:szCs w:val="16"/>
              </w:rPr>
            </w:pPr>
            <w:r>
              <w:rPr>
                <w:sz w:val="16"/>
                <w:szCs w:val="16"/>
                <w:spacing w:val="-6"/>
              </w:rPr>
              <w:t>《宗数事务条偶3</w:t>
            </w:r>
          </w:p>
        </w:tc>
      </w:tr>
      <w:tr>
        <w:trPr>
          <w:trHeight w:val="479" w:hRule="atLeast"/>
        </w:trPr>
        <w:tc>
          <w:tcPr>
            <w:tcW w:w="574" w:type="dxa"/>
            <w:vAlign w:val="top"/>
          </w:tcPr>
          <w:p>
            <w:pPr>
              <w:pStyle w:val="TableText"/>
              <w:ind w:left="154"/>
              <w:spacing w:before="198" w:line="183" w:lineRule="auto"/>
              <w:rPr>
                <w:sz w:val="16"/>
                <w:szCs w:val="16"/>
              </w:rPr>
            </w:pPr>
            <w:r>
              <w:rPr>
                <w:sz w:val="16"/>
                <w:szCs w:val="16"/>
                <w:spacing w:val="-2"/>
              </w:rPr>
              <w:t>64m</w:t>
            </w:r>
          </w:p>
        </w:tc>
        <w:tc>
          <w:tcPr>
            <w:tcW w:w="1299" w:type="dxa"/>
            <w:vAlign w:val="top"/>
          </w:tcPr>
          <w:p>
            <w:pPr>
              <w:pStyle w:val="TableText"/>
              <w:ind w:left="241"/>
              <w:spacing w:before="157" w:line="219" w:lineRule="auto"/>
              <w:rPr>
                <w:sz w:val="16"/>
                <w:szCs w:val="16"/>
              </w:rPr>
            </w:pPr>
            <w:r>
              <w:rPr>
                <w:sz w:val="16"/>
                <w:szCs w:val="16"/>
                <w:spacing w:val="2"/>
              </w:rPr>
              <w:t>国家案教局</w:t>
            </w:r>
          </w:p>
        </w:tc>
        <w:tc>
          <w:tcPr>
            <w:tcW w:w="1648" w:type="dxa"/>
            <w:vAlign w:val="top"/>
          </w:tcPr>
          <w:p>
            <w:pPr>
              <w:pStyle w:val="TableText"/>
              <w:ind w:left="32" w:right="145" w:firstLine="20"/>
              <w:spacing w:before="56" w:line="232" w:lineRule="auto"/>
              <w:rPr>
                <w:sz w:val="16"/>
                <w:szCs w:val="16"/>
              </w:rPr>
            </w:pPr>
            <w:r>
              <w:rPr>
                <w:sz w:val="16"/>
                <w:szCs w:val="16"/>
              </w:rPr>
              <w:t>家教活动损断设立。 </w:t>
            </w:r>
            <w:r>
              <w:rPr>
                <w:sz w:val="16"/>
                <w:szCs w:val="16"/>
                <w:spacing w:val="-2"/>
              </w:rPr>
              <w:t>史更，注销春记</w:t>
            </w:r>
          </w:p>
        </w:tc>
        <w:tc>
          <w:tcPr>
            <w:tcW w:w="2367" w:type="dxa"/>
            <w:vAlign w:val="top"/>
          </w:tcPr>
          <w:p>
            <w:pPr>
              <w:pStyle w:val="TableText"/>
              <w:ind w:left="54"/>
              <w:spacing w:before="157" w:line="219" w:lineRule="auto"/>
              <w:rPr>
                <w:sz w:val="16"/>
                <w:szCs w:val="16"/>
              </w:rPr>
            </w:pPr>
            <w:r>
              <w:rPr>
                <w:sz w:val="16"/>
                <w:szCs w:val="16"/>
                <w:spacing w:val="2"/>
              </w:rPr>
              <w:t>升级亲数施门</w:t>
            </w:r>
          </w:p>
        </w:tc>
        <w:tc>
          <w:tcPr>
            <w:tcW w:w="3711" w:type="dxa"/>
            <w:vAlign w:val="top"/>
          </w:tcPr>
          <w:p>
            <w:pPr>
              <w:pStyle w:val="TableText"/>
              <w:spacing w:before="157" w:line="219" w:lineRule="auto"/>
              <w:rPr>
                <w:sz w:val="16"/>
                <w:szCs w:val="16"/>
              </w:rPr>
            </w:pPr>
            <w:r>
              <w:rPr>
                <w:sz w:val="16"/>
                <w:szCs w:val="16"/>
                <w:spacing w:val="-4"/>
              </w:rPr>
              <w:t>《宗教事务录例)</w:t>
            </w:r>
          </w:p>
        </w:tc>
      </w:tr>
      <w:tr>
        <w:trPr>
          <w:trHeight w:val="499" w:hRule="atLeast"/>
        </w:trPr>
        <w:tc>
          <w:tcPr>
            <w:tcW w:w="574" w:type="dxa"/>
            <w:vAlign w:val="top"/>
          </w:tcPr>
          <w:p>
            <w:pPr>
              <w:pStyle w:val="TableText"/>
              <w:ind w:left="154"/>
              <w:spacing w:before="209" w:line="183" w:lineRule="auto"/>
              <w:rPr>
                <w:sz w:val="16"/>
                <w:szCs w:val="16"/>
              </w:rPr>
            </w:pPr>
            <w:r>
              <w:rPr>
                <w:sz w:val="16"/>
                <w:szCs w:val="16"/>
                <w:spacing w:val="-2"/>
              </w:rPr>
              <w:t>647</w:t>
            </w:r>
          </w:p>
        </w:tc>
        <w:tc>
          <w:tcPr>
            <w:tcW w:w="1299" w:type="dxa"/>
            <w:vAlign w:val="top"/>
          </w:tcPr>
          <w:p>
            <w:pPr>
              <w:pStyle w:val="TableText"/>
              <w:ind w:left="241"/>
              <w:spacing w:before="168" w:line="219" w:lineRule="auto"/>
              <w:rPr>
                <w:sz w:val="16"/>
                <w:szCs w:val="16"/>
              </w:rPr>
            </w:pPr>
            <w:r>
              <w:rPr>
                <w:sz w:val="16"/>
                <w:szCs w:val="16"/>
                <w:spacing w:val="2"/>
              </w:rPr>
              <w:t>国家宗教局</w:t>
            </w:r>
          </w:p>
        </w:tc>
        <w:tc>
          <w:tcPr>
            <w:tcW w:w="1648" w:type="dxa"/>
            <w:vAlign w:val="top"/>
          </w:tcPr>
          <w:p>
            <w:pPr>
              <w:pStyle w:val="TableText"/>
              <w:ind w:left="32" w:right="141" w:firstLine="30"/>
              <w:spacing w:before="67" w:line="237" w:lineRule="auto"/>
              <w:rPr>
                <w:sz w:val="16"/>
                <w:szCs w:val="16"/>
              </w:rPr>
            </w:pPr>
            <w:r>
              <w:rPr>
                <w:sz w:val="16"/>
                <w:szCs w:val="16"/>
                <w:spacing w:val="-1"/>
              </w:rPr>
              <w:t>在夺观教宽内你建大</w:t>
            </w:r>
            <w:r>
              <w:rPr>
                <w:sz w:val="16"/>
                <w:szCs w:val="16"/>
                <w:spacing w:val="2"/>
              </w:rPr>
              <w:t xml:space="preserve"> </w:t>
            </w:r>
            <w:r>
              <w:rPr>
                <w:sz w:val="16"/>
                <w:szCs w:val="16"/>
                <w:spacing w:val="-2"/>
              </w:rPr>
              <w:t>型属夭崇教量像事批</w:t>
            </w:r>
          </w:p>
        </w:tc>
        <w:tc>
          <w:tcPr>
            <w:tcW w:w="2367" w:type="dxa"/>
            <w:vAlign w:val="top"/>
          </w:tcPr>
          <w:p>
            <w:pPr>
              <w:pStyle w:val="TableText"/>
              <w:ind w:left="54" w:right="44" w:firstLine="10"/>
              <w:spacing w:before="57" w:line="237" w:lineRule="auto"/>
              <w:rPr>
                <w:sz w:val="16"/>
                <w:szCs w:val="16"/>
              </w:rPr>
            </w:pPr>
            <w:r>
              <w:rPr>
                <w:sz w:val="16"/>
                <w:szCs w:val="16"/>
              </w:rPr>
              <w:t>国家宗数局《由省级宗教布门初</w:t>
            </w:r>
            <w:r>
              <w:rPr>
                <w:sz w:val="16"/>
                <w:szCs w:val="16"/>
                <w:spacing w:val="7"/>
              </w:rPr>
              <w:t xml:space="preserve"> </w:t>
            </w:r>
            <w:r>
              <w:rPr>
                <w:sz w:val="16"/>
                <w:szCs w:val="16"/>
                <w:spacing w:val="-6"/>
              </w:rPr>
              <w:t>市</w:t>
            </w:r>
            <w:r>
              <w:rPr>
                <w:sz w:val="16"/>
                <w:szCs w:val="16"/>
                <w:spacing w:val="-28"/>
              </w:rPr>
              <w:t xml:space="preserve"> </w:t>
            </w:r>
            <w:r>
              <w:rPr>
                <w:sz w:val="16"/>
                <w:szCs w:val="16"/>
                <w:spacing w:val="-6"/>
              </w:rPr>
              <w:t>)</w:t>
            </w:r>
          </w:p>
        </w:tc>
        <w:tc>
          <w:tcPr>
            <w:tcW w:w="3711" w:type="dxa"/>
            <w:vAlign w:val="top"/>
          </w:tcPr>
          <w:p>
            <w:pPr>
              <w:pStyle w:val="TableText"/>
              <w:ind w:left="46"/>
              <w:spacing w:before="168" w:line="219" w:lineRule="auto"/>
              <w:rPr>
                <w:sz w:val="16"/>
                <w:szCs w:val="16"/>
              </w:rPr>
            </w:pPr>
            <w:r>
              <w:rPr>
                <w:sz w:val="16"/>
                <w:szCs w:val="16"/>
                <w:spacing w:val="-1"/>
              </w:rPr>
              <w:t>宗教事务条时3</w:t>
            </w:r>
          </w:p>
        </w:tc>
      </w:tr>
      <w:tr>
        <w:trPr>
          <w:trHeight w:val="889" w:hRule="atLeast"/>
        </w:trPr>
        <w:tc>
          <w:tcPr>
            <w:tcW w:w="574" w:type="dxa"/>
            <w:vAlign w:val="top"/>
          </w:tcPr>
          <w:p>
            <w:pPr>
              <w:spacing w:line="356" w:lineRule="auto"/>
              <w:rPr>
                <w:rFonts w:ascii="Arial"/>
                <w:sz w:val="21"/>
              </w:rPr>
            </w:pPr>
            <w:r/>
          </w:p>
          <w:p>
            <w:pPr>
              <w:pStyle w:val="TableText"/>
              <w:ind w:left="154"/>
              <w:spacing w:before="52" w:line="183" w:lineRule="auto"/>
              <w:rPr>
                <w:sz w:val="16"/>
                <w:szCs w:val="16"/>
              </w:rPr>
            </w:pPr>
            <w:r>
              <w:rPr>
                <w:sz w:val="16"/>
                <w:szCs w:val="16"/>
                <w:spacing w:val="-2"/>
              </w:rPr>
              <w:t>64W</w:t>
            </w:r>
          </w:p>
        </w:tc>
        <w:tc>
          <w:tcPr>
            <w:tcW w:w="1299" w:type="dxa"/>
            <w:vAlign w:val="top"/>
          </w:tcPr>
          <w:p>
            <w:pPr>
              <w:spacing w:line="315" w:lineRule="auto"/>
              <w:rPr>
                <w:rFonts w:ascii="Arial"/>
                <w:sz w:val="21"/>
              </w:rPr>
            </w:pPr>
            <w:r/>
          </w:p>
          <w:p>
            <w:pPr>
              <w:pStyle w:val="TableText"/>
              <w:ind w:left="241"/>
              <w:spacing w:before="52" w:line="219" w:lineRule="auto"/>
              <w:rPr>
                <w:sz w:val="16"/>
                <w:szCs w:val="16"/>
              </w:rPr>
            </w:pPr>
            <w:r>
              <w:rPr>
                <w:sz w:val="16"/>
                <w:szCs w:val="16"/>
                <w:spacing w:val="2"/>
              </w:rPr>
              <w:t>国家宗教局</w:t>
            </w:r>
          </w:p>
        </w:tc>
        <w:tc>
          <w:tcPr>
            <w:tcW w:w="1648" w:type="dxa"/>
            <w:vAlign w:val="top"/>
          </w:tcPr>
          <w:p>
            <w:pPr>
              <w:pStyle w:val="TableText"/>
              <w:ind w:left="42" w:right="156" w:firstLine="10"/>
              <w:spacing w:before="289" w:line="214" w:lineRule="auto"/>
              <w:rPr>
                <w:sz w:val="16"/>
                <w:szCs w:val="16"/>
              </w:rPr>
            </w:pPr>
            <w:r>
              <w:rPr>
                <w:sz w:val="16"/>
                <w:szCs w:val="16"/>
                <w:spacing w:val="-2"/>
              </w:rPr>
              <w:t>常酸括动场断内改建</w:t>
            </w:r>
            <w:r>
              <w:rPr>
                <w:sz w:val="16"/>
                <w:szCs w:val="16"/>
                <w:spacing w:val="6"/>
              </w:rPr>
              <w:t xml:space="preserve"> </w:t>
            </w:r>
            <w:r>
              <w:rPr>
                <w:sz w:val="16"/>
                <w:szCs w:val="16"/>
                <w:spacing w:val="-1"/>
              </w:rPr>
              <w:t>或者新建建缺物许可</w:t>
            </w:r>
          </w:p>
        </w:tc>
        <w:tc>
          <w:tcPr>
            <w:tcW w:w="2367" w:type="dxa"/>
            <w:vAlign w:val="top"/>
          </w:tcPr>
          <w:p>
            <w:pPr>
              <w:pStyle w:val="TableText"/>
              <w:ind w:left="54" w:right="132" w:firstLine="10"/>
              <w:spacing w:before="60" w:line="236" w:lineRule="auto"/>
              <w:jc w:val="both"/>
              <w:rPr>
                <w:sz w:val="16"/>
                <w:szCs w:val="16"/>
              </w:rPr>
            </w:pPr>
            <w:r>
              <w:rPr>
                <w:sz w:val="16"/>
                <w:szCs w:val="16"/>
                <w:spacing w:val="-1"/>
              </w:rPr>
              <w:t>省组案教部门(由设区的市级。</w:t>
            </w:r>
            <w:r>
              <w:rPr>
                <w:sz w:val="16"/>
                <w:szCs w:val="16"/>
                <w:spacing w:val="12"/>
              </w:rPr>
              <w:t xml:space="preserve"> </w:t>
            </w:r>
            <w:r>
              <w:rPr>
                <w:sz w:val="16"/>
                <w:szCs w:val="16"/>
                <w:spacing w:val="1"/>
              </w:rPr>
              <w:t>县级素教部门古审为设区的市</w:t>
            </w:r>
            <w:r>
              <w:rPr>
                <w:sz w:val="16"/>
                <w:szCs w:val="16"/>
              </w:rPr>
              <w:t xml:space="preserve">  </w:t>
            </w:r>
            <w:r>
              <w:rPr>
                <w:sz w:val="16"/>
                <w:szCs w:val="16"/>
              </w:rPr>
              <w:t>级宗就部门西县级家教部门初</w:t>
            </w:r>
            <w:r>
              <w:rPr>
                <w:sz w:val="16"/>
                <w:szCs w:val="16"/>
                <w:spacing w:val="5"/>
              </w:rPr>
              <w:t xml:space="preserve">  </w:t>
            </w:r>
            <w:r>
              <w:rPr>
                <w:sz w:val="16"/>
                <w:szCs w:val="16"/>
                <w:spacing w:val="2"/>
              </w:rPr>
              <w:t>审》;易饭意教部门</w:t>
            </w:r>
          </w:p>
        </w:tc>
        <w:tc>
          <w:tcPr>
            <w:tcW w:w="3711" w:type="dxa"/>
            <w:vAlign w:val="top"/>
          </w:tcPr>
          <w:p>
            <w:pPr>
              <w:pStyle w:val="TableText"/>
              <w:ind w:left="46"/>
              <w:spacing w:before="159" w:line="219" w:lineRule="auto"/>
              <w:rPr>
                <w:sz w:val="16"/>
                <w:szCs w:val="16"/>
              </w:rPr>
            </w:pPr>
            <w:r>
              <w:rPr>
                <w:sz w:val="16"/>
                <w:szCs w:val="16"/>
                <w:spacing w:val="-1"/>
              </w:rPr>
              <w:t>(朱教事务条创》</w:t>
            </w:r>
          </w:p>
          <w:p>
            <w:pPr>
              <w:pStyle w:val="TableText"/>
              <w:ind w:left="46" w:right="447"/>
              <w:spacing w:before="20" w:line="232" w:lineRule="auto"/>
              <w:rPr>
                <w:sz w:val="16"/>
                <w:szCs w:val="16"/>
              </w:rPr>
            </w:pPr>
            <w:r>
              <w:rPr>
                <w:sz w:val="16"/>
                <w:szCs w:val="16"/>
              </w:rPr>
              <w:t>1宗收事务部分行收许可巩目实能办法(国案发</w:t>
            </w:r>
            <w:r>
              <w:rPr>
                <w:sz w:val="16"/>
                <w:szCs w:val="16"/>
                <w:spacing w:val="5"/>
              </w:rPr>
              <w:t xml:space="preserve"> </w:t>
            </w:r>
            <w:r>
              <w:rPr>
                <w:sz w:val="16"/>
                <w:szCs w:val="16"/>
                <w:spacing w:val="1"/>
              </w:rPr>
              <w:t>(2218)11号1</w:t>
            </w:r>
          </w:p>
        </w:tc>
      </w:tr>
      <w:tr>
        <w:trPr>
          <w:trHeight w:val="479" w:hRule="atLeast"/>
        </w:trPr>
        <w:tc>
          <w:tcPr>
            <w:tcW w:w="574" w:type="dxa"/>
            <w:vAlign w:val="top"/>
          </w:tcPr>
          <w:p>
            <w:pPr>
              <w:pStyle w:val="TableText"/>
              <w:ind w:left="154"/>
              <w:spacing w:before="201" w:line="183" w:lineRule="auto"/>
              <w:rPr>
                <w:sz w:val="16"/>
                <w:szCs w:val="16"/>
              </w:rPr>
            </w:pPr>
            <w:r>
              <w:rPr>
                <w:sz w:val="16"/>
                <w:szCs w:val="16"/>
                <w:spacing w:val="-2"/>
              </w:rPr>
              <w:t>649</w:t>
            </w:r>
          </w:p>
        </w:tc>
        <w:tc>
          <w:tcPr>
            <w:tcW w:w="1299" w:type="dxa"/>
            <w:vAlign w:val="top"/>
          </w:tcPr>
          <w:p>
            <w:pPr>
              <w:pStyle w:val="TableText"/>
              <w:ind w:left="241"/>
              <w:spacing w:before="160" w:line="219" w:lineRule="auto"/>
              <w:rPr>
                <w:sz w:val="16"/>
                <w:szCs w:val="16"/>
              </w:rPr>
            </w:pPr>
            <w:r>
              <w:rPr>
                <w:sz w:val="16"/>
                <w:szCs w:val="16"/>
                <w:spacing w:val="2"/>
              </w:rPr>
              <w:t>国家宗教局</w:t>
            </w:r>
          </w:p>
        </w:tc>
        <w:tc>
          <w:tcPr>
            <w:tcW w:w="1648" w:type="dxa"/>
            <w:vAlign w:val="top"/>
          </w:tcPr>
          <w:p>
            <w:pPr>
              <w:pStyle w:val="TableText"/>
              <w:ind w:left="32" w:right="142" w:firstLine="10"/>
              <w:spacing w:before="70" w:line="227" w:lineRule="auto"/>
              <w:rPr>
                <w:sz w:val="16"/>
                <w:szCs w:val="16"/>
              </w:rPr>
            </w:pPr>
            <w:r>
              <w:rPr>
                <w:sz w:val="16"/>
                <w:szCs w:val="16"/>
                <w:spacing w:val="1"/>
              </w:rPr>
              <w:t>家教临时活动地点审</w:t>
            </w:r>
            <w:r>
              <w:rPr>
                <w:sz w:val="16"/>
                <w:szCs w:val="16"/>
                <w:spacing w:val="3"/>
              </w:rPr>
              <w:t xml:space="preserve"> </w:t>
            </w:r>
            <w:r>
              <w:rPr>
                <w:sz w:val="16"/>
                <w:szCs w:val="16"/>
              </w:rPr>
              <w:t>批</w:t>
            </w:r>
          </w:p>
        </w:tc>
        <w:tc>
          <w:tcPr>
            <w:tcW w:w="2367" w:type="dxa"/>
            <w:vAlign w:val="top"/>
          </w:tcPr>
          <w:p>
            <w:pPr>
              <w:pStyle w:val="TableText"/>
              <w:ind w:left="54"/>
              <w:spacing w:before="160" w:line="219" w:lineRule="auto"/>
              <w:rPr>
                <w:sz w:val="16"/>
                <w:szCs w:val="16"/>
              </w:rPr>
            </w:pPr>
            <w:r>
              <w:rPr>
                <w:sz w:val="16"/>
                <w:szCs w:val="16"/>
                <w:spacing w:val="3"/>
              </w:rPr>
              <w:t>备盘京教落门</w:t>
            </w:r>
          </w:p>
        </w:tc>
        <w:tc>
          <w:tcPr>
            <w:tcW w:w="3711" w:type="dxa"/>
            <w:vAlign w:val="top"/>
          </w:tcPr>
          <w:p>
            <w:pPr>
              <w:pStyle w:val="TableText"/>
              <w:spacing w:before="160" w:line="219" w:lineRule="auto"/>
              <w:rPr>
                <w:sz w:val="16"/>
                <w:szCs w:val="16"/>
              </w:rPr>
            </w:pPr>
            <w:r>
              <w:rPr>
                <w:sz w:val="16"/>
                <w:szCs w:val="16"/>
                <w:spacing w:val="-6"/>
              </w:rPr>
              <w:t>《宗教事务亮剖》</w:t>
            </w:r>
          </w:p>
        </w:tc>
      </w:tr>
      <w:tr>
        <w:trPr>
          <w:trHeight w:val="689" w:hRule="atLeast"/>
        </w:trPr>
        <w:tc>
          <w:tcPr>
            <w:tcW w:w="574" w:type="dxa"/>
            <w:vAlign w:val="top"/>
          </w:tcPr>
          <w:p>
            <w:pPr>
              <w:spacing w:line="259" w:lineRule="auto"/>
              <w:rPr>
                <w:rFonts w:ascii="Arial"/>
                <w:sz w:val="21"/>
              </w:rPr>
            </w:pPr>
            <w:r/>
          </w:p>
          <w:p>
            <w:pPr>
              <w:pStyle w:val="TableText"/>
              <w:ind w:left="154"/>
              <w:spacing w:before="52" w:line="183" w:lineRule="auto"/>
              <w:rPr>
                <w:sz w:val="16"/>
                <w:szCs w:val="16"/>
              </w:rPr>
            </w:pPr>
            <w:r>
              <w:rPr>
                <w:sz w:val="16"/>
                <w:szCs w:val="16"/>
                <w:spacing w:val="-2"/>
              </w:rPr>
              <w:t>n50</w:t>
            </w:r>
          </w:p>
        </w:tc>
        <w:tc>
          <w:tcPr>
            <w:tcW w:w="1299" w:type="dxa"/>
            <w:vAlign w:val="top"/>
          </w:tcPr>
          <w:p>
            <w:pPr>
              <w:pStyle w:val="TableText"/>
              <w:ind w:left="241"/>
              <w:spacing w:before="270" w:line="219" w:lineRule="auto"/>
              <w:rPr>
                <w:sz w:val="16"/>
                <w:szCs w:val="16"/>
              </w:rPr>
            </w:pPr>
            <w:r>
              <w:rPr>
                <w:sz w:val="16"/>
                <w:szCs w:val="16"/>
                <w:spacing w:val="1"/>
              </w:rPr>
              <w:t>国家采教高</w:t>
            </w:r>
          </w:p>
        </w:tc>
        <w:tc>
          <w:tcPr>
            <w:tcW w:w="1648" w:type="dxa"/>
            <w:vAlign w:val="top"/>
          </w:tcPr>
          <w:p>
            <w:pPr>
              <w:pStyle w:val="TableText"/>
              <w:ind w:left="32" w:right="152" w:firstLine="10"/>
              <w:spacing w:before="70" w:line="225" w:lineRule="auto"/>
              <w:jc w:val="both"/>
              <w:rPr>
                <w:sz w:val="16"/>
                <w:szCs w:val="16"/>
              </w:rPr>
            </w:pPr>
            <w:r>
              <w:rPr>
                <w:sz w:val="16"/>
                <w:szCs w:val="16"/>
                <w:spacing w:val="-1"/>
              </w:rPr>
              <w:t>境内外国人是体通行</w:t>
            </w:r>
            <w:r>
              <w:rPr>
                <w:sz w:val="16"/>
                <w:szCs w:val="16"/>
                <w:spacing w:val="1"/>
              </w:rPr>
              <w:t xml:space="preserve"> </w:t>
            </w:r>
            <w:r>
              <w:rPr>
                <w:sz w:val="16"/>
                <w:szCs w:val="16"/>
                <w:spacing w:val="1"/>
              </w:rPr>
              <w:t>宗载活动些野地点审</w:t>
            </w:r>
            <w:r>
              <w:rPr>
                <w:sz w:val="16"/>
                <w:szCs w:val="16"/>
                <w:spacing w:val="3"/>
              </w:rPr>
              <w:t xml:space="preserve"> </w:t>
            </w:r>
            <w:r>
              <w:rPr>
                <w:sz w:val="16"/>
                <w:szCs w:val="16"/>
              </w:rPr>
              <w:t>批</w:t>
            </w:r>
          </w:p>
        </w:tc>
        <w:tc>
          <w:tcPr>
            <w:tcW w:w="2367" w:type="dxa"/>
            <w:vAlign w:val="top"/>
          </w:tcPr>
          <w:p>
            <w:pPr>
              <w:pStyle w:val="TableText"/>
              <w:ind w:left="54"/>
              <w:spacing w:before="271" w:line="219" w:lineRule="auto"/>
              <w:rPr>
                <w:sz w:val="16"/>
                <w:szCs w:val="16"/>
              </w:rPr>
            </w:pPr>
            <w:r>
              <w:rPr>
                <w:sz w:val="16"/>
                <w:szCs w:val="16"/>
                <w:spacing w:val="2"/>
              </w:rPr>
              <w:t>省级装数露门</w:t>
            </w:r>
          </w:p>
        </w:tc>
        <w:tc>
          <w:tcPr>
            <w:tcW w:w="3711" w:type="dxa"/>
            <w:vAlign w:val="top"/>
          </w:tcPr>
          <w:p>
            <w:pPr>
              <w:pStyle w:val="TableText"/>
              <w:ind w:left="69" w:right="377" w:hanging="69"/>
              <w:spacing w:before="162" w:line="242" w:lineRule="auto"/>
              <w:rPr>
                <w:sz w:val="16"/>
                <w:szCs w:val="16"/>
              </w:rPr>
            </w:pPr>
            <w:r>
              <w:rPr>
                <w:sz w:val="16"/>
                <w:szCs w:val="16"/>
                <w:spacing w:val="-2"/>
              </w:rPr>
              <w:t>《国务驶对确省保前的行政审批项有设定行政许</w:t>
            </w:r>
            <w:r>
              <w:rPr>
                <w:sz w:val="16"/>
                <w:szCs w:val="16"/>
                <w:spacing w:val="4"/>
              </w:rPr>
              <w:t xml:space="preserve"> </w:t>
            </w:r>
            <w:r>
              <w:rPr>
                <w:sz w:val="16"/>
                <w:szCs w:val="16"/>
                <w:spacing w:val="2"/>
              </w:rPr>
              <w:t>的决定</w:t>
            </w:r>
          </w:p>
        </w:tc>
      </w:tr>
      <w:tr>
        <w:trPr>
          <w:trHeight w:val="489" w:hRule="atLeast"/>
        </w:trPr>
        <w:tc>
          <w:tcPr>
            <w:tcW w:w="574" w:type="dxa"/>
            <w:vAlign w:val="top"/>
          </w:tcPr>
          <w:p>
            <w:pPr>
              <w:pStyle w:val="TableText"/>
              <w:ind w:left="154"/>
              <w:spacing w:before="213" w:line="184" w:lineRule="auto"/>
              <w:rPr>
                <w:sz w:val="16"/>
                <w:szCs w:val="16"/>
              </w:rPr>
            </w:pPr>
            <w:r>
              <w:rPr>
                <w:sz w:val="16"/>
                <w:szCs w:val="16"/>
                <w:spacing w:val="-2"/>
              </w:rPr>
              <w:t>651</w:t>
            </w:r>
          </w:p>
        </w:tc>
        <w:tc>
          <w:tcPr>
            <w:tcW w:w="1299" w:type="dxa"/>
            <w:vAlign w:val="top"/>
          </w:tcPr>
          <w:p>
            <w:pPr>
              <w:pStyle w:val="TableText"/>
              <w:ind w:left="241"/>
              <w:spacing w:before="172" w:line="219" w:lineRule="auto"/>
              <w:rPr>
                <w:sz w:val="16"/>
                <w:szCs w:val="16"/>
              </w:rPr>
            </w:pPr>
            <w:r>
              <w:rPr>
                <w:sz w:val="16"/>
                <w:szCs w:val="16"/>
                <w:spacing w:val="2"/>
              </w:rPr>
              <w:t>国家宗教局</w:t>
            </w:r>
          </w:p>
        </w:tc>
        <w:tc>
          <w:tcPr>
            <w:tcW w:w="1648" w:type="dxa"/>
            <w:vAlign w:val="top"/>
          </w:tcPr>
          <w:p>
            <w:pPr>
              <w:pStyle w:val="TableText"/>
              <w:ind w:left="32" w:right="171"/>
              <w:spacing w:before="81" w:line="215" w:lineRule="auto"/>
              <w:rPr>
                <w:sz w:val="16"/>
                <w:szCs w:val="16"/>
              </w:rPr>
            </w:pPr>
            <w:r>
              <w:rPr>
                <w:sz w:val="16"/>
                <w:szCs w:val="16"/>
                <w:spacing w:val="-1"/>
              </w:rPr>
              <w:t>黄位你教活修传承厚</w:t>
            </w:r>
            <w:r>
              <w:rPr>
                <w:sz w:val="16"/>
                <w:szCs w:val="16"/>
                <w:spacing w:val="2"/>
              </w:rPr>
              <w:t xml:space="preserve"> </w:t>
            </w:r>
            <w:r>
              <w:rPr>
                <w:sz w:val="16"/>
                <w:szCs w:val="16"/>
                <w:spacing w:val="-2"/>
              </w:rPr>
              <w:t>位许可</w:t>
            </w:r>
          </w:p>
        </w:tc>
        <w:tc>
          <w:tcPr>
            <w:tcW w:w="2367" w:type="dxa"/>
            <w:vAlign w:val="top"/>
          </w:tcPr>
          <w:p>
            <w:pPr>
              <w:pStyle w:val="TableText"/>
              <w:ind w:left="54" w:right="147" w:firstLine="10"/>
              <w:spacing w:before="81" w:line="217" w:lineRule="auto"/>
              <w:rPr>
                <w:sz w:val="16"/>
                <w:szCs w:val="16"/>
              </w:rPr>
            </w:pPr>
            <w:r>
              <w:rPr>
                <w:sz w:val="16"/>
                <w:szCs w:val="16"/>
                <w:spacing w:val="6"/>
              </w:rPr>
              <w:t>国家策教局</w:t>
            </w:r>
            <w:r>
              <w:rPr>
                <w:rFonts w:ascii="Calibri" w:hAnsi="Calibri" w:eastAsia="Calibri" w:cs="Calibri"/>
                <w:sz w:val="16"/>
                <w:szCs w:val="16"/>
                <w:spacing w:val="6"/>
              </w:rPr>
              <w:t>₂</w:t>
            </w:r>
            <w:r>
              <w:rPr>
                <w:sz w:val="16"/>
                <w:szCs w:val="16"/>
                <w:spacing w:val="6"/>
              </w:rPr>
              <w:t>省圾政府(向余教 </w:t>
            </w:r>
            <w:r>
              <w:rPr>
                <w:sz w:val="16"/>
                <w:szCs w:val="16"/>
                <w:spacing w:val="1"/>
              </w:rPr>
              <w:t>部门承办》,省级宗教部门</w:t>
            </w:r>
          </w:p>
        </w:tc>
        <w:tc>
          <w:tcPr>
            <w:tcW w:w="3711" w:type="dxa"/>
            <w:vAlign w:val="top"/>
          </w:tcPr>
          <w:p>
            <w:pPr>
              <w:pStyle w:val="TableText"/>
              <w:ind w:left="46"/>
              <w:spacing w:before="72" w:line="219" w:lineRule="auto"/>
              <w:rPr>
                <w:sz w:val="16"/>
                <w:szCs w:val="16"/>
              </w:rPr>
            </w:pPr>
            <w:r>
              <w:rPr>
                <w:sz w:val="16"/>
                <w:szCs w:val="16"/>
                <w:spacing w:val="4"/>
              </w:rPr>
              <w:t>1宗教事务条侧)</w:t>
            </w:r>
          </w:p>
          <w:p>
            <w:pPr>
              <w:pStyle w:val="TableText"/>
              <w:spacing w:before="9" w:line="219" w:lineRule="auto"/>
              <w:rPr>
                <w:sz w:val="16"/>
                <w:szCs w:val="16"/>
              </w:rPr>
            </w:pPr>
            <w:r>
              <w:rPr>
                <w:sz w:val="16"/>
                <w:szCs w:val="16"/>
                <w:spacing w:val="-4"/>
              </w:rPr>
              <w:t>《或传修教活佛转世管理办法》</w:t>
            </w:r>
          </w:p>
        </w:tc>
      </w:tr>
      <w:tr>
        <w:trPr>
          <w:trHeight w:val="489" w:hRule="atLeast"/>
        </w:trPr>
        <w:tc>
          <w:tcPr>
            <w:tcW w:w="574" w:type="dxa"/>
            <w:vAlign w:val="top"/>
          </w:tcPr>
          <w:p>
            <w:pPr>
              <w:pStyle w:val="TableText"/>
              <w:ind w:left="154"/>
              <w:spacing w:before="189" w:line="239" w:lineRule="auto"/>
              <w:rPr>
                <w:sz w:val="16"/>
                <w:szCs w:val="16"/>
              </w:rPr>
            </w:pPr>
            <w:r>
              <w:rPr>
                <w:sz w:val="16"/>
                <w:szCs w:val="16"/>
                <w:spacing w:val="-2"/>
              </w:rPr>
              <w:t>65?</w:t>
            </w:r>
          </w:p>
        </w:tc>
        <w:tc>
          <w:tcPr>
            <w:tcW w:w="1299" w:type="dxa"/>
            <w:vAlign w:val="top"/>
          </w:tcPr>
          <w:p>
            <w:pPr>
              <w:pStyle w:val="TableText"/>
              <w:ind w:left="241"/>
              <w:spacing w:before="173" w:line="219" w:lineRule="auto"/>
              <w:rPr>
                <w:sz w:val="16"/>
                <w:szCs w:val="16"/>
              </w:rPr>
            </w:pPr>
            <w:r>
              <w:rPr>
                <w:sz w:val="16"/>
                <w:szCs w:val="16"/>
                <w:spacing w:val="2"/>
              </w:rPr>
              <w:t>国原宗教局</w:t>
            </w:r>
          </w:p>
        </w:tc>
        <w:tc>
          <w:tcPr>
            <w:tcW w:w="1648" w:type="dxa"/>
            <w:vAlign w:val="top"/>
          </w:tcPr>
          <w:p>
            <w:pPr>
              <w:pStyle w:val="TableText"/>
              <w:ind w:left="32"/>
              <w:spacing w:before="173" w:line="219" w:lineRule="auto"/>
              <w:rPr>
                <w:sz w:val="16"/>
                <w:szCs w:val="16"/>
              </w:rPr>
            </w:pPr>
            <w:r>
              <w:rPr>
                <w:sz w:val="16"/>
                <w:szCs w:val="16"/>
                <w:spacing w:val="-1"/>
              </w:rPr>
              <w:t>大型宗教活动许可</w:t>
            </w:r>
          </w:p>
        </w:tc>
        <w:tc>
          <w:tcPr>
            <w:tcW w:w="2367" w:type="dxa"/>
            <w:vAlign w:val="top"/>
          </w:tcPr>
          <w:p>
            <w:pPr>
              <w:pStyle w:val="TableText"/>
              <w:ind w:left="54" w:right="231"/>
              <w:spacing w:before="62" w:line="219" w:lineRule="auto"/>
              <w:rPr>
                <w:sz w:val="16"/>
                <w:szCs w:val="16"/>
              </w:rPr>
            </w:pPr>
            <w:r>
              <w:rPr>
                <w:sz w:val="16"/>
                <w:szCs w:val="16"/>
                <w:spacing w:val="-1"/>
              </w:rPr>
              <w:t>设区的市废量教部门会同公安</w:t>
            </w:r>
            <w:r>
              <w:rPr>
                <w:sz w:val="16"/>
                <w:szCs w:val="16"/>
                <w:spacing w:val="3"/>
              </w:rPr>
              <w:t xml:space="preserve"> </w:t>
            </w:r>
            <w:r>
              <w:rPr>
                <w:sz w:val="16"/>
                <w:szCs w:val="16"/>
                <w:spacing w:val="-2"/>
              </w:rPr>
              <w:t>机关</w:t>
            </w:r>
          </w:p>
        </w:tc>
        <w:tc>
          <w:tcPr>
            <w:tcW w:w="3711" w:type="dxa"/>
            <w:vAlign w:val="top"/>
          </w:tcPr>
          <w:p>
            <w:pPr>
              <w:pStyle w:val="TableText"/>
              <w:ind w:left="46"/>
              <w:spacing w:before="165" w:line="215" w:lineRule="auto"/>
              <w:rPr>
                <w:sz w:val="16"/>
                <w:szCs w:val="16"/>
              </w:rPr>
            </w:pPr>
            <w:r>
              <w:rPr>
                <w:sz w:val="16"/>
                <w:szCs w:val="16"/>
                <w:spacing w:val="1"/>
              </w:rPr>
              <w:t>|宗教事各条例3</w:t>
            </w:r>
          </w:p>
        </w:tc>
      </w:tr>
      <w:tr>
        <w:trPr>
          <w:trHeight w:val="689" w:hRule="atLeast"/>
        </w:trPr>
        <w:tc>
          <w:tcPr>
            <w:tcW w:w="574" w:type="dxa"/>
            <w:vAlign w:val="top"/>
          </w:tcPr>
          <w:p>
            <w:pPr>
              <w:spacing w:line="263" w:lineRule="auto"/>
              <w:rPr>
                <w:rFonts w:ascii="Arial"/>
                <w:sz w:val="21"/>
              </w:rPr>
            </w:pPr>
            <w:r/>
          </w:p>
          <w:p>
            <w:pPr>
              <w:pStyle w:val="TableText"/>
              <w:ind w:left="234"/>
              <w:spacing w:before="52" w:line="182" w:lineRule="auto"/>
              <w:rPr>
                <w:sz w:val="16"/>
                <w:szCs w:val="16"/>
              </w:rPr>
            </w:pPr>
            <w:r>
              <w:rPr>
                <w:sz w:val="16"/>
                <w:szCs w:val="16"/>
              </w:rPr>
              <w:t>7</w:t>
            </w:r>
          </w:p>
        </w:tc>
        <w:tc>
          <w:tcPr>
            <w:tcW w:w="1299" w:type="dxa"/>
            <w:vAlign w:val="top"/>
          </w:tcPr>
          <w:p>
            <w:pPr>
              <w:pStyle w:val="TableText"/>
              <w:ind w:left="241"/>
              <w:spacing w:before="274" w:line="219" w:lineRule="auto"/>
              <w:rPr>
                <w:sz w:val="16"/>
                <w:szCs w:val="16"/>
              </w:rPr>
            </w:pPr>
            <w:r>
              <w:rPr>
                <w:sz w:val="16"/>
                <w:szCs w:val="16"/>
                <w:spacing w:val="2"/>
              </w:rPr>
              <w:t>国家泉教局</w:t>
            </w:r>
          </w:p>
        </w:tc>
        <w:tc>
          <w:tcPr>
            <w:tcW w:w="1648" w:type="dxa"/>
            <w:vAlign w:val="top"/>
          </w:tcPr>
          <w:p>
            <w:pPr>
              <w:pStyle w:val="TableText"/>
              <w:ind w:left="32" w:right="132" w:firstLine="20"/>
              <w:spacing w:before="65" w:line="228" w:lineRule="auto"/>
              <w:jc w:val="both"/>
              <w:rPr>
                <w:sz w:val="16"/>
                <w:szCs w:val="16"/>
              </w:rPr>
            </w:pPr>
            <w:r>
              <w:rPr>
                <w:sz w:val="16"/>
                <w:szCs w:val="16"/>
              </w:rPr>
              <w:t>印昭家教内盏资料性</w:t>
            </w:r>
            <w:r>
              <w:rPr>
                <w:sz w:val="16"/>
                <w:szCs w:val="16"/>
                <w:spacing w:val="5"/>
              </w:rPr>
              <w:t xml:space="preserve"> </w:t>
            </w:r>
            <w:r>
              <w:rPr>
                <w:sz w:val="16"/>
                <w:szCs w:val="16"/>
                <w:spacing w:val="3"/>
              </w:rPr>
              <w:t>出版购和完教用品审</w:t>
            </w:r>
            <w:r>
              <w:rPr>
                <w:sz w:val="16"/>
                <w:szCs w:val="16"/>
                <w:spacing w:val="5"/>
              </w:rPr>
              <w:t xml:space="preserve"> </w:t>
            </w:r>
            <w:r>
              <w:rPr>
                <w:sz w:val="16"/>
                <w:szCs w:val="16"/>
              </w:rPr>
              <w:t>批</w:t>
            </w:r>
          </w:p>
        </w:tc>
        <w:tc>
          <w:tcPr>
            <w:tcW w:w="2367" w:type="dxa"/>
            <w:vAlign w:val="top"/>
          </w:tcPr>
          <w:p>
            <w:pPr>
              <w:pStyle w:val="TableText"/>
              <w:ind w:left="54"/>
              <w:spacing w:before="274" w:line="219" w:lineRule="auto"/>
              <w:rPr>
                <w:sz w:val="16"/>
                <w:szCs w:val="16"/>
              </w:rPr>
            </w:pPr>
            <w:r>
              <w:rPr>
                <w:sz w:val="16"/>
                <w:szCs w:val="16"/>
                <w:spacing w:val="2"/>
              </w:rPr>
              <w:t>省没宗教部门</w:t>
            </w:r>
          </w:p>
        </w:tc>
        <w:tc>
          <w:tcPr>
            <w:tcW w:w="3711" w:type="dxa"/>
            <w:vAlign w:val="top"/>
          </w:tcPr>
          <w:p>
            <w:pPr>
              <w:pStyle w:val="TableText"/>
              <w:ind w:left="46"/>
              <w:spacing w:before="164" w:line="219" w:lineRule="auto"/>
              <w:rPr>
                <w:sz w:val="16"/>
                <w:szCs w:val="16"/>
              </w:rPr>
            </w:pPr>
            <w:r>
              <w:rPr>
                <w:sz w:val="16"/>
                <w:szCs w:val="16"/>
              </w:rPr>
              <w:t>1宗教事务条例》</w:t>
            </w:r>
          </w:p>
          <w:p>
            <w:pPr>
              <w:pStyle w:val="TableText"/>
              <w:ind w:left="46"/>
              <w:spacing w:before="20" w:line="219" w:lineRule="auto"/>
              <w:rPr>
                <w:sz w:val="16"/>
                <w:szCs w:val="16"/>
              </w:rPr>
            </w:pPr>
            <w:r>
              <w:rPr>
                <w:sz w:val="16"/>
                <w:szCs w:val="16"/>
                <w:spacing w:val="1"/>
              </w:rPr>
              <w:t>1印周业管理杂例1</w:t>
            </w:r>
          </w:p>
        </w:tc>
      </w:tr>
      <w:tr>
        <w:trPr>
          <w:trHeight w:val="564" w:hRule="atLeast"/>
        </w:trPr>
        <w:tc>
          <w:tcPr>
            <w:tcW w:w="574" w:type="dxa"/>
            <w:vAlign w:val="top"/>
          </w:tcPr>
          <w:p>
            <w:pPr>
              <w:pStyle w:val="TableText"/>
              <w:ind w:left="154"/>
              <w:spacing w:before="246" w:line="183" w:lineRule="auto"/>
              <w:rPr>
                <w:sz w:val="16"/>
                <w:szCs w:val="16"/>
              </w:rPr>
            </w:pPr>
            <w:r>
              <w:rPr>
                <w:sz w:val="16"/>
                <w:szCs w:val="16"/>
                <w:spacing w:val="-2"/>
              </w:rPr>
              <w:t>054</w:t>
            </w:r>
          </w:p>
        </w:tc>
        <w:tc>
          <w:tcPr>
            <w:tcW w:w="1299" w:type="dxa"/>
            <w:vAlign w:val="top"/>
          </w:tcPr>
          <w:p>
            <w:pPr>
              <w:pStyle w:val="TableText"/>
              <w:ind w:left="241"/>
              <w:spacing w:before="205" w:line="219" w:lineRule="auto"/>
              <w:rPr>
                <w:sz w:val="16"/>
                <w:szCs w:val="16"/>
              </w:rPr>
            </w:pPr>
            <w:r>
              <w:rPr>
                <w:sz w:val="16"/>
                <w:szCs w:val="16"/>
                <w:spacing w:val="2"/>
              </w:rPr>
              <w:t>国家宗教局</w:t>
            </w:r>
          </w:p>
        </w:tc>
        <w:tc>
          <w:tcPr>
            <w:tcW w:w="1648" w:type="dxa"/>
            <w:vAlign w:val="top"/>
          </w:tcPr>
          <w:p>
            <w:pPr>
              <w:pStyle w:val="TableText"/>
              <w:ind w:left="32" w:right="164" w:firstLine="10"/>
              <w:spacing w:before="136" w:line="208" w:lineRule="auto"/>
              <w:rPr>
                <w:sz w:val="16"/>
                <w:szCs w:val="16"/>
              </w:rPr>
            </w:pPr>
            <w:r>
              <w:rPr>
                <w:sz w:val="16"/>
                <w:szCs w:val="16"/>
                <w:spacing w:val="-1"/>
              </w:rPr>
              <w:t>五取闷素教情息服务</w:t>
            </w:r>
            <w:r>
              <w:rPr>
                <w:sz w:val="16"/>
                <w:szCs w:val="16"/>
              </w:rPr>
              <w:t xml:space="preserve"> </w:t>
            </w:r>
            <w:r>
              <w:rPr>
                <w:sz w:val="16"/>
                <w:szCs w:val="16"/>
                <w:spacing w:val="-2"/>
              </w:rPr>
              <w:t>许可</w:t>
            </w:r>
          </w:p>
        </w:tc>
        <w:tc>
          <w:tcPr>
            <w:tcW w:w="2367" w:type="dxa"/>
            <w:vAlign w:val="top"/>
          </w:tcPr>
          <w:p>
            <w:pPr>
              <w:pStyle w:val="TableText"/>
              <w:ind w:left="54"/>
              <w:spacing w:before="204" w:line="219" w:lineRule="auto"/>
              <w:rPr>
                <w:sz w:val="16"/>
                <w:szCs w:val="16"/>
              </w:rPr>
            </w:pPr>
            <w:r>
              <w:rPr>
                <w:sz w:val="16"/>
                <w:szCs w:val="16"/>
                <w:spacing w:val="1"/>
              </w:rPr>
              <w:t>国家京教片，货级呆教露门</w:t>
            </w:r>
          </w:p>
        </w:tc>
        <w:tc>
          <w:tcPr>
            <w:tcW w:w="3711" w:type="dxa"/>
            <w:vAlign w:val="top"/>
          </w:tcPr>
          <w:p>
            <w:pPr>
              <w:pStyle w:val="TableText"/>
              <w:spacing w:before="205" w:line="219" w:lineRule="auto"/>
              <w:rPr>
                <w:sz w:val="16"/>
                <w:szCs w:val="16"/>
              </w:rPr>
            </w:pPr>
            <w:r>
              <w:rPr>
                <w:sz w:val="16"/>
                <w:szCs w:val="16"/>
                <w:spacing w:val="-4"/>
              </w:rPr>
              <w:t>《宗教事务条例)</w:t>
            </w:r>
          </w:p>
        </w:tc>
      </w:tr>
    </w:tbl>
    <w:p>
      <w:pPr>
        <w:pStyle w:val="BodyText"/>
        <w:rPr/>
      </w:pPr>
      <w:r/>
    </w:p>
    <w:p>
      <w:pPr>
        <w:sectPr>
          <w:pgSz w:w="11910" w:h="8220"/>
          <w:pgMar w:top="400" w:right="116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891712"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300" name="TextBox 300"/>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231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2" style="position:absolute;margin-left:37.0562pt;margin-top:345.119pt;mso-position-vertical-relative:page;mso-position-horizontal-relative:page;width:13.6pt;height:12.4pt;z-index:25189171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231</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57"/>
        <w:gridCol w:w="372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中央主管即门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57" w:type="dxa"/>
            <w:vAlign w:val="top"/>
          </w:tcPr>
          <w:p>
            <w:pPr>
              <w:pStyle w:val="TableText"/>
              <w:ind w:left="826"/>
              <w:spacing w:before="128" w:line="219" w:lineRule="auto"/>
              <w:rPr>
                <w:sz w:val="16"/>
                <w:szCs w:val="16"/>
              </w:rPr>
            </w:pPr>
            <w:r>
              <w:rPr>
                <w:sz w:val="16"/>
                <w:szCs w:val="16"/>
                <w:b/>
                <w:bCs/>
                <w:spacing w:val="-4"/>
              </w:rPr>
              <w:t>实地机美</w:t>
            </w:r>
          </w:p>
        </w:tc>
        <w:tc>
          <w:tcPr>
            <w:tcW w:w="3721" w:type="dxa"/>
            <w:vAlign w:val="top"/>
          </w:tcPr>
          <w:p>
            <w:pPr>
              <w:pStyle w:val="TableText"/>
              <w:ind w:left="1276"/>
              <w:spacing w:before="131" w:line="219" w:lineRule="auto"/>
              <w:rPr>
                <w:sz w:val="16"/>
                <w:szCs w:val="16"/>
              </w:rPr>
            </w:pPr>
            <w:r>
              <w:rPr>
                <w:sz w:val="16"/>
                <w:szCs w:val="16"/>
                <w:spacing w:val="-2"/>
              </w:rPr>
              <w:t>设定和实施体据</w:t>
            </w:r>
          </w:p>
        </w:tc>
      </w:tr>
      <w:tr>
        <w:trPr>
          <w:trHeight w:val="689" w:hRule="atLeast"/>
        </w:trPr>
        <w:tc>
          <w:tcPr>
            <w:tcW w:w="584" w:type="dxa"/>
            <w:vAlign w:val="top"/>
          </w:tcPr>
          <w:p>
            <w:pPr>
              <w:spacing w:line="255" w:lineRule="auto"/>
              <w:rPr>
                <w:rFonts w:ascii="Arial"/>
                <w:sz w:val="21"/>
              </w:rPr>
            </w:pPr>
            <w:r/>
          </w:p>
          <w:p>
            <w:pPr>
              <w:pStyle w:val="TableText"/>
              <w:ind w:left="164"/>
              <w:spacing w:before="52" w:line="183" w:lineRule="auto"/>
              <w:rPr>
                <w:sz w:val="16"/>
                <w:szCs w:val="16"/>
              </w:rPr>
            </w:pPr>
            <w:r>
              <w:rPr>
                <w:sz w:val="16"/>
                <w:szCs w:val="16"/>
                <w:spacing w:val="-2"/>
              </w:rPr>
              <w:t>653</w:t>
            </w:r>
          </w:p>
        </w:tc>
        <w:tc>
          <w:tcPr>
            <w:tcW w:w="1289" w:type="dxa"/>
            <w:vAlign w:val="top"/>
          </w:tcPr>
          <w:p>
            <w:pPr>
              <w:pStyle w:val="TableText"/>
              <w:ind w:left="231"/>
              <w:spacing w:before="267" w:line="219" w:lineRule="auto"/>
              <w:rPr>
                <w:sz w:val="16"/>
                <w:szCs w:val="16"/>
              </w:rPr>
            </w:pPr>
            <w:r>
              <w:rPr>
                <w:sz w:val="16"/>
                <w:szCs w:val="16"/>
                <w:spacing w:val="1"/>
              </w:rPr>
              <w:t>国家定教题</w:t>
            </w:r>
          </w:p>
        </w:tc>
        <w:tc>
          <w:tcPr>
            <w:tcW w:w="1648" w:type="dxa"/>
            <w:vAlign w:val="top"/>
          </w:tcPr>
          <w:p>
            <w:pPr>
              <w:pStyle w:val="TableText"/>
              <w:ind w:left="61" w:hanging="9"/>
              <w:spacing w:before="87" w:line="219" w:lineRule="auto"/>
              <w:jc w:val="both"/>
              <w:rPr>
                <w:sz w:val="16"/>
                <w:szCs w:val="16"/>
              </w:rPr>
            </w:pPr>
            <w:r>
              <w:rPr>
                <w:sz w:val="16"/>
                <w:szCs w:val="16"/>
                <w:spacing w:val="-2"/>
              </w:rPr>
              <w:t>实教图体，宗数院校。</w:t>
            </w:r>
            <w:r>
              <w:rPr>
                <w:sz w:val="16"/>
                <w:szCs w:val="16"/>
                <w:spacing w:val="4"/>
              </w:rPr>
              <w:t xml:space="preserve"> </w:t>
            </w:r>
            <w:r>
              <w:rPr>
                <w:sz w:val="16"/>
                <w:szCs w:val="16"/>
                <w:spacing w:val="1"/>
              </w:rPr>
              <w:t>命放活测场所续受均</w:t>
            </w:r>
            <w:r>
              <w:rPr>
                <w:sz w:val="16"/>
                <w:szCs w:val="16"/>
              </w:rPr>
              <w:t xml:space="preserve">  </w:t>
            </w:r>
            <w:r>
              <w:rPr>
                <w:sz w:val="16"/>
                <w:szCs w:val="16"/>
                <w:spacing w:val="-3"/>
              </w:rPr>
              <w:t>外相勤市批</w:t>
            </w:r>
          </w:p>
        </w:tc>
        <w:tc>
          <w:tcPr>
            <w:tcW w:w="2357" w:type="dxa"/>
            <w:vAlign w:val="top"/>
          </w:tcPr>
          <w:p>
            <w:pPr>
              <w:pStyle w:val="TableText"/>
              <w:ind w:left="62" w:hanging="28"/>
              <w:spacing w:before="167" w:line="219" w:lineRule="auto"/>
              <w:rPr>
                <w:sz w:val="16"/>
                <w:szCs w:val="16"/>
              </w:rPr>
            </w:pPr>
            <w:r>
              <w:rPr>
                <w:sz w:val="16"/>
                <w:szCs w:val="16"/>
                <w:spacing w:val="-6"/>
              </w:rPr>
              <w:t>国家宗视属；省级，设区的市级，</w:t>
            </w:r>
            <w:r>
              <w:rPr>
                <w:sz w:val="16"/>
                <w:szCs w:val="16"/>
                <w:spacing w:val="1"/>
              </w:rPr>
              <w:t xml:space="preserve"> </w:t>
            </w:r>
            <w:r>
              <w:rPr>
                <w:sz w:val="16"/>
                <w:szCs w:val="16"/>
                <w:spacing w:val="-3"/>
              </w:rPr>
              <w:t>基级宗教部门</w:t>
            </w:r>
          </w:p>
        </w:tc>
        <w:tc>
          <w:tcPr>
            <w:tcW w:w="3721" w:type="dxa"/>
            <w:vAlign w:val="top"/>
          </w:tcPr>
          <w:p>
            <w:pPr>
              <w:pStyle w:val="TableText"/>
              <w:spacing w:before="67" w:line="219" w:lineRule="auto"/>
              <w:rPr>
                <w:sz w:val="16"/>
                <w:szCs w:val="16"/>
              </w:rPr>
            </w:pPr>
            <w:r>
              <w:rPr>
                <w:sz w:val="16"/>
                <w:szCs w:val="16"/>
                <w:spacing w:val="8"/>
              </w:rPr>
              <w:t>《密教事务条例】</w:t>
            </w:r>
          </w:p>
          <w:p>
            <w:pPr>
              <w:pStyle w:val="TableText"/>
              <w:ind w:left="66" w:right="474" w:hanging="20"/>
              <w:spacing w:before="19" w:line="215" w:lineRule="auto"/>
              <w:rPr>
                <w:sz w:val="16"/>
                <w:szCs w:val="16"/>
              </w:rPr>
            </w:pPr>
            <w:r>
              <w:rPr>
                <w:sz w:val="16"/>
                <w:szCs w:val="16"/>
                <w:spacing w:val="-1"/>
              </w:rPr>
              <w:t>t宗教事务部分有费许可项耳卖施办法H码宗发</w:t>
            </w:r>
            <w:r>
              <w:rPr>
                <w:sz w:val="16"/>
                <w:szCs w:val="16"/>
                <w:spacing w:val="9"/>
              </w:rPr>
              <w:t xml:space="preserve"> </w:t>
            </w:r>
            <w:r>
              <w:rPr>
                <w:sz w:val="16"/>
                <w:szCs w:val="16"/>
                <w:spacing w:val="3"/>
              </w:rPr>
              <w:t>F2018111号)</w:t>
            </w:r>
          </w:p>
        </w:tc>
      </w:tr>
      <w:tr>
        <w:trPr>
          <w:trHeight w:val="888" w:hRule="atLeast"/>
        </w:trPr>
        <w:tc>
          <w:tcPr>
            <w:tcW w:w="584" w:type="dxa"/>
            <w:vAlign w:val="top"/>
          </w:tcPr>
          <w:p>
            <w:pPr>
              <w:spacing w:line="355" w:lineRule="auto"/>
              <w:rPr>
                <w:rFonts w:ascii="Arial"/>
                <w:sz w:val="21"/>
              </w:rPr>
            </w:pPr>
            <w:r/>
          </w:p>
          <w:p>
            <w:pPr>
              <w:pStyle w:val="TableText"/>
              <w:ind w:left="164"/>
              <w:spacing w:before="52" w:line="183" w:lineRule="auto"/>
              <w:rPr>
                <w:sz w:val="16"/>
                <w:szCs w:val="16"/>
              </w:rPr>
            </w:pPr>
            <w:r>
              <w:rPr>
                <w:sz w:val="16"/>
                <w:szCs w:val="16"/>
                <w:spacing w:val="-2"/>
              </w:rPr>
              <w:t>656</w:t>
            </w:r>
          </w:p>
        </w:tc>
        <w:tc>
          <w:tcPr>
            <w:tcW w:w="1289" w:type="dxa"/>
            <w:vAlign w:val="top"/>
          </w:tcPr>
          <w:p>
            <w:pPr>
              <w:spacing w:line="315" w:lineRule="auto"/>
              <w:rPr>
                <w:rFonts w:ascii="Arial"/>
                <w:sz w:val="21"/>
              </w:rPr>
            </w:pPr>
            <w:r/>
          </w:p>
          <w:p>
            <w:pPr>
              <w:pStyle w:val="TableText"/>
              <w:ind w:left="231"/>
              <w:spacing w:before="52" w:line="220" w:lineRule="auto"/>
              <w:rPr>
                <w:sz w:val="16"/>
                <w:szCs w:val="16"/>
              </w:rPr>
            </w:pPr>
            <w:r>
              <w:rPr>
                <w:sz w:val="16"/>
                <w:szCs w:val="16"/>
                <w:spacing w:val="2"/>
              </w:rPr>
              <w:t>国家家敬局</w:t>
            </w:r>
          </w:p>
        </w:tc>
        <w:tc>
          <w:tcPr>
            <w:tcW w:w="1648" w:type="dxa"/>
            <w:vAlign w:val="top"/>
          </w:tcPr>
          <w:p>
            <w:pPr>
              <w:pStyle w:val="TableText"/>
              <w:ind w:left="52" w:right="113" w:firstLine="40"/>
              <w:spacing w:before="78" w:line="225" w:lineRule="auto"/>
              <w:jc w:val="both"/>
              <w:rPr>
                <w:sz w:val="16"/>
                <w:szCs w:val="16"/>
              </w:rPr>
            </w:pPr>
            <w:r>
              <w:rPr>
                <w:sz w:val="16"/>
                <w:szCs w:val="16"/>
                <w:spacing w:val="-1"/>
              </w:rPr>
              <w:t>我国五种容教以外的</w:t>
            </w:r>
            <w:r>
              <w:rPr>
                <w:sz w:val="16"/>
                <w:szCs w:val="16"/>
              </w:rPr>
              <w:t xml:space="preserve"> </w:t>
            </w:r>
            <w:r>
              <w:rPr>
                <w:sz w:val="16"/>
                <w:szCs w:val="16"/>
                <w:spacing w:val="3"/>
              </w:rPr>
              <w:t>外国家教机筑及其成</w:t>
            </w:r>
            <w:r>
              <w:rPr>
                <w:sz w:val="16"/>
                <w:szCs w:val="16"/>
                <w:spacing w:val="2"/>
              </w:rPr>
              <w:t xml:space="preserve"> </w:t>
            </w:r>
            <w:r>
              <w:rPr>
                <w:sz w:val="16"/>
                <w:szCs w:val="16"/>
                <w:spacing w:val="3"/>
              </w:rPr>
              <w:t>员与我回战启露门或</w:t>
            </w:r>
            <w:r>
              <w:rPr>
                <w:sz w:val="16"/>
                <w:szCs w:val="16"/>
              </w:rPr>
              <w:t xml:space="preserve"> </w:t>
            </w:r>
            <w:r>
              <w:rPr>
                <w:sz w:val="16"/>
                <w:szCs w:val="16"/>
                <w:spacing w:val="-2"/>
              </w:rPr>
              <w:t>启教界等交住审批</w:t>
            </w:r>
          </w:p>
        </w:tc>
        <w:tc>
          <w:tcPr>
            <w:tcW w:w="2357" w:type="dxa"/>
            <w:vAlign w:val="top"/>
          </w:tcPr>
          <w:p>
            <w:pPr>
              <w:spacing w:line="314" w:lineRule="auto"/>
              <w:rPr>
                <w:rFonts w:ascii="Arial"/>
                <w:sz w:val="21"/>
              </w:rPr>
            </w:pPr>
            <w:r/>
          </w:p>
          <w:p>
            <w:pPr>
              <w:pStyle w:val="TableText"/>
              <w:ind w:left="64"/>
              <w:spacing w:before="52" w:line="219" w:lineRule="auto"/>
              <w:rPr>
                <w:sz w:val="16"/>
                <w:szCs w:val="16"/>
              </w:rPr>
            </w:pPr>
            <w:r>
              <w:rPr>
                <w:sz w:val="16"/>
                <w:szCs w:val="16"/>
                <w:spacing w:val="2"/>
              </w:rPr>
              <w:t>四家宗教局</w:t>
            </w:r>
          </w:p>
        </w:tc>
        <w:tc>
          <w:tcPr>
            <w:tcW w:w="3721" w:type="dxa"/>
            <w:vAlign w:val="top"/>
          </w:tcPr>
          <w:p>
            <w:pPr>
              <w:pStyle w:val="TableText"/>
              <w:ind w:left="66" w:right="301" w:hanging="10"/>
              <w:spacing w:before="268" w:line="231" w:lineRule="auto"/>
              <w:rPr>
                <w:sz w:val="16"/>
                <w:szCs w:val="16"/>
              </w:rPr>
            </w:pPr>
            <w:r>
              <w:rPr>
                <w:sz w:val="16"/>
                <w:szCs w:val="16"/>
                <w:spacing w:val="-1"/>
              </w:rPr>
              <w:t>路分院对能高保留的行破审担境目设定行政件可</w:t>
            </w:r>
            <w:r>
              <w:rPr>
                <w:sz w:val="16"/>
                <w:szCs w:val="16"/>
                <w:spacing w:val="12"/>
              </w:rPr>
              <w:t xml:space="preserve"> </w:t>
            </w:r>
            <w:r>
              <w:rPr>
                <w:sz w:val="16"/>
                <w:szCs w:val="16"/>
                <w:spacing w:val="3"/>
              </w:rPr>
              <w:t>的决定</w:t>
            </w:r>
          </w:p>
        </w:tc>
      </w:tr>
      <w:tr>
        <w:trPr>
          <w:trHeight w:val="889" w:hRule="atLeast"/>
        </w:trPr>
        <w:tc>
          <w:tcPr>
            <w:tcW w:w="584" w:type="dxa"/>
            <w:vAlign w:val="top"/>
          </w:tcPr>
          <w:p>
            <w:pPr>
              <w:spacing w:line="357" w:lineRule="auto"/>
              <w:rPr>
                <w:rFonts w:ascii="Arial"/>
                <w:sz w:val="21"/>
              </w:rPr>
            </w:pPr>
            <w:r/>
          </w:p>
          <w:p>
            <w:pPr>
              <w:pStyle w:val="TableText"/>
              <w:ind w:left="164"/>
              <w:spacing w:before="52" w:line="183" w:lineRule="auto"/>
              <w:rPr>
                <w:sz w:val="16"/>
                <w:szCs w:val="16"/>
              </w:rPr>
            </w:pPr>
            <w:r>
              <w:rPr>
                <w:sz w:val="16"/>
                <w:szCs w:val="16"/>
                <w:spacing w:val="-2"/>
              </w:rPr>
              <w:t>657</w:t>
            </w:r>
          </w:p>
        </w:tc>
        <w:tc>
          <w:tcPr>
            <w:tcW w:w="1289" w:type="dxa"/>
            <w:vAlign w:val="top"/>
          </w:tcPr>
          <w:p>
            <w:pPr>
              <w:spacing w:line="316" w:lineRule="auto"/>
              <w:rPr>
                <w:rFonts w:ascii="Arial"/>
                <w:sz w:val="21"/>
              </w:rPr>
            </w:pPr>
            <w:r/>
          </w:p>
          <w:p>
            <w:pPr>
              <w:pStyle w:val="TableText"/>
              <w:ind w:left="231"/>
              <w:spacing w:before="52" w:line="219" w:lineRule="auto"/>
              <w:rPr>
                <w:sz w:val="16"/>
                <w:szCs w:val="16"/>
              </w:rPr>
            </w:pPr>
            <w:r>
              <w:rPr>
                <w:sz w:val="16"/>
                <w:szCs w:val="16"/>
                <w:spacing w:val="2"/>
              </w:rPr>
              <w:t>国家第股局</w:t>
            </w:r>
          </w:p>
        </w:tc>
        <w:tc>
          <w:tcPr>
            <w:tcW w:w="1648" w:type="dxa"/>
            <w:vAlign w:val="top"/>
          </w:tcPr>
          <w:p>
            <w:pPr>
              <w:pStyle w:val="TableText"/>
              <w:ind w:left="42" w:right="113" w:firstLine="50"/>
              <w:spacing w:before="180" w:line="223" w:lineRule="auto"/>
              <w:jc w:val="both"/>
              <w:rPr>
                <w:sz w:val="16"/>
                <w:szCs w:val="16"/>
              </w:rPr>
            </w:pPr>
            <w:r>
              <w:rPr>
                <w:sz w:val="16"/>
                <w:szCs w:val="16"/>
                <w:spacing w:val="-2"/>
              </w:rPr>
              <w:t>外国人摘带用于宗教</w:t>
            </w:r>
            <w:r>
              <w:rPr>
                <w:sz w:val="16"/>
                <w:szCs w:val="16"/>
                <w:spacing w:val="7"/>
              </w:rPr>
              <w:t xml:space="preserve"> </w:t>
            </w:r>
            <w:r>
              <w:rPr>
                <w:sz w:val="16"/>
                <w:szCs w:val="16"/>
                <w:spacing w:val="4"/>
              </w:rPr>
              <w:t>文化学术交流的宗教</w:t>
            </w:r>
            <w:r>
              <w:rPr>
                <w:sz w:val="16"/>
                <w:szCs w:val="16"/>
                <w:spacing w:val="5"/>
              </w:rPr>
              <w:t xml:space="preserve"> </w:t>
            </w:r>
            <w:r>
              <w:rPr>
                <w:sz w:val="16"/>
                <w:szCs w:val="16"/>
                <w:spacing w:val="-2"/>
              </w:rPr>
              <w:t>用是人能宣优</w:t>
            </w:r>
          </w:p>
        </w:tc>
        <w:tc>
          <w:tcPr>
            <w:tcW w:w="2357" w:type="dxa"/>
            <w:vAlign w:val="top"/>
          </w:tcPr>
          <w:p>
            <w:pPr>
              <w:spacing w:line="316" w:lineRule="auto"/>
              <w:rPr>
                <w:rFonts w:ascii="Arial"/>
                <w:sz w:val="21"/>
              </w:rPr>
            </w:pPr>
            <w:r/>
          </w:p>
          <w:p>
            <w:pPr>
              <w:pStyle w:val="TableText"/>
              <w:ind w:left="64"/>
              <w:spacing w:before="52" w:line="219" w:lineRule="auto"/>
              <w:rPr>
                <w:sz w:val="16"/>
                <w:szCs w:val="16"/>
              </w:rPr>
            </w:pPr>
            <w:r>
              <w:rPr>
                <w:sz w:val="16"/>
                <w:szCs w:val="16"/>
                <w:spacing w:val="1"/>
              </w:rPr>
              <w:t>国家宗教局，省级宝教部门</w:t>
            </w:r>
          </w:p>
        </w:tc>
        <w:tc>
          <w:tcPr>
            <w:tcW w:w="3721" w:type="dxa"/>
            <w:vAlign w:val="top"/>
          </w:tcPr>
          <w:p>
            <w:pPr>
              <w:pStyle w:val="TableText"/>
              <w:ind w:left="66" w:right="291"/>
              <w:spacing w:before="58" w:line="226" w:lineRule="auto"/>
              <w:rPr>
                <w:sz w:val="16"/>
                <w:szCs w:val="16"/>
              </w:rPr>
            </w:pPr>
            <w:r>
              <w:rPr>
                <w:sz w:val="16"/>
                <w:szCs w:val="16"/>
                <w:spacing w:val="-1"/>
              </w:rPr>
              <w:t>属务院对确需保菌的行政市数理目设定行最价可</w:t>
            </w:r>
            <w:r>
              <w:rPr>
                <w:sz w:val="16"/>
                <w:szCs w:val="16"/>
                <w:spacing w:val="12"/>
              </w:rPr>
              <w:t xml:space="preserve"> </w:t>
            </w:r>
            <w:r>
              <w:rPr>
                <w:sz w:val="16"/>
                <w:szCs w:val="16"/>
                <w:spacing w:val="4"/>
              </w:rPr>
              <w:t>的决定1</w:t>
            </w:r>
          </w:p>
          <w:p>
            <w:pPr>
              <w:pStyle w:val="TableText"/>
              <w:ind w:left="66" w:right="384" w:hanging="10"/>
              <w:spacing w:before="9" w:line="238" w:lineRule="auto"/>
              <w:rPr>
                <w:sz w:val="16"/>
                <w:szCs w:val="16"/>
              </w:rPr>
            </w:pPr>
            <w:r>
              <w:rPr>
                <w:sz w:val="16"/>
                <w:szCs w:val="16"/>
                <w:spacing w:val="-1"/>
              </w:rPr>
              <w:t>t承救事务部分石政许可项们实施办法化国实发</w:t>
            </w:r>
            <w:r>
              <w:rPr>
                <w:sz w:val="16"/>
                <w:szCs w:val="16"/>
                <w:spacing w:val="9"/>
              </w:rPr>
              <w:t xml:space="preserve"> </w:t>
            </w:r>
            <w:r>
              <w:rPr>
                <w:sz w:val="16"/>
                <w:szCs w:val="16"/>
                <w:spacing w:val="3"/>
              </w:rPr>
              <w:t>(2018711号)</w:t>
            </w:r>
          </w:p>
        </w:tc>
      </w:tr>
      <w:tr>
        <w:trPr>
          <w:trHeight w:val="889" w:hRule="atLeast"/>
        </w:trPr>
        <w:tc>
          <w:tcPr>
            <w:tcW w:w="584" w:type="dxa"/>
            <w:vAlign w:val="top"/>
          </w:tcPr>
          <w:p>
            <w:pPr>
              <w:spacing w:line="358" w:lineRule="auto"/>
              <w:rPr>
                <w:rFonts w:ascii="Arial"/>
                <w:sz w:val="21"/>
              </w:rPr>
            </w:pPr>
            <w:r/>
          </w:p>
          <w:p>
            <w:pPr>
              <w:pStyle w:val="TableText"/>
              <w:ind w:left="164"/>
              <w:spacing w:before="52" w:line="183" w:lineRule="auto"/>
              <w:rPr>
                <w:sz w:val="16"/>
                <w:szCs w:val="16"/>
              </w:rPr>
            </w:pPr>
            <w:r>
              <w:rPr>
                <w:sz w:val="16"/>
                <w:szCs w:val="16"/>
                <w:spacing w:val="-2"/>
              </w:rPr>
              <w:t>855</w:t>
            </w:r>
          </w:p>
        </w:tc>
        <w:tc>
          <w:tcPr>
            <w:tcW w:w="1289" w:type="dxa"/>
            <w:vAlign w:val="top"/>
          </w:tcPr>
          <w:p>
            <w:pPr>
              <w:spacing w:line="317" w:lineRule="auto"/>
              <w:rPr>
                <w:rFonts w:ascii="Arial"/>
                <w:sz w:val="21"/>
              </w:rPr>
            </w:pPr>
            <w:r/>
          </w:p>
          <w:p>
            <w:pPr>
              <w:pStyle w:val="TableText"/>
              <w:ind w:left="231"/>
              <w:spacing w:before="52" w:line="219" w:lineRule="auto"/>
              <w:rPr>
                <w:sz w:val="16"/>
                <w:szCs w:val="16"/>
              </w:rPr>
            </w:pPr>
            <w:r>
              <w:rPr>
                <w:sz w:val="16"/>
                <w:szCs w:val="16"/>
                <w:spacing w:val="2"/>
              </w:rPr>
              <w:t>国家常收局</w:t>
            </w:r>
          </w:p>
        </w:tc>
        <w:tc>
          <w:tcPr>
            <w:tcW w:w="1648" w:type="dxa"/>
            <w:vAlign w:val="top"/>
          </w:tcPr>
          <w:p>
            <w:pPr>
              <w:pStyle w:val="TableText"/>
              <w:ind w:left="52" w:right="84" w:firstLine="40"/>
              <w:spacing w:before="181" w:line="223" w:lineRule="auto"/>
              <w:jc w:val="both"/>
              <w:rPr>
                <w:sz w:val="16"/>
                <w:szCs w:val="16"/>
              </w:rPr>
            </w:pPr>
            <w:r>
              <w:rPr>
                <w:sz w:val="16"/>
                <w:szCs w:val="16"/>
                <w:spacing w:val="-1"/>
              </w:rPr>
              <w:t>就道以其德身份入填</w:t>
            </w:r>
            <w:r>
              <w:rPr>
                <w:sz w:val="16"/>
                <w:szCs w:val="16"/>
              </w:rPr>
              <w:t xml:space="preserve"> </w:t>
            </w:r>
            <w:r>
              <w:rPr>
                <w:sz w:val="16"/>
                <w:szCs w:val="16"/>
                <w:spacing w:val="6"/>
              </w:rPr>
              <w:t>的外国宗数意职人员 </w:t>
            </w:r>
            <w:r>
              <w:rPr>
                <w:sz w:val="16"/>
                <w:szCs w:val="16"/>
                <w:spacing w:val="-1"/>
              </w:rPr>
              <w:t>讲经，讲或审政</w:t>
            </w:r>
          </w:p>
        </w:tc>
        <w:tc>
          <w:tcPr>
            <w:tcW w:w="2357" w:type="dxa"/>
            <w:vAlign w:val="top"/>
          </w:tcPr>
          <w:p>
            <w:pPr>
              <w:spacing w:line="316" w:lineRule="auto"/>
              <w:rPr>
                <w:rFonts w:ascii="Arial"/>
                <w:sz w:val="21"/>
              </w:rPr>
            </w:pPr>
            <w:r/>
          </w:p>
          <w:p>
            <w:pPr>
              <w:pStyle w:val="TableText"/>
              <w:ind w:left="64"/>
              <w:spacing w:before="52" w:line="219" w:lineRule="auto"/>
              <w:rPr>
                <w:sz w:val="16"/>
                <w:szCs w:val="16"/>
              </w:rPr>
            </w:pPr>
            <w:r>
              <w:rPr>
                <w:sz w:val="16"/>
                <w:szCs w:val="16"/>
                <w:spacing w:val="1"/>
              </w:rPr>
              <w:t>田象宗教局；省成京教布门</w:t>
            </w:r>
          </w:p>
        </w:tc>
        <w:tc>
          <w:tcPr>
            <w:tcW w:w="3721" w:type="dxa"/>
            <w:vAlign w:val="top"/>
          </w:tcPr>
          <w:p>
            <w:pPr>
              <w:pStyle w:val="TableText"/>
              <w:ind w:left="66" w:right="197"/>
              <w:spacing w:before="61" w:line="225" w:lineRule="auto"/>
              <w:rPr>
                <w:sz w:val="16"/>
                <w:szCs w:val="16"/>
              </w:rPr>
            </w:pPr>
            <w:r>
              <w:rPr>
                <w:sz w:val="16"/>
                <w:szCs w:val="16"/>
              </w:rPr>
              <w:t>1属务院对确需保置的行政市热硬目设定行政许可</w:t>
            </w:r>
            <w:r>
              <w:rPr>
                <w:sz w:val="16"/>
                <w:szCs w:val="16"/>
                <w:spacing w:val="5"/>
              </w:rPr>
              <w:t xml:space="preserve"> </w:t>
            </w:r>
            <w:r>
              <w:rPr>
                <w:sz w:val="16"/>
                <w:szCs w:val="16"/>
              </w:rPr>
              <w:t>的决定》</w:t>
            </w:r>
          </w:p>
          <w:p>
            <w:pPr>
              <w:pStyle w:val="TableText"/>
              <w:ind w:left="66" w:right="450"/>
              <w:spacing w:before="9" w:line="238" w:lineRule="auto"/>
              <w:rPr>
                <w:sz w:val="16"/>
                <w:szCs w:val="16"/>
              </w:rPr>
            </w:pPr>
            <w:r>
              <w:rPr>
                <w:sz w:val="16"/>
                <w:szCs w:val="16"/>
                <w:spacing w:val="-1"/>
              </w:rPr>
              <w:t>肃载事多部分各业许可项目实施办陆材国定发</w:t>
            </w:r>
            <w:r>
              <w:rPr>
                <w:sz w:val="16"/>
                <w:szCs w:val="16"/>
                <w:spacing w:val="12"/>
              </w:rPr>
              <w:t xml:space="preserve"> </w:t>
            </w:r>
            <w:r>
              <w:rPr>
                <w:sz w:val="16"/>
                <w:szCs w:val="16"/>
                <w:spacing w:val="3"/>
              </w:rPr>
              <w:t>C2018111号)</w:t>
            </w:r>
          </w:p>
        </w:tc>
      </w:tr>
      <w:tr>
        <w:trPr>
          <w:trHeight w:val="489" w:hRule="atLeast"/>
        </w:trPr>
        <w:tc>
          <w:tcPr>
            <w:tcW w:w="584" w:type="dxa"/>
            <w:vAlign w:val="top"/>
          </w:tcPr>
          <w:p>
            <w:pPr>
              <w:pStyle w:val="TableText"/>
              <w:ind w:left="164"/>
              <w:spacing w:before="213" w:line="184" w:lineRule="auto"/>
              <w:rPr>
                <w:sz w:val="16"/>
                <w:szCs w:val="16"/>
              </w:rPr>
            </w:pPr>
            <w:r>
              <w:rPr>
                <w:sz w:val="16"/>
                <w:szCs w:val="16"/>
                <w:spacing w:val="-2"/>
              </w:rPr>
              <w:t>651</w:t>
            </w:r>
          </w:p>
        </w:tc>
        <w:tc>
          <w:tcPr>
            <w:tcW w:w="1289" w:type="dxa"/>
            <w:vAlign w:val="top"/>
          </w:tcPr>
          <w:p>
            <w:pPr>
              <w:pStyle w:val="TableText"/>
              <w:ind w:left="150"/>
              <w:spacing w:before="172" w:line="219" w:lineRule="auto"/>
              <w:rPr>
                <w:sz w:val="16"/>
                <w:szCs w:val="16"/>
              </w:rPr>
            </w:pPr>
            <w:r>
              <w:rPr>
                <w:sz w:val="16"/>
                <w:szCs w:val="16"/>
                <w:spacing w:val="1"/>
              </w:rPr>
              <w:t>国务院地族办</w:t>
            </w:r>
          </w:p>
        </w:tc>
        <w:tc>
          <w:tcPr>
            <w:tcW w:w="1648" w:type="dxa"/>
            <w:vAlign w:val="top"/>
          </w:tcPr>
          <w:p>
            <w:pPr>
              <w:pStyle w:val="TableText"/>
              <w:ind w:left="52" w:right="97" w:firstLine="40"/>
              <w:spacing w:before="52" w:line="243" w:lineRule="auto"/>
              <w:rPr>
                <w:sz w:val="16"/>
                <w:szCs w:val="16"/>
              </w:rPr>
            </w:pPr>
            <w:r>
              <w:rPr>
                <w:sz w:val="16"/>
                <w:szCs w:val="16"/>
              </w:rPr>
              <w:t>需想记者案内能采访</w:t>
            </w:r>
            <w:r>
              <w:rPr>
                <w:sz w:val="16"/>
                <w:szCs w:val="16"/>
                <w:spacing w:val="7"/>
              </w:rPr>
              <w:t xml:space="preserve"> </w:t>
            </w:r>
            <w:r>
              <w:rPr>
                <w:sz w:val="16"/>
                <w:szCs w:val="16"/>
                <w:spacing w:val="3"/>
              </w:rPr>
              <w:t>中我</w:t>
            </w:r>
          </w:p>
        </w:tc>
        <w:tc>
          <w:tcPr>
            <w:tcW w:w="2357" w:type="dxa"/>
            <w:vAlign w:val="top"/>
          </w:tcPr>
          <w:p>
            <w:pPr>
              <w:pStyle w:val="TableText"/>
              <w:ind w:left="64"/>
              <w:spacing w:before="172" w:line="219" w:lineRule="auto"/>
              <w:rPr>
                <w:sz w:val="16"/>
                <w:szCs w:val="16"/>
              </w:rPr>
            </w:pPr>
            <w:r>
              <w:rPr>
                <w:sz w:val="16"/>
                <w:szCs w:val="16"/>
                <w:spacing w:val="1"/>
              </w:rPr>
              <w:t>国各监清澳办</w:t>
            </w:r>
          </w:p>
        </w:tc>
        <w:tc>
          <w:tcPr>
            <w:tcW w:w="3721" w:type="dxa"/>
            <w:vAlign w:val="top"/>
          </w:tcPr>
          <w:p>
            <w:pPr>
              <w:pStyle w:val="TableText"/>
              <w:ind w:left="108" w:right="247" w:hanging="108"/>
              <w:spacing w:before="61" w:line="237" w:lineRule="auto"/>
              <w:rPr>
                <w:sz w:val="16"/>
                <w:szCs w:val="16"/>
              </w:rPr>
            </w:pPr>
            <w:r>
              <w:rPr>
                <w:sz w:val="16"/>
                <w:szCs w:val="16"/>
                <w:spacing w:val="-3"/>
              </w:rPr>
              <w:t>《国务院对确需保解的行收审批架日设定存政择可</w:t>
            </w:r>
            <w:r>
              <w:rPr>
                <w:sz w:val="16"/>
                <w:szCs w:val="16"/>
                <w:spacing w:val="8"/>
              </w:rPr>
              <w:t xml:space="preserve"> </w:t>
            </w:r>
            <w:r>
              <w:rPr>
                <w:sz w:val="16"/>
                <w:szCs w:val="16"/>
                <w:spacing w:val="2"/>
              </w:rPr>
              <w:t>的决定1</w:t>
            </w:r>
          </w:p>
        </w:tc>
      </w:tr>
      <w:tr>
        <w:trPr>
          <w:trHeight w:val="689" w:hRule="atLeast"/>
        </w:trPr>
        <w:tc>
          <w:tcPr>
            <w:tcW w:w="584" w:type="dxa"/>
            <w:vAlign w:val="top"/>
          </w:tcPr>
          <w:p>
            <w:pPr>
              <w:spacing w:line="261" w:lineRule="auto"/>
              <w:rPr>
                <w:rFonts w:ascii="Arial"/>
                <w:sz w:val="21"/>
              </w:rPr>
            </w:pPr>
            <w:r/>
          </w:p>
          <w:p>
            <w:pPr>
              <w:pStyle w:val="TableText"/>
              <w:ind w:left="164"/>
              <w:spacing w:before="52" w:line="183" w:lineRule="auto"/>
              <w:rPr>
                <w:sz w:val="16"/>
                <w:szCs w:val="16"/>
              </w:rPr>
            </w:pPr>
            <w:r>
              <w:rPr>
                <w:sz w:val="16"/>
                <w:szCs w:val="16"/>
                <w:spacing w:val="-2"/>
              </w:rPr>
              <w:t>66m</w:t>
            </w:r>
          </w:p>
        </w:tc>
        <w:tc>
          <w:tcPr>
            <w:tcW w:w="1289" w:type="dxa"/>
            <w:vAlign w:val="top"/>
          </w:tcPr>
          <w:p>
            <w:pPr>
              <w:pStyle w:val="TableText"/>
              <w:ind w:left="231"/>
              <w:spacing w:before="273" w:line="219" w:lineRule="auto"/>
              <w:rPr>
                <w:sz w:val="16"/>
                <w:szCs w:val="16"/>
              </w:rPr>
            </w:pPr>
            <w:r>
              <w:rPr>
                <w:sz w:val="16"/>
                <w:szCs w:val="16"/>
                <w:spacing w:val="1"/>
              </w:rPr>
              <w:t>国务院侨办</w:t>
            </w:r>
          </w:p>
        </w:tc>
        <w:tc>
          <w:tcPr>
            <w:tcW w:w="1648" w:type="dxa"/>
            <w:vAlign w:val="top"/>
          </w:tcPr>
          <w:p>
            <w:pPr>
              <w:pStyle w:val="TableText"/>
              <w:ind w:left="42" w:right="111" w:firstLine="50"/>
              <w:spacing w:before="64" w:line="231" w:lineRule="auto"/>
              <w:jc w:val="both"/>
              <w:rPr>
                <w:sz w:val="16"/>
                <w:szCs w:val="16"/>
              </w:rPr>
            </w:pPr>
            <w:r>
              <w:rPr>
                <w:sz w:val="16"/>
                <w:szCs w:val="16"/>
                <w:spacing w:val="-1"/>
              </w:rPr>
              <w:t>在填内举办生桥，外</w:t>
            </w:r>
            <w:r>
              <w:rPr>
                <w:sz w:val="16"/>
                <w:szCs w:val="16"/>
                <w:spacing w:val="2"/>
              </w:rPr>
              <w:t xml:space="preserve"> </w:t>
            </w:r>
            <w:r>
              <w:rPr>
                <w:sz w:val="16"/>
                <w:szCs w:val="16"/>
                <w:spacing w:val="4"/>
              </w:rPr>
              <w:t>帮华人国所性联馆活</w:t>
            </w:r>
            <w:r>
              <w:rPr>
                <w:sz w:val="16"/>
                <w:szCs w:val="16"/>
                <w:spacing w:val="3"/>
              </w:rPr>
              <w:t xml:space="preserve"> </w:t>
            </w:r>
            <w:r>
              <w:rPr>
                <w:sz w:val="16"/>
                <w:szCs w:val="16"/>
                <w:spacing w:val="-2"/>
              </w:rPr>
              <w:t>动审批</w:t>
            </w:r>
          </w:p>
        </w:tc>
        <w:tc>
          <w:tcPr>
            <w:tcW w:w="2357" w:type="dxa"/>
            <w:vAlign w:val="top"/>
          </w:tcPr>
          <w:p>
            <w:pPr>
              <w:pStyle w:val="TableText"/>
              <w:ind w:left="64"/>
              <w:spacing w:before="273" w:line="219" w:lineRule="auto"/>
              <w:rPr>
                <w:sz w:val="16"/>
                <w:szCs w:val="16"/>
              </w:rPr>
            </w:pPr>
            <w:r>
              <w:rPr>
                <w:sz w:val="16"/>
                <w:szCs w:val="16"/>
                <w:spacing w:val="1"/>
              </w:rPr>
              <w:t>国务院侨办</w:t>
            </w:r>
          </w:p>
        </w:tc>
        <w:tc>
          <w:tcPr>
            <w:tcW w:w="3721" w:type="dxa"/>
            <w:vAlign w:val="top"/>
          </w:tcPr>
          <w:p>
            <w:pPr>
              <w:pStyle w:val="TableText"/>
              <w:ind w:left="69" w:right="207" w:hanging="69"/>
              <w:spacing w:before="173" w:line="219" w:lineRule="auto"/>
              <w:rPr>
                <w:sz w:val="16"/>
                <w:szCs w:val="16"/>
              </w:rPr>
            </w:pPr>
            <w:r>
              <w:rPr>
                <w:sz w:val="16"/>
                <w:szCs w:val="16"/>
                <w:spacing w:val="-1"/>
              </w:rPr>
              <w:t>《国务院新确需保群的行故审批项自受定行改评可</w:t>
            </w:r>
            <w:r>
              <w:rPr>
                <w:sz w:val="16"/>
                <w:szCs w:val="16"/>
                <w:spacing w:val="4"/>
              </w:rPr>
              <w:t xml:space="preserve"> </w:t>
            </w:r>
            <w:r>
              <w:rPr>
                <w:sz w:val="16"/>
                <w:szCs w:val="16"/>
                <w:spacing w:val="-1"/>
              </w:rPr>
              <w:t>的决定》</w:t>
            </w:r>
          </w:p>
        </w:tc>
      </w:tr>
      <w:tr>
        <w:trPr>
          <w:trHeight w:val="889" w:hRule="atLeast"/>
        </w:trPr>
        <w:tc>
          <w:tcPr>
            <w:tcW w:w="584" w:type="dxa"/>
            <w:vAlign w:val="top"/>
          </w:tcPr>
          <w:p>
            <w:pPr>
              <w:spacing w:line="360" w:lineRule="auto"/>
              <w:rPr>
                <w:rFonts w:ascii="Arial"/>
                <w:sz w:val="21"/>
              </w:rPr>
            </w:pPr>
            <w:r/>
          </w:p>
          <w:p>
            <w:pPr>
              <w:pStyle w:val="TableText"/>
              <w:ind w:left="164"/>
              <w:spacing w:before="52" w:line="184" w:lineRule="auto"/>
              <w:rPr>
                <w:sz w:val="16"/>
                <w:szCs w:val="16"/>
              </w:rPr>
            </w:pPr>
            <w:r>
              <w:rPr>
                <w:sz w:val="16"/>
                <w:szCs w:val="16"/>
                <w:spacing w:val="-2"/>
              </w:rPr>
              <w:t>651</w:t>
            </w:r>
          </w:p>
        </w:tc>
        <w:tc>
          <w:tcPr>
            <w:tcW w:w="1289" w:type="dxa"/>
            <w:vAlign w:val="top"/>
          </w:tcPr>
          <w:p>
            <w:pPr>
              <w:spacing w:line="320" w:lineRule="auto"/>
              <w:rPr>
                <w:rFonts w:ascii="Arial"/>
                <w:sz w:val="21"/>
              </w:rPr>
            </w:pPr>
            <w:r/>
          </w:p>
          <w:p>
            <w:pPr>
              <w:pStyle w:val="TableText"/>
              <w:ind w:left="231"/>
              <w:spacing w:before="52" w:line="219" w:lineRule="auto"/>
              <w:rPr>
                <w:sz w:val="16"/>
                <w:szCs w:val="16"/>
              </w:rPr>
            </w:pPr>
            <w:r>
              <w:rPr>
                <w:sz w:val="16"/>
                <w:szCs w:val="16"/>
                <w:spacing w:val="1"/>
              </w:rPr>
              <w:t>国务能断办</w:t>
            </w:r>
          </w:p>
        </w:tc>
        <w:tc>
          <w:tcPr>
            <w:tcW w:w="1648" w:type="dxa"/>
            <w:vAlign w:val="top"/>
          </w:tcPr>
          <w:p>
            <w:pPr>
              <w:spacing w:line="321" w:lineRule="auto"/>
              <w:rPr>
                <w:rFonts w:ascii="Arial"/>
                <w:sz w:val="21"/>
              </w:rPr>
            </w:pPr>
            <w:r/>
          </w:p>
          <w:p>
            <w:pPr>
              <w:pStyle w:val="TableText"/>
              <w:ind w:left="42"/>
              <w:spacing w:before="52" w:line="220" w:lineRule="auto"/>
              <w:rPr>
                <w:sz w:val="16"/>
                <w:szCs w:val="16"/>
              </w:rPr>
            </w:pPr>
            <w:r>
              <w:rPr>
                <w:sz w:val="16"/>
                <w:szCs w:val="16"/>
                <w:spacing w:val="-1"/>
              </w:rPr>
              <w:t>华侨回国定居审批</w:t>
            </w:r>
          </w:p>
        </w:tc>
        <w:tc>
          <w:tcPr>
            <w:tcW w:w="2357" w:type="dxa"/>
            <w:vAlign w:val="top"/>
          </w:tcPr>
          <w:p>
            <w:pPr>
              <w:pStyle w:val="TableText"/>
              <w:ind w:left="54" w:right="43" w:firstLine="10"/>
              <w:spacing w:before="44" w:line="237" w:lineRule="auto"/>
              <w:jc w:val="both"/>
              <w:rPr>
                <w:sz w:val="16"/>
                <w:szCs w:val="16"/>
              </w:rPr>
            </w:pPr>
            <w:r>
              <w:rPr>
                <w:sz w:val="16"/>
                <w:szCs w:val="16"/>
                <w:spacing w:val="5"/>
              </w:rPr>
              <w:t>容级苗务寒门(由设区的市组、</w:t>
            </w:r>
            <w:r>
              <w:rPr>
                <w:sz w:val="16"/>
                <w:szCs w:val="16"/>
                <w:spacing w:val="8"/>
              </w:rPr>
              <w:t xml:space="preserve"> </w:t>
            </w:r>
            <w:r>
              <w:rPr>
                <w:sz w:val="16"/>
                <w:szCs w:val="16"/>
                <w:spacing w:val="1"/>
              </w:rPr>
              <w:t>要圾价务部门哲市万收区的范</w:t>
            </w:r>
            <w:r>
              <w:rPr>
                <w:sz w:val="16"/>
                <w:szCs w:val="16"/>
              </w:rPr>
              <w:t xml:space="preserve">   </w:t>
            </w:r>
            <w:r>
              <w:rPr>
                <w:sz w:val="16"/>
                <w:szCs w:val="16"/>
                <w:spacing w:val="-1"/>
              </w:rPr>
              <w:t>现仍务部门(由县级桥务解门初</w:t>
            </w:r>
            <w:r>
              <w:rPr>
                <w:sz w:val="16"/>
                <w:szCs w:val="16"/>
                <w:spacing w:val="2"/>
              </w:rPr>
              <w:t xml:space="preserve">  </w:t>
            </w:r>
            <w:r>
              <w:rPr>
                <w:sz w:val="16"/>
                <w:szCs w:val="16"/>
                <w:spacing w:val="1"/>
              </w:rPr>
              <w:t>事</w:t>
            </w:r>
            <w:r>
              <w:rPr>
                <w:sz w:val="16"/>
                <w:szCs w:val="16"/>
                <w:spacing w:val="-32"/>
              </w:rPr>
              <w:t xml:space="preserve"> </w:t>
            </w:r>
            <w:r>
              <w:rPr>
                <w:sz w:val="16"/>
                <w:szCs w:val="16"/>
                <w:spacing w:val="1"/>
              </w:rPr>
              <w:t>)</w:t>
            </w:r>
          </w:p>
        </w:tc>
        <w:tc>
          <w:tcPr>
            <w:tcW w:w="3721" w:type="dxa"/>
            <w:vAlign w:val="top"/>
          </w:tcPr>
          <w:p>
            <w:pPr>
              <w:pStyle w:val="TableText"/>
              <w:ind w:left="66"/>
              <w:spacing w:before="264" w:line="219" w:lineRule="auto"/>
              <w:rPr>
                <w:sz w:val="16"/>
                <w:szCs w:val="16"/>
              </w:rPr>
            </w:pPr>
            <w:r>
              <w:rPr>
                <w:sz w:val="16"/>
                <w:szCs w:val="16"/>
                <w:spacing w:val="1"/>
              </w:rPr>
              <w:t>4中华人民共和国出结入域情理出1</w:t>
            </w:r>
          </w:p>
          <w:p>
            <w:pPr>
              <w:pStyle w:val="TableText"/>
              <w:ind w:left="87"/>
              <w:spacing w:before="10" w:line="219" w:lineRule="auto"/>
              <w:rPr>
                <w:sz w:val="16"/>
                <w:szCs w:val="16"/>
              </w:rPr>
            </w:pPr>
            <w:r>
              <w:rPr>
                <w:sz w:val="16"/>
                <w:szCs w:val="16"/>
                <w:spacing w:val="1"/>
              </w:rPr>
              <w:t>(华伍网国定居办理工作载定和国侨发(0(3218号)</w:t>
            </w:r>
          </w:p>
        </w:tc>
      </w:tr>
      <w:tr>
        <w:trPr>
          <w:trHeight w:val="764" w:hRule="atLeast"/>
        </w:trPr>
        <w:tc>
          <w:tcPr>
            <w:tcW w:w="584" w:type="dxa"/>
            <w:vAlign w:val="top"/>
          </w:tcPr>
          <w:p>
            <w:pPr>
              <w:spacing w:line="293" w:lineRule="auto"/>
              <w:rPr>
                <w:rFonts w:ascii="Arial"/>
                <w:sz w:val="21"/>
              </w:rPr>
            </w:pPr>
            <w:r/>
          </w:p>
          <w:p>
            <w:pPr>
              <w:pStyle w:val="TableText"/>
              <w:ind w:left="164"/>
              <w:spacing w:before="52" w:line="183" w:lineRule="auto"/>
              <w:rPr>
                <w:sz w:val="16"/>
                <w:szCs w:val="16"/>
              </w:rPr>
            </w:pPr>
            <w:r>
              <w:rPr>
                <w:sz w:val="16"/>
                <w:szCs w:val="16"/>
                <w:spacing w:val="-2"/>
              </w:rPr>
              <w:t>662</w:t>
            </w:r>
          </w:p>
        </w:tc>
        <w:tc>
          <w:tcPr>
            <w:tcW w:w="1289" w:type="dxa"/>
            <w:vAlign w:val="top"/>
          </w:tcPr>
          <w:p>
            <w:pPr>
              <w:spacing w:line="252" w:lineRule="auto"/>
              <w:rPr>
                <w:rFonts w:ascii="Arial"/>
                <w:sz w:val="21"/>
              </w:rPr>
            </w:pPr>
            <w:r/>
          </w:p>
          <w:p>
            <w:pPr>
              <w:pStyle w:val="TableText"/>
              <w:ind w:left="231"/>
              <w:spacing w:before="52" w:line="219" w:lineRule="auto"/>
              <w:rPr>
                <w:sz w:val="16"/>
                <w:szCs w:val="16"/>
              </w:rPr>
            </w:pPr>
            <w:r>
              <w:rPr>
                <w:sz w:val="16"/>
                <w:szCs w:val="16"/>
                <w:spacing w:val="1"/>
              </w:rPr>
              <w:t>国家网信办</w:t>
            </w:r>
          </w:p>
        </w:tc>
        <w:tc>
          <w:tcPr>
            <w:tcW w:w="1648" w:type="dxa"/>
            <w:vAlign w:val="top"/>
          </w:tcPr>
          <w:p>
            <w:pPr>
              <w:pStyle w:val="TableText"/>
              <w:ind w:left="52" w:right="114" w:firstLine="40"/>
              <w:spacing w:before="215" w:line="220" w:lineRule="auto"/>
              <w:rPr>
                <w:sz w:val="16"/>
                <w:szCs w:val="16"/>
              </w:rPr>
            </w:pPr>
            <w:r>
              <w:rPr>
                <w:sz w:val="16"/>
                <w:szCs w:val="16"/>
                <w:spacing w:val="-1"/>
              </w:rPr>
              <w:t>互联网新闻信息数寿</w:t>
            </w:r>
            <w:r>
              <w:rPr>
                <w:sz w:val="16"/>
                <w:szCs w:val="16"/>
              </w:rPr>
              <w:t xml:space="preserve"> </w:t>
            </w:r>
            <w:r>
              <w:rPr>
                <w:sz w:val="16"/>
                <w:szCs w:val="16"/>
                <w:spacing w:val="-2"/>
              </w:rPr>
              <w:t>许河</w:t>
            </w:r>
          </w:p>
        </w:tc>
        <w:tc>
          <w:tcPr>
            <w:tcW w:w="2357" w:type="dxa"/>
            <w:vAlign w:val="top"/>
          </w:tcPr>
          <w:p>
            <w:pPr>
              <w:pStyle w:val="TableText"/>
              <w:ind w:left="64" w:right="54" w:hanging="20"/>
              <w:spacing w:before="196" w:line="242" w:lineRule="auto"/>
              <w:rPr>
                <w:sz w:val="16"/>
                <w:szCs w:val="16"/>
              </w:rPr>
            </w:pPr>
            <w:r>
              <w:rPr>
                <w:sz w:val="16"/>
                <w:szCs w:val="16"/>
              </w:rPr>
              <w:t>国家网信办《都分由省版间信部</w:t>
            </w:r>
            <w:r>
              <w:rPr>
                <w:sz w:val="16"/>
                <w:szCs w:val="16"/>
                <w:spacing w:val="7"/>
              </w:rPr>
              <w:t xml:space="preserve"> </w:t>
            </w:r>
            <w:r>
              <w:rPr>
                <w:sz w:val="16"/>
                <w:szCs w:val="16"/>
                <w:spacing w:val="1"/>
              </w:rPr>
              <w:t>门视审):省级网信部门</w:t>
            </w:r>
          </w:p>
        </w:tc>
        <w:tc>
          <w:tcPr>
            <w:tcW w:w="3721" w:type="dxa"/>
            <w:vAlign w:val="top"/>
          </w:tcPr>
          <w:p>
            <w:pPr>
              <w:pStyle w:val="TableText"/>
              <w:ind w:left="66" w:right="199" w:firstLine="10"/>
              <w:spacing w:before="95" w:line="231" w:lineRule="auto"/>
              <w:rPr>
                <w:sz w:val="16"/>
                <w:szCs w:val="16"/>
              </w:rPr>
            </w:pPr>
            <w:r>
              <w:rPr>
                <w:sz w:val="16"/>
                <w:szCs w:val="16"/>
                <w:spacing w:val="-1"/>
              </w:rPr>
              <w:t>4国务他对确需保箱的行改审批况自设定行战许可</w:t>
            </w:r>
            <w:r>
              <w:rPr>
                <w:sz w:val="16"/>
                <w:szCs w:val="16"/>
                <w:spacing w:val="15"/>
              </w:rPr>
              <w:t xml:space="preserve"> </w:t>
            </w:r>
            <w:r>
              <w:rPr>
                <w:sz w:val="16"/>
                <w:szCs w:val="16"/>
              </w:rPr>
              <w:t>的决定》</w:t>
            </w:r>
          </w:p>
          <w:p>
            <w:pPr>
              <w:pStyle w:val="TableText"/>
              <w:ind w:left="66"/>
              <w:spacing w:before="39" w:line="219" w:lineRule="auto"/>
              <w:rPr>
                <w:sz w:val="16"/>
                <w:szCs w:val="16"/>
              </w:rPr>
            </w:pPr>
            <w:r>
              <w:rPr>
                <w:sz w:val="16"/>
                <w:szCs w:val="16"/>
                <w:spacing w:val="2"/>
              </w:rPr>
              <w:t>4点兼问新居信息藏劳膏望能是)</w:t>
            </w:r>
          </w:p>
        </w:tc>
      </w:tr>
    </w:tbl>
    <w:p>
      <w:pPr>
        <w:pStyle w:val="BodyText"/>
        <w:rPr/>
      </w:pPr>
      <w:r/>
    </w:p>
    <w:p>
      <w:pPr>
        <w:sectPr>
          <w:pgSz w:w="11910" w:h="8220"/>
          <w:pgMar w:top="400" w:right="116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892736"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302" name="TextBox 302"/>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4" style="position:absolute;margin-left:37.0402pt;margin-top:49.1374pt;mso-position-vertical-relative:page;mso-position-horizontal-relative:page;width:13.6pt;height:12.35pt;z-index:2518927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232</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5" w:hRule="atLeast"/>
        </w:trPr>
        <w:tc>
          <w:tcPr>
            <w:tcW w:w="584" w:type="dxa"/>
            <w:vAlign w:val="top"/>
          </w:tcPr>
          <w:p>
            <w:pPr>
              <w:pStyle w:val="TableText"/>
              <w:ind w:left="114"/>
              <w:spacing w:before="132" w:line="221" w:lineRule="auto"/>
              <w:rPr>
                <w:sz w:val="17"/>
                <w:szCs w:val="17"/>
              </w:rPr>
            </w:pPr>
            <w:r>
              <w:rPr>
                <w:sz w:val="17"/>
                <w:szCs w:val="17"/>
                <w:spacing w:val="-2"/>
              </w:rPr>
              <w:t>序号</w:t>
            </w:r>
          </w:p>
        </w:tc>
        <w:tc>
          <w:tcPr>
            <w:tcW w:w="1289" w:type="dxa"/>
            <w:vAlign w:val="top"/>
          </w:tcPr>
          <w:p>
            <w:pPr>
              <w:pStyle w:val="TableText"/>
              <w:ind w:left="120"/>
              <w:spacing w:before="132" w:line="219" w:lineRule="auto"/>
              <w:rPr>
                <w:sz w:val="17"/>
                <w:szCs w:val="17"/>
              </w:rPr>
            </w:pPr>
            <w:r>
              <w:rPr>
                <w:sz w:val="17"/>
                <w:szCs w:val="17"/>
                <w:spacing w:val="3"/>
              </w:rPr>
              <w:t>中央主骨创门</w:t>
            </w:r>
          </w:p>
        </w:tc>
        <w:tc>
          <w:tcPr>
            <w:tcW w:w="1648" w:type="dxa"/>
            <w:vAlign w:val="top"/>
          </w:tcPr>
          <w:p>
            <w:pPr>
              <w:pStyle w:val="TableText"/>
              <w:ind w:left="471"/>
              <w:spacing w:before="132" w:line="220" w:lineRule="auto"/>
              <w:rPr>
                <w:sz w:val="17"/>
                <w:szCs w:val="17"/>
              </w:rPr>
            </w:pPr>
            <w:r>
              <w:rPr>
                <w:sz w:val="17"/>
                <w:szCs w:val="17"/>
                <w:spacing w:val="-2"/>
              </w:rPr>
              <w:t>事项名称</w:t>
            </w:r>
          </w:p>
        </w:tc>
        <w:tc>
          <w:tcPr>
            <w:tcW w:w="2367" w:type="dxa"/>
            <w:vAlign w:val="top"/>
          </w:tcPr>
          <w:p>
            <w:pPr>
              <w:pStyle w:val="TableText"/>
              <w:ind w:left="834"/>
              <w:spacing w:before="130" w:line="219" w:lineRule="auto"/>
              <w:rPr>
                <w:sz w:val="17"/>
                <w:szCs w:val="17"/>
              </w:rPr>
            </w:pPr>
            <w:r>
              <w:rPr>
                <w:sz w:val="17"/>
                <w:szCs w:val="17"/>
                <w:spacing w:val="-2"/>
              </w:rPr>
              <w:t>其斯机关</w:t>
            </w:r>
          </w:p>
        </w:tc>
        <w:tc>
          <w:tcPr>
            <w:tcW w:w="3711" w:type="dxa"/>
            <w:vAlign w:val="top"/>
          </w:tcPr>
          <w:p>
            <w:pPr>
              <w:pStyle w:val="TableText"/>
              <w:ind w:left="1266"/>
              <w:spacing w:before="132" w:line="219" w:lineRule="auto"/>
              <w:rPr>
                <w:sz w:val="17"/>
                <w:szCs w:val="17"/>
              </w:rPr>
            </w:pPr>
            <w:r>
              <w:rPr>
                <w:sz w:val="17"/>
                <w:szCs w:val="17"/>
                <w:spacing w:val="-2"/>
              </w:rPr>
              <w:t>设宣和实牌保据</w:t>
            </w:r>
          </w:p>
        </w:tc>
      </w:tr>
      <w:tr>
        <w:trPr>
          <w:trHeight w:val="1059" w:hRule="atLeast"/>
        </w:trPr>
        <w:tc>
          <w:tcPr>
            <w:tcW w:w="584" w:type="dxa"/>
            <w:vAlign w:val="top"/>
          </w:tcPr>
          <w:p>
            <w:pPr>
              <w:spacing w:line="414" w:lineRule="auto"/>
              <w:rPr>
                <w:rFonts w:ascii="Arial"/>
                <w:sz w:val="21"/>
              </w:rPr>
            </w:pPr>
            <w:r/>
          </w:p>
          <w:p>
            <w:pPr>
              <w:pStyle w:val="TableText"/>
              <w:ind w:left="194"/>
              <w:spacing w:before="55" w:line="183" w:lineRule="auto"/>
              <w:rPr>
                <w:sz w:val="17"/>
                <w:szCs w:val="17"/>
              </w:rPr>
            </w:pPr>
            <w:r>
              <w:rPr>
                <w:sz w:val="17"/>
                <w:szCs w:val="17"/>
                <w:spacing w:val="-2"/>
              </w:rPr>
              <w:t>8J</w:t>
            </w:r>
          </w:p>
        </w:tc>
        <w:tc>
          <w:tcPr>
            <w:tcW w:w="1289" w:type="dxa"/>
            <w:vAlign w:val="top"/>
          </w:tcPr>
          <w:p>
            <w:pPr>
              <w:spacing w:line="389" w:lineRule="auto"/>
              <w:rPr>
                <w:rFonts w:ascii="Arial"/>
                <w:sz w:val="21"/>
              </w:rPr>
            </w:pPr>
            <w:r/>
          </w:p>
          <w:p>
            <w:pPr>
              <w:pStyle w:val="TableText"/>
              <w:ind w:left="210"/>
              <w:spacing w:before="55" w:line="219" w:lineRule="auto"/>
              <w:rPr>
                <w:sz w:val="17"/>
                <w:szCs w:val="17"/>
              </w:rPr>
            </w:pPr>
            <w:r>
              <w:rPr>
                <w:sz w:val="17"/>
                <w:szCs w:val="17"/>
                <w:spacing w:val="2"/>
              </w:rPr>
              <w:t>国家网保办</w:t>
            </w:r>
          </w:p>
        </w:tc>
        <w:tc>
          <w:tcPr>
            <w:tcW w:w="1648" w:type="dxa"/>
            <w:vAlign w:val="top"/>
          </w:tcPr>
          <w:p>
            <w:pPr>
              <w:pStyle w:val="TableText"/>
              <w:ind w:left="32" w:right="32" w:firstLine="20"/>
              <w:spacing w:before="245" w:line="222" w:lineRule="auto"/>
              <w:jc w:val="both"/>
              <w:rPr>
                <w:sz w:val="17"/>
                <w:szCs w:val="17"/>
              </w:rPr>
            </w:pPr>
            <w:r>
              <w:rPr>
                <w:sz w:val="17"/>
                <w:szCs w:val="17"/>
                <w:spacing w:val="2"/>
              </w:rPr>
              <w:t>外国机构在中国境内</w:t>
            </w:r>
            <w:r>
              <w:rPr>
                <w:sz w:val="17"/>
                <w:szCs w:val="17"/>
                <w:spacing w:val="4"/>
              </w:rPr>
              <w:t xml:space="preserve"> </w:t>
            </w:r>
            <w:r>
              <w:rPr>
                <w:sz w:val="17"/>
                <w:szCs w:val="17"/>
                <w:spacing w:val="1"/>
              </w:rPr>
              <w:t>提低金航师息的服务</w:t>
            </w:r>
            <w:r>
              <w:rPr>
                <w:sz w:val="17"/>
                <w:szCs w:val="17"/>
                <w:spacing w:val="2"/>
              </w:rPr>
              <w:t xml:space="preserve"> </w:t>
            </w:r>
            <w:r>
              <w:rPr>
                <w:sz w:val="17"/>
                <w:szCs w:val="17"/>
                <w:spacing w:val="-2"/>
              </w:rPr>
              <w:t>应务市的</w:t>
            </w:r>
          </w:p>
        </w:tc>
        <w:tc>
          <w:tcPr>
            <w:tcW w:w="2367" w:type="dxa"/>
            <w:vAlign w:val="top"/>
          </w:tcPr>
          <w:p>
            <w:pPr>
              <w:spacing w:line="389" w:lineRule="auto"/>
              <w:rPr>
                <w:rFonts w:ascii="Arial"/>
                <w:sz w:val="21"/>
              </w:rPr>
            </w:pPr>
            <w:r/>
          </w:p>
          <w:p>
            <w:pPr>
              <w:pStyle w:val="TableText"/>
              <w:ind w:left="44"/>
              <w:spacing w:before="55" w:line="219" w:lineRule="auto"/>
              <w:rPr>
                <w:sz w:val="17"/>
                <w:szCs w:val="17"/>
              </w:rPr>
            </w:pPr>
            <w:r>
              <w:rPr>
                <w:sz w:val="17"/>
                <w:szCs w:val="17"/>
                <w:spacing w:val="1"/>
              </w:rPr>
              <w:t>国家网信办</w:t>
            </w:r>
          </w:p>
        </w:tc>
        <w:tc>
          <w:tcPr>
            <w:tcW w:w="3711" w:type="dxa"/>
            <w:vAlign w:val="top"/>
          </w:tcPr>
          <w:p>
            <w:pPr>
              <w:pStyle w:val="TableText"/>
              <w:ind w:left="46" w:right="6" w:hanging="10"/>
              <w:spacing w:before="67" w:line="207" w:lineRule="auto"/>
              <w:rPr>
                <w:sz w:val="17"/>
                <w:szCs w:val="17"/>
              </w:rPr>
            </w:pPr>
            <w:r>
              <w:rPr>
                <w:sz w:val="17"/>
                <w:szCs w:val="17"/>
              </w:rPr>
              <w:t>1国各院对确需保前的行政审批项留设定行政许可</w:t>
            </w:r>
            <w:r>
              <w:rPr>
                <w:sz w:val="17"/>
                <w:szCs w:val="17"/>
                <w:spacing w:val="1"/>
              </w:rPr>
              <w:t xml:space="preserve"> </w:t>
            </w:r>
            <w:r>
              <w:rPr>
                <w:sz w:val="17"/>
                <w:szCs w:val="17"/>
                <w:spacing w:val="3"/>
              </w:rPr>
              <w:t>的次定</w:t>
            </w:r>
          </w:p>
          <w:p>
            <w:pPr>
              <w:pStyle w:val="TableText"/>
              <w:ind w:left="46" w:firstLine="79"/>
              <w:spacing w:before="9" w:line="214" w:lineRule="auto"/>
              <w:jc w:val="both"/>
              <w:rPr>
                <w:sz w:val="17"/>
                <w:szCs w:val="17"/>
              </w:rPr>
            </w:pPr>
            <w:r>
              <w:rPr>
                <w:sz w:val="17"/>
                <w:szCs w:val="17"/>
                <w:spacing w:val="-4"/>
              </w:rPr>
              <w:t>国务院关于修故1国务裂对请需保图辞行数审批项</w:t>
            </w:r>
            <w:r>
              <w:rPr>
                <w:sz w:val="17"/>
                <w:szCs w:val="17"/>
                <w:spacing w:val="6"/>
              </w:rPr>
              <w:t xml:space="preserve"> </w:t>
            </w:r>
            <w:r>
              <w:rPr>
                <w:sz w:val="17"/>
                <w:szCs w:val="17"/>
              </w:rPr>
              <w:t>自设定行政许可的决定)的决度和圆务吨令第548</w:t>
            </w:r>
            <w:r>
              <w:rPr>
                <w:sz w:val="17"/>
                <w:szCs w:val="17"/>
                <w:spacing w:val="1"/>
              </w:rPr>
              <w:t xml:space="preserve">  </w:t>
            </w:r>
            <w:r>
              <w:rPr>
                <w:sz w:val="17"/>
                <w:szCs w:val="17"/>
                <w:spacing w:val="-6"/>
              </w:rPr>
              <w:t>号</w:t>
            </w:r>
            <w:r>
              <w:rPr>
                <w:sz w:val="17"/>
                <w:szCs w:val="17"/>
                <w:spacing w:val="-35"/>
              </w:rPr>
              <w:t xml:space="preserve"> </w:t>
            </w:r>
            <w:r>
              <w:rPr>
                <w:sz w:val="17"/>
                <w:szCs w:val="17"/>
                <w:spacing w:val="-6"/>
              </w:rPr>
              <w:t>)</w:t>
            </w:r>
          </w:p>
        </w:tc>
      </w:tr>
      <w:tr>
        <w:trPr>
          <w:trHeight w:val="1078" w:hRule="atLeast"/>
        </w:trPr>
        <w:tc>
          <w:tcPr>
            <w:tcW w:w="584" w:type="dxa"/>
            <w:vAlign w:val="top"/>
          </w:tcPr>
          <w:p>
            <w:pPr>
              <w:spacing w:line="443" w:lineRule="auto"/>
              <w:rPr>
                <w:rFonts w:ascii="Arial"/>
                <w:sz w:val="21"/>
              </w:rPr>
            </w:pPr>
            <w:r/>
          </w:p>
          <w:p>
            <w:pPr>
              <w:pStyle w:val="TableText"/>
              <w:ind w:left="154"/>
              <w:spacing w:before="56" w:line="183" w:lineRule="auto"/>
              <w:rPr>
                <w:sz w:val="17"/>
                <w:szCs w:val="17"/>
              </w:rPr>
            </w:pPr>
            <w:r>
              <w:rPr>
                <w:sz w:val="17"/>
                <w:szCs w:val="17"/>
                <w:spacing w:val="-2"/>
              </w:rPr>
              <w:t>664</w:t>
            </w:r>
          </w:p>
        </w:tc>
        <w:tc>
          <w:tcPr>
            <w:tcW w:w="1289" w:type="dxa"/>
            <w:vAlign w:val="top"/>
          </w:tcPr>
          <w:p>
            <w:pPr>
              <w:spacing w:line="400" w:lineRule="auto"/>
              <w:rPr>
                <w:rFonts w:ascii="Arial"/>
                <w:sz w:val="21"/>
              </w:rPr>
            </w:pPr>
            <w:r/>
          </w:p>
          <w:p>
            <w:pPr>
              <w:pStyle w:val="TableText"/>
              <w:ind w:left="120"/>
              <w:spacing w:before="55" w:line="219" w:lineRule="auto"/>
              <w:rPr>
                <w:sz w:val="17"/>
                <w:szCs w:val="17"/>
              </w:rPr>
            </w:pPr>
            <w:r>
              <w:rPr>
                <w:sz w:val="17"/>
                <w:szCs w:val="17"/>
                <w:spacing w:val="1"/>
              </w:rPr>
              <w:t>国务院新闻办</w:t>
            </w:r>
          </w:p>
        </w:tc>
        <w:tc>
          <w:tcPr>
            <w:tcW w:w="1648" w:type="dxa"/>
            <w:vAlign w:val="top"/>
          </w:tcPr>
          <w:p>
            <w:pPr>
              <w:pStyle w:val="TableText"/>
              <w:ind w:left="52" w:right="47"/>
              <w:spacing w:before="268" w:line="214" w:lineRule="auto"/>
              <w:jc w:val="both"/>
              <w:rPr>
                <w:sz w:val="17"/>
                <w:szCs w:val="17"/>
              </w:rPr>
            </w:pPr>
            <w:r>
              <w:rPr>
                <w:sz w:val="17"/>
                <w:szCs w:val="17"/>
                <w:spacing w:val="-2"/>
              </w:rPr>
              <w:t>外国遇乱社在中国境</w:t>
            </w:r>
            <w:r>
              <w:rPr>
                <w:sz w:val="17"/>
                <w:szCs w:val="17"/>
                <w:spacing w:val="6"/>
              </w:rPr>
              <w:t xml:space="preserve"> </w:t>
            </w:r>
            <w:r>
              <w:rPr>
                <w:sz w:val="17"/>
                <w:szCs w:val="17"/>
              </w:rPr>
              <w:t>内级供新国的限养壶</w:t>
            </w:r>
            <w:r>
              <w:rPr>
                <w:sz w:val="17"/>
                <w:szCs w:val="17"/>
                <w:spacing w:val="7"/>
              </w:rPr>
              <w:t xml:space="preserve"> </w:t>
            </w:r>
            <w:r>
              <w:rPr>
                <w:sz w:val="17"/>
                <w:szCs w:val="17"/>
                <w:spacing w:val="-2"/>
              </w:rPr>
              <w:t>务审花</w:t>
            </w:r>
          </w:p>
        </w:tc>
        <w:tc>
          <w:tcPr>
            <w:tcW w:w="2367" w:type="dxa"/>
            <w:vAlign w:val="top"/>
          </w:tcPr>
          <w:p>
            <w:pPr>
              <w:spacing w:line="400" w:lineRule="auto"/>
              <w:rPr>
                <w:rFonts w:ascii="Arial"/>
                <w:sz w:val="21"/>
              </w:rPr>
            </w:pPr>
            <w:r/>
          </w:p>
          <w:p>
            <w:pPr>
              <w:pStyle w:val="TableText"/>
              <w:ind w:left="44"/>
              <w:spacing w:before="55" w:line="219" w:lineRule="auto"/>
              <w:rPr>
                <w:sz w:val="17"/>
                <w:szCs w:val="17"/>
              </w:rPr>
            </w:pPr>
            <w:r>
              <w:rPr>
                <w:sz w:val="17"/>
                <w:szCs w:val="17"/>
                <w:spacing w:val="1"/>
              </w:rPr>
              <w:t>国务院新国办</w:t>
            </w:r>
          </w:p>
        </w:tc>
        <w:tc>
          <w:tcPr>
            <w:tcW w:w="3711" w:type="dxa"/>
            <w:vAlign w:val="top"/>
          </w:tcPr>
          <w:p>
            <w:pPr>
              <w:pStyle w:val="TableText"/>
              <w:ind w:left="83" w:right="4" w:hanging="84"/>
              <w:spacing w:before="58" w:line="222" w:lineRule="auto"/>
              <w:rPr>
                <w:sz w:val="17"/>
                <w:szCs w:val="17"/>
              </w:rPr>
            </w:pPr>
            <w:r>
              <w:rPr>
                <w:sz w:val="17"/>
                <w:szCs w:val="17"/>
                <w:spacing w:val="-2"/>
              </w:rPr>
              <w:t>【国各院对确前保脂的行政审批项目设定行政许可</w:t>
            </w:r>
            <w:r>
              <w:rPr>
                <w:sz w:val="17"/>
                <w:szCs w:val="17"/>
              </w:rPr>
              <w:t xml:space="preserve"> </w:t>
            </w:r>
            <w:r>
              <w:rPr>
                <w:sz w:val="17"/>
                <w:szCs w:val="17"/>
                <w:spacing w:val="1"/>
              </w:rPr>
              <w:t>的决定</w:t>
            </w:r>
          </w:p>
          <w:p>
            <w:pPr>
              <w:pStyle w:val="TableText"/>
              <w:ind w:left="46" w:firstLine="19"/>
              <w:spacing w:line="217" w:lineRule="auto"/>
              <w:jc w:val="both"/>
              <w:rPr>
                <w:sz w:val="17"/>
                <w:szCs w:val="17"/>
              </w:rPr>
            </w:pPr>
            <w:r>
              <w:rPr>
                <w:sz w:val="17"/>
                <w:szCs w:val="17"/>
                <w:spacing w:val="-5"/>
              </w:rPr>
              <w:t>1国务院关于物改(国务院到销寄保宿的行做审批项</w:t>
            </w:r>
            <w:r>
              <w:rPr>
                <w:sz w:val="17"/>
                <w:szCs w:val="17"/>
                <w:spacing w:val="8"/>
              </w:rPr>
              <w:t xml:space="preserve"> </w:t>
            </w:r>
            <w:r>
              <w:rPr>
                <w:sz w:val="17"/>
                <w:szCs w:val="17"/>
              </w:rPr>
              <w:t>甘设立行政许前的决定》的决定和识务院专</w:t>
            </w:r>
            <w:r>
              <w:rPr>
                <w:sz w:val="17"/>
                <w:szCs w:val="17"/>
                <w:spacing w:val="-1"/>
              </w:rPr>
              <w:t>第548</w:t>
            </w:r>
            <w:r>
              <w:rPr>
                <w:sz w:val="17"/>
                <w:szCs w:val="17"/>
              </w:rPr>
              <w:t xml:space="preserve"> </w:t>
            </w:r>
            <w:r>
              <w:rPr>
                <w:sz w:val="17"/>
                <w:szCs w:val="17"/>
                <w:spacing w:val="-6"/>
              </w:rPr>
              <w:t>号</w:t>
            </w:r>
            <w:r>
              <w:rPr>
                <w:sz w:val="17"/>
                <w:szCs w:val="17"/>
                <w:spacing w:val="-35"/>
              </w:rPr>
              <w:t xml:space="preserve"> </w:t>
            </w:r>
            <w:r>
              <w:rPr>
                <w:sz w:val="17"/>
                <w:szCs w:val="17"/>
                <w:spacing w:val="-6"/>
              </w:rPr>
              <w:t>)</w:t>
            </w:r>
          </w:p>
        </w:tc>
      </w:tr>
      <w:tr>
        <w:trPr>
          <w:trHeight w:val="649" w:hRule="atLeast"/>
        </w:trPr>
        <w:tc>
          <w:tcPr>
            <w:tcW w:w="584" w:type="dxa"/>
            <w:vAlign w:val="top"/>
          </w:tcPr>
          <w:p>
            <w:pPr>
              <w:pStyle w:val="TableText"/>
              <w:ind w:left="154"/>
              <w:spacing w:before="283" w:line="183" w:lineRule="auto"/>
              <w:rPr>
                <w:sz w:val="17"/>
                <w:szCs w:val="17"/>
              </w:rPr>
            </w:pPr>
            <w:r>
              <w:rPr>
                <w:sz w:val="17"/>
                <w:szCs w:val="17"/>
                <w:spacing w:val="-2"/>
              </w:rPr>
              <w:t>668</w:t>
            </w:r>
          </w:p>
        </w:tc>
        <w:tc>
          <w:tcPr>
            <w:tcW w:w="1289" w:type="dxa"/>
            <w:vAlign w:val="top"/>
          </w:tcPr>
          <w:p>
            <w:pPr>
              <w:pStyle w:val="TableText"/>
              <w:ind w:left="210"/>
              <w:spacing w:before="240" w:line="219" w:lineRule="auto"/>
              <w:rPr>
                <w:sz w:val="17"/>
                <w:szCs w:val="17"/>
              </w:rPr>
            </w:pPr>
            <w:r>
              <w:rPr>
                <w:sz w:val="17"/>
                <w:szCs w:val="17"/>
                <w:spacing w:val="3"/>
              </w:rPr>
              <w:t>中国气象局</w:t>
            </w:r>
          </w:p>
        </w:tc>
        <w:tc>
          <w:tcPr>
            <w:tcW w:w="1648" w:type="dxa"/>
            <w:vAlign w:val="top"/>
          </w:tcPr>
          <w:p>
            <w:pPr>
              <w:pStyle w:val="TableText"/>
              <w:ind w:left="52" w:right="63"/>
              <w:spacing w:before="140" w:line="234" w:lineRule="auto"/>
              <w:rPr>
                <w:sz w:val="17"/>
                <w:szCs w:val="17"/>
              </w:rPr>
            </w:pPr>
            <w:r>
              <w:rPr>
                <w:sz w:val="17"/>
                <w:szCs w:val="17"/>
                <w:spacing w:val="-1"/>
              </w:rPr>
              <w:t>而电防护蓉量校现单</w:t>
            </w:r>
            <w:r>
              <w:rPr>
                <w:sz w:val="17"/>
                <w:szCs w:val="17"/>
              </w:rPr>
              <w:t xml:space="preserve"> </w:t>
            </w:r>
            <w:r>
              <w:rPr>
                <w:sz w:val="17"/>
                <w:szCs w:val="17"/>
                <w:spacing w:val="-2"/>
              </w:rPr>
              <w:t>位资质认冠</w:t>
            </w:r>
          </w:p>
        </w:tc>
        <w:tc>
          <w:tcPr>
            <w:tcW w:w="2367" w:type="dxa"/>
            <w:vAlign w:val="top"/>
          </w:tcPr>
          <w:p>
            <w:pPr>
              <w:pStyle w:val="TableText"/>
              <w:ind w:left="44"/>
              <w:spacing w:before="39" w:line="217" w:lineRule="auto"/>
              <w:jc w:val="both"/>
              <w:rPr>
                <w:sz w:val="17"/>
                <w:szCs w:val="17"/>
              </w:rPr>
            </w:pPr>
            <w:r>
              <w:rPr>
                <w:sz w:val="17"/>
                <w:szCs w:val="17"/>
                <w:spacing w:val="-5"/>
              </w:rPr>
              <w:t>中国气象局和国家能系局；中国</w:t>
            </w:r>
            <w:r>
              <w:rPr>
                <w:sz w:val="17"/>
                <w:szCs w:val="17"/>
                <w:spacing w:val="1"/>
              </w:rPr>
              <w:t xml:space="preserve"> </w:t>
            </w:r>
            <w:r>
              <w:rPr>
                <w:sz w:val="17"/>
                <w:szCs w:val="17"/>
                <w:spacing w:val="-6"/>
              </w:rPr>
              <w:t>气原员和工业扣信题化器，省级</w:t>
            </w:r>
            <w:r>
              <w:rPr>
                <w:sz w:val="17"/>
                <w:szCs w:val="17"/>
                <w:spacing w:val="9"/>
              </w:rPr>
              <w:t xml:space="preserve"> </w:t>
            </w:r>
            <w:r>
              <w:rPr>
                <w:sz w:val="17"/>
                <w:szCs w:val="17"/>
                <w:spacing w:val="-2"/>
              </w:rPr>
              <w:t>气象主管机构</w:t>
            </w:r>
          </w:p>
        </w:tc>
        <w:tc>
          <w:tcPr>
            <w:tcW w:w="3711" w:type="dxa"/>
            <w:vAlign w:val="top"/>
          </w:tcPr>
          <w:p>
            <w:pPr>
              <w:pStyle w:val="TableText"/>
              <w:spacing w:before="240" w:line="219" w:lineRule="auto"/>
              <w:rPr>
                <w:sz w:val="17"/>
                <w:szCs w:val="17"/>
              </w:rPr>
            </w:pPr>
            <w:r>
              <w:rPr>
                <w:sz w:val="17"/>
                <w:szCs w:val="17"/>
                <w:spacing w:val="-6"/>
              </w:rPr>
              <w:t>《气原灾害防面条例</w:t>
            </w:r>
          </w:p>
        </w:tc>
      </w:tr>
      <w:tr>
        <w:trPr>
          <w:trHeight w:val="449" w:hRule="atLeast"/>
        </w:trPr>
        <w:tc>
          <w:tcPr>
            <w:tcW w:w="584" w:type="dxa"/>
            <w:vAlign w:val="top"/>
          </w:tcPr>
          <w:p>
            <w:pPr>
              <w:pStyle w:val="TableText"/>
              <w:ind w:left="154"/>
              <w:spacing w:before="184" w:line="183" w:lineRule="auto"/>
              <w:rPr>
                <w:sz w:val="17"/>
                <w:szCs w:val="17"/>
              </w:rPr>
            </w:pPr>
            <w:r>
              <w:rPr>
                <w:sz w:val="17"/>
                <w:szCs w:val="17"/>
                <w:spacing w:val="-2"/>
              </w:rPr>
              <w:t>656</w:t>
            </w:r>
          </w:p>
        </w:tc>
        <w:tc>
          <w:tcPr>
            <w:tcW w:w="1289" w:type="dxa"/>
            <w:vAlign w:val="top"/>
          </w:tcPr>
          <w:p>
            <w:pPr>
              <w:pStyle w:val="TableText"/>
              <w:ind w:left="210"/>
              <w:spacing w:before="141" w:line="220" w:lineRule="auto"/>
              <w:rPr>
                <w:sz w:val="17"/>
                <w:szCs w:val="17"/>
              </w:rPr>
            </w:pPr>
            <w:r>
              <w:rPr>
                <w:sz w:val="17"/>
                <w:szCs w:val="17"/>
                <w:spacing w:val="3"/>
              </w:rPr>
              <w:t>中国气单局</w:t>
            </w:r>
          </w:p>
        </w:tc>
        <w:tc>
          <w:tcPr>
            <w:tcW w:w="1648" w:type="dxa"/>
            <w:vAlign w:val="top"/>
          </w:tcPr>
          <w:p>
            <w:pPr>
              <w:pStyle w:val="TableText"/>
              <w:ind w:left="11" w:right="43" w:firstLine="40"/>
              <w:spacing w:before="59" w:line="206" w:lineRule="auto"/>
              <w:rPr>
                <w:sz w:val="17"/>
                <w:szCs w:val="17"/>
              </w:rPr>
            </w:pPr>
            <w:r>
              <w:rPr>
                <w:sz w:val="17"/>
                <w:szCs w:val="17"/>
                <w:spacing w:val="1"/>
              </w:rPr>
              <w:t>雷电动护常置设计章</w:t>
            </w:r>
            <w:r>
              <w:rPr>
                <w:sz w:val="17"/>
                <w:szCs w:val="17"/>
                <w:spacing w:val="2"/>
              </w:rPr>
              <w:t xml:space="preserve"> </w:t>
            </w:r>
            <w:r>
              <w:rPr>
                <w:sz w:val="17"/>
                <w:szCs w:val="17"/>
              </w:rPr>
              <w:t>抽</w:t>
            </w:r>
          </w:p>
        </w:tc>
        <w:tc>
          <w:tcPr>
            <w:tcW w:w="2367" w:type="dxa"/>
            <w:vAlign w:val="top"/>
          </w:tcPr>
          <w:p>
            <w:pPr>
              <w:pStyle w:val="TableText"/>
              <w:ind w:left="44"/>
              <w:spacing w:before="61" w:line="205" w:lineRule="auto"/>
              <w:rPr>
                <w:sz w:val="17"/>
                <w:szCs w:val="17"/>
              </w:rPr>
            </w:pPr>
            <w:r>
              <w:rPr>
                <w:sz w:val="17"/>
                <w:szCs w:val="17"/>
                <w:spacing w:val="-5"/>
              </w:rPr>
              <w:t>省改，我怒的市顾，息陕气象主</w:t>
            </w:r>
            <w:r>
              <w:rPr>
                <w:sz w:val="17"/>
                <w:szCs w:val="17"/>
                <w:spacing w:val="1"/>
              </w:rPr>
              <w:t xml:space="preserve"> </w:t>
            </w:r>
            <w:r>
              <w:rPr>
                <w:sz w:val="17"/>
                <w:szCs w:val="17"/>
                <w:spacing w:val="3"/>
              </w:rPr>
              <w:t>管机构</w:t>
            </w:r>
          </w:p>
        </w:tc>
        <w:tc>
          <w:tcPr>
            <w:tcW w:w="3711" w:type="dxa"/>
            <w:vAlign w:val="top"/>
          </w:tcPr>
          <w:p>
            <w:pPr>
              <w:pStyle w:val="TableText"/>
              <w:ind w:left="46"/>
              <w:spacing w:before="141" w:line="219" w:lineRule="auto"/>
              <w:rPr>
                <w:sz w:val="17"/>
                <w:szCs w:val="17"/>
              </w:rPr>
            </w:pPr>
            <w:r>
              <w:rPr>
                <w:sz w:val="17"/>
                <w:szCs w:val="17"/>
                <w:spacing w:val="-1"/>
              </w:rPr>
              <w:t>1气单灭害防每茎例》</w:t>
            </w:r>
          </w:p>
        </w:tc>
      </w:tr>
      <w:tr>
        <w:trPr>
          <w:trHeight w:val="459" w:hRule="atLeast"/>
        </w:trPr>
        <w:tc>
          <w:tcPr>
            <w:tcW w:w="584" w:type="dxa"/>
            <w:vAlign w:val="top"/>
          </w:tcPr>
          <w:p>
            <w:pPr>
              <w:pStyle w:val="TableText"/>
              <w:ind w:left="154"/>
              <w:spacing w:before="195" w:line="183" w:lineRule="auto"/>
              <w:rPr>
                <w:sz w:val="17"/>
                <w:szCs w:val="17"/>
              </w:rPr>
            </w:pPr>
            <w:r>
              <w:rPr>
                <w:sz w:val="17"/>
                <w:szCs w:val="17"/>
                <w:spacing w:val="-3"/>
              </w:rPr>
              <w:t>567</w:t>
            </w:r>
          </w:p>
        </w:tc>
        <w:tc>
          <w:tcPr>
            <w:tcW w:w="1289" w:type="dxa"/>
            <w:vAlign w:val="top"/>
          </w:tcPr>
          <w:p>
            <w:pPr>
              <w:pStyle w:val="TableText"/>
              <w:ind w:left="210"/>
              <w:spacing w:before="152" w:line="220" w:lineRule="auto"/>
              <w:rPr>
                <w:sz w:val="17"/>
                <w:szCs w:val="17"/>
              </w:rPr>
            </w:pPr>
            <w:r>
              <w:rPr>
                <w:sz w:val="17"/>
                <w:szCs w:val="17"/>
                <w:spacing w:val="3"/>
              </w:rPr>
              <w:t>中画气单局</w:t>
            </w:r>
          </w:p>
        </w:tc>
        <w:tc>
          <w:tcPr>
            <w:tcW w:w="1648" w:type="dxa"/>
            <w:vAlign w:val="top"/>
          </w:tcPr>
          <w:p>
            <w:pPr>
              <w:pStyle w:val="TableText"/>
              <w:ind w:left="32" w:right="48" w:firstLine="20"/>
              <w:spacing w:before="60" w:line="211" w:lineRule="auto"/>
              <w:rPr>
                <w:sz w:val="17"/>
                <w:szCs w:val="17"/>
              </w:rPr>
            </w:pPr>
            <w:r>
              <w:rPr>
                <w:sz w:val="17"/>
                <w:szCs w:val="17"/>
              </w:rPr>
              <w:t>需电防护第置装干非</w:t>
            </w:r>
            <w:r>
              <w:rPr>
                <w:sz w:val="17"/>
                <w:szCs w:val="17"/>
                <w:spacing w:val="6"/>
              </w:rPr>
              <w:t xml:space="preserve"> </w:t>
            </w:r>
            <w:r>
              <w:rPr>
                <w:sz w:val="17"/>
                <w:szCs w:val="17"/>
              </w:rPr>
              <w:t>垫</w:t>
            </w:r>
          </w:p>
        </w:tc>
        <w:tc>
          <w:tcPr>
            <w:tcW w:w="2367" w:type="dxa"/>
            <w:vAlign w:val="top"/>
          </w:tcPr>
          <w:p>
            <w:pPr>
              <w:pStyle w:val="TableText"/>
              <w:ind w:left="44"/>
              <w:spacing w:before="71" w:line="205" w:lineRule="auto"/>
              <w:rPr>
                <w:sz w:val="17"/>
                <w:szCs w:val="17"/>
              </w:rPr>
            </w:pPr>
            <w:r>
              <w:rPr>
                <w:sz w:val="17"/>
                <w:szCs w:val="17"/>
                <w:spacing w:val="-5"/>
              </w:rPr>
              <w:t>省跳，议区的市绿，县做气象主</w:t>
            </w:r>
            <w:r>
              <w:rPr>
                <w:sz w:val="17"/>
                <w:szCs w:val="17"/>
                <w:spacing w:val="1"/>
              </w:rPr>
              <w:t xml:space="preserve"> </w:t>
            </w:r>
            <w:r>
              <w:rPr>
                <w:sz w:val="17"/>
                <w:szCs w:val="17"/>
                <w:spacing w:val="3"/>
              </w:rPr>
              <w:t>管机构</w:t>
            </w:r>
          </w:p>
        </w:tc>
        <w:tc>
          <w:tcPr>
            <w:tcW w:w="3711" w:type="dxa"/>
            <w:vAlign w:val="top"/>
          </w:tcPr>
          <w:p>
            <w:pPr>
              <w:pStyle w:val="TableText"/>
              <w:ind w:left="46"/>
              <w:spacing w:before="152" w:line="219" w:lineRule="auto"/>
              <w:rPr>
                <w:sz w:val="17"/>
                <w:szCs w:val="17"/>
              </w:rPr>
            </w:pPr>
            <w:r>
              <w:rPr>
                <w:sz w:val="17"/>
                <w:szCs w:val="17"/>
              </w:rPr>
              <w:t>(气拿灾害前街争例?</w:t>
            </w:r>
          </w:p>
        </w:tc>
      </w:tr>
      <w:tr>
        <w:trPr>
          <w:trHeight w:val="669" w:hRule="atLeast"/>
        </w:trPr>
        <w:tc>
          <w:tcPr>
            <w:tcW w:w="584" w:type="dxa"/>
            <w:vAlign w:val="top"/>
          </w:tcPr>
          <w:p>
            <w:pPr>
              <w:rPr>
                <w:rFonts w:ascii="Arial"/>
                <w:sz w:val="21"/>
              </w:rPr>
            </w:pPr>
            <w:r/>
          </w:p>
          <w:p>
            <w:pPr>
              <w:pStyle w:val="TableText"/>
              <w:ind w:left="154"/>
              <w:spacing w:before="55" w:line="183" w:lineRule="auto"/>
              <w:rPr>
                <w:sz w:val="17"/>
                <w:szCs w:val="17"/>
              </w:rPr>
            </w:pPr>
            <w:r>
              <w:rPr>
                <w:sz w:val="17"/>
                <w:szCs w:val="17"/>
                <w:spacing w:val="-2"/>
              </w:rPr>
              <w:t>662</w:t>
            </w:r>
          </w:p>
        </w:tc>
        <w:tc>
          <w:tcPr>
            <w:tcW w:w="1289" w:type="dxa"/>
            <w:vAlign w:val="top"/>
          </w:tcPr>
          <w:p>
            <w:pPr>
              <w:pStyle w:val="TableText"/>
              <w:ind w:left="210"/>
              <w:spacing w:before="253" w:line="219" w:lineRule="auto"/>
              <w:rPr>
                <w:sz w:val="17"/>
                <w:szCs w:val="17"/>
              </w:rPr>
            </w:pPr>
            <w:r>
              <w:rPr>
                <w:sz w:val="17"/>
                <w:szCs w:val="17"/>
                <w:spacing w:val="3"/>
              </w:rPr>
              <w:t>中四气象局</w:t>
            </w:r>
          </w:p>
        </w:tc>
        <w:tc>
          <w:tcPr>
            <w:tcW w:w="1648" w:type="dxa"/>
            <w:vAlign w:val="top"/>
          </w:tcPr>
          <w:p>
            <w:pPr>
              <w:pStyle w:val="TableText"/>
              <w:ind w:left="52" w:right="62"/>
              <w:spacing w:before="62" w:line="215" w:lineRule="auto"/>
              <w:jc w:val="both"/>
              <w:rPr>
                <w:sz w:val="17"/>
                <w:szCs w:val="17"/>
              </w:rPr>
            </w:pPr>
            <w:r>
              <w:rPr>
                <w:sz w:val="17"/>
                <w:szCs w:val="17"/>
                <w:spacing w:val="-1"/>
              </w:rPr>
              <w:t>升放无人驾能目出气</w:t>
            </w:r>
            <w:r>
              <w:rPr>
                <w:sz w:val="17"/>
                <w:szCs w:val="17"/>
              </w:rPr>
              <w:t xml:space="preserve"> </w:t>
            </w:r>
            <w:r>
              <w:rPr>
                <w:sz w:val="17"/>
                <w:szCs w:val="17"/>
                <w:spacing w:val="-1"/>
              </w:rPr>
              <w:t>球、系催气球单位期</w:t>
            </w:r>
            <w:r>
              <w:rPr>
                <w:sz w:val="17"/>
                <w:szCs w:val="17"/>
                <w:spacing w:val="1"/>
              </w:rPr>
              <w:t xml:space="preserve"> </w:t>
            </w:r>
            <w:r>
              <w:rPr>
                <w:sz w:val="17"/>
                <w:szCs w:val="17"/>
                <w:spacing w:val="3"/>
              </w:rPr>
              <w:t>项认定</w:t>
            </w:r>
          </w:p>
        </w:tc>
        <w:tc>
          <w:tcPr>
            <w:tcW w:w="2367" w:type="dxa"/>
            <w:vAlign w:val="top"/>
          </w:tcPr>
          <w:p>
            <w:pPr>
              <w:pStyle w:val="TableText"/>
              <w:spacing w:before="252" w:line="219" w:lineRule="auto"/>
              <w:jc w:val="right"/>
              <w:rPr>
                <w:sz w:val="17"/>
                <w:szCs w:val="17"/>
              </w:rPr>
            </w:pPr>
            <w:r>
              <w:rPr>
                <w:sz w:val="17"/>
                <w:szCs w:val="17"/>
                <w:spacing w:val="-5"/>
              </w:rPr>
              <w:t>省雄，设区的市世气鱼主管机构</w:t>
            </w:r>
          </w:p>
        </w:tc>
        <w:tc>
          <w:tcPr>
            <w:tcW w:w="3711" w:type="dxa"/>
            <w:vAlign w:val="top"/>
          </w:tcPr>
          <w:p>
            <w:pPr>
              <w:pStyle w:val="TableText"/>
              <w:ind w:left="46" w:right="166"/>
              <w:spacing w:before="152" w:line="224" w:lineRule="auto"/>
              <w:rPr>
                <w:sz w:val="17"/>
                <w:szCs w:val="17"/>
              </w:rPr>
            </w:pPr>
            <w:r>
              <w:rPr>
                <w:sz w:val="17"/>
                <w:szCs w:val="17"/>
              </w:rPr>
              <w:t>1务院对确首保面射行政审批研目设定行政许可</w:t>
            </w:r>
            <w:r>
              <w:rPr>
                <w:sz w:val="17"/>
                <w:szCs w:val="17"/>
                <w:spacing w:val="1"/>
              </w:rPr>
              <w:t xml:space="preserve"> </w:t>
            </w:r>
            <w:r>
              <w:rPr>
                <w:sz w:val="17"/>
                <w:szCs w:val="17"/>
                <w:spacing w:val="3"/>
              </w:rPr>
              <w:t>的决定</w:t>
            </w:r>
          </w:p>
        </w:tc>
      </w:tr>
      <w:tr>
        <w:trPr>
          <w:trHeight w:val="649" w:hRule="atLeast"/>
        </w:trPr>
        <w:tc>
          <w:tcPr>
            <w:tcW w:w="584" w:type="dxa"/>
            <w:vAlign w:val="top"/>
          </w:tcPr>
          <w:p>
            <w:pPr>
              <w:pStyle w:val="TableText"/>
              <w:ind w:left="154"/>
              <w:spacing w:before="287" w:line="183" w:lineRule="auto"/>
              <w:rPr>
                <w:sz w:val="17"/>
                <w:szCs w:val="17"/>
              </w:rPr>
            </w:pPr>
            <w:r>
              <w:rPr>
                <w:sz w:val="17"/>
                <w:szCs w:val="17"/>
                <w:spacing w:val="-2"/>
              </w:rPr>
              <w:t>660</w:t>
            </w:r>
          </w:p>
        </w:tc>
        <w:tc>
          <w:tcPr>
            <w:tcW w:w="1289" w:type="dxa"/>
            <w:vAlign w:val="top"/>
          </w:tcPr>
          <w:p>
            <w:pPr>
              <w:pStyle w:val="TableText"/>
              <w:ind w:left="210"/>
              <w:spacing w:before="242" w:line="219" w:lineRule="auto"/>
              <w:rPr>
                <w:sz w:val="17"/>
                <w:szCs w:val="17"/>
              </w:rPr>
            </w:pPr>
            <w:r>
              <w:rPr>
                <w:sz w:val="17"/>
                <w:szCs w:val="17"/>
                <w:spacing w:val="2"/>
              </w:rPr>
              <w:t>中国气豪号</w:t>
            </w:r>
          </w:p>
        </w:tc>
        <w:tc>
          <w:tcPr>
            <w:tcW w:w="1648" w:type="dxa"/>
            <w:vAlign w:val="top"/>
          </w:tcPr>
          <w:p>
            <w:pPr>
              <w:pStyle w:val="TableText"/>
              <w:ind w:left="52" w:right="63"/>
              <w:spacing w:before="64" w:line="208" w:lineRule="auto"/>
              <w:jc w:val="both"/>
              <w:rPr>
                <w:sz w:val="17"/>
                <w:szCs w:val="17"/>
              </w:rPr>
            </w:pPr>
            <w:r>
              <w:rPr>
                <w:sz w:val="17"/>
                <w:szCs w:val="17"/>
                <w:spacing w:val="-1"/>
              </w:rPr>
              <w:t>升故无人驾驶直由气</w:t>
            </w:r>
            <w:r>
              <w:rPr>
                <w:sz w:val="17"/>
                <w:szCs w:val="17"/>
              </w:rPr>
              <w:t xml:space="preserve"> </w:t>
            </w:r>
            <w:r>
              <w:rPr>
                <w:sz w:val="17"/>
                <w:szCs w:val="17"/>
                <w:spacing w:val="-1"/>
              </w:rPr>
              <w:t>草发者东址气弹居动</w:t>
            </w:r>
            <w:r>
              <w:rPr>
                <w:sz w:val="17"/>
                <w:szCs w:val="17"/>
              </w:rPr>
              <w:t xml:space="preserve"> </w:t>
            </w:r>
            <w:r>
              <w:rPr>
                <w:sz w:val="17"/>
                <w:szCs w:val="17"/>
                <w:spacing w:val="8"/>
              </w:rPr>
              <w:t>审批</w:t>
            </w:r>
          </w:p>
        </w:tc>
        <w:tc>
          <w:tcPr>
            <w:tcW w:w="2367" w:type="dxa"/>
            <w:vAlign w:val="top"/>
          </w:tcPr>
          <w:p>
            <w:pPr>
              <w:pStyle w:val="TableText"/>
              <w:ind w:left="44" w:firstLine="29"/>
              <w:spacing w:before="133" w:line="234" w:lineRule="auto"/>
              <w:rPr>
                <w:sz w:val="17"/>
                <w:szCs w:val="17"/>
              </w:rPr>
            </w:pPr>
            <w:r>
              <w:rPr>
                <w:sz w:val="17"/>
                <w:szCs w:val="17"/>
                <w:spacing w:val="-7"/>
              </w:rPr>
              <w:t>省服，设区的市级，县级气蒙主</w:t>
            </w:r>
            <w:r>
              <w:rPr>
                <w:sz w:val="17"/>
                <w:szCs w:val="17"/>
              </w:rPr>
              <w:t xml:space="preserve"> </w:t>
            </w:r>
            <w:r>
              <w:rPr>
                <w:sz w:val="17"/>
                <w:szCs w:val="17"/>
                <w:spacing w:val="1"/>
              </w:rPr>
              <w:t>管机构会间有发篇门</w:t>
            </w:r>
          </w:p>
        </w:tc>
        <w:tc>
          <w:tcPr>
            <w:tcW w:w="3711" w:type="dxa"/>
            <w:vAlign w:val="top"/>
          </w:tcPr>
          <w:p>
            <w:pPr>
              <w:pStyle w:val="TableText"/>
              <w:spacing w:before="43" w:line="217" w:lineRule="auto"/>
              <w:rPr>
                <w:sz w:val="17"/>
                <w:szCs w:val="17"/>
              </w:rPr>
            </w:pPr>
            <w:r>
              <w:rPr>
                <w:sz w:val="17"/>
                <w:szCs w:val="17"/>
                <w:spacing w:val="4"/>
              </w:rPr>
              <w:t>【通用院空飞行管制条例</w:t>
            </w:r>
          </w:p>
          <w:p>
            <w:pPr>
              <w:pStyle w:val="TableText"/>
              <w:ind w:left="46" w:firstLine="79"/>
              <w:spacing w:before="1" w:line="214" w:lineRule="auto"/>
              <w:rPr>
                <w:sz w:val="17"/>
                <w:szCs w:val="17"/>
              </w:rPr>
            </w:pPr>
            <w:r>
              <w:rPr>
                <w:sz w:val="17"/>
                <w:szCs w:val="17"/>
              </w:rPr>
              <w:t>国务院关于第六批取希和调意行业业业项日的决</w:t>
            </w:r>
            <w:r>
              <w:rPr>
                <w:sz w:val="17"/>
                <w:szCs w:val="17"/>
                <w:spacing w:val="3"/>
              </w:rPr>
              <w:t xml:space="preserve"> </w:t>
            </w:r>
            <w:r>
              <w:rPr>
                <w:sz w:val="17"/>
                <w:szCs w:val="17"/>
                <w:spacing w:val="-1"/>
              </w:rPr>
              <w:t>定M国爱(2012)52号</w:t>
            </w:r>
          </w:p>
        </w:tc>
      </w:tr>
      <w:tr>
        <w:trPr>
          <w:trHeight w:val="649" w:hRule="atLeast"/>
        </w:trPr>
        <w:tc>
          <w:tcPr>
            <w:tcW w:w="584" w:type="dxa"/>
            <w:vAlign w:val="top"/>
          </w:tcPr>
          <w:p>
            <w:pPr>
              <w:pStyle w:val="TableText"/>
              <w:ind w:left="154"/>
              <w:spacing w:before="288" w:line="183" w:lineRule="auto"/>
              <w:rPr>
                <w:sz w:val="17"/>
                <w:szCs w:val="17"/>
              </w:rPr>
            </w:pPr>
            <w:r>
              <w:rPr>
                <w:sz w:val="17"/>
                <w:szCs w:val="17"/>
                <w:spacing w:val="-2"/>
              </w:rPr>
              <w:t>079</w:t>
            </w:r>
          </w:p>
        </w:tc>
        <w:tc>
          <w:tcPr>
            <w:tcW w:w="1289" w:type="dxa"/>
            <w:vAlign w:val="top"/>
          </w:tcPr>
          <w:p>
            <w:pPr>
              <w:pStyle w:val="TableText"/>
              <w:ind w:left="210"/>
              <w:spacing w:before="245" w:line="219" w:lineRule="auto"/>
              <w:rPr>
                <w:sz w:val="17"/>
                <w:szCs w:val="17"/>
              </w:rPr>
            </w:pPr>
            <w:r>
              <w:rPr>
                <w:sz w:val="17"/>
                <w:szCs w:val="17"/>
                <w:spacing w:val="3"/>
              </w:rPr>
              <w:t>中国气象局</w:t>
            </w:r>
          </w:p>
        </w:tc>
        <w:tc>
          <w:tcPr>
            <w:tcW w:w="1648" w:type="dxa"/>
            <w:vAlign w:val="top"/>
          </w:tcPr>
          <w:p>
            <w:pPr>
              <w:pStyle w:val="TableText"/>
              <w:ind w:left="50" w:hanging="39"/>
              <w:spacing w:before="75" w:line="204" w:lineRule="auto"/>
              <w:jc w:val="both"/>
              <w:rPr>
                <w:sz w:val="17"/>
                <w:szCs w:val="17"/>
              </w:rPr>
            </w:pPr>
            <w:r>
              <w:rPr>
                <w:sz w:val="17"/>
                <w:szCs w:val="17"/>
                <w:spacing w:val="-8"/>
              </w:rPr>
              <w:t>新建，扩建，政建时改</w:t>
            </w:r>
            <w:r>
              <w:rPr>
                <w:sz w:val="17"/>
                <w:szCs w:val="17"/>
                <w:spacing w:val="5"/>
              </w:rPr>
              <w:t xml:space="preserve"> </w:t>
            </w:r>
            <w:r>
              <w:rPr>
                <w:sz w:val="17"/>
                <w:szCs w:val="17"/>
                <w:spacing w:val="-2"/>
              </w:rPr>
              <w:t>工程游免危害气象探</w:t>
            </w:r>
            <w:r>
              <w:rPr>
                <w:sz w:val="17"/>
                <w:szCs w:val="17"/>
                <w:spacing w:val="3"/>
              </w:rPr>
              <w:t xml:space="preserve">  </w:t>
            </w:r>
            <w:r>
              <w:rPr>
                <w:sz w:val="17"/>
                <w:szCs w:val="17"/>
                <w:spacing w:val="1"/>
              </w:rPr>
              <w:t>赏环收市是</w:t>
            </w:r>
          </w:p>
        </w:tc>
        <w:tc>
          <w:tcPr>
            <w:tcW w:w="2367" w:type="dxa"/>
            <w:vAlign w:val="top"/>
          </w:tcPr>
          <w:p>
            <w:pPr>
              <w:pStyle w:val="TableText"/>
              <w:ind w:left="44"/>
              <w:spacing w:before="244" w:line="219" w:lineRule="auto"/>
              <w:rPr>
                <w:sz w:val="17"/>
                <w:szCs w:val="17"/>
              </w:rPr>
            </w:pPr>
            <w:r>
              <w:rPr>
                <w:sz w:val="17"/>
                <w:szCs w:val="17"/>
                <w:spacing w:val="1"/>
              </w:rPr>
              <w:t>省曼气鱼去营机构</w:t>
            </w:r>
          </w:p>
        </w:tc>
        <w:tc>
          <w:tcPr>
            <w:tcW w:w="3711" w:type="dxa"/>
            <w:vAlign w:val="top"/>
          </w:tcPr>
          <w:p>
            <w:pPr>
              <w:pStyle w:val="TableText"/>
              <w:spacing w:before="154" w:line="217" w:lineRule="auto"/>
              <w:rPr>
                <w:sz w:val="17"/>
                <w:szCs w:val="17"/>
              </w:rPr>
            </w:pPr>
            <w:r>
              <w:rPr>
                <w:sz w:val="17"/>
                <w:szCs w:val="17"/>
                <w:spacing w:val="-4"/>
              </w:rPr>
              <w:t>《中华人民共和国气象张》</w:t>
            </w:r>
          </w:p>
          <w:p>
            <w:pPr>
              <w:pStyle w:val="TableText"/>
              <w:ind w:left="46"/>
              <w:spacing w:line="218" w:lineRule="auto"/>
              <w:rPr>
                <w:sz w:val="17"/>
                <w:szCs w:val="17"/>
              </w:rPr>
            </w:pPr>
            <w:r>
              <w:rPr>
                <w:sz w:val="17"/>
                <w:szCs w:val="17"/>
              </w:rPr>
              <w:t>(气象促随和气柔深副环境保护条侧》</w:t>
            </w:r>
          </w:p>
        </w:tc>
      </w:tr>
      <w:tr>
        <w:trPr>
          <w:trHeight w:val="514" w:hRule="atLeast"/>
        </w:trPr>
        <w:tc>
          <w:tcPr>
            <w:tcW w:w="584" w:type="dxa"/>
            <w:vAlign w:val="top"/>
          </w:tcPr>
          <w:p>
            <w:pPr>
              <w:pStyle w:val="TableText"/>
              <w:ind w:left="154"/>
              <w:spacing w:before="218" w:line="184" w:lineRule="auto"/>
              <w:rPr>
                <w:sz w:val="17"/>
                <w:szCs w:val="17"/>
              </w:rPr>
            </w:pPr>
            <w:r>
              <w:rPr>
                <w:sz w:val="17"/>
                <w:szCs w:val="17"/>
                <w:spacing w:val="-2"/>
              </w:rPr>
              <w:t>871</w:t>
            </w:r>
          </w:p>
        </w:tc>
        <w:tc>
          <w:tcPr>
            <w:tcW w:w="1289" w:type="dxa"/>
            <w:vAlign w:val="top"/>
          </w:tcPr>
          <w:p>
            <w:pPr>
              <w:pStyle w:val="TableText"/>
              <w:ind w:left="210"/>
              <w:spacing w:before="176" w:line="219" w:lineRule="auto"/>
              <w:rPr>
                <w:sz w:val="17"/>
                <w:szCs w:val="17"/>
              </w:rPr>
            </w:pPr>
            <w:r>
              <w:rPr>
                <w:sz w:val="17"/>
                <w:szCs w:val="17"/>
                <w:spacing w:val="3"/>
              </w:rPr>
              <w:t>命国气象局</w:t>
            </w:r>
          </w:p>
        </w:tc>
        <w:tc>
          <w:tcPr>
            <w:tcW w:w="1648" w:type="dxa"/>
            <w:vAlign w:val="top"/>
          </w:tcPr>
          <w:p>
            <w:pPr>
              <w:pStyle w:val="TableText"/>
              <w:ind w:left="62"/>
              <w:spacing w:before="176" w:line="219" w:lineRule="auto"/>
              <w:rPr>
                <w:sz w:val="17"/>
                <w:szCs w:val="17"/>
              </w:rPr>
            </w:pPr>
            <w:r>
              <w:rPr>
                <w:sz w:val="17"/>
                <w:szCs w:val="17"/>
                <w:spacing w:val="-1"/>
              </w:rPr>
              <w:t>气蒙石站迁辅审社</w:t>
            </w:r>
          </w:p>
        </w:tc>
        <w:tc>
          <w:tcPr>
            <w:tcW w:w="2367" w:type="dxa"/>
            <w:vAlign w:val="top"/>
          </w:tcPr>
          <w:p>
            <w:pPr>
              <w:pStyle w:val="TableText"/>
              <w:ind w:left="44" w:right="10" w:firstLine="29"/>
              <w:spacing w:before="106" w:line="216" w:lineRule="auto"/>
              <w:rPr>
                <w:sz w:val="17"/>
                <w:szCs w:val="17"/>
              </w:rPr>
            </w:pPr>
            <w:r>
              <w:rPr>
                <w:sz w:val="17"/>
                <w:szCs w:val="17"/>
                <w:spacing w:val="-2"/>
              </w:rPr>
              <w:t>中国气能局(由省级气象主登机</w:t>
            </w:r>
            <w:r>
              <w:rPr>
                <w:sz w:val="17"/>
                <w:szCs w:val="17"/>
                <w:spacing w:val="4"/>
              </w:rPr>
              <w:t xml:space="preserve"> </w:t>
            </w:r>
            <w:r>
              <w:rPr>
                <w:sz w:val="17"/>
                <w:szCs w:val="17"/>
                <w:spacing w:val="-1"/>
              </w:rPr>
              <w:t>构初管为所级气象主管机构</w:t>
            </w:r>
          </w:p>
        </w:tc>
        <w:tc>
          <w:tcPr>
            <w:tcW w:w="3711" w:type="dxa"/>
            <w:vAlign w:val="top"/>
          </w:tcPr>
          <w:p>
            <w:pPr>
              <w:pStyle w:val="TableText"/>
              <w:ind w:left="46"/>
              <w:spacing w:before="96" w:line="217" w:lineRule="auto"/>
              <w:rPr>
                <w:sz w:val="17"/>
                <w:szCs w:val="17"/>
              </w:rPr>
            </w:pPr>
            <w:r>
              <w:rPr>
                <w:sz w:val="17"/>
                <w:szCs w:val="17"/>
                <w:spacing w:val="-1"/>
              </w:rPr>
              <w:t>中作人民共和国气象法》</w:t>
            </w:r>
          </w:p>
          <w:p>
            <w:pPr>
              <w:pStyle w:val="TableText"/>
              <w:spacing w:line="219" w:lineRule="auto"/>
              <w:rPr>
                <w:sz w:val="17"/>
                <w:szCs w:val="17"/>
              </w:rPr>
            </w:pPr>
            <w:r>
              <w:rPr>
                <w:sz w:val="17"/>
                <w:szCs w:val="17"/>
                <w:spacing w:val="-3"/>
              </w:rPr>
              <w:t>《气望或地和气象程据环境保护条制》</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9376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04" name="TextBox 30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6" style="position:absolute;margin-left:37.0402pt;margin-top:345.135pt;mso-position-vertical-relative:page;mso-position-horizontal-relative:page;width:13.6pt;height:12.35pt;z-index:25189376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233</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67"/>
        <w:gridCol w:w="3711"/>
      </w:tblGrid>
      <w:tr>
        <w:trPr>
          <w:trHeight w:val="414"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中央主管部门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36"/>
              <w:spacing w:before="128" w:line="219" w:lineRule="auto"/>
              <w:rPr>
                <w:sz w:val="16"/>
                <w:szCs w:val="16"/>
              </w:rPr>
            </w:pPr>
            <w:r>
              <w:rPr>
                <w:sz w:val="16"/>
                <w:szCs w:val="16"/>
                <w:b/>
                <w:bCs/>
                <w:spacing w:val="-4"/>
              </w:rPr>
              <w:t>实施机关</w:t>
            </w:r>
          </w:p>
        </w:tc>
        <w:tc>
          <w:tcPr>
            <w:tcW w:w="3711" w:type="dxa"/>
            <w:vAlign w:val="top"/>
          </w:tcPr>
          <w:p>
            <w:pPr>
              <w:pStyle w:val="TableText"/>
              <w:ind w:left="1309"/>
              <w:spacing w:before="128" w:line="219" w:lineRule="auto"/>
              <w:rPr>
                <w:sz w:val="16"/>
                <w:szCs w:val="16"/>
              </w:rPr>
            </w:pPr>
            <w:r>
              <w:rPr>
                <w:sz w:val="16"/>
                <w:szCs w:val="16"/>
                <w:b/>
                <w:bCs/>
                <w:spacing w:val="-3"/>
              </w:rPr>
              <w:t>设定和实施依堂</w:t>
            </w:r>
          </w:p>
        </w:tc>
      </w:tr>
      <w:tr>
        <w:trPr>
          <w:trHeight w:val="679" w:hRule="atLeast"/>
        </w:trPr>
        <w:tc>
          <w:tcPr>
            <w:tcW w:w="594" w:type="dxa"/>
            <w:vAlign w:val="top"/>
          </w:tcPr>
          <w:p>
            <w:pPr>
              <w:spacing w:line="245" w:lineRule="auto"/>
              <w:rPr>
                <w:rFonts w:ascii="Arial"/>
                <w:sz w:val="21"/>
              </w:rPr>
            </w:pPr>
            <w:r/>
          </w:p>
          <w:p>
            <w:pPr>
              <w:pStyle w:val="TableText"/>
              <w:ind w:left="164"/>
              <w:spacing w:before="52" w:line="183" w:lineRule="auto"/>
              <w:rPr>
                <w:sz w:val="16"/>
                <w:szCs w:val="16"/>
              </w:rPr>
            </w:pPr>
            <w:r>
              <w:rPr>
                <w:sz w:val="16"/>
                <w:szCs w:val="16"/>
                <w:spacing w:val="-2"/>
              </w:rPr>
              <w:t>872</w:t>
            </w:r>
          </w:p>
        </w:tc>
        <w:tc>
          <w:tcPr>
            <w:tcW w:w="1279" w:type="dxa"/>
            <w:vAlign w:val="top"/>
          </w:tcPr>
          <w:p>
            <w:pPr>
              <w:pStyle w:val="TableText"/>
              <w:ind w:left="231"/>
              <w:spacing w:before="258" w:line="220" w:lineRule="auto"/>
              <w:rPr>
                <w:sz w:val="16"/>
                <w:szCs w:val="16"/>
              </w:rPr>
            </w:pPr>
            <w:r>
              <w:rPr>
                <w:sz w:val="16"/>
                <w:szCs w:val="16"/>
                <w:spacing w:val="2"/>
              </w:rPr>
              <w:t>中国气金局</w:t>
            </w:r>
          </w:p>
        </w:tc>
        <w:tc>
          <w:tcPr>
            <w:tcW w:w="1638" w:type="dxa"/>
            <w:vAlign w:val="top"/>
          </w:tcPr>
          <w:p>
            <w:pPr>
              <w:pStyle w:val="TableText"/>
              <w:ind w:left="51" w:right="153" w:firstLine="120"/>
              <w:spacing w:before="66" w:line="231" w:lineRule="auto"/>
              <w:jc w:val="both"/>
              <w:rPr>
                <w:sz w:val="16"/>
                <w:szCs w:val="16"/>
              </w:rPr>
            </w:pPr>
            <w:r>
              <w:rPr>
                <w:sz w:val="16"/>
                <w:szCs w:val="16"/>
                <w:spacing w:val="-1"/>
              </w:rPr>
              <w:t>气摩专用救求数备</w:t>
            </w:r>
            <w:r>
              <w:rPr>
                <w:sz w:val="16"/>
                <w:szCs w:val="16"/>
              </w:rPr>
              <w:t xml:space="preserve"> </w:t>
            </w:r>
            <w:r>
              <w:rPr>
                <w:sz w:val="16"/>
                <w:szCs w:val="16"/>
                <w:spacing w:val="-2"/>
              </w:rPr>
              <w:t>《食人工能喻天气作</w:t>
            </w:r>
            <w:r>
              <w:rPr>
                <w:sz w:val="16"/>
                <w:szCs w:val="16"/>
              </w:rPr>
              <w:t xml:space="preserve"> </w:t>
            </w:r>
            <w:r>
              <w:rPr>
                <w:sz w:val="16"/>
                <w:szCs w:val="16"/>
                <w:spacing w:val="1"/>
              </w:rPr>
              <w:t>业设备)使那审报</w:t>
            </w:r>
          </w:p>
        </w:tc>
        <w:tc>
          <w:tcPr>
            <w:tcW w:w="2367" w:type="dxa"/>
            <w:vAlign w:val="top"/>
          </w:tcPr>
          <w:p>
            <w:pPr>
              <w:pStyle w:val="TableText"/>
              <w:ind w:left="54"/>
              <w:spacing w:before="258" w:line="220" w:lineRule="auto"/>
              <w:rPr>
                <w:sz w:val="16"/>
                <w:szCs w:val="16"/>
              </w:rPr>
            </w:pPr>
            <w:r>
              <w:rPr>
                <w:sz w:val="16"/>
                <w:szCs w:val="16"/>
                <w:spacing w:val="2"/>
              </w:rPr>
              <w:t>中国气电局</w:t>
            </w:r>
          </w:p>
        </w:tc>
        <w:tc>
          <w:tcPr>
            <w:tcW w:w="3711" w:type="dxa"/>
            <w:vAlign w:val="top"/>
          </w:tcPr>
          <w:p>
            <w:pPr>
              <w:pStyle w:val="TableText"/>
              <w:spacing w:before="157" w:line="220" w:lineRule="exact"/>
              <w:rPr>
                <w:sz w:val="16"/>
                <w:szCs w:val="16"/>
              </w:rPr>
            </w:pPr>
            <w:r>
              <w:rPr>
                <w:sz w:val="16"/>
                <w:szCs w:val="16"/>
                <w:spacing w:val="-3"/>
                <w:position w:val="4"/>
              </w:rPr>
              <w:t>《中华人民共和国气蒙动</w:t>
            </w:r>
          </w:p>
          <w:p>
            <w:pPr>
              <w:pStyle w:val="TableText"/>
              <w:ind w:left="79"/>
              <w:spacing w:line="219" w:lineRule="auto"/>
              <w:rPr>
                <w:sz w:val="16"/>
                <w:szCs w:val="16"/>
              </w:rPr>
            </w:pPr>
            <w:r>
              <w:rPr>
                <w:sz w:val="16"/>
                <w:szCs w:val="16"/>
                <w:spacing w:val="-1"/>
              </w:rPr>
              <w:t>1人工您内天气管理茶例》</w:t>
            </w:r>
          </w:p>
        </w:tc>
      </w:tr>
      <w:tr>
        <w:trPr>
          <w:trHeight w:val="469" w:hRule="atLeast"/>
        </w:trPr>
        <w:tc>
          <w:tcPr>
            <w:tcW w:w="594" w:type="dxa"/>
            <w:vAlign w:val="top"/>
          </w:tcPr>
          <w:p>
            <w:pPr>
              <w:pStyle w:val="TableText"/>
              <w:ind w:left="164"/>
              <w:spacing w:before="199" w:line="183" w:lineRule="auto"/>
              <w:rPr>
                <w:sz w:val="16"/>
                <w:szCs w:val="16"/>
              </w:rPr>
            </w:pPr>
            <w:r>
              <w:rPr>
                <w:sz w:val="16"/>
                <w:szCs w:val="16"/>
                <w:spacing w:val="-2"/>
              </w:rPr>
              <w:t>673</w:t>
            </w:r>
          </w:p>
        </w:tc>
        <w:tc>
          <w:tcPr>
            <w:tcW w:w="1279" w:type="dxa"/>
            <w:vAlign w:val="top"/>
          </w:tcPr>
          <w:p>
            <w:pPr>
              <w:pStyle w:val="TableText"/>
              <w:ind w:left="231"/>
              <w:spacing w:before="158" w:line="219" w:lineRule="auto"/>
              <w:rPr>
                <w:sz w:val="16"/>
                <w:szCs w:val="16"/>
              </w:rPr>
            </w:pPr>
            <w:r>
              <w:rPr>
                <w:sz w:val="16"/>
                <w:szCs w:val="16"/>
                <w:spacing w:val="2"/>
              </w:rPr>
              <w:t>中国气象局</w:t>
            </w:r>
          </w:p>
        </w:tc>
        <w:tc>
          <w:tcPr>
            <w:tcW w:w="1638" w:type="dxa"/>
            <w:vAlign w:val="top"/>
          </w:tcPr>
          <w:p>
            <w:pPr>
              <w:pStyle w:val="TableText"/>
              <w:ind w:left="42" w:right="105" w:firstLine="50"/>
              <w:spacing w:before="48" w:line="231" w:lineRule="auto"/>
              <w:rPr>
                <w:sz w:val="16"/>
                <w:szCs w:val="16"/>
              </w:rPr>
            </w:pPr>
            <w:r>
              <w:rPr>
                <w:sz w:val="16"/>
                <w:szCs w:val="16"/>
                <w:spacing w:val="-2"/>
              </w:rPr>
              <w:t>外国组观和个人直华</w:t>
            </w:r>
            <w:r>
              <w:rPr>
                <w:sz w:val="16"/>
                <w:szCs w:val="16"/>
                <w:spacing w:val="7"/>
              </w:rPr>
              <w:t xml:space="preserve"> </w:t>
            </w:r>
            <w:r>
              <w:rPr>
                <w:sz w:val="16"/>
                <w:szCs w:val="16"/>
                <w:spacing w:val="-1"/>
              </w:rPr>
              <w:t>从事气象活动审君</w:t>
            </w:r>
          </w:p>
        </w:tc>
        <w:tc>
          <w:tcPr>
            <w:tcW w:w="2367" w:type="dxa"/>
            <w:vAlign w:val="top"/>
          </w:tcPr>
          <w:p>
            <w:pPr>
              <w:pStyle w:val="TableText"/>
              <w:ind w:left="54"/>
              <w:spacing w:before="158" w:line="219" w:lineRule="auto"/>
              <w:rPr>
                <w:sz w:val="16"/>
                <w:szCs w:val="16"/>
              </w:rPr>
            </w:pPr>
            <w:r>
              <w:rPr>
                <w:sz w:val="16"/>
                <w:szCs w:val="16"/>
                <w:spacing w:val="2"/>
              </w:rPr>
              <w:t>中国气象商</w:t>
            </w:r>
          </w:p>
        </w:tc>
        <w:tc>
          <w:tcPr>
            <w:tcW w:w="3711" w:type="dxa"/>
            <w:vAlign w:val="top"/>
          </w:tcPr>
          <w:p>
            <w:pPr>
              <w:pStyle w:val="TableText"/>
              <w:ind w:left="66"/>
              <w:spacing w:before="158" w:line="219" w:lineRule="auto"/>
              <w:rPr>
                <w:sz w:val="16"/>
                <w:szCs w:val="16"/>
              </w:rPr>
            </w:pPr>
            <w:r>
              <w:rPr>
                <w:sz w:val="16"/>
                <w:szCs w:val="16"/>
              </w:rPr>
              <w:t>1中份人民其和国气象法</w:t>
            </w:r>
          </w:p>
        </w:tc>
      </w:tr>
      <w:tr>
        <w:trPr>
          <w:trHeight w:val="868" w:hRule="atLeast"/>
        </w:trPr>
        <w:tc>
          <w:tcPr>
            <w:tcW w:w="594" w:type="dxa"/>
            <w:vAlign w:val="top"/>
          </w:tcPr>
          <w:p>
            <w:pPr>
              <w:spacing w:line="345" w:lineRule="auto"/>
              <w:rPr>
                <w:rFonts w:ascii="Arial"/>
                <w:sz w:val="21"/>
              </w:rPr>
            </w:pPr>
            <w:r/>
          </w:p>
          <w:p>
            <w:pPr>
              <w:pStyle w:val="TableText"/>
              <w:ind w:left="164"/>
              <w:spacing w:before="52" w:line="184" w:lineRule="auto"/>
              <w:rPr>
                <w:sz w:val="16"/>
                <w:szCs w:val="16"/>
              </w:rPr>
            </w:pPr>
            <w:r>
              <w:rPr>
                <w:sz w:val="16"/>
                <w:szCs w:val="16"/>
                <w:spacing w:val="-2"/>
              </w:rPr>
              <w:t>671</w:t>
            </w:r>
          </w:p>
        </w:tc>
        <w:tc>
          <w:tcPr>
            <w:tcW w:w="1279" w:type="dxa"/>
            <w:vAlign w:val="top"/>
          </w:tcPr>
          <w:p>
            <w:pPr>
              <w:spacing w:line="306" w:lineRule="auto"/>
              <w:rPr>
                <w:rFonts w:ascii="Arial"/>
                <w:sz w:val="21"/>
              </w:rPr>
            </w:pPr>
            <w:r/>
          </w:p>
          <w:p>
            <w:pPr>
              <w:pStyle w:val="TableText"/>
              <w:ind w:left="310"/>
              <w:spacing w:before="52" w:line="220" w:lineRule="auto"/>
              <w:rPr>
                <w:sz w:val="16"/>
                <w:szCs w:val="16"/>
              </w:rPr>
            </w:pPr>
            <w:r>
              <w:rPr>
                <w:sz w:val="16"/>
                <w:szCs w:val="16"/>
                <w:spacing w:val="-2"/>
              </w:rPr>
              <w:t>银保监金</w:t>
            </w:r>
          </w:p>
        </w:tc>
        <w:tc>
          <w:tcPr>
            <w:tcW w:w="1638" w:type="dxa"/>
            <w:vAlign w:val="top"/>
          </w:tcPr>
          <w:p>
            <w:pPr>
              <w:pStyle w:val="TableText"/>
              <w:ind w:left="52" w:right="56" w:firstLine="40"/>
              <w:spacing w:before="49" w:line="231" w:lineRule="auto"/>
              <w:jc w:val="both"/>
              <w:rPr>
                <w:sz w:val="16"/>
                <w:szCs w:val="16"/>
              </w:rPr>
            </w:pPr>
            <w:r>
              <w:rPr>
                <w:sz w:val="16"/>
                <w:szCs w:val="16"/>
                <w:spacing w:val="1"/>
              </w:rPr>
              <w:t>中紫银行业金融机构</w:t>
            </w:r>
            <w:r>
              <w:rPr>
                <w:sz w:val="16"/>
                <w:szCs w:val="16"/>
              </w:rPr>
              <w:t xml:space="preserve"> </w:t>
            </w:r>
            <w:r>
              <w:rPr>
                <w:sz w:val="16"/>
                <w:szCs w:val="16"/>
                <w:spacing w:val="8"/>
              </w:rPr>
              <w:t>及其分支杭构议立。</w:t>
            </w:r>
            <w:r>
              <w:rPr>
                <w:sz w:val="16"/>
                <w:szCs w:val="16"/>
                <w:spacing w:val="6"/>
              </w:rPr>
              <w:t xml:space="preserve"> </w:t>
            </w:r>
            <w:r>
              <w:rPr>
                <w:sz w:val="16"/>
                <w:szCs w:val="16"/>
                <w:spacing w:val="3"/>
              </w:rPr>
              <w:t>变更，终止以及业务</w:t>
            </w:r>
            <w:r>
              <w:rPr>
                <w:sz w:val="16"/>
                <w:szCs w:val="16"/>
                <w:spacing w:val="5"/>
              </w:rPr>
              <w:t xml:space="preserve"> </w:t>
            </w:r>
            <w:r>
              <w:rPr>
                <w:sz w:val="16"/>
                <w:szCs w:val="16"/>
                <w:spacing w:val="-2"/>
              </w:rPr>
              <w:t>范围审批</w:t>
            </w:r>
          </w:p>
        </w:tc>
        <w:tc>
          <w:tcPr>
            <w:tcW w:w="2367" w:type="dxa"/>
            <w:vAlign w:val="top"/>
          </w:tcPr>
          <w:p>
            <w:pPr>
              <w:pStyle w:val="TableText"/>
              <w:ind w:left="54" w:right="59" w:firstLine="10"/>
              <w:spacing w:before="248" w:line="227" w:lineRule="auto"/>
              <w:rPr>
                <w:sz w:val="16"/>
                <w:szCs w:val="16"/>
              </w:rPr>
            </w:pPr>
            <w:r>
              <w:rPr>
                <w:sz w:val="16"/>
                <w:szCs w:val="16"/>
                <w:spacing w:val="-1"/>
              </w:rPr>
              <w:t>辊保蓝杂，能保蓝局，银保蓝分</w:t>
            </w:r>
            <w:r>
              <w:rPr>
                <w:sz w:val="16"/>
                <w:szCs w:val="16"/>
                <w:spacing w:val="6"/>
              </w:rPr>
              <w:t xml:space="preserve"> </w:t>
            </w:r>
            <w:r>
              <w:rPr>
                <w:sz w:val="16"/>
                <w:szCs w:val="16"/>
              </w:rPr>
              <w:t>局</w:t>
            </w:r>
          </w:p>
        </w:tc>
        <w:tc>
          <w:tcPr>
            <w:tcW w:w="3711" w:type="dxa"/>
            <w:vAlign w:val="top"/>
          </w:tcPr>
          <w:p>
            <w:pPr>
              <w:pStyle w:val="TableText"/>
              <w:ind w:left="79"/>
              <w:spacing w:before="269" w:line="242" w:lineRule="auto"/>
              <w:rPr>
                <w:sz w:val="16"/>
                <w:szCs w:val="16"/>
              </w:rPr>
            </w:pPr>
            <w:r>
              <w:rPr>
                <w:sz w:val="16"/>
                <w:szCs w:val="16"/>
                <w:spacing w:val="-1"/>
              </w:rPr>
              <w:t>1中华人民共和国德行业营管有君法》</w:t>
            </w:r>
          </w:p>
          <w:p>
            <w:pPr>
              <w:pStyle w:val="TableText"/>
              <w:spacing w:line="219" w:lineRule="auto"/>
              <w:rPr>
                <w:sz w:val="16"/>
                <w:szCs w:val="16"/>
              </w:rPr>
            </w:pPr>
            <w:r>
              <w:rPr>
                <w:sz w:val="16"/>
                <w:szCs w:val="16"/>
                <w:spacing w:val="5"/>
              </w:rPr>
              <w:t>【中华人民共和国商应银行法</w:t>
            </w:r>
          </w:p>
        </w:tc>
      </w:tr>
      <w:tr>
        <w:trPr>
          <w:trHeight w:val="879" w:hRule="atLeast"/>
        </w:trPr>
        <w:tc>
          <w:tcPr>
            <w:tcW w:w="594" w:type="dxa"/>
            <w:vAlign w:val="top"/>
          </w:tcPr>
          <w:p>
            <w:pPr>
              <w:spacing w:line="348" w:lineRule="auto"/>
              <w:rPr>
                <w:rFonts w:ascii="Arial"/>
                <w:sz w:val="21"/>
              </w:rPr>
            </w:pPr>
            <w:r/>
          </w:p>
          <w:p>
            <w:pPr>
              <w:pStyle w:val="TableText"/>
              <w:ind w:left="164"/>
              <w:spacing w:before="52" w:line="183" w:lineRule="auto"/>
              <w:rPr>
                <w:sz w:val="16"/>
                <w:szCs w:val="16"/>
              </w:rPr>
            </w:pPr>
            <w:r>
              <w:rPr>
                <w:sz w:val="16"/>
                <w:szCs w:val="16"/>
                <w:spacing w:val="-2"/>
              </w:rPr>
              <w:t>675</w:t>
            </w:r>
          </w:p>
        </w:tc>
        <w:tc>
          <w:tcPr>
            <w:tcW w:w="1279" w:type="dxa"/>
            <w:vAlign w:val="top"/>
          </w:tcPr>
          <w:p>
            <w:pPr>
              <w:spacing w:line="306" w:lineRule="auto"/>
              <w:rPr>
                <w:rFonts w:ascii="Arial"/>
                <w:sz w:val="21"/>
              </w:rPr>
            </w:pPr>
            <w:r/>
          </w:p>
          <w:p>
            <w:pPr>
              <w:pStyle w:val="TableText"/>
              <w:ind w:left="310"/>
              <w:spacing w:before="52" w:line="219" w:lineRule="auto"/>
              <w:rPr>
                <w:sz w:val="16"/>
                <w:szCs w:val="16"/>
              </w:rPr>
            </w:pPr>
            <w:r>
              <w:rPr>
                <w:sz w:val="16"/>
                <w:szCs w:val="16"/>
                <w:spacing w:val="-2"/>
              </w:rPr>
              <w:t>银保监会</w:t>
            </w:r>
          </w:p>
        </w:tc>
        <w:tc>
          <w:tcPr>
            <w:tcW w:w="1638" w:type="dxa"/>
            <w:vAlign w:val="top"/>
          </w:tcPr>
          <w:p>
            <w:pPr>
              <w:pStyle w:val="TableText"/>
              <w:ind w:left="22" w:firstLine="69"/>
              <w:spacing w:before="72" w:line="223" w:lineRule="auto"/>
              <w:jc w:val="both"/>
              <w:rPr>
                <w:sz w:val="16"/>
                <w:szCs w:val="16"/>
              </w:rPr>
            </w:pPr>
            <w:r>
              <w:rPr>
                <w:sz w:val="16"/>
                <w:szCs w:val="16"/>
                <w:spacing w:val="-4"/>
              </w:rPr>
              <w:t>非集行爸酸机构及其  </w:t>
            </w:r>
            <w:r>
              <w:rPr>
                <w:sz w:val="16"/>
                <w:szCs w:val="16"/>
              </w:rPr>
              <w:t>分支机构设立，受更。</w:t>
            </w:r>
            <w:r>
              <w:rPr>
                <w:sz w:val="16"/>
                <w:szCs w:val="16"/>
                <w:spacing w:val="4"/>
              </w:rPr>
              <w:t xml:space="preserve"> </w:t>
            </w:r>
            <w:r>
              <w:rPr>
                <w:sz w:val="16"/>
                <w:szCs w:val="16"/>
                <w:spacing w:val="4"/>
              </w:rPr>
              <w:t>称止以及业务微图审</w:t>
            </w:r>
            <w:r>
              <w:rPr>
                <w:sz w:val="16"/>
                <w:szCs w:val="16"/>
                <w:spacing w:val="2"/>
              </w:rPr>
              <w:t xml:space="preserve">  </w:t>
            </w:r>
            <w:r>
              <w:rPr>
                <w:sz w:val="16"/>
                <w:szCs w:val="16"/>
              </w:rPr>
              <w:t>批</w:t>
            </w:r>
          </w:p>
        </w:tc>
        <w:tc>
          <w:tcPr>
            <w:tcW w:w="2367" w:type="dxa"/>
            <w:vAlign w:val="top"/>
          </w:tcPr>
          <w:p>
            <w:pPr>
              <w:pStyle w:val="TableText"/>
              <w:ind w:left="54" w:right="57" w:firstLine="10"/>
              <w:spacing w:before="270" w:line="217" w:lineRule="auto"/>
              <w:rPr>
                <w:sz w:val="16"/>
                <w:szCs w:val="16"/>
              </w:rPr>
            </w:pPr>
            <w:r>
              <w:rPr>
                <w:sz w:val="16"/>
                <w:szCs w:val="16"/>
                <w:spacing w:val="-1"/>
              </w:rPr>
              <w:t>恒保监会；银保前局，银仅监分</w:t>
            </w:r>
            <w:r>
              <w:rPr>
                <w:sz w:val="16"/>
                <w:szCs w:val="16"/>
                <w:spacing w:val="8"/>
              </w:rPr>
              <w:t xml:space="preserve"> </w:t>
            </w:r>
            <w:r>
              <w:rPr>
                <w:sz w:val="16"/>
                <w:szCs w:val="16"/>
              </w:rPr>
              <w:t>周</w:t>
            </w:r>
          </w:p>
        </w:tc>
        <w:tc>
          <w:tcPr>
            <w:tcW w:w="3711" w:type="dxa"/>
            <w:vAlign w:val="top"/>
          </w:tcPr>
          <w:p>
            <w:pPr>
              <w:spacing w:line="307" w:lineRule="auto"/>
              <w:rPr>
                <w:rFonts w:ascii="Arial"/>
                <w:sz w:val="21"/>
              </w:rPr>
            </w:pPr>
            <w:r/>
          </w:p>
          <w:p>
            <w:pPr>
              <w:pStyle w:val="TableText"/>
              <w:ind w:left="66"/>
              <w:spacing w:before="52" w:line="219" w:lineRule="auto"/>
              <w:rPr>
                <w:sz w:val="16"/>
                <w:szCs w:val="16"/>
              </w:rPr>
            </w:pPr>
            <w:r>
              <w:rPr>
                <w:sz w:val="16"/>
                <w:szCs w:val="16"/>
                <w:spacing w:val="2"/>
              </w:rPr>
              <w:t>4中华人民共和国期行业黄督管理法)</w:t>
            </w:r>
          </w:p>
        </w:tc>
      </w:tr>
      <w:tr>
        <w:trPr>
          <w:trHeight w:val="869" w:hRule="atLeast"/>
        </w:trPr>
        <w:tc>
          <w:tcPr>
            <w:tcW w:w="594" w:type="dxa"/>
            <w:vAlign w:val="top"/>
          </w:tcPr>
          <w:p>
            <w:pPr>
              <w:spacing w:line="349" w:lineRule="auto"/>
              <w:rPr>
                <w:rFonts w:ascii="Arial"/>
                <w:sz w:val="21"/>
              </w:rPr>
            </w:pPr>
            <w:r/>
          </w:p>
          <w:p>
            <w:pPr>
              <w:pStyle w:val="TableText"/>
              <w:ind w:left="164"/>
              <w:spacing w:before="52" w:line="183" w:lineRule="auto"/>
              <w:rPr>
                <w:sz w:val="16"/>
                <w:szCs w:val="16"/>
              </w:rPr>
            </w:pPr>
            <w:r>
              <w:rPr>
                <w:sz w:val="16"/>
                <w:szCs w:val="16"/>
                <w:spacing w:val="-2"/>
              </w:rPr>
              <w:t>678</w:t>
            </w:r>
          </w:p>
        </w:tc>
        <w:tc>
          <w:tcPr>
            <w:tcW w:w="1279" w:type="dxa"/>
            <w:vAlign w:val="top"/>
          </w:tcPr>
          <w:p>
            <w:pPr>
              <w:spacing w:line="308" w:lineRule="auto"/>
              <w:rPr>
                <w:rFonts w:ascii="Arial"/>
                <w:sz w:val="21"/>
              </w:rPr>
            </w:pPr>
            <w:r/>
          </w:p>
          <w:p>
            <w:pPr>
              <w:pStyle w:val="TableText"/>
              <w:ind w:left="310"/>
              <w:spacing w:before="52" w:line="219" w:lineRule="auto"/>
              <w:rPr>
                <w:sz w:val="16"/>
                <w:szCs w:val="16"/>
              </w:rPr>
            </w:pPr>
            <w:r>
              <w:rPr>
                <w:sz w:val="16"/>
                <w:szCs w:val="16"/>
                <w:spacing w:val="-1"/>
              </w:rPr>
              <w:t>报保由分</w:t>
            </w:r>
          </w:p>
        </w:tc>
        <w:tc>
          <w:tcPr>
            <w:tcW w:w="1638" w:type="dxa"/>
            <w:vAlign w:val="top"/>
          </w:tcPr>
          <w:p>
            <w:pPr>
              <w:pStyle w:val="TableText"/>
              <w:ind w:left="62" w:right="85" w:firstLine="30"/>
              <w:spacing w:before="61" w:line="230" w:lineRule="auto"/>
              <w:jc w:val="both"/>
              <w:rPr>
                <w:sz w:val="16"/>
                <w:szCs w:val="16"/>
              </w:rPr>
            </w:pPr>
            <w:r>
              <w:rPr>
                <w:sz w:val="16"/>
                <w:szCs w:val="16"/>
                <w:spacing w:val="1"/>
              </w:rPr>
              <w:t>中质银行业金础机构</w:t>
            </w:r>
            <w:r>
              <w:rPr>
                <w:sz w:val="16"/>
                <w:szCs w:val="16"/>
              </w:rPr>
              <w:t xml:space="preserve"> </w:t>
            </w:r>
            <w:r>
              <w:rPr>
                <w:sz w:val="16"/>
                <w:szCs w:val="16"/>
                <w:spacing w:val="2"/>
              </w:rPr>
              <w:t>及把银行金强机构重</w:t>
            </w:r>
            <w:r>
              <w:rPr>
                <w:sz w:val="16"/>
                <w:szCs w:val="16"/>
                <w:spacing w:val="5"/>
              </w:rPr>
              <w:t xml:space="preserve"> </w:t>
            </w:r>
            <w:r>
              <w:rPr>
                <w:sz w:val="16"/>
                <w:szCs w:val="16"/>
                <w:spacing w:val="2"/>
              </w:rPr>
              <w:t>事和高级管理入员任</w:t>
            </w:r>
            <w:r>
              <w:rPr>
                <w:sz w:val="16"/>
                <w:szCs w:val="16"/>
                <w:spacing w:val="4"/>
              </w:rPr>
              <w:t xml:space="preserve"> </w:t>
            </w:r>
            <w:r>
              <w:rPr>
                <w:sz w:val="16"/>
                <w:szCs w:val="16"/>
                <w:spacing w:val="-2"/>
              </w:rPr>
              <w:t>职紫格核准</w:t>
            </w:r>
          </w:p>
        </w:tc>
        <w:tc>
          <w:tcPr>
            <w:tcW w:w="2367" w:type="dxa"/>
            <w:vAlign w:val="top"/>
          </w:tcPr>
          <w:p>
            <w:pPr>
              <w:pStyle w:val="TableText"/>
              <w:ind w:left="64"/>
              <w:spacing w:before="282" w:line="198" w:lineRule="auto"/>
              <w:rPr>
                <w:sz w:val="16"/>
                <w:szCs w:val="16"/>
              </w:rPr>
            </w:pPr>
            <w:r>
              <w:rPr>
                <w:sz w:val="16"/>
                <w:szCs w:val="16"/>
                <w:spacing w:val="-3"/>
              </w:rPr>
              <w:t>银架蓝会：银保蓝</w:t>
            </w:r>
            <w:r>
              <w:rPr>
                <w:sz w:val="16"/>
                <w:szCs w:val="16"/>
                <w:spacing w:val="14"/>
              </w:rPr>
              <w:t xml:space="preserve">  </w:t>
            </w:r>
            <w:r>
              <w:rPr>
                <w:sz w:val="16"/>
                <w:szCs w:val="16"/>
                <w:spacing w:val="-3"/>
              </w:rPr>
              <w:t>；报倒监分</w:t>
            </w:r>
          </w:p>
          <w:p>
            <w:pPr>
              <w:pStyle w:val="TableText"/>
              <w:ind w:left="54"/>
              <w:spacing w:line="220" w:lineRule="auto"/>
              <w:rPr>
                <w:sz w:val="16"/>
                <w:szCs w:val="16"/>
              </w:rPr>
            </w:pPr>
            <w:r>
              <w:rPr>
                <w:sz w:val="16"/>
                <w:szCs w:val="16"/>
              </w:rPr>
              <w:t>局</w:t>
            </w:r>
          </w:p>
        </w:tc>
        <w:tc>
          <w:tcPr>
            <w:tcW w:w="3711" w:type="dxa"/>
            <w:vAlign w:val="top"/>
          </w:tcPr>
          <w:p>
            <w:pPr>
              <w:pStyle w:val="TableText"/>
              <w:ind w:left="79"/>
              <w:spacing w:before="282" w:line="231" w:lineRule="auto"/>
              <w:rPr>
                <w:sz w:val="16"/>
                <w:szCs w:val="16"/>
              </w:rPr>
            </w:pPr>
            <w:r>
              <w:rPr>
                <w:sz w:val="16"/>
                <w:szCs w:val="16"/>
                <w:spacing w:val="1"/>
              </w:rPr>
              <w:t>中华人民共和国梨行业监管管理法)</w:t>
            </w:r>
          </w:p>
          <w:p>
            <w:pPr>
              <w:pStyle w:val="TableText"/>
              <w:spacing w:line="219" w:lineRule="auto"/>
              <w:rPr>
                <w:sz w:val="16"/>
                <w:szCs w:val="16"/>
              </w:rPr>
            </w:pPr>
            <w:r>
              <w:rPr>
                <w:sz w:val="16"/>
                <w:szCs w:val="16"/>
                <w:spacing w:val="-2"/>
              </w:rPr>
              <w:t>《中华人民共和回商业极行法》</w:t>
            </w:r>
          </w:p>
        </w:tc>
      </w:tr>
      <w:tr>
        <w:trPr>
          <w:trHeight w:val="1478" w:hRule="atLeast"/>
        </w:trPr>
        <w:tc>
          <w:tcPr>
            <w:tcW w:w="594" w:type="dxa"/>
            <w:vAlign w:val="top"/>
          </w:tcPr>
          <w:p>
            <w:pPr>
              <w:spacing w:line="324" w:lineRule="auto"/>
              <w:rPr>
                <w:rFonts w:ascii="Arial"/>
                <w:sz w:val="21"/>
              </w:rPr>
            </w:pPr>
            <w:r/>
          </w:p>
          <w:p>
            <w:pPr>
              <w:spacing w:line="324" w:lineRule="auto"/>
              <w:rPr>
                <w:rFonts w:ascii="Arial"/>
                <w:sz w:val="21"/>
              </w:rPr>
            </w:pPr>
            <w:r/>
          </w:p>
          <w:p>
            <w:pPr>
              <w:pStyle w:val="TableText"/>
              <w:ind w:left="164"/>
              <w:spacing w:before="52" w:line="183" w:lineRule="auto"/>
              <w:rPr>
                <w:sz w:val="16"/>
                <w:szCs w:val="16"/>
              </w:rPr>
            </w:pPr>
            <w:r>
              <w:rPr>
                <w:sz w:val="16"/>
                <w:szCs w:val="16"/>
                <w:spacing w:val="-2"/>
              </w:rPr>
              <w:t>677</w:t>
            </w:r>
          </w:p>
        </w:tc>
        <w:tc>
          <w:tcPr>
            <w:tcW w:w="1279" w:type="dxa"/>
            <w:vAlign w:val="top"/>
          </w:tcPr>
          <w:p>
            <w:pPr>
              <w:spacing w:line="303" w:lineRule="auto"/>
              <w:rPr>
                <w:rFonts w:ascii="Arial"/>
                <w:sz w:val="21"/>
              </w:rPr>
            </w:pPr>
            <w:r/>
          </w:p>
          <w:p>
            <w:pPr>
              <w:spacing w:line="303" w:lineRule="auto"/>
              <w:rPr>
                <w:rFonts w:ascii="Arial"/>
                <w:sz w:val="21"/>
              </w:rPr>
            </w:pPr>
            <w:r/>
          </w:p>
          <w:p>
            <w:pPr>
              <w:pStyle w:val="TableText"/>
              <w:ind w:left="310"/>
              <w:spacing w:before="52" w:line="219" w:lineRule="auto"/>
              <w:rPr>
                <w:sz w:val="16"/>
                <w:szCs w:val="16"/>
              </w:rPr>
            </w:pPr>
            <w:r>
              <w:rPr>
                <w:sz w:val="16"/>
                <w:szCs w:val="16"/>
                <w:spacing w:val="-2"/>
              </w:rPr>
              <w:t>银保监会</w:t>
            </w:r>
          </w:p>
        </w:tc>
        <w:tc>
          <w:tcPr>
            <w:tcW w:w="1638" w:type="dxa"/>
            <w:vAlign w:val="top"/>
          </w:tcPr>
          <w:p>
            <w:pPr>
              <w:spacing w:line="263" w:lineRule="auto"/>
              <w:rPr>
                <w:rFonts w:ascii="Arial"/>
                <w:sz w:val="21"/>
              </w:rPr>
            </w:pPr>
            <w:r/>
          </w:p>
          <w:p>
            <w:pPr>
              <w:spacing w:line="264" w:lineRule="auto"/>
              <w:rPr>
                <w:rFonts w:ascii="Arial"/>
                <w:sz w:val="21"/>
              </w:rPr>
            </w:pPr>
            <w:r/>
          </w:p>
          <w:p>
            <w:pPr>
              <w:pStyle w:val="TableText"/>
              <w:ind w:left="42" w:right="103" w:firstLine="50"/>
              <w:spacing w:before="52" w:line="208" w:lineRule="auto"/>
              <w:rPr>
                <w:sz w:val="16"/>
                <w:szCs w:val="16"/>
              </w:rPr>
            </w:pPr>
            <w:r>
              <w:rPr>
                <w:sz w:val="16"/>
                <w:szCs w:val="16"/>
                <w:spacing w:val="-1"/>
              </w:rPr>
              <w:t>议立身当行及分支机</w:t>
            </w:r>
            <w:r>
              <w:rPr>
                <w:sz w:val="16"/>
                <w:szCs w:val="16"/>
              </w:rPr>
              <w:t xml:space="preserve"> </w:t>
            </w:r>
            <w:r>
              <w:rPr>
                <w:sz w:val="16"/>
                <w:szCs w:val="16"/>
                <w:spacing w:val="-2"/>
              </w:rPr>
              <w:t>构市批</w:t>
            </w:r>
          </w:p>
        </w:tc>
        <w:tc>
          <w:tcPr>
            <w:tcW w:w="2367" w:type="dxa"/>
            <w:vAlign w:val="top"/>
          </w:tcPr>
          <w:p>
            <w:pPr>
              <w:spacing w:line="303" w:lineRule="auto"/>
              <w:rPr>
                <w:rFonts w:ascii="Arial"/>
                <w:sz w:val="21"/>
              </w:rPr>
            </w:pPr>
            <w:r/>
          </w:p>
          <w:p>
            <w:pPr>
              <w:spacing w:line="304" w:lineRule="auto"/>
              <w:rPr>
                <w:rFonts w:ascii="Arial"/>
                <w:sz w:val="21"/>
              </w:rPr>
            </w:pPr>
            <w:r/>
          </w:p>
          <w:p>
            <w:pPr>
              <w:pStyle w:val="TableText"/>
              <w:ind w:left="54"/>
              <w:spacing w:before="52" w:line="219" w:lineRule="auto"/>
              <w:rPr>
                <w:sz w:val="16"/>
                <w:szCs w:val="16"/>
              </w:rPr>
            </w:pPr>
            <w:r>
              <w:rPr>
                <w:sz w:val="16"/>
                <w:szCs w:val="16"/>
                <w:spacing w:val="1"/>
              </w:rPr>
              <w:t>省级地方金陆监督置理部门</w:t>
            </w:r>
          </w:p>
        </w:tc>
        <w:tc>
          <w:tcPr>
            <w:tcW w:w="3711" w:type="dxa"/>
            <w:vAlign w:val="top"/>
          </w:tcPr>
          <w:p>
            <w:pPr>
              <w:pStyle w:val="TableText"/>
              <w:ind w:left="66" w:right="187"/>
              <w:spacing w:before="82" w:line="225" w:lineRule="auto"/>
              <w:rPr>
                <w:sz w:val="16"/>
                <w:szCs w:val="16"/>
              </w:rPr>
            </w:pPr>
            <w:r>
              <w:rPr>
                <w:sz w:val="16"/>
                <w:szCs w:val="16"/>
              </w:rPr>
              <w:t>1国务家对础需保回的行政审批项目设定行政许可</w:t>
            </w:r>
            <w:r>
              <w:rPr>
                <w:sz w:val="16"/>
                <w:szCs w:val="16"/>
                <w:spacing w:val="5"/>
              </w:rPr>
              <w:t xml:space="preserve"> </w:t>
            </w:r>
            <w:r>
              <w:rPr>
                <w:sz w:val="16"/>
                <w:szCs w:val="16"/>
              </w:rPr>
              <w:t>的决定》</w:t>
            </w:r>
          </w:p>
          <w:p>
            <w:pPr>
              <w:pStyle w:val="TableText"/>
              <w:ind w:left="79" w:right="51" w:hanging="79"/>
              <w:spacing w:before="1" w:line="231" w:lineRule="auto"/>
              <w:rPr>
                <w:sz w:val="16"/>
                <w:szCs w:val="16"/>
              </w:rPr>
            </w:pPr>
            <w:r>
              <w:rPr>
                <w:sz w:val="16"/>
                <w:szCs w:val="16"/>
                <w:spacing w:val="-2"/>
              </w:rPr>
              <w:t>《中国银行保险监督情理委量会欺隐配壁，内设机构</w:t>
            </w:r>
            <w:r>
              <w:rPr>
                <w:sz w:val="16"/>
                <w:szCs w:val="16"/>
                <w:spacing w:val="14"/>
              </w:rPr>
              <w:t xml:space="preserve"> </w:t>
            </w:r>
            <w:r>
              <w:rPr>
                <w:sz w:val="16"/>
                <w:szCs w:val="16"/>
                <w:spacing w:val="-2"/>
              </w:rPr>
              <w:t>和人屈场易规定</w:t>
            </w:r>
          </w:p>
          <w:p>
            <w:pPr>
              <w:pStyle w:val="TableText"/>
              <w:ind w:left="79" w:right="33" w:hanging="79"/>
              <w:spacing w:before="8" w:line="225" w:lineRule="auto"/>
              <w:rPr>
                <w:sz w:val="16"/>
                <w:szCs w:val="16"/>
              </w:rPr>
            </w:pPr>
            <w:r>
              <w:rPr>
                <w:sz w:val="16"/>
                <w:szCs w:val="16"/>
                <w:spacing w:val="-1"/>
              </w:rPr>
              <w:t>《商务部办公厅关于融资租值公司，自业保是公间和</w:t>
            </w:r>
            <w:r>
              <w:rPr>
                <w:sz w:val="16"/>
                <w:szCs w:val="16"/>
                <w:spacing w:val="9"/>
              </w:rPr>
              <w:t xml:space="preserve"> </w:t>
            </w:r>
            <w:r>
              <w:rPr>
                <w:sz w:val="16"/>
                <w:szCs w:val="16"/>
                <w:spacing w:val="-1"/>
              </w:rPr>
              <w:t>典当行管理职责消格有关事古的通知利所办流通而</w:t>
            </w:r>
            <w:r>
              <w:rPr>
                <w:sz w:val="16"/>
                <w:szCs w:val="16"/>
              </w:rPr>
              <w:t xml:space="preserve">  </w:t>
            </w:r>
            <w:r>
              <w:rPr>
                <w:sz w:val="16"/>
                <w:szCs w:val="16"/>
                <w:spacing w:val="2"/>
              </w:rPr>
              <w:t>(20180156号)</w:t>
            </w:r>
          </w:p>
        </w:tc>
      </w:tr>
      <w:tr>
        <w:trPr>
          <w:trHeight w:val="963" w:hRule="atLeast"/>
        </w:trPr>
        <w:tc>
          <w:tcPr>
            <w:tcW w:w="594" w:type="dxa"/>
            <w:vAlign w:val="top"/>
          </w:tcPr>
          <w:p>
            <w:pPr>
              <w:spacing w:line="392" w:lineRule="auto"/>
              <w:rPr>
                <w:rFonts w:ascii="Arial"/>
                <w:sz w:val="21"/>
              </w:rPr>
            </w:pPr>
            <w:r/>
          </w:p>
          <w:p>
            <w:pPr>
              <w:pStyle w:val="TableText"/>
              <w:ind w:left="164"/>
              <w:spacing w:before="52" w:line="183" w:lineRule="auto"/>
              <w:rPr>
                <w:sz w:val="16"/>
                <w:szCs w:val="16"/>
              </w:rPr>
            </w:pPr>
            <w:r>
              <w:rPr>
                <w:sz w:val="16"/>
                <w:szCs w:val="16"/>
                <w:spacing w:val="-2"/>
              </w:rPr>
              <w:t>678</w:t>
            </w:r>
          </w:p>
        </w:tc>
        <w:tc>
          <w:tcPr>
            <w:tcW w:w="1279" w:type="dxa"/>
            <w:vAlign w:val="top"/>
          </w:tcPr>
          <w:p>
            <w:pPr>
              <w:spacing w:line="350" w:lineRule="auto"/>
              <w:rPr>
                <w:rFonts w:ascii="Arial"/>
                <w:sz w:val="21"/>
              </w:rPr>
            </w:pPr>
            <w:r/>
          </w:p>
          <w:p>
            <w:pPr>
              <w:pStyle w:val="TableText"/>
              <w:ind w:left="310"/>
              <w:spacing w:before="52" w:line="219" w:lineRule="auto"/>
              <w:rPr>
                <w:sz w:val="16"/>
                <w:szCs w:val="16"/>
              </w:rPr>
            </w:pPr>
            <w:r>
              <w:rPr>
                <w:sz w:val="16"/>
                <w:szCs w:val="16"/>
                <w:spacing w:val="-2"/>
              </w:rPr>
              <w:t>银保监会</w:t>
            </w:r>
          </w:p>
        </w:tc>
        <w:tc>
          <w:tcPr>
            <w:tcW w:w="1638" w:type="dxa"/>
            <w:vAlign w:val="top"/>
          </w:tcPr>
          <w:p>
            <w:pPr>
              <w:pStyle w:val="TableText"/>
              <w:ind w:left="11" w:right="22" w:firstLine="119"/>
              <w:spacing w:before="125" w:line="219" w:lineRule="auto"/>
              <w:rPr>
                <w:sz w:val="16"/>
                <w:szCs w:val="16"/>
              </w:rPr>
            </w:pPr>
            <w:r>
              <w:rPr>
                <w:sz w:val="16"/>
                <w:szCs w:val="16"/>
              </w:rPr>
              <w:t>融资担保盐司成立。 </w:t>
            </w:r>
            <w:r>
              <w:rPr>
                <w:sz w:val="16"/>
                <w:szCs w:val="16"/>
                <w:spacing w:val="-1"/>
              </w:rPr>
              <w:t>合井，分立，画少往票</w:t>
            </w:r>
          </w:p>
          <w:p>
            <w:pPr>
              <w:pStyle w:val="TableText"/>
              <w:ind w:left="52" w:right="87" w:firstLine="40"/>
              <w:spacing w:before="9" w:line="236" w:lineRule="auto"/>
              <w:rPr>
                <w:sz w:val="16"/>
                <w:szCs w:val="16"/>
              </w:rPr>
            </w:pPr>
            <w:r>
              <w:rPr>
                <w:sz w:val="16"/>
                <w:szCs w:val="16"/>
              </w:rPr>
              <w:t>资本及游省设立分支</w:t>
            </w:r>
            <w:r>
              <w:rPr>
                <w:sz w:val="16"/>
                <w:szCs w:val="16"/>
                <w:spacing w:val="7"/>
              </w:rPr>
              <w:t xml:space="preserve"> </w:t>
            </w:r>
            <w:r>
              <w:rPr>
                <w:sz w:val="16"/>
                <w:szCs w:val="16"/>
                <w:spacing w:val="-2"/>
              </w:rPr>
              <w:t>机构市批</w:t>
            </w:r>
          </w:p>
        </w:tc>
        <w:tc>
          <w:tcPr>
            <w:tcW w:w="2367" w:type="dxa"/>
            <w:vAlign w:val="top"/>
          </w:tcPr>
          <w:p>
            <w:pPr>
              <w:spacing w:line="351" w:lineRule="auto"/>
              <w:rPr>
                <w:rFonts w:ascii="Arial"/>
                <w:sz w:val="21"/>
              </w:rPr>
            </w:pPr>
            <w:r/>
          </w:p>
          <w:p>
            <w:pPr>
              <w:pStyle w:val="TableText"/>
              <w:ind w:left="54"/>
              <w:spacing w:before="52" w:line="219" w:lineRule="auto"/>
              <w:rPr>
                <w:sz w:val="16"/>
                <w:szCs w:val="16"/>
              </w:rPr>
            </w:pPr>
            <w:r>
              <w:rPr>
                <w:sz w:val="16"/>
                <w:szCs w:val="16"/>
                <w:spacing w:val="1"/>
              </w:rPr>
              <w:t>省跟地方金磁监皆管理部门</w:t>
            </w:r>
          </w:p>
        </w:tc>
        <w:tc>
          <w:tcPr>
            <w:tcW w:w="3711" w:type="dxa"/>
            <w:vAlign w:val="top"/>
          </w:tcPr>
          <w:p>
            <w:pPr>
              <w:spacing w:line="351" w:lineRule="auto"/>
              <w:rPr>
                <w:rFonts w:ascii="Arial"/>
                <w:sz w:val="21"/>
              </w:rPr>
            </w:pPr>
            <w:r/>
          </w:p>
          <w:p>
            <w:pPr>
              <w:pStyle w:val="TableText"/>
              <w:ind w:left="66"/>
              <w:spacing w:before="52" w:line="219" w:lineRule="auto"/>
              <w:rPr>
                <w:sz w:val="16"/>
                <w:szCs w:val="16"/>
              </w:rPr>
            </w:pPr>
            <w:r>
              <w:rPr>
                <w:sz w:val="16"/>
                <w:szCs w:val="16"/>
                <w:spacing w:val="-1"/>
              </w:rPr>
              <w:t>4融资担保公司面普量理条例》</w:t>
            </w:r>
          </w:p>
        </w:tc>
      </w:tr>
    </w:tbl>
    <w:p>
      <w:pPr>
        <w:pStyle w:val="BodyText"/>
        <w:rPr/>
      </w:pPr>
      <w:r/>
    </w:p>
    <w:p>
      <w:pPr>
        <w:sectPr>
          <w:pgSz w:w="11910" w:h="8220"/>
          <w:pgMar w:top="400" w:right="117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894784"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06" name="TextBox 306"/>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8" style="position:absolute;margin-left:37.0402pt;margin-top:48.636pt;mso-position-vertical-relative:page;mso-position-horizontal-relative:page;width:13.6pt;height:12.35pt;z-index:2518947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234</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57"/>
        <w:gridCol w:w="3711"/>
      </w:tblGrid>
      <w:tr>
        <w:trPr>
          <w:trHeight w:val="424" w:hRule="atLeast"/>
        </w:trPr>
        <w:tc>
          <w:tcPr>
            <w:tcW w:w="584" w:type="dxa"/>
            <w:vAlign w:val="top"/>
          </w:tcPr>
          <w:p>
            <w:pPr>
              <w:pStyle w:val="TableText"/>
              <w:ind w:left="124"/>
              <w:spacing w:before="131" w:line="219" w:lineRule="auto"/>
              <w:rPr>
                <w:sz w:val="16"/>
                <w:szCs w:val="16"/>
              </w:rPr>
            </w:pPr>
            <w:r>
              <w:rPr>
                <w:sz w:val="16"/>
                <w:szCs w:val="16"/>
                <w:spacing w:val="-2"/>
              </w:rPr>
              <w:t>库号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57" w:type="dxa"/>
            <w:vAlign w:val="top"/>
          </w:tcPr>
          <w:p>
            <w:pPr>
              <w:pStyle w:val="TableText"/>
              <w:ind w:left="824"/>
              <w:spacing w:before="130" w:line="219" w:lineRule="auto"/>
              <w:rPr>
                <w:sz w:val="16"/>
                <w:szCs w:val="16"/>
              </w:rPr>
            </w:pPr>
            <w:r>
              <w:rPr>
                <w:sz w:val="16"/>
                <w:szCs w:val="16"/>
                <w:spacing w:val="-2"/>
              </w:rPr>
              <w:t>其培机关</w:t>
            </w:r>
          </w:p>
        </w:tc>
        <w:tc>
          <w:tcPr>
            <w:tcW w:w="3711" w:type="dxa"/>
            <w:vAlign w:val="top"/>
          </w:tcPr>
          <w:p>
            <w:pPr>
              <w:pStyle w:val="TableText"/>
              <w:ind w:left="1276"/>
              <w:spacing w:before="130" w:line="219" w:lineRule="auto"/>
              <w:rPr>
                <w:sz w:val="16"/>
                <w:szCs w:val="16"/>
              </w:rPr>
            </w:pPr>
            <w:r>
              <w:rPr>
                <w:sz w:val="16"/>
                <w:szCs w:val="16"/>
                <w:spacing w:val="-2"/>
              </w:rPr>
              <w:t>级定和弈施依据</w:t>
            </w:r>
          </w:p>
        </w:tc>
      </w:tr>
      <w:tr>
        <w:trPr>
          <w:trHeight w:val="849" w:hRule="atLeast"/>
        </w:trPr>
        <w:tc>
          <w:tcPr>
            <w:tcW w:w="584" w:type="dxa"/>
            <w:vAlign w:val="top"/>
          </w:tcPr>
          <w:p>
            <w:pPr>
              <w:spacing w:line="334" w:lineRule="auto"/>
              <w:rPr>
                <w:rFonts w:ascii="Arial"/>
                <w:sz w:val="21"/>
              </w:rPr>
            </w:pPr>
            <w:r/>
          </w:p>
          <w:p>
            <w:pPr>
              <w:pStyle w:val="TableText"/>
              <w:ind w:left="164"/>
              <w:spacing w:before="52" w:line="183" w:lineRule="auto"/>
              <w:rPr>
                <w:sz w:val="16"/>
                <w:szCs w:val="16"/>
              </w:rPr>
            </w:pPr>
            <w:r>
              <w:rPr>
                <w:sz w:val="16"/>
                <w:szCs w:val="16"/>
                <w:spacing w:val="-2"/>
              </w:rPr>
              <w:t>679</w:t>
            </w:r>
          </w:p>
        </w:tc>
        <w:tc>
          <w:tcPr>
            <w:tcW w:w="1289" w:type="dxa"/>
            <w:vAlign w:val="top"/>
          </w:tcPr>
          <w:p>
            <w:pPr>
              <w:spacing w:line="292" w:lineRule="auto"/>
              <w:rPr>
                <w:rFonts w:ascii="Arial"/>
                <w:sz w:val="21"/>
              </w:rPr>
            </w:pPr>
            <w:r/>
          </w:p>
          <w:p>
            <w:pPr>
              <w:pStyle w:val="TableText"/>
              <w:ind w:left="310"/>
              <w:spacing w:before="52" w:line="219" w:lineRule="auto"/>
              <w:rPr>
                <w:sz w:val="16"/>
                <w:szCs w:val="16"/>
              </w:rPr>
            </w:pPr>
            <w:r>
              <w:rPr>
                <w:sz w:val="16"/>
                <w:szCs w:val="16"/>
                <w:spacing w:val="-3"/>
              </w:rPr>
              <w:t>能保盐会</w:t>
            </w:r>
          </w:p>
        </w:tc>
        <w:tc>
          <w:tcPr>
            <w:tcW w:w="1648" w:type="dxa"/>
            <w:vAlign w:val="top"/>
          </w:tcPr>
          <w:p>
            <w:pPr>
              <w:pStyle w:val="TableText"/>
              <w:ind w:left="62" w:right="114" w:firstLine="30"/>
              <w:spacing w:before="59" w:line="225" w:lineRule="auto"/>
              <w:jc w:val="both"/>
              <w:rPr>
                <w:sz w:val="16"/>
                <w:szCs w:val="16"/>
              </w:rPr>
            </w:pPr>
            <w:r>
              <w:rPr>
                <w:sz w:val="16"/>
                <w:szCs w:val="16"/>
                <w:spacing w:val="-2"/>
              </w:rPr>
              <w:t>克业能行，犹茧社能</w:t>
            </w:r>
            <w:r>
              <w:rPr>
                <w:sz w:val="16"/>
                <w:szCs w:val="16"/>
                <w:spacing w:val="6"/>
              </w:rPr>
              <w:t xml:space="preserve"> </w:t>
            </w:r>
            <w:r>
              <w:rPr>
                <w:sz w:val="16"/>
                <w:szCs w:val="16"/>
                <w:spacing w:val="2"/>
              </w:rPr>
              <w:t>行，全商资产管理公 </w:t>
            </w:r>
            <w:r>
              <w:rPr>
                <w:sz w:val="16"/>
                <w:szCs w:val="16"/>
                <w:spacing w:val="2"/>
              </w:rPr>
              <w:t>前对异从事股程投登 </w:t>
            </w:r>
            <w:r>
              <w:rPr>
                <w:sz w:val="16"/>
                <w:szCs w:val="16"/>
                <w:spacing w:val="-3"/>
              </w:rPr>
              <w:t>市推</w:t>
            </w:r>
          </w:p>
        </w:tc>
        <w:tc>
          <w:tcPr>
            <w:tcW w:w="2357" w:type="dxa"/>
            <w:vAlign w:val="top"/>
          </w:tcPr>
          <w:p>
            <w:pPr>
              <w:spacing w:line="292" w:lineRule="auto"/>
              <w:rPr>
                <w:rFonts w:ascii="Arial"/>
                <w:sz w:val="21"/>
              </w:rPr>
            </w:pPr>
            <w:r/>
          </w:p>
          <w:p>
            <w:pPr>
              <w:pStyle w:val="TableText"/>
              <w:ind w:left="44"/>
              <w:spacing w:before="52" w:line="219" w:lineRule="auto"/>
              <w:rPr>
                <w:sz w:val="16"/>
                <w:szCs w:val="16"/>
              </w:rPr>
            </w:pPr>
            <w:r>
              <w:rPr>
                <w:sz w:val="16"/>
                <w:szCs w:val="16"/>
                <w:spacing w:val="1"/>
              </w:rPr>
              <w:t>保保监会；保保蓝马</w:t>
            </w:r>
          </w:p>
        </w:tc>
        <w:tc>
          <w:tcPr>
            <w:tcW w:w="3711" w:type="dxa"/>
            <w:vAlign w:val="top"/>
          </w:tcPr>
          <w:p>
            <w:pPr>
              <w:pStyle w:val="TableText"/>
              <w:ind w:left="66"/>
              <w:spacing w:before="47" w:line="211" w:lineRule="exact"/>
              <w:rPr>
                <w:sz w:val="16"/>
                <w:szCs w:val="16"/>
              </w:rPr>
            </w:pPr>
            <w:r>
              <w:rPr>
                <w:sz w:val="16"/>
                <w:szCs w:val="16"/>
                <w:spacing w:val="-1"/>
                <w:position w:val="3"/>
              </w:rPr>
              <w:t>4中华人民共和国银行业险督情理法》</w:t>
            </w:r>
          </w:p>
          <w:p>
            <w:pPr>
              <w:pStyle w:val="TableText"/>
              <w:ind w:left="66"/>
              <w:spacing w:line="218" w:lineRule="auto"/>
              <w:rPr>
                <w:sz w:val="16"/>
                <w:szCs w:val="16"/>
              </w:rPr>
            </w:pPr>
            <w:r>
              <w:rPr>
                <w:sz w:val="16"/>
                <w:szCs w:val="16"/>
                <w:spacing w:val="2"/>
              </w:rPr>
              <w:t>中华人民具和国商业能行齿)</w:t>
            </w:r>
          </w:p>
          <w:p>
            <w:pPr>
              <w:pStyle w:val="TableText"/>
              <w:ind w:left="66" w:right="250" w:firstLine="10"/>
              <w:spacing w:before="1" w:line="225" w:lineRule="auto"/>
              <w:rPr>
                <w:sz w:val="16"/>
                <w:szCs w:val="16"/>
              </w:rPr>
            </w:pPr>
            <w:r>
              <w:rPr>
                <w:sz w:val="16"/>
                <w:szCs w:val="16"/>
              </w:rPr>
              <w:t>国务能对编需保间的行政市批巩目设定行故许句</w:t>
            </w:r>
            <w:r>
              <w:rPr>
                <w:sz w:val="16"/>
                <w:szCs w:val="16"/>
                <w:spacing w:val="12"/>
              </w:rPr>
              <w:t xml:space="preserve"> </w:t>
            </w:r>
            <w:r>
              <w:rPr>
                <w:sz w:val="16"/>
                <w:szCs w:val="16"/>
                <w:spacing w:val="3"/>
              </w:rPr>
              <w:t>的决定</w:t>
            </w:r>
          </w:p>
        </w:tc>
      </w:tr>
      <w:tr>
        <w:trPr>
          <w:trHeight w:val="849" w:hRule="atLeast"/>
        </w:trPr>
        <w:tc>
          <w:tcPr>
            <w:tcW w:w="584" w:type="dxa"/>
            <w:vAlign w:val="top"/>
          </w:tcPr>
          <w:p>
            <w:pPr>
              <w:spacing w:line="335" w:lineRule="auto"/>
              <w:rPr>
                <w:rFonts w:ascii="Arial"/>
                <w:sz w:val="21"/>
              </w:rPr>
            </w:pPr>
            <w:r/>
          </w:p>
          <w:p>
            <w:pPr>
              <w:pStyle w:val="TableText"/>
              <w:ind w:left="164"/>
              <w:spacing w:before="52" w:line="183" w:lineRule="auto"/>
              <w:rPr>
                <w:sz w:val="16"/>
                <w:szCs w:val="16"/>
              </w:rPr>
            </w:pPr>
            <w:r>
              <w:rPr>
                <w:sz w:val="16"/>
                <w:szCs w:val="16"/>
                <w:spacing w:val="-2"/>
              </w:rPr>
              <w:t>680</w:t>
            </w:r>
          </w:p>
        </w:tc>
        <w:tc>
          <w:tcPr>
            <w:tcW w:w="1289" w:type="dxa"/>
            <w:vAlign w:val="top"/>
          </w:tcPr>
          <w:p>
            <w:pPr>
              <w:spacing w:line="295" w:lineRule="auto"/>
              <w:rPr>
                <w:rFonts w:ascii="Arial"/>
                <w:sz w:val="21"/>
              </w:rPr>
            </w:pPr>
            <w:r/>
          </w:p>
          <w:p>
            <w:pPr>
              <w:pStyle w:val="TableText"/>
              <w:ind w:left="310"/>
              <w:spacing w:before="52" w:line="220" w:lineRule="auto"/>
              <w:rPr>
                <w:sz w:val="16"/>
                <w:szCs w:val="16"/>
              </w:rPr>
            </w:pPr>
            <w:r>
              <w:rPr>
                <w:sz w:val="16"/>
                <w:szCs w:val="16"/>
                <w:spacing w:val="-2"/>
              </w:rPr>
              <w:t>银保写交</w:t>
            </w:r>
          </w:p>
        </w:tc>
        <w:tc>
          <w:tcPr>
            <w:tcW w:w="1648" w:type="dxa"/>
            <w:vAlign w:val="top"/>
          </w:tcPr>
          <w:p>
            <w:pPr>
              <w:pStyle w:val="TableText"/>
              <w:ind w:left="62" w:right="95" w:firstLine="30"/>
              <w:spacing w:before="59" w:line="225" w:lineRule="auto"/>
              <w:jc w:val="both"/>
              <w:rPr>
                <w:sz w:val="16"/>
                <w:szCs w:val="16"/>
              </w:rPr>
            </w:pPr>
            <w:r>
              <w:rPr>
                <w:sz w:val="16"/>
                <w:szCs w:val="16"/>
                <w:spacing w:val="-2"/>
              </w:rPr>
              <w:t>外资提行营业性机构</w:t>
            </w:r>
            <w:r>
              <w:rPr>
                <w:sz w:val="16"/>
                <w:szCs w:val="16"/>
                <w:spacing w:val="7"/>
              </w:rPr>
              <w:t xml:space="preserve"> </w:t>
            </w:r>
            <w:r>
              <w:rPr>
                <w:sz w:val="16"/>
                <w:szCs w:val="16"/>
                <w:spacing w:val="13"/>
              </w:rPr>
              <w:t>及其分支机梅设立.</w:t>
            </w:r>
            <w:r>
              <w:rPr>
                <w:sz w:val="16"/>
                <w:szCs w:val="16"/>
                <w:spacing w:val="2"/>
              </w:rPr>
              <w:t xml:space="preserve"> </w:t>
            </w:r>
            <w:r>
              <w:rPr>
                <w:sz w:val="16"/>
                <w:szCs w:val="16"/>
                <w:spacing w:val="2"/>
              </w:rPr>
              <w:t>交处，娩止四及业条</w:t>
            </w:r>
            <w:r>
              <w:rPr>
                <w:sz w:val="16"/>
                <w:szCs w:val="16"/>
                <w:spacing w:val="1"/>
              </w:rPr>
              <w:t xml:space="preserve"> </w:t>
            </w:r>
            <w:r>
              <w:rPr>
                <w:sz w:val="16"/>
                <w:szCs w:val="16"/>
                <w:spacing w:val="-2"/>
              </w:rPr>
              <w:t>范探审批</w:t>
            </w:r>
          </w:p>
        </w:tc>
        <w:tc>
          <w:tcPr>
            <w:tcW w:w="2357" w:type="dxa"/>
            <w:vAlign w:val="top"/>
          </w:tcPr>
          <w:p>
            <w:pPr>
              <w:pStyle w:val="TableText"/>
              <w:ind w:left="44" w:right="75"/>
              <w:spacing w:before="258" w:line="215" w:lineRule="auto"/>
              <w:rPr>
                <w:sz w:val="16"/>
                <w:szCs w:val="16"/>
              </w:rPr>
            </w:pPr>
            <w:r>
              <w:rPr>
                <w:sz w:val="16"/>
                <w:szCs w:val="16"/>
                <w:spacing w:val="-1"/>
              </w:rPr>
              <w:t>能保监公，银保监局，似保篮分</w:t>
            </w:r>
            <w:r>
              <w:rPr>
                <w:sz w:val="16"/>
                <w:szCs w:val="16"/>
              </w:rPr>
              <w:t xml:space="preserve"> </w:t>
            </w:r>
            <w:r>
              <w:rPr>
                <w:sz w:val="16"/>
                <w:szCs w:val="16"/>
              </w:rPr>
              <w:t>局</w:t>
            </w:r>
          </w:p>
        </w:tc>
        <w:tc>
          <w:tcPr>
            <w:tcW w:w="3711" w:type="dxa"/>
            <w:vAlign w:val="top"/>
          </w:tcPr>
          <w:p>
            <w:pPr>
              <w:pStyle w:val="TableText"/>
              <w:ind w:left="79"/>
              <w:spacing w:before="258" w:line="231" w:lineRule="auto"/>
              <w:rPr>
                <w:sz w:val="16"/>
                <w:szCs w:val="16"/>
              </w:rPr>
            </w:pPr>
            <w:r>
              <w:rPr>
                <w:sz w:val="16"/>
                <w:szCs w:val="16"/>
                <w:spacing w:val="3"/>
              </w:rPr>
              <w:t>1中华人园其和国混行业医督管理法】</w:t>
            </w:r>
          </w:p>
          <w:p>
            <w:pPr>
              <w:pStyle w:val="TableText"/>
              <w:spacing w:line="219" w:lineRule="auto"/>
              <w:rPr>
                <w:sz w:val="16"/>
                <w:szCs w:val="16"/>
              </w:rPr>
            </w:pPr>
            <w:r>
              <w:rPr>
                <w:sz w:val="16"/>
                <w:szCs w:val="16"/>
                <w:spacing w:val="-2"/>
              </w:rPr>
              <w:t>《中华人民线和国外资器行信即条创》</w:t>
            </w:r>
          </w:p>
        </w:tc>
      </w:tr>
      <w:tr>
        <w:trPr>
          <w:trHeight w:val="629" w:hRule="atLeast"/>
        </w:trPr>
        <w:tc>
          <w:tcPr>
            <w:tcW w:w="584" w:type="dxa"/>
            <w:vAlign w:val="top"/>
          </w:tcPr>
          <w:p>
            <w:pPr>
              <w:pStyle w:val="TableText"/>
              <w:ind w:left="164"/>
              <w:spacing w:before="279" w:line="184" w:lineRule="auto"/>
              <w:rPr>
                <w:sz w:val="16"/>
                <w:szCs w:val="16"/>
              </w:rPr>
            </w:pPr>
            <w:r>
              <w:rPr>
                <w:sz w:val="16"/>
                <w:szCs w:val="16"/>
                <w:spacing w:val="-1"/>
              </w:rPr>
              <w:t>BR1</w:t>
            </w:r>
          </w:p>
        </w:tc>
        <w:tc>
          <w:tcPr>
            <w:tcW w:w="1289" w:type="dxa"/>
            <w:vAlign w:val="top"/>
          </w:tcPr>
          <w:p>
            <w:pPr>
              <w:pStyle w:val="TableText"/>
              <w:ind w:left="310"/>
              <w:spacing w:before="238" w:line="219" w:lineRule="auto"/>
              <w:rPr>
                <w:sz w:val="16"/>
                <w:szCs w:val="16"/>
              </w:rPr>
            </w:pPr>
            <w:r>
              <w:rPr>
                <w:sz w:val="16"/>
                <w:szCs w:val="16"/>
                <w:spacing w:val="-1"/>
              </w:rPr>
              <w:t>报保篇会</w:t>
            </w:r>
          </w:p>
        </w:tc>
        <w:tc>
          <w:tcPr>
            <w:tcW w:w="1648" w:type="dxa"/>
            <w:vAlign w:val="top"/>
          </w:tcPr>
          <w:p>
            <w:pPr>
              <w:pStyle w:val="TableText"/>
              <w:ind w:left="32" w:right="114" w:firstLine="99"/>
              <w:spacing w:before="59" w:line="215" w:lineRule="auto"/>
              <w:jc w:val="both"/>
              <w:rPr>
                <w:sz w:val="16"/>
                <w:szCs w:val="16"/>
              </w:rPr>
            </w:pPr>
            <w:r>
              <w:rPr>
                <w:sz w:val="16"/>
                <w:szCs w:val="16"/>
                <w:spacing w:val="-1"/>
              </w:rPr>
              <w:t>弊资恨行董事.高盛</w:t>
            </w:r>
            <w:r>
              <w:rPr>
                <w:sz w:val="16"/>
                <w:szCs w:val="16"/>
              </w:rPr>
              <w:t xml:space="preserve"> </w:t>
            </w:r>
            <w:r>
              <w:rPr>
                <w:sz w:val="16"/>
                <w:szCs w:val="16"/>
                <w:spacing w:val="5"/>
              </w:rPr>
              <w:t>背理人址，欲据代表 </w:t>
            </w:r>
            <w:r>
              <w:rPr>
                <w:sz w:val="16"/>
                <w:szCs w:val="16"/>
                <w:spacing w:val="-1"/>
              </w:rPr>
              <w:t>任职资格裁准</w:t>
            </w:r>
          </w:p>
        </w:tc>
        <w:tc>
          <w:tcPr>
            <w:tcW w:w="2357" w:type="dxa"/>
            <w:vAlign w:val="top"/>
          </w:tcPr>
          <w:p>
            <w:pPr>
              <w:pStyle w:val="TableText"/>
              <w:ind w:left="44" w:right="235"/>
              <w:spacing w:before="149" w:line="215" w:lineRule="auto"/>
              <w:rPr>
                <w:sz w:val="16"/>
                <w:szCs w:val="16"/>
              </w:rPr>
            </w:pPr>
            <w:r>
              <w:rPr>
                <w:sz w:val="16"/>
                <w:szCs w:val="16"/>
                <w:spacing w:val="-1"/>
              </w:rPr>
              <w:t>能鲜紫会，能促监局徽保监分</w:t>
            </w:r>
            <w:r>
              <w:rPr>
                <w:sz w:val="16"/>
                <w:szCs w:val="16"/>
              </w:rPr>
              <w:t xml:space="preserve"> </w:t>
            </w:r>
            <w:r>
              <w:rPr>
                <w:sz w:val="16"/>
                <w:szCs w:val="16"/>
              </w:rPr>
              <w:t>局</w:t>
            </w:r>
          </w:p>
        </w:tc>
        <w:tc>
          <w:tcPr>
            <w:tcW w:w="3711" w:type="dxa"/>
            <w:vAlign w:val="top"/>
          </w:tcPr>
          <w:p>
            <w:pPr>
              <w:pStyle w:val="TableText"/>
              <w:ind w:left="79"/>
              <w:spacing w:before="149" w:line="208" w:lineRule="auto"/>
              <w:rPr>
                <w:sz w:val="16"/>
                <w:szCs w:val="16"/>
              </w:rPr>
            </w:pPr>
            <w:r>
              <w:rPr>
                <w:sz w:val="16"/>
                <w:szCs w:val="16"/>
                <w:spacing w:val="-1"/>
              </w:rPr>
              <w:t>1中华人民共和国得行业监算管理法》</w:t>
            </w:r>
          </w:p>
          <w:p>
            <w:pPr>
              <w:pStyle w:val="TableText"/>
              <w:spacing w:line="219" w:lineRule="auto"/>
              <w:rPr>
                <w:sz w:val="16"/>
                <w:szCs w:val="16"/>
              </w:rPr>
            </w:pPr>
            <w:r>
              <w:rPr>
                <w:sz w:val="16"/>
                <w:szCs w:val="16"/>
                <w:spacing w:val="-2"/>
              </w:rPr>
              <w:t>《中华人民共和国外蛋银行管难备例》</w:t>
            </w:r>
          </w:p>
        </w:tc>
      </w:tr>
      <w:tr>
        <w:trPr>
          <w:trHeight w:val="439" w:hRule="atLeast"/>
        </w:trPr>
        <w:tc>
          <w:tcPr>
            <w:tcW w:w="584" w:type="dxa"/>
            <w:vAlign w:val="top"/>
          </w:tcPr>
          <w:p>
            <w:pPr>
              <w:pStyle w:val="TableText"/>
              <w:ind w:left="164"/>
              <w:spacing w:before="181" w:line="183" w:lineRule="auto"/>
              <w:rPr>
                <w:sz w:val="16"/>
                <w:szCs w:val="16"/>
              </w:rPr>
            </w:pPr>
            <w:r>
              <w:rPr>
                <w:sz w:val="16"/>
                <w:szCs w:val="16"/>
                <w:spacing w:val="-2"/>
              </w:rPr>
              <w:t>682</w:t>
            </w:r>
          </w:p>
        </w:tc>
        <w:tc>
          <w:tcPr>
            <w:tcW w:w="1289" w:type="dxa"/>
            <w:vAlign w:val="top"/>
          </w:tcPr>
          <w:p>
            <w:pPr>
              <w:pStyle w:val="TableText"/>
              <w:ind w:left="310"/>
              <w:spacing w:before="139" w:line="219" w:lineRule="auto"/>
              <w:rPr>
                <w:sz w:val="16"/>
                <w:szCs w:val="16"/>
              </w:rPr>
            </w:pPr>
            <w:r>
              <w:rPr>
                <w:sz w:val="16"/>
                <w:szCs w:val="16"/>
                <w:spacing w:val="-2"/>
              </w:rPr>
              <w:t>银保监会</w:t>
            </w:r>
          </w:p>
        </w:tc>
        <w:tc>
          <w:tcPr>
            <w:tcW w:w="1648" w:type="dxa"/>
            <w:vAlign w:val="top"/>
          </w:tcPr>
          <w:p>
            <w:pPr>
              <w:pStyle w:val="TableText"/>
              <w:ind w:left="131" w:right="152" w:firstLine="40"/>
              <w:spacing w:before="59" w:line="213" w:lineRule="auto"/>
              <w:rPr>
                <w:sz w:val="16"/>
                <w:szCs w:val="16"/>
              </w:rPr>
            </w:pPr>
            <w:r>
              <w:rPr>
                <w:sz w:val="16"/>
                <w:szCs w:val="16"/>
                <w:spacing w:val="-2"/>
              </w:rPr>
              <w:t>外国恨行代者处伐</w:t>
            </w:r>
            <w:r>
              <w:rPr>
                <w:sz w:val="16"/>
                <w:szCs w:val="16"/>
                <w:spacing w:val="5"/>
              </w:rPr>
              <w:t xml:space="preserve"> </w:t>
            </w:r>
            <w:r>
              <w:rPr>
                <w:sz w:val="16"/>
                <w:szCs w:val="16"/>
                <w:spacing w:val="-1"/>
              </w:rPr>
              <w:t>位，生更、终止W我</w:t>
            </w:r>
          </w:p>
        </w:tc>
        <w:tc>
          <w:tcPr>
            <w:tcW w:w="2357" w:type="dxa"/>
            <w:vAlign w:val="top"/>
          </w:tcPr>
          <w:p>
            <w:pPr>
              <w:pStyle w:val="TableText"/>
              <w:ind w:left="44"/>
              <w:spacing w:before="141" w:line="220" w:lineRule="auto"/>
              <w:rPr>
                <w:sz w:val="16"/>
                <w:szCs w:val="16"/>
              </w:rPr>
            </w:pPr>
            <w:r>
              <w:rPr>
                <w:sz w:val="16"/>
                <w:szCs w:val="16"/>
                <w:spacing w:val="3"/>
              </w:rPr>
              <w:t>原保蓝局</w:t>
            </w:r>
          </w:p>
        </w:tc>
        <w:tc>
          <w:tcPr>
            <w:tcW w:w="3711" w:type="dxa"/>
            <w:vAlign w:val="top"/>
          </w:tcPr>
          <w:p>
            <w:pPr>
              <w:pStyle w:val="TableText"/>
              <w:ind w:left="79"/>
              <w:spacing w:before="50" w:line="231" w:lineRule="auto"/>
              <w:rPr>
                <w:sz w:val="16"/>
                <w:szCs w:val="16"/>
              </w:rPr>
            </w:pPr>
            <w:r>
              <w:rPr>
                <w:sz w:val="16"/>
                <w:szCs w:val="16"/>
                <w:spacing w:val="-1"/>
              </w:rPr>
              <w:t>1中华人民非和国银行业监督着理法》</w:t>
            </w:r>
          </w:p>
          <w:p>
            <w:pPr>
              <w:pStyle w:val="TableText"/>
              <w:spacing w:line="206" w:lineRule="auto"/>
              <w:rPr>
                <w:sz w:val="16"/>
                <w:szCs w:val="16"/>
              </w:rPr>
            </w:pPr>
            <w:r>
              <w:rPr>
                <w:sz w:val="16"/>
                <w:szCs w:val="16"/>
                <w:spacing w:val="-2"/>
              </w:rPr>
              <w:t>《中华人民共和因外资银行管理务者》</w:t>
            </w:r>
          </w:p>
        </w:tc>
      </w:tr>
      <w:tr>
        <w:trPr>
          <w:trHeight w:val="839" w:hRule="atLeast"/>
        </w:trPr>
        <w:tc>
          <w:tcPr>
            <w:tcW w:w="584" w:type="dxa"/>
            <w:vAlign w:val="top"/>
          </w:tcPr>
          <w:p>
            <w:pPr>
              <w:spacing w:line="328" w:lineRule="auto"/>
              <w:rPr>
                <w:rFonts w:ascii="Arial"/>
                <w:sz w:val="21"/>
              </w:rPr>
            </w:pPr>
            <w:r/>
          </w:p>
          <w:p>
            <w:pPr>
              <w:pStyle w:val="TableText"/>
              <w:ind w:left="164"/>
              <w:spacing w:before="52" w:line="183" w:lineRule="auto"/>
              <w:rPr>
                <w:sz w:val="16"/>
                <w:szCs w:val="16"/>
              </w:rPr>
            </w:pPr>
            <w:r>
              <w:rPr>
                <w:sz w:val="16"/>
                <w:szCs w:val="16"/>
                <w:spacing w:val="-2"/>
              </w:rPr>
              <w:t>683</w:t>
            </w:r>
          </w:p>
        </w:tc>
        <w:tc>
          <w:tcPr>
            <w:tcW w:w="1289" w:type="dxa"/>
            <w:vAlign w:val="top"/>
          </w:tcPr>
          <w:p>
            <w:pPr>
              <w:spacing w:line="286" w:lineRule="auto"/>
              <w:rPr>
                <w:rFonts w:ascii="Arial"/>
                <w:sz w:val="21"/>
              </w:rPr>
            </w:pPr>
            <w:r/>
          </w:p>
          <w:p>
            <w:pPr>
              <w:pStyle w:val="TableText"/>
              <w:ind w:left="310"/>
              <w:spacing w:before="52" w:line="219" w:lineRule="auto"/>
              <w:rPr>
                <w:sz w:val="16"/>
                <w:szCs w:val="16"/>
              </w:rPr>
            </w:pPr>
            <w:r>
              <w:rPr>
                <w:sz w:val="16"/>
                <w:szCs w:val="16"/>
                <w:spacing w:val="-2"/>
              </w:rPr>
              <w:t>假保监会</w:t>
            </w:r>
          </w:p>
        </w:tc>
        <w:tc>
          <w:tcPr>
            <w:tcW w:w="1648" w:type="dxa"/>
            <w:vAlign w:val="top"/>
          </w:tcPr>
          <w:p>
            <w:pPr>
              <w:pStyle w:val="TableText"/>
              <w:ind w:left="72"/>
              <w:spacing w:before="160" w:line="219" w:lineRule="auto"/>
              <w:rPr>
                <w:sz w:val="16"/>
                <w:szCs w:val="16"/>
              </w:rPr>
            </w:pPr>
            <w:r>
              <w:rPr>
                <w:sz w:val="16"/>
                <w:szCs w:val="16"/>
                <w:spacing w:val="-1"/>
              </w:rPr>
              <w:t>9险公司及其分麦</w:t>
            </w:r>
          </w:p>
          <w:p>
            <w:pPr>
              <w:pStyle w:val="TableText"/>
              <w:ind w:left="51" w:right="34" w:hanging="40"/>
              <w:spacing w:before="11" w:line="219" w:lineRule="auto"/>
              <w:rPr>
                <w:sz w:val="16"/>
                <w:szCs w:val="16"/>
              </w:rPr>
            </w:pPr>
            <w:r>
              <w:rPr>
                <w:sz w:val="16"/>
                <w:szCs w:val="16"/>
                <w:spacing w:val="-1"/>
              </w:rPr>
              <w:t>构设立，要吏，终止甘</w:t>
            </w:r>
            <w:r>
              <w:rPr>
                <w:sz w:val="16"/>
                <w:szCs w:val="16"/>
              </w:rPr>
              <w:t xml:space="preserve"> </w:t>
            </w:r>
            <w:r>
              <w:rPr>
                <w:sz w:val="16"/>
                <w:szCs w:val="16"/>
                <w:spacing w:val="-1"/>
              </w:rPr>
              <w:t>及重务范用中技</w:t>
            </w:r>
          </w:p>
        </w:tc>
        <w:tc>
          <w:tcPr>
            <w:tcW w:w="2357" w:type="dxa"/>
            <w:vAlign w:val="top"/>
          </w:tcPr>
          <w:p>
            <w:pPr>
              <w:pStyle w:val="TableText"/>
              <w:ind w:left="44" w:right="75"/>
              <w:spacing w:before="259" w:line="216" w:lineRule="auto"/>
              <w:rPr>
                <w:sz w:val="16"/>
                <w:szCs w:val="16"/>
              </w:rPr>
            </w:pPr>
            <w:r>
              <w:rPr>
                <w:sz w:val="16"/>
                <w:szCs w:val="16"/>
                <w:spacing w:val="-1"/>
              </w:rPr>
              <w:t>幅保监会；能保监局；做保盐分</w:t>
            </w:r>
            <w:r>
              <w:rPr>
                <w:sz w:val="16"/>
                <w:szCs w:val="16"/>
              </w:rPr>
              <w:t xml:space="preserve"> </w:t>
            </w:r>
            <w:r>
              <w:rPr>
                <w:sz w:val="16"/>
                <w:szCs w:val="16"/>
              </w:rPr>
              <w:t>局</w:t>
            </w:r>
          </w:p>
        </w:tc>
        <w:tc>
          <w:tcPr>
            <w:tcW w:w="3711" w:type="dxa"/>
            <w:vAlign w:val="top"/>
          </w:tcPr>
          <w:p>
            <w:pPr>
              <w:pStyle w:val="TableText"/>
              <w:spacing w:before="51" w:line="219" w:lineRule="auto"/>
              <w:rPr>
                <w:sz w:val="16"/>
                <w:szCs w:val="16"/>
              </w:rPr>
            </w:pPr>
            <w:r>
              <w:rPr>
                <w:sz w:val="16"/>
                <w:szCs w:val="16"/>
                <w:spacing w:val="-2"/>
              </w:rPr>
              <w:t>《中华人民共和国保龄法)</w:t>
            </w:r>
          </w:p>
          <w:p>
            <w:pPr>
              <w:pStyle w:val="TableText"/>
              <w:ind w:left="66"/>
              <w:spacing w:line="219" w:lineRule="auto"/>
              <w:rPr>
                <w:sz w:val="16"/>
                <w:szCs w:val="16"/>
              </w:rPr>
            </w:pPr>
            <w:r>
              <w:rPr>
                <w:sz w:val="16"/>
                <w:szCs w:val="16"/>
              </w:rPr>
              <w:t>中华人民共和国外资保险公司管理系码1</w:t>
            </w:r>
          </w:p>
          <w:p>
            <w:pPr>
              <w:pStyle w:val="TableText"/>
              <w:ind w:left="79" w:right="207" w:hanging="79"/>
              <w:spacing w:before="9" w:line="224" w:lineRule="auto"/>
              <w:rPr>
                <w:sz w:val="16"/>
                <w:szCs w:val="16"/>
              </w:rPr>
            </w:pPr>
            <w:r>
              <w:rPr>
                <w:sz w:val="16"/>
                <w:szCs w:val="16"/>
                <w:spacing w:val="-2"/>
              </w:rPr>
              <w:t>《国务能对确常促旨的行改卵批研自设定行改许可</w:t>
            </w:r>
            <w:r>
              <w:rPr>
                <w:sz w:val="16"/>
                <w:szCs w:val="16"/>
                <w:spacing w:val="16"/>
              </w:rPr>
              <w:t xml:space="preserve"> </w:t>
            </w:r>
            <w:r>
              <w:rPr>
                <w:sz w:val="16"/>
                <w:szCs w:val="16"/>
                <w:spacing w:val="2"/>
              </w:rPr>
              <w:t>的决定</w:t>
            </w:r>
          </w:p>
        </w:tc>
      </w:tr>
      <w:tr>
        <w:trPr>
          <w:trHeight w:val="639" w:hRule="atLeast"/>
        </w:trPr>
        <w:tc>
          <w:tcPr>
            <w:tcW w:w="584" w:type="dxa"/>
            <w:vAlign w:val="top"/>
          </w:tcPr>
          <w:p>
            <w:pPr>
              <w:pStyle w:val="TableText"/>
              <w:ind w:left="164"/>
              <w:spacing w:before="283" w:line="183" w:lineRule="auto"/>
              <w:rPr>
                <w:sz w:val="16"/>
                <w:szCs w:val="16"/>
              </w:rPr>
            </w:pPr>
            <w:r>
              <w:rPr>
                <w:sz w:val="16"/>
                <w:szCs w:val="16"/>
                <w:spacing w:val="-3"/>
              </w:rPr>
              <w:t>5K4</w:t>
            </w:r>
          </w:p>
        </w:tc>
        <w:tc>
          <w:tcPr>
            <w:tcW w:w="1289" w:type="dxa"/>
            <w:vAlign w:val="top"/>
          </w:tcPr>
          <w:p>
            <w:pPr>
              <w:pStyle w:val="TableText"/>
              <w:ind w:left="310"/>
              <w:spacing w:before="243" w:line="220" w:lineRule="auto"/>
              <w:rPr>
                <w:sz w:val="16"/>
                <w:szCs w:val="16"/>
              </w:rPr>
            </w:pPr>
            <w:r>
              <w:rPr>
                <w:sz w:val="16"/>
                <w:szCs w:val="16"/>
                <w:spacing w:val="-2"/>
              </w:rPr>
              <w:t>银保写全</w:t>
            </w:r>
          </w:p>
        </w:tc>
        <w:tc>
          <w:tcPr>
            <w:tcW w:w="1648" w:type="dxa"/>
            <w:vAlign w:val="top"/>
          </w:tcPr>
          <w:p>
            <w:pPr>
              <w:pStyle w:val="TableText"/>
              <w:ind w:left="72" w:right="112" w:firstLine="20"/>
              <w:spacing w:before="33" w:line="229" w:lineRule="auto"/>
              <w:jc w:val="both"/>
              <w:rPr>
                <w:sz w:val="16"/>
                <w:szCs w:val="16"/>
              </w:rPr>
            </w:pPr>
            <w:r>
              <w:rPr>
                <w:sz w:val="16"/>
                <w:szCs w:val="16"/>
                <w:spacing w:val="-1"/>
              </w:rPr>
              <w:t>保险公司董事，监事</w:t>
            </w:r>
            <w:r>
              <w:rPr>
                <w:sz w:val="16"/>
                <w:szCs w:val="16"/>
                <w:spacing w:val="1"/>
              </w:rPr>
              <w:t xml:space="preserve"> </w:t>
            </w:r>
            <w:r>
              <w:rPr>
                <w:sz w:val="16"/>
                <w:szCs w:val="16"/>
                <w:spacing w:val="1"/>
              </w:rPr>
              <w:t>和高级管课人员任职</w:t>
            </w:r>
            <w:r>
              <w:rPr>
                <w:sz w:val="16"/>
                <w:szCs w:val="16"/>
                <w:spacing w:val="3"/>
              </w:rPr>
              <w:t xml:space="preserve"> </w:t>
            </w:r>
            <w:r>
              <w:rPr>
                <w:sz w:val="16"/>
                <w:szCs w:val="16"/>
                <w:spacing w:val="1"/>
              </w:rPr>
              <w:t>资粘核准</w:t>
            </w:r>
          </w:p>
        </w:tc>
        <w:tc>
          <w:tcPr>
            <w:tcW w:w="2357" w:type="dxa"/>
            <w:vAlign w:val="top"/>
          </w:tcPr>
          <w:p>
            <w:pPr>
              <w:pStyle w:val="TableText"/>
              <w:ind w:left="44" w:right="72"/>
              <w:spacing w:before="131" w:line="227" w:lineRule="auto"/>
              <w:rPr>
                <w:sz w:val="16"/>
                <w:szCs w:val="16"/>
              </w:rPr>
            </w:pPr>
            <w:r>
              <w:rPr>
                <w:sz w:val="16"/>
                <w:szCs w:val="16"/>
                <w:spacing w:val="-1"/>
              </w:rPr>
              <w:t>登保监会，假保监励，领保能分</w:t>
            </w:r>
            <w:r>
              <w:rPr>
                <w:sz w:val="16"/>
                <w:szCs w:val="16"/>
                <w:spacing w:val="3"/>
              </w:rPr>
              <w:t xml:space="preserve"> </w:t>
            </w:r>
            <w:r>
              <w:rPr>
                <w:sz w:val="16"/>
                <w:szCs w:val="16"/>
              </w:rPr>
              <w:t>局</w:t>
            </w:r>
          </w:p>
        </w:tc>
        <w:tc>
          <w:tcPr>
            <w:tcW w:w="3711" w:type="dxa"/>
            <w:vAlign w:val="top"/>
          </w:tcPr>
          <w:p>
            <w:pPr>
              <w:pStyle w:val="TableText"/>
              <w:ind w:left="66"/>
              <w:spacing w:before="42" w:line="219" w:lineRule="auto"/>
              <w:rPr>
                <w:sz w:val="16"/>
                <w:szCs w:val="16"/>
              </w:rPr>
            </w:pPr>
            <w:r>
              <w:rPr>
                <w:sz w:val="16"/>
                <w:szCs w:val="16"/>
                <w:spacing w:val="-1"/>
              </w:rPr>
              <w:t>1中华人民其和国保障获》</w:t>
            </w:r>
          </w:p>
          <w:p>
            <w:pPr>
              <w:pStyle w:val="TableText"/>
              <w:ind w:left="66" w:right="187"/>
              <w:spacing w:before="9" w:line="223" w:lineRule="auto"/>
              <w:rPr>
                <w:sz w:val="16"/>
                <w:szCs w:val="16"/>
              </w:rPr>
            </w:pPr>
            <w:r>
              <w:rPr>
                <w:sz w:val="16"/>
                <w:szCs w:val="16"/>
              </w:rPr>
              <w:t>1国夺能对海需保前的行政中批项目设定行改许可</w:t>
            </w:r>
            <w:r>
              <w:rPr>
                <w:sz w:val="16"/>
                <w:szCs w:val="16"/>
                <w:spacing w:val="5"/>
              </w:rPr>
              <w:t xml:space="preserve"> </w:t>
            </w:r>
            <w:r>
              <w:rPr>
                <w:sz w:val="16"/>
                <w:szCs w:val="16"/>
                <w:spacing w:val="3"/>
              </w:rPr>
              <w:t>的次定</w:t>
            </w:r>
          </w:p>
        </w:tc>
      </w:tr>
      <w:tr>
        <w:trPr>
          <w:trHeight w:val="629" w:hRule="atLeast"/>
        </w:trPr>
        <w:tc>
          <w:tcPr>
            <w:tcW w:w="584" w:type="dxa"/>
            <w:vAlign w:val="top"/>
          </w:tcPr>
          <w:p>
            <w:pPr>
              <w:pStyle w:val="TableText"/>
              <w:ind w:left="204"/>
              <w:spacing w:before="285" w:line="182" w:lineRule="auto"/>
              <w:rPr>
                <w:sz w:val="16"/>
                <w:szCs w:val="16"/>
              </w:rPr>
            </w:pPr>
            <w:r>
              <w:rPr>
                <w:sz w:val="16"/>
                <w:szCs w:val="16"/>
                <w:spacing w:val="-1"/>
              </w:rPr>
              <w:t>WD</w:t>
            </w:r>
          </w:p>
        </w:tc>
        <w:tc>
          <w:tcPr>
            <w:tcW w:w="1289" w:type="dxa"/>
            <w:vAlign w:val="top"/>
          </w:tcPr>
          <w:p>
            <w:pPr>
              <w:pStyle w:val="TableText"/>
              <w:ind w:left="310"/>
              <w:spacing w:before="243" w:line="219" w:lineRule="auto"/>
              <w:rPr>
                <w:sz w:val="16"/>
                <w:szCs w:val="16"/>
              </w:rPr>
            </w:pPr>
            <w:r>
              <w:rPr>
                <w:sz w:val="16"/>
                <w:szCs w:val="16"/>
                <w:spacing w:val="-1"/>
              </w:rPr>
              <w:t>报保蓝套</w:t>
            </w:r>
          </w:p>
        </w:tc>
        <w:tc>
          <w:tcPr>
            <w:tcW w:w="1648" w:type="dxa"/>
            <w:vAlign w:val="top"/>
          </w:tcPr>
          <w:p>
            <w:pPr>
              <w:pStyle w:val="TableText"/>
              <w:ind w:left="52" w:firstLine="39"/>
              <w:spacing w:before="44" w:line="221" w:lineRule="auto"/>
              <w:jc w:val="both"/>
              <w:rPr>
                <w:sz w:val="16"/>
                <w:szCs w:val="16"/>
              </w:rPr>
            </w:pPr>
            <w:r>
              <w:rPr>
                <w:sz w:val="16"/>
                <w:szCs w:val="16"/>
                <w:spacing w:val="-4"/>
              </w:rPr>
              <w:t>伴险集侧公司及保院  </w:t>
            </w:r>
            <w:r>
              <w:rPr>
                <w:sz w:val="16"/>
                <w:szCs w:val="16"/>
                <w:spacing w:val="-2"/>
              </w:rPr>
              <w:t>能服公司设立、合井。</w:t>
            </w:r>
            <w:r>
              <w:rPr>
                <w:sz w:val="16"/>
                <w:szCs w:val="16"/>
                <w:spacing w:val="4"/>
              </w:rPr>
              <w:t xml:space="preserve"> </w:t>
            </w:r>
            <w:r>
              <w:rPr>
                <w:sz w:val="16"/>
                <w:szCs w:val="16"/>
                <w:spacing w:val="-2"/>
              </w:rPr>
              <w:t>分立.变更，解能非批</w:t>
            </w:r>
          </w:p>
        </w:tc>
        <w:tc>
          <w:tcPr>
            <w:tcW w:w="2357" w:type="dxa"/>
            <w:vAlign w:val="top"/>
          </w:tcPr>
          <w:p>
            <w:pPr>
              <w:pStyle w:val="TableText"/>
              <w:ind w:left="44"/>
              <w:spacing w:before="244" w:line="220" w:lineRule="auto"/>
              <w:rPr>
                <w:sz w:val="16"/>
                <w:szCs w:val="16"/>
              </w:rPr>
            </w:pPr>
            <w:r>
              <w:rPr>
                <w:sz w:val="16"/>
                <w:szCs w:val="16"/>
                <w:spacing w:val="-2"/>
              </w:rPr>
              <w:t>想保监全</w:t>
            </w:r>
          </w:p>
        </w:tc>
        <w:tc>
          <w:tcPr>
            <w:tcW w:w="3711" w:type="dxa"/>
            <w:vAlign w:val="top"/>
          </w:tcPr>
          <w:p>
            <w:pPr>
              <w:pStyle w:val="TableText"/>
              <w:ind w:left="66" w:right="157" w:firstLine="109"/>
              <w:spacing w:before="122" w:line="237" w:lineRule="auto"/>
              <w:rPr>
                <w:sz w:val="16"/>
                <w:szCs w:val="16"/>
              </w:rPr>
            </w:pPr>
            <w:r>
              <w:rPr>
                <w:sz w:val="16"/>
                <w:szCs w:val="16"/>
              </w:rPr>
              <w:t>国务院对幽需保留的行政审批项日设定行政许可</w:t>
            </w:r>
            <w:r>
              <w:rPr>
                <w:sz w:val="16"/>
                <w:szCs w:val="16"/>
                <w:spacing w:val="5"/>
              </w:rPr>
              <w:t xml:space="preserve"> </w:t>
            </w:r>
            <w:r>
              <w:rPr>
                <w:sz w:val="16"/>
                <w:szCs w:val="16"/>
              </w:rPr>
              <w:t>的决定》</w:t>
            </w:r>
          </w:p>
        </w:tc>
      </w:tr>
      <w:tr>
        <w:trPr>
          <w:trHeight w:val="649" w:hRule="atLeast"/>
        </w:trPr>
        <w:tc>
          <w:tcPr>
            <w:tcW w:w="584" w:type="dxa"/>
            <w:vAlign w:val="top"/>
          </w:tcPr>
          <w:p>
            <w:pPr>
              <w:pStyle w:val="TableText"/>
              <w:ind w:left="244"/>
              <w:spacing w:before="270"/>
              <w:rPr>
                <w:sz w:val="16"/>
                <w:szCs w:val="16"/>
              </w:rPr>
            </w:pPr>
            <w:r>
              <w:rPr>
                <w:sz w:val="16"/>
                <w:szCs w:val="16"/>
              </w:rPr>
              <w:t>#</w:t>
            </w:r>
          </w:p>
        </w:tc>
        <w:tc>
          <w:tcPr>
            <w:tcW w:w="1289" w:type="dxa"/>
            <w:vAlign w:val="top"/>
          </w:tcPr>
          <w:p>
            <w:pPr>
              <w:pStyle w:val="TableText"/>
              <w:ind w:left="310"/>
              <w:spacing w:before="253" w:line="219" w:lineRule="auto"/>
              <w:rPr>
                <w:sz w:val="16"/>
                <w:szCs w:val="16"/>
              </w:rPr>
            </w:pPr>
            <w:r>
              <w:rPr>
                <w:sz w:val="16"/>
                <w:szCs w:val="16"/>
                <w:spacing w:val="-2"/>
              </w:rPr>
              <w:t>银保监会</w:t>
            </w:r>
          </w:p>
        </w:tc>
        <w:tc>
          <w:tcPr>
            <w:tcW w:w="1648" w:type="dxa"/>
            <w:vAlign w:val="top"/>
          </w:tcPr>
          <w:p>
            <w:pPr>
              <w:pStyle w:val="TableText"/>
              <w:ind w:left="72" w:right="111" w:firstLine="20"/>
              <w:spacing w:before="53" w:line="225" w:lineRule="auto"/>
              <w:jc w:val="both"/>
              <w:rPr>
                <w:sz w:val="16"/>
                <w:szCs w:val="16"/>
              </w:rPr>
            </w:pPr>
            <w:r>
              <w:rPr>
                <w:sz w:val="16"/>
                <w:szCs w:val="16"/>
                <w:spacing w:val="-1"/>
              </w:rPr>
              <w:t>保险集招公司，伴险</w:t>
            </w:r>
            <w:r>
              <w:rPr>
                <w:sz w:val="16"/>
                <w:szCs w:val="16"/>
                <w:spacing w:val="1"/>
              </w:rPr>
              <w:t xml:space="preserve"> </w:t>
            </w:r>
            <w:r>
              <w:rPr>
                <w:sz w:val="16"/>
                <w:szCs w:val="16"/>
                <w:spacing w:val="1"/>
              </w:rPr>
              <w:t>控股公司再级管理人</w:t>
            </w:r>
            <w:r>
              <w:rPr>
                <w:sz w:val="16"/>
                <w:szCs w:val="16"/>
                <w:spacing w:val="4"/>
              </w:rPr>
              <w:t xml:space="preserve"> </w:t>
            </w:r>
            <w:r>
              <w:rPr>
                <w:sz w:val="16"/>
                <w:szCs w:val="16"/>
                <w:spacing w:val="1"/>
              </w:rPr>
              <w:t>费资格核准</w:t>
            </w:r>
          </w:p>
        </w:tc>
        <w:tc>
          <w:tcPr>
            <w:tcW w:w="2357" w:type="dxa"/>
            <w:vAlign w:val="top"/>
          </w:tcPr>
          <w:p>
            <w:pPr>
              <w:pStyle w:val="TableText"/>
              <w:ind w:left="44"/>
              <w:spacing w:before="253" w:line="219" w:lineRule="auto"/>
              <w:rPr>
                <w:sz w:val="16"/>
                <w:szCs w:val="16"/>
              </w:rPr>
            </w:pPr>
            <w:r>
              <w:rPr>
                <w:sz w:val="16"/>
                <w:szCs w:val="16"/>
                <w:spacing w:val="1"/>
              </w:rPr>
              <w:t>国保置会</w:t>
            </w:r>
          </w:p>
        </w:tc>
        <w:tc>
          <w:tcPr>
            <w:tcW w:w="3711" w:type="dxa"/>
            <w:vAlign w:val="top"/>
          </w:tcPr>
          <w:p>
            <w:pPr>
              <w:pStyle w:val="TableText"/>
              <w:ind w:left="66" w:right="267"/>
              <w:spacing w:before="135" w:line="236" w:lineRule="auto"/>
              <w:rPr>
                <w:sz w:val="16"/>
                <w:szCs w:val="16"/>
              </w:rPr>
            </w:pPr>
            <w:r>
              <w:rPr>
                <w:sz w:val="16"/>
                <w:szCs w:val="16"/>
              </w:rPr>
              <w:t>区资商财靠需保留的行政审批项目设定行政许可</w:t>
            </w:r>
            <w:r>
              <w:rPr>
                <w:sz w:val="16"/>
                <w:szCs w:val="16"/>
                <w:spacing w:val="5"/>
              </w:rPr>
              <w:t xml:space="preserve"> </w:t>
            </w:r>
            <w:r>
              <w:rPr>
                <w:sz w:val="16"/>
                <w:szCs w:val="16"/>
              </w:rPr>
              <w:t>的次定》</w:t>
            </w:r>
          </w:p>
        </w:tc>
      </w:tr>
      <w:tr>
        <w:trPr>
          <w:trHeight w:val="654" w:hRule="atLeast"/>
        </w:trPr>
        <w:tc>
          <w:tcPr>
            <w:tcW w:w="584" w:type="dxa"/>
            <w:vAlign w:val="top"/>
          </w:tcPr>
          <w:p>
            <w:pPr>
              <w:rPr>
                <w:rFonts w:ascii="Arial"/>
                <w:sz w:val="21"/>
              </w:rPr>
            </w:pPr>
            <w:r/>
          </w:p>
        </w:tc>
        <w:tc>
          <w:tcPr>
            <w:tcW w:w="1289" w:type="dxa"/>
            <w:vAlign w:val="top"/>
          </w:tcPr>
          <w:p>
            <w:pPr>
              <w:pStyle w:val="TableText"/>
              <w:ind w:left="310"/>
              <w:spacing w:before="256" w:line="220" w:lineRule="auto"/>
              <w:rPr>
                <w:sz w:val="16"/>
                <w:szCs w:val="16"/>
              </w:rPr>
            </w:pPr>
            <w:r>
              <w:rPr>
                <w:sz w:val="16"/>
                <w:szCs w:val="16"/>
                <w:spacing w:val="1"/>
              </w:rPr>
              <w:t>電保监全</w:t>
            </w:r>
          </w:p>
        </w:tc>
        <w:tc>
          <w:tcPr>
            <w:tcW w:w="1648" w:type="dxa"/>
            <w:vAlign w:val="top"/>
          </w:tcPr>
          <w:p>
            <w:pPr>
              <w:pStyle w:val="TableText"/>
              <w:ind w:left="52" w:right="112" w:firstLine="40"/>
              <w:spacing w:before="64" w:line="223" w:lineRule="auto"/>
              <w:jc w:val="both"/>
              <w:rPr>
                <w:sz w:val="16"/>
                <w:szCs w:val="16"/>
              </w:rPr>
            </w:pPr>
            <w:r>
              <w:rPr>
                <w:sz w:val="16"/>
                <w:szCs w:val="16"/>
                <w:spacing w:val="-1"/>
              </w:rPr>
              <w:t>保险贤产情理公司及</w:t>
            </w:r>
            <w:r>
              <w:rPr>
                <w:sz w:val="16"/>
                <w:szCs w:val="16"/>
                <w:spacing w:val="1"/>
              </w:rPr>
              <w:t xml:space="preserve"> </w:t>
            </w:r>
            <w:r>
              <w:rPr>
                <w:sz w:val="16"/>
                <w:szCs w:val="16"/>
                <w:spacing w:val="3"/>
              </w:rPr>
              <w:t>其分支机构成立，变</w:t>
            </w:r>
            <w:r>
              <w:rPr>
                <w:sz w:val="16"/>
                <w:szCs w:val="16"/>
                <w:spacing w:val="5"/>
              </w:rPr>
              <w:t xml:space="preserve"> </w:t>
            </w:r>
            <w:r>
              <w:rPr>
                <w:sz w:val="16"/>
                <w:szCs w:val="16"/>
                <w:spacing w:val="-2"/>
              </w:rPr>
              <w:t>更，统止家我</w:t>
            </w:r>
          </w:p>
        </w:tc>
        <w:tc>
          <w:tcPr>
            <w:tcW w:w="2357" w:type="dxa"/>
            <w:vAlign w:val="top"/>
          </w:tcPr>
          <w:p>
            <w:pPr>
              <w:pStyle w:val="TableText"/>
              <w:ind w:left="44"/>
              <w:spacing w:before="256" w:line="220" w:lineRule="auto"/>
              <w:rPr>
                <w:sz w:val="16"/>
                <w:szCs w:val="16"/>
              </w:rPr>
            </w:pPr>
            <w:r>
              <w:rPr>
                <w:sz w:val="16"/>
                <w:szCs w:val="16"/>
                <w:spacing w:val="-2"/>
              </w:rPr>
              <w:t>锻保监壹</w:t>
            </w:r>
          </w:p>
        </w:tc>
        <w:tc>
          <w:tcPr>
            <w:tcW w:w="3711" w:type="dxa"/>
            <w:vAlign w:val="top"/>
          </w:tcPr>
          <w:p>
            <w:pPr>
              <w:pStyle w:val="TableText"/>
              <w:ind w:left="66"/>
              <w:spacing w:before="55" w:line="219" w:lineRule="auto"/>
              <w:rPr>
                <w:sz w:val="16"/>
                <w:szCs w:val="16"/>
              </w:rPr>
            </w:pPr>
            <w:r>
              <w:rPr>
                <w:sz w:val="16"/>
                <w:szCs w:val="16"/>
                <w:spacing w:val="-2"/>
              </w:rPr>
              <w:t>c中辈人民具构国保险法》</w:t>
            </w:r>
          </w:p>
          <w:p>
            <w:pPr>
              <w:pStyle w:val="TableText"/>
              <w:ind w:left="66" w:right="220" w:hanging="20"/>
              <w:spacing w:before="1" w:line="229" w:lineRule="auto"/>
              <w:rPr>
                <w:sz w:val="16"/>
                <w:szCs w:val="16"/>
              </w:rPr>
            </w:pPr>
            <w:r>
              <w:rPr>
                <w:sz w:val="16"/>
                <w:szCs w:val="16"/>
                <w:spacing w:val="-1"/>
              </w:rPr>
              <w:t>8国务款对确带保世的行政审批技日设定行收诈可</w:t>
            </w:r>
            <w:r>
              <w:rPr>
                <w:sz w:val="16"/>
                <w:szCs w:val="16"/>
                <w:spacing w:val="14"/>
              </w:rPr>
              <w:t xml:space="preserve"> </w:t>
            </w:r>
            <w:r>
              <w:rPr>
                <w:sz w:val="16"/>
                <w:szCs w:val="16"/>
                <w:spacing w:val="3"/>
              </w:rPr>
              <w:t>的决定</w:t>
            </w:r>
          </w:p>
        </w:tc>
      </w:tr>
    </w:tbl>
    <w:p>
      <w:pPr>
        <w:pStyle w:val="BodyText"/>
        <w:rPr/>
      </w:pPr>
      <w:r/>
    </w:p>
    <w:p>
      <w:pPr>
        <w:sectPr>
          <w:pgSz w:w="11910" w:h="8220"/>
          <w:pgMar w:top="400" w:right="117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895808"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308" name="TextBox 308"/>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0" style="position:absolute;margin-left:37.0402pt;margin-top:344.137pt;mso-position-vertical-relative:page;mso-position-horizontal-relative:page;width:13.6pt;height:12.35pt;z-index:25189580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21"/>
      </w:tblGrid>
      <w:tr>
        <w:trPr>
          <w:trHeight w:val="415" w:hRule="atLeast"/>
        </w:trPr>
        <w:tc>
          <w:tcPr>
            <w:tcW w:w="584" w:type="dxa"/>
            <w:vAlign w:val="top"/>
          </w:tcPr>
          <w:p>
            <w:pPr>
              <w:pStyle w:val="TableText"/>
              <w:ind w:left="114"/>
              <w:spacing w:before="122" w:line="221" w:lineRule="auto"/>
              <w:rPr>
                <w:sz w:val="17"/>
                <w:szCs w:val="17"/>
              </w:rPr>
            </w:pPr>
            <w:r>
              <w:rPr>
                <w:sz w:val="17"/>
                <w:szCs w:val="17"/>
                <w:spacing w:val="-2"/>
              </w:rPr>
              <w:t>序号</w:t>
            </w:r>
          </w:p>
        </w:tc>
        <w:tc>
          <w:tcPr>
            <w:tcW w:w="1289" w:type="dxa"/>
            <w:vAlign w:val="top"/>
          </w:tcPr>
          <w:p>
            <w:pPr>
              <w:pStyle w:val="TableText"/>
              <w:ind w:left="120"/>
              <w:spacing w:before="122" w:line="219" w:lineRule="auto"/>
              <w:rPr>
                <w:sz w:val="17"/>
                <w:szCs w:val="17"/>
              </w:rPr>
            </w:pPr>
            <w:r>
              <w:rPr>
                <w:sz w:val="17"/>
                <w:szCs w:val="17"/>
                <w:spacing w:val="3"/>
              </w:rPr>
              <w:t>中央主骨部门</w:t>
            </w:r>
          </w:p>
        </w:tc>
        <w:tc>
          <w:tcPr>
            <w:tcW w:w="1638" w:type="dxa"/>
            <w:vAlign w:val="top"/>
          </w:tcPr>
          <w:p>
            <w:pPr>
              <w:pStyle w:val="TableText"/>
              <w:ind w:left="471"/>
              <w:spacing w:before="120" w:line="219" w:lineRule="auto"/>
              <w:rPr>
                <w:sz w:val="17"/>
                <w:szCs w:val="17"/>
              </w:rPr>
            </w:pPr>
            <w:r>
              <w:rPr>
                <w:sz w:val="17"/>
                <w:szCs w:val="17"/>
                <w:spacing w:val="-2"/>
              </w:rPr>
              <w:t>事填者幕</w:t>
            </w:r>
          </w:p>
        </w:tc>
        <w:tc>
          <w:tcPr>
            <w:tcW w:w="2367" w:type="dxa"/>
            <w:vAlign w:val="top"/>
          </w:tcPr>
          <w:p>
            <w:pPr>
              <w:pStyle w:val="TableText"/>
              <w:ind w:left="836"/>
              <w:spacing w:before="118" w:line="219" w:lineRule="auto"/>
              <w:rPr>
                <w:sz w:val="17"/>
                <w:szCs w:val="17"/>
              </w:rPr>
            </w:pPr>
            <w:r>
              <w:rPr>
                <w:sz w:val="17"/>
                <w:szCs w:val="17"/>
                <w:b/>
                <w:bCs/>
                <w:spacing w:val="-4"/>
              </w:rPr>
              <w:t>实施机关</w:t>
            </w:r>
          </w:p>
        </w:tc>
        <w:tc>
          <w:tcPr>
            <w:tcW w:w="3721" w:type="dxa"/>
            <w:vAlign w:val="top"/>
          </w:tcPr>
          <w:p>
            <w:pPr>
              <w:pStyle w:val="TableText"/>
              <w:ind w:left="1279"/>
              <w:spacing w:before="118" w:line="219" w:lineRule="auto"/>
              <w:rPr>
                <w:sz w:val="17"/>
                <w:szCs w:val="17"/>
              </w:rPr>
            </w:pPr>
            <w:r>
              <w:rPr>
                <w:sz w:val="17"/>
                <w:szCs w:val="17"/>
                <w:b/>
                <w:bCs/>
                <w:spacing w:val="-3"/>
              </w:rPr>
              <w:t>设定和实施依物</w:t>
            </w:r>
          </w:p>
        </w:tc>
      </w:tr>
      <w:tr>
        <w:trPr>
          <w:trHeight w:val="669" w:hRule="atLeast"/>
        </w:trPr>
        <w:tc>
          <w:tcPr>
            <w:tcW w:w="584" w:type="dxa"/>
            <w:vAlign w:val="top"/>
          </w:tcPr>
          <w:p>
            <w:pPr>
              <w:pStyle w:val="TableText"/>
              <w:ind w:left="154"/>
              <w:spacing w:before="290" w:line="183" w:lineRule="auto"/>
              <w:rPr>
                <w:sz w:val="17"/>
                <w:szCs w:val="17"/>
              </w:rPr>
            </w:pPr>
            <w:r>
              <w:rPr>
                <w:sz w:val="17"/>
                <w:szCs w:val="17"/>
                <w:spacing w:val="-2"/>
              </w:rPr>
              <w:t>668</w:t>
            </w:r>
          </w:p>
        </w:tc>
        <w:tc>
          <w:tcPr>
            <w:tcW w:w="1289" w:type="dxa"/>
            <w:vAlign w:val="top"/>
          </w:tcPr>
          <w:p>
            <w:pPr>
              <w:pStyle w:val="TableText"/>
              <w:ind w:left="291"/>
              <w:spacing w:before="245" w:line="219" w:lineRule="auto"/>
              <w:rPr>
                <w:sz w:val="17"/>
                <w:szCs w:val="17"/>
              </w:rPr>
            </w:pPr>
            <w:r>
              <w:rPr>
                <w:sz w:val="17"/>
                <w:szCs w:val="17"/>
                <w:spacing w:val="-2"/>
              </w:rPr>
              <w:t>锥保监会</w:t>
            </w:r>
          </w:p>
        </w:tc>
        <w:tc>
          <w:tcPr>
            <w:tcW w:w="1638" w:type="dxa"/>
            <w:vAlign w:val="top"/>
          </w:tcPr>
          <w:p>
            <w:pPr>
              <w:pStyle w:val="TableText"/>
              <w:ind w:left="42" w:right="63"/>
              <w:spacing w:before="45" w:line="222" w:lineRule="auto"/>
              <w:jc w:val="both"/>
              <w:rPr>
                <w:sz w:val="17"/>
                <w:szCs w:val="17"/>
              </w:rPr>
            </w:pPr>
            <w:r>
              <w:rPr>
                <w:sz w:val="17"/>
                <w:szCs w:val="17"/>
                <w:spacing w:val="-1"/>
              </w:rPr>
              <w:t>保应资产管理公用离</w:t>
            </w:r>
            <w:r>
              <w:rPr>
                <w:sz w:val="17"/>
                <w:szCs w:val="17"/>
              </w:rPr>
              <w:t xml:space="preserve"> </w:t>
            </w:r>
            <w:r>
              <w:rPr>
                <w:sz w:val="17"/>
                <w:szCs w:val="17"/>
                <w:spacing w:val="-1"/>
              </w:rPr>
              <w:t>短竹理入员任职资格</w:t>
            </w:r>
            <w:r>
              <w:rPr>
                <w:sz w:val="17"/>
                <w:szCs w:val="17"/>
              </w:rPr>
              <w:t xml:space="preserve"> </w:t>
            </w:r>
            <w:r>
              <w:rPr>
                <w:sz w:val="17"/>
                <w:szCs w:val="17"/>
                <w:spacing w:val="-3"/>
              </w:rPr>
              <w:t>核准</w:t>
            </w:r>
          </w:p>
        </w:tc>
        <w:tc>
          <w:tcPr>
            <w:tcW w:w="2367" w:type="dxa"/>
            <w:vAlign w:val="top"/>
          </w:tcPr>
          <w:p>
            <w:pPr>
              <w:pStyle w:val="TableText"/>
              <w:ind w:left="54"/>
              <w:spacing w:before="245" w:line="219" w:lineRule="auto"/>
              <w:rPr>
                <w:sz w:val="17"/>
                <w:szCs w:val="17"/>
              </w:rPr>
            </w:pPr>
            <w:r>
              <w:rPr>
                <w:sz w:val="17"/>
                <w:szCs w:val="17"/>
                <w:spacing w:val="-2"/>
              </w:rPr>
              <w:t>银保监会</w:t>
            </w:r>
          </w:p>
        </w:tc>
        <w:tc>
          <w:tcPr>
            <w:tcW w:w="3721" w:type="dxa"/>
            <w:vAlign w:val="top"/>
          </w:tcPr>
          <w:p>
            <w:pPr>
              <w:pStyle w:val="TableText"/>
              <w:ind w:left="56" w:right="6" w:firstLine="70"/>
              <w:spacing w:before="147" w:line="207" w:lineRule="auto"/>
              <w:rPr>
                <w:sz w:val="17"/>
                <w:szCs w:val="17"/>
              </w:rPr>
            </w:pPr>
            <w:r>
              <w:rPr>
                <w:sz w:val="17"/>
                <w:szCs w:val="17"/>
              </w:rPr>
              <w:t>国务院对的常保留的行收审批项日设定行敢许可</w:t>
            </w:r>
            <w:r>
              <w:rPr>
                <w:sz w:val="17"/>
                <w:szCs w:val="17"/>
                <w:spacing w:val="6"/>
              </w:rPr>
              <w:t xml:space="preserve"> </w:t>
            </w:r>
            <w:r>
              <w:rPr>
                <w:sz w:val="17"/>
                <w:szCs w:val="17"/>
                <w:spacing w:val="-1"/>
              </w:rPr>
              <w:t>的决定》</w:t>
            </w:r>
          </w:p>
        </w:tc>
      </w:tr>
      <w:tr>
        <w:trPr>
          <w:trHeight w:val="459" w:hRule="atLeast"/>
        </w:trPr>
        <w:tc>
          <w:tcPr>
            <w:tcW w:w="584" w:type="dxa"/>
            <w:vAlign w:val="top"/>
          </w:tcPr>
          <w:p>
            <w:pPr>
              <w:pStyle w:val="TableText"/>
              <w:ind w:left="154"/>
              <w:spacing w:before="191" w:line="183" w:lineRule="auto"/>
              <w:rPr>
                <w:sz w:val="17"/>
                <w:szCs w:val="17"/>
              </w:rPr>
            </w:pPr>
            <w:r>
              <w:rPr>
                <w:sz w:val="17"/>
                <w:szCs w:val="17"/>
                <w:spacing w:val="-2"/>
              </w:rPr>
              <w:t>689</w:t>
            </w:r>
          </w:p>
        </w:tc>
        <w:tc>
          <w:tcPr>
            <w:tcW w:w="1289" w:type="dxa"/>
            <w:vAlign w:val="top"/>
          </w:tcPr>
          <w:p>
            <w:pPr>
              <w:pStyle w:val="TableText"/>
              <w:ind w:left="291"/>
              <w:spacing w:before="146" w:line="219" w:lineRule="auto"/>
              <w:rPr>
                <w:sz w:val="17"/>
                <w:szCs w:val="17"/>
              </w:rPr>
            </w:pPr>
            <w:r>
              <w:rPr>
                <w:sz w:val="17"/>
                <w:szCs w:val="17"/>
                <w:spacing w:val="-2"/>
              </w:rPr>
              <w:t>据保监会</w:t>
            </w:r>
          </w:p>
        </w:tc>
        <w:tc>
          <w:tcPr>
            <w:tcW w:w="1638" w:type="dxa"/>
            <w:vAlign w:val="top"/>
          </w:tcPr>
          <w:p>
            <w:pPr>
              <w:pStyle w:val="TableText"/>
              <w:ind w:left="42" w:right="49"/>
              <w:spacing w:before="38" w:line="223" w:lineRule="auto"/>
              <w:rPr>
                <w:sz w:val="17"/>
                <w:szCs w:val="17"/>
              </w:rPr>
            </w:pPr>
            <w:r>
              <w:rPr>
                <w:sz w:val="17"/>
                <w:szCs w:val="17"/>
              </w:rPr>
              <w:t>国险代理业务经营许</w:t>
            </w:r>
            <w:r>
              <w:rPr>
                <w:sz w:val="17"/>
                <w:szCs w:val="17"/>
                <w:spacing w:val="5"/>
              </w:rPr>
              <w:t xml:space="preserve"> </w:t>
            </w:r>
            <w:r>
              <w:rPr>
                <w:sz w:val="17"/>
                <w:szCs w:val="17"/>
              </w:rPr>
              <w:t>可</w:t>
            </w:r>
          </w:p>
        </w:tc>
        <w:tc>
          <w:tcPr>
            <w:tcW w:w="2367" w:type="dxa"/>
            <w:vAlign w:val="top"/>
          </w:tcPr>
          <w:p>
            <w:pPr>
              <w:pStyle w:val="TableText"/>
              <w:ind w:left="54"/>
              <w:spacing w:before="148" w:line="220" w:lineRule="auto"/>
              <w:rPr>
                <w:sz w:val="17"/>
                <w:szCs w:val="17"/>
              </w:rPr>
            </w:pPr>
            <w:r>
              <w:rPr>
                <w:sz w:val="17"/>
                <w:szCs w:val="17"/>
                <w:spacing w:val="2"/>
              </w:rPr>
              <w:t>保保监合、银保监周</w:t>
            </w:r>
          </w:p>
        </w:tc>
        <w:tc>
          <w:tcPr>
            <w:tcW w:w="3721" w:type="dxa"/>
            <w:vAlign w:val="top"/>
          </w:tcPr>
          <w:p>
            <w:pPr>
              <w:pStyle w:val="TableText"/>
              <w:ind w:left="56"/>
              <w:spacing w:before="148" w:line="219" w:lineRule="auto"/>
              <w:rPr>
                <w:sz w:val="17"/>
                <w:szCs w:val="17"/>
              </w:rPr>
            </w:pPr>
            <w:r>
              <w:rPr>
                <w:sz w:val="17"/>
                <w:szCs w:val="17"/>
                <w:spacing w:val="-2"/>
              </w:rPr>
              <w:t>t中华人民共印圆保险结》</w:t>
            </w:r>
          </w:p>
        </w:tc>
      </w:tr>
      <w:tr>
        <w:trPr>
          <w:trHeight w:val="449" w:hRule="atLeast"/>
        </w:trPr>
        <w:tc>
          <w:tcPr>
            <w:tcW w:w="584" w:type="dxa"/>
            <w:vAlign w:val="top"/>
          </w:tcPr>
          <w:p>
            <w:pPr>
              <w:pStyle w:val="TableText"/>
              <w:ind w:left="154"/>
              <w:spacing w:before="182" w:line="183" w:lineRule="auto"/>
              <w:rPr>
                <w:sz w:val="17"/>
                <w:szCs w:val="17"/>
              </w:rPr>
            </w:pPr>
            <w:r>
              <w:rPr>
                <w:sz w:val="17"/>
                <w:szCs w:val="17"/>
                <w:spacing w:val="-2"/>
              </w:rPr>
              <w:t>600</w:t>
            </w:r>
          </w:p>
        </w:tc>
        <w:tc>
          <w:tcPr>
            <w:tcW w:w="1289" w:type="dxa"/>
            <w:vAlign w:val="top"/>
          </w:tcPr>
          <w:p>
            <w:pPr>
              <w:pStyle w:val="TableText"/>
              <w:ind w:left="380"/>
              <w:spacing w:before="137" w:line="219" w:lineRule="auto"/>
              <w:rPr>
                <w:sz w:val="17"/>
                <w:szCs w:val="17"/>
              </w:rPr>
            </w:pPr>
            <w:r>
              <w:rPr>
                <w:sz w:val="17"/>
                <w:szCs w:val="17"/>
                <w:spacing w:val="4"/>
              </w:rPr>
              <w:t>假保属</w:t>
            </w:r>
          </w:p>
        </w:tc>
        <w:tc>
          <w:tcPr>
            <w:tcW w:w="1638" w:type="dxa"/>
            <w:vAlign w:val="top"/>
          </w:tcPr>
          <w:p>
            <w:pPr>
              <w:pStyle w:val="TableText"/>
              <w:ind w:left="42" w:right="47"/>
              <w:spacing w:before="57" w:line="207" w:lineRule="auto"/>
              <w:rPr>
                <w:sz w:val="17"/>
                <w:szCs w:val="17"/>
              </w:rPr>
            </w:pPr>
            <w:r>
              <w:rPr>
                <w:sz w:val="17"/>
                <w:szCs w:val="17"/>
                <w:spacing w:val="-1"/>
              </w:rPr>
              <w:t>偏险代理机构高颂管</w:t>
            </w:r>
            <w:r>
              <w:rPr>
                <w:sz w:val="17"/>
                <w:szCs w:val="17"/>
                <w:spacing w:val="1"/>
              </w:rPr>
              <w:t xml:space="preserve"> </w:t>
            </w:r>
            <w:r>
              <w:rPr>
                <w:sz w:val="17"/>
                <w:szCs w:val="17"/>
              </w:rPr>
              <w:t>章人虽任求资带情很</w:t>
            </w:r>
          </w:p>
        </w:tc>
        <w:tc>
          <w:tcPr>
            <w:tcW w:w="2367" w:type="dxa"/>
            <w:vAlign w:val="top"/>
          </w:tcPr>
          <w:p>
            <w:pPr>
              <w:pStyle w:val="TableText"/>
              <w:ind w:left="54"/>
              <w:spacing w:before="137" w:line="219" w:lineRule="auto"/>
              <w:rPr>
                <w:sz w:val="17"/>
                <w:szCs w:val="17"/>
              </w:rPr>
            </w:pPr>
            <w:r>
              <w:rPr>
                <w:sz w:val="17"/>
                <w:szCs w:val="17"/>
                <w:spacing w:val="1"/>
              </w:rPr>
              <w:t>很伴蓝会；银保值局</w:t>
            </w:r>
          </w:p>
        </w:tc>
        <w:tc>
          <w:tcPr>
            <w:tcW w:w="3721" w:type="dxa"/>
            <w:vAlign w:val="top"/>
          </w:tcPr>
          <w:p>
            <w:pPr>
              <w:pStyle w:val="TableText"/>
              <w:spacing w:before="139" w:line="219" w:lineRule="auto"/>
              <w:rPr>
                <w:sz w:val="17"/>
                <w:szCs w:val="17"/>
              </w:rPr>
            </w:pPr>
            <w:r>
              <w:rPr>
                <w:sz w:val="17"/>
                <w:szCs w:val="17"/>
                <w:spacing w:val="-4"/>
              </w:rPr>
              <w:t>《中华人民共和国保险法》</w:t>
            </w:r>
          </w:p>
        </w:tc>
      </w:tr>
      <w:tr>
        <w:trPr>
          <w:trHeight w:val="449" w:hRule="atLeast"/>
        </w:trPr>
        <w:tc>
          <w:tcPr>
            <w:tcW w:w="584" w:type="dxa"/>
            <w:vAlign w:val="top"/>
          </w:tcPr>
          <w:p>
            <w:pPr>
              <w:pStyle w:val="TableText"/>
              <w:ind w:left="154"/>
              <w:spacing w:before="183" w:line="184" w:lineRule="auto"/>
              <w:rPr>
                <w:sz w:val="17"/>
                <w:szCs w:val="17"/>
              </w:rPr>
            </w:pPr>
            <w:r>
              <w:rPr>
                <w:sz w:val="17"/>
                <w:szCs w:val="17"/>
                <w:spacing w:val="-2"/>
              </w:rPr>
              <w:t>691</w:t>
            </w:r>
          </w:p>
        </w:tc>
        <w:tc>
          <w:tcPr>
            <w:tcW w:w="1289" w:type="dxa"/>
            <w:vAlign w:val="top"/>
          </w:tcPr>
          <w:p>
            <w:pPr>
              <w:pStyle w:val="TableText"/>
              <w:ind w:left="291"/>
              <w:spacing w:before="139" w:line="219" w:lineRule="auto"/>
              <w:rPr>
                <w:sz w:val="17"/>
                <w:szCs w:val="17"/>
              </w:rPr>
            </w:pPr>
            <w:r>
              <w:rPr>
                <w:sz w:val="17"/>
                <w:szCs w:val="17"/>
                <w:spacing w:val="-2"/>
              </w:rPr>
              <w:t>调保显会</w:t>
            </w:r>
          </w:p>
        </w:tc>
        <w:tc>
          <w:tcPr>
            <w:tcW w:w="1638" w:type="dxa"/>
            <w:vAlign w:val="top"/>
          </w:tcPr>
          <w:p>
            <w:pPr>
              <w:pStyle w:val="TableText"/>
              <w:ind w:left="42"/>
              <w:spacing w:before="60" w:line="219" w:lineRule="auto"/>
              <w:rPr>
                <w:sz w:val="17"/>
                <w:szCs w:val="17"/>
              </w:rPr>
            </w:pPr>
            <w:r>
              <w:rPr>
                <w:sz w:val="17"/>
                <w:szCs w:val="17"/>
                <w:spacing w:val="-1"/>
              </w:rPr>
              <w:t>保周经纪业务经营背</w:t>
            </w:r>
          </w:p>
        </w:tc>
        <w:tc>
          <w:tcPr>
            <w:tcW w:w="2367" w:type="dxa"/>
            <w:vAlign w:val="top"/>
          </w:tcPr>
          <w:p>
            <w:pPr>
              <w:pStyle w:val="TableText"/>
              <w:ind w:left="54"/>
              <w:spacing w:before="140" w:line="219" w:lineRule="auto"/>
              <w:rPr>
                <w:sz w:val="17"/>
                <w:szCs w:val="17"/>
              </w:rPr>
            </w:pPr>
            <w:r>
              <w:rPr>
                <w:sz w:val="17"/>
                <w:szCs w:val="17"/>
                <w:spacing w:val="1"/>
              </w:rPr>
              <w:t>倡伴蓝合、靠保监同</w:t>
            </w:r>
          </w:p>
        </w:tc>
        <w:tc>
          <w:tcPr>
            <w:tcW w:w="3721" w:type="dxa"/>
            <w:vAlign w:val="top"/>
          </w:tcPr>
          <w:p>
            <w:pPr>
              <w:pStyle w:val="TableText"/>
              <w:ind w:left="56"/>
              <w:spacing w:before="140" w:line="219" w:lineRule="auto"/>
              <w:rPr>
                <w:sz w:val="17"/>
                <w:szCs w:val="17"/>
              </w:rPr>
            </w:pPr>
            <w:r>
              <w:rPr>
                <w:sz w:val="17"/>
                <w:szCs w:val="17"/>
                <w:spacing w:val="-1"/>
              </w:rPr>
              <w:t>中华人民共所国保险法》</w:t>
            </w:r>
          </w:p>
        </w:tc>
      </w:tr>
      <w:tr>
        <w:trPr>
          <w:trHeight w:val="450" w:hRule="atLeast"/>
        </w:trPr>
        <w:tc>
          <w:tcPr>
            <w:tcW w:w="584" w:type="dxa"/>
            <w:vAlign w:val="top"/>
          </w:tcPr>
          <w:p>
            <w:pPr>
              <w:pStyle w:val="TableText"/>
              <w:ind w:left="154"/>
              <w:spacing w:before="184" w:line="183" w:lineRule="auto"/>
              <w:rPr>
                <w:sz w:val="17"/>
                <w:szCs w:val="17"/>
              </w:rPr>
            </w:pPr>
            <w:r>
              <w:rPr>
                <w:sz w:val="17"/>
                <w:szCs w:val="17"/>
                <w:spacing w:val="-3"/>
              </w:rPr>
              <w:t>503</w:t>
            </w:r>
          </w:p>
        </w:tc>
        <w:tc>
          <w:tcPr>
            <w:tcW w:w="1289" w:type="dxa"/>
            <w:vAlign w:val="top"/>
          </w:tcPr>
          <w:p>
            <w:pPr>
              <w:pStyle w:val="TableText"/>
              <w:ind w:left="291"/>
              <w:spacing w:before="139" w:line="219" w:lineRule="auto"/>
              <w:rPr>
                <w:sz w:val="17"/>
                <w:szCs w:val="17"/>
              </w:rPr>
            </w:pPr>
            <w:r>
              <w:rPr>
                <w:sz w:val="17"/>
                <w:szCs w:val="17"/>
                <w:spacing w:val="-2"/>
              </w:rPr>
              <w:t>假保器会</w:t>
            </w:r>
          </w:p>
        </w:tc>
        <w:tc>
          <w:tcPr>
            <w:tcW w:w="1638" w:type="dxa"/>
            <w:vAlign w:val="top"/>
          </w:tcPr>
          <w:p>
            <w:pPr>
              <w:pStyle w:val="TableText"/>
              <w:ind w:left="42" w:right="39"/>
              <w:spacing w:before="60" w:line="206" w:lineRule="auto"/>
              <w:rPr>
                <w:sz w:val="17"/>
                <w:szCs w:val="17"/>
              </w:rPr>
            </w:pPr>
            <w:r>
              <w:rPr>
                <w:sz w:val="17"/>
                <w:szCs w:val="17"/>
                <w:spacing w:val="1"/>
              </w:rPr>
              <w:t>保管经纪机按高级赁</w:t>
            </w:r>
            <w:r>
              <w:rPr>
                <w:sz w:val="17"/>
                <w:szCs w:val="17"/>
                <w:spacing w:val="3"/>
              </w:rPr>
              <w:t xml:space="preserve"> </w:t>
            </w:r>
            <w:r>
              <w:rPr>
                <w:sz w:val="17"/>
                <w:szCs w:val="17"/>
                <w:spacing w:val="1"/>
              </w:rPr>
              <w:t>理人员任职资格精消</w:t>
            </w:r>
          </w:p>
        </w:tc>
        <w:tc>
          <w:tcPr>
            <w:tcW w:w="2367" w:type="dxa"/>
            <w:vAlign w:val="top"/>
          </w:tcPr>
          <w:p>
            <w:pPr>
              <w:pStyle w:val="TableText"/>
              <w:ind w:left="54"/>
              <w:spacing w:before="139" w:line="219" w:lineRule="auto"/>
              <w:rPr>
                <w:sz w:val="17"/>
                <w:szCs w:val="17"/>
              </w:rPr>
            </w:pPr>
            <w:r>
              <w:rPr>
                <w:sz w:val="17"/>
                <w:szCs w:val="17"/>
                <w:spacing w:val="1"/>
              </w:rPr>
              <w:t>常保监会；很评监局</w:t>
            </w:r>
          </w:p>
        </w:tc>
        <w:tc>
          <w:tcPr>
            <w:tcW w:w="3721" w:type="dxa"/>
            <w:vAlign w:val="top"/>
          </w:tcPr>
          <w:p>
            <w:pPr>
              <w:pStyle w:val="TableText"/>
              <w:ind w:left="56"/>
              <w:spacing w:before="141" w:line="219" w:lineRule="auto"/>
              <w:rPr>
                <w:sz w:val="17"/>
                <w:szCs w:val="17"/>
              </w:rPr>
            </w:pPr>
            <w:r>
              <w:rPr>
                <w:sz w:val="17"/>
                <w:szCs w:val="17"/>
                <w:spacing w:val="3"/>
              </w:rPr>
              <w:t>1中华人民共和国保险法)</w:t>
            </w:r>
          </w:p>
        </w:tc>
      </w:tr>
      <w:tr>
        <w:trPr>
          <w:trHeight w:val="459" w:hRule="atLeast"/>
        </w:trPr>
        <w:tc>
          <w:tcPr>
            <w:tcW w:w="584" w:type="dxa"/>
            <w:vAlign w:val="top"/>
          </w:tcPr>
          <w:p>
            <w:pPr>
              <w:pStyle w:val="TableText"/>
              <w:ind w:left="154"/>
              <w:spacing w:before="194" w:line="183" w:lineRule="auto"/>
              <w:rPr>
                <w:sz w:val="17"/>
                <w:szCs w:val="17"/>
              </w:rPr>
            </w:pPr>
            <w:r>
              <w:rPr>
                <w:sz w:val="17"/>
                <w:szCs w:val="17"/>
                <w:spacing w:val="-2"/>
              </w:rPr>
              <w:t>693</w:t>
            </w:r>
          </w:p>
        </w:tc>
        <w:tc>
          <w:tcPr>
            <w:tcW w:w="1289" w:type="dxa"/>
            <w:vAlign w:val="top"/>
          </w:tcPr>
          <w:p>
            <w:pPr>
              <w:pStyle w:val="TableText"/>
              <w:ind w:left="291"/>
              <w:spacing w:before="149" w:line="219" w:lineRule="auto"/>
              <w:rPr>
                <w:sz w:val="17"/>
                <w:szCs w:val="17"/>
              </w:rPr>
            </w:pPr>
            <w:r>
              <w:rPr>
                <w:sz w:val="17"/>
                <w:szCs w:val="17"/>
                <w:spacing w:val="-2"/>
              </w:rPr>
              <w:t>银保监会</w:t>
            </w:r>
          </w:p>
        </w:tc>
        <w:tc>
          <w:tcPr>
            <w:tcW w:w="1638" w:type="dxa"/>
            <w:vAlign w:val="top"/>
          </w:tcPr>
          <w:p>
            <w:pPr>
              <w:pStyle w:val="TableText"/>
              <w:ind w:left="52" w:right="42" w:hanging="10"/>
              <w:spacing w:before="69" w:line="206" w:lineRule="auto"/>
              <w:rPr>
                <w:sz w:val="17"/>
                <w:szCs w:val="17"/>
              </w:rPr>
            </w:pPr>
            <w:r>
              <w:rPr>
                <w:sz w:val="17"/>
                <w:szCs w:val="17"/>
                <w:spacing w:val="1"/>
              </w:rPr>
              <w:t>特完险种州险举黄和</w:t>
            </w:r>
            <w:r>
              <w:rPr>
                <w:sz w:val="17"/>
                <w:szCs w:val="17"/>
                <w:spacing w:val="3"/>
              </w:rPr>
              <w:t xml:space="preserve"> </w:t>
            </w:r>
            <w:r>
              <w:rPr>
                <w:sz w:val="17"/>
                <w:szCs w:val="17"/>
                <w:spacing w:val="-2"/>
              </w:rPr>
              <w:t>保险费率许可</w:t>
            </w:r>
          </w:p>
        </w:tc>
        <w:tc>
          <w:tcPr>
            <w:tcW w:w="2367" w:type="dxa"/>
            <w:vAlign w:val="top"/>
          </w:tcPr>
          <w:p>
            <w:pPr>
              <w:pStyle w:val="TableText"/>
              <w:ind w:left="54"/>
              <w:spacing w:before="151" w:line="220" w:lineRule="auto"/>
              <w:rPr>
                <w:sz w:val="17"/>
                <w:szCs w:val="17"/>
              </w:rPr>
            </w:pPr>
            <w:r>
              <w:rPr>
                <w:sz w:val="17"/>
                <w:szCs w:val="17"/>
                <w:spacing w:val="-2"/>
              </w:rPr>
              <w:t>银保监命</w:t>
            </w:r>
          </w:p>
        </w:tc>
        <w:tc>
          <w:tcPr>
            <w:tcW w:w="3721" w:type="dxa"/>
            <w:vAlign w:val="top"/>
          </w:tcPr>
          <w:p>
            <w:pPr>
              <w:pStyle w:val="TableText"/>
              <w:spacing w:before="151" w:line="219" w:lineRule="auto"/>
              <w:rPr>
                <w:sz w:val="17"/>
                <w:szCs w:val="17"/>
              </w:rPr>
            </w:pPr>
            <w:r>
              <w:rPr>
                <w:sz w:val="17"/>
                <w:szCs w:val="17"/>
                <w:spacing w:val="-3"/>
              </w:rPr>
              <w:t>《中华人民共和国保险法：</w:t>
            </w:r>
          </w:p>
        </w:tc>
      </w:tr>
      <w:tr>
        <w:trPr>
          <w:trHeight w:val="449" w:hRule="atLeast"/>
        </w:trPr>
        <w:tc>
          <w:tcPr>
            <w:tcW w:w="584" w:type="dxa"/>
            <w:vAlign w:val="top"/>
          </w:tcPr>
          <w:p>
            <w:pPr>
              <w:pStyle w:val="TableText"/>
              <w:ind w:left="154"/>
              <w:spacing w:before="185" w:line="183" w:lineRule="auto"/>
              <w:rPr>
                <w:sz w:val="17"/>
                <w:szCs w:val="17"/>
              </w:rPr>
            </w:pPr>
            <w:r>
              <w:rPr>
                <w:sz w:val="17"/>
                <w:szCs w:val="17"/>
                <w:spacing w:val="-2"/>
              </w:rPr>
              <w:t>694</w:t>
            </w:r>
          </w:p>
        </w:tc>
        <w:tc>
          <w:tcPr>
            <w:tcW w:w="1289" w:type="dxa"/>
            <w:vAlign w:val="top"/>
          </w:tcPr>
          <w:p>
            <w:pPr>
              <w:pStyle w:val="TableText"/>
              <w:ind w:left="291"/>
              <w:spacing w:before="141" w:line="219" w:lineRule="auto"/>
              <w:rPr>
                <w:sz w:val="17"/>
                <w:szCs w:val="17"/>
              </w:rPr>
            </w:pPr>
            <w:r>
              <w:rPr>
                <w:sz w:val="17"/>
                <w:szCs w:val="17"/>
                <w:spacing w:val="-2"/>
              </w:rPr>
              <w:t>银保区会</w:t>
            </w:r>
          </w:p>
        </w:tc>
        <w:tc>
          <w:tcPr>
            <w:tcW w:w="1638" w:type="dxa"/>
            <w:vAlign w:val="top"/>
          </w:tcPr>
          <w:p>
            <w:pPr>
              <w:pStyle w:val="TableText"/>
              <w:ind w:left="62" w:right="63" w:hanging="20"/>
              <w:spacing w:before="52" w:line="210" w:lineRule="auto"/>
              <w:rPr>
                <w:sz w:val="17"/>
                <w:szCs w:val="17"/>
              </w:rPr>
            </w:pPr>
            <w:r>
              <w:rPr>
                <w:sz w:val="17"/>
                <w:szCs w:val="17"/>
                <w:spacing w:val="-1"/>
              </w:rPr>
              <w:t>保身公司次现定期情</w:t>
            </w:r>
            <w:r>
              <w:rPr>
                <w:sz w:val="17"/>
                <w:szCs w:val="17"/>
              </w:rPr>
              <w:t xml:space="preserve"> </w:t>
            </w:r>
            <w:r>
              <w:rPr>
                <w:sz w:val="17"/>
                <w:szCs w:val="17"/>
                <w:spacing w:val="-2"/>
              </w:rPr>
              <w:t>发行审重</w:t>
            </w:r>
          </w:p>
        </w:tc>
        <w:tc>
          <w:tcPr>
            <w:tcW w:w="2367" w:type="dxa"/>
            <w:vAlign w:val="top"/>
          </w:tcPr>
          <w:p>
            <w:pPr>
              <w:pStyle w:val="TableText"/>
              <w:ind w:left="54"/>
              <w:spacing w:before="141" w:line="219" w:lineRule="auto"/>
              <w:rPr>
                <w:sz w:val="17"/>
                <w:szCs w:val="17"/>
              </w:rPr>
            </w:pPr>
            <w:r>
              <w:rPr>
                <w:sz w:val="17"/>
                <w:szCs w:val="17"/>
                <w:spacing w:val="-1"/>
              </w:rPr>
              <w:t>肆保监命；能以监具</w:t>
            </w:r>
          </w:p>
        </w:tc>
        <w:tc>
          <w:tcPr>
            <w:tcW w:w="3721" w:type="dxa"/>
            <w:vAlign w:val="top"/>
          </w:tcPr>
          <w:p>
            <w:pPr>
              <w:pStyle w:val="TableText"/>
              <w:ind w:left="56" w:right="76"/>
              <w:spacing w:before="52" w:line="210" w:lineRule="auto"/>
              <w:rPr>
                <w:sz w:val="17"/>
                <w:szCs w:val="17"/>
              </w:rPr>
            </w:pPr>
            <w:r>
              <w:rPr>
                <w:sz w:val="17"/>
                <w:szCs w:val="17"/>
              </w:rPr>
              <w:t>四务款对确需保器的行收市批项日设定行改许可</w:t>
            </w:r>
            <w:r>
              <w:rPr>
                <w:sz w:val="17"/>
                <w:szCs w:val="17"/>
                <w:spacing w:val="6"/>
              </w:rPr>
              <w:t xml:space="preserve"> </w:t>
            </w:r>
            <w:r>
              <w:rPr>
                <w:sz w:val="17"/>
                <w:szCs w:val="17"/>
                <w:spacing w:val="3"/>
              </w:rPr>
              <w:t>的块定1</w:t>
            </w:r>
          </w:p>
        </w:tc>
      </w:tr>
      <w:tr>
        <w:trPr>
          <w:trHeight w:val="460" w:hRule="atLeast"/>
        </w:trPr>
        <w:tc>
          <w:tcPr>
            <w:tcW w:w="584" w:type="dxa"/>
            <w:vAlign w:val="top"/>
          </w:tcPr>
          <w:p>
            <w:pPr>
              <w:pStyle w:val="TableText"/>
              <w:ind w:left="154"/>
              <w:spacing w:before="196" w:line="183" w:lineRule="auto"/>
              <w:rPr>
                <w:sz w:val="17"/>
                <w:szCs w:val="17"/>
              </w:rPr>
            </w:pPr>
            <w:r>
              <w:rPr>
                <w:sz w:val="17"/>
                <w:szCs w:val="17"/>
                <w:spacing w:val="-2"/>
              </w:rPr>
              <w:t>605</w:t>
            </w:r>
          </w:p>
        </w:tc>
        <w:tc>
          <w:tcPr>
            <w:tcW w:w="1289" w:type="dxa"/>
            <w:vAlign w:val="top"/>
          </w:tcPr>
          <w:p>
            <w:pPr>
              <w:pStyle w:val="TableText"/>
              <w:ind w:left="291"/>
              <w:spacing w:before="151" w:line="219" w:lineRule="auto"/>
              <w:rPr>
                <w:sz w:val="17"/>
                <w:szCs w:val="17"/>
              </w:rPr>
            </w:pPr>
            <w:r>
              <w:rPr>
                <w:sz w:val="17"/>
                <w:szCs w:val="17"/>
                <w:spacing w:val="-2"/>
              </w:rPr>
              <w:t>银保器会</w:t>
            </w:r>
          </w:p>
        </w:tc>
        <w:tc>
          <w:tcPr>
            <w:tcW w:w="1638" w:type="dxa"/>
            <w:vAlign w:val="top"/>
          </w:tcPr>
          <w:p>
            <w:pPr>
              <w:pStyle w:val="TableText"/>
              <w:ind w:left="42" w:right="63"/>
              <w:spacing w:before="52" w:line="216" w:lineRule="auto"/>
              <w:rPr>
                <w:sz w:val="17"/>
                <w:szCs w:val="17"/>
              </w:rPr>
            </w:pPr>
            <w:r>
              <w:rPr>
                <w:sz w:val="17"/>
                <w:szCs w:val="17"/>
                <w:spacing w:val="-1"/>
              </w:rPr>
              <w:t>保险公司帮宽保面旋</w:t>
            </w:r>
            <w:r>
              <w:rPr>
                <w:sz w:val="17"/>
                <w:szCs w:val="17"/>
              </w:rPr>
              <w:t xml:space="preserve"> </w:t>
            </w:r>
            <w:r>
              <w:rPr>
                <w:sz w:val="17"/>
                <w:szCs w:val="17"/>
                <w:spacing w:val="-1"/>
              </w:rPr>
              <w:t>金选用意式审能</w:t>
            </w:r>
          </w:p>
        </w:tc>
        <w:tc>
          <w:tcPr>
            <w:tcW w:w="2367" w:type="dxa"/>
            <w:vAlign w:val="top"/>
          </w:tcPr>
          <w:p>
            <w:pPr>
              <w:pStyle w:val="TableText"/>
              <w:ind w:left="54"/>
              <w:spacing w:before="153" w:line="219" w:lineRule="auto"/>
              <w:rPr>
                <w:sz w:val="17"/>
                <w:szCs w:val="17"/>
              </w:rPr>
            </w:pPr>
            <w:r>
              <w:rPr>
                <w:sz w:val="17"/>
                <w:szCs w:val="17"/>
                <w:spacing w:val="1"/>
              </w:rPr>
              <w:t>想保算合；但保防身</w:t>
            </w:r>
          </w:p>
        </w:tc>
        <w:tc>
          <w:tcPr>
            <w:tcW w:w="3721" w:type="dxa"/>
            <w:vAlign w:val="top"/>
          </w:tcPr>
          <w:p>
            <w:pPr>
              <w:pStyle w:val="TableText"/>
              <w:ind w:left="56"/>
              <w:spacing w:before="61" w:line="211" w:lineRule="auto"/>
              <w:rPr>
                <w:sz w:val="17"/>
                <w:szCs w:val="17"/>
              </w:rPr>
            </w:pPr>
            <w:r>
              <w:rPr>
                <w:sz w:val="17"/>
                <w:szCs w:val="17"/>
              </w:rPr>
              <w:t>1四考院材确器保前的行政审批项目设定行政</w:t>
            </w:r>
            <w:r>
              <w:rPr>
                <w:sz w:val="17"/>
                <w:szCs w:val="17"/>
                <w:spacing w:val="-1"/>
              </w:rPr>
              <w:t>许可</w:t>
            </w:r>
            <w:r>
              <w:rPr>
                <w:sz w:val="17"/>
                <w:szCs w:val="17"/>
              </w:rPr>
              <w:t xml:space="preserve"> </w:t>
            </w:r>
            <w:r>
              <w:rPr>
                <w:sz w:val="17"/>
                <w:szCs w:val="17"/>
                <w:spacing w:val="2"/>
              </w:rPr>
              <w:t>的庆定1</w:t>
            </w:r>
          </w:p>
        </w:tc>
      </w:tr>
      <w:tr>
        <w:trPr>
          <w:trHeight w:val="659" w:hRule="atLeast"/>
        </w:trPr>
        <w:tc>
          <w:tcPr>
            <w:tcW w:w="584" w:type="dxa"/>
            <w:vAlign w:val="top"/>
          </w:tcPr>
          <w:p>
            <w:pPr>
              <w:rPr>
                <w:rFonts w:ascii="Arial"/>
                <w:sz w:val="21"/>
              </w:rPr>
            </w:pPr>
            <w:r/>
          </w:p>
          <w:p>
            <w:pPr>
              <w:pStyle w:val="TableText"/>
              <w:ind w:left="154"/>
              <w:spacing w:before="55" w:line="183" w:lineRule="auto"/>
              <w:rPr>
                <w:sz w:val="17"/>
                <w:szCs w:val="17"/>
              </w:rPr>
            </w:pPr>
            <w:r>
              <w:rPr>
                <w:sz w:val="17"/>
                <w:szCs w:val="17"/>
                <w:spacing w:val="-2"/>
              </w:rPr>
              <w:t>620</w:t>
            </w:r>
          </w:p>
        </w:tc>
        <w:tc>
          <w:tcPr>
            <w:tcW w:w="1289" w:type="dxa"/>
            <w:vAlign w:val="top"/>
          </w:tcPr>
          <w:p>
            <w:pPr>
              <w:pStyle w:val="TableText"/>
              <w:ind w:left="291"/>
              <w:spacing w:before="252" w:line="219" w:lineRule="auto"/>
              <w:rPr>
                <w:sz w:val="17"/>
                <w:szCs w:val="17"/>
              </w:rPr>
            </w:pPr>
            <w:r>
              <w:rPr>
                <w:sz w:val="17"/>
                <w:szCs w:val="17"/>
                <w:spacing w:val="-2"/>
              </w:rPr>
              <w:t>锻保监会</w:t>
            </w:r>
          </w:p>
        </w:tc>
        <w:tc>
          <w:tcPr>
            <w:tcW w:w="1638" w:type="dxa"/>
            <w:vAlign w:val="top"/>
          </w:tcPr>
          <w:p>
            <w:pPr>
              <w:pStyle w:val="TableText"/>
              <w:ind w:left="22" w:right="41" w:firstLine="20"/>
              <w:spacing w:before="41" w:line="220" w:lineRule="auto"/>
              <w:jc w:val="both"/>
              <w:rPr>
                <w:sz w:val="17"/>
                <w:szCs w:val="17"/>
              </w:rPr>
            </w:pPr>
            <w:r>
              <w:rPr>
                <w:sz w:val="17"/>
                <w:szCs w:val="17"/>
                <w:spacing w:val="-2"/>
              </w:rPr>
              <w:t>外国保险机构驻华代</w:t>
            </w:r>
            <w:r>
              <w:rPr>
                <w:sz w:val="17"/>
                <w:szCs w:val="17"/>
                <w:spacing w:val="6"/>
              </w:rPr>
              <w:t xml:space="preserve"> </w:t>
            </w:r>
            <w:r>
              <w:rPr>
                <w:sz w:val="17"/>
                <w:szCs w:val="17"/>
                <w:spacing w:val="3"/>
              </w:rPr>
              <w:t>素机构设立及重大少</w:t>
            </w:r>
            <w:r>
              <w:rPr>
                <w:sz w:val="17"/>
                <w:szCs w:val="17"/>
                <w:spacing w:val="6"/>
              </w:rPr>
              <w:t xml:space="preserve"> </w:t>
            </w:r>
            <w:r>
              <w:rPr>
                <w:sz w:val="17"/>
                <w:szCs w:val="17"/>
                <w:spacing w:val="-2"/>
              </w:rPr>
              <w:t>项变更审表</w:t>
            </w:r>
          </w:p>
        </w:tc>
        <w:tc>
          <w:tcPr>
            <w:tcW w:w="2367" w:type="dxa"/>
            <w:vAlign w:val="top"/>
          </w:tcPr>
          <w:p>
            <w:pPr>
              <w:pStyle w:val="TableText"/>
              <w:ind w:left="54"/>
              <w:spacing w:before="253" w:line="219" w:lineRule="auto"/>
              <w:rPr>
                <w:sz w:val="17"/>
                <w:szCs w:val="17"/>
              </w:rPr>
            </w:pPr>
            <w:r>
              <w:rPr>
                <w:sz w:val="17"/>
                <w:szCs w:val="17"/>
                <w:spacing w:val="3"/>
              </w:rPr>
              <w:t>级保数杂</w:t>
            </w:r>
          </w:p>
        </w:tc>
        <w:tc>
          <w:tcPr>
            <w:tcW w:w="3721" w:type="dxa"/>
            <w:vAlign w:val="top"/>
          </w:tcPr>
          <w:p>
            <w:pPr>
              <w:pStyle w:val="TableText"/>
              <w:ind w:left="56"/>
              <w:spacing w:before="62" w:line="196" w:lineRule="auto"/>
              <w:rPr>
                <w:sz w:val="17"/>
                <w:szCs w:val="17"/>
              </w:rPr>
            </w:pPr>
            <w:r>
              <w:rPr>
                <w:sz w:val="17"/>
                <w:szCs w:val="17"/>
              </w:rPr>
              <w:t>中华人民共构国保简法</w:t>
            </w:r>
          </w:p>
          <w:p>
            <w:pPr>
              <w:pStyle w:val="TableText"/>
              <w:ind w:left="83" w:right="13" w:hanging="84"/>
              <w:spacing w:line="220" w:lineRule="auto"/>
              <w:rPr>
                <w:sz w:val="17"/>
                <w:szCs w:val="17"/>
              </w:rPr>
            </w:pPr>
            <w:r>
              <w:rPr>
                <w:sz w:val="17"/>
                <w:szCs w:val="17"/>
                <w:spacing w:val="-2"/>
              </w:rPr>
              <w:t>《国务院对属需保前的行故审批项月设定行故许可</w:t>
            </w:r>
            <w:r>
              <w:rPr>
                <w:sz w:val="17"/>
                <w:szCs w:val="17"/>
              </w:rPr>
              <w:t xml:space="preserve"> </w:t>
            </w:r>
            <w:r>
              <w:rPr>
                <w:sz w:val="17"/>
                <w:szCs w:val="17"/>
                <w:spacing w:val="-1"/>
              </w:rPr>
              <w:t>的决定4</w:t>
            </w:r>
          </w:p>
        </w:tc>
      </w:tr>
      <w:tr>
        <w:trPr>
          <w:trHeight w:val="449" w:hRule="atLeast"/>
        </w:trPr>
        <w:tc>
          <w:tcPr>
            <w:tcW w:w="584" w:type="dxa"/>
            <w:vAlign w:val="top"/>
          </w:tcPr>
          <w:p>
            <w:pPr>
              <w:pStyle w:val="TableText"/>
              <w:ind w:left="194"/>
              <w:spacing w:before="160" w:line="239" w:lineRule="auto"/>
              <w:rPr>
                <w:sz w:val="17"/>
                <w:szCs w:val="17"/>
              </w:rPr>
            </w:pPr>
            <w:r>
              <w:rPr>
                <w:sz w:val="17"/>
                <w:szCs w:val="17"/>
                <w:spacing w:val="-2"/>
              </w:rPr>
              <w:t>*?</w:t>
            </w:r>
          </w:p>
        </w:tc>
        <w:tc>
          <w:tcPr>
            <w:tcW w:w="1289" w:type="dxa"/>
            <w:vAlign w:val="top"/>
          </w:tcPr>
          <w:p>
            <w:pPr>
              <w:pStyle w:val="TableText"/>
              <w:ind w:left="380"/>
              <w:spacing w:before="142" w:line="219" w:lineRule="auto"/>
              <w:rPr>
                <w:sz w:val="17"/>
                <w:szCs w:val="17"/>
              </w:rPr>
            </w:pPr>
            <w:r>
              <w:rPr>
                <w:sz w:val="17"/>
                <w:szCs w:val="17"/>
                <w:spacing w:val="-2"/>
              </w:rPr>
              <w:t>证监会</w:t>
            </w:r>
          </w:p>
        </w:tc>
        <w:tc>
          <w:tcPr>
            <w:tcW w:w="1638" w:type="dxa"/>
            <w:vAlign w:val="top"/>
          </w:tcPr>
          <w:p>
            <w:pPr>
              <w:pStyle w:val="TableText"/>
              <w:ind w:left="42" w:right="62"/>
              <w:spacing w:before="65" w:line="203" w:lineRule="auto"/>
              <w:rPr>
                <w:sz w:val="17"/>
                <w:szCs w:val="17"/>
              </w:rPr>
            </w:pPr>
            <w:r>
              <w:rPr>
                <w:sz w:val="17"/>
                <w:szCs w:val="17"/>
                <w:spacing w:val="-1"/>
              </w:rPr>
              <w:t>证非公司设立及变更</w:t>
            </w:r>
            <w:r>
              <w:rPr>
                <w:sz w:val="17"/>
                <w:szCs w:val="17"/>
                <w:spacing w:val="1"/>
              </w:rPr>
              <w:t xml:space="preserve"> </w:t>
            </w:r>
            <w:r>
              <w:rPr>
                <w:sz w:val="17"/>
                <w:szCs w:val="17"/>
                <w:spacing w:val="-2"/>
              </w:rPr>
              <w:t>许可</w:t>
            </w:r>
          </w:p>
        </w:tc>
        <w:tc>
          <w:tcPr>
            <w:tcW w:w="2367" w:type="dxa"/>
            <w:vAlign w:val="top"/>
          </w:tcPr>
          <w:p>
            <w:pPr>
              <w:pStyle w:val="TableText"/>
              <w:ind w:left="54"/>
              <w:spacing w:before="142" w:line="219" w:lineRule="auto"/>
              <w:rPr>
                <w:sz w:val="17"/>
                <w:szCs w:val="17"/>
              </w:rPr>
            </w:pPr>
            <w:r>
              <w:rPr>
                <w:sz w:val="17"/>
                <w:szCs w:val="17"/>
                <w:spacing w:val="-1"/>
              </w:rPr>
              <w:t>证验盒，证航会露出机构</w:t>
            </w:r>
          </w:p>
        </w:tc>
        <w:tc>
          <w:tcPr>
            <w:tcW w:w="3721" w:type="dxa"/>
            <w:vAlign w:val="top"/>
          </w:tcPr>
          <w:p>
            <w:pPr>
              <w:pStyle w:val="TableText"/>
              <w:spacing w:before="33" w:line="239" w:lineRule="auto"/>
              <w:rPr>
                <w:sz w:val="17"/>
                <w:szCs w:val="17"/>
              </w:rPr>
            </w:pPr>
            <w:r>
              <w:rPr>
                <w:sz w:val="17"/>
                <w:szCs w:val="17"/>
                <w:spacing w:val="-3"/>
              </w:rPr>
              <w:t>《中华人民共和国延界改!</w:t>
            </w:r>
          </w:p>
          <w:p>
            <w:pPr>
              <w:pStyle w:val="TableText"/>
              <w:spacing w:line="201" w:lineRule="auto"/>
              <w:rPr>
                <w:sz w:val="17"/>
                <w:szCs w:val="17"/>
              </w:rPr>
            </w:pPr>
            <w:r>
              <w:rPr>
                <w:sz w:val="17"/>
                <w:szCs w:val="17"/>
                <w:spacing w:val="-3"/>
              </w:rPr>
              <w:t>《证寿公司监督管理态例)</w:t>
            </w:r>
          </w:p>
        </w:tc>
      </w:tr>
      <w:tr>
        <w:trPr>
          <w:trHeight w:val="459" w:hRule="atLeast"/>
        </w:trPr>
        <w:tc>
          <w:tcPr>
            <w:tcW w:w="584" w:type="dxa"/>
            <w:vAlign w:val="top"/>
          </w:tcPr>
          <w:p>
            <w:pPr>
              <w:pStyle w:val="TableText"/>
              <w:ind w:left="154"/>
              <w:spacing w:before="198" w:line="183" w:lineRule="auto"/>
              <w:rPr>
                <w:sz w:val="17"/>
                <w:szCs w:val="17"/>
              </w:rPr>
            </w:pPr>
            <w:r>
              <w:rPr>
                <w:sz w:val="17"/>
                <w:szCs w:val="17"/>
                <w:spacing w:val="-2"/>
              </w:rPr>
              <w:t>648</w:t>
            </w:r>
          </w:p>
        </w:tc>
        <w:tc>
          <w:tcPr>
            <w:tcW w:w="1289" w:type="dxa"/>
            <w:vAlign w:val="top"/>
          </w:tcPr>
          <w:p>
            <w:pPr>
              <w:pStyle w:val="TableText"/>
              <w:ind w:left="380"/>
              <w:spacing w:before="153" w:line="219" w:lineRule="auto"/>
              <w:rPr>
                <w:sz w:val="17"/>
                <w:szCs w:val="17"/>
              </w:rPr>
            </w:pPr>
            <w:r>
              <w:rPr>
                <w:sz w:val="17"/>
                <w:szCs w:val="17"/>
                <w:spacing w:val="-2"/>
              </w:rPr>
              <w:t>证监会</w:t>
            </w:r>
          </w:p>
        </w:tc>
        <w:tc>
          <w:tcPr>
            <w:tcW w:w="1638" w:type="dxa"/>
            <w:vAlign w:val="top"/>
          </w:tcPr>
          <w:p>
            <w:pPr>
              <w:pStyle w:val="TableText"/>
              <w:ind w:left="42" w:right="62"/>
              <w:spacing w:before="54" w:line="214" w:lineRule="auto"/>
              <w:rPr>
                <w:sz w:val="17"/>
                <w:szCs w:val="17"/>
              </w:rPr>
            </w:pPr>
            <w:r>
              <w:rPr>
                <w:sz w:val="17"/>
                <w:szCs w:val="17"/>
                <w:spacing w:val="-1"/>
              </w:rPr>
              <w:t>被处置证券公同恢复</w:t>
            </w:r>
            <w:r>
              <w:rPr>
                <w:sz w:val="17"/>
                <w:szCs w:val="17"/>
                <w:spacing w:val="1"/>
              </w:rPr>
              <w:t xml:space="preserve"> </w:t>
            </w:r>
            <w:r>
              <w:rPr>
                <w:sz w:val="17"/>
                <w:szCs w:val="17"/>
                <w:spacing w:val="-2"/>
              </w:rPr>
              <w:t>正常箜替审拉</w:t>
            </w:r>
          </w:p>
        </w:tc>
        <w:tc>
          <w:tcPr>
            <w:tcW w:w="2367" w:type="dxa"/>
            <w:vAlign w:val="top"/>
          </w:tcPr>
          <w:p>
            <w:pPr>
              <w:pStyle w:val="TableText"/>
              <w:ind w:left="54"/>
              <w:spacing w:before="162" w:line="228" w:lineRule="auto"/>
              <w:rPr>
                <w:sz w:val="17"/>
                <w:szCs w:val="17"/>
              </w:rPr>
            </w:pPr>
            <w:r>
              <w:rPr>
                <w:sz w:val="17"/>
                <w:szCs w:val="17"/>
                <w:spacing w:val="-2"/>
              </w:rPr>
              <w:t>证监血</w:t>
            </w:r>
          </w:p>
        </w:tc>
        <w:tc>
          <w:tcPr>
            <w:tcW w:w="3721" w:type="dxa"/>
            <w:vAlign w:val="top"/>
          </w:tcPr>
          <w:p>
            <w:pPr>
              <w:pStyle w:val="TableText"/>
              <w:spacing w:before="155" w:line="219" w:lineRule="auto"/>
              <w:rPr>
                <w:sz w:val="17"/>
                <w:szCs w:val="17"/>
              </w:rPr>
            </w:pPr>
            <w:r>
              <w:rPr>
                <w:sz w:val="17"/>
                <w:szCs w:val="17"/>
                <w:spacing w:val="-4"/>
              </w:rPr>
              <w:t>《证春公司风购姓置部例》</w:t>
            </w:r>
          </w:p>
        </w:tc>
      </w:tr>
      <w:tr>
        <w:trPr>
          <w:trHeight w:val="754" w:hRule="atLeast"/>
        </w:trPr>
        <w:tc>
          <w:tcPr>
            <w:tcW w:w="584" w:type="dxa"/>
            <w:vAlign w:val="top"/>
          </w:tcPr>
          <w:p>
            <w:pPr>
              <w:spacing w:line="282" w:lineRule="auto"/>
              <w:rPr>
                <w:rFonts w:ascii="Arial"/>
                <w:sz w:val="21"/>
              </w:rPr>
            </w:pPr>
            <w:r/>
          </w:p>
          <w:p>
            <w:pPr>
              <w:pStyle w:val="TableText"/>
              <w:ind w:left="154"/>
              <w:spacing w:before="56" w:line="183" w:lineRule="auto"/>
              <w:rPr>
                <w:sz w:val="17"/>
                <w:szCs w:val="17"/>
              </w:rPr>
            </w:pPr>
            <w:r>
              <w:rPr>
                <w:sz w:val="17"/>
                <w:szCs w:val="17"/>
                <w:spacing w:val="-2"/>
              </w:rPr>
              <w:t>639</w:t>
            </w:r>
          </w:p>
        </w:tc>
        <w:tc>
          <w:tcPr>
            <w:tcW w:w="1289" w:type="dxa"/>
            <w:vAlign w:val="top"/>
          </w:tcPr>
          <w:p>
            <w:pPr>
              <w:pStyle w:val="TableText"/>
              <w:ind w:left="380"/>
              <w:spacing w:before="294" w:line="219" w:lineRule="auto"/>
              <w:rPr>
                <w:sz w:val="17"/>
                <w:szCs w:val="17"/>
              </w:rPr>
            </w:pPr>
            <w:r>
              <w:rPr>
                <w:sz w:val="17"/>
                <w:szCs w:val="17"/>
                <w:spacing w:val="-2"/>
              </w:rPr>
              <w:t>证监会</w:t>
            </w:r>
          </w:p>
        </w:tc>
        <w:tc>
          <w:tcPr>
            <w:tcW w:w="1638" w:type="dxa"/>
            <w:vAlign w:val="top"/>
          </w:tcPr>
          <w:p>
            <w:pPr>
              <w:pStyle w:val="TableText"/>
              <w:ind w:left="42" w:right="34"/>
              <w:spacing w:before="105" w:line="222" w:lineRule="auto"/>
              <w:jc w:val="both"/>
              <w:rPr>
                <w:sz w:val="17"/>
                <w:szCs w:val="17"/>
              </w:rPr>
            </w:pPr>
            <w:r>
              <w:rPr>
                <w:sz w:val="17"/>
                <w:szCs w:val="17"/>
                <w:spacing w:val="-1"/>
              </w:rPr>
              <w:t>坡外证势经营机构壁</w:t>
            </w:r>
            <w:r>
              <w:rPr>
                <w:sz w:val="17"/>
                <w:szCs w:val="17"/>
                <w:spacing w:val="1"/>
              </w:rPr>
              <w:t xml:space="preserve"> </w:t>
            </w:r>
            <w:r>
              <w:rPr>
                <w:sz w:val="17"/>
                <w:szCs w:val="17"/>
                <w:spacing w:val="2"/>
              </w:rPr>
              <w:t>华代表机构设立及名 </w:t>
            </w:r>
            <w:r>
              <w:rPr>
                <w:sz w:val="17"/>
                <w:szCs w:val="17"/>
                <w:spacing w:val="-1"/>
              </w:rPr>
              <w:t>称变更核准</w:t>
            </w:r>
          </w:p>
        </w:tc>
        <w:tc>
          <w:tcPr>
            <w:tcW w:w="2367" w:type="dxa"/>
            <w:vAlign w:val="top"/>
          </w:tcPr>
          <w:p>
            <w:pPr>
              <w:pStyle w:val="TableText"/>
              <w:ind w:left="54"/>
              <w:spacing w:before="294" w:line="219" w:lineRule="auto"/>
              <w:rPr>
                <w:sz w:val="17"/>
                <w:szCs w:val="17"/>
              </w:rPr>
            </w:pPr>
            <w:r>
              <w:rPr>
                <w:sz w:val="17"/>
                <w:szCs w:val="17"/>
                <w:spacing w:val="-1"/>
              </w:rPr>
              <w:t>证端会，证监金原出机构</w:t>
            </w:r>
          </w:p>
        </w:tc>
        <w:tc>
          <w:tcPr>
            <w:tcW w:w="3721" w:type="dxa"/>
            <w:vAlign w:val="top"/>
          </w:tcPr>
          <w:p>
            <w:pPr>
              <w:pStyle w:val="TableText"/>
              <w:ind w:left="56"/>
              <w:spacing w:before="96" w:line="219" w:lineRule="auto"/>
              <w:rPr>
                <w:sz w:val="17"/>
                <w:szCs w:val="17"/>
              </w:rPr>
            </w:pPr>
            <w:r>
              <w:rPr>
                <w:sz w:val="17"/>
                <w:szCs w:val="17"/>
                <w:spacing w:val="1"/>
              </w:rPr>
              <w:t>4证费公司验骨登理条例1</w:t>
            </w:r>
          </w:p>
          <w:p>
            <w:pPr>
              <w:pStyle w:val="TableText"/>
              <w:ind w:left="56" w:right="4" w:hanging="54"/>
              <w:spacing w:before="18" w:line="218" w:lineRule="auto"/>
              <w:rPr>
                <w:sz w:val="17"/>
                <w:szCs w:val="17"/>
              </w:rPr>
            </w:pPr>
            <w:r>
              <w:rPr>
                <w:sz w:val="17"/>
                <w:szCs w:val="17"/>
                <w:spacing w:val="-2"/>
              </w:rPr>
              <w:t>《国务院对确省保间的行政密政境目设定行政许可</w:t>
            </w:r>
            <w:r>
              <w:rPr>
                <w:sz w:val="17"/>
                <w:szCs w:val="17"/>
                <w:spacing w:val="7"/>
              </w:rPr>
              <w:t xml:space="preserve"> </w:t>
            </w:r>
            <w:r>
              <w:rPr>
                <w:sz w:val="17"/>
                <w:szCs w:val="17"/>
                <w:spacing w:val="8"/>
              </w:rPr>
              <w:t>的决定)</w:t>
            </w:r>
          </w:p>
        </w:tc>
      </w:tr>
    </w:tbl>
    <w:p>
      <w:pPr>
        <w:pStyle w:val="BodyText"/>
        <w:rPr/>
      </w:pPr>
      <w:r/>
    </w:p>
    <w:p>
      <w:pPr>
        <w:sectPr>
          <w:pgSz w:w="11910" w:h="8220"/>
          <w:pgMar w:top="400" w:right="116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896832"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10" name="TextBox 310"/>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2" style="position:absolute;margin-left:37.0402pt;margin-top:48.636pt;mso-position-vertical-relative:page;mso-position-horizontal-relative:page;width:13.6pt;height:12.35pt;z-index:25189683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236</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5"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200"/>
              <w:spacing w:before="131" w:line="219" w:lineRule="auto"/>
              <w:rPr>
                <w:sz w:val="16"/>
                <w:szCs w:val="16"/>
              </w:rPr>
            </w:pPr>
            <w:r>
              <w:rPr>
                <w:sz w:val="16"/>
                <w:szCs w:val="16"/>
                <w:spacing w:val="5"/>
              </w:rPr>
              <w:t>中夹主背部]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64"/>
              <w:spacing w:before="130" w:line="219" w:lineRule="auto"/>
              <w:rPr>
                <w:sz w:val="16"/>
                <w:szCs w:val="16"/>
              </w:rPr>
            </w:pPr>
            <w:r>
              <w:rPr>
                <w:sz w:val="16"/>
                <w:szCs w:val="16"/>
                <w:spacing w:val="-2"/>
              </w:rPr>
              <w:t>害牌机关</w:t>
            </w:r>
          </w:p>
        </w:tc>
        <w:tc>
          <w:tcPr>
            <w:tcW w:w="3711" w:type="dxa"/>
            <w:vAlign w:val="top"/>
          </w:tcPr>
          <w:p>
            <w:pPr>
              <w:pStyle w:val="TableText"/>
              <w:ind w:left="1279"/>
              <w:spacing w:before="128" w:line="219" w:lineRule="auto"/>
              <w:rPr>
                <w:sz w:val="16"/>
                <w:szCs w:val="16"/>
              </w:rPr>
            </w:pPr>
            <w:r>
              <w:rPr>
                <w:sz w:val="16"/>
                <w:szCs w:val="16"/>
                <w:b/>
                <w:bCs/>
                <w:spacing w:val="-3"/>
              </w:rPr>
              <w:t>设定和实施依据</w:t>
            </w:r>
          </w:p>
        </w:tc>
      </w:tr>
      <w:tr>
        <w:trPr>
          <w:trHeight w:val="709" w:hRule="atLeast"/>
        </w:trPr>
        <w:tc>
          <w:tcPr>
            <w:tcW w:w="574" w:type="dxa"/>
            <w:vAlign w:val="top"/>
          </w:tcPr>
          <w:p>
            <w:pPr>
              <w:spacing w:line="264" w:lineRule="auto"/>
              <w:rPr>
                <w:rFonts w:ascii="Arial"/>
                <w:sz w:val="21"/>
              </w:rPr>
            </w:pPr>
            <w:r/>
          </w:p>
          <w:p>
            <w:pPr>
              <w:pStyle w:val="TableText"/>
              <w:ind w:left="154"/>
              <w:spacing w:before="52" w:line="183" w:lineRule="auto"/>
              <w:rPr>
                <w:sz w:val="16"/>
                <w:szCs w:val="16"/>
              </w:rPr>
            </w:pPr>
            <w:r>
              <w:rPr>
                <w:sz w:val="16"/>
                <w:szCs w:val="16"/>
                <w:spacing w:val="-3"/>
              </w:rPr>
              <w:t>700</w:t>
            </w:r>
          </w:p>
        </w:tc>
        <w:tc>
          <w:tcPr>
            <w:tcW w:w="1299" w:type="dxa"/>
            <w:vAlign w:val="top"/>
          </w:tcPr>
          <w:p>
            <w:pPr>
              <w:pStyle w:val="TableText"/>
              <w:ind w:left="400"/>
              <w:spacing w:before="275" w:line="219" w:lineRule="auto"/>
              <w:rPr>
                <w:sz w:val="16"/>
                <w:szCs w:val="16"/>
              </w:rPr>
            </w:pPr>
            <w:r>
              <w:rPr>
                <w:sz w:val="16"/>
                <w:szCs w:val="16"/>
                <w:spacing w:val="-2"/>
              </w:rPr>
              <w:t>证监会</w:t>
            </w:r>
          </w:p>
        </w:tc>
        <w:tc>
          <w:tcPr>
            <w:tcW w:w="1638" w:type="dxa"/>
            <w:vAlign w:val="top"/>
          </w:tcPr>
          <w:p>
            <w:pPr>
              <w:pStyle w:val="TableText"/>
              <w:ind w:left="171" w:right="102" w:hanging="79"/>
              <w:spacing w:before="95" w:line="215" w:lineRule="auto"/>
              <w:rPr>
                <w:sz w:val="16"/>
                <w:szCs w:val="16"/>
              </w:rPr>
            </w:pPr>
            <w:r>
              <w:rPr>
                <w:sz w:val="16"/>
                <w:szCs w:val="16"/>
                <w:spacing w:val="-1"/>
              </w:rPr>
              <w:t>境外证券经营机构在</w:t>
            </w:r>
            <w:r>
              <w:rPr>
                <w:sz w:val="16"/>
                <w:szCs w:val="16"/>
                <w:spacing w:val="1"/>
              </w:rPr>
              <w:t xml:space="preserve"> </w:t>
            </w:r>
            <w:r>
              <w:rPr>
                <w:sz w:val="16"/>
                <w:szCs w:val="16"/>
                <w:spacing w:val="1"/>
              </w:rPr>
              <w:t>内经营证存也务审</w:t>
            </w:r>
          </w:p>
          <w:p>
            <w:pPr>
              <w:pStyle w:val="TableText"/>
              <w:ind w:left="32"/>
              <w:spacing w:line="221" w:lineRule="auto"/>
              <w:rPr>
                <w:sz w:val="16"/>
                <w:szCs w:val="16"/>
              </w:rPr>
            </w:pPr>
            <w:r>
              <w:rPr>
                <w:sz w:val="16"/>
                <w:szCs w:val="16"/>
              </w:rPr>
              <w:t>我</w:t>
            </w:r>
          </w:p>
        </w:tc>
        <w:tc>
          <w:tcPr>
            <w:tcW w:w="2377" w:type="dxa"/>
            <w:vAlign w:val="top"/>
          </w:tcPr>
          <w:p>
            <w:pPr>
              <w:pStyle w:val="TableText"/>
              <w:ind w:left="44"/>
              <w:spacing w:before="275" w:line="219" w:lineRule="auto"/>
              <w:rPr>
                <w:sz w:val="16"/>
                <w:szCs w:val="16"/>
              </w:rPr>
            </w:pPr>
            <w:r>
              <w:rPr>
                <w:sz w:val="16"/>
                <w:szCs w:val="16"/>
                <w:spacing w:val="-1"/>
              </w:rPr>
              <w:t>证写金证院杂部出机构</w:t>
            </w:r>
          </w:p>
        </w:tc>
        <w:tc>
          <w:tcPr>
            <w:tcW w:w="3711" w:type="dxa"/>
            <w:vAlign w:val="top"/>
          </w:tcPr>
          <w:p>
            <w:pPr>
              <w:pStyle w:val="TableText"/>
              <w:ind w:left="36"/>
              <w:spacing w:before="276" w:line="219" w:lineRule="auto"/>
              <w:rPr>
                <w:sz w:val="16"/>
                <w:szCs w:val="16"/>
              </w:rPr>
            </w:pPr>
            <w:r>
              <w:rPr>
                <w:sz w:val="16"/>
                <w:szCs w:val="16"/>
                <w:spacing w:val="-1"/>
              </w:rPr>
              <w:t>4正弃公司监督管理备例》</w:t>
            </w:r>
          </w:p>
        </w:tc>
      </w:tr>
      <w:tr>
        <w:trPr>
          <w:trHeight w:val="479" w:hRule="atLeast"/>
        </w:trPr>
        <w:tc>
          <w:tcPr>
            <w:tcW w:w="574" w:type="dxa"/>
            <w:vAlign w:val="top"/>
          </w:tcPr>
          <w:p>
            <w:pPr>
              <w:pStyle w:val="TableText"/>
              <w:ind w:left="154"/>
              <w:spacing w:before="198" w:line="184" w:lineRule="auto"/>
              <w:rPr>
                <w:sz w:val="16"/>
                <w:szCs w:val="16"/>
              </w:rPr>
            </w:pPr>
            <w:r>
              <w:rPr>
                <w:sz w:val="16"/>
                <w:szCs w:val="16"/>
                <w:spacing w:val="-3"/>
              </w:rPr>
              <w:t>701</w:t>
            </w:r>
          </w:p>
        </w:tc>
        <w:tc>
          <w:tcPr>
            <w:tcW w:w="1299" w:type="dxa"/>
            <w:vAlign w:val="top"/>
          </w:tcPr>
          <w:p>
            <w:pPr>
              <w:pStyle w:val="TableText"/>
              <w:ind w:left="400"/>
              <w:spacing w:before="156" w:line="219" w:lineRule="auto"/>
              <w:rPr>
                <w:sz w:val="16"/>
                <w:szCs w:val="16"/>
              </w:rPr>
            </w:pPr>
            <w:r>
              <w:rPr>
                <w:sz w:val="16"/>
                <w:szCs w:val="16"/>
                <w:spacing w:val="-2"/>
              </w:rPr>
              <w:t>证监会</w:t>
            </w:r>
          </w:p>
        </w:tc>
        <w:tc>
          <w:tcPr>
            <w:tcW w:w="1638" w:type="dxa"/>
            <w:vAlign w:val="top"/>
          </w:tcPr>
          <w:p>
            <w:pPr>
              <w:pStyle w:val="TableText"/>
              <w:ind w:left="52" w:right="102" w:firstLine="40"/>
              <w:spacing w:before="58" w:line="237" w:lineRule="auto"/>
              <w:rPr>
                <w:sz w:val="16"/>
                <w:szCs w:val="16"/>
              </w:rPr>
            </w:pPr>
            <w:r>
              <w:rPr>
                <w:sz w:val="16"/>
                <w:szCs w:val="16"/>
                <w:spacing w:val="-1"/>
              </w:rPr>
              <w:t>合格境外投查者班格</w:t>
            </w:r>
            <w:r>
              <w:rPr>
                <w:sz w:val="16"/>
                <w:szCs w:val="16"/>
                <w:spacing w:val="1"/>
              </w:rPr>
              <w:t xml:space="preserve"> </w:t>
            </w:r>
            <w:r>
              <w:rPr>
                <w:sz w:val="16"/>
                <w:szCs w:val="16"/>
                <w:spacing w:val="-2"/>
              </w:rPr>
              <w:t>许可</w:t>
            </w:r>
          </w:p>
        </w:tc>
        <w:tc>
          <w:tcPr>
            <w:tcW w:w="2377" w:type="dxa"/>
            <w:vAlign w:val="top"/>
          </w:tcPr>
          <w:p>
            <w:pPr>
              <w:pStyle w:val="TableText"/>
              <w:ind w:left="44"/>
              <w:spacing w:before="156" w:line="219" w:lineRule="auto"/>
              <w:rPr>
                <w:sz w:val="16"/>
                <w:szCs w:val="16"/>
              </w:rPr>
            </w:pPr>
            <w:r>
              <w:rPr>
                <w:sz w:val="16"/>
                <w:szCs w:val="16"/>
                <w:spacing w:val="-2"/>
              </w:rPr>
              <w:t>证结会</w:t>
            </w:r>
          </w:p>
        </w:tc>
        <w:tc>
          <w:tcPr>
            <w:tcW w:w="3711" w:type="dxa"/>
            <w:vAlign w:val="top"/>
          </w:tcPr>
          <w:p>
            <w:pPr>
              <w:pStyle w:val="TableText"/>
              <w:spacing w:before="157" w:line="219" w:lineRule="auto"/>
              <w:rPr>
                <w:sz w:val="16"/>
                <w:szCs w:val="16"/>
              </w:rPr>
            </w:pPr>
            <w:r>
              <w:rPr>
                <w:sz w:val="16"/>
                <w:szCs w:val="16"/>
                <w:spacing w:val="-3"/>
              </w:rPr>
              <w:t>《中华人民共和调证界投资基金法1</w:t>
            </w:r>
          </w:p>
        </w:tc>
      </w:tr>
      <w:tr>
        <w:trPr>
          <w:trHeight w:val="689" w:hRule="atLeast"/>
        </w:trPr>
        <w:tc>
          <w:tcPr>
            <w:tcW w:w="574" w:type="dxa"/>
            <w:vAlign w:val="top"/>
          </w:tcPr>
          <w:p>
            <w:pPr>
              <w:spacing w:line="256" w:lineRule="auto"/>
              <w:rPr>
                <w:rFonts w:ascii="Arial"/>
                <w:sz w:val="21"/>
              </w:rPr>
            </w:pPr>
            <w:r/>
          </w:p>
          <w:p>
            <w:pPr>
              <w:pStyle w:val="TableText"/>
              <w:ind w:left="154"/>
              <w:spacing w:before="52" w:line="183" w:lineRule="auto"/>
              <w:rPr>
                <w:sz w:val="16"/>
                <w:szCs w:val="16"/>
              </w:rPr>
            </w:pPr>
            <w:r>
              <w:rPr>
                <w:sz w:val="16"/>
                <w:szCs w:val="16"/>
                <w:spacing w:val="-3"/>
              </w:rPr>
              <w:t>702</w:t>
            </w:r>
          </w:p>
        </w:tc>
        <w:tc>
          <w:tcPr>
            <w:tcW w:w="1299" w:type="dxa"/>
            <w:vAlign w:val="top"/>
          </w:tcPr>
          <w:p>
            <w:pPr>
              <w:pStyle w:val="TableText"/>
              <w:ind w:left="400"/>
              <w:spacing w:before="267" w:line="219" w:lineRule="auto"/>
              <w:rPr>
                <w:sz w:val="16"/>
                <w:szCs w:val="16"/>
              </w:rPr>
            </w:pPr>
            <w:r>
              <w:rPr>
                <w:sz w:val="16"/>
                <w:szCs w:val="16"/>
                <w:spacing w:val="-2"/>
              </w:rPr>
              <w:t>证监会</w:t>
            </w:r>
          </w:p>
        </w:tc>
        <w:tc>
          <w:tcPr>
            <w:tcW w:w="1638" w:type="dxa"/>
            <w:vAlign w:val="top"/>
          </w:tcPr>
          <w:p>
            <w:pPr>
              <w:pStyle w:val="TableText"/>
              <w:ind w:left="42" w:right="102" w:firstLine="50"/>
              <w:spacing w:before="88" w:line="218" w:lineRule="auto"/>
              <w:jc w:val="both"/>
              <w:rPr>
                <w:sz w:val="16"/>
                <w:szCs w:val="16"/>
              </w:rPr>
            </w:pPr>
            <w:r>
              <w:rPr>
                <w:sz w:val="16"/>
                <w:szCs w:val="16"/>
                <w:spacing w:val="-2"/>
              </w:rPr>
              <w:t>公器基金管理公同设</w:t>
            </w:r>
            <w:r>
              <w:rPr>
                <w:sz w:val="16"/>
                <w:szCs w:val="16"/>
                <w:spacing w:val="5"/>
              </w:rPr>
              <w:t xml:space="preserve"> </w:t>
            </w:r>
            <w:r>
              <w:rPr>
                <w:sz w:val="16"/>
                <w:szCs w:val="16"/>
                <w:spacing w:val="4"/>
              </w:rPr>
              <w:t>立及变更重大事喃许</w:t>
            </w:r>
            <w:r>
              <w:rPr>
                <w:sz w:val="16"/>
                <w:szCs w:val="16"/>
                <w:spacing w:val="6"/>
              </w:rPr>
              <w:t xml:space="preserve"> </w:t>
            </w:r>
            <w:r>
              <w:rPr>
                <w:sz w:val="16"/>
                <w:szCs w:val="16"/>
              </w:rPr>
              <w:t>可</w:t>
            </w:r>
          </w:p>
        </w:tc>
        <w:tc>
          <w:tcPr>
            <w:tcW w:w="2377" w:type="dxa"/>
            <w:vAlign w:val="top"/>
          </w:tcPr>
          <w:p>
            <w:pPr>
              <w:pStyle w:val="TableText"/>
              <w:ind w:left="44"/>
              <w:spacing w:before="267" w:line="219" w:lineRule="auto"/>
              <w:rPr>
                <w:sz w:val="16"/>
                <w:szCs w:val="16"/>
              </w:rPr>
            </w:pPr>
            <w:r>
              <w:rPr>
                <w:sz w:val="16"/>
                <w:szCs w:val="16"/>
                <w:spacing w:val="-2"/>
              </w:rPr>
              <w:t>证监会</w:t>
            </w:r>
          </w:p>
        </w:tc>
        <w:tc>
          <w:tcPr>
            <w:tcW w:w="3711" w:type="dxa"/>
            <w:vAlign w:val="top"/>
          </w:tcPr>
          <w:p>
            <w:pPr>
              <w:pStyle w:val="TableText"/>
              <w:ind w:left="36"/>
              <w:spacing w:before="268" w:line="219" w:lineRule="auto"/>
              <w:rPr>
                <w:sz w:val="16"/>
                <w:szCs w:val="16"/>
              </w:rPr>
            </w:pPr>
            <w:r>
              <w:rPr>
                <w:sz w:val="16"/>
                <w:szCs w:val="16"/>
                <w:spacing w:val="2"/>
              </w:rPr>
              <w:t>1中华人民共和国证季投资基金法)</w:t>
            </w:r>
          </w:p>
        </w:tc>
      </w:tr>
      <w:tr>
        <w:trPr>
          <w:trHeight w:val="499" w:hRule="atLeast"/>
        </w:trPr>
        <w:tc>
          <w:tcPr>
            <w:tcW w:w="574" w:type="dxa"/>
            <w:vAlign w:val="top"/>
          </w:tcPr>
          <w:p>
            <w:pPr>
              <w:pStyle w:val="TableText"/>
              <w:ind w:left="154"/>
              <w:spacing w:before="210" w:line="183" w:lineRule="auto"/>
              <w:rPr>
                <w:sz w:val="16"/>
                <w:szCs w:val="16"/>
              </w:rPr>
            </w:pPr>
            <w:r>
              <w:rPr>
                <w:sz w:val="16"/>
                <w:szCs w:val="16"/>
                <w:spacing w:val="-3"/>
              </w:rPr>
              <w:t>793</w:t>
            </w:r>
          </w:p>
        </w:tc>
        <w:tc>
          <w:tcPr>
            <w:tcW w:w="1299" w:type="dxa"/>
            <w:vAlign w:val="top"/>
          </w:tcPr>
          <w:p>
            <w:pPr>
              <w:pStyle w:val="TableText"/>
              <w:ind w:left="400"/>
              <w:spacing w:before="168" w:line="219" w:lineRule="auto"/>
              <w:rPr>
                <w:sz w:val="16"/>
                <w:szCs w:val="16"/>
              </w:rPr>
            </w:pPr>
            <w:r>
              <w:rPr>
                <w:sz w:val="16"/>
                <w:szCs w:val="16"/>
                <w:spacing w:val="-2"/>
              </w:rPr>
              <w:t>证蓝会</w:t>
            </w:r>
          </w:p>
        </w:tc>
        <w:tc>
          <w:tcPr>
            <w:tcW w:w="1638" w:type="dxa"/>
            <w:vAlign w:val="top"/>
          </w:tcPr>
          <w:p>
            <w:pPr>
              <w:pStyle w:val="TableText"/>
              <w:ind w:left="52" w:right="107" w:firstLine="40"/>
              <w:spacing w:before="68" w:line="232" w:lineRule="auto"/>
              <w:rPr>
                <w:sz w:val="16"/>
                <w:szCs w:val="16"/>
              </w:rPr>
            </w:pPr>
            <w:r>
              <w:rPr>
                <w:sz w:val="16"/>
                <w:szCs w:val="16"/>
                <w:spacing w:val="-2"/>
              </w:rPr>
              <w:t>公苏甚金管理人资格</w:t>
            </w:r>
            <w:r>
              <w:rPr>
                <w:sz w:val="16"/>
                <w:szCs w:val="16"/>
                <w:spacing w:val="5"/>
              </w:rPr>
              <w:t xml:space="preserve"> </w:t>
            </w:r>
            <w:r>
              <w:rPr>
                <w:sz w:val="16"/>
                <w:szCs w:val="16"/>
                <w:spacing w:val="-3"/>
              </w:rPr>
              <w:t>核准</w:t>
            </w:r>
          </w:p>
        </w:tc>
        <w:tc>
          <w:tcPr>
            <w:tcW w:w="2377" w:type="dxa"/>
            <w:vAlign w:val="top"/>
          </w:tcPr>
          <w:p>
            <w:pPr>
              <w:pStyle w:val="TableText"/>
              <w:ind w:left="44"/>
              <w:spacing w:before="168" w:line="219" w:lineRule="auto"/>
              <w:rPr>
                <w:sz w:val="16"/>
                <w:szCs w:val="16"/>
              </w:rPr>
            </w:pPr>
            <w:r>
              <w:rPr>
                <w:sz w:val="16"/>
                <w:szCs w:val="16"/>
                <w:spacing w:val="-3"/>
              </w:rPr>
              <w:t>正监会</w:t>
            </w:r>
          </w:p>
        </w:tc>
        <w:tc>
          <w:tcPr>
            <w:tcW w:w="3711" w:type="dxa"/>
            <w:vAlign w:val="top"/>
          </w:tcPr>
          <w:p>
            <w:pPr>
              <w:pStyle w:val="TableText"/>
              <w:ind w:left="36"/>
              <w:spacing w:before="170" w:line="220" w:lineRule="auto"/>
              <w:rPr>
                <w:sz w:val="16"/>
                <w:szCs w:val="16"/>
              </w:rPr>
            </w:pPr>
            <w:r>
              <w:rPr>
                <w:sz w:val="16"/>
                <w:szCs w:val="16"/>
                <w:spacing w:val="1"/>
              </w:rPr>
              <w:t>1中华人民其和国证导投资基合法1</w:t>
            </w:r>
          </w:p>
        </w:tc>
      </w:tr>
      <w:tr>
        <w:trPr>
          <w:trHeight w:val="280" w:hRule="atLeast"/>
        </w:trPr>
        <w:tc>
          <w:tcPr>
            <w:tcW w:w="574" w:type="dxa"/>
            <w:vAlign w:val="top"/>
          </w:tcPr>
          <w:p>
            <w:pPr>
              <w:pStyle w:val="TableText"/>
              <w:ind w:left="154"/>
              <w:spacing w:before="101" w:line="183" w:lineRule="auto"/>
              <w:rPr>
                <w:sz w:val="16"/>
                <w:szCs w:val="16"/>
              </w:rPr>
            </w:pPr>
            <w:r>
              <w:rPr>
                <w:sz w:val="16"/>
                <w:szCs w:val="16"/>
                <w:spacing w:val="-3"/>
              </w:rPr>
              <w:t>704</w:t>
            </w:r>
          </w:p>
        </w:tc>
        <w:tc>
          <w:tcPr>
            <w:tcW w:w="1299" w:type="dxa"/>
            <w:vAlign w:val="top"/>
          </w:tcPr>
          <w:p>
            <w:pPr>
              <w:pStyle w:val="TableText"/>
              <w:ind w:left="400"/>
              <w:spacing w:before="59" w:line="219" w:lineRule="auto"/>
              <w:rPr>
                <w:sz w:val="16"/>
                <w:szCs w:val="16"/>
              </w:rPr>
            </w:pPr>
            <w:r>
              <w:rPr>
                <w:sz w:val="16"/>
                <w:szCs w:val="16"/>
                <w:spacing w:val="-2"/>
              </w:rPr>
              <w:t>证监会</w:t>
            </w:r>
          </w:p>
        </w:tc>
        <w:tc>
          <w:tcPr>
            <w:tcW w:w="1638" w:type="dxa"/>
            <w:vAlign w:val="top"/>
          </w:tcPr>
          <w:p>
            <w:pPr>
              <w:pStyle w:val="TableText"/>
              <w:ind w:left="92"/>
              <w:spacing w:before="60" w:line="219" w:lineRule="auto"/>
              <w:rPr>
                <w:sz w:val="16"/>
                <w:szCs w:val="16"/>
              </w:rPr>
            </w:pPr>
            <w:r>
              <w:rPr>
                <w:sz w:val="16"/>
                <w:szCs w:val="16"/>
                <w:spacing w:val="-1"/>
              </w:rPr>
              <w:t>基金托情人需格核准</w:t>
            </w:r>
          </w:p>
        </w:tc>
        <w:tc>
          <w:tcPr>
            <w:tcW w:w="2377" w:type="dxa"/>
            <w:vAlign w:val="top"/>
          </w:tcPr>
          <w:p>
            <w:pPr>
              <w:pStyle w:val="TableText"/>
              <w:ind w:left="44"/>
              <w:spacing w:before="63" w:line="222" w:lineRule="auto"/>
              <w:rPr>
                <w:sz w:val="16"/>
                <w:szCs w:val="16"/>
              </w:rPr>
            </w:pPr>
            <w:r>
              <w:rPr>
                <w:sz w:val="16"/>
                <w:szCs w:val="16"/>
                <w:spacing w:val="-2"/>
              </w:rPr>
              <w:t>证的金</w:t>
            </w:r>
          </w:p>
        </w:tc>
        <w:tc>
          <w:tcPr>
            <w:tcW w:w="3711" w:type="dxa"/>
            <w:vAlign w:val="top"/>
          </w:tcPr>
          <w:p>
            <w:pPr>
              <w:pStyle w:val="TableText"/>
              <w:ind w:left="36"/>
              <w:spacing w:before="60" w:line="219" w:lineRule="auto"/>
              <w:rPr>
                <w:sz w:val="16"/>
                <w:szCs w:val="16"/>
              </w:rPr>
            </w:pPr>
            <w:r>
              <w:rPr>
                <w:sz w:val="16"/>
                <w:szCs w:val="16"/>
                <w:spacing w:val="1"/>
              </w:rPr>
              <w:t>1中华人民共和国证券投贸基金法1</w:t>
            </w:r>
          </w:p>
        </w:tc>
      </w:tr>
      <w:tr>
        <w:trPr>
          <w:trHeight w:val="280" w:hRule="atLeast"/>
        </w:trPr>
        <w:tc>
          <w:tcPr>
            <w:tcW w:w="574" w:type="dxa"/>
            <w:vAlign w:val="top"/>
          </w:tcPr>
          <w:p>
            <w:pPr>
              <w:pStyle w:val="TableText"/>
              <w:ind w:left="154"/>
              <w:spacing w:before="101" w:line="183" w:lineRule="auto"/>
              <w:rPr>
                <w:sz w:val="16"/>
                <w:szCs w:val="16"/>
              </w:rPr>
            </w:pPr>
            <w:r>
              <w:rPr>
                <w:sz w:val="16"/>
                <w:szCs w:val="16"/>
                <w:spacing w:val="-3"/>
              </w:rPr>
              <w:t>705</w:t>
            </w:r>
          </w:p>
        </w:tc>
        <w:tc>
          <w:tcPr>
            <w:tcW w:w="1299" w:type="dxa"/>
            <w:vAlign w:val="top"/>
          </w:tcPr>
          <w:p>
            <w:pPr>
              <w:pStyle w:val="TableText"/>
              <w:ind w:left="400"/>
              <w:spacing w:before="59" w:line="219" w:lineRule="auto"/>
              <w:rPr>
                <w:sz w:val="16"/>
                <w:szCs w:val="16"/>
              </w:rPr>
            </w:pPr>
            <w:r>
              <w:rPr>
                <w:sz w:val="16"/>
                <w:szCs w:val="16"/>
                <w:spacing w:val="-2"/>
              </w:rPr>
              <w:t>证监会</w:t>
            </w:r>
          </w:p>
        </w:tc>
        <w:tc>
          <w:tcPr>
            <w:tcW w:w="1638" w:type="dxa"/>
            <w:vAlign w:val="top"/>
          </w:tcPr>
          <w:p>
            <w:pPr>
              <w:pStyle w:val="TableText"/>
              <w:ind w:left="32"/>
              <w:spacing w:before="60" w:line="219" w:lineRule="auto"/>
              <w:rPr>
                <w:sz w:val="16"/>
                <w:szCs w:val="16"/>
              </w:rPr>
            </w:pPr>
            <w:r>
              <w:rPr>
                <w:sz w:val="16"/>
                <w:szCs w:val="16"/>
                <w:spacing w:val="3"/>
              </w:rPr>
              <w:t>公葬基金注用</w:t>
            </w:r>
          </w:p>
        </w:tc>
        <w:tc>
          <w:tcPr>
            <w:tcW w:w="2377" w:type="dxa"/>
            <w:vAlign w:val="top"/>
          </w:tcPr>
          <w:p>
            <w:pPr>
              <w:pStyle w:val="TableText"/>
              <w:ind w:left="44"/>
              <w:spacing w:before="59" w:line="219" w:lineRule="auto"/>
              <w:rPr>
                <w:sz w:val="16"/>
                <w:szCs w:val="16"/>
              </w:rPr>
            </w:pPr>
            <w:r>
              <w:rPr>
                <w:sz w:val="16"/>
                <w:szCs w:val="16"/>
                <w:spacing w:val="-2"/>
              </w:rPr>
              <w:t>迁监会</w:t>
            </w:r>
          </w:p>
        </w:tc>
        <w:tc>
          <w:tcPr>
            <w:tcW w:w="3711" w:type="dxa"/>
            <w:vAlign w:val="top"/>
          </w:tcPr>
          <w:p>
            <w:pPr>
              <w:pStyle w:val="TableText"/>
              <w:ind w:left="36"/>
              <w:spacing w:before="61" w:line="220" w:lineRule="auto"/>
              <w:rPr>
                <w:sz w:val="16"/>
                <w:szCs w:val="16"/>
              </w:rPr>
            </w:pPr>
            <w:r>
              <w:rPr>
                <w:sz w:val="16"/>
                <w:szCs w:val="16"/>
                <w:spacing w:val="4"/>
              </w:rPr>
              <w:t>1中华人民非和国证导投资花金法】</w:t>
            </w:r>
          </w:p>
        </w:tc>
      </w:tr>
      <w:tr>
        <w:trPr>
          <w:trHeight w:val="489" w:hRule="atLeast"/>
        </w:trPr>
        <w:tc>
          <w:tcPr>
            <w:tcW w:w="574" w:type="dxa"/>
            <w:vAlign w:val="top"/>
          </w:tcPr>
          <w:p>
            <w:pPr>
              <w:pStyle w:val="TableText"/>
              <w:ind w:left="154"/>
              <w:spacing w:before="211" w:line="183" w:lineRule="auto"/>
              <w:rPr>
                <w:sz w:val="16"/>
                <w:szCs w:val="16"/>
              </w:rPr>
            </w:pPr>
            <w:r>
              <w:rPr>
                <w:sz w:val="16"/>
                <w:szCs w:val="16"/>
                <w:spacing w:val="-3"/>
              </w:rPr>
              <w:t>706</w:t>
            </w:r>
          </w:p>
        </w:tc>
        <w:tc>
          <w:tcPr>
            <w:tcW w:w="1299" w:type="dxa"/>
            <w:vAlign w:val="top"/>
          </w:tcPr>
          <w:p>
            <w:pPr>
              <w:pStyle w:val="TableText"/>
              <w:ind w:left="400"/>
              <w:spacing w:before="169" w:line="219" w:lineRule="auto"/>
              <w:rPr>
                <w:sz w:val="16"/>
                <w:szCs w:val="16"/>
              </w:rPr>
            </w:pPr>
            <w:r>
              <w:rPr>
                <w:sz w:val="16"/>
                <w:szCs w:val="16"/>
                <w:spacing w:val="-2"/>
              </w:rPr>
              <w:t>证监会</w:t>
            </w:r>
          </w:p>
        </w:tc>
        <w:tc>
          <w:tcPr>
            <w:tcW w:w="1638" w:type="dxa"/>
            <w:vAlign w:val="top"/>
          </w:tcPr>
          <w:p>
            <w:pPr>
              <w:pStyle w:val="TableText"/>
              <w:ind w:left="32" w:right="107" w:firstLine="60"/>
              <w:spacing w:before="59" w:line="227" w:lineRule="auto"/>
              <w:rPr>
                <w:sz w:val="16"/>
                <w:szCs w:val="16"/>
              </w:rPr>
            </w:pPr>
            <w:r>
              <w:rPr>
                <w:sz w:val="16"/>
                <w:szCs w:val="16"/>
                <w:spacing w:val="-2"/>
              </w:rPr>
              <w:t>公幕基金服务机构注</w:t>
            </w:r>
            <w:r>
              <w:rPr>
                <w:sz w:val="16"/>
                <w:szCs w:val="16"/>
                <w:spacing w:val="5"/>
              </w:rPr>
              <w:t xml:space="preserve"> </w:t>
            </w:r>
            <w:r>
              <w:rPr>
                <w:sz w:val="16"/>
                <w:szCs w:val="16"/>
              </w:rPr>
              <w:t>册</w:t>
            </w:r>
          </w:p>
        </w:tc>
        <w:tc>
          <w:tcPr>
            <w:tcW w:w="2377" w:type="dxa"/>
            <w:vAlign w:val="top"/>
          </w:tcPr>
          <w:p>
            <w:pPr>
              <w:pStyle w:val="TableText"/>
              <w:ind w:left="44"/>
              <w:spacing w:before="169" w:line="219" w:lineRule="auto"/>
              <w:rPr>
                <w:sz w:val="16"/>
                <w:szCs w:val="16"/>
              </w:rPr>
            </w:pPr>
            <w:r>
              <w:rPr>
                <w:sz w:val="16"/>
                <w:szCs w:val="16"/>
                <w:spacing w:val="-1"/>
              </w:rPr>
              <w:t>证监会；旋壁会深出机构</w:t>
            </w:r>
          </w:p>
        </w:tc>
        <w:tc>
          <w:tcPr>
            <w:tcW w:w="3711" w:type="dxa"/>
            <w:vAlign w:val="top"/>
          </w:tcPr>
          <w:p>
            <w:pPr>
              <w:pStyle w:val="TableText"/>
              <w:ind w:left="36"/>
              <w:spacing w:before="170" w:line="219" w:lineRule="auto"/>
              <w:rPr>
                <w:sz w:val="16"/>
                <w:szCs w:val="16"/>
              </w:rPr>
            </w:pPr>
            <w:r>
              <w:rPr>
                <w:sz w:val="16"/>
                <w:szCs w:val="16"/>
                <w:spacing w:val="-1"/>
              </w:rPr>
              <w:t>4中华人民共和国征券投资基金法</w:t>
            </w:r>
          </w:p>
        </w:tc>
      </w:tr>
      <w:tr>
        <w:trPr>
          <w:trHeight w:val="489" w:hRule="atLeast"/>
        </w:trPr>
        <w:tc>
          <w:tcPr>
            <w:tcW w:w="574" w:type="dxa"/>
            <w:vAlign w:val="top"/>
          </w:tcPr>
          <w:p>
            <w:pPr>
              <w:pStyle w:val="TableText"/>
              <w:ind w:left="154"/>
              <w:spacing w:before="212" w:line="183" w:lineRule="auto"/>
              <w:rPr>
                <w:sz w:val="16"/>
                <w:szCs w:val="16"/>
              </w:rPr>
            </w:pPr>
            <w:r>
              <w:rPr>
                <w:sz w:val="16"/>
                <w:szCs w:val="16"/>
                <w:spacing w:val="-3"/>
              </w:rPr>
              <w:t>707</w:t>
            </w:r>
          </w:p>
        </w:tc>
        <w:tc>
          <w:tcPr>
            <w:tcW w:w="1299" w:type="dxa"/>
            <w:vAlign w:val="top"/>
          </w:tcPr>
          <w:p>
            <w:pPr>
              <w:pStyle w:val="TableText"/>
              <w:ind w:left="400"/>
              <w:spacing w:before="170" w:line="219" w:lineRule="auto"/>
              <w:rPr>
                <w:sz w:val="16"/>
                <w:szCs w:val="16"/>
              </w:rPr>
            </w:pPr>
            <w:r>
              <w:rPr>
                <w:sz w:val="16"/>
                <w:szCs w:val="16"/>
                <w:spacing w:val="-2"/>
              </w:rPr>
              <w:t>证监会</w:t>
            </w:r>
          </w:p>
        </w:tc>
        <w:tc>
          <w:tcPr>
            <w:tcW w:w="1638" w:type="dxa"/>
            <w:vAlign w:val="top"/>
          </w:tcPr>
          <w:p>
            <w:pPr>
              <w:pStyle w:val="TableText"/>
              <w:ind w:left="52" w:right="104" w:firstLine="40"/>
              <w:spacing w:before="81" w:line="225" w:lineRule="auto"/>
              <w:rPr>
                <w:sz w:val="16"/>
                <w:szCs w:val="16"/>
              </w:rPr>
            </w:pPr>
            <w:r>
              <w:rPr>
                <w:sz w:val="16"/>
                <w:szCs w:val="16"/>
                <w:spacing w:val="-1"/>
              </w:rPr>
              <w:t>从事证券投资咨离应</w:t>
            </w:r>
            <w:r>
              <w:rPr>
                <w:sz w:val="16"/>
                <w:szCs w:val="16"/>
              </w:rPr>
              <w:t xml:space="preserve"> </w:t>
            </w:r>
            <w:r>
              <w:rPr>
                <w:sz w:val="16"/>
                <w:szCs w:val="16"/>
                <w:spacing w:val="-2"/>
              </w:rPr>
              <w:t>务业务核溶</w:t>
            </w:r>
          </w:p>
        </w:tc>
        <w:tc>
          <w:tcPr>
            <w:tcW w:w="2377" w:type="dxa"/>
            <w:vAlign w:val="top"/>
          </w:tcPr>
          <w:p>
            <w:pPr>
              <w:pStyle w:val="TableText"/>
              <w:ind w:left="44"/>
              <w:spacing w:before="172" w:line="221" w:lineRule="auto"/>
              <w:rPr>
                <w:sz w:val="16"/>
                <w:szCs w:val="16"/>
              </w:rPr>
            </w:pPr>
            <w:r>
              <w:rPr>
                <w:sz w:val="16"/>
                <w:szCs w:val="16"/>
                <w:spacing w:val="-2"/>
              </w:rPr>
              <w:t>证匾安</w:t>
            </w:r>
          </w:p>
        </w:tc>
        <w:tc>
          <w:tcPr>
            <w:tcW w:w="3711" w:type="dxa"/>
            <w:vAlign w:val="top"/>
          </w:tcPr>
          <w:p>
            <w:pPr>
              <w:pStyle w:val="TableText"/>
              <w:ind w:left="36"/>
              <w:spacing w:before="171" w:line="219" w:lineRule="auto"/>
              <w:rPr>
                <w:sz w:val="16"/>
                <w:szCs w:val="16"/>
              </w:rPr>
            </w:pPr>
            <w:r>
              <w:rPr>
                <w:sz w:val="16"/>
                <w:szCs w:val="16"/>
                <w:spacing w:val="-1"/>
              </w:rPr>
              <w:t>I中华人民共和国证界法》</w:t>
            </w:r>
          </w:p>
        </w:tc>
      </w:tr>
      <w:tr>
        <w:trPr>
          <w:trHeight w:val="499" w:hRule="atLeast"/>
        </w:trPr>
        <w:tc>
          <w:tcPr>
            <w:tcW w:w="574" w:type="dxa"/>
            <w:vAlign w:val="top"/>
          </w:tcPr>
          <w:p>
            <w:pPr>
              <w:pStyle w:val="TableText"/>
              <w:ind w:left="154"/>
              <w:spacing w:before="213" w:line="183" w:lineRule="auto"/>
              <w:rPr>
                <w:sz w:val="16"/>
                <w:szCs w:val="16"/>
              </w:rPr>
            </w:pPr>
            <w:r>
              <w:rPr>
                <w:sz w:val="16"/>
                <w:szCs w:val="16"/>
                <w:spacing w:val="-3"/>
              </w:rPr>
              <w:t>708</w:t>
            </w:r>
          </w:p>
        </w:tc>
        <w:tc>
          <w:tcPr>
            <w:tcW w:w="1299" w:type="dxa"/>
            <w:vAlign w:val="top"/>
          </w:tcPr>
          <w:p>
            <w:pPr>
              <w:pStyle w:val="TableText"/>
              <w:ind w:left="400"/>
              <w:spacing w:before="171" w:line="219" w:lineRule="auto"/>
              <w:rPr>
                <w:sz w:val="16"/>
                <w:szCs w:val="16"/>
              </w:rPr>
            </w:pPr>
            <w:r>
              <w:rPr>
                <w:sz w:val="16"/>
                <w:szCs w:val="16"/>
                <w:spacing w:val="-2"/>
              </w:rPr>
              <w:t>证监会</w:t>
            </w:r>
          </w:p>
        </w:tc>
        <w:tc>
          <w:tcPr>
            <w:tcW w:w="1638" w:type="dxa"/>
            <w:vAlign w:val="top"/>
          </w:tcPr>
          <w:p>
            <w:pPr>
              <w:pStyle w:val="TableText"/>
              <w:ind w:left="62" w:right="104" w:firstLine="30"/>
              <w:spacing w:before="82" w:line="220" w:lineRule="auto"/>
              <w:rPr>
                <w:sz w:val="16"/>
                <w:szCs w:val="16"/>
              </w:rPr>
            </w:pPr>
            <w:r>
              <w:rPr>
                <w:sz w:val="16"/>
                <w:szCs w:val="16"/>
                <w:spacing w:val="-1"/>
              </w:rPr>
              <w:t>期货公司设立及变重</w:t>
            </w:r>
            <w:r>
              <w:rPr>
                <w:sz w:val="16"/>
                <w:szCs w:val="16"/>
              </w:rPr>
              <w:t xml:space="preserve"> </w:t>
            </w:r>
            <w:r>
              <w:rPr>
                <w:sz w:val="16"/>
                <w:szCs w:val="16"/>
                <w:spacing w:val="-2"/>
              </w:rPr>
              <w:t>许可</w:t>
            </w:r>
          </w:p>
        </w:tc>
        <w:tc>
          <w:tcPr>
            <w:tcW w:w="2377" w:type="dxa"/>
            <w:vAlign w:val="top"/>
          </w:tcPr>
          <w:p>
            <w:pPr>
              <w:pStyle w:val="TableText"/>
              <w:ind w:left="44"/>
              <w:spacing w:before="171" w:line="219" w:lineRule="auto"/>
              <w:rPr>
                <w:sz w:val="16"/>
                <w:szCs w:val="16"/>
              </w:rPr>
            </w:pPr>
            <w:r>
              <w:rPr>
                <w:sz w:val="16"/>
                <w:szCs w:val="16"/>
                <w:spacing w:val="-1"/>
              </w:rPr>
              <w:t>证监金；正验会需出机构</w:t>
            </w:r>
          </w:p>
        </w:tc>
        <w:tc>
          <w:tcPr>
            <w:tcW w:w="3711" w:type="dxa"/>
            <w:vAlign w:val="top"/>
          </w:tcPr>
          <w:p>
            <w:pPr>
              <w:pStyle w:val="TableText"/>
              <w:ind w:left="36"/>
              <w:spacing w:before="72" w:line="231" w:lineRule="auto"/>
              <w:rPr>
                <w:sz w:val="16"/>
                <w:szCs w:val="16"/>
              </w:rPr>
            </w:pPr>
            <w:r>
              <w:rPr>
                <w:sz w:val="16"/>
                <w:szCs w:val="16"/>
              </w:rPr>
              <w:t>1中华人民共和回期货和份生品法</w:t>
            </w:r>
          </w:p>
          <w:p>
            <w:pPr>
              <w:pStyle w:val="TableText"/>
              <w:ind w:left="36"/>
              <w:spacing w:line="219" w:lineRule="auto"/>
              <w:rPr>
                <w:sz w:val="16"/>
                <w:szCs w:val="16"/>
              </w:rPr>
            </w:pPr>
            <w:r>
              <w:rPr>
                <w:sz w:val="16"/>
                <w:szCs w:val="16"/>
                <w:spacing w:val="-1"/>
              </w:rPr>
              <w:t>1期身交是管理圣例》</w:t>
            </w:r>
          </w:p>
        </w:tc>
      </w:tr>
      <w:tr>
        <w:trPr>
          <w:trHeight w:val="1752" w:hRule="atLeast"/>
        </w:trPr>
        <w:tc>
          <w:tcPr>
            <w:tcW w:w="57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54"/>
              <w:spacing w:before="52" w:line="183" w:lineRule="auto"/>
              <w:rPr>
                <w:sz w:val="16"/>
                <w:szCs w:val="16"/>
              </w:rPr>
            </w:pPr>
            <w:r>
              <w:rPr>
                <w:sz w:val="16"/>
                <w:szCs w:val="16"/>
                <w:spacing w:val="-3"/>
              </w:rPr>
              <w:t>702</w:t>
            </w:r>
          </w:p>
        </w:tc>
        <w:tc>
          <w:tcPr>
            <w:tcW w:w="1299"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00"/>
              <w:spacing w:before="52" w:line="219" w:lineRule="auto"/>
              <w:rPr>
                <w:sz w:val="16"/>
                <w:szCs w:val="16"/>
              </w:rPr>
            </w:pPr>
            <w:r>
              <w:rPr>
                <w:sz w:val="16"/>
                <w:szCs w:val="16"/>
                <w:spacing w:val="-2"/>
              </w:rPr>
              <w:t>证监会</w:t>
            </w:r>
          </w:p>
        </w:tc>
        <w:tc>
          <w:tcPr>
            <w:tcW w:w="1638" w:type="dxa"/>
            <w:vAlign w:val="top"/>
          </w:tcPr>
          <w:p>
            <w:pPr>
              <w:spacing w:line="328" w:lineRule="auto"/>
              <w:rPr>
                <w:rFonts w:ascii="Arial"/>
                <w:sz w:val="21"/>
              </w:rPr>
            </w:pPr>
            <w:r/>
          </w:p>
          <w:p>
            <w:pPr>
              <w:spacing w:line="329" w:lineRule="auto"/>
              <w:rPr>
                <w:rFonts w:ascii="Arial"/>
                <w:sz w:val="21"/>
              </w:rPr>
            </w:pPr>
            <w:r/>
          </w:p>
          <w:p>
            <w:pPr>
              <w:pStyle w:val="TableText"/>
              <w:ind w:left="42" w:right="107" w:firstLine="50"/>
              <w:spacing w:before="52" w:line="219" w:lineRule="auto"/>
              <w:rPr>
                <w:sz w:val="16"/>
                <w:szCs w:val="16"/>
              </w:rPr>
            </w:pPr>
            <w:r>
              <w:rPr>
                <w:sz w:val="16"/>
                <w:szCs w:val="16"/>
                <w:spacing w:val="-2"/>
              </w:rPr>
              <w:t>公而发行服勇，有礼</w:t>
            </w:r>
            <w:r>
              <w:rPr>
                <w:sz w:val="16"/>
                <w:szCs w:val="16"/>
                <w:spacing w:val="5"/>
              </w:rPr>
              <w:t xml:space="preserve"> </w:t>
            </w:r>
            <w:r>
              <w:rPr>
                <w:sz w:val="16"/>
                <w:szCs w:val="16"/>
                <w:spacing w:val="-2"/>
              </w:rPr>
              <w:t>先证能册</w:t>
            </w:r>
          </w:p>
        </w:tc>
        <w:tc>
          <w:tcPr>
            <w:tcW w:w="2377"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4"/>
              <w:spacing w:before="52" w:line="219" w:lineRule="auto"/>
              <w:rPr>
                <w:sz w:val="16"/>
                <w:szCs w:val="16"/>
              </w:rPr>
            </w:pPr>
            <w:r>
              <w:rPr>
                <w:sz w:val="16"/>
                <w:szCs w:val="16"/>
                <w:spacing w:val="-2"/>
              </w:rPr>
              <w:t>证监会</w:t>
            </w:r>
          </w:p>
        </w:tc>
        <w:tc>
          <w:tcPr>
            <w:tcW w:w="3711" w:type="dxa"/>
            <w:vAlign w:val="top"/>
          </w:tcPr>
          <w:p>
            <w:pPr>
              <w:pStyle w:val="TableText"/>
              <w:ind w:left="36"/>
              <w:spacing w:before="114" w:line="218" w:lineRule="auto"/>
              <w:rPr>
                <w:sz w:val="16"/>
                <w:szCs w:val="16"/>
              </w:rPr>
            </w:pPr>
            <w:r>
              <w:rPr>
                <w:sz w:val="16"/>
                <w:szCs w:val="16"/>
              </w:rPr>
              <w:t>中长人民北和国证界法</w:t>
            </w:r>
          </w:p>
          <w:p>
            <w:pPr>
              <w:pStyle w:val="TableText"/>
              <w:ind w:left="36" w:right="435" w:firstLine="10"/>
              <w:spacing w:line="225" w:lineRule="auto"/>
              <w:rPr>
                <w:sz w:val="16"/>
                <w:szCs w:val="16"/>
              </w:rPr>
            </w:pPr>
            <w:r>
              <w:rPr>
                <w:sz w:val="16"/>
                <w:szCs w:val="16"/>
              </w:rPr>
              <w:t>国务院关于全国中小企业酸份转让系统有关问</w:t>
            </w:r>
            <w:r>
              <w:rPr>
                <w:sz w:val="16"/>
                <w:szCs w:val="16"/>
                <w:spacing w:val="17"/>
              </w:rPr>
              <w:t xml:space="preserve"> </w:t>
            </w:r>
            <w:r>
              <w:rPr>
                <w:sz w:val="16"/>
                <w:szCs w:val="16"/>
                <w:spacing w:val="2"/>
              </w:rPr>
              <w:t>的决定四发F2018)49号)</w:t>
            </w:r>
          </w:p>
          <w:p>
            <w:pPr>
              <w:pStyle w:val="TableText"/>
              <w:ind w:left="36" w:right="136"/>
              <w:spacing w:before="19" w:line="231" w:lineRule="auto"/>
              <w:rPr>
                <w:sz w:val="16"/>
                <w:szCs w:val="16"/>
              </w:rPr>
            </w:pPr>
            <w:r>
              <w:rPr>
                <w:sz w:val="16"/>
                <w:szCs w:val="16"/>
              </w:rPr>
              <w:t>中酒务能办公疗关于有彻实施他订所的证券法有关</w:t>
            </w:r>
            <w:r>
              <w:rPr>
                <w:sz w:val="16"/>
                <w:szCs w:val="16"/>
                <w:spacing w:val="6"/>
              </w:rPr>
              <w:t xml:space="preserve"> </w:t>
            </w:r>
            <w:r>
              <w:rPr>
                <w:sz w:val="16"/>
                <w:szCs w:val="16"/>
                <w:spacing w:val="2"/>
              </w:rPr>
              <w:t>工作的意短料国办发202005号)</w:t>
            </w:r>
          </w:p>
          <w:p>
            <w:pPr>
              <w:pStyle w:val="TableText"/>
              <w:ind w:left="167"/>
              <w:spacing w:before="19" w:line="196" w:lineRule="auto"/>
              <w:rPr>
                <w:sz w:val="16"/>
                <w:szCs w:val="16"/>
              </w:rPr>
            </w:pPr>
            <w:r>
              <w:rPr>
                <w:sz w:val="16"/>
                <w:szCs w:val="16"/>
                <w:spacing w:val="-2"/>
              </w:rPr>
              <w:t>前医公开发行震票注用析择办法1</w:t>
            </w:r>
          </w:p>
          <w:p>
            <w:pPr>
              <w:pStyle w:val="TableText"/>
              <w:spacing w:line="218" w:lineRule="auto"/>
              <w:rPr>
                <w:sz w:val="16"/>
                <w:szCs w:val="16"/>
              </w:rPr>
            </w:pPr>
            <w:r>
              <w:rPr>
                <w:sz w:val="16"/>
                <w:szCs w:val="16"/>
                <w:spacing w:val="-4"/>
              </w:rPr>
              <w:t>《上市公司证弊发行壮府管理办法》</w:t>
            </w:r>
          </w:p>
          <w:p>
            <w:pPr>
              <w:pStyle w:val="TableText"/>
              <w:spacing w:before="31" w:line="219" w:lineRule="auto"/>
              <w:rPr>
                <w:sz w:val="16"/>
                <w:szCs w:val="16"/>
              </w:rPr>
            </w:pPr>
            <w:r>
              <w:rPr>
                <w:sz w:val="16"/>
                <w:szCs w:val="16"/>
                <w:spacing w:val="-4"/>
              </w:rPr>
              <w:t>《存扎凭征发行与交易营理办法(试行</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97856"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312" name="TextBox 312"/>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4" style="position:absolute;margin-left:37.0402pt;margin-top:344.137pt;mso-position-vertical-relative:page;mso-position-horizontal-relative:page;width:13.6pt;height:12.35pt;z-index:25189785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237</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1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中央主背国门</w:t>
            </w:r>
          </w:p>
        </w:tc>
        <w:tc>
          <w:tcPr>
            <w:tcW w:w="1638" w:type="dxa"/>
            <w:vAlign w:val="top"/>
          </w:tcPr>
          <w:p>
            <w:pPr>
              <w:pStyle w:val="TableText"/>
              <w:ind w:left="491"/>
              <w:spacing w:before="132" w:line="220" w:lineRule="auto"/>
              <w:rPr>
                <w:sz w:val="16"/>
                <w:szCs w:val="16"/>
              </w:rPr>
            </w:pPr>
            <w:r>
              <w:rPr>
                <w:sz w:val="16"/>
                <w:szCs w:val="16"/>
                <w:spacing w:val="-2"/>
              </w:rPr>
              <w:t>事填名称</w:t>
            </w:r>
          </w:p>
        </w:tc>
        <w:tc>
          <w:tcPr>
            <w:tcW w:w="2377" w:type="dxa"/>
            <w:vAlign w:val="top"/>
          </w:tcPr>
          <w:p>
            <w:pPr>
              <w:pStyle w:val="TableText"/>
              <w:ind w:left="826"/>
              <w:spacing w:before="128" w:line="219" w:lineRule="auto"/>
              <w:rPr>
                <w:sz w:val="16"/>
                <w:szCs w:val="16"/>
              </w:rPr>
            </w:pPr>
            <w:r>
              <w:rPr>
                <w:sz w:val="16"/>
                <w:szCs w:val="16"/>
                <w:b/>
                <w:bCs/>
                <w:spacing w:val="-3"/>
              </w:rPr>
              <w:t>其施机关</w:t>
            </w:r>
          </w:p>
        </w:tc>
        <w:tc>
          <w:tcPr>
            <w:tcW w:w="3711" w:type="dxa"/>
            <w:vAlign w:val="top"/>
          </w:tcPr>
          <w:p>
            <w:pPr>
              <w:pStyle w:val="TableText"/>
              <w:ind w:left="1279"/>
              <w:spacing w:before="128" w:line="219" w:lineRule="auto"/>
              <w:rPr>
                <w:sz w:val="16"/>
                <w:szCs w:val="16"/>
              </w:rPr>
            </w:pPr>
            <w:r>
              <w:rPr>
                <w:sz w:val="16"/>
                <w:szCs w:val="16"/>
                <w:b/>
                <w:bCs/>
                <w:spacing w:val="-3"/>
              </w:rPr>
              <w:t>设定和实雄依据</w:t>
            </w:r>
          </w:p>
        </w:tc>
      </w:tr>
      <w:tr>
        <w:trPr>
          <w:trHeight w:val="859" w:hRule="atLeast"/>
        </w:trPr>
        <w:tc>
          <w:tcPr>
            <w:tcW w:w="584" w:type="dxa"/>
            <w:vAlign w:val="top"/>
          </w:tcPr>
          <w:p>
            <w:pPr>
              <w:spacing w:line="332" w:lineRule="auto"/>
              <w:rPr>
                <w:rFonts w:ascii="Arial"/>
                <w:sz w:val="21"/>
              </w:rPr>
            </w:pPr>
            <w:r/>
          </w:p>
          <w:p>
            <w:pPr>
              <w:pStyle w:val="TableText"/>
              <w:ind w:left="164"/>
              <w:spacing w:before="52" w:line="184" w:lineRule="auto"/>
              <w:rPr>
                <w:sz w:val="16"/>
                <w:szCs w:val="16"/>
              </w:rPr>
            </w:pPr>
            <w:r>
              <w:rPr>
                <w:sz w:val="16"/>
                <w:szCs w:val="16"/>
                <w:spacing w:val="-3"/>
              </w:rPr>
              <w:t>710</w:t>
            </w:r>
          </w:p>
        </w:tc>
        <w:tc>
          <w:tcPr>
            <w:tcW w:w="1289" w:type="dxa"/>
            <w:vAlign w:val="top"/>
          </w:tcPr>
          <w:p>
            <w:pPr>
              <w:spacing w:line="291" w:lineRule="auto"/>
              <w:rPr>
                <w:rFonts w:ascii="Arial"/>
                <w:sz w:val="21"/>
              </w:rPr>
            </w:pPr>
            <w:r/>
          </w:p>
          <w:p>
            <w:pPr>
              <w:pStyle w:val="TableText"/>
              <w:ind w:left="390"/>
              <w:spacing w:before="52" w:line="219" w:lineRule="auto"/>
              <w:rPr>
                <w:sz w:val="16"/>
                <w:szCs w:val="16"/>
              </w:rPr>
            </w:pPr>
            <w:r>
              <w:rPr>
                <w:sz w:val="16"/>
                <w:szCs w:val="16"/>
                <w:spacing w:val="-3"/>
              </w:rPr>
              <w:t>红监会</w:t>
            </w:r>
          </w:p>
        </w:tc>
        <w:tc>
          <w:tcPr>
            <w:tcW w:w="1638" w:type="dxa"/>
            <w:vAlign w:val="top"/>
          </w:tcPr>
          <w:p>
            <w:pPr>
              <w:pStyle w:val="TableText"/>
              <w:ind w:left="92"/>
              <w:spacing w:before="176" w:line="219" w:lineRule="auto"/>
              <w:rPr>
                <w:sz w:val="16"/>
                <w:szCs w:val="16"/>
              </w:rPr>
            </w:pPr>
            <w:r>
              <w:rPr>
                <w:sz w:val="16"/>
                <w:szCs w:val="16"/>
                <w:spacing w:val="-1"/>
              </w:rPr>
              <w:t>上市公司发行可转美</w:t>
            </w:r>
          </w:p>
          <w:p>
            <w:pPr>
              <w:pStyle w:val="TableText"/>
              <w:ind w:left="11" w:right="105" w:firstLine="80"/>
              <w:spacing w:before="1" w:line="209" w:lineRule="auto"/>
              <w:rPr>
                <w:sz w:val="16"/>
                <w:szCs w:val="16"/>
              </w:rPr>
            </w:pPr>
            <w:r>
              <w:rPr>
                <w:sz w:val="16"/>
                <w:szCs w:val="16"/>
                <w:spacing w:val="-2"/>
              </w:rPr>
              <w:t>与般原第公司模界注</w:t>
            </w:r>
            <w:r>
              <w:rPr>
                <w:sz w:val="16"/>
                <w:szCs w:val="16"/>
                <w:spacing w:val="7"/>
              </w:rPr>
              <w:t xml:space="preserve"> </w:t>
            </w:r>
            <w:r>
              <w:rPr>
                <w:sz w:val="16"/>
                <w:szCs w:val="16"/>
              </w:rPr>
              <w:t>丽</w:t>
            </w:r>
          </w:p>
        </w:tc>
        <w:tc>
          <w:tcPr>
            <w:tcW w:w="2377" w:type="dxa"/>
            <w:vAlign w:val="top"/>
          </w:tcPr>
          <w:p>
            <w:pPr>
              <w:spacing w:line="291" w:lineRule="auto"/>
              <w:rPr>
                <w:rFonts w:ascii="Arial"/>
                <w:sz w:val="21"/>
              </w:rPr>
            </w:pPr>
            <w:r/>
          </w:p>
          <w:p>
            <w:pPr>
              <w:pStyle w:val="TableText"/>
              <w:ind w:left="83"/>
              <w:spacing w:before="52" w:line="219" w:lineRule="auto"/>
              <w:rPr>
                <w:sz w:val="16"/>
                <w:szCs w:val="16"/>
              </w:rPr>
            </w:pPr>
            <w:r>
              <w:rPr>
                <w:sz w:val="16"/>
                <w:szCs w:val="16"/>
                <w:spacing w:val="-2"/>
              </w:rPr>
              <w:t>证监会</w:t>
            </w:r>
          </w:p>
        </w:tc>
        <w:tc>
          <w:tcPr>
            <w:tcW w:w="3711" w:type="dxa"/>
            <w:vAlign w:val="top"/>
          </w:tcPr>
          <w:p>
            <w:pPr>
              <w:pStyle w:val="TableText"/>
              <w:ind w:left="67"/>
              <w:spacing w:before="57" w:line="207" w:lineRule="auto"/>
              <w:rPr>
                <w:sz w:val="16"/>
                <w:szCs w:val="16"/>
              </w:rPr>
            </w:pPr>
            <w:r>
              <w:rPr>
                <w:sz w:val="16"/>
                <w:szCs w:val="16"/>
              </w:rPr>
              <w:t>(中华人民其和间证资法</w:t>
            </w:r>
          </w:p>
          <w:p>
            <w:pPr>
              <w:pStyle w:val="TableText"/>
              <w:ind w:left="67" w:right="204"/>
              <w:spacing w:before="1" w:line="230" w:lineRule="auto"/>
              <w:rPr>
                <w:sz w:val="16"/>
                <w:szCs w:val="16"/>
              </w:rPr>
            </w:pPr>
            <w:r>
              <w:rPr>
                <w:sz w:val="16"/>
                <w:szCs w:val="16"/>
                <w:spacing w:val="-1"/>
              </w:rPr>
              <w:t>t国各院少公厅关于前彻完的协订后的证春法有关</w:t>
            </w:r>
            <w:r>
              <w:rPr>
                <w:sz w:val="16"/>
                <w:szCs w:val="16"/>
                <w:spacing w:val="10"/>
              </w:rPr>
              <w:t xml:space="preserve"> </w:t>
            </w:r>
            <w:r>
              <w:rPr>
                <w:sz w:val="16"/>
                <w:szCs w:val="16"/>
                <w:spacing w:val="2"/>
              </w:rPr>
              <w:t>工作的通短(国办累0?n15号)</w:t>
            </w:r>
          </w:p>
          <w:p>
            <w:pPr>
              <w:pStyle w:val="TableText"/>
              <w:ind w:left="67"/>
              <w:spacing w:before="29" w:line="211" w:lineRule="auto"/>
              <w:rPr>
                <w:sz w:val="16"/>
                <w:szCs w:val="16"/>
              </w:rPr>
            </w:pPr>
            <w:r>
              <w:rPr>
                <w:sz w:val="16"/>
                <w:szCs w:val="16"/>
              </w:rPr>
              <w:t>1上市公间证养发行活员管理界法</w:t>
            </w:r>
          </w:p>
        </w:tc>
      </w:tr>
      <w:tr>
        <w:trPr>
          <w:trHeight w:val="659" w:hRule="atLeast"/>
        </w:trPr>
        <w:tc>
          <w:tcPr>
            <w:tcW w:w="584" w:type="dxa"/>
            <w:vAlign w:val="top"/>
          </w:tcPr>
          <w:p>
            <w:pPr>
              <w:pStyle w:val="TableText"/>
              <w:ind w:left="164"/>
              <w:spacing w:before="288" w:line="184" w:lineRule="auto"/>
              <w:rPr>
                <w:sz w:val="16"/>
                <w:szCs w:val="16"/>
              </w:rPr>
            </w:pPr>
            <w:r>
              <w:rPr>
                <w:sz w:val="16"/>
                <w:szCs w:val="16"/>
                <w:spacing w:val="-3"/>
              </w:rPr>
              <w:t>711</w:t>
            </w:r>
          </w:p>
        </w:tc>
        <w:tc>
          <w:tcPr>
            <w:tcW w:w="1289" w:type="dxa"/>
            <w:vAlign w:val="top"/>
          </w:tcPr>
          <w:p>
            <w:pPr>
              <w:pStyle w:val="TableText"/>
              <w:ind w:left="390"/>
              <w:spacing w:before="246" w:line="219" w:lineRule="auto"/>
              <w:rPr>
                <w:sz w:val="16"/>
                <w:szCs w:val="16"/>
              </w:rPr>
            </w:pPr>
            <w:r>
              <w:rPr>
                <w:sz w:val="16"/>
                <w:szCs w:val="16"/>
                <w:spacing w:val="-2"/>
              </w:rPr>
              <w:t>证监会</w:t>
            </w:r>
          </w:p>
        </w:tc>
        <w:tc>
          <w:tcPr>
            <w:tcW w:w="1638" w:type="dxa"/>
            <w:vAlign w:val="top"/>
          </w:tcPr>
          <w:p>
            <w:pPr>
              <w:pStyle w:val="TableText"/>
              <w:ind w:left="42"/>
              <w:spacing w:before="247" w:line="219" w:lineRule="auto"/>
              <w:rPr>
                <w:sz w:val="16"/>
                <w:szCs w:val="16"/>
              </w:rPr>
            </w:pPr>
            <w:r>
              <w:rPr>
                <w:sz w:val="16"/>
                <w:szCs w:val="16"/>
                <w:spacing w:val="1"/>
              </w:rPr>
              <w:t>公司情替发行注圳</w:t>
            </w:r>
          </w:p>
        </w:tc>
        <w:tc>
          <w:tcPr>
            <w:tcW w:w="2377" w:type="dxa"/>
            <w:vAlign w:val="top"/>
          </w:tcPr>
          <w:p>
            <w:pPr>
              <w:pStyle w:val="TableText"/>
              <w:ind w:left="83"/>
              <w:spacing w:before="250" w:line="223" w:lineRule="auto"/>
              <w:rPr>
                <w:sz w:val="16"/>
                <w:szCs w:val="16"/>
              </w:rPr>
            </w:pPr>
            <w:r>
              <w:rPr>
                <w:sz w:val="16"/>
                <w:szCs w:val="16"/>
                <w:spacing w:val="-2"/>
              </w:rPr>
              <w:t>证室合</w:t>
            </w:r>
          </w:p>
        </w:tc>
        <w:tc>
          <w:tcPr>
            <w:tcW w:w="3711" w:type="dxa"/>
            <w:vAlign w:val="top"/>
          </w:tcPr>
          <w:p>
            <w:pPr>
              <w:pStyle w:val="TableText"/>
              <w:ind w:left="67"/>
              <w:spacing w:before="67" w:line="207" w:lineRule="auto"/>
              <w:rPr>
                <w:sz w:val="16"/>
                <w:szCs w:val="16"/>
              </w:rPr>
            </w:pPr>
            <w:r>
              <w:rPr>
                <w:sz w:val="16"/>
                <w:szCs w:val="16"/>
                <w:spacing w:val="2"/>
              </w:rPr>
              <w:t>1中华人民共和国证导法)</w:t>
            </w:r>
          </w:p>
          <w:p>
            <w:pPr>
              <w:pStyle w:val="TableText"/>
              <w:ind w:left="67" w:right="198"/>
              <w:spacing w:before="1" w:line="231" w:lineRule="auto"/>
              <w:rPr>
                <w:sz w:val="16"/>
                <w:szCs w:val="16"/>
              </w:rPr>
            </w:pPr>
            <w:r>
              <w:rPr>
                <w:sz w:val="16"/>
                <w:szCs w:val="16"/>
                <w:spacing w:val="-1"/>
              </w:rPr>
              <w:t>E国务能办公行关于常彻安障传订后调证穿法有类</w:t>
            </w:r>
            <w:r>
              <w:rPr>
                <w:sz w:val="16"/>
                <w:szCs w:val="16"/>
                <w:spacing w:val="16"/>
              </w:rPr>
              <w:t xml:space="preserve"> </w:t>
            </w:r>
            <w:r>
              <w:rPr>
                <w:sz w:val="16"/>
                <w:szCs w:val="16"/>
                <w:spacing w:val="1"/>
              </w:rPr>
              <w:t>工作的通如《国办发(202015号)</w:t>
            </w:r>
          </w:p>
        </w:tc>
      </w:tr>
      <w:tr>
        <w:trPr>
          <w:trHeight w:val="459" w:hRule="atLeast"/>
        </w:trPr>
        <w:tc>
          <w:tcPr>
            <w:tcW w:w="584" w:type="dxa"/>
            <w:vAlign w:val="top"/>
          </w:tcPr>
          <w:p>
            <w:pPr>
              <w:pStyle w:val="TableText"/>
              <w:ind w:left="164"/>
              <w:spacing w:before="189" w:line="184" w:lineRule="auto"/>
              <w:rPr>
                <w:sz w:val="16"/>
                <w:szCs w:val="16"/>
              </w:rPr>
            </w:pPr>
            <w:r>
              <w:rPr>
                <w:sz w:val="16"/>
                <w:szCs w:val="16"/>
                <w:spacing w:val="-3"/>
              </w:rPr>
              <w:t>712</w:t>
            </w:r>
          </w:p>
        </w:tc>
        <w:tc>
          <w:tcPr>
            <w:tcW w:w="1289" w:type="dxa"/>
            <w:vAlign w:val="top"/>
          </w:tcPr>
          <w:p>
            <w:pPr>
              <w:pStyle w:val="TableText"/>
              <w:ind w:left="390" w:right="234" w:hanging="159"/>
              <w:spacing w:before="48" w:line="231" w:lineRule="auto"/>
              <w:rPr>
                <w:sz w:val="16"/>
                <w:szCs w:val="16"/>
              </w:rPr>
            </w:pPr>
            <w:r>
              <w:rPr>
                <w:sz w:val="16"/>
                <w:szCs w:val="16"/>
                <w:spacing w:val="2"/>
              </w:rPr>
              <w:t>国家粮食和 </w:t>
            </w:r>
            <w:r>
              <w:rPr>
                <w:sz w:val="16"/>
                <w:szCs w:val="16"/>
                <w:spacing w:val="-2"/>
              </w:rPr>
              <w:t>储备局</w:t>
            </w:r>
          </w:p>
        </w:tc>
        <w:tc>
          <w:tcPr>
            <w:tcW w:w="1638" w:type="dxa"/>
            <w:vAlign w:val="top"/>
          </w:tcPr>
          <w:p>
            <w:pPr>
              <w:pStyle w:val="TableText"/>
              <w:ind w:left="72" w:right="104" w:firstLine="20"/>
              <w:spacing w:before="38" w:line="236" w:lineRule="auto"/>
              <w:rPr>
                <w:sz w:val="16"/>
                <w:szCs w:val="16"/>
              </w:rPr>
            </w:pPr>
            <w:r>
              <w:rPr>
                <w:sz w:val="16"/>
                <w:szCs w:val="16"/>
                <w:spacing w:val="-1"/>
              </w:rPr>
              <w:t>军根供虚站，幸根代</w:t>
            </w:r>
            <w:r>
              <w:rPr>
                <w:sz w:val="16"/>
                <w:szCs w:val="16"/>
              </w:rPr>
              <w:t xml:space="preserve"> </w:t>
            </w:r>
            <w:r>
              <w:rPr>
                <w:sz w:val="16"/>
                <w:szCs w:val="16"/>
                <w:spacing w:val="-1"/>
              </w:rPr>
              <w:t>供点资格化定</w:t>
            </w:r>
          </w:p>
        </w:tc>
        <w:tc>
          <w:tcPr>
            <w:tcW w:w="2377" w:type="dxa"/>
            <w:vAlign w:val="top"/>
          </w:tcPr>
          <w:p>
            <w:pPr>
              <w:pStyle w:val="TableText"/>
              <w:ind w:left="83"/>
              <w:spacing w:before="147" w:line="219" w:lineRule="auto"/>
              <w:rPr>
                <w:sz w:val="16"/>
                <w:szCs w:val="16"/>
              </w:rPr>
            </w:pPr>
            <w:r>
              <w:rPr>
                <w:sz w:val="16"/>
                <w:szCs w:val="16"/>
                <w:spacing w:val="2"/>
              </w:rPr>
              <w:t>省壤粮食和桶备部门</w:t>
            </w:r>
          </w:p>
        </w:tc>
        <w:tc>
          <w:tcPr>
            <w:tcW w:w="3711" w:type="dxa"/>
            <w:vAlign w:val="top"/>
          </w:tcPr>
          <w:p>
            <w:pPr>
              <w:pStyle w:val="TableText"/>
              <w:ind w:left="66" w:right="217" w:hanging="30"/>
              <w:spacing w:before="41" w:line="235" w:lineRule="auto"/>
              <w:rPr>
                <w:sz w:val="16"/>
                <w:szCs w:val="16"/>
              </w:rPr>
            </w:pPr>
            <w:r>
              <w:rPr>
                <w:sz w:val="16"/>
                <w:szCs w:val="16"/>
              </w:rPr>
              <w:t>|国务能对商监保能的行政审能美日设定行政许可</w:t>
            </w:r>
            <w:r>
              <w:rPr>
                <w:sz w:val="16"/>
                <w:szCs w:val="16"/>
                <w:spacing w:val="5"/>
              </w:rPr>
              <w:t xml:space="preserve"> </w:t>
            </w:r>
            <w:r>
              <w:rPr>
                <w:sz w:val="16"/>
                <w:szCs w:val="16"/>
                <w:spacing w:val="4"/>
              </w:rPr>
              <w:t>的决定1</w:t>
            </w:r>
          </w:p>
        </w:tc>
      </w:tr>
      <w:tr>
        <w:trPr>
          <w:trHeight w:val="1058" w:hRule="atLeast"/>
        </w:trPr>
        <w:tc>
          <w:tcPr>
            <w:tcW w:w="584" w:type="dxa"/>
            <w:vAlign w:val="top"/>
          </w:tcPr>
          <w:p>
            <w:pPr>
              <w:spacing w:line="435" w:lineRule="auto"/>
              <w:rPr>
                <w:rFonts w:ascii="Arial"/>
                <w:sz w:val="21"/>
              </w:rPr>
            </w:pPr>
            <w:r/>
          </w:p>
          <w:p>
            <w:pPr>
              <w:pStyle w:val="TableText"/>
              <w:ind w:left="164"/>
              <w:spacing w:before="52" w:line="184" w:lineRule="auto"/>
              <w:rPr>
                <w:sz w:val="16"/>
                <w:szCs w:val="16"/>
              </w:rPr>
            </w:pPr>
            <w:r>
              <w:rPr>
                <w:sz w:val="16"/>
                <w:szCs w:val="16"/>
                <w:spacing w:val="-3"/>
              </w:rPr>
              <w:t>714</w:t>
            </w:r>
          </w:p>
        </w:tc>
        <w:tc>
          <w:tcPr>
            <w:tcW w:w="1289" w:type="dxa"/>
            <w:vAlign w:val="top"/>
          </w:tcPr>
          <w:p>
            <w:pPr>
              <w:spacing w:line="395" w:lineRule="auto"/>
              <w:rPr>
                <w:rFonts w:ascii="Arial"/>
                <w:sz w:val="21"/>
              </w:rPr>
            </w:pPr>
            <w:r/>
          </w:p>
          <w:p>
            <w:pPr>
              <w:pStyle w:val="TableText"/>
              <w:ind w:left="231"/>
              <w:spacing w:before="52" w:line="220" w:lineRule="auto"/>
              <w:rPr>
                <w:sz w:val="16"/>
                <w:szCs w:val="16"/>
              </w:rPr>
            </w:pPr>
            <w:r>
              <w:rPr>
                <w:sz w:val="16"/>
                <w:szCs w:val="16"/>
                <w:spacing w:val="2"/>
              </w:rPr>
              <w:t>围家能醒局</w:t>
            </w:r>
          </w:p>
        </w:tc>
        <w:tc>
          <w:tcPr>
            <w:tcW w:w="1638" w:type="dxa"/>
            <w:vAlign w:val="top"/>
          </w:tcPr>
          <w:p>
            <w:pPr>
              <w:spacing w:line="395" w:lineRule="auto"/>
              <w:rPr>
                <w:rFonts w:ascii="Arial"/>
                <w:sz w:val="21"/>
              </w:rPr>
            </w:pPr>
            <w:r/>
          </w:p>
          <w:p>
            <w:pPr>
              <w:pStyle w:val="TableText"/>
              <w:ind w:left="72"/>
              <w:spacing w:before="52" w:line="219" w:lineRule="auto"/>
              <w:rPr>
                <w:sz w:val="16"/>
                <w:szCs w:val="16"/>
              </w:rPr>
            </w:pPr>
            <w:r>
              <w:rPr>
                <w:sz w:val="16"/>
                <w:szCs w:val="16"/>
                <w:spacing w:val="1"/>
              </w:rPr>
              <w:t>电力业务许可</w:t>
            </w:r>
          </w:p>
        </w:tc>
        <w:tc>
          <w:tcPr>
            <w:tcW w:w="2377" w:type="dxa"/>
            <w:vAlign w:val="top"/>
          </w:tcPr>
          <w:p>
            <w:pPr>
              <w:spacing w:line="285" w:lineRule="auto"/>
              <w:rPr>
                <w:rFonts w:ascii="Arial"/>
                <w:sz w:val="21"/>
              </w:rPr>
            </w:pPr>
            <w:r/>
          </w:p>
          <w:p>
            <w:pPr>
              <w:pStyle w:val="TableText"/>
              <w:ind w:left="83" w:right="196"/>
              <w:spacing w:before="52" w:line="225" w:lineRule="auto"/>
              <w:rPr>
                <w:sz w:val="16"/>
                <w:szCs w:val="16"/>
              </w:rPr>
            </w:pPr>
            <w:r>
              <w:rPr>
                <w:sz w:val="16"/>
                <w:szCs w:val="16"/>
              </w:rPr>
              <w:t>国家能表易器出机构会同两现</w:t>
            </w:r>
            <w:r>
              <w:rPr>
                <w:sz w:val="16"/>
                <w:szCs w:val="16"/>
                <w:spacing w:val="5"/>
              </w:rPr>
              <w:t xml:space="preserve"> </w:t>
            </w:r>
            <w:r>
              <w:rPr>
                <w:sz w:val="16"/>
                <w:szCs w:val="16"/>
                <w:spacing w:val="4"/>
              </w:rPr>
              <w:t>有关部门</w:t>
            </w:r>
          </w:p>
        </w:tc>
        <w:tc>
          <w:tcPr>
            <w:tcW w:w="3711" w:type="dxa"/>
            <w:vAlign w:val="top"/>
          </w:tcPr>
          <w:p>
            <w:pPr>
              <w:pStyle w:val="TableText"/>
              <w:spacing w:before="39" w:line="231" w:lineRule="auto"/>
              <w:rPr>
                <w:sz w:val="16"/>
                <w:szCs w:val="16"/>
              </w:rPr>
            </w:pPr>
            <w:r>
              <w:rPr>
                <w:sz w:val="16"/>
                <w:szCs w:val="16"/>
                <w:spacing w:val="-2"/>
              </w:rPr>
              <w:t>《中华人民共阳国电力法》</w:t>
            </w:r>
          </w:p>
          <w:p>
            <w:pPr>
              <w:pStyle w:val="TableText"/>
              <w:ind w:left="79"/>
              <w:spacing w:line="219" w:lineRule="auto"/>
              <w:rPr>
                <w:sz w:val="16"/>
                <w:szCs w:val="16"/>
              </w:rPr>
            </w:pPr>
            <w:r>
              <w:rPr>
                <w:sz w:val="16"/>
                <w:szCs w:val="16"/>
                <w:spacing w:val="3"/>
              </w:rPr>
              <w:t>(电力蓝登条例)</w:t>
            </w:r>
          </w:p>
          <w:p>
            <w:pPr>
              <w:pStyle w:val="TableText"/>
              <w:ind w:left="67"/>
              <w:spacing w:before="22" w:line="215" w:lineRule="auto"/>
              <w:rPr>
                <w:sz w:val="16"/>
                <w:szCs w:val="16"/>
              </w:rPr>
            </w:pPr>
            <w:r>
              <w:rPr>
                <w:sz w:val="16"/>
                <w:szCs w:val="16"/>
                <w:spacing w:val="1"/>
              </w:rPr>
              <w:t>|电力伍虚与使用条州1</w:t>
            </w:r>
          </w:p>
          <w:p>
            <w:pPr>
              <w:pStyle w:val="TableText"/>
              <w:ind w:left="67" w:right="263"/>
              <w:spacing w:before="20" w:line="219" w:lineRule="auto"/>
              <w:rPr>
                <w:sz w:val="16"/>
                <w:szCs w:val="16"/>
              </w:rPr>
            </w:pPr>
            <w:r>
              <w:rPr>
                <w:sz w:val="16"/>
                <w:szCs w:val="16"/>
              </w:rPr>
              <w:t>国务能关于取而和下放50要行故审批项目等事项</w:t>
            </w:r>
            <w:r>
              <w:rPr>
                <w:sz w:val="16"/>
                <w:szCs w:val="16"/>
                <w:spacing w:val="8"/>
              </w:rPr>
              <w:t xml:space="preserve"> </w:t>
            </w:r>
            <w:r>
              <w:rPr>
                <w:sz w:val="16"/>
                <w:szCs w:val="16"/>
                <w:spacing w:val="2"/>
              </w:rPr>
              <w:t>的决定科国发(2013227号)</w:t>
            </w:r>
          </w:p>
        </w:tc>
      </w:tr>
      <w:tr>
        <w:trPr>
          <w:trHeight w:val="849" w:hRule="atLeast"/>
        </w:trPr>
        <w:tc>
          <w:tcPr>
            <w:tcW w:w="584" w:type="dxa"/>
            <w:vAlign w:val="top"/>
          </w:tcPr>
          <w:p>
            <w:pPr>
              <w:spacing w:line="337" w:lineRule="auto"/>
              <w:rPr>
                <w:rFonts w:ascii="Arial"/>
                <w:sz w:val="21"/>
              </w:rPr>
            </w:pPr>
            <w:r/>
          </w:p>
          <w:p>
            <w:pPr>
              <w:pStyle w:val="TableText"/>
              <w:ind w:left="164"/>
              <w:spacing w:before="52" w:line="184" w:lineRule="auto"/>
              <w:rPr>
                <w:sz w:val="16"/>
                <w:szCs w:val="16"/>
              </w:rPr>
            </w:pPr>
            <w:r>
              <w:rPr>
                <w:sz w:val="16"/>
                <w:szCs w:val="16"/>
                <w:spacing w:val="-3"/>
              </w:rPr>
              <w:t>714</w:t>
            </w:r>
          </w:p>
        </w:tc>
        <w:tc>
          <w:tcPr>
            <w:tcW w:w="1289" w:type="dxa"/>
            <w:vAlign w:val="top"/>
          </w:tcPr>
          <w:p>
            <w:pPr>
              <w:spacing w:line="298" w:lineRule="auto"/>
              <w:rPr>
                <w:rFonts w:ascii="Arial"/>
                <w:sz w:val="21"/>
              </w:rPr>
            </w:pPr>
            <w:r/>
          </w:p>
          <w:p>
            <w:pPr>
              <w:pStyle w:val="TableText"/>
              <w:ind w:left="231"/>
              <w:spacing w:before="52" w:line="220" w:lineRule="auto"/>
              <w:rPr>
                <w:sz w:val="16"/>
                <w:szCs w:val="16"/>
              </w:rPr>
            </w:pPr>
            <w:r>
              <w:rPr>
                <w:sz w:val="16"/>
                <w:szCs w:val="16"/>
                <w:spacing w:val="2"/>
              </w:rPr>
              <w:t>国家能源局</w:t>
            </w:r>
          </w:p>
        </w:tc>
        <w:tc>
          <w:tcPr>
            <w:tcW w:w="1638" w:type="dxa"/>
            <w:vAlign w:val="top"/>
          </w:tcPr>
          <w:p>
            <w:pPr>
              <w:pStyle w:val="TableText"/>
              <w:ind w:left="92" w:right="89"/>
              <w:spacing w:before="69" w:line="216" w:lineRule="auto"/>
              <w:jc w:val="both"/>
              <w:rPr>
                <w:sz w:val="16"/>
                <w:szCs w:val="16"/>
              </w:rPr>
            </w:pPr>
            <w:r>
              <w:rPr>
                <w:sz w:val="16"/>
                <w:szCs w:val="16"/>
                <w:spacing w:val="-1"/>
              </w:rPr>
              <w:t>在电力没传周国或者</w:t>
            </w:r>
            <w:r>
              <w:rPr>
                <w:sz w:val="16"/>
                <w:szCs w:val="16"/>
                <w:spacing w:val="2"/>
              </w:rPr>
              <w:t xml:space="preserve"> </w:t>
            </w:r>
            <w:r>
              <w:rPr>
                <w:sz w:val="16"/>
                <w:szCs w:val="16"/>
              </w:rPr>
              <w:t>电力设髓保护区内进</w:t>
            </w:r>
            <w:r>
              <w:rPr>
                <w:sz w:val="16"/>
                <w:szCs w:val="16"/>
                <w:spacing w:val="5"/>
              </w:rPr>
              <w:t xml:space="preserve"> </w:t>
            </w:r>
            <w:r>
              <w:rPr>
                <w:sz w:val="16"/>
                <w:szCs w:val="16"/>
                <w:spacing w:val="8"/>
              </w:rPr>
              <w:t>行可能危及电力设</w:t>
            </w:r>
          </w:p>
          <w:p>
            <w:pPr>
              <w:pStyle w:val="TableText"/>
              <w:ind w:left="52"/>
              <w:spacing w:before="10" w:line="220" w:lineRule="auto"/>
              <w:rPr>
                <w:sz w:val="16"/>
                <w:szCs w:val="16"/>
              </w:rPr>
            </w:pPr>
            <w:r>
              <w:rPr>
                <w:sz w:val="16"/>
                <w:szCs w:val="16"/>
                <w:spacing w:val="-2"/>
              </w:rPr>
              <w:t>安全作业审扭</w:t>
            </w:r>
          </w:p>
        </w:tc>
        <w:tc>
          <w:tcPr>
            <w:tcW w:w="2377" w:type="dxa"/>
            <w:vAlign w:val="top"/>
          </w:tcPr>
          <w:p>
            <w:pPr>
              <w:spacing w:line="297" w:lineRule="auto"/>
              <w:rPr>
                <w:rFonts w:ascii="Arial"/>
                <w:sz w:val="21"/>
              </w:rPr>
            </w:pPr>
            <w:r/>
          </w:p>
          <w:p>
            <w:pPr>
              <w:pStyle w:val="TableText"/>
              <w:ind w:left="83"/>
              <w:spacing w:before="52" w:line="219" w:lineRule="auto"/>
              <w:rPr>
                <w:sz w:val="16"/>
                <w:szCs w:val="16"/>
              </w:rPr>
            </w:pPr>
            <w:r>
              <w:rPr>
                <w:sz w:val="16"/>
                <w:szCs w:val="16"/>
                <w:spacing w:val="1"/>
              </w:rPr>
              <w:t>没区的市级、从级电力怜理命门</w:t>
            </w:r>
          </w:p>
        </w:tc>
        <w:tc>
          <w:tcPr>
            <w:tcW w:w="3711" w:type="dxa"/>
            <w:vAlign w:val="top"/>
          </w:tcPr>
          <w:p>
            <w:pPr>
              <w:pStyle w:val="TableText"/>
              <w:ind w:left="67"/>
              <w:spacing w:before="261" w:line="219" w:lineRule="auto"/>
              <w:rPr>
                <w:sz w:val="16"/>
                <w:szCs w:val="16"/>
              </w:rPr>
            </w:pPr>
            <w:r>
              <w:rPr>
                <w:sz w:val="16"/>
                <w:szCs w:val="16"/>
                <w:spacing w:val="-1"/>
              </w:rPr>
              <w:t>1中华人民共和国重力法》</w:t>
            </w:r>
          </w:p>
          <w:p>
            <w:pPr>
              <w:pStyle w:val="TableText"/>
              <w:ind w:left="67"/>
              <w:spacing w:line="219" w:lineRule="auto"/>
              <w:rPr>
                <w:sz w:val="16"/>
                <w:szCs w:val="16"/>
              </w:rPr>
            </w:pPr>
            <w:r>
              <w:rPr>
                <w:sz w:val="16"/>
                <w:szCs w:val="16"/>
                <w:spacing w:val="1"/>
              </w:rPr>
              <w:t>1电力设吨保护条例</w:t>
            </w:r>
          </w:p>
        </w:tc>
      </w:tr>
      <w:tr>
        <w:trPr>
          <w:trHeight w:val="869" w:hRule="atLeast"/>
        </w:trPr>
        <w:tc>
          <w:tcPr>
            <w:tcW w:w="584" w:type="dxa"/>
            <w:vAlign w:val="top"/>
          </w:tcPr>
          <w:p>
            <w:pPr>
              <w:spacing w:line="348" w:lineRule="auto"/>
              <w:rPr>
                <w:rFonts w:ascii="Arial"/>
                <w:sz w:val="21"/>
              </w:rPr>
            </w:pPr>
            <w:r/>
          </w:p>
          <w:p>
            <w:pPr>
              <w:pStyle w:val="TableText"/>
              <w:ind w:left="164"/>
              <w:spacing w:before="52" w:line="184" w:lineRule="auto"/>
              <w:rPr>
                <w:sz w:val="16"/>
                <w:szCs w:val="16"/>
              </w:rPr>
            </w:pPr>
            <w:r>
              <w:rPr>
                <w:sz w:val="16"/>
                <w:szCs w:val="16"/>
                <w:spacing w:val="-3"/>
              </w:rPr>
              <w:t>715</w:t>
            </w:r>
          </w:p>
        </w:tc>
        <w:tc>
          <w:tcPr>
            <w:tcW w:w="1289" w:type="dxa"/>
            <w:vAlign w:val="top"/>
          </w:tcPr>
          <w:p>
            <w:pPr>
              <w:spacing w:line="309" w:lineRule="auto"/>
              <w:rPr>
                <w:rFonts w:ascii="Arial"/>
                <w:sz w:val="21"/>
              </w:rPr>
            </w:pPr>
            <w:r/>
          </w:p>
          <w:p>
            <w:pPr>
              <w:pStyle w:val="TableText"/>
              <w:ind w:left="231"/>
              <w:spacing w:before="52" w:line="220" w:lineRule="auto"/>
              <w:rPr>
                <w:sz w:val="16"/>
                <w:szCs w:val="16"/>
              </w:rPr>
            </w:pPr>
            <w:r>
              <w:rPr>
                <w:sz w:val="16"/>
                <w:szCs w:val="16"/>
                <w:spacing w:val="2"/>
              </w:rPr>
              <w:t>国家能源局</w:t>
            </w:r>
          </w:p>
        </w:tc>
        <w:tc>
          <w:tcPr>
            <w:tcW w:w="1638" w:type="dxa"/>
            <w:vAlign w:val="top"/>
          </w:tcPr>
          <w:p>
            <w:pPr>
              <w:pStyle w:val="TableText"/>
              <w:ind w:left="22" w:right="107" w:firstLine="70"/>
              <w:spacing w:before="251" w:line="232" w:lineRule="auto"/>
              <w:rPr>
                <w:sz w:val="16"/>
                <w:szCs w:val="16"/>
              </w:rPr>
            </w:pPr>
            <w:r>
              <w:rPr>
                <w:sz w:val="16"/>
                <w:szCs w:val="16"/>
                <w:spacing w:val="-2"/>
              </w:rPr>
              <w:t>赤毁(修，试)电力设</w:t>
            </w:r>
            <w:r>
              <w:rPr>
                <w:sz w:val="16"/>
                <w:szCs w:val="16"/>
                <w:spacing w:val="7"/>
              </w:rPr>
              <w:t xml:space="preserve"> </w:t>
            </w:r>
            <w:r>
              <w:rPr>
                <w:sz w:val="16"/>
                <w:szCs w:val="16"/>
                <w:spacing w:val="-2"/>
              </w:rPr>
              <w:t>施许可</w:t>
            </w:r>
          </w:p>
        </w:tc>
        <w:tc>
          <w:tcPr>
            <w:tcW w:w="2377" w:type="dxa"/>
            <w:vAlign w:val="top"/>
          </w:tcPr>
          <w:p>
            <w:pPr>
              <w:spacing w:line="307" w:lineRule="auto"/>
              <w:rPr>
                <w:rFonts w:ascii="Arial"/>
                <w:sz w:val="21"/>
              </w:rPr>
            </w:pPr>
            <w:r/>
          </w:p>
          <w:p>
            <w:pPr>
              <w:pStyle w:val="TableText"/>
              <w:ind w:left="83"/>
              <w:spacing w:before="52" w:line="219" w:lineRule="auto"/>
              <w:rPr>
                <w:sz w:val="16"/>
                <w:szCs w:val="16"/>
              </w:rPr>
            </w:pPr>
            <w:r>
              <w:rPr>
                <w:sz w:val="16"/>
                <w:szCs w:val="16"/>
                <w:spacing w:val="1"/>
              </w:rPr>
              <w:t>国京面重势表出机的</w:t>
            </w:r>
          </w:p>
        </w:tc>
        <w:tc>
          <w:tcPr>
            <w:tcW w:w="3711" w:type="dxa"/>
            <w:vAlign w:val="top"/>
          </w:tcPr>
          <w:p>
            <w:pPr>
              <w:pStyle w:val="TableText"/>
              <w:ind w:left="67"/>
              <w:spacing w:before="62" w:line="219" w:lineRule="auto"/>
              <w:rPr>
                <w:sz w:val="16"/>
                <w:szCs w:val="16"/>
              </w:rPr>
            </w:pPr>
            <w:r>
              <w:rPr>
                <w:sz w:val="16"/>
                <w:szCs w:val="16"/>
                <w:spacing w:val="3"/>
              </w:rPr>
              <w:t>1电力料店与使用圣例)</w:t>
            </w:r>
          </w:p>
          <w:p>
            <w:pPr>
              <w:pStyle w:val="TableText"/>
              <w:ind w:left="67"/>
              <w:spacing w:before="40" w:line="196" w:lineRule="auto"/>
              <w:rPr>
                <w:sz w:val="16"/>
                <w:szCs w:val="16"/>
              </w:rPr>
            </w:pPr>
            <w:r>
              <w:rPr>
                <w:sz w:val="16"/>
                <w:szCs w:val="16"/>
                <w:spacing w:val="-1"/>
              </w:rPr>
              <w:t>单基(律，试)电力设值许可证登理办法</w:t>
            </w:r>
          </w:p>
          <w:p>
            <w:pPr>
              <w:pStyle w:val="TableText"/>
              <w:ind w:left="67" w:right="186"/>
              <w:spacing w:before="1" w:line="228" w:lineRule="auto"/>
              <w:rPr>
                <w:sz w:val="16"/>
                <w:szCs w:val="16"/>
              </w:rPr>
            </w:pPr>
            <w:r>
              <w:rPr>
                <w:sz w:val="16"/>
                <w:szCs w:val="16"/>
              </w:rPr>
              <w:t>1国各陕关于第三武眼消和调素行皮取批项目的疫</w:t>
            </w:r>
            <w:r>
              <w:rPr>
                <w:sz w:val="16"/>
                <w:szCs w:val="16"/>
                <w:spacing w:val="6"/>
              </w:rPr>
              <w:t xml:space="preserve"> </w:t>
            </w:r>
            <w:r>
              <w:rPr>
                <w:sz w:val="16"/>
                <w:szCs w:val="16"/>
                <w:spacing w:val="2"/>
              </w:rPr>
              <w:t>定放国要[2064]16号]</w:t>
            </w:r>
          </w:p>
        </w:tc>
      </w:tr>
      <w:tr>
        <w:trPr>
          <w:trHeight w:val="449" w:hRule="atLeast"/>
        </w:trPr>
        <w:tc>
          <w:tcPr>
            <w:tcW w:w="584" w:type="dxa"/>
            <w:vAlign w:val="top"/>
          </w:tcPr>
          <w:p>
            <w:pPr>
              <w:pStyle w:val="TableText"/>
              <w:ind w:left="164"/>
              <w:spacing w:before="194" w:line="184" w:lineRule="auto"/>
              <w:rPr>
                <w:sz w:val="16"/>
                <w:szCs w:val="16"/>
              </w:rPr>
            </w:pPr>
            <w:r>
              <w:rPr>
                <w:sz w:val="16"/>
                <w:szCs w:val="16"/>
                <w:spacing w:val="-3"/>
              </w:rPr>
              <w:t>716</w:t>
            </w:r>
          </w:p>
        </w:tc>
        <w:tc>
          <w:tcPr>
            <w:tcW w:w="1289" w:type="dxa"/>
            <w:vAlign w:val="top"/>
          </w:tcPr>
          <w:p>
            <w:pPr>
              <w:pStyle w:val="TableText"/>
              <w:ind w:left="231"/>
              <w:spacing w:before="154" w:line="220" w:lineRule="auto"/>
              <w:rPr>
                <w:sz w:val="16"/>
                <w:szCs w:val="16"/>
              </w:rPr>
            </w:pPr>
            <w:r>
              <w:rPr>
                <w:sz w:val="16"/>
                <w:szCs w:val="16"/>
                <w:spacing w:val="2"/>
              </w:rPr>
              <w:t>国家能款局</w:t>
            </w:r>
          </w:p>
        </w:tc>
        <w:tc>
          <w:tcPr>
            <w:tcW w:w="1638" w:type="dxa"/>
            <w:vAlign w:val="top"/>
          </w:tcPr>
          <w:p>
            <w:pPr>
              <w:pStyle w:val="TableText"/>
              <w:ind w:left="52" w:right="103" w:firstLine="40"/>
              <w:spacing w:before="54" w:line="222" w:lineRule="auto"/>
              <w:rPr>
                <w:sz w:val="16"/>
                <w:szCs w:val="16"/>
              </w:rPr>
            </w:pPr>
            <w:r>
              <w:rPr>
                <w:sz w:val="16"/>
                <w:szCs w:val="16"/>
                <w:spacing w:val="-1"/>
              </w:rPr>
              <w:t>描电厂建设工程消防</w:t>
            </w:r>
            <w:r>
              <w:rPr>
                <w:sz w:val="16"/>
                <w:szCs w:val="16"/>
              </w:rPr>
              <w:t xml:space="preserve"> </w:t>
            </w:r>
            <w:r>
              <w:rPr>
                <w:sz w:val="16"/>
                <w:szCs w:val="16"/>
                <w:spacing w:val="-2"/>
              </w:rPr>
              <w:t>设计审批</w:t>
            </w:r>
          </w:p>
        </w:tc>
        <w:tc>
          <w:tcPr>
            <w:tcW w:w="2377" w:type="dxa"/>
            <w:vAlign w:val="top"/>
          </w:tcPr>
          <w:p>
            <w:pPr>
              <w:pStyle w:val="TableText"/>
              <w:ind w:left="83"/>
              <w:spacing w:before="154" w:line="220" w:lineRule="auto"/>
              <w:rPr>
                <w:sz w:val="16"/>
                <w:szCs w:val="16"/>
              </w:rPr>
            </w:pPr>
            <w:r>
              <w:rPr>
                <w:sz w:val="16"/>
                <w:szCs w:val="16"/>
                <w:spacing w:val="2"/>
              </w:rPr>
              <w:t>国家德源局</w:t>
            </w:r>
          </w:p>
        </w:tc>
        <w:tc>
          <w:tcPr>
            <w:tcW w:w="3711" w:type="dxa"/>
            <w:vAlign w:val="top"/>
          </w:tcPr>
          <w:p>
            <w:pPr>
              <w:pStyle w:val="TableText"/>
              <w:ind w:left="67"/>
              <w:spacing w:before="153" w:line="219" w:lineRule="auto"/>
              <w:rPr>
                <w:sz w:val="16"/>
                <w:szCs w:val="16"/>
              </w:rPr>
            </w:pPr>
            <w:r>
              <w:rPr>
                <w:sz w:val="16"/>
                <w:szCs w:val="16"/>
                <w:spacing w:val="-1"/>
              </w:rPr>
              <w:t>4中华人民共和国消防法</w:t>
            </w:r>
          </w:p>
        </w:tc>
      </w:tr>
      <w:tr>
        <w:trPr>
          <w:trHeight w:val="459" w:hRule="atLeast"/>
        </w:trPr>
        <w:tc>
          <w:tcPr>
            <w:tcW w:w="584" w:type="dxa"/>
            <w:vAlign w:val="top"/>
          </w:tcPr>
          <w:p>
            <w:pPr>
              <w:pStyle w:val="TableText"/>
              <w:ind w:left="164"/>
              <w:spacing w:before="195" w:line="184" w:lineRule="auto"/>
              <w:rPr>
                <w:sz w:val="16"/>
                <w:szCs w:val="16"/>
              </w:rPr>
            </w:pPr>
            <w:r>
              <w:rPr>
                <w:sz w:val="16"/>
                <w:szCs w:val="16"/>
                <w:spacing w:val="-3"/>
              </w:rPr>
              <w:t>717</w:t>
            </w:r>
          </w:p>
        </w:tc>
        <w:tc>
          <w:tcPr>
            <w:tcW w:w="1289" w:type="dxa"/>
            <w:vAlign w:val="top"/>
          </w:tcPr>
          <w:p>
            <w:pPr>
              <w:pStyle w:val="TableText"/>
              <w:ind w:left="231"/>
              <w:spacing w:before="155" w:line="220" w:lineRule="auto"/>
              <w:rPr>
                <w:sz w:val="16"/>
                <w:szCs w:val="16"/>
              </w:rPr>
            </w:pPr>
            <w:r>
              <w:rPr>
                <w:sz w:val="16"/>
                <w:szCs w:val="16"/>
                <w:spacing w:val="2"/>
              </w:rPr>
              <w:t>国家能南局</w:t>
            </w:r>
          </w:p>
        </w:tc>
        <w:tc>
          <w:tcPr>
            <w:tcW w:w="1638" w:type="dxa"/>
            <w:vAlign w:val="top"/>
          </w:tcPr>
          <w:p>
            <w:pPr>
              <w:pStyle w:val="TableText"/>
              <w:ind w:left="42" w:right="103" w:firstLine="50"/>
              <w:spacing w:before="55" w:line="227" w:lineRule="auto"/>
              <w:rPr>
                <w:sz w:val="16"/>
                <w:szCs w:val="16"/>
              </w:rPr>
            </w:pPr>
            <w:r>
              <w:rPr>
                <w:sz w:val="16"/>
                <w:szCs w:val="16"/>
                <w:spacing w:val="-1"/>
              </w:rPr>
              <w:t>箱电厂建设工程消防</w:t>
            </w:r>
            <w:r>
              <w:rPr>
                <w:sz w:val="16"/>
                <w:szCs w:val="16"/>
              </w:rPr>
              <w:t xml:space="preserve"> </w:t>
            </w:r>
            <w:r>
              <w:rPr>
                <w:sz w:val="16"/>
                <w:szCs w:val="16"/>
                <w:spacing w:val="-2"/>
              </w:rPr>
              <w:t>第收审批</w:t>
            </w:r>
          </w:p>
        </w:tc>
        <w:tc>
          <w:tcPr>
            <w:tcW w:w="2377" w:type="dxa"/>
            <w:vAlign w:val="top"/>
          </w:tcPr>
          <w:p>
            <w:pPr>
              <w:pStyle w:val="TableText"/>
              <w:ind w:left="83"/>
              <w:spacing w:before="155" w:line="220" w:lineRule="auto"/>
              <w:rPr>
                <w:sz w:val="16"/>
                <w:szCs w:val="16"/>
              </w:rPr>
            </w:pPr>
            <w:r>
              <w:rPr>
                <w:sz w:val="16"/>
                <w:szCs w:val="16"/>
                <w:spacing w:val="-1"/>
              </w:rPr>
              <w:t>钢家幽魏属</w:t>
            </w:r>
          </w:p>
        </w:tc>
        <w:tc>
          <w:tcPr>
            <w:tcW w:w="3711" w:type="dxa"/>
            <w:vAlign w:val="top"/>
          </w:tcPr>
          <w:p>
            <w:pPr>
              <w:pStyle w:val="TableText"/>
              <w:spacing w:before="154" w:line="219" w:lineRule="auto"/>
              <w:rPr>
                <w:sz w:val="16"/>
                <w:szCs w:val="16"/>
              </w:rPr>
            </w:pPr>
            <w:r>
              <w:rPr>
                <w:sz w:val="16"/>
                <w:szCs w:val="16"/>
                <w:spacing w:val="-2"/>
              </w:rPr>
              <w:t>《中华人民共和国清助法》</w:t>
            </w:r>
          </w:p>
        </w:tc>
      </w:tr>
      <w:tr>
        <w:trPr>
          <w:trHeight w:val="524" w:hRule="atLeast"/>
        </w:trPr>
        <w:tc>
          <w:tcPr>
            <w:tcW w:w="584" w:type="dxa"/>
            <w:vAlign w:val="top"/>
          </w:tcPr>
          <w:p>
            <w:pPr>
              <w:pStyle w:val="TableText"/>
              <w:ind w:left="164"/>
              <w:spacing w:before="225" w:line="184" w:lineRule="auto"/>
              <w:rPr>
                <w:sz w:val="16"/>
                <w:szCs w:val="16"/>
              </w:rPr>
            </w:pPr>
            <w:r>
              <w:rPr>
                <w:sz w:val="16"/>
                <w:szCs w:val="16"/>
                <w:spacing w:val="-3"/>
              </w:rPr>
              <w:t>718</w:t>
            </w:r>
          </w:p>
        </w:tc>
        <w:tc>
          <w:tcPr>
            <w:tcW w:w="1289" w:type="dxa"/>
            <w:vAlign w:val="top"/>
          </w:tcPr>
          <w:p>
            <w:pPr>
              <w:pStyle w:val="TableText"/>
              <w:ind w:left="231"/>
              <w:spacing w:before="185" w:line="219" w:lineRule="auto"/>
              <w:rPr>
                <w:sz w:val="16"/>
                <w:szCs w:val="16"/>
              </w:rPr>
            </w:pPr>
            <w:r>
              <w:rPr>
                <w:sz w:val="16"/>
                <w:szCs w:val="16"/>
                <w:spacing w:val="2"/>
              </w:rPr>
              <w:t>障家能毒局</w:t>
            </w:r>
          </w:p>
        </w:tc>
        <w:tc>
          <w:tcPr>
            <w:tcW w:w="1638" w:type="dxa"/>
            <w:vAlign w:val="top"/>
          </w:tcPr>
          <w:p>
            <w:pPr>
              <w:pStyle w:val="TableText"/>
              <w:ind w:left="62" w:right="102" w:firstLine="30"/>
              <w:spacing w:before="105" w:line="231" w:lineRule="auto"/>
              <w:rPr>
                <w:sz w:val="16"/>
                <w:szCs w:val="16"/>
              </w:rPr>
            </w:pPr>
            <w:r>
              <w:rPr>
                <w:sz w:val="16"/>
                <w:szCs w:val="16"/>
                <w:spacing w:val="-1"/>
              </w:rPr>
              <w:t>精电厂反应堆幽似人</w:t>
            </w:r>
            <w:r>
              <w:rPr>
                <w:sz w:val="16"/>
                <w:szCs w:val="16"/>
                <w:spacing w:val="1"/>
              </w:rPr>
              <w:t xml:space="preserve"> </w:t>
            </w:r>
            <w:r>
              <w:rPr>
                <w:sz w:val="16"/>
                <w:szCs w:val="16"/>
                <w:spacing w:val="-2"/>
              </w:rPr>
              <w:t>情资格认定</w:t>
            </w:r>
          </w:p>
        </w:tc>
        <w:tc>
          <w:tcPr>
            <w:tcW w:w="2377" w:type="dxa"/>
            <w:vAlign w:val="top"/>
          </w:tcPr>
          <w:p>
            <w:pPr>
              <w:pStyle w:val="TableText"/>
              <w:ind w:left="83"/>
              <w:spacing w:before="185" w:line="219" w:lineRule="auto"/>
              <w:rPr>
                <w:sz w:val="16"/>
                <w:szCs w:val="16"/>
              </w:rPr>
            </w:pPr>
            <w:r>
              <w:rPr>
                <w:sz w:val="16"/>
                <w:szCs w:val="16"/>
                <w:spacing w:val="3"/>
              </w:rPr>
              <w:t>国家凭源周</w:t>
            </w:r>
          </w:p>
        </w:tc>
        <w:tc>
          <w:tcPr>
            <w:tcW w:w="3711" w:type="dxa"/>
            <w:vAlign w:val="top"/>
          </w:tcPr>
          <w:p>
            <w:pPr>
              <w:pStyle w:val="TableText"/>
              <w:ind w:left="67"/>
              <w:spacing w:before="75" w:line="219" w:lineRule="auto"/>
              <w:rPr>
                <w:sz w:val="16"/>
                <w:szCs w:val="16"/>
              </w:rPr>
            </w:pPr>
            <w:r>
              <w:rPr>
                <w:sz w:val="16"/>
                <w:szCs w:val="16"/>
                <w:spacing w:val="6"/>
              </w:rPr>
              <w:t>(中华人民共和国能安全法】</w:t>
            </w:r>
          </w:p>
          <w:p>
            <w:pPr>
              <w:pStyle w:val="TableText"/>
              <w:ind w:left="67"/>
              <w:spacing w:before="39" w:line="219" w:lineRule="auto"/>
              <w:rPr>
                <w:sz w:val="16"/>
                <w:szCs w:val="16"/>
              </w:rPr>
            </w:pPr>
            <w:r>
              <w:rPr>
                <w:sz w:val="16"/>
                <w:szCs w:val="16"/>
              </w:rPr>
              <w:t>1中单人民共和国民用机设旅安全监置管理备例</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898880"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314" name="TextBox 314"/>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6" style="position:absolute;margin-left:37.0402pt;margin-top:49.1374pt;mso-position-vertical-relative:page;mso-position-horizontal-relative:page;width:13.6pt;height:12.35pt;z-index:25189888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238</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34" w:hRule="atLeast"/>
        </w:trPr>
        <w:tc>
          <w:tcPr>
            <w:tcW w:w="584" w:type="dxa"/>
            <w:vAlign w:val="top"/>
          </w:tcPr>
          <w:p>
            <w:pPr>
              <w:pStyle w:val="TableText"/>
              <w:ind w:left="124"/>
              <w:spacing w:before="142" w:line="221" w:lineRule="auto"/>
              <w:rPr>
                <w:sz w:val="16"/>
                <w:szCs w:val="16"/>
              </w:rPr>
            </w:pPr>
            <w:r>
              <w:rPr>
                <w:sz w:val="16"/>
                <w:szCs w:val="16"/>
                <w:spacing w:val="-2"/>
              </w:rPr>
              <w:t>序号</w:t>
            </w:r>
          </w:p>
        </w:tc>
        <w:tc>
          <w:tcPr>
            <w:tcW w:w="1289" w:type="dxa"/>
            <w:vAlign w:val="top"/>
          </w:tcPr>
          <w:p>
            <w:pPr>
              <w:pStyle w:val="TableText"/>
              <w:ind w:left="110"/>
              <w:spacing w:before="141" w:line="219" w:lineRule="auto"/>
              <w:rPr>
                <w:sz w:val="16"/>
                <w:szCs w:val="16"/>
              </w:rPr>
            </w:pPr>
            <w:r>
              <w:rPr>
                <w:sz w:val="16"/>
                <w:szCs w:val="16"/>
                <w:spacing w:val="2"/>
              </w:rPr>
              <w:t>中夹主管四(门</w:t>
            </w:r>
          </w:p>
        </w:tc>
        <w:tc>
          <w:tcPr>
            <w:tcW w:w="1648" w:type="dxa"/>
            <w:vAlign w:val="top"/>
          </w:tcPr>
          <w:p>
            <w:pPr>
              <w:pStyle w:val="TableText"/>
              <w:ind w:left="461"/>
              <w:spacing w:before="142" w:line="220" w:lineRule="auto"/>
              <w:rPr>
                <w:sz w:val="16"/>
                <w:szCs w:val="16"/>
              </w:rPr>
            </w:pPr>
            <w:r>
              <w:rPr>
                <w:sz w:val="16"/>
                <w:szCs w:val="16"/>
                <w:spacing w:val="-2"/>
              </w:rPr>
              <w:t>事填名称</w:t>
            </w:r>
          </w:p>
        </w:tc>
        <w:tc>
          <w:tcPr>
            <w:tcW w:w="2367" w:type="dxa"/>
            <w:vAlign w:val="top"/>
          </w:tcPr>
          <w:p>
            <w:pPr>
              <w:pStyle w:val="TableText"/>
              <w:ind w:left="844"/>
              <w:spacing w:before="140" w:line="219" w:lineRule="auto"/>
              <w:rPr>
                <w:sz w:val="16"/>
                <w:szCs w:val="16"/>
              </w:rPr>
            </w:pPr>
            <w:r>
              <w:rPr>
                <w:sz w:val="16"/>
                <w:szCs w:val="16"/>
                <w:spacing w:val="-2"/>
              </w:rPr>
              <w:t>高牌机关</w:t>
            </w:r>
          </w:p>
        </w:tc>
        <w:tc>
          <w:tcPr>
            <w:tcW w:w="3711" w:type="dxa"/>
            <w:vAlign w:val="top"/>
          </w:tcPr>
          <w:p>
            <w:pPr>
              <w:pStyle w:val="TableText"/>
              <w:ind w:left="1309"/>
              <w:spacing w:before="138" w:line="219" w:lineRule="auto"/>
              <w:rPr>
                <w:sz w:val="16"/>
                <w:szCs w:val="16"/>
              </w:rPr>
            </w:pPr>
            <w:r>
              <w:rPr>
                <w:sz w:val="16"/>
                <w:szCs w:val="16"/>
                <w:b/>
                <w:bCs/>
                <w:spacing w:val="-3"/>
              </w:rPr>
              <w:t>设定和实葱依器</w:t>
            </w:r>
          </w:p>
        </w:tc>
      </w:tr>
      <w:tr>
        <w:trPr>
          <w:trHeight w:val="449" w:hRule="atLeast"/>
        </w:trPr>
        <w:tc>
          <w:tcPr>
            <w:tcW w:w="584" w:type="dxa"/>
            <w:vAlign w:val="top"/>
          </w:tcPr>
          <w:p>
            <w:pPr>
              <w:pStyle w:val="TableText"/>
              <w:ind w:left="164"/>
              <w:spacing w:before="187" w:line="184" w:lineRule="auto"/>
              <w:rPr>
                <w:sz w:val="16"/>
                <w:szCs w:val="16"/>
              </w:rPr>
            </w:pPr>
            <w:r>
              <w:rPr>
                <w:sz w:val="16"/>
                <w:szCs w:val="16"/>
                <w:spacing w:val="-3"/>
              </w:rPr>
              <w:t>719</w:t>
            </w:r>
          </w:p>
        </w:tc>
        <w:tc>
          <w:tcPr>
            <w:tcW w:w="1289" w:type="dxa"/>
            <w:vAlign w:val="top"/>
          </w:tcPr>
          <w:p>
            <w:pPr>
              <w:pStyle w:val="TableText"/>
              <w:ind w:left="231"/>
              <w:spacing w:before="147" w:line="219" w:lineRule="auto"/>
              <w:rPr>
                <w:sz w:val="16"/>
                <w:szCs w:val="16"/>
              </w:rPr>
            </w:pPr>
            <w:r>
              <w:rPr>
                <w:sz w:val="16"/>
                <w:szCs w:val="16"/>
                <w:spacing w:val="-2"/>
              </w:rPr>
              <w:t>再氯佩部星</w:t>
            </w:r>
          </w:p>
        </w:tc>
        <w:tc>
          <w:tcPr>
            <w:tcW w:w="1648" w:type="dxa"/>
            <w:vAlign w:val="top"/>
          </w:tcPr>
          <w:p>
            <w:pPr>
              <w:pStyle w:val="TableText"/>
              <w:ind w:left="52" w:right="152"/>
              <w:spacing w:before="57" w:line="207" w:lineRule="auto"/>
              <w:rPr>
                <w:sz w:val="16"/>
                <w:szCs w:val="16"/>
              </w:rPr>
            </w:pPr>
            <w:r>
              <w:rPr>
                <w:sz w:val="16"/>
                <w:szCs w:val="16"/>
                <w:spacing w:val="-1"/>
              </w:rPr>
              <w:t>埋护建设码日设计立</w:t>
            </w:r>
            <w:r>
              <w:rPr>
                <w:sz w:val="16"/>
                <w:szCs w:val="16"/>
                <w:spacing w:val="1"/>
              </w:rPr>
              <w:t xml:space="preserve"> </w:t>
            </w:r>
            <w:r>
              <w:rPr>
                <w:sz w:val="16"/>
                <w:szCs w:val="16"/>
                <w:spacing w:val="-2"/>
              </w:rPr>
              <w:t>科市散</w:t>
            </w:r>
          </w:p>
        </w:tc>
        <w:tc>
          <w:tcPr>
            <w:tcW w:w="2367" w:type="dxa"/>
            <w:vAlign w:val="top"/>
          </w:tcPr>
          <w:p>
            <w:pPr>
              <w:pStyle w:val="TableText"/>
              <w:ind w:left="54"/>
              <w:spacing w:before="146" w:line="219" w:lineRule="auto"/>
              <w:rPr>
                <w:sz w:val="16"/>
                <w:szCs w:val="16"/>
              </w:rPr>
            </w:pPr>
            <w:r>
              <w:rPr>
                <w:sz w:val="16"/>
                <w:szCs w:val="16"/>
                <w:spacing w:val="1"/>
              </w:rPr>
              <w:t>首翅，设区的催极煌流登理都门</w:t>
            </w:r>
          </w:p>
        </w:tc>
        <w:tc>
          <w:tcPr>
            <w:tcW w:w="3711" w:type="dxa"/>
            <w:vAlign w:val="top"/>
          </w:tcPr>
          <w:p>
            <w:pPr>
              <w:pStyle w:val="TableText"/>
              <w:ind w:left="46"/>
              <w:spacing w:before="37" w:line="219" w:lineRule="auto"/>
              <w:rPr>
                <w:sz w:val="16"/>
                <w:szCs w:val="16"/>
              </w:rPr>
            </w:pPr>
            <w:r>
              <w:rPr>
                <w:sz w:val="16"/>
                <w:szCs w:val="16"/>
                <w:spacing w:val="-1"/>
              </w:rPr>
              <w:t>1中作人民共和源矿山安全法》</w:t>
            </w:r>
          </w:p>
          <w:p>
            <w:pPr>
              <w:pStyle w:val="TableText"/>
              <w:ind w:left="46"/>
              <w:spacing w:before="10" w:line="219" w:lineRule="auto"/>
              <w:rPr>
                <w:sz w:val="16"/>
                <w:szCs w:val="16"/>
              </w:rPr>
            </w:pPr>
            <w:r>
              <w:rPr>
                <w:sz w:val="16"/>
                <w:szCs w:val="16"/>
                <w:spacing w:val="-1"/>
              </w:rPr>
              <w:t>4中华人民共和国矿产资蔬法实选增院》</w:t>
            </w:r>
          </w:p>
        </w:tc>
      </w:tr>
      <w:tr>
        <w:trPr>
          <w:trHeight w:val="649" w:hRule="atLeast"/>
        </w:trPr>
        <w:tc>
          <w:tcPr>
            <w:tcW w:w="584" w:type="dxa"/>
            <w:vAlign w:val="top"/>
          </w:tcPr>
          <w:p>
            <w:pPr>
              <w:pStyle w:val="TableText"/>
              <w:ind w:left="164"/>
              <w:spacing w:before="289" w:line="183" w:lineRule="auto"/>
              <w:rPr>
                <w:sz w:val="16"/>
                <w:szCs w:val="16"/>
              </w:rPr>
            </w:pPr>
            <w:r>
              <w:rPr>
                <w:sz w:val="16"/>
                <w:szCs w:val="16"/>
                <w:spacing w:val="-3"/>
              </w:rPr>
              <w:t>720</w:t>
            </w:r>
          </w:p>
        </w:tc>
        <w:tc>
          <w:tcPr>
            <w:tcW w:w="1289" w:type="dxa"/>
            <w:vAlign w:val="top"/>
          </w:tcPr>
          <w:p>
            <w:pPr>
              <w:pStyle w:val="TableText"/>
              <w:ind w:left="231"/>
              <w:spacing w:before="248" w:line="219" w:lineRule="auto"/>
              <w:rPr>
                <w:sz w:val="16"/>
                <w:szCs w:val="16"/>
              </w:rPr>
            </w:pPr>
            <w:r>
              <w:rPr>
                <w:sz w:val="16"/>
                <w:szCs w:val="16"/>
                <w:spacing w:val="-1"/>
              </w:rPr>
              <w:t>挥家据要局</w:t>
            </w:r>
          </w:p>
        </w:tc>
        <w:tc>
          <w:tcPr>
            <w:tcW w:w="1648" w:type="dxa"/>
            <w:vAlign w:val="top"/>
          </w:tcPr>
          <w:p>
            <w:pPr>
              <w:pStyle w:val="TableText"/>
              <w:ind w:left="52" w:right="133" w:firstLine="20"/>
              <w:spacing w:before="37" w:line="231" w:lineRule="auto"/>
              <w:jc w:val="both"/>
              <w:rPr>
                <w:sz w:val="16"/>
                <w:szCs w:val="16"/>
              </w:rPr>
            </w:pPr>
            <w:r>
              <w:rPr>
                <w:sz w:val="16"/>
                <w:szCs w:val="16"/>
                <w:spacing w:val="-1"/>
              </w:rPr>
              <w:t>属家屋点建设文国成</w:t>
            </w:r>
            <w:r>
              <w:rPr>
                <w:sz w:val="16"/>
                <w:szCs w:val="16"/>
              </w:rPr>
              <w:t xml:space="preserve"> </w:t>
            </w:r>
            <w:r>
              <w:rPr>
                <w:sz w:val="16"/>
                <w:szCs w:val="16"/>
                <w:spacing w:val="-1"/>
              </w:rPr>
              <w:t>病准本地站项尔致工</w:t>
            </w:r>
            <w:r>
              <w:rPr>
                <w:sz w:val="16"/>
                <w:szCs w:val="16"/>
                <w:spacing w:val="2"/>
              </w:rPr>
              <w:t xml:space="preserve"> </w:t>
            </w:r>
            <w:r>
              <w:rPr>
                <w:sz w:val="16"/>
                <w:szCs w:val="16"/>
                <w:spacing w:val="-2"/>
              </w:rPr>
              <w:t>验收</w:t>
            </w:r>
          </w:p>
        </w:tc>
        <w:tc>
          <w:tcPr>
            <w:tcW w:w="2367" w:type="dxa"/>
            <w:vAlign w:val="top"/>
          </w:tcPr>
          <w:p>
            <w:pPr>
              <w:pStyle w:val="TableText"/>
              <w:ind w:left="54"/>
              <w:spacing w:before="248" w:line="219" w:lineRule="auto"/>
              <w:rPr>
                <w:sz w:val="16"/>
                <w:szCs w:val="16"/>
              </w:rPr>
            </w:pPr>
            <w:r>
              <w:rPr>
                <w:sz w:val="16"/>
                <w:szCs w:val="16"/>
                <w:spacing w:val="2"/>
              </w:rPr>
              <w:t>省级据要部门</w:t>
            </w:r>
          </w:p>
        </w:tc>
        <w:tc>
          <w:tcPr>
            <w:tcW w:w="3711" w:type="dxa"/>
            <w:vAlign w:val="top"/>
          </w:tcPr>
          <w:p>
            <w:pPr>
              <w:pStyle w:val="TableText"/>
              <w:ind w:left="46"/>
              <w:spacing w:before="28" w:line="219" w:lineRule="auto"/>
              <w:rPr>
                <w:sz w:val="16"/>
                <w:szCs w:val="16"/>
              </w:rPr>
            </w:pPr>
            <w:r>
              <w:rPr>
                <w:sz w:val="16"/>
                <w:szCs w:val="16"/>
                <w:spacing w:val="1"/>
              </w:rPr>
              <w:t>(求序大圳安余管理条创</w:t>
            </w:r>
          </w:p>
          <w:p>
            <w:pPr>
              <w:pStyle w:val="TableText"/>
              <w:ind w:left="46" w:right="278" w:firstLine="10"/>
              <w:spacing w:before="20" w:line="231" w:lineRule="auto"/>
              <w:rPr>
                <w:sz w:val="16"/>
                <w:szCs w:val="16"/>
              </w:rPr>
            </w:pPr>
            <w:r>
              <w:rPr>
                <w:sz w:val="16"/>
                <w:szCs w:val="16"/>
              </w:rPr>
              <w:t>国务院关于家得和调型一批行改审批项目零事理</w:t>
            </w:r>
            <w:r>
              <w:rPr>
                <w:sz w:val="16"/>
                <w:szCs w:val="16"/>
                <w:spacing w:val="4"/>
              </w:rPr>
              <w:t xml:space="preserve"> </w:t>
            </w:r>
            <w:r>
              <w:rPr>
                <w:sz w:val="16"/>
                <w:szCs w:val="16"/>
                <w:spacing w:val="2"/>
              </w:rPr>
              <w:t>的决定《国发[3014]50号)</w:t>
            </w:r>
          </w:p>
        </w:tc>
      </w:tr>
      <w:tr>
        <w:trPr>
          <w:trHeight w:val="439" w:hRule="atLeast"/>
        </w:trPr>
        <w:tc>
          <w:tcPr>
            <w:tcW w:w="584" w:type="dxa"/>
            <w:vAlign w:val="top"/>
          </w:tcPr>
          <w:p>
            <w:pPr>
              <w:pStyle w:val="TableText"/>
              <w:ind w:left="164"/>
              <w:spacing w:before="179" w:line="184" w:lineRule="auto"/>
              <w:rPr>
                <w:sz w:val="16"/>
                <w:szCs w:val="16"/>
              </w:rPr>
            </w:pPr>
            <w:r>
              <w:rPr>
                <w:sz w:val="16"/>
                <w:szCs w:val="16"/>
                <w:spacing w:val="-3"/>
              </w:rPr>
              <w:t>721</w:t>
            </w:r>
          </w:p>
        </w:tc>
        <w:tc>
          <w:tcPr>
            <w:tcW w:w="1289" w:type="dxa"/>
            <w:vAlign w:val="top"/>
          </w:tcPr>
          <w:p>
            <w:pPr>
              <w:pStyle w:val="TableText"/>
              <w:ind w:left="231"/>
              <w:spacing w:before="140" w:line="221" w:lineRule="auto"/>
              <w:rPr>
                <w:sz w:val="16"/>
                <w:szCs w:val="16"/>
              </w:rPr>
            </w:pPr>
            <w:r>
              <w:rPr>
                <w:sz w:val="16"/>
                <w:szCs w:val="16"/>
                <w:spacing w:val="2"/>
              </w:rPr>
              <w:t>国重世源局</w:t>
            </w:r>
          </w:p>
        </w:tc>
        <w:tc>
          <w:tcPr>
            <w:tcW w:w="1648" w:type="dxa"/>
            <w:vAlign w:val="top"/>
          </w:tcPr>
          <w:p>
            <w:pPr>
              <w:pStyle w:val="TableText"/>
              <w:ind w:left="52"/>
              <w:spacing w:before="140" w:line="220" w:lineRule="auto"/>
              <w:rPr>
                <w:sz w:val="16"/>
                <w:szCs w:val="16"/>
              </w:rPr>
            </w:pPr>
            <w:r>
              <w:rPr>
                <w:sz w:val="16"/>
                <w:szCs w:val="16"/>
                <w:spacing w:val="-2"/>
              </w:rPr>
              <w:t>小电站大圳安全法研</w:t>
            </w:r>
          </w:p>
        </w:tc>
        <w:tc>
          <w:tcPr>
            <w:tcW w:w="2367" w:type="dxa"/>
            <w:vAlign w:val="top"/>
          </w:tcPr>
          <w:p>
            <w:pPr>
              <w:pStyle w:val="TableText"/>
              <w:ind w:left="54"/>
              <w:spacing w:before="140" w:line="220" w:lineRule="auto"/>
              <w:rPr>
                <w:sz w:val="16"/>
                <w:szCs w:val="16"/>
              </w:rPr>
            </w:pPr>
            <w:r>
              <w:rPr>
                <w:sz w:val="16"/>
                <w:szCs w:val="16"/>
                <w:spacing w:val="-2"/>
              </w:rPr>
              <w:t>面家细查具</w:t>
            </w:r>
          </w:p>
        </w:tc>
        <w:tc>
          <w:tcPr>
            <w:tcW w:w="3711" w:type="dxa"/>
            <w:vAlign w:val="top"/>
          </w:tcPr>
          <w:p>
            <w:pPr>
              <w:pStyle w:val="TableText"/>
              <w:ind w:left="46"/>
              <w:spacing w:before="39" w:line="219" w:lineRule="auto"/>
              <w:rPr>
                <w:sz w:val="16"/>
                <w:szCs w:val="16"/>
              </w:rPr>
            </w:pPr>
            <w:r>
              <w:rPr>
                <w:sz w:val="16"/>
                <w:szCs w:val="16"/>
                <w:spacing w:val="6"/>
              </w:rPr>
              <w:t>1水南大组竖全管理条刚；</w:t>
            </w:r>
          </w:p>
          <w:p>
            <w:pPr>
              <w:pStyle w:val="TableText"/>
              <w:ind w:left="46"/>
              <w:spacing w:before="9" w:line="219" w:lineRule="auto"/>
              <w:rPr>
                <w:sz w:val="16"/>
                <w:szCs w:val="16"/>
              </w:rPr>
            </w:pPr>
            <w:r>
              <w:rPr>
                <w:sz w:val="16"/>
                <w:szCs w:val="16"/>
              </w:rPr>
              <w:t>1水电站大蜈运行发全常咨管理规交3</w:t>
            </w:r>
          </w:p>
        </w:tc>
      </w:tr>
      <w:tr>
        <w:trPr>
          <w:trHeight w:val="669" w:hRule="atLeast"/>
        </w:trPr>
        <w:tc>
          <w:tcPr>
            <w:tcW w:w="584" w:type="dxa"/>
            <w:vAlign w:val="top"/>
          </w:tcPr>
          <w:p>
            <w:pPr>
              <w:spacing w:line="248" w:lineRule="auto"/>
              <w:rPr>
                <w:rFonts w:ascii="Arial"/>
                <w:sz w:val="21"/>
              </w:rPr>
            </w:pPr>
            <w:r/>
          </w:p>
          <w:p>
            <w:pPr>
              <w:pStyle w:val="TableText"/>
              <w:ind w:left="164"/>
              <w:spacing w:before="52" w:line="183" w:lineRule="auto"/>
              <w:rPr>
                <w:sz w:val="16"/>
                <w:szCs w:val="16"/>
              </w:rPr>
            </w:pPr>
            <w:r>
              <w:rPr>
                <w:sz w:val="16"/>
                <w:szCs w:val="16"/>
                <w:spacing w:val="-3"/>
              </w:rPr>
              <w:t>722</w:t>
            </w:r>
          </w:p>
        </w:tc>
        <w:tc>
          <w:tcPr>
            <w:tcW w:w="1289" w:type="dxa"/>
            <w:vAlign w:val="top"/>
          </w:tcPr>
          <w:p>
            <w:pPr>
              <w:pStyle w:val="TableText"/>
              <w:ind w:left="231"/>
              <w:spacing w:before="260" w:line="219" w:lineRule="auto"/>
              <w:rPr>
                <w:sz w:val="16"/>
                <w:szCs w:val="16"/>
              </w:rPr>
            </w:pPr>
            <w:r>
              <w:rPr>
                <w:sz w:val="16"/>
                <w:szCs w:val="16"/>
                <w:spacing w:val="1"/>
              </w:rPr>
              <w:t>国发德厚励</w:t>
            </w:r>
          </w:p>
        </w:tc>
        <w:tc>
          <w:tcPr>
            <w:tcW w:w="1648" w:type="dxa"/>
            <w:vAlign w:val="top"/>
          </w:tcPr>
          <w:p>
            <w:pPr>
              <w:pStyle w:val="TableText"/>
              <w:ind w:left="52" w:right="129" w:firstLine="10"/>
              <w:spacing w:before="159" w:line="232" w:lineRule="auto"/>
              <w:rPr>
                <w:sz w:val="16"/>
                <w:szCs w:val="16"/>
              </w:rPr>
            </w:pPr>
            <w:r>
              <w:rPr>
                <w:sz w:val="16"/>
                <w:szCs w:val="16"/>
              </w:rPr>
              <w:t>固应街产投资要材机</w:t>
            </w:r>
            <w:r>
              <w:rPr>
                <w:sz w:val="16"/>
                <w:szCs w:val="16"/>
                <w:spacing w:val="5"/>
              </w:rPr>
              <w:t xml:space="preserve"> </w:t>
            </w:r>
            <w:r>
              <w:rPr>
                <w:sz w:val="16"/>
                <w:szCs w:val="16"/>
              </w:rPr>
              <w:t>庸</w:t>
            </w:r>
          </w:p>
        </w:tc>
        <w:tc>
          <w:tcPr>
            <w:tcW w:w="2367" w:type="dxa"/>
            <w:vAlign w:val="top"/>
          </w:tcPr>
          <w:p>
            <w:pPr>
              <w:pStyle w:val="TableText"/>
              <w:ind w:left="54" w:right="43" w:firstLine="10"/>
              <w:spacing w:before="150" w:line="235" w:lineRule="auto"/>
              <w:rPr>
                <w:sz w:val="16"/>
                <w:szCs w:val="16"/>
              </w:rPr>
            </w:pPr>
            <w:r>
              <w:rPr>
                <w:sz w:val="16"/>
                <w:szCs w:val="16"/>
              </w:rPr>
              <w:t>四家南流荷，省级，设区的电级</w:t>
            </w:r>
            <w:r>
              <w:rPr>
                <w:sz w:val="16"/>
                <w:szCs w:val="16"/>
                <w:spacing w:val="8"/>
              </w:rPr>
              <w:t xml:space="preserve"> </w:t>
            </w:r>
            <w:r>
              <w:rPr>
                <w:sz w:val="16"/>
                <w:szCs w:val="16"/>
                <w:spacing w:val="2"/>
              </w:rPr>
              <w:t>基级政价(由其肃定部门市办)</w:t>
            </w:r>
          </w:p>
        </w:tc>
        <w:tc>
          <w:tcPr>
            <w:tcW w:w="3711" w:type="dxa"/>
            <w:vAlign w:val="top"/>
          </w:tcPr>
          <w:p>
            <w:pPr>
              <w:pStyle w:val="TableText"/>
              <w:ind w:left="46"/>
              <w:spacing w:before="79" w:line="218" w:lineRule="auto"/>
              <w:rPr>
                <w:sz w:val="16"/>
                <w:szCs w:val="16"/>
              </w:rPr>
            </w:pPr>
            <w:r>
              <w:rPr>
                <w:sz w:val="16"/>
                <w:szCs w:val="16"/>
                <w:spacing w:val="2"/>
              </w:rPr>
              <w:t>1金要投告球日核准初备畜管理条例)</w:t>
            </w:r>
          </w:p>
          <w:p>
            <w:pPr>
              <w:pStyle w:val="TableText"/>
              <w:ind w:left="46" w:right="126" w:firstLine="80"/>
              <w:spacing w:line="225" w:lineRule="auto"/>
              <w:rPr>
                <w:sz w:val="16"/>
                <w:szCs w:val="16"/>
              </w:rPr>
            </w:pPr>
            <w:r>
              <w:rPr>
                <w:sz w:val="16"/>
                <w:szCs w:val="16"/>
              </w:rPr>
              <w:t>网务院关于发布收府机准的投资项目具录12016年</w:t>
            </w:r>
            <w:r>
              <w:rPr>
                <w:sz w:val="16"/>
                <w:szCs w:val="16"/>
                <w:spacing w:val="6"/>
              </w:rPr>
              <w:t xml:space="preserve"> </w:t>
            </w:r>
            <w:r>
              <w:rPr>
                <w:sz w:val="16"/>
                <w:szCs w:val="16"/>
              </w:rPr>
              <w:t>本)的通如》国发(2016272号1</w:t>
            </w:r>
          </w:p>
        </w:tc>
      </w:tr>
      <w:tr>
        <w:trPr>
          <w:trHeight w:val="629" w:hRule="atLeast"/>
        </w:trPr>
        <w:tc>
          <w:tcPr>
            <w:tcW w:w="584" w:type="dxa"/>
            <w:vAlign w:val="top"/>
          </w:tcPr>
          <w:p>
            <w:pPr>
              <w:pStyle w:val="TableText"/>
              <w:ind w:left="164"/>
              <w:spacing w:before="282" w:line="183" w:lineRule="auto"/>
              <w:rPr>
                <w:sz w:val="16"/>
                <w:szCs w:val="16"/>
              </w:rPr>
            </w:pPr>
            <w:r>
              <w:rPr>
                <w:sz w:val="16"/>
                <w:szCs w:val="16"/>
                <w:spacing w:val="-3"/>
              </w:rPr>
              <w:t>723</w:t>
            </w:r>
          </w:p>
        </w:tc>
        <w:tc>
          <w:tcPr>
            <w:tcW w:w="1289" w:type="dxa"/>
            <w:vAlign w:val="top"/>
          </w:tcPr>
          <w:p>
            <w:pPr>
              <w:pStyle w:val="TableText"/>
              <w:ind w:left="231"/>
              <w:spacing w:before="242" w:line="220" w:lineRule="auto"/>
              <w:rPr>
                <w:sz w:val="16"/>
                <w:szCs w:val="16"/>
              </w:rPr>
            </w:pPr>
            <w:r>
              <w:rPr>
                <w:sz w:val="16"/>
                <w:szCs w:val="16"/>
                <w:spacing w:val="2"/>
              </w:rPr>
              <w:t>通家他源局</w:t>
            </w:r>
          </w:p>
        </w:tc>
        <w:tc>
          <w:tcPr>
            <w:tcW w:w="1648" w:type="dxa"/>
            <w:vAlign w:val="top"/>
          </w:tcPr>
          <w:p>
            <w:pPr>
              <w:pStyle w:val="TableText"/>
              <w:ind w:left="42" w:right="161"/>
              <w:spacing w:before="31" w:line="226" w:lineRule="auto"/>
              <w:jc w:val="both"/>
              <w:rPr>
                <w:sz w:val="16"/>
                <w:szCs w:val="16"/>
              </w:rPr>
            </w:pPr>
            <w:r>
              <w:rPr>
                <w:sz w:val="16"/>
                <w:szCs w:val="16"/>
                <w:spacing w:val="-1"/>
              </w:rPr>
              <w:t>赵建不化源已世对保</w:t>
            </w:r>
            <w:r>
              <w:rPr>
                <w:sz w:val="16"/>
                <w:szCs w:val="16"/>
                <w:spacing w:val="2"/>
              </w:rPr>
              <w:t xml:space="preserve"> </w:t>
            </w:r>
            <w:r>
              <w:rPr>
                <w:sz w:val="16"/>
                <w:szCs w:val="16"/>
                <w:spacing w:val="-1"/>
              </w:rPr>
              <w:t>护要字的石幽天然气</w:t>
            </w:r>
            <w:r>
              <w:rPr>
                <w:sz w:val="16"/>
                <w:szCs w:val="16"/>
                <w:spacing w:val="1"/>
              </w:rPr>
              <w:t xml:space="preserve"> </w:t>
            </w:r>
            <w:r>
              <w:rPr>
                <w:sz w:val="16"/>
                <w:szCs w:val="16"/>
              </w:rPr>
              <w:t>置道防护方案审老</w:t>
            </w:r>
          </w:p>
        </w:tc>
        <w:tc>
          <w:tcPr>
            <w:tcW w:w="2367" w:type="dxa"/>
            <w:vAlign w:val="top"/>
          </w:tcPr>
          <w:p>
            <w:pPr>
              <w:pStyle w:val="TableText"/>
              <w:ind w:left="54" w:right="81" w:hanging="10"/>
              <w:spacing w:before="141" w:line="231" w:lineRule="auto"/>
              <w:rPr>
                <w:sz w:val="16"/>
                <w:szCs w:val="16"/>
              </w:rPr>
            </w:pPr>
            <w:r>
              <w:rPr>
                <w:sz w:val="16"/>
                <w:szCs w:val="16"/>
                <w:spacing w:val="-1"/>
              </w:rPr>
              <w:t>省烟，设区的育线，真级管道保</w:t>
            </w:r>
            <w:r>
              <w:rPr>
                <w:sz w:val="16"/>
                <w:szCs w:val="16"/>
                <w:spacing w:val="4"/>
              </w:rPr>
              <w:t xml:space="preserve"> </w:t>
            </w:r>
            <w:r>
              <w:rPr>
                <w:sz w:val="16"/>
                <w:szCs w:val="16"/>
                <w:spacing w:val="3"/>
              </w:rPr>
              <w:t>护主律部门</w:t>
            </w:r>
          </w:p>
        </w:tc>
        <w:tc>
          <w:tcPr>
            <w:tcW w:w="3711" w:type="dxa"/>
            <w:vAlign w:val="top"/>
          </w:tcPr>
          <w:p>
            <w:pPr>
              <w:pStyle w:val="TableText"/>
              <w:ind w:left="46"/>
              <w:spacing w:before="241" w:line="219" w:lineRule="auto"/>
              <w:rPr>
                <w:sz w:val="16"/>
                <w:szCs w:val="16"/>
              </w:rPr>
            </w:pPr>
            <w:r>
              <w:rPr>
                <w:sz w:val="16"/>
                <w:szCs w:val="16"/>
                <w:spacing w:val="1"/>
              </w:rPr>
              <w:t>1中作人民共和国石油天想气管道保护些!</w:t>
            </w:r>
          </w:p>
        </w:tc>
      </w:tr>
      <w:tr>
        <w:trPr>
          <w:trHeight w:val="649" w:hRule="atLeast"/>
        </w:trPr>
        <w:tc>
          <w:tcPr>
            <w:tcW w:w="584" w:type="dxa"/>
            <w:vAlign w:val="top"/>
          </w:tcPr>
          <w:p>
            <w:pPr>
              <w:rPr>
                <w:rFonts w:ascii="Arial"/>
                <w:sz w:val="21"/>
              </w:rPr>
            </w:pPr>
            <w:r/>
          </w:p>
          <w:p>
            <w:pPr>
              <w:pStyle w:val="TableText"/>
              <w:ind w:left="164"/>
              <w:spacing w:before="52" w:line="183" w:lineRule="auto"/>
              <w:rPr>
                <w:sz w:val="16"/>
                <w:szCs w:val="16"/>
              </w:rPr>
            </w:pPr>
            <w:r>
              <w:rPr>
                <w:sz w:val="16"/>
                <w:szCs w:val="16"/>
                <w:spacing w:val="-3"/>
              </w:rPr>
              <w:t>72</w:t>
            </w:r>
          </w:p>
        </w:tc>
        <w:tc>
          <w:tcPr>
            <w:tcW w:w="1289" w:type="dxa"/>
            <w:vAlign w:val="top"/>
          </w:tcPr>
          <w:p>
            <w:pPr>
              <w:pStyle w:val="TableText"/>
              <w:ind w:left="231"/>
              <w:spacing w:before="252" w:line="219" w:lineRule="auto"/>
              <w:rPr>
                <w:sz w:val="16"/>
                <w:szCs w:val="16"/>
              </w:rPr>
            </w:pPr>
            <w:r>
              <w:rPr>
                <w:sz w:val="16"/>
                <w:szCs w:val="16"/>
                <w:spacing w:val="-1"/>
              </w:rPr>
              <w:t>道家能源冠</w:t>
            </w:r>
          </w:p>
        </w:tc>
        <w:tc>
          <w:tcPr>
            <w:tcW w:w="1648" w:type="dxa"/>
            <w:vAlign w:val="top"/>
          </w:tcPr>
          <w:p>
            <w:pPr>
              <w:pStyle w:val="TableText"/>
              <w:ind w:left="52" w:right="143" w:firstLine="10"/>
              <w:spacing w:before="61" w:line="222" w:lineRule="auto"/>
              <w:jc w:val="both"/>
              <w:rPr>
                <w:sz w:val="16"/>
                <w:szCs w:val="16"/>
              </w:rPr>
            </w:pPr>
            <w:r>
              <w:rPr>
                <w:sz w:val="16"/>
                <w:szCs w:val="16"/>
                <w:spacing w:val="-1"/>
              </w:rPr>
              <w:t>可朋馨明石尚天然气</w:t>
            </w:r>
            <w:r>
              <w:rPr>
                <w:sz w:val="16"/>
                <w:szCs w:val="16"/>
              </w:rPr>
              <w:t xml:space="preserve"> </w:t>
            </w:r>
            <w:r>
              <w:rPr>
                <w:sz w:val="16"/>
                <w:szCs w:val="16"/>
                <w:spacing w:val="-1"/>
              </w:rPr>
              <w:t>替道保护的施工作业</w:t>
            </w:r>
            <w:r>
              <w:rPr>
                <w:sz w:val="16"/>
                <w:szCs w:val="16"/>
                <w:spacing w:val="4"/>
              </w:rPr>
              <w:t xml:space="preserve"> </w:t>
            </w:r>
            <w:r>
              <w:rPr>
                <w:sz w:val="16"/>
                <w:szCs w:val="16"/>
                <w:spacing w:val="4"/>
              </w:rPr>
              <w:t>审代</w:t>
            </w:r>
          </w:p>
        </w:tc>
        <w:tc>
          <w:tcPr>
            <w:tcW w:w="2367" w:type="dxa"/>
            <w:vAlign w:val="top"/>
          </w:tcPr>
          <w:p>
            <w:pPr>
              <w:pStyle w:val="TableText"/>
              <w:ind w:left="54"/>
              <w:spacing w:before="252" w:line="219" w:lineRule="auto"/>
              <w:rPr>
                <w:sz w:val="16"/>
                <w:szCs w:val="16"/>
              </w:rPr>
            </w:pPr>
            <w:r>
              <w:rPr>
                <w:sz w:val="16"/>
                <w:szCs w:val="16"/>
                <w:spacing w:val="1"/>
              </w:rPr>
              <w:t>基级管意保护主管部门</w:t>
            </w:r>
          </w:p>
        </w:tc>
        <w:tc>
          <w:tcPr>
            <w:tcW w:w="3711" w:type="dxa"/>
            <w:vAlign w:val="top"/>
          </w:tcPr>
          <w:p>
            <w:pPr>
              <w:pStyle w:val="TableText"/>
              <w:ind w:left="46"/>
              <w:spacing w:before="252" w:line="219" w:lineRule="auto"/>
              <w:rPr>
                <w:sz w:val="16"/>
                <w:szCs w:val="16"/>
              </w:rPr>
            </w:pPr>
            <w:r>
              <w:rPr>
                <w:sz w:val="16"/>
                <w:szCs w:val="16"/>
                <w:spacing w:val="-1"/>
              </w:rPr>
              <w:t>1中华人民共和国石治天解气管近保护法》</w:t>
            </w:r>
          </w:p>
        </w:tc>
      </w:tr>
      <w:tr>
        <w:trPr>
          <w:trHeight w:val="639" w:hRule="atLeast"/>
        </w:trPr>
        <w:tc>
          <w:tcPr>
            <w:tcW w:w="584" w:type="dxa"/>
            <w:vAlign w:val="top"/>
          </w:tcPr>
          <w:p>
            <w:pPr>
              <w:pStyle w:val="TableText"/>
              <w:ind w:left="164"/>
              <w:spacing w:before="284" w:line="183" w:lineRule="auto"/>
              <w:rPr>
                <w:sz w:val="16"/>
                <w:szCs w:val="16"/>
              </w:rPr>
            </w:pPr>
            <w:r>
              <w:rPr>
                <w:sz w:val="16"/>
                <w:szCs w:val="16"/>
                <w:spacing w:val="-3"/>
              </w:rPr>
              <w:t>725</w:t>
            </w:r>
          </w:p>
        </w:tc>
        <w:tc>
          <w:tcPr>
            <w:tcW w:w="1289" w:type="dxa"/>
            <w:vAlign w:val="top"/>
          </w:tcPr>
          <w:p>
            <w:pPr>
              <w:pStyle w:val="TableText"/>
              <w:ind w:left="70"/>
              <w:spacing w:before="242" w:line="219" w:lineRule="auto"/>
              <w:rPr>
                <w:sz w:val="16"/>
                <w:szCs w:val="16"/>
              </w:rPr>
            </w:pPr>
            <w:r>
              <w:rPr>
                <w:sz w:val="16"/>
                <w:szCs w:val="16"/>
                <w:spacing w:val="2"/>
              </w:rPr>
              <w:t>国案困防科工局</w:t>
            </w:r>
          </w:p>
        </w:tc>
        <w:tc>
          <w:tcPr>
            <w:tcW w:w="1648" w:type="dxa"/>
            <w:vAlign w:val="top"/>
          </w:tcPr>
          <w:p>
            <w:pPr>
              <w:pStyle w:val="TableText"/>
              <w:ind w:left="52" w:right="139"/>
              <w:spacing w:before="162" w:line="219" w:lineRule="auto"/>
              <w:rPr>
                <w:sz w:val="16"/>
                <w:szCs w:val="16"/>
              </w:rPr>
            </w:pPr>
            <w:r>
              <w:rPr>
                <w:sz w:val="16"/>
                <w:szCs w:val="16"/>
              </w:rPr>
              <w:t>固定资产投蛋项甘排</w:t>
            </w:r>
            <w:r>
              <w:rPr>
                <w:sz w:val="16"/>
                <w:szCs w:val="16"/>
                <w:spacing w:val="5"/>
              </w:rPr>
              <w:t xml:space="preserve"> </w:t>
            </w:r>
            <w:r>
              <w:rPr>
                <w:sz w:val="16"/>
                <w:szCs w:val="16"/>
                <w:spacing w:val="3"/>
              </w:rPr>
              <w:t>图(资助科技工业)</w:t>
            </w:r>
          </w:p>
        </w:tc>
        <w:tc>
          <w:tcPr>
            <w:tcW w:w="2367" w:type="dxa"/>
            <w:vAlign w:val="top"/>
          </w:tcPr>
          <w:p>
            <w:pPr>
              <w:pStyle w:val="TableText"/>
              <w:ind w:left="54"/>
              <w:spacing w:before="242" w:line="219" w:lineRule="auto"/>
              <w:rPr>
                <w:sz w:val="16"/>
                <w:szCs w:val="16"/>
              </w:rPr>
            </w:pPr>
            <w:r>
              <w:rPr>
                <w:sz w:val="16"/>
                <w:szCs w:val="16"/>
                <w:spacing w:val="2"/>
              </w:rPr>
              <w:t>国定回防科工局</w:t>
            </w:r>
          </w:p>
        </w:tc>
        <w:tc>
          <w:tcPr>
            <w:tcW w:w="3711" w:type="dxa"/>
            <w:vAlign w:val="top"/>
          </w:tcPr>
          <w:p>
            <w:pPr>
              <w:pStyle w:val="TableText"/>
              <w:ind w:left="46"/>
              <w:spacing w:before="52" w:line="219" w:lineRule="auto"/>
              <w:rPr>
                <w:sz w:val="16"/>
                <w:szCs w:val="16"/>
              </w:rPr>
            </w:pPr>
            <w:r>
              <w:rPr>
                <w:sz w:val="16"/>
                <w:szCs w:val="16"/>
              </w:rPr>
              <w:t>1老费投货模目核难和备离管理条间》</w:t>
            </w:r>
          </w:p>
          <w:p>
            <w:pPr>
              <w:pStyle w:val="TableText"/>
              <w:ind w:left="46" w:right="287"/>
              <w:spacing w:before="10" w:line="217" w:lineRule="auto"/>
              <w:rPr>
                <w:sz w:val="16"/>
                <w:szCs w:val="16"/>
              </w:rPr>
            </w:pPr>
            <w:r>
              <w:rPr>
                <w:sz w:val="16"/>
                <w:szCs w:val="16"/>
              </w:rPr>
              <w:t>回务系关于深化回防科技工业投资体断改率右干</w:t>
            </w:r>
            <w:r>
              <w:rPr>
                <w:sz w:val="16"/>
                <w:szCs w:val="16"/>
                <w:spacing w:val="5"/>
              </w:rPr>
              <w:t xml:space="preserve"> </w:t>
            </w:r>
            <w:r>
              <w:rPr>
                <w:sz w:val="16"/>
                <w:szCs w:val="16"/>
                <w:spacing w:val="2"/>
              </w:rPr>
              <w:t>意电的批复(以雨[2007]9号)</w:t>
            </w:r>
          </w:p>
        </w:tc>
      </w:tr>
      <w:tr>
        <w:trPr>
          <w:trHeight w:val="459" w:hRule="atLeast"/>
        </w:trPr>
        <w:tc>
          <w:tcPr>
            <w:tcW w:w="584" w:type="dxa"/>
            <w:vAlign w:val="top"/>
          </w:tcPr>
          <w:p>
            <w:pPr>
              <w:pStyle w:val="TableText"/>
              <w:ind w:left="164"/>
              <w:spacing w:before="195" w:line="183" w:lineRule="auto"/>
              <w:rPr>
                <w:sz w:val="16"/>
                <w:szCs w:val="16"/>
              </w:rPr>
            </w:pPr>
            <w:r>
              <w:rPr>
                <w:sz w:val="16"/>
                <w:szCs w:val="16"/>
                <w:spacing w:val="-3"/>
              </w:rPr>
              <w:t>726</w:t>
            </w:r>
          </w:p>
        </w:tc>
        <w:tc>
          <w:tcPr>
            <w:tcW w:w="1289" w:type="dxa"/>
            <w:vAlign w:val="top"/>
          </w:tcPr>
          <w:p>
            <w:pPr>
              <w:pStyle w:val="TableText"/>
              <w:ind w:left="70"/>
              <w:spacing w:before="155" w:line="220" w:lineRule="auto"/>
              <w:rPr>
                <w:sz w:val="16"/>
                <w:szCs w:val="16"/>
              </w:rPr>
            </w:pPr>
            <w:r>
              <w:rPr>
                <w:sz w:val="16"/>
                <w:szCs w:val="16"/>
                <w:spacing w:val="1"/>
              </w:rPr>
              <w:t>国家国防料工题</w:t>
            </w:r>
          </w:p>
        </w:tc>
        <w:tc>
          <w:tcPr>
            <w:tcW w:w="1648" w:type="dxa"/>
            <w:vAlign w:val="top"/>
          </w:tcPr>
          <w:p>
            <w:pPr>
              <w:pStyle w:val="TableText"/>
              <w:ind w:left="52" w:right="162" w:hanging="10"/>
              <w:spacing w:before="53" w:line="228" w:lineRule="auto"/>
              <w:rPr>
                <w:sz w:val="16"/>
                <w:szCs w:val="16"/>
              </w:rPr>
            </w:pPr>
            <w:r>
              <w:rPr>
                <w:sz w:val="16"/>
                <w:szCs w:val="16"/>
                <w:spacing w:val="-1"/>
              </w:rPr>
              <w:t>此踏新备科研生产许</w:t>
            </w:r>
            <w:r>
              <w:rPr>
                <w:sz w:val="16"/>
                <w:szCs w:val="16"/>
                <w:spacing w:val="1"/>
              </w:rPr>
              <w:t xml:space="preserve"> </w:t>
            </w:r>
            <w:r>
              <w:rPr>
                <w:sz w:val="16"/>
                <w:szCs w:val="16"/>
              </w:rPr>
              <w:t>可</w:t>
            </w:r>
          </w:p>
        </w:tc>
        <w:tc>
          <w:tcPr>
            <w:tcW w:w="2367" w:type="dxa"/>
            <w:vAlign w:val="top"/>
          </w:tcPr>
          <w:p>
            <w:pPr>
              <w:pStyle w:val="TableText"/>
              <w:ind w:left="54" w:right="306" w:hanging="10"/>
              <w:spacing w:before="53" w:line="228" w:lineRule="auto"/>
              <w:rPr>
                <w:sz w:val="16"/>
                <w:szCs w:val="16"/>
              </w:rPr>
            </w:pPr>
            <w:r>
              <w:rPr>
                <w:sz w:val="16"/>
                <w:szCs w:val="16"/>
              </w:rPr>
              <w:t>国家国防科工局会同中*军卷</w:t>
            </w:r>
            <w:r>
              <w:rPr>
                <w:sz w:val="16"/>
                <w:szCs w:val="16"/>
                <w:spacing w:val="5"/>
              </w:rPr>
              <w:t xml:space="preserve"> </w:t>
            </w:r>
            <w:r>
              <w:rPr>
                <w:sz w:val="16"/>
                <w:szCs w:val="16"/>
                <w:spacing w:val="-1"/>
              </w:rPr>
              <w:t>装备发属部</w:t>
            </w:r>
          </w:p>
        </w:tc>
        <w:tc>
          <w:tcPr>
            <w:tcW w:w="3711" w:type="dxa"/>
            <w:vAlign w:val="top"/>
          </w:tcPr>
          <w:p>
            <w:pPr>
              <w:pStyle w:val="TableText"/>
              <w:spacing w:before="153" w:line="219" w:lineRule="auto"/>
              <w:rPr>
                <w:sz w:val="16"/>
                <w:szCs w:val="16"/>
              </w:rPr>
            </w:pPr>
            <w:r>
              <w:rPr>
                <w:sz w:val="16"/>
                <w:szCs w:val="16"/>
                <w:spacing w:val="-4"/>
              </w:rPr>
              <w:t>《正置验名科研生产许明管理条例</w:t>
            </w:r>
          </w:p>
        </w:tc>
      </w:tr>
      <w:tr>
        <w:trPr>
          <w:trHeight w:val="430" w:hRule="atLeast"/>
        </w:trPr>
        <w:tc>
          <w:tcPr>
            <w:tcW w:w="584" w:type="dxa"/>
            <w:vAlign w:val="top"/>
          </w:tcPr>
          <w:p>
            <w:pPr>
              <w:pStyle w:val="TableText"/>
              <w:ind w:left="164"/>
              <w:spacing w:before="186" w:line="183" w:lineRule="auto"/>
              <w:rPr>
                <w:sz w:val="16"/>
                <w:szCs w:val="16"/>
              </w:rPr>
            </w:pPr>
            <w:r>
              <w:rPr>
                <w:sz w:val="16"/>
                <w:szCs w:val="16"/>
                <w:spacing w:val="-3"/>
              </w:rPr>
              <w:t>727</w:t>
            </w:r>
          </w:p>
        </w:tc>
        <w:tc>
          <w:tcPr>
            <w:tcW w:w="1289" w:type="dxa"/>
            <w:vAlign w:val="top"/>
          </w:tcPr>
          <w:p>
            <w:pPr>
              <w:pStyle w:val="TableText"/>
              <w:ind w:left="70"/>
              <w:spacing w:before="144" w:line="219" w:lineRule="auto"/>
              <w:rPr>
                <w:sz w:val="16"/>
                <w:szCs w:val="16"/>
              </w:rPr>
            </w:pPr>
            <w:r>
              <w:rPr>
                <w:sz w:val="16"/>
                <w:szCs w:val="16"/>
                <w:spacing w:val="1"/>
              </w:rPr>
              <w:t>国军国防样工号</w:t>
            </w:r>
          </w:p>
        </w:tc>
        <w:tc>
          <w:tcPr>
            <w:tcW w:w="1648" w:type="dxa"/>
            <w:vAlign w:val="top"/>
          </w:tcPr>
          <w:p>
            <w:pPr>
              <w:pStyle w:val="TableText"/>
              <w:ind w:left="52" w:right="162" w:hanging="10"/>
              <w:spacing w:before="56" w:line="210" w:lineRule="auto"/>
              <w:rPr>
                <w:sz w:val="16"/>
                <w:szCs w:val="16"/>
              </w:rPr>
            </w:pPr>
            <w:r>
              <w:rPr>
                <w:sz w:val="16"/>
                <w:szCs w:val="16"/>
                <w:spacing w:val="-1"/>
              </w:rPr>
              <w:t>风用旗夫盐射观推许</w:t>
            </w:r>
            <w:r>
              <w:rPr>
                <w:sz w:val="16"/>
                <w:szCs w:val="16"/>
                <w:spacing w:val="1"/>
              </w:rPr>
              <w:t xml:space="preserve"> </w:t>
            </w:r>
            <w:r>
              <w:rPr>
                <w:sz w:val="16"/>
                <w:szCs w:val="16"/>
              </w:rPr>
              <w:t>可</w:t>
            </w:r>
          </w:p>
        </w:tc>
        <w:tc>
          <w:tcPr>
            <w:tcW w:w="2367" w:type="dxa"/>
            <w:vAlign w:val="top"/>
          </w:tcPr>
          <w:p>
            <w:pPr>
              <w:pStyle w:val="TableText"/>
              <w:ind w:left="54"/>
              <w:spacing w:before="144" w:line="219" w:lineRule="auto"/>
              <w:rPr>
                <w:sz w:val="16"/>
                <w:szCs w:val="16"/>
              </w:rPr>
            </w:pPr>
            <w:r>
              <w:rPr>
                <w:sz w:val="16"/>
                <w:szCs w:val="16"/>
                <w:spacing w:val="2"/>
              </w:rPr>
              <w:t>国家国防科工周</w:t>
            </w:r>
          </w:p>
        </w:tc>
        <w:tc>
          <w:tcPr>
            <w:tcW w:w="3711" w:type="dxa"/>
            <w:vAlign w:val="top"/>
          </w:tcPr>
          <w:p>
            <w:pPr>
              <w:pStyle w:val="TableText"/>
              <w:ind w:left="79" w:right="227" w:hanging="79"/>
              <w:spacing w:before="64" w:line="205" w:lineRule="auto"/>
              <w:rPr>
                <w:sz w:val="16"/>
                <w:szCs w:val="16"/>
              </w:rPr>
            </w:pPr>
            <w:r>
              <w:rPr>
                <w:sz w:val="16"/>
                <w:szCs w:val="16"/>
                <w:spacing w:val="-3"/>
              </w:rPr>
              <w:t>《国务院对喷需保照的行改市老项们设定行政许可</w:t>
            </w:r>
            <w:r>
              <w:rPr>
                <w:sz w:val="16"/>
                <w:szCs w:val="16"/>
                <w:spacing w:val="18"/>
              </w:rPr>
              <w:t xml:space="preserve"> </w:t>
            </w:r>
            <w:r>
              <w:rPr>
                <w:sz w:val="16"/>
                <w:szCs w:val="16"/>
                <w:spacing w:val="2"/>
              </w:rPr>
              <w:t>协决案1</w:t>
            </w:r>
          </w:p>
        </w:tc>
      </w:tr>
      <w:tr>
        <w:trPr>
          <w:trHeight w:val="669" w:hRule="atLeast"/>
        </w:trPr>
        <w:tc>
          <w:tcPr>
            <w:tcW w:w="584" w:type="dxa"/>
            <w:vAlign w:val="top"/>
          </w:tcPr>
          <w:p>
            <w:pPr>
              <w:spacing w:line="253" w:lineRule="auto"/>
              <w:rPr>
                <w:rFonts w:ascii="Arial"/>
                <w:sz w:val="21"/>
              </w:rPr>
            </w:pPr>
            <w:r/>
          </w:p>
          <w:p>
            <w:pPr>
              <w:pStyle w:val="TableText"/>
              <w:ind w:left="164"/>
              <w:spacing w:before="52" w:line="183" w:lineRule="auto"/>
              <w:rPr>
                <w:sz w:val="16"/>
                <w:szCs w:val="16"/>
              </w:rPr>
            </w:pPr>
            <w:r>
              <w:rPr>
                <w:sz w:val="16"/>
                <w:szCs w:val="16"/>
                <w:spacing w:val="-3"/>
              </w:rPr>
              <w:t>728</w:t>
            </w:r>
          </w:p>
        </w:tc>
        <w:tc>
          <w:tcPr>
            <w:tcW w:w="1289" w:type="dxa"/>
            <w:vAlign w:val="top"/>
          </w:tcPr>
          <w:p>
            <w:pPr>
              <w:pStyle w:val="TableText"/>
              <w:ind w:left="70"/>
              <w:spacing w:before="265" w:line="219" w:lineRule="auto"/>
              <w:rPr>
                <w:sz w:val="16"/>
                <w:szCs w:val="16"/>
              </w:rPr>
            </w:pPr>
            <w:r>
              <w:rPr>
                <w:sz w:val="16"/>
                <w:szCs w:val="16"/>
                <w:spacing w:val="2"/>
              </w:rPr>
              <w:t>国业国新释工局</w:t>
            </w:r>
          </w:p>
        </w:tc>
        <w:tc>
          <w:tcPr>
            <w:tcW w:w="1648" w:type="dxa"/>
            <w:vAlign w:val="top"/>
          </w:tcPr>
          <w:p>
            <w:pPr>
              <w:pStyle w:val="TableText"/>
              <w:ind w:left="52" w:right="152"/>
              <w:spacing w:before="175" w:line="220" w:lineRule="auto"/>
              <w:rPr>
                <w:sz w:val="16"/>
                <w:szCs w:val="16"/>
              </w:rPr>
            </w:pPr>
            <w:r>
              <w:rPr>
                <w:sz w:val="16"/>
                <w:szCs w:val="16"/>
                <w:spacing w:val="-1"/>
              </w:rPr>
              <w:t>重工勤销设各议施处</w:t>
            </w:r>
            <w:r>
              <w:rPr>
                <w:sz w:val="16"/>
                <w:szCs w:val="16"/>
                <w:spacing w:val="1"/>
              </w:rPr>
              <w:t xml:space="preserve"> </w:t>
            </w:r>
            <w:r>
              <w:rPr>
                <w:sz w:val="16"/>
                <w:szCs w:val="16"/>
                <w:spacing w:val="-2"/>
              </w:rPr>
              <w:t>置事批</w:t>
            </w:r>
          </w:p>
        </w:tc>
        <w:tc>
          <w:tcPr>
            <w:tcW w:w="2367" w:type="dxa"/>
            <w:vAlign w:val="top"/>
          </w:tcPr>
          <w:p>
            <w:pPr>
              <w:pStyle w:val="TableText"/>
              <w:ind w:left="44"/>
              <w:spacing w:before="74" w:line="219" w:lineRule="auto"/>
              <w:rPr>
                <w:sz w:val="16"/>
                <w:szCs w:val="16"/>
              </w:rPr>
            </w:pPr>
            <w:r>
              <w:rPr>
                <w:sz w:val="16"/>
                <w:szCs w:val="16"/>
              </w:rPr>
              <w:t>国家国防科工员命同中重军要</w:t>
            </w:r>
          </w:p>
          <w:p>
            <w:pPr>
              <w:pStyle w:val="TableText"/>
              <w:ind w:left="54" w:right="69"/>
              <w:spacing w:before="1" w:line="220" w:lineRule="auto"/>
              <w:rPr>
                <w:sz w:val="16"/>
                <w:szCs w:val="16"/>
              </w:rPr>
            </w:pPr>
            <w:r>
              <w:rPr>
                <w:sz w:val="16"/>
                <w:szCs w:val="16"/>
                <w:spacing w:val="-1"/>
              </w:rPr>
              <w:t>独备发展部，国务改闻篇委，耐</w:t>
            </w:r>
            <w:r>
              <w:rPr>
                <w:sz w:val="16"/>
                <w:szCs w:val="16"/>
                <w:spacing w:val="6"/>
              </w:rPr>
              <w:t xml:space="preserve"> </w:t>
            </w:r>
            <w:r>
              <w:rPr>
                <w:sz w:val="16"/>
                <w:szCs w:val="16"/>
                <w:spacing w:val="-2"/>
              </w:rPr>
              <w:t>政常</w:t>
            </w:r>
          </w:p>
        </w:tc>
        <w:tc>
          <w:tcPr>
            <w:tcW w:w="3711" w:type="dxa"/>
            <w:vAlign w:val="top"/>
          </w:tcPr>
          <w:p>
            <w:pPr>
              <w:pStyle w:val="TableText"/>
              <w:ind w:left="46"/>
              <w:spacing w:before="264" w:line="219" w:lineRule="auto"/>
              <w:rPr>
                <w:sz w:val="16"/>
                <w:szCs w:val="16"/>
              </w:rPr>
            </w:pPr>
            <w:r>
              <w:rPr>
                <w:sz w:val="16"/>
                <w:szCs w:val="16"/>
                <w:spacing w:val="-1"/>
              </w:rPr>
              <w:t>(军工关健设备论地营理务例》</w:t>
            </w:r>
          </w:p>
        </w:tc>
      </w:tr>
      <w:tr>
        <w:trPr>
          <w:trHeight w:val="464" w:hRule="atLeast"/>
        </w:trPr>
        <w:tc>
          <w:tcPr>
            <w:tcW w:w="584" w:type="dxa"/>
            <w:vAlign w:val="top"/>
          </w:tcPr>
          <w:p>
            <w:pPr>
              <w:pStyle w:val="TableText"/>
              <w:ind w:left="164"/>
              <w:spacing w:before="197" w:line="183" w:lineRule="auto"/>
              <w:rPr>
                <w:sz w:val="16"/>
                <w:szCs w:val="16"/>
              </w:rPr>
            </w:pPr>
            <w:r>
              <w:rPr>
                <w:sz w:val="16"/>
                <w:szCs w:val="16"/>
                <w:spacing w:val="-3"/>
              </w:rPr>
              <w:t>729</w:t>
            </w:r>
          </w:p>
        </w:tc>
        <w:tc>
          <w:tcPr>
            <w:tcW w:w="1289" w:type="dxa"/>
            <w:vAlign w:val="top"/>
          </w:tcPr>
          <w:p>
            <w:pPr>
              <w:pStyle w:val="TableText"/>
              <w:ind w:left="70"/>
              <w:spacing w:before="157" w:line="220" w:lineRule="auto"/>
              <w:rPr>
                <w:sz w:val="16"/>
                <w:szCs w:val="16"/>
              </w:rPr>
            </w:pPr>
            <w:r>
              <w:rPr>
                <w:sz w:val="16"/>
                <w:szCs w:val="16"/>
                <w:spacing w:val="1"/>
              </w:rPr>
              <w:t>国流国就料工具</w:t>
            </w:r>
          </w:p>
        </w:tc>
        <w:tc>
          <w:tcPr>
            <w:tcW w:w="1648" w:type="dxa"/>
            <w:vAlign w:val="top"/>
          </w:tcPr>
          <w:p>
            <w:pPr>
              <w:pStyle w:val="TableText"/>
              <w:ind w:left="52" w:right="118" w:firstLine="20"/>
              <w:spacing w:before="45" w:line="232" w:lineRule="auto"/>
              <w:rPr>
                <w:sz w:val="16"/>
                <w:szCs w:val="16"/>
              </w:rPr>
            </w:pPr>
            <w:r>
              <w:rPr>
                <w:sz w:val="16"/>
                <w:szCs w:val="16"/>
              </w:rPr>
              <w:t>国防计意放术机也设</w:t>
            </w:r>
            <w:r>
              <w:rPr>
                <w:sz w:val="16"/>
                <w:szCs w:val="16"/>
                <w:spacing w:val="6"/>
              </w:rPr>
              <w:t xml:space="preserve"> </w:t>
            </w:r>
            <w:r>
              <w:rPr>
                <w:sz w:val="16"/>
                <w:szCs w:val="16"/>
                <w:spacing w:val="-2"/>
              </w:rPr>
              <w:t>量审批</w:t>
            </w:r>
          </w:p>
        </w:tc>
        <w:tc>
          <w:tcPr>
            <w:tcW w:w="2367" w:type="dxa"/>
            <w:vAlign w:val="top"/>
          </w:tcPr>
          <w:p>
            <w:pPr>
              <w:pStyle w:val="TableText"/>
              <w:ind w:left="54" w:right="44" w:firstLine="10"/>
              <w:spacing w:before="76" w:line="218" w:lineRule="auto"/>
              <w:rPr>
                <w:sz w:val="16"/>
                <w:szCs w:val="16"/>
              </w:rPr>
            </w:pPr>
            <w:r>
              <w:rPr>
                <w:sz w:val="16"/>
                <w:szCs w:val="16"/>
              </w:rPr>
              <w:t>国家国防弃工片，省眼国防料为</w:t>
            </w:r>
            <w:r>
              <w:rPr>
                <w:sz w:val="16"/>
                <w:szCs w:val="16"/>
                <w:spacing w:val="6"/>
              </w:rPr>
              <w:t xml:space="preserve"> </w:t>
            </w:r>
            <w:r>
              <w:rPr>
                <w:sz w:val="16"/>
                <w:szCs w:val="16"/>
                <w:spacing w:val="3"/>
              </w:rPr>
              <w:t>工业你理部门</w:t>
            </w:r>
          </w:p>
        </w:tc>
        <w:tc>
          <w:tcPr>
            <w:tcW w:w="3711" w:type="dxa"/>
            <w:vAlign w:val="top"/>
          </w:tcPr>
          <w:p>
            <w:pPr>
              <w:pStyle w:val="TableText"/>
              <w:spacing w:before="156" w:line="219" w:lineRule="auto"/>
              <w:rPr>
                <w:sz w:val="16"/>
                <w:szCs w:val="16"/>
              </w:rPr>
            </w:pPr>
            <w:r>
              <w:rPr>
                <w:sz w:val="16"/>
                <w:szCs w:val="16"/>
                <w:spacing w:val="-5"/>
              </w:rPr>
              <w:t>《析计量监督管理条到?</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89990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316" name="TextBox 316"/>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8" style="position:absolute;margin-left:37.0402pt;margin-top:344.638pt;mso-position-vertical-relative:page;mso-position-horizontal-relative:page;width:13.6pt;height:12.35pt;z-index:25189990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239</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11"/>
      </w:tblGrid>
      <w:tr>
        <w:trPr>
          <w:trHeight w:val="41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中央主骨国门</w:t>
            </w:r>
          </w:p>
        </w:tc>
        <w:tc>
          <w:tcPr>
            <w:tcW w:w="1638" w:type="dxa"/>
            <w:vAlign w:val="top"/>
          </w:tcPr>
          <w:p>
            <w:pPr>
              <w:pStyle w:val="TableText"/>
              <w:ind w:left="491"/>
              <w:spacing w:before="130" w:line="219" w:lineRule="auto"/>
              <w:rPr>
                <w:sz w:val="16"/>
                <w:szCs w:val="16"/>
              </w:rPr>
            </w:pPr>
            <w:r>
              <w:rPr>
                <w:sz w:val="16"/>
                <w:szCs w:val="16"/>
                <w:spacing w:val="-2"/>
              </w:rPr>
              <w:t>事填名幕</w:t>
            </w:r>
          </w:p>
        </w:tc>
        <w:tc>
          <w:tcPr>
            <w:tcW w:w="2377" w:type="dxa"/>
            <w:vAlign w:val="top"/>
          </w:tcPr>
          <w:p>
            <w:pPr>
              <w:pStyle w:val="TableText"/>
              <w:ind w:left="854"/>
              <w:spacing w:before="130" w:line="219" w:lineRule="auto"/>
              <w:rPr>
                <w:sz w:val="16"/>
                <w:szCs w:val="16"/>
              </w:rPr>
            </w:pPr>
            <w:r>
              <w:rPr>
                <w:sz w:val="16"/>
                <w:szCs w:val="16"/>
                <w:spacing w:val="-2"/>
              </w:rPr>
              <w:t>实施机关</w:t>
            </w:r>
          </w:p>
        </w:tc>
        <w:tc>
          <w:tcPr>
            <w:tcW w:w="3711" w:type="dxa"/>
            <w:vAlign w:val="top"/>
          </w:tcPr>
          <w:p>
            <w:pPr>
              <w:pStyle w:val="TableText"/>
              <w:ind w:left="1276"/>
              <w:spacing w:before="130" w:line="219" w:lineRule="auto"/>
              <w:rPr>
                <w:sz w:val="16"/>
                <w:szCs w:val="16"/>
              </w:rPr>
            </w:pPr>
            <w:r>
              <w:rPr>
                <w:sz w:val="16"/>
                <w:szCs w:val="16"/>
                <w:spacing w:val="-2"/>
              </w:rPr>
              <w:t>设定和实尊依据</w:t>
            </w:r>
          </w:p>
        </w:tc>
      </w:tr>
      <w:tr>
        <w:trPr>
          <w:trHeight w:val="899" w:hRule="atLeast"/>
        </w:trPr>
        <w:tc>
          <w:tcPr>
            <w:tcW w:w="594" w:type="dxa"/>
            <w:vAlign w:val="top"/>
          </w:tcPr>
          <w:p>
            <w:pPr>
              <w:spacing w:line="353" w:lineRule="auto"/>
              <w:rPr>
                <w:rFonts w:ascii="Arial"/>
                <w:sz w:val="21"/>
              </w:rPr>
            </w:pPr>
            <w:r/>
          </w:p>
          <w:p>
            <w:pPr>
              <w:pStyle w:val="TableText"/>
              <w:ind w:left="164"/>
              <w:spacing w:before="52" w:line="183" w:lineRule="auto"/>
              <w:rPr>
                <w:sz w:val="16"/>
                <w:szCs w:val="16"/>
              </w:rPr>
            </w:pPr>
            <w:r>
              <w:rPr>
                <w:sz w:val="16"/>
                <w:szCs w:val="16"/>
                <w:spacing w:val="-3"/>
              </w:rPr>
              <w:t>730</w:t>
            </w:r>
          </w:p>
        </w:tc>
        <w:tc>
          <w:tcPr>
            <w:tcW w:w="1279" w:type="dxa"/>
            <w:vAlign w:val="top"/>
          </w:tcPr>
          <w:p>
            <w:pPr>
              <w:spacing w:line="313" w:lineRule="auto"/>
              <w:rPr>
                <w:rFonts w:ascii="Arial"/>
                <w:sz w:val="21"/>
              </w:rPr>
            </w:pPr>
            <w:r/>
          </w:p>
          <w:p>
            <w:pPr>
              <w:pStyle w:val="TableText"/>
              <w:ind w:left="70"/>
              <w:spacing w:before="52" w:line="220" w:lineRule="auto"/>
              <w:rPr>
                <w:sz w:val="16"/>
                <w:szCs w:val="16"/>
              </w:rPr>
            </w:pPr>
            <w:r>
              <w:rPr>
                <w:sz w:val="16"/>
                <w:szCs w:val="16"/>
                <w:spacing w:val="2"/>
              </w:rPr>
              <w:t>国家国防料工局</w:t>
            </w:r>
          </w:p>
        </w:tc>
        <w:tc>
          <w:tcPr>
            <w:tcW w:w="1638" w:type="dxa"/>
            <w:vAlign w:val="top"/>
          </w:tcPr>
          <w:p>
            <w:pPr>
              <w:spacing w:line="311" w:lineRule="auto"/>
              <w:rPr>
                <w:rFonts w:ascii="Arial"/>
                <w:sz w:val="21"/>
              </w:rPr>
            </w:pPr>
            <w:r/>
          </w:p>
          <w:p>
            <w:pPr>
              <w:pStyle w:val="TableText"/>
              <w:ind w:left="42"/>
              <w:spacing w:before="52" w:line="219" w:lineRule="auto"/>
              <w:rPr>
                <w:sz w:val="16"/>
                <w:szCs w:val="16"/>
              </w:rPr>
            </w:pPr>
            <w:r>
              <w:rPr>
                <w:sz w:val="16"/>
                <w:szCs w:val="16"/>
                <w:spacing w:val="-1"/>
              </w:rPr>
              <w:t>核材料许可证核要</w:t>
            </w:r>
          </w:p>
        </w:tc>
        <w:tc>
          <w:tcPr>
            <w:tcW w:w="2377" w:type="dxa"/>
            <w:vAlign w:val="top"/>
          </w:tcPr>
          <w:p>
            <w:pPr>
              <w:pStyle w:val="TableText"/>
              <w:ind w:left="83" w:right="31"/>
              <w:spacing w:before="155" w:line="231" w:lineRule="auto"/>
              <w:jc w:val="both"/>
              <w:rPr>
                <w:sz w:val="16"/>
                <w:szCs w:val="16"/>
              </w:rPr>
            </w:pPr>
            <w:r>
              <w:rPr>
                <w:sz w:val="16"/>
                <w:szCs w:val="16"/>
              </w:rPr>
              <w:t>国家偏防料工局《事军工单位首</w:t>
            </w:r>
            <w:r>
              <w:rPr>
                <w:sz w:val="16"/>
                <w:szCs w:val="16"/>
                <w:spacing w:val="7"/>
              </w:rPr>
              <w:t xml:space="preserve"> </w:t>
            </w:r>
            <w:r>
              <w:rPr>
                <w:sz w:val="16"/>
                <w:szCs w:val="16"/>
              </w:rPr>
              <w:t>次审请机材料许可证的，会同偶</w:t>
            </w:r>
            <w:r>
              <w:rPr>
                <w:sz w:val="16"/>
                <w:szCs w:val="16"/>
                <w:spacing w:val="10"/>
              </w:rPr>
              <w:t xml:space="preserve"> </w:t>
            </w:r>
            <w:r>
              <w:rPr>
                <w:sz w:val="16"/>
                <w:szCs w:val="16"/>
                <w:spacing w:val="5"/>
              </w:rPr>
              <w:t>家硕安全最审)</w:t>
            </w:r>
          </w:p>
        </w:tc>
        <w:tc>
          <w:tcPr>
            <w:tcW w:w="3711" w:type="dxa"/>
            <w:vAlign w:val="top"/>
          </w:tcPr>
          <w:p>
            <w:pPr>
              <w:pStyle w:val="TableText"/>
              <w:spacing w:before="76" w:line="219" w:lineRule="auto"/>
              <w:rPr>
                <w:sz w:val="16"/>
                <w:szCs w:val="16"/>
              </w:rPr>
            </w:pPr>
            <w:r>
              <w:rPr>
                <w:sz w:val="16"/>
                <w:szCs w:val="16"/>
                <w:spacing w:val="-1"/>
              </w:rPr>
              <w:t>《中华人民共和面租安全法1</w:t>
            </w:r>
          </w:p>
          <w:p>
            <w:pPr>
              <w:pStyle w:val="TableText"/>
              <w:ind w:left="67"/>
              <w:spacing w:before="9" w:line="219" w:lineRule="auto"/>
              <w:rPr>
                <w:sz w:val="16"/>
                <w:szCs w:val="16"/>
              </w:rPr>
            </w:pPr>
            <w:r>
              <w:rPr>
                <w:sz w:val="16"/>
                <w:szCs w:val="16"/>
              </w:rPr>
              <w:t>1微射性物成运地安全位理条例》</w:t>
            </w:r>
          </w:p>
          <w:p>
            <w:pPr>
              <w:pStyle w:val="TableText"/>
              <w:ind w:left="67" w:right="279"/>
              <w:spacing w:before="1" w:line="226" w:lineRule="auto"/>
              <w:rPr>
                <w:sz w:val="16"/>
                <w:szCs w:val="16"/>
              </w:rPr>
            </w:pPr>
            <w:r>
              <w:rPr>
                <w:sz w:val="16"/>
                <w:szCs w:val="16"/>
                <w:spacing w:val="-1"/>
              </w:rPr>
              <w:t>梅反疫增乏必料道路运精置理暂行防完利料丁共</w:t>
            </w:r>
            <w:r>
              <w:rPr>
                <w:sz w:val="16"/>
                <w:szCs w:val="16"/>
                <w:spacing w:val="14"/>
              </w:rPr>
              <w:t xml:space="preserve"> </w:t>
            </w:r>
            <w:r>
              <w:rPr>
                <w:sz w:val="16"/>
                <w:szCs w:val="16"/>
                <w:spacing w:val="3"/>
              </w:rPr>
              <w:t>[200=](20号)</w:t>
            </w:r>
          </w:p>
        </w:tc>
      </w:tr>
      <w:tr>
        <w:trPr>
          <w:trHeight w:val="449" w:hRule="atLeast"/>
        </w:trPr>
        <w:tc>
          <w:tcPr>
            <w:tcW w:w="594" w:type="dxa"/>
            <w:vAlign w:val="top"/>
          </w:tcPr>
          <w:p>
            <w:pPr>
              <w:pStyle w:val="TableText"/>
              <w:ind w:left="164"/>
              <w:spacing w:before="188" w:line="184" w:lineRule="auto"/>
              <w:rPr>
                <w:sz w:val="16"/>
                <w:szCs w:val="16"/>
              </w:rPr>
            </w:pPr>
            <w:r>
              <w:rPr>
                <w:sz w:val="16"/>
                <w:szCs w:val="16"/>
                <w:spacing w:val="-3"/>
              </w:rPr>
              <w:t>731</w:t>
            </w:r>
          </w:p>
        </w:tc>
        <w:tc>
          <w:tcPr>
            <w:tcW w:w="1279" w:type="dxa"/>
            <w:vAlign w:val="top"/>
          </w:tcPr>
          <w:p>
            <w:pPr>
              <w:pStyle w:val="TableText"/>
              <w:ind w:left="70"/>
              <w:spacing w:before="148" w:line="220" w:lineRule="auto"/>
              <w:rPr>
                <w:sz w:val="16"/>
                <w:szCs w:val="16"/>
              </w:rPr>
            </w:pPr>
            <w:r>
              <w:rPr>
                <w:sz w:val="16"/>
                <w:szCs w:val="16"/>
                <w:spacing w:val="2"/>
              </w:rPr>
              <w:t>国家国防料工周</w:t>
            </w:r>
          </w:p>
        </w:tc>
        <w:tc>
          <w:tcPr>
            <w:tcW w:w="1638" w:type="dxa"/>
            <w:vAlign w:val="top"/>
          </w:tcPr>
          <w:p>
            <w:pPr>
              <w:pStyle w:val="TableText"/>
              <w:ind w:left="62" w:right="86" w:firstLine="30"/>
              <w:spacing w:before="67" w:line="207" w:lineRule="auto"/>
              <w:rPr>
                <w:sz w:val="16"/>
                <w:szCs w:val="16"/>
              </w:rPr>
            </w:pPr>
            <w:r>
              <w:rPr>
                <w:sz w:val="16"/>
                <w:szCs w:val="16"/>
                <w:spacing w:val="1"/>
              </w:rPr>
              <w:t>国防科技工业车用核</w:t>
            </w:r>
            <w:r>
              <w:rPr>
                <w:sz w:val="16"/>
                <w:szCs w:val="16"/>
              </w:rPr>
              <w:t xml:space="preserve"> </w:t>
            </w:r>
            <w:r>
              <w:rPr>
                <w:sz w:val="16"/>
                <w:szCs w:val="16"/>
                <w:spacing w:val="-1"/>
              </w:rPr>
              <w:t>程据安会许可</w:t>
            </w:r>
          </w:p>
        </w:tc>
        <w:tc>
          <w:tcPr>
            <w:tcW w:w="2377" w:type="dxa"/>
            <w:vAlign w:val="top"/>
          </w:tcPr>
          <w:p>
            <w:pPr>
              <w:pStyle w:val="TableText"/>
              <w:ind w:left="83"/>
              <w:spacing w:before="148" w:line="220" w:lineRule="auto"/>
              <w:rPr>
                <w:sz w:val="16"/>
                <w:szCs w:val="16"/>
              </w:rPr>
            </w:pPr>
            <w:r>
              <w:rPr>
                <w:sz w:val="16"/>
                <w:szCs w:val="16"/>
                <w:spacing w:val="2"/>
              </w:rPr>
              <w:t>国家国防料工局</w:t>
            </w:r>
          </w:p>
        </w:tc>
        <w:tc>
          <w:tcPr>
            <w:tcW w:w="3711" w:type="dxa"/>
            <w:vAlign w:val="top"/>
          </w:tcPr>
          <w:p>
            <w:pPr>
              <w:pStyle w:val="TableText"/>
              <w:ind w:left="67"/>
              <w:spacing w:before="67" w:line="219" w:lineRule="auto"/>
              <w:rPr>
                <w:sz w:val="16"/>
                <w:szCs w:val="16"/>
              </w:rPr>
            </w:pPr>
            <w:r>
              <w:rPr>
                <w:sz w:val="16"/>
                <w:szCs w:val="16"/>
                <w:spacing w:val="1"/>
              </w:rPr>
              <w:t>1中华人民共和国私安全结1</w:t>
            </w:r>
          </w:p>
          <w:p>
            <w:pPr>
              <w:pStyle w:val="TableText"/>
              <w:ind w:left="67"/>
              <w:spacing w:line="209" w:lineRule="auto"/>
              <w:rPr>
                <w:sz w:val="16"/>
                <w:szCs w:val="16"/>
              </w:rPr>
            </w:pPr>
            <w:r>
              <w:rPr>
                <w:sz w:val="16"/>
                <w:szCs w:val="16"/>
                <w:spacing w:val="-1"/>
              </w:rPr>
              <w:t>工中学人民共和国酸射性污染防治甚》</w:t>
            </w:r>
          </w:p>
        </w:tc>
      </w:tr>
      <w:tr>
        <w:trPr>
          <w:trHeight w:val="879" w:hRule="atLeast"/>
        </w:trPr>
        <w:tc>
          <w:tcPr>
            <w:tcW w:w="594" w:type="dxa"/>
            <w:vAlign w:val="top"/>
          </w:tcPr>
          <w:p>
            <w:pPr>
              <w:spacing w:line="314" w:lineRule="auto"/>
              <w:rPr>
                <w:rFonts w:ascii="Arial"/>
                <w:sz w:val="21"/>
              </w:rPr>
            </w:pPr>
            <w:r/>
          </w:p>
          <w:p>
            <w:pPr>
              <w:pStyle w:val="TableText"/>
              <w:ind w:left="124"/>
              <w:spacing w:before="71" w:line="183" w:lineRule="auto"/>
              <w:rPr>
                <w:sz w:val="22"/>
                <w:szCs w:val="22"/>
              </w:rPr>
            </w:pPr>
            <w:r>
              <w:rPr>
                <w:sz w:val="22"/>
                <w:szCs w:val="22"/>
                <w:spacing w:val="-4"/>
              </w:rPr>
              <w:t>732</w:t>
            </w:r>
          </w:p>
        </w:tc>
        <w:tc>
          <w:tcPr>
            <w:tcW w:w="1279" w:type="dxa"/>
            <w:vAlign w:val="top"/>
          </w:tcPr>
          <w:p>
            <w:pPr>
              <w:spacing w:line="304" w:lineRule="auto"/>
              <w:rPr>
                <w:rFonts w:ascii="Arial"/>
                <w:sz w:val="21"/>
              </w:rPr>
            </w:pPr>
            <w:r/>
          </w:p>
          <w:p>
            <w:pPr>
              <w:pStyle w:val="TableText"/>
              <w:ind w:left="70"/>
              <w:spacing w:before="52" w:line="219" w:lineRule="auto"/>
              <w:rPr>
                <w:sz w:val="16"/>
                <w:szCs w:val="16"/>
              </w:rPr>
            </w:pPr>
            <w:r>
              <w:rPr>
                <w:sz w:val="16"/>
                <w:szCs w:val="16"/>
                <w:spacing w:val="2"/>
              </w:rPr>
              <w:t>国家国改料工局</w:t>
            </w:r>
          </w:p>
        </w:tc>
        <w:tc>
          <w:tcPr>
            <w:tcW w:w="1638" w:type="dxa"/>
            <w:vAlign w:val="top"/>
          </w:tcPr>
          <w:p>
            <w:pPr>
              <w:pStyle w:val="TableText"/>
              <w:ind w:left="92"/>
              <w:spacing w:before="67" w:line="219" w:lineRule="auto"/>
              <w:rPr>
                <w:sz w:val="16"/>
                <w:szCs w:val="16"/>
              </w:rPr>
            </w:pPr>
            <w:r>
              <w:rPr>
                <w:sz w:val="16"/>
                <w:szCs w:val="16"/>
                <w:spacing w:val="1"/>
              </w:rPr>
              <w:t>回助科投工业军用核</w:t>
            </w:r>
          </w:p>
          <w:p>
            <w:pPr>
              <w:pStyle w:val="TableText"/>
              <w:ind w:left="171"/>
              <w:spacing w:before="1" w:line="220" w:lineRule="auto"/>
              <w:rPr>
                <w:sz w:val="16"/>
                <w:szCs w:val="16"/>
              </w:rPr>
            </w:pPr>
            <w:r>
              <w:rPr>
                <w:sz w:val="16"/>
                <w:szCs w:val="16"/>
                <w:spacing w:val="-1"/>
              </w:rPr>
              <w:t>设施核安全设备设</w:t>
            </w:r>
          </w:p>
          <w:p>
            <w:pPr>
              <w:pStyle w:val="TableText"/>
              <w:ind w:left="41" w:right="22" w:hanging="30"/>
              <w:spacing w:before="29" w:line="219" w:lineRule="auto"/>
              <w:rPr>
                <w:sz w:val="16"/>
                <w:szCs w:val="16"/>
              </w:rPr>
            </w:pPr>
            <w:r>
              <w:rPr>
                <w:sz w:val="16"/>
                <w:szCs w:val="16"/>
                <w:spacing w:val="-1"/>
              </w:rPr>
              <w:t>计，周动、发要，无我</w:t>
            </w:r>
            <w:r>
              <w:rPr>
                <w:sz w:val="16"/>
                <w:szCs w:val="16"/>
                <w:spacing w:val="2"/>
              </w:rPr>
              <w:t xml:space="preserve"> </w:t>
            </w:r>
            <w:r>
              <w:rPr>
                <w:sz w:val="16"/>
                <w:szCs w:val="16"/>
                <w:spacing w:val="-1"/>
              </w:rPr>
              <w:t>检验单位许可</w:t>
            </w:r>
          </w:p>
        </w:tc>
        <w:tc>
          <w:tcPr>
            <w:tcW w:w="2377" w:type="dxa"/>
            <w:vAlign w:val="top"/>
          </w:tcPr>
          <w:p>
            <w:pPr>
              <w:spacing w:line="304" w:lineRule="auto"/>
              <w:rPr>
                <w:rFonts w:ascii="Arial"/>
                <w:sz w:val="21"/>
              </w:rPr>
            </w:pPr>
            <w:r/>
          </w:p>
          <w:p>
            <w:pPr>
              <w:pStyle w:val="TableText"/>
              <w:ind w:left="83"/>
              <w:spacing w:before="52" w:line="219" w:lineRule="auto"/>
              <w:rPr>
                <w:sz w:val="16"/>
                <w:szCs w:val="16"/>
              </w:rPr>
            </w:pPr>
            <w:r>
              <w:rPr>
                <w:sz w:val="16"/>
                <w:szCs w:val="16"/>
                <w:spacing w:val="2"/>
              </w:rPr>
              <w:t>国家国防将工同</w:t>
            </w:r>
          </w:p>
        </w:tc>
        <w:tc>
          <w:tcPr>
            <w:tcW w:w="3711" w:type="dxa"/>
            <w:vAlign w:val="top"/>
          </w:tcPr>
          <w:p>
            <w:pPr>
              <w:spacing w:line="304" w:lineRule="auto"/>
              <w:rPr>
                <w:rFonts w:ascii="Arial"/>
                <w:sz w:val="21"/>
              </w:rPr>
            </w:pPr>
            <w:r/>
          </w:p>
          <w:p>
            <w:pPr>
              <w:pStyle w:val="TableText"/>
              <w:ind w:left="67"/>
              <w:spacing w:before="52" w:line="219" w:lineRule="auto"/>
              <w:rPr>
                <w:sz w:val="16"/>
                <w:szCs w:val="16"/>
              </w:rPr>
            </w:pPr>
            <w:r>
              <w:rPr>
                <w:sz w:val="16"/>
                <w:szCs w:val="16"/>
                <w:spacing w:val="2"/>
              </w:rPr>
              <w:t>1中华人民共师国碳苦全法)</w:t>
            </w:r>
          </w:p>
        </w:tc>
      </w:tr>
      <w:tr>
        <w:trPr>
          <w:trHeight w:val="859" w:hRule="atLeast"/>
        </w:trPr>
        <w:tc>
          <w:tcPr>
            <w:tcW w:w="594" w:type="dxa"/>
            <w:vAlign w:val="top"/>
          </w:tcPr>
          <w:p>
            <w:pPr>
              <w:spacing w:line="336" w:lineRule="auto"/>
              <w:rPr>
                <w:rFonts w:ascii="Arial"/>
                <w:sz w:val="21"/>
              </w:rPr>
            </w:pPr>
            <w:r/>
          </w:p>
          <w:p>
            <w:pPr>
              <w:pStyle w:val="TableText"/>
              <w:ind w:left="164"/>
              <w:spacing w:before="52" w:line="183" w:lineRule="auto"/>
              <w:rPr>
                <w:sz w:val="16"/>
                <w:szCs w:val="16"/>
              </w:rPr>
            </w:pPr>
            <w:r>
              <w:rPr>
                <w:sz w:val="16"/>
                <w:szCs w:val="16"/>
                <w:spacing w:val="-3"/>
              </w:rPr>
              <w:t>734</w:t>
            </w:r>
          </w:p>
        </w:tc>
        <w:tc>
          <w:tcPr>
            <w:tcW w:w="1279" w:type="dxa"/>
            <w:vAlign w:val="top"/>
          </w:tcPr>
          <w:p>
            <w:pPr>
              <w:spacing w:line="296" w:lineRule="auto"/>
              <w:rPr>
                <w:rFonts w:ascii="Arial"/>
                <w:sz w:val="21"/>
              </w:rPr>
            </w:pPr>
            <w:r/>
          </w:p>
          <w:p>
            <w:pPr>
              <w:pStyle w:val="TableText"/>
              <w:ind w:left="70"/>
              <w:spacing w:before="52" w:line="220" w:lineRule="auto"/>
              <w:rPr>
                <w:sz w:val="16"/>
                <w:szCs w:val="16"/>
              </w:rPr>
            </w:pPr>
            <w:r>
              <w:rPr>
                <w:sz w:val="16"/>
                <w:szCs w:val="16"/>
                <w:spacing w:val="2"/>
              </w:rPr>
              <w:t>国家国防料工局</w:t>
            </w:r>
          </w:p>
        </w:tc>
        <w:tc>
          <w:tcPr>
            <w:tcW w:w="1638" w:type="dxa"/>
            <w:vAlign w:val="top"/>
          </w:tcPr>
          <w:p>
            <w:pPr>
              <w:pStyle w:val="TableText"/>
              <w:ind w:left="42" w:right="86" w:firstLine="50"/>
              <w:spacing w:before="68" w:line="225" w:lineRule="auto"/>
              <w:jc w:val="both"/>
              <w:rPr>
                <w:sz w:val="16"/>
                <w:szCs w:val="16"/>
              </w:rPr>
            </w:pPr>
            <w:r>
              <w:rPr>
                <w:sz w:val="16"/>
                <w:szCs w:val="16"/>
                <w:spacing w:val="1"/>
              </w:rPr>
              <w:t>国防科技工壶军用核</w:t>
            </w:r>
            <w:r>
              <w:rPr>
                <w:sz w:val="16"/>
                <w:szCs w:val="16"/>
              </w:rPr>
              <w:t xml:space="preserve"> </w:t>
            </w:r>
            <w:r>
              <w:rPr>
                <w:sz w:val="16"/>
                <w:szCs w:val="16"/>
                <w:spacing w:val="4"/>
              </w:rPr>
              <w:t>设德偿燃人益及核安 </w:t>
            </w:r>
            <w:r>
              <w:rPr>
                <w:sz w:val="16"/>
                <w:szCs w:val="16"/>
                <w:spacing w:val="4"/>
              </w:rPr>
              <w:t>全设备特种工艺人黄</w:t>
            </w:r>
            <w:r>
              <w:rPr>
                <w:sz w:val="16"/>
                <w:szCs w:val="16"/>
                <w:spacing w:val="6"/>
              </w:rPr>
              <w:t xml:space="preserve"> </w:t>
            </w:r>
            <w:r>
              <w:rPr>
                <w:sz w:val="16"/>
                <w:szCs w:val="16"/>
                <w:spacing w:val="2"/>
              </w:rPr>
              <w:t>资格认定</w:t>
            </w:r>
          </w:p>
        </w:tc>
        <w:tc>
          <w:tcPr>
            <w:tcW w:w="2377" w:type="dxa"/>
            <w:vAlign w:val="top"/>
          </w:tcPr>
          <w:p>
            <w:pPr>
              <w:spacing w:line="294" w:lineRule="auto"/>
              <w:rPr>
                <w:rFonts w:ascii="Arial"/>
                <w:sz w:val="21"/>
              </w:rPr>
            </w:pPr>
            <w:r/>
          </w:p>
          <w:p>
            <w:pPr>
              <w:pStyle w:val="TableText"/>
              <w:ind w:left="83"/>
              <w:spacing w:before="52" w:line="219" w:lineRule="auto"/>
              <w:rPr>
                <w:sz w:val="16"/>
                <w:szCs w:val="16"/>
              </w:rPr>
            </w:pPr>
            <w:r>
              <w:rPr>
                <w:sz w:val="16"/>
                <w:szCs w:val="16"/>
                <w:spacing w:val="2"/>
              </w:rPr>
              <w:t>国家国新科工局</w:t>
            </w:r>
          </w:p>
        </w:tc>
        <w:tc>
          <w:tcPr>
            <w:tcW w:w="3711" w:type="dxa"/>
            <w:vAlign w:val="top"/>
          </w:tcPr>
          <w:p>
            <w:pPr>
              <w:pStyle w:val="TableText"/>
              <w:ind w:left="67"/>
              <w:spacing w:before="259" w:line="242" w:lineRule="auto"/>
              <w:rPr>
                <w:sz w:val="16"/>
                <w:szCs w:val="16"/>
              </w:rPr>
            </w:pPr>
            <w:r>
              <w:rPr>
                <w:sz w:val="16"/>
                <w:szCs w:val="16"/>
                <w:spacing w:val="-1"/>
              </w:rPr>
              <w:t>(中华人民共和国核安受店》</w:t>
            </w:r>
          </w:p>
          <w:p>
            <w:pPr>
              <w:pStyle w:val="TableText"/>
              <w:ind w:left="67"/>
              <w:spacing w:line="219" w:lineRule="auto"/>
              <w:rPr>
                <w:sz w:val="16"/>
                <w:szCs w:val="16"/>
              </w:rPr>
            </w:pPr>
            <w:r>
              <w:rPr>
                <w:sz w:val="16"/>
                <w:szCs w:val="16"/>
                <w:spacing w:val="2"/>
              </w:rPr>
              <w:t>家现变资格目录(2621年版)</w:t>
            </w:r>
          </w:p>
        </w:tc>
      </w:tr>
      <w:tr>
        <w:trPr>
          <w:trHeight w:val="479" w:hRule="atLeast"/>
        </w:trPr>
        <w:tc>
          <w:tcPr>
            <w:tcW w:w="594" w:type="dxa"/>
            <w:vAlign w:val="top"/>
          </w:tcPr>
          <w:p>
            <w:pPr>
              <w:pStyle w:val="TableText"/>
              <w:ind w:left="204"/>
              <w:spacing w:before="202" w:line="182" w:lineRule="auto"/>
              <w:rPr>
                <w:sz w:val="16"/>
                <w:szCs w:val="16"/>
              </w:rPr>
            </w:pPr>
            <w:r>
              <w:rPr>
                <w:sz w:val="16"/>
                <w:szCs w:val="16"/>
                <w:spacing w:val="-2"/>
              </w:rPr>
              <w:t>ZH</w:t>
            </w:r>
          </w:p>
        </w:tc>
        <w:tc>
          <w:tcPr>
            <w:tcW w:w="1279" w:type="dxa"/>
            <w:vAlign w:val="top"/>
          </w:tcPr>
          <w:p>
            <w:pPr>
              <w:pStyle w:val="TableText"/>
              <w:ind w:left="70"/>
              <w:spacing w:before="161" w:line="220" w:lineRule="auto"/>
              <w:rPr>
                <w:sz w:val="16"/>
                <w:szCs w:val="16"/>
              </w:rPr>
            </w:pPr>
            <w:r>
              <w:rPr>
                <w:sz w:val="16"/>
                <w:szCs w:val="16"/>
                <w:spacing w:val="2"/>
              </w:rPr>
              <w:t>国家回防料工局</w:t>
            </w:r>
          </w:p>
        </w:tc>
        <w:tc>
          <w:tcPr>
            <w:tcW w:w="1638" w:type="dxa"/>
            <w:vAlign w:val="top"/>
          </w:tcPr>
          <w:p>
            <w:pPr>
              <w:pStyle w:val="TableText"/>
              <w:ind w:left="42" w:right="102" w:firstLine="50"/>
              <w:spacing w:before="61" w:line="235" w:lineRule="auto"/>
              <w:rPr>
                <w:sz w:val="16"/>
                <w:szCs w:val="16"/>
              </w:rPr>
            </w:pPr>
            <w:r>
              <w:rPr>
                <w:sz w:val="16"/>
                <w:szCs w:val="16"/>
                <w:spacing w:val="-1"/>
              </w:rPr>
              <w:t>技电站实体保卫工程</w:t>
            </w:r>
            <w:r>
              <w:rPr>
                <w:sz w:val="16"/>
                <w:szCs w:val="16"/>
                <w:spacing w:val="1"/>
              </w:rPr>
              <w:t xml:space="preserve"> </w:t>
            </w:r>
            <w:r>
              <w:rPr>
                <w:sz w:val="16"/>
                <w:szCs w:val="16"/>
                <w:spacing w:val="-2"/>
              </w:rPr>
              <w:t>验收</w:t>
            </w:r>
          </w:p>
        </w:tc>
        <w:tc>
          <w:tcPr>
            <w:tcW w:w="2377" w:type="dxa"/>
            <w:vAlign w:val="top"/>
          </w:tcPr>
          <w:p>
            <w:pPr>
              <w:pStyle w:val="TableText"/>
              <w:ind w:left="83"/>
              <w:spacing w:before="159" w:line="219" w:lineRule="auto"/>
              <w:rPr>
                <w:sz w:val="16"/>
                <w:szCs w:val="16"/>
              </w:rPr>
            </w:pPr>
            <w:r>
              <w:rPr>
                <w:sz w:val="16"/>
                <w:szCs w:val="16"/>
              </w:rPr>
              <w:t>国家国防科工局金同公安部</w:t>
            </w:r>
          </w:p>
        </w:tc>
        <w:tc>
          <w:tcPr>
            <w:tcW w:w="3711" w:type="dxa"/>
            <w:vAlign w:val="top"/>
          </w:tcPr>
          <w:p>
            <w:pPr>
              <w:pStyle w:val="TableText"/>
              <w:ind w:left="67" w:right="187" w:firstLine="79"/>
              <w:spacing w:before="51" w:line="241" w:lineRule="auto"/>
              <w:rPr>
                <w:sz w:val="16"/>
                <w:szCs w:val="16"/>
              </w:rPr>
            </w:pPr>
            <w:r>
              <w:rPr>
                <w:sz w:val="16"/>
                <w:szCs w:val="16"/>
              </w:rPr>
              <w:t>国夯院对确常保留的行政审批须打设足行政许可</w:t>
            </w:r>
            <w:r>
              <w:rPr>
                <w:sz w:val="16"/>
                <w:szCs w:val="16"/>
                <w:spacing w:val="5"/>
              </w:rPr>
              <w:t xml:space="preserve"> </w:t>
            </w:r>
            <w:r>
              <w:rPr>
                <w:sz w:val="16"/>
                <w:szCs w:val="16"/>
              </w:rPr>
              <w:t>的决定》</w:t>
            </w:r>
          </w:p>
        </w:tc>
      </w:tr>
      <w:tr>
        <w:trPr>
          <w:trHeight w:val="469" w:hRule="atLeast"/>
        </w:trPr>
        <w:tc>
          <w:tcPr>
            <w:tcW w:w="594" w:type="dxa"/>
            <w:vAlign w:val="top"/>
          </w:tcPr>
          <w:p>
            <w:pPr>
              <w:pStyle w:val="TableText"/>
              <w:ind w:left="164"/>
              <w:spacing w:before="202" w:line="183" w:lineRule="auto"/>
              <w:rPr>
                <w:sz w:val="16"/>
                <w:szCs w:val="16"/>
              </w:rPr>
            </w:pPr>
            <w:r>
              <w:rPr>
                <w:sz w:val="16"/>
                <w:szCs w:val="16"/>
                <w:spacing w:val="-3"/>
              </w:rPr>
              <w:t>745</w:t>
            </w:r>
          </w:p>
        </w:tc>
        <w:tc>
          <w:tcPr>
            <w:tcW w:w="1279" w:type="dxa"/>
            <w:vAlign w:val="top"/>
          </w:tcPr>
          <w:p>
            <w:pPr>
              <w:pStyle w:val="TableText"/>
              <w:ind w:left="70"/>
              <w:spacing w:before="161" w:line="219" w:lineRule="auto"/>
              <w:rPr>
                <w:sz w:val="16"/>
                <w:szCs w:val="16"/>
              </w:rPr>
            </w:pPr>
            <w:r>
              <w:rPr>
                <w:sz w:val="16"/>
                <w:szCs w:val="16"/>
              </w:rPr>
              <w:t>国家国防料工高</w:t>
            </w:r>
          </w:p>
        </w:tc>
        <w:tc>
          <w:tcPr>
            <w:tcW w:w="1638" w:type="dxa"/>
            <w:vAlign w:val="top"/>
          </w:tcPr>
          <w:p>
            <w:pPr>
              <w:pStyle w:val="TableText"/>
              <w:ind w:left="52" w:right="101" w:firstLine="40"/>
              <w:spacing w:before="70" w:line="224" w:lineRule="auto"/>
              <w:rPr>
                <w:sz w:val="16"/>
                <w:szCs w:val="16"/>
              </w:rPr>
            </w:pPr>
            <w:r>
              <w:rPr>
                <w:sz w:val="16"/>
                <w:szCs w:val="16"/>
                <w:spacing w:val="-1"/>
              </w:rPr>
              <w:t>稹产县转运及过地施</w:t>
            </w:r>
            <w:r>
              <w:rPr>
                <w:sz w:val="16"/>
                <w:szCs w:val="16"/>
                <w:spacing w:val="2"/>
              </w:rPr>
              <w:t xml:space="preserve"> </w:t>
            </w:r>
            <w:r>
              <w:rPr>
                <w:sz w:val="16"/>
                <w:szCs w:val="16"/>
                <w:spacing w:val="-3"/>
              </w:rPr>
              <w:t>结审直</w:t>
            </w:r>
          </w:p>
        </w:tc>
        <w:tc>
          <w:tcPr>
            <w:tcW w:w="2377" w:type="dxa"/>
            <w:vAlign w:val="top"/>
          </w:tcPr>
          <w:p>
            <w:pPr>
              <w:pStyle w:val="TableText"/>
              <w:ind w:left="83"/>
              <w:spacing w:before="160" w:line="219" w:lineRule="auto"/>
              <w:rPr>
                <w:sz w:val="16"/>
                <w:szCs w:val="16"/>
              </w:rPr>
            </w:pPr>
            <w:r>
              <w:rPr>
                <w:sz w:val="16"/>
                <w:szCs w:val="16"/>
              </w:rPr>
              <w:t>国家国药利工场会同商各部</w:t>
            </w:r>
          </w:p>
        </w:tc>
        <w:tc>
          <w:tcPr>
            <w:tcW w:w="3711" w:type="dxa"/>
            <w:vAlign w:val="top"/>
          </w:tcPr>
          <w:p>
            <w:pPr>
              <w:pStyle w:val="TableText"/>
              <w:ind w:left="67" w:right="187" w:firstLine="79"/>
              <w:spacing w:before="71" w:line="219" w:lineRule="auto"/>
              <w:rPr>
                <w:sz w:val="16"/>
                <w:szCs w:val="16"/>
              </w:rPr>
            </w:pPr>
            <w:r>
              <w:rPr>
                <w:sz w:val="16"/>
                <w:szCs w:val="16"/>
              </w:rPr>
              <w:t>国务院对确替保留的行政审表项日设定右政评何</w:t>
            </w:r>
            <w:r>
              <w:rPr>
                <w:sz w:val="16"/>
                <w:szCs w:val="16"/>
                <w:spacing w:val="5"/>
              </w:rPr>
              <w:t xml:space="preserve"> </w:t>
            </w:r>
            <w:r>
              <w:rPr>
                <w:sz w:val="16"/>
                <w:szCs w:val="16"/>
                <w:spacing w:val="-3"/>
              </w:rPr>
              <w:t>他决定》</w:t>
            </w:r>
          </w:p>
        </w:tc>
      </w:tr>
      <w:tr>
        <w:trPr>
          <w:trHeight w:val="479" w:hRule="atLeast"/>
        </w:trPr>
        <w:tc>
          <w:tcPr>
            <w:tcW w:w="594" w:type="dxa"/>
            <w:vAlign w:val="top"/>
          </w:tcPr>
          <w:p>
            <w:pPr>
              <w:pStyle w:val="TableText"/>
              <w:ind w:left="204"/>
              <w:spacing w:before="203" w:line="183" w:lineRule="auto"/>
              <w:rPr>
                <w:sz w:val="16"/>
                <w:szCs w:val="16"/>
              </w:rPr>
            </w:pPr>
            <w:r>
              <w:rPr>
                <w:sz w:val="16"/>
                <w:szCs w:val="16"/>
                <w:spacing w:val="-3"/>
              </w:rPr>
              <w:t>73</w:t>
            </w:r>
          </w:p>
        </w:tc>
        <w:tc>
          <w:tcPr>
            <w:tcW w:w="1279" w:type="dxa"/>
            <w:vAlign w:val="top"/>
          </w:tcPr>
          <w:p>
            <w:pPr>
              <w:pStyle w:val="TableText"/>
              <w:ind w:left="70"/>
              <w:spacing w:before="163" w:line="220" w:lineRule="auto"/>
              <w:rPr>
                <w:sz w:val="16"/>
                <w:szCs w:val="16"/>
              </w:rPr>
            </w:pPr>
            <w:r>
              <w:rPr>
                <w:sz w:val="16"/>
                <w:szCs w:val="16"/>
                <w:spacing w:val="1"/>
              </w:rPr>
              <w:t>国家国防料工号</w:t>
            </w:r>
          </w:p>
        </w:tc>
        <w:tc>
          <w:tcPr>
            <w:tcW w:w="1638" w:type="dxa"/>
            <w:vAlign w:val="top"/>
          </w:tcPr>
          <w:p>
            <w:pPr>
              <w:pStyle w:val="TableText"/>
              <w:ind w:left="52" w:right="75" w:firstLine="40"/>
              <w:spacing w:before="62" w:line="226" w:lineRule="auto"/>
              <w:rPr>
                <w:sz w:val="16"/>
                <w:szCs w:val="16"/>
              </w:rPr>
            </w:pPr>
            <w:r>
              <w:rPr>
                <w:sz w:val="16"/>
                <w:szCs w:val="16"/>
                <w:spacing w:val="2"/>
              </w:rPr>
              <w:t>植物项及相关技素山</w:t>
            </w:r>
            <w:r>
              <w:rPr>
                <w:sz w:val="16"/>
                <w:szCs w:val="16"/>
                <w:spacing w:val="1"/>
              </w:rPr>
              <w:t xml:space="preserve"> </w:t>
            </w:r>
            <w:r>
              <w:rPr>
                <w:sz w:val="16"/>
                <w:szCs w:val="16"/>
                <w:spacing w:val="2"/>
              </w:rPr>
              <w:t>口审者</w:t>
            </w:r>
          </w:p>
        </w:tc>
        <w:tc>
          <w:tcPr>
            <w:tcW w:w="2377" w:type="dxa"/>
            <w:vAlign w:val="top"/>
          </w:tcPr>
          <w:p>
            <w:pPr>
              <w:pStyle w:val="TableText"/>
              <w:ind w:left="83" w:right="188"/>
              <w:spacing w:before="71" w:line="214" w:lineRule="auto"/>
              <w:rPr>
                <w:sz w:val="16"/>
                <w:szCs w:val="16"/>
              </w:rPr>
            </w:pPr>
            <w:r>
              <w:rPr>
                <w:sz w:val="16"/>
                <w:szCs w:val="16"/>
                <w:spacing w:val="1"/>
              </w:rPr>
              <w:t>国童国防科工局惠分享理会同</w:t>
            </w:r>
            <w:r>
              <w:rPr>
                <w:sz w:val="16"/>
                <w:szCs w:val="16"/>
              </w:rPr>
              <w:t xml:space="preserve"> </w:t>
            </w:r>
            <w:r>
              <w:rPr>
                <w:sz w:val="16"/>
                <w:szCs w:val="16"/>
                <w:spacing w:val="3"/>
              </w:rPr>
              <w:t>商务部，外交部审老)</w:t>
            </w:r>
          </w:p>
        </w:tc>
        <w:tc>
          <w:tcPr>
            <w:tcW w:w="3711" w:type="dxa"/>
            <w:vAlign w:val="top"/>
          </w:tcPr>
          <w:p>
            <w:pPr>
              <w:pStyle w:val="TableText"/>
              <w:ind w:left="67"/>
              <w:spacing w:before="162" w:line="219" w:lineRule="auto"/>
              <w:rPr>
                <w:sz w:val="16"/>
                <w:szCs w:val="16"/>
              </w:rPr>
            </w:pPr>
            <w:r>
              <w:rPr>
                <w:sz w:val="16"/>
                <w:szCs w:val="16"/>
                <w:spacing w:val="1"/>
              </w:rPr>
              <w:t>4中毕人民共和国核出口管脑条例1</w:t>
            </w:r>
          </w:p>
        </w:tc>
      </w:tr>
      <w:tr>
        <w:trPr>
          <w:trHeight w:val="469" w:hRule="atLeast"/>
        </w:trPr>
        <w:tc>
          <w:tcPr>
            <w:tcW w:w="594" w:type="dxa"/>
            <w:vAlign w:val="top"/>
          </w:tcPr>
          <w:p>
            <w:pPr>
              <w:pStyle w:val="TableText"/>
              <w:ind w:left="164"/>
              <w:spacing w:before="204" w:line="183" w:lineRule="auto"/>
              <w:rPr>
                <w:sz w:val="16"/>
                <w:szCs w:val="16"/>
              </w:rPr>
            </w:pPr>
            <w:r>
              <w:rPr>
                <w:sz w:val="16"/>
                <w:szCs w:val="16"/>
                <w:spacing w:val="-3"/>
              </w:rPr>
              <w:t>737</w:t>
            </w:r>
          </w:p>
        </w:tc>
        <w:tc>
          <w:tcPr>
            <w:tcW w:w="1279" w:type="dxa"/>
            <w:vAlign w:val="top"/>
          </w:tcPr>
          <w:p>
            <w:pPr>
              <w:pStyle w:val="TableText"/>
              <w:ind w:left="70"/>
              <w:spacing w:before="164" w:line="220" w:lineRule="auto"/>
              <w:rPr>
                <w:sz w:val="16"/>
                <w:szCs w:val="16"/>
              </w:rPr>
            </w:pPr>
            <w:r>
              <w:rPr>
                <w:sz w:val="16"/>
                <w:szCs w:val="16"/>
                <w:spacing w:val="1"/>
              </w:rPr>
              <w:t>国家回防料工是</w:t>
            </w:r>
          </w:p>
        </w:tc>
        <w:tc>
          <w:tcPr>
            <w:tcW w:w="1638" w:type="dxa"/>
            <w:vAlign w:val="top"/>
          </w:tcPr>
          <w:p>
            <w:pPr>
              <w:pStyle w:val="TableText"/>
              <w:ind w:left="52" w:right="84" w:firstLine="40"/>
              <w:spacing w:before="72" w:line="223" w:lineRule="auto"/>
              <w:rPr>
                <w:sz w:val="16"/>
                <w:szCs w:val="16"/>
              </w:rPr>
            </w:pPr>
            <w:r>
              <w:rPr>
                <w:sz w:val="16"/>
                <w:szCs w:val="16"/>
                <w:spacing w:val="1"/>
              </w:rPr>
              <w:t>军品卷加国际性展章 </w:t>
            </w:r>
            <w:r>
              <w:rPr>
                <w:sz w:val="16"/>
                <w:szCs w:val="16"/>
                <w:spacing w:val="3"/>
              </w:rPr>
              <w:t>中批</w:t>
            </w:r>
          </w:p>
        </w:tc>
        <w:tc>
          <w:tcPr>
            <w:tcW w:w="2377" w:type="dxa"/>
            <w:vAlign w:val="top"/>
          </w:tcPr>
          <w:p>
            <w:pPr>
              <w:pStyle w:val="TableText"/>
              <w:ind w:left="83" w:right="276"/>
              <w:spacing w:before="72" w:line="223" w:lineRule="auto"/>
              <w:rPr>
                <w:sz w:val="16"/>
                <w:szCs w:val="16"/>
              </w:rPr>
            </w:pPr>
            <w:r>
              <w:rPr>
                <w:sz w:val="16"/>
                <w:szCs w:val="16"/>
              </w:rPr>
              <w:t>国家国防称[局或者中史军委</w:t>
            </w:r>
            <w:r>
              <w:rPr>
                <w:sz w:val="16"/>
                <w:szCs w:val="16"/>
                <w:spacing w:val="5"/>
              </w:rPr>
              <w:t xml:space="preserve"> </w:t>
            </w:r>
            <w:r>
              <w:rPr>
                <w:sz w:val="16"/>
                <w:szCs w:val="16"/>
                <w:spacing w:val="-1"/>
              </w:rPr>
              <w:t>装奋发用部</w:t>
            </w:r>
          </w:p>
        </w:tc>
        <w:tc>
          <w:tcPr>
            <w:tcW w:w="3711" w:type="dxa"/>
            <w:vAlign w:val="top"/>
          </w:tcPr>
          <w:p>
            <w:pPr>
              <w:pStyle w:val="TableText"/>
              <w:ind w:left="67"/>
              <w:spacing w:before="163" w:line="219" w:lineRule="auto"/>
              <w:rPr>
                <w:sz w:val="16"/>
                <w:szCs w:val="16"/>
              </w:rPr>
            </w:pPr>
            <w:r>
              <w:rPr>
                <w:sz w:val="16"/>
                <w:szCs w:val="16"/>
                <w:spacing w:val="-1"/>
              </w:rPr>
              <w:t>(中华人现先和国的口管向法》</w:t>
            </w:r>
          </w:p>
        </w:tc>
      </w:tr>
      <w:tr>
        <w:trPr>
          <w:trHeight w:val="469" w:hRule="atLeast"/>
        </w:trPr>
        <w:tc>
          <w:tcPr>
            <w:tcW w:w="594" w:type="dxa"/>
            <w:vAlign w:val="top"/>
          </w:tcPr>
          <w:p>
            <w:pPr>
              <w:pStyle w:val="TableText"/>
              <w:ind w:left="164"/>
              <w:spacing w:before="205" w:line="183" w:lineRule="auto"/>
              <w:rPr>
                <w:sz w:val="16"/>
                <w:szCs w:val="16"/>
              </w:rPr>
            </w:pPr>
            <w:r>
              <w:rPr>
                <w:sz w:val="16"/>
                <w:szCs w:val="16"/>
                <w:spacing w:val="-3"/>
              </w:rPr>
              <w:t>756</w:t>
            </w:r>
          </w:p>
        </w:tc>
        <w:tc>
          <w:tcPr>
            <w:tcW w:w="1279" w:type="dxa"/>
            <w:vAlign w:val="top"/>
          </w:tcPr>
          <w:p>
            <w:pPr>
              <w:pStyle w:val="TableText"/>
              <w:ind w:left="70"/>
              <w:spacing w:before="165" w:line="220" w:lineRule="auto"/>
              <w:rPr>
                <w:sz w:val="16"/>
                <w:szCs w:val="16"/>
              </w:rPr>
            </w:pPr>
            <w:r>
              <w:rPr>
                <w:sz w:val="16"/>
                <w:szCs w:val="16"/>
                <w:spacing w:val="2"/>
              </w:rPr>
              <w:t>国家国防料工局</w:t>
            </w:r>
          </w:p>
        </w:tc>
        <w:tc>
          <w:tcPr>
            <w:tcW w:w="1638" w:type="dxa"/>
            <w:vAlign w:val="top"/>
          </w:tcPr>
          <w:p>
            <w:pPr>
              <w:pStyle w:val="TableText"/>
              <w:ind w:left="62"/>
              <w:spacing w:before="163" w:line="219" w:lineRule="auto"/>
              <w:rPr>
                <w:sz w:val="16"/>
                <w:szCs w:val="16"/>
              </w:rPr>
            </w:pPr>
            <w:r>
              <w:rPr>
                <w:sz w:val="16"/>
                <w:szCs w:val="16"/>
                <w:spacing w:val="-2"/>
              </w:rPr>
              <w:t>军是出口许可</w:t>
            </w:r>
          </w:p>
        </w:tc>
        <w:tc>
          <w:tcPr>
            <w:tcW w:w="2377" w:type="dxa"/>
            <w:vAlign w:val="top"/>
          </w:tcPr>
          <w:p>
            <w:pPr>
              <w:pStyle w:val="TableText"/>
              <w:ind w:left="83" w:right="35"/>
              <w:spacing w:before="73" w:line="215" w:lineRule="auto"/>
              <w:rPr>
                <w:sz w:val="16"/>
                <w:szCs w:val="16"/>
              </w:rPr>
            </w:pPr>
            <w:r>
              <w:rPr>
                <w:sz w:val="16"/>
                <w:szCs w:val="16"/>
              </w:rPr>
              <w:t>国家国防科工周，中电事委替备</w:t>
            </w:r>
            <w:r>
              <w:rPr>
                <w:sz w:val="16"/>
                <w:szCs w:val="16"/>
                <w:spacing w:val="6"/>
              </w:rPr>
              <w:t xml:space="preserve"> </w:t>
            </w:r>
            <w:r>
              <w:rPr>
                <w:sz w:val="16"/>
                <w:szCs w:val="16"/>
                <w:spacing w:val="-2"/>
              </w:rPr>
              <w:t>发程查</w:t>
            </w:r>
          </w:p>
        </w:tc>
        <w:tc>
          <w:tcPr>
            <w:tcW w:w="3711" w:type="dxa"/>
            <w:vAlign w:val="top"/>
          </w:tcPr>
          <w:p>
            <w:pPr>
              <w:pStyle w:val="TableText"/>
              <w:ind w:left="67"/>
              <w:spacing w:before="84" w:line="207" w:lineRule="auto"/>
              <w:rPr>
                <w:sz w:val="16"/>
                <w:szCs w:val="16"/>
              </w:rPr>
            </w:pPr>
            <w:r>
              <w:rPr>
                <w:sz w:val="16"/>
                <w:szCs w:val="16"/>
                <w:spacing w:val="-1"/>
              </w:rPr>
              <w:t>L中华人民共和国出口壹侧法</w:t>
            </w:r>
          </w:p>
          <w:p>
            <w:pPr>
              <w:pStyle w:val="TableText"/>
              <w:ind w:left="67"/>
              <w:spacing w:line="218" w:lineRule="auto"/>
              <w:rPr>
                <w:sz w:val="16"/>
                <w:szCs w:val="16"/>
              </w:rPr>
            </w:pPr>
            <w:r>
              <w:rPr>
                <w:sz w:val="16"/>
                <w:szCs w:val="16"/>
                <w:spacing w:val="-1"/>
              </w:rPr>
              <w:t>北中华人民共和国东是州口管理条的》</w:t>
            </w:r>
          </w:p>
        </w:tc>
      </w:tr>
      <w:tr>
        <w:trPr>
          <w:trHeight w:val="724" w:hRule="atLeast"/>
        </w:trPr>
        <w:tc>
          <w:tcPr>
            <w:tcW w:w="594" w:type="dxa"/>
            <w:vAlign w:val="top"/>
          </w:tcPr>
          <w:p>
            <w:pPr>
              <w:spacing w:line="273" w:lineRule="auto"/>
              <w:rPr>
                <w:rFonts w:ascii="Arial"/>
                <w:sz w:val="21"/>
              </w:rPr>
            </w:pPr>
            <w:r/>
          </w:p>
          <w:p>
            <w:pPr>
              <w:pStyle w:val="TableText"/>
              <w:ind w:left="164"/>
              <w:spacing w:before="52" w:line="183" w:lineRule="auto"/>
              <w:rPr>
                <w:sz w:val="16"/>
                <w:szCs w:val="16"/>
              </w:rPr>
            </w:pPr>
            <w:r>
              <w:rPr>
                <w:sz w:val="16"/>
                <w:szCs w:val="16"/>
                <w:spacing w:val="-3"/>
              </w:rPr>
              <w:t>7.9</w:t>
            </w:r>
          </w:p>
        </w:tc>
        <w:tc>
          <w:tcPr>
            <w:tcW w:w="1279" w:type="dxa"/>
            <w:vAlign w:val="top"/>
          </w:tcPr>
          <w:p>
            <w:pPr>
              <w:pStyle w:val="TableText"/>
              <w:ind w:left="231"/>
              <w:spacing w:before="285" w:line="219" w:lineRule="auto"/>
              <w:rPr>
                <w:sz w:val="16"/>
                <w:szCs w:val="16"/>
              </w:rPr>
            </w:pPr>
            <w:r>
              <w:rPr>
                <w:sz w:val="16"/>
                <w:szCs w:val="16"/>
                <w:spacing w:val="1"/>
              </w:rPr>
              <w:t>国家驾草格</w:t>
            </w:r>
          </w:p>
        </w:tc>
        <w:tc>
          <w:tcPr>
            <w:tcW w:w="1638" w:type="dxa"/>
            <w:vAlign w:val="top"/>
          </w:tcPr>
          <w:p>
            <w:pPr>
              <w:pStyle w:val="TableText"/>
              <w:ind w:left="11" w:right="3" w:firstLine="80"/>
              <w:spacing w:before="95" w:line="238" w:lineRule="auto"/>
              <w:rPr>
                <w:sz w:val="16"/>
                <w:szCs w:val="16"/>
              </w:rPr>
            </w:pPr>
            <w:r>
              <w:rPr>
                <w:sz w:val="16"/>
                <w:szCs w:val="16"/>
                <w:spacing w:val="-1"/>
              </w:rPr>
              <w:t>湖草制品生产企业设</w:t>
            </w:r>
            <w:r>
              <w:rPr>
                <w:sz w:val="16"/>
                <w:szCs w:val="16"/>
                <w:spacing w:val="1"/>
              </w:rPr>
              <w:t xml:space="preserve">  </w:t>
            </w:r>
            <w:r>
              <w:rPr>
                <w:sz w:val="16"/>
                <w:szCs w:val="16"/>
                <w:spacing w:val="1"/>
              </w:rPr>
              <w:t>空，分立，合非，嚣胡 </w:t>
            </w:r>
            <w:r>
              <w:rPr>
                <w:sz w:val="16"/>
                <w:szCs w:val="16"/>
                <w:spacing w:val="24"/>
              </w:rPr>
              <w:t>市亚</w:t>
            </w:r>
          </w:p>
        </w:tc>
        <w:tc>
          <w:tcPr>
            <w:tcW w:w="2377" w:type="dxa"/>
            <w:vAlign w:val="top"/>
          </w:tcPr>
          <w:p>
            <w:pPr>
              <w:pStyle w:val="TableText"/>
              <w:ind w:left="83" w:right="114"/>
              <w:spacing w:before="205" w:line="220" w:lineRule="auto"/>
              <w:rPr>
                <w:sz w:val="16"/>
                <w:szCs w:val="16"/>
              </w:rPr>
            </w:pPr>
            <w:r>
              <w:rPr>
                <w:sz w:val="16"/>
                <w:szCs w:val="16"/>
              </w:rPr>
              <w:t>国家烟草局(由省级集尊都门有</w:t>
            </w:r>
            <w:r>
              <w:rPr>
                <w:sz w:val="16"/>
                <w:szCs w:val="16"/>
                <w:spacing w:val="7"/>
              </w:rPr>
              <w:t xml:space="preserve"> </w:t>
            </w:r>
            <w:r>
              <w:rPr>
                <w:sz w:val="16"/>
                <w:szCs w:val="16"/>
                <w:spacing w:val="-8"/>
              </w:rPr>
              <w:t>审</w:t>
            </w:r>
            <w:r>
              <w:rPr>
                <w:sz w:val="16"/>
                <w:szCs w:val="16"/>
                <w:spacing w:val="-23"/>
              </w:rPr>
              <w:t xml:space="preserve"> </w:t>
            </w:r>
            <w:r>
              <w:rPr>
                <w:sz w:val="16"/>
                <w:szCs w:val="16"/>
                <w:spacing w:val="-8"/>
              </w:rPr>
              <w:t>)</w:t>
            </w:r>
          </w:p>
        </w:tc>
        <w:tc>
          <w:tcPr>
            <w:tcW w:w="3711" w:type="dxa"/>
            <w:vAlign w:val="top"/>
          </w:tcPr>
          <w:p>
            <w:pPr>
              <w:pStyle w:val="TableText"/>
              <w:spacing w:before="195" w:line="219" w:lineRule="auto"/>
              <w:rPr>
                <w:sz w:val="16"/>
                <w:szCs w:val="16"/>
              </w:rPr>
            </w:pPr>
            <w:r>
              <w:rPr>
                <w:sz w:val="16"/>
                <w:szCs w:val="16"/>
                <w:spacing w:val="-1"/>
              </w:rPr>
              <w:t>《中做人民共和国烟草专实法)</w:t>
            </w:r>
          </w:p>
          <w:p>
            <w:pPr>
              <w:pStyle w:val="TableText"/>
              <w:spacing w:before="29" w:line="219" w:lineRule="auto"/>
              <w:rPr>
                <w:sz w:val="16"/>
                <w:szCs w:val="16"/>
              </w:rPr>
            </w:pPr>
            <w:r>
              <w:rPr>
                <w:sz w:val="16"/>
                <w:szCs w:val="16"/>
                <w:spacing w:val="-1"/>
              </w:rPr>
              <w:t>《中华人地北和国始章专实法实题务损1</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00928" behindDoc="0" locked="0" layoutInCell="0" allowOverlap="1">
                <wp:simplePos x="0" y="0"/>
                <wp:positionH relativeFrom="page">
                  <wp:posOffset>464057</wp:posOffset>
                </wp:positionH>
                <wp:positionV relativeFrom="page">
                  <wp:posOffset>617676</wp:posOffset>
                </wp:positionV>
                <wp:extent cx="172720" cy="156845"/>
                <wp:effectExtent l="0" t="0" r="0" b="0"/>
                <wp:wrapNone/>
                <wp:docPr id="318" name="TextBox 318"/>
                <wp:cNvGraphicFramePr/>
                <a:graphic>
                  <a:graphicData uri="http://schemas.microsoft.com/office/word/2010/wordprocessingShape">
                    <wps:wsp>
                      <wps:cNvSpPr txBox="1"/>
                      <wps:spPr>
                        <a:xfrm rot="5400000">
                          <a:off x="464057"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0" style="position:absolute;margin-left:36.54pt;margin-top:48.6359pt;mso-position-vertical-relative:page;mso-position-horizontal-relative:page;width:13.6pt;height:12.35pt;z-index:25190092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240</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0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中央主管想门</w:t>
            </w:r>
          </w:p>
        </w:tc>
        <w:tc>
          <w:tcPr>
            <w:tcW w:w="1648" w:type="dxa"/>
            <w:vAlign w:val="top"/>
          </w:tcPr>
          <w:p>
            <w:pPr>
              <w:pStyle w:val="TableText"/>
              <w:ind w:left="491"/>
              <w:spacing w:before="132" w:line="220" w:lineRule="auto"/>
              <w:rPr>
                <w:sz w:val="16"/>
                <w:szCs w:val="16"/>
              </w:rPr>
            </w:pPr>
            <w:r>
              <w:rPr>
                <w:sz w:val="16"/>
                <w:szCs w:val="16"/>
                <w:spacing w:val="-2"/>
              </w:rPr>
              <w:t>事填名称</w:t>
            </w:r>
          </w:p>
        </w:tc>
        <w:tc>
          <w:tcPr>
            <w:tcW w:w="2367" w:type="dxa"/>
            <w:vAlign w:val="top"/>
          </w:tcPr>
          <w:p>
            <w:pPr>
              <w:pStyle w:val="TableText"/>
              <w:ind w:left="834"/>
              <w:spacing w:before="130" w:line="219" w:lineRule="auto"/>
              <w:rPr>
                <w:sz w:val="16"/>
                <w:szCs w:val="16"/>
              </w:rPr>
            </w:pPr>
            <w:r>
              <w:rPr>
                <w:sz w:val="16"/>
                <w:szCs w:val="16"/>
                <w:spacing w:val="-2"/>
              </w:rPr>
              <w:t>害题机关</w:t>
            </w:r>
          </w:p>
        </w:tc>
        <w:tc>
          <w:tcPr>
            <w:tcW w:w="3701" w:type="dxa"/>
            <w:vAlign w:val="top"/>
          </w:tcPr>
          <w:p>
            <w:pPr>
              <w:pStyle w:val="TableText"/>
              <w:ind w:left="1299"/>
              <w:spacing w:before="129" w:line="220" w:lineRule="auto"/>
              <w:rPr>
                <w:sz w:val="16"/>
                <w:szCs w:val="16"/>
              </w:rPr>
            </w:pPr>
            <w:r>
              <w:rPr>
                <w:sz w:val="16"/>
                <w:szCs w:val="16"/>
                <w:b/>
                <w:bCs/>
                <w:spacing w:val="-3"/>
              </w:rPr>
              <w:t>世是和要均保接</w:t>
            </w:r>
          </w:p>
        </w:tc>
      </w:tr>
      <w:tr>
        <w:trPr>
          <w:trHeight w:val="459" w:hRule="atLeast"/>
        </w:trPr>
        <w:tc>
          <w:tcPr>
            <w:tcW w:w="584" w:type="dxa"/>
            <w:vAlign w:val="top"/>
          </w:tcPr>
          <w:p>
            <w:pPr>
              <w:pStyle w:val="TableText"/>
              <w:ind w:left="164"/>
              <w:spacing w:before="188" w:line="183" w:lineRule="auto"/>
              <w:rPr>
                <w:sz w:val="16"/>
                <w:szCs w:val="16"/>
              </w:rPr>
            </w:pPr>
            <w:r>
              <w:rPr>
                <w:sz w:val="16"/>
                <w:szCs w:val="16"/>
                <w:spacing w:val="-3"/>
              </w:rPr>
              <w:t>740</w:t>
            </w:r>
          </w:p>
        </w:tc>
        <w:tc>
          <w:tcPr>
            <w:tcW w:w="1289" w:type="dxa"/>
            <w:vAlign w:val="top"/>
          </w:tcPr>
          <w:p>
            <w:pPr>
              <w:pStyle w:val="TableText"/>
              <w:ind w:left="231"/>
              <w:spacing w:before="147" w:line="219" w:lineRule="auto"/>
              <w:rPr>
                <w:sz w:val="16"/>
                <w:szCs w:val="16"/>
              </w:rPr>
            </w:pPr>
            <w:r>
              <w:rPr>
                <w:sz w:val="16"/>
                <w:szCs w:val="16"/>
                <w:spacing w:val="-1"/>
              </w:rPr>
              <w:t>海象圳单到</w:t>
            </w:r>
          </w:p>
        </w:tc>
        <w:tc>
          <w:tcPr>
            <w:tcW w:w="1648" w:type="dxa"/>
            <w:vAlign w:val="top"/>
          </w:tcPr>
          <w:p>
            <w:pPr>
              <w:pStyle w:val="TableText"/>
              <w:ind w:left="52" w:right="116" w:firstLine="40"/>
              <w:spacing w:before="66" w:line="215" w:lineRule="auto"/>
              <w:rPr>
                <w:sz w:val="16"/>
                <w:szCs w:val="16"/>
              </w:rPr>
            </w:pPr>
            <w:r>
              <w:rPr>
                <w:sz w:val="16"/>
                <w:szCs w:val="16"/>
                <w:spacing w:val="-2"/>
              </w:rPr>
              <w:t>到章查实品生产金业</w:t>
            </w:r>
            <w:r>
              <w:rPr>
                <w:sz w:val="16"/>
                <w:szCs w:val="16"/>
                <w:spacing w:val="6"/>
              </w:rPr>
              <w:t xml:space="preserve"> </w:t>
            </w:r>
            <w:r>
              <w:rPr>
                <w:sz w:val="16"/>
                <w:szCs w:val="16"/>
                <w:spacing w:val="-2"/>
              </w:rPr>
              <w:t>许可</w:t>
            </w:r>
          </w:p>
        </w:tc>
        <w:tc>
          <w:tcPr>
            <w:tcW w:w="2367" w:type="dxa"/>
            <w:vAlign w:val="top"/>
          </w:tcPr>
          <w:p>
            <w:pPr>
              <w:pStyle w:val="TableText"/>
              <w:ind w:left="64" w:right="136" w:hanging="10"/>
              <w:spacing w:before="76" w:line="211" w:lineRule="auto"/>
              <w:rPr>
                <w:sz w:val="16"/>
                <w:szCs w:val="16"/>
              </w:rPr>
            </w:pPr>
            <w:r>
              <w:rPr>
                <w:sz w:val="16"/>
                <w:szCs w:val="16"/>
              </w:rPr>
              <w:t>国家划草同(出省裂询章部f1格</w:t>
            </w:r>
            <w:r>
              <w:rPr>
                <w:sz w:val="16"/>
                <w:szCs w:val="16"/>
                <w:spacing w:val="5"/>
              </w:rPr>
              <w:t xml:space="preserve"> </w:t>
            </w:r>
            <w:r>
              <w:rPr>
                <w:sz w:val="16"/>
                <w:szCs w:val="16"/>
                <w:spacing w:val="-1"/>
              </w:rPr>
              <w:t>W)</w:t>
            </w:r>
          </w:p>
        </w:tc>
        <w:tc>
          <w:tcPr>
            <w:tcW w:w="3701" w:type="dxa"/>
            <w:vAlign w:val="top"/>
          </w:tcPr>
          <w:p>
            <w:pPr>
              <w:pStyle w:val="TableText"/>
              <w:spacing w:before="67" w:line="219" w:lineRule="auto"/>
              <w:rPr>
                <w:sz w:val="16"/>
                <w:szCs w:val="16"/>
              </w:rPr>
            </w:pPr>
            <w:r>
              <w:rPr>
                <w:sz w:val="16"/>
                <w:szCs w:val="16"/>
                <w:spacing w:val="-2"/>
              </w:rPr>
              <w:t>《中华人民共和国道单专卖法)</w:t>
            </w:r>
          </w:p>
          <w:p>
            <w:pPr>
              <w:pStyle w:val="TableText"/>
              <w:ind w:left="56"/>
              <w:spacing w:before="9" w:line="210" w:lineRule="auto"/>
              <w:rPr>
                <w:sz w:val="16"/>
                <w:szCs w:val="16"/>
              </w:rPr>
            </w:pPr>
            <w:r>
              <w:rPr>
                <w:sz w:val="16"/>
                <w:szCs w:val="16"/>
                <w:spacing w:val="1"/>
              </w:rPr>
              <w:t>4中华人民共和国烟草专卖法实障条例)</w:t>
            </w:r>
          </w:p>
        </w:tc>
      </w:tr>
      <w:tr>
        <w:trPr>
          <w:trHeight w:val="449" w:hRule="atLeast"/>
        </w:trPr>
        <w:tc>
          <w:tcPr>
            <w:tcW w:w="584" w:type="dxa"/>
            <w:vAlign w:val="top"/>
          </w:tcPr>
          <w:p>
            <w:pPr>
              <w:pStyle w:val="TableText"/>
              <w:ind w:left="164"/>
              <w:spacing w:before="188" w:line="184" w:lineRule="auto"/>
              <w:rPr>
                <w:sz w:val="16"/>
                <w:szCs w:val="16"/>
              </w:rPr>
            </w:pPr>
            <w:r>
              <w:rPr>
                <w:sz w:val="16"/>
                <w:szCs w:val="16"/>
                <w:spacing w:val="-3"/>
              </w:rPr>
              <w:t>741</w:t>
            </w:r>
          </w:p>
        </w:tc>
        <w:tc>
          <w:tcPr>
            <w:tcW w:w="1289" w:type="dxa"/>
            <w:vAlign w:val="top"/>
          </w:tcPr>
          <w:p>
            <w:pPr>
              <w:pStyle w:val="TableText"/>
              <w:ind w:left="231"/>
              <w:spacing w:before="148" w:line="219" w:lineRule="auto"/>
              <w:rPr>
                <w:sz w:val="16"/>
                <w:szCs w:val="16"/>
              </w:rPr>
            </w:pPr>
            <w:r>
              <w:rPr>
                <w:sz w:val="16"/>
                <w:szCs w:val="16"/>
                <w:spacing w:val="2"/>
              </w:rPr>
              <w:t>属家烟草局</w:t>
            </w:r>
          </w:p>
        </w:tc>
        <w:tc>
          <w:tcPr>
            <w:tcW w:w="1648" w:type="dxa"/>
            <w:vAlign w:val="top"/>
          </w:tcPr>
          <w:p>
            <w:pPr>
              <w:pStyle w:val="TableText"/>
              <w:ind w:left="52" w:right="114" w:firstLine="40"/>
              <w:spacing w:before="38" w:line="231" w:lineRule="auto"/>
              <w:rPr>
                <w:sz w:val="16"/>
                <w:szCs w:val="16"/>
              </w:rPr>
            </w:pPr>
            <w:r>
              <w:rPr>
                <w:sz w:val="16"/>
                <w:szCs w:val="16"/>
                <w:spacing w:val="-1"/>
              </w:rPr>
              <w:t>设立外商投资编草专</w:t>
            </w:r>
            <w:r>
              <w:rPr>
                <w:sz w:val="16"/>
                <w:szCs w:val="16"/>
              </w:rPr>
              <w:t xml:space="preserve"> </w:t>
            </w:r>
            <w:r>
              <w:rPr>
                <w:sz w:val="16"/>
                <w:szCs w:val="16"/>
                <w:spacing w:val="-1"/>
              </w:rPr>
              <w:t>卖生产企业审批</w:t>
            </w:r>
          </w:p>
        </w:tc>
        <w:tc>
          <w:tcPr>
            <w:tcW w:w="2367" w:type="dxa"/>
            <w:vAlign w:val="top"/>
          </w:tcPr>
          <w:p>
            <w:pPr>
              <w:pStyle w:val="TableText"/>
              <w:ind w:left="64"/>
              <w:spacing w:before="148" w:line="219" w:lineRule="auto"/>
              <w:rPr>
                <w:sz w:val="16"/>
                <w:szCs w:val="16"/>
              </w:rPr>
            </w:pPr>
            <w:r>
              <w:rPr>
                <w:sz w:val="16"/>
                <w:szCs w:val="16"/>
                <w:spacing w:val="2"/>
              </w:rPr>
              <w:t>国家烟草局</w:t>
            </w:r>
          </w:p>
        </w:tc>
        <w:tc>
          <w:tcPr>
            <w:tcW w:w="3701" w:type="dxa"/>
            <w:vAlign w:val="top"/>
          </w:tcPr>
          <w:p>
            <w:pPr>
              <w:pStyle w:val="TableText"/>
              <w:ind w:left="56"/>
              <w:spacing w:before="48" w:line="219" w:lineRule="auto"/>
              <w:rPr>
                <w:sz w:val="16"/>
                <w:szCs w:val="16"/>
              </w:rPr>
            </w:pPr>
            <w:r>
              <w:rPr>
                <w:sz w:val="16"/>
                <w:szCs w:val="16"/>
                <w:spacing w:val="-1"/>
              </w:rPr>
              <w:t>1中华人民共和国烟草专要法》</w:t>
            </w:r>
          </w:p>
          <w:p>
            <w:pPr>
              <w:pStyle w:val="TableText"/>
              <w:ind w:left="56"/>
              <w:spacing w:before="29" w:line="197" w:lineRule="auto"/>
              <w:rPr>
                <w:sz w:val="16"/>
                <w:szCs w:val="16"/>
              </w:rPr>
            </w:pPr>
            <w:r>
              <w:rPr>
                <w:sz w:val="16"/>
                <w:szCs w:val="16"/>
              </w:rPr>
              <w:t>1中华人民其和国相草考卖法实整条解</w:t>
            </w:r>
          </w:p>
        </w:tc>
      </w:tr>
      <w:tr>
        <w:trPr>
          <w:trHeight w:val="849" w:hRule="atLeast"/>
        </w:trPr>
        <w:tc>
          <w:tcPr>
            <w:tcW w:w="584" w:type="dxa"/>
            <w:vAlign w:val="top"/>
          </w:tcPr>
          <w:p>
            <w:pPr>
              <w:spacing w:line="336" w:lineRule="auto"/>
              <w:rPr>
                <w:rFonts w:ascii="Arial"/>
                <w:sz w:val="21"/>
              </w:rPr>
            </w:pPr>
            <w:r/>
          </w:p>
          <w:p>
            <w:pPr>
              <w:pStyle w:val="TableText"/>
              <w:ind w:left="164"/>
              <w:spacing w:before="52" w:line="183" w:lineRule="auto"/>
              <w:rPr>
                <w:sz w:val="16"/>
                <w:szCs w:val="16"/>
              </w:rPr>
            </w:pPr>
            <w:r>
              <w:rPr>
                <w:sz w:val="16"/>
                <w:szCs w:val="16"/>
                <w:spacing w:val="-3"/>
              </w:rPr>
              <w:t>742</w:t>
            </w:r>
          </w:p>
        </w:tc>
        <w:tc>
          <w:tcPr>
            <w:tcW w:w="1289" w:type="dxa"/>
            <w:vAlign w:val="top"/>
          </w:tcPr>
          <w:p>
            <w:pPr>
              <w:spacing w:line="295" w:lineRule="auto"/>
              <w:rPr>
                <w:rFonts w:ascii="Arial"/>
                <w:sz w:val="21"/>
              </w:rPr>
            </w:pPr>
            <w:r/>
          </w:p>
          <w:p>
            <w:pPr>
              <w:pStyle w:val="TableText"/>
              <w:ind w:left="231"/>
              <w:spacing w:before="52" w:line="219" w:lineRule="auto"/>
              <w:rPr>
                <w:sz w:val="16"/>
                <w:szCs w:val="16"/>
              </w:rPr>
            </w:pPr>
            <w:r>
              <w:rPr>
                <w:sz w:val="16"/>
                <w:szCs w:val="16"/>
                <w:spacing w:val="2"/>
              </w:rPr>
              <w:t>医家烟草局</w:t>
            </w:r>
          </w:p>
        </w:tc>
        <w:tc>
          <w:tcPr>
            <w:tcW w:w="1648" w:type="dxa"/>
            <w:vAlign w:val="top"/>
          </w:tcPr>
          <w:p>
            <w:pPr>
              <w:pStyle w:val="TableText"/>
              <w:ind w:left="22" w:right="112" w:firstLine="70"/>
              <w:spacing w:before="40" w:line="228" w:lineRule="auto"/>
              <w:jc w:val="both"/>
              <w:rPr>
                <w:sz w:val="16"/>
                <w:szCs w:val="16"/>
              </w:rPr>
            </w:pPr>
            <w:r>
              <w:rPr>
                <w:sz w:val="16"/>
                <w:szCs w:val="16"/>
                <w:spacing w:val="-2"/>
              </w:rPr>
              <w:t>外国烟草制品率牌减</w:t>
            </w:r>
            <w:r>
              <w:rPr>
                <w:sz w:val="16"/>
                <w:szCs w:val="16"/>
                <w:spacing w:val="7"/>
              </w:rPr>
              <w:t xml:space="preserve"> </w:t>
            </w:r>
            <w:r>
              <w:rPr>
                <w:sz w:val="16"/>
                <w:szCs w:val="16"/>
                <w:spacing w:val="6"/>
              </w:rPr>
              <w:t>案料加工：许可证生</w:t>
            </w:r>
            <w:r>
              <w:rPr>
                <w:sz w:val="16"/>
                <w:szCs w:val="16"/>
                <w:spacing w:val="7"/>
              </w:rPr>
              <w:t xml:space="preserve"> </w:t>
            </w:r>
            <w:r>
              <w:rPr>
                <w:sz w:val="16"/>
                <w:szCs w:val="16"/>
                <w:spacing w:val="7"/>
              </w:rPr>
              <w:t>产，合作开发卷期厚</w:t>
            </w:r>
            <w:r>
              <w:rPr>
                <w:sz w:val="16"/>
                <w:szCs w:val="16"/>
              </w:rPr>
              <w:t xml:space="preserve"> </w:t>
            </w:r>
            <w:r>
              <w:rPr>
                <w:sz w:val="16"/>
                <w:szCs w:val="16"/>
                <w:spacing w:val="-3"/>
              </w:rPr>
              <w:t>号审批</w:t>
            </w:r>
          </w:p>
        </w:tc>
        <w:tc>
          <w:tcPr>
            <w:tcW w:w="2367" w:type="dxa"/>
            <w:vAlign w:val="top"/>
          </w:tcPr>
          <w:p>
            <w:pPr>
              <w:spacing w:line="295" w:lineRule="auto"/>
              <w:rPr>
                <w:rFonts w:ascii="Arial"/>
                <w:sz w:val="21"/>
              </w:rPr>
            </w:pPr>
            <w:r/>
          </w:p>
          <w:p>
            <w:pPr>
              <w:pStyle w:val="TableText"/>
              <w:ind w:left="64"/>
              <w:spacing w:before="52" w:line="219" w:lineRule="auto"/>
              <w:rPr>
                <w:sz w:val="16"/>
                <w:szCs w:val="16"/>
              </w:rPr>
            </w:pPr>
            <w:r>
              <w:rPr>
                <w:sz w:val="16"/>
                <w:szCs w:val="16"/>
                <w:spacing w:val="1"/>
              </w:rPr>
              <w:t>国象刚率具</w:t>
            </w:r>
          </w:p>
        </w:tc>
        <w:tc>
          <w:tcPr>
            <w:tcW w:w="3701" w:type="dxa"/>
            <w:vAlign w:val="top"/>
          </w:tcPr>
          <w:p>
            <w:pPr>
              <w:pStyle w:val="TableText"/>
              <w:spacing w:before="159" w:line="208" w:lineRule="auto"/>
              <w:rPr>
                <w:sz w:val="16"/>
                <w:szCs w:val="16"/>
              </w:rPr>
            </w:pPr>
            <w:r>
              <w:rPr>
                <w:sz w:val="16"/>
                <w:szCs w:val="16"/>
                <w:spacing w:val="-3"/>
              </w:rPr>
              <w:t>《中华人民先和国如章专素法?</w:t>
            </w:r>
          </w:p>
          <w:p>
            <w:pPr>
              <w:pStyle w:val="TableText"/>
              <w:ind w:left="56" w:right="197" w:hanging="10"/>
              <w:spacing w:line="231" w:lineRule="auto"/>
              <w:rPr>
                <w:sz w:val="16"/>
                <w:szCs w:val="16"/>
              </w:rPr>
            </w:pPr>
            <w:r>
              <w:rPr>
                <w:sz w:val="16"/>
                <w:szCs w:val="16"/>
              </w:rPr>
              <w:t>1国务院对确前保解的行政事批确日设定有段许可</w:t>
            </w:r>
            <w:r>
              <w:rPr>
                <w:sz w:val="16"/>
                <w:szCs w:val="16"/>
                <w:spacing w:val="5"/>
              </w:rPr>
              <w:t xml:space="preserve"> </w:t>
            </w:r>
            <w:r>
              <w:rPr>
                <w:sz w:val="16"/>
                <w:szCs w:val="16"/>
                <w:spacing w:val="4"/>
              </w:rPr>
              <w:t>的战定1</w:t>
            </w:r>
          </w:p>
        </w:tc>
      </w:tr>
      <w:tr>
        <w:trPr>
          <w:trHeight w:val="449" w:hRule="atLeast"/>
        </w:trPr>
        <w:tc>
          <w:tcPr>
            <w:tcW w:w="584" w:type="dxa"/>
            <w:vAlign w:val="top"/>
          </w:tcPr>
          <w:p>
            <w:pPr>
              <w:pStyle w:val="TableText"/>
              <w:ind w:left="164"/>
              <w:spacing w:before="191" w:line="183" w:lineRule="auto"/>
              <w:rPr>
                <w:sz w:val="16"/>
                <w:szCs w:val="16"/>
              </w:rPr>
            </w:pPr>
            <w:r>
              <w:rPr>
                <w:sz w:val="16"/>
                <w:szCs w:val="16"/>
                <w:spacing w:val="-3"/>
              </w:rPr>
              <w:t>743</w:t>
            </w:r>
          </w:p>
        </w:tc>
        <w:tc>
          <w:tcPr>
            <w:tcW w:w="1289" w:type="dxa"/>
            <w:vAlign w:val="top"/>
          </w:tcPr>
          <w:p>
            <w:pPr>
              <w:pStyle w:val="TableText"/>
              <w:ind w:left="231"/>
              <w:spacing w:before="150" w:line="219" w:lineRule="auto"/>
              <w:rPr>
                <w:sz w:val="16"/>
                <w:szCs w:val="16"/>
              </w:rPr>
            </w:pPr>
            <w:r>
              <w:rPr>
                <w:sz w:val="16"/>
                <w:szCs w:val="16"/>
                <w:spacing w:val="1"/>
              </w:rPr>
              <w:t>国家第草毒</w:t>
            </w:r>
          </w:p>
        </w:tc>
        <w:tc>
          <w:tcPr>
            <w:tcW w:w="1648" w:type="dxa"/>
            <w:vAlign w:val="top"/>
          </w:tcPr>
          <w:p>
            <w:pPr>
              <w:pStyle w:val="TableText"/>
              <w:ind w:left="22" w:right="71" w:firstLine="70"/>
              <w:spacing w:before="50" w:line="220" w:lineRule="auto"/>
              <w:rPr>
                <w:sz w:val="16"/>
                <w:szCs w:val="16"/>
              </w:rPr>
            </w:pPr>
            <w:r>
              <w:rPr>
                <w:sz w:val="16"/>
                <w:szCs w:val="16"/>
                <w:spacing w:val="3"/>
              </w:rPr>
              <w:t>载立烟叶收调站(点) </w:t>
            </w:r>
            <w:r>
              <w:rPr>
                <w:sz w:val="16"/>
                <w:szCs w:val="16"/>
                <w:spacing w:val="3"/>
              </w:rPr>
              <w:t>审批</w:t>
            </w:r>
          </w:p>
        </w:tc>
        <w:tc>
          <w:tcPr>
            <w:tcW w:w="2367" w:type="dxa"/>
            <w:vAlign w:val="top"/>
          </w:tcPr>
          <w:p>
            <w:pPr>
              <w:pStyle w:val="TableText"/>
              <w:ind w:left="64"/>
              <w:spacing w:before="150" w:line="219" w:lineRule="auto"/>
              <w:rPr>
                <w:sz w:val="16"/>
                <w:szCs w:val="16"/>
              </w:rPr>
            </w:pPr>
            <w:r>
              <w:rPr>
                <w:sz w:val="16"/>
                <w:szCs w:val="16"/>
                <w:spacing w:val="1"/>
              </w:rPr>
              <w:t>设区的市级绵草部门</w:t>
            </w:r>
          </w:p>
        </w:tc>
        <w:tc>
          <w:tcPr>
            <w:tcW w:w="3701" w:type="dxa"/>
            <w:vAlign w:val="top"/>
          </w:tcPr>
          <w:p>
            <w:pPr>
              <w:pStyle w:val="TableText"/>
              <w:ind w:left="56"/>
              <w:spacing w:before="150" w:line="219" w:lineRule="auto"/>
              <w:rPr>
                <w:sz w:val="16"/>
                <w:szCs w:val="16"/>
              </w:rPr>
            </w:pPr>
            <w:r>
              <w:rPr>
                <w:sz w:val="16"/>
                <w:szCs w:val="16"/>
              </w:rPr>
              <w:t>(中华人民死和国望京专实法实地美例7</w:t>
            </w:r>
          </w:p>
        </w:tc>
      </w:tr>
      <w:tr>
        <w:trPr>
          <w:trHeight w:val="639" w:hRule="atLeast"/>
        </w:trPr>
        <w:tc>
          <w:tcPr>
            <w:tcW w:w="584" w:type="dxa"/>
            <w:vAlign w:val="top"/>
          </w:tcPr>
          <w:p>
            <w:pPr>
              <w:pStyle w:val="TableText"/>
              <w:ind w:left="164"/>
              <w:spacing w:before="282" w:line="183" w:lineRule="auto"/>
              <w:rPr>
                <w:sz w:val="16"/>
                <w:szCs w:val="16"/>
              </w:rPr>
            </w:pPr>
            <w:r>
              <w:rPr>
                <w:sz w:val="16"/>
                <w:szCs w:val="16"/>
                <w:spacing w:val="-3"/>
              </w:rPr>
              <w:t>744</w:t>
            </w:r>
          </w:p>
        </w:tc>
        <w:tc>
          <w:tcPr>
            <w:tcW w:w="1289" w:type="dxa"/>
            <w:vAlign w:val="top"/>
          </w:tcPr>
          <w:p>
            <w:pPr>
              <w:pStyle w:val="TableText"/>
              <w:ind w:left="231"/>
              <w:spacing w:before="241" w:line="219" w:lineRule="auto"/>
              <w:rPr>
                <w:sz w:val="16"/>
                <w:szCs w:val="16"/>
              </w:rPr>
            </w:pPr>
            <w:r>
              <w:rPr>
                <w:sz w:val="16"/>
                <w:szCs w:val="16"/>
                <w:spacing w:val="2"/>
              </w:rPr>
              <w:t>国室期草局</w:t>
            </w:r>
          </w:p>
        </w:tc>
        <w:tc>
          <w:tcPr>
            <w:tcW w:w="1648" w:type="dxa"/>
            <w:vAlign w:val="top"/>
          </w:tcPr>
          <w:p>
            <w:pPr>
              <w:pStyle w:val="TableText"/>
              <w:ind w:left="92" w:right="89"/>
              <w:spacing w:before="41" w:line="226" w:lineRule="auto"/>
              <w:jc w:val="both"/>
              <w:rPr>
                <w:sz w:val="16"/>
                <w:szCs w:val="16"/>
              </w:rPr>
            </w:pPr>
            <w:r>
              <w:rPr>
                <w:sz w:val="16"/>
                <w:szCs w:val="16"/>
                <w:spacing w:val="1"/>
              </w:rPr>
              <w:t>如章制品生产企业即</w:t>
            </w:r>
            <w:r>
              <w:rPr>
                <w:sz w:val="16"/>
                <w:szCs w:val="16"/>
                <w:spacing w:val="6"/>
              </w:rPr>
              <w:t xml:space="preserve"> </w:t>
            </w:r>
            <w:r>
              <w:rPr>
                <w:sz w:val="16"/>
                <w:szCs w:val="16"/>
                <w:spacing w:val="-1"/>
              </w:rPr>
              <w:t>过年度总产量计划生</w:t>
            </w:r>
            <w:r>
              <w:rPr>
                <w:sz w:val="16"/>
                <w:szCs w:val="16"/>
                <w:spacing w:val="1"/>
              </w:rPr>
              <w:t xml:space="preserve"> </w:t>
            </w:r>
            <w:r>
              <w:rPr>
                <w:sz w:val="16"/>
                <w:szCs w:val="16"/>
                <w:spacing w:val="-1"/>
              </w:rPr>
              <w:t>产否烟、常药烟律批</w:t>
            </w:r>
          </w:p>
        </w:tc>
        <w:tc>
          <w:tcPr>
            <w:tcW w:w="2367" w:type="dxa"/>
            <w:vAlign w:val="top"/>
          </w:tcPr>
          <w:p>
            <w:pPr>
              <w:pStyle w:val="TableText"/>
              <w:ind w:left="64"/>
              <w:spacing w:before="240" w:line="219" w:lineRule="auto"/>
              <w:rPr>
                <w:sz w:val="16"/>
                <w:szCs w:val="16"/>
              </w:rPr>
            </w:pPr>
            <w:r>
              <w:rPr>
                <w:sz w:val="16"/>
                <w:szCs w:val="16"/>
                <w:spacing w:val="2"/>
              </w:rPr>
              <w:t>训家烟章局</w:t>
            </w:r>
          </w:p>
        </w:tc>
        <w:tc>
          <w:tcPr>
            <w:tcW w:w="3701" w:type="dxa"/>
            <w:vAlign w:val="top"/>
          </w:tcPr>
          <w:p>
            <w:pPr>
              <w:pStyle w:val="TableText"/>
              <w:ind w:left="56"/>
              <w:spacing w:before="241" w:line="219" w:lineRule="auto"/>
              <w:rPr>
                <w:sz w:val="16"/>
                <w:szCs w:val="16"/>
              </w:rPr>
            </w:pPr>
            <w:r>
              <w:rPr>
                <w:sz w:val="16"/>
                <w:szCs w:val="16"/>
                <w:spacing w:val="-1"/>
              </w:rPr>
              <w:t>1中非人民共和医烟草专卖法》</w:t>
            </w:r>
          </w:p>
        </w:tc>
      </w:tr>
      <w:tr>
        <w:trPr>
          <w:trHeight w:val="639" w:hRule="atLeast"/>
        </w:trPr>
        <w:tc>
          <w:tcPr>
            <w:tcW w:w="584" w:type="dxa"/>
            <w:vAlign w:val="top"/>
          </w:tcPr>
          <w:p>
            <w:pPr>
              <w:pStyle w:val="TableText"/>
              <w:ind w:left="164"/>
              <w:spacing w:before="283" w:line="183" w:lineRule="auto"/>
              <w:rPr>
                <w:sz w:val="16"/>
                <w:szCs w:val="16"/>
              </w:rPr>
            </w:pPr>
            <w:r>
              <w:rPr>
                <w:sz w:val="16"/>
                <w:szCs w:val="16"/>
                <w:spacing w:val="-3"/>
              </w:rPr>
              <w:t>74</w:t>
            </w:r>
          </w:p>
        </w:tc>
        <w:tc>
          <w:tcPr>
            <w:tcW w:w="1289" w:type="dxa"/>
            <w:vAlign w:val="top"/>
          </w:tcPr>
          <w:p>
            <w:pPr>
              <w:pStyle w:val="TableText"/>
              <w:ind w:left="231"/>
              <w:spacing w:before="242" w:line="219" w:lineRule="auto"/>
              <w:rPr>
                <w:sz w:val="16"/>
                <w:szCs w:val="16"/>
              </w:rPr>
            </w:pPr>
            <w:r>
              <w:rPr>
                <w:sz w:val="16"/>
                <w:szCs w:val="16"/>
                <w:spacing w:val="3"/>
              </w:rPr>
              <w:t>西家培草品</w:t>
            </w:r>
          </w:p>
        </w:tc>
        <w:tc>
          <w:tcPr>
            <w:tcW w:w="1648" w:type="dxa"/>
            <w:vAlign w:val="top"/>
          </w:tcPr>
          <w:p>
            <w:pPr>
              <w:pStyle w:val="TableText"/>
              <w:ind w:left="92" w:right="114"/>
              <w:spacing w:before="142" w:line="242" w:lineRule="auto"/>
              <w:rPr>
                <w:sz w:val="16"/>
                <w:szCs w:val="16"/>
              </w:rPr>
            </w:pPr>
            <w:r>
              <w:rPr>
                <w:sz w:val="16"/>
                <w:szCs w:val="16"/>
                <w:spacing w:val="-2"/>
              </w:rPr>
              <w:t>登架、如用二前酸好</w:t>
            </w:r>
            <w:r>
              <w:rPr>
                <w:sz w:val="16"/>
                <w:szCs w:val="16"/>
                <w:spacing w:val="7"/>
              </w:rPr>
              <w:t xml:space="preserve"> </w:t>
            </w:r>
            <w:r>
              <w:rPr>
                <w:sz w:val="16"/>
                <w:szCs w:val="16"/>
                <w:spacing w:val="-1"/>
              </w:rPr>
              <w:t>维款及经来明目德准</w:t>
            </w:r>
          </w:p>
        </w:tc>
        <w:tc>
          <w:tcPr>
            <w:tcW w:w="2367" w:type="dxa"/>
            <w:vAlign w:val="top"/>
          </w:tcPr>
          <w:p>
            <w:pPr>
              <w:pStyle w:val="TableText"/>
              <w:ind w:left="64"/>
              <w:spacing w:before="241" w:line="219" w:lineRule="auto"/>
              <w:rPr>
                <w:sz w:val="16"/>
                <w:szCs w:val="16"/>
              </w:rPr>
            </w:pPr>
            <w:r>
              <w:rPr>
                <w:sz w:val="16"/>
                <w:szCs w:val="16"/>
                <w:spacing w:val="1"/>
              </w:rPr>
              <w:t>园家图章篇</w:t>
            </w:r>
          </w:p>
        </w:tc>
        <w:tc>
          <w:tcPr>
            <w:tcW w:w="3701" w:type="dxa"/>
            <w:vAlign w:val="top"/>
          </w:tcPr>
          <w:p>
            <w:pPr>
              <w:pStyle w:val="TableText"/>
              <w:ind w:left="56"/>
              <w:spacing w:before="52" w:line="219" w:lineRule="auto"/>
              <w:rPr>
                <w:sz w:val="16"/>
                <w:szCs w:val="16"/>
              </w:rPr>
            </w:pPr>
            <w:r>
              <w:rPr>
                <w:sz w:val="16"/>
                <w:szCs w:val="16"/>
                <w:spacing w:val="2"/>
              </w:rPr>
              <w:t>1企业投景项目核希和备案管理条例)</w:t>
            </w:r>
          </w:p>
          <w:p>
            <w:pPr>
              <w:pStyle w:val="TableText"/>
              <w:ind w:left="56" w:right="177" w:firstLine="10"/>
              <w:spacing w:line="223" w:lineRule="auto"/>
              <w:rPr>
                <w:sz w:val="16"/>
                <w:szCs w:val="16"/>
              </w:rPr>
            </w:pPr>
            <w:r>
              <w:rPr>
                <w:sz w:val="16"/>
                <w:szCs w:val="16"/>
              </w:rPr>
              <w:t>1国务驶关于发布政府临瘤的投资项口日录2915年</w:t>
            </w:r>
            <w:r>
              <w:rPr>
                <w:sz w:val="16"/>
                <w:szCs w:val="16"/>
                <w:spacing w:val="5"/>
              </w:rPr>
              <w:t xml:space="preserve"> </w:t>
            </w:r>
            <w:r>
              <w:rPr>
                <w:sz w:val="16"/>
                <w:szCs w:val="16"/>
                <w:spacing w:val="2"/>
              </w:rPr>
              <w:t>本)的通知到国发[0]672号)</w:t>
            </w:r>
          </w:p>
        </w:tc>
      </w:tr>
      <w:tr>
        <w:trPr>
          <w:trHeight w:val="859" w:hRule="atLeast"/>
        </w:trPr>
        <w:tc>
          <w:tcPr>
            <w:tcW w:w="584" w:type="dxa"/>
            <w:vAlign w:val="top"/>
          </w:tcPr>
          <w:p>
            <w:pPr>
              <w:spacing w:line="340" w:lineRule="auto"/>
              <w:rPr>
                <w:rFonts w:ascii="Arial"/>
                <w:sz w:val="21"/>
              </w:rPr>
            </w:pPr>
            <w:r/>
          </w:p>
          <w:p>
            <w:pPr>
              <w:pStyle w:val="TableText"/>
              <w:ind w:left="164"/>
              <w:spacing w:before="52" w:line="183" w:lineRule="auto"/>
              <w:rPr>
                <w:sz w:val="16"/>
                <w:szCs w:val="16"/>
              </w:rPr>
            </w:pPr>
            <w:r>
              <w:rPr>
                <w:sz w:val="16"/>
                <w:szCs w:val="16"/>
                <w:spacing w:val="-3"/>
              </w:rPr>
              <w:t>746</w:t>
            </w:r>
          </w:p>
        </w:tc>
        <w:tc>
          <w:tcPr>
            <w:tcW w:w="1289" w:type="dxa"/>
            <w:vAlign w:val="top"/>
          </w:tcPr>
          <w:p>
            <w:pPr>
              <w:spacing w:line="299" w:lineRule="auto"/>
              <w:rPr>
                <w:rFonts w:ascii="Arial"/>
                <w:sz w:val="21"/>
              </w:rPr>
            </w:pPr>
            <w:r/>
          </w:p>
          <w:p>
            <w:pPr>
              <w:pStyle w:val="TableText"/>
              <w:ind w:left="231"/>
              <w:spacing w:before="52" w:line="219" w:lineRule="auto"/>
              <w:rPr>
                <w:sz w:val="16"/>
                <w:szCs w:val="16"/>
              </w:rPr>
            </w:pPr>
            <w:r>
              <w:rPr>
                <w:sz w:val="16"/>
                <w:szCs w:val="16"/>
                <w:spacing w:val="1"/>
              </w:rPr>
              <w:t>国家烟草题</w:t>
            </w:r>
          </w:p>
        </w:tc>
        <w:tc>
          <w:tcPr>
            <w:tcW w:w="1648" w:type="dxa"/>
            <w:vAlign w:val="top"/>
          </w:tcPr>
          <w:p>
            <w:pPr>
              <w:pStyle w:val="TableText"/>
              <w:ind w:left="62" w:right="112" w:firstLine="30"/>
              <w:spacing w:before="62" w:line="227" w:lineRule="auto"/>
              <w:jc w:val="both"/>
              <w:rPr>
                <w:sz w:val="16"/>
                <w:szCs w:val="16"/>
              </w:rPr>
            </w:pPr>
            <w:r>
              <w:rPr>
                <w:sz w:val="16"/>
                <w:szCs w:val="16"/>
                <w:spacing w:val="-2"/>
              </w:rPr>
              <w:t>粥草朝风生产业业为</w:t>
            </w:r>
            <w:r>
              <w:rPr>
                <w:sz w:val="16"/>
                <w:szCs w:val="16"/>
                <w:spacing w:val="5"/>
              </w:rPr>
              <w:t xml:space="preserve"> </w:t>
            </w:r>
            <w:r>
              <w:rPr>
                <w:sz w:val="16"/>
                <w:szCs w:val="16"/>
                <w:spacing w:val="2"/>
              </w:rPr>
              <w:t>扩大生产原力进行基</w:t>
            </w:r>
            <w:r>
              <w:rPr>
                <w:sz w:val="16"/>
                <w:szCs w:val="16"/>
                <w:spacing w:val="4"/>
              </w:rPr>
              <w:t xml:space="preserve"> </w:t>
            </w:r>
            <w:r>
              <w:rPr>
                <w:sz w:val="16"/>
                <w:szCs w:val="16"/>
                <w:spacing w:val="2"/>
              </w:rPr>
              <w:t>本过但或者推术古地</w:t>
            </w:r>
            <w:r>
              <w:rPr>
                <w:sz w:val="16"/>
                <w:szCs w:val="16"/>
                <w:spacing w:val="4"/>
              </w:rPr>
              <w:t xml:space="preserve"> </w:t>
            </w:r>
            <w:r>
              <w:rPr>
                <w:sz w:val="16"/>
                <w:szCs w:val="16"/>
                <w:spacing w:val="3"/>
              </w:rPr>
              <w:t>审量</w:t>
            </w:r>
          </w:p>
        </w:tc>
        <w:tc>
          <w:tcPr>
            <w:tcW w:w="2367" w:type="dxa"/>
            <w:vAlign w:val="top"/>
          </w:tcPr>
          <w:p>
            <w:pPr>
              <w:spacing w:line="299" w:lineRule="auto"/>
              <w:rPr>
                <w:rFonts w:ascii="Arial"/>
                <w:sz w:val="21"/>
              </w:rPr>
            </w:pPr>
            <w:r/>
          </w:p>
          <w:p>
            <w:pPr>
              <w:pStyle w:val="TableText"/>
              <w:ind w:left="64"/>
              <w:spacing w:before="52" w:line="219" w:lineRule="auto"/>
              <w:rPr>
                <w:sz w:val="16"/>
                <w:szCs w:val="16"/>
              </w:rPr>
            </w:pPr>
            <w:r>
              <w:rPr>
                <w:sz w:val="16"/>
                <w:szCs w:val="16"/>
                <w:spacing w:val="2"/>
              </w:rPr>
              <w:t>国家物草局</w:t>
            </w:r>
          </w:p>
        </w:tc>
        <w:tc>
          <w:tcPr>
            <w:tcW w:w="3701" w:type="dxa"/>
            <w:vAlign w:val="top"/>
          </w:tcPr>
          <w:p>
            <w:pPr>
              <w:spacing w:line="299" w:lineRule="auto"/>
              <w:rPr>
                <w:rFonts w:ascii="Arial"/>
                <w:sz w:val="21"/>
              </w:rPr>
            </w:pPr>
            <w:r/>
          </w:p>
          <w:p>
            <w:pPr>
              <w:pStyle w:val="TableText"/>
              <w:ind w:left="56"/>
              <w:spacing w:before="52" w:line="219" w:lineRule="auto"/>
              <w:rPr>
                <w:sz w:val="16"/>
                <w:szCs w:val="16"/>
              </w:rPr>
            </w:pPr>
            <w:r>
              <w:rPr>
                <w:sz w:val="16"/>
                <w:szCs w:val="16"/>
                <w:spacing w:val="-1"/>
              </w:rPr>
              <w:t>1中华人民共和国烟草专卖法》</w:t>
            </w:r>
          </w:p>
        </w:tc>
      </w:tr>
      <w:tr>
        <w:trPr>
          <w:trHeight w:val="440" w:hRule="atLeast"/>
        </w:trPr>
        <w:tc>
          <w:tcPr>
            <w:tcW w:w="584" w:type="dxa"/>
            <w:vAlign w:val="top"/>
          </w:tcPr>
          <w:p>
            <w:pPr>
              <w:pStyle w:val="TableText"/>
              <w:ind w:left="164"/>
              <w:spacing w:before="185" w:line="183" w:lineRule="auto"/>
              <w:rPr>
                <w:sz w:val="16"/>
                <w:szCs w:val="16"/>
              </w:rPr>
            </w:pPr>
            <w:r>
              <w:rPr>
                <w:sz w:val="16"/>
                <w:szCs w:val="16"/>
                <w:spacing w:val="-3"/>
              </w:rPr>
              <w:t>747</w:t>
            </w:r>
          </w:p>
        </w:tc>
        <w:tc>
          <w:tcPr>
            <w:tcW w:w="1289" w:type="dxa"/>
            <w:vAlign w:val="top"/>
          </w:tcPr>
          <w:p>
            <w:pPr>
              <w:pStyle w:val="TableText"/>
              <w:ind w:left="231"/>
              <w:spacing w:before="144" w:line="219" w:lineRule="auto"/>
              <w:rPr>
                <w:sz w:val="16"/>
                <w:szCs w:val="16"/>
              </w:rPr>
            </w:pPr>
            <w:r>
              <w:rPr>
                <w:sz w:val="16"/>
                <w:szCs w:val="16"/>
                <w:spacing w:val="1"/>
              </w:rPr>
              <w:t>国家翻草号</w:t>
            </w:r>
          </w:p>
        </w:tc>
        <w:tc>
          <w:tcPr>
            <w:tcW w:w="1648" w:type="dxa"/>
            <w:vAlign w:val="top"/>
          </w:tcPr>
          <w:p>
            <w:pPr>
              <w:pStyle w:val="TableText"/>
              <w:ind w:left="42" w:right="66" w:firstLine="89"/>
              <w:spacing w:before="74" w:line="205" w:lineRule="auto"/>
              <w:rPr>
                <w:sz w:val="16"/>
                <w:szCs w:val="16"/>
              </w:rPr>
            </w:pPr>
            <w:r>
              <w:rPr>
                <w:sz w:val="16"/>
                <w:szCs w:val="16"/>
              </w:rPr>
              <w:t>原草专用机械吹进。 </w:t>
            </w:r>
            <w:r>
              <w:rPr>
                <w:sz w:val="16"/>
                <w:szCs w:val="16"/>
              </w:rPr>
              <w:t>出哲，转让审致</w:t>
            </w:r>
          </w:p>
        </w:tc>
        <w:tc>
          <w:tcPr>
            <w:tcW w:w="2367" w:type="dxa"/>
            <w:vAlign w:val="top"/>
          </w:tcPr>
          <w:p>
            <w:pPr>
              <w:pStyle w:val="TableText"/>
              <w:ind w:left="64"/>
              <w:spacing w:before="144" w:line="219" w:lineRule="auto"/>
              <w:rPr>
                <w:sz w:val="16"/>
                <w:szCs w:val="16"/>
              </w:rPr>
            </w:pPr>
            <w:r>
              <w:rPr>
                <w:sz w:val="16"/>
                <w:szCs w:val="16"/>
                <w:spacing w:val="2"/>
              </w:rPr>
              <w:t>国家想草局</w:t>
            </w:r>
          </w:p>
        </w:tc>
        <w:tc>
          <w:tcPr>
            <w:tcW w:w="3701" w:type="dxa"/>
            <w:vAlign w:val="top"/>
          </w:tcPr>
          <w:p>
            <w:pPr>
              <w:pStyle w:val="TableText"/>
              <w:ind w:left="56"/>
              <w:spacing w:before="64" w:line="207" w:lineRule="auto"/>
              <w:rPr>
                <w:sz w:val="16"/>
                <w:szCs w:val="16"/>
              </w:rPr>
            </w:pPr>
            <w:r>
              <w:rPr>
                <w:sz w:val="16"/>
                <w:szCs w:val="16"/>
              </w:rPr>
              <w:t>1中毕人民共和国烟草专卖统</w:t>
            </w:r>
          </w:p>
          <w:p>
            <w:pPr>
              <w:pStyle w:val="TableText"/>
              <w:ind w:left="56"/>
              <w:spacing w:line="214" w:lineRule="auto"/>
              <w:rPr>
                <w:sz w:val="16"/>
                <w:szCs w:val="16"/>
              </w:rPr>
            </w:pPr>
            <w:r>
              <w:rPr>
                <w:sz w:val="16"/>
                <w:szCs w:val="16"/>
              </w:rPr>
              <w:t>(中华人民共和圆组章专实法实应务州》</w:t>
            </w:r>
          </w:p>
        </w:tc>
      </w:tr>
      <w:tr>
        <w:trPr>
          <w:trHeight w:val="459" w:hRule="atLeast"/>
        </w:trPr>
        <w:tc>
          <w:tcPr>
            <w:tcW w:w="584" w:type="dxa"/>
            <w:vAlign w:val="top"/>
          </w:tcPr>
          <w:p>
            <w:pPr>
              <w:pStyle w:val="TableText"/>
              <w:ind w:left="164"/>
              <w:spacing w:before="195" w:line="183" w:lineRule="auto"/>
              <w:rPr>
                <w:sz w:val="16"/>
                <w:szCs w:val="16"/>
              </w:rPr>
            </w:pPr>
            <w:r>
              <w:rPr>
                <w:sz w:val="16"/>
                <w:szCs w:val="16"/>
                <w:spacing w:val="-3"/>
              </w:rPr>
              <w:t>748</w:t>
            </w:r>
          </w:p>
        </w:tc>
        <w:tc>
          <w:tcPr>
            <w:tcW w:w="1289" w:type="dxa"/>
            <w:vAlign w:val="top"/>
          </w:tcPr>
          <w:p>
            <w:pPr>
              <w:pStyle w:val="TableText"/>
              <w:ind w:left="231"/>
              <w:spacing w:before="153" w:line="219" w:lineRule="auto"/>
              <w:rPr>
                <w:sz w:val="16"/>
                <w:szCs w:val="16"/>
              </w:rPr>
            </w:pPr>
            <w:r>
              <w:rPr>
                <w:sz w:val="16"/>
                <w:szCs w:val="16"/>
                <w:spacing w:val="3"/>
              </w:rPr>
              <w:t>国家期章岛</w:t>
            </w:r>
          </w:p>
        </w:tc>
        <w:tc>
          <w:tcPr>
            <w:tcW w:w="1648" w:type="dxa"/>
            <w:vAlign w:val="top"/>
          </w:tcPr>
          <w:p>
            <w:pPr>
              <w:pStyle w:val="TableText"/>
              <w:ind w:left="52" w:right="113" w:firstLine="40"/>
              <w:spacing w:before="74" w:line="216" w:lineRule="auto"/>
              <w:rPr>
                <w:sz w:val="16"/>
                <w:szCs w:val="16"/>
              </w:rPr>
            </w:pPr>
            <w:r>
              <w:rPr>
                <w:sz w:val="16"/>
                <w:szCs w:val="16"/>
                <w:spacing w:val="-1"/>
              </w:rPr>
              <w:t>经背好草都品批发业</w:t>
            </w:r>
            <w:r>
              <w:rPr>
                <w:sz w:val="16"/>
                <w:szCs w:val="16"/>
              </w:rPr>
              <w:t xml:space="preserve"> </w:t>
            </w:r>
            <w:r>
              <w:rPr>
                <w:sz w:val="16"/>
                <w:szCs w:val="16"/>
                <w:spacing w:val="-2"/>
              </w:rPr>
              <w:t>务金业市把</w:t>
            </w:r>
          </w:p>
        </w:tc>
        <w:tc>
          <w:tcPr>
            <w:tcW w:w="2367" w:type="dxa"/>
            <w:vAlign w:val="top"/>
          </w:tcPr>
          <w:p>
            <w:pPr>
              <w:pStyle w:val="TableText"/>
              <w:ind w:left="64"/>
              <w:spacing w:before="154" w:line="219" w:lineRule="auto"/>
              <w:rPr>
                <w:sz w:val="16"/>
                <w:szCs w:val="16"/>
              </w:rPr>
            </w:pPr>
            <w:r>
              <w:rPr>
                <w:sz w:val="16"/>
                <w:szCs w:val="16"/>
                <w:spacing w:val="2"/>
              </w:rPr>
              <w:t>国永烟草局</w:t>
            </w:r>
          </w:p>
        </w:tc>
        <w:tc>
          <w:tcPr>
            <w:tcW w:w="3701" w:type="dxa"/>
            <w:vAlign w:val="top"/>
          </w:tcPr>
          <w:p>
            <w:pPr>
              <w:pStyle w:val="TableText"/>
              <w:spacing w:before="64" w:line="219" w:lineRule="auto"/>
              <w:rPr>
                <w:sz w:val="16"/>
                <w:szCs w:val="16"/>
              </w:rPr>
            </w:pPr>
            <w:r>
              <w:rPr>
                <w:sz w:val="16"/>
                <w:szCs w:val="16"/>
                <w:spacing w:val="-3"/>
              </w:rPr>
              <w:t>《中华人民共和国胡草专卖法》</w:t>
            </w:r>
          </w:p>
          <w:p>
            <w:pPr>
              <w:pStyle w:val="TableText"/>
              <w:spacing w:before="29" w:line="191" w:lineRule="auto"/>
              <w:rPr>
                <w:sz w:val="16"/>
                <w:szCs w:val="16"/>
              </w:rPr>
            </w:pPr>
            <w:r>
              <w:rPr>
                <w:sz w:val="16"/>
                <w:szCs w:val="16"/>
                <w:spacing w:val="-2"/>
              </w:rPr>
              <w:t>《中华人民共和国期草专卖法实施条偶!</w:t>
            </w:r>
          </w:p>
        </w:tc>
      </w:tr>
      <w:tr>
        <w:trPr>
          <w:trHeight w:val="449" w:hRule="atLeast"/>
        </w:trPr>
        <w:tc>
          <w:tcPr>
            <w:tcW w:w="584" w:type="dxa"/>
            <w:vAlign w:val="top"/>
          </w:tcPr>
          <w:p>
            <w:pPr>
              <w:pStyle w:val="TableText"/>
              <w:ind w:left="164"/>
              <w:spacing w:before="196" w:line="183" w:lineRule="auto"/>
              <w:rPr>
                <w:sz w:val="16"/>
                <w:szCs w:val="16"/>
              </w:rPr>
            </w:pPr>
            <w:r>
              <w:rPr>
                <w:sz w:val="16"/>
                <w:szCs w:val="16"/>
                <w:spacing w:val="-3"/>
              </w:rPr>
              <w:t>747</w:t>
            </w:r>
          </w:p>
        </w:tc>
        <w:tc>
          <w:tcPr>
            <w:tcW w:w="1289" w:type="dxa"/>
            <w:vAlign w:val="top"/>
          </w:tcPr>
          <w:p>
            <w:pPr>
              <w:pStyle w:val="TableText"/>
              <w:ind w:left="231"/>
              <w:spacing w:before="155" w:line="219" w:lineRule="auto"/>
              <w:rPr>
                <w:sz w:val="16"/>
                <w:szCs w:val="16"/>
              </w:rPr>
            </w:pPr>
            <w:r>
              <w:rPr>
                <w:sz w:val="16"/>
                <w:szCs w:val="16"/>
                <w:spacing w:val="2"/>
              </w:rPr>
              <w:t>国家螺草局</w:t>
            </w:r>
          </w:p>
        </w:tc>
        <w:tc>
          <w:tcPr>
            <w:tcW w:w="1648" w:type="dxa"/>
            <w:vAlign w:val="top"/>
          </w:tcPr>
          <w:p>
            <w:pPr>
              <w:pStyle w:val="TableText"/>
              <w:ind w:left="42" w:right="112" w:firstLine="50"/>
              <w:spacing w:before="45" w:line="227" w:lineRule="auto"/>
              <w:rPr>
                <w:sz w:val="16"/>
                <w:szCs w:val="16"/>
              </w:rPr>
            </w:pPr>
            <w:r>
              <w:rPr>
                <w:sz w:val="16"/>
                <w:szCs w:val="16"/>
                <w:spacing w:val="-1"/>
              </w:rPr>
              <w:t>加单女实品拉发企重</w:t>
            </w:r>
            <w:r>
              <w:rPr>
                <w:sz w:val="16"/>
                <w:szCs w:val="16"/>
                <w:spacing w:val="1"/>
              </w:rPr>
              <w:t xml:space="preserve"> </w:t>
            </w:r>
            <w:r>
              <w:rPr>
                <w:sz w:val="16"/>
                <w:szCs w:val="16"/>
                <w:spacing w:val="9"/>
              </w:rPr>
              <w:t>许用</w:t>
            </w:r>
          </w:p>
        </w:tc>
        <w:tc>
          <w:tcPr>
            <w:tcW w:w="2367" w:type="dxa"/>
            <w:vAlign w:val="top"/>
          </w:tcPr>
          <w:p>
            <w:pPr>
              <w:pStyle w:val="TableText"/>
              <w:ind w:left="64"/>
              <w:spacing w:before="155" w:line="219" w:lineRule="auto"/>
              <w:rPr>
                <w:sz w:val="16"/>
                <w:szCs w:val="16"/>
              </w:rPr>
            </w:pPr>
            <w:r>
              <w:rPr>
                <w:sz w:val="16"/>
                <w:szCs w:val="16"/>
                <w:spacing w:val="1"/>
              </w:rPr>
              <w:t>国家烟草局；省级烤草部口</w:t>
            </w:r>
          </w:p>
        </w:tc>
        <w:tc>
          <w:tcPr>
            <w:tcW w:w="3701" w:type="dxa"/>
            <w:vAlign w:val="top"/>
          </w:tcPr>
          <w:p>
            <w:pPr>
              <w:pStyle w:val="TableText"/>
              <w:spacing w:before="45" w:line="219" w:lineRule="auto"/>
              <w:rPr>
                <w:sz w:val="16"/>
                <w:szCs w:val="16"/>
              </w:rPr>
            </w:pPr>
            <w:r>
              <w:rPr>
                <w:sz w:val="16"/>
                <w:szCs w:val="16"/>
                <w:spacing w:val="-3"/>
              </w:rPr>
              <w:t>《中华人民共和国期草专卖法》</w:t>
            </w:r>
          </w:p>
          <w:p>
            <w:pPr>
              <w:pStyle w:val="TableText"/>
              <w:ind w:left="56"/>
              <w:spacing w:before="10" w:line="219" w:lineRule="auto"/>
              <w:rPr>
                <w:sz w:val="16"/>
                <w:szCs w:val="16"/>
              </w:rPr>
            </w:pPr>
            <w:r>
              <w:rPr>
                <w:sz w:val="16"/>
                <w:szCs w:val="16"/>
                <w:spacing w:val="-1"/>
              </w:rPr>
              <w:t>C中华人臣共向国胡草专卖法实疏系俗</w:t>
            </w:r>
          </w:p>
        </w:tc>
      </w:tr>
      <w:tr>
        <w:trPr>
          <w:trHeight w:val="464" w:hRule="atLeast"/>
        </w:trPr>
        <w:tc>
          <w:tcPr>
            <w:tcW w:w="584" w:type="dxa"/>
            <w:vAlign w:val="top"/>
          </w:tcPr>
          <w:p>
            <w:pPr>
              <w:pStyle w:val="TableText"/>
              <w:ind w:left="164"/>
              <w:spacing w:before="197" w:line="183" w:lineRule="auto"/>
              <w:rPr>
                <w:sz w:val="16"/>
                <w:szCs w:val="16"/>
              </w:rPr>
            </w:pPr>
            <w:r>
              <w:rPr>
                <w:sz w:val="16"/>
                <w:szCs w:val="16"/>
                <w:spacing w:val="-3"/>
              </w:rPr>
              <w:t>750</w:t>
            </w:r>
          </w:p>
        </w:tc>
        <w:tc>
          <w:tcPr>
            <w:tcW w:w="1289" w:type="dxa"/>
            <w:vAlign w:val="top"/>
          </w:tcPr>
          <w:p>
            <w:pPr>
              <w:pStyle w:val="TableText"/>
              <w:ind w:left="231"/>
              <w:spacing w:before="156" w:line="219" w:lineRule="auto"/>
              <w:rPr>
                <w:sz w:val="16"/>
                <w:szCs w:val="16"/>
              </w:rPr>
            </w:pPr>
            <w:r>
              <w:rPr>
                <w:sz w:val="16"/>
                <w:szCs w:val="16"/>
                <w:spacing w:val="2"/>
              </w:rPr>
              <w:t>属家地草属</w:t>
            </w:r>
          </w:p>
        </w:tc>
        <w:tc>
          <w:tcPr>
            <w:tcW w:w="1648" w:type="dxa"/>
            <w:vAlign w:val="top"/>
          </w:tcPr>
          <w:p>
            <w:pPr>
              <w:pStyle w:val="TableText"/>
              <w:ind w:left="42"/>
              <w:spacing w:before="156" w:line="219" w:lineRule="auto"/>
              <w:rPr>
                <w:sz w:val="16"/>
                <w:szCs w:val="16"/>
              </w:rPr>
            </w:pPr>
            <w:r>
              <w:rPr>
                <w:sz w:val="16"/>
                <w:szCs w:val="16"/>
                <w:spacing w:val="-1"/>
              </w:rPr>
              <w:t>期单专安零售许可</w:t>
            </w:r>
          </w:p>
        </w:tc>
        <w:tc>
          <w:tcPr>
            <w:tcW w:w="2367" w:type="dxa"/>
            <w:vAlign w:val="top"/>
          </w:tcPr>
          <w:p>
            <w:pPr>
              <w:pStyle w:val="TableText"/>
              <w:ind w:left="64"/>
              <w:spacing w:before="156" w:line="219" w:lineRule="auto"/>
              <w:rPr>
                <w:sz w:val="16"/>
                <w:szCs w:val="16"/>
              </w:rPr>
            </w:pPr>
            <w:r>
              <w:rPr>
                <w:sz w:val="16"/>
                <w:szCs w:val="16"/>
                <w:spacing w:val="1"/>
              </w:rPr>
              <w:t>论区的市级，县能渐草部门</w:t>
            </w:r>
          </w:p>
        </w:tc>
        <w:tc>
          <w:tcPr>
            <w:tcW w:w="3701" w:type="dxa"/>
            <w:vAlign w:val="top"/>
          </w:tcPr>
          <w:p>
            <w:pPr>
              <w:pStyle w:val="TableText"/>
              <w:spacing w:before="46" w:line="219" w:lineRule="auto"/>
              <w:rPr>
                <w:sz w:val="16"/>
                <w:szCs w:val="16"/>
              </w:rPr>
            </w:pPr>
            <w:r>
              <w:rPr>
                <w:sz w:val="16"/>
                <w:szCs w:val="16"/>
                <w:spacing w:val="-3"/>
              </w:rPr>
              <w:t>《中华人民共和国增草专实法》</w:t>
            </w:r>
          </w:p>
          <w:p>
            <w:pPr>
              <w:pStyle w:val="TableText"/>
              <w:ind w:left="56"/>
              <w:spacing w:before="39" w:line="205" w:lineRule="auto"/>
              <w:rPr>
                <w:sz w:val="16"/>
                <w:szCs w:val="16"/>
              </w:rPr>
            </w:pPr>
            <w:r>
              <w:rPr>
                <w:sz w:val="16"/>
                <w:szCs w:val="16"/>
              </w:rPr>
              <w:t>中华人配共和国烟草专卖法实药条病</w:t>
            </w:r>
          </w:p>
        </w:tc>
      </w:tr>
    </w:tbl>
    <w:p>
      <w:pPr>
        <w:pStyle w:val="BodyText"/>
        <w:rPr/>
      </w:pPr>
      <w:r/>
    </w:p>
    <w:p>
      <w:pPr>
        <w:sectPr>
          <w:pgSz w:w="11910" w:h="8220"/>
          <w:pgMar w:top="400" w:right="1175" w:bottom="400" w:left="811" w:header="0" w:footer="0" w:gutter="0"/>
        </w:sectPr>
        <w:rPr/>
      </w:pPr>
    </w:p>
    <w:p>
      <w:pPr>
        <w:spacing w:before="103"/>
        <w:rPr/>
      </w:pPr>
      <w:r>
        <mc:AlternateContent xmlns:mc="http://schemas.openxmlformats.org/markup-compatibility/2006">
          <mc:Choice Requires="wps">
            <w:drawing>
              <wp:anchor distT="0" distB="0" distL="0" distR="0" simplePos="0" relativeHeight="251901952" behindDoc="0" locked="0" layoutInCell="0" allowOverlap="1">
                <wp:simplePos x="0" y="0"/>
                <wp:positionH relativeFrom="page">
                  <wp:posOffset>471019</wp:posOffset>
                </wp:positionH>
                <wp:positionV relativeFrom="page">
                  <wp:posOffset>4382629</wp:posOffset>
                </wp:positionV>
                <wp:extent cx="172720" cy="158114"/>
                <wp:effectExtent l="0" t="0" r="0" b="0"/>
                <wp:wrapNone/>
                <wp:docPr id="320" name="TextBox 320"/>
                <wp:cNvGraphicFramePr/>
                <a:graphic>
                  <a:graphicData uri="http://schemas.microsoft.com/office/word/2010/wordprocessingShape">
                    <wps:wsp>
                      <wps:cNvSpPr txBox="1"/>
                      <wps:spPr>
                        <a:xfrm rot="5400000">
                          <a:off x="471019" y="4382629"/>
                          <a:ext cx="172720" cy="1581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241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2" style="position:absolute;margin-left:37.0882pt;margin-top:345.089pt;mso-position-vertical-relative:page;mso-position-horizontal-relative:page;width:13.6pt;height:12.45pt;z-index:251901952;rotation:90;" o:allowincell="f" filled="false" stroked="false" type="#_x0000_t202">
                <v:fill on="false"/>
                <v:stroke on="false"/>
                <v:path/>
                <v:imagedata o:title=""/>
                <o:lock v:ext="edit" aspectratio="false"/>
                <v:textbox inset="0mm,0mm,0mm,0mm">
                  <w:txbxContent>
                    <w:p>
                      <w:pPr>
                        <w:ind w:left="20"/>
                        <w:spacing w:before="68" w:line="184" w:lineRule="auto"/>
                        <w:rPr>
                          <w:rFonts w:ascii="SimSun" w:hAnsi="SimSun" w:eastAsia="SimSun" w:cs="SimSun"/>
                          <w:sz w:val="16"/>
                          <w:szCs w:val="16"/>
                        </w:rPr>
                      </w:pPr>
                      <w:r>
                        <w:rPr>
                          <w:rFonts w:ascii="SimSun" w:hAnsi="SimSun" w:eastAsia="SimSun" w:cs="SimSun"/>
                          <w:sz w:val="16"/>
                          <w:szCs w:val="16"/>
                          <w:spacing w:val="-2"/>
                        </w:rPr>
                        <w:t>241</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1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中央王管部门</w:t>
            </w:r>
          </w:p>
        </w:tc>
        <w:tc>
          <w:tcPr>
            <w:tcW w:w="1648" w:type="dxa"/>
            <w:vAlign w:val="top"/>
          </w:tcPr>
          <w:p>
            <w:pPr>
              <w:pStyle w:val="TableText"/>
              <w:ind w:left="471"/>
              <w:spacing w:before="132" w:line="220" w:lineRule="auto"/>
              <w:rPr>
                <w:sz w:val="16"/>
                <w:szCs w:val="16"/>
              </w:rPr>
            </w:pPr>
            <w:r>
              <w:rPr>
                <w:sz w:val="16"/>
                <w:szCs w:val="16"/>
                <w:spacing w:val="-2"/>
              </w:rPr>
              <w:t>事项名称</w:t>
            </w:r>
          </w:p>
        </w:tc>
        <w:tc>
          <w:tcPr>
            <w:tcW w:w="2367" w:type="dxa"/>
            <w:vAlign w:val="top"/>
          </w:tcPr>
          <w:p>
            <w:pPr>
              <w:pStyle w:val="TableText"/>
              <w:ind w:left="854"/>
              <w:spacing w:before="130" w:line="219" w:lineRule="auto"/>
              <w:rPr>
                <w:sz w:val="16"/>
                <w:szCs w:val="16"/>
              </w:rPr>
            </w:pPr>
            <w:r>
              <w:rPr>
                <w:sz w:val="16"/>
                <w:szCs w:val="16"/>
                <w:spacing w:val="-2"/>
              </w:rPr>
              <w:t>其的机关</w:t>
            </w:r>
          </w:p>
        </w:tc>
        <w:tc>
          <w:tcPr>
            <w:tcW w:w="3711" w:type="dxa"/>
            <w:vAlign w:val="top"/>
          </w:tcPr>
          <w:p>
            <w:pPr>
              <w:pStyle w:val="TableText"/>
              <w:ind w:left="1279"/>
              <w:spacing w:before="129" w:line="219" w:lineRule="auto"/>
              <w:rPr>
                <w:sz w:val="16"/>
                <w:szCs w:val="16"/>
              </w:rPr>
            </w:pPr>
            <w:r>
              <w:rPr>
                <w:sz w:val="16"/>
                <w:szCs w:val="16"/>
                <w:b/>
                <w:bCs/>
                <w:spacing w:val="-3"/>
              </w:rPr>
              <w:t>设定和实的保据</w:t>
            </w:r>
          </w:p>
        </w:tc>
      </w:tr>
      <w:tr>
        <w:trPr>
          <w:trHeight w:val="499" w:hRule="atLeast"/>
        </w:trPr>
        <w:tc>
          <w:tcPr>
            <w:tcW w:w="584" w:type="dxa"/>
            <w:vAlign w:val="top"/>
          </w:tcPr>
          <w:p>
            <w:pPr>
              <w:pStyle w:val="TableText"/>
              <w:ind w:left="164"/>
              <w:spacing w:before="207" w:line="184" w:lineRule="auto"/>
              <w:rPr>
                <w:sz w:val="16"/>
                <w:szCs w:val="16"/>
              </w:rPr>
            </w:pPr>
            <w:r>
              <w:rPr>
                <w:sz w:val="16"/>
                <w:szCs w:val="16"/>
                <w:spacing w:val="-3"/>
              </w:rPr>
              <w:t>751</w:t>
            </w:r>
          </w:p>
        </w:tc>
        <w:tc>
          <w:tcPr>
            <w:tcW w:w="1289" w:type="dxa"/>
            <w:vAlign w:val="top"/>
          </w:tcPr>
          <w:p>
            <w:pPr>
              <w:pStyle w:val="TableText"/>
              <w:ind w:left="231"/>
              <w:spacing w:before="167" w:line="219" w:lineRule="auto"/>
              <w:rPr>
                <w:sz w:val="16"/>
                <w:szCs w:val="16"/>
              </w:rPr>
            </w:pPr>
            <w:r>
              <w:rPr>
                <w:sz w:val="16"/>
                <w:szCs w:val="16"/>
                <w:spacing w:val="2"/>
              </w:rPr>
              <w:t>驾家领事局</w:t>
            </w:r>
          </w:p>
        </w:tc>
        <w:tc>
          <w:tcPr>
            <w:tcW w:w="1648" w:type="dxa"/>
            <w:vAlign w:val="top"/>
          </w:tcPr>
          <w:p>
            <w:pPr>
              <w:pStyle w:val="TableText"/>
              <w:ind w:left="52"/>
              <w:spacing w:before="167" w:line="219" w:lineRule="auto"/>
              <w:rPr>
                <w:sz w:val="16"/>
                <w:szCs w:val="16"/>
              </w:rPr>
            </w:pPr>
            <w:r>
              <w:rPr>
                <w:sz w:val="16"/>
                <w:szCs w:val="16"/>
                <w:spacing w:val="-1"/>
              </w:rPr>
              <w:t>烟草专卖品运输件可</w:t>
            </w:r>
          </w:p>
        </w:tc>
        <w:tc>
          <w:tcPr>
            <w:tcW w:w="2367" w:type="dxa"/>
            <w:vAlign w:val="top"/>
          </w:tcPr>
          <w:p>
            <w:pPr>
              <w:pStyle w:val="TableText"/>
              <w:ind w:left="64"/>
              <w:spacing w:before="166" w:line="219" w:lineRule="auto"/>
              <w:rPr>
                <w:sz w:val="16"/>
                <w:szCs w:val="16"/>
              </w:rPr>
            </w:pPr>
            <w:r>
              <w:rPr>
                <w:sz w:val="16"/>
                <w:szCs w:val="16"/>
                <w:spacing w:val="1"/>
              </w:rPr>
              <w:t>国家偶事局)省限烟草露门</w:t>
            </w:r>
          </w:p>
        </w:tc>
        <w:tc>
          <w:tcPr>
            <w:tcW w:w="3711" w:type="dxa"/>
            <w:vAlign w:val="top"/>
          </w:tcPr>
          <w:p>
            <w:pPr>
              <w:pStyle w:val="TableText"/>
              <w:ind w:left="46"/>
              <w:spacing w:before="97" w:line="219" w:lineRule="auto"/>
              <w:rPr>
                <w:sz w:val="16"/>
                <w:szCs w:val="16"/>
              </w:rPr>
            </w:pPr>
            <w:r>
              <w:rPr>
                <w:sz w:val="16"/>
                <w:szCs w:val="16"/>
                <w:spacing w:val="-1"/>
              </w:rPr>
              <w:t>中华人民共和国解草专要法》</w:t>
            </w:r>
          </w:p>
          <w:p>
            <w:pPr>
              <w:pStyle w:val="TableText"/>
              <w:spacing w:before="10" w:line="219" w:lineRule="auto"/>
              <w:rPr>
                <w:sz w:val="16"/>
                <w:szCs w:val="16"/>
              </w:rPr>
            </w:pPr>
            <w:r>
              <w:rPr>
                <w:sz w:val="16"/>
                <w:szCs w:val="16"/>
                <w:spacing w:val="-2"/>
              </w:rPr>
              <w:t>《中华人民共和国细单方素压实复条所]</w:t>
            </w:r>
          </w:p>
        </w:tc>
      </w:tr>
      <w:tr>
        <w:trPr>
          <w:trHeight w:val="699" w:hRule="atLeast"/>
        </w:trPr>
        <w:tc>
          <w:tcPr>
            <w:tcW w:w="584" w:type="dxa"/>
            <w:vAlign w:val="top"/>
          </w:tcPr>
          <w:p>
            <w:pPr>
              <w:spacing w:line="256" w:lineRule="auto"/>
              <w:rPr>
                <w:rFonts w:ascii="Arial"/>
                <w:sz w:val="21"/>
              </w:rPr>
            </w:pPr>
            <w:r/>
          </w:p>
          <w:p>
            <w:pPr>
              <w:pStyle w:val="TableText"/>
              <w:ind w:left="164"/>
              <w:spacing w:before="52" w:line="183" w:lineRule="auto"/>
              <w:rPr>
                <w:sz w:val="16"/>
                <w:szCs w:val="16"/>
              </w:rPr>
            </w:pPr>
            <w:r>
              <w:rPr>
                <w:sz w:val="16"/>
                <w:szCs w:val="16"/>
                <w:spacing w:val="-3"/>
              </w:rPr>
              <w:t>752</w:t>
            </w:r>
          </w:p>
        </w:tc>
        <w:tc>
          <w:tcPr>
            <w:tcW w:w="1289" w:type="dxa"/>
            <w:vAlign w:val="top"/>
          </w:tcPr>
          <w:p>
            <w:pPr>
              <w:pStyle w:val="TableText"/>
              <w:ind w:left="231"/>
              <w:spacing w:before="269" w:line="220" w:lineRule="auto"/>
              <w:rPr>
                <w:sz w:val="16"/>
                <w:szCs w:val="16"/>
              </w:rPr>
            </w:pPr>
            <w:r>
              <w:rPr>
                <w:sz w:val="16"/>
                <w:szCs w:val="16"/>
                <w:spacing w:val="2"/>
              </w:rPr>
              <w:t>国家称园局</w:t>
            </w:r>
          </w:p>
        </w:tc>
        <w:tc>
          <w:tcPr>
            <w:tcW w:w="1648" w:type="dxa"/>
            <w:vAlign w:val="top"/>
          </w:tcPr>
          <w:p>
            <w:pPr>
              <w:pStyle w:val="TableText"/>
              <w:ind w:left="52"/>
              <w:spacing w:before="268" w:line="219" w:lineRule="auto"/>
              <w:rPr>
                <w:sz w:val="16"/>
                <w:szCs w:val="16"/>
              </w:rPr>
            </w:pPr>
            <w:r>
              <w:rPr>
                <w:sz w:val="16"/>
                <w:szCs w:val="16"/>
                <w:spacing w:val="-1"/>
              </w:rPr>
              <w:t>看通护风签发</w:t>
            </w:r>
          </w:p>
        </w:tc>
        <w:tc>
          <w:tcPr>
            <w:tcW w:w="2367" w:type="dxa"/>
            <w:vAlign w:val="top"/>
          </w:tcPr>
          <w:p>
            <w:pPr>
              <w:pStyle w:val="TableText"/>
              <w:ind w:left="44" w:right="53" w:firstLine="10"/>
              <w:spacing w:before="79" w:line="230" w:lineRule="auto"/>
              <w:jc w:val="both"/>
              <w:rPr>
                <w:sz w:val="16"/>
                <w:szCs w:val="16"/>
              </w:rPr>
            </w:pPr>
            <w:r>
              <w:rPr>
                <w:sz w:val="16"/>
                <w:szCs w:val="16"/>
              </w:rPr>
              <w:t>国家暮民局或者委托者藏，设医</w:t>
            </w:r>
            <w:r>
              <w:rPr>
                <w:sz w:val="16"/>
                <w:szCs w:val="16"/>
                <w:spacing w:val="8"/>
              </w:rPr>
              <w:t xml:space="preserve"> </w:t>
            </w:r>
            <w:r>
              <w:rPr>
                <w:sz w:val="16"/>
                <w:szCs w:val="16"/>
                <w:spacing w:val="1"/>
              </w:rPr>
              <w:t>的市级，县极公安肌关出人境管</w:t>
            </w:r>
            <w:r>
              <w:rPr>
                <w:sz w:val="16"/>
                <w:szCs w:val="16"/>
                <w:spacing w:val="3"/>
              </w:rPr>
              <w:t xml:space="preserve"> </w:t>
            </w:r>
            <w:r>
              <w:rPr>
                <w:sz w:val="16"/>
                <w:szCs w:val="16"/>
                <w:spacing w:val="-2"/>
              </w:rPr>
              <w:t>理机构</w:t>
            </w:r>
          </w:p>
        </w:tc>
        <w:tc>
          <w:tcPr>
            <w:tcW w:w="3711" w:type="dxa"/>
            <w:vAlign w:val="top"/>
          </w:tcPr>
          <w:p>
            <w:pPr>
              <w:pStyle w:val="TableText"/>
              <w:ind w:left="46"/>
              <w:spacing w:before="269" w:line="220" w:lineRule="auto"/>
              <w:rPr>
                <w:sz w:val="16"/>
                <w:szCs w:val="16"/>
              </w:rPr>
            </w:pPr>
            <w:r>
              <w:rPr>
                <w:sz w:val="16"/>
                <w:szCs w:val="16"/>
              </w:rPr>
              <w:t>中华人民其和国护职法》</w:t>
            </w:r>
          </w:p>
        </w:tc>
      </w:tr>
      <w:tr>
        <w:trPr>
          <w:trHeight w:val="699" w:hRule="atLeast"/>
        </w:trPr>
        <w:tc>
          <w:tcPr>
            <w:tcW w:w="584" w:type="dxa"/>
            <w:vAlign w:val="top"/>
            <w:tcBorders>
              <w:bottom w:val="single" w:color="000000" w:sz="2" w:space="0"/>
            </w:tcBorders>
          </w:tcPr>
          <w:p>
            <w:pPr>
              <w:spacing w:line="257" w:lineRule="auto"/>
              <w:rPr>
                <w:rFonts w:ascii="Arial"/>
                <w:sz w:val="21"/>
              </w:rPr>
            </w:pPr>
            <w:r/>
          </w:p>
          <w:p>
            <w:pPr>
              <w:pStyle w:val="TableText"/>
              <w:ind w:left="164"/>
              <w:spacing w:before="52" w:line="183" w:lineRule="auto"/>
              <w:rPr>
                <w:sz w:val="16"/>
                <w:szCs w:val="16"/>
              </w:rPr>
            </w:pPr>
            <w:r>
              <w:rPr>
                <w:sz w:val="16"/>
                <w:szCs w:val="16"/>
                <w:spacing w:val="-3"/>
              </w:rPr>
              <w:t>753</w:t>
            </w:r>
          </w:p>
        </w:tc>
        <w:tc>
          <w:tcPr>
            <w:tcW w:w="1289" w:type="dxa"/>
            <w:vAlign w:val="top"/>
            <w:tcBorders>
              <w:bottom w:val="single" w:color="000000" w:sz="2" w:space="0"/>
            </w:tcBorders>
          </w:tcPr>
          <w:p>
            <w:pPr>
              <w:pStyle w:val="TableText"/>
              <w:ind w:left="231"/>
              <w:spacing w:before="270" w:line="220" w:lineRule="auto"/>
              <w:rPr>
                <w:sz w:val="16"/>
                <w:szCs w:val="16"/>
              </w:rPr>
            </w:pPr>
            <w:r>
              <w:rPr>
                <w:sz w:val="16"/>
                <w:szCs w:val="16"/>
                <w:spacing w:val="2"/>
              </w:rPr>
              <w:t>医家转况局</w:t>
            </w:r>
          </w:p>
        </w:tc>
        <w:tc>
          <w:tcPr>
            <w:tcW w:w="1648" w:type="dxa"/>
            <w:vAlign w:val="top"/>
            <w:tcBorders>
              <w:bottom w:val="single" w:color="000000" w:sz="2" w:space="0"/>
            </w:tcBorders>
          </w:tcPr>
          <w:p>
            <w:pPr>
              <w:pStyle w:val="TableText"/>
              <w:ind w:left="52"/>
              <w:spacing w:before="270" w:line="220" w:lineRule="auto"/>
              <w:rPr>
                <w:sz w:val="16"/>
                <w:szCs w:val="16"/>
              </w:rPr>
            </w:pPr>
            <w:r>
              <w:rPr>
                <w:sz w:val="16"/>
                <w:szCs w:val="16"/>
              </w:rPr>
              <w:t>出入境通行证签发</w:t>
            </w:r>
          </w:p>
        </w:tc>
        <w:tc>
          <w:tcPr>
            <w:tcW w:w="2367" w:type="dxa"/>
            <w:vAlign w:val="top"/>
            <w:tcBorders>
              <w:bottom w:val="single" w:color="000000" w:sz="2" w:space="0"/>
            </w:tcBorders>
          </w:tcPr>
          <w:p>
            <w:pPr>
              <w:pStyle w:val="TableText"/>
              <w:ind w:left="54" w:right="49"/>
              <w:spacing w:before="58" w:line="227" w:lineRule="auto"/>
              <w:jc w:val="both"/>
              <w:rPr>
                <w:sz w:val="16"/>
                <w:szCs w:val="16"/>
              </w:rPr>
            </w:pPr>
            <w:r>
              <w:rPr>
                <w:sz w:val="16"/>
                <w:szCs w:val="16"/>
              </w:rPr>
              <w:t>国家称民最写者委托者酸、议区</w:t>
            </w:r>
            <w:r>
              <w:rPr>
                <w:sz w:val="16"/>
                <w:szCs w:val="16"/>
                <w:spacing w:val="12"/>
              </w:rPr>
              <w:t xml:space="preserve"> </w:t>
            </w:r>
            <w:r>
              <w:rPr>
                <w:sz w:val="16"/>
                <w:szCs w:val="16"/>
              </w:rPr>
              <w:t>的市张，县级公安机关出入境管</w:t>
            </w:r>
            <w:r>
              <w:rPr>
                <w:sz w:val="16"/>
                <w:szCs w:val="16"/>
                <w:spacing w:val="7"/>
              </w:rPr>
              <w:t xml:space="preserve"> </w:t>
            </w:r>
            <w:r>
              <w:rPr>
                <w:sz w:val="16"/>
                <w:szCs w:val="16"/>
                <w:spacing w:val="-2"/>
              </w:rPr>
              <w:t>理机构</w:t>
            </w:r>
          </w:p>
        </w:tc>
        <w:tc>
          <w:tcPr>
            <w:tcW w:w="3711" w:type="dxa"/>
            <w:vAlign w:val="top"/>
            <w:tcBorders>
              <w:bottom w:val="single" w:color="000000" w:sz="2" w:space="0"/>
            </w:tcBorders>
          </w:tcPr>
          <w:p>
            <w:pPr>
              <w:pStyle w:val="TableText"/>
              <w:ind w:left="46"/>
              <w:spacing w:before="79" w:line="219" w:lineRule="auto"/>
              <w:rPr>
                <w:sz w:val="16"/>
                <w:szCs w:val="16"/>
              </w:rPr>
            </w:pPr>
            <w:r>
              <w:rPr>
                <w:sz w:val="16"/>
                <w:szCs w:val="16"/>
              </w:rPr>
              <w:t>中华人现其和国扣预法》</w:t>
            </w:r>
          </w:p>
          <w:p>
            <w:pPr>
              <w:pStyle w:val="TableText"/>
              <w:ind w:left="46" w:right="190" w:firstLine="10"/>
              <w:spacing w:line="236" w:lineRule="auto"/>
              <w:rPr>
                <w:sz w:val="16"/>
                <w:szCs w:val="16"/>
              </w:rPr>
            </w:pPr>
            <w:r>
              <w:rPr>
                <w:sz w:val="16"/>
                <w:szCs w:val="16"/>
              </w:rPr>
              <w:t>(中信公民因私事注来春港池区成者澳门地区的制</w:t>
            </w:r>
            <w:r>
              <w:rPr>
                <w:sz w:val="16"/>
                <w:szCs w:val="16"/>
                <w:spacing w:val="12"/>
              </w:rPr>
              <w:t xml:space="preserve"> </w:t>
            </w:r>
            <w:r>
              <w:rPr>
                <w:sz w:val="16"/>
                <w:szCs w:val="16"/>
                <w:spacing w:val="5"/>
              </w:rPr>
              <w:t>行登理办乱)</w:t>
            </w:r>
          </w:p>
        </w:tc>
      </w:tr>
      <w:tr>
        <w:trPr>
          <w:trHeight w:val="694" w:hRule="atLeast"/>
        </w:trPr>
        <w:tc>
          <w:tcPr>
            <w:tcW w:w="584" w:type="dxa"/>
            <w:vAlign w:val="top"/>
            <w:tcBorders>
              <w:top w:val="single" w:color="000000" w:sz="2" w:space="0"/>
            </w:tcBorders>
          </w:tcPr>
          <w:p>
            <w:pPr>
              <w:spacing w:line="263" w:lineRule="auto"/>
              <w:rPr>
                <w:rFonts w:ascii="Arial"/>
                <w:sz w:val="21"/>
              </w:rPr>
            </w:pPr>
            <w:r/>
          </w:p>
          <w:p>
            <w:pPr>
              <w:pStyle w:val="TableText"/>
              <w:ind w:left="164"/>
              <w:spacing w:before="52" w:line="183" w:lineRule="auto"/>
              <w:rPr>
                <w:sz w:val="16"/>
                <w:szCs w:val="16"/>
              </w:rPr>
            </w:pPr>
            <w:r>
              <w:rPr>
                <w:sz w:val="16"/>
                <w:szCs w:val="16"/>
                <w:spacing w:val="-3"/>
              </w:rPr>
              <w:t>754</w:t>
            </w:r>
          </w:p>
        </w:tc>
        <w:tc>
          <w:tcPr>
            <w:tcW w:w="1289" w:type="dxa"/>
            <w:vAlign w:val="top"/>
            <w:tcBorders>
              <w:top w:val="single" w:color="000000" w:sz="2" w:space="0"/>
            </w:tcBorders>
          </w:tcPr>
          <w:p>
            <w:pPr>
              <w:pStyle w:val="TableText"/>
              <w:ind w:left="231"/>
              <w:spacing w:before="275" w:line="219" w:lineRule="auto"/>
              <w:rPr>
                <w:sz w:val="16"/>
                <w:szCs w:val="16"/>
              </w:rPr>
            </w:pPr>
            <w:r>
              <w:rPr>
                <w:sz w:val="16"/>
                <w:szCs w:val="16"/>
                <w:spacing w:val="2"/>
              </w:rPr>
              <w:t>国家草民局</w:t>
            </w:r>
          </w:p>
        </w:tc>
        <w:tc>
          <w:tcPr>
            <w:tcW w:w="1648" w:type="dxa"/>
            <w:vAlign w:val="top"/>
            <w:tcBorders>
              <w:top w:val="single" w:color="000000" w:sz="2" w:space="0"/>
            </w:tcBorders>
          </w:tcPr>
          <w:p>
            <w:pPr>
              <w:pStyle w:val="TableText"/>
              <w:ind w:left="52" w:right="151"/>
              <w:spacing w:before="185" w:line="227" w:lineRule="auto"/>
              <w:rPr>
                <w:sz w:val="16"/>
                <w:szCs w:val="16"/>
              </w:rPr>
            </w:pPr>
            <w:r>
              <w:rPr>
                <w:sz w:val="16"/>
                <w:szCs w:val="16"/>
                <w:spacing w:val="-1"/>
              </w:rPr>
              <w:t>边域管理宫通行证械</w:t>
            </w:r>
            <w:r>
              <w:rPr>
                <w:sz w:val="16"/>
                <w:szCs w:val="16"/>
                <w:spacing w:val="2"/>
              </w:rPr>
              <w:t xml:space="preserve"> </w:t>
            </w:r>
            <w:r>
              <w:rPr>
                <w:sz w:val="16"/>
                <w:szCs w:val="16"/>
              </w:rPr>
              <w:t>我</w:t>
            </w:r>
          </w:p>
        </w:tc>
        <w:tc>
          <w:tcPr>
            <w:tcW w:w="2367" w:type="dxa"/>
            <w:vAlign w:val="top"/>
            <w:tcBorders>
              <w:top w:val="single" w:color="000000" w:sz="2" w:space="0"/>
            </w:tcBorders>
          </w:tcPr>
          <w:p>
            <w:pPr>
              <w:pStyle w:val="TableText"/>
              <w:ind w:left="93"/>
              <w:spacing w:before="64" w:line="219" w:lineRule="auto"/>
              <w:rPr>
                <w:sz w:val="16"/>
                <w:szCs w:val="16"/>
              </w:rPr>
            </w:pPr>
            <w:r>
              <w:rPr>
                <w:sz w:val="16"/>
                <w:szCs w:val="16"/>
                <w:spacing w:val="1"/>
              </w:rPr>
              <w:t>设区的市级公金机关(含部分出</w:t>
            </w:r>
          </w:p>
          <w:p>
            <w:pPr>
              <w:pStyle w:val="TableText"/>
              <w:ind w:left="44" w:right="150" w:firstLine="89"/>
              <w:spacing w:before="41" w:line="207" w:lineRule="auto"/>
              <w:rPr>
                <w:sz w:val="16"/>
                <w:szCs w:val="16"/>
              </w:rPr>
            </w:pPr>
            <w:r>
              <w:rPr>
                <w:sz w:val="16"/>
                <w:szCs w:val="16"/>
                <w:spacing w:val="-1"/>
              </w:rPr>
              <w:t>人境边防检查机关万员改处安</w:t>
            </w:r>
            <w:r>
              <w:rPr>
                <w:sz w:val="16"/>
                <w:szCs w:val="16"/>
                <w:spacing w:val="4"/>
              </w:rPr>
              <w:t xml:space="preserve"> </w:t>
            </w:r>
            <w:r>
              <w:rPr>
                <w:sz w:val="16"/>
                <w:szCs w:val="16"/>
                <w:spacing w:val="3"/>
              </w:rPr>
              <w:t>机关(贪指定的海出脂)</w:t>
            </w:r>
          </w:p>
        </w:tc>
        <w:tc>
          <w:tcPr>
            <w:tcW w:w="3711" w:type="dxa"/>
            <w:vAlign w:val="top"/>
            <w:tcBorders>
              <w:top w:val="single" w:color="000000" w:sz="2" w:space="0"/>
            </w:tcBorders>
          </w:tcPr>
          <w:p>
            <w:pPr>
              <w:pStyle w:val="TableText"/>
              <w:ind w:left="46" w:right="367"/>
              <w:spacing w:before="175" w:line="231" w:lineRule="auto"/>
              <w:rPr>
                <w:sz w:val="16"/>
                <w:szCs w:val="16"/>
              </w:rPr>
            </w:pPr>
            <w:r>
              <w:rPr>
                <w:sz w:val="16"/>
                <w:szCs w:val="16"/>
              </w:rPr>
              <w:t>(薄务院列确情保超的行政审批硬且设定行政许</w:t>
            </w:r>
            <w:r>
              <w:rPr>
                <w:sz w:val="16"/>
                <w:szCs w:val="16"/>
                <w:spacing w:val="5"/>
              </w:rPr>
              <w:t xml:space="preserve"> </w:t>
            </w:r>
            <w:r>
              <w:rPr>
                <w:sz w:val="16"/>
                <w:szCs w:val="16"/>
                <w:spacing w:val="-11"/>
              </w:rPr>
              <w:t>的</w:t>
            </w:r>
            <w:r>
              <w:rPr>
                <w:sz w:val="16"/>
                <w:szCs w:val="16"/>
                <w:spacing w:val="48"/>
              </w:rPr>
              <w:t xml:space="preserve"> </w:t>
            </w:r>
            <w:r>
              <w:rPr>
                <w:sz w:val="16"/>
                <w:szCs w:val="16"/>
                <w:spacing w:val="-11"/>
              </w:rPr>
              <w:t>决</w:t>
            </w:r>
            <w:r>
              <w:rPr>
                <w:sz w:val="16"/>
                <w:szCs w:val="16"/>
                <w:spacing w:val="66"/>
              </w:rPr>
              <w:t xml:space="preserve"> </w:t>
            </w:r>
            <w:r>
              <w:rPr>
                <w:sz w:val="16"/>
                <w:szCs w:val="16"/>
                <w:spacing w:val="-11"/>
              </w:rPr>
              <w:t>!</w:t>
            </w:r>
          </w:p>
        </w:tc>
      </w:tr>
      <w:tr>
        <w:trPr>
          <w:trHeight w:val="509" w:hRule="atLeast"/>
        </w:trPr>
        <w:tc>
          <w:tcPr>
            <w:tcW w:w="584" w:type="dxa"/>
            <w:vAlign w:val="top"/>
          </w:tcPr>
          <w:p>
            <w:pPr>
              <w:pStyle w:val="TableText"/>
              <w:ind w:left="164"/>
              <w:spacing w:before="223" w:line="182" w:lineRule="auto"/>
              <w:rPr>
                <w:sz w:val="16"/>
                <w:szCs w:val="16"/>
              </w:rPr>
            </w:pPr>
            <w:r>
              <w:rPr>
                <w:sz w:val="16"/>
                <w:szCs w:val="16"/>
                <w:spacing w:val="-3"/>
              </w:rPr>
              <w:t>755</w:t>
            </w:r>
          </w:p>
        </w:tc>
        <w:tc>
          <w:tcPr>
            <w:tcW w:w="1289" w:type="dxa"/>
            <w:vAlign w:val="top"/>
          </w:tcPr>
          <w:p>
            <w:pPr>
              <w:pStyle w:val="TableText"/>
              <w:ind w:left="231"/>
              <w:spacing w:before="182" w:line="220" w:lineRule="auto"/>
              <w:rPr>
                <w:sz w:val="16"/>
                <w:szCs w:val="16"/>
              </w:rPr>
            </w:pPr>
            <w:r>
              <w:rPr>
                <w:sz w:val="16"/>
                <w:szCs w:val="16"/>
                <w:spacing w:val="2"/>
              </w:rPr>
              <w:t>国家移民局</w:t>
            </w:r>
          </w:p>
        </w:tc>
        <w:tc>
          <w:tcPr>
            <w:tcW w:w="1648" w:type="dxa"/>
            <w:vAlign w:val="top"/>
          </w:tcPr>
          <w:p>
            <w:pPr>
              <w:pStyle w:val="TableText"/>
              <w:ind w:left="52" w:right="155"/>
              <w:spacing w:before="81" w:line="230" w:lineRule="auto"/>
              <w:rPr>
                <w:sz w:val="16"/>
                <w:szCs w:val="16"/>
              </w:rPr>
            </w:pPr>
            <w:r>
              <w:rPr>
                <w:sz w:val="16"/>
                <w:szCs w:val="16"/>
                <w:spacing w:val="-2"/>
              </w:rPr>
              <w:t>也域地医出人续周行</w:t>
            </w:r>
            <w:r>
              <w:rPr>
                <w:sz w:val="16"/>
                <w:szCs w:val="16"/>
                <w:spacing w:val="7"/>
              </w:rPr>
              <w:t xml:space="preserve"> </w:t>
            </w:r>
            <w:r>
              <w:rPr>
                <w:sz w:val="16"/>
                <w:szCs w:val="16"/>
                <w:spacing w:val="-2"/>
              </w:rPr>
              <w:t>证机发</w:t>
            </w:r>
          </w:p>
        </w:tc>
        <w:tc>
          <w:tcPr>
            <w:tcW w:w="2367" w:type="dxa"/>
            <w:vAlign w:val="top"/>
          </w:tcPr>
          <w:p>
            <w:pPr>
              <w:pStyle w:val="TableText"/>
              <w:ind w:left="34"/>
              <w:spacing w:before="180" w:line="219" w:lineRule="auto"/>
              <w:rPr>
                <w:sz w:val="16"/>
                <w:szCs w:val="16"/>
              </w:rPr>
            </w:pPr>
            <w:r>
              <w:rPr>
                <w:sz w:val="16"/>
                <w:szCs w:val="16"/>
                <w:spacing w:val="-1"/>
              </w:rPr>
              <w:t>有关地区边境售理机构</w:t>
            </w:r>
          </w:p>
        </w:tc>
        <w:tc>
          <w:tcPr>
            <w:tcW w:w="3711" w:type="dxa"/>
            <w:vAlign w:val="top"/>
          </w:tcPr>
          <w:p>
            <w:pPr>
              <w:pStyle w:val="TableText"/>
              <w:ind w:left="59" w:right="207" w:hanging="59"/>
              <w:spacing w:before="81" w:line="225" w:lineRule="auto"/>
              <w:rPr>
                <w:sz w:val="16"/>
                <w:szCs w:val="16"/>
              </w:rPr>
            </w:pPr>
            <w:r>
              <w:rPr>
                <w:sz w:val="16"/>
                <w:szCs w:val="16"/>
                <w:spacing w:val="-2"/>
              </w:rPr>
              <w:t>《国务观对确需保面的行政审投项口设定行政许可</w:t>
            </w:r>
            <w:r>
              <w:rPr>
                <w:sz w:val="16"/>
                <w:szCs w:val="16"/>
                <w:spacing w:val="16"/>
              </w:rPr>
              <w:t xml:space="preserve"> </w:t>
            </w:r>
            <w:r>
              <w:rPr>
                <w:sz w:val="16"/>
                <w:szCs w:val="16"/>
                <w:spacing w:val="3"/>
              </w:rPr>
              <w:t>回决定1</w:t>
            </w:r>
          </w:p>
        </w:tc>
      </w:tr>
      <w:tr>
        <w:trPr>
          <w:trHeight w:val="689" w:hRule="atLeast"/>
        </w:trPr>
        <w:tc>
          <w:tcPr>
            <w:tcW w:w="584" w:type="dxa"/>
            <w:vAlign w:val="top"/>
          </w:tcPr>
          <w:p>
            <w:pPr>
              <w:spacing w:line="260" w:lineRule="auto"/>
              <w:rPr>
                <w:rFonts w:ascii="Arial"/>
                <w:sz w:val="21"/>
              </w:rPr>
            </w:pPr>
            <w:r/>
          </w:p>
          <w:p>
            <w:pPr>
              <w:pStyle w:val="TableText"/>
              <w:ind w:left="164"/>
              <w:spacing w:before="52" w:line="183" w:lineRule="auto"/>
              <w:rPr>
                <w:sz w:val="16"/>
                <w:szCs w:val="16"/>
              </w:rPr>
            </w:pPr>
            <w:r>
              <w:rPr>
                <w:sz w:val="16"/>
                <w:szCs w:val="16"/>
                <w:spacing w:val="-3"/>
              </w:rPr>
              <w:t>756</w:t>
            </w:r>
          </w:p>
        </w:tc>
        <w:tc>
          <w:tcPr>
            <w:tcW w:w="1289" w:type="dxa"/>
            <w:vAlign w:val="top"/>
          </w:tcPr>
          <w:p>
            <w:pPr>
              <w:pStyle w:val="TableText"/>
              <w:ind w:left="231"/>
              <w:spacing w:before="272" w:line="219" w:lineRule="auto"/>
              <w:rPr>
                <w:sz w:val="16"/>
                <w:szCs w:val="16"/>
              </w:rPr>
            </w:pPr>
            <w:r>
              <w:rPr>
                <w:sz w:val="16"/>
                <w:szCs w:val="16"/>
                <w:spacing w:val="1"/>
              </w:rPr>
              <w:t>国家释院励</w:t>
            </w:r>
          </w:p>
        </w:tc>
        <w:tc>
          <w:tcPr>
            <w:tcW w:w="1648" w:type="dxa"/>
            <w:vAlign w:val="top"/>
          </w:tcPr>
          <w:p>
            <w:pPr>
              <w:pStyle w:val="TableText"/>
              <w:ind w:left="52" w:right="133"/>
              <w:spacing w:before="73" w:line="231" w:lineRule="auto"/>
              <w:jc w:val="both"/>
              <w:rPr>
                <w:sz w:val="16"/>
                <w:szCs w:val="16"/>
              </w:rPr>
            </w:pPr>
            <w:r>
              <w:rPr>
                <w:sz w:val="16"/>
                <w:szCs w:val="16"/>
                <w:spacing w:val="1"/>
              </w:rPr>
              <w:t>内难居低前往隐幽测</w:t>
            </w:r>
            <w:r>
              <w:rPr>
                <w:sz w:val="16"/>
                <w:szCs w:val="16"/>
                <w:spacing w:val="2"/>
              </w:rPr>
              <w:t xml:space="preserve"> </w:t>
            </w:r>
            <w:r>
              <w:rPr>
                <w:sz w:val="16"/>
                <w:szCs w:val="16"/>
                <w:spacing w:val="-1"/>
              </w:rPr>
              <w:t>行证，在来需演通布</w:t>
            </w:r>
            <w:r>
              <w:rPr>
                <w:sz w:val="16"/>
                <w:szCs w:val="16"/>
              </w:rPr>
              <w:t xml:space="preserve"> </w:t>
            </w:r>
            <w:r>
              <w:rPr>
                <w:sz w:val="16"/>
                <w:szCs w:val="16"/>
                <w:spacing w:val="-1"/>
              </w:rPr>
              <w:t>器及能注性发</w:t>
            </w:r>
          </w:p>
        </w:tc>
        <w:tc>
          <w:tcPr>
            <w:tcW w:w="2367" w:type="dxa"/>
            <w:vAlign w:val="top"/>
          </w:tcPr>
          <w:p>
            <w:pPr>
              <w:pStyle w:val="TableText"/>
              <w:ind w:left="34" w:right="69" w:firstLine="99"/>
              <w:spacing w:before="71" w:line="227" w:lineRule="auto"/>
              <w:jc w:val="both"/>
              <w:rPr>
                <w:sz w:val="16"/>
                <w:szCs w:val="16"/>
              </w:rPr>
            </w:pPr>
            <w:r>
              <w:rPr>
                <w:sz w:val="16"/>
                <w:szCs w:val="16"/>
              </w:rPr>
              <w:t>中华人民共在国也入境警观周 </w:t>
            </w:r>
            <w:r>
              <w:rPr>
                <w:sz w:val="16"/>
                <w:szCs w:val="16"/>
              </w:rPr>
              <w:t>观者委托省躁，设体的市袋，卷</w:t>
            </w:r>
            <w:r>
              <w:rPr>
                <w:sz w:val="16"/>
                <w:szCs w:val="16"/>
                <w:spacing w:val="12"/>
              </w:rPr>
              <w:t xml:space="preserve"> </w:t>
            </w:r>
            <w:r>
              <w:rPr>
                <w:sz w:val="16"/>
                <w:szCs w:val="16"/>
                <w:spacing w:val="-1"/>
              </w:rPr>
              <w:t>级公安机关出入境管理机构</w:t>
            </w:r>
          </w:p>
        </w:tc>
        <w:tc>
          <w:tcPr>
            <w:tcW w:w="3711" w:type="dxa"/>
            <w:vAlign w:val="top"/>
          </w:tcPr>
          <w:p>
            <w:pPr>
              <w:pStyle w:val="TableText"/>
              <w:ind w:left="79" w:right="134" w:hanging="79"/>
              <w:spacing w:before="182" w:line="225" w:lineRule="auto"/>
              <w:rPr>
                <w:sz w:val="16"/>
                <w:szCs w:val="16"/>
              </w:rPr>
            </w:pPr>
            <w:r>
              <w:rPr>
                <w:sz w:val="16"/>
                <w:szCs w:val="16"/>
                <w:spacing w:val="2"/>
              </w:rPr>
              <w:t>【中国受民内私事法采春港也包域者澳门地区的暂</w:t>
            </w:r>
            <w:r>
              <w:rPr>
                <w:sz w:val="16"/>
                <w:szCs w:val="16"/>
                <w:spacing w:val="1"/>
              </w:rPr>
              <w:t xml:space="preserve"> </w:t>
            </w:r>
            <w:r>
              <w:rPr>
                <w:sz w:val="16"/>
                <w:szCs w:val="16"/>
                <w:spacing w:val="-4"/>
              </w:rPr>
              <w:t>行管理办法》</w:t>
            </w:r>
          </w:p>
        </w:tc>
      </w:tr>
      <w:tr>
        <w:trPr>
          <w:trHeight w:val="909" w:hRule="atLeast"/>
        </w:trPr>
        <w:tc>
          <w:tcPr>
            <w:tcW w:w="584" w:type="dxa"/>
            <w:vAlign w:val="top"/>
          </w:tcPr>
          <w:p>
            <w:pPr>
              <w:spacing w:line="371" w:lineRule="auto"/>
              <w:rPr>
                <w:rFonts w:ascii="Arial"/>
                <w:sz w:val="21"/>
              </w:rPr>
            </w:pPr>
            <w:r/>
          </w:p>
          <w:p>
            <w:pPr>
              <w:pStyle w:val="TableText"/>
              <w:ind w:left="164"/>
              <w:spacing w:before="52" w:line="182" w:lineRule="auto"/>
              <w:rPr>
                <w:sz w:val="16"/>
                <w:szCs w:val="16"/>
              </w:rPr>
            </w:pPr>
            <w:r>
              <w:rPr>
                <w:sz w:val="16"/>
                <w:szCs w:val="16"/>
                <w:spacing w:val="-3"/>
              </w:rPr>
              <w:t>757</w:t>
            </w:r>
          </w:p>
        </w:tc>
        <w:tc>
          <w:tcPr>
            <w:tcW w:w="1289" w:type="dxa"/>
            <w:vAlign w:val="top"/>
          </w:tcPr>
          <w:p>
            <w:pPr>
              <w:spacing w:line="329" w:lineRule="auto"/>
              <w:rPr>
                <w:rFonts w:ascii="Arial"/>
                <w:sz w:val="21"/>
              </w:rPr>
            </w:pPr>
            <w:r/>
          </w:p>
          <w:p>
            <w:pPr>
              <w:pStyle w:val="TableText"/>
              <w:ind w:left="231"/>
              <w:spacing w:before="52" w:line="219" w:lineRule="auto"/>
              <w:rPr>
                <w:sz w:val="16"/>
                <w:szCs w:val="16"/>
              </w:rPr>
            </w:pPr>
            <w:r>
              <w:rPr>
                <w:sz w:val="16"/>
                <w:szCs w:val="16"/>
                <w:spacing w:val="2"/>
              </w:rPr>
              <w:t>国家修见局</w:t>
            </w:r>
          </w:p>
        </w:tc>
        <w:tc>
          <w:tcPr>
            <w:tcW w:w="1648" w:type="dxa"/>
            <w:vAlign w:val="top"/>
          </w:tcPr>
          <w:p>
            <w:pPr>
              <w:pStyle w:val="TableText"/>
              <w:ind w:left="52" w:right="151"/>
              <w:spacing w:before="272" w:line="232" w:lineRule="auto"/>
              <w:rPr>
                <w:sz w:val="16"/>
                <w:szCs w:val="16"/>
              </w:rPr>
            </w:pPr>
            <w:r>
              <w:rPr>
                <w:sz w:val="16"/>
                <w:szCs w:val="16"/>
                <w:spacing w:val="-1"/>
              </w:rPr>
              <w:t>港澳居民亲技内地通</w:t>
            </w:r>
            <w:r>
              <w:rPr>
                <w:sz w:val="16"/>
                <w:szCs w:val="16"/>
                <w:spacing w:val="2"/>
              </w:rPr>
              <w:t xml:space="preserve"> </w:t>
            </w:r>
            <w:r>
              <w:rPr>
                <w:sz w:val="16"/>
                <w:szCs w:val="16"/>
                <w:spacing w:val="-2"/>
              </w:rPr>
              <w:t>行证签发</w:t>
            </w:r>
          </w:p>
        </w:tc>
        <w:tc>
          <w:tcPr>
            <w:tcW w:w="2367" w:type="dxa"/>
            <w:vAlign w:val="top"/>
          </w:tcPr>
          <w:p>
            <w:pPr>
              <w:pStyle w:val="TableText"/>
              <w:ind w:left="133"/>
              <w:spacing w:before="83" w:line="219" w:lineRule="auto"/>
              <w:rPr>
                <w:sz w:val="16"/>
                <w:szCs w:val="16"/>
              </w:rPr>
            </w:pPr>
            <w:r>
              <w:rPr>
                <w:sz w:val="16"/>
                <w:szCs w:val="16"/>
                <w:spacing w:val="1"/>
              </w:rPr>
              <w:t>中华人民共和国批人境替理易</w:t>
            </w:r>
          </w:p>
          <w:p>
            <w:pPr>
              <w:pStyle w:val="TableText"/>
              <w:ind w:left="24" w:right="54" w:firstLine="109"/>
              <w:spacing w:before="8" w:line="227" w:lineRule="auto"/>
              <w:rPr>
                <w:sz w:val="16"/>
                <w:szCs w:val="16"/>
              </w:rPr>
            </w:pPr>
            <w:r>
              <w:rPr>
                <w:sz w:val="16"/>
                <w:szCs w:val="16"/>
                <w:spacing w:val="-1"/>
              </w:rPr>
              <w:t>忠考装托的广东省公安厅和业</w:t>
            </w:r>
            <w:r>
              <w:rPr>
                <w:sz w:val="16"/>
                <w:szCs w:val="16"/>
                <w:spacing w:val="1"/>
              </w:rPr>
              <w:t xml:space="preserve">  </w:t>
            </w:r>
            <w:r>
              <w:rPr>
                <w:sz w:val="16"/>
                <w:szCs w:val="16"/>
                <w:spacing w:val="2"/>
              </w:rPr>
              <w:t>区的市世，县很公安机关出入笺</w:t>
            </w:r>
            <w:r>
              <w:rPr>
                <w:sz w:val="16"/>
                <w:szCs w:val="16"/>
                <w:spacing w:val="9"/>
              </w:rPr>
              <w:t xml:space="preserve"> </w:t>
            </w:r>
            <w:r>
              <w:rPr>
                <w:sz w:val="16"/>
                <w:szCs w:val="16"/>
                <w:spacing w:val="-2"/>
              </w:rPr>
              <w:t>管理机柳</w:t>
            </w:r>
          </w:p>
        </w:tc>
        <w:tc>
          <w:tcPr>
            <w:tcW w:w="3711" w:type="dxa"/>
            <w:vAlign w:val="top"/>
          </w:tcPr>
          <w:p>
            <w:pPr>
              <w:pStyle w:val="TableText"/>
              <w:ind w:left="88" w:right="239" w:hanging="88"/>
              <w:spacing w:before="282" w:line="237" w:lineRule="auto"/>
              <w:rPr>
                <w:sz w:val="16"/>
                <w:szCs w:val="16"/>
              </w:rPr>
            </w:pPr>
            <w:r>
              <w:rPr>
                <w:sz w:val="16"/>
                <w:szCs w:val="16"/>
                <w:spacing w:val="-3"/>
              </w:rPr>
              <w:t>《中国公见国私事往来者港地区或有澳门尾区的前</w:t>
            </w:r>
            <w:r>
              <w:rPr>
                <w:sz w:val="16"/>
                <w:szCs w:val="16"/>
                <w:spacing w:val="6"/>
              </w:rPr>
              <w:t xml:space="preserve"> </w:t>
            </w:r>
            <w:r>
              <w:rPr>
                <w:sz w:val="16"/>
                <w:szCs w:val="16"/>
                <w:spacing w:val="3"/>
              </w:rPr>
              <w:t>行管现办岳!</w:t>
            </w:r>
          </w:p>
        </w:tc>
      </w:tr>
      <w:tr>
        <w:trPr>
          <w:trHeight w:val="699" w:hRule="atLeast"/>
        </w:trPr>
        <w:tc>
          <w:tcPr>
            <w:tcW w:w="584" w:type="dxa"/>
            <w:vAlign w:val="top"/>
          </w:tcPr>
          <w:p>
            <w:pPr>
              <w:spacing w:line="262" w:lineRule="auto"/>
              <w:rPr>
                <w:rFonts w:ascii="Arial"/>
                <w:sz w:val="21"/>
              </w:rPr>
            </w:pPr>
            <w:r/>
          </w:p>
          <w:p>
            <w:pPr>
              <w:pStyle w:val="TableText"/>
              <w:ind w:left="164"/>
              <w:spacing w:before="52" w:line="183" w:lineRule="auto"/>
              <w:rPr>
                <w:sz w:val="16"/>
                <w:szCs w:val="16"/>
              </w:rPr>
            </w:pPr>
            <w:r>
              <w:rPr>
                <w:sz w:val="16"/>
                <w:szCs w:val="16"/>
                <w:spacing w:val="-3"/>
              </w:rPr>
              <w:t>758</w:t>
            </w:r>
          </w:p>
        </w:tc>
        <w:tc>
          <w:tcPr>
            <w:tcW w:w="1289" w:type="dxa"/>
            <w:vAlign w:val="top"/>
          </w:tcPr>
          <w:p>
            <w:pPr>
              <w:pStyle w:val="TableText"/>
              <w:ind w:left="231"/>
              <w:spacing w:before="273" w:line="219" w:lineRule="auto"/>
              <w:rPr>
                <w:sz w:val="16"/>
                <w:szCs w:val="16"/>
              </w:rPr>
            </w:pPr>
            <w:r>
              <w:rPr>
                <w:sz w:val="16"/>
                <w:szCs w:val="16"/>
                <w:spacing w:val="1"/>
              </w:rPr>
              <w:t>国家移比精</w:t>
            </w:r>
          </w:p>
        </w:tc>
        <w:tc>
          <w:tcPr>
            <w:tcW w:w="1648" w:type="dxa"/>
            <w:vAlign w:val="top"/>
          </w:tcPr>
          <w:p>
            <w:pPr>
              <w:pStyle w:val="TableText"/>
              <w:ind w:left="52" w:right="134" w:firstLine="20"/>
              <w:spacing w:before="184" w:line="239" w:lineRule="auto"/>
              <w:rPr>
                <w:sz w:val="16"/>
                <w:szCs w:val="16"/>
              </w:rPr>
            </w:pPr>
            <w:r>
              <w:rPr>
                <w:sz w:val="16"/>
                <w:szCs w:val="16"/>
                <w:spacing w:val="-1"/>
              </w:rPr>
              <w:t>老凄居民定居证明整</w:t>
            </w:r>
            <w:r>
              <w:rPr>
                <w:sz w:val="16"/>
                <w:szCs w:val="16"/>
              </w:rPr>
              <w:t xml:space="preserve"> </w:t>
            </w:r>
            <w:r>
              <w:rPr>
                <w:sz w:val="16"/>
                <w:szCs w:val="16"/>
              </w:rPr>
              <w:t>型</w:t>
            </w:r>
          </w:p>
        </w:tc>
        <w:tc>
          <w:tcPr>
            <w:tcW w:w="2367" w:type="dxa"/>
            <w:vAlign w:val="top"/>
          </w:tcPr>
          <w:p>
            <w:pPr>
              <w:pStyle w:val="TableText"/>
              <w:ind w:left="133"/>
              <w:spacing w:before="94" w:line="219" w:lineRule="auto"/>
              <w:rPr>
                <w:sz w:val="16"/>
                <w:szCs w:val="16"/>
              </w:rPr>
            </w:pPr>
            <w:r>
              <w:rPr>
                <w:sz w:val="16"/>
                <w:szCs w:val="16"/>
                <w:spacing w:val="1"/>
              </w:rPr>
              <w:t>中华人民共和国出人填管型同</w:t>
            </w:r>
          </w:p>
          <w:p>
            <w:pPr>
              <w:pStyle w:val="TableText"/>
              <w:ind w:left="34" w:right="151" w:firstLine="99"/>
              <w:spacing w:before="1" w:line="224" w:lineRule="auto"/>
              <w:rPr>
                <w:sz w:val="16"/>
                <w:szCs w:val="16"/>
              </w:rPr>
            </w:pPr>
            <w:r>
              <w:rPr>
                <w:sz w:val="16"/>
                <w:szCs w:val="16"/>
                <w:spacing w:val="-1"/>
              </w:rPr>
              <w:t>或者要托省驶公安机关出人填</w:t>
            </w:r>
            <w:r>
              <w:rPr>
                <w:sz w:val="16"/>
                <w:szCs w:val="16"/>
                <w:spacing w:val="3"/>
              </w:rPr>
              <w:t xml:space="preserve"> </w:t>
            </w:r>
            <w:r>
              <w:rPr>
                <w:sz w:val="16"/>
                <w:szCs w:val="16"/>
                <w:spacing w:val="2"/>
              </w:rPr>
              <w:t>管理机构</w:t>
            </w:r>
          </w:p>
        </w:tc>
        <w:tc>
          <w:tcPr>
            <w:tcW w:w="3711" w:type="dxa"/>
            <w:vAlign w:val="top"/>
          </w:tcPr>
          <w:p>
            <w:pPr>
              <w:pStyle w:val="TableText"/>
              <w:ind w:left="46" w:right="188" w:firstLine="30"/>
              <w:spacing w:before="174" w:line="231" w:lineRule="auto"/>
              <w:rPr>
                <w:sz w:val="16"/>
                <w:szCs w:val="16"/>
              </w:rPr>
            </w:pPr>
            <w:r>
              <w:rPr>
                <w:sz w:val="16"/>
                <w:szCs w:val="16"/>
                <w:spacing w:val="-1"/>
              </w:rPr>
              <w:t>C中国登民因私事在来春港地医或者腹门地区的暂</w:t>
            </w:r>
            <w:r>
              <w:rPr>
                <w:sz w:val="16"/>
                <w:szCs w:val="16"/>
                <w:spacing w:val="16"/>
              </w:rPr>
              <w:t xml:space="preserve"> </w:t>
            </w:r>
            <w:r>
              <w:rPr>
                <w:sz w:val="16"/>
                <w:szCs w:val="16"/>
                <w:spacing w:val="-2"/>
              </w:rPr>
              <w:t>行管罪办法</w:t>
            </w:r>
          </w:p>
        </w:tc>
      </w:tr>
      <w:tr>
        <w:trPr>
          <w:trHeight w:val="784" w:hRule="atLeast"/>
        </w:trPr>
        <w:tc>
          <w:tcPr>
            <w:tcW w:w="584" w:type="dxa"/>
            <w:vAlign w:val="top"/>
          </w:tcPr>
          <w:p>
            <w:pPr>
              <w:spacing w:line="303" w:lineRule="auto"/>
              <w:rPr>
                <w:rFonts w:ascii="Arial"/>
                <w:sz w:val="21"/>
              </w:rPr>
            </w:pPr>
            <w:r/>
          </w:p>
          <w:p>
            <w:pPr>
              <w:pStyle w:val="TableText"/>
              <w:ind w:left="164"/>
              <w:spacing w:before="52" w:line="183" w:lineRule="auto"/>
              <w:rPr>
                <w:sz w:val="16"/>
                <w:szCs w:val="16"/>
              </w:rPr>
            </w:pPr>
            <w:r>
              <w:rPr>
                <w:sz w:val="16"/>
                <w:szCs w:val="16"/>
                <w:spacing w:val="-3"/>
              </w:rPr>
              <w:t>759</w:t>
            </w:r>
          </w:p>
        </w:tc>
        <w:tc>
          <w:tcPr>
            <w:tcW w:w="1289" w:type="dxa"/>
            <w:vAlign w:val="top"/>
          </w:tcPr>
          <w:p>
            <w:pPr>
              <w:spacing w:line="260" w:lineRule="auto"/>
              <w:rPr>
                <w:rFonts w:ascii="Arial"/>
                <w:sz w:val="21"/>
              </w:rPr>
            </w:pPr>
            <w:r/>
          </w:p>
          <w:p>
            <w:pPr>
              <w:pStyle w:val="TableText"/>
              <w:ind w:left="231"/>
              <w:spacing w:before="52" w:line="219" w:lineRule="auto"/>
              <w:rPr>
                <w:sz w:val="16"/>
                <w:szCs w:val="16"/>
              </w:rPr>
            </w:pPr>
            <w:r>
              <w:rPr>
                <w:sz w:val="16"/>
                <w:szCs w:val="16"/>
                <w:spacing w:val="3"/>
              </w:rPr>
              <w:t>四家杯尾周</w:t>
            </w:r>
          </w:p>
        </w:tc>
        <w:tc>
          <w:tcPr>
            <w:tcW w:w="1648" w:type="dxa"/>
            <w:vAlign w:val="top"/>
          </w:tcPr>
          <w:p>
            <w:pPr>
              <w:pStyle w:val="TableText"/>
              <w:ind w:left="52" w:right="154"/>
              <w:spacing w:before="234" w:line="232" w:lineRule="auto"/>
              <w:rPr>
                <w:sz w:val="16"/>
                <w:szCs w:val="16"/>
              </w:rPr>
            </w:pPr>
            <w:r>
              <w:rPr>
                <w:sz w:val="16"/>
                <w:szCs w:val="16"/>
                <w:spacing w:val="-1"/>
              </w:rPr>
              <w:t>大陆居民世来合唐遵</w:t>
            </w:r>
            <w:r>
              <w:rPr>
                <w:sz w:val="16"/>
                <w:szCs w:val="16"/>
              </w:rPr>
              <w:t xml:space="preserve"> </w:t>
            </w:r>
            <w:r>
              <w:rPr>
                <w:sz w:val="16"/>
                <w:szCs w:val="16"/>
                <w:spacing w:val="-2"/>
              </w:rPr>
              <w:t>行正及基在签发</w:t>
            </w:r>
          </w:p>
        </w:tc>
        <w:tc>
          <w:tcPr>
            <w:tcW w:w="2367" w:type="dxa"/>
            <w:vAlign w:val="top"/>
          </w:tcPr>
          <w:p>
            <w:pPr>
              <w:pStyle w:val="TableText"/>
              <w:ind w:left="54" w:right="71" w:firstLine="79"/>
              <w:spacing w:before="115" w:line="238" w:lineRule="auto"/>
              <w:jc w:val="both"/>
              <w:rPr>
                <w:sz w:val="16"/>
                <w:szCs w:val="16"/>
              </w:rPr>
            </w:pPr>
            <w:r>
              <w:rPr>
                <w:sz w:val="16"/>
                <w:szCs w:val="16"/>
              </w:rPr>
              <w:t>中华人医共和国出人境登室局 </w:t>
            </w:r>
            <w:r>
              <w:rPr>
                <w:sz w:val="16"/>
                <w:szCs w:val="16"/>
                <w:spacing w:val="-1"/>
              </w:rPr>
              <w:t>或者委托省限，设区的市跳，是</w:t>
            </w:r>
            <w:r>
              <w:rPr>
                <w:sz w:val="16"/>
                <w:szCs w:val="16"/>
                <w:spacing w:val="4"/>
              </w:rPr>
              <w:t xml:space="preserve"> </w:t>
            </w:r>
            <w:r>
              <w:rPr>
                <w:sz w:val="16"/>
                <w:szCs w:val="16"/>
                <w:spacing w:val="-1"/>
              </w:rPr>
              <w:t>饭公安机关出入填管理机程</w:t>
            </w:r>
          </w:p>
        </w:tc>
        <w:tc>
          <w:tcPr>
            <w:tcW w:w="3711" w:type="dxa"/>
            <w:vAlign w:val="top"/>
          </w:tcPr>
          <w:p>
            <w:pPr>
              <w:spacing w:line="262" w:lineRule="auto"/>
              <w:rPr>
                <w:rFonts w:ascii="Arial"/>
                <w:sz w:val="21"/>
              </w:rPr>
            </w:pPr>
            <w:r/>
          </w:p>
          <w:p>
            <w:pPr>
              <w:pStyle w:val="TableText"/>
              <w:spacing w:before="52" w:line="219" w:lineRule="auto"/>
              <w:rPr>
                <w:sz w:val="16"/>
                <w:szCs w:val="16"/>
              </w:rPr>
            </w:pPr>
            <w:r>
              <w:rPr>
                <w:sz w:val="16"/>
                <w:szCs w:val="16"/>
                <w:spacing w:val="-3"/>
              </w:rPr>
              <w:t>《中国公民往家行需筑区登理办法1</w:t>
            </w:r>
          </w:p>
        </w:tc>
      </w:tr>
    </w:tbl>
    <w:p>
      <w:pPr>
        <w:pStyle w:val="BodyText"/>
        <w:rPr/>
      </w:pPr>
      <w:r/>
    </w:p>
    <w:p>
      <w:pPr>
        <w:sectPr>
          <w:pgSz w:w="11910" w:h="8220"/>
          <w:pgMar w:top="400" w:right="1165" w:bottom="400" w:left="822" w:header="0" w:footer="0" w:gutter="0"/>
        </w:sectPr>
        <w:rPr/>
      </w:pPr>
    </w:p>
    <w:p>
      <w:pPr>
        <w:spacing w:before="93"/>
        <w:rPr/>
      </w:pPr>
      <w:r>
        <mc:AlternateContent xmlns:mc="http://schemas.openxmlformats.org/markup-compatibility/2006">
          <mc:Choice Requires="wps">
            <w:drawing>
              <wp:anchor distT="0" distB="0" distL="0" distR="0" simplePos="0" relativeHeight="251902976" behindDoc="0" locked="0" layoutInCell="0" allowOverlap="1">
                <wp:simplePos x="0" y="0"/>
                <wp:positionH relativeFrom="page">
                  <wp:posOffset>470817</wp:posOffset>
                </wp:positionH>
                <wp:positionV relativeFrom="page">
                  <wp:posOffset>623657</wp:posOffset>
                </wp:positionV>
                <wp:extent cx="172720" cy="157479"/>
                <wp:effectExtent l="0" t="0" r="0" b="0"/>
                <wp:wrapNone/>
                <wp:docPr id="322" name="TextBox 322"/>
                <wp:cNvGraphicFramePr/>
                <a:graphic>
                  <a:graphicData uri="http://schemas.microsoft.com/office/word/2010/wordprocessingShape">
                    <wps:wsp>
                      <wps:cNvSpPr txBox="1"/>
                      <wps:spPr>
                        <a:xfrm rot="5400000">
                          <a:off x="470817" y="623657"/>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242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4" style="position:absolute;margin-left:37.0722pt;margin-top:49.1069pt;mso-position-vertical-relative:page;mso-position-horizontal-relative:page;width:13.6pt;height:12.4pt;z-index:251902976;rotation:90;" o:allowincell="f" filled="false" stroked="false" type="#_x0000_t202">
                <v:fill on="false"/>
                <v:stroke on="false"/>
                <v:path/>
                <v:imagedata o:title=""/>
                <o:lock v:ext="edit" aspectratio="false"/>
                <v:textbox inset="0mm,0mm,0mm,0mm">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242</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35" w:hRule="atLeast"/>
        </w:trPr>
        <w:tc>
          <w:tcPr>
            <w:tcW w:w="584" w:type="dxa"/>
            <w:vAlign w:val="top"/>
          </w:tcPr>
          <w:p>
            <w:pPr>
              <w:pStyle w:val="TableText"/>
              <w:ind w:left="124"/>
              <w:spacing w:before="141" w:line="219" w:lineRule="auto"/>
              <w:rPr>
                <w:sz w:val="16"/>
                <w:szCs w:val="16"/>
              </w:rPr>
            </w:pPr>
            <w:r>
              <w:rPr>
                <w:sz w:val="16"/>
                <w:szCs w:val="16"/>
                <w:spacing w:val="4"/>
              </w:rPr>
              <w:t>京号</w:t>
            </w:r>
          </w:p>
        </w:tc>
        <w:tc>
          <w:tcPr>
            <w:tcW w:w="1289" w:type="dxa"/>
            <w:vAlign w:val="top"/>
          </w:tcPr>
          <w:p>
            <w:pPr>
              <w:pStyle w:val="TableText"/>
              <w:ind w:left="150"/>
              <w:spacing w:before="141" w:line="219" w:lineRule="auto"/>
              <w:rPr>
                <w:sz w:val="16"/>
                <w:szCs w:val="16"/>
              </w:rPr>
            </w:pPr>
            <w:r>
              <w:rPr>
                <w:sz w:val="16"/>
                <w:szCs w:val="16"/>
                <w:spacing w:val="3"/>
              </w:rPr>
              <w:t>中央主管部门</w:t>
            </w:r>
          </w:p>
        </w:tc>
        <w:tc>
          <w:tcPr>
            <w:tcW w:w="1648" w:type="dxa"/>
            <w:vAlign w:val="top"/>
          </w:tcPr>
          <w:p>
            <w:pPr>
              <w:pStyle w:val="TableText"/>
              <w:ind w:left="491"/>
              <w:spacing w:before="142" w:line="220" w:lineRule="auto"/>
              <w:rPr>
                <w:sz w:val="16"/>
                <w:szCs w:val="16"/>
              </w:rPr>
            </w:pPr>
            <w:r>
              <w:rPr>
                <w:sz w:val="16"/>
                <w:szCs w:val="16"/>
                <w:spacing w:val="-2"/>
              </w:rPr>
              <w:t>事项名称</w:t>
            </w:r>
          </w:p>
        </w:tc>
        <w:tc>
          <w:tcPr>
            <w:tcW w:w="2367" w:type="dxa"/>
            <w:vAlign w:val="top"/>
          </w:tcPr>
          <w:p>
            <w:pPr>
              <w:pStyle w:val="TableText"/>
              <w:ind w:left="844"/>
              <w:spacing w:before="140" w:line="219" w:lineRule="auto"/>
              <w:rPr>
                <w:sz w:val="16"/>
                <w:szCs w:val="16"/>
              </w:rPr>
            </w:pPr>
            <w:r>
              <w:rPr>
                <w:sz w:val="16"/>
                <w:szCs w:val="16"/>
                <w:spacing w:val="-2"/>
              </w:rPr>
              <w:t>实牌机关</w:t>
            </w:r>
          </w:p>
        </w:tc>
        <w:tc>
          <w:tcPr>
            <w:tcW w:w="3711" w:type="dxa"/>
            <w:vAlign w:val="top"/>
          </w:tcPr>
          <w:p>
            <w:pPr>
              <w:pStyle w:val="TableText"/>
              <w:ind w:left="1266"/>
              <w:spacing w:before="140" w:line="219" w:lineRule="auto"/>
              <w:rPr>
                <w:sz w:val="16"/>
                <w:szCs w:val="16"/>
              </w:rPr>
            </w:pPr>
            <w:r>
              <w:rPr>
                <w:sz w:val="16"/>
                <w:szCs w:val="16"/>
                <w:spacing w:val="-2"/>
              </w:rPr>
              <w:t>设宽和雾防依器</w:t>
            </w:r>
          </w:p>
        </w:tc>
      </w:tr>
      <w:tr>
        <w:trPr>
          <w:trHeight w:val="649" w:hRule="atLeast"/>
        </w:trPr>
        <w:tc>
          <w:tcPr>
            <w:tcW w:w="584" w:type="dxa"/>
            <w:vAlign w:val="top"/>
          </w:tcPr>
          <w:p>
            <w:pPr>
              <w:pStyle w:val="TableText"/>
              <w:ind w:left="164"/>
              <w:spacing w:before="287" w:line="183" w:lineRule="auto"/>
              <w:rPr>
                <w:sz w:val="16"/>
                <w:szCs w:val="16"/>
              </w:rPr>
            </w:pPr>
            <w:r>
              <w:rPr>
                <w:sz w:val="16"/>
                <w:szCs w:val="16"/>
                <w:spacing w:val="-3"/>
              </w:rPr>
              <w:t>76m</w:t>
            </w:r>
          </w:p>
        </w:tc>
        <w:tc>
          <w:tcPr>
            <w:tcW w:w="1289" w:type="dxa"/>
            <w:vAlign w:val="top"/>
          </w:tcPr>
          <w:p>
            <w:pPr>
              <w:pStyle w:val="TableText"/>
              <w:ind w:left="231"/>
              <w:spacing w:before="246" w:line="219" w:lineRule="auto"/>
              <w:rPr>
                <w:sz w:val="16"/>
                <w:szCs w:val="16"/>
              </w:rPr>
            </w:pPr>
            <w:r>
              <w:rPr>
                <w:sz w:val="16"/>
                <w:szCs w:val="16"/>
                <w:spacing w:val="2"/>
              </w:rPr>
              <w:t>国家林民局</w:t>
            </w:r>
          </w:p>
        </w:tc>
        <w:tc>
          <w:tcPr>
            <w:tcW w:w="1648" w:type="dxa"/>
            <w:vAlign w:val="top"/>
          </w:tcPr>
          <w:p>
            <w:pPr>
              <w:pStyle w:val="TableText"/>
              <w:ind w:left="52" w:right="83" w:firstLine="40"/>
              <w:spacing w:before="166" w:line="220" w:lineRule="auto"/>
              <w:rPr>
                <w:sz w:val="16"/>
                <w:szCs w:val="16"/>
              </w:rPr>
            </w:pPr>
            <w:r>
              <w:rPr>
                <w:sz w:val="16"/>
                <w:szCs w:val="16"/>
                <w:spacing w:val="2"/>
              </w:rPr>
              <w:t>台尚居民末花大陆习</w:t>
            </w:r>
            <w:r>
              <w:rPr>
                <w:sz w:val="16"/>
                <w:szCs w:val="16"/>
                <w:spacing w:val="3"/>
              </w:rPr>
              <w:t xml:space="preserve"> </w:t>
            </w:r>
            <w:r>
              <w:rPr>
                <w:sz w:val="16"/>
                <w:szCs w:val="16"/>
                <w:spacing w:val="-2"/>
              </w:rPr>
              <w:t>行证签发</w:t>
            </w:r>
          </w:p>
        </w:tc>
        <w:tc>
          <w:tcPr>
            <w:tcW w:w="2367" w:type="dxa"/>
            <w:vAlign w:val="top"/>
          </w:tcPr>
          <w:p>
            <w:pPr>
              <w:pStyle w:val="TableText"/>
              <w:ind w:left="54" w:right="71"/>
              <w:spacing w:before="55" w:line="223" w:lineRule="auto"/>
              <w:rPr>
                <w:sz w:val="16"/>
                <w:szCs w:val="16"/>
              </w:rPr>
            </w:pPr>
            <w:r>
              <w:rPr>
                <w:sz w:val="16"/>
                <w:szCs w:val="16"/>
              </w:rPr>
              <w:t>中华人民共和国出入境情理局  </w:t>
            </w:r>
            <w:r>
              <w:rPr>
                <w:sz w:val="16"/>
                <w:szCs w:val="16"/>
                <w:spacing w:val="-1"/>
              </w:rPr>
              <w:t>或者要孔者级，没区的市以，基</w:t>
            </w:r>
            <w:r>
              <w:rPr>
                <w:sz w:val="16"/>
                <w:szCs w:val="16"/>
                <w:spacing w:val="4"/>
              </w:rPr>
              <w:t xml:space="preserve"> </w:t>
            </w:r>
            <w:r>
              <w:rPr>
                <w:sz w:val="16"/>
                <w:szCs w:val="16"/>
                <w:spacing w:val="-1"/>
              </w:rPr>
              <w:t>级公安机无出入填着理机程</w:t>
            </w:r>
          </w:p>
        </w:tc>
        <w:tc>
          <w:tcPr>
            <w:tcW w:w="3711" w:type="dxa"/>
            <w:vAlign w:val="top"/>
          </w:tcPr>
          <w:p>
            <w:pPr>
              <w:pStyle w:val="TableText"/>
              <w:ind w:left="196"/>
              <w:spacing w:before="245" w:line="219" w:lineRule="auto"/>
              <w:rPr>
                <w:sz w:val="16"/>
                <w:szCs w:val="16"/>
              </w:rPr>
            </w:pPr>
            <w:r>
              <w:rPr>
                <w:sz w:val="16"/>
                <w:szCs w:val="16"/>
                <w:spacing w:val="1"/>
              </w:rPr>
              <w:t>4中国公民性求台青地区管理办法1</w:t>
            </w:r>
          </w:p>
        </w:tc>
      </w:tr>
      <w:tr>
        <w:trPr>
          <w:trHeight w:val="639" w:hRule="atLeast"/>
        </w:trPr>
        <w:tc>
          <w:tcPr>
            <w:tcW w:w="584" w:type="dxa"/>
            <w:vAlign w:val="top"/>
          </w:tcPr>
          <w:p>
            <w:pPr>
              <w:pStyle w:val="TableText"/>
              <w:ind w:left="164"/>
              <w:spacing w:before="278" w:line="184" w:lineRule="auto"/>
              <w:rPr>
                <w:sz w:val="16"/>
                <w:szCs w:val="16"/>
              </w:rPr>
            </w:pPr>
            <w:r>
              <w:rPr>
                <w:sz w:val="16"/>
                <w:szCs w:val="16"/>
                <w:spacing w:val="-3"/>
              </w:rPr>
              <w:t>751</w:t>
            </w:r>
          </w:p>
        </w:tc>
        <w:tc>
          <w:tcPr>
            <w:tcW w:w="1289" w:type="dxa"/>
            <w:vAlign w:val="top"/>
          </w:tcPr>
          <w:p>
            <w:pPr>
              <w:pStyle w:val="TableText"/>
              <w:ind w:left="231"/>
              <w:spacing w:before="238" w:line="220" w:lineRule="auto"/>
              <w:rPr>
                <w:sz w:val="16"/>
                <w:szCs w:val="16"/>
              </w:rPr>
            </w:pPr>
            <w:r>
              <w:rPr>
                <w:sz w:val="16"/>
                <w:szCs w:val="16"/>
                <w:spacing w:val="2"/>
              </w:rPr>
              <w:t>国家核民局</w:t>
            </w:r>
          </w:p>
        </w:tc>
        <w:tc>
          <w:tcPr>
            <w:tcW w:w="1648" w:type="dxa"/>
            <w:vAlign w:val="top"/>
          </w:tcPr>
          <w:p>
            <w:pPr>
              <w:pStyle w:val="TableText"/>
              <w:ind w:left="42" w:right="112" w:firstLine="50"/>
              <w:spacing w:before="157" w:line="218" w:lineRule="auto"/>
              <w:rPr>
                <w:sz w:val="12"/>
                <w:szCs w:val="12"/>
              </w:rPr>
            </w:pPr>
            <w:r>
              <w:rPr>
                <w:sz w:val="16"/>
                <w:szCs w:val="16"/>
                <w:spacing w:val="-1"/>
              </w:rPr>
              <w:t>合商居风定居证用签</w:t>
            </w:r>
            <w:r>
              <w:rPr>
                <w:sz w:val="16"/>
                <w:szCs w:val="16"/>
                <w:spacing w:val="1"/>
              </w:rPr>
              <w:t xml:space="preserve"> </w:t>
            </w:r>
            <w:r>
              <w:rPr>
                <w:sz w:val="12"/>
                <w:szCs w:val="12"/>
              </w:rPr>
              <w:t>龙</w:t>
            </w:r>
          </w:p>
        </w:tc>
        <w:tc>
          <w:tcPr>
            <w:tcW w:w="2367" w:type="dxa"/>
            <w:vAlign w:val="top"/>
          </w:tcPr>
          <w:p>
            <w:pPr>
              <w:pStyle w:val="TableText"/>
              <w:ind w:left="54" w:right="208"/>
              <w:spacing w:before="67" w:line="216" w:lineRule="auto"/>
              <w:jc w:val="both"/>
              <w:rPr>
                <w:sz w:val="16"/>
                <w:szCs w:val="16"/>
              </w:rPr>
            </w:pPr>
            <w:r>
              <w:rPr>
                <w:sz w:val="16"/>
                <w:szCs w:val="16"/>
                <w:spacing w:val="1"/>
              </w:rPr>
              <w:t>中华人民共印国出大境鲁理局</w:t>
            </w:r>
            <w:r>
              <w:rPr>
                <w:sz w:val="16"/>
                <w:szCs w:val="16"/>
              </w:rPr>
              <w:t xml:space="preserve"> </w:t>
            </w:r>
            <w:r>
              <w:rPr>
                <w:sz w:val="16"/>
                <w:szCs w:val="16"/>
                <w:spacing w:val="-1"/>
              </w:rPr>
              <w:t>或省委托省级公安机关出人绩</w:t>
            </w:r>
            <w:r>
              <w:rPr>
                <w:sz w:val="16"/>
                <w:szCs w:val="16"/>
                <w:spacing w:val="3"/>
              </w:rPr>
              <w:t xml:space="preserve"> </w:t>
            </w:r>
            <w:r>
              <w:rPr>
                <w:sz w:val="16"/>
                <w:szCs w:val="16"/>
                <w:spacing w:val="2"/>
              </w:rPr>
              <w:t>管星机构</w:t>
            </w:r>
          </w:p>
        </w:tc>
        <w:tc>
          <w:tcPr>
            <w:tcW w:w="3711" w:type="dxa"/>
            <w:vAlign w:val="top"/>
          </w:tcPr>
          <w:p>
            <w:pPr>
              <w:pStyle w:val="TableText"/>
              <w:ind w:left="196"/>
              <w:spacing w:before="237" w:line="219" w:lineRule="auto"/>
              <w:rPr>
                <w:sz w:val="16"/>
                <w:szCs w:val="16"/>
              </w:rPr>
            </w:pPr>
            <w:r>
              <w:rPr>
                <w:sz w:val="16"/>
                <w:szCs w:val="16"/>
                <w:spacing w:val="1"/>
              </w:rPr>
              <w:t>T中国公民往来合岗地以位理办张1</w:t>
            </w:r>
          </w:p>
        </w:tc>
      </w:tr>
      <w:tr>
        <w:trPr>
          <w:trHeight w:val="459" w:hRule="atLeast"/>
        </w:trPr>
        <w:tc>
          <w:tcPr>
            <w:tcW w:w="584" w:type="dxa"/>
            <w:vAlign w:val="top"/>
          </w:tcPr>
          <w:p>
            <w:pPr>
              <w:pStyle w:val="TableText"/>
              <w:ind w:left="164"/>
              <w:spacing w:before="189" w:line="183" w:lineRule="auto"/>
              <w:rPr>
                <w:sz w:val="16"/>
                <w:szCs w:val="16"/>
              </w:rPr>
            </w:pPr>
            <w:r>
              <w:rPr>
                <w:sz w:val="16"/>
                <w:szCs w:val="16"/>
                <w:spacing w:val="-3"/>
              </w:rPr>
              <w:t>762</w:t>
            </w:r>
          </w:p>
        </w:tc>
        <w:tc>
          <w:tcPr>
            <w:tcW w:w="1289" w:type="dxa"/>
            <w:vAlign w:val="top"/>
          </w:tcPr>
          <w:p>
            <w:pPr>
              <w:pStyle w:val="TableText"/>
              <w:ind w:left="231"/>
              <w:spacing w:before="148" w:line="219" w:lineRule="auto"/>
              <w:rPr>
                <w:sz w:val="16"/>
                <w:szCs w:val="16"/>
              </w:rPr>
            </w:pPr>
            <w:r>
              <w:rPr>
                <w:sz w:val="16"/>
                <w:szCs w:val="16"/>
                <w:spacing w:val="2"/>
              </w:rPr>
              <w:t>国家释民局</w:t>
            </w:r>
          </w:p>
        </w:tc>
        <w:tc>
          <w:tcPr>
            <w:tcW w:w="1648" w:type="dxa"/>
            <w:vAlign w:val="top"/>
          </w:tcPr>
          <w:p>
            <w:pPr>
              <w:pStyle w:val="TableText"/>
              <w:ind w:left="92"/>
              <w:spacing w:before="147" w:line="219" w:lineRule="auto"/>
              <w:rPr>
                <w:sz w:val="16"/>
                <w:szCs w:val="16"/>
              </w:rPr>
            </w:pPr>
            <w:r>
              <w:rPr>
                <w:sz w:val="16"/>
                <w:szCs w:val="16"/>
              </w:rPr>
              <w:t>台隋居民获仙证核置</w:t>
            </w:r>
          </w:p>
        </w:tc>
        <w:tc>
          <w:tcPr>
            <w:tcW w:w="2367" w:type="dxa"/>
            <w:vAlign w:val="top"/>
          </w:tcPr>
          <w:p>
            <w:pPr>
              <w:pStyle w:val="TableText"/>
              <w:ind w:left="54"/>
              <w:spacing w:before="148" w:line="219" w:lineRule="auto"/>
              <w:rPr>
                <w:sz w:val="16"/>
                <w:szCs w:val="16"/>
              </w:rPr>
            </w:pPr>
            <w:r>
              <w:rPr>
                <w:sz w:val="16"/>
                <w:szCs w:val="16"/>
                <w:spacing w:val="1"/>
              </w:rPr>
              <w:t>出入理边防检查站</w:t>
            </w:r>
          </w:p>
        </w:tc>
        <w:tc>
          <w:tcPr>
            <w:tcW w:w="3711" w:type="dxa"/>
            <w:vAlign w:val="top"/>
          </w:tcPr>
          <w:p>
            <w:pPr>
              <w:pStyle w:val="TableText"/>
              <w:ind w:left="196" w:right="207" w:hanging="69"/>
              <w:spacing w:before="59" w:line="225" w:lineRule="auto"/>
              <w:rPr>
                <w:sz w:val="16"/>
                <w:szCs w:val="16"/>
              </w:rPr>
            </w:pPr>
            <w:r>
              <w:rPr>
                <w:sz w:val="16"/>
                <w:szCs w:val="16"/>
              </w:rPr>
              <w:t>国务优对确雪保前的有政审批张目设是行收辞可</w:t>
            </w:r>
            <w:r>
              <w:rPr>
                <w:sz w:val="16"/>
                <w:szCs w:val="16"/>
                <w:spacing w:val="5"/>
              </w:rPr>
              <w:t xml:space="preserve"> </w:t>
            </w:r>
            <w:r>
              <w:rPr>
                <w:sz w:val="16"/>
                <w:szCs w:val="16"/>
                <w:spacing w:val="4"/>
              </w:rPr>
              <w:t>的皮定1</w:t>
            </w:r>
          </w:p>
        </w:tc>
      </w:tr>
      <w:tr>
        <w:trPr>
          <w:trHeight w:val="449" w:hRule="atLeast"/>
        </w:trPr>
        <w:tc>
          <w:tcPr>
            <w:tcW w:w="584" w:type="dxa"/>
            <w:vAlign w:val="top"/>
          </w:tcPr>
          <w:p>
            <w:pPr>
              <w:pStyle w:val="TableText"/>
              <w:ind w:left="164"/>
              <w:spacing w:before="190" w:line="183" w:lineRule="auto"/>
              <w:rPr>
                <w:sz w:val="16"/>
                <w:szCs w:val="16"/>
              </w:rPr>
            </w:pPr>
            <w:r>
              <w:rPr>
                <w:sz w:val="16"/>
                <w:szCs w:val="16"/>
                <w:spacing w:val="-3"/>
              </w:rPr>
              <w:t>763</w:t>
            </w:r>
          </w:p>
        </w:tc>
        <w:tc>
          <w:tcPr>
            <w:tcW w:w="1289" w:type="dxa"/>
            <w:vAlign w:val="top"/>
          </w:tcPr>
          <w:p>
            <w:pPr>
              <w:pStyle w:val="TableText"/>
              <w:ind w:left="231"/>
              <w:spacing w:before="150" w:line="220" w:lineRule="auto"/>
              <w:rPr>
                <w:sz w:val="16"/>
                <w:szCs w:val="16"/>
              </w:rPr>
            </w:pPr>
            <w:r>
              <w:rPr>
                <w:sz w:val="16"/>
                <w:szCs w:val="16"/>
                <w:spacing w:val="2"/>
              </w:rPr>
              <w:t>国家称民局</w:t>
            </w:r>
          </w:p>
        </w:tc>
        <w:tc>
          <w:tcPr>
            <w:tcW w:w="1648" w:type="dxa"/>
            <w:vAlign w:val="top"/>
          </w:tcPr>
          <w:p>
            <w:pPr>
              <w:pStyle w:val="TableText"/>
              <w:ind w:left="41" w:right="8" w:hanging="30"/>
              <w:spacing w:before="39" w:line="226" w:lineRule="auto"/>
              <w:rPr>
                <w:sz w:val="16"/>
                <w:szCs w:val="16"/>
              </w:rPr>
            </w:pPr>
            <w:r>
              <w:rPr>
                <w:sz w:val="16"/>
                <w:szCs w:val="16"/>
                <w:spacing w:val="1"/>
              </w:rPr>
              <w:t>电、度，合船劳及其回</w:t>
            </w:r>
            <w:r>
              <w:rPr>
                <w:sz w:val="16"/>
                <w:szCs w:val="16"/>
                <w:spacing w:val="6"/>
              </w:rPr>
              <w:t xml:space="preserve"> </w:t>
            </w:r>
            <w:r>
              <w:rPr>
                <w:sz w:val="16"/>
                <w:szCs w:val="16"/>
                <w:spacing w:val="-2"/>
              </w:rPr>
              <w:t>行室属登陆许可</w:t>
            </w:r>
          </w:p>
        </w:tc>
        <w:tc>
          <w:tcPr>
            <w:tcW w:w="2367" w:type="dxa"/>
            <w:vAlign w:val="top"/>
          </w:tcPr>
          <w:p>
            <w:pPr>
              <w:pStyle w:val="TableText"/>
              <w:ind w:left="54"/>
              <w:spacing w:before="148" w:line="219" w:lineRule="auto"/>
              <w:rPr>
                <w:sz w:val="16"/>
                <w:szCs w:val="16"/>
              </w:rPr>
            </w:pPr>
            <w:r>
              <w:rPr>
                <w:sz w:val="16"/>
                <w:szCs w:val="16"/>
                <w:spacing w:val="2"/>
              </w:rPr>
              <w:t>出人原传防稳查员</w:t>
            </w:r>
          </w:p>
        </w:tc>
        <w:tc>
          <w:tcPr>
            <w:tcW w:w="3711" w:type="dxa"/>
            <w:vAlign w:val="top"/>
          </w:tcPr>
          <w:p>
            <w:pPr>
              <w:pStyle w:val="TableText"/>
              <w:ind w:left="196"/>
              <w:spacing w:before="149" w:line="219" w:lineRule="auto"/>
              <w:rPr>
                <w:sz w:val="16"/>
                <w:szCs w:val="16"/>
              </w:rPr>
            </w:pPr>
            <w:r>
              <w:rPr>
                <w:sz w:val="16"/>
                <w:szCs w:val="16"/>
                <w:spacing w:val="-1"/>
              </w:rPr>
              <w:t>T中体人民共和回出境人抢边防质查条剧?</w:t>
            </w:r>
          </w:p>
        </w:tc>
      </w:tr>
      <w:tr>
        <w:trPr>
          <w:trHeight w:val="439" w:hRule="atLeast"/>
        </w:trPr>
        <w:tc>
          <w:tcPr>
            <w:tcW w:w="584" w:type="dxa"/>
            <w:vAlign w:val="top"/>
          </w:tcPr>
          <w:p>
            <w:pPr>
              <w:pStyle w:val="TableText"/>
              <w:ind w:left="164"/>
              <w:spacing w:before="181" w:line="183" w:lineRule="auto"/>
              <w:rPr>
                <w:sz w:val="16"/>
                <w:szCs w:val="16"/>
              </w:rPr>
            </w:pPr>
            <w:r>
              <w:rPr>
                <w:sz w:val="16"/>
                <w:szCs w:val="16"/>
                <w:spacing w:val="-3"/>
              </w:rPr>
              <w:t>764</w:t>
            </w:r>
          </w:p>
        </w:tc>
        <w:tc>
          <w:tcPr>
            <w:tcW w:w="1289" w:type="dxa"/>
            <w:vAlign w:val="top"/>
          </w:tcPr>
          <w:p>
            <w:pPr>
              <w:pStyle w:val="TableText"/>
              <w:ind w:left="231"/>
              <w:spacing w:before="140" w:line="219" w:lineRule="auto"/>
              <w:rPr>
                <w:sz w:val="16"/>
                <w:szCs w:val="16"/>
              </w:rPr>
            </w:pPr>
            <w:r>
              <w:rPr>
                <w:sz w:val="16"/>
                <w:szCs w:val="16"/>
                <w:spacing w:val="1"/>
              </w:rPr>
              <w:t>国家构现励</w:t>
            </w:r>
          </w:p>
        </w:tc>
        <w:tc>
          <w:tcPr>
            <w:tcW w:w="1648" w:type="dxa"/>
            <w:vAlign w:val="top"/>
          </w:tcPr>
          <w:p>
            <w:pPr>
              <w:pStyle w:val="TableText"/>
              <w:ind w:left="42"/>
              <w:spacing w:before="141" w:line="220" w:lineRule="auto"/>
              <w:rPr>
                <w:sz w:val="16"/>
                <w:szCs w:val="16"/>
              </w:rPr>
            </w:pPr>
            <w:r>
              <w:rPr>
                <w:sz w:val="16"/>
                <w:szCs w:val="16"/>
                <w:spacing w:val="-1"/>
              </w:rPr>
              <w:t>船船搭意外轮许可</w:t>
            </w:r>
          </w:p>
        </w:tc>
        <w:tc>
          <w:tcPr>
            <w:tcW w:w="2367" w:type="dxa"/>
            <w:vAlign w:val="top"/>
          </w:tcPr>
          <w:p>
            <w:pPr>
              <w:pStyle w:val="TableText"/>
              <w:ind w:left="54"/>
              <w:spacing w:before="140" w:line="219" w:lineRule="auto"/>
              <w:rPr>
                <w:sz w:val="16"/>
                <w:szCs w:val="16"/>
              </w:rPr>
            </w:pPr>
            <w:r>
              <w:rPr>
                <w:sz w:val="16"/>
                <w:szCs w:val="16"/>
                <w:spacing w:val="1"/>
              </w:rPr>
              <w:t>出入境边防检查然</w:t>
            </w:r>
          </w:p>
        </w:tc>
        <w:tc>
          <w:tcPr>
            <w:tcW w:w="3711" w:type="dxa"/>
            <w:vAlign w:val="top"/>
          </w:tcPr>
          <w:p>
            <w:pPr>
              <w:pStyle w:val="TableText"/>
              <w:ind w:left="196"/>
              <w:spacing w:before="50" w:line="219" w:lineRule="auto"/>
              <w:rPr>
                <w:sz w:val="16"/>
                <w:szCs w:val="16"/>
              </w:rPr>
            </w:pPr>
            <w:r>
              <w:rPr>
                <w:sz w:val="16"/>
                <w:szCs w:val="16"/>
                <w:spacing w:val="-1"/>
              </w:rPr>
              <w:t>K中作人比我和国出地人境管理法1</w:t>
            </w:r>
          </w:p>
          <w:p>
            <w:pPr>
              <w:pStyle w:val="TableText"/>
              <w:ind w:left="196"/>
              <w:spacing w:before="9" w:line="206" w:lineRule="auto"/>
              <w:rPr>
                <w:sz w:val="16"/>
                <w:szCs w:val="16"/>
              </w:rPr>
            </w:pPr>
            <w:r>
              <w:rPr>
                <w:sz w:val="16"/>
                <w:szCs w:val="16"/>
              </w:rPr>
              <w:t>1中平人民共和国由境入境边防检查备例》</w:t>
            </w:r>
          </w:p>
        </w:tc>
      </w:tr>
      <w:tr>
        <w:trPr>
          <w:trHeight w:val="449" w:hRule="atLeast"/>
        </w:trPr>
        <w:tc>
          <w:tcPr>
            <w:tcW w:w="584" w:type="dxa"/>
            <w:vAlign w:val="top"/>
          </w:tcPr>
          <w:p>
            <w:pPr>
              <w:pStyle w:val="TableText"/>
              <w:ind w:left="204"/>
              <w:spacing w:before="192" w:line="183" w:lineRule="auto"/>
              <w:rPr>
                <w:sz w:val="16"/>
                <w:szCs w:val="16"/>
              </w:rPr>
            </w:pPr>
            <w:r>
              <w:rPr>
                <w:sz w:val="16"/>
                <w:szCs w:val="16"/>
                <w:spacing w:val="-3"/>
              </w:rPr>
              <w:t>76</w:t>
            </w:r>
          </w:p>
        </w:tc>
        <w:tc>
          <w:tcPr>
            <w:tcW w:w="1289" w:type="dxa"/>
            <w:vAlign w:val="top"/>
          </w:tcPr>
          <w:p>
            <w:pPr>
              <w:pStyle w:val="TableText"/>
              <w:ind w:left="231"/>
              <w:spacing w:before="152" w:line="220" w:lineRule="auto"/>
              <w:rPr>
                <w:sz w:val="16"/>
                <w:szCs w:val="16"/>
              </w:rPr>
            </w:pPr>
            <w:r>
              <w:rPr>
                <w:sz w:val="16"/>
                <w:szCs w:val="16"/>
                <w:spacing w:val="2"/>
              </w:rPr>
              <w:t>国家核民局</w:t>
            </w:r>
          </w:p>
        </w:tc>
        <w:tc>
          <w:tcPr>
            <w:tcW w:w="1648" w:type="dxa"/>
            <w:vAlign w:val="top"/>
          </w:tcPr>
          <w:p>
            <w:pPr>
              <w:pStyle w:val="TableText"/>
              <w:ind w:left="42"/>
              <w:spacing w:before="152" w:line="220" w:lineRule="auto"/>
              <w:rPr>
                <w:sz w:val="16"/>
                <w:szCs w:val="16"/>
              </w:rPr>
            </w:pPr>
            <w:r>
              <w:rPr>
                <w:sz w:val="16"/>
                <w:szCs w:val="16"/>
                <w:spacing w:val="-1"/>
              </w:rPr>
              <w:t>人员上下外能许可</w:t>
            </w:r>
          </w:p>
        </w:tc>
        <w:tc>
          <w:tcPr>
            <w:tcW w:w="2367" w:type="dxa"/>
            <w:vAlign w:val="top"/>
          </w:tcPr>
          <w:p>
            <w:pPr>
              <w:pStyle w:val="TableText"/>
              <w:ind w:left="54"/>
              <w:spacing w:before="151" w:line="219" w:lineRule="auto"/>
              <w:rPr>
                <w:sz w:val="16"/>
                <w:szCs w:val="16"/>
              </w:rPr>
            </w:pPr>
            <w:r>
              <w:rPr>
                <w:sz w:val="16"/>
                <w:szCs w:val="16"/>
                <w:spacing w:val="1"/>
              </w:rPr>
              <w:t>出入些边防检查站</w:t>
            </w:r>
          </w:p>
        </w:tc>
        <w:tc>
          <w:tcPr>
            <w:tcW w:w="3711" w:type="dxa"/>
            <w:vAlign w:val="top"/>
          </w:tcPr>
          <w:p>
            <w:pPr>
              <w:pStyle w:val="TableText"/>
              <w:ind w:left="196"/>
              <w:spacing w:before="70" w:line="209" w:lineRule="auto"/>
              <w:rPr>
                <w:sz w:val="16"/>
                <w:szCs w:val="16"/>
              </w:rPr>
            </w:pPr>
            <w:r>
              <w:rPr>
                <w:sz w:val="16"/>
                <w:szCs w:val="16"/>
                <w:spacing w:val="1"/>
              </w:rPr>
              <w:t>(中华人民共和国山统入统价理法1</w:t>
            </w:r>
          </w:p>
          <w:p>
            <w:pPr>
              <w:pStyle w:val="TableText"/>
              <w:ind w:left="196"/>
              <w:spacing w:line="216" w:lineRule="auto"/>
              <w:rPr>
                <w:sz w:val="16"/>
                <w:szCs w:val="16"/>
              </w:rPr>
            </w:pPr>
            <w:r>
              <w:rPr>
                <w:sz w:val="16"/>
                <w:szCs w:val="16"/>
              </w:rPr>
              <w:t>[中华人民共和国出境人境边防检查条你</w:t>
            </w:r>
          </w:p>
        </w:tc>
      </w:tr>
      <w:tr>
        <w:trPr>
          <w:trHeight w:val="459" w:hRule="atLeast"/>
        </w:trPr>
        <w:tc>
          <w:tcPr>
            <w:tcW w:w="584" w:type="dxa"/>
            <w:vAlign w:val="top"/>
          </w:tcPr>
          <w:p>
            <w:pPr>
              <w:pStyle w:val="TableText"/>
              <w:ind w:left="164"/>
              <w:spacing w:before="193" w:line="183" w:lineRule="auto"/>
              <w:rPr>
                <w:sz w:val="16"/>
                <w:szCs w:val="16"/>
              </w:rPr>
            </w:pPr>
            <w:r>
              <w:rPr>
                <w:sz w:val="16"/>
                <w:szCs w:val="16"/>
                <w:spacing w:val="-3"/>
              </w:rPr>
              <w:t>766</w:t>
            </w:r>
          </w:p>
        </w:tc>
        <w:tc>
          <w:tcPr>
            <w:tcW w:w="1289" w:type="dxa"/>
            <w:vAlign w:val="top"/>
          </w:tcPr>
          <w:p>
            <w:pPr>
              <w:pStyle w:val="TableText"/>
              <w:ind w:left="231"/>
              <w:spacing w:before="153" w:line="220" w:lineRule="auto"/>
              <w:rPr>
                <w:sz w:val="16"/>
                <w:szCs w:val="16"/>
              </w:rPr>
            </w:pPr>
            <w:r>
              <w:rPr>
                <w:sz w:val="16"/>
                <w:szCs w:val="16"/>
                <w:spacing w:val="2"/>
              </w:rPr>
              <w:t>国家程民局</w:t>
            </w:r>
          </w:p>
        </w:tc>
        <w:tc>
          <w:tcPr>
            <w:tcW w:w="1648" w:type="dxa"/>
            <w:vAlign w:val="top"/>
          </w:tcPr>
          <w:p>
            <w:pPr>
              <w:pStyle w:val="TableText"/>
              <w:ind w:left="72" w:right="113" w:firstLine="20"/>
              <w:spacing w:before="62" w:line="223" w:lineRule="auto"/>
              <w:rPr>
                <w:sz w:val="16"/>
                <w:szCs w:val="16"/>
              </w:rPr>
            </w:pPr>
            <w:r>
              <w:rPr>
                <w:sz w:val="16"/>
                <w:szCs w:val="16"/>
                <w:spacing w:val="-1"/>
              </w:rPr>
              <w:t>人境检支，得药捐游</w:t>
            </w:r>
            <w:r>
              <w:rPr>
                <w:sz w:val="16"/>
                <w:szCs w:val="16"/>
              </w:rPr>
              <w:t xml:space="preserve"> </w:t>
            </w:r>
            <w:r>
              <w:rPr>
                <w:sz w:val="16"/>
                <w:szCs w:val="16"/>
                <w:spacing w:val="-2"/>
              </w:rPr>
              <w:t>许可</w:t>
            </w:r>
          </w:p>
        </w:tc>
        <w:tc>
          <w:tcPr>
            <w:tcW w:w="2367" w:type="dxa"/>
            <w:vAlign w:val="top"/>
          </w:tcPr>
          <w:p>
            <w:pPr>
              <w:pStyle w:val="TableText"/>
              <w:ind w:left="54"/>
              <w:spacing w:before="152" w:line="219" w:lineRule="auto"/>
              <w:rPr>
                <w:sz w:val="16"/>
                <w:szCs w:val="16"/>
              </w:rPr>
            </w:pPr>
            <w:r>
              <w:rPr>
                <w:sz w:val="16"/>
                <w:szCs w:val="16"/>
              </w:rPr>
              <w:t>出人境功防检查妈</w:t>
            </w:r>
          </w:p>
        </w:tc>
        <w:tc>
          <w:tcPr>
            <w:tcW w:w="3711" w:type="dxa"/>
            <w:vAlign w:val="top"/>
          </w:tcPr>
          <w:p>
            <w:pPr>
              <w:pStyle w:val="TableText"/>
              <w:ind w:left="196"/>
              <w:spacing w:before="62" w:line="219" w:lineRule="auto"/>
              <w:rPr>
                <w:sz w:val="16"/>
                <w:szCs w:val="16"/>
              </w:rPr>
            </w:pPr>
            <w:r>
              <w:rPr>
                <w:sz w:val="16"/>
                <w:szCs w:val="16"/>
                <w:spacing w:val="2"/>
              </w:rPr>
              <w:t>中华人民其和国检支喻理法)</w:t>
            </w:r>
          </w:p>
          <w:p>
            <w:pPr>
              <w:pStyle w:val="TableText"/>
              <w:ind w:left="196"/>
              <w:spacing w:before="10" w:line="215" w:lineRule="auto"/>
              <w:rPr>
                <w:sz w:val="16"/>
                <w:szCs w:val="16"/>
              </w:rPr>
            </w:pPr>
            <w:r>
              <w:rPr>
                <w:sz w:val="16"/>
                <w:szCs w:val="16"/>
              </w:rPr>
              <w:t>1中华人民共和题出境人施边防险查各制》</w:t>
            </w:r>
          </w:p>
        </w:tc>
      </w:tr>
      <w:tr>
        <w:trPr>
          <w:trHeight w:val="430" w:hRule="atLeast"/>
        </w:trPr>
        <w:tc>
          <w:tcPr>
            <w:tcW w:w="584" w:type="dxa"/>
            <w:vAlign w:val="top"/>
          </w:tcPr>
          <w:p>
            <w:pPr>
              <w:pStyle w:val="TableText"/>
              <w:ind w:left="164"/>
              <w:spacing w:before="184" w:line="183" w:lineRule="auto"/>
              <w:rPr>
                <w:sz w:val="16"/>
                <w:szCs w:val="16"/>
              </w:rPr>
            </w:pPr>
            <w:r>
              <w:rPr>
                <w:sz w:val="16"/>
                <w:szCs w:val="16"/>
                <w:spacing w:val="-3"/>
              </w:rPr>
              <w:t>767</w:t>
            </w:r>
          </w:p>
        </w:tc>
        <w:tc>
          <w:tcPr>
            <w:tcW w:w="1289" w:type="dxa"/>
            <w:vAlign w:val="top"/>
          </w:tcPr>
          <w:p>
            <w:pPr>
              <w:pStyle w:val="TableText"/>
              <w:ind w:left="231"/>
              <w:spacing w:before="143" w:line="219" w:lineRule="auto"/>
              <w:rPr>
                <w:sz w:val="16"/>
                <w:szCs w:val="16"/>
              </w:rPr>
            </w:pPr>
            <w:r>
              <w:rPr>
                <w:sz w:val="16"/>
                <w:szCs w:val="16"/>
                <w:spacing w:val="2"/>
              </w:rPr>
              <w:t>国家特毕局</w:t>
            </w:r>
          </w:p>
        </w:tc>
        <w:tc>
          <w:tcPr>
            <w:tcW w:w="1648" w:type="dxa"/>
            <w:vAlign w:val="top"/>
          </w:tcPr>
          <w:p>
            <w:pPr>
              <w:pStyle w:val="TableText"/>
              <w:ind w:left="42" w:right="112" w:firstLine="50"/>
              <w:spacing w:before="42" w:line="218" w:lineRule="auto"/>
              <w:rPr>
                <w:sz w:val="16"/>
                <w:szCs w:val="16"/>
              </w:rPr>
            </w:pPr>
            <w:r>
              <w:rPr>
                <w:sz w:val="16"/>
                <w:szCs w:val="16"/>
                <w:spacing w:val="-1"/>
              </w:rPr>
              <w:t>林章种子生产经部许</w:t>
            </w:r>
            <w:r>
              <w:rPr>
                <w:sz w:val="16"/>
                <w:szCs w:val="16"/>
                <w:spacing w:val="1"/>
              </w:rPr>
              <w:t xml:space="preserve"> </w:t>
            </w:r>
            <w:r>
              <w:rPr>
                <w:sz w:val="16"/>
                <w:szCs w:val="16"/>
                <w:spacing w:val="-2"/>
              </w:rPr>
              <w:t>可证确发</w:t>
            </w:r>
          </w:p>
        </w:tc>
        <w:tc>
          <w:tcPr>
            <w:tcW w:w="2367" w:type="dxa"/>
            <w:vAlign w:val="top"/>
          </w:tcPr>
          <w:p>
            <w:pPr>
              <w:pStyle w:val="TableText"/>
              <w:ind w:left="54" w:firstLine="19"/>
              <w:spacing w:before="52" w:line="212" w:lineRule="auto"/>
              <w:rPr>
                <w:sz w:val="16"/>
                <w:szCs w:val="16"/>
              </w:rPr>
            </w:pPr>
            <w:r>
              <w:rPr>
                <w:sz w:val="16"/>
                <w:szCs w:val="16"/>
                <w:spacing w:val="-8"/>
              </w:rPr>
              <w:t>国家林章局；石级，球区的直级。</w:t>
            </w:r>
            <w:r>
              <w:rPr>
                <w:sz w:val="16"/>
                <w:szCs w:val="16"/>
                <w:spacing w:val="2"/>
              </w:rPr>
              <w:t xml:space="preserve"> </w:t>
            </w:r>
            <w:r>
              <w:rPr>
                <w:sz w:val="16"/>
                <w:szCs w:val="16"/>
                <w:spacing w:val="-2"/>
              </w:rPr>
              <w:t>县想林草那门</w:t>
            </w:r>
          </w:p>
        </w:tc>
        <w:tc>
          <w:tcPr>
            <w:tcW w:w="3711" w:type="dxa"/>
            <w:vAlign w:val="top"/>
          </w:tcPr>
          <w:p>
            <w:pPr>
              <w:pStyle w:val="TableText"/>
              <w:ind w:left="116"/>
              <w:spacing w:before="143" w:line="219" w:lineRule="auto"/>
              <w:rPr>
                <w:sz w:val="16"/>
                <w:szCs w:val="16"/>
              </w:rPr>
            </w:pPr>
            <w:r>
              <w:rPr>
                <w:sz w:val="16"/>
                <w:szCs w:val="16"/>
                <w:spacing w:val="6"/>
              </w:rPr>
              <w:t>【中年人民共和国种子法。</w:t>
            </w:r>
          </w:p>
        </w:tc>
      </w:tr>
      <w:tr>
        <w:trPr>
          <w:trHeight w:val="649" w:hRule="atLeast"/>
        </w:trPr>
        <w:tc>
          <w:tcPr>
            <w:tcW w:w="584" w:type="dxa"/>
            <w:vAlign w:val="top"/>
          </w:tcPr>
          <w:p>
            <w:pPr>
              <w:spacing w:line="241" w:lineRule="auto"/>
              <w:rPr>
                <w:rFonts w:ascii="Arial"/>
                <w:sz w:val="21"/>
              </w:rPr>
            </w:pPr>
            <w:r/>
          </w:p>
          <w:p>
            <w:pPr>
              <w:pStyle w:val="TableText"/>
              <w:ind w:left="164"/>
              <w:spacing w:before="52" w:line="183" w:lineRule="auto"/>
              <w:rPr>
                <w:sz w:val="16"/>
                <w:szCs w:val="16"/>
              </w:rPr>
            </w:pPr>
            <w:r>
              <w:rPr>
                <w:sz w:val="16"/>
                <w:szCs w:val="16"/>
                <w:spacing w:val="-3"/>
              </w:rPr>
              <w:t>765</w:t>
            </w:r>
          </w:p>
        </w:tc>
        <w:tc>
          <w:tcPr>
            <w:tcW w:w="1289" w:type="dxa"/>
            <w:vAlign w:val="top"/>
          </w:tcPr>
          <w:p>
            <w:pPr>
              <w:pStyle w:val="TableText"/>
              <w:ind w:left="231"/>
              <w:spacing w:before="253" w:line="219" w:lineRule="auto"/>
              <w:rPr>
                <w:sz w:val="16"/>
                <w:szCs w:val="16"/>
              </w:rPr>
            </w:pPr>
            <w:r>
              <w:rPr>
                <w:sz w:val="16"/>
                <w:szCs w:val="16"/>
                <w:spacing w:val="2"/>
              </w:rPr>
              <w:t>国家林草局</w:t>
            </w:r>
          </w:p>
        </w:tc>
        <w:tc>
          <w:tcPr>
            <w:tcW w:w="1648" w:type="dxa"/>
            <w:vAlign w:val="top"/>
          </w:tcPr>
          <w:p>
            <w:pPr>
              <w:pStyle w:val="TableText"/>
              <w:ind w:left="32" w:right="92" w:firstLine="60"/>
              <w:spacing w:before="44" w:line="228" w:lineRule="auto"/>
              <w:jc w:val="both"/>
              <w:rPr>
                <w:sz w:val="16"/>
                <w:szCs w:val="16"/>
              </w:rPr>
            </w:pPr>
            <w:r>
              <w:rPr>
                <w:sz w:val="16"/>
                <w:szCs w:val="16"/>
                <w:spacing w:val="-1"/>
              </w:rPr>
              <w:t>码家重点保护林草种</w:t>
            </w:r>
            <w:r>
              <w:rPr>
                <w:sz w:val="16"/>
                <w:szCs w:val="16"/>
                <w:spacing w:val="2"/>
              </w:rPr>
              <w:t xml:space="preserve"> </w:t>
            </w:r>
            <w:r>
              <w:rPr>
                <w:sz w:val="16"/>
                <w:szCs w:val="16"/>
                <w:spacing w:val="8"/>
              </w:rPr>
              <w:t>质概算采车，宋伐审</w:t>
            </w:r>
            <w:r>
              <w:rPr>
                <w:sz w:val="16"/>
                <w:szCs w:val="16"/>
              </w:rPr>
              <w:t xml:space="preserve"> </w:t>
            </w:r>
            <w:r>
              <w:rPr>
                <w:sz w:val="16"/>
                <w:szCs w:val="16"/>
              </w:rPr>
              <w:t>批</w:t>
            </w:r>
          </w:p>
        </w:tc>
        <w:tc>
          <w:tcPr>
            <w:tcW w:w="2367" w:type="dxa"/>
            <w:vAlign w:val="top"/>
          </w:tcPr>
          <w:p>
            <w:pPr>
              <w:pStyle w:val="TableText"/>
              <w:ind w:left="54"/>
              <w:spacing w:before="253" w:line="219" w:lineRule="auto"/>
              <w:rPr>
                <w:sz w:val="16"/>
                <w:szCs w:val="16"/>
              </w:rPr>
            </w:pPr>
            <w:r>
              <w:rPr>
                <w:sz w:val="16"/>
                <w:szCs w:val="16"/>
                <w:spacing w:val="1"/>
              </w:rPr>
              <w:t>国家称草品；省级林草部门</w:t>
            </w:r>
          </w:p>
        </w:tc>
        <w:tc>
          <w:tcPr>
            <w:tcW w:w="3711" w:type="dxa"/>
            <w:vAlign w:val="top"/>
          </w:tcPr>
          <w:p>
            <w:pPr>
              <w:pStyle w:val="TableText"/>
              <w:ind w:left="196"/>
              <w:spacing w:before="253" w:line="219" w:lineRule="auto"/>
              <w:rPr>
                <w:sz w:val="16"/>
                <w:szCs w:val="16"/>
              </w:rPr>
            </w:pPr>
            <w:r>
              <w:rPr>
                <w:sz w:val="16"/>
                <w:szCs w:val="16"/>
                <w:spacing w:val="-1"/>
              </w:rPr>
              <w:t>P华人民共和国种子法1</w:t>
            </w:r>
          </w:p>
        </w:tc>
      </w:tr>
      <w:tr>
        <w:trPr>
          <w:trHeight w:val="649" w:hRule="atLeast"/>
        </w:trPr>
        <w:tc>
          <w:tcPr>
            <w:tcW w:w="584" w:type="dxa"/>
            <w:vAlign w:val="top"/>
          </w:tcPr>
          <w:p>
            <w:pPr>
              <w:spacing w:line="242" w:lineRule="auto"/>
              <w:rPr>
                <w:rFonts w:ascii="Arial"/>
                <w:sz w:val="21"/>
              </w:rPr>
            </w:pPr>
            <w:r/>
          </w:p>
          <w:p>
            <w:pPr>
              <w:pStyle w:val="TableText"/>
              <w:ind w:left="164"/>
              <w:spacing w:before="52" w:line="183" w:lineRule="auto"/>
              <w:rPr>
                <w:sz w:val="16"/>
                <w:szCs w:val="16"/>
              </w:rPr>
            </w:pPr>
            <w:r>
              <w:rPr>
                <w:sz w:val="16"/>
                <w:szCs w:val="16"/>
                <w:spacing w:val="-3"/>
              </w:rPr>
              <w:t>769</w:t>
            </w:r>
          </w:p>
        </w:tc>
        <w:tc>
          <w:tcPr>
            <w:tcW w:w="1289" w:type="dxa"/>
            <w:vAlign w:val="top"/>
          </w:tcPr>
          <w:p>
            <w:pPr>
              <w:pStyle w:val="TableText"/>
              <w:ind w:left="231"/>
              <w:spacing w:before="254" w:line="219" w:lineRule="auto"/>
              <w:rPr>
                <w:sz w:val="16"/>
                <w:szCs w:val="16"/>
              </w:rPr>
            </w:pPr>
            <w:r>
              <w:rPr>
                <w:sz w:val="16"/>
                <w:szCs w:val="16"/>
                <w:spacing w:val="2"/>
              </w:rPr>
              <w:t>国家林草局</w:t>
            </w:r>
          </w:p>
        </w:tc>
        <w:tc>
          <w:tcPr>
            <w:tcW w:w="1648" w:type="dxa"/>
            <w:vAlign w:val="top"/>
          </w:tcPr>
          <w:p>
            <w:pPr>
              <w:pStyle w:val="TableText"/>
              <w:ind w:left="52" w:right="86" w:firstLine="40"/>
              <w:spacing w:before="74" w:line="217" w:lineRule="auto"/>
              <w:jc w:val="both"/>
              <w:rPr>
                <w:sz w:val="16"/>
                <w:szCs w:val="16"/>
              </w:rPr>
            </w:pPr>
            <w:r>
              <w:rPr>
                <w:sz w:val="16"/>
                <w:szCs w:val="16"/>
                <w:spacing w:val="1"/>
              </w:rPr>
              <w:t>向填外提优庭者与原</w:t>
            </w:r>
            <w:r>
              <w:rPr>
                <w:sz w:val="16"/>
                <w:szCs w:val="16"/>
                <w:spacing w:val="2"/>
              </w:rPr>
              <w:t xml:space="preserve"> </w:t>
            </w:r>
            <w:r>
              <w:rPr>
                <w:sz w:val="16"/>
                <w:szCs w:val="16"/>
                <w:spacing w:val="6"/>
              </w:rPr>
              <w:t>外开属合作研充利用</w:t>
            </w:r>
            <w:r>
              <w:rPr>
                <w:sz w:val="16"/>
                <w:szCs w:val="16"/>
                <w:spacing w:val="4"/>
              </w:rPr>
              <w:t xml:space="preserve"> </w:t>
            </w:r>
            <w:r>
              <w:rPr>
                <w:sz w:val="16"/>
                <w:szCs w:val="16"/>
                <w:spacing w:val="-1"/>
              </w:rPr>
              <w:t>林章种质费源露批</w:t>
            </w:r>
          </w:p>
        </w:tc>
        <w:tc>
          <w:tcPr>
            <w:tcW w:w="2367" w:type="dxa"/>
            <w:vAlign w:val="top"/>
          </w:tcPr>
          <w:p>
            <w:pPr>
              <w:pStyle w:val="TableText"/>
              <w:ind w:left="54"/>
              <w:spacing w:before="254" w:line="219" w:lineRule="auto"/>
              <w:rPr>
                <w:sz w:val="16"/>
                <w:szCs w:val="16"/>
              </w:rPr>
            </w:pPr>
            <w:r>
              <w:rPr>
                <w:sz w:val="16"/>
                <w:szCs w:val="16"/>
                <w:spacing w:val="2"/>
              </w:rPr>
              <w:t>国家林草局</w:t>
            </w:r>
          </w:p>
        </w:tc>
        <w:tc>
          <w:tcPr>
            <w:tcW w:w="3711" w:type="dxa"/>
            <w:vAlign w:val="top"/>
          </w:tcPr>
          <w:p>
            <w:pPr>
              <w:pStyle w:val="TableText"/>
              <w:ind w:left="196"/>
              <w:spacing w:before="254" w:line="219" w:lineRule="auto"/>
              <w:rPr>
                <w:sz w:val="16"/>
                <w:szCs w:val="16"/>
              </w:rPr>
            </w:pPr>
            <w:r>
              <w:rPr>
                <w:sz w:val="16"/>
                <w:szCs w:val="16"/>
                <w:spacing w:val="-2"/>
              </w:rPr>
              <w:t>t中毕人民共和国种子法》</w:t>
            </w:r>
          </w:p>
        </w:tc>
      </w:tr>
      <w:tr>
        <w:trPr>
          <w:trHeight w:val="884" w:hRule="atLeast"/>
        </w:trPr>
        <w:tc>
          <w:tcPr>
            <w:tcW w:w="584" w:type="dxa"/>
            <w:vAlign w:val="top"/>
          </w:tcPr>
          <w:p>
            <w:pPr>
              <w:spacing w:line="352" w:lineRule="auto"/>
              <w:rPr>
                <w:rFonts w:ascii="Arial"/>
                <w:sz w:val="21"/>
              </w:rPr>
            </w:pPr>
            <w:r/>
          </w:p>
          <w:p>
            <w:pPr>
              <w:pStyle w:val="TableText"/>
              <w:ind w:left="164"/>
              <w:spacing w:before="52" w:line="183" w:lineRule="auto"/>
              <w:rPr>
                <w:sz w:val="16"/>
                <w:szCs w:val="16"/>
              </w:rPr>
            </w:pPr>
            <w:r>
              <w:rPr>
                <w:sz w:val="16"/>
                <w:szCs w:val="16"/>
                <w:spacing w:val="-3"/>
              </w:rPr>
              <w:t>370</w:t>
            </w:r>
          </w:p>
        </w:tc>
        <w:tc>
          <w:tcPr>
            <w:tcW w:w="1289" w:type="dxa"/>
            <w:vAlign w:val="top"/>
          </w:tcPr>
          <w:p>
            <w:pPr>
              <w:spacing w:line="310" w:lineRule="auto"/>
              <w:rPr>
                <w:rFonts w:ascii="Arial"/>
                <w:sz w:val="21"/>
              </w:rPr>
            </w:pPr>
            <w:r/>
          </w:p>
          <w:p>
            <w:pPr>
              <w:pStyle w:val="TableText"/>
              <w:ind w:left="231"/>
              <w:spacing w:before="52" w:line="219" w:lineRule="auto"/>
              <w:rPr>
                <w:sz w:val="16"/>
                <w:szCs w:val="16"/>
              </w:rPr>
            </w:pPr>
            <w:r>
              <w:rPr>
                <w:sz w:val="16"/>
                <w:szCs w:val="16"/>
                <w:spacing w:val="1"/>
              </w:rPr>
              <w:t>区家种章能</w:t>
            </w:r>
          </w:p>
        </w:tc>
        <w:tc>
          <w:tcPr>
            <w:tcW w:w="1648" w:type="dxa"/>
            <w:vAlign w:val="top"/>
          </w:tcPr>
          <w:p>
            <w:pPr>
              <w:pStyle w:val="TableText"/>
              <w:ind w:left="32" w:right="89" w:firstLine="60"/>
              <w:spacing w:before="85" w:line="225" w:lineRule="auto"/>
              <w:jc w:val="both"/>
              <w:rPr>
                <w:sz w:val="16"/>
                <w:szCs w:val="16"/>
              </w:rPr>
            </w:pPr>
            <w:r>
              <w:rPr>
                <w:sz w:val="16"/>
                <w:szCs w:val="16"/>
                <w:spacing w:val="1"/>
              </w:rPr>
              <w:t>林尊特基旧发向外国</w:t>
            </w:r>
            <w:r>
              <w:rPr>
                <w:sz w:val="16"/>
                <w:szCs w:val="16"/>
                <w:spacing w:val="6"/>
              </w:rPr>
              <w:t xml:space="preserve"> </w:t>
            </w:r>
            <w:r>
              <w:rPr>
                <w:sz w:val="16"/>
                <w:szCs w:val="16"/>
                <w:spacing w:val="8"/>
              </w:rPr>
              <w:t>人转让林草道勒断品</w:t>
            </w:r>
            <w:r>
              <w:rPr>
                <w:sz w:val="16"/>
                <w:szCs w:val="16"/>
                <w:spacing w:val="3"/>
              </w:rPr>
              <w:t xml:space="preserve"> </w:t>
            </w:r>
            <w:r>
              <w:rPr>
                <w:sz w:val="16"/>
                <w:szCs w:val="16"/>
                <w:spacing w:val="8"/>
              </w:rPr>
              <w:t>并中酒程或品种权审</w:t>
            </w:r>
            <w:r>
              <w:rPr>
                <w:sz w:val="16"/>
                <w:szCs w:val="16"/>
              </w:rPr>
              <w:t xml:space="preserve"> </w:t>
            </w:r>
            <w:r>
              <w:rPr>
                <w:sz w:val="16"/>
                <w:szCs w:val="16"/>
              </w:rPr>
              <w:t>票</w:t>
            </w:r>
          </w:p>
        </w:tc>
        <w:tc>
          <w:tcPr>
            <w:tcW w:w="2367" w:type="dxa"/>
            <w:vAlign w:val="top"/>
          </w:tcPr>
          <w:p>
            <w:pPr>
              <w:spacing w:line="310" w:lineRule="auto"/>
              <w:rPr>
                <w:rFonts w:ascii="Arial"/>
                <w:sz w:val="21"/>
              </w:rPr>
            </w:pPr>
            <w:r/>
          </w:p>
          <w:p>
            <w:pPr>
              <w:pStyle w:val="TableText"/>
              <w:ind w:left="54"/>
              <w:spacing w:before="52" w:line="219" w:lineRule="auto"/>
              <w:rPr>
                <w:sz w:val="16"/>
                <w:szCs w:val="16"/>
              </w:rPr>
            </w:pPr>
            <w:r>
              <w:rPr>
                <w:sz w:val="16"/>
                <w:szCs w:val="16"/>
                <w:spacing w:val="1"/>
              </w:rPr>
              <w:t>国家殊章具</w:t>
            </w:r>
          </w:p>
        </w:tc>
        <w:tc>
          <w:tcPr>
            <w:tcW w:w="3711" w:type="dxa"/>
            <w:vAlign w:val="top"/>
          </w:tcPr>
          <w:p>
            <w:pPr>
              <w:pStyle w:val="TableText"/>
              <w:ind w:left="196"/>
              <w:spacing w:before="195" w:line="207" w:lineRule="auto"/>
              <w:rPr>
                <w:sz w:val="16"/>
                <w:szCs w:val="16"/>
              </w:rPr>
            </w:pPr>
            <w:r>
              <w:rPr>
                <w:sz w:val="16"/>
                <w:szCs w:val="16"/>
              </w:rPr>
              <w:t>人中华人民共和国植物新以种保护系例1</w:t>
            </w:r>
          </w:p>
          <w:p>
            <w:pPr>
              <w:pStyle w:val="TableText"/>
              <w:ind w:left="196" w:right="77" w:hanging="80"/>
              <w:spacing w:before="1" w:line="237" w:lineRule="auto"/>
              <w:rPr>
                <w:sz w:val="16"/>
                <w:szCs w:val="16"/>
              </w:rPr>
            </w:pPr>
            <w:r>
              <w:rPr>
                <w:sz w:val="16"/>
                <w:szCs w:val="16"/>
                <w:spacing w:val="-1"/>
              </w:rPr>
              <w:t>《国身配对能官保假的行政重批受日成空行就许可</w:t>
            </w:r>
            <w:r>
              <w:rPr>
                <w:sz w:val="16"/>
                <w:szCs w:val="16"/>
                <w:spacing w:val="7"/>
              </w:rPr>
              <w:t xml:space="preserve"> </w:t>
            </w:r>
            <w:r>
              <w:rPr>
                <w:sz w:val="16"/>
                <w:szCs w:val="16"/>
              </w:rPr>
              <w:t>的保定》</w:t>
            </w:r>
          </w:p>
        </w:tc>
      </w:tr>
    </w:tbl>
    <w:p>
      <w:pPr>
        <w:pStyle w:val="BodyText"/>
        <w:rPr/>
      </w:pPr>
      <w:r/>
    </w:p>
    <w:p>
      <w:pPr>
        <w:sectPr>
          <w:pgSz w:w="11910" w:h="8220"/>
          <w:pgMar w:top="400" w:right="1165" w:bottom="400" w:left="822" w:header="0" w:footer="0" w:gutter="0"/>
        </w:sectPr>
        <w:rPr/>
      </w:pPr>
    </w:p>
    <w:p>
      <w:pPr>
        <w:spacing w:before="123"/>
        <w:rPr/>
      </w:pPr>
      <w:r>
        <mc:AlternateContent xmlns:mc="http://schemas.openxmlformats.org/markup-compatibility/2006">
          <mc:Choice Requires="wps">
            <w:drawing>
              <wp:anchor distT="0" distB="0" distL="0" distR="0" simplePos="0" relativeHeight="25190400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24" name="TextBox 32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6" style="position:absolute;margin-left:37.0402pt;margin-top:345.135pt;mso-position-vertical-relative:page;mso-position-horizontal-relative:page;width:13.6pt;height:12.35pt;z-index:25190400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243</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2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5"/>
              </w:rPr>
              <w:t>中央主骨部()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54"/>
              <w:spacing w:before="130" w:line="219" w:lineRule="auto"/>
              <w:rPr>
                <w:sz w:val="16"/>
                <w:szCs w:val="16"/>
              </w:rPr>
            </w:pPr>
            <w:r>
              <w:rPr>
                <w:sz w:val="16"/>
                <w:szCs w:val="16"/>
                <w:spacing w:val="-2"/>
              </w:rPr>
              <w:t>实防机关</w:t>
            </w:r>
          </w:p>
        </w:tc>
        <w:tc>
          <w:tcPr>
            <w:tcW w:w="3711" w:type="dxa"/>
            <w:vAlign w:val="top"/>
          </w:tcPr>
          <w:p>
            <w:pPr>
              <w:pStyle w:val="TableText"/>
              <w:ind w:left="1276"/>
              <w:spacing w:before="131" w:line="219" w:lineRule="auto"/>
              <w:rPr>
                <w:sz w:val="16"/>
                <w:szCs w:val="16"/>
              </w:rPr>
            </w:pPr>
            <w:r>
              <w:rPr>
                <w:sz w:val="16"/>
                <w:szCs w:val="16"/>
                <w:spacing w:val="-2"/>
              </w:rPr>
              <w:t>设定和实施保据</w:t>
            </w:r>
          </w:p>
        </w:tc>
      </w:tr>
      <w:tr>
        <w:trPr>
          <w:trHeight w:val="679" w:hRule="atLeast"/>
        </w:trPr>
        <w:tc>
          <w:tcPr>
            <w:tcW w:w="584" w:type="dxa"/>
            <w:vAlign w:val="top"/>
          </w:tcPr>
          <w:p>
            <w:pPr>
              <w:spacing w:line="243" w:lineRule="auto"/>
              <w:rPr>
                <w:rFonts w:ascii="Arial"/>
                <w:sz w:val="21"/>
              </w:rPr>
            </w:pPr>
            <w:r/>
          </w:p>
          <w:p>
            <w:pPr>
              <w:pStyle w:val="TableText"/>
              <w:ind w:left="164"/>
              <w:spacing w:before="52" w:line="184" w:lineRule="auto"/>
              <w:rPr>
                <w:sz w:val="16"/>
                <w:szCs w:val="16"/>
              </w:rPr>
            </w:pPr>
            <w:r>
              <w:rPr>
                <w:sz w:val="16"/>
                <w:szCs w:val="16"/>
                <w:spacing w:val="-3"/>
              </w:rPr>
              <w:t>771</w:t>
            </w:r>
          </w:p>
        </w:tc>
        <w:tc>
          <w:tcPr>
            <w:tcW w:w="1289" w:type="dxa"/>
            <w:vAlign w:val="top"/>
          </w:tcPr>
          <w:p>
            <w:pPr>
              <w:pStyle w:val="TableText"/>
              <w:ind w:left="231"/>
              <w:spacing w:before="256" w:line="219" w:lineRule="auto"/>
              <w:rPr>
                <w:sz w:val="16"/>
                <w:szCs w:val="16"/>
              </w:rPr>
            </w:pPr>
            <w:r>
              <w:rPr>
                <w:sz w:val="16"/>
                <w:szCs w:val="16"/>
                <w:spacing w:val="2"/>
              </w:rPr>
              <w:t>国家林草息</w:t>
            </w:r>
          </w:p>
        </w:tc>
        <w:tc>
          <w:tcPr>
            <w:tcW w:w="1638" w:type="dxa"/>
            <w:vAlign w:val="top"/>
          </w:tcPr>
          <w:p>
            <w:pPr>
              <w:pStyle w:val="TableText"/>
              <w:ind w:left="171"/>
              <w:spacing w:before="66" w:line="219" w:lineRule="auto"/>
              <w:rPr>
                <w:sz w:val="16"/>
                <w:szCs w:val="16"/>
              </w:rPr>
            </w:pPr>
            <w:r>
              <w:rPr>
                <w:sz w:val="16"/>
                <w:szCs w:val="16"/>
                <w:spacing w:val="-1"/>
              </w:rPr>
              <w:t>从国外引进称草种</w:t>
            </w:r>
          </w:p>
          <w:p>
            <w:pPr>
              <w:pStyle w:val="TableText"/>
              <w:ind w:left="42" w:right="142" w:firstLine="89"/>
              <w:spacing w:before="9" w:line="220" w:lineRule="auto"/>
              <w:rPr>
                <w:sz w:val="16"/>
                <w:szCs w:val="16"/>
              </w:rPr>
            </w:pPr>
            <w:r>
              <w:rPr>
                <w:sz w:val="16"/>
                <w:szCs w:val="16"/>
                <w:spacing w:val="-1"/>
              </w:rPr>
              <w:t>子.击本检变和隔离</w:t>
            </w:r>
            <w:r>
              <w:rPr>
                <w:sz w:val="16"/>
                <w:szCs w:val="16"/>
                <w:spacing w:val="1"/>
              </w:rPr>
              <w:t xml:space="preserve"> </w:t>
            </w:r>
            <w:r>
              <w:rPr>
                <w:sz w:val="16"/>
                <w:szCs w:val="16"/>
                <w:spacing w:val="-2"/>
              </w:rPr>
              <w:t>试种审批</w:t>
            </w:r>
          </w:p>
        </w:tc>
        <w:tc>
          <w:tcPr>
            <w:tcW w:w="2377" w:type="dxa"/>
            <w:vAlign w:val="top"/>
          </w:tcPr>
          <w:p>
            <w:pPr>
              <w:pStyle w:val="TableText"/>
              <w:ind w:left="83" w:right="116"/>
              <w:spacing w:before="177" w:line="224" w:lineRule="auto"/>
              <w:rPr>
                <w:sz w:val="16"/>
                <w:szCs w:val="16"/>
              </w:rPr>
            </w:pPr>
            <w:r>
              <w:rPr>
                <w:sz w:val="16"/>
                <w:szCs w:val="16"/>
              </w:rPr>
              <w:t>回家林草局，省级称草露门(植</w:t>
            </w:r>
            <w:r>
              <w:rPr>
                <w:sz w:val="16"/>
                <w:szCs w:val="16"/>
                <w:spacing w:val="5"/>
              </w:rPr>
              <w:t xml:space="preserve"> </w:t>
            </w:r>
            <w:r>
              <w:rPr>
                <w:sz w:val="16"/>
                <w:szCs w:val="16"/>
                <w:spacing w:val="-2"/>
              </w:rPr>
              <w:t>物栓疫机构》</w:t>
            </w:r>
          </w:p>
        </w:tc>
        <w:tc>
          <w:tcPr>
            <w:tcW w:w="3711" w:type="dxa"/>
            <w:vAlign w:val="top"/>
          </w:tcPr>
          <w:p>
            <w:pPr>
              <w:pStyle w:val="TableText"/>
              <w:ind w:left="56"/>
              <w:spacing w:before="46" w:line="219" w:lineRule="auto"/>
              <w:rPr>
                <w:sz w:val="16"/>
                <w:szCs w:val="16"/>
              </w:rPr>
            </w:pPr>
            <w:r>
              <w:rPr>
                <w:sz w:val="16"/>
                <w:szCs w:val="16"/>
                <w:spacing w:val="1"/>
              </w:rPr>
              <w:t>1植物检交条例2</w:t>
            </w:r>
          </w:p>
          <w:p>
            <w:pPr>
              <w:pStyle w:val="TableText"/>
              <w:ind w:left="56" w:right="197" w:firstLine="80"/>
              <w:spacing w:before="30" w:line="213" w:lineRule="auto"/>
              <w:rPr>
                <w:sz w:val="16"/>
                <w:szCs w:val="16"/>
              </w:rPr>
            </w:pPr>
            <w:r>
              <w:rPr>
                <w:sz w:val="16"/>
                <w:szCs w:val="16"/>
              </w:rPr>
              <w:t>国务院对确需保管的行政审批项山设定存政许可</w:t>
            </w:r>
            <w:r>
              <w:rPr>
                <w:sz w:val="16"/>
                <w:szCs w:val="16"/>
                <w:spacing w:val="5"/>
              </w:rPr>
              <w:t xml:space="preserve"> </w:t>
            </w:r>
            <w:r>
              <w:rPr>
                <w:sz w:val="16"/>
                <w:szCs w:val="16"/>
                <w:spacing w:val="4"/>
              </w:rPr>
              <w:t>的决定1</w:t>
            </w:r>
          </w:p>
        </w:tc>
      </w:tr>
      <w:tr>
        <w:trPr>
          <w:trHeight w:val="479" w:hRule="atLeast"/>
        </w:trPr>
        <w:tc>
          <w:tcPr>
            <w:tcW w:w="584" w:type="dxa"/>
            <w:vAlign w:val="top"/>
          </w:tcPr>
          <w:p>
            <w:pPr>
              <w:pStyle w:val="TableText"/>
              <w:ind w:left="164"/>
              <w:spacing w:before="198" w:line="183" w:lineRule="auto"/>
              <w:rPr>
                <w:sz w:val="16"/>
                <w:szCs w:val="16"/>
              </w:rPr>
            </w:pPr>
            <w:r>
              <w:rPr>
                <w:sz w:val="16"/>
                <w:szCs w:val="16"/>
                <w:spacing w:val="-3"/>
              </w:rPr>
              <w:t>772</w:t>
            </w:r>
          </w:p>
        </w:tc>
        <w:tc>
          <w:tcPr>
            <w:tcW w:w="1289" w:type="dxa"/>
            <w:vAlign w:val="top"/>
          </w:tcPr>
          <w:p>
            <w:pPr>
              <w:pStyle w:val="TableText"/>
              <w:ind w:left="231"/>
              <w:spacing w:before="157" w:line="219" w:lineRule="auto"/>
              <w:rPr>
                <w:sz w:val="16"/>
                <w:szCs w:val="16"/>
              </w:rPr>
            </w:pPr>
            <w:r>
              <w:rPr>
                <w:sz w:val="16"/>
                <w:szCs w:val="16"/>
                <w:spacing w:val="2"/>
              </w:rPr>
              <w:t>回家林草局</w:t>
            </w:r>
          </w:p>
        </w:tc>
        <w:tc>
          <w:tcPr>
            <w:tcW w:w="1638" w:type="dxa"/>
            <w:vAlign w:val="top"/>
          </w:tcPr>
          <w:p>
            <w:pPr>
              <w:pStyle w:val="TableText"/>
              <w:ind w:left="22" w:right="102" w:firstLine="70"/>
              <w:spacing w:before="66" w:line="232" w:lineRule="auto"/>
              <w:rPr>
                <w:sz w:val="16"/>
                <w:szCs w:val="16"/>
              </w:rPr>
            </w:pPr>
            <w:r>
              <w:rPr>
                <w:sz w:val="16"/>
                <w:szCs w:val="16"/>
                <w:spacing w:val="-1"/>
              </w:rPr>
              <w:t>孙草植临植疫证书核</w:t>
            </w:r>
            <w:r>
              <w:rPr>
                <w:sz w:val="16"/>
                <w:szCs w:val="16"/>
                <w:spacing w:val="1"/>
              </w:rPr>
              <w:t xml:space="preserve"> </w:t>
            </w:r>
            <w:r>
              <w:rPr>
                <w:sz w:val="16"/>
                <w:szCs w:val="16"/>
              </w:rPr>
              <w:t>发</w:t>
            </w:r>
          </w:p>
        </w:tc>
        <w:tc>
          <w:tcPr>
            <w:tcW w:w="2377" w:type="dxa"/>
            <w:vAlign w:val="top"/>
          </w:tcPr>
          <w:p>
            <w:pPr>
              <w:pStyle w:val="TableText"/>
              <w:ind w:left="83" w:right="51"/>
              <w:spacing w:before="67" w:line="230" w:lineRule="auto"/>
              <w:rPr>
                <w:sz w:val="16"/>
                <w:szCs w:val="16"/>
              </w:rPr>
            </w:pPr>
            <w:r>
              <w:rPr>
                <w:sz w:val="16"/>
                <w:szCs w:val="16"/>
                <w:spacing w:val="-1"/>
              </w:rPr>
              <w:t>省级，设区笋市级，县母林草南</w:t>
            </w:r>
            <w:r>
              <w:rPr>
                <w:sz w:val="16"/>
                <w:szCs w:val="16"/>
                <w:spacing w:val="4"/>
              </w:rPr>
              <w:t xml:space="preserve"> </w:t>
            </w:r>
            <w:r>
              <w:rPr>
                <w:sz w:val="16"/>
                <w:szCs w:val="16"/>
                <w:spacing w:val="3"/>
              </w:rPr>
              <w:t>门(植物检应机构)</w:t>
            </w:r>
          </w:p>
        </w:tc>
        <w:tc>
          <w:tcPr>
            <w:tcW w:w="3711" w:type="dxa"/>
            <w:vAlign w:val="top"/>
          </w:tcPr>
          <w:p>
            <w:pPr>
              <w:pStyle w:val="TableText"/>
              <w:ind w:left="56"/>
              <w:spacing w:before="156" w:line="219" w:lineRule="auto"/>
              <w:rPr>
                <w:sz w:val="16"/>
                <w:szCs w:val="16"/>
              </w:rPr>
            </w:pPr>
            <w:r>
              <w:rPr>
                <w:sz w:val="16"/>
                <w:szCs w:val="16"/>
                <w:spacing w:val="5"/>
              </w:rPr>
              <w:t>精物检收条例)</w:t>
            </w:r>
          </w:p>
        </w:tc>
      </w:tr>
      <w:tr>
        <w:trPr>
          <w:trHeight w:val="669" w:hRule="atLeast"/>
        </w:trPr>
        <w:tc>
          <w:tcPr>
            <w:tcW w:w="584" w:type="dxa"/>
            <w:vAlign w:val="top"/>
          </w:tcPr>
          <w:p>
            <w:pPr>
              <w:spacing w:line="246" w:lineRule="auto"/>
              <w:rPr>
                <w:rFonts w:ascii="Arial"/>
                <w:sz w:val="21"/>
              </w:rPr>
            </w:pPr>
            <w:r/>
          </w:p>
          <w:p>
            <w:pPr>
              <w:pStyle w:val="TableText"/>
              <w:ind w:left="164"/>
              <w:spacing w:before="52" w:line="183" w:lineRule="auto"/>
              <w:rPr>
                <w:sz w:val="16"/>
                <w:szCs w:val="16"/>
              </w:rPr>
            </w:pPr>
            <w:r>
              <w:rPr>
                <w:sz w:val="16"/>
                <w:szCs w:val="16"/>
                <w:spacing w:val="-3"/>
              </w:rPr>
              <w:t>773</w:t>
            </w:r>
          </w:p>
        </w:tc>
        <w:tc>
          <w:tcPr>
            <w:tcW w:w="1289" w:type="dxa"/>
            <w:vAlign w:val="top"/>
          </w:tcPr>
          <w:p>
            <w:pPr>
              <w:pStyle w:val="TableText"/>
              <w:ind w:left="231"/>
              <w:spacing w:before="258" w:line="219" w:lineRule="auto"/>
              <w:rPr>
                <w:sz w:val="16"/>
                <w:szCs w:val="16"/>
              </w:rPr>
            </w:pPr>
            <w:r>
              <w:rPr>
                <w:sz w:val="16"/>
                <w:szCs w:val="16"/>
                <w:spacing w:val="2"/>
              </w:rPr>
              <w:t>国家林草同</w:t>
            </w:r>
          </w:p>
        </w:tc>
        <w:tc>
          <w:tcPr>
            <w:tcW w:w="1638" w:type="dxa"/>
            <w:vAlign w:val="top"/>
          </w:tcPr>
          <w:p>
            <w:pPr>
              <w:pStyle w:val="TableText"/>
              <w:ind w:left="92"/>
              <w:spacing w:before="77" w:line="219" w:lineRule="auto"/>
              <w:rPr>
                <w:sz w:val="16"/>
                <w:szCs w:val="16"/>
              </w:rPr>
            </w:pPr>
            <w:r>
              <w:rPr>
                <w:sz w:val="16"/>
                <w:szCs w:val="16"/>
                <w:spacing w:val="-1"/>
              </w:rPr>
              <w:t>松对能业病改本加工</w:t>
            </w:r>
          </w:p>
          <w:p>
            <w:pPr>
              <w:pStyle w:val="TableText"/>
              <w:ind w:left="11" w:right="82" w:firstLine="80"/>
              <w:spacing w:before="10" w:line="220" w:lineRule="auto"/>
              <w:rPr>
                <w:sz w:val="16"/>
                <w:szCs w:val="16"/>
              </w:rPr>
            </w:pPr>
            <w:r>
              <w:rPr>
                <w:sz w:val="16"/>
                <w:szCs w:val="16"/>
                <w:spacing w:val="1"/>
              </w:rPr>
              <w:t>板村定点加工金业审</w:t>
            </w:r>
            <w:r>
              <w:rPr>
                <w:sz w:val="16"/>
                <w:szCs w:val="16"/>
                <w:spacing w:val="3"/>
              </w:rPr>
              <w:t xml:space="preserve"> </w:t>
            </w:r>
            <w:r>
              <w:rPr>
                <w:sz w:val="16"/>
                <w:szCs w:val="16"/>
              </w:rPr>
              <w:t>世</w:t>
            </w:r>
          </w:p>
        </w:tc>
        <w:tc>
          <w:tcPr>
            <w:tcW w:w="2377" w:type="dxa"/>
            <w:vAlign w:val="top"/>
          </w:tcPr>
          <w:p>
            <w:pPr>
              <w:pStyle w:val="TableText"/>
              <w:ind w:left="83"/>
              <w:spacing w:before="258" w:line="219" w:lineRule="auto"/>
              <w:rPr>
                <w:sz w:val="16"/>
                <w:szCs w:val="16"/>
              </w:rPr>
            </w:pPr>
            <w:r>
              <w:rPr>
                <w:sz w:val="16"/>
                <w:szCs w:val="16"/>
                <w:spacing w:val="2"/>
              </w:rPr>
              <w:t>国家林草局</w:t>
            </w:r>
          </w:p>
        </w:tc>
        <w:tc>
          <w:tcPr>
            <w:tcW w:w="3711" w:type="dxa"/>
            <w:vAlign w:val="top"/>
          </w:tcPr>
          <w:p>
            <w:pPr>
              <w:pStyle w:val="TableText"/>
              <w:ind w:left="79" w:right="284" w:hanging="79"/>
              <w:spacing w:before="169" w:line="213" w:lineRule="auto"/>
              <w:rPr>
                <w:sz w:val="16"/>
                <w:szCs w:val="16"/>
              </w:rPr>
            </w:pPr>
            <w:r>
              <w:rPr>
                <w:sz w:val="16"/>
                <w:szCs w:val="16"/>
                <w:spacing w:val="2"/>
              </w:rPr>
              <w:t>【国各院对确需保留的行政审批项目设定行政许</w:t>
            </w:r>
            <w:r>
              <w:rPr>
                <w:sz w:val="16"/>
                <w:szCs w:val="16"/>
                <w:spacing w:val="13"/>
              </w:rPr>
              <w:t xml:space="preserve"> </w:t>
            </w:r>
            <w:r>
              <w:rPr>
                <w:sz w:val="16"/>
                <w:szCs w:val="16"/>
                <w:spacing w:val="3"/>
              </w:rPr>
              <w:t>的决定i</w:t>
            </w:r>
          </w:p>
        </w:tc>
      </w:tr>
      <w:tr>
        <w:trPr>
          <w:trHeight w:val="889" w:hRule="atLeast"/>
        </w:trPr>
        <w:tc>
          <w:tcPr>
            <w:tcW w:w="584" w:type="dxa"/>
            <w:vAlign w:val="top"/>
          </w:tcPr>
          <w:p>
            <w:pPr>
              <w:spacing w:line="356" w:lineRule="auto"/>
              <w:rPr>
                <w:rFonts w:ascii="Arial"/>
                <w:sz w:val="21"/>
              </w:rPr>
            </w:pPr>
            <w:r/>
          </w:p>
          <w:p>
            <w:pPr>
              <w:pStyle w:val="TableText"/>
              <w:ind w:left="164"/>
              <w:spacing w:before="52" w:line="183" w:lineRule="auto"/>
              <w:rPr>
                <w:sz w:val="16"/>
                <w:szCs w:val="16"/>
              </w:rPr>
            </w:pPr>
            <w:r>
              <w:rPr>
                <w:sz w:val="16"/>
                <w:szCs w:val="16"/>
                <w:spacing w:val="-3"/>
              </w:rPr>
              <w:t>774</w:t>
            </w:r>
          </w:p>
        </w:tc>
        <w:tc>
          <w:tcPr>
            <w:tcW w:w="1289" w:type="dxa"/>
            <w:vAlign w:val="top"/>
          </w:tcPr>
          <w:p>
            <w:pPr>
              <w:spacing w:line="315" w:lineRule="auto"/>
              <w:rPr>
                <w:rFonts w:ascii="Arial"/>
                <w:sz w:val="21"/>
              </w:rPr>
            </w:pPr>
            <w:r/>
          </w:p>
          <w:p>
            <w:pPr>
              <w:pStyle w:val="TableText"/>
              <w:ind w:left="231"/>
              <w:spacing w:before="52" w:line="219" w:lineRule="auto"/>
              <w:rPr>
                <w:sz w:val="16"/>
                <w:szCs w:val="16"/>
              </w:rPr>
            </w:pPr>
            <w:r>
              <w:rPr>
                <w:sz w:val="16"/>
                <w:szCs w:val="16"/>
                <w:spacing w:val="2"/>
              </w:rPr>
              <w:t>国家林草局</w:t>
            </w:r>
          </w:p>
        </w:tc>
        <w:tc>
          <w:tcPr>
            <w:tcW w:w="1638" w:type="dxa"/>
            <w:vAlign w:val="top"/>
          </w:tcPr>
          <w:p>
            <w:pPr>
              <w:pStyle w:val="TableText"/>
              <w:ind w:left="22" w:right="101" w:firstLine="70"/>
              <w:spacing w:before="89" w:line="225" w:lineRule="auto"/>
              <w:jc w:val="both"/>
              <w:rPr>
                <w:sz w:val="16"/>
                <w:szCs w:val="16"/>
              </w:rPr>
            </w:pPr>
            <w:r>
              <w:rPr>
                <w:sz w:val="16"/>
                <w:szCs w:val="16"/>
                <w:spacing w:val="-1"/>
              </w:rPr>
              <w:t>超设项目使用林跑是</w:t>
            </w:r>
            <w:r>
              <w:rPr>
                <w:sz w:val="16"/>
                <w:szCs w:val="16"/>
                <w:spacing w:val="2"/>
              </w:rPr>
              <w:t xml:space="preserve"> </w:t>
            </w:r>
            <w:r>
              <w:rPr>
                <w:sz w:val="16"/>
                <w:szCs w:val="16"/>
                <w:spacing w:val="7"/>
              </w:rPr>
              <w:t>在森林和留生动物类</w:t>
            </w:r>
            <w:r>
              <w:rPr>
                <w:sz w:val="16"/>
                <w:szCs w:val="16"/>
              </w:rPr>
              <w:t xml:space="preserve"> </w:t>
            </w:r>
            <w:r>
              <w:rPr>
                <w:sz w:val="16"/>
                <w:szCs w:val="16"/>
                <w:spacing w:val="6"/>
              </w:rPr>
              <w:t>型网家级自书保护落</w:t>
            </w:r>
            <w:r>
              <w:rPr>
                <w:sz w:val="16"/>
                <w:szCs w:val="16"/>
                <w:spacing w:val="3"/>
              </w:rPr>
              <w:t xml:space="preserve"> </w:t>
            </w:r>
            <w:r>
              <w:rPr>
                <w:sz w:val="16"/>
                <w:szCs w:val="16"/>
                <w:spacing w:val="-2"/>
              </w:rPr>
              <w:t>建设市批</w:t>
            </w:r>
          </w:p>
        </w:tc>
        <w:tc>
          <w:tcPr>
            <w:tcW w:w="2377" w:type="dxa"/>
            <w:vAlign w:val="top"/>
          </w:tcPr>
          <w:p>
            <w:pPr>
              <w:pStyle w:val="TableText"/>
              <w:ind w:left="83" w:right="60" w:hanging="9"/>
              <w:spacing w:before="269" w:line="225" w:lineRule="auto"/>
              <w:rPr>
                <w:sz w:val="16"/>
                <w:szCs w:val="16"/>
              </w:rPr>
            </w:pPr>
            <w:r>
              <w:rPr>
                <w:sz w:val="16"/>
                <w:szCs w:val="16"/>
                <w:spacing w:val="-1"/>
              </w:rPr>
              <w:t>再家林尊局；省级，泛区的市缓</w:t>
            </w:r>
            <w:r>
              <w:rPr>
                <w:sz w:val="16"/>
                <w:szCs w:val="16"/>
                <w:spacing w:val="5"/>
              </w:rPr>
              <w:t xml:space="preserve"> </w:t>
            </w:r>
            <w:r>
              <w:rPr>
                <w:sz w:val="16"/>
                <w:szCs w:val="16"/>
                <w:spacing w:val="3"/>
              </w:rPr>
              <w:t>基级林草部门</w:t>
            </w:r>
          </w:p>
        </w:tc>
        <w:tc>
          <w:tcPr>
            <w:tcW w:w="3711" w:type="dxa"/>
            <w:vAlign w:val="top"/>
          </w:tcPr>
          <w:p>
            <w:pPr>
              <w:pStyle w:val="TableText"/>
              <w:ind w:left="56"/>
              <w:spacing w:before="159" w:line="219" w:lineRule="auto"/>
              <w:rPr>
                <w:sz w:val="16"/>
                <w:szCs w:val="16"/>
              </w:rPr>
            </w:pPr>
            <w:r>
              <w:rPr>
                <w:sz w:val="16"/>
                <w:szCs w:val="16"/>
              </w:rPr>
              <w:t>中华人民光和面森休法</w:t>
            </w:r>
          </w:p>
          <w:p>
            <w:pPr>
              <w:pStyle w:val="TableText"/>
              <w:ind w:left="56"/>
              <w:spacing w:before="30" w:line="207" w:lineRule="auto"/>
              <w:rPr>
                <w:sz w:val="16"/>
                <w:szCs w:val="16"/>
              </w:rPr>
            </w:pPr>
            <w:r>
              <w:rPr>
                <w:sz w:val="16"/>
                <w:szCs w:val="16"/>
                <w:spacing w:val="5"/>
              </w:rPr>
              <w:t>(中华人民共和国程体法实通条例】</w:t>
            </w:r>
          </w:p>
          <w:p>
            <w:pPr>
              <w:pStyle w:val="TableText"/>
              <w:ind w:left="56"/>
              <w:spacing w:line="218" w:lineRule="auto"/>
              <w:rPr>
                <w:sz w:val="16"/>
                <w:szCs w:val="16"/>
              </w:rPr>
            </w:pPr>
            <w:r>
              <w:rPr>
                <w:sz w:val="16"/>
                <w:szCs w:val="16"/>
                <w:spacing w:val="-1"/>
              </w:rPr>
              <w:t>个森机和野生动物离型自然保护区食理办己》</w:t>
            </w:r>
          </w:p>
        </w:tc>
      </w:tr>
      <w:tr>
        <w:trPr>
          <w:trHeight w:val="479" w:hRule="atLeast"/>
        </w:trPr>
        <w:tc>
          <w:tcPr>
            <w:tcW w:w="584" w:type="dxa"/>
            <w:vAlign w:val="top"/>
          </w:tcPr>
          <w:p>
            <w:pPr>
              <w:pStyle w:val="TableText"/>
              <w:ind w:left="124"/>
              <w:spacing w:before="202" w:line="182" w:lineRule="auto"/>
              <w:rPr>
                <w:sz w:val="16"/>
                <w:szCs w:val="16"/>
              </w:rPr>
            </w:pPr>
            <w:r>
              <w:rPr>
                <w:sz w:val="16"/>
                <w:szCs w:val="16"/>
                <w:spacing w:val="-2"/>
              </w:rPr>
              <w:t>.775</w:t>
            </w:r>
          </w:p>
        </w:tc>
        <w:tc>
          <w:tcPr>
            <w:tcW w:w="1289" w:type="dxa"/>
            <w:vAlign w:val="top"/>
          </w:tcPr>
          <w:p>
            <w:pPr>
              <w:pStyle w:val="TableText"/>
              <w:ind w:left="231"/>
              <w:spacing w:before="160" w:line="219" w:lineRule="auto"/>
              <w:rPr>
                <w:sz w:val="16"/>
                <w:szCs w:val="16"/>
              </w:rPr>
            </w:pPr>
            <w:r>
              <w:rPr>
                <w:sz w:val="16"/>
                <w:szCs w:val="16"/>
                <w:spacing w:val="1"/>
              </w:rPr>
              <w:t>国家林草高</w:t>
            </w:r>
          </w:p>
        </w:tc>
        <w:tc>
          <w:tcPr>
            <w:tcW w:w="1638" w:type="dxa"/>
            <w:vAlign w:val="top"/>
          </w:tcPr>
          <w:p>
            <w:pPr>
              <w:pStyle w:val="TableText"/>
              <w:ind w:left="22" w:right="104" w:firstLine="70"/>
              <w:spacing w:before="60" w:line="222" w:lineRule="auto"/>
              <w:rPr>
                <w:sz w:val="16"/>
                <w:szCs w:val="16"/>
              </w:rPr>
            </w:pPr>
            <w:r>
              <w:rPr>
                <w:sz w:val="16"/>
                <w:szCs w:val="16"/>
                <w:spacing w:val="-1"/>
              </w:rPr>
              <w:t>容设理自使用章厚定</w:t>
            </w:r>
            <w:r>
              <w:rPr>
                <w:sz w:val="16"/>
                <w:szCs w:val="16"/>
              </w:rPr>
              <w:t xml:space="preserve"> </w:t>
            </w:r>
            <w:r>
              <w:rPr>
                <w:sz w:val="16"/>
                <w:szCs w:val="16"/>
              </w:rPr>
              <w:t>要</w:t>
            </w:r>
          </w:p>
        </w:tc>
        <w:tc>
          <w:tcPr>
            <w:tcW w:w="2377" w:type="dxa"/>
            <w:vAlign w:val="top"/>
          </w:tcPr>
          <w:p>
            <w:pPr>
              <w:pStyle w:val="TableText"/>
              <w:ind w:left="83"/>
              <w:spacing w:before="80" w:line="224" w:lineRule="auto"/>
              <w:rPr>
                <w:sz w:val="16"/>
                <w:szCs w:val="16"/>
              </w:rPr>
            </w:pPr>
            <w:r>
              <w:rPr>
                <w:sz w:val="16"/>
                <w:szCs w:val="16"/>
                <w:spacing w:val="-8"/>
              </w:rPr>
              <w:t>国家林章品，省级，设区的而级。</w:t>
            </w:r>
            <w:r>
              <w:rPr>
                <w:sz w:val="16"/>
                <w:szCs w:val="16"/>
                <w:spacing w:val="2"/>
              </w:rPr>
              <w:t xml:space="preserve"> </w:t>
            </w:r>
            <w:r>
              <w:rPr>
                <w:sz w:val="16"/>
                <w:szCs w:val="16"/>
                <w:spacing w:val="-2"/>
              </w:rPr>
              <w:t>县级林草部门</w:t>
            </w:r>
          </w:p>
        </w:tc>
        <w:tc>
          <w:tcPr>
            <w:tcW w:w="3711" w:type="dxa"/>
            <w:vAlign w:val="top"/>
          </w:tcPr>
          <w:p>
            <w:pPr>
              <w:pStyle w:val="TableText"/>
              <w:spacing w:before="159" w:line="219" w:lineRule="auto"/>
              <w:rPr>
                <w:sz w:val="16"/>
                <w:szCs w:val="16"/>
              </w:rPr>
            </w:pPr>
            <w:r>
              <w:rPr>
                <w:sz w:val="16"/>
                <w:szCs w:val="16"/>
                <w:spacing w:val="-3"/>
              </w:rPr>
              <w:t>《中华人见共和国暴原选</w:t>
            </w:r>
          </w:p>
        </w:tc>
      </w:tr>
      <w:tr>
        <w:trPr>
          <w:trHeight w:val="479" w:hRule="atLeast"/>
        </w:trPr>
        <w:tc>
          <w:tcPr>
            <w:tcW w:w="584" w:type="dxa"/>
            <w:vAlign w:val="top"/>
          </w:tcPr>
          <w:p>
            <w:pPr>
              <w:pStyle w:val="TableText"/>
              <w:ind w:left="164"/>
              <w:spacing w:before="202" w:line="183" w:lineRule="auto"/>
              <w:rPr>
                <w:sz w:val="16"/>
                <w:szCs w:val="16"/>
              </w:rPr>
            </w:pPr>
            <w:r>
              <w:rPr>
                <w:sz w:val="16"/>
                <w:szCs w:val="16"/>
                <w:spacing w:val="-3"/>
              </w:rPr>
              <w:t>776</w:t>
            </w:r>
          </w:p>
        </w:tc>
        <w:tc>
          <w:tcPr>
            <w:tcW w:w="1289" w:type="dxa"/>
            <w:vAlign w:val="top"/>
          </w:tcPr>
          <w:p>
            <w:pPr>
              <w:pStyle w:val="TableText"/>
              <w:ind w:left="231"/>
              <w:spacing w:before="161" w:line="219" w:lineRule="auto"/>
              <w:rPr>
                <w:sz w:val="16"/>
                <w:szCs w:val="16"/>
              </w:rPr>
            </w:pPr>
            <w:r>
              <w:rPr>
                <w:sz w:val="16"/>
                <w:szCs w:val="16"/>
                <w:spacing w:val="2"/>
              </w:rPr>
              <w:t>国家林草局</w:t>
            </w:r>
          </w:p>
        </w:tc>
        <w:tc>
          <w:tcPr>
            <w:tcW w:w="1638" w:type="dxa"/>
            <w:vAlign w:val="top"/>
          </w:tcPr>
          <w:p>
            <w:pPr>
              <w:pStyle w:val="TableText"/>
              <w:ind w:left="92"/>
              <w:spacing w:before="162" w:line="220" w:lineRule="auto"/>
              <w:rPr>
                <w:sz w:val="16"/>
                <w:szCs w:val="16"/>
              </w:rPr>
            </w:pPr>
            <w:r>
              <w:rPr>
                <w:sz w:val="16"/>
                <w:szCs w:val="16"/>
                <w:spacing w:val="-1"/>
              </w:rPr>
              <w:t>称木呆找许可证核置</w:t>
            </w:r>
          </w:p>
        </w:tc>
        <w:tc>
          <w:tcPr>
            <w:tcW w:w="2377" w:type="dxa"/>
            <w:vAlign w:val="top"/>
          </w:tcPr>
          <w:p>
            <w:pPr>
              <w:pStyle w:val="TableText"/>
              <w:ind w:left="83" w:right="33"/>
              <w:spacing w:before="61" w:line="231" w:lineRule="auto"/>
              <w:rPr>
                <w:sz w:val="16"/>
                <w:szCs w:val="16"/>
              </w:rPr>
            </w:pPr>
            <w:r>
              <w:rPr>
                <w:sz w:val="16"/>
                <w:szCs w:val="16"/>
              </w:rPr>
              <w:t>因家林尊同，省级，设区的市级</w:t>
            </w:r>
            <w:r>
              <w:rPr>
                <w:sz w:val="16"/>
                <w:szCs w:val="16"/>
                <w:spacing w:val="8"/>
              </w:rPr>
              <w:t xml:space="preserve"> </w:t>
            </w:r>
            <w:r>
              <w:rPr>
                <w:sz w:val="16"/>
                <w:szCs w:val="16"/>
                <w:spacing w:val="3"/>
              </w:rPr>
              <w:t>最硬林草部门</w:t>
            </w:r>
          </w:p>
        </w:tc>
        <w:tc>
          <w:tcPr>
            <w:tcW w:w="3711" w:type="dxa"/>
            <w:vAlign w:val="top"/>
          </w:tcPr>
          <w:p>
            <w:pPr>
              <w:pStyle w:val="TableText"/>
              <w:ind w:left="56"/>
              <w:spacing w:before="71" w:line="219" w:lineRule="auto"/>
              <w:rPr>
                <w:sz w:val="16"/>
                <w:szCs w:val="16"/>
              </w:rPr>
            </w:pPr>
            <w:r>
              <w:rPr>
                <w:sz w:val="16"/>
                <w:szCs w:val="16"/>
                <w:spacing w:val="2"/>
              </w:rPr>
              <w:t>1中华人民共和国器林法)</w:t>
            </w:r>
          </w:p>
          <w:p>
            <w:pPr>
              <w:pStyle w:val="TableText"/>
              <w:ind w:left="56"/>
              <w:spacing w:before="20" w:line="216" w:lineRule="auto"/>
              <w:rPr>
                <w:sz w:val="16"/>
                <w:szCs w:val="16"/>
              </w:rPr>
            </w:pPr>
            <w:r>
              <w:rPr>
                <w:sz w:val="16"/>
                <w:szCs w:val="16"/>
                <w:spacing w:val="2"/>
              </w:rPr>
              <w:t>1中华人民共和回森林法实年亲拥)</w:t>
            </w:r>
          </w:p>
        </w:tc>
      </w:tr>
      <w:tr>
        <w:trPr>
          <w:trHeight w:val="469" w:hRule="atLeast"/>
        </w:trPr>
        <w:tc>
          <w:tcPr>
            <w:tcW w:w="584" w:type="dxa"/>
            <w:vAlign w:val="top"/>
          </w:tcPr>
          <w:p>
            <w:pPr>
              <w:pStyle w:val="TableText"/>
              <w:ind w:left="164"/>
              <w:spacing w:before="204" w:line="182" w:lineRule="auto"/>
              <w:rPr>
                <w:sz w:val="16"/>
                <w:szCs w:val="16"/>
              </w:rPr>
            </w:pPr>
            <w:r>
              <w:rPr>
                <w:sz w:val="16"/>
                <w:szCs w:val="16"/>
                <w:spacing w:val="-3"/>
              </w:rPr>
              <w:t>777</w:t>
            </w:r>
          </w:p>
        </w:tc>
        <w:tc>
          <w:tcPr>
            <w:tcW w:w="1289" w:type="dxa"/>
            <w:vAlign w:val="top"/>
          </w:tcPr>
          <w:p>
            <w:pPr>
              <w:pStyle w:val="TableText"/>
              <w:ind w:left="231"/>
              <w:spacing w:before="162" w:line="219" w:lineRule="auto"/>
              <w:rPr>
                <w:sz w:val="16"/>
                <w:szCs w:val="16"/>
              </w:rPr>
            </w:pPr>
            <w:r>
              <w:rPr>
                <w:sz w:val="16"/>
                <w:szCs w:val="16"/>
                <w:spacing w:val="2"/>
              </w:rPr>
              <w:t>国家林学局</w:t>
            </w:r>
          </w:p>
        </w:tc>
        <w:tc>
          <w:tcPr>
            <w:tcW w:w="1638" w:type="dxa"/>
            <w:vAlign w:val="top"/>
          </w:tcPr>
          <w:p>
            <w:pPr>
              <w:pStyle w:val="TableText"/>
              <w:ind w:left="32" w:right="104" w:firstLine="60"/>
              <w:spacing w:before="72" w:line="223" w:lineRule="auto"/>
              <w:rPr>
                <w:sz w:val="16"/>
                <w:szCs w:val="16"/>
              </w:rPr>
            </w:pPr>
            <w:r>
              <w:rPr>
                <w:sz w:val="16"/>
                <w:szCs w:val="16"/>
                <w:spacing w:val="-1"/>
              </w:rPr>
              <w:t>从事音刻住给沙活动</w:t>
            </w:r>
            <w:r>
              <w:rPr>
                <w:sz w:val="16"/>
                <w:szCs w:val="16"/>
              </w:rPr>
              <w:t xml:space="preserve"> </w:t>
            </w:r>
            <w:r>
              <w:rPr>
                <w:sz w:val="16"/>
                <w:szCs w:val="16"/>
                <w:spacing w:val="10"/>
              </w:rPr>
              <w:t>许司</w:t>
            </w:r>
          </w:p>
        </w:tc>
        <w:tc>
          <w:tcPr>
            <w:tcW w:w="2377" w:type="dxa"/>
            <w:vAlign w:val="top"/>
          </w:tcPr>
          <w:p>
            <w:pPr>
              <w:pStyle w:val="TableText"/>
              <w:ind w:left="83" w:right="43" w:firstLine="10"/>
              <w:spacing w:before="51" w:line="229" w:lineRule="auto"/>
              <w:rPr>
                <w:sz w:val="16"/>
                <w:szCs w:val="16"/>
              </w:rPr>
            </w:pPr>
            <w:r>
              <w:rPr>
                <w:sz w:val="16"/>
                <w:szCs w:val="16"/>
                <w:spacing w:val="-1"/>
              </w:rPr>
              <w:t>古级、说区的市级、县级热章部</w:t>
            </w:r>
            <w:r>
              <w:rPr>
                <w:sz w:val="16"/>
                <w:szCs w:val="16"/>
                <w:spacing w:val="2"/>
              </w:rPr>
              <w:t xml:space="preserve"> </w:t>
            </w:r>
            <w:r>
              <w:rPr>
                <w:sz w:val="16"/>
                <w:szCs w:val="16"/>
              </w:rPr>
              <w:t>门</w:t>
            </w:r>
          </w:p>
        </w:tc>
        <w:tc>
          <w:tcPr>
            <w:tcW w:w="3711" w:type="dxa"/>
            <w:vAlign w:val="top"/>
          </w:tcPr>
          <w:p>
            <w:pPr>
              <w:pStyle w:val="TableText"/>
              <w:ind w:left="56"/>
              <w:spacing w:before="162" w:line="219" w:lineRule="auto"/>
              <w:rPr>
                <w:sz w:val="16"/>
                <w:szCs w:val="16"/>
              </w:rPr>
            </w:pPr>
            <w:r>
              <w:rPr>
                <w:sz w:val="16"/>
                <w:szCs w:val="16"/>
                <w:spacing w:val="-1"/>
              </w:rPr>
              <w:t>1中华人民共和国防步箔沙法》</w:t>
            </w:r>
          </w:p>
        </w:tc>
      </w:tr>
      <w:tr>
        <w:trPr>
          <w:trHeight w:val="889" w:hRule="atLeast"/>
        </w:trPr>
        <w:tc>
          <w:tcPr>
            <w:tcW w:w="584" w:type="dxa"/>
            <w:vAlign w:val="top"/>
          </w:tcPr>
          <w:p>
            <w:pPr>
              <w:spacing w:line="360" w:lineRule="auto"/>
              <w:rPr>
                <w:rFonts w:ascii="Arial"/>
                <w:sz w:val="21"/>
              </w:rPr>
            </w:pPr>
            <w:r/>
          </w:p>
          <w:p>
            <w:pPr>
              <w:pStyle w:val="TableText"/>
              <w:ind w:left="164"/>
              <w:spacing w:before="52" w:line="183" w:lineRule="auto"/>
              <w:rPr>
                <w:sz w:val="16"/>
                <w:szCs w:val="16"/>
              </w:rPr>
            </w:pPr>
            <w:r>
              <w:rPr>
                <w:sz w:val="16"/>
                <w:szCs w:val="16"/>
                <w:spacing w:val="-3"/>
              </w:rPr>
              <w:t>778</w:t>
            </w:r>
          </w:p>
        </w:tc>
        <w:tc>
          <w:tcPr>
            <w:tcW w:w="1289" w:type="dxa"/>
            <w:vAlign w:val="top"/>
          </w:tcPr>
          <w:p>
            <w:pPr>
              <w:spacing w:line="318" w:lineRule="auto"/>
              <w:rPr>
                <w:rFonts w:ascii="Arial"/>
                <w:sz w:val="21"/>
              </w:rPr>
            </w:pPr>
            <w:r/>
          </w:p>
          <w:p>
            <w:pPr>
              <w:pStyle w:val="TableText"/>
              <w:ind w:left="231"/>
              <w:spacing w:before="52" w:line="219" w:lineRule="auto"/>
              <w:rPr>
                <w:sz w:val="16"/>
                <w:szCs w:val="16"/>
              </w:rPr>
            </w:pPr>
            <w:r>
              <w:rPr>
                <w:sz w:val="16"/>
                <w:szCs w:val="16"/>
                <w:spacing w:val="2"/>
              </w:rPr>
              <w:t>网家就举局</w:t>
            </w:r>
          </w:p>
        </w:tc>
        <w:tc>
          <w:tcPr>
            <w:tcW w:w="1638" w:type="dxa"/>
            <w:vAlign w:val="top"/>
          </w:tcPr>
          <w:p>
            <w:pPr>
              <w:pStyle w:val="TableText"/>
              <w:ind w:left="52" w:right="101" w:firstLine="40"/>
              <w:spacing w:before="63" w:line="234" w:lineRule="auto"/>
              <w:jc w:val="both"/>
              <w:rPr>
                <w:sz w:val="16"/>
                <w:szCs w:val="16"/>
              </w:rPr>
            </w:pPr>
            <w:r>
              <w:rPr>
                <w:sz w:val="16"/>
                <w:szCs w:val="16"/>
                <w:spacing w:val="-1"/>
              </w:rPr>
              <w:t>在国家缓风量名群区</w:t>
            </w:r>
            <w:r>
              <w:rPr>
                <w:sz w:val="16"/>
                <w:szCs w:val="16"/>
                <w:spacing w:val="2"/>
              </w:rPr>
              <w:t xml:space="preserve"> </w:t>
            </w:r>
            <w:r>
              <w:rPr>
                <w:sz w:val="16"/>
                <w:szCs w:val="16"/>
                <w:spacing w:val="9"/>
              </w:rPr>
              <w:t>内等健整车.本道等</w:t>
            </w:r>
            <w:r>
              <w:rPr>
                <w:sz w:val="16"/>
                <w:szCs w:val="16"/>
                <w:spacing w:val="5"/>
              </w:rPr>
              <w:t xml:space="preserve"> </w:t>
            </w:r>
            <w:r>
              <w:rPr>
                <w:sz w:val="16"/>
                <w:szCs w:val="16"/>
                <w:spacing w:val="3"/>
              </w:rPr>
              <w:t>重大建设工程理日选</w:t>
            </w:r>
            <w:r>
              <w:rPr>
                <w:sz w:val="16"/>
                <w:szCs w:val="16"/>
                <w:spacing w:val="5"/>
              </w:rPr>
              <w:t xml:space="preserve"> </w:t>
            </w:r>
            <w:r>
              <w:rPr>
                <w:sz w:val="16"/>
                <w:szCs w:val="16"/>
                <w:spacing w:val="-1"/>
              </w:rPr>
              <w:t>基方案核准</w:t>
            </w:r>
          </w:p>
        </w:tc>
        <w:tc>
          <w:tcPr>
            <w:tcW w:w="2377" w:type="dxa"/>
            <w:vAlign w:val="top"/>
          </w:tcPr>
          <w:p>
            <w:pPr>
              <w:spacing w:line="319" w:lineRule="auto"/>
              <w:rPr>
                <w:rFonts w:ascii="Arial"/>
                <w:sz w:val="21"/>
              </w:rPr>
            </w:pPr>
            <w:r/>
          </w:p>
          <w:p>
            <w:pPr>
              <w:pStyle w:val="TableText"/>
              <w:ind w:left="83"/>
              <w:spacing w:before="52" w:line="219" w:lineRule="auto"/>
              <w:rPr>
                <w:sz w:val="16"/>
                <w:szCs w:val="16"/>
              </w:rPr>
            </w:pPr>
            <w:r>
              <w:rPr>
                <w:sz w:val="16"/>
                <w:szCs w:val="16"/>
                <w:spacing w:val="3"/>
              </w:rPr>
              <w:t>省城林意部门</w:t>
            </w:r>
          </w:p>
        </w:tc>
        <w:tc>
          <w:tcPr>
            <w:tcW w:w="3711" w:type="dxa"/>
            <w:vAlign w:val="top"/>
          </w:tcPr>
          <w:p>
            <w:pPr>
              <w:spacing w:line="319" w:lineRule="auto"/>
              <w:rPr>
                <w:rFonts w:ascii="Arial"/>
                <w:sz w:val="21"/>
              </w:rPr>
            </w:pPr>
            <w:r/>
          </w:p>
          <w:p>
            <w:pPr>
              <w:pStyle w:val="TableText"/>
              <w:ind w:left="56"/>
              <w:spacing w:before="52" w:line="219" w:lineRule="auto"/>
              <w:rPr>
                <w:sz w:val="16"/>
                <w:szCs w:val="16"/>
              </w:rPr>
            </w:pPr>
            <w:r>
              <w:rPr>
                <w:sz w:val="16"/>
                <w:szCs w:val="16"/>
                <w:spacing w:val="1"/>
              </w:rPr>
              <w:t>1风截名堕区备侧1</w:t>
            </w:r>
          </w:p>
        </w:tc>
      </w:tr>
      <w:tr>
        <w:trPr>
          <w:trHeight w:val="1133" w:hRule="atLeast"/>
        </w:trPr>
        <w:tc>
          <w:tcPr>
            <w:tcW w:w="584" w:type="dxa"/>
            <w:vAlign w:val="top"/>
          </w:tcPr>
          <w:p>
            <w:pPr>
              <w:rPr>
                <w:rFonts w:ascii="Arial"/>
                <w:sz w:val="21"/>
              </w:rPr>
            </w:pPr>
            <w:r/>
          </w:p>
          <w:p>
            <w:pPr>
              <w:rPr>
                <w:rFonts w:ascii="Arial"/>
                <w:sz w:val="21"/>
              </w:rPr>
            </w:pPr>
            <w:r/>
          </w:p>
          <w:p>
            <w:pPr>
              <w:pStyle w:val="TableText"/>
              <w:ind w:left="164"/>
              <w:spacing w:before="52" w:line="183" w:lineRule="auto"/>
              <w:rPr>
                <w:sz w:val="16"/>
                <w:szCs w:val="16"/>
              </w:rPr>
            </w:pPr>
            <w:r>
              <w:rPr>
                <w:sz w:val="16"/>
                <w:szCs w:val="16"/>
                <w:spacing w:val="-3"/>
              </w:rPr>
              <w:t>779</w:t>
            </w:r>
          </w:p>
        </w:tc>
        <w:tc>
          <w:tcPr>
            <w:tcW w:w="1289" w:type="dxa"/>
            <w:vAlign w:val="top"/>
          </w:tcPr>
          <w:p>
            <w:pPr>
              <w:spacing w:line="439" w:lineRule="auto"/>
              <w:rPr>
                <w:rFonts w:ascii="Arial"/>
                <w:sz w:val="21"/>
              </w:rPr>
            </w:pPr>
            <w:r/>
          </w:p>
          <w:p>
            <w:pPr>
              <w:pStyle w:val="TableText"/>
              <w:ind w:left="231"/>
              <w:spacing w:before="53" w:line="219" w:lineRule="auto"/>
              <w:rPr>
                <w:sz w:val="16"/>
                <w:szCs w:val="16"/>
              </w:rPr>
            </w:pPr>
            <w:r>
              <w:rPr>
                <w:sz w:val="16"/>
                <w:szCs w:val="16"/>
                <w:spacing w:val="1"/>
              </w:rPr>
              <w:t>国家林草筒</w:t>
            </w:r>
          </w:p>
        </w:tc>
        <w:tc>
          <w:tcPr>
            <w:tcW w:w="1638" w:type="dxa"/>
            <w:vAlign w:val="top"/>
          </w:tcPr>
          <w:p>
            <w:pPr>
              <w:pStyle w:val="TableText"/>
              <w:ind w:left="52" w:right="64" w:firstLine="40"/>
              <w:spacing w:before="125" w:line="224" w:lineRule="auto"/>
              <w:jc w:val="both"/>
              <w:rPr>
                <w:sz w:val="16"/>
                <w:szCs w:val="16"/>
              </w:rPr>
            </w:pPr>
            <w:r>
              <w:rPr>
                <w:sz w:val="16"/>
                <w:szCs w:val="16"/>
                <w:spacing w:val="-1"/>
              </w:rPr>
              <w:t>在风菜名险区件从事</w:t>
            </w:r>
            <w:r>
              <w:rPr>
                <w:sz w:val="16"/>
                <w:szCs w:val="16"/>
                <w:spacing w:val="2"/>
              </w:rPr>
              <w:t xml:space="preserve"> </w:t>
            </w:r>
            <w:r>
              <w:rPr>
                <w:sz w:val="16"/>
                <w:szCs w:val="16"/>
                <w:spacing w:val="-1"/>
              </w:rPr>
              <w:t>建设.设置广告，举办</w:t>
            </w:r>
            <w:r>
              <w:rPr>
                <w:sz w:val="16"/>
                <w:szCs w:val="16"/>
              </w:rPr>
              <w:t xml:space="preserve"> </w:t>
            </w:r>
            <w:r>
              <w:rPr>
                <w:sz w:val="16"/>
                <w:szCs w:val="16"/>
                <w:spacing w:val="3"/>
              </w:rPr>
              <w:t>大服游求活动以及其 </w:t>
            </w:r>
            <w:r>
              <w:rPr>
                <w:sz w:val="16"/>
                <w:szCs w:val="16"/>
                <w:spacing w:val="3"/>
              </w:rPr>
              <w:t>世影响生在和录观括</w:t>
            </w:r>
            <w:r>
              <w:rPr>
                <w:sz w:val="16"/>
                <w:szCs w:val="16"/>
                <w:spacing w:val="5"/>
              </w:rPr>
              <w:t xml:space="preserve"> </w:t>
            </w:r>
            <w:r>
              <w:rPr>
                <w:sz w:val="16"/>
                <w:szCs w:val="16"/>
                <w:spacing w:val="5"/>
              </w:rPr>
              <w:t>动许叩</w:t>
            </w:r>
          </w:p>
        </w:tc>
        <w:tc>
          <w:tcPr>
            <w:tcW w:w="2377" w:type="dxa"/>
            <w:vAlign w:val="top"/>
          </w:tcPr>
          <w:p>
            <w:pPr>
              <w:spacing w:line="438" w:lineRule="auto"/>
              <w:rPr>
                <w:rFonts w:ascii="Arial"/>
                <w:sz w:val="21"/>
              </w:rPr>
            </w:pPr>
            <w:r/>
          </w:p>
          <w:p>
            <w:pPr>
              <w:pStyle w:val="TableText"/>
              <w:ind w:left="83"/>
              <w:spacing w:before="52" w:line="219" w:lineRule="auto"/>
              <w:rPr>
                <w:sz w:val="16"/>
                <w:szCs w:val="16"/>
              </w:rPr>
            </w:pPr>
            <w:r>
              <w:rPr>
                <w:sz w:val="16"/>
                <w:szCs w:val="16"/>
                <w:spacing w:val="-1"/>
              </w:rPr>
              <w:t>风景名胜区肾理机构</w:t>
            </w:r>
          </w:p>
        </w:tc>
        <w:tc>
          <w:tcPr>
            <w:tcW w:w="3711" w:type="dxa"/>
            <w:vAlign w:val="top"/>
          </w:tcPr>
          <w:p>
            <w:pPr>
              <w:spacing w:line="439" w:lineRule="auto"/>
              <w:rPr>
                <w:rFonts w:ascii="Arial"/>
                <w:sz w:val="21"/>
              </w:rPr>
            </w:pPr>
            <w:r/>
          </w:p>
          <w:p>
            <w:pPr>
              <w:pStyle w:val="TableText"/>
              <w:ind w:left="56"/>
              <w:spacing w:before="53" w:line="219" w:lineRule="auto"/>
              <w:rPr>
                <w:sz w:val="16"/>
                <w:szCs w:val="16"/>
              </w:rPr>
            </w:pPr>
            <w:r>
              <w:rPr>
                <w:sz w:val="16"/>
                <w:szCs w:val="16"/>
              </w:rPr>
              <w:t>1风景名屈区条例》</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05024" behindDoc="0" locked="0" layoutInCell="0" allowOverlap="1">
                <wp:simplePos x="0" y="0"/>
                <wp:positionH relativeFrom="page">
                  <wp:posOffset>470816</wp:posOffset>
                </wp:positionH>
                <wp:positionV relativeFrom="page">
                  <wp:posOffset>617289</wp:posOffset>
                </wp:positionV>
                <wp:extent cx="172720" cy="157479"/>
                <wp:effectExtent l="0" t="0" r="0" b="0"/>
                <wp:wrapNone/>
                <wp:docPr id="326" name="TextBox 326"/>
                <wp:cNvGraphicFramePr/>
                <a:graphic>
                  <a:graphicData uri="http://schemas.microsoft.com/office/word/2010/wordprocessingShape">
                    <wps:wsp>
                      <wps:cNvSpPr txBox="1"/>
                      <wps:spPr>
                        <a:xfrm rot="5400000">
                          <a:off x="470816" y="617289"/>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244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8" style="position:absolute;margin-left:37.0722pt;margin-top:48.6055pt;mso-position-vertical-relative:page;mso-position-horizontal-relative:page;width:13.6pt;height:12.4pt;z-index:251905024;rotation:90;" o:allowincell="f" filled="false" stroked="false" type="#_x0000_t202">
                <v:fill on="false"/>
                <v:stroke on="false"/>
                <v:path/>
                <v:imagedata o:title=""/>
                <o:lock v:ext="edit" aspectratio="false"/>
                <v:textbox inset="0mm,0mm,0mm,0mm">
                  <w:txbxContent>
                    <w:p>
                      <w:pPr>
                        <w:ind w:left="20"/>
                        <w:spacing w:before="69" w:line="183" w:lineRule="auto"/>
                        <w:rPr>
                          <w:rFonts w:ascii="SimSun" w:hAnsi="SimSun" w:eastAsia="SimSun" w:cs="SimSun"/>
                          <w:sz w:val="16"/>
                          <w:szCs w:val="16"/>
                        </w:rPr>
                      </w:pPr>
                      <w:r>
                        <w:rPr>
                          <w:rFonts w:ascii="SimSun" w:hAnsi="SimSun" w:eastAsia="SimSun" w:cs="SimSun"/>
                          <w:sz w:val="16"/>
                          <w:szCs w:val="16"/>
                          <w:spacing w:val="-2"/>
                        </w:rPr>
                        <w:t>244</w:t>
                      </w:r>
                    </w:p>
                  </w:txbxContent>
                </v:textbox>
              </v:shape>
            </w:pict>
          </mc:Fallback>
        </mc:AlternateContent>
      </w:r>
      <w:r/>
    </w:p>
    <w:tbl>
      <w:tblPr>
        <w:tblStyle w:val="TableNormal"/>
        <w:tblW w:w="9599" w:type="dxa"/>
        <w:tblInd w:w="3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中央主费部门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44"/>
              <w:spacing w:before="130" w:line="219" w:lineRule="auto"/>
              <w:rPr>
                <w:sz w:val="16"/>
                <w:szCs w:val="16"/>
              </w:rPr>
            </w:pPr>
            <w:r>
              <w:rPr>
                <w:sz w:val="16"/>
                <w:szCs w:val="16"/>
                <w:spacing w:val="-2"/>
              </w:rPr>
              <w:t>实腾机关</w:t>
            </w:r>
          </w:p>
        </w:tc>
        <w:tc>
          <w:tcPr>
            <w:tcW w:w="3711" w:type="dxa"/>
            <w:vAlign w:val="top"/>
          </w:tcPr>
          <w:p>
            <w:pPr>
              <w:pStyle w:val="TableText"/>
              <w:ind w:left="1279"/>
              <w:spacing w:before="128" w:line="219" w:lineRule="auto"/>
              <w:rPr>
                <w:sz w:val="16"/>
                <w:szCs w:val="16"/>
              </w:rPr>
            </w:pPr>
            <w:r>
              <w:rPr>
                <w:sz w:val="16"/>
                <w:szCs w:val="16"/>
                <w:b/>
                <w:bCs/>
                <w:spacing w:val="-3"/>
              </w:rPr>
              <w:t>设定和实施依据</w:t>
            </w:r>
          </w:p>
        </w:tc>
      </w:tr>
      <w:tr>
        <w:trPr>
          <w:trHeight w:val="479" w:hRule="atLeast"/>
        </w:trPr>
        <w:tc>
          <w:tcPr>
            <w:tcW w:w="574" w:type="dxa"/>
            <w:vAlign w:val="top"/>
          </w:tcPr>
          <w:p>
            <w:pPr>
              <w:pStyle w:val="TableText"/>
              <w:ind w:left="154"/>
              <w:spacing w:before="198" w:line="183" w:lineRule="auto"/>
              <w:rPr>
                <w:sz w:val="16"/>
                <w:szCs w:val="16"/>
              </w:rPr>
            </w:pPr>
            <w:r>
              <w:rPr>
                <w:sz w:val="16"/>
                <w:szCs w:val="16"/>
                <w:spacing w:val="-3"/>
              </w:rPr>
              <w:t>780</w:t>
            </w:r>
          </w:p>
        </w:tc>
        <w:tc>
          <w:tcPr>
            <w:tcW w:w="1299" w:type="dxa"/>
            <w:vAlign w:val="top"/>
          </w:tcPr>
          <w:p>
            <w:pPr>
              <w:pStyle w:val="TableText"/>
              <w:ind w:left="241"/>
              <w:spacing w:before="157" w:line="219" w:lineRule="auto"/>
              <w:rPr>
                <w:sz w:val="16"/>
                <w:szCs w:val="16"/>
              </w:rPr>
            </w:pPr>
            <w:r>
              <w:rPr>
                <w:sz w:val="16"/>
                <w:szCs w:val="16"/>
                <w:spacing w:val="1"/>
              </w:rPr>
              <w:t>国家林草高</w:t>
            </w:r>
          </w:p>
        </w:tc>
        <w:tc>
          <w:tcPr>
            <w:tcW w:w="1638" w:type="dxa"/>
            <w:vAlign w:val="top"/>
          </w:tcPr>
          <w:p>
            <w:pPr>
              <w:pStyle w:val="TableText"/>
              <w:ind w:left="62" w:right="100" w:firstLine="30"/>
              <w:spacing w:before="67" w:line="225" w:lineRule="auto"/>
              <w:rPr>
                <w:sz w:val="16"/>
                <w:szCs w:val="16"/>
              </w:rPr>
            </w:pPr>
            <w:r>
              <w:rPr>
                <w:sz w:val="16"/>
                <w:szCs w:val="16"/>
                <w:spacing w:val="-1"/>
              </w:rPr>
              <w:t>进人有然保护区从事</w:t>
            </w:r>
            <w:r>
              <w:rPr>
                <w:sz w:val="16"/>
                <w:szCs w:val="16"/>
                <w:spacing w:val="3"/>
              </w:rPr>
              <w:t xml:space="preserve"> </w:t>
            </w:r>
            <w:r>
              <w:rPr>
                <w:sz w:val="16"/>
                <w:szCs w:val="16"/>
                <w:spacing w:val="-1"/>
              </w:rPr>
              <w:t>有关活动律加</w:t>
            </w:r>
          </w:p>
        </w:tc>
        <w:tc>
          <w:tcPr>
            <w:tcW w:w="2377" w:type="dxa"/>
            <w:vAlign w:val="top"/>
          </w:tcPr>
          <w:p>
            <w:pPr>
              <w:pStyle w:val="TableText"/>
              <w:ind w:left="64" w:right="231"/>
              <w:spacing w:before="67" w:line="230" w:lineRule="auto"/>
              <w:rPr>
                <w:sz w:val="16"/>
                <w:szCs w:val="16"/>
              </w:rPr>
            </w:pPr>
            <w:r>
              <w:rPr>
                <w:sz w:val="16"/>
                <w:szCs w:val="16"/>
                <w:spacing w:val="-1"/>
              </w:rPr>
              <w:t>省级林享部门，自然保户区管</w:t>
            </w:r>
            <w:r>
              <w:rPr>
                <w:sz w:val="16"/>
                <w:szCs w:val="16"/>
                <w:spacing w:val="3"/>
              </w:rPr>
              <w:t xml:space="preserve"> </w:t>
            </w:r>
            <w:r>
              <w:rPr>
                <w:sz w:val="16"/>
                <w:szCs w:val="16"/>
                <w:spacing w:val="-2"/>
              </w:rPr>
              <w:t>机构</w:t>
            </w:r>
          </w:p>
        </w:tc>
        <w:tc>
          <w:tcPr>
            <w:tcW w:w="3711" w:type="dxa"/>
            <w:vAlign w:val="top"/>
          </w:tcPr>
          <w:p>
            <w:pPr>
              <w:pStyle w:val="TableText"/>
              <w:ind w:left="56"/>
              <w:spacing w:before="47" w:line="219" w:lineRule="auto"/>
              <w:rPr>
                <w:sz w:val="16"/>
                <w:szCs w:val="16"/>
              </w:rPr>
            </w:pPr>
            <w:r>
              <w:rPr>
                <w:sz w:val="16"/>
                <w:szCs w:val="16"/>
              </w:rPr>
              <w:t>(中作人定共和国自造保护区备制</w:t>
            </w:r>
          </w:p>
          <w:p>
            <w:pPr>
              <w:pStyle w:val="TableText"/>
              <w:ind w:left="56"/>
              <w:spacing w:before="19" w:line="219" w:lineRule="auto"/>
              <w:rPr>
                <w:sz w:val="16"/>
                <w:szCs w:val="16"/>
              </w:rPr>
            </w:pPr>
            <w:r>
              <w:rPr>
                <w:sz w:val="16"/>
                <w:szCs w:val="16"/>
                <w:spacing w:val="1"/>
              </w:rPr>
              <w:t>(在科和野生动物类程有然保护区管理办法)</w:t>
            </w:r>
          </w:p>
        </w:tc>
      </w:tr>
      <w:tr>
        <w:trPr>
          <w:trHeight w:val="489" w:hRule="atLeast"/>
        </w:trPr>
        <w:tc>
          <w:tcPr>
            <w:tcW w:w="574" w:type="dxa"/>
            <w:vAlign w:val="top"/>
          </w:tcPr>
          <w:p>
            <w:pPr>
              <w:pStyle w:val="TableText"/>
              <w:ind w:left="154"/>
              <w:spacing w:before="209" w:line="184" w:lineRule="auto"/>
              <w:rPr>
                <w:sz w:val="16"/>
                <w:szCs w:val="16"/>
              </w:rPr>
            </w:pPr>
            <w:r>
              <w:rPr>
                <w:sz w:val="16"/>
                <w:szCs w:val="16"/>
                <w:spacing w:val="-3"/>
              </w:rPr>
              <w:t>7W1</w:t>
            </w:r>
          </w:p>
        </w:tc>
        <w:tc>
          <w:tcPr>
            <w:tcW w:w="1299" w:type="dxa"/>
            <w:vAlign w:val="top"/>
          </w:tcPr>
          <w:p>
            <w:pPr>
              <w:pStyle w:val="TableText"/>
              <w:ind w:left="241"/>
              <w:spacing w:before="168" w:line="219" w:lineRule="auto"/>
              <w:rPr>
                <w:sz w:val="16"/>
                <w:szCs w:val="16"/>
              </w:rPr>
            </w:pPr>
            <w:r>
              <w:rPr>
                <w:sz w:val="16"/>
                <w:szCs w:val="16"/>
                <w:spacing w:val="3"/>
              </w:rPr>
              <w:t>国家林草品</w:t>
            </w:r>
          </w:p>
        </w:tc>
        <w:tc>
          <w:tcPr>
            <w:tcW w:w="1638" w:type="dxa"/>
            <w:vAlign w:val="top"/>
          </w:tcPr>
          <w:p>
            <w:pPr>
              <w:pStyle w:val="TableText"/>
              <w:ind w:left="22" w:right="102" w:firstLine="70"/>
              <w:spacing w:before="87" w:line="216" w:lineRule="auto"/>
              <w:rPr>
                <w:sz w:val="16"/>
                <w:szCs w:val="16"/>
              </w:rPr>
            </w:pPr>
            <w:r>
              <w:rPr>
                <w:sz w:val="16"/>
                <w:szCs w:val="16"/>
                <w:spacing w:val="-1"/>
              </w:rPr>
              <w:t>积确总生第生的物审</w:t>
            </w:r>
            <w:r>
              <w:rPr>
                <w:sz w:val="16"/>
                <w:szCs w:val="16"/>
                <w:spacing w:val="1"/>
              </w:rPr>
              <w:t xml:space="preserve"> </w:t>
            </w:r>
            <w:r>
              <w:rPr>
                <w:sz w:val="16"/>
                <w:szCs w:val="16"/>
              </w:rPr>
              <w:t>批</w:t>
            </w:r>
          </w:p>
        </w:tc>
        <w:tc>
          <w:tcPr>
            <w:tcW w:w="2377" w:type="dxa"/>
            <w:vAlign w:val="top"/>
          </w:tcPr>
          <w:p>
            <w:pPr>
              <w:pStyle w:val="TableText"/>
              <w:ind w:left="64" w:firstLine="9"/>
              <w:spacing w:before="58" w:line="236" w:lineRule="auto"/>
              <w:rPr>
                <w:sz w:val="16"/>
                <w:szCs w:val="16"/>
              </w:rPr>
            </w:pPr>
            <w:r>
              <w:rPr>
                <w:sz w:val="16"/>
                <w:szCs w:val="16"/>
                <w:spacing w:val="-8"/>
              </w:rPr>
              <w:t>国家林草数；省级、我压的市眺。</w:t>
            </w:r>
            <w:r>
              <w:rPr>
                <w:sz w:val="16"/>
                <w:szCs w:val="16"/>
                <w:spacing w:val="12"/>
              </w:rPr>
              <w:t xml:space="preserve"> </w:t>
            </w:r>
            <w:r>
              <w:rPr>
                <w:sz w:val="16"/>
                <w:szCs w:val="16"/>
                <w:spacing w:val="-1"/>
              </w:rPr>
              <w:t>规林章部门</w:t>
            </w:r>
          </w:p>
        </w:tc>
        <w:tc>
          <w:tcPr>
            <w:tcW w:w="3711" w:type="dxa"/>
            <w:vAlign w:val="top"/>
          </w:tcPr>
          <w:p>
            <w:pPr>
              <w:pStyle w:val="TableText"/>
              <w:ind w:left="56"/>
              <w:spacing w:before="78" w:line="207" w:lineRule="auto"/>
              <w:rPr>
                <w:sz w:val="16"/>
                <w:szCs w:val="16"/>
              </w:rPr>
            </w:pPr>
            <w:r>
              <w:rPr>
                <w:sz w:val="16"/>
                <w:szCs w:val="16"/>
                <w:spacing w:val="1"/>
              </w:rPr>
              <w:t>1中华人民共和国野生动合保护法1</w:t>
            </w:r>
          </w:p>
          <w:p>
            <w:pPr>
              <w:pStyle w:val="TableText"/>
              <w:ind w:left="56"/>
              <w:spacing w:line="218" w:lineRule="auto"/>
              <w:rPr>
                <w:sz w:val="16"/>
                <w:szCs w:val="16"/>
              </w:rPr>
            </w:pPr>
            <w:r>
              <w:rPr>
                <w:sz w:val="16"/>
                <w:szCs w:val="16"/>
                <w:spacing w:val="-1"/>
              </w:rPr>
              <w:t>中华人民共和国陆生野生动物保护军施素例》</w:t>
            </w:r>
          </w:p>
        </w:tc>
      </w:tr>
      <w:tr>
        <w:trPr>
          <w:trHeight w:val="679" w:hRule="atLeast"/>
        </w:trPr>
        <w:tc>
          <w:tcPr>
            <w:tcW w:w="574" w:type="dxa"/>
            <w:vAlign w:val="top"/>
          </w:tcPr>
          <w:p>
            <w:pPr>
              <w:spacing w:line="248" w:lineRule="auto"/>
              <w:rPr>
                <w:rFonts w:ascii="Arial"/>
                <w:sz w:val="21"/>
              </w:rPr>
            </w:pPr>
            <w:r/>
          </w:p>
          <w:p>
            <w:pPr>
              <w:pStyle w:val="TableText"/>
              <w:ind w:left="234"/>
              <w:spacing w:before="52" w:line="182" w:lineRule="auto"/>
              <w:rPr>
                <w:sz w:val="16"/>
                <w:szCs w:val="16"/>
              </w:rPr>
            </w:pPr>
            <w:r>
              <w:rPr>
                <w:sz w:val="16"/>
                <w:szCs w:val="16"/>
              </w:rPr>
              <w:t>7</w:t>
            </w:r>
          </w:p>
        </w:tc>
        <w:tc>
          <w:tcPr>
            <w:tcW w:w="1299" w:type="dxa"/>
            <w:vAlign w:val="top"/>
          </w:tcPr>
          <w:p>
            <w:pPr>
              <w:pStyle w:val="TableText"/>
              <w:ind w:left="241"/>
              <w:spacing w:before="259" w:line="219" w:lineRule="auto"/>
              <w:rPr>
                <w:sz w:val="16"/>
                <w:szCs w:val="16"/>
              </w:rPr>
            </w:pPr>
            <w:r>
              <w:rPr>
                <w:sz w:val="16"/>
                <w:szCs w:val="16"/>
                <w:spacing w:val="2"/>
              </w:rPr>
              <w:t>属家林草局</w:t>
            </w:r>
          </w:p>
        </w:tc>
        <w:tc>
          <w:tcPr>
            <w:tcW w:w="1638" w:type="dxa"/>
            <w:vAlign w:val="top"/>
          </w:tcPr>
          <w:p>
            <w:pPr>
              <w:pStyle w:val="TableText"/>
              <w:ind w:left="52" w:right="88" w:firstLine="40"/>
              <w:spacing w:before="78" w:line="227" w:lineRule="auto"/>
              <w:jc w:val="both"/>
              <w:rPr>
                <w:sz w:val="16"/>
                <w:szCs w:val="16"/>
              </w:rPr>
            </w:pPr>
            <w:r>
              <w:rPr>
                <w:sz w:val="16"/>
                <w:szCs w:val="16"/>
              </w:rPr>
              <w:t>国家重点保护制生野</w:t>
            </w:r>
            <w:r>
              <w:rPr>
                <w:sz w:val="16"/>
                <w:szCs w:val="16"/>
                <w:spacing w:val="6"/>
              </w:rPr>
              <w:t xml:space="preserve"> </w:t>
            </w:r>
            <w:r>
              <w:rPr>
                <w:sz w:val="16"/>
                <w:szCs w:val="16"/>
                <w:spacing w:val="3"/>
              </w:rPr>
              <w:t>生动物人了蒙有价可</w:t>
            </w:r>
            <w:r>
              <w:rPr>
                <w:sz w:val="16"/>
                <w:szCs w:val="16"/>
                <w:spacing w:val="4"/>
              </w:rPr>
              <w:t xml:space="preserve"> </w:t>
            </w:r>
            <w:r>
              <w:rPr>
                <w:sz w:val="16"/>
                <w:szCs w:val="16"/>
                <w:spacing w:val="-2"/>
              </w:rPr>
              <w:t>证残发</w:t>
            </w:r>
          </w:p>
        </w:tc>
        <w:tc>
          <w:tcPr>
            <w:tcW w:w="2377" w:type="dxa"/>
            <w:vAlign w:val="top"/>
          </w:tcPr>
          <w:p>
            <w:pPr>
              <w:pStyle w:val="TableText"/>
              <w:ind w:left="64"/>
              <w:spacing w:before="259" w:line="219" w:lineRule="auto"/>
              <w:rPr>
                <w:sz w:val="16"/>
                <w:szCs w:val="16"/>
              </w:rPr>
            </w:pPr>
            <w:r>
              <w:rPr>
                <w:sz w:val="16"/>
                <w:szCs w:val="16"/>
                <w:spacing w:val="1"/>
              </w:rPr>
              <w:t>国家林单局，省胆林草部门</w:t>
            </w:r>
          </w:p>
        </w:tc>
        <w:tc>
          <w:tcPr>
            <w:tcW w:w="3711" w:type="dxa"/>
            <w:vAlign w:val="top"/>
          </w:tcPr>
          <w:p>
            <w:pPr>
              <w:pStyle w:val="TableText"/>
              <w:spacing w:before="259" w:line="219" w:lineRule="auto"/>
              <w:rPr>
                <w:sz w:val="16"/>
                <w:szCs w:val="16"/>
              </w:rPr>
            </w:pPr>
            <w:r>
              <w:rPr>
                <w:sz w:val="16"/>
                <w:szCs w:val="16"/>
                <w:spacing w:val="-3"/>
              </w:rPr>
              <w:t>《中学人现共和国到生动物保护法</w:t>
            </w:r>
          </w:p>
        </w:tc>
      </w:tr>
      <w:tr>
        <w:trPr>
          <w:trHeight w:val="489" w:hRule="atLeast"/>
        </w:trPr>
        <w:tc>
          <w:tcPr>
            <w:tcW w:w="574" w:type="dxa"/>
            <w:vAlign w:val="top"/>
          </w:tcPr>
          <w:p>
            <w:pPr>
              <w:pStyle w:val="TableText"/>
              <w:ind w:left="154"/>
              <w:spacing w:before="211" w:line="183" w:lineRule="auto"/>
              <w:rPr>
                <w:sz w:val="16"/>
                <w:szCs w:val="16"/>
              </w:rPr>
            </w:pPr>
            <w:r>
              <w:rPr>
                <w:sz w:val="16"/>
                <w:szCs w:val="16"/>
                <w:spacing w:val="-3"/>
              </w:rPr>
              <w:t>7N3</w:t>
            </w:r>
          </w:p>
        </w:tc>
        <w:tc>
          <w:tcPr>
            <w:tcW w:w="1299" w:type="dxa"/>
            <w:vAlign w:val="top"/>
          </w:tcPr>
          <w:p>
            <w:pPr>
              <w:pStyle w:val="TableText"/>
              <w:ind w:left="241"/>
              <w:spacing w:before="169" w:line="219" w:lineRule="auto"/>
              <w:rPr>
                <w:sz w:val="16"/>
                <w:szCs w:val="16"/>
              </w:rPr>
            </w:pPr>
            <w:r>
              <w:rPr>
                <w:sz w:val="16"/>
                <w:szCs w:val="16"/>
                <w:spacing w:val="1"/>
              </w:rPr>
              <w:t>医家林章超</w:t>
            </w:r>
          </w:p>
        </w:tc>
        <w:tc>
          <w:tcPr>
            <w:tcW w:w="1638" w:type="dxa"/>
            <w:vAlign w:val="top"/>
          </w:tcPr>
          <w:p>
            <w:pPr>
              <w:pStyle w:val="TableText"/>
              <w:ind w:left="52" w:right="106" w:firstLine="40"/>
              <w:spacing w:before="90" w:line="220" w:lineRule="auto"/>
              <w:rPr>
                <w:sz w:val="16"/>
                <w:szCs w:val="16"/>
              </w:rPr>
            </w:pPr>
            <w:r>
              <w:rPr>
                <w:sz w:val="16"/>
                <w:szCs w:val="16"/>
                <w:spacing w:val="-2"/>
              </w:rPr>
              <w:t>界来陆生野生动物物</w:t>
            </w:r>
            <w:r>
              <w:rPr>
                <w:sz w:val="16"/>
                <w:szCs w:val="16"/>
                <w:spacing w:val="6"/>
              </w:rPr>
              <w:t xml:space="preserve"> </w:t>
            </w:r>
            <w:r>
              <w:rPr>
                <w:sz w:val="16"/>
                <w:szCs w:val="16"/>
                <w:spacing w:val="-1"/>
              </w:rPr>
              <w:t>种野外过生审批</w:t>
            </w:r>
          </w:p>
        </w:tc>
        <w:tc>
          <w:tcPr>
            <w:tcW w:w="2377" w:type="dxa"/>
            <w:vAlign w:val="top"/>
          </w:tcPr>
          <w:p>
            <w:pPr>
              <w:pStyle w:val="TableText"/>
              <w:ind w:left="64"/>
              <w:spacing w:before="170" w:line="219" w:lineRule="auto"/>
              <w:rPr>
                <w:sz w:val="16"/>
                <w:szCs w:val="16"/>
              </w:rPr>
            </w:pPr>
            <w:r>
              <w:rPr>
                <w:sz w:val="16"/>
                <w:szCs w:val="16"/>
                <w:spacing w:val="2"/>
              </w:rPr>
              <w:t>回家林草局</w:t>
            </w:r>
          </w:p>
        </w:tc>
        <w:tc>
          <w:tcPr>
            <w:tcW w:w="3711" w:type="dxa"/>
            <w:vAlign w:val="top"/>
          </w:tcPr>
          <w:p>
            <w:pPr>
              <w:pStyle w:val="TableText"/>
              <w:spacing w:before="80" w:line="219" w:lineRule="auto"/>
              <w:rPr>
                <w:sz w:val="16"/>
                <w:szCs w:val="16"/>
              </w:rPr>
            </w:pPr>
            <w:r>
              <w:rPr>
                <w:sz w:val="16"/>
                <w:szCs w:val="16"/>
                <w:spacing w:val="-2"/>
              </w:rPr>
              <w:t>《中华人民共和国剪坐动物保护法1</w:t>
            </w:r>
          </w:p>
          <w:p>
            <w:pPr>
              <w:pStyle w:val="TableText"/>
              <w:ind w:left="56"/>
              <w:spacing w:line="219" w:lineRule="auto"/>
              <w:rPr>
                <w:sz w:val="16"/>
                <w:szCs w:val="16"/>
              </w:rPr>
            </w:pPr>
            <w:r>
              <w:rPr>
                <w:sz w:val="16"/>
                <w:szCs w:val="16"/>
              </w:rPr>
              <w:t>1中华人能共和国配生要生法购保护写高希罚1</w:t>
            </w:r>
          </w:p>
        </w:tc>
      </w:tr>
      <w:tr>
        <w:trPr>
          <w:trHeight w:val="679" w:hRule="atLeast"/>
        </w:trPr>
        <w:tc>
          <w:tcPr>
            <w:tcW w:w="574" w:type="dxa"/>
            <w:vAlign w:val="top"/>
          </w:tcPr>
          <w:p>
            <w:pPr>
              <w:spacing w:line="249" w:lineRule="auto"/>
              <w:rPr>
                <w:rFonts w:ascii="Arial"/>
                <w:sz w:val="21"/>
              </w:rPr>
            </w:pPr>
            <w:r/>
          </w:p>
          <w:p>
            <w:pPr>
              <w:pStyle w:val="TableText"/>
              <w:ind w:left="154"/>
              <w:spacing w:before="52" w:line="183" w:lineRule="auto"/>
              <w:rPr>
                <w:sz w:val="16"/>
                <w:szCs w:val="16"/>
              </w:rPr>
            </w:pPr>
            <w:r>
              <w:rPr>
                <w:sz w:val="16"/>
                <w:szCs w:val="16"/>
                <w:spacing w:val="-3"/>
              </w:rPr>
              <w:t>764</w:t>
            </w:r>
          </w:p>
        </w:tc>
        <w:tc>
          <w:tcPr>
            <w:tcW w:w="1299" w:type="dxa"/>
            <w:vAlign w:val="top"/>
          </w:tcPr>
          <w:p>
            <w:pPr>
              <w:pStyle w:val="TableText"/>
              <w:ind w:left="241"/>
              <w:spacing w:before="261" w:line="219" w:lineRule="auto"/>
              <w:rPr>
                <w:sz w:val="16"/>
                <w:szCs w:val="16"/>
              </w:rPr>
            </w:pPr>
            <w:r>
              <w:rPr>
                <w:sz w:val="16"/>
                <w:szCs w:val="16"/>
                <w:spacing w:val="2"/>
              </w:rPr>
              <w:t>国家林草局</w:t>
            </w:r>
          </w:p>
        </w:tc>
        <w:tc>
          <w:tcPr>
            <w:tcW w:w="1638" w:type="dxa"/>
            <w:vAlign w:val="top"/>
          </w:tcPr>
          <w:p>
            <w:pPr>
              <w:pStyle w:val="TableText"/>
              <w:ind w:left="72" w:right="101" w:firstLine="20"/>
              <w:spacing w:before="171" w:line="231" w:lineRule="auto"/>
              <w:rPr>
                <w:sz w:val="16"/>
                <w:szCs w:val="16"/>
              </w:rPr>
            </w:pPr>
            <w:r>
              <w:rPr>
                <w:sz w:val="16"/>
                <w:szCs w:val="16"/>
                <w:spacing w:val="-1"/>
              </w:rPr>
              <w:t>佩型没山售，收验野</w:t>
            </w:r>
            <w:r>
              <w:rPr>
                <w:sz w:val="16"/>
                <w:szCs w:val="16"/>
                <w:spacing w:val="2"/>
              </w:rPr>
              <w:t xml:space="preserve"> </w:t>
            </w:r>
            <w:r>
              <w:rPr>
                <w:sz w:val="16"/>
                <w:szCs w:val="16"/>
                <w:spacing w:val="-2"/>
              </w:rPr>
              <w:t>生植物辈批</w:t>
            </w:r>
          </w:p>
        </w:tc>
        <w:tc>
          <w:tcPr>
            <w:tcW w:w="2377" w:type="dxa"/>
            <w:vAlign w:val="top"/>
          </w:tcPr>
          <w:p>
            <w:pPr>
              <w:pStyle w:val="TableText"/>
              <w:ind w:left="64"/>
              <w:spacing w:before="261" w:line="219" w:lineRule="auto"/>
              <w:rPr>
                <w:sz w:val="16"/>
                <w:szCs w:val="16"/>
              </w:rPr>
            </w:pPr>
            <w:r>
              <w:rPr>
                <w:sz w:val="16"/>
                <w:szCs w:val="16"/>
                <w:spacing w:val="1"/>
              </w:rPr>
              <w:t>国家林草局，省段华草都门</w:t>
            </w:r>
          </w:p>
        </w:tc>
        <w:tc>
          <w:tcPr>
            <w:tcW w:w="3711" w:type="dxa"/>
            <w:vAlign w:val="top"/>
          </w:tcPr>
          <w:p>
            <w:pPr>
              <w:pStyle w:val="TableText"/>
              <w:ind w:left="56"/>
              <w:spacing w:before="60" w:line="219" w:lineRule="auto"/>
              <w:rPr>
                <w:sz w:val="16"/>
                <w:szCs w:val="16"/>
              </w:rPr>
            </w:pPr>
            <w:r>
              <w:rPr>
                <w:sz w:val="16"/>
                <w:szCs w:val="16"/>
              </w:rPr>
              <w:t>中华人院共和国野生精防保护条有》</w:t>
            </w:r>
          </w:p>
          <w:p>
            <w:pPr>
              <w:pStyle w:val="TableText"/>
              <w:ind w:left="56" w:right="201" w:hanging="10"/>
              <w:spacing w:before="21" w:line="225" w:lineRule="auto"/>
              <w:rPr>
                <w:sz w:val="16"/>
                <w:szCs w:val="16"/>
              </w:rPr>
            </w:pPr>
            <w:r>
              <w:rPr>
                <w:sz w:val="16"/>
                <w:szCs w:val="16"/>
              </w:rPr>
              <w:t>1国务院关于禁止采象和组臂发类则上越池甘营和</w:t>
            </w:r>
            <w:r>
              <w:rPr>
                <w:sz w:val="16"/>
                <w:szCs w:val="16"/>
                <w:spacing w:val="12"/>
              </w:rPr>
              <w:t xml:space="preserve"> </w:t>
            </w:r>
            <w:r>
              <w:rPr>
                <w:sz w:val="16"/>
                <w:szCs w:val="16"/>
                <w:spacing w:val="1"/>
              </w:rPr>
              <w:t>职黄草有关问题的遵知且国发120003号)</w:t>
            </w:r>
          </w:p>
        </w:tc>
      </w:tr>
      <w:tr>
        <w:trPr>
          <w:trHeight w:val="679" w:hRule="atLeast"/>
        </w:trPr>
        <w:tc>
          <w:tcPr>
            <w:tcW w:w="574" w:type="dxa"/>
            <w:vAlign w:val="top"/>
          </w:tcPr>
          <w:p>
            <w:pPr>
              <w:spacing w:line="250" w:lineRule="auto"/>
              <w:rPr>
                <w:rFonts w:ascii="Arial"/>
                <w:sz w:val="21"/>
              </w:rPr>
            </w:pPr>
            <w:r/>
          </w:p>
          <w:p>
            <w:pPr>
              <w:pStyle w:val="TableText"/>
              <w:ind w:left="154"/>
              <w:spacing w:before="52" w:line="183" w:lineRule="auto"/>
              <w:rPr>
                <w:sz w:val="16"/>
                <w:szCs w:val="16"/>
              </w:rPr>
            </w:pPr>
            <w:r>
              <w:rPr>
                <w:sz w:val="16"/>
                <w:szCs w:val="16"/>
                <w:spacing w:val="-3"/>
              </w:rPr>
              <w:t>783</w:t>
            </w:r>
          </w:p>
        </w:tc>
        <w:tc>
          <w:tcPr>
            <w:tcW w:w="1299" w:type="dxa"/>
            <w:vAlign w:val="top"/>
          </w:tcPr>
          <w:p>
            <w:pPr>
              <w:pStyle w:val="TableText"/>
              <w:ind w:left="281"/>
              <w:spacing w:before="262" w:line="219" w:lineRule="auto"/>
              <w:rPr>
                <w:sz w:val="16"/>
                <w:szCs w:val="16"/>
              </w:rPr>
            </w:pPr>
            <w:r>
              <w:rPr>
                <w:sz w:val="16"/>
                <w:szCs w:val="16"/>
                <w:spacing w:val="-1"/>
              </w:rPr>
              <w:t>M家林草最</w:t>
            </w:r>
          </w:p>
        </w:tc>
        <w:tc>
          <w:tcPr>
            <w:tcW w:w="1638" w:type="dxa"/>
            <w:vAlign w:val="top"/>
          </w:tcPr>
          <w:p>
            <w:pPr>
              <w:pStyle w:val="TableText"/>
              <w:ind w:left="91" w:right="6" w:hanging="80"/>
              <w:spacing w:before="71" w:line="231" w:lineRule="auto"/>
              <w:rPr>
                <w:sz w:val="16"/>
                <w:szCs w:val="16"/>
              </w:rPr>
            </w:pPr>
            <w:r>
              <w:rPr>
                <w:sz w:val="16"/>
                <w:szCs w:val="16"/>
              </w:rPr>
              <w:t>出背，卿买，利用国家</w:t>
            </w:r>
            <w:r>
              <w:rPr>
                <w:sz w:val="16"/>
                <w:szCs w:val="16"/>
                <w:spacing w:val="8"/>
              </w:rPr>
              <w:t xml:space="preserve"> </w:t>
            </w:r>
            <w:r>
              <w:rPr>
                <w:sz w:val="16"/>
                <w:szCs w:val="16"/>
                <w:spacing w:val="-1"/>
              </w:rPr>
              <w:t>取点保护陆生督生动</w:t>
            </w:r>
          </w:p>
          <w:p>
            <w:pPr>
              <w:pStyle w:val="TableText"/>
              <w:ind w:left="42"/>
              <w:spacing w:line="219" w:lineRule="auto"/>
              <w:rPr>
                <w:sz w:val="16"/>
                <w:szCs w:val="16"/>
              </w:rPr>
            </w:pPr>
            <w:r>
              <w:rPr>
                <w:sz w:val="16"/>
                <w:szCs w:val="16"/>
                <w:spacing w:val="-1"/>
              </w:rPr>
              <w:t>物及其制温市然</w:t>
            </w:r>
          </w:p>
        </w:tc>
        <w:tc>
          <w:tcPr>
            <w:tcW w:w="2377" w:type="dxa"/>
            <w:vAlign w:val="top"/>
          </w:tcPr>
          <w:p>
            <w:pPr>
              <w:pStyle w:val="TableText"/>
              <w:ind w:left="64"/>
              <w:spacing w:before="261" w:line="219" w:lineRule="auto"/>
              <w:rPr>
                <w:sz w:val="16"/>
                <w:szCs w:val="16"/>
              </w:rPr>
            </w:pPr>
            <w:r>
              <w:rPr>
                <w:sz w:val="16"/>
                <w:szCs w:val="16"/>
                <w:spacing w:val="1"/>
              </w:rPr>
              <w:t>国家林希；省级林章需门</w:t>
            </w:r>
          </w:p>
        </w:tc>
        <w:tc>
          <w:tcPr>
            <w:tcW w:w="3711" w:type="dxa"/>
            <w:vAlign w:val="top"/>
          </w:tcPr>
          <w:p>
            <w:pPr>
              <w:pStyle w:val="TableText"/>
              <w:spacing w:before="262" w:line="219" w:lineRule="auto"/>
              <w:rPr>
                <w:sz w:val="16"/>
                <w:szCs w:val="16"/>
              </w:rPr>
            </w:pPr>
            <w:r>
              <w:rPr>
                <w:sz w:val="16"/>
                <w:szCs w:val="16"/>
                <w:spacing w:val="-2"/>
              </w:rPr>
              <w:t>《中作人民共和国野生动制保护甚1</w:t>
            </w:r>
          </w:p>
        </w:tc>
      </w:tr>
      <w:tr>
        <w:trPr>
          <w:trHeight w:val="1089" w:hRule="atLeast"/>
        </w:trPr>
        <w:tc>
          <w:tcPr>
            <w:tcW w:w="574" w:type="dxa"/>
            <w:vAlign w:val="top"/>
          </w:tcPr>
          <w:p>
            <w:pPr>
              <w:spacing w:line="460" w:lineRule="auto"/>
              <w:rPr>
                <w:rFonts w:ascii="Arial"/>
                <w:sz w:val="21"/>
              </w:rPr>
            </w:pPr>
            <w:r/>
          </w:p>
          <w:p>
            <w:pPr>
              <w:pStyle w:val="TableText"/>
              <w:ind w:left="154"/>
              <w:spacing w:before="52" w:line="183" w:lineRule="auto"/>
              <w:rPr>
                <w:sz w:val="16"/>
                <w:szCs w:val="16"/>
              </w:rPr>
            </w:pPr>
            <w:r>
              <w:rPr>
                <w:sz w:val="16"/>
                <w:szCs w:val="16"/>
                <w:spacing w:val="-3"/>
              </w:rPr>
              <w:t>786</w:t>
            </w:r>
          </w:p>
        </w:tc>
        <w:tc>
          <w:tcPr>
            <w:tcW w:w="1299" w:type="dxa"/>
            <w:vAlign w:val="top"/>
          </w:tcPr>
          <w:p>
            <w:pPr>
              <w:spacing w:line="419" w:lineRule="auto"/>
              <w:rPr>
                <w:rFonts w:ascii="Arial"/>
                <w:sz w:val="21"/>
              </w:rPr>
            </w:pPr>
            <w:r/>
          </w:p>
          <w:p>
            <w:pPr>
              <w:pStyle w:val="TableText"/>
              <w:ind w:left="241"/>
              <w:spacing w:before="52" w:line="219" w:lineRule="auto"/>
              <w:rPr>
                <w:sz w:val="16"/>
                <w:szCs w:val="16"/>
              </w:rPr>
            </w:pPr>
            <w:r>
              <w:rPr>
                <w:sz w:val="16"/>
                <w:szCs w:val="16"/>
                <w:spacing w:val="2"/>
              </w:rPr>
              <w:t>国家棒草局</w:t>
            </w:r>
          </w:p>
        </w:tc>
        <w:tc>
          <w:tcPr>
            <w:tcW w:w="1638" w:type="dxa"/>
            <w:vAlign w:val="top"/>
          </w:tcPr>
          <w:p>
            <w:pPr>
              <w:spacing w:line="319" w:lineRule="auto"/>
              <w:rPr>
                <w:rFonts w:ascii="Arial"/>
                <w:sz w:val="21"/>
              </w:rPr>
            </w:pPr>
            <w:r/>
          </w:p>
          <w:p>
            <w:pPr>
              <w:pStyle w:val="TableText"/>
              <w:ind w:left="22" w:right="102" w:firstLine="70"/>
              <w:spacing w:before="52" w:line="227" w:lineRule="auto"/>
              <w:rPr>
                <w:sz w:val="16"/>
                <w:szCs w:val="16"/>
              </w:rPr>
            </w:pPr>
            <w:r>
              <w:rPr>
                <w:sz w:val="16"/>
                <w:szCs w:val="16"/>
                <w:spacing w:val="-1"/>
              </w:rPr>
              <w:t>野生动植物进出口市</w:t>
            </w:r>
            <w:r>
              <w:rPr>
                <w:sz w:val="16"/>
                <w:szCs w:val="16"/>
                <w:spacing w:val="1"/>
              </w:rPr>
              <w:t xml:space="preserve"> </w:t>
            </w:r>
            <w:r>
              <w:rPr>
                <w:sz w:val="16"/>
                <w:szCs w:val="16"/>
              </w:rPr>
              <w:t>批</w:t>
            </w:r>
          </w:p>
        </w:tc>
        <w:tc>
          <w:tcPr>
            <w:tcW w:w="2377" w:type="dxa"/>
            <w:vAlign w:val="top"/>
          </w:tcPr>
          <w:p>
            <w:pPr>
              <w:spacing w:line="309" w:lineRule="auto"/>
              <w:rPr>
                <w:rFonts w:ascii="Arial"/>
                <w:sz w:val="21"/>
              </w:rPr>
            </w:pPr>
            <w:r/>
          </w:p>
          <w:p>
            <w:pPr>
              <w:pStyle w:val="TableText"/>
              <w:ind w:left="64" w:right="53" w:hanging="10"/>
              <w:spacing w:before="52" w:line="231" w:lineRule="auto"/>
              <w:rPr>
                <w:sz w:val="16"/>
                <w:szCs w:val="16"/>
              </w:rPr>
            </w:pPr>
            <w:r>
              <w:rPr>
                <w:sz w:val="16"/>
                <w:szCs w:val="16"/>
                <w:spacing w:val="1"/>
              </w:rPr>
              <w:t>国家林辛品，因家西也物种进出</w:t>
            </w:r>
            <w:r>
              <w:rPr>
                <w:sz w:val="16"/>
                <w:szCs w:val="16"/>
                <w:spacing w:val="4"/>
              </w:rPr>
              <w:t xml:space="preserve"> </w:t>
            </w:r>
            <w:r>
              <w:rPr>
                <w:sz w:val="16"/>
                <w:szCs w:val="16"/>
                <w:spacing w:val="1"/>
              </w:rPr>
              <w:t>日营望办公室</w:t>
            </w:r>
          </w:p>
        </w:tc>
        <w:tc>
          <w:tcPr>
            <w:tcW w:w="3711" w:type="dxa"/>
            <w:vAlign w:val="top"/>
          </w:tcPr>
          <w:p>
            <w:pPr>
              <w:pStyle w:val="TableText"/>
              <w:ind w:left="56"/>
              <w:spacing w:before="52" w:line="221" w:lineRule="exact"/>
              <w:rPr>
                <w:sz w:val="16"/>
                <w:szCs w:val="16"/>
              </w:rPr>
            </w:pPr>
            <w:r>
              <w:rPr>
                <w:sz w:val="16"/>
                <w:szCs w:val="16"/>
                <w:spacing w:val="5"/>
                <w:position w:val="4"/>
              </w:rPr>
              <w:t>t中华人风共和国野生动能保护供】</w:t>
            </w:r>
          </w:p>
          <w:p>
            <w:pPr>
              <w:pStyle w:val="TableText"/>
              <w:ind w:left="56"/>
              <w:spacing w:line="219" w:lineRule="auto"/>
              <w:rPr>
                <w:sz w:val="16"/>
                <w:szCs w:val="16"/>
              </w:rPr>
            </w:pPr>
            <w:r>
              <w:rPr>
                <w:sz w:val="16"/>
                <w:szCs w:val="16"/>
              </w:rPr>
              <w:t>中华人民共和国野生植物保护是常》</w:t>
            </w:r>
          </w:p>
          <w:p>
            <w:pPr>
              <w:pStyle w:val="TableText"/>
              <w:ind w:left="56" w:right="102" w:hanging="10"/>
              <w:spacing w:before="9" w:line="231" w:lineRule="auto"/>
              <w:rPr>
                <w:sz w:val="16"/>
                <w:szCs w:val="16"/>
              </w:rPr>
            </w:pPr>
            <w:r>
              <w:rPr>
                <w:sz w:val="16"/>
                <w:szCs w:val="16"/>
                <w:spacing w:val="1"/>
              </w:rPr>
              <w:t>1中华人民共和国海危野生动植物进出口管理务例!</w:t>
            </w:r>
            <w:r>
              <w:rPr>
                <w:sz w:val="16"/>
                <w:szCs w:val="16"/>
                <w:spacing w:val="7"/>
              </w:rPr>
              <w:t xml:space="preserve"> </w:t>
            </w:r>
            <w:r>
              <w:rPr>
                <w:sz w:val="16"/>
                <w:szCs w:val="16"/>
              </w:rPr>
              <w:t>1国务院对确需保留的行政审拉架目设定行政许可</w:t>
            </w:r>
            <w:r>
              <w:rPr>
                <w:sz w:val="16"/>
                <w:szCs w:val="16"/>
                <w:spacing w:val="2"/>
              </w:rPr>
              <w:t xml:space="preserve">  </w:t>
            </w:r>
            <w:r>
              <w:rPr>
                <w:sz w:val="16"/>
                <w:szCs w:val="16"/>
                <w:spacing w:val="3"/>
              </w:rPr>
              <w:t>的决定</w:t>
            </w:r>
          </w:p>
        </w:tc>
      </w:tr>
      <w:tr>
        <w:trPr>
          <w:trHeight w:val="879" w:hRule="atLeast"/>
        </w:trPr>
        <w:tc>
          <w:tcPr>
            <w:tcW w:w="574" w:type="dxa"/>
            <w:vAlign w:val="top"/>
          </w:tcPr>
          <w:p>
            <w:pPr>
              <w:spacing w:line="351" w:lineRule="auto"/>
              <w:rPr>
                <w:rFonts w:ascii="Arial"/>
                <w:sz w:val="21"/>
              </w:rPr>
            </w:pPr>
            <w:r/>
          </w:p>
          <w:p>
            <w:pPr>
              <w:pStyle w:val="TableText"/>
              <w:ind w:left="154"/>
              <w:spacing w:before="52" w:line="183" w:lineRule="auto"/>
              <w:rPr>
                <w:sz w:val="16"/>
                <w:szCs w:val="16"/>
              </w:rPr>
            </w:pPr>
            <w:r>
              <w:rPr>
                <w:sz w:val="16"/>
                <w:szCs w:val="16"/>
                <w:spacing w:val="-3"/>
              </w:rPr>
              <w:t>787</w:t>
            </w:r>
          </w:p>
        </w:tc>
        <w:tc>
          <w:tcPr>
            <w:tcW w:w="1299" w:type="dxa"/>
            <w:vAlign w:val="top"/>
          </w:tcPr>
          <w:p>
            <w:pPr>
              <w:spacing w:line="310" w:lineRule="auto"/>
              <w:rPr>
                <w:rFonts w:ascii="Arial"/>
                <w:sz w:val="21"/>
              </w:rPr>
            </w:pPr>
            <w:r/>
          </w:p>
          <w:p>
            <w:pPr>
              <w:pStyle w:val="TableText"/>
              <w:ind w:left="241"/>
              <w:spacing w:before="52" w:line="219" w:lineRule="auto"/>
              <w:rPr>
                <w:sz w:val="16"/>
                <w:szCs w:val="16"/>
              </w:rPr>
            </w:pPr>
            <w:r>
              <w:rPr>
                <w:sz w:val="16"/>
                <w:szCs w:val="16"/>
                <w:spacing w:val="2"/>
              </w:rPr>
              <w:t>国家琳草局</w:t>
            </w:r>
          </w:p>
        </w:tc>
        <w:tc>
          <w:tcPr>
            <w:tcW w:w="1638" w:type="dxa"/>
            <w:vAlign w:val="top"/>
          </w:tcPr>
          <w:p>
            <w:pPr>
              <w:pStyle w:val="TableText"/>
              <w:ind w:left="42" w:right="102" w:firstLine="50"/>
              <w:spacing w:before="74" w:line="228" w:lineRule="auto"/>
              <w:jc w:val="both"/>
              <w:rPr>
                <w:sz w:val="16"/>
                <w:szCs w:val="16"/>
              </w:rPr>
            </w:pPr>
            <w:r>
              <w:rPr>
                <w:sz w:val="16"/>
                <w:szCs w:val="16"/>
                <w:spacing w:val="-2"/>
              </w:rPr>
              <w:t>外国人对回家重点保</w:t>
            </w:r>
            <w:r>
              <w:rPr>
                <w:sz w:val="16"/>
                <w:szCs w:val="16"/>
                <w:spacing w:val="7"/>
              </w:rPr>
              <w:t xml:space="preserve"> </w:t>
            </w:r>
            <w:r>
              <w:rPr>
                <w:sz w:val="16"/>
                <w:szCs w:val="16"/>
                <w:spacing w:val="4"/>
              </w:rPr>
              <w:t>沪陆生野生动省步行</w:t>
            </w:r>
            <w:r>
              <w:rPr>
                <w:sz w:val="16"/>
                <w:szCs w:val="16"/>
                <w:spacing w:val="6"/>
              </w:rPr>
              <w:t xml:space="preserve"> </w:t>
            </w:r>
            <w:r>
              <w:rPr>
                <w:sz w:val="16"/>
                <w:szCs w:val="16"/>
                <w:spacing w:val="4"/>
              </w:rPr>
              <w:t>野外考坚级在野外扣</w:t>
            </w:r>
            <w:r>
              <w:rPr>
                <w:sz w:val="16"/>
                <w:szCs w:val="16"/>
                <w:spacing w:val="6"/>
              </w:rPr>
              <w:t xml:space="preserve"> </w:t>
            </w:r>
            <w:r>
              <w:rPr>
                <w:sz w:val="16"/>
                <w:szCs w:val="16"/>
                <w:spacing w:val="-1"/>
              </w:rPr>
              <w:t>杨电址，录像市想</w:t>
            </w:r>
          </w:p>
        </w:tc>
        <w:tc>
          <w:tcPr>
            <w:tcW w:w="2377" w:type="dxa"/>
            <w:vAlign w:val="top"/>
          </w:tcPr>
          <w:p>
            <w:pPr>
              <w:spacing w:line="310" w:lineRule="auto"/>
              <w:rPr>
                <w:rFonts w:ascii="Arial"/>
                <w:sz w:val="21"/>
              </w:rPr>
            </w:pPr>
            <w:r/>
          </w:p>
          <w:p>
            <w:pPr>
              <w:pStyle w:val="TableText"/>
              <w:ind w:left="64"/>
              <w:spacing w:before="52" w:line="219" w:lineRule="auto"/>
              <w:rPr>
                <w:sz w:val="16"/>
                <w:szCs w:val="16"/>
              </w:rPr>
            </w:pPr>
            <w:r>
              <w:rPr>
                <w:sz w:val="16"/>
                <w:szCs w:val="16"/>
                <w:spacing w:val="3"/>
              </w:rPr>
              <w:t>皆级林草而门</w:t>
            </w:r>
          </w:p>
        </w:tc>
        <w:tc>
          <w:tcPr>
            <w:tcW w:w="3711" w:type="dxa"/>
            <w:vAlign w:val="top"/>
          </w:tcPr>
          <w:p>
            <w:pPr>
              <w:spacing w:line="310" w:lineRule="auto"/>
              <w:rPr>
                <w:rFonts w:ascii="Arial"/>
                <w:sz w:val="21"/>
              </w:rPr>
            </w:pPr>
            <w:r/>
          </w:p>
          <w:p>
            <w:pPr>
              <w:pStyle w:val="TableText"/>
              <w:spacing w:before="52" w:line="219" w:lineRule="auto"/>
              <w:rPr>
                <w:sz w:val="16"/>
                <w:szCs w:val="16"/>
              </w:rPr>
            </w:pPr>
            <w:r>
              <w:rPr>
                <w:sz w:val="16"/>
                <w:szCs w:val="16"/>
                <w:spacing w:val="-3"/>
              </w:rPr>
              <w:t>《中华人民共和国野生动南保护法</w:t>
            </w:r>
          </w:p>
        </w:tc>
      </w:tr>
      <w:tr>
        <w:trPr>
          <w:trHeight w:val="704" w:hRule="atLeast"/>
        </w:trPr>
        <w:tc>
          <w:tcPr>
            <w:tcW w:w="574" w:type="dxa"/>
            <w:vAlign w:val="top"/>
          </w:tcPr>
          <w:p>
            <w:pPr>
              <w:spacing w:line="263" w:lineRule="auto"/>
              <w:rPr>
                <w:rFonts w:ascii="Arial"/>
                <w:sz w:val="21"/>
              </w:rPr>
            </w:pPr>
            <w:r/>
          </w:p>
          <w:p>
            <w:pPr>
              <w:pStyle w:val="TableText"/>
              <w:ind w:left="154"/>
              <w:spacing w:before="52" w:line="183" w:lineRule="auto"/>
              <w:rPr>
                <w:sz w:val="16"/>
                <w:szCs w:val="16"/>
              </w:rPr>
            </w:pPr>
            <w:r>
              <w:rPr>
                <w:sz w:val="16"/>
                <w:szCs w:val="16"/>
                <w:spacing w:val="-3"/>
              </w:rPr>
              <w:t>788</w:t>
            </w:r>
          </w:p>
        </w:tc>
        <w:tc>
          <w:tcPr>
            <w:tcW w:w="1299" w:type="dxa"/>
            <w:vAlign w:val="top"/>
          </w:tcPr>
          <w:p>
            <w:pPr>
              <w:pStyle w:val="TableText"/>
              <w:ind w:left="241"/>
              <w:spacing w:before="275" w:line="219" w:lineRule="auto"/>
              <w:rPr>
                <w:sz w:val="16"/>
                <w:szCs w:val="16"/>
              </w:rPr>
            </w:pPr>
            <w:r>
              <w:rPr>
                <w:sz w:val="16"/>
                <w:szCs w:val="16"/>
                <w:spacing w:val="2"/>
              </w:rPr>
              <w:t>国家林草病</w:t>
            </w:r>
          </w:p>
        </w:tc>
        <w:tc>
          <w:tcPr>
            <w:tcW w:w="1638" w:type="dxa"/>
            <w:vAlign w:val="top"/>
          </w:tcPr>
          <w:p>
            <w:pPr>
              <w:pStyle w:val="TableText"/>
              <w:ind w:left="131" w:right="102" w:hanging="39"/>
              <w:spacing w:before="104" w:line="214" w:lineRule="auto"/>
              <w:rPr>
                <w:sz w:val="16"/>
                <w:szCs w:val="16"/>
              </w:rPr>
            </w:pPr>
            <w:r>
              <w:rPr>
                <w:sz w:val="16"/>
                <w:szCs w:val="16"/>
                <w:spacing w:val="-1"/>
              </w:rPr>
              <w:t>森积草前防火刚内在</w:t>
            </w:r>
            <w:r>
              <w:rPr>
                <w:sz w:val="16"/>
                <w:szCs w:val="16"/>
                <w:spacing w:val="1"/>
              </w:rPr>
              <w:t xml:space="preserve"> </w:t>
            </w:r>
            <w:r>
              <w:rPr>
                <w:sz w:val="16"/>
                <w:szCs w:val="16"/>
                <w:spacing w:val="-1"/>
              </w:rPr>
              <w:t>D林带断防火区野外</w:t>
            </w:r>
          </w:p>
          <w:p>
            <w:pPr>
              <w:pStyle w:val="TableText"/>
              <w:ind w:left="32"/>
              <w:spacing w:before="20" w:line="219" w:lineRule="auto"/>
              <w:rPr>
                <w:sz w:val="16"/>
                <w:szCs w:val="16"/>
              </w:rPr>
            </w:pPr>
            <w:r>
              <w:rPr>
                <w:sz w:val="16"/>
                <w:szCs w:val="16"/>
                <w:spacing w:val="-2"/>
              </w:rPr>
              <w:t>用失部意</w:t>
            </w:r>
          </w:p>
        </w:tc>
        <w:tc>
          <w:tcPr>
            <w:tcW w:w="2377" w:type="dxa"/>
            <w:vAlign w:val="top"/>
          </w:tcPr>
          <w:p>
            <w:pPr>
              <w:pStyle w:val="TableText"/>
              <w:ind w:left="64"/>
              <w:spacing w:before="274" w:line="219" w:lineRule="auto"/>
              <w:rPr>
                <w:sz w:val="16"/>
                <w:szCs w:val="16"/>
              </w:rPr>
            </w:pPr>
            <w:r>
              <w:rPr>
                <w:sz w:val="16"/>
                <w:szCs w:val="16"/>
                <w:spacing w:val="-2"/>
              </w:rPr>
              <w:t>五级政府(由种章准门承办》</w:t>
            </w:r>
          </w:p>
        </w:tc>
        <w:tc>
          <w:tcPr>
            <w:tcW w:w="3711" w:type="dxa"/>
            <w:vAlign w:val="top"/>
          </w:tcPr>
          <w:p>
            <w:pPr>
              <w:pStyle w:val="TableText"/>
              <w:ind w:left="78"/>
              <w:spacing w:before="175" w:line="230" w:lineRule="exact"/>
              <w:rPr>
                <w:sz w:val="16"/>
                <w:szCs w:val="16"/>
              </w:rPr>
            </w:pPr>
            <w:r>
              <w:rPr>
                <w:sz w:val="16"/>
                <w:szCs w:val="16"/>
                <w:spacing w:val="-5"/>
                <w:position w:val="5"/>
              </w:rPr>
              <w:t>北森林防火条别》</w:t>
            </w:r>
          </w:p>
          <w:p>
            <w:pPr>
              <w:pStyle w:val="TableText"/>
              <w:spacing w:line="219" w:lineRule="auto"/>
              <w:rPr>
                <w:sz w:val="16"/>
                <w:szCs w:val="16"/>
              </w:rPr>
            </w:pPr>
            <w:r>
              <w:rPr>
                <w:sz w:val="16"/>
                <w:szCs w:val="16"/>
                <w:spacing w:val="-3"/>
              </w:rPr>
              <w:t>《家原防火条例)</w:t>
            </w:r>
          </w:p>
        </w:tc>
      </w:tr>
    </w:tbl>
    <w:p>
      <w:pPr>
        <w:pStyle w:val="BodyText"/>
        <w:rPr/>
      </w:pPr>
      <w:r/>
    </w:p>
    <w:p>
      <w:pPr>
        <w:sectPr>
          <w:pgSz w:w="11910" w:h="8220"/>
          <w:pgMar w:top="400" w:right="1165" w:bottom="400" w:left="822" w:header="0" w:footer="0" w:gutter="0"/>
        </w:sectPr>
        <w:rPr/>
      </w:pPr>
    </w:p>
    <w:p>
      <w:pPr>
        <w:spacing w:before="113"/>
        <w:rPr/>
      </w:pPr>
      <w:r>
        <mc:AlternateContent xmlns:mc="http://schemas.openxmlformats.org/markup-compatibility/2006">
          <mc:Choice Requires="wps">
            <w:drawing>
              <wp:anchor distT="0" distB="0" distL="0" distR="0" simplePos="0" relativeHeight="251906048"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328" name="TextBox 328"/>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0" style="position:absolute;margin-left:37.0402pt;margin-top:344.137pt;mso-position-vertical-relative:page;mso-position-horizontal-relative:page;width:13.6pt;height:12.35pt;z-index:25190604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4" w:hRule="atLeast"/>
        </w:trPr>
        <w:tc>
          <w:tcPr>
            <w:tcW w:w="574" w:type="dxa"/>
            <w:vAlign w:val="top"/>
          </w:tcPr>
          <w:p>
            <w:pPr>
              <w:pStyle w:val="TableText"/>
              <w:ind w:left="11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中央主管郎门</w:t>
            </w:r>
          </w:p>
        </w:tc>
        <w:tc>
          <w:tcPr>
            <w:tcW w:w="1638" w:type="dxa"/>
            <w:vAlign w:val="top"/>
          </w:tcPr>
          <w:p>
            <w:pPr>
              <w:pStyle w:val="TableText"/>
              <w:ind w:left="491"/>
              <w:spacing w:before="132" w:line="220" w:lineRule="auto"/>
              <w:rPr>
                <w:sz w:val="16"/>
                <w:szCs w:val="16"/>
              </w:rPr>
            </w:pPr>
            <w:r>
              <w:rPr>
                <w:sz w:val="16"/>
                <w:szCs w:val="16"/>
                <w:spacing w:val="-2"/>
              </w:rPr>
              <w:t>事填名称</w:t>
            </w:r>
          </w:p>
        </w:tc>
        <w:tc>
          <w:tcPr>
            <w:tcW w:w="2377" w:type="dxa"/>
            <w:vAlign w:val="top"/>
          </w:tcPr>
          <w:p>
            <w:pPr>
              <w:pStyle w:val="TableText"/>
              <w:ind w:left="824"/>
              <w:spacing w:before="130" w:line="219" w:lineRule="auto"/>
              <w:rPr>
                <w:sz w:val="16"/>
                <w:szCs w:val="16"/>
              </w:rPr>
            </w:pPr>
            <w:r>
              <w:rPr>
                <w:sz w:val="16"/>
                <w:szCs w:val="16"/>
                <w:spacing w:val="-2"/>
              </w:rPr>
              <w:t>实院机关</w:t>
            </w:r>
          </w:p>
        </w:tc>
        <w:tc>
          <w:tcPr>
            <w:tcW w:w="3711" w:type="dxa"/>
            <w:vAlign w:val="top"/>
          </w:tcPr>
          <w:p>
            <w:pPr>
              <w:pStyle w:val="TableText"/>
              <w:ind w:left="1289"/>
              <w:spacing w:before="128" w:line="219" w:lineRule="auto"/>
              <w:rPr>
                <w:sz w:val="16"/>
                <w:szCs w:val="16"/>
              </w:rPr>
            </w:pPr>
            <w:r>
              <w:rPr>
                <w:sz w:val="16"/>
                <w:szCs w:val="16"/>
                <w:b/>
                <w:bCs/>
                <w:spacing w:val="-3"/>
              </w:rPr>
              <w:t>设定和实施依捌</w:t>
            </w:r>
          </w:p>
        </w:tc>
      </w:tr>
      <w:tr>
        <w:trPr>
          <w:trHeight w:val="859" w:hRule="atLeast"/>
        </w:trPr>
        <w:tc>
          <w:tcPr>
            <w:tcW w:w="574" w:type="dxa"/>
            <w:vAlign w:val="top"/>
          </w:tcPr>
          <w:p>
            <w:pPr>
              <w:spacing w:line="334" w:lineRule="auto"/>
              <w:rPr>
                <w:rFonts w:ascii="Arial"/>
                <w:sz w:val="21"/>
              </w:rPr>
            </w:pPr>
            <w:r/>
          </w:p>
          <w:p>
            <w:pPr>
              <w:pStyle w:val="TableText"/>
              <w:ind w:left="154"/>
              <w:spacing w:before="52" w:line="183" w:lineRule="auto"/>
              <w:rPr>
                <w:sz w:val="16"/>
                <w:szCs w:val="16"/>
              </w:rPr>
            </w:pPr>
            <w:r>
              <w:rPr>
                <w:sz w:val="16"/>
                <w:szCs w:val="16"/>
                <w:spacing w:val="-3"/>
              </w:rPr>
              <w:t>789</w:t>
            </w:r>
          </w:p>
        </w:tc>
        <w:tc>
          <w:tcPr>
            <w:tcW w:w="1299" w:type="dxa"/>
            <w:vAlign w:val="top"/>
          </w:tcPr>
          <w:p>
            <w:pPr>
              <w:spacing w:line="292" w:lineRule="auto"/>
              <w:rPr>
                <w:rFonts w:ascii="Arial"/>
                <w:sz w:val="21"/>
              </w:rPr>
            </w:pPr>
            <w:r/>
          </w:p>
          <w:p>
            <w:pPr>
              <w:pStyle w:val="TableText"/>
              <w:ind w:left="241"/>
              <w:spacing w:before="52" w:line="219" w:lineRule="auto"/>
              <w:rPr>
                <w:sz w:val="16"/>
                <w:szCs w:val="16"/>
              </w:rPr>
            </w:pPr>
            <w:r>
              <w:rPr>
                <w:sz w:val="16"/>
                <w:szCs w:val="16"/>
                <w:spacing w:val="2"/>
              </w:rPr>
              <w:t>国家林章局</w:t>
            </w:r>
          </w:p>
        </w:tc>
        <w:tc>
          <w:tcPr>
            <w:tcW w:w="1638" w:type="dxa"/>
            <w:vAlign w:val="top"/>
          </w:tcPr>
          <w:p>
            <w:pPr>
              <w:pStyle w:val="TableText"/>
              <w:ind w:left="92" w:right="101"/>
              <w:spacing w:before="56" w:line="235" w:lineRule="auto"/>
              <w:rPr>
                <w:sz w:val="16"/>
                <w:szCs w:val="16"/>
              </w:rPr>
            </w:pPr>
            <w:r>
              <w:rPr>
                <w:sz w:val="16"/>
                <w:szCs w:val="16"/>
                <w:spacing w:val="-1"/>
              </w:rPr>
              <w:t>应材草瓶防火需内在</w:t>
            </w:r>
            <w:r>
              <w:rPr>
                <w:sz w:val="16"/>
                <w:szCs w:val="16"/>
                <w:spacing w:val="1"/>
              </w:rPr>
              <w:t xml:space="preserve"> </w:t>
            </w:r>
            <w:r>
              <w:rPr>
                <w:sz w:val="16"/>
                <w:szCs w:val="16"/>
                <w:spacing w:val="9"/>
              </w:rPr>
              <w:t>森林草原防火区炮</w:t>
            </w:r>
            <w:r>
              <w:rPr>
                <w:sz w:val="16"/>
                <w:szCs w:val="16"/>
              </w:rPr>
              <w:t xml:space="preserve">  </w:t>
            </w:r>
            <w:r>
              <w:rPr>
                <w:sz w:val="16"/>
                <w:szCs w:val="16"/>
                <w:spacing w:val="-1"/>
              </w:rPr>
              <w:t>破，期浆和德工等活</w:t>
            </w:r>
          </w:p>
          <w:p>
            <w:pPr>
              <w:pStyle w:val="TableText"/>
              <w:ind w:left="32"/>
              <w:spacing w:line="209" w:lineRule="auto"/>
              <w:rPr>
                <w:sz w:val="16"/>
                <w:szCs w:val="16"/>
              </w:rPr>
            </w:pPr>
            <w:r>
              <w:rPr>
                <w:sz w:val="16"/>
                <w:szCs w:val="16"/>
                <w:spacing w:val="-2"/>
              </w:rPr>
              <w:t>动审批</w:t>
            </w:r>
          </w:p>
        </w:tc>
        <w:tc>
          <w:tcPr>
            <w:tcW w:w="2377" w:type="dxa"/>
            <w:vAlign w:val="top"/>
          </w:tcPr>
          <w:p>
            <w:pPr>
              <w:pStyle w:val="TableText"/>
              <w:ind w:left="54" w:right="71" w:firstLine="10"/>
              <w:spacing w:before="266" w:line="223" w:lineRule="auto"/>
              <w:rPr>
                <w:sz w:val="16"/>
                <w:szCs w:val="16"/>
              </w:rPr>
            </w:pPr>
            <w:r>
              <w:rPr>
                <w:sz w:val="16"/>
                <w:szCs w:val="16"/>
                <w:spacing w:val="-1"/>
              </w:rPr>
              <w:t>省假，设区的市设，器世林草密</w:t>
            </w:r>
            <w:r>
              <w:rPr>
                <w:sz w:val="16"/>
                <w:szCs w:val="16"/>
                <w:spacing w:val="4"/>
              </w:rPr>
              <w:t xml:space="preserve"> </w:t>
            </w:r>
            <w:r>
              <w:rPr>
                <w:sz w:val="16"/>
                <w:szCs w:val="16"/>
              </w:rPr>
              <w:t>九</w:t>
            </w:r>
          </w:p>
        </w:tc>
        <w:tc>
          <w:tcPr>
            <w:tcW w:w="3711" w:type="dxa"/>
            <w:vAlign w:val="top"/>
          </w:tcPr>
          <w:p>
            <w:pPr>
              <w:pStyle w:val="TableText"/>
              <w:ind w:left="78"/>
              <w:spacing w:before="247" w:line="220" w:lineRule="exact"/>
              <w:rPr>
                <w:sz w:val="16"/>
                <w:szCs w:val="16"/>
              </w:rPr>
            </w:pPr>
            <w:r>
              <w:rPr>
                <w:sz w:val="16"/>
                <w:szCs w:val="16"/>
                <w:spacing w:val="-2"/>
                <w:position w:val="4"/>
              </w:rPr>
              <w:t>(群林防火条例3</w:t>
            </w:r>
          </w:p>
          <w:p>
            <w:pPr>
              <w:pStyle w:val="TableText"/>
              <w:spacing w:line="219" w:lineRule="auto"/>
              <w:rPr>
                <w:sz w:val="16"/>
                <w:szCs w:val="16"/>
              </w:rPr>
            </w:pPr>
            <w:r>
              <w:rPr>
                <w:sz w:val="16"/>
                <w:szCs w:val="16"/>
                <w:spacing w:val="-4"/>
              </w:rPr>
              <w:t>《双型防大条试》</w:t>
            </w:r>
          </w:p>
        </w:tc>
      </w:tr>
      <w:tr>
        <w:trPr>
          <w:trHeight w:val="649" w:hRule="atLeast"/>
        </w:trPr>
        <w:tc>
          <w:tcPr>
            <w:tcW w:w="574" w:type="dxa"/>
            <w:vAlign w:val="top"/>
          </w:tcPr>
          <w:p>
            <w:pPr>
              <w:pStyle w:val="TableText"/>
              <w:ind w:left="154"/>
              <w:spacing w:before="289" w:line="183" w:lineRule="auto"/>
              <w:rPr>
                <w:sz w:val="16"/>
                <w:szCs w:val="16"/>
              </w:rPr>
            </w:pPr>
            <w:r>
              <w:rPr>
                <w:sz w:val="16"/>
                <w:szCs w:val="16"/>
                <w:spacing w:val="-3"/>
              </w:rPr>
              <w:t>790</w:t>
            </w:r>
          </w:p>
        </w:tc>
        <w:tc>
          <w:tcPr>
            <w:tcW w:w="1299" w:type="dxa"/>
            <w:vAlign w:val="top"/>
          </w:tcPr>
          <w:p>
            <w:pPr>
              <w:pStyle w:val="TableText"/>
              <w:ind w:left="241"/>
              <w:spacing w:before="248" w:line="219" w:lineRule="auto"/>
              <w:rPr>
                <w:sz w:val="16"/>
                <w:szCs w:val="16"/>
              </w:rPr>
            </w:pPr>
            <w:r>
              <w:rPr>
                <w:sz w:val="16"/>
                <w:szCs w:val="16"/>
                <w:spacing w:val="2"/>
              </w:rPr>
              <w:t>国家林草局</w:t>
            </w:r>
          </w:p>
        </w:tc>
        <w:tc>
          <w:tcPr>
            <w:tcW w:w="1638" w:type="dxa"/>
            <w:vAlign w:val="top"/>
          </w:tcPr>
          <w:p>
            <w:pPr>
              <w:pStyle w:val="TableText"/>
              <w:ind w:left="92" w:right="103" w:firstLine="79"/>
              <w:spacing w:before="168" w:line="219" w:lineRule="auto"/>
              <w:rPr>
                <w:sz w:val="16"/>
                <w:szCs w:val="16"/>
              </w:rPr>
            </w:pPr>
            <w:r>
              <w:rPr>
                <w:sz w:val="16"/>
                <w:szCs w:val="16"/>
                <w:spacing w:val="-1"/>
              </w:rPr>
              <w:t>进人南林高北险区</w:t>
            </w:r>
            <w:r>
              <w:rPr>
                <w:sz w:val="16"/>
                <w:szCs w:val="16"/>
                <w:spacing w:val="1"/>
              </w:rPr>
              <w:t xml:space="preserve">  </w:t>
            </w:r>
            <w:r>
              <w:rPr>
                <w:sz w:val="16"/>
                <w:szCs w:val="16"/>
                <w:spacing w:val="-1"/>
              </w:rPr>
              <w:t>尊原防火管瓢区审地</w:t>
            </w:r>
          </w:p>
        </w:tc>
        <w:tc>
          <w:tcPr>
            <w:tcW w:w="2377" w:type="dxa"/>
            <w:vAlign w:val="top"/>
          </w:tcPr>
          <w:p>
            <w:pPr>
              <w:pStyle w:val="TableText"/>
              <w:ind w:left="54" w:firstLine="19"/>
              <w:spacing w:before="48" w:line="227" w:lineRule="auto"/>
              <w:jc w:val="both"/>
              <w:rPr>
                <w:sz w:val="16"/>
                <w:szCs w:val="16"/>
              </w:rPr>
            </w:pPr>
            <w:r>
              <w:rPr>
                <w:sz w:val="16"/>
                <w:szCs w:val="16"/>
                <w:spacing w:val="-2"/>
              </w:rPr>
              <w:t>省级、没区的布经，身级政府(由</w:t>
            </w:r>
            <w:r>
              <w:rPr>
                <w:sz w:val="16"/>
                <w:szCs w:val="16"/>
                <w:spacing w:val="2"/>
              </w:rPr>
              <w:t xml:space="preserve"> </w:t>
            </w:r>
            <w:r>
              <w:rPr>
                <w:sz w:val="16"/>
                <w:szCs w:val="16"/>
                <w:spacing w:val="-1"/>
              </w:rPr>
              <w:t>林草部门象办与省级，设区的市</w:t>
            </w:r>
            <w:r>
              <w:rPr>
                <w:sz w:val="16"/>
                <w:szCs w:val="16"/>
                <w:spacing w:val="4"/>
              </w:rPr>
              <w:t xml:space="preserve">  </w:t>
            </w:r>
            <w:r>
              <w:rPr>
                <w:sz w:val="16"/>
                <w:szCs w:val="16"/>
                <w:spacing w:val="1"/>
              </w:rPr>
              <w:t>级.县级材章部门</w:t>
            </w:r>
          </w:p>
        </w:tc>
        <w:tc>
          <w:tcPr>
            <w:tcW w:w="3711" w:type="dxa"/>
            <w:vAlign w:val="top"/>
          </w:tcPr>
          <w:p>
            <w:pPr>
              <w:pStyle w:val="TableText"/>
              <w:ind w:left="56"/>
              <w:spacing w:before="148" w:line="219" w:lineRule="auto"/>
              <w:rPr>
                <w:sz w:val="16"/>
                <w:szCs w:val="16"/>
              </w:rPr>
            </w:pPr>
            <w:r>
              <w:rPr>
                <w:sz w:val="16"/>
                <w:szCs w:val="16"/>
                <w:spacing w:val="1"/>
              </w:rPr>
              <w:t>(题林防火条例2</w:t>
            </w:r>
          </w:p>
          <w:p>
            <w:pPr>
              <w:pStyle w:val="TableText"/>
              <w:ind w:left="56"/>
              <w:spacing w:line="219" w:lineRule="auto"/>
              <w:rPr>
                <w:sz w:val="16"/>
                <w:szCs w:val="16"/>
              </w:rPr>
            </w:pPr>
            <w:r>
              <w:rPr>
                <w:sz w:val="16"/>
                <w:szCs w:val="16"/>
                <w:spacing w:val="-1"/>
              </w:rPr>
              <w:t>(草原防头条前》</w:t>
            </w:r>
          </w:p>
        </w:tc>
      </w:tr>
      <w:tr>
        <w:trPr>
          <w:trHeight w:val="649" w:hRule="atLeast"/>
        </w:trPr>
        <w:tc>
          <w:tcPr>
            <w:tcW w:w="574" w:type="dxa"/>
            <w:vAlign w:val="top"/>
          </w:tcPr>
          <w:p>
            <w:pPr>
              <w:pStyle w:val="TableText"/>
              <w:ind w:left="154"/>
              <w:spacing w:before="290" w:line="183" w:lineRule="auto"/>
              <w:rPr>
                <w:sz w:val="16"/>
                <w:szCs w:val="16"/>
              </w:rPr>
            </w:pPr>
            <w:r>
              <w:rPr>
                <w:sz w:val="16"/>
                <w:szCs w:val="16"/>
                <w:spacing w:val="-3"/>
              </w:rPr>
              <w:t>79</w:t>
            </w:r>
          </w:p>
        </w:tc>
        <w:tc>
          <w:tcPr>
            <w:tcW w:w="1299" w:type="dxa"/>
            <w:vAlign w:val="top"/>
          </w:tcPr>
          <w:p>
            <w:pPr>
              <w:pStyle w:val="TableText"/>
              <w:ind w:left="241"/>
              <w:spacing w:before="249" w:line="219" w:lineRule="auto"/>
              <w:rPr>
                <w:sz w:val="16"/>
                <w:szCs w:val="16"/>
              </w:rPr>
            </w:pPr>
            <w:r>
              <w:rPr>
                <w:sz w:val="16"/>
                <w:szCs w:val="16"/>
                <w:spacing w:val="2"/>
              </w:rPr>
              <w:t>国家林草局</w:t>
            </w:r>
          </w:p>
        </w:tc>
        <w:tc>
          <w:tcPr>
            <w:tcW w:w="1638" w:type="dxa"/>
            <w:vAlign w:val="top"/>
          </w:tcPr>
          <w:p>
            <w:pPr>
              <w:pStyle w:val="TableText"/>
              <w:ind w:left="42" w:right="102" w:firstLine="50"/>
              <w:spacing w:before="69" w:line="219" w:lineRule="auto"/>
              <w:jc w:val="both"/>
              <w:rPr>
                <w:sz w:val="16"/>
                <w:szCs w:val="16"/>
              </w:rPr>
            </w:pPr>
            <w:r>
              <w:rPr>
                <w:sz w:val="16"/>
                <w:szCs w:val="16"/>
                <w:spacing w:val="-1"/>
              </w:rPr>
              <w:t>工商企成静社金资本</w:t>
            </w:r>
            <w:r>
              <w:rPr>
                <w:sz w:val="16"/>
                <w:szCs w:val="16"/>
              </w:rPr>
              <w:t xml:space="preserve"> </w:t>
            </w:r>
            <w:r>
              <w:rPr>
                <w:sz w:val="16"/>
                <w:szCs w:val="16"/>
                <w:spacing w:val="4"/>
              </w:rPr>
              <w:t>语过能转取排林典经</w:t>
            </w:r>
            <w:r>
              <w:rPr>
                <w:sz w:val="16"/>
                <w:szCs w:val="16"/>
                <w:spacing w:val="6"/>
              </w:rPr>
              <w:t xml:space="preserve"> </w:t>
            </w:r>
            <w:r>
              <w:rPr>
                <w:sz w:val="16"/>
                <w:szCs w:val="16"/>
                <w:spacing w:val="-2"/>
              </w:rPr>
              <w:t>普权审批</w:t>
            </w:r>
          </w:p>
        </w:tc>
        <w:tc>
          <w:tcPr>
            <w:tcW w:w="2377" w:type="dxa"/>
            <w:vAlign w:val="top"/>
          </w:tcPr>
          <w:p>
            <w:pPr>
              <w:pStyle w:val="TableText"/>
              <w:ind w:left="54" w:right="130" w:firstLine="29"/>
              <w:spacing w:before="149" w:line="231" w:lineRule="auto"/>
              <w:rPr>
                <w:sz w:val="16"/>
                <w:szCs w:val="16"/>
              </w:rPr>
            </w:pPr>
            <w:r>
              <w:rPr>
                <w:sz w:val="16"/>
                <w:szCs w:val="16"/>
                <w:spacing w:val="-1"/>
              </w:rPr>
              <w:t>直版、没区的市级，我级查府J</w:t>
            </w:r>
            <w:r>
              <w:rPr>
                <w:sz w:val="16"/>
                <w:szCs w:val="16"/>
                <w:spacing w:val="5"/>
              </w:rPr>
              <w:t xml:space="preserve"> </w:t>
            </w:r>
            <w:r>
              <w:rPr>
                <w:sz w:val="16"/>
                <w:szCs w:val="16"/>
                <w:spacing w:val="5"/>
              </w:rPr>
              <w:t>林草部门乘办)</w:t>
            </w:r>
          </w:p>
        </w:tc>
        <w:tc>
          <w:tcPr>
            <w:tcW w:w="3711" w:type="dxa"/>
            <w:vAlign w:val="top"/>
          </w:tcPr>
          <w:p>
            <w:pPr>
              <w:pStyle w:val="TableText"/>
              <w:spacing w:before="248" w:line="219" w:lineRule="auto"/>
              <w:rPr>
                <w:sz w:val="16"/>
                <w:szCs w:val="16"/>
              </w:rPr>
            </w:pPr>
            <w:r>
              <w:rPr>
                <w:sz w:val="16"/>
                <w:szCs w:val="16"/>
                <w:spacing w:val="-2"/>
              </w:rPr>
              <w:t>《中华人民共和国收村土地承包法1</w:t>
            </w:r>
          </w:p>
        </w:tc>
      </w:tr>
      <w:tr>
        <w:trPr>
          <w:trHeight w:val="639" w:hRule="atLeast"/>
        </w:trPr>
        <w:tc>
          <w:tcPr>
            <w:tcW w:w="574" w:type="dxa"/>
            <w:vAlign w:val="top"/>
          </w:tcPr>
          <w:p>
            <w:pPr>
              <w:pStyle w:val="TableText"/>
              <w:ind w:left="154"/>
              <w:spacing w:before="281" w:line="183" w:lineRule="auto"/>
              <w:rPr>
                <w:sz w:val="16"/>
                <w:szCs w:val="16"/>
              </w:rPr>
            </w:pPr>
            <w:r>
              <w:rPr>
                <w:sz w:val="16"/>
                <w:szCs w:val="16"/>
                <w:spacing w:val="-3"/>
              </w:rPr>
              <w:t>792</w:t>
            </w:r>
          </w:p>
        </w:tc>
        <w:tc>
          <w:tcPr>
            <w:tcW w:w="1299" w:type="dxa"/>
            <w:vAlign w:val="top"/>
          </w:tcPr>
          <w:p>
            <w:pPr>
              <w:pStyle w:val="TableText"/>
              <w:ind w:left="241"/>
              <w:spacing w:before="240" w:line="219" w:lineRule="auto"/>
              <w:rPr>
                <w:sz w:val="16"/>
                <w:szCs w:val="16"/>
              </w:rPr>
            </w:pPr>
            <w:r>
              <w:rPr>
                <w:sz w:val="16"/>
                <w:szCs w:val="16"/>
                <w:spacing w:val="2"/>
              </w:rPr>
              <w:t>通家铁路局</w:t>
            </w:r>
          </w:p>
        </w:tc>
        <w:tc>
          <w:tcPr>
            <w:tcW w:w="1638" w:type="dxa"/>
            <w:vAlign w:val="top"/>
          </w:tcPr>
          <w:p>
            <w:pPr>
              <w:pStyle w:val="TableText"/>
              <w:ind w:left="32" w:right="56" w:firstLine="99"/>
              <w:spacing w:before="69" w:line="215" w:lineRule="auto"/>
              <w:jc w:val="both"/>
              <w:rPr>
                <w:sz w:val="16"/>
                <w:szCs w:val="16"/>
              </w:rPr>
            </w:pPr>
            <w:r>
              <w:rPr>
                <w:sz w:val="16"/>
                <w:szCs w:val="16"/>
              </w:rPr>
              <w:t>铁路机军车到没件。 </w:t>
            </w:r>
            <w:r>
              <w:rPr>
                <w:sz w:val="16"/>
                <w:szCs w:val="16"/>
                <w:spacing w:val="5"/>
              </w:rPr>
              <w:t>制责，雄参或进口许</w:t>
            </w:r>
            <w:r>
              <w:rPr>
                <w:sz w:val="16"/>
                <w:szCs w:val="16"/>
                <w:spacing w:val="7"/>
              </w:rPr>
              <w:t xml:space="preserve"> </w:t>
            </w:r>
            <w:r>
              <w:rPr>
                <w:sz w:val="16"/>
                <w:szCs w:val="16"/>
              </w:rPr>
              <w:t>可</w:t>
            </w:r>
          </w:p>
        </w:tc>
        <w:tc>
          <w:tcPr>
            <w:tcW w:w="2377" w:type="dxa"/>
            <w:vAlign w:val="top"/>
          </w:tcPr>
          <w:p>
            <w:pPr>
              <w:pStyle w:val="TableText"/>
              <w:ind w:left="54"/>
              <w:spacing w:before="240" w:line="219" w:lineRule="auto"/>
              <w:rPr>
                <w:sz w:val="16"/>
                <w:szCs w:val="16"/>
              </w:rPr>
            </w:pPr>
            <w:r>
              <w:rPr>
                <w:sz w:val="16"/>
                <w:szCs w:val="16"/>
                <w:spacing w:val="2"/>
              </w:rPr>
              <w:t>国家铁路局</w:t>
            </w:r>
          </w:p>
        </w:tc>
        <w:tc>
          <w:tcPr>
            <w:tcW w:w="3711" w:type="dxa"/>
            <w:vAlign w:val="top"/>
          </w:tcPr>
          <w:p>
            <w:pPr>
              <w:pStyle w:val="TableText"/>
              <w:spacing w:before="222" w:line="219" w:lineRule="auto"/>
              <w:rPr>
                <w:sz w:val="20"/>
                <w:szCs w:val="20"/>
              </w:rPr>
            </w:pPr>
            <w:r>
              <w:rPr>
                <w:sz w:val="20"/>
                <w:szCs w:val="20"/>
                <w:spacing w:val="-6"/>
              </w:rPr>
              <w:t>《快路安至管理条例》</w:t>
            </w:r>
          </w:p>
        </w:tc>
      </w:tr>
      <w:tr>
        <w:trPr>
          <w:trHeight w:val="449" w:hRule="atLeast"/>
        </w:trPr>
        <w:tc>
          <w:tcPr>
            <w:tcW w:w="574" w:type="dxa"/>
            <w:vAlign w:val="top"/>
          </w:tcPr>
          <w:p>
            <w:pPr>
              <w:pStyle w:val="TableText"/>
              <w:ind w:left="154"/>
              <w:spacing w:before="193" w:line="182" w:lineRule="auto"/>
              <w:rPr>
                <w:sz w:val="16"/>
                <w:szCs w:val="16"/>
              </w:rPr>
            </w:pPr>
            <w:r>
              <w:rPr>
                <w:sz w:val="16"/>
                <w:szCs w:val="16"/>
              </w:rPr>
              <w:t>7</w:t>
            </w:r>
          </w:p>
        </w:tc>
        <w:tc>
          <w:tcPr>
            <w:tcW w:w="1299" w:type="dxa"/>
            <w:vAlign w:val="top"/>
          </w:tcPr>
          <w:p>
            <w:pPr>
              <w:pStyle w:val="TableText"/>
              <w:ind w:left="241"/>
              <w:spacing w:before="152" w:line="220" w:lineRule="auto"/>
              <w:rPr>
                <w:sz w:val="16"/>
                <w:szCs w:val="16"/>
              </w:rPr>
            </w:pPr>
            <w:r>
              <w:rPr>
                <w:sz w:val="16"/>
                <w:szCs w:val="16"/>
                <w:spacing w:val="2"/>
              </w:rPr>
              <w:t>国家铁磨局</w:t>
            </w:r>
          </w:p>
        </w:tc>
        <w:tc>
          <w:tcPr>
            <w:tcW w:w="1638" w:type="dxa"/>
            <w:vAlign w:val="top"/>
          </w:tcPr>
          <w:p>
            <w:pPr>
              <w:pStyle w:val="TableText"/>
              <w:ind w:left="52" w:right="88" w:firstLine="40"/>
              <w:spacing w:before="50" w:line="224" w:lineRule="auto"/>
              <w:rPr>
                <w:sz w:val="16"/>
                <w:szCs w:val="16"/>
              </w:rPr>
            </w:pPr>
            <w:r>
              <w:rPr>
                <w:sz w:val="16"/>
                <w:szCs w:val="16"/>
              </w:rPr>
              <w:t>战路运检基动设备生</w:t>
            </w:r>
            <w:r>
              <w:rPr>
                <w:sz w:val="16"/>
                <w:szCs w:val="16"/>
                <w:spacing w:val="6"/>
              </w:rPr>
              <w:t xml:space="preserve"> </w:t>
            </w:r>
            <w:r>
              <w:rPr>
                <w:sz w:val="16"/>
                <w:szCs w:val="16"/>
                <w:spacing w:val="-1"/>
              </w:rPr>
              <w:t>产企量律批</w:t>
            </w:r>
          </w:p>
        </w:tc>
        <w:tc>
          <w:tcPr>
            <w:tcW w:w="2377" w:type="dxa"/>
            <w:vAlign w:val="top"/>
          </w:tcPr>
          <w:p>
            <w:pPr>
              <w:pStyle w:val="TableText"/>
              <w:ind w:left="54"/>
              <w:spacing w:before="152" w:line="220" w:lineRule="auto"/>
              <w:rPr>
                <w:sz w:val="16"/>
                <w:szCs w:val="16"/>
              </w:rPr>
            </w:pPr>
            <w:r>
              <w:rPr>
                <w:sz w:val="16"/>
                <w:szCs w:val="16"/>
                <w:spacing w:val="2"/>
              </w:rPr>
              <w:t>国家铁屠局</w:t>
            </w:r>
          </w:p>
        </w:tc>
        <w:tc>
          <w:tcPr>
            <w:tcW w:w="3711" w:type="dxa"/>
            <w:vAlign w:val="top"/>
          </w:tcPr>
          <w:p>
            <w:pPr>
              <w:pStyle w:val="TableText"/>
              <w:spacing w:before="151" w:line="219" w:lineRule="auto"/>
              <w:rPr>
                <w:sz w:val="16"/>
                <w:szCs w:val="16"/>
              </w:rPr>
            </w:pPr>
            <w:r>
              <w:rPr>
                <w:sz w:val="16"/>
                <w:szCs w:val="16"/>
                <w:spacing w:val="-3"/>
              </w:rPr>
              <w:t>《铁略安全管理条间)</w:t>
            </w:r>
          </w:p>
        </w:tc>
      </w:tr>
      <w:tr>
        <w:trPr>
          <w:trHeight w:val="440" w:hRule="atLeast"/>
        </w:trPr>
        <w:tc>
          <w:tcPr>
            <w:tcW w:w="574" w:type="dxa"/>
            <w:vAlign w:val="top"/>
          </w:tcPr>
          <w:p>
            <w:pPr>
              <w:pStyle w:val="TableText"/>
              <w:ind w:left="154"/>
              <w:spacing w:before="183" w:line="183" w:lineRule="auto"/>
              <w:rPr>
                <w:sz w:val="16"/>
                <w:szCs w:val="16"/>
              </w:rPr>
            </w:pPr>
            <w:r>
              <w:rPr>
                <w:sz w:val="16"/>
                <w:szCs w:val="16"/>
                <w:spacing w:val="-3"/>
              </w:rPr>
              <w:t>794</w:t>
            </w:r>
          </w:p>
        </w:tc>
        <w:tc>
          <w:tcPr>
            <w:tcW w:w="1299" w:type="dxa"/>
            <w:vAlign w:val="top"/>
          </w:tcPr>
          <w:p>
            <w:pPr>
              <w:pStyle w:val="TableText"/>
              <w:ind w:left="241"/>
              <w:spacing w:before="143" w:line="220" w:lineRule="auto"/>
              <w:rPr>
                <w:sz w:val="16"/>
                <w:szCs w:val="16"/>
              </w:rPr>
            </w:pPr>
            <w:r>
              <w:rPr>
                <w:sz w:val="16"/>
                <w:szCs w:val="16"/>
                <w:spacing w:val="2"/>
              </w:rPr>
              <w:t>国家铁别局</w:t>
            </w:r>
          </w:p>
        </w:tc>
        <w:tc>
          <w:tcPr>
            <w:tcW w:w="1638" w:type="dxa"/>
            <w:vAlign w:val="top"/>
          </w:tcPr>
          <w:p>
            <w:pPr>
              <w:pStyle w:val="TableText"/>
              <w:ind w:left="52" w:right="103" w:firstLine="40"/>
              <w:spacing w:before="72" w:line="206" w:lineRule="auto"/>
              <w:rPr>
                <w:sz w:val="16"/>
                <w:szCs w:val="16"/>
              </w:rPr>
            </w:pPr>
            <w:r>
              <w:rPr>
                <w:sz w:val="16"/>
                <w:szCs w:val="16"/>
                <w:spacing w:val="-1"/>
              </w:rPr>
              <w:t>恢路梢车车宥写能人</w:t>
            </w:r>
            <w:r>
              <w:rPr>
                <w:sz w:val="16"/>
                <w:szCs w:val="16"/>
              </w:rPr>
              <w:t xml:space="preserve"> </w:t>
            </w:r>
            <w:r>
              <w:rPr>
                <w:sz w:val="16"/>
                <w:szCs w:val="16"/>
                <w:spacing w:val="2"/>
              </w:rPr>
              <w:t>型资格认定</w:t>
            </w:r>
          </w:p>
        </w:tc>
        <w:tc>
          <w:tcPr>
            <w:tcW w:w="2377" w:type="dxa"/>
            <w:vAlign w:val="top"/>
          </w:tcPr>
          <w:p>
            <w:pPr>
              <w:pStyle w:val="TableText"/>
              <w:ind w:left="54"/>
              <w:spacing w:before="142" w:line="219" w:lineRule="auto"/>
              <w:rPr>
                <w:sz w:val="16"/>
                <w:szCs w:val="16"/>
              </w:rPr>
            </w:pPr>
            <w:r>
              <w:rPr>
                <w:sz w:val="16"/>
                <w:szCs w:val="16"/>
                <w:spacing w:val="2"/>
              </w:rPr>
              <w:t>国家铁路局</w:t>
            </w:r>
          </w:p>
        </w:tc>
        <w:tc>
          <w:tcPr>
            <w:tcW w:w="3711" w:type="dxa"/>
            <w:vAlign w:val="top"/>
          </w:tcPr>
          <w:p>
            <w:pPr>
              <w:pStyle w:val="TableText"/>
              <w:ind w:left="56"/>
              <w:spacing w:before="62" w:line="196" w:lineRule="auto"/>
              <w:rPr>
                <w:sz w:val="16"/>
                <w:szCs w:val="16"/>
              </w:rPr>
            </w:pPr>
            <w:r>
              <w:rPr>
                <w:sz w:val="16"/>
                <w:szCs w:val="16"/>
                <w:spacing w:val="-1"/>
              </w:rPr>
              <w:t>(快路安全替课条例》</w:t>
            </w:r>
          </w:p>
          <w:p>
            <w:pPr>
              <w:pStyle w:val="TableText"/>
              <w:ind w:left="56"/>
              <w:spacing w:line="219" w:lineRule="auto"/>
              <w:rPr>
                <w:sz w:val="16"/>
                <w:szCs w:val="16"/>
              </w:rPr>
            </w:pPr>
            <w:r>
              <w:rPr>
                <w:sz w:val="16"/>
                <w:szCs w:val="16"/>
              </w:rPr>
              <w:t>1网家职业贸临日录(2021年版)》</w:t>
            </w:r>
          </w:p>
        </w:tc>
      </w:tr>
      <w:tr>
        <w:trPr>
          <w:trHeight w:val="659" w:hRule="atLeast"/>
        </w:trPr>
        <w:tc>
          <w:tcPr>
            <w:tcW w:w="574" w:type="dxa"/>
            <w:vAlign w:val="top"/>
          </w:tcPr>
          <w:p>
            <w:pPr>
              <w:rPr>
                <w:rFonts w:ascii="Arial"/>
                <w:sz w:val="21"/>
              </w:rPr>
            </w:pPr>
            <w:r/>
          </w:p>
          <w:p>
            <w:pPr>
              <w:pStyle w:val="TableText"/>
              <w:ind w:left="154"/>
              <w:spacing w:before="52" w:line="183" w:lineRule="auto"/>
              <w:rPr>
                <w:sz w:val="16"/>
                <w:szCs w:val="16"/>
              </w:rPr>
            </w:pPr>
            <w:r>
              <w:rPr>
                <w:sz w:val="16"/>
                <w:szCs w:val="16"/>
                <w:spacing w:val="-3"/>
              </w:rPr>
              <w:t>795</w:t>
            </w:r>
          </w:p>
        </w:tc>
        <w:tc>
          <w:tcPr>
            <w:tcW w:w="1299" w:type="dxa"/>
            <w:vAlign w:val="top"/>
          </w:tcPr>
          <w:p>
            <w:pPr>
              <w:pStyle w:val="TableText"/>
              <w:ind w:left="241"/>
              <w:spacing w:before="253" w:line="220" w:lineRule="auto"/>
              <w:rPr>
                <w:sz w:val="16"/>
                <w:szCs w:val="16"/>
              </w:rPr>
            </w:pPr>
            <w:r>
              <w:rPr>
                <w:sz w:val="16"/>
                <w:szCs w:val="16"/>
                <w:spacing w:val="2"/>
              </w:rPr>
              <w:t>国家铁院局</w:t>
            </w:r>
          </w:p>
        </w:tc>
        <w:tc>
          <w:tcPr>
            <w:tcW w:w="1638" w:type="dxa"/>
            <w:vAlign w:val="top"/>
          </w:tcPr>
          <w:p>
            <w:pPr>
              <w:pStyle w:val="TableText"/>
              <w:ind w:left="42" w:right="87" w:firstLine="50"/>
              <w:spacing w:before="71" w:line="220" w:lineRule="auto"/>
              <w:jc w:val="both"/>
              <w:rPr>
                <w:sz w:val="16"/>
                <w:szCs w:val="16"/>
              </w:rPr>
            </w:pPr>
            <w:r>
              <w:rPr>
                <w:sz w:val="16"/>
                <w:szCs w:val="16"/>
                <w:spacing w:val="-1"/>
              </w:rPr>
              <w:t>铁路机车无能屯台或</w:t>
            </w:r>
            <w:r>
              <w:rPr>
                <w:sz w:val="16"/>
                <w:szCs w:val="16"/>
                <w:spacing w:val="2"/>
              </w:rPr>
              <w:t xml:space="preserve"> </w:t>
            </w:r>
            <w:r>
              <w:rPr>
                <w:sz w:val="16"/>
                <w:szCs w:val="16"/>
                <w:spacing w:val="6"/>
              </w:rPr>
              <w:t>留非批及电台姬牵使</w:t>
            </w:r>
            <w:r>
              <w:rPr>
                <w:sz w:val="16"/>
                <w:szCs w:val="16"/>
                <w:spacing w:val="3"/>
              </w:rPr>
              <w:t xml:space="preserve"> </w:t>
            </w:r>
            <w:r>
              <w:rPr>
                <w:sz w:val="16"/>
                <w:szCs w:val="16"/>
                <w:spacing w:val="-2"/>
              </w:rPr>
              <w:t>用许可</w:t>
            </w:r>
          </w:p>
        </w:tc>
        <w:tc>
          <w:tcPr>
            <w:tcW w:w="2377" w:type="dxa"/>
            <w:vAlign w:val="top"/>
          </w:tcPr>
          <w:p>
            <w:pPr>
              <w:pStyle w:val="TableText"/>
              <w:ind w:left="54"/>
              <w:spacing w:before="252" w:line="219" w:lineRule="auto"/>
              <w:rPr>
                <w:sz w:val="16"/>
                <w:szCs w:val="16"/>
              </w:rPr>
            </w:pPr>
            <w:r>
              <w:rPr>
                <w:sz w:val="16"/>
                <w:szCs w:val="16"/>
                <w:spacing w:val="2"/>
              </w:rPr>
              <w:t>国家铁路局</w:t>
            </w:r>
          </w:p>
        </w:tc>
        <w:tc>
          <w:tcPr>
            <w:tcW w:w="3711" w:type="dxa"/>
            <w:vAlign w:val="top"/>
          </w:tcPr>
          <w:p>
            <w:pPr>
              <w:pStyle w:val="TableText"/>
              <w:ind w:left="56"/>
              <w:spacing w:before="132" w:line="230" w:lineRule="exact"/>
              <w:rPr>
                <w:sz w:val="16"/>
                <w:szCs w:val="16"/>
              </w:rPr>
            </w:pPr>
            <w:r>
              <w:rPr>
                <w:sz w:val="16"/>
                <w:szCs w:val="16"/>
                <w:spacing w:val="-1"/>
                <w:position w:val="5"/>
              </w:rPr>
              <w:t>T中作人民共和国无线电营理年例》</w:t>
            </w:r>
          </w:p>
          <w:p>
            <w:pPr>
              <w:pStyle w:val="TableText"/>
              <w:ind w:left="56"/>
              <w:spacing w:line="219" w:lineRule="auto"/>
              <w:rPr>
                <w:sz w:val="16"/>
                <w:szCs w:val="16"/>
              </w:rPr>
            </w:pPr>
            <w:r>
              <w:rPr>
                <w:sz w:val="16"/>
                <w:szCs w:val="16"/>
                <w:spacing w:val="3"/>
              </w:rPr>
              <w:t>(铁路无说电营理办法)</w:t>
            </w:r>
          </w:p>
        </w:tc>
      </w:tr>
      <w:tr>
        <w:trPr>
          <w:trHeight w:val="439" w:hRule="atLeast"/>
        </w:trPr>
        <w:tc>
          <w:tcPr>
            <w:tcW w:w="574" w:type="dxa"/>
            <w:vAlign w:val="top"/>
          </w:tcPr>
          <w:p>
            <w:pPr>
              <w:pStyle w:val="TableText"/>
              <w:ind w:left="154"/>
              <w:spacing w:before="184" w:line="183" w:lineRule="auto"/>
              <w:rPr>
                <w:sz w:val="16"/>
                <w:szCs w:val="16"/>
              </w:rPr>
            </w:pPr>
            <w:r>
              <w:rPr>
                <w:sz w:val="16"/>
                <w:szCs w:val="16"/>
                <w:spacing w:val="-3"/>
              </w:rPr>
              <w:t>796</w:t>
            </w:r>
          </w:p>
        </w:tc>
        <w:tc>
          <w:tcPr>
            <w:tcW w:w="1299" w:type="dxa"/>
            <w:vAlign w:val="top"/>
          </w:tcPr>
          <w:p>
            <w:pPr>
              <w:pStyle w:val="TableText"/>
              <w:ind w:left="241"/>
              <w:spacing w:before="143" w:line="219" w:lineRule="auto"/>
              <w:rPr>
                <w:sz w:val="16"/>
                <w:szCs w:val="16"/>
              </w:rPr>
            </w:pPr>
            <w:r>
              <w:rPr>
                <w:sz w:val="16"/>
                <w:szCs w:val="16"/>
                <w:spacing w:val="2"/>
              </w:rPr>
              <w:t>区家状岛局</w:t>
            </w:r>
          </w:p>
        </w:tc>
        <w:tc>
          <w:tcPr>
            <w:tcW w:w="1638" w:type="dxa"/>
            <w:vAlign w:val="top"/>
          </w:tcPr>
          <w:p>
            <w:pPr>
              <w:pStyle w:val="TableText"/>
              <w:ind w:left="42" w:right="101" w:firstLine="50"/>
              <w:spacing w:before="63" w:line="211" w:lineRule="auto"/>
              <w:rPr>
                <w:sz w:val="16"/>
                <w:szCs w:val="16"/>
              </w:rPr>
            </w:pPr>
            <w:r>
              <w:rPr>
                <w:sz w:val="16"/>
                <w:szCs w:val="16"/>
                <w:spacing w:val="-1"/>
              </w:rPr>
              <w:t>铁路运龄企业经黄苷</w:t>
            </w:r>
            <w:r>
              <w:rPr>
                <w:sz w:val="16"/>
                <w:szCs w:val="16"/>
                <w:spacing w:val="2"/>
              </w:rPr>
              <w:t xml:space="preserve"> </w:t>
            </w:r>
            <w:r>
              <w:rPr>
                <w:sz w:val="16"/>
                <w:szCs w:val="16"/>
              </w:rPr>
              <w:t>句</w:t>
            </w:r>
          </w:p>
        </w:tc>
        <w:tc>
          <w:tcPr>
            <w:tcW w:w="2377" w:type="dxa"/>
            <w:vAlign w:val="top"/>
          </w:tcPr>
          <w:p>
            <w:pPr>
              <w:pStyle w:val="TableText"/>
              <w:ind w:left="54"/>
              <w:spacing w:before="143" w:line="219" w:lineRule="auto"/>
              <w:rPr>
                <w:sz w:val="16"/>
                <w:szCs w:val="16"/>
              </w:rPr>
            </w:pPr>
            <w:r>
              <w:rPr>
                <w:sz w:val="16"/>
                <w:szCs w:val="16"/>
                <w:spacing w:val="1"/>
              </w:rPr>
              <w:t>回家铁防贴</w:t>
            </w:r>
          </w:p>
        </w:tc>
        <w:tc>
          <w:tcPr>
            <w:tcW w:w="3711" w:type="dxa"/>
            <w:vAlign w:val="top"/>
          </w:tcPr>
          <w:p>
            <w:pPr>
              <w:pStyle w:val="TableText"/>
              <w:ind w:left="56" w:right="287" w:hanging="10"/>
              <w:spacing w:before="61" w:line="212" w:lineRule="auto"/>
              <w:rPr>
                <w:sz w:val="16"/>
                <w:szCs w:val="16"/>
              </w:rPr>
            </w:pPr>
            <w:r>
              <w:rPr>
                <w:sz w:val="16"/>
                <w:szCs w:val="16"/>
              </w:rPr>
              <w:t>1%多院村确需保图的行改常批身目设定石收价可</w:t>
            </w:r>
            <w:r>
              <w:rPr>
                <w:sz w:val="16"/>
                <w:szCs w:val="16"/>
                <w:spacing w:val="5"/>
              </w:rPr>
              <w:t xml:space="preserve"> </w:t>
            </w:r>
            <w:r>
              <w:rPr>
                <w:sz w:val="16"/>
                <w:szCs w:val="16"/>
                <w:spacing w:val="4"/>
              </w:rPr>
              <w:t>的决定1</w:t>
            </w:r>
          </w:p>
        </w:tc>
      </w:tr>
      <w:tr>
        <w:trPr>
          <w:trHeight w:val="449" w:hRule="atLeast"/>
        </w:trPr>
        <w:tc>
          <w:tcPr>
            <w:tcW w:w="574" w:type="dxa"/>
            <w:vAlign w:val="top"/>
          </w:tcPr>
          <w:p>
            <w:pPr>
              <w:pStyle w:val="TableText"/>
              <w:ind w:left="154"/>
              <w:spacing w:before="195" w:line="183" w:lineRule="auto"/>
              <w:rPr>
                <w:sz w:val="16"/>
                <w:szCs w:val="16"/>
              </w:rPr>
            </w:pPr>
            <w:r>
              <w:rPr>
                <w:sz w:val="16"/>
                <w:szCs w:val="16"/>
                <w:spacing w:val="-3"/>
              </w:rPr>
              <w:t>797</w:t>
            </w:r>
          </w:p>
        </w:tc>
        <w:tc>
          <w:tcPr>
            <w:tcW w:w="1299" w:type="dxa"/>
            <w:vAlign w:val="top"/>
          </w:tcPr>
          <w:p>
            <w:pPr>
              <w:pStyle w:val="TableText"/>
              <w:ind w:left="241"/>
              <w:spacing w:before="155" w:line="220" w:lineRule="auto"/>
              <w:rPr>
                <w:sz w:val="16"/>
                <w:szCs w:val="16"/>
              </w:rPr>
            </w:pPr>
            <w:r>
              <w:rPr>
                <w:sz w:val="16"/>
                <w:szCs w:val="16"/>
                <w:spacing w:val="2"/>
              </w:rPr>
              <w:t>中国民就局</w:t>
            </w:r>
          </w:p>
        </w:tc>
        <w:tc>
          <w:tcPr>
            <w:tcW w:w="1638" w:type="dxa"/>
            <w:vAlign w:val="top"/>
          </w:tcPr>
          <w:p>
            <w:pPr>
              <w:pStyle w:val="TableText"/>
              <w:ind w:left="42" w:right="88" w:firstLine="50"/>
              <w:spacing w:before="75" w:line="208" w:lineRule="auto"/>
              <w:rPr>
                <w:sz w:val="16"/>
                <w:szCs w:val="16"/>
              </w:rPr>
            </w:pPr>
            <w:r>
              <w:rPr>
                <w:sz w:val="16"/>
                <w:szCs w:val="16"/>
              </w:rPr>
              <w:t>民用前空产品取号设</w:t>
            </w:r>
            <w:r>
              <w:rPr>
                <w:sz w:val="16"/>
                <w:szCs w:val="16"/>
                <w:spacing w:val="6"/>
              </w:rPr>
              <w:t xml:space="preserve"> </w:t>
            </w:r>
            <w:r>
              <w:rPr>
                <w:sz w:val="16"/>
                <w:szCs w:val="16"/>
                <w:spacing w:val="-2"/>
              </w:rPr>
              <w:t>计审批</w:t>
            </w:r>
          </w:p>
        </w:tc>
        <w:tc>
          <w:tcPr>
            <w:tcW w:w="2377" w:type="dxa"/>
            <w:vAlign w:val="top"/>
          </w:tcPr>
          <w:p>
            <w:pPr>
              <w:pStyle w:val="TableText"/>
              <w:ind w:left="54"/>
              <w:spacing w:before="155" w:line="220" w:lineRule="auto"/>
              <w:rPr>
                <w:sz w:val="16"/>
                <w:szCs w:val="16"/>
              </w:rPr>
            </w:pPr>
            <w:r>
              <w:rPr>
                <w:sz w:val="16"/>
                <w:szCs w:val="16"/>
                <w:spacing w:val="2"/>
              </w:rPr>
              <w:t>中国国院局</w:t>
            </w:r>
          </w:p>
        </w:tc>
        <w:tc>
          <w:tcPr>
            <w:tcW w:w="3711" w:type="dxa"/>
            <w:vAlign w:val="top"/>
          </w:tcPr>
          <w:p>
            <w:pPr>
              <w:pStyle w:val="TableText"/>
              <w:ind w:left="56"/>
              <w:spacing w:before="154" w:line="219" w:lineRule="auto"/>
              <w:rPr>
                <w:sz w:val="16"/>
                <w:szCs w:val="16"/>
              </w:rPr>
            </w:pPr>
            <w:r>
              <w:rPr>
                <w:sz w:val="16"/>
                <w:szCs w:val="16"/>
                <w:spacing w:val="1"/>
              </w:rPr>
              <w:t>(中华人民共和健民地能空法1</w:t>
            </w:r>
          </w:p>
        </w:tc>
      </w:tr>
      <w:tr>
        <w:trPr>
          <w:trHeight w:val="439" w:hRule="atLeast"/>
        </w:trPr>
        <w:tc>
          <w:tcPr>
            <w:tcW w:w="574" w:type="dxa"/>
            <w:vAlign w:val="top"/>
          </w:tcPr>
          <w:p>
            <w:pPr>
              <w:pStyle w:val="TableText"/>
              <w:ind w:left="154"/>
              <w:spacing w:before="186" w:line="183" w:lineRule="auto"/>
              <w:rPr>
                <w:sz w:val="16"/>
                <w:szCs w:val="16"/>
              </w:rPr>
            </w:pPr>
            <w:r>
              <w:rPr>
                <w:sz w:val="16"/>
                <w:szCs w:val="16"/>
                <w:spacing w:val="-3"/>
              </w:rPr>
              <w:t>798</w:t>
            </w:r>
          </w:p>
        </w:tc>
        <w:tc>
          <w:tcPr>
            <w:tcW w:w="1299" w:type="dxa"/>
            <w:vAlign w:val="top"/>
          </w:tcPr>
          <w:p>
            <w:pPr>
              <w:pStyle w:val="TableText"/>
              <w:ind w:left="241"/>
              <w:spacing w:before="144" w:line="219" w:lineRule="auto"/>
              <w:rPr>
                <w:sz w:val="16"/>
                <w:szCs w:val="16"/>
              </w:rPr>
            </w:pPr>
            <w:r>
              <w:rPr>
                <w:sz w:val="16"/>
                <w:szCs w:val="16"/>
                <w:spacing w:val="2"/>
              </w:rPr>
              <w:t>中国民章局</w:t>
            </w:r>
          </w:p>
        </w:tc>
        <w:tc>
          <w:tcPr>
            <w:tcW w:w="1638" w:type="dxa"/>
            <w:vAlign w:val="top"/>
          </w:tcPr>
          <w:p>
            <w:pPr>
              <w:pStyle w:val="TableText"/>
              <w:ind w:left="52" w:right="89" w:firstLine="40"/>
              <w:spacing w:before="65" w:line="210" w:lineRule="auto"/>
              <w:rPr>
                <w:sz w:val="16"/>
                <w:szCs w:val="16"/>
              </w:rPr>
            </w:pPr>
            <w:r>
              <w:rPr>
                <w:sz w:val="16"/>
                <w:szCs w:val="16"/>
              </w:rPr>
              <w:t>民用前空产品补充裂</w:t>
            </w:r>
            <w:r>
              <w:rPr>
                <w:sz w:val="16"/>
                <w:szCs w:val="16"/>
                <w:spacing w:val="5"/>
              </w:rPr>
              <w:t xml:space="preserve"> </w:t>
            </w:r>
            <w:r>
              <w:rPr>
                <w:sz w:val="16"/>
                <w:szCs w:val="16"/>
                <w:spacing w:val="-2"/>
              </w:rPr>
              <w:t>身设计审批</w:t>
            </w:r>
          </w:p>
        </w:tc>
        <w:tc>
          <w:tcPr>
            <w:tcW w:w="2377" w:type="dxa"/>
            <w:vAlign w:val="top"/>
          </w:tcPr>
          <w:p>
            <w:pPr>
              <w:pStyle w:val="TableText"/>
              <w:ind w:left="54"/>
              <w:spacing w:before="146" w:line="220" w:lineRule="auto"/>
              <w:rPr>
                <w:sz w:val="16"/>
                <w:szCs w:val="16"/>
              </w:rPr>
            </w:pPr>
            <w:r>
              <w:rPr>
                <w:sz w:val="16"/>
                <w:szCs w:val="16"/>
                <w:spacing w:val="3"/>
              </w:rPr>
              <w:t>中国民航周</w:t>
            </w:r>
          </w:p>
        </w:tc>
        <w:tc>
          <w:tcPr>
            <w:tcW w:w="3711" w:type="dxa"/>
            <w:vAlign w:val="top"/>
          </w:tcPr>
          <w:p>
            <w:pPr>
              <w:pStyle w:val="TableText"/>
              <w:ind w:left="79" w:right="123" w:hanging="79"/>
              <w:spacing w:before="75" w:line="204" w:lineRule="auto"/>
              <w:rPr>
                <w:sz w:val="16"/>
                <w:szCs w:val="16"/>
              </w:rPr>
            </w:pPr>
            <w:r>
              <w:rPr>
                <w:sz w:val="16"/>
                <w:szCs w:val="16"/>
                <w:spacing w:val="2"/>
              </w:rPr>
              <w:t>【国齐民别位需保管的行政市筑项日设定行政许可</w:t>
            </w:r>
            <w:r>
              <w:rPr>
                <w:sz w:val="16"/>
                <w:szCs w:val="16"/>
                <w:spacing w:val="12"/>
              </w:rPr>
              <w:t xml:space="preserve"> </w:t>
            </w:r>
            <w:r>
              <w:rPr>
                <w:sz w:val="16"/>
                <w:szCs w:val="16"/>
                <w:spacing w:val="7"/>
              </w:rPr>
              <w:t>的决发)</w:t>
            </w:r>
          </w:p>
        </w:tc>
      </w:tr>
      <w:tr>
        <w:trPr>
          <w:trHeight w:val="494" w:hRule="atLeast"/>
        </w:trPr>
        <w:tc>
          <w:tcPr>
            <w:tcW w:w="574" w:type="dxa"/>
            <w:vAlign w:val="top"/>
          </w:tcPr>
          <w:p>
            <w:pPr>
              <w:pStyle w:val="TableText"/>
              <w:ind w:left="154"/>
              <w:spacing w:before="217" w:line="183" w:lineRule="auto"/>
              <w:rPr>
                <w:sz w:val="16"/>
                <w:szCs w:val="16"/>
              </w:rPr>
            </w:pPr>
            <w:r>
              <w:rPr>
                <w:sz w:val="16"/>
                <w:szCs w:val="16"/>
                <w:spacing w:val="-3"/>
              </w:rPr>
              <w:t>799</w:t>
            </w:r>
          </w:p>
        </w:tc>
        <w:tc>
          <w:tcPr>
            <w:tcW w:w="1299" w:type="dxa"/>
            <w:vAlign w:val="top"/>
          </w:tcPr>
          <w:p>
            <w:pPr>
              <w:pStyle w:val="TableText"/>
              <w:ind w:left="241"/>
              <w:spacing w:before="176" w:line="219" w:lineRule="auto"/>
              <w:rPr>
                <w:sz w:val="16"/>
                <w:szCs w:val="16"/>
              </w:rPr>
            </w:pPr>
            <w:r>
              <w:rPr>
                <w:sz w:val="16"/>
                <w:szCs w:val="16"/>
                <w:spacing w:val="2"/>
              </w:rPr>
              <w:t>中菌民敏局</w:t>
            </w:r>
          </w:p>
        </w:tc>
        <w:tc>
          <w:tcPr>
            <w:tcW w:w="1638" w:type="dxa"/>
            <w:vAlign w:val="top"/>
          </w:tcPr>
          <w:p>
            <w:pPr>
              <w:pStyle w:val="TableText"/>
              <w:ind w:left="52" w:right="88" w:firstLine="40"/>
              <w:spacing w:before="87" w:line="229" w:lineRule="auto"/>
              <w:rPr>
                <w:sz w:val="16"/>
                <w:szCs w:val="16"/>
              </w:rPr>
            </w:pPr>
            <w:r>
              <w:rPr>
                <w:sz w:val="16"/>
                <w:szCs w:val="16"/>
              </w:rPr>
              <w:t>民用南空产品教常设</w:t>
            </w:r>
            <w:r>
              <w:rPr>
                <w:sz w:val="16"/>
                <w:szCs w:val="16"/>
                <w:spacing w:val="6"/>
              </w:rPr>
              <w:t xml:space="preserve"> </w:t>
            </w:r>
            <w:r>
              <w:rPr>
                <w:sz w:val="16"/>
                <w:szCs w:val="16"/>
                <w:spacing w:val="-2"/>
              </w:rPr>
              <w:t>计审批</w:t>
            </w:r>
          </w:p>
        </w:tc>
        <w:tc>
          <w:tcPr>
            <w:tcW w:w="2377" w:type="dxa"/>
            <w:vAlign w:val="top"/>
          </w:tcPr>
          <w:p>
            <w:pPr>
              <w:pStyle w:val="TableText"/>
              <w:ind w:left="54"/>
              <w:spacing w:before="176" w:line="219" w:lineRule="auto"/>
              <w:rPr>
                <w:sz w:val="16"/>
                <w:szCs w:val="16"/>
              </w:rPr>
            </w:pPr>
            <w:r>
              <w:rPr>
                <w:sz w:val="16"/>
                <w:szCs w:val="16"/>
                <w:spacing w:val="2"/>
              </w:rPr>
              <w:t>触地区管理局</w:t>
            </w:r>
          </w:p>
        </w:tc>
        <w:tc>
          <w:tcPr>
            <w:tcW w:w="3711" w:type="dxa"/>
            <w:vAlign w:val="top"/>
          </w:tcPr>
          <w:p>
            <w:pPr>
              <w:pStyle w:val="TableText"/>
              <w:ind w:left="56"/>
              <w:spacing w:before="175" w:line="219" w:lineRule="auto"/>
              <w:rPr>
                <w:sz w:val="16"/>
                <w:szCs w:val="16"/>
              </w:rPr>
            </w:pPr>
            <w:r>
              <w:rPr>
                <w:sz w:val="16"/>
                <w:szCs w:val="16"/>
                <w:spacing w:val="-1"/>
              </w:rPr>
              <w:t>F中华人民其和国民用解立新盖款恰理条例</w:t>
            </w:r>
          </w:p>
        </w:tc>
      </w:tr>
    </w:tbl>
    <w:p>
      <w:pPr>
        <w:pStyle w:val="BodyText"/>
        <w:rPr/>
      </w:pPr>
      <w:r/>
    </w:p>
    <w:p>
      <w:pPr>
        <w:sectPr>
          <w:pgSz w:w="11910" w:h="8220"/>
          <w:pgMar w:top="400" w:right="1165" w:bottom="400" w:left="821" w:header="0" w:footer="0" w:gutter="0"/>
        </w:sectPr>
        <w:rPr/>
      </w:pPr>
    </w:p>
    <w:p>
      <w:pPr>
        <w:spacing w:before="83"/>
        <w:rPr/>
      </w:pPr>
      <w:r>
        <mc:AlternateContent xmlns:mc="http://schemas.openxmlformats.org/markup-compatibility/2006">
          <mc:Choice Requires="wps">
            <w:drawing>
              <wp:anchor distT="0" distB="0" distL="0" distR="0" simplePos="0" relativeHeight="251907072" behindDoc="0" locked="0" layoutInCell="0" allowOverlap="1">
                <wp:simplePos x="0" y="0"/>
                <wp:positionH relativeFrom="page">
                  <wp:posOffset>464057</wp:posOffset>
                </wp:positionH>
                <wp:positionV relativeFrom="page">
                  <wp:posOffset>617676</wp:posOffset>
                </wp:positionV>
                <wp:extent cx="172720" cy="156845"/>
                <wp:effectExtent l="0" t="0" r="0" b="0"/>
                <wp:wrapNone/>
                <wp:docPr id="330" name="TextBox 330"/>
                <wp:cNvGraphicFramePr/>
                <a:graphic>
                  <a:graphicData uri="http://schemas.microsoft.com/office/word/2010/wordprocessingShape">
                    <wps:wsp>
                      <wps:cNvSpPr txBox="1"/>
                      <wps:spPr>
                        <a:xfrm rot="5400000">
                          <a:off x="464057"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2" style="position:absolute;margin-left:36.54pt;margin-top:48.6359pt;mso-position-vertical-relative:page;mso-position-horizontal-relative:page;width:13.6pt;height:12.35pt;z-index:25190707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246</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04"/>
              <w:spacing w:before="132" w:line="221" w:lineRule="auto"/>
              <w:rPr>
                <w:sz w:val="17"/>
                <w:szCs w:val="17"/>
              </w:rPr>
            </w:pPr>
            <w:r>
              <w:rPr>
                <w:sz w:val="17"/>
                <w:szCs w:val="17"/>
                <w:spacing w:val="-2"/>
              </w:rPr>
              <w:t>序号</w:t>
            </w:r>
          </w:p>
        </w:tc>
        <w:tc>
          <w:tcPr>
            <w:tcW w:w="1299" w:type="dxa"/>
            <w:vAlign w:val="top"/>
          </w:tcPr>
          <w:p>
            <w:pPr>
              <w:pStyle w:val="TableText"/>
              <w:ind w:left="130"/>
              <w:spacing w:before="130" w:line="219" w:lineRule="auto"/>
              <w:rPr>
                <w:sz w:val="17"/>
                <w:szCs w:val="17"/>
              </w:rPr>
            </w:pPr>
            <w:r>
              <w:rPr>
                <w:sz w:val="17"/>
                <w:szCs w:val="17"/>
                <w:spacing w:val="3"/>
              </w:rPr>
              <w:t>中央主臂队门</w:t>
            </w:r>
          </w:p>
        </w:tc>
        <w:tc>
          <w:tcPr>
            <w:tcW w:w="1638" w:type="dxa"/>
            <w:vAlign w:val="top"/>
          </w:tcPr>
          <w:p>
            <w:pPr>
              <w:pStyle w:val="TableText"/>
              <w:ind w:left="471"/>
              <w:spacing w:before="132" w:line="219" w:lineRule="auto"/>
              <w:rPr>
                <w:sz w:val="17"/>
                <w:szCs w:val="17"/>
              </w:rPr>
            </w:pPr>
            <w:r>
              <w:rPr>
                <w:sz w:val="17"/>
                <w:szCs w:val="17"/>
                <w:spacing w:val="-3"/>
              </w:rPr>
              <w:t>市项名称</w:t>
            </w:r>
          </w:p>
        </w:tc>
        <w:tc>
          <w:tcPr>
            <w:tcW w:w="2377" w:type="dxa"/>
            <w:vAlign w:val="top"/>
          </w:tcPr>
          <w:p>
            <w:pPr>
              <w:pStyle w:val="TableText"/>
              <w:ind w:left="834"/>
              <w:spacing w:before="130" w:line="219" w:lineRule="auto"/>
              <w:rPr>
                <w:sz w:val="17"/>
                <w:szCs w:val="17"/>
              </w:rPr>
            </w:pPr>
            <w:r>
              <w:rPr>
                <w:sz w:val="17"/>
                <w:szCs w:val="17"/>
                <w:spacing w:val="-2"/>
              </w:rPr>
              <w:t>其牌机关</w:t>
            </w:r>
          </w:p>
        </w:tc>
        <w:tc>
          <w:tcPr>
            <w:tcW w:w="3711" w:type="dxa"/>
            <w:vAlign w:val="top"/>
          </w:tcPr>
          <w:p>
            <w:pPr>
              <w:pStyle w:val="TableText"/>
              <w:ind w:left="1269"/>
              <w:spacing w:before="128" w:line="219" w:lineRule="auto"/>
              <w:rPr>
                <w:sz w:val="17"/>
                <w:szCs w:val="17"/>
              </w:rPr>
            </w:pPr>
            <w:r>
              <w:rPr>
                <w:sz w:val="17"/>
                <w:szCs w:val="17"/>
                <w:b/>
                <w:bCs/>
                <w:spacing w:val="-3"/>
              </w:rPr>
              <w:t>设定和实感依据</w:t>
            </w:r>
          </w:p>
        </w:tc>
      </w:tr>
      <w:tr>
        <w:trPr>
          <w:trHeight w:val="449" w:hRule="atLeast"/>
        </w:trPr>
        <w:tc>
          <w:tcPr>
            <w:tcW w:w="574" w:type="dxa"/>
            <w:vAlign w:val="top"/>
          </w:tcPr>
          <w:p>
            <w:pPr>
              <w:pStyle w:val="TableText"/>
              <w:ind w:left="144"/>
              <w:spacing w:before="182" w:line="182" w:lineRule="auto"/>
              <w:rPr>
                <w:sz w:val="17"/>
                <w:szCs w:val="17"/>
              </w:rPr>
            </w:pPr>
            <w:r>
              <w:rPr>
                <w:sz w:val="17"/>
                <w:szCs w:val="17"/>
                <w:spacing w:val="-1"/>
              </w:rPr>
              <w:t>Hno</w:t>
            </w:r>
          </w:p>
        </w:tc>
        <w:tc>
          <w:tcPr>
            <w:tcW w:w="1299" w:type="dxa"/>
            <w:vAlign w:val="top"/>
          </w:tcPr>
          <w:p>
            <w:pPr>
              <w:pStyle w:val="TableText"/>
              <w:ind w:left="210"/>
              <w:spacing w:before="138" w:line="219" w:lineRule="auto"/>
              <w:rPr>
                <w:sz w:val="17"/>
                <w:szCs w:val="17"/>
              </w:rPr>
            </w:pPr>
            <w:r>
              <w:rPr>
                <w:sz w:val="17"/>
                <w:szCs w:val="17"/>
                <w:spacing w:val="1"/>
              </w:rPr>
              <w:t>中国民数屋</w:t>
            </w:r>
          </w:p>
        </w:tc>
        <w:tc>
          <w:tcPr>
            <w:tcW w:w="1638" w:type="dxa"/>
            <w:vAlign w:val="top"/>
          </w:tcPr>
          <w:p>
            <w:pPr>
              <w:pStyle w:val="TableText"/>
              <w:ind w:left="72" w:right="48" w:hanging="30"/>
              <w:spacing w:before="48" w:line="212" w:lineRule="auto"/>
              <w:rPr>
                <w:sz w:val="17"/>
                <w:szCs w:val="17"/>
              </w:rPr>
            </w:pPr>
            <w:r>
              <w:rPr>
                <w:sz w:val="17"/>
                <w:szCs w:val="17"/>
              </w:rPr>
              <w:t>民用航意产品型号设</w:t>
            </w:r>
            <w:r>
              <w:rPr>
                <w:sz w:val="17"/>
                <w:szCs w:val="17"/>
                <w:spacing w:val="6"/>
              </w:rPr>
              <w:t xml:space="preserve"> </w:t>
            </w:r>
            <w:r>
              <w:rPr>
                <w:sz w:val="17"/>
                <w:szCs w:val="17"/>
                <w:spacing w:val="-2"/>
              </w:rPr>
              <w:t>计认可</w:t>
            </w:r>
          </w:p>
        </w:tc>
        <w:tc>
          <w:tcPr>
            <w:tcW w:w="2377" w:type="dxa"/>
            <w:vAlign w:val="top"/>
          </w:tcPr>
          <w:p>
            <w:pPr>
              <w:pStyle w:val="TableText"/>
              <w:ind w:left="83"/>
              <w:spacing w:before="138" w:line="220" w:lineRule="auto"/>
              <w:rPr>
                <w:sz w:val="17"/>
                <w:szCs w:val="17"/>
              </w:rPr>
            </w:pPr>
            <w:r>
              <w:rPr>
                <w:sz w:val="17"/>
                <w:szCs w:val="17"/>
                <w:spacing w:val="3"/>
              </w:rPr>
              <w:t>中国民能局</w:t>
            </w:r>
          </w:p>
        </w:tc>
        <w:tc>
          <w:tcPr>
            <w:tcW w:w="3711" w:type="dxa"/>
            <w:vAlign w:val="top"/>
          </w:tcPr>
          <w:p>
            <w:pPr>
              <w:pStyle w:val="TableText"/>
              <w:ind w:left="46"/>
              <w:spacing w:before="138" w:line="219" w:lineRule="auto"/>
              <w:rPr>
                <w:sz w:val="17"/>
                <w:szCs w:val="17"/>
              </w:rPr>
            </w:pPr>
            <w:r>
              <w:rPr>
                <w:sz w:val="17"/>
                <w:szCs w:val="17"/>
                <w:spacing w:val="-1"/>
              </w:rPr>
              <w:t>1中非人民共和国民用底空恼》</w:t>
            </w:r>
          </w:p>
        </w:tc>
      </w:tr>
      <w:tr>
        <w:trPr>
          <w:trHeight w:val="429" w:hRule="atLeast"/>
        </w:trPr>
        <w:tc>
          <w:tcPr>
            <w:tcW w:w="574" w:type="dxa"/>
            <w:vAlign w:val="top"/>
          </w:tcPr>
          <w:p>
            <w:pPr>
              <w:pStyle w:val="TableText"/>
              <w:ind w:left="144"/>
              <w:spacing w:before="133" w:line="224" w:lineRule="auto"/>
              <w:rPr>
                <w:sz w:val="17"/>
                <w:szCs w:val="17"/>
              </w:rPr>
            </w:pPr>
            <w:r>
              <w:rPr>
                <w:sz w:val="17"/>
                <w:szCs w:val="17"/>
                <w:spacing w:val="-1"/>
              </w:rPr>
              <w:t>Po]</w:t>
            </w:r>
          </w:p>
        </w:tc>
        <w:tc>
          <w:tcPr>
            <w:tcW w:w="1299" w:type="dxa"/>
            <w:vAlign w:val="top"/>
          </w:tcPr>
          <w:p>
            <w:pPr>
              <w:pStyle w:val="TableText"/>
              <w:ind w:left="210"/>
              <w:spacing w:before="129" w:line="220" w:lineRule="auto"/>
              <w:rPr>
                <w:sz w:val="17"/>
                <w:szCs w:val="17"/>
              </w:rPr>
            </w:pPr>
            <w:r>
              <w:rPr>
                <w:sz w:val="17"/>
                <w:szCs w:val="17"/>
                <w:spacing w:val="3"/>
              </w:rPr>
              <w:t>中国民融局</w:t>
            </w:r>
          </w:p>
        </w:tc>
        <w:tc>
          <w:tcPr>
            <w:tcW w:w="1638" w:type="dxa"/>
            <w:vAlign w:val="top"/>
          </w:tcPr>
          <w:p>
            <w:pPr>
              <w:pStyle w:val="TableText"/>
              <w:ind w:left="72" w:right="44" w:hanging="30"/>
              <w:spacing w:before="48" w:line="201" w:lineRule="auto"/>
              <w:rPr>
                <w:sz w:val="17"/>
                <w:szCs w:val="17"/>
              </w:rPr>
            </w:pPr>
            <w:r>
              <w:rPr>
                <w:sz w:val="17"/>
                <w:szCs w:val="17"/>
                <w:spacing w:val="1"/>
              </w:rPr>
              <w:t>民川鼎空产品补克型 </w:t>
            </w:r>
            <w:r>
              <w:rPr>
                <w:sz w:val="17"/>
                <w:szCs w:val="17"/>
                <w:spacing w:val="3"/>
              </w:rPr>
              <w:t>号设计认闻</w:t>
            </w:r>
          </w:p>
        </w:tc>
        <w:tc>
          <w:tcPr>
            <w:tcW w:w="2377" w:type="dxa"/>
            <w:vAlign w:val="top"/>
          </w:tcPr>
          <w:p>
            <w:pPr>
              <w:pStyle w:val="TableText"/>
              <w:ind w:left="83"/>
              <w:spacing w:before="129" w:line="220" w:lineRule="auto"/>
              <w:rPr>
                <w:sz w:val="17"/>
                <w:szCs w:val="17"/>
              </w:rPr>
            </w:pPr>
            <w:r>
              <w:rPr>
                <w:sz w:val="17"/>
                <w:szCs w:val="17"/>
                <w:spacing w:val="3"/>
              </w:rPr>
              <w:t>中国园规局</w:t>
            </w:r>
          </w:p>
        </w:tc>
        <w:tc>
          <w:tcPr>
            <w:tcW w:w="3711" w:type="dxa"/>
            <w:vAlign w:val="top"/>
          </w:tcPr>
          <w:p>
            <w:pPr>
              <w:pStyle w:val="TableText"/>
              <w:ind w:left="46" w:right="76"/>
              <w:spacing w:before="28" w:line="212" w:lineRule="auto"/>
              <w:rPr>
                <w:sz w:val="17"/>
                <w:szCs w:val="17"/>
              </w:rPr>
            </w:pPr>
            <w:r>
              <w:rPr>
                <w:sz w:val="17"/>
                <w:szCs w:val="17"/>
              </w:rPr>
              <w:t>国务院对确需保前的行收审批项自设定行改的可</w:t>
            </w:r>
            <w:r>
              <w:rPr>
                <w:sz w:val="17"/>
                <w:szCs w:val="17"/>
                <w:spacing w:val="6"/>
              </w:rPr>
              <w:t xml:space="preserve"> </w:t>
            </w:r>
            <w:r>
              <w:rPr>
                <w:sz w:val="17"/>
                <w:szCs w:val="17"/>
                <w:spacing w:val="-1"/>
              </w:rPr>
              <w:t>的决定》</w:t>
            </w:r>
          </w:p>
        </w:tc>
      </w:tr>
      <w:tr>
        <w:trPr>
          <w:trHeight w:val="449" w:hRule="atLeast"/>
        </w:trPr>
        <w:tc>
          <w:tcPr>
            <w:tcW w:w="574" w:type="dxa"/>
            <w:vAlign w:val="top"/>
          </w:tcPr>
          <w:p>
            <w:pPr>
              <w:pStyle w:val="TableText"/>
              <w:ind w:left="144"/>
              <w:spacing w:before="183" w:line="183" w:lineRule="auto"/>
              <w:rPr>
                <w:sz w:val="17"/>
                <w:szCs w:val="17"/>
              </w:rPr>
            </w:pPr>
            <w:r>
              <w:rPr>
                <w:sz w:val="17"/>
                <w:szCs w:val="17"/>
                <w:spacing w:val="-1"/>
              </w:rPr>
              <w:t>F02</w:t>
            </w:r>
          </w:p>
        </w:tc>
        <w:tc>
          <w:tcPr>
            <w:tcW w:w="1299" w:type="dxa"/>
            <w:vAlign w:val="top"/>
          </w:tcPr>
          <w:p>
            <w:pPr>
              <w:pStyle w:val="TableText"/>
              <w:ind w:left="210"/>
              <w:spacing w:before="140" w:line="220" w:lineRule="auto"/>
              <w:rPr>
                <w:sz w:val="17"/>
                <w:szCs w:val="17"/>
              </w:rPr>
            </w:pPr>
            <w:r>
              <w:rPr>
                <w:sz w:val="17"/>
                <w:szCs w:val="17"/>
                <w:spacing w:val="3"/>
              </w:rPr>
              <w:t>中国民献则</w:t>
            </w:r>
          </w:p>
        </w:tc>
        <w:tc>
          <w:tcPr>
            <w:tcW w:w="1638" w:type="dxa"/>
            <w:vAlign w:val="top"/>
          </w:tcPr>
          <w:p>
            <w:pPr>
              <w:pStyle w:val="TableText"/>
              <w:ind w:left="32" w:right="45" w:firstLine="10"/>
              <w:spacing w:before="59" w:line="206" w:lineRule="auto"/>
              <w:rPr>
                <w:sz w:val="17"/>
                <w:szCs w:val="17"/>
              </w:rPr>
            </w:pPr>
            <w:r>
              <w:rPr>
                <w:sz w:val="17"/>
                <w:szCs w:val="17"/>
                <w:spacing w:val="1"/>
              </w:rPr>
              <w:t>民用航空产品生产背</w:t>
            </w:r>
            <w:r>
              <w:rPr>
                <w:sz w:val="17"/>
                <w:szCs w:val="17"/>
              </w:rPr>
              <w:t xml:space="preserve"> </w:t>
            </w:r>
            <w:r>
              <w:rPr>
                <w:sz w:val="17"/>
                <w:szCs w:val="17"/>
              </w:rPr>
              <w:t>可</w:t>
            </w:r>
          </w:p>
        </w:tc>
        <w:tc>
          <w:tcPr>
            <w:tcW w:w="2377" w:type="dxa"/>
            <w:vAlign w:val="top"/>
          </w:tcPr>
          <w:p>
            <w:pPr>
              <w:pStyle w:val="TableText"/>
              <w:ind w:left="83"/>
              <w:spacing w:before="140" w:line="219" w:lineRule="auto"/>
              <w:rPr>
                <w:sz w:val="17"/>
                <w:szCs w:val="17"/>
              </w:rPr>
            </w:pPr>
            <w:r>
              <w:rPr>
                <w:sz w:val="17"/>
                <w:szCs w:val="17"/>
                <w:spacing w:val="2"/>
              </w:rPr>
              <w:t>民航地区管理周</w:t>
            </w:r>
          </w:p>
        </w:tc>
        <w:tc>
          <w:tcPr>
            <w:tcW w:w="3711" w:type="dxa"/>
            <w:vAlign w:val="top"/>
          </w:tcPr>
          <w:p>
            <w:pPr>
              <w:pStyle w:val="TableText"/>
              <w:spacing w:before="140" w:line="219" w:lineRule="auto"/>
              <w:rPr>
                <w:sz w:val="17"/>
                <w:szCs w:val="17"/>
              </w:rPr>
            </w:pPr>
            <w:r>
              <w:rPr>
                <w:sz w:val="17"/>
                <w:szCs w:val="17"/>
                <w:spacing w:val="-4"/>
              </w:rPr>
              <w:t>《中华人民共和国民用展克法》</w:t>
            </w:r>
          </w:p>
        </w:tc>
      </w:tr>
      <w:tr>
        <w:trPr>
          <w:trHeight w:val="429" w:hRule="atLeast"/>
        </w:trPr>
        <w:tc>
          <w:tcPr>
            <w:tcW w:w="574" w:type="dxa"/>
            <w:vAlign w:val="top"/>
          </w:tcPr>
          <w:p>
            <w:pPr>
              <w:pStyle w:val="TableText"/>
              <w:ind w:left="144"/>
              <w:spacing w:before="174" w:line="183" w:lineRule="auto"/>
              <w:rPr>
                <w:sz w:val="17"/>
                <w:szCs w:val="17"/>
              </w:rPr>
            </w:pPr>
            <w:r>
              <w:rPr>
                <w:sz w:val="17"/>
                <w:szCs w:val="17"/>
                <w:spacing w:val="-2"/>
              </w:rPr>
              <w:t>So3</w:t>
            </w:r>
          </w:p>
        </w:tc>
        <w:tc>
          <w:tcPr>
            <w:tcW w:w="1299" w:type="dxa"/>
            <w:vAlign w:val="top"/>
          </w:tcPr>
          <w:p>
            <w:pPr>
              <w:pStyle w:val="TableText"/>
              <w:ind w:left="210"/>
              <w:spacing w:before="131" w:line="220" w:lineRule="auto"/>
              <w:rPr>
                <w:sz w:val="17"/>
                <w:szCs w:val="17"/>
              </w:rPr>
            </w:pPr>
            <w:r>
              <w:rPr>
                <w:sz w:val="17"/>
                <w:szCs w:val="17"/>
                <w:spacing w:val="3"/>
              </w:rPr>
              <w:t>中国免胞局</w:t>
            </w:r>
          </w:p>
        </w:tc>
        <w:tc>
          <w:tcPr>
            <w:tcW w:w="1638" w:type="dxa"/>
            <w:vAlign w:val="top"/>
          </w:tcPr>
          <w:p>
            <w:pPr>
              <w:pStyle w:val="TableText"/>
              <w:ind w:left="42" w:right="48"/>
              <w:spacing w:before="41" w:line="205" w:lineRule="auto"/>
              <w:rPr>
                <w:sz w:val="17"/>
                <w:szCs w:val="17"/>
              </w:rPr>
            </w:pPr>
            <w:r>
              <w:rPr>
                <w:sz w:val="17"/>
                <w:szCs w:val="17"/>
              </w:rPr>
              <w:t>民川航空产品维修年</w:t>
            </w:r>
            <w:r>
              <w:rPr>
                <w:sz w:val="17"/>
                <w:szCs w:val="17"/>
                <w:spacing w:val="6"/>
              </w:rPr>
              <w:t xml:space="preserve"> </w:t>
            </w:r>
            <w:r>
              <w:rPr>
                <w:sz w:val="17"/>
                <w:szCs w:val="17"/>
                <w:spacing w:val="7"/>
              </w:rPr>
              <w:t>位许司</w:t>
            </w:r>
          </w:p>
        </w:tc>
        <w:tc>
          <w:tcPr>
            <w:tcW w:w="2377" w:type="dxa"/>
            <w:vAlign w:val="top"/>
          </w:tcPr>
          <w:p>
            <w:pPr>
              <w:pStyle w:val="TableText"/>
              <w:ind w:left="83"/>
              <w:spacing w:before="131" w:line="219" w:lineRule="auto"/>
              <w:rPr>
                <w:sz w:val="17"/>
                <w:szCs w:val="17"/>
              </w:rPr>
            </w:pPr>
            <w:r>
              <w:rPr>
                <w:sz w:val="17"/>
                <w:szCs w:val="17"/>
                <w:spacing w:val="1"/>
              </w:rPr>
              <w:t>中国民航是，民航易以管理局</w:t>
            </w:r>
          </w:p>
        </w:tc>
        <w:tc>
          <w:tcPr>
            <w:tcW w:w="3711" w:type="dxa"/>
            <w:vAlign w:val="top"/>
          </w:tcPr>
          <w:p>
            <w:pPr>
              <w:pStyle w:val="TableText"/>
              <w:ind w:left="46"/>
              <w:spacing w:before="51" w:line="206" w:lineRule="auto"/>
              <w:rPr>
                <w:sz w:val="17"/>
                <w:szCs w:val="17"/>
              </w:rPr>
            </w:pPr>
            <w:r>
              <w:rPr>
                <w:sz w:val="17"/>
                <w:szCs w:val="17"/>
              </w:rPr>
              <w:t>中华人民其和国民用献空获</w:t>
            </w:r>
          </w:p>
          <w:p>
            <w:pPr>
              <w:pStyle w:val="TableText"/>
              <w:ind w:left="46"/>
              <w:spacing w:line="193" w:lineRule="auto"/>
              <w:rPr>
                <w:sz w:val="17"/>
                <w:szCs w:val="17"/>
              </w:rPr>
            </w:pPr>
            <w:r>
              <w:rPr>
                <w:sz w:val="17"/>
                <w:szCs w:val="17"/>
                <w:spacing w:val="-1"/>
              </w:rPr>
              <w:t>中华人民共和国民用能空非适氛管理美伤》</w:t>
            </w:r>
          </w:p>
        </w:tc>
      </w:tr>
      <w:tr>
        <w:trPr>
          <w:trHeight w:val="639" w:hRule="atLeast"/>
        </w:trPr>
        <w:tc>
          <w:tcPr>
            <w:tcW w:w="574" w:type="dxa"/>
            <w:vAlign w:val="top"/>
          </w:tcPr>
          <w:p>
            <w:pPr>
              <w:pStyle w:val="TableText"/>
              <w:ind w:left="144"/>
              <w:spacing w:before="258"/>
              <w:rPr>
                <w:sz w:val="17"/>
                <w:szCs w:val="17"/>
              </w:rPr>
            </w:pPr>
            <w:r>
              <w:rPr>
                <w:sz w:val="17"/>
                <w:szCs w:val="17"/>
                <w:spacing w:val="-1"/>
              </w:rPr>
              <w:t>B0l</w:t>
            </w:r>
          </w:p>
        </w:tc>
        <w:tc>
          <w:tcPr>
            <w:tcW w:w="1299" w:type="dxa"/>
            <w:vAlign w:val="top"/>
          </w:tcPr>
          <w:p>
            <w:pPr>
              <w:pStyle w:val="TableText"/>
              <w:ind w:left="210"/>
              <w:spacing w:before="242" w:line="220" w:lineRule="auto"/>
              <w:rPr>
                <w:sz w:val="17"/>
                <w:szCs w:val="17"/>
              </w:rPr>
            </w:pPr>
            <w:r>
              <w:rPr>
                <w:sz w:val="17"/>
                <w:szCs w:val="17"/>
                <w:spacing w:val="3"/>
              </w:rPr>
              <w:t>中属民熊局</w:t>
            </w:r>
          </w:p>
        </w:tc>
        <w:tc>
          <w:tcPr>
            <w:tcW w:w="1638" w:type="dxa"/>
            <w:vAlign w:val="top"/>
          </w:tcPr>
          <w:p>
            <w:pPr>
              <w:pStyle w:val="TableText"/>
              <w:ind w:left="42" w:right="41"/>
              <w:spacing w:before="51" w:line="209" w:lineRule="auto"/>
              <w:jc w:val="both"/>
              <w:rPr>
                <w:sz w:val="17"/>
                <w:szCs w:val="17"/>
              </w:rPr>
            </w:pPr>
            <w:r>
              <w:rPr>
                <w:sz w:val="17"/>
                <w:szCs w:val="17"/>
                <w:spacing w:val="-2"/>
              </w:rPr>
              <w:t>见用航室产品零部料</w:t>
            </w:r>
            <w:r>
              <w:rPr>
                <w:sz w:val="17"/>
                <w:szCs w:val="17"/>
                <w:spacing w:val="7"/>
              </w:rPr>
              <w:t xml:space="preserve"> </w:t>
            </w:r>
            <w:r>
              <w:rPr>
                <w:sz w:val="17"/>
                <w:szCs w:val="17"/>
                <w:spacing w:val="1"/>
              </w:rPr>
              <w:t>技术标高比完项目审</w:t>
            </w:r>
            <w:r>
              <w:rPr>
                <w:sz w:val="17"/>
                <w:szCs w:val="17"/>
                <w:spacing w:val="4"/>
              </w:rPr>
              <w:t xml:space="preserve"> </w:t>
            </w:r>
            <w:r>
              <w:rPr>
                <w:sz w:val="17"/>
                <w:szCs w:val="17"/>
              </w:rPr>
              <w:t>世</w:t>
            </w:r>
          </w:p>
        </w:tc>
        <w:tc>
          <w:tcPr>
            <w:tcW w:w="2377" w:type="dxa"/>
            <w:vAlign w:val="top"/>
          </w:tcPr>
          <w:p>
            <w:pPr>
              <w:pStyle w:val="TableText"/>
              <w:ind w:left="83"/>
              <w:spacing w:before="242" w:line="220" w:lineRule="auto"/>
              <w:rPr>
                <w:sz w:val="17"/>
                <w:szCs w:val="17"/>
              </w:rPr>
            </w:pPr>
            <w:r>
              <w:rPr>
                <w:sz w:val="17"/>
                <w:szCs w:val="17"/>
                <w:spacing w:val="3"/>
              </w:rPr>
              <w:t>中国民航局</w:t>
            </w:r>
          </w:p>
        </w:tc>
        <w:tc>
          <w:tcPr>
            <w:tcW w:w="3711" w:type="dxa"/>
            <w:vAlign w:val="top"/>
          </w:tcPr>
          <w:p>
            <w:pPr>
              <w:pStyle w:val="TableText"/>
              <w:spacing w:before="62" w:line="216" w:lineRule="auto"/>
              <w:rPr>
                <w:sz w:val="17"/>
                <w:szCs w:val="17"/>
              </w:rPr>
            </w:pPr>
            <w:r>
              <w:rPr>
                <w:sz w:val="17"/>
                <w:szCs w:val="17"/>
                <w:spacing w:val="-4"/>
              </w:rPr>
              <w:t>《中作人凤非和国民用款交法》</w:t>
            </w:r>
          </w:p>
          <w:p>
            <w:pPr>
              <w:pStyle w:val="TableText"/>
              <w:ind w:left="93" w:right="23" w:hanging="93"/>
              <w:spacing w:line="199" w:lineRule="auto"/>
              <w:rPr>
                <w:sz w:val="17"/>
                <w:szCs w:val="17"/>
              </w:rPr>
            </w:pPr>
            <w:r>
              <w:rPr>
                <w:sz w:val="17"/>
                <w:szCs w:val="17"/>
                <w:spacing w:val="-3"/>
              </w:rPr>
              <w:t>《国务院时动繁保留的行故审指项日设定行改许可</w:t>
            </w:r>
            <w:r>
              <w:rPr>
                <w:sz w:val="17"/>
                <w:szCs w:val="17"/>
                <w:spacing w:val="2"/>
              </w:rPr>
              <w:t xml:space="preserve"> </w:t>
            </w:r>
            <w:r>
              <w:rPr>
                <w:sz w:val="17"/>
                <w:szCs w:val="17"/>
                <w:spacing w:val="1"/>
              </w:rPr>
              <w:t>的决定</w:t>
            </w:r>
          </w:p>
        </w:tc>
      </w:tr>
      <w:tr>
        <w:trPr>
          <w:trHeight w:val="639" w:hRule="atLeast"/>
        </w:trPr>
        <w:tc>
          <w:tcPr>
            <w:tcW w:w="574" w:type="dxa"/>
            <w:vAlign w:val="top"/>
          </w:tcPr>
          <w:p>
            <w:pPr>
              <w:pStyle w:val="TableText"/>
              <w:ind w:left="144"/>
              <w:spacing w:before="286" w:line="183" w:lineRule="auto"/>
              <w:rPr>
                <w:sz w:val="17"/>
                <w:szCs w:val="17"/>
              </w:rPr>
            </w:pPr>
            <w:r>
              <w:rPr>
                <w:sz w:val="17"/>
                <w:szCs w:val="17"/>
                <w:spacing w:val="-2"/>
              </w:rPr>
              <w:t>805</w:t>
            </w:r>
          </w:p>
        </w:tc>
        <w:tc>
          <w:tcPr>
            <w:tcW w:w="1299" w:type="dxa"/>
            <w:vAlign w:val="top"/>
          </w:tcPr>
          <w:p>
            <w:pPr>
              <w:pStyle w:val="TableText"/>
              <w:ind w:left="210"/>
              <w:spacing w:before="243" w:line="220" w:lineRule="auto"/>
              <w:rPr>
                <w:sz w:val="17"/>
                <w:szCs w:val="17"/>
              </w:rPr>
            </w:pPr>
            <w:r>
              <w:rPr>
                <w:sz w:val="17"/>
                <w:szCs w:val="17"/>
                <w:spacing w:val="3"/>
              </w:rPr>
              <w:t>中国民航局</w:t>
            </w:r>
          </w:p>
        </w:tc>
        <w:tc>
          <w:tcPr>
            <w:tcW w:w="1638" w:type="dxa"/>
            <w:vAlign w:val="top"/>
          </w:tcPr>
          <w:p>
            <w:pPr>
              <w:pStyle w:val="TableText"/>
              <w:ind w:left="62" w:right="49" w:hanging="20"/>
              <w:spacing w:before="162" w:line="219" w:lineRule="auto"/>
              <w:rPr>
                <w:sz w:val="17"/>
                <w:szCs w:val="17"/>
              </w:rPr>
            </w:pPr>
            <w:r>
              <w:rPr>
                <w:sz w:val="17"/>
                <w:szCs w:val="17"/>
              </w:rPr>
              <w:t>民用航空严品零部性</w:t>
            </w:r>
            <w:r>
              <w:rPr>
                <w:sz w:val="17"/>
                <w:szCs w:val="17"/>
                <w:spacing w:val="5"/>
              </w:rPr>
              <w:t xml:space="preserve"> </w:t>
            </w:r>
            <w:r>
              <w:rPr>
                <w:sz w:val="17"/>
                <w:szCs w:val="17"/>
                <w:spacing w:val="1"/>
              </w:rPr>
              <w:t>需造人电批</w:t>
            </w:r>
          </w:p>
        </w:tc>
        <w:tc>
          <w:tcPr>
            <w:tcW w:w="2377" w:type="dxa"/>
            <w:vAlign w:val="top"/>
          </w:tcPr>
          <w:p>
            <w:pPr>
              <w:pStyle w:val="TableText"/>
              <w:ind w:left="83"/>
              <w:spacing w:before="243" w:line="219" w:lineRule="auto"/>
              <w:rPr>
                <w:sz w:val="17"/>
                <w:szCs w:val="17"/>
              </w:rPr>
            </w:pPr>
            <w:r>
              <w:rPr>
                <w:sz w:val="17"/>
                <w:szCs w:val="17"/>
                <w:spacing w:val="2"/>
              </w:rPr>
              <w:t>民航地不管理周</w:t>
            </w:r>
          </w:p>
        </w:tc>
        <w:tc>
          <w:tcPr>
            <w:tcW w:w="3711" w:type="dxa"/>
            <w:vAlign w:val="top"/>
          </w:tcPr>
          <w:p>
            <w:pPr>
              <w:pStyle w:val="TableText"/>
              <w:spacing w:before="43" w:line="219" w:lineRule="auto"/>
              <w:rPr>
                <w:sz w:val="17"/>
                <w:szCs w:val="17"/>
              </w:rPr>
            </w:pPr>
            <w:r>
              <w:rPr>
                <w:sz w:val="17"/>
                <w:szCs w:val="17"/>
                <w:spacing w:val="-4"/>
              </w:rPr>
              <w:t>《中华人民共和国民用脑变性》</w:t>
            </w:r>
          </w:p>
          <w:p>
            <w:pPr>
              <w:pStyle w:val="TableText"/>
              <w:ind w:left="83" w:right="13" w:hanging="84"/>
              <w:spacing w:before="8" w:line="204" w:lineRule="auto"/>
              <w:rPr>
                <w:sz w:val="17"/>
                <w:szCs w:val="17"/>
              </w:rPr>
            </w:pPr>
            <w:r>
              <w:rPr>
                <w:sz w:val="17"/>
                <w:szCs w:val="17"/>
                <w:spacing w:val="-3"/>
              </w:rPr>
              <w:t>《国劳院对确需保别的行改审批项目设定行改许可</w:t>
            </w:r>
            <w:r>
              <w:rPr>
                <w:sz w:val="17"/>
                <w:szCs w:val="17"/>
                <w:spacing w:val="12"/>
              </w:rPr>
              <w:t xml:space="preserve"> </w:t>
            </w:r>
            <w:r>
              <w:rPr>
                <w:sz w:val="17"/>
                <w:szCs w:val="17"/>
                <w:spacing w:val="1"/>
              </w:rPr>
              <w:t>的决定1</w:t>
            </w:r>
          </w:p>
        </w:tc>
      </w:tr>
      <w:tr>
        <w:trPr>
          <w:trHeight w:val="629" w:hRule="atLeast"/>
        </w:trPr>
        <w:tc>
          <w:tcPr>
            <w:tcW w:w="574" w:type="dxa"/>
            <w:vAlign w:val="top"/>
          </w:tcPr>
          <w:p>
            <w:pPr>
              <w:pStyle w:val="TableText"/>
              <w:ind w:left="144"/>
              <w:spacing w:before="277" w:line="183" w:lineRule="auto"/>
              <w:rPr>
                <w:sz w:val="17"/>
                <w:szCs w:val="17"/>
              </w:rPr>
            </w:pPr>
            <w:r>
              <w:rPr>
                <w:sz w:val="17"/>
                <w:szCs w:val="17"/>
                <w:spacing w:val="-2"/>
              </w:rPr>
              <w:t>806</w:t>
            </w:r>
          </w:p>
        </w:tc>
        <w:tc>
          <w:tcPr>
            <w:tcW w:w="1299" w:type="dxa"/>
            <w:vAlign w:val="top"/>
          </w:tcPr>
          <w:p>
            <w:pPr>
              <w:pStyle w:val="TableText"/>
              <w:ind w:left="210"/>
              <w:spacing w:before="234" w:line="220" w:lineRule="auto"/>
              <w:rPr>
                <w:sz w:val="17"/>
                <w:szCs w:val="17"/>
              </w:rPr>
            </w:pPr>
            <w:r>
              <w:rPr>
                <w:sz w:val="17"/>
                <w:szCs w:val="17"/>
                <w:spacing w:val="3"/>
              </w:rPr>
              <w:t>中国民航局</w:t>
            </w:r>
          </w:p>
        </w:tc>
        <w:tc>
          <w:tcPr>
            <w:tcW w:w="1638" w:type="dxa"/>
            <w:vAlign w:val="top"/>
          </w:tcPr>
          <w:p>
            <w:pPr>
              <w:pStyle w:val="TableText"/>
              <w:ind w:left="42" w:right="48"/>
              <w:spacing w:before="144" w:line="225" w:lineRule="auto"/>
              <w:rPr>
                <w:sz w:val="17"/>
                <w:szCs w:val="17"/>
              </w:rPr>
            </w:pPr>
            <w:r>
              <w:rPr>
                <w:sz w:val="17"/>
                <w:szCs w:val="17"/>
              </w:rPr>
              <w:t>民用航盗产品零部件</w:t>
            </w:r>
            <w:r>
              <w:rPr>
                <w:sz w:val="17"/>
                <w:szCs w:val="17"/>
                <w:spacing w:val="6"/>
              </w:rPr>
              <w:t xml:space="preserve"> </w:t>
            </w:r>
            <w:r>
              <w:rPr>
                <w:sz w:val="17"/>
                <w:szCs w:val="17"/>
                <w:spacing w:val="-2"/>
              </w:rPr>
              <w:t>设计认可</w:t>
            </w:r>
          </w:p>
        </w:tc>
        <w:tc>
          <w:tcPr>
            <w:tcW w:w="2377" w:type="dxa"/>
            <w:vAlign w:val="top"/>
          </w:tcPr>
          <w:p>
            <w:pPr>
              <w:pStyle w:val="TableText"/>
              <w:ind w:left="83"/>
              <w:spacing w:before="234" w:line="220" w:lineRule="auto"/>
              <w:rPr>
                <w:sz w:val="17"/>
                <w:szCs w:val="17"/>
              </w:rPr>
            </w:pPr>
            <w:r>
              <w:rPr>
                <w:sz w:val="17"/>
                <w:szCs w:val="17"/>
                <w:spacing w:val="3"/>
              </w:rPr>
              <w:t>中国阳颜局</w:t>
            </w:r>
          </w:p>
        </w:tc>
        <w:tc>
          <w:tcPr>
            <w:tcW w:w="3711" w:type="dxa"/>
            <w:vAlign w:val="top"/>
          </w:tcPr>
          <w:p>
            <w:pPr>
              <w:pStyle w:val="TableText"/>
              <w:spacing w:before="34" w:line="219" w:lineRule="auto"/>
              <w:rPr>
                <w:sz w:val="17"/>
                <w:szCs w:val="17"/>
              </w:rPr>
            </w:pPr>
            <w:r>
              <w:rPr>
                <w:sz w:val="17"/>
                <w:szCs w:val="17"/>
                <w:spacing w:val="-4"/>
              </w:rPr>
              <w:t>《中华人民共和国能用前空法》</w:t>
            </w:r>
          </w:p>
          <w:p>
            <w:pPr>
              <w:pStyle w:val="TableText"/>
              <w:ind w:left="93" w:right="23" w:hanging="93"/>
              <w:spacing w:before="27" w:line="193" w:lineRule="auto"/>
              <w:rPr>
                <w:sz w:val="17"/>
                <w:szCs w:val="17"/>
              </w:rPr>
            </w:pPr>
            <w:r>
              <w:rPr>
                <w:sz w:val="17"/>
                <w:szCs w:val="17"/>
                <w:spacing w:val="-3"/>
              </w:rPr>
              <w:t>《国与院功确需保窗的行收审批项样设定行政许可</w:t>
            </w:r>
            <w:r>
              <w:rPr>
                <w:sz w:val="17"/>
                <w:szCs w:val="17"/>
                <w:spacing w:val="2"/>
              </w:rPr>
              <w:t xml:space="preserve"> </w:t>
            </w:r>
            <w:r>
              <w:rPr>
                <w:sz w:val="17"/>
                <w:szCs w:val="17"/>
                <w:spacing w:val="1"/>
              </w:rPr>
              <w:t>的决定</w:t>
            </w:r>
          </w:p>
        </w:tc>
      </w:tr>
      <w:tr>
        <w:trPr>
          <w:trHeight w:val="250" w:hRule="atLeast"/>
        </w:trPr>
        <w:tc>
          <w:tcPr>
            <w:tcW w:w="574" w:type="dxa"/>
            <w:vAlign w:val="top"/>
          </w:tcPr>
          <w:p>
            <w:pPr>
              <w:pStyle w:val="TableText"/>
              <w:ind w:left="144"/>
              <w:spacing w:before="88" w:line="164" w:lineRule="auto"/>
              <w:rPr>
                <w:sz w:val="17"/>
                <w:szCs w:val="17"/>
              </w:rPr>
            </w:pPr>
            <w:r>
              <w:rPr>
                <w:sz w:val="17"/>
                <w:szCs w:val="17"/>
                <w:spacing w:val="-2"/>
              </w:rPr>
              <w:t>807</w:t>
            </w:r>
          </w:p>
        </w:tc>
        <w:tc>
          <w:tcPr>
            <w:tcW w:w="1299" w:type="dxa"/>
            <w:vAlign w:val="top"/>
          </w:tcPr>
          <w:p>
            <w:pPr>
              <w:pStyle w:val="TableText"/>
              <w:ind w:left="210"/>
              <w:spacing w:before="45" w:line="211" w:lineRule="auto"/>
              <w:rPr>
                <w:sz w:val="17"/>
                <w:szCs w:val="17"/>
              </w:rPr>
            </w:pPr>
            <w:r>
              <w:rPr>
                <w:sz w:val="17"/>
                <w:szCs w:val="17"/>
                <w:spacing w:val="3"/>
              </w:rPr>
              <w:t>中刚区能局</w:t>
            </w:r>
          </w:p>
        </w:tc>
        <w:tc>
          <w:tcPr>
            <w:tcW w:w="1638" w:type="dxa"/>
            <w:vAlign w:val="top"/>
          </w:tcPr>
          <w:p>
            <w:pPr>
              <w:pStyle w:val="TableText"/>
              <w:ind w:left="42"/>
              <w:spacing w:before="43" w:line="213" w:lineRule="auto"/>
              <w:rPr>
                <w:sz w:val="17"/>
                <w:szCs w:val="17"/>
              </w:rPr>
            </w:pPr>
            <w:r>
              <w:rPr>
                <w:sz w:val="17"/>
                <w:szCs w:val="17"/>
                <w:spacing w:val="-1"/>
              </w:rPr>
              <w:t>风用统发卷国籍登记</w:t>
            </w:r>
          </w:p>
        </w:tc>
        <w:tc>
          <w:tcPr>
            <w:tcW w:w="2377" w:type="dxa"/>
            <w:vAlign w:val="top"/>
          </w:tcPr>
          <w:p>
            <w:pPr>
              <w:pStyle w:val="TableText"/>
              <w:ind w:left="83"/>
              <w:spacing w:before="45" w:line="211" w:lineRule="auto"/>
              <w:rPr>
                <w:sz w:val="17"/>
                <w:szCs w:val="17"/>
              </w:rPr>
            </w:pPr>
            <w:r>
              <w:rPr>
                <w:sz w:val="17"/>
                <w:szCs w:val="17"/>
                <w:spacing w:val="1"/>
              </w:rPr>
              <w:t>中国民款具</w:t>
            </w:r>
          </w:p>
        </w:tc>
        <w:tc>
          <w:tcPr>
            <w:tcW w:w="3711" w:type="dxa"/>
            <w:vAlign w:val="top"/>
          </w:tcPr>
          <w:p>
            <w:pPr>
              <w:pStyle w:val="TableText"/>
              <w:spacing w:before="44" w:line="212" w:lineRule="auto"/>
              <w:rPr>
                <w:sz w:val="17"/>
                <w:szCs w:val="17"/>
              </w:rPr>
            </w:pPr>
            <w:r>
              <w:rPr>
                <w:sz w:val="17"/>
                <w:szCs w:val="17"/>
                <w:spacing w:val="-4"/>
              </w:rPr>
              <w:t>《中年人民共和面民用航交法》</w:t>
            </w:r>
          </w:p>
        </w:tc>
      </w:tr>
      <w:tr>
        <w:trPr>
          <w:trHeight w:val="240" w:hRule="atLeast"/>
        </w:trPr>
        <w:tc>
          <w:tcPr>
            <w:tcW w:w="574" w:type="dxa"/>
            <w:vAlign w:val="top"/>
          </w:tcPr>
          <w:p>
            <w:pPr>
              <w:pStyle w:val="TableText"/>
              <w:ind w:left="194"/>
              <w:spacing w:before="88" w:line="141" w:lineRule="exact"/>
              <w:rPr>
                <w:sz w:val="17"/>
                <w:szCs w:val="17"/>
              </w:rPr>
            </w:pPr>
            <w:r>
              <w:rPr>
                <w:sz w:val="17"/>
                <w:szCs w:val="17"/>
                <w:spacing w:val="-2"/>
                <w:position w:val="-2"/>
              </w:rPr>
              <w:t>8m</w:t>
            </w:r>
          </w:p>
        </w:tc>
        <w:tc>
          <w:tcPr>
            <w:tcW w:w="1299" w:type="dxa"/>
            <w:vAlign w:val="top"/>
          </w:tcPr>
          <w:p>
            <w:pPr>
              <w:pStyle w:val="TableText"/>
              <w:ind w:left="210"/>
              <w:spacing w:before="45" w:line="200" w:lineRule="auto"/>
              <w:rPr>
                <w:sz w:val="17"/>
                <w:szCs w:val="17"/>
              </w:rPr>
            </w:pPr>
            <w:r>
              <w:rPr>
                <w:sz w:val="17"/>
                <w:szCs w:val="17"/>
                <w:spacing w:val="3"/>
              </w:rPr>
              <w:t>中国民航局</w:t>
            </w:r>
          </w:p>
        </w:tc>
        <w:tc>
          <w:tcPr>
            <w:tcW w:w="1638" w:type="dxa"/>
            <w:vAlign w:val="top"/>
          </w:tcPr>
          <w:p>
            <w:pPr>
              <w:pStyle w:val="TableText"/>
              <w:ind w:left="42"/>
              <w:spacing w:before="44" w:line="201" w:lineRule="auto"/>
              <w:rPr>
                <w:sz w:val="17"/>
                <w:szCs w:val="17"/>
              </w:rPr>
            </w:pPr>
            <w:r>
              <w:rPr>
                <w:sz w:val="17"/>
                <w:szCs w:val="17"/>
                <w:spacing w:val="1"/>
              </w:rPr>
              <w:t>民川硫签器品航审想</w:t>
            </w:r>
          </w:p>
        </w:tc>
        <w:tc>
          <w:tcPr>
            <w:tcW w:w="2377" w:type="dxa"/>
            <w:vAlign w:val="top"/>
          </w:tcPr>
          <w:p>
            <w:pPr>
              <w:pStyle w:val="TableText"/>
              <w:ind w:left="83"/>
              <w:spacing w:before="45" w:line="200" w:lineRule="auto"/>
              <w:rPr>
                <w:sz w:val="17"/>
                <w:szCs w:val="17"/>
              </w:rPr>
            </w:pPr>
            <w:r>
              <w:rPr>
                <w:sz w:val="17"/>
                <w:szCs w:val="17"/>
                <w:spacing w:val="3"/>
              </w:rPr>
              <w:t>中国民航局</w:t>
            </w:r>
          </w:p>
        </w:tc>
        <w:tc>
          <w:tcPr>
            <w:tcW w:w="3711" w:type="dxa"/>
            <w:vAlign w:val="top"/>
          </w:tcPr>
          <w:p>
            <w:pPr>
              <w:pStyle w:val="TableText"/>
              <w:ind w:left="46"/>
              <w:spacing w:before="44" w:line="201" w:lineRule="auto"/>
              <w:rPr>
                <w:sz w:val="17"/>
                <w:szCs w:val="17"/>
              </w:rPr>
            </w:pPr>
            <w:r>
              <w:rPr>
                <w:sz w:val="17"/>
                <w:szCs w:val="17"/>
                <w:spacing w:val="-1"/>
              </w:rPr>
              <w:t>(中华人民共和国民用能辛法》</w:t>
            </w:r>
          </w:p>
        </w:tc>
      </w:tr>
      <w:tr>
        <w:trPr>
          <w:trHeight w:val="430" w:hRule="atLeast"/>
        </w:trPr>
        <w:tc>
          <w:tcPr>
            <w:tcW w:w="574" w:type="dxa"/>
            <w:vAlign w:val="top"/>
          </w:tcPr>
          <w:p>
            <w:pPr>
              <w:pStyle w:val="TableText"/>
              <w:ind w:left="144"/>
              <w:spacing w:before="178" w:line="183" w:lineRule="auto"/>
              <w:rPr>
                <w:sz w:val="17"/>
                <w:szCs w:val="17"/>
              </w:rPr>
            </w:pPr>
            <w:r>
              <w:rPr>
                <w:sz w:val="17"/>
                <w:szCs w:val="17"/>
                <w:spacing w:val="-2"/>
              </w:rPr>
              <w:t>800</w:t>
            </w:r>
          </w:p>
        </w:tc>
        <w:tc>
          <w:tcPr>
            <w:tcW w:w="1299" w:type="dxa"/>
            <w:vAlign w:val="top"/>
          </w:tcPr>
          <w:p>
            <w:pPr>
              <w:pStyle w:val="TableText"/>
              <w:ind w:left="210"/>
              <w:spacing w:before="135" w:line="219" w:lineRule="auto"/>
              <w:rPr>
                <w:sz w:val="17"/>
                <w:szCs w:val="17"/>
              </w:rPr>
            </w:pPr>
            <w:r>
              <w:rPr>
                <w:sz w:val="17"/>
                <w:szCs w:val="17"/>
                <w:spacing w:val="1"/>
              </w:rPr>
              <w:t>中国民献励</w:t>
            </w:r>
          </w:p>
        </w:tc>
        <w:tc>
          <w:tcPr>
            <w:tcW w:w="1638" w:type="dxa"/>
            <w:vAlign w:val="top"/>
          </w:tcPr>
          <w:p>
            <w:pPr>
              <w:pStyle w:val="TableText"/>
              <w:ind w:left="52" w:right="44" w:hanging="10"/>
              <w:spacing w:before="55" w:line="198" w:lineRule="auto"/>
              <w:rPr>
                <w:sz w:val="17"/>
                <w:szCs w:val="17"/>
              </w:rPr>
            </w:pPr>
            <w:r>
              <w:rPr>
                <w:sz w:val="17"/>
                <w:szCs w:val="17"/>
                <w:spacing w:val="1"/>
              </w:rPr>
              <w:t>民用肌空暑出口总意 </w:t>
            </w:r>
            <w:r>
              <w:rPr>
                <w:sz w:val="17"/>
                <w:szCs w:val="17"/>
                <w:spacing w:val="3"/>
              </w:rPr>
              <w:t>审批</w:t>
            </w:r>
          </w:p>
        </w:tc>
        <w:tc>
          <w:tcPr>
            <w:tcW w:w="2377" w:type="dxa"/>
            <w:vAlign w:val="top"/>
          </w:tcPr>
          <w:p>
            <w:pPr>
              <w:pStyle w:val="TableText"/>
              <w:ind w:left="83"/>
              <w:spacing w:before="135" w:line="220" w:lineRule="auto"/>
              <w:rPr>
                <w:sz w:val="17"/>
                <w:szCs w:val="17"/>
              </w:rPr>
            </w:pPr>
            <w:r>
              <w:rPr>
                <w:sz w:val="17"/>
                <w:szCs w:val="17"/>
                <w:spacing w:val="3"/>
              </w:rPr>
              <w:t>中国民规局</w:t>
            </w:r>
          </w:p>
        </w:tc>
        <w:tc>
          <w:tcPr>
            <w:tcW w:w="3711" w:type="dxa"/>
            <w:vAlign w:val="top"/>
          </w:tcPr>
          <w:p>
            <w:pPr>
              <w:pStyle w:val="TableText"/>
              <w:ind w:left="46"/>
              <w:spacing w:before="135" w:line="220" w:lineRule="auto"/>
              <w:rPr>
                <w:sz w:val="17"/>
                <w:szCs w:val="17"/>
              </w:rPr>
            </w:pPr>
            <w:r>
              <w:rPr>
                <w:sz w:val="17"/>
                <w:szCs w:val="17"/>
              </w:rPr>
              <w:t>中华人民其和国园形其交法</w:t>
            </w:r>
          </w:p>
        </w:tc>
      </w:tr>
      <w:tr>
        <w:trPr>
          <w:trHeight w:val="459" w:hRule="atLeast"/>
        </w:trPr>
        <w:tc>
          <w:tcPr>
            <w:tcW w:w="574" w:type="dxa"/>
            <w:vAlign w:val="top"/>
          </w:tcPr>
          <w:p>
            <w:pPr>
              <w:pStyle w:val="TableText"/>
              <w:ind w:left="194"/>
              <w:spacing w:before="198" w:line="183" w:lineRule="auto"/>
              <w:rPr>
                <w:sz w:val="17"/>
                <w:szCs w:val="17"/>
              </w:rPr>
            </w:pPr>
            <w:r>
              <w:rPr>
                <w:sz w:val="17"/>
                <w:szCs w:val="17"/>
                <w:spacing w:val="-2"/>
              </w:rPr>
              <w:t>@D</w:t>
            </w:r>
          </w:p>
        </w:tc>
        <w:tc>
          <w:tcPr>
            <w:tcW w:w="1299" w:type="dxa"/>
            <w:vAlign w:val="top"/>
          </w:tcPr>
          <w:p>
            <w:pPr>
              <w:pStyle w:val="TableText"/>
              <w:ind w:left="210"/>
              <w:spacing w:before="155" w:line="220" w:lineRule="auto"/>
              <w:rPr>
                <w:sz w:val="17"/>
                <w:szCs w:val="17"/>
              </w:rPr>
            </w:pPr>
            <w:r>
              <w:rPr>
                <w:sz w:val="17"/>
                <w:szCs w:val="17"/>
                <w:spacing w:val="3"/>
              </w:rPr>
              <w:t>中国医航局</w:t>
            </w:r>
          </w:p>
        </w:tc>
        <w:tc>
          <w:tcPr>
            <w:tcW w:w="1638" w:type="dxa"/>
            <w:vAlign w:val="top"/>
          </w:tcPr>
          <w:p>
            <w:pPr>
              <w:pStyle w:val="TableText"/>
              <w:ind w:left="52" w:right="66" w:hanging="10"/>
              <w:spacing w:before="54" w:line="214" w:lineRule="auto"/>
              <w:rPr>
                <w:sz w:val="17"/>
                <w:szCs w:val="17"/>
              </w:rPr>
            </w:pPr>
            <w:r>
              <w:rPr>
                <w:sz w:val="17"/>
                <w:szCs w:val="17"/>
                <w:spacing w:val="-2"/>
              </w:rPr>
              <w:t>外国风用标立题害航</w:t>
            </w:r>
            <w:r>
              <w:rPr>
                <w:sz w:val="17"/>
                <w:szCs w:val="17"/>
                <w:spacing w:val="6"/>
              </w:rPr>
              <w:t xml:space="preserve"> </w:t>
            </w:r>
            <w:r>
              <w:rPr>
                <w:sz w:val="17"/>
                <w:szCs w:val="17"/>
                <w:spacing w:val="-2"/>
              </w:rPr>
              <w:t>试可</w:t>
            </w:r>
          </w:p>
        </w:tc>
        <w:tc>
          <w:tcPr>
            <w:tcW w:w="2377" w:type="dxa"/>
            <w:vAlign w:val="top"/>
          </w:tcPr>
          <w:p>
            <w:pPr>
              <w:pStyle w:val="TableText"/>
              <w:ind w:left="83"/>
              <w:spacing w:before="155" w:line="220" w:lineRule="auto"/>
              <w:rPr>
                <w:sz w:val="17"/>
                <w:szCs w:val="17"/>
              </w:rPr>
            </w:pPr>
            <w:r>
              <w:rPr>
                <w:sz w:val="17"/>
                <w:szCs w:val="17"/>
                <w:spacing w:val="3"/>
              </w:rPr>
              <w:t>中国民航局</w:t>
            </w:r>
          </w:p>
        </w:tc>
        <w:tc>
          <w:tcPr>
            <w:tcW w:w="3711" w:type="dxa"/>
            <w:vAlign w:val="top"/>
          </w:tcPr>
          <w:p>
            <w:pPr>
              <w:pStyle w:val="TableText"/>
              <w:spacing w:before="155" w:line="219" w:lineRule="auto"/>
              <w:rPr>
                <w:sz w:val="17"/>
                <w:szCs w:val="17"/>
              </w:rPr>
            </w:pPr>
            <w:r>
              <w:rPr>
                <w:sz w:val="17"/>
                <w:szCs w:val="17"/>
                <w:spacing w:val="-4"/>
              </w:rPr>
              <w:t>《中华人民共和国民用最辛法</w:t>
            </w:r>
          </w:p>
        </w:tc>
      </w:tr>
      <w:tr>
        <w:trPr>
          <w:trHeight w:val="409" w:hRule="atLeast"/>
        </w:trPr>
        <w:tc>
          <w:tcPr>
            <w:tcW w:w="574" w:type="dxa"/>
            <w:vAlign w:val="top"/>
          </w:tcPr>
          <w:p>
            <w:pPr>
              <w:pStyle w:val="TableText"/>
              <w:ind w:left="144"/>
              <w:spacing w:before="168" w:line="184" w:lineRule="auto"/>
              <w:rPr>
                <w:sz w:val="17"/>
                <w:szCs w:val="17"/>
              </w:rPr>
            </w:pPr>
            <w:r>
              <w:rPr>
                <w:sz w:val="17"/>
                <w:szCs w:val="17"/>
                <w:spacing w:val="-1"/>
              </w:rPr>
              <w:t>K11</w:t>
            </w:r>
          </w:p>
        </w:tc>
        <w:tc>
          <w:tcPr>
            <w:tcW w:w="1299" w:type="dxa"/>
            <w:vAlign w:val="top"/>
          </w:tcPr>
          <w:p>
            <w:pPr>
              <w:pStyle w:val="TableText"/>
              <w:ind w:left="210"/>
              <w:spacing w:before="126" w:line="220" w:lineRule="auto"/>
              <w:rPr>
                <w:sz w:val="17"/>
                <w:szCs w:val="17"/>
              </w:rPr>
            </w:pPr>
            <w:r>
              <w:rPr>
                <w:sz w:val="17"/>
                <w:szCs w:val="17"/>
                <w:spacing w:val="2"/>
              </w:rPr>
              <w:t>中国民瓶与</w:t>
            </w:r>
          </w:p>
        </w:tc>
        <w:tc>
          <w:tcPr>
            <w:tcW w:w="1638" w:type="dxa"/>
            <w:vAlign w:val="top"/>
          </w:tcPr>
          <w:p>
            <w:pPr>
              <w:pStyle w:val="TableText"/>
              <w:ind w:left="22" w:right="87" w:firstLine="60"/>
              <w:spacing w:before="45" w:line="192" w:lineRule="auto"/>
              <w:rPr>
                <w:sz w:val="17"/>
                <w:szCs w:val="17"/>
              </w:rPr>
            </w:pPr>
            <w:r>
              <w:rPr>
                <w:sz w:val="17"/>
                <w:szCs w:val="17"/>
                <w:spacing w:val="1"/>
              </w:rPr>
              <w:t>民H属空霸特诈飞行</w:t>
            </w:r>
            <w:r>
              <w:rPr>
                <w:sz w:val="17"/>
                <w:szCs w:val="17"/>
                <w:spacing w:val="3"/>
              </w:rPr>
              <w:t xml:space="preserve"> </w:t>
            </w:r>
            <w:r>
              <w:rPr>
                <w:sz w:val="17"/>
                <w:szCs w:val="17"/>
                <w:spacing w:val="-3"/>
              </w:rPr>
              <w:t>市批</w:t>
            </w:r>
          </w:p>
        </w:tc>
        <w:tc>
          <w:tcPr>
            <w:tcW w:w="2377" w:type="dxa"/>
            <w:vAlign w:val="top"/>
          </w:tcPr>
          <w:p>
            <w:pPr>
              <w:pStyle w:val="TableText"/>
              <w:ind w:left="83"/>
              <w:spacing w:before="126" w:line="219" w:lineRule="auto"/>
              <w:rPr>
                <w:sz w:val="17"/>
                <w:szCs w:val="17"/>
              </w:rPr>
            </w:pPr>
            <w:r>
              <w:rPr>
                <w:sz w:val="17"/>
                <w:szCs w:val="17"/>
                <w:spacing w:val="2"/>
              </w:rPr>
              <w:t>比放地区管用局</w:t>
            </w:r>
          </w:p>
        </w:tc>
        <w:tc>
          <w:tcPr>
            <w:tcW w:w="3711" w:type="dxa"/>
            <w:vAlign w:val="top"/>
          </w:tcPr>
          <w:p>
            <w:pPr>
              <w:pStyle w:val="TableText"/>
              <w:ind w:left="46" w:right="261"/>
              <w:spacing w:before="36" w:line="197" w:lineRule="auto"/>
              <w:rPr>
                <w:sz w:val="17"/>
                <w:szCs w:val="17"/>
              </w:rPr>
            </w:pPr>
            <w:r>
              <w:rPr>
                <w:sz w:val="17"/>
                <w:szCs w:val="17"/>
                <w:spacing w:val="-1"/>
              </w:rPr>
              <w:t>居务院药葫需保能的行玻审意项目夜定行驶许</w:t>
            </w:r>
            <w:r>
              <w:rPr>
                <w:sz w:val="17"/>
                <w:szCs w:val="17"/>
                <w:spacing w:val="11"/>
              </w:rPr>
              <w:t xml:space="preserve"> </w:t>
            </w:r>
            <w:r>
              <w:rPr>
                <w:sz w:val="17"/>
                <w:szCs w:val="17"/>
                <w:spacing w:val="8"/>
              </w:rPr>
              <w:t>的陕定)</w:t>
            </w:r>
          </w:p>
        </w:tc>
      </w:tr>
      <w:tr>
        <w:trPr>
          <w:trHeight w:val="694" w:hRule="atLeast"/>
        </w:trPr>
        <w:tc>
          <w:tcPr>
            <w:tcW w:w="574" w:type="dxa"/>
            <w:vAlign w:val="top"/>
          </w:tcPr>
          <w:p>
            <w:pPr>
              <w:spacing w:line="253" w:lineRule="auto"/>
              <w:rPr>
                <w:rFonts w:ascii="Arial"/>
                <w:sz w:val="21"/>
              </w:rPr>
            </w:pPr>
            <w:r/>
          </w:p>
          <w:p>
            <w:pPr>
              <w:pStyle w:val="TableText"/>
              <w:ind w:left="194"/>
              <w:spacing w:before="56" w:line="183" w:lineRule="auto"/>
              <w:rPr>
                <w:sz w:val="17"/>
                <w:szCs w:val="17"/>
              </w:rPr>
            </w:pPr>
            <w:r>
              <w:rPr>
                <w:sz w:val="17"/>
                <w:szCs w:val="17"/>
                <w:spacing w:val="-3"/>
              </w:rPr>
              <w:t>t2</w:t>
            </w:r>
          </w:p>
        </w:tc>
        <w:tc>
          <w:tcPr>
            <w:tcW w:w="1299" w:type="dxa"/>
            <w:vAlign w:val="top"/>
          </w:tcPr>
          <w:p>
            <w:pPr>
              <w:pStyle w:val="TableText"/>
              <w:ind w:left="210"/>
              <w:spacing w:before="267" w:line="220" w:lineRule="auto"/>
              <w:rPr>
                <w:sz w:val="17"/>
                <w:szCs w:val="17"/>
              </w:rPr>
            </w:pPr>
            <w:r>
              <w:rPr>
                <w:sz w:val="17"/>
                <w:szCs w:val="17"/>
                <w:spacing w:val="3"/>
              </w:rPr>
              <w:t>中国民航局</w:t>
            </w:r>
          </w:p>
        </w:tc>
        <w:tc>
          <w:tcPr>
            <w:tcW w:w="1638" w:type="dxa"/>
            <w:vAlign w:val="top"/>
          </w:tcPr>
          <w:p>
            <w:pPr>
              <w:pStyle w:val="TableText"/>
              <w:ind w:left="32" w:right="37" w:firstLine="10"/>
              <w:spacing w:before="95" w:line="213" w:lineRule="auto"/>
              <w:jc w:val="both"/>
              <w:rPr>
                <w:sz w:val="17"/>
                <w:szCs w:val="17"/>
              </w:rPr>
            </w:pPr>
            <w:r>
              <w:rPr>
                <w:sz w:val="17"/>
                <w:szCs w:val="17"/>
                <w:spacing w:val="-1"/>
              </w:rPr>
              <w:t>风用朝空发防机，痛</w:t>
            </w:r>
            <w:r>
              <w:rPr>
                <w:sz w:val="17"/>
                <w:szCs w:val="17"/>
              </w:rPr>
              <w:t xml:space="preserve"> </w:t>
            </w:r>
            <w:r>
              <w:rPr>
                <w:sz w:val="17"/>
                <w:szCs w:val="17"/>
                <w:spacing w:val="3"/>
              </w:rPr>
              <w:t>旋坐，零前件者航中</w:t>
            </w:r>
            <w:r>
              <w:rPr>
                <w:sz w:val="17"/>
                <w:szCs w:val="17"/>
              </w:rPr>
              <w:t xml:space="preserve"> </w:t>
            </w:r>
            <w:r>
              <w:rPr>
                <w:sz w:val="17"/>
                <w:szCs w:val="17"/>
              </w:rPr>
              <w:t>露</w:t>
            </w:r>
          </w:p>
        </w:tc>
        <w:tc>
          <w:tcPr>
            <w:tcW w:w="2377" w:type="dxa"/>
            <w:vAlign w:val="top"/>
          </w:tcPr>
          <w:p>
            <w:pPr>
              <w:pStyle w:val="TableText"/>
              <w:ind w:left="83"/>
              <w:spacing w:before="267" w:line="219" w:lineRule="auto"/>
              <w:rPr>
                <w:sz w:val="17"/>
                <w:szCs w:val="17"/>
              </w:rPr>
            </w:pPr>
            <w:r>
              <w:rPr>
                <w:sz w:val="17"/>
                <w:szCs w:val="17"/>
                <w:spacing w:val="1"/>
              </w:rPr>
              <w:t>臣基地区管理两</w:t>
            </w:r>
          </w:p>
        </w:tc>
        <w:tc>
          <w:tcPr>
            <w:tcW w:w="3711" w:type="dxa"/>
            <w:vAlign w:val="top"/>
          </w:tcPr>
          <w:p>
            <w:pPr>
              <w:pStyle w:val="TableText"/>
              <w:spacing w:before="86" w:line="217" w:lineRule="auto"/>
              <w:rPr>
                <w:sz w:val="17"/>
                <w:szCs w:val="17"/>
              </w:rPr>
            </w:pPr>
            <w:r>
              <w:rPr>
                <w:sz w:val="17"/>
                <w:szCs w:val="17"/>
                <w:spacing w:val="-4"/>
              </w:rPr>
              <w:t>《中生人臣共和国园用属空悲?</w:t>
            </w:r>
          </w:p>
          <w:p>
            <w:pPr>
              <w:pStyle w:val="TableText"/>
              <w:ind w:left="83" w:right="3" w:hanging="84"/>
              <w:spacing w:before="1" w:line="215" w:lineRule="auto"/>
              <w:rPr>
                <w:sz w:val="17"/>
                <w:szCs w:val="17"/>
              </w:rPr>
            </w:pPr>
            <w:r>
              <w:rPr>
                <w:sz w:val="17"/>
                <w:szCs w:val="17"/>
                <w:spacing w:val="-2"/>
              </w:rPr>
              <w:t>《国务院对确雷保面的行政审批项目设定行政许司</w:t>
            </w:r>
            <w:r>
              <w:rPr>
                <w:sz w:val="17"/>
                <w:szCs w:val="17"/>
              </w:rPr>
              <w:t xml:space="preserve"> </w:t>
            </w:r>
            <w:r>
              <w:rPr>
                <w:sz w:val="17"/>
                <w:szCs w:val="17"/>
                <w:spacing w:val="1"/>
              </w:rPr>
              <w:t>的决定1</w:t>
            </w:r>
          </w:p>
        </w:tc>
      </w:tr>
    </w:tbl>
    <w:p>
      <w:pPr>
        <w:pStyle w:val="BodyText"/>
        <w:rPr/>
      </w:pPr>
      <w:r/>
    </w:p>
    <w:p>
      <w:pPr>
        <w:sectPr>
          <w:pgSz w:w="11910" w:h="8220"/>
          <w:pgMar w:top="400" w:right="116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908096" behindDoc="0" locked="0" layoutInCell="0" allowOverlap="1">
                <wp:simplePos x="0" y="0"/>
                <wp:positionH relativeFrom="page">
                  <wp:posOffset>466406</wp:posOffset>
                </wp:positionH>
                <wp:positionV relativeFrom="page">
                  <wp:posOffset>4370030</wp:posOffset>
                </wp:positionV>
                <wp:extent cx="163829" cy="148589"/>
                <wp:effectExtent l="0" t="0" r="0" b="0"/>
                <wp:wrapNone/>
                <wp:docPr id="332" name="TextBox 332"/>
                <wp:cNvGraphicFramePr/>
                <a:graphic>
                  <a:graphicData uri="http://schemas.microsoft.com/office/word/2010/wordprocessingShape">
                    <wps:wsp>
                      <wps:cNvSpPr txBox="1"/>
                      <wps:spPr>
                        <a:xfrm rot="5400000">
                          <a:off x="466406" y="4370030"/>
                          <a:ext cx="163829"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247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4" style="position:absolute;margin-left:36.725pt;margin-top:344.097pt;mso-position-vertical-relative:page;mso-position-horizontal-relative:page;width:12.9pt;height:11.7pt;z-index:251908096;rotation:90;" o:allowincell="f" filled="false" stroked="false" type="#_x0000_t202">
                <v:fill on="false"/>
                <v:stroke on="false"/>
                <v:path/>
                <v:imagedata o:title=""/>
                <o:lock v:ext="edit" aspectratio="false"/>
                <v:textbox inset="0mm,0mm,0mm,0mm">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247</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5" w:hRule="atLeast"/>
        </w:trPr>
        <w:tc>
          <w:tcPr>
            <w:tcW w:w="574" w:type="dxa"/>
            <w:vAlign w:val="top"/>
          </w:tcPr>
          <w:p>
            <w:pPr>
              <w:pStyle w:val="TableText"/>
              <w:ind w:left="104"/>
              <w:spacing w:before="122" w:line="221" w:lineRule="auto"/>
              <w:rPr>
                <w:sz w:val="17"/>
                <w:szCs w:val="17"/>
              </w:rPr>
            </w:pPr>
            <w:r>
              <w:rPr>
                <w:sz w:val="17"/>
                <w:szCs w:val="17"/>
                <w:spacing w:val="5"/>
              </w:rPr>
              <w:t>厚号</w:t>
            </w:r>
          </w:p>
        </w:tc>
        <w:tc>
          <w:tcPr>
            <w:tcW w:w="1299" w:type="dxa"/>
            <w:vAlign w:val="top"/>
          </w:tcPr>
          <w:p>
            <w:pPr>
              <w:pStyle w:val="TableText"/>
              <w:ind w:left="130"/>
              <w:spacing w:before="122" w:line="219" w:lineRule="auto"/>
              <w:rPr>
                <w:sz w:val="17"/>
                <w:szCs w:val="17"/>
              </w:rPr>
            </w:pPr>
            <w:r>
              <w:rPr>
                <w:sz w:val="17"/>
                <w:szCs w:val="17"/>
                <w:spacing w:val="3"/>
              </w:rPr>
              <w:t>中央主管部门</w:t>
            </w:r>
          </w:p>
        </w:tc>
        <w:tc>
          <w:tcPr>
            <w:tcW w:w="1638" w:type="dxa"/>
            <w:vAlign w:val="top"/>
          </w:tcPr>
          <w:p>
            <w:pPr>
              <w:pStyle w:val="TableText"/>
              <w:ind w:left="461"/>
              <w:spacing w:before="122" w:line="219" w:lineRule="auto"/>
              <w:rPr>
                <w:sz w:val="17"/>
                <w:szCs w:val="17"/>
              </w:rPr>
            </w:pPr>
            <w:r>
              <w:rPr>
                <w:sz w:val="17"/>
                <w:szCs w:val="17"/>
                <w:spacing w:val="-2"/>
              </w:rPr>
              <w:t>事项老释</w:t>
            </w:r>
          </w:p>
        </w:tc>
        <w:tc>
          <w:tcPr>
            <w:tcW w:w="2377" w:type="dxa"/>
            <w:vAlign w:val="top"/>
          </w:tcPr>
          <w:p>
            <w:pPr>
              <w:pStyle w:val="TableText"/>
              <w:ind w:left="856"/>
              <w:spacing w:before="118" w:line="219" w:lineRule="auto"/>
              <w:rPr>
                <w:sz w:val="17"/>
                <w:szCs w:val="17"/>
              </w:rPr>
            </w:pPr>
            <w:r>
              <w:rPr>
                <w:sz w:val="17"/>
                <w:szCs w:val="17"/>
                <w:b/>
                <w:bCs/>
                <w:spacing w:val="-4"/>
              </w:rPr>
              <w:t>实营机关</w:t>
            </w:r>
          </w:p>
        </w:tc>
        <w:tc>
          <w:tcPr>
            <w:tcW w:w="3711" w:type="dxa"/>
            <w:vAlign w:val="top"/>
          </w:tcPr>
          <w:p>
            <w:pPr>
              <w:pStyle w:val="TableText"/>
              <w:ind w:left="1259"/>
              <w:spacing w:before="118" w:line="219" w:lineRule="auto"/>
              <w:rPr>
                <w:sz w:val="17"/>
                <w:szCs w:val="17"/>
              </w:rPr>
            </w:pPr>
            <w:r>
              <w:rPr>
                <w:sz w:val="17"/>
                <w:szCs w:val="17"/>
                <w:b/>
                <w:bCs/>
                <w:spacing w:val="-3"/>
              </w:rPr>
              <w:t>投定和实施依据</w:t>
            </w:r>
          </w:p>
        </w:tc>
      </w:tr>
      <w:tr>
        <w:trPr>
          <w:trHeight w:val="449" w:hRule="atLeast"/>
        </w:trPr>
        <w:tc>
          <w:tcPr>
            <w:tcW w:w="574" w:type="dxa"/>
            <w:vAlign w:val="top"/>
          </w:tcPr>
          <w:p>
            <w:pPr>
              <w:pStyle w:val="TableText"/>
              <w:ind w:left="144"/>
              <w:spacing w:before="139" w:line="222" w:lineRule="auto"/>
              <w:rPr>
                <w:sz w:val="17"/>
                <w:szCs w:val="17"/>
              </w:rPr>
            </w:pPr>
            <w:r>
              <w:rPr>
                <w:sz w:val="17"/>
                <w:szCs w:val="17"/>
                <w:spacing w:val="-2"/>
              </w:rPr>
              <w:t>R)4</w:t>
            </w:r>
          </w:p>
        </w:tc>
        <w:tc>
          <w:tcPr>
            <w:tcW w:w="1299" w:type="dxa"/>
            <w:vAlign w:val="top"/>
          </w:tcPr>
          <w:p>
            <w:pPr>
              <w:pStyle w:val="TableText"/>
              <w:ind w:left="210"/>
              <w:spacing w:before="137" w:line="220" w:lineRule="auto"/>
              <w:rPr>
                <w:sz w:val="17"/>
                <w:szCs w:val="17"/>
              </w:rPr>
            </w:pPr>
            <w:r>
              <w:rPr>
                <w:sz w:val="17"/>
                <w:szCs w:val="17"/>
                <w:spacing w:val="3"/>
              </w:rPr>
              <w:t>中国民激局</w:t>
            </w:r>
          </w:p>
        </w:tc>
        <w:tc>
          <w:tcPr>
            <w:tcW w:w="1638" w:type="dxa"/>
            <w:vAlign w:val="top"/>
          </w:tcPr>
          <w:p>
            <w:pPr>
              <w:pStyle w:val="TableText"/>
              <w:ind w:left="32" w:right="48" w:firstLine="10"/>
              <w:spacing w:before="46" w:line="213" w:lineRule="auto"/>
              <w:rPr>
                <w:sz w:val="17"/>
                <w:szCs w:val="17"/>
              </w:rPr>
            </w:pPr>
            <w:r>
              <w:rPr>
                <w:sz w:val="17"/>
                <w:szCs w:val="17"/>
              </w:rPr>
              <w:t>医用格空化学产品设</w:t>
            </w:r>
            <w:r>
              <w:rPr>
                <w:sz w:val="17"/>
                <w:szCs w:val="17"/>
                <w:spacing w:val="6"/>
              </w:rPr>
              <w:t xml:space="preserve"> </w:t>
            </w:r>
            <w:r>
              <w:rPr>
                <w:sz w:val="17"/>
                <w:szCs w:val="17"/>
                <w:spacing w:val="-2"/>
              </w:rPr>
              <w:t>计生产市批</w:t>
            </w:r>
          </w:p>
        </w:tc>
        <w:tc>
          <w:tcPr>
            <w:tcW w:w="2377" w:type="dxa"/>
            <w:vAlign w:val="top"/>
          </w:tcPr>
          <w:p>
            <w:pPr>
              <w:pStyle w:val="TableText"/>
              <w:ind w:left="54"/>
              <w:spacing w:before="137" w:line="220" w:lineRule="auto"/>
              <w:rPr>
                <w:sz w:val="17"/>
                <w:szCs w:val="17"/>
              </w:rPr>
            </w:pPr>
            <w:r>
              <w:rPr>
                <w:sz w:val="17"/>
                <w:szCs w:val="17"/>
                <w:spacing w:val="3"/>
              </w:rPr>
              <w:t>中国民款局</w:t>
            </w:r>
          </w:p>
        </w:tc>
        <w:tc>
          <w:tcPr>
            <w:tcW w:w="3711" w:type="dxa"/>
            <w:vAlign w:val="top"/>
          </w:tcPr>
          <w:p>
            <w:pPr>
              <w:pStyle w:val="TableText"/>
              <w:ind w:left="116" w:right="76" w:hanging="70"/>
              <w:spacing w:before="37" w:line="218" w:lineRule="auto"/>
              <w:rPr>
                <w:sz w:val="17"/>
                <w:szCs w:val="17"/>
              </w:rPr>
            </w:pPr>
            <w:r>
              <w:rPr>
                <w:sz w:val="17"/>
                <w:szCs w:val="17"/>
              </w:rPr>
              <w:t>国者院对确常保前的行政审批项日设定有教许可</w:t>
            </w:r>
            <w:r>
              <w:rPr>
                <w:sz w:val="17"/>
                <w:szCs w:val="17"/>
                <w:spacing w:val="6"/>
              </w:rPr>
              <w:t xml:space="preserve"> </w:t>
            </w:r>
            <w:r>
              <w:rPr>
                <w:sz w:val="17"/>
                <w:szCs w:val="17"/>
                <w:spacing w:val="3"/>
              </w:rPr>
              <w:t>的决定</w:t>
            </w:r>
          </w:p>
        </w:tc>
      </w:tr>
      <w:tr>
        <w:trPr>
          <w:trHeight w:val="430" w:hRule="atLeast"/>
        </w:trPr>
        <w:tc>
          <w:tcPr>
            <w:tcW w:w="574" w:type="dxa"/>
            <w:vAlign w:val="top"/>
          </w:tcPr>
          <w:p>
            <w:pPr>
              <w:pStyle w:val="TableText"/>
              <w:ind w:left="144"/>
              <w:spacing w:before="171" w:line="184" w:lineRule="auto"/>
              <w:rPr>
                <w:sz w:val="17"/>
                <w:szCs w:val="17"/>
              </w:rPr>
            </w:pPr>
            <w:r>
              <w:rPr>
                <w:sz w:val="17"/>
                <w:szCs w:val="17"/>
                <w:spacing w:val="-2"/>
              </w:rPr>
              <w:t>814</w:t>
            </w:r>
          </w:p>
        </w:tc>
        <w:tc>
          <w:tcPr>
            <w:tcW w:w="1299" w:type="dxa"/>
            <w:vAlign w:val="top"/>
          </w:tcPr>
          <w:p>
            <w:pPr>
              <w:pStyle w:val="TableText"/>
              <w:ind w:left="210"/>
              <w:spacing w:before="128" w:line="220" w:lineRule="auto"/>
              <w:rPr>
                <w:sz w:val="17"/>
                <w:szCs w:val="17"/>
              </w:rPr>
            </w:pPr>
            <w:r>
              <w:rPr>
                <w:sz w:val="17"/>
                <w:szCs w:val="17"/>
                <w:spacing w:val="3"/>
              </w:rPr>
              <w:t>中国民航易</w:t>
            </w:r>
          </w:p>
        </w:tc>
        <w:tc>
          <w:tcPr>
            <w:tcW w:w="1638" w:type="dxa"/>
            <w:vAlign w:val="top"/>
          </w:tcPr>
          <w:p>
            <w:pPr>
              <w:pStyle w:val="TableText"/>
              <w:ind w:left="32" w:right="61" w:firstLine="10"/>
              <w:spacing w:before="57" w:line="197" w:lineRule="auto"/>
              <w:rPr>
                <w:sz w:val="17"/>
                <w:szCs w:val="17"/>
              </w:rPr>
            </w:pPr>
            <w:r>
              <w:rPr>
                <w:sz w:val="17"/>
                <w:szCs w:val="17"/>
                <w:spacing w:val="-1"/>
              </w:rPr>
              <w:t>税用眉空凿料供应企</w:t>
            </w:r>
            <w:r>
              <w:rPr>
                <w:sz w:val="17"/>
                <w:szCs w:val="17"/>
                <w:spacing w:val="2"/>
              </w:rPr>
              <w:t xml:space="preserve"> </w:t>
            </w:r>
            <w:r>
              <w:rPr>
                <w:sz w:val="17"/>
                <w:szCs w:val="17"/>
                <w:spacing w:val="-2"/>
              </w:rPr>
              <w:t>业市批</w:t>
            </w:r>
          </w:p>
        </w:tc>
        <w:tc>
          <w:tcPr>
            <w:tcW w:w="2377" w:type="dxa"/>
            <w:vAlign w:val="top"/>
          </w:tcPr>
          <w:p>
            <w:pPr>
              <w:pStyle w:val="TableText"/>
              <w:ind w:left="54"/>
              <w:spacing w:before="128" w:line="219" w:lineRule="auto"/>
              <w:rPr>
                <w:sz w:val="17"/>
                <w:szCs w:val="17"/>
              </w:rPr>
            </w:pPr>
            <w:r>
              <w:rPr>
                <w:sz w:val="17"/>
                <w:szCs w:val="17"/>
                <w:spacing w:val="3"/>
              </w:rPr>
              <w:t>中国菌航局</w:t>
            </w:r>
          </w:p>
        </w:tc>
        <w:tc>
          <w:tcPr>
            <w:tcW w:w="3711" w:type="dxa"/>
            <w:vAlign w:val="top"/>
          </w:tcPr>
          <w:p>
            <w:pPr>
              <w:pStyle w:val="TableText"/>
              <w:ind w:left="117" w:right="6"/>
              <w:spacing w:before="47" w:line="202" w:lineRule="auto"/>
              <w:rPr>
                <w:sz w:val="17"/>
                <w:szCs w:val="17"/>
              </w:rPr>
            </w:pPr>
            <w:r>
              <w:rPr>
                <w:sz w:val="17"/>
                <w:szCs w:val="17"/>
              </w:rPr>
              <w:t>国务院对确需保面的行致审批硬目设定行故许可</w:t>
            </w:r>
            <w:r>
              <w:rPr>
                <w:sz w:val="17"/>
                <w:szCs w:val="17"/>
                <w:spacing w:val="6"/>
              </w:rPr>
              <w:t xml:space="preserve"> </w:t>
            </w:r>
            <w:r>
              <w:rPr>
                <w:sz w:val="17"/>
                <w:szCs w:val="17"/>
                <w:spacing w:val="3"/>
              </w:rPr>
              <w:t>的决定</w:t>
            </w:r>
          </w:p>
        </w:tc>
      </w:tr>
      <w:tr>
        <w:trPr>
          <w:trHeight w:val="439" w:hRule="atLeast"/>
        </w:trPr>
        <w:tc>
          <w:tcPr>
            <w:tcW w:w="574" w:type="dxa"/>
            <w:vAlign w:val="top"/>
          </w:tcPr>
          <w:p>
            <w:pPr>
              <w:pStyle w:val="TableText"/>
              <w:ind w:left="144"/>
              <w:spacing w:before="154"/>
              <w:rPr>
                <w:sz w:val="17"/>
                <w:szCs w:val="17"/>
              </w:rPr>
            </w:pPr>
            <w:r>
              <w:rPr>
                <w:sz w:val="17"/>
                <w:szCs w:val="17"/>
                <w:spacing w:val="-2"/>
              </w:rPr>
              <w:t>kL5</w:t>
            </w:r>
          </w:p>
        </w:tc>
        <w:tc>
          <w:tcPr>
            <w:tcW w:w="1299" w:type="dxa"/>
            <w:vAlign w:val="top"/>
          </w:tcPr>
          <w:p>
            <w:pPr>
              <w:pStyle w:val="TableText"/>
              <w:ind w:left="210"/>
              <w:spacing w:before="138" w:line="220" w:lineRule="auto"/>
              <w:rPr>
                <w:sz w:val="17"/>
                <w:szCs w:val="17"/>
              </w:rPr>
            </w:pPr>
            <w:r>
              <w:rPr>
                <w:sz w:val="17"/>
                <w:szCs w:val="17"/>
                <w:spacing w:val="2"/>
              </w:rPr>
              <w:t>中国民原属</w:t>
            </w:r>
          </w:p>
        </w:tc>
        <w:tc>
          <w:tcPr>
            <w:tcW w:w="1638" w:type="dxa"/>
            <w:vAlign w:val="top"/>
          </w:tcPr>
          <w:p>
            <w:pPr>
              <w:pStyle w:val="TableText"/>
              <w:ind w:left="32" w:right="214" w:firstLine="10"/>
              <w:spacing w:before="56" w:line="202" w:lineRule="auto"/>
              <w:rPr>
                <w:sz w:val="17"/>
                <w:szCs w:val="17"/>
              </w:rPr>
            </w:pPr>
            <w:r>
              <w:rPr>
                <w:sz w:val="17"/>
                <w:szCs w:val="17"/>
                <w:spacing w:val="1"/>
              </w:rPr>
              <w:t>民用就空油料整刻</w:t>
            </w:r>
            <w:r>
              <w:rPr>
                <w:sz w:val="17"/>
                <w:szCs w:val="17"/>
                <w:spacing w:val="2"/>
              </w:rPr>
              <w:t xml:space="preserve"> </w:t>
            </w:r>
            <w:r>
              <w:rPr>
                <w:sz w:val="17"/>
                <w:szCs w:val="17"/>
                <w:spacing w:val="-2"/>
              </w:rPr>
              <w:t>位率批</w:t>
            </w:r>
          </w:p>
        </w:tc>
        <w:tc>
          <w:tcPr>
            <w:tcW w:w="2377" w:type="dxa"/>
            <w:vAlign w:val="top"/>
          </w:tcPr>
          <w:p>
            <w:pPr>
              <w:pStyle w:val="TableText"/>
              <w:ind w:left="54"/>
              <w:spacing w:before="138" w:line="219" w:lineRule="auto"/>
              <w:rPr>
                <w:sz w:val="17"/>
                <w:szCs w:val="17"/>
              </w:rPr>
            </w:pPr>
            <w:r>
              <w:rPr>
                <w:sz w:val="17"/>
                <w:szCs w:val="17"/>
                <w:spacing w:val="3"/>
              </w:rPr>
              <w:t>中儒民能局</w:t>
            </w:r>
          </w:p>
        </w:tc>
        <w:tc>
          <w:tcPr>
            <w:tcW w:w="3711" w:type="dxa"/>
            <w:vAlign w:val="top"/>
          </w:tcPr>
          <w:p>
            <w:pPr>
              <w:pStyle w:val="TableText"/>
              <w:ind w:left="116" w:right="76" w:hanging="70"/>
              <w:spacing w:before="38" w:line="212" w:lineRule="auto"/>
              <w:rPr>
                <w:sz w:val="17"/>
                <w:szCs w:val="17"/>
              </w:rPr>
            </w:pPr>
            <w:r>
              <w:rPr>
                <w:sz w:val="17"/>
                <w:szCs w:val="17"/>
              </w:rPr>
              <w:t>国务就对确需保留的行政审批项目设定行战作可</w:t>
            </w:r>
            <w:r>
              <w:rPr>
                <w:sz w:val="17"/>
                <w:szCs w:val="17"/>
                <w:spacing w:val="6"/>
              </w:rPr>
              <w:t xml:space="preserve"> </w:t>
            </w:r>
            <w:r>
              <w:rPr>
                <w:sz w:val="17"/>
                <w:szCs w:val="17"/>
                <w:spacing w:val="-1"/>
              </w:rPr>
              <w:t>的决定》</w:t>
            </w:r>
          </w:p>
        </w:tc>
      </w:tr>
      <w:tr>
        <w:trPr>
          <w:trHeight w:val="649" w:hRule="atLeast"/>
        </w:trPr>
        <w:tc>
          <w:tcPr>
            <w:tcW w:w="574" w:type="dxa"/>
            <w:vAlign w:val="top"/>
          </w:tcPr>
          <w:p>
            <w:pPr>
              <w:pStyle w:val="TableText"/>
              <w:ind w:left="144"/>
              <w:spacing w:before="281" w:line="184" w:lineRule="auto"/>
              <w:rPr>
                <w:sz w:val="17"/>
                <w:szCs w:val="17"/>
              </w:rPr>
            </w:pPr>
            <w:r>
              <w:rPr>
                <w:sz w:val="17"/>
                <w:szCs w:val="17"/>
                <w:spacing w:val="-2"/>
              </w:rPr>
              <w:t>810</w:t>
            </w:r>
          </w:p>
        </w:tc>
        <w:tc>
          <w:tcPr>
            <w:tcW w:w="1299" w:type="dxa"/>
            <w:vAlign w:val="top"/>
          </w:tcPr>
          <w:p>
            <w:pPr>
              <w:pStyle w:val="TableText"/>
              <w:ind w:left="210"/>
              <w:spacing w:before="239" w:line="220" w:lineRule="auto"/>
              <w:rPr>
                <w:sz w:val="17"/>
                <w:szCs w:val="17"/>
              </w:rPr>
            </w:pPr>
            <w:r>
              <w:rPr>
                <w:sz w:val="17"/>
                <w:szCs w:val="17"/>
                <w:spacing w:val="2"/>
              </w:rPr>
              <w:t>中国国慰焉</w:t>
            </w:r>
          </w:p>
        </w:tc>
        <w:tc>
          <w:tcPr>
            <w:tcW w:w="1638" w:type="dxa"/>
            <w:vAlign w:val="top"/>
          </w:tcPr>
          <w:p>
            <w:pPr>
              <w:pStyle w:val="TableText"/>
              <w:ind w:left="32" w:right="35" w:firstLine="20"/>
              <w:spacing w:before="159" w:line="213" w:lineRule="auto"/>
              <w:rPr>
                <w:sz w:val="17"/>
                <w:szCs w:val="17"/>
              </w:rPr>
            </w:pPr>
            <w:r>
              <w:rPr>
                <w:sz w:val="17"/>
                <w:szCs w:val="17"/>
                <w:spacing w:val="1"/>
              </w:rPr>
              <w:t>民旧解乏油料企业安</w:t>
            </w:r>
            <w:r>
              <w:rPr>
                <w:sz w:val="17"/>
                <w:szCs w:val="17"/>
              </w:rPr>
              <w:t xml:space="preserve"> </w:t>
            </w:r>
            <w:r>
              <w:rPr>
                <w:sz w:val="17"/>
                <w:szCs w:val="17"/>
                <w:spacing w:val="-2"/>
              </w:rPr>
              <w:t>交造意许可</w:t>
            </w:r>
          </w:p>
        </w:tc>
        <w:tc>
          <w:tcPr>
            <w:tcW w:w="2377" w:type="dxa"/>
            <w:vAlign w:val="top"/>
          </w:tcPr>
          <w:p>
            <w:pPr>
              <w:pStyle w:val="TableText"/>
              <w:ind w:left="54"/>
              <w:spacing w:before="237" w:line="219" w:lineRule="auto"/>
              <w:rPr>
                <w:sz w:val="17"/>
                <w:szCs w:val="17"/>
              </w:rPr>
            </w:pPr>
            <w:r>
              <w:rPr>
                <w:sz w:val="17"/>
                <w:szCs w:val="17"/>
                <w:spacing w:val="1"/>
              </w:rPr>
              <w:t>民融地区管理精</w:t>
            </w:r>
          </w:p>
        </w:tc>
        <w:tc>
          <w:tcPr>
            <w:tcW w:w="3711" w:type="dxa"/>
            <w:vAlign w:val="top"/>
          </w:tcPr>
          <w:p>
            <w:pPr>
              <w:pStyle w:val="TableText"/>
              <w:ind w:left="32"/>
              <w:spacing w:before="58" w:line="195" w:lineRule="auto"/>
              <w:rPr>
                <w:sz w:val="17"/>
                <w:szCs w:val="17"/>
              </w:rPr>
            </w:pPr>
            <w:r>
              <w:rPr>
                <w:sz w:val="17"/>
                <w:szCs w:val="17"/>
                <w:spacing w:val="-2"/>
              </w:rPr>
              <w:t>《民用机杨管理著儒》</w:t>
            </w:r>
          </w:p>
          <w:p>
            <w:pPr>
              <w:pStyle w:val="TableText"/>
              <w:ind w:left="117"/>
              <w:spacing w:before="1" w:line="217" w:lineRule="auto"/>
              <w:rPr>
                <w:sz w:val="17"/>
                <w:szCs w:val="17"/>
              </w:rPr>
            </w:pPr>
            <w:r>
              <w:rPr>
                <w:sz w:val="17"/>
                <w:szCs w:val="17"/>
              </w:rPr>
              <w:t>国务院对确胃保留的行数审批项且设定行数道育</w:t>
            </w:r>
            <w:r>
              <w:rPr>
                <w:sz w:val="17"/>
                <w:szCs w:val="17"/>
                <w:spacing w:val="12"/>
              </w:rPr>
              <w:t xml:space="preserve"> </w:t>
            </w:r>
            <w:r>
              <w:rPr>
                <w:sz w:val="17"/>
                <w:szCs w:val="17"/>
                <w:spacing w:val="-1"/>
              </w:rPr>
              <w:t>的决定》</w:t>
            </w:r>
          </w:p>
        </w:tc>
      </w:tr>
      <w:tr>
        <w:trPr>
          <w:trHeight w:val="839" w:hRule="atLeast"/>
        </w:trPr>
        <w:tc>
          <w:tcPr>
            <w:tcW w:w="574" w:type="dxa"/>
            <w:vAlign w:val="top"/>
          </w:tcPr>
          <w:p>
            <w:pPr>
              <w:spacing w:line="325" w:lineRule="auto"/>
              <w:rPr>
                <w:rFonts w:ascii="Arial"/>
                <w:sz w:val="21"/>
              </w:rPr>
            </w:pPr>
            <w:r/>
          </w:p>
          <w:p>
            <w:pPr>
              <w:pStyle w:val="TableText"/>
              <w:ind w:left="144"/>
              <w:spacing w:before="55" w:line="184" w:lineRule="auto"/>
              <w:rPr>
                <w:sz w:val="17"/>
                <w:szCs w:val="17"/>
              </w:rPr>
            </w:pPr>
            <w:r>
              <w:rPr>
                <w:sz w:val="17"/>
                <w:szCs w:val="17"/>
                <w:spacing w:val="-3"/>
              </w:rPr>
              <w:t>317</w:t>
            </w:r>
          </w:p>
        </w:tc>
        <w:tc>
          <w:tcPr>
            <w:tcW w:w="1299" w:type="dxa"/>
            <w:vAlign w:val="top"/>
          </w:tcPr>
          <w:p>
            <w:pPr>
              <w:spacing w:line="283" w:lineRule="auto"/>
              <w:rPr>
                <w:rFonts w:ascii="Arial"/>
                <w:sz w:val="21"/>
              </w:rPr>
            </w:pPr>
            <w:r/>
          </w:p>
          <w:p>
            <w:pPr>
              <w:pStyle w:val="TableText"/>
              <w:ind w:left="210"/>
              <w:spacing w:before="55" w:line="219" w:lineRule="auto"/>
              <w:rPr>
                <w:sz w:val="17"/>
                <w:szCs w:val="17"/>
              </w:rPr>
            </w:pPr>
            <w:r>
              <w:rPr>
                <w:sz w:val="17"/>
                <w:szCs w:val="17"/>
                <w:spacing w:val="1"/>
              </w:rPr>
              <w:t>中国民旅算</w:t>
            </w:r>
          </w:p>
        </w:tc>
        <w:tc>
          <w:tcPr>
            <w:tcW w:w="1638" w:type="dxa"/>
            <w:vAlign w:val="top"/>
          </w:tcPr>
          <w:p>
            <w:pPr>
              <w:spacing w:line="283" w:lineRule="auto"/>
              <w:rPr>
                <w:rFonts w:ascii="Arial"/>
                <w:sz w:val="21"/>
              </w:rPr>
            </w:pPr>
            <w:r/>
          </w:p>
          <w:p>
            <w:pPr>
              <w:pStyle w:val="TableText"/>
              <w:ind w:left="32"/>
              <w:spacing w:before="55" w:line="220" w:lineRule="auto"/>
              <w:rPr>
                <w:sz w:val="17"/>
                <w:szCs w:val="17"/>
              </w:rPr>
            </w:pPr>
            <w:r>
              <w:rPr>
                <w:sz w:val="17"/>
                <w:szCs w:val="17"/>
                <w:spacing w:val="-1"/>
              </w:rPr>
              <w:t>航立人必资协认定</w:t>
            </w:r>
          </w:p>
        </w:tc>
        <w:tc>
          <w:tcPr>
            <w:tcW w:w="2377" w:type="dxa"/>
            <w:vAlign w:val="top"/>
          </w:tcPr>
          <w:p>
            <w:pPr>
              <w:spacing w:line="283" w:lineRule="auto"/>
              <w:rPr>
                <w:rFonts w:ascii="Arial"/>
                <w:sz w:val="21"/>
              </w:rPr>
            </w:pPr>
            <w:r/>
          </w:p>
          <w:p>
            <w:pPr>
              <w:pStyle w:val="TableText"/>
              <w:ind w:left="54"/>
              <w:spacing w:before="55" w:line="219" w:lineRule="auto"/>
              <w:rPr>
                <w:sz w:val="17"/>
                <w:szCs w:val="17"/>
              </w:rPr>
            </w:pPr>
            <w:r>
              <w:rPr>
                <w:sz w:val="17"/>
                <w:szCs w:val="17"/>
                <w:spacing w:val="1"/>
              </w:rPr>
              <w:t>中国它航局；民概意区督厚品</w:t>
            </w:r>
          </w:p>
        </w:tc>
        <w:tc>
          <w:tcPr>
            <w:tcW w:w="3711" w:type="dxa"/>
            <w:vAlign w:val="top"/>
          </w:tcPr>
          <w:p>
            <w:pPr>
              <w:pStyle w:val="TableText"/>
              <w:ind w:left="32"/>
              <w:spacing w:before="50" w:line="206" w:lineRule="auto"/>
              <w:rPr>
                <w:sz w:val="17"/>
                <w:szCs w:val="17"/>
              </w:rPr>
            </w:pPr>
            <w:r>
              <w:rPr>
                <w:sz w:val="17"/>
                <w:szCs w:val="17"/>
                <w:spacing w:val="-1"/>
              </w:rPr>
              <w:t>《中华人民共和国医用就空法</w:t>
            </w:r>
          </w:p>
          <w:p>
            <w:pPr>
              <w:pStyle w:val="TableText"/>
              <w:ind w:left="117" w:right="127" w:firstLine="49"/>
              <w:spacing w:line="217" w:lineRule="auto"/>
              <w:rPr>
                <w:sz w:val="17"/>
                <w:szCs w:val="17"/>
              </w:rPr>
            </w:pPr>
            <w:r>
              <w:rPr>
                <w:sz w:val="17"/>
                <w:szCs w:val="17"/>
              </w:rPr>
              <w:t>国务底别满需保留的行教审批项月设定行战许</w:t>
            </w:r>
            <w:r>
              <w:rPr>
                <w:sz w:val="17"/>
                <w:szCs w:val="17"/>
                <w:spacing w:val="5"/>
              </w:rPr>
              <w:t xml:space="preserve"> </w:t>
            </w:r>
            <w:r>
              <w:rPr>
                <w:sz w:val="17"/>
                <w:szCs w:val="17"/>
                <w:spacing w:val="-1"/>
              </w:rPr>
              <w:t>的决应》</w:t>
            </w:r>
          </w:p>
          <w:p>
            <w:pPr>
              <w:pStyle w:val="TableText"/>
              <w:ind w:left="117"/>
              <w:spacing w:line="205" w:lineRule="auto"/>
              <w:rPr>
                <w:sz w:val="17"/>
                <w:szCs w:val="17"/>
              </w:rPr>
            </w:pPr>
            <w:r>
              <w:rPr>
                <w:sz w:val="17"/>
                <w:szCs w:val="17"/>
                <w:spacing w:val="2"/>
              </w:rPr>
              <w:t>1四家职业资格目学(2(车版))</w:t>
            </w:r>
          </w:p>
        </w:tc>
      </w:tr>
      <w:tr>
        <w:trPr>
          <w:trHeight w:val="440" w:hRule="atLeast"/>
        </w:trPr>
        <w:tc>
          <w:tcPr>
            <w:tcW w:w="574" w:type="dxa"/>
            <w:vAlign w:val="top"/>
          </w:tcPr>
          <w:p>
            <w:pPr>
              <w:pStyle w:val="TableText"/>
              <w:ind w:left="144"/>
              <w:spacing w:before="183" w:line="184" w:lineRule="auto"/>
              <w:rPr>
                <w:sz w:val="17"/>
                <w:szCs w:val="17"/>
              </w:rPr>
            </w:pPr>
            <w:r>
              <w:rPr>
                <w:sz w:val="17"/>
                <w:szCs w:val="17"/>
                <w:spacing w:val="-2"/>
              </w:rPr>
              <w:t>81#</w:t>
            </w:r>
          </w:p>
        </w:tc>
        <w:tc>
          <w:tcPr>
            <w:tcW w:w="1299" w:type="dxa"/>
            <w:vAlign w:val="top"/>
          </w:tcPr>
          <w:p>
            <w:pPr>
              <w:pStyle w:val="TableText"/>
              <w:ind w:left="210"/>
              <w:spacing w:before="141" w:line="220" w:lineRule="auto"/>
              <w:rPr>
                <w:sz w:val="17"/>
                <w:szCs w:val="17"/>
              </w:rPr>
            </w:pPr>
            <w:r>
              <w:rPr>
                <w:sz w:val="17"/>
                <w:szCs w:val="17"/>
                <w:spacing w:val="3"/>
              </w:rPr>
              <w:t>中国国欧局</w:t>
            </w:r>
          </w:p>
        </w:tc>
        <w:tc>
          <w:tcPr>
            <w:tcW w:w="1638" w:type="dxa"/>
            <w:vAlign w:val="top"/>
          </w:tcPr>
          <w:p>
            <w:pPr>
              <w:pStyle w:val="TableText"/>
              <w:ind w:left="32" w:right="54" w:firstLine="20"/>
              <w:spacing w:before="59" w:line="201" w:lineRule="auto"/>
              <w:rPr>
                <w:sz w:val="17"/>
                <w:szCs w:val="17"/>
              </w:rPr>
            </w:pPr>
            <w:r>
              <w:rPr>
                <w:sz w:val="17"/>
                <w:szCs w:val="17"/>
                <w:spacing w:val="-2"/>
              </w:rPr>
              <w:t>空勤人员和空中交通</w:t>
            </w:r>
            <w:r>
              <w:rPr>
                <w:sz w:val="17"/>
                <w:szCs w:val="17"/>
                <w:spacing w:val="5"/>
              </w:rPr>
              <w:t xml:space="preserve"> </w:t>
            </w:r>
            <w:r>
              <w:rPr>
                <w:sz w:val="17"/>
                <w:szCs w:val="17"/>
                <w:spacing w:val="1"/>
              </w:rPr>
              <w:t>收前员体检合部认定</w:t>
            </w:r>
          </w:p>
        </w:tc>
        <w:tc>
          <w:tcPr>
            <w:tcW w:w="2377" w:type="dxa"/>
            <w:vAlign w:val="top"/>
          </w:tcPr>
          <w:p>
            <w:pPr>
              <w:pStyle w:val="TableText"/>
              <w:ind w:left="54"/>
              <w:spacing w:before="139" w:line="219" w:lineRule="auto"/>
              <w:rPr>
                <w:sz w:val="17"/>
                <w:szCs w:val="17"/>
              </w:rPr>
            </w:pPr>
            <w:r>
              <w:rPr>
                <w:sz w:val="17"/>
                <w:szCs w:val="17"/>
                <w:spacing w:val="1"/>
              </w:rPr>
              <w:t>民航地区替理府</w:t>
            </w:r>
          </w:p>
        </w:tc>
        <w:tc>
          <w:tcPr>
            <w:tcW w:w="3711" w:type="dxa"/>
            <w:vAlign w:val="top"/>
          </w:tcPr>
          <w:p>
            <w:pPr>
              <w:pStyle w:val="TableText"/>
              <w:ind w:left="117"/>
              <w:spacing w:before="141" w:line="219" w:lineRule="auto"/>
              <w:rPr>
                <w:sz w:val="17"/>
                <w:szCs w:val="17"/>
              </w:rPr>
            </w:pPr>
            <w:r>
              <w:rPr>
                <w:sz w:val="17"/>
                <w:szCs w:val="17"/>
                <w:spacing w:val="2"/>
              </w:rPr>
              <w:t>P华人我共和国民用紫空法)</w:t>
            </w:r>
          </w:p>
        </w:tc>
      </w:tr>
      <w:tr>
        <w:trPr>
          <w:trHeight w:val="439" w:hRule="atLeast"/>
        </w:trPr>
        <w:tc>
          <w:tcPr>
            <w:tcW w:w="574" w:type="dxa"/>
            <w:vAlign w:val="top"/>
          </w:tcPr>
          <w:p>
            <w:pPr>
              <w:rPr>
                <w:rFonts w:ascii="Arial"/>
                <w:sz w:val="21"/>
              </w:rPr>
            </w:pPr>
            <w:r/>
          </w:p>
        </w:tc>
        <w:tc>
          <w:tcPr>
            <w:tcW w:w="1299" w:type="dxa"/>
            <w:vAlign w:val="top"/>
          </w:tcPr>
          <w:p>
            <w:pPr>
              <w:pStyle w:val="TableText"/>
              <w:ind w:left="210"/>
              <w:spacing w:before="141" w:line="220" w:lineRule="auto"/>
              <w:rPr>
                <w:sz w:val="17"/>
                <w:szCs w:val="17"/>
              </w:rPr>
            </w:pPr>
            <w:r>
              <w:rPr>
                <w:sz w:val="17"/>
                <w:szCs w:val="17"/>
                <w:spacing w:val="3"/>
              </w:rPr>
              <w:t>中国民航局</w:t>
            </w:r>
          </w:p>
        </w:tc>
        <w:tc>
          <w:tcPr>
            <w:tcW w:w="1638" w:type="dxa"/>
            <w:vAlign w:val="top"/>
          </w:tcPr>
          <w:p>
            <w:pPr>
              <w:pStyle w:val="TableText"/>
              <w:ind w:left="32" w:right="56"/>
              <w:spacing w:before="51" w:line="205" w:lineRule="auto"/>
              <w:rPr>
                <w:sz w:val="17"/>
                <w:szCs w:val="17"/>
              </w:rPr>
            </w:pPr>
            <w:r>
              <w:rPr>
                <w:sz w:val="17"/>
                <w:szCs w:val="17"/>
                <w:spacing w:val="1"/>
              </w:rPr>
              <w:t>民川能变器控驶团学</w:t>
            </w:r>
            <w:r>
              <w:rPr>
                <w:sz w:val="17"/>
                <w:szCs w:val="17"/>
              </w:rPr>
              <w:t xml:space="preserve"> </w:t>
            </w:r>
            <w:r>
              <w:rPr>
                <w:sz w:val="17"/>
                <w:szCs w:val="17"/>
                <w:spacing w:val="-2"/>
              </w:rPr>
              <w:t>校审定</w:t>
            </w:r>
          </w:p>
        </w:tc>
        <w:tc>
          <w:tcPr>
            <w:tcW w:w="2377" w:type="dxa"/>
            <w:vAlign w:val="top"/>
          </w:tcPr>
          <w:p>
            <w:pPr>
              <w:pStyle w:val="TableText"/>
              <w:ind w:left="54"/>
              <w:spacing w:before="141" w:line="219" w:lineRule="auto"/>
              <w:rPr>
                <w:sz w:val="17"/>
                <w:szCs w:val="17"/>
              </w:rPr>
            </w:pPr>
            <w:r>
              <w:rPr>
                <w:sz w:val="17"/>
                <w:szCs w:val="17"/>
                <w:spacing w:val="1"/>
              </w:rPr>
              <w:t>中国民献局，说就独区管意同</w:t>
            </w:r>
          </w:p>
        </w:tc>
        <w:tc>
          <w:tcPr>
            <w:tcW w:w="3711" w:type="dxa"/>
            <w:vAlign w:val="top"/>
          </w:tcPr>
          <w:p>
            <w:pPr>
              <w:pStyle w:val="TableText"/>
              <w:ind w:left="116" w:hanging="60"/>
              <w:spacing w:before="40" w:line="211" w:lineRule="auto"/>
              <w:rPr>
                <w:sz w:val="17"/>
                <w:szCs w:val="17"/>
              </w:rPr>
            </w:pPr>
            <w:r>
              <w:rPr>
                <w:sz w:val="17"/>
                <w:szCs w:val="17"/>
                <w:spacing w:val="-1"/>
              </w:rPr>
              <w:t>t调务能对确高保管的行政密批项自设定行改许可</w:t>
            </w:r>
            <w:r>
              <w:rPr>
                <w:sz w:val="17"/>
                <w:szCs w:val="17"/>
                <w:spacing w:val="10"/>
              </w:rPr>
              <w:t xml:space="preserve"> </w:t>
            </w:r>
            <w:r>
              <w:rPr>
                <w:sz w:val="17"/>
                <w:szCs w:val="17"/>
                <w:spacing w:val="8"/>
              </w:rPr>
              <w:t>的决定)</w:t>
            </w:r>
          </w:p>
        </w:tc>
      </w:tr>
      <w:tr>
        <w:trPr>
          <w:trHeight w:val="429" w:hRule="atLeast"/>
        </w:trPr>
        <w:tc>
          <w:tcPr>
            <w:tcW w:w="574" w:type="dxa"/>
            <w:vAlign w:val="top"/>
          </w:tcPr>
          <w:p>
            <w:pPr>
              <w:pStyle w:val="TableText"/>
              <w:ind w:left="144"/>
              <w:spacing w:before="175" w:line="183" w:lineRule="auto"/>
              <w:rPr>
                <w:sz w:val="17"/>
                <w:szCs w:val="17"/>
              </w:rPr>
            </w:pPr>
            <w:r>
              <w:rPr>
                <w:sz w:val="17"/>
                <w:szCs w:val="17"/>
                <w:spacing w:val="-2"/>
              </w:rPr>
              <w:t>820</w:t>
            </w:r>
          </w:p>
        </w:tc>
        <w:tc>
          <w:tcPr>
            <w:tcW w:w="1299" w:type="dxa"/>
            <w:vAlign w:val="top"/>
          </w:tcPr>
          <w:p>
            <w:pPr>
              <w:pStyle w:val="TableText"/>
              <w:ind w:left="210"/>
              <w:spacing w:before="132" w:line="220" w:lineRule="auto"/>
              <w:rPr>
                <w:sz w:val="17"/>
                <w:szCs w:val="17"/>
              </w:rPr>
            </w:pPr>
            <w:r>
              <w:rPr>
                <w:sz w:val="17"/>
                <w:szCs w:val="17"/>
                <w:spacing w:val="3"/>
              </w:rPr>
              <w:t>中国热航局</w:t>
            </w:r>
          </w:p>
        </w:tc>
        <w:tc>
          <w:tcPr>
            <w:tcW w:w="1638" w:type="dxa"/>
            <w:vAlign w:val="top"/>
          </w:tcPr>
          <w:p>
            <w:pPr>
              <w:pStyle w:val="TableText"/>
              <w:ind w:left="32" w:right="67" w:firstLine="10"/>
              <w:spacing w:before="52" w:line="199" w:lineRule="auto"/>
              <w:rPr>
                <w:sz w:val="17"/>
                <w:szCs w:val="17"/>
              </w:rPr>
            </w:pPr>
            <w:r>
              <w:rPr>
                <w:sz w:val="17"/>
                <w:szCs w:val="17"/>
                <w:spacing w:val="-2"/>
              </w:rPr>
              <w:t>飞行明练中心合部化</w:t>
            </w:r>
            <w:r>
              <w:rPr>
                <w:sz w:val="17"/>
                <w:szCs w:val="17"/>
                <w:spacing w:val="5"/>
              </w:rPr>
              <w:t xml:space="preserve"> </w:t>
            </w:r>
            <w:r>
              <w:rPr>
                <w:sz w:val="17"/>
                <w:szCs w:val="17"/>
              </w:rPr>
              <w:t>电</w:t>
            </w:r>
          </w:p>
        </w:tc>
        <w:tc>
          <w:tcPr>
            <w:tcW w:w="2377" w:type="dxa"/>
            <w:vAlign w:val="top"/>
          </w:tcPr>
          <w:p>
            <w:pPr>
              <w:pStyle w:val="TableText"/>
              <w:ind w:left="54"/>
              <w:spacing w:before="132" w:line="219" w:lineRule="auto"/>
              <w:rPr>
                <w:sz w:val="17"/>
                <w:szCs w:val="17"/>
              </w:rPr>
            </w:pPr>
            <w:r>
              <w:rPr>
                <w:sz w:val="17"/>
                <w:szCs w:val="17"/>
              </w:rPr>
              <w:t>中国他欣施，民脱域区管里具</w:t>
            </w:r>
          </w:p>
        </w:tc>
        <w:tc>
          <w:tcPr>
            <w:tcW w:w="3711" w:type="dxa"/>
            <w:vAlign w:val="top"/>
          </w:tcPr>
          <w:p>
            <w:pPr>
              <w:pStyle w:val="TableText"/>
              <w:ind w:left="116" w:right="6" w:hanging="80"/>
              <w:spacing w:before="41" w:line="205" w:lineRule="auto"/>
              <w:rPr>
                <w:sz w:val="17"/>
                <w:szCs w:val="17"/>
              </w:rPr>
            </w:pPr>
            <w:r>
              <w:rPr>
                <w:sz w:val="17"/>
                <w:szCs w:val="17"/>
              </w:rPr>
              <w:t>[国务院对确需保值的行政审扎项租设定行政价可</w:t>
            </w:r>
            <w:r>
              <w:rPr>
                <w:sz w:val="17"/>
                <w:szCs w:val="17"/>
                <w:spacing w:val="1"/>
              </w:rPr>
              <w:t xml:space="preserve"> </w:t>
            </w:r>
            <w:r>
              <w:rPr>
                <w:sz w:val="17"/>
                <w:szCs w:val="17"/>
              </w:rPr>
              <w:t>的决定?</w:t>
            </w:r>
          </w:p>
        </w:tc>
      </w:tr>
      <w:tr>
        <w:trPr>
          <w:trHeight w:val="449" w:hRule="atLeast"/>
        </w:trPr>
        <w:tc>
          <w:tcPr>
            <w:tcW w:w="574" w:type="dxa"/>
            <w:vAlign w:val="top"/>
          </w:tcPr>
          <w:p>
            <w:pPr>
              <w:pStyle w:val="TableText"/>
              <w:ind w:left="144"/>
              <w:spacing w:before="185" w:line="184" w:lineRule="auto"/>
              <w:rPr>
                <w:sz w:val="17"/>
                <w:szCs w:val="17"/>
              </w:rPr>
            </w:pPr>
            <w:r>
              <w:rPr>
                <w:sz w:val="17"/>
                <w:szCs w:val="17"/>
                <w:spacing w:val="-2"/>
              </w:rPr>
              <w:t>621</w:t>
            </w:r>
          </w:p>
        </w:tc>
        <w:tc>
          <w:tcPr>
            <w:tcW w:w="1299" w:type="dxa"/>
            <w:vAlign w:val="top"/>
          </w:tcPr>
          <w:p>
            <w:pPr>
              <w:pStyle w:val="TableText"/>
              <w:ind w:left="210"/>
              <w:spacing w:before="143" w:line="219" w:lineRule="auto"/>
              <w:rPr>
                <w:sz w:val="17"/>
                <w:szCs w:val="17"/>
              </w:rPr>
            </w:pPr>
            <w:r>
              <w:rPr>
                <w:sz w:val="17"/>
                <w:szCs w:val="17"/>
                <w:spacing w:val="1"/>
              </w:rPr>
              <w:t>中国民能随</w:t>
            </w:r>
          </w:p>
        </w:tc>
        <w:tc>
          <w:tcPr>
            <w:tcW w:w="1638" w:type="dxa"/>
            <w:vAlign w:val="top"/>
          </w:tcPr>
          <w:p>
            <w:pPr>
              <w:pStyle w:val="TableText"/>
              <w:ind w:left="32" w:right="39" w:firstLine="20"/>
              <w:spacing w:before="61" w:line="205" w:lineRule="auto"/>
              <w:rPr>
                <w:sz w:val="17"/>
                <w:szCs w:val="17"/>
              </w:rPr>
            </w:pPr>
            <w:r>
              <w:rPr>
                <w:sz w:val="17"/>
                <w:szCs w:val="17"/>
              </w:rPr>
              <w:t>电用前堂维修洁训机</w:t>
            </w:r>
            <w:r>
              <w:rPr>
                <w:sz w:val="17"/>
                <w:szCs w:val="17"/>
                <w:spacing w:val="5"/>
              </w:rPr>
              <w:t xml:space="preserve"> </w:t>
            </w:r>
            <w:r>
              <w:rPr>
                <w:sz w:val="17"/>
                <w:szCs w:val="17"/>
                <w:spacing w:val="-2"/>
              </w:rPr>
              <w:t>构审报</w:t>
            </w:r>
          </w:p>
        </w:tc>
        <w:tc>
          <w:tcPr>
            <w:tcW w:w="2377" w:type="dxa"/>
            <w:vAlign w:val="top"/>
          </w:tcPr>
          <w:p>
            <w:pPr>
              <w:pStyle w:val="TableText"/>
              <w:ind w:left="54"/>
              <w:spacing w:before="143" w:line="219" w:lineRule="auto"/>
              <w:rPr>
                <w:sz w:val="17"/>
                <w:szCs w:val="17"/>
              </w:rPr>
            </w:pPr>
            <w:r>
              <w:rPr>
                <w:sz w:val="17"/>
                <w:szCs w:val="17"/>
                <w:spacing w:val="1"/>
              </w:rPr>
              <w:t>中国民能局、民航地区管理局</w:t>
            </w:r>
          </w:p>
        </w:tc>
        <w:tc>
          <w:tcPr>
            <w:tcW w:w="3711" w:type="dxa"/>
            <w:vAlign w:val="top"/>
          </w:tcPr>
          <w:p>
            <w:pPr>
              <w:pStyle w:val="TableText"/>
              <w:ind w:left="116" w:right="6" w:hanging="80"/>
              <w:spacing w:before="52" w:line="210" w:lineRule="auto"/>
              <w:rPr>
                <w:sz w:val="17"/>
                <w:szCs w:val="17"/>
              </w:rPr>
            </w:pPr>
            <w:r>
              <w:rPr>
                <w:sz w:val="17"/>
                <w:szCs w:val="17"/>
              </w:rPr>
              <w:t>1国务院对硫青保值的行政市批巩白设定行政炸可</w:t>
            </w:r>
            <w:r>
              <w:rPr>
                <w:sz w:val="17"/>
                <w:szCs w:val="17"/>
                <w:spacing w:val="1"/>
              </w:rPr>
              <w:t xml:space="preserve"> </w:t>
            </w:r>
            <w:r>
              <w:rPr>
                <w:sz w:val="17"/>
                <w:szCs w:val="17"/>
                <w:spacing w:val="-11"/>
              </w:rPr>
              <w:t>的</w:t>
            </w:r>
            <w:r>
              <w:rPr>
                <w:sz w:val="17"/>
                <w:szCs w:val="17"/>
                <w:spacing w:val="-13"/>
              </w:rPr>
              <w:t xml:space="preserve"> </w:t>
            </w:r>
            <w:r>
              <w:rPr>
                <w:sz w:val="17"/>
                <w:szCs w:val="17"/>
                <w:spacing w:val="-11"/>
              </w:rPr>
              <w:t>决</w:t>
            </w:r>
            <w:r>
              <w:rPr>
                <w:sz w:val="17"/>
                <w:szCs w:val="17"/>
                <w:spacing w:val="-14"/>
              </w:rPr>
              <w:t xml:space="preserve"> </w:t>
            </w:r>
            <w:r>
              <w:rPr>
                <w:sz w:val="17"/>
                <w:szCs w:val="17"/>
                <w:spacing w:val="-11"/>
              </w:rPr>
              <w:t>定</w:t>
            </w:r>
          </w:p>
        </w:tc>
      </w:tr>
      <w:tr>
        <w:trPr>
          <w:trHeight w:val="439" w:hRule="atLeast"/>
        </w:trPr>
        <w:tc>
          <w:tcPr>
            <w:tcW w:w="574" w:type="dxa"/>
            <w:vAlign w:val="top"/>
          </w:tcPr>
          <w:p>
            <w:pPr>
              <w:pStyle w:val="TableText"/>
              <w:ind w:left="144"/>
              <w:spacing w:before="187" w:line="183" w:lineRule="auto"/>
              <w:rPr>
                <w:sz w:val="17"/>
                <w:szCs w:val="17"/>
              </w:rPr>
            </w:pPr>
            <w:r>
              <w:rPr>
                <w:sz w:val="17"/>
                <w:szCs w:val="17"/>
                <w:spacing w:val="-2"/>
              </w:rPr>
              <w:t>822</w:t>
            </w:r>
          </w:p>
        </w:tc>
        <w:tc>
          <w:tcPr>
            <w:tcW w:w="1299" w:type="dxa"/>
            <w:vAlign w:val="top"/>
          </w:tcPr>
          <w:p>
            <w:pPr>
              <w:pStyle w:val="TableText"/>
              <w:ind w:left="210"/>
              <w:spacing w:before="144" w:line="220" w:lineRule="auto"/>
              <w:rPr>
                <w:sz w:val="17"/>
                <w:szCs w:val="17"/>
              </w:rPr>
            </w:pPr>
            <w:r>
              <w:rPr>
                <w:sz w:val="17"/>
                <w:szCs w:val="17"/>
                <w:spacing w:val="3"/>
              </w:rPr>
              <w:t>中国民友局</w:t>
            </w:r>
          </w:p>
        </w:tc>
        <w:tc>
          <w:tcPr>
            <w:tcW w:w="1638" w:type="dxa"/>
            <w:vAlign w:val="top"/>
          </w:tcPr>
          <w:p>
            <w:pPr>
              <w:pStyle w:val="TableText"/>
              <w:ind w:left="32" w:right="35" w:firstLine="40"/>
              <w:spacing w:before="62" w:line="199" w:lineRule="auto"/>
              <w:rPr>
                <w:sz w:val="17"/>
                <w:szCs w:val="17"/>
              </w:rPr>
            </w:pPr>
            <w:r>
              <w:rPr>
                <w:sz w:val="17"/>
                <w:szCs w:val="17"/>
                <w:spacing w:val="-2"/>
              </w:rPr>
              <w:t>老行茔翠后群体机药</w:t>
            </w:r>
            <w:r>
              <w:rPr>
                <w:sz w:val="17"/>
                <w:szCs w:val="17"/>
                <w:spacing w:val="7"/>
              </w:rPr>
              <w:t xml:space="preserve"> </w:t>
            </w:r>
            <w:r>
              <w:rPr>
                <w:sz w:val="17"/>
                <w:szCs w:val="17"/>
                <w:spacing w:val="-3"/>
              </w:rPr>
              <w:t>市世</w:t>
            </w:r>
          </w:p>
        </w:tc>
        <w:tc>
          <w:tcPr>
            <w:tcW w:w="2377" w:type="dxa"/>
            <w:vAlign w:val="top"/>
          </w:tcPr>
          <w:p>
            <w:pPr>
              <w:pStyle w:val="TableText"/>
              <w:ind w:left="54"/>
              <w:spacing w:before="144" w:line="219" w:lineRule="auto"/>
              <w:rPr>
                <w:sz w:val="17"/>
                <w:szCs w:val="17"/>
              </w:rPr>
            </w:pPr>
            <w:r>
              <w:rPr>
                <w:sz w:val="17"/>
                <w:szCs w:val="17"/>
                <w:spacing w:val="2"/>
              </w:rPr>
              <w:t>民原地区育局</w:t>
            </w:r>
          </w:p>
        </w:tc>
        <w:tc>
          <w:tcPr>
            <w:tcW w:w="3711" w:type="dxa"/>
            <w:vAlign w:val="top"/>
          </w:tcPr>
          <w:p>
            <w:pPr>
              <w:pStyle w:val="TableText"/>
              <w:ind w:left="117" w:right="6"/>
              <w:spacing w:before="44" w:line="209" w:lineRule="auto"/>
              <w:rPr>
                <w:sz w:val="17"/>
                <w:szCs w:val="17"/>
              </w:rPr>
            </w:pPr>
            <w:r>
              <w:rPr>
                <w:sz w:val="17"/>
                <w:szCs w:val="17"/>
              </w:rPr>
              <w:t>国芳底对确需保指的行故审些项自设定行政许可</w:t>
            </w:r>
            <w:r>
              <w:rPr>
                <w:sz w:val="17"/>
                <w:szCs w:val="17"/>
                <w:spacing w:val="6"/>
              </w:rPr>
              <w:t xml:space="preserve"> </w:t>
            </w:r>
            <w:r>
              <w:rPr>
                <w:sz w:val="17"/>
                <w:szCs w:val="17"/>
                <w:spacing w:val="3"/>
              </w:rPr>
              <w:t>的决定</w:t>
            </w:r>
          </w:p>
        </w:tc>
      </w:tr>
      <w:tr>
        <w:trPr>
          <w:trHeight w:val="449" w:hRule="atLeast"/>
        </w:trPr>
        <w:tc>
          <w:tcPr>
            <w:tcW w:w="574" w:type="dxa"/>
            <w:vAlign w:val="top"/>
          </w:tcPr>
          <w:p>
            <w:pPr>
              <w:pStyle w:val="TableText"/>
              <w:ind w:left="144"/>
              <w:spacing w:before="161" w:line="239" w:lineRule="auto"/>
              <w:rPr>
                <w:sz w:val="17"/>
                <w:szCs w:val="17"/>
              </w:rPr>
            </w:pPr>
            <w:r>
              <w:rPr>
                <w:sz w:val="17"/>
                <w:szCs w:val="17"/>
                <w:spacing w:val="-3"/>
              </w:rPr>
              <w:t>5?7</w:t>
            </w:r>
          </w:p>
        </w:tc>
        <w:tc>
          <w:tcPr>
            <w:tcW w:w="1299" w:type="dxa"/>
            <w:vAlign w:val="top"/>
          </w:tcPr>
          <w:p>
            <w:pPr>
              <w:pStyle w:val="TableText"/>
              <w:ind w:left="210"/>
              <w:spacing w:before="145" w:line="219" w:lineRule="auto"/>
              <w:rPr>
                <w:sz w:val="17"/>
                <w:szCs w:val="17"/>
              </w:rPr>
            </w:pPr>
            <w:r>
              <w:rPr>
                <w:sz w:val="17"/>
                <w:szCs w:val="17"/>
                <w:spacing w:val="1"/>
              </w:rPr>
              <w:t>中国民款高</w:t>
            </w:r>
          </w:p>
        </w:tc>
        <w:tc>
          <w:tcPr>
            <w:tcW w:w="1638" w:type="dxa"/>
            <w:vAlign w:val="top"/>
          </w:tcPr>
          <w:p>
            <w:pPr>
              <w:pStyle w:val="TableText"/>
              <w:ind w:left="32" w:right="33" w:firstLine="40"/>
              <w:spacing w:before="54" w:line="209" w:lineRule="auto"/>
              <w:rPr>
                <w:sz w:val="17"/>
                <w:szCs w:val="17"/>
              </w:rPr>
            </w:pPr>
            <w:r>
              <w:rPr>
                <w:sz w:val="17"/>
                <w:szCs w:val="17"/>
                <w:spacing w:val="-1"/>
              </w:rPr>
              <w:t>毛机模拟机，飞行说</w:t>
            </w:r>
            <w:r>
              <w:rPr>
                <w:sz w:val="17"/>
                <w:szCs w:val="17"/>
              </w:rPr>
              <w:t xml:space="preserve"> </w:t>
            </w:r>
            <w:r>
              <w:rPr>
                <w:sz w:val="17"/>
                <w:szCs w:val="17"/>
                <w:spacing w:val="-1"/>
              </w:rPr>
              <w:t>妹器鉴定市批</w:t>
            </w:r>
          </w:p>
        </w:tc>
        <w:tc>
          <w:tcPr>
            <w:tcW w:w="2377" w:type="dxa"/>
            <w:vAlign w:val="top"/>
          </w:tcPr>
          <w:p>
            <w:pPr>
              <w:pStyle w:val="TableText"/>
              <w:ind w:left="54"/>
              <w:spacing w:before="145" w:line="220" w:lineRule="auto"/>
              <w:rPr>
                <w:sz w:val="17"/>
                <w:szCs w:val="17"/>
              </w:rPr>
            </w:pPr>
            <w:r>
              <w:rPr>
                <w:sz w:val="17"/>
                <w:szCs w:val="17"/>
                <w:spacing w:val="2"/>
              </w:rPr>
              <w:t>中博良放房</w:t>
            </w:r>
          </w:p>
        </w:tc>
        <w:tc>
          <w:tcPr>
            <w:tcW w:w="3711" w:type="dxa"/>
            <w:vAlign w:val="top"/>
          </w:tcPr>
          <w:p>
            <w:pPr>
              <w:pStyle w:val="TableText"/>
              <w:ind w:left="115" w:hanging="69"/>
              <w:spacing w:before="35" w:line="219" w:lineRule="auto"/>
              <w:rPr>
                <w:sz w:val="17"/>
                <w:szCs w:val="17"/>
              </w:rPr>
            </w:pPr>
            <w:r>
              <w:rPr>
                <w:sz w:val="17"/>
                <w:szCs w:val="17"/>
              </w:rPr>
              <w:t>1因多联对确需保招的行政审批项目设定有改</w:t>
            </w:r>
            <w:r>
              <w:rPr>
                <w:sz w:val="17"/>
                <w:szCs w:val="17"/>
                <w:spacing w:val="-1"/>
              </w:rPr>
              <w:t>作可</w:t>
            </w:r>
            <w:r>
              <w:rPr>
                <w:sz w:val="17"/>
                <w:szCs w:val="17"/>
              </w:rPr>
              <w:t xml:space="preserve"> </w:t>
            </w:r>
            <w:r>
              <w:rPr>
                <w:sz w:val="17"/>
                <w:szCs w:val="17"/>
                <w:spacing w:val="21"/>
              </w:rPr>
              <w:t>的决定】</w:t>
            </w:r>
          </w:p>
        </w:tc>
      </w:tr>
      <w:tr>
        <w:trPr>
          <w:trHeight w:val="694" w:hRule="atLeast"/>
        </w:trPr>
        <w:tc>
          <w:tcPr>
            <w:tcW w:w="574" w:type="dxa"/>
            <w:vAlign w:val="top"/>
          </w:tcPr>
          <w:p>
            <w:pPr>
              <w:spacing w:line="253" w:lineRule="auto"/>
              <w:rPr>
                <w:rFonts w:ascii="Arial"/>
                <w:sz w:val="21"/>
              </w:rPr>
            </w:pPr>
            <w:r/>
          </w:p>
          <w:p>
            <w:pPr>
              <w:pStyle w:val="TableText"/>
              <w:ind w:left="144"/>
              <w:spacing w:before="55" w:line="183" w:lineRule="auto"/>
              <w:rPr>
                <w:sz w:val="17"/>
                <w:szCs w:val="17"/>
              </w:rPr>
            </w:pPr>
            <w:r>
              <w:rPr>
                <w:sz w:val="17"/>
                <w:szCs w:val="17"/>
                <w:spacing w:val="-2"/>
              </w:rPr>
              <w:t>824</w:t>
            </w:r>
          </w:p>
        </w:tc>
        <w:tc>
          <w:tcPr>
            <w:tcW w:w="1299" w:type="dxa"/>
            <w:vAlign w:val="top"/>
          </w:tcPr>
          <w:p>
            <w:pPr>
              <w:pStyle w:val="TableText"/>
              <w:ind w:left="210"/>
              <w:spacing w:before="266" w:line="220" w:lineRule="auto"/>
              <w:rPr>
                <w:sz w:val="17"/>
                <w:szCs w:val="17"/>
              </w:rPr>
            </w:pPr>
            <w:r>
              <w:rPr>
                <w:sz w:val="17"/>
                <w:szCs w:val="17"/>
                <w:spacing w:val="3"/>
              </w:rPr>
              <w:t>中国民防局</w:t>
            </w:r>
          </w:p>
        </w:tc>
        <w:tc>
          <w:tcPr>
            <w:tcW w:w="1638" w:type="dxa"/>
            <w:vAlign w:val="top"/>
          </w:tcPr>
          <w:p>
            <w:pPr>
              <w:pStyle w:val="TableText"/>
              <w:ind w:left="32" w:right="64" w:firstLine="10"/>
              <w:spacing w:before="186" w:line="218" w:lineRule="auto"/>
              <w:rPr>
                <w:sz w:val="17"/>
                <w:szCs w:val="17"/>
              </w:rPr>
            </w:pPr>
            <w:r>
              <w:rPr>
                <w:sz w:val="17"/>
                <w:szCs w:val="17"/>
                <w:spacing w:val="-1"/>
              </w:rPr>
              <w:t>说用税稀场境及克体</w:t>
            </w:r>
            <w:r>
              <w:rPr>
                <w:sz w:val="17"/>
                <w:szCs w:val="17"/>
              </w:rPr>
              <w:t xml:space="preserve"> </w:t>
            </w:r>
            <w:r>
              <w:rPr>
                <w:sz w:val="17"/>
                <w:szCs w:val="17"/>
                <w:spacing w:val="-2"/>
              </w:rPr>
              <w:t>规到市批</w:t>
            </w:r>
          </w:p>
        </w:tc>
        <w:tc>
          <w:tcPr>
            <w:tcW w:w="2377" w:type="dxa"/>
            <w:vAlign w:val="top"/>
          </w:tcPr>
          <w:p>
            <w:pPr>
              <w:pStyle w:val="TableText"/>
              <w:ind w:left="54"/>
              <w:spacing w:before="265" w:line="219" w:lineRule="auto"/>
              <w:rPr>
                <w:sz w:val="17"/>
                <w:szCs w:val="17"/>
              </w:rPr>
            </w:pPr>
            <w:r>
              <w:rPr>
                <w:sz w:val="17"/>
                <w:szCs w:val="17"/>
              </w:rPr>
              <w:t>中信传航局，批翻地区督里具</w:t>
            </w:r>
          </w:p>
        </w:tc>
        <w:tc>
          <w:tcPr>
            <w:tcW w:w="3711" w:type="dxa"/>
            <w:vAlign w:val="top"/>
          </w:tcPr>
          <w:p>
            <w:pPr>
              <w:pStyle w:val="TableText"/>
              <w:ind w:left="117"/>
              <w:spacing w:before="95" w:line="196" w:lineRule="auto"/>
              <w:rPr>
                <w:sz w:val="17"/>
                <w:szCs w:val="17"/>
              </w:rPr>
            </w:pPr>
            <w:r>
              <w:rPr>
                <w:sz w:val="17"/>
                <w:szCs w:val="17"/>
                <w:spacing w:val="1"/>
              </w:rPr>
              <w:t>民用机场骨理森例</w:t>
            </w:r>
          </w:p>
          <w:p>
            <w:pPr>
              <w:pStyle w:val="TableText"/>
              <w:ind w:left="116" w:right="6" w:hanging="80"/>
              <w:spacing w:before="1" w:line="221" w:lineRule="auto"/>
              <w:rPr>
                <w:sz w:val="17"/>
                <w:szCs w:val="17"/>
              </w:rPr>
            </w:pPr>
            <w:r>
              <w:rPr>
                <w:sz w:val="17"/>
                <w:szCs w:val="17"/>
              </w:rPr>
              <w:t>1国务配对确需保留的行政审批所自设定行故许可</w:t>
            </w:r>
            <w:r>
              <w:rPr>
                <w:sz w:val="17"/>
                <w:szCs w:val="17"/>
                <w:spacing w:val="1"/>
              </w:rPr>
              <w:t xml:space="preserve"> </w:t>
            </w:r>
            <w:r>
              <w:rPr>
                <w:sz w:val="17"/>
                <w:szCs w:val="17"/>
                <w:spacing w:val="3"/>
              </w:rPr>
              <w:t>的决定1</w:t>
            </w:r>
          </w:p>
        </w:tc>
      </w:tr>
    </w:tbl>
    <w:p>
      <w:pPr>
        <w:pStyle w:val="BodyText"/>
        <w:rPr/>
      </w:pPr>
      <w:r/>
    </w:p>
    <w:p>
      <w:pPr>
        <w:sectPr>
          <w:pgSz w:w="11910" w:h="8220"/>
          <w:pgMar w:top="400" w:right="116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909120" behindDoc="0" locked="0" layoutInCell="0" allowOverlap="1">
                <wp:simplePos x="0" y="0"/>
                <wp:positionH relativeFrom="page">
                  <wp:posOffset>466406</wp:posOffset>
                </wp:positionH>
                <wp:positionV relativeFrom="page">
                  <wp:posOffset>610803</wp:posOffset>
                </wp:positionV>
                <wp:extent cx="163829" cy="148589"/>
                <wp:effectExtent l="0" t="0" r="0" b="0"/>
                <wp:wrapNone/>
                <wp:docPr id="334" name="TextBox 334"/>
                <wp:cNvGraphicFramePr/>
                <a:graphic>
                  <a:graphicData uri="http://schemas.microsoft.com/office/word/2010/wordprocessingShape">
                    <wps:wsp>
                      <wps:cNvSpPr txBox="1"/>
                      <wps:spPr>
                        <a:xfrm rot="5400000">
                          <a:off x="466406" y="610803"/>
                          <a:ext cx="163829"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248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6" style="position:absolute;margin-left:36.7249pt;margin-top:48.0947pt;mso-position-vertical-relative:page;mso-position-horizontal-relative:page;width:12.9pt;height:11.7pt;z-index:251909120;rotation:90;" o:allowincell="f" filled="false" stroked="false" type="#_x0000_t202">
                <v:fill on="false"/>
                <v:stroke on="false"/>
                <v:path/>
                <v:imagedata o:title=""/>
                <o:lock v:ext="edit" aspectratio="false"/>
                <v:textbox inset="0mm,0mm,0mm,0mm">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248</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77"/>
        <w:gridCol w:w="3701"/>
      </w:tblGrid>
      <w:tr>
        <w:trPr>
          <w:trHeight w:val="42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中央主曾部门</w:t>
            </w:r>
          </w:p>
        </w:tc>
        <w:tc>
          <w:tcPr>
            <w:tcW w:w="1648" w:type="dxa"/>
            <w:vAlign w:val="top"/>
          </w:tcPr>
          <w:p>
            <w:pPr>
              <w:pStyle w:val="TableText"/>
              <w:ind w:left="481"/>
              <w:spacing w:before="132" w:line="220" w:lineRule="auto"/>
              <w:rPr>
                <w:sz w:val="16"/>
                <w:szCs w:val="16"/>
              </w:rPr>
            </w:pPr>
            <w:r>
              <w:rPr>
                <w:sz w:val="16"/>
                <w:szCs w:val="16"/>
                <w:spacing w:val="-2"/>
              </w:rPr>
              <w:t>事项名称</w:t>
            </w:r>
          </w:p>
        </w:tc>
        <w:tc>
          <w:tcPr>
            <w:tcW w:w="2377" w:type="dxa"/>
            <w:vAlign w:val="top"/>
          </w:tcPr>
          <w:p>
            <w:pPr>
              <w:pStyle w:val="TableText"/>
              <w:ind w:left="854"/>
              <w:spacing w:before="131" w:line="219" w:lineRule="auto"/>
              <w:rPr>
                <w:sz w:val="16"/>
                <w:szCs w:val="16"/>
              </w:rPr>
            </w:pPr>
            <w:r>
              <w:rPr>
                <w:sz w:val="16"/>
                <w:szCs w:val="16"/>
                <w:spacing w:val="-2"/>
              </w:rPr>
              <w:t>实路税关</w:t>
            </w:r>
          </w:p>
        </w:tc>
        <w:tc>
          <w:tcPr>
            <w:tcW w:w="3701" w:type="dxa"/>
            <w:vAlign w:val="top"/>
          </w:tcPr>
          <w:p>
            <w:pPr>
              <w:pStyle w:val="TableText"/>
              <w:ind w:left="1256"/>
              <w:spacing w:before="130" w:line="219" w:lineRule="auto"/>
              <w:rPr>
                <w:sz w:val="16"/>
                <w:szCs w:val="16"/>
              </w:rPr>
            </w:pPr>
            <w:r>
              <w:rPr>
                <w:sz w:val="16"/>
                <w:szCs w:val="16"/>
                <w:spacing w:val="-2"/>
              </w:rPr>
              <w:t>设定和实葱依据</w:t>
            </w:r>
          </w:p>
        </w:tc>
      </w:tr>
      <w:tr>
        <w:trPr>
          <w:trHeight w:val="679" w:hRule="atLeast"/>
        </w:trPr>
        <w:tc>
          <w:tcPr>
            <w:tcW w:w="584" w:type="dxa"/>
            <w:vAlign w:val="top"/>
          </w:tcPr>
          <w:p>
            <w:pPr>
              <w:spacing w:line="244" w:lineRule="auto"/>
              <w:rPr>
                <w:rFonts w:ascii="Arial"/>
                <w:sz w:val="21"/>
              </w:rPr>
            </w:pPr>
            <w:r/>
          </w:p>
          <w:p>
            <w:pPr>
              <w:pStyle w:val="TableText"/>
              <w:ind w:left="164"/>
              <w:spacing w:before="52" w:line="183" w:lineRule="auto"/>
              <w:rPr>
                <w:sz w:val="16"/>
                <w:szCs w:val="16"/>
              </w:rPr>
            </w:pPr>
            <w:r>
              <w:rPr>
                <w:sz w:val="16"/>
                <w:szCs w:val="16"/>
                <w:spacing w:val="-2"/>
              </w:rPr>
              <w:t>825</w:t>
            </w:r>
          </w:p>
        </w:tc>
        <w:tc>
          <w:tcPr>
            <w:tcW w:w="1289" w:type="dxa"/>
            <w:vAlign w:val="top"/>
          </w:tcPr>
          <w:p>
            <w:pPr>
              <w:pStyle w:val="TableText"/>
              <w:ind w:left="231"/>
              <w:spacing w:before="256" w:line="219" w:lineRule="auto"/>
              <w:rPr>
                <w:sz w:val="16"/>
                <w:szCs w:val="16"/>
              </w:rPr>
            </w:pPr>
            <w:r>
              <w:rPr>
                <w:sz w:val="16"/>
                <w:szCs w:val="16"/>
                <w:spacing w:val="1"/>
              </w:rPr>
              <w:t>中国民航励</w:t>
            </w:r>
          </w:p>
        </w:tc>
        <w:tc>
          <w:tcPr>
            <w:tcW w:w="1648" w:type="dxa"/>
            <w:vAlign w:val="top"/>
          </w:tcPr>
          <w:p>
            <w:pPr>
              <w:pStyle w:val="TableText"/>
              <w:ind w:left="32" w:right="107" w:firstLine="50"/>
              <w:spacing w:before="66" w:line="227" w:lineRule="auto"/>
              <w:jc w:val="both"/>
              <w:rPr>
                <w:sz w:val="16"/>
                <w:szCs w:val="16"/>
              </w:rPr>
            </w:pPr>
            <w:r>
              <w:rPr>
                <w:sz w:val="16"/>
                <w:szCs w:val="16"/>
              </w:rPr>
              <w:t>民熊专业工程及含有</w:t>
            </w:r>
            <w:r>
              <w:rPr>
                <w:sz w:val="16"/>
                <w:szCs w:val="16"/>
                <w:spacing w:val="7"/>
              </w:rPr>
              <w:t xml:space="preserve"> </w:t>
            </w:r>
            <w:r>
              <w:rPr>
                <w:sz w:val="16"/>
                <w:szCs w:val="16"/>
                <w:spacing w:val="6"/>
              </w:rPr>
              <w:t>中央投资的民航建设</w:t>
            </w:r>
            <w:r>
              <w:rPr>
                <w:sz w:val="16"/>
                <w:szCs w:val="16"/>
                <w:spacing w:val="2"/>
              </w:rPr>
              <w:t xml:space="preserve"> </w:t>
            </w:r>
            <w:r>
              <w:rPr>
                <w:sz w:val="16"/>
                <w:szCs w:val="16"/>
                <w:spacing w:val="-1"/>
              </w:rPr>
              <w:t>项目积步设计审把</w:t>
            </w:r>
          </w:p>
        </w:tc>
        <w:tc>
          <w:tcPr>
            <w:tcW w:w="2377" w:type="dxa"/>
            <w:vAlign w:val="top"/>
          </w:tcPr>
          <w:p>
            <w:pPr>
              <w:pStyle w:val="TableText"/>
              <w:ind w:left="54"/>
              <w:spacing w:before="256" w:line="219" w:lineRule="auto"/>
              <w:rPr>
                <w:sz w:val="16"/>
                <w:szCs w:val="16"/>
              </w:rPr>
            </w:pPr>
            <w:r>
              <w:rPr>
                <w:sz w:val="16"/>
                <w:szCs w:val="16"/>
                <w:spacing w:val="1"/>
              </w:rPr>
              <w:t>中国说能；民航起区管硬局</w:t>
            </w:r>
          </w:p>
        </w:tc>
        <w:tc>
          <w:tcPr>
            <w:tcW w:w="3701" w:type="dxa"/>
            <w:vAlign w:val="top"/>
          </w:tcPr>
          <w:p>
            <w:pPr>
              <w:pStyle w:val="TableText"/>
              <w:ind w:left="46"/>
              <w:spacing w:before="75" w:line="219" w:lineRule="auto"/>
              <w:rPr>
                <w:sz w:val="16"/>
                <w:szCs w:val="16"/>
              </w:rPr>
            </w:pPr>
            <w:r>
              <w:rPr>
                <w:sz w:val="16"/>
                <w:szCs w:val="16"/>
                <w:spacing w:val="3"/>
              </w:rPr>
              <w:t>(税用机码管理亲街)</w:t>
            </w:r>
          </w:p>
          <w:p>
            <w:pPr>
              <w:pStyle w:val="TableText"/>
              <w:ind w:left="46" w:right="207" w:firstLine="70"/>
              <w:spacing w:before="1" w:line="225" w:lineRule="auto"/>
              <w:rPr>
                <w:sz w:val="16"/>
                <w:szCs w:val="16"/>
              </w:rPr>
            </w:pPr>
            <w:r>
              <w:rPr>
                <w:sz w:val="16"/>
                <w:szCs w:val="16"/>
              </w:rPr>
              <w:t>国务被对确肩保面的行政审批项行设定行或许可</w:t>
            </w:r>
            <w:r>
              <w:rPr>
                <w:sz w:val="16"/>
                <w:szCs w:val="16"/>
                <w:spacing w:val="5"/>
              </w:rPr>
              <w:t xml:space="preserve"> </w:t>
            </w:r>
            <w:r>
              <w:rPr>
                <w:sz w:val="16"/>
                <w:szCs w:val="16"/>
                <w:spacing w:val="3"/>
              </w:rPr>
              <w:t>的决定</w:t>
            </w:r>
          </w:p>
        </w:tc>
      </w:tr>
      <w:tr>
        <w:trPr>
          <w:trHeight w:val="669" w:hRule="atLeast"/>
        </w:trPr>
        <w:tc>
          <w:tcPr>
            <w:tcW w:w="584" w:type="dxa"/>
            <w:vAlign w:val="top"/>
          </w:tcPr>
          <w:p>
            <w:pPr>
              <w:spacing w:line="245" w:lineRule="auto"/>
              <w:rPr>
                <w:rFonts w:ascii="Arial"/>
                <w:sz w:val="21"/>
              </w:rPr>
            </w:pPr>
            <w:r/>
          </w:p>
          <w:p>
            <w:pPr>
              <w:pStyle w:val="TableText"/>
              <w:ind w:left="164"/>
              <w:spacing w:before="52" w:line="183" w:lineRule="auto"/>
              <w:rPr>
                <w:sz w:val="16"/>
                <w:szCs w:val="16"/>
              </w:rPr>
            </w:pPr>
            <w:r>
              <w:rPr>
                <w:sz w:val="16"/>
                <w:szCs w:val="16"/>
                <w:spacing w:val="-2"/>
              </w:rPr>
              <w:t>226</w:t>
            </w:r>
          </w:p>
        </w:tc>
        <w:tc>
          <w:tcPr>
            <w:tcW w:w="1289" w:type="dxa"/>
            <w:vAlign w:val="top"/>
          </w:tcPr>
          <w:p>
            <w:pPr>
              <w:pStyle w:val="TableText"/>
              <w:ind w:left="231"/>
              <w:spacing w:before="258" w:line="220" w:lineRule="auto"/>
              <w:rPr>
                <w:sz w:val="16"/>
                <w:szCs w:val="16"/>
              </w:rPr>
            </w:pPr>
            <w:r>
              <w:rPr>
                <w:sz w:val="16"/>
                <w:szCs w:val="16"/>
                <w:spacing w:val="2"/>
              </w:rPr>
              <w:t>中国民验局</w:t>
            </w:r>
          </w:p>
        </w:tc>
        <w:tc>
          <w:tcPr>
            <w:tcW w:w="1648" w:type="dxa"/>
            <w:vAlign w:val="top"/>
          </w:tcPr>
          <w:p>
            <w:pPr>
              <w:pStyle w:val="TableText"/>
              <w:ind w:left="32" w:right="112" w:firstLine="20"/>
              <w:spacing w:before="66" w:line="221" w:lineRule="auto"/>
              <w:jc w:val="both"/>
              <w:rPr>
                <w:sz w:val="16"/>
                <w:szCs w:val="16"/>
              </w:rPr>
            </w:pPr>
            <w:r>
              <w:rPr>
                <w:sz w:val="16"/>
                <w:szCs w:val="16"/>
                <w:spacing w:val="-1"/>
              </w:rPr>
              <w:t>规定权眼内新理，改</w:t>
            </w:r>
            <w:r>
              <w:rPr>
                <w:sz w:val="16"/>
                <w:szCs w:val="16"/>
                <w:spacing w:val="1"/>
              </w:rPr>
              <w:t xml:space="preserve"> </w:t>
            </w:r>
            <w:r>
              <w:rPr>
                <w:sz w:val="16"/>
                <w:szCs w:val="16"/>
                <w:spacing w:val="5"/>
              </w:rPr>
              <w:t>建和扩论民用能场审</w:t>
            </w:r>
            <w:r>
              <w:rPr>
                <w:sz w:val="16"/>
                <w:szCs w:val="16"/>
                <w:spacing w:val="7"/>
              </w:rPr>
              <w:t xml:space="preserve"> </w:t>
            </w:r>
            <w:r>
              <w:rPr>
                <w:sz w:val="16"/>
                <w:szCs w:val="16"/>
              </w:rPr>
              <w:t>批</w:t>
            </w:r>
          </w:p>
        </w:tc>
        <w:tc>
          <w:tcPr>
            <w:tcW w:w="2377" w:type="dxa"/>
            <w:vAlign w:val="top"/>
          </w:tcPr>
          <w:p>
            <w:pPr>
              <w:pStyle w:val="TableText"/>
              <w:ind w:left="54"/>
              <w:spacing w:before="258" w:line="220" w:lineRule="auto"/>
              <w:rPr>
                <w:sz w:val="16"/>
                <w:szCs w:val="16"/>
              </w:rPr>
            </w:pPr>
            <w:r>
              <w:rPr>
                <w:sz w:val="16"/>
                <w:szCs w:val="16"/>
                <w:spacing w:val="1"/>
              </w:rPr>
              <w:t>中国民能号</w:t>
            </w:r>
          </w:p>
        </w:tc>
        <w:tc>
          <w:tcPr>
            <w:tcW w:w="3701" w:type="dxa"/>
            <w:vAlign w:val="top"/>
          </w:tcPr>
          <w:p>
            <w:pPr>
              <w:pStyle w:val="TableText"/>
              <w:ind w:left="46"/>
              <w:spacing w:before="257" w:line="219" w:lineRule="auto"/>
              <w:rPr>
                <w:sz w:val="16"/>
                <w:szCs w:val="16"/>
              </w:rPr>
            </w:pPr>
            <w:r>
              <w:rPr>
                <w:sz w:val="16"/>
                <w:szCs w:val="16"/>
                <w:spacing w:val="-2"/>
              </w:rPr>
              <w:t>t中华人民共和国民用校空法》</w:t>
            </w:r>
          </w:p>
        </w:tc>
      </w:tr>
      <w:tr>
        <w:trPr>
          <w:trHeight w:val="479" w:hRule="atLeast"/>
        </w:trPr>
        <w:tc>
          <w:tcPr>
            <w:tcW w:w="584" w:type="dxa"/>
            <w:vAlign w:val="top"/>
          </w:tcPr>
          <w:p>
            <w:pPr>
              <w:pStyle w:val="TableText"/>
              <w:ind w:left="164"/>
              <w:spacing w:before="199" w:line="183" w:lineRule="auto"/>
              <w:rPr>
                <w:sz w:val="16"/>
                <w:szCs w:val="16"/>
              </w:rPr>
            </w:pPr>
            <w:r>
              <w:rPr>
                <w:sz w:val="16"/>
                <w:szCs w:val="16"/>
                <w:spacing w:val="-2"/>
              </w:rPr>
              <w:t>827</w:t>
            </w:r>
          </w:p>
        </w:tc>
        <w:tc>
          <w:tcPr>
            <w:tcW w:w="1289" w:type="dxa"/>
            <w:vAlign w:val="top"/>
          </w:tcPr>
          <w:p>
            <w:pPr>
              <w:pStyle w:val="TableText"/>
              <w:ind w:left="231"/>
              <w:spacing w:before="159" w:line="220" w:lineRule="auto"/>
              <w:rPr>
                <w:sz w:val="16"/>
                <w:szCs w:val="16"/>
              </w:rPr>
            </w:pPr>
            <w:r>
              <w:rPr>
                <w:sz w:val="16"/>
                <w:szCs w:val="16"/>
                <w:spacing w:val="2"/>
              </w:rPr>
              <w:t>中国民能局</w:t>
            </w:r>
          </w:p>
        </w:tc>
        <w:tc>
          <w:tcPr>
            <w:tcW w:w="1648" w:type="dxa"/>
            <w:vAlign w:val="top"/>
          </w:tcPr>
          <w:p>
            <w:pPr>
              <w:pStyle w:val="TableText"/>
              <w:ind w:left="32" w:right="152" w:firstLine="20"/>
              <w:spacing w:before="67" w:line="220" w:lineRule="auto"/>
              <w:rPr>
                <w:sz w:val="16"/>
                <w:szCs w:val="16"/>
              </w:rPr>
            </w:pPr>
            <w:r>
              <w:rPr>
                <w:sz w:val="16"/>
                <w:szCs w:val="16"/>
                <w:spacing w:val="-1"/>
              </w:rPr>
              <w:t>适物机场专业工程验</w:t>
            </w:r>
            <w:r>
              <w:rPr>
                <w:sz w:val="16"/>
                <w:szCs w:val="16"/>
                <w:spacing w:val="1"/>
              </w:rPr>
              <w:t xml:space="preserve"> </w:t>
            </w:r>
            <w:r>
              <w:rPr>
                <w:sz w:val="16"/>
                <w:szCs w:val="16"/>
              </w:rPr>
              <w:t>收</w:t>
            </w:r>
          </w:p>
        </w:tc>
        <w:tc>
          <w:tcPr>
            <w:tcW w:w="2377" w:type="dxa"/>
            <w:vAlign w:val="top"/>
          </w:tcPr>
          <w:p>
            <w:pPr>
              <w:pStyle w:val="TableText"/>
              <w:ind w:left="54"/>
              <w:spacing w:before="158" w:line="219" w:lineRule="auto"/>
              <w:rPr>
                <w:sz w:val="16"/>
                <w:szCs w:val="16"/>
              </w:rPr>
            </w:pPr>
            <w:r>
              <w:rPr>
                <w:sz w:val="16"/>
                <w:szCs w:val="16"/>
              </w:rPr>
              <w:t>民庭地区管理高</w:t>
            </w:r>
          </w:p>
        </w:tc>
        <w:tc>
          <w:tcPr>
            <w:tcW w:w="3701" w:type="dxa"/>
            <w:vAlign w:val="top"/>
          </w:tcPr>
          <w:p>
            <w:pPr>
              <w:pStyle w:val="TableText"/>
              <w:ind w:left="46"/>
              <w:spacing w:before="157" w:line="219" w:lineRule="auto"/>
              <w:rPr>
                <w:sz w:val="16"/>
                <w:szCs w:val="16"/>
              </w:rPr>
            </w:pPr>
            <w:r>
              <w:rPr>
                <w:sz w:val="16"/>
                <w:szCs w:val="16"/>
              </w:rPr>
              <w:t>民加机场特理单例：</w:t>
            </w:r>
          </w:p>
        </w:tc>
      </w:tr>
      <w:tr>
        <w:trPr>
          <w:trHeight w:val="659" w:hRule="atLeast"/>
        </w:trPr>
        <w:tc>
          <w:tcPr>
            <w:tcW w:w="584" w:type="dxa"/>
            <w:vAlign w:val="top"/>
          </w:tcPr>
          <w:p>
            <w:pPr>
              <w:pStyle w:val="TableText"/>
              <w:ind w:left="164"/>
              <w:spacing w:before="290" w:line="183" w:lineRule="auto"/>
              <w:rPr>
                <w:sz w:val="16"/>
                <w:szCs w:val="16"/>
              </w:rPr>
            </w:pPr>
            <w:r>
              <w:rPr>
                <w:sz w:val="16"/>
                <w:szCs w:val="16"/>
                <w:spacing w:val="-2"/>
              </w:rPr>
              <w:t>828</w:t>
            </w:r>
          </w:p>
        </w:tc>
        <w:tc>
          <w:tcPr>
            <w:tcW w:w="1289" w:type="dxa"/>
            <w:vAlign w:val="top"/>
          </w:tcPr>
          <w:p>
            <w:pPr>
              <w:pStyle w:val="TableText"/>
              <w:ind w:left="231"/>
              <w:spacing w:before="250" w:line="220" w:lineRule="auto"/>
              <w:rPr>
                <w:sz w:val="16"/>
                <w:szCs w:val="16"/>
              </w:rPr>
            </w:pPr>
            <w:r>
              <w:rPr>
                <w:sz w:val="16"/>
                <w:szCs w:val="16"/>
                <w:spacing w:val="2"/>
              </w:rPr>
              <w:t>中国民航局</w:t>
            </w:r>
          </w:p>
        </w:tc>
        <w:tc>
          <w:tcPr>
            <w:tcW w:w="1648" w:type="dxa"/>
            <w:vAlign w:val="top"/>
          </w:tcPr>
          <w:p>
            <w:pPr>
              <w:pStyle w:val="TableText"/>
              <w:ind w:left="32"/>
              <w:spacing w:before="248" w:line="219" w:lineRule="auto"/>
              <w:rPr>
                <w:sz w:val="16"/>
                <w:szCs w:val="16"/>
              </w:rPr>
            </w:pPr>
            <w:r>
              <w:rPr>
                <w:sz w:val="16"/>
                <w:szCs w:val="16"/>
                <w:spacing w:val="1"/>
              </w:rPr>
              <w:t>民用机场使用许间</w:t>
            </w:r>
          </w:p>
        </w:tc>
        <w:tc>
          <w:tcPr>
            <w:tcW w:w="2377" w:type="dxa"/>
            <w:vAlign w:val="top"/>
          </w:tcPr>
          <w:p>
            <w:pPr>
              <w:pStyle w:val="TableText"/>
              <w:ind w:left="54"/>
              <w:spacing w:before="249" w:line="219" w:lineRule="auto"/>
              <w:rPr>
                <w:sz w:val="16"/>
                <w:szCs w:val="16"/>
              </w:rPr>
            </w:pPr>
            <w:r>
              <w:rPr>
                <w:sz w:val="16"/>
                <w:szCs w:val="16"/>
                <w:spacing w:val="1"/>
              </w:rPr>
              <w:t>中国民院局；民腻地区查透局</w:t>
            </w:r>
          </w:p>
        </w:tc>
        <w:tc>
          <w:tcPr>
            <w:tcW w:w="3701" w:type="dxa"/>
            <w:vAlign w:val="top"/>
          </w:tcPr>
          <w:p>
            <w:pPr>
              <w:pStyle w:val="TableText"/>
              <w:ind w:left="46"/>
              <w:spacing w:before="59" w:line="196" w:lineRule="auto"/>
              <w:rPr>
                <w:sz w:val="16"/>
                <w:szCs w:val="16"/>
              </w:rPr>
            </w:pPr>
            <w:r>
              <w:rPr>
                <w:sz w:val="16"/>
                <w:szCs w:val="16"/>
              </w:rPr>
              <w:t>(中作人民共和面医用放空法</w:t>
            </w:r>
          </w:p>
          <w:p>
            <w:pPr>
              <w:pStyle w:val="TableText"/>
              <w:ind w:left="46"/>
              <w:spacing w:line="218" w:lineRule="auto"/>
              <w:rPr>
                <w:sz w:val="16"/>
                <w:szCs w:val="16"/>
              </w:rPr>
            </w:pPr>
            <w:r>
              <w:rPr>
                <w:sz w:val="16"/>
                <w:szCs w:val="16"/>
                <w:spacing w:val="1"/>
              </w:rPr>
              <w:t>民用机场管理条例</w:t>
            </w:r>
          </w:p>
          <w:p>
            <w:pPr>
              <w:pStyle w:val="TableText"/>
              <w:spacing w:before="20" w:line="219" w:lineRule="auto"/>
              <w:rPr>
                <w:sz w:val="16"/>
                <w:szCs w:val="16"/>
              </w:rPr>
            </w:pPr>
            <w:r>
              <w:rPr>
                <w:sz w:val="16"/>
                <w:szCs w:val="16"/>
                <w:spacing w:val="-3"/>
              </w:rPr>
              <w:t>《运紫机场使用许可规定!</w:t>
            </w:r>
          </w:p>
        </w:tc>
      </w:tr>
      <w:tr>
        <w:trPr>
          <w:trHeight w:val="679" w:hRule="atLeast"/>
        </w:trPr>
        <w:tc>
          <w:tcPr>
            <w:tcW w:w="584" w:type="dxa"/>
            <w:vAlign w:val="top"/>
          </w:tcPr>
          <w:p>
            <w:pPr>
              <w:spacing w:line="248" w:lineRule="auto"/>
              <w:rPr>
                <w:rFonts w:ascii="Arial"/>
                <w:sz w:val="21"/>
              </w:rPr>
            </w:pPr>
            <w:r/>
          </w:p>
          <w:p>
            <w:pPr>
              <w:pStyle w:val="TableText"/>
              <w:ind w:left="164"/>
              <w:spacing w:before="52" w:line="183" w:lineRule="auto"/>
              <w:rPr>
                <w:sz w:val="16"/>
                <w:szCs w:val="16"/>
              </w:rPr>
            </w:pPr>
            <w:r>
              <w:rPr>
                <w:sz w:val="16"/>
                <w:szCs w:val="16"/>
                <w:spacing w:val="-2"/>
              </w:rPr>
              <w:t>820</w:t>
            </w:r>
          </w:p>
        </w:tc>
        <w:tc>
          <w:tcPr>
            <w:tcW w:w="1289" w:type="dxa"/>
            <w:vAlign w:val="top"/>
          </w:tcPr>
          <w:p>
            <w:pPr>
              <w:pStyle w:val="TableText"/>
              <w:ind w:left="231"/>
              <w:spacing w:before="261" w:line="220" w:lineRule="auto"/>
              <w:rPr>
                <w:sz w:val="16"/>
                <w:szCs w:val="16"/>
              </w:rPr>
            </w:pPr>
            <w:r>
              <w:rPr>
                <w:sz w:val="16"/>
                <w:szCs w:val="16"/>
                <w:spacing w:val="2"/>
              </w:rPr>
              <w:t>中国民航局</w:t>
            </w:r>
          </w:p>
        </w:tc>
        <w:tc>
          <w:tcPr>
            <w:tcW w:w="1648" w:type="dxa"/>
            <w:vAlign w:val="top"/>
          </w:tcPr>
          <w:p>
            <w:pPr>
              <w:pStyle w:val="TableText"/>
              <w:ind w:left="32" w:right="107" w:firstLine="50"/>
              <w:spacing w:before="180" w:line="220" w:lineRule="auto"/>
              <w:rPr>
                <w:sz w:val="16"/>
                <w:szCs w:val="16"/>
              </w:rPr>
            </w:pPr>
            <w:r>
              <w:rPr>
                <w:sz w:val="16"/>
                <w:szCs w:val="16"/>
              </w:rPr>
              <w:t>民用机场不得剧施工</w:t>
            </w:r>
            <w:r>
              <w:rPr>
                <w:sz w:val="16"/>
                <w:szCs w:val="16"/>
                <w:spacing w:val="7"/>
              </w:rPr>
              <w:t xml:space="preserve"> </w:t>
            </w:r>
            <w:r>
              <w:rPr>
                <w:sz w:val="16"/>
                <w:szCs w:val="16"/>
                <w:spacing w:val="3"/>
              </w:rPr>
              <w:t>审批</w:t>
            </w:r>
          </w:p>
        </w:tc>
        <w:tc>
          <w:tcPr>
            <w:tcW w:w="2377" w:type="dxa"/>
            <w:vAlign w:val="top"/>
          </w:tcPr>
          <w:p>
            <w:pPr>
              <w:pStyle w:val="TableText"/>
              <w:ind w:left="54"/>
              <w:spacing w:before="260" w:line="219" w:lineRule="auto"/>
              <w:rPr>
                <w:sz w:val="16"/>
                <w:szCs w:val="16"/>
              </w:rPr>
            </w:pPr>
            <w:r>
              <w:rPr>
                <w:sz w:val="16"/>
                <w:szCs w:val="16"/>
                <w:spacing w:val="1"/>
              </w:rPr>
              <w:t>民解垛这登理贴</w:t>
            </w:r>
          </w:p>
        </w:tc>
        <w:tc>
          <w:tcPr>
            <w:tcW w:w="3701" w:type="dxa"/>
            <w:vAlign w:val="top"/>
          </w:tcPr>
          <w:p>
            <w:pPr>
              <w:pStyle w:val="TableText"/>
              <w:spacing w:before="79" w:line="219" w:lineRule="auto"/>
              <w:rPr>
                <w:sz w:val="16"/>
                <w:szCs w:val="16"/>
              </w:rPr>
            </w:pPr>
            <w:r>
              <w:rPr>
                <w:sz w:val="16"/>
                <w:szCs w:val="16"/>
                <w:spacing w:val="-5"/>
              </w:rPr>
              <w:t>《民用机当管星条例》</w:t>
            </w:r>
          </w:p>
          <w:p>
            <w:pPr>
              <w:pStyle w:val="TableText"/>
              <w:ind w:left="46" w:right="277"/>
              <w:spacing w:before="1" w:line="219" w:lineRule="auto"/>
              <w:rPr>
                <w:sz w:val="16"/>
                <w:szCs w:val="16"/>
              </w:rPr>
            </w:pPr>
            <w:r>
              <w:rPr>
                <w:sz w:val="16"/>
                <w:szCs w:val="16"/>
              </w:rPr>
              <w:t>国务院别确需保窗的行收审批项目设定行收许可</w:t>
            </w:r>
            <w:r>
              <w:rPr>
                <w:sz w:val="16"/>
                <w:szCs w:val="16"/>
                <w:spacing w:val="5"/>
              </w:rPr>
              <w:t xml:space="preserve"> </w:t>
            </w:r>
            <w:r>
              <w:rPr>
                <w:sz w:val="16"/>
                <w:szCs w:val="16"/>
              </w:rPr>
              <w:t>的决定》</w:t>
            </w:r>
          </w:p>
        </w:tc>
      </w:tr>
      <w:tr>
        <w:trPr>
          <w:trHeight w:val="469" w:hRule="atLeast"/>
        </w:trPr>
        <w:tc>
          <w:tcPr>
            <w:tcW w:w="584" w:type="dxa"/>
            <w:vAlign w:val="top"/>
          </w:tcPr>
          <w:p>
            <w:pPr>
              <w:pStyle w:val="TableText"/>
              <w:ind w:left="164"/>
              <w:spacing w:before="202" w:line="183" w:lineRule="auto"/>
              <w:rPr>
                <w:sz w:val="16"/>
                <w:szCs w:val="16"/>
              </w:rPr>
            </w:pPr>
            <w:r>
              <w:rPr>
                <w:sz w:val="16"/>
                <w:szCs w:val="16"/>
                <w:spacing w:val="-1"/>
              </w:rPr>
              <w:t>&amp;30</w:t>
            </w:r>
          </w:p>
        </w:tc>
        <w:tc>
          <w:tcPr>
            <w:tcW w:w="1289" w:type="dxa"/>
            <w:vAlign w:val="top"/>
          </w:tcPr>
          <w:p>
            <w:pPr>
              <w:pStyle w:val="TableText"/>
              <w:ind w:left="231"/>
              <w:spacing w:before="162" w:line="220" w:lineRule="auto"/>
              <w:rPr>
                <w:sz w:val="16"/>
                <w:szCs w:val="16"/>
              </w:rPr>
            </w:pPr>
            <w:r>
              <w:rPr>
                <w:sz w:val="16"/>
                <w:szCs w:val="16"/>
                <w:spacing w:val="2"/>
              </w:rPr>
              <w:t>中国民航局</w:t>
            </w:r>
          </w:p>
        </w:tc>
        <w:tc>
          <w:tcPr>
            <w:tcW w:w="1648" w:type="dxa"/>
            <w:vAlign w:val="top"/>
          </w:tcPr>
          <w:p>
            <w:pPr>
              <w:pStyle w:val="TableText"/>
              <w:ind w:left="32" w:firstLine="29"/>
              <w:spacing w:before="61" w:line="225" w:lineRule="auto"/>
              <w:rPr>
                <w:sz w:val="16"/>
                <w:szCs w:val="16"/>
              </w:rPr>
            </w:pPr>
            <w:r>
              <w:rPr>
                <w:sz w:val="16"/>
                <w:szCs w:val="16"/>
                <w:spacing w:val="-3"/>
              </w:rPr>
              <w:t>民能通信，导胤，监视</w:t>
            </w:r>
            <w:r>
              <w:rPr>
                <w:sz w:val="16"/>
                <w:szCs w:val="16"/>
                <w:spacing w:val="5"/>
              </w:rPr>
              <w:t xml:space="preserve"> </w:t>
            </w:r>
            <w:r>
              <w:rPr>
                <w:sz w:val="16"/>
                <w:szCs w:val="16"/>
                <w:spacing w:val="-2"/>
              </w:rPr>
              <w:t>设备使川许可</w:t>
            </w:r>
          </w:p>
        </w:tc>
        <w:tc>
          <w:tcPr>
            <w:tcW w:w="2377" w:type="dxa"/>
            <w:vAlign w:val="top"/>
          </w:tcPr>
          <w:p>
            <w:pPr>
              <w:pStyle w:val="TableText"/>
              <w:ind w:left="54"/>
              <w:spacing w:before="161" w:line="219" w:lineRule="auto"/>
              <w:rPr>
                <w:sz w:val="16"/>
                <w:szCs w:val="16"/>
              </w:rPr>
            </w:pPr>
            <w:r>
              <w:rPr>
                <w:sz w:val="16"/>
                <w:szCs w:val="16"/>
                <w:spacing w:val="6"/>
              </w:rPr>
              <w:t>中国民黄月</w:t>
            </w:r>
          </w:p>
        </w:tc>
        <w:tc>
          <w:tcPr>
            <w:tcW w:w="3701" w:type="dxa"/>
            <w:vAlign w:val="top"/>
          </w:tcPr>
          <w:p>
            <w:pPr>
              <w:pStyle w:val="TableText"/>
              <w:ind w:left="46"/>
              <w:spacing w:before="61" w:line="219" w:lineRule="auto"/>
              <w:rPr>
                <w:sz w:val="16"/>
                <w:szCs w:val="16"/>
              </w:rPr>
            </w:pPr>
            <w:r>
              <w:rPr>
                <w:sz w:val="16"/>
                <w:szCs w:val="16"/>
                <w:spacing w:val="-1"/>
              </w:rPr>
              <w:t>(中作人民共和国医用航空法》</w:t>
            </w:r>
          </w:p>
          <w:p>
            <w:pPr>
              <w:pStyle w:val="TableText"/>
              <w:ind w:left="46"/>
              <w:spacing w:line="218" w:lineRule="auto"/>
              <w:rPr>
                <w:sz w:val="16"/>
                <w:szCs w:val="16"/>
              </w:rPr>
            </w:pPr>
            <w:r>
              <w:rPr>
                <w:sz w:val="16"/>
                <w:szCs w:val="16"/>
              </w:rPr>
              <w:t>1中分人民其和国飞行基本起?</w:t>
            </w:r>
          </w:p>
        </w:tc>
      </w:tr>
      <w:tr>
        <w:trPr>
          <w:trHeight w:val="669" w:hRule="atLeast"/>
        </w:trPr>
        <w:tc>
          <w:tcPr>
            <w:tcW w:w="584" w:type="dxa"/>
            <w:vAlign w:val="top"/>
          </w:tcPr>
          <w:p>
            <w:pPr>
              <w:spacing w:line="249" w:lineRule="auto"/>
              <w:rPr>
                <w:rFonts w:ascii="Arial"/>
                <w:sz w:val="21"/>
              </w:rPr>
            </w:pPr>
            <w:r/>
          </w:p>
          <w:p>
            <w:pPr>
              <w:pStyle w:val="TableText"/>
              <w:ind w:left="164"/>
              <w:spacing w:before="52" w:line="184" w:lineRule="auto"/>
              <w:rPr>
                <w:sz w:val="16"/>
                <w:szCs w:val="16"/>
              </w:rPr>
            </w:pPr>
            <w:r>
              <w:rPr>
                <w:sz w:val="16"/>
                <w:szCs w:val="16"/>
                <w:spacing w:val="-2"/>
              </w:rPr>
              <w:t>631</w:t>
            </w:r>
          </w:p>
        </w:tc>
        <w:tc>
          <w:tcPr>
            <w:tcW w:w="1289" w:type="dxa"/>
            <w:vAlign w:val="top"/>
          </w:tcPr>
          <w:p>
            <w:pPr>
              <w:pStyle w:val="TableText"/>
              <w:ind w:left="231"/>
              <w:spacing w:before="263" w:line="220" w:lineRule="auto"/>
              <w:rPr>
                <w:sz w:val="16"/>
                <w:szCs w:val="16"/>
              </w:rPr>
            </w:pPr>
            <w:r>
              <w:rPr>
                <w:sz w:val="16"/>
                <w:szCs w:val="16"/>
                <w:spacing w:val="2"/>
              </w:rPr>
              <w:t>中图民能局</w:t>
            </w:r>
          </w:p>
        </w:tc>
        <w:tc>
          <w:tcPr>
            <w:tcW w:w="1648" w:type="dxa"/>
            <w:vAlign w:val="top"/>
          </w:tcPr>
          <w:p>
            <w:pPr>
              <w:pStyle w:val="TableText"/>
              <w:ind w:left="32" w:right="109" w:firstLine="50"/>
              <w:spacing w:before="162" w:line="214" w:lineRule="auto"/>
              <w:rPr>
                <w:sz w:val="16"/>
                <w:szCs w:val="16"/>
              </w:rPr>
            </w:pPr>
            <w:r>
              <w:rPr>
                <w:sz w:val="16"/>
                <w:szCs w:val="16"/>
              </w:rPr>
              <w:t>民就导款设备开放运</w:t>
            </w:r>
            <w:r>
              <w:rPr>
                <w:sz w:val="16"/>
                <w:szCs w:val="16"/>
                <w:spacing w:val="5"/>
              </w:rPr>
              <w:t xml:space="preserve"> </w:t>
            </w:r>
            <w:r>
              <w:rPr>
                <w:sz w:val="16"/>
                <w:szCs w:val="16"/>
                <w:spacing w:val="-2"/>
              </w:rPr>
              <w:t>行许可</w:t>
            </w:r>
          </w:p>
        </w:tc>
        <w:tc>
          <w:tcPr>
            <w:tcW w:w="2377" w:type="dxa"/>
            <w:vAlign w:val="top"/>
          </w:tcPr>
          <w:p>
            <w:pPr>
              <w:pStyle w:val="TableText"/>
              <w:ind w:left="54"/>
              <w:spacing w:before="263" w:line="220" w:lineRule="auto"/>
              <w:rPr>
                <w:sz w:val="16"/>
                <w:szCs w:val="16"/>
              </w:rPr>
            </w:pPr>
            <w:r>
              <w:rPr>
                <w:sz w:val="16"/>
                <w:szCs w:val="16"/>
                <w:spacing w:val="1"/>
              </w:rPr>
              <w:t>中国民航号</w:t>
            </w:r>
          </w:p>
        </w:tc>
        <w:tc>
          <w:tcPr>
            <w:tcW w:w="3701" w:type="dxa"/>
            <w:vAlign w:val="top"/>
          </w:tcPr>
          <w:p>
            <w:pPr>
              <w:pStyle w:val="TableText"/>
              <w:spacing w:before="62" w:line="219" w:lineRule="auto"/>
              <w:rPr>
                <w:sz w:val="16"/>
                <w:szCs w:val="16"/>
              </w:rPr>
            </w:pPr>
            <w:r>
              <w:rPr>
                <w:sz w:val="16"/>
                <w:szCs w:val="16"/>
                <w:spacing w:val="-4"/>
              </w:rPr>
              <w:t>《中伟人民共和语民用款空法》</w:t>
            </w:r>
          </w:p>
          <w:p>
            <w:pPr>
              <w:pStyle w:val="TableText"/>
              <w:ind w:left="46"/>
              <w:spacing w:line="218" w:lineRule="auto"/>
              <w:rPr>
                <w:sz w:val="16"/>
                <w:szCs w:val="16"/>
              </w:rPr>
            </w:pPr>
            <w:r>
              <w:rPr>
                <w:sz w:val="16"/>
                <w:szCs w:val="16"/>
                <w:spacing w:val="2"/>
              </w:rPr>
              <w:t>1中带人民共和国飞行基本规则)</w:t>
            </w:r>
          </w:p>
          <w:p>
            <w:pPr>
              <w:pStyle w:val="TableText"/>
              <w:ind w:left="46"/>
              <w:spacing w:before="21" w:line="219" w:lineRule="auto"/>
              <w:rPr>
                <w:sz w:val="16"/>
                <w:szCs w:val="16"/>
              </w:rPr>
            </w:pPr>
            <w:r>
              <w:rPr>
                <w:sz w:val="16"/>
                <w:szCs w:val="16"/>
                <w:spacing w:val="-1"/>
              </w:rPr>
              <w:t>C民用就空学敬设备开表与运行管置屋定</w:t>
            </w:r>
          </w:p>
        </w:tc>
      </w:tr>
      <w:tr>
        <w:trPr>
          <w:trHeight w:val="859" w:hRule="atLeast"/>
        </w:trPr>
        <w:tc>
          <w:tcPr>
            <w:tcW w:w="584" w:type="dxa"/>
            <w:vAlign w:val="top"/>
          </w:tcPr>
          <w:p>
            <w:pPr>
              <w:spacing w:line="340" w:lineRule="auto"/>
              <w:rPr>
                <w:rFonts w:ascii="Arial"/>
                <w:sz w:val="21"/>
              </w:rPr>
            </w:pPr>
            <w:r/>
          </w:p>
          <w:p>
            <w:pPr>
              <w:pStyle w:val="TableText"/>
              <w:ind w:left="164"/>
              <w:spacing w:before="52" w:line="183" w:lineRule="auto"/>
              <w:rPr>
                <w:sz w:val="16"/>
                <w:szCs w:val="16"/>
              </w:rPr>
            </w:pPr>
            <w:r>
              <w:rPr>
                <w:sz w:val="16"/>
                <w:szCs w:val="16"/>
                <w:spacing w:val="-2"/>
              </w:rPr>
              <w:t>832</w:t>
            </w:r>
          </w:p>
        </w:tc>
        <w:tc>
          <w:tcPr>
            <w:tcW w:w="1289" w:type="dxa"/>
            <w:vAlign w:val="top"/>
          </w:tcPr>
          <w:p>
            <w:pPr>
              <w:spacing w:line="300" w:lineRule="auto"/>
              <w:rPr>
                <w:rFonts w:ascii="Arial"/>
                <w:sz w:val="21"/>
              </w:rPr>
            </w:pPr>
            <w:r/>
          </w:p>
          <w:p>
            <w:pPr>
              <w:pStyle w:val="TableText"/>
              <w:ind w:left="231"/>
              <w:spacing w:before="52" w:line="220" w:lineRule="auto"/>
              <w:rPr>
                <w:sz w:val="16"/>
                <w:szCs w:val="16"/>
              </w:rPr>
            </w:pPr>
            <w:r>
              <w:rPr>
                <w:sz w:val="16"/>
                <w:szCs w:val="16"/>
                <w:spacing w:val="3"/>
              </w:rPr>
              <w:t>中国民旅质</w:t>
            </w:r>
          </w:p>
        </w:tc>
        <w:tc>
          <w:tcPr>
            <w:tcW w:w="1648" w:type="dxa"/>
            <w:vAlign w:val="top"/>
          </w:tcPr>
          <w:p>
            <w:pPr>
              <w:pStyle w:val="TableText"/>
              <w:ind w:left="32" w:right="122" w:firstLine="20"/>
              <w:spacing w:before="43" w:line="228" w:lineRule="auto"/>
              <w:jc w:val="both"/>
              <w:rPr>
                <w:sz w:val="16"/>
                <w:szCs w:val="16"/>
              </w:rPr>
            </w:pPr>
            <w:r>
              <w:rPr>
                <w:sz w:val="16"/>
                <w:szCs w:val="16"/>
                <w:spacing w:val="2"/>
              </w:rPr>
              <w:t>风用做空无线电专用</w:t>
            </w:r>
            <w:r>
              <w:rPr>
                <w:sz w:val="16"/>
                <w:szCs w:val="16"/>
              </w:rPr>
              <w:t xml:space="preserve"> </w:t>
            </w:r>
            <w:r>
              <w:rPr>
                <w:sz w:val="16"/>
                <w:szCs w:val="16"/>
                <w:spacing w:val="4"/>
              </w:rPr>
              <w:t>要率及时号指配，制</w:t>
            </w:r>
            <w:r>
              <w:rPr>
                <w:sz w:val="16"/>
                <w:szCs w:val="16"/>
                <w:spacing w:val="6"/>
              </w:rPr>
              <w:t xml:space="preserve"> </w:t>
            </w:r>
            <w:r>
              <w:rPr>
                <w:sz w:val="16"/>
                <w:szCs w:val="16"/>
                <w:spacing w:val="4"/>
              </w:rPr>
              <w:t>空器电自执属及识制</w:t>
            </w:r>
            <w:r>
              <w:rPr>
                <w:sz w:val="16"/>
                <w:szCs w:val="16"/>
                <w:spacing w:val="6"/>
              </w:rPr>
              <w:t xml:space="preserve"> </w:t>
            </w:r>
            <w:r>
              <w:rPr>
                <w:sz w:val="16"/>
                <w:szCs w:val="16"/>
                <w:spacing w:val="-2"/>
              </w:rPr>
              <w:t>离械发</w:t>
            </w:r>
          </w:p>
        </w:tc>
        <w:tc>
          <w:tcPr>
            <w:tcW w:w="2377" w:type="dxa"/>
            <w:vAlign w:val="top"/>
          </w:tcPr>
          <w:p>
            <w:pPr>
              <w:spacing w:line="300" w:lineRule="auto"/>
              <w:rPr>
                <w:rFonts w:ascii="Arial"/>
                <w:sz w:val="21"/>
              </w:rPr>
            </w:pPr>
            <w:r/>
          </w:p>
          <w:p>
            <w:pPr>
              <w:pStyle w:val="TableText"/>
              <w:ind w:left="54"/>
              <w:spacing w:before="52" w:line="220" w:lineRule="auto"/>
              <w:rPr>
                <w:sz w:val="16"/>
                <w:szCs w:val="16"/>
              </w:rPr>
            </w:pPr>
            <w:r>
              <w:rPr>
                <w:sz w:val="16"/>
                <w:szCs w:val="16"/>
                <w:spacing w:val="2"/>
              </w:rPr>
              <w:t>中国民冀局</w:t>
            </w:r>
          </w:p>
        </w:tc>
        <w:tc>
          <w:tcPr>
            <w:tcW w:w="3701" w:type="dxa"/>
            <w:vAlign w:val="top"/>
          </w:tcPr>
          <w:p>
            <w:pPr>
              <w:pStyle w:val="TableText"/>
              <w:ind w:left="46"/>
              <w:spacing w:before="153" w:line="219" w:lineRule="auto"/>
              <w:rPr>
                <w:sz w:val="16"/>
                <w:szCs w:val="16"/>
              </w:rPr>
            </w:pPr>
            <w:r>
              <w:rPr>
                <w:sz w:val="16"/>
                <w:szCs w:val="16"/>
                <w:spacing w:val="-1"/>
              </w:rPr>
              <w:t>(中学人民共和国民川禁空法》</w:t>
            </w:r>
          </w:p>
          <w:p>
            <w:pPr>
              <w:pStyle w:val="TableText"/>
              <w:spacing w:line="219" w:lineRule="exact"/>
              <w:rPr>
                <w:sz w:val="16"/>
                <w:szCs w:val="16"/>
              </w:rPr>
            </w:pPr>
            <w:r>
              <w:rPr>
                <w:sz w:val="16"/>
                <w:szCs w:val="16"/>
                <w:spacing w:val="-2"/>
                <w:position w:val="4"/>
              </w:rPr>
              <w:t>《中子人民共和国无残南替握态制!</w:t>
            </w:r>
          </w:p>
          <w:p>
            <w:pPr>
              <w:pStyle w:val="TableText"/>
              <w:spacing w:line="219" w:lineRule="auto"/>
              <w:rPr>
                <w:sz w:val="16"/>
                <w:szCs w:val="16"/>
              </w:rPr>
            </w:pPr>
            <w:r>
              <w:rPr>
                <w:sz w:val="16"/>
                <w:szCs w:val="16"/>
                <w:spacing w:val="-2"/>
              </w:rPr>
              <w:t>《中国良用旅空无线电管理统定)</w:t>
            </w:r>
          </w:p>
        </w:tc>
      </w:tr>
      <w:tr>
        <w:trPr>
          <w:trHeight w:val="479" w:hRule="atLeast"/>
        </w:trPr>
        <w:tc>
          <w:tcPr>
            <w:tcW w:w="584" w:type="dxa"/>
            <w:vAlign w:val="top"/>
          </w:tcPr>
          <w:p>
            <w:pPr>
              <w:pStyle w:val="TableText"/>
              <w:ind w:left="164"/>
              <w:spacing w:before="205" w:line="183" w:lineRule="auto"/>
              <w:rPr>
                <w:sz w:val="16"/>
                <w:szCs w:val="16"/>
              </w:rPr>
            </w:pPr>
            <w:r>
              <w:rPr>
                <w:sz w:val="16"/>
                <w:szCs w:val="16"/>
                <w:spacing w:val="-2"/>
              </w:rPr>
              <w:t>R35</w:t>
            </w:r>
          </w:p>
        </w:tc>
        <w:tc>
          <w:tcPr>
            <w:tcW w:w="1289" w:type="dxa"/>
            <w:vAlign w:val="top"/>
          </w:tcPr>
          <w:p>
            <w:pPr>
              <w:pStyle w:val="TableText"/>
              <w:ind w:left="231"/>
              <w:spacing w:before="165" w:line="220" w:lineRule="auto"/>
              <w:rPr>
                <w:sz w:val="16"/>
                <w:szCs w:val="16"/>
              </w:rPr>
            </w:pPr>
            <w:r>
              <w:rPr>
                <w:sz w:val="16"/>
                <w:szCs w:val="16"/>
                <w:spacing w:val="2"/>
              </w:rPr>
              <w:t>中国民就局</w:t>
            </w:r>
          </w:p>
        </w:tc>
        <w:tc>
          <w:tcPr>
            <w:tcW w:w="1648" w:type="dxa"/>
            <w:vAlign w:val="top"/>
          </w:tcPr>
          <w:p>
            <w:pPr>
              <w:pStyle w:val="TableText"/>
              <w:ind w:left="32" w:right="156"/>
              <w:spacing w:before="84" w:line="222" w:lineRule="auto"/>
              <w:rPr>
                <w:sz w:val="16"/>
                <w:szCs w:val="16"/>
              </w:rPr>
            </w:pPr>
            <w:r>
              <w:rPr>
                <w:sz w:val="16"/>
                <w:szCs w:val="16"/>
                <w:spacing w:val="1"/>
              </w:rPr>
              <w:t>民用点立安全检查仅</w:t>
            </w:r>
            <w:r>
              <w:rPr>
                <w:sz w:val="16"/>
                <w:szCs w:val="16"/>
              </w:rPr>
              <w:t xml:space="preserve"> </w:t>
            </w:r>
            <w:r>
              <w:rPr>
                <w:sz w:val="16"/>
                <w:szCs w:val="16"/>
                <w:spacing w:val="-1"/>
              </w:rPr>
              <w:t>器说备使用许呼</w:t>
            </w:r>
          </w:p>
        </w:tc>
        <w:tc>
          <w:tcPr>
            <w:tcW w:w="2377" w:type="dxa"/>
            <w:vAlign w:val="top"/>
          </w:tcPr>
          <w:p>
            <w:pPr>
              <w:pStyle w:val="TableText"/>
              <w:ind w:left="54"/>
              <w:spacing w:before="165" w:line="220" w:lineRule="auto"/>
              <w:rPr>
                <w:sz w:val="16"/>
                <w:szCs w:val="16"/>
              </w:rPr>
            </w:pPr>
            <w:r>
              <w:rPr>
                <w:sz w:val="16"/>
                <w:szCs w:val="16"/>
                <w:spacing w:val="2"/>
              </w:rPr>
              <w:t>中国民硫局</w:t>
            </w:r>
          </w:p>
        </w:tc>
        <w:tc>
          <w:tcPr>
            <w:tcW w:w="3701" w:type="dxa"/>
            <w:vAlign w:val="top"/>
          </w:tcPr>
          <w:p>
            <w:pPr>
              <w:pStyle w:val="TableText"/>
              <w:ind w:left="46" w:right="185" w:firstLine="80"/>
              <w:spacing w:before="74" w:line="219" w:lineRule="auto"/>
              <w:rPr>
                <w:sz w:val="16"/>
                <w:szCs w:val="16"/>
              </w:rPr>
            </w:pPr>
            <w:r>
              <w:rPr>
                <w:sz w:val="16"/>
                <w:szCs w:val="16"/>
              </w:rPr>
              <w:t>国务院时确需保整的行政律有项自成定行政许叫</w:t>
            </w:r>
            <w:r>
              <w:rPr>
                <w:sz w:val="16"/>
                <w:szCs w:val="16"/>
                <w:spacing w:val="17"/>
              </w:rPr>
              <w:t xml:space="preserve"> </w:t>
            </w:r>
            <w:r>
              <w:rPr>
                <w:sz w:val="16"/>
                <w:szCs w:val="16"/>
                <w:spacing w:val="8"/>
              </w:rPr>
              <w:t>的决定)</w:t>
            </w:r>
          </w:p>
        </w:tc>
      </w:tr>
      <w:tr>
        <w:trPr>
          <w:trHeight w:val="514" w:hRule="atLeast"/>
        </w:trPr>
        <w:tc>
          <w:tcPr>
            <w:tcW w:w="584" w:type="dxa"/>
            <w:vAlign w:val="top"/>
          </w:tcPr>
          <w:p>
            <w:pPr>
              <w:pStyle w:val="TableText"/>
              <w:ind w:left="164"/>
              <w:spacing w:before="201" w:line="239" w:lineRule="auto"/>
              <w:rPr>
                <w:sz w:val="16"/>
                <w:szCs w:val="16"/>
              </w:rPr>
            </w:pPr>
            <w:r>
              <w:rPr>
                <w:sz w:val="16"/>
                <w:szCs w:val="16"/>
                <w:spacing w:val="-1"/>
              </w:rPr>
              <w:t>&amp;.4</w:t>
            </w:r>
          </w:p>
        </w:tc>
        <w:tc>
          <w:tcPr>
            <w:tcW w:w="1289" w:type="dxa"/>
            <w:vAlign w:val="top"/>
          </w:tcPr>
          <w:p>
            <w:pPr>
              <w:pStyle w:val="TableText"/>
              <w:ind w:left="231"/>
              <w:spacing w:before="186" w:line="220" w:lineRule="auto"/>
              <w:rPr>
                <w:sz w:val="16"/>
                <w:szCs w:val="16"/>
              </w:rPr>
            </w:pPr>
            <w:r>
              <w:rPr>
                <w:sz w:val="16"/>
                <w:szCs w:val="16"/>
                <w:spacing w:val="2"/>
              </w:rPr>
              <w:t>中国民航局</w:t>
            </w:r>
          </w:p>
        </w:tc>
        <w:tc>
          <w:tcPr>
            <w:tcW w:w="1648" w:type="dxa"/>
            <w:vAlign w:val="top"/>
          </w:tcPr>
          <w:p>
            <w:pPr>
              <w:pStyle w:val="TableText"/>
              <w:ind w:left="32" w:right="177"/>
              <w:spacing w:before="105" w:line="220" w:lineRule="auto"/>
              <w:rPr>
                <w:sz w:val="16"/>
                <w:szCs w:val="16"/>
              </w:rPr>
            </w:pPr>
            <w:r>
              <w:rPr>
                <w:sz w:val="16"/>
                <w:szCs w:val="16"/>
                <w:spacing w:val="-2"/>
              </w:rPr>
              <w:t>公其航空运输企业经</w:t>
            </w:r>
            <w:r>
              <w:rPr>
                <w:sz w:val="16"/>
                <w:szCs w:val="16"/>
                <w:spacing w:val="5"/>
              </w:rPr>
              <w:t xml:space="preserve"> </w:t>
            </w:r>
            <w:r>
              <w:rPr>
                <w:sz w:val="16"/>
                <w:szCs w:val="16"/>
                <w:spacing w:val="-3"/>
              </w:rPr>
              <w:t>营许可</w:t>
            </w:r>
          </w:p>
        </w:tc>
        <w:tc>
          <w:tcPr>
            <w:tcW w:w="2377" w:type="dxa"/>
            <w:vAlign w:val="top"/>
          </w:tcPr>
          <w:p>
            <w:pPr>
              <w:pStyle w:val="TableText"/>
              <w:ind w:left="54"/>
              <w:spacing w:before="186" w:line="220" w:lineRule="auto"/>
              <w:rPr>
                <w:sz w:val="16"/>
                <w:szCs w:val="16"/>
              </w:rPr>
            </w:pPr>
            <w:r>
              <w:rPr>
                <w:sz w:val="16"/>
                <w:szCs w:val="16"/>
                <w:spacing w:val="2"/>
              </w:rPr>
              <w:t>中国民肌局</w:t>
            </w:r>
          </w:p>
        </w:tc>
        <w:tc>
          <w:tcPr>
            <w:tcW w:w="3701" w:type="dxa"/>
            <w:vAlign w:val="top"/>
          </w:tcPr>
          <w:p>
            <w:pPr>
              <w:pStyle w:val="TableText"/>
              <w:spacing w:before="185" w:line="219" w:lineRule="auto"/>
              <w:rPr>
                <w:sz w:val="16"/>
                <w:szCs w:val="16"/>
              </w:rPr>
            </w:pPr>
            <w:r>
              <w:rPr>
                <w:sz w:val="16"/>
                <w:szCs w:val="16"/>
                <w:spacing w:val="-4"/>
              </w:rPr>
              <w:t>《中华人国共和回园用常空法》</w:t>
            </w:r>
          </w:p>
        </w:tc>
      </w:tr>
    </w:tbl>
    <w:p>
      <w:pPr>
        <w:pStyle w:val="BodyText"/>
        <w:rPr/>
      </w:pPr>
      <w:r/>
    </w:p>
    <w:p>
      <w:pPr>
        <w:sectPr>
          <w:pgSz w:w="11910" w:h="8220"/>
          <w:pgMar w:top="400" w:right="1165" w:bottom="400" w:left="811" w:header="0" w:footer="0" w:gutter="0"/>
        </w:sectPr>
        <w:rPr/>
      </w:pPr>
    </w:p>
    <w:p>
      <w:pPr>
        <w:spacing w:before="93"/>
        <w:rPr/>
      </w:pPr>
      <w:r>
        <mc:AlternateContent xmlns:mc="http://schemas.openxmlformats.org/markup-compatibility/2006">
          <mc:Choice Requires="wps">
            <w:drawing>
              <wp:anchor distT="0" distB="0" distL="0" distR="0" simplePos="0" relativeHeight="25191014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336" name="TextBox 336"/>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8" style="position:absolute;margin-left:37.0402pt;margin-top:344.638pt;mso-position-vertical-relative:page;mso-position-horizontal-relative:page;width:13.6pt;height:12.35pt;z-index:25191014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249</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77"/>
        <w:gridCol w:w="371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中央主骨部门</w:t>
            </w:r>
          </w:p>
        </w:tc>
        <w:tc>
          <w:tcPr>
            <w:tcW w:w="1638" w:type="dxa"/>
            <w:vAlign w:val="top"/>
          </w:tcPr>
          <w:p>
            <w:pPr>
              <w:pStyle w:val="TableText"/>
              <w:ind w:left="491"/>
              <w:spacing w:before="132" w:line="220" w:lineRule="auto"/>
              <w:rPr>
                <w:sz w:val="16"/>
                <w:szCs w:val="16"/>
              </w:rPr>
            </w:pPr>
            <w:r>
              <w:rPr>
                <w:sz w:val="16"/>
                <w:szCs w:val="16"/>
                <w:spacing w:val="-2"/>
              </w:rPr>
              <w:t>事填名称</w:t>
            </w:r>
          </w:p>
        </w:tc>
        <w:tc>
          <w:tcPr>
            <w:tcW w:w="2377" w:type="dxa"/>
            <w:vAlign w:val="top"/>
          </w:tcPr>
          <w:p>
            <w:pPr>
              <w:pStyle w:val="TableText"/>
              <w:ind w:left="834"/>
              <w:spacing w:before="130" w:line="219" w:lineRule="auto"/>
              <w:rPr>
                <w:sz w:val="16"/>
                <w:szCs w:val="16"/>
              </w:rPr>
            </w:pPr>
            <w:r>
              <w:rPr>
                <w:sz w:val="16"/>
                <w:szCs w:val="16"/>
                <w:spacing w:val="-2"/>
              </w:rPr>
              <w:t>实跨机关</w:t>
            </w:r>
          </w:p>
        </w:tc>
        <w:tc>
          <w:tcPr>
            <w:tcW w:w="3711" w:type="dxa"/>
            <w:vAlign w:val="top"/>
          </w:tcPr>
          <w:p>
            <w:pPr>
              <w:pStyle w:val="TableText"/>
              <w:ind w:left="1256"/>
              <w:spacing w:before="131" w:line="219" w:lineRule="auto"/>
              <w:rPr>
                <w:sz w:val="16"/>
                <w:szCs w:val="16"/>
              </w:rPr>
            </w:pPr>
            <w:r>
              <w:rPr>
                <w:sz w:val="16"/>
                <w:szCs w:val="16"/>
                <w:spacing w:val="-2"/>
              </w:rPr>
              <w:t>设定和赛建保据</w:t>
            </w:r>
          </w:p>
        </w:tc>
      </w:tr>
      <w:tr>
        <w:trPr>
          <w:trHeight w:val="519" w:hRule="atLeast"/>
        </w:trPr>
        <w:tc>
          <w:tcPr>
            <w:tcW w:w="584" w:type="dxa"/>
            <w:vAlign w:val="top"/>
          </w:tcPr>
          <w:p>
            <w:pPr>
              <w:pStyle w:val="TableText"/>
              <w:ind w:left="164"/>
              <w:spacing w:before="218" w:line="183" w:lineRule="auto"/>
              <w:rPr>
                <w:sz w:val="16"/>
                <w:szCs w:val="16"/>
              </w:rPr>
            </w:pPr>
            <w:r>
              <w:rPr>
                <w:sz w:val="16"/>
                <w:szCs w:val="16"/>
                <w:spacing w:val="-2"/>
              </w:rPr>
              <w:t>835</w:t>
            </w:r>
          </w:p>
        </w:tc>
        <w:tc>
          <w:tcPr>
            <w:tcW w:w="1289" w:type="dxa"/>
            <w:vAlign w:val="top"/>
          </w:tcPr>
          <w:p>
            <w:pPr>
              <w:pStyle w:val="TableText"/>
              <w:ind w:left="231"/>
              <w:spacing w:before="178" w:line="220" w:lineRule="auto"/>
              <w:rPr>
                <w:sz w:val="16"/>
                <w:szCs w:val="16"/>
              </w:rPr>
            </w:pPr>
            <w:r>
              <w:rPr>
                <w:sz w:val="16"/>
                <w:szCs w:val="16"/>
                <w:spacing w:val="3"/>
              </w:rPr>
              <w:t>中国民质周</w:t>
            </w:r>
          </w:p>
        </w:tc>
        <w:tc>
          <w:tcPr>
            <w:tcW w:w="1638" w:type="dxa"/>
            <w:vAlign w:val="top"/>
          </w:tcPr>
          <w:p>
            <w:pPr>
              <w:pStyle w:val="TableText"/>
              <w:ind w:left="42" w:right="108" w:firstLine="50"/>
              <w:spacing w:before="87" w:line="225" w:lineRule="auto"/>
              <w:rPr>
                <w:sz w:val="16"/>
                <w:szCs w:val="16"/>
              </w:rPr>
            </w:pPr>
            <w:r>
              <w:rPr>
                <w:sz w:val="16"/>
                <w:szCs w:val="16"/>
                <w:spacing w:val="-2"/>
              </w:rPr>
              <w:t>能食性通用东空企业</w:t>
            </w:r>
            <w:r>
              <w:rPr>
                <w:sz w:val="16"/>
                <w:szCs w:val="16"/>
                <w:spacing w:val="4"/>
              </w:rPr>
              <w:t xml:space="preserve"> </w:t>
            </w:r>
            <w:r>
              <w:rPr>
                <w:sz w:val="16"/>
                <w:szCs w:val="16"/>
                <w:spacing w:val="-2"/>
              </w:rPr>
              <w:t>经置件可</w:t>
            </w:r>
          </w:p>
        </w:tc>
        <w:tc>
          <w:tcPr>
            <w:tcW w:w="2377" w:type="dxa"/>
            <w:vAlign w:val="top"/>
          </w:tcPr>
          <w:p>
            <w:pPr>
              <w:pStyle w:val="TableText"/>
              <w:ind w:left="54"/>
              <w:spacing w:before="177" w:line="219" w:lineRule="auto"/>
              <w:rPr>
                <w:sz w:val="16"/>
                <w:szCs w:val="16"/>
              </w:rPr>
            </w:pPr>
            <w:r>
              <w:rPr>
                <w:sz w:val="16"/>
                <w:szCs w:val="16"/>
              </w:rPr>
              <w:t>民最地区设理影</w:t>
            </w:r>
          </w:p>
        </w:tc>
        <w:tc>
          <w:tcPr>
            <w:tcW w:w="3711" w:type="dxa"/>
            <w:vAlign w:val="top"/>
          </w:tcPr>
          <w:p>
            <w:pPr>
              <w:pStyle w:val="TableText"/>
              <w:ind w:left="56"/>
              <w:spacing w:before="97" w:line="219" w:lineRule="auto"/>
              <w:rPr>
                <w:sz w:val="16"/>
                <w:szCs w:val="16"/>
              </w:rPr>
            </w:pPr>
            <w:r>
              <w:rPr>
                <w:sz w:val="16"/>
                <w:szCs w:val="16"/>
                <w:spacing w:val="1"/>
              </w:rPr>
              <w:t>(中华人民共和国民用献空法1</w:t>
            </w:r>
          </w:p>
          <w:p>
            <w:pPr>
              <w:pStyle w:val="TableText"/>
              <w:ind w:left="56"/>
              <w:spacing w:line="219" w:lineRule="auto"/>
              <w:rPr>
                <w:sz w:val="16"/>
                <w:szCs w:val="16"/>
              </w:rPr>
            </w:pPr>
            <w:r>
              <w:rPr>
                <w:sz w:val="16"/>
                <w:szCs w:val="16"/>
              </w:rPr>
              <w:t>1通用能空经营许可管理规定</w:t>
            </w:r>
          </w:p>
        </w:tc>
      </w:tr>
      <w:tr>
        <w:trPr>
          <w:trHeight w:val="919" w:hRule="atLeast"/>
        </w:trPr>
        <w:tc>
          <w:tcPr>
            <w:tcW w:w="584" w:type="dxa"/>
            <w:vAlign w:val="top"/>
          </w:tcPr>
          <w:p>
            <w:pPr>
              <w:spacing w:line="365" w:lineRule="auto"/>
              <w:rPr>
                <w:rFonts w:ascii="Arial"/>
                <w:sz w:val="21"/>
              </w:rPr>
            </w:pPr>
            <w:r/>
          </w:p>
          <w:p>
            <w:pPr>
              <w:pStyle w:val="TableText"/>
              <w:ind w:left="164"/>
              <w:spacing w:before="52" w:line="183" w:lineRule="auto"/>
              <w:rPr>
                <w:sz w:val="16"/>
                <w:szCs w:val="16"/>
              </w:rPr>
            </w:pPr>
            <w:r>
              <w:rPr>
                <w:sz w:val="16"/>
                <w:szCs w:val="16"/>
                <w:spacing w:val="-2"/>
              </w:rPr>
              <w:t>836</w:t>
            </w:r>
          </w:p>
        </w:tc>
        <w:tc>
          <w:tcPr>
            <w:tcW w:w="1289" w:type="dxa"/>
            <w:vAlign w:val="top"/>
          </w:tcPr>
          <w:p>
            <w:pPr>
              <w:spacing w:line="324" w:lineRule="auto"/>
              <w:rPr>
                <w:rFonts w:ascii="Arial"/>
                <w:sz w:val="21"/>
              </w:rPr>
            </w:pPr>
            <w:r/>
          </w:p>
          <w:p>
            <w:pPr>
              <w:pStyle w:val="TableText"/>
              <w:ind w:left="231"/>
              <w:spacing w:before="52" w:line="219" w:lineRule="auto"/>
              <w:rPr>
                <w:sz w:val="16"/>
                <w:szCs w:val="16"/>
              </w:rPr>
            </w:pPr>
            <w:r>
              <w:rPr>
                <w:sz w:val="16"/>
                <w:szCs w:val="16"/>
                <w:spacing w:val="1"/>
              </w:rPr>
              <w:t>中国民航最</w:t>
            </w:r>
          </w:p>
        </w:tc>
        <w:tc>
          <w:tcPr>
            <w:tcW w:w="1638" w:type="dxa"/>
            <w:vAlign w:val="top"/>
          </w:tcPr>
          <w:p>
            <w:pPr>
              <w:pStyle w:val="TableText"/>
              <w:ind w:left="32" w:right="102" w:firstLine="60"/>
              <w:spacing w:before="279" w:line="224" w:lineRule="auto"/>
              <w:rPr>
                <w:sz w:val="16"/>
                <w:szCs w:val="16"/>
              </w:rPr>
            </w:pPr>
            <w:r>
              <w:rPr>
                <w:sz w:val="16"/>
                <w:szCs w:val="16"/>
                <w:spacing w:val="-1"/>
              </w:rPr>
              <w:t>触空营强人遥触危险</w:t>
            </w:r>
            <w:r>
              <w:rPr>
                <w:sz w:val="16"/>
                <w:szCs w:val="16"/>
                <w:spacing w:val="1"/>
              </w:rPr>
              <w:t xml:space="preserve"> </w:t>
            </w:r>
            <w:r>
              <w:rPr>
                <w:sz w:val="16"/>
                <w:szCs w:val="16"/>
                <w:spacing w:val="1"/>
              </w:rPr>
              <w:t>品货格许可</w:t>
            </w:r>
          </w:p>
        </w:tc>
        <w:tc>
          <w:tcPr>
            <w:tcW w:w="2377" w:type="dxa"/>
            <w:vAlign w:val="top"/>
          </w:tcPr>
          <w:p>
            <w:pPr>
              <w:spacing w:line="324" w:lineRule="auto"/>
              <w:rPr>
                <w:rFonts w:ascii="Arial"/>
                <w:sz w:val="21"/>
              </w:rPr>
            </w:pPr>
            <w:r/>
          </w:p>
          <w:p>
            <w:pPr>
              <w:pStyle w:val="TableText"/>
              <w:ind w:left="54"/>
              <w:spacing w:before="52" w:line="219" w:lineRule="auto"/>
              <w:rPr>
                <w:sz w:val="16"/>
                <w:szCs w:val="16"/>
              </w:rPr>
            </w:pPr>
            <w:r>
              <w:rPr>
                <w:sz w:val="16"/>
                <w:szCs w:val="16"/>
                <w:spacing w:val="2"/>
              </w:rPr>
              <w:t>民航地区管理局</w:t>
            </w:r>
          </w:p>
        </w:tc>
        <w:tc>
          <w:tcPr>
            <w:tcW w:w="3711" w:type="dxa"/>
            <w:vAlign w:val="top"/>
          </w:tcPr>
          <w:p>
            <w:pPr>
              <w:pStyle w:val="TableText"/>
              <w:ind w:left="56"/>
              <w:spacing w:before="78" w:line="219" w:lineRule="auto"/>
              <w:rPr>
                <w:sz w:val="16"/>
                <w:szCs w:val="16"/>
              </w:rPr>
            </w:pPr>
            <w:r>
              <w:rPr>
                <w:sz w:val="16"/>
                <w:szCs w:val="16"/>
                <w:spacing w:val="-1"/>
              </w:rPr>
              <w:t>(世险化学品安全明理录例》</w:t>
            </w:r>
          </w:p>
          <w:p>
            <w:pPr>
              <w:pStyle w:val="TableText"/>
              <w:ind w:left="56" w:right="277"/>
              <w:spacing w:line="225" w:lineRule="auto"/>
              <w:rPr>
                <w:sz w:val="16"/>
                <w:szCs w:val="16"/>
              </w:rPr>
            </w:pPr>
            <w:r>
              <w:rPr>
                <w:sz w:val="16"/>
                <w:szCs w:val="16"/>
              </w:rPr>
              <w:t>国务能对确需保留的存政审批项目设定行政许可</w:t>
            </w:r>
            <w:r>
              <w:rPr>
                <w:sz w:val="16"/>
                <w:szCs w:val="16"/>
                <w:spacing w:val="5"/>
              </w:rPr>
              <w:t xml:space="preserve"> </w:t>
            </w:r>
            <w:r>
              <w:rPr>
                <w:sz w:val="16"/>
                <w:szCs w:val="16"/>
                <w:spacing w:val="4"/>
              </w:rPr>
              <w:t>的决定1</w:t>
            </w:r>
          </w:p>
          <w:p>
            <w:pPr>
              <w:pStyle w:val="TableText"/>
              <w:ind w:left="56"/>
              <w:spacing w:before="29" w:line="219" w:lineRule="auto"/>
              <w:rPr>
                <w:sz w:val="16"/>
                <w:szCs w:val="16"/>
              </w:rPr>
            </w:pPr>
            <w:r>
              <w:rPr>
                <w:sz w:val="16"/>
                <w:szCs w:val="16"/>
                <w:spacing w:val="-1"/>
              </w:rPr>
              <w:t>材民刑放空荒商况运繁管理起定》</w:t>
            </w:r>
          </w:p>
        </w:tc>
      </w:tr>
      <w:tr>
        <w:trPr>
          <w:trHeight w:val="709" w:hRule="atLeast"/>
        </w:trPr>
        <w:tc>
          <w:tcPr>
            <w:tcW w:w="584" w:type="dxa"/>
            <w:vAlign w:val="top"/>
          </w:tcPr>
          <w:p>
            <w:pPr>
              <w:spacing w:line="267" w:lineRule="auto"/>
              <w:rPr>
                <w:rFonts w:ascii="Arial"/>
                <w:sz w:val="21"/>
              </w:rPr>
            </w:pPr>
            <w:r/>
          </w:p>
          <w:p>
            <w:pPr>
              <w:pStyle w:val="TableText"/>
              <w:ind w:left="164"/>
              <w:spacing w:before="52" w:line="183" w:lineRule="auto"/>
              <w:rPr>
                <w:sz w:val="16"/>
                <w:szCs w:val="16"/>
              </w:rPr>
            </w:pPr>
            <w:r>
              <w:rPr>
                <w:sz w:val="16"/>
                <w:szCs w:val="16"/>
                <w:spacing w:val="-2"/>
              </w:rPr>
              <w:t>837</w:t>
            </w:r>
          </w:p>
        </w:tc>
        <w:tc>
          <w:tcPr>
            <w:tcW w:w="1289" w:type="dxa"/>
            <w:vAlign w:val="top"/>
          </w:tcPr>
          <w:p>
            <w:pPr>
              <w:pStyle w:val="TableText"/>
              <w:ind w:left="231"/>
              <w:spacing w:before="280" w:line="220" w:lineRule="auto"/>
              <w:rPr>
                <w:sz w:val="16"/>
                <w:szCs w:val="16"/>
              </w:rPr>
            </w:pPr>
            <w:r>
              <w:rPr>
                <w:sz w:val="16"/>
                <w:szCs w:val="16"/>
                <w:spacing w:val="2"/>
              </w:rPr>
              <w:t>中国民能局</w:t>
            </w:r>
          </w:p>
        </w:tc>
        <w:tc>
          <w:tcPr>
            <w:tcW w:w="1638" w:type="dxa"/>
            <w:vAlign w:val="top"/>
          </w:tcPr>
          <w:p>
            <w:pPr>
              <w:pStyle w:val="TableText"/>
              <w:ind w:left="42" w:right="89" w:firstLine="50"/>
              <w:spacing w:before="70" w:line="233" w:lineRule="auto"/>
              <w:jc w:val="both"/>
              <w:rPr>
                <w:sz w:val="16"/>
                <w:szCs w:val="16"/>
              </w:rPr>
            </w:pPr>
            <w:r>
              <w:rPr>
                <w:sz w:val="16"/>
                <w:szCs w:val="16"/>
              </w:rPr>
              <w:t>中外航至后输企业颜</w:t>
            </w:r>
            <w:r>
              <w:rPr>
                <w:sz w:val="16"/>
                <w:szCs w:val="16"/>
                <w:spacing w:val="5"/>
              </w:rPr>
              <w:t xml:space="preserve"> </w:t>
            </w:r>
            <w:r>
              <w:rPr>
                <w:sz w:val="16"/>
                <w:szCs w:val="16"/>
                <w:spacing w:val="4"/>
              </w:rPr>
              <w:t>线，放班运输经营许 </w:t>
            </w:r>
            <w:r>
              <w:rPr>
                <w:sz w:val="16"/>
                <w:szCs w:val="16"/>
              </w:rPr>
              <w:t>可</w:t>
            </w:r>
          </w:p>
        </w:tc>
        <w:tc>
          <w:tcPr>
            <w:tcW w:w="2377" w:type="dxa"/>
            <w:vAlign w:val="top"/>
          </w:tcPr>
          <w:p>
            <w:pPr>
              <w:pStyle w:val="TableText"/>
              <w:ind w:left="54"/>
              <w:spacing w:before="279" w:line="219" w:lineRule="auto"/>
              <w:rPr>
                <w:sz w:val="16"/>
                <w:szCs w:val="16"/>
              </w:rPr>
            </w:pPr>
            <w:r>
              <w:rPr>
                <w:sz w:val="16"/>
                <w:szCs w:val="16"/>
                <w:spacing w:val="1"/>
              </w:rPr>
              <w:t>中国风航局；民航地区管理局</w:t>
            </w:r>
          </w:p>
        </w:tc>
        <w:tc>
          <w:tcPr>
            <w:tcW w:w="3711" w:type="dxa"/>
            <w:vAlign w:val="top"/>
          </w:tcPr>
          <w:p>
            <w:pPr>
              <w:pStyle w:val="TableText"/>
              <w:spacing w:before="189" w:line="219" w:lineRule="auto"/>
              <w:rPr>
                <w:sz w:val="16"/>
                <w:szCs w:val="16"/>
              </w:rPr>
            </w:pPr>
            <w:r>
              <w:rPr>
                <w:sz w:val="16"/>
                <w:szCs w:val="16"/>
                <w:spacing w:val="-3"/>
              </w:rPr>
              <w:t>《中华人民共和国民用和空法》</w:t>
            </w:r>
          </w:p>
          <w:p>
            <w:pPr>
              <w:pStyle w:val="TableText"/>
              <w:ind w:left="56"/>
              <w:spacing w:before="10" w:line="219" w:lineRule="auto"/>
              <w:rPr>
                <w:sz w:val="16"/>
                <w:szCs w:val="16"/>
              </w:rPr>
            </w:pPr>
            <w:r>
              <w:rPr>
                <w:sz w:val="16"/>
                <w:szCs w:val="16"/>
                <w:spacing w:val="1"/>
              </w:rPr>
              <w:t>(中国民用能型国内就线经替许萌聚定)</w:t>
            </w:r>
          </w:p>
        </w:tc>
      </w:tr>
      <w:tr>
        <w:trPr>
          <w:trHeight w:val="1118" w:hRule="atLeast"/>
        </w:trPr>
        <w:tc>
          <w:tcPr>
            <w:tcW w:w="584" w:type="dxa"/>
            <w:vAlign w:val="top"/>
          </w:tcPr>
          <w:p>
            <w:pPr>
              <w:spacing w:line="467" w:lineRule="auto"/>
              <w:rPr>
                <w:rFonts w:ascii="Arial"/>
                <w:sz w:val="21"/>
              </w:rPr>
            </w:pPr>
            <w:r/>
          </w:p>
          <w:p>
            <w:pPr>
              <w:pStyle w:val="TableText"/>
              <w:ind w:left="164"/>
              <w:spacing w:before="52" w:line="183" w:lineRule="auto"/>
              <w:rPr>
                <w:sz w:val="16"/>
                <w:szCs w:val="16"/>
              </w:rPr>
            </w:pPr>
            <w:r>
              <w:rPr>
                <w:sz w:val="16"/>
                <w:szCs w:val="16"/>
                <w:spacing w:val="-2"/>
              </w:rPr>
              <w:t>838</w:t>
            </w:r>
          </w:p>
        </w:tc>
        <w:tc>
          <w:tcPr>
            <w:tcW w:w="1289" w:type="dxa"/>
            <w:vAlign w:val="top"/>
          </w:tcPr>
          <w:p>
            <w:pPr>
              <w:spacing w:line="426" w:lineRule="auto"/>
              <w:rPr>
                <w:rFonts w:ascii="Arial"/>
                <w:sz w:val="21"/>
              </w:rPr>
            </w:pPr>
            <w:r/>
          </w:p>
          <w:p>
            <w:pPr>
              <w:pStyle w:val="TableText"/>
              <w:ind w:left="231"/>
              <w:spacing w:before="52" w:line="220" w:lineRule="auto"/>
              <w:rPr>
                <w:sz w:val="16"/>
                <w:szCs w:val="16"/>
              </w:rPr>
            </w:pPr>
            <w:r>
              <w:rPr>
                <w:sz w:val="16"/>
                <w:szCs w:val="16"/>
                <w:spacing w:val="2"/>
              </w:rPr>
              <w:t>中国民航局</w:t>
            </w:r>
          </w:p>
        </w:tc>
        <w:tc>
          <w:tcPr>
            <w:tcW w:w="1638" w:type="dxa"/>
            <w:vAlign w:val="top"/>
          </w:tcPr>
          <w:p>
            <w:pPr>
              <w:spacing w:line="336" w:lineRule="auto"/>
              <w:rPr>
                <w:rFonts w:ascii="Arial"/>
                <w:sz w:val="21"/>
              </w:rPr>
            </w:pPr>
            <w:r/>
          </w:p>
          <w:p>
            <w:pPr>
              <w:pStyle w:val="TableText"/>
              <w:ind w:left="92" w:right="89"/>
              <w:spacing w:before="52" w:line="231" w:lineRule="auto"/>
              <w:rPr>
                <w:sz w:val="16"/>
                <w:szCs w:val="16"/>
              </w:rPr>
            </w:pPr>
            <w:r>
              <w:rPr>
                <w:sz w:val="16"/>
                <w:szCs w:val="16"/>
              </w:rPr>
              <w:t>中外公共航立运验肃</w:t>
            </w:r>
            <w:r>
              <w:rPr>
                <w:sz w:val="16"/>
                <w:szCs w:val="16"/>
                <w:spacing w:val="5"/>
              </w:rPr>
              <w:t xml:space="preserve"> </w:t>
            </w:r>
            <w:r>
              <w:rPr>
                <w:sz w:val="16"/>
                <w:szCs w:val="16"/>
                <w:spacing w:val="-1"/>
              </w:rPr>
              <w:t>病人仿行合帮在核发</w:t>
            </w:r>
          </w:p>
        </w:tc>
        <w:tc>
          <w:tcPr>
            <w:tcW w:w="2377" w:type="dxa"/>
            <w:vAlign w:val="top"/>
          </w:tcPr>
          <w:p>
            <w:pPr>
              <w:spacing w:line="424" w:lineRule="auto"/>
              <w:rPr>
                <w:rFonts w:ascii="Arial"/>
                <w:sz w:val="21"/>
              </w:rPr>
            </w:pPr>
            <w:r/>
          </w:p>
          <w:p>
            <w:pPr>
              <w:pStyle w:val="TableText"/>
              <w:ind w:left="54"/>
              <w:spacing w:before="52" w:line="219" w:lineRule="auto"/>
              <w:rPr>
                <w:sz w:val="16"/>
                <w:szCs w:val="16"/>
              </w:rPr>
            </w:pPr>
            <w:r>
              <w:rPr>
                <w:sz w:val="16"/>
                <w:szCs w:val="16"/>
                <w:spacing w:val="2"/>
              </w:rPr>
              <w:t>民氧地区管填局</w:t>
            </w:r>
          </w:p>
        </w:tc>
        <w:tc>
          <w:tcPr>
            <w:tcW w:w="3711" w:type="dxa"/>
            <w:vAlign w:val="top"/>
          </w:tcPr>
          <w:p>
            <w:pPr>
              <w:pStyle w:val="TableText"/>
              <w:ind w:left="56" w:right="271"/>
              <w:spacing w:before="70" w:line="236" w:lineRule="auto"/>
              <w:rPr>
                <w:sz w:val="16"/>
                <w:szCs w:val="16"/>
              </w:rPr>
            </w:pPr>
            <w:r>
              <w:rPr>
                <w:sz w:val="16"/>
                <w:szCs w:val="16"/>
              </w:rPr>
              <w:t>属务家对确寄保留的行政康批项日设定右收许育</w:t>
            </w:r>
            <w:r>
              <w:rPr>
                <w:sz w:val="16"/>
                <w:szCs w:val="16"/>
                <w:spacing w:val="11"/>
              </w:rPr>
              <w:t xml:space="preserve"> </w:t>
            </w:r>
            <w:r>
              <w:rPr>
                <w:sz w:val="16"/>
                <w:szCs w:val="16"/>
              </w:rPr>
              <w:t>的决定》</w:t>
            </w:r>
          </w:p>
          <w:p>
            <w:pPr>
              <w:pStyle w:val="TableText"/>
              <w:ind w:right="124"/>
              <w:spacing w:line="225" w:lineRule="auto"/>
              <w:jc w:val="both"/>
              <w:rPr>
                <w:sz w:val="16"/>
                <w:szCs w:val="16"/>
              </w:rPr>
            </w:pPr>
            <w:r>
              <w:rPr>
                <w:sz w:val="16"/>
                <w:szCs w:val="16"/>
                <w:spacing w:val="-1"/>
              </w:rPr>
              <w:t>《大蓝笔机终其航空运输承达人运行合格审定现</w:t>
            </w:r>
            <w:r>
              <w:rPr>
                <w:sz w:val="16"/>
                <w:szCs w:val="16"/>
                <w:spacing w:val="-2"/>
              </w:rPr>
              <w:t>同!</w:t>
            </w:r>
            <w:r>
              <w:rPr>
                <w:sz w:val="16"/>
                <w:szCs w:val="16"/>
              </w:rPr>
              <w:t xml:space="preserve"> </w:t>
            </w:r>
            <w:r>
              <w:rPr>
                <w:sz w:val="16"/>
                <w:szCs w:val="16"/>
                <w:spacing w:val="-2"/>
              </w:rPr>
              <w:t>《小型航空非商业运能运营人起行合格市定规则》</w:t>
            </w:r>
          </w:p>
          <w:p>
            <w:pPr>
              <w:pStyle w:val="TableText"/>
              <w:spacing w:before="30" w:line="219" w:lineRule="auto"/>
              <w:rPr>
                <w:sz w:val="16"/>
                <w:szCs w:val="16"/>
              </w:rPr>
            </w:pPr>
            <w:r>
              <w:rPr>
                <w:sz w:val="16"/>
                <w:szCs w:val="16"/>
                <w:spacing w:val="-2"/>
              </w:rPr>
              <w:t>《外国公共献空运输承运人运行合格事定规刚》</w:t>
            </w:r>
          </w:p>
        </w:tc>
      </w:tr>
      <w:tr>
        <w:trPr>
          <w:trHeight w:val="929" w:hRule="atLeast"/>
        </w:trPr>
        <w:tc>
          <w:tcPr>
            <w:tcW w:w="584" w:type="dxa"/>
            <w:vAlign w:val="top"/>
          </w:tcPr>
          <w:p>
            <w:pPr>
              <w:spacing w:line="379" w:lineRule="auto"/>
              <w:rPr>
                <w:rFonts w:ascii="Arial"/>
                <w:sz w:val="21"/>
              </w:rPr>
            </w:pPr>
            <w:r/>
          </w:p>
          <w:p>
            <w:pPr>
              <w:pStyle w:val="TableText"/>
              <w:ind w:left="164"/>
              <w:spacing w:before="52" w:line="183" w:lineRule="auto"/>
              <w:rPr>
                <w:sz w:val="16"/>
                <w:szCs w:val="16"/>
              </w:rPr>
            </w:pPr>
            <w:r>
              <w:rPr>
                <w:sz w:val="16"/>
                <w:szCs w:val="16"/>
                <w:spacing w:val="-2"/>
              </w:rPr>
              <w:t>839</w:t>
            </w:r>
          </w:p>
        </w:tc>
        <w:tc>
          <w:tcPr>
            <w:tcW w:w="1289" w:type="dxa"/>
            <w:vAlign w:val="top"/>
          </w:tcPr>
          <w:p>
            <w:pPr>
              <w:spacing w:line="339" w:lineRule="auto"/>
              <w:rPr>
                <w:rFonts w:ascii="Arial"/>
                <w:sz w:val="21"/>
              </w:rPr>
            </w:pPr>
            <w:r/>
          </w:p>
          <w:p>
            <w:pPr>
              <w:pStyle w:val="TableText"/>
              <w:ind w:left="231"/>
              <w:spacing w:before="52" w:line="220" w:lineRule="auto"/>
              <w:rPr>
                <w:sz w:val="16"/>
                <w:szCs w:val="16"/>
              </w:rPr>
            </w:pPr>
            <w:r>
              <w:rPr>
                <w:sz w:val="16"/>
                <w:szCs w:val="16"/>
                <w:spacing w:val="2"/>
              </w:rPr>
              <w:t>中国民航局</w:t>
            </w:r>
          </w:p>
        </w:tc>
        <w:tc>
          <w:tcPr>
            <w:tcW w:w="1638" w:type="dxa"/>
            <w:vAlign w:val="top"/>
          </w:tcPr>
          <w:p>
            <w:pPr>
              <w:pStyle w:val="TableText"/>
              <w:ind w:left="52" w:right="56" w:firstLine="79"/>
              <w:spacing w:before="83" w:line="236" w:lineRule="auto"/>
              <w:jc w:val="both"/>
              <w:rPr>
                <w:sz w:val="16"/>
                <w:szCs w:val="16"/>
              </w:rPr>
            </w:pPr>
            <w:r>
              <w:rPr>
                <w:sz w:val="16"/>
                <w:szCs w:val="16"/>
              </w:rPr>
              <w:t>商业非运物运营人， </w:t>
            </w:r>
            <w:r>
              <w:rPr>
                <w:sz w:val="16"/>
                <w:szCs w:val="16"/>
                <w:spacing w:val="3"/>
              </w:rPr>
              <w:t>私用大型似空题运看</w:t>
            </w:r>
            <w:r>
              <w:rPr>
                <w:sz w:val="16"/>
                <w:szCs w:val="16"/>
                <w:spacing w:val="5"/>
              </w:rPr>
              <w:t xml:space="preserve"> </w:t>
            </w:r>
            <w:r>
              <w:rPr>
                <w:sz w:val="16"/>
                <w:szCs w:val="16"/>
                <w:spacing w:val="3"/>
              </w:rPr>
              <w:t>人、脑空群代惜人迷</w:t>
            </w:r>
            <w:r>
              <w:rPr>
                <w:sz w:val="16"/>
                <w:szCs w:val="16"/>
                <w:spacing w:val="4"/>
              </w:rPr>
              <w:t xml:space="preserve"> </w:t>
            </w:r>
            <w:r>
              <w:rPr>
                <w:sz w:val="16"/>
                <w:szCs w:val="16"/>
                <w:spacing w:val="-2"/>
              </w:rPr>
              <w:t>行合格证精发</w:t>
            </w:r>
          </w:p>
        </w:tc>
        <w:tc>
          <w:tcPr>
            <w:tcW w:w="2377" w:type="dxa"/>
            <w:vAlign w:val="top"/>
          </w:tcPr>
          <w:p>
            <w:pPr>
              <w:spacing w:line="338" w:lineRule="auto"/>
              <w:rPr>
                <w:rFonts w:ascii="Arial"/>
                <w:sz w:val="21"/>
              </w:rPr>
            </w:pPr>
            <w:r/>
          </w:p>
          <w:p>
            <w:pPr>
              <w:pStyle w:val="TableText"/>
              <w:ind w:left="54"/>
              <w:spacing w:before="52" w:line="219" w:lineRule="auto"/>
              <w:rPr>
                <w:sz w:val="16"/>
                <w:szCs w:val="16"/>
              </w:rPr>
            </w:pPr>
            <w:r>
              <w:rPr>
                <w:sz w:val="16"/>
                <w:szCs w:val="16"/>
                <w:spacing w:val="1"/>
              </w:rPr>
              <w:t>民触地区管题防</w:t>
            </w:r>
          </w:p>
        </w:tc>
        <w:tc>
          <w:tcPr>
            <w:tcW w:w="3711" w:type="dxa"/>
            <w:vAlign w:val="top"/>
          </w:tcPr>
          <w:p>
            <w:pPr>
              <w:pStyle w:val="TableText"/>
              <w:ind w:left="56" w:right="265"/>
              <w:spacing w:before="192" w:line="225" w:lineRule="auto"/>
              <w:rPr>
                <w:sz w:val="16"/>
                <w:szCs w:val="16"/>
              </w:rPr>
            </w:pPr>
            <w:r>
              <w:rPr>
                <w:sz w:val="16"/>
                <w:szCs w:val="16"/>
              </w:rPr>
              <w:t>国务院时确需保食的行政审批项日设定行政许叫</w:t>
            </w:r>
            <w:r>
              <w:rPr>
                <w:sz w:val="16"/>
                <w:szCs w:val="16"/>
                <w:spacing w:val="17"/>
              </w:rPr>
              <w:t xml:space="preserve"> </w:t>
            </w:r>
            <w:r>
              <w:rPr>
                <w:sz w:val="16"/>
                <w:szCs w:val="16"/>
              </w:rPr>
              <w:t>的决定》</w:t>
            </w:r>
          </w:p>
          <w:p>
            <w:pPr>
              <w:pStyle w:val="TableText"/>
              <w:ind w:left="56"/>
              <w:spacing w:line="220" w:lineRule="auto"/>
              <w:rPr>
                <w:sz w:val="16"/>
                <w:szCs w:val="16"/>
              </w:rPr>
            </w:pPr>
            <w:r>
              <w:rPr>
                <w:sz w:val="16"/>
                <w:szCs w:val="16"/>
                <w:spacing w:val="-2"/>
              </w:rPr>
              <w:t>一股运行和飞行规用》</w:t>
            </w:r>
          </w:p>
        </w:tc>
      </w:tr>
      <w:tr>
        <w:trPr>
          <w:trHeight w:val="709" w:hRule="atLeast"/>
        </w:trPr>
        <w:tc>
          <w:tcPr>
            <w:tcW w:w="584" w:type="dxa"/>
            <w:vAlign w:val="top"/>
          </w:tcPr>
          <w:p>
            <w:pPr>
              <w:spacing w:line="271" w:lineRule="auto"/>
              <w:rPr>
                <w:rFonts w:ascii="Arial"/>
                <w:sz w:val="21"/>
              </w:rPr>
            </w:pPr>
            <w:r/>
          </w:p>
          <w:p>
            <w:pPr>
              <w:pStyle w:val="TableText"/>
              <w:ind w:left="164"/>
              <w:spacing w:before="52" w:line="183" w:lineRule="auto"/>
              <w:rPr>
                <w:sz w:val="16"/>
                <w:szCs w:val="16"/>
              </w:rPr>
            </w:pPr>
            <w:r>
              <w:rPr>
                <w:sz w:val="16"/>
                <w:szCs w:val="16"/>
                <w:spacing w:val="-2"/>
              </w:rPr>
              <w:t>840</w:t>
            </w:r>
          </w:p>
        </w:tc>
        <w:tc>
          <w:tcPr>
            <w:tcW w:w="1289" w:type="dxa"/>
            <w:vAlign w:val="top"/>
          </w:tcPr>
          <w:p>
            <w:pPr>
              <w:pStyle w:val="TableText"/>
              <w:ind w:left="231"/>
              <w:spacing w:before="284" w:line="220" w:lineRule="auto"/>
              <w:rPr>
                <w:sz w:val="16"/>
                <w:szCs w:val="16"/>
              </w:rPr>
            </w:pPr>
            <w:r>
              <w:rPr>
                <w:sz w:val="16"/>
                <w:szCs w:val="16"/>
                <w:spacing w:val="2"/>
              </w:rPr>
              <w:t>中国民航局</w:t>
            </w:r>
          </w:p>
        </w:tc>
        <w:tc>
          <w:tcPr>
            <w:tcW w:w="1638" w:type="dxa"/>
            <w:vAlign w:val="top"/>
          </w:tcPr>
          <w:p>
            <w:pPr>
              <w:pStyle w:val="TableText"/>
              <w:ind w:left="52" w:right="74" w:firstLine="40"/>
              <w:spacing w:before="84" w:line="227" w:lineRule="auto"/>
              <w:jc w:val="both"/>
              <w:rPr>
                <w:sz w:val="16"/>
                <w:szCs w:val="16"/>
              </w:rPr>
            </w:pPr>
            <w:r>
              <w:rPr>
                <w:sz w:val="16"/>
                <w:szCs w:val="16"/>
                <w:spacing w:val="2"/>
              </w:rPr>
              <w:t>在我国摸内国际国内 </w:t>
            </w:r>
            <w:r>
              <w:rPr>
                <w:sz w:val="16"/>
                <w:szCs w:val="16"/>
                <w:spacing w:val="3"/>
              </w:rPr>
              <w:t>定期和不定期飞行计</w:t>
            </w:r>
            <w:r>
              <w:rPr>
                <w:sz w:val="16"/>
                <w:szCs w:val="16"/>
                <w:spacing w:val="1"/>
              </w:rPr>
              <w:t xml:space="preserve"> </w:t>
            </w:r>
            <w:r>
              <w:rPr>
                <w:sz w:val="16"/>
                <w:szCs w:val="16"/>
                <w:spacing w:val="-2"/>
              </w:rPr>
              <w:t>划审盘</w:t>
            </w:r>
          </w:p>
        </w:tc>
        <w:tc>
          <w:tcPr>
            <w:tcW w:w="2377" w:type="dxa"/>
            <w:vAlign w:val="top"/>
          </w:tcPr>
          <w:p>
            <w:pPr>
              <w:pStyle w:val="TableText"/>
              <w:ind w:left="54"/>
              <w:spacing w:before="284" w:line="220" w:lineRule="auto"/>
              <w:rPr>
                <w:sz w:val="16"/>
                <w:szCs w:val="16"/>
              </w:rPr>
            </w:pPr>
            <w:r>
              <w:rPr>
                <w:sz w:val="16"/>
                <w:szCs w:val="16"/>
                <w:spacing w:val="1"/>
              </w:rPr>
              <w:t>中国国款是</w:t>
            </w:r>
          </w:p>
        </w:tc>
        <w:tc>
          <w:tcPr>
            <w:tcW w:w="3711" w:type="dxa"/>
            <w:vAlign w:val="top"/>
          </w:tcPr>
          <w:p>
            <w:pPr>
              <w:pStyle w:val="TableText"/>
              <w:ind w:left="56"/>
              <w:spacing w:before="184" w:line="220" w:lineRule="auto"/>
              <w:rPr>
                <w:sz w:val="16"/>
                <w:szCs w:val="16"/>
              </w:rPr>
            </w:pPr>
            <w:r>
              <w:rPr>
                <w:sz w:val="16"/>
                <w:szCs w:val="16"/>
                <w:spacing w:val="-1"/>
              </w:rPr>
              <w:t>中华人民其和国民用款空法》</w:t>
            </w:r>
          </w:p>
          <w:p>
            <w:pPr>
              <w:pStyle w:val="TableText"/>
              <w:ind w:left="56"/>
              <w:spacing w:before="17" w:line="219" w:lineRule="auto"/>
              <w:rPr>
                <w:sz w:val="16"/>
                <w:szCs w:val="16"/>
              </w:rPr>
            </w:pPr>
            <w:r>
              <w:rPr>
                <w:sz w:val="16"/>
                <w:szCs w:val="16"/>
                <w:spacing w:val="-1"/>
              </w:rPr>
              <w:t>七中华人现共和国飞行基本规制》</w:t>
            </w:r>
          </w:p>
        </w:tc>
      </w:tr>
      <w:tr>
        <w:trPr>
          <w:trHeight w:val="719" w:hRule="atLeast"/>
        </w:trPr>
        <w:tc>
          <w:tcPr>
            <w:tcW w:w="584" w:type="dxa"/>
            <w:vAlign w:val="top"/>
          </w:tcPr>
          <w:p>
            <w:pPr>
              <w:spacing w:line="271" w:lineRule="auto"/>
              <w:rPr>
                <w:rFonts w:ascii="Arial"/>
                <w:sz w:val="21"/>
              </w:rPr>
            </w:pPr>
            <w:r/>
          </w:p>
          <w:p>
            <w:pPr>
              <w:pStyle w:val="TableText"/>
              <w:ind w:left="164"/>
              <w:spacing w:before="52" w:line="184" w:lineRule="auto"/>
              <w:rPr>
                <w:sz w:val="16"/>
                <w:szCs w:val="16"/>
              </w:rPr>
            </w:pPr>
            <w:r>
              <w:rPr>
                <w:sz w:val="16"/>
                <w:szCs w:val="16"/>
                <w:spacing w:val="-2"/>
              </w:rPr>
              <w:t>841</w:t>
            </w:r>
          </w:p>
        </w:tc>
        <w:tc>
          <w:tcPr>
            <w:tcW w:w="1289" w:type="dxa"/>
            <w:vAlign w:val="top"/>
          </w:tcPr>
          <w:p>
            <w:pPr>
              <w:pStyle w:val="TableText"/>
              <w:ind w:left="231"/>
              <w:spacing w:before="284" w:line="219" w:lineRule="auto"/>
              <w:rPr>
                <w:sz w:val="16"/>
                <w:szCs w:val="16"/>
              </w:rPr>
            </w:pPr>
            <w:r>
              <w:rPr>
                <w:sz w:val="16"/>
                <w:szCs w:val="16"/>
                <w:spacing w:val="1"/>
              </w:rPr>
              <w:t>中国民瓶高</w:t>
            </w:r>
          </w:p>
        </w:tc>
        <w:tc>
          <w:tcPr>
            <w:tcW w:w="1638" w:type="dxa"/>
            <w:vAlign w:val="top"/>
          </w:tcPr>
          <w:p>
            <w:pPr>
              <w:pStyle w:val="TableText"/>
              <w:ind w:left="52" w:right="102" w:firstLine="40"/>
              <w:spacing w:before="194" w:line="231" w:lineRule="auto"/>
              <w:rPr>
                <w:sz w:val="16"/>
                <w:szCs w:val="16"/>
              </w:rPr>
            </w:pPr>
            <w:r>
              <w:rPr>
                <w:sz w:val="16"/>
                <w:szCs w:val="16"/>
                <w:spacing w:val="-1"/>
              </w:rPr>
              <w:t>特殊遵用航空飞行活</w:t>
            </w:r>
            <w:r>
              <w:rPr>
                <w:sz w:val="16"/>
                <w:szCs w:val="16"/>
                <w:spacing w:val="1"/>
              </w:rPr>
              <w:t xml:space="preserve"> </w:t>
            </w:r>
            <w:r>
              <w:rPr>
                <w:sz w:val="16"/>
                <w:szCs w:val="16"/>
                <w:spacing w:val="-2"/>
              </w:rPr>
              <w:t>动任各所花</w:t>
            </w:r>
          </w:p>
        </w:tc>
        <w:tc>
          <w:tcPr>
            <w:tcW w:w="2377" w:type="dxa"/>
            <w:vAlign w:val="top"/>
          </w:tcPr>
          <w:p>
            <w:pPr>
              <w:pStyle w:val="TableText"/>
              <w:ind w:left="54"/>
              <w:spacing w:before="285" w:line="220" w:lineRule="auto"/>
              <w:rPr>
                <w:sz w:val="16"/>
                <w:szCs w:val="16"/>
              </w:rPr>
            </w:pPr>
            <w:r>
              <w:rPr>
                <w:sz w:val="16"/>
                <w:szCs w:val="16"/>
              </w:rPr>
              <w:t>中国民航局，民航地区登理量</w:t>
            </w:r>
          </w:p>
        </w:tc>
        <w:tc>
          <w:tcPr>
            <w:tcW w:w="3711" w:type="dxa"/>
            <w:vAlign w:val="top"/>
          </w:tcPr>
          <w:p>
            <w:pPr>
              <w:pStyle w:val="TableText"/>
              <w:ind w:left="56"/>
              <w:spacing w:before="93" w:line="219" w:lineRule="auto"/>
              <w:rPr>
                <w:sz w:val="16"/>
                <w:szCs w:val="16"/>
              </w:rPr>
            </w:pPr>
            <w:r>
              <w:rPr>
                <w:sz w:val="16"/>
                <w:szCs w:val="16"/>
                <w:spacing w:val="3"/>
              </w:rPr>
              <w:t>通用航空飞行管州条例)</w:t>
            </w:r>
          </w:p>
          <w:p>
            <w:pPr>
              <w:pStyle w:val="TableText"/>
              <w:ind w:left="56" w:right="277"/>
              <w:spacing w:before="11" w:line="225" w:lineRule="auto"/>
              <w:rPr>
                <w:sz w:val="16"/>
                <w:szCs w:val="16"/>
              </w:rPr>
            </w:pPr>
            <w:r>
              <w:rPr>
                <w:sz w:val="16"/>
                <w:szCs w:val="16"/>
              </w:rPr>
              <w:t>国务院对确需保所的行教审批项日设定行范碎可</w:t>
            </w:r>
            <w:r>
              <w:rPr>
                <w:sz w:val="16"/>
                <w:szCs w:val="16"/>
                <w:spacing w:val="5"/>
              </w:rPr>
              <w:t xml:space="preserve"> </w:t>
            </w:r>
            <w:r>
              <w:rPr>
                <w:sz w:val="16"/>
                <w:szCs w:val="16"/>
                <w:spacing w:val="-3"/>
              </w:rPr>
              <w:t>前决定》</w:t>
            </w:r>
          </w:p>
        </w:tc>
      </w:tr>
      <w:tr>
        <w:trPr>
          <w:trHeight w:val="564" w:hRule="atLeast"/>
        </w:trPr>
        <w:tc>
          <w:tcPr>
            <w:tcW w:w="584" w:type="dxa"/>
            <w:vAlign w:val="top"/>
          </w:tcPr>
          <w:p>
            <w:pPr>
              <w:pStyle w:val="TableText"/>
              <w:ind w:left="164"/>
              <w:spacing w:before="246" w:line="183" w:lineRule="auto"/>
              <w:rPr>
                <w:sz w:val="16"/>
                <w:szCs w:val="16"/>
              </w:rPr>
            </w:pPr>
            <w:r>
              <w:rPr>
                <w:sz w:val="16"/>
                <w:szCs w:val="16"/>
                <w:spacing w:val="-2"/>
              </w:rPr>
              <w:t>842</w:t>
            </w:r>
          </w:p>
        </w:tc>
        <w:tc>
          <w:tcPr>
            <w:tcW w:w="1289" w:type="dxa"/>
            <w:vAlign w:val="top"/>
          </w:tcPr>
          <w:p>
            <w:pPr>
              <w:pStyle w:val="TableText"/>
              <w:ind w:left="231"/>
              <w:spacing w:before="206" w:line="220" w:lineRule="auto"/>
              <w:rPr>
                <w:sz w:val="16"/>
                <w:szCs w:val="16"/>
              </w:rPr>
            </w:pPr>
            <w:r>
              <w:rPr>
                <w:sz w:val="16"/>
                <w:szCs w:val="16"/>
                <w:spacing w:val="1"/>
              </w:rPr>
              <w:t>中国民职药</w:t>
            </w:r>
          </w:p>
        </w:tc>
        <w:tc>
          <w:tcPr>
            <w:tcW w:w="1638" w:type="dxa"/>
            <w:vAlign w:val="top"/>
          </w:tcPr>
          <w:p>
            <w:pPr>
              <w:pStyle w:val="TableText"/>
              <w:ind w:left="52" w:right="106" w:firstLine="40"/>
              <w:spacing w:before="125" w:line="220" w:lineRule="auto"/>
              <w:rPr>
                <w:sz w:val="16"/>
                <w:szCs w:val="16"/>
              </w:rPr>
            </w:pPr>
            <w:r>
              <w:rPr>
                <w:sz w:val="16"/>
                <w:szCs w:val="16"/>
                <w:spacing w:val="-2"/>
              </w:rPr>
              <w:t>并放驻华常设机构设</w:t>
            </w:r>
            <w:r>
              <w:rPr>
                <w:sz w:val="16"/>
                <w:szCs w:val="16"/>
                <w:spacing w:val="6"/>
              </w:rPr>
              <w:t xml:space="preserve"> </w:t>
            </w:r>
            <w:r>
              <w:rPr>
                <w:sz w:val="16"/>
                <w:szCs w:val="16"/>
                <w:spacing w:val="-2"/>
              </w:rPr>
              <w:t>企审粗</w:t>
            </w:r>
          </w:p>
        </w:tc>
        <w:tc>
          <w:tcPr>
            <w:tcW w:w="2377" w:type="dxa"/>
            <w:vAlign w:val="top"/>
          </w:tcPr>
          <w:p>
            <w:pPr>
              <w:pStyle w:val="TableText"/>
              <w:ind w:left="54"/>
              <w:spacing w:before="206" w:line="220" w:lineRule="auto"/>
              <w:rPr>
                <w:sz w:val="16"/>
                <w:szCs w:val="16"/>
              </w:rPr>
            </w:pPr>
            <w:r>
              <w:rPr>
                <w:sz w:val="16"/>
                <w:szCs w:val="16"/>
                <w:spacing w:val="2"/>
              </w:rPr>
              <w:t>中国民航局</w:t>
            </w:r>
          </w:p>
        </w:tc>
        <w:tc>
          <w:tcPr>
            <w:tcW w:w="3711" w:type="dxa"/>
            <w:vAlign w:val="top"/>
          </w:tcPr>
          <w:p>
            <w:pPr>
              <w:pStyle w:val="TableText"/>
              <w:ind w:left="69" w:right="209" w:hanging="69"/>
              <w:spacing w:before="104" w:line="242" w:lineRule="auto"/>
              <w:rPr>
                <w:sz w:val="16"/>
                <w:szCs w:val="16"/>
              </w:rPr>
            </w:pPr>
            <w:r>
              <w:rPr>
                <w:sz w:val="16"/>
                <w:szCs w:val="16"/>
                <w:spacing w:val="-2"/>
              </w:rPr>
              <w:t>《中华人民共和国国务院关子管莲外国全查含陆代</w:t>
            </w:r>
            <w:r>
              <w:rPr>
                <w:sz w:val="16"/>
                <w:szCs w:val="16"/>
                <w:spacing w:val="14"/>
              </w:rPr>
              <w:t xml:space="preserve"> </w:t>
            </w:r>
            <w:r>
              <w:rPr>
                <w:sz w:val="16"/>
                <w:szCs w:val="16"/>
                <w:spacing w:val="1"/>
              </w:rPr>
              <w:t>表机构的暂行规定《国发(1980)272号)</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911168"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338" name="TextBox 338"/>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250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0" style="position:absolute;margin-left:35.8547pt;margin-top:48.6757pt;mso-position-vertical-relative:page;mso-position-horizontal-relative:page;width:14.35pt;height:13pt;z-index:251911168;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250</w:t>
                      </w:r>
                    </w:p>
                  </w:txbxContent>
                </v:textbox>
              </v:shape>
            </w:pict>
          </mc:Fallback>
        </mc:AlternateContent>
      </w:r>
      <w:r/>
    </w:p>
    <w:tbl>
      <w:tblPr>
        <w:tblStyle w:val="TableNormal"/>
        <w:tblW w:w="960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99"/>
        <w:gridCol w:w="1628"/>
        <w:gridCol w:w="2377"/>
        <w:gridCol w:w="371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99" w:type="dxa"/>
            <w:vAlign w:val="top"/>
          </w:tcPr>
          <w:p>
            <w:pPr>
              <w:pStyle w:val="TableText"/>
              <w:ind w:left="160"/>
              <w:spacing w:before="131" w:line="219" w:lineRule="auto"/>
              <w:rPr>
                <w:sz w:val="16"/>
                <w:szCs w:val="16"/>
              </w:rPr>
            </w:pPr>
            <w:r>
              <w:rPr>
                <w:sz w:val="16"/>
                <w:szCs w:val="16"/>
                <w:spacing w:val="3"/>
              </w:rPr>
              <w:t>中央主管部门</w:t>
            </w:r>
          </w:p>
        </w:tc>
        <w:tc>
          <w:tcPr>
            <w:tcW w:w="1628" w:type="dxa"/>
            <w:vAlign w:val="top"/>
          </w:tcPr>
          <w:p>
            <w:pPr>
              <w:pStyle w:val="TableText"/>
              <w:ind w:left="461"/>
              <w:spacing w:before="132" w:line="220" w:lineRule="auto"/>
              <w:rPr>
                <w:sz w:val="16"/>
                <w:szCs w:val="16"/>
              </w:rPr>
            </w:pPr>
            <w:r>
              <w:rPr>
                <w:sz w:val="16"/>
                <w:szCs w:val="16"/>
                <w:spacing w:val="-2"/>
              </w:rPr>
              <w:t>事项名称</w:t>
            </w:r>
          </w:p>
        </w:tc>
        <w:tc>
          <w:tcPr>
            <w:tcW w:w="2377" w:type="dxa"/>
            <w:vAlign w:val="top"/>
          </w:tcPr>
          <w:p>
            <w:pPr>
              <w:pStyle w:val="TableText"/>
              <w:ind w:left="844"/>
              <w:spacing w:before="130" w:line="219" w:lineRule="auto"/>
              <w:rPr>
                <w:sz w:val="16"/>
                <w:szCs w:val="16"/>
              </w:rPr>
            </w:pPr>
            <w:r>
              <w:rPr>
                <w:sz w:val="16"/>
                <w:szCs w:val="16"/>
                <w:spacing w:val="-2"/>
              </w:rPr>
              <w:t>实施机关</w:t>
            </w:r>
          </w:p>
        </w:tc>
        <w:tc>
          <w:tcPr>
            <w:tcW w:w="3711" w:type="dxa"/>
            <w:vAlign w:val="top"/>
          </w:tcPr>
          <w:p>
            <w:pPr>
              <w:pStyle w:val="TableText"/>
              <w:ind w:left="1279"/>
              <w:spacing w:before="128" w:line="219" w:lineRule="auto"/>
              <w:rPr>
                <w:sz w:val="16"/>
                <w:szCs w:val="16"/>
              </w:rPr>
            </w:pPr>
            <w:r>
              <w:rPr>
                <w:sz w:val="16"/>
                <w:szCs w:val="16"/>
                <w:b/>
                <w:bCs/>
                <w:spacing w:val="-3"/>
              </w:rPr>
              <w:t>设定和实地依删</w:t>
            </w:r>
          </w:p>
        </w:tc>
      </w:tr>
      <w:tr>
        <w:trPr>
          <w:trHeight w:val="1079" w:hRule="atLeast"/>
        </w:trPr>
        <w:tc>
          <w:tcPr>
            <w:tcW w:w="594" w:type="dxa"/>
            <w:vAlign w:val="top"/>
          </w:tcPr>
          <w:p>
            <w:pPr>
              <w:spacing w:line="443" w:lineRule="auto"/>
              <w:rPr>
                <w:rFonts w:ascii="Arial"/>
                <w:sz w:val="21"/>
              </w:rPr>
            </w:pPr>
            <w:r/>
          </w:p>
          <w:p>
            <w:pPr>
              <w:pStyle w:val="TableText"/>
              <w:ind w:left="204"/>
              <w:spacing w:before="52" w:line="183" w:lineRule="auto"/>
              <w:rPr>
                <w:sz w:val="16"/>
                <w:szCs w:val="16"/>
              </w:rPr>
            </w:pPr>
            <w:r>
              <w:rPr>
                <w:sz w:val="16"/>
                <w:szCs w:val="16"/>
                <w:spacing w:val="-3"/>
              </w:rPr>
              <w:t>53</w:t>
            </w:r>
          </w:p>
        </w:tc>
        <w:tc>
          <w:tcPr>
            <w:tcW w:w="1299" w:type="dxa"/>
            <w:vAlign w:val="top"/>
          </w:tcPr>
          <w:p>
            <w:pPr>
              <w:spacing w:line="402" w:lineRule="auto"/>
              <w:rPr>
                <w:rFonts w:ascii="Arial"/>
                <w:sz w:val="21"/>
              </w:rPr>
            </w:pPr>
            <w:r/>
          </w:p>
          <w:p>
            <w:pPr>
              <w:pStyle w:val="TableText"/>
              <w:ind w:left="241"/>
              <w:spacing w:before="52" w:line="220" w:lineRule="auto"/>
              <w:rPr>
                <w:sz w:val="16"/>
                <w:szCs w:val="16"/>
              </w:rPr>
            </w:pPr>
            <w:r>
              <w:rPr>
                <w:sz w:val="16"/>
                <w:szCs w:val="16"/>
                <w:spacing w:val="2"/>
              </w:rPr>
              <w:t>中国民航局</w:t>
            </w:r>
          </w:p>
        </w:tc>
        <w:tc>
          <w:tcPr>
            <w:tcW w:w="1628" w:type="dxa"/>
            <w:vAlign w:val="top"/>
          </w:tcPr>
          <w:p>
            <w:pPr>
              <w:spacing w:line="332" w:lineRule="auto"/>
              <w:rPr>
                <w:rFonts w:ascii="Arial"/>
                <w:sz w:val="21"/>
              </w:rPr>
            </w:pPr>
            <w:r/>
          </w:p>
          <w:p>
            <w:pPr>
              <w:pStyle w:val="TableText"/>
              <w:ind w:left="42" w:right="303"/>
              <w:spacing w:before="52" w:line="214" w:lineRule="auto"/>
              <w:rPr>
                <w:sz w:val="16"/>
                <w:szCs w:val="16"/>
              </w:rPr>
            </w:pPr>
            <w:r>
              <w:rPr>
                <w:sz w:val="16"/>
                <w:szCs w:val="16"/>
                <w:spacing w:val="-1"/>
              </w:rPr>
              <w:t>填外民能计算肌订</w:t>
            </w:r>
            <w:r>
              <w:rPr>
                <w:sz w:val="16"/>
                <w:szCs w:val="16"/>
              </w:rPr>
              <w:t xml:space="preserve"> </w:t>
            </w:r>
            <w:r>
              <w:rPr>
                <w:sz w:val="16"/>
                <w:szCs w:val="16"/>
                <w:spacing w:val="-2"/>
              </w:rPr>
              <w:t>系统准人牢批</w:t>
            </w:r>
          </w:p>
        </w:tc>
        <w:tc>
          <w:tcPr>
            <w:tcW w:w="2377" w:type="dxa"/>
            <w:vAlign w:val="top"/>
          </w:tcPr>
          <w:p>
            <w:pPr>
              <w:spacing w:line="402" w:lineRule="auto"/>
              <w:rPr>
                <w:rFonts w:ascii="Arial"/>
                <w:sz w:val="21"/>
              </w:rPr>
            </w:pPr>
            <w:r/>
          </w:p>
          <w:p>
            <w:pPr>
              <w:pStyle w:val="TableText"/>
              <w:ind w:left="74"/>
              <w:spacing w:before="52" w:line="220" w:lineRule="auto"/>
              <w:rPr>
                <w:sz w:val="16"/>
                <w:szCs w:val="16"/>
              </w:rPr>
            </w:pPr>
            <w:r>
              <w:rPr>
                <w:sz w:val="16"/>
                <w:szCs w:val="16"/>
                <w:spacing w:val="2"/>
              </w:rPr>
              <w:t>中国民题局</w:t>
            </w:r>
          </w:p>
        </w:tc>
        <w:tc>
          <w:tcPr>
            <w:tcW w:w="3711" w:type="dxa"/>
            <w:vAlign w:val="top"/>
          </w:tcPr>
          <w:p>
            <w:pPr>
              <w:pStyle w:val="TableText"/>
              <w:ind w:left="137" w:right="211"/>
              <w:spacing w:before="45" w:line="237" w:lineRule="auto"/>
              <w:rPr>
                <w:sz w:val="16"/>
                <w:szCs w:val="16"/>
              </w:rPr>
            </w:pPr>
            <w:r>
              <w:rPr>
                <w:sz w:val="16"/>
                <w:szCs w:val="16"/>
                <w:spacing w:val="-1"/>
              </w:rPr>
              <w:t>属务真对确置促别的行政审批项具设定行线许可</w:t>
            </w:r>
            <w:r>
              <w:rPr>
                <w:sz w:val="16"/>
                <w:szCs w:val="16"/>
                <w:spacing w:val="12"/>
              </w:rPr>
              <w:t xml:space="preserve"> </w:t>
            </w:r>
            <w:r>
              <w:rPr>
                <w:sz w:val="16"/>
                <w:szCs w:val="16"/>
                <w:spacing w:val="-1"/>
              </w:rPr>
              <w:t>的决空》</w:t>
            </w:r>
          </w:p>
          <w:p>
            <w:pPr>
              <w:pStyle w:val="TableText"/>
              <w:spacing w:line="218" w:lineRule="auto"/>
              <w:rPr>
                <w:sz w:val="16"/>
                <w:szCs w:val="16"/>
              </w:rPr>
            </w:pPr>
            <w:r>
              <w:rPr>
                <w:sz w:val="16"/>
                <w:szCs w:val="16"/>
                <w:spacing w:val="-1"/>
              </w:rPr>
              <w:t>《外国能交运恰交业在中国填内指定教销慎代理点</w:t>
            </w:r>
          </w:p>
          <w:p>
            <w:pPr>
              <w:pStyle w:val="TableText"/>
              <w:ind w:left="137" w:right="129" w:hanging="80"/>
              <w:spacing w:before="10" w:line="232" w:lineRule="auto"/>
              <w:rPr>
                <w:sz w:val="16"/>
                <w:szCs w:val="16"/>
              </w:rPr>
            </w:pPr>
            <w:r>
              <w:rPr>
                <w:sz w:val="16"/>
                <w:szCs w:val="16"/>
                <w:spacing w:val="-1"/>
              </w:rPr>
              <w:t>接进人和使用外国计算机订座系能将可管理置行规</w:t>
            </w:r>
            <w:r>
              <w:rPr>
                <w:sz w:val="16"/>
                <w:szCs w:val="16"/>
                <w:spacing w:val="15"/>
              </w:rPr>
              <w:t xml:space="preserve"> </w:t>
            </w:r>
            <w:r>
              <w:rPr>
                <w:sz w:val="16"/>
                <w:szCs w:val="16"/>
                <w:spacing w:val="-5"/>
              </w:rPr>
              <w:t>定》</w:t>
            </w:r>
          </w:p>
        </w:tc>
      </w:tr>
      <w:tr>
        <w:trPr>
          <w:trHeight w:val="449" w:hRule="atLeast"/>
        </w:trPr>
        <w:tc>
          <w:tcPr>
            <w:tcW w:w="594" w:type="dxa"/>
            <w:vAlign w:val="top"/>
          </w:tcPr>
          <w:p>
            <w:pPr>
              <w:pStyle w:val="TableText"/>
              <w:ind w:left="204"/>
              <w:spacing w:before="187" w:line="184" w:lineRule="auto"/>
              <w:rPr>
                <w:sz w:val="16"/>
                <w:szCs w:val="16"/>
              </w:rPr>
            </w:pPr>
            <w:r>
              <w:rPr>
                <w:sz w:val="16"/>
                <w:szCs w:val="16"/>
                <w:spacing w:val="-2"/>
              </w:rPr>
              <w:t>RA</w:t>
            </w:r>
          </w:p>
        </w:tc>
        <w:tc>
          <w:tcPr>
            <w:tcW w:w="1299" w:type="dxa"/>
            <w:vAlign w:val="top"/>
          </w:tcPr>
          <w:p>
            <w:pPr>
              <w:pStyle w:val="TableText"/>
              <w:ind w:left="241"/>
              <w:spacing w:before="147" w:line="219" w:lineRule="auto"/>
              <w:rPr>
                <w:sz w:val="16"/>
                <w:szCs w:val="16"/>
              </w:rPr>
            </w:pPr>
            <w:r>
              <w:rPr>
                <w:sz w:val="16"/>
                <w:szCs w:val="16"/>
                <w:spacing w:val="2"/>
              </w:rPr>
              <w:t>区家部政局</w:t>
            </w:r>
          </w:p>
        </w:tc>
        <w:tc>
          <w:tcPr>
            <w:tcW w:w="1628" w:type="dxa"/>
            <w:vAlign w:val="top"/>
          </w:tcPr>
          <w:p>
            <w:pPr>
              <w:pStyle w:val="TableText"/>
              <w:ind w:left="42"/>
              <w:spacing w:before="147" w:line="219" w:lineRule="auto"/>
              <w:rPr>
                <w:sz w:val="16"/>
                <w:szCs w:val="16"/>
              </w:rPr>
            </w:pPr>
            <w:r>
              <w:rPr>
                <w:sz w:val="16"/>
                <w:szCs w:val="16"/>
                <w:spacing w:val="-1"/>
              </w:rPr>
              <w:t>他通业务经需话可</w:t>
            </w:r>
          </w:p>
        </w:tc>
        <w:tc>
          <w:tcPr>
            <w:tcW w:w="2377" w:type="dxa"/>
            <w:vAlign w:val="top"/>
          </w:tcPr>
          <w:p>
            <w:pPr>
              <w:pStyle w:val="TableText"/>
              <w:ind w:left="74"/>
              <w:spacing w:before="147" w:line="219" w:lineRule="auto"/>
              <w:rPr>
                <w:sz w:val="16"/>
                <w:szCs w:val="16"/>
              </w:rPr>
            </w:pPr>
            <w:r>
              <w:rPr>
                <w:sz w:val="16"/>
                <w:szCs w:val="16"/>
                <w:spacing w:val="1"/>
              </w:rPr>
              <w:t>国家邮观异，省级都故食理第门</w:t>
            </w:r>
          </w:p>
        </w:tc>
        <w:tc>
          <w:tcPr>
            <w:tcW w:w="3711" w:type="dxa"/>
            <w:vAlign w:val="top"/>
          </w:tcPr>
          <w:p>
            <w:pPr>
              <w:pStyle w:val="TableText"/>
              <w:ind w:left="137"/>
              <w:spacing w:before="47" w:line="231" w:lineRule="auto"/>
              <w:rPr>
                <w:sz w:val="16"/>
                <w:szCs w:val="16"/>
              </w:rPr>
            </w:pPr>
            <w:r>
              <w:rPr>
                <w:sz w:val="16"/>
                <w:szCs w:val="16"/>
                <w:spacing w:val="-1"/>
              </w:rPr>
              <w:t>4中华人民共和国部政法》</w:t>
            </w:r>
          </w:p>
          <w:p>
            <w:pPr>
              <w:pStyle w:val="TableText"/>
              <w:ind w:left="137"/>
              <w:spacing w:line="219" w:lineRule="auto"/>
              <w:rPr>
                <w:sz w:val="16"/>
                <w:szCs w:val="16"/>
              </w:rPr>
            </w:pPr>
            <w:r>
              <w:rPr>
                <w:sz w:val="16"/>
                <w:szCs w:val="16"/>
                <w:spacing w:val="1"/>
              </w:rPr>
              <w:t>(接国哲行杂创3</w:t>
            </w:r>
          </w:p>
        </w:tc>
      </w:tr>
      <w:tr>
        <w:trPr>
          <w:trHeight w:val="469" w:hRule="atLeast"/>
        </w:trPr>
        <w:tc>
          <w:tcPr>
            <w:tcW w:w="594" w:type="dxa"/>
            <w:vAlign w:val="top"/>
          </w:tcPr>
          <w:p>
            <w:pPr>
              <w:pStyle w:val="TableText"/>
              <w:ind w:left="164"/>
              <w:spacing w:before="199" w:line="183" w:lineRule="auto"/>
              <w:rPr>
                <w:sz w:val="16"/>
                <w:szCs w:val="16"/>
              </w:rPr>
            </w:pPr>
            <w:r>
              <w:rPr>
                <w:sz w:val="16"/>
                <w:szCs w:val="16"/>
                <w:spacing w:val="-2"/>
              </w:rPr>
              <w:t>845</w:t>
            </w:r>
          </w:p>
        </w:tc>
        <w:tc>
          <w:tcPr>
            <w:tcW w:w="1299" w:type="dxa"/>
            <w:vAlign w:val="top"/>
          </w:tcPr>
          <w:p>
            <w:pPr>
              <w:pStyle w:val="TableText"/>
              <w:ind w:left="241"/>
              <w:spacing w:before="158" w:line="219" w:lineRule="auto"/>
              <w:rPr>
                <w:sz w:val="16"/>
                <w:szCs w:val="16"/>
              </w:rPr>
            </w:pPr>
            <w:r>
              <w:rPr>
                <w:sz w:val="16"/>
                <w:szCs w:val="16"/>
                <w:spacing w:val="2"/>
              </w:rPr>
              <w:t>网家配改局</w:t>
            </w:r>
          </w:p>
        </w:tc>
        <w:tc>
          <w:tcPr>
            <w:tcW w:w="1628" w:type="dxa"/>
            <w:vAlign w:val="top"/>
          </w:tcPr>
          <w:p>
            <w:pPr>
              <w:pStyle w:val="TableText"/>
              <w:ind w:left="42" w:right="92" w:firstLine="30"/>
              <w:spacing w:before="78" w:line="219" w:lineRule="auto"/>
              <w:rPr>
                <w:sz w:val="16"/>
                <w:szCs w:val="16"/>
              </w:rPr>
            </w:pPr>
            <w:r>
              <w:rPr>
                <w:sz w:val="16"/>
                <w:szCs w:val="16"/>
                <w:spacing w:val="1"/>
              </w:rPr>
              <w:t>邮改止业散销香复副</w:t>
            </w:r>
            <w:r>
              <w:rPr>
                <w:sz w:val="16"/>
                <w:szCs w:val="16"/>
                <w:spacing w:val="3"/>
              </w:rPr>
              <w:t xml:space="preserve"> </w:t>
            </w:r>
            <w:r>
              <w:rPr>
                <w:sz w:val="16"/>
                <w:szCs w:val="16"/>
                <w:spacing w:val="-1"/>
              </w:rPr>
              <w:t>务营业场所审批</w:t>
            </w:r>
          </w:p>
        </w:tc>
        <w:tc>
          <w:tcPr>
            <w:tcW w:w="2377" w:type="dxa"/>
            <w:vAlign w:val="top"/>
          </w:tcPr>
          <w:p>
            <w:pPr>
              <w:pStyle w:val="TableText"/>
              <w:ind w:left="74"/>
              <w:spacing w:before="158" w:line="219" w:lineRule="auto"/>
              <w:rPr>
                <w:sz w:val="16"/>
                <w:szCs w:val="16"/>
              </w:rPr>
            </w:pPr>
            <w:r>
              <w:rPr>
                <w:sz w:val="16"/>
                <w:szCs w:val="16"/>
                <w:spacing w:val="1"/>
              </w:rPr>
              <w:t>省残，设区的市级部改置理廓门</w:t>
            </w:r>
          </w:p>
        </w:tc>
        <w:tc>
          <w:tcPr>
            <w:tcW w:w="3711" w:type="dxa"/>
            <w:vAlign w:val="top"/>
          </w:tcPr>
          <w:p>
            <w:pPr>
              <w:pStyle w:val="TableText"/>
              <w:ind w:left="137"/>
              <w:spacing w:before="158" w:line="219" w:lineRule="auto"/>
              <w:rPr>
                <w:sz w:val="16"/>
                <w:szCs w:val="16"/>
              </w:rPr>
            </w:pPr>
            <w:r>
              <w:rPr>
                <w:sz w:val="16"/>
                <w:szCs w:val="16"/>
              </w:rPr>
              <w:t>1中华人民共和国部政法</w:t>
            </w:r>
          </w:p>
        </w:tc>
      </w:tr>
      <w:tr>
        <w:trPr>
          <w:trHeight w:val="659" w:hRule="atLeast"/>
        </w:trPr>
        <w:tc>
          <w:tcPr>
            <w:tcW w:w="594" w:type="dxa"/>
            <w:vAlign w:val="top"/>
          </w:tcPr>
          <w:p>
            <w:pPr>
              <w:pStyle w:val="TableText"/>
              <w:ind w:left="164"/>
              <w:spacing w:before="265"/>
              <w:rPr>
                <w:sz w:val="16"/>
                <w:szCs w:val="16"/>
              </w:rPr>
            </w:pPr>
            <w:r>
              <w:rPr>
                <w:sz w:val="16"/>
                <w:szCs w:val="16"/>
                <w:spacing w:val="-2"/>
              </w:rPr>
              <w:t>8Ah</w:t>
            </w:r>
          </w:p>
        </w:tc>
        <w:tc>
          <w:tcPr>
            <w:tcW w:w="1299" w:type="dxa"/>
            <w:vAlign w:val="top"/>
          </w:tcPr>
          <w:p>
            <w:pPr>
              <w:pStyle w:val="TableText"/>
              <w:ind w:left="241"/>
              <w:spacing w:before="249" w:line="219" w:lineRule="auto"/>
              <w:rPr>
                <w:sz w:val="16"/>
                <w:szCs w:val="16"/>
              </w:rPr>
            </w:pPr>
            <w:r>
              <w:rPr>
                <w:sz w:val="16"/>
                <w:szCs w:val="16"/>
                <w:spacing w:val="2"/>
              </w:rPr>
              <w:t>网家部别局</w:t>
            </w:r>
          </w:p>
        </w:tc>
        <w:tc>
          <w:tcPr>
            <w:tcW w:w="1628" w:type="dxa"/>
            <w:vAlign w:val="top"/>
          </w:tcPr>
          <w:p>
            <w:pPr>
              <w:pStyle w:val="TableText"/>
              <w:ind w:left="42" w:right="112" w:firstLine="10"/>
              <w:spacing w:before="69" w:line="223" w:lineRule="auto"/>
              <w:jc w:val="both"/>
              <w:rPr>
                <w:sz w:val="16"/>
                <w:szCs w:val="16"/>
              </w:rPr>
            </w:pPr>
            <w:r>
              <w:rPr>
                <w:sz w:val="16"/>
                <w:szCs w:val="16"/>
                <w:spacing w:val="1"/>
              </w:rPr>
              <w:t>卧政企业停限办著属</w:t>
            </w:r>
            <w:r>
              <w:rPr>
                <w:sz w:val="16"/>
                <w:szCs w:val="16"/>
                <w:spacing w:val="3"/>
              </w:rPr>
              <w:t xml:space="preserve"> </w:t>
            </w:r>
            <w:r>
              <w:rPr>
                <w:sz w:val="16"/>
                <w:szCs w:val="16"/>
              </w:rPr>
              <w:t>双务和特殊见务些务</w:t>
            </w:r>
            <w:r>
              <w:rPr>
                <w:sz w:val="16"/>
                <w:szCs w:val="16"/>
                <w:spacing w:val="2"/>
              </w:rPr>
              <w:t xml:space="preserve"> </w:t>
            </w:r>
            <w:r>
              <w:rPr>
                <w:sz w:val="16"/>
                <w:szCs w:val="16"/>
                <w:spacing w:val="3"/>
              </w:rPr>
              <w:t>审批</w:t>
            </w:r>
          </w:p>
        </w:tc>
        <w:tc>
          <w:tcPr>
            <w:tcW w:w="2377" w:type="dxa"/>
            <w:vAlign w:val="top"/>
          </w:tcPr>
          <w:p>
            <w:pPr>
              <w:pStyle w:val="TableText"/>
              <w:ind w:left="74"/>
              <w:spacing w:before="249" w:line="219" w:lineRule="auto"/>
              <w:rPr>
                <w:sz w:val="16"/>
                <w:szCs w:val="16"/>
              </w:rPr>
            </w:pPr>
            <w:r>
              <w:rPr>
                <w:sz w:val="16"/>
                <w:szCs w:val="16"/>
                <w:spacing w:val="1"/>
              </w:rPr>
              <w:t>省级，设区的市城都收置理希门</w:t>
            </w:r>
          </w:p>
        </w:tc>
        <w:tc>
          <w:tcPr>
            <w:tcW w:w="3711" w:type="dxa"/>
            <w:vAlign w:val="top"/>
          </w:tcPr>
          <w:p>
            <w:pPr>
              <w:pStyle w:val="TableText"/>
              <w:ind w:left="57"/>
              <w:spacing w:before="249" w:line="219" w:lineRule="auto"/>
              <w:rPr>
                <w:sz w:val="16"/>
                <w:szCs w:val="16"/>
              </w:rPr>
            </w:pPr>
            <w:r>
              <w:rPr>
                <w:sz w:val="16"/>
                <w:szCs w:val="16"/>
              </w:rPr>
              <w:t>《中华人民共和国部收法!</w:t>
            </w:r>
          </w:p>
        </w:tc>
      </w:tr>
      <w:tr>
        <w:trPr>
          <w:trHeight w:val="459" w:hRule="atLeast"/>
        </w:trPr>
        <w:tc>
          <w:tcPr>
            <w:tcW w:w="594" w:type="dxa"/>
            <w:vAlign w:val="top"/>
          </w:tcPr>
          <w:p>
            <w:pPr>
              <w:pStyle w:val="TableText"/>
              <w:ind w:left="164"/>
              <w:spacing w:before="191" w:line="183" w:lineRule="auto"/>
              <w:rPr>
                <w:sz w:val="16"/>
                <w:szCs w:val="16"/>
              </w:rPr>
            </w:pPr>
            <w:r>
              <w:rPr>
                <w:sz w:val="16"/>
                <w:szCs w:val="16"/>
                <w:spacing w:val="-2"/>
              </w:rPr>
              <w:t>847</w:t>
            </w:r>
          </w:p>
        </w:tc>
        <w:tc>
          <w:tcPr>
            <w:tcW w:w="1299" w:type="dxa"/>
            <w:vAlign w:val="top"/>
          </w:tcPr>
          <w:p>
            <w:pPr>
              <w:pStyle w:val="TableText"/>
              <w:ind w:left="241"/>
              <w:spacing w:before="151" w:line="220" w:lineRule="auto"/>
              <w:rPr>
                <w:sz w:val="16"/>
                <w:szCs w:val="16"/>
              </w:rPr>
            </w:pPr>
            <w:r>
              <w:rPr>
                <w:sz w:val="16"/>
                <w:szCs w:val="16"/>
                <w:spacing w:val="2"/>
              </w:rPr>
              <w:t>国家包皮局</w:t>
            </w:r>
          </w:p>
        </w:tc>
        <w:tc>
          <w:tcPr>
            <w:tcW w:w="1628" w:type="dxa"/>
            <w:vAlign w:val="top"/>
          </w:tcPr>
          <w:p>
            <w:pPr>
              <w:pStyle w:val="TableText"/>
              <w:ind w:left="42" w:right="123" w:firstLine="20"/>
              <w:spacing w:before="69" w:line="214" w:lineRule="auto"/>
              <w:rPr>
                <w:sz w:val="16"/>
                <w:szCs w:val="16"/>
              </w:rPr>
            </w:pPr>
            <w:r>
              <w:rPr>
                <w:sz w:val="16"/>
                <w:szCs w:val="16"/>
                <w:spacing w:val="-1"/>
              </w:rPr>
              <w:t>经营习出境基故通信</w:t>
            </w:r>
            <w:r>
              <w:rPr>
                <w:sz w:val="16"/>
                <w:szCs w:val="16"/>
              </w:rPr>
              <w:t xml:space="preserve"> </w:t>
            </w:r>
            <w:r>
              <w:rPr>
                <w:sz w:val="16"/>
                <w:szCs w:val="16"/>
                <w:spacing w:val="-2"/>
              </w:rPr>
              <w:t>业务审露</w:t>
            </w:r>
          </w:p>
        </w:tc>
        <w:tc>
          <w:tcPr>
            <w:tcW w:w="2377" w:type="dxa"/>
            <w:vAlign w:val="top"/>
          </w:tcPr>
          <w:p>
            <w:pPr>
              <w:pStyle w:val="TableText"/>
              <w:ind w:left="74"/>
              <w:spacing w:before="150" w:line="219" w:lineRule="auto"/>
              <w:rPr>
                <w:sz w:val="16"/>
                <w:szCs w:val="16"/>
              </w:rPr>
            </w:pPr>
            <w:r>
              <w:rPr>
                <w:sz w:val="16"/>
                <w:szCs w:val="16"/>
                <w:spacing w:val="1"/>
              </w:rPr>
              <w:t>国家邮驶题，省级部政管理部门</w:t>
            </w:r>
          </w:p>
        </w:tc>
        <w:tc>
          <w:tcPr>
            <w:tcW w:w="3711" w:type="dxa"/>
            <w:vAlign w:val="top"/>
          </w:tcPr>
          <w:p>
            <w:pPr>
              <w:pStyle w:val="TableText"/>
              <w:ind w:left="137" w:right="197" w:hanging="80"/>
              <w:spacing w:before="50" w:line="230" w:lineRule="auto"/>
              <w:rPr>
                <w:sz w:val="16"/>
                <w:szCs w:val="16"/>
              </w:rPr>
            </w:pPr>
            <w:r>
              <w:rPr>
                <w:sz w:val="16"/>
                <w:szCs w:val="16"/>
              </w:rPr>
              <w:t>(国务院时确需保解的行政审批项目设定行政许可</w:t>
            </w:r>
            <w:r>
              <w:rPr>
                <w:sz w:val="16"/>
                <w:szCs w:val="16"/>
                <w:spacing w:val="5"/>
              </w:rPr>
              <w:t xml:space="preserve"> </w:t>
            </w:r>
            <w:r>
              <w:rPr>
                <w:sz w:val="16"/>
                <w:szCs w:val="16"/>
                <w:spacing w:val="4"/>
              </w:rPr>
              <w:t>面决定1</w:t>
            </w:r>
          </w:p>
        </w:tc>
      </w:tr>
      <w:tr>
        <w:trPr>
          <w:trHeight w:val="469" w:hRule="atLeast"/>
        </w:trPr>
        <w:tc>
          <w:tcPr>
            <w:tcW w:w="594" w:type="dxa"/>
            <w:vAlign w:val="top"/>
          </w:tcPr>
          <w:p>
            <w:pPr>
              <w:pStyle w:val="TableText"/>
              <w:ind w:left="164"/>
              <w:spacing w:before="201" w:line="185" w:lineRule="auto"/>
              <w:rPr>
                <w:sz w:val="16"/>
                <w:szCs w:val="16"/>
              </w:rPr>
            </w:pPr>
            <w:r>
              <w:rPr>
                <w:sz w:val="16"/>
                <w:szCs w:val="16"/>
                <w:spacing w:val="-2"/>
              </w:rPr>
              <w:t>8AN</w:t>
            </w:r>
          </w:p>
        </w:tc>
        <w:tc>
          <w:tcPr>
            <w:tcW w:w="1299" w:type="dxa"/>
            <w:vAlign w:val="top"/>
          </w:tcPr>
          <w:p>
            <w:pPr>
              <w:pStyle w:val="TableText"/>
              <w:ind w:left="241"/>
              <w:spacing w:before="161" w:line="219" w:lineRule="auto"/>
              <w:rPr>
                <w:sz w:val="16"/>
                <w:szCs w:val="16"/>
              </w:rPr>
            </w:pPr>
            <w:r>
              <w:rPr>
                <w:sz w:val="16"/>
                <w:szCs w:val="16"/>
                <w:spacing w:val="2"/>
              </w:rPr>
              <w:t>国家部政局</w:t>
            </w:r>
          </w:p>
        </w:tc>
        <w:tc>
          <w:tcPr>
            <w:tcW w:w="1628" w:type="dxa"/>
            <w:vAlign w:val="top"/>
          </w:tcPr>
          <w:p>
            <w:pPr>
              <w:pStyle w:val="TableText"/>
              <w:ind w:left="42" w:right="131" w:hanging="10"/>
              <w:spacing w:before="62" w:line="229" w:lineRule="auto"/>
              <w:rPr>
                <w:sz w:val="16"/>
                <w:szCs w:val="16"/>
              </w:rPr>
            </w:pPr>
            <w:r>
              <w:rPr>
                <w:sz w:val="16"/>
                <w:szCs w:val="16"/>
                <w:spacing w:val="1"/>
              </w:rPr>
              <w:t>纪之部系和特种那系</w:t>
            </w:r>
            <w:r>
              <w:rPr>
                <w:sz w:val="16"/>
                <w:szCs w:val="16"/>
                <w:spacing w:val="4"/>
              </w:rPr>
              <w:t xml:space="preserve"> </w:t>
            </w:r>
            <w:r>
              <w:rPr>
                <w:sz w:val="16"/>
                <w:szCs w:val="16"/>
                <w:spacing w:val="-2"/>
              </w:rPr>
              <w:t>发行计划市型</w:t>
            </w:r>
          </w:p>
        </w:tc>
        <w:tc>
          <w:tcPr>
            <w:tcW w:w="2377" w:type="dxa"/>
            <w:vAlign w:val="top"/>
          </w:tcPr>
          <w:p>
            <w:pPr>
              <w:pStyle w:val="TableText"/>
              <w:ind w:left="74"/>
              <w:spacing w:before="162" w:line="220" w:lineRule="auto"/>
              <w:rPr>
                <w:sz w:val="16"/>
                <w:szCs w:val="16"/>
              </w:rPr>
            </w:pPr>
            <w:r>
              <w:rPr>
                <w:sz w:val="16"/>
                <w:szCs w:val="16"/>
                <w:spacing w:val="2"/>
              </w:rPr>
              <w:t>词家邮政属</w:t>
            </w:r>
          </w:p>
        </w:tc>
        <w:tc>
          <w:tcPr>
            <w:tcW w:w="3711" w:type="dxa"/>
            <w:vAlign w:val="top"/>
          </w:tcPr>
          <w:p>
            <w:pPr>
              <w:pStyle w:val="TableText"/>
              <w:ind w:left="137"/>
              <w:spacing w:before="161" w:line="219" w:lineRule="auto"/>
              <w:rPr>
                <w:sz w:val="16"/>
                <w:szCs w:val="16"/>
              </w:rPr>
            </w:pPr>
            <w:r>
              <w:rPr>
                <w:sz w:val="16"/>
                <w:szCs w:val="16"/>
                <w:spacing w:val="1"/>
              </w:rPr>
              <w:t>中作人民共扫国邮改法1</w:t>
            </w:r>
          </w:p>
        </w:tc>
      </w:tr>
      <w:tr>
        <w:trPr>
          <w:trHeight w:val="250" w:hRule="atLeast"/>
        </w:trPr>
        <w:tc>
          <w:tcPr>
            <w:tcW w:w="594" w:type="dxa"/>
            <w:vAlign w:val="top"/>
          </w:tcPr>
          <w:p>
            <w:pPr>
              <w:pStyle w:val="TableText"/>
              <w:ind w:left="164"/>
              <w:spacing w:before="93" w:line="169" w:lineRule="auto"/>
              <w:rPr>
                <w:sz w:val="16"/>
                <w:szCs w:val="16"/>
              </w:rPr>
            </w:pPr>
            <w:r>
              <w:rPr>
                <w:sz w:val="16"/>
                <w:szCs w:val="16"/>
                <w:spacing w:val="-1"/>
              </w:rPr>
              <w:t>E49</w:t>
            </w:r>
          </w:p>
        </w:tc>
        <w:tc>
          <w:tcPr>
            <w:tcW w:w="1299" w:type="dxa"/>
            <w:vAlign w:val="top"/>
          </w:tcPr>
          <w:p>
            <w:pPr>
              <w:pStyle w:val="TableText"/>
              <w:ind w:left="241"/>
              <w:spacing w:before="52" w:line="216" w:lineRule="auto"/>
              <w:rPr>
                <w:sz w:val="16"/>
                <w:szCs w:val="16"/>
              </w:rPr>
            </w:pPr>
            <w:r>
              <w:rPr>
                <w:sz w:val="16"/>
                <w:szCs w:val="16"/>
                <w:spacing w:val="2"/>
              </w:rPr>
              <w:t>驾家职攻局</w:t>
            </w:r>
          </w:p>
        </w:tc>
        <w:tc>
          <w:tcPr>
            <w:tcW w:w="1628" w:type="dxa"/>
            <w:vAlign w:val="top"/>
          </w:tcPr>
          <w:p>
            <w:pPr>
              <w:pStyle w:val="TableText"/>
              <w:ind w:left="42"/>
              <w:spacing w:before="52" w:line="216" w:lineRule="auto"/>
              <w:rPr>
                <w:sz w:val="16"/>
                <w:szCs w:val="16"/>
              </w:rPr>
            </w:pPr>
            <w:r>
              <w:rPr>
                <w:sz w:val="16"/>
                <w:szCs w:val="16"/>
                <w:spacing w:val="-1"/>
              </w:rPr>
              <w:t>记念都京图案审查</w:t>
            </w:r>
          </w:p>
        </w:tc>
        <w:tc>
          <w:tcPr>
            <w:tcW w:w="2377" w:type="dxa"/>
            <w:vAlign w:val="top"/>
          </w:tcPr>
          <w:p>
            <w:pPr>
              <w:pStyle w:val="TableText"/>
              <w:ind w:left="74"/>
              <w:spacing w:before="52" w:line="216" w:lineRule="auto"/>
              <w:rPr>
                <w:sz w:val="16"/>
                <w:szCs w:val="16"/>
              </w:rPr>
            </w:pPr>
            <w:r>
              <w:rPr>
                <w:sz w:val="16"/>
                <w:szCs w:val="16"/>
                <w:spacing w:val="2"/>
              </w:rPr>
              <w:t>国家部政局</w:t>
            </w:r>
          </w:p>
        </w:tc>
        <w:tc>
          <w:tcPr>
            <w:tcW w:w="3711" w:type="dxa"/>
            <w:vAlign w:val="top"/>
          </w:tcPr>
          <w:p>
            <w:pPr>
              <w:pStyle w:val="TableText"/>
              <w:ind w:left="57"/>
              <w:spacing w:before="52" w:line="216" w:lineRule="auto"/>
              <w:rPr>
                <w:sz w:val="16"/>
                <w:szCs w:val="16"/>
              </w:rPr>
            </w:pPr>
            <w:r>
              <w:rPr>
                <w:sz w:val="16"/>
                <w:szCs w:val="16"/>
                <w:spacing w:val="-2"/>
              </w:rPr>
              <w:t>《中伴人民共和国邮政法》</w:t>
            </w:r>
          </w:p>
        </w:tc>
      </w:tr>
      <w:tr>
        <w:trPr>
          <w:trHeight w:val="459" w:hRule="atLeast"/>
        </w:trPr>
        <w:tc>
          <w:tcPr>
            <w:tcW w:w="594" w:type="dxa"/>
            <w:vAlign w:val="top"/>
          </w:tcPr>
          <w:p>
            <w:pPr>
              <w:pStyle w:val="TableText"/>
              <w:ind w:left="164"/>
              <w:spacing w:before="193" w:line="183" w:lineRule="auto"/>
              <w:rPr>
                <w:sz w:val="16"/>
                <w:szCs w:val="16"/>
              </w:rPr>
            </w:pPr>
            <w:r>
              <w:rPr>
                <w:sz w:val="16"/>
                <w:szCs w:val="16"/>
                <w:spacing w:val="-2"/>
              </w:rPr>
              <w:t>850</w:t>
            </w:r>
          </w:p>
        </w:tc>
        <w:tc>
          <w:tcPr>
            <w:tcW w:w="1299" w:type="dxa"/>
            <w:vAlign w:val="top"/>
          </w:tcPr>
          <w:p>
            <w:pPr>
              <w:pStyle w:val="TableText"/>
              <w:ind w:left="241"/>
              <w:spacing w:before="152" w:line="219" w:lineRule="auto"/>
              <w:rPr>
                <w:sz w:val="16"/>
                <w:szCs w:val="16"/>
              </w:rPr>
            </w:pPr>
            <w:r>
              <w:rPr>
                <w:sz w:val="16"/>
                <w:szCs w:val="16"/>
                <w:spacing w:val="3"/>
              </w:rPr>
              <w:t>国家师盘品</w:t>
            </w:r>
          </w:p>
        </w:tc>
        <w:tc>
          <w:tcPr>
            <w:tcW w:w="1628" w:type="dxa"/>
            <w:vAlign w:val="top"/>
          </w:tcPr>
          <w:p>
            <w:pPr>
              <w:pStyle w:val="TableText"/>
              <w:ind w:left="42"/>
              <w:spacing w:before="152" w:line="219" w:lineRule="auto"/>
              <w:rPr>
                <w:sz w:val="16"/>
                <w:szCs w:val="16"/>
              </w:rPr>
            </w:pPr>
            <w:r>
              <w:rPr>
                <w:sz w:val="16"/>
                <w:szCs w:val="16"/>
                <w:spacing w:val="-1"/>
              </w:rPr>
              <w:t>仿印郑票国鉴市批</w:t>
            </w:r>
          </w:p>
        </w:tc>
        <w:tc>
          <w:tcPr>
            <w:tcW w:w="2377" w:type="dxa"/>
            <w:vAlign w:val="top"/>
          </w:tcPr>
          <w:p>
            <w:pPr>
              <w:pStyle w:val="TableText"/>
              <w:ind w:left="74"/>
              <w:spacing w:before="152" w:line="219" w:lineRule="auto"/>
              <w:rPr>
                <w:sz w:val="16"/>
                <w:szCs w:val="16"/>
              </w:rPr>
            </w:pPr>
            <w:r>
              <w:rPr>
                <w:sz w:val="16"/>
                <w:szCs w:val="16"/>
                <w:spacing w:val="1"/>
              </w:rPr>
              <w:t>国家都政局；省级色业管理色门</w:t>
            </w:r>
          </w:p>
        </w:tc>
        <w:tc>
          <w:tcPr>
            <w:tcW w:w="3711" w:type="dxa"/>
            <w:vAlign w:val="top"/>
          </w:tcPr>
          <w:p>
            <w:pPr>
              <w:pStyle w:val="TableText"/>
              <w:ind w:left="57"/>
              <w:spacing w:before="42" w:line="219" w:lineRule="auto"/>
              <w:rPr>
                <w:sz w:val="16"/>
                <w:szCs w:val="16"/>
              </w:rPr>
            </w:pPr>
            <w:r>
              <w:rPr>
                <w:sz w:val="16"/>
                <w:szCs w:val="16"/>
                <w:spacing w:val="-2"/>
              </w:rPr>
              <w:t>《中华人民共和国邮改法</w:t>
            </w:r>
          </w:p>
          <w:p>
            <w:pPr>
              <w:pStyle w:val="TableText"/>
              <w:ind w:left="57"/>
              <w:spacing w:before="20" w:line="219" w:lineRule="auto"/>
              <w:rPr>
                <w:sz w:val="16"/>
                <w:szCs w:val="16"/>
              </w:rPr>
            </w:pPr>
            <w:r>
              <w:rPr>
                <w:sz w:val="16"/>
                <w:szCs w:val="16"/>
                <w:spacing w:val="-1"/>
              </w:rPr>
              <w:t>《中华人民共和国部度法实前箱则</w:t>
            </w:r>
          </w:p>
        </w:tc>
      </w:tr>
      <w:tr>
        <w:trPr>
          <w:trHeight w:val="449" w:hRule="atLeast"/>
        </w:trPr>
        <w:tc>
          <w:tcPr>
            <w:tcW w:w="594" w:type="dxa"/>
            <w:vAlign w:val="top"/>
          </w:tcPr>
          <w:p>
            <w:pPr>
              <w:pStyle w:val="TableText"/>
              <w:ind w:left="164"/>
              <w:spacing w:before="194" w:line="184" w:lineRule="auto"/>
              <w:rPr>
                <w:sz w:val="16"/>
                <w:szCs w:val="16"/>
              </w:rPr>
            </w:pPr>
            <w:r>
              <w:rPr>
                <w:sz w:val="16"/>
                <w:szCs w:val="16"/>
                <w:spacing w:val="-2"/>
              </w:rPr>
              <w:t>651</w:t>
            </w:r>
          </w:p>
        </w:tc>
        <w:tc>
          <w:tcPr>
            <w:tcW w:w="1299" w:type="dxa"/>
            <w:vAlign w:val="top"/>
          </w:tcPr>
          <w:p>
            <w:pPr>
              <w:pStyle w:val="TableText"/>
              <w:ind w:left="241"/>
              <w:spacing w:before="154" w:line="220" w:lineRule="auto"/>
              <w:rPr>
                <w:sz w:val="16"/>
                <w:szCs w:val="16"/>
              </w:rPr>
            </w:pPr>
            <w:r>
              <w:rPr>
                <w:sz w:val="16"/>
                <w:szCs w:val="16"/>
                <w:spacing w:val="2"/>
              </w:rPr>
              <w:t>国家血战局</w:t>
            </w:r>
          </w:p>
        </w:tc>
        <w:tc>
          <w:tcPr>
            <w:tcW w:w="1628" w:type="dxa"/>
            <w:vAlign w:val="top"/>
          </w:tcPr>
          <w:p>
            <w:pPr>
              <w:pStyle w:val="TableText"/>
              <w:ind w:left="42" w:right="132" w:firstLine="10"/>
              <w:spacing w:before="73" w:line="211" w:lineRule="auto"/>
              <w:rPr>
                <w:sz w:val="16"/>
                <w:szCs w:val="16"/>
              </w:rPr>
            </w:pPr>
            <w:r>
              <w:rPr>
                <w:sz w:val="16"/>
                <w:szCs w:val="16"/>
                <w:spacing w:val="-1"/>
              </w:rPr>
              <w:t>停正使用血窗先证市</w:t>
            </w:r>
            <w:r>
              <w:rPr>
                <w:sz w:val="16"/>
                <w:szCs w:val="16"/>
                <w:spacing w:val="1"/>
              </w:rPr>
              <w:t xml:space="preserve"> </w:t>
            </w:r>
            <w:r>
              <w:rPr>
                <w:sz w:val="16"/>
                <w:szCs w:val="16"/>
              </w:rPr>
              <w:t>批</w:t>
            </w:r>
          </w:p>
        </w:tc>
        <w:tc>
          <w:tcPr>
            <w:tcW w:w="2377" w:type="dxa"/>
            <w:vAlign w:val="top"/>
          </w:tcPr>
          <w:p>
            <w:pPr>
              <w:pStyle w:val="TableText"/>
              <w:ind w:left="74"/>
              <w:spacing w:before="154" w:line="220" w:lineRule="auto"/>
              <w:rPr>
                <w:sz w:val="16"/>
                <w:szCs w:val="16"/>
              </w:rPr>
            </w:pPr>
            <w:r>
              <w:rPr>
                <w:sz w:val="16"/>
                <w:szCs w:val="16"/>
                <w:spacing w:val="1"/>
              </w:rPr>
              <w:t>国家前政码</w:t>
            </w:r>
          </w:p>
        </w:tc>
        <w:tc>
          <w:tcPr>
            <w:tcW w:w="3711" w:type="dxa"/>
            <w:vAlign w:val="top"/>
          </w:tcPr>
          <w:p>
            <w:pPr>
              <w:pStyle w:val="TableText"/>
              <w:ind w:left="57"/>
              <w:spacing w:before="153" w:line="219" w:lineRule="auto"/>
              <w:rPr>
                <w:sz w:val="16"/>
                <w:szCs w:val="16"/>
              </w:rPr>
            </w:pPr>
            <w:r>
              <w:rPr>
                <w:sz w:val="16"/>
                <w:szCs w:val="16"/>
                <w:spacing w:val="-2"/>
              </w:rPr>
              <w:t>《中华人民共和国自改法</w:t>
            </w:r>
          </w:p>
        </w:tc>
      </w:tr>
      <w:tr>
        <w:trPr>
          <w:trHeight w:val="869" w:hRule="atLeast"/>
        </w:trPr>
        <w:tc>
          <w:tcPr>
            <w:tcW w:w="594" w:type="dxa"/>
            <w:vAlign w:val="top"/>
          </w:tcPr>
          <w:p>
            <w:pPr>
              <w:spacing w:line="351" w:lineRule="auto"/>
              <w:rPr>
                <w:rFonts w:ascii="Arial"/>
                <w:sz w:val="21"/>
              </w:rPr>
            </w:pPr>
            <w:r/>
          </w:p>
          <w:p>
            <w:pPr>
              <w:pStyle w:val="TableText"/>
              <w:ind w:left="164"/>
              <w:spacing w:before="52" w:line="183" w:lineRule="auto"/>
              <w:rPr>
                <w:sz w:val="16"/>
                <w:szCs w:val="16"/>
              </w:rPr>
            </w:pPr>
            <w:r>
              <w:rPr>
                <w:sz w:val="16"/>
                <w:szCs w:val="16"/>
                <w:spacing w:val="-2"/>
              </w:rPr>
              <w:t>652</w:t>
            </w:r>
          </w:p>
        </w:tc>
        <w:tc>
          <w:tcPr>
            <w:tcW w:w="1299" w:type="dxa"/>
            <w:vAlign w:val="top"/>
          </w:tcPr>
          <w:p>
            <w:pPr>
              <w:spacing w:line="311" w:lineRule="auto"/>
              <w:rPr>
                <w:rFonts w:ascii="Arial"/>
                <w:sz w:val="21"/>
              </w:rPr>
            </w:pPr>
            <w:r/>
          </w:p>
          <w:p>
            <w:pPr>
              <w:pStyle w:val="TableText"/>
              <w:ind w:left="241"/>
              <w:spacing w:before="52" w:line="220" w:lineRule="auto"/>
              <w:rPr>
                <w:sz w:val="16"/>
                <w:szCs w:val="16"/>
              </w:rPr>
            </w:pPr>
            <w:r>
              <w:rPr>
                <w:sz w:val="16"/>
                <w:szCs w:val="16"/>
                <w:spacing w:val="2"/>
              </w:rPr>
              <w:t>属家文物局</w:t>
            </w:r>
          </w:p>
        </w:tc>
        <w:tc>
          <w:tcPr>
            <w:tcW w:w="1628" w:type="dxa"/>
            <w:vAlign w:val="top"/>
          </w:tcPr>
          <w:p>
            <w:pPr>
              <w:pStyle w:val="TableText"/>
              <w:ind w:left="42" w:right="144"/>
              <w:spacing w:before="263" w:line="229" w:lineRule="auto"/>
              <w:rPr>
                <w:sz w:val="16"/>
                <w:szCs w:val="16"/>
              </w:rPr>
            </w:pPr>
            <w:r>
              <w:rPr>
                <w:sz w:val="16"/>
                <w:szCs w:val="16"/>
                <w:spacing w:val="-1"/>
              </w:rPr>
              <w:t>建设工型文物保护价</w:t>
            </w:r>
            <w:r>
              <w:rPr>
                <w:sz w:val="16"/>
                <w:szCs w:val="16"/>
              </w:rPr>
              <w:t xml:space="preserve"> </w:t>
            </w:r>
            <w:r>
              <w:rPr>
                <w:sz w:val="16"/>
                <w:szCs w:val="16"/>
              </w:rPr>
              <w:t>可</w:t>
            </w:r>
          </w:p>
        </w:tc>
        <w:tc>
          <w:tcPr>
            <w:tcW w:w="2377" w:type="dxa"/>
            <w:vAlign w:val="top"/>
          </w:tcPr>
          <w:p>
            <w:pPr>
              <w:pStyle w:val="TableText"/>
              <w:ind w:left="83"/>
              <w:spacing w:before="84" w:line="219" w:lineRule="auto"/>
              <w:rPr>
                <w:sz w:val="16"/>
                <w:szCs w:val="16"/>
              </w:rPr>
            </w:pPr>
            <w:r>
              <w:rPr>
                <w:sz w:val="16"/>
                <w:szCs w:val="16"/>
              </w:rPr>
              <w:t>国家文物品；省级，汉区的市级</w:t>
            </w:r>
          </w:p>
          <w:p>
            <w:pPr>
              <w:pStyle w:val="TableText"/>
              <w:ind w:left="83"/>
              <w:spacing w:line="218" w:lineRule="auto"/>
              <w:rPr>
                <w:sz w:val="16"/>
                <w:szCs w:val="16"/>
              </w:rPr>
            </w:pPr>
            <w:r>
              <w:rPr>
                <w:sz w:val="16"/>
                <w:szCs w:val="16"/>
                <w:spacing w:val="-1"/>
              </w:rPr>
              <w:t>县袋重府(由文物部门承办，</w:t>
            </w:r>
          </w:p>
          <w:p>
            <w:pPr>
              <w:pStyle w:val="TableText"/>
              <w:ind w:left="74" w:right="139"/>
              <w:spacing w:before="21" w:line="216" w:lineRule="auto"/>
              <w:rPr>
                <w:sz w:val="16"/>
                <w:szCs w:val="16"/>
              </w:rPr>
            </w:pPr>
            <w:r>
              <w:rPr>
                <w:sz w:val="16"/>
                <w:szCs w:val="16"/>
                <w:spacing w:val="-1"/>
              </w:rPr>
              <w:t>得上一级文物部门同意)与省级</w:t>
            </w:r>
            <w:r>
              <w:rPr>
                <w:sz w:val="16"/>
                <w:szCs w:val="16"/>
                <w:spacing w:val="6"/>
              </w:rPr>
              <w:t xml:space="preserve"> </w:t>
            </w:r>
            <w:r>
              <w:rPr>
                <w:sz w:val="16"/>
                <w:szCs w:val="16"/>
                <w:spacing w:val="1"/>
              </w:rPr>
              <w:t>设区的而级，是级交转丽门</w:t>
            </w:r>
          </w:p>
        </w:tc>
        <w:tc>
          <w:tcPr>
            <w:tcW w:w="3711" w:type="dxa"/>
            <w:vAlign w:val="top"/>
          </w:tcPr>
          <w:p>
            <w:pPr>
              <w:spacing w:line="310" w:lineRule="auto"/>
              <w:rPr>
                <w:rFonts w:ascii="Arial"/>
                <w:sz w:val="21"/>
              </w:rPr>
            </w:pPr>
            <w:r/>
          </w:p>
          <w:p>
            <w:pPr>
              <w:pStyle w:val="TableText"/>
              <w:ind w:left="57"/>
              <w:spacing w:before="52" w:line="219" w:lineRule="auto"/>
              <w:rPr>
                <w:sz w:val="16"/>
                <w:szCs w:val="16"/>
              </w:rPr>
            </w:pPr>
            <w:r>
              <w:rPr>
                <w:sz w:val="16"/>
                <w:szCs w:val="16"/>
                <w:spacing w:val="-1"/>
              </w:rPr>
              <w:t>《中华人民共和国文物保护法》</w:t>
            </w:r>
          </w:p>
        </w:tc>
      </w:tr>
      <w:tr>
        <w:trPr>
          <w:trHeight w:val="544" w:hRule="atLeast"/>
        </w:trPr>
        <w:tc>
          <w:tcPr>
            <w:tcW w:w="594" w:type="dxa"/>
            <w:vAlign w:val="top"/>
          </w:tcPr>
          <w:p>
            <w:pPr>
              <w:pStyle w:val="TableText"/>
              <w:ind w:left="164"/>
              <w:spacing w:before="236" w:line="183" w:lineRule="auto"/>
              <w:rPr>
                <w:sz w:val="16"/>
                <w:szCs w:val="16"/>
              </w:rPr>
            </w:pPr>
            <w:r>
              <w:rPr>
                <w:sz w:val="16"/>
                <w:szCs w:val="16"/>
                <w:spacing w:val="-2"/>
              </w:rPr>
              <w:t>853</w:t>
            </w:r>
          </w:p>
        </w:tc>
        <w:tc>
          <w:tcPr>
            <w:tcW w:w="1299" w:type="dxa"/>
            <w:vAlign w:val="top"/>
          </w:tcPr>
          <w:p>
            <w:pPr>
              <w:pStyle w:val="TableText"/>
              <w:ind w:left="241"/>
              <w:spacing w:before="196" w:line="220" w:lineRule="auto"/>
              <w:rPr>
                <w:sz w:val="16"/>
                <w:szCs w:val="16"/>
              </w:rPr>
            </w:pPr>
            <w:r>
              <w:rPr>
                <w:sz w:val="16"/>
                <w:szCs w:val="16"/>
                <w:spacing w:val="2"/>
              </w:rPr>
              <w:t>国家文物局</w:t>
            </w:r>
          </w:p>
        </w:tc>
        <w:tc>
          <w:tcPr>
            <w:tcW w:w="1628" w:type="dxa"/>
            <w:vAlign w:val="top"/>
          </w:tcPr>
          <w:p>
            <w:pPr>
              <w:pStyle w:val="TableText"/>
              <w:ind w:left="42" w:right="143"/>
              <w:spacing w:before="106" w:line="231" w:lineRule="auto"/>
              <w:rPr>
                <w:sz w:val="16"/>
                <w:szCs w:val="16"/>
              </w:rPr>
            </w:pPr>
            <w:r>
              <w:rPr>
                <w:sz w:val="16"/>
                <w:szCs w:val="16"/>
                <w:spacing w:val="-1"/>
              </w:rPr>
              <w:t>文物保护单位原址保</w:t>
            </w:r>
            <w:r>
              <w:rPr>
                <w:sz w:val="16"/>
                <w:szCs w:val="16"/>
              </w:rPr>
              <w:t xml:space="preserve"> </w:t>
            </w:r>
            <w:r>
              <w:rPr>
                <w:sz w:val="16"/>
                <w:szCs w:val="16"/>
                <w:spacing w:val="-2"/>
              </w:rPr>
              <w:t>护措度审者</w:t>
            </w:r>
          </w:p>
        </w:tc>
        <w:tc>
          <w:tcPr>
            <w:tcW w:w="2377" w:type="dxa"/>
            <w:vAlign w:val="top"/>
          </w:tcPr>
          <w:p>
            <w:pPr>
              <w:pStyle w:val="TableText"/>
              <w:ind w:left="73" w:hanging="9"/>
              <w:spacing w:before="94" w:line="237" w:lineRule="auto"/>
              <w:rPr>
                <w:sz w:val="16"/>
                <w:szCs w:val="16"/>
              </w:rPr>
            </w:pPr>
            <w:r>
              <w:rPr>
                <w:sz w:val="16"/>
                <w:szCs w:val="16"/>
                <w:spacing w:val="-7"/>
              </w:rPr>
              <w:t>国家文物局，省级，设区的市峻。</w:t>
            </w:r>
            <w:r>
              <w:rPr>
                <w:sz w:val="16"/>
                <w:szCs w:val="16"/>
                <w:spacing w:val="6"/>
              </w:rPr>
              <w:t xml:space="preserve"> </w:t>
            </w:r>
            <w:r>
              <w:rPr>
                <w:sz w:val="16"/>
                <w:szCs w:val="16"/>
                <w:spacing w:val="-2"/>
              </w:rPr>
              <w:t>县履交物部门</w:t>
            </w:r>
          </w:p>
        </w:tc>
        <w:tc>
          <w:tcPr>
            <w:tcW w:w="3711" w:type="dxa"/>
            <w:vAlign w:val="top"/>
          </w:tcPr>
          <w:p>
            <w:pPr>
              <w:pStyle w:val="TableText"/>
              <w:ind w:left="57"/>
              <w:spacing w:before="195" w:line="219" w:lineRule="auto"/>
              <w:rPr>
                <w:sz w:val="16"/>
                <w:szCs w:val="16"/>
              </w:rPr>
            </w:pPr>
            <w:r>
              <w:rPr>
                <w:sz w:val="16"/>
                <w:szCs w:val="16"/>
                <w:spacing w:val="-1"/>
              </w:rPr>
              <w:t>《中华人民共和国文物保护法)</w:t>
            </w:r>
          </w:p>
        </w:tc>
      </w:tr>
    </w:tbl>
    <w:p>
      <w:pPr>
        <w:pStyle w:val="BodyText"/>
        <w:rPr/>
      </w:pPr>
      <w:r/>
    </w:p>
    <w:p>
      <w:pPr>
        <w:sectPr>
          <w:pgSz w:w="11910" w:h="8220"/>
          <w:pgMar w:top="400" w:right="1165" w:bottom="400" w:left="801" w:header="0" w:footer="0" w:gutter="0"/>
        </w:sectPr>
        <w:rPr/>
      </w:pPr>
    </w:p>
    <w:p>
      <w:pPr>
        <w:spacing w:before="113"/>
        <w:rPr/>
      </w:pPr>
      <w:r>
        <mc:AlternateContent xmlns:mc="http://schemas.openxmlformats.org/markup-compatibility/2006">
          <mc:Choice Requires="wps">
            <w:drawing>
              <wp:anchor distT="0" distB="0" distL="0" distR="0" simplePos="0" relativeHeight="251912192" behindDoc="0" locked="0" layoutInCell="0" allowOverlap="1">
                <wp:simplePos x="0" y="0"/>
                <wp:positionH relativeFrom="page">
                  <wp:posOffset>470613</wp:posOffset>
                </wp:positionH>
                <wp:positionV relativeFrom="page">
                  <wp:posOffset>4370332</wp:posOffset>
                </wp:positionV>
                <wp:extent cx="172720" cy="157479"/>
                <wp:effectExtent l="0" t="0" r="0" b="0"/>
                <wp:wrapNone/>
                <wp:docPr id="340" name="TextBox 340"/>
                <wp:cNvGraphicFramePr/>
                <a:graphic>
                  <a:graphicData uri="http://schemas.microsoft.com/office/word/2010/wordprocessingShape">
                    <wps:wsp>
                      <wps:cNvSpPr txBox="1"/>
                      <wps:spPr>
                        <a:xfrm rot="5400000">
                          <a:off x="470613" y="437033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251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2" style="position:absolute;margin-left:37.0562pt;margin-top:344.121pt;mso-position-vertical-relative:page;mso-position-horizontal-relative:page;width:13.6pt;height:12.4pt;z-index:25191219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251</w:t>
                      </w:r>
                    </w:p>
                  </w:txbxContent>
                </v:textbox>
              </v:shape>
            </w:pict>
          </mc:Fallback>
        </mc:AlternateContent>
      </w:r>
      <w:r/>
    </w:p>
    <w:tbl>
      <w:tblPr>
        <w:tblStyle w:val="TableNormal"/>
        <w:tblW w:w="958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01"/>
      </w:tblGrid>
      <w:tr>
        <w:trPr>
          <w:trHeight w:val="424" w:hRule="atLeast"/>
        </w:trPr>
        <w:tc>
          <w:tcPr>
            <w:tcW w:w="584" w:type="dxa"/>
            <w:vAlign w:val="top"/>
          </w:tcPr>
          <w:p>
            <w:pPr>
              <w:pStyle w:val="TableText"/>
              <w:ind w:left="127"/>
              <w:spacing w:before="130" w:line="221" w:lineRule="auto"/>
              <w:rPr>
                <w:sz w:val="16"/>
                <w:szCs w:val="16"/>
              </w:rPr>
            </w:pPr>
            <w:r>
              <w:rPr>
                <w:sz w:val="16"/>
                <w:szCs w:val="16"/>
                <w:b/>
                <w:bCs/>
                <w:spacing w:val="-4"/>
              </w:rPr>
              <w:t>序号</w:t>
            </w:r>
          </w:p>
        </w:tc>
        <w:tc>
          <w:tcPr>
            <w:tcW w:w="1289" w:type="dxa"/>
            <w:vAlign w:val="top"/>
          </w:tcPr>
          <w:p>
            <w:pPr>
              <w:pStyle w:val="TableText"/>
              <w:ind w:left="153"/>
              <w:spacing w:before="129" w:line="219" w:lineRule="auto"/>
              <w:rPr>
                <w:sz w:val="16"/>
                <w:szCs w:val="16"/>
              </w:rPr>
            </w:pPr>
            <w:r>
              <w:rPr>
                <w:sz w:val="16"/>
                <w:szCs w:val="16"/>
                <w:b/>
                <w:bCs/>
              </w:rPr>
              <w:t>中央主管每门</w:t>
            </w:r>
          </w:p>
        </w:tc>
        <w:tc>
          <w:tcPr>
            <w:tcW w:w="1648" w:type="dxa"/>
            <w:vAlign w:val="top"/>
          </w:tcPr>
          <w:p>
            <w:pPr>
              <w:pStyle w:val="TableText"/>
              <w:ind w:left="494"/>
              <w:spacing w:before="129" w:line="220" w:lineRule="auto"/>
              <w:rPr>
                <w:sz w:val="16"/>
                <w:szCs w:val="16"/>
              </w:rPr>
            </w:pPr>
            <w:r>
              <w:rPr>
                <w:sz w:val="16"/>
                <w:szCs w:val="16"/>
                <w:b/>
                <w:bCs/>
                <w:spacing w:val="-3"/>
              </w:rPr>
              <w:t>事项名称</w:t>
            </w:r>
          </w:p>
        </w:tc>
        <w:tc>
          <w:tcPr>
            <w:tcW w:w="2367" w:type="dxa"/>
            <w:vAlign w:val="top"/>
          </w:tcPr>
          <w:p>
            <w:pPr>
              <w:pStyle w:val="TableText"/>
              <w:ind w:left="866"/>
              <w:spacing w:before="128" w:line="219" w:lineRule="auto"/>
              <w:rPr>
                <w:sz w:val="16"/>
                <w:szCs w:val="16"/>
              </w:rPr>
            </w:pPr>
            <w:r>
              <w:rPr>
                <w:sz w:val="16"/>
                <w:szCs w:val="16"/>
                <w:b/>
                <w:bCs/>
                <w:spacing w:val="-5"/>
              </w:rPr>
              <w:t>宾药机关</w:t>
            </w:r>
          </w:p>
        </w:tc>
        <w:tc>
          <w:tcPr>
            <w:tcW w:w="3701" w:type="dxa"/>
            <w:vAlign w:val="top"/>
          </w:tcPr>
          <w:p>
            <w:pPr>
              <w:pStyle w:val="TableText"/>
              <w:ind w:left="1289"/>
              <w:spacing w:before="128" w:line="219" w:lineRule="auto"/>
              <w:rPr>
                <w:sz w:val="16"/>
                <w:szCs w:val="16"/>
              </w:rPr>
            </w:pPr>
            <w:r>
              <w:rPr>
                <w:sz w:val="16"/>
                <w:szCs w:val="16"/>
                <w:b/>
                <w:bCs/>
                <w:spacing w:val="-3"/>
              </w:rPr>
              <w:t>贵定和其当依据</w:t>
            </w:r>
          </w:p>
        </w:tc>
      </w:tr>
      <w:tr>
        <w:trPr>
          <w:trHeight w:val="1048" w:hRule="atLeast"/>
        </w:trPr>
        <w:tc>
          <w:tcPr>
            <w:tcW w:w="584" w:type="dxa"/>
            <w:vAlign w:val="top"/>
          </w:tcPr>
          <w:p>
            <w:pPr>
              <w:spacing w:line="434" w:lineRule="auto"/>
              <w:rPr>
                <w:rFonts w:ascii="Arial"/>
                <w:sz w:val="21"/>
              </w:rPr>
            </w:pPr>
            <w:r/>
          </w:p>
          <w:p>
            <w:pPr>
              <w:pStyle w:val="TableText"/>
              <w:ind w:left="164"/>
              <w:spacing w:before="52" w:line="183" w:lineRule="auto"/>
              <w:rPr>
                <w:sz w:val="16"/>
                <w:szCs w:val="16"/>
              </w:rPr>
            </w:pPr>
            <w:r>
              <w:rPr>
                <w:sz w:val="16"/>
                <w:szCs w:val="16"/>
                <w:spacing w:val="-2"/>
              </w:rPr>
              <w:t>654</w:t>
            </w:r>
          </w:p>
        </w:tc>
        <w:tc>
          <w:tcPr>
            <w:tcW w:w="1289" w:type="dxa"/>
            <w:vAlign w:val="top"/>
          </w:tcPr>
          <w:p>
            <w:pPr>
              <w:spacing w:line="393" w:lineRule="auto"/>
              <w:rPr>
                <w:rFonts w:ascii="Arial"/>
                <w:sz w:val="21"/>
              </w:rPr>
            </w:pPr>
            <w:r/>
          </w:p>
          <w:p>
            <w:pPr>
              <w:pStyle w:val="TableText"/>
              <w:ind w:left="231"/>
              <w:spacing w:before="52" w:line="220" w:lineRule="auto"/>
              <w:rPr>
                <w:sz w:val="16"/>
                <w:szCs w:val="16"/>
              </w:rPr>
            </w:pPr>
            <w:r>
              <w:rPr>
                <w:sz w:val="16"/>
                <w:szCs w:val="16"/>
                <w:spacing w:val="2"/>
              </w:rPr>
              <w:t>国家立的局</w:t>
            </w:r>
          </w:p>
        </w:tc>
        <w:tc>
          <w:tcPr>
            <w:tcW w:w="1648" w:type="dxa"/>
            <w:vAlign w:val="top"/>
          </w:tcPr>
          <w:p>
            <w:pPr>
              <w:pStyle w:val="TableText"/>
              <w:ind w:left="32" w:right="92" w:firstLine="139"/>
              <w:spacing w:before="158" w:line="221" w:lineRule="auto"/>
              <w:rPr>
                <w:sz w:val="16"/>
                <w:szCs w:val="16"/>
              </w:rPr>
            </w:pPr>
            <w:r>
              <w:rPr>
                <w:sz w:val="16"/>
                <w:szCs w:val="16"/>
                <w:spacing w:val="-1"/>
              </w:rPr>
              <w:t>文物风护单位的迁</w:t>
            </w:r>
            <w:r>
              <w:rPr>
                <w:sz w:val="16"/>
                <w:szCs w:val="16"/>
              </w:rPr>
              <w:t xml:space="preserve">  </w:t>
            </w:r>
            <w:r>
              <w:rPr>
                <w:sz w:val="16"/>
                <w:szCs w:val="16"/>
                <w:spacing w:val="6"/>
              </w:rPr>
              <w:t>族，西欺或者不可移</w:t>
            </w:r>
            <w:r>
              <w:rPr>
                <w:sz w:val="16"/>
                <w:szCs w:val="16"/>
              </w:rPr>
              <w:t xml:space="preserve"> </w:t>
            </w:r>
            <w:r>
              <w:rPr>
                <w:sz w:val="16"/>
                <w:szCs w:val="16"/>
                <w:spacing w:val="8"/>
              </w:rPr>
              <w:t>动实制信原址重度审</w:t>
            </w:r>
            <w:r>
              <w:rPr>
                <w:sz w:val="16"/>
                <w:szCs w:val="16"/>
              </w:rPr>
              <w:t xml:space="preserve"> </w:t>
            </w:r>
            <w:r>
              <w:rPr>
                <w:sz w:val="16"/>
                <w:szCs w:val="16"/>
              </w:rPr>
              <w:t>世</w:t>
            </w:r>
          </w:p>
        </w:tc>
        <w:tc>
          <w:tcPr>
            <w:tcW w:w="2367" w:type="dxa"/>
            <w:vAlign w:val="top"/>
          </w:tcPr>
          <w:p>
            <w:pPr>
              <w:pStyle w:val="TableText"/>
              <w:ind w:left="34" w:right="52" w:firstLine="30"/>
              <w:spacing w:before="36" w:line="231" w:lineRule="auto"/>
              <w:rPr>
                <w:sz w:val="16"/>
                <w:szCs w:val="16"/>
              </w:rPr>
            </w:pPr>
            <w:r>
              <w:rPr>
                <w:sz w:val="16"/>
                <w:szCs w:val="16"/>
                <w:spacing w:val="-1"/>
              </w:rPr>
              <w:t>省版政内(应文物部门承办，迁</w:t>
            </w:r>
            <w:r>
              <w:rPr>
                <w:sz w:val="16"/>
                <w:szCs w:val="16"/>
                <w:spacing w:val="2"/>
              </w:rPr>
              <w:t xml:space="preserve">  </w:t>
            </w:r>
            <w:r>
              <w:rPr>
                <w:sz w:val="16"/>
                <w:szCs w:val="16"/>
                <w:spacing w:val="2"/>
              </w:rPr>
              <w:t>降或者原让重建全国查点文物</w:t>
            </w:r>
            <w:r>
              <w:rPr>
                <w:sz w:val="16"/>
                <w:szCs w:val="16"/>
              </w:rPr>
              <w:t xml:space="preserve">   </w:t>
            </w:r>
            <w:r>
              <w:rPr>
                <w:sz w:val="16"/>
                <w:szCs w:val="16"/>
                <w:spacing w:val="2"/>
              </w:rPr>
              <w:t>保扩单位批准病报国务院而业，</w:t>
            </w:r>
            <w:r>
              <w:rPr>
                <w:sz w:val="16"/>
                <w:szCs w:val="16"/>
                <w:spacing w:val="1"/>
              </w:rPr>
              <w:t xml:space="preserve"> </w:t>
            </w:r>
            <w:r>
              <w:rPr>
                <w:sz w:val="16"/>
                <w:szCs w:val="16"/>
                <w:spacing w:val="1"/>
              </w:rPr>
              <w:t>迁移或者折除省能交物保护单</w:t>
            </w:r>
            <w:r>
              <w:rPr>
                <w:sz w:val="16"/>
                <w:szCs w:val="16"/>
              </w:rPr>
              <w:t xml:space="preserve">   </w:t>
            </w:r>
            <w:r>
              <w:rPr>
                <w:sz w:val="16"/>
                <w:szCs w:val="16"/>
                <w:spacing w:val="2"/>
              </w:rPr>
              <w:t>位批准前在得国家文物局同意)</w:t>
            </w:r>
          </w:p>
        </w:tc>
        <w:tc>
          <w:tcPr>
            <w:tcW w:w="3701" w:type="dxa"/>
            <w:vAlign w:val="top"/>
          </w:tcPr>
          <w:p>
            <w:pPr>
              <w:spacing w:line="393" w:lineRule="auto"/>
              <w:rPr>
                <w:rFonts w:ascii="Arial"/>
                <w:sz w:val="21"/>
              </w:rPr>
            </w:pPr>
            <w:r/>
          </w:p>
          <w:p>
            <w:pPr>
              <w:pStyle w:val="TableText"/>
              <w:ind w:left="46"/>
              <w:spacing w:before="52" w:line="220" w:lineRule="auto"/>
              <w:rPr>
                <w:sz w:val="16"/>
                <w:szCs w:val="16"/>
              </w:rPr>
            </w:pPr>
            <w:r>
              <w:rPr>
                <w:sz w:val="16"/>
                <w:szCs w:val="16"/>
              </w:rPr>
              <w:t>1中华人民其和团文物保护法</w:t>
            </w:r>
          </w:p>
        </w:tc>
      </w:tr>
      <w:tr>
        <w:trPr>
          <w:trHeight w:val="1049" w:hRule="atLeast"/>
        </w:trPr>
        <w:tc>
          <w:tcPr>
            <w:tcW w:w="584" w:type="dxa"/>
            <w:vAlign w:val="top"/>
          </w:tcPr>
          <w:p>
            <w:pPr>
              <w:spacing w:line="436" w:lineRule="auto"/>
              <w:rPr>
                <w:rFonts w:ascii="Arial"/>
                <w:sz w:val="21"/>
              </w:rPr>
            </w:pPr>
            <w:r/>
          </w:p>
          <w:p>
            <w:pPr>
              <w:pStyle w:val="TableText"/>
              <w:ind w:left="164"/>
              <w:spacing w:before="52" w:line="183" w:lineRule="auto"/>
              <w:rPr>
                <w:sz w:val="16"/>
                <w:szCs w:val="16"/>
              </w:rPr>
            </w:pPr>
            <w:r>
              <w:rPr>
                <w:sz w:val="16"/>
                <w:szCs w:val="16"/>
                <w:spacing w:val="-2"/>
              </w:rPr>
              <w:t>855</w:t>
            </w:r>
          </w:p>
        </w:tc>
        <w:tc>
          <w:tcPr>
            <w:tcW w:w="1289" w:type="dxa"/>
            <w:vAlign w:val="top"/>
          </w:tcPr>
          <w:p>
            <w:pPr>
              <w:spacing w:line="395" w:lineRule="auto"/>
              <w:rPr>
                <w:rFonts w:ascii="Arial"/>
                <w:sz w:val="21"/>
              </w:rPr>
            </w:pPr>
            <w:r/>
          </w:p>
          <w:p>
            <w:pPr>
              <w:pStyle w:val="TableText"/>
              <w:ind w:left="231"/>
              <w:spacing w:before="52" w:line="220" w:lineRule="auto"/>
              <w:rPr>
                <w:sz w:val="16"/>
                <w:szCs w:val="16"/>
              </w:rPr>
            </w:pPr>
            <w:r>
              <w:rPr>
                <w:sz w:val="16"/>
                <w:szCs w:val="16"/>
                <w:spacing w:val="2"/>
              </w:rPr>
              <w:t>民家文物局</w:t>
            </w:r>
          </w:p>
        </w:tc>
        <w:tc>
          <w:tcPr>
            <w:tcW w:w="1648" w:type="dxa"/>
            <w:vAlign w:val="top"/>
          </w:tcPr>
          <w:p>
            <w:pPr>
              <w:pStyle w:val="TableText"/>
              <w:ind w:left="52" w:right="97" w:firstLine="40"/>
              <w:spacing w:before="149" w:line="228" w:lineRule="auto"/>
              <w:jc w:val="both"/>
              <w:rPr>
                <w:sz w:val="16"/>
                <w:szCs w:val="16"/>
              </w:rPr>
            </w:pPr>
            <w:r>
              <w:rPr>
                <w:sz w:val="16"/>
                <w:szCs w:val="16"/>
                <w:spacing w:val="-1"/>
              </w:rPr>
              <w:t>技定为文勒保护平位</w:t>
            </w:r>
            <w:r>
              <w:rPr>
                <w:sz w:val="16"/>
                <w:szCs w:val="16"/>
                <w:spacing w:val="1"/>
              </w:rPr>
              <w:t xml:space="preserve"> </w:t>
            </w:r>
            <w:r>
              <w:rPr>
                <w:sz w:val="16"/>
                <w:szCs w:val="16"/>
                <w:spacing w:val="5"/>
              </w:rPr>
              <w:t>的属下国案所有的纪</w:t>
            </w:r>
            <w:r>
              <w:rPr>
                <w:sz w:val="16"/>
                <w:szCs w:val="16"/>
                <w:spacing w:val="2"/>
              </w:rPr>
              <w:t xml:space="preserve"> </w:t>
            </w:r>
            <w:r>
              <w:rPr>
                <w:sz w:val="16"/>
                <w:szCs w:val="16"/>
                <w:spacing w:val="3"/>
              </w:rPr>
              <w:t>余建统仙成者古建填</w:t>
            </w:r>
            <w:r>
              <w:rPr>
                <w:sz w:val="16"/>
                <w:szCs w:val="16"/>
                <w:spacing w:val="5"/>
              </w:rPr>
              <w:t xml:space="preserve"> </w:t>
            </w:r>
            <w:r>
              <w:rPr>
                <w:sz w:val="16"/>
                <w:szCs w:val="16"/>
                <w:spacing w:val="-2"/>
              </w:rPr>
              <w:t>改实用造审批</w:t>
            </w:r>
          </w:p>
        </w:tc>
        <w:tc>
          <w:tcPr>
            <w:tcW w:w="2367" w:type="dxa"/>
            <w:vAlign w:val="top"/>
          </w:tcPr>
          <w:p>
            <w:pPr>
              <w:pStyle w:val="TableText"/>
              <w:ind w:left="73" w:right="141" w:hanging="9"/>
              <w:spacing w:before="59" w:line="207" w:lineRule="auto"/>
              <w:rPr>
                <w:sz w:val="16"/>
                <w:szCs w:val="16"/>
              </w:rPr>
            </w:pPr>
            <w:r>
              <w:rPr>
                <w:sz w:val="16"/>
                <w:szCs w:val="16"/>
                <w:spacing w:val="-1"/>
              </w:rPr>
              <w:t>省级政府(由文物部门亲办后发</w:t>
            </w:r>
            <w:r>
              <w:rPr>
                <w:sz w:val="16"/>
                <w:szCs w:val="16"/>
                <w:spacing w:val="4"/>
              </w:rPr>
              <w:t xml:space="preserve"> </w:t>
            </w:r>
            <w:r>
              <w:rPr>
                <w:sz w:val="16"/>
                <w:szCs w:val="16"/>
              </w:rPr>
              <w:t>区刮市观政府(市文物部门承</w:t>
            </w:r>
          </w:p>
          <w:p>
            <w:pPr>
              <w:pStyle w:val="TableText"/>
              <w:ind w:left="34" w:right="52" w:firstLine="39"/>
              <w:spacing w:before="10" w:line="231" w:lineRule="auto"/>
              <w:rPr>
                <w:sz w:val="16"/>
                <w:szCs w:val="16"/>
              </w:rPr>
            </w:pPr>
            <w:r>
              <w:rPr>
                <w:sz w:val="16"/>
                <w:szCs w:val="16"/>
                <w:spacing w:val="-1"/>
              </w:rPr>
              <w:t>办，苍措省级文物部门同查1;是</w:t>
            </w:r>
            <w:r>
              <w:rPr>
                <w:sz w:val="16"/>
                <w:szCs w:val="16"/>
                <w:spacing w:val="4"/>
              </w:rPr>
              <w:t xml:space="preserve"> </w:t>
            </w:r>
            <w:r>
              <w:rPr>
                <w:sz w:val="16"/>
                <w:szCs w:val="16"/>
              </w:rPr>
              <w:t>统政行(由文物部门承办，符有</w:t>
            </w:r>
            <w:r>
              <w:rPr>
                <w:sz w:val="16"/>
                <w:szCs w:val="16"/>
                <w:spacing w:val="4"/>
              </w:rPr>
              <w:t xml:space="preserve">  </w:t>
            </w:r>
            <w:r>
              <w:rPr>
                <w:sz w:val="16"/>
                <w:szCs w:val="16"/>
                <w:spacing w:val="-2"/>
              </w:rPr>
              <w:t>设区的市级文物部门网意》</w:t>
            </w:r>
          </w:p>
        </w:tc>
        <w:tc>
          <w:tcPr>
            <w:tcW w:w="3701" w:type="dxa"/>
            <w:vAlign w:val="top"/>
          </w:tcPr>
          <w:p>
            <w:pPr>
              <w:spacing w:line="395" w:lineRule="auto"/>
              <w:rPr>
                <w:rFonts w:ascii="Arial"/>
                <w:sz w:val="21"/>
              </w:rPr>
            </w:pPr>
            <w:r/>
          </w:p>
          <w:p>
            <w:pPr>
              <w:pStyle w:val="TableText"/>
              <w:ind w:left="46"/>
              <w:spacing w:before="52" w:line="219" w:lineRule="auto"/>
              <w:rPr>
                <w:sz w:val="16"/>
                <w:szCs w:val="16"/>
              </w:rPr>
            </w:pPr>
            <w:r>
              <w:rPr>
                <w:sz w:val="16"/>
                <w:szCs w:val="16"/>
                <w:spacing w:val="-1"/>
              </w:rPr>
              <w:t>(中学人民共和国文物保护法》</w:t>
            </w:r>
          </w:p>
        </w:tc>
      </w:tr>
      <w:tr>
        <w:trPr>
          <w:trHeight w:val="449" w:hRule="atLeast"/>
        </w:trPr>
        <w:tc>
          <w:tcPr>
            <w:tcW w:w="584" w:type="dxa"/>
            <w:vAlign w:val="top"/>
          </w:tcPr>
          <w:p>
            <w:pPr>
              <w:pStyle w:val="TableText"/>
              <w:ind w:left="164"/>
              <w:spacing w:before="191" w:line="183" w:lineRule="auto"/>
              <w:rPr>
                <w:sz w:val="16"/>
                <w:szCs w:val="16"/>
              </w:rPr>
            </w:pPr>
            <w:r>
              <w:rPr>
                <w:sz w:val="16"/>
                <w:szCs w:val="16"/>
                <w:spacing w:val="-2"/>
              </w:rPr>
              <w:t>855</w:t>
            </w:r>
          </w:p>
        </w:tc>
        <w:tc>
          <w:tcPr>
            <w:tcW w:w="1289" w:type="dxa"/>
            <w:vAlign w:val="top"/>
          </w:tcPr>
          <w:p>
            <w:pPr>
              <w:pStyle w:val="TableText"/>
              <w:ind w:left="231"/>
              <w:spacing w:before="151" w:line="220" w:lineRule="auto"/>
              <w:rPr>
                <w:sz w:val="16"/>
                <w:szCs w:val="16"/>
              </w:rPr>
            </w:pPr>
            <w:r>
              <w:rPr>
                <w:sz w:val="16"/>
                <w:szCs w:val="16"/>
                <w:spacing w:val="2"/>
              </w:rPr>
              <w:t>国家文物局</w:t>
            </w:r>
          </w:p>
        </w:tc>
        <w:tc>
          <w:tcPr>
            <w:tcW w:w="1648" w:type="dxa"/>
            <w:vAlign w:val="top"/>
          </w:tcPr>
          <w:p>
            <w:pPr>
              <w:pStyle w:val="TableText"/>
              <w:ind w:left="32" w:right="92" w:firstLine="60"/>
              <w:spacing w:before="61" w:line="218" w:lineRule="auto"/>
              <w:rPr>
                <w:sz w:val="16"/>
                <w:szCs w:val="16"/>
              </w:rPr>
            </w:pPr>
            <w:r>
              <w:rPr>
                <w:sz w:val="16"/>
                <w:szCs w:val="16"/>
                <w:spacing w:val="1"/>
              </w:rPr>
              <w:t>不可移动文物修结审</w:t>
            </w:r>
            <w:r>
              <w:rPr>
                <w:sz w:val="16"/>
                <w:szCs w:val="16"/>
                <w:spacing w:val="3"/>
              </w:rPr>
              <w:t xml:space="preserve"> </w:t>
            </w:r>
            <w:r>
              <w:rPr>
                <w:sz w:val="16"/>
                <w:szCs w:val="16"/>
              </w:rPr>
              <w:t>批</w:t>
            </w:r>
          </w:p>
        </w:tc>
        <w:tc>
          <w:tcPr>
            <w:tcW w:w="2367" w:type="dxa"/>
            <w:vAlign w:val="top"/>
          </w:tcPr>
          <w:p>
            <w:pPr>
              <w:pStyle w:val="TableText"/>
              <w:ind w:left="34" w:firstLine="19"/>
              <w:spacing w:before="61" w:line="218" w:lineRule="auto"/>
              <w:rPr>
                <w:sz w:val="16"/>
                <w:szCs w:val="16"/>
              </w:rPr>
            </w:pPr>
            <w:r>
              <w:rPr>
                <w:sz w:val="16"/>
                <w:szCs w:val="16"/>
                <w:spacing w:val="-7"/>
              </w:rPr>
              <w:t>国家文物局；省级、设区的市地。</w:t>
            </w:r>
            <w:r>
              <w:rPr>
                <w:sz w:val="16"/>
                <w:szCs w:val="16"/>
                <w:spacing w:val="7"/>
              </w:rPr>
              <w:t xml:space="preserve"> </w:t>
            </w:r>
            <w:r>
              <w:rPr>
                <w:sz w:val="16"/>
                <w:szCs w:val="16"/>
                <w:spacing w:val="-2"/>
              </w:rPr>
              <w:t>县望文物部门</w:t>
            </w:r>
          </w:p>
        </w:tc>
        <w:tc>
          <w:tcPr>
            <w:tcW w:w="3701" w:type="dxa"/>
            <w:vAlign w:val="top"/>
          </w:tcPr>
          <w:p>
            <w:pPr>
              <w:pStyle w:val="TableText"/>
              <w:ind w:left="46"/>
              <w:spacing w:before="150" w:line="219" w:lineRule="auto"/>
              <w:rPr>
                <w:sz w:val="16"/>
                <w:szCs w:val="16"/>
              </w:rPr>
            </w:pPr>
            <w:r>
              <w:rPr>
                <w:sz w:val="16"/>
                <w:szCs w:val="16"/>
                <w:spacing w:val="-1"/>
              </w:rPr>
              <w:t>(中华人民共和国文物保护法》</w:t>
            </w:r>
          </w:p>
        </w:tc>
      </w:tr>
      <w:tr>
        <w:trPr>
          <w:trHeight w:val="439" w:hRule="atLeast"/>
        </w:trPr>
        <w:tc>
          <w:tcPr>
            <w:tcW w:w="584" w:type="dxa"/>
            <w:vAlign w:val="top"/>
          </w:tcPr>
          <w:p>
            <w:pPr>
              <w:pStyle w:val="TableText"/>
              <w:ind w:left="164"/>
              <w:spacing w:before="182" w:line="183" w:lineRule="auto"/>
              <w:rPr>
                <w:sz w:val="16"/>
                <w:szCs w:val="16"/>
              </w:rPr>
            </w:pPr>
            <w:r>
              <w:rPr>
                <w:sz w:val="16"/>
                <w:szCs w:val="16"/>
                <w:spacing w:val="-2"/>
              </w:rPr>
              <w:t>857</w:t>
            </w:r>
          </w:p>
        </w:tc>
        <w:tc>
          <w:tcPr>
            <w:tcW w:w="1289" w:type="dxa"/>
            <w:vAlign w:val="top"/>
          </w:tcPr>
          <w:p>
            <w:pPr>
              <w:pStyle w:val="TableText"/>
              <w:ind w:left="231"/>
              <w:spacing w:before="142" w:line="220" w:lineRule="auto"/>
              <w:rPr>
                <w:sz w:val="16"/>
                <w:szCs w:val="16"/>
              </w:rPr>
            </w:pPr>
            <w:r>
              <w:rPr>
                <w:sz w:val="16"/>
                <w:szCs w:val="16"/>
                <w:spacing w:val="2"/>
              </w:rPr>
              <w:t>国家文物同</w:t>
            </w:r>
          </w:p>
        </w:tc>
        <w:tc>
          <w:tcPr>
            <w:tcW w:w="1648" w:type="dxa"/>
            <w:vAlign w:val="top"/>
          </w:tcPr>
          <w:p>
            <w:pPr>
              <w:pStyle w:val="TableText"/>
              <w:ind w:left="42" w:right="115" w:firstLine="50"/>
              <w:spacing w:before="31" w:line="227" w:lineRule="auto"/>
              <w:rPr>
                <w:sz w:val="16"/>
                <w:szCs w:val="16"/>
              </w:rPr>
            </w:pPr>
            <w:r>
              <w:rPr>
                <w:sz w:val="16"/>
                <w:szCs w:val="16"/>
                <w:spacing w:val="-2"/>
              </w:rPr>
              <w:t>交物保护工程资愿率</w:t>
            </w:r>
            <w:r>
              <w:rPr>
                <w:sz w:val="16"/>
                <w:szCs w:val="16"/>
                <w:spacing w:val="7"/>
              </w:rPr>
              <w:t xml:space="preserve"> </w:t>
            </w:r>
            <w:r>
              <w:rPr>
                <w:sz w:val="16"/>
                <w:szCs w:val="16"/>
              </w:rPr>
              <w:t>批</w:t>
            </w:r>
          </w:p>
        </w:tc>
        <w:tc>
          <w:tcPr>
            <w:tcW w:w="2367" w:type="dxa"/>
            <w:vAlign w:val="top"/>
          </w:tcPr>
          <w:p>
            <w:pPr>
              <w:pStyle w:val="TableText"/>
              <w:ind w:left="34"/>
              <w:spacing w:before="141" w:line="219" w:lineRule="auto"/>
              <w:rPr>
                <w:sz w:val="16"/>
                <w:szCs w:val="16"/>
              </w:rPr>
            </w:pPr>
            <w:r>
              <w:rPr>
                <w:sz w:val="16"/>
                <w:szCs w:val="16"/>
                <w:spacing w:val="1"/>
              </w:rPr>
              <w:t>四家文物局c省级文物部门</w:t>
            </w:r>
          </w:p>
        </w:tc>
        <w:tc>
          <w:tcPr>
            <w:tcW w:w="3701" w:type="dxa"/>
            <w:vAlign w:val="top"/>
          </w:tcPr>
          <w:p>
            <w:pPr>
              <w:pStyle w:val="TableText"/>
              <w:spacing w:before="31" w:line="219" w:lineRule="auto"/>
              <w:rPr>
                <w:sz w:val="16"/>
                <w:szCs w:val="16"/>
              </w:rPr>
            </w:pPr>
            <w:r>
              <w:rPr>
                <w:sz w:val="16"/>
                <w:szCs w:val="16"/>
                <w:spacing w:val="-4"/>
              </w:rPr>
              <w:t>《中华人院共和国文物保护法》</w:t>
            </w:r>
          </w:p>
          <w:p>
            <w:pPr>
              <w:pStyle w:val="TableText"/>
              <w:ind w:left="46"/>
              <w:spacing w:before="10" w:line="219" w:lineRule="auto"/>
              <w:rPr>
                <w:sz w:val="16"/>
                <w:szCs w:val="16"/>
              </w:rPr>
            </w:pPr>
            <w:r>
              <w:rPr>
                <w:sz w:val="16"/>
                <w:szCs w:val="16"/>
              </w:rPr>
              <w:t>C中生人地共和国文物保护法实随态例1</w:t>
            </w:r>
          </w:p>
        </w:tc>
      </w:tr>
      <w:tr>
        <w:trPr>
          <w:trHeight w:val="449" w:hRule="atLeast"/>
        </w:trPr>
        <w:tc>
          <w:tcPr>
            <w:tcW w:w="584" w:type="dxa"/>
            <w:vAlign w:val="top"/>
          </w:tcPr>
          <w:p>
            <w:pPr>
              <w:pStyle w:val="TableText"/>
              <w:ind w:left="164"/>
              <w:spacing w:before="193" w:line="183" w:lineRule="auto"/>
              <w:rPr>
                <w:sz w:val="16"/>
                <w:szCs w:val="16"/>
              </w:rPr>
            </w:pPr>
            <w:r>
              <w:rPr>
                <w:sz w:val="16"/>
                <w:szCs w:val="16"/>
                <w:spacing w:val="-2"/>
              </w:rPr>
              <w:t>856</w:t>
            </w:r>
          </w:p>
        </w:tc>
        <w:tc>
          <w:tcPr>
            <w:tcW w:w="1289" w:type="dxa"/>
            <w:vAlign w:val="top"/>
          </w:tcPr>
          <w:p>
            <w:pPr>
              <w:pStyle w:val="TableText"/>
              <w:ind w:left="231"/>
              <w:spacing w:before="153" w:line="220" w:lineRule="auto"/>
              <w:rPr>
                <w:sz w:val="16"/>
                <w:szCs w:val="16"/>
              </w:rPr>
            </w:pPr>
            <w:r>
              <w:rPr>
                <w:sz w:val="16"/>
                <w:szCs w:val="16"/>
                <w:spacing w:val="2"/>
              </w:rPr>
              <w:t>国家文防局</w:t>
            </w:r>
          </w:p>
        </w:tc>
        <w:tc>
          <w:tcPr>
            <w:tcW w:w="1648" w:type="dxa"/>
            <w:vAlign w:val="top"/>
          </w:tcPr>
          <w:p>
            <w:pPr>
              <w:pStyle w:val="TableText"/>
              <w:ind w:left="171"/>
              <w:spacing w:before="152" w:line="219" w:lineRule="auto"/>
              <w:rPr>
                <w:sz w:val="16"/>
                <w:szCs w:val="16"/>
              </w:rPr>
            </w:pPr>
            <w:r>
              <w:rPr>
                <w:sz w:val="16"/>
                <w:szCs w:val="16"/>
                <w:spacing w:val="-1"/>
              </w:rPr>
              <w:t>考古发测贸质许可</w:t>
            </w:r>
          </w:p>
        </w:tc>
        <w:tc>
          <w:tcPr>
            <w:tcW w:w="2367" w:type="dxa"/>
            <w:vAlign w:val="top"/>
          </w:tcPr>
          <w:p>
            <w:pPr>
              <w:pStyle w:val="TableText"/>
              <w:ind w:left="34"/>
              <w:spacing w:before="153" w:line="220" w:lineRule="auto"/>
              <w:rPr>
                <w:sz w:val="16"/>
                <w:szCs w:val="16"/>
              </w:rPr>
            </w:pPr>
            <w:r>
              <w:rPr>
                <w:sz w:val="16"/>
                <w:szCs w:val="16"/>
                <w:spacing w:val="2"/>
              </w:rPr>
              <w:t>国家文物局</w:t>
            </w:r>
          </w:p>
        </w:tc>
        <w:tc>
          <w:tcPr>
            <w:tcW w:w="3701" w:type="dxa"/>
            <w:vAlign w:val="top"/>
          </w:tcPr>
          <w:p>
            <w:pPr>
              <w:pStyle w:val="TableText"/>
              <w:ind w:left="46"/>
              <w:spacing w:before="52" w:line="219" w:lineRule="auto"/>
              <w:rPr>
                <w:sz w:val="16"/>
                <w:szCs w:val="16"/>
              </w:rPr>
            </w:pPr>
            <w:r>
              <w:rPr>
                <w:sz w:val="16"/>
                <w:szCs w:val="16"/>
                <w:spacing w:val="-1"/>
              </w:rPr>
              <w:t>(中甲人现共和国文物保护法》</w:t>
            </w:r>
          </w:p>
          <w:p>
            <w:pPr>
              <w:pStyle w:val="TableText"/>
              <w:ind w:left="46"/>
              <w:spacing w:line="219" w:lineRule="auto"/>
              <w:rPr>
                <w:sz w:val="16"/>
                <w:szCs w:val="16"/>
              </w:rPr>
            </w:pPr>
            <w:r>
              <w:rPr>
                <w:sz w:val="16"/>
                <w:szCs w:val="16"/>
              </w:rPr>
              <w:t>E中华人民共和国文物保护法实做条侧。</w:t>
            </w:r>
          </w:p>
        </w:tc>
      </w:tr>
      <w:tr>
        <w:trPr>
          <w:trHeight w:val="240" w:hRule="atLeast"/>
        </w:trPr>
        <w:tc>
          <w:tcPr>
            <w:tcW w:w="584" w:type="dxa"/>
            <w:vAlign w:val="top"/>
          </w:tcPr>
          <w:p>
            <w:pPr>
              <w:pStyle w:val="TableText"/>
              <w:ind w:left="164"/>
              <w:spacing w:before="84" w:line="168" w:lineRule="auto"/>
              <w:rPr>
                <w:sz w:val="16"/>
                <w:szCs w:val="16"/>
              </w:rPr>
            </w:pPr>
            <w:r>
              <w:rPr>
                <w:sz w:val="16"/>
                <w:szCs w:val="16"/>
                <w:spacing w:val="-2"/>
              </w:rPr>
              <w:t>859</w:t>
            </w:r>
          </w:p>
        </w:tc>
        <w:tc>
          <w:tcPr>
            <w:tcW w:w="1289" w:type="dxa"/>
            <w:vAlign w:val="top"/>
          </w:tcPr>
          <w:p>
            <w:pPr>
              <w:pStyle w:val="TableText"/>
              <w:ind w:left="231"/>
              <w:spacing w:before="43" w:line="215" w:lineRule="auto"/>
              <w:rPr>
                <w:sz w:val="16"/>
                <w:szCs w:val="16"/>
              </w:rPr>
            </w:pPr>
            <w:r>
              <w:rPr>
                <w:sz w:val="16"/>
                <w:szCs w:val="16"/>
                <w:spacing w:val="3"/>
              </w:rPr>
              <w:t>国家文解周</w:t>
            </w:r>
          </w:p>
        </w:tc>
        <w:tc>
          <w:tcPr>
            <w:tcW w:w="1648" w:type="dxa"/>
            <w:vAlign w:val="top"/>
          </w:tcPr>
          <w:p>
            <w:pPr>
              <w:pStyle w:val="TableText"/>
              <w:ind w:left="62"/>
              <w:spacing w:before="43" w:line="215" w:lineRule="auto"/>
              <w:rPr>
                <w:sz w:val="16"/>
                <w:szCs w:val="16"/>
              </w:rPr>
            </w:pPr>
            <w:r>
              <w:rPr>
                <w:sz w:val="16"/>
                <w:szCs w:val="16"/>
                <w:spacing w:val="-1"/>
              </w:rPr>
              <w:t>考古发题计划重低</w:t>
            </w:r>
          </w:p>
        </w:tc>
        <w:tc>
          <w:tcPr>
            <w:tcW w:w="2367" w:type="dxa"/>
            <w:vAlign w:val="top"/>
          </w:tcPr>
          <w:p>
            <w:pPr>
              <w:pStyle w:val="TableText"/>
              <w:ind w:left="34"/>
              <w:spacing w:before="43" w:line="215" w:lineRule="auto"/>
              <w:rPr>
                <w:sz w:val="16"/>
                <w:szCs w:val="16"/>
              </w:rPr>
            </w:pPr>
            <w:r>
              <w:rPr>
                <w:sz w:val="16"/>
                <w:szCs w:val="16"/>
                <w:spacing w:val="3"/>
              </w:rPr>
              <w:t>国家文物周</w:t>
            </w:r>
          </w:p>
        </w:tc>
        <w:tc>
          <w:tcPr>
            <w:tcW w:w="3701" w:type="dxa"/>
            <w:vAlign w:val="top"/>
          </w:tcPr>
          <w:p>
            <w:pPr>
              <w:pStyle w:val="TableText"/>
              <w:spacing w:before="43" w:line="215" w:lineRule="auto"/>
              <w:rPr>
                <w:sz w:val="16"/>
                <w:szCs w:val="16"/>
              </w:rPr>
            </w:pPr>
            <w:r>
              <w:rPr>
                <w:sz w:val="16"/>
                <w:szCs w:val="16"/>
                <w:spacing w:val="-4"/>
              </w:rPr>
              <w:t>《中华人民共和国文物保护法》</w:t>
            </w:r>
          </w:p>
        </w:tc>
      </w:tr>
      <w:tr>
        <w:trPr>
          <w:trHeight w:val="439" w:hRule="atLeast"/>
        </w:trPr>
        <w:tc>
          <w:tcPr>
            <w:tcW w:w="584" w:type="dxa"/>
            <w:vAlign w:val="top"/>
          </w:tcPr>
          <w:p>
            <w:pPr>
              <w:pStyle w:val="TableText"/>
              <w:ind w:left="164"/>
              <w:spacing w:before="184" w:line="183" w:lineRule="auto"/>
              <w:rPr>
                <w:sz w:val="16"/>
                <w:szCs w:val="16"/>
              </w:rPr>
            </w:pPr>
            <w:r>
              <w:rPr>
                <w:sz w:val="16"/>
                <w:szCs w:val="16"/>
                <w:spacing w:val="-2"/>
              </w:rPr>
              <w:t>860</w:t>
            </w:r>
          </w:p>
        </w:tc>
        <w:tc>
          <w:tcPr>
            <w:tcW w:w="1289" w:type="dxa"/>
            <w:vAlign w:val="top"/>
          </w:tcPr>
          <w:p>
            <w:pPr>
              <w:pStyle w:val="TableText"/>
              <w:ind w:left="231"/>
              <w:spacing w:before="144" w:line="220" w:lineRule="auto"/>
              <w:rPr>
                <w:sz w:val="16"/>
                <w:szCs w:val="16"/>
              </w:rPr>
            </w:pPr>
            <w:r>
              <w:rPr>
                <w:sz w:val="16"/>
                <w:szCs w:val="16"/>
                <w:spacing w:val="2"/>
              </w:rPr>
              <w:t>国家文物局</w:t>
            </w:r>
          </w:p>
        </w:tc>
        <w:tc>
          <w:tcPr>
            <w:tcW w:w="1648" w:type="dxa"/>
            <w:vAlign w:val="top"/>
          </w:tcPr>
          <w:p>
            <w:pPr>
              <w:pStyle w:val="TableText"/>
              <w:ind w:left="62" w:right="112" w:firstLine="30"/>
              <w:spacing w:before="52" w:line="217" w:lineRule="auto"/>
              <w:rPr>
                <w:sz w:val="16"/>
                <w:szCs w:val="16"/>
              </w:rPr>
            </w:pPr>
            <w:r>
              <w:rPr>
                <w:sz w:val="16"/>
                <w:szCs w:val="16"/>
                <w:spacing w:val="-1"/>
              </w:rPr>
              <w:t>本下文物的考古勘库</w:t>
            </w:r>
            <w:r>
              <w:rPr>
                <w:sz w:val="16"/>
                <w:szCs w:val="16"/>
                <w:spacing w:val="1"/>
              </w:rPr>
              <w:t xml:space="preserve"> </w:t>
            </w:r>
            <w:r>
              <w:rPr>
                <w:sz w:val="16"/>
                <w:szCs w:val="16"/>
                <w:spacing w:val="2"/>
              </w:rPr>
              <w:t>和发要活动许叩</w:t>
            </w:r>
          </w:p>
        </w:tc>
        <w:tc>
          <w:tcPr>
            <w:tcW w:w="2367" w:type="dxa"/>
            <w:vAlign w:val="top"/>
          </w:tcPr>
          <w:p>
            <w:pPr>
              <w:pStyle w:val="TableText"/>
              <w:ind w:left="34"/>
              <w:spacing w:before="144" w:line="220" w:lineRule="auto"/>
              <w:rPr>
                <w:sz w:val="16"/>
                <w:szCs w:val="16"/>
              </w:rPr>
            </w:pPr>
            <w:r>
              <w:rPr>
                <w:sz w:val="16"/>
                <w:szCs w:val="16"/>
                <w:spacing w:val="2"/>
              </w:rPr>
              <w:t>国家文物局</w:t>
            </w:r>
          </w:p>
        </w:tc>
        <w:tc>
          <w:tcPr>
            <w:tcW w:w="3701" w:type="dxa"/>
            <w:vAlign w:val="top"/>
          </w:tcPr>
          <w:p>
            <w:pPr>
              <w:pStyle w:val="TableText"/>
              <w:spacing w:before="143" w:line="219" w:lineRule="auto"/>
              <w:rPr>
                <w:sz w:val="16"/>
                <w:szCs w:val="16"/>
              </w:rPr>
            </w:pPr>
            <w:r>
              <w:rPr>
                <w:sz w:val="16"/>
                <w:szCs w:val="16"/>
                <w:spacing w:val="-3"/>
              </w:rPr>
              <w:t>《中华人民共和国水无文物保护管理资何</w:t>
            </w:r>
          </w:p>
        </w:tc>
      </w:tr>
      <w:tr>
        <w:trPr>
          <w:trHeight w:val="659" w:hRule="atLeast"/>
        </w:trPr>
        <w:tc>
          <w:tcPr>
            <w:tcW w:w="584" w:type="dxa"/>
            <w:vAlign w:val="top"/>
          </w:tcPr>
          <w:p>
            <w:pPr>
              <w:spacing w:line="241" w:lineRule="auto"/>
              <w:rPr>
                <w:rFonts w:ascii="Arial"/>
                <w:sz w:val="21"/>
              </w:rPr>
            </w:pPr>
            <w:r/>
          </w:p>
          <w:p>
            <w:pPr>
              <w:pStyle w:val="TableText"/>
              <w:ind w:left="164"/>
              <w:spacing w:before="52" w:line="184" w:lineRule="auto"/>
              <w:rPr>
                <w:sz w:val="16"/>
                <w:szCs w:val="16"/>
              </w:rPr>
            </w:pPr>
            <w:r>
              <w:rPr>
                <w:sz w:val="16"/>
                <w:szCs w:val="16"/>
                <w:spacing w:val="-1"/>
              </w:rPr>
              <w:t>P*1</w:t>
            </w:r>
          </w:p>
        </w:tc>
        <w:tc>
          <w:tcPr>
            <w:tcW w:w="1289" w:type="dxa"/>
            <w:vAlign w:val="top"/>
          </w:tcPr>
          <w:p>
            <w:pPr>
              <w:pStyle w:val="TableText"/>
              <w:ind w:left="231"/>
              <w:spacing w:before="255" w:line="220" w:lineRule="auto"/>
              <w:rPr>
                <w:sz w:val="16"/>
                <w:szCs w:val="16"/>
              </w:rPr>
            </w:pPr>
            <w:r>
              <w:rPr>
                <w:sz w:val="16"/>
                <w:szCs w:val="16"/>
                <w:spacing w:val="2"/>
              </w:rPr>
              <w:t>国家文物局</w:t>
            </w:r>
          </w:p>
        </w:tc>
        <w:tc>
          <w:tcPr>
            <w:tcW w:w="1648" w:type="dxa"/>
            <w:vAlign w:val="top"/>
          </w:tcPr>
          <w:p>
            <w:pPr>
              <w:pStyle w:val="TableText"/>
              <w:ind w:left="32" w:right="92" w:firstLine="60"/>
              <w:spacing w:before="55" w:line="226" w:lineRule="auto"/>
              <w:jc w:val="both"/>
              <w:rPr>
                <w:sz w:val="16"/>
                <w:szCs w:val="16"/>
              </w:rPr>
            </w:pPr>
            <w:r>
              <w:rPr>
                <w:sz w:val="16"/>
                <w:szCs w:val="16"/>
                <w:spacing w:val="1"/>
              </w:rPr>
              <w:t>为古发揭单位保们少</w:t>
            </w:r>
            <w:r>
              <w:rPr>
                <w:sz w:val="16"/>
                <w:szCs w:val="16"/>
                <w:spacing w:val="3"/>
              </w:rPr>
              <w:t xml:space="preserve"> </w:t>
            </w:r>
            <w:r>
              <w:rPr>
                <w:sz w:val="16"/>
                <w:szCs w:val="16"/>
                <w:spacing w:val="5"/>
              </w:rPr>
              <w:t>从市土文物性为日班 </w:t>
            </w:r>
            <w:r>
              <w:rPr>
                <w:sz w:val="16"/>
                <w:szCs w:val="16"/>
                <w:spacing w:val="-2"/>
              </w:rPr>
              <w:t>标本许可</w:t>
            </w:r>
          </w:p>
        </w:tc>
        <w:tc>
          <w:tcPr>
            <w:tcW w:w="2367" w:type="dxa"/>
            <w:vAlign w:val="top"/>
          </w:tcPr>
          <w:p>
            <w:pPr>
              <w:pStyle w:val="TableText"/>
              <w:ind w:left="34"/>
              <w:spacing w:before="254" w:line="219" w:lineRule="auto"/>
              <w:rPr>
                <w:sz w:val="16"/>
                <w:szCs w:val="16"/>
              </w:rPr>
            </w:pPr>
            <w:r>
              <w:rPr>
                <w:sz w:val="16"/>
                <w:szCs w:val="16"/>
                <w:spacing w:val="2"/>
              </w:rPr>
              <w:t>省级文的而门</w:t>
            </w:r>
          </w:p>
        </w:tc>
        <w:tc>
          <w:tcPr>
            <w:tcW w:w="3701" w:type="dxa"/>
            <w:vAlign w:val="top"/>
          </w:tcPr>
          <w:p>
            <w:pPr>
              <w:pStyle w:val="TableText"/>
              <w:ind w:left="46"/>
              <w:spacing w:before="254" w:line="219" w:lineRule="auto"/>
              <w:rPr>
                <w:sz w:val="16"/>
                <w:szCs w:val="16"/>
              </w:rPr>
            </w:pPr>
            <w:r>
              <w:rPr>
                <w:sz w:val="16"/>
                <w:szCs w:val="16"/>
              </w:rPr>
              <w:t>1中学人民共和例文物保护括</w:t>
            </w:r>
          </w:p>
        </w:tc>
      </w:tr>
      <w:tr>
        <w:trPr>
          <w:trHeight w:val="639" w:hRule="atLeast"/>
        </w:trPr>
        <w:tc>
          <w:tcPr>
            <w:tcW w:w="584" w:type="dxa"/>
            <w:vAlign w:val="top"/>
          </w:tcPr>
          <w:p>
            <w:pPr>
              <w:pStyle w:val="TableText"/>
              <w:ind w:left="164"/>
              <w:spacing w:before="286" w:line="183" w:lineRule="auto"/>
              <w:rPr>
                <w:sz w:val="16"/>
                <w:szCs w:val="16"/>
              </w:rPr>
            </w:pPr>
            <w:r>
              <w:rPr>
                <w:sz w:val="16"/>
                <w:szCs w:val="16"/>
                <w:spacing w:val="-2"/>
              </w:rPr>
              <w:t>862</w:t>
            </w:r>
          </w:p>
        </w:tc>
        <w:tc>
          <w:tcPr>
            <w:tcW w:w="1289" w:type="dxa"/>
            <w:vAlign w:val="top"/>
          </w:tcPr>
          <w:p>
            <w:pPr>
              <w:pStyle w:val="TableText"/>
              <w:ind w:left="231"/>
              <w:spacing w:before="246" w:line="220" w:lineRule="auto"/>
              <w:rPr>
                <w:sz w:val="16"/>
                <w:szCs w:val="16"/>
              </w:rPr>
            </w:pPr>
            <w:r>
              <w:rPr>
                <w:sz w:val="16"/>
                <w:szCs w:val="16"/>
                <w:spacing w:val="2"/>
              </w:rPr>
              <w:t>国家文物局</w:t>
            </w:r>
          </w:p>
        </w:tc>
        <w:tc>
          <w:tcPr>
            <w:tcW w:w="1648" w:type="dxa"/>
            <w:vAlign w:val="top"/>
          </w:tcPr>
          <w:p>
            <w:pPr>
              <w:pStyle w:val="TableText"/>
              <w:ind w:left="92" w:right="114"/>
              <w:spacing w:before="54" w:line="221" w:lineRule="auto"/>
              <w:jc w:val="both"/>
              <w:rPr>
                <w:sz w:val="16"/>
                <w:szCs w:val="16"/>
              </w:rPr>
            </w:pPr>
            <w:r>
              <w:rPr>
                <w:sz w:val="16"/>
                <w:szCs w:val="16"/>
                <w:spacing w:val="-2"/>
              </w:rPr>
              <w:t>外国人班青料国匝体</w:t>
            </w:r>
            <w:r>
              <w:rPr>
                <w:sz w:val="16"/>
                <w:szCs w:val="16"/>
                <w:spacing w:val="7"/>
              </w:rPr>
              <w:t xml:space="preserve"> </w:t>
            </w:r>
            <w:r>
              <w:rPr>
                <w:sz w:val="16"/>
                <w:szCs w:val="16"/>
                <w:spacing w:val="10"/>
              </w:rPr>
              <w:t>东境内进行考古曹 </w:t>
            </w:r>
            <w:r>
              <w:rPr>
                <w:sz w:val="16"/>
                <w:szCs w:val="16"/>
                <w:spacing w:val="-1"/>
              </w:rPr>
              <w:t>查，勤探，荒需许可</w:t>
            </w:r>
          </w:p>
        </w:tc>
        <w:tc>
          <w:tcPr>
            <w:tcW w:w="2367" w:type="dxa"/>
            <w:vAlign w:val="top"/>
          </w:tcPr>
          <w:p>
            <w:pPr>
              <w:pStyle w:val="TableText"/>
              <w:ind w:left="34"/>
              <w:spacing w:before="246" w:line="220" w:lineRule="auto"/>
              <w:rPr>
                <w:sz w:val="16"/>
                <w:szCs w:val="16"/>
              </w:rPr>
            </w:pPr>
            <w:r>
              <w:rPr>
                <w:sz w:val="16"/>
                <w:szCs w:val="16"/>
                <w:spacing w:val="2"/>
              </w:rPr>
              <w:t>国家文物局</w:t>
            </w:r>
          </w:p>
        </w:tc>
        <w:tc>
          <w:tcPr>
            <w:tcW w:w="3701" w:type="dxa"/>
            <w:vAlign w:val="top"/>
          </w:tcPr>
          <w:p>
            <w:pPr>
              <w:pStyle w:val="TableText"/>
              <w:spacing w:before="65" w:line="208" w:lineRule="auto"/>
              <w:rPr>
                <w:sz w:val="16"/>
                <w:szCs w:val="16"/>
              </w:rPr>
            </w:pPr>
            <w:r>
              <w:rPr>
                <w:sz w:val="16"/>
                <w:szCs w:val="16"/>
                <w:spacing w:val="-3"/>
              </w:rPr>
              <w:t>《中华人色共和国叉物保护法1</w:t>
            </w:r>
          </w:p>
          <w:p>
            <w:pPr>
              <w:pStyle w:val="TableText"/>
              <w:ind w:left="79"/>
              <w:spacing w:line="230" w:lineRule="auto"/>
              <w:rPr>
                <w:sz w:val="16"/>
                <w:szCs w:val="16"/>
              </w:rPr>
            </w:pPr>
            <w:r>
              <w:rPr>
                <w:sz w:val="16"/>
                <w:szCs w:val="16"/>
                <w:spacing w:val="-2"/>
              </w:rPr>
              <w:t>中华人民共和国水下文特保护管星条例</w:t>
            </w:r>
          </w:p>
          <w:p>
            <w:pPr>
              <w:pStyle w:val="TableText"/>
              <w:spacing w:line="212" w:lineRule="auto"/>
              <w:rPr>
                <w:sz w:val="16"/>
                <w:szCs w:val="16"/>
              </w:rPr>
            </w:pPr>
            <w:r>
              <w:rPr>
                <w:sz w:val="16"/>
                <w:szCs w:val="16"/>
                <w:spacing w:val="-3"/>
              </w:rPr>
              <w:t>《中华人纪其和国书古希母工作管育办法</w:t>
            </w:r>
          </w:p>
        </w:tc>
      </w:tr>
      <w:tr>
        <w:trPr>
          <w:trHeight w:val="754" w:hRule="atLeast"/>
        </w:trPr>
        <w:tc>
          <w:tcPr>
            <w:tcW w:w="584" w:type="dxa"/>
            <w:vAlign w:val="top"/>
          </w:tcPr>
          <w:p>
            <w:pPr>
              <w:spacing w:line="294" w:lineRule="auto"/>
              <w:rPr>
                <w:rFonts w:ascii="Arial"/>
                <w:sz w:val="21"/>
              </w:rPr>
            </w:pPr>
            <w:r/>
          </w:p>
          <w:p>
            <w:pPr>
              <w:pStyle w:val="TableText"/>
              <w:ind w:left="164"/>
              <w:spacing w:before="52" w:line="183" w:lineRule="auto"/>
              <w:rPr>
                <w:sz w:val="16"/>
                <w:szCs w:val="16"/>
              </w:rPr>
            </w:pPr>
            <w:r>
              <w:rPr>
                <w:sz w:val="16"/>
                <w:szCs w:val="16"/>
                <w:spacing w:val="-2"/>
              </w:rPr>
              <w:t>863</w:t>
            </w:r>
          </w:p>
        </w:tc>
        <w:tc>
          <w:tcPr>
            <w:tcW w:w="1289" w:type="dxa"/>
            <w:vAlign w:val="top"/>
          </w:tcPr>
          <w:p>
            <w:pPr>
              <w:spacing w:line="253" w:lineRule="auto"/>
              <w:rPr>
                <w:rFonts w:ascii="Arial"/>
                <w:sz w:val="21"/>
              </w:rPr>
            </w:pPr>
            <w:r/>
          </w:p>
          <w:p>
            <w:pPr>
              <w:pStyle w:val="TableText"/>
              <w:ind w:left="231"/>
              <w:spacing w:before="52" w:line="220" w:lineRule="auto"/>
              <w:rPr>
                <w:sz w:val="16"/>
                <w:szCs w:val="16"/>
              </w:rPr>
            </w:pPr>
            <w:r>
              <w:rPr>
                <w:sz w:val="16"/>
                <w:szCs w:val="16"/>
                <w:spacing w:val="2"/>
              </w:rPr>
              <w:t>国家交物局</w:t>
            </w:r>
          </w:p>
        </w:tc>
        <w:tc>
          <w:tcPr>
            <w:tcW w:w="1648" w:type="dxa"/>
            <w:vAlign w:val="top"/>
          </w:tcPr>
          <w:p>
            <w:pPr>
              <w:pStyle w:val="TableText"/>
              <w:ind w:left="11" w:right="16"/>
              <w:spacing w:before="96" w:line="234" w:lineRule="auto"/>
              <w:jc w:val="both"/>
              <w:rPr>
                <w:sz w:val="16"/>
                <w:szCs w:val="16"/>
              </w:rPr>
            </w:pPr>
            <w:r>
              <w:rPr>
                <w:sz w:val="16"/>
                <w:szCs w:val="16"/>
              </w:rPr>
              <w:t>国际合作考古调查，助</w:t>
            </w:r>
            <w:r>
              <w:rPr>
                <w:sz w:val="16"/>
                <w:szCs w:val="16"/>
                <w:spacing w:val="8"/>
              </w:rPr>
              <w:t xml:space="preserve"> </w:t>
            </w:r>
            <w:r>
              <w:rPr>
                <w:sz w:val="16"/>
                <w:szCs w:val="16"/>
                <w:spacing w:val="-1"/>
              </w:rPr>
              <w:t>探，发据的文物或百然</w:t>
            </w:r>
            <w:r>
              <w:rPr>
                <w:sz w:val="16"/>
                <w:szCs w:val="16"/>
                <w:spacing w:val="3"/>
              </w:rPr>
              <w:t xml:space="preserve"> </w:t>
            </w:r>
            <w:r>
              <w:rPr>
                <w:sz w:val="16"/>
                <w:szCs w:val="16"/>
                <w:spacing w:val="5"/>
              </w:rPr>
              <w:t>标本信野用现许可</w:t>
            </w:r>
          </w:p>
        </w:tc>
        <w:tc>
          <w:tcPr>
            <w:tcW w:w="2367" w:type="dxa"/>
            <w:vAlign w:val="top"/>
          </w:tcPr>
          <w:p>
            <w:pPr>
              <w:spacing w:line="253" w:lineRule="auto"/>
              <w:rPr>
                <w:rFonts w:ascii="Arial"/>
                <w:sz w:val="21"/>
              </w:rPr>
            </w:pPr>
            <w:r/>
          </w:p>
          <w:p>
            <w:pPr>
              <w:pStyle w:val="TableText"/>
              <w:ind w:left="34"/>
              <w:spacing w:before="52" w:line="219" w:lineRule="auto"/>
              <w:rPr>
                <w:sz w:val="16"/>
                <w:szCs w:val="16"/>
              </w:rPr>
            </w:pPr>
            <w:r>
              <w:rPr>
                <w:sz w:val="16"/>
                <w:szCs w:val="16"/>
                <w:spacing w:val="2"/>
              </w:rPr>
              <w:t>国家文楼晶</w:t>
            </w:r>
          </w:p>
        </w:tc>
        <w:tc>
          <w:tcPr>
            <w:tcW w:w="3701" w:type="dxa"/>
            <w:vAlign w:val="top"/>
          </w:tcPr>
          <w:p>
            <w:pPr>
              <w:spacing w:line="253" w:lineRule="auto"/>
              <w:rPr>
                <w:rFonts w:ascii="Arial"/>
                <w:sz w:val="21"/>
              </w:rPr>
            </w:pPr>
            <w:r/>
          </w:p>
          <w:p>
            <w:pPr>
              <w:pStyle w:val="TableText"/>
              <w:ind w:left="46"/>
              <w:spacing w:before="52" w:line="219" w:lineRule="auto"/>
              <w:rPr>
                <w:sz w:val="16"/>
                <w:szCs w:val="16"/>
              </w:rPr>
            </w:pPr>
            <w:r>
              <w:rPr>
                <w:sz w:val="16"/>
                <w:szCs w:val="16"/>
              </w:rPr>
              <w:t>中华人民其和国考古答外工作管显办法</w:t>
            </w:r>
          </w:p>
        </w:tc>
      </w:tr>
    </w:tbl>
    <w:p>
      <w:pPr>
        <w:pStyle w:val="BodyText"/>
        <w:rPr/>
      </w:pPr>
      <w:r/>
    </w:p>
    <w:p>
      <w:pPr>
        <w:sectPr>
          <w:pgSz w:w="11910" w:h="8220"/>
          <w:pgMar w:top="400" w:right="1175" w:bottom="400" w:left="821" w:header="0" w:footer="0" w:gutter="0"/>
        </w:sectPr>
        <w:rPr/>
      </w:pPr>
    </w:p>
    <w:p>
      <w:pPr>
        <w:spacing w:before="93"/>
        <w:rPr/>
      </w:pPr>
      <w:r>
        <mc:AlternateContent xmlns:mc="http://schemas.openxmlformats.org/markup-compatibility/2006">
          <mc:Choice Requires="wps">
            <w:drawing>
              <wp:anchor distT="0" distB="0" distL="0" distR="0" simplePos="0" relativeHeight="251913216"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342" name="TextBox 342"/>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4" style="position:absolute;margin-left:37.0402pt;margin-top:49.1374pt;mso-position-vertical-relative:page;mso-position-horizontal-relative:page;width:13.6pt;height:12.35pt;z-index:25191321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252</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77"/>
        <w:gridCol w:w="3701"/>
      </w:tblGrid>
      <w:tr>
        <w:trPr>
          <w:trHeight w:val="42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中史主骨部门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54"/>
              <w:spacing w:before="130" w:line="219" w:lineRule="auto"/>
              <w:rPr>
                <w:sz w:val="16"/>
                <w:szCs w:val="16"/>
              </w:rPr>
            </w:pPr>
            <w:r>
              <w:rPr>
                <w:sz w:val="16"/>
                <w:szCs w:val="16"/>
                <w:spacing w:val="-2"/>
              </w:rPr>
              <w:t>害施机等</w:t>
            </w:r>
          </w:p>
        </w:tc>
        <w:tc>
          <w:tcPr>
            <w:tcW w:w="3701" w:type="dxa"/>
            <w:vAlign w:val="top"/>
          </w:tcPr>
          <w:p>
            <w:pPr>
              <w:pStyle w:val="TableText"/>
              <w:ind w:left="1296"/>
              <w:spacing w:before="130" w:line="219" w:lineRule="auto"/>
              <w:rPr>
                <w:sz w:val="16"/>
                <w:szCs w:val="16"/>
              </w:rPr>
            </w:pPr>
            <w:r>
              <w:rPr>
                <w:sz w:val="16"/>
                <w:szCs w:val="16"/>
                <w:spacing w:val="-2"/>
              </w:rPr>
              <w:t>设定和实施依面</w:t>
            </w:r>
          </w:p>
        </w:tc>
      </w:tr>
      <w:tr>
        <w:trPr>
          <w:trHeight w:val="849" w:hRule="atLeast"/>
        </w:trPr>
        <w:tc>
          <w:tcPr>
            <w:tcW w:w="584" w:type="dxa"/>
            <w:vAlign w:val="top"/>
          </w:tcPr>
          <w:p>
            <w:pPr>
              <w:spacing w:line="333" w:lineRule="auto"/>
              <w:rPr>
                <w:rFonts w:ascii="Arial"/>
                <w:sz w:val="21"/>
              </w:rPr>
            </w:pPr>
            <w:r/>
          </w:p>
          <w:p>
            <w:pPr>
              <w:pStyle w:val="TableText"/>
              <w:ind w:left="164"/>
              <w:spacing w:before="52" w:line="183" w:lineRule="auto"/>
              <w:rPr>
                <w:sz w:val="16"/>
                <w:szCs w:val="16"/>
              </w:rPr>
            </w:pPr>
            <w:r>
              <w:rPr>
                <w:sz w:val="16"/>
                <w:szCs w:val="16"/>
                <w:spacing w:val="-2"/>
              </w:rPr>
              <w:t>854</w:t>
            </w:r>
          </w:p>
        </w:tc>
        <w:tc>
          <w:tcPr>
            <w:tcW w:w="1289" w:type="dxa"/>
            <w:vAlign w:val="top"/>
          </w:tcPr>
          <w:p>
            <w:pPr>
              <w:spacing w:line="293" w:lineRule="auto"/>
              <w:rPr>
                <w:rFonts w:ascii="Arial"/>
                <w:sz w:val="21"/>
              </w:rPr>
            </w:pPr>
            <w:r/>
          </w:p>
          <w:p>
            <w:pPr>
              <w:pStyle w:val="TableText"/>
              <w:ind w:left="390"/>
              <w:spacing w:before="52" w:line="221" w:lineRule="auto"/>
              <w:rPr>
                <w:sz w:val="16"/>
                <w:szCs w:val="16"/>
              </w:rPr>
            </w:pPr>
            <w:r>
              <w:rPr>
                <w:sz w:val="16"/>
                <w:szCs w:val="16"/>
                <w:spacing w:val="4"/>
              </w:rPr>
              <w:t>文销局</w:t>
            </w:r>
          </w:p>
        </w:tc>
        <w:tc>
          <w:tcPr>
            <w:tcW w:w="1648" w:type="dxa"/>
            <w:vAlign w:val="top"/>
          </w:tcPr>
          <w:p>
            <w:pPr>
              <w:pStyle w:val="TableText"/>
              <w:ind w:left="42" w:right="113" w:firstLine="89"/>
              <w:spacing w:before="46" w:line="228" w:lineRule="auto"/>
              <w:jc w:val="both"/>
              <w:rPr>
                <w:sz w:val="16"/>
                <w:szCs w:val="16"/>
              </w:rPr>
            </w:pPr>
            <w:r>
              <w:rPr>
                <w:sz w:val="16"/>
                <w:szCs w:val="16"/>
                <w:spacing w:val="1"/>
              </w:rPr>
              <w:t>并国公民.亚织和国</w:t>
            </w:r>
            <w:r>
              <w:rPr>
                <w:sz w:val="16"/>
                <w:szCs w:val="16"/>
                <w:spacing w:val="6"/>
              </w:rPr>
              <w:t xml:space="preserve"> </w:t>
            </w:r>
            <w:r>
              <w:rPr>
                <w:sz w:val="16"/>
                <w:szCs w:val="16"/>
                <w:spacing w:val="4"/>
              </w:rPr>
              <w:t>毒组机声能表并故的</w:t>
            </w:r>
            <w:r>
              <w:rPr>
                <w:sz w:val="16"/>
                <w:szCs w:val="16"/>
                <w:spacing w:val="5"/>
              </w:rPr>
              <w:t xml:space="preserve"> </w:t>
            </w:r>
            <w:r>
              <w:rPr>
                <w:sz w:val="16"/>
                <w:szCs w:val="16"/>
                <w:spacing w:val="4"/>
              </w:rPr>
              <w:t>文物点和考太发督现</w:t>
            </w:r>
            <w:r>
              <w:rPr>
                <w:sz w:val="16"/>
                <w:szCs w:val="16"/>
                <w:spacing w:val="5"/>
              </w:rPr>
              <w:t xml:space="preserve"> </w:t>
            </w:r>
            <w:r>
              <w:rPr>
                <w:sz w:val="16"/>
                <w:szCs w:val="16"/>
                <w:spacing w:val="-2"/>
              </w:rPr>
              <w:t>格审社</w:t>
            </w:r>
          </w:p>
        </w:tc>
        <w:tc>
          <w:tcPr>
            <w:tcW w:w="2377" w:type="dxa"/>
            <w:vAlign w:val="top"/>
          </w:tcPr>
          <w:p>
            <w:pPr>
              <w:spacing w:line="292" w:lineRule="auto"/>
              <w:rPr>
                <w:rFonts w:ascii="Arial"/>
                <w:sz w:val="21"/>
              </w:rPr>
            </w:pPr>
            <w:r/>
          </w:p>
          <w:p>
            <w:pPr>
              <w:pStyle w:val="TableText"/>
              <w:ind w:left="64"/>
              <w:spacing w:before="52" w:line="219" w:lineRule="auto"/>
              <w:rPr>
                <w:sz w:val="16"/>
                <w:szCs w:val="16"/>
              </w:rPr>
            </w:pPr>
            <w:r>
              <w:rPr>
                <w:sz w:val="16"/>
                <w:szCs w:val="16"/>
                <w:spacing w:val="2"/>
              </w:rPr>
              <w:t>者期支警部门</w:t>
            </w:r>
          </w:p>
        </w:tc>
        <w:tc>
          <w:tcPr>
            <w:tcW w:w="3701" w:type="dxa"/>
            <w:vAlign w:val="top"/>
          </w:tcPr>
          <w:p>
            <w:pPr>
              <w:spacing w:line="292" w:lineRule="auto"/>
              <w:rPr>
                <w:rFonts w:ascii="Arial"/>
                <w:sz w:val="21"/>
              </w:rPr>
            </w:pPr>
            <w:r/>
          </w:p>
          <w:p>
            <w:pPr>
              <w:pStyle w:val="TableText"/>
              <w:ind w:left="46"/>
              <w:spacing w:before="52" w:line="219" w:lineRule="auto"/>
              <w:rPr>
                <w:sz w:val="16"/>
                <w:szCs w:val="16"/>
              </w:rPr>
            </w:pPr>
            <w:r>
              <w:rPr>
                <w:sz w:val="16"/>
                <w:szCs w:val="16"/>
                <w:spacing w:val="-1"/>
              </w:rPr>
              <w:t>F中华人民并和据考古改外工作香理办法</w:t>
            </w:r>
          </w:p>
        </w:tc>
      </w:tr>
      <w:tr>
        <w:trPr>
          <w:trHeight w:val="429" w:hRule="atLeast"/>
        </w:trPr>
        <w:tc>
          <w:tcPr>
            <w:tcW w:w="584" w:type="dxa"/>
            <w:vAlign w:val="top"/>
          </w:tcPr>
          <w:p>
            <w:pPr>
              <w:pStyle w:val="TableText"/>
              <w:ind w:left="204"/>
              <w:spacing w:before="178" w:line="183" w:lineRule="auto"/>
              <w:rPr>
                <w:sz w:val="16"/>
                <w:szCs w:val="16"/>
              </w:rPr>
            </w:pPr>
            <w:r>
              <w:rPr>
                <w:sz w:val="16"/>
                <w:szCs w:val="16"/>
                <w:spacing w:val="-2"/>
              </w:rPr>
              <w:t>85</w:t>
            </w:r>
          </w:p>
        </w:tc>
        <w:tc>
          <w:tcPr>
            <w:tcW w:w="1289" w:type="dxa"/>
            <w:vAlign w:val="top"/>
          </w:tcPr>
          <w:p>
            <w:pPr>
              <w:pStyle w:val="TableText"/>
              <w:ind w:left="231"/>
              <w:spacing w:before="137" w:line="219" w:lineRule="auto"/>
              <w:rPr>
                <w:sz w:val="16"/>
                <w:szCs w:val="16"/>
              </w:rPr>
            </w:pPr>
            <w:r>
              <w:rPr>
                <w:sz w:val="16"/>
                <w:szCs w:val="16"/>
                <w:spacing w:val="2"/>
              </w:rPr>
              <w:t>属家文辆局</w:t>
            </w:r>
          </w:p>
        </w:tc>
        <w:tc>
          <w:tcPr>
            <w:tcW w:w="1648" w:type="dxa"/>
            <w:vAlign w:val="top"/>
          </w:tcPr>
          <w:p>
            <w:pPr>
              <w:pStyle w:val="TableText"/>
              <w:ind w:left="42" w:right="112" w:firstLine="50"/>
              <w:spacing w:before="37" w:line="220" w:lineRule="auto"/>
              <w:rPr>
                <w:sz w:val="16"/>
                <w:szCs w:val="16"/>
              </w:rPr>
            </w:pPr>
            <w:r>
              <w:rPr>
                <w:sz w:val="16"/>
                <w:szCs w:val="16"/>
                <w:spacing w:val="-1"/>
              </w:rPr>
              <w:t>雄外机检刺团体  指</w:t>
            </w:r>
            <w:r>
              <w:rPr>
                <w:sz w:val="16"/>
                <w:szCs w:val="16"/>
                <w:spacing w:val="2"/>
              </w:rPr>
              <w:t xml:space="preserve"> </w:t>
            </w:r>
            <w:r>
              <w:rPr>
                <w:sz w:val="16"/>
                <w:szCs w:val="16"/>
                <w:spacing w:val="-1"/>
              </w:rPr>
              <w:t>考古罗黑模场审剂</w:t>
            </w:r>
          </w:p>
        </w:tc>
        <w:tc>
          <w:tcPr>
            <w:tcW w:w="2377" w:type="dxa"/>
            <w:vAlign w:val="top"/>
          </w:tcPr>
          <w:p>
            <w:pPr>
              <w:pStyle w:val="TableText"/>
              <w:ind w:left="64"/>
              <w:spacing w:before="137" w:line="219" w:lineRule="auto"/>
              <w:rPr>
                <w:sz w:val="16"/>
                <w:szCs w:val="16"/>
              </w:rPr>
            </w:pPr>
            <w:r>
              <w:rPr>
                <w:sz w:val="16"/>
                <w:szCs w:val="16"/>
                <w:spacing w:val="2"/>
              </w:rPr>
              <w:t>首级支转部门</w:t>
            </w:r>
          </w:p>
        </w:tc>
        <w:tc>
          <w:tcPr>
            <w:tcW w:w="3701" w:type="dxa"/>
            <w:vAlign w:val="top"/>
          </w:tcPr>
          <w:p>
            <w:pPr>
              <w:pStyle w:val="TableText"/>
              <w:ind w:left="79" w:right="217" w:hanging="79"/>
              <w:spacing w:before="48" w:line="214" w:lineRule="auto"/>
              <w:rPr>
                <w:sz w:val="16"/>
                <w:szCs w:val="16"/>
              </w:rPr>
            </w:pPr>
            <w:r>
              <w:rPr>
                <w:sz w:val="16"/>
                <w:szCs w:val="16"/>
                <w:spacing w:val="-3"/>
              </w:rPr>
              <w:t>《国务院对确需保前的行收审批硬目设定存或许可</w:t>
            </w:r>
            <w:r>
              <w:rPr>
                <w:sz w:val="16"/>
                <w:szCs w:val="16"/>
                <w:spacing w:val="18"/>
              </w:rPr>
              <w:t xml:space="preserve"> </w:t>
            </w:r>
            <w:r>
              <w:rPr>
                <w:sz w:val="16"/>
                <w:szCs w:val="16"/>
                <w:spacing w:val="2"/>
              </w:rPr>
              <w:t>的识定1</w:t>
            </w:r>
          </w:p>
        </w:tc>
      </w:tr>
      <w:tr>
        <w:trPr>
          <w:trHeight w:val="439" w:hRule="atLeast"/>
        </w:trPr>
        <w:tc>
          <w:tcPr>
            <w:tcW w:w="584" w:type="dxa"/>
            <w:vAlign w:val="top"/>
          </w:tcPr>
          <w:p>
            <w:pPr>
              <w:pStyle w:val="TableText"/>
              <w:ind w:left="164"/>
              <w:spacing w:before="179" w:line="183" w:lineRule="auto"/>
              <w:rPr>
                <w:sz w:val="16"/>
                <w:szCs w:val="16"/>
              </w:rPr>
            </w:pPr>
            <w:r>
              <w:rPr>
                <w:sz w:val="16"/>
                <w:szCs w:val="16"/>
                <w:spacing w:val="-2"/>
              </w:rPr>
              <w:t>856</w:t>
            </w:r>
          </w:p>
        </w:tc>
        <w:tc>
          <w:tcPr>
            <w:tcW w:w="1289" w:type="dxa"/>
            <w:vAlign w:val="top"/>
          </w:tcPr>
          <w:p>
            <w:pPr>
              <w:pStyle w:val="TableText"/>
              <w:ind w:left="231"/>
              <w:spacing w:before="139" w:line="220" w:lineRule="auto"/>
              <w:rPr>
                <w:sz w:val="16"/>
                <w:szCs w:val="16"/>
              </w:rPr>
            </w:pPr>
            <w:r>
              <w:rPr>
                <w:sz w:val="16"/>
                <w:szCs w:val="16"/>
                <w:spacing w:val="2"/>
              </w:rPr>
              <w:t>国家主物局</w:t>
            </w:r>
          </w:p>
        </w:tc>
        <w:tc>
          <w:tcPr>
            <w:tcW w:w="1648" w:type="dxa"/>
            <w:vAlign w:val="top"/>
          </w:tcPr>
          <w:p>
            <w:pPr>
              <w:pStyle w:val="TableText"/>
              <w:ind w:left="62" w:right="112" w:firstLine="30"/>
              <w:spacing w:before="28" w:line="231" w:lineRule="auto"/>
              <w:rPr>
                <w:sz w:val="16"/>
                <w:szCs w:val="16"/>
              </w:rPr>
            </w:pPr>
            <w:r>
              <w:rPr>
                <w:sz w:val="16"/>
                <w:szCs w:val="16"/>
                <w:spacing w:val="-1"/>
              </w:rPr>
              <w:t>独外机构和便体加模</w:t>
            </w:r>
            <w:r>
              <w:rPr>
                <w:sz w:val="16"/>
                <w:szCs w:val="16"/>
                <w:spacing w:val="1"/>
              </w:rPr>
              <w:t xml:space="preserve"> </w:t>
            </w:r>
            <w:r>
              <w:rPr>
                <w:sz w:val="16"/>
                <w:szCs w:val="16"/>
                <w:spacing w:val="-5"/>
              </w:rPr>
              <w:t>交</w:t>
            </w:r>
            <w:r>
              <w:rPr>
                <w:sz w:val="16"/>
                <w:szCs w:val="16"/>
                <w:spacing w:val="3"/>
              </w:rPr>
              <w:t xml:space="preserve">  </w:t>
            </w:r>
            <w:r>
              <w:rPr>
                <w:sz w:val="16"/>
                <w:szCs w:val="16"/>
                <w:spacing w:val="-5"/>
              </w:rPr>
              <w:t>事能</w:t>
            </w:r>
          </w:p>
        </w:tc>
        <w:tc>
          <w:tcPr>
            <w:tcW w:w="2377" w:type="dxa"/>
            <w:vAlign w:val="top"/>
          </w:tcPr>
          <w:p>
            <w:pPr>
              <w:pStyle w:val="TableText"/>
              <w:ind w:left="64"/>
              <w:spacing w:before="138" w:line="219" w:lineRule="auto"/>
              <w:rPr>
                <w:sz w:val="16"/>
                <w:szCs w:val="16"/>
              </w:rPr>
            </w:pPr>
            <w:r>
              <w:rPr>
                <w:sz w:val="16"/>
                <w:szCs w:val="16"/>
                <w:spacing w:val="2"/>
              </w:rPr>
              <w:t>省驱全物前门</w:t>
            </w:r>
          </w:p>
        </w:tc>
        <w:tc>
          <w:tcPr>
            <w:tcW w:w="3701" w:type="dxa"/>
            <w:vAlign w:val="top"/>
          </w:tcPr>
          <w:p>
            <w:pPr>
              <w:pStyle w:val="TableText"/>
              <w:ind w:left="79" w:right="377" w:hanging="79"/>
              <w:spacing w:before="58" w:line="214" w:lineRule="auto"/>
              <w:rPr>
                <w:sz w:val="16"/>
                <w:szCs w:val="16"/>
              </w:rPr>
            </w:pPr>
            <w:r>
              <w:rPr>
                <w:sz w:val="16"/>
                <w:szCs w:val="16"/>
                <w:spacing w:val="-3"/>
              </w:rPr>
              <w:t>《国务院对晚高保前的行故审批更目设定行收许</w:t>
            </w:r>
            <w:r>
              <w:rPr>
                <w:sz w:val="16"/>
                <w:szCs w:val="16"/>
                <w:spacing w:val="15"/>
              </w:rPr>
              <w:t xml:space="preserve"> </w:t>
            </w:r>
            <w:r>
              <w:rPr>
                <w:sz w:val="16"/>
                <w:szCs w:val="16"/>
                <w:spacing w:val="2"/>
              </w:rPr>
              <w:t>的缺定1</w:t>
            </w:r>
          </w:p>
        </w:tc>
      </w:tr>
      <w:tr>
        <w:trPr>
          <w:trHeight w:val="649" w:hRule="atLeast"/>
        </w:trPr>
        <w:tc>
          <w:tcPr>
            <w:tcW w:w="584" w:type="dxa"/>
            <w:vAlign w:val="top"/>
          </w:tcPr>
          <w:p>
            <w:pPr>
              <w:pStyle w:val="TableText"/>
              <w:ind w:left="164"/>
              <w:spacing w:before="291" w:line="182" w:lineRule="auto"/>
              <w:rPr>
                <w:sz w:val="16"/>
                <w:szCs w:val="16"/>
              </w:rPr>
            </w:pPr>
            <w:r>
              <w:rPr>
                <w:sz w:val="16"/>
                <w:szCs w:val="16"/>
                <w:spacing w:val="-3"/>
              </w:rPr>
              <w:t>557</w:t>
            </w:r>
          </w:p>
        </w:tc>
        <w:tc>
          <w:tcPr>
            <w:tcW w:w="1289" w:type="dxa"/>
            <w:vAlign w:val="top"/>
          </w:tcPr>
          <w:p>
            <w:pPr>
              <w:pStyle w:val="TableText"/>
              <w:ind w:left="231"/>
              <w:spacing w:before="248" w:line="219" w:lineRule="auto"/>
              <w:rPr>
                <w:sz w:val="16"/>
                <w:szCs w:val="16"/>
              </w:rPr>
            </w:pPr>
            <w:r>
              <w:rPr>
                <w:sz w:val="16"/>
                <w:szCs w:val="16"/>
                <w:spacing w:val="1"/>
              </w:rPr>
              <w:t>国家文前府</w:t>
            </w:r>
          </w:p>
        </w:tc>
        <w:tc>
          <w:tcPr>
            <w:tcW w:w="1648" w:type="dxa"/>
            <w:vAlign w:val="top"/>
          </w:tcPr>
          <w:p>
            <w:pPr>
              <w:pStyle w:val="TableText"/>
              <w:ind w:left="62" w:right="112" w:firstLine="30"/>
              <w:spacing w:before="39" w:line="227" w:lineRule="auto"/>
              <w:jc w:val="both"/>
              <w:rPr>
                <w:sz w:val="16"/>
                <w:szCs w:val="16"/>
              </w:rPr>
            </w:pPr>
            <w:r>
              <w:rPr>
                <w:sz w:val="16"/>
                <w:szCs w:val="16"/>
                <w:spacing w:val="-1"/>
              </w:rPr>
              <w:t>非国有交物收康单位</w:t>
            </w:r>
            <w:r>
              <w:rPr>
                <w:sz w:val="16"/>
                <w:szCs w:val="16"/>
              </w:rPr>
              <w:t xml:space="preserve"> </w:t>
            </w:r>
            <w:r>
              <w:rPr>
                <w:sz w:val="16"/>
                <w:szCs w:val="16"/>
                <w:spacing w:val="2"/>
              </w:rPr>
              <w:t>和式他单位信用国有</w:t>
            </w:r>
            <w:r>
              <w:rPr>
                <w:sz w:val="16"/>
                <w:szCs w:val="16"/>
                <w:spacing w:val="4"/>
              </w:rPr>
              <w:t xml:space="preserve"> </w:t>
            </w:r>
            <w:r>
              <w:rPr>
                <w:sz w:val="16"/>
                <w:szCs w:val="16"/>
                <w:spacing w:val="-1"/>
              </w:rPr>
              <w:t>馆壹文物市批</w:t>
            </w:r>
          </w:p>
        </w:tc>
        <w:tc>
          <w:tcPr>
            <w:tcW w:w="2377" w:type="dxa"/>
            <w:vAlign w:val="top"/>
          </w:tcPr>
          <w:p>
            <w:pPr>
              <w:pStyle w:val="TableText"/>
              <w:ind w:left="64" w:firstLine="19"/>
              <w:spacing w:before="139" w:line="231" w:lineRule="auto"/>
              <w:rPr>
                <w:sz w:val="16"/>
                <w:szCs w:val="16"/>
              </w:rPr>
            </w:pPr>
            <w:r>
              <w:rPr>
                <w:sz w:val="16"/>
                <w:szCs w:val="16"/>
                <w:spacing w:val="-8"/>
              </w:rPr>
              <w:t>国家支勒品：答腹，设区的市酸。</w:t>
            </w:r>
            <w:r>
              <w:rPr>
                <w:sz w:val="16"/>
                <w:szCs w:val="16"/>
                <w:spacing w:val="2"/>
              </w:rPr>
              <w:t xml:space="preserve"> </w:t>
            </w:r>
            <w:r>
              <w:rPr>
                <w:sz w:val="16"/>
                <w:szCs w:val="16"/>
                <w:spacing w:val="-2"/>
              </w:rPr>
              <w:t>最烟文物部门</w:t>
            </w:r>
          </w:p>
        </w:tc>
        <w:tc>
          <w:tcPr>
            <w:tcW w:w="3701" w:type="dxa"/>
            <w:vAlign w:val="top"/>
          </w:tcPr>
          <w:p>
            <w:pPr>
              <w:pStyle w:val="TableText"/>
              <w:ind w:left="46"/>
              <w:spacing w:before="249" w:line="219" w:lineRule="auto"/>
              <w:rPr>
                <w:sz w:val="16"/>
                <w:szCs w:val="16"/>
              </w:rPr>
            </w:pPr>
            <w:r>
              <w:rPr>
                <w:sz w:val="16"/>
                <w:szCs w:val="16"/>
                <w:spacing w:val="2"/>
              </w:rPr>
              <w:t>E中争人民其和国文物保护盐)</w:t>
            </w:r>
          </w:p>
        </w:tc>
      </w:tr>
      <w:tr>
        <w:trPr>
          <w:trHeight w:val="429" w:hRule="atLeast"/>
        </w:trPr>
        <w:tc>
          <w:tcPr>
            <w:tcW w:w="584" w:type="dxa"/>
            <w:vAlign w:val="top"/>
          </w:tcPr>
          <w:p>
            <w:pPr>
              <w:pStyle w:val="TableText"/>
              <w:ind w:left="124"/>
              <w:spacing w:before="140" w:line="219" w:lineRule="auto"/>
              <w:rPr>
                <w:sz w:val="16"/>
                <w:szCs w:val="16"/>
              </w:rPr>
            </w:pPr>
            <w:r>
              <w:rPr>
                <w:sz w:val="16"/>
                <w:szCs w:val="16"/>
                <w:spacing w:val="10"/>
              </w:rPr>
              <w:t>28月</w:t>
            </w:r>
          </w:p>
        </w:tc>
        <w:tc>
          <w:tcPr>
            <w:tcW w:w="1289" w:type="dxa"/>
            <w:vAlign w:val="top"/>
          </w:tcPr>
          <w:p>
            <w:pPr>
              <w:pStyle w:val="TableText"/>
              <w:ind w:left="231"/>
              <w:spacing w:before="141" w:line="220" w:lineRule="auto"/>
              <w:rPr>
                <w:sz w:val="16"/>
                <w:szCs w:val="16"/>
              </w:rPr>
            </w:pPr>
            <w:r>
              <w:rPr>
                <w:sz w:val="16"/>
                <w:szCs w:val="16"/>
                <w:spacing w:val="2"/>
              </w:rPr>
              <w:t>国家文物局</w:t>
            </w:r>
          </w:p>
        </w:tc>
        <w:tc>
          <w:tcPr>
            <w:tcW w:w="1648" w:type="dxa"/>
            <w:vAlign w:val="top"/>
          </w:tcPr>
          <w:p>
            <w:pPr>
              <w:pStyle w:val="TableText"/>
              <w:ind w:left="62" w:right="99" w:firstLine="30"/>
              <w:spacing w:before="60" w:line="207" w:lineRule="auto"/>
              <w:rPr>
                <w:sz w:val="16"/>
                <w:szCs w:val="16"/>
              </w:rPr>
            </w:pPr>
            <w:r>
              <w:rPr>
                <w:sz w:val="16"/>
                <w:szCs w:val="16"/>
              </w:rPr>
              <w:t>国有文物收意单位交</w:t>
            </w:r>
            <w:r>
              <w:rPr>
                <w:sz w:val="16"/>
                <w:szCs w:val="16"/>
                <w:spacing w:val="5"/>
              </w:rPr>
              <w:t xml:space="preserve"> </w:t>
            </w:r>
            <w:r>
              <w:rPr>
                <w:sz w:val="16"/>
                <w:szCs w:val="16"/>
                <w:spacing w:val="-1"/>
              </w:rPr>
              <w:t>携馆盘文物建批</w:t>
            </w:r>
          </w:p>
        </w:tc>
        <w:tc>
          <w:tcPr>
            <w:tcW w:w="2377" w:type="dxa"/>
            <w:vAlign w:val="top"/>
          </w:tcPr>
          <w:p>
            <w:pPr>
              <w:pStyle w:val="TableText"/>
              <w:ind w:left="64"/>
              <w:spacing w:before="140" w:line="219" w:lineRule="auto"/>
              <w:rPr>
                <w:sz w:val="16"/>
                <w:szCs w:val="16"/>
              </w:rPr>
            </w:pPr>
            <w:r>
              <w:rPr>
                <w:sz w:val="16"/>
                <w:szCs w:val="16"/>
                <w:spacing w:val="2"/>
              </w:rPr>
              <w:t>省级支物部门</w:t>
            </w:r>
          </w:p>
        </w:tc>
        <w:tc>
          <w:tcPr>
            <w:tcW w:w="3701" w:type="dxa"/>
            <w:vAlign w:val="top"/>
          </w:tcPr>
          <w:p>
            <w:pPr>
              <w:pStyle w:val="TableText"/>
              <w:ind w:left="46"/>
              <w:spacing w:before="140" w:line="219" w:lineRule="auto"/>
              <w:rPr>
                <w:sz w:val="16"/>
                <w:szCs w:val="16"/>
              </w:rPr>
            </w:pPr>
            <w:r>
              <w:rPr>
                <w:sz w:val="16"/>
                <w:szCs w:val="16"/>
                <w:spacing w:val="5"/>
              </w:rPr>
              <w:t>C中华人民共和国文购保护法】</w:t>
            </w:r>
          </w:p>
        </w:tc>
      </w:tr>
      <w:tr>
        <w:trPr>
          <w:trHeight w:val="440" w:hRule="atLeast"/>
        </w:trPr>
        <w:tc>
          <w:tcPr>
            <w:tcW w:w="584" w:type="dxa"/>
            <w:vAlign w:val="top"/>
          </w:tcPr>
          <w:p>
            <w:pPr>
              <w:pStyle w:val="TableText"/>
              <w:ind w:left="164"/>
              <w:spacing w:before="162" w:line="183" w:lineRule="auto"/>
              <w:rPr>
                <w:sz w:val="16"/>
                <w:szCs w:val="16"/>
              </w:rPr>
            </w:pPr>
            <w:r>
              <w:rPr>
                <w:sz w:val="16"/>
                <w:szCs w:val="16"/>
                <w:spacing w:val="-2"/>
              </w:rPr>
              <w:t>86y</w:t>
            </w:r>
          </w:p>
        </w:tc>
        <w:tc>
          <w:tcPr>
            <w:tcW w:w="1289" w:type="dxa"/>
            <w:vAlign w:val="top"/>
          </w:tcPr>
          <w:p>
            <w:pPr>
              <w:pStyle w:val="TableText"/>
              <w:ind w:left="231"/>
              <w:spacing w:before="142" w:line="220" w:lineRule="auto"/>
              <w:rPr>
                <w:sz w:val="16"/>
                <w:szCs w:val="16"/>
              </w:rPr>
            </w:pPr>
            <w:r>
              <w:rPr>
                <w:sz w:val="16"/>
                <w:szCs w:val="16"/>
                <w:spacing w:val="2"/>
              </w:rPr>
              <w:t>区家文物局</w:t>
            </w:r>
          </w:p>
        </w:tc>
        <w:tc>
          <w:tcPr>
            <w:tcW w:w="1648" w:type="dxa"/>
            <w:vAlign w:val="top"/>
          </w:tcPr>
          <w:p>
            <w:pPr>
              <w:pStyle w:val="TableText"/>
              <w:ind w:left="62" w:right="111" w:firstLine="30"/>
              <w:spacing w:before="52" w:line="218" w:lineRule="auto"/>
              <w:rPr>
                <w:sz w:val="16"/>
                <w:szCs w:val="16"/>
              </w:rPr>
            </w:pPr>
            <w:r>
              <w:rPr>
                <w:sz w:val="16"/>
                <w:szCs w:val="16"/>
                <w:spacing w:val="-1"/>
              </w:rPr>
              <w:t>馆重文物也复、复制</w:t>
            </w:r>
            <w:r>
              <w:rPr>
                <w:sz w:val="16"/>
                <w:szCs w:val="16"/>
                <w:spacing w:val="2"/>
              </w:rPr>
              <w:t xml:space="preserve"> </w:t>
            </w:r>
            <w:r>
              <w:rPr>
                <w:sz w:val="16"/>
                <w:szCs w:val="16"/>
                <w:spacing w:val="-2"/>
              </w:rPr>
              <w:t>拓印餐量许可</w:t>
            </w:r>
          </w:p>
        </w:tc>
        <w:tc>
          <w:tcPr>
            <w:tcW w:w="2377" w:type="dxa"/>
            <w:vAlign w:val="top"/>
          </w:tcPr>
          <w:p>
            <w:pPr>
              <w:pStyle w:val="TableText"/>
              <w:ind w:left="64"/>
              <w:spacing w:before="141" w:line="219" w:lineRule="auto"/>
              <w:rPr>
                <w:sz w:val="16"/>
                <w:szCs w:val="16"/>
              </w:rPr>
            </w:pPr>
            <w:r>
              <w:rPr>
                <w:sz w:val="16"/>
                <w:szCs w:val="16"/>
                <w:spacing w:val="2"/>
              </w:rPr>
              <w:t>省谢文物郁门</w:t>
            </w:r>
          </w:p>
        </w:tc>
        <w:tc>
          <w:tcPr>
            <w:tcW w:w="3701" w:type="dxa"/>
            <w:vAlign w:val="top"/>
          </w:tcPr>
          <w:p>
            <w:pPr>
              <w:pStyle w:val="TableText"/>
              <w:spacing w:before="141" w:line="219" w:lineRule="auto"/>
              <w:rPr>
                <w:sz w:val="16"/>
                <w:szCs w:val="16"/>
              </w:rPr>
            </w:pPr>
            <w:r>
              <w:rPr>
                <w:sz w:val="16"/>
                <w:szCs w:val="16"/>
                <w:spacing w:val="-2"/>
              </w:rPr>
              <w:t>《中华人民共和国文物保护法实连条间)</w:t>
            </w:r>
          </w:p>
        </w:tc>
      </w:tr>
      <w:tr>
        <w:trPr>
          <w:trHeight w:val="429" w:hRule="atLeast"/>
        </w:trPr>
        <w:tc>
          <w:tcPr>
            <w:tcW w:w="584" w:type="dxa"/>
            <w:vAlign w:val="top"/>
          </w:tcPr>
          <w:p>
            <w:pPr>
              <w:pStyle w:val="TableText"/>
              <w:ind w:left="164"/>
              <w:spacing w:before="157"/>
              <w:rPr>
                <w:sz w:val="16"/>
                <w:szCs w:val="16"/>
              </w:rPr>
            </w:pPr>
            <w:r>
              <w:rPr>
                <w:sz w:val="16"/>
                <w:szCs w:val="16"/>
                <w:spacing w:val="-2"/>
              </w:rPr>
              <w:t>87h</w:t>
            </w:r>
          </w:p>
        </w:tc>
        <w:tc>
          <w:tcPr>
            <w:tcW w:w="1289" w:type="dxa"/>
            <w:vAlign w:val="top"/>
          </w:tcPr>
          <w:p>
            <w:pPr>
              <w:pStyle w:val="TableText"/>
              <w:ind w:left="231"/>
              <w:spacing w:before="140" w:line="219" w:lineRule="auto"/>
              <w:rPr>
                <w:sz w:val="16"/>
                <w:szCs w:val="16"/>
              </w:rPr>
            </w:pPr>
            <w:r>
              <w:rPr>
                <w:sz w:val="16"/>
                <w:szCs w:val="16"/>
                <w:spacing w:val="1"/>
              </w:rPr>
              <w:t>国家文钢府</w:t>
            </w:r>
          </w:p>
        </w:tc>
        <w:tc>
          <w:tcPr>
            <w:tcW w:w="1648" w:type="dxa"/>
            <w:vAlign w:val="top"/>
          </w:tcPr>
          <w:p>
            <w:pPr>
              <w:pStyle w:val="TableText"/>
              <w:ind w:left="81" w:hanging="29"/>
              <w:spacing w:before="70" w:line="201" w:lineRule="auto"/>
              <w:rPr>
                <w:sz w:val="16"/>
                <w:szCs w:val="16"/>
              </w:rPr>
            </w:pPr>
            <w:r>
              <w:rPr>
                <w:sz w:val="16"/>
                <w:szCs w:val="16"/>
                <w:spacing w:val="-2"/>
              </w:rPr>
              <w:t>宿做文勒懂复，复累，</w:t>
            </w:r>
            <w:r>
              <w:rPr>
                <w:sz w:val="16"/>
                <w:szCs w:val="16"/>
                <w:spacing w:val="4"/>
              </w:rPr>
              <w:t xml:space="preserve"> </w:t>
            </w:r>
            <w:r>
              <w:rPr>
                <w:sz w:val="16"/>
                <w:szCs w:val="16"/>
                <w:spacing w:val="4"/>
              </w:rPr>
              <w:t>拓印许司</w:t>
            </w:r>
          </w:p>
        </w:tc>
        <w:tc>
          <w:tcPr>
            <w:tcW w:w="2377" w:type="dxa"/>
            <w:vAlign w:val="top"/>
          </w:tcPr>
          <w:p>
            <w:pPr>
              <w:pStyle w:val="TableText"/>
              <w:ind w:left="64"/>
              <w:spacing w:before="141" w:line="219" w:lineRule="auto"/>
              <w:rPr>
                <w:sz w:val="16"/>
                <w:szCs w:val="16"/>
              </w:rPr>
            </w:pPr>
            <w:r>
              <w:rPr>
                <w:sz w:val="16"/>
                <w:szCs w:val="16"/>
                <w:spacing w:val="1"/>
              </w:rPr>
              <w:t>国家文物局；省级文制常门</w:t>
            </w:r>
          </w:p>
        </w:tc>
        <w:tc>
          <w:tcPr>
            <w:tcW w:w="3701" w:type="dxa"/>
            <w:vAlign w:val="top"/>
          </w:tcPr>
          <w:p>
            <w:pPr>
              <w:pStyle w:val="TableText"/>
              <w:ind w:left="46"/>
              <w:spacing w:before="140" w:line="219" w:lineRule="auto"/>
              <w:rPr>
                <w:sz w:val="16"/>
                <w:szCs w:val="16"/>
              </w:rPr>
            </w:pPr>
            <w:r>
              <w:rPr>
                <w:sz w:val="16"/>
                <w:szCs w:val="16"/>
                <w:spacing w:val="-1"/>
              </w:rPr>
              <w:t>T中华人民共和国文物保护法实或条偶</w:t>
            </w:r>
          </w:p>
        </w:tc>
      </w:tr>
      <w:tr>
        <w:trPr>
          <w:trHeight w:val="449" w:hRule="atLeast"/>
        </w:trPr>
        <w:tc>
          <w:tcPr>
            <w:tcW w:w="584" w:type="dxa"/>
            <w:vAlign w:val="top"/>
          </w:tcPr>
          <w:p>
            <w:pPr>
              <w:pStyle w:val="TableText"/>
              <w:ind w:left="204"/>
              <w:spacing w:before="193" w:line="184" w:lineRule="auto"/>
              <w:rPr>
                <w:sz w:val="16"/>
                <w:szCs w:val="16"/>
              </w:rPr>
            </w:pPr>
            <w:r>
              <w:rPr>
                <w:sz w:val="16"/>
                <w:szCs w:val="16"/>
                <w:spacing w:val="-2"/>
              </w:rPr>
              <w:t>R1</w:t>
            </w:r>
          </w:p>
        </w:tc>
        <w:tc>
          <w:tcPr>
            <w:tcW w:w="1289" w:type="dxa"/>
            <w:vAlign w:val="top"/>
          </w:tcPr>
          <w:p>
            <w:pPr>
              <w:pStyle w:val="TableText"/>
              <w:ind w:left="231"/>
              <w:spacing w:before="153" w:line="220" w:lineRule="auto"/>
              <w:rPr>
                <w:sz w:val="16"/>
                <w:szCs w:val="16"/>
              </w:rPr>
            </w:pPr>
            <w:r>
              <w:rPr>
                <w:sz w:val="16"/>
                <w:szCs w:val="16"/>
                <w:spacing w:val="1"/>
              </w:rPr>
              <w:t>匡家文物前</w:t>
            </w:r>
          </w:p>
        </w:tc>
        <w:tc>
          <w:tcPr>
            <w:tcW w:w="1648" w:type="dxa"/>
            <w:vAlign w:val="top"/>
          </w:tcPr>
          <w:p>
            <w:pPr>
              <w:pStyle w:val="TableText"/>
              <w:ind w:left="92"/>
              <w:spacing w:before="152" w:line="219" w:lineRule="auto"/>
              <w:rPr>
                <w:sz w:val="16"/>
                <w:szCs w:val="16"/>
              </w:rPr>
            </w:pPr>
            <w:r>
              <w:rPr>
                <w:sz w:val="16"/>
                <w:szCs w:val="16"/>
                <w:spacing w:val="-1"/>
              </w:rPr>
              <w:t>博物的践总取样事批</w:t>
            </w:r>
          </w:p>
        </w:tc>
        <w:tc>
          <w:tcPr>
            <w:tcW w:w="2377" w:type="dxa"/>
            <w:vAlign w:val="top"/>
          </w:tcPr>
          <w:p>
            <w:pPr>
              <w:pStyle w:val="TableText"/>
              <w:ind w:left="64"/>
              <w:spacing w:before="152" w:line="219" w:lineRule="auto"/>
              <w:rPr>
                <w:sz w:val="16"/>
                <w:szCs w:val="16"/>
              </w:rPr>
            </w:pPr>
            <w:r>
              <w:rPr>
                <w:sz w:val="16"/>
                <w:szCs w:val="16"/>
                <w:spacing w:val="1"/>
              </w:rPr>
              <w:t>国家文物局；省试文物部门</w:t>
            </w:r>
          </w:p>
        </w:tc>
        <w:tc>
          <w:tcPr>
            <w:tcW w:w="3701" w:type="dxa"/>
            <w:vAlign w:val="top"/>
          </w:tcPr>
          <w:p>
            <w:pPr>
              <w:pStyle w:val="TableText"/>
              <w:ind w:left="88" w:right="227" w:hanging="88"/>
              <w:spacing w:before="42" w:line="229" w:lineRule="auto"/>
              <w:rPr>
                <w:sz w:val="16"/>
                <w:szCs w:val="16"/>
              </w:rPr>
            </w:pPr>
            <w:r>
              <w:rPr>
                <w:sz w:val="16"/>
                <w:szCs w:val="16"/>
                <w:spacing w:val="-3"/>
              </w:rPr>
              <w:t>《国务院对确前保所的行收市批项日设定行改许可</w:t>
            </w:r>
            <w:r>
              <w:rPr>
                <w:sz w:val="16"/>
                <w:szCs w:val="16"/>
                <w:spacing w:val="8"/>
              </w:rPr>
              <w:t xml:space="preserve"> </w:t>
            </w:r>
            <w:r>
              <w:rPr>
                <w:sz w:val="16"/>
                <w:szCs w:val="16"/>
                <w:spacing w:val="18"/>
              </w:rPr>
              <w:t>的决定】</w:t>
            </w:r>
          </w:p>
        </w:tc>
      </w:tr>
      <w:tr>
        <w:trPr>
          <w:trHeight w:val="629" w:hRule="atLeast"/>
        </w:trPr>
        <w:tc>
          <w:tcPr>
            <w:tcW w:w="584" w:type="dxa"/>
            <w:vAlign w:val="top"/>
          </w:tcPr>
          <w:p>
            <w:pPr>
              <w:pStyle w:val="TableText"/>
              <w:ind w:left="164"/>
              <w:spacing w:before="284" w:line="183" w:lineRule="auto"/>
              <w:rPr>
                <w:sz w:val="16"/>
                <w:szCs w:val="16"/>
              </w:rPr>
            </w:pPr>
            <w:r>
              <w:rPr>
                <w:sz w:val="16"/>
                <w:szCs w:val="16"/>
                <w:spacing w:val="-3"/>
              </w:rPr>
              <w:t>572</w:t>
            </w:r>
          </w:p>
        </w:tc>
        <w:tc>
          <w:tcPr>
            <w:tcW w:w="1289" w:type="dxa"/>
            <w:vAlign w:val="top"/>
          </w:tcPr>
          <w:p>
            <w:pPr>
              <w:pStyle w:val="TableText"/>
              <w:ind w:left="231"/>
              <w:spacing w:before="244" w:line="220" w:lineRule="auto"/>
              <w:rPr>
                <w:sz w:val="16"/>
                <w:szCs w:val="16"/>
              </w:rPr>
            </w:pPr>
            <w:r>
              <w:rPr>
                <w:sz w:val="16"/>
                <w:szCs w:val="16"/>
                <w:spacing w:val="2"/>
              </w:rPr>
              <w:t>国家文物局</w:t>
            </w:r>
          </w:p>
        </w:tc>
        <w:tc>
          <w:tcPr>
            <w:tcW w:w="1648" w:type="dxa"/>
            <w:vAlign w:val="top"/>
          </w:tcPr>
          <w:p>
            <w:pPr>
              <w:pStyle w:val="TableText"/>
              <w:ind w:left="92" w:right="112"/>
              <w:spacing w:before="72" w:line="210" w:lineRule="auto"/>
              <w:jc w:val="both"/>
              <w:rPr>
                <w:sz w:val="16"/>
                <w:szCs w:val="16"/>
              </w:rPr>
            </w:pPr>
            <w:r>
              <w:rPr>
                <w:sz w:val="16"/>
                <w:szCs w:val="16"/>
                <w:spacing w:val="-1"/>
              </w:rPr>
              <w:t>测动官处印不体人金</w:t>
            </w:r>
            <w:r>
              <w:rPr>
                <w:sz w:val="16"/>
                <w:szCs w:val="16"/>
                <w:spacing w:val="1"/>
              </w:rPr>
              <w:t xml:space="preserve"> </w:t>
            </w:r>
            <w:r>
              <w:rPr>
                <w:sz w:val="16"/>
                <w:szCs w:val="16"/>
                <w:spacing w:val="-1"/>
              </w:rPr>
              <w:t>标准，无保弃份值的</w:t>
            </w:r>
            <w:r>
              <w:rPr>
                <w:sz w:val="16"/>
                <w:szCs w:val="16"/>
                <w:spacing w:val="1"/>
              </w:rPr>
              <w:t xml:space="preserve"> </w:t>
            </w:r>
            <w:r>
              <w:rPr>
                <w:sz w:val="16"/>
                <w:szCs w:val="16"/>
                <w:spacing w:val="-2"/>
              </w:rPr>
              <w:t>交物表校本甲批</w:t>
            </w:r>
          </w:p>
        </w:tc>
        <w:tc>
          <w:tcPr>
            <w:tcW w:w="2377" w:type="dxa"/>
            <w:vAlign w:val="top"/>
          </w:tcPr>
          <w:p>
            <w:pPr>
              <w:pStyle w:val="TableText"/>
              <w:ind w:left="64" w:right="53"/>
              <w:spacing w:before="142" w:line="235" w:lineRule="auto"/>
              <w:rPr>
                <w:sz w:val="16"/>
                <w:szCs w:val="16"/>
              </w:rPr>
            </w:pPr>
            <w:r>
              <w:rPr>
                <w:sz w:val="16"/>
                <w:szCs w:val="16"/>
              </w:rPr>
              <w:t>吉级、设区的商级、县级文物剂</w:t>
            </w:r>
            <w:r>
              <w:rPr>
                <w:sz w:val="16"/>
                <w:szCs w:val="16"/>
                <w:spacing w:val="8"/>
              </w:rPr>
              <w:t xml:space="preserve"> </w:t>
            </w:r>
            <w:r>
              <w:rPr>
                <w:sz w:val="16"/>
                <w:szCs w:val="16"/>
              </w:rPr>
              <w:t>门</w:t>
            </w:r>
          </w:p>
        </w:tc>
        <w:tc>
          <w:tcPr>
            <w:tcW w:w="3701" w:type="dxa"/>
            <w:vAlign w:val="top"/>
          </w:tcPr>
          <w:p>
            <w:pPr>
              <w:pStyle w:val="TableText"/>
              <w:ind w:left="46" w:right="117" w:hanging="10"/>
              <w:spacing w:before="132" w:line="237" w:lineRule="auto"/>
              <w:rPr>
                <w:sz w:val="16"/>
                <w:szCs w:val="16"/>
              </w:rPr>
            </w:pPr>
            <w:r>
              <w:rPr>
                <w:sz w:val="16"/>
                <w:szCs w:val="16"/>
              </w:rPr>
              <w:t>化国齐能对确需保前的行政审批须日设定行欢许国</w:t>
            </w:r>
            <w:r>
              <w:rPr>
                <w:sz w:val="16"/>
                <w:szCs w:val="16"/>
                <w:spacing w:val="15"/>
              </w:rPr>
              <w:t xml:space="preserve"> </w:t>
            </w:r>
            <w:r>
              <w:rPr>
                <w:sz w:val="16"/>
                <w:szCs w:val="16"/>
                <w:spacing w:val="4"/>
              </w:rPr>
              <w:t>的次定1</w:t>
            </w:r>
          </w:p>
        </w:tc>
      </w:tr>
      <w:tr>
        <w:trPr>
          <w:trHeight w:val="240" w:hRule="atLeast"/>
        </w:trPr>
        <w:tc>
          <w:tcPr>
            <w:tcW w:w="584" w:type="dxa"/>
            <w:vAlign w:val="top"/>
          </w:tcPr>
          <w:p>
            <w:pPr>
              <w:pStyle w:val="TableText"/>
              <w:ind w:left="164"/>
              <w:spacing w:before="85" w:line="167" w:lineRule="auto"/>
              <w:rPr>
                <w:sz w:val="16"/>
                <w:szCs w:val="16"/>
              </w:rPr>
            </w:pPr>
            <w:r>
              <w:rPr>
                <w:sz w:val="16"/>
                <w:szCs w:val="16"/>
                <w:spacing w:val="-2"/>
              </w:rPr>
              <w:t>821</w:t>
            </w:r>
          </w:p>
        </w:tc>
        <w:tc>
          <w:tcPr>
            <w:tcW w:w="1289" w:type="dxa"/>
            <w:vAlign w:val="top"/>
          </w:tcPr>
          <w:p>
            <w:pPr>
              <w:pStyle w:val="TableText"/>
              <w:ind w:left="231"/>
              <w:spacing w:before="45" w:line="213" w:lineRule="auto"/>
              <w:rPr>
                <w:sz w:val="16"/>
                <w:szCs w:val="16"/>
              </w:rPr>
            </w:pPr>
            <w:r>
              <w:rPr>
                <w:sz w:val="16"/>
                <w:szCs w:val="16"/>
                <w:spacing w:val="2"/>
              </w:rPr>
              <w:t>国室文期局</w:t>
            </w:r>
          </w:p>
        </w:tc>
        <w:tc>
          <w:tcPr>
            <w:tcW w:w="1648" w:type="dxa"/>
            <w:vAlign w:val="top"/>
          </w:tcPr>
          <w:p>
            <w:pPr>
              <w:pStyle w:val="TableText"/>
              <w:ind w:left="92"/>
              <w:spacing w:before="45" w:line="213" w:lineRule="auto"/>
              <w:rPr>
                <w:sz w:val="16"/>
                <w:szCs w:val="16"/>
              </w:rPr>
            </w:pPr>
            <w:r>
              <w:rPr>
                <w:sz w:val="16"/>
                <w:szCs w:val="16"/>
                <w:spacing w:val="-1"/>
              </w:rPr>
              <w:t>文物商居就文审批</w:t>
            </w:r>
          </w:p>
        </w:tc>
        <w:tc>
          <w:tcPr>
            <w:tcW w:w="2377" w:type="dxa"/>
            <w:vAlign w:val="top"/>
          </w:tcPr>
          <w:p>
            <w:pPr>
              <w:pStyle w:val="TableText"/>
              <w:ind w:left="64"/>
              <w:spacing w:before="44" w:line="214" w:lineRule="auto"/>
              <w:rPr>
                <w:sz w:val="16"/>
                <w:szCs w:val="16"/>
              </w:rPr>
            </w:pPr>
            <w:r>
              <w:rPr>
                <w:sz w:val="16"/>
                <w:szCs w:val="16"/>
                <w:spacing w:val="2"/>
              </w:rPr>
              <w:t>省煜立物都门</w:t>
            </w:r>
          </w:p>
        </w:tc>
        <w:tc>
          <w:tcPr>
            <w:tcW w:w="3701" w:type="dxa"/>
            <w:vAlign w:val="top"/>
          </w:tcPr>
          <w:p>
            <w:pPr>
              <w:pStyle w:val="TableText"/>
              <w:spacing w:before="43" w:line="215" w:lineRule="auto"/>
              <w:rPr>
                <w:sz w:val="16"/>
                <w:szCs w:val="16"/>
              </w:rPr>
            </w:pPr>
            <w:r>
              <w:rPr>
                <w:sz w:val="16"/>
                <w:szCs w:val="16"/>
                <w:spacing w:val="-4"/>
              </w:rPr>
              <w:t>《中作人民其和国文精保护法</w:t>
            </w:r>
          </w:p>
        </w:tc>
      </w:tr>
      <w:tr>
        <w:trPr>
          <w:trHeight w:val="439" w:hRule="atLeast"/>
        </w:trPr>
        <w:tc>
          <w:tcPr>
            <w:tcW w:w="584" w:type="dxa"/>
            <w:vAlign w:val="top"/>
          </w:tcPr>
          <w:p>
            <w:pPr>
              <w:pStyle w:val="TableText"/>
              <w:ind w:left="164"/>
              <w:spacing w:before="185" w:line="183" w:lineRule="auto"/>
              <w:rPr>
                <w:sz w:val="16"/>
                <w:szCs w:val="16"/>
              </w:rPr>
            </w:pPr>
            <w:r>
              <w:rPr>
                <w:sz w:val="16"/>
                <w:szCs w:val="16"/>
                <w:spacing w:val="-2"/>
              </w:rPr>
              <w:t>874</w:t>
            </w:r>
          </w:p>
        </w:tc>
        <w:tc>
          <w:tcPr>
            <w:tcW w:w="1289" w:type="dxa"/>
            <w:vAlign w:val="top"/>
          </w:tcPr>
          <w:p>
            <w:pPr>
              <w:pStyle w:val="TableText"/>
              <w:ind w:left="231"/>
              <w:spacing w:before="145" w:line="220" w:lineRule="auto"/>
              <w:rPr>
                <w:sz w:val="16"/>
                <w:szCs w:val="16"/>
              </w:rPr>
            </w:pPr>
            <w:r>
              <w:rPr>
                <w:sz w:val="16"/>
                <w:szCs w:val="16"/>
                <w:spacing w:val="2"/>
              </w:rPr>
              <w:t>国家文幽局</w:t>
            </w:r>
          </w:p>
        </w:tc>
        <w:tc>
          <w:tcPr>
            <w:tcW w:w="1648" w:type="dxa"/>
            <w:vAlign w:val="top"/>
          </w:tcPr>
          <w:p>
            <w:pPr>
              <w:pStyle w:val="TableText"/>
              <w:ind w:left="62"/>
              <w:spacing w:before="144" w:line="219" w:lineRule="auto"/>
              <w:rPr>
                <w:sz w:val="16"/>
                <w:szCs w:val="16"/>
              </w:rPr>
            </w:pPr>
            <w:r>
              <w:rPr>
                <w:sz w:val="16"/>
                <w:szCs w:val="16"/>
                <w:spacing w:val="1"/>
              </w:rPr>
              <w:t>文临怡实是营许句</w:t>
            </w:r>
          </w:p>
        </w:tc>
        <w:tc>
          <w:tcPr>
            <w:tcW w:w="2377" w:type="dxa"/>
            <w:vAlign w:val="top"/>
          </w:tcPr>
          <w:p>
            <w:pPr>
              <w:pStyle w:val="TableText"/>
              <w:ind w:left="64"/>
              <w:spacing w:before="144" w:line="219" w:lineRule="auto"/>
              <w:rPr>
                <w:sz w:val="16"/>
                <w:szCs w:val="16"/>
              </w:rPr>
            </w:pPr>
            <w:r>
              <w:rPr>
                <w:sz w:val="16"/>
                <w:szCs w:val="16"/>
                <w:spacing w:val="2"/>
              </w:rPr>
              <w:t>省维立物部/门</w:t>
            </w:r>
          </w:p>
        </w:tc>
        <w:tc>
          <w:tcPr>
            <w:tcW w:w="3701" w:type="dxa"/>
            <w:vAlign w:val="top"/>
          </w:tcPr>
          <w:p>
            <w:pPr>
              <w:pStyle w:val="TableText"/>
              <w:spacing w:before="55" w:line="220" w:lineRule="auto"/>
              <w:rPr>
                <w:sz w:val="16"/>
                <w:szCs w:val="16"/>
              </w:rPr>
            </w:pPr>
            <w:r>
              <w:rPr>
                <w:sz w:val="16"/>
                <w:szCs w:val="16"/>
                <w:spacing w:val="3"/>
              </w:rPr>
              <w:t>《中华人艳找和国文物保护法；</w:t>
            </w:r>
          </w:p>
          <w:p>
            <w:pPr>
              <w:pStyle w:val="TableText"/>
              <w:spacing w:before="18" w:line="190" w:lineRule="auto"/>
              <w:rPr>
                <w:sz w:val="16"/>
                <w:szCs w:val="16"/>
              </w:rPr>
            </w:pPr>
            <w:r>
              <w:rPr>
                <w:sz w:val="16"/>
                <w:szCs w:val="16"/>
                <w:spacing w:val="-3"/>
              </w:rPr>
              <w:t>《中华人民共和国文物保护法实些务例</w:t>
            </w:r>
          </w:p>
        </w:tc>
      </w:tr>
      <w:tr>
        <w:trPr>
          <w:trHeight w:val="439" w:hRule="atLeast"/>
        </w:trPr>
        <w:tc>
          <w:tcPr>
            <w:tcW w:w="584" w:type="dxa"/>
            <w:vAlign w:val="top"/>
          </w:tcPr>
          <w:p>
            <w:pPr>
              <w:pStyle w:val="TableText"/>
              <w:ind w:left="164"/>
              <w:spacing w:before="186" w:line="183" w:lineRule="auto"/>
              <w:rPr>
                <w:sz w:val="16"/>
                <w:szCs w:val="16"/>
              </w:rPr>
            </w:pPr>
            <w:r>
              <w:rPr>
                <w:sz w:val="16"/>
                <w:szCs w:val="16"/>
                <w:spacing w:val="-2"/>
              </w:rPr>
              <w:t>875</w:t>
            </w:r>
          </w:p>
        </w:tc>
        <w:tc>
          <w:tcPr>
            <w:tcW w:w="1289" w:type="dxa"/>
            <w:vAlign w:val="top"/>
          </w:tcPr>
          <w:p>
            <w:pPr>
              <w:pStyle w:val="TableText"/>
              <w:ind w:left="231"/>
              <w:spacing w:before="145" w:line="219" w:lineRule="auto"/>
              <w:rPr>
                <w:sz w:val="16"/>
                <w:szCs w:val="16"/>
              </w:rPr>
            </w:pPr>
            <w:r>
              <w:rPr>
                <w:sz w:val="16"/>
                <w:szCs w:val="16"/>
                <w:spacing w:val="2"/>
              </w:rPr>
              <w:t>国家文紫局</w:t>
            </w:r>
          </w:p>
        </w:tc>
        <w:tc>
          <w:tcPr>
            <w:tcW w:w="1648" w:type="dxa"/>
            <w:vAlign w:val="top"/>
          </w:tcPr>
          <w:p>
            <w:pPr>
              <w:pStyle w:val="TableText"/>
              <w:ind w:left="42"/>
              <w:spacing w:before="145" w:line="219" w:lineRule="auto"/>
              <w:rPr>
                <w:sz w:val="16"/>
                <w:szCs w:val="16"/>
              </w:rPr>
            </w:pPr>
            <w:r>
              <w:rPr>
                <w:sz w:val="16"/>
                <w:szCs w:val="16"/>
                <w:spacing w:val="-1"/>
              </w:rPr>
              <w:t>文背拍卖标的应枝</w:t>
            </w:r>
          </w:p>
        </w:tc>
        <w:tc>
          <w:tcPr>
            <w:tcW w:w="2377" w:type="dxa"/>
            <w:vAlign w:val="top"/>
          </w:tcPr>
          <w:p>
            <w:pPr>
              <w:pStyle w:val="TableText"/>
              <w:ind w:left="64"/>
              <w:spacing w:before="145" w:line="219" w:lineRule="auto"/>
              <w:rPr>
                <w:sz w:val="16"/>
                <w:szCs w:val="16"/>
              </w:rPr>
            </w:pPr>
            <w:r>
              <w:rPr>
                <w:sz w:val="16"/>
                <w:szCs w:val="16"/>
                <w:spacing w:val="3"/>
              </w:rPr>
              <w:t>分级文修部门</w:t>
            </w:r>
          </w:p>
        </w:tc>
        <w:tc>
          <w:tcPr>
            <w:tcW w:w="3701" w:type="dxa"/>
            <w:vAlign w:val="top"/>
          </w:tcPr>
          <w:p>
            <w:pPr>
              <w:pStyle w:val="TableText"/>
              <w:ind w:left="78"/>
              <w:spacing w:before="55" w:line="217" w:lineRule="exact"/>
              <w:rPr>
                <w:sz w:val="16"/>
                <w:szCs w:val="16"/>
              </w:rPr>
            </w:pPr>
            <w:r>
              <w:rPr>
                <w:sz w:val="16"/>
                <w:szCs w:val="16"/>
                <w:spacing w:val="-3"/>
                <w:position w:val="4"/>
              </w:rPr>
              <w:t>4中作人民共和国文物保护法》</w:t>
            </w:r>
          </w:p>
          <w:p>
            <w:pPr>
              <w:pStyle w:val="TableText"/>
              <w:spacing w:line="181" w:lineRule="auto"/>
              <w:rPr>
                <w:sz w:val="16"/>
                <w:szCs w:val="16"/>
              </w:rPr>
            </w:pPr>
            <w:r>
              <w:rPr>
                <w:sz w:val="16"/>
                <w:szCs w:val="16"/>
                <w:spacing w:val="-4"/>
              </w:rPr>
              <w:t>《中华人风其和国有套法》</w:t>
            </w:r>
          </w:p>
        </w:tc>
      </w:tr>
      <w:tr>
        <w:trPr>
          <w:trHeight w:val="265" w:hRule="atLeast"/>
        </w:trPr>
        <w:tc>
          <w:tcPr>
            <w:tcW w:w="584" w:type="dxa"/>
            <w:vAlign w:val="top"/>
          </w:tcPr>
          <w:p>
            <w:pPr>
              <w:pStyle w:val="TableText"/>
              <w:ind w:left="164"/>
              <w:spacing w:before="98" w:line="181" w:lineRule="auto"/>
              <w:rPr>
                <w:sz w:val="16"/>
                <w:szCs w:val="16"/>
              </w:rPr>
            </w:pPr>
            <w:r>
              <w:rPr>
                <w:sz w:val="16"/>
                <w:szCs w:val="16"/>
                <w:spacing w:val="-2"/>
              </w:rPr>
              <w:t>676</w:t>
            </w:r>
          </w:p>
        </w:tc>
        <w:tc>
          <w:tcPr>
            <w:tcW w:w="1289" w:type="dxa"/>
            <w:vAlign w:val="top"/>
          </w:tcPr>
          <w:p>
            <w:pPr>
              <w:pStyle w:val="TableText"/>
              <w:ind w:left="231"/>
              <w:spacing w:before="56" w:line="219" w:lineRule="auto"/>
              <w:rPr>
                <w:sz w:val="16"/>
                <w:szCs w:val="16"/>
              </w:rPr>
            </w:pPr>
            <w:r>
              <w:rPr>
                <w:sz w:val="16"/>
                <w:szCs w:val="16"/>
                <w:spacing w:val="6"/>
              </w:rPr>
              <w:t>国家女物月</w:t>
            </w:r>
          </w:p>
        </w:tc>
        <w:tc>
          <w:tcPr>
            <w:tcW w:w="1648" w:type="dxa"/>
            <w:vAlign w:val="top"/>
          </w:tcPr>
          <w:p>
            <w:pPr>
              <w:pStyle w:val="TableText"/>
              <w:ind w:left="72"/>
              <w:spacing w:before="57" w:line="220" w:lineRule="auto"/>
              <w:rPr>
                <w:sz w:val="16"/>
                <w:szCs w:val="16"/>
              </w:rPr>
            </w:pPr>
            <w:r>
              <w:rPr>
                <w:sz w:val="16"/>
                <w:szCs w:val="16"/>
                <w:spacing w:val="-2"/>
              </w:rPr>
              <w:t>文物出境诈可</w:t>
            </w:r>
          </w:p>
        </w:tc>
        <w:tc>
          <w:tcPr>
            <w:tcW w:w="2377" w:type="dxa"/>
            <w:vAlign w:val="top"/>
          </w:tcPr>
          <w:p>
            <w:pPr>
              <w:pStyle w:val="TableText"/>
              <w:ind w:left="64"/>
              <w:spacing w:before="56" w:line="219" w:lineRule="auto"/>
              <w:rPr>
                <w:sz w:val="16"/>
                <w:szCs w:val="16"/>
              </w:rPr>
            </w:pPr>
            <w:r>
              <w:rPr>
                <w:sz w:val="16"/>
                <w:szCs w:val="16"/>
                <w:spacing w:val="2"/>
              </w:rPr>
              <w:t>群家支物局</w:t>
            </w:r>
          </w:p>
        </w:tc>
        <w:tc>
          <w:tcPr>
            <w:tcW w:w="3701" w:type="dxa"/>
            <w:vAlign w:val="top"/>
          </w:tcPr>
          <w:p>
            <w:pPr>
              <w:pStyle w:val="TableText"/>
              <w:ind w:left="46"/>
              <w:spacing w:before="55" w:line="219" w:lineRule="auto"/>
              <w:rPr>
                <w:sz w:val="16"/>
                <w:szCs w:val="16"/>
              </w:rPr>
            </w:pPr>
            <w:r>
              <w:rPr>
                <w:sz w:val="16"/>
                <w:szCs w:val="16"/>
                <w:spacing w:val="2"/>
              </w:rPr>
              <w:t>中毕人民共仰国文物保护法!</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1424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44" name="TextBox 34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6" style="position:absolute;margin-left:37.0402pt;margin-top:345.135pt;mso-position-vertical-relative:page;mso-position-horizontal-relative:page;width:13.6pt;height:12.35pt;z-index:25191424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253</w:t>
                      </w:r>
                    </w:p>
                  </w:txbxContent>
                </v:textbox>
              </v:shape>
            </w:pict>
          </mc:Fallback>
        </mc:AlternateContent>
      </w:r>
      <w:r/>
    </w:p>
    <w:tbl>
      <w:tblPr>
        <w:tblStyle w:val="TableNormal"/>
        <w:tblW w:w="9601"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3"/>
      </w:tblGrid>
      <w:tr>
        <w:trPr>
          <w:trHeight w:val="415" w:hRule="atLeast"/>
        </w:trPr>
        <w:tc>
          <w:tcPr>
            <w:tcW w:w="574" w:type="dxa"/>
            <w:vAlign w:val="top"/>
          </w:tcPr>
          <w:p>
            <w:pPr>
              <w:pStyle w:val="TableText"/>
              <w:ind w:left="104"/>
              <w:spacing w:before="122" w:line="221" w:lineRule="auto"/>
              <w:rPr>
                <w:sz w:val="17"/>
                <w:szCs w:val="17"/>
              </w:rPr>
            </w:pPr>
            <w:r>
              <w:rPr>
                <w:sz w:val="17"/>
                <w:szCs w:val="17"/>
                <w:spacing w:val="5"/>
              </w:rPr>
              <w:t>厚号</w:t>
            </w:r>
          </w:p>
        </w:tc>
        <w:tc>
          <w:tcPr>
            <w:tcW w:w="1299" w:type="dxa"/>
            <w:vAlign w:val="top"/>
          </w:tcPr>
          <w:p>
            <w:pPr>
              <w:pStyle w:val="TableText"/>
              <w:ind w:left="130"/>
              <w:spacing w:before="122" w:line="219" w:lineRule="auto"/>
              <w:rPr>
                <w:sz w:val="17"/>
                <w:szCs w:val="17"/>
              </w:rPr>
            </w:pPr>
            <w:r>
              <w:rPr>
                <w:sz w:val="17"/>
                <w:szCs w:val="17"/>
                <w:spacing w:val="3"/>
              </w:rPr>
              <w:t>中央主骨的门</w:t>
            </w:r>
          </w:p>
        </w:tc>
        <w:tc>
          <w:tcPr>
            <w:tcW w:w="1638" w:type="dxa"/>
            <w:vAlign w:val="top"/>
          </w:tcPr>
          <w:p>
            <w:pPr>
              <w:pStyle w:val="TableText"/>
              <w:ind w:left="461"/>
              <w:spacing w:before="122" w:line="220" w:lineRule="auto"/>
              <w:rPr>
                <w:sz w:val="17"/>
                <w:szCs w:val="17"/>
              </w:rPr>
            </w:pPr>
            <w:r>
              <w:rPr>
                <w:sz w:val="17"/>
                <w:szCs w:val="17"/>
                <w:spacing w:val="-2"/>
              </w:rPr>
              <w:t>事项名称</w:t>
            </w:r>
          </w:p>
        </w:tc>
        <w:tc>
          <w:tcPr>
            <w:tcW w:w="2377" w:type="dxa"/>
            <w:vAlign w:val="top"/>
          </w:tcPr>
          <w:p>
            <w:pPr>
              <w:pStyle w:val="TableText"/>
              <w:ind w:left="844"/>
              <w:spacing w:before="122" w:line="220" w:lineRule="auto"/>
              <w:rPr>
                <w:sz w:val="17"/>
                <w:szCs w:val="17"/>
              </w:rPr>
            </w:pPr>
            <w:r>
              <w:rPr>
                <w:sz w:val="17"/>
                <w:szCs w:val="17"/>
                <w:spacing w:val="-3"/>
              </w:rPr>
              <w:t>实造析关</w:t>
            </w:r>
          </w:p>
        </w:tc>
        <w:tc>
          <w:tcPr>
            <w:tcW w:w="3713" w:type="dxa"/>
            <w:vAlign w:val="top"/>
          </w:tcPr>
          <w:p>
            <w:pPr>
              <w:pStyle w:val="TableText"/>
              <w:ind w:left="1279"/>
              <w:spacing w:before="118" w:line="219" w:lineRule="auto"/>
              <w:rPr>
                <w:sz w:val="17"/>
                <w:szCs w:val="17"/>
              </w:rPr>
            </w:pPr>
            <w:r>
              <w:rPr>
                <w:sz w:val="17"/>
                <w:szCs w:val="17"/>
                <w:b/>
                <w:bCs/>
                <w:spacing w:val="-3"/>
              </w:rPr>
              <w:t>设定和实地依据</w:t>
            </w:r>
          </w:p>
        </w:tc>
      </w:tr>
      <w:tr>
        <w:trPr>
          <w:trHeight w:val="509" w:hRule="atLeast"/>
        </w:trPr>
        <w:tc>
          <w:tcPr>
            <w:tcW w:w="574" w:type="dxa"/>
            <w:vAlign w:val="top"/>
          </w:tcPr>
          <w:p>
            <w:pPr>
              <w:pStyle w:val="TableText"/>
              <w:ind w:left="144"/>
              <w:spacing w:before="210" w:line="183" w:lineRule="auto"/>
              <w:rPr>
                <w:sz w:val="17"/>
                <w:szCs w:val="17"/>
              </w:rPr>
            </w:pPr>
            <w:r>
              <w:rPr>
                <w:sz w:val="17"/>
                <w:szCs w:val="17"/>
                <w:spacing w:val="-2"/>
              </w:rPr>
              <w:t>877</w:t>
            </w:r>
          </w:p>
        </w:tc>
        <w:tc>
          <w:tcPr>
            <w:tcW w:w="1299" w:type="dxa"/>
            <w:vAlign w:val="top"/>
          </w:tcPr>
          <w:p>
            <w:pPr>
              <w:pStyle w:val="TableText"/>
              <w:ind w:left="210"/>
              <w:spacing w:before="167" w:line="220" w:lineRule="auto"/>
              <w:rPr>
                <w:sz w:val="17"/>
                <w:szCs w:val="17"/>
              </w:rPr>
            </w:pPr>
            <w:r>
              <w:rPr>
                <w:sz w:val="17"/>
                <w:szCs w:val="17"/>
                <w:spacing w:val="3"/>
              </w:rPr>
              <w:t>回家文物局</w:t>
            </w:r>
          </w:p>
        </w:tc>
        <w:tc>
          <w:tcPr>
            <w:tcW w:w="1638" w:type="dxa"/>
            <w:vAlign w:val="top"/>
          </w:tcPr>
          <w:p>
            <w:pPr>
              <w:pStyle w:val="TableText"/>
              <w:ind w:left="32"/>
              <w:spacing w:before="167" w:line="220" w:lineRule="auto"/>
              <w:rPr>
                <w:sz w:val="17"/>
                <w:szCs w:val="17"/>
              </w:rPr>
            </w:pPr>
            <w:r>
              <w:rPr>
                <w:sz w:val="17"/>
                <w:szCs w:val="17"/>
                <w:spacing w:val="-1"/>
              </w:rPr>
              <w:t>文物出境展笔许可</w:t>
            </w:r>
          </w:p>
        </w:tc>
        <w:tc>
          <w:tcPr>
            <w:tcW w:w="2377" w:type="dxa"/>
            <w:vAlign w:val="top"/>
          </w:tcPr>
          <w:p>
            <w:pPr>
              <w:pStyle w:val="TableText"/>
              <w:ind w:left="64"/>
              <w:spacing w:before="167" w:line="220" w:lineRule="auto"/>
              <w:rPr>
                <w:sz w:val="17"/>
                <w:szCs w:val="17"/>
              </w:rPr>
            </w:pPr>
            <w:r>
              <w:rPr>
                <w:sz w:val="17"/>
                <w:szCs w:val="17"/>
                <w:spacing w:val="3"/>
              </w:rPr>
              <w:t>国家文物局</w:t>
            </w:r>
          </w:p>
        </w:tc>
        <w:tc>
          <w:tcPr>
            <w:tcW w:w="3713" w:type="dxa"/>
            <w:vAlign w:val="top"/>
          </w:tcPr>
          <w:p>
            <w:pPr>
              <w:pStyle w:val="TableText"/>
              <w:ind w:left="56"/>
              <w:spacing w:before="77" w:line="219" w:lineRule="auto"/>
              <w:rPr>
                <w:sz w:val="17"/>
                <w:szCs w:val="17"/>
              </w:rPr>
            </w:pPr>
            <w:r>
              <w:rPr>
                <w:sz w:val="17"/>
                <w:szCs w:val="17"/>
                <w:spacing w:val="-1"/>
              </w:rPr>
              <w:t>(中华人民共和国交物保护法》</w:t>
            </w:r>
          </w:p>
          <w:p>
            <w:pPr>
              <w:pStyle w:val="TableText"/>
              <w:ind w:left="56"/>
              <w:spacing w:before="8" w:line="219" w:lineRule="auto"/>
              <w:rPr>
                <w:sz w:val="17"/>
                <w:szCs w:val="17"/>
              </w:rPr>
            </w:pPr>
            <w:r>
              <w:rPr>
                <w:sz w:val="17"/>
                <w:szCs w:val="17"/>
                <w:spacing w:val="1"/>
              </w:rPr>
              <w:t>1中毕人民共和国文物保护法实值条例!</w:t>
            </w:r>
          </w:p>
        </w:tc>
      </w:tr>
      <w:tr>
        <w:trPr>
          <w:trHeight w:val="709" w:hRule="atLeast"/>
        </w:trPr>
        <w:tc>
          <w:tcPr>
            <w:tcW w:w="574" w:type="dxa"/>
            <w:vAlign w:val="top"/>
          </w:tcPr>
          <w:p>
            <w:pPr>
              <w:spacing w:line="255" w:lineRule="auto"/>
              <w:rPr>
                <w:rFonts w:ascii="Arial"/>
                <w:sz w:val="21"/>
              </w:rPr>
            </w:pPr>
            <w:r/>
          </w:p>
          <w:p>
            <w:pPr>
              <w:pStyle w:val="TableText"/>
              <w:ind w:left="144"/>
              <w:spacing w:before="55" w:line="183" w:lineRule="auto"/>
              <w:rPr>
                <w:sz w:val="17"/>
                <w:szCs w:val="17"/>
              </w:rPr>
            </w:pPr>
            <w:r>
              <w:rPr>
                <w:sz w:val="17"/>
                <w:szCs w:val="17"/>
                <w:spacing w:val="-2"/>
              </w:rPr>
              <w:t>878</w:t>
            </w:r>
          </w:p>
        </w:tc>
        <w:tc>
          <w:tcPr>
            <w:tcW w:w="1299" w:type="dxa"/>
            <w:vAlign w:val="top"/>
          </w:tcPr>
          <w:p>
            <w:pPr>
              <w:pStyle w:val="TableText"/>
              <w:ind w:left="130"/>
              <w:spacing w:before="268" w:line="220" w:lineRule="auto"/>
              <w:rPr>
                <w:sz w:val="17"/>
                <w:szCs w:val="17"/>
              </w:rPr>
            </w:pPr>
            <w:r>
              <w:rPr>
                <w:sz w:val="17"/>
                <w:szCs w:val="17"/>
                <w:spacing w:val="2"/>
              </w:rPr>
              <w:t>国家中慈药局</w:t>
            </w:r>
          </w:p>
        </w:tc>
        <w:tc>
          <w:tcPr>
            <w:tcW w:w="1638" w:type="dxa"/>
            <w:vAlign w:val="top"/>
          </w:tcPr>
          <w:p>
            <w:pPr>
              <w:pStyle w:val="TableText"/>
              <w:ind w:left="32" w:right="71"/>
              <w:spacing w:before="177" w:line="224" w:lineRule="auto"/>
              <w:rPr>
                <w:sz w:val="17"/>
                <w:szCs w:val="17"/>
              </w:rPr>
            </w:pPr>
            <w:r>
              <w:rPr>
                <w:sz w:val="17"/>
                <w:szCs w:val="17"/>
                <w:spacing w:val="-1"/>
              </w:rPr>
              <w:t>翻有专长的中医医师</w:t>
            </w:r>
            <w:r>
              <w:rPr>
                <w:sz w:val="17"/>
                <w:szCs w:val="17"/>
                <w:spacing w:val="2"/>
              </w:rPr>
              <w:t xml:space="preserve"> </w:t>
            </w:r>
            <w:r>
              <w:rPr>
                <w:sz w:val="17"/>
                <w:szCs w:val="17"/>
                <w:spacing w:val="2"/>
              </w:rPr>
              <w:t>资格似定</w:t>
            </w:r>
          </w:p>
        </w:tc>
        <w:tc>
          <w:tcPr>
            <w:tcW w:w="2377" w:type="dxa"/>
            <w:vAlign w:val="top"/>
          </w:tcPr>
          <w:p>
            <w:pPr>
              <w:pStyle w:val="TableText"/>
              <w:ind w:left="63" w:hanging="9"/>
              <w:spacing w:before="156" w:line="235" w:lineRule="auto"/>
              <w:rPr>
                <w:sz w:val="17"/>
                <w:szCs w:val="17"/>
              </w:rPr>
            </w:pPr>
            <w:r>
              <w:rPr>
                <w:sz w:val="17"/>
                <w:szCs w:val="17"/>
                <w:spacing w:val="-1"/>
              </w:rPr>
              <w:t>省理中民药主情想门(血是级中</w:t>
            </w:r>
            <w:r>
              <w:rPr>
                <w:sz w:val="17"/>
                <w:szCs w:val="17"/>
                <w:spacing w:val="2"/>
              </w:rPr>
              <w:t xml:space="preserve"> </w:t>
            </w:r>
            <w:r>
              <w:rPr>
                <w:sz w:val="17"/>
                <w:szCs w:val="17"/>
              </w:rPr>
              <w:t>医药主管基门受理并蓬纽上报)</w:t>
            </w:r>
          </w:p>
        </w:tc>
        <w:tc>
          <w:tcPr>
            <w:tcW w:w="3713" w:type="dxa"/>
            <w:vAlign w:val="top"/>
          </w:tcPr>
          <w:p>
            <w:pPr>
              <w:pStyle w:val="TableText"/>
              <w:ind w:left="56"/>
              <w:spacing w:before="68" w:line="219" w:lineRule="auto"/>
              <w:rPr>
                <w:sz w:val="17"/>
                <w:szCs w:val="17"/>
              </w:rPr>
            </w:pPr>
            <w:r>
              <w:rPr>
                <w:sz w:val="17"/>
                <w:szCs w:val="17"/>
                <w:spacing w:val="-2"/>
              </w:rPr>
              <w:t>下中华人民其和属中断新甚》</w:t>
            </w:r>
          </w:p>
          <w:p>
            <w:pPr>
              <w:pStyle w:val="TableText"/>
              <w:ind w:left="56" w:right="102" w:hanging="20"/>
              <w:spacing w:before="7" w:line="213" w:lineRule="auto"/>
              <w:rPr>
                <w:sz w:val="17"/>
                <w:szCs w:val="17"/>
              </w:rPr>
            </w:pPr>
            <w:r>
              <w:rPr>
                <w:sz w:val="17"/>
                <w:szCs w:val="17"/>
                <w:spacing w:val="-1"/>
              </w:rPr>
              <w:t>种我民术确有专长人员现和资格考机注身管理料</w:t>
            </w:r>
            <w:r>
              <w:rPr>
                <w:sz w:val="17"/>
                <w:szCs w:val="17"/>
                <w:spacing w:val="13"/>
              </w:rPr>
              <w:t xml:space="preserve"> </w:t>
            </w:r>
            <w:r>
              <w:rPr>
                <w:sz w:val="17"/>
                <w:szCs w:val="17"/>
                <w:spacing w:val="-3"/>
              </w:rPr>
              <w:t>行办民</w:t>
            </w:r>
          </w:p>
        </w:tc>
      </w:tr>
      <w:tr>
        <w:trPr>
          <w:trHeight w:val="699" w:hRule="atLeast"/>
        </w:trPr>
        <w:tc>
          <w:tcPr>
            <w:tcW w:w="574" w:type="dxa"/>
            <w:vAlign w:val="top"/>
          </w:tcPr>
          <w:p>
            <w:pPr>
              <w:spacing w:line="255" w:lineRule="auto"/>
              <w:rPr>
                <w:rFonts w:ascii="Arial"/>
                <w:sz w:val="21"/>
              </w:rPr>
            </w:pPr>
            <w:r/>
          </w:p>
          <w:p>
            <w:pPr>
              <w:pStyle w:val="TableText"/>
              <w:ind w:left="144"/>
              <w:spacing w:before="56" w:line="183" w:lineRule="auto"/>
              <w:rPr>
                <w:sz w:val="17"/>
                <w:szCs w:val="17"/>
              </w:rPr>
            </w:pPr>
            <w:r>
              <w:rPr>
                <w:sz w:val="17"/>
                <w:szCs w:val="17"/>
                <w:spacing w:val="-2"/>
              </w:rPr>
              <w:t>879</w:t>
            </w:r>
          </w:p>
        </w:tc>
        <w:tc>
          <w:tcPr>
            <w:tcW w:w="1299" w:type="dxa"/>
            <w:vAlign w:val="top"/>
          </w:tcPr>
          <w:p>
            <w:pPr>
              <w:pStyle w:val="TableText"/>
              <w:ind w:left="130"/>
              <w:spacing w:before="269" w:line="220" w:lineRule="auto"/>
              <w:rPr>
                <w:sz w:val="17"/>
                <w:szCs w:val="17"/>
              </w:rPr>
            </w:pPr>
            <w:r>
              <w:rPr>
                <w:sz w:val="17"/>
                <w:szCs w:val="17"/>
                <w:spacing w:val="2"/>
              </w:rPr>
              <w:t>国家中害药局</w:t>
            </w:r>
          </w:p>
        </w:tc>
        <w:tc>
          <w:tcPr>
            <w:tcW w:w="1638" w:type="dxa"/>
            <w:vAlign w:val="top"/>
          </w:tcPr>
          <w:p>
            <w:pPr>
              <w:pStyle w:val="TableText"/>
              <w:ind w:left="32" w:right="82" w:hanging="10"/>
              <w:spacing w:before="188" w:line="213" w:lineRule="auto"/>
              <w:rPr>
                <w:sz w:val="17"/>
                <w:szCs w:val="17"/>
              </w:rPr>
            </w:pPr>
            <w:r>
              <w:rPr>
                <w:sz w:val="17"/>
                <w:szCs w:val="17"/>
                <w:spacing w:val="-1"/>
              </w:rPr>
              <w:t>确有专长的中医医师</w:t>
            </w:r>
            <w:r>
              <w:rPr>
                <w:sz w:val="17"/>
                <w:szCs w:val="17"/>
                <w:spacing w:val="1"/>
              </w:rPr>
              <w:t xml:space="preserve"> </w:t>
            </w:r>
            <w:r>
              <w:rPr>
                <w:sz w:val="17"/>
                <w:szCs w:val="17"/>
                <w:spacing w:val="-2"/>
              </w:rPr>
              <w:t>执业作期</w:t>
            </w:r>
          </w:p>
        </w:tc>
        <w:tc>
          <w:tcPr>
            <w:tcW w:w="2377" w:type="dxa"/>
            <w:vAlign w:val="top"/>
          </w:tcPr>
          <w:p>
            <w:pPr>
              <w:pStyle w:val="TableText"/>
              <w:ind w:left="63" w:hanging="19"/>
              <w:spacing w:before="168" w:line="224" w:lineRule="auto"/>
              <w:rPr>
                <w:sz w:val="17"/>
                <w:szCs w:val="17"/>
              </w:rPr>
            </w:pPr>
            <w:r>
              <w:rPr>
                <w:sz w:val="17"/>
                <w:szCs w:val="17"/>
                <w:spacing w:val="-5"/>
              </w:rPr>
              <w:t>右烟，设区的市观，甚量中民药</w:t>
            </w:r>
            <w:r>
              <w:rPr>
                <w:sz w:val="17"/>
                <w:szCs w:val="17"/>
                <w:spacing w:val="11"/>
              </w:rPr>
              <w:t xml:space="preserve"> </w:t>
            </w:r>
            <w:r>
              <w:rPr>
                <w:sz w:val="17"/>
                <w:szCs w:val="17"/>
                <w:spacing w:val="4"/>
              </w:rPr>
              <w:t>主管部门</w:t>
            </w:r>
          </w:p>
        </w:tc>
        <w:tc>
          <w:tcPr>
            <w:tcW w:w="3713" w:type="dxa"/>
            <w:vAlign w:val="top"/>
          </w:tcPr>
          <w:p>
            <w:pPr>
              <w:pStyle w:val="TableText"/>
              <w:ind w:left="56"/>
              <w:spacing w:before="78" w:line="206" w:lineRule="auto"/>
              <w:rPr>
                <w:sz w:val="17"/>
                <w:szCs w:val="17"/>
              </w:rPr>
            </w:pPr>
            <w:r>
              <w:rPr>
                <w:sz w:val="17"/>
                <w:szCs w:val="17"/>
                <w:spacing w:val="-1"/>
              </w:rPr>
              <w:t>1中华人民共和国中医药甚》</w:t>
            </w:r>
          </w:p>
          <w:p>
            <w:pPr>
              <w:pStyle w:val="TableText"/>
              <w:ind w:left="103" w:right="32" w:hanging="103"/>
              <w:spacing w:before="1" w:line="223" w:lineRule="auto"/>
              <w:rPr>
                <w:sz w:val="17"/>
                <w:szCs w:val="17"/>
              </w:rPr>
            </w:pPr>
            <w:r>
              <w:rPr>
                <w:sz w:val="17"/>
                <w:szCs w:val="17"/>
                <w:spacing w:val="-4"/>
              </w:rPr>
              <w:t>《中民或术确有专长人星我师资格考描注府恰理和</w:t>
            </w:r>
            <w:r>
              <w:rPr>
                <w:sz w:val="17"/>
                <w:szCs w:val="17"/>
                <w:spacing w:val="17"/>
              </w:rPr>
              <w:t xml:space="preserve"> </w:t>
            </w:r>
            <w:r>
              <w:rPr>
                <w:sz w:val="17"/>
                <w:szCs w:val="17"/>
                <w:spacing w:val="-4"/>
              </w:rPr>
              <w:t>行办医</w:t>
            </w:r>
          </w:p>
        </w:tc>
      </w:tr>
      <w:tr>
        <w:trPr>
          <w:trHeight w:val="499" w:hRule="atLeast"/>
        </w:trPr>
        <w:tc>
          <w:tcPr>
            <w:tcW w:w="574" w:type="dxa"/>
            <w:vAlign w:val="top"/>
          </w:tcPr>
          <w:p>
            <w:pPr>
              <w:pStyle w:val="TableText"/>
              <w:ind w:left="234"/>
              <w:spacing w:before="250" w:line="132" w:lineRule="exact"/>
              <w:rPr>
                <w:sz w:val="17"/>
                <w:szCs w:val="17"/>
              </w:rPr>
            </w:pPr>
            <w:r>
              <w:rPr>
                <w:sz w:val="17"/>
                <w:szCs w:val="17"/>
              </w:rPr>
              <w:t>u</w:t>
            </w:r>
          </w:p>
        </w:tc>
        <w:tc>
          <w:tcPr>
            <w:tcW w:w="1299" w:type="dxa"/>
            <w:vAlign w:val="top"/>
          </w:tcPr>
          <w:p>
            <w:pPr>
              <w:pStyle w:val="TableText"/>
              <w:ind w:left="130"/>
              <w:spacing w:before="170" w:line="220" w:lineRule="auto"/>
              <w:rPr>
                <w:sz w:val="17"/>
                <w:szCs w:val="17"/>
              </w:rPr>
            </w:pPr>
            <w:r>
              <w:rPr>
                <w:sz w:val="17"/>
                <w:szCs w:val="17"/>
                <w:spacing w:val="2"/>
              </w:rPr>
              <w:t>国家中医药息</w:t>
            </w:r>
          </w:p>
        </w:tc>
        <w:tc>
          <w:tcPr>
            <w:tcW w:w="1638" w:type="dxa"/>
            <w:vAlign w:val="top"/>
          </w:tcPr>
          <w:p>
            <w:pPr>
              <w:pStyle w:val="TableText"/>
              <w:ind w:left="32"/>
              <w:spacing w:before="168" w:line="218" w:lineRule="auto"/>
              <w:rPr>
                <w:sz w:val="17"/>
                <w:szCs w:val="17"/>
              </w:rPr>
            </w:pPr>
            <w:r>
              <w:rPr>
                <w:sz w:val="17"/>
                <w:szCs w:val="17"/>
                <w:spacing w:val="1"/>
              </w:rPr>
              <w:t>中医爸疗广告审否</w:t>
            </w:r>
          </w:p>
        </w:tc>
        <w:tc>
          <w:tcPr>
            <w:tcW w:w="2377" w:type="dxa"/>
            <w:vAlign w:val="top"/>
          </w:tcPr>
          <w:p>
            <w:pPr>
              <w:pStyle w:val="TableText"/>
              <w:ind w:left="64"/>
              <w:spacing w:before="170" w:line="219" w:lineRule="auto"/>
              <w:rPr>
                <w:sz w:val="17"/>
                <w:szCs w:val="17"/>
              </w:rPr>
            </w:pPr>
            <w:r>
              <w:rPr>
                <w:sz w:val="17"/>
                <w:szCs w:val="17"/>
                <w:spacing w:val="2"/>
              </w:rPr>
              <w:t>省级中医药主管部门</w:t>
            </w:r>
          </w:p>
        </w:tc>
        <w:tc>
          <w:tcPr>
            <w:tcW w:w="3713" w:type="dxa"/>
            <w:vAlign w:val="top"/>
          </w:tcPr>
          <w:p>
            <w:pPr>
              <w:pStyle w:val="TableText"/>
              <w:ind w:left="56"/>
              <w:spacing w:before="58" w:line="218" w:lineRule="auto"/>
              <w:rPr>
                <w:sz w:val="17"/>
                <w:szCs w:val="17"/>
              </w:rPr>
            </w:pPr>
            <w:r>
              <w:rPr>
                <w:sz w:val="17"/>
                <w:szCs w:val="17"/>
                <w:spacing w:val="-1"/>
              </w:rPr>
              <w:t>1中华人保兆和国广告法》</w:t>
            </w:r>
          </w:p>
          <w:p>
            <w:pPr>
              <w:pStyle w:val="TableText"/>
              <w:ind w:left="56"/>
              <w:spacing w:before="30" w:line="216" w:lineRule="auto"/>
              <w:rPr>
                <w:sz w:val="17"/>
                <w:szCs w:val="17"/>
              </w:rPr>
            </w:pPr>
            <w:r>
              <w:rPr>
                <w:sz w:val="17"/>
                <w:szCs w:val="17"/>
              </w:rPr>
              <w:t>(中华人民共和障中匹药法》</w:t>
            </w:r>
          </w:p>
        </w:tc>
      </w:tr>
      <w:tr>
        <w:trPr>
          <w:trHeight w:val="509" w:hRule="atLeast"/>
        </w:trPr>
        <w:tc>
          <w:tcPr>
            <w:tcW w:w="574" w:type="dxa"/>
            <w:vAlign w:val="top"/>
          </w:tcPr>
          <w:p>
            <w:pPr>
              <w:pStyle w:val="TableText"/>
              <w:ind w:left="144"/>
              <w:spacing w:before="175" w:line="224" w:lineRule="auto"/>
              <w:rPr>
                <w:sz w:val="17"/>
                <w:szCs w:val="17"/>
              </w:rPr>
            </w:pPr>
            <w:r>
              <w:rPr>
                <w:sz w:val="17"/>
                <w:szCs w:val="17"/>
                <w:spacing w:val="-2"/>
              </w:rPr>
              <w:t>SM]</w:t>
            </w:r>
          </w:p>
        </w:tc>
        <w:tc>
          <w:tcPr>
            <w:tcW w:w="1299" w:type="dxa"/>
            <w:vAlign w:val="top"/>
          </w:tcPr>
          <w:p>
            <w:pPr>
              <w:pStyle w:val="TableText"/>
              <w:ind w:left="130"/>
              <w:spacing w:before="171" w:line="220" w:lineRule="auto"/>
              <w:rPr>
                <w:sz w:val="17"/>
                <w:szCs w:val="17"/>
              </w:rPr>
            </w:pPr>
            <w:r>
              <w:rPr>
                <w:sz w:val="17"/>
                <w:szCs w:val="17"/>
                <w:spacing w:val="2"/>
              </w:rPr>
              <w:t>国家中医药同</w:t>
            </w:r>
          </w:p>
        </w:tc>
        <w:tc>
          <w:tcPr>
            <w:tcW w:w="1638" w:type="dxa"/>
            <w:vAlign w:val="top"/>
          </w:tcPr>
          <w:p>
            <w:pPr>
              <w:pStyle w:val="TableText"/>
              <w:ind w:left="32" w:right="41" w:firstLine="10"/>
              <w:spacing w:before="100" w:line="210" w:lineRule="auto"/>
              <w:rPr>
                <w:sz w:val="17"/>
                <w:szCs w:val="17"/>
              </w:rPr>
            </w:pPr>
            <w:r>
              <w:rPr>
                <w:sz w:val="17"/>
                <w:szCs w:val="17"/>
                <w:spacing w:val="1"/>
              </w:rPr>
              <w:t>中医西看机构设置审</w:t>
            </w:r>
            <w:r>
              <w:rPr>
                <w:sz w:val="17"/>
                <w:szCs w:val="17"/>
                <w:spacing w:val="4"/>
              </w:rPr>
              <w:t xml:space="preserve"> </w:t>
            </w:r>
            <w:r>
              <w:rPr>
                <w:sz w:val="17"/>
                <w:szCs w:val="17"/>
              </w:rPr>
              <w:t>批</w:t>
            </w:r>
          </w:p>
        </w:tc>
        <w:tc>
          <w:tcPr>
            <w:tcW w:w="2377" w:type="dxa"/>
            <w:vAlign w:val="top"/>
          </w:tcPr>
          <w:p>
            <w:pPr>
              <w:pStyle w:val="TableText"/>
              <w:ind w:left="64" w:firstLine="19"/>
              <w:spacing w:before="91" w:line="207" w:lineRule="auto"/>
              <w:rPr>
                <w:sz w:val="17"/>
                <w:szCs w:val="17"/>
              </w:rPr>
            </w:pPr>
            <w:r>
              <w:rPr>
                <w:sz w:val="17"/>
                <w:szCs w:val="17"/>
                <w:spacing w:val="-7"/>
              </w:rPr>
              <w:t>省规、设区房市划，县限中面利</w:t>
            </w:r>
            <w:r>
              <w:rPr>
                <w:sz w:val="17"/>
                <w:szCs w:val="17"/>
              </w:rPr>
              <w:t xml:space="preserve"> </w:t>
            </w:r>
            <w:r>
              <w:rPr>
                <w:sz w:val="17"/>
                <w:szCs w:val="17"/>
                <w:spacing w:val="4"/>
              </w:rPr>
              <w:t>去管郝门</w:t>
            </w:r>
          </w:p>
        </w:tc>
        <w:tc>
          <w:tcPr>
            <w:tcW w:w="3713" w:type="dxa"/>
            <w:vAlign w:val="top"/>
          </w:tcPr>
          <w:p>
            <w:pPr>
              <w:pStyle w:val="TableText"/>
              <w:ind w:left="83"/>
              <w:spacing w:before="81" w:line="238" w:lineRule="auto"/>
              <w:rPr>
                <w:sz w:val="17"/>
                <w:szCs w:val="17"/>
              </w:rPr>
            </w:pPr>
            <w:r>
              <w:rPr>
                <w:sz w:val="17"/>
                <w:szCs w:val="17"/>
                <w:spacing w:val="-2"/>
              </w:rPr>
              <w:t>1中学人见共和国中医药法》</w:t>
            </w:r>
          </w:p>
          <w:p>
            <w:pPr>
              <w:pStyle w:val="TableText"/>
              <w:spacing w:line="215" w:lineRule="auto"/>
              <w:rPr>
                <w:sz w:val="17"/>
                <w:szCs w:val="17"/>
              </w:rPr>
            </w:pPr>
            <w:r>
              <w:rPr>
                <w:sz w:val="17"/>
                <w:szCs w:val="17"/>
                <w:spacing w:val="5"/>
              </w:rPr>
              <w:t>《民疗机构世理条例；</w:t>
            </w:r>
          </w:p>
        </w:tc>
      </w:tr>
      <w:tr>
        <w:trPr>
          <w:trHeight w:val="499" w:hRule="atLeast"/>
        </w:trPr>
        <w:tc>
          <w:tcPr>
            <w:tcW w:w="574" w:type="dxa"/>
            <w:vAlign w:val="top"/>
          </w:tcPr>
          <w:p>
            <w:pPr>
              <w:pStyle w:val="TableText"/>
              <w:ind w:left="144"/>
              <w:spacing w:before="215" w:line="183" w:lineRule="auto"/>
              <w:rPr>
                <w:sz w:val="17"/>
                <w:szCs w:val="17"/>
              </w:rPr>
            </w:pPr>
            <w:r>
              <w:rPr>
                <w:sz w:val="17"/>
                <w:szCs w:val="17"/>
                <w:spacing w:val="-2"/>
              </w:rPr>
              <w:t>2R2</w:t>
            </w:r>
          </w:p>
        </w:tc>
        <w:tc>
          <w:tcPr>
            <w:tcW w:w="1299" w:type="dxa"/>
            <w:vAlign w:val="top"/>
          </w:tcPr>
          <w:p>
            <w:pPr>
              <w:pStyle w:val="TableText"/>
              <w:ind w:left="130"/>
              <w:spacing w:before="172" w:line="220" w:lineRule="auto"/>
              <w:rPr>
                <w:sz w:val="17"/>
                <w:szCs w:val="17"/>
              </w:rPr>
            </w:pPr>
            <w:r>
              <w:rPr>
                <w:sz w:val="17"/>
                <w:szCs w:val="17"/>
                <w:spacing w:val="2"/>
              </w:rPr>
              <w:t>国家中医行局</w:t>
            </w:r>
          </w:p>
        </w:tc>
        <w:tc>
          <w:tcPr>
            <w:tcW w:w="1638" w:type="dxa"/>
            <w:vAlign w:val="top"/>
          </w:tcPr>
          <w:p>
            <w:pPr>
              <w:pStyle w:val="TableText"/>
              <w:ind w:left="32" w:right="34" w:firstLine="20"/>
              <w:spacing w:before="91" w:line="216" w:lineRule="auto"/>
              <w:rPr>
                <w:sz w:val="17"/>
                <w:szCs w:val="17"/>
              </w:rPr>
            </w:pPr>
            <w:r>
              <w:rPr>
                <w:sz w:val="17"/>
                <w:szCs w:val="17"/>
                <w:spacing w:val="1"/>
              </w:rPr>
              <w:t>中医医行机构执业型 </w:t>
            </w:r>
            <w:r>
              <w:rPr>
                <w:sz w:val="17"/>
                <w:szCs w:val="17"/>
              </w:rPr>
              <w:t>记</w:t>
            </w:r>
          </w:p>
        </w:tc>
        <w:tc>
          <w:tcPr>
            <w:tcW w:w="2377" w:type="dxa"/>
            <w:vAlign w:val="top"/>
          </w:tcPr>
          <w:p>
            <w:pPr>
              <w:pStyle w:val="TableText"/>
              <w:ind w:left="64"/>
              <w:spacing w:before="92" w:line="207" w:lineRule="auto"/>
              <w:rPr>
                <w:sz w:val="17"/>
                <w:szCs w:val="17"/>
              </w:rPr>
            </w:pPr>
            <w:r>
              <w:rPr>
                <w:sz w:val="17"/>
                <w:szCs w:val="17"/>
                <w:spacing w:val="-6"/>
              </w:rPr>
              <w:t>省型，设区的带改，县鹰中医药</w:t>
            </w:r>
            <w:r>
              <w:rPr>
                <w:sz w:val="17"/>
                <w:szCs w:val="17"/>
                <w:spacing w:val="5"/>
              </w:rPr>
              <w:t xml:space="preserve"> </w:t>
            </w:r>
            <w:r>
              <w:rPr>
                <w:sz w:val="17"/>
                <w:szCs w:val="17"/>
                <w:spacing w:val="4"/>
              </w:rPr>
              <w:t>主管部门</w:t>
            </w:r>
          </w:p>
        </w:tc>
        <w:tc>
          <w:tcPr>
            <w:tcW w:w="3713" w:type="dxa"/>
            <w:vAlign w:val="top"/>
          </w:tcPr>
          <w:p>
            <w:pPr>
              <w:pStyle w:val="TableText"/>
              <w:spacing w:before="91" w:line="228" w:lineRule="auto"/>
              <w:rPr>
                <w:sz w:val="17"/>
                <w:szCs w:val="17"/>
              </w:rPr>
            </w:pPr>
            <w:r>
              <w:rPr>
                <w:sz w:val="17"/>
                <w:szCs w:val="17"/>
                <w:spacing w:val="3"/>
              </w:rPr>
              <w:t>《中华人民共和国中起药法】</w:t>
            </w:r>
          </w:p>
          <w:p>
            <w:pPr>
              <w:pStyle w:val="TableText"/>
              <w:ind w:left="83"/>
              <w:spacing w:line="203" w:lineRule="auto"/>
              <w:rPr>
                <w:sz w:val="17"/>
                <w:szCs w:val="17"/>
              </w:rPr>
            </w:pPr>
            <w:r>
              <w:rPr>
                <w:sz w:val="17"/>
                <w:szCs w:val="17"/>
                <w:spacing w:val="-1"/>
              </w:rPr>
              <w:t>医疗乱构雪理杂例</w:t>
            </w:r>
          </w:p>
        </w:tc>
      </w:tr>
      <w:tr>
        <w:trPr>
          <w:trHeight w:val="509" w:hRule="atLeast"/>
        </w:trPr>
        <w:tc>
          <w:tcPr>
            <w:tcW w:w="574" w:type="dxa"/>
            <w:vAlign w:val="top"/>
          </w:tcPr>
          <w:p>
            <w:pPr>
              <w:pStyle w:val="TableText"/>
              <w:ind w:left="184"/>
              <w:spacing w:before="216" w:line="183" w:lineRule="auto"/>
              <w:rPr>
                <w:sz w:val="12"/>
                <w:szCs w:val="12"/>
              </w:rPr>
            </w:pPr>
            <w:r>
              <w:rPr>
                <w:sz w:val="12"/>
                <w:szCs w:val="12"/>
                <w:spacing w:val="-1"/>
              </w:rPr>
              <w:t>p*3</w:t>
            </w:r>
          </w:p>
        </w:tc>
        <w:tc>
          <w:tcPr>
            <w:tcW w:w="1299" w:type="dxa"/>
            <w:vAlign w:val="top"/>
          </w:tcPr>
          <w:p>
            <w:pPr>
              <w:pStyle w:val="TableText"/>
              <w:ind w:left="210"/>
              <w:spacing w:before="173" w:line="219" w:lineRule="auto"/>
              <w:rPr>
                <w:sz w:val="17"/>
                <w:szCs w:val="17"/>
              </w:rPr>
            </w:pPr>
            <w:r>
              <w:rPr>
                <w:sz w:val="17"/>
                <w:szCs w:val="17"/>
                <w:spacing w:val="3"/>
              </w:rPr>
              <w:t>国察或腔局</w:t>
            </w:r>
          </w:p>
        </w:tc>
        <w:tc>
          <w:tcPr>
            <w:tcW w:w="1638" w:type="dxa"/>
            <w:vAlign w:val="top"/>
          </w:tcPr>
          <w:p>
            <w:pPr>
              <w:pStyle w:val="TableText"/>
              <w:ind w:left="32" w:right="56" w:firstLine="20"/>
              <w:spacing w:before="102" w:line="213" w:lineRule="auto"/>
              <w:rPr>
                <w:sz w:val="17"/>
                <w:szCs w:val="17"/>
              </w:rPr>
            </w:pPr>
            <w:r>
              <w:rPr>
                <w:sz w:val="17"/>
                <w:szCs w:val="17"/>
                <w:spacing w:val="-2"/>
              </w:rPr>
              <w:t>管丑饮用水卫生安全</w:t>
            </w:r>
            <w:r>
              <w:rPr>
                <w:sz w:val="17"/>
                <w:szCs w:val="17"/>
                <w:spacing w:val="6"/>
              </w:rPr>
              <w:t xml:space="preserve"> </w:t>
            </w:r>
            <w:r>
              <w:rPr>
                <w:sz w:val="17"/>
                <w:szCs w:val="17"/>
                <w:spacing w:val="1"/>
              </w:rPr>
              <w:t>的产品也生增可</w:t>
            </w:r>
          </w:p>
        </w:tc>
        <w:tc>
          <w:tcPr>
            <w:tcW w:w="2377" w:type="dxa"/>
            <w:vAlign w:val="top"/>
          </w:tcPr>
          <w:p>
            <w:pPr>
              <w:pStyle w:val="TableText"/>
              <w:ind w:left="64"/>
              <w:spacing w:before="173" w:line="219" w:lineRule="auto"/>
              <w:rPr>
                <w:sz w:val="17"/>
                <w:szCs w:val="17"/>
              </w:rPr>
            </w:pPr>
            <w:r>
              <w:rPr>
                <w:sz w:val="17"/>
                <w:szCs w:val="17"/>
                <w:spacing w:val="1"/>
              </w:rPr>
              <w:t>目家疾控局；省俄残控都门</w:t>
            </w:r>
          </w:p>
        </w:tc>
        <w:tc>
          <w:tcPr>
            <w:tcW w:w="3713" w:type="dxa"/>
            <w:vAlign w:val="top"/>
          </w:tcPr>
          <w:p>
            <w:pPr>
              <w:pStyle w:val="TableText"/>
              <w:ind w:left="103" w:right="16" w:hanging="103"/>
              <w:spacing w:before="93" w:line="207" w:lineRule="auto"/>
              <w:rPr>
                <w:sz w:val="17"/>
                <w:szCs w:val="17"/>
              </w:rPr>
            </w:pPr>
            <w:r>
              <w:rPr>
                <w:sz w:val="17"/>
                <w:szCs w:val="17"/>
                <w:spacing w:val="-3"/>
              </w:rPr>
              <w:t>【国务院对确气保间的行政审批境目设定行政许可</w:t>
            </w:r>
            <w:r>
              <w:rPr>
                <w:sz w:val="17"/>
                <w:szCs w:val="17"/>
                <w:spacing w:val="11"/>
              </w:rPr>
              <w:t xml:space="preserve"> </w:t>
            </w:r>
            <w:r>
              <w:rPr>
                <w:sz w:val="17"/>
                <w:szCs w:val="17"/>
                <w:spacing w:val="-3"/>
              </w:rPr>
              <w:t>的决定》</w:t>
            </w:r>
          </w:p>
        </w:tc>
      </w:tr>
      <w:tr>
        <w:trPr>
          <w:trHeight w:val="509" w:hRule="atLeast"/>
        </w:trPr>
        <w:tc>
          <w:tcPr>
            <w:tcW w:w="574" w:type="dxa"/>
            <w:vAlign w:val="top"/>
          </w:tcPr>
          <w:p>
            <w:pPr>
              <w:pStyle w:val="TableText"/>
              <w:ind w:left="194"/>
              <w:spacing w:before="217" w:line="183" w:lineRule="auto"/>
              <w:rPr>
                <w:sz w:val="17"/>
                <w:szCs w:val="17"/>
              </w:rPr>
            </w:pPr>
            <w:r>
              <w:rPr>
                <w:sz w:val="17"/>
                <w:szCs w:val="17"/>
                <w:spacing w:val="-2"/>
              </w:rPr>
              <w:t>84</w:t>
            </w:r>
          </w:p>
        </w:tc>
        <w:tc>
          <w:tcPr>
            <w:tcW w:w="1299" w:type="dxa"/>
            <w:vAlign w:val="top"/>
          </w:tcPr>
          <w:p>
            <w:pPr>
              <w:pStyle w:val="TableText"/>
              <w:ind w:left="210"/>
              <w:spacing w:before="174" w:line="220" w:lineRule="auto"/>
              <w:rPr>
                <w:sz w:val="17"/>
                <w:szCs w:val="17"/>
              </w:rPr>
            </w:pPr>
            <w:r>
              <w:rPr>
                <w:sz w:val="17"/>
                <w:szCs w:val="17"/>
                <w:spacing w:val="1"/>
              </w:rPr>
              <w:t>国意纯控风</w:t>
            </w:r>
          </w:p>
        </w:tc>
        <w:tc>
          <w:tcPr>
            <w:tcW w:w="1638" w:type="dxa"/>
            <w:vAlign w:val="top"/>
          </w:tcPr>
          <w:p>
            <w:pPr>
              <w:pStyle w:val="TableText"/>
              <w:ind w:left="32" w:right="46" w:firstLine="10"/>
              <w:spacing w:before="102" w:line="214" w:lineRule="auto"/>
              <w:rPr>
                <w:sz w:val="17"/>
                <w:szCs w:val="17"/>
              </w:rPr>
            </w:pPr>
            <w:r>
              <w:rPr>
                <w:sz w:val="17"/>
                <w:szCs w:val="17"/>
                <w:spacing w:val="1"/>
              </w:rPr>
              <w:t>实出水慌水单位卫牛</w:t>
            </w:r>
            <w:r>
              <w:rPr>
                <w:sz w:val="17"/>
                <w:szCs w:val="17"/>
              </w:rPr>
              <w:t xml:space="preserve"> </w:t>
            </w:r>
            <w:r>
              <w:rPr>
                <w:sz w:val="17"/>
                <w:szCs w:val="17"/>
                <w:spacing w:val="-2"/>
              </w:rPr>
              <w:t>许可</w:t>
            </w:r>
          </w:p>
        </w:tc>
        <w:tc>
          <w:tcPr>
            <w:tcW w:w="2377" w:type="dxa"/>
            <w:vAlign w:val="top"/>
          </w:tcPr>
          <w:p>
            <w:pPr>
              <w:pStyle w:val="TableText"/>
              <w:ind w:left="64"/>
              <w:spacing w:before="174" w:line="219" w:lineRule="auto"/>
              <w:rPr>
                <w:sz w:val="17"/>
                <w:szCs w:val="17"/>
              </w:rPr>
            </w:pPr>
            <w:r>
              <w:rPr>
                <w:sz w:val="17"/>
                <w:szCs w:val="17"/>
                <w:spacing w:val="1"/>
              </w:rPr>
              <w:t>设区的市服，县很族控部门</w:t>
            </w:r>
          </w:p>
        </w:tc>
        <w:tc>
          <w:tcPr>
            <w:tcW w:w="3713" w:type="dxa"/>
            <w:vAlign w:val="top"/>
          </w:tcPr>
          <w:p>
            <w:pPr>
              <w:pStyle w:val="TableText"/>
              <w:ind w:left="56"/>
              <w:spacing w:before="172" w:line="219" w:lineRule="auto"/>
              <w:rPr>
                <w:sz w:val="17"/>
                <w:szCs w:val="17"/>
              </w:rPr>
            </w:pPr>
            <w:r>
              <w:rPr>
                <w:sz w:val="17"/>
                <w:szCs w:val="17"/>
                <w:spacing w:val="-1"/>
              </w:rPr>
              <w:t>1中华人民其和国传委响动消法》</w:t>
            </w:r>
          </w:p>
        </w:tc>
      </w:tr>
      <w:tr>
        <w:trPr>
          <w:trHeight w:val="300" w:hRule="atLeast"/>
        </w:trPr>
        <w:tc>
          <w:tcPr>
            <w:tcW w:w="574" w:type="dxa"/>
            <w:vAlign w:val="top"/>
          </w:tcPr>
          <w:p>
            <w:pPr>
              <w:pStyle w:val="TableText"/>
              <w:ind w:left="104"/>
              <w:spacing w:before="119" w:line="182" w:lineRule="auto"/>
              <w:rPr>
                <w:sz w:val="17"/>
                <w:szCs w:val="17"/>
              </w:rPr>
            </w:pPr>
            <w:r>
              <w:rPr>
                <w:sz w:val="17"/>
                <w:szCs w:val="17"/>
                <w:spacing w:val="-2"/>
              </w:rPr>
              <w:t>a×5</w:t>
            </w:r>
          </w:p>
        </w:tc>
        <w:tc>
          <w:tcPr>
            <w:tcW w:w="1299" w:type="dxa"/>
            <w:vAlign w:val="top"/>
          </w:tcPr>
          <w:p>
            <w:pPr>
              <w:pStyle w:val="TableText"/>
              <w:ind w:left="210"/>
              <w:spacing w:before="75" w:line="220" w:lineRule="auto"/>
              <w:rPr>
                <w:sz w:val="17"/>
                <w:szCs w:val="17"/>
              </w:rPr>
            </w:pPr>
            <w:r>
              <w:rPr>
                <w:sz w:val="17"/>
                <w:szCs w:val="17"/>
                <w:spacing w:val="3"/>
              </w:rPr>
              <w:t>国案疾控同</w:t>
            </w:r>
          </w:p>
        </w:tc>
        <w:tc>
          <w:tcPr>
            <w:tcW w:w="1638" w:type="dxa"/>
            <w:vAlign w:val="top"/>
          </w:tcPr>
          <w:p>
            <w:pPr>
              <w:pStyle w:val="TableText"/>
              <w:ind w:left="32"/>
              <w:spacing w:before="75" w:line="219" w:lineRule="auto"/>
              <w:rPr>
                <w:sz w:val="17"/>
                <w:szCs w:val="17"/>
              </w:rPr>
            </w:pPr>
            <w:r>
              <w:rPr>
                <w:sz w:val="17"/>
                <w:szCs w:val="17"/>
                <w:spacing w:val="-2"/>
              </w:rPr>
              <w:t>处共场所其生许可</w:t>
            </w:r>
          </w:p>
        </w:tc>
        <w:tc>
          <w:tcPr>
            <w:tcW w:w="2377" w:type="dxa"/>
            <w:vAlign w:val="top"/>
          </w:tcPr>
          <w:p>
            <w:pPr>
              <w:pStyle w:val="TableText"/>
              <w:ind w:left="64"/>
              <w:spacing w:before="75" w:line="219" w:lineRule="auto"/>
              <w:rPr>
                <w:sz w:val="17"/>
                <w:szCs w:val="17"/>
              </w:rPr>
            </w:pPr>
            <w:r>
              <w:rPr>
                <w:sz w:val="17"/>
                <w:szCs w:val="17"/>
                <w:spacing w:val="1"/>
              </w:rPr>
              <w:t>设区的市做，是硬芪草部门</w:t>
            </w:r>
          </w:p>
        </w:tc>
        <w:tc>
          <w:tcPr>
            <w:tcW w:w="3713" w:type="dxa"/>
            <w:vAlign w:val="top"/>
          </w:tcPr>
          <w:p>
            <w:pPr>
              <w:pStyle w:val="TableText"/>
              <w:ind w:left="56"/>
              <w:spacing w:before="75" w:line="219" w:lineRule="auto"/>
              <w:rPr>
                <w:sz w:val="17"/>
                <w:szCs w:val="17"/>
              </w:rPr>
            </w:pPr>
            <w:r>
              <w:rPr>
                <w:sz w:val="17"/>
                <w:szCs w:val="17"/>
                <w:spacing w:val="1"/>
              </w:rPr>
              <w:t>1公共略所卫层贷理条例1</w:t>
            </w:r>
          </w:p>
        </w:tc>
      </w:tr>
      <w:tr>
        <w:trPr>
          <w:trHeight w:val="919" w:hRule="atLeast"/>
        </w:trPr>
        <w:tc>
          <w:tcPr>
            <w:tcW w:w="574" w:type="dxa"/>
            <w:vAlign w:val="top"/>
          </w:tcPr>
          <w:p>
            <w:pPr>
              <w:spacing w:line="371" w:lineRule="auto"/>
              <w:rPr>
                <w:rFonts w:ascii="Arial"/>
                <w:sz w:val="21"/>
              </w:rPr>
            </w:pPr>
            <w:r/>
          </w:p>
          <w:p>
            <w:pPr>
              <w:pStyle w:val="TableText"/>
              <w:ind w:left="144"/>
              <w:spacing w:before="55" w:line="183" w:lineRule="auto"/>
              <w:rPr>
                <w:sz w:val="17"/>
                <w:szCs w:val="17"/>
              </w:rPr>
            </w:pPr>
            <w:r>
              <w:rPr>
                <w:sz w:val="17"/>
                <w:szCs w:val="17"/>
                <w:spacing w:val="-1"/>
              </w:rPr>
              <w:t>B86</w:t>
            </w:r>
          </w:p>
        </w:tc>
        <w:tc>
          <w:tcPr>
            <w:tcW w:w="1299" w:type="dxa"/>
            <w:vAlign w:val="top"/>
          </w:tcPr>
          <w:p>
            <w:pPr>
              <w:spacing w:line="328" w:lineRule="auto"/>
              <w:rPr>
                <w:rFonts w:ascii="Arial"/>
                <w:sz w:val="21"/>
              </w:rPr>
            </w:pPr>
            <w:r/>
          </w:p>
          <w:p>
            <w:pPr>
              <w:pStyle w:val="TableText"/>
              <w:ind w:left="210"/>
              <w:spacing w:before="55" w:line="220" w:lineRule="auto"/>
              <w:rPr>
                <w:sz w:val="17"/>
                <w:szCs w:val="17"/>
              </w:rPr>
            </w:pPr>
            <w:r>
              <w:rPr>
                <w:sz w:val="17"/>
                <w:szCs w:val="17"/>
                <w:spacing w:val="2"/>
              </w:rPr>
              <w:t>国裂疾控属</w:t>
            </w:r>
          </w:p>
        </w:tc>
        <w:tc>
          <w:tcPr>
            <w:tcW w:w="1638" w:type="dxa"/>
            <w:vAlign w:val="top"/>
          </w:tcPr>
          <w:p>
            <w:pPr>
              <w:pStyle w:val="TableText"/>
              <w:ind w:left="32" w:right="63" w:firstLine="10"/>
              <w:spacing w:before="184" w:line="229" w:lineRule="auto"/>
              <w:rPr>
                <w:sz w:val="17"/>
                <w:szCs w:val="17"/>
              </w:rPr>
            </w:pPr>
            <w:r>
              <w:rPr>
                <w:sz w:val="17"/>
                <w:szCs w:val="17"/>
                <w:spacing w:val="-1"/>
              </w:rPr>
              <w:t>利用暂封料，新工艺</w:t>
            </w:r>
            <w:r>
              <w:rPr>
                <w:sz w:val="17"/>
                <w:szCs w:val="17"/>
              </w:rPr>
              <w:t xml:space="preserve"> </w:t>
            </w:r>
            <w:r>
              <w:rPr>
                <w:sz w:val="17"/>
                <w:szCs w:val="17"/>
              </w:rPr>
              <w:t>法术.新杀简抓理生  </w:t>
            </w:r>
            <w:r>
              <w:rPr>
                <w:sz w:val="17"/>
                <w:szCs w:val="17"/>
                <w:spacing w:val="-1"/>
              </w:rPr>
              <w:t>产消毒产品事批</w:t>
            </w:r>
          </w:p>
        </w:tc>
        <w:tc>
          <w:tcPr>
            <w:tcW w:w="2377" w:type="dxa"/>
            <w:vAlign w:val="top"/>
          </w:tcPr>
          <w:p>
            <w:pPr>
              <w:spacing w:line="327" w:lineRule="auto"/>
              <w:rPr>
                <w:rFonts w:ascii="Arial"/>
                <w:sz w:val="21"/>
              </w:rPr>
            </w:pPr>
            <w:r/>
          </w:p>
          <w:p>
            <w:pPr>
              <w:pStyle w:val="TableText"/>
              <w:ind w:left="64"/>
              <w:spacing w:before="56" w:line="219" w:lineRule="auto"/>
              <w:rPr>
                <w:sz w:val="17"/>
                <w:szCs w:val="17"/>
              </w:rPr>
            </w:pPr>
            <w:r>
              <w:rPr>
                <w:sz w:val="17"/>
                <w:szCs w:val="17"/>
                <w:spacing w:val="1"/>
              </w:rPr>
              <w:t>国掌族控码</w:t>
            </w:r>
          </w:p>
        </w:tc>
        <w:tc>
          <w:tcPr>
            <w:tcW w:w="3713" w:type="dxa"/>
            <w:vAlign w:val="top"/>
          </w:tcPr>
          <w:p>
            <w:pPr>
              <w:pStyle w:val="TableText"/>
              <w:ind w:left="56"/>
              <w:spacing w:before="84" w:line="207" w:lineRule="auto"/>
              <w:rPr>
                <w:sz w:val="17"/>
                <w:szCs w:val="17"/>
              </w:rPr>
            </w:pPr>
            <w:r>
              <w:rPr>
                <w:sz w:val="17"/>
                <w:szCs w:val="17"/>
              </w:rPr>
              <w:t>中牛人民共和国传象期防资法</w:t>
            </w:r>
          </w:p>
          <w:p>
            <w:pPr>
              <w:pStyle w:val="TableText"/>
              <w:ind w:left="83" w:hanging="84"/>
              <w:spacing w:before="1" w:line="218" w:lineRule="auto"/>
              <w:jc w:val="both"/>
              <w:rPr>
                <w:sz w:val="17"/>
                <w:szCs w:val="17"/>
              </w:rPr>
            </w:pPr>
            <w:r>
              <w:rPr>
                <w:sz w:val="17"/>
                <w:szCs w:val="17"/>
                <w:spacing w:val="-3"/>
              </w:rPr>
              <w:t>《新消春产品和临浩水产盐卫生行战计可新理规定</w:t>
            </w:r>
            <w:r>
              <w:rPr>
                <w:sz w:val="17"/>
                <w:szCs w:val="17"/>
                <w:spacing w:val="8"/>
              </w:rPr>
              <w:t xml:space="preserve"> </w:t>
            </w:r>
            <w:r>
              <w:rPr>
                <w:sz w:val="17"/>
                <w:szCs w:val="17"/>
                <w:spacing w:val="-7"/>
              </w:rPr>
              <w:t>(国卫办监督发[5014]14号公布，国卫做解发020171</w:t>
            </w:r>
            <w:r>
              <w:rPr>
                <w:sz w:val="17"/>
                <w:szCs w:val="17"/>
                <w:spacing w:val="2"/>
              </w:rPr>
              <w:t xml:space="preserve"> </w:t>
            </w:r>
            <w:r>
              <w:rPr>
                <w:sz w:val="17"/>
                <w:szCs w:val="17"/>
                <w:spacing w:val="-3"/>
              </w:rPr>
              <w:t>27号惜正</w:t>
            </w:r>
          </w:p>
        </w:tc>
      </w:tr>
      <w:tr>
        <w:trPr>
          <w:trHeight w:val="494" w:hRule="atLeast"/>
        </w:trPr>
        <w:tc>
          <w:tcPr>
            <w:tcW w:w="574" w:type="dxa"/>
            <w:vAlign w:val="top"/>
          </w:tcPr>
          <w:p>
            <w:pPr>
              <w:rPr>
                <w:rFonts w:ascii="Arial"/>
                <w:sz w:val="21"/>
              </w:rPr>
            </w:pPr>
            <w:r/>
          </w:p>
        </w:tc>
        <w:tc>
          <w:tcPr>
            <w:tcW w:w="1299" w:type="dxa"/>
            <w:vAlign w:val="top"/>
          </w:tcPr>
          <w:p>
            <w:pPr>
              <w:pStyle w:val="TableText"/>
              <w:ind w:left="210"/>
              <w:spacing w:before="166" w:line="221" w:lineRule="auto"/>
              <w:rPr>
                <w:sz w:val="17"/>
                <w:szCs w:val="17"/>
              </w:rPr>
            </w:pPr>
            <w:r>
              <w:rPr>
                <w:sz w:val="17"/>
                <w:szCs w:val="17"/>
                <w:spacing w:val="3"/>
              </w:rPr>
              <w:t>国影族芒局</w:t>
            </w:r>
          </w:p>
        </w:tc>
        <w:tc>
          <w:tcPr>
            <w:tcW w:w="1638" w:type="dxa"/>
            <w:vAlign w:val="top"/>
          </w:tcPr>
          <w:p>
            <w:pPr>
              <w:pStyle w:val="TableText"/>
              <w:ind w:left="32" w:right="31" w:firstLine="20"/>
              <w:spacing w:before="75" w:line="220" w:lineRule="auto"/>
              <w:rPr>
                <w:sz w:val="17"/>
                <w:szCs w:val="17"/>
              </w:rPr>
            </w:pPr>
            <w:r>
              <w:rPr>
                <w:sz w:val="17"/>
                <w:szCs w:val="17"/>
                <w:spacing w:val="1"/>
              </w:rPr>
              <w:t>销备产岛生产单位审</w:t>
            </w:r>
            <w:r>
              <w:rPr>
                <w:sz w:val="17"/>
                <w:szCs w:val="17"/>
                <w:spacing w:val="4"/>
              </w:rPr>
              <w:t xml:space="preserve"> </w:t>
            </w:r>
            <w:r>
              <w:rPr>
                <w:sz w:val="17"/>
                <w:szCs w:val="17"/>
              </w:rPr>
              <w:t>指</w:t>
            </w:r>
          </w:p>
        </w:tc>
        <w:tc>
          <w:tcPr>
            <w:tcW w:w="2377" w:type="dxa"/>
            <w:vAlign w:val="top"/>
          </w:tcPr>
          <w:p>
            <w:pPr>
              <w:pStyle w:val="TableText"/>
              <w:ind w:left="64"/>
              <w:spacing w:before="166" w:line="219" w:lineRule="auto"/>
              <w:rPr>
                <w:sz w:val="17"/>
                <w:szCs w:val="17"/>
              </w:rPr>
            </w:pPr>
            <w:r>
              <w:rPr>
                <w:sz w:val="17"/>
                <w:szCs w:val="17"/>
                <w:spacing w:val="3"/>
              </w:rPr>
              <w:t>省蝇族控部门</w:t>
            </w:r>
          </w:p>
        </w:tc>
        <w:tc>
          <w:tcPr>
            <w:tcW w:w="3713" w:type="dxa"/>
            <w:vAlign w:val="top"/>
          </w:tcPr>
          <w:p>
            <w:pPr>
              <w:pStyle w:val="TableText"/>
              <w:spacing w:before="164" w:line="219" w:lineRule="auto"/>
              <w:rPr>
                <w:sz w:val="17"/>
                <w:szCs w:val="17"/>
              </w:rPr>
            </w:pPr>
            <w:r>
              <w:rPr>
                <w:sz w:val="17"/>
                <w:szCs w:val="17"/>
                <w:spacing w:val="-2"/>
              </w:rPr>
              <w:t>《中华人民共和阅传监病动的法。</w:t>
            </w:r>
          </w:p>
        </w:tc>
      </w:tr>
    </w:tbl>
    <w:p>
      <w:pPr>
        <w:pStyle w:val="BodyText"/>
        <w:rPr/>
      </w:pPr>
      <w:r/>
    </w:p>
    <w:p>
      <w:pPr>
        <w:sectPr>
          <w:pgSz w:w="11910" w:h="8220"/>
          <w:pgMar w:top="400" w:right="1163"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915264"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46" name="TextBox 346"/>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8" style="position:absolute;margin-left:37.0402pt;margin-top:48.636pt;mso-position-vertical-relative:page;mso-position-horizontal-relative:page;width:13.6pt;height:12.35pt;z-index:25191526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254</w:t>
                      </w:r>
                    </w:p>
                  </w:txbxContent>
                </v:textbox>
              </v:shape>
            </w:pict>
          </mc:Fallback>
        </mc:AlternateContent>
      </w:r>
      <w:r/>
    </w:p>
    <w:tbl>
      <w:tblPr>
        <w:tblStyle w:val="TableNormal"/>
        <w:tblW w:w="960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99"/>
        <w:gridCol w:w="1628"/>
        <w:gridCol w:w="2377"/>
        <w:gridCol w:w="3711"/>
      </w:tblGrid>
      <w:tr>
        <w:trPr>
          <w:trHeight w:val="425" w:hRule="atLeast"/>
        </w:trPr>
        <w:tc>
          <w:tcPr>
            <w:tcW w:w="594" w:type="dxa"/>
            <w:vAlign w:val="top"/>
          </w:tcPr>
          <w:p>
            <w:pPr>
              <w:pStyle w:val="TableText"/>
              <w:ind w:left="114"/>
              <w:spacing w:before="132" w:line="221" w:lineRule="auto"/>
              <w:rPr>
                <w:sz w:val="17"/>
                <w:szCs w:val="17"/>
              </w:rPr>
            </w:pPr>
            <w:r>
              <w:rPr>
                <w:sz w:val="17"/>
                <w:szCs w:val="17"/>
                <w:spacing w:val="5"/>
              </w:rPr>
              <w:t>厚号</w:t>
            </w:r>
          </w:p>
        </w:tc>
        <w:tc>
          <w:tcPr>
            <w:tcW w:w="1299" w:type="dxa"/>
            <w:vAlign w:val="top"/>
          </w:tcPr>
          <w:p>
            <w:pPr>
              <w:pStyle w:val="TableText"/>
              <w:ind w:left="130"/>
              <w:spacing w:before="132" w:line="219" w:lineRule="auto"/>
              <w:rPr>
                <w:sz w:val="17"/>
                <w:szCs w:val="17"/>
              </w:rPr>
            </w:pPr>
            <w:r>
              <w:rPr>
                <w:sz w:val="17"/>
                <w:szCs w:val="17"/>
                <w:spacing w:val="3"/>
              </w:rPr>
              <w:t>中央主管部门</w:t>
            </w:r>
          </w:p>
        </w:tc>
        <w:tc>
          <w:tcPr>
            <w:tcW w:w="1628" w:type="dxa"/>
            <w:vAlign w:val="top"/>
          </w:tcPr>
          <w:p>
            <w:pPr>
              <w:pStyle w:val="TableText"/>
              <w:ind w:left="431"/>
              <w:spacing w:before="132" w:line="220" w:lineRule="auto"/>
              <w:rPr>
                <w:sz w:val="17"/>
                <w:szCs w:val="17"/>
              </w:rPr>
            </w:pPr>
            <w:r>
              <w:rPr>
                <w:sz w:val="17"/>
                <w:szCs w:val="17"/>
                <w:spacing w:val="-2"/>
              </w:rPr>
              <w:t>事项名称</w:t>
            </w:r>
          </w:p>
        </w:tc>
        <w:tc>
          <w:tcPr>
            <w:tcW w:w="2377" w:type="dxa"/>
            <w:vAlign w:val="top"/>
          </w:tcPr>
          <w:p>
            <w:pPr>
              <w:pStyle w:val="TableText"/>
              <w:ind w:left="844"/>
              <w:spacing w:before="130" w:line="219" w:lineRule="auto"/>
              <w:rPr>
                <w:sz w:val="17"/>
                <w:szCs w:val="17"/>
              </w:rPr>
            </w:pPr>
            <w:r>
              <w:rPr>
                <w:sz w:val="17"/>
                <w:szCs w:val="17"/>
                <w:spacing w:val="-3"/>
              </w:rPr>
              <w:t>实地机美</w:t>
            </w:r>
          </w:p>
        </w:tc>
        <w:tc>
          <w:tcPr>
            <w:tcW w:w="3711" w:type="dxa"/>
            <w:vAlign w:val="top"/>
          </w:tcPr>
          <w:p>
            <w:pPr>
              <w:pStyle w:val="TableText"/>
              <w:ind w:left="1319"/>
              <w:spacing w:before="128" w:line="219" w:lineRule="auto"/>
              <w:rPr>
                <w:sz w:val="17"/>
                <w:szCs w:val="17"/>
              </w:rPr>
            </w:pPr>
            <w:r>
              <w:rPr>
                <w:sz w:val="17"/>
                <w:szCs w:val="17"/>
                <w:b/>
                <w:bCs/>
                <w:spacing w:val="-3"/>
              </w:rPr>
              <w:t>设定和实统依据</w:t>
            </w:r>
          </w:p>
        </w:tc>
      </w:tr>
      <w:tr>
        <w:trPr>
          <w:trHeight w:val="2287" w:hRule="atLeast"/>
        </w:trPr>
        <w:tc>
          <w:tcPr>
            <w:tcW w:w="594"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04"/>
              <w:spacing w:before="55" w:line="182" w:lineRule="auto"/>
              <w:rPr>
                <w:sz w:val="17"/>
                <w:szCs w:val="17"/>
              </w:rPr>
            </w:pPr>
            <w:r>
              <w:rPr>
                <w:sz w:val="17"/>
                <w:szCs w:val="17"/>
                <w:spacing w:val="-1"/>
              </w:rPr>
              <w:t>MH</w:t>
            </w:r>
          </w:p>
        </w:tc>
        <w:tc>
          <w:tcPr>
            <w:tcW w:w="1299"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0"/>
              <w:spacing w:before="56" w:line="219" w:lineRule="auto"/>
              <w:rPr>
                <w:sz w:val="17"/>
                <w:szCs w:val="17"/>
              </w:rPr>
            </w:pPr>
            <w:r>
              <w:rPr>
                <w:sz w:val="17"/>
                <w:szCs w:val="17"/>
                <w:spacing w:val="1"/>
              </w:rPr>
              <w:t>国家算山安蓝具</w:t>
            </w:r>
          </w:p>
        </w:tc>
        <w:tc>
          <w:tcPr>
            <w:tcW w:w="1628"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52" w:right="41"/>
              <w:spacing w:before="55" w:line="224" w:lineRule="auto"/>
              <w:rPr>
                <w:sz w:val="17"/>
                <w:szCs w:val="17"/>
              </w:rPr>
            </w:pPr>
            <w:r>
              <w:rPr>
                <w:sz w:val="17"/>
                <w:szCs w:val="17"/>
                <w:spacing w:val="-1"/>
              </w:rPr>
              <w:t>矿山建设确目安全设</w:t>
            </w:r>
            <w:r>
              <w:rPr>
                <w:sz w:val="17"/>
                <w:szCs w:val="17"/>
                <w:spacing w:val="2"/>
              </w:rPr>
              <w:t xml:space="preserve"> </w:t>
            </w:r>
            <w:r>
              <w:rPr>
                <w:sz w:val="17"/>
                <w:szCs w:val="17"/>
                <w:spacing w:val="1"/>
              </w:rPr>
              <w:t>需设计草查</w:t>
            </w:r>
          </w:p>
        </w:tc>
        <w:tc>
          <w:tcPr>
            <w:tcW w:w="2377" w:type="dxa"/>
            <w:vAlign w:val="top"/>
          </w:tcPr>
          <w:p>
            <w:pPr>
              <w:spacing w:line="302" w:lineRule="auto"/>
              <w:rPr>
                <w:rFonts w:ascii="Arial"/>
                <w:sz w:val="21"/>
              </w:rPr>
            </w:pPr>
            <w:r/>
          </w:p>
          <w:p>
            <w:pPr>
              <w:spacing w:line="303" w:lineRule="auto"/>
              <w:rPr>
                <w:rFonts w:ascii="Arial"/>
                <w:sz w:val="21"/>
              </w:rPr>
            </w:pPr>
            <w:r/>
          </w:p>
          <w:p>
            <w:pPr>
              <w:pStyle w:val="TableText"/>
              <w:ind w:left="64" w:firstLine="29"/>
              <w:spacing w:before="56" w:line="223" w:lineRule="auto"/>
              <w:rPr>
                <w:sz w:val="17"/>
                <w:szCs w:val="17"/>
              </w:rPr>
            </w:pPr>
            <w:r>
              <w:rPr>
                <w:sz w:val="17"/>
                <w:szCs w:val="17"/>
                <w:spacing w:val="-9"/>
              </w:rPr>
              <w:t>四家穿山安监局，省级应皇登理</w:t>
            </w:r>
            <w:r>
              <w:rPr>
                <w:sz w:val="17"/>
                <w:szCs w:val="17"/>
                <w:spacing w:val="5"/>
              </w:rPr>
              <w:t xml:space="preserve"> </w:t>
            </w:r>
            <w:r>
              <w:rPr>
                <w:sz w:val="17"/>
                <w:szCs w:val="17"/>
              </w:rPr>
              <w:t>加门1各类地矿安全设题设计需</w:t>
            </w:r>
            <w:r>
              <w:rPr>
                <w:sz w:val="17"/>
                <w:szCs w:val="17"/>
                <w:spacing w:val="6"/>
              </w:rPr>
              <w:t xml:space="preserve"> </w:t>
            </w:r>
            <w:r>
              <w:rPr>
                <w:sz w:val="17"/>
                <w:szCs w:val="17"/>
                <w:spacing w:val="-2"/>
              </w:rPr>
              <w:t>查山省做是亚安全监管察门卖</w:t>
            </w:r>
            <w:r>
              <w:rPr>
                <w:sz w:val="17"/>
                <w:szCs w:val="17"/>
                <w:spacing w:val="5"/>
              </w:rPr>
              <w:t xml:space="preserve">  </w:t>
            </w:r>
            <w:r>
              <w:rPr>
                <w:sz w:val="17"/>
                <w:szCs w:val="17"/>
                <w:spacing w:val="-6"/>
              </w:rPr>
              <w:t>药);设区的市线，系统应念查理</w:t>
            </w:r>
            <w:r>
              <w:rPr>
                <w:sz w:val="17"/>
                <w:szCs w:val="17"/>
              </w:rPr>
              <w:t xml:space="preserve"> </w:t>
            </w:r>
            <w:r>
              <w:rPr>
                <w:sz w:val="17"/>
                <w:szCs w:val="17"/>
                <w:spacing w:val="10"/>
              </w:rPr>
              <w:t>图r]</w:t>
            </w:r>
          </w:p>
        </w:tc>
        <w:tc>
          <w:tcPr>
            <w:tcW w:w="3711" w:type="dxa"/>
            <w:vAlign w:val="top"/>
          </w:tcPr>
          <w:p>
            <w:pPr>
              <w:pStyle w:val="TableText"/>
              <w:ind w:left="117"/>
              <w:spacing w:before="46" w:line="239" w:lineRule="auto"/>
              <w:rPr>
                <w:sz w:val="17"/>
                <w:szCs w:val="17"/>
              </w:rPr>
            </w:pPr>
            <w:r>
              <w:rPr>
                <w:sz w:val="17"/>
                <w:szCs w:val="17"/>
                <w:spacing w:val="-1"/>
              </w:rPr>
              <w:t>(中华人民共和圆安全生产法》</w:t>
            </w:r>
          </w:p>
          <w:p>
            <w:pPr>
              <w:pStyle w:val="TableText"/>
              <w:ind w:left="117"/>
              <w:spacing w:line="216" w:lineRule="auto"/>
              <w:rPr>
                <w:sz w:val="17"/>
                <w:szCs w:val="17"/>
              </w:rPr>
            </w:pPr>
            <w:r>
              <w:rPr>
                <w:sz w:val="17"/>
                <w:szCs w:val="17"/>
              </w:rPr>
              <w:t>(要矿安全监非条的</w:t>
            </w:r>
          </w:p>
          <w:p>
            <w:pPr>
              <w:pStyle w:val="TableText"/>
              <w:ind w:left="32"/>
              <w:spacing w:line="217" w:lineRule="auto"/>
              <w:rPr>
                <w:sz w:val="17"/>
                <w:szCs w:val="17"/>
              </w:rPr>
            </w:pPr>
            <w:r>
              <w:rPr>
                <w:sz w:val="17"/>
                <w:szCs w:val="17"/>
                <w:spacing w:val="-1"/>
              </w:rPr>
              <w:t>《型才业设而日安全设能监吹规定!</w:t>
            </w:r>
          </w:p>
          <w:p>
            <w:pPr>
              <w:pStyle w:val="TableText"/>
              <w:ind w:left="32"/>
              <w:spacing w:line="206" w:lineRule="auto"/>
              <w:rPr>
                <w:sz w:val="17"/>
                <w:szCs w:val="17"/>
              </w:rPr>
            </w:pPr>
            <w:r>
              <w:rPr>
                <w:sz w:val="17"/>
                <w:szCs w:val="17"/>
              </w:rPr>
              <w:t>《建设项月安全设益“三间时”监营管理办</w:t>
            </w:r>
            <w:r>
              <w:rPr>
                <w:sz w:val="17"/>
                <w:szCs w:val="17"/>
                <w:spacing w:val="-1"/>
              </w:rPr>
              <w:t>法)</w:t>
            </w:r>
          </w:p>
          <w:p>
            <w:pPr>
              <w:pStyle w:val="TableText"/>
              <w:ind w:left="57" w:firstLine="59"/>
              <w:spacing w:before="1" w:line="222" w:lineRule="auto"/>
              <w:rPr>
                <w:sz w:val="17"/>
                <w:szCs w:val="17"/>
              </w:rPr>
            </w:pPr>
            <w:r>
              <w:rPr>
                <w:sz w:val="17"/>
                <w:szCs w:val="17"/>
              </w:rPr>
              <w:t>国家安全账管总品办公斤关手部实做好国家取消</w:t>
            </w:r>
            <w:r>
              <w:rPr>
                <w:sz w:val="17"/>
                <w:szCs w:val="17"/>
                <w:spacing w:val="13"/>
              </w:rPr>
              <w:t xml:space="preserve"> </w:t>
            </w:r>
            <w:r>
              <w:rPr>
                <w:sz w:val="17"/>
                <w:szCs w:val="17"/>
                <w:spacing w:val="-1"/>
              </w:rPr>
              <w:t>和下放投资市批有关建设项目安全监管工作的通</w:t>
            </w:r>
            <w:r>
              <w:rPr>
                <w:sz w:val="17"/>
                <w:szCs w:val="17"/>
                <w:spacing w:val="5"/>
              </w:rPr>
              <w:t xml:space="preserve">  </w:t>
            </w:r>
            <w:r>
              <w:rPr>
                <w:sz w:val="17"/>
                <w:szCs w:val="17"/>
                <w:spacing w:val="5"/>
              </w:rPr>
              <w:t>如有安度益厅做成(2014)12y号)</w:t>
            </w:r>
          </w:p>
          <w:p>
            <w:pPr>
              <w:pStyle w:val="TableText"/>
              <w:ind w:left="83" w:right="4" w:hanging="84"/>
              <w:spacing w:before="6" w:line="212" w:lineRule="auto"/>
              <w:rPr>
                <w:sz w:val="17"/>
                <w:szCs w:val="17"/>
              </w:rPr>
            </w:pPr>
            <w:r>
              <w:rPr>
                <w:sz w:val="17"/>
                <w:szCs w:val="17"/>
                <w:spacing w:val="-2"/>
              </w:rPr>
              <w:t>《时家安全监管总局办公厅关于项确非某矿山费议</w:t>
            </w:r>
            <w:r>
              <w:rPr>
                <w:sz w:val="17"/>
                <w:szCs w:val="17"/>
              </w:rPr>
              <w:t xml:space="preserve"> </w:t>
            </w:r>
            <w:r>
              <w:rPr>
                <w:sz w:val="17"/>
                <w:szCs w:val="17"/>
                <w:spacing w:val="-2"/>
              </w:rPr>
              <w:t>项目安全监管职直等事项的流卸K安监总厅情一</w:t>
            </w:r>
          </w:p>
          <w:p>
            <w:pPr>
              <w:pStyle w:val="TableText"/>
              <w:ind w:left="117"/>
              <w:spacing w:before="1" w:line="220" w:lineRule="auto"/>
              <w:rPr>
                <w:sz w:val="17"/>
                <w:szCs w:val="17"/>
              </w:rPr>
            </w:pPr>
            <w:r>
              <w:rPr>
                <w:sz w:val="17"/>
                <w:szCs w:val="17"/>
                <w:spacing w:val="3"/>
              </w:rPr>
              <w:t>C201311*3号)</w:t>
            </w:r>
          </w:p>
          <w:p>
            <w:pPr>
              <w:pStyle w:val="TableText"/>
              <w:spacing w:before="5" w:line="218" w:lineRule="auto"/>
              <w:rPr>
                <w:sz w:val="17"/>
                <w:szCs w:val="17"/>
              </w:rPr>
            </w:pPr>
            <w:r>
              <w:rPr>
                <w:sz w:val="17"/>
                <w:szCs w:val="17"/>
                <w:spacing w:val="-2"/>
              </w:rPr>
              <w:t>《中华人促共和国应急督理部公吉K2021年第1号1</w:t>
            </w:r>
          </w:p>
        </w:tc>
      </w:tr>
      <w:tr>
        <w:trPr>
          <w:trHeight w:val="459" w:hRule="atLeast"/>
        </w:trPr>
        <w:tc>
          <w:tcPr>
            <w:tcW w:w="594" w:type="dxa"/>
            <w:vAlign w:val="top"/>
          </w:tcPr>
          <w:p>
            <w:pPr>
              <w:pStyle w:val="TableText"/>
              <w:ind w:left="154"/>
              <w:spacing w:before="172" w:line="183" w:lineRule="auto"/>
              <w:rPr>
                <w:sz w:val="17"/>
                <w:szCs w:val="17"/>
              </w:rPr>
            </w:pPr>
            <w:r>
              <w:rPr>
                <w:sz w:val="17"/>
                <w:szCs w:val="17"/>
                <w:spacing w:val="-2"/>
              </w:rPr>
              <w:t>S8y</w:t>
            </w:r>
          </w:p>
        </w:tc>
        <w:tc>
          <w:tcPr>
            <w:tcW w:w="1299" w:type="dxa"/>
            <w:vAlign w:val="top"/>
          </w:tcPr>
          <w:p>
            <w:pPr>
              <w:pStyle w:val="TableText"/>
              <w:ind w:left="40"/>
              <w:spacing w:before="148" w:line="219" w:lineRule="auto"/>
              <w:rPr>
                <w:sz w:val="17"/>
                <w:szCs w:val="17"/>
              </w:rPr>
            </w:pPr>
            <w:r>
              <w:rPr>
                <w:sz w:val="17"/>
                <w:szCs w:val="17"/>
                <w:spacing w:val="-1"/>
              </w:rPr>
              <w:t>偶家矿山灾监身</w:t>
            </w:r>
          </w:p>
        </w:tc>
        <w:tc>
          <w:tcPr>
            <w:tcW w:w="1628" w:type="dxa"/>
            <w:vAlign w:val="top"/>
          </w:tcPr>
          <w:p>
            <w:pPr>
              <w:pStyle w:val="TableText"/>
              <w:ind w:left="52" w:right="51" w:hanging="10"/>
              <w:spacing w:before="59" w:line="211" w:lineRule="auto"/>
              <w:rPr>
                <w:sz w:val="17"/>
                <w:szCs w:val="17"/>
              </w:rPr>
            </w:pPr>
            <w:r>
              <w:rPr>
                <w:sz w:val="17"/>
                <w:szCs w:val="17"/>
                <w:spacing w:val="-1"/>
              </w:rPr>
              <w:t>矿山企业安全生产许</w:t>
            </w:r>
            <w:r>
              <w:rPr>
                <w:sz w:val="17"/>
                <w:szCs w:val="17"/>
                <w:spacing w:val="2"/>
              </w:rPr>
              <w:t xml:space="preserve"> </w:t>
            </w:r>
            <w:r>
              <w:rPr>
                <w:sz w:val="17"/>
                <w:szCs w:val="17"/>
              </w:rPr>
              <w:t>可</w:t>
            </w:r>
          </w:p>
        </w:tc>
        <w:tc>
          <w:tcPr>
            <w:tcW w:w="2377" w:type="dxa"/>
            <w:vAlign w:val="top"/>
          </w:tcPr>
          <w:p>
            <w:pPr>
              <w:pStyle w:val="TableText"/>
              <w:ind w:left="64" w:right="112" w:hanging="10"/>
              <w:spacing w:before="60" w:line="211" w:lineRule="auto"/>
              <w:rPr>
                <w:sz w:val="17"/>
                <w:szCs w:val="17"/>
              </w:rPr>
            </w:pPr>
            <w:r>
              <w:rPr>
                <w:sz w:val="17"/>
                <w:szCs w:val="17"/>
                <w:spacing w:val="-1"/>
              </w:rPr>
              <w:t>省模应急管理部门或者课不安</w:t>
            </w:r>
            <w:r>
              <w:rPr>
                <w:sz w:val="17"/>
                <w:szCs w:val="17"/>
                <w:spacing w:val="2"/>
              </w:rPr>
              <w:t xml:space="preserve"> </w:t>
            </w:r>
            <w:r>
              <w:rPr>
                <w:sz w:val="17"/>
                <w:szCs w:val="17"/>
                <w:spacing w:val="3"/>
              </w:rPr>
              <w:t>全监管都门</w:t>
            </w:r>
          </w:p>
        </w:tc>
        <w:tc>
          <w:tcPr>
            <w:tcW w:w="3711" w:type="dxa"/>
            <w:vAlign w:val="top"/>
          </w:tcPr>
          <w:p>
            <w:pPr>
              <w:pStyle w:val="TableText"/>
              <w:ind w:left="117"/>
              <w:spacing w:before="30" w:line="219" w:lineRule="auto"/>
              <w:rPr>
                <w:sz w:val="17"/>
                <w:szCs w:val="17"/>
              </w:rPr>
            </w:pPr>
            <w:r>
              <w:rPr>
                <w:sz w:val="17"/>
                <w:szCs w:val="17"/>
                <w:spacing w:val="3"/>
              </w:rPr>
              <w:t>发全生产许可证柔同)</w:t>
            </w:r>
          </w:p>
          <w:p>
            <w:pPr>
              <w:pStyle w:val="TableText"/>
              <w:ind w:left="117"/>
              <w:spacing w:before="8" w:line="219" w:lineRule="auto"/>
              <w:rPr>
                <w:sz w:val="17"/>
                <w:szCs w:val="17"/>
              </w:rPr>
            </w:pPr>
            <w:r>
              <w:rPr>
                <w:sz w:val="17"/>
                <w:szCs w:val="17"/>
                <w:spacing w:val="-1"/>
              </w:rPr>
              <w:t>理破矿山企应安全生产许可证实原办法</w:t>
            </w:r>
          </w:p>
        </w:tc>
      </w:tr>
      <w:tr>
        <w:trPr>
          <w:trHeight w:val="659" w:hRule="atLeast"/>
        </w:trPr>
        <w:tc>
          <w:tcPr>
            <w:tcW w:w="594" w:type="dxa"/>
            <w:vAlign w:val="top"/>
          </w:tcPr>
          <w:p>
            <w:pPr>
              <w:pStyle w:val="TableText"/>
              <w:ind w:left="154"/>
              <w:spacing w:before="294" w:line="183" w:lineRule="auto"/>
              <w:rPr>
                <w:sz w:val="17"/>
                <w:szCs w:val="17"/>
              </w:rPr>
            </w:pPr>
            <w:r>
              <w:rPr>
                <w:sz w:val="17"/>
                <w:szCs w:val="17"/>
                <w:spacing w:val="-2"/>
              </w:rPr>
              <w:t>890</w:t>
            </w:r>
          </w:p>
        </w:tc>
        <w:tc>
          <w:tcPr>
            <w:tcW w:w="1299" w:type="dxa"/>
            <w:vAlign w:val="top"/>
          </w:tcPr>
          <w:p>
            <w:pPr>
              <w:pStyle w:val="TableText"/>
              <w:ind w:left="40"/>
              <w:spacing w:before="251" w:line="219" w:lineRule="auto"/>
              <w:rPr>
                <w:sz w:val="17"/>
                <w:szCs w:val="17"/>
              </w:rPr>
            </w:pPr>
            <w:r>
              <w:rPr>
                <w:sz w:val="17"/>
                <w:szCs w:val="17"/>
                <w:spacing w:val="1"/>
              </w:rPr>
              <w:t>愿家矿山安值身</w:t>
            </w:r>
          </w:p>
        </w:tc>
        <w:tc>
          <w:tcPr>
            <w:tcW w:w="1628" w:type="dxa"/>
            <w:vAlign w:val="top"/>
          </w:tcPr>
          <w:p>
            <w:pPr>
              <w:pStyle w:val="TableText"/>
              <w:ind w:left="52" w:right="51" w:hanging="10"/>
              <w:spacing w:before="149" w:line="219" w:lineRule="auto"/>
              <w:rPr>
                <w:sz w:val="17"/>
                <w:szCs w:val="17"/>
              </w:rPr>
            </w:pPr>
            <w:r>
              <w:rPr>
                <w:sz w:val="17"/>
                <w:szCs w:val="17"/>
                <w:spacing w:val="-1"/>
              </w:rPr>
              <w:t>矿山籍种作生人员聊</w:t>
            </w:r>
            <w:r>
              <w:rPr>
                <w:sz w:val="17"/>
                <w:szCs w:val="17"/>
                <w:spacing w:val="2"/>
              </w:rPr>
              <w:t xml:space="preserve"> </w:t>
            </w:r>
            <w:r>
              <w:rPr>
                <w:sz w:val="17"/>
                <w:szCs w:val="17"/>
                <w:spacing w:val="-2"/>
              </w:rPr>
              <w:t>贵斯散试定</w:t>
            </w:r>
          </w:p>
        </w:tc>
        <w:tc>
          <w:tcPr>
            <w:tcW w:w="2377" w:type="dxa"/>
            <w:vAlign w:val="top"/>
          </w:tcPr>
          <w:p>
            <w:pPr>
              <w:pStyle w:val="TableText"/>
              <w:ind w:left="64" w:right="72" w:firstLine="10"/>
              <w:spacing w:before="150" w:line="224" w:lineRule="auto"/>
              <w:rPr>
                <w:sz w:val="17"/>
                <w:szCs w:val="17"/>
              </w:rPr>
            </w:pPr>
            <w:r>
              <w:rPr>
                <w:sz w:val="17"/>
                <w:szCs w:val="17"/>
              </w:rPr>
              <w:t>百解应急管理部门或去煤矿安</w:t>
            </w:r>
            <w:r>
              <w:rPr>
                <w:sz w:val="17"/>
                <w:szCs w:val="17"/>
                <w:spacing w:val="8"/>
              </w:rPr>
              <w:t xml:space="preserve"> </w:t>
            </w:r>
            <w:r>
              <w:rPr>
                <w:sz w:val="17"/>
                <w:szCs w:val="17"/>
                <w:spacing w:val="3"/>
              </w:rPr>
              <w:t>全验管郁门</w:t>
            </w:r>
          </w:p>
        </w:tc>
        <w:tc>
          <w:tcPr>
            <w:tcW w:w="3711" w:type="dxa"/>
            <w:vAlign w:val="top"/>
          </w:tcPr>
          <w:p>
            <w:pPr>
              <w:pStyle w:val="TableText"/>
              <w:ind w:left="117"/>
              <w:spacing w:before="60" w:line="195" w:lineRule="auto"/>
              <w:rPr>
                <w:sz w:val="17"/>
                <w:szCs w:val="17"/>
              </w:rPr>
            </w:pPr>
            <w:r>
              <w:rPr>
                <w:sz w:val="17"/>
                <w:szCs w:val="17"/>
                <w:spacing w:val="5"/>
              </w:rPr>
              <w:t>(中伴人况共和国安全生产是】</w:t>
            </w:r>
          </w:p>
          <w:p>
            <w:pPr>
              <w:pStyle w:val="TableText"/>
              <w:ind w:left="117" w:right="367"/>
              <w:spacing w:before="1" w:line="221" w:lineRule="auto"/>
              <w:rPr>
                <w:sz w:val="17"/>
                <w:szCs w:val="17"/>
              </w:rPr>
            </w:pPr>
            <w:r>
              <w:rPr>
                <w:sz w:val="17"/>
                <w:szCs w:val="17"/>
                <w:spacing w:val="-1"/>
              </w:rPr>
              <w:t>答种作业人员安全技水路训与机查挥复定》</w:t>
            </w:r>
            <w:r>
              <w:rPr>
                <w:sz w:val="17"/>
                <w:szCs w:val="17"/>
                <w:spacing w:val="4"/>
              </w:rPr>
              <w:t xml:space="preserve"> </w:t>
            </w:r>
            <w:r>
              <w:rPr>
                <w:sz w:val="17"/>
                <w:szCs w:val="17"/>
              </w:rPr>
              <w:t>国家职业系将目录(2021午酒)3</w:t>
            </w:r>
          </w:p>
        </w:tc>
      </w:tr>
      <w:tr>
        <w:trPr>
          <w:trHeight w:val="459" w:hRule="atLeast"/>
        </w:trPr>
        <w:tc>
          <w:tcPr>
            <w:tcW w:w="594" w:type="dxa"/>
            <w:vAlign w:val="top"/>
          </w:tcPr>
          <w:p>
            <w:pPr>
              <w:pStyle w:val="TableText"/>
              <w:ind w:left="154"/>
              <w:spacing w:before="195" w:line="184" w:lineRule="auto"/>
              <w:rPr>
                <w:sz w:val="17"/>
                <w:szCs w:val="17"/>
              </w:rPr>
            </w:pPr>
            <w:r>
              <w:rPr>
                <w:sz w:val="17"/>
                <w:szCs w:val="17"/>
                <w:spacing w:val="-2"/>
              </w:rPr>
              <w:t>871</w:t>
            </w:r>
          </w:p>
        </w:tc>
        <w:tc>
          <w:tcPr>
            <w:tcW w:w="1299" w:type="dxa"/>
            <w:vAlign w:val="top"/>
          </w:tcPr>
          <w:p>
            <w:pPr>
              <w:pStyle w:val="TableText"/>
              <w:ind w:left="210"/>
              <w:spacing w:before="152" w:line="219" w:lineRule="auto"/>
              <w:rPr>
                <w:sz w:val="17"/>
                <w:szCs w:val="17"/>
              </w:rPr>
            </w:pPr>
            <w:r>
              <w:rPr>
                <w:sz w:val="17"/>
                <w:szCs w:val="17"/>
                <w:spacing w:val="-2"/>
              </w:rPr>
              <w:t>西家并汇风</w:t>
            </w:r>
          </w:p>
        </w:tc>
        <w:tc>
          <w:tcPr>
            <w:tcW w:w="1628" w:type="dxa"/>
            <w:vAlign w:val="top"/>
          </w:tcPr>
          <w:p>
            <w:pPr>
              <w:pStyle w:val="TableText"/>
              <w:ind w:left="52"/>
              <w:spacing w:before="82" w:line="219" w:lineRule="auto"/>
              <w:rPr>
                <w:sz w:val="17"/>
                <w:szCs w:val="17"/>
              </w:rPr>
            </w:pPr>
            <w:r>
              <w:rPr>
                <w:sz w:val="17"/>
                <w:szCs w:val="17"/>
                <w:spacing w:val="-1"/>
              </w:rPr>
              <w:t>经常项日位支企业桃</w:t>
            </w:r>
          </w:p>
        </w:tc>
        <w:tc>
          <w:tcPr>
            <w:tcW w:w="2377" w:type="dxa"/>
            <w:vAlign w:val="top"/>
          </w:tcPr>
          <w:p>
            <w:pPr>
              <w:pStyle w:val="TableText"/>
              <w:ind w:left="64"/>
              <w:spacing w:before="152" w:line="220" w:lineRule="auto"/>
              <w:rPr>
                <w:sz w:val="17"/>
                <w:szCs w:val="17"/>
              </w:rPr>
            </w:pPr>
            <w:r>
              <w:rPr>
                <w:sz w:val="17"/>
                <w:szCs w:val="17"/>
                <w:spacing w:val="1"/>
              </w:rPr>
              <w:t>国秋外汇周分变局</w:t>
            </w:r>
          </w:p>
        </w:tc>
        <w:tc>
          <w:tcPr>
            <w:tcW w:w="3711" w:type="dxa"/>
            <w:vAlign w:val="top"/>
          </w:tcPr>
          <w:p>
            <w:pPr>
              <w:pStyle w:val="TableText"/>
              <w:ind w:left="117" w:right="21"/>
              <w:spacing w:before="62" w:line="210" w:lineRule="auto"/>
              <w:rPr>
                <w:sz w:val="17"/>
                <w:szCs w:val="17"/>
              </w:rPr>
            </w:pPr>
            <w:r>
              <w:rPr>
                <w:sz w:val="17"/>
                <w:szCs w:val="17"/>
                <w:spacing w:val="-1"/>
              </w:rPr>
              <w:t>属务院对稳需保窗的行政审批项目设定行载群可</w:t>
            </w:r>
            <w:r>
              <w:rPr>
                <w:sz w:val="17"/>
                <w:szCs w:val="17"/>
                <w:spacing w:val="12"/>
              </w:rPr>
              <w:t xml:space="preserve"> </w:t>
            </w:r>
            <w:r>
              <w:rPr>
                <w:sz w:val="17"/>
                <w:szCs w:val="17"/>
                <w:spacing w:val="3"/>
              </w:rPr>
              <w:t>的决意</w:t>
            </w:r>
          </w:p>
        </w:tc>
      </w:tr>
      <w:tr>
        <w:trPr>
          <w:trHeight w:val="459" w:hRule="atLeast"/>
        </w:trPr>
        <w:tc>
          <w:tcPr>
            <w:tcW w:w="594" w:type="dxa"/>
            <w:vAlign w:val="top"/>
          </w:tcPr>
          <w:p>
            <w:pPr>
              <w:pStyle w:val="TableText"/>
              <w:ind w:left="154"/>
              <w:spacing w:before="195" w:line="184" w:lineRule="auto"/>
              <w:rPr>
                <w:sz w:val="17"/>
                <w:szCs w:val="17"/>
              </w:rPr>
            </w:pPr>
            <w:r>
              <w:rPr>
                <w:sz w:val="17"/>
                <w:szCs w:val="17"/>
                <w:spacing w:val="-2"/>
              </w:rPr>
              <w:t>801</w:t>
            </w:r>
          </w:p>
        </w:tc>
        <w:tc>
          <w:tcPr>
            <w:tcW w:w="1299" w:type="dxa"/>
            <w:vAlign w:val="top"/>
          </w:tcPr>
          <w:p>
            <w:pPr>
              <w:pStyle w:val="TableText"/>
              <w:ind w:left="210"/>
              <w:spacing w:before="153" w:line="219" w:lineRule="auto"/>
              <w:rPr>
                <w:sz w:val="17"/>
                <w:szCs w:val="17"/>
              </w:rPr>
            </w:pPr>
            <w:r>
              <w:rPr>
                <w:sz w:val="17"/>
                <w:szCs w:val="17"/>
                <w:spacing w:val="3"/>
              </w:rPr>
              <w:t>国家并汇局</w:t>
            </w:r>
          </w:p>
        </w:tc>
        <w:tc>
          <w:tcPr>
            <w:tcW w:w="1628" w:type="dxa"/>
            <w:vAlign w:val="top"/>
          </w:tcPr>
          <w:p>
            <w:pPr>
              <w:pStyle w:val="TableText"/>
              <w:ind w:left="52" w:right="53" w:hanging="10"/>
              <w:spacing w:before="71" w:line="205" w:lineRule="auto"/>
              <w:rPr>
                <w:sz w:val="17"/>
                <w:szCs w:val="17"/>
              </w:rPr>
            </w:pPr>
            <w:r>
              <w:rPr>
                <w:sz w:val="17"/>
                <w:szCs w:val="17"/>
                <w:spacing w:val="-1"/>
              </w:rPr>
              <w:t>经余重日静总致支业</w:t>
            </w:r>
            <w:r>
              <w:rPr>
                <w:sz w:val="17"/>
                <w:szCs w:val="17"/>
              </w:rPr>
              <w:t xml:space="preserve"> </w:t>
            </w:r>
            <w:r>
              <w:rPr>
                <w:sz w:val="17"/>
                <w:szCs w:val="17"/>
                <w:spacing w:val="-2"/>
              </w:rPr>
              <w:t>春核准</w:t>
            </w:r>
          </w:p>
        </w:tc>
        <w:tc>
          <w:tcPr>
            <w:tcW w:w="2377" w:type="dxa"/>
            <w:vAlign w:val="top"/>
          </w:tcPr>
          <w:p>
            <w:pPr>
              <w:pStyle w:val="TableText"/>
              <w:ind w:left="64"/>
              <w:spacing w:before="153" w:line="219" w:lineRule="auto"/>
              <w:rPr>
                <w:sz w:val="17"/>
                <w:szCs w:val="17"/>
              </w:rPr>
            </w:pPr>
            <w:r>
              <w:rPr>
                <w:sz w:val="17"/>
                <w:szCs w:val="17"/>
                <w:spacing w:val="1"/>
              </w:rPr>
              <w:t>国象外们具分左题</w:t>
            </w:r>
          </w:p>
        </w:tc>
        <w:tc>
          <w:tcPr>
            <w:tcW w:w="3711" w:type="dxa"/>
            <w:vAlign w:val="top"/>
          </w:tcPr>
          <w:p>
            <w:pPr>
              <w:pStyle w:val="TableText"/>
              <w:ind w:left="117" w:right="6"/>
              <w:spacing w:before="53" w:line="215" w:lineRule="auto"/>
              <w:rPr>
                <w:sz w:val="17"/>
                <w:szCs w:val="17"/>
              </w:rPr>
            </w:pPr>
            <w:r>
              <w:rPr>
                <w:sz w:val="17"/>
                <w:szCs w:val="17"/>
              </w:rPr>
              <w:t>国开院对确需保食的行收审批项日设定行政许呼</w:t>
            </w:r>
            <w:r>
              <w:rPr>
                <w:sz w:val="17"/>
                <w:szCs w:val="17"/>
                <w:spacing w:val="6"/>
              </w:rPr>
              <w:t xml:space="preserve"> </w:t>
            </w:r>
            <w:r>
              <w:rPr>
                <w:sz w:val="17"/>
                <w:szCs w:val="17"/>
                <w:spacing w:val="-1"/>
              </w:rPr>
              <w:t>的决应》</w:t>
            </w:r>
          </w:p>
        </w:tc>
      </w:tr>
      <w:tr>
        <w:trPr>
          <w:trHeight w:val="659" w:hRule="atLeast"/>
        </w:trPr>
        <w:tc>
          <w:tcPr>
            <w:tcW w:w="594" w:type="dxa"/>
            <w:vAlign w:val="top"/>
          </w:tcPr>
          <w:p>
            <w:pPr>
              <w:spacing w:line="241" w:lineRule="auto"/>
              <w:rPr>
                <w:rFonts w:ascii="Arial"/>
                <w:sz w:val="21"/>
              </w:rPr>
            </w:pPr>
            <w:r/>
          </w:p>
          <w:p>
            <w:pPr>
              <w:pStyle w:val="TableText"/>
              <w:ind w:left="154"/>
              <w:spacing w:before="55" w:line="183" w:lineRule="auto"/>
              <w:rPr>
                <w:sz w:val="17"/>
                <w:szCs w:val="17"/>
              </w:rPr>
            </w:pPr>
            <w:r>
              <w:rPr>
                <w:sz w:val="17"/>
                <w:szCs w:val="17"/>
                <w:spacing w:val="-2"/>
              </w:rPr>
              <w:t>693</w:t>
            </w:r>
          </w:p>
        </w:tc>
        <w:tc>
          <w:tcPr>
            <w:tcW w:w="1299" w:type="dxa"/>
            <w:vAlign w:val="top"/>
          </w:tcPr>
          <w:p>
            <w:pPr>
              <w:pStyle w:val="TableText"/>
              <w:ind w:left="210"/>
              <w:spacing w:before="254" w:line="220" w:lineRule="auto"/>
              <w:rPr>
                <w:sz w:val="17"/>
                <w:szCs w:val="17"/>
              </w:rPr>
            </w:pPr>
            <w:r>
              <w:rPr>
                <w:sz w:val="17"/>
                <w:szCs w:val="17"/>
                <w:spacing w:val="-2"/>
              </w:rPr>
              <w:t>落源外汇购</w:t>
            </w:r>
          </w:p>
        </w:tc>
        <w:tc>
          <w:tcPr>
            <w:tcW w:w="1628" w:type="dxa"/>
            <w:vAlign w:val="top"/>
          </w:tcPr>
          <w:p>
            <w:pPr>
              <w:pStyle w:val="TableText"/>
              <w:ind w:left="52" w:right="43"/>
              <w:spacing w:before="163" w:line="214" w:lineRule="auto"/>
              <w:rPr>
                <w:sz w:val="17"/>
                <w:szCs w:val="17"/>
              </w:rPr>
            </w:pPr>
            <w:r>
              <w:rPr>
                <w:sz w:val="17"/>
                <w:szCs w:val="17"/>
                <w:spacing w:val="-1"/>
              </w:rPr>
              <w:t>骄含增自外汇齐游境</w:t>
            </w:r>
            <w:r>
              <w:rPr>
                <w:sz w:val="17"/>
                <w:szCs w:val="17"/>
              </w:rPr>
              <w:t xml:space="preserve"> </w:t>
            </w:r>
            <w:r>
              <w:rPr>
                <w:sz w:val="17"/>
                <w:szCs w:val="17"/>
                <w:spacing w:val="-2"/>
              </w:rPr>
              <w:t>种核准</w:t>
            </w:r>
          </w:p>
        </w:tc>
        <w:tc>
          <w:tcPr>
            <w:tcW w:w="2377" w:type="dxa"/>
            <w:vAlign w:val="top"/>
          </w:tcPr>
          <w:p>
            <w:pPr>
              <w:pStyle w:val="TableText"/>
              <w:ind w:left="64"/>
              <w:spacing w:before="254" w:line="219" w:lineRule="auto"/>
              <w:rPr>
                <w:sz w:val="17"/>
                <w:szCs w:val="17"/>
              </w:rPr>
            </w:pPr>
            <w:r>
              <w:rPr>
                <w:sz w:val="17"/>
                <w:szCs w:val="17"/>
                <w:spacing w:val="2"/>
              </w:rPr>
              <w:t>西家师汇画分直周</w:t>
            </w:r>
          </w:p>
        </w:tc>
        <w:tc>
          <w:tcPr>
            <w:tcW w:w="3711" w:type="dxa"/>
            <w:vAlign w:val="top"/>
          </w:tcPr>
          <w:p>
            <w:pPr>
              <w:pStyle w:val="TableText"/>
              <w:ind w:left="117"/>
              <w:spacing w:before="74" w:line="195" w:lineRule="auto"/>
              <w:rPr>
                <w:sz w:val="17"/>
                <w:szCs w:val="17"/>
              </w:rPr>
            </w:pPr>
            <w:r>
              <w:rPr>
                <w:sz w:val="17"/>
                <w:szCs w:val="17"/>
                <w:spacing w:val="1"/>
              </w:rPr>
              <w:t>中华人民其和国外充情理条例</w:t>
            </w:r>
          </w:p>
          <w:p>
            <w:pPr>
              <w:pStyle w:val="TableText"/>
              <w:ind w:left="143" w:right="19" w:hanging="143"/>
              <w:spacing w:before="1" w:line="214" w:lineRule="auto"/>
              <w:rPr>
                <w:sz w:val="17"/>
                <w:szCs w:val="17"/>
              </w:rPr>
            </w:pPr>
            <w:r>
              <w:rPr>
                <w:sz w:val="17"/>
                <w:szCs w:val="17"/>
                <w:spacing w:val="-3"/>
              </w:rPr>
              <w:t>《国务院对确常保前的行政审批项日设定行政许司</w:t>
            </w:r>
            <w:r>
              <w:rPr>
                <w:sz w:val="17"/>
                <w:szCs w:val="17"/>
                <w:spacing w:val="6"/>
              </w:rPr>
              <w:t xml:space="preserve"> </w:t>
            </w:r>
            <w:r>
              <w:rPr>
                <w:sz w:val="17"/>
                <w:szCs w:val="17"/>
                <w:spacing w:val="1"/>
              </w:rPr>
              <w:t>的决足</w:t>
            </w:r>
          </w:p>
        </w:tc>
      </w:tr>
      <w:tr>
        <w:trPr>
          <w:trHeight w:val="459" w:hRule="atLeast"/>
        </w:trPr>
        <w:tc>
          <w:tcPr>
            <w:tcW w:w="594" w:type="dxa"/>
            <w:vAlign w:val="top"/>
          </w:tcPr>
          <w:p>
            <w:pPr>
              <w:pStyle w:val="TableText"/>
              <w:ind w:left="204"/>
              <w:spacing w:before="157" w:line="222" w:lineRule="auto"/>
              <w:rPr>
                <w:sz w:val="17"/>
                <w:szCs w:val="17"/>
              </w:rPr>
            </w:pPr>
            <w:r>
              <w:rPr>
                <w:sz w:val="17"/>
                <w:szCs w:val="17"/>
              </w:rPr>
              <w:t>的</w:t>
            </w:r>
          </w:p>
        </w:tc>
        <w:tc>
          <w:tcPr>
            <w:tcW w:w="1299" w:type="dxa"/>
            <w:vAlign w:val="top"/>
          </w:tcPr>
          <w:p>
            <w:pPr>
              <w:pStyle w:val="TableText"/>
              <w:ind w:left="210"/>
              <w:spacing w:before="155" w:line="220" w:lineRule="auto"/>
              <w:rPr>
                <w:sz w:val="17"/>
                <w:szCs w:val="17"/>
              </w:rPr>
            </w:pPr>
            <w:r>
              <w:rPr>
                <w:sz w:val="17"/>
                <w:szCs w:val="17"/>
                <w:spacing w:val="3"/>
              </w:rPr>
              <w:t>落湿外配局</w:t>
            </w:r>
          </w:p>
        </w:tc>
        <w:tc>
          <w:tcPr>
            <w:tcW w:w="1628" w:type="dxa"/>
            <w:vAlign w:val="top"/>
          </w:tcPr>
          <w:p>
            <w:pPr>
              <w:pStyle w:val="TableText"/>
              <w:ind w:left="52" w:right="61" w:hanging="20"/>
              <w:spacing w:before="54" w:line="214" w:lineRule="auto"/>
              <w:rPr>
                <w:sz w:val="17"/>
                <w:szCs w:val="17"/>
              </w:rPr>
            </w:pPr>
            <w:r>
              <w:rPr>
                <w:sz w:val="17"/>
                <w:szCs w:val="17"/>
                <w:spacing w:val="-1"/>
              </w:rPr>
              <w:t>框炸直抽控省平下外</w:t>
            </w:r>
            <w:r>
              <w:rPr>
                <w:sz w:val="17"/>
                <w:szCs w:val="17"/>
                <w:spacing w:val="2"/>
              </w:rPr>
              <w:t xml:space="preserve"> </w:t>
            </w:r>
            <w:r>
              <w:rPr>
                <w:sz w:val="17"/>
                <w:szCs w:val="17"/>
                <w:spacing w:val="-3"/>
              </w:rPr>
              <w:t>花</w:t>
            </w:r>
            <w:r>
              <w:rPr>
                <w:sz w:val="17"/>
                <w:szCs w:val="17"/>
                <w:spacing w:val="5"/>
              </w:rPr>
              <w:t xml:space="preserve">  </w:t>
            </w:r>
            <w:r>
              <w:rPr>
                <w:sz w:val="17"/>
                <w:szCs w:val="17"/>
                <w:spacing w:val="-3"/>
              </w:rPr>
              <w:t>登纪核准</w:t>
            </w:r>
          </w:p>
        </w:tc>
        <w:tc>
          <w:tcPr>
            <w:tcW w:w="2377" w:type="dxa"/>
            <w:vAlign w:val="top"/>
          </w:tcPr>
          <w:p>
            <w:pPr>
              <w:pStyle w:val="TableText"/>
              <w:ind w:left="64"/>
              <w:spacing w:before="153" w:line="219" w:lineRule="auto"/>
              <w:rPr>
                <w:sz w:val="17"/>
                <w:szCs w:val="17"/>
              </w:rPr>
            </w:pPr>
            <w:r>
              <w:rPr>
                <w:sz w:val="17"/>
                <w:szCs w:val="17"/>
                <w:spacing w:val="1"/>
              </w:rPr>
              <w:t>回重外范马及其分麦周</w:t>
            </w:r>
          </w:p>
        </w:tc>
        <w:tc>
          <w:tcPr>
            <w:tcW w:w="3711" w:type="dxa"/>
            <w:vAlign w:val="top"/>
          </w:tcPr>
          <w:p>
            <w:pPr>
              <w:pStyle w:val="TableText"/>
              <w:ind w:left="162" w:right="14" w:hanging="162"/>
              <w:spacing w:before="75" w:line="203" w:lineRule="auto"/>
              <w:rPr>
                <w:sz w:val="17"/>
                <w:szCs w:val="17"/>
              </w:rPr>
            </w:pPr>
            <w:r>
              <w:rPr>
                <w:sz w:val="17"/>
                <w:szCs w:val="17"/>
                <w:spacing w:val="-3"/>
              </w:rPr>
              <w:t>《国务院对商管保馆的行政审批境们说定方政许叫</w:t>
            </w:r>
            <w:r>
              <w:rPr>
                <w:sz w:val="17"/>
                <w:szCs w:val="17"/>
                <w:spacing w:val="11"/>
              </w:rPr>
              <w:t xml:space="preserve"> </w:t>
            </w:r>
            <w:r>
              <w:rPr>
                <w:sz w:val="17"/>
                <w:szCs w:val="17"/>
                <w:spacing w:val="1"/>
              </w:rPr>
              <w:t>的决定1</w:t>
            </w:r>
          </w:p>
        </w:tc>
      </w:tr>
      <w:tr>
        <w:trPr>
          <w:trHeight w:val="734" w:hRule="atLeast"/>
        </w:trPr>
        <w:tc>
          <w:tcPr>
            <w:tcW w:w="594" w:type="dxa"/>
            <w:vAlign w:val="top"/>
          </w:tcPr>
          <w:p>
            <w:pPr>
              <w:spacing w:line="272" w:lineRule="auto"/>
              <w:rPr>
                <w:rFonts w:ascii="Arial"/>
                <w:sz w:val="21"/>
              </w:rPr>
            </w:pPr>
            <w:r/>
          </w:p>
          <w:p>
            <w:pPr>
              <w:pStyle w:val="TableText"/>
              <w:ind w:left="154"/>
              <w:spacing w:before="56" w:line="183" w:lineRule="auto"/>
              <w:rPr>
                <w:sz w:val="17"/>
                <w:szCs w:val="17"/>
              </w:rPr>
            </w:pPr>
            <w:r>
              <w:rPr>
                <w:sz w:val="17"/>
                <w:szCs w:val="17"/>
                <w:spacing w:val="-2"/>
              </w:rPr>
              <w:t>695</w:t>
            </w:r>
          </w:p>
        </w:tc>
        <w:tc>
          <w:tcPr>
            <w:tcW w:w="1299" w:type="dxa"/>
            <w:vAlign w:val="top"/>
          </w:tcPr>
          <w:p>
            <w:pPr>
              <w:pStyle w:val="TableText"/>
              <w:ind w:left="210"/>
              <w:spacing w:before="286" w:line="220" w:lineRule="auto"/>
              <w:rPr>
                <w:sz w:val="17"/>
                <w:szCs w:val="17"/>
              </w:rPr>
            </w:pPr>
            <w:r>
              <w:rPr>
                <w:sz w:val="17"/>
                <w:szCs w:val="17"/>
                <w:spacing w:val="3"/>
              </w:rPr>
              <w:t>图家外无局</w:t>
            </w:r>
          </w:p>
        </w:tc>
        <w:tc>
          <w:tcPr>
            <w:tcW w:w="1628" w:type="dxa"/>
            <w:vAlign w:val="top"/>
          </w:tcPr>
          <w:p>
            <w:pPr>
              <w:pStyle w:val="TableText"/>
              <w:ind w:left="52" w:right="35" w:hanging="10"/>
              <w:spacing w:before="206" w:line="225" w:lineRule="auto"/>
              <w:rPr>
                <w:sz w:val="17"/>
                <w:szCs w:val="17"/>
              </w:rPr>
            </w:pPr>
            <w:r>
              <w:rPr>
                <w:sz w:val="17"/>
                <w:szCs w:val="17"/>
                <w:spacing w:val="1"/>
              </w:rPr>
              <w:t>幢内直棉卷同码下外</w:t>
            </w:r>
            <w:r>
              <w:rPr>
                <w:sz w:val="17"/>
                <w:szCs w:val="17"/>
              </w:rPr>
              <w:t xml:space="preserve"> </w:t>
            </w:r>
            <w:r>
              <w:rPr>
                <w:sz w:val="17"/>
                <w:szCs w:val="17"/>
                <w:spacing w:val="-2"/>
              </w:rPr>
              <w:t>江登记残准</w:t>
            </w:r>
          </w:p>
        </w:tc>
        <w:tc>
          <w:tcPr>
            <w:tcW w:w="2377" w:type="dxa"/>
            <w:vAlign w:val="top"/>
          </w:tcPr>
          <w:p>
            <w:pPr>
              <w:pStyle w:val="TableText"/>
              <w:ind w:left="64"/>
              <w:spacing w:before="284" w:line="219" w:lineRule="auto"/>
              <w:rPr>
                <w:sz w:val="17"/>
                <w:szCs w:val="17"/>
              </w:rPr>
            </w:pPr>
            <w:r>
              <w:rPr>
                <w:sz w:val="17"/>
                <w:szCs w:val="17"/>
                <w:spacing w:val="1"/>
              </w:rPr>
              <w:t>国军外范局分发同</w:t>
            </w:r>
          </w:p>
        </w:tc>
        <w:tc>
          <w:tcPr>
            <w:tcW w:w="3711" w:type="dxa"/>
            <w:vAlign w:val="top"/>
          </w:tcPr>
          <w:p>
            <w:pPr>
              <w:pStyle w:val="TableText"/>
              <w:ind w:left="32"/>
              <w:spacing w:before="106" w:line="217" w:lineRule="auto"/>
              <w:rPr>
                <w:sz w:val="17"/>
                <w:szCs w:val="17"/>
              </w:rPr>
            </w:pPr>
            <w:r>
              <w:rPr>
                <w:sz w:val="17"/>
                <w:szCs w:val="17"/>
                <w:spacing w:val="-1"/>
              </w:rPr>
              <w:t>《中生人民共和国外汇管国条的》</w:t>
            </w:r>
          </w:p>
          <w:p>
            <w:pPr>
              <w:pStyle w:val="TableText"/>
              <w:ind w:left="116" w:right="4" w:hanging="84"/>
              <w:spacing w:line="224" w:lineRule="auto"/>
              <w:rPr>
                <w:sz w:val="17"/>
                <w:szCs w:val="17"/>
              </w:rPr>
            </w:pPr>
            <w:r>
              <w:rPr>
                <w:sz w:val="17"/>
                <w:szCs w:val="17"/>
                <w:spacing w:val="-4"/>
              </w:rPr>
              <w:t>《国务配对确管保留的行政审拉项目设定行政许可</w:t>
            </w:r>
            <w:r>
              <w:rPr>
                <w:sz w:val="17"/>
                <w:szCs w:val="17"/>
                <w:spacing w:val="11"/>
              </w:rPr>
              <w:t xml:space="preserve"> </w:t>
            </w:r>
            <w:r>
              <w:rPr>
                <w:sz w:val="17"/>
                <w:szCs w:val="17"/>
                <w:spacing w:val="3"/>
              </w:rPr>
              <w:t>西族定1</w:t>
            </w:r>
          </w:p>
        </w:tc>
      </w:tr>
    </w:tbl>
    <w:p>
      <w:pPr>
        <w:pStyle w:val="BodyText"/>
        <w:rPr/>
      </w:pPr>
      <w:r/>
    </w:p>
    <w:p>
      <w:pPr>
        <w:sectPr>
          <w:pgSz w:w="11910" w:h="8220"/>
          <w:pgMar w:top="400" w:right="116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16288" behindDoc="0" locked="0" layoutInCell="0" allowOverlap="1">
                <wp:simplePos x="0" y="0"/>
                <wp:positionH relativeFrom="page">
                  <wp:posOffset>470410</wp:posOffset>
                </wp:positionH>
                <wp:positionV relativeFrom="page">
                  <wp:posOffset>4370535</wp:posOffset>
                </wp:positionV>
                <wp:extent cx="172720" cy="156845"/>
                <wp:effectExtent l="0" t="0" r="0" b="0"/>
                <wp:wrapNone/>
                <wp:docPr id="348" name="TextBox 348"/>
                <wp:cNvGraphicFramePr/>
                <a:graphic>
                  <a:graphicData uri="http://schemas.microsoft.com/office/word/2010/wordprocessingShape">
                    <wps:wsp>
                      <wps:cNvSpPr txBox="1"/>
                      <wps:spPr>
                        <a:xfrm rot="5400000">
                          <a:off x="470410" y="4370535"/>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0" style="position:absolute;margin-left:37.0402pt;margin-top:344.137pt;mso-position-vertical-relative:page;mso-position-horizontal-relative:page;width:13.6pt;height:12.35pt;z-index:2519162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255</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15" w:hRule="atLeast"/>
        </w:trPr>
        <w:tc>
          <w:tcPr>
            <w:tcW w:w="574" w:type="dxa"/>
            <w:vAlign w:val="top"/>
          </w:tcPr>
          <w:p>
            <w:pPr>
              <w:pStyle w:val="TableText"/>
              <w:ind w:left="114"/>
              <w:spacing w:before="131" w:line="219" w:lineRule="auto"/>
              <w:rPr>
                <w:sz w:val="16"/>
                <w:szCs w:val="16"/>
              </w:rPr>
            </w:pPr>
            <w:r>
              <w:rPr>
                <w:sz w:val="16"/>
                <w:szCs w:val="16"/>
                <w:spacing w:val="-3"/>
              </w:rPr>
              <w:t>异号</w:t>
            </w:r>
          </w:p>
        </w:tc>
        <w:tc>
          <w:tcPr>
            <w:tcW w:w="1299" w:type="dxa"/>
            <w:vAlign w:val="top"/>
          </w:tcPr>
          <w:p>
            <w:pPr>
              <w:pStyle w:val="TableText"/>
              <w:ind w:left="160"/>
              <w:spacing w:before="131" w:line="219" w:lineRule="auto"/>
              <w:rPr>
                <w:sz w:val="16"/>
                <w:szCs w:val="16"/>
              </w:rPr>
            </w:pPr>
            <w:r>
              <w:rPr>
                <w:sz w:val="16"/>
                <w:szCs w:val="16"/>
                <w:spacing w:val="3"/>
              </w:rPr>
              <w:t>中央主骨部门</w:t>
            </w:r>
          </w:p>
        </w:tc>
        <w:tc>
          <w:tcPr>
            <w:tcW w:w="1638" w:type="dxa"/>
            <w:vAlign w:val="top"/>
          </w:tcPr>
          <w:p>
            <w:pPr>
              <w:pStyle w:val="TableText"/>
              <w:ind w:left="491"/>
              <w:spacing w:before="132" w:line="220" w:lineRule="auto"/>
              <w:rPr>
                <w:sz w:val="16"/>
                <w:szCs w:val="16"/>
              </w:rPr>
            </w:pPr>
            <w:r>
              <w:rPr>
                <w:sz w:val="16"/>
                <w:szCs w:val="16"/>
                <w:spacing w:val="-2"/>
              </w:rPr>
              <w:t>事项名称</w:t>
            </w:r>
          </w:p>
        </w:tc>
        <w:tc>
          <w:tcPr>
            <w:tcW w:w="2377" w:type="dxa"/>
            <w:vAlign w:val="top"/>
          </w:tcPr>
          <w:p>
            <w:pPr>
              <w:pStyle w:val="TableText"/>
              <w:ind w:left="866"/>
              <w:spacing w:before="128" w:line="219" w:lineRule="auto"/>
              <w:rPr>
                <w:sz w:val="16"/>
                <w:szCs w:val="16"/>
              </w:rPr>
            </w:pPr>
            <w:r>
              <w:rPr>
                <w:sz w:val="16"/>
                <w:szCs w:val="16"/>
                <w:b/>
                <w:bCs/>
                <w:spacing w:val="-4"/>
              </w:rPr>
              <w:t>实监机关</w:t>
            </w:r>
          </w:p>
        </w:tc>
        <w:tc>
          <w:tcPr>
            <w:tcW w:w="3711" w:type="dxa"/>
            <w:vAlign w:val="top"/>
          </w:tcPr>
          <w:p>
            <w:pPr>
              <w:pStyle w:val="TableText"/>
              <w:ind w:left="1259"/>
              <w:spacing w:before="128" w:line="219" w:lineRule="auto"/>
              <w:rPr>
                <w:sz w:val="16"/>
                <w:szCs w:val="16"/>
              </w:rPr>
            </w:pPr>
            <w:r>
              <w:rPr>
                <w:sz w:val="16"/>
                <w:szCs w:val="16"/>
                <w:b/>
                <w:bCs/>
                <w:spacing w:val="-3"/>
              </w:rPr>
              <w:t>设定和实地依题</w:t>
            </w:r>
          </w:p>
        </w:tc>
      </w:tr>
      <w:tr>
        <w:trPr>
          <w:trHeight w:val="699" w:hRule="atLeast"/>
        </w:trPr>
        <w:tc>
          <w:tcPr>
            <w:tcW w:w="574" w:type="dxa"/>
            <w:vAlign w:val="top"/>
          </w:tcPr>
          <w:p>
            <w:pPr>
              <w:spacing w:line="254" w:lineRule="auto"/>
              <w:rPr>
                <w:rFonts w:ascii="Arial"/>
                <w:sz w:val="21"/>
              </w:rPr>
            </w:pPr>
            <w:r/>
          </w:p>
          <w:p>
            <w:pPr>
              <w:pStyle w:val="TableText"/>
              <w:ind w:left="154"/>
              <w:spacing w:before="52" w:line="183" w:lineRule="auto"/>
              <w:rPr>
                <w:sz w:val="16"/>
                <w:szCs w:val="16"/>
              </w:rPr>
            </w:pPr>
            <w:r>
              <w:rPr>
                <w:sz w:val="16"/>
                <w:szCs w:val="16"/>
                <w:spacing w:val="-2"/>
              </w:rPr>
              <w:t>89F</w:t>
            </w:r>
          </w:p>
        </w:tc>
        <w:tc>
          <w:tcPr>
            <w:tcW w:w="1299" w:type="dxa"/>
            <w:vAlign w:val="top"/>
          </w:tcPr>
          <w:p>
            <w:pPr>
              <w:pStyle w:val="TableText"/>
              <w:ind w:left="241"/>
              <w:spacing w:before="267" w:line="220" w:lineRule="auto"/>
              <w:rPr>
                <w:sz w:val="16"/>
                <w:szCs w:val="16"/>
              </w:rPr>
            </w:pPr>
            <w:r>
              <w:rPr>
                <w:sz w:val="16"/>
                <w:szCs w:val="16"/>
                <w:spacing w:val="2"/>
              </w:rPr>
              <w:t>国家外汇局</w:t>
            </w:r>
          </w:p>
        </w:tc>
        <w:tc>
          <w:tcPr>
            <w:tcW w:w="1638" w:type="dxa"/>
            <w:vAlign w:val="top"/>
          </w:tcPr>
          <w:p>
            <w:pPr>
              <w:pStyle w:val="TableText"/>
              <w:ind w:left="92" w:right="102" w:firstLine="39"/>
              <w:spacing w:before="156" w:line="243" w:lineRule="auto"/>
              <w:rPr>
                <w:sz w:val="16"/>
                <w:szCs w:val="16"/>
              </w:rPr>
            </w:pPr>
            <w:r>
              <w:rPr>
                <w:sz w:val="16"/>
                <w:szCs w:val="16"/>
                <w:spacing w:val="1"/>
              </w:rPr>
              <w:t>外币现抄据取.出均</w:t>
            </w:r>
            <w:r>
              <w:rPr>
                <w:sz w:val="16"/>
                <w:szCs w:val="16"/>
              </w:rPr>
              <w:t xml:space="preserve"> </w:t>
            </w:r>
            <w:r>
              <w:rPr>
                <w:sz w:val="16"/>
                <w:szCs w:val="16"/>
                <w:spacing w:val="-1"/>
              </w:rPr>
              <w:t>摘磨，跨境需说核前</w:t>
            </w:r>
          </w:p>
        </w:tc>
        <w:tc>
          <w:tcPr>
            <w:tcW w:w="2377" w:type="dxa"/>
            <w:vAlign w:val="top"/>
          </w:tcPr>
          <w:p>
            <w:pPr>
              <w:pStyle w:val="TableText"/>
              <w:ind w:left="54"/>
              <w:spacing w:before="267" w:line="220" w:lineRule="auto"/>
              <w:rPr>
                <w:sz w:val="16"/>
                <w:szCs w:val="16"/>
              </w:rPr>
            </w:pPr>
            <w:r>
              <w:rPr>
                <w:sz w:val="16"/>
                <w:szCs w:val="16"/>
                <w:spacing w:val="2"/>
              </w:rPr>
              <w:t>国家外汇期分支眉</w:t>
            </w:r>
          </w:p>
        </w:tc>
        <w:tc>
          <w:tcPr>
            <w:tcW w:w="3711" w:type="dxa"/>
            <w:vAlign w:val="top"/>
          </w:tcPr>
          <w:p>
            <w:pPr>
              <w:pStyle w:val="TableText"/>
              <w:ind w:left="56"/>
              <w:spacing w:before="76" w:line="219" w:lineRule="auto"/>
              <w:rPr>
                <w:sz w:val="16"/>
                <w:szCs w:val="16"/>
              </w:rPr>
            </w:pPr>
            <w:r>
              <w:rPr>
                <w:sz w:val="16"/>
                <w:szCs w:val="16"/>
                <w:spacing w:val="-1"/>
              </w:rPr>
              <w:t>(中华人民共和国外汇管理条刚》</w:t>
            </w:r>
          </w:p>
          <w:p>
            <w:pPr>
              <w:pStyle w:val="TableText"/>
              <w:ind w:left="56" w:right="357"/>
              <w:spacing w:line="224" w:lineRule="auto"/>
              <w:rPr>
                <w:sz w:val="16"/>
                <w:szCs w:val="16"/>
              </w:rPr>
            </w:pPr>
            <w:r>
              <w:rPr>
                <w:sz w:val="16"/>
                <w:szCs w:val="16"/>
              </w:rPr>
              <w:t>国务酸对确器保前的行故审批项H设定行政许可</w:t>
            </w:r>
            <w:r>
              <w:rPr>
                <w:sz w:val="16"/>
                <w:szCs w:val="16"/>
                <w:spacing w:val="5"/>
              </w:rPr>
              <w:t xml:space="preserve"> </w:t>
            </w:r>
            <w:r>
              <w:rPr>
                <w:sz w:val="16"/>
                <w:szCs w:val="16"/>
                <w:spacing w:val="-3"/>
              </w:rPr>
              <w:t>伯决定》</w:t>
            </w:r>
          </w:p>
        </w:tc>
      </w:tr>
      <w:tr>
        <w:trPr>
          <w:trHeight w:val="479" w:hRule="atLeast"/>
        </w:trPr>
        <w:tc>
          <w:tcPr>
            <w:tcW w:w="574" w:type="dxa"/>
            <w:vAlign w:val="top"/>
          </w:tcPr>
          <w:p>
            <w:pPr>
              <w:pStyle w:val="TableText"/>
              <w:ind w:left="154"/>
              <w:spacing w:before="198" w:line="183" w:lineRule="auto"/>
              <w:rPr>
                <w:sz w:val="16"/>
                <w:szCs w:val="16"/>
              </w:rPr>
            </w:pPr>
            <w:r>
              <w:rPr>
                <w:sz w:val="16"/>
                <w:szCs w:val="16"/>
                <w:spacing w:val="-1"/>
              </w:rPr>
              <w:t>E97</w:t>
            </w:r>
          </w:p>
        </w:tc>
        <w:tc>
          <w:tcPr>
            <w:tcW w:w="1299" w:type="dxa"/>
            <w:vAlign w:val="top"/>
          </w:tcPr>
          <w:p>
            <w:pPr>
              <w:pStyle w:val="TableText"/>
              <w:ind w:left="241"/>
              <w:spacing w:before="158" w:line="220" w:lineRule="auto"/>
              <w:rPr>
                <w:sz w:val="16"/>
                <w:szCs w:val="16"/>
              </w:rPr>
            </w:pPr>
            <w:r>
              <w:rPr>
                <w:sz w:val="16"/>
                <w:szCs w:val="16"/>
                <w:spacing w:val="2"/>
              </w:rPr>
              <w:t>国家外把息</w:t>
            </w:r>
          </w:p>
        </w:tc>
        <w:tc>
          <w:tcPr>
            <w:tcW w:w="1638" w:type="dxa"/>
            <w:vAlign w:val="top"/>
          </w:tcPr>
          <w:p>
            <w:pPr>
              <w:pStyle w:val="TableText"/>
              <w:ind w:left="52" w:right="119" w:firstLine="79"/>
              <w:spacing w:before="57" w:line="230" w:lineRule="auto"/>
              <w:rPr>
                <w:sz w:val="16"/>
                <w:szCs w:val="16"/>
              </w:rPr>
            </w:pPr>
            <w:r>
              <w:rPr>
                <w:sz w:val="16"/>
                <w:szCs w:val="16"/>
                <w:spacing w:val="1"/>
              </w:rPr>
              <w:t>的境证券.征生产品</w:t>
            </w:r>
            <w:r>
              <w:rPr>
                <w:sz w:val="16"/>
                <w:szCs w:val="16"/>
                <w:spacing w:val="6"/>
              </w:rPr>
              <w:t xml:space="preserve"> </w:t>
            </w:r>
            <w:r>
              <w:rPr>
                <w:sz w:val="16"/>
                <w:szCs w:val="16"/>
                <w:spacing w:val="-2"/>
              </w:rPr>
              <w:t>外汇业务机准</w:t>
            </w:r>
          </w:p>
        </w:tc>
        <w:tc>
          <w:tcPr>
            <w:tcW w:w="2377" w:type="dxa"/>
            <w:vAlign w:val="top"/>
          </w:tcPr>
          <w:p>
            <w:pPr>
              <w:pStyle w:val="TableText"/>
              <w:ind w:left="54"/>
              <w:spacing w:before="157" w:line="219" w:lineRule="auto"/>
              <w:rPr>
                <w:sz w:val="16"/>
                <w:szCs w:val="16"/>
              </w:rPr>
            </w:pPr>
            <w:r>
              <w:rPr>
                <w:sz w:val="16"/>
                <w:szCs w:val="16"/>
                <w:spacing w:val="1"/>
              </w:rPr>
              <w:t>国象外汇网及其分交隔</w:t>
            </w:r>
          </w:p>
        </w:tc>
        <w:tc>
          <w:tcPr>
            <w:tcW w:w="3711" w:type="dxa"/>
            <w:vAlign w:val="top"/>
          </w:tcPr>
          <w:p>
            <w:pPr>
              <w:pStyle w:val="TableText"/>
              <w:spacing w:before="157" w:line="219" w:lineRule="auto"/>
              <w:rPr>
                <w:sz w:val="16"/>
                <w:szCs w:val="16"/>
              </w:rPr>
            </w:pPr>
            <w:r>
              <w:rPr>
                <w:sz w:val="16"/>
                <w:szCs w:val="16"/>
                <w:spacing w:val="-3"/>
              </w:rPr>
              <w:t>《中华人民共和国外汇管理条例》</w:t>
            </w:r>
          </w:p>
        </w:tc>
      </w:tr>
      <w:tr>
        <w:trPr>
          <w:trHeight w:val="699" w:hRule="atLeast"/>
        </w:trPr>
        <w:tc>
          <w:tcPr>
            <w:tcW w:w="574" w:type="dxa"/>
            <w:vAlign w:val="top"/>
          </w:tcPr>
          <w:p>
            <w:pPr>
              <w:spacing w:line="256" w:lineRule="auto"/>
              <w:rPr>
                <w:rFonts w:ascii="Arial"/>
                <w:sz w:val="21"/>
              </w:rPr>
            </w:pPr>
            <w:r/>
          </w:p>
          <w:p>
            <w:pPr>
              <w:pStyle w:val="TableText"/>
              <w:ind w:left="154"/>
              <w:spacing w:before="52" w:line="183" w:lineRule="auto"/>
              <w:rPr>
                <w:sz w:val="16"/>
                <w:szCs w:val="16"/>
              </w:rPr>
            </w:pPr>
            <w:r>
              <w:rPr>
                <w:sz w:val="16"/>
                <w:szCs w:val="16"/>
                <w:spacing w:val="-2"/>
              </w:rPr>
              <w:t>808</w:t>
            </w:r>
          </w:p>
        </w:tc>
        <w:tc>
          <w:tcPr>
            <w:tcW w:w="1299" w:type="dxa"/>
            <w:vAlign w:val="top"/>
          </w:tcPr>
          <w:p>
            <w:pPr>
              <w:pStyle w:val="TableText"/>
              <w:ind w:left="241"/>
              <w:spacing w:before="269" w:line="220" w:lineRule="auto"/>
              <w:rPr>
                <w:sz w:val="16"/>
                <w:szCs w:val="16"/>
              </w:rPr>
            </w:pPr>
            <w:r>
              <w:rPr>
                <w:sz w:val="16"/>
                <w:szCs w:val="16"/>
                <w:spacing w:val="2"/>
              </w:rPr>
              <w:t>国家外汇局</w:t>
            </w:r>
          </w:p>
        </w:tc>
        <w:tc>
          <w:tcPr>
            <w:tcW w:w="1638" w:type="dxa"/>
            <w:vAlign w:val="top"/>
          </w:tcPr>
          <w:p>
            <w:pPr>
              <w:pStyle w:val="TableText"/>
              <w:ind w:left="52" w:right="102" w:firstLine="40"/>
              <w:spacing w:before="167" w:line="232" w:lineRule="auto"/>
              <w:rPr>
                <w:sz w:val="16"/>
                <w:szCs w:val="16"/>
              </w:rPr>
            </w:pPr>
            <w:r>
              <w:rPr>
                <w:sz w:val="16"/>
                <w:szCs w:val="16"/>
                <w:spacing w:val="-1"/>
              </w:rPr>
              <w:t>境内机构外信，防境</w:t>
            </w:r>
            <w:r>
              <w:rPr>
                <w:sz w:val="16"/>
                <w:szCs w:val="16"/>
                <w:spacing w:val="1"/>
              </w:rPr>
              <w:t xml:space="preserve"> </w:t>
            </w:r>
            <w:r>
              <w:rPr>
                <w:sz w:val="16"/>
                <w:szCs w:val="16"/>
                <w:spacing w:val="-2"/>
              </w:rPr>
              <w:t>初保核重</w:t>
            </w:r>
          </w:p>
        </w:tc>
        <w:tc>
          <w:tcPr>
            <w:tcW w:w="2377" w:type="dxa"/>
            <w:vAlign w:val="top"/>
          </w:tcPr>
          <w:p>
            <w:pPr>
              <w:pStyle w:val="TableText"/>
              <w:ind w:left="54"/>
              <w:spacing w:before="268" w:line="219" w:lineRule="auto"/>
              <w:rPr>
                <w:sz w:val="16"/>
                <w:szCs w:val="16"/>
              </w:rPr>
            </w:pPr>
            <w:r>
              <w:rPr>
                <w:sz w:val="16"/>
                <w:szCs w:val="16"/>
                <w:spacing w:val="1"/>
              </w:rPr>
              <w:t>国家外汇局分支励</w:t>
            </w:r>
          </w:p>
        </w:tc>
        <w:tc>
          <w:tcPr>
            <w:tcW w:w="3711" w:type="dxa"/>
            <w:vAlign w:val="top"/>
          </w:tcPr>
          <w:p>
            <w:pPr>
              <w:pStyle w:val="TableText"/>
              <w:spacing w:before="58" w:line="219" w:lineRule="auto"/>
              <w:rPr>
                <w:sz w:val="16"/>
                <w:szCs w:val="16"/>
              </w:rPr>
            </w:pPr>
            <w:r>
              <w:rPr>
                <w:sz w:val="16"/>
                <w:szCs w:val="16"/>
                <w:spacing w:val="-3"/>
              </w:rPr>
              <w:t>《中华人民共和国外汇管理条例》</w:t>
            </w:r>
          </w:p>
          <w:p>
            <w:pPr>
              <w:pStyle w:val="TableText"/>
              <w:ind w:left="56" w:right="229" w:hanging="20"/>
              <w:spacing w:before="30" w:line="219" w:lineRule="auto"/>
              <w:rPr>
                <w:sz w:val="16"/>
                <w:szCs w:val="16"/>
              </w:rPr>
            </w:pPr>
            <w:r>
              <w:rPr>
                <w:sz w:val="16"/>
                <w:szCs w:val="16"/>
                <w:spacing w:val="-1"/>
              </w:rPr>
              <w:t>4河务院对确累保园的石政审批项目设定行应许可</w:t>
            </w:r>
            <w:r>
              <w:rPr>
                <w:sz w:val="16"/>
                <w:szCs w:val="16"/>
                <w:spacing w:val="15"/>
              </w:rPr>
              <w:t xml:space="preserve"> </w:t>
            </w:r>
            <w:r>
              <w:rPr>
                <w:sz w:val="16"/>
                <w:szCs w:val="16"/>
                <w:spacing w:val="4"/>
              </w:rPr>
              <w:t>的决定1</w:t>
            </w:r>
          </w:p>
        </w:tc>
      </w:tr>
      <w:tr>
        <w:trPr>
          <w:trHeight w:val="679" w:hRule="atLeast"/>
        </w:trPr>
        <w:tc>
          <w:tcPr>
            <w:tcW w:w="574" w:type="dxa"/>
            <w:vAlign w:val="top"/>
          </w:tcPr>
          <w:p>
            <w:pPr>
              <w:spacing w:line="247" w:lineRule="auto"/>
              <w:rPr>
                <w:rFonts w:ascii="Arial"/>
                <w:sz w:val="21"/>
              </w:rPr>
            </w:pPr>
            <w:r/>
          </w:p>
          <w:p>
            <w:pPr>
              <w:pStyle w:val="TableText"/>
              <w:ind w:left="154"/>
              <w:spacing w:before="52" w:line="183" w:lineRule="auto"/>
              <w:rPr>
                <w:sz w:val="16"/>
                <w:szCs w:val="16"/>
              </w:rPr>
            </w:pPr>
            <w:r>
              <w:rPr>
                <w:sz w:val="16"/>
                <w:szCs w:val="16"/>
                <w:spacing w:val="-2"/>
              </w:rPr>
              <w:t>899</w:t>
            </w:r>
          </w:p>
        </w:tc>
        <w:tc>
          <w:tcPr>
            <w:tcW w:w="1299" w:type="dxa"/>
            <w:vAlign w:val="top"/>
          </w:tcPr>
          <w:p>
            <w:pPr>
              <w:pStyle w:val="TableText"/>
              <w:ind w:left="241"/>
              <w:spacing w:before="260" w:line="220" w:lineRule="auto"/>
              <w:rPr>
                <w:sz w:val="16"/>
                <w:szCs w:val="16"/>
              </w:rPr>
            </w:pPr>
            <w:r>
              <w:rPr>
                <w:sz w:val="16"/>
                <w:szCs w:val="16"/>
                <w:spacing w:val="3"/>
              </w:rPr>
              <w:t>国家外汇周</w:t>
            </w:r>
          </w:p>
        </w:tc>
        <w:tc>
          <w:tcPr>
            <w:tcW w:w="1638" w:type="dxa"/>
            <w:vAlign w:val="top"/>
          </w:tcPr>
          <w:p>
            <w:pPr>
              <w:pStyle w:val="TableText"/>
              <w:ind w:left="131" w:right="103" w:hanging="39"/>
              <w:spacing w:before="69" w:line="230" w:lineRule="auto"/>
              <w:rPr>
                <w:sz w:val="16"/>
                <w:szCs w:val="16"/>
              </w:rPr>
            </w:pPr>
            <w:r>
              <w:rPr>
                <w:sz w:val="16"/>
                <w:szCs w:val="16"/>
                <w:spacing w:val="-1"/>
              </w:rPr>
              <w:t>填内乱构《不古望行</w:t>
            </w:r>
            <w:r>
              <w:rPr>
                <w:sz w:val="16"/>
                <w:szCs w:val="16"/>
              </w:rPr>
              <w:t xml:space="preserve"> </w:t>
            </w:r>
            <w:r>
              <w:rPr>
                <w:sz w:val="16"/>
                <w:szCs w:val="16"/>
                <w:spacing w:val="-1"/>
              </w:rPr>
              <w:t>委金隐机构)对外情</w:t>
            </w:r>
          </w:p>
          <w:p>
            <w:pPr>
              <w:pStyle w:val="TableText"/>
              <w:ind w:left="32"/>
              <w:spacing w:before="1" w:line="220" w:lineRule="auto"/>
              <w:rPr>
                <w:sz w:val="16"/>
                <w:szCs w:val="16"/>
              </w:rPr>
            </w:pPr>
            <w:r>
              <w:rPr>
                <w:sz w:val="16"/>
                <w:szCs w:val="16"/>
                <w:spacing w:val="-2"/>
              </w:rPr>
              <w:t>叔核有</w:t>
            </w:r>
          </w:p>
        </w:tc>
        <w:tc>
          <w:tcPr>
            <w:tcW w:w="2377" w:type="dxa"/>
            <w:vAlign w:val="top"/>
          </w:tcPr>
          <w:p>
            <w:pPr>
              <w:pStyle w:val="TableText"/>
              <w:ind w:left="54"/>
              <w:spacing w:before="259" w:line="219" w:lineRule="auto"/>
              <w:rPr>
                <w:sz w:val="16"/>
                <w:szCs w:val="16"/>
              </w:rPr>
            </w:pPr>
            <w:r>
              <w:rPr>
                <w:sz w:val="16"/>
                <w:szCs w:val="16"/>
                <w:spacing w:val="1"/>
              </w:rPr>
              <w:t>国象外汇局分支局</w:t>
            </w:r>
          </w:p>
        </w:tc>
        <w:tc>
          <w:tcPr>
            <w:tcW w:w="3711" w:type="dxa"/>
            <w:vAlign w:val="top"/>
          </w:tcPr>
          <w:p>
            <w:pPr>
              <w:pStyle w:val="TableText"/>
              <w:ind w:left="56"/>
              <w:spacing w:before="259" w:line="219" w:lineRule="auto"/>
              <w:rPr>
                <w:sz w:val="16"/>
                <w:szCs w:val="16"/>
              </w:rPr>
            </w:pPr>
            <w:r>
              <w:rPr>
                <w:sz w:val="16"/>
                <w:szCs w:val="16"/>
              </w:rPr>
              <w:t>中华人民共和属外汇管理条创》</w:t>
            </w:r>
          </w:p>
        </w:tc>
      </w:tr>
      <w:tr>
        <w:trPr>
          <w:trHeight w:val="489" w:hRule="atLeast"/>
        </w:trPr>
        <w:tc>
          <w:tcPr>
            <w:tcW w:w="574" w:type="dxa"/>
            <w:vAlign w:val="top"/>
          </w:tcPr>
          <w:p>
            <w:pPr>
              <w:pStyle w:val="TableText"/>
              <w:ind w:left="154"/>
              <w:spacing w:before="211" w:line="183" w:lineRule="auto"/>
              <w:rPr>
                <w:sz w:val="16"/>
                <w:szCs w:val="16"/>
              </w:rPr>
            </w:pPr>
            <w:r>
              <w:rPr>
                <w:sz w:val="16"/>
                <w:szCs w:val="16"/>
                <w:spacing w:val="-2"/>
              </w:rPr>
              <w:t>000</w:t>
            </w:r>
          </w:p>
        </w:tc>
        <w:tc>
          <w:tcPr>
            <w:tcW w:w="1299" w:type="dxa"/>
            <w:vAlign w:val="top"/>
          </w:tcPr>
          <w:p>
            <w:pPr>
              <w:pStyle w:val="TableText"/>
              <w:ind w:left="241"/>
              <w:spacing w:before="170" w:line="219" w:lineRule="auto"/>
              <w:rPr>
                <w:sz w:val="16"/>
                <w:szCs w:val="16"/>
              </w:rPr>
            </w:pPr>
            <w:r>
              <w:rPr>
                <w:sz w:val="16"/>
                <w:szCs w:val="16"/>
                <w:spacing w:val="2"/>
              </w:rPr>
              <w:t>国家外荒局</w:t>
            </w:r>
          </w:p>
        </w:tc>
        <w:tc>
          <w:tcPr>
            <w:tcW w:w="1638" w:type="dxa"/>
            <w:vAlign w:val="top"/>
          </w:tcPr>
          <w:p>
            <w:pPr>
              <w:pStyle w:val="TableText"/>
              <w:ind w:left="62" w:right="102" w:firstLine="30"/>
              <w:spacing w:before="69" w:line="221" w:lineRule="auto"/>
              <w:rPr>
                <w:sz w:val="16"/>
                <w:szCs w:val="16"/>
              </w:rPr>
            </w:pPr>
            <w:r>
              <w:rPr>
                <w:sz w:val="16"/>
                <w:szCs w:val="16"/>
                <w:spacing w:val="-1"/>
              </w:rPr>
              <w:t>所本项目外汇资金结</w:t>
            </w:r>
            <w:r>
              <w:rPr>
                <w:sz w:val="16"/>
                <w:szCs w:val="16"/>
                <w:spacing w:val="1"/>
              </w:rPr>
              <w:t xml:space="preserve"> </w:t>
            </w:r>
            <w:r>
              <w:rPr>
                <w:sz w:val="16"/>
                <w:szCs w:val="16"/>
                <w:spacing w:val="-2"/>
              </w:rPr>
              <w:t>汇族排</w:t>
            </w:r>
          </w:p>
        </w:tc>
        <w:tc>
          <w:tcPr>
            <w:tcW w:w="2377" w:type="dxa"/>
            <w:vAlign w:val="top"/>
          </w:tcPr>
          <w:p>
            <w:pPr>
              <w:pStyle w:val="TableText"/>
              <w:ind w:left="54"/>
              <w:spacing w:before="171" w:line="220" w:lineRule="auto"/>
              <w:rPr>
                <w:sz w:val="16"/>
                <w:szCs w:val="16"/>
              </w:rPr>
            </w:pPr>
            <w:r>
              <w:rPr>
                <w:sz w:val="16"/>
                <w:szCs w:val="16"/>
                <w:spacing w:val="1"/>
              </w:rPr>
              <w:t>国家外定具及其分支局</w:t>
            </w:r>
          </w:p>
        </w:tc>
        <w:tc>
          <w:tcPr>
            <w:tcW w:w="3711" w:type="dxa"/>
            <w:vAlign w:val="top"/>
          </w:tcPr>
          <w:p>
            <w:pPr>
              <w:pStyle w:val="TableText"/>
              <w:spacing w:before="170" w:line="219" w:lineRule="auto"/>
              <w:rPr>
                <w:sz w:val="16"/>
                <w:szCs w:val="16"/>
              </w:rPr>
            </w:pPr>
            <w:r>
              <w:rPr>
                <w:sz w:val="16"/>
                <w:szCs w:val="16"/>
                <w:spacing w:val="-3"/>
              </w:rPr>
              <w:t>《中华人实共和国外汇营理条例》</w:t>
            </w:r>
          </w:p>
        </w:tc>
      </w:tr>
      <w:tr>
        <w:trPr>
          <w:trHeight w:val="489" w:hRule="atLeast"/>
        </w:trPr>
        <w:tc>
          <w:tcPr>
            <w:tcW w:w="574" w:type="dxa"/>
            <w:vAlign w:val="top"/>
          </w:tcPr>
          <w:p>
            <w:pPr>
              <w:pStyle w:val="TableText"/>
              <w:ind w:left="154"/>
              <w:spacing w:before="212" w:line="184" w:lineRule="auto"/>
              <w:rPr>
                <w:sz w:val="16"/>
                <w:szCs w:val="16"/>
              </w:rPr>
            </w:pPr>
            <w:r>
              <w:rPr>
                <w:sz w:val="16"/>
                <w:szCs w:val="16"/>
                <w:spacing w:val="-2"/>
              </w:rPr>
              <w:t>901</w:t>
            </w:r>
          </w:p>
        </w:tc>
        <w:tc>
          <w:tcPr>
            <w:tcW w:w="1299" w:type="dxa"/>
            <w:vAlign w:val="top"/>
          </w:tcPr>
          <w:p>
            <w:pPr>
              <w:pStyle w:val="TableText"/>
              <w:ind w:left="241"/>
              <w:spacing w:before="171" w:line="219" w:lineRule="auto"/>
              <w:rPr>
                <w:sz w:val="16"/>
                <w:szCs w:val="16"/>
              </w:rPr>
            </w:pPr>
            <w:r>
              <w:rPr>
                <w:sz w:val="16"/>
                <w:szCs w:val="16"/>
                <w:spacing w:val="2"/>
              </w:rPr>
              <w:t>国家外光期</w:t>
            </w:r>
          </w:p>
        </w:tc>
        <w:tc>
          <w:tcPr>
            <w:tcW w:w="1638" w:type="dxa"/>
            <w:vAlign w:val="top"/>
          </w:tcPr>
          <w:p>
            <w:pPr>
              <w:pStyle w:val="TableText"/>
              <w:ind w:left="52" w:right="84" w:firstLine="40"/>
              <w:spacing w:before="71" w:line="231" w:lineRule="auto"/>
              <w:rPr>
                <w:sz w:val="16"/>
                <w:szCs w:val="16"/>
              </w:rPr>
            </w:pPr>
            <w:r>
              <w:rPr>
                <w:sz w:val="16"/>
                <w:szCs w:val="16"/>
                <w:spacing w:val="1"/>
              </w:rPr>
              <w:t>资本项日外无资金胸 </w:t>
            </w:r>
            <w:r>
              <w:rPr>
                <w:sz w:val="16"/>
                <w:szCs w:val="16"/>
                <w:spacing w:val="-2"/>
              </w:rPr>
              <w:t>付汇楼准</w:t>
            </w:r>
          </w:p>
        </w:tc>
        <w:tc>
          <w:tcPr>
            <w:tcW w:w="2377" w:type="dxa"/>
            <w:vAlign w:val="top"/>
          </w:tcPr>
          <w:p>
            <w:pPr>
              <w:pStyle w:val="TableText"/>
              <w:ind w:left="54"/>
              <w:spacing w:before="172" w:line="220" w:lineRule="auto"/>
              <w:rPr>
                <w:sz w:val="16"/>
                <w:szCs w:val="16"/>
              </w:rPr>
            </w:pPr>
            <w:r>
              <w:rPr>
                <w:sz w:val="16"/>
                <w:szCs w:val="16"/>
                <w:spacing w:val="1"/>
              </w:rPr>
              <w:t>国家外正局及其分支局</w:t>
            </w:r>
          </w:p>
        </w:tc>
        <w:tc>
          <w:tcPr>
            <w:tcW w:w="3711" w:type="dxa"/>
            <w:vAlign w:val="top"/>
          </w:tcPr>
          <w:p>
            <w:pPr>
              <w:pStyle w:val="TableText"/>
              <w:ind w:left="56"/>
              <w:spacing w:before="171" w:line="219" w:lineRule="auto"/>
              <w:rPr>
                <w:sz w:val="16"/>
                <w:szCs w:val="16"/>
              </w:rPr>
            </w:pPr>
            <w:r>
              <w:rPr>
                <w:sz w:val="16"/>
                <w:szCs w:val="16"/>
                <w:spacing w:val="2"/>
              </w:rPr>
              <w:t>*中华人民共和国异工管理条钢)</w:t>
            </w:r>
          </w:p>
        </w:tc>
      </w:tr>
      <w:tr>
        <w:trPr>
          <w:trHeight w:val="479" w:hRule="atLeast"/>
        </w:trPr>
        <w:tc>
          <w:tcPr>
            <w:tcW w:w="574" w:type="dxa"/>
            <w:vAlign w:val="top"/>
          </w:tcPr>
          <w:p>
            <w:pPr>
              <w:pStyle w:val="TableText"/>
              <w:ind w:left="154"/>
              <w:spacing w:before="203" w:line="183" w:lineRule="auto"/>
              <w:rPr>
                <w:sz w:val="16"/>
                <w:szCs w:val="16"/>
              </w:rPr>
            </w:pPr>
            <w:r>
              <w:rPr>
                <w:sz w:val="16"/>
                <w:szCs w:val="16"/>
                <w:spacing w:val="-2"/>
              </w:rPr>
              <w:t>902</w:t>
            </w:r>
          </w:p>
        </w:tc>
        <w:tc>
          <w:tcPr>
            <w:tcW w:w="1299" w:type="dxa"/>
            <w:vAlign w:val="top"/>
          </w:tcPr>
          <w:p>
            <w:pPr>
              <w:pStyle w:val="TableText"/>
              <w:ind w:left="320"/>
              <w:spacing w:before="163" w:line="220" w:lineRule="auto"/>
              <w:rPr>
                <w:sz w:val="16"/>
                <w:szCs w:val="16"/>
              </w:rPr>
            </w:pPr>
            <w:r>
              <w:rPr>
                <w:sz w:val="16"/>
                <w:szCs w:val="16"/>
                <w:spacing w:val="2"/>
              </w:rPr>
              <w:t>国家外汇</w:t>
            </w:r>
          </w:p>
        </w:tc>
        <w:tc>
          <w:tcPr>
            <w:tcW w:w="1638" w:type="dxa"/>
            <w:vAlign w:val="top"/>
          </w:tcPr>
          <w:p>
            <w:pPr>
              <w:pStyle w:val="TableText"/>
              <w:ind w:left="52" w:right="102" w:firstLine="40"/>
              <w:spacing w:before="81" w:line="220" w:lineRule="auto"/>
              <w:rPr>
                <w:sz w:val="16"/>
                <w:szCs w:val="16"/>
              </w:rPr>
            </w:pPr>
            <w:r>
              <w:rPr>
                <w:sz w:val="16"/>
                <w:szCs w:val="16"/>
                <w:spacing w:val="-1"/>
              </w:rPr>
              <w:t>轻膏或者班止站售工</w:t>
            </w:r>
            <w:r>
              <w:rPr>
                <w:sz w:val="16"/>
                <w:szCs w:val="16"/>
                <w:spacing w:val="1"/>
              </w:rPr>
              <w:t xml:space="preserve"> </w:t>
            </w:r>
            <w:r>
              <w:rPr>
                <w:sz w:val="16"/>
                <w:szCs w:val="16"/>
                <w:spacing w:val="-2"/>
              </w:rPr>
              <w:t>交务审泄</w:t>
            </w:r>
          </w:p>
        </w:tc>
        <w:tc>
          <w:tcPr>
            <w:tcW w:w="2377" w:type="dxa"/>
            <w:vAlign w:val="top"/>
          </w:tcPr>
          <w:p>
            <w:pPr>
              <w:pStyle w:val="TableText"/>
              <w:ind w:left="54"/>
              <w:spacing w:before="163" w:line="220" w:lineRule="auto"/>
              <w:rPr>
                <w:sz w:val="16"/>
                <w:szCs w:val="16"/>
              </w:rPr>
            </w:pPr>
            <w:r>
              <w:rPr>
                <w:sz w:val="16"/>
                <w:szCs w:val="16"/>
                <w:spacing w:val="1"/>
              </w:rPr>
              <w:t>国家外在场及其分支局</w:t>
            </w:r>
          </w:p>
        </w:tc>
        <w:tc>
          <w:tcPr>
            <w:tcW w:w="3711" w:type="dxa"/>
            <w:vAlign w:val="top"/>
          </w:tcPr>
          <w:p>
            <w:pPr>
              <w:pStyle w:val="TableText"/>
              <w:ind w:left="56"/>
              <w:spacing w:before="162" w:line="219" w:lineRule="auto"/>
              <w:rPr>
                <w:sz w:val="16"/>
                <w:szCs w:val="16"/>
              </w:rPr>
            </w:pPr>
            <w:r>
              <w:rPr>
                <w:sz w:val="16"/>
                <w:szCs w:val="16"/>
              </w:rPr>
              <w:t>中华人民其和国外工管理录例》</w:t>
            </w:r>
          </w:p>
        </w:tc>
      </w:tr>
      <w:tr>
        <w:trPr>
          <w:trHeight w:val="689" w:hRule="atLeast"/>
        </w:trPr>
        <w:tc>
          <w:tcPr>
            <w:tcW w:w="574" w:type="dxa"/>
            <w:vAlign w:val="top"/>
          </w:tcPr>
          <w:p>
            <w:pPr>
              <w:spacing w:line="261" w:lineRule="auto"/>
              <w:rPr>
                <w:rFonts w:ascii="Arial"/>
                <w:sz w:val="21"/>
              </w:rPr>
            </w:pPr>
            <w:r/>
          </w:p>
          <w:p>
            <w:pPr>
              <w:pStyle w:val="TableText"/>
              <w:ind w:left="154"/>
              <w:spacing w:before="52" w:line="183" w:lineRule="auto"/>
              <w:rPr>
                <w:sz w:val="16"/>
                <w:szCs w:val="16"/>
              </w:rPr>
            </w:pPr>
            <w:r>
              <w:rPr>
                <w:sz w:val="16"/>
                <w:szCs w:val="16"/>
                <w:spacing w:val="-2"/>
              </w:rPr>
              <w:t>203</w:t>
            </w:r>
          </w:p>
        </w:tc>
        <w:tc>
          <w:tcPr>
            <w:tcW w:w="1299" w:type="dxa"/>
            <w:vAlign w:val="top"/>
          </w:tcPr>
          <w:p>
            <w:pPr>
              <w:pStyle w:val="TableText"/>
              <w:ind w:left="241"/>
              <w:spacing w:before="274" w:line="220" w:lineRule="auto"/>
              <w:rPr>
                <w:sz w:val="16"/>
                <w:szCs w:val="16"/>
              </w:rPr>
            </w:pPr>
            <w:r>
              <w:rPr>
                <w:sz w:val="16"/>
                <w:szCs w:val="16"/>
                <w:spacing w:val="2"/>
              </w:rPr>
              <w:t>国家外汇局</w:t>
            </w:r>
          </w:p>
        </w:tc>
        <w:tc>
          <w:tcPr>
            <w:tcW w:w="1638" w:type="dxa"/>
            <w:vAlign w:val="top"/>
          </w:tcPr>
          <w:p>
            <w:pPr>
              <w:pStyle w:val="TableText"/>
              <w:ind w:left="52"/>
              <w:spacing w:before="93" w:line="208" w:lineRule="auto"/>
              <w:rPr>
                <w:sz w:val="16"/>
                <w:szCs w:val="16"/>
              </w:rPr>
            </w:pPr>
            <w:r>
              <w:rPr>
                <w:sz w:val="16"/>
                <w:szCs w:val="16"/>
                <w:spacing w:val="-2"/>
              </w:rPr>
              <w:t>都银行金融机构</w:t>
            </w:r>
          </w:p>
          <w:p>
            <w:pPr>
              <w:pStyle w:val="TableText"/>
              <w:ind w:left="92" w:right="89" w:firstLine="39"/>
              <w:spacing w:line="225" w:lineRule="auto"/>
              <w:rPr>
                <w:sz w:val="16"/>
                <w:szCs w:val="16"/>
              </w:rPr>
            </w:pPr>
            <w:r>
              <w:rPr>
                <w:sz w:val="16"/>
                <w:szCs w:val="16"/>
                <w:spacing w:val="-2"/>
              </w:rPr>
              <w:t>查.终止结售证业务 </w:t>
            </w:r>
            <w:r>
              <w:rPr>
                <w:sz w:val="16"/>
                <w:szCs w:val="16"/>
              </w:rPr>
              <w:t>以界的外元业务律批</w:t>
            </w:r>
          </w:p>
        </w:tc>
        <w:tc>
          <w:tcPr>
            <w:tcW w:w="2377" w:type="dxa"/>
            <w:vAlign w:val="top"/>
          </w:tcPr>
          <w:p>
            <w:pPr>
              <w:pStyle w:val="TableText"/>
              <w:ind w:left="54"/>
              <w:spacing w:before="274" w:line="220" w:lineRule="auto"/>
              <w:rPr>
                <w:sz w:val="16"/>
                <w:szCs w:val="16"/>
              </w:rPr>
            </w:pPr>
            <w:r>
              <w:rPr>
                <w:sz w:val="16"/>
                <w:szCs w:val="16"/>
                <w:spacing w:val="1"/>
              </w:rPr>
              <w:t>国家外汇周及其分支局</w:t>
            </w:r>
          </w:p>
        </w:tc>
        <w:tc>
          <w:tcPr>
            <w:tcW w:w="3711" w:type="dxa"/>
            <w:vAlign w:val="top"/>
          </w:tcPr>
          <w:p>
            <w:pPr>
              <w:pStyle w:val="TableText"/>
              <w:ind w:left="56"/>
              <w:spacing w:before="272" w:line="219" w:lineRule="auto"/>
              <w:rPr>
                <w:sz w:val="16"/>
                <w:szCs w:val="16"/>
              </w:rPr>
            </w:pPr>
            <w:r>
              <w:rPr>
                <w:sz w:val="16"/>
                <w:szCs w:val="16"/>
                <w:spacing w:val="-1"/>
              </w:rPr>
              <w:t>T中华人民共和国外直管理新州?</w:t>
            </w:r>
          </w:p>
        </w:tc>
      </w:tr>
      <w:tr>
        <w:trPr>
          <w:trHeight w:val="489" w:hRule="atLeast"/>
        </w:trPr>
        <w:tc>
          <w:tcPr>
            <w:tcW w:w="574" w:type="dxa"/>
            <w:vAlign w:val="top"/>
          </w:tcPr>
          <w:p>
            <w:pPr>
              <w:pStyle w:val="TableText"/>
              <w:ind w:left="154"/>
              <w:spacing w:before="215" w:line="183" w:lineRule="auto"/>
              <w:rPr>
                <w:sz w:val="16"/>
                <w:szCs w:val="16"/>
              </w:rPr>
            </w:pPr>
            <w:r>
              <w:rPr>
                <w:sz w:val="16"/>
                <w:szCs w:val="16"/>
                <w:spacing w:val="-2"/>
              </w:rPr>
              <w:t>904</w:t>
            </w:r>
          </w:p>
        </w:tc>
        <w:tc>
          <w:tcPr>
            <w:tcW w:w="1299" w:type="dxa"/>
            <w:vAlign w:val="top"/>
          </w:tcPr>
          <w:p>
            <w:pPr>
              <w:pStyle w:val="TableText"/>
              <w:ind w:left="241"/>
              <w:spacing w:before="175" w:line="220" w:lineRule="auto"/>
              <w:rPr>
                <w:sz w:val="16"/>
                <w:szCs w:val="16"/>
              </w:rPr>
            </w:pPr>
            <w:r>
              <w:rPr>
                <w:sz w:val="16"/>
                <w:szCs w:val="16"/>
                <w:spacing w:val="3"/>
              </w:rPr>
              <w:t>国家外北周</w:t>
            </w:r>
          </w:p>
        </w:tc>
        <w:tc>
          <w:tcPr>
            <w:tcW w:w="1638" w:type="dxa"/>
            <w:vAlign w:val="top"/>
          </w:tcPr>
          <w:p>
            <w:pPr>
              <w:pStyle w:val="TableText"/>
              <w:ind w:left="42" w:right="103" w:firstLine="50"/>
              <w:spacing w:before="94" w:line="222" w:lineRule="auto"/>
              <w:rPr>
                <w:sz w:val="16"/>
                <w:szCs w:val="16"/>
              </w:rPr>
            </w:pPr>
            <w:r>
              <w:rPr>
                <w:sz w:val="16"/>
                <w:szCs w:val="16"/>
                <w:spacing w:val="-1"/>
              </w:rPr>
              <w:t>金能机构本外币转袭</w:t>
            </w:r>
            <w:r>
              <w:rPr>
                <w:sz w:val="16"/>
                <w:szCs w:val="16"/>
              </w:rPr>
              <w:t xml:space="preserve"> </w:t>
            </w:r>
            <w:r>
              <w:rPr>
                <w:sz w:val="16"/>
                <w:szCs w:val="16"/>
                <w:spacing w:val="9"/>
              </w:rPr>
              <w:t>械用</w:t>
            </w:r>
          </w:p>
        </w:tc>
        <w:tc>
          <w:tcPr>
            <w:tcW w:w="2377" w:type="dxa"/>
            <w:vAlign w:val="top"/>
          </w:tcPr>
          <w:p>
            <w:pPr>
              <w:pStyle w:val="TableText"/>
              <w:ind w:left="54"/>
              <w:spacing w:before="175" w:line="220" w:lineRule="auto"/>
              <w:rPr>
                <w:sz w:val="16"/>
                <w:szCs w:val="16"/>
              </w:rPr>
            </w:pPr>
            <w:r>
              <w:rPr>
                <w:sz w:val="16"/>
                <w:szCs w:val="16"/>
                <w:spacing w:val="2"/>
              </w:rPr>
              <w:t>国家外工局分局</w:t>
            </w:r>
          </w:p>
        </w:tc>
        <w:tc>
          <w:tcPr>
            <w:tcW w:w="3711" w:type="dxa"/>
            <w:vAlign w:val="top"/>
          </w:tcPr>
          <w:p>
            <w:pPr>
              <w:pStyle w:val="TableText"/>
              <w:ind w:left="56"/>
              <w:spacing w:before="174" w:line="219" w:lineRule="auto"/>
              <w:rPr>
                <w:sz w:val="16"/>
                <w:szCs w:val="16"/>
              </w:rPr>
            </w:pPr>
            <w:r>
              <w:rPr>
                <w:sz w:val="16"/>
                <w:szCs w:val="16"/>
                <w:spacing w:val="-1"/>
              </w:rPr>
              <w:t>(中华人民共和国外置管草得何》</w:t>
            </w:r>
          </w:p>
        </w:tc>
      </w:tr>
      <w:tr>
        <w:trPr>
          <w:trHeight w:val="489" w:hRule="atLeast"/>
        </w:trPr>
        <w:tc>
          <w:tcPr>
            <w:tcW w:w="574" w:type="dxa"/>
            <w:vAlign w:val="top"/>
          </w:tcPr>
          <w:p>
            <w:pPr>
              <w:pStyle w:val="TableText"/>
              <w:ind w:left="154"/>
              <w:spacing w:before="216" w:line="183" w:lineRule="auto"/>
              <w:rPr>
                <w:sz w:val="16"/>
                <w:szCs w:val="16"/>
              </w:rPr>
            </w:pPr>
            <w:r>
              <w:rPr>
                <w:sz w:val="16"/>
                <w:szCs w:val="16"/>
                <w:spacing w:val="-2"/>
              </w:rPr>
              <w:t>905</w:t>
            </w:r>
          </w:p>
        </w:tc>
        <w:tc>
          <w:tcPr>
            <w:tcW w:w="1299" w:type="dxa"/>
            <w:vAlign w:val="top"/>
          </w:tcPr>
          <w:p>
            <w:pPr>
              <w:pStyle w:val="TableText"/>
              <w:ind w:left="241"/>
              <w:spacing w:before="176" w:line="220" w:lineRule="auto"/>
              <w:rPr>
                <w:sz w:val="16"/>
                <w:szCs w:val="16"/>
              </w:rPr>
            </w:pPr>
            <w:r>
              <w:rPr>
                <w:sz w:val="16"/>
                <w:szCs w:val="16"/>
                <w:spacing w:val="3"/>
              </w:rPr>
              <w:t>国家所置周</w:t>
            </w:r>
          </w:p>
        </w:tc>
        <w:tc>
          <w:tcPr>
            <w:tcW w:w="1638" w:type="dxa"/>
            <w:vAlign w:val="top"/>
          </w:tcPr>
          <w:p>
            <w:pPr>
              <w:pStyle w:val="TableText"/>
              <w:ind w:left="42" w:right="104" w:firstLine="50"/>
              <w:spacing w:before="94" w:line="220" w:lineRule="auto"/>
              <w:rPr>
                <w:sz w:val="16"/>
                <w:szCs w:val="16"/>
              </w:rPr>
            </w:pPr>
            <w:r>
              <w:rPr>
                <w:sz w:val="16"/>
                <w:szCs w:val="16"/>
                <w:spacing w:val="-1"/>
              </w:rPr>
              <w:t>药物非临床轿究质量</w:t>
            </w:r>
            <w:r>
              <w:rPr>
                <w:sz w:val="16"/>
                <w:szCs w:val="16"/>
              </w:rPr>
              <w:t xml:space="preserve"> </w:t>
            </w:r>
            <w:r>
              <w:rPr>
                <w:sz w:val="16"/>
                <w:szCs w:val="16"/>
                <w:spacing w:val="-2"/>
              </w:rPr>
              <w:t>管理规范认征</w:t>
            </w:r>
          </w:p>
        </w:tc>
        <w:tc>
          <w:tcPr>
            <w:tcW w:w="2377" w:type="dxa"/>
            <w:vAlign w:val="top"/>
          </w:tcPr>
          <w:p>
            <w:pPr>
              <w:pStyle w:val="TableText"/>
              <w:ind w:left="54"/>
              <w:spacing w:before="176" w:line="220" w:lineRule="auto"/>
              <w:rPr>
                <w:sz w:val="16"/>
                <w:szCs w:val="16"/>
              </w:rPr>
            </w:pPr>
            <w:r>
              <w:rPr>
                <w:sz w:val="16"/>
                <w:szCs w:val="16"/>
                <w:spacing w:val="2"/>
              </w:rPr>
              <w:t>国宋构盛局</w:t>
            </w:r>
          </w:p>
        </w:tc>
        <w:tc>
          <w:tcPr>
            <w:tcW w:w="3711" w:type="dxa"/>
            <w:vAlign w:val="top"/>
          </w:tcPr>
          <w:p>
            <w:pPr>
              <w:pStyle w:val="TableText"/>
              <w:ind w:left="56" w:right="207" w:hanging="10"/>
              <w:spacing w:before="75" w:line="220" w:lineRule="auto"/>
              <w:rPr>
                <w:sz w:val="16"/>
                <w:szCs w:val="16"/>
              </w:rPr>
            </w:pPr>
            <w:r>
              <w:rPr>
                <w:sz w:val="16"/>
                <w:szCs w:val="16"/>
              </w:rPr>
              <w:t>(国务改对确需保指的行政市牡项自设定行政将可</w:t>
            </w:r>
            <w:r>
              <w:rPr>
                <w:sz w:val="16"/>
                <w:szCs w:val="16"/>
                <w:spacing w:val="5"/>
              </w:rPr>
              <w:t xml:space="preserve"> </w:t>
            </w:r>
            <w:r>
              <w:rPr>
                <w:sz w:val="16"/>
                <w:szCs w:val="16"/>
                <w:spacing w:val="4"/>
              </w:rPr>
              <w:t>的庆定1</w:t>
            </w:r>
          </w:p>
        </w:tc>
      </w:tr>
      <w:tr>
        <w:trPr>
          <w:trHeight w:val="484" w:hRule="atLeast"/>
        </w:trPr>
        <w:tc>
          <w:tcPr>
            <w:tcW w:w="574" w:type="dxa"/>
            <w:vAlign w:val="top"/>
          </w:tcPr>
          <w:p>
            <w:pPr>
              <w:pStyle w:val="TableText"/>
              <w:ind w:left="154"/>
              <w:spacing w:before="207" w:line="183" w:lineRule="auto"/>
              <w:rPr>
                <w:sz w:val="16"/>
                <w:szCs w:val="16"/>
              </w:rPr>
            </w:pPr>
            <w:r>
              <w:rPr>
                <w:sz w:val="16"/>
                <w:szCs w:val="16"/>
                <w:spacing w:val="-2"/>
              </w:rPr>
              <w:t>906</w:t>
            </w:r>
          </w:p>
        </w:tc>
        <w:tc>
          <w:tcPr>
            <w:tcW w:w="1299" w:type="dxa"/>
            <w:vAlign w:val="top"/>
          </w:tcPr>
          <w:p>
            <w:pPr>
              <w:pStyle w:val="TableText"/>
              <w:ind w:left="241"/>
              <w:spacing w:before="167" w:line="220" w:lineRule="auto"/>
              <w:rPr>
                <w:sz w:val="16"/>
                <w:szCs w:val="16"/>
              </w:rPr>
            </w:pPr>
            <w:r>
              <w:rPr>
                <w:sz w:val="16"/>
                <w:szCs w:val="16"/>
                <w:spacing w:val="3"/>
              </w:rPr>
              <w:t>园家药缸马</w:t>
            </w:r>
          </w:p>
        </w:tc>
        <w:tc>
          <w:tcPr>
            <w:tcW w:w="1638" w:type="dxa"/>
            <w:vAlign w:val="top"/>
          </w:tcPr>
          <w:p>
            <w:pPr>
              <w:pStyle w:val="TableText"/>
              <w:ind w:left="32"/>
              <w:spacing w:before="166" w:line="219" w:lineRule="auto"/>
              <w:rPr>
                <w:sz w:val="16"/>
                <w:szCs w:val="16"/>
              </w:rPr>
            </w:pPr>
            <w:r>
              <w:rPr>
                <w:sz w:val="16"/>
                <w:szCs w:val="16"/>
                <w:spacing w:val="-1"/>
              </w:rPr>
              <w:t>药物造床试验型克</w:t>
            </w:r>
          </w:p>
        </w:tc>
        <w:tc>
          <w:tcPr>
            <w:tcW w:w="2377" w:type="dxa"/>
            <w:vAlign w:val="top"/>
          </w:tcPr>
          <w:p>
            <w:pPr>
              <w:pStyle w:val="TableText"/>
              <w:ind w:left="54"/>
              <w:spacing w:before="167" w:line="220" w:lineRule="auto"/>
              <w:rPr>
                <w:sz w:val="16"/>
                <w:szCs w:val="16"/>
              </w:rPr>
            </w:pPr>
            <w:r>
              <w:rPr>
                <w:sz w:val="16"/>
                <w:szCs w:val="16"/>
                <w:spacing w:val="1"/>
              </w:rPr>
              <w:t>国家药监能</w:t>
            </w:r>
          </w:p>
        </w:tc>
        <w:tc>
          <w:tcPr>
            <w:tcW w:w="3711" w:type="dxa"/>
            <w:vAlign w:val="top"/>
          </w:tcPr>
          <w:p>
            <w:pPr>
              <w:pStyle w:val="TableText"/>
              <w:ind w:left="79"/>
              <w:spacing w:before="76" w:line="242" w:lineRule="auto"/>
              <w:rPr>
                <w:sz w:val="16"/>
                <w:szCs w:val="16"/>
              </w:rPr>
            </w:pPr>
            <w:r>
              <w:rPr>
                <w:sz w:val="16"/>
                <w:szCs w:val="16"/>
              </w:rPr>
              <w:t>4中华人民其和国防品管国法]</w:t>
            </w:r>
          </w:p>
          <w:p>
            <w:pPr>
              <w:pStyle w:val="TableText"/>
              <w:spacing w:line="216" w:lineRule="auto"/>
              <w:rPr>
                <w:sz w:val="16"/>
                <w:szCs w:val="16"/>
              </w:rPr>
            </w:pPr>
            <w:r>
              <w:rPr>
                <w:sz w:val="16"/>
                <w:szCs w:val="16"/>
                <w:spacing w:val="-2"/>
              </w:rPr>
              <w:t>《中华人民共和国疫苗管理法1</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917312"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50" name="TextBox 350"/>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2" style="position:absolute;margin-left:37.0402pt;margin-top:48.636pt;mso-position-vertical-relative:page;mso-position-horizontal-relative:page;width:13.6pt;height:12.35pt;z-index:25191731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256</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299"/>
        <w:gridCol w:w="1638"/>
        <w:gridCol w:w="2377"/>
        <w:gridCol w:w="3711"/>
      </w:tblGrid>
      <w:tr>
        <w:trPr>
          <w:trHeight w:val="424" w:hRule="atLeast"/>
        </w:trPr>
        <w:tc>
          <w:tcPr>
            <w:tcW w:w="574" w:type="dxa"/>
            <w:vAlign w:val="top"/>
          </w:tcPr>
          <w:p>
            <w:pPr>
              <w:pStyle w:val="TableText"/>
              <w:ind w:left="114"/>
              <w:spacing w:before="132" w:line="220" w:lineRule="auto"/>
              <w:rPr>
                <w:sz w:val="16"/>
                <w:szCs w:val="16"/>
              </w:rPr>
            </w:pPr>
            <w:r>
              <w:rPr>
                <w:sz w:val="16"/>
                <w:szCs w:val="16"/>
                <w:spacing w:val="-2"/>
              </w:rPr>
              <w:t>程号</w:t>
            </w:r>
          </w:p>
        </w:tc>
        <w:tc>
          <w:tcPr>
            <w:tcW w:w="1299" w:type="dxa"/>
            <w:vAlign w:val="top"/>
          </w:tcPr>
          <w:p>
            <w:pPr>
              <w:pStyle w:val="TableText"/>
              <w:ind w:left="160"/>
              <w:spacing w:before="131" w:line="219" w:lineRule="auto"/>
              <w:rPr>
                <w:sz w:val="16"/>
                <w:szCs w:val="16"/>
              </w:rPr>
            </w:pPr>
            <w:r>
              <w:rPr>
                <w:sz w:val="16"/>
                <w:szCs w:val="16"/>
                <w:spacing w:val="3"/>
              </w:rPr>
              <w:t>中夹主管部门</w:t>
            </w:r>
          </w:p>
        </w:tc>
        <w:tc>
          <w:tcPr>
            <w:tcW w:w="1638" w:type="dxa"/>
            <w:vAlign w:val="top"/>
          </w:tcPr>
          <w:p>
            <w:pPr>
              <w:pStyle w:val="TableText"/>
              <w:ind w:left="451"/>
              <w:spacing w:before="131" w:line="219" w:lineRule="auto"/>
              <w:rPr>
                <w:sz w:val="16"/>
                <w:szCs w:val="16"/>
              </w:rPr>
            </w:pPr>
            <w:r>
              <w:rPr>
                <w:sz w:val="16"/>
                <w:szCs w:val="16"/>
                <w:spacing w:val="-2"/>
              </w:rPr>
              <w:t>幸项名群</w:t>
            </w:r>
          </w:p>
        </w:tc>
        <w:tc>
          <w:tcPr>
            <w:tcW w:w="2377" w:type="dxa"/>
            <w:vAlign w:val="top"/>
          </w:tcPr>
          <w:p>
            <w:pPr>
              <w:pStyle w:val="TableText"/>
              <w:ind w:left="854"/>
              <w:spacing w:before="130" w:line="219" w:lineRule="auto"/>
              <w:rPr>
                <w:sz w:val="16"/>
                <w:szCs w:val="16"/>
              </w:rPr>
            </w:pPr>
            <w:r>
              <w:rPr>
                <w:sz w:val="16"/>
                <w:szCs w:val="16"/>
                <w:spacing w:val="-2"/>
              </w:rPr>
              <w:t>实施机关</w:t>
            </w:r>
          </w:p>
        </w:tc>
        <w:tc>
          <w:tcPr>
            <w:tcW w:w="3711" w:type="dxa"/>
            <w:vAlign w:val="top"/>
          </w:tcPr>
          <w:p>
            <w:pPr>
              <w:pStyle w:val="TableText"/>
              <w:ind w:left="1289"/>
              <w:spacing w:before="128" w:line="219" w:lineRule="auto"/>
              <w:rPr>
                <w:sz w:val="16"/>
                <w:szCs w:val="16"/>
              </w:rPr>
            </w:pPr>
            <w:r>
              <w:rPr>
                <w:sz w:val="16"/>
                <w:szCs w:val="16"/>
                <w:b/>
                <w:bCs/>
                <w:spacing w:val="-3"/>
              </w:rPr>
              <w:t>设定和实监依构</w:t>
            </w:r>
          </w:p>
        </w:tc>
      </w:tr>
      <w:tr>
        <w:trPr>
          <w:trHeight w:val="639" w:hRule="atLeast"/>
        </w:trPr>
        <w:tc>
          <w:tcPr>
            <w:tcW w:w="574" w:type="dxa"/>
            <w:vAlign w:val="top"/>
          </w:tcPr>
          <w:p>
            <w:pPr>
              <w:pStyle w:val="TableText"/>
              <w:ind w:left="154"/>
              <w:spacing w:before="237" w:line="219" w:lineRule="auto"/>
              <w:rPr>
                <w:sz w:val="16"/>
                <w:szCs w:val="16"/>
              </w:rPr>
            </w:pPr>
            <w:r>
              <w:rPr>
                <w:sz w:val="16"/>
                <w:szCs w:val="16"/>
                <w:spacing w:val="-3"/>
              </w:rPr>
              <w:t>第G</w:t>
            </w:r>
          </w:p>
        </w:tc>
        <w:tc>
          <w:tcPr>
            <w:tcW w:w="1299" w:type="dxa"/>
            <w:vAlign w:val="top"/>
          </w:tcPr>
          <w:p>
            <w:pPr>
              <w:pStyle w:val="TableText"/>
              <w:ind w:left="241"/>
              <w:spacing w:before="238" w:line="220" w:lineRule="auto"/>
              <w:rPr>
                <w:sz w:val="16"/>
                <w:szCs w:val="16"/>
              </w:rPr>
            </w:pPr>
            <w:r>
              <w:rPr>
                <w:sz w:val="16"/>
                <w:szCs w:val="16"/>
                <w:spacing w:val="2"/>
              </w:rPr>
              <w:t>回累药监局</w:t>
            </w:r>
          </w:p>
        </w:tc>
        <w:tc>
          <w:tcPr>
            <w:tcW w:w="1638" w:type="dxa"/>
            <w:vAlign w:val="top"/>
          </w:tcPr>
          <w:p>
            <w:pPr>
              <w:pStyle w:val="TableText"/>
              <w:ind w:left="32"/>
              <w:spacing w:before="237" w:line="219" w:lineRule="auto"/>
              <w:rPr>
                <w:sz w:val="16"/>
                <w:szCs w:val="16"/>
              </w:rPr>
            </w:pPr>
            <w:r>
              <w:rPr>
                <w:sz w:val="16"/>
                <w:szCs w:val="16"/>
                <w:spacing w:val="-1"/>
              </w:rPr>
              <w:t>药品上市性前审批</w:t>
            </w:r>
          </w:p>
        </w:tc>
        <w:tc>
          <w:tcPr>
            <w:tcW w:w="2377" w:type="dxa"/>
            <w:vAlign w:val="top"/>
          </w:tcPr>
          <w:p>
            <w:pPr>
              <w:pStyle w:val="TableText"/>
              <w:ind w:left="54"/>
              <w:spacing w:before="237" w:line="219" w:lineRule="auto"/>
              <w:rPr>
                <w:sz w:val="16"/>
                <w:szCs w:val="16"/>
              </w:rPr>
            </w:pPr>
            <w:r>
              <w:rPr>
                <w:sz w:val="16"/>
                <w:szCs w:val="16"/>
                <w:spacing w:val="1"/>
              </w:rPr>
              <w:t>国家薪监期；省理病监部门</w:t>
            </w:r>
          </w:p>
        </w:tc>
        <w:tc>
          <w:tcPr>
            <w:tcW w:w="3711" w:type="dxa"/>
            <w:vAlign w:val="top"/>
          </w:tcPr>
          <w:p>
            <w:pPr>
              <w:pStyle w:val="TableText"/>
              <w:spacing w:before="37" w:line="220" w:lineRule="exact"/>
              <w:rPr>
                <w:sz w:val="16"/>
                <w:szCs w:val="16"/>
              </w:rPr>
            </w:pPr>
            <w:r>
              <w:rPr>
                <w:sz w:val="16"/>
                <w:szCs w:val="16"/>
                <w:spacing w:val="-3"/>
                <w:position w:val="4"/>
              </w:rPr>
              <w:t>《中华人民共和图断品管理法</w:t>
            </w:r>
          </w:p>
          <w:p>
            <w:pPr>
              <w:pStyle w:val="TableText"/>
              <w:spacing w:line="219" w:lineRule="auto"/>
              <w:rPr>
                <w:sz w:val="16"/>
                <w:szCs w:val="16"/>
              </w:rPr>
            </w:pPr>
            <w:r>
              <w:rPr>
                <w:sz w:val="16"/>
                <w:szCs w:val="16"/>
                <w:spacing w:val="-3"/>
              </w:rPr>
              <w:t>《中华人见共和国疫茄督题法》</w:t>
            </w:r>
          </w:p>
          <w:p>
            <w:pPr>
              <w:pStyle w:val="TableText"/>
              <w:spacing w:line="209" w:lineRule="auto"/>
              <w:rPr>
                <w:sz w:val="16"/>
                <w:szCs w:val="16"/>
              </w:rPr>
            </w:pPr>
            <w:r>
              <w:rPr>
                <w:sz w:val="16"/>
                <w:szCs w:val="16"/>
                <w:spacing w:val="-3"/>
              </w:rPr>
              <w:t>《中华人民共和国哲品管型法实监基例</w:t>
            </w:r>
          </w:p>
        </w:tc>
      </w:tr>
      <w:tr>
        <w:trPr>
          <w:trHeight w:val="439" w:hRule="atLeast"/>
        </w:trPr>
        <w:tc>
          <w:tcPr>
            <w:tcW w:w="574" w:type="dxa"/>
            <w:vAlign w:val="top"/>
          </w:tcPr>
          <w:p>
            <w:pPr>
              <w:pStyle w:val="TableText"/>
              <w:ind w:left="154"/>
              <w:spacing w:before="179" w:line="183" w:lineRule="auto"/>
              <w:rPr>
                <w:sz w:val="16"/>
                <w:szCs w:val="16"/>
              </w:rPr>
            </w:pPr>
            <w:r>
              <w:rPr>
                <w:sz w:val="16"/>
                <w:szCs w:val="16"/>
                <w:spacing w:val="-2"/>
              </w:rPr>
              <w:t>908</w:t>
            </w:r>
          </w:p>
        </w:tc>
        <w:tc>
          <w:tcPr>
            <w:tcW w:w="1299" w:type="dxa"/>
            <w:vAlign w:val="top"/>
          </w:tcPr>
          <w:p>
            <w:pPr>
              <w:pStyle w:val="TableText"/>
              <w:ind w:left="241"/>
              <w:spacing w:before="137" w:line="219" w:lineRule="auto"/>
              <w:rPr>
                <w:sz w:val="16"/>
                <w:szCs w:val="16"/>
              </w:rPr>
            </w:pPr>
            <w:r>
              <w:rPr>
                <w:sz w:val="16"/>
                <w:szCs w:val="16"/>
                <w:spacing w:val="1"/>
              </w:rPr>
              <w:t>国家荡密号</w:t>
            </w:r>
          </w:p>
        </w:tc>
        <w:tc>
          <w:tcPr>
            <w:tcW w:w="1638" w:type="dxa"/>
            <w:vAlign w:val="top"/>
          </w:tcPr>
          <w:p>
            <w:pPr>
              <w:pStyle w:val="TableText"/>
              <w:ind w:left="32" w:right="105" w:firstLine="40"/>
              <w:spacing w:before="67" w:line="208" w:lineRule="auto"/>
              <w:rPr>
                <w:sz w:val="16"/>
                <w:szCs w:val="16"/>
              </w:rPr>
            </w:pPr>
            <w:r>
              <w:rPr>
                <w:sz w:val="16"/>
                <w:szCs w:val="16"/>
                <w:spacing w:val="1"/>
              </w:rPr>
              <w:t>医正机购因临床负第</w:t>
            </w:r>
            <w:r>
              <w:rPr>
                <w:sz w:val="16"/>
                <w:szCs w:val="16"/>
              </w:rPr>
              <w:t xml:space="preserve"> </w:t>
            </w:r>
            <w:r>
              <w:rPr>
                <w:sz w:val="16"/>
                <w:szCs w:val="16"/>
              </w:rPr>
              <w:t>出口少量现品市批</w:t>
            </w:r>
          </w:p>
        </w:tc>
        <w:tc>
          <w:tcPr>
            <w:tcW w:w="2377" w:type="dxa"/>
            <w:vAlign w:val="top"/>
          </w:tcPr>
          <w:p>
            <w:pPr>
              <w:pStyle w:val="TableText"/>
              <w:ind w:left="54" w:right="41" w:firstLine="20"/>
              <w:spacing w:before="28" w:line="231" w:lineRule="auto"/>
              <w:rPr>
                <w:sz w:val="16"/>
                <w:szCs w:val="16"/>
              </w:rPr>
            </w:pPr>
            <w:r>
              <w:rPr>
                <w:sz w:val="16"/>
                <w:szCs w:val="16"/>
              </w:rPr>
              <w:t>国空药监马，国务底授权的省线</w:t>
            </w:r>
            <w:r>
              <w:rPr>
                <w:sz w:val="16"/>
                <w:szCs w:val="16"/>
                <w:spacing w:val="10"/>
              </w:rPr>
              <w:t xml:space="preserve"> </w:t>
            </w:r>
            <w:r>
              <w:rPr>
                <w:sz w:val="16"/>
                <w:szCs w:val="16"/>
                <w:spacing w:val="2"/>
              </w:rPr>
              <w:t>世府(由其指定就门承办)</w:t>
            </w:r>
          </w:p>
        </w:tc>
        <w:tc>
          <w:tcPr>
            <w:tcW w:w="3711" w:type="dxa"/>
            <w:vAlign w:val="top"/>
          </w:tcPr>
          <w:p>
            <w:pPr>
              <w:pStyle w:val="TableText"/>
              <w:ind w:left="56"/>
              <w:spacing w:before="138" w:line="219" w:lineRule="auto"/>
              <w:rPr>
                <w:sz w:val="16"/>
                <w:szCs w:val="16"/>
              </w:rPr>
            </w:pPr>
            <w:r>
              <w:rPr>
                <w:sz w:val="16"/>
                <w:szCs w:val="16"/>
                <w:spacing w:val="-1"/>
              </w:rPr>
              <w:t>(中华人民其和围药品管理法》</w:t>
            </w:r>
          </w:p>
        </w:tc>
      </w:tr>
      <w:tr>
        <w:trPr>
          <w:trHeight w:val="639" w:hRule="atLeast"/>
        </w:trPr>
        <w:tc>
          <w:tcPr>
            <w:tcW w:w="574" w:type="dxa"/>
            <w:vAlign w:val="top"/>
          </w:tcPr>
          <w:p>
            <w:pPr>
              <w:pStyle w:val="TableText"/>
              <w:ind w:left="154"/>
              <w:spacing w:before="281" w:line="182" w:lineRule="auto"/>
              <w:rPr>
                <w:sz w:val="16"/>
                <w:szCs w:val="16"/>
              </w:rPr>
            </w:pPr>
            <w:r>
              <w:rPr>
                <w:sz w:val="16"/>
                <w:szCs w:val="16"/>
                <w:spacing w:val="-1"/>
              </w:rPr>
              <w:t>BoW</w:t>
            </w:r>
          </w:p>
        </w:tc>
        <w:tc>
          <w:tcPr>
            <w:tcW w:w="1299" w:type="dxa"/>
            <w:vAlign w:val="top"/>
          </w:tcPr>
          <w:p>
            <w:pPr>
              <w:pStyle w:val="TableText"/>
              <w:ind w:left="241"/>
              <w:spacing w:before="238" w:line="219" w:lineRule="auto"/>
              <w:rPr>
                <w:sz w:val="16"/>
                <w:szCs w:val="16"/>
              </w:rPr>
            </w:pPr>
            <w:r>
              <w:rPr>
                <w:sz w:val="16"/>
                <w:szCs w:val="16"/>
                <w:spacing w:val="2"/>
              </w:rPr>
              <w:t>国章师签局</w:t>
            </w:r>
          </w:p>
        </w:tc>
        <w:tc>
          <w:tcPr>
            <w:tcW w:w="1638" w:type="dxa"/>
            <w:vAlign w:val="top"/>
          </w:tcPr>
          <w:p>
            <w:pPr>
              <w:pStyle w:val="TableText"/>
              <w:ind w:left="32" w:right="129" w:firstLine="10"/>
              <w:spacing w:before="159" w:line="220" w:lineRule="auto"/>
              <w:rPr>
                <w:sz w:val="16"/>
                <w:szCs w:val="16"/>
              </w:rPr>
            </w:pPr>
            <w:r>
              <w:rPr>
                <w:sz w:val="16"/>
                <w:szCs w:val="16"/>
                <w:spacing w:val="1"/>
              </w:rPr>
              <w:t>盐精联足的生物解品</w:t>
            </w:r>
            <w:r>
              <w:rPr>
                <w:sz w:val="16"/>
                <w:szCs w:val="16"/>
                <w:spacing w:val="6"/>
              </w:rPr>
              <w:t xml:space="preserve"> </w:t>
            </w:r>
            <w:r>
              <w:rPr>
                <w:sz w:val="16"/>
                <w:szCs w:val="16"/>
                <w:spacing w:val="-2"/>
              </w:rPr>
              <w:t>批笔发</w:t>
            </w:r>
          </w:p>
        </w:tc>
        <w:tc>
          <w:tcPr>
            <w:tcW w:w="2377" w:type="dxa"/>
            <w:vAlign w:val="top"/>
          </w:tcPr>
          <w:p>
            <w:pPr>
              <w:pStyle w:val="TableText"/>
              <w:ind w:left="54" w:right="206" w:firstLine="20"/>
              <w:spacing w:before="138" w:line="232" w:lineRule="auto"/>
              <w:rPr>
                <w:sz w:val="16"/>
                <w:szCs w:val="16"/>
              </w:rPr>
            </w:pPr>
            <w:r>
              <w:rPr>
                <w:sz w:val="16"/>
                <w:szCs w:val="16"/>
              </w:rPr>
              <w:t>国家药监期指足的药品检验机</w:t>
            </w:r>
            <w:r>
              <w:rPr>
                <w:sz w:val="16"/>
                <w:szCs w:val="16"/>
                <w:spacing w:val="5"/>
              </w:rPr>
              <w:t xml:space="preserve"> </w:t>
            </w:r>
            <w:r>
              <w:rPr>
                <w:sz w:val="16"/>
                <w:szCs w:val="16"/>
              </w:rPr>
              <w:t>何</w:t>
            </w:r>
          </w:p>
        </w:tc>
        <w:tc>
          <w:tcPr>
            <w:tcW w:w="3711" w:type="dxa"/>
            <w:vAlign w:val="top"/>
          </w:tcPr>
          <w:p>
            <w:pPr>
              <w:pStyle w:val="TableText"/>
              <w:spacing w:before="29" w:line="230" w:lineRule="exact"/>
              <w:rPr>
                <w:sz w:val="16"/>
                <w:szCs w:val="16"/>
              </w:rPr>
            </w:pPr>
            <w:r>
              <w:rPr>
                <w:sz w:val="16"/>
                <w:szCs w:val="16"/>
                <w:spacing w:val="-3"/>
                <w:position w:val="5"/>
              </w:rPr>
              <w:t>《中华人民共和国新品管理法》</w:t>
            </w:r>
          </w:p>
          <w:p>
            <w:pPr>
              <w:pStyle w:val="TableText"/>
              <w:spacing w:line="219" w:lineRule="auto"/>
              <w:rPr>
                <w:sz w:val="16"/>
                <w:szCs w:val="16"/>
              </w:rPr>
            </w:pPr>
            <w:r>
              <w:rPr>
                <w:sz w:val="16"/>
                <w:szCs w:val="16"/>
                <w:spacing w:val="4"/>
              </w:rPr>
              <w:t>【中华人民共和国疫范管理法》</w:t>
            </w:r>
          </w:p>
          <w:p>
            <w:pPr>
              <w:pStyle w:val="TableText"/>
              <w:ind w:left="56"/>
              <w:spacing w:before="9" w:line="196" w:lineRule="auto"/>
              <w:rPr>
                <w:sz w:val="16"/>
                <w:szCs w:val="16"/>
              </w:rPr>
            </w:pPr>
            <w:r>
              <w:rPr>
                <w:sz w:val="16"/>
                <w:szCs w:val="16"/>
                <w:spacing w:val="-1"/>
              </w:rPr>
              <w:t>飞中华人民共和国药品管理法实院条惯</w:t>
            </w:r>
          </w:p>
        </w:tc>
      </w:tr>
      <w:tr>
        <w:trPr>
          <w:trHeight w:val="639" w:hRule="atLeast"/>
        </w:trPr>
        <w:tc>
          <w:tcPr>
            <w:tcW w:w="574" w:type="dxa"/>
            <w:vAlign w:val="top"/>
          </w:tcPr>
          <w:p>
            <w:pPr>
              <w:pStyle w:val="TableText"/>
              <w:ind w:left="154"/>
              <w:spacing w:before="280" w:line="184" w:lineRule="auto"/>
              <w:rPr>
                <w:sz w:val="16"/>
                <w:szCs w:val="16"/>
              </w:rPr>
            </w:pPr>
            <w:r>
              <w:rPr>
                <w:sz w:val="16"/>
                <w:szCs w:val="16"/>
                <w:spacing w:val="-2"/>
              </w:rPr>
              <w:t>41n</w:t>
            </w:r>
          </w:p>
        </w:tc>
        <w:tc>
          <w:tcPr>
            <w:tcW w:w="1299" w:type="dxa"/>
            <w:vAlign w:val="top"/>
          </w:tcPr>
          <w:p>
            <w:pPr>
              <w:pStyle w:val="TableText"/>
              <w:ind w:left="241"/>
              <w:spacing w:before="239" w:line="219" w:lineRule="auto"/>
              <w:rPr>
                <w:sz w:val="16"/>
                <w:szCs w:val="16"/>
              </w:rPr>
            </w:pPr>
            <w:r>
              <w:rPr>
                <w:sz w:val="16"/>
                <w:szCs w:val="16"/>
                <w:spacing w:val="2"/>
              </w:rPr>
              <w:t>国家州监局</w:t>
            </w:r>
          </w:p>
        </w:tc>
        <w:tc>
          <w:tcPr>
            <w:tcW w:w="1638" w:type="dxa"/>
            <w:vAlign w:val="top"/>
          </w:tcPr>
          <w:p>
            <w:pPr>
              <w:pStyle w:val="TableText"/>
              <w:ind w:left="32"/>
              <w:spacing w:before="240" w:line="219" w:lineRule="auto"/>
              <w:rPr>
                <w:sz w:val="16"/>
                <w:szCs w:val="16"/>
              </w:rPr>
            </w:pPr>
            <w:r>
              <w:rPr>
                <w:sz w:val="16"/>
                <w:szCs w:val="16"/>
                <w:spacing w:val="-1"/>
              </w:rPr>
              <w:t>码品生产许可</w:t>
            </w:r>
          </w:p>
        </w:tc>
        <w:tc>
          <w:tcPr>
            <w:tcW w:w="2377" w:type="dxa"/>
            <w:vAlign w:val="top"/>
          </w:tcPr>
          <w:p>
            <w:pPr>
              <w:pStyle w:val="TableText"/>
              <w:ind w:left="54"/>
              <w:spacing w:before="240" w:line="219" w:lineRule="auto"/>
              <w:rPr>
                <w:sz w:val="16"/>
                <w:szCs w:val="16"/>
              </w:rPr>
            </w:pPr>
            <w:r>
              <w:rPr>
                <w:sz w:val="16"/>
                <w:szCs w:val="16"/>
                <w:spacing w:val="3"/>
              </w:rPr>
              <w:t>省城荷监部门</w:t>
            </w:r>
          </w:p>
        </w:tc>
        <w:tc>
          <w:tcPr>
            <w:tcW w:w="3711" w:type="dxa"/>
            <w:vAlign w:val="top"/>
          </w:tcPr>
          <w:p>
            <w:pPr>
              <w:pStyle w:val="TableText"/>
              <w:ind w:left="56"/>
              <w:spacing w:before="60" w:line="231" w:lineRule="auto"/>
              <w:rPr>
                <w:sz w:val="16"/>
                <w:szCs w:val="16"/>
              </w:rPr>
            </w:pPr>
            <w:r>
              <w:rPr>
                <w:sz w:val="16"/>
                <w:szCs w:val="16"/>
                <w:spacing w:val="-1"/>
              </w:rPr>
              <w:t>上中华人民我和国药品管理法》</w:t>
            </w:r>
          </w:p>
          <w:p>
            <w:pPr>
              <w:pStyle w:val="TableText"/>
              <w:ind w:left="56"/>
              <w:spacing w:line="219" w:lineRule="auto"/>
              <w:rPr>
                <w:sz w:val="16"/>
                <w:szCs w:val="16"/>
              </w:rPr>
            </w:pPr>
            <w:r>
              <w:rPr>
                <w:sz w:val="16"/>
                <w:szCs w:val="16"/>
                <w:spacing w:val="-1"/>
              </w:rPr>
              <w:t>(中华人民共和国疫范管理怯》</w:t>
            </w:r>
          </w:p>
          <w:p>
            <w:pPr>
              <w:pStyle w:val="TableText"/>
              <w:spacing w:before="9" w:line="195" w:lineRule="auto"/>
              <w:rPr>
                <w:sz w:val="16"/>
                <w:szCs w:val="16"/>
              </w:rPr>
            </w:pPr>
            <w:r>
              <w:rPr>
                <w:sz w:val="16"/>
                <w:szCs w:val="16"/>
                <w:spacing w:val="-2"/>
              </w:rPr>
              <w:t>《中P人民共和区药品管理法实监茶例1</w:t>
            </w:r>
          </w:p>
        </w:tc>
      </w:tr>
      <w:tr>
        <w:trPr>
          <w:trHeight w:val="240" w:hRule="atLeast"/>
        </w:trPr>
        <w:tc>
          <w:tcPr>
            <w:tcW w:w="574" w:type="dxa"/>
            <w:vAlign w:val="top"/>
          </w:tcPr>
          <w:p>
            <w:pPr>
              <w:pStyle w:val="TableText"/>
              <w:ind w:left="194"/>
              <w:spacing w:before="83" w:line="169" w:lineRule="auto"/>
              <w:rPr>
                <w:sz w:val="16"/>
                <w:szCs w:val="16"/>
              </w:rPr>
            </w:pPr>
            <w:r>
              <w:rPr>
                <w:sz w:val="16"/>
                <w:szCs w:val="16"/>
                <w:spacing w:val="-1"/>
              </w:rPr>
              <w:t>Vu</w:t>
            </w:r>
          </w:p>
        </w:tc>
        <w:tc>
          <w:tcPr>
            <w:tcW w:w="1299" w:type="dxa"/>
            <w:vAlign w:val="top"/>
          </w:tcPr>
          <w:p>
            <w:pPr>
              <w:pStyle w:val="TableText"/>
              <w:ind w:left="241"/>
              <w:spacing w:before="41" w:line="218" w:lineRule="auto"/>
              <w:rPr>
                <w:sz w:val="16"/>
                <w:szCs w:val="16"/>
              </w:rPr>
            </w:pPr>
            <w:r>
              <w:rPr>
                <w:sz w:val="16"/>
                <w:szCs w:val="16"/>
                <w:spacing w:val="2"/>
              </w:rPr>
              <w:t>国家药临属</w:t>
            </w:r>
          </w:p>
        </w:tc>
        <w:tc>
          <w:tcPr>
            <w:tcW w:w="1638" w:type="dxa"/>
            <w:vAlign w:val="top"/>
          </w:tcPr>
          <w:p>
            <w:pPr>
              <w:pStyle w:val="TableText"/>
              <w:ind w:left="32"/>
              <w:spacing w:before="41" w:line="218" w:lineRule="auto"/>
              <w:rPr>
                <w:sz w:val="16"/>
                <w:szCs w:val="16"/>
              </w:rPr>
            </w:pPr>
            <w:r>
              <w:rPr>
                <w:sz w:val="16"/>
                <w:szCs w:val="16"/>
                <w:spacing w:val="-1"/>
              </w:rPr>
              <w:t>模防委托生产审批</w:t>
            </w:r>
          </w:p>
        </w:tc>
        <w:tc>
          <w:tcPr>
            <w:tcW w:w="2377" w:type="dxa"/>
            <w:vAlign w:val="top"/>
          </w:tcPr>
          <w:p>
            <w:pPr>
              <w:pStyle w:val="TableText"/>
              <w:ind w:left="54"/>
              <w:spacing w:before="41" w:line="218" w:lineRule="auto"/>
              <w:rPr>
                <w:sz w:val="16"/>
                <w:szCs w:val="16"/>
              </w:rPr>
            </w:pPr>
            <w:r>
              <w:rPr>
                <w:sz w:val="16"/>
                <w:szCs w:val="16"/>
                <w:spacing w:val="2"/>
              </w:rPr>
              <w:t>国家荷监局</w:t>
            </w:r>
          </w:p>
        </w:tc>
        <w:tc>
          <w:tcPr>
            <w:tcW w:w="3711" w:type="dxa"/>
            <w:vAlign w:val="top"/>
          </w:tcPr>
          <w:p>
            <w:pPr>
              <w:pStyle w:val="TableText"/>
              <w:spacing w:before="41" w:line="218" w:lineRule="auto"/>
              <w:rPr>
                <w:sz w:val="16"/>
                <w:szCs w:val="16"/>
              </w:rPr>
            </w:pPr>
            <w:r>
              <w:rPr>
                <w:sz w:val="16"/>
                <w:szCs w:val="16"/>
                <w:spacing w:val="-3"/>
              </w:rPr>
              <w:t>《中华人民共和国疫的管理法》</w:t>
            </w:r>
          </w:p>
        </w:tc>
      </w:tr>
      <w:tr>
        <w:trPr>
          <w:trHeight w:val="439" w:hRule="atLeast"/>
        </w:trPr>
        <w:tc>
          <w:tcPr>
            <w:tcW w:w="574" w:type="dxa"/>
            <w:vAlign w:val="top"/>
          </w:tcPr>
          <w:p>
            <w:pPr>
              <w:pStyle w:val="TableText"/>
              <w:ind w:left="154"/>
              <w:spacing w:before="137" w:line="214" w:lineRule="auto"/>
              <w:rPr>
                <w:sz w:val="16"/>
                <w:szCs w:val="16"/>
              </w:rPr>
            </w:pPr>
            <w:r>
              <w:rPr>
                <w:sz w:val="16"/>
                <w:szCs w:val="16"/>
                <w:spacing w:val="-1"/>
              </w:rPr>
              <w:t>pa#</w:t>
            </w:r>
          </w:p>
        </w:tc>
        <w:tc>
          <w:tcPr>
            <w:tcW w:w="1299" w:type="dxa"/>
            <w:vAlign w:val="top"/>
          </w:tcPr>
          <w:p>
            <w:pPr>
              <w:pStyle w:val="TableText"/>
              <w:ind w:left="241"/>
              <w:spacing w:before="141" w:line="219" w:lineRule="auto"/>
              <w:rPr>
                <w:sz w:val="16"/>
                <w:szCs w:val="16"/>
              </w:rPr>
            </w:pPr>
            <w:r>
              <w:rPr>
                <w:sz w:val="16"/>
                <w:szCs w:val="16"/>
                <w:spacing w:val="1"/>
              </w:rPr>
              <w:t>国掌师蓝具</w:t>
            </w:r>
          </w:p>
        </w:tc>
        <w:tc>
          <w:tcPr>
            <w:tcW w:w="1638" w:type="dxa"/>
            <w:vAlign w:val="top"/>
          </w:tcPr>
          <w:p>
            <w:pPr>
              <w:pStyle w:val="TableText"/>
              <w:ind w:left="32" w:right="142"/>
              <w:spacing w:before="40" w:line="224" w:lineRule="auto"/>
              <w:rPr>
                <w:sz w:val="16"/>
                <w:szCs w:val="16"/>
              </w:rPr>
            </w:pPr>
            <w:r>
              <w:rPr>
                <w:sz w:val="16"/>
                <w:szCs w:val="16"/>
                <w:spacing w:val="1"/>
              </w:rPr>
              <w:t>药品批发命业筹建审</w:t>
            </w:r>
            <w:r>
              <w:rPr>
                <w:sz w:val="16"/>
                <w:szCs w:val="16"/>
                <w:spacing w:val="3"/>
              </w:rPr>
              <w:t xml:space="preserve"> </w:t>
            </w:r>
            <w:r>
              <w:rPr>
                <w:sz w:val="16"/>
                <w:szCs w:val="16"/>
              </w:rPr>
              <w:t>基</w:t>
            </w:r>
          </w:p>
        </w:tc>
        <w:tc>
          <w:tcPr>
            <w:tcW w:w="2377" w:type="dxa"/>
            <w:vAlign w:val="top"/>
          </w:tcPr>
          <w:p>
            <w:pPr>
              <w:pStyle w:val="TableText"/>
              <w:ind w:left="54"/>
              <w:spacing w:before="141" w:line="219" w:lineRule="auto"/>
              <w:rPr>
                <w:sz w:val="16"/>
                <w:szCs w:val="16"/>
              </w:rPr>
            </w:pPr>
            <w:r>
              <w:rPr>
                <w:sz w:val="16"/>
                <w:szCs w:val="16"/>
                <w:spacing w:val="3"/>
              </w:rPr>
              <w:t>省级荷监累门</w:t>
            </w:r>
          </w:p>
        </w:tc>
        <w:tc>
          <w:tcPr>
            <w:tcW w:w="3711" w:type="dxa"/>
            <w:vAlign w:val="top"/>
          </w:tcPr>
          <w:p>
            <w:pPr>
              <w:pStyle w:val="TableText"/>
              <w:spacing w:before="61" w:line="219" w:lineRule="auto"/>
              <w:rPr>
                <w:sz w:val="16"/>
                <w:szCs w:val="16"/>
              </w:rPr>
            </w:pPr>
            <w:r>
              <w:rPr>
                <w:sz w:val="16"/>
                <w:szCs w:val="16"/>
                <w:spacing w:val="-3"/>
              </w:rPr>
              <w:t>《中华人民共和国齿品管理强》</w:t>
            </w:r>
          </w:p>
          <w:p>
            <w:pPr>
              <w:pStyle w:val="TableText"/>
              <w:ind w:left="56"/>
              <w:spacing w:before="9" w:line="194" w:lineRule="auto"/>
              <w:rPr>
                <w:sz w:val="16"/>
                <w:szCs w:val="16"/>
              </w:rPr>
            </w:pPr>
            <w:r>
              <w:rPr>
                <w:sz w:val="16"/>
                <w:szCs w:val="16"/>
              </w:rPr>
              <w:t>下中军人民共和国药品管理医实流茅的</w:t>
            </w:r>
          </w:p>
        </w:tc>
      </w:tr>
      <w:tr>
        <w:trPr>
          <w:trHeight w:val="439" w:hRule="atLeast"/>
        </w:trPr>
        <w:tc>
          <w:tcPr>
            <w:tcW w:w="574" w:type="dxa"/>
            <w:vAlign w:val="top"/>
          </w:tcPr>
          <w:p>
            <w:pPr>
              <w:pStyle w:val="TableText"/>
              <w:ind w:left="154"/>
              <w:spacing w:before="183" w:line="184" w:lineRule="auto"/>
              <w:rPr>
                <w:sz w:val="16"/>
                <w:szCs w:val="16"/>
              </w:rPr>
            </w:pPr>
            <w:r>
              <w:rPr>
                <w:sz w:val="16"/>
                <w:szCs w:val="16"/>
                <w:spacing w:val="-2"/>
              </w:rPr>
              <w:t>915</w:t>
            </w:r>
          </w:p>
        </w:tc>
        <w:tc>
          <w:tcPr>
            <w:tcW w:w="1299" w:type="dxa"/>
            <w:vAlign w:val="top"/>
          </w:tcPr>
          <w:p>
            <w:pPr>
              <w:pStyle w:val="TableText"/>
              <w:ind w:left="241"/>
              <w:spacing w:before="142" w:line="219" w:lineRule="auto"/>
              <w:rPr>
                <w:sz w:val="16"/>
                <w:szCs w:val="16"/>
              </w:rPr>
            </w:pPr>
            <w:r>
              <w:rPr>
                <w:sz w:val="16"/>
                <w:szCs w:val="16"/>
                <w:spacing w:val="6"/>
              </w:rPr>
              <w:t>四家病监月</w:t>
            </w:r>
          </w:p>
        </w:tc>
        <w:tc>
          <w:tcPr>
            <w:tcW w:w="1638" w:type="dxa"/>
            <w:vAlign w:val="top"/>
          </w:tcPr>
          <w:p>
            <w:pPr>
              <w:pStyle w:val="TableText"/>
              <w:ind w:left="32" w:right="164"/>
              <w:spacing w:before="52" w:line="217" w:lineRule="auto"/>
              <w:rPr>
                <w:sz w:val="16"/>
                <w:szCs w:val="16"/>
              </w:rPr>
            </w:pPr>
            <w:r>
              <w:rPr>
                <w:sz w:val="16"/>
                <w:szCs w:val="16"/>
                <w:spacing w:val="-1"/>
              </w:rPr>
              <w:t>药品把发是业经破特</w:t>
            </w:r>
            <w:r>
              <w:rPr>
                <w:sz w:val="16"/>
                <w:szCs w:val="16"/>
              </w:rPr>
              <w:t xml:space="preserve"> </w:t>
            </w:r>
            <w:r>
              <w:rPr>
                <w:sz w:val="16"/>
                <w:szCs w:val="16"/>
              </w:rPr>
              <w:t>可</w:t>
            </w:r>
          </w:p>
        </w:tc>
        <w:tc>
          <w:tcPr>
            <w:tcW w:w="2377" w:type="dxa"/>
            <w:vAlign w:val="top"/>
          </w:tcPr>
          <w:p>
            <w:pPr>
              <w:pStyle w:val="TableText"/>
              <w:ind w:left="54"/>
              <w:spacing w:before="142" w:line="219" w:lineRule="auto"/>
              <w:rPr>
                <w:sz w:val="16"/>
                <w:szCs w:val="16"/>
              </w:rPr>
            </w:pPr>
            <w:r>
              <w:rPr>
                <w:sz w:val="16"/>
                <w:szCs w:val="16"/>
                <w:spacing w:val="3"/>
              </w:rPr>
              <w:t>省频药装温门</w:t>
            </w:r>
          </w:p>
        </w:tc>
        <w:tc>
          <w:tcPr>
            <w:tcW w:w="3711" w:type="dxa"/>
            <w:vAlign w:val="top"/>
          </w:tcPr>
          <w:p>
            <w:pPr>
              <w:pStyle w:val="TableText"/>
              <w:ind w:left="56"/>
              <w:spacing w:before="62" w:line="219" w:lineRule="auto"/>
              <w:rPr>
                <w:sz w:val="16"/>
                <w:szCs w:val="16"/>
              </w:rPr>
            </w:pPr>
            <w:r>
              <w:rPr>
                <w:sz w:val="16"/>
                <w:szCs w:val="16"/>
              </w:rPr>
              <w:t>中护人园其和值的品香理法</w:t>
            </w:r>
          </w:p>
          <w:p>
            <w:pPr>
              <w:pStyle w:val="TableText"/>
              <w:spacing w:line="203" w:lineRule="auto"/>
              <w:rPr>
                <w:sz w:val="16"/>
                <w:szCs w:val="16"/>
              </w:rPr>
            </w:pPr>
            <w:r>
              <w:rPr>
                <w:sz w:val="16"/>
                <w:szCs w:val="16"/>
                <w:spacing w:val="-2"/>
              </w:rPr>
              <w:t>《中华人民共和国药品管理法实范条网</w:t>
            </w:r>
          </w:p>
        </w:tc>
      </w:tr>
      <w:tr>
        <w:trPr>
          <w:trHeight w:val="429" w:hRule="atLeast"/>
        </w:trPr>
        <w:tc>
          <w:tcPr>
            <w:tcW w:w="574" w:type="dxa"/>
            <w:vAlign w:val="top"/>
          </w:tcPr>
          <w:p>
            <w:pPr>
              <w:pStyle w:val="TableText"/>
              <w:ind w:left="154"/>
              <w:spacing w:before="183" w:line="184" w:lineRule="auto"/>
              <w:rPr>
                <w:sz w:val="16"/>
                <w:szCs w:val="16"/>
              </w:rPr>
            </w:pPr>
            <w:r>
              <w:rPr>
                <w:sz w:val="16"/>
                <w:szCs w:val="16"/>
                <w:spacing w:val="-2"/>
              </w:rPr>
              <w:t>014</w:t>
            </w:r>
          </w:p>
        </w:tc>
        <w:tc>
          <w:tcPr>
            <w:tcW w:w="1299" w:type="dxa"/>
            <w:vAlign w:val="top"/>
          </w:tcPr>
          <w:p>
            <w:pPr>
              <w:pStyle w:val="TableText"/>
              <w:ind w:left="241"/>
              <w:spacing w:before="144" w:line="220" w:lineRule="auto"/>
              <w:rPr>
                <w:sz w:val="16"/>
                <w:szCs w:val="16"/>
              </w:rPr>
            </w:pPr>
            <w:r>
              <w:rPr>
                <w:sz w:val="16"/>
                <w:szCs w:val="16"/>
                <w:spacing w:val="2"/>
              </w:rPr>
              <w:t>回塞防盐与</w:t>
            </w:r>
          </w:p>
        </w:tc>
        <w:tc>
          <w:tcPr>
            <w:tcW w:w="1638" w:type="dxa"/>
            <w:vAlign w:val="top"/>
          </w:tcPr>
          <w:p>
            <w:pPr>
              <w:pStyle w:val="TableText"/>
              <w:ind w:left="32" w:right="132" w:firstLine="10"/>
              <w:spacing w:before="63" w:line="205" w:lineRule="auto"/>
              <w:rPr>
                <w:sz w:val="16"/>
                <w:szCs w:val="16"/>
              </w:rPr>
            </w:pPr>
            <w:r>
              <w:rPr>
                <w:sz w:val="16"/>
                <w:szCs w:val="16"/>
                <w:spacing w:val="1"/>
              </w:rPr>
              <w:t>前见年件企业筹殖审</w:t>
            </w:r>
            <w:r>
              <w:rPr>
                <w:sz w:val="16"/>
                <w:szCs w:val="16"/>
                <w:spacing w:val="3"/>
              </w:rPr>
              <w:t xml:space="preserve"> </w:t>
            </w:r>
            <w:r>
              <w:rPr>
                <w:sz w:val="16"/>
                <w:szCs w:val="16"/>
              </w:rPr>
              <w:t>煮</w:t>
            </w:r>
          </w:p>
        </w:tc>
        <w:tc>
          <w:tcPr>
            <w:tcW w:w="2377" w:type="dxa"/>
            <w:vAlign w:val="top"/>
          </w:tcPr>
          <w:p>
            <w:pPr>
              <w:pStyle w:val="TableText"/>
              <w:ind w:left="54" w:right="79"/>
              <w:spacing w:before="63" w:line="205" w:lineRule="auto"/>
              <w:rPr>
                <w:sz w:val="16"/>
                <w:szCs w:val="16"/>
              </w:rPr>
            </w:pPr>
            <w:r>
              <w:rPr>
                <w:sz w:val="16"/>
                <w:szCs w:val="16"/>
                <w:spacing w:val="-1"/>
              </w:rPr>
              <w:t>看级，没区吩市线，县设节盖部</w:t>
            </w:r>
            <w:r>
              <w:rPr>
                <w:sz w:val="16"/>
                <w:szCs w:val="16"/>
                <w:spacing w:val="6"/>
              </w:rPr>
              <w:t xml:space="preserve"> </w:t>
            </w:r>
            <w:r>
              <w:rPr>
                <w:sz w:val="16"/>
                <w:szCs w:val="16"/>
              </w:rPr>
              <w:t>门</w:t>
            </w:r>
          </w:p>
        </w:tc>
        <w:tc>
          <w:tcPr>
            <w:tcW w:w="3711" w:type="dxa"/>
            <w:vAlign w:val="top"/>
          </w:tcPr>
          <w:p>
            <w:pPr>
              <w:pStyle w:val="TableText"/>
              <w:ind w:left="56"/>
              <w:spacing w:before="63" w:line="219" w:lineRule="auto"/>
              <w:rPr>
                <w:sz w:val="16"/>
                <w:szCs w:val="16"/>
              </w:rPr>
            </w:pPr>
            <w:r>
              <w:rPr>
                <w:sz w:val="16"/>
                <w:szCs w:val="16"/>
                <w:spacing w:val="-1"/>
              </w:rPr>
              <w:t>(中华人民其和国防品管塑法》</w:t>
            </w:r>
          </w:p>
          <w:p>
            <w:pPr>
              <w:pStyle w:val="TableText"/>
              <w:ind w:left="56"/>
              <w:spacing w:line="191" w:lineRule="auto"/>
              <w:rPr>
                <w:sz w:val="16"/>
                <w:szCs w:val="16"/>
              </w:rPr>
            </w:pPr>
            <w:r>
              <w:rPr>
                <w:sz w:val="16"/>
                <w:szCs w:val="16"/>
              </w:rPr>
              <w:t>中华人园其和国政品管理法实账条例</w:t>
            </w:r>
          </w:p>
        </w:tc>
      </w:tr>
      <w:tr>
        <w:trPr>
          <w:trHeight w:val="440" w:hRule="atLeast"/>
        </w:trPr>
        <w:tc>
          <w:tcPr>
            <w:tcW w:w="574" w:type="dxa"/>
            <w:vAlign w:val="top"/>
          </w:tcPr>
          <w:p>
            <w:pPr>
              <w:pStyle w:val="TableText"/>
              <w:ind w:left="154"/>
              <w:spacing w:before="185" w:line="183" w:lineRule="auto"/>
              <w:rPr>
                <w:sz w:val="16"/>
                <w:szCs w:val="16"/>
              </w:rPr>
            </w:pPr>
            <w:r>
              <w:rPr>
                <w:sz w:val="16"/>
                <w:szCs w:val="16"/>
                <w:spacing w:val="-2"/>
              </w:rPr>
              <w:t>935</w:t>
            </w:r>
          </w:p>
        </w:tc>
        <w:tc>
          <w:tcPr>
            <w:tcW w:w="1299" w:type="dxa"/>
            <w:vAlign w:val="top"/>
          </w:tcPr>
          <w:p>
            <w:pPr>
              <w:pStyle w:val="TableText"/>
              <w:ind w:left="241"/>
              <w:spacing w:before="145" w:line="220" w:lineRule="auto"/>
              <w:rPr>
                <w:sz w:val="16"/>
                <w:szCs w:val="16"/>
              </w:rPr>
            </w:pPr>
            <w:r>
              <w:rPr>
                <w:sz w:val="16"/>
                <w:szCs w:val="16"/>
                <w:spacing w:val="2"/>
              </w:rPr>
              <w:t>国家药盐片</w:t>
            </w:r>
          </w:p>
        </w:tc>
        <w:tc>
          <w:tcPr>
            <w:tcW w:w="1638" w:type="dxa"/>
            <w:vAlign w:val="top"/>
          </w:tcPr>
          <w:p>
            <w:pPr>
              <w:pStyle w:val="TableText"/>
              <w:ind w:left="32" w:right="154" w:firstLine="10"/>
              <w:spacing w:before="74" w:line="205" w:lineRule="auto"/>
              <w:rPr>
                <w:sz w:val="16"/>
                <w:szCs w:val="16"/>
              </w:rPr>
            </w:pPr>
            <w:r>
              <w:rPr>
                <w:sz w:val="16"/>
                <w:szCs w:val="16"/>
                <w:spacing w:val="-1"/>
              </w:rPr>
              <w:t>药品零售企受经背营</w:t>
            </w:r>
            <w:r>
              <w:rPr>
                <w:sz w:val="16"/>
                <w:szCs w:val="16"/>
              </w:rPr>
              <w:t xml:space="preserve"> </w:t>
            </w:r>
            <w:r>
              <w:rPr>
                <w:sz w:val="16"/>
                <w:szCs w:val="16"/>
              </w:rPr>
              <w:t>可</w:t>
            </w:r>
          </w:p>
        </w:tc>
        <w:tc>
          <w:tcPr>
            <w:tcW w:w="2377" w:type="dxa"/>
            <w:vAlign w:val="top"/>
          </w:tcPr>
          <w:p>
            <w:pPr>
              <w:pStyle w:val="TableText"/>
              <w:ind w:left="54" w:right="61" w:firstLine="20"/>
              <w:spacing w:before="45" w:line="222" w:lineRule="auto"/>
              <w:rPr>
                <w:sz w:val="16"/>
                <w:szCs w:val="16"/>
              </w:rPr>
            </w:pPr>
            <w:r>
              <w:rPr>
                <w:sz w:val="16"/>
                <w:szCs w:val="16"/>
                <w:spacing w:val="-1"/>
              </w:rPr>
              <w:t>省艘，设区的市题，县烟药监箭</w:t>
            </w:r>
            <w:r>
              <w:rPr>
                <w:sz w:val="16"/>
                <w:szCs w:val="16"/>
                <w:spacing w:val="4"/>
              </w:rPr>
              <w:t xml:space="preserve"> </w:t>
            </w:r>
            <w:r>
              <w:rPr>
                <w:sz w:val="16"/>
                <w:szCs w:val="16"/>
              </w:rPr>
              <w:t>1</w:t>
            </w:r>
          </w:p>
        </w:tc>
        <w:tc>
          <w:tcPr>
            <w:tcW w:w="3711" w:type="dxa"/>
            <w:vAlign w:val="top"/>
          </w:tcPr>
          <w:p>
            <w:pPr>
              <w:pStyle w:val="TableText"/>
              <w:ind w:left="56"/>
              <w:spacing w:before="64" w:line="219" w:lineRule="auto"/>
              <w:rPr>
                <w:sz w:val="16"/>
                <w:szCs w:val="16"/>
              </w:rPr>
            </w:pPr>
            <w:r>
              <w:rPr>
                <w:sz w:val="16"/>
                <w:szCs w:val="16"/>
                <w:spacing w:val="2"/>
              </w:rPr>
              <w:t>T中华人民共和因药高管塑法)</w:t>
            </w:r>
          </w:p>
          <w:p>
            <w:pPr>
              <w:pStyle w:val="TableText"/>
              <w:ind w:left="56"/>
              <w:spacing w:before="9" w:line="191" w:lineRule="auto"/>
              <w:rPr>
                <w:sz w:val="16"/>
                <w:szCs w:val="16"/>
              </w:rPr>
            </w:pPr>
            <w:r>
              <w:rPr>
                <w:sz w:val="16"/>
                <w:szCs w:val="16"/>
              </w:rPr>
              <w:t>(中华人民共和四药品管理法卖德条例</w:t>
            </w:r>
          </w:p>
        </w:tc>
      </w:tr>
      <w:tr>
        <w:trPr>
          <w:trHeight w:val="439" w:hRule="atLeast"/>
        </w:trPr>
        <w:tc>
          <w:tcPr>
            <w:tcW w:w="574" w:type="dxa"/>
            <w:vAlign w:val="top"/>
          </w:tcPr>
          <w:p>
            <w:pPr>
              <w:pStyle w:val="TableText"/>
              <w:ind w:left="154"/>
              <w:spacing w:before="185" w:line="183" w:lineRule="auto"/>
              <w:rPr>
                <w:sz w:val="16"/>
                <w:szCs w:val="16"/>
              </w:rPr>
            </w:pPr>
            <w:r>
              <w:rPr>
                <w:sz w:val="16"/>
                <w:szCs w:val="16"/>
                <w:spacing w:val="-2"/>
              </w:rPr>
              <w:t>936</w:t>
            </w:r>
          </w:p>
        </w:tc>
        <w:tc>
          <w:tcPr>
            <w:tcW w:w="1299" w:type="dxa"/>
            <w:vAlign w:val="top"/>
          </w:tcPr>
          <w:p>
            <w:pPr>
              <w:pStyle w:val="TableText"/>
              <w:ind w:left="281"/>
              <w:spacing w:before="145" w:line="221" w:lineRule="auto"/>
              <w:rPr>
                <w:sz w:val="16"/>
                <w:szCs w:val="16"/>
              </w:rPr>
            </w:pPr>
            <w:r>
              <w:rPr>
                <w:sz w:val="16"/>
                <w:szCs w:val="16"/>
                <w:spacing w:val="-4"/>
              </w:rPr>
              <w:t>国</w:t>
            </w:r>
            <w:r>
              <w:rPr>
                <w:sz w:val="16"/>
                <w:szCs w:val="16"/>
                <w:spacing w:val="29"/>
              </w:rPr>
              <w:t xml:space="preserve"> </w:t>
            </w:r>
            <w:r>
              <w:rPr>
                <w:sz w:val="16"/>
                <w:szCs w:val="16"/>
                <w:spacing w:val="-4"/>
              </w:rPr>
              <w:t>寄监局</w:t>
            </w:r>
          </w:p>
        </w:tc>
        <w:tc>
          <w:tcPr>
            <w:tcW w:w="1638" w:type="dxa"/>
            <w:vAlign w:val="top"/>
          </w:tcPr>
          <w:p>
            <w:pPr>
              <w:pStyle w:val="TableText"/>
              <w:ind w:left="32" w:right="138" w:firstLine="10"/>
              <w:spacing w:before="54" w:line="216" w:lineRule="auto"/>
              <w:rPr>
                <w:sz w:val="16"/>
                <w:szCs w:val="16"/>
              </w:rPr>
            </w:pPr>
            <w:r>
              <w:rPr>
                <w:sz w:val="16"/>
                <w:szCs w:val="16"/>
              </w:rPr>
              <w:t>医片机构配制即有咨</w:t>
            </w:r>
            <w:r>
              <w:rPr>
                <w:sz w:val="16"/>
                <w:szCs w:val="16"/>
                <w:spacing w:val="6"/>
              </w:rPr>
              <w:t xml:space="preserve"> </w:t>
            </w:r>
            <w:r>
              <w:rPr>
                <w:sz w:val="16"/>
                <w:szCs w:val="16"/>
              </w:rPr>
              <w:t>可</w:t>
            </w:r>
          </w:p>
        </w:tc>
        <w:tc>
          <w:tcPr>
            <w:tcW w:w="2377" w:type="dxa"/>
            <w:vAlign w:val="top"/>
          </w:tcPr>
          <w:p>
            <w:pPr>
              <w:pStyle w:val="TableText"/>
              <w:ind w:left="54"/>
              <w:spacing w:before="145" w:line="220" w:lineRule="auto"/>
              <w:rPr>
                <w:sz w:val="16"/>
                <w:szCs w:val="16"/>
              </w:rPr>
            </w:pPr>
            <w:r>
              <w:rPr>
                <w:sz w:val="16"/>
                <w:szCs w:val="16"/>
                <w:spacing w:val="2"/>
              </w:rPr>
              <w:t>者级药监能门</w:t>
            </w:r>
          </w:p>
        </w:tc>
        <w:tc>
          <w:tcPr>
            <w:tcW w:w="3711" w:type="dxa"/>
            <w:vAlign w:val="top"/>
          </w:tcPr>
          <w:p>
            <w:pPr>
              <w:pStyle w:val="TableText"/>
              <w:ind w:left="56"/>
              <w:spacing w:before="143" w:line="219" w:lineRule="auto"/>
              <w:rPr>
                <w:sz w:val="16"/>
                <w:szCs w:val="16"/>
              </w:rPr>
            </w:pPr>
            <w:r>
              <w:rPr>
                <w:sz w:val="16"/>
                <w:szCs w:val="16"/>
                <w:spacing w:val="-1"/>
              </w:rPr>
              <w:t>1中华人民其和属断品恰理法》</w:t>
            </w:r>
          </w:p>
        </w:tc>
      </w:tr>
      <w:tr>
        <w:trPr>
          <w:trHeight w:val="440" w:hRule="atLeast"/>
        </w:trPr>
        <w:tc>
          <w:tcPr>
            <w:tcW w:w="574" w:type="dxa"/>
            <w:vAlign w:val="top"/>
          </w:tcPr>
          <w:p>
            <w:pPr>
              <w:pStyle w:val="TableText"/>
              <w:ind w:left="154"/>
              <w:spacing w:before="148" w:line="222" w:lineRule="auto"/>
              <w:rPr>
                <w:sz w:val="16"/>
                <w:szCs w:val="16"/>
              </w:rPr>
            </w:pPr>
            <w:r>
              <w:rPr>
                <w:sz w:val="16"/>
                <w:szCs w:val="16"/>
                <w:spacing w:val="4"/>
              </w:rPr>
              <w:t>的7</w:t>
            </w:r>
          </w:p>
        </w:tc>
        <w:tc>
          <w:tcPr>
            <w:tcW w:w="1299" w:type="dxa"/>
            <w:vAlign w:val="top"/>
          </w:tcPr>
          <w:p>
            <w:pPr>
              <w:pStyle w:val="TableText"/>
              <w:ind w:left="241"/>
              <w:spacing w:before="145" w:line="219" w:lineRule="auto"/>
              <w:rPr>
                <w:sz w:val="16"/>
                <w:szCs w:val="16"/>
              </w:rPr>
            </w:pPr>
            <w:r>
              <w:rPr>
                <w:sz w:val="16"/>
                <w:szCs w:val="16"/>
                <w:spacing w:val="1"/>
              </w:rPr>
              <w:t>国家师蓝丹</w:t>
            </w:r>
          </w:p>
        </w:tc>
        <w:tc>
          <w:tcPr>
            <w:tcW w:w="1638" w:type="dxa"/>
            <w:vAlign w:val="top"/>
          </w:tcPr>
          <w:p>
            <w:pPr>
              <w:pStyle w:val="TableText"/>
              <w:ind w:left="32" w:right="119" w:firstLine="20"/>
              <w:spacing w:before="55" w:line="216" w:lineRule="auto"/>
              <w:rPr>
                <w:sz w:val="16"/>
                <w:szCs w:val="16"/>
              </w:rPr>
            </w:pPr>
            <w:r>
              <w:rPr>
                <w:sz w:val="16"/>
                <w:szCs w:val="16"/>
                <w:spacing w:val="1"/>
              </w:rPr>
              <w:t>医行机构配制验剂品</w:t>
            </w:r>
            <w:r>
              <w:rPr>
                <w:sz w:val="16"/>
                <w:szCs w:val="16"/>
                <w:spacing w:val="6"/>
              </w:rPr>
              <w:t xml:space="preserve"> </w:t>
            </w:r>
            <w:r>
              <w:rPr>
                <w:sz w:val="16"/>
                <w:szCs w:val="16"/>
                <w:spacing w:val="-1"/>
              </w:rPr>
              <w:t>种注取业北</w:t>
            </w:r>
          </w:p>
        </w:tc>
        <w:tc>
          <w:tcPr>
            <w:tcW w:w="2377" w:type="dxa"/>
            <w:vAlign w:val="top"/>
          </w:tcPr>
          <w:p>
            <w:pPr>
              <w:pStyle w:val="TableText"/>
              <w:ind w:left="54"/>
              <w:spacing w:before="145" w:line="219" w:lineRule="auto"/>
              <w:rPr>
                <w:sz w:val="16"/>
                <w:szCs w:val="16"/>
              </w:rPr>
            </w:pPr>
            <w:r>
              <w:rPr>
                <w:sz w:val="16"/>
                <w:szCs w:val="16"/>
                <w:spacing w:val="3"/>
              </w:rPr>
              <w:t>省级帮监赛门</w:t>
            </w:r>
          </w:p>
        </w:tc>
        <w:tc>
          <w:tcPr>
            <w:tcW w:w="3711" w:type="dxa"/>
            <w:vAlign w:val="top"/>
          </w:tcPr>
          <w:p>
            <w:pPr>
              <w:pStyle w:val="TableText"/>
              <w:ind w:left="56"/>
              <w:spacing w:before="145" w:line="219" w:lineRule="auto"/>
              <w:rPr>
                <w:sz w:val="16"/>
                <w:szCs w:val="16"/>
              </w:rPr>
            </w:pPr>
            <w:r>
              <w:rPr>
                <w:sz w:val="16"/>
                <w:szCs w:val="16"/>
                <w:spacing w:val="-1"/>
              </w:rPr>
              <w:t>1中华人民共和国历品管理法》</w:t>
            </w:r>
          </w:p>
        </w:tc>
      </w:tr>
      <w:tr>
        <w:trPr>
          <w:trHeight w:val="429" w:hRule="atLeast"/>
        </w:trPr>
        <w:tc>
          <w:tcPr>
            <w:tcW w:w="574" w:type="dxa"/>
            <w:vAlign w:val="top"/>
          </w:tcPr>
          <w:p>
            <w:pPr>
              <w:pStyle w:val="TableText"/>
              <w:ind w:left="154"/>
              <w:spacing w:before="185" w:line="184" w:lineRule="auto"/>
              <w:rPr>
                <w:sz w:val="16"/>
                <w:szCs w:val="16"/>
              </w:rPr>
            </w:pPr>
            <w:r>
              <w:rPr>
                <w:sz w:val="16"/>
                <w:szCs w:val="16"/>
                <w:spacing w:val="-3"/>
              </w:rPr>
              <w:t>718</w:t>
            </w:r>
          </w:p>
        </w:tc>
        <w:tc>
          <w:tcPr>
            <w:tcW w:w="1299" w:type="dxa"/>
            <w:vAlign w:val="top"/>
          </w:tcPr>
          <w:p>
            <w:pPr>
              <w:pStyle w:val="TableText"/>
              <w:ind w:left="241"/>
              <w:spacing w:before="146" w:line="220" w:lineRule="auto"/>
              <w:rPr>
                <w:sz w:val="16"/>
                <w:szCs w:val="16"/>
              </w:rPr>
            </w:pPr>
            <w:r>
              <w:rPr>
                <w:sz w:val="16"/>
                <w:szCs w:val="16"/>
                <w:spacing w:val="2"/>
              </w:rPr>
              <w:t>国家药础局</w:t>
            </w:r>
          </w:p>
        </w:tc>
        <w:tc>
          <w:tcPr>
            <w:tcW w:w="1638" w:type="dxa"/>
            <w:vAlign w:val="top"/>
          </w:tcPr>
          <w:p>
            <w:pPr>
              <w:pStyle w:val="TableText"/>
              <w:ind w:left="32" w:right="125" w:firstLine="20"/>
              <w:spacing w:before="54" w:line="210" w:lineRule="auto"/>
              <w:rPr>
                <w:sz w:val="16"/>
                <w:szCs w:val="16"/>
              </w:rPr>
            </w:pPr>
            <w:r>
              <w:rPr>
                <w:sz w:val="16"/>
                <w:szCs w:val="16"/>
                <w:spacing w:val="1"/>
              </w:rPr>
              <w:t>医疗机构配制制制商</w:t>
            </w:r>
            <w:r>
              <w:rPr>
                <w:sz w:val="16"/>
                <w:szCs w:val="16"/>
              </w:rPr>
              <w:t xml:space="preserve"> </w:t>
            </w:r>
            <w:r>
              <w:rPr>
                <w:sz w:val="16"/>
                <w:szCs w:val="16"/>
                <w:spacing w:val="3"/>
              </w:rPr>
              <w:t>需审热</w:t>
            </w:r>
          </w:p>
        </w:tc>
        <w:tc>
          <w:tcPr>
            <w:tcW w:w="2377" w:type="dxa"/>
            <w:vAlign w:val="top"/>
          </w:tcPr>
          <w:p>
            <w:pPr>
              <w:pStyle w:val="TableText"/>
              <w:ind w:left="54"/>
              <w:spacing w:before="146" w:line="220" w:lineRule="auto"/>
              <w:rPr>
                <w:sz w:val="16"/>
                <w:szCs w:val="16"/>
              </w:rPr>
            </w:pPr>
            <w:r>
              <w:rPr>
                <w:sz w:val="16"/>
                <w:szCs w:val="16"/>
                <w:spacing w:val="1"/>
              </w:rPr>
              <w:t>国家药监局；者填病监而(门</w:t>
            </w:r>
          </w:p>
        </w:tc>
        <w:tc>
          <w:tcPr>
            <w:tcW w:w="3711" w:type="dxa"/>
            <w:vAlign w:val="top"/>
          </w:tcPr>
          <w:p>
            <w:pPr>
              <w:pStyle w:val="TableText"/>
              <w:ind w:left="56"/>
              <w:spacing w:before="35" w:line="219" w:lineRule="auto"/>
              <w:rPr>
                <w:sz w:val="16"/>
                <w:szCs w:val="16"/>
              </w:rPr>
            </w:pPr>
            <w:r>
              <w:rPr>
                <w:sz w:val="16"/>
                <w:szCs w:val="16"/>
                <w:spacing w:val="2"/>
              </w:rPr>
              <w:t>1中华人民共和调药品管理核)</w:t>
            </w:r>
          </w:p>
          <w:p>
            <w:pPr>
              <w:pStyle w:val="TableText"/>
              <w:spacing w:before="29" w:line="189" w:lineRule="auto"/>
              <w:rPr>
                <w:sz w:val="16"/>
                <w:szCs w:val="16"/>
              </w:rPr>
            </w:pPr>
            <w:r>
              <w:rPr>
                <w:sz w:val="16"/>
                <w:szCs w:val="16"/>
                <w:spacing w:val="-3"/>
              </w:rPr>
              <w:t>《中华人民共和倒所品恰理法实能务侧</w:t>
            </w:r>
          </w:p>
        </w:tc>
      </w:tr>
      <w:tr>
        <w:trPr>
          <w:trHeight w:val="494" w:hRule="atLeast"/>
        </w:trPr>
        <w:tc>
          <w:tcPr>
            <w:tcW w:w="574" w:type="dxa"/>
            <w:vAlign w:val="top"/>
          </w:tcPr>
          <w:p>
            <w:pPr>
              <w:pStyle w:val="TableText"/>
              <w:ind w:left="154"/>
              <w:spacing w:before="216" w:line="184" w:lineRule="auto"/>
              <w:rPr>
                <w:sz w:val="16"/>
                <w:szCs w:val="16"/>
              </w:rPr>
            </w:pPr>
            <w:r>
              <w:rPr>
                <w:sz w:val="16"/>
                <w:szCs w:val="16"/>
                <w:spacing w:val="-3"/>
              </w:rPr>
              <w:t>519</w:t>
            </w:r>
          </w:p>
        </w:tc>
        <w:tc>
          <w:tcPr>
            <w:tcW w:w="1299" w:type="dxa"/>
            <w:vAlign w:val="top"/>
          </w:tcPr>
          <w:p>
            <w:pPr>
              <w:pStyle w:val="TableText"/>
              <w:ind w:left="241"/>
              <w:spacing w:before="176" w:line="219" w:lineRule="auto"/>
              <w:rPr>
                <w:sz w:val="16"/>
                <w:szCs w:val="16"/>
              </w:rPr>
            </w:pPr>
            <w:r>
              <w:rPr>
                <w:sz w:val="16"/>
                <w:szCs w:val="16"/>
                <w:spacing w:val="2"/>
              </w:rPr>
              <w:t>国家薪监局</w:t>
            </w:r>
          </w:p>
        </w:tc>
        <w:tc>
          <w:tcPr>
            <w:tcW w:w="1638" w:type="dxa"/>
            <w:vAlign w:val="top"/>
          </w:tcPr>
          <w:p>
            <w:pPr>
              <w:pStyle w:val="TableText"/>
              <w:ind w:left="32"/>
              <w:spacing w:before="177" w:line="220" w:lineRule="auto"/>
              <w:rPr>
                <w:sz w:val="16"/>
                <w:szCs w:val="16"/>
              </w:rPr>
            </w:pPr>
            <w:r>
              <w:rPr>
                <w:sz w:val="16"/>
                <w:szCs w:val="16"/>
              </w:rPr>
              <w:t>中新保护县种审批</w:t>
            </w:r>
          </w:p>
        </w:tc>
        <w:tc>
          <w:tcPr>
            <w:tcW w:w="2377" w:type="dxa"/>
            <w:vAlign w:val="top"/>
          </w:tcPr>
          <w:p>
            <w:pPr>
              <w:pStyle w:val="TableText"/>
              <w:ind w:left="54" w:right="54" w:firstLine="10"/>
              <w:spacing w:before="76" w:line="231" w:lineRule="auto"/>
              <w:rPr>
                <w:sz w:val="16"/>
                <w:szCs w:val="16"/>
              </w:rPr>
            </w:pPr>
            <w:r>
              <w:rPr>
                <w:sz w:val="16"/>
                <w:szCs w:val="16"/>
              </w:rPr>
              <w:t>国梁范简局《边省级店器面门初</w:t>
            </w:r>
            <w:r>
              <w:rPr>
                <w:sz w:val="16"/>
                <w:szCs w:val="16"/>
                <w:spacing w:val="7"/>
              </w:rPr>
              <w:t xml:space="preserve"> </w:t>
            </w:r>
            <w:r>
              <w:rPr>
                <w:sz w:val="16"/>
                <w:szCs w:val="16"/>
                <w:spacing w:val="-6"/>
              </w:rPr>
              <w:t>市</w:t>
            </w:r>
            <w:r>
              <w:rPr>
                <w:sz w:val="16"/>
                <w:szCs w:val="16"/>
                <w:spacing w:val="-28"/>
              </w:rPr>
              <w:t xml:space="preserve"> </w:t>
            </w:r>
            <w:r>
              <w:rPr>
                <w:sz w:val="16"/>
                <w:szCs w:val="16"/>
                <w:spacing w:val="-6"/>
              </w:rPr>
              <w:t>)</w:t>
            </w:r>
          </w:p>
        </w:tc>
        <w:tc>
          <w:tcPr>
            <w:tcW w:w="3711" w:type="dxa"/>
            <w:vAlign w:val="top"/>
          </w:tcPr>
          <w:p>
            <w:pPr>
              <w:pStyle w:val="TableText"/>
              <w:ind w:left="56"/>
              <w:spacing w:before="176" w:line="219" w:lineRule="auto"/>
              <w:rPr>
                <w:sz w:val="16"/>
                <w:szCs w:val="16"/>
              </w:rPr>
            </w:pPr>
            <w:r>
              <w:rPr>
                <w:sz w:val="16"/>
                <w:szCs w:val="16"/>
                <w:spacing w:val="-1"/>
              </w:rPr>
              <w:t>(中行品种保护条图》</w:t>
            </w:r>
          </w:p>
        </w:tc>
      </w:tr>
    </w:tbl>
    <w:p>
      <w:pPr>
        <w:pStyle w:val="BodyText"/>
        <w:rPr/>
      </w:pPr>
      <w:r/>
    </w:p>
    <w:p>
      <w:pPr>
        <w:sectPr>
          <w:pgSz w:w="11910" w:h="8220"/>
          <w:pgMar w:top="400" w:right="116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918336"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52" name="TextBox 352"/>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4" style="position:absolute;margin-left:37.0402pt;margin-top:345.135pt;mso-position-vertical-relative:page;mso-position-horizontal-relative:page;width:13.6pt;height:12.35pt;z-index:2519183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257</w:t>
                      </w:r>
                    </w:p>
                  </w:txbxContent>
                </v:textbox>
              </v:shape>
            </w:pict>
          </mc:Fallback>
        </mc:AlternateContent>
      </w:r>
      <w:r/>
    </w:p>
    <w:tbl>
      <w:tblPr>
        <w:tblStyle w:val="TableNormal"/>
        <w:tblW w:w="958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11"/>
      </w:tblGrid>
      <w:tr>
        <w:trPr>
          <w:trHeight w:val="415" w:hRule="atLeast"/>
        </w:trPr>
        <w:tc>
          <w:tcPr>
            <w:tcW w:w="584" w:type="dxa"/>
            <w:vAlign w:val="top"/>
          </w:tcPr>
          <w:p>
            <w:pPr>
              <w:pStyle w:val="TableText"/>
              <w:ind w:left="114"/>
              <w:spacing w:before="122" w:line="221" w:lineRule="auto"/>
              <w:rPr>
                <w:sz w:val="17"/>
                <w:szCs w:val="17"/>
              </w:rPr>
            </w:pPr>
            <w:r>
              <w:rPr>
                <w:sz w:val="17"/>
                <w:szCs w:val="17"/>
                <w:spacing w:val="-2"/>
              </w:rPr>
              <w:t>序号</w:t>
            </w:r>
          </w:p>
        </w:tc>
        <w:tc>
          <w:tcPr>
            <w:tcW w:w="1289" w:type="dxa"/>
            <w:vAlign w:val="top"/>
          </w:tcPr>
          <w:p>
            <w:pPr>
              <w:pStyle w:val="TableText"/>
              <w:ind w:left="120"/>
              <w:spacing w:before="122" w:line="219" w:lineRule="auto"/>
              <w:rPr>
                <w:sz w:val="17"/>
                <w:szCs w:val="17"/>
              </w:rPr>
            </w:pPr>
            <w:r>
              <w:rPr>
                <w:sz w:val="17"/>
                <w:szCs w:val="17"/>
                <w:spacing w:val="3"/>
              </w:rPr>
              <w:t>中央主管部门</w:t>
            </w:r>
          </w:p>
        </w:tc>
        <w:tc>
          <w:tcPr>
            <w:tcW w:w="1638" w:type="dxa"/>
            <w:vAlign w:val="top"/>
          </w:tcPr>
          <w:p>
            <w:pPr>
              <w:pStyle w:val="TableText"/>
              <w:ind w:left="471"/>
              <w:spacing w:before="122" w:line="220" w:lineRule="auto"/>
              <w:rPr>
                <w:sz w:val="17"/>
                <w:szCs w:val="17"/>
              </w:rPr>
            </w:pPr>
            <w:r>
              <w:rPr>
                <w:sz w:val="17"/>
                <w:szCs w:val="17"/>
                <w:spacing w:val="-2"/>
              </w:rPr>
              <w:t>事项名称</w:t>
            </w:r>
          </w:p>
        </w:tc>
        <w:tc>
          <w:tcPr>
            <w:tcW w:w="2367" w:type="dxa"/>
            <w:vAlign w:val="top"/>
          </w:tcPr>
          <w:p>
            <w:pPr>
              <w:pStyle w:val="TableText"/>
              <w:ind w:left="846"/>
              <w:spacing w:before="118" w:line="219" w:lineRule="auto"/>
              <w:rPr>
                <w:sz w:val="17"/>
                <w:szCs w:val="17"/>
              </w:rPr>
            </w:pPr>
            <w:r>
              <w:rPr>
                <w:sz w:val="17"/>
                <w:szCs w:val="17"/>
                <w:b/>
                <w:bCs/>
                <w:spacing w:val="-4"/>
              </w:rPr>
              <w:t>案防机关</w:t>
            </w:r>
          </w:p>
        </w:tc>
        <w:tc>
          <w:tcPr>
            <w:tcW w:w="3711" w:type="dxa"/>
            <w:vAlign w:val="top"/>
          </w:tcPr>
          <w:p>
            <w:pPr>
              <w:pStyle w:val="TableText"/>
              <w:ind w:left="1289"/>
              <w:spacing w:before="118" w:line="219" w:lineRule="auto"/>
              <w:rPr>
                <w:sz w:val="17"/>
                <w:szCs w:val="17"/>
              </w:rPr>
            </w:pPr>
            <w:r>
              <w:rPr>
                <w:sz w:val="17"/>
                <w:szCs w:val="17"/>
                <w:b/>
                <w:bCs/>
                <w:spacing w:val="-3"/>
              </w:rPr>
              <w:t>业定和实监依据</w:t>
            </w:r>
          </w:p>
        </w:tc>
      </w:tr>
      <w:tr>
        <w:trPr>
          <w:trHeight w:val="479" w:hRule="atLeast"/>
        </w:trPr>
        <w:tc>
          <w:tcPr>
            <w:tcW w:w="584" w:type="dxa"/>
            <w:vAlign w:val="top"/>
          </w:tcPr>
          <w:p>
            <w:pPr>
              <w:pStyle w:val="TableText"/>
              <w:ind w:left="154"/>
              <w:spacing w:before="200" w:line="183" w:lineRule="auto"/>
              <w:rPr>
                <w:sz w:val="17"/>
                <w:szCs w:val="17"/>
              </w:rPr>
            </w:pPr>
            <w:r>
              <w:rPr>
                <w:sz w:val="17"/>
                <w:szCs w:val="17"/>
                <w:spacing w:val="-2"/>
              </w:rPr>
              <w:t>020</w:t>
            </w:r>
          </w:p>
        </w:tc>
        <w:tc>
          <w:tcPr>
            <w:tcW w:w="1289" w:type="dxa"/>
            <w:vAlign w:val="top"/>
          </w:tcPr>
          <w:p>
            <w:pPr>
              <w:pStyle w:val="TableText"/>
              <w:ind w:left="210"/>
              <w:spacing w:before="157" w:line="219" w:lineRule="auto"/>
              <w:rPr>
                <w:sz w:val="17"/>
                <w:szCs w:val="17"/>
              </w:rPr>
            </w:pPr>
            <w:r>
              <w:rPr>
                <w:sz w:val="17"/>
                <w:szCs w:val="17"/>
                <w:spacing w:val="3"/>
              </w:rPr>
              <w:t>国家药做局</w:t>
            </w:r>
          </w:p>
        </w:tc>
        <w:tc>
          <w:tcPr>
            <w:tcW w:w="1638" w:type="dxa"/>
            <w:vAlign w:val="top"/>
          </w:tcPr>
          <w:p>
            <w:pPr>
              <w:pStyle w:val="TableText"/>
              <w:ind w:left="62" w:right="45" w:hanging="20"/>
              <w:spacing w:before="47" w:line="229" w:lineRule="auto"/>
              <w:rPr>
                <w:sz w:val="17"/>
                <w:szCs w:val="17"/>
              </w:rPr>
            </w:pPr>
            <w:r>
              <w:rPr>
                <w:sz w:val="17"/>
                <w:szCs w:val="17"/>
                <w:spacing w:val="1"/>
              </w:rPr>
              <w:t>中药保护昌种同间外</w:t>
            </w:r>
            <w:r>
              <w:rPr>
                <w:sz w:val="17"/>
                <w:szCs w:val="17"/>
              </w:rPr>
              <w:t xml:space="preserve"> </w:t>
            </w:r>
            <w:r>
              <w:rPr>
                <w:sz w:val="17"/>
                <w:szCs w:val="17"/>
              </w:rPr>
              <w:t>审销往碧审程</w:t>
            </w:r>
          </w:p>
        </w:tc>
        <w:tc>
          <w:tcPr>
            <w:tcW w:w="2367" w:type="dxa"/>
            <w:vAlign w:val="top"/>
          </w:tcPr>
          <w:p>
            <w:pPr>
              <w:pStyle w:val="TableText"/>
              <w:ind w:left="63"/>
              <w:spacing w:before="157" w:line="220" w:lineRule="auto"/>
              <w:rPr>
                <w:sz w:val="17"/>
                <w:szCs w:val="17"/>
              </w:rPr>
            </w:pPr>
            <w:r>
              <w:rPr>
                <w:sz w:val="17"/>
                <w:szCs w:val="17"/>
                <w:spacing w:val="3"/>
              </w:rPr>
              <w:t>国家药监局</w:t>
            </w:r>
          </w:p>
        </w:tc>
        <w:tc>
          <w:tcPr>
            <w:tcW w:w="3711" w:type="dxa"/>
            <w:vAlign w:val="top"/>
          </w:tcPr>
          <w:p>
            <w:pPr>
              <w:pStyle w:val="TableText"/>
              <w:ind w:left="46"/>
              <w:spacing w:before="157" w:line="219" w:lineRule="auto"/>
              <w:rPr>
                <w:sz w:val="17"/>
                <w:szCs w:val="17"/>
              </w:rPr>
            </w:pPr>
            <w:r>
              <w:rPr>
                <w:sz w:val="17"/>
                <w:szCs w:val="17"/>
                <w:spacing w:val="3"/>
              </w:rPr>
              <w:t>1中药品种保护条例)</w:t>
            </w:r>
          </w:p>
        </w:tc>
      </w:tr>
      <w:tr>
        <w:trPr>
          <w:trHeight w:val="679" w:hRule="atLeast"/>
        </w:trPr>
        <w:tc>
          <w:tcPr>
            <w:tcW w:w="584" w:type="dxa"/>
            <w:vAlign w:val="top"/>
          </w:tcPr>
          <w:p>
            <w:pPr>
              <w:spacing w:line="244" w:lineRule="auto"/>
              <w:rPr>
                <w:rFonts w:ascii="Arial"/>
                <w:sz w:val="21"/>
              </w:rPr>
            </w:pPr>
            <w:r/>
          </w:p>
          <w:p>
            <w:pPr>
              <w:pStyle w:val="TableText"/>
              <w:ind w:left="154"/>
              <w:spacing w:before="55" w:line="184" w:lineRule="auto"/>
              <w:rPr>
                <w:sz w:val="17"/>
                <w:szCs w:val="17"/>
              </w:rPr>
            </w:pPr>
            <w:r>
              <w:rPr>
                <w:sz w:val="17"/>
                <w:szCs w:val="17"/>
                <w:spacing w:val="-2"/>
              </w:rPr>
              <w:t>021</w:t>
            </w:r>
          </w:p>
        </w:tc>
        <w:tc>
          <w:tcPr>
            <w:tcW w:w="1289" w:type="dxa"/>
            <w:vAlign w:val="top"/>
          </w:tcPr>
          <w:p>
            <w:pPr>
              <w:pStyle w:val="TableText"/>
              <w:ind w:left="210"/>
              <w:spacing w:before="258" w:line="220" w:lineRule="auto"/>
              <w:rPr>
                <w:sz w:val="17"/>
                <w:szCs w:val="17"/>
              </w:rPr>
            </w:pPr>
            <w:r>
              <w:rPr>
                <w:sz w:val="17"/>
                <w:szCs w:val="17"/>
                <w:spacing w:val="3"/>
              </w:rPr>
              <w:t>国家药监局</w:t>
            </w:r>
          </w:p>
        </w:tc>
        <w:tc>
          <w:tcPr>
            <w:tcW w:w="1638" w:type="dxa"/>
            <w:vAlign w:val="top"/>
          </w:tcPr>
          <w:p>
            <w:pPr>
              <w:pStyle w:val="TableText"/>
              <w:ind w:left="32" w:right="63" w:firstLine="10"/>
              <w:spacing w:before="39" w:line="228" w:lineRule="auto"/>
              <w:jc w:val="both"/>
              <w:rPr>
                <w:sz w:val="17"/>
                <w:szCs w:val="17"/>
              </w:rPr>
            </w:pPr>
            <w:r>
              <w:rPr>
                <w:sz w:val="17"/>
                <w:szCs w:val="17"/>
                <w:spacing w:val="-1"/>
              </w:rPr>
              <w:t>斯建，改建或者扩建</w:t>
            </w:r>
            <w:r>
              <w:rPr>
                <w:sz w:val="17"/>
                <w:szCs w:val="17"/>
              </w:rPr>
              <w:t xml:space="preserve"> </w:t>
            </w:r>
            <w:r>
              <w:rPr>
                <w:sz w:val="17"/>
                <w:szCs w:val="17"/>
              </w:rPr>
              <w:t>血液制品生产全看立</w:t>
            </w:r>
            <w:r>
              <w:rPr>
                <w:sz w:val="17"/>
                <w:szCs w:val="17"/>
                <w:spacing w:val="1"/>
              </w:rPr>
              <w:t xml:space="preserve"> </w:t>
            </w:r>
            <w:r>
              <w:rPr>
                <w:sz w:val="17"/>
                <w:szCs w:val="17"/>
                <w:spacing w:val="-3"/>
              </w:rPr>
              <w:t>项审查</w:t>
            </w:r>
          </w:p>
        </w:tc>
        <w:tc>
          <w:tcPr>
            <w:tcW w:w="2367" w:type="dxa"/>
            <w:vAlign w:val="top"/>
          </w:tcPr>
          <w:p>
            <w:pPr>
              <w:pStyle w:val="TableText"/>
              <w:ind w:left="63"/>
              <w:spacing w:before="258" w:line="220" w:lineRule="auto"/>
              <w:rPr>
                <w:sz w:val="17"/>
                <w:szCs w:val="17"/>
              </w:rPr>
            </w:pPr>
            <w:r>
              <w:rPr>
                <w:sz w:val="17"/>
                <w:szCs w:val="17"/>
                <w:spacing w:val="3"/>
              </w:rPr>
              <w:t>国家药监局</w:t>
            </w:r>
          </w:p>
        </w:tc>
        <w:tc>
          <w:tcPr>
            <w:tcW w:w="3711" w:type="dxa"/>
            <w:vAlign w:val="top"/>
          </w:tcPr>
          <w:p>
            <w:pPr>
              <w:pStyle w:val="TableText"/>
              <w:spacing w:before="258" w:line="219" w:lineRule="auto"/>
              <w:rPr>
                <w:sz w:val="17"/>
                <w:szCs w:val="17"/>
              </w:rPr>
            </w:pPr>
            <w:r>
              <w:rPr>
                <w:sz w:val="17"/>
                <w:szCs w:val="17"/>
                <w:spacing w:val="-4"/>
              </w:rPr>
              <w:t>《血微制品管理务你1</w:t>
            </w:r>
          </w:p>
        </w:tc>
      </w:tr>
      <w:tr>
        <w:trPr>
          <w:trHeight w:val="479" w:hRule="atLeast"/>
        </w:trPr>
        <w:tc>
          <w:tcPr>
            <w:tcW w:w="584" w:type="dxa"/>
            <w:vAlign w:val="top"/>
          </w:tcPr>
          <w:p>
            <w:pPr>
              <w:pStyle w:val="TableText"/>
              <w:ind w:left="154"/>
              <w:spacing w:before="202" w:line="183" w:lineRule="auto"/>
              <w:rPr>
                <w:sz w:val="17"/>
                <w:szCs w:val="17"/>
              </w:rPr>
            </w:pPr>
            <w:r>
              <w:rPr>
                <w:sz w:val="17"/>
                <w:szCs w:val="17"/>
                <w:spacing w:val="-2"/>
              </w:rPr>
              <w:t>922</w:t>
            </w:r>
          </w:p>
        </w:tc>
        <w:tc>
          <w:tcPr>
            <w:tcW w:w="1289" w:type="dxa"/>
            <w:vAlign w:val="top"/>
          </w:tcPr>
          <w:p>
            <w:pPr>
              <w:pStyle w:val="TableText"/>
              <w:ind w:left="210"/>
              <w:spacing w:before="159" w:line="220" w:lineRule="auto"/>
              <w:rPr>
                <w:sz w:val="17"/>
                <w:szCs w:val="17"/>
              </w:rPr>
            </w:pPr>
            <w:r>
              <w:rPr>
                <w:sz w:val="17"/>
                <w:szCs w:val="17"/>
                <w:spacing w:val="3"/>
              </w:rPr>
              <w:t>国家药监局</w:t>
            </w:r>
          </w:p>
        </w:tc>
        <w:tc>
          <w:tcPr>
            <w:tcW w:w="1638" w:type="dxa"/>
            <w:vAlign w:val="top"/>
          </w:tcPr>
          <w:p>
            <w:pPr>
              <w:pStyle w:val="TableText"/>
              <w:ind w:left="42"/>
              <w:spacing w:before="48" w:line="219" w:lineRule="auto"/>
              <w:rPr>
                <w:sz w:val="17"/>
                <w:szCs w:val="17"/>
              </w:rPr>
            </w:pPr>
            <w:r>
              <w:rPr>
                <w:sz w:val="17"/>
                <w:szCs w:val="17"/>
                <w:spacing w:val="1"/>
              </w:rPr>
              <w:t>麻解药品、精善药品</w:t>
            </w:r>
          </w:p>
          <w:p>
            <w:pPr>
              <w:pStyle w:val="TableText"/>
              <w:ind w:left="131"/>
              <w:spacing w:before="8" w:line="219" w:lineRule="auto"/>
              <w:rPr>
                <w:sz w:val="17"/>
                <w:szCs w:val="17"/>
              </w:rPr>
            </w:pPr>
            <w:r>
              <w:rPr>
                <w:sz w:val="17"/>
                <w:szCs w:val="17"/>
                <w:spacing w:val="-2"/>
              </w:rPr>
              <w:t>实腺研究活动审批</w:t>
            </w:r>
          </w:p>
        </w:tc>
        <w:tc>
          <w:tcPr>
            <w:tcW w:w="2367" w:type="dxa"/>
            <w:vAlign w:val="top"/>
          </w:tcPr>
          <w:p>
            <w:pPr>
              <w:pStyle w:val="TableText"/>
              <w:ind w:left="63"/>
              <w:spacing w:before="159" w:line="220" w:lineRule="auto"/>
              <w:rPr>
                <w:sz w:val="17"/>
                <w:szCs w:val="17"/>
              </w:rPr>
            </w:pPr>
            <w:r>
              <w:rPr>
                <w:sz w:val="17"/>
                <w:szCs w:val="17"/>
                <w:spacing w:val="2"/>
              </w:rPr>
              <w:t>国家药盐属</w:t>
            </w:r>
          </w:p>
        </w:tc>
        <w:tc>
          <w:tcPr>
            <w:tcW w:w="3711" w:type="dxa"/>
            <w:vAlign w:val="top"/>
          </w:tcPr>
          <w:p>
            <w:pPr>
              <w:pStyle w:val="TableText"/>
              <w:spacing w:before="78" w:line="217" w:lineRule="auto"/>
              <w:rPr>
                <w:sz w:val="17"/>
                <w:szCs w:val="17"/>
              </w:rPr>
            </w:pPr>
            <w:r>
              <w:rPr>
                <w:sz w:val="17"/>
                <w:szCs w:val="17"/>
                <w:spacing w:val="-4"/>
              </w:rPr>
              <w:t>《中华人民共和国禁毒法》</w:t>
            </w:r>
          </w:p>
          <w:p>
            <w:pPr>
              <w:pStyle w:val="TableText"/>
              <w:ind w:left="46"/>
              <w:spacing w:line="207" w:lineRule="auto"/>
              <w:rPr>
                <w:sz w:val="17"/>
                <w:szCs w:val="17"/>
              </w:rPr>
            </w:pPr>
            <w:r>
              <w:rPr>
                <w:sz w:val="17"/>
                <w:szCs w:val="17"/>
                <w:spacing w:val="-1"/>
              </w:rPr>
              <w:t>代麻而药品和精神药品督理条例</w:t>
            </w:r>
          </w:p>
        </w:tc>
      </w:tr>
      <w:tr>
        <w:trPr>
          <w:trHeight w:val="679" w:hRule="atLeast"/>
        </w:trPr>
        <w:tc>
          <w:tcPr>
            <w:tcW w:w="584" w:type="dxa"/>
            <w:vAlign w:val="top"/>
          </w:tcPr>
          <w:p>
            <w:pPr>
              <w:pStyle w:val="TableText"/>
              <w:ind w:left="154"/>
              <w:spacing w:before="276" w:line="239" w:lineRule="auto"/>
              <w:rPr>
                <w:sz w:val="17"/>
                <w:szCs w:val="17"/>
              </w:rPr>
            </w:pPr>
            <w:r>
              <w:rPr>
                <w:sz w:val="17"/>
                <w:szCs w:val="17"/>
                <w:spacing w:val="-2"/>
              </w:rPr>
              <w:t>92?</w:t>
            </w:r>
          </w:p>
        </w:tc>
        <w:tc>
          <w:tcPr>
            <w:tcW w:w="1289" w:type="dxa"/>
            <w:vAlign w:val="top"/>
          </w:tcPr>
          <w:p>
            <w:pPr>
              <w:pStyle w:val="TableText"/>
              <w:ind w:left="210"/>
              <w:spacing w:before="260" w:line="220" w:lineRule="auto"/>
              <w:rPr>
                <w:sz w:val="17"/>
                <w:szCs w:val="17"/>
              </w:rPr>
            </w:pPr>
            <w:r>
              <w:rPr>
                <w:sz w:val="17"/>
                <w:szCs w:val="17"/>
                <w:spacing w:val="3"/>
              </w:rPr>
              <w:t>国家巧营局</w:t>
            </w:r>
          </w:p>
        </w:tc>
        <w:tc>
          <w:tcPr>
            <w:tcW w:w="1638" w:type="dxa"/>
            <w:vAlign w:val="top"/>
          </w:tcPr>
          <w:p>
            <w:pPr>
              <w:pStyle w:val="TableText"/>
              <w:ind w:left="32" w:right="38" w:firstLine="10"/>
              <w:spacing w:before="48" w:line="223" w:lineRule="auto"/>
              <w:jc w:val="both"/>
              <w:rPr>
                <w:sz w:val="17"/>
                <w:szCs w:val="17"/>
              </w:rPr>
            </w:pPr>
            <w:r>
              <w:rPr>
                <w:sz w:val="17"/>
                <w:szCs w:val="17"/>
                <w:spacing w:val="1"/>
              </w:rPr>
              <w:t>麻翻药品、精神历品</w:t>
            </w:r>
            <w:r>
              <w:rPr>
                <w:sz w:val="17"/>
                <w:szCs w:val="17"/>
                <w:spacing w:val="7"/>
              </w:rPr>
              <w:t xml:space="preserve"> </w:t>
            </w:r>
            <w:r>
              <w:rPr>
                <w:sz w:val="17"/>
                <w:szCs w:val="17"/>
                <w:spacing w:val="2"/>
              </w:rPr>
              <w:t>实验研究或象鞭让审</w:t>
            </w:r>
            <w:r>
              <w:rPr>
                <w:sz w:val="17"/>
                <w:szCs w:val="17"/>
                <w:spacing w:val="5"/>
              </w:rPr>
              <w:t xml:space="preserve"> </w:t>
            </w:r>
            <w:r>
              <w:rPr>
                <w:sz w:val="17"/>
                <w:szCs w:val="17"/>
              </w:rPr>
              <w:t>扯</w:t>
            </w:r>
          </w:p>
        </w:tc>
        <w:tc>
          <w:tcPr>
            <w:tcW w:w="2367" w:type="dxa"/>
            <w:vAlign w:val="top"/>
          </w:tcPr>
          <w:p>
            <w:pPr>
              <w:pStyle w:val="TableText"/>
              <w:ind w:left="63"/>
              <w:spacing w:before="260" w:line="219" w:lineRule="auto"/>
              <w:rPr>
                <w:sz w:val="17"/>
                <w:szCs w:val="17"/>
              </w:rPr>
            </w:pPr>
            <w:r>
              <w:rPr>
                <w:sz w:val="17"/>
                <w:szCs w:val="17"/>
                <w:spacing w:val="3"/>
              </w:rPr>
              <w:t>国案市监局</w:t>
            </w:r>
          </w:p>
        </w:tc>
        <w:tc>
          <w:tcPr>
            <w:tcW w:w="3711" w:type="dxa"/>
            <w:vAlign w:val="top"/>
          </w:tcPr>
          <w:p>
            <w:pPr>
              <w:pStyle w:val="TableText"/>
              <w:spacing w:before="150" w:line="219" w:lineRule="auto"/>
              <w:rPr>
                <w:sz w:val="17"/>
                <w:szCs w:val="17"/>
              </w:rPr>
            </w:pPr>
            <w:r>
              <w:rPr>
                <w:sz w:val="17"/>
                <w:szCs w:val="17"/>
                <w:spacing w:val="-4"/>
              </w:rPr>
              <w:t>《中甲人民共和围禁毒技》</w:t>
            </w:r>
          </w:p>
          <w:p>
            <w:pPr>
              <w:pStyle w:val="TableText"/>
              <w:spacing w:before="8" w:line="219" w:lineRule="auto"/>
              <w:rPr>
                <w:sz w:val="17"/>
                <w:szCs w:val="17"/>
              </w:rPr>
            </w:pPr>
            <w:r>
              <w:rPr>
                <w:sz w:val="17"/>
                <w:szCs w:val="17"/>
                <w:spacing w:val="-4"/>
              </w:rPr>
              <w:t>《麻醉药品和防神药品管理垒创?</w:t>
            </w:r>
          </w:p>
        </w:tc>
      </w:tr>
      <w:tr>
        <w:trPr>
          <w:trHeight w:val="469" w:hRule="atLeast"/>
        </w:trPr>
        <w:tc>
          <w:tcPr>
            <w:tcW w:w="584" w:type="dxa"/>
            <w:vAlign w:val="top"/>
          </w:tcPr>
          <w:p>
            <w:pPr>
              <w:pStyle w:val="TableText"/>
              <w:ind w:left="154"/>
              <w:spacing w:before="194" w:line="183" w:lineRule="auto"/>
              <w:rPr>
                <w:sz w:val="17"/>
                <w:szCs w:val="17"/>
              </w:rPr>
            </w:pPr>
            <w:r>
              <w:rPr>
                <w:sz w:val="17"/>
                <w:szCs w:val="17"/>
                <w:spacing w:val="-2"/>
              </w:rPr>
              <w:t>924</w:t>
            </w:r>
          </w:p>
        </w:tc>
        <w:tc>
          <w:tcPr>
            <w:tcW w:w="1289" w:type="dxa"/>
            <w:vAlign w:val="top"/>
          </w:tcPr>
          <w:p>
            <w:pPr>
              <w:pStyle w:val="TableText"/>
              <w:ind w:left="210"/>
              <w:spacing w:before="151" w:line="220" w:lineRule="auto"/>
              <w:rPr>
                <w:sz w:val="17"/>
                <w:szCs w:val="17"/>
              </w:rPr>
            </w:pPr>
            <w:r>
              <w:rPr>
                <w:sz w:val="17"/>
                <w:szCs w:val="17"/>
                <w:spacing w:val="3"/>
              </w:rPr>
              <w:t>国家药监周</w:t>
            </w:r>
          </w:p>
        </w:tc>
        <w:tc>
          <w:tcPr>
            <w:tcW w:w="1638" w:type="dxa"/>
            <w:vAlign w:val="top"/>
          </w:tcPr>
          <w:p>
            <w:pPr>
              <w:pStyle w:val="TableText"/>
              <w:ind w:left="42" w:right="38"/>
              <w:spacing w:before="50" w:line="213" w:lineRule="auto"/>
              <w:rPr>
                <w:sz w:val="17"/>
                <w:szCs w:val="17"/>
              </w:rPr>
            </w:pPr>
            <w:r>
              <w:rPr>
                <w:sz w:val="17"/>
                <w:szCs w:val="17"/>
                <w:spacing w:val="1"/>
              </w:rPr>
              <w:t>意醒药是、精神药品</w:t>
            </w:r>
            <w:r>
              <w:rPr>
                <w:sz w:val="17"/>
                <w:szCs w:val="17"/>
                <w:spacing w:val="7"/>
              </w:rPr>
              <w:t xml:space="preserve"> </w:t>
            </w:r>
            <w:r>
              <w:rPr>
                <w:sz w:val="17"/>
                <w:szCs w:val="17"/>
                <w:spacing w:val="-2"/>
              </w:rPr>
              <w:t>生产企业许可</w:t>
            </w:r>
          </w:p>
        </w:tc>
        <w:tc>
          <w:tcPr>
            <w:tcW w:w="2367" w:type="dxa"/>
            <w:vAlign w:val="top"/>
          </w:tcPr>
          <w:p>
            <w:pPr>
              <w:pStyle w:val="TableText"/>
              <w:ind w:left="63"/>
              <w:spacing w:before="151" w:line="219" w:lineRule="auto"/>
              <w:rPr>
                <w:sz w:val="17"/>
                <w:szCs w:val="17"/>
              </w:rPr>
            </w:pPr>
            <w:r>
              <w:rPr>
                <w:sz w:val="17"/>
                <w:szCs w:val="17"/>
                <w:spacing w:val="3"/>
              </w:rPr>
              <w:t>省级药验都门</w:t>
            </w:r>
          </w:p>
        </w:tc>
        <w:tc>
          <w:tcPr>
            <w:tcW w:w="3711" w:type="dxa"/>
            <w:vAlign w:val="top"/>
          </w:tcPr>
          <w:p>
            <w:pPr>
              <w:pStyle w:val="TableText"/>
              <w:spacing w:before="50" w:line="217" w:lineRule="auto"/>
              <w:rPr>
                <w:sz w:val="17"/>
                <w:szCs w:val="17"/>
              </w:rPr>
            </w:pPr>
            <w:r>
              <w:rPr>
                <w:sz w:val="17"/>
                <w:szCs w:val="17"/>
                <w:spacing w:val="-5"/>
              </w:rPr>
              <w:t>《中华人民共和国禁毒法</w:t>
            </w:r>
          </w:p>
          <w:p>
            <w:pPr>
              <w:pStyle w:val="TableText"/>
              <w:spacing w:line="218" w:lineRule="auto"/>
              <w:rPr>
                <w:sz w:val="17"/>
                <w:szCs w:val="17"/>
              </w:rPr>
            </w:pPr>
            <w:r>
              <w:rPr>
                <w:sz w:val="17"/>
                <w:szCs w:val="17"/>
                <w:spacing w:val="-4"/>
              </w:rPr>
              <w:t>《麻部药品和精种药品督理亲例》</w:t>
            </w:r>
          </w:p>
        </w:tc>
      </w:tr>
      <w:tr>
        <w:trPr>
          <w:trHeight w:val="479" w:hRule="atLeast"/>
        </w:trPr>
        <w:tc>
          <w:tcPr>
            <w:tcW w:w="584" w:type="dxa"/>
            <w:vAlign w:val="top"/>
          </w:tcPr>
          <w:p>
            <w:pPr>
              <w:pStyle w:val="TableText"/>
              <w:ind w:left="154"/>
              <w:spacing w:before="205" w:line="183" w:lineRule="auto"/>
              <w:rPr>
                <w:sz w:val="17"/>
                <w:szCs w:val="17"/>
              </w:rPr>
            </w:pPr>
            <w:r>
              <w:rPr>
                <w:sz w:val="17"/>
                <w:szCs w:val="17"/>
                <w:spacing w:val="-2"/>
              </w:rPr>
              <w:t>925</w:t>
            </w:r>
          </w:p>
        </w:tc>
        <w:tc>
          <w:tcPr>
            <w:tcW w:w="1289" w:type="dxa"/>
            <w:vAlign w:val="top"/>
          </w:tcPr>
          <w:p>
            <w:pPr>
              <w:pStyle w:val="TableText"/>
              <w:ind w:left="210"/>
              <w:spacing w:before="162" w:line="220" w:lineRule="auto"/>
              <w:rPr>
                <w:sz w:val="17"/>
                <w:szCs w:val="17"/>
              </w:rPr>
            </w:pPr>
            <w:r>
              <w:rPr>
                <w:sz w:val="17"/>
                <w:szCs w:val="17"/>
                <w:spacing w:val="3"/>
              </w:rPr>
              <w:t>国家药监局</w:t>
            </w:r>
          </w:p>
        </w:tc>
        <w:tc>
          <w:tcPr>
            <w:tcW w:w="1638" w:type="dxa"/>
            <w:vAlign w:val="top"/>
          </w:tcPr>
          <w:p>
            <w:pPr>
              <w:pStyle w:val="TableText"/>
              <w:ind w:left="32" w:right="63" w:firstLine="10"/>
              <w:spacing w:before="50" w:line="227" w:lineRule="auto"/>
              <w:rPr>
                <w:sz w:val="17"/>
                <w:szCs w:val="17"/>
              </w:rPr>
            </w:pPr>
            <w:r>
              <w:rPr>
                <w:sz w:val="17"/>
                <w:szCs w:val="17"/>
                <w:spacing w:val="-1"/>
              </w:rPr>
              <w:t>麻醉药品，解禅药邕</w:t>
            </w:r>
            <w:r>
              <w:rPr>
                <w:sz w:val="17"/>
                <w:szCs w:val="17"/>
              </w:rPr>
              <w:t xml:space="preserve"> </w:t>
            </w:r>
            <w:r>
              <w:rPr>
                <w:sz w:val="17"/>
                <w:szCs w:val="17"/>
                <w:spacing w:val="-2"/>
              </w:rPr>
              <w:t>些安企童审括</w:t>
            </w:r>
          </w:p>
        </w:tc>
        <w:tc>
          <w:tcPr>
            <w:tcW w:w="2367" w:type="dxa"/>
            <w:vAlign w:val="top"/>
          </w:tcPr>
          <w:p>
            <w:pPr>
              <w:pStyle w:val="TableText"/>
              <w:ind w:left="63"/>
              <w:spacing w:before="162" w:line="219" w:lineRule="auto"/>
              <w:rPr>
                <w:sz w:val="17"/>
                <w:szCs w:val="17"/>
              </w:rPr>
            </w:pPr>
            <w:r>
              <w:rPr>
                <w:sz w:val="17"/>
                <w:szCs w:val="17"/>
                <w:spacing w:val="1"/>
              </w:rPr>
              <w:t>国家师监险，省级药监部门</w:t>
            </w:r>
          </w:p>
        </w:tc>
        <w:tc>
          <w:tcPr>
            <w:tcW w:w="3711" w:type="dxa"/>
            <w:vAlign w:val="top"/>
          </w:tcPr>
          <w:p>
            <w:pPr>
              <w:pStyle w:val="TableText"/>
              <w:ind w:left="46"/>
              <w:spacing w:before="71" w:line="217" w:lineRule="auto"/>
              <w:rPr>
                <w:sz w:val="17"/>
                <w:szCs w:val="17"/>
              </w:rPr>
            </w:pPr>
            <w:r>
              <w:rPr>
                <w:sz w:val="17"/>
                <w:szCs w:val="17"/>
              </w:rPr>
              <w:t>(中华人民其和国禁毒法</w:t>
            </w:r>
          </w:p>
          <w:p>
            <w:pPr>
              <w:pStyle w:val="TableText"/>
              <w:spacing w:line="214" w:lineRule="auto"/>
              <w:rPr>
                <w:sz w:val="17"/>
                <w:szCs w:val="17"/>
              </w:rPr>
            </w:pPr>
            <w:r>
              <w:rPr>
                <w:sz w:val="17"/>
                <w:szCs w:val="17"/>
                <w:spacing w:val="-5"/>
              </w:rPr>
              <w:t>《麻靠药品和精冲病名恰理条间</w:t>
            </w:r>
          </w:p>
        </w:tc>
      </w:tr>
      <w:tr>
        <w:trPr>
          <w:trHeight w:val="479" w:hRule="atLeast"/>
        </w:trPr>
        <w:tc>
          <w:tcPr>
            <w:tcW w:w="584" w:type="dxa"/>
            <w:vAlign w:val="top"/>
          </w:tcPr>
          <w:p>
            <w:pPr>
              <w:pStyle w:val="TableText"/>
              <w:ind w:left="154"/>
              <w:spacing w:before="206" w:line="183" w:lineRule="auto"/>
              <w:rPr>
                <w:sz w:val="17"/>
                <w:szCs w:val="17"/>
              </w:rPr>
            </w:pPr>
            <w:r>
              <w:rPr>
                <w:sz w:val="17"/>
                <w:szCs w:val="17"/>
                <w:spacing w:val="-2"/>
              </w:rPr>
              <w:t>926</w:t>
            </w:r>
          </w:p>
        </w:tc>
        <w:tc>
          <w:tcPr>
            <w:tcW w:w="1289" w:type="dxa"/>
            <w:vAlign w:val="top"/>
          </w:tcPr>
          <w:p>
            <w:pPr>
              <w:pStyle w:val="TableText"/>
              <w:ind w:left="210"/>
              <w:spacing w:before="163" w:line="220" w:lineRule="auto"/>
              <w:rPr>
                <w:sz w:val="17"/>
                <w:szCs w:val="17"/>
              </w:rPr>
            </w:pPr>
            <w:r>
              <w:rPr>
                <w:sz w:val="17"/>
                <w:szCs w:val="17"/>
                <w:spacing w:val="3"/>
              </w:rPr>
              <w:t>国家药监局</w:t>
            </w:r>
          </w:p>
        </w:tc>
        <w:tc>
          <w:tcPr>
            <w:tcW w:w="1638" w:type="dxa"/>
            <w:vAlign w:val="top"/>
          </w:tcPr>
          <w:p>
            <w:pPr>
              <w:pStyle w:val="TableText"/>
              <w:ind w:left="42" w:right="62"/>
              <w:spacing w:before="52" w:line="224" w:lineRule="auto"/>
              <w:rPr>
                <w:sz w:val="17"/>
                <w:szCs w:val="17"/>
              </w:rPr>
            </w:pPr>
            <w:r>
              <w:rPr>
                <w:sz w:val="17"/>
                <w:szCs w:val="17"/>
                <w:spacing w:val="-1"/>
              </w:rPr>
              <w:t>第二类新并药凸零代</w:t>
            </w:r>
            <w:r>
              <w:rPr>
                <w:sz w:val="17"/>
                <w:szCs w:val="17"/>
                <w:spacing w:val="1"/>
              </w:rPr>
              <w:t xml:space="preserve"> </w:t>
            </w:r>
            <w:r>
              <w:rPr>
                <w:sz w:val="17"/>
                <w:szCs w:val="17"/>
                <w:spacing w:val="-2"/>
              </w:rPr>
              <w:t>重务市批</w:t>
            </w:r>
          </w:p>
        </w:tc>
        <w:tc>
          <w:tcPr>
            <w:tcW w:w="2367" w:type="dxa"/>
            <w:vAlign w:val="top"/>
          </w:tcPr>
          <w:p>
            <w:pPr>
              <w:pStyle w:val="TableText"/>
              <w:ind w:left="63"/>
              <w:spacing w:before="161" w:line="219" w:lineRule="auto"/>
              <w:rPr>
                <w:sz w:val="17"/>
                <w:szCs w:val="17"/>
              </w:rPr>
            </w:pPr>
            <w:r>
              <w:rPr>
                <w:sz w:val="17"/>
                <w:szCs w:val="17"/>
                <w:spacing w:val="2"/>
              </w:rPr>
              <w:t>设医的布望药雷部门</w:t>
            </w:r>
          </w:p>
        </w:tc>
        <w:tc>
          <w:tcPr>
            <w:tcW w:w="3711" w:type="dxa"/>
            <w:vAlign w:val="top"/>
          </w:tcPr>
          <w:p>
            <w:pPr>
              <w:pStyle w:val="TableText"/>
              <w:spacing w:before="53" w:line="219" w:lineRule="auto"/>
              <w:rPr>
                <w:sz w:val="17"/>
                <w:szCs w:val="17"/>
              </w:rPr>
            </w:pPr>
            <w:r>
              <w:rPr>
                <w:sz w:val="17"/>
                <w:szCs w:val="17"/>
                <w:spacing w:val="-5"/>
              </w:rPr>
              <w:t>《中华人民共和国禁毒法</w:t>
            </w:r>
          </w:p>
          <w:p>
            <w:pPr>
              <w:pStyle w:val="TableText"/>
              <w:ind w:left="46"/>
              <w:spacing w:before="27" w:line="203" w:lineRule="auto"/>
              <w:rPr>
                <w:sz w:val="17"/>
                <w:szCs w:val="17"/>
              </w:rPr>
            </w:pPr>
            <w:r>
              <w:rPr>
                <w:sz w:val="17"/>
                <w:szCs w:val="17"/>
                <w:spacing w:val="1"/>
              </w:rPr>
              <w:t>麻居药品和精神药品帝理革阀</w:t>
            </w:r>
          </w:p>
        </w:tc>
      </w:tr>
      <w:tr>
        <w:trPr>
          <w:trHeight w:val="1488" w:hRule="atLeast"/>
        </w:trPr>
        <w:tc>
          <w:tcPr>
            <w:tcW w:w="584" w:type="dxa"/>
            <w:vAlign w:val="top"/>
          </w:tcPr>
          <w:p>
            <w:pPr>
              <w:spacing w:line="324" w:lineRule="auto"/>
              <w:rPr>
                <w:rFonts w:ascii="Arial"/>
                <w:sz w:val="21"/>
              </w:rPr>
            </w:pPr>
            <w:r/>
          </w:p>
          <w:p>
            <w:pPr>
              <w:spacing w:line="324" w:lineRule="auto"/>
              <w:rPr>
                <w:rFonts w:ascii="Arial"/>
                <w:sz w:val="21"/>
              </w:rPr>
            </w:pPr>
            <w:r/>
          </w:p>
          <w:p>
            <w:pPr>
              <w:pStyle w:val="TableText"/>
              <w:ind w:left="154"/>
              <w:spacing w:before="55" w:line="183" w:lineRule="auto"/>
              <w:rPr>
                <w:sz w:val="17"/>
                <w:szCs w:val="17"/>
              </w:rPr>
            </w:pPr>
            <w:r>
              <w:rPr>
                <w:sz w:val="17"/>
                <w:szCs w:val="17"/>
                <w:spacing w:val="-2"/>
              </w:rPr>
              <w:t>927</w:t>
            </w:r>
          </w:p>
        </w:tc>
        <w:tc>
          <w:tcPr>
            <w:tcW w:w="1289" w:type="dxa"/>
            <w:vAlign w:val="top"/>
          </w:tcPr>
          <w:p>
            <w:pPr>
              <w:spacing w:line="302" w:lineRule="auto"/>
              <w:rPr>
                <w:rFonts w:ascii="Arial"/>
                <w:sz w:val="21"/>
              </w:rPr>
            </w:pPr>
            <w:r/>
          </w:p>
          <w:p>
            <w:pPr>
              <w:spacing w:line="303" w:lineRule="auto"/>
              <w:rPr>
                <w:rFonts w:ascii="Arial"/>
                <w:sz w:val="21"/>
              </w:rPr>
            </w:pPr>
            <w:r/>
          </w:p>
          <w:p>
            <w:pPr>
              <w:pStyle w:val="TableText"/>
              <w:ind w:left="210"/>
              <w:spacing w:before="55" w:line="220" w:lineRule="auto"/>
              <w:rPr>
                <w:sz w:val="17"/>
                <w:szCs w:val="17"/>
              </w:rPr>
            </w:pPr>
            <w:r>
              <w:rPr>
                <w:sz w:val="17"/>
                <w:szCs w:val="17"/>
                <w:spacing w:val="3"/>
              </w:rPr>
              <w:t>国家药监局</w:t>
            </w:r>
          </w:p>
        </w:tc>
        <w:tc>
          <w:tcPr>
            <w:tcW w:w="1638" w:type="dxa"/>
            <w:vAlign w:val="top"/>
          </w:tcPr>
          <w:p>
            <w:pPr>
              <w:pStyle w:val="TableText"/>
              <w:ind w:left="42"/>
              <w:spacing w:before="54" w:line="219" w:lineRule="auto"/>
              <w:jc w:val="both"/>
              <w:rPr>
                <w:sz w:val="17"/>
                <w:szCs w:val="17"/>
              </w:rPr>
            </w:pPr>
            <w:r>
              <w:rPr>
                <w:sz w:val="17"/>
                <w:szCs w:val="17"/>
                <w:spacing w:val="-2"/>
              </w:rPr>
              <w:t>全国性置发交业向区</w:t>
            </w:r>
            <w:r>
              <w:rPr>
                <w:sz w:val="17"/>
                <w:szCs w:val="17"/>
                <w:spacing w:val="1"/>
              </w:rPr>
              <w:t xml:space="preserve">  </w:t>
            </w:r>
            <w:r>
              <w:rPr>
                <w:sz w:val="17"/>
                <w:szCs w:val="17"/>
                <w:spacing w:val="-2"/>
              </w:rPr>
              <w:t>样机构切售难醉师品</w:t>
            </w:r>
            <w:r>
              <w:rPr>
                <w:sz w:val="17"/>
                <w:szCs w:val="17"/>
                <w:spacing w:val="3"/>
              </w:rPr>
              <w:t xml:space="preserve">  </w:t>
            </w:r>
            <w:r>
              <w:rPr>
                <w:sz w:val="17"/>
                <w:szCs w:val="17"/>
                <w:spacing w:val="6"/>
              </w:rPr>
              <w:t>和第一更精神药品、</w:t>
            </w:r>
            <w:r>
              <w:rPr>
                <w:sz w:val="17"/>
                <w:szCs w:val="17"/>
              </w:rPr>
              <w:t xml:space="preserve"> </w:t>
            </w:r>
            <w:r>
              <w:rPr>
                <w:sz w:val="17"/>
                <w:szCs w:val="17"/>
                <w:spacing w:val="-2"/>
              </w:rPr>
              <w:t>区域性批受企业腐省</w:t>
            </w:r>
            <w:r>
              <w:rPr>
                <w:sz w:val="17"/>
                <w:szCs w:val="17"/>
                <w:spacing w:val="2"/>
              </w:rPr>
              <w:t xml:space="preserve">  </w:t>
            </w:r>
            <w:r>
              <w:rPr>
                <w:sz w:val="17"/>
                <w:szCs w:val="17"/>
                <w:spacing w:val="-4"/>
              </w:rPr>
              <w:t>袋行故区圾向医疗机</w:t>
            </w:r>
            <w:r>
              <w:rPr>
                <w:sz w:val="17"/>
                <w:szCs w:val="17"/>
              </w:rPr>
              <w:t xml:space="preserve">  </w:t>
            </w:r>
            <w:r>
              <w:rPr>
                <w:sz w:val="17"/>
                <w:szCs w:val="17"/>
                <w:spacing w:val="-4"/>
              </w:rPr>
              <w:t>构销售森醉析品和第</w:t>
            </w:r>
            <w:r>
              <w:rPr>
                <w:sz w:val="17"/>
                <w:szCs w:val="17"/>
              </w:rPr>
              <w:t xml:space="preserve">  </w:t>
            </w:r>
            <w:r>
              <w:rPr>
                <w:sz w:val="17"/>
                <w:szCs w:val="17"/>
                <w:spacing w:val="-2"/>
              </w:rPr>
              <w:t>一类绩神药品许可</w:t>
            </w:r>
          </w:p>
        </w:tc>
        <w:tc>
          <w:tcPr>
            <w:tcW w:w="2367" w:type="dxa"/>
            <w:vAlign w:val="top"/>
          </w:tcPr>
          <w:p>
            <w:pPr>
              <w:spacing w:line="302" w:lineRule="auto"/>
              <w:rPr>
                <w:rFonts w:ascii="Arial"/>
                <w:sz w:val="21"/>
              </w:rPr>
            </w:pPr>
            <w:r/>
          </w:p>
          <w:p>
            <w:pPr>
              <w:spacing w:line="303" w:lineRule="auto"/>
              <w:rPr>
                <w:rFonts w:ascii="Arial"/>
                <w:sz w:val="21"/>
              </w:rPr>
            </w:pPr>
            <w:r/>
          </w:p>
          <w:p>
            <w:pPr>
              <w:pStyle w:val="TableText"/>
              <w:ind w:left="63"/>
              <w:spacing w:before="55" w:line="219" w:lineRule="auto"/>
              <w:rPr>
                <w:sz w:val="17"/>
                <w:szCs w:val="17"/>
              </w:rPr>
            </w:pPr>
            <w:r>
              <w:rPr>
                <w:sz w:val="17"/>
                <w:szCs w:val="17"/>
                <w:spacing w:val="3"/>
              </w:rPr>
              <w:t>省暖药监惑门</w:t>
            </w:r>
          </w:p>
        </w:tc>
        <w:tc>
          <w:tcPr>
            <w:tcW w:w="3711" w:type="dxa"/>
            <w:vAlign w:val="top"/>
          </w:tcPr>
          <w:p>
            <w:pPr>
              <w:spacing w:line="262" w:lineRule="auto"/>
              <w:rPr>
                <w:rFonts w:ascii="Arial"/>
                <w:sz w:val="21"/>
              </w:rPr>
            </w:pPr>
            <w:r/>
          </w:p>
          <w:p>
            <w:pPr>
              <w:spacing w:line="263" w:lineRule="auto"/>
              <w:rPr>
                <w:rFonts w:ascii="Arial"/>
                <w:sz w:val="21"/>
              </w:rPr>
            </w:pPr>
            <w:r/>
          </w:p>
          <w:p>
            <w:pPr>
              <w:pStyle w:val="TableText"/>
              <w:ind w:left="46"/>
              <w:spacing w:before="56" w:line="195" w:lineRule="auto"/>
              <w:rPr>
                <w:sz w:val="17"/>
                <w:szCs w:val="17"/>
              </w:rPr>
            </w:pPr>
            <w:r>
              <w:rPr>
                <w:sz w:val="17"/>
                <w:szCs w:val="17"/>
                <w:spacing w:val="3"/>
              </w:rPr>
              <w:t>(中华人民共和国禁毒法)</w:t>
            </w:r>
          </w:p>
          <w:p>
            <w:pPr>
              <w:pStyle w:val="TableText"/>
              <w:spacing w:line="219" w:lineRule="auto"/>
              <w:rPr>
                <w:sz w:val="17"/>
                <w:szCs w:val="17"/>
              </w:rPr>
            </w:pPr>
            <w:r>
              <w:rPr>
                <w:sz w:val="17"/>
                <w:szCs w:val="17"/>
                <w:spacing w:val="-4"/>
              </w:rPr>
              <w:t>《麻醉药品和结神药品管理差例》</w:t>
            </w:r>
          </w:p>
        </w:tc>
      </w:tr>
      <w:tr>
        <w:trPr>
          <w:trHeight w:val="934" w:hRule="atLeast"/>
        </w:trPr>
        <w:tc>
          <w:tcPr>
            <w:tcW w:w="584" w:type="dxa"/>
            <w:vAlign w:val="top"/>
          </w:tcPr>
          <w:p>
            <w:pPr>
              <w:spacing w:line="372" w:lineRule="auto"/>
              <w:rPr>
                <w:rFonts w:ascii="Arial"/>
                <w:sz w:val="21"/>
              </w:rPr>
            </w:pPr>
            <w:r/>
          </w:p>
          <w:p>
            <w:pPr>
              <w:pStyle w:val="TableText"/>
              <w:ind w:left="154"/>
              <w:spacing w:before="55" w:line="183" w:lineRule="auto"/>
              <w:rPr>
                <w:sz w:val="17"/>
                <w:szCs w:val="17"/>
              </w:rPr>
            </w:pPr>
            <w:r>
              <w:rPr>
                <w:sz w:val="17"/>
                <w:szCs w:val="17"/>
                <w:spacing w:val="-2"/>
              </w:rPr>
              <w:t>#2R</w:t>
            </w:r>
          </w:p>
        </w:tc>
        <w:tc>
          <w:tcPr>
            <w:tcW w:w="1289" w:type="dxa"/>
            <w:vAlign w:val="top"/>
          </w:tcPr>
          <w:p>
            <w:pPr>
              <w:spacing w:line="329" w:lineRule="auto"/>
              <w:rPr>
                <w:rFonts w:ascii="Arial"/>
                <w:sz w:val="21"/>
              </w:rPr>
            </w:pPr>
            <w:r/>
          </w:p>
          <w:p>
            <w:pPr>
              <w:pStyle w:val="TableText"/>
              <w:ind w:left="210"/>
              <w:spacing w:before="55" w:line="220" w:lineRule="auto"/>
              <w:rPr>
                <w:sz w:val="17"/>
                <w:szCs w:val="17"/>
              </w:rPr>
            </w:pPr>
            <w:r>
              <w:rPr>
                <w:sz w:val="17"/>
                <w:szCs w:val="17"/>
                <w:spacing w:val="-2"/>
              </w:rPr>
              <w:t>词家防监腾</w:t>
            </w:r>
          </w:p>
        </w:tc>
        <w:tc>
          <w:tcPr>
            <w:tcW w:w="1638" w:type="dxa"/>
            <w:vAlign w:val="top"/>
          </w:tcPr>
          <w:p>
            <w:pPr>
              <w:pStyle w:val="TableText"/>
              <w:ind w:left="42" w:right="44"/>
              <w:spacing w:before="94" w:line="224" w:lineRule="auto"/>
              <w:jc w:val="both"/>
              <w:rPr>
                <w:sz w:val="17"/>
                <w:szCs w:val="17"/>
              </w:rPr>
            </w:pPr>
            <w:r>
              <w:rPr>
                <w:sz w:val="17"/>
                <w:szCs w:val="17"/>
                <w:spacing w:val="1"/>
              </w:rPr>
              <w:t>区模性班发企业从定 </w:t>
            </w:r>
            <w:r>
              <w:rPr>
                <w:sz w:val="17"/>
                <w:szCs w:val="17"/>
              </w:rPr>
              <w:t>点生产企或购买麻醉</w:t>
            </w:r>
            <w:r>
              <w:rPr>
                <w:sz w:val="17"/>
                <w:szCs w:val="17"/>
                <w:spacing w:val="5"/>
              </w:rPr>
              <w:t xml:space="preserve"> </w:t>
            </w:r>
            <w:r>
              <w:rPr>
                <w:sz w:val="17"/>
                <w:szCs w:val="17"/>
                <w:spacing w:val="-1"/>
              </w:rPr>
              <w:t>药品，第一类精神药</w:t>
            </w:r>
            <w:r>
              <w:rPr>
                <w:sz w:val="17"/>
                <w:szCs w:val="17"/>
              </w:rPr>
              <w:t xml:space="preserve"> </w:t>
            </w:r>
            <w:r>
              <w:rPr>
                <w:sz w:val="17"/>
                <w:szCs w:val="17"/>
                <w:spacing w:val="2"/>
              </w:rPr>
              <w:t>品审批</w:t>
            </w:r>
          </w:p>
        </w:tc>
        <w:tc>
          <w:tcPr>
            <w:tcW w:w="2367" w:type="dxa"/>
            <w:vAlign w:val="top"/>
          </w:tcPr>
          <w:p>
            <w:pPr>
              <w:spacing w:line="328" w:lineRule="auto"/>
              <w:rPr>
                <w:rFonts w:ascii="Arial"/>
                <w:sz w:val="21"/>
              </w:rPr>
            </w:pPr>
            <w:r/>
          </w:p>
          <w:p>
            <w:pPr>
              <w:pStyle w:val="TableText"/>
              <w:ind w:left="63"/>
              <w:spacing w:before="56" w:line="219" w:lineRule="auto"/>
              <w:rPr>
                <w:sz w:val="17"/>
                <w:szCs w:val="17"/>
              </w:rPr>
            </w:pPr>
            <w:r>
              <w:rPr>
                <w:sz w:val="17"/>
                <w:szCs w:val="17"/>
                <w:spacing w:val="3"/>
              </w:rPr>
              <w:t>省级药监部门</w:t>
            </w:r>
          </w:p>
        </w:tc>
        <w:tc>
          <w:tcPr>
            <w:tcW w:w="3711" w:type="dxa"/>
            <w:vAlign w:val="top"/>
          </w:tcPr>
          <w:p>
            <w:pPr>
              <w:pStyle w:val="TableText"/>
              <w:ind w:left="46"/>
              <w:spacing w:before="285" w:line="217" w:lineRule="auto"/>
              <w:rPr>
                <w:sz w:val="17"/>
                <w:szCs w:val="17"/>
              </w:rPr>
            </w:pPr>
            <w:r>
              <w:rPr>
                <w:sz w:val="17"/>
                <w:szCs w:val="17"/>
                <w:spacing w:val="-1"/>
              </w:rPr>
              <w:t>4中华人民共和国禁毒法</w:t>
            </w:r>
          </w:p>
          <w:p>
            <w:pPr>
              <w:pStyle w:val="TableText"/>
              <w:spacing w:line="218" w:lineRule="auto"/>
              <w:rPr>
                <w:sz w:val="17"/>
                <w:szCs w:val="17"/>
              </w:rPr>
            </w:pPr>
            <w:r>
              <w:rPr>
                <w:sz w:val="17"/>
                <w:szCs w:val="17"/>
                <w:spacing w:val="-4"/>
              </w:rPr>
              <w:t>《麻醇药品和精神药岛管理条例》</w:t>
            </w:r>
          </w:p>
        </w:tc>
      </w:tr>
    </w:tbl>
    <w:p>
      <w:pPr>
        <w:pStyle w:val="BodyText"/>
        <w:rPr/>
      </w:pPr>
      <w:r/>
    </w:p>
    <w:p>
      <w:pPr>
        <w:sectPr>
          <w:pgSz w:w="11910" w:h="8220"/>
          <w:pgMar w:top="400" w:right="115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19360" behindDoc="0" locked="0" layoutInCell="0" allowOverlap="1">
                <wp:simplePos x="0" y="0"/>
                <wp:positionH relativeFrom="page">
                  <wp:posOffset>464057</wp:posOffset>
                </wp:positionH>
                <wp:positionV relativeFrom="page">
                  <wp:posOffset>624044</wp:posOffset>
                </wp:positionV>
                <wp:extent cx="172720" cy="156845"/>
                <wp:effectExtent l="0" t="0" r="0" b="0"/>
                <wp:wrapNone/>
                <wp:docPr id="354" name="TextBox 354"/>
                <wp:cNvGraphicFramePr/>
                <a:graphic>
                  <a:graphicData uri="http://schemas.microsoft.com/office/word/2010/wordprocessingShape">
                    <wps:wsp>
                      <wps:cNvSpPr txBox="1"/>
                      <wps:spPr>
                        <a:xfrm rot="5400000">
                          <a:off x="464057"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6" style="position:absolute;margin-left:36.54pt;margin-top:49.1374pt;mso-position-vertical-relative:page;mso-position-horizontal-relative:page;width:13.6pt;height:12.35pt;z-index:25191936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258</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4"/>
              <w:spacing w:before="131" w:line="219" w:lineRule="auto"/>
              <w:rPr>
                <w:sz w:val="16"/>
                <w:szCs w:val="16"/>
              </w:rPr>
            </w:pPr>
            <w:r>
              <w:rPr>
                <w:sz w:val="16"/>
                <w:szCs w:val="16"/>
                <w:spacing w:val="4"/>
              </w:rPr>
              <w:t>市号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14"/>
              <w:spacing w:before="130" w:line="219" w:lineRule="auto"/>
              <w:rPr>
                <w:sz w:val="16"/>
                <w:szCs w:val="16"/>
              </w:rPr>
            </w:pPr>
            <w:r>
              <w:rPr>
                <w:sz w:val="16"/>
                <w:szCs w:val="16"/>
                <w:spacing w:val="-2"/>
              </w:rPr>
              <w:t>实德机关</w:t>
            </w:r>
          </w:p>
        </w:tc>
        <w:tc>
          <w:tcPr>
            <w:tcW w:w="3711" w:type="dxa"/>
            <w:vAlign w:val="top"/>
          </w:tcPr>
          <w:p>
            <w:pPr>
              <w:pStyle w:val="TableText"/>
              <w:ind w:left="1256"/>
              <w:spacing w:before="131" w:line="219" w:lineRule="auto"/>
              <w:rPr>
                <w:sz w:val="16"/>
                <w:szCs w:val="16"/>
              </w:rPr>
            </w:pPr>
            <w:r>
              <w:rPr>
                <w:sz w:val="16"/>
                <w:szCs w:val="16"/>
                <w:spacing w:val="-2"/>
              </w:rPr>
              <w:t>设定和实胞体据</w:t>
            </w:r>
          </w:p>
        </w:tc>
      </w:tr>
      <w:tr>
        <w:trPr>
          <w:trHeight w:val="439" w:hRule="atLeast"/>
        </w:trPr>
        <w:tc>
          <w:tcPr>
            <w:tcW w:w="584" w:type="dxa"/>
            <w:vAlign w:val="top"/>
          </w:tcPr>
          <w:p>
            <w:pPr>
              <w:pStyle w:val="TableText"/>
              <w:ind w:left="204"/>
              <w:spacing w:before="178" w:line="183" w:lineRule="auto"/>
              <w:rPr>
                <w:sz w:val="16"/>
                <w:szCs w:val="16"/>
              </w:rPr>
            </w:pPr>
            <w:r>
              <w:rPr>
                <w:sz w:val="16"/>
                <w:szCs w:val="16"/>
                <w:spacing w:val="-2"/>
              </w:rPr>
              <w:t>92</w:t>
            </w:r>
          </w:p>
        </w:tc>
        <w:tc>
          <w:tcPr>
            <w:tcW w:w="1289" w:type="dxa"/>
            <w:vAlign w:val="top"/>
          </w:tcPr>
          <w:p>
            <w:pPr>
              <w:pStyle w:val="TableText"/>
              <w:ind w:left="231"/>
              <w:spacing w:before="138" w:line="220" w:lineRule="auto"/>
              <w:rPr>
                <w:sz w:val="16"/>
                <w:szCs w:val="16"/>
              </w:rPr>
            </w:pPr>
            <w:r>
              <w:rPr>
                <w:sz w:val="16"/>
                <w:szCs w:val="16"/>
                <w:spacing w:val="2"/>
              </w:rPr>
              <w:t>国家药监局</w:t>
            </w:r>
          </w:p>
        </w:tc>
        <w:tc>
          <w:tcPr>
            <w:tcW w:w="1648" w:type="dxa"/>
            <w:vAlign w:val="top"/>
          </w:tcPr>
          <w:p>
            <w:pPr>
              <w:pStyle w:val="TableText"/>
              <w:ind w:left="72" w:right="89" w:firstLine="20"/>
              <w:spacing w:before="47" w:line="220" w:lineRule="auto"/>
              <w:rPr>
                <w:sz w:val="16"/>
                <w:szCs w:val="16"/>
              </w:rPr>
            </w:pPr>
            <w:r>
              <w:rPr>
                <w:sz w:val="16"/>
                <w:szCs w:val="16"/>
                <w:spacing w:val="1"/>
              </w:rPr>
              <w:t>熟醒药品，精神购品</w:t>
            </w:r>
            <w:r>
              <w:rPr>
                <w:sz w:val="16"/>
                <w:szCs w:val="16"/>
                <w:spacing w:val="6"/>
              </w:rPr>
              <w:t xml:space="preserve"> </w:t>
            </w:r>
            <w:r>
              <w:rPr>
                <w:sz w:val="16"/>
                <w:szCs w:val="16"/>
                <w:spacing w:val="1"/>
              </w:rPr>
              <w:t>岗买审批</w:t>
            </w:r>
          </w:p>
        </w:tc>
        <w:tc>
          <w:tcPr>
            <w:tcW w:w="2367" w:type="dxa"/>
            <w:vAlign w:val="top"/>
          </w:tcPr>
          <w:p>
            <w:pPr>
              <w:pStyle w:val="TableText"/>
              <w:ind w:left="54"/>
              <w:spacing w:before="137" w:line="219" w:lineRule="auto"/>
              <w:rPr>
                <w:sz w:val="16"/>
                <w:szCs w:val="16"/>
              </w:rPr>
            </w:pPr>
            <w:r>
              <w:rPr>
                <w:sz w:val="16"/>
                <w:szCs w:val="16"/>
                <w:spacing w:val="2"/>
              </w:rPr>
              <w:t>省银药盛部门</w:t>
            </w:r>
          </w:p>
        </w:tc>
        <w:tc>
          <w:tcPr>
            <w:tcW w:w="3711" w:type="dxa"/>
            <w:vAlign w:val="top"/>
          </w:tcPr>
          <w:p>
            <w:pPr>
              <w:pStyle w:val="TableText"/>
              <w:spacing w:before="57" w:line="219" w:lineRule="auto"/>
              <w:rPr>
                <w:sz w:val="16"/>
                <w:szCs w:val="16"/>
              </w:rPr>
            </w:pPr>
            <w:r>
              <w:rPr>
                <w:sz w:val="16"/>
                <w:szCs w:val="16"/>
                <w:spacing w:val="-5"/>
              </w:rPr>
              <w:t>《中华人见共和国禁面读》</w:t>
            </w:r>
          </w:p>
          <w:p>
            <w:pPr>
              <w:pStyle w:val="TableText"/>
              <w:spacing w:before="9" w:line="199" w:lineRule="auto"/>
              <w:rPr>
                <w:sz w:val="16"/>
                <w:szCs w:val="16"/>
              </w:rPr>
            </w:pPr>
            <w:r>
              <w:rPr>
                <w:sz w:val="16"/>
                <w:szCs w:val="16"/>
                <w:spacing w:val="-5"/>
              </w:rPr>
              <w:t>《廓屏药品和精萍药品营型著例</w:t>
            </w:r>
          </w:p>
        </w:tc>
      </w:tr>
      <w:tr>
        <w:trPr>
          <w:trHeight w:val="440" w:hRule="atLeast"/>
        </w:trPr>
        <w:tc>
          <w:tcPr>
            <w:tcW w:w="584" w:type="dxa"/>
            <w:vAlign w:val="top"/>
          </w:tcPr>
          <w:p>
            <w:pPr>
              <w:pStyle w:val="TableText"/>
              <w:ind w:left="124"/>
              <w:spacing w:before="160" w:line="184" w:lineRule="auto"/>
              <w:rPr>
                <w:sz w:val="16"/>
                <w:szCs w:val="16"/>
              </w:rPr>
            </w:pPr>
            <w:r>
              <w:rPr>
                <w:sz w:val="16"/>
                <w:szCs w:val="16"/>
                <w:spacing w:val="-2"/>
              </w:rPr>
              <w:t>0,10</w:t>
            </w:r>
          </w:p>
        </w:tc>
        <w:tc>
          <w:tcPr>
            <w:tcW w:w="1289" w:type="dxa"/>
            <w:vAlign w:val="top"/>
          </w:tcPr>
          <w:p>
            <w:pPr>
              <w:pStyle w:val="TableText"/>
              <w:ind w:left="231"/>
              <w:spacing w:before="139" w:line="220" w:lineRule="auto"/>
              <w:rPr>
                <w:sz w:val="16"/>
                <w:szCs w:val="16"/>
              </w:rPr>
            </w:pPr>
            <w:r>
              <w:rPr>
                <w:sz w:val="16"/>
                <w:szCs w:val="16"/>
                <w:spacing w:val="2"/>
              </w:rPr>
              <w:t>国家新监局</w:t>
            </w:r>
          </w:p>
        </w:tc>
        <w:tc>
          <w:tcPr>
            <w:tcW w:w="1648" w:type="dxa"/>
            <w:vAlign w:val="top"/>
          </w:tcPr>
          <w:p>
            <w:pPr>
              <w:pStyle w:val="TableText"/>
              <w:ind w:left="52" w:right="112" w:firstLine="40"/>
              <w:spacing w:before="48" w:line="220" w:lineRule="auto"/>
              <w:rPr>
                <w:sz w:val="16"/>
                <w:szCs w:val="16"/>
              </w:rPr>
            </w:pPr>
            <w:r>
              <w:rPr>
                <w:sz w:val="16"/>
                <w:szCs w:val="16"/>
                <w:spacing w:val="-1"/>
              </w:rPr>
              <w:t>麻醉药品，落一类精</w:t>
            </w:r>
            <w:r>
              <w:rPr>
                <w:sz w:val="16"/>
                <w:szCs w:val="16"/>
                <w:spacing w:val="1"/>
              </w:rPr>
              <w:t xml:space="preserve"> </w:t>
            </w:r>
            <w:r>
              <w:rPr>
                <w:sz w:val="16"/>
                <w:szCs w:val="16"/>
                <w:spacing w:val="-1"/>
              </w:rPr>
              <w:t>种所品运型作可</w:t>
            </w:r>
          </w:p>
        </w:tc>
        <w:tc>
          <w:tcPr>
            <w:tcW w:w="2367" w:type="dxa"/>
            <w:vAlign w:val="top"/>
          </w:tcPr>
          <w:p>
            <w:pPr>
              <w:pStyle w:val="TableText"/>
              <w:ind w:left="54"/>
              <w:spacing w:before="138" w:line="219" w:lineRule="auto"/>
              <w:rPr>
                <w:sz w:val="16"/>
                <w:szCs w:val="16"/>
              </w:rPr>
            </w:pPr>
            <w:r>
              <w:rPr>
                <w:sz w:val="16"/>
                <w:szCs w:val="16"/>
                <w:spacing w:val="1"/>
              </w:rPr>
              <w:t>设低的市根薪旅备门</w:t>
            </w:r>
          </w:p>
        </w:tc>
        <w:tc>
          <w:tcPr>
            <w:tcW w:w="3711" w:type="dxa"/>
            <w:vAlign w:val="top"/>
          </w:tcPr>
          <w:p>
            <w:pPr>
              <w:pStyle w:val="TableText"/>
              <w:ind w:left="36"/>
              <w:spacing w:before="58" w:line="207" w:lineRule="auto"/>
              <w:rPr>
                <w:sz w:val="16"/>
                <w:szCs w:val="16"/>
              </w:rPr>
            </w:pPr>
            <w:r>
              <w:rPr>
                <w:sz w:val="16"/>
                <w:szCs w:val="16"/>
                <w:spacing w:val="1"/>
              </w:rPr>
              <w:t>C中学人民共和报挚毒出1</w:t>
            </w:r>
          </w:p>
          <w:p>
            <w:pPr>
              <w:pStyle w:val="TableText"/>
              <w:spacing w:line="218" w:lineRule="auto"/>
              <w:rPr>
                <w:sz w:val="16"/>
                <w:szCs w:val="16"/>
              </w:rPr>
            </w:pPr>
            <w:r>
              <w:rPr>
                <w:sz w:val="16"/>
                <w:szCs w:val="16"/>
                <w:spacing w:val="-4"/>
              </w:rPr>
              <w:t>《麻靠新品和精神药品管题条创》</w:t>
            </w:r>
          </w:p>
        </w:tc>
      </w:tr>
      <w:tr>
        <w:trPr>
          <w:trHeight w:val="439" w:hRule="atLeast"/>
        </w:trPr>
        <w:tc>
          <w:tcPr>
            <w:tcW w:w="584" w:type="dxa"/>
            <w:vAlign w:val="top"/>
          </w:tcPr>
          <w:p>
            <w:pPr>
              <w:pStyle w:val="TableText"/>
              <w:ind w:left="204"/>
              <w:spacing w:before="179" w:line="183" w:lineRule="auto"/>
              <w:rPr>
                <w:sz w:val="16"/>
                <w:szCs w:val="16"/>
              </w:rPr>
            </w:pPr>
            <w:r>
              <w:rPr>
                <w:sz w:val="16"/>
                <w:szCs w:val="16"/>
                <w:spacing w:val="-2"/>
              </w:rPr>
              <w:t>94</w:t>
            </w:r>
          </w:p>
        </w:tc>
        <w:tc>
          <w:tcPr>
            <w:tcW w:w="1289" w:type="dxa"/>
            <w:vAlign w:val="top"/>
          </w:tcPr>
          <w:p>
            <w:pPr>
              <w:pStyle w:val="TableText"/>
              <w:ind w:left="231"/>
              <w:spacing w:before="139" w:line="220" w:lineRule="auto"/>
              <w:rPr>
                <w:sz w:val="16"/>
                <w:szCs w:val="16"/>
              </w:rPr>
            </w:pPr>
            <w:r>
              <w:rPr>
                <w:sz w:val="16"/>
                <w:szCs w:val="16"/>
                <w:spacing w:val="1"/>
              </w:rPr>
              <w:t>国家新监晃</w:t>
            </w:r>
          </w:p>
        </w:tc>
        <w:tc>
          <w:tcPr>
            <w:tcW w:w="1648" w:type="dxa"/>
            <w:vAlign w:val="top"/>
          </w:tcPr>
          <w:p>
            <w:pPr>
              <w:pStyle w:val="TableText"/>
              <w:ind w:left="52" w:right="89" w:firstLine="40"/>
              <w:spacing w:before="49" w:line="213" w:lineRule="auto"/>
              <w:rPr>
                <w:sz w:val="16"/>
                <w:szCs w:val="16"/>
              </w:rPr>
            </w:pPr>
            <w:r>
              <w:rPr>
                <w:sz w:val="16"/>
                <w:szCs w:val="16"/>
                <w:spacing w:val="1"/>
              </w:rPr>
              <w:t>意醒药品，糖种的品</w:t>
            </w:r>
            <w:r>
              <w:rPr>
                <w:sz w:val="16"/>
                <w:szCs w:val="16"/>
                <w:spacing w:val="6"/>
              </w:rPr>
              <w:t xml:space="preserve"> </w:t>
            </w:r>
            <w:r>
              <w:rPr>
                <w:sz w:val="16"/>
                <w:szCs w:val="16"/>
                <w:spacing w:val="-2"/>
              </w:rPr>
              <w:t>感省作可</w:t>
            </w:r>
          </w:p>
        </w:tc>
        <w:tc>
          <w:tcPr>
            <w:tcW w:w="2367" w:type="dxa"/>
            <w:vAlign w:val="top"/>
          </w:tcPr>
          <w:p>
            <w:pPr>
              <w:pStyle w:val="TableText"/>
              <w:ind w:left="54"/>
              <w:spacing w:before="138" w:line="219" w:lineRule="auto"/>
              <w:rPr>
                <w:sz w:val="16"/>
                <w:szCs w:val="16"/>
              </w:rPr>
            </w:pPr>
            <w:r>
              <w:rPr>
                <w:sz w:val="16"/>
                <w:szCs w:val="16"/>
                <w:spacing w:val="1"/>
              </w:rPr>
              <w:t>议区的市双药室题门</w:t>
            </w:r>
          </w:p>
        </w:tc>
        <w:tc>
          <w:tcPr>
            <w:tcW w:w="3711" w:type="dxa"/>
            <w:vAlign w:val="top"/>
          </w:tcPr>
          <w:p>
            <w:pPr>
              <w:pStyle w:val="TableText"/>
              <w:ind w:left="36"/>
              <w:spacing w:before="38" w:line="219" w:lineRule="auto"/>
              <w:rPr>
                <w:sz w:val="16"/>
                <w:szCs w:val="16"/>
              </w:rPr>
            </w:pPr>
            <w:r>
              <w:rPr>
                <w:sz w:val="16"/>
                <w:szCs w:val="16"/>
                <w:spacing w:val="-1"/>
              </w:rPr>
              <w:t>(中华人风共和医禁毒法》</w:t>
            </w:r>
          </w:p>
          <w:p>
            <w:pPr>
              <w:pStyle w:val="TableText"/>
              <w:ind w:left="36"/>
              <w:spacing w:before="20" w:line="208" w:lineRule="auto"/>
              <w:rPr>
                <w:sz w:val="16"/>
                <w:szCs w:val="16"/>
              </w:rPr>
            </w:pPr>
            <w:r>
              <w:rPr>
                <w:sz w:val="16"/>
                <w:szCs w:val="16"/>
                <w:spacing w:val="-1"/>
              </w:rPr>
              <w:t>(痒师药品和制神药品管星条例》</w:t>
            </w:r>
          </w:p>
        </w:tc>
      </w:tr>
      <w:tr>
        <w:trPr>
          <w:trHeight w:val="440" w:hRule="atLeast"/>
        </w:trPr>
        <w:tc>
          <w:tcPr>
            <w:tcW w:w="584" w:type="dxa"/>
            <w:vAlign w:val="top"/>
          </w:tcPr>
          <w:p>
            <w:pPr>
              <w:pStyle w:val="TableText"/>
              <w:ind w:left="164"/>
              <w:spacing w:before="160" w:line="183" w:lineRule="auto"/>
              <w:rPr>
                <w:sz w:val="16"/>
                <w:szCs w:val="16"/>
              </w:rPr>
            </w:pPr>
            <w:r>
              <w:rPr>
                <w:sz w:val="16"/>
                <w:szCs w:val="16"/>
                <w:spacing w:val="-1"/>
              </w:rPr>
              <w:t>pa2</w:t>
            </w:r>
          </w:p>
        </w:tc>
        <w:tc>
          <w:tcPr>
            <w:tcW w:w="1289" w:type="dxa"/>
            <w:vAlign w:val="top"/>
          </w:tcPr>
          <w:p>
            <w:pPr>
              <w:pStyle w:val="TableText"/>
              <w:ind w:left="231"/>
              <w:spacing w:before="140" w:line="220" w:lineRule="auto"/>
              <w:rPr>
                <w:sz w:val="16"/>
                <w:szCs w:val="16"/>
              </w:rPr>
            </w:pPr>
            <w:r>
              <w:rPr>
                <w:sz w:val="16"/>
                <w:szCs w:val="16"/>
                <w:spacing w:val="3"/>
              </w:rPr>
              <w:t>国家药置品</w:t>
            </w:r>
          </w:p>
        </w:tc>
        <w:tc>
          <w:tcPr>
            <w:tcW w:w="1648" w:type="dxa"/>
            <w:vAlign w:val="top"/>
          </w:tcPr>
          <w:p>
            <w:pPr>
              <w:pStyle w:val="TableText"/>
              <w:ind w:left="72" w:right="112" w:firstLine="20"/>
              <w:spacing w:before="38" w:line="226" w:lineRule="auto"/>
              <w:rPr>
                <w:sz w:val="16"/>
                <w:szCs w:val="16"/>
              </w:rPr>
            </w:pPr>
            <w:r>
              <w:rPr>
                <w:sz w:val="16"/>
                <w:szCs w:val="16"/>
                <w:spacing w:val="-1"/>
              </w:rPr>
              <w:t>麻酵药品，精神药母</w:t>
            </w:r>
            <w:r>
              <w:rPr>
                <w:sz w:val="16"/>
                <w:szCs w:val="16"/>
                <w:spacing w:val="1"/>
              </w:rPr>
              <w:t xml:space="preserve"> </w:t>
            </w:r>
            <w:r>
              <w:rPr>
                <w:sz w:val="16"/>
                <w:szCs w:val="16"/>
                <w:spacing w:val="-1"/>
              </w:rPr>
              <w:t>进站口诈</w:t>
            </w:r>
          </w:p>
        </w:tc>
        <w:tc>
          <w:tcPr>
            <w:tcW w:w="2367" w:type="dxa"/>
            <w:vAlign w:val="top"/>
          </w:tcPr>
          <w:p>
            <w:pPr>
              <w:pStyle w:val="TableText"/>
              <w:ind w:left="54"/>
              <w:spacing w:before="140" w:line="220" w:lineRule="auto"/>
              <w:rPr>
                <w:sz w:val="16"/>
                <w:szCs w:val="16"/>
              </w:rPr>
            </w:pPr>
            <w:r>
              <w:rPr>
                <w:sz w:val="16"/>
                <w:szCs w:val="16"/>
                <w:spacing w:val="2"/>
              </w:rPr>
              <w:t>日家防总局</w:t>
            </w:r>
          </w:p>
        </w:tc>
        <w:tc>
          <w:tcPr>
            <w:tcW w:w="3711" w:type="dxa"/>
            <w:vAlign w:val="top"/>
          </w:tcPr>
          <w:p>
            <w:pPr>
              <w:pStyle w:val="TableText"/>
              <w:ind w:left="36"/>
              <w:spacing w:before="49" w:line="207" w:lineRule="auto"/>
              <w:rPr>
                <w:sz w:val="16"/>
                <w:szCs w:val="16"/>
              </w:rPr>
            </w:pPr>
            <w:r>
              <w:rPr>
                <w:sz w:val="16"/>
                <w:szCs w:val="16"/>
                <w:spacing w:val="-1"/>
              </w:rPr>
              <w:t>C中华人现共和医禁毒法</w:t>
            </w:r>
          </w:p>
          <w:p>
            <w:pPr>
              <w:pStyle w:val="TableText"/>
              <w:spacing w:line="218" w:lineRule="auto"/>
              <w:rPr>
                <w:sz w:val="16"/>
                <w:szCs w:val="16"/>
              </w:rPr>
            </w:pPr>
            <w:r>
              <w:rPr>
                <w:sz w:val="16"/>
                <w:szCs w:val="16"/>
                <w:spacing w:val="-4"/>
              </w:rPr>
              <w:t>《中华人民共和偶盐品管理法》</w:t>
            </w:r>
          </w:p>
        </w:tc>
      </w:tr>
      <w:tr>
        <w:trPr>
          <w:trHeight w:val="429" w:hRule="atLeast"/>
        </w:trPr>
        <w:tc>
          <w:tcPr>
            <w:tcW w:w="584" w:type="dxa"/>
            <w:vAlign w:val="top"/>
          </w:tcPr>
          <w:p>
            <w:pPr>
              <w:pStyle w:val="TableText"/>
              <w:ind w:left="164"/>
              <w:spacing w:before="180" w:line="183" w:lineRule="auto"/>
              <w:rPr>
                <w:sz w:val="16"/>
                <w:szCs w:val="16"/>
              </w:rPr>
            </w:pPr>
            <w:r>
              <w:rPr>
                <w:sz w:val="16"/>
                <w:szCs w:val="16"/>
                <w:spacing w:val="-2"/>
              </w:rPr>
              <w:t>404</w:t>
            </w:r>
          </w:p>
        </w:tc>
        <w:tc>
          <w:tcPr>
            <w:tcW w:w="1289" w:type="dxa"/>
            <w:vAlign w:val="top"/>
          </w:tcPr>
          <w:p>
            <w:pPr>
              <w:pStyle w:val="TableText"/>
              <w:ind w:left="231"/>
              <w:spacing w:before="139" w:line="219" w:lineRule="auto"/>
              <w:rPr>
                <w:sz w:val="16"/>
                <w:szCs w:val="16"/>
              </w:rPr>
            </w:pPr>
            <w:r>
              <w:rPr>
                <w:sz w:val="16"/>
                <w:szCs w:val="16"/>
                <w:spacing w:val="2"/>
              </w:rPr>
              <w:t>属浆药监同</w:t>
            </w:r>
          </w:p>
        </w:tc>
        <w:tc>
          <w:tcPr>
            <w:tcW w:w="1648" w:type="dxa"/>
            <w:vAlign w:val="top"/>
          </w:tcPr>
          <w:p>
            <w:pPr>
              <w:pStyle w:val="TableText"/>
              <w:ind w:left="52" w:right="96" w:firstLine="40"/>
              <w:spacing w:before="28" w:line="225" w:lineRule="auto"/>
              <w:rPr>
                <w:sz w:val="16"/>
                <w:szCs w:val="16"/>
              </w:rPr>
            </w:pPr>
            <w:r>
              <w:rPr>
                <w:sz w:val="16"/>
                <w:szCs w:val="16"/>
                <w:spacing w:val="1"/>
              </w:rPr>
              <w:t>医疗用毒性药品版离</w:t>
            </w:r>
            <w:r>
              <w:rPr>
                <w:sz w:val="16"/>
                <w:szCs w:val="16"/>
              </w:rPr>
              <w:t xml:space="preserve"> </w:t>
            </w:r>
            <w:r>
              <w:rPr>
                <w:sz w:val="16"/>
                <w:szCs w:val="16"/>
                <w:spacing w:val="-2"/>
              </w:rPr>
              <w:t>企业作可</w:t>
            </w:r>
          </w:p>
        </w:tc>
        <w:tc>
          <w:tcPr>
            <w:tcW w:w="2367" w:type="dxa"/>
            <w:vAlign w:val="top"/>
          </w:tcPr>
          <w:p>
            <w:pPr>
              <w:pStyle w:val="TableText"/>
              <w:ind w:left="54"/>
              <w:spacing w:before="139" w:line="219" w:lineRule="auto"/>
              <w:rPr>
                <w:sz w:val="16"/>
                <w:szCs w:val="16"/>
              </w:rPr>
            </w:pPr>
            <w:r>
              <w:rPr>
                <w:sz w:val="16"/>
                <w:szCs w:val="16"/>
                <w:spacing w:val="2"/>
              </w:rPr>
              <w:t>省级药密郝门</w:t>
            </w:r>
          </w:p>
        </w:tc>
        <w:tc>
          <w:tcPr>
            <w:tcW w:w="3711" w:type="dxa"/>
            <w:vAlign w:val="top"/>
          </w:tcPr>
          <w:p>
            <w:pPr>
              <w:pStyle w:val="TableText"/>
              <w:spacing w:before="139" w:line="219" w:lineRule="auto"/>
              <w:rPr>
                <w:sz w:val="16"/>
                <w:szCs w:val="16"/>
              </w:rPr>
            </w:pPr>
            <w:r>
              <w:rPr>
                <w:sz w:val="16"/>
                <w:szCs w:val="16"/>
                <w:spacing w:val="-4"/>
              </w:rPr>
              <w:t>《规育川毒性荒基管理办法》</w:t>
            </w:r>
          </w:p>
        </w:tc>
      </w:tr>
      <w:tr>
        <w:trPr>
          <w:trHeight w:val="440" w:hRule="atLeast"/>
        </w:trPr>
        <w:tc>
          <w:tcPr>
            <w:tcW w:w="584" w:type="dxa"/>
            <w:vAlign w:val="top"/>
          </w:tcPr>
          <w:p>
            <w:pPr>
              <w:pStyle w:val="TableText"/>
              <w:ind w:left="164"/>
              <w:spacing w:before="181" w:line="183" w:lineRule="auto"/>
              <w:rPr>
                <w:sz w:val="16"/>
                <w:szCs w:val="16"/>
              </w:rPr>
            </w:pPr>
            <w:r>
              <w:rPr>
                <w:sz w:val="16"/>
                <w:szCs w:val="16"/>
                <w:spacing w:val="-2"/>
              </w:rPr>
              <w:t>984</w:t>
            </w:r>
          </w:p>
        </w:tc>
        <w:tc>
          <w:tcPr>
            <w:tcW w:w="1289" w:type="dxa"/>
            <w:vAlign w:val="top"/>
          </w:tcPr>
          <w:p>
            <w:pPr>
              <w:pStyle w:val="TableText"/>
              <w:ind w:left="231"/>
              <w:spacing w:before="141" w:line="220" w:lineRule="auto"/>
              <w:rPr>
                <w:sz w:val="16"/>
                <w:szCs w:val="16"/>
              </w:rPr>
            </w:pPr>
            <w:r>
              <w:rPr>
                <w:sz w:val="16"/>
                <w:szCs w:val="16"/>
                <w:spacing w:val="3"/>
              </w:rPr>
              <w:t>国家药应间</w:t>
            </w:r>
          </w:p>
        </w:tc>
        <w:tc>
          <w:tcPr>
            <w:tcW w:w="1648" w:type="dxa"/>
            <w:vAlign w:val="top"/>
          </w:tcPr>
          <w:p>
            <w:pPr>
              <w:pStyle w:val="TableText"/>
              <w:ind w:left="42" w:right="113" w:firstLine="50"/>
              <w:spacing w:before="50" w:line="219" w:lineRule="auto"/>
              <w:rPr>
                <w:sz w:val="16"/>
                <w:szCs w:val="16"/>
              </w:rPr>
            </w:pPr>
            <w:r>
              <w:rPr>
                <w:sz w:val="16"/>
                <w:szCs w:val="16"/>
                <w:spacing w:val="-1"/>
              </w:rPr>
              <w:t>愿疗用毒性药品批发</w:t>
            </w:r>
            <w:r>
              <w:rPr>
                <w:sz w:val="16"/>
                <w:szCs w:val="16"/>
              </w:rPr>
              <w:t xml:space="preserve"> </w:t>
            </w:r>
            <w:r>
              <w:rPr>
                <w:sz w:val="16"/>
                <w:szCs w:val="16"/>
                <w:spacing w:val="3"/>
              </w:rPr>
              <w:t>企业许间</w:t>
            </w:r>
          </w:p>
        </w:tc>
        <w:tc>
          <w:tcPr>
            <w:tcW w:w="2367" w:type="dxa"/>
            <w:vAlign w:val="top"/>
          </w:tcPr>
          <w:p>
            <w:pPr>
              <w:pStyle w:val="TableText"/>
              <w:ind w:left="54"/>
              <w:spacing w:before="140" w:line="219" w:lineRule="auto"/>
              <w:rPr>
                <w:sz w:val="16"/>
                <w:szCs w:val="16"/>
              </w:rPr>
            </w:pPr>
            <w:r>
              <w:rPr>
                <w:sz w:val="16"/>
                <w:szCs w:val="16"/>
                <w:spacing w:val="2"/>
              </w:rPr>
              <w:t>省级药监都门</w:t>
            </w:r>
          </w:p>
        </w:tc>
        <w:tc>
          <w:tcPr>
            <w:tcW w:w="3711" w:type="dxa"/>
            <w:vAlign w:val="top"/>
          </w:tcPr>
          <w:p>
            <w:pPr>
              <w:pStyle w:val="TableText"/>
              <w:ind w:left="36"/>
              <w:spacing w:before="140" w:line="219" w:lineRule="auto"/>
              <w:rPr>
                <w:sz w:val="16"/>
                <w:szCs w:val="16"/>
              </w:rPr>
            </w:pPr>
            <w:r>
              <w:rPr>
                <w:sz w:val="16"/>
                <w:szCs w:val="16"/>
                <w:spacing w:val="-1"/>
              </w:rPr>
              <w:t>民疗招面牲药基管理办法》</w:t>
            </w:r>
          </w:p>
        </w:tc>
      </w:tr>
      <w:tr>
        <w:trPr>
          <w:trHeight w:val="429" w:hRule="atLeast"/>
        </w:trPr>
        <w:tc>
          <w:tcPr>
            <w:tcW w:w="584" w:type="dxa"/>
            <w:vAlign w:val="top"/>
          </w:tcPr>
          <w:p>
            <w:pPr>
              <w:pStyle w:val="TableText"/>
              <w:ind w:left="164"/>
              <w:spacing w:before="181" w:line="183" w:lineRule="auto"/>
              <w:rPr>
                <w:sz w:val="16"/>
                <w:szCs w:val="16"/>
              </w:rPr>
            </w:pPr>
            <w:r>
              <w:rPr>
                <w:sz w:val="16"/>
                <w:szCs w:val="16"/>
                <w:spacing w:val="-2"/>
              </w:rPr>
              <w:t>935</w:t>
            </w:r>
          </w:p>
        </w:tc>
        <w:tc>
          <w:tcPr>
            <w:tcW w:w="1289" w:type="dxa"/>
            <w:vAlign w:val="top"/>
          </w:tcPr>
          <w:p>
            <w:pPr>
              <w:pStyle w:val="TableText"/>
              <w:ind w:left="231"/>
              <w:spacing w:before="141" w:line="220" w:lineRule="auto"/>
              <w:rPr>
                <w:sz w:val="16"/>
                <w:szCs w:val="16"/>
              </w:rPr>
            </w:pPr>
            <w:r>
              <w:rPr>
                <w:sz w:val="16"/>
                <w:szCs w:val="16"/>
                <w:spacing w:val="2"/>
              </w:rPr>
              <w:t>国家药整局</w:t>
            </w:r>
          </w:p>
        </w:tc>
        <w:tc>
          <w:tcPr>
            <w:tcW w:w="1648" w:type="dxa"/>
            <w:vAlign w:val="top"/>
          </w:tcPr>
          <w:p>
            <w:pPr>
              <w:pStyle w:val="TableText"/>
              <w:ind w:left="62" w:right="97" w:firstLine="30"/>
              <w:spacing w:before="49" w:line="213" w:lineRule="auto"/>
              <w:rPr>
                <w:sz w:val="16"/>
                <w:szCs w:val="16"/>
              </w:rPr>
            </w:pPr>
            <w:r>
              <w:rPr>
                <w:sz w:val="16"/>
                <w:szCs w:val="16"/>
              </w:rPr>
              <w:t>园行用章性约品等售</w:t>
            </w:r>
            <w:r>
              <w:rPr>
                <w:sz w:val="16"/>
                <w:szCs w:val="16"/>
                <w:spacing w:val="7"/>
              </w:rPr>
              <w:t xml:space="preserve"> </w:t>
            </w:r>
            <w:r>
              <w:rPr>
                <w:sz w:val="16"/>
                <w:szCs w:val="16"/>
                <w:spacing w:val="-2"/>
              </w:rPr>
              <w:t>企业件可</w:t>
            </w:r>
          </w:p>
        </w:tc>
        <w:tc>
          <w:tcPr>
            <w:tcW w:w="2367" w:type="dxa"/>
            <w:vAlign w:val="top"/>
          </w:tcPr>
          <w:p>
            <w:pPr>
              <w:pStyle w:val="TableText"/>
              <w:ind w:left="54"/>
              <w:spacing w:before="140" w:line="219" w:lineRule="auto"/>
              <w:rPr>
                <w:sz w:val="16"/>
                <w:szCs w:val="16"/>
              </w:rPr>
            </w:pPr>
            <w:r>
              <w:rPr>
                <w:sz w:val="16"/>
                <w:szCs w:val="16"/>
                <w:spacing w:val="1"/>
              </w:rPr>
              <w:t>设区的市级药曲加[门</w:t>
            </w:r>
          </w:p>
        </w:tc>
        <w:tc>
          <w:tcPr>
            <w:tcW w:w="3711" w:type="dxa"/>
            <w:vAlign w:val="top"/>
          </w:tcPr>
          <w:p>
            <w:pPr>
              <w:pStyle w:val="TableText"/>
              <w:spacing w:before="140" w:line="219" w:lineRule="auto"/>
              <w:rPr>
                <w:sz w:val="16"/>
                <w:szCs w:val="16"/>
              </w:rPr>
            </w:pPr>
            <w:r>
              <w:rPr>
                <w:sz w:val="16"/>
                <w:szCs w:val="16"/>
                <w:spacing w:val="-4"/>
              </w:rPr>
              <w:t>《医疗用尊性所品普理办法》</w:t>
            </w:r>
          </w:p>
        </w:tc>
      </w:tr>
      <w:tr>
        <w:trPr>
          <w:trHeight w:val="439" w:hRule="atLeast"/>
        </w:trPr>
        <w:tc>
          <w:tcPr>
            <w:tcW w:w="584" w:type="dxa"/>
            <w:vAlign w:val="top"/>
          </w:tcPr>
          <w:p>
            <w:pPr>
              <w:pStyle w:val="TableText"/>
              <w:ind w:left="164"/>
              <w:spacing w:before="182" w:line="183" w:lineRule="auto"/>
              <w:rPr>
                <w:sz w:val="16"/>
                <w:szCs w:val="16"/>
              </w:rPr>
            </w:pPr>
            <w:r>
              <w:rPr>
                <w:sz w:val="16"/>
                <w:szCs w:val="16"/>
                <w:spacing w:val="-2"/>
              </w:rPr>
              <w:t>976</w:t>
            </w:r>
          </w:p>
        </w:tc>
        <w:tc>
          <w:tcPr>
            <w:tcW w:w="1289" w:type="dxa"/>
            <w:vAlign w:val="top"/>
          </w:tcPr>
          <w:p>
            <w:pPr>
              <w:pStyle w:val="TableText"/>
              <w:ind w:left="231"/>
              <w:spacing w:before="142" w:line="220" w:lineRule="auto"/>
              <w:rPr>
                <w:sz w:val="16"/>
                <w:szCs w:val="16"/>
              </w:rPr>
            </w:pPr>
            <w:r>
              <w:rPr>
                <w:sz w:val="16"/>
                <w:szCs w:val="16"/>
                <w:spacing w:val="2"/>
              </w:rPr>
              <w:t>国家药盐局</w:t>
            </w:r>
          </w:p>
        </w:tc>
        <w:tc>
          <w:tcPr>
            <w:tcW w:w="1648" w:type="dxa"/>
            <w:vAlign w:val="top"/>
          </w:tcPr>
          <w:p>
            <w:pPr>
              <w:pStyle w:val="TableText"/>
              <w:ind w:left="52" w:right="112" w:firstLine="40"/>
              <w:spacing w:before="40" w:line="224" w:lineRule="auto"/>
              <w:rPr>
                <w:sz w:val="16"/>
                <w:szCs w:val="16"/>
              </w:rPr>
            </w:pPr>
            <w:r>
              <w:rPr>
                <w:sz w:val="16"/>
                <w:szCs w:val="16"/>
                <w:spacing w:val="-1"/>
              </w:rPr>
              <w:t>科研和教学用毒性药</w:t>
            </w:r>
            <w:r>
              <w:rPr>
                <w:sz w:val="16"/>
                <w:szCs w:val="16"/>
                <w:spacing w:val="1"/>
              </w:rPr>
              <w:t xml:space="preserve"> </w:t>
            </w:r>
            <w:r>
              <w:rPr>
                <w:sz w:val="16"/>
                <w:szCs w:val="16"/>
                <w:spacing w:val="-2"/>
              </w:rPr>
              <w:t>尽购买审批</w:t>
            </w:r>
          </w:p>
        </w:tc>
        <w:tc>
          <w:tcPr>
            <w:tcW w:w="2367" w:type="dxa"/>
            <w:vAlign w:val="top"/>
          </w:tcPr>
          <w:p>
            <w:pPr>
              <w:pStyle w:val="TableText"/>
              <w:ind w:left="54" w:right="71"/>
              <w:spacing w:before="40" w:line="224" w:lineRule="auto"/>
              <w:rPr>
                <w:sz w:val="16"/>
                <w:szCs w:val="16"/>
              </w:rPr>
            </w:pPr>
            <w:r>
              <w:rPr>
                <w:sz w:val="16"/>
                <w:szCs w:val="16"/>
                <w:spacing w:val="-1"/>
              </w:rPr>
              <w:t>省级，设区的亦级，县世药监部</w:t>
            </w:r>
            <w:r>
              <w:rPr>
                <w:sz w:val="16"/>
                <w:szCs w:val="16"/>
                <w:spacing w:val="4"/>
              </w:rPr>
              <w:t xml:space="preserve"> </w:t>
            </w:r>
            <w:r>
              <w:rPr>
                <w:sz w:val="16"/>
                <w:szCs w:val="16"/>
              </w:rPr>
              <w:t>口</w:t>
            </w:r>
          </w:p>
        </w:tc>
        <w:tc>
          <w:tcPr>
            <w:tcW w:w="3711" w:type="dxa"/>
            <w:vAlign w:val="top"/>
          </w:tcPr>
          <w:p>
            <w:pPr>
              <w:pStyle w:val="TableText"/>
              <w:ind w:left="36"/>
              <w:spacing w:before="141" w:line="219" w:lineRule="auto"/>
              <w:rPr>
                <w:sz w:val="16"/>
                <w:szCs w:val="16"/>
              </w:rPr>
            </w:pPr>
            <w:r>
              <w:rPr>
                <w:sz w:val="16"/>
                <w:szCs w:val="16"/>
                <w:spacing w:val="-1"/>
              </w:rPr>
              <w:t>1医疗用南性伤品管理办法》</w:t>
            </w:r>
          </w:p>
        </w:tc>
      </w:tr>
      <w:tr>
        <w:trPr>
          <w:trHeight w:val="440" w:hRule="atLeast"/>
        </w:trPr>
        <w:tc>
          <w:tcPr>
            <w:tcW w:w="584" w:type="dxa"/>
            <w:vAlign w:val="top"/>
          </w:tcPr>
          <w:p>
            <w:pPr>
              <w:pStyle w:val="TableText"/>
              <w:ind w:left="164"/>
              <w:spacing w:before="182" w:line="184" w:lineRule="auto"/>
              <w:rPr>
                <w:sz w:val="16"/>
                <w:szCs w:val="16"/>
              </w:rPr>
            </w:pPr>
            <w:r>
              <w:rPr>
                <w:sz w:val="16"/>
                <w:szCs w:val="16"/>
                <w:spacing w:val="-5"/>
              </w:rPr>
              <w:t>137</w:t>
            </w:r>
          </w:p>
        </w:tc>
        <w:tc>
          <w:tcPr>
            <w:tcW w:w="1289" w:type="dxa"/>
            <w:vAlign w:val="top"/>
          </w:tcPr>
          <w:p>
            <w:pPr>
              <w:pStyle w:val="TableText"/>
              <w:ind w:left="231"/>
              <w:spacing w:before="143" w:line="220" w:lineRule="auto"/>
              <w:rPr>
                <w:sz w:val="16"/>
                <w:szCs w:val="16"/>
              </w:rPr>
            </w:pPr>
            <w:r>
              <w:rPr>
                <w:sz w:val="16"/>
                <w:szCs w:val="16"/>
                <w:spacing w:val="1"/>
              </w:rPr>
              <w:t>国家所蓝母</w:t>
            </w:r>
          </w:p>
        </w:tc>
        <w:tc>
          <w:tcPr>
            <w:tcW w:w="1648" w:type="dxa"/>
            <w:vAlign w:val="top"/>
          </w:tcPr>
          <w:p>
            <w:pPr>
              <w:pStyle w:val="TableText"/>
              <w:ind w:left="92" w:right="89"/>
              <w:spacing w:before="41" w:line="224" w:lineRule="auto"/>
              <w:rPr>
                <w:sz w:val="16"/>
                <w:szCs w:val="16"/>
              </w:rPr>
            </w:pPr>
            <w:r>
              <w:rPr>
                <w:sz w:val="16"/>
                <w:szCs w:val="16"/>
                <w:spacing w:val="1"/>
              </w:rPr>
              <w:t>第一类中的药品类易</w:t>
            </w:r>
            <w:r>
              <w:rPr>
                <w:sz w:val="16"/>
                <w:szCs w:val="16"/>
                <w:spacing w:val="6"/>
              </w:rPr>
              <w:t xml:space="preserve"> </w:t>
            </w:r>
            <w:r>
              <w:rPr>
                <w:sz w:val="16"/>
                <w:szCs w:val="16"/>
                <w:spacing w:val="1"/>
              </w:rPr>
              <w:t>制青化学总生产件间</w:t>
            </w:r>
          </w:p>
        </w:tc>
        <w:tc>
          <w:tcPr>
            <w:tcW w:w="2367" w:type="dxa"/>
            <w:vAlign w:val="top"/>
          </w:tcPr>
          <w:p>
            <w:pPr>
              <w:pStyle w:val="TableText"/>
              <w:ind w:left="54"/>
              <w:spacing w:before="142" w:line="219" w:lineRule="auto"/>
              <w:rPr>
                <w:sz w:val="16"/>
                <w:szCs w:val="16"/>
              </w:rPr>
            </w:pPr>
            <w:r>
              <w:rPr>
                <w:sz w:val="16"/>
                <w:szCs w:val="16"/>
                <w:spacing w:val="-2"/>
              </w:rPr>
              <w:t>省级药验部行</w:t>
            </w:r>
          </w:p>
        </w:tc>
        <w:tc>
          <w:tcPr>
            <w:tcW w:w="3711" w:type="dxa"/>
            <w:vAlign w:val="top"/>
          </w:tcPr>
          <w:p>
            <w:pPr>
              <w:pStyle w:val="TableText"/>
              <w:ind w:left="78"/>
              <w:spacing w:before="52" w:line="196" w:lineRule="auto"/>
              <w:rPr>
                <w:sz w:val="16"/>
                <w:szCs w:val="16"/>
              </w:rPr>
            </w:pPr>
            <w:r>
              <w:rPr>
                <w:sz w:val="16"/>
                <w:szCs w:val="16"/>
                <w:spacing w:val="-3"/>
              </w:rPr>
              <w:t>1中华人园共和国禁商法</w:t>
            </w:r>
          </w:p>
          <w:p>
            <w:pPr>
              <w:pStyle w:val="TableText"/>
              <w:spacing w:line="219" w:lineRule="auto"/>
              <w:rPr>
                <w:sz w:val="16"/>
                <w:szCs w:val="16"/>
              </w:rPr>
            </w:pPr>
            <w:r>
              <w:rPr>
                <w:sz w:val="16"/>
                <w:szCs w:val="16"/>
                <w:spacing w:val="-5"/>
              </w:rPr>
              <w:t>《是周毒化学品管理条例》</w:t>
            </w:r>
          </w:p>
        </w:tc>
      </w:tr>
      <w:tr>
        <w:trPr>
          <w:trHeight w:val="429" w:hRule="atLeast"/>
        </w:trPr>
        <w:tc>
          <w:tcPr>
            <w:tcW w:w="584" w:type="dxa"/>
            <w:vAlign w:val="top"/>
          </w:tcPr>
          <w:p>
            <w:pPr>
              <w:pStyle w:val="TableText"/>
              <w:ind w:left="164"/>
              <w:spacing w:before="183" w:line="183" w:lineRule="auto"/>
              <w:rPr>
                <w:sz w:val="16"/>
                <w:szCs w:val="16"/>
              </w:rPr>
            </w:pPr>
            <w:r>
              <w:rPr>
                <w:sz w:val="16"/>
                <w:szCs w:val="16"/>
                <w:spacing w:val="-2"/>
              </w:rPr>
              <w:t>926</w:t>
            </w:r>
          </w:p>
        </w:tc>
        <w:tc>
          <w:tcPr>
            <w:tcW w:w="1289" w:type="dxa"/>
            <w:vAlign w:val="top"/>
          </w:tcPr>
          <w:p>
            <w:pPr>
              <w:pStyle w:val="TableText"/>
              <w:ind w:left="231"/>
              <w:spacing w:before="143" w:line="220" w:lineRule="auto"/>
              <w:rPr>
                <w:sz w:val="16"/>
                <w:szCs w:val="16"/>
              </w:rPr>
            </w:pPr>
            <w:r>
              <w:rPr>
                <w:sz w:val="16"/>
                <w:szCs w:val="16"/>
                <w:spacing w:val="2"/>
              </w:rPr>
              <w:t>国家药监局</w:t>
            </w:r>
          </w:p>
        </w:tc>
        <w:tc>
          <w:tcPr>
            <w:tcW w:w="1648" w:type="dxa"/>
            <w:vAlign w:val="top"/>
          </w:tcPr>
          <w:p>
            <w:pPr>
              <w:pStyle w:val="TableText"/>
              <w:ind w:left="92" w:right="112"/>
              <w:spacing w:before="32" w:line="223" w:lineRule="auto"/>
              <w:rPr>
                <w:sz w:val="16"/>
                <w:szCs w:val="16"/>
              </w:rPr>
            </w:pPr>
            <w:r>
              <w:rPr>
                <w:sz w:val="16"/>
                <w:szCs w:val="16"/>
                <w:spacing w:val="-1"/>
              </w:rPr>
              <w:t>第一类中的药品类号</w:t>
            </w:r>
            <w:r>
              <w:rPr>
                <w:sz w:val="16"/>
                <w:szCs w:val="16"/>
                <w:spacing w:val="1"/>
              </w:rPr>
              <w:t xml:space="preserve"> </w:t>
            </w:r>
            <w:r>
              <w:rPr>
                <w:sz w:val="16"/>
                <w:szCs w:val="16"/>
                <w:spacing w:val="-1"/>
              </w:rPr>
              <w:t>制卷化学品经背许程</w:t>
            </w:r>
          </w:p>
        </w:tc>
        <w:tc>
          <w:tcPr>
            <w:tcW w:w="2367" w:type="dxa"/>
            <w:vAlign w:val="top"/>
          </w:tcPr>
          <w:p>
            <w:pPr>
              <w:pStyle w:val="TableText"/>
              <w:ind w:left="54"/>
              <w:spacing w:before="142" w:line="219" w:lineRule="auto"/>
              <w:rPr>
                <w:sz w:val="16"/>
                <w:szCs w:val="16"/>
              </w:rPr>
            </w:pPr>
            <w:r>
              <w:rPr>
                <w:sz w:val="16"/>
                <w:szCs w:val="16"/>
                <w:spacing w:val="-2"/>
              </w:rPr>
              <w:t>省级药监部行</w:t>
            </w:r>
          </w:p>
        </w:tc>
        <w:tc>
          <w:tcPr>
            <w:tcW w:w="3711" w:type="dxa"/>
            <w:vAlign w:val="top"/>
          </w:tcPr>
          <w:p>
            <w:pPr>
              <w:pStyle w:val="TableText"/>
              <w:ind w:left="36"/>
              <w:spacing w:before="42" w:line="218" w:lineRule="exact"/>
              <w:rPr>
                <w:sz w:val="16"/>
                <w:szCs w:val="16"/>
              </w:rPr>
            </w:pPr>
            <w:r>
              <w:rPr>
                <w:sz w:val="16"/>
                <w:szCs w:val="16"/>
                <w:spacing w:val="-2"/>
                <w:position w:val="4"/>
              </w:rPr>
              <w:t>t中作人民共和国禁商法》</w:t>
            </w:r>
          </w:p>
          <w:p>
            <w:pPr>
              <w:pStyle w:val="TableText"/>
              <w:ind w:left="36"/>
              <w:spacing w:line="182" w:lineRule="auto"/>
              <w:rPr>
                <w:sz w:val="16"/>
                <w:szCs w:val="16"/>
              </w:rPr>
            </w:pPr>
            <w:r>
              <w:rPr>
                <w:sz w:val="16"/>
                <w:szCs w:val="16"/>
                <w:spacing w:val="2"/>
              </w:rPr>
              <w:t>有易都卖化学品登理杀例)</w:t>
            </w:r>
          </w:p>
        </w:tc>
      </w:tr>
      <w:tr>
        <w:trPr>
          <w:trHeight w:val="429" w:hRule="atLeast"/>
        </w:trPr>
        <w:tc>
          <w:tcPr>
            <w:tcW w:w="584" w:type="dxa"/>
            <w:vAlign w:val="top"/>
          </w:tcPr>
          <w:p>
            <w:pPr>
              <w:pStyle w:val="TableText"/>
              <w:ind w:left="164"/>
              <w:spacing w:before="159" w:line="239" w:lineRule="auto"/>
              <w:rPr>
                <w:sz w:val="16"/>
                <w:szCs w:val="16"/>
              </w:rPr>
            </w:pPr>
            <w:r>
              <w:rPr>
                <w:sz w:val="16"/>
                <w:szCs w:val="16"/>
                <w:spacing w:val="-1"/>
              </w:rPr>
              <w:t>H3!</w:t>
            </w:r>
          </w:p>
        </w:tc>
        <w:tc>
          <w:tcPr>
            <w:tcW w:w="1289" w:type="dxa"/>
            <w:vAlign w:val="top"/>
          </w:tcPr>
          <w:p>
            <w:pPr>
              <w:pStyle w:val="TableText"/>
              <w:ind w:left="231"/>
              <w:spacing w:before="143" w:line="219" w:lineRule="auto"/>
              <w:rPr>
                <w:sz w:val="16"/>
                <w:szCs w:val="16"/>
              </w:rPr>
            </w:pPr>
            <w:r>
              <w:rPr>
                <w:sz w:val="16"/>
                <w:szCs w:val="16"/>
                <w:spacing w:val="1"/>
              </w:rPr>
              <w:t>国室获紫高</w:t>
            </w:r>
          </w:p>
        </w:tc>
        <w:tc>
          <w:tcPr>
            <w:tcW w:w="1648" w:type="dxa"/>
            <w:vAlign w:val="top"/>
          </w:tcPr>
          <w:p>
            <w:pPr>
              <w:pStyle w:val="TableText"/>
              <w:ind w:left="92" w:right="89"/>
              <w:spacing w:before="53" w:line="211" w:lineRule="auto"/>
              <w:rPr>
                <w:sz w:val="16"/>
                <w:szCs w:val="16"/>
              </w:rPr>
            </w:pPr>
            <w:r>
              <w:rPr>
                <w:sz w:val="16"/>
                <w:szCs w:val="16"/>
                <w:spacing w:val="1"/>
              </w:rPr>
              <w:t>可一责中的药品类易</w:t>
            </w:r>
            <w:r>
              <w:rPr>
                <w:sz w:val="16"/>
                <w:szCs w:val="16"/>
                <w:spacing w:val="6"/>
              </w:rPr>
              <w:t xml:space="preserve"> </w:t>
            </w:r>
            <w:r>
              <w:rPr>
                <w:sz w:val="16"/>
                <w:szCs w:val="16"/>
                <w:spacing w:val="-1"/>
              </w:rPr>
              <w:t>制每化学品如买许可</w:t>
            </w:r>
          </w:p>
        </w:tc>
        <w:tc>
          <w:tcPr>
            <w:tcW w:w="2367" w:type="dxa"/>
            <w:vAlign w:val="top"/>
          </w:tcPr>
          <w:p>
            <w:pPr>
              <w:pStyle w:val="TableText"/>
              <w:ind w:left="54"/>
              <w:spacing w:before="143" w:line="219" w:lineRule="auto"/>
              <w:rPr>
                <w:sz w:val="16"/>
                <w:szCs w:val="16"/>
              </w:rPr>
            </w:pPr>
            <w:r>
              <w:rPr>
                <w:sz w:val="16"/>
                <w:szCs w:val="16"/>
                <w:spacing w:val="3"/>
              </w:rPr>
              <w:t>智级药监都门</w:t>
            </w:r>
          </w:p>
        </w:tc>
        <w:tc>
          <w:tcPr>
            <w:tcW w:w="3711" w:type="dxa"/>
            <w:vAlign w:val="top"/>
          </w:tcPr>
          <w:p>
            <w:pPr>
              <w:pStyle w:val="TableText"/>
              <w:ind w:left="36"/>
              <w:spacing w:before="53" w:line="219" w:lineRule="auto"/>
              <w:rPr>
                <w:sz w:val="16"/>
                <w:szCs w:val="16"/>
              </w:rPr>
            </w:pPr>
            <w:r>
              <w:rPr>
                <w:sz w:val="16"/>
                <w:szCs w:val="16"/>
                <w:spacing w:val="1"/>
              </w:rPr>
              <w:t>1中华人民其和健禁毒法1</w:t>
            </w:r>
          </w:p>
          <w:p>
            <w:pPr>
              <w:pStyle w:val="TableText"/>
              <w:ind w:left="36"/>
              <w:spacing w:line="202" w:lineRule="auto"/>
              <w:rPr>
                <w:sz w:val="16"/>
                <w:szCs w:val="16"/>
              </w:rPr>
            </w:pPr>
            <w:r>
              <w:rPr>
                <w:sz w:val="16"/>
                <w:szCs w:val="16"/>
                <w:spacing w:val="2"/>
              </w:rPr>
              <w:t>1易测责化学品情理条倒)</w:t>
            </w:r>
          </w:p>
        </w:tc>
      </w:tr>
      <w:tr>
        <w:trPr>
          <w:trHeight w:val="440" w:hRule="atLeast"/>
        </w:trPr>
        <w:tc>
          <w:tcPr>
            <w:tcW w:w="584" w:type="dxa"/>
            <w:vAlign w:val="top"/>
          </w:tcPr>
          <w:p>
            <w:pPr>
              <w:pStyle w:val="TableText"/>
              <w:ind w:left="164"/>
              <w:spacing w:before="185" w:line="183" w:lineRule="auto"/>
              <w:rPr>
                <w:sz w:val="16"/>
                <w:szCs w:val="16"/>
              </w:rPr>
            </w:pPr>
            <w:r>
              <w:rPr>
                <w:sz w:val="16"/>
                <w:szCs w:val="16"/>
                <w:spacing w:val="-2"/>
              </w:rPr>
              <w:t>940</w:t>
            </w:r>
          </w:p>
        </w:tc>
        <w:tc>
          <w:tcPr>
            <w:tcW w:w="1289" w:type="dxa"/>
            <w:vAlign w:val="top"/>
          </w:tcPr>
          <w:p>
            <w:pPr>
              <w:pStyle w:val="TableText"/>
              <w:ind w:left="231"/>
              <w:spacing w:before="145" w:line="220" w:lineRule="auto"/>
              <w:rPr>
                <w:sz w:val="16"/>
                <w:szCs w:val="16"/>
              </w:rPr>
            </w:pPr>
            <w:r>
              <w:rPr>
                <w:sz w:val="16"/>
                <w:szCs w:val="16"/>
                <w:spacing w:val="2"/>
              </w:rPr>
              <w:t>国家药监局</w:t>
            </w:r>
          </w:p>
        </w:tc>
        <w:tc>
          <w:tcPr>
            <w:tcW w:w="1648" w:type="dxa"/>
            <w:vAlign w:val="top"/>
          </w:tcPr>
          <w:p>
            <w:pPr>
              <w:pStyle w:val="TableText"/>
              <w:ind w:left="42" w:right="113" w:firstLine="50"/>
              <w:spacing w:before="45" w:line="222" w:lineRule="auto"/>
              <w:rPr>
                <w:sz w:val="16"/>
                <w:szCs w:val="16"/>
              </w:rPr>
            </w:pPr>
            <w:r>
              <w:rPr>
                <w:sz w:val="16"/>
                <w:szCs w:val="16"/>
                <w:spacing w:val="-1"/>
              </w:rPr>
              <w:t>盐时性病高生产正业</w:t>
            </w:r>
            <w:r>
              <w:rPr>
                <w:sz w:val="16"/>
                <w:szCs w:val="16"/>
              </w:rPr>
              <w:t xml:space="preserve"> </w:t>
            </w:r>
            <w:r>
              <w:rPr>
                <w:sz w:val="16"/>
                <w:szCs w:val="16"/>
                <w:spacing w:val="3"/>
              </w:rPr>
              <w:t>审批</w:t>
            </w:r>
          </w:p>
        </w:tc>
        <w:tc>
          <w:tcPr>
            <w:tcW w:w="2367" w:type="dxa"/>
            <w:vAlign w:val="top"/>
          </w:tcPr>
          <w:p>
            <w:pPr>
              <w:pStyle w:val="TableText"/>
              <w:ind w:left="54" w:right="286"/>
              <w:spacing w:before="64" w:line="211" w:lineRule="auto"/>
              <w:rPr>
                <w:sz w:val="16"/>
                <w:szCs w:val="16"/>
              </w:rPr>
            </w:pPr>
            <w:r>
              <w:rPr>
                <w:sz w:val="16"/>
                <w:szCs w:val="16"/>
                <w:spacing w:val="1"/>
              </w:rPr>
              <w:t>省级药财部门会同国防料我1</w:t>
            </w:r>
            <w:r>
              <w:rPr>
                <w:sz w:val="16"/>
                <w:szCs w:val="16"/>
                <w:spacing w:val="2"/>
              </w:rPr>
              <w:t xml:space="preserve"> </w:t>
            </w:r>
            <w:r>
              <w:rPr>
                <w:sz w:val="16"/>
                <w:szCs w:val="16"/>
                <w:spacing w:val="6"/>
              </w:rPr>
              <w:t>业部门</w:t>
            </w:r>
          </w:p>
        </w:tc>
        <w:tc>
          <w:tcPr>
            <w:tcW w:w="3711" w:type="dxa"/>
            <w:vAlign w:val="top"/>
          </w:tcPr>
          <w:p>
            <w:pPr>
              <w:pStyle w:val="TableText"/>
              <w:ind w:left="36"/>
              <w:spacing w:before="144" w:line="219" w:lineRule="auto"/>
              <w:rPr>
                <w:sz w:val="16"/>
                <w:szCs w:val="16"/>
              </w:rPr>
            </w:pPr>
            <w:r>
              <w:rPr>
                <w:sz w:val="16"/>
                <w:szCs w:val="16"/>
              </w:rPr>
              <w:t>1张邪性构品整穗办陆</w:t>
            </w:r>
          </w:p>
        </w:tc>
      </w:tr>
      <w:tr>
        <w:trPr>
          <w:trHeight w:val="439" w:hRule="atLeast"/>
        </w:trPr>
        <w:tc>
          <w:tcPr>
            <w:tcW w:w="584" w:type="dxa"/>
            <w:vAlign w:val="top"/>
          </w:tcPr>
          <w:p>
            <w:pPr>
              <w:pStyle w:val="TableText"/>
              <w:ind w:left="204"/>
              <w:spacing w:before="184" w:line="184" w:lineRule="auto"/>
              <w:rPr>
                <w:sz w:val="16"/>
                <w:szCs w:val="16"/>
              </w:rPr>
            </w:pPr>
            <w:r>
              <w:rPr>
                <w:sz w:val="16"/>
                <w:szCs w:val="16"/>
                <w:spacing w:val="-2"/>
              </w:rPr>
              <w:t>91</w:t>
            </w:r>
          </w:p>
        </w:tc>
        <w:tc>
          <w:tcPr>
            <w:tcW w:w="1289" w:type="dxa"/>
            <w:vAlign w:val="top"/>
          </w:tcPr>
          <w:p>
            <w:pPr>
              <w:pStyle w:val="TableText"/>
              <w:ind w:left="231"/>
              <w:spacing w:before="144" w:line="219" w:lineRule="auto"/>
              <w:rPr>
                <w:sz w:val="16"/>
                <w:szCs w:val="16"/>
              </w:rPr>
            </w:pPr>
            <w:r>
              <w:rPr>
                <w:sz w:val="16"/>
                <w:szCs w:val="16"/>
                <w:spacing w:val="1"/>
              </w:rPr>
              <w:t>国家奶监高</w:t>
            </w:r>
          </w:p>
        </w:tc>
        <w:tc>
          <w:tcPr>
            <w:tcW w:w="1648" w:type="dxa"/>
            <w:vAlign w:val="top"/>
          </w:tcPr>
          <w:p>
            <w:pPr>
              <w:pStyle w:val="TableText"/>
              <w:ind w:left="62" w:right="113" w:firstLine="30"/>
              <w:spacing w:before="54" w:line="216" w:lineRule="auto"/>
              <w:rPr>
                <w:sz w:val="16"/>
                <w:szCs w:val="16"/>
              </w:rPr>
            </w:pPr>
            <w:r>
              <w:rPr>
                <w:sz w:val="16"/>
                <w:szCs w:val="16"/>
                <w:spacing w:val="-1"/>
              </w:rPr>
              <w:t>数射性局品经有企业</w:t>
            </w:r>
            <w:r>
              <w:rPr>
                <w:sz w:val="16"/>
                <w:szCs w:val="16"/>
              </w:rPr>
              <w:t xml:space="preserve"> </w:t>
            </w:r>
            <w:r>
              <w:rPr>
                <w:sz w:val="16"/>
                <w:szCs w:val="16"/>
                <w:spacing w:val="-3"/>
              </w:rPr>
              <w:t>南批</w:t>
            </w:r>
          </w:p>
        </w:tc>
        <w:tc>
          <w:tcPr>
            <w:tcW w:w="2367" w:type="dxa"/>
            <w:vAlign w:val="top"/>
          </w:tcPr>
          <w:p>
            <w:pPr>
              <w:pStyle w:val="TableText"/>
              <w:ind w:left="54" w:right="229"/>
              <w:spacing w:before="54" w:line="216" w:lineRule="auto"/>
              <w:rPr>
                <w:sz w:val="16"/>
                <w:szCs w:val="16"/>
              </w:rPr>
            </w:pPr>
            <w:r>
              <w:rPr>
                <w:sz w:val="16"/>
                <w:szCs w:val="16"/>
                <w:spacing w:val="-1"/>
              </w:rPr>
              <w:t>有饭育监都门会网国败料拉工</w:t>
            </w:r>
            <w:r>
              <w:rPr>
                <w:sz w:val="16"/>
                <w:szCs w:val="16"/>
                <w:spacing w:val="5"/>
              </w:rPr>
              <w:t xml:space="preserve"> </w:t>
            </w:r>
            <w:r>
              <w:rPr>
                <w:sz w:val="16"/>
                <w:szCs w:val="16"/>
                <w:spacing w:val="8"/>
              </w:rPr>
              <w:t>业部()</w:t>
            </w:r>
          </w:p>
        </w:tc>
        <w:tc>
          <w:tcPr>
            <w:tcW w:w="3711" w:type="dxa"/>
            <w:vAlign w:val="top"/>
          </w:tcPr>
          <w:p>
            <w:pPr>
              <w:pStyle w:val="TableText"/>
              <w:ind w:left="36"/>
              <w:spacing w:before="144" w:line="219" w:lineRule="auto"/>
              <w:rPr>
                <w:sz w:val="16"/>
                <w:szCs w:val="16"/>
              </w:rPr>
            </w:pPr>
            <w:r>
              <w:rPr>
                <w:sz w:val="16"/>
                <w:szCs w:val="16"/>
              </w:rPr>
              <w:t>(放款性药易营理办法7</w:t>
            </w:r>
          </w:p>
        </w:tc>
      </w:tr>
      <w:tr>
        <w:trPr>
          <w:trHeight w:val="444" w:hRule="atLeast"/>
        </w:trPr>
        <w:tc>
          <w:tcPr>
            <w:tcW w:w="584" w:type="dxa"/>
            <w:vAlign w:val="top"/>
          </w:tcPr>
          <w:p>
            <w:pPr>
              <w:pStyle w:val="TableText"/>
              <w:ind w:left="164"/>
              <w:spacing w:before="186" w:line="183" w:lineRule="auto"/>
              <w:rPr>
                <w:sz w:val="16"/>
                <w:szCs w:val="16"/>
              </w:rPr>
            </w:pPr>
            <w:r>
              <w:rPr>
                <w:sz w:val="16"/>
                <w:szCs w:val="16"/>
                <w:spacing w:val="-2"/>
              </w:rPr>
              <w:t>942</w:t>
            </w:r>
          </w:p>
        </w:tc>
        <w:tc>
          <w:tcPr>
            <w:tcW w:w="1289" w:type="dxa"/>
            <w:vAlign w:val="top"/>
          </w:tcPr>
          <w:p>
            <w:pPr>
              <w:pStyle w:val="TableText"/>
              <w:ind w:left="231"/>
              <w:spacing w:before="146" w:line="220" w:lineRule="auto"/>
              <w:rPr>
                <w:sz w:val="16"/>
                <w:szCs w:val="16"/>
              </w:rPr>
            </w:pPr>
            <w:r>
              <w:rPr>
                <w:sz w:val="16"/>
                <w:szCs w:val="16"/>
                <w:spacing w:val="2"/>
              </w:rPr>
              <w:t>国家序监局</w:t>
            </w:r>
          </w:p>
        </w:tc>
        <w:tc>
          <w:tcPr>
            <w:tcW w:w="1648" w:type="dxa"/>
            <w:vAlign w:val="top"/>
          </w:tcPr>
          <w:p>
            <w:pPr>
              <w:pStyle w:val="TableText"/>
              <w:ind w:left="52" w:right="119" w:firstLine="40"/>
              <w:spacing w:before="45" w:line="224" w:lineRule="auto"/>
              <w:rPr>
                <w:sz w:val="16"/>
                <w:szCs w:val="16"/>
              </w:rPr>
            </w:pPr>
            <w:r>
              <w:rPr>
                <w:sz w:val="16"/>
                <w:szCs w:val="16"/>
                <w:spacing w:val="-2"/>
              </w:rPr>
              <w:t>医疗单位使研放射性</w:t>
            </w:r>
            <w:r>
              <w:rPr>
                <w:sz w:val="16"/>
                <w:szCs w:val="16"/>
                <w:spacing w:val="3"/>
              </w:rPr>
              <w:t xml:space="preserve"> </w:t>
            </w:r>
            <w:r>
              <w:rPr>
                <w:sz w:val="16"/>
                <w:szCs w:val="16"/>
                <w:spacing w:val="-2"/>
              </w:rPr>
              <w:t>新品许</w:t>
            </w:r>
          </w:p>
        </w:tc>
        <w:tc>
          <w:tcPr>
            <w:tcW w:w="2367" w:type="dxa"/>
            <w:vAlign w:val="top"/>
          </w:tcPr>
          <w:p>
            <w:pPr>
              <w:pStyle w:val="TableText"/>
              <w:ind w:left="54"/>
              <w:spacing w:before="145" w:line="219" w:lineRule="auto"/>
              <w:rPr>
                <w:sz w:val="16"/>
                <w:szCs w:val="16"/>
              </w:rPr>
            </w:pPr>
            <w:r>
              <w:rPr>
                <w:sz w:val="16"/>
                <w:szCs w:val="16"/>
                <w:spacing w:val="2"/>
              </w:rPr>
              <w:t>省级药监加门</w:t>
            </w:r>
          </w:p>
        </w:tc>
        <w:tc>
          <w:tcPr>
            <w:tcW w:w="3711" w:type="dxa"/>
            <w:vAlign w:val="top"/>
          </w:tcPr>
          <w:p>
            <w:pPr>
              <w:pStyle w:val="TableText"/>
              <w:ind w:left="36"/>
              <w:spacing w:before="145" w:line="219" w:lineRule="auto"/>
              <w:rPr>
                <w:sz w:val="16"/>
                <w:szCs w:val="16"/>
              </w:rPr>
            </w:pPr>
            <w:r>
              <w:rPr>
                <w:sz w:val="16"/>
                <w:szCs w:val="16"/>
                <w:spacing w:val="-1"/>
              </w:rPr>
              <w:t>数勃性朽品育理办法</w:t>
            </w:r>
          </w:p>
        </w:tc>
      </w:tr>
    </w:tbl>
    <w:p>
      <w:pPr>
        <w:pStyle w:val="BodyText"/>
        <w:rPr/>
      </w:pPr>
      <w:r/>
    </w:p>
    <w:p>
      <w:pPr>
        <w:sectPr>
          <w:pgSz w:w="11910" w:h="8220"/>
          <w:pgMar w:top="400" w:right="1165" w:bottom="400" w:left="811" w:header="0" w:footer="0" w:gutter="0"/>
        </w:sectPr>
        <w:rPr/>
      </w:pPr>
    </w:p>
    <w:p>
      <w:pPr>
        <w:spacing w:before="103"/>
        <w:rPr/>
      </w:pPr>
      <w:r>
        <mc:AlternateContent xmlns:mc="http://schemas.openxmlformats.org/markup-compatibility/2006">
          <mc:Choice Requires="wps">
            <w:drawing>
              <wp:anchor distT="0" distB="0" distL="0" distR="0" simplePos="0" relativeHeight="25192038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356" name="TextBox 356"/>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8" style="position:absolute;margin-left:37.0402pt;margin-top:344.638pt;mso-position-vertical-relative:page;mso-position-horizontal-relative:page;width:13.6pt;height:12.35pt;z-index:2519203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259</w:t>
                      </w:r>
                    </w:p>
                  </w:txbxContent>
                </v:textbox>
              </v:shape>
            </w:pict>
          </mc:Fallback>
        </mc:AlternateContent>
      </w:r>
      <w:r/>
    </w:p>
    <w:tbl>
      <w:tblPr>
        <w:tblStyle w:val="TableNormal"/>
        <w:tblW w:w="958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1279"/>
        <w:gridCol w:w="1638"/>
        <w:gridCol w:w="2377"/>
        <w:gridCol w:w="3701"/>
      </w:tblGrid>
      <w:tr>
        <w:trPr>
          <w:trHeight w:val="425" w:hRule="atLeast"/>
        </w:trPr>
        <w:tc>
          <w:tcPr>
            <w:tcW w:w="594" w:type="dxa"/>
            <w:vAlign w:val="top"/>
          </w:tcPr>
          <w:p>
            <w:pPr>
              <w:pStyle w:val="TableText"/>
              <w:ind w:left="124"/>
              <w:spacing w:before="132" w:line="221" w:lineRule="auto"/>
              <w:rPr>
                <w:sz w:val="16"/>
                <w:szCs w:val="16"/>
              </w:rPr>
            </w:pPr>
            <w:r>
              <w:rPr>
                <w:sz w:val="16"/>
                <w:szCs w:val="16"/>
                <w:spacing w:val="-2"/>
              </w:rPr>
              <w:t>序号</w:t>
            </w:r>
          </w:p>
        </w:tc>
        <w:tc>
          <w:tcPr>
            <w:tcW w:w="1279" w:type="dxa"/>
            <w:vAlign w:val="top"/>
          </w:tcPr>
          <w:p>
            <w:pPr>
              <w:pStyle w:val="TableText"/>
              <w:ind w:left="150"/>
              <w:spacing w:before="131" w:line="219" w:lineRule="auto"/>
              <w:rPr>
                <w:sz w:val="16"/>
                <w:szCs w:val="16"/>
              </w:rPr>
            </w:pPr>
            <w:r>
              <w:rPr>
                <w:sz w:val="16"/>
                <w:szCs w:val="16"/>
                <w:spacing w:val="3"/>
              </w:rPr>
              <w:t>中来主管部门</w:t>
            </w:r>
          </w:p>
        </w:tc>
        <w:tc>
          <w:tcPr>
            <w:tcW w:w="1638" w:type="dxa"/>
            <w:vAlign w:val="top"/>
          </w:tcPr>
          <w:p>
            <w:pPr>
              <w:pStyle w:val="TableText"/>
              <w:ind w:left="461"/>
              <w:spacing w:before="130" w:line="219" w:lineRule="auto"/>
              <w:rPr>
                <w:sz w:val="16"/>
                <w:szCs w:val="16"/>
              </w:rPr>
            </w:pPr>
            <w:r>
              <w:rPr>
                <w:sz w:val="16"/>
                <w:szCs w:val="16"/>
                <w:spacing w:val="-2"/>
              </w:rPr>
              <w:t>事项名幕</w:t>
            </w:r>
          </w:p>
        </w:tc>
        <w:tc>
          <w:tcPr>
            <w:tcW w:w="2377" w:type="dxa"/>
            <w:vAlign w:val="top"/>
          </w:tcPr>
          <w:p>
            <w:pPr>
              <w:pStyle w:val="TableText"/>
              <w:ind w:left="854"/>
              <w:spacing w:before="130" w:line="219" w:lineRule="auto"/>
              <w:rPr>
                <w:sz w:val="16"/>
                <w:szCs w:val="16"/>
              </w:rPr>
            </w:pPr>
            <w:r>
              <w:rPr>
                <w:sz w:val="16"/>
                <w:szCs w:val="16"/>
                <w:spacing w:val="-2"/>
              </w:rPr>
              <w:t>实趋机关</w:t>
            </w:r>
          </w:p>
        </w:tc>
        <w:tc>
          <w:tcPr>
            <w:tcW w:w="3701" w:type="dxa"/>
            <w:vAlign w:val="top"/>
          </w:tcPr>
          <w:p>
            <w:pPr>
              <w:pStyle w:val="TableText"/>
              <w:ind w:left="1279"/>
              <w:spacing w:before="128" w:line="219" w:lineRule="auto"/>
              <w:rPr>
                <w:sz w:val="16"/>
                <w:szCs w:val="16"/>
              </w:rPr>
            </w:pPr>
            <w:r>
              <w:rPr>
                <w:sz w:val="16"/>
                <w:szCs w:val="16"/>
                <w:b/>
                <w:bCs/>
                <w:spacing w:val="-3"/>
              </w:rPr>
              <w:t>业定和实监依据</w:t>
            </w:r>
          </w:p>
        </w:tc>
      </w:tr>
      <w:tr>
        <w:trPr>
          <w:trHeight w:val="649" w:hRule="atLeast"/>
        </w:trPr>
        <w:tc>
          <w:tcPr>
            <w:tcW w:w="594" w:type="dxa"/>
            <w:vAlign w:val="top"/>
          </w:tcPr>
          <w:p>
            <w:pPr>
              <w:pStyle w:val="TableText"/>
              <w:ind w:left="164"/>
              <w:spacing w:before="287" w:line="183" w:lineRule="auto"/>
              <w:rPr>
                <w:sz w:val="16"/>
                <w:szCs w:val="16"/>
              </w:rPr>
            </w:pPr>
            <w:r>
              <w:rPr>
                <w:sz w:val="16"/>
                <w:szCs w:val="16"/>
                <w:spacing w:val="-2"/>
              </w:rPr>
              <w:t>942</w:t>
            </w:r>
          </w:p>
        </w:tc>
        <w:tc>
          <w:tcPr>
            <w:tcW w:w="1279" w:type="dxa"/>
            <w:vAlign w:val="top"/>
          </w:tcPr>
          <w:p>
            <w:pPr>
              <w:pStyle w:val="TableText"/>
              <w:ind w:left="231"/>
              <w:spacing w:before="247" w:line="220" w:lineRule="auto"/>
              <w:rPr>
                <w:sz w:val="16"/>
                <w:szCs w:val="16"/>
              </w:rPr>
            </w:pPr>
            <w:r>
              <w:rPr>
                <w:sz w:val="16"/>
                <w:szCs w:val="16"/>
                <w:spacing w:val="2"/>
              </w:rPr>
              <w:t>国家药出局</w:t>
            </w:r>
          </w:p>
        </w:tc>
        <w:tc>
          <w:tcPr>
            <w:tcW w:w="1638" w:type="dxa"/>
            <w:vAlign w:val="top"/>
          </w:tcPr>
          <w:p>
            <w:pPr>
              <w:pStyle w:val="TableText"/>
              <w:ind w:left="42" w:right="109" w:firstLine="10"/>
              <w:spacing w:before="35" w:line="232" w:lineRule="auto"/>
              <w:jc w:val="both"/>
              <w:rPr>
                <w:sz w:val="16"/>
                <w:szCs w:val="16"/>
              </w:rPr>
            </w:pPr>
            <w:r>
              <w:rPr>
                <w:sz w:val="16"/>
                <w:szCs w:val="16"/>
                <w:spacing w:val="-1"/>
              </w:rPr>
              <w:t>药品批发企业经营蛋</w:t>
            </w:r>
            <w:r>
              <w:rPr>
                <w:sz w:val="16"/>
                <w:szCs w:val="16"/>
              </w:rPr>
              <w:t xml:space="preserve"> </w:t>
            </w:r>
            <w:r>
              <w:rPr>
                <w:sz w:val="16"/>
                <w:szCs w:val="16"/>
                <w:spacing w:val="4"/>
              </w:rPr>
              <w:t>白同化侧料，脑笑酸</w:t>
            </w:r>
            <w:r>
              <w:rPr>
                <w:sz w:val="16"/>
                <w:szCs w:val="16"/>
              </w:rPr>
              <w:t xml:space="preserve"> </w:t>
            </w:r>
            <w:r>
              <w:rPr>
                <w:sz w:val="16"/>
                <w:szCs w:val="16"/>
                <w:spacing w:val="-2"/>
              </w:rPr>
              <w:t>素审老</w:t>
            </w:r>
          </w:p>
        </w:tc>
        <w:tc>
          <w:tcPr>
            <w:tcW w:w="2377" w:type="dxa"/>
            <w:vAlign w:val="top"/>
          </w:tcPr>
          <w:p>
            <w:pPr>
              <w:pStyle w:val="TableText"/>
              <w:ind w:left="64"/>
              <w:spacing w:before="246" w:line="219" w:lineRule="auto"/>
              <w:rPr>
                <w:sz w:val="16"/>
                <w:szCs w:val="16"/>
              </w:rPr>
            </w:pPr>
            <w:r>
              <w:rPr>
                <w:sz w:val="16"/>
                <w:szCs w:val="16"/>
                <w:spacing w:val="2"/>
              </w:rPr>
              <w:t>省级药紫基门</w:t>
            </w:r>
          </w:p>
        </w:tc>
        <w:tc>
          <w:tcPr>
            <w:tcW w:w="3701" w:type="dxa"/>
            <w:vAlign w:val="top"/>
          </w:tcPr>
          <w:p>
            <w:pPr>
              <w:pStyle w:val="TableText"/>
              <w:ind w:left="36"/>
              <w:spacing w:before="245" w:line="219" w:lineRule="auto"/>
              <w:rPr>
                <w:sz w:val="16"/>
                <w:szCs w:val="16"/>
              </w:rPr>
            </w:pPr>
            <w:r>
              <w:rPr>
                <w:sz w:val="16"/>
                <w:szCs w:val="16"/>
                <w:spacing w:val="1"/>
              </w:rPr>
              <w:t>(反兴奋州条例?</w:t>
            </w:r>
          </w:p>
        </w:tc>
      </w:tr>
      <w:tr>
        <w:trPr>
          <w:trHeight w:val="459" w:hRule="atLeast"/>
        </w:trPr>
        <w:tc>
          <w:tcPr>
            <w:tcW w:w="594" w:type="dxa"/>
            <w:vAlign w:val="top"/>
          </w:tcPr>
          <w:p>
            <w:pPr>
              <w:pStyle w:val="TableText"/>
              <w:ind w:left="204"/>
              <w:spacing w:before="188" w:line="183" w:lineRule="auto"/>
              <w:rPr>
                <w:sz w:val="16"/>
                <w:szCs w:val="16"/>
              </w:rPr>
            </w:pPr>
            <w:r>
              <w:rPr>
                <w:sz w:val="16"/>
                <w:szCs w:val="16"/>
                <w:spacing w:val="-2"/>
              </w:rPr>
              <w:t>44</w:t>
            </w:r>
          </w:p>
        </w:tc>
        <w:tc>
          <w:tcPr>
            <w:tcW w:w="1279" w:type="dxa"/>
            <w:vAlign w:val="top"/>
          </w:tcPr>
          <w:p>
            <w:pPr>
              <w:pStyle w:val="TableText"/>
              <w:ind w:left="231"/>
              <w:spacing w:before="148" w:line="220" w:lineRule="auto"/>
              <w:rPr>
                <w:sz w:val="16"/>
                <w:szCs w:val="16"/>
              </w:rPr>
            </w:pPr>
            <w:r>
              <w:rPr>
                <w:sz w:val="16"/>
                <w:szCs w:val="16"/>
                <w:spacing w:val="2"/>
              </w:rPr>
              <w:t>国家药监局</w:t>
            </w:r>
          </w:p>
        </w:tc>
        <w:tc>
          <w:tcPr>
            <w:tcW w:w="1638" w:type="dxa"/>
            <w:vAlign w:val="top"/>
          </w:tcPr>
          <w:p>
            <w:pPr>
              <w:pStyle w:val="TableText"/>
              <w:ind w:left="42" w:right="147" w:firstLine="10"/>
              <w:spacing w:before="47" w:line="225" w:lineRule="auto"/>
              <w:rPr>
                <w:sz w:val="16"/>
                <w:szCs w:val="16"/>
              </w:rPr>
            </w:pPr>
            <w:r>
              <w:rPr>
                <w:sz w:val="16"/>
                <w:szCs w:val="16"/>
                <w:spacing w:val="-2"/>
              </w:rPr>
              <w:t>蛋白同化制烈，独类</w:t>
            </w:r>
            <w:r>
              <w:rPr>
                <w:sz w:val="16"/>
                <w:szCs w:val="16"/>
                <w:spacing w:val="5"/>
              </w:rPr>
              <w:t xml:space="preserve"> </w:t>
            </w:r>
            <w:r>
              <w:rPr>
                <w:sz w:val="16"/>
                <w:szCs w:val="16"/>
                <w:spacing w:val="-1"/>
              </w:rPr>
              <w:t>度素进出口审班</w:t>
            </w:r>
          </w:p>
        </w:tc>
        <w:tc>
          <w:tcPr>
            <w:tcW w:w="2377" w:type="dxa"/>
            <w:vAlign w:val="top"/>
          </w:tcPr>
          <w:p>
            <w:pPr>
              <w:pStyle w:val="TableText"/>
              <w:ind w:left="64"/>
              <w:spacing w:before="147" w:line="219" w:lineRule="auto"/>
              <w:rPr>
                <w:sz w:val="16"/>
                <w:szCs w:val="16"/>
              </w:rPr>
            </w:pPr>
            <w:r>
              <w:rPr>
                <w:sz w:val="16"/>
                <w:szCs w:val="16"/>
                <w:spacing w:val="2"/>
              </w:rPr>
              <w:t>省盘再益部门</w:t>
            </w:r>
          </w:p>
        </w:tc>
        <w:tc>
          <w:tcPr>
            <w:tcW w:w="3701" w:type="dxa"/>
            <w:vAlign w:val="top"/>
          </w:tcPr>
          <w:p>
            <w:pPr>
              <w:pStyle w:val="TableText"/>
              <w:ind w:left="36"/>
              <w:spacing w:before="147" w:line="219" w:lineRule="auto"/>
              <w:rPr>
                <w:sz w:val="16"/>
                <w:szCs w:val="16"/>
              </w:rPr>
            </w:pPr>
            <w:r>
              <w:rPr>
                <w:sz w:val="16"/>
                <w:szCs w:val="16"/>
                <w:spacing w:val="-1"/>
              </w:rPr>
              <w:t>反贸音有条的2</w:t>
            </w:r>
          </w:p>
        </w:tc>
      </w:tr>
      <w:tr>
        <w:trPr>
          <w:trHeight w:val="659" w:hRule="atLeast"/>
        </w:trPr>
        <w:tc>
          <w:tcPr>
            <w:tcW w:w="594" w:type="dxa"/>
            <w:vAlign w:val="top"/>
          </w:tcPr>
          <w:p>
            <w:pPr>
              <w:pStyle w:val="TableText"/>
              <w:ind w:left="164"/>
              <w:spacing w:before="289" w:line="183" w:lineRule="auto"/>
              <w:rPr>
                <w:sz w:val="16"/>
                <w:szCs w:val="16"/>
              </w:rPr>
            </w:pPr>
            <w:r>
              <w:rPr>
                <w:sz w:val="16"/>
                <w:szCs w:val="16"/>
                <w:spacing w:val="-2"/>
              </w:rPr>
              <w:t>945</w:t>
            </w:r>
          </w:p>
        </w:tc>
        <w:tc>
          <w:tcPr>
            <w:tcW w:w="1279" w:type="dxa"/>
            <w:vAlign w:val="top"/>
          </w:tcPr>
          <w:p>
            <w:pPr>
              <w:pStyle w:val="TableText"/>
              <w:ind w:left="231"/>
              <w:spacing w:before="249" w:line="220" w:lineRule="auto"/>
              <w:rPr>
                <w:sz w:val="16"/>
                <w:szCs w:val="16"/>
              </w:rPr>
            </w:pPr>
            <w:r>
              <w:rPr>
                <w:sz w:val="16"/>
                <w:szCs w:val="16"/>
                <w:spacing w:val="2"/>
              </w:rPr>
              <w:t>国家药监局</w:t>
            </w:r>
          </w:p>
        </w:tc>
        <w:tc>
          <w:tcPr>
            <w:tcW w:w="1638" w:type="dxa"/>
            <w:vAlign w:val="top"/>
          </w:tcPr>
          <w:p>
            <w:pPr>
              <w:pStyle w:val="TableText"/>
              <w:ind w:left="42"/>
              <w:spacing w:before="248" w:line="219" w:lineRule="auto"/>
              <w:rPr>
                <w:sz w:val="16"/>
                <w:szCs w:val="16"/>
              </w:rPr>
            </w:pPr>
            <w:r>
              <w:rPr>
                <w:sz w:val="16"/>
                <w:szCs w:val="16"/>
                <w:spacing w:val="-1"/>
              </w:rPr>
              <w:t>执业药师注赔</w:t>
            </w:r>
          </w:p>
        </w:tc>
        <w:tc>
          <w:tcPr>
            <w:tcW w:w="2377" w:type="dxa"/>
            <w:vAlign w:val="top"/>
          </w:tcPr>
          <w:p>
            <w:pPr>
              <w:pStyle w:val="TableText"/>
              <w:ind w:left="64"/>
              <w:spacing w:before="248" w:line="219" w:lineRule="auto"/>
              <w:rPr>
                <w:sz w:val="16"/>
                <w:szCs w:val="16"/>
              </w:rPr>
            </w:pPr>
            <w:r>
              <w:rPr>
                <w:sz w:val="16"/>
                <w:szCs w:val="16"/>
                <w:spacing w:val="2"/>
              </w:rPr>
              <w:t>者级药宣部门</w:t>
            </w:r>
          </w:p>
        </w:tc>
        <w:tc>
          <w:tcPr>
            <w:tcW w:w="3701" w:type="dxa"/>
            <w:vAlign w:val="top"/>
          </w:tcPr>
          <w:p>
            <w:pPr>
              <w:pStyle w:val="TableText"/>
              <w:ind w:left="36" w:right="132" w:firstLine="10"/>
              <w:spacing w:before="58" w:line="219" w:lineRule="auto"/>
              <w:rPr>
                <w:sz w:val="16"/>
                <w:szCs w:val="16"/>
              </w:rPr>
            </w:pPr>
            <w:r>
              <w:rPr>
                <w:sz w:val="16"/>
                <w:szCs w:val="16"/>
                <w:spacing w:val="-1"/>
              </w:rPr>
              <w:t>不国务院对属常保留的行收审我项目设定行吸许可</w:t>
            </w:r>
            <w:r>
              <w:rPr>
                <w:sz w:val="16"/>
                <w:szCs w:val="16"/>
                <w:spacing w:val="12"/>
              </w:rPr>
              <w:t xml:space="preserve"> </w:t>
            </w:r>
            <w:r>
              <w:rPr>
                <w:sz w:val="16"/>
                <w:szCs w:val="16"/>
              </w:rPr>
              <w:t>的决定》</w:t>
            </w:r>
          </w:p>
          <w:p>
            <w:pPr>
              <w:pStyle w:val="TableText"/>
              <w:ind w:left="36"/>
              <w:spacing w:before="39" w:line="197" w:lineRule="auto"/>
              <w:rPr>
                <w:sz w:val="16"/>
                <w:szCs w:val="16"/>
              </w:rPr>
            </w:pPr>
            <w:r>
              <w:rPr>
                <w:sz w:val="16"/>
                <w:szCs w:val="16"/>
                <w:spacing w:val="1"/>
              </w:rPr>
              <w:t>(国家职业资格目录42021年版月</w:t>
            </w:r>
          </w:p>
        </w:tc>
      </w:tr>
      <w:tr>
        <w:trPr>
          <w:trHeight w:val="649" w:hRule="atLeast"/>
        </w:trPr>
        <w:tc>
          <w:tcPr>
            <w:tcW w:w="594" w:type="dxa"/>
            <w:vAlign w:val="top"/>
          </w:tcPr>
          <w:p>
            <w:pPr>
              <w:pStyle w:val="TableText"/>
              <w:ind w:left="164"/>
              <w:spacing w:before="290" w:line="183" w:lineRule="auto"/>
              <w:rPr>
                <w:sz w:val="16"/>
                <w:szCs w:val="16"/>
              </w:rPr>
            </w:pPr>
            <w:r>
              <w:rPr>
                <w:sz w:val="16"/>
                <w:szCs w:val="16"/>
                <w:spacing w:val="-2"/>
              </w:rPr>
              <w:t>246</w:t>
            </w:r>
          </w:p>
        </w:tc>
        <w:tc>
          <w:tcPr>
            <w:tcW w:w="1279" w:type="dxa"/>
            <w:vAlign w:val="top"/>
          </w:tcPr>
          <w:p>
            <w:pPr>
              <w:pStyle w:val="TableText"/>
              <w:ind w:left="231"/>
              <w:spacing w:before="250" w:line="220" w:lineRule="auto"/>
              <w:rPr>
                <w:sz w:val="16"/>
                <w:szCs w:val="16"/>
              </w:rPr>
            </w:pPr>
            <w:r>
              <w:rPr>
                <w:sz w:val="16"/>
                <w:szCs w:val="16"/>
                <w:spacing w:val="2"/>
              </w:rPr>
              <w:t>国家病盐局</w:t>
            </w:r>
          </w:p>
        </w:tc>
        <w:tc>
          <w:tcPr>
            <w:tcW w:w="1638" w:type="dxa"/>
            <w:vAlign w:val="top"/>
          </w:tcPr>
          <w:p>
            <w:pPr>
              <w:pStyle w:val="TableText"/>
              <w:ind w:left="42" w:right="122" w:firstLine="30"/>
              <w:spacing w:before="40" w:line="227" w:lineRule="auto"/>
              <w:jc w:val="both"/>
              <w:rPr>
                <w:sz w:val="16"/>
                <w:szCs w:val="16"/>
              </w:rPr>
            </w:pPr>
            <w:r>
              <w:rPr>
                <w:sz w:val="16"/>
                <w:szCs w:val="16"/>
                <w:spacing w:val="-1"/>
              </w:rPr>
              <w:t>风险型度收高的第三</w:t>
            </w:r>
            <w:r>
              <w:rPr>
                <w:sz w:val="16"/>
                <w:szCs w:val="16"/>
                <w:spacing w:val="1"/>
              </w:rPr>
              <w:t xml:space="preserve"> </w:t>
            </w:r>
            <w:r>
              <w:rPr>
                <w:sz w:val="16"/>
                <w:szCs w:val="16"/>
                <w:spacing w:val="-1"/>
              </w:rPr>
              <w:t>类虑疗客械临床试验</w:t>
            </w:r>
            <w:r>
              <w:rPr>
                <w:sz w:val="16"/>
                <w:szCs w:val="16"/>
                <w:spacing w:val="1"/>
              </w:rPr>
              <w:t xml:space="preserve"> </w:t>
            </w:r>
            <w:r>
              <w:rPr>
                <w:sz w:val="16"/>
                <w:szCs w:val="16"/>
                <w:spacing w:val="4"/>
              </w:rPr>
              <w:t>审北</w:t>
            </w:r>
          </w:p>
        </w:tc>
        <w:tc>
          <w:tcPr>
            <w:tcW w:w="2377" w:type="dxa"/>
            <w:vAlign w:val="top"/>
          </w:tcPr>
          <w:p>
            <w:pPr>
              <w:pStyle w:val="TableText"/>
              <w:ind w:left="64"/>
              <w:spacing w:before="250" w:line="220" w:lineRule="auto"/>
              <w:rPr>
                <w:sz w:val="16"/>
                <w:szCs w:val="16"/>
              </w:rPr>
            </w:pPr>
            <w:r>
              <w:rPr>
                <w:sz w:val="16"/>
                <w:szCs w:val="16"/>
                <w:spacing w:val="2"/>
              </w:rPr>
              <w:t>国家药监局</w:t>
            </w:r>
          </w:p>
        </w:tc>
        <w:tc>
          <w:tcPr>
            <w:tcW w:w="3701" w:type="dxa"/>
            <w:vAlign w:val="top"/>
          </w:tcPr>
          <w:p>
            <w:pPr>
              <w:pStyle w:val="TableText"/>
              <w:spacing w:before="249" w:line="219" w:lineRule="auto"/>
              <w:rPr>
                <w:sz w:val="16"/>
                <w:szCs w:val="16"/>
              </w:rPr>
            </w:pPr>
            <w:r>
              <w:rPr>
                <w:sz w:val="16"/>
                <w:szCs w:val="16"/>
                <w:spacing w:val="-4"/>
              </w:rPr>
              <w:t>《医疗器被监督管理条例</w:t>
            </w:r>
          </w:p>
        </w:tc>
      </w:tr>
      <w:tr>
        <w:trPr>
          <w:trHeight w:val="260" w:hRule="atLeast"/>
        </w:trPr>
        <w:tc>
          <w:tcPr>
            <w:tcW w:w="594" w:type="dxa"/>
            <w:vAlign w:val="top"/>
          </w:tcPr>
          <w:p>
            <w:pPr>
              <w:pStyle w:val="TableText"/>
              <w:ind w:left="164"/>
              <w:spacing w:before="92" w:line="182" w:lineRule="auto"/>
              <w:rPr>
                <w:sz w:val="16"/>
                <w:szCs w:val="16"/>
              </w:rPr>
            </w:pPr>
            <w:r>
              <w:rPr>
                <w:sz w:val="16"/>
                <w:szCs w:val="16"/>
                <w:spacing w:val="-2"/>
              </w:rPr>
              <w:t>947</w:t>
            </w:r>
          </w:p>
        </w:tc>
        <w:tc>
          <w:tcPr>
            <w:tcW w:w="1279" w:type="dxa"/>
            <w:vAlign w:val="top"/>
          </w:tcPr>
          <w:p>
            <w:pPr>
              <w:pStyle w:val="TableText"/>
              <w:ind w:left="231"/>
              <w:spacing w:before="51" w:line="220" w:lineRule="auto"/>
              <w:rPr>
                <w:sz w:val="16"/>
                <w:szCs w:val="16"/>
              </w:rPr>
            </w:pPr>
            <w:r>
              <w:rPr>
                <w:sz w:val="16"/>
                <w:szCs w:val="16"/>
                <w:spacing w:val="2"/>
              </w:rPr>
              <w:t>国家药商局</w:t>
            </w:r>
          </w:p>
        </w:tc>
        <w:tc>
          <w:tcPr>
            <w:tcW w:w="1638" w:type="dxa"/>
            <w:vAlign w:val="top"/>
          </w:tcPr>
          <w:p>
            <w:pPr>
              <w:pStyle w:val="TableText"/>
              <w:ind w:left="42"/>
              <w:spacing w:before="50" w:line="219" w:lineRule="auto"/>
              <w:rPr>
                <w:sz w:val="16"/>
                <w:szCs w:val="16"/>
              </w:rPr>
            </w:pPr>
            <w:r>
              <w:rPr>
                <w:sz w:val="16"/>
                <w:szCs w:val="16"/>
                <w:spacing w:val="-1"/>
              </w:rPr>
              <w:t>莲疗器械注骨市批</w:t>
            </w:r>
          </w:p>
        </w:tc>
        <w:tc>
          <w:tcPr>
            <w:tcW w:w="2377" w:type="dxa"/>
            <w:vAlign w:val="top"/>
          </w:tcPr>
          <w:p>
            <w:pPr>
              <w:pStyle w:val="TableText"/>
              <w:ind w:left="64"/>
              <w:spacing w:before="49" w:line="219" w:lineRule="auto"/>
              <w:rPr>
                <w:sz w:val="16"/>
                <w:szCs w:val="16"/>
              </w:rPr>
            </w:pPr>
            <w:r>
              <w:rPr>
                <w:sz w:val="16"/>
                <w:szCs w:val="16"/>
                <w:spacing w:val="1"/>
              </w:rPr>
              <w:t>国家药应局；省统府监部门</w:t>
            </w:r>
          </w:p>
        </w:tc>
        <w:tc>
          <w:tcPr>
            <w:tcW w:w="3701" w:type="dxa"/>
            <w:vAlign w:val="top"/>
          </w:tcPr>
          <w:p>
            <w:pPr>
              <w:pStyle w:val="TableText"/>
              <w:ind w:left="36"/>
              <w:spacing w:before="50" w:line="219" w:lineRule="auto"/>
              <w:rPr>
                <w:sz w:val="16"/>
                <w:szCs w:val="16"/>
              </w:rPr>
            </w:pPr>
            <w:r>
              <w:rPr>
                <w:sz w:val="16"/>
                <w:szCs w:val="16"/>
                <w:spacing w:val="-1"/>
              </w:rPr>
              <w:t>(区草河棱监赞行即条例》</w:t>
            </w:r>
          </w:p>
        </w:tc>
      </w:tr>
      <w:tr>
        <w:trPr>
          <w:trHeight w:val="449" w:hRule="atLeast"/>
        </w:trPr>
        <w:tc>
          <w:tcPr>
            <w:tcW w:w="594" w:type="dxa"/>
            <w:vAlign w:val="top"/>
          </w:tcPr>
          <w:p>
            <w:pPr>
              <w:pStyle w:val="TableText"/>
              <w:ind w:left="164"/>
              <w:spacing w:before="191" w:line="183" w:lineRule="auto"/>
              <w:rPr>
                <w:sz w:val="16"/>
                <w:szCs w:val="16"/>
              </w:rPr>
            </w:pPr>
            <w:r>
              <w:rPr>
                <w:sz w:val="16"/>
                <w:szCs w:val="16"/>
                <w:spacing w:val="-2"/>
              </w:rPr>
              <w:t>949</w:t>
            </w:r>
          </w:p>
        </w:tc>
        <w:tc>
          <w:tcPr>
            <w:tcW w:w="1279" w:type="dxa"/>
            <w:vAlign w:val="top"/>
          </w:tcPr>
          <w:p>
            <w:pPr>
              <w:pStyle w:val="TableText"/>
              <w:ind w:left="231"/>
              <w:spacing w:before="151" w:line="220" w:lineRule="auto"/>
              <w:rPr>
                <w:sz w:val="16"/>
                <w:szCs w:val="16"/>
              </w:rPr>
            </w:pPr>
            <w:r>
              <w:rPr>
                <w:sz w:val="16"/>
                <w:szCs w:val="16"/>
                <w:spacing w:val="2"/>
              </w:rPr>
              <w:t>国家艿监局</w:t>
            </w:r>
          </w:p>
        </w:tc>
        <w:tc>
          <w:tcPr>
            <w:tcW w:w="1638" w:type="dxa"/>
            <w:vAlign w:val="top"/>
          </w:tcPr>
          <w:p>
            <w:pPr>
              <w:pStyle w:val="TableText"/>
              <w:ind w:left="42" w:right="152"/>
              <w:spacing w:before="40" w:line="219" w:lineRule="auto"/>
              <w:rPr>
                <w:sz w:val="16"/>
                <w:szCs w:val="16"/>
              </w:rPr>
            </w:pPr>
            <w:r>
              <w:rPr>
                <w:sz w:val="16"/>
                <w:szCs w:val="16"/>
                <w:spacing w:val="-1"/>
              </w:rPr>
              <w:t>第二，三类现疗范极</w:t>
            </w:r>
            <w:r>
              <w:rPr>
                <w:sz w:val="16"/>
                <w:szCs w:val="16"/>
                <w:spacing w:val="1"/>
              </w:rPr>
              <w:t xml:space="preserve"> </w:t>
            </w:r>
            <w:r>
              <w:rPr>
                <w:sz w:val="16"/>
                <w:szCs w:val="16"/>
                <w:spacing w:val="-2"/>
              </w:rPr>
              <w:t>生产许可</w:t>
            </w:r>
          </w:p>
        </w:tc>
        <w:tc>
          <w:tcPr>
            <w:tcW w:w="2377" w:type="dxa"/>
            <w:vAlign w:val="top"/>
          </w:tcPr>
          <w:p>
            <w:pPr>
              <w:pStyle w:val="TableText"/>
              <w:ind w:left="64"/>
              <w:spacing w:before="150" w:line="219" w:lineRule="auto"/>
              <w:rPr>
                <w:sz w:val="16"/>
                <w:szCs w:val="16"/>
              </w:rPr>
            </w:pPr>
            <w:r>
              <w:rPr>
                <w:sz w:val="16"/>
                <w:szCs w:val="16"/>
                <w:spacing w:val="3"/>
              </w:rPr>
              <w:t>皆级药监部门</w:t>
            </w:r>
          </w:p>
        </w:tc>
        <w:tc>
          <w:tcPr>
            <w:tcW w:w="3701" w:type="dxa"/>
            <w:vAlign w:val="top"/>
          </w:tcPr>
          <w:p>
            <w:pPr>
              <w:pStyle w:val="TableText"/>
              <w:ind w:left="36"/>
              <w:spacing w:before="150" w:line="219" w:lineRule="auto"/>
              <w:rPr>
                <w:sz w:val="16"/>
                <w:szCs w:val="16"/>
              </w:rPr>
            </w:pPr>
            <w:r>
              <w:rPr>
                <w:sz w:val="16"/>
                <w:szCs w:val="16"/>
                <w:spacing w:val="-1"/>
              </w:rPr>
              <w:t>(国疗器核监管管理条创》</w:t>
            </w:r>
          </w:p>
        </w:tc>
      </w:tr>
      <w:tr>
        <w:trPr>
          <w:trHeight w:val="459" w:hRule="atLeast"/>
        </w:trPr>
        <w:tc>
          <w:tcPr>
            <w:tcW w:w="594" w:type="dxa"/>
            <w:vAlign w:val="top"/>
          </w:tcPr>
          <w:p>
            <w:pPr>
              <w:pStyle w:val="TableText"/>
              <w:ind w:left="164"/>
              <w:spacing w:before="192" w:line="183" w:lineRule="auto"/>
              <w:rPr>
                <w:sz w:val="16"/>
                <w:szCs w:val="16"/>
              </w:rPr>
            </w:pPr>
            <w:r>
              <w:rPr>
                <w:sz w:val="16"/>
                <w:szCs w:val="16"/>
                <w:spacing w:val="-2"/>
              </w:rPr>
              <w:t>949</w:t>
            </w:r>
          </w:p>
        </w:tc>
        <w:tc>
          <w:tcPr>
            <w:tcW w:w="1279" w:type="dxa"/>
            <w:vAlign w:val="top"/>
          </w:tcPr>
          <w:p>
            <w:pPr>
              <w:pStyle w:val="TableText"/>
              <w:ind w:left="231"/>
              <w:spacing w:before="152" w:line="220" w:lineRule="auto"/>
              <w:rPr>
                <w:sz w:val="16"/>
                <w:szCs w:val="16"/>
              </w:rPr>
            </w:pPr>
            <w:r>
              <w:rPr>
                <w:sz w:val="16"/>
                <w:szCs w:val="16"/>
                <w:spacing w:val="2"/>
              </w:rPr>
              <w:t>国家药蓝局</w:t>
            </w:r>
          </w:p>
        </w:tc>
        <w:tc>
          <w:tcPr>
            <w:tcW w:w="1638" w:type="dxa"/>
            <w:vAlign w:val="top"/>
          </w:tcPr>
          <w:p>
            <w:pPr>
              <w:pStyle w:val="TableText"/>
              <w:ind w:left="42" w:right="82" w:firstLine="69"/>
              <w:spacing w:before="51" w:line="226" w:lineRule="auto"/>
              <w:rPr>
                <w:sz w:val="16"/>
                <w:szCs w:val="16"/>
              </w:rPr>
            </w:pPr>
            <w:r>
              <w:rPr>
                <w:sz w:val="16"/>
                <w:szCs w:val="16"/>
                <w:spacing w:val="-1"/>
              </w:rPr>
              <w:t>第三类畏疗器械经责</w:t>
            </w:r>
            <w:r>
              <w:rPr>
                <w:sz w:val="16"/>
                <w:szCs w:val="16"/>
                <w:spacing w:val="1"/>
              </w:rPr>
              <w:t xml:space="preserve"> </w:t>
            </w:r>
            <w:r>
              <w:rPr>
                <w:sz w:val="16"/>
                <w:szCs w:val="16"/>
                <w:spacing w:val="-2"/>
              </w:rPr>
              <w:t>许可</w:t>
            </w:r>
          </w:p>
        </w:tc>
        <w:tc>
          <w:tcPr>
            <w:tcW w:w="2377" w:type="dxa"/>
            <w:vAlign w:val="top"/>
          </w:tcPr>
          <w:p>
            <w:pPr>
              <w:pStyle w:val="TableText"/>
              <w:ind w:left="64"/>
              <w:spacing w:before="151" w:line="219" w:lineRule="auto"/>
              <w:rPr>
                <w:sz w:val="16"/>
                <w:szCs w:val="16"/>
              </w:rPr>
            </w:pPr>
            <w:r>
              <w:rPr>
                <w:sz w:val="16"/>
                <w:szCs w:val="16"/>
                <w:spacing w:val="1"/>
              </w:rPr>
              <w:t>设区的市级药篮部门</w:t>
            </w:r>
          </w:p>
        </w:tc>
        <w:tc>
          <w:tcPr>
            <w:tcW w:w="3701" w:type="dxa"/>
            <w:vAlign w:val="top"/>
          </w:tcPr>
          <w:p>
            <w:pPr>
              <w:pStyle w:val="TableText"/>
              <w:ind w:left="36"/>
              <w:spacing w:before="150" w:line="219" w:lineRule="auto"/>
              <w:rPr>
                <w:sz w:val="16"/>
                <w:szCs w:val="16"/>
              </w:rPr>
            </w:pPr>
            <w:r>
              <w:rPr>
                <w:sz w:val="16"/>
                <w:szCs w:val="16"/>
                <w:spacing w:val="-2"/>
              </w:rPr>
              <w:t>有医有器被应督管理豪的》</w:t>
            </w:r>
          </w:p>
        </w:tc>
      </w:tr>
      <w:tr>
        <w:trPr>
          <w:trHeight w:val="649" w:hRule="atLeast"/>
        </w:trPr>
        <w:tc>
          <w:tcPr>
            <w:tcW w:w="594" w:type="dxa"/>
            <w:vAlign w:val="top"/>
          </w:tcPr>
          <w:p>
            <w:pPr>
              <w:rPr>
                <w:rFonts w:ascii="Arial"/>
                <w:sz w:val="21"/>
              </w:rPr>
            </w:pPr>
            <w:r/>
          </w:p>
          <w:p>
            <w:pPr>
              <w:pStyle w:val="TableText"/>
              <w:ind w:left="164"/>
              <w:spacing w:before="52" w:line="183" w:lineRule="auto"/>
              <w:rPr>
                <w:sz w:val="16"/>
                <w:szCs w:val="16"/>
              </w:rPr>
            </w:pPr>
            <w:r>
              <w:rPr>
                <w:sz w:val="16"/>
                <w:szCs w:val="16"/>
                <w:spacing w:val="-2"/>
              </w:rPr>
              <w:t>050</w:t>
            </w:r>
          </w:p>
        </w:tc>
        <w:tc>
          <w:tcPr>
            <w:tcW w:w="1279" w:type="dxa"/>
            <w:vAlign w:val="top"/>
          </w:tcPr>
          <w:p>
            <w:pPr>
              <w:pStyle w:val="TableText"/>
              <w:ind w:left="231"/>
              <w:spacing w:before="252" w:line="219" w:lineRule="auto"/>
              <w:rPr>
                <w:sz w:val="16"/>
                <w:szCs w:val="16"/>
              </w:rPr>
            </w:pPr>
            <w:r>
              <w:rPr>
                <w:sz w:val="16"/>
                <w:szCs w:val="16"/>
                <w:spacing w:val="1"/>
              </w:rPr>
              <w:t>国家药筋题</w:t>
            </w:r>
          </w:p>
        </w:tc>
        <w:tc>
          <w:tcPr>
            <w:tcW w:w="1638" w:type="dxa"/>
            <w:vAlign w:val="top"/>
          </w:tcPr>
          <w:p>
            <w:pPr>
              <w:pStyle w:val="TableText"/>
              <w:ind w:left="42" w:right="152"/>
              <w:spacing w:before="41" w:line="227" w:lineRule="auto"/>
              <w:jc w:val="both"/>
              <w:rPr>
                <w:sz w:val="16"/>
                <w:szCs w:val="16"/>
              </w:rPr>
            </w:pPr>
            <w:r>
              <w:rPr>
                <w:sz w:val="16"/>
                <w:szCs w:val="16"/>
                <w:spacing w:val="-1"/>
              </w:rPr>
              <w:t>延疗机构因荡床金需</w:t>
            </w:r>
            <w:r>
              <w:rPr>
                <w:sz w:val="16"/>
                <w:szCs w:val="16"/>
                <w:spacing w:val="1"/>
              </w:rPr>
              <w:t xml:space="preserve"> </w:t>
            </w:r>
            <w:r>
              <w:rPr>
                <w:sz w:val="16"/>
                <w:szCs w:val="16"/>
                <w:spacing w:val="-1"/>
              </w:rPr>
              <w:t>进口少研郊二.三卖</w:t>
            </w:r>
            <w:r>
              <w:rPr>
                <w:sz w:val="16"/>
                <w:szCs w:val="16"/>
                <w:spacing w:val="1"/>
              </w:rPr>
              <w:t xml:space="preserve">  </w:t>
            </w:r>
            <w:r>
              <w:rPr>
                <w:sz w:val="16"/>
                <w:szCs w:val="16"/>
                <w:spacing w:val="1"/>
              </w:rPr>
              <w:t>四介答性市世</w:t>
            </w:r>
          </w:p>
        </w:tc>
        <w:tc>
          <w:tcPr>
            <w:tcW w:w="2377" w:type="dxa"/>
            <w:vAlign w:val="top"/>
          </w:tcPr>
          <w:p>
            <w:pPr>
              <w:pStyle w:val="TableText"/>
              <w:ind w:left="64" w:right="67" w:hanging="10"/>
              <w:spacing w:before="142" w:line="230" w:lineRule="auto"/>
              <w:rPr>
                <w:sz w:val="16"/>
                <w:szCs w:val="16"/>
              </w:rPr>
            </w:pPr>
            <w:r>
              <w:rPr>
                <w:sz w:val="16"/>
                <w:szCs w:val="16"/>
              </w:rPr>
              <w:t>国家药原品；国条院段程的省理</w:t>
            </w:r>
            <w:r>
              <w:rPr>
                <w:sz w:val="16"/>
                <w:szCs w:val="16"/>
                <w:spacing w:val="4"/>
              </w:rPr>
              <w:t xml:space="preserve"> </w:t>
            </w:r>
            <w:r>
              <w:rPr>
                <w:sz w:val="16"/>
                <w:szCs w:val="16"/>
                <w:spacing w:val="2"/>
              </w:rPr>
              <w:t>政府(由其指定部门永办)</w:t>
            </w:r>
          </w:p>
        </w:tc>
        <w:tc>
          <w:tcPr>
            <w:tcW w:w="3701" w:type="dxa"/>
            <w:vAlign w:val="top"/>
          </w:tcPr>
          <w:p>
            <w:pPr>
              <w:pStyle w:val="TableText"/>
              <w:spacing w:before="251" w:line="218" w:lineRule="auto"/>
              <w:rPr>
                <w:sz w:val="16"/>
                <w:szCs w:val="16"/>
              </w:rPr>
            </w:pPr>
            <w:r>
              <w:rPr>
                <w:sz w:val="16"/>
                <w:szCs w:val="16"/>
                <w:spacing w:val="-5"/>
              </w:rPr>
              <w:t>《医价器被世管管理条制》</w:t>
            </w:r>
          </w:p>
        </w:tc>
      </w:tr>
      <w:tr>
        <w:trPr>
          <w:trHeight w:val="459" w:hRule="atLeast"/>
        </w:trPr>
        <w:tc>
          <w:tcPr>
            <w:tcW w:w="594" w:type="dxa"/>
            <w:vAlign w:val="top"/>
          </w:tcPr>
          <w:p>
            <w:pPr>
              <w:pStyle w:val="TableText"/>
              <w:ind w:left="164"/>
              <w:spacing w:before="193" w:line="184" w:lineRule="auto"/>
              <w:rPr>
                <w:sz w:val="16"/>
                <w:szCs w:val="16"/>
              </w:rPr>
            </w:pPr>
            <w:r>
              <w:rPr>
                <w:sz w:val="16"/>
                <w:szCs w:val="16"/>
                <w:spacing w:val="-3"/>
              </w:rPr>
              <w:t>351</w:t>
            </w:r>
          </w:p>
        </w:tc>
        <w:tc>
          <w:tcPr>
            <w:tcW w:w="1279" w:type="dxa"/>
            <w:vAlign w:val="top"/>
          </w:tcPr>
          <w:p>
            <w:pPr>
              <w:pStyle w:val="TableText"/>
              <w:ind w:left="231"/>
              <w:spacing w:before="154" w:line="220" w:lineRule="auto"/>
              <w:rPr>
                <w:sz w:val="16"/>
                <w:szCs w:val="16"/>
              </w:rPr>
            </w:pPr>
            <w:r>
              <w:rPr>
                <w:sz w:val="16"/>
                <w:szCs w:val="16"/>
                <w:spacing w:val="2"/>
              </w:rPr>
              <w:t>国家药监局</w:t>
            </w:r>
          </w:p>
        </w:tc>
        <w:tc>
          <w:tcPr>
            <w:tcW w:w="1638" w:type="dxa"/>
            <w:vAlign w:val="top"/>
          </w:tcPr>
          <w:p>
            <w:pPr>
              <w:pStyle w:val="TableText"/>
              <w:ind w:left="42" w:right="144" w:firstLine="10"/>
              <w:spacing w:before="53" w:line="228" w:lineRule="auto"/>
              <w:rPr>
                <w:sz w:val="16"/>
                <w:szCs w:val="16"/>
              </w:rPr>
            </w:pPr>
            <w:r>
              <w:rPr>
                <w:sz w:val="16"/>
                <w:szCs w:val="16"/>
                <w:spacing w:val="-1"/>
              </w:rPr>
              <w:t>药品，既疗器碱互联</w:t>
            </w:r>
            <w:r>
              <w:rPr>
                <w:sz w:val="16"/>
                <w:szCs w:val="16"/>
              </w:rPr>
              <w:t xml:space="preserve"> </w:t>
            </w:r>
            <w:r>
              <w:rPr>
                <w:sz w:val="16"/>
                <w:szCs w:val="16"/>
              </w:rPr>
              <w:t>网信息温齐事批</w:t>
            </w:r>
          </w:p>
        </w:tc>
        <w:tc>
          <w:tcPr>
            <w:tcW w:w="2377" w:type="dxa"/>
            <w:vAlign w:val="top"/>
          </w:tcPr>
          <w:p>
            <w:pPr>
              <w:pStyle w:val="TableText"/>
              <w:ind w:left="64"/>
              <w:spacing w:before="153" w:line="219" w:lineRule="auto"/>
              <w:rPr>
                <w:sz w:val="16"/>
                <w:szCs w:val="16"/>
              </w:rPr>
            </w:pPr>
            <w:r>
              <w:rPr>
                <w:sz w:val="16"/>
                <w:szCs w:val="16"/>
                <w:spacing w:val="2"/>
              </w:rPr>
              <w:t>省级药曲部门</w:t>
            </w:r>
          </w:p>
        </w:tc>
        <w:tc>
          <w:tcPr>
            <w:tcW w:w="3701" w:type="dxa"/>
            <w:vAlign w:val="top"/>
          </w:tcPr>
          <w:p>
            <w:pPr>
              <w:pStyle w:val="TableText"/>
              <w:spacing w:before="63" w:line="219" w:lineRule="auto"/>
              <w:rPr>
                <w:sz w:val="16"/>
                <w:szCs w:val="16"/>
              </w:rPr>
            </w:pPr>
            <w:r>
              <w:rPr>
                <w:sz w:val="16"/>
                <w:szCs w:val="16"/>
                <w:spacing w:val="-5"/>
              </w:rPr>
              <w:t>《互联网信息国并管理办法</w:t>
            </w:r>
          </w:p>
          <w:p>
            <w:pPr>
              <w:pStyle w:val="TableText"/>
              <w:spacing w:before="10" w:line="214" w:lineRule="auto"/>
              <w:rPr>
                <w:sz w:val="16"/>
                <w:szCs w:val="16"/>
              </w:rPr>
            </w:pPr>
            <w:r>
              <w:rPr>
                <w:sz w:val="16"/>
                <w:szCs w:val="16"/>
                <w:spacing w:val="-4"/>
              </w:rPr>
              <w:t>《互联同药尚信意取务管理办陆</w:t>
            </w:r>
          </w:p>
        </w:tc>
      </w:tr>
      <w:tr>
        <w:trPr>
          <w:trHeight w:val="459" w:hRule="atLeast"/>
        </w:trPr>
        <w:tc>
          <w:tcPr>
            <w:tcW w:w="594" w:type="dxa"/>
            <w:vAlign w:val="top"/>
          </w:tcPr>
          <w:p>
            <w:pPr>
              <w:pStyle w:val="TableText"/>
              <w:ind w:left="164"/>
              <w:spacing w:before="195" w:line="183" w:lineRule="auto"/>
              <w:rPr>
                <w:sz w:val="16"/>
                <w:szCs w:val="16"/>
              </w:rPr>
            </w:pPr>
            <w:r>
              <w:rPr>
                <w:sz w:val="16"/>
                <w:szCs w:val="16"/>
                <w:spacing w:val="-2"/>
              </w:rPr>
              <w:t>952</w:t>
            </w:r>
          </w:p>
        </w:tc>
        <w:tc>
          <w:tcPr>
            <w:tcW w:w="1279" w:type="dxa"/>
            <w:vAlign w:val="top"/>
          </w:tcPr>
          <w:p>
            <w:pPr>
              <w:pStyle w:val="TableText"/>
              <w:ind w:left="231"/>
              <w:spacing w:before="154" w:line="219" w:lineRule="auto"/>
              <w:rPr>
                <w:sz w:val="16"/>
                <w:szCs w:val="16"/>
              </w:rPr>
            </w:pPr>
            <w:r>
              <w:rPr>
                <w:sz w:val="16"/>
                <w:szCs w:val="16"/>
                <w:spacing w:val="-1"/>
              </w:rPr>
              <w:t>镇家药监属</w:t>
            </w:r>
          </w:p>
        </w:tc>
        <w:tc>
          <w:tcPr>
            <w:tcW w:w="1638" w:type="dxa"/>
            <w:vAlign w:val="top"/>
          </w:tcPr>
          <w:p>
            <w:pPr>
              <w:pStyle w:val="TableText"/>
              <w:ind w:left="42" w:right="152"/>
              <w:spacing w:before="74" w:line="216" w:lineRule="auto"/>
              <w:rPr>
                <w:sz w:val="16"/>
                <w:szCs w:val="16"/>
              </w:rPr>
            </w:pPr>
            <w:r>
              <w:rPr>
                <w:sz w:val="16"/>
                <w:szCs w:val="16"/>
                <w:spacing w:val="-1"/>
              </w:rPr>
              <w:t>风险程度较身的化救</w:t>
            </w:r>
            <w:r>
              <w:rPr>
                <w:sz w:val="16"/>
                <w:szCs w:val="16"/>
                <w:spacing w:val="1"/>
              </w:rPr>
              <w:t xml:space="preserve"> </w:t>
            </w:r>
            <w:r>
              <w:rPr>
                <w:sz w:val="16"/>
                <w:szCs w:val="16"/>
              </w:rPr>
              <w:t>品新原料注骨审批</w:t>
            </w:r>
          </w:p>
        </w:tc>
        <w:tc>
          <w:tcPr>
            <w:tcW w:w="2377" w:type="dxa"/>
            <w:vAlign w:val="top"/>
          </w:tcPr>
          <w:p>
            <w:pPr>
              <w:pStyle w:val="TableText"/>
              <w:ind w:left="64"/>
              <w:spacing w:before="153" w:line="219" w:lineRule="auto"/>
              <w:rPr>
                <w:sz w:val="16"/>
                <w:szCs w:val="16"/>
              </w:rPr>
            </w:pPr>
            <w:r>
              <w:rPr>
                <w:sz w:val="16"/>
                <w:szCs w:val="16"/>
                <w:spacing w:val="2"/>
              </w:rPr>
              <w:t>国家荡监局</w:t>
            </w:r>
          </w:p>
        </w:tc>
        <w:tc>
          <w:tcPr>
            <w:tcW w:w="3701" w:type="dxa"/>
            <w:vAlign w:val="top"/>
          </w:tcPr>
          <w:p>
            <w:pPr>
              <w:pStyle w:val="TableText"/>
              <w:spacing w:before="154" w:line="219" w:lineRule="auto"/>
              <w:rPr>
                <w:sz w:val="16"/>
                <w:szCs w:val="16"/>
              </w:rPr>
            </w:pPr>
            <w:r>
              <w:rPr>
                <w:sz w:val="16"/>
                <w:szCs w:val="16"/>
                <w:spacing w:val="-4"/>
              </w:rPr>
              <w:t>《化救品站督管理条侧)</w:t>
            </w:r>
          </w:p>
        </w:tc>
      </w:tr>
      <w:tr>
        <w:trPr>
          <w:trHeight w:val="250" w:hRule="atLeast"/>
        </w:trPr>
        <w:tc>
          <w:tcPr>
            <w:tcW w:w="594" w:type="dxa"/>
            <w:vAlign w:val="top"/>
          </w:tcPr>
          <w:p>
            <w:pPr>
              <w:pStyle w:val="TableText"/>
              <w:ind w:left="164"/>
              <w:spacing w:before="97" w:line="165" w:lineRule="auto"/>
              <w:rPr>
                <w:sz w:val="16"/>
                <w:szCs w:val="16"/>
              </w:rPr>
            </w:pPr>
            <w:r>
              <w:rPr>
                <w:sz w:val="16"/>
                <w:szCs w:val="16"/>
                <w:spacing w:val="-2"/>
              </w:rPr>
              <w:t>953</w:t>
            </w:r>
          </w:p>
        </w:tc>
        <w:tc>
          <w:tcPr>
            <w:tcW w:w="1279" w:type="dxa"/>
            <w:vAlign w:val="top"/>
          </w:tcPr>
          <w:p>
            <w:pPr>
              <w:pStyle w:val="TableText"/>
              <w:ind w:left="231"/>
              <w:spacing w:before="54" w:line="214" w:lineRule="auto"/>
              <w:rPr>
                <w:sz w:val="16"/>
                <w:szCs w:val="16"/>
              </w:rPr>
            </w:pPr>
            <w:r>
              <w:rPr>
                <w:sz w:val="16"/>
                <w:szCs w:val="16"/>
                <w:spacing w:val="2"/>
              </w:rPr>
              <w:t>国室药货局</w:t>
            </w:r>
          </w:p>
        </w:tc>
        <w:tc>
          <w:tcPr>
            <w:tcW w:w="1638" w:type="dxa"/>
            <w:vAlign w:val="top"/>
          </w:tcPr>
          <w:p>
            <w:pPr>
              <w:pStyle w:val="TableText"/>
              <w:ind w:left="42"/>
              <w:spacing w:before="55" w:line="213" w:lineRule="auto"/>
              <w:rPr>
                <w:sz w:val="16"/>
                <w:szCs w:val="16"/>
              </w:rPr>
            </w:pPr>
            <w:r>
              <w:rPr>
                <w:sz w:val="16"/>
                <w:szCs w:val="16"/>
                <w:spacing w:val="-1"/>
              </w:rPr>
              <w:t>特硫化救品性册审批</w:t>
            </w:r>
          </w:p>
        </w:tc>
        <w:tc>
          <w:tcPr>
            <w:tcW w:w="2377" w:type="dxa"/>
            <w:vAlign w:val="top"/>
          </w:tcPr>
          <w:p>
            <w:pPr>
              <w:pStyle w:val="TableText"/>
              <w:ind w:left="64"/>
              <w:spacing w:before="55" w:line="213" w:lineRule="auto"/>
              <w:rPr>
                <w:sz w:val="16"/>
                <w:szCs w:val="16"/>
              </w:rPr>
            </w:pPr>
            <w:r>
              <w:rPr>
                <w:sz w:val="16"/>
                <w:szCs w:val="16"/>
                <w:spacing w:val="1"/>
              </w:rPr>
              <w:t>国家药监励</w:t>
            </w:r>
          </w:p>
        </w:tc>
        <w:tc>
          <w:tcPr>
            <w:tcW w:w="3701" w:type="dxa"/>
            <w:vAlign w:val="top"/>
          </w:tcPr>
          <w:p>
            <w:pPr>
              <w:pStyle w:val="TableText"/>
              <w:ind w:left="36"/>
              <w:spacing w:before="54" w:line="214" w:lineRule="auto"/>
              <w:rPr>
                <w:sz w:val="16"/>
                <w:szCs w:val="16"/>
              </w:rPr>
            </w:pPr>
            <w:r>
              <w:rPr>
                <w:sz w:val="16"/>
                <w:szCs w:val="16"/>
                <w:spacing w:val="-1"/>
              </w:rPr>
              <w:t>(化收品名督传理茶例》</w:t>
            </w:r>
          </w:p>
        </w:tc>
      </w:tr>
      <w:tr>
        <w:trPr>
          <w:trHeight w:val="260" w:hRule="atLeast"/>
        </w:trPr>
        <w:tc>
          <w:tcPr>
            <w:tcW w:w="594" w:type="dxa"/>
            <w:vAlign w:val="top"/>
          </w:tcPr>
          <w:p>
            <w:pPr>
              <w:pStyle w:val="TableText"/>
              <w:ind w:left="164"/>
              <w:spacing w:before="96" w:line="177" w:lineRule="auto"/>
              <w:rPr>
                <w:sz w:val="16"/>
                <w:szCs w:val="16"/>
              </w:rPr>
            </w:pPr>
            <w:r>
              <w:rPr>
                <w:sz w:val="16"/>
                <w:szCs w:val="16"/>
                <w:spacing w:val="-2"/>
              </w:rPr>
              <w:t>954</w:t>
            </w:r>
          </w:p>
        </w:tc>
        <w:tc>
          <w:tcPr>
            <w:tcW w:w="1279" w:type="dxa"/>
            <w:vAlign w:val="top"/>
          </w:tcPr>
          <w:p>
            <w:pPr>
              <w:pStyle w:val="TableText"/>
              <w:ind w:left="231"/>
              <w:spacing w:before="54" w:line="219" w:lineRule="auto"/>
              <w:rPr>
                <w:sz w:val="16"/>
                <w:szCs w:val="16"/>
              </w:rPr>
            </w:pPr>
            <w:r>
              <w:rPr>
                <w:sz w:val="16"/>
                <w:szCs w:val="16"/>
                <w:spacing w:val="-1"/>
              </w:rPr>
              <w:t>解军方监局</w:t>
            </w:r>
          </w:p>
        </w:tc>
        <w:tc>
          <w:tcPr>
            <w:tcW w:w="1638" w:type="dxa"/>
            <w:vAlign w:val="top"/>
          </w:tcPr>
          <w:p>
            <w:pPr>
              <w:pStyle w:val="TableText"/>
              <w:ind w:left="42"/>
              <w:spacing w:before="55" w:line="219" w:lineRule="auto"/>
              <w:rPr>
                <w:sz w:val="16"/>
                <w:szCs w:val="16"/>
              </w:rPr>
            </w:pPr>
            <w:r>
              <w:rPr>
                <w:sz w:val="16"/>
                <w:szCs w:val="16"/>
                <w:spacing w:val="-1"/>
              </w:rPr>
              <w:t>化我品生产许前</w:t>
            </w:r>
          </w:p>
        </w:tc>
        <w:tc>
          <w:tcPr>
            <w:tcW w:w="2377" w:type="dxa"/>
            <w:vAlign w:val="top"/>
          </w:tcPr>
          <w:p>
            <w:pPr>
              <w:pStyle w:val="TableText"/>
              <w:ind w:left="64"/>
              <w:spacing w:before="55" w:line="219" w:lineRule="auto"/>
              <w:rPr>
                <w:sz w:val="16"/>
                <w:szCs w:val="16"/>
              </w:rPr>
            </w:pPr>
            <w:r>
              <w:rPr>
                <w:sz w:val="16"/>
                <w:szCs w:val="16"/>
                <w:spacing w:val="2"/>
              </w:rPr>
              <w:t>省酸政监部(1</w:t>
            </w:r>
          </w:p>
        </w:tc>
        <w:tc>
          <w:tcPr>
            <w:tcW w:w="3701" w:type="dxa"/>
            <w:vAlign w:val="top"/>
          </w:tcPr>
          <w:p>
            <w:pPr>
              <w:pStyle w:val="TableText"/>
              <w:ind w:left="36"/>
              <w:spacing w:before="55" w:line="219" w:lineRule="auto"/>
              <w:rPr>
                <w:sz w:val="16"/>
                <w:szCs w:val="16"/>
              </w:rPr>
            </w:pPr>
            <w:r>
              <w:rPr>
                <w:sz w:val="16"/>
                <w:szCs w:val="16"/>
                <w:spacing w:val="-1"/>
              </w:rPr>
              <w:t>C化妆品监警管理备例》</w:t>
            </w:r>
          </w:p>
        </w:tc>
      </w:tr>
      <w:tr>
        <w:trPr>
          <w:trHeight w:val="464" w:hRule="atLeast"/>
        </w:trPr>
        <w:tc>
          <w:tcPr>
            <w:tcW w:w="594" w:type="dxa"/>
            <w:vAlign w:val="top"/>
          </w:tcPr>
          <w:p>
            <w:pPr>
              <w:pStyle w:val="TableText"/>
              <w:ind w:left="164"/>
              <w:spacing w:before="196" w:line="183" w:lineRule="auto"/>
              <w:rPr>
                <w:sz w:val="16"/>
                <w:szCs w:val="16"/>
              </w:rPr>
            </w:pPr>
            <w:r>
              <w:rPr>
                <w:sz w:val="16"/>
                <w:szCs w:val="16"/>
                <w:spacing w:val="-2"/>
              </w:rPr>
              <w:t>955</w:t>
            </w:r>
          </w:p>
        </w:tc>
        <w:tc>
          <w:tcPr>
            <w:tcW w:w="1279" w:type="dxa"/>
            <w:vAlign w:val="top"/>
          </w:tcPr>
          <w:p>
            <w:pPr>
              <w:pStyle w:val="TableText"/>
              <w:ind w:left="70"/>
              <w:spacing w:before="155" w:line="219" w:lineRule="auto"/>
              <w:rPr>
                <w:sz w:val="16"/>
                <w:szCs w:val="16"/>
              </w:rPr>
            </w:pPr>
            <w:r>
              <w:rPr>
                <w:sz w:val="16"/>
                <w:szCs w:val="16"/>
                <w:spacing w:val="1"/>
              </w:rPr>
              <w:t>国家知识产程具</w:t>
            </w:r>
          </w:p>
        </w:tc>
        <w:tc>
          <w:tcPr>
            <w:tcW w:w="1638" w:type="dxa"/>
            <w:vAlign w:val="top"/>
          </w:tcPr>
          <w:p>
            <w:pPr>
              <w:pStyle w:val="TableText"/>
              <w:ind w:left="42" w:right="152"/>
              <w:spacing w:before="55" w:line="223" w:lineRule="auto"/>
              <w:rPr>
                <w:sz w:val="16"/>
                <w:szCs w:val="16"/>
              </w:rPr>
            </w:pPr>
            <w:r>
              <w:rPr>
                <w:sz w:val="16"/>
                <w:szCs w:val="16"/>
                <w:spacing w:val="-1"/>
              </w:rPr>
              <w:t>专利代源机构执业许</w:t>
            </w:r>
            <w:r>
              <w:rPr>
                <w:sz w:val="16"/>
                <w:szCs w:val="16"/>
                <w:spacing w:val="1"/>
              </w:rPr>
              <w:t xml:space="preserve"> </w:t>
            </w:r>
            <w:r>
              <w:rPr>
                <w:sz w:val="16"/>
                <w:szCs w:val="16"/>
              </w:rPr>
              <w:t>可</w:t>
            </w:r>
          </w:p>
        </w:tc>
        <w:tc>
          <w:tcPr>
            <w:tcW w:w="2377" w:type="dxa"/>
            <w:vAlign w:val="top"/>
          </w:tcPr>
          <w:p>
            <w:pPr>
              <w:pStyle w:val="TableText"/>
              <w:ind w:left="64"/>
              <w:spacing w:before="155" w:line="219" w:lineRule="auto"/>
              <w:rPr>
                <w:sz w:val="16"/>
                <w:szCs w:val="16"/>
              </w:rPr>
            </w:pPr>
            <w:r>
              <w:rPr>
                <w:sz w:val="16"/>
                <w:szCs w:val="16"/>
                <w:spacing w:val="2"/>
              </w:rPr>
              <w:t>国家知识产权同</w:t>
            </w:r>
          </w:p>
        </w:tc>
        <w:tc>
          <w:tcPr>
            <w:tcW w:w="3701" w:type="dxa"/>
            <w:vAlign w:val="top"/>
          </w:tcPr>
          <w:p>
            <w:pPr>
              <w:pStyle w:val="TableText"/>
              <w:spacing w:before="155" w:line="219" w:lineRule="auto"/>
              <w:rPr>
                <w:sz w:val="16"/>
                <w:szCs w:val="16"/>
              </w:rPr>
            </w:pPr>
            <w:r>
              <w:rPr>
                <w:sz w:val="16"/>
                <w:szCs w:val="16"/>
                <w:spacing w:val="-7"/>
              </w:rPr>
              <w:t>《专利代理条例2</w:t>
            </w:r>
          </w:p>
        </w:tc>
      </w:tr>
    </w:tbl>
    <w:p>
      <w:pPr>
        <w:pStyle w:val="BodyText"/>
        <w:rPr/>
      </w:pPr>
      <w:r/>
    </w:p>
    <w:p>
      <w:pPr>
        <w:sectPr>
          <w:pgSz w:w="11910" w:h="8220"/>
          <w:pgMar w:top="400" w:right="1165" w:bottom="400" w:left="821" w:header="0" w:footer="0" w:gutter="0"/>
        </w:sectPr>
        <w:rPr/>
      </w:pPr>
    </w:p>
    <w:p>
      <w:pPr>
        <w:spacing w:before="103"/>
        <w:rPr/>
      </w:pPr>
      <w:r>
        <mc:AlternateContent xmlns:mc="http://schemas.openxmlformats.org/markup-compatibility/2006">
          <mc:Choice Requires="wps">
            <w:drawing>
              <wp:anchor distT="0" distB="0" distL="0" distR="0" simplePos="0" relativeHeight="251921408" behindDoc="0" locked="0" layoutInCell="0" allowOverlap="1">
                <wp:simplePos x="0" y="0"/>
                <wp:positionH relativeFrom="page">
                  <wp:posOffset>466406</wp:posOffset>
                </wp:positionH>
                <wp:positionV relativeFrom="page">
                  <wp:posOffset>617171</wp:posOffset>
                </wp:positionV>
                <wp:extent cx="163829" cy="148589"/>
                <wp:effectExtent l="0" t="0" r="0" b="0"/>
                <wp:wrapNone/>
                <wp:docPr id="358" name="TextBox 358"/>
                <wp:cNvGraphicFramePr/>
                <a:graphic>
                  <a:graphicData uri="http://schemas.microsoft.com/office/word/2010/wordprocessingShape">
                    <wps:wsp>
                      <wps:cNvSpPr txBox="1"/>
                      <wps:spPr>
                        <a:xfrm rot="5400000">
                          <a:off x="466406" y="617171"/>
                          <a:ext cx="163829"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260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0" style="position:absolute;margin-left:36.7249pt;margin-top:48.5962pt;mso-position-vertical-relative:page;mso-position-horizontal-relative:page;width:12.9pt;height:11.7pt;z-index:251921408;rotation:90;" o:allowincell="f" filled="false" stroked="false" type="#_x0000_t202">
                <v:fill on="false"/>
                <v:stroke on="false"/>
                <v:path/>
                <v:imagedata o:title=""/>
                <o:lock v:ext="edit" aspectratio="false"/>
                <v:textbox inset="0mm,0mm,0mm,0mm">
                  <w:txbxContent>
                    <w:p>
                      <w:pPr>
                        <w:ind w:left="20"/>
                        <w:spacing w:before="64" w:line="183" w:lineRule="auto"/>
                        <w:rPr>
                          <w:rFonts w:ascii="SimSun" w:hAnsi="SimSun" w:eastAsia="SimSun" w:cs="SimSun"/>
                          <w:sz w:val="15"/>
                          <w:szCs w:val="15"/>
                        </w:rPr>
                      </w:pPr>
                      <w:r>
                        <w:rPr>
                          <w:rFonts w:ascii="SimSun" w:hAnsi="SimSun" w:eastAsia="SimSun" w:cs="SimSun"/>
                          <w:sz w:val="15"/>
                          <w:szCs w:val="15"/>
                          <w:spacing w:val="-2"/>
                        </w:rPr>
                        <w:t>260</w:t>
                      </w:r>
                    </w:p>
                  </w:txbxContent>
                </v:textbox>
              </v:shape>
            </w:pict>
          </mc:Fallback>
        </mc:AlternateContent>
      </w:r>
      <w:r/>
    </w:p>
    <w:tbl>
      <w:tblPr>
        <w:tblStyle w:val="TableNormal"/>
        <w:tblW w:w="959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15"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中央主管部门</w:t>
            </w:r>
          </w:p>
        </w:tc>
        <w:tc>
          <w:tcPr>
            <w:tcW w:w="1648" w:type="dxa"/>
            <w:vAlign w:val="top"/>
          </w:tcPr>
          <w:p>
            <w:pPr>
              <w:pStyle w:val="TableText"/>
              <w:ind w:left="491"/>
              <w:spacing w:before="132" w:line="220" w:lineRule="auto"/>
              <w:rPr>
                <w:sz w:val="16"/>
                <w:szCs w:val="16"/>
              </w:rPr>
            </w:pPr>
            <w:r>
              <w:rPr>
                <w:sz w:val="16"/>
                <w:szCs w:val="16"/>
                <w:spacing w:val="-2"/>
              </w:rPr>
              <w:t>事项名称</w:t>
            </w:r>
          </w:p>
        </w:tc>
        <w:tc>
          <w:tcPr>
            <w:tcW w:w="2367" w:type="dxa"/>
            <w:vAlign w:val="top"/>
          </w:tcPr>
          <w:p>
            <w:pPr>
              <w:pStyle w:val="TableText"/>
              <w:ind w:left="824"/>
              <w:spacing w:before="130" w:line="219" w:lineRule="auto"/>
              <w:rPr>
                <w:sz w:val="16"/>
                <w:szCs w:val="16"/>
              </w:rPr>
            </w:pPr>
            <w:r>
              <w:rPr>
                <w:sz w:val="16"/>
                <w:szCs w:val="16"/>
                <w:spacing w:val="-2"/>
              </w:rPr>
              <w:t>实简机关</w:t>
            </w:r>
          </w:p>
        </w:tc>
        <w:tc>
          <w:tcPr>
            <w:tcW w:w="3711" w:type="dxa"/>
            <w:vAlign w:val="top"/>
          </w:tcPr>
          <w:p>
            <w:pPr>
              <w:pStyle w:val="TableText"/>
              <w:ind w:left="1259"/>
              <w:spacing w:before="128" w:line="219" w:lineRule="auto"/>
              <w:rPr>
                <w:sz w:val="16"/>
                <w:szCs w:val="16"/>
              </w:rPr>
            </w:pPr>
            <w:r>
              <w:rPr>
                <w:sz w:val="16"/>
                <w:szCs w:val="16"/>
                <w:b/>
                <w:bCs/>
                <w:spacing w:val="-3"/>
              </w:rPr>
              <w:t>设定和宾身依据</w:t>
            </w:r>
          </w:p>
        </w:tc>
      </w:tr>
      <w:tr>
        <w:trPr>
          <w:trHeight w:val="519" w:hRule="atLeast"/>
        </w:trPr>
        <w:tc>
          <w:tcPr>
            <w:tcW w:w="584" w:type="dxa"/>
            <w:vAlign w:val="top"/>
          </w:tcPr>
          <w:p>
            <w:pPr>
              <w:pStyle w:val="TableText"/>
              <w:ind w:left="164"/>
              <w:spacing w:before="217" w:line="183" w:lineRule="auto"/>
              <w:rPr>
                <w:sz w:val="16"/>
                <w:szCs w:val="16"/>
              </w:rPr>
            </w:pPr>
            <w:r>
              <w:rPr>
                <w:sz w:val="16"/>
                <w:szCs w:val="16"/>
                <w:spacing w:val="-2"/>
              </w:rPr>
              <w:t>955</w:t>
            </w:r>
          </w:p>
        </w:tc>
        <w:tc>
          <w:tcPr>
            <w:tcW w:w="1289" w:type="dxa"/>
            <w:vAlign w:val="top"/>
          </w:tcPr>
          <w:p>
            <w:pPr>
              <w:pStyle w:val="TableText"/>
              <w:ind w:left="70"/>
              <w:spacing w:before="175" w:line="219" w:lineRule="auto"/>
              <w:rPr>
                <w:sz w:val="16"/>
                <w:szCs w:val="16"/>
              </w:rPr>
            </w:pPr>
            <w:r>
              <w:rPr>
                <w:sz w:val="16"/>
                <w:szCs w:val="16"/>
              </w:rPr>
              <w:t>叫家角讯产权高</w:t>
            </w:r>
          </w:p>
        </w:tc>
        <w:tc>
          <w:tcPr>
            <w:tcW w:w="1648" w:type="dxa"/>
            <w:vAlign w:val="top"/>
          </w:tcPr>
          <w:p>
            <w:pPr>
              <w:pStyle w:val="TableText"/>
              <w:ind w:left="92"/>
              <w:spacing w:before="175" w:line="219" w:lineRule="auto"/>
              <w:rPr>
                <w:sz w:val="16"/>
                <w:szCs w:val="16"/>
              </w:rPr>
            </w:pPr>
            <w:r>
              <w:rPr>
                <w:sz w:val="16"/>
                <w:szCs w:val="16"/>
                <w:spacing w:val="-1"/>
              </w:rPr>
              <w:t>专科代现标院格认定</w:t>
            </w:r>
          </w:p>
        </w:tc>
        <w:tc>
          <w:tcPr>
            <w:tcW w:w="2367" w:type="dxa"/>
            <w:vAlign w:val="top"/>
          </w:tcPr>
          <w:p>
            <w:pPr>
              <w:pStyle w:val="TableText"/>
              <w:ind w:left="54"/>
              <w:spacing w:before="176" w:line="219" w:lineRule="auto"/>
              <w:rPr>
                <w:sz w:val="16"/>
                <w:szCs w:val="16"/>
              </w:rPr>
            </w:pPr>
            <w:r>
              <w:rPr>
                <w:sz w:val="16"/>
                <w:szCs w:val="16"/>
                <w:spacing w:val="2"/>
              </w:rPr>
              <w:t>国家如识产权局</w:t>
            </w:r>
          </w:p>
        </w:tc>
        <w:tc>
          <w:tcPr>
            <w:tcW w:w="3711" w:type="dxa"/>
            <w:vAlign w:val="top"/>
          </w:tcPr>
          <w:p>
            <w:pPr>
              <w:pStyle w:val="TableText"/>
              <w:ind w:left="56"/>
              <w:spacing w:before="86" w:line="219" w:lineRule="auto"/>
              <w:rPr>
                <w:sz w:val="16"/>
                <w:szCs w:val="16"/>
              </w:rPr>
            </w:pPr>
            <w:r>
              <w:rPr>
                <w:sz w:val="16"/>
                <w:szCs w:val="16"/>
                <w:spacing w:val="4"/>
              </w:rPr>
              <w:t>1专利代理备钢)</w:t>
            </w:r>
          </w:p>
          <w:p>
            <w:pPr>
              <w:pStyle w:val="TableText"/>
              <w:ind w:left="56"/>
              <w:spacing w:before="10" w:line="219" w:lineRule="auto"/>
              <w:rPr>
                <w:sz w:val="16"/>
                <w:szCs w:val="16"/>
              </w:rPr>
            </w:pPr>
            <w:r>
              <w:rPr>
                <w:sz w:val="16"/>
                <w:szCs w:val="16"/>
              </w:rPr>
              <w:t>1国家职业资格目录(202t年版)》</w:t>
            </w:r>
          </w:p>
        </w:tc>
      </w:tr>
      <w:tr>
        <w:trPr>
          <w:trHeight w:val="709" w:hRule="atLeast"/>
        </w:trPr>
        <w:tc>
          <w:tcPr>
            <w:tcW w:w="584" w:type="dxa"/>
            <w:vAlign w:val="top"/>
          </w:tcPr>
          <w:p>
            <w:pPr>
              <w:pStyle w:val="TableText"/>
              <w:ind w:left="164"/>
              <w:spacing w:before="293" w:line="239" w:lineRule="auto"/>
              <w:rPr>
                <w:sz w:val="16"/>
                <w:szCs w:val="16"/>
              </w:rPr>
            </w:pPr>
            <w:r>
              <w:rPr>
                <w:sz w:val="16"/>
                <w:szCs w:val="16"/>
                <w:spacing w:val="-2"/>
              </w:rPr>
              <w:t>?9?</w:t>
            </w:r>
          </w:p>
        </w:tc>
        <w:tc>
          <w:tcPr>
            <w:tcW w:w="1289" w:type="dxa"/>
            <w:vAlign w:val="top"/>
          </w:tcPr>
          <w:p>
            <w:pPr>
              <w:pStyle w:val="TableText"/>
              <w:ind w:left="70"/>
              <w:spacing w:before="277" w:line="219" w:lineRule="auto"/>
              <w:rPr>
                <w:sz w:val="16"/>
                <w:szCs w:val="16"/>
              </w:rPr>
            </w:pPr>
            <w:r>
              <w:rPr>
                <w:sz w:val="16"/>
                <w:szCs w:val="16"/>
                <w:spacing w:val="1"/>
              </w:rPr>
              <w:t>国定知识产权身</w:t>
            </w:r>
          </w:p>
        </w:tc>
        <w:tc>
          <w:tcPr>
            <w:tcW w:w="1648" w:type="dxa"/>
            <w:vAlign w:val="top"/>
          </w:tcPr>
          <w:p>
            <w:pPr>
              <w:pStyle w:val="TableText"/>
              <w:ind w:left="52" w:right="97" w:firstLine="40"/>
              <w:spacing w:before="75" w:line="231" w:lineRule="auto"/>
              <w:jc w:val="both"/>
              <w:rPr>
                <w:sz w:val="16"/>
                <w:szCs w:val="16"/>
              </w:rPr>
            </w:pPr>
            <w:r>
              <w:rPr>
                <w:sz w:val="16"/>
                <w:szCs w:val="16"/>
                <w:spacing w:val="-2"/>
              </w:rPr>
              <w:t>外国专利代理机构在</w:t>
            </w:r>
            <w:r>
              <w:rPr>
                <w:sz w:val="16"/>
                <w:szCs w:val="16"/>
                <w:spacing w:val="7"/>
              </w:rPr>
              <w:t xml:space="preserve"> </w:t>
            </w:r>
            <w:r>
              <w:rPr>
                <w:sz w:val="16"/>
                <w:szCs w:val="16"/>
                <w:spacing w:val="5"/>
              </w:rPr>
              <w:t>中国境内议立食住代</w:t>
            </w:r>
            <w:r>
              <w:rPr>
                <w:sz w:val="16"/>
                <w:szCs w:val="16"/>
                <w:spacing w:val="2"/>
              </w:rPr>
              <w:t xml:space="preserve"> </w:t>
            </w:r>
            <w:r>
              <w:rPr>
                <w:sz w:val="16"/>
                <w:szCs w:val="16"/>
                <w:spacing w:val="-1"/>
              </w:rPr>
              <w:t>表机构师批</w:t>
            </w:r>
          </w:p>
        </w:tc>
        <w:tc>
          <w:tcPr>
            <w:tcW w:w="2367" w:type="dxa"/>
            <w:vAlign w:val="top"/>
          </w:tcPr>
          <w:p>
            <w:pPr>
              <w:pStyle w:val="TableText"/>
              <w:ind w:left="54"/>
              <w:spacing w:before="277" w:line="219" w:lineRule="auto"/>
              <w:rPr>
                <w:sz w:val="16"/>
                <w:szCs w:val="16"/>
              </w:rPr>
            </w:pPr>
            <w:r>
              <w:rPr>
                <w:sz w:val="16"/>
                <w:szCs w:val="16"/>
                <w:spacing w:val="2"/>
              </w:rPr>
              <w:t>国家加识产权同</w:t>
            </w:r>
          </w:p>
        </w:tc>
        <w:tc>
          <w:tcPr>
            <w:tcW w:w="3711" w:type="dxa"/>
            <w:vAlign w:val="top"/>
          </w:tcPr>
          <w:p>
            <w:pPr>
              <w:pStyle w:val="TableText"/>
              <w:ind w:left="56"/>
              <w:spacing w:before="277" w:line="219" w:lineRule="auto"/>
              <w:rPr>
                <w:sz w:val="16"/>
                <w:szCs w:val="16"/>
              </w:rPr>
            </w:pPr>
            <w:r>
              <w:rPr>
                <w:sz w:val="16"/>
                <w:szCs w:val="16"/>
                <w:spacing w:val="1"/>
              </w:rPr>
              <w:t>1专刷代理备倒3</w:t>
            </w:r>
          </w:p>
        </w:tc>
      </w:tr>
      <w:tr>
        <w:trPr>
          <w:trHeight w:val="489" w:hRule="atLeast"/>
        </w:trPr>
        <w:tc>
          <w:tcPr>
            <w:tcW w:w="584" w:type="dxa"/>
            <w:vAlign w:val="top"/>
          </w:tcPr>
          <w:p>
            <w:pPr>
              <w:pStyle w:val="TableText"/>
              <w:ind w:left="164"/>
              <w:spacing w:before="209" w:line="183" w:lineRule="auto"/>
              <w:rPr>
                <w:sz w:val="16"/>
                <w:szCs w:val="16"/>
              </w:rPr>
            </w:pPr>
            <w:r>
              <w:rPr>
                <w:sz w:val="16"/>
                <w:szCs w:val="16"/>
                <w:spacing w:val="-2"/>
              </w:rPr>
              <w:t>958</w:t>
            </w:r>
          </w:p>
        </w:tc>
        <w:tc>
          <w:tcPr>
            <w:tcW w:w="1289" w:type="dxa"/>
            <w:vAlign w:val="top"/>
          </w:tcPr>
          <w:p>
            <w:pPr>
              <w:pStyle w:val="TableText"/>
              <w:ind w:left="70"/>
              <w:spacing w:before="168" w:line="219" w:lineRule="auto"/>
              <w:rPr>
                <w:sz w:val="16"/>
                <w:szCs w:val="16"/>
              </w:rPr>
            </w:pPr>
            <w:r>
              <w:rPr>
                <w:sz w:val="16"/>
                <w:szCs w:val="16"/>
                <w:spacing w:val="2"/>
              </w:rPr>
              <w:t>国家加识产权局</w:t>
            </w:r>
          </w:p>
        </w:tc>
        <w:tc>
          <w:tcPr>
            <w:tcW w:w="1648" w:type="dxa"/>
            <w:vAlign w:val="top"/>
          </w:tcPr>
          <w:p>
            <w:pPr>
              <w:pStyle w:val="TableText"/>
              <w:ind w:left="131" w:right="96" w:hanging="39"/>
              <w:spacing w:before="98" w:line="214" w:lineRule="auto"/>
              <w:rPr>
                <w:sz w:val="16"/>
                <w:szCs w:val="16"/>
              </w:rPr>
            </w:pPr>
            <w:r>
              <w:rPr>
                <w:sz w:val="16"/>
                <w:szCs w:val="16"/>
                <w:spacing w:val="1"/>
              </w:rPr>
              <w:t>同外国肀镇专利保密</w:t>
            </w:r>
            <w:r>
              <w:rPr>
                <w:sz w:val="16"/>
                <w:szCs w:val="16"/>
              </w:rPr>
              <w:t xml:space="preserve"> </w:t>
            </w:r>
            <w:r>
              <w:rPr>
                <w:sz w:val="16"/>
                <w:szCs w:val="16"/>
                <w:spacing w:val="4"/>
              </w:rPr>
              <w:t>中查</w:t>
            </w:r>
          </w:p>
        </w:tc>
        <w:tc>
          <w:tcPr>
            <w:tcW w:w="2367" w:type="dxa"/>
            <w:vAlign w:val="top"/>
          </w:tcPr>
          <w:p>
            <w:pPr>
              <w:pStyle w:val="TableText"/>
              <w:ind w:left="54"/>
              <w:spacing w:before="168" w:line="219" w:lineRule="auto"/>
              <w:rPr>
                <w:sz w:val="16"/>
                <w:szCs w:val="16"/>
              </w:rPr>
            </w:pPr>
            <w:r>
              <w:rPr>
                <w:sz w:val="16"/>
                <w:szCs w:val="16"/>
                <w:spacing w:val="2"/>
              </w:rPr>
              <w:t>国家知识产权局</w:t>
            </w:r>
          </w:p>
        </w:tc>
        <w:tc>
          <w:tcPr>
            <w:tcW w:w="3711" w:type="dxa"/>
            <w:vAlign w:val="top"/>
          </w:tcPr>
          <w:p>
            <w:pPr>
              <w:pStyle w:val="TableText"/>
              <w:ind w:left="56"/>
              <w:spacing w:before="89" w:line="195" w:lineRule="auto"/>
              <w:rPr>
                <w:sz w:val="16"/>
                <w:szCs w:val="16"/>
              </w:rPr>
            </w:pPr>
            <w:r>
              <w:rPr>
                <w:sz w:val="16"/>
                <w:szCs w:val="16"/>
              </w:rPr>
              <w:t>中保人民其和国专制法》</w:t>
            </w:r>
          </w:p>
          <w:p>
            <w:pPr>
              <w:pStyle w:val="TableText"/>
              <w:ind w:left="56"/>
              <w:spacing w:line="219" w:lineRule="auto"/>
              <w:rPr>
                <w:sz w:val="16"/>
                <w:szCs w:val="16"/>
              </w:rPr>
            </w:pPr>
            <w:r>
              <w:rPr>
                <w:sz w:val="16"/>
                <w:szCs w:val="16"/>
                <w:spacing w:val="4"/>
              </w:rPr>
              <w:t>1中华人民共和国专利法实造结测】</w:t>
            </w:r>
          </w:p>
        </w:tc>
      </w:tr>
      <w:tr>
        <w:trPr>
          <w:trHeight w:val="509" w:hRule="atLeast"/>
        </w:trPr>
        <w:tc>
          <w:tcPr>
            <w:tcW w:w="584" w:type="dxa"/>
            <w:vAlign w:val="top"/>
          </w:tcPr>
          <w:p>
            <w:pPr>
              <w:pStyle w:val="TableText"/>
              <w:ind w:left="164"/>
              <w:spacing w:before="220" w:line="183" w:lineRule="auto"/>
              <w:rPr>
                <w:sz w:val="16"/>
                <w:szCs w:val="16"/>
              </w:rPr>
            </w:pPr>
            <w:r>
              <w:rPr>
                <w:sz w:val="16"/>
                <w:szCs w:val="16"/>
                <w:spacing w:val="-2"/>
              </w:rPr>
              <w:t>959</w:t>
            </w:r>
          </w:p>
        </w:tc>
        <w:tc>
          <w:tcPr>
            <w:tcW w:w="1289" w:type="dxa"/>
            <w:vAlign w:val="top"/>
          </w:tcPr>
          <w:p>
            <w:pPr>
              <w:pStyle w:val="TableText"/>
              <w:ind w:left="231"/>
              <w:spacing w:before="179" w:line="219" w:lineRule="auto"/>
              <w:rPr>
                <w:sz w:val="16"/>
                <w:szCs w:val="16"/>
              </w:rPr>
            </w:pPr>
            <w:r>
              <w:rPr>
                <w:sz w:val="16"/>
                <w:szCs w:val="16"/>
                <w:spacing w:val="2"/>
              </w:rPr>
              <w:t>国家将案局</w:t>
            </w:r>
          </w:p>
        </w:tc>
        <w:tc>
          <w:tcPr>
            <w:tcW w:w="1648" w:type="dxa"/>
            <w:vAlign w:val="top"/>
          </w:tcPr>
          <w:p>
            <w:pPr>
              <w:pStyle w:val="TableText"/>
              <w:ind w:left="31" w:right="36" w:hanging="20"/>
              <w:spacing w:before="90" w:line="224" w:lineRule="auto"/>
              <w:rPr>
                <w:sz w:val="16"/>
                <w:szCs w:val="16"/>
              </w:rPr>
            </w:pPr>
            <w:r>
              <w:rPr>
                <w:sz w:val="16"/>
                <w:szCs w:val="16"/>
                <w:spacing w:val="-2"/>
              </w:rPr>
              <w:t>带过，交说，出走国有</w:t>
            </w:r>
            <w:r>
              <w:rPr>
                <w:sz w:val="16"/>
                <w:szCs w:val="16"/>
                <w:spacing w:val="8"/>
              </w:rPr>
              <w:t xml:space="preserve"> </w:t>
            </w:r>
            <w:r>
              <w:rPr>
                <w:sz w:val="16"/>
                <w:szCs w:val="16"/>
                <w:spacing w:val="-1"/>
              </w:rPr>
              <w:t>科军发哪件律批</w:t>
            </w:r>
          </w:p>
        </w:tc>
        <w:tc>
          <w:tcPr>
            <w:tcW w:w="2367" w:type="dxa"/>
            <w:vAlign w:val="top"/>
          </w:tcPr>
          <w:p>
            <w:pPr>
              <w:pStyle w:val="TableText"/>
              <w:ind w:left="54"/>
              <w:spacing w:before="178" w:line="219" w:lineRule="auto"/>
              <w:rPr>
                <w:sz w:val="16"/>
                <w:szCs w:val="16"/>
              </w:rPr>
            </w:pPr>
            <w:r>
              <w:rPr>
                <w:sz w:val="16"/>
                <w:szCs w:val="16"/>
                <w:spacing w:val="1"/>
              </w:rPr>
              <w:t>国家析案局，爷放构案主登部门</w:t>
            </w:r>
          </w:p>
        </w:tc>
        <w:tc>
          <w:tcPr>
            <w:tcW w:w="3711" w:type="dxa"/>
            <w:vAlign w:val="top"/>
          </w:tcPr>
          <w:p>
            <w:pPr>
              <w:pStyle w:val="TableText"/>
              <w:ind w:left="56"/>
              <w:spacing w:before="179" w:line="219" w:lineRule="auto"/>
              <w:rPr>
                <w:sz w:val="16"/>
                <w:szCs w:val="16"/>
              </w:rPr>
            </w:pPr>
            <w:r>
              <w:rPr>
                <w:sz w:val="16"/>
                <w:szCs w:val="16"/>
                <w:spacing w:val="1"/>
              </w:rPr>
              <w:t>中华人民其和写扫家医实思办是1</w:t>
            </w:r>
          </w:p>
        </w:tc>
      </w:tr>
      <w:tr>
        <w:trPr>
          <w:trHeight w:val="509" w:hRule="atLeast"/>
        </w:trPr>
        <w:tc>
          <w:tcPr>
            <w:tcW w:w="584" w:type="dxa"/>
            <w:vAlign w:val="top"/>
          </w:tcPr>
          <w:p>
            <w:pPr>
              <w:pStyle w:val="TableText"/>
              <w:ind w:left="164"/>
              <w:spacing w:before="221" w:line="183" w:lineRule="auto"/>
              <w:rPr>
                <w:sz w:val="16"/>
                <w:szCs w:val="16"/>
              </w:rPr>
            </w:pPr>
            <w:r>
              <w:rPr>
                <w:sz w:val="16"/>
                <w:szCs w:val="16"/>
                <w:spacing w:val="-2"/>
              </w:rPr>
              <w:t>960</w:t>
            </w:r>
          </w:p>
        </w:tc>
        <w:tc>
          <w:tcPr>
            <w:tcW w:w="1289" w:type="dxa"/>
            <w:vAlign w:val="top"/>
          </w:tcPr>
          <w:p>
            <w:pPr>
              <w:pStyle w:val="TableText"/>
              <w:ind w:left="231"/>
              <w:spacing w:before="180" w:line="219" w:lineRule="auto"/>
              <w:rPr>
                <w:sz w:val="16"/>
                <w:szCs w:val="16"/>
              </w:rPr>
            </w:pPr>
            <w:r>
              <w:rPr>
                <w:sz w:val="16"/>
                <w:szCs w:val="16"/>
                <w:spacing w:val="1"/>
              </w:rPr>
              <w:t>国家格案贴</w:t>
            </w:r>
          </w:p>
        </w:tc>
        <w:tc>
          <w:tcPr>
            <w:tcW w:w="1648" w:type="dxa"/>
            <w:vAlign w:val="top"/>
          </w:tcPr>
          <w:p>
            <w:pPr>
              <w:pStyle w:val="TableText"/>
              <w:ind w:left="62" w:right="112" w:firstLine="30"/>
              <w:spacing w:before="70" w:line="237" w:lineRule="auto"/>
              <w:rPr>
                <w:sz w:val="16"/>
                <w:szCs w:val="16"/>
              </w:rPr>
            </w:pPr>
            <w:r>
              <w:rPr>
                <w:sz w:val="16"/>
                <w:szCs w:val="16"/>
                <w:spacing w:val="-1"/>
              </w:rPr>
              <w:t>档室及其复制件出境</w:t>
            </w:r>
            <w:r>
              <w:rPr>
                <w:sz w:val="16"/>
                <w:szCs w:val="16"/>
                <w:spacing w:val="1"/>
              </w:rPr>
              <w:t xml:space="preserve"> </w:t>
            </w:r>
            <w:r>
              <w:rPr>
                <w:sz w:val="16"/>
                <w:szCs w:val="16"/>
                <w:spacing w:val="-2"/>
              </w:rPr>
              <w:t>事拉</w:t>
            </w:r>
          </w:p>
        </w:tc>
        <w:tc>
          <w:tcPr>
            <w:tcW w:w="2367" w:type="dxa"/>
            <w:vAlign w:val="top"/>
          </w:tcPr>
          <w:p>
            <w:pPr>
              <w:pStyle w:val="TableText"/>
              <w:ind w:left="54"/>
              <w:spacing w:before="179" w:line="219" w:lineRule="auto"/>
              <w:rPr>
                <w:sz w:val="16"/>
                <w:szCs w:val="16"/>
              </w:rPr>
            </w:pPr>
            <w:r>
              <w:rPr>
                <w:sz w:val="16"/>
                <w:szCs w:val="16"/>
                <w:spacing w:val="1"/>
              </w:rPr>
              <w:t>国家州案马，资假构激主管部门</w:t>
            </w:r>
          </w:p>
        </w:tc>
        <w:tc>
          <w:tcPr>
            <w:tcW w:w="3711" w:type="dxa"/>
            <w:vAlign w:val="top"/>
          </w:tcPr>
          <w:p>
            <w:pPr>
              <w:pStyle w:val="TableText"/>
              <w:spacing w:before="100" w:line="219" w:lineRule="auto"/>
              <w:rPr>
                <w:sz w:val="16"/>
                <w:szCs w:val="16"/>
              </w:rPr>
            </w:pPr>
            <w:r>
              <w:rPr>
                <w:sz w:val="16"/>
                <w:szCs w:val="16"/>
                <w:spacing w:val="-3"/>
              </w:rPr>
              <w:t>《中华人民共和测档案居》</w:t>
            </w:r>
          </w:p>
          <w:p>
            <w:pPr>
              <w:pStyle w:val="TableText"/>
              <w:spacing w:before="10" w:line="219" w:lineRule="auto"/>
              <w:rPr>
                <w:sz w:val="16"/>
                <w:szCs w:val="16"/>
              </w:rPr>
            </w:pPr>
            <w:r>
              <w:rPr>
                <w:sz w:val="16"/>
                <w:szCs w:val="16"/>
                <w:spacing w:val="-2"/>
              </w:rPr>
              <w:t>《中华人民其和国档紧品实质办结1</w:t>
            </w:r>
          </w:p>
        </w:tc>
      </w:tr>
      <w:tr>
        <w:trPr>
          <w:trHeight w:val="499" w:hRule="atLeast"/>
        </w:trPr>
        <w:tc>
          <w:tcPr>
            <w:tcW w:w="584" w:type="dxa"/>
            <w:vAlign w:val="top"/>
          </w:tcPr>
          <w:p>
            <w:pPr>
              <w:pStyle w:val="TableText"/>
              <w:ind w:left="164"/>
              <w:spacing w:before="212" w:line="184" w:lineRule="auto"/>
              <w:rPr>
                <w:sz w:val="16"/>
                <w:szCs w:val="16"/>
              </w:rPr>
            </w:pPr>
            <w:r>
              <w:rPr>
                <w:sz w:val="16"/>
                <w:szCs w:val="16"/>
                <w:spacing w:val="-1"/>
              </w:rPr>
              <w:t>D61</w:t>
            </w:r>
          </w:p>
        </w:tc>
        <w:tc>
          <w:tcPr>
            <w:tcW w:w="1289" w:type="dxa"/>
            <w:vAlign w:val="top"/>
          </w:tcPr>
          <w:p>
            <w:pPr>
              <w:pStyle w:val="TableText"/>
              <w:ind w:left="231"/>
              <w:spacing w:before="171" w:line="219" w:lineRule="auto"/>
              <w:rPr>
                <w:sz w:val="16"/>
                <w:szCs w:val="16"/>
              </w:rPr>
            </w:pPr>
            <w:r>
              <w:rPr>
                <w:sz w:val="16"/>
                <w:szCs w:val="16"/>
                <w:spacing w:val="2"/>
              </w:rPr>
              <w:t>属家将案局</w:t>
            </w:r>
          </w:p>
        </w:tc>
        <w:tc>
          <w:tcPr>
            <w:tcW w:w="1648" w:type="dxa"/>
            <w:vAlign w:val="top"/>
          </w:tcPr>
          <w:p>
            <w:pPr>
              <w:pStyle w:val="TableText"/>
              <w:ind w:left="22"/>
              <w:spacing w:before="172" w:line="220" w:lineRule="auto"/>
              <w:rPr>
                <w:sz w:val="16"/>
                <w:szCs w:val="16"/>
              </w:rPr>
            </w:pPr>
            <w:r>
              <w:rPr>
                <w:sz w:val="16"/>
                <w:szCs w:val="16"/>
                <w:spacing w:val="-2"/>
              </w:rPr>
              <w:t>登期移竖构表审世</w:t>
            </w:r>
          </w:p>
        </w:tc>
        <w:tc>
          <w:tcPr>
            <w:tcW w:w="2367" w:type="dxa"/>
            <w:vAlign w:val="top"/>
          </w:tcPr>
          <w:p>
            <w:pPr>
              <w:pStyle w:val="TableText"/>
              <w:ind w:left="53" w:hanging="9"/>
              <w:spacing w:before="81" w:line="231" w:lineRule="auto"/>
              <w:rPr>
                <w:sz w:val="16"/>
                <w:szCs w:val="16"/>
              </w:rPr>
            </w:pPr>
            <w:r>
              <w:rPr>
                <w:sz w:val="16"/>
                <w:szCs w:val="16"/>
                <w:spacing w:val="-6"/>
              </w:rPr>
              <w:t>回家构案局，省项，说区射市展，</w:t>
            </w:r>
            <w:r>
              <w:rPr>
                <w:sz w:val="16"/>
                <w:szCs w:val="16"/>
                <w:spacing w:val="1"/>
              </w:rPr>
              <w:t xml:space="preserve"> </w:t>
            </w:r>
            <w:r>
              <w:rPr>
                <w:sz w:val="16"/>
                <w:szCs w:val="16"/>
                <w:spacing w:val="-4"/>
              </w:rPr>
              <w:t>县级省案主管部门</w:t>
            </w:r>
          </w:p>
        </w:tc>
        <w:tc>
          <w:tcPr>
            <w:tcW w:w="3711" w:type="dxa"/>
            <w:vAlign w:val="top"/>
          </w:tcPr>
          <w:p>
            <w:pPr>
              <w:pStyle w:val="TableText"/>
              <w:ind w:left="56"/>
              <w:spacing w:before="170" w:line="219" w:lineRule="auto"/>
              <w:rPr>
                <w:sz w:val="16"/>
                <w:szCs w:val="16"/>
              </w:rPr>
            </w:pPr>
            <w:r>
              <w:rPr>
                <w:sz w:val="16"/>
                <w:szCs w:val="16"/>
                <w:spacing w:val="-1"/>
              </w:rPr>
              <w:t>十中华人民共和国析案法本施办法</w:t>
            </w:r>
          </w:p>
        </w:tc>
      </w:tr>
      <w:tr>
        <w:trPr>
          <w:trHeight w:val="709" w:hRule="atLeast"/>
        </w:trPr>
        <w:tc>
          <w:tcPr>
            <w:tcW w:w="584" w:type="dxa"/>
            <w:vAlign w:val="top"/>
          </w:tcPr>
          <w:p>
            <w:pPr>
              <w:spacing w:line="270" w:lineRule="auto"/>
              <w:rPr>
                <w:rFonts w:ascii="Arial"/>
                <w:sz w:val="21"/>
              </w:rPr>
            </w:pPr>
            <w:r/>
          </w:p>
          <w:p>
            <w:pPr>
              <w:pStyle w:val="TableText"/>
              <w:ind w:left="164"/>
              <w:spacing w:before="52" w:line="183" w:lineRule="auto"/>
              <w:rPr>
                <w:sz w:val="16"/>
                <w:szCs w:val="16"/>
              </w:rPr>
            </w:pPr>
            <w:r>
              <w:rPr>
                <w:sz w:val="16"/>
                <w:szCs w:val="16"/>
                <w:spacing w:val="-2"/>
              </w:rPr>
              <w:t>962</w:t>
            </w:r>
          </w:p>
        </w:tc>
        <w:tc>
          <w:tcPr>
            <w:tcW w:w="1289" w:type="dxa"/>
            <w:vAlign w:val="top"/>
          </w:tcPr>
          <w:p>
            <w:pPr>
              <w:pStyle w:val="TableText"/>
              <w:ind w:left="231"/>
              <w:spacing w:before="283" w:line="220" w:lineRule="auto"/>
              <w:rPr>
                <w:sz w:val="16"/>
                <w:szCs w:val="16"/>
              </w:rPr>
            </w:pPr>
            <w:r>
              <w:rPr>
                <w:sz w:val="16"/>
                <w:szCs w:val="16"/>
                <w:spacing w:val="1"/>
              </w:rPr>
              <w:t>阅家保磨船</w:t>
            </w:r>
          </w:p>
        </w:tc>
        <w:tc>
          <w:tcPr>
            <w:tcW w:w="1648" w:type="dxa"/>
            <w:vAlign w:val="top"/>
          </w:tcPr>
          <w:p>
            <w:pPr>
              <w:pStyle w:val="TableText"/>
              <w:ind w:left="11" w:right="36" w:firstLine="119"/>
              <w:spacing w:before="81" w:line="236" w:lineRule="auto"/>
              <w:rPr>
                <w:sz w:val="16"/>
                <w:szCs w:val="16"/>
              </w:rPr>
            </w:pPr>
            <w:r>
              <w:rPr>
                <w:sz w:val="16"/>
                <w:szCs w:val="16"/>
              </w:rPr>
              <w:t>国家招街载体驱作， </w:t>
            </w:r>
            <w:r>
              <w:rPr>
                <w:sz w:val="16"/>
                <w:szCs w:val="16"/>
                <w:spacing w:val="-2"/>
              </w:rPr>
              <w:t>复眼，能蚀、的统省座</w:t>
            </w:r>
            <w:r>
              <w:rPr>
                <w:sz w:val="16"/>
                <w:szCs w:val="16"/>
                <w:spacing w:val="8"/>
              </w:rPr>
              <w:t xml:space="preserve"> </w:t>
            </w:r>
            <w:r>
              <w:rPr>
                <w:sz w:val="16"/>
                <w:szCs w:val="16"/>
                <w:spacing w:val="11"/>
              </w:rPr>
              <w:t>认宝</w:t>
            </w:r>
          </w:p>
        </w:tc>
        <w:tc>
          <w:tcPr>
            <w:tcW w:w="2367" w:type="dxa"/>
            <w:vAlign w:val="top"/>
          </w:tcPr>
          <w:p>
            <w:pPr>
              <w:pStyle w:val="TableText"/>
              <w:ind w:left="54"/>
              <w:spacing w:before="282" w:line="219" w:lineRule="auto"/>
              <w:rPr>
                <w:sz w:val="16"/>
                <w:szCs w:val="16"/>
              </w:rPr>
            </w:pPr>
            <w:r>
              <w:rPr>
                <w:sz w:val="16"/>
                <w:szCs w:val="16"/>
                <w:spacing w:val="1"/>
              </w:rPr>
              <w:t>问家保密局；省缓保帘门</w:t>
            </w:r>
          </w:p>
        </w:tc>
        <w:tc>
          <w:tcPr>
            <w:tcW w:w="3711" w:type="dxa"/>
            <w:vAlign w:val="top"/>
          </w:tcPr>
          <w:p>
            <w:pPr>
              <w:pStyle w:val="TableText"/>
              <w:ind w:left="56"/>
              <w:spacing w:before="91" w:line="219" w:lineRule="auto"/>
              <w:rPr>
                <w:sz w:val="16"/>
                <w:szCs w:val="16"/>
              </w:rPr>
            </w:pPr>
            <w:r>
              <w:rPr>
                <w:sz w:val="16"/>
                <w:szCs w:val="16"/>
                <w:spacing w:val="2"/>
              </w:rPr>
              <w:t>1中华人民共和国保守国军摩素些)</w:t>
            </w:r>
          </w:p>
          <w:p>
            <w:pPr>
              <w:pStyle w:val="TableText"/>
              <w:ind w:right="619"/>
              <w:spacing w:before="11" w:line="219" w:lineRule="auto"/>
              <w:rPr>
                <w:sz w:val="16"/>
                <w:szCs w:val="16"/>
              </w:rPr>
            </w:pPr>
            <w:r>
              <w:rPr>
                <w:sz w:val="16"/>
                <w:szCs w:val="16"/>
                <w:spacing w:val="-2"/>
              </w:rPr>
              <w:t>《中华人民共和国保守国家原密法实跑条制?</w:t>
            </w:r>
            <w:r>
              <w:rPr>
                <w:sz w:val="16"/>
                <w:szCs w:val="16"/>
              </w:rPr>
              <w:t xml:space="preserve"> </w:t>
            </w:r>
            <w:r>
              <w:rPr>
                <w:sz w:val="16"/>
                <w:szCs w:val="16"/>
                <w:spacing w:val="-2"/>
              </w:rPr>
              <w:t>《国家密建载体印制贸质营理办法)</w:t>
            </w:r>
          </w:p>
        </w:tc>
      </w:tr>
      <w:tr>
        <w:trPr>
          <w:trHeight w:val="709" w:hRule="atLeast"/>
        </w:trPr>
        <w:tc>
          <w:tcPr>
            <w:tcW w:w="584" w:type="dxa"/>
            <w:vAlign w:val="top"/>
          </w:tcPr>
          <w:p>
            <w:pPr>
              <w:spacing w:line="272" w:lineRule="auto"/>
              <w:rPr>
                <w:rFonts w:ascii="Arial"/>
                <w:sz w:val="21"/>
              </w:rPr>
            </w:pPr>
            <w:r/>
          </w:p>
          <w:p>
            <w:pPr>
              <w:pStyle w:val="TableText"/>
              <w:ind w:left="164"/>
              <w:spacing w:before="52" w:line="182" w:lineRule="auto"/>
              <w:rPr>
                <w:sz w:val="16"/>
                <w:szCs w:val="16"/>
              </w:rPr>
            </w:pPr>
            <w:r>
              <w:rPr>
                <w:sz w:val="16"/>
                <w:szCs w:val="16"/>
                <w:spacing w:val="-2"/>
              </w:rPr>
              <w:t>Dfs</w:t>
            </w:r>
          </w:p>
        </w:tc>
        <w:tc>
          <w:tcPr>
            <w:tcW w:w="1289" w:type="dxa"/>
            <w:vAlign w:val="top"/>
          </w:tcPr>
          <w:p>
            <w:pPr>
              <w:pStyle w:val="TableText"/>
              <w:ind w:left="231"/>
              <w:spacing w:before="284" w:line="220" w:lineRule="auto"/>
              <w:rPr>
                <w:sz w:val="16"/>
                <w:szCs w:val="16"/>
              </w:rPr>
            </w:pPr>
            <w:r>
              <w:rPr>
                <w:sz w:val="16"/>
                <w:szCs w:val="16"/>
                <w:spacing w:val="2"/>
              </w:rPr>
              <w:t>国家保密局</w:t>
            </w:r>
          </w:p>
        </w:tc>
        <w:tc>
          <w:tcPr>
            <w:tcW w:w="1648" w:type="dxa"/>
            <w:vAlign w:val="top"/>
          </w:tcPr>
          <w:p>
            <w:pPr>
              <w:pStyle w:val="TableText"/>
              <w:ind w:left="62" w:right="113" w:firstLine="30"/>
              <w:spacing w:before="183" w:line="226" w:lineRule="auto"/>
              <w:rPr>
                <w:sz w:val="16"/>
                <w:szCs w:val="16"/>
              </w:rPr>
            </w:pPr>
            <w:r>
              <w:rPr>
                <w:sz w:val="16"/>
                <w:szCs w:val="16"/>
                <w:spacing w:val="-1"/>
              </w:rPr>
              <w:t>涉园信息系桃架收资</w:t>
            </w:r>
            <w:r>
              <w:rPr>
                <w:sz w:val="16"/>
                <w:szCs w:val="16"/>
              </w:rPr>
              <w:t xml:space="preserve"> </w:t>
            </w:r>
            <w:r>
              <w:rPr>
                <w:sz w:val="16"/>
                <w:szCs w:val="16"/>
                <w:spacing w:val="-2"/>
              </w:rPr>
              <w:t>压认定</w:t>
            </w:r>
          </w:p>
        </w:tc>
        <w:tc>
          <w:tcPr>
            <w:tcW w:w="2367" w:type="dxa"/>
            <w:vAlign w:val="top"/>
          </w:tcPr>
          <w:p>
            <w:pPr>
              <w:pStyle w:val="TableText"/>
              <w:ind w:left="54"/>
              <w:spacing w:before="283" w:line="219" w:lineRule="auto"/>
              <w:rPr>
                <w:sz w:val="16"/>
                <w:szCs w:val="16"/>
              </w:rPr>
            </w:pPr>
            <w:r>
              <w:rPr>
                <w:sz w:val="16"/>
                <w:szCs w:val="16"/>
                <w:spacing w:val="1"/>
              </w:rPr>
              <w:t>国家保密局，省级保密部门</w:t>
            </w:r>
          </w:p>
        </w:tc>
        <w:tc>
          <w:tcPr>
            <w:tcW w:w="3711" w:type="dxa"/>
            <w:vAlign w:val="top"/>
          </w:tcPr>
          <w:p>
            <w:pPr>
              <w:pStyle w:val="TableText"/>
              <w:ind w:left="56"/>
              <w:spacing w:before="102" w:line="219" w:lineRule="auto"/>
              <w:rPr>
                <w:sz w:val="16"/>
                <w:szCs w:val="16"/>
              </w:rPr>
            </w:pPr>
            <w:r>
              <w:rPr>
                <w:sz w:val="16"/>
                <w:szCs w:val="16"/>
                <w:spacing w:val="1"/>
              </w:rPr>
              <w:t>(甲学人民共和后保守河军举爸层1</w:t>
            </w:r>
          </w:p>
          <w:p>
            <w:pPr>
              <w:pStyle w:val="TableText"/>
              <w:ind w:left="79" w:right="537" w:hanging="79"/>
              <w:spacing w:line="231" w:lineRule="auto"/>
              <w:rPr>
                <w:sz w:val="16"/>
                <w:szCs w:val="16"/>
              </w:rPr>
            </w:pPr>
            <w:r>
              <w:rPr>
                <w:sz w:val="16"/>
                <w:szCs w:val="16"/>
                <w:spacing w:val="-2"/>
              </w:rPr>
              <w:t>《中华人民共和国保守国家秘亲法实施条间》</w:t>
            </w:r>
            <w:r>
              <w:rPr>
                <w:sz w:val="16"/>
                <w:szCs w:val="16"/>
                <w:spacing w:val="2"/>
              </w:rPr>
              <w:t xml:space="preserve"> </w:t>
            </w:r>
            <w:r>
              <w:rPr>
                <w:sz w:val="16"/>
                <w:szCs w:val="16"/>
                <w:spacing w:val="1"/>
              </w:rPr>
              <w:t>(砂密信息系院单成黄施值理办法)</w:t>
            </w:r>
          </w:p>
        </w:tc>
      </w:tr>
      <w:tr>
        <w:trPr>
          <w:trHeight w:val="909" w:hRule="atLeast"/>
        </w:trPr>
        <w:tc>
          <w:tcPr>
            <w:tcW w:w="584" w:type="dxa"/>
            <w:vAlign w:val="top"/>
          </w:tcPr>
          <w:p>
            <w:pPr>
              <w:spacing w:line="370" w:lineRule="auto"/>
              <w:rPr>
                <w:rFonts w:ascii="Arial"/>
                <w:sz w:val="21"/>
              </w:rPr>
            </w:pPr>
            <w:r/>
          </w:p>
          <w:p>
            <w:pPr>
              <w:pStyle w:val="TableText"/>
              <w:ind w:left="164"/>
              <w:spacing w:before="52" w:line="184" w:lineRule="auto"/>
              <w:rPr>
                <w:sz w:val="16"/>
                <w:szCs w:val="16"/>
              </w:rPr>
            </w:pPr>
            <w:r>
              <w:rPr>
                <w:sz w:val="16"/>
                <w:szCs w:val="16"/>
                <w:spacing w:val="-2"/>
              </w:rPr>
              <w:t>961</w:t>
            </w:r>
          </w:p>
        </w:tc>
        <w:tc>
          <w:tcPr>
            <w:tcW w:w="1289" w:type="dxa"/>
            <w:vAlign w:val="top"/>
          </w:tcPr>
          <w:p>
            <w:pPr>
              <w:spacing w:line="331" w:lineRule="auto"/>
              <w:rPr>
                <w:rFonts w:ascii="Arial"/>
                <w:sz w:val="21"/>
              </w:rPr>
            </w:pPr>
            <w:r/>
          </w:p>
          <w:p>
            <w:pPr>
              <w:pStyle w:val="TableText"/>
              <w:ind w:left="231"/>
              <w:spacing w:before="52" w:line="220" w:lineRule="auto"/>
              <w:rPr>
                <w:sz w:val="16"/>
                <w:szCs w:val="16"/>
              </w:rPr>
            </w:pPr>
            <w:r>
              <w:rPr>
                <w:sz w:val="16"/>
                <w:szCs w:val="16"/>
                <w:spacing w:val="3"/>
              </w:rPr>
              <w:t>国家保资周</w:t>
            </w:r>
          </w:p>
        </w:tc>
        <w:tc>
          <w:tcPr>
            <w:tcW w:w="1648" w:type="dxa"/>
            <w:vAlign w:val="top"/>
          </w:tcPr>
          <w:p>
            <w:pPr>
              <w:pStyle w:val="TableText"/>
              <w:ind w:left="52" w:right="114" w:firstLine="40"/>
              <w:spacing w:before="273" w:line="237" w:lineRule="auto"/>
              <w:rPr>
                <w:sz w:val="16"/>
                <w:szCs w:val="16"/>
              </w:rPr>
            </w:pPr>
            <w:r>
              <w:rPr>
                <w:sz w:val="16"/>
                <w:szCs w:val="16"/>
                <w:spacing w:val="-1"/>
              </w:rPr>
              <w:t>武图装备科研生产单</w:t>
            </w:r>
            <w:r>
              <w:rPr>
                <w:sz w:val="16"/>
                <w:szCs w:val="16"/>
              </w:rPr>
              <w:t xml:space="preserve"> </w:t>
            </w:r>
            <w:r>
              <w:rPr>
                <w:sz w:val="16"/>
                <w:szCs w:val="16"/>
                <w:spacing w:val="-1"/>
              </w:rPr>
              <w:t>位保街资格认定</w:t>
            </w:r>
          </w:p>
        </w:tc>
        <w:tc>
          <w:tcPr>
            <w:tcW w:w="2367" w:type="dxa"/>
            <w:vAlign w:val="top"/>
          </w:tcPr>
          <w:p>
            <w:pPr>
              <w:pStyle w:val="TableText"/>
              <w:ind w:left="54" w:right="199" w:firstLine="19"/>
              <w:spacing w:before="94" w:line="228" w:lineRule="auto"/>
              <w:jc w:val="both"/>
              <w:rPr>
                <w:sz w:val="16"/>
                <w:szCs w:val="16"/>
              </w:rPr>
            </w:pPr>
            <w:r>
              <w:rPr>
                <w:sz w:val="16"/>
                <w:szCs w:val="16"/>
                <w:spacing w:val="-1"/>
              </w:rPr>
              <w:t>偏家保密局会同据家国防科工</w:t>
            </w:r>
            <w:r>
              <w:rPr>
                <w:sz w:val="16"/>
                <w:szCs w:val="16"/>
                <w:spacing w:val="5"/>
              </w:rPr>
              <w:t xml:space="preserve"> </w:t>
            </w:r>
            <w:r>
              <w:rPr>
                <w:sz w:val="16"/>
                <w:szCs w:val="16"/>
                <w:spacing w:val="1"/>
              </w:rPr>
              <w:t>B,中史军委安替监用部；省细</w:t>
            </w:r>
            <w:r>
              <w:rPr>
                <w:sz w:val="16"/>
                <w:szCs w:val="16"/>
                <w:spacing w:val="2"/>
              </w:rPr>
              <w:t xml:space="preserve"> </w:t>
            </w:r>
            <w:r>
              <w:rPr>
                <w:sz w:val="16"/>
                <w:szCs w:val="16"/>
                <w:spacing w:val="1"/>
              </w:rPr>
              <w:t>保断部门会具省级回防释技工</w:t>
            </w:r>
            <w:r>
              <w:rPr>
                <w:sz w:val="16"/>
                <w:szCs w:val="16"/>
                <w:spacing w:val="9"/>
              </w:rPr>
              <w:t xml:space="preserve"> </w:t>
            </w:r>
            <w:r>
              <w:rPr>
                <w:sz w:val="16"/>
                <w:szCs w:val="16"/>
                <w:spacing w:val="6"/>
              </w:rPr>
              <w:t>壹部门</w:t>
            </w:r>
          </w:p>
        </w:tc>
        <w:tc>
          <w:tcPr>
            <w:tcW w:w="3711" w:type="dxa"/>
            <w:vAlign w:val="top"/>
          </w:tcPr>
          <w:p>
            <w:pPr>
              <w:pStyle w:val="TableText"/>
              <w:ind w:left="56"/>
              <w:spacing w:before="104" w:line="196" w:lineRule="auto"/>
              <w:rPr>
                <w:sz w:val="16"/>
                <w:szCs w:val="16"/>
              </w:rPr>
            </w:pPr>
            <w:r>
              <w:rPr>
                <w:sz w:val="16"/>
                <w:szCs w:val="16"/>
                <w:spacing w:val="1"/>
              </w:rPr>
              <w:t>C中作人民共和国保穿国家秘密张1</w:t>
            </w:r>
          </w:p>
          <w:p>
            <w:pPr>
              <w:pStyle w:val="TableText"/>
              <w:ind w:left="56"/>
              <w:spacing w:line="218" w:lineRule="auto"/>
              <w:rPr>
                <w:sz w:val="16"/>
                <w:szCs w:val="16"/>
              </w:rPr>
            </w:pPr>
            <w:r>
              <w:rPr>
                <w:sz w:val="16"/>
                <w:szCs w:val="16"/>
                <w:spacing w:val="1"/>
              </w:rPr>
              <w:t>t中华人风共和国保守田家秘唐法卖依备国)</w:t>
            </w:r>
          </w:p>
          <w:p>
            <w:pPr>
              <w:pStyle w:val="TableText"/>
              <w:ind w:left="88" w:right="380" w:hanging="89"/>
              <w:spacing w:before="41" w:line="219" w:lineRule="auto"/>
              <w:rPr>
                <w:sz w:val="16"/>
                <w:szCs w:val="16"/>
              </w:rPr>
            </w:pPr>
            <w:r>
              <w:rPr>
                <w:sz w:val="16"/>
                <w:szCs w:val="16"/>
                <w:spacing w:val="-2"/>
              </w:rPr>
              <w:t>《四据制条具☆生产单位探密资格认定办法  居</w:t>
            </w:r>
            <w:r>
              <w:rPr>
                <w:sz w:val="16"/>
                <w:szCs w:val="16"/>
                <w:spacing w:val="3"/>
              </w:rPr>
              <w:t xml:space="preserve"> </w:t>
            </w:r>
            <w:r>
              <w:rPr>
                <w:sz w:val="16"/>
                <w:szCs w:val="16"/>
                <w:spacing w:val="-2"/>
              </w:rPr>
              <w:t>发D20t6]15g</w:t>
            </w:r>
          </w:p>
        </w:tc>
      </w:tr>
      <w:tr>
        <w:trPr>
          <w:trHeight w:val="604" w:hRule="atLeast"/>
        </w:trPr>
        <w:tc>
          <w:tcPr>
            <w:tcW w:w="584" w:type="dxa"/>
            <w:vAlign w:val="top"/>
          </w:tcPr>
          <w:p>
            <w:pPr>
              <w:pStyle w:val="TableText"/>
              <w:ind w:left="164"/>
              <w:spacing w:before="266" w:line="183" w:lineRule="auto"/>
              <w:rPr>
                <w:sz w:val="16"/>
                <w:szCs w:val="16"/>
              </w:rPr>
            </w:pPr>
            <w:r>
              <w:rPr>
                <w:sz w:val="16"/>
                <w:szCs w:val="16"/>
                <w:spacing w:val="-2"/>
              </w:rPr>
              <w:t>965</w:t>
            </w:r>
          </w:p>
        </w:tc>
        <w:tc>
          <w:tcPr>
            <w:tcW w:w="1289" w:type="dxa"/>
            <w:vAlign w:val="top"/>
          </w:tcPr>
          <w:p>
            <w:pPr>
              <w:pStyle w:val="TableText"/>
              <w:ind w:left="231"/>
              <w:spacing w:before="226" w:line="220" w:lineRule="auto"/>
              <w:rPr>
                <w:sz w:val="16"/>
                <w:szCs w:val="16"/>
              </w:rPr>
            </w:pPr>
            <w:r>
              <w:rPr>
                <w:sz w:val="16"/>
                <w:szCs w:val="16"/>
                <w:spacing w:val="2"/>
              </w:rPr>
              <w:t>国家密码局</w:t>
            </w:r>
          </w:p>
        </w:tc>
        <w:tc>
          <w:tcPr>
            <w:tcW w:w="1648" w:type="dxa"/>
            <w:vAlign w:val="top"/>
          </w:tcPr>
          <w:p>
            <w:pPr>
              <w:pStyle w:val="TableText"/>
              <w:ind w:left="22" w:right="111" w:firstLine="70"/>
              <w:spacing w:before="126" w:line="231" w:lineRule="auto"/>
              <w:rPr>
                <w:sz w:val="16"/>
                <w:szCs w:val="16"/>
              </w:rPr>
            </w:pPr>
            <w:r>
              <w:rPr>
                <w:sz w:val="16"/>
                <w:szCs w:val="16"/>
                <w:spacing w:val="-1"/>
              </w:rPr>
              <w:t>海用学码称研成果审</w:t>
            </w:r>
            <w:r>
              <w:rPr>
                <w:sz w:val="16"/>
                <w:szCs w:val="16"/>
                <w:spacing w:val="2"/>
              </w:rPr>
              <w:t xml:space="preserve"> </w:t>
            </w:r>
            <w:r>
              <w:rPr>
                <w:sz w:val="16"/>
                <w:szCs w:val="16"/>
                <w:spacing w:val="-2"/>
              </w:rPr>
              <w:t>查徽定</w:t>
            </w:r>
          </w:p>
        </w:tc>
        <w:tc>
          <w:tcPr>
            <w:tcW w:w="2367" w:type="dxa"/>
            <w:vAlign w:val="top"/>
          </w:tcPr>
          <w:p>
            <w:pPr>
              <w:pStyle w:val="TableText"/>
              <w:ind w:left="54"/>
              <w:spacing w:before="226" w:line="220" w:lineRule="auto"/>
              <w:rPr>
                <w:sz w:val="16"/>
                <w:szCs w:val="16"/>
              </w:rPr>
            </w:pPr>
            <w:r>
              <w:rPr>
                <w:sz w:val="16"/>
                <w:szCs w:val="16"/>
                <w:spacing w:val="1"/>
              </w:rPr>
              <w:t>国家密码昼</w:t>
            </w:r>
          </w:p>
        </w:tc>
        <w:tc>
          <w:tcPr>
            <w:tcW w:w="3711" w:type="dxa"/>
            <w:vAlign w:val="top"/>
          </w:tcPr>
          <w:p>
            <w:pPr>
              <w:pStyle w:val="TableText"/>
              <w:spacing w:before="224" w:line="219" w:lineRule="auto"/>
              <w:rPr>
                <w:sz w:val="16"/>
                <w:szCs w:val="16"/>
              </w:rPr>
            </w:pPr>
            <w:r>
              <w:rPr>
                <w:sz w:val="16"/>
                <w:szCs w:val="16"/>
                <w:spacing w:val="-3"/>
              </w:rPr>
              <w:t>《高用肃码管理条例：</w:t>
            </w:r>
          </w:p>
        </w:tc>
      </w:tr>
    </w:tbl>
    <w:p>
      <w:pPr>
        <w:pStyle w:val="BodyText"/>
        <w:rPr/>
      </w:pPr>
      <w:r/>
    </w:p>
    <w:p>
      <w:pPr>
        <w:sectPr>
          <w:pgSz w:w="11910" w:h="8220"/>
          <w:pgMar w:top="400" w:right="1165" w:bottom="400" w:left="811" w:header="0" w:footer="0" w:gutter="0"/>
        </w:sectPr>
        <w:rPr/>
      </w:pPr>
    </w:p>
    <w:p>
      <w:pPr>
        <w:spacing w:before="123"/>
        <w:rPr/>
      </w:pPr>
      <w:r>
        <mc:AlternateContent xmlns:mc="http://schemas.openxmlformats.org/markup-compatibility/2006">
          <mc:Choice Requires="wps">
            <w:drawing>
              <wp:anchor distT="0" distB="0" distL="0" distR="0" simplePos="0" relativeHeight="251922432" behindDoc="0" locked="0" layoutInCell="0" allowOverlap="1">
                <wp:simplePos x="0" y="0"/>
                <wp:positionH relativeFrom="page">
                  <wp:posOffset>470613</wp:posOffset>
                </wp:positionH>
                <wp:positionV relativeFrom="page">
                  <wp:posOffset>4370332</wp:posOffset>
                </wp:positionV>
                <wp:extent cx="172720" cy="157479"/>
                <wp:effectExtent l="0" t="0" r="0" b="0"/>
                <wp:wrapNone/>
                <wp:docPr id="360" name="TextBox 360"/>
                <wp:cNvGraphicFramePr/>
                <a:graphic>
                  <a:graphicData uri="http://schemas.microsoft.com/office/word/2010/wordprocessingShape">
                    <wps:wsp>
                      <wps:cNvSpPr txBox="1"/>
                      <wps:spPr>
                        <a:xfrm rot="5400000">
                          <a:off x="470613" y="437033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261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2" style="position:absolute;margin-left:37.0562pt;margin-top:344.121pt;mso-position-vertical-relative:page;mso-position-horizontal-relative:page;width:13.6pt;height:12.4pt;z-index:25192243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261</w:t>
                      </w:r>
                    </w:p>
                  </w:txbxContent>
                </v:textbox>
              </v:shape>
            </w:pict>
          </mc:Fallback>
        </mc:AlternateContent>
      </w:r>
      <w:r/>
    </w:p>
    <w:tbl>
      <w:tblPr>
        <w:tblStyle w:val="TableNormal"/>
        <w:tblW w:w="9589" w:type="dxa"/>
        <w:tblInd w:w="33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38"/>
        <w:gridCol w:w="2367"/>
        <w:gridCol w:w="3711"/>
      </w:tblGrid>
      <w:tr>
        <w:trPr>
          <w:trHeight w:val="415" w:hRule="atLeast"/>
        </w:trPr>
        <w:tc>
          <w:tcPr>
            <w:tcW w:w="584" w:type="dxa"/>
            <w:vAlign w:val="top"/>
          </w:tcPr>
          <w:p>
            <w:pPr>
              <w:pStyle w:val="TableText"/>
              <w:ind w:left="114"/>
              <w:spacing w:before="122" w:line="221" w:lineRule="auto"/>
              <w:rPr>
                <w:sz w:val="17"/>
                <w:szCs w:val="17"/>
              </w:rPr>
            </w:pPr>
            <w:r>
              <w:rPr>
                <w:sz w:val="17"/>
                <w:szCs w:val="17"/>
                <w:spacing w:val="-2"/>
              </w:rPr>
              <w:t>序号</w:t>
            </w:r>
          </w:p>
        </w:tc>
        <w:tc>
          <w:tcPr>
            <w:tcW w:w="1289" w:type="dxa"/>
            <w:vAlign w:val="top"/>
          </w:tcPr>
          <w:p>
            <w:pPr>
              <w:pStyle w:val="TableText"/>
              <w:ind w:left="120"/>
              <w:spacing w:before="122" w:line="219" w:lineRule="auto"/>
              <w:rPr>
                <w:sz w:val="17"/>
                <w:szCs w:val="17"/>
              </w:rPr>
            </w:pPr>
            <w:r>
              <w:rPr>
                <w:sz w:val="17"/>
                <w:szCs w:val="17"/>
                <w:spacing w:val="3"/>
              </w:rPr>
              <w:t>中央主世部门</w:t>
            </w:r>
          </w:p>
        </w:tc>
        <w:tc>
          <w:tcPr>
            <w:tcW w:w="1638" w:type="dxa"/>
            <w:vAlign w:val="top"/>
          </w:tcPr>
          <w:p>
            <w:pPr>
              <w:pStyle w:val="TableText"/>
              <w:ind w:left="451"/>
              <w:spacing w:before="122" w:line="220" w:lineRule="auto"/>
              <w:rPr>
                <w:sz w:val="17"/>
                <w:szCs w:val="17"/>
              </w:rPr>
            </w:pPr>
            <w:r>
              <w:rPr>
                <w:sz w:val="17"/>
                <w:szCs w:val="17"/>
                <w:spacing w:val="-2"/>
              </w:rPr>
              <w:t>事项名碧</w:t>
            </w:r>
          </w:p>
        </w:tc>
        <w:tc>
          <w:tcPr>
            <w:tcW w:w="2367" w:type="dxa"/>
            <w:vAlign w:val="top"/>
          </w:tcPr>
          <w:p>
            <w:pPr>
              <w:pStyle w:val="TableText"/>
              <w:ind w:left="836"/>
              <w:spacing w:before="118" w:line="219" w:lineRule="auto"/>
              <w:rPr>
                <w:sz w:val="17"/>
                <w:szCs w:val="17"/>
              </w:rPr>
            </w:pPr>
            <w:r>
              <w:rPr>
                <w:sz w:val="17"/>
                <w:szCs w:val="17"/>
                <w:b/>
                <w:bCs/>
                <w:spacing w:val="-4"/>
              </w:rPr>
              <w:t>离浆机关</w:t>
            </w:r>
          </w:p>
        </w:tc>
        <w:tc>
          <w:tcPr>
            <w:tcW w:w="3711" w:type="dxa"/>
            <w:vAlign w:val="top"/>
          </w:tcPr>
          <w:p>
            <w:pPr>
              <w:pStyle w:val="TableText"/>
              <w:ind w:left="1269"/>
              <w:spacing w:before="119" w:line="219" w:lineRule="auto"/>
              <w:rPr>
                <w:sz w:val="17"/>
                <w:szCs w:val="17"/>
              </w:rPr>
            </w:pPr>
            <w:r>
              <w:rPr>
                <w:sz w:val="17"/>
                <w:szCs w:val="17"/>
                <w:b/>
                <w:bCs/>
                <w:spacing w:val="-3"/>
              </w:rPr>
              <w:t>设定和实原华据</w:t>
            </w:r>
          </w:p>
        </w:tc>
      </w:tr>
      <w:tr>
        <w:trPr>
          <w:trHeight w:val="469" w:hRule="atLeast"/>
        </w:trPr>
        <w:tc>
          <w:tcPr>
            <w:tcW w:w="584" w:type="dxa"/>
            <w:vAlign w:val="top"/>
          </w:tcPr>
          <w:p>
            <w:pPr>
              <w:pStyle w:val="TableText"/>
              <w:ind w:left="154"/>
              <w:spacing w:before="190" w:line="183" w:lineRule="auto"/>
              <w:rPr>
                <w:sz w:val="17"/>
                <w:szCs w:val="17"/>
              </w:rPr>
            </w:pPr>
            <w:r>
              <w:rPr>
                <w:sz w:val="17"/>
                <w:szCs w:val="17"/>
                <w:spacing w:val="-2"/>
              </w:rPr>
              <w:t>9G6</w:t>
            </w:r>
          </w:p>
        </w:tc>
        <w:tc>
          <w:tcPr>
            <w:tcW w:w="1289" w:type="dxa"/>
            <w:vAlign w:val="top"/>
          </w:tcPr>
          <w:p>
            <w:pPr>
              <w:pStyle w:val="TableText"/>
              <w:ind w:left="210"/>
              <w:spacing w:before="145" w:line="219" w:lineRule="auto"/>
              <w:rPr>
                <w:sz w:val="17"/>
                <w:szCs w:val="17"/>
              </w:rPr>
            </w:pPr>
            <w:r>
              <w:rPr>
                <w:sz w:val="17"/>
                <w:szCs w:val="17"/>
                <w:spacing w:val="-2"/>
              </w:rPr>
              <w:t>属家密码精</w:t>
            </w:r>
          </w:p>
        </w:tc>
        <w:tc>
          <w:tcPr>
            <w:tcW w:w="1638" w:type="dxa"/>
            <w:vAlign w:val="top"/>
          </w:tcPr>
          <w:p>
            <w:pPr>
              <w:pStyle w:val="TableText"/>
              <w:ind w:left="52" w:right="46" w:firstLine="10"/>
              <w:spacing w:before="56" w:line="218" w:lineRule="auto"/>
              <w:rPr>
                <w:sz w:val="17"/>
                <w:szCs w:val="17"/>
              </w:rPr>
            </w:pPr>
            <w:r>
              <w:rPr>
                <w:sz w:val="17"/>
                <w:szCs w:val="17"/>
                <w:spacing w:val="-2"/>
              </w:rPr>
              <w:t>商用密础产品质献校</w:t>
            </w:r>
            <w:r>
              <w:rPr>
                <w:sz w:val="17"/>
                <w:szCs w:val="17"/>
                <w:spacing w:val="6"/>
              </w:rPr>
              <w:t xml:space="preserve"> </w:t>
            </w:r>
            <w:r>
              <w:rPr>
                <w:sz w:val="17"/>
                <w:szCs w:val="17"/>
                <w:spacing w:val="-1"/>
              </w:rPr>
              <w:t>酚机构资质认定</w:t>
            </w:r>
          </w:p>
        </w:tc>
        <w:tc>
          <w:tcPr>
            <w:tcW w:w="2367" w:type="dxa"/>
            <w:vAlign w:val="top"/>
          </w:tcPr>
          <w:p>
            <w:pPr>
              <w:pStyle w:val="TableText"/>
              <w:ind w:left="63"/>
              <w:spacing w:before="147" w:line="220" w:lineRule="auto"/>
              <w:rPr>
                <w:sz w:val="17"/>
                <w:szCs w:val="17"/>
              </w:rPr>
            </w:pPr>
            <w:r>
              <w:rPr>
                <w:sz w:val="17"/>
                <w:szCs w:val="17"/>
                <w:spacing w:val="3"/>
              </w:rPr>
              <w:t>国家密码局</w:t>
            </w:r>
          </w:p>
        </w:tc>
        <w:tc>
          <w:tcPr>
            <w:tcW w:w="3711" w:type="dxa"/>
            <w:vAlign w:val="top"/>
          </w:tcPr>
          <w:p>
            <w:pPr>
              <w:pStyle w:val="TableText"/>
              <w:ind w:left="82"/>
              <w:spacing w:before="57" w:line="195" w:lineRule="auto"/>
              <w:rPr>
                <w:sz w:val="17"/>
                <w:szCs w:val="17"/>
              </w:rPr>
            </w:pPr>
            <w:r>
              <w:rPr>
                <w:sz w:val="17"/>
                <w:szCs w:val="17"/>
                <w:spacing w:val="-4"/>
              </w:rPr>
              <w:t>中华人民光和国密码法?</w:t>
            </w:r>
          </w:p>
          <w:p>
            <w:pPr>
              <w:pStyle w:val="TableText"/>
              <w:spacing w:line="219" w:lineRule="auto"/>
              <w:rPr>
                <w:sz w:val="17"/>
                <w:szCs w:val="17"/>
              </w:rPr>
            </w:pPr>
            <w:r>
              <w:rPr>
                <w:sz w:val="17"/>
                <w:szCs w:val="17"/>
                <w:spacing w:val="-6"/>
              </w:rPr>
              <w:t>《消用密码管理条例》</w:t>
            </w:r>
          </w:p>
        </w:tc>
      </w:tr>
      <w:tr>
        <w:trPr>
          <w:trHeight w:val="459" w:hRule="atLeast"/>
        </w:trPr>
        <w:tc>
          <w:tcPr>
            <w:tcW w:w="584" w:type="dxa"/>
            <w:vAlign w:val="top"/>
          </w:tcPr>
          <w:p>
            <w:pPr>
              <w:pStyle w:val="TableText"/>
              <w:ind w:left="154"/>
              <w:spacing w:before="191" w:line="183" w:lineRule="auto"/>
              <w:rPr>
                <w:sz w:val="17"/>
                <w:szCs w:val="17"/>
              </w:rPr>
            </w:pPr>
            <w:r>
              <w:rPr>
                <w:sz w:val="17"/>
                <w:szCs w:val="17"/>
                <w:spacing w:val="-2"/>
              </w:rPr>
              <w:t>967</w:t>
            </w:r>
          </w:p>
        </w:tc>
        <w:tc>
          <w:tcPr>
            <w:tcW w:w="1289" w:type="dxa"/>
            <w:vAlign w:val="top"/>
          </w:tcPr>
          <w:p>
            <w:pPr>
              <w:pStyle w:val="TableText"/>
              <w:ind w:left="210"/>
              <w:spacing w:before="148" w:line="220" w:lineRule="auto"/>
              <w:rPr>
                <w:sz w:val="17"/>
                <w:szCs w:val="17"/>
              </w:rPr>
            </w:pPr>
            <w:r>
              <w:rPr>
                <w:sz w:val="17"/>
                <w:szCs w:val="17"/>
                <w:spacing w:val="3"/>
              </w:rPr>
              <w:t>国家密码局</w:t>
            </w:r>
          </w:p>
        </w:tc>
        <w:tc>
          <w:tcPr>
            <w:tcW w:w="1638" w:type="dxa"/>
            <w:vAlign w:val="top"/>
          </w:tcPr>
          <w:p>
            <w:pPr>
              <w:pStyle w:val="TableText"/>
              <w:ind w:left="52" w:right="18" w:firstLine="20"/>
              <w:spacing w:before="48" w:line="208" w:lineRule="auto"/>
              <w:rPr>
                <w:sz w:val="17"/>
                <w:szCs w:val="17"/>
              </w:rPr>
            </w:pPr>
            <w:r>
              <w:rPr>
                <w:sz w:val="17"/>
                <w:szCs w:val="17"/>
              </w:rPr>
              <w:t>电子认证服务使用素</w:t>
            </w:r>
            <w:r>
              <w:rPr>
                <w:sz w:val="17"/>
                <w:szCs w:val="17"/>
                <w:spacing w:val="6"/>
              </w:rPr>
              <w:t xml:space="preserve"> </w:t>
            </w:r>
            <w:r>
              <w:rPr>
                <w:sz w:val="17"/>
                <w:szCs w:val="17"/>
                <w:spacing w:val="-2"/>
              </w:rPr>
              <w:t>码许可</w:t>
            </w:r>
          </w:p>
        </w:tc>
        <w:tc>
          <w:tcPr>
            <w:tcW w:w="2367" w:type="dxa"/>
            <w:vAlign w:val="top"/>
          </w:tcPr>
          <w:p>
            <w:pPr>
              <w:pStyle w:val="TableText"/>
              <w:ind w:left="63"/>
              <w:spacing w:before="148" w:line="220" w:lineRule="auto"/>
              <w:rPr>
                <w:sz w:val="17"/>
                <w:szCs w:val="17"/>
              </w:rPr>
            </w:pPr>
            <w:r>
              <w:rPr>
                <w:sz w:val="17"/>
                <w:szCs w:val="17"/>
                <w:spacing w:val="1"/>
              </w:rPr>
              <w:t>国家丽码地</w:t>
            </w:r>
          </w:p>
        </w:tc>
        <w:tc>
          <w:tcPr>
            <w:tcW w:w="3711" w:type="dxa"/>
            <w:vAlign w:val="top"/>
          </w:tcPr>
          <w:p>
            <w:pPr>
              <w:pStyle w:val="TableText"/>
              <w:spacing w:before="148" w:line="220" w:lineRule="auto"/>
              <w:rPr>
                <w:sz w:val="17"/>
                <w:szCs w:val="17"/>
              </w:rPr>
            </w:pPr>
            <w:r>
              <w:rPr>
                <w:sz w:val="17"/>
                <w:szCs w:val="17"/>
                <w:spacing w:val="-5"/>
              </w:rPr>
              <w:t>《中华人民我和国电子怎名法》</w:t>
            </w:r>
          </w:p>
        </w:tc>
      </w:tr>
      <w:tr>
        <w:trPr>
          <w:trHeight w:val="459" w:hRule="atLeast"/>
        </w:trPr>
        <w:tc>
          <w:tcPr>
            <w:tcW w:w="584" w:type="dxa"/>
            <w:vAlign w:val="top"/>
          </w:tcPr>
          <w:p>
            <w:pPr>
              <w:pStyle w:val="TableText"/>
              <w:ind w:left="154"/>
              <w:spacing w:before="192" w:line="183" w:lineRule="auto"/>
              <w:rPr>
                <w:sz w:val="17"/>
                <w:szCs w:val="17"/>
              </w:rPr>
            </w:pPr>
            <w:r>
              <w:rPr>
                <w:sz w:val="17"/>
                <w:szCs w:val="17"/>
                <w:spacing w:val="-2"/>
              </w:rPr>
              <w:t>9H#</w:t>
            </w:r>
          </w:p>
        </w:tc>
        <w:tc>
          <w:tcPr>
            <w:tcW w:w="1289" w:type="dxa"/>
            <w:vAlign w:val="top"/>
          </w:tcPr>
          <w:p>
            <w:pPr>
              <w:pStyle w:val="TableText"/>
              <w:ind w:left="210"/>
              <w:spacing w:before="149" w:line="219" w:lineRule="auto"/>
              <w:rPr>
                <w:sz w:val="17"/>
                <w:szCs w:val="17"/>
              </w:rPr>
            </w:pPr>
            <w:r>
              <w:rPr>
                <w:sz w:val="17"/>
                <w:szCs w:val="17"/>
                <w:spacing w:val="3"/>
              </w:rPr>
              <w:t>国家德玛岛</w:t>
            </w:r>
          </w:p>
        </w:tc>
        <w:tc>
          <w:tcPr>
            <w:tcW w:w="1638" w:type="dxa"/>
            <w:vAlign w:val="top"/>
          </w:tcPr>
          <w:p>
            <w:pPr>
              <w:pStyle w:val="TableText"/>
              <w:ind w:left="52" w:right="2" w:firstLine="69"/>
              <w:spacing w:before="58" w:line="212" w:lineRule="auto"/>
              <w:rPr>
                <w:sz w:val="17"/>
                <w:szCs w:val="17"/>
              </w:rPr>
            </w:pPr>
            <w:r>
              <w:rPr>
                <w:sz w:val="17"/>
                <w:szCs w:val="17"/>
                <w:spacing w:val="-3"/>
              </w:rPr>
              <w:t>电子政务电于认监双</w:t>
            </w:r>
            <w:r>
              <w:rPr>
                <w:sz w:val="17"/>
                <w:szCs w:val="17"/>
              </w:rPr>
              <w:t xml:space="preserve"> </w:t>
            </w:r>
            <w:r>
              <w:rPr>
                <w:sz w:val="17"/>
                <w:szCs w:val="17"/>
                <w:spacing w:val="2"/>
              </w:rPr>
              <w:t>办宽度认定</w:t>
            </w:r>
          </w:p>
        </w:tc>
        <w:tc>
          <w:tcPr>
            <w:tcW w:w="2367" w:type="dxa"/>
            <w:vAlign w:val="top"/>
          </w:tcPr>
          <w:p>
            <w:pPr>
              <w:pStyle w:val="TableText"/>
              <w:ind w:left="63"/>
              <w:spacing w:before="149" w:line="220" w:lineRule="auto"/>
              <w:rPr>
                <w:sz w:val="17"/>
                <w:szCs w:val="17"/>
              </w:rPr>
            </w:pPr>
            <w:r>
              <w:rPr>
                <w:sz w:val="17"/>
                <w:szCs w:val="17"/>
                <w:spacing w:val="3"/>
              </w:rPr>
              <w:t>国家密码局</w:t>
            </w:r>
          </w:p>
        </w:tc>
        <w:tc>
          <w:tcPr>
            <w:tcW w:w="3711" w:type="dxa"/>
            <w:vAlign w:val="top"/>
          </w:tcPr>
          <w:p>
            <w:pPr>
              <w:pStyle w:val="TableText"/>
              <w:spacing w:before="149" w:line="219" w:lineRule="auto"/>
              <w:rPr>
                <w:sz w:val="17"/>
                <w:szCs w:val="17"/>
              </w:rPr>
            </w:pPr>
            <w:r>
              <w:rPr>
                <w:sz w:val="17"/>
                <w:szCs w:val="17"/>
                <w:spacing w:val="-5"/>
              </w:rPr>
              <w:t>《中华人民共和国密码法》</w:t>
            </w:r>
          </w:p>
        </w:tc>
      </w:tr>
      <w:tr>
        <w:trPr>
          <w:trHeight w:val="659" w:hRule="atLeast"/>
        </w:trPr>
        <w:tc>
          <w:tcPr>
            <w:tcW w:w="584" w:type="dxa"/>
            <w:vAlign w:val="top"/>
          </w:tcPr>
          <w:p>
            <w:pPr>
              <w:pStyle w:val="TableText"/>
              <w:ind w:left="194"/>
              <w:spacing w:before="293" w:line="183" w:lineRule="auto"/>
              <w:rPr>
                <w:sz w:val="17"/>
                <w:szCs w:val="17"/>
              </w:rPr>
            </w:pPr>
            <w:r>
              <w:rPr>
                <w:sz w:val="17"/>
                <w:szCs w:val="17"/>
                <w:spacing w:val="-2"/>
              </w:rPr>
              <w:t>90</w:t>
            </w:r>
          </w:p>
        </w:tc>
        <w:tc>
          <w:tcPr>
            <w:tcW w:w="1289" w:type="dxa"/>
            <w:vAlign w:val="top"/>
          </w:tcPr>
          <w:p>
            <w:pPr>
              <w:pStyle w:val="TableText"/>
              <w:ind w:left="210"/>
              <w:spacing w:before="250" w:line="220" w:lineRule="auto"/>
              <w:rPr>
                <w:sz w:val="17"/>
                <w:szCs w:val="17"/>
              </w:rPr>
            </w:pPr>
            <w:r>
              <w:rPr>
                <w:sz w:val="17"/>
                <w:szCs w:val="17"/>
                <w:spacing w:val="3"/>
              </w:rPr>
              <w:t>国家电影局</w:t>
            </w:r>
          </w:p>
        </w:tc>
        <w:tc>
          <w:tcPr>
            <w:tcW w:w="1638" w:type="dxa"/>
            <w:vAlign w:val="top"/>
          </w:tcPr>
          <w:p>
            <w:pPr>
              <w:pStyle w:val="TableText"/>
              <w:ind w:left="52"/>
              <w:spacing w:before="60" w:line="213" w:lineRule="auto"/>
              <w:rPr>
                <w:sz w:val="17"/>
                <w:szCs w:val="17"/>
              </w:rPr>
            </w:pPr>
            <w:r>
              <w:rPr>
                <w:sz w:val="17"/>
                <w:szCs w:val="17"/>
                <w:spacing w:val="-9"/>
              </w:rPr>
              <w:t>电型监行单位设立。</w:t>
            </w:r>
            <w:r>
              <w:rPr>
                <w:sz w:val="17"/>
                <w:szCs w:val="17"/>
                <w:spacing w:val="3"/>
              </w:rPr>
              <w:t xml:space="preserve">  </w:t>
            </w:r>
            <w:r>
              <w:rPr>
                <w:sz w:val="17"/>
                <w:szCs w:val="17"/>
                <w:spacing w:val="-13"/>
              </w:rPr>
              <w:t>雪里业各波图，省井。</w:t>
            </w:r>
            <w:r>
              <w:rPr>
                <w:sz w:val="17"/>
                <w:szCs w:val="17"/>
                <w:spacing w:val="4"/>
              </w:rPr>
              <w:t xml:space="preserve"> </w:t>
            </w:r>
            <w:r>
              <w:rPr>
                <w:sz w:val="17"/>
                <w:szCs w:val="17"/>
                <w:spacing w:val="-8"/>
              </w:rPr>
              <w:t>合并，分立非批</w:t>
            </w:r>
          </w:p>
        </w:tc>
        <w:tc>
          <w:tcPr>
            <w:tcW w:w="2367" w:type="dxa"/>
            <w:vAlign w:val="top"/>
          </w:tcPr>
          <w:p>
            <w:pPr>
              <w:pStyle w:val="TableText"/>
              <w:ind w:left="63"/>
              <w:spacing w:before="248" w:line="219" w:lineRule="auto"/>
              <w:rPr>
                <w:sz w:val="17"/>
                <w:szCs w:val="17"/>
              </w:rPr>
            </w:pPr>
            <w:r>
              <w:rPr>
                <w:sz w:val="17"/>
                <w:szCs w:val="17"/>
                <w:spacing w:val="1"/>
              </w:rPr>
              <w:t>国家电感局，青统电影前门</w:t>
            </w:r>
          </w:p>
        </w:tc>
        <w:tc>
          <w:tcPr>
            <w:tcW w:w="3711" w:type="dxa"/>
            <w:vAlign w:val="top"/>
          </w:tcPr>
          <w:p>
            <w:pPr>
              <w:pStyle w:val="TableText"/>
              <w:spacing w:before="159" w:line="196" w:lineRule="auto"/>
              <w:rPr>
                <w:sz w:val="17"/>
                <w:szCs w:val="17"/>
              </w:rPr>
            </w:pPr>
            <w:r>
              <w:rPr>
                <w:sz w:val="17"/>
                <w:szCs w:val="17"/>
                <w:spacing w:val="-4"/>
              </w:rPr>
              <w:t>《中生人促共和国电安产身促进法</w:t>
            </w:r>
          </w:p>
          <w:p>
            <w:pPr>
              <w:pStyle w:val="TableText"/>
              <w:spacing w:line="219" w:lineRule="auto"/>
              <w:rPr>
                <w:sz w:val="17"/>
                <w:szCs w:val="17"/>
              </w:rPr>
            </w:pPr>
            <w:r>
              <w:rPr>
                <w:sz w:val="17"/>
                <w:szCs w:val="17"/>
                <w:spacing w:val="-6"/>
              </w:rPr>
              <w:t>《电签管源条间</w:t>
            </w:r>
          </w:p>
        </w:tc>
      </w:tr>
      <w:tr>
        <w:trPr>
          <w:trHeight w:val="659" w:hRule="atLeast"/>
        </w:trPr>
        <w:tc>
          <w:tcPr>
            <w:tcW w:w="584" w:type="dxa"/>
            <w:vAlign w:val="top"/>
          </w:tcPr>
          <w:p>
            <w:pPr>
              <w:pStyle w:val="TableText"/>
              <w:ind w:left="154"/>
              <w:spacing w:before="293" w:line="184" w:lineRule="auto"/>
              <w:rPr>
                <w:sz w:val="17"/>
                <w:szCs w:val="17"/>
              </w:rPr>
            </w:pPr>
            <w:r>
              <w:rPr>
                <w:sz w:val="17"/>
                <w:szCs w:val="17"/>
                <w:spacing w:val="-2"/>
              </w:rPr>
              <w:t>971</w:t>
            </w:r>
          </w:p>
        </w:tc>
        <w:tc>
          <w:tcPr>
            <w:tcW w:w="1289" w:type="dxa"/>
            <w:vAlign w:val="top"/>
          </w:tcPr>
          <w:p>
            <w:pPr>
              <w:pStyle w:val="TableText"/>
              <w:ind w:left="210"/>
              <w:spacing w:before="251" w:line="220" w:lineRule="auto"/>
              <w:rPr>
                <w:sz w:val="17"/>
                <w:szCs w:val="17"/>
              </w:rPr>
            </w:pPr>
            <w:r>
              <w:rPr>
                <w:sz w:val="17"/>
                <w:szCs w:val="17"/>
                <w:spacing w:val="3"/>
              </w:rPr>
              <w:t>国家电意局</w:t>
            </w:r>
          </w:p>
        </w:tc>
        <w:tc>
          <w:tcPr>
            <w:tcW w:w="1638" w:type="dxa"/>
            <w:vAlign w:val="top"/>
          </w:tcPr>
          <w:p>
            <w:pPr>
              <w:pStyle w:val="TableText"/>
              <w:ind w:left="52" w:right="48" w:hanging="10"/>
              <w:spacing w:before="151" w:line="217" w:lineRule="auto"/>
              <w:rPr>
                <w:sz w:val="17"/>
                <w:szCs w:val="17"/>
              </w:rPr>
            </w:pPr>
            <w:r>
              <w:rPr>
                <w:sz w:val="17"/>
                <w:szCs w:val="17"/>
              </w:rPr>
              <w:t>电能族验单位设文康</w:t>
            </w:r>
            <w:r>
              <w:rPr>
                <w:sz w:val="17"/>
                <w:szCs w:val="17"/>
                <w:spacing w:val="6"/>
              </w:rPr>
              <w:t xml:space="preserve"> </w:t>
            </w:r>
            <w:r>
              <w:rPr>
                <w:sz w:val="17"/>
                <w:szCs w:val="17"/>
              </w:rPr>
              <w:t>世</w:t>
            </w:r>
          </w:p>
        </w:tc>
        <w:tc>
          <w:tcPr>
            <w:tcW w:w="2367" w:type="dxa"/>
            <w:vAlign w:val="top"/>
          </w:tcPr>
          <w:p>
            <w:pPr>
              <w:pStyle w:val="TableText"/>
              <w:ind w:left="63"/>
              <w:spacing w:before="251" w:line="219" w:lineRule="auto"/>
              <w:rPr>
                <w:sz w:val="17"/>
                <w:szCs w:val="17"/>
              </w:rPr>
            </w:pPr>
            <w:r>
              <w:rPr>
                <w:sz w:val="17"/>
                <w:szCs w:val="17"/>
                <w:spacing w:val="2"/>
              </w:rPr>
              <w:t>容雄，甚报电起等门</w:t>
            </w:r>
          </w:p>
        </w:tc>
        <w:tc>
          <w:tcPr>
            <w:tcW w:w="3711" w:type="dxa"/>
            <w:vAlign w:val="top"/>
          </w:tcPr>
          <w:p>
            <w:pPr>
              <w:pStyle w:val="TableText"/>
              <w:ind w:left="36"/>
              <w:spacing w:before="39" w:line="229" w:lineRule="auto"/>
              <w:rPr>
                <w:sz w:val="17"/>
                <w:szCs w:val="17"/>
              </w:rPr>
            </w:pPr>
            <w:r>
              <w:rPr>
                <w:sz w:val="17"/>
                <w:szCs w:val="17"/>
              </w:rPr>
              <w:t>(中华人民共和国电感产业促进器》</w:t>
            </w:r>
          </w:p>
          <w:p>
            <w:pPr>
              <w:pStyle w:val="TableText"/>
              <w:ind w:left="36"/>
              <w:spacing w:line="219" w:lineRule="auto"/>
              <w:rPr>
                <w:sz w:val="17"/>
                <w:szCs w:val="17"/>
              </w:rPr>
            </w:pPr>
            <w:r>
              <w:rPr>
                <w:sz w:val="17"/>
                <w:szCs w:val="17"/>
                <w:spacing w:val="4"/>
              </w:rPr>
              <w:t>(电参管理学例)</w:t>
            </w:r>
          </w:p>
          <w:p>
            <w:pPr>
              <w:pStyle w:val="TableText"/>
              <w:spacing w:before="18" w:line="193" w:lineRule="auto"/>
              <w:rPr>
                <w:sz w:val="17"/>
                <w:szCs w:val="17"/>
              </w:rPr>
            </w:pPr>
            <w:r>
              <w:rPr>
                <w:sz w:val="17"/>
                <w:szCs w:val="17"/>
                <w:spacing w:val="-6"/>
              </w:rPr>
              <w:t>《并商程资电意能暂行汽定</w:t>
            </w:r>
          </w:p>
        </w:tc>
      </w:tr>
      <w:tr>
        <w:trPr>
          <w:trHeight w:val="459" w:hRule="atLeast"/>
        </w:trPr>
        <w:tc>
          <w:tcPr>
            <w:tcW w:w="584" w:type="dxa"/>
            <w:vAlign w:val="top"/>
          </w:tcPr>
          <w:p>
            <w:pPr>
              <w:pStyle w:val="TableText"/>
              <w:ind w:left="154"/>
              <w:spacing w:before="194" w:line="184" w:lineRule="auto"/>
              <w:rPr>
                <w:sz w:val="17"/>
                <w:szCs w:val="17"/>
              </w:rPr>
            </w:pPr>
            <w:r>
              <w:rPr>
                <w:sz w:val="17"/>
                <w:szCs w:val="17"/>
                <w:spacing w:val="-2"/>
              </w:rPr>
              <w:t>971</w:t>
            </w:r>
          </w:p>
        </w:tc>
        <w:tc>
          <w:tcPr>
            <w:tcW w:w="1289" w:type="dxa"/>
            <w:vAlign w:val="top"/>
          </w:tcPr>
          <w:p>
            <w:pPr>
              <w:pStyle w:val="TableText"/>
              <w:ind w:left="210"/>
              <w:spacing w:before="152" w:line="220" w:lineRule="auto"/>
              <w:rPr>
                <w:sz w:val="17"/>
                <w:szCs w:val="17"/>
              </w:rPr>
            </w:pPr>
            <w:r>
              <w:rPr>
                <w:sz w:val="17"/>
                <w:szCs w:val="17"/>
                <w:spacing w:val="2"/>
              </w:rPr>
              <w:t>国家电眼属</w:t>
            </w:r>
          </w:p>
        </w:tc>
        <w:tc>
          <w:tcPr>
            <w:tcW w:w="1638" w:type="dxa"/>
            <w:vAlign w:val="top"/>
          </w:tcPr>
          <w:p>
            <w:pPr>
              <w:pStyle w:val="TableText"/>
              <w:ind w:left="52"/>
              <w:spacing w:before="150" w:line="219" w:lineRule="auto"/>
              <w:rPr>
                <w:sz w:val="17"/>
                <w:szCs w:val="17"/>
              </w:rPr>
            </w:pPr>
            <w:r>
              <w:rPr>
                <w:sz w:val="17"/>
                <w:szCs w:val="17"/>
                <w:spacing w:val="1"/>
              </w:rPr>
              <w:t>电眼制本程微甲查</w:t>
            </w:r>
          </w:p>
        </w:tc>
        <w:tc>
          <w:tcPr>
            <w:tcW w:w="2367" w:type="dxa"/>
            <w:vAlign w:val="top"/>
          </w:tcPr>
          <w:p>
            <w:pPr>
              <w:pStyle w:val="TableText"/>
              <w:ind w:left="63"/>
              <w:spacing w:before="152" w:line="219" w:lineRule="auto"/>
              <w:rPr>
                <w:sz w:val="17"/>
                <w:szCs w:val="17"/>
              </w:rPr>
            </w:pPr>
            <w:r>
              <w:rPr>
                <w:sz w:val="17"/>
                <w:szCs w:val="17"/>
                <w:spacing w:val="1"/>
              </w:rPr>
              <w:t>障聚电些局；着级电素器门</w:t>
            </w:r>
          </w:p>
        </w:tc>
        <w:tc>
          <w:tcPr>
            <w:tcW w:w="3711" w:type="dxa"/>
            <w:vAlign w:val="top"/>
          </w:tcPr>
          <w:p>
            <w:pPr>
              <w:pStyle w:val="TableText"/>
              <w:spacing w:before="51" w:line="239" w:lineRule="auto"/>
              <w:rPr>
                <w:sz w:val="17"/>
                <w:szCs w:val="17"/>
              </w:rPr>
            </w:pPr>
            <w:r>
              <w:rPr>
                <w:sz w:val="17"/>
                <w:szCs w:val="17"/>
                <w:spacing w:val="-4"/>
              </w:rPr>
              <w:t>《中华人民共和国电修产支促进法》</w:t>
            </w:r>
          </w:p>
          <w:p>
            <w:pPr>
              <w:pStyle w:val="TableText"/>
              <w:spacing w:line="192" w:lineRule="auto"/>
              <w:rPr>
                <w:sz w:val="17"/>
                <w:szCs w:val="17"/>
              </w:rPr>
            </w:pPr>
            <w:r>
              <w:rPr>
                <w:sz w:val="17"/>
                <w:szCs w:val="17"/>
                <w:spacing w:val="-3"/>
              </w:rPr>
              <w:t>《电每资理条州1</w:t>
            </w:r>
          </w:p>
        </w:tc>
      </w:tr>
      <w:tr>
        <w:trPr>
          <w:trHeight w:val="459" w:hRule="atLeast"/>
        </w:trPr>
        <w:tc>
          <w:tcPr>
            <w:tcW w:w="584" w:type="dxa"/>
            <w:vAlign w:val="top"/>
          </w:tcPr>
          <w:p>
            <w:pPr>
              <w:pStyle w:val="TableText"/>
              <w:ind w:left="154"/>
              <w:spacing w:before="196" w:line="183" w:lineRule="auto"/>
              <w:rPr>
                <w:sz w:val="17"/>
                <w:szCs w:val="17"/>
              </w:rPr>
            </w:pPr>
            <w:r>
              <w:rPr>
                <w:sz w:val="17"/>
                <w:szCs w:val="17"/>
                <w:spacing w:val="-3"/>
              </w:rPr>
              <w:t>572</w:t>
            </w:r>
          </w:p>
        </w:tc>
        <w:tc>
          <w:tcPr>
            <w:tcW w:w="1289" w:type="dxa"/>
            <w:vAlign w:val="top"/>
          </w:tcPr>
          <w:p>
            <w:pPr>
              <w:pStyle w:val="TableText"/>
              <w:ind w:left="210"/>
              <w:spacing w:before="153" w:line="220" w:lineRule="auto"/>
              <w:rPr>
                <w:sz w:val="17"/>
                <w:szCs w:val="17"/>
              </w:rPr>
            </w:pPr>
            <w:r>
              <w:rPr>
                <w:sz w:val="17"/>
                <w:szCs w:val="17"/>
                <w:spacing w:val="3"/>
              </w:rPr>
              <w:t>国家电您局</w:t>
            </w:r>
          </w:p>
        </w:tc>
        <w:tc>
          <w:tcPr>
            <w:tcW w:w="1638" w:type="dxa"/>
            <w:vAlign w:val="top"/>
          </w:tcPr>
          <w:p>
            <w:pPr>
              <w:pStyle w:val="TableText"/>
              <w:ind w:left="52"/>
              <w:spacing w:before="153" w:line="220" w:lineRule="auto"/>
              <w:rPr>
                <w:sz w:val="17"/>
                <w:szCs w:val="17"/>
              </w:rPr>
            </w:pPr>
            <w:r>
              <w:rPr>
                <w:sz w:val="17"/>
                <w:szCs w:val="17"/>
                <w:spacing w:val="1"/>
              </w:rPr>
              <w:t>电基片业者</w:t>
            </w:r>
          </w:p>
        </w:tc>
        <w:tc>
          <w:tcPr>
            <w:tcW w:w="2367" w:type="dxa"/>
            <w:vAlign w:val="top"/>
          </w:tcPr>
          <w:p>
            <w:pPr>
              <w:pStyle w:val="TableText"/>
              <w:ind w:left="63"/>
              <w:spacing w:before="153" w:line="219" w:lineRule="auto"/>
              <w:rPr>
                <w:sz w:val="17"/>
                <w:szCs w:val="17"/>
              </w:rPr>
            </w:pPr>
            <w:r>
              <w:rPr>
                <w:sz w:val="17"/>
                <w:szCs w:val="17"/>
                <w:spacing w:val="1"/>
              </w:rPr>
              <w:t>国家屯紫片，者模电委驾门</w:t>
            </w:r>
          </w:p>
        </w:tc>
        <w:tc>
          <w:tcPr>
            <w:tcW w:w="3711" w:type="dxa"/>
            <w:vAlign w:val="top"/>
          </w:tcPr>
          <w:p>
            <w:pPr>
              <w:pStyle w:val="TableText"/>
              <w:spacing w:before="72" w:line="196" w:lineRule="auto"/>
              <w:rPr>
                <w:sz w:val="17"/>
                <w:szCs w:val="17"/>
              </w:rPr>
            </w:pPr>
            <w:r>
              <w:rPr>
                <w:sz w:val="17"/>
                <w:szCs w:val="17"/>
                <w:spacing w:val="-4"/>
              </w:rPr>
              <w:t>《中华人民共机国电账产业促进法》</w:t>
            </w:r>
          </w:p>
          <w:p>
            <w:pPr>
              <w:pStyle w:val="TableText"/>
              <w:spacing w:line="213" w:lineRule="auto"/>
              <w:rPr>
                <w:sz w:val="17"/>
                <w:szCs w:val="17"/>
              </w:rPr>
            </w:pPr>
            <w:r>
              <w:rPr>
                <w:sz w:val="17"/>
                <w:szCs w:val="17"/>
                <w:spacing w:val="-5"/>
              </w:rPr>
              <w:t>《电起置理条信</w:t>
            </w:r>
          </w:p>
        </w:tc>
      </w:tr>
      <w:tr>
        <w:trPr>
          <w:trHeight w:val="460" w:hRule="atLeast"/>
        </w:trPr>
        <w:tc>
          <w:tcPr>
            <w:tcW w:w="584" w:type="dxa"/>
            <w:vAlign w:val="top"/>
          </w:tcPr>
          <w:p>
            <w:pPr>
              <w:pStyle w:val="TableText"/>
              <w:ind w:left="154"/>
              <w:spacing w:before="197" w:line="183" w:lineRule="auto"/>
              <w:rPr>
                <w:sz w:val="17"/>
                <w:szCs w:val="17"/>
              </w:rPr>
            </w:pPr>
            <w:r>
              <w:rPr>
                <w:sz w:val="17"/>
                <w:szCs w:val="17"/>
                <w:spacing w:val="-2"/>
              </w:rPr>
              <w:t>973</w:t>
            </w:r>
          </w:p>
        </w:tc>
        <w:tc>
          <w:tcPr>
            <w:tcW w:w="1289" w:type="dxa"/>
            <w:vAlign w:val="top"/>
          </w:tcPr>
          <w:p>
            <w:pPr>
              <w:pStyle w:val="TableText"/>
              <w:ind w:left="210"/>
              <w:spacing w:before="154" w:line="220" w:lineRule="auto"/>
              <w:rPr>
                <w:sz w:val="17"/>
                <w:szCs w:val="17"/>
              </w:rPr>
            </w:pPr>
            <w:r>
              <w:rPr>
                <w:sz w:val="17"/>
                <w:szCs w:val="17"/>
                <w:spacing w:val="3"/>
              </w:rPr>
              <w:t>国家电患网</w:t>
            </w:r>
          </w:p>
        </w:tc>
        <w:tc>
          <w:tcPr>
            <w:tcW w:w="1638" w:type="dxa"/>
            <w:vAlign w:val="top"/>
          </w:tcPr>
          <w:p>
            <w:pPr>
              <w:pStyle w:val="TableText"/>
              <w:ind w:left="52" w:right="33"/>
              <w:spacing w:before="44" w:line="220" w:lineRule="auto"/>
              <w:rPr>
                <w:sz w:val="17"/>
                <w:szCs w:val="17"/>
              </w:rPr>
            </w:pPr>
            <w:r>
              <w:rPr>
                <w:sz w:val="17"/>
                <w:szCs w:val="17"/>
                <w:spacing w:val="1"/>
              </w:rPr>
              <w:t>中补合性招制电能种</w:t>
            </w:r>
            <w:r>
              <w:rPr>
                <w:sz w:val="17"/>
                <w:szCs w:val="17"/>
                <w:spacing w:val="2"/>
              </w:rPr>
              <w:t xml:space="preserve"> </w:t>
            </w:r>
            <w:r>
              <w:rPr>
                <w:sz w:val="17"/>
                <w:szCs w:val="17"/>
                <w:spacing w:val="3"/>
              </w:rPr>
              <w:t>审荒</w:t>
            </w:r>
          </w:p>
        </w:tc>
        <w:tc>
          <w:tcPr>
            <w:tcW w:w="2367" w:type="dxa"/>
            <w:vAlign w:val="top"/>
          </w:tcPr>
          <w:p>
            <w:pPr>
              <w:pStyle w:val="TableText"/>
              <w:ind w:left="63" w:right="1" w:firstLine="20"/>
              <w:spacing w:before="63" w:line="210" w:lineRule="auto"/>
              <w:rPr>
                <w:sz w:val="17"/>
                <w:szCs w:val="17"/>
              </w:rPr>
            </w:pPr>
            <w:r>
              <w:rPr>
                <w:sz w:val="17"/>
                <w:szCs w:val="17"/>
                <w:spacing w:val="-2"/>
              </w:rPr>
              <w:t>国家电制局(静分由古继电能都</w:t>
            </w:r>
            <w:r>
              <w:rPr>
                <w:sz w:val="17"/>
                <w:szCs w:val="17"/>
                <w:spacing w:val="3"/>
              </w:rPr>
              <w:t xml:space="preserve"> </w:t>
            </w:r>
            <w:r>
              <w:rPr>
                <w:sz w:val="17"/>
                <w:szCs w:val="17"/>
                <w:spacing w:val="8"/>
              </w:rPr>
              <w:t>门初率)</w:t>
            </w:r>
          </w:p>
        </w:tc>
        <w:tc>
          <w:tcPr>
            <w:tcW w:w="3711" w:type="dxa"/>
            <w:vAlign w:val="top"/>
          </w:tcPr>
          <w:p>
            <w:pPr>
              <w:pStyle w:val="TableText"/>
              <w:ind w:left="36"/>
              <w:spacing w:before="73" w:line="196" w:lineRule="auto"/>
              <w:rPr>
                <w:sz w:val="17"/>
                <w:szCs w:val="17"/>
              </w:rPr>
            </w:pPr>
            <w:r>
              <w:rPr>
                <w:sz w:val="17"/>
                <w:szCs w:val="17"/>
              </w:rPr>
              <w:t>中华人民共和面电联产业促进法</w:t>
            </w:r>
          </w:p>
          <w:p>
            <w:pPr>
              <w:pStyle w:val="TableText"/>
              <w:ind w:left="36"/>
              <w:spacing w:line="212" w:lineRule="auto"/>
              <w:rPr>
                <w:sz w:val="17"/>
                <w:szCs w:val="17"/>
              </w:rPr>
            </w:pPr>
            <w:r>
              <w:rPr>
                <w:sz w:val="17"/>
                <w:szCs w:val="17"/>
                <w:spacing w:val="-1"/>
              </w:rPr>
              <w:t>(电形管理条间》</w:t>
            </w:r>
          </w:p>
        </w:tc>
      </w:tr>
      <w:tr>
        <w:trPr>
          <w:trHeight w:val="459" w:hRule="atLeast"/>
        </w:trPr>
        <w:tc>
          <w:tcPr>
            <w:tcW w:w="584" w:type="dxa"/>
            <w:vAlign w:val="top"/>
          </w:tcPr>
          <w:p>
            <w:pPr>
              <w:pStyle w:val="TableText"/>
              <w:ind w:left="154"/>
              <w:spacing w:before="196" w:line="184" w:lineRule="auto"/>
              <w:rPr>
                <w:sz w:val="17"/>
                <w:szCs w:val="17"/>
              </w:rPr>
            </w:pPr>
            <w:r>
              <w:rPr>
                <w:sz w:val="17"/>
                <w:szCs w:val="17"/>
                <w:spacing w:val="-2"/>
              </w:rPr>
              <w:t>971</w:t>
            </w:r>
          </w:p>
        </w:tc>
        <w:tc>
          <w:tcPr>
            <w:tcW w:w="1289" w:type="dxa"/>
            <w:vAlign w:val="top"/>
          </w:tcPr>
          <w:p>
            <w:pPr>
              <w:pStyle w:val="TableText"/>
              <w:ind w:left="210"/>
              <w:spacing w:before="154" w:line="220" w:lineRule="auto"/>
              <w:rPr>
                <w:sz w:val="17"/>
                <w:szCs w:val="17"/>
              </w:rPr>
            </w:pPr>
            <w:r>
              <w:rPr>
                <w:sz w:val="17"/>
                <w:szCs w:val="17"/>
                <w:spacing w:val="3"/>
              </w:rPr>
              <w:t>阿家电卷局</w:t>
            </w:r>
          </w:p>
        </w:tc>
        <w:tc>
          <w:tcPr>
            <w:tcW w:w="1638" w:type="dxa"/>
            <w:vAlign w:val="top"/>
          </w:tcPr>
          <w:p>
            <w:pPr>
              <w:pStyle w:val="TableText"/>
              <w:ind w:left="52" w:right="223"/>
              <w:spacing w:before="54" w:line="213" w:lineRule="auto"/>
              <w:rPr>
                <w:sz w:val="17"/>
                <w:szCs w:val="17"/>
              </w:rPr>
            </w:pPr>
            <w:r>
              <w:rPr>
                <w:sz w:val="17"/>
                <w:szCs w:val="17"/>
                <w:spacing w:val="-1"/>
              </w:rPr>
              <w:t>境补人员卷加电费</w:t>
            </w:r>
            <w:r>
              <w:rPr>
                <w:sz w:val="17"/>
                <w:szCs w:val="17"/>
              </w:rPr>
              <w:t xml:space="preserve"> </w:t>
            </w:r>
            <w:r>
              <w:rPr>
                <w:sz w:val="17"/>
                <w:szCs w:val="17"/>
                <w:spacing w:val="-2"/>
              </w:rPr>
              <w:t>作审兰</w:t>
            </w:r>
          </w:p>
        </w:tc>
        <w:tc>
          <w:tcPr>
            <w:tcW w:w="2367" w:type="dxa"/>
            <w:vAlign w:val="top"/>
          </w:tcPr>
          <w:p>
            <w:pPr>
              <w:pStyle w:val="TableText"/>
              <w:ind w:left="63" w:hanging="9"/>
              <w:spacing w:before="64" w:line="208" w:lineRule="auto"/>
              <w:rPr>
                <w:sz w:val="17"/>
                <w:szCs w:val="17"/>
              </w:rPr>
            </w:pPr>
            <w:r>
              <w:rPr>
                <w:sz w:val="17"/>
                <w:szCs w:val="17"/>
              </w:rPr>
              <w:t>国家屯感身(部分由省型电起的</w:t>
            </w:r>
            <w:r>
              <w:rPr>
                <w:sz w:val="17"/>
                <w:szCs w:val="17"/>
                <w:spacing w:val="6"/>
              </w:rPr>
              <w:t xml:space="preserve"> </w:t>
            </w:r>
            <w:r>
              <w:rPr>
                <w:sz w:val="17"/>
                <w:szCs w:val="17"/>
                <w:spacing w:val="1"/>
              </w:rPr>
              <w:t>门切事3</w:t>
            </w:r>
          </w:p>
        </w:tc>
        <w:tc>
          <w:tcPr>
            <w:tcW w:w="3711" w:type="dxa"/>
            <w:vAlign w:val="top"/>
          </w:tcPr>
          <w:p>
            <w:pPr>
              <w:pStyle w:val="TableText"/>
              <w:ind w:left="83"/>
              <w:spacing w:before="83" w:line="207" w:lineRule="auto"/>
              <w:rPr>
                <w:sz w:val="17"/>
                <w:szCs w:val="17"/>
              </w:rPr>
            </w:pPr>
            <w:r>
              <w:rPr>
                <w:sz w:val="17"/>
                <w:szCs w:val="17"/>
                <w:spacing w:val="-2"/>
              </w:rPr>
              <w:t>C中生人民共用国电能产业促进法1</w:t>
            </w:r>
          </w:p>
          <w:p>
            <w:pPr>
              <w:pStyle w:val="TableText"/>
              <w:spacing w:line="190" w:lineRule="auto"/>
              <w:rPr>
                <w:sz w:val="17"/>
                <w:szCs w:val="17"/>
              </w:rPr>
            </w:pPr>
            <w:r>
              <w:rPr>
                <w:sz w:val="17"/>
                <w:szCs w:val="17"/>
                <w:spacing w:val="-3"/>
              </w:rPr>
              <w:t>《电影堂理条例)</w:t>
            </w:r>
          </w:p>
        </w:tc>
      </w:tr>
      <w:tr>
        <w:trPr>
          <w:trHeight w:val="459" w:hRule="atLeast"/>
        </w:trPr>
        <w:tc>
          <w:tcPr>
            <w:tcW w:w="584" w:type="dxa"/>
            <w:vAlign w:val="top"/>
          </w:tcPr>
          <w:p>
            <w:pPr>
              <w:pStyle w:val="TableText"/>
              <w:ind w:left="154"/>
              <w:spacing w:before="198" w:line="183" w:lineRule="auto"/>
              <w:rPr>
                <w:sz w:val="17"/>
                <w:szCs w:val="17"/>
              </w:rPr>
            </w:pPr>
            <w:r>
              <w:rPr>
                <w:sz w:val="17"/>
                <w:szCs w:val="17"/>
                <w:spacing w:val="-2"/>
              </w:rPr>
              <w:t>978</w:t>
            </w:r>
          </w:p>
        </w:tc>
        <w:tc>
          <w:tcPr>
            <w:tcW w:w="1289" w:type="dxa"/>
            <w:vAlign w:val="top"/>
          </w:tcPr>
          <w:p>
            <w:pPr>
              <w:pStyle w:val="TableText"/>
              <w:ind w:left="210"/>
              <w:spacing w:before="155" w:line="219" w:lineRule="auto"/>
              <w:rPr>
                <w:sz w:val="17"/>
                <w:szCs w:val="17"/>
              </w:rPr>
            </w:pPr>
            <w:r>
              <w:rPr>
                <w:sz w:val="17"/>
                <w:szCs w:val="17"/>
                <w:spacing w:val="1"/>
              </w:rPr>
              <w:t>国零电您是</w:t>
            </w:r>
          </w:p>
        </w:tc>
        <w:tc>
          <w:tcPr>
            <w:tcW w:w="1638" w:type="dxa"/>
            <w:vAlign w:val="top"/>
          </w:tcPr>
          <w:p>
            <w:pPr>
              <w:pStyle w:val="TableText"/>
              <w:ind w:left="52" w:right="38" w:hanging="10"/>
              <w:spacing w:before="54" w:line="214" w:lineRule="auto"/>
              <w:rPr>
                <w:sz w:val="17"/>
                <w:szCs w:val="17"/>
              </w:rPr>
            </w:pPr>
            <w:r>
              <w:rPr>
                <w:sz w:val="17"/>
                <w:szCs w:val="17"/>
                <w:spacing w:val="1"/>
              </w:rPr>
              <w:t>毕办中丹电您愿，国</w:t>
            </w:r>
            <w:r>
              <w:rPr>
                <w:sz w:val="17"/>
                <w:szCs w:val="17"/>
                <w:spacing w:val="7"/>
              </w:rPr>
              <w:t xml:space="preserve"> </w:t>
            </w:r>
            <w:r>
              <w:rPr>
                <w:sz w:val="17"/>
                <w:szCs w:val="17"/>
                <w:spacing w:val="-1"/>
              </w:rPr>
              <w:t>称电慰节中批</w:t>
            </w:r>
          </w:p>
        </w:tc>
        <w:tc>
          <w:tcPr>
            <w:tcW w:w="2367" w:type="dxa"/>
            <w:vAlign w:val="top"/>
          </w:tcPr>
          <w:p>
            <w:pPr>
              <w:pStyle w:val="TableText"/>
              <w:ind w:left="63"/>
              <w:spacing w:before="155" w:line="219" w:lineRule="auto"/>
              <w:rPr>
                <w:sz w:val="17"/>
                <w:szCs w:val="17"/>
              </w:rPr>
            </w:pPr>
            <w:r>
              <w:rPr>
                <w:sz w:val="17"/>
                <w:szCs w:val="17"/>
                <w:spacing w:val="1"/>
              </w:rPr>
              <w:t>国家电能身；在罐电志基门</w:t>
            </w:r>
          </w:p>
        </w:tc>
        <w:tc>
          <w:tcPr>
            <w:tcW w:w="3711" w:type="dxa"/>
            <w:vAlign w:val="top"/>
          </w:tcPr>
          <w:p>
            <w:pPr>
              <w:pStyle w:val="TableText"/>
              <w:spacing w:before="74" w:line="196" w:lineRule="auto"/>
              <w:rPr>
                <w:sz w:val="17"/>
                <w:szCs w:val="17"/>
              </w:rPr>
            </w:pPr>
            <w:r>
              <w:rPr>
                <w:sz w:val="17"/>
                <w:szCs w:val="17"/>
                <w:spacing w:val="-3"/>
              </w:rPr>
              <w:t>《中华人记扰和酬电影产业促进法1</w:t>
            </w:r>
          </w:p>
          <w:p>
            <w:pPr>
              <w:pStyle w:val="TableText"/>
              <w:spacing w:line="210" w:lineRule="auto"/>
              <w:rPr>
                <w:sz w:val="17"/>
                <w:szCs w:val="17"/>
              </w:rPr>
            </w:pPr>
            <w:r>
              <w:rPr>
                <w:sz w:val="17"/>
                <w:szCs w:val="17"/>
                <w:spacing w:val="-5"/>
              </w:rPr>
              <w:t>《电参健理条例3</w:t>
            </w:r>
          </w:p>
        </w:tc>
      </w:tr>
      <w:tr>
        <w:trPr>
          <w:trHeight w:val="470" w:hRule="atLeast"/>
        </w:trPr>
        <w:tc>
          <w:tcPr>
            <w:tcW w:w="584" w:type="dxa"/>
            <w:vAlign w:val="top"/>
          </w:tcPr>
          <w:p>
            <w:pPr>
              <w:pStyle w:val="TableText"/>
              <w:ind w:left="154"/>
              <w:spacing w:before="199" w:line="183" w:lineRule="auto"/>
              <w:rPr>
                <w:sz w:val="17"/>
                <w:szCs w:val="17"/>
              </w:rPr>
            </w:pPr>
            <w:r>
              <w:rPr>
                <w:sz w:val="17"/>
                <w:szCs w:val="17"/>
                <w:spacing w:val="-2"/>
              </w:rPr>
              <w:t>926</w:t>
            </w:r>
          </w:p>
        </w:tc>
        <w:tc>
          <w:tcPr>
            <w:tcW w:w="1289" w:type="dxa"/>
            <w:vAlign w:val="top"/>
          </w:tcPr>
          <w:p>
            <w:pPr>
              <w:pStyle w:val="TableText"/>
              <w:ind w:left="210"/>
              <w:spacing w:before="156" w:line="219" w:lineRule="auto"/>
              <w:rPr>
                <w:sz w:val="17"/>
                <w:szCs w:val="17"/>
              </w:rPr>
            </w:pPr>
            <w:r>
              <w:rPr>
                <w:sz w:val="17"/>
                <w:szCs w:val="17"/>
                <w:spacing w:val="1"/>
              </w:rPr>
              <w:t>国家电参师</w:t>
            </w:r>
          </w:p>
        </w:tc>
        <w:tc>
          <w:tcPr>
            <w:tcW w:w="1638" w:type="dxa"/>
            <w:vAlign w:val="top"/>
          </w:tcPr>
          <w:p>
            <w:pPr>
              <w:pStyle w:val="TableText"/>
              <w:ind w:left="52" w:right="126" w:firstLine="99"/>
              <w:spacing w:before="75" w:line="207" w:lineRule="auto"/>
              <w:rPr>
                <w:sz w:val="17"/>
                <w:szCs w:val="17"/>
              </w:rPr>
            </w:pPr>
            <w:r>
              <w:rPr>
                <w:sz w:val="17"/>
                <w:szCs w:val="17"/>
                <w:spacing w:val="-2"/>
              </w:rPr>
              <w:t>外电影机种在华设</w:t>
            </w:r>
            <w:r>
              <w:rPr>
                <w:sz w:val="17"/>
                <w:szCs w:val="17"/>
                <w:spacing w:val="4"/>
              </w:rPr>
              <w:t xml:space="preserve"> </w:t>
            </w:r>
            <w:r>
              <w:rPr>
                <w:sz w:val="17"/>
                <w:szCs w:val="17"/>
                <w:spacing w:val="-1"/>
              </w:rPr>
              <w:t>立办亦机构审世</w:t>
            </w:r>
          </w:p>
        </w:tc>
        <w:tc>
          <w:tcPr>
            <w:tcW w:w="2367" w:type="dxa"/>
            <w:vAlign w:val="top"/>
          </w:tcPr>
          <w:p>
            <w:pPr>
              <w:pStyle w:val="TableText"/>
              <w:ind w:left="63"/>
              <w:spacing w:before="156" w:line="219" w:lineRule="auto"/>
              <w:rPr>
                <w:sz w:val="17"/>
                <w:szCs w:val="17"/>
              </w:rPr>
            </w:pPr>
            <w:r>
              <w:rPr>
                <w:sz w:val="17"/>
                <w:szCs w:val="17"/>
              </w:rPr>
              <w:t>国家电影局金同围务院新风办</w:t>
            </w:r>
          </w:p>
        </w:tc>
        <w:tc>
          <w:tcPr>
            <w:tcW w:w="3711" w:type="dxa"/>
            <w:vAlign w:val="top"/>
          </w:tcPr>
          <w:p>
            <w:pPr>
              <w:pStyle w:val="TableText"/>
              <w:ind w:left="74" w:right="13" w:hanging="74"/>
              <w:spacing w:before="65" w:line="214" w:lineRule="auto"/>
              <w:rPr>
                <w:sz w:val="17"/>
                <w:szCs w:val="17"/>
              </w:rPr>
            </w:pPr>
            <w:r>
              <w:rPr>
                <w:sz w:val="17"/>
                <w:szCs w:val="17"/>
                <w:spacing w:val="-3"/>
              </w:rPr>
              <w:t>《回务能对确活保留的行政审我项日设定有政许可</w:t>
            </w:r>
            <w:r>
              <w:rPr>
                <w:sz w:val="17"/>
                <w:szCs w:val="17"/>
                <w:spacing w:val="12"/>
              </w:rPr>
              <w:t xml:space="preserve"> </w:t>
            </w:r>
            <w:r>
              <w:rPr>
                <w:sz w:val="17"/>
                <w:szCs w:val="17"/>
                <w:spacing w:val="1"/>
              </w:rPr>
              <w:t>的夹定</w:t>
            </w:r>
          </w:p>
        </w:tc>
      </w:tr>
      <w:tr>
        <w:trPr>
          <w:trHeight w:val="684" w:hRule="atLeast"/>
        </w:trPr>
        <w:tc>
          <w:tcPr>
            <w:tcW w:w="584" w:type="dxa"/>
            <w:vAlign w:val="top"/>
          </w:tcPr>
          <w:p>
            <w:pPr>
              <w:spacing w:line="253" w:lineRule="auto"/>
              <w:rPr>
                <w:rFonts w:ascii="Arial"/>
                <w:sz w:val="21"/>
              </w:rPr>
            </w:pPr>
            <w:r/>
          </w:p>
          <w:p>
            <w:pPr>
              <w:pStyle w:val="TableText"/>
              <w:ind w:left="154"/>
              <w:spacing w:before="55" w:line="183" w:lineRule="auto"/>
              <w:rPr>
                <w:sz w:val="17"/>
                <w:szCs w:val="17"/>
              </w:rPr>
            </w:pPr>
            <w:r>
              <w:rPr>
                <w:sz w:val="17"/>
                <w:szCs w:val="17"/>
                <w:spacing w:val="-2"/>
              </w:rPr>
              <w:t>977</w:t>
            </w:r>
          </w:p>
        </w:tc>
        <w:tc>
          <w:tcPr>
            <w:tcW w:w="1289" w:type="dxa"/>
            <w:vAlign w:val="top"/>
          </w:tcPr>
          <w:p>
            <w:pPr>
              <w:pStyle w:val="TableText"/>
              <w:ind w:left="120"/>
              <w:spacing w:before="156" w:line="220" w:lineRule="auto"/>
              <w:rPr>
                <w:sz w:val="17"/>
                <w:szCs w:val="17"/>
              </w:rPr>
            </w:pPr>
            <w:r>
              <w:rPr>
                <w:sz w:val="17"/>
                <w:szCs w:val="17"/>
                <w:spacing w:val="1"/>
              </w:rPr>
              <w:t>国家事业单位</w:t>
            </w:r>
          </w:p>
          <w:p>
            <w:pPr>
              <w:pStyle w:val="TableText"/>
              <w:ind w:left="210"/>
              <w:spacing w:before="6" w:line="219" w:lineRule="auto"/>
              <w:rPr>
                <w:sz w:val="17"/>
                <w:szCs w:val="17"/>
              </w:rPr>
            </w:pPr>
            <w:r>
              <w:rPr>
                <w:sz w:val="17"/>
                <w:szCs w:val="17"/>
                <w:spacing w:val="-2"/>
              </w:rPr>
              <w:t>登记管理高</w:t>
            </w:r>
          </w:p>
        </w:tc>
        <w:tc>
          <w:tcPr>
            <w:tcW w:w="1638" w:type="dxa"/>
            <w:vAlign w:val="top"/>
          </w:tcPr>
          <w:p>
            <w:pPr>
              <w:pStyle w:val="TableText"/>
              <w:ind w:left="52"/>
              <w:spacing w:before="266" w:line="220" w:lineRule="auto"/>
              <w:rPr>
                <w:sz w:val="17"/>
                <w:szCs w:val="17"/>
              </w:rPr>
            </w:pPr>
            <w:r>
              <w:rPr>
                <w:sz w:val="17"/>
                <w:szCs w:val="17"/>
                <w:spacing w:val="-1"/>
              </w:rPr>
              <w:t>事业单位查记</w:t>
            </w:r>
          </w:p>
        </w:tc>
        <w:tc>
          <w:tcPr>
            <w:tcW w:w="2367" w:type="dxa"/>
            <w:vAlign w:val="top"/>
          </w:tcPr>
          <w:p>
            <w:pPr>
              <w:pStyle w:val="TableText"/>
              <w:ind w:left="63" w:hanging="9"/>
              <w:spacing w:before="66" w:line="220" w:lineRule="auto"/>
              <w:rPr>
                <w:sz w:val="17"/>
                <w:szCs w:val="17"/>
              </w:rPr>
            </w:pPr>
            <w:r>
              <w:rPr>
                <w:sz w:val="17"/>
                <w:szCs w:val="17"/>
              </w:rPr>
              <w:t>国家事业单位查记管理局；盗</w:t>
            </w:r>
            <w:r>
              <w:rPr>
                <w:sz w:val="17"/>
                <w:szCs w:val="17"/>
                <w:spacing w:val="2"/>
              </w:rPr>
              <w:t xml:space="preserve">  </w:t>
            </w:r>
            <w:r>
              <w:rPr>
                <w:sz w:val="17"/>
                <w:szCs w:val="17"/>
                <w:spacing w:val="-7"/>
              </w:rPr>
              <w:t>限、设区的市冤、县观事空单位</w:t>
            </w:r>
            <w:r>
              <w:rPr>
                <w:sz w:val="17"/>
                <w:szCs w:val="17"/>
                <w:spacing w:val="10"/>
              </w:rPr>
              <w:t xml:space="preserve"> </w:t>
            </w:r>
            <w:r>
              <w:rPr>
                <w:sz w:val="17"/>
                <w:szCs w:val="17"/>
                <w:spacing w:val="-2"/>
              </w:rPr>
              <w:t>登记管建机关</w:t>
            </w:r>
          </w:p>
        </w:tc>
        <w:tc>
          <w:tcPr>
            <w:tcW w:w="3711" w:type="dxa"/>
            <w:vAlign w:val="top"/>
          </w:tcPr>
          <w:p>
            <w:pPr>
              <w:pStyle w:val="TableText"/>
              <w:spacing w:before="66" w:line="219" w:lineRule="auto"/>
              <w:rPr>
                <w:sz w:val="17"/>
                <w:szCs w:val="17"/>
              </w:rPr>
            </w:pPr>
            <w:r>
              <w:rPr>
                <w:sz w:val="17"/>
                <w:szCs w:val="17"/>
                <w:spacing w:val="-4"/>
              </w:rPr>
              <w:t>《非业单位登记管理暂行条的1</w:t>
            </w:r>
          </w:p>
          <w:p>
            <w:pPr>
              <w:pStyle w:val="TableText"/>
              <w:spacing w:before="8" w:line="219" w:lineRule="auto"/>
              <w:jc w:val="right"/>
              <w:rPr>
                <w:sz w:val="17"/>
                <w:szCs w:val="17"/>
              </w:rPr>
            </w:pPr>
            <w:r>
              <w:rPr>
                <w:sz w:val="17"/>
                <w:szCs w:val="17"/>
                <w:spacing w:val="-4"/>
              </w:rPr>
              <w:t>《事业单位在记管现有行者创实施相则</w:t>
            </w:r>
            <w:r>
              <w:rPr>
                <w:sz w:val="17"/>
                <w:szCs w:val="17"/>
                <w:spacing w:val="18"/>
              </w:rPr>
              <w:t xml:space="preserve">  </w:t>
            </w:r>
            <w:r>
              <w:rPr>
                <w:sz w:val="17"/>
                <w:szCs w:val="17"/>
                <w:spacing w:val="-4"/>
              </w:rPr>
              <w:t>中夹响办</w:t>
            </w:r>
          </w:p>
          <w:p>
            <w:pPr>
              <w:pStyle w:val="TableText"/>
              <w:ind w:left="36"/>
              <w:spacing w:before="8" w:line="204" w:lineRule="auto"/>
              <w:rPr>
                <w:sz w:val="17"/>
                <w:szCs w:val="17"/>
              </w:rPr>
            </w:pPr>
            <w:r>
              <w:rPr>
                <w:sz w:val="17"/>
                <w:szCs w:val="17"/>
                <w:spacing w:val="3"/>
              </w:rPr>
              <w:t>发12064]4号)</w:t>
            </w:r>
          </w:p>
        </w:tc>
      </w:tr>
    </w:tbl>
    <w:p>
      <w:pPr>
        <w:pStyle w:val="BodyText"/>
        <w:rPr/>
      </w:pPr>
      <w:r/>
    </w:p>
    <w:p>
      <w:pPr>
        <w:sectPr>
          <w:pgSz w:w="11910" w:h="8220"/>
          <w:pgMar w:top="400" w:right="1155" w:bottom="400" w:left="821" w:header="0" w:footer="0" w:gutter="0"/>
        </w:sectPr>
        <w:rPr/>
      </w:pPr>
    </w:p>
    <w:p>
      <w:pPr>
        <w:spacing w:before="113"/>
        <w:rPr/>
      </w:pPr>
      <w:r>
        <mc:AlternateContent xmlns:mc="http://schemas.openxmlformats.org/markup-compatibility/2006">
          <mc:Choice Requires="wps">
            <w:drawing>
              <wp:anchor distT="0" distB="0" distL="0" distR="0" simplePos="0" relativeHeight="251923456"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362" name="TextBox 362"/>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4" style="position:absolute;margin-left:37.0402pt;margin-top:49.1374pt;mso-position-vertical-relative:page;mso-position-horizontal-relative:page;width:13.6pt;height:12.35pt;z-index:25192345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262</w:t>
                      </w:r>
                    </w:p>
                  </w:txbxContent>
                </v:textbox>
              </v:shape>
            </w:pict>
          </mc:Fallback>
        </mc:AlternateContent>
      </w: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24" w:hRule="atLeast"/>
        </w:trPr>
        <w:tc>
          <w:tcPr>
            <w:tcW w:w="584" w:type="dxa"/>
            <w:vAlign w:val="top"/>
          </w:tcPr>
          <w:p>
            <w:pPr>
              <w:pStyle w:val="TableText"/>
              <w:ind w:left="124"/>
              <w:spacing w:before="132" w:line="221" w:lineRule="auto"/>
              <w:rPr>
                <w:sz w:val="16"/>
                <w:szCs w:val="16"/>
              </w:rPr>
            </w:pPr>
            <w:r>
              <w:rPr>
                <w:sz w:val="16"/>
                <w:szCs w:val="16"/>
                <w:spacing w:val="-2"/>
              </w:rPr>
              <w:t>序号</w:t>
            </w:r>
          </w:p>
        </w:tc>
        <w:tc>
          <w:tcPr>
            <w:tcW w:w="1289" w:type="dxa"/>
            <w:vAlign w:val="top"/>
          </w:tcPr>
          <w:p>
            <w:pPr>
              <w:pStyle w:val="TableText"/>
              <w:ind w:left="150"/>
              <w:spacing w:before="131" w:line="219" w:lineRule="auto"/>
              <w:rPr>
                <w:sz w:val="16"/>
                <w:szCs w:val="16"/>
              </w:rPr>
            </w:pPr>
            <w:r>
              <w:rPr>
                <w:sz w:val="16"/>
                <w:szCs w:val="16"/>
                <w:spacing w:val="3"/>
              </w:rPr>
              <w:t>中夹主管即门</w:t>
            </w:r>
          </w:p>
        </w:tc>
        <w:tc>
          <w:tcPr>
            <w:tcW w:w="1648" w:type="dxa"/>
            <w:vAlign w:val="top"/>
          </w:tcPr>
          <w:p>
            <w:pPr>
              <w:pStyle w:val="TableText"/>
              <w:ind w:left="491"/>
              <w:spacing w:before="132" w:line="220" w:lineRule="auto"/>
              <w:rPr>
                <w:sz w:val="16"/>
                <w:szCs w:val="16"/>
              </w:rPr>
            </w:pPr>
            <w:r>
              <w:rPr>
                <w:sz w:val="16"/>
                <w:szCs w:val="16"/>
                <w:spacing w:val="-2"/>
              </w:rPr>
              <w:t>事坏名称</w:t>
            </w:r>
          </w:p>
        </w:tc>
        <w:tc>
          <w:tcPr>
            <w:tcW w:w="2367" w:type="dxa"/>
            <w:vAlign w:val="top"/>
          </w:tcPr>
          <w:p>
            <w:pPr>
              <w:pStyle w:val="TableText"/>
              <w:ind w:left="844"/>
              <w:spacing w:before="130" w:line="219" w:lineRule="auto"/>
              <w:rPr>
                <w:sz w:val="16"/>
                <w:szCs w:val="16"/>
              </w:rPr>
            </w:pPr>
            <w:r>
              <w:rPr>
                <w:sz w:val="16"/>
                <w:szCs w:val="16"/>
                <w:spacing w:val="-2"/>
              </w:rPr>
              <w:t>实热机关</w:t>
            </w:r>
          </w:p>
        </w:tc>
        <w:tc>
          <w:tcPr>
            <w:tcW w:w="3711" w:type="dxa"/>
            <w:vAlign w:val="top"/>
          </w:tcPr>
          <w:p>
            <w:pPr>
              <w:pStyle w:val="TableText"/>
              <w:ind w:left="1266"/>
              <w:spacing w:before="131" w:line="219" w:lineRule="auto"/>
              <w:rPr>
                <w:sz w:val="16"/>
                <w:szCs w:val="16"/>
              </w:rPr>
            </w:pPr>
            <w:r>
              <w:rPr>
                <w:sz w:val="16"/>
                <w:szCs w:val="16"/>
                <w:spacing w:val="2"/>
              </w:rPr>
              <w:t>设定和实随荣留</w:t>
            </w:r>
          </w:p>
        </w:tc>
      </w:tr>
      <w:tr>
        <w:trPr>
          <w:trHeight w:val="649" w:hRule="atLeast"/>
        </w:trPr>
        <w:tc>
          <w:tcPr>
            <w:tcW w:w="584" w:type="dxa"/>
            <w:vAlign w:val="top"/>
          </w:tcPr>
          <w:p>
            <w:pPr>
              <w:pStyle w:val="TableText"/>
              <w:ind w:left="114"/>
              <w:spacing w:before="276" w:line="183" w:lineRule="auto"/>
              <w:rPr>
                <w:sz w:val="22"/>
                <w:szCs w:val="22"/>
              </w:rPr>
            </w:pPr>
            <w:r>
              <w:rPr>
                <w:sz w:val="22"/>
                <w:szCs w:val="22"/>
                <w:spacing w:val="-3"/>
              </w:rPr>
              <w:t>978</w:t>
            </w:r>
          </w:p>
        </w:tc>
        <w:tc>
          <w:tcPr>
            <w:tcW w:w="1289" w:type="dxa"/>
            <w:vAlign w:val="top"/>
          </w:tcPr>
          <w:p>
            <w:pPr>
              <w:pStyle w:val="TableText"/>
              <w:ind w:left="231"/>
              <w:spacing w:before="247" w:line="219" w:lineRule="auto"/>
              <w:rPr>
                <w:sz w:val="16"/>
                <w:szCs w:val="16"/>
              </w:rPr>
            </w:pPr>
            <w:r>
              <w:rPr>
                <w:sz w:val="16"/>
                <w:szCs w:val="16"/>
                <w:spacing w:val="1"/>
              </w:rPr>
              <w:t>国家人防办</w:t>
            </w:r>
          </w:p>
        </w:tc>
        <w:tc>
          <w:tcPr>
            <w:tcW w:w="1648" w:type="dxa"/>
            <w:vAlign w:val="top"/>
          </w:tcPr>
          <w:p>
            <w:pPr>
              <w:pStyle w:val="TableText"/>
              <w:ind w:left="52" w:right="99" w:firstLine="40"/>
              <w:spacing w:before="67" w:line="220" w:lineRule="auto"/>
              <w:jc w:val="both"/>
              <w:rPr>
                <w:sz w:val="16"/>
                <w:szCs w:val="16"/>
              </w:rPr>
            </w:pPr>
            <w:r>
              <w:rPr>
                <w:sz w:val="16"/>
                <w:szCs w:val="16"/>
                <w:spacing w:val="-1"/>
              </w:rPr>
              <w:t>人民防空工程制护设</w:t>
            </w:r>
            <w:r>
              <w:rPr>
                <w:sz w:val="16"/>
                <w:szCs w:val="16"/>
              </w:rPr>
              <w:t xml:space="preserve"> </w:t>
            </w:r>
            <w:r>
              <w:rPr>
                <w:sz w:val="16"/>
                <w:szCs w:val="16"/>
                <w:spacing w:val="5"/>
              </w:rPr>
              <w:t>临空点生产金重登格</w:t>
            </w:r>
            <w:r>
              <w:rPr>
                <w:sz w:val="16"/>
                <w:szCs w:val="16"/>
              </w:rPr>
              <w:t xml:space="preserve"> </w:t>
            </w:r>
            <w:r>
              <w:rPr>
                <w:sz w:val="16"/>
                <w:szCs w:val="16"/>
                <w:spacing w:val="-2"/>
              </w:rPr>
              <w:t>认定</w:t>
            </w:r>
          </w:p>
        </w:tc>
        <w:tc>
          <w:tcPr>
            <w:tcW w:w="2367" w:type="dxa"/>
            <w:vAlign w:val="top"/>
          </w:tcPr>
          <w:p>
            <w:pPr>
              <w:pStyle w:val="TableText"/>
              <w:ind w:left="44"/>
              <w:spacing w:before="247" w:line="219" w:lineRule="auto"/>
              <w:rPr>
                <w:sz w:val="16"/>
                <w:szCs w:val="16"/>
              </w:rPr>
            </w:pPr>
            <w:r>
              <w:rPr>
                <w:sz w:val="16"/>
                <w:szCs w:val="16"/>
                <w:spacing w:val="1"/>
              </w:rPr>
              <w:t>国家人助办</w:t>
            </w:r>
          </w:p>
        </w:tc>
        <w:tc>
          <w:tcPr>
            <w:tcW w:w="3711" w:type="dxa"/>
            <w:vAlign w:val="top"/>
          </w:tcPr>
          <w:p>
            <w:pPr>
              <w:pStyle w:val="TableText"/>
              <w:ind w:left="79" w:right="217" w:hanging="79"/>
              <w:spacing w:before="147" w:line="220" w:lineRule="auto"/>
              <w:rPr>
                <w:sz w:val="16"/>
                <w:szCs w:val="16"/>
              </w:rPr>
            </w:pPr>
            <w:r>
              <w:rPr>
                <w:sz w:val="16"/>
                <w:szCs w:val="16"/>
                <w:spacing w:val="-2"/>
              </w:rPr>
              <w:t>《国务型列确需保器的石政事批理目没定行政许可</w:t>
            </w:r>
            <w:r>
              <w:rPr>
                <w:sz w:val="16"/>
                <w:szCs w:val="16"/>
                <w:spacing w:val="6"/>
              </w:rPr>
              <w:t xml:space="preserve"> </w:t>
            </w:r>
            <w:r>
              <w:rPr>
                <w:sz w:val="16"/>
                <w:szCs w:val="16"/>
                <w:spacing w:val="2"/>
              </w:rPr>
              <w:t>阁质定</w:t>
            </w:r>
          </w:p>
        </w:tc>
      </w:tr>
      <w:tr>
        <w:trPr>
          <w:trHeight w:val="449" w:hRule="atLeast"/>
        </w:trPr>
        <w:tc>
          <w:tcPr>
            <w:tcW w:w="584" w:type="dxa"/>
            <w:vAlign w:val="top"/>
          </w:tcPr>
          <w:p>
            <w:pPr>
              <w:pStyle w:val="TableText"/>
              <w:ind w:left="164"/>
              <w:spacing w:before="189" w:line="183" w:lineRule="auto"/>
              <w:rPr>
                <w:sz w:val="16"/>
                <w:szCs w:val="16"/>
              </w:rPr>
            </w:pPr>
            <w:r>
              <w:rPr>
                <w:sz w:val="16"/>
                <w:szCs w:val="16"/>
                <w:spacing w:val="-2"/>
              </w:rPr>
              <w:t>479</w:t>
            </w:r>
          </w:p>
        </w:tc>
        <w:tc>
          <w:tcPr>
            <w:tcW w:w="1289" w:type="dxa"/>
            <w:vAlign w:val="top"/>
          </w:tcPr>
          <w:p>
            <w:pPr>
              <w:pStyle w:val="TableText"/>
              <w:ind w:left="231"/>
              <w:spacing w:before="148" w:line="219" w:lineRule="auto"/>
              <w:rPr>
                <w:sz w:val="16"/>
                <w:szCs w:val="16"/>
              </w:rPr>
            </w:pPr>
            <w:r>
              <w:rPr>
                <w:sz w:val="16"/>
                <w:szCs w:val="16"/>
                <w:spacing w:val="1"/>
              </w:rPr>
              <w:t>国家人防办</w:t>
            </w:r>
          </w:p>
        </w:tc>
        <w:tc>
          <w:tcPr>
            <w:tcW w:w="1648" w:type="dxa"/>
            <w:vAlign w:val="top"/>
          </w:tcPr>
          <w:p>
            <w:pPr>
              <w:pStyle w:val="TableText"/>
              <w:ind w:left="92" w:right="97"/>
              <w:spacing w:before="57" w:line="220" w:lineRule="auto"/>
              <w:rPr>
                <w:sz w:val="16"/>
                <w:szCs w:val="16"/>
              </w:rPr>
            </w:pPr>
            <w:r>
              <w:rPr>
                <w:sz w:val="16"/>
                <w:szCs w:val="16"/>
                <w:spacing w:val="-1"/>
              </w:rPr>
              <w:t>应步防空地下室的民</w:t>
            </w:r>
            <w:r>
              <w:rPr>
                <w:sz w:val="16"/>
                <w:szCs w:val="16"/>
                <w:spacing w:val="1"/>
              </w:rPr>
              <w:t xml:space="preserve"> </w:t>
            </w:r>
            <w:r>
              <w:rPr>
                <w:sz w:val="16"/>
                <w:szCs w:val="16"/>
                <w:spacing w:val="-5"/>
              </w:rPr>
              <w:t>叫建范</w:t>
            </w:r>
            <w:r>
              <w:rPr>
                <w:sz w:val="16"/>
                <w:szCs w:val="16"/>
                <w:spacing w:val="23"/>
              </w:rPr>
              <w:t xml:space="preserve">  </w:t>
            </w:r>
            <w:r>
              <w:rPr>
                <w:sz w:val="16"/>
                <w:szCs w:val="16"/>
                <w:spacing w:val="-5"/>
              </w:rPr>
              <w:t>日报费市物</w:t>
            </w:r>
          </w:p>
        </w:tc>
        <w:tc>
          <w:tcPr>
            <w:tcW w:w="2367" w:type="dxa"/>
            <w:vAlign w:val="top"/>
          </w:tcPr>
          <w:p>
            <w:pPr>
              <w:pStyle w:val="TableText"/>
              <w:ind w:left="44" w:right="121" w:firstLine="39"/>
              <w:spacing w:before="48" w:line="219" w:lineRule="auto"/>
              <w:rPr>
                <w:sz w:val="16"/>
                <w:szCs w:val="16"/>
              </w:rPr>
            </w:pPr>
            <w:r>
              <w:rPr>
                <w:sz w:val="16"/>
                <w:szCs w:val="16"/>
                <w:spacing w:val="-1"/>
              </w:rPr>
              <w:t>省级.说区的市级，县级人防主</w:t>
            </w:r>
            <w:r>
              <w:rPr>
                <w:sz w:val="16"/>
                <w:szCs w:val="16"/>
                <w:spacing w:val="4"/>
              </w:rPr>
              <w:t xml:space="preserve"> </w:t>
            </w:r>
            <w:r>
              <w:rPr>
                <w:sz w:val="16"/>
                <w:szCs w:val="16"/>
                <w:spacing w:val="6"/>
              </w:rPr>
              <w:t>壹部门</w:t>
            </w:r>
          </w:p>
        </w:tc>
        <w:tc>
          <w:tcPr>
            <w:tcW w:w="3711" w:type="dxa"/>
            <w:vAlign w:val="top"/>
          </w:tcPr>
          <w:p>
            <w:pPr>
              <w:pStyle w:val="TableText"/>
              <w:ind w:left="56" w:right="368"/>
              <w:spacing w:before="38" w:line="231" w:lineRule="auto"/>
              <w:rPr>
                <w:sz w:val="16"/>
                <w:szCs w:val="16"/>
              </w:rPr>
            </w:pPr>
            <w:r>
              <w:rPr>
                <w:sz w:val="16"/>
                <w:szCs w:val="16"/>
                <w:spacing w:val="-1"/>
              </w:rPr>
              <w:t>C中共中央国务同中专家委关于如莲人民防至工</w:t>
            </w:r>
            <w:r>
              <w:rPr>
                <w:sz w:val="16"/>
                <w:szCs w:val="16"/>
                <w:spacing w:val="15"/>
              </w:rPr>
              <w:t xml:space="preserve"> </w:t>
            </w:r>
            <w:r>
              <w:rPr>
                <w:sz w:val="16"/>
                <w:szCs w:val="16"/>
                <w:spacing w:val="-3"/>
              </w:rPr>
              <w:t>作的洗定》</w:t>
            </w:r>
          </w:p>
        </w:tc>
      </w:tr>
      <w:tr>
        <w:trPr>
          <w:trHeight w:val="449" w:hRule="atLeast"/>
        </w:trPr>
        <w:tc>
          <w:tcPr>
            <w:tcW w:w="584" w:type="dxa"/>
            <w:vAlign w:val="top"/>
          </w:tcPr>
          <w:p>
            <w:pPr>
              <w:pStyle w:val="TableText"/>
              <w:ind w:left="164"/>
              <w:spacing w:before="190" w:line="183" w:lineRule="auto"/>
              <w:rPr>
                <w:sz w:val="16"/>
                <w:szCs w:val="16"/>
              </w:rPr>
            </w:pPr>
            <w:r>
              <w:rPr>
                <w:sz w:val="16"/>
                <w:szCs w:val="16"/>
                <w:spacing w:val="-2"/>
              </w:rPr>
              <w:t>980</w:t>
            </w:r>
          </w:p>
        </w:tc>
        <w:tc>
          <w:tcPr>
            <w:tcW w:w="1289" w:type="dxa"/>
            <w:vAlign w:val="top"/>
          </w:tcPr>
          <w:p>
            <w:pPr>
              <w:pStyle w:val="TableText"/>
              <w:ind w:left="231"/>
              <w:spacing w:before="149" w:line="219" w:lineRule="auto"/>
              <w:rPr>
                <w:sz w:val="16"/>
                <w:szCs w:val="16"/>
              </w:rPr>
            </w:pPr>
            <w:r>
              <w:rPr>
                <w:sz w:val="16"/>
                <w:szCs w:val="16"/>
                <w:spacing w:val="-2"/>
              </w:rPr>
              <w:t>面家人防办</w:t>
            </w:r>
          </w:p>
        </w:tc>
        <w:tc>
          <w:tcPr>
            <w:tcW w:w="1648" w:type="dxa"/>
            <w:vAlign w:val="top"/>
          </w:tcPr>
          <w:p>
            <w:pPr>
              <w:pStyle w:val="TableText"/>
              <w:ind w:left="42" w:right="92" w:firstLine="50"/>
              <w:spacing w:before="39" w:line="227" w:lineRule="auto"/>
              <w:rPr>
                <w:sz w:val="16"/>
                <w:szCs w:val="16"/>
              </w:rPr>
            </w:pPr>
            <w:r>
              <w:rPr>
                <w:sz w:val="16"/>
                <w:szCs w:val="16"/>
                <w:spacing w:val="1"/>
              </w:rPr>
              <w:t>折除人民财空工塑审</w:t>
            </w:r>
            <w:r>
              <w:rPr>
                <w:sz w:val="16"/>
                <w:szCs w:val="16"/>
                <w:spacing w:val="3"/>
              </w:rPr>
              <w:t xml:space="preserve"> </w:t>
            </w:r>
            <w:r>
              <w:rPr>
                <w:sz w:val="16"/>
                <w:szCs w:val="16"/>
              </w:rPr>
              <w:t>批</w:t>
            </w:r>
          </w:p>
        </w:tc>
        <w:tc>
          <w:tcPr>
            <w:tcW w:w="2367" w:type="dxa"/>
            <w:vAlign w:val="top"/>
          </w:tcPr>
          <w:p>
            <w:pPr>
              <w:pStyle w:val="TableText"/>
              <w:ind w:left="44" w:right="81"/>
              <w:spacing w:before="48" w:line="214" w:lineRule="auto"/>
              <w:rPr>
                <w:sz w:val="16"/>
                <w:szCs w:val="16"/>
              </w:rPr>
            </w:pPr>
            <w:r>
              <w:rPr>
                <w:sz w:val="16"/>
                <w:szCs w:val="16"/>
                <w:spacing w:val="-1"/>
              </w:rPr>
              <w:t>省酸，设区的市极，孙慢人阶去</w:t>
            </w:r>
            <w:r>
              <w:rPr>
                <w:sz w:val="16"/>
                <w:szCs w:val="16"/>
                <w:spacing w:val="4"/>
              </w:rPr>
              <w:t xml:space="preserve"> </w:t>
            </w:r>
            <w:r>
              <w:rPr>
                <w:sz w:val="16"/>
                <w:szCs w:val="16"/>
                <w:spacing w:val="12"/>
              </w:rPr>
              <w:t>香部∩</w:t>
            </w:r>
          </w:p>
        </w:tc>
        <w:tc>
          <w:tcPr>
            <w:tcW w:w="3711" w:type="dxa"/>
            <w:vAlign w:val="top"/>
          </w:tcPr>
          <w:p>
            <w:pPr>
              <w:pStyle w:val="TableText"/>
              <w:spacing w:before="149" w:line="219" w:lineRule="auto"/>
              <w:rPr>
                <w:sz w:val="16"/>
                <w:szCs w:val="16"/>
              </w:rPr>
            </w:pPr>
            <w:r>
              <w:rPr>
                <w:sz w:val="16"/>
                <w:szCs w:val="16"/>
                <w:spacing w:val="-3"/>
              </w:rPr>
              <w:t>《中华人民共和国人民防空法》</w:t>
            </w:r>
          </w:p>
        </w:tc>
      </w:tr>
      <w:tr>
        <w:trPr>
          <w:trHeight w:val="849" w:hRule="atLeast"/>
        </w:trPr>
        <w:tc>
          <w:tcPr>
            <w:tcW w:w="584" w:type="dxa"/>
            <w:vAlign w:val="top"/>
          </w:tcPr>
          <w:p>
            <w:pPr>
              <w:spacing w:line="337" w:lineRule="auto"/>
              <w:rPr>
                <w:rFonts w:ascii="Arial"/>
                <w:sz w:val="21"/>
              </w:rPr>
            </w:pPr>
            <w:r/>
          </w:p>
          <w:p>
            <w:pPr>
              <w:pStyle w:val="TableText"/>
              <w:ind w:left="204"/>
              <w:spacing w:before="52" w:line="183" w:lineRule="auto"/>
              <w:rPr>
                <w:sz w:val="16"/>
                <w:szCs w:val="16"/>
              </w:rPr>
            </w:pPr>
            <w:r>
              <w:rPr>
                <w:sz w:val="16"/>
                <w:szCs w:val="16"/>
                <w:spacing w:val="-2"/>
              </w:rPr>
              <w:t>0N</w:t>
            </w:r>
          </w:p>
        </w:tc>
        <w:tc>
          <w:tcPr>
            <w:tcW w:w="1289" w:type="dxa"/>
            <w:vAlign w:val="top"/>
          </w:tcPr>
          <w:p>
            <w:pPr>
              <w:spacing w:line="295" w:lineRule="auto"/>
              <w:rPr>
                <w:rFonts w:ascii="Arial"/>
                <w:sz w:val="21"/>
              </w:rPr>
            </w:pPr>
            <w:r/>
          </w:p>
          <w:p>
            <w:pPr>
              <w:pStyle w:val="TableText"/>
              <w:ind w:left="70"/>
              <w:spacing w:before="52" w:line="219" w:lineRule="auto"/>
              <w:rPr>
                <w:sz w:val="16"/>
                <w:szCs w:val="16"/>
              </w:rPr>
            </w:pPr>
            <w:r>
              <w:rPr>
                <w:sz w:val="16"/>
                <w:szCs w:val="16"/>
                <w:spacing w:val="1"/>
              </w:rPr>
              <w:t>国家交通战脊办</w:t>
            </w:r>
          </w:p>
        </w:tc>
        <w:tc>
          <w:tcPr>
            <w:tcW w:w="1648" w:type="dxa"/>
            <w:vAlign w:val="top"/>
          </w:tcPr>
          <w:p>
            <w:pPr>
              <w:pStyle w:val="TableText"/>
              <w:ind w:left="52" w:right="89" w:firstLine="40"/>
              <w:spacing w:before="41" w:line="228" w:lineRule="auto"/>
              <w:jc w:val="both"/>
              <w:rPr>
                <w:sz w:val="16"/>
                <w:szCs w:val="16"/>
              </w:rPr>
            </w:pPr>
            <w:r>
              <w:rPr>
                <w:sz w:val="16"/>
                <w:szCs w:val="16"/>
                <w:spacing w:val="-2"/>
              </w:rPr>
              <w:t>医防交通工程设账解</w:t>
            </w:r>
            <w:r>
              <w:rPr>
                <w:sz w:val="16"/>
                <w:szCs w:val="16"/>
                <w:spacing w:val="3"/>
              </w:rPr>
              <w:t xml:space="preserve"> </w:t>
            </w:r>
            <w:r>
              <w:rPr>
                <w:sz w:val="16"/>
                <w:szCs w:val="16"/>
                <w:spacing w:val="6"/>
              </w:rPr>
              <w:t>设项目和有某贫部国</w:t>
            </w:r>
            <w:r>
              <w:rPr>
                <w:sz w:val="16"/>
                <w:szCs w:val="16"/>
                <w:spacing w:val="1"/>
              </w:rPr>
              <w:t xml:space="preserve"> </w:t>
            </w:r>
            <w:r>
              <w:rPr>
                <w:sz w:val="16"/>
                <w:szCs w:val="16"/>
                <w:spacing w:val="5"/>
              </w:rPr>
              <w:t>防要求望设项目设计</w:t>
            </w:r>
            <w:r>
              <w:rPr>
                <w:sz w:val="16"/>
                <w:szCs w:val="16"/>
              </w:rPr>
              <w:t xml:space="preserve"> </w:t>
            </w:r>
            <w:r>
              <w:rPr>
                <w:sz w:val="16"/>
                <w:szCs w:val="16"/>
                <w:spacing w:val="5"/>
              </w:rPr>
              <w:t>审定</w:t>
            </w:r>
          </w:p>
        </w:tc>
        <w:tc>
          <w:tcPr>
            <w:tcW w:w="2367" w:type="dxa"/>
            <w:vAlign w:val="top"/>
          </w:tcPr>
          <w:p>
            <w:pPr>
              <w:pStyle w:val="TableText"/>
              <w:ind w:left="44" w:right="40" w:firstLine="20"/>
              <w:spacing w:before="240" w:line="236" w:lineRule="auto"/>
              <w:rPr>
                <w:sz w:val="16"/>
                <w:szCs w:val="16"/>
              </w:rPr>
            </w:pPr>
            <w:r>
              <w:rPr>
                <w:sz w:val="16"/>
                <w:szCs w:val="16"/>
              </w:rPr>
              <w:t>国家交通战备办；省最，议区的</w:t>
            </w:r>
            <w:r>
              <w:rPr>
                <w:sz w:val="16"/>
                <w:szCs w:val="16"/>
                <w:spacing w:val="11"/>
              </w:rPr>
              <w:t xml:space="preserve"> </w:t>
            </w:r>
            <w:r>
              <w:rPr>
                <w:sz w:val="16"/>
                <w:szCs w:val="16"/>
                <w:spacing w:val="-1"/>
              </w:rPr>
              <w:t>重装国防交通主管机构</w:t>
            </w:r>
          </w:p>
        </w:tc>
        <w:tc>
          <w:tcPr>
            <w:tcW w:w="3711" w:type="dxa"/>
            <w:vAlign w:val="top"/>
          </w:tcPr>
          <w:p>
            <w:pPr>
              <w:pStyle w:val="TableText"/>
              <w:ind w:left="79"/>
              <w:spacing w:before="270" w:line="231" w:lineRule="auto"/>
              <w:rPr>
                <w:sz w:val="16"/>
                <w:szCs w:val="16"/>
              </w:rPr>
            </w:pPr>
            <w:r>
              <w:rPr>
                <w:sz w:val="16"/>
                <w:szCs w:val="16"/>
                <w:spacing w:val="-1"/>
              </w:rPr>
              <w:t>中华人艳共和国国防交项法下</w:t>
            </w:r>
          </w:p>
          <w:p>
            <w:pPr>
              <w:pStyle w:val="TableText"/>
              <w:spacing w:line="219" w:lineRule="auto"/>
              <w:rPr>
                <w:sz w:val="16"/>
                <w:szCs w:val="16"/>
              </w:rPr>
            </w:pPr>
            <w:r>
              <w:rPr>
                <w:sz w:val="16"/>
                <w:szCs w:val="16"/>
                <w:spacing w:val="-3"/>
              </w:rPr>
              <w:t>《间助交通条的》</w:t>
            </w:r>
          </w:p>
        </w:tc>
      </w:tr>
      <w:tr>
        <w:trPr>
          <w:trHeight w:val="849" w:hRule="atLeast"/>
        </w:trPr>
        <w:tc>
          <w:tcPr>
            <w:tcW w:w="584" w:type="dxa"/>
            <w:vAlign w:val="top"/>
          </w:tcPr>
          <w:p>
            <w:pPr>
              <w:spacing w:line="338" w:lineRule="auto"/>
              <w:rPr>
                <w:rFonts w:ascii="Arial"/>
                <w:sz w:val="21"/>
              </w:rPr>
            </w:pPr>
            <w:r/>
          </w:p>
          <w:p>
            <w:pPr>
              <w:pStyle w:val="TableText"/>
              <w:ind w:left="164"/>
              <w:spacing w:before="52" w:line="183" w:lineRule="auto"/>
              <w:rPr>
                <w:sz w:val="16"/>
                <w:szCs w:val="16"/>
              </w:rPr>
            </w:pPr>
            <w:r>
              <w:rPr>
                <w:sz w:val="16"/>
                <w:szCs w:val="16"/>
                <w:spacing w:val="-1"/>
              </w:rPr>
              <w:t>WN2</w:t>
            </w:r>
          </w:p>
        </w:tc>
        <w:tc>
          <w:tcPr>
            <w:tcW w:w="1289" w:type="dxa"/>
            <w:vAlign w:val="top"/>
          </w:tcPr>
          <w:p>
            <w:pPr>
              <w:spacing w:line="297" w:lineRule="auto"/>
              <w:rPr>
                <w:rFonts w:ascii="Arial"/>
                <w:sz w:val="21"/>
              </w:rPr>
            </w:pPr>
            <w:r/>
          </w:p>
          <w:p>
            <w:pPr>
              <w:pStyle w:val="TableText"/>
              <w:ind w:left="70"/>
              <w:spacing w:before="52" w:line="219" w:lineRule="auto"/>
              <w:rPr>
                <w:sz w:val="16"/>
                <w:szCs w:val="16"/>
              </w:rPr>
            </w:pPr>
            <w:r>
              <w:rPr>
                <w:sz w:val="16"/>
                <w:szCs w:val="16"/>
                <w:spacing w:val="1"/>
              </w:rPr>
              <w:t>网定文液出各办</w:t>
            </w:r>
          </w:p>
        </w:tc>
        <w:tc>
          <w:tcPr>
            <w:tcW w:w="1648" w:type="dxa"/>
            <w:vAlign w:val="top"/>
          </w:tcPr>
          <w:p>
            <w:pPr>
              <w:pStyle w:val="TableText"/>
              <w:ind w:left="92"/>
              <w:spacing w:before="42" w:line="220" w:lineRule="auto"/>
              <w:rPr>
                <w:sz w:val="16"/>
                <w:szCs w:val="16"/>
              </w:rPr>
            </w:pPr>
            <w:r>
              <w:rPr>
                <w:sz w:val="16"/>
                <w:szCs w:val="16"/>
              </w:rPr>
              <w:t>国物交通工程位流建</w:t>
            </w:r>
          </w:p>
          <w:p>
            <w:pPr>
              <w:pStyle w:val="TableText"/>
              <w:ind w:left="92"/>
              <w:spacing w:before="18" w:line="208" w:lineRule="auto"/>
              <w:rPr>
                <w:sz w:val="16"/>
                <w:szCs w:val="16"/>
              </w:rPr>
            </w:pPr>
            <w:r>
              <w:rPr>
                <w:sz w:val="16"/>
                <w:szCs w:val="16"/>
                <w:spacing w:val="1"/>
              </w:rPr>
              <w:t>践项目和有关量彻国</w:t>
            </w:r>
          </w:p>
          <w:p>
            <w:pPr>
              <w:pStyle w:val="TableText"/>
              <w:ind w:left="11" w:right="97" w:firstLine="80"/>
              <w:spacing w:line="230" w:lineRule="auto"/>
              <w:rPr>
                <w:sz w:val="16"/>
                <w:szCs w:val="16"/>
              </w:rPr>
            </w:pPr>
            <w:r>
              <w:rPr>
                <w:sz w:val="16"/>
                <w:szCs w:val="16"/>
              </w:rPr>
              <w:t>防置求建设理日峻工</w:t>
            </w:r>
            <w:r>
              <w:rPr>
                <w:sz w:val="16"/>
                <w:szCs w:val="16"/>
                <w:spacing w:val="7"/>
              </w:rPr>
              <w:t xml:space="preserve"> </w:t>
            </w:r>
            <w:r>
              <w:rPr>
                <w:sz w:val="16"/>
                <w:szCs w:val="16"/>
                <w:spacing w:val="-3"/>
              </w:rPr>
              <w:t>前收</w:t>
            </w:r>
          </w:p>
        </w:tc>
        <w:tc>
          <w:tcPr>
            <w:tcW w:w="2367" w:type="dxa"/>
            <w:vAlign w:val="top"/>
          </w:tcPr>
          <w:p>
            <w:pPr>
              <w:pStyle w:val="TableText"/>
              <w:ind w:left="44" w:right="47" w:firstLine="10"/>
              <w:spacing w:before="231" w:line="230" w:lineRule="auto"/>
              <w:rPr>
                <w:sz w:val="16"/>
                <w:szCs w:val="16"/>
              </w:rPr>
            </w:pPr>
            <w:r>
              <w:rPr>
                <w:sz w:val="16"/>
                <w:szCs w:val="16"/>
                <w:spacing w:val="1"/>
              </w:rPr>
              <w:t>国家交通故备办；省级、放区凶</w:t>
            </w:r>
            <w:r>
              <w:rPr>
                <w:sz w:val="16"/>
                <w:szCs w:val="16"/>
              </w:rPr>
              <w:t xml:space="preserve"> </w:t>
            </w:r>
            <w:r>
              <w:rPr>
                <w:sz w:val="16"/>
                <w:szCs w:val="16"/>
                <w:spacing w:val="1"/>
              </w:rPr>
              <w:t>市规国防交酒主管机构</w:t>
            </w:r>
          </w:p>
        </w:tc>
        <w:tc>
          <w:tcPr>
            <w:tcW w:w="3711" w:type="dxa"/>
            <w:vAlign w:val="top"/>
          </w:tcPr>
          <w:p>
            <w:pPr>
              <w:pStyle w:val="TableText"/>
              <w:ind w:left="79"/>
              <w:spacing w:before="271" w:line="208" w:lineRule="auto"/>
              <w:rPr>
                <w:sz w:val="16"/>
                <w:szCs w:val="16"/>
              </w:rPr>
            </w:pPr>
            <w:r>
              <w:rPr>
                <w:sz w:val="16"/>
                <w:szCs w:val="16"/>
              </w:rPr>
              <w:t>(中毕人民共和国国防交通括!</w:t>
            </w:r>
          </w:p>
          <w:p>
            <w:pPr>
              <w:pStyle w:val="TableText"/>
              <w:spacing w:line="219" w:lineRule="auto"/>
              <w:rPr>
                <w:sz w:val="16"/>
                <w:szCs w:val="16"/>
              </w:rPr>
            </w:pPr>
            <w:r>
              <w:rPr>
                <w:sz w:val="16"/>
                <w:szCs w:val="16"/>
                <w:spacing w:val="-3"/>
              </w:rPr>
              <w:t>《河防交通条例》</w:t>
            </w:r>
          </w:p>
        </w:tc>
      </w:tr>
      <w:tr>
        <w:trPr>
          <w:trHeight w:val="639" w:hRule="atLeast"/>
        </w:trPr>
        <w:tc>
          <w:tcPr>
            <w:tcW w:w="584" w:type="dxa"/>
            <w:vAlign w:val="top"/>
          </w:tcPr>
          <w:p>
            <w:pPr>
              <w:pStyle w:val="TableText"/>
              <w:ind w:left="164"/>
              <w:spacing w:before="282" w:line="184" w:lineRule="auto"/>
              <w:rPr>
                <w:sz w:val="16"/>
                <w:szCs w:val="16"/>
              </w:rPr>
            </w:pPr>
            <w:r>
              <w:rPr>
                <w:sz w:val="16"/>
                <w:szCs w:val="16"/>
                <w:spacing w:val="-1"/>
              </w:rPr>
              <w:t>B81</w:t>
            </w:r>
          </w:p>
        </w:tc>
        <w:tc>
          <w:tcPr>
            <w:tcW w:w="1289" w:type="dxa"/>
            <w:vAlign w:val="top"/>
          </w:tcPr>
          <w:p>
            <w:pPr>
              <w:pStyle w:val="TableText"/>
              <w:ind w:left="70"/>
              <w:spacing w:before="242" w:line="219" w:lineRule="auto"/>
              <w:rPr>
                <w:sz w:val="16"/>
                <w:szCs w:val="16"/>
              </w:rPr>
            </w:pPr>
            <w:r>
              <w:rPr>
                <w:sz w:val="16"/>
                <w:szCs w:val="16"/>
                <w:spacing w:val="1"/>
              </w:rPr>
              <w:t>国家文表股备办</w:t>
            </w:r>
          </w:p>
        </w:tc>
        <w:tc>
          <w:tcPr>
            <w:tcW w:w="1648" w:type="dxa"/>
            <w:vAlign w:val="top"/>
          </w:tcPr>
          <w:p>
            <w:pPr>
              <w:pStyle w:val="TableText"/>
              <w:ind w:left="42" w:right="99" w:firstLine="50"/>
              <w:spacing w:before="51" w:line="222" w:lineRule="auto"/>
              <w:jc w:val="both"/>
              <w:rPr>
                <w:sz w:val="16"/>
                <w:szCs w:val="16"/>
              </w:rPr>
            </w:pPr>
            <w:r>
              <w:rPr>
                <w:sz w:val="16"/>
                <w:szCs w:val="16"/>
              </w:rPr>
              <w:t>国勃交司工程设绝政</w:t>
            </w:r>
            <w:r>
              <w:rPr>
                <w:sz w:val="16"/>
                <w:szCs w:val="16"/>
                <w:spacing w:val="5"/>
              </w:rPr>
              <w:t xml:space="preserve"> </w:t>
            </w:r>
            <w:r>
              <w:rPr>
                <w:sz w:val="16"/>
                <w:szCs w:val="16"/>
                <w:spacing w:val="4"/>
              </w:rPr>
              <w:t>实用途或者报度处理</w:t>
            </w:r>
            <w:r>
              <w:rPr>
                <w:sz w:val="16"/>
                <w:szCs w:val="16"/>
                <w:spacing w:val="2"/>
              </w:rPr>
              <w:t xml:space="preserve"> </w:t>
            </w:r>
            <w:r>
              <w:rPr>
                <w:sz w:val="16"/>
                <w:szCs w:val="16"/>
                <w:spacing w:val="-3"/>
              </w:rPr>
              <w:t>管摆</w:t>
            </w:r>
          </w:p>
        </w:tc>
        <w:tc>
          <w:tcPr>
            <w:tcW w:w="2367" w:type="dxa"/>
            <w:vAlign w:val="top"/>
          </w:tcPr>
          <w:p>
            <w:pPr>
              <w:pStyle w:val="TableText"/>
              <w:ind w:left="44"/>
              <w:spacing w:before="242" w:line="219" w:lineRule="auto"/>
              <w:rPr>
                <w:sz w:val="16"/>
                <w:szCs w:val="16"/>
              </w:rPr>
            </w:pPr>
            <w:r>
              <w:rPr>
                <w:sz w:val="16"/>
                <w:szCs w:val="16"/>
                <w:spacing w:val="1"/>
              </w:rPr>
              <w:t>国家交透战备办</w:t>
            </w:r>
          </w:p>
        </w:tc>
        <w:tc>
          <w:tcPr>
            <w:tcW w:w="3711" w:type="dxa"/>
            <w:vAlign w:val="top"/>
          </w:tcPr>
          <w:p>
            <w:pPr>
              <w:pStyle w:val="TableText"/>
              <w:ind w:left="56"/>
              <w:spacing w:before="163" w:line="207" w:lineRule="auto"/>
              <w:rPr>
                <w:sz w:val="16"/>
                <w:szCs w:val="16"/>
              </w:rPr>
            </w:pPr>
            <w:r>
              <w:rPr>
                <w:sz w:val="16"/>
                <w:szCs w:val="16"/>
                <w:spacing w:val="1"/>
              </w:rPr>
              <w:t>下中S人民其和国国防交道法1</w:t>
            </w:r>
          </w:p>
          <w:p>
            <w:pPr>
              <w:pStyle w:val="TableText"/>
              <w:ind w:left="56"/>
              <w:spacing w:line="219" w:lineRule="auto"/>
              <w:rPr>
                <w:sz w:val="16"/>
                <w:szCs w:val="16"/>
              </w:rPr>
            </w:pPr>
            <w:r>
              <w:rPr>
                <w:sz w:val="16"/>
                <w:szCs w:val="16"/>
                <w:spacing w:val="-1"/>
              </w:rPr>
              <w:t>(国防交海条例》</w:t>
            </w:r>
          </w:p>
        </w:tc>
      </w:tr>
      <w:tr>
        <w:trPr>
          <w:trHeight w:val="449" w:hRule="atLeast"/>
        </w:trPr>
        <w:tc>
          <w:tcPr>
            <w:tcW w:w="584" w:type="dxa"/>
            <w:vAlign w:val="top"/>
          </w:tcPr>
          <w:p>
            <w:pPr>
              <w:pStyle w:val="TableText"/>
              <w:ind w:left="164"/>
              <w:spacing w:before="194" w:line="183" w:lineRule="auto"/>
              <w:rPr>
                <w:sz w:val="16"/>
                <w:szCs w:val="16"/>
              </w:rPr>
            </w:pPr>
            <w:r>
              <w:rPr>
                <w:sz w:val="16"/>
                <w:szCs w:val="16"/>
                <w:spacing w:val="-2"/>
              </w:rPr>
              <w:t>984</w:t>
            </w:r>
          </w:p>
        </w:tc>
        <w:tc>
          <w:tcPr>
            <w:tcW w:w="1289" w:type="dxa"/>
            <w:vAlign w:val="top"/>
          </w:tcPr>
          <w:p>
            <w:pPr>
              <w:pStyle w:val="TableText"/>
              <w:ind w:left="70"/>
              <w:spacing w:before="153" w:line="219" w:lineRule="auto"/>
              <w:rPr>
                <w:sz w:val="16"/>
                <w:szCs w:val="16"/>
              </w:rPr>
            </w:pPr>
            <w:r>
              <w:rPr>
                <w:sz w:val="16"/>
                <w:szCs w:val="16"/>
                <w:spacing w:val="1"/>
              </w:rPr>
              <w:t>国京交动战备态</w:t>
            </w:r>
          </w:p>
        </w:tc>
        <w:tc>
          <w:tcPr>
            <w:tcW w:w="1648" w:type="dxa"/>
            <w:vAlign w:val="top"/>
          </w:tcPr>
          <w:p>
            <w:pPr>
              <w:pStyle w:val="TableText"/>
              <w:ind w:left="92" w:right="86"/>
              <w:spacing w:before="43" w:line="228" w:lineRule="auto"/>
              <w:rPr>
                <w:sz w:val="16"/>
                <w:szCs w:val="16"/>
              </w:rPr>
            </w:pPr>
            <w:r>
              <w:rPr>
                <w:sz w:val="16"/>
                <w:szCs w:val="16"/>
                <w:spacing w:val="2"/>
              </w:rPr>
              <w:t>国防交急物资改变用</w:t>
            </w:r>
            <w:r>
              <w:rPr>
                <w:sz w:val="16"/>
                <w:szCs w:val="16"/>
              </w:rPr>
              <w:t xml:space="preserve"> </w:t>
            </w:r>
            <w:r>
              <w:rPr>
                <w:sz w:val="16"/>
                <w:szCs w:val="16"/>
                <w:spacing w:val="-1"/>
              </w:rPr>
              <w:t>诊或者指应险理家续</w:t>
            </w:r>
          </w:p>
        </w:tc>
        <w:tc>
          <w:tcPr>
            <w:tcW w:w="2367" w:type="dxa"/>
            <w:vAlign w:val="top"/>
          </w:tcPr>
          <w:p>
            <w:pPr>
              <w:pStyle w:val="TableText"/>
              <w:ind w:left="44" w:right="226"/>
              <w:spacing w:before="54" w:line="222" w:lineRule="auto"/>
              <w:rPr>
                <w:sz w:val="16"/>
                <w:szCs w:val="16"/>
              </w:rPr>
            </w:pPr>
            <w:r>
              <w:rPr>
                <w:sz w:val="16"/>
                <w:szCs w:val="16"/>
              </w:rPr>
              <w:t>国家交通战备办；者城国防交</w:t>
            </w:r>
            <w:r>
              <w:rPr>
                <w:sz w:val="16"/>
                <w:szCs w:val="16"/>
                <w:spacing w:val="5"/>
              </w:rPr>
              <w:t xml:space="preserve"> </w:t>
            </w:r>
            <w:r>
              <w:rPr>
                <w:sz w:val="16"/>
                <w:szCs w:val="16"/>
                <w:spacing w:val="-2"/>
              </w:rPr>
              <w:t>主管机构</w:t>
            </w:r>
          </w:p>
        </w:tc>
        <w:tc>
          <w:tcPr>
            <w:tcW w:w="3711" w:type="dxa"/>
            <w:vAlign w:val="top"/>
          </w:tcPr>
          <w:p>
            <w:pPr>
              <w:pStyle w:val="TableText"/>
              <w:spacing w:before="153" w:line="219" w:lineRule="auto"/>
              <w:rPr>
                <w:sz w:val="16"/>
                <w:szCs w:val="16"/>
              </w:rPr>
            </w:pPr>
            <w:r>
              <w:rPr>
                <w:sz w:val="16"/>
                <w:szCs w:val="16"/>
                <w:spacing w:val="-3"/>
              </w:rPr>
              <w:t>《中架人民共和国国防交遇法</w:t>
            </w:r>
          </w:p>
        </w:tc>
      </w:tr>
      <w:tr>
        <w:trPr>
          <w:trHeight w:val="439" w:hRule="atLeast"/>
        </w:trPr>
        <w:tc>
          <w:tcPr>
            <w:tcW w:w="584" w:type="dxa"/>
            <w:vAlign w:val="top"/>
          </w:tcPr>
          <w:p>
            <w:pPr>
              <w:pStyle w:val="TableText"/>
              <w:ind w:left="164"/>
              <w:spacing w:before="185" w:line="183" w:lineRule="auto"/>
              <w:rPr>
                <w:sz w:val="16"/>
                <w:szCs w:val="16"/>
              </w:rPr>
            </w:pPr>
            <w:r>
              <w:rPr>
                <w:sz w:val="16"/>
                <w:szCs w:val="16"/>
                <w:spacing w:val="-2"/>
              </w:rPr>
              <w:t>485</w:t>
            </w:r>
          </w:p>
        </w:tc>
        <w:tc>
          <w:tcPr>
            <w:tcW w:w="1289" w:type="dxa"/>
            <w:vAlign w:val="top"/>
          </w:tcPr>
          <w:p>
            <w:pPr>
              <w:pStyle w:val="TableText"/>
              <w:ind w:left="70"/>
              <w:spacing w:before="144" w:line="219" w:lineRule="auto"/>
              <w:rPr>
                <w:sz w:val="16"/>
                <w:szCs w:val="16"/>
              </w:rPr>
            </w:pPr>
            <w:r>
              <w:rPr>
                <w:sz w:val="16"/>
                <w:szCs w:val="16"/>
                <w:spacing w:val="1"/>
              </w:rPr>
              <w:t>国家交通取备办</w:t>
            </w:r>
          </w:p>
        </w:tc>
        <w:tc>
          <w:tcPr>
            <w:tcW w:w="1648" w:type="dxa"/>
            <w:vAlign w:val="top"/>
          </w:tcPr>
          <w:p>
            <w:pPr>
              <w:pStyle w:val="TableText"/>
              <w:ind w:left="62" w:right="113" w:firstLine="30"/>
              <w:spacing w:before="54" w:line="216" w:lineRule="auto"/>
              <w:rPr>
                <w:sz w:val="16"/>
                <w:szCs w:val="16"/>
              </w:rPr>
            </w:pPr>
            <w:r>
              <w:rPr>
                <w:sz w:val="16"/>
                <w:szCs w:val="16"/>
                <w:spacing w:val="-1"/>
              </w:rPr>
              <w:t>调用情备的回防交通</w:t>
            </w:r>
            <w:r>
              <w:rPr>
                <w:sz w:val="16"/>
                <w:szCs w:val="16"/>
              </w:rPr>
              <w:t xml:space="preserve"> </w:t>
            </w:r>
            <w:r>
              <w:rPr>
                <w:sz w:val="16"/>
                <w:szCs w:val="16"/>
                <w:spacing w:val="-2"/>
              </w:rPr>
              <w:t>物查軍批</w:t>
            </w:r>
          </w:p>
        </w:tc>
        <w:tc>
          <w:tcPr>
            <w:tcW w:w="2367" w:type="dxa"/>
            <w:vAlign w:val="top"/>
          </w:tcPr>
          <w:p>
            <w:pPr>
              <w:pStyle w:val="TableText"/>
              <w:ind w:left="44" w:right="46" w:firstLine="20"/>
              <w:spacing w:before="44" w:line="222" w:lineRule="auto"/>
              <w:rPr>
                <w:sz w:val="16"/>
                <w:szCs w:val="16"/>
              </w:rPr>
            </w:pPr>
            <w:r>
              <w:rPr>
                <w:sz w:val="16"/>
                <w:szCs w:val="16"/>
              </w:rPr>
              <w:t>国家交者战备办，省望回防交通</w:t>
            </w:r>
            <w:r>
              <w:rPr>
                <w:sz w:val="16"/>
                <w:szCs w:val="16"/>
                <w:spacing w:val="5"/>
              </w:rPr>
              <w:t xml:space="preserve"> </w:t>
            </w:r>
            <w:r>
              <w:rPr>
                <w:sz w:val="16"/>
                <w:szCs w:val="16"/>
                <w:spacing w:val="-2"/>
              </w:rPr>
              <w:t>主管机构</w:t>
            </w:r>
          </w:p>
        </w:tc>
        <w:tc>
          <w:tcPr>
            <w:tcW w:w="3711" w:type="dxa"/>
            <w:vAlign w:val="top"/>
          </w:tcPr>
          <w:p>
            <w:pPr>
              <w:pStyle w:val="TableText"/>
              <w:ind w:left="56"/>
              <w:spacing w:before="64" w:line="208" w:lineRule="auto"/>
              <w:rPr>
                <w:sz w:val="16"/>
                <w:szCs w:val="16"/>
              </w:rPr>
            </w:pPr>
            <w:r>
              <w:rPr>
                <w:sz w:val="16"/>
                <w:szCs w:val="16"/>
                <w:spacing w:val="2"/>
              </w:rPr>
              <w:t>1P伊人民其和国国防交道法)</w:t>
            </w:r>
          </w:p>
          <w:p>
            <w:pPr>
              <w:pStyle w:val="TableText"/>
              <w:ind w:left="56"/>
              <w:spacing w:line="212" w:lineRule="auto"/>
              <w:rPr>
                <w:sz w:val="16"/>
                <w:szCs w:val="16"/>
              </w:rPr>
            </w:pPr>
            <w:r>
              <w:rPr>
                <w:sz w:val="16"/>
                <w:szCs w:val="16"/>
                <w:spacing w:val="1"/>
              </w:rPr>
              <w:t>1国助交意茎例3</w:t>
            </w:r>
          </w:p>
        </w:tc>
      </w:tr>
      <w:tr>
        <w:trPr>
          <w:trHeight w:val="659" w:hRule="atLeast"/>
        </w:trPr>
        <w:tc>
          <w:tcPr>
            <w:tcW w:w="584" w:type="dxa"/>
            <w:vAlign w:val="top"/>
          </w:tcPr>
          <w:p>
            <w:pPr>
              <w:spacing w:line="243" w:lineRule="auto"/>
              <w:rPr>
                <w:rFonts w:ascii="Arial"/>
                <w:sz w:val="21"/>
              </w:rPr>
            </w:pPr>
            <w:r/>
          </w:p>
          <w:p>
            <w:pPr>
              <w:pStyle w:val="TableText"/>
              <w:ind w:left="164"/>
              <w:spacing w:before="52" w:line="183" w:lineRule="auto"/>
              <w:rPr>
                <w:sz w:val="16"/>
                <w:szCs w:val="16"/>
              </w:rPr>
            </w:pPr>
            <w:r>
              <w:rPr>
                <w:sz w:val="16"/>
                <w:szCs w:val="16"/>
                <w:spacing w:val="-2"/>
              </w:rPr>
              <w:t>986</w:t>
            </w:r>
          </w:p>
        </w:tc>
        <w:tc>
          <w:tcPr>
            <w:tcW w:w="1289" w:type="dxa"/>
            <w:vAlign w:val="top"/>
          </w:tcPr>
          <w:p>
            <w:pPr>
              <w:pStyle w:val="TableText"/>
              <w:ind w:left="70"/>
              <w:spacing w:before="255" w:line="219" w:lineRule="auto"/>
              <w:rPr>
                <w:sz w:val="16"/>
                <w:szCs w:val="16"/>
              </w:rPr>
            </w:pPr>
            <w:r>
              <w:rPr>
                <w:sz w:val="16"/>
                <w:szCs w:val="16"/>
                <w:spacing w:val="1"/>
              </w:rPr>
              <w:t>国素交通战备办</w:t>
            </w:r>
          </w:p>
        </w:tc>
        <w:tc>
          <w:tcPr>
            <w:tcW w:w="1648" w:type="dxa"/>
            <w:vAlign w:val="top"/>
          </w:tcPr>
          <w:p>
            <w:pPr>
              <w:pStyle w:val="TableText"/>
              <w:ind w:left="42" w:right="87" w:firstLine="50"/>
              <w:spacing w:before="45" w:line="232" w:lineRule="auto"/>
              <w:jc w:val="both"/>
              <w:rPr>
                <w:sz w:val="16"/>
                <w:szCs w:val="16"/>
              </w:rPr>
            </w:pPr>
            <w:r>
              <w:rPr>
                <w:sz w:val="16"/>
                <w:szCs w:val="16"/>
                <w:spacing w:val="2"/>
              </w:rPr>
              <w:t>重彻国防要求约民川</w:t>
            </w:r>
            <w:r>
              <w:rPr>
                <w:sz w:val="16"/>
                <w:szCs w:val="16"/>
              </w:rPr>
              <w:t xml:space="preserve"> </w:t>
            </w:r>
            <w:r>
              <w:rPr>
                <w:sz w:val="16"/>
                <w:szCs w:val="16"/>
                <w:spacing w:val="4"/>
              </w:rPr>
              <w:t>运驶工具及相天现备</w:t>
            </w:r>
            <w:r>
              <w:rPr>
                <w:sz w:val="16"/>
                <w:szCs w:val="16"/>
                <w:spacing w:val="6"/>
              </w:rPr>
              <w:t xml:space="preserve"> </w:t>
            </w:r>
            <w:r>
              <w:rPr>
                <w:sz w:val="16"/>
                <w:szCs w:val="16"/>
                <w:spacing w:val="-2"/>
              </w:rPr>
              <w:t>验收登记</w:t>
            </w:r>
          </w:p>
        </w:tc>
        <w:tc>
          <w:tcPr>
            <w:tcW w:w="2367" w:type="dxa"/>
            <w:vAlign w:val="top"/>
          </w:tcPr>
          <w:p>
            <w:pPr>
              <w:pStyle w:val="TableText"/>
              <w:ind w:left="44" w:right="65"/>
              <w:spacing w:before="166" w:line="224" w:lineRule="auto"/>
              <w:rPr>
                <w:sz w:val="16"/>
                <w:szCs w:val="16"/>
              </w:rPr>
            </w:pPr>
            <w:r>
              <w:rPr>
                <w:sz w:val="16"/>
                <w:szCs w:val="16"/>
              </w:rPr>
              <w:t>国家交通战备办，者级国防交酒</w:t>
            </w:r>
            <w:r>
              <w:rPr>
                <w:sz w:val="16"/>
                <w:szCs w:val="16"/>
                <w:spacing w:val="6"/>
              </w:rPr>
              <w:t xml:space="preserve"> </w:t>
            </w:r>
            <w:r>
              <w:rPr>
                <w:sz w:val="16"/>
                <w:szCs w:val="16"/>
                <w:spacing w:val="-2"/>
              </w:rPr>
              <w:t>主管机构</w:t>
            </w:r>
          </w:p>
        </w:tc>
        <w:tc>
          <w:tcPr>
            <w:tcW w:w="3711" w:type="dxa"/>
            <w:vAlign w:val="top"/>
          </w:tcPr>
          <w:p>
            <w:pPr>
              <w:pStyle w:val="TableText"/>
              <w:ind w:left="56"/>
              <w:spacing w:before="255" w:line="219" w:lineRule="auto"/>
              <w:rPr>
                <w:sz w:val="16"/>
                <w:szCs w:val="16"/>
              </w:rPr>
            </w:pPr>
            <w:r>
              <w:rPr>
                <w:sz w:val="16"/>
                <w:szCs w:val="16"/>
                <w:spacing w:val="-1"/>
              </w:rPr>
              <w:t>(民用运力国贴动员条例》</w:t>
            </w:r>
          </w:p>
        </w:tc>
      </w:tr>
      <w:tr>
        <w:trPr>
          <w:trHeight w:val="734" w:hRule="atLeast"/>
        </w:trPr>
        <w:tc>
          <w:tcPr>
            <w:tcW w:w="584" w:type="dxa"/>
            <w:vAlign w:val="top"/>
          </w:tcPr>
          <w:p>
            <w:pPr>
              <w:spacing w:line="284" w:lineRule="auto"/>
              <w:rPr>
                <w:rFonts w:ascii="Arial"/>
                <w:sz w:val="21"/>
              </w:rPr>
            </w:pPr>
            <w:r/>
          </w:p>
          <w:p>
            <w:pPr>
              <w:pStyle w:val="TableText"/>
              <w:ind w:left="164"/>
              <w:spacing w:before="52" w:line="183" w:lineRule="auto"/>
              <w:rPr>
                <w:sz w:val="16"/>
                <w:szCs w:val="16"/>
              </w:rPr>
            </w:pPr>
            <w:r>
              <w:rPr>
                <w:sz w:val="16"/>
                <w:szCs w:val="16"/>
                <w:spacing w:val="-2"/>
              </w:rPr>
              <w:t>987</w:t>
            </w:r>
          </w:p>
        </w:tc>
        <w:tc>
          <w:tcPr>
            <w:tcW w:w="1289" w:type="dxa"/>
            <w:vAlign w:val="top"/>
          </w:tcPr>
          <w:p>
            <w:pPr>
              <w:spacing w:line="243" w:lineRule="auto"/>
              <w:rPr>
                <w:rFonts w:ascii="Arial"/>
                <w:sz w:val="21"/>
              </w:rPr>
            </w:pPr>
            <w:r/>
          </w:p>
          <w:p>
            <w:pPr>
              <w:pStyle w:val="TableText"/>
              <w:ind w:left="70"/>
              <w:spacing w:before="52" w:line="219" w:lineRule="auto"/>
              <w:rPr>
                <w:sz w:val="16"/>
                <w:szCs w:val="16"/>
              </w:rPr>
            </w:pPr>
            <w:r>
              <w:rPr>
                <w:sz w:val="16"/>
                <w:szCs w:val="16"/>
                <w:spacing w:val="1"/>
              </w:rPr>
              <w:t>国家交通战备办</w:t>
            </w:r>
          </w:p>
        </w:tc>
        <w:tc>
          <w:tcPr>
            <w:tcW w:w="1648" w:type="dxa"/>
            <w:vAlign w:val="top"/>
          </w:tcPr>
          <w:p>
            <w:pPr>
              <w:pStyle w:val="TableText"/>
              <w:ind w:left="42" w:right="111" w:firstLine="50"/>
              <w:spacing w:before="106" w:line="227" w:lineRule="auto"/>
              <w:jc w:val="both"/>
              <w:rPr>
                <w:sz w:val="16"/>
                <w:szCs w:val="16"/>
              </w:rPr>
            </w:pPr>
            <w:r>
              <w:rPr>
                <w:sz w:val="16"/>
                <w:szCs w:val="16"/>
                <w:spacing w:val="-1"/>
              </w:rPr>
              <w:t>对动员成些用的运载</w:t>
            </w:r>
            <w:r>
              <w:rPr>
                <w:sz w:val="16"/>
                <w:szCs w:val="16"/>
                <w:spacing w:val="2"/>
              </w:rPr>
              <w:t xml:space="preserve"> </w:t>
            </w:r>
            <w:r>
              <w:rPr>
                <w:sz w:val="16"/>
                <w:szCs w:val="16"/>
                <w:spacing w:val="4"/>
              </w:rPr>
              <w:t>工具，以签进行重太 </w:t>
            </w:r>
            <w:r>
              <w:rPr>
                <w:sz w:val="16"/>
                <w:szCs w:val="16"/>
                <w:spacing w:val="-3"/>
              </w:rPr>
              <w:t>收盖定批</w:t>
            </w:r>
          </w:p>
        </w:tc>
        <w:tc>
          <w:tcPr>
            <w:tcW w:w="2367" w:type="dxa"/>
            <w:vAlign w:val="top"/>
          </w:tcPr>
          <w:p>
            <w:pPr>
              <w:pStyle w:val="TableText"/>
              <w:ind w:left="44" w:right="59" w:firstLine="20"/>
              <w:spacing w:before="195" w:line="225" w:lineRule="auto"/>
              <w:rPr>
                <w:sz w:val="16"/>
                <w:szCs w:val="16"/>
              </w:rPr>
            </w:pPr>
            <w:r>
              <w:rPr>
                <w:sz w:val="16"/>
                <w:szCs w:val="16"/>
                <w:spacing w:val="-1"/>
              </w:rPr>
              <w:t>加家交青故备办，省据国防交源</w:t>
            </w:r>
            <w:r>
              <w:rPr>
                <w:sz w:val="16"/>
                <w:szCs w:val="16"/>
                <w:spacing w:val="6"/>
              </w:rPr>
              <w:t xml:space="preserve"> </w:t>
            </w:r>
            <w:r>
              <w:rPr>
                <w:sz w:val="16"/>
                <w:szCs w:val="16"/>
                <w:spacing w:val="-2"/>
              </w:rPr>
              <w:t>主量机村</w:t>
            </w:r>
          </w:p>
        </w:tc>
        <w:tc>
          <w:tcPr>
            <w:tcW w:w="3711" w:type="dxa"/>
            <w:vAlign w:val="top"/>
          </w:tcPr>
          <w:p>
            <w:pPr>
              <w:spacing w:line="243" w:lineRule="auto"/>
              <w:rPr>
                <w:rFonts w:ascii="Arial"/>
                <w:sz w:val="21"/>
              </w:rPr>
            </w:pPr>
            <w:r/>
          </w:p>
          <w:p>
            <w:pPr>
              <w:pStyle w:val="TableText"/>
              <w:ind w:left="56"/>
              <w:spacing w:before="52" w:line="219" w:lineRule="auto"/>
              <w:rPr>
                <w:sz w:val="16"/>
                <w:szCs w:val="16"/>
              </w:rPr>
            </w:pPr>
            <w:r>
              <w:rPr>
                <w:sz w:val="16"/>
                <w:szCs w:val="16"/>
                <w:spacing w:val="-1"/>
              </w:rPr>
              <w:t>园防女西条部》</w:t>
            </w:r>
          </w:p>
        </w:tc>
      </w:tr>
    </w:tbl>
    <w:p>
      <w:pPr>
        <w:pStyle w:val="BodyText"/>
        <w:rPr/>
      </w:pPr>
      <w:r/>
    </w:p>
    <w:p>
      <w:pPr>
        <w:sectPr>
          <w:pgSz w:w="11910" w:h="8220"/>
          <w:pgMar w:top="400" w:right="1165" w:bottom="400" w:left="821" w:header="0" w:footer="0" w:gutter="0"/>
        </w:sectPr>
        <w:rPr/>
      </w:pPr>
    </w:p>
    <w:p>
      <w:pPr>
        <w:spacing w:before="28"/>
        <w:rPr/>
      </w:pPr>
      <w:r/>
    </w:p>
    <w:p>
      <w:pPr>
        <w:spacing w:before="28"/>
        <w:rPr/>
      </w:pPr>
      <w:r/>
    </w:p>
    <w:p>
      <w:pPr>
        <w:spacing w:before="28"/>
        <w:rPr/>
      </w:pPr>
      <w:r/>
    </w:p>
    <w:p>
      <w:pPr>
        <w:spacing w:before="28"/>
        <w:rPr/>
      </w:pPr>
      <w:r/>
    </w:p>
    <w:p>
      <w:pPr>
        <w:spacing w:before="27"/>
        <w:rPr/>
      </w:pPr>
      <w:r/>
    </w:p>
    <w:p>
      <w:pPr>
        <w:spacing w:before="27"/>
        <w:rPr/>
      </w:pPr>
      <w:r/>
    </w:p>
    <w:tbl>
      <w:tblPr>
        <w:tblStyle w:val="TableNormal"/>
        <w:tblW w:w="959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289"/>
        <w:gridCol w:w="1648"/>
        <w:gridCol w:w="2367"/>
        <w:gridCol w:w="3711"/>
      </w:tblGrid>
      <w:tr>
        <w:trPr>
          <w:trHeight w:val="413" w:hRule="atLeast"/>
        </w:trPr>
        <w:tc>
          <w:tcPr>
            <w:tcW w:w="584" w:type="dxa"/>
            <w:vAlign w:val="top"/>
          </w:tcPr>
          <w:p>
            <w:pPr>
              <w:pStyle w:val="TableText"/>
              <w:ind w:left="84"/>
              <w:spacing w:before="132" w:line="220" w:lineRule="auto"/>
              <w:rPr>
                <w:sz w:val="16"/>
                <w:szCs w:val="16"/>
              </w:rPr>
            </w:pPr>
            <w:r>
              <w:rPr>
                <w:sz w:val="16"/>
                <w:szCs w:val="16"/>
                <w:spacing w:val="4"/>
              </w:rPr>
              <w:t>院号</w:t>
            </w:r>
          </w:p>
        </w:tc>
        <w:tc>
          <w:tcPr>
            <w:tcW w:w="1289" w:type="dxa"/>
            <w:vAlign w:val="top"/>
          </w:tcPr>
          <w:p>
            <w:pPr>
              <w:pStyle w:val="TableText"/>
              <w:ind w:left="70"/>
              <w:spacing w:before="131" w:line="219" w:lineRule="auto"/>
              <w:rPr>
                <w:sz w:val="16"/>
                <w:szCs w:val="16"/>
              </w:rPr>
            </w:pPr>
            <w:r>
              <w:rPr>
                <w:sz w:val="16"/>
                <w:szCs w:val="16"/>
                <w:spacing w:val="2"/>
              </w:rPr>
              <w:t>中表主骨限门门</w:t>
            </w:r>
          </w:p>
        </w:tc>
        <w:tc>
          <w:tcPr>
            <w:tcW w:w="1648" w:type="dxa"/>
            <w:vAlign w:val="top"/>
          </w:tcPr>
          <w:p>
            <w:pPr>
              <w:pStyle w:val="TableText"/>
              <w:ind w:left="441"/>
              <w:spacing w:before="130" w:line="219" w:lineRule="auto"/>
              <w:rPr>
                <w:sz w:val="16"/>
                <w:szCs w:val="16"/>
              </w:rPr>
            </w:pPr>
            <w:r>
              <w:rPr>
                <w:sz w:val="16"/>
                <w:szCs w:val="16"/>
                <w:spacing w:val="-2"/>
              </w:rPr>
              <w:t>事请书幕</w:t>
            </w:r>
          </w:p>
        </w:tc>
        <w:tc>
          <w:tcPr>
            <w:tcW w:w="2367" w:type="dxa"/>
            <w:vAlign w:val="top"/>
          </w:tcPr>
          <w:p>
            <w:pPr>
              <w:pStyle w:val="TableText"/>
              <w:ind w:left="854"/>
              <w:spacing w:before="130" w:line="219" w:lineRule="auto"/>
              <w:rPr>
                <w:sz w:val="16"/>
                <w:szCs w:val="16"/>
              </w:rPr>
            </w:pPr>
            <w:r>
              <w:rPr>
                <w:sz w:val="16"/>
                <w:szCs w:val="16"/>
                <w:spacing w:val="-2"/>
              </w:rPr>
              <w:t>实糖机关</w:t>
            </w:r>
          </w:p>
        </w:tc>
        <w:tc>
          <w:tcPr>
            <w:tcW w:w="3711" w:type="dxa"/>
            <w:vAlign w:val="top"/>
          </w:tcPr>
          <w:p>
            <w:pPr>
              <w:pStyle w:val="TableText"/>
              <w:ind w:left="1316"/>
              <w:spacing w:before="130" w:line="219" w:lineRule="auto"/>
              <w:rPr>
                <w:sz w:val="16"/>
                <w:szCs w:val="16"/>
              </w:rPr>
            </w:pPr>
            <w:r>
              <w:rPr>
                <w:sz w:val="16"/>
                <w:szCs w:val="16"/>
                <w:spacing w:val="-2"/>
              </w:rPr>
              <w:t>设宝和写乳依断</w:t>
            </w:r>
          </w:p>
        </w:tc>
      </w:tr>
      <w:tr>
        <w:trPr>
          <w:trHeight w:val="448" w:hRule="atLeast"/>
        </w:trPr>
        <w:tc>
          <w:tcPr>
            <w:tcW w:w="584" w:type="dxa"/>
            <w:vAlign w:val="top"/>
          </w:tcPr>
          <w:p>
            <w:pPr>
              <w:rPr>
                <w:rFonts w:ascii="Arial"/>
                <w:sz w:val="21"/>
              </w:rPr>
            </w:pPr>
            <w:r/>
          </w:p>
        </w:tc>
        <w:tc>
          <w:tcPr>
            <w:tcW w:w="1289" w:type="dxa"/>
            <w:vAlign w:val="top"/>
          </w:tcPr>
          <w:p>
            <w:pPr>
              <w:pStyle w:val="TableText"/>
              <w:ind w:left="70"/>
              <w:spacing w:before="148" w:line="219" w:lineRule="auto"/>
              <w:rPr>
                <w:sz w:val="16"/>
                <w:szCs w:val="16"/>
              </w:rPr>
            </w:pPr>
            <w:r>
              <w:rPr>
                <w:sz w:val="16"/>
                <w:szCs w:val="16"/>
                <w:spacing w:val="1"/>
              </w:rPr>
              <w:t>国家交逗战各办</w:t>
            </w:r>
          </w:p>
        </w:tc>
        <w:tc>
          <w:tcPr>
            <w:tcW w:w="1648" w:type="dxa"/>
            <w:vAlign w:val="top"/>
          </w:tcPr>
          <w:p>
            <w:pPr>
              <w:pStyle w:val="TableText"/>
              <w:ind w:left="101" w:right="87"/>
              <w:spacing w:before="58" w:line="219" w:lineRule="auto"/>
              <w:rPr>
                <w:sz w:val="16"/>
                <w:szCs w:val="16"/>
              </w:rPr>
            </w:pPr>
            <w:r>
              <w:rPr>
                <w:sz w:val="16"/>
                <w:szCs w:val="16"/>
              </w:rPr>
              <w:t>占用回斯交量触期带</w:t>
            </w:r>
            <w:r>
              <w:rPr>
                <w:sz w:val="16"/>
                <w:szCs w:val="16"/>
                <w:spacing w:val="7"/>
              </w:rPr>
              <w:t xml:space="preserve"> </w:t>
            </w:r>
            <w:r>
              <w:rPr>
                <w:sz w:val="16"/>
                <w:szCs w:val="16"/>
                <w:spacing w:val="1"/>
              </w:rPr>
              <w:t>国土地律社</w:t>
            </w:r>
          </w:p>
        </w:tc>
        <w:tc>
          <w:tcPr>
            <w:tcW w:w="2367" w:type="dxa"/>
            <w:vAlign w:val="top"/>
          </w:tcPr>
          <w:p>
            <w:pPr>
              <w:pStyle w:val="TableText"/>
              <w:ind w:left="83" w:right="20"/>
              <w:spacing w:before="58" w:line="219" w:lineRule="auto"/>
              <w:rPr>
                <w:sz w:val="16"/>
                <w:szCs w:val="16"/>
              </w:rPr>
            </w:pPr>
            <w:r>
              <w:rPr>
                <w:sz w:val="16"/>
                <w:szCs w:val="16"/>
              </w:rPr>
              <w:t>国累空商造各办；省包，设区的</w:t>
            </w:r>
            <w:r>
              <w:rPr>
                <w:sz w:val="16"/>
                <w:szCs w:val="16"/>
                <w:spacing w:val="11"/>
              </w:rPr>
              <w:t xml:space="preserve"> </w:t>
            </w:r>
            <w:r>
              <w:rPr>
                <w:sz w:val="16"/>
                <w:szCs w:val="16"/>
                <w:spacing w:val="1"/>
              </w:rPr>
              <w:t>市望，某级国防交告主查机和</w:t>
            </w:r>
          </w:p>
        </w:tc>
        <w:tc>
          <w:tcPr>
            <w:tcW w:w="3711" w:type="dxa"/>
            <w:vAlign w:val="top"/>
          </w:tcPr>
          <w:p>
            <w:pPr>
              <w:pStyle w:val="TableText"/>
              <w:spacing w:before="58" w:line="231" w:lineRule="auto"/>
              <w:rPr>
                <w:sz w:val="16"/>
                <w:szCs w:val="16"/>
              </w:rPr>
            </w:pPr>
            <w:r>
              <w:rPr>
                <w:sz w:val="16"/>
                <w:szCs w:val="16"/>
                <w:spacing w:val="-5"/>
              </w:rPr>
              <w:t>《中华人民共和国国防全司注</w:t>
            </w:r>
          </w:p>
          <w:p>
            <w:pPr>
              <w:pStyle w:val="TableText"/>
              <w:ind w:left="78"/>
              <w:spacing w:line="207" w:lineRule="auto"/>
              <w:rPr>
                <w:sz w:val="16"/>
                <w:szCs w:val="16"/>
              </w:rPr>
            </w:pPr>
            <w:r>
              <w:rPr>
                <w:sz w:val="16"/>
                <w:szCs w:val="16"/>
                <w:spacing w:val="-2"/>
              </w:rPr>
              <w:t>国防交通条例5</w:t>
            </w:r>
          </w:p>
        </w:tc>
      </w:tr>
      <w:tr>
        <w:trPr>
          <w:trHeight w:val="428" w:hRule="atLeast"/>
        </w:trPr>
        <w:tc>
          <w:tcPr>
            <w:tcW w:w="584" w:type="dxa"/>
            <w:vAlign w:val="top"/>
          </w:tcPr>
          <w:p>
            <w:pPr>
              <w:pStyle w:val="TableText"/>
              <w:ind w:left="244"/>
              <w:spacing w:before="181" w:line="183" w:lineRule="auto"/>
              <w:rPr>
                <w:sz w:val="16"/>
                <w:szCs w:val="16"/>
              </w:rPr>
            </w:pPr>
            <w:r>
              <w:rPr>
                <w:sz w:val="16"/>
                <w:szCs w:val="16"/>
              </w:rPr>
              <w:t>9</w:t>
            </w:r>
          </w:p>
        </w:tc>
        <w:tc>
          <w:tcPr>
            <w:tcW w:w="1289" w:type="dxa"/>
            <w:vAlign w:val="top"/>
          </w:tcPr>
          <w:p>
            <w:pPr>
              <w:pStyle w:val="TableText"/>
              <w:ind w:left="231"/>
              <w:spacing w:before="141" w:line="220" w:lineRule="auto"/>
              <w:rPr>
                <w:sz w:val="16"/>
                <w:szCs w:val="16"/>
              </w:rPr>
            </w:pPr>
            <w:r>
              <w:rPr>
                <w:sz w:val="16"/>
                <w:szCs w:val="16"/>
                <w:spacing w:val="1"/>
              </w:rPr>
              <w:t>中国宽配食</w:t>
            </w:r>
          </w:p>
        </w:tc>
        <w:tc>
          <w:tcPr>
            <w:tcW w:w="1648" w:type="dxa"/>
            <w:vAlign w:val="top"/>
          </w:tcPr>
          <w:p>
            <w:pPr>
              <w:pStyle w:val="TableText"/>
              <w:ind w:left="101" w:right="146" w:hanging="59"/>
              <w:spacing w:before="60" w:line="206" w:lineRule="auto"/>
              <w:rPr>
                <w:sz w:val="16"/>
                <w:szCs w:val="16"/>
              </w:rPr>
            </w:pPr>
            <w:r>
              <w:rPr>
                <w:sz w:val="16"/>
                <w:szCs w:val="16"/>
                <w:spacing w:val="1"/>
              </w:rPr>
              <w:t>山面鉴办是济重焦战</w:t>
            </w:r>
            <w:r>
              <w:rPr>
                <w:sz w:val="16"/>
                <w:szCs w:val="16"/>
              </w:rPr>
              <w:t xml:space="preserve"> </w:t>
            </w:r>
            <w:r>
              <w:rPr>
                <w:sz w:val="16"/>
                <w:szCs w:val="16"/>
                <w:spacing w:val="-2"/>
              </w:rPr>
              <w:t>苋合末在</w:t>
            </w:r>
          </w:p>
        </w:tc>
        <w:tc>
          <w:tcPr>
            <w:tcW w:w="2367" w:type="dxa"/>
            <w:vAlign w:val="top"/>
          </w:tcPr>
          <w:p>
            <w:pPr>
              <w:pStyle w:val="TableText"/>
              <w:ind w:left="83"/>
              <w:spacing w:before="139" w:line="219" w:lineRule="auto"/>
              <w:rPr>
                <w:sz w:val="16"/>
                <w:szCs w:val="16"/>
              </w:rPr>
            </w:pPr>
            <w:r>
              <w:rPr>
                <w:sz w:val="16"/>
                <w:szCs w:val="16"/>
              </w:rPr>
              <w:t>中国亚配会会同商春面</w:t>
            </w:r>
          </w:p>
        </w:tc>
        <w:tc>
          <w:tcPr>
            <w:tcW w:w="3711" w:type="dxa"/>
            <w:vAlign w:val="top"/>
          </w:tcPr>
          <w:p>
            <w:pPr>
              <w:pStyle w:val="TableText"/>
              <w:ind w:left="36" w:right="297"/>
              <w:spacing w:before="29" w:line="219" w:lineRule="auto"/>
              <w:rPr>
                <w:sz w:val="16"/>
                <w:szCs w:val="16"/>
              </w:rPr>
            </w:pPr>
            <w:r>
              <w:rPr>
                <w:sz w:val="16"/>
                <w:szCs w:val="16"/>
              </w:rPr>
              <w:t>刚务能对确第保留的行改牵封现日设定行收环可</w:t>
            </w:r>
            <w:r>
              <w:rPr>
                <w:sz w:val="16"/>
                <w:szCs w:val="16"/>
                <w:spacing w:val="5"/>
              </w:rPr>
              <w:t xml:space="preserve"> </w:t>
            </w:r>
            <w:r>
              <w:rPr>
                <w:sz w:val="16"/>
                <w:szCs w:val="16"/>
                <w:spacing w:val="8"/>
              </w:rPr>
              <w:t>伯决定)</w:t>
            </w:r>
          </w:p>
        </w:tc>
      </w:tr>
      <w:tr>
        <w:trPr>
          <w:trHeight w:val="438" w:hRule="atLeast"/>
        </w:trPr>
        <w:tc>
          <w:tcPr>
            <w:tcW w:w="584" w:type="dxa"/>
            <w:vAlign w:val="top"/>
          </w:tcPr>
          <w:p>
            <w:pPr>
              <w:pStyle w:val="TableText"/>
              <w:ind w:left="164"/>
              <w:spacing w:before="198" w:line="123" w:lineRule="exact"/>
              <w:rPr>
                <w:sz w:val="16"/>
                <w:szCs w:val="16"/>
              </w:rPr>
            </w:pPr>
            <w:r>
              <w:rPr>
                <w:sz w:val="16"/>
                <w:szCs w:val="16"/>
                <w:spacing w:val="-3"/>
                <w:position w:val="1"/>
              </w:rPr>
              <w:t>quu</w:t>
            </w:r>
          </w:p>
        </w:tc>
        <w:tc>
          <w:tcPr>
            <w:tcW w:w="1289" w:type="dxa"/>
            <w:vAlign w:val="top"/>
          </w:tcPr>
          <w:p>
            <w:pPr>
              <w:pStyle w:val="TableText"/>
              <w:ind w:left="309" w:right="81" w:hanging="239"/>
              <w:spacing w:before="62" w:line="211" w:lineRule="auto"/>
              <w:rPr>
                <w:sz w:val="16"/>
                <w:szCs w:val="16"/>
              </w:rPr>
            </w:pPr>
            <w:r>
              <w:rPr>
                <w:sz w:val="16"/>
                <w:szCs w:val="16"/>
              </w:rPr>
              <w:t>国夸聪城幺烷对</w:t>
            </w:r>
            <w:r>
              <w:rPr>
                <w:sz w:val="16"/>
                <w:szCs w:val="16"/>
                <w:spacing w:val="5"/>
              </w:rPr>
              <w:t xml:space="preserve"> </w:t>
            </w:r>
            <w:r>
              <w:rPr>
                <w:sz w:val="16"/>
                <w:szCs w:val="16"/>
                <w:spacing w:val="3"/>
              </w:rPr>
              <w:t>主昏部71</w:t>
            </w:r>
          </w:p>
        </w:tc>
        <w:tc>
          <w:tcPr>
            <w:tcW w:w="1648" w:type="dxa"/>
            <w:vAlign w:val="top"/>
          </w:tcPr>
          <w:p>
            <w:pPr>
              <w:pStyle w:val="TableText"/>
              <w:ind w:left="101" w:right="153" w:hanging="49"/>
              <w:spacing w:before="51" w:line="217" w:lineRule="auto"/>
              <w:rPr>
                <w:sz w:val="16"/>
                <w:szCs w:val="16"/>
              </w:rPr>
            </w:pPr>
            <w:r>
              <w:rPr>
                <w:sz w:val="16"/>
                <w:szCs w:val="16"/>
                <w:spacing w:val="-1"/>
              </w:rPr>
              <w:t>丝设工章，临理世役</w:t>
            </w:r>
            <w:r>
              <w:rPr>
                <w:sz w:val="16"/>
                <w:szCs w:val="16"/>
              </w:rPr>
              <w:t xml:space="preserve"> </w:t>
            </w:r>
            <w:r>
              <w:rPr>
                <w:sz w:val="16"/>
                <w:szCs w:val="16"/>
                <w:spacing w:val="2"/>
              </w:rPr>
              <w:t>1程</w:t>
            </w:r>
          </w:p>
        </w:tc>
        <w:tc>
          <w:tcPr>
            <w:tcW w:w="2367" w:type="dxa"/>
            <w:vAlign w:val="top"/>
          </w:tcPr>
          <w:p>
            <w:pPr>
              <w:pStyle w:val="TableText"/>
              <w:ind w:left="83" w:right="44"/>
              <w:spacing w:before="62" w:line="211" w:lineRule="auto"/>
              <w:rPr>
                <w:sz w:val="16"/>
                <w:szCs w:val="16"/>
              </w:rPr>
            </w:pPr>
            <w:r>
              <w:rPr>
                <w:sz w:val="16"/>
                <w:szCs w:val="16"/>
                <w:spacing w:val="-1"/>
              </w:rPr>
              <w:t>眠用，品禁参线知察门；者既收</w:t>
            </w:r>
            <w:r>
              <w:rPr>
                <w:sz w:val="16"/>
                <w:szCs w:val="16"/>
                <w:spacing w:val="1"/>
              </w:rPr>
              <w:t xml:space="preserve"> </w:t>
            </w:r>
            <w:r>
              <w:rPr>
                <w:sz w:val="16"/>
                <w:szCs w:val="16"/>
                <w:spacing w:val="-1"/>
              </w:rPr>
              <w:t>辉消  销料营尚</w:t>
            </w:r>
          </w:p>
        </w:tc>
        <w:tc>
          <w:tcPr>
            <w:tcW w:w="3711" w:type="dxa"/>
            <w:vAlign w:val="top"/>
          </w:tcPr>
          <w:p>
            <w:pPr>
              <w:pStyle w:val="TableText"/>
              <w:ind w:left="36"/>
              <w:spacing w:before="141" w:line="219" w:lineRule="auto"/>
              <w:rPr>
                <w:sz w:val="16"/>
                <w:szCs w:val="16"/>
              </w:rPr>
            </w:pPr>
            <w:r>
              <w:rPr>
                <w:sz w:val="16"/>
                <w:szCs w:val="16"/>
                <w:spacing w:val="2"/>
              </w:rPr>
              <w:t>P使人院北和国以本要    )</w:t>
            </w:r>
          </w:p>
        </w:tc>
      </w:tr>
      <w:tr>
        <w:trPr>
          <w:trHeight w:val="433" w:hRule="atLeast"/>
        </w:trPr>
        <w:tc>
          <w:tcPr>
            <w:tcW w:w="584" w:type="dxa"/>
            <w:vAlign w:val="top"/>
          </w:tcPr>
          <w:p>
            <w:pPr>
              <w:pStyle w:val="TableText"/>
              <w:ind w:left="244"/>
              <w:spacing w:before="185" w:line="183" w:lineRule="auto"/>
              <w:rPr>
                <w:sz w:val="16"/>
                <w:szCs w:val="16"/>
              </w:rPr>
            </w:pPr>
            <w:r>
              <w:rPr>
                <w:sz w:val="16"/>
                <w:szCs w:val="16"/>
              </w:rPr>
              <w:t>9</w:t>
            </w:r>
          </w:p>
        </w:tc>
        <w:tc>
          <w:tcPr>
            <w:tcW w:w="1289" w:type="dxa"/>
            <w:vAlign w:val="top"/>
          </w:tcPr>
          <w:p>
            <w:pPr>
              <w:pStyle w:val="TableText"/>
              <w:ind w:left="309" w:right="76" w:hanging="239"/>
              <w:spacing w:before="45" w:line="218" w:lineRule="auto"/>
              <w:rPr>
                <w:sz w:val="16"/>
                <w:szCs w:val="16"/>
              </w:rPr>
            </w:pPr>
            <w:r>
              <w:rPr>
                <w:sz w:val="16"/>
                <w:szCs w:val="16"/>
                <w:spacing w:val="1"/>
              </w:rPr>
              <w:t>国务能瑞子统划</w:t>
            </w:r>
            <w:r>
              <w:rPr>
                <w:sz w:val="16"/>
                <w:szCs w:val="16"/>
                <w:spacing w:val="3"/>
              </w:rPr>
              <w:t xml:space="preserve"> </w:t>
            </w:r>
            <w:r>
              <w:rPr>
                <w:sz w:val="16"/>
                <w:szCs w:val="16"/>
                <w:spacing w:val="4"/>
              </w:rPr>
              <w:t>生督里门</w:t>
            </w:r>
          </w:p>
        </w:tc>
        <w:tc>
          <w:tcPr>
            <w:tcW w:w="1648" w:type="dxa"/>
            <w:vAlign w:val="top"/>
          </w:tcPr>
          <w:p>
            <w:pPr>
              <w:pStyle w:val="TableText"/>
              <w:ind w:left="101"/>
              <w:spacing w:before="144" w:line="219" w:lineRule="auto"/>
              <w:rPr>
                <w:sz w:val="16"/>
                <w:szCs w:val="16"/>
              </w:rPr>
            </w:pPr>
            <w:r>
              <w:rPr>
                <w:sz w:val="16"/>
                <w:szCs w:val="16"/>
              </w:rPr>
              <w:t>乡树础设现始落可</w:t>
            </w:r>
          </w:p>
        </w:tc>
        <w:tc>
          <w:tcPr>
            <w:tcW w:w="2367" w:type="dxa"/>
            <w:vAlign w:val="top"/>
          </w:tcPr>
          <w:p>
            <w:pPr>
              <w:pStyle w:val="TableText"/>
              <w:ind w:left="83"/>
              <w:spacing w:before="144" w:line="219" w:lineRule="auto"/>
              <w:rPr>
                <w:sz w:val="16"/>
                <w:szCs w:val="16"/>
              </w:rPr>
            </w:pPr>
            <w:r>
              <w:rPr>
                <w:sz w:val="16"/>
                <w:szCs w:val="16"/>
                <w:spacing w:val="1"/>
              </w:rPr>
              <w:t>或准，是越乡配划部门</w:t>
            </w:r>
          </w:p>
        </w:tc>
        <w:tc>
          <w:tcPr>
            <w:tcW w:w="3711" w:type="dxa"/>
            <w:vAlign w:val="top"/>
          </w:tcPr>
          <w:p>
            <w:pPr>
              <w:pStyle w:val="TableText"/>
              <w:spacing w:before="144" w:line="219" w:lineRule="auto"/>
              <w:rPr>
                <w:sz w:val="16"/>
                <w:szCs w:val="16"/>
              </w:rPr>
            </w:pPr>
            <w:r>
              <w:rPr>
                <w:sz w:val="16"/>
                <w:szCs w:val="16"/>
                <w:spacing w:val="-4"/>
              </w:rPr>
              <w:t>《中装人民共和国域去寒划达》</w:t>
            </w:r>
          </w:p>
        </w:tc>
      </w:tr>
    </w:tbl>
    <w:p>
      <w:pPr>
        <w:pStyle w:val="BodyText"/>
        <w:rPr/>
      </w:pPr>
      <w:r/>
    </w:p>
    <w:p>
      <w:pPr>
        <w:sectPr>
          <w:footerReference w:type="default" r:id="rId50"/>
          <w:pgSz w:w="11910" w:h="8220"/>
          <w:pgMar w:top="400" w:right="1165" w:bottom="1310" w:left="821" w:header="0" w:footer="1078" w:gutter="0"/>
        </w:sectPr>
        <w:rPr/>
      </w:pPr>
    </w:p>
    <w:p>
      <w:pPr>
        <w:pStyle w:val="BodyText"/>
        <w:spacing w:line="318" w:lineRule="auto"/>
        <w:rPr/>
      </w:pPr>
      <w:r/>
    </w:p>
    <w:p>
      <w:pPr>
        <w:pStyle w:val="BodyText"/>
        <w:spacing w:line="318" w:lineRule="auto"/>
        <w:rPr/>
      </w:pPr>
      <w:r/>
    </w:p>
    <w:p>
      <w:pPr>
        <w:ind w:left="1325"/>
        <w:spacing w:before="78" w:line="222" w:lineRule="auto"/>
        <w:rPr>
          <w:rFonts w:ascii="SimHei" w:hAnsi="SimHei" w:eastAsia="SimHei" w:cs="SimHei"/>
          <w:sz w:val="24"/>
          <w:szCs w:val="24"/>
        </w:rPr>
      </w:pPr>
      <w:r>
        <w:rPr>
          <w:rFonts w:ascii="SimHei" w:hAnsi="SimHei" w:eastAsia="SimHei" w:cs="SimHei"/>
          <w:sz w:val="24"/>
          <w:szCs w:val="24"/>
          <w:spacing w:val="-11"/>
        </w:rPr>
        <w:t>附录三：</w:t>
      </w:r>
      <w:r>
        <w:rPr>
          <w:rFonts w:ascii="SimHei" w:hAnsi="SimHei" w:eastAsia="SimHei" w:cs="SimHei"/>
          <w:sz w:val="24"/>
          <w:szCs w:val="24"/>
          <w:spacing w:val="63"/>
        </w:rPr>
        <w:t xml:space="preserve"> </w:t>
      </w:r>
      <w:r>
        <w:rPr>
          <w:rFonts w:ascii="SimHei" w:hAnsi="SimHei" w:eastAsia="SimHei" w:cs="SimHei"/>
          <w:sz w:val="24"/>
          <w:szCs w:val="24"/>
          <w:spacing w:val="-11"/>
        </w:rPr>
        <w:t>全国性及中央部门和单位</w:t>
      </w:r>
    </w:p>
    <w:p>
      <w:pPr>
        <w:ind w:left="1594"/>
        <w:spacing w:before="51" w:line="212" w:lineRule="auto"/>
        <w:rPr>
          <w:rFonts w:ascii="SimHei" w:hAnsi="SimHei" w:eastAsia="SimHei" w:cs="SimHei"/>
          <w:sz w:val="24"/>
          <w:szCs w:val="24"/>
        </w:rPr>
      </w:pPr>
      <w:r>
        <w:rPr>
          <w:rFonts w:ascii="SimHei" w:hAnsi="SimHei" w:eastAsia="SimHei" w:cs="SimHei"/>
          <w:sz w:val="24"/>
          <w:szCs w:val="24"/>
          <w:spacing w:val="-3"/>
        </w:rPr>
        <w:t>涉企行政事业性收费目录清单</w:t>
      </w:r>
    </w:p>
    <w:p>
      <w:pPr>
        <w:ind w:left="2314"/>
        <w:spacing w:before="1" w:line="222" w:lineRule="auto"/>
        <w:rPr>
          <w:rFonts w:ascii="KaiTi" w:hAnsi="KaiTi" w:eastAsia="KaiTi" w:cs="KaiTi"/>
          <w:sz w:val="21"/>
          <w:szCs w:val="21"/>
        </w:rPr>
      </w:pPr>
      <w:r>
        <w:rPr>
          <w:rFonts w:ascii="KaiTi" w:hAnsi="KaiTi" w:eastAsia="KaiTi" w:cs="KaiTi"/>
          <w:sz w:val="21"/>
          <w:szCs w:val="21"/>
          <w:spacing w:val="-3"/>
        </w:rPr>
        <w:t>(截至2022年11日)</w:t>
      </w:r>
    </w:p>
    <w:p>
      <w:pPr>
        <w:spacing w:before="6"/>
        <w:rPr/>
      </w:pPr>
      <w:r/>
    </w:p>
    <w:tbl>
      <w:tblPr>
        <w:tblStyle w:val="TableNormal"/>
        <w:tblW w:w="62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4"/>
        <w:gridCol w:w="549"/>
        <w:gridCol w:w="679"/>
        <w:gridCol w:w="959"/>
        <w:gridCol w:w="948"/>
        <w:gridCol w:w="2701"/>
      </w:tblGrid>
      <w:tr>
        <w:trPr>
          <w:trHeight w:val="334" w:hRule="atLeast"/>
        </w:trPr>
        <w:tc>
          <w:tcPr>
            <w:tcW w:w="394" w:type="dxa"/>
            <w:vAlign w:val="top"/>
          </w:tcPr>
          <w:p>
            <w:pPr>
              <w:pStyle w:val="TableText"/>
              <w:ind w:left="35"/>
              <w:spacing w:before="92" w:line="221" w:lineRule="auto"/>
              <w:rPr/>
            </w:pPr>
            <w:r>
              <w:rPr>
                <w:spacing w:val="-2"/>
              </w:rPr>
              <w:t>序号</w:t>
            </w:r>
          </w:p>
        </w:tc>
        <w:tc>
          <w:tcPr>
            <w:tcW w:w="549" w:type="dxa"/>
            <w:vAlign w:val="top"/>
          </w:tcPr>
          <w:p>
            <w:pPr>
              <w:pStyle w:val="TableText"/>
              <w:ind w:left="120"/>
              <w:spacing w:before="91" w:line="219" w:lineRule="auto"/>
              <w:rPr/>
            </w:pPr>
            <w:r>
              <w:rPr>
                <w:spacing w:val="8"/>
              </w:rPr>
              <w:t>部门</w:t>
            </w:r>
          </w:p>
        </w:tc>
        <w:tc>
          <w:tcPr>
            <w:tcW w:w="679" w:type="dxa"/>
            <w:vAlign w:val="top"/>
          </w:tcPr>
          <w:p>
            <w:pPr>
              <w:pStyle w:val="TableText"/>
              <w:ind w:left="31"/>
              <w:spacing w:before="91" w:line="220" w:lineRule="auto"/>
              <w:rPr/>
            </w:pPr>
            <w:r>
              <w:rPr>
                <w:spacing w:val="-2"/>
              </w:rPr>
              <w:t>项目序号</w:t>
            </w:r>
          </w:p>
        </w:tc>
        <w:tc>
          <w:tcPr>
            <w:tcW w:w="959" w:type="dxa"/>
            <w:vAlign w:val="top"/>
          </w:tcPr>
          <w:p>
            <w:pPr>
              <w:pStyle w:val="TableText"/>
              <w:ind w:left="183"/>
              <w:spacing w:before="91" w:line="220" w:lineRule="auto"/>
              <w:rPr/>
            </w:pPr>
            <w:r>
              <w:rPr>
                <w:spacing w:val="-2"/>
              </w:rPr>
              <w:t>项目名称</w:t>
            </w:r>
          </w:p>
        </w:tc>
        <w:tc>
          <w:tcPr>
            <w:tcW w:w="948" w:type="dxa"/>
            <w:vAlign w:val="top"/>
          </w:tcPr>
          <w:p>
            <w:pPr>
              <w:pStyle w:val="TableText"/>
              <w:ind w:right="4"/>
              <w:spacing w:before="91" w:line="219" w:lineRule="auto"/>
              <w:jc w:val="right"/>
              <w:rPr/>
            </w:pPr>
            <w:r>
              <w:rPr>
                <w:spacing w:val="-2"/>
              </w:rPr>
              <w:t>资金管理方式</w:t>
            </w:r>
          </w:p>
        </w:tc>
        <w:tc>
          <w:tcPr>
            <w:tcW w:w="2701" w:type="dxa"/>
            <w:vAlign w:val="top"/>
          </w:tcPr>
          <w:p>
            <w:pPr>
              <w:pStyle w:val="TableText"/>
              <w:ind w:left="1046"/>
              <w:spacing w:before="90" w:line="219" w:lineRule="auto"/>
              <w:rPr/>
            </w:pPr>
            <w:r>
              <w:rPr>
                <w:spacing w:val="-1"/>
              </w:rPr>
              <w:t>政策依据</w:t>
            </w:r>
          </w:p>
        </w:tc>
      </w:tr>
      <w:tr>
        <w:trPr>
          <w:trHeight w:val="330" w:hRule="atLeast"/>
        </w:trPr>
        <w:tc>
          <w:tcPr>
            <w:tcW w:w="394" w:type="dxa"/>
            <w:vAlign w:val="top"/>
          </w:tcPr>
          <w:p>
            <w:pPr>
              <w:ind w:left="155"/>
              <w:spacing w:line="209" w:lineRule="exact"/>
              <w:tabs>
                <w:tab w:val="left" w:pos="211"/>
              </w:tabs>
              <w:rPr>
                <w:rFonts w:ascii="Arial"/>
                <w:sz w:val="21"/>
              </w:rPr>
            </w:pPr>
            <w:r>
              <w:rPr>
                <w:rFonts w:ascii="Arial" w:hAnsi="Arial" w:eastAsia="Arial" w:cs="Arial"/>
                <w:sz w:val="21"/>
                <w:szCs w:val="21"/>
                <w:u w:val="single" w:color="auto"/>
                <w:position w:val="-1"/>
              </w:rPr>
              <w:tab/>
            </w:r>
          </w:p>
        </w:tc>
        <w:tc>
          <w:tcPr>
            <w:tcW w:w="5836" w:type="dxa"/>
            <w:vAlign w:val="top"/>
            <w:gridSpan w:val="5"/>
          </w:tcPr>
          <w:p>
            <w:pPr>
              <w:pStyle w:val="TableText"/>
              <w:ind w:left="101"/>
              <w:spacing w:before="87" w:line="219" w:lineRule="auto"/>
              <w:rPr/>
            </w:pPr>
            <w:r>
              <w:rPr>
                <w:spacing w:val="4"/>
              </w:rPr>
              <w:t>公安部门</w:t>
            </w:r>
          </w:p>
        </w:tc>
      </w:tr>
      <w:tr>
        <w:trPr>
          <w:trHeight w:val="330"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pStyle w:val="TableText"/>
              <w:ind w:left="291"/>
              <w:spacing w:before="124" w:line="184" w:lineRule="auto"/>
              <w:rPr/>
            </w:pPr>
            <w:r>
              <w:rPr/>
              <w:t>1</w:t>
            </w:r>
          </w:p>
        </w:tc>
        <w:tc>
          <w:tcPr>
            <w:tcW w:w="959" w:type="dxa"/>
            <w:vAlign w:val="top"/>
          </w:tcPr>
          <w:p>
            <w:pPr>
              <w:pStyle w:val="TableText"/>
              <w:ind w:left="23"/>
              <w:spacing w:before="87" w:line="220" w:lineRule="auto"/>
              <w:rPr/>
            </w:pPr>
            <w:r>
              <w:rPr>
                <w:spacing w:val="-2"/>
              </w:rPr>
              <w:t>证照费</w:t>
            </w:r>
          </w:p>
        </w:tc>
        <w:tc>
          <w:tcPr>
            <w:tcW w:w="948" w:type="dxa"/>
            <w:vAlign w:val="top"/>
          </w:tcPr>
          <w:p>
            <w:pPr>
              <w:rPr>
                <w:rFonts w:ascii="Arial"/>
                <w:sz w:val="21"/>
              </w:rPr>
            </w:pPr>
            <w:r/>
          </w:p>
        </w:tc>
        <w:tc>
          <w:tcPr>
            <w:tcW w:w="2701" w:type="dxa"/>
            <w:vAlign w:val="top"/>
          </w:tcPr>
          <w:p>
            <w:pPr>
              <w:rPr>
                <w:rFonts w:ascii="Arial"/>
                <w:sz w:val="21"/>
              </w:rPr>
            </w:pPr>
            <w:r/>
          </w:p>
        </w:tc>
      </w:tr>
      <w:tr>
        <w:trPr>
          <w:trHeight w:val="92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spacing w:line="245" w:lineRule="auto"/>
              <w:rPr>
                <w:rFonts w:ascii="Arial"/>
                <w:sz w:val="21"/>
              </w:rPr>
            </w:pPr>
            <w:r/>
          </w:p>
          <w:p>
            <w:pPr>
              <w:pStyle w:val="TableText"/>
              <w:ind w:left="12" w:right="86" w:firstLine="20"/>
              <w:spacing w:before="49" w:line="245" w:lineRule="auto"/>
              <w:rPr/>
            </w:pPr>
            <w:r>
              <w:rPr/>
              <w:t>(1)机动车号</w:t>
            </w:r>
            <w:r>
              <w:rPr>
                <w:spacing w:val="3"/>
              </w:rPr>
              <w:t xml:space="preserve"> </w:t>
            </w:r>
            <w:r>
              <w:rPr>
                <w:spacing w:val="-2"/>
              </w:rPr>
              <w:t>牌工本费</w:t>
            </w:r>
          </w:p>
        </w:tc>
        <w:tc>
          <w:tcPr>
            <w:tcW w:w="948" w:type="dxa"/>
            <w:vAlign w:val="top"/>
          </w:tcPr>
          <w:p>
            <w:pPr>
              <w:spacing w:line="336" w:lineRule="auto"/>
              <w:rPr>
                <w:rFonts w:ascii="Arial"/>
                <w:sz w:val="21"/>
              </w:rPr>
            </w:pPr>
            <w:r/>
          </w:p>
          <w:p>
            <w:pPr>
              <w:pStyle w:val="TableText"/>
              <w:ind w:left="13"/>
              <w:spacing w:before="49" w:line="219" w:lineRule="auto"/>
              <w:rPr/>
            </w:pPr>
            <w:r>
              <w:rPr>
                <w:spacing w:val="-1"/>
              </w:rPr>
              <w:t>缴入地方国库</w:t>
            </w:r>
          </w:p>
        </w:tc>
        <w:tc>
          <w:tcPr>
            <w:tcW w:w="2701" w:type="dxa"/>
            <w:vAlign w:val="top"/>
          </w:tcPr>
          <w:p>
            <w:pPr>
              <w:pStyle w:val="TableText"/>
              <w:ind w:left="105" w:right="85" w:hanging="94"/>
              <w:spacing w:before="73" w:line="254" w:lineRule="auto"/>
              <w:jc w:val="both"/>
              <w:rPr/>
            </w:pPr>
            <w:r>
              <w:rPr>
                <w:spacing w:val="27"/>
              </w:rPr>
              <w:t>《道路交通安全法》,发改价格〔</w:t>
            </w:r>
            <w:r>
              <w:rPr>
                <w:spacing w:val="13"/>
              </w:rPr>
              <w:t xml:space="preserve"> </w:t>
            </w:r>
            <w:r>
              <w:rPr>
                <w:spacing w:val="-6"/>
              </w:rPr>
              <w:t>2004〕2831号，</w:t>
            </w:r>
            <w:r>
              <w:rPr>
                <w:spacing w:val="18"/>
              </w:rPr>
              <w:t xml:space="preserve">   </w:t>
            </w:r>
            <w:r>
              <w:rPr>
                <w:spacing w:val="-6"/>
              </w:rPr>
              <w:t>计价格〔1994〕783</w:t>
            </w:r>
            <w:r>
              <w:rPr/>
              <w:t xml:space="preserve"> </w:t>
            </w:r>
            <w:r>
              <w:rPr>
                <w:spacing w:val="-1"/>
              </w:rPr>
              <w:t>号，价费字〔1992〕240号，行业标准</w:t>
            </w:r>
          </w:p>
          <w:p>
            <w:pPr>
              <w:pStyle w:val="TableText"/>
              <w:ind w:left="15"/>
              <w:spacing w:before="92" w:line="165" w:lineRule="auto"/>
              <w:rPr/>
            </w:pPr>
            <w:r>
              <w:rPr>
                <w:spacing w:val="-1"/>
              </w:rPr>
              <w:t>GA36-2014</w:t>
            </w:r>
          </w:p>
        </w:tc>
      </w:tr>
      <w:tr>
        <w:trPr>
          <w:trHeight w:val="50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pStyle w:val="TableText"/>
              <w:ind w:left="12" w:right="86" w:firstLine="30"/>
              <w:spacing w:before="77" w:line="254" w:lineRule="auto"/>
              <w:rPr/>
            </w:pPr>
            <w:r>
              <w:rPr>
                <w:spacing w:val="-1"/>
              </w:rPr>
              <w:t>①号牌(含临</w:t>
            </w:r>
            <w:r>
              <w:rPr/>
              <w:t xml:space="preserve"> </w:t>
            </w:r>
            <w:r>
              <w:rPr>
                <w:spacing w:val="-7"/>
              </w:rPr>
              <w:t>时</w:t>
            </w:r>
            <w:r>
              <w:rPr>
                <w:spacing w:val="-28"/>
              </w:rPr>
              <w:t xml:space="preserve"> </w:t>
            </w:r>
            <w:r>
              <w:rPr>
                <w:spacing w:val="-7"/>
              </w:rPr>
              <w:t>)</w:t>
            </w:r>
          </w:p>
        </w:tc>
        <w:tc>
          <w:tcPr>
            <w:tcW w:w="948" w:type="dxa"/>
            <w:vAlign w:val="top"/>
          </w:tcPr>
          <w:p>
            <w:pPr>
              <w:rPr>
                <w:rFonts w:ascii="Arial"/>
                <w:sz w:val="21"/>
              </w:rPr>
            </w:pPr>
            <w:r/>
          </w:p>
        </w:tc>
        <w:tc>
          <w:tcPr>
            <w:tcW w:w="2701" w:type="dxa"/>
            <w:vAlign w:val="top"/>
          </w:tcPr>
          <w:p>
            <w:pPr>
              <w:rPr>
                <w:rFonts w:ascii="Arial"/>
                <w:sz w:val="21"/>
              </w:rPr>
            </w:pPr>
            <w:r/>
          </w:p>
        </w:tc>
      </w:tr>
      <w:tr>
        <w:trPr>
          <w:trHeight w:val="47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pStyle w:val="TableText"/>
              <w:ind w:left="23" w:right="10" w:firstLine="19"/>
              <w:spacing w:before="78" w:line="234" w:lineRule="auto"/>
              <w:rPr/>
            </w:pPr>
            <w:r>
              <w:rPr>
                <w:spacing w:val="-1"/>
              </w:rPr>
              <w:t>②号牌专用固</w:t>
            </w:r>
            <w:r>
              <w:rPr/>
              <w:t xml:space="preserve"> </w:t>
            </w:r>
            <w:r>
              <w:rPr>
                <w:spacing w:val="-2"/>
              </w:rPr>
              <w:t>封装置</w:t>
            </w:r>
          </w:p>
        </w:tc>
        <w:tc>
          <w:tcPr>
            <w:tcW w:w="948" w:type="dxa"/>
            <w:vAlign w:val="top"/>
          </w:tcPr>
          <w:p>
            <w:pPr>
              <w:rPr>
                <w:rFonts w:ascii="Arial"/>
                <w:sz w:val="21"/>
              </w:rPr>
            </w:pPr>
            <w:r/>
          </w:p>
        </w:tc>
        <w:tc>
          <w:tcPr>
            <w:tcW w:w="2701" w:type="dxa"/>
            <w:vAlign w:val="top"/>
          </w:tcPr>
          <w:p>
            <w:pPr>
              <w:rPr>
                <w:rFonts w:ascii="Arial"/>
                <w:sz w:val="21"/>
              </w:rPr>
            </w:pPr>
            <w:r/>
          </w:p>
        </w:tc>
      </w:tr>
      <w:tr>
        <w:trPr>
          <w:trHeight w:val="36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pStyle w:val="TableText"/>
              <w:ind w:left="23"/>
              <w:spacing w:before="108" w:line="217" w:lineRule="auto"/>
              <w:rPr/>
            </w:pPr>
            <w:r>
              <w:rPr>
                <w:spacing w:val="-1"/>
              </w:rPr>
              <w:t>③号牌架</w:t>
            </w:r>
          </w:p>
        </w:tc>
        <w:tc>
          <w:tcPr>
            <w:tcW w:w="948" w:type="dxa"/>
            <w:vAlign w:val="top"/>
          </w:tcPr>
          <w:p>
            <w:pPr>
              <w:rPr>
                <w:rFonts w:ascii="Arial"/>
                <w:sz w:val="21"/>
              </w:rPr>
            </w:pPr>
            <w:r/>
          </w:p>
        </w:tc>
        <w:tc>
          <w:tcPr>
            <w:tcW w:w="2701" w:type="dxa"/>
            <w:vAlign w:val="top"/>
          </w:tcPr>
          <w:p>
            <w:pPr>
              <w:rPr>
                <w:rFonts w:ascii="Arial"/>
                <w:sz w:val="21"/>
              </w:rPr>
            </w:pPr>
            <w:r/>
          </w:p>
        </w:tc>
      </w:tr>
      <w:tr>
        <w:trPr>
          <w:trHeight w:val="114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spacing w:line="251" w:lineRule="auto"/>
              <w:rPr>
                <w:rFonts w:ascii="Arial"/>
                <w:sz w:val="21"/>
              </w:rPr>
            </w:pPr>
            <w:r/>
          </w:p>
          <w:p>
            <w:pPr>
              <w:pStyle w:val="TableText"/>
              <w:ind w:left="32" w:hanging="9"/>
              <w:spacing w:before="48" w:line="253" w:lineRule="auto"/>
              <w:rPr/>
            </w:pPr>
            <w:r>
              <w:rPr>
                <w:spacing w:val="-8"/>
              </w:rPr>
              <w:t>(2)机动车行</w:t>
            </w:r>
            <w:r>
              <w:rPr/>
              <w:t xml:space="preserve">   </w:t>
            </w:r>
            <w:r>
              <w:rPr>
                <w:spacing w:val="-17"/>
                <w:w w:val="98"/>
              </w:rPr>
              <w:t>驶证、登记证、</w:t>
            </w:r>
            <w:r>
              <w:rPr>
                <w:spacing w:val="5"/>
              </w:rPr>
              <w:t xml:space="preserve"> </w:t>
            </w:r>
            <w:r>
              <w:rPr>
                <w:spacing w:val="-11"/>
              </w:rPr>
              <w:t>驾驶证工本费</w:t>
            </w:r>
          </w:p>
        </w:tc>
        <w:tc>
          <w:tcPr>
            <w:tcW w:w="948" w:type="dxa"/>
            <w:vAlign w:val="top"/>
          </w:tcPr>
          <w:p>
            <w:pPr>
              <w:spacing w:line="449" w:lineRule="auto"/>
              <w:rPr>
                <w:rFonts w:ascii="Arial"/>
                <w:sz w:val="21"/>
              </w:rPr>
            </w:pPr>
            <w:r/>
          </w:p>
          <w:p>
            <w:pPr>
              <w:pStyle w:val="TableText"/>
              <w:spacing w:before="49" w:line="219" w:lineRule="auto"/>
              <w:jc w:val="right"/>
              <w:rPr/>
            </w:pPr>
            <w:r>
              <w:rPr>
                <w:spacing w:val="-1"/>
              </w:rPr>
              <w:t>缴入地方国库</w:t>
            </w:r>
          </w:p>
        </w:tc>
        <w:tc>
          <w:tcPr>
            <w:tcW w:w="2701" w:type="dxa"/>
            <w:vAlign w:val="top"/>
          </w:tcPr>
          <w:p>
            <w:pPr>
              <w:pStyle w:val="TableText"/>
              <w:spacing w:before="99" w:line="216" w:lineRule="auto"/>
              <w:rPr/>
            </w:pPr>
            <w:r>
              <w:rPr>
                <w:spacing w:val="29"/>
              </w:rPr>
              <w:t>《道路交通安全法》,发改价格〔</w:t>
            </w:r>
          </w:p>
          <w:p>
            <w:pPr>
              <w:pStyle w:val="TableText"/>
              <w:ind w:left="15" w:right="117" w:firstLine="90"/>
              <w:spacing w:before="47" w:line="243" w:lineRule="auto"/>
              <w:rPr/>
            </w:pPr>
            <w:r>
              <w:rPr>
                <w:spacing w:val="-1"/>
              </w:rPr>
              <w:t>2004]2831号，财综〔2001〕67号，计</w:t>
            </w:r>
            <w:r>
              <w:rPr>
                <w:spacing w:val="15"/>
              </w:rPr>
              <w:t xml:space="preserve"> </w:t>
            </w:r>
            <w:r>
              <w:rPr>
                <w:spacing w:val="1"/>
              </w:rPr>
              <w:t>价格〔2001〕1979号，计价格[1994]</w:t>
            </w:r>
          </w:p>
          <w:p>
            <w:pPr>
              <w:pStyle w:val="TableText"/>
              <w:ind w:left="15" w:right="84" w:firstLine="50"/>
              <w:spacing w:before="43" w:line="233" w:lineRule="auto"/>
              <w:rPr/>
            </w:pPr>
            <w:r>
              <w:rPr>
                <w:spacing w:val="-1"/>
              </w:rPr>
              <w:t>783号，价费字〔1992〕240号，发改价</w:t>
            </w:r>
            <w:r>
              <w:rPr>
                <w:spacing w:val="11"/>
              </w:rPr>
              <w:t xml:space="preserve"> </w:t>
            </w:r>
            <w:r>
              <w:rPr>
                <w:spacing w:val="-1"/>
              </w:rPr>
              <w:t>格〔2017〕1186号</w:t>
            </w:r>
          </w:p>
        </w:tc>
      </w:tr>
      <w:tr>
        <w:trPr>
          <w:trHeight w:val="115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9" w:type="dxa"/>
            <w:vAlign w:val="top"/>
          </w:tcPr>
          <w:p>
            <w:pPr>
              <w:pStyle w:val="TableText"/>
              <w:ind w:left="22" w:right="24" w:hanging="10"/>
              <w:spacing w:before="72" w:line="265" w:lineRule="auto"/>
              <w:rPr/>
            </w:pPr>
            <w:r>
              <w:rPr/>
              <w:t>(3)临时入培  </w:t>
            </w:r>
            <w:r>
              <w:rPr>
                <w:spacing w:val="-1"/>
              </w:rPr>
              <w:t>机动车号牌和</w:t>
            </w:r>
            <w:r>
              <w:rPr/>
              <w:t xml:space="preserve"> </w:t>
            </w:r>
            <w:r>
              <w:rPr/>
              <w:t>行驶证、临时 </w:t>
            </w:r>
            <w:r>
              <w:rPr>
                <w:spacing w:val="-1"/>
              </w:rPr>
              <w:t>机动车驾驶许</w:t>
            </w:r>
            <w:r>
              <w:rPr/>
              <w:t xml:space="preserve"> </w:t>
            </w:r>
            <w:r>
              <w:rPr>
                <w:spacing w:val="-2"/>
              </w:rPr>
              <w:t>可工本费</w:t>
            </w:r>
          </w:p>
        </w:tc>
        <w:tc>
          <w:tcPr>
            <w:tcW w:w="948" w:type="dxa"/>
            <w:vAlign w:val="top"/>
          </w:tcPr>
          <w:p>
            <w:pPr>
              <w:spacing w:line="460" w:lineRule="auto"/>
              <w:rPr>
                <w:rFonts w:ascii="Arial"/>
                <w:sz w:val="21"/>
              </w:rPr>
            </w:pPr>
            <w:r/>
          </w:p>
          <w:p>
            <w:pPr>
              <w:pStyle w:val="TableText"/>
              <w:spacing w:before="49" w:line="219" w:lineRule="auto"/>
              <w:jc w:val="right"/>
              <w:rPr/>
            </w:pPr>
            <w:r>
              <w:rPr>
                <w:spacing w:val="-1"/>
              </w:rPr>
              <w:t>缴入地方国库</w:t>
            </w:r>
          </w:p>
        </w:tc>
        <w:tc>
          <w:tcPr>
            <w:tcW w:w="2701" w:type="dxa"/>
            <w:vAlign w:val="top"/>
          </w:tcPr>
          <w:p>
            <w:pPr>
              <w:spacing w:line="258" w:lineRule="auto"/>
              <w:rPr>
                <w:rFonts w:ascii="Arial"/>
                <w:sz w:val="21"/>
              </w:rPr>
            </w:pPr>
            <w:r/>
          </w:p>
          <w:p>
            <w:pPr>
              <w:pStyle w:val="TableText"/>
              <w:ind w:left="71" w:hanging="72"/>
              <w:spacing w:before="49" w:line="260" w:lineRule="auto"/>
              <w:jc w:val="both"/>
              <w:rPr/>
            </w:pPr>
            <w:r>
              <w:rPr>
                <w:spacing w:val="-4"/>
              </w:rPr>
              <w:t>《道路交通安全法》,财综〔2008〕36号，</w:t>
            </w:r>
            <w:r>
              <w:rPr>
                <w:spacing w:val="2"/>
              </w:rPr>
              <w:t xml:space="preserve"> </w:t>
            </w:r>
            <w:r>
              <w:rPr>
                <w:spacing w:val="-3"/>
              </w:rPr>
              <w:t>发改价格〔2008〕1575号，发改价格〔  </w:t>
            </w:r>
            <w:r>
              <w:rPr>
                <w:spacing w:val="-4"/>
              </w:rPr>
              <w:t>2017〕1186号</w:t>
            </w:r>
          </w:p>
        </w:tc>
      </w:tr>
      <w:tr>
        <w:trPr>
          <w:trHeight w:val="330" w:hRule="atLeast"/>
        </w:trPr>
        <w:tc>
          <w:tcPr>
            <w:tcW w:w="394" w:type="dxa"/>
            <w:vAlign w:val="top"/>
          </w:tcPr>
          <w:p>
            <w:pPr>
              <w:pStyle w:val="TableText"/>
              <w:ind w:left="95"/>
              <w:spacing w:before="129" w:line="178" w:lineRule="auto"/>
              <w:rPr>
                <w:sz w:val="19"/>
                <w:szCs w:val="19"/>
              </w:rPr>
            </w:pPr>
            <w:r>
              <w:rPr>
                <w:sz w:val="19"/>
                <w:szCs w:val="19"/>
              </w:rPr>
              <w:t>二</w:t>
            </w:r>
          </w:p>
        </w:tc>
        <w:tc>
          <w:tcPr>
            <w:tcW w:w="5836" w:type="dxa"/>
            <w:vAlign w:val="top"/>
            <w:gridSpan w:val="5"/>
          </w:tcPr>
          <w:p>
            <w:pPr>
              <w:pStyle w:val="TableText"/>
              <w:ind w:left="101"/>
              <w:spacing w:before="93" w:line="219" w:lineRule="auto"/>
              <w:rPr/>
            </w:pPr>
            <w:r>
              <w:rPr>
                <w:spacing w:val="2"/>
              </w:rPr>
              <w:t>自然资源部门</w:t>
            </w:r>
          </w:p>
        </w:tc>
      </w:tr>
      <w:tr>
        <w:trPr>
          <w:trHeight w:val="49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pStyle w:val="TableText"/>
              <w:ind w:left="291"/>
              <w:spacing w:before="221" w:line="183" w:lineRule="auto"/>
              <w:rPr/>
            </w:pPr>
            <w:r>
              <w:rPr/>
              <w:t>2</w:t>
            </w:r>
          </w:p>
        </w:tc>
        <w:tc>
          <w:tcPr>
            <w:tcW w:w="959" w:type="dxa"/>
            <w:vAlign w:val="top"/>
          </w:tcPr>
          <w:p>
            <w:pPr>
              <w:pStyle w:val="TableText"/>
              <w:ind w:left="33"/>
              <w:spacing w:before="183" w:line="220" w:lineRule="auto"/>
              <w:rPr/>
            </w:pPr>
            <w:r>
              <w:rPr>
                <w:spacing w:val="-2"/>
              </w:rPr>
              <w:t>土地复垦费</w:t>
            </w:r>
          </w:p>
        </w:tc>
        <w:tc>
          <w:tcPr>
            <w:tcW w:w="948" w:type="dxa"/>
            <w:vAlign w:val="top"/>
          </w:tcPr>
          <w:p>
            <w:pPr>
              <w:pStyle w:val="TableText"/>
              <w:spacing w:before="183" w:line="219" w:lineRule="auto"/>
              <w:jc w:val="right"/>
              <w:rPr/>
            </w:pPr>
            <w:r>
              <w:rPr>
                <w:spacing w:val="-1"/>
              </w:rPr>
              <w:t>缴入地方国库</w:t>
            </w:r>
          </w:p>
        </w:tc>
        <w:tc>
          <w:tcPr>
            <w:tcW w:w="2701" w:type="dxa"/>
            <w:vAlign w:val="top"/>
          </w:tcPr>
          <w:p>
            <w:pPr>
              <w:pStyle w:val="TableText"/>
              <w:ind w:left="15" w:right="367" w:hanging="4"/>
              <w:spacing w:before="80" w:line="241" w:lineRule="auto"/>
              <w:rPr/>
            </w:pPr>
            <w:r>
              <w:rPr>
                <w:spacing w:val="-1"/>
              </w:rPr>
              <w:t>《土地管理法》,《土地复垦条例》</w:t>
            </w:r>
            <w:r>
              <w:rPr>
                <w:spacing w:val="2"/>
              </w:rPr>
              <w:t xml:space="preserve"> </w:t>
            </w:r>
            <w:r>
              <w:rPr>
                <w:spacing w:val="-1"/>
              </w:rPr>
              <w:t>财税〔2014〕77号</w:t>
            </w:r>
          </w:p>
        </w:tc>
      </w:tr>
      <w:tr>
        <w:trPr>
          <w:trHeight w:val="49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pStyle w:val="TableText"/>
              <w:ind w:left="291"/>
              <w:spacing w:before="222" w:line="183" w:lineRule="auto"/>
              <w:rPr/>
            </w:pPr>
            <w:r>
              <w:rPr/>
              <w:t>3</w:t>
            </w:r>
          </w:p>
        </w:tc>
        <w:tc>
          <w:tcPr>
            <w:tcW w:w="959" w:type="dxa"/>
            <w:vAlign w:val="top"/>
          </w:tcPr>
          <w:p>
            <w:pPr>
              <w:pStyle w:val="TableText"/>
              <w:ind w:left="12"/>
              <w:spacing w:before="184" w:line="220" w:lineRule="auto"/>
              <w:rPr/>
            </w:pPr>
            <w:r>
              <w:rPr>
                <w:spacing w:val="-2"/>
              </w:rPr>
              <w:t>土地闲置费</w:t>
            </w:r>
          </w:p>
        </w:tc>
        <w:tc>
          <w:tcPr>
            <w:tcW w:w="948" w:type="dxa"/>
            <w:vAlign w:val="top"/>
          </w:tcPr>
          <w:p>
            <w:pPr>
              <w:pStyle w:val="TableText"/>
              <w:spacing w:before="184" w:line="219" w:lineRule="auto"/>
              <w:jc w:val="right"/>
              <w:rPr/>
            </w:pPr>
            <w:r>
              <w:rPr>
                <w:spacing w:val="-1"/>
              </w:rPr>
              <w:t>缴入地方国库</w:t>
            </w:r>
          </w:p>
        </w:tc>
        <w:tc>
          <w:tcPr>
            <w:tcW w:w="2701" w:type="dxa"/>
            <w:vAlign w:val="top"/>
          </w:tcPr>
          <w:p>
            <w:pPr>
              <w:pStyle w:val="TableText"/>
              <w:spacing w:before="82" w:line="216" w:lineRule="auto"/>
              <w:rPr/>
            </w:pPr>
            <w:r>
              <w:rPr>
                <w:spacing w:val="-3"/>
              </w:rPr>
              <w:t>《土地管理法》,《城市房地产管理法》,</w:t>
            </w:r>
          </w:p>
          <w:p>
            <w:pPr>
              <w:pStyle w:val="TableText"/>
              <w:ind w:left="105"/>
              <w:spacing w:before="47" w:line="220" w:lineRule="auto"/>
              <w:rPr/>
            </w:pPr>
            <w:r>
              <w:rPr/>
              <w:t>国发〔2008〕3号，财税〔2014〕77号</w:t>
            </w:r>
          </w:p>
        </w:tc>
      </w:tr>
      <w:tr>
        <w:trPr>
          <w:trHeight w:val="919"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spacing w:line="382" w:lineRule="auto"/>
              <w:rPr>
                <w:rFonts w:ascii="Arial"/>
                <w:sz w:val="21"/>
              </w:rPr>
            </w:pPr>
            <w:r/>
          </w:p>
          <w:p>
            <w:pPr>
              <w:pStyle w:val="TableText"/>
              <w:ind w:left="291"/>
              <w:spacing w:before="49" w:line="183" w:lineRule="auto"/>
              <w:rPr/>
            </w:pPr>
            <w:r>
              <w:rPr/>
              <w:t>4</w:t>
            </w:r>
          </w:p>
        </w:tc>
        <w:tc>
          <w:tcPr>
            <w:tcW w:w="959" w:type="dxa"/>
            <w:vAlign w:val="top"/>
          </w:tcPr>
          <w:p>
            <w:pPr>
              <w:spacing w:line="344" w:lineRule="auto"/>
              <w:rPr>
                <w:rFonts w:ascii="Arial"/>
                <w:sz w:val="21"/>
              </w:rPr>
            </w:pPr>
            <w:r/>
          </w:p>
          <w:p>
            <w:pPr>
              <w:pStyle w:val="TableText"/>
              <w:ind w:left="42"/>
              <w:spacing w:before="49" w:line="219" w:lineRule="auto"/>
              <w:rPr/>
            </w:pPr>
            <w:r>
              <w:rPr>
                <w:spacing w:val="-2"/>
              </w:rPr>
              <w:t>不动产登记费</w:t>
            </w:r>
          </w:p>
        </w:tc>
        <w:tc>
          <w:tcPr>
            <w:tcW w:w="948" w:type="dxa"/>
            <w:vAlign w:val="top"/>
          </w:tcPr>
          <w:p>
            <w:pPr>
              <w:spacing w:line="254" w:lineRule="auto"/>
              <w:rPr>
                <w:rFonts w:ascii="Arial"/>
                <w:sz w:val="21"/>
              </w:rPr>
            </w:pPr>
            <w:r/>
          </w:p>
          <w:p>
            <w:pPr>
              <w:pStyle w:val="TableText"/>
              <w:ind w:left="23" w:right="28" w:hanging="10"/>
              <w:spacing w:before="49" w:line="239" w:lineRule="auto"/>
              <w:rPr/>
            </w:pPr>
            <w:r>
              <w:rPr>
                <w:spacing w:val="-1"/>
              </w:rPr>
              <w:t>缴入中央和地</w:t>
            </w:r>
            <w:r>
              <w:rPr/>
              <w:t xml:space="preserve"> </w:t>
            </w:r>
            <w:r>
              <w:rPr>
                <w:spacing w:val="-2"/>
              </w:rPr>
              <w:t>方国库</w:t>
            </w:r>
          </w:p>
        </w:tc>
        <w:tc>
          <w:tcPr>
            <w:tcW w:w="2701" w:type="dxa"/>
            <w:vAlign w:val="top"/>
          </w:tcPr>
          <w:p>
            <w:pPr>
              <w:pStyle w:val="TableText"/>
              <w:ind w:left="101" w:right="109" w:hanging="30"/>
              <w:spacing w:before="92" w:line="251" w:lineRule="auto"/>
              <w:jc w:val="both"/>
              <w:rPr/>
            </w:pPr>
            <w:r>
              <w:rPr>
                <w:spacing w:val="-1"/>
              </w:rPr>
              <w:t>《物权法》,财税【2014〕77号，财税 </w:t>
            </w:r>
            <w:r>
              <w:rPr>
                <w:spacing w:val="7"/>
              </w:rPr>
              <w:t>〔2016〕79号，发改价格规[2016〕</w:t>
            </w:r>
            <w:r>
              <w:rPr>
                <w:spacing w:val="6"/>
              </w:rPr>
              <w:t xml:space="preserve"> </w:t>
            </w:r>
            <w:r>
              <w:rPr>
                <w:spacing w:val="2"/>
              </w:rPr>
              <w:t>2559号，财税〔2019〕45号，财税〔</w:t>
            </w:r>
          </w:p>
          <w:p>
            <w:pPr>
              <w:pStyle w:val="TableText"/>
              <w:ind w:left="26"/>
              <w:spacing w:before="42" w:line="200" w:lineRule="auto"/>
              <w:rPr/>
            </w:pPr>
            <w:r>
              <w:rPr>
                <w:spacing w:val="-1"/>
              </w:rPr>
              <w:t>2019〕53号</w:t>
            </w:r>
          </w:p>
        </w:tc>
      </w:tr>
      <w:tr>
        <w:trPr>
          <w:trHeight w:val="504" w:hRule="atLeast"/>
        </w:trPr>
        <w:tc>
          <w:tcPr>
            <w:tcW w:w="394" w:type="dxa"/>
            <w:vAlign w:val="top"/>
          </w:tcPr>
          <w:p>
            <w:pPr>
              <w:rPr>
                <w:rFonts w:ascii="Arial"/>
                <w:sz w:val="21"/>
              </w:rPr>
            </w:pPr>
            <w:r/>
          </w:p>
        </w:tc>
        <w:tc>
          <w:tcPr>
            <w:tcW w:w="549" w:type="dxa"/>
            <w:vAlign w:val="top"/>
          </w:tcPr>
          <w:p>
            <w:pPr>
              <w:rPr>
                <w:rFonts w:ascii="Arial"/>
                <w:sz w:val="21"/>
              </w:rPr>
            </w:pPr>
            <w:r/>
          </w:p>
        </w:tc>
        <w:tc>
          <w:tcPr>
            <w:tcW w:w="679" w:type="dxa"/>
            <w:vAlign w:val="top"/>
          </w:tcPr>
          <w:p>
            <w:pPr>
              <w:pStyle w:val="TableText"/>
              <w:ind w:left="291"/>
              <w:spacing w:before="225" w:line="182" w:lineRule="auto"/>
              <w:rPr/>
            </w:pPr>
            <w:r>
              <w:rPr/>
              <w:t>5</w:t>
            </w:r>
          </w:p>
        </w:tc>
        <w:tc>
          <w:tcPr>
            <w:tcW w:w="959" w:type="dxa"/>
            <w:vAlign w:val="top"/>
          </w:tcPr>
          <w:p>
            <w:pPr>
              <w:pStyle w:val="TableText"/>
              <w:ind w:left="23"/>
              <w:spacing w:before="185" w:line="219" w:lineRule="auto"/>
              <w:rPr/>
            </w:pPr>
            <w:r>
              <w:rPr>
                <w:spacing w:val="-1"/>
              </w:rPr>
              <w:t>耕地开垦费</w:t>
            </w:r>
          </w:p>
        </w:tc>
        <w:tc>
          <w:tcPr>
            <w:tcW w:w="948" w:type="dxa"/>
            <w:vAlign w:val="top"/>
          </w:tcPr>
          <w:p>
            <w:pPr>
              <w:pStyle w:val="TableText"/>
              <w:ind w:left="13"/>
              <w:spacing w:before="186" w:line="219" w:lineRule="auto"/>
              <w:rPr/>
            </w:pPr>
            <w:r>
              <w:rPr>
                <w:spacing w:val="-1"/>
              </w:rPr>
              <w:t>缴入地方国库</w:t>
            </w:r>
          </w:p>
        </w:tc>
        <w:tc>
          <w:tcPr>
            <w:tcW w:w="2701" w:type="dxa"/>
            <w:vAlign w:val="top"/>
          </w:tcPr>
          <w:p>
            <w:pPr>
              <w:pStyle w:val="TableText"/>
              <w:ind w:left="73" w:hanging="73"/>
              <w:spacing w:before="104"/>
              <w:rPr/>
            </w:pPr>
            <w:r>
              <w:rPr>
                <w:spacing w:val="-5"/>
              </w:rPr>
              <w:t>《土地管理法》,《土地管理法实施条例》</w:t>
            </w:r>
            <w:r>
              <w:rPr>
                <w:spacing w:val="9"/>
              </w:rPr>
              <w:t xml:space="preserve"> </w:t>
            </w:r>
            <w:r>
              <w:rPr>
                <w:spacing w:val="-3"/>
              </w:rPr>
              <w:t>财税〔2014〕77号</w:t>
            </w:r>
          </w:p>
        </w:tc>
      </w:tr>
    </w:tbl>
    <w:p>
      <w:pPr>
        <w:pStyle w:val="BodyText"/>
        <w:spacing w:line="232" w:lineRule="exact"/>
        <w:rPr>
          <w:sz w:val="20"/>
        </w:rPr>
      </w:pPr>
      <w:r/>
    </w:p>
    <w:p>
      <w:pPr>
        <w:spacing w:line="232" w:lineRule="exact"/>
        <w:sectPr>
          <w:footerReference w:type="default" r:id="rId51"/>
          <w:pgSz w:w="8220" w:h="11910"/>
          <w:pgMar w:top="400" w:right="1004" w:bottom="942" w:left="974" w:header="0" w:footer="783" w:gutter="0"/>
        </w:sectPr>
        <w:rPr>
          <w:sz w:val="20"/>
          <w:szCs w:val="20"/>
        </w:rPr>
      </w:pPr>
    </w:p>
    <w:p>
      <w:pPr>
        <w:spacing w:before="116"/>
        <w:rPr/>
      </w:pPr>
      <w:r/>
    </w:p>
    <w:p>
      <w:pPr>
        <w:spacing w:before="116"/>
        <w:rPr/>
      </w:pPr>
      <w:r/>
    </w:p>
    <w:tbl>
      <w:tblPr>
        <w:tblStyle w:val="TableNormal"/>
        <w:tblW w:w="62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39"/>
        <w:gridCol w:w="679"/>
        <w:gridCol w:w="968"/>
        <w:gridCol w:w="948"/>
        <w:gridCol w:w="2691"/>
      </w:tblGrid>
      <w:tr>
        <w:trPr>
          <w:trHeight w:val="335" w:hRule="atLeast"/>
        </w:trPr>
        <w:tc>
          <w:tcPr>
            <w:tcW w:w="384" w:type="dxa"/>
            <w:vAlign w:val="top"/>
          </w:tcPr>
          <w:p>
            <w:pPr>
              <w:pStyle w:val="TableText"/>
              <w:ind w:left="34"/>
              <w:spacing w:before="92" w:line="221" w:lineRule="auto"/>
              <w:rPr/>
            </w:pPr>
            <w:bookmarkStart w:name="bookmark11" w:id="11"/>
            <w:bookmarkEnd w:id="11"/>
            <w:r>
              <w:rPr>
                <w:spacing w:val="-2"/>
              </w:rPr>
              <w:t>序号</w:t>
            </w:r>
          </w:p>
        </w:tc>
        <w:tc>
          <w:tcPr>
            <w:tcW w:w="539" w:type="dxa"/>
            <w:vAlign w:val="top"/>
          </w:tcPr>
          <w:p>
            <w:pPr>
              <w:pStyle w:val="TableText"/>
              <w:ind w:left="111"/>
              <w:spacing w:before="91" w:line="219" w:lineRule="auto"/>
              <w:rPr/>
            </w:pPr>
            <w:r>
              <w:rPr>
                <w:spacing w:val="8"/>
              </w:rPr>
              <w:t>部门</w:t>
            </w:r>
          </w:p>
        </w:tc>
        <w:tc>
          <w:tcPr>
            <w:tcW w:w="679" w:type="dxa"/>
            <w:vAlign w:val="top"/>
          </w:tcPr>
          <w:p>
            <w:pPr>
              <w:pStyle w:val="TableText"/>
              <w:ind w:left="32"/>
              <w:spacing w:before="91" w:line="220" w:lineRule="auto"/>
              <w:rPr/>
            </w:pPr>
            <w:r>
              <w:rPr>
                <w:spacing w:val="-2"/>
              </w:rPr>
              <w:t>项目序号</w:t>
            </w:r>
          </w:p>
        </w:tc>
        <w:tc>
          <w:tcPr>
            <w:tcW w:w="968" w:type="dxa"/>
            <w:vAlign w:val="top"/>
          </w:tcPr>
          <w:p>
            <w:pPr>
              <w:pStyle w:val="TableText"/>
              <w:ind w:left="193"/>
              <w:spacing w:before="91" w:line="220" w:lineRule="auto"/>
              <w:rPr/>
            </w:pPr>
            <w:r>
              <w:rPr>
                <w:spacing w:val="-2"/>
              </w:rPr>
              <w:t>项目名称</w:t>
            </w:r>
          </w:p>
        </w:tc>
        <w:tc>
          <w:tcPr>
            <w:tcW w:w="948" w:type="dxa"/>
            <w:vAlign w:val="top"/>
          </w:tcPr>
          <w:p>
            <w:pPr>
              <w:pStyle w:val="TableText"/>
              <w:ind w:left="14"/>
              <w:spacing w:before="91" w:line="219" w:lineRule="auto"/>
              <w:rPr/>
            </w:pPr>
            <w:r>
              <w:rPr>
                <w:spacing w:val="-2"/>
              </w:rPr>
              <w:t>资金管理方式</w:t>
            </w:r>
          </w:p>
        </w:tc>
        <w:tc>
          <w:tcPr>
            <w:tcW w:w="2691" w:type="dxa"/>
            <w:vAlign w:val="top"/>
          </w:tcPr>
          <w:p>
            <w:pPr>
              <w:pStyle w:val="TableText"/>
              <w:ind w:left="1046"/>
              <w:spacing w:before="90" w:line="219" w:lineRule="auto"/>
              <w:rPr/>
            </w:pPr>
            <w:r>
              <w:rPr>
                <w:spacing w:val="-1"/>
              </w:rPr>
              <w:t>政策依据</w:t>
            </w:r>
          </w:p>
        </w:tc>
      </w:tr>
      <w:tr>
        <w:trPr>
          <w:trHeight w:val="319" w:hRule="atLeast"/>
        </w:trPr>
        <w:tc>
          <w:tcPr>
            <w:tcW w:w="384" w:type="dxa"/>
            <w:vAlign w:val="top"/>
          </w:tcPr>
          <w:p>
            <w:pPr>
              <w:pStyle w:val="TableText"/>
              <w:ind w:left="104"/>
              <w:spacing w:before="99" w:line="237" w:lineRule="auto"/>
              <w:rPr/>
            </w:pPr>
            <w:r>
              <w:rPr/>
              <w:t>三</w:t>
            </w:r>
          </w:p>
        </w:tc>
        <w:tc>
          <w:tcPr>
            <w:tcW w:w="5825" w:type="dxa"/>
            <w:vAlign w:val="top"/>
            <w:gridSpan w:val="5"/>
          </w:tcPr>
          <w:p>
            <w:pPr>
              <w:pStyle w:val="TableText"/>
              <w:ind w:left="81"/>
              <w:spacing w:before="86" w:line="219" w:lineRule="auto"/>
              <w:rPr/>
            </w:pPr>
            <w:r>
              <w:rPr>
                <w:spacing w:val="2"/>
              </w:rPr>
              <w:t>生态环境部门</w:t>
            </w:r>
          </w:p>
        </w:tc>
      </w:tr>
      <w:tr>
        <w:trPr>
          <w:trHeight w:val="5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92"/>
              <w:spacing w:before="215" w:line="183" w:lineRule="auto"/>
              <w:rPr/>
            </w:pPr>
            <w:r>
              <w:rPr/>
              <w:t>6</w:t>
            </w:r>
          </w:p>
        </w:tc>
        <w:tc>
          <w:tcPr>
            <w:tcW w:w="968" w:type="dxa"/>
            <w:vAlign w:val="top"/>
          </w:tcPr>
          <w:p>
            <w:pPr>
              <w:pStyle w:val="TableText"/>
              <w:ind w:left="22" w:right="30" w:firstLine="10"/>
              <w:spacing w:before="96" w:line="234" w:lineRule="auto"/>
              <w:rPr/>
            </w:pPr>
            <w:r>
              <w:rPr>
                <w:spacing w:val="-1"/>
              </w:rPr>
              <w:t>海洋废弃物倾</w:t>
            </w:r>
            <w:r>
              <w:rPr/>
              <w:t xml:space="preserve"> </w:t>
            </w:r>
            <w:r>
              <w:rPr>
                <w:spacing w:val="-2"/>
              </w:rPr>
              <w:t>倒费</w:t>
            </w:r>
          </w:p>
        </w:tc>
        <w:tc>
          <w:tcPr>
            <w:tcW w:w="948" w:type="dxa"/>
            <w:vAlign w:val="top"/>
          </w:tcPr>
          <w:p>
            <w:pPr>
              <w:pStyle w:val="TableText"/>
              <w:ind w:left="14"/>
              <w:spacing w:before="177" w:line="219" w:lineRule="auto"/>
              <w:rPr/>
            </w:pPr>
            <w:r>
              <w:rPr>
                <w:spacing w:val="-1"/>
              </w:rPr>
              <w:t>缴入中央国库</w:t>
            </w:r>
          </w:p>
        </w:tc>
        <w:tc>
          <w:tcPr>
            <w:tcW w:w="2691" w:type="dxa"/>
            <w:vAlign w:val="top"/>
          </w:tcPr>
          <w:p>
            <w:pPr>
              <w:pStyle w:val="TableText"/>
              <w:ind w:left="36" w:right="23" w:hanging="14"/>
              <w:spacing w:before="94" w:line="248" w:lineRule="auto"/>
              <w:rPr/>
            </w:pPr>
            <w:r>
              <w:rPr>
                <w:spacing w:val="18"/>
              </w:rPr>
              <w:t>《</w:t>
            </w:r>
            <w:r>
              <w:rPr>
                <w:spacing w:val="-14"/>
              </w:rPr>
              <w:t xml:space="preserve"> </w:t>
            </w:r>
            <w:r>
              <w:rPr>
                <w:spacing w:val="18"/>
              </w:rPr>
              <w:t>海洋环境保护法</w:t>
            </w:r>
            <w:r>
              <w:rPr>
                <w:spacing w:val="-26"/>
              </w:rPr>
              <w:t xml:space="preserve"> </w:t>
            </w:r>
            <w:r>
              <w:rPr>
                <w:spacing w:val="18"/>
              </w:rPr>
              <w:t>》</w:t>
            </w:r>
            <w:r>
              <w:rPr>
                <w:spacing w:val="-32"/>
              </w:rPr>
              <w:t xml:space="preserve"> </w:t>
            </w:r>
            <w:r>
              <w:rPr>
                <w:spacing w:val="18"/>
              </w:rPr>
              <w:t>,发改价格</w:t>
            </w:r>
            <w:r>
              <w:rPr>
                <w:spacing w:val="-39"/>
              </w:rPr>
              <w:t xml:space="preserve"> </w:t>
            </w:r>
            <w:r>
              <w:rPr>
                <w:spacing w:val="18"/>
              </w:rPr>
              <w:t>〔</w:t>
            </w:r>
            <w:r>
              <w:rPr/>
              <w:t xml:space="preserve"> </w:t>
            </w:r>
            <w:r>
              <w:rPr>
                <w:spacing w:val="-1"/>
              </w:rPr>
              <w:t>2008]1927号</w:t>
            </w:r>
          </w:p>
        </w:tc>
      </w:tr>
      <w:tr>
        <w:trPr>
          <w:trHeight w:val="320" w:hRule="atLeast"/>
        </w:trPr>
        <w:tc>
          <w:tcPr>
            <w:tcW w:w="384" w:type="dxa"/>
            <w:vAlign w:val="top"/>
          </w:tcPr>
          <w:p>
            <w:pPr>
              <w:pStyle w:val="TableText"/>
              <w:ind w:left="104"/>
              <w:spacing w:before="90" w:line="222" w:lineRule="auto"/>
              <w:rPr/>
            </w:pPr>
            <w:r>
              <w:rPr/>
              <w:t>四</w:t>
            </w:r>
          </w:p>
        </w:tc>
        <w:tc>
          <w:tcPr>
            <w:tcW w:w="5825" w:type="dxa"/>
            <w:vAlign w:val="top"/>
            <w:gridSpan w:val="5"/>
          </w:tcPr>
          <w:p>
            <w:pPr>
              <w:pStyle w:val="TableText"/>
              <w:ind w:left="81"/>
              <w:spacing w:before="88" w:line="219" w:lineRule="auto"/>
              <w:rPr/>
            </w:pPr>
            <w:r>
              <w:rPr>
                <w:spacing w:val="2"/>
              </w:rPr>
              <w:t>住房城乡建设部门</w:t>
            </w:r>
          </w:p>
        </w:tc>
      </w:tr>
      <w:tr>
        <w:trPr>
          <w:trHeight w:val="73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87" w:lineRule="auto"/>
              <w:rPr>
                <w:rFonts w:ascii="Arial"/>
                <w:sz w:val="21"/>
              </w:rPr>
            </w:pPr>
            <w:r/>
          </w:p>
          <w:p>
            <w:pPr>
              <w:pStyle w:val="TableText"/>
              <w:ind w:left="292"/>
              <w:spacing w:before="48" w:line="182" w:lineRule="auto"/>
              <w:rPr/>
            </w:pPr>
            <w:r>
              <w:rPr/>
              <w:t>7</w:t>
            </w:r>
          </w:p>
        </w:tc>
        <w:tc>
          <w:tcPr>
            <w:tcW w:w="968" w:type="dxa"/>
            <w:vAlign w:val="top"/>
          </w:tcPr>
          <w:p>
            <w:pPr>
              <w:spacing w:line="248" w:lineRule="auto"/>
              <w:rPr>
                <w:rFonts w:ascii="Arial"/>
                <w:sz w:val="21"/>
              </w:rPr>
            </w:pPr>
            <w:r/>
          </w:p>
          <w:p>
            <w:pPr>
              <w:pStyle w:val="TableText"/>
              <w:ind w:left="32"/>
              <w:spacing w:before="48" w:line="219" w:lineRule="auto"/>
              <w:rPr/>
            </w:pPr>
            <w:r>
              <w:rPr>
                <w:spacing w:val="-2"/>
              </w:rPr>
              <w:t>污水处理费</w:t>
            </w:r>
          </w:p>
        </w:tc>
        <w:tc>
          <w:tcPr>
            <w:tcW w:w="948" w:type="dxa"/>
            <w:vAlign w:val="top"/>
          </w:tcPr>
          <w:p>
            <w:pPr>
              <w:spacing w:line="248" w:lineRule="auto"/>
              <w:rPr>
                <w:rFonts w:ascii="Arial"/>
                <w:sz w:val="21"/>
              </w:rPr>
            </w:pPr>
            <w:r/>
          </w:p>
          <w:p>
            <w:pPr>
              <w:pStyle w:val="TableText"/>
              <w:ind w:left="14"/>
              <w:spacing w:before="48" w:line="219" w:lineRule="auto"/>
              <w:rPr/>
            </w:pPr>
            <w:r>
              <w:rPr>
                <w:spacing w:val="-1"/>
              </w:rPr>
              <w:t>缴入地方国库</w:t>
            </w:r>
          </w:p>
        </w:tc>
        <w:tc>
          <w:tcPr>
            <w:tcW w:w="2691" w:type="dxa"/>
            <w:vAlign w:val="top"/>
          </w:tcPr>
          <w:p>
            <w:pPr>
              <w:pStyle w:val="TableText"/>
              <w:ind w:left="16" w:right="36" w:firstLine="15"/>
              <w:spacing w:before="85" w:line="244" w:lineRule="auto"/>
              <w:rPr/>
            </w:pPr>
            <w:r>
              <w:rPr>
                <w:spacing w:val="-1"/>
              </w:rPr>
              <w:t>《水污染防治法》,《城镇排水和污水处</w:t>
            </w:r>
            <w:r>
              <w:rPr>
                <w:spacing w:val="4"/>
              </w:rPr>
              <w:t xml:space="preserve"> </w:t>
            </w:r>
            <w:r>
              <w:rPr>
                <w:spacing w:val="-1"/>
              </w:rPr>
              <w:t>理条例》,财税〔2014〕151号，发改</w:t>
            </w:r>
          </w:p>
          <w:p>
            <w:pPr>
              <w:pStyle w:val="TableText"/>
              <w:ind w:left="26"/>
              <w:spacing w:before="45" w:line="218" w:lineRule="auto"/>
              <w:rPr/>
            </w:pPr>
            <w:r>
              <w:rPr>
                <w:spacing w:val="-1"/>
              </w:rPr>
              <w:t>价格〔2015〕119号</w:t>
            </w:r>
          </w:p>
        </w:tc>
      </w:tr>
      <w:tr>
        <w:trPr>
          <w:trHeight w:val="7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67" w:lineRule="auto"/>
              <w:rPr>
                <w:rFonts w:ascii="Arial"/>
                <w:sz w:val="21"/>
              </w:rPr>
            </w:pPr>
            <w:r/>
          </w:p>
          <w:p>
            <w:pPr>
              <w:pStyle w:val="TableText"/>
              <w:ind w:left="292"/>
              <w:spacing w:before="49" w:line="183" w:lineRule="auto"/>
              <w:rPr/>
            </w:pPr>
            <w:r>
              <w:rPr/>
              <w:t>8</w:t>
            </w:r>
          </w:p>
        </w:tc>
        <w:tc>
          <w:tcPr>
            <w:tcW w:w="968" w:type="dxa"/>
            <w:vAlign w:val="top"/>
          </w:tcPr>
          <w:p>
            <w:pPr>
              <w:pStyle w:val="TableText"/>
              <w:ind w:left="12" w:firstLine="19"/>
              <w:spacing w:before="78" w:line="250" w:lineRule="auto"/>
              <w:jc w:val="both"/>
              <w:rPr/>
            </w:pPr>
            <w:r>
              <w:rPr>
                <w:spacing w:val="-13"/>
              </w:rPr>
              <w:t>城</w:t>
            </w:r>
            <w:r>
              <w:rPr>
                <w:spacing w:val="-19"/>
              </w:rPr>
              <w:t xml:space="preserve"> </w:t>
            </w:r>
            <w:r>
              <w:rPr>
                <w:spacing w:val="-13"/>
              </w:rPr>
              <w:t>市</w:t>
            </w:r>
            <w:r>
              <w:rPr>
                <w:spacing w:val="-23"/>
              </w:rPr>
              <w:t xml:space="preserve"> </w:t>
            </w:r>
            <w:r>
              <w:rPr>
                <w:spacing w:val="-13"/>
              </w:rPr>
              <w:t>道</w:t>
            </w:r>
            <w:r>
              <w:rPr>
                <w:spacing w:val="-21"/>
              </w:rPr>
              <w:t xml:space="preserve"> </w:t>
            </w:r>
            <w:r>
              <w:rPr>
                <w:spacing w:val="-13"/>
              </w:rPr>
              <w:t>路</w:t>
            </w:r>
            <w:r>
              <w:rPr>
                <w:spacing w:val="2"/>
              </w:rPr>
              <w:t xml:space="preserve"> </w:t>
            </w:r>
            <w:r>
              <w:rPr>
                <w:spacing w:val="-13"/>
              </w:rPr>
              <w:t>占</w:t>
            </w:r>
            <w:r>
              <w:rPr/>
              <w:t xml:space="preserve"> </w:t>
            </w:r>
            <w:r>
              <w:rPr>
                <w:spacing w:val="2"/>
              </w:rPr>
              <w:t>用、挖掘修复 </w:t>
            </w:r>
            <w:r>
              <w:rPr/>
              <w:t>费</w:t>
            </w:r>
          </w:p>
        </w:tc>
        <w:tc>
          <w:tcPr>
            <w:tcW w:w="948" w:type="dxa"/>
            <w:vAlign w:val="top"/>
          </w:tcPr>
          <w:p>
            <w:pPr>
              <w:pStyle w:val="TableText"/>
              <w:ind w:left="14"/>
              <w:spacing w:before="279" w:line="219" w:lineRule="auto"/>
              <w:rPr/>
            </w:pPr>
            <w:r>
              <w:rPr>
                <w:spacing w:val="-1"/>
              </w:rPr>
              <w:t>缴入地方国库</w:t>
            </w:r>
          </w:p>
        </w:tc>
        <w:tc>
          <w:tcPr>
            <w:tcW w:w="2691" w:type="dxa"/>
            <w:vAlign w:val="top"/>
          </w:tcPr>
          <w:p>
            <w:pPr>
              <w:pStyle w:val="TableText"/>
              <w:ind w:left="36" w:right="118" w:hanging="25"/>
              <w:spacing w:before="196" w:line="247" w:lineRule="auto"/>
              <w:rPr/>
            </w:pPr>
            <w:r>
              <w:rPr>
                <w:spacing w:val="3"/>
              </w:rPr>
              <w:t>《城市道路管理条例》,建城〔1993〕</w:t>
            </w:r>
            <w:r>
              <w:rPr>
                <w:spacing w:val="17"/>
              </w:rPr>
              <w:t xml:space="preserve"> </w:t>
            </w:r>
            <w:r>
              <w:rPr>
                <w:spacing w:val="-1"/>
              </w:rPr>
              <w:t>410号，财税〔2015〕68号</w:t>
            </w:r>
          </w:p>
        </w:tc>
      </w:tr>
      <w:tr>
        <w:trPr>
          <w:trHeight w:val="340" w:hRule="atLeast"/>
        </w:trPr>
        <w:tc>
          <w:tcPr>
            <w:tcW w:w="384" w:type="dxa"/>
            <w:vAlign w:val="top"/>
          </w:tcPr>
          <w:p>
            <w:pPr>
              <w:pStyle w:val="TableText"/>
              <w:ind w:left="104"/>
              <w:spacing w:before="108" w:line="229" w:lineRule="auto"/>
              <w:rPr/>
            </w:pPr>
            <w:r>
              <w:rPr/>
              <w:t>五</w:t>
            </w:r>
          </w:p>
        </w:tc>
        <w:tc>
          <w:tcPr>
            <w:tcW w:w="5825" w:type="dxa"/>
            <w:vAlign w:val="top"/>
            <w:gridSpan w:val="5"/>
          </w:tcPr>
          <w:p>
            <w:pPr>
              <w:pStyle w:val="TableText"/>
              <w:ind w:left="81"/>
              <w:spacing w:before="100" w:line="219" w:lineRule="auto"/>
              <w:rPr/>
            </w:pPr>
            <w:r>
              <w:rPr>
                <w:spacing w:val="2"/>
              </w:rPr>
              <w:t>交通运输部门</w:t>
            </w:r>
          </w:p>
        </w:tc>
      </w:tr>
      <w:tr>
        <w:trPr>
          <w:trHeight w:val="7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68" w:lineRule="auto"/>
              <w:rPr>
                <w:rFonts w:ascii="Arial"/>
                <w:sz w:val="21"/>
              </w:rPr>
            </w:pPr>
            <w:r/>
          </w:p>
          <w:p>
            <w:pPr>
              <w:pStyle w:val="TableText"/>
              <w:ind w:left="292"/>
              <w:spacing w:before="49" w:line="183" w:lineRule="auto"/>
              <w:rPr/>
            </w:pPr>
            <w:r>
              <w:rPr/>
              <w:t>9</w:t>
            </w:r>
          </w:p>
        </w:tc>
        <w:tc>
          <w:tcPr>
            <w:tcW w:w="968" w:type="dxa"/>
            <w:vAlign w:val="top"/>
          </w:tcPr>
          <w:p>
            <w:pPr>
              <w:pStyle w:val="TableText"/>
              <w:ind w:left="22" w:right="5" w:firstLine="20"/>
              <w:spacing w:before="69" w:line="254" w:lineRule="auto"/>
              <w:jc w:val="both"/>
              <w:rPr/>
            </w:pPr>
            <w:r>
              <w:rPr>
                <w:spacing w:val="31"/>
              </w:rPr>
              <w:t>车辆通行费</w:t>
            </w:r>
            <w:r>
              <w:rPr>
                <w:spacing w:val="3"/>
              </w:rPr>
              <w:t xml:space="preserve"> </w:t>
            </w:r>
            <w:r>
              <w:rPr>
                <w:spacing w:val="11"/>
              </w:rPr>
              <w:t>(限于政府还</w:t>
            </w:r>
            <w:r>
              <w:rPr>
                <w:spacing w:val="4"/>
              </w:rPr>
              <w:t xml:space="preserve"> </w:t>
            </w:r>
            <w:r>
              <w:rPr>
                <w:spacing w:val="13"/>
              </w:rPr>
              <w:t>贷)</w:t>
            </w:r>
          </w:p>
        </w:tc>
        <w:tc>
          <w:tcPr>
            <w:tcW w:w="948" w:type="dxa"/>
            <w:vAlign w:val="top"/>
          </w:tcPr>
          <w:p>
            <w:pPr>
              <w:pStyle w:val="TableText"/>
              <w:ind w:left="14"/>
              <w:spacing w:before="280" w:line="219" w:lineRule="auto"/>
              <w:rPr/>
            </w:pPr>
            <w:r>
              <w:rPr>
                <w:spacing w:val="-1"/>
              </w:rPr>
              <w:t>缴入地方国库</w:t>
            </w:r>
          </w:p>
        </w:tc>
        <w:tc>
          <w:tcPr>
            <w:tcW w:w="2691" w:type="dxa"/>
            <w:vAlign w:val="top"/>
          </w:tcPr>
          <w:p>
            <w:pPr>
              <w:pStyle w:val="TableText"/>
              <w:ind w:left="36" w:right="264" w:hanging="5"/>
              <w:spacing w:before="178" w:line="246" w:lineRule="auto"/>
              <w:rPr/>
            </w:pPr>
            <w:r>
              <w:rPr>
                <w:spacing w:val="-1"/>
              </w:rPr>
              <w:t>《公路法》,《收费公路条例》,交公</w:t>
            </w:r>
            <w:r>
              <w:rPr/>
              <w:t xml:space="preserve"> </w:t>
            </w:r>
            <w:r>
              <w:rPr>
                <w:spacing w:val="-1"/>
              </w:rPr>
              <w:t>路发〔1994〕686号</w:t>
            </w:r>
          </w:p>
        </w:tc>
      </w:tr>
      <w:tr>
        <w:trPr>
          <w:trHeight w:val="92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77" w:lineRule="auto"/>
              <w:rPr>
                <w:rFonts w:ascii="Arial"/>
                <w:sz w:val="21"/>
              </w:rPr>
            </w:pPr>
            <w:r/>
          </w:p>
          <w:p>
            <w:pPr>
              <w:pStyle w:val="TableText"/>
              <w:ind w:left="251"/>
              <w:spacing w:before="49" w:line="184" w:lineRule="auto"/>
              <w:rPr/>
            </w:pPr>
            <w:r>
              <w:rPr>
                <w:spacing w:val="-5"/>
              </w:rPr>
              <w:t>10</w:t>
            </w:r>
          </w:p>
        </w:tc>
        <w:tc>
          <w:tcPr>
            <w:tcW w:w="968" w:type="dxa"/>
            <w:vAlign w:val="top"/>
          </w:tcPr>
          <w:p>
            <w:pPr>
              <w:pStyle w:val="TableText"/>
              <w:ind w:left="32" w:right="21" w:firstLine="10"/>
              <w:spacing w:before="281" w:line="251" w:lineRule="auto"/>
              <w:rPr/>
            </w:pPr>
            <w:r>
              <w:rPr>
                <w:spacing w:val="-2"/>
              </w:rPr>
              <w:t>长江干线船舶</w:t>
            </w:r>
            <w:r>
              <w:rPr>
                <w:spacing w:val="4"/>
              </w:rPr>
              <w:t xml:space="preserve"> </w:t>
            </w:r>
            <w:r>
              <w:rPr>
                <w:spacing w:val="2"/>
              </w:rPr>
              <w:t>引航收费</w:t>
            </w:r>
          </w:p>
        </w:tc>
        <w:tc>
          <w:tcPr>
            <w:tcW w:w="948" w:type="dxa"/>
            <w:vAlign w:val="top"/>
          </w:tcPr>
          <w:p>
            <w:pPr>
              <w:spacing w:line="340" w:lineRule="auto"/>
              <w:rPr>
                <w:rFonts w:ascii="Arial"/>
                <w:sz w:val="21"/>
              </w:rPr>
            </w:pPr>
            <w:r/>
          </w:p>
          <w:p>
            <w:pPr>
              <w:pStyle w:val="TableText"/>
              <w:ind w:left="14"/>
              <w:spacing w:before="49" w:line="219" w:lineRule="auto"/>
              <w:rPr/>
            </w:pPr>
            <w:r>
              <w:rPr>
                <w:spacing w:val="-1"/>
              </w:rPr>
              <w:t>缴入中央国库</w:t>
            </w:r>
          </w:p>
        </w:tc>
        <w:tc>
          <w:tcPr>
            <w:tcW w:w="2691" w:type="dxa"/>
            <w:vAlign w:val="top"/>
          </w:tcPr>
          <w:p>
            <w:pPr>
              <w:pStyle w:val="TableText"/>
              <w:ind w:left="37" w:right="93"/>
              <w:spacing w:before="79" w:line="256" w:lineRule="auto"/>
              <w:rPr/>
            </w:pPr>
            <w:r>
              <w:rPr/>
              <w:t>发改价格〔2013〕1494号，发改价格〔 </w:t>
            </w:r>
            <w:r>
              <w:rPr>
                <w:spacing w:val="-1"/>
              </w:rPr>
              <w:t>2011〕1536号，财综〔2007〕60号，财</w:t>
            </w:r>
            <w:r>
              <w:rPr>
                <w:spacing w:val="15"/>
              </w:rPr>
              <w:t xml:space="preserve"> </w:t>
            </w:r>
            <w:r>
              <w:rPr>
                <w:spacing w:val="-1"/>
              </w:rPr>
              <w:t>税〔2014〕101号，财办税〔2015〕14</w:t>
            </w:r>
            <w:r>
              <w:rPr>
                <w:spacing w:val="8"/>
              </w:rPr>
              <w:t xml:space="preserve">  </w:t>
            </w:r>
            <w:r>
              <w:rPr/>
              <w:t>号</w:t>
            </w:r>
          </w:p>
        </w:tc>
      </w:tr>
      <w:tr>
        <w:trPr>
          <w:trHeight w:val="340" w:hRule="atLeast"/>
        </w:trPr>
        <w:tc>
          <w:tcPr>
            <w:tcW w:w="384" w:type="dxa"/>
            <w:vAlign w:val="top"/>
          </w:tcPr>
          <w:p>
            <w:pPr>
              <w:pStyle w:val="TableText"/>
              <w:ind w:left="104"/>
              <w:spacing w:before="105" w:line="224" w:lineRule="auto"/>
              <w:rPr/>
            </w:pPr>
            <w:r>
              <w:rPr/>
              <w:t>六</w:t>
            </w:r>
          </w:p>
        </w:tc>
        <w:tc>
          <w:tcPr>
            <w:tcW w:w="5825" w:type="dxa"/>
            <w:vAlign w:val="top"/>
            <w:gridSpan w:val="5"/>
          </w:tcPr>
          <w:p>
            <w:pPr>
              <w:pStyle w:val="TableText"/>
              <w:ind w:left="81"/>
              <w:spacing w:before="102" w:line="219" w:lineRule="auto"/>
              <w:rPr/>
            </w:pPr>
            <w:r>
              <w:rPr>
                <w:spacing w:val="2"/>
              </w:rPr>
              <w:t>工业和信息化部门</w:t>
            </w:r>
          </w:p>
        </w:tc>
      </w:tr>
      <w:tr>
        <w:trPr>
          <w:trHeight w:val="1588"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53" w:lineRule="auto"/>
              <w:rPr>
                <w:rFonts w:ascii="Arial"/>
                <w:sz w:val="21"/>
              </w:rPr>
            </w:pPr>
            <w:r/>
          </w:p>
          <w:p>
            <w:pPr>
              <w:spacing w:line="353" w:lineRule="auto"/>
              <w:rPr>
                <w:rFonts w:ascii="Arial"/>
                <w:sz w:val="21"/>
              </w:rPr>
            </w:pPr>
            <w:r/>
          </w:p>
          <w:p>
            <w:pPr>
              <w:pStyle w:val="TableText"/>
              <w:ind w:left="251"/>
              <w:spacing w:before="49" w:line="184" w:lineRule="auto"/>
              <w:rPr/>
            </w:pPr>
            <w:r>
              <w:rPr>
                <w:spacing w:val="-5"/>
              </w:rPr>
              <w:t>11</w:t>
            </w:r>
          </w:p>
        </w:tc>
        <w:tc>
          <w:tcPr>
            <w:tcW w:w="968" w:type="dxa"/>
            <w:vAlign w:val="top"/>
          </w:tcPr>
          <w:p>
            <w:pPr>
              <w:spacing w:line="290" w:lineRule="auto"/>
              <w:rPr>
                <w:rFonts w:ascii="Arial"/>
                <w:sz w:val="21"/>
              </w:rPr>
            </w:pPr>
            <w:r/>
          </w:p>
          <w:p>
            <w:pPr>
              <w:spacing w:line="290" w:lineRule="auto"/>
              <w:rPr>
                <w:rFonts w:ascii="Arial"/>
                <w:sz w:val="21"/>
              </w:rPr>
            </w:pPr>
            <w:r/>
          </w:p>
          <w:p>
            <w:pPr>
              <w:pStyle w:val="TableText"/>
              <w:ind w:left="12" w:right="22" w:firstLine="30"/>
              <w:spacing w:before="49" w:line="233" w:lineRule="auto"/>
              <w:rPr/>
            </w:pPr>
            <w:r>
              <w:rPr>
                <w:spacing w:val="-2"/>
              </w:rPr>
              <w:t>无线电频率占</w:t>
            </w:r>
            <w:r>
              <w:rPr>
                <w:spacing w:val="3"/>
              </w:rPr>
              <w:t xml:space="preserve"> </w:t>
            </w:r>
            <w:r>
              <w:rPr>
                <w:spacing w:val="-2"/>
              </w:rPr>
              <w:t>用费</w:t>
            </w:r>
          </w:p>
        </w:tc>
        <w:tc>
          <w:tcPr>
            <w:tcW w:w="948" w:type="dxa"/>
            <w:vAlign w:val="top"/>
          </w:tcPr>
          <w:p>
            <w:pPr>
              <w:spacing w:line="289" w:lineRule="auto"/>
              <w:rPr>
                <w:rFonts w:ascii="Arial"/>
                <w:sz w:val="21"/>
              </w:rPr>
            </w:pPr>
            <w:r/>
          </w:p>
          <w:p>
            <w:pPr>
              <w:spacing w:line="290" w:lineRule="auto"/>
              <w:rPr>
                <w:rFonts w:ascii="Arial"/>
                <w:sz w:val="21"/>
              </w:rPr>
            </w:pPr>
            <w:r/>
          </w:p>
          <w:p>
            <w:pPr>
              <w:pStyle w:val="TableText"/>
              <w:ind w:left="24" w:right="27" w:hanging="10"/>
              <w:spacing w:before="48" w:line="233" w:lineRule="auto"/>
              <w:rPr/>
            </w:pPr>
            <w:r>
              <w:rPr>
                <w:spacing w:val="-1"/>
              </w:rPr>
              <w:t>缴入中央和地</w:t>
            </w:r>
            <w:r>
              <w:rPr/>
              <w:t xml:space="preserve"> </w:t>
            </w:r>
            <w:r>
              <w:rPr>
                <w:spacing w:val="-2"/>
              </w:rPr>
              <w:t>方国库</w:t>
            </w:r>
          </w:p>
        </w:tc>
        <w:tc>
          <w:tcPr>
            <w:tcW w:w="2691" w:type="dxa"/>
            <w:vAlign w:val="top"/>
          </w:tcPr>
          <w:p>
            <w:pPr>
              <w:pStyle w:val="TableText"/>
              <w:ind w:left="56" w:right="98" w:hanging="25"/>
              <w:spacing w:before="80" w:line="251" w:lineRule="auto"/>
              <w:rPr/>
            </w:pPr>
            <w:r>
              <w:rPr>
                <w:spacing w:val="3"/>
              </w:rPr>
              <w:t>《无线电管理条例》,计价格〔2000〕</w:t>
            </w:r>
            <w:r>
              <w:rPr>
                <w:spacing w:val="17"/>
              </w:rPr>
              <w:t xml:space="preserve"> </w:t>
            </w:r>
            <w:r>
              <w:rPr>
                <w:spacing w:val="-1"/>
              </w:rPr>
              <w:t>1015号，发改价格〔2013〕2396号，</w:t>
            </w:r>
          </w:p>
          <w:p>
            <w:pPr>
              <w:pStyle w:val="TableText"/>
              <w:ind w:left="22" w:right="108" w:firstLine="14"/>
              <w:spacing w:before="21" w:line="263" w:lineRule="auto"/>
              <w:rPr/>
            </w:pPr>
            <w:r>
              <w:rPr>
                <w:spacing w:val="-1"/>
              </w:rPr>
              <w:t>发改价格〔2011〕749号，发改价格〔</w:t>
            </w:r>
            <w:r>
              <w:rPr>
                <w:spacing w:val="7"/>
              </w:rPr>
              <w:t xml:space="preserve">  </w:t>
            </w:r>
            <w:r>
              <w:rPr/>
              <w:t>2005]2812号，发改价格〔2003〕2300</w:t>
            </w:r>
            <w:r>
              <w:rPr>
                <w:spacing w:val="3"/>
              </w:rPr>
              <w:t xml:space="preserve">  </w:t>
            </w:r>
            <w:r>
              <w:rPr>
                <w:spacing w:val="1"/>
              </w:rPr>
              <w:t>号，计价费〔1998〕218号，发改</w:t>
            </w:r>
            <w:r>
              <w:rPr/>
              <w:t>价格 </w:t>
            </w:r>
            <w:r>
              <w:rPr>
                <w:spacing w:val="6"/>
              </w:rPr>
              <w:t>〔2017〕1186号，发改价格〔2018〕</w:t>
            </w:r>
            <w:r>
              <w:rPr>
                <w:spacing w:val="17"/>
              </w:rPr>
              <w:t xml:space="preserve"> </w:t>
            </w:r>
            <w:r>
              <w:rPr/>
              <w:t>601号，发改价格〔2019〕914号</w:t>
            </w:r>
          </w:p>
        </w:tc>
      </w:tr>
      <w:tr>
        <w:trPr>
          <w:trHeight w:val="72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81" w:lineRule="auto"/>
              <w:rPr>
                <w:rFonts w:ascii="Arial"/>
                <w:sz w:val="21"/>
              </w:rPr>
            </w:pPr>
            <w:r/>
          </w:p>
          <w:p>
            <w:pPr>
              <w:pStyle w:val="TableText"/>
              <w:ind w:left="251"/>
              <w:spacing w:before="49" w:line="184" w:lineRule="auto"/>
              <w:rPr/>
            </w:pPr>
            <w:r>
              <w:rPr>
                <w:spacing w:val="-5"/>
              </w:rPr>
              <w:t>12</w:t>
            </w:r>
          </w:p>
        </w:tc>
        <w:tc>
          <w:tcPr>
            <w:tcW w:w="968" w:type="dxa"/>
            <w:vAlign w:val="top"/>
          </w:tcPr>
          <w:p>
            <w:pPr>
              <w:pStyle w:val="TableText"/>
              <w:ind w:left="32" w:right="13"/>
              <w:spacing w:before="193"/>
              <w:rPr/>
            </w:pPr>
            <w:r>
              <w:rPr>
                <w:spacing w:val="1"/>
              </w:rPr>
              <w:t>电信网码号资</w:t>
            </w:r>
            <w:r>
              <w:rPr>
                <w:spacing w:val="4"/>
              </w:rPr>
              <w:t xml:space="preserve"> </w:t>
            </w:r>
            <w:r>
              <w:rPr>
                <w:spacing w:val="-1"/>
              </w:rPr>
              <w:t>源占用费</w:t>
            </w:r>
          </w:p>
        </w:tc>
        <w:tc>
          <w:tcPr>
            <w:tcW w:w="948" w:type="dxa"/>
            <w:vAlign w:val="top"/>
          </w:tcPr>
          <w:p>
            <w:pPr>
              <w:spacing w:line="244" w:lineRule="auto"/>
              <w:rPr>
                <w:rFonts w:ascii="Arial"/>
                <w:sz w:val="21"/>
              </w:rPr>
            </w:pPr>
            <w:r/>
          </w:p>
          <w:p>
            <w:pPr>
              <w:pStyle w:val="TableText"/>
              <w:ind w:left="14"/>
              <w:spacing w:before="48" w:line="219" w:lineRule="auto"/>
              <w:rPr/>
            </w:pPr>
            <w:r>
              <w:rPr>
                <w:spacing w:val="-1"/>
              </w:rPr>
              <w:t>缴入中央国库</w:t>
            </w:r>
          </w:p>
        </w:tc>
        <w:tc>
          <w:tcPr>
            <w:tcW w:w="2691" w:type="dxa"/>
            <w:vAlign w:val="top"/>
          </w:tcPr>
          <w:p>
            <w:pPr>
              <w:pStyle w:val="TableText"/>
              <w:ind w:left="31" w:right="158"/>
              <w:spacing w:before="80" w:line="260" w:lineRule="auto"/>
              <w:jc w:val="both"/>
              <w:rPr/>
            </w:pPr>
            <w:r>
              <w:rPr>
                <w:spacing w:val="-1"/>
              </w:rPr>
              <w:t>《电信条例》,信部联清〔2004〕517</w:t>
            </w:r>
            <w:r>
              <w:rPr>
                <w:spacing w:val="1"/>
              </w:rPr>
              <w:t xml:space="preserve">  </w:t>
            </w:r>
            <w:r>
              <w:rPr/>
              <w:t>号，信部联清2005〕401号，发改价格</w:t>
            </w:r>
            <w:r>
              <w:rPr>
                <w:spacing w:val="14"/>
              </w:rPr>
              <w:t xml:space="preserve"> </w:t>
            </w:r>
            <w:r>
              <w:rPr>
                <w:spacing w:val="6"/>
              </w:rPr>
              <w:t>〔2017〕1186号</w:t>
            </w:r>
          </w:p>
        </w:tc>
      </w:tr>
      <w:tr>
        <w:trPr>
          <w:trHeight w:val="330" w:hRule="atLeast"/>
        </w:trPr>
        <w:tc>
          <w:tcPr>
            <w:tcW w:w="384" w:type="dxa"/>
            <w:vAlign w:val="top"/>
          </w:tcPr>
          <w:p>
            <w:pPr>
              <w:pStyle w:val="TableText"/>
              <w:ind w:left="104"/>
              <w:spacing w:before="104" w:line="231" w:lineRule="auto"/>
              <w:rPr/>
            </w:pPr>
            <w:r>
              <w:rPr/>
              <w:t>七</w:t>
            </w:r>
          </w:p>
        </w:tc>
        <w:tc>
          <w:tcPr>
            <w:tcW w:w="5825" w:type="dxa"/>
            <w:vAlign w:val="top"/>
            <w:gridSpan w:val="5"/>
          </w:tcPr>
          <w:p>
            <w:pPr>
              <w:pStyle w:val="TableText"/>
              <w:ind w:left="81"/>
              <w:spacing w:before="95" w:line="219" w:lineRule="auto"/>
              <w:rPr/>
            </w:pPr>
            <w:r>
              <w:rPr>
                <w:spacing w:val="4"/>
              </w:rPr>
              <w:t>水利部门</w:t>
            </w:r>
          </w:p>
        </w:tc>
      </w:tr>
      <w:tr>
        <w:trPr>
          <w:trHeight w:val="1593"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54" w:lineRule="auto"/>
              <w:rPr>
                <w:rFonts w:ascii="Arial"/>
                <w:sz w:val="21"/>
              </w:rPr>
            </w:pPr>
            <w:r/>
          </w:p>
          <w:p>
            <w:pPr>
              <w:spacing w:line="355" w:lineRule="auto"/>
              <w:rPr>
                <w:rFonts w:ascii="Arial"/>
                <w:sz w:val="21"/>
              </w:rPr>
            </w:pPr>
            <w:r/>
          </w:p>
          <w:p>
            <w:pPr>
              <w:pStyle w:val="TableText"/>
              <w:ind w:left="251"/>
              <w:spacing w:before="49" w:line="184" w:lineRule="auto"/>
              <w:rPr/>
            </w:pPr>
            <w:r>
              <w:rPr>
                <w:spacing w:val="-5"/>
              </w:rPr>
              <w:t>13</w:t>
            </w:r>
          </w:p>
        </w:tc>
        <w:tc>
          <w:tcPr>
            <w:tcW w:w="968" w:type="dxa"/>
            <w:vAlign w:val="top"/>
          </w:tcPr>
          <w:p>
            <w:pPr>
              <w:spacing w:line="336" w:lineRule="auto"/>
              <w:rPr>
                <w:rFonts w:ascii="Arial"/>
                <w:sz w:val="21"/>
              </w:rPr>
            </w:pPr>
            <w:r/>
          </w:p>
          <w:p>
            <w:pPr>
              <w:spacing w:line="336" w:lineRule="auto"/>
              <w:rPr>
                <w:rFonts w:ascii="Arial"/>
                <w:sz w:val="21"/>
              </w:rPr>
            </w:pPr>
            <w:r/>
          </w:p>
          <w:p>
            <w:pPr>
              <w:pStyle w:val="TableText"/>
              <w:ind w:left="32"/>
              <w:spacing w:before="49" w:line="219" w:lineRule="auto"/>
              <w:rPr/>
            </w:pPr>
            <w:r>
              <w:rPr>
                <w:spacing w:val="-2"/>
              </w:rPr>
              <w:t>水资源费</w:t>
            </w:r>
          </w:p>
        </w:tc>
        <w:tc>
          <w:tcPr>
            <w:tcW w:w="948" w:type="dxa"/>
            <w:vAlign w:val="top"/>
          </w:tcPr>
          <w:p>
            <w:pPr>
              <w:spacing w:line="281" w:lineRule="auto"/>
              <w:rPr>
                <w:rFonts w:ascii="Arial"/>
                <w:sz w:val="21"/>
              </w:rPr>
            </w:pPr>
            <w:r/>
          </w:p>
          <w:p>
            <w:pPr>
              <w:spacing w:line="281" w:lineRule="auto"/>
              <w:rPr>
                <w:rFonts w:ascii="Arial"/>
                <w:sz w:val="21"/>
              </w:rPr>
            </w:pPr>
            <w:r/>
          </w:p>
          <w:p>
            <w:pPr>
              <w:pStyle w:val="TableText"/>
              <w:ind w:left="14" w:right="27"/>
              <w:spacing w:before="49" w:line="245" w:lineRule="auto"/>
              <w:rPr/>
            </w:pPr>
            <w:r>
              <w:rPr>
                <w:spacing w:val="-1"/>
              </w:rPr>
              <w:t>缴入中央和地</w:t>
            </w:r>
            <w:r>
              <w:rPr/>
              <w:t xml:space="preserve"> </w:t>
            </w:r>
            <w:r>
              <w:rPr>
                <w:spacing w:val="-2"/>
              </w:rPr>
              <w:t>方国库</w:t>
            </w:r>
          </w:p>
        </w:tc>
        <w:tc>
          <w:tcPr>
            <w:tcW w:w="2691" w:type="dxa"/>
            <w:vAlign w:val="top"/>
          </w:tcPr>
          <w:p>
            <w:pPr>
              <w:pStyle w:val="TableText"/>
              <w:ind w:left="31"/>
              <w:spacing w:before="83" w:line="216" w:lineRule="auto"/>
              <w:rPr/>
            </w:pPr>
            <w:r>
              <w:rPr>
                <w:spacing w:val="-1"/>
              </w:rPr>
              <w:t>《水法》,《取水许可和水资源费征</w:t>
            </w:r>
          </w:p>
          <w:p>
            <w:pPr>
              <w:pStyle w:val="TableText"/>
              <w:ind w:left="37"/>
              <w:spacing w:before="54" w:line="216" w:lineRule="auto"/>
              <w:rPr/>
            </w:pPr>
            <w:r>
              <w:rPr>
                <w:spacing w:val="-1"/>
              </w:rPr>
              <w:t>收管理条例》,财税〔2016〕2号，发</w:t>
            </w:r>
          </w:p>
          <w:p>
            <w:pPr>
              <w:pStyle w:val="TableText"/>
              <w:ind w:left="37"/>
              <w:spacing w:before="45" w:line="218" w:lineRule="auto"/>
              <w:rPr/>
            </w:pPr>
            <w:r>
              <w:rPr>
                <w:spacing w:val="-1"/>
              </w:rPr>
              <w:t>改价格〔2014〕1959号，发改价格[</w:t>
            </w:r>
          </w:p>
          <w:p>
            <w:pPr>
              <w:pStyle w:val="TableText"/>
              <w:ind w:left="46" w:right="90" w:hanging="9"/>
              <w:spacing w:before="42" w:line="249" w:lineRule="auto"/>
              <w:rPr/>
            </w:pPr>
            <w:r>
              <w:rPr>
                <w:spacing w:val="-1"/>
              </w:rPr>
              <w:t>2013〕29号，财综〔2011〕19号，发改</w:t>
            </w:r>
            <w:r>
              <w:rPr>
                <w:spacing w:val="14"/>
              </w:rPr>
              <w:t xml:space="preserve"> </w:t>
            </w:r>
            <w:r>
              <w:rPr>
                <w:spacing w:val="-1"/>
              </w:rPr>
              <w:t>价格〔2009〕1779号，财综[2008]79号</w:t>
            </w:r>
            <w:r>
              <w:rPr>
                <w:spacing w:val="17"/>
              </w:rPr>
              <w:t xml:space="preserve"> </w:t>
            </w:r>
            <w:r>
              <w:rPr>
                <w:spacing w:val="3"/>
              </w:rPr>
              <w:t>财综〔2003〕89号，价费字〔1992〕</w:t>
            </w:r>
          </w:p>
          <w:p>
            <w:pPr>
              <w:pStyle w:val="TableText"/>
              <w:ind w:left="46"/>
              <w:spacing w:before="44" w:line="218" w:lineRule="auto"/>
              <w:rPr/>
            </w:pPr>
            <w:r>
              <w:rPr>
                <w:spacing w:val="1"/>
              </w:rPr>
              <w:t>181号</w:t>
            </w:r>
          </w:p>
        </w:tc>
      </w:tr>
    </w:tbl>
    <w:p>
      <w:pPr>
        <w:pStyle w:val="BodyText"/>
        <w:spacing w:line="202" w:lineRule="exact"/>
        <w:rPr>
          <w:sz w:val="17"/>
        </w:rPr>
      </w:pPr>
      <w:r/>
    </w:p>
    <w:p>
      <w:pPr>
        <w:spacing w:line="202" w:lineRule="exact"/>
        <w:sectPr>
          <w:footerReference w:type="default" r:id="rId52"/>
          <w:pgSz w:w="8220" w:h="11910"/>
          <w:pgMar w:top="400" w:right="1015" w:bottom="942" w:left="985" w:header="0" w:footer="783" w:gutter="0"/>
        </w:sectPr>
        <w:rPr>
          <w:sz w:val="17"/>
          <w:szCs w:val="17"/>
        </w:rPr>
      </w:pPr>
    </w:p>
    <w:p>
      <w:pPr>
        <w:rPr/>
      </w:pPr>
      <w:r/>
    </w:p>
    <w:p>
      <w:pPr>
        <w:rPr/>
      </w:pPr>
      <w:r/>
    </w:p>
    <w:p>
      <w:pPr>
        <w:rPr/>
      </w:pPr>
      <w:r/>
    </w:p>
    <w:tbl>
      <w:tblPr>
        <w:tblStyle w:val="TableNormal"/>
        <w:tblW w:w="6219"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39"/>
        <w:gridCol w:w="679"/>
        <w:gridCol w:w="968"/>
        <w:gridCol w:w="958"/>
        <w:gridCol w:w="2691"/>
      </w:tblGrid>
      <w:tr>
        <w:trPr>
          <w:trHeight w:val="315" w:hRule="atLeast"/>
        </w:trPr>
        <w:tc>
          <w:tcPr>
            <w:tcW w:w="384" w:type="dxa"/>
            <w:vAlign w:val="top"/>
          </w:tcPr>
          <w:p>
            <w:pPr>
              <w:pStyle w:val="TableText"/>
              <w:ind w:left="34"/>
              <w:spacing w:before="82" w:line="221" w:lineRule="auto"/>
              <w:rPr/>
            </w:pPr>
            <w:r>
              <w:rPr>
                <w:spacing w:val="-2"/>
              </w:rPr>
              <w:t>序号</w:t>
            </w:r>
          </w:p>
        </w:tc>
        <w:tc>
          <w:tcPr>
            <w:tcW w:w="539" w:type="dxa"/>
            <w:vAlign w:val="top"/>
          </w:tcPr>
          <w:p>
            <w:pPr>
              <w:pStyle w:val="TableText"/>
              <w:ind w:left="111"/>
              <w:spacing w:before="81" w:line="219" w:lineRule="auto"/>
              <w:rPr/>
            </w:pPr>
            <w:r>
              <w:rPr>
                <w:spacing w:val="8"/>
              </w:rPr>
              <w:t>部门</w:t>
            </w:r>
          </w:p>
        </w:tc>
        <w:tc>
          <w:tcPr>
            <w:tcW w:w="679" w:type="dxa"/>
            <w:vAlign w:val="top"/>
          </w:tcPr>
          <w:p>
            <w:pPr>
              <w:pStyle w:val="TableText"/>
              <w:ind w:left="32"/>
              <w:spacing w:before="81" w:line="220" w:lineRule="auto"/>
              <w:rPr/>
            </w:pPr>
            <w:r>
              <w:rPr>
                <w:spacing w:val="-2"/>
              </w:rPr>
              <w:t>项目序号</w:t>
            </w:r>
          </w:p>
        </w:tc>
        <w:tc>
          <w:tcPr>
            <w:tcW w:w="968" w:type="dxa"/>
            <w:vAlign w:val="top"/>
          </w:tcPr>
          <w:p>
            <w:pPr>
              <w:pStyle w:val="TableText"/>
              <w:ind w:left="193"/>
              <w:spacing w:before="81" w:line="220" w:lineRule="auto"/>
              <w:rPr/>
            </w:pPr>
            <w:r>
              <w:rPr>
                <w:spacing w:val="-2"/>
              </w:rPr>
              <w:t>项目名称</w:t>
            </w:r>
          </w:p>
        </w:tc>
        <w:tc>
          <w:tcPr>
            <w:tcW w:w="958" w:type="dxa"/>
            <w:vAlign w:val="top"/>
          </w:tcPr>
          <w:p>
            <w:pPr>
              <w:pStyle w:val="TableText"/>
              <w:ind w:left="14"/>
              <w:spacing w:before="81" w:line="219" w:lineRule="auto"/>
              <w:rPr/>
            </w:pPr>
            <w:r>
              <w:rPr>
                <w:spacing w:val="-2"/>
              </w:rPr>
              <w:t>资金管理方式</w:t>
            </w:r>
          </w:p>
        </w:tc>
        <w:tc>
          <w:tcPr>
            <w:tcW w:w="2691" w:type="dxa"/>
            <w:vAlign w:val="top"/>
          </w:tcPr>
          <w:p>
            <w:pPr>
              <w:pStyle w:val="TableText"/>
              <w:ind w:left="1047"/>
              <w:spacing w:before="80" w:line="219" w:lineRule="auto"/>
              <w:rPr/>
            </w:pPr>
            <w:r>
              <w:rPr>
                <w:spacing w:val="-1"/>
              </w:rPr>
              <w:t>政策依据</w:t>
            </w:r>
          </w:p>
        </w:tc>
      </w:tr>
      <w:tr>
        <w:trPr>
          <w:trHeight w:val="78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03" w:lineRule="auto"/>
              <w:rPr>
                <w:rFonts w:ascii="Arial"/>
                <w:sz w:val="21"/>
              </w:rPr>
            </w:pPr>
            <w:r/>
          </w:p>
          <w:p>
            <w:pPr>
              <w:pStyle w:val="TableText"/>
              <w:ind w:left="251"/>
              <w:spacing w:before="49" w:line="184" w:lineRule="auto"/>
              <w:rPr/>
            </w:pPr>
            <w:r>
              <w:rPr>
                <w:spacing w:val="-5"/>
              </w:rPr>
              <w:t>14</w:t>
            </w:r>
          </w:p>
        </w:tc>
        <w:tc>
          <w:tcPr>
            <w:tcW w:w="968" w:type="dxa"/>
            <w:vAlign w:val="top"/>
          </w:tcPr>
          <w:p>
            <w:pPr>
              <w:pStyle w:val="TableText"/>
              <w:ind w:left="12" w:right="32" w:firstLine="19"/>
              <w:spacing w:before="215" w:line="246" w:lineRule="auto"/>
              <w:rPr/>
            </w:pPr>
            <w:r>
              <w:rPr>
                <w:spacing w:val="-2"/>
              </w:rPr>
              <w:t>水土保持补偿</w:t>
            </w:r>
            <w:r>
              <w:rPr>
                <w:spacing w:val="3"/>
              </w:rPr>
              <w:t xml:space="preserve"> </w:t>
            </w:r>
            <w:r>
              <w:rPr/>
              <w:t>费</w:t>
            </w:r>
          </w:p>
        </w:tc>
        <w:tc>
          <w:tcPr>
            <w:tcW w:w="958" w:type="dxa"/>
            <w:vAlign w:val="top"/>
          </w:tcPr>
          <w:p>
            <w:pPr>
              <w:pStyle w:val="TableText"/>
              <w:ind w:left="14" w:right="17" w:firstLine="20"/>
              <w:spacing w:before="216" w:line="245" w:lineRule="auto"/>
              <w:rPr/>
            </w:pPr>
            <w:r>
              <w:rPr>
                <w:spacing w:val="-1"/>
              </w:rPr>
              <w:t>缴入中央和地</w:t>
            </w:r>
            <w:r>
              <w:rPr/>
              <w:t xml:space="preserve"> </w:t>
            </w:r>
            <w:r>
              <w:rPr>
                <w:spacing w:val="-2"/>
              </w:rPr>
              <w:t>方国库</w:t>
            </w:r>
          </w:p>
        </w:tc>
        <w:tc>
          <w:tcPr>
            <w:tcW w:w="2691" w:type="dxa"/>
            <w:vAlign w:val="top"/>
          </w:tcPr>
          <w:p>
            <w:pPr>
              <w:pStyle w:val="TableText"/>
              <w:ind w:left="21"/>
              <w:spacing w:before="114" w:line="216" w:lineRule="auto"/>
              <w:rPr/>
            </w:pPr>
            <w:r>
              <w:rPr/>
              <w:t>《水土保持法》,财综〔2014〕8号，</w:t>
            </w:r>
          </w:p>
          <w:p>
            <w:pPr>
              <w:pStyle w:val="TableText"/>
              <w:ind w:left="36" w:right="163" w:firstLine="10"/>
              <w:spacing w:before="55" w:line="247" w:lineRule="auto"/>
              <w:rPr/>
            </w:pPr>
            <w:r>
              <w:rPr>
                <w:spacing w:val="-1"/>
              </w:rPr>
              <w:t>发改价格〔2014〕886号，发改价格〔</w:t>
            </w:r>
            <w:r>
              <w:rPr>
                <w:spacing w:val="14"/>
              </w:rPr>
              <w:t xml:space="preserve"> </w:t>
            </w:r>
            <w:r>
              <w:rPr>
                <w:spacing w:val="-1"/>
              </w:rPr>
              <w:t>2017〕1186号</w:t>
            </w:r>
          </w:p>
        </w:tc>
      </w:tr>
      <w:tr>
        <w:trPr>
          <w:trHeight w:val="310" w:hRule="atLeast"/>
        </w:trPr>
        <w:tc>
          <w:tcPr>
            <w:tcW w:w="384" w:type="dxa"/>
            <w:vAlign w:val="top"/>
          </w:tcPr>
          <w:p>
            <w:pPr>
              <w:pStyle w:val="TableText"/>
              <w:ind w:left="104"/>
              <w:spacing w:before="77" w:line="220" w:lineRule="auto"/>
              <w:rPr/>
            </w:pPr>
            <w:r>
              <w:rPr/>
              <w:t>八</w:t>
            </w:r>
          </w:p>
        </w:tc>
        <w:tc>
          <w:tcPr>
            <w:tcW w:w="5835" w:type="dxa"/>
            <w:vAlign w:val="top"/>
            <w:gridSpan w:val="5"/>
          </w:tcPr>
          <w:p>
            <w:pPr>
              <w:pStyle w:val="TableText"/>
              <w:ind w:left="60"/>
              <w:spacing w:before="76" w:line="219" w:lineRule="auto"/>
              <w:rPr/>
            </w:pPr>
            <w:r>
              <w:rPr>
                <w:spacing w:val="2"/>
              </w:rPr>
              <w:t>农业农村部门</w:t>
            </w:r>
          </w:p>
        </w:tc>
      </w:tr>
      <w:tr>
        <w:trPr>
          <w:trHeight w:val="78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04" w:lineRule="auto"/>
              <w:rPr>
                <w:rFonts w:ascii="Arial"/>
                <w:sz w:val="21"/>
              </w:rPr>
            </w:pPr>
            <w:r/>
          </w:p>
          <w:p>
            <w:pPr>
              <w:pStyle w:val="TableText"/>
              <w:ind w:left="251"/>
              <w:spacing w:before="49" w:line="184" w:lineRule="auto"/>
              <w:rPr/>
            </w:pPr>
            <w:r>
              <w:rPr>
                <w:spacing w:val="-5"/>
              </w:rPr>
              <w:t>15</w:t>
            </w:r>
          </w:p>
        </w:tc>
        <w:tc>
          <w:tcPr>
            <w:tcW w:w="968" w:type="dxa"/>
            <w:vAlign w:val="top"/>
          </w:tcPr>
          <w:p>
            <w:pPr>
              <w:spacing w:line="267" w:lineRule="auto"/>
              <w:rPr>
                <w:rFonts w:ascii="Arial"/>
                <w:sz w:val="21"/>
              </w:rPr>
            </w:pPr>
            <w:r/>
          </w:p>
          <w:p>
            <w:pPr>
              <w:pStyle w:val="TableText"/>
              <w:ind w:left="32"/>
              <w:spacing w:before="49" w:line="220" w:lineRule="auto"/>
              <w:rPr/>
            </w:pPr>
            <w:r>
              <w:rPr>
                <w:spacing w:val="-1"/>
              </w:rPr>
              <w:t>农药实验费</w:t>
            </w:r>
          </w:p>
        </w:tc>
        <w:tc>
          <w:tcPr>
            <w:tcW w:w="958" w:type="dxa"/>
            <w:vAlign w:val="top"/>
          </w:tcPr>
          <w:p>
            <w:pPr>
              <w:pStyle w:val="TableText"/>
              <w:ind w:left="24" w:right="17" w:firstLine="10"/>
              <w:spacing w:before="217" w:line="245" w:lineRule="auto"/>
              <w:rPr/>
            </w:pPr>
            <w:r>
              <w:rPr>
                <w:spacing w:val="-1"/>
              </w:rPr>
              <w:t>缴入中央和地</w:t>
            </w:r>
            <w:r>
              <w:rPr/>
              <w:t xml:space="preserve"> </w:t>
            </w:r>
            <w:r>
              <w:rPr>
                <w:spacing w:val="-2"/>
              </w:rPr>
              <w:t>方国库</w:t>
            </w:r>
          </w:p>
        </w:tc>
        <w:tc>
          <w:tcPr>
            <w:tcW w:w="2691" w:type="dxa"/>
            <w:vAlign w:val="top"/>
          </w:tcPr>
          <w:p>
            <w:pPr>
              <w:pStyle w:val="TableText"/>
              <w:ind w:left="35" w:right="83" w:hanging="14"/>
              <w:spacing w:before="113" w:line="259" w:lineRule="auto"/>
              <w:jc w:val="both"/>
              <w:rPr/>
            </w:pPr>
            <w:r>
              <w:rPr>
                <w:spacing w:val="-1"/>
              </w:rPr>
              <w:t>《农药管理条例》,价费字〔1992〕452</w:t>
            </w:r>
            <w:r>
              <w:rPr>
                <w:spacing w:val="4"/>
              </w:rPr>
              <w:t xml:space="preserve"> </w:t>
            </w:r>
            <w:r>
              <w:rPr/>
              <w:t>号，发改价格〔2015〕2136号，发改价</w:t>
            </w:r>
            <w:r>
              <w:rPr>
                <w:spacing w:val="9"/>
              </w:rPr>
              <w:t xml:space="preserve"> </w:t>
            </w:r>
            <w:r>
              <w:rPr>
                <w:spacing w:val="-1"/>
              </w:rPr>
              <w:t>格〔2017〕1186号</w:t>
            </w:r>
          </w:p>
        </w:tc>
      </w:tr>
      <w:tr>
        <w:trPr>
          <w:trHeight w:val="32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88" w:line="220" w:lineRule="auto"/>
              <w:jc w:val="right"/>
              <w:rPr/>
            </w:pPr>
            <w:r>
              <w:rPr>
                <w:spacing w:val="-5"/>
              </w:rPr>
              <w:t>(1)田间试验费</w:t>
            </w:r>
          </w:p>
        </w:tc>
        <w:tc>
          <w:tcPr>
            <w:tcW w:w="958" w:type="dxa"/>
            <w:vAlign w:val="top"/>
          </w:tcPr>
          <w:p>
            <w:pPr>
              <w:rPr>
                <w:rFonts w:ascii="Arial"/>
                <w:sz w:val="21"/>
              </w:rPr>
            </w:pPr>
            <w:r/>
          </w:p>
        </w:tc>
        <w:tc>
          <w:tcPr>
            <w:tcW w:w="2691" w:type="dxa"/>
            <w:vAlign w:val="top"/>
          </w:tcPr>
          <w:p>
            <w:pPr>
              <w:rPr>
                <w:rFonts w:ascii="Arial"/>
                <w:sz w:val="21"/>
              </w:rPr>
            </w:pPr>
            <w:r/>
          </w:p>
        </w:tc>
      </w:tr>
      <w:tr>
        <w:trPr>
          <w:trHeight w:val="34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99" w:line="220" w:lineRule="auto"/>
              <w:jc w:val="right"/>
              <w:rPr/>
            </w:pPr>
            <w:r>
              <w:rPr>
                <w:spacing w:val="-5"/>
              </w:rPr>
              <w:t>(2)残留试验费</w:t>
            </w:r>
          </w:p>
        </w:tc>
        <w:tc>
          <w:tcPr>
            <w:tcW w:w="958" w:type="dxa"/>
            <w:vAlign w:val="top"/>
          </w:tcPr>
          <w:p>
            <w:pPr>
              <w:rPr>
                <w:rFonts w:ascii="Arial"/>
                <w:sz w:val="21"/>
              </w:rPr>
            </w:pPr>
            <w:r/>
          </w:p>
        </w:tc>
        <w:tc>
          <w:tcPr>
            <w:tcW w:w="2691" w:type="dxa"/>
            <w:vAlign w:val="top"/>
          </w:tcPr>
          <w:p>
            <w:pPr>
              <w:rPr>
                <w:rFonts w:ascii="Arial"/>
                <w:sz w:val="21"/>
              </w:rPr>
            </w:pPr>
            <w:r/>
          </w:p>
        </w:tc>
      </w:tr>
      <w:tr>
        <w:trPr>
          <w:trHeight w:val="34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99" w:line="220" w:lineRule="auto"/>
              <w:jc w:val="right"/>
              <w:rPr/>
            </w:pPr>
            <w:r>
              <w:rPr>
                <w:spacing w:val="-5"/>
              </w:rPr>
              <w:t>(3)药效试验费</w:t>
            </w:r>
          </w:p>
        </w:tc>
        <w:tc>
          <w:tcPr>
            <w:tcW w:w="958" w:type="dxa"/>
            <w:vAlign w:val="top"/>
          </w:tcPr>
          <w:p>
            <w:pPr>
              <w:rPr>
                <w:rFonts w:ascii="Arial"/>
                <w:sz w:val="21"/>
              </w:rPr>
            </w:pPr>
            <w:r/>
          </w:p>
        </w:tc>
        <w:tc>
          <w:tcPr>
            <w:tcW w:w="2691" w:type="dxa"/>
            <w:vAlign w:val="top"/>
          </w:tcPr>
          <w:p>
            <w:pPr>
              <w:rPr>
                <w:rFonts w:ascii="Arial"/>
                <w:sz w:val="21"/>
              </w:rPr>
            </w:pPr>
            <w:r/>
          </w:p>
        </w:tc>
      </w:tr>
      <w:tr>
        <w:trPr>
          <w:trHeight w:val="7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96" w:lineRule="auto"/>
              <w:rPr>
                <w:rFonts w:ascii="Arial"/>
                <w:sz w:val="21"/>
              </w:rPr>
            </w:pPr>
            <w:r/>
          </w:p>
          <w:p>
            <w:pPr>
              <w:pStyle w:val="TableText"/>
              <w:ind w:left="251"/>
              <w:spacing w:before="49" w:line="184" w:lineRule="auto"/>
              <w:rPr/>
            </w:pPr>
            <w:r>
              <w:rPr>
                <w:spacing w:val="-5"/>
              </w:rPr>
              <w:t>16</w:t>
            </w:r>
          </w:p>
        </w:tc>
        <w:tc>
          <w:tcPr>
            <w:tcW w:w="968" w:type="dxa"/>
            <w:vAlign w:val="top"/>
          </w:tcPr>
          <w:p>
            <w:pPr>
              <w:pStyle w:val="TableText"/>
              <w:ind w:left="22" w:right="31" w:firstLine="10"/>
              <w:spacing w:before="230" w:line="239" w:lineRule="auto"/>
              <w:rPr/>
            </w:pPr>
            <w:r>
              <w:rPr>
                <w:spacing w:val="-2"/>
              </w:rPr>
              <w:t>渔业资源增殖</w:t>
            </w:r>
            <w:r>
              <w:rPr>
                <w:spacing w:val="4"/>
              </w:rPr>
              <w:t xml:space="preserve"> </w:t>
            </w:r>
            <w:r>
              <w:rPr>
                <w:spacing w:val="-2"/>
              </w:rPr>
              <w:t>保护费</w:t>
            </w:r>
          </w:p>
        </w:tc>
        <w:tc>
          <w:tcPr>
            <w:tcW w:w="958" w:type="dxa"/>
            <w:vAlign w:val="top"/>
          </w:tcPr>
          <w:p>
            <w:pPr>
              <w:pStyle w:val="TableText"/>
              <w:ind w:left="34" w:right="37" w:hanging="20"/>
              <w:spacing w:before="219" w:line="245" w:lineRule="auto"/>
              <w:rPr/>
            </w:pPr>
            <w:r>
              <w:rPr>
                <w:spacing w:val="-1"/>
              </w:rPr>
              <w:t>缴入中央和地</w:t>
            </w:r>
            <w:r>
              <w:rPr/>
              <w:t xml:space="preserve"> </w:t>
            </w:r>
            <w:r>
              <w:rPr>
                <w:spacing w:val="-2"/>
              </w:rPr>
              <w:t>方国库</w:t>
            </w:r>
          </w:p>
        </w:tc>
        <w:tc>
          <w:tcPr>
            <w:tcW w:w="2691" w:type="dxa"/>
            <w:vAlign w:val="top"/>
          </w:tcPr>
          <w:p>
            <w:pPr>
              <w:pStyle w:val="TableText"/>
              <w:ind w:left="31"/>
              <w:spacing w:before="97" w:line="216" w:lineRule="auto"/>
              <w:rPr/>
            </w:pPr>
            <w:r>
              <w:rPr>
                <w:spacing w:val="-1"/>
              </w:rPr>
              <w:t>《渔业法》,财税〔2014〕101号，财</w:t>
            </w:r>
          </w:p>
          <w:p>
            <w:pPr>
              <w:pStyle w:val="TableText"/>
              <w:ind w:left="36" w:firstLine="9"/>
              <w:spacing w:before="55" w:line="244" w:lineRule="auto"/>
              <w:rPr/>
            </w:pPr>
            <w:r>
              <w:rPr>
                <w:spacing w:val="-6"/>
              </w:rPr>
              <w:t>综〔2012〕97号，计价格〔1994〕400号，</w:t>
            </w:r>
            <w:r>
              <w:rPr>
                <w:spacing w:val="8"/>
              </w:rPr>
              <w:t xml:space="preserve"> </w:t>
            </w:r>
            <w:r>
              <w:rPr>
                <w:spacing w:val="-3"/>
              </w:rPr>
              <w:t>价费字〔1992〕452号</w:t>
            </w:r>
          </w:p>
        </w:tc>
      </w:tr>
      <w:tr>
        <w:trPr>
          <w:trHeight w:val="330" w:hRule="atLeast"/>
        </w:trPr>
        <w:tc>
          <w:tcPr>
            <w:tcW w:w="384" w:type="dxa"/>
            <w:vAlign w:val="top"/>
          </w:tcPr>
          <w:p>
            <w:pPr>
              <w:pStyle w:val="TableText"/>
              <w:ind w:left="104"/>
              <w:spacing w:before="92" w:line="222" w:lineRule="auto"/>
              <w:rPr/>
            </w:pPr>
            <w:r>
              <w:rPr/>
              <w:t>九</w:t>
            </w:r>
          </w:p>
        </w:tc>
        <w:tc>
          <w:tcPr>
            <w:tcW w:w="5835" w:type="dxa"/>
            <w:vAlign w:val="top"/>
            <w:gridSpan w:val="5"/>
          </w:tcPr>
          <w:p>
            <w:pPr>
              <w:pStyle w:val="TableText"/>
              <w:ind w:left="60"/>
              <w:spacing w:before="90" w:line="219" w:lineRule="auto"/>
              <w:rPr/>
            </w:pPr>
            <w:r>
              <w:rPr>
                <w:spacing w:val="2"/>
              </w:rPr>
              <w:t>林业和草原部门</w:t>
            </w:r>
          </w:p>
        </w:tc>
      </w:tr>
      <w:tr>
        <w:trPr>
          <w:trHeight w:val="54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38" w:line="184" w:lineRule="auto"/>
              <w:rPr/>
            </w:pPr>
            <w:r>
              <w:rPr>
                <w:spacing w:val="-5"/>
              </w:rPr>
              <w:t>17</w:t>
            </w:r>
          </w:p>
        </w:tc>
        <w:tc>
          <w:tcPr>
            <w:tcW w:w="968" w:type="dxa"/>
            <w:vAlign w:val="top"/>
          </w:tcPr>
          <w:p>
            <w:pPr>
              <w:pStyle w:val="TableText"/>
              <w:ind w:left="12" w:right="32" w:firstLine="19"/>
              <w:spacing w:before="99"/>
              <w:rPr/>
            </w:pPr>
            <w:r>
              <w:rPr>
                <w:spacing w:val="-2"/>
              </w:rPr>
              <w:t>草原植被恢复</w:t>
            </w:r>
            <w:r>
              <w:rPr>
                <w:spacing w:val="3"/>
              </w:rPr>
              <w:t xml:space="preserve"> </w:t>
            </w:r>
            <w:r>
              <w:rPr/>
              <w:t>费</w:t>
            </w:r>
          </w:p>
        </w:tc>
        <w:tc>
          <w:tcPr>
            <w:tcW w:w="958" w:type="dxa"/>
            <w:vAlign w:val="top"/>
          </w:tcPr>
          <w:p>
            <w:pPr>
              <w:pStyle w:val="TableText"/>
              <w:ind w:left="24"/>
              <w:spacing w:before="200" w:line="219" w:lineRule="auto"/>
              <w:rPr/>
            </w:pPr>
            <w:r>
              <w:rPr>
                <w:spacing w:val="-1"/>
              </w:rPr>
              <w:t>缴入地方国库</w:t>
            </w:r>
          </w:p>
        </w:tc>
        <w:tc>
          <w:tcPr>
            <w:tcW w:w="2691" w:type="dxa"/>
            <w:vAlign w:val="top"/>
          </w:tcPr>
          <w:p>
            <w:pPr>
              <w:pStyle w:val="TableText"/>
              <w:ind w:left="35" w:right="196" w:hanging="14"/>
              <w:spacing w:before="107" w:line="245" w:lineRule="auto"/>
              <w:rPr/>
            </w:pPr>
            <w:r>
              <w:rPr>
                <w:spacing w:val="-1"/>
              </w:rPr>
              <w:t>《草原法》,财综〔2010〕29号，发改</w:t>
            </w:r>
            <w:r>
              <w:rPr>
                <w:spacing w:val="6"/>
              </w:rPr>
              <w:t xml:space="preserve"> </w:t>
            </w:r>
            <w:r>
              <w:rPr>
                <w:spacing w:val="-1"/>
              </w:rPr>
              <w:t>价格〔2010〕1235号</w:t>
            </w:r>
          </w:p>
        </w:tc>
      </w:tr>
      <w:tr>
        <w:trPr>
          <w:trHeight w:val="339" w:hRule="atLeast"/>
        </w:trPr>
        <w:tc>
          <w:tcPr>
            <w:tcW w:w="384" w:type="dxa"/>
            <w:vAlign w:val="top"/>
          </w:tcPr>
          <w:p>
            <w:pPr>
              <w:pStyle w:val="TableText"/>
              <w:ind w:left="104"/>
              <w:spacing w:before="102" w:line="221" w:lineRule="auto"/>
              <w:rPr/>
            </w:pPr>
            <w:r>
              <w:rPr/>
              <w:t>十</w:t>
            </w:r>
          </w:p>
        </w:tc>
        <w:tc>
          <w:tcPr>
            <w:tcW w:w="5835" w:type="dxa"/>
            <w:vAlign w:val="top"/>
            <w:gridSpan w:val="5"/>
          </w:tcPr>
          <w:p>
            <w:pPr>
              <w:pStyle w:val="TableText"/>
              <w:ind w:left="60"/>
              <w:spacing w:before="101" w:line="219" w:lineRule="auto"/>
              <w:rPr/>
            </w:pPr>
            <w:r>
              <w:rPr>
                <w:spacing w:val="4"/>
              </w:rPr>
              <w:t>人防部门</w:t>
            </w:r>
          </w:p>
        </w:tc>
      </w:tr>
      <w:tr>
        <w:trPr>
          <w:trHeight w:val="5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50" w:line="184" w:lineRule="auto"/>
              <w:rPr/>
            </w:pPr>
            <w:r>
              <w:rPr>
                <w:spacing w:val="-5"/>
              </w:rPr>
              <w:t>18</w:t>
            </w:r>
          </w:p>
        </w:tc>
        <w:tc>
          <w:tcPr>
            <w:tcW w:w="968" w:type="dxa"/>
            <w:vAlign w:val="top"/>
          </w:tcPr>
          <w:p>
            <w:pPr>
              <w:pStyle w:val="TableText"/>
              <w:ind w:left="32" w:right="9"/>
              <w:spacing w:before="122" w:line="239" w:lineRule="auto"/>
              <w:rPr/>
            </w:pPr>
            <w:r>
              <w:rPr>
                <w:spacing w:val="2"/>
              </w:rPr>
              <w:t>防空地下室易 </w:t>
            </w:r>
            <w:r>
              <w:rPr>
                <w:spacing w:val="-2"/>
              </w:rPr>
              <w:t>地建设费</w:t>
            </w:r>
          </w:p>
        </w:tc>
        <w:tc>
          <w:tcPr>
            <w:tcW w:w="958" w:type="dxa"/>
            <w:vAlign w:val="top"/>
          </w:tcPr>
          <w:p>
            <w:pPr>
              <w:pStyle w:val="TableText"/>
              <w:ind w:left="34" w:right="27" w:hanging="10"/>
              <w:spacing w:before="121" w:line="239" w:lineRule="auto"/>
              <w:rPr/>
            </w:pPr>
            <w:r>
              <w:rPr>
                <w:spacing w:val="-1"/>
              </w:rPr>
              <w:t>缴入中央和地</w:t>
            </w:r>
            <w:r>
              <w:rPr/>
              <w:t xml:space="preserve"> </w:t>
            </w:r>
            <w:r>
              <w:rPr>
                <w:spacing w:val="-2"/>
              </w:rPr>
              <w:t>方国库</w:t>
            </w:r>
          </w:p>
        </w:tc>
        <w:tc>
          <w:tcPr>
            <w:tcW w:w="2691" w:type="dxa"/>
            <w:vAlign w:val="top"/>
          </w:tcPr>
          <w:p>
            <w:pPr>
              <w:pStyle w:val="TableText"/>
              <w:ind w:left="36" w:firstLine="9"/>
              <w:spacing w:before="121" w:line="246" w:lineRule="auto"/>
              <w:rPr/>
            </w:pPr>
            <w:r>
              <w:rPr>
                <w:spacing w:val="-9"/>
              </w:rPr>
              <w:t>中发〔2001〕9号，计价格〔2000〕474号，</w:t>
            </w:r>
            <w:r>
              <w:rPr>
                <w:spacing w:val="8"/>
              </w:rPr>
              <w:t xml:space="preserve"> </w:t>
            </w:r>
            <w:r>
              <w:rPr>
                <w:spacing w:val="-3"/>
              </w:rPr>
              <w:t>财税〔2014〕77号，财税〔2019〕53号</w:t>
            </w:r>
          </w:p>
        </w:tc>
      </w:tr>
      <w:tr>
        <w:trPr>
          <w:trHeight w:val="320" w:hRule="atLeast"/>
        </w:trPr>
        <w:tc>
          <w:tcPr>
            <w:tcW w:w="384" w:type="dxa"/>
            <w:vAlign w:val="top"/>
          </w:tcPr>
          <w:p>
            <w:pPr>
              <w:pStyle w:val="TableText"/>
              <w:ind w:left="34"/>
              <w:spacing w:before="93" w:line="221" w:lineRule="auto"/>
              <w:rPr/>
            </w:pPr>
            <w:r>
              <w:rPr/>
              <w:t>十一</w:t>
            </w:r>
          </w:p>
        </w:tc>
        <w:tc>
          <w:tcPr>
            <w:tcW w:w="5835" w:type="dxa"/>
            <w:vAlign w:val="top"/>
            <w:gridSpan w:val="5"/>
          </w:tcPr>
          <w:p>
            <w:pPr>
              <w:pStyle w:val="TableText"/>
              <w:ind w:left="60"/>
              <w:spacing w:before="93" w:line="220" w:lineRule="auto"/>
              <w:rPr/>
            </w:pPr>
            <w:r>
              <w:rPr>
                <w:spacing w:val="-2"/>
              </w:rPr>
              <w:t>法院</w:t>
            </w:r>
          </w:p>
        </w:tc>
      </w:tr>
      <w:tr>
        <w:trPr>
          <w:trHeight w:val="7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10" w:lineRule="auto"/>
              <w:rPr>
                <w:rFonts w:ascii="Arial"/>
                <w:sz w:val="21"/>
              </w:rPr>
            </w:pPr>
            <w:r/>
          </w:p>
          <w:p>
            <w:pPr>
              <w:pStyle w:val="TableText"/>
              <w:ind w:left="251"/>
              <w:spacing w:before="49" w:line="184" w:lineRule="auto"/>
              <w:rPr/>
            </w:pPr>
            <w:r>
              <w:rPr>
                <w:spacing w:val="-5"/>
              </w:rPr>
              <w:t>19</w:t>
            </w:r>
          </w:p>
        </w:tc>
        <w:tc>
          <w:tcPr>
            <w:tcW w:w="968" w:type="dxa"/>
            <w:vAlign w:val="top"/>
          </w:tcPr>
          <w:p>
            <w:pPr>
              <w:spacing w:line="273" w:lineRule="auto"/>
              <w:rPr>
                <w:rFonts w:ascii="Arial"/>
                <w:sz w:val="21"/>
              </w:rPr>
            </w:pPr>
            <w:r/>
          </w:p>
          <w:p>
            <w:pPr>
              <w:pStyle w:val="TableText"/>
              <w:ind w:left="32"/>
              <w:spacing w:before="48" w:line="220" w:lineRule="auto"/>
              <w:rPr/>
            </w:pPr>
            <w:r>
              <w:rPr>
                <w:spacing w:val="-2"/>
              </w:rPr>
              <w:t>诉讼费</w:t>
            </w:r>
          </w:p>
        </w:tc>
        <w:tc>
          <w:tcPr>
            <w:tcW w:w="958" w:type="dxa"/>
            <w:vAlign w:val="top"/>
          </w:tcPr>
          <w:p>
            <w:pPr>
              <w:pStyle w:val="TableText"/>
              <w:ind w:left="14" w:right="27" w:firstLine="10"/>
              <w:spacing w:before="223" w:line="245" w:lineRule="auto"/>
              <w:rPr/>
            </w:pPr>
            <w:r>
              <w:rPr>
                <w:spacing w:val="-1"/>
              </w:rPr>
              <w:t>缴入中央和地</w:t>
            </w:r>
            <w:r>
              <w:rPr/>
              <w:t xml:space="preserve"> </w:t>
            </w:r>
            <w:r>
              <w:rPr>
                <w:spacing w:val="-2"/>
              </w:rPr>
              <w:t>方国库</w:t>
            </w:r>
          </w:p>
        </w:tc>
        <w:tc>
          <w:tcPr>
            <w:tcW w:w="2691" w:type="dxa"/>
            <w:vAlign w:val="top"/>
          </w:tcPr>
          <w:p>
            <w:pPr>
              <w:pStyle w:val="TableText"/>
              <w:ind w:left="27" w:right="111" w:firstLine="4"/>
              <w:spacing w:before="120"/>
              <w:rPr/>
            </w:pPr>
            <w:r>
              <w:rPr>
                <w:spacing w:val="-1"/>
              </w:rPr>
              <w:t>《民事诉讼法》,《行政诉讼法》,《诉</w:t>
            </w:r>
            <w:r>
              <w:rPr>
                <w:spacing w:val="4"/>
              </w:rPr>
              <w:t xml:space="preserve"> </w:t>
            </w:r>
            <w:r>
              <w:rPr>
                <w:spacing w:val="1"/>
              </w:rPr>
              <w:t>讼费用交纳办法》(国务院令481号)</w:t>
            </w:r>
          </w:p>
          <w:p>
            <w:pPr>
              <w:pStyle w:val="TableText"/>
              <w:ind w:left="27"/>
              <w:spacing w:before="53" w:line="220" w:lineRule="auto"/>
              <w:rPr/>
            </w:pPr>
            <w:r>
              <w:rPr>
                <w:spacing w:val="-1"/>
              </w:rPr>
              <w:t>财行〔2003〕275号</w:t>
            </w:r>
          </w:p>
        </w:tc>
      </w:tr>
      <w:tr>
        <w:trPr>
          <w:trHeight w:val="310" w:hRule="atLeast"/>
        </w:trPr>
        <w:tc>
          <w:tcPr>
            <w:tcW w:w="384" w:type="dxa"/>
            <w:vAlign w:val="top"/>
          </w:tcPr>
          <w:p>
            <w:pPr>
              <w:pStyle w:val="TableText"/>
              <w:ind w:left="34"/>
              <w:spacing w:before="84" w:line="221" w:lineRule="auto"/>
              <w:rPr/>
            </w:pPr>
            <w:r>
              <w:rPr>
                <w:spacing w:val="-2"/>
              </w:rPr>
              <w:t>十二</w:t>
            </w:r>
          </w:p>
        </w:tc>
        <w:tc>
          <w:tcPr>
            <w:tcW w:w="5835" w:type="dxa"/>
            <w:vAlign w:val="top"/>
            <w:gridSpan w:val="5"/>
          </w:tcPr>
          <w:p>
            <w:pPr>
              <w:pStyle w:val="TableText"/>
              <w:ind w:left="60"/>
              <w:spacing w:before="84" w:line="219" w:lineRule="auto"/>
              <w:rPr/>
            </w:pPr>
            <w:r>
              <w:rPr>
                <w:spacing w:val="2"/>
              </w:rPr>
              <w:t>市场监管部门</w:t>
            </w:r>
          </w:p>
        </w:tc>
      </w:tr>
      <w:tr>
        <w:trPr>
          <w:trHeight w:val="7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12" w:lineRule="auto"/>
              <w:rPr>
                <w:rFonts w:ascii="Arial"/>
                <w:sz w:val="21"/>
              </w:rPr>
            </w:pPr>
            <w:r/>
          </w:p>
          <w:p>
            <w:pPr>
              <w:pStyle w:val="TableText"/>
              <w:ind w:left="251"/>
              <w:spacing w:before="48" w:line="183" w:lineRule="auto"/>
              <w:rPr/>
            </w:pPr>
            <w:r>
              <w:rPr>
                <w:spacing w:val="-2"/>
              </w:rPr>
              <w:t>20</w:t>
            </w:r>
          </w:p>
        </w:tc>
        <w:tc>
          <w:tcPr>
            <w:tcW w:w="968" w:type="dxa"/>
            <w:vAlign w:val="top"/>
          </w:tcPr>
          <w:p>
            <w:pPr>
              <w:pStyle w:val="TableText"/>
              <w:ind w:left="22" w:right="30" w:firstLine="10"/>
              <w:spacing w:before="223" w:line="239" w:lineRule="auto"/>
              <w:rPr/>
            </w:pPr>
            <w:r>
              <w:rPr>
                <w:spacing w:val="-1"/>
              </w:rPr>
              <w:t>特种设备检验</w:t>
            </w:r>
            <w:r>
              <w:rPr/>
              <w:t xml:space="preserve"> </w:t>
            </w:r>
            <w:r>
              <w:rPr>
                <w:spacing w:val="-2"/>
              </w:rPr>
              <w:t>检测费</w:t>
            </w:r>
          </w:p>
        </w:tc>
        <w:tc>
          <w:tcPr>
            <w:tcW w:w="958" w:type="dxa"/>
            <w:vAlign w:val="top"/>
          </w:tcPr>
          <w:p>
            <w:pPr>
              <w:spacing w:line="273" w:lineRule="auto"/>
              <w:rPr>
                <w:rFonts w:ascii="Arial"/>
                <w:sz w:val="21"/>
              </w:rPr>
            </w:pPr>
            <w:r/>
          </w:p>
          <w:p>
            <w:pPr>
              <w:pStyle w:val="TableText"/>
              <w:ind w:left="24"/>
              <w:spacing w:before="49" w:line="219" w:lineRule="auto"/>
              <w:rPr/>
            </w:pPr>
            <w:r>
              <w:rPr>
                <w:spacing w:val="-1"/>
              </w:rPr>
              <w:t>缴入地方国库</w:t>
            </w:r>
          </w:p>
        </w:tc>
        <w:tc>
          <w:tcPr>
            <w:tcW w:w="2691" w:type="dxa"/>
            <w:vAlign w:val="top"/>
          </w:tcPr>
          <w:p>
            <w:pPr>
              <w:pStyle w:val="TableText"/>
              <w:ind w:left="27" w:right="19" w:firstLine="4"/>
              <w:spacing w:before="111" w:line="255" w:lineRule="auto"/>
              <w:tabs>
                <w:tab w:val="left" w:pos="2660"/>
              </w:tabs>
              <w:jc w:val="both"/>
              <w:rPr/>
            </w:pPr>
            <w:r>
              <w:rPr>
                <w:spacing w:val="-1"/>
              </w:rPr>
              <w:t>《特种设备安全法》,《特种设备安全</w:t>
            </w:r>
            <w:r>
              <w:rPr/>
              <w:tab/>
            </w:r>
            <w:r>
              <w:rPr/>
              <w:t xml:space="preserve"> </w:t>
            </w:r>
            <w:r>
              <w:rPr/>
              <w:t>监察条例》,发改价格〔2015〕1299号，</w:t>
            </w:r>
            <w:r>
              <w:rPr>
                <w:spacing w:val="8"/>
              </w:rPr>
              <w:t xml:space="preserve"> </w:t>
            </w:r>
            <w:r>
              <w:rPr>
                <w:spacing w:val="-1"/>
              </w:rPr>
              <w:t>财综〔2011〕16号，财综〔2001〕10号</w:t>
            </w:r>
          </w:p>
        </w:tc>
      </w:tr>
      <w:tr>
        <w:trPr>
          <w:trHeight w:val="340" w:hRule="atLeast"/>
        </w:trPr>
        <w:tc>
          <w:tcPr>
            <w:tcW w:w="384" w:type="dxa"/>
            <w:vAlign w:val="top"/>
          </w:tcPr>
          <w:p>
            <w:pPr>
              <w:pStyle w:val="TableText"/>
              <w:ind w:left="34"/>
              <w:spacing w:before="106" w:line="221" w:lineRule="auto"/>
              <w:rPr/>
            </w:pPr>
            <w:r>
              <w:rPr>
                <w:spacing w:val="-2"/>
              </w:rPr>
              <w:t>十三</w:t>
            </w:r>
          </w:p>
        </w:tc>
        <w:tc>
          <w:tcPr>
            <w:tcW w:w="5835" w:type="dxa"/>
            <w:vAlign w:val="top"/>
            <w:gridSpan w:val="5"/>
          </w:tcPr>
          <w:p>
            <w:pPr>
              <w:pStyle w:val="TableText"/>
              <w:ind w:left="60"/>
              <w:spacing w:before="105" w:line="219" w:lineRule="auto"/>
              <w:rPr/>
            </w:pPr>
            <w:r>
              <w:rPr>
                <w:spacing w:val="4"/>
              </w:rPr>
              <w:t>民航部门</w:t>
            </w:r>
          </w:p>
        </w:tc>
      </w:tr>
      <w:tr>
        <w:trPr>
          <w:trHeight w:val="54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42" w:line="184" w:lineRule="auto"/>
              <w:rPr/>
            </w:pPr>
            <w:r>
              <w:rPr>
                <w:spacing w:val="-2"/>
              </w:rPr>
              <w:t>21</w:t>
            </w:r>
          </w:p>
        </w:tc>
        <w:tc>
          <w:tcPr>
            <w:tcW w:w="968" w:type="dxa"/>
            <w:vAlign w:val="top"/>
          </w:tcPr>
          <w:p>
            <w:pPr>
              <w:pStyle w:val="TableText"/>
              <w:ind w:left="22" w:right="40"/>
              <w:spacing w:before="104"/>
              <w:rPr/>
            </w:pPr>
            <w:r>
              <w:rPr>
                <w:spacing w:val="-1"/>
              </w:rPr>
              <w:t>航空业务权补</w:t>
            </w:r>
            <w:r>
              <w:rPr/>
              <w:t xml:space="preserve"> </w:t>
            </w:r>
            <w:r>
              <w:rPr>
                <w:spacing w:val="-2"/>
              </w:rPr>
              <w:t>偿费</w:t>
            </w:r>
          </w:p>
        </w:tc>
        <w:tc>
          <w:tcPr>
            <w:tcW w:w="958" w:type="dxa"/>
            <w:vAlign w:val="top"/>
          </w:tcPr>
          <w:p>
            <w:pPr>
              <w:pStyle w:val="TableText"/>
              <w:ind w:left="24"/>
              <w:spacing w:before="205" w:line="219" w:lineRule="auto"/>
              <w:rPr/>
            </w:pPr>
            <w:r>
              <w:rPr>
                <w:spacing w:val="-1"/>
              </w:rPr>
              <w:t>缴入中央国库</w:t>
            </w:r>
          </w:p>
        </w:tc>
        <w:tc>
          <w:tcPr>
            <w:tcW w:w="2691" w:type="dxa"/>
            <w:vAlign w:val="top"/>
          </w:tcPr>
          <w:p>
            <w:pPr>
              <w:pStyle w:val="TableText"/>
              <w:ind w:left="16" w:right="394" w:firstLine="19"/>
              <w:spacing w:before="113" w:line="235" w:lineRule="auto"/>
              <w:rPr/>
            </w:pPr>
            <w:r>
              <w:rPr/>
              <w:t>发改价格〔2011〕3214号，财综〔 </w:t>
            </w:r>
            <w:r>
              <w:rPr>
                <w:spacing w:val="-1"/>
              </w:rPr>
              <w:t>2002〕54号</w:t>
            </w:r>
          </w:p>
        </w:tc>
      </w:tr>
      <w:tr>
        <w:trPr>
          <w:trHeight w:val="574"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54" w:line="183" w:lineRule="auto"/>
              <w:rPr/>
            </w:pPr>
            <w:r>
              <w:rPr>
                <w:spacing w:val="-2"/>
              </w:rPr>
              <w:t>22</w:t>
            </w:r>
          </w:p>
        </w:tc>
        <w:tc>
          <w:tcPr>
            <w:tcW w:w="968" w:type="dxa"/>
            <w:vAlign w:val="top"/>
          </w:tcPr>
          <w:p>
            <w:pPr>
              <w:pStyle w:val="TableText"/>
              <w:ind w:left="22"/>
              <w:spacing w:before="216" w:line="220" w:lineRule="auto"/>
              <w:rPr/>
            </w:pPr>
            <w:r>
              <w:rPr>
                <w:spacing w:val="-1"/>
              </w:rPr>
              <w:t>适航审查费</w:t>
            </w:r>
          </w:p>
        </w:tc>
        <w:tc>
          <w:tcPr>
            <w:tcW w:w="958" w:type="dxa"/>
            <w:vAlign w:val="top"/>
          </w:tcPr>
          <w:p>
            <w:pPr>
              <w:pStyle w:val="TableText"/>
              <w:ind w:left="24"/>
              <w:spacing w:before="216" w:line="219" w:lineRule="auto"/>
              <w:rPr/>
            </w:pPr>
            <w:r>
              <w:rPr>
                <w:spacing w:val="-1"/>
              </w:rPr>
              <w:t>缴入中央国库</w:t>
            </w:r>
          </w:p>
        </w:tc>
        <w:tc>
          <w:tcPr>
            <w:tcW w:w="2691" w:type="dxa"/>
            <w:vAlign w:val="top"/>
          </w:tcPr>
          <w:p>
            <w:pPr>
              <w:pStyle w:val="TableText"/>
              <w:ind w:left="27" w:right="394" w:firstLine="9"/>
              <w:spacing w:before="125" w:line="247" w:lineRule="auto"/>
              <w:rPr/>
            </w:pPr>
            <w:r>
              <w:rPr/>
              <w:t>发改价格〔2011〕3214号，财综〔 </w:t>
            </w:r>
            <w:r>
              <w:rPr>
                <w:spacing w:val="-1"/>
              </w:rPr>
              <w:t>2002〕54号</w:t>
            </w:r>
          </w:p>
        </w:tc>
      </w:tr>
    </w:tbl>
    <w:p>
      <w:pPr>
        <w:pStyle w:val="BodyText"/>
        <w:spacing w:line="211" w:lineRule="exact"/>
        <w:rPr>
          <w:sz w:val="18"/>
        </w:rPr>
      </w:pPr>
      <w:r/>
    </w:p>
    <w:p>
      <w:pPr>
        <w:spacing w:line="211" w:lineRule="exact"/>
        <w:sectPr>
          <w:footerReference w:type="default" r:id="rId53"/>
          <w:pgSz w:w="8220" w:h="11910"/>
          <w:pgMar w:top="400" w:right="1004" w:bottom="943" w:left="982" w:header="0" w:footer="784" w:gutter="0"/>
        </w:sectPr>
        <w:rPr>
          <w:sz w:val="18"/>
          <w:szCs w:val="18"/>
        </w:rPr>
      </w:pPr>
    </w:p>
    <w:p>
      <w:pPr>
        <w:spacing w:before="116"/>
        <w:rPr/>
      </w:pPr>
      <w:r/>
    </w:p>
    <w:p>
      <w:pPr>
        <w:spacing w:before="116"/>
        <w:rPr/>
      </w:pPr>
      <w:r/>
    </w:p>
    <w:tbl>
      <w:tblPr>
        <w:tblStyle w:val="TableNormal"/>
        <w:tblW w:w="62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39"/>
        <w:gridCol w:w="679"/>
        <w:gridCol w:w="968"/>
        <w:gridCol w:w="958"/>
        <w:gridCol w:w="2691"/>
      </w:tblGrid>
      <w:tr>
        <w:trPr>
          <w:trHeight w:val="335" w:hRule="atLeast"/>
        </w:trPr>
        <w:tc>
          <w:tcPr>
            <w:tcW w:w="384" w:type="dxa"/>
            <w:vAlign w:val="top"/>
          </w:tcPr>
          <w:p>
            <w:pPr>
              <w:pStyle w:val="TableText"/>
              <w:ind w:left="34"/>
              <w:spacing w:before="92" w:line="221" w:lineRule="auto"/>
              <w:rPr/>
            </w:pPr>
            <w:r>
              <w:rPr>
                <w:spacing w:val="-2"/>
              </w:rPr>
              <w:t>序号</w:t>
            </w:r>
          </w:p>
        </w:tc>
        <w:tc>
          <w:tcPr>
            <w:tcW w:w="539" w:type="dxa"/>
            <w:vAlign w:val="top"/>
          </w:tcPr>
          <w:p>
            <w:pPr>
              <w:pStyle w:val="TableText"/>
              <w:ind w:left="111"/>
              <w:spacing w:before="91" w:line="219" w:lineRule="auto"/>
              <w:rPr/>
            </w:pPr>
            <w:r>
              <w:rPr>
                <w:spacing w:val="8"/>
              </w:rPr>
              <w:t>部门</w:t>
            </w:r>
          </w:p>
        </w:tc>
        <w:tc>
          <w:tcPr>
            <w:tcW w:w="679" w:type="dxa"/>
            <w:vAlign w:val="top"/>
          </w:tcPr>
          <w:p>
            <w:pPr>
              <w:pStyle w:val="TableText"/>
              <w:ind w:left="32"/>
              <w:spacing w:before="91" w:line="220" w:lineRule="auto"/>
              <w:rPr/>
            </w:pPr>
            <w:r>
              <w:rPr>
                <w:spacing w:val="-2"/>
              </w:rPr>
              <w:t>项目序号</w:t>
            </w:r>
          </w:p>
        </w:tc>
        <w:tc>
          <w:tcPr>
            <w:tcW w:w="968" w:type="dxa"/>
            <w:vAlign w:val="top"/>
          </w:tcPr>
          <w:p>
            <w:pPr>
              <w:pStyle w:val="TableText"/>
              <w:ind w:left="193"/>
              <w:spacing w:before="91" w:line="220" w:lineRule="auto"/>
              <w:rPr/>
            </w:pPr>
            <w:r>
              <w:rPr>
                <w:spacing w:val="-2"/>
              </w:rPr>
              <w:t>项目名称</w:t>
            </w:r>
          </w:p>
        </w:tc>
        <w:tc>
          <w:tcPr>
            <w:tcW w:w="958" w:type="dxa"/>
            <w:vAlign w:val="top"/>
          </w:tcPr>
          <w:p>
            <w:pPr>
              <w:pStyle w:val="TableText"/>
              <w:ind w:left="24"/>
              <w:spacing w:before="91" w:line="219" w:lineRule="auto"/>
              <w:rPr/>
            </w:pPr>
            <w:r>
              <w:rPr>
                <w:spacing w:val="-2"/>
              </w:rPr>
              <w:t>资金管理方式</w:t>
            </w:r>
          </w:p>
        </w:tc>
        <w:tc>
          <w:tcPr>
            <w:tcW w:w="2691" w:type="dxa"/>
            <w:vAlign w:val="top"/>
          </w:tcPr>
          <w:p>
            <w:pPr>
              <w:pStyle w:val="TableText"/>
              <w:ind w:left="1036"/>
              <w:spacing w:before="90" w:line="219" w:lineRule="auto"/>
              <w:rPr/>
            </w:pPr>
            <w:r>
              <w:rPr>
                <w:spacing w:val="-1"/>
              </w:rPr>
              <w:t>政策依据</w:t>
            </w:r>
          </w:p>
        </w:tc>
      </w:tr>
      <w:tr>
        <w:trPr>
          <w:trHeight w:val="320" w:hRule="atLeast"/>
        </w:trPr>
        <w:tc>
          <w:tcPr>
            <w:tcW w:w="384" w:type="dxa"/>
            <w:vAlign w:val="top"/>
          </w:tcPr>
          <w:p>
            <w:pPr>
              <w:pStyle w:val="TableText"/>
              <w:ind w:left="34"/>
              <w:spacing w:before="87" w:line="221" w:lineRule="auto"/>
              <w:rPr/>
            </w:pPr>
            <w:r>
              <w:rPr>
                <w:spacing w:val="7"/>
              </w:rPr>
              <w:t>十四</w:t>
            </w:r>
          </w:p>
        </w:tc>
        <w:tc>
          <w:tcPr>
            <w:tcW w:w="5835" w:type="dxa"/>
            <w:vAlign w:val="top"/>
            <w:gridSpan w:val="5"/>
          </w:tcPr>
          <w:p>
            <w:pPr>
              <w:pStyle w:val="TableText"/>
              <w:ind w:left="70"/>
              <w:spacing w:before="86" w:line="219" w:lineRule="auto"/>
              <w:rPr/>
            </w:pPr>
            <w:r>
              <w:rPr>
                <w:spacing w:val="2"/>
              </w:rPr>
              <w:t>卫生健康部门</w:t>
            </w:r>
          </w:p>
        </w:tc>
      </w:tr>
      <w:tr>
        <w:trPr>
          <w:trHeight w:val="5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14" w:line="183" w:lineRule="auto"/>
              <w:rPr/>
            </w:pPr>
            <w:r>
              <w:rPr>
                <w:spacing w:val="-2"/>
              </w:rPr>
              <w:t>23</w:t>
            </w:r>
          </w:p>
        </w:tc>
        <w:tc>
          <w:tcPr>
            <w:tcW w:w="968" w:type="dxa"/>
            <w:vAlign w:val="top"/>
          </w:tcPr>
          <w:p>
            <w:pPr>
              <w:pStyle w:val="TableText"/>
              <w:ind w:left="32" w:right="32"/>
              <w:spacing w:before="86" w:line="245" w:lineRule="auto"/>
              <w:rPr/>
            </w:pPr>
            <w:r>
              <w:rPr>
                <w:spacing w:val="-2"/>
              </w:rPr>
              <w:t>非免疫规划疫</w:t>
            </w:r>
            <w:r>
              <w:rPr>
                <w:spacing w:val="2"/>
              </w:rPr>
              <w:t xml:space="preserve"> </w:t>
            </w:r>
            <w:r>
              <w:rPr>
                <w:spacing w:val="-2"/>
              </w:rPr>
              <w:t>苗储存运输费</w:t>
            </w:r>
          </w:p>
        </w:tc>
        <w:tc>
          <w:tcPr>
            <w:tcW w:w="958" w:type="dxa"/>
            <w:vAlign w:val="top"/>
          </w:tcPr>
          <w:p>
            <w:pPr>
              <w:pStyle w:val="TableText"/>
              <w:ind w:left="24"/>
              <w:spacing w:before="176" w:line="219" w:lineRule="auto"/>
              <w:rPr/>
            </w:pPr>
            <w:r>
              <w:rPr>
                <w:spacing w:val="-1"/>
              </w:rPr>
              <w:t>缴入地方国库</w:t>
            </w:r>
          </w:p>
        </w:tc>
        <w:tc>
          <w:tcPr>
            <w:tcW w:w="2691" w:type="dxa"/>
            <w:vAlign w:val="top"/>
          </w:tcPr>
          <w:p>
            <w:pPr>
              <w:pStyle w:val="TableText"/>
              <w:ind w:left="21"/>
              <w:spacing w:before="174" w:line="216" w:lineRule="auto"/>
              <w:rPr/>
            </w:pPr>
            <w:r>
              <w:rPr>
                <w:spacing w:val="-1"/>
              </w:rPr>
              <w:t>《疫苗管理法》,财税〔2020〕17</w:t>
            </w:r>
          </w:p>
        </w:tc>
      </w:tr>
      <w:tr>
        <w:trPr>
          <w:trHeight w:val="340" w:hRule="atLeast"/>
        </w:trPr>
        <w:tc>
          <w:tcPr>
            <w:tcW w:w="384" w:type="dxa"/>
            <w:vAlign w:val="top"/>
          </w:tcPr>
          <w:p>
            <w:pPr>
              <w:pStyle w:val="TableText"/>
              <w:ind w:left="34"/>
              <w:spacing w:before="98" w:line="221" w:lineRule="auto"/>
              <w:rPr/>
            </w:pPr>
            <w:r>
              <w:rPr>
                <w:spacing w:val="-2"/>
              </w:rPr>
              <w:t>十五</w:t>
            </w:r>
          </w:p>
        </w:tc>
        <w:tc>
          <w:tcPr>
            <w:tcW w:w="5835" w:type="dxa"/>
            <w:vAlign w:val="top"/>
            <w:gridSpan w:val="5"/>
          </w:tcPr>
          <w:p>
            <w:pPr>
              <w:pStyle w:val="TableText"/>
              <w:ind w:left="70"/>
              <w:spacing w:before="97" w:line="219" w:lineRule="auto"/>
              <w:rPr/>
            </w:pPr>
            <w:r>
              <w:rPr>
                <w:spacing w:val="2"/>
              </w:rPr>
              <w:t>药品监管部门</w:t>
            </w:r>
          </w:p>
        </w:tc>
      </w:tr>
      <w:tr>
        <w:trPr>
          <w:trHeight w:val="71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75" w:lineRule="auto"/>
              <w:rPr>
                <w:rFonts w:ascii="Arial"/>
                <w:sz w:val="21"/>
              </w:rPr>
            </w:pPr>
            <w:r/>
          </w:p>
          <w:p>
            <w:pPr>
              <w:pStyle w:val="TableText"/>
              <w:ind w:left="251"/>
              <w:spacing w:before="49" w:line="183" w:lineRule="auto"/>
              <w:rPr/>
            </w:pPr>
            <w:r>
              <w:rPr>
                <w:spacing w:val="-2"/>
              </w:rPr>
              <w:t>24</w:t>
            </w:r>
          </w:p>
        </w:tc>
        <w:tc>
          <w:tcPr>
            <w:tcW w:w="968" w:type="dxa"/>
            <w:vAlign w:val="top"/>
          </w:tcPr>
          <w:p>
            <w:pPr>
              <w:pStyle w:val="TableText"/>
              <w:ind w:left="43"/>
              <w:spacing w:before="287" w:line="220" w:lineRule="auto"/>
              <w:rPr/>
            </w:pPr>
            <w:r>
              <w:rPr>
                <w:spacing w:val="-2"/>
              </w:rPr>
              <w:t>药品注册费</w:t>
            </w:r>
          </w:p>
        </w:tc>
        <w:tc>
          <w:tcPr>
            <w:tcW w:w="958" w:type="dxa"/>
            <w:vAlign w:val="top"/>
          </w:tcPr>
          <w:p>
            <w:pPr>
              <w:pStyle w:val="TableText"/>
              <w:ind w:left="14" w:right="27" w:firstLine="10"/>
              <w:spacing w:before="167" w:line="245" w:lineRule="auto"/>
              <w:rPr/>
            </w:pPr>
            <w:r>
              <w:rPr>
                <w:spacing w:val="-1"/>
              </w:rPr>
              <w:t>缴入中央和地</w:t>
            </w:r>
            <w:r>
              <w:rPr/>
              <w:t xml:space="preserve"> </w:t>
            </w:r>
            <w:r>
              <w:rPr>
                <w:spacing w:val="-2"/>
              </w:rPr>
              <w:t>方国库</w:t>
            </w:r>
          </w:p>
        </w:tc>
        <w:tc>
          <w:tcPr>
            <w:tcW w:w="2691" w:type="dxa"/>
            <w:vAlign w:val="top"/>
          </w:tcPr>
          <w:p>
            <w:pPr>
              <w:pStyle w:val="TableText"/>
              <w:ind w:left="64" w:right="63" w:hanging="64"/>
              <w:spacing w:before="63" w:line="254" w:lineRule="auto"/>
              <w:jc w:val="both"/>
              <w:rPr/>
            </w:pPr>
            <w:r>
              <w:rPr>
                <w:spacing w:val="17"/>
              </w:rPr>
              <w:t>《</w:t>
            </w:r>
            <w:r>
              <w:rPr>
                <w:spacing w:val="-15"/>
              </w:rPr>
              <w:t xml:space="preserve"> </w:t>
            </w:r>
            <w:r>
              <w:rPr>
                <w:spacing w:val="17"/>
              </w:rPr>
              <w:t>药品管理法实施条例</w:t>
            </w:r>
            <w:r>
              <w:rPr>
                <w:spacing w:val="-26"/>
              </w:rPr>
              <w:t xml:space="preserve"> </w:t>
            </w:r>
            <w:r>
              <w:rPr>
                <w:spacing w:val="17"/>
              </w:rPr>
              <w:t>》</w:t>
            </w:r>
            <w:r>
              <w:rPr>
                <w:spacing w:val="-33"/>
              </w:rPr>
              <w:t xml:space="preserve"> </w:t>
            </w:r>
            <w:r>
              <w:rPr>
                <w:spacing w:val="17"/>
              </w:rPr>
              <w:t>,财税</w:t>
            </w:r>
            <w:r>
              <w:rPr>
                <w:spacing w:val="-40"/>
              </w:rPr>
              <w:t xml:space="preserve"> </w:t>
            </w:r>
            <w:r>
              <w:rPr>
                <w:spacing w:val="17"/>
              </w:rPr>
              <w:t>〔</w:t>
            </w:r>
            <w:r>
              <w:rPr/>
              <w:t xml:space="preserve"> </w:t>
            </w:r>
            <w:r>
              <w:rPr>
                <w:spacing w:val="2"/>
              </w:rPr>
              <w:t>2015〕2号，发改价格〔2015〕1006号</w:t>
            </w:r>
            <w:r>
              <w:rPr/>
              <w:t xml:space="preserve"> </w:t>
            </w:r>
            <w:r>
              <w:rPr>
                <w:spacing w:val="-2"/>
              </w:rPr>
              <w:t>食药监公告2015第53号</w:t>
            </w:r>
          </w:p>
        </w:tc>
      </w:tr>
      <w:tr>
        <w:trPr>
          <w:trHeight w:val="36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108" w:line="220" w:lineRule="auto"/>
              <w:jc w:val="right"/>
              <w:rPr/>
            </w:pPr>
            <w:r>
              <w:rPr>
                <w:spacing w:val="-8"/>
              </w:rPr>
              <w:t>(1)新药注册费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5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1" w:hanging="9"/>
              <w:spacing w:before="88" w:line="233" w:lineRule="auto"/>
              <w:rPr/>
            </w:pPr>
            <w:r>
              <w:rPr>
                <w:spacing w:val="-7"/>
              </w:rPr>
              <w:t>(2)仿制药注册</w:t>
            </w:r>
            <w:r>
              <w:rPr>
                <w:spacing w:val="5"/>
              </w:rPr>
              <w:t xml:space="preserve"> </w:t>
            </w:r>
            <w:r>
              <w:rPr/>
              <w:t>费</w:t>
            </w:r>
          </w:p>
        </w:tc>
        <w:tc>
          <w:tcPr>
            <w:tcW w:w="958" w:type="dxa"/>
            <w:vAlign w:val="top"/>
          </w:tcPr>
          <w:p>
            <w:pPr>
              <w:rPr>
                <w:rFonts w:ascii="Arial"/>
                <w:sz w:val="21"/>
              </w:rPr>
            </w:pPr>
            <w:r/>
          </w:p>
        </w:tc>
        <w:tc>
          <w:tcPr>
            <w:tcW w:w="2691" w:type="dxa"/>
            <w:vAlign w:val="top"/>
          </w:tcPr>
          <w:p>
            <w:pPr>
              <w:rPr>
                <w:rFonts w:ascii="Arial"/>
                <w:sz w:val="21"/>
              </w:rPr>
            </w:pPr>
            <w:r/>
          </w:p>
        </w:tc>
      </w:tr>
      <w:tr>
        <w:trPr>
          <w:trHeight w:val="48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2" w:right="53" w:hanging="30"/>
              <w:spacing w:before="70" w:line="239" w:lineRule="auto"/>
              <w:rPr/>
            </w:pPr>
            <w:r>
              <w:rPr>
                <w:spacing w:val="-2"/>
              </w:rPr>
              <w:t>3)补充电请注</w:t>
            </w:r>
            <w:r>
              <w:rPr>
                <w:spacing w:val="4"/>
              </w:rPr>
              <w:t xml:space="preserve"> </w:t>
            </w:r>
            <w:r>
              <w:rPr>
                <w:spacing w:val="-2"/>
              </w:rPr>
              <w:t>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40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3"/>
              <w:spacing w:before="130" w:line="220" w:lineRule="auto"/>
              <w:rPr/>
            </w:pPr>
            <w:r>
              <w:rPr/>
              <w:t>(4)再注册费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35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3"/>
              <w:spacing w:before="110" w:line="220" w:lineRule="auto"/>
              <w:rPr/>
            </w:pPr>
            <w:r>
              <w:rPr/>
              <w:t>(5)加急费</w:t>
            </w:r>
          </w:p>
        </w:tc>
        <w:tc>
          <w:tcPr>
            <w:tcW w:w="958" w:type="dxa"/>
            <w:vAlign w:val="top"/>
          </w:tcPr>
          <w:p>
            <w:pPr>
              <w:rPr>
                <w:rFonts w:ascii="Arial"/>
                <w:sz w:val="21"/>
              </w:rPr>
            </w:pPr>
            <w:r/>
          </w:p>
        </w:tc>
        <w:tc>
          <w:tcPr>
            <w:tcW w:w="2691" w:type="dxa"/>
            <w:vAlign w:val="top"/>
          </w:tcPr>
          <w:p>
            <w:pPr>
              <w:rPr>
                <w:rFonts w:ascii="Arial"/>
                <w:sz w:val="21"/>
              </w:rPr>
            </w:pPr>
            <w:r/>
          </w:p>
        </w:tc>
      </w:tr>
      <w:tr>
        <w:trPr>
          <w:trHeight w:val="72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79" w:lineRule="auto"/>
              <w:rPr>
                <w:rFonts w:ascii="Arial"/>
                <w:sz w:val="21"/>
              </w:rPr>
            </w:pPr>
            <w:r/>
          </w:p>
          <w:p>
            <w:pPr>
              <w:pStyle w:val="TableText"/>
              <w:ind w:left="251"/>
              <w:spacing w:before="49" w:line="183" w:lineRule="auto"/>
              <w:rPr/>
            </w:pPr>
            <w:r>
              <w:rPr>
                <w:spacing w:val="-2"/>
              </w:rPr>
              <w:t>25</w:t>
            </w:r>
          </w:p>
        </w:tc>
        <w:tc>
          <w:tcPr>
            <w:tcW w:w="968" w:type="dxa"/>
            <w:vAlign w:val="top"/>
          </w:tcPr>
          <w:p>
            <w:pPr>
              <w:pStyle w:val="TableText"/>
              <w:ind w:left="42" w:right="9" w:hanging="10"/>
              <w:spacing w:before="201" w:line="233" w:lineRule="auto"/>
              <w:rPr/>
            </w:pPr>
            <w:r>
              <w:rPr>
                <w:spacing w:val="2"/>
              </w:rPr>
              <w:t>医疗器械产品 </w:t>
            </w:r>
            <w:r>
              <w:rPr>
                <w:spacing w:val="-2"/>
              </w:rPr>
              <w:t>注册费</w:t>
            </w:r>
          </w:p>
        </w:tc>
        <w:tc>
          <w:tcPr>
            <w:tcW w:w="958" w:type="dxa"/>
            <w:vAlign w:val="top"/>
          </w:tcPr>
          <w:p>
            <w:pPr>
              <w:pStyle w:val="TableText"/>
              <w:ind w:left="34" w:right="27" w:hanging="10"/>
              <w:spacing w:before="200" w:line="233" w:lineRule="auto"/>
              <w:rPr/>
            </w:pPr>
            <w:r>
              <w:rPr>
                <w:spacing w:val="-1"/>
              </w:rPr>
              <w:t>缴入中央和地</w:t>
            </w:r>
            <w:r>
              <w:rPr/>
              <w:t xml:space="preserve"> </w:t>
            </w:r>
            <w:r>
              <w:rPr>
                <w:spacing w:val="-2"/>
              </w:rPr>
              <w:t>方国库</w:t>
            </w:r>
          </w:p>
        </w:tc>
        <w:tc>
          <w:tcPr>
            <w:tcW w:w="2691" w:type="dxa"/>
            <w:vAlign w:val="top"/>
          </w:tcPr>
          <w:p>
            <w:pPr>
              <w:pStyle w:val="TableText"/>
              <w:ind w:left="141"/>
              <w:spacing w:before="99" w:line="216" w:lineRule="auto"/>
              <w:rPr/>
            </w:pPr>
            <w:r>
              <w:rPr>
                <w:spacing w:val="-1"/>
              </w:rPr>
              <w:t>《医疗器械监督管理条例》,财税〔</w:t>
            </w:r>
          </w:p>
          <w:p>
            <w:pPr>
              <w:pStyle w:val="TableText"/>
              <w:ind w:left="36" w:firstLine="29"/>
              <w:spacing w:before="45" w:line="232" w:lineRule="auto"/>
              <w:jc w:val="both"/>
              <w:rPr/>
            </w:pPr>
            <w:r>
              <w:rPr>
                <w:spacing w:val="-1"/>
              </w:rPr>
              <w:t>2015〕2号，发改价格〔2015〕1006号，</w:t>
            </w:r>
            <w:r>
              <w:rPr>
                <w:spacing w:val="12"/>
              </w:rPr>
              <w:t xml:space="preserve"> </w:t>
            </w:r>
            <w:r>
              <w:rPr>
                <w:spacing w:val="-1"/>
              </w:rPr>
              <w:t>食药监公告2015第53号</w:t>
            </w:r>
          </w:p>
        </w:tc>
      </w:tr>
      <w:tr>
        <w:trPr>
          <w:trHeight w:val="3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112" w:line="219" w:lineRule="auto"/>
              <w:jc w:val="right"/>
              <w:rPr/>
            </w:pPr>
            <w:r>
              <w:rPr>
                <w:spacing w:val="-8"/>
              </w:rPr>
              <w:t>(1)首次注册费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38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123" w:line="220" w:lineRule="auto"/>
              <w:jc w:val="right"/>
              <w:rPr/>
            </w:pPr>
            <w:r>
              <w:rPr>
                <w:spacing w:val="-8"/>
              </w:rPr>
              <w:t>(2)变更注册费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36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3"/>
              <w:spacing w:before="113" w:line="220" w:lineRule="auto"/>
              <w:rPr/>
            </w:pPr>
            <w:r>
              <w:rPr>
                <w:spacing w:val="-2"/>
              </w:rPr>
              <w:t>3)延续注册费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5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2" w:right="2" w:hanging="30"/>
              <w:spacing w:before="82" w:line="246" w:lineRule="auto"/>
              <w:rPr/>
            </w:pPr>
            <w:r>
              <w:rPr>
                <w:spacing w:val="-5"/>
              </w:rPr>
              <w:t>(4)临床试验由</w:t>
            </w:r>
            <w:r>
              <w:rPr>
                <w:spacing w:val="6"/>
              </w:rPr>
              <w:t xml:space="preserve"> </w:t>
            </w:r>
            <w:r>
              <w:rPr>
                <w:spacing w:val="-2"/>
              </w:rPr>
              <w:t>请费</w:t>
            </w:r>
          </w:p>
        </w:tc>
        <w:tc>
          <w:tcPr>
            <w:tcW w:w="958" w:type="dxa"/>
            <w:vAlign w:val="top"/>
          </w:tcPr>
          <w:p>
            <w:pPr>
              <w:rPr>
                <w:rFonts w:ascii="Arial"/>
                <w:sz w:val="21"/>
              </w:rPr>
            </w:pPr>
            <w:r/>
          </w:p>
        </w:tc>
        <w:tc>
          <w:tcPr>
            <w:tcW w:w="2691" w:type="dxa"/>
            <w:vAlign w:val="top"/>
          </w:tcPr>
          <w:p>
            <w:pPr>
              <w:rPr>
                <w:rFonts w:ascii="Arial"/>
                <w:sz w:val="21"/>
              </w:rPr>
            </w:pPr>
            <w:r/>
          </w:p>
        </w:tc>
      </w:tr>
      <w:tr>
        <w:trPr>
          <w:trHeight w:val="3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43"/>
              <w:spacing w:before="124" w:line="220" w:lineRule="auto"/>
              <w:rPr/>
            </w:pPr>
            <w:r>
              <w:rPr/>
              <w:t>(5)加急费</w:t>
            </w:r>
          </w:p>
        </w:tc>
        <w:tc>
          <w:tcPr>
            <w:tcW w:w="958" w:type="dxa"/>
            <w:vAlign w:val="top"/>
          </w:tcPr>
          <w:p>
            <w:pPr>
              <w:rPr>
                <w:rFonts w:ascii="Arial"/>
                <w:sz w:val="21"/>
              </w:rPr>
            </w:pPr>
            <w:r/>
          </w:p>
        </w:tc>
        <w:tc>
          <w:tcPr>
            <w:tcW w:w="2691" w:type="dxa"/>
            <w:vAlign w:val="top"/>
          </w:tcPr>
          <w:p>
            <w:pPr>
              <w:rPr>
                <w:rFonts w:ascii="Arial"/>
                <w:sz w:val="21"/>
              </w:rPr>
            </w:pPr>
            <w:r/>
          </w:p>
        </w:tc>
      </w:tr>
      <w:tr>
        <w:trPr>
          <w:trHeight w:val="320" w:hRule="atLeast"/>
        </w:trPr>
        <w:tc>
          <w:tcPr>
            <w:tcW w:w="384" w:type="dxa"/>
            <w:vAlign w:val="top"/>
          </w:tcPr>
          <w:p>
            <w:pPr>
              <w:pStyle w:val="TableText"/>
              <w:ind w:left="34"/>
              <w:spacing w:before="95" w:line="221" w:lineRule="auto"/>
              <w:rPr/>
            </w:pPr>
            <w:r>
              <w:rPr>
                <w:spacing w:val="-2"/>
              </w:rPr>
              <w:t>十六</w:t>
            </w:r>
          </w:p>
        </w:tc>
        <w:tc>
          <w:tcPr>
            <w:tcW w:w="5835" w:type="dxa"/>
            <w:vAlign w:val="top"/>
            <w:gridSpan w:val="5"/>
          </w:tcPr>
          <w:p>
            <w:pPr>
              <w:pStyle w:val="TableText"/>
              <w:ind w:left="70"/>
              <w:spacing w:before="95" w:line="219" w:lineRule="auto"/>
              <w:rPr/>
            </w:pPr>
            <w:r>
              <w:rPr>
                <w:spacing w:val="2"/>
              </w:rPr>
              <w:t>知识产权部门</w:t>
            </w:r>
          </w:p>
        </w:tc>
      </w:tr>
      <w:tr>
        <w:trPr>
          <w:trHeight w:val="2053"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251"/>
              <w:spacing w:before="49" w:line="183" w:lineRule="auto"/>
              <w:rPr/>
            </w:pPr>
            <w:r>
              <w:rPr>
                <w:spacing w:val="-2"/>
              </w:rPr>
              <w:t>26</w:t>
            </w:r>
          </w:p>
        </w:tc>
        <w:tc>
          <w:tcPr>
            <w:tcW w:w="968" w:type="dxa"/>
            <w:vAlign w:val="top"/>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43"/>
              <w:spacing w:before="49" w:line="219" w:lineRule="auto"/>
              <w:rPr/>
            </w:pPr>
            <w:r>
              <w:rPr>
                <w:spacing w:val="-2"/>
              </w:rPr>
              <w:t>商标注册收费</w:t>
            </w:r>
          </w:p>
        </w:tc>
        <w:tc>
          <w:tcPr>
            <w:tcW w:w="958" w:type="dxa"/>
            <w:vAlign w:val="top"/>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4"/>
              <w:spacing w:before="49" w:line="219" w:lineRule="auto"/>
              <w:rPr/>
            </w:pPr>
            <w:r>
              <w:rPr>
                <w:spacing w:val="-1"/>
              </w:rPr>
              <w:t>缴入中央国库</w:t>
            </w:r>
          </w:p>
        </w:tc>
        <w:tc>
          <w:tcPr>
            <w:tcW w:w="2691" w:type="dxa"/>
            <w:vAlign w:val="top"/>
          </w:tcPr>
          <w:p>
            <w:pPr>
              <w:pStyle w:val="TableText"/>
              <w:ind w:left="46" w:firstLine="54"/>
              <w:spacing w:before="91" w:line="254" w:lineRule="auto"/>
              <w:rPr/>
            </w:pPr>
            <w:r>
              <w:rPr>
                <w:spacing w:val="-2"/>
              </w:rPr>
              <w:t>《商标法》,《商标法实施条例》,发   </w:t>
            </w:r>
            <w:r>
              <w:rPr>
                <w:spacing w:val="3"/>
              </w:rPr>
              <w:t>改价格〔2015〕2136号，财税〔2017〕</w:t>
            </w:r>
            <w:r>
              <w:rPr>
                <w:spacing w:val="14"/>
              </w:rPr>
              <w:t xml:space="preserve"> </w:t>
            </w:r>
            <w:r>
              <w:rPr>
                <w:spacing w:val="-1"/>
              </w:rPr>
              <w:t>20号，发改价格〔2013〕1494号，发</w:t>
            </w:r>
          </w:p>
          <w:p>
            <w:pPr>
              <w:pStyle w:val="TableText"/>
              <w:ind w:left="36" w:firstLine="29"/>
              <w:spacing w:before="22" w:line="257" w:lineRule="auto"/>
              <w:rPr/>
            </w:pPr>
            <w:r>
              <w:rPr>
                <w:spacing w:val="2"/>
              </w:rPr>
              <w:t>改价格〔2008〕2579号，财综〔2004〕</w:t>
            </w:r>
            <w:r>
              <w:rPr>
                <w:spacing w:val="17"/>
              </w:rPr>
              <w:t xml:space="preserve"> </w:t>
            </w:r>
            <w:r>
              <w:rPr>
                <w:spacing w:val="-1"/>
              </w:rPr>
              <w:t>11号，计价费〔1998〕1077号，财综</w:t>
            </w:r>
          </w:p>
          <w:p>
            <w:pPr>
              <w:pStyle w:val="TableText"/>
              <w:ind w:left="21" w:right="29" w:firstLine="44"/>
              <w:spacing w:before="41" w:line="258" w:lineRule="auto"/>
              <w:rPr/>
            </w:pPr>
            <w:r>
              <w:rPr>
                <w:spacing w:val="-1"/>
              </w:rPr>
              <w:t>字〔1995〕88号，计价格〔1995〕2404</w:t>
            </w:r>
            <w:r>
              <w:rPr>
                <w:spacing w:val="16"/>
              </w:rPr>
              <w:t xml:space="preserve"> </w:t>
            </w:r>
            <w:r>
              <w:rPr>
                <w:spacing w:val="4"/>
              </w:rPr>
              <w:t>号，价费字〔1992〕414号，发改价格</w:t>
            </w:r>
            <w:r>
              <w:rPr>
                <w:spacing w:val="2"/>
              </w:rPr>
              <w:t xml:space="preserve">  </w:t>
            </w:r>
            <w:r>
              <w:rPr>
                <w:spacing w:val="3"/>
              </w:rPr>
              <w:t>〔2015〕2136号，财税〔2017〕20号，</w:t>
            </w:r>
            <w:r>
              <w:rPr>
                <w:spacing w:val="6"/>
              </w:rPr>
              <w:t xml:space="preserve"> </w:t>
            </w:r>
            <w:r>
              <w:rPr/>
              <w:t>发改价格〔2019〕914号</w:t>
            </w:r>
          </w:p>
        </w:tc>
      </w:tr>
    </w:tbl>
    <w:p>
      <w:pPr>
        <w:pStyle w:val="BodyText"/>
        <w:spacing w:line="212" w:lineRule="exact"/>
        <w:rPr>
          <w:sz w:val="18"/>
        </w:rPr>
      </w:pPr>
      <w:r/>
    </w:p>
    <w:p>
      <w:pPr>
        <w:spacing w:line="212" w:lineRule="exact"/>
        <w:sectPr>
          <w:footerReference w:type="default" r:id="rId54"/>
          <w:pgSz w:w="8220" w:h="11910"/>
          <w:pgMar w:top="400" w:right="1004" w:bottom="942" w:left="985" w:header="0" w:footer="783" w:gutter="0"/>
        </w:sectPr>
        <w:rPr>
          <w:sz w:val="18"/>
          <w:szCs w:val="18"/>
        </w:rPr>
      </w:pPr>
    </w:p>
    <w:p>
      <w:pPr>
        <w:spacing w:before="116"/>
        <w:rPr/>
      </w:pPr>
      <w:r/>
    </w:p>
    <w:p>
      <w:pPr>
        <w:spacing w:before="116"/>
        <w:rPr/>
      </w:pPr>
      <w:r/>
    </w:p>
    <w:tbl>
      <w:tblPr>
        <w:tblStyle w:val="TableNormal"/>
        <w:tblW w:w="62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49"/>
        <w:gridCol w:w="679"/>
        <w:gridCol w:w="958"/>
        <w:gridCol w:w="958"/>
        <w:gridCol w:w="2691"/>
      </w:tblGrid>
      <w:tr>
        <w:trPr>
          <w:trHeight w:val="345" w:hRule="atLeast"/>
        </w:trPr>
        <w:tc>
          <w:tcPr>
            <w:tcW w:w="384" w:type="dxa"/>
            <w:vAlign w:val="top"/>
          </w:tcPr>
          <w:p>
            <w:pPr>
              <w:pStyle w:val="TableText"/>
              <w:ind w:left="14"/>
              <w:spacing w:before="102" w:line="221" w:lineRule="auto"/>
              <w:rPr/>
            </w:pPr>
            <w:r>
              <w:rPr>
                <w:spacing w:val="-2"/>
              </w:rPr>
              <w:t>序号</w:t>
            </w:r>
          </w:p>
        </w:tc>
        <w:tc>
          <w:tcPr>
            <w:tcW w:w="549" w:type="dxa"/>
            <w:vAlign w:val="top"/>
          </w:tcPr>
          <w:p>
            <w:pPr>
              <w:pStyle w:val="TableText"/>
              <w:ind w:left="111"/>
              <w:spacing w:before="101" w:line="219" w:lineRule="auto"/>
              <w:rPr/>
            </w:pPr>
            <w:r>
              <w:rPr>
                <w:spacing w:val="8"/>
              </w:rPr>
              <w:t>部门</w:t>
            </w:r>
          </w:p>
        </w:tc>
        <w:tc>
          <w:tcPr>
            <w:tcW w:w="679" w:type="dxa"/>
            <w:vAlign w:val="top"/>
          </w:tcPr>
          <w:p>
            <w:pPr>
              <w:pStyle w:val="TableText"/>
              <w:ind w:left="31"/>
              <w:spacing w:before="101" w:line="220" w:lineRule="auto"/>
              <w:rPr/>
            </w:pPr>
            <w:r>
              <w:rPr>
                <w:spacing w:val="-2"/>
              </w:rPr>
              <w:t>项目序号</w:t>
            </w:r>
          </w:p>
        </w:tc>
        <w:tc>
          <w:tcPr>
            <w:tcW w:w="958" w:type="dxa"/>
            <w:vAlign w:val="top"/>
          </w:tcPr>
          <w:p>
            <w:pPr>
              <w:pStyle w:val="TableText"/>
              <w:ind w:left="183"/>
              <w:spacing w:before="101" w:line="220" w:lineRule="auto"/>
              <w:rPr/>
            </w:pPr>
            <w:r>
              <w:rPr>
                <w:spacing w:val="-2"/>
              </w:rPr>
              <w:t>项目名称</w:t>
            </w:r>
          </w:p>
        </w:tc>
        <w:tc>
          <w:tcPr>
            <w:tcW w:w="958" w:type="dxa"/>
            <w:vAlign w:val="top"/>
          </w:tcPr>
          <w:p>
            <w:pPr>
              <w:pStyle w:val="TableText"/>
              <w:ind w:left="24"/>
              <w:spacing w:before="101" w:line="219" w:lineRule="auto"/>
              <w:rPr/>
            </w:pPr>
            <w:r>
              <w:rPr>
                <w:spacing w:val="-2"/>
              </w:rPr>
              <w:t>资金管理方式</w:t>
            </w:r>
          </w:p>
        </w:tc>
        <w:tc>
          <w:tcPr>
            <w:tcW w:w="2691" w:type="dxa"/>
            <w:vAlign w:val="top"/>
          </w:tcPr>
          <w:p>
            <w:pPr>
              <w:pStyle w:val="TableText"/>
              <w:ind w:left="1047"/>
              <w:spacing w:before="100" w:line="219" w:lineRule="auto"/>
              <w:rPr/>
            </w:pPr>
            <w:r>
              <w:rPr>
                <w:spacing w:val="-1"/>
              </w:rPr>
              <w:t>政策依据</w:t>
            </w:r>
          </w:p>
        </w:tc>
      </w:tr>
      <w:tr>
        <w:trPr>
          <w:trHeight w:val="48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99"/>
              <w:spacing w:before="45" w:line="252" w:lineRule="auto"/>
              <w:rPr/>
            </w:pPr>
            <w:r>
              <w:rPr/>
              <w:t>(1)受理商标 </w:t>
            </w:r>
            <w:r>
              <w:rPr>
                <w:spacing w:val="-2"/>
              </w:rPr>
              <w:t>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94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8"/>
              <w:spacing w:before="77" w:line="258" w:lineRule="auto"/>
              <w:rPr/>
            </w:pPr>
            <w:r>
              <w:rPr/>
              <w:t>(2)补发商标  </w:t>
            </w:r>
            <w:r>
              <w:rPr>
                <w:spacing w:val="-1"/>
              </w:rPr>
              <w:t>注册证费(含</w:t>
            </w:r>
            <w:r>
              <w:rPr/>
              <w:t xml:space="preserve">  </w:t>
            </w:r>
            <w:r>
              <w:rPr>
                <w:spacing w:val="2"/>
              </w:rPr>
              <w:t>刊登遗失声明</w:t>
            </w:r>
            <w:r>
              <w:rPr>
                <w:spacing w:val="3"/>
              </w:rPr>
              <w:t xml:space="preserve"> </w:t>
            </w:r>
            <w:r>
              <w:rPr>
                <w:spacing w:val="9"/>
              </w:rPr>
              <w:t>费用)</w:t>
            </w:r>
          </w:p>
        </w:tc>
        <w:tc>
          <w:tcPr>
            <w:tcW w:w="958" w:type="dxa"/>
            <w:vAlign w:val="top"/>
          </w:tcPr>
          <w:p>
            <w:pPr>
              <w:rPr>
                <w:rFonts w:ascii="Arial"/>
                <w:sz w:val="21"/>
              </w:rPr>
            </w:pPr>
            <w:r/>
          </w:p>
        </w:tc>
        <w:tc>
          <w:tcPr>
            <w:tcW w:w="2691" w:type="dxa"/>
            <w:vAlign w:val="top"/>
          </w:tcPr>
          <w:p>
            <w:pPr>
              <w:rPr>
                <w:rFonts w:ascii="Arial"/>
                <w:sz w:val="21"/>
              </w:rPr>
            </w:pPr>
            <w:r/>
          </w:p>
        </w:tc>
      </w:tr>
      <w:tr>
        <w:trPr>
          <w:trHeight w:val="480"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8" w:hanging="10"/>
              <w:spacing w:before="58" w:line="253" w:lineRule="auto"/>
              <w:rPr/>
            </w:pPr>
            <w:r>
              <w:rPr/>
              <w:t>(3)受理转让 </w:t>
            </w:r>
            <w:r>
              <w:rPr>
                <w:spacing w:val="-1"/>
              </w:rPr>
              <w:t>注册商标费</w:t>
            </w:r>
          </w:p>
        </w:tc>
        <w:tc>
          <w:tcPr>
            <w:tcW w:w="958" w:type="dxa"/>
            <w:vAlign w:val="top"/>
          </w:tcPr>
          <w:p>
            <w:pPr>
              <w:rPr>
                <w:rFonts w:ascii="Arial"/>
                <w:sz w:val="21"/>
              </w:rPr>
            </w:pPr>
            <w:r/>
          </w:p>
        </w:tc>
        <w:tc>
          <w:tcPr>
            <w:tcW w:w="2691" w:type="dxa"/>
            <w:vAlign w:val="top"/>
          </w:tcPr>
          <w:p>
            <w:pPr>
              <w:rPr>
                <w:rFonts w:ascii="Arial"/>
                <w:sz w:val="21"/>
              </w:rPr>
            </w:pPr>
            <w:r/>
          </w:p>
        </w:tc>
      </w:tr>
      <w:tr>
        <w:trPr>
          <w:trHeight w:val="49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9" w:hanging="10"/>
              <w:spacing w:before="89" w:line="245" w:lineRule="auto"/>
              <w:rPr/>
            </w:pPr>
            <w:r>
              <w:rPr/>
              <w:t>(4)受理商标 </w:t>
            </w:r>
            <w:r>
              <w:rPr>
                <w:spacing w:val="-2"/>
              </w:rPr>
              <w:t>续展注册费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490"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9" w:hanging="10"/>
              <w:spacing w:before="68" w:line="252" w:lineRule="auto"/>
              <w:rPr/>
            </w:pPr>
            <w:r>
              <w:rPr/>
              <w:t>(5)受理商标 </w:t>
            </w:r>
            <w:r>
              <w:rPr>
                <w:spacing w:val="-1"/>
              </w:rPr>
              <w:t>注册延迟费</w:t>
            </w:r>
          </w:p>
        </w:tc>
        <w:tc>
          <w:tcPr>
            <w:tcW w:w="958" w:type="dxa"/>
            <w:vAlign w:val="top"/>
          </w:tcPr>
          <w:p>
            <w:pPr>
              <w:rPr>
                <w:rFonts w:ascii="Arial"/>
                <w:sz w:val="21"/>
              </w:rPr>
            </w:pPr>
            <w:r/>
          </w:p>
        </w:tc>
        <w:tc>
          <w:tcPr>
            <w:tcW w:w="2691" w:type="dxa"/>
            <w:vAlign w:val="top"/>
          </w:tcPr>
          <w:p>
            <w:pPr>
              <w:rPr>
                <w:rFonts w:ascii="Arial"/>
                <w:sz w:val="21"/>
              </w:rPr>
            </w:pPr>
            <w:r/>
          </w:p>
        </w:tc>
      </w:tr>
      <w:tr>
        <w:trPr>
          <w:trHeight w:val="49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9" w:hanging="10"/>
              <w:spacing w:before="59" w:line="258" w:lineRule="auto"/>
              <w:rPr/>
            </w:pPr>
            <w:r>
              <w:rPr/>
              <w:t>(6)受理商标 </w:t>
            </w:r>
            <w:r>
              <w:rPr>
                <w:spacing w:val="-2"/>
              </w:rPr>
              <w:t>评审费</w:t>
            </w:r>
          </w:p>
        </w:tc>
        <w:tc>
          <w:tcPr>
            <w:tcW w:w="958" w:type="dxa"/>
            <w:vAlign w:val="top"/>
          </w:tcPr>
          <w:p>
            <w:pPr>
              <w:rPr>
                <w:rFonts w:ascii="Arial"/>
                <w:sz w:val="21"/>
              </w:rPr>
            </w:pPr>
            <w:r/>
          </w:p>
        </w:tc>
        <w:tc>
          <w:tcPr>
            <w:tcW w:w="2691" w:type="dxa"/>
            <w:vAlign w:val="top"/>
          </w:tcPr>
          <w:p>
            <w:pPr>
              <w:rPr>
                <w:rFonts w:ascii="Arial"/>
                <w:sz w:val="21"/>
              </w:rPr>
            </w:pPr>
            <w:r/>
          </w:p>
        </w:tc>
      </w:tr>
      <w:tr>
        <w:trPr>
          <w:trHeight w:val="320"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spacing w:before="90" w:line="220" w:lineRule="auto"/>
              <w:rPr/>
            </w:pPr>
            <w:r>
              <w:rPr/>
              <w:t>(7)变更费</w:t>
            </w:r>
          </w:p>
        </w:tc>
        <w:tc>
          <w:tcPr>
            <w:tcW w:w="958" w:type="dxa"/>
            <w:vAlign w:val="top"/>
          </w:tcPr>
          <w:p>
            <w:pPr>
              <w:rPr>
                <w:rFonts w:ascii="Arial"/>
                <w:sz w:val="21"/>
              </w:rPr>
            </w:pPr>
            <w:r/>
          </w:p>
        </w:tc>
        <w:tc>
          <w:tcPr>
            <w:tcW w:w="2691" w:type="dxa"/>
            <w:vAlign w:val="top"/>
          </w:tcPr>
          <w:p>
            <w:pPr>
              <w:rPr>
                <w:rFonts w:ascii="Arial"/>
                <w:sz w:val="21"/>
              </w:rPr>
            </w:pPr>
            <w:r/>
          </w:p>
        </w:tc>
      </w:tr>
      <w:tr>
        <w:trPr>
          <w:trHeight w:val="51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9" w:hanging="10"/>
              <w:spacing w:before="80" w:line="257" w:lineRule="auto"/>
              <w:rPr/>
            </w:pPr>
            <w:r>
              <w:rPr/>
              <w:t>(8)出据商标 </w:t>
            </w:r>
            <w:r>
              <w:rPr>
                <w:spacing w:val="-2"/>
              </w:rPr>
              <w:t>证明费</w:t>
            </w:r>
          </w:p>
        </w:tc>
        <w:tc>
          <w:tcPr>
            <w:tcW w:w="958" w:type="dxa"/>
            <w:vAlign w:val="top"/>
          </w:tcPr>
          <w:p>
            <w:pPr>
              <w:rPr>
                <w:rFonts w:ascii="Arial"/>
                <w:sz w:val="21"/>
              </w:rPr>
            </w:pPr>
            <w:r/>
          </w:p>
        </w:tc>
        <w:tc>
          <w:tcPr>
            <w:tcW w:w="2691" w:type="dxa"/>
            <w:vAlign w:val="top"/>
          </w:tcPr>
          <w:p>
            <w:pPr>
              <w:rPr>
                <w:rFonts w:ascii="Arial"/>
                <w:sz w:val="21"/>
              </w:rPr>
            </w:pPr>
            <w:r/>
          </w:p>
        </w:tc>
      </w:tr>
      <w:tr>
        <w:trPr>
          <w:trHeight w:val="480"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08" w:hanging="10"/>
              <w:spacing w:before="60" w:line="252" w:lineRule="auto"/>
              <w:rPr/>
            </w:pPr>
            <w:r>
              <w:rPr/>
              <w:t>(9)受理集体 </w:t>
            </w:r>
            <w:r>
              <w:rPr>
                <w:spacing w:val="-2"/>
              </w:rPr>
              <w:t>商标注册费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49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8"/>
              <w:spacing w:before="81" w:line="251" w:lineRule="auto"/>
              <w:rPr/>
            </w:pPr>
            <w:r>
              <w:rPr>
                <w:spacing w:val="2"/>
              </w:rPr>
              <w:t>(10)受理证明</w:t>
            </w:r>
            <w:r>
              <w:rPr/>
              <w:t xml:space="preserve"> </w:t>
            </w:r>
            <w:r>
              <w:rPr>
                <w:spacing w:val="-2"/>
              </w:rPr>
              <w:t>商标注册费</w:t>
            </w:r>
          </w:p>
        </w:tc>
        <w:tc>
          <w:tcPr>
            <w:tcW w:w="958" w:type="dxa"/>
            <w:vAlign w:val="top"/>
          </w:tcPr>
          <w:p>
            <w:pPr>
              <w:rPr>
                <w:rFonts w:ascii="Arial"/>
                <w:sz w:val="21"/>
              </w:rPr>
            </w:pPr>
            <w:r/>
          </w:p>
        </w:tc>
        <w:tc>
          <w:tcPr>
            <w:tcW w:w="2691" w:type="dxa"/>
            <w:vAlign w:val="top"/>
          </w:tcPr>
          <w:p>
            <w:pPr>
              <w:rPr>
                <w:rFonts w:ascii="Arial"/>
                <w:sz w:val="21"/>
              </w:rPr>
            </w:pPr>
            <w:r/>
          </w:p>
        </w:tc>
      </w:tr>
      <w:tr>
        <w:trPr>
          <w:trHeight w:val="48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17"/>
              <w:spacing w:before="61" w:line="246" w:lineRule="auto"/>
              <w:rPr/>
            </w:pPr>
            <w:r>
              <w:rPr/>
              <w:t>(11)商标异议</w:t>
            </w:r>
            <w:r>
              <w:rPr>
                <w:spacing w:val="6"/>
              </w:rPr>
              <w:t xml:space="preserve"> </w:t>
            </w:r>
            <w:r>
              <w:rPr/>
              <w:t>费</w:t>
            </w:r>
          </w:p>
        </w:tc>
        <w:tc>
          <w:tcPr>
            <w:tcW w:w="958" w:type="dxa"/>
            <w:vAlign w:val="top"/>
          </w:tcPr>
          <w:p>
            <w:pPr>
              <w:rPr>
                <w:rFonts w:ascii="Arial"/>
                <w:sz w:val="21"/>
              </w:rPr>
            </w:pPr>
            <w:r/>
          </w:p>
        </w:tc>
        <w:tc>
          <w:tcPr>
            <w:tcW w:w="2691" w:type="dxa"/>
            <w:vAlign w:val="top"/>
          </w:tcPr>
          <w:p>
            <w:pPr>
              <w:rPr>
                <w:rFonts w:ascii="Arial"/>
                <w:sz w:val="21"/>
              </w:rPr>
            </w:pPr>
            <w:r/>
          </w:p>
        </w:tc>
      </w:tr>
      <w:tr>
        <w:trPr>
          <w:trHeight w:val="49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29" w:hanging="10"/>
              <w:spacing w:before="84" w:line="245" w:lineRule="auto"/>
              <w:rPr/>
            </w:pPr>
            <w:r>
              <w:rPr/>
              <w:t>(12)撤销商标</w:t>
            </w:r>
            <w:r>
              <w:rPr>
                <w:spacing w:val="4"/>
              </w:rPr>
              <w:t xml:space="preserve"> </w:t>
            </w:r>
            <w:r>
              <w:rPr/>
              <w:t>费</w:t>
            </w:r>
          </w:p>
        </w:tc>
        <w:tc>
          <w:tcPr>
            <w:tcW w:w="958" w:type="dxa"/>
            <w:vAlign w:val="top"/>
          </w:tcPr>
          <w:p>
            <w:pPr>
              <w:rPr>
                <w:rFonts w:ascii="Arial"/>
                <w:sz w:val="21"/>
              </w:rPr>
            </w:pPr>
            <w:r/>
          </w:p>
        </w:tc>
        <w:tc>
          <w:tcPr>
            <w:tcW w:w="2691" w:type="dxa"/>
            <w:vAlign w:val="top"/>
          </w:tcPr>
          <w:p>
            <w:pPr>
              <w:rPr>
                <w:rFonts w:ascii="Arial"/>
                <w:sz w:val="21"/>
              </w:rPr>
            </w:pPr>
            <w:r/>
          </w:p>
        </w:tc>
      </w:tr>
      <w:tr>
        <w:trPr>
          <w:trHeight w:val="70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6"/>
              <w:spacing w:before="74" w:line="250" w:lineRule="auto"/>
              <w:jc w:val="both"/>
              <w:rPr/>
            </w:pPr>
            <w:r>
              <w:rPr>
                <w:spacing w:val="2"/>
              </w:rPr>
              <w:t>(13)商标使用</w:t>
            </w:r>
            <w:r>
              <w:rPr>
                <w:spacing w:val="1"/>
              </w:rPr>
              <w:t xml:space="preserve"> </w:t>
            </w:r>
            <w:r>
              <w:rPr>
                <w:spacing w:val="-2"/>
              </w:rPr>
              <w:t>许可合同备案</w:t>
            </w:r>
            <w:r>
              <w:rPr>
                <w:spacing w:val="4"/>
              </w:rPr>
              <w:t xml:space="preserve"> </w:t>
            </w:r>
            <w:r>
              <w:rPr/>
              <w:t>费</w:t>
            </w:r>
          </w:p>
        </w:tc>
        <w:tc>
          <w:tcPr>
            <w:tcW w:w="958" w:type="dxa"/>
            <w:vAlign w:val="top"/>
          </w:tcPr>
          <w:p>
            <w:pPr>
              <w:rPr>
                <w:rFonts w:ascii="Arial"/>
                <w:sz w:val="21"/>
              </w:rPr>
            </w:pPr>
            <w:r/>
          </w:p>
        </w:tc>
        <w:tc>
          <w:tcPr>
            <w:tcW w:w="2691" w:type="dxa"/>
            <w:vAlign w:val="top"/>
          </w:tcPr>
          <w:p>
            <w:pPr>
              <w:rPr>
                <w:rFonts w:ascii="Arial"/>
                <w:sz w:val="21"/>
              </w:rPr>
            </w:pPr>
            <w:r/>
          </w:p>
        </w:tc>
      </w:tr>
      <w:tr>
        <w:trPr>
          <w:trHeight w:val="360"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pStyle w:val="TableText"/>
              <w:ind w:left="252"/>
              <w:spacing w:before="153" w:line="183" w:lineRule="auto"/>
              <w:rPr/>
            </w:pPr>
            <w:r>
              <w:rPr>
                <w:spacing w:val="-2"/>
              </w:rPr>
              <w:t>27</w:t>
            </w:r>
          </w:p>
        </w:tc>
        <w:tc>
          <w:tcPr>
            <w:tcW w:w="958" w:type="dxa"/>
            <w:vAlign w:val="top"/>
          </w:tcPr>
          <w:p>
            <w:pPr>
              <w:pStyle w:val="TableText"/>
              <w:ind w:left="22"/>
              <w:spacing w:before="115" w:line="219" w:lineRule="auto"/>
              <w:rPr/>
            </w:pPr>
            <w:r>
              <w:rPr>
                <w:spacing w:val="-2"/>
              </w:rPr>
              <w:t>专利收费</w:t>
            </w:r>
          </w:p>
        </w:tc>
        <w:tc>
          <w:tcPr>
            <w:tcW w:w="958" w:type="dxa"/>
            <w:vAlign w:val="top"/>
          </w:tcPr>
          <w:p>
            <w:pPr>
              <w:pStyle w:val="TableText"/>
              <w:ind w:left="24"/>
              <w:spacing w:before="115" w:line="219" w:lineRule="auto"/>
              <w:rPr/>
            </w:pPr>
            <w:r>
              <w:rPr>
                <w:spacing w:val="-1"/>
              </w:rPr>
              <w:t>缴入中央国库</w:t>
            </w:r>
          </w:p>
        </w:tc>
        <w:tc>
          <w:tcPr>
            <w:tcW w:w="2691" w:type="dxa"/>
            <w:vAlign w:val="top"/>
          </w:tcPr>
          <w:p>
            <w:pPr>
              <w:rPr>
                <w:rFonts w:ascii="Arial"/>
                <w:sz w:val="21"/>
              </w:rPr>
            </w:pPr>
            <w:r/>
          </w:p>
        </w:tc>
      </w:tr>
      <w:tr>
        <w:trPr>
          <w:trHeight w:val="949"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spacing w:line="255" w:lineRule="auto"/>
              <w:rPr>
                <w:rFonts w:ascii="Arial"/>
                <w:sz w:val="21"/>
              </w:rPr>
            </w:pPr>
            <w:r/>
          </w:p>
          <w:p>
            <w:pPr>
              <w:pStyle w:val="TableText"/>
              <w:ind w:left="102" w:right="62" w:hanging="90"/>
              <w:spacing w:before="49" w:line="257" w:lineRule="auto"/>
              <w:rPr/>
            </w:pPr>
            <w:r>
              <w:rPr/>
              <w:t>(1)专利收费</w:t>
            </w:r>
            <w:r>
              <w:rPr>
                <w:spacing w:val="3"/>
              </w:rPr>
              <w:t xml:space="preserve"> </w:t>
            </w:r>
            <w:r>
              <w:rPr>
                <w:spacing w:val="5"/>
              </w:rPr>
              <w:t>(国内部分)</w:t>
            </w:r>
          </w:p>
        </w:tc>
        <w:tc>
          <w:tcPr>
            <w:tcW w:w="958" w:type="dxa"/>
            <w:vAlign w:val="top"/>
          </w:tcPr>
          <w:p>
            <w:pPr>
              <w:rPr>
                <w:rFonts w:ascii="Arial"/>
                <w:sz w:val="21"/>
              </w:rPr>
            </w:pPr>
            <w:r/>
          </w:p>
        </w:tc>
        <w:tc>
          <w:tcPr>
            <w:tcW w:w="2691" w:type="dxa"/>
            <w:vAlign w:val="top"/>
          </w:tcPr>
          <w:p>
            <w:pPr>
              <w:pStyle w:val="TableText"/>
              <w:ind w:left="31"/>
              <w:spacing w:before="93" w:line="216" w:lineRule="auto"/>
              <w:rPr/>
            </w:pPr>
            <w:r>
              <w:rPr>
                <w:spacing w:val="-1"/>
              </w:rPr>
              <w:t>《专利法》,《专利法实施细则》,财</w:t>
            </w:r>
          </w:p>
          <w:p>
            <w:pPr>
              <w:pStyle w:val="TableText"/>
              <w:ind w:left="27"/>
              <w:spacing w:before="34" w:line="261" w:lineRule="auto"/>
              <w:rPr/>
            </w:pPr>
            <w:r>
              <w:rPr>
                <w:spacing w:val="-3"/>
              </w:rPr>
              <w:t>税〔2017〕8号，发改价格[2017]270号</w:t>
            </w:r>
            <w:r>
              <w:rPr>
                <w:spacing w:val="5"/>
              </w:rPr>
              <w:t xml:space="preserve">   </w:t>
            </w:r>
            <w:r>
              <w:rPr>
                <w:spacing w:val="-2"/>
              </w:rPr>
              <w:t>财税〔2016〕78号，财税〔2018〕37号，</w:t>
            </w:r>
            <w:r>
              <w:rPr/>
              <w:t xml:space="preserve"> </w:t>
            </w:r>
            <w:r>
              <w:rPr>
                <w:spacing w:val="-3"/>
              </w:rPr>
              <w:t>财税〔2019〕45号</w:t>
            </w:r>
          </w:p>
        </w:tc>
      </w:tr>
      <w:tr>
        <w:trPr>
          <w:trHeight w:val="944" w:hRule="atLeast"/>
        </w:trPr>
        <w:tc>
          <w:tcPr>
            <w:tcW w:w="384" w:type="dxa"/>
            <w:vAlign w:val="top"/>
          </w:tcPr>
          <w:p>
            <w:pPr>
              <w:rPr>
                <w:rFonts w:ascii="Arial"/>
                <w:sz w:val="21"/>
              </w:rPr>
            </w:pPr>
            <w:r/>
          </w:p>
        </w:tc>
        <w:tc>
          <w:tcPr>
            <w:tcW w:w="549" w:type="dxa"/>
            <w:vAlign w:val="top"/>
          </w:tcPr>
          <w:p>
            <w:pPr>
              <w:rPr>
                <w:rFonts w:ascii="Arial"/>
                <w:sz w:val="21"/>
              </w:rPr>
            </w:pPr>
            <w:r/>
          </w:p>
        </w:tc>
        <w:tc>
          <w:tcPr>
            <w:tcW w:w="679" w:type="dxa"/>
            <w:vAlign w:val="top"/>
          </w:tcPr>
          <w:p>
            <w:pPr>
              <w:rPr>
                <w:rFonts w:ascii="Arial"/>
                <w:sz w:val="21"/>
              </w:rPr>
            </w:pPr>
            <w:r/>
          </w:p>
        </w:tc>
        <w:tc>
          <w:tcPr>
            <w:tcW w:w="958" w:type="dxa"/>
            <w:vAlign w:val="top"/>
          </w:tcPr>
          <w:p>
            <w:pPr>
              <w:pStyle w:val="TableText"/>
              <w:ind w:left="22" w:right="4"/>
              <w:spacing w:before="95" w:line="258" w:lineRule="auto"/>
              <w:jc w:val="both"/>
              <w:rPr/>
            </w:pPr>
            <w:r>
              <w:rPr>
                <w:spacing w:val="3"/>
              </w:rPr>
              <w:t>①申请费、申</w:t>
            </w:r>
            <w:r>
              <w:rPr>
                <w:spacing w:val="1"/>
              </w:rPr>
              <w:t xml:space="preserve"> </w:t>
            </w:r>
            <w:r>
              <w:rPr>
                <w:spacing w:val="-1"/>
              </w:rPr>
              <w:t>请附加费、公</w:t>
            </w:r>
            <w:r>
              <w:rPr/>
              <w:t xml:space="preserve"> </w:t>
            </w:r>
            <w:r>
              <w:rPr>
                <w:spacing w:val="-1"/>
              </w:rPr>
              <w:t>布印刷费、优</w:t>
            </w:r>
            <w:r>
              <w:rPr/>
              <w:t xml:space="preserve"> </w:t>
            </w:r>
            <w:r>
              <w:rPr>
                <w:spacing w:val="-2"/>
              </w:rPr>
              <w:t>先权要求费</w:t>
            </w:r>
          </w:p>
        </w:tc>
        <w:tc>
          <w:tcPr>
            <w:tcW w:w="958" w:type="dxa"/>
            <w:vAlign w:val="top"/>
          </w:tcPr>
          <w:p>
            <w:pPr>
              <w:rPr>
                <w:rFonts w:ascii="Arial"/>
                <w:sz w:val="21"/>
              </w:rPr>
            </w:pPr>
            <w:r/>
          </w:p>
        </w:tc>
        <w:tc>
          <w:tcPr>
            <w:tcW w:w="2691" w:type="dxa"/>
            <w:vAlign w:val="top"/>
          </w:tcPr>
          <w:p>
            <w:pPr>
              <w:rPr>
                <w:rFonts w:ascii="Arial"/>
                <w:sz w:val="21"/>
              </w:rPr>
            </w:pPr>
            <w:r/>
          </w:p>
        </w:tc>
      </w:tr>
    </w:tbl>
    <w:p>
      <w:pPr>
        <w:pStyle w:val="BodyText"/>
        <w:spacing w:line="142" w:lineRule="exact"/>
        <w:rPr>
          <w:sz w:val="12"/>
        </w:rPr>
      </w:pPr>
      <w:r/>
    </w:p>
    <w:p>
      <w:pPr>
        <w:spacing w:line="142" w:lineRule="exact"/>
        <w:sectPr>
          <w:footerReference w:type="default" r:id="rId55"/>
          <w:pgSz w:w="8220" w:h="11910"/>
          <w:pgMar w:top="400" w:right="1004" w:bottom="942" w:left="979" w:header="0" w:footer="783" w:gutter="0"/>
        </w:sectPr>
        <w:rPr>
          <w:sz w:val="12"/>
          <w:szCs w:val="12"/>
        </w:rPr>
      </w:pPr>
    </w:p>
    <w:p>
      <w:pPr>
        <w:spacing w:before="116"/>
        <w:rPr/>
      </w:pPr>
      <w:r/>
    </w:p>
    <w:p>
      <w:pPr>
        <w:spacing w:before="116"/>
        <w:rPr/>
      </w:pPr>
      <w:r/>
    </w:p>
    <w:tbl>
      <w:tblPr>
        <w:tblStyle w:val="TableNormal"/>
        <w:tblW w:w="62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39"/>
        <w:gridCol w:w="679"/>
        <w:gridCol w:w="968"/>
        <w:gridCol w:w="958"/>
        <w:gridCol w:w="2691"/>
      </w:tblGrid>
      <w:tr>
        <w:trPr>
          <w:trHeight w:val="335" w:hRule="atLeast"/>
        </w:trPr>
        <w:tc>
          <w:tcPr>
            <w:tcW w:w="384" w:type="dxa"/>
            <w:vAlign w:val="top"/>
          </w:tcPr>
          <w:p>
            <w:pPr>
              <w:pStyle w:val="TableText"/>
              <w:ind w:left="14"/>
              <w:spacing w:before="92" w:line="221" w:lineRule="auto"/>
              <w:rPr/>
            </w:pPr>
            <w:bookmarkStart w:name="bookmark12" w:id="12"/>
            <w:bookmarkEnd w:id="12"/>
            <w:r>
              <w:rPr>
                <w:spacing w:val="-2"/>
              </w:rPr>
              <w:t>序号</w:t>
            </w:r>
          </w:p>
        </w:tc>
        <w:tc>
          <w:tcPr>
            <w:tcW w:w="539" w:type="dxa"/>
            <w:vAlign w:val="top"/>
          </w:tcPr>
          <w:p>
            <w:pPr>
              <w:pStyle w:val="TableText"/>
              <w:ind w:left="111"/>
              <w:spacing w:before="91" w:line="219" w:lineRule="auto"/>
              <w:rPr/>
            </w:pPr>
            <w:r>
              <w:rPr>
                <w:spacing w:val="8"/>
              </w:rPr>
              <w:t>部门</w:t>
            </w:r>
          </w:p>
        </w:tc>
        <w:tc>
          <w:tcPr>
            <w:tcW w:w="679" w:type="dxa"/>
            <w:vAlign w:val="top"/>
          </w:tcPr>
          <w:p>
            <w:pPr>
              <w:pStyle w:val="TableText"/>
              <w:ind w:left="41"/>
              <w:spacing w:before="91" w:line="220" w:lineRule="auto"/>
              <w:rPr/>
            </w:pPr>
            <w:r>
              <w:rPr>
                <w:spacing w:val="-2"/>
              </w:rPr>
              <w:t>项目序号</w:t>
            </w:r>
          </w:p>
        </w:tc>
        <w:tc>
          <w:tcPr>
            <w:tcW w:w="968" w:type="dxa"/>
            <w:vAlign w:val="top"/>
          </w:tcPr>
          <w:p>
            <w:pPr>
              <w:pStyle w:val="TableText"/>
              <w:ind w:left="172"/>
              <w:spacing w:before="91" w:line="220" w:lineRule="auto"/>
              <w:rPr/>
            </w:pPr>
            <w:r>
              <w:rPr>
                <w:spacing w:val="-2"/>
              </w:rPr>
              <w:t>项目名称</w:t>
            </w:r>
          </w:p>
        </w:tc>
        <w:tc>
          <w:tcPr>
            <w:tcW w:w="958" w:type="dxa"/>
            <w:vAlign w:val="top"/>
          </w:tcPr>
          <w:p>
            <w:pPr>
              <w:pStyle w:val="TableText"/>
              <w:ind w:left="14"/>
              <w:spacing w:before="91" w:line="219" w:lineRule="auto"/>
              <w:rPr/>
            </w:pPr>
            <w:r>
              <w:rPr>
                <w:spacing w:val="-2"/>
              </w:rPr>
              <w:t>资金管理方式</w:t>
            </w:r>
          </w:p>
        </w:tc>
        <w:tc>
          <w:tcPr>
            <w:tcW w:w="2691" w:type="dxa"/>
            <w:vAlign w:val="top"/>
          </w:tcPr>
          <w:p>
            <w:pPr>
              <w:pStyle w:val="TableText"/>
              <w:ind w:left="1036"/>
              <w:spacing w:before="90" w:line="219" w:lineRule="auto"/>
              <w:rPr/>
            </w:pPr>
            <w:r>
              <w:rPr>
                <w:spacing w:val="-1"/>
              </w:rPr>
              <w:t>政策依据</w:t>
            </w:r>
          </w:p>
        </w:tc>
      </w:tr>
      <w:tr>
        <w:trPr>
          <w:trHeight w:val="7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12" w:right="14" w:firstLine="9"/>
              <w:spacing w:before="84" w:line="263" w:lineRule="auto"/>
              <w:jc w:val="both"/>
              <w:rPr/>
            </w:pPr>
            <w:r>
              <w:rPr>
                <w:spacing w:val="3"/>
              </w:rPr>
              <w:t>②发明专利申</w:t>
            </w:r>
            <w:r>
              <w:rPr>
                <w:spacing w:val="1"/>
              </w:rPr>
              <w:t xml:space="preserve"> </w:t>
            </w:r>
            <w:r>
              <w:rPr>
                <w:spacing w:val="-9"/>
              </w:rPr>
              <w:t>请</w:t>
            </w:r>
            <w:r>
              <w:rPr>
                <w:spacing w:val="-18"/>
              </w:rPr>
              <w:t xml:space="preserve"> </w:t>
            </w:r>
            <w:r>
              <w:rPr>
                <w:spacing w:val="-9"/>
              </w:rPr>
              <w:t>实</w:t>
            </w:r>
            <w:r>
              <w:rPr>
                <w:spacing w:val="-23"/>
              </w:rPr>
              <w:t xml:space="preserve"> </w:t>
            </w:r>
            <w:r>
              <w:rPr>
                <w:spacing w:val="-9"/>
              </w:rPr>
              <w:t>质</w:t>
            </w:r>
            <w:r>
              <w:rPr>
                <w:spacing w:val="-16"/>
              </w:rPr>
              <w:t xml:space="preserve"> </w:t>
            </w:r>
            <w:r>
              <w:rPr>
                <w:spacing w:val="-9"/>
              </w:rPr>
              <w:t>审</w:t>
            </w:r>
            <w:r>
              <w:rPr>
                <w:spacing w:val="-22"/>
              </w:rPr>
              <w:t xml:space="preserve"> </w:t>
            </w:r>
            <w:r>
              <w:rPr>
                <w:spacing w:val="-9"/>
              </w:rPr>
              <w:t>查</w:t>
            </w:r>
            <w:r>
              <w:rPr/>
              <w:t xml:space="preserve"> </w:t>
            </w:r>
            <w:r>
              <w:rPr>
                <w:spacing w:val="5"/>
              </w:rPr>
              <w:t>费、复审费</w:t>
            </w:r>
          </w:p>
        </w:tc>
        <w:tc>
          <w:tcPr>
            <w:tcW w:w="958" w:type="dxa"/>
            <w:vAlign w:val="top"/>
          </w:tcPr>
          <w:p>
            <w:pPr>
              <w:rPr>
                <w:rFonts w:ascii="Arial"/>
                <w:sz w:val="21"/>
              </w:rPr>
            </w:pPr>
            <w:r/>
          </w:p>
        </w:tc>
        <w:tc>
          <w:tcPr>
            <w:tcW w:w="2691" w:type="dxa"/>
            <w:vAlign w:val="top"/>
          </w:tcPr>
          <w:p>
            <w:pPr>
              <w:rPr>
                <w:rFonts w:ascii="Arial"/>
                <w:sz w:val="21"/>
              </w:rPr>
            </w:pPr>
            <w:r/>
          </w:p>
        </w:tc>
      </w:tr>
      <w:tr>
        <w:trPr>
          <w:trHeight w:val="95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22"/>
              <w:spacing w:before="94" w:line="259" w:lineRule="auto"/>
              <w:jc w:val="both"/>
              <w:rPr/>
            </w:pPr>
            <w:r>
              <w:rPr>
                <w:spacing w:val="-7"/>
              </w:rPr>
              <w:t>③</w:t>
            </w:r>
            <w:r>
              <w:rPr>
                <w:spacing w:val="-26"/>
              </w:rPr>
              <w:t xml:space="preserve"> </w:t>
            </w:r>
            <w:r>
              <w:rPr>
                <w:spacing w:val="-7"/>
              </w:rPr>
              <w:t>专</w:t>
            </w:r>
            <w:r>
              <w:rPr>
                <w:spacing w:val="-28"/>
              </w:rPr>
              <w:t xml:space="preserve"> </w:t>
            </w:r>
            <w:r>
              <w:rPr>
                <w:spacing w:val="-7"/>
              </w:rPr>
              <w:t>利</w:t>
            </w:r>
            <w:r>
              <w:rPr>
                <w:spacing w:val="-26"/>
              </w:rPr>
              <w:t xml:space="preserve"> </w:t>
            </w:r>
            <w:r>
              <w:rPr>
                <w:spacing w:val="-7"/>
              </w:rPr>
              <w:t>登</w:t>
            </w:r>
            <w:r>
              <w:rPr>
                <w:spacing w:val="-29"/>
              </w:rPr>
              <w:t xml:space="preserve"> </w:t>
            </w:r>
            <w:r>
              <w:rPr>
                <w:spacing w:val="-7"/>
              </w:rPr>
              <w:t>记</w:t>
            </w:r>
            <w:r>
              <w:rPr/>
              <w:t xml:space="preserve"> </w:t>
            </w:r>
            <w:r>
              <w:rPr>
                <w:spacing w:val="2"/>
              </w:rPr>
              <w:t>费、公告印刷</w:t>
            </w:r>
            <w:r>
              <w:rPr/>
              <w:t xml:space="preserve"> </w:t>
            </w:r>
            <w:r>
              <w:rPr>
                <w:spacing w:val="1"/>
              </w:rPr>
              <w:t>费、年费、年</w:t>
            </w:r>
            <w:r>
              <w:rPr/>
              <w:t xml:space="preserve"> </w:t>
            </w:r>
            <w:r>
              <w:rPr>
                <w:spacing w:val="4"/>
              </w:rPr>
              <w:t>费滞纳金</w:t>
            </w:r>
          </w:p>
        </w:tc>
        <w:tc>
          <w:tcPr>
            <w:tcW w:w="958" w:type="dxa"/>
            <w:vAlign w:val="top"/>
          </w:tcPr>
          <w:p>
            <w:pPr>
              <w:rPr>
                <w:rFonts w:ascii="Arial"/>
                <w:sz w:val="21"/>
              </w:rPr>
            </w:pPr>
            <w:r/>
          </w:p>
        </w:tc>
        <w:tc>
          <w:tcPr>
            <w:tcW w:w="2691" w:type="dxa"/>
            <w:vAlign w:val="top"/>
          </w:tcPr>
          <w:p>
            <w:pPr>
              <w:rPr>
                <w:rFonts w:ascii="Arial"/>
                <w:sz w:val="21"/>
              </w:rPr>
            </w:pPr>
            <w:r/>
          </w:p>
        </w:tc>
      </w:tr>
      <w:tr>
        <w:trPr>
          <w:trHeight w:val="71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39"/>
              <w:spacing w:before="85" w:line="251" w:lineRule="auto"/>
              <w:jc w:val="both"/>
              <w:rPr/>
            </w:pPr>
            <w:r>
              <w:rPr>
                <w:spacing w:val="-1"/>
              </w:rPr>
              <w:t>④恢复权利请</w:t>
            </w:r>
            <w:r>
              <w:rPr/>
              <w:t xml:space="preserve"> </w:t>
            </w:r>
            <w:r>
              <w:rPr>
                <w:spacing w:val="-2"/>
              </w:rPr>
              <w:t>求费、延长期</w:t>
            </w:r>
            <w:r>
              <w:rPr>
                <w:spacing w:val="3"/>
              </w:rPr>
              <w:t xml:space="preserve"> </w:t>
            </w:r>
            <w:r>
              <w:rPr>
                <w:spacing w:val="4"/>
              </w:rPr>
              <w:t>限请求费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11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24"/>
              <w:spacing w:before="96" w:line="259" w:lineRule="auto"/>
              <w:jc w:val="both"/>
              <w:rPr/>
            </w:pPr>
            <w:r>
              <w:rPr>
                <w:spacing w:val="-1"/>
              </w:rPr>
              <w:t>⑤著录事项变</w:t>
            </w:r>
            <w:r>
              <w:rPr/>
              <w:t xml:space="preserve"> </w:t>
            </w:r>
            <w:r>
              <w:rPr>
                <w:spacing w:val="-2"/>
              </w:rPr>
              <w:t>更费、专利权</w:t>
            </w:r>
            <w:r>
              <w:rPr>
                <w:spacing w:val="3"/>
              </w:rPr>
              <w:t xml:space="preserve"> </w:t>
            </w:r>
            <w:r>
              <w:rPr>
                <w:spacing w:val="-1"/>
              </w:rPr>
              <w:t>评价报告请求</w:t>
            </w:r>
            <w:r>
              <w:rPr/>
              <w:t xml:space="preserve"> </w:t>
            </w:r>
            <w:r>
              <w:rPr>
                <w:spacing w:val="1"/>
              </w:rPr>
              <w:t>费、无效宣告</w:t>
            </w:r>
            <w:r>
              <w:rPr>
                <w:spacing w:val="3"/>
              </w:rPr>
              <w:t xml:space="preserve"> </w:t>
            </w:r>
            <w:r>
              <w:rPr>
                <w:spacing w:val="1"/>
              </w:rPr>
              <w:t>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50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32" w:right="39" w:hanging="10"/>
              <w:spacing w:before="98" w:line="245" w:lineRule="auto"/>
              <w:rPr/>
            </w:pPr>
            <w:r>
              <w:rPr>
                <w:spacing w:val="-1"/>
              </w:rPr>
              <w:t>⑥专利文件副</w:t>
            </w:r>
            <w:r>
              <w:rPr/>
              <w:t xml:space="preserve"> </w:t>
            </w:r>
            <w:r>
              <w:rPr>
                <w:spacing w:val="-2"/>
              </w:rPr>
              <w:t>本证明费</w:t>
            </w:r>
          </w:p>
        </w:tc>
        <w:tc>
          <w:tcPr>
            <w:tcW w:w="958" w:type="dxa"/>
            <w:vAlign w:val="top"/>
          </w:tcPr>
          <w:p>
            <w:pPr>
              <w:rPr>
                <w:rFonts w:ascii="Arial"/>
                <w:sz w:val="21"/>
              </w:rPr>
            </w:pPr>
            <w:r/>
          </w:p>
        </w:tc>
        <w:tc>
          <w:tcPr>
            <w:tcW w:w="2691" w:type="dxa"/>
            <w:vAlign w:val="top"/>
          </w:tcPr>
          <w:p>
            <w:pPr>
              <w:rPr>
                <w:rFonts w:ascii="Arial"/>
                <w:sz w:val="21"/>
              </w:rPr>
            </w:pPr>
            <w:r/>
          </w:p>
        </w:tc>
      </w:tr>
      <w:tr>
        <w:trPr>
          <w:trHeight w:val="72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14"/>
              <w:spacing w:before="210" w:line="233" w:lineRule="auto"/>
              <w:rPr/>
            </w:pPr>
            <w:r>
              <w:rPr>
                <w:spacing w:val="3"/>
              </w:rPr>
              <w:t>(2)</w:t>
            </w:r>
            <w:r>
              <w:rPr/>
              <w:t>PCT</w:t>
            </w:r>
            <w:r>
              <w:rPr>
                <w:spacing w:val="3"/>
              </w:rPr>
              <w:t>专利申</w:t>
            </w:r>
            <w:r>
              <w:rPr>
                <w:spacing w:val="1"/>
              </w:rPr>
              <w:t xml:space="preserve"> </w:t>
            </w:r>
            <w:r>
              <w:rPr>
                <w:spacing w:val="-2"/>
              </w:rPr>
              <w:t>请收费</w:t>
            </w:r>
          </w:p>
        </w:tc>
        <w:tc>
          <w:tcPr>
            <w:tcW w:w="958" w:type="dxa"/>
            <w:vAlign w:val="top"/>
          </w:tcPr>
          <w:p>
            <w:pPr>
              <w:rPr>
                <w:rFonts w:ascii="Arial"/>
                <w:sz w:val="21"/>
              </w:rPr>
            </w:pPr>
            <w:r/>
          </w:p>
        </w:tc>
        <w:tc>
          <w:tcPr>
            <w:tcW w:w="2691" w:type="dxa"/>
            <w:vAlign w:val="top"/>
          </w:tcPr>
          <w:p>
            <w:pPr>
              <w:pStyle w:val="TableText"/>
              <w:ind w:left="102"/>
              <w:spacing w:before="109" w:line="216" w:lineRule="auto"/>
              <w:rPr/>
            </w:pPr>
            <w:r>
              <w:rPr>
                <w:spacing w:val="-1"/>
              </w:rPr>
              <w:t>《专利法》,《专利法实施细则》,财</w:t>
            </w:r>
          </w:p>
          <w:p>
            <w:pPr>
              <w:pStyle w:val="TableText"/>
              <w:ind w:left="27"/>
              <w:spacing w:before="46" w:line="239" w:lineRule="auto"/>
              <w:jc w:val="both"/>
              <w:rPr/>
            </w:pPr>
            <w:r>
              <w:rPr>
                <w:spacing w:val="-2"/>
              </w:rPr>
              <w:t>税〔2017〕8号，发改价格[2017]270号，</w:t>
            </w:r>
            <w:r>
              <w:rPr>
                <w:spacing w:val="2"/>
              </w:rPr>
              <w:t xml:space="preserve"> </w:t>
            </w:r>
            <w:r>
              <w:rPr>
                <w:spacing w:val="-2"/>
              </w:rPr>
              <w:t>财税〔2018〕37号</w:t>
            </w:r>
          </w:p>
        </w:tc>
      </w:tr>
      <w:tr>
        <w:trPr>
          <w:trHeight w:val="2717"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spacing w:before="107" w:line="265" w:lineRule="auto"/>
              <w:jc w:val="both"/>
              <w:rPr/>
            </w:pPr>
            <w:r>
              <w:rPr>
                <w:spacing w:val="-7"/>
              </w:rPr>
              <w:t>①申请国际阶</w:t>
            </w:r>
            <w:r>
              <w:rPr/>
              <w:t xml:space="preserve">  </w:t>
            </w:r>
            <w:r>
              <w:rPr>
                <w:spacing w:val="-8"/>
              </w:rPr>
              <w:t>段收取的国际</w:t>
            </w:r>
            <w:r>
              <w:rPr>
                <w:spacing w:val="1"/>
              </w:rPr>
              <w:t xml:space="preserve">  </w:t>
            </w:r>
            <w:r>
              <w:rPr>
                <w:spacing w:val="-5"/>
              </w:rPr>
              <w:t>申请费和手续</w:t>
            </w:r>
            <w:r>
              <w:rPr/>
              <w:t xml:space="preserve">  </w:t>
            </w:r>
            <w:r>
              <w:rPr>
                <w:spacing w:val="5"/>
              </w:rPr>
              <w:t>费，传送费、</w:t>
            </w:r>
            <w:r>
              <w:rPr>
                <w:spacing w:val="4"/>
              </w:rPr>
              <w:t xml:space="preserve"> </w:t>
            </w:r>
            <w:r>
              <w:rPr>
                <w:spacing w:val="-8"/>
              </w:rPr>
              <w:t>检索费、优先</w:t>
            </w:r>
            <w:r>
              <w:rPr>
                <w:spacing w:val="2"/>
              </w:rPr>
              <w:t xml:space="preserve">  </w:t>
            </w:r>
            <w:r>
              <w:rPr>
                <w:spacing w:val="-7"/>
              </w:rPr>
              <w:t>权文件费、初</w:t>
            </w:r>
            <w:r>
              <w:rPr/>
              <w:t xml:space="preserve">  </w:t>
            </w:r>
            <w:r>
              <w:rPr>
                <w:spacing w:val="-8"/>
              </w:rPr>
              <w:t>步审查费、单</w:t>
            </w:r>
            <w:r>
              <w:rPr>
                <w:spacing w:val="1"/>
              </w:rPr>
              <w:t xml:space="preserve">  </w:t>
            </w:r>
            <w:r>
              <w:rPr>
                <w:spacing w:val="5"/>
              </w:rPr>
              <w:t>一性异议费、</w:t>
            </w:r>
            <w:r>
              <w:rPr>
                <w:spacing w:val="4"/>
              </w:rPr>
              <w:t xml:space="preserve"> </w:t>
            </w:r>
            <w:r>
              <w:rPr>
                <w:spacing w:val="5"/>
              </w:rPr>
              <w:t>副本复制费、</w:t>
            </w:r>
            <w:r>
              <w:rPr>
                <w:spacing w:val="4"/>
              </w:rPr>
              <w:t xml:space="preserve"> </w:t>
            </w:r>
            <w:r>
              <w:rPr>
                <w:spacing w:val="-8"/>
              </w:rPr>
              <w:t>后提交费、恢</w:t>
            </w:r>
            <w:r>
              <w:rPr>
                <w:spacing w:val="1"/>
              </w:rPr>
              <w:t xml:space="preserve">  </w:t>
            </w:r>
            <w:r>
              <w:rPr>
                <w:spacing w:val="21"/>
              </w:rPr>
              <w:t>复权利请求 </w:t>
            </w:r>
            <w:r>
              <w:rPr>
                <w:spacing w:val="-3"/>
              </w:rPr>
              <w:t>费、滞纳金</w:t>
            </w:r>
          </w:p>
        </w:tc>
        <w:tc>
          <w:tcPr>
            <w:tcW w:w="958" w:type="dxa"/>
            <w:vAlign w:val="top"/>
          </w:tcPr>
          <w:p>
            <w:pPr>
              <w:rPr>
                <w:rFonts w:ascii="Arial"/>
                <w:sz w:val="21"/>
              </w:rPr>
            </w:pPr>
            <w:r/>
          </w:p>
        </w:tc>
        <w:tc>
          <w:tcPr>
            <w:tcW w:w="2691" w:type="dxa"/>
            <w:vAlign w:val="top"/>
          </w:tcPr>
          <w:p>
            <w:pPr>
              <w:rPr>
                <w:rFonts w:ascii="Arial"/>
                <w:sz w:val="21"/>
              </w:rPr>
            </w:pPr>
            <w:r/>
          </w:p>
        </w:tc>
      </w:tr>
      <w:tr>
        <w:trPr>
          <w:trHeight w:val="1613"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spacing w:before="93" w:line="217" w:lineRule="auto"/>
              <w:rPr/>
            </w:pPr>
            <w:r>
              <w:rPr>
                <w:spacing w:val="2"/>
              </w:rPr>
              <w:t>②申请进入中</w:t>
            </w:r>
          </w:p>
          <w:p>
            <w:pPr>
              <w:pStyle w:val="TableText"/>
              <w:ind w:left="22"/>
              <w:spacing w:before="55" w:line="219" w:lineRule="auto"/>
              <w:rPr/>
            </w:pPr>
            <w:r>
              <w:rPr/>
              <w:t>国国家阶段收</w:t>
            </w:r>
          </w:p>
          <w:p>
            <w:pPr>
              <w:pStyle w:val="TableText"/>
              <w:spacing w:before="42" w:line="220" w:lineRule="auto"/>
              <w:jc w:val="right"/>
              <w:rPr/>
            </w:pPr>
            <w:r>
              <w:rPr>
                <w:spacing w:val="5"/>
              </w:rPr>
              <w:t>取的宽限费、</w:t>
            </w:r>
          </w:p>
          <w:p>
            <w:pPr>
              <w:pStyle w:val="TableText"/>
              <w:ind w:left="103"/>
              <w:spacing w:before="40" w:line="219" w:lineRule="auto"/>
              <w:rPr/>
            </w:pPr>
            <w:r>
              <w:rPr>
                <w:spacing w:val="-2"/>
              </w:rPr>
              <w:t>译文改正费</w:t>
            </w:r>
          </w:p>
          <w:p>
            <w:pPr>
              <w:pStyle w:val="TableText"/>
              <w:ind w:left="12" w:right="27" w:firstLine="19"/>
              <w:spacing w:before="43" w:line="253" w:lineRule="auto"/>
              <w:jc w:val="both"/>
              <w:rPr/>
            </w:pPr>
            <w:r>
              <w:rPr>
                <w:spacing w:val="27"/>
              </w:rPr>
              <w:t>单一性恢复</w:t>
            </w:r>
            <w:r>
              <w:rPr>
                <w:spacing w:val="1"/>
              </w:rPr>
              <w:t xml:space="preserve"> </w:t>
            </w:r>
            <w:r>
              <w:rPr>
                <w:spacing w:val="2"/>
              </w:rPr>
              <w:t>费、优先权恢</w:t>
            </w:r>
            <w:r>
              <w:rPr>
                <w:spacing w:val="4"/>
              </w:rPr>
              <w:t xml:space="preserve"> </w:t>
            </w:r>
            <w:r>
              <w:rPr>
                <w:spacing w:val="-3"/>
              </w:rPr>
              <w:t>复费</w:t>
            </w:r>
          </w:p>
        </w:tc>
        <w:tc>
          <w:tcPr>
            <w:tcW w:w="958" w:type="dxa"/>
            <w:vAlign w:val="top"/>
          </w:tcPr>
          <w:p>
            <w:pPr>
              <w:rPr>
                <w:rFonts w:ascii="Arial"/>
                <w:sz w:val="21"/>
              </w:rPr>
            </w:pPr>
            <w:r/>
          </w:p>
        </w:tc>
        <w:tc>
          <w:tcPr>
            <w:tcW w:w="2691" w:type="dxa"/>
            <w:vAlign w:val="top"/>
          </w:tcPr>
          <w:p>
            <w:pPr>
              <w:rPr>
                <w:rFonts w:ascii="Arial"/>
                <w:sz w:val="21"/>
              </w:rPr>
            </w:pPr>
            <w:r/>
          </w:p>
        </w:tc>
      </w:tr>
    </w:tbl>
    <w:p>
      <w:pPr>
        <w:pStyle w:val="BodyText"/>
        <w:spacing w:line="212" w:lineRule="exact"/>
        <w:rPr>
          <w:sz w:val="18"/>
        </w:rPr>
      </w:pPr>
      <w:r/>
    </w:p>
    <w:p>
      <w:pPr>
        <w:spacing w:line="212" w:lineRule="exact"/>
        <w:sectPr>
          <w:footerReference w:type="default" r:id="rId56"/>
          <w:pgSz w:w="8220" w:h="11910"/>
          <w:pgMar w:top="400" w:right="1004" w:bottom="942" w:left="985" w:header="0" w:footer="783" w:gutter="0"/>
        </w:sectPr>
        <w:rPr>
          <w:sz w:val="18"/>
          <w:szCs w:val="18"/>
        </w:rPr>
      </w:pPr>
    </w:p>
    <w:p>
      <w:pPr>
        <w:spacing w:before="116"/>
        <w:rPr/>
      </w:pPr>
      <w:r/>
    </w:p>
    <w:p>
      <w:pPr>
        <w:spacing w:before="116"/>
        <w:rPr/>
      </w:pPr>
      <w:r/>
    </w:p>
    <w:tbl>
      <w:tblPr>
        <w:tblStyle w:val="TableNormal"/>
        <w:tblW w:w="62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
        <w:gridCol w:w="539"/>
        <w:gridCol w:w="679"/>
        <w:gridCol w:w="968"/>
        <w:gridCol w:w="958"/>
        <w:gridCol w:w="2691"/>
      </w:tblGrid>
      <w:tr>
        <w:trPr>
          <w:trHeight w:val="335" w:hRule="atLeast"/>
        </w:trPr>
        <w:tc>
          <w:tcPr>
            <w:tcW w:w="384" w:type="dxa"/>
            <w:vAlign w:val="top"/>
          </w:tcPr>
          <w:p>
            <w:pPr>
              <w:pStyle w:val="TableText"/>
              <w:ind w:left="34"/>
              <w:spacing w:before="92" w:line="221" w:lineRule="auto"/>
              <w:rPr/>
            </w:pPr>
            <w:r>
              <w:rPr>
                <w:spacing w:val="-2"/>
              </w:rPr>
              <w:t>序号</w:t>
            </w:r>
          </w:p>
        </w:tc>
        <w:tc>
          <w:tcPr>
            <w:tcW w:w="539" w:type="dxa"/>
            <w:vAlign w:val="top"/>
          </w:tcPr>
          <w:p>
            <w:pPr>
              <w:pStyle w:val="TableText"/>
              <w:ind w:left="111"/>
              <w:spacing w:before="91" w:line="219" w:lineRule="auto"/>
              <w:rPr/>
            </w:pPr>
            <w:r>
              <w:rPr>
                <w:spacing w:val="8"/>
              </w:rPr>
              <w:t>部门</w:t>
            </w:r>
          </w:p>
        </w:tc>
        <w:tc>
          <w:tcPr>
            <w:tcW w:w="679" w:type="dxa"/>
            <w:vAlign w:val="top"/>
          </w:tcPr>
          <w:p>
            <w:pPr>
              <w:pStyle w:val="TableText"/>
              <w:ind w:left="32"/>
              <w:spacing w:before="91" w:line="220" w:lineRule="auto"/>
              <w:rPr/>
            </w:pPr>
            <w:r>
              <w:rPr>
                <w:spacing w:val="-2"/>
              </w:rPr>
              <w:t>项目序号</w:t>
            </w:r>
          </w:p>
        </w:tc>
        <w:tc>
          <w:tcPr>
            <w:tcW w:w="968" w:type="dxa"/>
            <w:vAlign w:val="top"/>
          </w:tcPr>
          <w:p>
            <w:pPr>
              <w:pStyle w:val="TableText"/>
              <w:ind w:left="172"/>
              <w:spacing w:before="91" w:line="220" w:lineRule="auto"/>
              <w:rPr/>
            </w:pPr>
            <w:r>
              <w:rPr>
                <w:spacing w:val="-2"/>
              </w:rPr>
              <w:t>项目名称</w:t>
            </w:r>
          </w:p>
        </w:tc>
        <w:tc>
          <w:tcPr>
            <w:tcW w:w="958" w:type="dxa"/>
            <w:vAlign w:val="top"/>
          </w:tcPr>
          <w:p>
            <w:pPr>
              <w:pStyle w:val="TableText"/>
              <w:ind w:left="24"/>
              <w:spacing w:before="91" w:line="219" w:lineRule="auto"/>
              <w:rPr/>
            </w:pPr>
            <w:r>
              <w:rPr>
                <w:spacing w:val="-2"/>
              </w:rPr>
              <w:t>资金管理方式</w:t>
            </w:r>
          </w:p>
        </w:tc>
        <w:tc>
          <w:tcPr>
            <w:tcW w:w="2691" w:type="dxa"/>
            <w:vAlign w:val="top"/>
          </w:tcPr>
          <w:p>
            <w:pPr>
              <w:pStyle w:val="TableText"/>
              <w:ind w:left="1036"/>
              <w:spacing w:before="90" w:line="219" w:lineRule="auto"/>
              <w:rPr/>
            </w:pPr>
            <w:r>
              <w:rPr>
                <w:spacing w:val="-1"/>
              </w:rPr>
              <w:t>政策依据</w:t>
            </w:r>
          </w:p>
        </w:tc>
      </w:tr>
      <w:tr>
        <w:trPr>
          <w:trHeight w:val="101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40" w:firstLine="40"/>
              <w:spacing w:before="125" w:line="255" w:lineRule="auto"/>
              <w:jc w:val="both"/>
              <w:rPr/>
            </w:pPr>
            <w:r>
              <w:rPr>
                <w:spacing w:val="1"/>
              </w:rPr>
              <w:t>(3)为其他国</w:t>
            </w:r>
            <w:r>
              <w:rPr>
                <w:spacing w:val="2"/>
              </w:rPr>
              <w:t xml:space="preserve"> </w:t>
            </w:r>
            <w:r>
              <w:rPr>
                <w:spacing w:val="-2"/>
              </w:rPr>
              <w:t>家和地区提供</w:t>
            </w:r>
            <w:r>
              <w:rPr>
                <w:spacing w:val="3"/>
              </w:rPr>
              <w:t xml:space="preserve"> </w:t>
            </w:r>
            <w:r>
              <w:rPr>
                <w:spacing w:val="-1"/>
              </w:rPr>
              <w:t>检索和审查服</w:t>
            </w:r>
            <w:r>
              <w:rPr/>
              <w:t xml:space="preserve"> </w:t>
            </w:r>
            <w:r>
              <w:rPr>
                <w:spacing w:val="-2"/>
              </w:rPr>
              <w:t>务收费</w:t>
            </w:r>
          </w:p>
        </w:tc>
        <w:tc>
          <w:tcPr>
            <w:tcW w:w="958" w:type="dxa"/>
            <w:vAlign w:val="top"/>
          </w:tcPr>
          <w:p>
            <w:pPr>
              <w:rPr>
                <w:rFonts w:ascii="Arial"/>
                <w:sz w:val="21"/>
              </w:rPr>
            </w:pPr>
            <w:r/>
          </w:p>
        </w:tc>
        <w:tc>
          <w:tcPr>
            <w:tcW w:w="2691" w:type="dxa"/>
            <w:vAlign w:val="top"/>
          </w:tcPr>
          <w:p>
            <w:pPr>
              <w:pStyle w:val="TableText"/>
              <w:ind w:left="27" w:right="69" w:firstLine="75"/>
              <w:spacing w:before="224" w:line="251" w:lineRule="auto"/>
              <w:jc w:val="both"/>
              <w:rPr/>
            </w:pPr>
            <w:r>
              <w:rPr>
                <w:spacing w:val="-2"/>
              </w:rPr>
              <w:t>《专利法》,《专利法实施细则》,财  </w:t>
            </w:r>
            <w:r>
              <w:rPr>
                <w:spacing w:val="1"/>
              </w:rPr>
              <w:t>税〔2017〕8号，发改价格〔2017〕270</w:t>
            </w:r>
            <w:r>
              <w:rPr>
                <w:spacing w:val="10"/>
              </w:rPr>
              <w:t xml:space="preserve"> </w:t>
            </w:r>
            <w:r>
              <w:rPr/>
              <w:t>号</w:t>
            </w:r>
          </w:p>
        </w:tc>
      </w:tr>
      <w:tr>
        <w:trPr>
          <w:trHeight w:val="7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295" w:lineRule="auto"/>
              <w:rPr>
                <w:rFonts w:ascii="Arial"/>
                <w:sz w:val="21"/>
              </w:rPr>
            </w:pPr>
            <w:r/>
          </w:p>
          <w:p>
            <w:pPr>
              <w:pStyle w:val="TableText"/>
              <w:ind w:left="251"/>
              <w:spacing w:before="49" w:line="183" w:lineRule="auto"/>
              <w:rPr/>
            </w:pPr>
            <w:r>
              <w:rPr>
                <w:spacing w:val="-2"/>
              </w:rPr>
              <w:t>28</w:t>
            </w:r>
          </w:p>
        </w:tc>
        <w:tc>
          <w:tcPr>
            <w:tcW w:w="968" w:type="dxa"/>
            <w:vAlign w:val="top"/>
          </w:tcPr>
          <w:p>
            <w:pPr>
              <w:pStyle w:val="TableText"/>
              <w:ind w:left="22" w:right="40"/>
              <w:spacing w:before="227" w:line="245" w:lineRule="auto"/>
              <w:rPr/>
            </w:pPr>
            <w:r>
              <w:rPr>
                <w:spacing w:val="-1"/>
              </w:rPr>
              <w:t>集成电路布图</w:t>
            </w:r>
            <w:r>
              <w:rPr/>
              <w:t xml:space="preserve"> </w:t>
            </w:r>
            <w:r>
              <w:rPr>
                <w:spacing w:val="-2"/>
              </w:rPr>
              <w:t>设计保护收费</w:t>
            </w:r>
          </w:p>
        </w:tc>
        <w:tc>
          <w:tcPr>
            <w:tcW w:w="958" w:type="dxa"/>
            <w:vAlign w:val="top"/>
          </w:tcPr>
          <w:p>
            <w:pPr>
              <w:spacing w:line="256" w:lineRule="auto"/>
              <w:rPr>
                <w:rFonts w:ascii="Arial"/>
                <w:sz w:val="21"/>
              </w:rPr>
            </w:pPr>
            <w:r/>
          </w:p>
          <w:p>
            <w:pPr>
              <w:pStyle w:val="TableText"/>
              <w:ind w:left="24"/>
              <w:spacing w:before="49" w:line="219" w:lineRule="auto"/>
              <w:rPr/>
            </w:pPr>
            <w:r>
              <w:rPr>
                <w:spacing w:val="-1"/>
              </w:rPr>
              <w:t>缴入中央国库</w:t>
            </w:r>
          </w:p>
        </w:tc>
        <w:tc>
          <w:tcPr>
            <w:tcW w:w="2691" w:type="dxa"/>
            <w:vAlign w:val="top"/>
          </w:tcPr>
          <w:p>
            <w:pPr>
              <w:pStyle w:val="TableText"/>
              <w:ind w:firstLine="106"/>
              <w:spacing w:before="113" w:line="254" w:lineRule="auto"/>
              <w:tabs>
                <w:tab w:val="left" w:pos="2680"/>
              </w:tabs>
              <w:jc w:val="both"/>
              <w:rPr/>
            </w:pPr>
            <w:r>
              <w:rPr>
                <w:spacing w:val="-6"/>
              </w:rPr>
              <w:t>《集成电路布图设计保护条例》,财税</w:t>
            </w:r>
            <w:r>
              <w:rPr/>
              <w:tab/>
            </w:r>
            <w:r>
              <w:rPr/>
              <w:t xml:space="preserve"> </w:t>
            </w:r>
            <w:r>
              <w:rPr>
                <w:spacing w:val="-1"/>
              </w:rPr>
              <w:t>〔2017〕8号，发改价格〔2017〕270号，</w:t>
            </w:r>
            <w:r>
              <w:rPr>
                <w:spacing w:val="3"/>
              </w:rPr>
              <w:t xml:space="preserve"> </w:t>
            </w:r>
            <w:r>
              <w:rPr>
                <w:spacing w:val="2"/>
              </w:rPr>
              <w:t>发改价格〔2017〕1186号</w:t>
            </w:r>
          </w:p>
        </w:tc>
      </w:tr>
      <w:tr>
        <w:trPr>
          <w:trHeight w:val="5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68" w:firstLine="40"/>
              <w:spacing w:before="117"/>
              <w:rPr/>
            </w:pPr>
            <w:r>
              <w:rPr/>
              <w:t>(1)布图设计 </w:t>
            </w:r>
            <w:r>
              <w:rPr>
                <w:spacing w:val="-2"/>
              </w:rPr>
              <w:t>登记费</w:t>
            </w:r>
          </w:p>
        </w:tc>
        <w:tc>
          <w:tcPr>
            <w:tcW w:w="958" w:type="dxa"/>
            <w:vAlign w:val="top"/>
          </w:tcPr>
          <w:p>
            <w:pPr>
              <w:rPr>
                <w:rFonts w:ascii="Arial"/>
                <w:sz w:val="21"/>
              </w:rPr>
            </w:pPr>
            <w:r/>
          </w:p>
        </w:tc>
        <w:tc>
          <w:tcPr>
            <w:tcW w:w="2691" w:type="dxa"/>
            <w:vAlign w:val="top"/>
          </w:tcPr>
          <w:p>
            <w:pPr>
              <w:rPr>
                <w:rFonts w:ascii="Arial"/>
                <w:sz w:val="21"/>
              </w:rPr>
            </w:pPr>
            <w:r/>
          </w:p>
        </w:tc>
      </w:tr>
      <w:tr>
        <w:trPr>
          <w:trHeight w:val="5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1" w:right="2" w:hanging="9"/>
              <w:spacing w:before="128" w:line="246" w:lineRule="auto"/>
              <w:rPr/>
            </w:pPr>
            <w:r>
              <w:rPr>
                <w:spacing w:val="-5"/>
              </w:rPr>
              <w:t>(2)布图设计登</w:t>
            </w:r>
            <w:r>
              <w:rPr>
                <w:spacing w:val="6"/>
              </w:rPr>
              <w:t xml:space="preserve"> </w:t>
            </w:r>
            <w:r>
              <w:rPr>
                <w:spacing w:val="-1"/>
              </w:rPr>
              <w:t>记复审请求费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54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65" w:firstLine="40"/>
              <w:spacing w:before="100" w:line="258" w:lineRule="auto"/>
              <w:rPr/>
            </w:pPr>
            <w:r>
              <w:rPr/>
              <w:t>(3)著录事项</w:t>
            </w:r>
            <w:r>
              <w:rPr>
                <w:spacing w:val="3"/>
              </w:rPr>
              <w:t xml:space="preserve"> </w:t>
            </w:r>
            <w:r>
              <w:rPr>
                <w:spacing w:val="-1"/>
              </w:rPr>
              <w:t>变更手续费</w:t>
            </w:r>
          </w:p>
        </w:tc>
        <w:tc>
          <w:tcPr>
            <w:tcW w:w="958" w:type="dxa"/>
            <w:vAlign w:val="top"/>
          </w:tcPr>
          <w:p>
            <w:pPr>
              <w:rPr>
                <w:rFonts w:ascii="Arial"/>
                <w:sz w:val="21"/>
              </w:rPr>
            </w:pPr>
            <w:r/>
          </w:p>
        </w:tc>
        <w:tc>
          <w:tcPr>
            <w:tcW w:w="2691" w:type="dxa"/>
            <w:vAlign w:val="top"/>
          </w:tcPr>
          <w:p>
            <w:pPr>
              <w:rPr>
                <w:rFonts w:ascii="Arial"/>
                <w:sz w:val="21"/>
              </w:rPr>
            </w:pPr>
            <w:r/>
          </w:p>
        </w:tc>
      </w:tr>
      <w:tr>
        <w:trPr>
          <w:trHeight w:val="56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66" w:firstLine="40"/>
              <w:spacing w:before="122" w:line="239" w:lineRule="auto"/>
              <w:rPr/>
            </w:pPr>
            <w:r>
              <w:rPr/>
              <w:t>(4)延长期限</w:t>
            </w:r>
            <w:r>
              <w:rPr>
                <w:spacing w:val="2"/>
              </w:rPr>
              <w:t xml:space="preserve"> </w:t>
            </w:r>
            <w:r>
              <w:rPr>
                <w:spacing w:val="-2"/>
              </w:rPr>
              <w:t>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78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43" w:firstLine="40"/>
              <w:spacing w:before="102" w:line="258" w:lineRule="auto"/>
              <w:jc w:val="both"/>
              <w:rPr/>
            </w:pPr>
            <w:r>
              <w:rPr>
                <w:spacing w:val="1"/>
              </w:rPr>
              <w:t>(5)恢复布图</w:t>
            </w:r>
            <w:r>
              <w:rPr/>
              <w:t xml:space="preserve"> </w:t>
            </w:r>
            <w:r>
              <w:rPr>
                <w:spacing w:val="-2"/>
              </w:rPr>
              <w:t>设计登记权利</w:t>
            </w:r>
            <w:r>
              <w:rPr>
                <w:spacing w:val="2"/>
              </w:rPr>
              <w:t xml:space="preserve"> </w:t>
            </w:r>
            <w:r>
              <w:rPr>
                <w:spacing w:val="1"/>
              </w:rPr>
              <w:t>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7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ind w:left="22" w:right="42" w:firstLine="40"/>
              <w:spacing w:before="132" w:line="246" w:lineRule="auto"/>
              <w:jc w:val="both"/>
              <w:rPr/>
            </w:pPr>
            <w:r>
              <w:rPr/>
              <w:t>(6)非自愿许 </w:t>
            </w:r>
            <w:r>
              <w:rPr>
                <w:spacing w:val="-2"/>
              </w:rPr>
              <w:t>可使用布图设</w:t>
            </w:r>
            <w:r>
              <w:rPr>
                <w:spacing w:val="3"/>
              </w:rPr>
              <w:t xml:space="preserve"> </w:t>
            </w:r>
            <w:r>
              <w:rPr>
                <w:spacing w:val="1"/>
              </w:rPr>
              <w:t>计请求费</w:t>
            </w:r>
          </w:p>
        </w:tc>
        <w:tc>
          <w:tcPr>
            <w:tcW w:w="958" w:type="dxa"/>
            <w:vAlign w:val="top"/>
          </w:tcPr>
          <w:p>
            <w:pPr>
              <w:rPr>
                <w:rFonts w:ascii="Arial"/>
                <w:sz w:val="21"/>
              </w:rPr>
            </w:pPr>
            <w:r/>
          </w:p>
        </w:tc>
        <w:tc>
          <w:tcPr>
            <w:tcW w:w="2691" w:type="dxa"/>
            <w:vAlign w:val="top"/>
          </w:tcPr>
          <w:p>
            <w:pPr>
              <w:rPr>
                <w:rFonts w:ascii="Arial"/>
                <w:sz w:val="21"/>
              </w:rPr>
            </w:pPr>
            <w:r/>
          </w:p>
        </w:tc>
      </w:tr>
      <w:tr>
        <w:trPr>
          <w:trHeight w:val="43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rPr>
                <w:rFonts w:ascii="Arial"/>
                <w:sz w:val="21"/>
              </w:rPr>
            </w:pPr>
            <w:r/>
          </w:p>
        </w:tc>
        <w:tc>
          <w:tcPr>
            <w:tcW w:w="968" w:type="dxa"/>
            <w:vAlign w:val="top"/>
          </w:tcPr>
          <w:p>
            <w:pPr>
              <w:pStyle w:val="TableText"/>
              <w:spacing w:before="154" w:line="219" w:lineRule="auto"/>
              <w:jc w:val="right"/>
              <w:rPr/>
            </w:pPr>
            <w:r>
              <w:rPr>
                <w:spacing w:val="-5"/>
              </w:rPr>
              <w:t>(7)报酬裁决费</w:t>
            </w:r>
          </w:p>
        </w:tc>
        <w:tc>
          <w:tcPr>
            <w:tcW w:w="958" w:type="dxa"/>
            <w:vAlign w:val="top"/>
          </w:tcPr>
          <w:p>
            <w:pPr>
              <w:rPr>
                <w:rFonts w:ascii="Arial"/>
                <w:sz w:val="21"/>
              </w:rPr>
            </w:pPr>
            <w:r/>
          </w:p>
        </w:tc>
        <w:tc>
          <w:tcPr>
            <w:tcW w:w="2691" w:type="dxa"/>
            <w:vAlign w:val="top"/>
          </w:tcPr>
          <w:p>
            <w:pPr>
              <w:rPr>
                <w:rFonts w:ascii="Arial"/>
                <w:sz w:val="21"/>
              </w:rPr>
            </w:pPr>
            <w:r/>
          </w:p>
        </w:tc>
      </w:tr>
      <w:tr>
        <w:trPr>
          <w:trHeight w:val="330" w:hRule="atLeast"/>
        </w:trPr>
        <w:tc>
          <w:tcPr>
            <w:tcW w:w="384" w:type="dxa"/>
            <w:vAlign w:val="top"/>
          </w:tcPr>
          <w:p>
            <w:pPr>
              <w:pStyle w:val="TableText"/>
              <w:ind w:left="34"/>
              <w:spacing w:before="96" w:line="221" w:lineRule="auto"/>
              <w:rPr/>
            </w:pPr>
            <w:r>
              <w:rPr>
                <w:spacing w:val="-2"/>
              </w:rPr>
              <w:t>十七</w:t>
            </w:r>
          </w:p>
        </w:tc>
        <w:tc>
          <w:tcPr>
            <w:tcW w:w="5835" w:type="dxa"/>
            <w:vAlign w:val="top"/>
            <w:gridSpan w:val="5"/>
          </w:tcPr>
          <w:p>
            <w:pPr>
              <w:pStyle w:val="TableText"/>
              <w:ind w:left="70"/>
              <w:spacing w:before="94" w:line="219" w:lineRule="auto"/>
              <w:rPr/>
            </w:pPr>
            <w:r>
              <w:rPr>
                <w:spacing w:val="-2"/>
              </w:rPr>
              <w:t>银保监会</w:t>
            </w:r>
          </w:p>
        </w:tc>
      </w:tr>
      <w:tr>
        <w:trPr>
          <w:trHeight w:val="34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143" w:line="183" w:lineRule="auto"/>
              <w:rPr/>
            </w:pPr>
            <w:r>
              <w:rPr>
                <w:spacing w:val="-2"/>
              </w:rPr>
              <w:t>29</w:t>
            </w:r>
          </w:p>
        </w:tc>
        <w:tc>
          <w:tcPr>
            <w:tcW w:w="968" w:type="dxa"/>
            <w:vAlign w:val="top"/>
          </w:tcPr>
          <w:p>
            <w:pPr>
              <w:pStyle w:val="TableText"/>
              <w:ind w:left="22"/>
              <w:spacing w:before="105" w:line="219" w:lineRule="auto"/>
              <w:rPr/>
            </w:pPr>
            <w:r>
              <w:rPr>
                <w:spacing w:val="-1"/>
              </w:rPr>
              <w:t>银行业监管费</w:t>
            </w:r>
          </w:p>
        </w:tc>
        <w:tc>
          <w:tcPr>
            <w:tcW w:w="958" w:type="dxa"/>
            <w:vAlign w:val="top"/>
          </w:tcPr>
          <w:p>
            <w:pPr>
              <w:pStyle w:val="TableText"/>
              <w:ind w:left="24"/>
              <w:spacing w:before="105" w:line="219" w:lineRule="auto"/>
              <w:rPr/>
            </w:pPr>
            <w:r>
              <w:rPr>
                <w:spacing w:val="-1"/>
              </w:rPr>
              <w:t>缴入中央国库</w:t>
            </w:r>
          </w:p>
        </w:tc>
        <w:tc>
          <w:tcPr>
            <w:tcW w:w="2691" w:type="dxa"/>
            <w:vAlign w:val="top"/>
          </w:tcPr>
          <w:p>
            <w:pPr>
              <w:pStyle w:val="TableText"/>
              <w:ind w:left="66"/>
              <w:spacing w:before="105" w:line="220" w:lineRule="auto"/>
              <w:rPr/>
            </w:pPr>
            <w:r>
              <w:rPr>
                <w:spacing w:val="-1"/>
              </w:rPr>
              <w:t>财税〔2015〕21号，财税〔2017〕52号</w:t>
            </w:r>
          </w:p>
        </w:tc>
      </w:tr>
      <w:tr>
        <w:trPr>
          <w:trHeight w:val="340"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193" w:line="168" w:lineRule="auto"/>
              <w:rPr/>
            </w:pPr>
            <w:r>
              <w:rPr>
                <w:spacing w:val="-3"/>
              </w:rPr>
              <w:t>30</w:t>
            </w:r>
          </w:p>
        </w:tc>
        <w:tc>
          <w:tcPr>
            <w:tcW w:w="968" w:type="dxa"/>
            <w:vAlign w:val="top"/>
          </w:tcPr>
          <w:p>
            <w:pPr>
              <w:pStyle w:val="TableText"/>
              <w:ind w:left="22"/>
              <w:spacing w:before="155" w:line="215" w:lineRule="auto"/>
              <w:rPr/>
            </w:pPr>
            <w:r>
              <w:rPr>
                <w:spacing w:val="-1"/>
              </w:rPr>
              <w:t>保险业监管费</w:t>
            </w:r>
          </w:p>
        </w:tc>
        <w:tc>
          <w:tcPr>
            <w:tcW w:w="958" w:type="dxa"/>
            <w:vAlign w:val="top"/>
          </w:tcPr>
          <w:p>
            <w:pPr>
              <w:pStyle w:val="TableText"/>
              <w:ind w:left="24"/>
              <w:spacing w:before="155" w:line="215" w:lineRule="auto"/>
              <w:rPr/>
            </w:pPr>
            <w:r>
              <w:rPr>
                <w:spacing w:val="-1"/>
              </w:rPr>
              <w:t>缴入中央国库</w:t>
            </w:r>
          </w:p>
        </w:tc>
        <w:tc>
          <w:tcPr>
            <w:tcW w:w="2691" w:type="dxa"/>
            <w:vAlign w:val="top"/>
          </w:tcPr>
          <w:p>
            <w:pPr>
              <w:pStyle w:val="TableText"/>
              <w:ind w:left="66"/>
              <w:spacing w:before="145" w:line="220" w:lineRule="auto"/>
              <w:rPr/>
            </w:pPr>
            <w:r>
              <w:rPr>
                <w:spacing w:val="-1"/>
              </w:rPr>
              <w:t>财税〔2015〕22号，财税〔2017〕52号</w:t>
            </w:r>
          </w:p>
        </w:tc>
      </w:tr>
      <w:tr>
        <w:trPr>
          <w:trHeight w:val="360" w:hRule="atLeast"/>
        </w:trPr>
        <w:tc>
          <w:tcPr>
            <w:tcW w:w="384" w:type="dxa"/>
            <w:vAlign w:val="top"/>
          </w:tcPr>
          <w:p>
            <w:pPr>
              <w:pStyle w:val="TableText"/>
              <w:ind w:left="34"/>
              <w:spacing w:before="115" w:line="220" w:lineRule="auto"/>
              <w:rPr/>
            </w:pPr>
            <w:r>
              <w:rPr>
                <w:spacing w:val="-2"/>
              </w:rPr>
              <w:t>十八</w:t>
            </w:r>
          </w:p>
        </w:tc>
        <w:tc>
          <w:tcPr>
            <w:tcW w:w="5835" w:type="dxa"/>
            <w:vAlign w:val="top"/>
            <w:gridSpan w:val="5"/>
          </w:tcPr>
          <w:p>
            <w:pPr>
              <w:pStyle w:val="TableText"/>
              <w:ind w:left="70"/>
              <w:spacing w:before="114" w:line="219" w:lineRule="auto"/>
              <w:rPr/>
            </w:pPr>
            <w:r>
              <w:rPr>
                <w:spacing w:val="-2"/>
              </w:rPr>
              <w:t>证监会</w:t>
            </w:r>
          </w:p>
        </w:tc>
      </w:tr>
      <w:tr>
        <w:trPr>
          <w:trHeight w:val="779"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spacing w:line="312" w:lineRule="auto"/>
              <w:rPr>
                <w:rFonts w:ascii="Arial"/>
                <w:sz w:val="21"/>
              </w:rPr>
            </w:pPr>
            <w:r/>
          </w:p>
          <w:p>
            <w:pPr>
              <w:pStyle w:val="TableText"/>
              <w:ind w:left="251"/>
              <w:spacing w:before="49" w:line="184" w:lineRule="auto"/>
              <w:rPr/>
            </w:pPr>
            <w:r>
              <w:rPr>
                <w:spacing w:val="-3"/>
              </w:rPr>
              <w:t>31</w:t>
            </w:r>
          </w:p>
        </w:tc>
        <w:tc>
          <w:tcPr>
            <w:tcW w:w="968" w:type="dxa"/>
            <w:vAlign w:val="top"/>
          </w:tcPr>
          <w:p>
            <w:pPr>
              <w:pStyle w:val="TableText"/>
              <w:ind w:left="32" w:right="40" w:hanging="10"/>
              <w:spacing w:before="224" w:line="239" w:lineRule="auto"/>
              <w:rPr/>
            </w:pPr>
            <w:r>
              <w:rPr>
                <w:spacing w:val="-1"/>
              </w:rPr>
              <w:t>证券、期货业</w:t>
            </w:r>
            <w:r>
              <w:rPr/>
              <w:t xml:space="preserve"> </w:t>
            </w:r>
            <w:r>
              <w:rPr>
                <w:spacing w:val="-2"/>
              </w:rPr>
              <w:t>监管费</w:t>
            </w:r>
          </w:p>
        </w:tc>
        <w:tc>
          <w:tcPr>
            <w:tcW w:w="958" w:type="dxa"/>
            <w:vAlign w:val="top"/>
          </w:tcPr>
          <w:p>
            <w:pPr>
              <w:spacing w:line="274" w:lineRule="auto"/>
              <w:rPr>
                <w:rFonts w:ascii="Arial"/>
                <w:sz w:val="21"/>
              </w:rPr>
            </w:pPr>
            <w:r/>
          </w:p>
          <w:p>
            <w:pPr>
              <w:pStyle w:val="TableText"/>
              <w:ind w:left="24"/>
              <w:spacing w:before="49" w:line="219" w:lineRule="auto"/>
              <w:rPr/>
            </w:pPr>
            <w:r>
              <w:rPr>
                <w:spacing w:val="-1"/>
              </w:rPr>
              <w:t>缴入中央国库</w:t>
            </w:r>
          </w:p>
        </w:tc>
        <w:tc>
          <w:tcPr>
            <w:tcW w:w="2691" w:type="dxa"/>
            <w:vAlign w:val="top"/>
          </w:tcPr>
          <w:p>
            <w:pPr>
              <w:pStyle w:val="TableText"/>
              <w:ind w:left="31" w:firstLine="34"/>
              <w:spacing w:before="123" w:line="255" w:lineRule="auto"/>
              <w:jc w:val="both"/>
              <w:rPr/>
            </w:pPr>
            <w:r>
              <w:rPr>
                <w:spacing w:val="3"/>
              </w:rPr>
              <w:t>财税〔2015〕20号，发改价格〔20</w:t>
            </w:r>
            <w:r>
              <w:rPr>
                <w:spacing w:val="2"/>
              </w:rPr>
              <w:t>16〕</w:t>
            </w:r>
            <w:r>
              <w:rPr/>
              <w:t xml:space="preserve"> </w:t>
            </w:r>
            <w:r>
              <w:rPr>
                <w:spacing w:val="1"/>
              </w:rPr>
              <w:t>14号，财税〔2018〕37号，发改价格规</w:t>
            </w:r>
            <w:r>
              <w:rPr>
                <w:spacing w:val="4"/>
              </w:rPr>
              <w:t xml:space="preserve">  </w:t>
            </w:r>
            <w:r>
              <w:rPr>
                <w:spacing w:val="6"/>
              </w:rPr>
              <w:t>〔2018〕917号</w:t>
            </w:r>
          </w:p>
        </w:tc>
      </w:tr>
      <w:tr>
        <w:trPr>
          <w:trHeight w:val="340" w:hRule="atLeast"/>
        </w:trPr>
        <w:tc>
          <w:tcPr>
            <w:tcW w:w="384" w:type="dxa"/>
            <w:vAlign w:val="top"/>
          </w:tcPr>
          <w:p>
            <w:pPr>
              <w:pStyle w:val="TableText"/>
              <w:ind w:left="34"/>
              <w:spacing w:before="107" w:line="221" w:lineRule="auto"/>
              <w:rPr/>
            </w:pPr>
            <w:r>
              <w:rPr>
                <w:spacing w:val="-2"/>
              </w:rPr>
              <w:t>十九</w:t>
            </w:r>
          </w:p>
        </w:tc>
        <w:tc>
          <w:tcPr>
            <w:tcW w:w="5835" w:type="dxa"/>
            <w:vAlign w:val="top"/>
            <w:gridSpan w:val="5"/>
          </w:tcPr>
          <w:p>
            <w:pPr>
              <w:pStyle w:val="TableText"/>
              <w:ind w:left="70"/>
              <w:spacing w:before="106" w:line="219" w:lineRule="auto"/>
              <w:rPr/>
            </w:pPr>
            <w:r>
              <w:rPr>
                <w:spacing w:val="4"/>
              </w:rPr>
              <w:t>仲裁部门</w:t>
            </w:r>
          </w:p>
        </w:tc>
      </w:tr>
      <w:tr>
        <w:trPr>
          <w:trHeight w:val="564" w:hRule="atLeast"/>
        </w:trPr>
        <w:tc>
          <w:tcPr>
            <w:tcW w:w="384" w:type="dxa"/>
            <w:vAlign w:val="top"/>
          </w:tcPr>
          <w:p>
            <w:pPr>
              <w:rPr>
                <w:rFonts w:ascii="Arial"/>
                <w:sz w:val="21"/>
              </w:rPr>
            </w:pPr>
            <w:r/>
          </w:p>
        </w:tc>
        <w:tc>
          <w:tcPr>
            <w:tcW w:w="539" w:type="dxa"/>
            <w:vAlign w:val="top"/>
          </w:tcPr>
          <w:p>
            <w:pPr>
              <w:rPr>
                <w:rFonts w:ascii="Arial"/>
                <w:sz w:val="21"/>
              </w:rPr>
            </w:pPr>
            <w:r/>
          </w:p>
        </w:tc>
        <w:tc>
          <w:tcPr>
            <w:tcW w:w="679" w:type="dxa"/>
            <w:vAlign w:val="top"/>
          </w:tcPr>
          <w:p>
            <w:pPr>
              <w:pStyle w:val="TableText"/>
              <w:ind w:left="251"/>
              <w:spacing w:before="254" w:line="183" w:lineRule="auto"/>
              <w:rPr/>
            </w:pPr>
            <w:r>
              <w:rPr>
                <w:spacing w:val="-3"/>
              </w:rPr>
              <w:t>32</w:t>
            </w:r>
          </w:p>
        </w:tc>
        <w:tc>
          <w:tcPr>
            <w:tcW w:w="968" w:type="dxa"/>
            <w:vAlign w:val="top"/>
          </w:tcPr>
          <w:p>
            <w:pPr>
              <w:pStyle w:val="TableText"/>
              <w:ind w:left="32"/>
              <w:spacing w:before="216" w:line="219" w:lineRule="auto"/>
              <w:rPr/>
            </w:pPr>
            <w:r>
              <w:rPr>
                <w:spacing w:val="-1"/>
              </w:rPr>
              <w:t>仲裁收费</w:t>
            </w:r>
          </w:p>
        </w:tc>
        <w:tc>
          <w:tcPr>
            <w:tcW w:w="958" w:type="dxa"/>
            <w:vAlign w:val="top"/>
          </w:tcPr>
          <w:p>
            <w:pPr>
              <w:pStyle w:val="TableText"/>
              <w:ind w:left="24"/>
              <w:spacing w:before="216" w:line="219" w:lineRule="auto"/>
              <w:rPr/>
            </w:pPr>
            <w:r>
              <w:rPr>
                <w:spacing w:val="-1"/>
              </w:rPr>
              <w:t>缴入地方国库</w:t>
            </w:r>
          </w:p>
        </w:tc>
        <w:tc>
          <w:tcPr>
            <w:tcW w:w="2691" w:type="dxa"/>
            <w:vAlign w:val="top"/>
          </w:tcPr>
          <w:p>
            <w:pPr>
              <w:pStyle w:val="TableText"/>
              <w:ind w:left="36" w:right="159" w:firstLine="25"/>
              <w:spacing w:before="133" w:line="235" w:lineRule="auto"/>
              <w:rPr/>
            </w:pPr>
            <w:r>
              <w:rPr>
                <w:spacing w:val="-1"/>
              </w:rPr>
              <w:t>《仲裁法》,财综〔2010〕19号，国办</w:t>
            </w:r>
            <w:r>
              <w:rPr>
                <w:spacing w:val="3"/>
              </w:rPr>
              <w:t xml:space="preserve"> </w:t>
            </w:r>
            <w:r>
              <w:rPr>
                <w:spacing w:val="-1"/>
              </w:rPr>
              <w:t>发〔1995〕44号</w:t>
            </w:r>
          </w:p>
        </w:tc>
      </w:tr>
    </w:tbl>
    <w:p>
      <w:pPr>
        <w:pStyle w:val="BodyText"/>
        <w:spacing w:line="222" w:lineRule="exact"/>
        <w:rPr>
          <w:sz w:val="19"/>
        </w:rPr>
      </w:pPr>
      <w:r/>
    </w:p>
    <w:p>
      <w:pPr>
        <w:spacing w:line="222" w:lineRule="exact"/>
        <w:sectPr>
          <w:footerReference w:type="default" r:id="rId57"/>
          <w:pgSz w:w="8220" w:h="11910"/>
          <w:pgMar w:top="400" w:right="1004" w:bottom="942" w:left="979" w:header="0" w:footer="783" w:gutter="0"/>
        </w:sectPr>
        <w:rPr>
          <w:sz w:val="19"/>
          <w:szCs w:val="19"/>
        </w:rPr>
      </w:pPr>
    </w:p>
    <w:p>
      <w:pPr>
        <w:pStyle w:val="BodyText"/>
        <w:spacing w:line="433" w:lineRule="auto"/>
        <w:rPr/>
      </w:pPr>
      <w:r>
        <mc:AlternateContent xmlns:mc="http://schemas.openxmlformats.org/markup-compatibility/2006">
          <mc:Choice Requires="wps">
            <w:drawing>
              <wp:anchor distT="0" distB="0" distL="0" distR="0" simplePos="0" relativeHeight="251932672"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366" name="TextBox 366"/>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271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8" style="position:absolute;margin-left:37.0562pt;margin-top:345.119pt;mso-position-vertical-relative:page;mso-position-horizontal-relative:page;width:13.6pt;height:12.4pt;z-index:25193267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271</w:t>
                      </w:r>
                    </w:p>
                  </w:txbxContent>
                </v:textbox>
              </v:shape>
            </w:pict>
          </mc:Fallback>
        </mc:AlternateContent>
      </w:r>
      <w:r/>
    </w:p>
    <w:p>
      <w:pPr>
        <w:ind w:left="2092"/>
        <w:spacing w:before="78" w:line="221" w:lineRule="auto"/>
        <w:rPr>
          <w:rFonts w:ascii="SimHei" w:hAnsi="SimHei" w:eastAsia="SimHei" w:cs="SimHei"/>
          <w:sz w:val="24"/>
          <w:szCs w:val="24"/>
        </w:rPr>
      </w:pPr>
      <w:r>
        <w:rPr>
          <w:rFonts w:ascii="SimHei" w:hAnsi="SimHei" w:eastAsia="SimHei" w:cs="SimHei"/>
          <w:sz w:val="24"/>
          <w:szCs w:val="24"/>
          <w:b/>
          <w:bCs/>
          <w:spacing w:val="7"/>
        </w:rPr>
        <w:t>附录四：政府定价的经营服务性收费目录清单(2023版)</w:t>
      </w:r>
    </w:p>
    <w:p>
      <w:pPr>
        <w:ind w:left="4168"/>
        <w:spacing w:before="44" w:line="225" w:lineRule="auto"/>
        <w:rPr>
          <w:rFonts w:ascii="KaiTi" w:hAnsi="KaiTi" w:eastAsia="KaiTi" w:cs="KaiTi"/>
          <w:sz w:val="19"/>
          <w:szCs w:val="19"/>
        </w:rPr>
      </w:pPr>
      <w:r>
        <w:rPr>
          <w:rFonts w:ascii="KaiTi" w:hAnsi="KaiTi" w:eastAsia="KaiTi" w:cs="KaiTi"/>
          <w:sz w:val="19"/>
          <w:szCs w:val="19"/>
          <w:spacing w:val="10"/>
        </w:rPr>
        <w:t>(2023年1月13日发布)</w:t>
      </w:r>
    </w:p>
    <w:p>
      <w:pPr>
        <w:spacing w:line="81" w:lineRule="auto"/>
        <w:rPr>
          <w:rFonts w:ascii="Arial"/>
          <w:sz w:val="2"/>
        </w:rPr>
      </w:pPr>
      <w:r>
        <w:rPr>
          <w:rFonts w:ascii="Arial"/>
          <w:sz w:val="2"/>
        </w:r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849"/>
        <w:gridCol w:w="849"/>
        <w:gridCol w:w="3386"/>
        <w:gridCol w:w="799"/>
        <w:gridCol w:w="679"/>
        <w:gridCol w:w="669"/>
        <w:gridCol w:w="390"/>
        <w:gridCol w:w="510"/>
        <w:gridCol w:w="519"/>
        <w:gridCol w:w="694"/>
      </w:tblGrid>
      <w:tr>
        <w:trPr>
          <w:trHeight w:val="683" w:hRule="atLeast"/>
        </w:trPr>
        <w:tc>
          <w:tcPr>
            <w:tcW w:w="295" w:type="dxa"/>
            <w:vAlign w:val="top"/>
            <w:textDirection w:val="tbRlV"/>
          </w:tcPr>
          <w:p>
            <w:pPr>
              <w:pStyle w:val="TableText"/>
              <w:ind w:left="166"/>
              <w:spacing w:before="70" w:line="216" w:lineRule="auto"/>
              <w:rPr>
                <w:sz w:val="16"/>
                <w:szCs w:val="16"/>
              </w:rPr>
            </w:pPr>
            <w:r>
              <w:rPr>
                <w:sz w:val="16"/>
                <w:szCs w:val="16"/>
              </w:rPr>
              <w:t>类型</w:t>
            </w:r>
          </w:p>
        </w:tc>
        <w:tc>
          <w:tcPr>
            <w:tcW w:w="849" w:type="dxa"/>
            <w:vAlign w:val="top"/>
          </w:tcPr>
          <w:p>
            <w:pPr>
              <w:pStyle w:val="TableText"/>
              <w:ind w:left="89"/>
              <w:spacing w:before="262" w:line="220" w:lineRule="auto"/>
              <w:rPr>
                <w:sz w:val="16"/>
                <w:szCs w:val="16"/>
              </w:rPr>
            </w:pPr>
            <w:r>
              <w:rPr>
                <w:sz w:val="16"/>
                <w:szCs w:val="16"/>
                <w:spacing w:val="7"/>
              </w:rPr>
              <w:t>一级项目</w:t>
            </w:r>
          </w:p>
        </w:tc>
        <w:tc>
          <w:tcPr>
            <w:tcW w:w="849" w:type="dxa"/>
            <w:vAlign w:val="top"/>
          </w:tcPr>
          <w:p>
            <w:pPr>
              <w:pStyle w:val="TableText"/>
              <w:ind w:left="90"/>
              <w:spacing w:before="262" w:line="220" w:lineRule="auto"/>
              <w:rPr>
                <w:sz w:val="16"/>
                <w:szCs w:val="16"/>
              </w:rPr>
            </w:pPr>
            <w:r>
              <w:rPr>
                <w:sz w:val="16"/>
                <w:szCs w:val="16"/>
                <w:spacing w:val="7"/>
              </w:rPr>
              <w:t>二级项目</w:t>
            </w:r>
          </w:p>
        </w:tc>
        <w:tc>
          <w:tcPr>
            <w:tcW w:w="3386" w:type="dxa"/>
            <w:vAlign w:val="top"/>
          </w:tcPr>
          <w:p>
            <w:pPr>
              <w:pStyle w:val="TableText"/>
              <w:ind w:left="1391"/>
              <w:spacing w:before="261" w:line="219" w:lineRule="auto"/>
              <w:rPr>
                <w:sz w:val="16"/>
                <w:szCs w:val="16"/>
              </w:rPr>
            </w:pPr>
            <w:r>
              <w:rPr>
                <w:sz w:val="16"/>
                <w:szCs w:val="16"/>
                <w:spacing w:val="-3"/>
              </w:rPr>
              <w:t>收费标准</w:t>
            </w:r>
          </w:p>
        </w:tc>
        <w:tc>
          <w:tcPr>
            <w:tcW w:w="799" w:type="dxa"/>
            <w:vAlign w:val="top"/>
          </w:tcPr>
          <w:p>
            <w:pPr>
              <w:pStyle w:val="TableText"/>
              <w:ind w:left="155" w:right="84" w:hanging="79"/>
              <w:spacing w:before="161" w:line="238" w:lineRule="auto"/>
              <w:rPr>
                <w:sz w:val="16"/>
                <w:szCs w:val="16"/>
              </w:rPr>
            </w:pPr>
            <w:r>
              <w:rPr>
                <w:sz w:val="16"/>
                <w:szCs w:val="16"/>
                <w:spacing w:val="-3"/>
              </w:rPr>
              <w:t>收费文件</w:t>
            </w:r>
            <w:r>
              <w:rPr>
                <w:sz w:val="16"/>
                <w:szCs w:val="16"/>
              </w:rPr>
              <w:t xml:space="preserve"> </w:t>
            </w:r>
            <w:r>
              <w:rPr>
                <w:sz w:val="16"/>
                <w:szCs w:val="16"/>
                <w:spacing w:val="8"/>
              </w:rPr>
              <w:t>(文号)</w:t>
            </w:r>
          </w:p>
        </w:tc>
        <w:tc>
          <w:tcPr>
            <w:tcW w:w="679" w:type="dxa"/>
            <w:vAlign w:val="top"/>
          </w:tcPr>
          <w:p>
            <w:pPr>
              <w:pStyle w:val="TableText"/>
              <w:spacing w:before="260" w:line="218" w:lineRule="auto"/>
              <w:jc w:val="right"/>
              <w:rPr>
                <w:sz w:val="16"/>
                <w:szCs w:val="16"/>
              </w:rPr>
            </w:pPr>
            <w:r>
              <w:rPr>
                <w:sz w:val="16"/>
                <w:szCs w:val="16"/>
                <w:spacing w:val="-2"/>
              </w:rPr>
              <w:t>定价部门</w:t>
            </w:r>
          </w:p>
        </w:tc>
        <w:tc>
          <w:tcPr>
            <w:tcW w:w="669" w:type="dxa"/>
            <w:vAlign w:val="top"/>
          </w:tcPr>
          <w:p>
            <w:pPr>
              <w:pStyle w:val="TableText"/>
              <w:ind w:left="167" w:right="19" w:hanging="160"/>
              <w:spacing w:before="171" w:line="231" w:lineRule="auto"/>
              <w:rPr>
                <w:sz w:val="16"/>
                <w:szCs w:val="16"/>
              </w:rPr>
            </w:pPr>
            <w:r>
              <w:rPr>
                <w:sz w:val="16"/>
                <w:szCs w:val="16"/>
                <w:spacing w:val="-3"/>
              </w:rPr>
              <w:t>行业主管</w:t>
            </w:r>
            <w:r>
              <w:rPr>
                <w:sz w:val="16"/>
                <w:szCs w:val="16"/>
                <w:spacing w:val="2"/>
              </w:rPr>
              <w:t xml:space="preserve"> </w:t>
            </w:r>
            <w:r>
              <w:rPr>
                <w:sz w:val="16"/>
                <w:szCs w:val="16"/>
                <w:spacing w:val="9"/>
              </w:rPr>
              <w:t>部门</w:t>
            </w:r>
          </w:p>
        </w:tc>
        <w:tc>
          <w:tcPr>
            <w:tcW w:w="390" w:type="dxa"/>
            <w:vAlign w:val="top"/>
          </w:tcPr>
          <w:p>
            <w:pPr>
              <w:pStyle w:val="TableText"/>
              <w:ind w:left="28" w:right="19"/>
              <w:spacing w:before="161" w:line="238" w:lineRule="auto"/>
              <w:rPr>
                <w:sz w:val="16"/>
                <w:szCs w:val="16"/>
              </w:rPr>
            </w:pPr>
            <w:r>
              <w:rPr>
                <w:sz w:val="16"/>
                <w:szCs w:val="16"/>
                <w:spacing w:val="5"/>
              </w:rPr>
              <w:t>是否</w:t>
            </w:r>
            <w:r>
              <w:rPr>
                <w:sz w:val="16"/>
                <w:szCs w:val="16"/>
              </w:rPr>
              <w:t xml:space="preserve"> </w:t>
            </w:r>
            <w:r>
              <w:rPr>
                <w:sz w:val="16"/>
                <w:szCs w:val="16"/>
                <w:spacing w:val="-2"/>
              </w:rPr>
              <w:t>涉企</w:t>
            </w:r>
          </w:p>
        </w:tc>
        <w:tc>
          <w:tcPr>
            <w:tcW w:w="510" w:type="dxa"/>
            <w:vAlign w:val="top"/>
          </w:tcPr>
          <w:p>
            <w:pPr>
              <w:pStyle w:val="TableText"/>
              <w:ind w:left="9" w:right="16"/>
              <w:spacing w:before="41" w:line="243" w:lineRule="auto"/>
              <w:jc w:val="both"/>
              <w:rPr>
                <w:sz w:val="16"/>
                <w:szCs w:val="16"/>
              </w:rPr>
            </w:pPr>
            <w:r>
              <w:rPr>
                <w:sz w:val="16"/>
                <w:szCs w:val="16"/>
                <w:spacing w:val="-3"/>
              </w:rPr>
              <w:t>是否行</w:t>
            </w:r>
            <w:r>
              <w:rPr>
                <w:sz w:val="16"/>
                <w:szCs w:val="16"/>
              </w:rPr>
              <w:t xml:space="preserve"> </w:t>
            </w:r>
            <w:r>
              <w:rPr>
                <w:sz w:val="16"/>
                <w:szCs w:val="16"/>
                <w:spacing w:val="-2"/>
              </w:rPr>
              <w:t>政审批</w:t>
            </w:r>
            <w:r>
              <w:rPr>
                <w:sz w:val="16"/>
                <w:szCs w:val="16"/>
              </w:rPr>
              <w:t xml:space="preserve"> </w:t>
            </w:r>
            <w:r>
              <w:rPr>
                <w:sz w:val="16"/>
                <w:szCs w:val="16"/>
                <w:spacing w:val="35"/>
              </w:rPr>
              <w:t>前置</w:t>
            </w:r>
          </w:p>
        </w:tc>
        <w:tc>
          <w:tcPr>
            <w:tcW w:w="519" w:type="dxa"/>
            <w:vAlign w:val="top"/>
          </w:tcPr>
          <w:p>
            <w:pPr>
              <w:pStyle w:val="TableText"/>
              <w:ind w:left="19"/>
              <w:spacing w:before="61" w:line="235" w:lineRule="auto"/>
              <w:jc w:val="both"/>
              <w:rPr>
                <w:sz w:val="16"/>
                <w:szCs w:val="16"/>
              </w:rPr>
            </w:pPr>
            <w:r>
              <w:rPr>
                <w:sz w:val="16"/>
                <w:szCs w:val="16"/>
                <w:spacing w:val="-8"/>
              </w:rPr>
              <w:t>是否涉</w:t>
            </w:r>
            <w:r>
              <w:rPr>
                <w:sz w:val="16"/>
                <w:szCs w:val="16"/>
                <w:spacing w:val="1"/>
              </w:rPr>
              <w:t xml:space="preserve"> </w:t>
            </w:r>
            <w:r>
              <w:rPr>
                <w:sz w:val="16"/>
                <w:szCs w:val="16"/>
                <w:spacing w:val="3"/>
              </w:rPr>
              <w:t>进出口</w:t>
            </w:r>
            <w:r>
              <w:rPr>
                <w:sz w:val="16"/>
                <w:szCs w:val="16"/>
              </w:rPr>
              <w:t xml:space="preserve"> </w:t>
            </w:r>
            <w:r>
              <w:rPr>
                <w:sz w:val="16"/>
                <w:szCs w:val="16"/>
                <w:spacing w:val="31"/>
              </w:rPr>
              <w:t>环节</w:t>
            </w:r>
          </w:p>
        </w:tc>
        <w:tc>
          <w:tcPr>
            <w:tcW w:w="694" w:type="dxa"/>
            <w:vAlign w:val="top"/>
          </w:tcPr>
          <w:p>
            <w:pPr>
              <w:pStyle w:val="TableText"/>
              <w:ind w:left="199"/>
              <w:spacing w:before="262" w:line="221" w:lineRule="auto"/>
              <w:rPr>
                <w:sz w:val="16"/>
                <w:szCs w:val="16"/>
              </w:rPr>
            </w:pPr>
            <w:r>
              <w:rPr>
                <w:sz w:val="16"/>
                <w:szCs w:val="16"/>
                <w:spacing w:val="-3"/>
              </w:rPr>
              <w:t>备注</w:t>
            </w:r>
          </w:p>
        </w:tc>
      </w:tr>
      <w:tr>
        <w:trPr>
          <w:trHeight w:val="3334" w:hRule="atLeast"/>
        </w:trPr>
        <w:tc>
          <w:tcPr>
            <w:tcW w:w="295" w:type="dxa"/>
            <w:vAlign w:val="top"/>
            <w:vMerge w:val="restart"/>
            <w:tcBorders>
              <w:bottom w:val="nil"/>
            </w:tcBorders>
          </w:tcPr>
          <w:p>
            <w:pPr>
              <w:rPr>
                <w:rFonts w:ascii="Arial"/>
                <w:sz w:val="21"/>
              </w:rPr>
            </w:pPr>
            <w:r/>
          </w:p>
        </w:tc>
        <w:tc>
          <w:tcPr>
            <w:tcW w:w="849"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0" w:right="37"/>
              <w:spacing w:before="52" w:line="245" w:lineRule="auto"/>
              <w:jc w:val="both"/>
              <w:rPr>
                <w:sz w:val="16"/>
                <w:szCs w:val="16"/>
              </w:rPr>
            </w:pPr>
            <w:r>
              <w:rPr>
                <w:sz w:val="16"/>
                <w:szCs w:val="16"/>
                <w:spacing w:val="-4"/>
              </w:rPr>
              <w:t>一、商业银</w:t>
            </w:r>
            <w:r>
              <w:rPr>
                <w:sz w:val="16"/>
                <w:szCs w:val="16"/>
                <w:spacing w:val="3"/>
              </w:rPr>
              <w:t xml:space="preserve"> </w:t>
            </w:r>
            <w:r>
              <w:rPr>
                <w:sz w:val="16"/>
                <w:szCs w:val="16"/>
                <w:spacing w:val="-2"/>
              </w:rPr>
              <w:t>行基础服务</w:t>
            </w:r>
            <w:r>
              <w:rPr>
                <w:sz w:val="16"/>
                <w:szCs w:val="16"/>
              </w:rPr>
              <w:t xml:space="preserve"> </w:t>
            </w:r>
            <w:r>
              <w:rPr>
                <w:sz w:val="16"/>
                <w:szCs w:val="16"/>
                <w:spacing w:val="-3"/>
              </w:rPr>
              <w:t>收费、银行</w:t>
            </w:r>
            <w:r>
              <w:rPr>
                <w:sz w:val="16"/>
                <w:szCs w:val="16"/>
                <w:spacing w:val="2"/>
              </w:rPr>
              <w:t xml:space="preserve"> </w:t>
            </w:r>
            <w:r>
              <w:rPr>
                <w:sz w:val="16"/>
                <w:szCs w:val="16"/>
                <w:spacing w:val="-2"/>
              </w:rPr>
              <w:t>卡刷卡手续</w:t>
            </w:r>
            <w:r>
              <w:rPr>
                <w:sz w:val="16"/>
                <w:szCs w:val="16"/>
              </w:rPr>
              <w:t xml:space="preserve"> </w:t>
            </w:r>
            <w:r>
              <w:rPr>
                <w:sz w:val="16"/>
                <w:szCs w:val="16"/>
              </w:rPr>
              <w:t>费</w:t>
            </w:r>
          </w:p>
        </w:tc>
        <w:tc>
          <w:tcPr>
            <w:tcW w:w="849"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 w:right="34" w:firstLine="79"/>
              <w:spacing w:before="52" w:line="234" w:lineRule="auto"/>
              <w:jc w:val="both"/>
              <w:rPr>
                <w:sz w:val="16"/>
                <w:szCs w:val="16"/>
              </w:rPr>
            </w:pPr>
            <w:r>
              <w:rPr>
                <w:sz w:val="16"/>
                <w:szCs w:val="16"/>
                <w:spacing w:val="1"/>
              </w:rPr>
              <w:t>(一)商业</w:t>
            </w:r>
            <w:r>
              <w:rPr>
                <w:sz w:val="16"/>
                <w:szCs w:val="16"/>
              </w:rPr>
              <w:t xml:space="preserve">  </w:t>
            </w:r>
            <w:r>
              <w:rPr>
                <w:sz w:val="16"/>
                <w:szCs w:val="16"/>
                <w:spacing w:val="-2"/>
              </w:rPr>
              <w:t>银行基础服</w:t>
            </w:r>
            <w:r>
              <w:rPr>
                <w:sz w:val="16"/>
                <w:szCs w:val="16"/>
                <w:spacing w:val="2"/>
              </w:rPr>
              <w:t xml:space="preserve"> </w:t>
            </w:r>
            <w:r>
              <w:rPr>
                <w:sz w:val="16"/>
                <w:szCs w:val="16"/>
                <w:spacing w:val="-2"/>
              </w:rPr>
              <w:t>务费</w:t>
            </w:r>
          </w:p>
        </w:tc>
        <w:tc>
          <w:tcPr>
            <w:tcW w:w="3386" w:type="dxa"/>
            <w:vAlign w:val="top"/>
          </w:tcPr>
          <w:p>
            <w:pPr>
              <w:pStyle w:val="TableText"/>
              <w:ind w:left="21"/>
              <w:spacing w:before="88" w:line="219" w:lineRule="auto"/>
              <w:rPr>
                <w:sz w:val="16"/>
                <w:szCs w:val="16"/>
              </w:rPr>
            </w:pPr>
            <w:r>
              <w:rPr>
                <w:sz w:val="16"/>
                <w:szCs w:val="16"/>
              </w:rPr>
              <w:t>1.个人跨行柜台转账汇款手续费</w:t>
            </w:r>
          </w:p>
          <w:p>
            <w:pPr>
              <w:pStyle w:val="TableText"/>
              <w:ind w:left="21"/>
              <w:spacing w:before="27" w:line="216" w:lineRule="auto"/>
              <w:rPr>
                <w:sz w:val="16"/>
                <w:szCs w:val="16"/>
              </w:rPr>
            </w:pPr>
            <w:r>
              <w:rPr>
                <w:sz w:val="16"/>
                <w:szCs w:val="16"/>
                <w:spacing w:val="-1"/>
              </w:rPr>
              <w:t>每笔0.2万元以下(含0.2万元),收费不超过2元</w:t>
            </w:r>
          </w:p>
          <w:p>
            <w:pPr>
              <w:pStyle w:val="TableText"/>
              <w:ind w:left="21" w:right="641"/>
              <w:spacing w:before="32" w:line="235" w:lineRule="auto"/>
              <w:rPr>
                <w:sz w:val="16"/>
                <w:szCs w:val="16"/>
              </w:rPr>
            </w:pPr>
            <w:r>
              <w:rPr>
                <w:sz w:val="16"/>
                <w:szCs w:val="16"/>
                <w:spacing w:val="-1"/>
              </w:rPr>
              <w:t>0.2万~0.5万元(含0.5万元),不超过5元</w:t>
            </w:r>
            <w:r>
              <w:rPr>
                <w:sz w:val="16"/>
                <w:szCs w:val="16"/>
                <w:spacing w:val="15"/>
              </w:rPr>
              <w:t xml:space="preserve"> </w:t>
            </w:r>
            <w:r>
              <w:rPr>
                <w:sz w:val="16"/>
                <w:szCs w:val="16"/>
                <w:spacing w:val="-1"/>
              </w:rPr>
              <w:t>0.5万~1万元(含1万元),不超过10元</w:t>
            </w:r>
          </w:p>
          <w:p>
            <w:pPr>
              <w:pStyle w:val="TableText"/>
              <w:ind w:left="21"/>
              <w:spacing w:before="33" w:line="216" w:lineRule="auto"/>
              <w:rPr>
                <w:sz w:val="16"/>
                <w:szCs w:val="16"/>
              </w:rPr>
            </w:pPr>
            <w:r>
              <w:rPr>
                <w:sz w:val="16"/>
                <w:szCs w:val="16"/>
              </w:rPr>
              <w:t>1万~5万元(含5万元),不超过15元</w:t>
            </w:r>
          </w:p>
          <w:p>
            <w:pPr>
              <w:pStyle w:val="TableText"/>
              <w:ind w:left="21" w:right="563"/>
              <w:spacing w:before="23" w:line="244" w:lineRule="auto"/>
              <w:rPr>
                <w:sz w:val="16"/>
                <w:szCs w:val="16"/>
              </w:rPr>
            </w:pPr>
            <w:r>
              <w:rPr>
                <w:sz w:val="16"/>
                <w:szCs w:val="16"/>
                <w:spacing w:val="-1"/>
              </w:rPr>
              <w:t>5万元以上，不超过0.03%,最高收费50元</w:t>
            </w:r>
            <w:r>
              <w:rPr>
                <w:sz w:val="16"/>
                <w:szCs w:val="16"/>
                <w:spacing w:val="11"/>
              </w:rPr>
              <w:t xml:space="preserve"> </w:t>
            </w:r>
            <w:r>
              <w:rPr>
                <w:sz w:val="16"/>
                <w:szCs w:val="16"/>
                <w:spacing w:val="-1"/>
              </w:rPr>
              <w:t>2.对公跨行柜台转账汇款手续费</w:t>
            </w:r>
          </w:p>
          <w:p>
            <w:pPr>
              <w:pStyle w:val="TableText"/>
              <w:ind w:left="21"/>
              <w:spacing w:before="26" w:line="216" w:lineRule="auto"/>
              <w:rPr>
                <w:sz w:val="16"/>
                <w:szCs w:val="16"/>
              </w:rPr>
            </w:pPr>
            <w:r>
              <w:rPr>
                <w:sz w:val="16"/>
                <w:szCs w:val="16"/>
                <w:spacing w:val="-1"/>
              </w:rPr>
              <w:t>每笔1万元以下(含1万元),收费不超过5元</w:t>
            </w:r>
          </w:p>
          <w:p>
            <w:pPr>
              <w:pStyle w:val="TableText"/>
              <w:ind w:left="21"/>
              <w:spacing w:before="33" w:line="216" w:lineRule="auto"/>
              <w:rPr>
                <w:sz w:val="16"/>
                <w:szCs w:val="16"/>
              </w:rPr>
            </w:pPr>
            <w:r>
              <w:rPr>
                <w:sz w:val="16"/>
                <w:szCs w:val="16"/>
              </w:rPr>
              <w:t>1万~10万元(含10万元),不超过10元</w:t>
            </w:r>
          </w:p>
          <w:p>
            <w:pPr>
              <w:pStyle w:val="TableText"/>
              <w:ind w:left="21" w:right="554"/>
              <w:spacing w:before="33" w:line="235" w:lineRule="auto"/>
              <w:rPr>
                <w:sz w:val="16"/>
                <w:szCs w:val="16"/>
              </w:rPr>
            </w:pPr>
            <w:r>
              <w:rPr>
                <w:sz w:val="16"/>
                <w:szCs w:val="16"/>
                <w:spacing w:val="3"/>
              </w:rPr>
              <w:t>10万~50万元(含50万元),不超过15元；</w:t>
            </w:r>
            <w:r>
              <w:rPr>
                <w:sz w:val="16"/>
                <w:szCs w:val="16"/>
                <w:spacing w:val="9"/>
              </w:rPr>
              <w:t xml:space="preserve"> </w:t>
            </w:r>
            <w:r>
              <w:rPr>
                <w:sz w:val="16"/>
                <w:szCs w:val="16"/>
                <w:spacing w:val="-1"/>
              </w:rPr>
              <w:t>50万~100万元(含100万元),不超过20元</w:t>
            </w:r>
          </w:p>
          <w:p>
            <w:pPr>
              <w:pStyle w:val="TableText"/>
              <w:ind w:left="21"/>
              <w:spacing w:before="33" w:line="216" w:lineRule="auto"/>
              <w:rPr>
                <w:sz w:val="16"/>
                <w:szCs w:val="16"/>
              </w:rPr>
            </w:pPr>
            <w:r>
              <w:rPr>
                <w:sz w:val="16"/>
                <w:szCs w:val="16"/>
              </w:rPr>
              <w:t>100万元以上，不超过0.002%,最高收费200元</w:t>
            </w:r>
          </w:p>
          <w:p>
            <w:pPr>
              <w:pStyle w:val="TableText"/>
              <w:ind w:left="21"/>
              <w:spacing w:before="34" w:line="234" w:lineRule="auto"/>
              <w:rPr>
                <w:sz w:val="16"/>
                <w:szCs w:val="16"/>
              </w:rPr>
            </w:pPr>
            <w:r>
              <w:rPr>
                <w:sz w:val="16"/>
                <w:szCs w:val="16"/>
                <w:spacing w:val="-1"/>
              </w:rPr>
              <w:t>3.个人现金汇款手续费：每笔不超过汇款金额的</w:t>
            </w:r>
            <w:r>
              <w:rPr>
                <w:sz w:val="16"/>
                <w:szCs w:val="16"/>
                <w:spacing w:val="15"/>
              </w:rPr>
              <w:t xml:space="preserve"> </w:t>
            </w:r>
            <w:r>
              <w:rPr>
                <w:sz w:val="16"/>
                <w:szCs w:val="16"/>
                <w:spacing w:val="-1"/>
              </w:rPr>
              <w:t>0.5%,最高收费50元。</w:t>
            </w:r>
          </w:p>
          <w:p>
            <w:pPr>
              <w:pStyle w:val="TableText"/>
              <w:ind w:left="21"/>
              <w:spacing w:before="25" w:line="191" w:lineRule="auto"/>
              <w:rPr>
                <w:sz w:val="16"/>
                <w:szCs w:val="16"/>
              </w:rPr>
            </w:pPr>
            <w:r>
              <w:rPr>
                <w:sz w:val="16"/>
                <w:szCs w:val="16"/>
              </w:rPr>
              <w:t>4.支票手续费：每笔不超过1元。</w:t>
            </w:r>
          </w:p>
        </w:tc>
        <w:tc>
          <w:tcPr>
            <w:tcW w:w="799" w:type="dxa"/>
            <w:vAlign w:val="top"/>
          </w:tcPr>
          <w:p>
            <w:pPr>
              <w:pStyle w:val="TableText"/>
              <w:ind w:right="81" w:firstLine="79"/>
              <w:spacing w:before="77" w:line="247" w:lineRule="auto"/>
              <w:rPr>
                <w:sz w:val="16"/>
                <w:szCs w:val="16"/>
              </w:rPr>
            </w:pPr>
            <w:r>
              <w:rPr>
                <w:sz w:val="16"/>
                <w:szCs w:val="16"/>
                <w:spacing w:val="-4"/>
              </w:rPr>
              <w:t>发改价格</w:t>
            </w:r>
            <w:r>
              <w:rPr>
                <w:sz w:val="16"/>
                <w:szCs w:val="16"/>
                <w:spacing w:val="2"/>
              </w:rPr>
              <w:t xml:space="preserve"> </w:t>
            </w:r>
            <w:r>
              <w:rPr>
                <w:sz w:val="16"/>
                <w:szCs w:val="16"/>
                <w:spacing w:val="-7"/>
              </w:rPr>
              <w:t>〔2014〕</w:t>
            </w:r>
          </w:p>
          <w:p>
            <w:pPr>
              <w:pStyle w:val="TableText"/>
              <w:ind w:firstLine="71"/>
              <w:spacing w:before="1" w:line="249" w:lineRule="auto"/>
              <w:tabs>
                <w:tab w:val="left" w:pos="80"/>
              </w:tabs>
              <w:rPr>
                <w:sz w:val="16"/>
                <w:szCs w:val="16"/>
              </w:rPr>
            </w:pPr>
            <w:r>
              <w:rPr>
                <w:sz w:val="16"/>
                <w:szCs w:val="16"/>
                <w:spacing w:val="-14"/>
              </w:rPr>
              <w:t>268号，发</w:t>
            </w:r>
            <w:r>
              <w:rPr>
                <w:sz w:val="16"/>
                <w:szCs w:val="16"/>
              </w:rPr>
              <w:t xml:space="preserve">  </w:t>
            </w:r>
            <w:r>
              <w:rPr>
                <w:sz w:val="16"/>
                <w:szCs w:val="16"/>
                <w:spacing w:val="7"/>
              </w:rPr>
              <w:t>改价格规</w:t>
            </w:r>
            <w:r>
              <w:rPr>
                <w:sz w:val="16"/>
                <w:szCs w:val="16"/>
              </w:rPr>
              <w:t xml:space="preserve">  </w:t>
            </w:r>
            <w:r>
              <w:rPr>
                <w:sz w:val="16"/>
                <w:szCs w:val="16"/>
                <w:spacing w:val="-18"/>
              </w:rPr>
              <w:t>〔    2017〕</w:t>
            </w:r>
            <w:r>
              <w:rPr>
                <w:sz w:val="16"/>
                <w:szCs w:val="16"/>
                <w:spacing w:val="8"/>
              </w:rPr>
              <w:t xml:space="preserve"> </w:t>
            </w:r>
            <w:r>
              <w:rPr>
                <w:sz w:val="16"/>
                <w:szCs w:val="16"/>
              </w:rPr>
              <w:tab/>
            </w:r>
            <w:r>
              <w:rPr>
                <w:sz w:val="16"/>
                <w:szCs w:val="16"/>
                <w:spacing w:val="-6"/>
              </w:rPr>
              <w:t>1250号</w:t>
            </w:r>
          </w:p>
        </w:tc>
        <w:tc>
          <w:tcPr>
            <w:tcW w:w="679" w:type="dxa"/>
            <w:vAlign w:val="top"/>
          </w:tcPr>
          <w:p>
            <w:pPr>
              <w:pStyle w:val="TableText"/>
              <w:ind w:left="26" w:right="7" w:hanging="10"/>
              <w:spacing w:before="78" w:line="242" w:lineRule="auto"/>
              <w:jc w:val="both"/>
              <w:rPr>
                <w:sz w:val="16"/>
                <w:szCs w:val="16"/>
              </w:rPr>
            </w:pPr>
            <w:r>
              <w:rPr>
                <w:sz w:val="16"/>
                <w:szCs w:val="16"/>
                <w:spacing w:val="-3"/>
              </w:rPr>
              <w:t>发展改革</w:t>
            </w:r>
            <w:r>
              <w:rPr>
                <w:sz w:val="16"/>
                <w:szCs w:val="16"/>
                <w:spacing w:val="2"/>
              </w:rPr>
              <w:t xml:space="preserve"> </w:t>
            </w:r>
            <w:r>
              <w:rPr>
                <w:sz w:val="16"/>
                <w:szCs w:val="16"/>
                <w:spacing w:val="-2"/>
              </w:rPr>
              <w:t>委、银监</w:t>
            </w:r>
            <w:r>
              <w:rPr>
                <w:sz w:val="16"/>
                <w:szCs w:val="16"/>
                <w:spacing w:val="1"/>
              </w:rPr>
              <w:t xml:space="preserve"> </w:t>
            </w:r>
            <w:r>
              <w:rPr>
                <w:sz w:val="16"/>
                <w:szCs w:val="16"/>
              </w:rPr>
              <w:t>会</w:t>
            </w:r>
          </w:p>
        </w:tc>
        <w:tc>
          <w:tcPr>
            <w:tcW w:w="669" w:type="dxa"/>
            <w:vAlign w:val="top"/>
          </w:tcPr>
          <w:p>
            <w:pPr>
              <w:pStyle w:val="TableText"/>
              <w:ind w:left="87"/>
              <w:spacing w:before="67" w:line="219" w:lineRule="auto"/>
              <w:rPr>
                <w:sz w:val="16"/>
                <w:szCs w:val="16"/>
              </w:rPr>
            </w:pPr>
            <w:r>
              <w:rPr>
                <w:sz w:val="16"/>
                <w:szCs w:val="16"/>
                <w:spacing w:val="-2"/>
              </w:rPr>
              <w:t>银监会</w:t>
            </w:r>
          </w:p>
        </w:tc>
        <w:tc>
          <w:tcPr>
            <w:tcW w:w="390" w:type="dxa"/>
            <w:vAlign w:val="top"/>
          </w:tcPr>
          <w:p>
            <w:pPr>
              <w:pStyle w:val="TableText"/>
              <w:ind w:left="109"/>
              <w:spacing w:before="59" w:line="220" w:lineRule="auto"/>
              <w:rPr>
                <w:sz w:val="16"/>
                <w:szCs w:val="16"/>
              </w:rPr>
            </w:pPr>
            <w:r>
              <w:rPr>
                <w:sz w:val="16"/>
                <w:szCs w:val="16"/>
              </w:rPr>
              <w:t>否</w:t>
            </w:r>
          </w:p>
        </w:tc>
        <w:tc>
          <w:tcPr>
            <w:tcW w:w="510" w:type="dxa"/>
            <w:vAlign w:val="top"/>
          </w:tcPr>
          <w:p>
            <w:pPr>
              <w:pStyle w:val="TableText"/>
              <w:ind w:left="168"/>
              <w:spacing w:before="79" w:line="220" w:lineRule="auto"/>
              <w:rPr>
                <w:sz w:val="16"/>
                <w:szCs w:val="16"/>
              </w:rPr>
            </w:pPr>
            <w:r>
              <w:rPr>
                <w:sz w:val="16"/>
                <w:szCs w:val="16"/>
              </w:rPr>
              <w:t>否</w:t>
            </w:r>
          </w:p>
        </w:tc>
        <w:tc>
          <w:tcPr>
            <w:tcW w:w="519" w:type="dxa"/>
            <w:vAlign w:val="top"/>
          </w:tcPr>
          <w:p>
            <w:pPr>
              <w:pStyle w:val="TableText"/>
              <w:ind w:left="178"/>
              <w:spacing w:before="79" w:line="220" w:lineRule="auto"/>
              <w:rPr>
                <w:sz w:val="16"/>
                <w:szCs w:val="16"/>
              </w:rPr>
            </w:pPr>
            <w:r>
              <w:rPr>
                <w:sz w:val="16"/>
                <w:szCs w:val="16"/>
              </w:rPr>
              <w:t>否</w:t>
            </w:r>
          </w:p>
        </w:tc>
        <w:tc>
          <w:tcPr>
            <w:tcW w:w="694" w:type="dxa"/>
            <w:vAlign w:val="top"/>
          </w:tcPr>
          <w:p>
            <w:pPr>
              <w:rPr>
                <w:rFonts w:ascii="Arial"/>
                <w:sz w:val="21"/>
              </w:rPr>
            </w:pPr>
            <w:r/>
          </w:p>
        </w:tc>
      </w:tr>
      <w:tr>
        <w:trPr>
          <w:trHeight w:val="1792" w:hRule="atLeast"/>
        </w:trPr>
        <w:tc>
          <w:tcPr>
            <w:tcW w:w="295"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849" w:type="dxa"/>
            <w:vAlign w:val="top"/>
          </w:tcPr>
          <w:p>
            <w:pPr>
              <w:spacing w:line="289" w:lineRule="auto"/>
              <w:rPr>
                <w:rFonts w:ascii="Arial"/>
                <w:sz w:val="21"/>
              </w:rPr>
            </w:pPr>
            <w:r/>
          </w:p>
          <w:p>
            <w:pPr>
              <w:spacing w:line="290" w:lineRule="auto"/>
              <w:rPr>
                <w:rFonts w:ascii="Arial"/>
                <w:sz w:val="21"/>
              </w:rPr>
            </w:pPr>
            <w:r/>
          </w:p>
          <w:p>
            <w:pPr>
              <w:pStyle w:val="TableText"/>
              <w:ind w:left="11" w:right="36" w:firstLine="79"/>
              <w:spacing w:before="52" w:line="235" w:lineRule="auto"/>
              <w:jc w:val="both"/>
              <w:rPr>
                <w:sz w:val="16"/>
                <w:szCs w:val="16"/>
              </w:rPr>
            </w:pPr>
            <w:r>
              <w:rPr>
                <w:sz w:val="16"/>
                <w:szCs w:val="16"/>
                <w:spacing w:val="1"/>
              </w:rPr>
              <w:t>(二)银行  </w:t>
            </w:r>
            <w:r>
              <w:rPr>
                <w:sz w:val="16"/>
                <w:szCs w:val="16"/>
                <w:spacing w:val="-2"/>
              </w:rPr>
              <w:t>卡刷卡手续</w:t>
            </w:r>
            <w:r>
              <w:rPr>
                <w:sz w:val="16"/>
                <w:szCs w:val="16"/>
              </w:rPr>
              <w:t xml:space="preserve"> </w:t>
            </w:r>
            <w:r>
              <w:rPr>
                <w:sz w:val="16"/>
                <w:szCs w:val="16"/>
              </w:rPr>
              <w:t>费</w:t>
            </w:r>
          </w:p>
        </w:tc>
        <w:tc>
          <w:tcPr>
            <w:tcW w:w="3386" w:type="dxa"/>
            <w:vAlign w:val="top"/>
          </w:tcPr>
          <w:p>
            <w:pPr>
              <w:pStyle w:val="TableText"/>
              <w:ind w:left="21"/>
              <w:spacing w:before="94" w:line="219" w:lineRule="auto"/>
              <w:rPr>
                <w:sz w:val="16"/>
                <w:szCs w:val="16"/>
              </w:rPr>
            </w:pPr>
            <w:r>
              <w:rPr>
                <w:sz w:val="16"/>
                <w:szCs w:val="16"/>
              </w:rPr>
              <w:t>1.银行卡刷卡交易发卡行服务费</w:t>
            </w:r>
          </w:p>
          <w:p>
            <w:pPr>
              <w:pStyle w:val="TableText"/>
              <w:ind w:left="21"/>
              <w:spacing w:before="8" w:line="243" w:lineRule="auto"/>
              <w:rPr>
                <w:sz w:val="16"/>
                <w:szCs w:val="16"/>
              </w:rPr>
            </w:pPr>
            <w:r>
              <w:rPr>
                <w:sz w:val="16"/>
                <w:szCs w:val="16"/>
                <w:spacing w:val="-4"/>
              </w:rPr>
              <w:t>借记卡：不高于0.35%(单笔收费金额不超过13元)</w:t>
            </w:r>
            <w:r>
              <w:rPr>
                <w:sz w:val="16"/>
                <w:szCs w:val="16"/>
                <w:spacing w:val="17"/>
              </w:rPr>
              <w:t xml:space="preserve"> </w:t>
            </w:r>
            <w:r>
              <w:rPr>
                <w:sz w:val="16"/>
                <w:szCs w:val="16"/>
                <w:spacing w:val="-1"/>
              </w:rPr>
              <w:t>贷记卡：不高于0.45%。</w:t>
            </w:r>
          </w:p>
          <w:p>
            <w:pPr>
              <w:pStyle w:val="TableText"/>
              <w:ind w:left="21"/>
              <w:spacing w:before="20" w:line="219" w:lineRule="auto"/>
              <w:rPr>
                <w:sz w:val="16"/>
                <w:szCs w:val="16"/>
              </w:rPr>
            </w:pPr>
            <w:r>
              <w:rPr>
                <w:sz w:val="16"/>
                <w:szCs w:val="16"/>
                <w:spacing w:val="-1"/>
              </w:rPr>
              <w:t>2.银行卡刷卡交易网络服务费</w:t>
            </w:r>
          </w:p>
          <w:p>
            <w:pPr>
              <w:pStyle w:val="TableText"/>
              <w:ind w:left="21"/>
              <w:spacing w:before="48" w:line="238" w:lineRule="auto"/>
              <w:rPr>
                <w:sz w:val="16"/>
                <w:szCs w:val="16"/>
              </w:rPr>
            </w:pPr>
            <w:r>
              <w:rPr>
                <w:sz w:val="16"/>
                <w:szCs w:val="16"/>
                <w:spacing w:val="-1"/>
              </w:rPr>
              <w:t>向发卡机构：不高于0.0325%(单笔收费金额不超</w:t>
            </w:r>
            <w:r>
              <w:rPr>
                <w:sz w:val="16"/>
                <w:szCs w:val="16"/>
                <w:spacing w:val="18"/>
              </w:rPr>
              <w:t xml:space="preserve"> </w:t>
            </w:r>
            <w:r>
              <w:rPr>
                <w:sz w:val="16"/>
                <w:szCs w:val="16"/>
                <w:spacing w:val="3"/>
              </w:rPr>
              <w:t>过3.25元);</w:t>
            </w:r>
          </w:p>
          <w:p>
            <w:pPr>
              <w:pStyle w:val="TableText"/>
              <w:ind w:left="21"/>
              <w:spacing w:before="29" w:line="212" w:lineRule="auto"/>
              <w:rPr>
                <w:sz w:val="16"/>
                <w:szCs w:val="16"/>
              </w:rPr>
            </w:pPr>
            <w:r>
              <w:rPr>
                <w:sz w:val="16"/>
                <w:szCs w:val="16"/>
                <w:spacing w:val="-1"/>
              </w:rPr>
              <w:t>向收单机构：不高于0.0325%(单笔收费金额不超</w:t>
            </w:r>
            <w:r>
              <w:rPr>
                <w:sz w:val="16"/>
                <w:szCs w:val="16"/>
                <w:spacing w:val="18"/>
              </w:rPr>
              <w:t xml:space="preserve"> </w:t>
            </w:r>
            <w:r>
              <w:rPr>
                <w:sz w:val="16"/>
                <w:szCs w:val="16"/>
                <w:spacing w:val="-1"/>
              </w:rPr>
              <w:t>过3.25元)。</w:t>
            </w:r>
          </w:p>
        </w:tc>
        <w:tc>
          <w:tcPr>
            <w:tcW w:w="799" w:type="dxa"/>
            <w:vAlign w:val="top"/>
          </w:tcPr>
          <w:p>
            <w:pPr>
              <w:pStyle w:val="TableText"/>
              <w:ind w:right="81" w:firstLine="79"/>
              <w:spacing w:before="82" w:line="244" w:lineRule="auto"/>
              <w:rPr>
                <w:sz w:val="16"/>
                <w:szCs w:val="16"/>
              </w:rPr>
            </w:pPr>
            <w:r>
              <w:rPr>
                <w:sz w:val="16"/>
                <w:szCs w:val="16"/>
                <w:spacing w:val="-4"/>
              </w:rPr>
              <w:t>发改价格</w:t>
            </w:r>
            <w:r>
              <w:rPr>
                <w:sz w:val="16"/>
                <w:szCs w:val="16"/>
                <w:spacing w:val="2"/>
              </w:rPr>
              <w:t xml:space="preserve"> </w:t>
            </w:r>
            <w:r>
              <w:rPr>
                <w:sz w:val="16"/>
                <w:szCs w:val="16"/>
                <w:spacing w:val="-7"/>
              </w:rPr>
              <w:t>〔2016〕</w:t>
            </w:r>
          </w:p>
          <w:p>
            <w:pPr>
              <w:pStyle w:val="TableText"/>
              <w:ind w:left="36"/>
              <w:spacing w:line="220" w:lineRule="auto"/>
              <w:rPr>
                <w:sz w:val="16"/>
                <w:szCs w:val="16"/>
              </w:rPr>
            </w:pPr>
            <w:r>
              <w:rPr>
                <w:sz w:val="16"/>
                <w:szCs w:val="16"/>
                <w:spacing w:val="-2"/>
              </w:rPr>
              <w:t>557号</w:t>
            </w:r>
          </w:p>
        </w:tc>
        <w:tc>
          <w:tcPr>
            <w:tcW w:w="679" w:type="dxa"/>
            <w:vAlign w:val="top"/>
          </w:tcPr>
          <w:p>
            <w:pPr>
              <w:pStyle w:val="TableText"/>
              <w:ind w:left="26" w:right="7"/>
              <w:spacing w:before="84" w:line="239" w:lineRule="auto"/>
              <w:jc w:val="both"/>
              <w:rPr>
                <w:sz w:val="16"/>
                <w:szCs w:val="16"/>
              </w:rPr>
            </w:pPr>
            <w:r>
              <w:rPr>
                <w:sz w:val="16"/>
                <w:szCs w:val="16"/>
                <w:spacing w:val="-3"/>
              </w:rPr>
              <w:t>发展改革</w:t>
            </w:r>
            <w:r>
              <w:rPr>
                <w:sz w:val="16"/>
                <w:szCs w:val="16"/>
                <w:spacing w:val="2"/>
              </w:rPr>
              <w:t xml:space="preserve"> </w:t>
            </w:r>
            <w:r>
              <w:rPr>
                <w:sz w:val="16"/>
                <w:szCs w:val="16"/>
                <w:spacing w:val="-2"/>
              </w:rPr>
              <w:t>委、人民</w:t>
            </w:r>
            <w:r>
              <w:rPr>
                <w:sz w:val="16"/>
                <w:szCs w:val="16"/>
                <w:spacing w:val="1"/>
              </w:rPr>
              <w:t xml:space="preserve"> </w:t>
            </w:r>
            <w:r>
              <w:rPr>
                <w:sz w:val="16"/>
                <w:szCs w:val="16"/>
                <w:spacing w:val="-2"/>
              </w:rPr>
              <w:t>银行</w:t>
            </w:r>
          </w:p>
        </w:tc>
        <w:tc>
          <w:tcPr>
            <w:tcW w:w="669" w:type="dxa"/>
            <w:vAlign w:val="top"/>
          </w:tcPr>
          <w:p>
            <w:pPr>
              <w:pStyle w:val="TableText"/>
              <w:ind w:left="7"/>
              <w:spacing w:before="85" w:line="220" w:lineRule="auto"/>
              <w:rPr>
                <w:sz w:val="16"/>
                <w:szCs w:val="16"/>
              </w:rPr>
            </w:pPr>
            <w:r>
              <w:rPr>
                <w:sz w:val="16"/>
                <w:szCs w:val="16"/>
                <w:spacing w:val="-2"/>
              </w:rPr>
              <w:t>人民银行</w:t>
            </w:r>
          </w:p>
        </w:tc>
        <w:tc>
          <w:tcPr>
            <w:tcW w:w="390" w:type="dxa"/>
            <w:vAlign w:val="top"/>
          </w:tcPr>
          <w:p>
            <w:pPr>
              <w:pStyle w:val="TableText"/>
              <w:ind w:left="109"/>
              <w:spacing w:before="67" w:line="223" w:lineRule="auto"/>
              <w:rPr>
                <w:sz w:val="16"/>
                <w:szCs w:val="16"/>
              </w:rPr>
            </w:pPr>
            <w:r>
              <w:rPr>
                <w:sz w:val="16"/>
                <w:szCs w:val="16"/>
              </w:rPr>
              <w:t>是</w:t>
            </w:r>
          </w:p>
        </w:tc>
        <w:tc>
          <w:tcPr>
            <w:tcW w:w="510" w:type="dxa"/>
            <w:vAlign w:val="top"/>
          </w:tcPr>
          <w:p>
            <w:pPr>
              <w:pStyle w:val="TableText"/>
              <w:ind w:left="168"/>
              <w:spacing w:before="75" w:line="220" w:lineRule="auto"/>
              <w:rPr>
                <w:sz w:val="16"/>
                <w:szCs w:val="16"/>
              </w:rPr>
            </w:pPr>
            <w:r>
              <w:rPr>
                <w:sz w:val="16"/>
                <w:szCs w:val="16"/>
              </w:rPr>
              <w:t>否</w:t>
            </w:r>
          </w:p>
        </w:tc>
        <w:tc>
          <w:tcPr>
            <w:tcW w:w="519" w:type="dxa"/>
            <w:vAlign w:val="top"/>
          </w:tcPr>
          <w:p>
            <w:pPr>
              <w:pStyle w:val="TableText"/>
              <w:ind w:left="178"/>
              <w:spacing w:before="85" w:line="220" w:lineRule="auto"/>
              <w:rPr>
                <w:sz w:val="16"/>
                <w:szCs w:val="16"/>
              </w:rPr>
            </w:pPr>
            <w:r>
              <w:rPr>
                <w:sz w:val="16"/>
                <w:szCs w:val="16"/>
              </w:rPr>
              <w:t>否</w:t>
            </w:r>
          </w:p>
        </w:tc>
        <w:tc>
          <w:tcPr>
            <w:tcW w:w="694" w:type="dxa"/>
            <w:vAlign w:val="top"/>
          </w:tcPr>
          <w:p>
            <w:pPr>
              <w:rPr>
                <w:rFonts w:ascii="Arial"/>
                <w:sz w:val="21"/>
              </w:rPr>
            </w:pPr>
            <w:r/>
          </w:p>
        </w:tc>
      </w:tr>
    </w:tbl>
    <w:p>
      <w:pPr>
        <w:pStyle w:val="BodyText"/>
        <w:rPr/>
      </w:pPr>
      <w:r/>
    </w:p>
    <w:p>
      <w:pPr>
        <w:sectPr>
          <w:footerReference w:type="default" r:id="rId2"/>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33696" behindDoc="0" locked="0" layoutInCell="0" allowOverlap="1">
                <wp:simplePos x="0" y="0"/>
                <wp:positionH relativeFrom="page">
                  <wp:posOffset>455355</wp:posOffset>
                </wp:positionH>
                <wp:positionV relativeFrom="page">
                  <wp:posOffset>611813</wp:posOffset>
                </wp:positionV>
                <wp:extent cx="182245" cy="165100"/>
                <wp:effectExtent l="0" t="0" r="0" b="0"/>
                <wp:wrapNone/>
                <wp:docPr id="368" name="TextBox 368"/>
                <wp:cNvGraphicFramePr/>
                <a:graphic>
                  <a:graphicData uri="http://schemas.microsoft.com/office/word/2010/wordprocessingShape">
                    <wps:wsp>
                      <wps:cNvSpPr txBox="1"/>
                      <wps:spPr>
                        <a:xfrm rot="5400000">
                          <a:off x="455355" y="611813"/>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0" style="position:absolute;margin-left:35.8547pt;margin-top:48.1743pt;mso-position-vertical-relative:page;mso-position-horizontal-relative:page;width:14.35pt;height:13pt;z-index:251933696;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272</w:t>
                      </w:r>
                    </w:p>
                  </w:txbxContent>
                </v:textbox>
              </v:shape>
            </w:pict>
          </mc:Fallback>
        </mc:AlternateContent>
      </w:r>
      <w:r/>
    </w:p>
    <w:p>
      <w:pPr>
        <w:spacing w:before="51"/>
        <w:rPr/>
      </w:pPr>
      <w:r/>
    </w:p>
    <w:tbl>
      <w:tblPr>
        <w:tblStyle w:val="TableNormal"/>
        <w:tblW w:w="963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849"/>
        <w:gridCol w:w="849"/>
        <w:gridCol w:w="3396"/>
        <w:gridCol w:w="799"/>
        <w:gridCol w:w="679"/>
        <w:gridCol w:w="659"/>
        <w:gridCol w:w="390"/>
        <w:gridCol w:w="500"/>
        <w:gridCol w:w="529"/>
        <w:gridCol w:w="694"/>
      </w:tblGrid>
      <w:tr>
        <w:trPr>
          <w:trHeight w:val="684" w:hRule="atLeast"/>
        </w:trPr>
        <w:tc>
          <w:tcPr>
            <w:tcW w:w="295" w:type="dxa"/>
            <w:vAlign w:val="top"/>
            <w:textDirection w:val="tbRlV"/>
          </w:tcPr>
          <w:p>
            <w:pPr>
              <w:pStyle w:val="TableText"/>
              <w:ind w:left="147"/>
              <w:spacing w:before="80" w:line="216" w:lineRule="auto"/>
              <w:rPr/>
            </w:pPr>
            <w:r>
              <w:rPr/>
              <w:t>类 型</w:t>
            </w:r>
          </w:p>
        </w:tc>
        <w:tc>
          <w:tcPr>
            <w:tcW w:w="849" w:type="dxa"/>
            <w:vAlign w:val="top"/>
          </w:tcPr>
          <w:p>
            <w:pPr>
              <w:pStyle w:val="TableText"/>
              <w:ind w:left="109"/>
              <w:spacing w:before="271" w:line="220" w:lineRule="auto"/>
              <w:rPr/>
            </w:pPr>
            <w:r>
              <w:rPr>
                <w:spacing w:val="7"/>
              </w:rPr>
              <w:t>一级项目</w:t>
            </w:r>
          </w:p>
        </w:tc>
        <w:tc>
          <w:tcPr>
            <w:tcW w:w="849" w:type="dxa"/>
            <w:vAlign w:val="top"/>
          </w:tcPr>
          <w:p>
            <w:pPr>
              <w:pStyle w:val="TableText"/>
              <w:ind w:left="110"/>
              <w:spacing w:before="271" w:line="220" w:lineRule="auto"/>
              <w:rPr/>
            </w:pPr>
            <w:r>
              <w:rPr>
                <w:spacing w:val="7"/>
              </w:rPr>
              <w:t>二级项目</w:t>
            </w:r>
          </w:p>
        </w:tc>
        <w:tc>
          <w:tcPr>
            <w:tcW w:w="3396" w:type="dxa"/>
            <w:vAlign w:val="top"/>
          </w:tcPr>
          <w:p>
            <w:pPr>
              <w:pStyle w:val="TableText"/>
              <w:ind w:left="1391"/>
              <w:spacing w:before="271" w:line="219" w:lineRule="auto"/>
              <w:rPr/>
            </w:pPr>
            <w:r>
              <w:rPr>
                <w:spacing w:val="-3"/>
              </w:rPr>
              <w:t>收费标准</w:t>
            </w:r>
          </w:p>
        </w:tc>
        <w:tc>
          <w:tcPr>
            <w:tcW w:w="799" w:type="dxa"/>
            <w:vAlign w:val="top"/>
          </w:tcPr>
          <w:p>
            <w:pPr>
              <w:pStyle w:val="TableText"/>
              <w:ind w:left="145" w:right="104" w:hanging="49"/>
              <w:spacing w:before="161" w:line="246" w:lineRule="auto"/>
              <w:rPr/>
            </w:pPr>
            <w:r>
              <w:rPr>
                <w:spacing w:val="-3"/>
              </w:rPr>
              <w:t>收费文件</w:t>
            </w:r>
            <w:r>
              <w:rPr/>
              <w:t xml:space="preserve"> </w:t>
            </w:r>
            <w:r>
              <w:rPr>
                <w:spacing w:val="8"/>
              </w:rPr>
              <w:t>(文号)</w:t>
            </w:r>
          </w:p>
        </w:tc>
        <w:tc>
          <w:tcPr>
            <w:tcW w:w="679" w:type="dxa"/>
            <w:vAlign w:val="top"/>
          </w:tcPr>
          <w:p>
            <w:pPr>
              <w:pStyle w:val="TableText"/>
              <w:ind w:left="26"/>
              <w:spacing w:before="269" w:line="218" w:lineRule="auto"/>
              <w:rPr/>
            </w:pPr>
            <w:r>
              <w:rPr>
                <w:spacing w:val="4"/>
              </w:rPr>
              <w:t>定价部门</w:t>
            </w:r>
          </w:p>
        </w:tc>
        <w:tc>
          <w:tcPr>
            <w:tcW w:w="659" w:type="dxa"/>
            <w:vAlign w:val="top"/>
          </w:tcPr>
          <w:p>
            <w:pPr>
              <w:pStyle w:val="TableText"/>
              <w:ind w:left="177" w:right="29" w:hanging="150"/>
              <w:spacing w:before="161" w:line="245" w:lineRule="auto"/>
              <w:rPr/>
            </w:pPr>
            <w:r>
              <w:rPr>
                <w:spacing w:val="-3"/>
              </w:rPr>
              <w:t>行业主管</w:t>
            </w:r>
            <w:r>
              <w:rPr>
                <w:spacing w:val="2"/>
              </w:rPr>
              <w:t xml:space="preserve"> </w:t>
            </w:r>
            <w:r>
              <w:rPr>
                <w:spacing w:val="8"/>
              </w:rPr>
              <w:t>部门</w:t>
            </w:r>
          </w:p>
        </w:tc>
        <w:tc>
          <w:tcPr>
            <w:tcW w:w="390" w:type="dxa"/>
            <w:vAlign w:val="top"/>
          </w:tcPr>
          <w:p>
            <w:pPr>
              <w:pStyle w:val="TableText"/>
              <w:ind w:left="38" w:right="48"/>
              <w:spacing w:before="161" w:line="246" w:lineRule="auto"/>
              <w:rPr/>
            </w:pPr>
            <w:r>
              <w:rPr>
                <w:spacing w:val="-5"/>
              </w:rPr>
              <w:t>是否</w:t>
            </w:r>
            <w:r>
              <w:rPr/>
              <w:t xml:space="preserve"> </w:t>
            </w:r>
            <w:r>
              <w:rPr>
                <w:spacing w:val="-4"/>
              </w:rPr>
              <w:t>涉企</w:t>
            </w:r>
          </w:p>
        </w:tc>
        <w:tc>
          <w:tcPr>
            <w:tcW w:w="500" w:type="dxa"/>
            <w:vAlign w:val="top"/>
          </w:tcPr>
          <w:p>
            <w:pPr>
              <w:pStyle w:val="TableText"/>
              <w:ind w:left="19"/>
              <w:spacing w:before="41" w:line="220" w:lineRule="auto"/>
              <w:rPr/>
            </w:pPr>
            <w:r>
              <w:rPr>
                <w:spacing w:val="-2"/>
              </w:rPr>
              <w:t>是否行</w:t>
            </w:r>
          </w:p>
          <w:p>
            <w:pPr>
              <w:pStyle w:val="TableText"/>
              <w:ind w:left="19"/>
              <w:spacing w:before="51" w:line="220" w:lineRule="auto"/>
              <w:rPr/>
            </w:pPr>
            <w:r>
              <w:rPr>
                <w:spacing w:val="-2"/>
              </w:rPr>
              <w:t>政审批</w:t>
            </w:r>
          </w:p>
          <w:p>
            <w:pPr>
              <w:pStyle w:val="TableText"/>
              <w:ind w:left="98"/>
              <w:spacing w:before="52" w:line="211" w:lineRule="auto"/>
              <w:rPr/>
            </w:pPr>
            <w:r>
              <w:rPr>
                <w:spacing w:val="-3"/>
              </w:rPr>
              <w:t>前置</w:t>
            </w:r>
          </w:p>
        </w:tc>
        <w:tc>
          <w:tcPr>
            <w:tcW w:w="529" w:type="dxa"/>
            <w:vAlign w:val="top"/>
          </w:tcPr>
          <w:p>
            <w:pPr>
              <w:pStyle w:val="TableText"/>
              <w:ind w:left="39" w:right="7"/>
              <w:spacing w:before="31" w:line="262" w:lineRule="auto"/>
              <w:jc w:val="both"/>
              <w:rPr/>
            </w:pPr>
            <w:r>
              <w:rPr>
                <w:spacing w:val="-3"/>
              </w:rPr>
              <w:t>是否涉</w:t>
            </w:r>
            <w:r>
              <w:rPr/>
              <w:t xml:space="preserve"> </w:t>
            </w:r>
            <w:r>
              <w:rPr>
                <w:spacing w:val="7"/>
              </w:rPr>
              <w:t>进出口</w:t>
            </w:r>
            <w:r>
              <w:rPr/>
              <w:t xml:space="preserve"> </w:t>
            </w:r>
            <w:r>
              <w:rPr>
                <w:spacing w:val="32"/>
              </w:rPr>
              <w:t>环节</w:t>
            </w:r>
          </w:p>
        </w:tc>
        <w:tc>
          <w:tcPr>
            <w:tcW w:w="694" w:type="dxa"/>
            <w:vAlign w:val="top"/>
          </w:tcPr>
          <w:p>
            <w:pPr>
              <w:pStyle w:val="TableText"/>
              <w:ind w:left="199"/>
              <w:spacing w:before="271" w:line="221" w:lineRule="auto"/>
              <w:rPr/>
            </w:pPr>
            <w:r>
              <w:rPr>
                <w:spacing w:val="-2"/>
              </w:rPr>
              <w:t>备注</w:t>
            </w:r>
          </w:p>
        </w:tc>
      </w:tr>
      <w:tr>
        <w:trPr>
          <w:trHeight w:val="728" w:hRule="atLeast"/>
        </w:trPr>
        <w:tc>
          <w:tcPr>
            <w:tcW w:w="295" w:type="dxa"/>
            <w:vAlign w:val="top"/>
            <w:vMerge w:val="restart"/>
            <w:tcBorders>
              <w:bottom w:val="nil"/>
            </w:tcBorders>
          </w:tcPr>
          <w:p>
            <w:pPr>
              <w:rPr>
                <w:rFonts w:ascii="Arial"/>
                <w:sz w:val="21"/>
              </w:rPr>
            </w:pPr>
            <w:r/>
          </w:p>
        </w:tc>
        <w:tc>
          <w:tcPr>
            <w:tcW w:w="84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0" w:right="57" w:firstLine="20"/>
              <w:spacing w:before="48" w:line="251" w:lineRule="auto"/>
              <w:rPr/>
            </w:pPr>
            <w:r>
              <w:rPr>
                <w:spacing w:val="-2"/>
              </w:rPr>
              <w:t>二、征信服</w:t>
            </w:r>
            <w:r>
              <w:rPr/>
              <w:t xml:space="preserve"> </w:t>
            </w:r>
            <w:r>
              <w:rPr>
                <w:spacing w:val="-2"/>
              </w:rPr>
              <w:t>务收费</w:t>
            </w:r>
          </w:p>
        </w:tc>
        <w:tc>
          <w:tcPr>
            <w:tcW w:w="849" w:type="dxa"/>
            <w:vAlign w:val="top"/>
          </w:tcPr>
          <w:p>
            <w:pPr>
              <w:pStyle w:val="TableText"/>
              <w:ind w:left="40" w:right="55" w:firstLine="70"/>
              <w:spacing w:before="66" w:line="253" w:lineRule="auto"/>
              <w:jc w:val="both"/>
              <w:rPr/>
            </w:pPr>
            <w:r>
              <w:rPr>
                <w:spacing w:val="1"/>
              </w:rPr>
              <w:t>(一)机构  </w:t>
            </w:r>
            <w:r>
              <w:rPr>
                <w:spacing w:val="-2"/>
              </w:rPr>
              <w:t>查询企业信</w:t>
            </w:r>
            <w:r>
              <w:rPr>
                <w:spacing w:val="1"/>
              </w:rPr>
              <w:t xml:space="preserve"> </w:t>
            </w:r>
            <w:r>
              <w:rPr>
                <w:spacing w:val="-2"/>
              </w:rPr>
              <w:t>用报告收费</w:t>
            </w:r>
          </w:p>
        </w:tc>
        <w:tc>
          <w:tcPr>
            <w:tcW w:w="3396" w:type="dxa"/>
            <w:vAlign w:val="top"/>
          </w:tcPr>
          <w:p>
            <w:pPr>
              <w:pStyle w:val="TableText"/>
              <w:ind w:left="11"/>
              <w:spacing w:before="67" w:line="219" w:lineRule="auto"/>
              <w:rPr/>
            </w:pPr>
            <w:r>
              <w:rPr>
                <w:spacing w:val="-1"/>
              </w:rPr>
              <w:t>具体收费标准见相关文件。</w:t>
            </w:r>
          </w:p>
        </w:tc>
        <w:tc>
          <w:tcPr>
            <w:tcW w:w="799" w:type="dxa"/>
            <w:vAlign w:val="top"/>
          </w:tcPr>
          <w:p>
            <w:pPr>
              <w:pStyle w:val="TableText"/>
              <w:ind w:left="15" w:firstLine="9"/>
              <w:spacing w:before="65" w:line="247" w:lineRule="auto"/>
              <w:jc w:val="both"/>
              <w:rPr/>
            </w:pPr>
            <w:r>
              <w:rPr>
                <w:spacing w:val="20"/>
              </w:rPr>
              <w:t>发改价格</w:t>
            </w:r>
            <w:r>
              <w:rPr/>
              <w:t xml:space="preserve">  </w:t>
            </w:r>
            <w:r>
              <w:rPr>
                <w:spacing w:val="3"/>
              </w:rPr>
              <w:t>规〔2019〕</w:t>
            </w:r>
            <w:r>
              <w:rPr>
                <w:spacing w:val="1"/>
              </w:rPr>
              <w:t xml:space="preserve"> </w:t>
            </w:r>
            <w:r>
              <w:rPr>
                <w:spacing w:val="-3"/>
              </w:rPr>
              <w:t>1318号</w:t>
            </w:r>
          </w:p>
        </w:tc>
        <w:tc>
          <w:tcPr>
            <w:tcW w:w="679" w:type="dxa"/>
            <w:vAlign w:val="top"/>
          </w:tcPr>
          <w:p>
            <w:pPr>
              <w:pStyle w:val="TableText"/>
              <w:ind w:left="16" w:right="40" w:firstLine="20"/>
              <w:spacing w:before="57"/>
              <w:rPr/>
            </w:pPr>
            <w:r>
              <w:rPr>
                <w:spacing w:val="-3"/>
              </w:rPr>
              <w:t>发展改革</w:t>
            </w:r>
            <w:r>
              <w:rPr>
                <w:spacing w:val="2"/>
              </w:rPr>
              <w:t xml:space="preserve"> </w:t>
            </w:r>
            <w:r>
              <w:rPr/>
              <w:t>委</w:t>
            </w:r>
          </w:p>
        </w:tc>
        <w:tc>
          <w:tcPr>
            <w:tcW w:w="659" w:type="dxa"/>
            <w:vAlign w:val="top"/>
          </w:tcPr>
          <w:p>
            <w:pPr>
              <w:pStyle w:val="TableText"/>
              <w:ind w:left="27"/>
              <w:spacing w:before="67" w:line="220" w:lineRule="auto"/>
              <w:rPr/>
            </w:pPr>
            <w:r>
              <w:rPr>
                <w:spacing w:val="-2"/>
              </w:rPr>
              <w:t>人民银行</w:t>
            </w:r>
          </w:p>
        </w:tc>
        <w:tc>
          <w:tcPr>
            <w:tcW w:w="390" w:type="dxa"/>
            <w:vAlign w:val="top"/>
          </w:tcPr>
          <w:p>
            <w:pPr>
              <w:pStyle w:val="TableText"/>
              <w:ind w:left="119"/>
              <w:spacing w:before="49" w:line="223" w:lineRule="auto"/>
              <w:rPr/>
            </w:pPr>
            <w:r>
              <w:rPr/>
              <w:t>是</w:t>
            </w:r>
          </w:p>
        </w:tc>
        <w:tc>
          <w:tcPr>
            <w:tcW w:w="500" w:type="dxa"/>
            <w:vAlign w:val="top"/>
          </w:tcPr>
          <w:p>
            <w:pPr>
              <w:pStyle w:val="TableText"/>
              <w:ind w:left="168"/>
              <w:spacing w:before="67" w:line="220" w:lineRule="auto"/>
              <w:rPr/>
            </w:pPr>
            <w:r>
              <w:rPr/>
              <w:t>否</w:t>
            </w:r>
          </w:p>
        </w:tc>
        <w:tc>
          <w:tcPr>
            <w:tcW w:w="529" w:type="dxa"/>
            <w:vAlign w:val="top"/>
          </w:tcPr>
          <w:p>
            <w:pPr>
              <w:pStyle w:val="TableText"/>
              <w:ind w:left="188"/>
              <w:spacing w:before="67" w:line="220" w:lineRule="auto"/>
              <w:rPr/>
            </w:pPr>
            <w:r>
              <w:rPr/>
              <w:t>否</w:t>
            </w:r>
          </w:p>
        </w:tc>
        <w:tc>
          <w:tcPr>
            <w:tcW w:w="694" w:type="dxa"/>
            <w:vAlign w:val="top"/>
          </w:tcPr>
          <w:p>
            <w:pPr>
              <w:rPr>
                <w:rFonts w:ascii="Arial"/>
                <w:sz w:val="21"/>
              </w:rPr>
            </w:pPr>
            <w:r/>
          </w:p>
        </w:tc>
      </w:tr>
      <w:tr>
        <w:trPr>
          <w:trHeight w:val="729"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40" w:right="55" w:firstLine="10"/>
              <w:spacing w:before="68" w:line="253" w:lineRule="auto"/>
              <w:jc w:val="both"/>
              <w:rPr/>
            </w:pPr>
            <w:r>
              <w:rPr>
                <w:spacing w:val="-12"/>
              </w:rPr>
              <w:t>(</w:t>
            </w:r>
            <w:r>
              <w:rPr>
                <w:spacing w:val="-27"/>
              </w:rPr>
              <w:t xml:space="preserve"> </w:t>
            </w:r>
            <w:r>
              <w:rPr>
                <w:spacing w:val="-12"/>
              </w:rPr>
              <w:t>二</w:t>
            </w:r>
            <w:r>
              <w:rPr>
                <w:spacing w:val="-28"/>
              </w:rPr>
              <w:t xml:space="preserve"> </w:t>
            </w:r>
            <w:r>
              <w:rPr>
                <w:spacing w:val="-12"/>
              </w:rPr>
              <w:t>)</w:t>
            </w:r>
            <w:r>
              <w:rPr>
                <w:spacing w:val="-30"/>
              </w:rPr>
              <w:t xml:space="preserve"> </w:t>
            </w:r>
            <w:r>
              <w:rPr>
                <w:spacing w:val="-12"/>
              </w:rPr>
              <w:t>机</w:t>
            </w:r>
            <w:r>
              <w:rPr>
                <w:spacing w:val="-27"/>
              </w:rPr>
              <w:t xml:space="preserve"> </w:t>
            </w:r>
            <w:r>
              <w:rPr>
                <w:spacing w:val="-12"/>
              </w:rPr>
              <w:t>构</w:t>
            </w:r>
            <w:r>
              <w:rPr/>
              <w:t xml:space="preserve"> </w:t>
            </w:r>
            <w:r>
              <w:rPr>
                <w:spacing w:val="-2"/>
              </w:rPr>
              <w:t>查询个人信</w:t>
            </w:r>
            <w:r>
              <w:rPr>
                <w:spacing w:val="1"/>
              </w:rPr>
              <w:t xml:space="preserve"> </w:t>
            </w:r>
            <w:r>
              <w:rPr>
                <w:spacing w:val="-2"/>
              </w:rPr>
              <w:t>用报告收费</w:t>
            </w:r>
          </w:p>
        </w:tc>
        <w:tc>
          <w:tcPr>
            <w:tcW w:w="3396" w:type="dxa"/>
            <w:vAlign w:val="top"/>
          </w:tcPr>
          <w:p>
            <w:pPr>
              <w:pStyle w:val="TableText"/>
              <w:ind w:left="11"/>
              <w:spacing w:before="69" w:line="219" w:lineRule="auto"/>
              <w:rPr/>
            </w:pPr>
            <w:r>
              <w:rPr>
                <w:spacing w:val="-1"/>
              </w:rPr>
              <w:t>具体收费标准见相关文件</w:t>
            </w:r>
          </w:p>
        </w:tc>
        <w:tc>
          <w:tcPr>
            <w:tcW w:w="799" w:type="dxa"/>
            <w:vAlign w:val="top"/>
          </w:tcPr>
          <w:p>
            <w:pPr>
              <w:pStyle w:val="TableText"/>
              <w:ind w:left="15" w:firstLine="9"/>
              <w:spacing w:before="67" w:line="247" w:lineRule="auto"/>
              <w:jc w:val="both"/>
              <w:rPr/>
            </w:pPr>
            <w:r>
              <w:rPr>
                <w:spacing w:val="20"/>
              </w:rPr>
              <w:t>发改价格</w:t>
            </w:r>
            <w:r>
              <w:rPr/>
              <w:t xml:space="preserve">  </w:t>
            </w:r>
            <w:r>
              <w:rPr>
                <w:spacing w:val="3"/>
              </w:rPr>
              <w:t>规〔2019〕</w:t>
            </w:r>
            <w:r>
              <w:rPr>
                <w:spacing w:val="1"/>
              </w:rPr>
              <w:t xml:space="preserve"> </w:t>
            </w:r>
            <w:r>
              <w:rPr>
                <w:spacing w:val="-3"/>
              </w:rPr>
              <w:t>1318号</w:t>
            </w:r>
          </w:p>
        </w:tc>
        <w:tc>
          <w:tcPr>
            <w:tcW w:w="679" w:type="dxa"/>
            <w:vAlign w:val="top"/>
          </w:tcPr>
          <w:p>
            <w:pPr>
              <w:pStyle w:val="TableText"/>
              <w:ind w:left="16" w:right="60"/>
              <w:spacing w:before="69" w:line="234" w:lineRule="auto"/>
              <w:rPr/>
            </w:pPr>
            <w:r>
              <w:rPr>
                <w:spacing w:val="-3"/>
              </w:rPr>
              <w:t>发展改革</w:t>
            </w:r>
            <w:r>
              <w:rPr>
                <w:spacing w:val="2"/>
              </w:rPr>
              <w:t xml:space="preserve"> </w:t>
            </w:r>
            <w:r>
              <w:rPr/>
              <w:t>委</w:t>
            </w:r>
          </w:p>
        </w:tc>
        <w:tc>
          <w:tcPr>
            <w:tcW w:w="659" w:type="dxa"/>
            <w:vAlign w:val="top"/>
          </w:tcPr>
          <w:p>
            <w:pPr>
              <w:pStyle w:val="TableText"/>
              <w:ind w:left="27"/>
              <w:spacing w:before="69" w:line="220" w:lineRule="auto"/>
              <w:rPr/>
            </w:pPr>
            <w:r>
              <w:rPr>
                <w:spacing w:val="-2"/>
              </w:rPr>
              <w:t>人民银行</w:t>
            </w:r>
          </w:p>
        </w:tc>
        <w:tc>
          <w:tcPr>
            <w:tcW w:w="390" w:type="dxa"/>
            <w:vAlign w:val="top"/>
          </w:tcPr>
          <w:p>
            <w:pPr>
              <w:pStyle w:val="TableText"/>
              <w:ind w:left="119"/>
              <w:spacing w:before="51" w:line="223" w:lineRule="auto"/>
              <w:rPr/>
            </w:pPr>
            <w:r>
              <w:rPr/>
              <w:t>是</w:t>
            </w:r>
          </w:p>
        </w:tc>
        <w:tc>
          <w:tcPr>
            <w:tcW w:w="500" w:type="dxa"/>
            <w:vAlign w:val="top"/>
          </w:tcPr>
          <w:p>
            <w:pPr>
              <w:pStyle w:val="TableText"/>
              <w:ind w:left="168"/>
              <w:spacing w:before="69" w:line="220" w:lineRule="auto"/>
              <w:rPr/>
            </w:pPr>
            <w:r>
              <w:rPr/>
              <w:t>否</w:t>
            </w:r>
          </w:p>
        </w:tc>
        <w:tc>
          <w:tcPr>
            <w:tcW w:w="529" w:type="dxa"/>
            <w:vAlign w:val="top"/>
          </w:tcPr>
          <w:p>
            <w:pPr>
              <w:pStyle w:val="TableText"/>
              <w:ind w:left="188"/>
              <w:spacing w:before="69" w:line="220" w:lineRule="auto"/>
              <w:rPr/>
            </w:pPr>
            <w:r>
              <w:rPr/>
              <w:t>否</w:t>
            </w:r>
          </w:p>
        </w:tc>
        <w:tc>
          <w:tcPr>
            <w:tcW w:w="694" w:type="dxa"/>
            <w:vAlign w:val="top"/>
          </w:tcPr>
          <w:p>
            <w:pPr>
              <w:rPr>
                <w:rFonts w:ascii="Arial"/>
                <w:sz w:val="21"/>
              </w:rPr>
            </w:pPr>
            <w:r/>
          </w:p>
        </w:tc>
      </w:tr>
      <w:tr>
        <w:trPr>
          <w:trHeight w:val="948"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11" w:right="22" w:firstLine="39"/>
              <w:spacing w:before="69" w:line="255" w:lineRule="auto"/>
              <w:jc w:val="both"/>
              <w:rPr/>
            </w:pPr>
            <w:r>
              <w:rPr>
                <w:spacing w:val="-12"/>
              </w:rPr>
              <w:t>(</w:t>
            </w:r>
            <w:r>
              <w:rPr>
                <w:spacing w:val="-28"/>
              </w:rPr>
              <w:t xml:space="preserve"> </w:t>
            </w:r>
            <w:r>
              <w:rPr>
                <w:spacing w:val="-12"/>
              </w:rPr>
              <w:t>三</w:t>
            </w:r>
            <w:r>
              <w:rPr>
                <w:spacing w:val="-29"/>
              </w:rPr>
              <w:t xml:space="preserve"> </w:t>
            </w:r>
            <w:r>
              <w:rPr>
                <w:spacing w:val="-12"/>
              </w:rPr>
              <w:t>)</w:t>
            </w:r>
            <w:r>
              <w:rPr>
                <w:spacing w:val="-30"/>
              </w:rPr>
              <w:t xml:space="preserve"> </w:t>
            </w:r>
            <w:r>
              <w:rPr>
                <w:spacing w:val="-12"/>
              </w:rPr>
              <w:t>个</w:t>
            </w:r>
            <w:r>
              <w:rPr>
                <w:spacing w:val="-28"/>
              </w:rPr>
              <w:t xml:space="preserve"> </w:t>
            </w:r>
            <w:r>
              <w:rPr>
                <w:spacing w:val="-12"/>
              </w:rPr>
              <w:t>人</w:t>
            </w:r>
            <w:r>
              <w:rPr/>
              <w:t xml:space="preserve"> </w:t>
            </w:r>
            <w:r>
              <w:rPr>
                <w:spacing w:val="11"/>
              </w:rPr>
              <w:t>柜台查询自</w:t>
            </w:r>
            <w:r>
              <w:rPr/>
              <w:t xml:space="preserve"> </w:t>
            </w:r>
            <w:r>
              <w:rPr>
                <w:spacing w:val="8"/>
              </w:rPr>
              <w:t>身信用报告</w:t>
            </w:r>
            <w:r>
              <w:rPr/>
              <w:t xml:space="preserve"> </w:t>
            </w:r>
            <w:r>
              <w:rPr>
                <w:spacing w:val="4"/>
              </w:rPr>
              <w:t>收费</w:t>
            </w:r>
          </w:p>
        </w:tc>
        <w:tc>
          <w:tcPr>
            <w:tcW w:w="3396" w:type="dxa"/>
            <w:vAlign w:val="top"/>
          </w:tcPr>
          <w:p>
            <w:pPr>
              <w:pStyle w:val="TableText"/>
              <w:ind w:left="11" w:right="369" w:firstLine="10"/>
              <w:spacing w:before="80" w:line="245" w:lineRule="auto"/>
              <w:rPr/>
            </w:pPr>
            <w:r>
              <w:rPr>
                <w:spacing w:val="-1"/>
              </w:rPr>
              <w:t>每年前2次免费，自第3次起每次收费10元，不</w:t>
            </w:r>
            <w:r>
              <w:rPr>
                <w:spacing w:val="15"/>
              </w:rPr>
              <w:t xml:space="preserve"> </w:t>
            </w:r>
            <w:r>
              <w:rPr>
                <w:spacing w:val="-1"/>
              </w:rPr>
              <w:t>得另行收取纸张费、打印费等其它费用。</w:t>
            </w:r>
          </w:p>
        </w:tc>
        <w:tc>
          <w:tcPr>
            <w:tcW w:w="799" w:type="dxa"/>
            <w:vAlign w:val="top"/>
          </w:tcPr>
          <w:p>
            <w:pPr>
              <w:pStyle w:val="TableText"/>
              <w:ind w:left="15" w:firstLine="9"/>
              <w:spacing w:before="58" w:line="255" w:lineRule="auto"/>
              <w:jc w:val="both"/>
              <w:rPr/>
            </w:pPr>
            <w:r>
              <w:rPr>
                <w:spacing w:val="20"/>
              </w:rPr>
              <w:t>发改价格</w:t>
            </w:r>
            <w:r>
              <w:rPr/>
              <w:t xml:space="preserve">  </w:t>
            </w:r>
            <w:r>
              <w:rPr>
                <w:spacing w:val="3"/>
              </w:rPr>
              <w:t>规〔2019〕</w:t>
            </w:r>
            <w:r>
              <w:rPr>
                <w:spacing w:val="1"/>
              </w:rPr>
              <w:t xml:space="preserve"> </w:t>
            </w:r>
            <w:r>
              <w:rPr>
                <w:spacing w:val="-3"/>
              </w:rPr>
              <w:t>1318号</w:t>
            </w:r>
          </w:p>
        </w:tc>
        <w:tc>
          <w:tcPr>
            <w:tcW w:w="679" w:type="dxa"/>
            <w:vAlign w:val="top"/>
          </w:tcPr>
          <w:p>
            <w:pPr>
              <w:pStyle w:val="TableText"/>
              <w:ind w:left="16" w:right="50" w:firstLine="10"/>
              <w:spacing w:before="50"/>
              <w:rPr/>
            </w:pPr>
            <w:r>
              <w:rPr>
                <w:spacing w:val="-3"/>
              </w:rPr>
              <w:t>发展改革</w:t>
            </w:r>
            <w:r>
              <w:rPr>
                <w:spacing w:val="2"/>
              </w:rPr>
              <w:t xml:space="preserve"> </w:t>
            </w:r>
            <w:r>
              <w:rPr/>
              <w:t>委</w:t>
            </w:r>
          </w:p>
        </w:tc>
        <w:tc>
          <w:tcPr>
            <w:tcW w:w="659" w:type="dxa"/>
            <w:vAlign w:val="top"/>
          </w:tcPr>
          <w:p>
            <w:pPr>
              <w:pStyle w:val="TableText"/>
              <w:ind w:left="27"/>
              <w:spacing w:before="50" w:line="220" w:lineRule="auto"/>
              <w:rPr/>
            </w:pPr>
            <w:r>
              <w:rPr>
                <w:spacing w:val="-2"/>
              </w:rPr>
              <w:t>人民银行</w:t>
            </w:r>
          </w:p>
        </w:tc>
        <w:tc>
          <w:tcPr>
            <w:tcW w:w="390" w:type="dxa"/>
            <w:vAlign w:val="top"/>
          </w:tcPr>
          <w:p>
            <w:pPr>
              <w:pStyle w:val="TableText"/>
              <w:ind w:left="119"/>
              <w:spacing w:before="60" w:line="220" w:lineRule="auto"/>
              <w:rPr/>
            </w:pPr>
            <w:r>
              <w:rPr/>
              <w:t>否</w:t>
            </w:r>
          </w:p>
        </w:tc>
        <w:tc>
          <w:tcPr>
            <w:tcW w:w="500" w:type="dxa"/>
            <w:vAlign w:val="top"/>
          </w:tcPr>
          <w:p>
            <w:pPr>
              <w:pStyle w:val="TableText"/>
              <w:ind w:left="168"/>
              <w:spacing w:before="60" w:line="220" w:lineRule="auto"/>
              <w:rPr/>
            </w:pPr>
            <w:r>
              <w:rPr/>
              <w:t>否</w:t>
            </w:r>
          </w:p>
        </w:tc>
        <w:tc>
          <w:tcPr>
            <w:tcW w:w="529" w:type="dxa"/>
            <w:vAlign w:val="top"/>
          </w:tcPr>
          <w:p>
            <w:pPr>
              <w:pStyle w:val="TableText"/>
              <w:ind w:left="188"/>
              <w:spacing w:before="60" w:line="220" w:lineRule="auto"/>
              <w:rPr/>
            </w:pPr>
            <w:r>
              <w:rPr/>
              <w:t>否</w:t>
            </w:r>
          </w:p>
        </w:tc>
        <w:tc>
          <w:tcPr>
            <w:tcW w:w="694" w:type="dxa"/>
            <w:vAlign w:val="top"/>
          </w:tcPr>
          <w:p>
            <w:pPr>
              <w:rPr>
                <w:rFonts w:ascii="Arial"/>
                <w:sz w:val="21"/>
              </w:rPr>
            </w:pPr>
            <w:r/>
          </w:p>
        </w:tc>
      </w:tr>
      <w:tr>
        <w:trPr>
          <w:trHeight w:val="729"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11" w:right="32" w:firstLine="10"/>
              <w:spacing w:before="61" w:line="258" w:lineRule="auto"/>
              <w:jc w:val="both"/>
              <w:rPr/>
            </w:pPr>
            <w:r>
              <w:rPr>
                <w:spacing w:val="-15"/>
              </w:rPr>
              <w:t>(</w:t>
            </w:r>
            <w:r>
              <w:rPr>
                <w:spacing w:val="3"/>
              </w:rPr>
              <w:t xml:space="preserve"> </w:t>
            </w:r>
            <w:r>
              <w:rPr>
                <w:spacing w:val="-15"/>
              </w:rPr>
              <w:t>四</w:t>
            </w:r>
            <w:r>
              <w:rPr>
                <w:spacing w:val="-14"/>
              </w:rPr>
              <w:t xml:space="preserve"> </w:t>
            </w:r>
            <w:r>
              <w:rPr>
                <w:spacing w:val="-15"/>
              </w:rPr>
              <w:t>) 应 收</w:t>
            </w:r>
            <w:r>
              <w:rPr/>
              <w:t xml:space="preserve"> </w:t>
            </w:r>
            <w:r>
              <w:rPr>
                <w:spacing w:val="4"/>
              </w:rPr>
              <w:t>账款质押登</w:t>
            </w:r>
            <w:r>
              <w:rPr/>
              <w:t xml:space="preserve"> </w:t>
            </w:r>
            <w:r>
              <w:rPr>
                <w:spacing w:val="-2"/>
              </w:rPr>
              <w:t>记收费</w:t>
            </w:r>
          </w:p>
        </w:tc>
        <w:tc>
          <w:tcPr>
            <w:tcW w:w="3396" w:type="dxa"/>
            <w:vAlign w:val="top"/>
          </w:tcPr>
          <w:p>
            <w:pPr>
              <w:pStyle w:val="TableText"/>
              <w:ind w:left="11"/>
              <w:spacing w:before="72" w:line="219" w:lineRule="auto"/>
              <w:rPr/>
            </w:pPr>
            <w:r>
              <w:rPr>
                <w:spacing w:val="-2"/>
              </w:rPr>
              <w:t>30元/件·年</w:t>
            </w:r>
          </w:p>
        </w:tc>
        <w:tc>
          <w:tcPr>
            <w:tcW w:w="799" w:type="dxa"/>
            <w:vAlign w:val="top"/>
          </w:tcPr>
          <w:p>
            <w:pPr>
              <w:pStyle w:val="TableText"/>
              <w:ind w:left="15" w:firstLine="9"/>
              <w:spacing w:before="71" w:line="255" w:lineRule="auto"/>
              <w:jc w:val="both"/>
              <w:rPr/>
            </w:pPr>
            <w:r>
              <w:rPr>
                <w:spacing w:val="20"/>
              </w:rPr>
              <w:t>发改价格</w:t>
            </w:r>
            <w:r>
              <w:rPr/>
              <w:t xml:space="preserve">  </w:t>
            </w:r>
            <w:r>
              <w:rPr>
                <w:spacing w:val="3"/>
              </w:rPr>
              <w:t>规〔2019〕</w:t>
            </w:r>
            <w:r>
              <w:rPr>
                <w:spacing w:val="1"/>
              </w:rPr>
              <w:t xml:space="preserve"> </w:t>
            </w:r>
            <w:r>
              <w:rPr>
                <w:spacing w:val="-3"/>
              </w:rPr>
              <w:t>1318号</w:t>
            </w:r>
          </w:p>
        </w:tc>
        <w:tc>
          <w:tcPr>
            <w:tcW w:w="679" w:type="dxa"/>
            <w:vAlign w:val="top"/>
          </w:tcPr>
          <w:p>
            <w:pPr>
              <w:pStyle w:val="TableText"/>
              <w:ind w:left="16" w:right="60"/>
              <w:spacing w:before="72"/>
              <w:rPr/>
            </w:pPr>
            <w:r>
              <w:rPr>
                <w:spacing w:val="-3"/>
              </w:rPr>
              <w:t>发展改革</w:t>
            </w:r>
            <w:r>
              <w:rPr>
                <w:spacing w:val="2"/>
              </w:rPr>
              <w:t xml:space="preserve"> </w:t>
            </w:r>
            <w:r>
              <w:rPr/>
              <w:t>委</w:t>
            </w:r>
          </w:p>
        </w:tc>
        <w:tc>
          <w:tcPr>
            <w:tcW w:w="659" w:type="dxa"/>
            <w:vAlign w:val="top"/>
          </w:tcPr>
          <w:p>
            <w:pPr>
              <w:pStyle w:val="TableText"/>
              <w:ind w:left="27"/>
              <w:spacing w:before="72" w:line="220" w:lineRule="auto"/>
              <w:rPr/>
            </w:pPr>
            <w:r>
              <w:rPr>
                <w:spacing w:val="-2"/>
              </w:rPr>
              <w:t>人民银行</w:t>
            </w:r>
          </w:p>
        </w:tc>
        <w:tc>
          <w:tcPr>
            <w:tcW w:w="390" w:type="dxa"/>
            <w:vAlign w:val="top"/>
          </w:tcPr>
          <w:p>
            <w:pPr>
              <w:pStyle w:val="TableText"/>
              <w:ind w:left="119"/>
              <w:spacing w:before="54" w:line="223" w:lineRule="auto"/>
              <w:rPr/>
            </w:pPr>
            <w:r>
              <w:rPr/>
              <w:t>是</w:t>
            </w:r>
          </w:p>
        </w:tc>
        <w:tc>
          <w:tcPr>
            <w:tcW w:w="500" w:type="dxa"/>
            <w:vAlign w:val="top"/>
          </w:tcPr>
          <w:p>
            <w:pPr>
              <w:pStyle w:val="TableText"/>
              <w:ind w:left="168"/>
              <w:spacing w:before="72" w:line="220" w:lineRule="auto"/>
              <w:rPr/>
            </w:pPr>
            <w:r>
              <w:rPr/>
              <w:t>否</w:t>
            </w:r>
          </w:p>
        </w:tc>
        <w:tc>
          <w:tcPr>
            <w:tcW w:w="529" w:type="dxa"/>
            <w:vAlign w:val="top"/>
          </w:tcPr>
          <w:p>
            <w:pPr>
              <w:pStyle w:val="TableText"/>
              <w:ind w:left="188"/>
              <w:spacing w:before="62" w:line="220" w:lineRule="auto"/>
              <w:rPr/>
            </w:pPr>
            <w:r>
              <w:rPr/>
              <w:t>否</w:t>
            </w:r>
          </w:p>
        </w:tc>
        <w:tc>
          <w:tcPr>
            <w:tcW w:w="694" w:type="dxa"/>
            <w:vAlign w:val="top"/>
          </w:tcPr>
          <w:p>
            <w:pPr>
              <w:rPr>
                <w:rFonts w:ascii="Arial"/>
                <w:sz w:val="21"/>
              </w:rPr>
            </w:pPr>
            <w:r/>
          </w:p>
        </w:tc>
      </w:tr>
      <w:tr>
        <w:trPr>
          <w:trHeight w:val="1158"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11" w:right="53" w:firstLine="39"/>
              <w:spacing w:before="72" w:line="261" w:lineRule="auto"/>
              <w:jc w:val="both"/>
              <w:rPr/>
            </w:pPr>
            <w:r>
              <w:rPr>
                <w:spacing w:val="-12"/>
                <w:w w:val="99"/>
              </w:rPr>
              <w:t>(</w:t>
            </w:r>
            <w:r>
              <w:rPr>
                <w:spacing w:val="-27"/>
              </w:rPr>
              <w:t xml:space="preserve"> </w:t>
            </w:r>
            <w:r>
              <w:rPr>
                <w:spacing w:val="-12"/>
                <w:w w:val="99"/>
              </w:rPr>
              <w:t>五</w:t>
            </w:r>
            <w:r>
              <w:rPr>
                <w:spacing w:val="-29"/>
              </w:rPr>
              <w:t xml:space="preserve"> </w:t>
            </w:r>
            <w:r>
              <w:rPr>
                <w:spacing w:val="-12"/>
                <w:w w:val="99"/>
              </w:rPr>
              <w:t>)</w:t>
            </w:r>
            <w:r>
              <w:rPr>
                <w:spacing w:val="-29"/>
              </w:rPr>
              <w:t xml:space="preserve"> </w:t>
            </w:r>
            <w:r>
              <w:rPr>
                <w:spacing w:val="-12"/>
                <w:w w:val="99"/>
              </w:rPr>
              <w:t>应</w:t>
            </w:r>
            <w:r>
              <w:rPr>
                <w:spacing w:val="-25"/>
              </w:rPr>
              <w:t xml:space="preserve"> </w:t>
            </w:r>
            <w:r>
              <w:rPr>
                <w:spacing w:val="-12"/>
                <w:w w:val="99"/>
              </w:rPr>
              <w:t>收</w:t>
            </w:r>
            <w:r>
              <w:rPr/>
              <w:t xml:space="preserve"> </w:t>
            </w:r>
            <w:r>
              <w:rPr>
                <w:spacing w:val="4"/>
              </w:rPr>
              <w:t>账款质押征</w:t>
            </w:r>
            <w:r>
              <w:rPr/>
              <w:t xml:space="preserve"> </w:t>
            </w:r>
            <w:r>
              <w:rPr>
                <w:spacing w:val="4"/>
              </w:rPr>
              <w:t>信登记系统</w:t>
            </w:r>
            <w:r>
              <w:rPr>
                <w:spacing w:val="3"/>
              </w:rPr>
              <w:t xml:space="preserve"> </w:t>
            </w:r>
            <w:r>
              <w:rPr>
                <w:spacing w:val="4"/>
              </w:rPr>
              <w:t>变更登记收</w:t>
            </w:r>
            <w:r>
              <w:rPr>
                <w:spacing w:val="3"/>
              </w:rPr>
              <w:t xml:space="preserve"> </w:t>
            </w:r>
            <w:r>
              <w:rPr/>
              <w:t>费</w:t>
            </w:r>
          </w:p>
        </w:tc>
        <w:tc>
          <w:tcPr>
            <w:tcW w:w="3396" w:type="dxa"/>
            <w:vAlign w:val="top"/>
          </w:tcPr>
          <w:p>
            <w:pPr>
              <w:pStyle w:val="TableText"/>
              <w:ind w:left="11"/>
              <w:spacing w:before="73" w:line="219" w:lineRule="auto"/>
              <w:rPr/>
            </w:pPr>
            <w:r>
              <w:rPr>
                <w:spacing w:val="-3"/>
              </w:rPr>
              <w:t>10元/件·次</w:t>
            </w:r>
          </w:p>
        </w:tc>
        <w:tc>
          <w:tcPr>
            <w:tcW w:w="799" w:type="dxa"/>
            <w:vAlign w:val="top"/>
          </w:tcPr>
          <w:p>
            <w:pPr>
              <w:pStyle w:val="TableText"/>
              <w:ind w:left="15" w:firstLine="9"/>
              <w:spacing w:before="71" w:line="247" w:lineRule="auto"/>
              <w:jc w:val="both"/>
              <w:rPr/>
            </w:pPr>
            <w:r>
              <w:rPr>
                <w:spacing w:val="20"/>
              </w:rPr>
              <w:t>发改价格</w:t>
            </w:r>
            <w:r>
              <w:rPr/>
              <w:t xml:space="preserve">  </w:t>
            </w:r>
            <w:r>
              <w:rPr>
                <w:spacing w:val="3"/>
              </w:rPr>
              <w:t>规〔2019〕</w:t>
            </w:r>
            <w:r>
              <w:rPr>
                <w:spacing w:val="1"/>
              </w:rPr>
              <w:t xml:space="preserve"> </w:t>
            </w:r>
            <w:r>
              <w:rPr>
                <w:spacing w:val="-3"/>
              </w:rPr>
              <w:t>1318号</w:t>
            </w:r>
          </w:p>
        </w:tc>
        <w:tc>
          <w:tcPr>
            <w:tcW w:w="679" w:type="dxa"/>
            <w:vAlign w:val="top"/>
          </w:tcPr>
          <w:p>
            <w:pPr>
              <w:pStyle w:val="TableText"/>
              <w:ind w:left="16" w:right="50" w:firstLine="10"/>
              <w:spacing w:before="73" w:line="234" w:lineRule="auto"/>
              <w:rPr/>
            </w:pPr>
            <w:r>
              <w:rPr>
                <w:spacing w:val="-3"/>
              </w:rPr>
              <w:t>发展改革</w:t>
            </w:r>
            <w:r>
              <w:rPr>
                <w:spacing w:val="2"/>
              </w:rPr>
              <w:t xml:space="preserve"> </w:t>
            </w:r>
            <w:r>
              <w:rPr/>
              <w:t>委</w:t>
            </w:r>
          </w:p>
        </w:tc>
        <w:tc>
          <w:tcPr>
            <w:tcW w:w="659" w:type="dxa"/>
            <w:vAlign w:val="top"/>
          </w:tcPr>
          <w:p>
            <w:pPr>
              <w:pStyle w:val="TableText"/>
              <w:ind w:left="27"/>
              <w:spacing w:before="73" w:line="220" w:lineRule="auto"/>
              <w:rPr/>
            </w:pPr>
            <w:r>
              <w:rPr>
                <w:spacing w:val="-2"/>
              </w:rPr>
              <w:t>人民银行</w:t>
            </w:r>
          </w:p>
        </w:tc>
        <w:tc>
          <w:tcPr>
            <w:tcW w:w="390" w:type="dxa"/>
            <w:vAlign w:val="top"/>
          </w:tcPr>
          <w:p>
            <w:pPr>
              <w:pStyle w:val="TableText"/>
              <w:ind w:left="119"/>
              <w:spacing w:before="75" w:line="223" w:lineRule="auto"/>
              <w:rPr/>
            </w:pPr>
            <w:r>
              <w:rPr/>
              <w:t>是</w:t>
            </w:r>
          </w:p>
        </w:tc>
        <w:tc>
          <w:tcPr>
            <w:tcW w:w="500" w:type="dxa"/>
            <w:vAlign w:val="top"/>
          </w:tcPr>
          <w:p>
            <w:pPr>
              <w:pStyle w:val="TableText"/>
              <w:ind w:left="168"/>
              <w:spacing w:before="73" w:line="220" w:lineRule="auto"/>
              <w:rPr/>
            </w:pPr>
            <w:r>
              <w:rPr/>
              <w:t>否</w:t>
            </w:r>
          </w:p>
        </w:tc>
        <w:tc>
          <w:tcPr>
            <w:tcW w:w="529" w:type="dxa"/>
            <w:vAlign w:val="top"/>
          </w:tcPr>
          <w:p>
            <w:pPr>
              <w:pStyle w:val="TableText"/>
              <w:ind w:left="188"/>
              <w:spacing w:before="73" w:line="220" w:lineRule="auto"/>
              <w:rPr/>
            </w:pPr>
            <w:r>
              <w:rPr/>
              <w:t>否</w:t>
            </w:r>
          </w:p>
        </w:tc>
        <w:tc>
          <w:tcPr>
            <w:tcW w:w="694" w:type="dxa"/>
            <w:vAlign w:val="top"/>
          </w:tcPr>
          <w:p>
            <w:pPr>
              <w:rPr>
                <w:rFonts w:ascii="Arial"/>
                <w:sz w:val="21"/>
              </w:rPr>
            </w:pPr>
            <w:r/>
          </w:p>
        </w:tc>
      </w:tr>
      <w:tr>
        <w:trPr>
          <w:trHeight w:val="1173" w:hRule="atLeast"/>
        </w:trPr>
        <w:tc>
          <w:tcPr>
            <w:tcW w:w="295"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849" w:type="dxa"/>
            <w:vAlign w:val="top"/>
          </w:tcPr>
          <w:p>
            <w:pPr>
              <w:pStyle w:val="TableText"/>
              <w:ind w:left="11" w:right="53" w:firstLine="99"/>
              <w:spacing w:before="86" w:line="258" w:lineRule="auto"/>
              <w:jc w:val="both"/>
              <w:rPr/>
            </w:pPr>
            <w:r>
              <w:rPr>
                <w:spacing w:val="1"/>
              </w:rPr>
              <w:t>(六)应收</w:t>
            </w:r>
            <w:r>
              <w:rPr/>
              <w:t xml:space="preserve">  </w:t>
            </w:r>
            <w:r>
              <w:rPr>
                <w:spacing w:val="4"/>
              </w:rPr>
              <w:t>账款质押征</w:t>
            </w:r>
            <w:r>
              <w:rPr/>
              <w:t xml:space="preserve"> </w:t>
            </w:r>
            <w:r>
              <w:rPr>
                <w:spacing w:val="4"/>
              </w:rPr>
              <w:t>信登记系统</w:t>
            </w:r>
            <w:r>
              <w:rPr>
                <w:spacing w:val="3"/>
              </w:rPr>
              <w:t xml:space="preserve"> </w:t>
            </w:r>
            <w:r>
              <w:rPr>
                <w:spacing w:val="4"/>
              </w:rPr>
              <w:t>异议登记收</w:t>
            </w:r>
            <w:r>
              <w:rPr>
                <w:spacing w:val="1"/>
              </w:rPr>
              <w:t xml:space="preserve"> </w:t>
            </w:r>
            <w:r>
              <w:rPr/>
              <w:t>费</w:t>
            </w:r>
          </w:p>
        </w:tc>
        <w:tc>
          <w:tcPr>
            <w:tcW w:w="3396" w:type="dxa"/>
            <w:vAlign w:val="top"/>
          </w:tcPr>
          <w:p>
            <w:pPr>
              <w:pStyle w:val="TableText"/>
              <w:ind w:left="11"/>
              <w:spacing w:before="85" w:line="219" w:lineRule="auto"/>
              <w:rPr/>
            </w:pPr>
            <w:r>
              <w:rPr>
                <w:spacing w:val="-3"/>
              </w:rPr>
              <w:t>10元/件·次</w:t>
            </w:r>
          </w:p>
        </w:tc>
        <w:tc>
          <w:tcPr>
            <w:tcW w:w="799" w:type="dxa"/>
            <w:vAlign w:val="top"/>
          </w:tcPr>
          <w:p>
            <w:pPr>
              <w:pStyle w:val="TableText"/>
              <w:ind w:left="15" w:firstLine="9"/>
              <w:spacing w:before="63" w:line="255" w:lineRule="auto"/>
              <w:jc w:val="both"/>
              <w:rPr/>
            </w:pPr>
            <w:r>
              <w:rPr>
                <w:spacing w:val="18"/>
              </w:rPr>
              <w:t>发改价格</w:t>
            </w:r>
            <w:r>
              <w:rPr/>
              <w:t xml:space="preserve">  </w:t>
            </w:r>
            <w:r>
              <w:rPr>
                <w:spacing w:val="3"/>
              </w:rPr>
              <w:t>规〔2019〕</w:t>
            </w:r>
            <w:r>
              <w:rPr>
                <w:spacing w:val="1"/>
              </w:rPr>
              <w:t xml:space="preserve"> </w:t>
            </w:r>
            <w:r>
              <w:rPr>
                <w:spacing w:val="-4"/>
              </w:rPr>
              <w:t>1318号</w:t>
            </w:r>
          </w:p>
        </w:tc>
        <w:tc>
          <w:tcPr>
            <w:tcW w:w="679" w:type="dxa"/>
            <w:vAlign w:val="top"/>
          </w:tcPr>
          <w:p>
            <w:pPr>
              <w:pStyle w:val="TableText"/>
              <w:ind w:left="16" w:right="60"/>
              <w:spacing w:before="64" w:line="259" w:lineRule="auto"/>
              <w:rPr/>
            </w:pPr>
            <w:r>
              <w:rPr>
                <w:spacing w:val="-3"/>
              </w:rPr>
              <w:t>发展改革</w:t>
            </w:r>
            <w:r>
              <w:rPr>
                <w:spacing w:val="2"/>
              </w:rPr>
              <w:t xml:space="preserve"> </w:t>
            </w:r>
            <w:r>
              <w:rPr/>
              <w:t>委</w:t>
            </w:r>
          </w:p>
        </w:tc>
        <w:tc>
          <w:tcPr>
            <w:tcW w:w="659" w:type="dxa"/>
            <w:vAlign w:val="top"/>
          </w:tcPr>
          <w:p>
            <w:pPr>
              <w:pStyle w:val="TableText"/>
              <w:ind w:left="27"/>
              <w:spacing w:before="65" w:line="220" w:lineRule="auto"/>
              <w:rPr/>
            </w:pPr>
            <w:r>
              <w:rPr>
                <w:spacing w:val="-2"/>
              </w:rPr>
              <w:t>人民银行</w:t>
            </w:r>
          </w:p>
        </w:tc>
        <w:tc>
          <w:tcPr>
            <w:tcW w:w="390" w:type="dxa"/>
            <w:vAlign w:val="top"/>
          </w:tcPr>
          <w:p>
            <w:pPr>
              <w:pStyle w:val="TableText"/>
              <w:ind w:left="119"/>
              <w:spacing w:before="67" w:line="223" w:lineRule="auto"/>
              <w:rPr/>
            </w:pPr>
            <w:r>
              <w:rPr/>
              <w:t>是</w:t>
            </w:r>
          </w:p>
        </w:tc>
        <w:tc>
          <w:tcPr>
            <w:tcW w:w="500" w:type="dxa"/>
            <w:vAlign w:val="top"/>
          </w:tcPr>
          <w:p>
            <w:pPr>
              <w:pStyle w:val="TableText"/>
              <w:ind w:left="168"/>
              <w:spacing w:before="75" w:line="220" w:lineRule="auto"/>
              <w:rPr/>
            </w:pPr>
            <w:r>
              <w:rPr/>
              <w:t>否</w:t>
            </w:r>
          </w:p>
        </w:tc>
        <w:tc>
          <w:tcPr>
            <w:tcW w:w="529" w:type="dxa"/>
            <w:vAlign w:val="top"/>
          </w:tcPr>
          <w:p>
            <w:pPr>
              <w:pStyle w:val="TableText"/>
              <w:ind w:left="188"/>
              <w:spacing w:before="75" w:line="220" w:lineRule="auto"/>
              <w:rPr/>
            </w:pPr>
            <w:r>
              <w:rPr/>
              <w:t>否</w:t>
            </w:r>
          </w:p>
        </w:tc>
        <w:tc>
          <w:tcPr>
            <w:tcW w:w="694" w:type="dxa"/>
            <w:vAlign w:val="top"/>
          </w:tcPr>
          <w:p>
            <w:pPr>
              <w:rPr>
                <w:rFonts w:ascii="Arial"/>
                <w:sz w:val="21"/>
              </w:rPr>
            </w:pPr>
            <w:r/>
          </w:p>
        </w:tc>
      </w:tr>
    </w:tbl>
    <w:p>
      <w:pPr>
        <w:pStyle w:val="BodyText"/>
        <w:rPr/>
      </w:pPr>
      <w:r/>
    </w:p>
    <w:p>
      <w:pPr>
        <w:sectPr>
          <w:pgSz w:w="11910" w:h="8220"/>
          <w:pgMar w:top="400" w:right="114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93472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70" name="TextBox 370"/>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2" style="position:absolute;margin-left:37.0402pt;margin-top:345.135pt;mso-position-vertical-relative:page;mso-position-horizontal-relative:page;width:13.6pt;height:12.35pt;z-index:25193472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273</w:t>
                      </w:r>
                    </w:p>
                  </w:txbxContent>
                </v:textbox>
              </v:shape>
            </w:pict>
          </mc:Fallback>
        </mc:AlternateContent>
      </w:r>
      <w:r/>
    </w:p>
    <w:p>
      <w:pPr>
        <w:spacing w:before="46"/>
        <w:rPr/>
      </w:pPr>
      <w:r/>
    </w:p>
    <w:tbl>
      <w:tblPr>
        <w:tblStyle w:val="TableNormal"/>
        <w:tblW w:w="963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849"/>
        <w:gridCol w:w="849"/>
        <w:gridCol w:w="3396"/>
        <w:gridCol w:w="799"/>
        <w:gridCol w:w="679"/>
        <w:gridCol w:w="659"/>
        <w:gridCol w:w="390"/>
        <w:gridCol w:w="500"/>
        <w:gridCol w:w="529"/>
        <w:gridCol w:w="694"/>
      </w:tblGrid>
      <w:tr>
        <w:trPr>
          <w:trHeight w:val="684" w:hRule="atLeast"/>
        </w:trPr>
        <w:tc>
          <w:tcPr>
            <w:tcW w:w="295" w:type="dxa"/>
            <w:vAlign w:val="top"/>
            <w:textDirection w:val="tbRlV"/>
          </w:tcPr>
          <w:p>
            <w:pPr>
              <w:pStyle w:val="TableText"/>
              <w:ind w:left="147"/>
              <w:spacing w:before="80" w:line="216" w:lineRule="auto"/>
              <w:rPr/>
            </w:pPr>
            <w:r>
              <w:rPr/>
              <w:t>类 型</w:t>
            </w:r>
          </w:p>
        </w:tc>
        <w:tc>
          <w:tcPr>
            <w:tcW w:w="849" w:type="dxa"/>
            <w:vAlign w:val="top"/>
          </w:tcPr>
          <w:p>
            <w:pPr>
              <w:pStyle w:val="TableText"/>
              <w:ind w:left="109"/>
              <w:spacing w:before="271" w:line="220" w:lineRule="auto"/>
              <w:rPr/>
            </w:pPr>
            <w:r>
              <w:rPr>
                <w:spacing w:val="7"/>
              </w:rPr>
              <w:t>一级项目</w:t>
            </w:r>
          </w:p>
        </w:tc>
        <w:tc>
          <w:tcPr>
            <w:tcW w:w="849" w:type="dxa"/>
            <w:vAlign w:val="top"/>
          </w:tcPr>
          <w:p>
            <w:pPr>
              <w:pStyle w:val="TableText"/>
              <w:ind w:left="110"/>
              <w:spacing w:before="271" w:line="220" w:lineRule="auto"/>
              <w:rPr/>
            </w:pPr>
            <w:r>
              <w:rPr>
                <w:spacing w:val="7"/>
              </w:rPr>
              <w:t>二级项目</w:t>
            </w:r>
          </w:p>
        </w:tc>
        <w:tc>
          <w:tcPr>
            <w:tcW w:w="3396" w:type="dxa"/>
            <w:vAlign w:val="top"/>
          </w:tcPr>
          <w:p>
            <w:pPr>
              <w:pStyle w:val="TableText"/>
              <w:ind w:left="1391"/>
              <w:spacing w:before="271" w:line="219" w:lineRule="auto"/>
              <w:rPr/>
            </w:pPr>
            <w:r>
              <w:rPr>
                <w:spacing w:val="-3"/>
              </w:rPr>
              <w:t>收费标准</w:t>
            </w:r>
          </w:p>
        </w:tc>
        <w:tc>
          <w:tcPr>
            <w:tcW w:w="799" w:type="dxa"/>
            <w:vAlign w:val="top"/>
          </w:tcPr>
          <w:p>
            <w:pPr>
              <w:pStyle w:val="TableText"/>
              <w:ind w:left="165" w:right="104" w:hanging="69"/>
              <w:spacing w:before="181" w:line="234" w:lineRule="auto"/>
              <w:rPr/>
            </w:pPr>
            <w:r>
              <w:rPr>
                <w:spacing w:val="-3"/>
              </w:rPr>
              <w:t>收费文件</w:t>
            </w:r>
            <w:r>
              <w:rPr/>
              <w:t xml:space="preserve"> </w:t>
            </w:r>
            <w:r>
              <w:rPr>
                <w:spacing w:val="8"/>
              </w:rPr>
              <w:t>(文号)</w:t>
            </w:r>
          </w:p>
        </w:tc>
        <w:tc>
          <w:tcPr>
            <w:tcW w:w="679" w:type="dxa"/>
            <w:vAlign w:val="top"/>
          </w:tcPr>
          <w:p>
            <w:pPr>
              <w:pStyle w:val="TableText"/>
              <w:ind w:left="16"/>
              <w:spacing w:before="269" w:line="218" w:lineRule="auto"/>
              <w:rPr/>
            </w:pPr>
            <w:r>
              <w:rPr>
                <w:spacing w:val="4"/>
              </w:rPr>
              <w:t>定价部门</w:t>
            </w:r>
          </w:p>
        </w:tc>
        <w:tc>
          <w:tcPr>
            <w:tcW w:w="659" w:type="dxa"/>
            <w:vAlign w:val="top"/>
          </w:tcPr>
          <w:p>
            <w:pPr>
              <w:pStyle w:val="TableText"/>
              <w:ind w:left="177" w:right="29" w:hanging="150"/>
              <w:spacing w:before="180" w:line="239" w:lineRule="auto"/>
              <w:rPr/>
            </w:pPr>
            <w:r>
              <w:rPr>
                <w:spacing w:val="-3"/>
              </w:rPr>
              <w:t>行业主管</w:t>
            </w:r>
            <w:r>
              <w:rPr>
                <w:spacing w:val="2"/>
              </w:rPr>
              <w:t xml:space="preserve"> </w:t>
            </w:r>
            <w:r>
              <w:rPr>
                <w:spacing w:val="8"/>
              </w:rPr>
              <w:t>部门</w:t>
            </w:r>
          </w:p>
        </w:tc>
        <w:tc>
          <w:tcPr>
            <w:tcW w:w="390" w:type="dxa"/>
            <w:vAlign w:val="top"/>
          </w:tcPr>
          <w:p>
            <w:pPr>
              <w:pStyle w:val="TableText"/>
              <w:ind w:left="38" w:right="48"/>
              <w:spacing w:before="162" w:line="252" w:lineRule="auto"/>
              <w:rPr/>
            </w:pPr>
            <w:r>
              <w:rPr>
                <w:spacing w:val="-5"/>
              </w:rPr>
              <w:t>是否</w:t>
            </w:r>
            <w:r>
              <w:rPr/>
              <w:t xml:space="preserve"> </w:t>
            </w:r>
            <w:r>
              <w:rPr>
                <w:spacing w:val="-4"/>
              </w:rPr>
              <w:t>涉企</w:t>
            </w:r>
          </w:p>
        </w:tc>
        <w:tc>
          <w:tcPr>
            <w:tcW w:w="500" w:type="dxa"/>
            <w:vAlign w:val="top"/>
          </w:tcPr>
          <w:p>
            <w:pPr>
              <w:pStyle w:val="TableText"/>
              <w:ind w:left="19"/>
              <w:spacing w:before="41" w:line="220" w:lineRule="auto"/>
              <w:rPr/>
            </w:pPr>
            <w:r>
              <w:rPr>
                <w:spacing w:val="-2"/>
              </w:rPr>
              <w:t>是否行</w:t>
            </w:r>
          </w:p>
          <w:p>
            <w:pPr>
              <w:pStyle w:val="TableText"/>
              <w:ind w:left="19"/>
              <w:spacing w:before="51" w:line="220" w:lineRule="auto"/>
              <w:rPr/>
            </w:pPr>
            <w:r>
              <w:rPr>
                <w:spacing w:val="-2"/>
              </w:rPr>
              <w:t>政审批</w:t>
            </w:r>
          </w:p>
          <w:p>
            <w:pPr>
              <w:pStyle w:val="TableText"/>
              <w:ind w:left="98"/>
              <w:spacing w:before="52" w:line="211" w:lineRule="auto"/>
              <w:rPr/>
            </w:pPr>
            <w:r>
              <w:rPr>
                <w:spacing w:val="-3"/>
              </w:rPr>
              <w:t>前置</w:t>
            </w:r>
          </w:p>
        </w:tc>
        <w:tc>
          <w:tcPr>
            <w:tcW w:w="529" w:type="dxa"/>
            <w:vAlign w:val="top"/>
          </w:tcPr>
          <w:p>
            <w:pPr>
              <w:pStyle w:val="TableText"/>
              <w:ind w:left="39" w:right="7"/>
              <w:spacing w:before="62" w:line="251" w:lineRule="auto"/>
              <w:jc w:val="both"/>
              <w:rPr/>
            </w:pPr>
            <w:r>
              <w:rPr>
                <w:spacing w:val="-3"/>
              </w:rPr>
              <w:t>是否涉</w:t>
            </w:r>
            <w:r>
              <w:rPr/>
              <w:t xml:space="preserve"> </w:t>
            </w:r>
            <w:r>
              <w:rPr>
                <w:spacing w:val="7"/>
              </w:rPr>
              <w:t>进出口</w:t>
            </w:r>
            <w:r>
              <w:rPr/>
              <w:t xml:space="preserve"> </w:t>
            </w:r>
            <w:r>
              <w:rPr>
                <w:spacing w:val="32"/>
              </w:rPr>
              <w:t>环节</w:t>
            </w:r>
          </w:p>
        </w:tc>
        <w:tc>
          <w:tcPr>
            <w:tcW w:w="694" w:type="dxa"/>
            <w:vAlign w:val="top"/>
          </w:tcPr>
          <w:p>
            <w:pPr>
              <w:pStyle w:val="TableText"/>
              <w:ind w:left="209"/>
              <w:spacing w:before="272" w:line="221" w:lineRule="auto"/>
              <w:rPr/>
            </w:pPr>
            <w:r>
              <w:rPr>
                <w:spacing w:val="-2"/>
              </w:rPr>
              <w:t>备注</w:t>
            </w:r>
          </w:p>
        </w:tc>
      </w:tr>
      <w:tr>
        <w:trPr>
          <w:trHeight w:val="2466" w:hRule="atLeast"/>
        </w:trPr>
        <w:tc>
          <w:tcPr>
            <w:tcW w:w="295" w:type="dxa"/>
            <w:vAlign w:val="top"/>
            <w:vMerge w:val="restart"/>
            <w:tcBorders>
              <w:bottom w:val="nil"/>
            </w:tcBorders>
          </w:tcPr>
          <w:p>
            <w:pPr>
              <w:rPr>
                <w:rFonts w:ascii="Arial"/>
                <w:sz w:val="21"/>
              </w:rPr>
            </w:pPr>
            <w:r/>
          </w:p>
        </w:tc>
        <w:tc>
          <w:tcPr>
            <w:tcW w:w="849" w:type="dxa"/>
            <w:vAlign w:val="top"/>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40" w:right="34"/>
              <w:spacing w:before="48" w:line="253" w:lineRule="auto"/>
              <w:jc w:val="both"/>
              <w:rPr/>
            </w:pPr>
            <w:r>
              <w:rPr>
                <w:spacing w:val="2"/>
              </w:rPr>
              <w:t>三、电信网</w:t>
            </w:r>
            <w:r>
              <w:rPr>
                <w:spacing w:val="3"/>
              </w:rPr>
              <w:t xml:space="preserve"> </w:t>
            </w:r>
            <w:r>
              <w:rPr>
                <w:spacing w:val="2"/>
              </w:rPr>
              <w:t>和互联网网</w:t>
            </w:r>
            <w:r>
              <w:rPr>
                <w:spacing w:val="3"/>
              </w:rPr>
              <w:t xml:space="preserve"> </w:t>
            </w:r>
            <w:r>
              <w:rPr>
                <w:spacing w:val="1"/>
              </w:rPr>
              <w:t>间结算价格</w:t>
            </w:r>
          </w:p>
        </w:tc>
        <w:tc>
          <w:tcPr>
            <w:tcW w:w="849" w:type="dxa"/>
            <w:vAlign w:val="top"/>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11" w:right="40" w:firstLine="29"/>
              <w:spacing w:before="49" w:line="250" w:lineRule="auto"/>
              <w:jc w:val="both"/>
              <w:rPr/>
            </w:pPr>
            <w:r>
              <w:rPr>
                <w:spacing w:val="-2"/>
              </w:rPr>
              <w:t>具体收费项</w:t>
            </w:r>
            <w:r>
              <w:rPr/>
              <w:t xml:space="preserve"> </w:t>
            </w:r>
            <w:r>
              <w:rPr>
                <w:spacing w:val="7"/>
              </w:rPr>
              <w:t>目详见相关</w:t>
            </w:r>
            <w:r>
              <w:rPr>
                <w:spacing w:val="1"/>
              </w:rPr>
              <w:t xml:space="preserve"> </w:t>
            </w:r>
            <w:r>
              <w:rPr>
                <w:spacing w:val="-2"/>
              </w:rPr>
              <w:t>文件</w:t>
            </w:r>
          </w:p>
        </w:tc>
        <w:tc>
          <w:tcPr>
            <w:tcW w:w="3396" w:type="dxa"/>
            <w:vAlign w:val="top"/>
          </w:tcPr>
          <w:p>
            <w:pPr>
              <w:pStyle w:val="TableText"/>
              <w:ind w:left="21"/>
              <w:spacing w:before="97" w:line="219" w:lineRule="auto"/>
              <w:rPr/>
            </w:pPr>
            <w:r>
              <w:rPr>
                <w:spacing w:val="-1"/>
              </w:rPr>
              <w:t>具体收费标准详见相关文件。</w:t>
            </w:r>
          </w:p>
        </w:tc>
        <w:tc>
          <w:tcPr>
            <w:tcW w:w="799" w:type="dxa"/>
            <w:vAlign w:val="top"/>
          </w:tcPr>
          <w:p>
            <w:pPr>
              <w:pStyle w:val="TableText"/>
              <w:ind w:left="21" w:right="22" w:firstLine="74"/>
              <w:spacing w:before="68" w:line="247" w:lineRule="auto"/>
              <w:rPr/>
            </w:pPr>
            <w:r>
              <w:rPr>
                <w:spacing w:val="-1"/>
              </w:rPr>
              <w:t>信部电〔</w:t>
            </w:r>
            <w:r>
              <w:rPr>
                <w:spacing w:val="1"/>
              </w:rPr>
              <w:t xml:space="preserve">  </w:t>
            </w:r>
            <w:r>
              <w:rPr>
                <w:spacing w:val="3"/>
              </w:rPr>
              <w:t>2003〕454</w:t>
            </w:r>
            <w:r>
              <w:rPr>
                <w:spacing w:val="2"/>
              </w:rPr>
              <w:t xml:space="preserve"> </w:t>
            </w:r>
            <w:r>
              <w:rPr>
                <w:spacing w:val="-7"/>
              </w:rPr>
              <w:t>号</w:t>
            </w:r>
            <w:r>
              <w:rPr>
                <w:spacing w:val="-10"/>
              </w:rPr>
              <w:t xml:space="preserve"> </w:t>
            </w:r>
            <w:r>
              <w:rPr>
                <w:spacing w:val="-7"/>
              </w:rPr>
              <w:t>、</w:t>
            </w:r>
            <w:r>
              <w:rPr>
                <w:spacing w:val="-21"/>
              </w:rPr>
              <w:t xml:space="preserve"> </w:t>
            </w:r>
            <w:r>
              <w:rPr>
                <w:spacing w:val="-7"/>
              </w:rPr>
              <w:t>工</w:t>
            </w:r>
            <w:r>
              <w:rPr>
                <w:spacing w:val="-22"/>
              </w:rPr>
              <w:t xml:space="preserve"> </w:t>
            </w:r>
            <w:r>
              <w:rPr>
                <w:spacing w:val="-7"/>
              </w:rPr>
              <w:t>信</w:t>
            </w:r>
            <w:r>
              <w:rPr/>
              <w:t xml:space="preserve"> </w:t>
            </w:r>
            <w:r>
              <w:rPr>
                <w:spacing w:val="22"/>
              </w:rPr>
              <w:t>部电管函</w:t>
            </w:r>
            <w:r>
              <w:rPr>
                <w:spacing w:val="1"/>
              </w:rPr>
              <w:t xml:space="preserve"> </w:t>
            </w:r>
            <w:r>
              <w:rPr>
                <w:spacing w:val="-6"/>
              </w:rPr>
              <w:t>〔2009〕</w:t>
            </w:r>
          </w:p>
          <w:p>
            <w:pPr>
              <w:pStyle w:val="TableText"/>
              <w:ind w:firstLine="72"/>
              <w:spacing w:before="5" w:line="241" w:lineRule="auto"/>
              <w:rPr/>
            </w:pPr>
            <w:r>
              <w:rPr>
                <w:spacing w:val="-6"/>
              </w:rPr>
              <w:t>243号、工</w:t>
            </w:r>
            <w:r>
              <w:rPr>
                <w:spacing w:val="1"/>
              </w:rPr>
              <w:t xml:space="preserve">  </w:t>
            </w:r>
            <w:r>
              <w:rPr>
                <w:spacing w:val="-6"/>
              </w:rPr>
              <w:t>信</w:t>
            </w:r>
            <w:r>
              <w:rPr>
                <w:spacing w:val="-17"/>
              </w:rPr>
              <w:t xml:space="preserve"> </w:t>
            </w:r>
            <w:r>
              <w:rPr>
                <w:spacing w:val="-6"/>
              </w:rPr>
              <w:t>部 电</w:t>
            </w:r>
            <w:r>
              <w:rPr>
                <w:spacing w:val="-16"/>
              </w:rPr>
              <w:t xml:space="preserve"> </w:t>
            </w:r>
            <w:r>
              <w:rPr>
                <w:spacing w:val="-6"/>
              </w:rPr>
              <w:t>管</w:t>
            </w:r>
            <w:r>
              <w:rPr/>
              <w:t xml:space="preserve"> </w:t>
            </w:r>
            <w:r>
              <w:rPr>
                <w:spacing w:val="-12"/>
              </w:rPr>
              <w:t>〔2013    〕</w:t>
            </w:r>
            <w:r>
              <w:rPr>
                <w:spacing w:val="8"/>
              </w:rPr>
              <w:t xml:space="preserve"> </w:t>
            </w:r>
            <w:r>
              <w:rPr>
                <w:spacing w:val="6"/>
              </w:rPr>
              <w:t>506号、工</w:t>
            </w:r>
            <w:r>
              <w:rPr/>
              <w:t xml:space="preserve">  </w:t>
            </w:r>
            <w:r>
              <w:rPr/>
              <w:t>信</w:t>
            </w:r>
            <w:r>
              <w:rPr>
                <w:spacing w:val="-24"/>
              </w:rPr>
              <w:t xml:space="preserve"> </w:t>
            </w:r>
            <w:r>
              <w:rPr/>
              <w:t>部</w:t>
            </w:r>
            <w:r>
              <w:rPr>
                <w:spacing w:val="-26"/>
              </w:rPr>
              <w:t xml:space="preserve"> </w:t>
            </w:r>
            <w:r>
              <w:rPr/>
              <w:t>信</w:t>
            </w:r>
            <w:r>
              <w:rPr>
                <w:spacing w:val="-23"/>
              </w:rPr>
              <w:t xml:space="preserve"> </w:t>
            </w:r>
            <w:r>
              <w:rPr/>
              <w:t>管 </w:t>
            </w:r>
            <w:r>
              <w:rPr>
                <w:spacing w:val="-12"/>
              </w:rPr>
              <w:t>〔    2018〕</w:t>
            </w:r>
            <w:r>
              <w:rPr>
                <w:spacing w:val="8"/>
              </w:rPr>
              <w:t xml:space="preserve"> </w:t>
            </w:r>
            <w:r>
              <w:rPr>
                <w:spacing w:val="5"/>
              </w:rPr>
              <w:t>205号</w:t>
            </w:r>
          </w:p>
        </w:tc>
        <w:tc>
          <w:tcPr>
            <w:tcW w:w="679" w:type="dxa"/>
            <w:vAlign w:val="top"/>
          </w:tcPr>
          <w:p>
            <w:pPr>
              <w:pStyle w:val="TableText"/>
              <w:ind w:left="16" w:right="49" w:firstLine="10"/>
              <w:spacing w:before="77" w:line="245" w:lineRule="auto"/>
              <w:rPr/>
            </w:pPr>
            <w:r>
              <w:rPr>
                <w:spacing w:val="-2"/>
              </w:rPr>
              <w:t>工业和信</w:t>
            </w:r>
            <w:r>
              <w:rPr/>
              <w:t xml:space="preserve"> </w:t>
            </w:r>
            <w:r>
              <w:rPr>
                <w:spacing w:val="2"/>
              </w:rPr>
              <w:t>息化部</w:t>
            </w:r>
          </w:p>
        </w:tc>
        <w:tc>
          <w:tcPr>
            <w:tcW w:w="659" w:type="dxa"/>
            <w:vAlign w:val="top"/>
          </w:tcPr>
          <w:p>
            <w:pPr>
              <w:pStyle w:val="TableText"/>
              <w:ind w:left="97" w:right="28" w:hanging="70"/>
              <w:spacing w:before="76" w:line="239" w:lineRule="auto"/>
              <w:rPr/>
            </w:pPr>
            <w:r>
              <w:rPr>
                <w:spacing w:val="-2"/>
              </w:rPr>
              <w:t>工业和信</w:t>
            </w:r>
            <w:r>
              <w:rPr/>
              <w:t xml:space="preserve"> </w:t>
            </w:r>
            <w:r>
              <w:rPr>
                <w:spacing w:val="2"/>
              </w:rPr>
              <w:t>息化部</w:t>
            </w:r>
          </w:p>
        </w:tc>
        <w:tc>
          <w:tcPr>
            <w:tcW w:w="390" w:type="dxa"/>
            <w:vAlign w:val="top"/>
          </w:tcPr>
          <w:p>
            <w:pPr>
              <w:pStyle w:val="TableText"/>
              <w:ind w:left="119"/>
              <w:spacing w:before="49" w:line="223" w:lineRule="auto"/>
              <w:rPr/>
            </w:pPr>
            <w:r>
              <w:rPr/>
              <w:t>是</w:t>
            </w:r>
          </w:p>
        </w:tc>
        <w:tc>
          <w:tcPr>
            <w:tcW w:w="500" w:type="dxa"/>
            <w:vAlign w:val="top"/>
          </w:tcPr>
          <w:p>
            <w:pPr>
              <w:pStyle w:val="TableText"/>
              <w:ind w:left="168"/>
              <w:spacing w:before="67" w:line="220" w:lineRule="auto"/>
              <w:rPr/>
            </w:pPr>
            <w:r>
              <w:rPr/>
              <w:t>否</w:t>
            </w:r>
          </w:p>
        </w:tc>
        <w:tc>
          <w:tcPr>
            <w:tcW w:w="529" w:type="dxa"/>
            <w:vAlign w:val="top"/>
          </w:tcPr>
          <w:p>
            <w:pPr>
              <w:pStyle w:val="TableText"/>
              <w:ind w:left="188"/>
              <w:spacing w:before="67" w:line="220" w:lineRule="auto"/>
              <w:rPr/>
            </w:pPr>
            <w:r>
              <w:rPr/>
              <w:t>否</w:t>
            </w:r>
          </w:p>
        </w:tc>
        <w:tc>
          <w:tcPr>
            <w:tcW w:w="694" w:type="dxa"/>
            <w:vAlign w:val="top"/>
          </w:tcPr>
          <w:p>
            <w:pPr>
              <w:rPr>
                <w:rFonts w:ascii="Arial"/>
                <w:sz w:val="21"/>
              </w:rPr>
            </w:pPr>
            <w:r/>
          </w:p>
        </w:tc>
      </w:tr>
      <w:tr>
        <w:trPr>
          <w:trHeight w:val="699" w:hRule="atLeast"/>
        </w:trPr>
        <w:tc>
          <w:tcPr>
            <w:tcW w:w="295" w:type="dxa"/>
            <w:vAlign w:val="top"/>
            <w:vMerge w:val="continue"/>
            <w:tcBorders>
              <w:top w:val="nil"/>
              <w:bottom w:val="nil"/>
            </w:tcBorders>
          </w:tcPr>
          <w:p>
            <w:pPr>
              <w:rPr>
                <w:rFonts w:ascii="Arial"/>
                <w:sz w:val="21"/>
              </w:rPr>
            </w:pPr>
            <w:r/>
          </w:p>
        </w:tc>
        <w:tc>
          <w:tcPr>
            <w:tcW w:w="84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0" w:right="41" w:firstLine="30"/>
              <w:spacing w:before="49" w:line="249" w:lineRule="auto"/>
              <w:jc w:val="both"/>
              <w:rPr/>
            </w:pPr>
            <w:r>
              <w:rPr>
                <w:spacing w:val="1"/>
              </w:rPr>
              <w:t>四、民航垄 </w:t>
            </w:r>
            <w:r>
              <w:rPr>
                <w:spacing w:val="3"/>
              </w:rPr>
              <w:t>断环节服务</w:t>
            </w:r>
            <w:r>
              <w:rPr>
                <w:spacing w:val="2"/>
              </w:rPr>
              <w:t xml:space="preserve"> </w:t>
            </w:r>
            <w:r>
              <w:rPr>
                <w:spacing w:val="4"/>
              </w:rPr>
              <w:t>收费</w:t>
            </w:r>
          </w:p>
        </w:tc>
        <w:tc>
          <w:tcPr>
            <w:tcW w:w="849" w:type="dxa"/>
            <w:vAlign w:val="top"/>
          </w:tcPr>
          <w:p>
            <w:pPr>
              <w:pStyle w:val="TableText"/>
              <w:ind w:left="11" w:right="53" w:firstLine="39"/>
              <w:spacing w:before="69" w:line="250" w:lineRule="auto"/>
              <w:jc w:val="both"/>
              <w:rPr/>
            </w:pPr>
            <w:r>
              <w:rPr>
                <w:spacing w:val="-12"/>
              </w:rPr>
              <w:t>(</w:t>
            </w:r>
            <w:r>
              <w:rPr>
                <w:spacing w:val="-25"/>
              </w:rPr>
              <w:t xml:space="preserve"> </w:t>
            </w:r>
            <w:r>
              <w:rPr>
                <w:spacing w:val="-12"/>
              </w:rPr>
              <w:t>一</w:t>
            </w:r>
            <w:r>
              <w:rPr>
                <w:spacing w:val="-28"/>
              </w:rPr>
              <w:t xml:space="preserve"> </w:t>
            </w:r>
            <w:r>
              <w:rPr>
                <w:spacing w:val="-12"/>
              </w:rPr>
              <w:t>)</w:t>
            </w:r>
            <w:r>
              <w:rPr>
                <w:spacing w:val="-30"/>
              </w:rPr>
              <w:t xml:space="preserve"> </w:t>
            </w:r>
            <w:r>
              <w:rPr>
                <w:spacing w:val="-12"/>
              </w:rPr>
              <w:t>机</w:t>
            </w:r>
            <w:r>
              <w:rPr>
                <w:spacing w:val="-29"/>
              </w:rPr>
              <w:t xml:space="preserve"> </w:t>
            </w:r>
            <w:r>
              <w:rPr>
                <w:spacing w:val="-12"/>
              </w:rPr>
              <w:t>场</w:t>
            </w:r>
            <w:r>
              <w:rPr/>
              <w:t xml:space="preserve"> </w:t>
            </w:r>
            <w:r>
              <w:rPr>
                <w:spacing w:val="4"/>
              </w:rPr>
              <w:t>航空性业务</w:t>
            </w:r>
            <w:r>
              <w:rPr>
                <w:spacing w:val="3"/>
              </w:rPr>
              <w:t xml:space="preserve"> </w:t>
            </w:r>
            <w:r>
              <w:rPr>
                <w:spacing w:val="4"/>
              </w:rPr>
              <w:t>收费</w:t>
            </w:r>
          </w:p>
        </w:tc>
        <w:tc>
          <w:tcPr>
            <w:tcW w:w="3396" w:type="dxa"/>
            <w:vAlign w:val="top"/>
          </w:tcPr>
          <w:p>
            <w:pPr>
              <w:pStyle w:val="TableText"/>
              <w:ind w:left="21" w:right="205"/>
              <w:spacing w:before="82" w:line="245" w:lineRule="auto"/>
              <w:rPr/>
            </w:pPr>
            <w:r>
              <w:rPr/>
              <w:t>民航发〔2007〕159号、民航发〔2013〕3号、民</w:t>
            </w:r>
            <w:r>
              <w:rPr>
                <w:spacing w:val="7"/>
              </w:rPr>
              <w:t xml:space="preserve"> </w:t>
            </w:r>
            <w:r>
              <w:rPr>
                <w:spacing w:val="-1"/>
              </w:rPr>
              <w:t>航发〔2017〕18号</w:t>
            </w:r>
          </w:p>
        </w:tc>
        <w:tc>
          <w:tcPr>
            <w:tcW w:w="799" w:type="dxa"/>
            <w:vAlign w:val="top"/>
          </w:tcPr>
          <w:p>
            <w:pPr>
              <w:pStyle w:val="TableText"/>
              <w:ind w:left="15"/>
              <w:spacing w:before="71" w:line="220" w:lineRule="auto"/>
              <w:rPr/>
            </w:pPr>
            <w:r>
              <w:rPr>
                <w:spacing w:val="4"/>
              </w:rPr>
              <w:t>民航局</w:t>
            </w:r>
          </w:p>
        </w:tc>
        <w:tc>
          <w:tcPr>
            <w:tcW w:w="679" w:type="dxa"/>
            <w:vAlign w:val="top"/>
          </w:tcPr>
          <w:p>
            <w:pPr>
              <w:pStyle w:val="TableText"/>
              <w:ind w:left="16"/>
              <w:spacing w:before="61" w:line="220" w:lineRule="auto"/>
              <w:rPr/>
            </w:pPr>
            <w:r>
              <w:rPr>
                <w:spacing w:val="4"/>
              </w:rPr>
              <w:t>民航局</w:t>
            </w:r>
          </w:p>
        </w:tc>
        <w:tc>
          <w:tcPr>
            <w:tcW w:w="659" w:type="dxa"/>
            <w:vAlign w:val="top"/>
          </w:tcPr>
          <w:p>
            <w:pPr>
              <w:pStyle w:val="TableText"/>
              <w:ind w:left="248"/>
              <w:spacing w:before="43" w:line="223" w:lineRule="auto"/>
              <w:rPr/>
            </w:pPr>
            <w:r>
              <w:rPr/>
              <w:t>是</w:t>
            </w:r>
          </w:p>
        </w:tc>
        <w:tc>
          <w:tcPr>
            <w:tcW w:w="390" w:type="dxa"/>
            <w:vAlign w:val="top"/>
          </w:tcPr>
          <w:p>
            <w:pPr>
              <w:pStyle w:val="TableText"/>
              <w:ind w:left="119"/>
              <w:spacing w:before="61" w:line="220" w:lineRule="auto"/>
              <w:rPr/>
            </w:pPr>
            <w:r>
              <w:rPr/>
              <w:t>否</w:t>
            </w:r>
          </w:p>
        </w:tc>
        <w:tc>
          <w:tcPr>
            <w:tcW w:w="500" w:type="dxa"/>
            <w:vAlign w:val="top"/>
          </w:tcPr>
          <w:p>
            <w:pPr>
              <w:pStyle w:val="TableText"/>
              <w:ind w:left="168"/>
              <w:spacing w:before="61" w:line="220" w:lineRule="auto"/>
              <w:rPr/>
            </w:pPr>
            <w:r>
              <w:rPr/>
              <w:t>否</w:t>
            </w:r>
          </w:p>
        </w:tc>
        <w:tc>
          <w:tcPr>
            <w:tcW w:w="529" w:type="dxa"/>
            <w:vAlign w:val="top"/>
          </w:tcPr>
          <w:p>
            <w:pPr>
              <w:pStyle w:val="TableText"/>
              <w:ind w:left="188"/>
              <w:spacing w:before="61" w:line="220" w:lineRule="auto"/>
              <w:rPr/>
            </w:pPr>
            <w:r>
              <w:rPr/>
              <w:t>否</w:t>
            </w:r>
          </w:p>
        </w:tc>
        <w:tc>
          <w:tcPr>
            <w:tcW w:w="694" w:type="dxa"/>
            <w:vAlign w:val="top"/>
          </w:tcPr>
          <w:p>
            <w:pPr>
              <w:rPr>
                <w:rFonts w:ascii="Arial"/>
                <w:sz w:val="21"/>
              </w:rPr>
            </w:pPr>
            <w:r/>
          </w:p>
        </w:tc>
      </w:tr>
      <w:tr>
        <w:trPr>
          <w:trHeight w:val="689"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11" w:right="53" w:firstLine="39"/>
              <w:spacing w:before="81" w:line="245" w:lineRule="auto"/>
              <w:jc w:val="both"/>
              <w:rPr/>
            </w:pPr>
            <w:r>
              <w:rPr>
                <w:spacing w:val="-12"/>
              </w:rPr>
              <w:t>(</w:t>
            </w:r>
            <w:r>
              <w:rPr>
                <w:spacing w:val="-25"/>
              </w:rPr>
              <w:t xml:space="preserve"> </w:t>
            </w:r>
            <w:r>
              <w:rPr>
                <w:spacing w:val="-12"/>
              </w:rPr>
              <w:t>二</w:t>
            </w:r>
            <w:r>
              <w:rPr>
                <w:spacing w:val="-28"/>
              </w:rPr>
              <w:t xml:space="preserve"> </w:t>
            </w:r>
            <w:r>
              <w:rPr>
                <w:spacing w:val="-12"/>
              </w:rPr>
              <w:t>)</w:t>
            </w:r>
            <w:r>
              <w:rPr>
                <w:spacing w:val="-30"/>
              </w:rPr>
              <w:t xml:space="preserve"> </w:t>
            </w:r>
            <w:r>
              <w:rPr>
                <w:spacing w:val="-12"/>
              </w:rPr>
              <w:t>机</w:t>
            </w:r>
            <w:r>
              <w:rPr>
                <w:spacing w:val="-29"/>
              </w:rPr>
              <w:t xml:space="preserve"> </w:t>
            </w:r>
            <w:r>
              <w:rPr>
                <w:spacing w:val="-12"/>
              </w:rPr>
              <w:t>场</w:t>
            </w:r>
            <w:r>
              <w:rPr/>
              <w:t xml:space="preserve"> </w:t>
            </w:r>
            <w:r>
              <w:rPr>
                <w:spacing w:val="4"/>
              </w:rPr>
              <w:t>地面服务收</w:t>
            </w:r>
            <w:r>
              <w:rPr>
                <w:spacing w:val="3"/>
              </w:rPr>
              <w:t xml:space="preserve"> </w:t>
            </w:r>
            <w:r>
              <w:rPr/>
              <w:t>费</w:t>
            </w:r>
          </w:p>
        </w:tc>
        <w:tc>
          <w:tcPr>
            <w:tcW w:w="3396" w:type="dxa"/>
            <w:vAlign w:val="top"/>
          </w:tcPr>
          <w:p>
            <w:pPr>
              <w:pStyle w:val="TableText"/>
              <w:ind w:left="21"/>
              <w:spacing w:before="82" w:line="219" w:lineRule="auto"/>
              <w:rPr/>
            </w:pPr>
            <w:r>
              <w:rPr>
                <w:spacing w:val="-1"/>
              </w:rPr>
              <w:t>具体收费标准见相关文件</w:t>
            </w:r>
          </w:p>
        </w:tc>
        <w:tc>
          <w:tcPr>
            <w:tcW w:w="799" w:type="dxa"/>
            <w:vAlign w:val="top"/>
          </w:tcPr>
          <w:p>
            <w:pPr>
              <w:pStyle w:val="TableText"/>
              <w:ind w:left="96"/>
              <w:spacing w:before="62" w:line="220" w:lineRule="auto"/>
              <w:rPr/>
            </w:pPr>
            <w:r>
              <w:rPr>
                <w:spacing w:val="-1"/>
              </w:rPr>
              <w:t>民航发〔</w:t>
            </w:r>
          </w:p>
          <w:p>
            <w:pPr>
              <w:pStyle w:val="TableText"/>
              <w:ind w:left="15" w:right="100" w:firstLine="80"/>
              <w:spacing w:before="40" w:line="216" w:lineRule="auto"/>
              <w:rPr/>
            </w:pPr>
            <w:r>
              <w:rPr>
                <w:spacing w:val="-2"/>
              </w:rPr>
              <w:t>2017〕18</w:t>
            </w:r>
            <w:r>
              <w:rPr>
                <w:spacing w:val="5"/>
              </w:rPr>
              <w:t xml:space="preserve"> </w:t>
            </w:r>
            <w:r>
              <w:rPr/>
              <w:t>号</w:t>
            </w:r>
          </w:p>
        </w:tc>
        <w:tc>
          <w:tcPr>
            <w:tcW w:w="679" w:type="dxa"/>
            <w:vAlign w:val="top"/>
          </w:tcPr>
          <w:p>
            <w:pPr>
              <w:pStyle w:val="TableText"/>
              <w:ind w:left="16"/>
              <w:spacing w:before="62" w:line="220" w:lineRule="auto"/>
              <w:rPr/>
            </w:pPr>
            <w:r>
              <w:rPr>
                <w:spacing w:val="4"/>
              </w:rPr>
              <w:t>民航局</w:t>
            </w:r>
          </w:p>
        </w:tc>
        <w:tc>
          <w:tcPr>
            <w:tcW w:w="659" w:type="dxa"/>
            <w:vAlign w:val="top"/>
          </w:tcPr>
          <w:p>
            <w:pPr>
              <w:pStyle w:val="TableText"/>
              <w:ind w:left="97"/>
              <w:spacing w:before="62" w:line="220" w:lineRule="auto"/>
              <w:rPr/>
            </w:pPr>
            <w:r>
              <w:rPr>
                <w:spacing w:val="4"/>
              </w:rPr>
              <w:t>民航局</w:t>
            </w:r>
          </w:p>
        </w:tc>
        <w:tc>
          <w:tcPr>
            <w:tcW w:w="390" w:type="dxa"/>
            <w:vAlign w:val="top"/>
          </w:tcPr>
          <w:p>
            <w:pPr>
              <w:pStyle w:val="TableText"/>
              <w:ind w:left="119"/>
              <w:spacing w:before="45" w:line="223" w:lineRule="auto"/>
              <w:rPr/>
            </w:pPr>
            <w:r>
              <w:rPr/>
              <w:t>是</w:t>
            </w:r>
          </w:p>
        </w:tc>
        <w:tc>
          <w:tcPr>
            <w:tcW w:w="500" w:type="dxa"/>
            <w:vAlign w:val="top"/>
          </w:tcPr>
          <w:p>
            <w:pPr>
              <w:pStyle w:val="TableText"/>
              <w:ind w:left="168"/>
              <w:spacing w:before="62" w:line="220" w:lineRule="auto"/>
              <w:rPr/>
            </w:pPr>
            <w:r>
              <w:rPr/>
              <w:t>否</w:t>
            </w:r>
          </w:p>
        </w:tc>
        <w:tc>
          <w:tcPr>
            <w:tcW w:w="529" w:type="dxa"/>
            <w:vAlign w:val="top"/>
          </w:tcPr>
          <w:p>
            <w:pPr>
              <w:pStyle w:val="TableText"/>
              <w:ind w:left="188"/>
              <w:spacing w:before="62" w:line="220" w:lineRule="auto"/>
              <w:rPr/>
            </w:pPr>
            <w:r>
              <w:rPr/>
              <w:t>否</w:t>
            </w:r>
          </w:p>
        </w:tc>
        <w:tc>
          <w:tcPr>
            <w:tcW w:w="694" w:type="dxa"/>
            <w:vAlign w:val="top"/>
          </w:tcPr>
          <w:p>
            <w:pPr>
              <w:rPr>
                <w:rFonts w:ascii="Arial"/>
                <w:sz w:val="21"/>
              </w:rPr>
            </w:pPr>
            <w:r/>
          </w:p>
        </w:tc>
      </w:tr>
      <w:tr>
        <w:trPr>
          <w:trHeight w:val="689"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49" w:type="dxa"/>
            <w:vAlign w:val="top"/>
          </w:tcPr>
          <w:p>
            <w:pPr>
              <w:pStyle w:val="TableText"/>
              <w:ind w:left="11" w:right="42" w:firstLine="20"/>
              <w:spacing w:before="84" w:line="244" w:lineRule="auto"/>
              <w:jc w:val="both"/>
              <w:rPr/>
            </w:pPr>
            <w:r>
              <w:rPr>
                <w:spacing w:val="-13"/>
              </w:rPr>
              <w:t>(</w:t>
            </w:r>
            <w:r>
              <w:rPr>
                <w:spacing w:val="-19"/>
              </w:rPr>
              <w:t xml:space="preserve"> </w:t>
            </w:r>
            <w:r>
              <w:rPr>
                <w:spacing w:val="-13"/>
              </w:rPr>
              <w:t>三</w:t>
            </w:r>
            <w:r>
              <w:rPr>
                <w:spacing w:val="-19"/>
              </w:rPr>
              <w:t xml:space="preserve"> </w:t>
            </w:r>
            <w:r>
              <w:rPr>
                <w:spacing w:val="-13"/>
              </w:rPr>
              <w:t>) 民</w:t>
            </w:r>
            <w:r>
              <w:rPr>
                <w:spacing w:val="-20"/>
              </w:rPr>
              <w:t xml:space="preserve"> </w:t>
            </w:r>
            <w:r>
              <w:rPr>
                <w:spacing w:val="-13"/>
              </w:rPr>
              <w:t>航</w:t>
            </w:r>
            <w:r>
              <w:rPr/>
              <w:t xml:space="preserve"> </w:t>
            </w:r>
            <w:r>
              <w:rPr>
                <w:spacing w:val="3"/>
              </w:rPr>
              <w:t>飞行校验服 </w:t>
            </w:r>
            <w:r>
              <w:rPr>
                <w:spacing w:val="-2"/>
              </w:rPr>
              <w:t>务收费</w:t>
            </w:r>
          </w:p>
        </w:tc>
        <w:tc>
          <w:tcPr>
            <w:tcW w:w="3396" w:type="dxa"/>
            <w:vAlign w:val="top"/>
          </w:tcPr>
          <w:p>
            <w:pPr>
              <w:pStyle w:val="TableText"/>
              <w:ind w:left="21"/>
              <w:spacing w:before="83" w:line="219" w:lineRule="auto"/>
              <w:rPr/>
            </w:pPr>
            <w:r>
              <w:rPr>
                <w:spacing w:val="-1"/>
              </w:rPr>
              <w:t>具体收费标准见相关文件</w:t>
            </w:r>
          </w:p>
        </w:tc>
        <w:tc>
          <w:tcPr>
            <w:tcW w:w="799" w:type="dxa"/>
            <w:vAlign w:val="top"/>
          </w:tcPr>
          <w:p>
            <w:pPr>
              <w:pStyle w:val="TableText"/>
              <w:ind w:right="3"/>
              <w:spacing w:before="73" w:line="220" w:lineRule="auto"/>
              <w:jc w:val="right"/>
              <w:rPr/>
            </w:pPr>
            <w:r>
              <w:rPr>
                <w:spacing w:val="-11"/>
              </w:rPr>
              <w:t>民</w:t>
            </w:r>
            <w:r>
              <w:rPr/>
              <w:t xml:space="preserve"> </w:t>
            </w:r>
            <w:r>
              <w:rPr>
                <w:spacing w:val="-11"/>
              </w:rPr>
              <w:t>航</w:t>
            </w:r>
            <w:r>
              <w:rPr>
                <w:spacing w:val="9"/>
              </w:rPr>
              <w:t xml:space="preserve"> </w:t>
            </w:r>
            <w:r>
              <w:rPr>
                <w:spacing w:val="-11"/>
              </w:rPr>
              <w:t>函</w:t>
            </w:r>
            <w:r>
              <w:rPr>
                <w:spacing w:val="23"/>
              </w:rPr>
              <w:t xml:space="preserve"> </w:t>
            </w:r>
            <w:r>
              <w:rPr>
                <w:spacing w:val="-11"/>
              </w:rPr>
              <w:t>[</w:t>
            </w:r>
          </w:p>
          <w:p>
            <w:pPr>
              <w:pStyle w:val="TableText"/>
              <w:ind w:left="15" w:right="100" w:firstLine="80"/>
              <w:spacing w:before="30" w:line="216" w:lineRule="auto"/>
              <w:rPr/>
            </w:pPr>
            <w:r>
              <w:rPr>
                <w:spacing w:val="-2"/>
              </w:rPr>
              <w:t>2021〕66</w:t>
            </w:r>
            <w:r>
              <w:rPr>
                <w:spacing w:val="5"/>
              </w:rPr>
              <w:t xml:space="preserve"> </w:t>
            </w:r>
            <w:r>
              <w:rPr/>
              <w:t>号</w:t>
            </w:r>
          </w:p>
        </w:tc>
        <w:tc>
          <w:tcPr>
            <w:tcW w:w="679" w:type="dxa"/>
            <w:vAlign w:val="top"/>
          </w:tcPr>
          <w:p>
            <w:pPr>
              <w:pStyle w:val="TableText"/>
              <w:ind w:left="16"/>
              <w:spacing w:before="63" w:line="220" w:lineRule="auto"/>
              <w:rPr/>
            </w:pPr>
            <w:r>
              <w:rPr>
                <w:spacing w:val="4"/>
              </w:rPr>
              <w:t>民航局</w:t>
            </w:r>
          </w:p>
        </w:tc>
        <w:tc>
          <w:tcPr>
            <w:tcW w:w="659" w:type="dxa"/>
            <w:vAlign w:val="top"/>
          </w:tcPr>
          <w:p>
            <w:pPr>
              <w:pStyle w:val="TableText"/>
              <w:ind w:left="97"/>
              <w:spacing w:before="63" w:line="220" w:lineRule="auto"/>
              <w:rPr/>
            </w:pPr>
            <w:r>
              <w:rPr>
                <w:spacing w:val="4"/>
              </w:rPr>
              <w:t>民航局</w:t>
            </w:r>
          </w:p>
        </w:tc>
        <w:tc>
          <w:tcPr>
            <w:tcW w:w="390" w:type="dxa"/>
            <w:vAlign w:val="top"/>
          </w:tcPr>
          <w:p>
            <w:pPr>
              <w:pStyle w:val="TableText"/>
              <w:ind w:left="119"/>
              <w:spacing w:before="55" w:line="223" w:lineRule="auto"/>
              <w:rPr/>
            </w:pPr>
            <w:r>
              <w:rPr/>
              <w:t>是</w:t>
            </w:r>
          </w:p>
        </w:tc>
        <w:tc>
          <w:tcPr>
            <w:tcW w:w="500" w:type="dxa"/>
            <w:vAlign w:val="top"/>
          </w:tcPr>
          <w:p>
            <w:pPr>
              <w:pStyle w:val="TableText"/>
              <w:ind w:left="168"/>
              <w:spacing w:before="73" w:line="220" w:lineRule="auto"/>
              <w:rPr/>
            </w:pPr>
            <w:r>
              <w:rPr/>
              <w:t>否</w:t>
            </w:r>
          </w:p>
        </w:tc>
        <w:tc>
          <w:tcPr>
            <w:tcW w:w="529" w:type="dxa"/>
            <w:vAlign w:val="top"/>
          </w:tcPr>
          <w:p>
            <w:pPr>
              <w:pStyle w:val="TableText"/>
              <w:ind w:left="188"/>
              <w:spacing w:before="73" w:line="220" w:lineRule="auto"/>
              <w:rPr/>
            </w:pPr>
            <w:r>
              <w:rPr/>
              <w:t>否</w:t>
            </w:r>
          </w:p>
        </w:tc>
        <w:tc>
          <w:tcPr>
            <w:tcW w:w="694" w:type="dxa"/>
            <w:vAlign w:val="top"/>
          </w:tcPr>
          <w:p>
            <w:pPr>
              <w:rPr>
                <w:rFonts w:ascii="Arial"/>
                <w:sz w:val="21"/>
              </w:rPr>
            </w:pPr>
            <w:r/>
          </w:p>
        </w:tc>
      </w:tr>
      <w:tr>
        <w:trPr>
          <w:trHeight w:val="1053" w:hRule="atLeast"/>
        </w:trPr>
        <w:tc>
          <w:tcPr>
            <w:tcW w:w="295"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849" w:type="dxa"/>
            <w:vAlign w:val="top"/>
          </w:tcPr>
          <w:p>
            <w:pPr>
              <w:pStyle w:val="TableText"/>
              <w:ind w:left="11" w:right="58" w:firstLine="39"/>
              <w:spacing w:before="263" w:line="242" w:lineRule="auto"/>
              <w:jc w:val="both"/>
              <w:rPr/>
            </w:pPr>
            <w:r>
              <w:rPr>
                <w:spacing w:val="-18"/>
              </w:rPr>
              <w:t>(</w:t>
            </w:r>
            <w:r>
              <w:rPr>
                <w:spacing w:val="-12"/>
              </w:rPr>
              <w:t xml:space="preserve"> </w:t>
            </w:r>
            <w:r>
              <w:rPr>
                <w:spacing w:val="-18"/>
              </w:rPr>
              <w:t>四</w:t>
            </w:r>
            <w:r>
              <w:rPr>
                <w:spacing w:val="-29"/>
              </w:rPr>
              <w:t xml:space="preserve"> </w:t>
            </w:r>
            <w:r>
              <w:rPr>
                <w:spacing w:val="-18"/>
              </w:rPr>
              <w:t>)</w:t>
            </w:r>
            <w:r>
              <w:rPr>
                <w:spacing w:val="-15"/>
              </w:rPr>
              <w:t xml:space="preserve"> </w:t>
            </w:r>
            <w:r>
              <w:rPr>
                <w:spacing w:val="-18"/>
              </w:rPr>
              <w:t>民</w:t>
            </w:r>
            <w:r>
              <w:rPr>
                <w:spacing w:val="-30"/>
              </w:rPr>
              <w:t xml:space="preserve"> </w:t>
            </w:r>
            <w:r>
              <w:rPr>
                <w:spacing w:val="-18"/>
              </w:rPr>
              <w:t>航</w:t>
            </w:r>
            <w:r>
              <w:rPr/>
              <w:t xml:space="preserve"> </w:t>
            </w:r>
            <w:r>
              <w:rPr>
                <w:spacing w:val="3"/>
              </w:rPr>
              <w:t>空管服务收 </w:t>
            </w:r>
            <w:r>
              <w:rPr/>
              <w:t>费</w:t>
            </w:r>
          </w:p>
        </w:tc>
        <w:tc>
          <w:tcPr>
            <w:tcW w:w="3396" w:type="dxa"/>
            <w:vAlign w:val="top"/>
          </w:tcPr>
          <w:p>
            <w:pPr>
              <w:pStyle w:val="TableText"/>
              <w:ind w:left="21"/>
              <w:spacing w:before="84" w:line="210" w:lineRule="exact"/>
              <w:rPr/>
            </w:pPr>
            <w:r>
              <w:rPr>
                <w:position w:val="4"/>
              </w:rPr>
              <w:t>1.进近指挥费，2.航路费</w:t>
            </w:r>
          </w:p>
          <w:p>
            <w:pPr>
              <w:pStyle w:val="TableText"/>
              <w:ind w:left="21"/>
              <w:spacing w:line="219" w:lineRule="auto"/>
              <w:rPr/>
            </w:pPr>
            <w:r>
              <w:rPr>
                <w:spacing w:val="-1"/>
              </w:rPr>
              <w:t>具体收费标准见相关文件。</w:t>
            </w:r>
          </w:p>
        </w:tc>
        <w:tc>
          <w:tcPr>
            <w:tcW w:w="799" w:type="dxa"/>
            <w:vAlign w:val="top"/>
          </w:tcPr>
          <w:p>
            <w:pPr>
              <w:pStyle w:val="TableText"/>
              <w:ind w:left="56"/>
              <w:spacing w:before="64" w:line="220" w:lineRule="auto"/>
              <w:rPr/>
            </w:pPr>
            <w:r>
              <w:rPr>
                <w:spacing w:val="-8"/>
              </w:rPr>
              <w:t>民 航 发</w:t>
            </w:r>
            <w:r>
              <w:rPr>
                <w:spacing w:val="16"/>
              </w:rPr>
              <w:t xml:space="preserve"> </w:t>
            </w:r>
            <w:r>
              <w:rPr>
                <w:spacing w:val="-8"/>
              </w:rPr>
              <w:t>[</w:t>
            </w:r>
          </w:p>
          <w:p>
            <w:pPr>
              <w:pStyle w:val="TableText"/>
              <w:spacing w:before="21" w:line="221" w:lineRule="auto"/>
              <w:jc w:val="right"/>
              <w:rPr/>
            </w:pPr>
            <w:r>
              <w:rPr>
                <w:spacing w:val="-7"/>
              </w:rPr>
              <w:t>2008〕2号、</w:t>
            </w:r>
          </w:p>
          <w:p>
            <w:pPr>
              <w:pStyle w:val="TableText"/>
              <w:ind w:left="96"/>
              <w:spacing w:before="20" w:line="220" w:lineRule="auto"/>
              <w:rPr/>
            </w:pPr>
            <w:r>
              <w:rPr>
                <w:spacing w:val="-1"/>
              </w:rPr>
              <w:t>民航发〔</w:t>
            </w:r>
          </w:p>
          <w:p>
            <w:pPr>
              <w:pStyle w:val="TableText"/>
              <w:ind w:left="15" w:right="100" w:firstLine="80"/>
              <w:spacing w:before="50" w:line="215" w:lineRule="auto"/>
              <w:rPr/>
            </w:pPr>
            <w:r>
              <w:rPr>
                <w:spacing w:val="-2"/>
              </w:rPr>
              <w:t>2012〕59</w:t>
            </w:r>
            <w:r>
              <w:rPr>
                <w:spacing w:val="5"/>
              </w:rPr>
              <w:t xml:space="preserve"> </w:t>
            </w:r>
            <w:r>
              <w:rPr/>
              <w:t>号</w:t>
            </w:r>
          </w:p>
        </w:tc>
        <w:tc>
          <w:tcPr>
            <w:tcW w:w="679" w:type="dxa"/>
            <w:vAlign w:val="top"/>
          </w:tcPr>
          <w:p>
            <w:pPr>
              <w:pStyle w:val="TableText"/>
              <w:ind w:left="16"/>
              <w:spacing w:before="74" w:line="220" w:lineRule="auto"/>
              <w:rPr/>
            </w:pPr>
            <w:r>
              <w:rPr>
                <w:spacing w:val="4"/>
              </w:rPr>
              <w:t>民航局</w:t>
            </w:r>
          </w:p>
        </w:tc>
        <w:tc>
          <w:tcPr>
            <w:tcW w:w="659" w:type="dxa"/>
            <w:vAlign w:val="top"/>
          </w:tcPr>
          <w:p>
            <w:pPr>
              <w:pStyle w:val="TableText"/>
              <w:ind w:left="97"/>
              <w:spacing w:before="64" w:line="220" w:lineRule="auto"/>
              <w:rPr/>
            </w:pPr>
            <w:r>
              <w:rPr>
                <w:spacing w:val="4"/>
              </w:rPr>
              <w:t>民航局</w:t>
            </w:r>
          </w:p>
        </w:tc>
        <w:tc>
          <w:tcPr>
            <w:tcW w:w="390" w:type="dxa"/>
            <w:vAlign w:val="top"/>
          </w:tcPr>
          <w:p>
            <w:pPr>
              <w:pStyle w:val="TableText"/>
              <w:ind w:left="119"/>
              <w:spacing w:before="46" w:line="223" w:lineRule="auto"/>
              <w:rPr/>
            </w:pPr>
            <w:r>
              <w:rPr/>
              <w:t>是</w:t>
            </w:r>
          </w:p>
        </w:tc>
        <w:tc>
          <w:tcPr>
            <w:tcW w:w="500" w:type="dxa"/>
            <w:vAlign w:val="top"/>
          </w:tcPr>
          <w:p>
            <w:pPr>
              <w:pStyle w:val="TableText"/>
              <w:ind w:left="168"/>
              <w:spacing w:before="44" w:line="220" w:lineRule="auto"/>
              <w:rPr/>
            </w:pPr>
            <w:r>
              <w:rPr/>
              <w:t>否</w:t>
            </w:r>
          </w:p>
        </w:tc>
        <w:tc>
          <w:tcPr>
            <w:tcW w:w="529" w:type="dxa"/>
            <w:vAlign w:val="top"/>
          </w:tcPr>
          <w:p>
            <w:pPr>
              <w:pStyle w:val="TableText"/>
              <w:ind w:left="188"/>
              <w:spacing w:before="64" w:line="220" w:lineRule="auto"/>
              <w:rPr/>
            </w:pPr>
            <w:r>
              <w:rPr/>
              <w:t>否</w:t>
            </w:r>
          </w:p>
        </w:tc>
        <w:tc>
          <w:tcPr>
            <w:tcW w:w="694" w:type="dxa"/>
            <w:vAlign w:val="top"/>
          </w:tcPr>
          <w:p>
            <w:pPr>
              <w:rPr>
                <w:rFonts w:ascii="Arial"/>
                <w:sz w:val="21"/>
              </w:rPr>
            </w:pPr>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35744"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72" name="TextBox 372"/>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4" style="position:absolute;margin-left:37.0402pt;margin-top:48.636pt;mso-position-vertical-relative:page;mso-position-horizontal-relative:page;width:13.6pt;height:12.35pt;z-index:25193574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274</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849"/>
        <w:gridCol w:w="829"/>
        <w:gridCol w:w="3416"/>
        <w:gridCol w:w="769"/>
        <w:gridCol w:w="679"/>
        <w:gridCol w:w="679"/>
        <w:gridCol w:w="390"/>
        <w:gridCol w:w="500"/>
        <w:gridCol w:w="529"/>
        <w:gridCol w:w="694"/>
      </w:tblGrid>
      <w:tr>
        <w:trPr>
          <w:trHeight w:val="683" w:hRule="atLeast"/>
        </w:trPr>
        <w:tc>
          <w:tcPr>
            <w:tcW w:w="295" w:type="dxa"/>
            <w:vAlign w:val="top"/>
            <w:textDirection w:val="tbRlV"/>
          </w:tcPr>
          <w:p>
            <w:pPr>
              <w:pStyle w:val="TableText"/>
              <w:ind w:left="137"/>
              <w:spacing w:before="90" w:line="216" w:lineRule="auto"/>
              <w:rPr/>
            </w:pPr>
            <w:r>
              <w:rPr/>
              <w:t>类</w:t>
            </w:r>
            <w:r>
              <w:rPr>
                <w:spacing w:val="22"/>
              </w:rPr>
              <w:t xml:space="preserve"> </w:t>
            </w:r>
            <w:r>
              <w:rPr/>
              <w:t>型</w:t>
            </w:r>
          </w:p>
        </w:tc>
        <w:tc>
          <w:tcPr>
            <w:tcW w:w="849" w:type="dxa"/>
            <w:vAlign w:val="top"/>
          </w:tcPr>
          <w:p>
            <w:pPr>
              <w:pStyle w:val="TableText"/>
              <w:ind w:left="109"/>
              <w:spacing w:before="271" w:line="220" w:lineRule="auto"/>
              <w:rPr/>
            </w:pPr>
            <w:r>
              <w:rPr>
                <w:spacing w:val="7"/>
              </w:rPr>
              <w:t>一级项目</w:t>
            </w:r>
          </w:p>
        </w:tc>
        <w:tc>
          <w:tcPr>
            <w:tcW w:w="829" w:type="dxa"/>
            <w:vAlign w:val="top"/>
          </w:tcPr>
          <w:p>
            <w:pPr>
              <w:pStyle w:val="TableText"/>
              <w:ind w:left="100"/>
              <w:spacing w:before="271" w:line="220" w:lineRule="auto"/>
              <w:rPr/>
            </w:pPr>
            <w:r>
              <w:rPr>
                <w:spacing w:val="7"/>
              </w:rPr>
              <w:t>二级项目</w:t>
            </w:r>
          </w:p>
        </w:tc>
        <w:tc>
          <w:tcPr>
            <w:tcW w:w="3416" w:type="dxa"/>
            <w:vAlign w:val="top"/>
          </w:tcPr>
          <w:p>
            <w:pPr>
              <w:pStyle w:val="TableText"/>
              <w:ind w:left="1421"/>
              <w:spacing w:before="271" w:line="219" w:lineRule="auto"/>
              <w:rPr/>
            </w:pPr>
            <w:r>
              <w:rPr>
                <w:spacing w:val="-3"/>
              </w:rPr>
              <w:t>收费标准</w:t>
            </w:r>
          </w:p>
        </w:tc>
        <w:tc>
          <w:tcPr>
            <w:tcW w:w="769" w:type="dxa"/>
            <w:vAlign w:val="top"/>
          </w:tcPr>
          <w:p>
            <w:pPr>
              <w:pStyle w:val="TableText"/>
              <w:ind w:left="135" w:right="74" w:hanging="39"/>
              <w:spacing w:before="161"/>
              <w:rPr/>
            </w:pPr>
            <w:r>
              <w:rPr>
                <w:spacing w:val="-3"/>
              </w:rPr>
              <w:t>收费文件</w:t>
            </w:r>
            <w:r>
              <w:rPr/>
              <w:t xml:space="preserve"> </w:t>
            </w:r>
            <w:r>
              <w:rPr>
                <w:spacing w:val="1"/>
              </w:rPr>
              <w:t>(文号</w:t>
            </w:r>
          </w:p>
        </w:tc>
        <w:tc>
          <w:tcPr>
            <w:tcW w:w="679" w:type="dxa"/>
            <w:vAlign w:val="top"/>
          </w:tcPr>
          <w:p>
            <w:pPr>
              <w:pStyle w:val="TableText"/>
              <w:ind w:left="36"/>
              <w:spacing w:before="269" w:line="218" w:lineRule="auto"/>
              <w:rPr/>
            </w:pPr>
            <w:r>
              <w:rPr>
                <w:spacing w:val="4"/>
              </w:rPr>
              <w:t>定价部门</w:t>
            </w:r>
          </w:p>
        </w:tc>
        <w:tc>
          <w:tcPr>
            <w:tcW w:w="679" w:type="dxa"/>
            <w:vAlign w:val="top"/>
          </w:tcPr>
          <w:p>
            <w:pPr>
              <w:pStyle w:val="TableText"/>
              <w:ind w:left="187" w:right="39" w:hanging="150"/>
              <w:spacing w:before="160" w:line="239" w:lineRule="auto"/>
              <w:rPr/>
            </w:pPr>
            <w:r>
              <w:rPr>
                <w:spacing w:val="-3"/>
              </w:rPr>
              <w:t>行业主管</w:t>
            </w:r>
            <w:r>
              <w:rPr>
                <w:spacing w:val="2"/>
              </w:rPr>
              <w:t xml:space="preserve"> </w:t>
            </w:r>
            <w:r>
              <w:rPr>
                <w:spacing w:val="8"/>
              </w:rPr>
              <w:t>部门</w:t>
            </w:r>
          </w:p>
        </w:tc>
        <w:tc>
          <w:tcPr>
            <w:tcW w:w="390" w:type="dxa"/>
            <w:vAlign w:val="top"/>
          </w:tcPr>
          <w:p>
            <w:pPr>
              <w:pStyle w:val="TableText"/>
              <w:ind w:left="38" w:right="48"/>
              <w:spacing w:before="161"/>
              <w:rPr/>
            </w:pPr>
            <w:r>
              <w:rPr>
                <w:spacing w:val="-5"/>
              </w:rPr>
              <w:t>是否</w:t>
            </w:r>
            <w:r>
              <w:rPr/>
              <w:t xml:space="preserve"> </w:t>
            </w:r>
            <w:r>
              <w:rPr>
                <w:spacing w:val="-4"/>
              </w:rPr>
              <w:t>涉企</w:t>
            </w:r>
          </w:p>
        </w:tc>
        <w:tc>
          <w:tcPr>
            <w:tcW w:w="500" w:type="dxa"/>
            <w:vAlign w:val="top"/>
          </w:tcPr>
          <w:p>
            <w:pPr>
              <w:pStyle w:val="TableText"/>
              <w:ind w:left="19"/>
              <w:spacing w:before="61" w:line="220" w:lineRule="auto"/>
              <w:rPr/>
            </w:pPr>
            <w:r>
              <w:rPr>
                <w:spacing w:val="-2"/>
              </w:rPr>
              <w:t>是否行</w:t>
            </w:r>
          </w:p>
          <w:p>
            <w:pPr>
              <w:pStyle w:val="TableText"/>
              <w:ind w:left="19"/>
              <w:spacing w:before="21" w:line="220" w:lineRule="auto"/>
              <w:rPr/>
            </w:pPr>
            <w:r>
              <w:rPr>
                <w:spacing w:val="-2"/>
              </w:rPr>
              <w:t>政审批</w:t>
            </w:r>
          </w:p>
          <w:p>
            <w:pPr>
              <w:pStyle w:val="TableText"/>
              <w:ind w:left="98"/>
              <w:spacing w:before="52" w:line="221" w:lineRule="auto"/>
              <w:rPr/>
            </w:pPr>
            <w:r>
              <w:rPr>
                <w:spacing w:val="-3"/>
              </w:rPr>
              <w:t>前置</w:t>
            </w:r>
          </w:p>
        </w:tc>
        <w:tc>
          <w:tcPr>
            <w:tcW w:w="529" w:type="dxa"/>
            <w:vAlign w:val="top"/>
          </w:tcPr>
          <w:p>
            <w:pPr>
              <w:pStyle w:val="TableText"/>
              <w:ind w:left="39" w:right="7"/>
              <w:spacing w:before="61" w:line="250" w:lineRule="auto"/>
              <w:jc w:val="both"/>
              <w:rPr/>
            </w:pPr>
            <w:r>
              <w:rPr>
                <w:spacing w:val="-3"/>
              </w:rPr>
              <w:t>是否涉</w:t>
            </w:r>
            <w:r>
              <w:rPr/>
              <w:t xml:space="preserve"> </w:t>
            </w:r>
            <w:r>
              <w:rPr>
                <w:spacing w:val="7"/>
              </w:rPr>
              <w:t>进出口</w:t>
            </w:r>
            <w:r>
              <w:rPr/>
              <w:t xml:space="preserve"> </w:t>
            </w:r>
            <w:r>
              <w:rPr>
                <w:spacing w:val="32"/>
              </w:rPr>
              <w:t>环节</w:t>
            </w:r>
          </w:p>
        </w:tc>
        <w:tc>
          <w:tcPr>
            <w:tcW w:w="694" w:type="dxa"/>
            <w:vAlign w:val="top"/>
          </w:tcPr>
          <w:p>
            <w:pPr>
              <w:pStyle w:val="TableText"/>
              <w:ind w:left="189"/>
              <w:spacing w:before="271" w:line="221" w:lineRule="auto"/>
              <w:rPr/>
            </w:pPr>
            <w:r>
              <w:rPr>
                <w:spacing w:val="-2"/>
              </w:rPr>
              <w:t>备注</w:t>
            </w:r>
          </w:p>
        </w:tc>
      </w:tr>
      <w:tr>
        <w:trPr>
          <w:trHeight w:val="1526" w:hRule="atLeast"/>
        </w:trPr>
        <w:tc>
          <w:tcPr>
            <w:tcW w:w="295" w:type="dxa"/>
            <w:vAlign w:val="top"/>
            <w:vMerge w:val="restart"/>
            <w:tcBorders>
              <w:bottom w:val="nil"/>
            </w:tcBorders>
          </w:tcPr>
          <w:p>
            <w:pPr>
              <w:rPr>
                <w:rFonts w:ascii="Arial"/>
                <w:sz w:val="21"/>
              </w:rPr>
            </w:pPr>
            <w:r/>
          </w:p>
        </w:tc>
        <w:tc>
          <w:tcPr>
            <w:tcW w:w="849"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0" w:firstLine="29"/>
              <w:spacing w:before="49" w:line="264" w:lineRule="auto"/>
              <w:jc w:val="both"/>
              <w:rPr/>
            </w:pPr>
            <w:r>
              <w:rPr>
                <w:spacing w:val="9"/>
              </w:rPr>
              <w:t>五、沿海、</w:t>
            </w:r>
            <w:r>
              <w:rPr>
                <w:spacing w:val="3"/>
              </w:rPr>
              <w:t xml:space="preserve"> </w:t>
            </w:r>
            <w:r>
              <w:rPr/>
              <w:t>长江干线主  </w:t>
            </w:r>
            <w:r>
              <w:rPr/>
              <w:t>要港口及其  </w:t>
            </w:r>
            <w:r>
              <w:rPr/>
              <w:t>他所有对外  </w:t>
            </w:r>
            <w:r>
              <w:rPr/>
              <w:t>开放港口的  </w:t>
            </w:r>
            <w:r>
              <w:rPr>
                <w:spacing w:val="-5"/>
              </w:rPr>
              <w:t>服务收费</w:t>
            </w:r>
          </w:p>
        </w:tc>
        <w:tc>
          <w:tcPr>
            <w:tcW w:w="829" w:type="dxa"/>
            <w:vAlign w:val="top"/>
          </w:tcPr>
          <w:p>
            <w:pPr>
              <w:spacing w:line="298" w:lineRule="auto"/>
              <w:rPr>
                <w:rFonts w:ascii="Arial"/>
                <w:sz w:val="21"/>
              </w:rPr>
            </w:pPr>
            <w:r/>
          </w:p>
          <w:p>
            <w:pPr>
              <w:pStyle w:val="TableText"/>
              <w:ind w:left="11" w:right="42" w:firstLine="89"/>
              <w:spacing w:before="49" w:line="258" w:lineRule="auto"/>
              <w:jc w:val="both"/>
              <w:rPr/>
            </w:pPr>
            <w:r>
              <w:rPr>
                <w:spacing w:val="2"/>
              </w:rPr>
              <w:t>(一)船舶</w:t>
            </w:r>
            <w:r>
              <w:rPr/>
              <w:t xml:space="preserve">  </w:t>
            </w:r>
            <w:r>
              <w:rPr>
                <w:spacing w:val="3"/>
              </w:rPr>
              <w:t>进出港、靠</w:t>
            </w:r>
            <w:r>
              <w:rPr/>
              <w:t xml:space="preserve"> </w:t>
            </w:r>
            <w:r>
              <w:rPr>
                <w:spacing w:val="2"/>
              </w:rPr>
              <w:t>离泊服务收</w:t>
            </w:r>
            <w:r>
              <w:rPr/>
              <w:t xml:space="preserve"> </w:t>
            </w:r>
            <w:r>
              <w:rPr/>
              <w:t>费</w:t>
            </w:r>
          </w:p>
        </w:tc>
        <w:tc>
          <w:tcPr>
            <w:tcW w:w="3416" w:type="dxa"/>
            <w:vAlign w:val="top"/>
          </w:tcPr>
          <w:p>
            <w:pPr>
              <w:pStyle w:val="TableText"/>
              <w:ind w:left="41" w:right="669"/>
              <w:spacing w:before="128" w:line="245" w:lineRule="auto"/>
              <w:rPr/>
            </w:pPr>
            <w:r>
              <w:rPr>
                <w:spacing w:val="-1"/>
              </w:rPr>
              <w:t>1.引航(移泊)费，2.拖轮费，3.停泊费，</w:t>
            </w:r>
            <w:r>
              <w:rPr>
                <w:spacing w:val="15"/>
              </w:rPr>
              <w:t xml:space="preserve"> </w:t>
            </w:r>
            <w:r>
              <w:rPr>
                <w:spacing w:val="-1"/>
              </w:rPr>
              <w:t>4.围油栏使用费。</w:t>
            </w:r>
          </w:p>
          <w:p>
            <w:pPr>
              <w:pStyle w:val="TableText"/>
              <w:ind w:left="41"/>
              <w:spacing w:before="42" w:line="219" w:lineRule="auto"/>
              <w:rPr/>
            </w:pPr>
            <w:r>
              <w:rPr>
                <w:spacing w:val="-1"/>
              </w:rPr>
              <w:t>具体收费标准见相关文件</w:t>
            </w:r>
          </w:p>
        </w:tc>
        <w:tc>
          <w:tcPr>
            <w:tcW w:w="769" w:type="dxa"/>
            <w:vAlign w:val="top"/>
          </w:tcPr>
          <w:p>
            <w:pPr>
              <w:pStyle w:val="TableText"/>
              <w:ind w:left="15"/>
              <w:spacing w:before="108" w:line="219" w:lineRule="auto"/>
              <w:rPr/>
            </w:pPr>
            <w:r>
              <w:rPr>
                <w:spacing w:val="-2"/>
              </w:rPr>
              <w:t>交水规</w:t>
            </w:r>
          </w:p>
          <w:p>
            <w:pPr>
              <w:pStyle w:val="TableText"/>
              <w:spacing w:before="70" w:line="237" w:lineRule="auto"/>
              <w:rPr/>
            </w:pPr>
            <w:r>
              <w:rPr>
                <w:spacing w:val="-10"/>
              </w:rPr>
              <w:t>〔2019〕2</w:t>
            </w:r>
          </w:p>
          <w:p>
            <w:pPr>
              <w:pStyle w:val="TableText"/>
              <w:ind w:left="51"/>
              <w:spacing w:line="220" w:lineRule="auto"/>
              <w:rPr/>
            </w:pPr>
            <w:r>
              <w:rPr/>
              <w:t>号</w:t>
            </w:r>
          </w:p>
        </w:tc>
        <w:tc>
          <w:tcPr>
            <w:tcW w:w="679" w:type="dxa"/>
            <w:vAlign w:val="top"/>
          </w:tcPr>
          <w:p>
            <w:pPr>
              <w:pStyle w:val="TableText"/>
              <w:ind w:left="36" w:right="39"/>
              <w:spacing w:before="97" w:line="258" w:lineRule="auto"/>
              <w:jc w:val="both"/>
              <w:rPr/>
            </w:pPr>
            <w:r>
              <w:rPr>
                <w:spacing w:val="-3"/>
              </w:rPr>
              <w:t>交通运输</w:t>
            </w:r>
            <w:r>
              <w:rPr>
                <w:spacing w:val="2"/>
              </w:rPr>
              <w:t xml:space="preserve"> </w:t>
            </w:r>
            <w:r>
              <w:rPr>
                <w:spacing w:val="-2"/>
              </w:rPr>
              <w:t>部、发展</w:t>
            </w:r>
            <w:r>
              <w:rPr/>
              <w:t xml:space="preserve"> </w:t>
            </w:r>
            <w:r>
              <w:rPr>
                <w:spacing w:val="-3"/>
              </w:rPr>
              <w:t>改革委</w:t>
            </w:r>
          </w:p>
        </w:tc>
        <w:tc>
          <w:tcPr>
            <w:tcW w:w="679" w:type="dxa"/>
            <w:vAlign w:val="top"/>
          </w:tcPr>
          <w:p>
            <w:pPr>
              <w:pStyle w:val="TableText"/>
              <w:ind w:left="257" w:right="39" w:hanging="220"/>
              <w:spacing w:before="108" w:line="245" w:lineRule="auto"/>
              <w:rPr/>
            </w:pPr>
            <w:r>
              <w:rPr>
                <w:spacing w:val="-3"/>
              </w:rPr>
              <w:t>交通运输</w:t>
            </w:r>
            <w:r>
              <w:rPr>
                <w:spacing w:val="2"/>
              </w:rPr>
              <w:t xml:space="preserve"> </w:t>
            </w:r>
            <w:r>
              <w:rPr/>
              <w:t>部</w:t>
            </w:r>
          </w:p>
        </w:tc>
        <w:tc>
          <w:tcPr>
            <w:tcW w:w="390" w:type="dxa"/>
            <w:vAlign w:val="top"/>
          </w:tcPr>
          <w:p>
            <w:pPr>
              <w:pStyle w:val="TableText"/>
              <w:ind w:left="119"/>
              <w:spacing w:before="130" w:line="223" w:lineRule="auto"/>
              <w:rPr/>
            </w:pPr>
            <w:r>
              <w:rPr/>
              <w:t>是</w:t>
            </w:r>
          </w:p>
        </w:tc>
        <w:tc>
          <w:tcPr>
            <w:tcW w:w="500" w:type="dxa"/>
            <w:vAlign w:val="top"/>
          </w:tcPr>
          <w:p>
            <w:pPr>
              <w:pStyle w:val="TableText"/>
              <w:ind w:left="168"/>
              <w:spacing w:before="128" w:line="220" w:lineRule="auto"/>
              <w:rPr/>
            </w:pPr>
            <w:r>
              <w:rPr/>
              <w:t>否</w:t>
            </w:r>
          </w:p>
        </w:tc>
        <w:tc>
          <w:tcPr>
            <w:tcW w:w="529" w:type="dxa"/>
            <w:vAlign w:val="top"/>
          </w:tcPr>
          <w:p>
            <w:pPr>
              <w:pStyle w:val="TableText"/>
              <w:ind w:left="188"/>
              <w:spacing w:before="130" w:line="223" w:lineRule="auto"/>
              <w:rPr/>
            </w:pPr>
            <w:r>
              <w:rPr/>
              <w:t>是</w:t>
            </w:r>
          </w:p>
        </w:tc>
        <w:tc>
          <w:tcPr>
            <w:tcW w:w="694" w:type="dxa"/>
            <w:vAlign w:val="top"/>
          </w:tcPr>
          <w:p>
            <w:pPr>
              <w:pStyle w:val="TableText"/>
              <w:ind w:left="40"/>
              <w:spacing w:before="107" w:line="219" w:lineRule="auto"/>
              <w:rPr/>
            </w:pPr>
            <w:r>
              <w:rPr>
                <w:spacing w:val="-2"/>
              </w:rPr>
              <w:t>长江干线</w:t>
            </w:r>
          </w:p>
          <w:p>
            <w:pPr>
              <w:pStyle w:val="TableText"/>
              <w:ind w:left="80"/>
              <w:spacing w:before="63" w:line="220" w:lineRule="auto"/>
              <w:rPr/>
            </w:pPr>
            <w:r>
              <w:rPr>
                <w:spacing w:val="-7"/>
              </w:rPr>
              <w:t>的引</w:t>
            </w:r>
            <w:r>
              <w:rPr>
                <w:spacing w:val="7"/>
              </w:rPr>
              <w:t xml:space="preserve"> </w:t>
            </w:r>
            <w:r>
              <w:rPr>
                <w:spacing w:val="-7"/>
              </w:rPr>
              <w:t>航</w:t>
            </w:r>
          </w:p>
          <w:p>
            <w:pPr>
              <w:pStyle w:val="TableText"/>
              <w:ind w:left="119"/>
              <w:spacing w:before="41" w:line="221" w:lineRule="auto"/>
              <w:rPr/>
            </w:pPr>
            <w:r>
              <w:rPr>
                <w:spacing w:val="8"/>
              </w:rPr>
              <w:t>(移泊)</w:t>
            </w:r>
          </w:p>
          <w:p>
            <w:pPr>
              <w:pStyle w:val="TableText"/>
              <w:ind w:left="30" w:right="37" w:firstLine="10"/>
              <w:spacing w:before="28" w:line="258" w:lineRule="auto"/>
              <w:jc w:val="both"/>
              <w:rPr/>
            </w:pPr>
            <w:r>
              <w:rPr>
                <w:spacing w:val="1"/>
              </w:rPr>
              <w:t>费按行政 </w:t>
            </w:r>
            <w:r>
              <w:rPr>
                <w:spacing w:val="1"/>
              </w:rPr>
              <w:t>事业性收</w:t>
            </w:r>
            <w:r>
              <w:rPr/>
              <w:t xml:space="preserve"> </w:t>
            </w:r>
            <w:r>
              <w:rPr>
                <w:spacing w:val="-1"/>
              </w:rPr>
              <w:t>费管理。</w:t>
            </w:r>
          </w:p>
        </w:tc>
      </w:tr>
      <w:tr>
        <w:trPr>
          <w:trHeight w:val="848" w:hRule="atLeast"/>
        </w:trPr>
        <w:tc>
          <w:tcPr>
            <w:tcW w:w="295" w:type="dxa"/>
            <w:vAlign w:val="top"/>
            <w:vMerge w:val="continue"/>
            <w:tcBorders>
              <w:top w:val="nil"/>
              <w:bottom w:val="nil"/>
            </w:tcBorders>
          </w:tcPr>
          <w:p>
            <w:pPr>
              <w:rPr>
                <w:rFonts w:ascii="Arial"/>
                <w:sz w:val="21"/>
              </w:rPr>
            </w:pPr>
            <w:r/>
          </w:p>
        </w:tc>
        <w:tc>
          <w:tcPr>
            <w:tcW w:w="849" w:type="dxa"/>
            <w:vAlign w:val="top"/>
            <w:vMerge w:val="continue"/>
            <w:tcBorders>
              <w:top w:val="nil"/>
              <w:bottom w:val="nil"/>
            </w:tcBorders>
          </w:tcPr>
          <w:p>
            <w:pPr>
              <w:rPr>
                <w:rFonts w:ascii="Arial"/>
                <w:sz w:val="21"/>
              </w:rPr>
            </w:pPr>
            <w:r/>
          </w:p>
        </w:tc>
        <w:tc>
          <w:tcPr>
            <w:tcW w:w="829" w:type="dxa"/>
            <w:vAlign w:val="top"/>
          </w:tcPr>
          <w:p>
            <w:pPr>
              <w:pStyle w:val="TableText"/>
              <w:ind w:left="11" w:right="30" w:firstLine="10"/>
              <w:spacing w:before="212" w:line="245" w:lineRule="auto"/>
              <w:rPr/>
            </w:pPr>
            <w:r>
              <w:rPr>
                <w:spacing w:val="-13"/>
              </w:rPr>
              <w:t>(</w:t>
            </w:r>
            <w:r>
              <w:rPr>
                <w:spacing w:val="-16"/>
              </w:rPr>
              <w:t xml:space="preserve"> </w:t>
            </w:r>
            <w:r>
              <w:rPr>
                <w:spacing w:val="-13"/>
              </w:rPr>
              <w:t>二</w:t>
            </w:r>
            <w:r>
              <w:rPr>
                <w:spacing w:val="-18"/>
              </w:rPr>
              <w:t xml:space="preserve"> </w:t>
            </w:r>
            <w:r>
              <w:rPr>
                <w:spacing w:val="-13"/>
              </w:rPr>
              <w:t>)</w:t>
            </w:r>
            <w:r>
              <w:rPr>
                <w:spacing w:val="-16"/>
              </w:rPr>
              <w:t xml:space="preserve"> </w:t>
            </w:r>
            <w:r>
              <w:rPr>
                <w:spacing w:val="-13"/>
              </w:rPr>
              <w:t>货</w:t>
            </w:r>
            <w:r>
              <w:rPr>
                <w:spacing w:val="-19"/>
              </w:rPr>
              <w:t xml:space="preserve"> </w:t>
            </w:r>
            <w:r>
              <w:rPr>
                <w:spacing w:val="-13"/>
              </w:rPr>
              <w:t>物</w:t>
            </w:r>
            <w:r>
              <w:rPr/>
              <w:t xml:space="preserve"> </w:t>
            </w:r>
            <w:r>
              <w:rPr>
                <w:spacing w:val="-2"/>
              </w:rPr>
              <w:t>港务费</w:t>
            </w:r>
          </w:p>
        </w:tc>
        <w:tc>
          <w:tcPr>
            <w:tcW w:w="3416" w:type="dxa"/>
            <w:vAlign w:val="top"/>
          </w:tcPr>
          <w:p>
            <w:pPr>
              <w:pStyle w:val="TableText"/>
              <w:ind w:left="41"/>
              <w:spacing w:before="132" w:line="219" w:lineRule="auto"/>
              <w:rPr/>
            </w:pPr>
            <w:r>
              <w:rPr>
                <w:spacing w:val="-1"/>
              </w:rPr>
              <w:t>具体收费标准见相关文件</w:t>
            </w:r>
          </w:p>
        </w:tc>
        <w:tc>
          <w:tcPr>
            <w:tcW w:w="769" w:type="dxa"/>
            <w:vAlign w:val="top"/>
          </w:tcPr>
          <w:p>
            <w:pPr>
              <w:pStyle w:val="TableText"/>
              <w:ind w:left="15"/>
              <w:spacing w:before="121" w:line="235" w:lineRule="exact"/>
              <w:rPr/>
            </w:pPr>
            <w:r>
              <w:rPr>
                <w:spacing w:val="-2"/>
                <w:position w:val="6"/>
              </w:rPr>
              <w:t>交水规</w:t>
            </w:r>
          </w:p>
          <w:p>
            <w:pPr>
              <w:pStyle w:val="TableText"/>
              <w:ind w:left="36"/>
              <w:spacing w:line="217" w:lineRule="auto"/>
              <w:rPr/>
            </w:pPr>
            <w:r>
              <w:rPr>
                <w:spacing w:val="-4"/>
              </w:rPr>
              <w:t>[2019]2</w:t>
            </w:r>
          </w:p>
          <w:p>
            <w:pPr>
              <w:pStyle w:val="TableText"/>
              <w:ind w:left="15"/>
              <w:spacing w:line="220" w:lineRule="auto"/>
              <w:rPr/>
            </w:pPr>
            <w:r>
              <w:rPr/>
              <w:t>号</w:t>
            </w:r>
          </w:p>
        </w:tc>
        <w:tc>
          <w:tcPr>
            <w:tcW w:w="679" w:type="dxa"/>
            <w:vAlign w:val="top"/>
          </w:tcPr>
          <w:p>
            <w:pPr>
              <w:pStyle w:val="TableText"/>
              <w:ind w:left="26" w:right="39" w:firstLine="10"/>
              <w:spacing w:before="120" w:line="250" w:lineRule="auto"/>
              <w:jc w:val="both"/>
              <w:rPr/>
            </w:pPr>
            <w:r>
              <w:rPr>
                <w:spacing w:val="-3"/>
              </w:rPr>
              <w:t>交通运输</w:t>
            </w:r>
            <w:r>
              <w:rPr>
                <w:spacing w:val="2"/>
              </w:rPr>
              <w:t xml:space="preserve"> </w:t>
            </w:r>
            <w:r>
              <w:rPr/>
              <w:t>部、发展</w:t>
            </w:r>
            <w:r>
              <w:rPr>
                <w:spacing w:val="1"/>
              </w:rPr>
              <w:t xml:space="preserve"> </w:t>
            </w:r>
            <w:r>
              <w:rPr>
                <w:spacing w:val="-3"/>
              </w:rPr>
              <w:t>改革委</w:t>
            </w:r>
          </w:p>
        </w:tc>
        <w:tc>
          <w:tcPr>
            <w:tcW w:w="679" w:type="dxa"/>
            <w:vAlign w:val="top"/>
          </w:tcPr>
          <w:p>
            <w:pPr>
              <w:pStyle w:val="TableText"/>
              <w:ind w:left="257" w:right="39" w:hanging="220"/>
              <w:spacing w:before="121" w:line="239" w:lineRule="auto"/>
              <w:rPr/>
            </w:pPr>
            <w:r>
              <w:rPr>
                <w:spacing w:val="-3"/>
              </w:rPr>
              <w:t>交通运输</w:t>
            </w:r>
            <w:r>
              <w:rPr>
                <w:spacing w:val="2"/>
              </w:rPr>
              <w:t xml:space="preserve"> </w:t>
            </w:r>
            <w:r>
              <w:rPr/>
              <w:t>部</w:t>
            </w:r>
          </w:p>
        </w:tc>
        <w:tc>
          <w:tcPr>
            <w:tcW w:w="390" w:type="dxa"/>
            <w:vAlign w:val="top"/>
          </w:tcPr>
          <w:p>
            <w:pPr>
              <w:pStyle w:val="TableText"/>
              <w:ind w:left="119"/>
              <w:spacing w:before="114" w:line="223" w:lineRule="auto"/>
              <w:rPr/>
            </w:pPr>
            <w:r>
              <w:rPr/>
              <w:t>是</w:t>
            </w:r>
          </w:p>
        </w:tc>
        <w:tc>
          <w:tcPr>
            <w:tcW w:w="500" w:type="dxa"/>
            <w:vAlign w:val="top"/>
          </w:tcPr>
          <w:p>
            <w:pPr>
              <w:pStyle w:val="TableText"/>
              <w:ind w:left="168"/>
              <w:spacing w:before="132" w:line="220" w:lineRule="auto"/>
              <w:rPr/>
            </w:pPr>
            <w:r>
              <w:rPr/>
              <w:t>否</w:t>
            </w:r>
          </w:p>
        </w:tc>
        <w:tc>
          <w:tcPr>
            <w:tcW w:w="529" w:type="dxa"/>
            <w:vAlign w:val="top"/>
          </w:tcPr>
          <w:p>
            <w:pPr>
              <w:pStyle w:val="TableText"/>
              <w:ind w:left="188"/>
              <w:spacing w:before="114" w:line="223" w:lineRule="auto"/>
              <w:rPr/>
            </w:pPr>
            <w:r>
              <w:rPr/>
              <w:t>是</w:t>
            </w:r>
          </w:p>
        </w:tc>
        <w:tc>
          <w:tcPr>
            <w:tcW w:w="694" w:type="dxa"/>
            <w:vAlign w:val="top"/>
          </w:tcPr>
          <w:p>
            <w:pPr>
              <w:rPr>
                <w:rFonts w:ascii="Arial"/>
                <w:sz w:val="21"/>
              </w:rPr>
            </w:pPr>
            <w:r/>
          </w:p>
        </w:tc>
      </w:tr>
      <w:tr>
        <w:trPr>
          <w:trHeight w:val="903" w:hRule="atLeast"/>
        </w:trPr>
        <w:tc>
          <w:tcPr>
            <w:tcW w:w="295"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829" w:type="dxa"/>
            <w:vAlign w:val="top"/>
          </w:tcPr>
          <w:p>
            <w:pPr>
              <w:pStyle w:val="TableText"/>
              <w:ind w:left="30" w:right="46" w:firstLine="70"/>
              <w:spacing w:before="266" w:line="238" w:lineRule="auto"/>
              <w:rPr/>
            </w:pPr>
            <w:r>
              <w:rPr>
                <w:spacing w:val="4"/>
              </w:rPr>
              <w:t>(三)港口</w:t>
            </w:r>
            <w:r>
              <w:rPr>
                <w:spacing w:val="1"/>
              </w:rPr>
              <w:t xml:space="preserve"> </w:t>
            </w:r>
            <w:r>
              <w:rPr>
                <w:spacing w:val="-2"/>
              </w:rPr>
              <w:t>设施保安费</w:t>
            </w:r>
          </w:p>
        </w:tc>
        <w:tc>
          <w:tcPr>
            <w:tcW w:w="3416" w:type="dxa"/>
            <w:vAlign w:val="top"/>
          </w:tcPr>
          <w:p>
            <w:pPr>
              <w:pStyle w:val="TableText"/>
              <w:ind w:left="41"/>
              <w:spacing w:before="154" w:line="219" w:lineRule="auto"/>
              <w:rPr/>
            </w:pPr>
            <w:r>
              <w:rPr>
                <w:spacing w:val="-1"/>
              </w:rPr>
              <w:t>具体收费标准见相关文件。</w:t>
            </w:r>
          </w:p>
        </w:tc>
        <w:tc>
          <w:tcPr>
            <w:tcW w:w="769" w:type="dxa"/>
            <w:vAlign w:val="top"/>
          </w:tcPr>
          <w:p>
            <w:pPr>
              <w:pStyle w:val="TableText"/>
              <w:ind w:left="15"/>
              <w:spacing w:before="134" w:line="219" w:lineRule="auto"/>
              <w:rPr/>
            </w:pPr>
            <w:r>
              <w:rPr>
                <w:spacing w:val="-2"/>
              </w:rPr>
              <w:t>交水规</w:t>
            </w:r>
          </w:p>
          <w:p>
            <w:pPr>
              <w:pStyle w:val="TableText"/>
              <w:spacing w:before="70" w:line="237" w:lineRule="auto"/>
              <w:rPr/>
            </w:pPr>
            <w:r>
              <w:rPr>
                <w:spacing w:val="-10"/>
              </w:rPr>
              <w:t>〔2019〕2</w:t>
            </w:r>
          </w:p>
          <w:p>
            <w:pPr>
              <w:pStyle w:val="TableText"/>
              <w:ind w:left="51"/>
              <w:spacing w:line="220" w:lineRule="auto"/>
              <w:rPr/>
            </w:pPr>
            <w:r>
              <w:rPr/>
              <w:t>号</w:t>
            </w:r>
          </w:p>
        </w:tc>
        <w:tc>
          <w:tcPr>
            <w:tcW w:w="679" w:type="dxa"/>
            <w:vAlign w:val="top"/>
          </w:tcPr>
          <w:p>
            <w:pPr>
              <w:pStyle w:val="TableText"/>
              <w:ind w:left="26" w:right="39" w:firstLine="10"/>
              <w:spacing w:before="142" w:line="250" w:lineRule="auto"/>
              <w:jc w:val="both"/>
              <w:rPr/>
            </w:pPr>
            <w:r>
              <w:rPr>
                <w:spacing w:val="-3"/>
              </w:rPr>
              <w:t>交通运输</w:t>
            </w:r>
            <w:r>
              <w:rPr>
                <w:spacing w:val="2"/>
              </w:rPr>
              <w:t xml:space="preserve"> </w:t>
            </w:r>
            <w:r>
              <w:rPr/>
              <w:t>部、发展</w:t>
            </w:r>
            <w:r>
              <w:rPr>
                <w:spacing w:val="1"/>
              </w:rPr>
              <w:t xml:space="preserve"> </w:t>
            </w:r>
            <w:r>
              <w:rPr>
                <w:spacing w:val="-3"/>
              </w:rPr>
              <w:t>改革委</w:t>
            </w:r>
          </w:p>
        </w:tc>
        <w:tc>
          <w:tcPr>
            <w:tcW w:w="679" w:type="dxa"/>
            <w:vAlign w:val="top"/>
          </w:tcPr>
          <w:p>
            <w:pPr>
              <w:pStyle w:val="TableText"/>
              <w:ind w:left="257" w:right="39" w:hanging="220"/>
              <w:spacing w:before="143" w:line="239" w:lineRule="auto"/>
              <w:rPr/>
            </w:pPr>
            <w:r>
              <w:rPr>
                <w:spacing w:val="-3"/>
              </w:rPr>
              <w:t>交通运输</w:t>
            </w:r>
            <w:r>
              <w:rPr>
                <w:spacing w:val="2"/>
              </w:rPr>
              <w:t xml:space="preserve"> </w:t>
            </w:r>
            <w:r>
              <w:rPr/>
              <w:t>部</w:t>
            </w:r>
          </w:p>
        </w:tc>
        <w:tc>
          <w:tcPr>
            <w:tcW w:w="390" w:type="dxa"/>
            <w:vAlign w:val="top"/>
          </w:tcPr>
          <w:p>
            <w:pPr>
              <w:pStyle w:val="TableText"/>
              <w:ind w:left="119"/>
              <w:spacing w:before="126" w:line="223" w:lineRule="auto"/>
              <w:rPr/>
            </w:pPr>
            <w:r>
              <w:rPr/>
              <w:t>是</w:t>
            </w:r>
          </w:p>
        </w:tc>
        <w:tc>
          <w:tcPr>
            <w:tcW w:w="500" w:type="dxa"/>
            <w:vAlign w:val="top"/>
          </w:tcPr>
          <w:p>
            <w:pPr>
              <w:pStyle w:val="TableText"/>
              <w:ind w:left="168"/>
              <w:spacing w:before="134" w:line="220" w:lineRule="auto"/>
              <w:rPr/>
            </w:pPr>
            <w:r>
              <w:rPr/>
              <w:t>否</w:t>
            </w:r>
          </w:p>
        </w:tc>
        <w:tc>
          <w:tcPr>
            <w:tcW w:w="529" w:type="dxa"/>
            <w:vAlign w:val="top"/>
          </w:tcPr>
          <w:p>
            <w:pPr>
              <w:pStyle w:val="TableText"/>
              <w:ind w:left="188"/>
              <w:spacing w:before="126" w:line="223" w:lineRule="auto"/>
              <w:rPr/>
            </w:pPr>
            <w:r>
              <w:rPr/>
              <w:t>是</w:t>
            </w:r>
          </w:p>
        </w:tc>
        <w:tc>
          <w:tcPr>
            <w:tcW w:w="694" w:type="dxa"/>
            <w:vAlign w:val="top"/>
          </w:tcPr>
          <w:p>
            <w:pPr>
              <w:rPr>
                <w:rFonts w:ascii="Arial"/>
                <w:sz w:val="21"/>
              </w:rPr>
            </w:pPr>
            <w:r/>
          </w:p>
        </w:tc>
      </w:tr>
    </w:tbl>
    <w:p>
      <w:pPr>
        <w:ind w:left="308"/>
        <w:spacing w:before="275" w:line="220" w:lineRule="auto"/>
        <w:rPr>
          <w:rFonts w:ascii="KaiTi" w:hAnsi="KaiTi" w:eastAsia="KaiTi" w:cs="KaiTi"/>
          <w:sz w:val="16"/>
          <w:szCs w:val="16"/>
        </w:rPr>
      </w:pPr>
      <w:r>
        <w:rPr>
          <w:rFonts w:ascii="KaiTi" w:hAnsi="KaiTi" w:eastAsia="KaiTi" w:cs="KaiTi"/>
          <w:sz w:val="16"/>
          <w:szCs w:val="16"/>
          <w:spacing w:val="2"/>
        </w:rPr>
        <w:t>注：上述政府定价经营服务性收费项目和标准，更新时</w:t>
      </w:r>
      <w:r>
        <w:rPr>
          <w:rFonts w:ascii="KaiTi" w:hAnsi="KaiTi" w:eastAsia="KaiTi" w:cs="KaiTi"/>
          <w:sz w:val="16"/>
          <w:szCs w:val="16"/>
          <w:spacing w:val="1"/>
        </w:rPr>
        <w:t>间截止到2022年底。</w:t>
      </w:r>
    </w:p>
    <w:p>
      <w:pPr>
        <w:spacing w:line="220" w:lineRule="auto"/>
        <w:sectPr>
          <w:pgSz w:w="11910" w:h="8220"/>
          <w:pgMar w:top="400" w:right="1145" w:bottom="400" w:left="821" w:header="0" w:footer="0" w:gutter="0"/>
        </w:sectPr>
        <w:rPr>
          <w:rFonts w:ascii="KaiTi" w:hAnsi="KaiTi" w:eastAsia="KaiTi" w:cs="KaiTi"/>
          <w:sz w:val="16"/>
          <w:szCs w:val="16"/>
        </w:rPr>
      </w:pPr>
    </w:p>
    <w:p>
      <w:pPr>
        <w:pStyle w:val="BodyText"/>
        <w:spacing w:line="246" w:lineRule="auto"/>
        <w:rPr/>
      </w:pPr>
      <w:r>
        <mc:AlternateContent xmlns:mc="http://schemas.openxmlformats.org/markup-compatibility/2006">
          <mc:Choice Requires="wps">
            <w:drawing>
              <wp:anchor distT="0" distB="0" distL="0" distR="0" simplePos="0" relativeHeight="251936768"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74" name="TextBox 37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6" style="position:absolute;margin-left:37.0402pt;margin-top:345.135pt;mso-position-vertical-relative:page;mso-position-horizontal-relative:page;width:13.6pt;height:12.35pt;z-index:25193676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275</w:t>
                      </w:r>
                    </w:p>
                  </w:txbxContent>
                </v:textbox>
              </v:shape>
            </w:pict>
          </mc:Fallback>
        </mc:AlternateContent>
      </w:r>
      <w:r/>
    </w:p>
    <w:p>
      <w:pPr>
        <w:pStyle w:val="BodyText"/>
        <w:spacing w:line="247" w:lineRule="auto"/>
        <w:rPr/>
      </w:pPr>
      <w:r/>
    </w:p>
    <w:p>
      <w:pPr>
        <w:ind w:left="1432"/>
        <w:spacing w:before="78" w:line="221" w:lineRule="auto"/>
        <w:rPr>
          <w:rFonts w:ascii="SimHei" w:hAnsi="SimHei" w:eastAsia="SimHei" w:cs="SimHei"/>
          <w:sz w:val="24"/>
          <w:szCs w:val="24"/>
        </w:rPr>
      </w:pPr>
      <w:r>
        <w:rPr>
          <w:rFonts w:ascii="SimHei" w:hAnsi="SimHei" w:eastAsia="SimHei" w:cs="SimHei"/>
          <w:sz w:val="24"/>
          <w:szCs w:val="24"/>
          <w:b/>
          <w:bCs/>
          <w:spacing w:val="-3"/>
        </w:rPr>
        <w:t>附录五：保留为国务院部门行政审批必要条件的中介</w:t>
      </w:r>
      <w:r>
        <w:rPr>
          <w:rFonts w:ascii="SimHei" w:hAnsi="SimHei" w:eastAsia="SimHei" w:cs="SimHei"/>
          <w:sz w:val="24"/>
          <w:szCs w:val="24"/>
          <w:b/>
          <w:bCs/>
          <w:spacing w:val="-4"/>
        </w:rPr>
        <w:t>服务事项汇总清单</w:t>
      </w:r>
    </w:p>
    <w:p>
      <w:pPr>
        <w:ind w:left="4368"/>
        <w:spacing w:before="24" w:line="225" w:lineRule="auto"/>
        <w:rPr>
          <w:rFonts w:ascii="KaiTi" w:hAnsi="KaiTi" w:eastAsia="KaiTi" w:cs="KaiTi"/>
          <w:sz w:val="20"/>
          <w:szCs w:val="20"/>
        </w:rPr>
      </w:pPr>
      <w:r>
        <w:rPr>
          <w:rFonts w:ascii="KaiTi" w:hAnsi="KaiTi" w:eastAsia="KaiTi" w:cs="KaiTi"/>
          <w:sz w:val="20"/>
          <w:szCs w:val="20"/>
          <w:spacing w:val="2"/>
        </w:rPr>
        <w:t>(2017年5月发布)</w:t>
      </w:r>
    </w:p>
    <w:p>
      <w:pPr>
        <w:spacing w:before="73"/>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88"/>
      </w:tblGrid>
      <w:tr>
        <w:trPr>
          <w:trHeight w:val="474" w:hRule="atLeast"/>
        </w:trPr>
        <w:tc>
          <w:tcPr>
            <w:tcW w:w="295" w:type="dxa"/>
            <w:vAlign w:val="top"/>
            <w:textDirection w:val="tbRlV"/>
          </w:tcPr>
          <w:p>
            <w:pPr>
              <w:pStyle w:val="TableText"/>
              <w:ind w:left="42"/>
              <w:spacing w:before="75" w:line="210" w:lineRule="auto"/>
              <w:rPr/>
            </w:pPr>
            <w:r>
              <w:rPr>
                <w:spacing w:val="-1"/>
              </w:rPr>
              <w:t>序</w:t>
            </w:r>
            <w:r>
              <w:rPr>
                <w:spacing w:val="-25"/>
              </w:rPr>
              <w:t xml:space="preserve"> </w:t>
            </w:r>
            <w:r>
              <w:rPr>
                <w:spacing w:val="-1"/>
              </w:rPr>
              <w:t>号</w:t>
            </w:r>
          </w:p>
        </w:tc>
        <w:tc>
          <w:tcPr>
            <w:tcW w:w="679" w:type="dxa"/>
            <w:vAlign w:val="top"/>
          </w:tcPr>
          <w:p>
            <w:pPr>
              <w:pStyle w:val="TableText"/>
              <w:ind w:left="30" w:right="32"/>
              <w:spacing w:before="50" w:line="252" w:lineRule="auto"/>
              <w:rPr/>
            </w:pPr>
            <w:r>
              <w:rPr>
                <w:spacing w:val="1"/>
              </w:rPr>
              <w:t>中介服务 </w:t>
            </w:r>
            <w:r>
              <w:rPr>
                <w:spacing w:val="-2"/>
              </w:rPr>
              <w:t>事项名称</w:t>
            </w:r>
          </w:p>
        </w:tc>
        <w:tc>
          <w:tcPr>
            <w:tcW w:w="1099" w:type="dxa"/>
            <w:vAlign w:val="top"/>
          </w:tcPr>
          <w:p>
            <w:pPr>
              <w:pStyle w:val="TableText"/>
              <w:ind w:left="239" w:right="35" w:hanging="229"/>
              <w:spacing w:before="5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5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046" w:hRule="atLeast"/>
        </w:trPr>
        <w:tc>
          <w:tcPr>
            <w:tcW w:w="295" w:type="dxa"/>
            <w:vAlign w:val="top"/>
          </w:tcPr>
          <w:p>
            <w:pPr>
              <w:pStyle w:val="TableText"/>
              <w:ind w:left="94"/>
              <w:spacing w:before="225" w:line="184" w:lineRule="auto"/>
              <w:rPr/>
            </w:pPr>
            <w:r>
              <w:rPr/>
              <w:t>1</w:t>
            </w:r>
          </w:p>
        </w:tc>
        <w:tc>
          <w:tcPr>
            <w:tcW w:w="679" w:type="dxa"/>
            <w:vAlign w:val="top"/>
          </w:tcPr>
          <w:p>
            <w:pPr>
              <w:pStyle w:val="TableText"/>
              <w:ind w:left="30" w:right="47"/>
              <w:spacing w:before="177" w:line="245" w:lineRule="auto"/>
              <w:rPr/>
            </w:pPr>
            <w:r>
              <w:rPr>
                <w:spacing w:val="-3"/>
              </w:rPr>
              <w:t>企业债券</w:t>
            </w:r>
            <w:r>
              <w:rPr>
                <w:spacing w:val="2"/>
              </w:rPr>
              <w:t xml:space="preserve"> </w:t>
            </w:r>
            <w:r>
              <w:rPr>
                <w:spacing w:val="-3"/>
              </w:rPr>
              <w:t>发行承销</w:t>
            </w:r>
          </w:p>
        </w:tc>
        <w:tc>
          <w:tcPr>
            <w:tcW w:w="1099" w:type="dxa"/>
            <w:vAlign w:val="top"/>
          </w:tcPr>
          <w:p>
            <w:pPr>
              <w:pStyle w:val="TableText"/>
              <w:ind w:left="20" w:right="132" w:firstLine="100"/>
              <w:spacing w:before="178" w:line="244" w:lineRule="auto"/>
              <w:rPr/>
            </w:pPr>
            <w:r>
              <w:rPr>
                <w:spacing w:val="1"/>
              </w:rPr>
              <w:t>(01003)企业</w:t>
            </w:r>
            <w:r>
              <w:rPr/>
              <w:t xml:space="preserve"> </w:t>
            </w:r>
            <w:r>
              <w:rPr>
                <w:spacing w:val="-1"/>
              </w:rPr>
              <w:t>债券发行核准</w:t>
            </w:r>
          </w:p>
        </w:tc>
        <w:tc>
          <w:tcPr>
            <w:tcW w:w="839" w:type="dxa"/>
            <w:vAlign w:val="top"/>
          </w:tcPr>
          <w:p>
            <w:pPr>
              <w:pStyle w:val="TableText"/>
              <w:ind w:left="31"/>
              <w:spacing w:before="177" w:line="219" w:lineRule="auto"/>
              <w:rPr/>
            </w:pPr>
            <w:r>
              <w:rPr>
                <w:spacing w:val="-2"/>
              </w:rPr>
              <w:t>发展改革委</w:t>
            </w:r>
          </w:p>
        </w:tc>
        <w:tc>
          <w:tcPr>
            <w:tcW w:w="659" w:type="dxa"/>
            <w:vAlign w:val="top"/>
          </w:tcPr>
          <w:p>
            <w:pPr>
              <w:pStyle w:val="TableText"/>
              <w:ind w:left="22" w:right="12"/>
              <w:spacing w:before="177" w:line="258" w:lineRule="auto"/>
              <w:jc w:val="both"/>
              <w:rPr/>
            </w:pPr>
            <w:r>
              <w:rPr>
                <w:spacing w:val="-3"/>
              </w:rPr>
              <w:t>具有证券</w:t>
            </w:r>
            <w:r>
              <w:rPr>
                <w:spacing w:val="2"/>
              </w:rPr>
              <w:t xml:space="preserve"> </w:t>
            </w:r>
            <w:r>
              <w:rPr>
                <w:spacing w:val="-2"/>
              </w:rPr>
              <w:t>从业资格</w:t>
            </w:r>
            <w:r>
              <w:rPr/>
              <w:t xml:space="preserve"> </w:t>
            </w:r>
            <w:r>
              <w:rPr>
                <w:spacing w:val="2"/>
              </w:rPr>
              <w:t>的证券公</w:t>
            </w:r>
            <w:r>
              <w:rPr/>
              <w:t xml:space="preserve"> </w:t>
            </w:r>
            <w:r>
              <w:rPr>
                <w:spacing w:val="-3"/>
              </w:rPr>
              <w:t>司、发债</w:t>
            </w:r>
            <w:r>
              <w:rPr/>
              <w:t xml:space="preserve"> </w:t>
            </w:r>
            <w:r>
              <w:rPr>
                <w:spacing w:val="3"/>
              </w:rPr>
              <w:t>企业集团</w:t>
            </w:r>
            <w:r>
              <w:rPr/>
              <w:t xml:space="preserve"> </w:t>
            </w:r>
            <w:r>
              <w:rPr>
                <w:spacing w:val="-3"/>
              </w:rPr>
              <w:t>下属的财</w:t>
            </w:r>
            <w:r>
              <w:rPr/>
              <w:t xml:space="preserve"> </w:t>
            </w:r>
            <w:r>
              <w:rPr>
                <w:spacing w:val="10"/>
              </w:rPr>
              <w:t>务公司</w:t>
            </w:r>
          </w:p>
        </w:tc>
        <w:tc>
          <w:tcPr>
            <w:tcW w:w="6088" w:type="dxa"/>
            <w:vAlign w:val="top"/>
          </w:tcPr>
          <w:p>
            <w:pPr>
              <w:pStyle w:val="TableText"/>
              <w:ind w:left="34"/>
              <w:spacing w:before="177" w:line="219" w:lineRule="auto"/>
              <w:rPr/>
            </w:pPr>
            <w:r>
              <w:rPr>
                <w:spacing w:val="-2"/>
              </w:rPr>
              <w:t>1. 《中华人民共和国证券法》第二十八条：发行人向不特定对象发行的证券，法律、行政法</w:t>
            </w:r>
          </w:p>
          <w:p>
            <w:pPr>
              <w:pStyle w:val="TableText"/>
              <w:ind w:left="34"/>
              <w:spacing w:before="40" w:line="219" w:lineRule="auto"/>
              <w:rPr/>
            </w:pPr>
            <w:r>
              <w:rPr/>
              <w:t>规规定应当由证券公司承销的，发行人应当同证券公司签订承销协议。证</w:t>
            </w:r>
            <w:r>
              <w:rPr>
                <w:spacing w:val="-1"/>
              </w:rPr>
              <w:t>券承销业务采取代</w:t>
            </w:r>
          </w:p>
          <w:p>
            <w:pPr>
              <w:pStyle w:val="TableText"/>
              <w:ind w:left="143"/>
              <w:spacing w:before="42" w:line="219" w:lineRule="auto"/>
              <w:rPr/>
            </w:pPr>
            <w:r>
              <w:rPr>
                <w:spacing w:val="-2"/>
              </w:rPr>
              <w:t>销或者包销方式。2. 《企业债券管理条例》(国务院令第121号)第二十一条：企业发行企</w:t>
            </w:r>
          </w:p>
          <w:p>
            <w:pPr>
              <w:pStyle w:val="TableText"/>
              <w:ind w:left="34"/>
              <w:spacing w:before="32" w:line="219" w:lineRule="auto"/>
              <w:rPr/>
            </w:pPr>
            <w:r>
              <w:rPr>
                <w:spacing w:val="-1"/>
              </w:rPr>
              <w:t>业债券，应当由证券经营机构承销，</w:t>
            </w:r>
          </w:p>
        </w:tc>
      </w:tr>
      <w:tr>
        <w:trPr>
          <w:trHeight w:val="2769" w:hRule="atLeast"/>
        </w:trPr>
        <w:tc>
          <w:tcPr>
            <w:tcW w:w="295" w:type="dxa"/>
            <w:vAlign w:val="top"/>
          </w:tcPr>
          <w:p>
            <w:pPr>
              <w:pStyle w:val="TableText"/>
              <w:ind w:left="94"/>
              <w:spacing w:before="229" w:line="183" w:lineRule="auto"/>
              <w:rPr/>
            </w:pPr>
            <w:r>
              <w:rPr/>
              <w:t>2</w:t>
            </w:r>
          </w:p>
        </w:tc>
        <w:tc>
          <w:tcPr>
            <w:tcW w:w="679" w:type="dxa"/>
            <w:vAlign w:val="top"/>
          </w:tcPr>
          <w:p>
            <w:pPr>
              <w:pStyle w:val="TableText"/>
              <w:ind w:left="30" w:right="43"/>
              <w:spacing w:before="191" w:line="254" w:lineRule="auto"/>
              <w:jc w:val="both"/>
              <w:rPr/>
            </w:pPr>
            <w:r>
              <w:rPr>
                <w:spacing w:val="-3"/>
              </w:rPr>
              <w:t>发行企业</w:t>
            </w:r>
            <w:r>
              <w:rPr>
                <w:spacing w:val="2"/>
              </w:rPr>
              <w:t xml:space="preserve"> </w:t>
            </w:r>
            <w:r>
              <w:rPr>
                <w:spacing w:val="-2"/>
              </w:rPr>
              <w:t>债券申请</w:t>
            </w:r>
            <w:r>
              <w:rPr/>
              <w:t xml:space="preserve"> </w:t>
            </w:r>
            <w:r>
              <w:rPr>
                <w:spacing w:val="-3"/>
              </w:rPr>
              <w:t>企业财务</w:t>
            </w:r>
            <w:r>
              <w:rPr>
                <w:spacing w:val="2"/>
              </w:rPr>
              <w:t xml:space="preserve"> </w:t>
            </w:r>
            <w:r>
              <w:rPr>
                <w:spacing w:val="-2"/>
              </w:rPr>
              <w:t>报告审计</w:t>
            </w:r>
          </w:p>
        </w:tc>
        <w:tc>
          <w:tcPr>
            <w:tcW w:w="1099" w:type="dxa"/>
            <w:vAlign w:val="top"/>
          </w:tcPr>
          <w:p>
            <w:pPr>
              <w:pStyle w:val="TableText"/>
              <w:ind w:left="20" w:right="42" w:firstLine="20"/>
              <w:spacing w:before="192" w:line="244" w:lineRule="auto"/>
              <w:rPr/>
            </w:pPr>
            <w:r>
              <w:rPr>
                <w:spacing w:val="20"/>
              </w:rPr>
              <w:t>(01003)企业</w:t>
            </w:r>
            <w:r>
              <w:rPr/>
              <w:t xml:space="preserve"> </w:t>
            </w:r>
            <w:r>
              <w:rPr>
                <w:spacing w:val="-1"/>
              </w:rPr>
              <w:t>债券发行核准</w:t>
            </w:r>
          </w:p>
        </w:tc>
        <w:tc>
          <w:tcPr>
            <w:tcW w:w="839" w:type="dxa"/>
            <w:vAlign w:val="top"/>
          </w:tcPr>
          <w:p>
            <w:pPr>
              <w:pStyle w:val="TableText"/>
              <w:ind w:left="31"/>
              <w:spacing w:before="191" w:line="219" w:lineRule="auto"/>
              <w:rPr/>
            </w:pPr>
            <w:r>
              <w:rPr>
                <w:spacing w:val="-2"/>
              </w:rPr>
              <w:t>发展改革委</w:t>
            </w:r>
          </w:p>
        </w:tc>
        <w:tc>
          <w:tcPr>
            <w:tcW w:w="659" w:type="dxa"/>
            <w:vAlign w:val="top"/>
          </w:tcPr>
          <w:p>
            <w:pPr>
              <w:pStyle w:val="TableText"/>
              <w:ind w:left="12" w:right="31" w:firstLine="10"/>
              <w:spacing w:before="190" w:line="239" w:lineRule="auto"/>
              <w:rPr/>
            </w:pPr>
            <w:r>
              <w:rPr>
                <w:spacing w:val="-2"/>
              </w:rPr>
              <w:t>会计师事</w:t>
            </w:r>
            <w:r>
              <w:rPr>
                <w:spacing w:val="1"/>
              </w:rPr>
              <w:t xml:space="preserve"> </w:t>
            </w:r>
            <w:r>
              <w:rPr>
                <w:spacing w:val="-2"/>
              </w:rPr>
              <w:t>务所</w:t>
            </w:r>
          </w:p>
        </w:tc>
        <w:tc>
          <w:tcPr>
            <w:tcW w:w="6088" w:type="dxa"/>
            <w:vAlign w:val="top"/>
          </w:tcPr>
          <w:p>
            <w:pPr>
              <w:pStyle w:val="TableText"/>
              <w:ind w:left="34" w:right="44"/>
              <w:spacing w:before="180" w:line="251" w:lineRule="auto"/>
              <w:rPr/>
            </w:pPr>
            <w:r>
              <w:rPr>
                <w:spacing w:val="-2"/>
              </w:rPr>
              <w:t>1. 《中华人民共和国证券法》第十七条：申请公开发行公司债券，应当向国务院授权的部门</w:t>
            </w:r>
            <w:r>
              <w:rPr>
                <w:spacing w:val="7"/>
              </w:rPr>
              <w:t xml:space="preserve"> </w:t>
            </w:r>
            <w:r>
              <w:rPr/>
              <w:t>或者国务院证券监督管理机构报送下列文件：(五)国务院授权的部门</w:t>
            </w:r>
            <w:r>
              <w:rPr>
                <w:spacing w:val="-1"/>
              </w:rPr>
              <w:t>或者国务院证券监督</w:t>
            </w:r>
          </w:p>
          <w:p>
            <w:pPr>
              <w:pStyle w:val="TableText"/>
              <w:ind w:left="14" w:right="4" w:firstLine="20"/>
              <w:spacing w:before="62" w:line="260" w:lineRule="auto"/>
              <w:rPr/>
            </w:pPr>
            <w:r>
              <w:rPr/>
              <w:t>管理机构规定的其他文件。第二十条：发行人向国务院</w:t>
            </w:r>
            <w:r>
              <w:rPr>
                <w:spacing w:val="-1"/>
              </w:rPr>
              <w:t>证券监督管理机构或者国务院授权部 </w:t>
            </w:r>
            <w:r>
              <w:rPr>
                <w:spacing w:val="1"/>
              </w:rPr>
              <w:t>门报送的证券发行申请文件，必须真实、准确、完整。为</w:t>
            </w:r>
            <w:r>
              <w:rPr/>
              <w:t>证券发行人出具有关文件的证券服 </w:t>
            </w:r>
            <w:r>
              <w:rPr/>
              <w:t>务机构和人员，必须严格遵守法定职责，保证其所出具文件的真实性、准确性和完整性。第 </w:t>
            </w:r>
            <w:r>
              <w:rPr/>
              <w:t>一百七十三条；证券服务机构为证券的发行、上市、交易等证券业务活动制作、出具审计报 </w:t>
            </w:r>
            <w:r>
              <w:rPr/>
              <w:t>告、资产评估报告、财务顾问报告、资信评级报告、或者法律意见书等文件，应当勤勉尽责 </w:t>
            </w:r>
            <w:r>
              <w:rPr>
                <w:spacing w:val="-4"/>
              </w:rPr>
              <w:t>对所依据的文件资料内容的真实性、准确性、完整性进行核查和验证。2. 《企业债券管理条例</w:t>
            </w:r>
          </w:p>
          <w:p>
            <w:pPr>
              <w:pStyle w:val="TableText"/>
              <w:ind w:left="93" w:right="357"/>
              <w:spacing w:before="52" w:line="244" w:lineRule="auto"/>
              <w:rPr/>
            </w:pPr>
            <w:r>
              <w:rPr/>
              <w:t>(国务院令第121号)第十四条：企业申请发行企业债券，应当向审批机关报送下列文件 </w:t>
            </w:r>
            <w:r>
              <w:rPr/>
              <w:t>(四)经会计师事务所审计的企业近三年的财务报告</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37792" behindDoc="0" locked="0" layoutInCell="0" allowOverlap="1">
                <wp:simplePos x="0" y="0"/>
                <wp:positionH relativeFrom="page">
                  <wp:posOffset>455355</wp:posOffset>
                </wp:positionH>
                <wp:positionV relativeFrom="page">
                  <wp:posOffset>618181</wp:posOffset>
                </wp:positionV>
                <wp:extent cx="182245" cy="165100"/>
                <wp:effectExtent l="0" t="0" r="0" b="0"/>
                <wp:wrapNone/>
                <wp:docPr id="376" name="TextBox 376"/>
                <wp:cNvGraphicFramePr/>
                <a:graphic>
                  <a:graphicData uri="http://schemas.microsoft.com/office/word/2010/wordprocessingShape">
                    <wps:wsp>
                      <wps:cNvSpPr txBox="1"/>
                      <wps:spPr>
                        <a:xfrm rot="5400000">
                          <a:off x="455355" y="61818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8" style="position:absolute;margin-left:35.8547pt;margin-top:48.6757pt;mso-position-vertical-relative:page;mso-position-horizontal-relative:page;width:14.35pt;height:13pt;z-index:251937792;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276</w:t>
                      </w:r>
                    </w:p>
                  </w:txbxContent>
                </v:textbox>
              </v:shape>
            </w:pict>
          </mc:Fallback>
        </mc:AlternateContent>
      </w:r>
      <w:r/>
    </w:p>
    <w:p>
      <w:pPr>
        <w:spacing w:before="51"/>
        <w:rPr/>
      </w:pPr>
      <w:r/>
    </w:p>
    <w:tbl>
      <w:tblPr>
        <w:tblStyle w:val="TableNormal"/>
        <w:tblW w:w="964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15" w:hanging="19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035" w:hRule="atLeast"/>
        </w:trPr>
        <w:tc>
          <w:tcPr>
            <w:tcW w:w="295" w:type="dxa"/>
            <w:vAlign w:val="top"/>
          </w:tcPr>
          <w:p>
            <w:pPr>
              <w:spacing w:line="275" w:lineRule="auto"/>
              <w:rPr>
                <w:rFonts w:ascii="Arial"/>
                <w:sz w:val="21"/>
              </w:rPr>
            </w:pPr>
            <w:r/>
          </w:p>
          <w:p>
            <w:pPr>
              <w:pStyle w:val="TableText"/>
              <w:ind w:left="94"/>
              <w:spacing w:before="49" w:line="183" w:lineRule="auto"/>
              <w:rPr/>
            </w:pPr>
            <w:r>
              <w:rPr/>
              <w:t>3</w:t>
            </w:r>
          </w:p>
        </w:tc>
        <w:tc>
          <w:tcPr>
            <w:tcW w:w="659" w:type="dxa"/>
            <w:vAlign w:val="top"/>
          </w:tcPr>
          <w:p>
            <w:pPr>
              <w:spacing w:line="248" w:lineRule="auto"/>
              <w:rPr>
                <w:rFonts w:ascii="Arial"/>
                <w:sz w:val="21"/>
              </w:rPr>
            </w:pPr>
            <w:r/>
          </w:p>
          <w:p>
            <w:pPr>
              <w:pStyle w:val="TableText"/>
              <w:ind w:left="10" w:right="23" w:firstLine="10"/>
              <w:spacing w:before="48" w:line="251" w:lineRule="auto"/>
              <w:jc w:val="both"/>
              <w:rPr/>
            </w:pPr>
            <w:r>
              <w:rPr>
                <w:spacing w:val="1"/>
              </w:rPr>
              <w:t>出具企业</w:t>
            </w:r>
            <w:r>
              <w:rPr/>
              <w:t xml:space="preserve"> </w:t>
            </w:r>
            <w:r>
              <w:rPr/>
              <w:t>债券发行</w:t>
            </w:r>
            <w:r>
              <w:rPr>
                <w:spacing w:val="2"/>
              </w:rPr>
              <w:t xml:space="preserve"> </w:t>
            </w:r>
            <w:r>
              <w:rPr/>
              <w:t>法律意见</w:t>
            </w:r>
            <w:r>
              <w:rPr>
                <w:spacing w:val="2"/>
              </w:rPr>
              <w:t xml:space="preserve"> </w:t>
            </w:r>
            <w:r>
              <w:rPr/>
              <w:t>书</w:t>
            </w:r>
          </w:p>
        </w:tc>
        <w:tc>
          <w:tcPr>
            <w:tcW w:w="1109" w:type="dxa"/>
            <w:vAlign w:val="top"/>
          </w:tcPr>
          <w:p>
            <w:pPr>
              <w:spacing w:line="248" w:lineRule="auto"/>
              <w:rPr>
                <w:rFonts w:ascii="Arial"/>
                <w:sz w:val="21"/>
              </w:rPr>
            </w:pPr>
            <w:r/>
          </w:p>
          <w:p>
            <w:pPr>
              <w:pStyle w:val="TableText"/>
              <w:ind w:left="30" w:right="174" w:firstLine="60"/>
              <w:spacing w:before="49" w:line="244" w:lineRule="auto"/>
              <w:rPr/>
            </w:pPr>
            <w:r>
              <w:rPr/>
              <w:t>(01003)企业 </w:t>
            </w:r>
            <w:r>
              <w:rPr>
                <w:spacing w:val="-2"/>
              </w:rPr>
              <w:t>债券发行核准</w:t>
            </w:r>
          </w:p>
        </w:tc>
        <w:tc>
          <w:tcPr>
            <w:tcW w:w="839" w:type="dxa"/>
            <w:vAlign w:val="top"/>
          </w:tcPr>
          <w:p>
            <w:pPr>
              <w:pStyle w:val="TableText"/>
              <w:ind w:left="31"/>
              <w:spacing w:before="287" w:line="219" w:lineRule="auto"/>
              <w:rPr/>
            </w:pPr>
            <w:r>
              <w:rPr>
                <w:spacing w:val="-2"/>
              </w:rPr>
              <w:t>发展改革委</w:t>
            </w:r>
          </w:p>
        </w:tc>
        <w:tc>
          <w:tcPr>
            <w:tcW w:w="659" w:type="dxa"/>
            <w:vAlign w:val="top"/>
          </w:tcPr>
          <w:p>
            <w:pPr>
              <w:pStyle w:val="TableText"/>
              <w:ind w:left="12" w:right="31" w:firstLine="10"/>
              <w:spacing w:before="276" w:line="246" w:lineRule="auto"/>
              <w:rPr/>
            </w:pPr>
            <w:r>
              <w:rPr>
                <w:spacing w:val="-2"/>
              </w:rPr>
              <w:t>律师事务</w:t>
            </w:r>
            <w:r>
              <w:rPr>
                <w:spacing w:val="1"/>
              </w:rPr>
              <w:t xml:space="preserve"> </w:t>
            </w:r>
            <w:r>
              <w:rPr/>
              <w:t>所</w:t>
            </w:r>
          </w:p>
        </w:tc>
        <w:tc>
          <w:tcPr>
            <w:tcW w:w="6088" w:type="dxa"/>
            <w:vAlign w:val="top"/>
          </w:tcPr>
          <w:p>
            <w:pPr>
              <w:spacing w:line="247" w:lineRule="auto"/>
              <w:rPr>
                <w:rFonts w:ascii="Arial"/>
                <w:sz w:val="21"/>
              </w:rPr>
            </w:pPr>
            <w:r/>
          </w:p>
          <w:p>
            <w:pPr>
              <w:pStyle w:val="TableText"/>
              <w:ind w:left="14" w:right="4" w:firstLine="20"/>
              <w:spacing w:before="49" w:line="264" w:lineRule="auto"/>
              <w:jc w:val="both"/>
              <w:rPr/>
            </w:pPr>
            <w:r>
              <w:rPr>
                <w:spacing w:val="-2"/>
              </w:rPr>
              <w:t>1. 《中华人民共和国证券法》第十七条：申请公开发行公司债券，应当向国务院授权的部门</w:t>
            </w:r>
            <w:r>
              <w:rPr>
                <w:spacing w:val="7"/>
              </w:rPr>
              <w:t xml:space="preserve"> </w:t>
            </w:r>
            <w:r>
              <w:rPr>
                <w:spacing w:val="-3"/>
              </w:rPr>
              <w:t>或者国务院证券监督管理机构报送下列文件：</w:t>
            </w:r>
            <w:r>
              <w:rPr>
                <w:spacing w:val="22"/>
              </w:rPr>
              <w:t xml:space="preserve">   </w:t>
            </w:r>
            <w:r>
              <w:rPr>
                <w:spacing w:val="-3"/>
              </w:rPr>
              <w:t>(五)国务院</w:t>
            </w:r>
            <w:r>
              <w:rPr>
                <w:spacing w:val="-4"/>
              </w:rPr>
              <w:t>授权的部门或者国务院证券监督 </w:t>
            </w:r>
            <w:r>
              <w:rPr/>
              <w:t>管理机构规定的其他文件。第二十条：发行人向国务院证券监督管理机构或者国务院授权部 </w:t>
            </w:r>
            <w:r>
              <w:rPr>
                <w:spacing w:val="1"/>
              </w:rPr>
              <w:t>门报送的证券发行申请文件，必须真实、准确、完整。为</w:t>
            </w:r>
            <w:r>
              <w:rPr/>
              <w:t>证券发行人出具有关文件的证券服 </w:t>
            </w:r>
            <w:r>
              <w:rPr/>
              <w:t>务机构和人员，必须严格遵守法定职责，保证其所出具文件的真实性、准确性和完整性。第 </w:t>
            </w:r>
            <w:r>
              <w:rPr/>
              <w:t>一百七十三条：证券服务机构为证券的发行、上市、交易等证券业务活动制作、出具审计报 </w:t>
            </w:r>
            <w:r>
              <w:rPr/>
              <w:t>告、资产评估报告、财务顾问报告、资信评级报告、或者法律意见书等文件，应当勤勉尽责 </w:t>
            </w:r>
            <w:r>
              <w:rPr>
                <w:spacing w:val="-4"/>
              </w:rPr>
              <w:t>对所依据的文件资料内容的真实性、准确性、完整性进行核查和验证。2. 《企业债券管理条例</w:t>
            </w:r>
          </w:p>
          <w:p>
            <w:pPr>
              <w:pStyle w:val="TableText"/>
              <w:ind w:left="93" w:right="357"/>
              <w:spacing w:before="41" w:line="245" w:lineRule="auto"/>
              <w:rPr/>
            </w:pPr>
            <w:r>
              <w:rPr/>
              <w:t>(国务院令第121号)第十四条：企业申请发行企业债券，应当向审批机关报送下列文件 </w:t>
            </w:r>
            <w:r>
              <w:rPr/>
              <w:t>(五)审批机关要求提供的其他材料</w:t>
            </w:r>
          </w:p>
        </w:tc>
      </w:tr>
      <w:tr>
        <w:trPr>
          <w:trHeight w:val="2680" w:hRule="atLeast"/>
        </w:trPr>
        <w:tc>
          <w:tcPr>
            <w:tcW w:w="295" w:type="dxa"/>
            <w:vAlign w:val="top"/>
          </w:tcPr>
          <w:p>
            <w:pPr>
              <w:spacing w:line="290" w:lineRule="auto"/>
              <w:rPr>
                <w:rFonts w:ascii="Arial"/>
                <w:sz w:val="21"/>
              </w:rPr>
            </w:pPr>
            <w:r/>
          </w:p>
          <w:p>
            <w:pPr>
              <w:pStyle w:val="TableText"/>
              <w:ind w:left="94"/>
              <w:spacing w:before="49" w:line="183" w:lineRule="auto"/>
              <w:rPr/>
            </w:pPr>
            <w:r>
              <w:rPr/>
              <w:t>4</w:t>
            </w:r>
          </w:p>
        </w:tc>
        <w:tc>
          <w:tcPr>
            <w:tcW w:w="659" w:type="dxa"/>
            <w:vAlign w:val="top"/>
          </w:tcPr>
          <w:p>
            <w:pPr>
              <w:spacing w:line="242" w:lineRule="auto"/>
              <w:rPr>
                <w:rFonts w:ascii="Arial"/>
                <w:sz w:val="21"/>
              </w:rPr>
            </w:pPr>
            <w:r/>
          </w:p>
          <w:p>
            <w:pPr>
              <w:pStyle w:val="TableText"/>
              <w:ind w:left="10" w:right="10" w:firstLine="10"/>
              <w:spacing w:before="49" w:line="258" w:lineRule="auto"/>
              <w:jc w:val="both"/>
              <w:rPr/>
            </w:pPr>
            <w:r>
              <w:rPr>
                <w:spacing w:val="-3"/>
              </w:rPr>
              <w:t>发行企业</w:t>
            </w:r>
            <w:r>
              <w:rPr>
                <w:spacing w:val="2"/>
              </w:rPr>
              <w:t xml:space="preserve"> </w:t>
            </w:r>
            <w:r>
              <w:rPr/>
              <w:t>债券申请</w:t>
            </w:r>
            <w:r>
              <w:rPr>
                <w:spacing w:val="2"/>
              </w:rPr>
              <w:t xml:space="preserve"> </w:t>
            </w:r>
            <w:r>
              <w:rPr>
                <w:spacing w:val="7"/>
              </w:rPr>
              <w:t>企业信用</w:t>
            </w:r>
            <w:r>
              <w:rPr/>
              <w:t xml:space="preserve"> </w:t>
            </w:r>
            <w:r>
              <w:rPr>
                <w:spacing w:val="-2"/>
              </w:rPr>
              <w:t>评级</w:t>
            </w:r>
          </w:p>
        </w:tc>
        <w:tc>
          <w:tcPr>
            <w:tcW w:w="1109" w:type="dxa"/>
            <w:vAlign w:val="top"/>
          </w:tcPr>
          <w:p>
            <w:pPr>
              <w:spacing w:line="243" w:lineRule="auto"/>
              <w:rPr>
                <w:rFonts w:ascii="Arial"/>
                <w:sz w:val="21"/>
              </w:rPr>
            </w:pPr>
            <w:r/>
          </w:p>
          <w:p>
            <w:pPr>
              <w:pStyle w:val="TableText"/>
              <w:ind w:left="30" w:right="174" w:firstLine="60"/>
              <w:spacing w:before="49" w:line="244" w:lineRule="auto"/>
              <w:rPr/>
            </w:pPr>
            <w:r>
              <w:rPr/>
              <w:t>(01003)企业 </w:t>
            </w:r>
            <w:r>
              <w:rPr>
                <w:spacing w:val="-2"/>
              </w:rPr>
              <w:t>债券发行核准</w:t>
            </w:r>
          </w:p>
        </w:tc>
        <w:tc>
          <w:tcPr>
            <w:tcW w:w="839" w:type="dxa"/>
            <w:vAlign w:val="top"/>
          </w:tcPr>
          <w:p>
            <w:pPr>
              <w:spacing w:line="242" w:lineRule="auto"/>
              <w:rPr>
                <w:rFonts w:ascii="Arial"/>
                <w:sz w:val="21"/>
              </w:rPr>
            </w:pPr>
            <w:r/>
          </w:p>
          <w:p>
            <w:pPr>
              <w:pStyle w:val="TableText"/>
              <w:ind w:left="31"/>
              <w:spacing w:before="48" w:line="219" w:lineRule="auto"/>
              <w:rPr/>
            </w:pPr>
            <w:r>
              <w:rPr>
                <w:spacing w:val="-2"/>
              </w:rPr>
              <w:t>发展改革委</w:t>
            </w:r>
          </w:p>
        </w:tc>
        <w:tc>
          <w:tcPr>
            <w:tcW w:w="659" w:type="dxa"/>
            <w:vAlign w:val="top"/>
          </w:tcPr>
          <w:p>
            <w:pPr>
              <w:spacing w:line="242" w:lineRule="auto"/>
              <w:rPr>
                <w:rFonts w:ascii="Arial"/>
                <w:sz w:val="21"/>
              </w:rPr>
            </w:pPr>
            <w:r/>
          </w:p>
          <w:p>
            <w:pPr>
              <w:pStyle w:val="TableText"/>
              <w:ind w:left="12" w:right="16" w:firstLine="10"/>
              <w:spacing w:before="49" w:line="244" w:lineRule="auto"/>
              <w:rPr/>
            </w:pPr>
            <w:r>
              <w:rPr>
                <w:spacing w:val="2"/>
              </w:rPr>
              <w:t>资信评级</w:t>
            </w:r>
            <w:r>
              <w:rPr/>
              <w:t xml:space="preserve"> </w:t>
            </w:r>
            <w:r>
              <w:rPr>
                <w:spacing w:val="-2"/>
              </w:rPr>
              <w:t>机构</w:t>
            </w:r>
          </w:p>
        </w:tc>
        <w:tc>
          <w:tcPr>
            <w:tcW w:w="6088" w:type="dxa"/>
            <w:vAlign w:val="top"/>
          </w:tcPr>
          <w:p>
            <w:pPr>
              <w:spacing w:line="242" w:lineRule="auto"/>
              <w:rPr>
                <w:rFonts w:ascii="Arial"/>
                <w:sz w:val="21"/>
              </w:rPr>
            </w:pPr>
            <w:r/>
          </w:p>
          <w:p>
            <w:pPr>
              <w:pStyle w:val="TableText"/>
              <w:ind w:left="34" w:right="44"/>
              <w:spacing w:before="49" w:line="244" w:lineRule="auto"/>
              <w:rPr/>
            </w:pPr>
            <w:r>
              <w:rPr>
                <w:spacing w:val="-2"/>
              </w:rPr>
              <w:t>1. 《中华人民共和国证券法》第十七条：申请公开发行公司债券，应当向国务院授权的部门</w:t>
            </w:r>
            <w:r>
              <w:rPr>
                <w:spacing w:val="7"/>
              </w:rPr>
              <w:t xml:space="preserve"> </w:t>
            </w:r>
            <w:r>
              <w:rPr/>
              <w:t>或者国务院证券监督管理机构报送下列文件：(五)国务院授权的部门</w:t>
            </w:r>
            <w:r>
              <w:rPr>
                <w:spacing w:val="-1"/>
              </w:rPr>
              <w:t>或者国务院证券监督</w:t>
            </w:r>
          </w:p>
          <w:p>
            <w:pPr>
              <w:pStyle w:val="TableText"/>
              <w:ind w:left="14" w:firstLine="19"/>
              <w:spacing w:before="41" w:line="267" w:lineRule="auto"/>
              <w:rPr/>
            </w:pPr>
            <w:r>
              <w:rPr/>
              <w:t>管理机构规定的其他文件。第二十条：发行人向国务</w:t>
            </w:r>
            <w:r>
              <w:rPr>
                <w:spacing w:val="-1"/>
              </w:rPr>
              <w:t>院证券监督管理机构或者国务院授权部</w:t>
            </w:r>
            <w:r>
              <w:rPr/>
              <w:t xml:space="preserve">  </w:t>
            </w:r>
            <w:r>
              <w:rPr/>
              <w:t>门报送的证券发行申请文件，必须真实、准确、完整。为证券发行人出具有关文件的证券服 </w:t>
            </w:r>
            <w:r>
              <w:rPr/>
              <w:t>务机构和人员，必须严格遵守法定职责，保证其所出具文件的真实性、准确性和完整性。第</w:t>
            </w:r>
            <w:r>
              <w:rPr>
                <w:spacing w:val="2"/>
              </w:rPr>
              <w:t xml:space="preserve">  </w:t>
            </w:r>
            <w:r>
              <w:rPr>
                <w:spacing w:val="-2"/>
              </w:rPr>
              <w:t>一百七十三条：证券服务机构为证券的发行、上市、交易等证券业务活动制作、</w:t>
            </w:r>
            <w:r>
              <w:rPr>
                <w:spacing w:val="-3"/>
              </w:rPr>
              <w:t>出具审计报告</w:t>
            </w:r>
            <w:r>
              <w:rPr/>
              <w:t xml:space="preserve"> </w:t>
            </w:r>
            <w:r>
              <w:rPr/>
              <w:t>资产评估报告、财务顾问报告、资信评级报告、或者法律意见书等文件，应当勤勉尽责，对  </w:t>
            </w:r>
            <w:r>
              <w:rPr>
                <w:spacing w:val="-9"/>
              </w:rPr>
              <w:t>所依据的文件资料内容的真实性、准确性、完整性进行核查和验证。2. 《企业债券管理条例》(国</w:t>
            </w:r>
            <w:r>
              <w:rPr>
                <w:spacing w:val="7"/>
              </w:rPr>
              <w:t xml:space="preserve"> </w:t>
            </w:r>
            <w:r>
              <w:rPr/>
              <w:t>务院令第121号)第十五条；企业发行企业债券，可以向经认可的债券评信机构申请信用评级</w:t>
            </w:r>
          </w:p>
        </w:tc>
      </w:tr>
    </w:tbl>
    <w:p>
      <w:pPr>
        <w:pStyle w:val="BodyText"/>
        <w:rPr/>
      </w:pPr>
      <w:r/>
    </w:p>
    <w:p>
      <w:pPr>
        <w:sectPr>
          <w:pgSz w:w="11910" w:h="8220"/>
          <w:pgMar w:top="400" w:right="112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1938816" behindDoc="0" locked="0" layoutInCell="0" allowOverlap="1">
                <wp:simplePos x="0" y="0"/>
                <wp:positionH relativeFrom="page">
                  <wp:posOffset>455355</wp:posOffset>
                </wp:positionH>
                <wp:positionV relativeFrom="page">
                  <wp:posOffset>4371041</wp:posOffset>
                </wp:positionV>
                <wp:extent cx="182245" cy="165100"/>
                <wp:effectExtent l="0" t="0" r="0" b="0"/>
                <wp:wrapNone/>
                <wp:docPr id="378" name="TextBox 378"/>
                <wp:cNvGraphicFramePr/>
                <a:graphic>
                  <a:graphicData uri="http://schemas.microsoft.com/office/word/2010/wordprocessingShape">
                    <wps:wsp>
                      <wps:cNvSpPr txBox="1"/>
                      <wps:spPr>
                        <a:xfrm rot="5400000">
                          <a:off x="455355" y="4371041"/>
                          <a:ext cx="18224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0" style="position:absolute;margin-left:35.8547pt;margin-top:344.176pt;mso-position-vertical-relative:page;mso-position-horizontal-relative:page;width:14.35pt;height:13pt;z-index:251938816;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2"/>
                        </w:rPr>
                        <w:t>277</w:t>
                      </w:r>
                    </w:p>
                  </w:txbxContent>
                </v:textbox>
              </v:shape>
            </w:pict>
          </mc:Fallback>
        </mc:AlternateContent>
      </w:r>
      <w:r/>
    </w:p>
    <w:p>
      <w:pPr>
        <w:spacing w:before="46"/>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09"/>
        <w:gridCol w:w="679"/>
        <w:gridCol w:w="6088"/>
      </w:tblGrid>
      <w:tr>
        <w:trPr>
          <w:trHeight w:val="474" w:hRule="atLeast"/>
        </w:trPr>
        <w:tc>
          <w:tcPr>
            <w:tcW w:w="285" w:type="dxa"/>
            <w:vAlign w:val="top"/>
            <w:textDirection w:val="tbRlV"/>
          </w:tcPr>
          <w:p>
            <w:pPr>
              <w:pStyle w:val="TableText"/>
              <w:ind w:left="72"/>
              <w:spacing w:before="75" w:line="210" w:lineRule="auto"/>
              <w:rPr/>
            </w:pPr>
            <w:r>
              <w:rPr>
                <w:spacing w:val="-1"/>
              </w:rPr>
              <w:t>序</w:t>
            </w:r>
            <w:r>
              <w:rPr>
                <w:spacing w:val="-15"/>
              </w:rPr>
              <w:t xml:space="preserve"> </w:t>
            </w:r>
            <w:r>
              <w:rPr>
                <w:spacing w:val="-1"/>
              </w:rPr>
              <w:t>号</w:t>
            </w:r>
          </w:p>
        </w:tc>
        <w:tc>
          <w:tcPr>
            <w:tcW w:w="659" w:type="dxa"/>
            <w:vAlign w:val="top"/>
          </w:tcPr>
          <w:p>
            <w:pPr>
              <w:pStyle w:val="TableText"/>
              <w:ind w:left="20" w:right="21"/>
              <w:spacing w:before="60" w:line="246" w:lineRule="auto"/>
              <w:rPr/>
            </w:pPr>
            <w:r>
              <w:rPr>
                <w:spacing w:val="1"/>
              </w:rPr>
              <w:t>中介服务</w:t>
            </w:r>
            <w:r>
              <w:rPr>
                <w:spacing w:val="2"/>
              </w:rPr>
              <w:t xml:space="preserve"> </w:t>
            </w:r>
            <w:r>
              <w:rPr>
                <w:spacing w:val="-2"/>
              </w:rPr>
              <w:t>事项名称</w:t>
            </w:r>
          </w:p>
        </w:tc>
        <w:tc>
          <w:tcPr>
            <w:tcW w:w="1129" w:type="dxa"/>
            <w:vAlign w:val="top"/>
          </w:tcPr>
          <w:p>
            <w:pPr>
              <w:pStyle w:val="TableText"/>
              <w:ind w:left="250" w:right="45" w:hanging="220"/>
              <w:spacing w:before="62" w:line="245"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947" w:hRule="atLeast"/>
        </w:trPr>
        <w:tc>
          <w:tcPr>
            <w:tcW w:w="285" w:type="dxa"/>
            <w:vAlign w:val="top"/>
          </w:tcPr>
          <w:p>
            <w:pPr>
              <w:pStyle w:val="TableText"/>
              <w:ind w:left="95"/>
              <w:spacing w:before="96" w:line="182" w:lineRule="auto"/>
              <w:rPr/>
            </w:pPr>
            <w:r>
              <w:rPr/>
              <w:t>5</w:t>
            </w:r>
          </w:p>
        </w:tc>
        <w:tc>
          <w:tcPr>
            <w:tcW w:w="659" w:type="dxa"/>
            <w:vAlign w:val="top"/>
          </w:tcPr>
          <w:p>
            <w:pPr>
              <w:pStyle w:val="TableText"/>
              <w:ind w:left="10" w:right="35" w:firstLine="10"/>
              <w:spacing w:before="47" w:line="254" w:lineRule="auto"/>
              <w:jc w:val="both"/>
              <w:rPr/>
            </w:pPr>
            <w:r>
              <w:rPr>
                <w:spacing w:val="-3"/>
              </w:rPr>
              <w:t>发行企业</w:t>
            </w:r>
            <w:r>
              <w:rPr>
                <w:spacing w:val="2"/>
              </w:rPr>
              <w:t xml:space="preserve"> </w:t>
            </w:r>
            <w:r>
              <w:rPr/>
              <w:t>债券申请</w:t>
            </w:r>
            <w:r>
              <w:rPr>
                <w:spacing w:val="2"/>
              </w:rPr>
              <w:t xml:space="preserve"> </w:t>
            </w:r>
            <w:r>
              <w:rPr/>
              <w:t>企业资产 </w:t>
            </w:r>
            <w:r>
              <w:rPr>
                <w:spacing w:val="-2"/>
              </w:rPr>
              <w:t>评估</w:t>
            </w:r>
          </w:p>
        </w:tc>
        <w:tc>
          <w:tcPr>
            <w:tcW w:w="1129" w:type="dxa"/>
            <w:vAlign w:val="top"/>
          </w:tcPr>
          <w:p>
            <w:pPr>
              <w:pStyle w:val="TableText"/>
              <w:ind w:left="30" w:right="152" w:firstLine="110"/>
              <w:spacing w:before="48" w:line="244" w:lineRule="auto"/>
              <w:rPr/>
            </w:pPr>
            <w:r>
              <w:rPr/>
              <w:t>(01003)企业 </w:t>
            </w:r>
            <w:r>
              <w:rPr>
                <w:spacing w:val="-1"/>
              </w:rPr>
              <w:t>债券发行核准</w:t>
            </w:r>
          </w:p>
        </w:tc>
        <w:tc>
          <w:tcPr>
            <w:tcW w:w="809" w:type="dxa"/>
            <w:vAlign w:val="top"/>
          </w:tcPr>
          <w:p>
            <w:pPr>
              <w:pStyle w:val="TableText"/>
              <w:ind w:left="21"/>
              <w:spacing w:before="37" w:line="219" w:lineRule="auto"/>
              <w:rPr/>
            </w:pPr>
            <w:r>
              <w:rPr>
                <w:spacing w:val="-2"/>
              </w:rPr>
              <w:t>发展改革委</w:t>
            </w:r>
          </w:p>
        </w:tc>
        <w:tc>
          <w:tcPr>
            <w:tcW w:w="679" w:type="dxa"/>
            <w:vAlign w:val="top"/>
          </w:tcPr>
          <w:p>
            <w:pPr>
              <w:pStyle w:val="TableText"/>
              <w:ind w:left="22" w:right="48" w:firstLine="10"/>
              <w:spacing w:before="45" w:line="239" w:lineRule="auto"/>
              <w:rPr/>
            </w:pPr>
            <w:r>
              <w:rPr>
                <w:spacing w:val="-4"/>
              </w:rPr>
              <w:t>资产评估</w:t>
            </w:r>
            <w:r>
              <w:rPr>
                <w:spacing w:val="2"/>
              </w:rPr>
              <w:t xml:space="preserve"> </w:t>
            </w:r>
            <w:r>
              <w:rPr>
                <w:spacing w:val="-2"/>
              </w:rPr>
              <w:t>机构</w:t>
            </w:r>
          </w:p>
        </w:tc>
        <w:tc>
          <w:tcPr>
            <w:tcW w:w="6088" w:type="dxa"/>
            <w:vAlign w:val="top"/>
          </w:tcPr>
          <w:p>
            <w:pPr>
              <w:pStyle w:val="TableText"/>
              <w:ind w:left="34"/>
              <w:spacing w:before="47" w:line="219" w:lineRule="auto"/>
              <w:rPr/>
            </w:pPr>
            <w:r>
              <w:rPr>
                <w:spacing w:val="-2"/>
              </w:rPr>
              <w:t>1. 《中华人民共和国证券法》第十七条：申请公开发行公司债券，应当向国务院授权的部门</w:t>
            </w:r>
          </w:p>
          <w:p>
            <w:pPr>
              <w:pStyle w:val="TableText"/>
              <w:ind w:left="24" w:right="52" w:firstLine="89"/>
              <w:spacing w:before="39" w:line="254" w:lineRule="auto"/>
              <w:rPr/>
            </w:pPr>
            <w:r>
              <w:rPr>
                <w:spacing w:val="-4"/>
              </w:rPr>
              <w:t>或者国务院证券监督管理机构报送下列文件：</w:t>
            </w:r>
            <w:r>
              <w:rPr>
                <w:spacing w:val="24"/>
              </w:rPr>
              <w:t xml:space="preserve">   </w:t>
            </w:r>
            <w:r>
              <w:rPr>
                <w:spacing w:val="-4"/>
              </w:rPr>
              <w:t>(四)资产评估报告和验资报告。第二十条</w:t>
            </w:r>
            <w:r>
              <w:rPr/>
              <w:t xml:space="preserve">  </w:t>
            </w:r>
            <w:r>
              <w:rPr/>
              <w:t>发行人向国务院证券监督管理机构或者国务院授权部门报送的证券发行申请文件，必须真实 </w:t>
            </w:r>
            <w:r>
              <w:rPr/>
              <w:t>准确、完整。为证券发行人出具有关文件的证券服务机构和人员，必须</w:t>
            </w:r>
            <w:r>
              <w:rPr>
                <w:spacing w:val="-1"/>
              </w:rPr>
              <w:t>严格遵守法定职责</w:t>
            </w:r>
          </w:p>
          <w:p>
            <w:pPr>
              <w:pStyle w:val="TableText"/>
              <w:ind w:left="23" w:hanging="9"/>
              <w:spacing w:before="41" w:line="258" w:lineRule="auto"/>
              <w:rPr/>
            </w:pPr>
            <w:r>
              <w:rPr>
                <w:spacing w:val="-4"/>
              </w:rPr>
              <w:t>保证其所出具文件的真实性、准确性和完整性。第一百七十三条；证券服务机构为证券的发行</w:t>
            </w:r>
            <w:r>
              <w:rPr>
                <w:spacing w:val="5"/>
              </w:rPr>
              <w:t xml:space="preserve">  </w:t>
            </w:r>
            <w:r>
              <w:rPr>
                <w:spacing w:val="-2"/>
              </w:rPr>
              <w:t>上市、交易等证券业务活动制作、出具审计报告、资产评估报告、财务顾问报告、资信评级  </w:t>
            </w:r>
            <w:r>
              <w:rPr>
                <w:spacing w:val="-2"/>
              </w:rPr>
              <w:t>报告、或者法律意见书等文件，应当勤勉尽责，对所依据的</w:t>
            </w:r>
            <w:r>
              <w:rPr>
                <w:spacing w:val="-3"/>
              </w:rPr>
              <w:t>文件资料内容的正式性、准确性、</w:t>
            </w:r>
            <w:r>
              <w:rPr/>
              <w:t xml:space="preserve"> </w:t>
            </w:r>
            <w:r>
              <w:rPr>
                <w:spacing w:val="-3"/>
              </w:rPr>
              <w:t>完整性进行核查和验证。2. 《企业债券管理条例》(国务院</w:t>
            </w:r>
            <w:r>
              <w:rPr>
                <w:spacing w:val="-4"/>
              </w:rPr>
              <w:t>令第121号)第十四条：企业申</w:t>
            </w:r>
          </w:p>
          <w:p>
            <w:pPr>
              <w:pStyle w:val="TableText"/>
              <w:ind w:left="54"/>
              <w:spacing w:before="12" w:line="197" w:lineRule="auto"/>
              <w:rPr/>
            </w:pPr>
            <w:r>
              <w:rPr>
                <w:spacing w:val="-3"/>
              </w:rPr>
              <w:t>请发行企业债券，应当向审批机关报送下列</w:t>
            </w:r>
            <w:r>
              <w:rPr>
                <w:spacing w:val="-4"/>
              </w:rPr>
              <w:t>文件：    (五)审批机关要求提供的其他材料。</w:t>
            </w:r>
          </w:p>
        </w:tc>
      </w:tr>
      <w:tr>
        <w:trPr>
          <w:trHeight w:val="1527" w:hRule="atLeast"/>
        </w:trPr>
        <w:tc>
          <w:tcPr>
            <w:tcW w:w="285" w:type="dxa"/>
            <w:vAlign w:val="top"/>
          </w:tcPr>
          <w:p>
            <w:pPr>
              <w:pStyle w:val="TableText"/>
              <w:ind w:left="95"/>
              <w:spacing w:before="88" w:line="183" w:lineRule="auto"/>
              <w:rPr/>
            </w:pPr>
            <w:r>
              <w:rPr/>
              <w:t>6</w:t>
            </w:r>
          </w:p>
        </w:tc>
        <w:tc>
          <w:tcPr>
            <w:tcW w:w="659" w:type="dxa"/>
            <w:vAlign w:val="top"/>
          </w:tcPr>
          <w:p>
            <w:pPr>
              <w:pStyle w:val="TableText"/>
              <w:ind w:left="10" w:right="13" w:firstLine="10"/>
              <w:spacing w:before="39" w:line="254" w:lineRule="auto"/>
              <w:jc w:val="both"/>
              <w:rPr/>
            </w:pPr>
            <w:r>
              <w:rPr>
                <w:spacing w:val="-2"/>
              </w:rPr>
              <w:t>道路机动</w:t>
            </w:r>
            <w:r>
              <w:rPr>
                <w:spacing w:val="1"/>
              </w:rPr>
              <w:t xml:space="preserve"> </w:t>
            </w:r>
            <w:r>
              <w:rPr>
                <w:spacing w:val="6"/>
              </w:rPr>
              <w:t>车辆产品</w:t>
            </w:r>
            <w:r>
              <w:rPr/>
              <w:t xml:space="preserve"> </w:t>
            </w:r>
            <w:r>
              <w:rPr>
                <w:spacing w:val="-2"/>
              </w:rPr>
              <w:t>检测</w:t>
            </w:r>
          </w:p>
        </w:tc>
        <w:tc>
          <w:tcPr>
            <w:tcW w:w="1129" w:type="dxa"/>
            <w:vAlign w:val="top"/>
          </w:tcPr>
          <w:p>
            <w:pPr>
              <w:pStyle w:val="TableText"/>
              <w:ind w:left="141"/>
              <w:spacing w:before="30" w:line="219" w:lineRule="auto"/>
              <w:rPr/>
            </w:pPr>
            <w:r>
              <w:rPr/>
              <w:t>(04001)道路</w:t>
            </w:r>
          </w:p>
          <w:p>
            <w:pPr>
              <w:pStyle w:val="TableText"/>
              <w:ind w:left="30"/>
              <w:spacing w:before="60" w:line="219" w:lineRule="auto"/>
              <w:rPr/>
            </w:pPr>
            <w:r>
              <w:rPr>
                <w:spacing w:val="-1"/>
              </w:rPr>
              <w:t>机动车辆生产企</w:t>
            </w:r>
          </w:p>
          <w:p>
            <w:pPr>
              <w:pStyle w:val="TableText"/>
              <w:ind w:left="30"/>
              <w:spacing w:before="43" w:line="219" w:lineRule="auto"/>
              <w:rPr/>
            </w:pPr>
            <w:r>
              <w:rPr>
                <w:spacing w:val="-1"/>
              </w:rPr>
              <w:t>业及产品准入许</w:t>
            </w:r>
          </w:p>
          <w:p>
            <w:pPr>
              <w:pStyle w:val="TableText"/>
              <w:ind w:left="481"/>
              <w:spacing w:before="44" w:line="223" w:lineRule="auto"/>
              <w:rPr/>
            </w:pPr>
            <w:r>
              <w:rPr/>
              <w:t>可</w:t>
            </w:r>
          </w:p>
        </w:tc>
        <w:tc>
          <w:tcPr>
            <w:tcW w:w="809" w:type="dxa"/>
            <w:vAlign w:val="top"/>
          </w:tcPr>
          <w:p>
            <w:pPr>
              <w:pStyle w:val="TableText"/>
              <w:ind w:left="240" w:right="34" w:hanging="219"/>
              <w:spacing w:before="40" w:line="245" w:lineRule="auto"/>
              <w:rPr/>
            </w:pPr>
            <w:r>
              <w:rPr>
                <w:spacing w:val="-2"/>
              </w:rPr>
              <w:t>工业和信息</w:t>
            </w:r>
            <w:r>
              <w:rPr>
                <w:spacing w:val="1"/>
              </w:rPr>
              <w:t xml:space="preserve"> </w:t>
            </w:r>
            <w:r>
              <w:rPr>
                <w:spacing w:val="-2"/>
              </w:rPr>
              <w:t>化部</w:t>
            </w:r>
          </w:p>
        </w:tc>
        <w:tc>
          <w:tcPr>
            <w:tcW w:w="679" w:type="dxa"/>
            <w:vAlign w:val="top"/>
          </w:tcPr>
          <w:p>
            <w:pPr>
              <w:pStyle w:val="TableText"/>
              <w:ind w:left="12" w:right="29" w:firstLine="20"/>
              <w:spacing w:before="39" w:line="261" w:lineRule="auto"/>
              <w:jc w:val="both"/>
              <w:rPr/>
            </w:pPr>
            <w:r>
              <w:rPr>
                <w:spacing w:val="1"/>
              </w:rPr>
              <w:t>国家汽车 </w:t>
            </w:r>
            <w:r>
              <w:rPr>
                <w:spacing w:val="3"/>
              </w:rPr>
              <w:t>质量监督</w:t>
            </w:r>
            <w:r>
              <w:rPr/>
              <w:t xml:space="preserve"> </w:t>
            </w:r>
            <w:r>
              <w:rPr>
                <w:spacing w:val="3"/>
              </w:rPr>
              <w:t>检验中心</w:t>
            </w:r>
            <w:r>
              <w:rPr>
                <w:spacing w:val="1"/>
              </w:rPr>
              <w:t xml:space="preserve"> </w:t>
            </w:r>
            <w:r>
              <w:rPr>
                <w:spacing w:val="3"/>
              </w:rPr>
              <w:t>等检测机</w:t>
            </w:r>
            <w:r>
              <w:rPr/>
              <w:t xml:space="preserve"> </w:t>
            </w:r>
            <w:r>
              <w:rPr/>
              <w:t>构</w:t>
            </w:r>
          </w:p>
        </w:tc>
        <w:tc>
          <w:tcPr>
            <w:tcW w:w="6088" w:type="dxa"/>
            <w:vAlign w:val="top"/>
          </w:tcPr>
          <w:p>
            <w:pPr>
              <w:pStyle w:val="TableText"/>
              <w:ind w:left="34" w:right="25"/>
              <w:spacing w:before="28" w:line="268" w:lineRule="auto"/>
              <w:jc w:val="both"/>
              <w:rPr/>
            </w:pPr>
            <w:r>
              <w:rPr>
                <w:spacing w:val="-2"/>
              </w:rPr>
              <w:t>1. 《中华人民共和国道路交通安全法》第十条：准予登记的机动车应当符合机动车国家安全</w:t>
            </w:r>
            <w:r>
              <w:rPr>
                <w:spacing w:val="8"/>
              </w:rPr>
              <w:t xml:space="preserve"> </w:t>
            </w:r>
            <w:r>
              <w:rPr/>
              <w:t>技术标准。申请机动车登记时应当接受对该机动车的安全技术检验。但是</w:t>
            </w:r>
            <w:r>
              <w:rPr>
                <w:spacing w:val="-1"/>
              </w:rPr>
              <w:t>，经过国家机动车</w:t>
            </w:r>
            <w:r>
              <w:rPr/>
              <w:t xml:space="preserve"> </w:t>
            </w:r>
            <w:r>
              <w:rPr/>
              <w:t>产品主管部门依据机动车国家安全技术标准认定的企业生产的机动车型，该车型的新车在出</w:t>
            </w:r>
            <w:r>
              <w:rPr>
                <w:spacing w:val="17"/>
              </w:rPr>
              <w:t xml:space="preserve"> </w:t>
            </w:r>
            <w:r>
              <w:rPr>
                <w:spacing w:val="-1"/>
              </w:rPr>
              <w:t>厂时经检验符合机动车国家安全技术标准，获得检验合格证的</w:t>
            </w:r>
            <w:r>
              <w:rPr>
                <w:spacing w:val="-2"/>
              </w:rPr>
              <w:t>，免除安全技术检验。2.</w:t>
            </w:r>
            <w:r>
              <w:rPr>
                <w:spacing w:val="-38"/>
              </w:rPr>
              <w:t xml:space="preserve"> </w:t>
            </w:r>
            <w:r>
              <w:rPr>
                <w:spacing w:val="-2"/>
              </w:rPr>
              <w:t>《汽</w:t>
            </w:r>
            <w:r>
              <w:rPr/>
              <w:t xml:space="preserve"> </w:t>
            </w:r>
            <w:r>
              <w:rPr/>
              <w:t>车产业发展政策》(国家发展和改革委员会2004年第8号令)第二十三条：道路机动车辆</w:t>
            </w:r>
          </w:p>
          <w:p>
            <w:pPr>
              <w:pStyle w:val="TableText"/>
              <w:ind w:left="34" w:right="49"/>
              <w:spacing w:before="32" w:line="226" w:lineRule="auto"/>
              <w:rPr/>
            </w:pPr>
            <w:r>
              <w:rPr/>
              <w:t>产品认证机构和检测机构由国家质检总局商国家发展改革委后指定，并按照</w:t>
            </w:r>
            <w:r>
              <w:rPr>
                <w:spacing w:val="-1"/>
              </w:rPr>
              <w:t>市场准入管理制</w:t>
            </w:r>
            <w:r>
              <w:rPr/>
              <w:t xml:space="preserve"> </w:t>
            </w:r>
            <w:r>
              <w:rPr>
                <w:spacing w:val="-1"/>
              </w:rPr>
              <w:t>度的具体规定开展认证和检测工作</w:t>
            </w:r>
          </w:p>
        </w:tc>
      </w:tr>
      <w:tr>
        <w:trPr>
          <w:trHeight w:val="978" w:hRule="atLeast"/>
        </w:trPr>
        <w:tc>
          <w:tcPr>
            <w:tcW w:w="285" w:type="dxa"/>
            <w:vAlign w:val="top"/>
          </w:tcPr>
          <w:p>
            <w:pPr>
              <w:pStyle w:val="TableText"/>
              <w:ind w:left="95"/>
              <w:spacing w:before="92" w:line="182" w:lineRule="auto"/>
              <w:rPr/>
            </w:pPr>
            <w:r>
              <w:rPr/>
              <w:t>7</w:t>
            </w:r>
          </w:p>
        </w:tc>
        <w:tc>
          <w:tcPr>
            <w:tcW w:w="659" w:type="dxa"/>
            <w:vAlign w:val="top"/>
          </w:tcPr>
          <w:p>
            <w:pPr>
              <w:pStyle w:val="TableText"/>
              <w:ind w:left="10" w:right="20" w:firstLine="10"/>
              <w:spacing w:before="43" w:line="251" w:lineRule="auto"/>
              <w:jc w:val="both"/>
              <w:rPr/>
            </w:pPr>
            <w:r>
              <w:rPr>
                <w:spacing w:val="2"/>
              </w:rPr>
              <w:t>民用爆炸</w:t>
            </w:r>
            <w:r>
              <w:rPr/>
              <w:t xml:space="preserve"> </w:t>
            </w:r>
            <w:r>
              <w:rPr>
                <w:spacing w:val="1"/>
              </w:rPr>
              <w:t>物品生产</w:t>
            </w:r>
            <w:r>
              <w:rPr/>
              <w:t xml:space="preserve"> </w:t>
            </w:r>
            <w:r>
              <w:rPr/>
              <w:t>许可安全</w:t>
            </w:r>
            <w:r>
              <w:rPr>
                <w:spacing w:val="2"/>
              </w:rPr>
              <w:t xml:space="preserve"> </w:t>
            </w:r>
            <w:r>
              <w:rPr>
                <w:spacing w:val="-2"/>
              </w:rPr>
              <w:t>评价</w:t>
            </w:r>
          </w:p>
        </w:tc>
        <w:tc>
          <w:tcPr>
            <w:tcW w:w="1129" w:type="dxa"/>
            <w:vAlign w:val="top"/>
          </w:tcPr>
          <w:p>
            <w:pPr>
              <w:pStyle w:val="TableText"/>
              <w:ind w:left="20" w:right="43" w:firstLine="120"/>
              <w:spacing w:before="43" w:line="256" w:lineRule="auto"/>
              <w:rPr/>
            </w:pPr>
            <w:r>
              <w:rPr>
                <w:spacing w:val="1"/>
              </w:rPr>
              <w:t>(04011)民用  </w:t>
            </w:r>
            <w:r>
              <w:rPr/>
              <w:t>爆炸物品生产许</w:t>
            </w:r>
            <w:r>
              <w:rPr>
                <w:spacing w:val="3"/>
              </w:rPr>
              <w:t xml:space="preserve"> </w:t>
            </w:r>
            <w:r>
              <w:rPr/>
              <w:t>可</w:t>
            </w:r>
          </w:p>
        </w:tc>
        <w:tc>
          <w:tcPr>
            <w:tcW w:w="809" w:type="dxa"/>
            <w:vAlign w:val="top"/>
          </w:tcPr>
          <w:p>
            <w:pPr>
              <w:pStyle w:val="TableText"/>
              <w:ind w:left="240" w:right="34" w:hanging="219"/>
              <w:spacing w:before="42" w:line="239" w:lineRule="auto"/>
              <w:rPr/>
            </w:pPr>
            <w:r>
              <w:rPr>
                <w:spacing w:val="-2"/>
              </w:rPr>
              <w:t>工业和信息</w:t>
            </w:r>
            <w:r>
              <w:rPr>
                <w:spacing w:val="1"/>
              </w:rPr>
              <w:t xml:space="preserve"> </w:t>
            </w:r>
            <w:r>
              <w:rPr>
                <w:spacing w:val="-2"/>
              </w:rPr>
              <w:t>化部</w:t>
            </w:r>
          </w:p>
        </w:tc>
        <w:tc>
          <w:tcPr>
            <w:tcW w:w="679" w:type="dxa"/>
            <w:vAlign w:val="top"/>
          </w:tcPr>
          <w:p>
            <w:pPr>
              <w:pStyle w:val="TableText"/>
              <w:ind w:left="22" w:right="41" w:firstLine="10"/>
              <w:spacing w:before="45" w:line="227" w:lineRule="auto"/>
              <w:jc w:val="both"/>
              <w:rPr/>
            </w:pPr>
            <w:r>
              <w:rPr>
                <w:spacing w:val="-2"/>
              </w:rPr>
              <w:t>兵器工业</w:t>
            </w:r>
            <w:r>
              <w:rPr/>
              <w:t xml:space="preserve"> </w:t>
            </w:r>
            <w:r>
              <w:rPr/>
              <w:t>安全技术 </w:t>
            </w:r>
            <w:r>
              <w:rPr>
                <w:spacing w:val="1"/>
              </w:rPr>
              <w:t>研究所等</w:t>
            </w:r>
            <w:r>
              <w:rPr/>
              <w:t xml:space="preserve"> </w:t>
            </w:r>
            <w:r>
              <w:rPr/>
              <w:t>安全评价 </w:t>
            </w:r>
            <w:r>
              <w:rPr>
                <w:spacing w:val="-2"/>
              </w:rPr>
              <w:t>机构</w:t>
            </w:r>
          </w:p>
        </w:tc>
        <w:tc>
          <w:tcPr>
            <w:tcW w:w="6088" w:type="dxa"/>
            <w:vAlign w:val="top"/>
          </w:tcPr>
          <w:p>
            <w:pPr>
              <w:pStyle w:val="TableText"/>
              <w:ind w:left="33" w:hanging="19"/>
              <w:spacing w:before="32" w:line="244" w:lineRule="auto"/>
              <w:rPr/>
            </w:pPr>
            <w:r>
              <w:rPr>
                <w:spacing w:val="-4"/>
              </w:rPr>
              <w:t>1. 《中华人民共和国安全生产法》第二十九条：矿山、金属冶炼建设项目和用于生产、储存、</w:t>
            </w:r>
            <w:r>
              <w:rPr>
                <w:spacing w:val="9"/>
              </w:rPr>
              <w:t xml:space="preserve"> </w:t>
            </w:r>
            <w:r>
              <w:rPr>
                <w:spacing w:val="-3"/>
              </w:rPr>
              <w:t>装卸危险物品的建设项目，应当按照国家有关规</w:t>
            </w:r>
            <w:r>
              <w:rPr>
                <w:spacing w:val="-4"/>
              </w:rPr>
              <w:t>定进行安全评价。2. 《民用爆炸物品生产许</w:t>
            </w:r>
          </w:p>
          <w:p>
            <w:pPr>
              <w:pStyle w:val="TableText"/>
              <w:ind w:left="14" w:right="79" w:firstLine="129"/>
              <w:spacing w:before="42" w:line="257" w:lineRule="auto"/>
              <w:rPr/>
            </w:pPr>
            <w:r>
              <w:rPr/>
              <w:t>可实施办法》(国防科工委令2006年第16号)第七条：申请从事民用爆炸物品生产的企业，</w:t>
            </w:r>
            <w:r>
              <w:rPr>
                <w:spacing w:val="3"/>
              </w:rPr>
              <w:t xml:space="preserve"> </w:t>
            </w:r>
            <w:r>
              <w:rPr/>
              <w:t>应当向国防科工委提交以下材料：(五)民用爆炸物品安全评价机构出具的安</w:t>
            </w:r>
            <w:r>
              <w:rPr>
                <w:spacing w:val="-1"/>
              </w:rPr>
              <w:t>全评价报告。</w:t>
            </w:r>
          </w:p>
        </w:tc>
      </w:tr>
      <w:tr>
        <w:trPr>
          <w:trHeight w:val="1213" w:hRule="atLeast"/>
        </w:trPr>
        <w:tc>
          <w:tcPr>
            <w:tcW w:w="285" w:type="dxa"/>
            <w:vAlign w:val="top"/>
          </w:tcPr>
          <w:p>
            <w:pPr>
              <w:pStyle w:val="TableText"/>
              <w:ind w:left="95"/>
              <w:spacing w:before="93" w:line="183" w:lineRule="auto"/>
              <w:rPr/>
            </w:pPr>
            <w:r>
              <w:rPr/>
              <w:t>8</w:t>
            </w:r>
          </w:p>
        </w:tc>
        <w:tc>
          <w:tcPr>
            <w:tcW w:w="659" w:type="dxa"/>
            <w:vAlign w:val="top"/>
          </w:tcPr>
          <w:p>
            <w:pPr>
              <w:pStyle w:val="TableText"/>
              <w:ind w:left="20" w:right="21"/>
              <w:spacing w:before="34" w:line="264" w:lineRule="auto"/>
              <w:rPr/>
            </w:pPr>
            <w:r>
              <w:rPr>
                <w:spacing w:val="1"/>
              </w:rPr>
              <w:t>电信设备</w:t>
            </w:r>
            <w:r>
              <w:rPr>
                <w:spacing w:val="2"/>
              </w:rPr>
              <w:t xml:space="preserve"> </w:t>
            </w:r>
            <w:r>
              <w:rPr>
                <w:spacing w:val="-1"/>
              </w:rPr>
              <w:t>进网检测</w:t>
            </w:r>
          </w:p>
        </w:tc>
        <w:tc>
          <w:tcPr>
            <w:tcW w:w="1129" w:type="dxa"/>
            <w:vAlign w:val="top"/>
          </w:tcPr>
          <w:p>
            <w:pPr>
              <w:pStyle w:val="TableText"/>
              <w:ind w:left="100" w:right="57" w:hanging="50"/>
              <w:spacing w:before="64" w:line="254" w:lineRule="auto"/>
              <w:jc w:val="both"/>
              <w:rPr/>
            </w:pPr>
            <w:r>
              <w:rPr>
                <w:spacing w:val="20"/>
              </w:rPr>
              <w:t>(04017)电信</w:t>
            </w:r>
            <w:r>
              <w:rPr>
                <w:spacing w:val="4"/>
              </w:rPr>
              <w:t xml:space="preserve"> </w:t>
            </w:r>
            <w:r>
              <w:rPr>
                <w:spacing w:val="-2"/>
              </w:rPr>
              <w:t>设备进网许可</w:t>
            </w:r>
            <w:r>
              <w:rPr>
                <w:spacing w:val="1"/>
              </w:rPr>
              <w:t xml:space="preserve">  </w:t>
            </w:r>
            <w:r>
              <w:rPr/>
              <w:t>(含试用)审批</w:t>
            </w:r>
          </w:p>
        </w:tc>
        <w:tc>
          <w:tcPr>
            <w:tcW w:w="809" w:type="dxa"/>
            <w:vAlign w:val="top"/>
          </w:tcPr>
          <w:p>
            <w:pPr>
              <w:pStyle w:val="TableText"/>
              <w:ind w:left="240" w:right="34" w:hanging="219"/>
              <w:spacing w:before="54" w:line="239" w:lineRule="auto"/>
              <w:rPr/>
            </w:pPr>
            <w:r>
              <w:rPr>
                <w:spacing w:val="-2"/>
              </w:rPr>
              <w:t>工业和信息</w:t>
            </w:r>
            <w:r>
              <w:rPr>
                <w:spacing w:val="1"/>
              </w:rPr>
              <w:t xml:space="preserve"> </w:t>
            </w:r>
            <w:r>
              <w:rPr>
                <w:spacing w:val="-2"/>
              </w:rPr>
              <w:t>化部</w:t>
            </w:r>
          </w:p>
        </w:tc>
        <w:tc>
          <w:tcPr>
            <w:tcW w:w="679" w:type="dxa"/>
            <w:vAlign w:val="top"/>
          </w:tcPr>
          <w:p>
            <w:pPr>
              <w:pStyle w:val="TableText"/>
              <w:ind w:left="32" w:right="29"/>
              <w:spacing w:before="57" w:line="235" w:lineRule="auto"/>
              <w:jc w:val="both"/>
              <w:rPr/>
            </w:pPr>
            <w:r>
              <w:rPr>
                <w:spacing w:val="-2"/>
              </w:rPr>
              <w:t>信息产业</w:t>
            </w:r>
            <w:r>
              <w:rPr>
                <w:spacing w:val="1"/>
              </w:rPr>
              <w:t xml:space="preserve"> </w:t>
            </w:r>
            <w:r>
              <w:rPr>
                <w:spacing w:val="1"/>
              </w:rPr>
              <w:t>邮电工业</w:t>
            </w:r>
            <w:r>
              <w:rPr/>
              <w:t xml:space="preserve"> </w:t>
            </w:r>
            <w:r>
              <w:rPr>
                <w:spacing w:val="-2"/>
              </w:rPr>
              <w:t>产品质量</w:t>
            </w:r>
            <w:r>
              <w:rPr>
                <w:spacing w:val="1"/>
              </w:rPr>
              <w:t xml:space="preserve"> </w:t>
            </w:r>
            <w:r>
              <w:rPr>
                <w:spacing w:val="-2"/>
              </w:rPr>
              <w:t>监督检验</w:t>
            </w:r>
            <w:r>
              <w:rPr/>
              <w:t xml:space="preserve"> </w:t>
            </w:r>
            <w:r>
              <w:rPr>
                <w:spacing w:val="1"/>
              </w:rPr>
              <w:t>中心等检 </w:t>
            </w:r>
            <w:r>
              <w:rPr>
                <w:spacing w:val="-2"/>
              </w:rPr>
              <w:t>测机构</w:t>
            </w:r>
          </w:p>
        </w:tc>
        <w:tc>
          <w:tcPr>
            <w:tcW w:w="6088" w:type="dxa"/>
            <w:vAlign w:val="top"/>
          </w:tcPr>
          <w:p>
            <w:pPr>
              <w:pStyle w:val="TableText"/>
              <w:ind w:left="14"/>
              <w:spacing w:before="62" w:line="258" w:lineRule="auto"/>
              <w:jc w:val="both"/>
              <w:rPr/>
            </w:pPr>
            <w:r>
              <w:rPr>
                <w:spacing w:val="-5"/>
              </w:rPr>
              <w:t>1. 《中华人民共和国电信条例》(国务院令第291号)第五十四条；办理电信设</w:t>
            </w:r>
            <w:r>
              <w:rPr>
                <w:spacing w:val="-6"/>
              </w:rPr>
              <w:t>备进网许可证的，</w:t>
            </w:r>
            <w:r>
              <w:rPr/>
              <w:t xml:space="preserve"> </w:t>
            </w:r>
            <w:r>
              <w:rPr>
                <w:spacing w:val="-4"/>
              </w:rPr>
              <w:t>应当向国务院信息产业主管部门提出申请，并附送经国务院产品质量监督部门认可的电信设备</w:t>
            </w:r>
            <w:r>
              <w:rPr>
                <w:spacing w:val="4"/>
              </w:rPr>
              <w:t xml:space="preserve">  </w:t>
            </w:r>
            <w:r>
              <w:rPr>
                <w:spacing w:val="-5"/>
              </w:rPr>
              <w:t>检测机构出具的检测报告或者认证机构出具的产</w:t>
            </w:r>
            <w:r>
              <w:rPr>
                <w:spacing w:val="-6"/>
              </w:rPr>
              <w:t>品质量认证证书。2. 《电信设备进网管理办法</w:t>
            </w:r>
            <w:r>
              <w:rPr/>
              <w:t xml:space="preserve">  </w:t>
            </w:r>
            <w:r>
              <w:rPr>
                <w:spacing w:val="-1"/>
              </w:rPr>
              <w:t>(信息产业部令第11号，2014年9月23日予以修改)第八条：生产企业申请电信设备</w:t>
            </w:r>
            <w:r>
              <w:rPr>
                <w:spacing w:val="-2"/>
              </w:rPr>
              <w:t>进网许可，</w:t>
            </w:r>
            <w:r>
              <w:rPr/>
              <w:t xml:space="preserve"> </w:t>
            </w:r>
            <w:r>
              <w:rPr/>
              <w:t>应当向工业和信息化部授权的受理机构提交下列申请材料</w:t>
            </w:r>
            <w:r>
              <w:rPr>
                <w:spacing w:val="-1"/>
              </w:rPr>
              <w:t>；(六)检测报告或产品认证证书。</w:t>
            </w:r>
          </w:p>
        </w:tc>
      </w:tr>
    </w:tbl>
    <w:p>
      <w:pPr>
        <w:pStyle w:val="BodyText"/>
        <w:rPr/>
      </w:pPr>
      <w:r/>
    </w:p>
    <w:p>
      <w:pPr>
        <w:sectPr>
          <w:pgSz w:w="11910" w:h="8220"/>
          <w:pgMar w:top="400" w:right="115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1939840" behindDoc="0" locked="0" layoutInCell="0" allowOverlap="1">
                <wp:simplePos x="0" y="0"/>
                <wp:positionH relativeFrom="page">
                  <wp:posOffset>470410</wp:posOffset>
                </wp:positionH>
                <wp:positionV relativeFrom="page">
                  <wp:posOffset>611308</wp:posOffset>
                </wp:positionV>
                <wp:extent cx="172720" cy="156845"/>
                <wp:effectExtent l="0" t="0" r="0" b="0"/>
                <wp:wrapNone/>
                <wp:docPr id="380" name="TextBox 380"/>
                <wp:cNvGraphicFramePr/>
                <a:graphic>
                  <a:graphicData uri="http://schemas.microsoft.com/office/word/2010/wordprocessingShape">
                    <wps:wsp>
                      <wps:cNvSpPr txBox="1"/>
                      <wps:spPr>
                        <a:xfrm rot="5400000">
                          <a:off x="470410" y="611308"/>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2" style="position:absolute;margin-left:37.0402pt;margin-top:48.1345pt;mso-position-vertical-relative:page;mso-position-horizontal-relative:page;width:13.6pt;height:12.35pt;z-index:25193984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278</w:t>
                      </w:r>
                    </w:p>
                  </w:txbxContent>
                </v:textbox>
              </v:shape>
            </w:pict>
          </mc:Fallback>
        </mc:AlternateContent>
      </w:r>
      <w:r/>
    </w:p>
    <w:p>
      <w:pPr>
        <w:spacing w:before="51"/>
        <w:rPr/>
      </w:pPr>
      <w:r/>
    </w:p>
    <w:tbl>
      <w:tblPr>
        <w:tblStyle w:val="TableNormal"/>
        <w:tblW w:w="9669" w:type="dxa"/>
        <w:tblInd w:w="27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1"/>
              <w:spacing w:before="61" w:line="248" w:lineRule="auto"/>
              <w:rPr/>
            </w:pPr>
            <w:r>
              <w:rPr>
                <w:spacing w:val="1"/>
              </w:rPr>
              <w:t>中介服务</w:t>
            </w:r>
            <w:r>
              <w:rPr>
                <w:spacing w:val="2"/>
              </w:rPr>
              <w:t xml:space="preserve">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286" w:lineRule="auto"/>
              <w:rPr>
                <w:rFonts w:ascii="Arial"/>
                <w:sz w:val="21"/>
              </w:rPr>
            </w:pPr>
            <w:r/>
          </w:p>
          <w:p>
            <w:pPr>
              <w:spacing w:line="287" w:lineRule="auto"/>
              <w:rPr>
                <w:rFonts w:ascii="Arial"/>
                <w:sz w:val="21"/>
              </w:rPr>
            </w:pPr>
            <w:r/>
          </w:p>
          <w:p>
            <w:pPr>
              <w:pStyle w:val="TableText"/>
              <w:ind w:left="95"/>
              <w:spacing w:before="49" w:line="183" w:lineRule="auto"/>
              <w:rPr/>
            </w:pPr>
            <w:r>
              <w:rPr/>
              <w:t>9</w:t>
            </w:r>
          </w:p>
        </w:tc>
        <w:tc>
          <w:tcPr>
            <w:tcW w:w="679" w:type="dxa"/>
            <w:vAlign w:val="top"/>
          </w:tcPr>
          <w:p>
            <w:pPr>
              <w:spacing w:line="262" w:lineRule="auto"/>
              <w:rPr>
                <w:rFonts w:ascii="Arial"/>
                <w:sz w:val="21"/>
              </w:rPr>
            </w:pPr>
            <w:r/>
          </w:p>
          <w:p>
            <w:pPr>
              <w:spacing w:line="262" w:lineRule="auto"/>
              <w:rPr>
                <w:rFonts w:ascii="Arial"/>
                <w:sz w:val="21"/>
              </w:rPr>
            </w:pPr>
            <w:r/>
          </w:p>
          <w:p>
            <w:pPr>
              <w:pStyle w:val="TableText"/>
              <w:ind w:left="20" w:firstLine="9"/>
              <w:spacing w:before="48" w:line="264" w:lineRule="auto"/>
              <w:jc w:val="both"/>
              <w:rPr/>
            </w:pPr>
            <w:r>
              <w:rPr>
                <w:spacing w:val="-10"/>
              </w:rPr>
              <w:t>外国律师</w:t>
            </w:r>
            <w:r>
              <w:rPr/>
              <w:t xml:space="preserve">  </w:t>
            </w:r>
            <w:r>
              <w:rPr>
                <w:spacing w:val="-7"/>
              </w:rPr>
              <w:t>事务所驻</w:t>
            </w:r>
            <w:r>
              <w:rPr/>
              <w:t xml:space="preserve">  </w:t>
            </w:r>
            <w:r>
              <w:rPr>
                <w:spacing w:val="-8"/>
              </w:rPr>
              <w:t>华代表机</w:t>
            </w:r>
            <w:r>
              <w:rPr>
                <w:spacing w:val="1"/>
              </w:rPr>
              <w:t xml:space="preserve">  </w:t>
            </w:r>
            <w:r>
              <w:rPr>
                <w:spacing w:val="-8"/>
              </w:rPr>
              <w:t>构设立有</w:t>
            </w:r>
            <w:r>
              <w:rPr/>
              <w:t xml:space="preserve">  </w:t>
            </w:r>
            <w:r>
              <w:rPr>
                <w:spacing w:val="-8"/>
              </w:rPr>
              <w:t>关申请材</w:t>
            </w:r>
            <w:r>
              <w:rPr/>
              <w:t xml:space="preserve">  </w:t>
            </w:r>
            <w:r>
              <w:rPr>
                <w:spacing w:val="12"/>
              </w:rPr>
              <w:t>料公证、</w:t>
            </w:r>
            <w:r>
              <w:rPr/>
              <w:t xml:space="preserve"> </w:t>
            </w:r>
            <w:r>
              <w:rPr>
                <w:spacing w:val="-6"/>
              </w:rPr>
              <w:t>认证</w:t>
            </w:r>
          </w:p>
        </w:tc>
        <w:tc>
          <w:tcPr>
            <w:tcW w:w="1099" w:type="dxa"/>
            <w:vAlign w:val="top"/>
          </w:tcPr>
          <w:p>
            <w:pPr>
              <w:spacing w:line="262" w:lineRule="auto"/>
              <w:rPr>
                <w:rFonts w:ascii="Arial"/>
                <w:sz w:val="21"/>
              </w:rPr>
            </w:pPr>
            <w:r/>
          </w:p>
          <w:p>
            <w:pPr>
              <w:spacing w:line="262" w:lineRule="auto"/>
              <w:rPr>
                <w:rFonts w:ascii="Arial"/>
                <w:sz w:val="21"/>
              </w:rPr>
            </w:pPr>
            <w:r/>
          </w:p>
          <w:p>
            <w:pPr>
              <w:pStyle w:val="TableText"/>
              <w:ind w:left="10" w:right="33" w:firstLine="110"/>
              <w:spacing w:before="48" w:line="260" w:lineRule="auto"/>
              <w:rPr/>
            </w:pPr>
            <w:r>
              <w:rPr>
                <w:spacing w:val="2"/>
              </w:rPr>
              <w:t>(09003)外国</w:t>
            </w:r>
            <w:r>
              <w:rPr/>
              <w:t xml:space="preserve">  </w:t>
            </w:r>
            <w:r>
              <w:rPr>
                <w:spacing w:val="-1"/>
              </w:rPr>
              <w:t>律师事务所驻华</w:t>
            </w:r>
            <w:r>
              <w:rPr/>
              <w:t xml:space="preserve"> </w:t>
            </w:r>
            <w:r>
              <w:rPr>
                <w:spacing w:val="-1"/>
              </w:rPr>
              <w:t>代表机构设立许</w:t>
            </w:r>
            <w:r>
              <w:rPr/>
              <w:t xml:space="preserve"> </w:t>
            </w:r>
            <w:r>
              <w:rPr/>
              <w:t>可</w:t>
            </w:r>
          </w:p>
        </w:tc>
        <w:tc>
          <w:tcPr>
            <w:tcW w:w="839" w:type="dxa"/>
            <w:vAlign w:val="top"/>
          </w:tcPr>
          <w:p>
            <w:pPr>
              <w:spacing w:line="247" w:lineRule="auto"/>
              <w:rPr>
                <w:rFonts w:ascii="Arial"/>
                <w:sz w:val="21"/>
              </w:rPr>
            </w:pPr>
            <w:r/>
          </w:p>
          <w:p>
            <w:pPr>
              <w:spacing w:line="248" w:lineRule="auto"/>
              <w:rPr>
                <w:rFonts w:ascii="Arial"/>
                <w:sz w:val="21"/>
              </w:rPr>
            </w:pPr>
            <w:r/>
          </w:p>
          <w:p>
            <w:pPr>
              <w:pStyle w:val="TableText"/>
              <w:ind w:left="182"/>
              <w:spacing w:before="49" w:line="219" w:lineRule="auto"/>
              <w:rPr/>
            </w:pPr>
            <w:r>
              <w:rPr>
                <w:spacing w:val="-3"/>
              </w:rPr>
              <w:t>司法部</w:t>
            </w:r>
          </w:p>
        </w:tc>
        <w:tc>
          <w:tcPr>
            <w:tcW w:w="659" w:type="dxa"/>
            <w:vAlign w:val="top"/>
          </w:tcPr>
          <w:p>
            <w:pPr>
              <w:spacing w:line="257" w:lineRule="auto"/>
              <w:rPr>
                <w:rFonts w:ascii="Arial"/>
                <w:sz w:val="21"/>
              </w:rPr>
            </w:pPr>
            <w:r/>
          </w:p>
          <w:p>
            <w:pPr>
              <w:spacing w:line="257" w:lineRule="auto"/>
              <w:rPr>
                <w:rFonts w:ascii="Arial"/>
                <w:sz w:val="21"/>
              </w:rPr>
            </w:pPr>
            <w:r/>
          </w:p>
          <w:p>
            <w:pPr>
              <w:pStyle w:val="TableText"/>
              <w:ind w:left="22"/>
              <w:spacing w:before="49" w:line="219" w:lineRule="auto"/>
              <w:rPr/>
            </w:pPr>
            <w:r>
              <w:rPr>
                <w:spacing w:val="2"/>
              </w:rPr>
              <w:t>公证机构</w:t>
            </w:r>
          </w:p>
        </w:tc>
        <w:tc>
          <w:tcPr>
            <w:tcW w:w="6098" w:type="dxa"/>
            <w:vAlign w:val="top"/>
          </w:tcPr>
          <w:p>
            <w:pPr>
              <w:spacing w:line="257" w:lineRule="auto"/>
              <w:rPr>
                <w:rFonts w:ascii="Arial"/>
                <w:sz w:val="21"/>
              </w:rPr>
            </w:pPr>
            <w:r/>
          </w:p>
          <w:p>
            <w:pPr>
              <w:spacing w:line="257" w:lineRule="auto"/>
              <w:rPr>
                <w:rFonts w:ascii="Arial"/>
                <w:sz w:val="21"/>
              </w:rPr>
            </w:pPr>
            <w:r/>
          </w:p>
          <w:p>
            <w:pPr>
              <w:pStyle w:val="TableText"/>
              <w:ind w:left="54"/>
              <w:spacing w:before="49" w:line="219" w:lineRule="auto"/>
              <w:rPr/>
            </w:pPr>
            <w:r>
              <w:rPr>
                <w:spacing w:val="-2"/>
              </w:rPr>
              <w:t>1. 《外国律师事务所驻华代表机构管理条例》(国务院令第338</w:t>
            </w:r>
            <w:r>
              <w:rPr>
                <w:spacing w:val="-3"/>
              </w:rPr>
              <w:t>号)第八条：外国律师事务</w:t>
            </w:r>
          </w:p>
          <w:p>
            <w:pPr>
              <w:pStyle w:val="TableText"/>
              <w:ind w:left="113" w:right="49" w:hanging="69"/>
              <w:spacing w:before="51" w:line="245" w:lineRule="auto"/>
              <w:rPr/>
            </w:pPr>
            <w:r>
              <w:rPr/>
              <w:t>所申请在华设立代表机构，应当向拟设立的代表机构住所地的省、自治区、</w:t>
            </w:r>
            <w:r>
              <w:rPr>
                <w:spacing w:val="-1"/>
              </w:rPr>
              <w:t>直辖市人民政府</w:t>
            </w:r>
            <w:r>
              <w:rPr/>
              <w:t xml:space="preserve"> </w:t>
            </w:r>
            <w:r>
              <w:rPr/>
              <w:t>司法行政部门提交下列文件材料：(一)该外国律师事务所主要负责人签署的设立代表机构</w:t>
            </w:r>
          </w:p>
          <w:p>
            <w:pPr>
              <w:pStyle w:val="TableText"/>
              <w:ind w:left="24" w:right="286" w:firstLine="10"/>
              <w:spacing w:before="41" w:line="245" w:lineRule="auto"/>
              <w:rPr/>
            </w:pPr>
            <w:r>
              <w:rPr/>
              <w:t>派驻代表的申请书。拟设立的代表机构的名称应当为“xx律师事务所</w:t>
            </w:r>
            <w:r>
              <w:rPr>
                <w:spacing w:val="-1"/>
              </w:rPr>
              <w:t>(该律师事务所的中</w:t>
            </w:r>
            <w:r>
              <w:rPr/>
              <w:t xml:space="preserve"> </w:t>
            </w:r>
            <w:r>
              <w:rPr/>
              <w:t>文译名)驻xx(中国城市名)代表处”;  (二)该外国律师事务所在其本</w:t>
            </w:r>
            <w:r>
              <w:rPr>
                <w:spacing w:val="-1"/>
              </w:rPr>
              <w:t>国已经合法设立</w:t>
            </w:r>
          </w:p>
          <w:p>
            <w:pPr>
              <w:pStyle w:val="TableText"/>
              <w:ind w:left="34"/>
              <w:spacing w:before="42" w:line="219" w:lineRule="auto"/>
              <w:rPr/>
            </w:pPr>
            <w:r>
              <w:rPr/>
              <w:t>的证明文件；(三)该外国律师事务所的合伙协议或者成立章程以及负责人、合伙人名单</w:t>
            </w:r>
          </w:p>
          <w:p>
            <w:pPr>
              <w:pStyle w:val="TableText"/>
              <w:ind w:left="34" w:right="117" w:firstLine="79"/>
              <w:spacing w:before="32" w:line="251" w:lineRule="auto"/>
              <w:rPr/>
            </w:pPr>
            <w:r>
              <w:rPr/>
              <w:t>(四)该外国律师事务所给代表机构各拟任代表的授权书，以及拟任首席代表系该律师事务</w:t>
            </w:r>
            <w:r>
              <w:rPr>
                <w:spacing w:val="5"/>
              </w:rPr>
              <w:t xml:space="preserve"> </w:t>
            </w:r>
            <w:r>
              <w:rPr/>
              <w:t>所合伙人或者相同职位人员的确认书；(五)代表机构各拟任代表的律师执</w:t>
            </w:r>
            <w:r>
              <w:rPr>
                <w:spacing w:val="-1"/>
              </w:rPr>
              <w:t>业资格以及拟任</w:t>
            </w:r>
          </w:p>
          <w:p>
            <w:pPr>
              <w:pStyle w:val="TableText"/>
              <w:ind w:left="34"/>
              <w:spacing w:before="42" w:line="219" w:lineRule="auto"/>
              <w:rPr/>
            </w:pPr>
            <w:r>
              <w:rPr/>
              <w:t>首席代表已在中国境外执业不少于3年、其他拟任代表已在中国境外执业不少于2年的证明</w:t>
            </w:r>
          </w:p>
          <w:p>
            <w:pPr>
              <w:pStyle w:val="TableText"/>
              <w:ind w:left="34"/>
              <w:spacing w:before="42" w:line="219" w:lineRule="auto"/>
              <w:rPr/>
            </w:pPr>
            <w:r>
              <w:rPr/>
              <w:t>文件；(六)该外国律师事务所所在国的律师协会出具的该代表机构各拟</w:t>
            </w:r>
            <w:r>
              <w:rPr>
                <w:spacing w:val="-1"/>
              </w:rPr>
              <w:t>任代表为本国律师</w:t>
            </w:r>
          </w:p>
          <w:p>
            <w:pPr>
              <w:pStyle w:val="TableText"/>
              <w:ind w:left="34"/>
              <w:spacing w:before="42" w:line="219" w:lineRule="auto"/>
              <w:rPr/>
            </w:pPr>
            <w:r>
              <w:rPr/>
              <w:t>协会会员的证明文件；(七)该外国律师事务所所在国的律师管理机构出</w:t>
            </w:r>
            <w:r>
              <w:rPr>
                <w:spacing w:val="-1"/>
              </w:rPr>
              <w:t>具的该律师事务所</w:t>
            </w:r>
          </w:p>
          <w:p>
            <w:pPr>
              <w:pStyle w:val="TableText"/>
              <w:ind w:left="34" w:right="35" w:firstLine="10"/>
              <w:spacing w:before="31" w:line="262" w:lineRule="auto"/>
              <w:rPr/>
            </w:pPr>
            <w:r>
              <w:rPr/>
              <w:t>以及各拟任代表没有受过刑事处罚和没有因违反律师职业道德、执业纪律受过处罚的证明文</w:t>
            </w:r>
            <w:r>
              <w:rPr>
                <w:spacing w:val="7"/>
              </w:rPr>
              <w:t xml:space="preserve"> </w:t>
            </w:r>
            <w:r>
              <w:rPr/>
              <w:t>件。前款所列文件材料，应当经申请人本国公证机构或者公证人的公证、其本国外交主管机</w:t>
            </w:r>
            <w:r>
              <w:rPr>
                <w:spacing w:val="3"/>
              </w:rPr>
              <w:t xml:space="preserve"> </w:t>
            </w:r>
            <w:r>
              <w:rPr/>
              <w:t>关或者外交主管机关授权的机关认证，并经中国驻该国使(领)馆认</w:t>
            </w:r>
            <w:r>
              <w:rPr>
                <w:spacing w:val="-1"/>
              </w:rPr>
              <w:t>证。外国律师事务所提</w:t>
            </w:r>
          </w:p>
          <w:p>
            <w:pPr>
              <w:pStyle w:val="TableText"/>
              <w:ind w:left="34" w:right="84" w:firstLine="39"/>
              <w:spacing w:before="42" w:line="245" w:lineRule="auto"/>
              <w:rPr/>
            </w:pPr>
            <w:r>
              <w:rPr>
                <w:spacing w:val="-2"/>
              </w:rPr>
              <w:t>交的文件材料应当一式三份，外文材料应当附中文译文。2. 《司法部关于执行&lt;外国律师事</w:t>
            </w:r>
            <w:r>
              <w:rPr>
                <w:spacing w:val="12"/>
              </w:rPr>
              <w:t xml:space="preserve"> </w:t>
            </w:r>
            <w:r>
              <w:rPr/>
              <w:t>务所驻华代表机构管理条例&gt;的规定》(司法部令第</w:t>
            </w:r>
            <w:r>
              <w:rPr>
                <w:spacing w:val="-1"/>
              </w:rPr>
              <w:t>92号)有关规定</w:t>
            </w:r>
          </w:p>
        </w:tc>
      </w:tr>
    </w:tbl>
    <w:p>
      <w:pPr>
        <w:pStyle w:val="BodyText"/>
        <w:rPr/>
      </w:pPr>
      <w:r/>
    </w:p>
    <w:p>
      <w:pPr>
        <w:sectPr>
          <w:pgSz w:w="11910" w:h="8220"/>
          <w:pgMar w:top="400" w:right="113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40864" behindDoc="0" locked="0" layoutInCell="0" allowOverlap="1">
                <wp:simplePos x="0" y="0"/>
                <wp:positionH relativeFrom="page">
                  <wp:posOffset>460656</wp:posOffset>
                </wp:positionH>
                <wp:positionV relativeFrom="page">
                  <wp:posOffset>4378112</wp:posOffset>
                </wp:positionV>
                <wp:extent cx="195579" cy="177164"/>
                <wp:effectExtent l="0" t="0" r="0" b="0"/>
                <wp:wrapNone/>
                <wp:docPr id="382" name="TextBox 382"/>
                <wp:cNvGraphicFramePr/>
                <a:graphic>
                  <a:graphicData uri="http://schemas.microsoft.com/office/word/2010/wordprocessingShape">
                    <wps:wsp>
                      <wps:cNvSpPr txBox="1"/>
                      <wps:spPr>
                        <a:xfrm rot="5400000">
                          <a:off x="460656" y="4378112"/>
                          <a:ext cx="195579" cy="17716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9" w:line="203" w:lineRule="auto"/>
                              <w:rPr>
                                <w:rFonts w:ascii="STXinwei" w:hAnsi="STXinwei" w:eastAsia="STXinwei" w:cs="STXinwei"/>
                                <w:sz w:val="16"/>
                                <w:szCs w:val="16"/>
                              </w:rPr>
                            </w:pPr>
                            <w:r>
                              <w:rPr>
                                <w:rFonts w:ascii="STXinwei" w:hAnsi="STXinwei" w:eastAsia="STXinwei" w:cs="STXinwei"/>
                                <w:sz w:val="16"/>
                                <w:szCs w:val="16"/>
                                <w:spacing w:val="-2"/>
                              </w:rPr>
                              <w:t>279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4" style="position:absolute;margin-left:36.2722pt;margin-top:344.733pt;mso-position-vertical-relative:page;mso-position-horizontal-relative:page;width:15.4pt;height:13.95pt;z-index:251940864;rotation:90;" o:allowincell="f" filled="false" stroked="false" type="#_x0000_t202">
                <v:fill on="false"/>
                <v:stroke on="false"/>
                <v:path/>
                <v:imagedata o:title=""/>
                <o:lock v:ext="edit" aspectratio="false"/>
                <v:textbox inset="0mm,0mm,0mm,0mm">
                  <w:txbxContent>
                    <w:p>
                      <w:pPr>
                        <w:ind w:left="20"/>
                        <w:spacing w:before="79" w:line="203" w:lineRule="auto"/>
                        <w:rPr>
                          <w:rFonts w:ascii="STXinwei" w:hAnsi="STXinwei" w:eastAsia="STXinwei" w:cs="STXinwei"/>
                          <w:sz w:val="16"/>
                          <w:szCs w:val="16"/>
                        </w:rPr>
                      </w:pPr>
                      <w:r>
                        <w:rPr>
                          <w:rFonts w:ascii="STXinwei" w:hAnsi="STXinwei" w:eastAsia="STXinwei" w:cs="STXinwei"/>
                          <w:sz w:val="16"/>
                          <w:szCs w:val="16"/>
                          <w:spacing w:val="-2"/>
                        </w:rPr>
                        <w:t>279</w:t>
                      </w:r>
                    </w:p>
                  </w:txbxContent>
                </v:textbox>
              </v:shape>
            </w:pict>
          </mc:Fallback>
        </mc:AlternateContent>
      </w:r>
      <w:r/>
    </w:p>
    <w:p>
      <w:pPr>
        <w:spacing w:before="46"/>
        <w:rPr/>
      </w:pPr>
      <w:r/>
    </w:p>
    <w:tbl>
      <w:tblPr>
        <w:tblStyle w:val="TableNormal"/>
        <w:tblW w:w="9659" w:type="dxa"/>
        <w:tblInd w:w="29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109"/>
        <w:gridCol w:w="809"/>
        <w:gridCol w:w="679"/>
        <w:gridCol w:w="6088"/>
      </w:tblGrid>
      <w:tr>
        <w:trPr>
          <w:trHeight w:val="474" w:hRule="atLeast"/>
        </w:trPr>
        <w:tc>
          <w:tcPr>
            <w:tcW w:w="295" w:type="dxa"/>
            <w:vAlign w:val="top"/>
          </w:tcPr>
          <w:p>
            <w:pPr>
              <w:pStyle w:val="TableText"/>
              <w:ind w:left="65"/>
              <w:spacing w:before="62" w:line="197" w:lineRule="auto"/>
              <w:rPr/>
            </w:pPr>
            <w:r>
              <w:rPr/>
              <w:t>序</w:t>
            </w:r>
          </w:p>
          <w:p>
            <w:pPr>
              <w:pStyle w:val="TableText"/>
              <w:ind w:left="65"/>
              <w:spacing w:line="220" w:lineRule="auto"/>
              <w:rPr/>
            </w:pPr>
            <w:r>
              <w:rPr/>
              <w:t>号</w:t>
            </w:r>
          </w:p>
        </w:tc>
        <w:tc>
          <w:tcPr>
            <w:tcW w:w="679" w:type="dxa"/>
            <w:vAlign w:val="top"/>
          </w:tcPr>
          <w:p>
            <w:pPr>
              <w:pStyle w:val="TableText"/>
              <w:ind w:left="3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70" w:line="242"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255" w:hRule="atLeast"/>
        </w:trPr>
        <w:tc>
          <w:tcPr>
            <w:tcW w:w="295" w:type="dxa"/>
            <w:vAlign w:val="top"/>
          </w:tcPr>
          <w:p>
            <w:pPr>
              <w:pStyle w:val="TableText"/>
              <w:ind w:left="65"/>
              <w:spacing w:before="115" w:line="184" w:lineRule="auto"/>
              <w:rPr/>
            </w:pPr>
            <w:r>
              <w:rPr>
                <w:spacing w:val="-5"/>
              </w:rPr>
              <w:t>10</w:t>
            </w:r>
          </w:p>
        </w:tc>
        <w:tc>
          <w:tcPr>
            <w:tcW w:w="679" w:type="dxa"/>
            <w:vAlign w:val="top"/>
          </w:tcPr>
          <w:p>
            <w:pPr>
              <w:pStyle w:val="TableText"/>
              <w:ind w:left="20" w:firstLine="9"/>
              <w:spacing w:before="55" w:line="265" w:lineRule="auto"/>
              <w:jc w:val="both"/>
              <w:rPr/>
            </w:pPr>
            <w:r>
              <w:rPr>
                <w:spacing w:val="-10"/>
              </w:rPr>
              <w:t>外国律师</w:t>
            </w:r>
            <w:r>
              <w:rPr/>
              <w:t xml:space="preserve">  </w:t>
            </w:r>
            <w:r>
              <w:rPr>
                <w:spacing w:val="-7"/>
              </w:rPr>
              <w:t>事务所驻</w:t>
            </w:r>
            <w:r>
              <w:rPr/>
              <w:t xml:space="preserve">  </w:t>
            </w:r>
            <w:r>
              <w:rPr>
                <w:spacing w:val="-8"/>
              </w:rPr>
              <w:t>华代表机</w:t>
            </w:r>
            <w:r>
              <w:rPr>
                <w:spacing w:val="1"/>
              </w:rPr>
              <w:t xml:space="preserve">  </w:t>
            </w:r>
            <w:r>
              <w:rPr>
                <w:spacing w:val="-8"/>
              </w:rPr>
              <w:t>构派驻代</w:t>
            </w:r>
            <w:r>
              <w:rPr/>
              <w:t xml:space="preserve">  </w:t>
            </w:r>
            <w:r>
              <w:rPr>
                <w:spacing w:val="-7"/>
              </w:rPr>
              <w:t>表执业有</w:t>
            </w:r>
            <w:r>
              <w:rPr/>
              <w:t xml:space="preserve">  </w:t>
            </w:r>
            <w:r>
              <w:rPr>
                <w:spacing w:val="-8"/>
              </w:rPr>
              <w:t>关申请材</w:t>
            </w:r>
            <w:r>
              <w:rPr/>
              <w:t xml:space="preserve">  </w:t>
            </w:r>
            <w:r>
              <w:rPr>
                <w:spacing w:val="12"/>
              </w:rPr>
              <w:t>料公证、</w:t>
            </w:r>
            <w:r>
              <w:rPr/>
              <w:t xml:space="preserve"> </w:t>
            </w:r>
            <w:r>
              <w:rPr>
                <w:spacing w:val="-6"/>
              </w:rPr>
              <w:t>认证</w:t>
            </w:r>
          </w:p>
        </w:tc>
        <w:tc>
          <w:tcPr>
            <w:tcW w:w="1109" w:type="dxa"/>
            <w:vAlign w:val="top"/>
          </w:tcPr>
          <w:p>
            <w:pPr>
              <w:pStyle w:val="TableText"/>
              <w:ind w:left="20" w:right="33" w:firstLine="110"/>
              <w:spacing w:before="66" w:line="255" w:lineRule="auto"/>
              <w:rPr/>
            </w:pPr>
            <w:r>
              <w:rPr>
                <w:spacing w:val="1"/>
              </w:rPr>
              <w:t>(09004)外国</w:t>
            </w:r>
            <w:r>
              <w:rPr/>
              <w:t xml:space="preserve">  </w:t>
            </w:r>
            <w:r>
              <w:rPr>
                <w:spacing w:val="-1"/>
              </w:rPr>
              <w:t>律师事务所驻华</w:t>
            </w:r>
            <w:r>
              <w:rPr/>
              <w:t xml:space="preserve"> </w:t>
            </w:r>
            <w:r>
              <w:rPr>
                <w:spacing w:val="-1"/>
              </w:rPr>
              <w:t>代表机构派驻代</w:t>
            </w:r>
            <w:r>
              <w:rPr/>
              <w:t xml:space="preserve"> </w:t>
            </w:r>
            <w:r>
              <w:rPr>
                <w:spacing w:val="-1"/>
              </w:rPr>
              <w:t>表执业许可</w:t>
            </w:r>
          </w:p>
        </w:tc>
        <w:tc>
          <w:tcPr>
            <w:tcW w:w="809" w:type="dxa"/>
            <w:vAlign w:val="top"/>
          </w:tcPr>
          <w:p>
            <w:pPr>
              <w:pStyle w:val="TableText"/>
              <w:ind w:left="172"/>
              <w:spacing w:before="57" w:line="219" w:lineRule="auto"/>
              <w:rPr/>
            </w:pPr>
            <w:r>
              <w:rPr>
                <w:spacing w:val="-3"/>
              </w:rPr>
              <w:t>司法部</w:t>
            </w:r>
          </w:p>
        </w:tc>
        <w:tc>
          <w:tcPr>
            <w:tcW w:w="679" w:type="dxa"/>
            <w:vAlign w:val="top"/>
          </w:tcPr>
          <w:p>
            <w:pPr>
              <w:pStyle w:val="TableText"/>
              <w:ind w:left="32"/>
              <w:spacing w:before="66" w:line="219" w:lineRule="auto"/>
              <w:rPr/>
            </w:pPr>
            <w:r>
              <w:rPr>
                <w:spacing w:val="2"/>
              </w:rPr>
              <w:t>公证机构</w:t>
            </w:r>
          </w:p>
        </w:tc>
        <w:tc>
          <w:tcPr>
            <w:tcW w:w="6088" w:type="dxa"/>
            <w:vAlign w:val="top"/>
          </w:tcPr>
          <w:p>
            <w:pPr>
              <w:pStyle w:val="TableText"/>
              <w:ind w:left="24"/>
              <w:spacing w:before="76" w:line="219" w:lineRule="auto"/>
              <w:rPr/>
            </w:pPr>
            <w:r>
              <w:rPr>
                <w:spacing w:val="-2"/>
              </w:rPr>
              <w:t>1. 《外国律师事务所驻华代表机构管理条例》(国务院令第338</w:t>
            </w:r>
            <w:r>
              <w:rPr>
                <w:spacing w:val="-3"/>
              </w:rPr>
              <w:t>号)第八条：外国律师事务</w:t>
            </w:r>
          </w:p>
          <w:p>
            <w:pPr>
              <w:pStyle w:val="TableText"/>
              <w:ind w:left="24" w:right="49" w:firstLine="10"/>
              <w:spacing w:before="11" w:line="239" w:lineRule="auto"/>
              <w:rPr/>
            </w:pPr>
            <w:r>
              <w:rPr/>
              <w:t>所申请在华设立代表机构，应当向拟设立的代表机构住所地的省、自治区、</w:t>
            </w:r>
            <w:r>
              <w:rPr>
                <w:spacing w:val="-1"/>
              </w:rPr>
              <w:t>直辖市人民政府</w:t>
            </w:r>
            <w:r>
              <w:rPr/>
              <w:t xml:space="preserve"> </w:t>
            </w:r>
            <w:r>
              <w:rPr/>
              <w:t>司法行政部门提交下列文件材料：(一)该外国律师事务所主要负责人签署的设立代表机构</w:t>
            </w:r>
          </w:p>
          <w:p>
            <w:pPr>
              <w:pStyle w:val="TableText"/>
              <w:ind w:left="24" w:right="286"/>
              <w:spacing w:before="22" w:line="226" w:lineRule="auto"/>
              <w:rPr/>
            </w:pPr>
            <w:r>
              <w:rPr/>
              <w:t>派驻代表的申请书。拟设立的代表机构的名称应当为“xx律师事务所</w:t>
            </w:r>
            <w:r>
              <w:rPr>
                <w:spacing w:val="-1"/>
              </w:rPr>
              <w:t>(该律师事务所的中</w:t>
            </w:r>
            <w:r>
              <w:rPr/>
              <w:t xml:space="preserve"> </w:t>
            </w:r>
            <w:r>
              <w:rPr/>
              <w:t>文译名)驻xx(中国城市名)代表处”;(二)该外国律师事务所在其</w:t>
            </w:r>
            <w:r>
              <w:rPr>
                <w:spacing w:val="-1"/>
              </w:rPr>
              <w:t>本国已经合法设立</w:t>
            </w:r>
          </w:p>
          <w:p>
            <w:pPr>
              <w:pStyle w:val="TableText"/>
              <w:ind w:left="24"/>
              <w:spacing w:before="32" w:line="219" w:lineRule="auto"/>
              <w:rPr/>
            </w:pPr>
            <w:r>
              <w:rPr/>
              <w:t>的证明文件；(三)该外国律师事务所的合伙协议或者成立章程以及负责人、合伙人名单</w:t>
            </w:r>
          </w:p>
          <w:p>
            <w:pPr>
              <w:pStyle w:val="TableText"/>
              <w:ind w:left="24" w:right="107" w:firstLine="89"/>
              <w:spacing w:before="13" w:line="232" w:lineRule="auto"/>
              <w:rPr/>
            </w:pPr>
            <w:r>
              <w:rPr/>
              <w:t>(四)该外国律师事务所给代表机构各拟任代表的授权书，以及拟任首席代表系该律师事务</w:t>
            </w:r>
            <w:r>
              <w:rPr>
                <w:spacing w:val="5"/>
              </w:rPr>
              <w:t xml:space="preserve"> </w:t>
            </w:r>
            <w:r>
              <w:rPr/>
              <w:t>所合伙人或者相同职位人员的确认书；(五)代表机构各拟任代表的律师执</w:t>
            </w:r>
            <w:r>
              <w:rPr>
                <w:spacing w:val="-1"/>
              </w:rPr>
              <w:t>业资格以及拟任</w:t>
            </w:r>
          </w:p>
          <w:p>
            <w:pPr>
              <w:pStyle w:val="TableText"/>
              <w:ind w:left="24"/>
              <w:spacing w:before="32" w:line="219" w:lineRule="auto"/>
              <w:rPr/>
            </w:pPr>
            <w:r>
              <w:rPr/>
              <w:t>首席代表已在中国境外执业不少于3年、其他拟任代表已在中国境外执业不少于2年的证明</w:t>
            </w:r>
          </w:p>
          <w:p>
            <w:pPr>
              <w:pStyle w:val="TableText"/>
              <w:ind w:left="24" w:right="35" w:firstLine="10"/>
              <w:spacing w:before="23" w:line="238" w:lineRule="auto"/>
              <w:rPr/>
            </w:pPr>
            <w:r>
              <w:rPr>
                <w:spacing w:val="-2"/>
              </w:rPr>
              <w:t>文件；   (六)该外国律师事务所所在国的律师协会出具的该代表机构各拟任代表为本国律师</w:t>
            </w:r>
            <w:r>
              <w:rPr>
                <w:spacing w:val="2"/>
              </w:rPr>
              <w:t xml:space="preserve"> </w:t>
            </w:r>
            <w:r>
              <w:rPr>
                <w:spacing w:val="-3"/>
              </w:rPr>
              <w:t>协会会员的证明文件；</w:t>
            </w:r>
            <w:r>
              <w:rPr>
                <w:spacing w:val="22"/>
              </w:rPr>
              <w:t xml:space="preserve">   </w:t>
            </w:r>
            <w:r>
              <w:rPr>
                <w:spacing w:val="-3"/>
              </w:rPr>
              <w:t>(七)该外国律师事务</w:t>
            </w:r>
            <w:r>
              <w:rPr>
                <w:spacing w:val="-4"/>
              </w:rPr>
              <w:t>所所在国的律师管理机构出具的该律师事务所</w:t>
            </w:r>
            <w:r>
              <w:rPr>
                <w:spacing w:val="1"/>
              </w:rPr>
              <w:t xml:space="preserve"> </w:t>
            </w:r>
            <w:r>
              <w:rPr/>
              <w:t>以及各拟任代表没有受过刑事处罚和没有因违反律师职业道德、执业纪律受过处罚的证明文</w:t>
            </w:r>
            <w:r>
              <w:rPr>
                <w:spacing w:val="17"/>
              </w:rPr>
              <w:t xml:space="preserve"> </w:t>
            </w:r>
            <w:r>
              <w:rPr/>
              <w:t>件。前款所列文件材料，应当经申请人本国公证机构或者公证人的公证、其本国外交主管机</w:t>
            </w:r>
            <w:r>
              <w:rPr>
                <w:spacing w:val="3"/>
              </w:rPr>
              <w:t xml:space="preserve"> </w:t>
            </w:r>
            <w:r>
              <w:rPr/>
              <w:t>关或者外交主管机关授权的机关认证，并经中国驻该国使(领)馆认</w:t>
            </w:r>
            <w:r>
              <w:rPr>
                <w:spacing w:val="-1"/>
              </w:rPr>
              <w:t>证。外国律师事务所提</w:t>
            </w:r>
          </w:p>
          <w:p>
            <w:pPr>
              <w:pStyle w:val="TableText"/>
              <w:ind w:left="24" w:right="94" w:firstLine="49"/>
              <w:spacing w:before="22" w:line="233" w:lineRule="auto"/>
              <w:rPr/>
            </w:pPr>
            <w:r>
              <w:rPr>
                <w:spacing w:val="-2"/>
              </w:rPr>
              <w:t>交的文件材料应当一式三份，外文材料应当附中文译文。2. 《司法部关于</w:t>
            </w:r>
            <w:r>
              <w:rPr>
                <w:spacing w:val="-3"/>
              </w:rPr>
              <w:t>执行&lt;外国律师事</w:t>
            </w:r>
            <w:r>
              <w:rPr/>
              <w:t xml:space="preserve"> </w:t>
            </w:r>
            <w:r>
              <w:rPr/>
              <w:t>务所驻华代表机构管理条例&gt;的规定》(司法部令第</w:t>
            </w:r>
            <w:r>
              <w:rPr>
                <w:spacing w:val="-1"/>
              </w:rPr>
              <w:t>92号)有关规定</w:t>
            </w:r>
          </w:p>
        </w:tc>
      </w:tr>
      <w:tr>
        <w:trPr>
          <w:trHeight w:val="2660" w:hRule="atLeast"/>
        </w:trPr>
        <w:tc>
          <w:tcPr>
            <w:tcW w:w="295" w:type="dxa"/>
            <w:vAlign w:val="top"/>
          </w:tcPr>
          <w:p>
            <w:pPr>
              <w:pStyle w:val="TableText"/>
              <w:ind w:left="65"/>
              <w:spacing w:before="110" w:line="184" w:lineRule="auto"/>
              <w:rPr/>
            </w:pPr>
            <w:r>
              <w:rPr>
                <w:spacing w:val="-5"/>
              </w:rPr>
              <w:t>11</w:t>
            </w:r>
          </w:p>
        </w:tc>
        <w:tc>
          <w:tcPr>
            <w:tcW w:w="679" w:type="dxa"/>
            <w:vAlign w:val="top"/>
          </w:tcPr>
          <w:p>
            <w:pPr>
              <w:pStyle w:val="TableText"/>
              <w:ind w:left="30" w:right="33"/>
              <w:spacing w:before="62" w:line="262" w:lineRule="auto"/>
              <w:jc w:val="both"/>
              <w:rPr/>
            </w:pPr>
            <w:r>
              <w:rPr>
                <w:spacing w:val="-2"/>
              </w:rPr>
              <w:t>香港、澳</w:t>
            </w:r>
            <w:r>
              <w:rPr/>
              <w:t xml:space="preserve"> </w:t>
            </w:r>
            <w:r>
              <w:rPr>
                <w:spacing w:val="1"/>
              </w:rPr>
              <w:t>门永久性</w:t>
            </w:r>
            <w:r>
              <w:rPr/>
              <w:t xml:space="preserve"> </w:t>
            </w:r>
            <w:r>
              <w:rPr>
                <w:spacing w:val="-2"/>
              </w:rPr>
              <w:t>居民申请</w:t>
            </w:r>
            <w:r>
              <w:rPr/>
              <w:t xml:space="preserve"> </w:t>
            </w:r>
            <w:r>
              <w:rPr>
                <w:spacing w:val="-2"/>
              </w:rPr>
              <w:t>法律职业</w:t>
            </w:r>
            <w:r>
              <w:rPr/>
              <w:t xml:space="preserve"> </w:t>
            </w:r>
            <w:r>
              <w:rPr>
                <w:spacing w:val="-4"/>
              </w:rPr>
              <w:t>资格身份</w:t>
            </w:r>
            <w:r>
              <w:rPr>
                <w:spacing w:val="2"/>
              </w:rPr>
              <w:t xml:space="preserve"> </w:t>
            </w:r>
            <w:r>
              <w:rPr>
                <w:spacing w:val="-2"/>
              </w:rPr>
              <w:t>证明公证</w:t>
            </w:r>
          </w:p>
        </w:tc>
        <w:tc>
          <w:tcPr>
            <w:tcW w:w="1109" w:type="dxa"/>
            <w:vAlign w:val="top"/>
          </w:tcPr>
          <w:p>
            <w:pPr>
              <w:pStyle w:val="TableText"/>
              <w:ind w:left="10" w:right="142" w:firstLine="120"/>
              <w:spacing w:before="62" w:line="251" w:lineRule="auto"/>
              <w:rPr/>
            </w:pPr>
            <w:r>
              <w:rPr/>
              <w:t>(09002)法律 </w:t>
            </w:r>
            <w:r>
              <w:rPr>
                <w:spacing w:val="-1"/>
              </w:rPr>
              <w:t>职业资格认定</w:t>
            </w:r>
          </w:p>
        </w:tc>
        <w:tc>
          <w:tcPr>
            <w:tcW w:w="809" w:type="dxa"/>
            <w:vAlign w:val="top"/>
          </w:tcPr>
          <w:p>
            <w:pPr>
              <w:pStyle w:val="TableText"/>
              <w:ind w:left="172"/>
              <w:spacing w:before="52" w:line="219" w:lineRule="auto"/>
              <w:rPr/>
            </w:pPr>
            <w:r>
              <w:rPr>
                <w:spacing w:val="-3"/>
              </w:rPr>
              <w:t>司法部</w:t>
            </w:r>
          </w:p>
        </w:tc>
        <w:tc>
          <w:tcPr>
            <w:tcW w:w="679" w:type="dxa"/>
            <w:vAlign w:val="top"/>
          </w:tcPr>
          <w:p>
            <w:pPr>
              <w:pStyle w:val="TableText"/>
              <w:ind w:left="22" w:right="15" w:firstLine="10"/>
              <w:spacing w:before="59" w:line="267" w:lineRule="auto"/>
              <w:jc w:val="both"/>
              <w:rPr/>
            </w:pPr>
            <w:r>
              <w:rPr>
                <w:spacing w:val="-2"/>
              </w:rPr>
              <w:t>香港、澳</w:t>
            </w:r>
            <w:r>
              <w:rPr/>
              <w:t xml:space="preserve"> </w:t>
            </w:r>
            <w:r>
              <w:rPr>
                <w:spacing w:val="4"/>
              </w:rPr>
              <w:t>门特别行</w:t>
            </w:r>
            <w:r>
              <w:rPr/>
              <w:t xml:space="preserve"> </w:t>
            </w:r>
            <w:r>
              <w:rPr>
                <w:spacing w:val="7"/>
              </w:rPr>
              <w:t>政区经内</w:t>
            </w:r>
            <w:r>
              <w:rPr>
                <w:spacing w:val="1"/>
              </w:rPr>
              <w:t xml:space="preserve"> </w:t>
            </w:r>
            <w:r>
              <w:rPr>
                <w:spacing w:val="1"/>
              </w:rPr>
              <w:t>地认可的</w:t>
            </w:r>
            <w:r>
              <w:rPr/>
              <w:t xml:space="preserve"> </w:t>
            </w:r>
            <w:r>
              <w:rPr>
                <w:spacing w:val="-5"/>
              </w:rPr>
              <w:t>公</w:t>
            </w:r>
            <w:r>
              <w:rPr>
                <w:spacing w:val="14"/>
              </w:rPr>
              <w:t xml:space="preserve"> </w:t>
            </w:r>
            <w:r>
              <w:rPr>
                <w:spacing w:val="-5"/>
              </w:rPr>
              <w:t>证</w:t>
            </w:r>
            <w:r>
              <w:rPr>
                <w:spacing w:val="16"/>
              </w:rPr>
              <w:t xml:space="preserve"> </w:t>
            </w:r>
            <w:r>
              <w:rPr>
                <w:spacing w:val="-5"/>
              </w:rPr>
              <w:t>人</w:t>
            </w:r>
            <w:r>
              <w:rPr/>
              <w:t xml:space="preserve"> </w:t>
            </w:r>
            <w:r>
              <w:rPr>
                <w:spacing w:val="12"/>
              </w:rPr>
              <w:t>(中国委</w:t>
            </w:r>
            <w:r>
              <w:rPr>
                <w:spacing w:val="2"/>
              </w:rPr>
              <w:t xml:space="preserve"> </w:t>
            </w:r>
            <w:r>
              <w:rPr>
                <w:spacing w:val="-5"/>
              </w:rPr>
              <w:t>托</w:t>
            </w:r>
            <w:r>
              <w:rPr>
                <w:spacing w:val="18"/>
              </w:rPr>
              <w:t xml:space="preserve"> </w:t>
            </w:r>
            <w:r>
              <w:rPr>
                <w:spacing w:val="-5"/>
              </w:rPr>
              <w:t>公</w:t>
            </w:r>
            <w:r>
              <w:rPr>
                <w:spacing w:val="12"/>
              </w:rPr>
              <w:t xml:space="preserve"> </w:t>
            </w:r>
            <w:r>
              <w:rPr>
                <w:spacing w:val="-5"/>
              </w:rPr>
              <w:t>证</w:t>
            </w:r>
            <w:r>
              <w:rPr/>
              <w:t xml:space="preserve"> </w:t>
            </w:r>
            <w:r>
              <w:rPr>
                <w:spacing w:val="-4"/>
              </w:rPr>
              <w:t>人</w:t>
            </w:r>
            <w:r>
              <w:rPr>
                <w:spacing w:val="-34"/>
              </w:rPr>
              <w:t xml:space="preserve"> </w:t>
            </w:r>
            <w:r>
              <w:rPr>
                <w:spacing w:val="-4"/>
              </w:rPr>
              <w:t>)</w:t>
            </w:r>
          </w:p>
        </w:tc>
        <w:tc>
          <w:tcPr>
            <w:tcW w:w="6088" w:type="dxa"/>
            <w:vAlign w:val="top"/>
          </w:tcPr>
          <w:p>
            <w:pPr>
              <w:pStyle w:val="TableText"/>
              <w:ind w:left="14" w:right="44" w:firstLine="20"/>
              <w:spacing w:before="40" w:line="258" w:lineRule="auto"/>
              <w:rPr/>
            </w:pPr>
            <w:r>
              <w:rPr>
                <w:spacing w:val="-2"/>
              </w:rPr>
              <w:t>1. 《内地与香港关于建立更紧密经贸关系的安排》附件五第六条：自然人身份证明的复印件</w:t>
            </w:r>
            <w:r>
              <w:rPr>
                <w:spacing w:val="7"/>
              </w:rPr>
              <w:t xml:space="preserve"> </w:t>
            </w:r>
            <w:r>
              <w:rPr/>
              <w:t>以及工作贸易署认为需要由律师作出核实证明的文件资料，应经内地认可的</w:t>
            </w:r>
            <w:r>
              <w:rPr>
                <w:spacing w:val="-1"/>
              </w:rPr>
              <w:t>公证人核证。</w:t>
            </w:r>
          </w:p>
          <w:p>
            <w:pPr>
              <w:pStyle w:val="TableText"/>
              <w:ind w:left="24" w:right="36" w:firstLine="10"/>
              <w:spacing w:before="9"/>
              <w:rPr/>
            </w:pPr>
            <w:r>
              <w:rPr>
                <w:spacing w:val="-2"/>
              </w:rPr>
              <w:t>2. 《内地与澳门关于建立更紧密经贸关系的安排》附件五第六条：自然人身</w:t>
            </w:r>
            <w:r>
              <w:rPr>
                <w:spacing w:val="-3"/>
              </w:rPr>
              <w:t>份证明的复印件</w:t>
            </w:r>
            <w:r>
              <w:rPr/>
              <w:t xml:space="preserve"> </w:t>
            </w:r>
            <w:r>
              <w:rPr/>
              <w:t>以及经济局认为需要作出核实证明的文件资料，应经澳门特别行政区政府公证部门或内地认</w:t>
            </w:r>
            <w:r>
              <w:rPr>
                <w:spacing w:val="16"/>
              </w:rPr>
              <w:t xml:space="preserve"> </w:t>
            </w:r>
            <w:r>
              <w:rPr>
                <w:spacing w:val="-2"/>
              </w:rPr>
              <w:t>可的公证人核证。3. 《司法部商务部关于认真落实内地与香港关于建立更紧密经贸关系的安</w:t>
            </w:r>
            <w:r>
              <w:rPr>
                <w:spacing w:val="2"/>
              </w:rPr>
              <w:t xml:space="preserve"> </w:t>
            </w:r>
            <w:r>
              <w:rPr/>
              <w:t>排严格执行委托公证人制度的通知》(司发通〔2003〕128号)第一条；</w:t>
            </w:r>
            <w:r>
              <w:rPr>
                <w:spacing w:val="-1"/>
              </w:rPr>
              <w:t>委托公证人制度</w:t>
            </w:r>
          </w:p>
          <w:p>
            <w:pPr>
              <w:pStyle w:val="TableText"/>
              <w:ind w:left="24" w:right="39" w:firstLine="10"/>
              <w:spacing w:before="31" w:line="226" w:lineRule="auto"/>
              <w:rPr/>
            </w:pPr>
            <w:r>
              <w:rPr/>
              <w:t>即香港居民回内地处理法律事务所需公证书须由司法部任命的委托公证人出具，并经中国法</w:t>
            </w:r>
            <w:r>
              <w:rPr>
                <w:spacing w:val="3"/>
              </w:rPr>
              <w:t xml:space="preserve"> </w:t>
            </w:r>
            <w:r>
              <w:rPr>
                <w:spacing w:val="-2"/>
              </w:rPr>
              <w:t>律服务(香港)有限公司加章传递，才能发往内地使用。4. 《香港特别行政区和澳门特别行</w:t>
            </w:r>
          </w:p>
          <w:p>
            <w:pPr>
              <w:pStyle w:val="TableText"/>
              <w:ind w:left="34"/>
              <w:spacing w:before="32" w:line="219" w:lineRule="auto"/>
              <w:rPr/>
            </w:pPr>
            <w:r>
              <w:rPr/>
              <w:t>政区居民参加国家司法考试若干规定》(司法部令第94号)第二条：香港</w:t>
            </w:r>
            <w:r>
              <w:rPr>
                <w:spacing w:val="-1"/>
              </w:rPr>
              <w:t>、澳门永久性居</w:t>
            </w:r>
          </w:p>
          <w:p>
            <w:pPr>
              <w:pStyle w:val="TableText"/>
              <w:ind w:left="24" w:right="34" w:firstLine="10"/>
              <w:spacing w:before="24" w:line="237" w:lineRule="auto"/>
              <w:rPr/>
            </w:pPr>
            <w:r>
              <w:rPr/>
              <w:t>民中的中国公民，可以报名参加国家司法考试。第四条：香港、澳门永久性居民中的中国公</w:t>
            </w:r>
            <w:r>
              <w:rPr>
                <w:spacing w:val="8"/>
              </w:rPr>
              <w:t xml:space="preserve"> </w:t>
            </w:r>
            <w:r>
              <w:rPr/>
              <w:t>民在考试报名时，应当向受理报名的机构提交下列证明其符合本规定第二条规定条件的有效</w:t>
            </w:r>
            <w:r>
              <w:rPr>
                <w:spacing w:val="14"/>
              </w:rPr>
              <w:t xml:space="preserve"> </w:t>
            </w:r>
            <w:r>
              <w:rPr>
                <w:spacing w:val="-3"/>
              </w:rPr>
              <w:t>身份证件：(一)香港、澳门永久性居民的身份证明；    (二)港澳居民来往内</w:t>
            </w:r>
            <w:r>
              <w:rPr>
                <w:spacing w:val="-4"/>
              </w:rPr>
              <w:t>地通行证(回</w:t>
            </w:r>
          </w:p>
          <w:p>
            <w:pPr>
              <w:pStyle w:val="TableText"/>
              <w:ind w:left="34"/>
              <w:spacing w:before="21" w:line="207" w:lineRule="auto"/>
              <w:rPr/>
            </w:pPr>
            <w:r>
              <w:rPr/>
              <w:t>乡证)或者香港、澳门特别行政区护照。提交复印件的</w:t>
            </w:r>
            <w:r>
              <w:rPr>
                <w:spacing w:val="-1"/>
              </w:rPr>
              <w:t>，须经内地认可的公证人公证</w:t>
            </w:r>
          </w:p>
        </w:tc>
      </w:tr>
    </w:tbl>
    <w:p>
      <w:pPr>
        <w:pStyle w:val="BodyText"/>
        <w:rPr/>
      </w:pPr>
      <w:r/>
    </w:p>
    <w:p>
      <w:pPr>
        <w:sectPr>
          <w:pgSz w:w="11910" w:h="8220"/>
          <w:pgMar w:top="400" w:right="1135" w:bottom="400" w:left="820" w:header="0" w:footer="0" w:gutter="0"/>
        </w:sectPr>
        <w:rPr/>
      </w:pPr>
    </w:p>
    <w:p>
      <w:pPr>
        <w:spacing w:before="61"/>
        <w:rPr/>
      </w:pPr>
      <w:r>
        <mc:AlternateContent xmlns:mc="http://schemas.openxmlformats.org/markup-compatibility/2006">
          <mc:Choice Requires="wps">
            <w:drawing>
              <wp:anchor distT="0" distB="0" distL="0" distR="0" simplePos="0" relativeHeight="251941888"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84" name="TextBox 384"/>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6" style="position:absolute;margin-left:37.0402pt;margin-top:48.636pt;mso-position-vertical-relative:page;mso-position-horizontal-relative:page;width:13.6pt;height:12.35pt;z-index:2519418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280</w:t>
                      </w:r>
                    </w:p>
                  </w:txbxContent>
                </v:textbox>
              </v:shape>
            </w:pict>
          </mc:Fallback>
        </mc:AlternateContent>
      </w:r>
      <w:r/>
    </w:p>
    <w:p>
      <w:pPr>
        <w:spacing w:before="6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47"/>
              <w:spacing w:before="70" w:line="217" w:lineRule="auto"/>
              <w:rPr/>
            </w:pPr>
            <w:r>
              <w:rPr>
                <w:spacing w:val="-2"/>
              </w:rPr>
              <w:t>序 号</w:t>
            </w:r>
          </w:p>
        </w:tc>
        <w:tc>
          <w:tcPr>
            <w:tcW w:w="679" w:type="dxa"/>
            <w:vAlign w:val="top"/>
          </w:tcPr>
          <w:p>
            <w:pPr>
              <w:pStyle w:val="TableText"/>
              <w:ind w:left="30" w:right="32"/>
              <w:spacing w:before="60"/>
              <w:rPr/>
            </w:pPr>
            <w:r>
              <w:rPr>
                <w:spacing w:val="1"/>
              </w:rPr>
              <w:t>中介服务 </w:t>
            </w:r>
            <w:r>
              <w:rPr>
                <w:spacing w:val="-2"/>
              </w:rPr>
              <w:t>事项名称</w:t>
            </w:r>
          </w:p>
        </w:tc>
        <w:tc>
          <w:tcPr>
            <w:tcW w:w="1099" w:type="dxa"/>
            <w:vAlign w:val="top"/>
          </w:tcPr>
          <w:p>
            <w:pPr>
              <w:pStyle w:val="TableText"/>
              <w:ind w:left="239" w:right="35" w:hanging="229"/>
              <w:spacing w:before="71" w:line="233"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51"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616" w:hRule="atLeast"/>
        </w:trPr>
        <w:tc>
          <w:tcPr>
            <w:tcW w:w="295" w:type="dxa"/>
            <w:vAlign w:val="top"/>
          </w:tcPr>
          <w:p>
            <w:pPr>
              <w:pStyle w:val="TableText"/>
              <w:ind w:left="65"/>
              <w:spacing w:before="215" w:line="184" w:lineRule="auto"/>
              <w:rPr/>
            </w:pPr>
            <w:r>
              <w:rPr>
                <w:spacing w:val="-5"/>
              </w:rPr>
              <w:t>12</w:t>
            </w:r>
          </w:p>
        </w:tc>
        <w:tc>
          <w:tcPr>
            <w:tcW w:w="679" w:type="dxa"/>
            <w:vAlign w:val="top"/>
          </w:tcPr>
          <w:p>
            <w:pPr>
              <w:pStyle w:val="TableText"/>
              <w:ind w:left="10" w:right="10" w:firstLine="20"/>
              <w:spacing w:before="157" w:line="251" w:lineRule="auto"/>
              <w:jc w:val="both"/>
              <w:rPr/>
            </w:pPr>
            <w:r>
              <w:rPr>
                <w:spacing w:val="7"/>
              </w:rPr>
              <w:t>建设项目</w:t>
            </w:r>
            <w:r>
              <w:rPr/>
              <w:t xml:space="preserve"> </w:t>
            </w:r>
            <w:r>
              <w:rPr>
                <w:spacing w:val="3"/>
              </w:rPr>
              <w:t>地质灾害</w:t>
            </w:r>
            <w:r>
              <w:rPr>
                <w:spacing w:val="1"/>
              </w:rPr>
              <w:t xml:space="preserve"> </w:t>
            </w:r>
            <w:r>
              <w:rPr>
                <w:spacing w:val="3"/>
              </w:rPr>
              <w:t>危险性评</w:t>
            </w:r>
            <w:r>
              <w:rPr/>
              <w:t xml:space="preserve"> </w:t>
            </w:r>
            <w:r>
              <w:rPr/>
              <w:t>估</w:t>
            </w:r>
          </w:p>
        </w:tc>
        <w:tc>
          <w:tcPr>
            <w:tcW w:w="1099" w:type="dxa"/>
            <w:vAlign w:val="top"/>
          </w:tcPr>
          <w:p>
            <w:pPr>
              <w:pStyle w:val="TableText"/>
              <w:ind w:left="10" w:right="35" w:firstLine="30"/>
              <w:spacing w:before="156" w:line="258" w:lineRule="auto"/>
              <w:jc w:val="both"/>
              <w:rPr/>
            </w:pPr>
            <w:r>
              <w:rPr>
                <w:spacing w:val="20"/>
              </w:rPr>
              <w:t>(12001)建设</w:t>
            </w:r>
            <w:r>
              <w:rPr/>
              <w:t xml:space="preserve"> </w:t>
            </w:r>
            <w:r>
              <w:rPr>
                <w:spacing w:val="-2"/>
              </w:rPr>
              <w:t>项目用地预审及</w:t>
            </w:r>
            <w:r>
              <w:rPr>
                <w:spacing w:val="4"/>
              </w:rPr>
              <w:t xml:space="preserve"> </w:t>
            </w:r>
            <w:r>
              <w:rPr>
                <w:spacing w:val="-2"/>
              </w:rPr>
              <w:t>建设项目压覆重</w:t>
            </w:r>
            <w:r>
              <w:rPr>
                <w:spacing w:val="5"/>
              </w:rPr>
              <w:t xml:space="preserve"> </w:t>
            </w:r>
            <w:r>
              <w:rPr/>
              <w:t>要矿床审批</w:t>
            </w:r>
          </w:p>
        </w:tc>
        <w:tc>
          <w:tcPr>
            <w:tcW w:w="839" w:type="dxa"/>
            <w:vAlign w:val="top"/>
          </w:tcPr>
          <w:p>
            <w:pPr>
              <w:pStyle w:val="TableText"/>
              <w:ind w:left="31"/>
              <w:spacing w:before="157" w:line="219" w:lineRule="auto"/>
              <w:rPr/>
            </w:pPr>
            <w:r>
              <w:rPr>
                <w:spacing w:val="1"/>
              </w:rPr>
              <w:t>国土资源部</w:t>
            </w:r>
          </w:p>
        </w:tc>
        <w:tc>
          <w:tcPr>
            <w:tcW w:w="659" w:type="dxa"/>
            <w:vAlign w:val="top"/>
          </w:tcPr>
          <w:p>
            <w:pPr>
              <w:pStyle w:val="TableText"/>
              <w:ind w:left="22" w:right="9"/>
              <w:spacing w:before="157" w:line="258" w:lineRule="auto"/>
              <w:jc w:val="both"/>
              <w:rPr/>
            </w:pPr>
            <w:r>
              <w:rPr>
                <w:spacing w:val="4"/>
              </w:rPr>
              <w:t>具有地质</w:t>
            </w:r>
            <w:r>
              <w:rPr/>
              <w:t xml:space="preserve"> </w:t>
            </w:r>
            <w:r>
              <w:rPr>
                <w:spacing w:val="-3"/>
              </w:rPr>
              <w:t>灾害危险</w:t>
            </w:r>
            <w:r>
              <w:rPr>
                <w:spacing w:val="1"/>
              </w:rPr>
              <w:t xml:space="preserve"> </w:t>
            </w:r>
            <w:r>
              <w:rPr>
                <w:spacing w:val="-2"/>
              </w:rPr>
              <w:t>性评估资</w:t>
            </w:r>
            <w:r>
              <w:rPr/>
              <w:t xml:space="preserve"> </w:t>
            </w:r>
            <w:r>
              <w:rPr>
                <w:spacing w:val="-2"/>
              </w:rPr>
              <w:t>质的单位</w:t>
            </w:r>
          </w:p>
        </w:tc>
        <w:tc>
          <w:tcPr>
            <w:tcW w:w="6098" w:type="dxa"/>
            <w:vAlign w:val="top"/>
          </w:tcPr>
          <w:p>
            <w:pPr>
              <w:pStyle w:val="TableText"/>
              <w:spacing w:before="156" w:line="219" w:lineRule="auto"/>
              <w:rPr/>
            </w:pPr>
            <w:r>
              <w:rPr/>
              <w:t>《地质灾害防治条例》(国务院令第394号)第二十一条：在地质灾害</w:t>
            </w:r>
            <w:r>
              <w:rPr>
                <w:spacing w:val="-1"/>
              </w:rPr>
              <w:t>易发区内进行工程建</w:t>
            </w:r>
          </w:p>
          <w:p>
            <w:pPr>
              <w:pStyle w:val="TableText"/>
              <w:ind w:left="34" w:right="9" w:firstLine="9"/>
              <w:spacing w:before="42" w:line="260" w:lineRule="auto"/>
              <w:rPr/>
            </w:pPr>
            <w:r>
              <w:rPr/>
              <w:t>设应当在可行性研究阶段进行地质灾害危险</w:t>
            </w:r>
            <w:r>
              <w:rPr>
                <w:spacing w:val="-1"/>
              </w:rPr>
              <w:t>性评估，并将评估结果作为可行性研究报告的组 </w:t>
            </w:r>
            <w:r>
              <w:rPr>
                <w:spacing w:val="1"/>
              </w:rPr>
              <w:t>成部分；可行性研究报告未包含地质灾害危险性评估结果的，不得批准其可行性研究报告。</w:t>
            </w:r>
            <w:r>
              <w:rPr>
                <w:spacing w:val="3"/>
              </w:rPr>
              <w:t xml:space="preserve"> </w:t>
            </w:r>
            <w:r>
              <w:rPr/>
              <w:t>编制地质灾害易发区内的城市总体规划、村庄和集镇规划时，应当对规划区进行地质灾害危</w:t>
            </w:r>
            <w:r>
              <w:rPr>
                <w:spacing w:val="1"/>
              </w:rPr>
              <w:t xml:space="preserve"> </w:t>
            </w:r>
            <w:r>
              <w:rPr/>
              <w:t>险性评估。第二十二条：国家对从事地质灾害危险性评估的单位实行资质管理制度。地质灾</w:t>
            </w:r>
            <w:r>
              <w:rPr>
                <w:spacing w:val="18"/>
              </w:rPr>
              <w:t xml:space="preserve"> </w:t>
            </w:r>
            <w:r>
              <w:rPr/>
              <w:t>害危险评估单位应当具备下列条件，经省级以上人民政府国土资源</w:t>
            </w:r>
            <w:r>
              <w:rPr>
                <w:spacing w:val="-1"/>
              </w:rPr>
              <w:t>主管部门资质审查合格</w:t>
            </w:r>
          </w:p>
          <w:p>
            <w:pPr>
              <w:pStyle w:val="TableText"/>
              <w:ind w:left="43" w:right="26"/>
              <w:spacing w:before="43" w:line="244" w:lineRule="auto"/>
              <w:rPr/>
            </w:pPr>
            <w:r>
              <w:rPr/>
              <w:t>取得国土资源主管部门颁发的相应等级的资格证书后，方可在资质等级许可范围内从事地质</w:t>
            </w:r>
            <w:r>
              <w:rPr>
                <w:spacing w:val="16"/>
              </w:rPr>
              <w:t xml:space="preserve"> </w:t>
            </w:r>
            <w:r>
              <w:rPr>
                <w:spacing w:val="-6"/>
              </w:rPr>
              <w:t>灾害危险性评估业务：    (一)独立的法人资格；    (二)有一定数量的工程地质、环境地质和</w:t>
            </w:r>
          </w:p>
          <w:p>
            <w:pPr>
              <w:pStyle w:val="TableText"/>
              <w:ind w:left="43" w:right="49" w:firstLine="70"/>
              <w:spacing w:before="23" w:line="257" w:lineRule="auto"/>
              <w:rPr/>
            </w:pPr>
            <w:r>
              <w:rPr/>
              <w:t>岩土工程等相应专业的技术人员；(三)有相应的技术装备。地质灾害危险</w:t>
            </w:r>
            <w:r>
              <w:rPr>
                <w:spacing w:val="-1"/>
              </w:rPr>
              <w:t>性评估单位进行</w:t>
            </w:r>
            <w:r>
              <w:rPr/>
              <w:t xml:space="preserve">  </w:t>
            </w:r>
            <w:r>
              <w:rPr/>
              <w:t>评估时，应当对建设工程遭受地质灾害的可能性和该工程建设中、建成后引</w:t>
            </w:r>
            <w:r>
              <w:rPr>
                <w:spacing w:val="-1"/>
              </w:rPr>
              <w:t>发地质灾害的可</w:t>
            </w:r>
            <w:r>
              <w:rPr/>
              <w:t xml:space="preserve"> </w:t>
            </w:r>
            <w:r>
              <w:rPr/>
              <w:t>能性作出评价，提出具体的预防治理措施，并对评</w:t>
            </w:r>
            <w:r>
              <w:rPr>
                <w:spacing w:val="-1"/>
              </w:rPr>
              <w:t>估结果负责。</w:t>
            </w:r>
          </w:p>
        </w:tc>
      </w:tr>
      <w:tr>
        <w:trPr>
          <w:trHeight w:val="3060" w:hRule="atLeast"/>
        </w:trPr>
        <w:tc>
          <w:tcPr>
            <w:tcW w:w="295" w:type="dxa"/>
            <w:vAlign w:val="top"/>
          </w:tcPr>
          <w:p>
            <w:pPr>
              <w:pStyle w:val="TableText"/>
              <w:ind w:left="65"/>
              <w:spacing w:before="209" w:line="184" w:lineRule="auto"/>
              <w:rPr/>
            </w:pPr>
            <w:r>
              <w:rPr>
                <w:spacing w:val="-5"/>
              </w:rPr>
              <w:t>13</w:t>
            </w:r>
          </w:p>
        </w:tc>
        <w:tc>
          <w:tcPr>
            <w:tcW w:w="679" w:type="dxa"/>
            <w:vAlign w:val="top"/>
          </w:tcPr>
          <w:p>
            <w:pPr>
              <w:pStyle w:val="TableText"/>
              <w:ind w:left="10" w:right="10" w:firstLine="20"/>
              <w:spacing w:before="160" w:line="256" w:lineRule="auto"/>
              <w:jc w:val="both"/>
              <w:rPr/>
            </w:pPr>
            <w:r>
              <w:rPr>
                <w:spacing w:val="7"/>
              </w:rPr>
              <w:t>建设项目</w:t>
            </w:r>
            <w:r>
              <w:rPr/>
              <w:t xml:space="preserve"> </w:t>
            </w:r>
            <w:r>
              <w:rPr>
                <w:spacing w:val="3"/>
              </w:rPr>
              <w:t>环境影响</w:t>
            </w:r>
            <w:r>
              <w:rPr>
                <w:spacing w:val="1"/>
              </w:rPr>
              <w:t xml:space="preserve"> </w:t>
            </w:r>
            <w:r>
              <w:rPr>
                <w:spacing w:val="-1"/>
              </w:rPr>
              <w:t>报</w:t>
            </w:r>
            <w:r>
              <w:rPr>
                <w:spacing w:val="16"/>
              </w:rPr>
              <w:t xml:space="preserve"> </w:t>
            </w:r>
            <w:r>
              <w:rPr>
                <w:spacing w:val="-1"/>
              </w:rPr>
              <w:t>告</w:t>
            </w:r>
            <w:r>
              <w:rPr>
                <w:spacing w:val="16"/>
              </w:rPr>
              <w:t xml:space="preserve"> </w:t>
            </w:r>
            <w:r>
              <w:rPr>
                <w:spacing w:val="-1"/>
              </w:rPr>
              <w:t>书</w:t>
            </w:r>
            <w:r>
              <w:rPr/>
              <w:t xml:space="preserve"> </w:t>
            </w:r>
            <w:r>
              <w:rPr>
                <w:spacing w:val="-3"/>
              </w:rPr>
              <w:t>(</w:t>
            </w:r>
            <w:r>
              <w:rPr>
                <w:spacing w:val="-19"/>
              </w:rPr>
              <w:t xml:space="preserve"> </w:t>
            </w:r>
            <w:r>
              <w:rPr>
                <w:spacing w:val="-3"/>
              </w:rPr>
              <w:t>表</w:t>
            </w:r>
            <w:r>
              <w:rPr>
                <w:spacing w:val="-18"/>
              </w:rPr>
              <w:t xml:space="preserve"> </w:t>
            </w:r>
            <w:r>
              <w:rPr>
                <w:spacing w:val="-3"/>
              </w:rPr>
              <w:t>)</w:t>
            </w:r>
            <w:r>
              <w:rPr>
                <w:spacing w:val="-16"/>
              </w:rPr>
              <w:t xml:space="preserve"> </w:t>
            </w:r>
            <w:r>
              <w:rPr>
                <w:spacing w:val="-3"/>
              </w:rPr>
              <w:t>编</w:t>
            </w:r>
            <w:r>
              <w:rPr/>
              <w:t xml:space="preserve"> </w:t>
            </w:r>
            <w:r>
              <w:rPr/>
              <w:t>制</w:t>
            </w:r>
          </w:p>
        </w:tc>
        <w:tc>
          <w:tcPr>
            <w:tcW w:w="1099" w:type="dxa"/>
            <w:vAlign w:val="top"/>
          </w:tcPr>
          <w:p>
            <w:pPr>
              <w:pStyle w:val="TableText"/>
              <w:ind w:left="10" w:right="34" w:firstLine="30"/>
              <w:spacing w:before="171" w:line="257" w:lineRule="auto"/>
              <w:jc w:val="both"/>
              <w:rPr/>
            </w:pPr>
            <w:r>
              <w:rPr>
                <w:spacing w:val="20"/>
              </w:rPr>
              <w:t>(13016)由环</w:t>
            </w:r>
            <w:r>
              <w:rPr>
                <w:spacing w:val="1"/>
              </w:rPr>
              <w:t xml:space="preserve"> </w:t>
            </w:r>
            <w:r>
              <w:rPr>
                <w:spacing w:val="-1"/>
              </w:rPr>
              <w:t>境保护部负责的</w:t>
            </w:r>
            <w:r>
              <w:rPr/>
              <w:t xml:space="preserve"> </w:t>
            </w:r>
            <w:r>
              <w:rPr>
                <w:spacing w:val="-2"/>
              </w:rPr>
              <w:t>建设项目环境影</w:t>
            </w:r>
            <w:r>
              <w:rPr>
                <w:spacing w:val="5"/>
              </w:rPr>
              <w:t xml:space="preserve"> </w:t>
            </w:r>
            <w:r>
              <w:rPr>
                <w:spacing w:val="-3"/>
              </w:rPr>
              <w:t>响评价审批</w:t>
            </w:r>
          </w:p>
        </w:tc>
        <w:tc>
          <w:tcPr>
            <w:tcW w:w="839" w:type="dxa"/>
            <w:vAlign w:val="top"/>
          </w:tcPr>
          <w:p>
            <w:pPr>
              <w:pStyle w:val="TableText"/>
              <w:ind w:left="31"/>
              <w:spacing w:before="161" w:line="219" w:lineRule="auto"/>
              <w:rPr/>
            </w:pPr>
            <w:r>
              <w:rPr>
                <w:spacing w:val="-1"/>
              </w:rPr>
              <w:t>环境保护部</w:t>
            </w:r>
          </w:p>
        </w:tc>
        <w:tc>
          <w:tcPr>
            <w:tcW w:w="659" w:type="dxa"/>
            <w:vAlign w:val="top"/>
          </w:tcPr>
          <w:p>
            <w:pPr>
              <w:pStyle w:val="TableText"/>
              <w:ind w:left="12" w:right="31" w:firstLine="10"/>
              <w:spacing w:before="160" w:line="256" w:lineRule="auto"/>
              <w:jc w:val="both"/>
              <w:rPr/>
            </w:pPr>
            <w:r>
              <w:rPr>
                <w:spacing w:val="-3"/>
              </w:rPr>
              <w:t>具有建设</w:t>
            </w:r>
            <w:r>
              <w:rPr>
                <w:spacing w:val="2"/>
              </w:rPr>
              <w:t xml:space="preserve"> </w:t>
            </w:r>
            <w:r>
              <w:rPr/>
              <w:t>项目环境 </w:t>
            </w:r>
            <w:r>
              <w:rPr>
                <w:spacing w:val="1"/>
              </w:rPr>
              <w:t>影响评价</w:t>
            </w:r>
            <w:r>
              <w:rPr/>
              <w:t xml:space="preserve"> </w:t>
            </w:r>
            <w:r>
              <w:rPr>
                <w:spacing w:val="-1"/>
              </w:rPr>
              <w:t>资质的机</w:t>
            </w:r>
            <w:r>
              <w:rPr/>
              <w:t xml:space="preserve"> </w:t>
            </w:r>
            <w:r>
              <w:rPr/>
              <w:t>构</w:t>
            </w:r>
          </w:p>
        </w:tc>
        <w:tc>
          <w:tcPr>
            <w:tcW w:w="6098" w:type="dxa"/>
            <w:vAlign w:val="top"/>
          </w:tcPr>
          <w:p>
            <w:pPr>
              <w:pStyle w:val="TableText"/>
              <w:ind w:left="4" w:firstLine="39"/>
              <w:spacing w:before="148" w:line="268" w:lineRule="auto"/>
              <w:jc w:val="both"/>
              <w:rPr/>
            </w:pPr>
            <w:r>
              <w:rPr>
                <w:spacing w:val="-4"/>
              </w:rPr>
              <w:t>1. 《中华人民共和国环境影响评价法》第十九条：接受委托为建设项目环境影响评价提供技  </w:t>
            </w:r>
            <w:r>
              <w:rPr>
                <w:spacing w:val="-1"/>
              </w:rPr>
              <w:t>术服务的机构，应当经过国务院环境保护行政主管考核审查合格后，颁发资质证书</w:t>
            </w:r>
            <w:r>
              <w:rPr>
                <w:spacing w:val="-2"/>
              </w:rPr>
              <w:t>，按照资  </w:t>
            </w:r>
            <w:r>
              <w:rPr>
                <w:spacing w:val="-1"/>
              </w:rPr>
              <w:t>质证书规定的等级和评价范围，从事环境影响评价服务，并对评价结论负责。为建</w:t>
            </w:r>
            <w:r>
              <w:rPr>
                <w:spacing w:val="-2"/>
              </w:rPr>
              <w:t>设项目环  </w:t>
            </w:r>
            <w:r>
              <w:rPr>
                <w:spacing w:val="-1"/>
              </w:rPr>
              <w:t>境影响评价提供技术服务的机构的资质条件和管理办法，由国务院环境保护行政主</w:t>
            </w:r>
            <w:r>
              <w:rPr>
                <w:spacing w:val="-2"/>
              </w:rPr>
              <w:t>管部门制  </w:t>
            </w:r>
            <w:r>
              <w:rPr>
                <w:spacing w:val="-1"/>
              </w:rPr>
              <w:t>定。第二十条：环境影响评价文件中的环境影响报告书或者环境影响报告表，应当</w:t>
            </w:r>
            <w:r>
              <w:rPr>
                <w:spacing w:val="-2"/>
              </w:rPr>
              <w:t>由具有柞  </w:t>
            </w:r>
            <w:r>
              <w:rPr>
                <w:spacing w:val="-3"/>
              </w:rPr>
              <w:t>应环境影响评价资质的机构编制。2. 《建设项目环境环境保护管理条例》(国务院令第253号  </w:t>
            </w:r>
            <w:r>
              <w:rPr>
                <w:spacing w:val="-1"/>
              </w:rPr>
              <w:t>第六条：建设项目的环境影响评价工作，由取得相应资格证书的单位承担。第十三</w:t>
            </w:r>
            <w:r>
              <w:rPr>
                <w:spacing w:val="-2"/>
              </w:rPr>
              <w:t>条：国家  </w:t>
            </w:r>
            <w:r>
              <w:rPr>
                <w:spacing w:val="-1"/>
              </w:rPr>
              <w:t>对从事建设项目环境影响评价工作的单位实行资格审查制度。从事建设项目环境影</w:t>
            </w:r>
            <w:r>
              <w:rPr>
                <w:spacing w:val="-2"/>
              </w:rPr>
              <w:t>响评价工  </w:t>
            </w:r>
            <w:r>
              <w:rPr>
                <w:spacing w:val="-1"/>
              </w:rPr>
              <w:t>作的单位，必须取得国务院环境保护行政主管部门颁发的资格证书，按照资格证书</w:t>
            </w:r>
            <w:r>
              <w:rPr>
                <w:spacing w:val="-2"/>
              </w:rPr>
              <w:t>规定的等  </w:t>
            </w:r>
            <w:r>
              <w:rPr>
                <w:spacing w:val="-1"/>
              </w:rPr>
              <w:t>级和范围，从事建设项目环境影响评价工作，并对评价结论负责。国务院环境保护</w:t>
            </w:r>
            <w:r>
              <w:rPr>
                <w:spacing w:val="-2"/>
              </w:rPr>
              <w:t>行政主管  </w:t>
            </w:r>
            <w:r>
              <w:rPr>
                <w:spacing w:val="-2"/>
              </w:rPr>
              <w:t>部门对已经颁发资格证书的从事建设项目环境影响评价工作的单位名单，应当定期予以公布。</w:t>
            </w:r>
            <w:r>
              <w:rPr>
                <w:spacing w:val="14"/>
              </w:rPr>
              <w:t xml:space="preserve"> </w:t>
            </w:r>
            <w:r>
              <w:rPr/>
              <w:t>具体办法由国务院环境保护行政主管部门制定。从事建设项目环境影响</w:t>
            </w:r>
            <w:r>
              <w:rPr>
                <w:spacing w:val="-1"/>
              </w:rPr>
              <w:t>评价工作的单位，必</w:t>
            </w:r>
            <w:r>
              <w:rPr/>
              <w:t xml:space="preserve">  </w:t>
            </w:r>
            <w:r>
              <w:rPr/>
              <w:t>须严格执行国家规定的收费标准。</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42912" behindDoc="0" locked="0" layoutInCell="0" allowOverlap="1">
                <wp:simplePos x="0" y="0"/>
                <wp:positionH relativeFrom="page">
                  <wp:posOffset>470613</wp:posOffset>
                </wp:positionH>
                <wp:positionV relativeFrom="page">
                  <wp:posOffset>4383016</wp:posOffset>
                </wp:positionV>
                <wp:extent cx="172720" cy="157479"/>
                <wp:effectExtent l="0" t="0" r="0" b="0"/>
                <wp:wrapNone/>
                <wp:docPr id="386" name="TextBox 386"/>
                <wp:cNvGraphicFramePr/>
                <a:graphic>
                  <a:graphicData uri="http://schemas.microsoft.com/office/word/2010/wordprocessingShape">
                    <wps:wsp>
                      <wps:cNvSpPr txBox="1"/>
                      <wps:spPr>
                        <a:xfrm rot="5400000">
                          <a:off x="470613" y="4383016"/>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281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8" style="position:absolute;margin-left:37.0562pt;margin-top:345.119pt;mso-position-vertical-relative:page;mso-position-horizontal-relative:page;width:13.6pt;height:12.4pt;z-index:25194291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281</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cPr>
          <w:p>
            <w:pPr>
              <w:pStyle w:val="TableText"/>
              <w:ind w:left="65"/>
              <w:spacing w:before="52" w:line="197" w:lineRule="auto"/>
              <w:rPr/>
            </w:pPr>
            <w:r>
              <w:rPr/>
              <w:t>序</w:t>
            </w:r>
          </w:p>
          <w:p>
            <w:pPr>
              <w:pStyle w:val="TableText"/>
              <w:ind w:left="65"/>
              <w:spacing w:line="220" w:lineRule="auto"/>
              <w:rPr/>
            </w:pP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304" w:lineRule="auto"/>
              <w:rPr>
                <w:rFonts w:ascii="Arial"/>
                <w:sz w:val="21"/>
              </w:rPr>
            </w:pPr>
            <w:r/>
          </w:p>
          <w:p>
            <w:pPr>
              <w:pStyle w:val="TableText"/>
              <w:ind w:left="65"/>
              <w:spacing w:before="49" w:line="184" w:lineRule="auto"/>
              <w:rPr/>
            </w:pPr>
            <w:r>
              <w:rPr>
                <w:spacing w:val="-5"/>
              </w:rPr>
              <w:t>14</w:t>
            </w:r>
          </w:p>
        </w:tc>
        <w:tc>
          <w:tcPr>
            <w:tcW w:w="679" w:type="dxa"/>
            <w:vAlign w:val="top"/>
          </w:tcPr>
          <w:p>
            <w:pPr>
              <w:spacing w:line="246" w:lineRule="auto"/>
              <w:rPr>
                <w:rFonts w:ascii="Arial"/>
                <w:sz w:val="21"/>
              </w:rPr>
            </w:pPr>
            <w:r/>
          </w:p>
          <w:p>
            <w:pPr>
              <w:pStyle w:val="TableText"/>
              <w:ind w:left="20" w:firstLine="9"/>
              <w:spacing w:before="49" w:line="258" w:lineRule="auto"/>
              <w:jc w:val="both"/>
              <w:rPr/>
            </w:pPr>
            <w:r>
              <w:rPr>
                <w:spacing w:val="-10"/>
              </w:rPr>
              <w:t>新化学物</w:t>
            </w:r>
            <w:r>
              <w:rPr/>
              <w:t xml:space="preserve">  </w:t>
            </w:r>
            <w:r>
              <w:rPr>
                <w:spacing w:val="12"/>
              </w:rPr>
              <w:t>质理化、</w:t>
            </w:r>
            <w:r>
              <w:rPr/>
              <w:t xml:space="preserve"> </w:t>
            </w:r>
            <w:r>
              <w:rPr>
                <w:spacing w:val="-11"/>
                <w:w w:val="98"/>
              </w:rPr>
              <w:t>健</w:t>
            </w:r>
            <w:r>
              <w:rPr>
                <w:spacing w:val="17"/>
              </w:rPr>
              <w:t xml:space="preserve"> </w:t>
            </w:r>
            <w:r>
              <w:rPr>
                <w:spacing w:val="-11"/>
                <w:w w:val="98"/>
              </w:rPr>
              <w:t>康</w:t>
            </w:r>
            <w:r>
              <w:rPr>
                <w:spacing w:val="19"/>
              </w:rPr>
              <w:t xml:space="preserve"> </w:t>
            </w:r>
            <w:r>
              <w:rPr>
                <w:spacing w:val="-11"/>
                <w:w w:val="98"/>
              </w:rPr>
              <w:t>毒</w:t>
            </w:r>
            <w:r>
              <w:rPr/>
              <w:t xml:space="preserve"> </w:t>
            </w:r>
            <w:r>
              <w:rPr>
                <w:spacing w:val="-8"/>
              </w:rPr>
              <w:t>理、生态</w:t>
            </w:r>
            <w:r>
              <w:rPr/>
              <w:t xml:space="preserve">  </w:t>
            </w:r>
            <w:r>
              <w:rPr>
                <w:spacing w:val="-6"/>
              </w:rPr>
              <w:t>毒理测试</w:t>
            </w:r>
          </w:p>
        </w:tc>
        <w:tc>
          <w:tcPr>
            <w:tcW w:w="1099" w:type="dxa"/>
            <w:vAlign w:val="top"/>
          </w:tcPr>
          <w:p>
            <w:pPr>
              <w:spacing w:line="246" w:lineRule="auto"/>
              <w:rPr>
                <w:rFonts w:ascii="Arial"/>
                <w:sz w:val="21"/>
              </w:rPr>
            </w:pPr>
            <w:r/>
          </w:p>
          <w:p>
            <w:pPr>
              <w:pStyle w:val="TableText"/>
              <w:ind w:left="10" w:right="36" w:firstLine="30"/>
              <w:spacing w:before="49" w:line="254" w:lineRule="auto"/>
              <w:jc w:val="both"/>
              <w:rPr/>
            </w:pPr>
            <w:r>
              <w:rPr>
                <w:spacing w:val="20"/>
              </w:rPr>
              <w:t>(13002)新化</w:t>
            </w:r>
            <w:r>
              <w:rPr/>
              <w:t xml:space="preserve"> </w:t>
            </w:r>
            <w:r>
              <w:rPr>
                <w:spacing w:val="-2"/>
              </w:rPr>
              <w:t>学物质环境管理</w:t>
            </w:r>
            <w:r>
              <w:rPr>
                <w:spacing w:val="4"/>
              </w:rPr>
              <w:t xml:space="preserve"> </w:t>
            </w:r>
            <w:r>
              <w:rPr/>
              <w:t>登记证核发</w:t>
            </w:r>
          </w:p>
        </w:tc>
        <w:tc>
          <w:tcPr>
            <w:tcW w:w="839" w:type="dxa"/>
            <w:vAlign w:val="top"/>
          </w:tcPr>
          <w:p>
            <w:pPr>
              <w:spacing w:line="247" w:lineRule="auto"/>
              <w:rPr>
                <w:rFonts w:ascii="Arial"/>
                <w:sz w:val="21"/>
              </w:rPr>
            </w:pPr>
            <w:r/>
          </w:p>
          <w:p>
            <w:pPr>
              <w:pStyle w:val="TableText"/>
              <w:ind w:left="31"/>
              <w:spacing w:before="48" w:line="219" w:lineRule="auto"/>
              <w:rPr/>
            </w:pPr>
            <w:r>
              <w:rPr>
                <w:spacing w:val="-1"/>
              </w:rPr>
              <w:t>环境保护部</w:t>
            </w:r>
          </w:p>
        </w:tc>
        <w:tc>
          <w:tcPr>
            <w:tcW w:w="659" w:type="dxa"/>
            <w:vAlign w:val="top"/>
          </w:tcPr>
          <w:p>
            <w:pPr>
              <w:spacing w:line="247" w:lineRule="auto"/>
              <w:rPr>
                <w:rFonts w:ascii="Arial"/>
                <w:sz w:val="21"/>
              </w:rPr>
            </w:pPr>
            <w:r/>
          </w:p>
          <w:p>
            <w:pPr>
              <w:pStyle w:val="TableText"/>
              <w:ind w:left="22" w:right="18"/>
              <w:spacing w:before="49" w:line="255" w:lineRule="auto"/>
              <w:jc w:val="both"/>
              <w:rPr/>
            </w:pPr>
            <w:r>
              <w:rPr>
                <w:spacing w:val="-2"/>
              </w:rPr>
              <w:t>符合良好</w:t>
            </w:r>
            <w:r>
              <w:rPr/>
              <w:t xml:space="preserve"> </w:t>
            </w:r>
            <w:r>
              <w:rPr>
                <w:spacing w:val="-3"/>
              </w:rPr>
              <w:t>实验室规</w:t>
            </w:r>
            <w:r>
              <w:rPr>
                <w:spacing w:val="1"/>
              </w:rPr>
              <w:t xml:space="preserve"> </w:t>
            </w:r>
            <w:r>
              <w:rPr>
                <w:spacing w:val="22"/>
              </w:rPr>
              <w:t>范(</w:t>
            </w:r>
            <w:r>
              <w:rPr/>
              <w:t>GLP</w:t>
            </w:r>
            <w:r>
              <w:rPr>
                <w:spacing w:val="22"/>
              </w:rPr>
              <w:t>)</w:t>
            </w:r>
            <w:r>
              <w:rPr/>
              <w:t xml:space="preserve"> </w:t>
            </w:r>
            <w:r>
              <w:rPr>
                <w:spacing w:val="1"/>
              </w:rPr>
              <w:t>的实验室</w:t>
            </w:r>
          </w:p>
        </w:tc>
        <w:tc>
          <w:tcPr>
            <w:tcW w:w="6098" w:type="dxa"/>
            <w:vAlign w:val="top"/>
          </w:tcPr>
          <w:p>
            <w:pPr>
              <w:spacing w:line="245" w:lineRule="auto"/>
              <w:rPr>
                <w:rFonts w:ascii="Arial"/>
                <w:sz w:val="21"/>
              </w:rPr>
            </w:pPr>
            <w:r/>
          </w:p>
          <w:p>
            <w:pPr>
              <w:pStyle w:val="TableText"/>
              <w:ind w:left="43"/>
              <w:spacing w:before="49" w:line="219" w:lineRule="auto"/>
              <w:rPr/>
            </w:pPr>
            <w:r>
              <w:rPr>
                <w:spacing w:val="-2"/>
              </w:rPr>
              <w:t>1. 《危险化学品安全管理条例》(国务院令第591号)第六条：</w:t>
            </w:r>
            <w:r>
              <w:rPr>
                <w:spacing w:val="-3"/>
              </w:rPr>
              <w:t>对危险化学品的生产、储存</w:t>
            </w:r>
          </w:p>
          <w:p>
            <w:pPr>
              <w:pStyle w:val="TableText"/>
              <w:ind w:left="34" w:right="27" w:firstLine="9"/>
              <w:spacing w:before="42" w:line="260" w:lineRule="auto"/>
              <w:rPr/>
            </w:pPr>
            <w:r>
              <w:rPr>
                <w:spacing w:val="-4"/>
              </w:rPr>
              <w:t>使用、经营、运输实施安全监督管理的有关部门，依照下列规定履行职责：</w:t>
            </w:r>
            <w:r>
              <w:rPr>
                <w:spacing w:val="25"/>
                <w:w w:val="101"/>
              </w:rPr>
              <w:t xml:space="preserve">   </w:t>
            </w:r>
            <w:r>
              <w:rPr>
                <w:spacing w:val="-4"/>
              </w:rPr>
              <w:t>(四)环境保护</w:t>
            </w:r>
            <w:r>
              <w:rPr/>
              <w:t xml:space="preserve"> </w:t>
            </w:r>
            <w:r>
              <w:rPr/>
              <w:t>主管部门负责组织危险化学品的环境危害性鉴定，负责新化学物质环境管理登记。第一百条</w:t>
            </w:r>
            <w:r>
              <w:rPr>
                <w:spacing w:val="1"/>
              </w:rPr>
              <w:t xml:space="preserve"> </w:t>
            </w:r>
            <w:r>
              <w:rPr>
                <w:spacing w:val="1"/>
              </w:rPr>
              <w:t>化学品的危险特性尚未确定的，由国务院安全生产监督管</w:t>
            </w:r>
            <w:r>
              <w:rPr/>
              <w:t>理部门、国务院环境保护主管部门 </w:t>
            </w:r>
            <w:r>
              <w:rPr/>
              <w:t>国务院卫生主管部门分别负责组织对该化学品的物理危险性、环境危害性、毒理特性进行鉴</w:t>
            </w:r>
            <w:r>
              <w:rPr>
                <w:spacing w:val="16"/>
              </w:rPr>
              <w:t xml:space="preserve"> </w:t>
            </w:r>
            <w:r>
              <w:rPr>
                <w:spacing w:val="-2"/>
              </w:rPr>
              <w:t>定。2. 《新化学物质环境管理办法》(环境保护部令第7号)第十条</w:t>
            </w:r>
            <w:r>
              <w:rPr>
                <w:spacing w:val="-3"/>
              </w:rPr>
              <w:t>：新化学物质申报报告</w:t>
            </w:r>
          </w:p>
          <w:p>
            <w:pPr>
              <w:pStyle w:val="TableText"/>
              <w:ind w:left="4" w:firstLine="109"/>
              <w:spacing w:before="30" w:line="267" w:lineRule="auto"/>
              <w:rPr/>
            </w:pPr>
            <w:r>
              <w:rPr>
                <w:spacing w:val="-4"/>
              </w:rPr>
              <w:t>应当包括以下内容；    (三)物理化学性质、毒理学和生态毒理学特性的测试报告或者资料</w:t>
            </w:r>
            <w:r>
              <w:rPr>
                <w:spacing w:val="3"/>
              </w:rPr>
              <w:t xml:space="preserve">   </w:t>
            </w:r>
            <w:r>
              <w:rPr>
                <w:spacing w:val="1"/>
              </w:rPr>
              <w:t>以及有关测试机构的资质证明。生态毒理学特性测试报告，必须包括在中国境内用中国的供</w:t>
            </w:r>
            <w:r>
              <w:rPr/>
              <w:t xml:space="preserve"> </w:t>
            </w:r>
            <w:r>
              <w:rPr>
                <w:spacing w:val="-3"/>
              </w:rPr>
              <w:t>试生物按照相关标准规定完成的测试数据。第十二条：办</w:t>
            </w:r>
            <w:r>
              <w:rPr>
                <w:spacing w:val="-4"/>
              </w:rPr>
              <w:t>理简易申报，应当提交下列材料：(二</w:t>
            </w:r>
            <w:r>
              <w:rPr/>
              <w:t xml:space="preserve"> </w:t>
            </w:r>
            <w:r>
              <w:rPr>
                <w:spacing w:val="1"/>
              </w:rPr>
              <w:t>在中国境内用中国的供试生物完成的生态毒理学特性测试报告。第十九条：为新化学物质申</w:t>
            </w:r>
            <w:r>
              <w:rPr>
                <w:spacing w:val="15"/>
              </w:rPr>
              <w:t xml:space="preserve"> </w:t>
            </w:r>
            <w:r>
              <w:rPr>
                <w:spacing w:val="1"/>
              </w:rPr>
              <w:t>报目的提供测试数据的境内测试机构，应当为环境保护部公告</w:t>
            </w:r>
            <w:r>
              <w:rPr/>
              <w:t>的化学物质测试机构，并接受 </w:t>
            </w:r>
            <w:r>
              <w:rPr>
                <w:spacing w:val="1"/>
              </w:rPr>
              <w:t>监督和检查。境内测试机构应当遵守环境保护部颁布的化学品</w:t>
            </w:r>
            <w:r>
              <w:rPr/>
              <w:t>测试合格实验室导则，并按照 </w:t>
            </w:r>
            <w:r>
              <w:rPr>
                <w:spacing w:val="1"/>
              </w:rPr>
              <w:t>化学品测试导则或者化学品测试相关国家标准，开展新化学物</w:t>
            </w:r>
            <w:r>
              <w:rPr/>
              <w:t>质生态毒理学特性测试。在境 </w:t>
            </w:r>
            <w:r>
              <w:rPr>
                <w:spacing w:val="1"/>
              </w:rPr>
              <w:t>外完成新化学物质生态毒理学特性测试并提供测试数据的境外测试机构，必须通过其所在国</w:t>
            </w:r>
            <w:r>
              <w:rPr>
                <w:spacing w:val="10"/>
              </w:rPr>
              <w:t xml:space="preserve"> </w:t>
            </w:r>
            <w:r>
              <w:rPr>
                <w:spacing w:val="-2"/>
              </w:rPr>
              <w:t>家主管部门的检查或者符合合格实验室规范。3. 《关于规范化学品测试机</w:t>
            </w:r>
            <w:r>
              <w:rPr>
                <w:spacing w:val="-3"/>
              </w:rPr>
              <w:t>构管理的公告》(环</w:t>
            </w:r>
            <w:r>
              <w:rPr/>
              <w:t xml:space="preserve"> </w:t>
            </w:r>
            <w:r>
              <w:rPr/>
              <w:t>境保护部公告第2016年第85号)规定：环境保护部不再对化学品测试机构实施评审和公告</w:t>
            </w:r>
          </w:p>
          <w:p>
            <w:pPr>
              <w:pStyle w:val="TableText"/>
              <w:ind w:left="34" w:right="91" w:firstLine="79"/>
              <w:spacing w:before="42" w:line="245" w:lineRule="auto"/>
              <w:rPr/>
            </w:pPr>
            <w:r>
              <w:rPr>
                <w:spacing w:val="1"/>
              </w:rPr>
              <w:t>为新化学物质申报目的提供测试数据的境内测试机构，应当依法通过资</w:t>
            </w:r>
            <w:r>
              <w:rPr/>
              <w:t>质认定(计量认证) </w:t>
            </w:r>
            <w:r>
              <w:rPr/>
              <w:t>从事新化学物质生态毒理特性测试的，应当依据国家有关良好实验室规范</w:t>
            </w:r>
            <w:r>
              <w:rPr>
                <w:spacing w:val="-1"/>
              </w:rPr>
              <w:t>(GLP)系列标准</w:t>
            </w:r>
          </w:p>
          <w:p>
            <w:pPr>
              <w:pStyle w:val="TableText"/>
              <w:ind w:left="43" w:hanging="39"/>
              <w:spacing w:before="23" w:line="251" w:lineRule="auto"/>
              <w:rPr/>
            </w:pPr>
            <w:r>
              <w:rPr>
                <w:spacing w:val="-2"/>
              </w:rPr>
              <w:t>环境保护部有关化学品测试有关标准规范(《化学品测试合格实验室导则》)等进行自我检查，</w:t>
            </w:r>
            <w:r>
              <w:rPr>
                <w:spacing w:val="16"/>
              </w:rPr>
              <w:t xml:space="preserve"> </w:t>
            </w:r>
            <w:r>
              <w:rPr>
                <w:spacing w:val="-2"/>
              </w:rPr>
              <w:t>就是否符合良好实验室规范(GLP)进行自我声明。测试机构应当在其官方网站及环境保护</w:t>
            </w:r>
          </w:p>
          <w:p>
            <w:pPr>
              <w:pStyle w:val="TableText"/>
              <w:ind w:left="43"/>
              <w:spacing w:before="42" w:line="219" w:lineRule="auto"/>
              <w:rPr/>
            </w:pPr>
            <w:r>
              <w:rPr/>
              <w:t>部固体废物与化学品管理技术中心网站上公布符合良好实验室规范(GL</w:t>
            </w:r>
            <w:r>
              <w:rPr>
                <w:spacing w:val="-1"/>
              </w:rPr>
              <w:t>P)的自我声明及相</w:t>
            </w:r>
          </w:p>
          <w:p>
            <w:pPr>
              <w:pStyle w:val="TableText"/>
              <w:ind w:left="43" w:right="52"/>
              <w:spacing w:before="52" w:line="244" w:lineRule="auto"/>
              <w:rPr/>
            </w:pPr>
            <w:r>
              <w:rPr/>
              <w:t>关情况。从事新化学物质化学特性、毒理学特性测试的机构，应当符</w:t>
            </w:r>
            <w:r>
              <w:rPr>
                <w:spacing w:val="-1"/>
              </w:rPr>
              <w:t>合《危险化学品安全管</w:t>
            </w:r>
            <w:r>
              <w:rPr/>
              <w:t xml:space="preserve"> </w:t>
            </w:r>
            <w:r>
              <w:rPr/>
              <w:t>理条例》等相关法律法规及国家有关主管部门的要求。该公告自201</w:t>
            </w:r>
            <w:r>
              <w:rPr>
                <w:spacing w:val="-1"/>
              </w:rPr>
              <w:t>7年4月1日起实施</w:t>
            </w:r>
          </w:p>
        </w:tc>
      </w:tr>
    </w:tbl>
    <w:p>
      <w:pPr>
        <w:pStyle w:val="BodyText"/>
        <w:rPr/>
      </w:pPr>
      <w:r/>
    </w:p>
    <w:p>
      <w:pPr>
        <w:sectPr>
          <w:pgSz w:w="11910" w:h="8220"/>
          <w:pgMar w:top="400" w:right="1115" w:bottom="400" w:left="821" w:header="0" w:footer="0" w:gutter="0"/>
        </w:sectPr>
        <w:rPr/>
      </w:pPr>
    </w:p>
    <w:p>
      <w:pPr>
        <w:spacing w:before="133"/>
        <w:rPr/>
      </w:pPr>
      <w:r>
        <mc:AlternateContent xmlns:mc="http://schemas.openxmlformats.org/markup-compatibility/2006">
          <mc:Choice Requires="wps">
            <w:drawing>
              <wp:anchor distT="0" distB="0" distL="0" distR="0" simplePos="0" relativeHeight="251943936"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388" name="TextBox 388"/>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0" style="position:absolute;margin-left:37.0402pt;margin-top:49.1374pt;mso-position-vertical-relative:page;mso-position-horizontal-relative:page;width:13.6pt;height:12.35pt;z-index:2519439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282</w:t>
                      </w:r>
                    </w:p>
                  </w:txbxContent>
                </v:textbox>
              </v:shape>
            </w:pict>
          </mc:Fallback>
        </mc:AlternateContent>
      </w: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39"/>
        <w:gridCol w:w="659"/>
        <w:gridCol w:w="6088"/>
      </w:tblGrid>
      <w:tr>
        <w:trPr>
          <w:trHeight w:val="494" w:hRule="atLeast"/>
        </w:trPr>
        <w:tc>
          <w:tcPr>
            <w:tcW w:w="285" w:type="dxa"/>
            <w:vAlign w:val="top"/>
            <w:textDirection w:val="tbRlV"/>
          </w:tcPr>
          <w:p>
            <w:pPr>
              <w:pStyle w:val="TableText"/>
              <w:ind w:left="47"/>
              <w:spacing w:before="70" w:line="217" w:lineRule="auto"/>
              <w:rPr/>
            </w:pPr>
            <w:r>
              <w:rPr/>
              <w:t>序</w:t>
            </w:r>
            <w:r>
              <w:rPr>
                <w:spacing w:val="16"/>
              </w:rPr>
              <w:t xml:space="preserve"> </w:t>
            </w:r>
            <w:r>
              <w:rPr/>
              <w:t>号</w:t>
            </w:r>
          </w:p>
        </w:tc>
        <w:tc>
          <w:tcPr>
            <w:tcW w:w="679" w:type="dxa"/>
            <w:vAlign w:val="top"/>
          </w:tcPr>
          <w:p>
            <w:pPr>
              <w:pStyle w:val="TableText"/>
              <w:ind w:left="30" w:right="32"/>
              <w:spacing w:before="70" w:line="252" w:lineRule="auto"/>
              <w:rPr/>
            </w:pPr>
            <w:r>
              <w:rPr>
                <w:spacing w:val="1"/>
              </w:rPr>
              <w:t>中介服务 </w:t>
            </w:r>
            <w:r>
              <w:rPr>
                <w:spacing w:val="-2"/>
              </w:rPr>
              <w:t>事项名称</w:t>
            </w:r>
          </w:p>
        </w:tc>
        <w:tc>
          <w:tcPr>
            <w:tcW w:w="1109" w:type="dxa"/>
            <w:vAlign w:val="top"/>
          </w:tcPr>
          <w:p>
            <w:pPr>
              <w:pStyle w:val="TableText"/>
              <w:ind w:left="239" w:right="35" w:hanging="219"/>
              <w:spacing w:before="7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71" w:line="219" w:lineRule="auto"/>
              <w:rPr/>
            </w:pPr>
            <w:r>
              <w:rPr>
                <w:spacing w:val="4"/>
              </w:rPr>
              <w:t>审批部门</w:t>
            </w:r>
          </w:p>
        </w:tc>
        <w:tc>
          <w:tcPr>
            <w:tcW w:w="659" w:type="dxa"/>
            <w:vAlign w:val="top"/>
          </w:tcPr>
          <w:p>
            <w:pPr>
              <w:pStyle w:val="TableText"/>
              <w:ind w:left="22" w:right="18"/>
              <w:spacing w:before="70" w:line="25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70" w:line="219" w:lineRule="auto"/>
              <w:rPr/>
            </w:pPr>
            <w:r>
              <w:rPr>
                <w:spacing w:val="-2"/>
              </w:rPr>
              <w:t>设定依据</w:t>
            </w:r>
          </w:p>
        </w:tc>
      </w:tr>
      <w:tr>
        <w:trPr>
          <w:trHeight w:val="2067" w:hRule="atLeast"/>
        </w:trPr>
        <w:tc>
          <w:tcPr>
            <w:tcW w:w="285" w:type="dxa"/>
            <w:vAlign w:val="top"/>
          </w:tcPr>
          <w:p>
            <w:pPr>
              <w:pStyle w:val="TableText"/>
              <w:ind w:left="55"/>
              <w:spacing w:before="75" w:line="184" w:lineRule="auto"/>
              <w:rPr/>
            </w:pPr>
            <w:r>
              <w:rPr>
                <w:spacing w:val="-5"/>
              </w:rPr>
              <w:t>15</w:t>
            </w:r>
          </w:p>
        </w:tc>
        <w:tc>
          <w:tcPr>
            <w:tcW w:w="679" w:type="dxa"/>
            <w:vAlign w:val="top"/>
          </w:tcPr>
          <w:p>
            <w:pPr>
              <w:pStyle w:val="TableText"/>
              <w:ind w:left="30" w:right="44"/>
              <w:spacing w:before="26" w:line="249" w:lineRule="auto"/>
              <w:jc w:val="both"/>
              <w:rPr/>
            </w:pPr>
            <w:r>
              <w:rPr>
                <w:spacing w:val="-3"/>
              </w:rPr>
              <w:t>收费公路</w:t>
            </w:r>
            <w:r>
              <w:rPr/>
              <w:t xml:space="preserve"> </w:t>
            </w:r>
            <w:r>
              <w:rPr>
                <w:spacing w:val="-2"/>
              </w:rPr>
              <w:t>权益转让</w:t>
            </w:r>
            <w:r>
              <w:rPr>
                <w:spacing w:val="1"/>
              </w:rPr>
              <w:t xml:space="preserve"> </w:t>
            </w:r>
            <w:r>
              <w:rPr>
                <w:spacing w:val="-3"/>
              </w:rPr>
              <w:t>资产评估</w:t>
            </w:r>
          </w:p>
        </w:tc>
        <w:tc>
          <w:tcPr>
            <w:tcW w:w="1109" w:type="dxa"/>
            <w:vAlign w:val="top"/>
          </w:tcPr>
          <w:p>
            <w:pPr>
              <w:pStyle w:val="TableText"/>
              <w:ind w:left="20" w:right="39" w:firstLine="20"/>
              <w:spacing w:before="28" w:line="250" w:lineRule="auto"/>
              <w:rPr/>
            </w:pPr>
            <w:r>
              <w:rPr>
                <w:spacing w:val="20"/>
              </w:rPr>
              <w:t>(15039)国道</w:t>
            </w:r>
            <w:r>
              <w:rPr/>
              <w:t xml:space="preserve"> </w:t>
            </w:r>
            <w:r>
              <w:rPr>
                <w:spacing w:val="-2"/>
              </w:rPr>
              <w:t>收费权转让审批</w:t>
            </w:r>
          </w:p>
        </w:tc>
        <w:tc>
          <w:tcPr>
            <w:tcW w:w="839" w:type="dxa"/>
            <w:vAlign w:val="top"/>
          </w:tcPr>
          <w:p>
            <w:pPr>
              <w:pStyle w:val="TableText"/>
              <w:ind w:left="31"/>
              <w:spacing w:before="27" w:line="219" w:lineRule="auto"/>
              <w:rPr/>
            </w:pPr>
            <w:r>
              <w:rPr>
                <w:spacing w:val="-2"/>
              </w:rPr>
              <w:t>交通运输部</w:t>
            </w:r>
          </w:p>
        </w:tc>
        <w:tc>
          <w:tcPr>
            <w:tcW w:w="659" w:type="dxa"/>
            <w:vAlign w:val="top"/>
          </w:tcPr>
          <w:p>
            <w:pPr>
              <w:pStyle w:val="TableText"/>
              <w:ind w:left="12" w:right="38" w:firstLine="10"/>
              <w:spacing w:before="16" w:line="245" w:lineRule="auto"/>
              <w:rPr/>
            </w:pPr>
            <w:r>
              <w:rPr>
                <w:spacing w:val="-4"/>
              </w:rPr>
              <w:t>资产评估</w:t>
            </w:r>
            <w:r>
              <w:rPr>
                <w:spacing w:val="2"/>
              </w:rPr>
              <w:t xml:space="preserve"> </w:t>
            </w:r>
            <w:r>
              <w:rPr>
                <w:spacing w:val="-2"/>
              </w:rPr>
              <w:t>机构</w:t>
            </w:r>
          </w:p>
        </w:tc>
        <w:tc>
          <w:tcPr>
            <w:tcW w:w="6088" w:type="dxa"/>
            <w:vAlign w:val="top"/>
          </w:tcPr>
          <w:p>
            <w:pPr>
              <w:pStyle w:val="TableText"/>
              <w:ind w:left="24" w:right="28" w:firstLine="10"/>
              <w:spacing w:before="38" w:line="254" w:lineRule="auto"/>
              <w:rPr/>
            </w:pPr>
            <w:r>
              <w:rPr>
                <w:spacing w:val="-1"/>
              </w:rPr>
              <w:t>1. 《中华人民共和国公路法》第六十一条：本法</w:t>
            </w:r>
            <w:r>
              <w:rPr>
                <w:spacing w:val="-2"/>
              </w:rPr>
              <w:t>第五十九条第一款第一项规定的公路中的国</w:t>
            </w:r>
            <w:r>
              <w:rPr/>
              <w:t xml:space="preserve"> </w:t>
            </w:r>
            <w:r>
              <w:rPr/>
              <w:t>道收费权的转让，必须经国务院交通主管部门批准；国道以外的其他公路收费权的转让，必</w:t>
            </w:r>
            <w:r>
              <w:rPr>
                <w:spacing w:val="3"/>
              </w:rPr>
              <w:t xml:space="preserve"> </w:t>
            </w:r>
            <w:r>
              <w:rPr/>
              <w:t>须经省、自治区、直辖市人民政府批准，并报国务院交通主管部门备案。前款规定的公路收 </w:t>
            </w:r>
            <w:r>
              <w:rPr>
                <w:spacing w:val="-2"/>
              </w:rPr>
              <w:t>费权出让的最低成交价，以国有资产评估机构评估的价值为依据确定。2. 《中华人民共和国</w:t>
            </w:r>
            <w:r>
              <w:rPr>
                <w:spacing w:val="18"/>
              </w:rPr>
              <w:t xml:space="preserve"> </w:t>
            </w:r>
            <w:r>
              <w:rPr/>
              <w:t>企业国有资产法》第四十七条：国有独资企业、国有独资公司和国有资本控股公司合并、分 </w:t>
            </w:r>
            <w:r>
              <w:rPr/>
              <w:t>立、改制，转让重大财产，以非货币财产对外投资，清算或者有法律、行政法规以及企业章</w:t>
            </w:r>
            <w:r>
              <w:rPr>
                <w:spacing w:val="3"/>
              </w:rPr>
              <w:t xml:space="preserve"> </w:t>
            </w:r>
            <w:r>
              <w:rPr/>
              <w:t>程规定应当进行资产评估的其他情形的，应当按照规定对有关资产进行评</w:t>
            </w:r>
            <w:r>
              <w:rPr>
                <w:spacing w:val="-1"/>
              </w:rPr>
              <w:t>估。第四十八条</w:t>
            </w:r>
          </w:p>
          <w:p>
            <w:pPr>
              <w:pStyle w:val="TableText"/>
              <w:ind w:left="34" w:right="37"/>
              <w:spacing w:before="3" w:line="234" w:lineRule="auto"/>
              <w:rPr/>
            </w:pPr>
            <w:r>
              <w:rPr/>
              <w:t>国有独资企业、国有独资公司和国有资本控股公司应当委托依法设立的符合条件的资产评估</w:t>
            </w:r>
            <w:r>
              <w:rPr>
                <w:spacing w:val="5"/>
              </w:rPr>
              <w:t xml:space="preserve"> </w:t>
            </w:r>
            <w:r>
              <w:rPr/>
              <w:t>机构进行资产评估；涉及应当报经履行出资人职责的机构决定的事项的，应</w:t>
            </w:r>
            <w:r>
              <w:rPr>
                <w:spacing w:val="-1"/>
              </w:rPr>
              <w:t>当将委托资产评</w:t>
            </w:r>
            <w:r>
              <w:rPr/>
              <w:t xml:space="preserve"> </w:t>
            </w:r>
            <w:r>
              <w:rPr>
                <w:spacing w:val="-1"/>
              </w:rPr>
              <w:t>估机构的情况向履行出资人职责的机构报告</w:t>
            </w:r>
          </w:p>
        </w:tc>
      </w:tr>
      <w:tr>
        <w:trPr>
          <w:trHeight w:val="1248" w:hRule="atLeast"/>
        </w:trPr>
        <w:tc>
          <w:tcPr>
            <w:tcW w:w="285" w:type="dxa"/>
            <w:vAlign w:val="top"/>
          </w:tcPr>
          <w:p>
            <w:pPr>
              <w:pStyle w:val="TableText"/>
              <w:ind w:left="55"/>
              <w:spacing w:before="98" w:line="184" w:lineRule="auto"/>
              <w:rPr/>
            </w:pPr>
            <w:r>
              <w:rPr>
                <w:spacing w:val="-5"/>
              </w:rPr>
              <w:t>16</w:t>
            </w:r>
          </w:p>
        </w:tc>
        <w:tc>
          <w:tcPr>
            <w:tcW w:w="679" w:type="dxa"/>
            <w:vAlign w:val="top"/>
          </w:tcPr>
          <w:p>
            <w:pPr>
              <w:pStyle w:val="TableText"/>
              <w:ind w:left="10" w:right="46" w:firstLine="20"/>
              <w:spacing w:before="49" w:line="252" w:lineRule="auto"/>
              <w:jc w:val="both"/>
              <w:rPr/>
            </w:pPr>
            <w:r>
              <w:rPr>
                <w:spacing w:val="-2"/>
              </w:rPr>
              <w:t>水利基建</w:t>
            </w:r>
            <w:r>
              <w:rPr/>
              <w:t xml:space="preserve"> </w:t>
            </w:r>
            <w:r>
              <w:rPr>
                <w:spacing w:val="2"/>
              </w:rPr>
              <w:t>项目初步 </w:t>
            </w:r>
            <w:r>
              <w:rPr>
                <w:spacing w:val="2"/>
              </w:rPr>
              <w:t>设计文件 </w:t>
            </w:r>
            <w:r>
              <w:rPr>
                <w:spacing w:val="-2"/>
              </w:rPr>
              <w:t>编制</w:t>
            </w:r>
          </w:p>
        </w:tc>
        <w:tc>
          <w:tcPr>
            <w:tcW w:w="1109" w:type="dxa"/>
            <w:vAlign w:val="top"/>
          </w:tcPr>
          <w:p>
            <w:pPr>
              <w:pStyle w:val="TableText"/>
              <w:ind w:left="20" w:right="33" w:firstLine="110"/>
              <w:spacing w:before="49" w:line="254" w:lineRule="auto"/>
              <w:rPr/>
            </w:pPr>
            <w:r>
              <w:rPr/>
              <w:t>(16003)水利</w:t>
            </w:r>
            <w:r>
              <w:rPr>
                <w:spacing w:val="2"/>
              </w:rPr>
              <w:t xml:space="preserve">  </w:t>
            </w:r>
            <w:r>
              <w:rPr>
                <w:spacing w:val="-1"/>
              </w:rPr>
              <w:t>基建项目初步设</w:t>
            </w:r>
            <w:r>
              <w:rPr/>
              <w:t xml:space="preserve"> </w:t>
            </w:r>
            <w:r>
              <w:rPr/>
              <w:t>计文件审批</w:t>
            </w:r>
          </w:p>
        </w:tc>
        <w:tc>
          <w:tcPr>
            <w:tcW w:w="839" w:type="dxa"/>
            <w:vAlign w:val="top"/>
          </w:tcPr>
          <w:p>
            <w:pPr>
              <w:pStyle w:val="TableText"/>
              <w:ind w:left="182"/>
              <w:spacing w:before="30" w:line="219" w:lineRule="auto"/>
              <w:rPr/>
            </w:pPr>
            <w:r>
              <w:rPr>
                <w:spacing w:val="-2"/>
              </w:rPr>
              <w:t>水利部</w:t>
            </w:r>
          </w:p>
        </w:tc>
        <w:tc>
          <w:tcPr>
            <w:tcW w:w="659" w:type="dxa"/>
            <w:vAlign w:val="top"/>
          </w:tcPr>
          <w:p>
            <w:pPr>
              <w:pStyle w:val="TableText"/>
              <w:ind w:left="12" w:right="16" w:firstLine="10"/>
              <w:spacing w:before="32" w:line="258" w:lineRule="auto"/>
              <w:jc w:val="both"/>
              <w:rPr/>
            </w:pPr>
            <w:r>
              <w:rPr>
                <w:spacing w:val="-3"/>
              </w:rPr>
              <w:t>具有相应</w:t>
            </w:r>
            <w:r>
              <w:rPr>
                <w:spacing w:val="2"/>
              </w:rPr>
              <w:t xml:space="preserve"> </w:t>
            </w:r>
            <w:r>
              <w:rPr>
                <w:spacing w:val="4"/>
              </w:rPr>
              <w:t>资质的勘</w:t>
            </w:r>
            <w:r>
              <w:rPr>
                <w:spacing w:val="2"/>
              </w:rPr>
              <w:t xml:space="preserve"> </w:t>
            </w:r>
            <w:r>
              <w:rPr/>
              <w:t>测设计单</w:t>
            </w:r>
            <w:r>
              <w:rPr>
                <w:spacing w:val="2"/>
              </w:rPr>
              <w:t xml:space="preserve"> </w:t>
            </w:r>
            <w:r>
              <w:rPr/>
              <w:t>位</w:t>
            </w:r>
          </w:p>
        </w:tc>
        <w:tc>
          <w:tcPr>
            <w:tcW w:w="6088" w:type="dxa"/>
            <w:vAlign w:val="top"/>
          </w:tcPr>
          <w:p>
            <w:pPr>
              <w:pStyle w:val="TableText"/>
              <w:ind w:left="14"/>
              <w:spacing w:before="39" w:line="219" w:lineRule="auto"/>
              <w:rPr/>
            </w:pPr>
            <w:r>
              <w:rPr>
                <w:spacing w:val="-2"/>
              </w:rPr>
              <w:t>1. 《国务院对确需保留的行政审批项目设定行政许可的决定》(国务院令第412号):为保</w:t>
            </w:r>
          </w:p>
          <w:p>
            <w:pPr>
              <w:pStyle w:val="TableText"/>
              <w:ind w:left="34" w:right="49"/>
              <w:spacing w:before="41" w:line="241" w:lineRule="auto"/>
              <w:rPr/>
            </w:pPr>
            <w:r>
              <w:rPr/>
              <w:t>证本决定设定的行政许可依法、公开、公平、公正实施，国务院有关部门应</w:t>
            </w:r>
            <w:r>
              <w:rPr>
                <w:spacing w:val="-1"/>
              </w:rPr>
              <w:t>当对实施本决定</w:t>
            </w:r>
            <w:r>
              <w:rPr/>
              <w:t xml:space="preserve"> </w:t>
            </w:r>
            <w:r>
              <w:rPr>
                <w:spacing w:val="-2"/>
              </w:rPr>
              <w:t>所列各项行政许可条件等做出具体规定，并予以公布。2. 《水利基本建设投资</w:t>
            </w:r>
            <w:r>
              <w:rPr>
                <w:spacing w:val="-3"/>
              </w:rPr>
              <w:t>计划管理暂行</w:t>
            </w:r>
            <w:r>
              <w:rPr/>
              <w:t xml:space="preserve"> </w:t>
            </w:r>
            <w:r>
              <w:rPr/>
              <w:t>办法》(水规计〔2003〕344号)第十九条：项目建议书、可行性研</w:t>
            </w:r>
            <w:r>
              <w:rPr>
                <w:spacing w:val="-1"/>
              </w:rPr>
              <w:t>究报告和初步设计报告</w:t>
            </w:r>
          </w:p>
          <w:p>
            <w:pPr>
              <w:pStyle w:val="TableText"/>
              <w:ind w:left="14" w:right="28" w:firstLine="20"/>
              <w:spacing w:before="24" w:line="226" w:lineRule="auto"/>
              <w:rPr/>
            </w:pPr>
            <w:r>
              <w:rPr/>
              <w:t>等前期工作技术文件的编制必须由具有相应资质的勘测设计单位承担，条件具备的要按照国</w:t>
            </w:r>
            <w:r>
              <w:rPr>
                <w:spacing w:val="14"/>
              </w:rPr>
              <w:t xml:space="preserve"> </w:t>
            </w:r>
            <w:r>
              <w:rPr>
                <w:spacing w:val="-1"/>
              </w:rPr>
              <w:t>家有关规定采取招投标的方式，择优选择设计单位</w:t>
            </w:r>
          </w:p>
        </w:tc>
      </w:tr>
      <w:tr>
        <w:trPr>
          <w:trHeight w:val="2721" w:hRule="atLeast"/>
        </w:trPr>
        <w:tc>
          <w:tcPr>
            <w:tcW w:w="285" w:type="dxa"/>
            <w:vAlign w:val="top"/>
          </w:tcPr>
          <w:p>
            <w:pPr>
              <w:pStyle w:val="TableText"/>
              <w:ind w:left="55"/>
              <w:spacing w:before="80" w:line="184" w:lineRule="auto"/>
              <w:rPr/>
            </w:pPr>
            <w:r>
              <w:rPr>
                <w:spacing w:val="-5"/>
              </w:rPr>
              <w:t>17</w:t>
            </w:r>
          </w:p>
        </w:tc>
        <w:tc>
          <w:tcPr>
            <w:tcW w:w="679" w:type="dxa"/>
            <w:vAlign w:val="top"/>
          </w:tcPr>
          <w:p>
            <w:pPr>
              <w:pStyle w:val="TableText"/>
              <w:ind w:left="10" w:right="3" w:firstLine="20"/>
              <w:spacing w:before="30" w:line="267" w:lineRule="auto"/>
              <w:jc w:val="both"/>
              <w:rPr/>
            </w:pPr>
            <w:r>
              <w:rPr>
                <w:spacing w:val="-2"/>
              </w:rPr>
              <w:t>用于申请</w:t>
            </w:r>
            <w:r>
              <w:rPr/>
              <w:t xml:space="preserve"> </w:t>
            </w:r>
            <w:r>
              <w:rPr>
                <w:spacing w:val="3"/>
              </w:rPr>
              <w:t>农业转基</w:t>
            </w:r>
            <w:r>
              <w:rPr>
                <w:spacing w:val="1"/>
              </w:rPr>
              <w:t xml:space="preserve"> </w:t>
            </w:r>
            <w:r>
              <w:rPr>
                <w:spacing w:val="7"/>
              </w:rPr>
              <w:t>因生物安</w:t>
            </w:r>
            <w:r>
              <w:rPr/>
              <w:t xml:space="preserve"> </w:t>
            </w:r>
            <w:r>
              <w:rPr>
                <w:spacing w:val="3"/>
              </w:rPr>
              <w:t>全审批书</w:t>
            </w:r>
            <w:r>
              <w:rPr>
                <w:spacing w:val="1"/>
              </w:rPr>
              <w:t xml:space="preserve"> </w:t>
            </w:r>
            <w:r>
              <w:rPr>
                <w:spacing w:val="3"/>
              </w:rPr>
              <w:t>所需要的</w:t>
            </w:r>
            <w:r>
              <w:rPr>
                <w:spacing w:val="1"/>
              </w:rPr>
              <w:t xml:space="preserve"> </w:t>
            </w:r>
            <w:r>
              <w:rPr>
                <w:spacing w:val="8"/>
              </w:rPr>
              <w:t>安全检测</w:t>
            </w:r>
            <w:r>
              <w:rPr/>
              <w:t xml:space="preserve"> </w:t>
            </w:r>
            <w:r>
              <w:rPr>
                <w:spacing w:val="-5"/>
              </w:rPr>
              <w:t>(</w:t>
            </w:r>
            <w:r>
              <w:rPr>
                <w:spacing w:val="-23"/>
              </w:rPr>
              <w:t xml:space="preserve"> </w:t>
            </w:r>
            <w:r>
              <w:rPr>
                <w:spacing w:val="-5"/>
              </w:rPr>
              <w:t>成</w:t>
            </w:r>
            <w:r>
              <w:rPr>
                <w:spacing w:val="-23"/>
              </w:rPr>
              <w:t xml:space="preserve"> </w:t>
            </w:r>
            <w:r>
              <w:rPr>
                <w:spacing w:val="-5"/>
              </w:rPr>
              <w:t>分</w:t>
            </w:r>
            <w:r>
              <w:rPr>
                <w:spacing w:val="-30"/>
              </w:rPr>
              <w:t xml:space="preserve"> </w:t>
            </w:r>
            <w:r>
              <w:rPr>
                <w:spacing w:val="-5"/>
              </w:rPr>
              <w:t>、</w:t>
            </w:r>
            <w:r>
              <w:rPr/>
              <w:t xml:space="preserve"> </w:t>
            </w:r>
            <w:r>
              <w:rPr>
                <w:spacing w:val="3"/>
              </w:rPr>
              <w:t>环境和食</w:t>
            </w:r>
            <w:r>
              <w:rPr>
                <w:spacing w:val="1"/>
              </w:rPr>
              <w:t xml:space="preserve"> </w:t>
            </w:r>
            <w:r>
              <w:rPr>
                <w:spacing w:val="-4"/>
              </w:rPr>
              <w:t>用</w:t>
            </w:r>
            <w:r>
              <w:rPr>
                <w:spacing w:val="-34"/>
              </w:rPr>
              <w:t xml:space="preserve"> </w:t>
            </w:r>
            <w:r>
              <w:rPr>
                <w:spacing w:val="-4"/>
              </w:rPr>
              <w:t>)</w:t>
            </w:r>
          </w:p>
        </w:tc>
        <w:tc>
          <w:tcPr>
            <w:tcW w:w="1109" w:type="dxa"/>
            <w:vAlign w:val="top"/>
          </w:tcPr>
          <w:p>
            <w:pPr>
              <w:pStyle w:val="TableText"/>
              <w:ind w:left="20" w:firstLine="105"/>
              <w:spacing w:before="52" w:line="260" w:lineRule="auto"/>
              <w:rPr/>
            </w:pPr>
            <w:r>
              <w:rPr>
                <w:spacing w:val="-4"/>
              </w:rPr>
              <w:t>(17001)农业</w:t>
            </w:r>
            <w:r>
              <w:rPr/>
              <w:t xml:space="preserve">   </w:t>
            </w:r>
            <w:r>
              <w:rPr>
                <w:spacing w:val="-8"/>
              </w:rPr>
              <w:t>转基因生物安全</w:t>
            </w:r>
            <w:r>
              <w:rPr>
                <w:spacing w:val="2"/>
              </w:rPr>
              <w:t xml:space="preserve">  </w:t>
            </w:r>
            <w:r>
              <w:rPr>
                <w:spacing w:val="-1"/>
              </w:rPr>
              <w:t>审批书(农业转</w:t>
            </w:r>
            <w:r>
              <w:rPr>
                <w:spacing w:val="2"/>
              </w:rPr>
              <w:t xml:space="preserve">  </w:t>
            </w:r>
            <w:r>
              <w:rPr>
                <w:spacing w:val="4"/>
              </w:rPr>
              <w:t>基因生物研究、</w:t>
            </w:r>
            <w:r>
              <w:rPr/>
              <w:t xml:space="preserve"> </w:t>
            </w:r>
            <w:r>
              <w:rPr>
                <w:spacing w:val="-8"/>
              </w:rPr>
              <w:t>试验、生产、经</w:t>
            </w:r>
            <w:r>
              <w:rPr>
                <w:spacing w:val="2"/>
              </w:rPr>
              <w:t xml:space="preserve">  </w:t>
            </w:r>
            <w:r>
              <w:rPr>
                <w:spacing w:val="-5"/>
              </w:rPr>
              <w:t>营和进口审批的</w:t>
            </w:r>
            <w:r>
              <w:rPr/>
              <w:t xml:space="preserve">  </w:t>
            </w:r>
            <w:r>
              <w:rPr>
                <w:spacing w:val="10"/>
              </w:rPr>
              <w:t>子项)</w:t>
            </w:r>
          </w:p>
        </w:tc>
        <w:tc>
          <w:tcPr>
            <w:tcW w:w="839" w:type="dxa"/>
            <w:vAlign w:val="top"/>
          </w:tcPr>
          <w:p>
            <w:pPr>
              <w:pStyle w:val="TableText"/>
              <w:ind w:left="182"/>
              <w:spacing w:before="32" w:line="219" w:lineRule="auto"/>
              <w:rPr/>
            </w:pPr>
            <w:r>
              <w:rPr>
                <w:spacing w:val="-2"/>
              </w:rPr>
              <w:t>农业部</w:t>
            </w:r>
          </w:p>
        </w:tc>
        <w:tc>
          <w:tcPr>
            <w:tcW w:w="659" w:type="dxa"/>
            <w:vAlign w:val="top"/>
          </w:tcPr>
          <w:p>
            <w:pPr>
              <w:pStyle w:val="TableText"/>
              <w:ind w:left="22" w:right="13"/>
              <w:spacing w:before="22" w:line="264" w:lineRule="auto"/>
              <w:jc w:val="both"/>
              <w:rPr/>
            </w:pPr>
            <w:r>
              <w:rPr>
                <w:spacing w:val="3"/>
              </w:rPr>
              <w:t>具有检测</w:t>
            </w:r>
            <w:r>
              <w:rPr/>
              <w:t xml:space="preserve"> </w:t>
            </w:r>
            <w:r>
              <w:rPr>
                <w:spacing w:val="-2"/>
              </w:rPr>
              <w:t>条件和能</w:t>
            </w:r>
            <w:r>
              <w:rPr/>
              <w:t xml:space="preserve"> </w:t>
            </w:r>
            <w:r>
              <w:rPr>
                <w:spacing w:val="-3"/>
              </w:rPr>
              <w:t>力的农业</w:t>
            </w:r>
            <w:r>
              <w:rPr>
                <w:spacing w:val="2"/>
              </w:rPr>
              <w:t xml:space="preserve"> </w:t>
            </w:r>
            <w:r>
              <w:rPr>
                <w:spacing w:val="-2"/>
              </w:rPr>
              <w:t>转基因生</w:t>
            </w:r>
            <w:r>
              <w:rPr/>
              <w:t xml:space="preserve"> </w:t>
            </w:r>
            <w:r>
              <w:rPr>
                <w:spacing w:val="-2"/>
              </w:rPr>
              <w:t>物技术检</w:t>
            </w:r>
            <w:r>
              <w:rPr>
                <w:spacing w:val="1"/>
              </w:rPr>
              <w:t xml:space="preserve"> </w:t>
            </w:r>
            <w:r>
              <w:rPr>
                <w:spacing w:val="17"/>
              </w:rPr>
              <w:t>测机构</w:t>
            </w:r>
          </w:p>
        </w:tc>
        <w:tc>
          <w:tcPr>
            <w:tcW w:w="6088" w:type="dxa"/>
            <w:vAlign w:val="top"/>
          </w:tcPr>
          <w:p>
            <w:pPr>
              <w:pStyle w:val="TableText"/>
              <w:ind w:left="34" w:right="31" w:firstLine="39"/>
              <w:spacing w:before="21" w:line="258" w:lineRule="auto"/>
              <w:jc w:val="both"/>
              <w:rPr/>
            </w:pPr>
            <w:r>
              <w:rPr>
                <w:spacing w:val="-2"/>
              </w:rPr>
              <w:t>1. 《农业转基因生物安全管理条例》(国务院令第304号)第十五条：农业转基因生物试验需 </w:t>
            </w:r>
            <w:r>
              <w:rPr/>
              <w:t>要从上一试验阶段转入下一试验阶段的，试验单位</w:t>
            </w:r>
            <w:r>
              <w:rPr>
                <w:u w:val="single" w:color="auto"/>
              </w:rPr>
              <w:t>应</w:t>
            </w:r>
            <w:r>
              <w:rPr/>
              <w:t>当向国务院农业行政主管部门提出申请</w:t>
            </w:r>
            <w:r>
              <w:rPr>
                <w:spacing w:val="6"/>
              </w:rPr>
              <w:t xml:space="preserve"> </w:t>
            </w:r>
            <w:r>
              <w:rPr/>
              <w:t>经农业转基因生物安全委员会进行安全评价合格的，由国务院农业行政</w:t>
            </w:r>
            <w:r>
              <w:rPr>
                <w:spacing w:val="-1"/>
              </w:rPr>
              <w:t>主管部门批准转入下</w:t>
            </w:r>
            <w:r>
              <w:rPr/>
              <w:t xml:space="preserve"> </w:t>
            </w:r>
            <w:r>
              <w:rPr>
                <w:spacing w:val="-3"/>
              </w:rPr>
              <w:t>一试验阶段。试验单位提出前款申请，应当提供下列材料：</w:t>
            </w:r>
            <w:r>
              <w:rPr>
                <w:spacing w:val="23"/>
              </w:rPr>
              <w:t xml:space="preserve">   </w:t>
            </w:r>
            <w:r>
              <w:rPr>
                <w:spacing w:val="-3"/>
              </w:rPr>
              <w:t>(</w:t>
            </w:r>
            <w:r>
              <w:rPr>
                <w:spacing w:val="-4"/>
              </w:rPr>
              <w:t>二)农业转基因生物技术检测</w:t>
            </w:r>
            <w:r>
              <w:rPr/>
              <w:t xml:space="preserve"> </w:t>
            </w:r>
            <w:r>
              <w:rPr>
                <w:spacing w:val="-2"/>
              </w:rPr>
              <w:t>机构出具的检测报告。2. 《农业转基因生物安全评价管理办法》(农业部令2002年第8号公布</w:t>
            </w:r>
            <w:r>
              <w:rPr>
                <w:spacing w:val="1"/>
              </w:rPr>
              <w:t xml:space="preserve"> </w:t>
            </w:r>
            <w:r>
              <w:rPr/>
              <w:t>农业部令2004年第38号第一次修订，农业部令2016年第7号第二次修订)</w:t>
            </w:r>
            <w:r>
              <w:rPr>
                <w:spacing w:val="-1"/>
              </w:rPr>
              <w:t>第二十二条：在</w:t>
            </w:r>
          </w:p>
          <w:p>
            <w:pPr>
              <w:pStyle w:val="TableText"/>
              <w:ind w:left="24" w:right="4" w:firstLine="10"/>
              <w:spacing w:before="9" w:line="250" w:lineRule="auto"/>
              <w:jc w:val="both"/>
              <w:rPr/>
            </w:pPr>
            <w:r>
              <w:rPr/>
              <w:t>农业转基因生物中间试验结束后拟转入环境释放的，或</w:t>
            </w:r>
            <w:r>
              <w:rPr>
                <w:spacing w:val="-1"/>
              </w:rPr>
              <w:t>者在环境释放结束后拟转入生产性试 </w:t>
            </w:r>
            <w:r>
              <w:rPr/>
              <w:t>验的，试验单位应当向农业转基因生物安全管理办公室提出申请，经国家农业</w:t>
            </w:r>
            <w:r>
              <w:rPr>
                <w:spacing w:val="-1"/>
              </w:rPr>
              <w:t>转基因生物安 </w:t>
            </w:r>
            <w:r>
              <w:rPr/>
              <w:t>全委员会安全评价合格并由农业部批准后，方可根据农业转基因生物安全审批</w:t>
            </w:r>
            <w:r>
              <w:rPr>
                <w:spacing w:val="-1"/>
              </w:rPr>
              <w:t>书的要求进行 </w:t>
            </w:r>
            <w:r>
              <w:rPr/>
              <w:t>相应的试验。试验单位提出前款申请时，应当按照相关安全评价指南提供下列</w:t>
            </w:r>
            <w:r>
              <w:rPr>
                <w:spacing w:val="-1"/>
              </w:rPr>
              <w:t>材料提供下列 </w:t>
            </w:r>
            <w:r>
              <w:rPr>
                <w:spacing w:val="-6"/>
              </w:rPr>
              <w:t>材料：(三)农业部委托的技术检测机构出具的检测报告。3. 《农业转基因生物安全管理条例(国</w:t>
            </w:r>
            <w:r>
              <w:rPr>
                <w:spacing w:val="18"/>
                <w:w w:val="101"/>
              </w:rPr>
              <w:t xml:space="preserve"> </w:t>
            </w:r>
            <w:r>
              <w:rPr/>
              <w:t>务院令第304号)第十条：国务院农业行政主管部门根据农业转基因生物安全评</w:t>
            </w:r>
            <w:r>
              <w:rPr>
                <w:spacing w:val="-1"/>
              </w:rPr>
              <w:t>价工作的需要 </w:t>
            </w:r>
            <w:r>
              <w:rPr/>
              <w:t>可以委托具备检测条件和能力的技术检测机构对农业转基因生</w:t>
            </w:r>
            <w:r>
              <w:rPr>
                <w:spacing w:val="-1"/>
              </w:rPr>
              <w:t>物进行检测。</w:t>
            </w:r>
          </w:p>
        </w:tc>
      </w:tr>
    </w:tbl>
    <w:p>
      <w:pPr>
        <w:pStyle w:val="BodyText"/>
        <w:rPr/>
      </w:pPr>
      <w:r/>
    </w:p>
    <w:p>
      <w:pPr>
        <w:sectPr>
          <w:pgSz w:w="11910" w:h="8220"/>
          <w:pgMar w:top="400" w:right="1125" w:bottom="400" w:left="821" w:header="0" w:footer="0" w:gutter="0"/>
        </w:sectPr>
        <w:rPr/>
      </w:pPr>
    </w:p>
    <w:p>
      <w:pPr>
        <w:spacing w:before="203"/>
        <w:rPr/>
      </w:pPr>
      <w:r>
        <mc:AlternateContent xmlns:mc="http://schemas.openxmlformats.org/markup-compatibility/2006">
          <mc:Choice Requires="wps">
            <w:drawing>
              <wp:anchor distT="0" distB="0" distL="0" distR="0" simplePos="0" relativeHeight="25194496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90" name="TextBox 390"/>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2" style="position:absolute;margin-left:37.0402pt;margin-top:345.135pt;mso-position-vertical-relative:page;mso-position-horizontal-relative:page;width:13.6pt;height:12.35pt;z-index:25194496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283</w:t>
                      </w:r>
                    </w:p>
                  </w:txbxContent>
                </v:textbox>
              </v:shape>
            </w:pict>
          </mc:Fallback>
        </mc:AlternateContent>
      </w: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09"/>
        <w:gridCol w:w="679"/>
        <w:gridCol w:w="6088"/>
      </w:tblGrid>
      <w:tr>
        <w:trPr>
          <w:trHeight w:val="474" w:hRule="atLeast"/>
        </w:trPr>
        <w:tc>
          <w:tcPr>
            <w:tcW w:w="285" w:type="dxa"/>
            <w:vAlign w:val="top"/>
            <w:textDirection w:val="tbRlV"/>
          </w:tcPr>
          <w:p>
            <w:pPr>
              <w:pStyle w:val="TableText"/>
              <w:ind w:left="62"/>
              <w:spacing w:before="75" w:line="210" w:lineRule="auto"/>
              <w:rPr/>
            </w:pPr>
            <w:r>
              <w:rPr>
                <w:spacing w:val="-1"/>
              </w:rPr>
              <w:t>序</w:t>
            </w:r>
            <w:r>
              <w:rPr>
                <w:spacing w:val="-25"/>
              </w:rPr>
              <w:t xml:space="preserve"> </w:t>
            </w:r>
            <w:r>
              <w:rPr>
                <w:spacing w:val="-1"/>
              </w:rPr>
              <w:t>号</w:t>
            </w:r>
          </w:p>
        </w:tc>
        <w:tc>
          <w:tcPr>
            <w:tcW w:w="659" w:type="dxa"/>
            <w:vAlign w:val="top"/>
          </w:tcPr>
          <w:p>
            <w:pPr>
              <w:pStyle w:val="TableText"/>
              <w:ind w:left="20" w:right="22"/>
              <w:spacing w:before="51" w:line="254" w:lineRule="auto"/>
              <w:rPr/>
            </w:pPr>
            <w:r>
              <w:rPr>
                <w:spacing w:val="1"/>
              </w:rPr>
              <w:t>中介服务 </w:t>
            </w:r>
            <w:r>
              <w:rPr>
                <w:spacing w:val="-2"/>
              </w:rPr>
              <w:t>事项名称</w:t>
            </w:r>
          </w:p>
        </w:tc>
        <w:tc>
          <w:tcPr>
            <w:tcW w:w="1129" w:type="dxa"/>
            <w:vAlign w:val="top"/>
          </w:tcPr>
          <w:p>
            <w:pPr>
              <w:pStyle w:val="TableText"/>
              <w:ind w:left="249" w:right="45" w:hanging="219"/>
              <w:spacing w:before="52" w:line="245"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51" w:line="254" w:lineRule="auto"/>
              <w:rPr/>
            </w:pPr>
            <w:r>
              <w:rPr>
                <w:spacing w:val="1"/>
              </w:rPr>
              <w:t>中介服务</w:t>
            </w:r>
            <w:r>
              <w:rPr>
                <w:spacing w:val="2"/>
              </w:rPr>
              <w:t xml:space="preserve"> </w:t>
            </w:r>
            <w:r>
              <w:rPr>
                <w:spacing w:val="-2"/>
              </w:rPr>
              <w:t>实施机构</w:t>
            </w:r>
          </w:p>
        </w:tc>
        <w:tc>
          <w:tcPr>
            <w:tcW w:w="6088" w:type="dxa"/>
            <w:vAlign w:val="top"/>
          </w:tcPr>
          <w:p>
            <w:pPr>
              <w:pStyle w:val="TableText"/>
              <w:ind w:left="2744"/>
              <w:spacing w:before="160" w:line="219" w:lineRule="auto"/>
              <w:rPr/>
            </w:pPr>
            <w:r>
              <w:rPr>
                <w:spacing w:val="-2"/>
              </w:rPr>
              <w:t>设定依据</w:t>
            </w:r>
          </w:p>
        </w:tc>
      </w:tr>
      <w:tr>
        <w:trPr>
          <w:trHeight w:val="1847" w:hRule="atLeast"/>
        </w:trPr>
        <w:tc>
          <w:tcPr>
            <w:tcW w:w="285" w:type="dxa"/>
            <w:vAlign w:val="top"/>
          </w:tcPr>
          <w:p>
            <w:pPr>
              <w:pStyle w:val="TableText"/>
              <w:ind w:left="55"/>
              <w:spacing w:before="115" w:line="184" w:lineRule="auto"/>
              <w:rPr/>
            </w:pPr>
            <w:r>
              <w:rPr>
                <w:spacing w:val="-5"/>
              </w:rPr>
              <w:t>18</w:t>
            </w:r>
          </w:p>
        </w:tc>
        <w:tc>
          <w:tcPr>
            <w:tcW w:w="659" w:type="dxa"/>
            <w:vAlign w:val="top"/>
          </w:tcPr>
          <w:p>
            <w:pPr>
              <w:pStyle w:val="TableText"/>
              <w:ind w:left="10" w:firstLine="9"/>
              <w:spacing w:before="65" w:line="241" w:lineRule="auto"/>
              <w:jc w:val="both"/>
              <w:rPr/>
            </w:pPr>
            <w:r>
              <w:rPr>
                <w:spacing w:val="-7"/>
              </w:rPr>
              <w:t>农药产品</w:t>
            </w:r>
            <w:r>
              <w:rPr/>
              <w:t xml:space="preserve">  </w:t>
            </w:r>
            <w:r>
              <w:rPr>
                <w:spacing w:val="-14"/>
                <w:w w:val="99"/>
              </w:rPr>
              <w:t>化</w:t>
            </w:r>
            <w:r>
              <w:rPr>
                <w:spacing w:val="12"/>
              </w:rPr>
              <w:t xml:space="preserve"> </w:t>
            </w:r>
            <w:r>
              <w:rPr>
                <w:spacing w:val="-14"/>
                <w:w w:val="99"/>
              </w:rPr>
              <w:t>学</w:t>
            </w:r>
            <w:r>
              <w:rPr>
                <w:spacing w:val="8"/>
              </w:rPr>
              <w:t xml:space="preserve"> </w:t>
            </w:r>
            <w:r>
              <w:rPr>
                <w:spacing w:val="-14"/>
                <w:w w:val="99"/>
              </w:rPr>
              <w:t>分</w:t>
            </w:r>
            <w:r>
              <w:rPr/>
              <w:t xml:space="preserve">  </w:t>
            </w:r>
            <w:r>
              <w:rPr>
                <w:spacing w:val="-10"/>
              </w:rPr>
              <w:t>析、毒理</w:t>
            </w:r>
            <w:r>
              <w:rPr/>
              <w:t xml:space="preserve">  </w:t>
            </w:r>
            <w:r>
              <w:rPr>
                <w:spacing w:val="1"/>
              </w:rPr>
              <w:t>学试验</w:t>
            </w:r>
            <w:r>
              <w:rPr>
                <w:spacing w:val="-42"/>
              </w:rPr>
              <w:t xml:space="preserve"> </w:t>
            </w:r>
            <w:r>
              <w:rPr>
                <w:spacing w:val="1"/>
              </w:rPr>
              <w:t>、</w:t>
            </w:r>
            <w:r>
              <w:rPr/>
              <w:t xml:space="preserve"> </w:t>
            </w:r>
            <w:r>
              <w:rPr>
                <w:spacing w:val="-12"/>
                <w:w w:val="96"/>
              </w:rPr>
              <w:t>药</w:t>
            </w:r>
            <w:r>
              <w:rPr>
                <w:spacing w:val="20"/>
                <w:w w:val="101"/>
              </w:rPr>
              <w:t xml:space="preserve"> </w:t>
            </w:r>
            <w:r>
              <w:rPr>
                <w:spacing w:val="-12"/>
                <w:w w:val="96"/>
              </w:rPr>
              <w:t>效</w:t>
            </w:r>
            <w:r>
              <w:rPr>
                <w:spacing w:val="16"/>
              </w:rPr>
              <w:t xml:space="preserve"> </w:t>
            </w:r>
            <w:r>
              <w:rPr>
                <w:spacing w:val="-12"/>
                <w:w w:val="96"/>
              </w:rPr>
              <w:t>试</w:t>
            </w:r>
            <w:r>
              <w:rPr/>
              <w:t xml:space="preserve">  </w:t>
            </w:r>
            <w:r>
              <w:rPr>
                <w:spacing w:val="-9"/>
              </w:rPr>
              <w:t>验、环境</w:t>
            </w:r>
            <w:r>
              <w:rPr/>
              <w:t xml:space="preserve">  </w:t>
            </w:r>
            <w:r>
              <w:rPr>
                <w:spacing w:val="-15"/>
              </w:rPr>
              <w:t>影</w:t>
            </w:r>
            <w:r>
              <w:rPr>
                <w:spacing w:val="12"/>
              </w:rPr>
              <w:t xml:space="preserve"> </w:t>
            </w:r>
            <w:r>
              <w:rPr>
                <w:spacing w:val="-15"/>
              </w:rPr>
              <w:t>响</w:t>
            </w:r>
            <w:r>
              <w:rPr>
                <w:spacing w:val="6"/>
              </w:rPr>
              <w:t xml:space="preserve"> </w:t>
            </w:r>
            <w:r>
              <w:rPr>
                <w:spacing w:val="-15"/>
              </w:rPr>
              <w:t>试</w:t>
            </w:r>
            <w:r>
              <w:rPr/>
              <w:t xml:space="preserve">  </w:t>
            </w:r>
            <w:r>
              <w:rPr>
                <w:spacing w:val="-9"/>
              </w:rPr>
              <w:t>验、残留</w:t>
            </w:r>
            <w:r>
              <w:rPr/>
              <w:t xml:space="preserve">  </w:t>
            </w:r>
            <w:r>
              <w:rPr>
                <w:spacing w:val="-7"/>
              </w:rPr>
              <w:t>试验</w:t>
            </w:r>
          </w:p>
        </w:tc>
        <w:tc>
          <w:tcPr>
            <w:tcW w:w="1129" w:type="dxa"/>
            <w:vAlign w:val="top"/>
          </w:tcPr>
          <w:p>
            <w:pPr>
              <w:pStyle w:val="TableText"/>
              <w:ind w:left="10" w:right="44" w:firstLine="130"/>
              <w:spacing w:before="67" w:line="252" w:lineRule="auto"/>
              <w:rPr/>
            </w:pPr>
            <w:r>
              <w:rPr/>
              <w:t>(17003)农药  </w:t>
            </w:r>
            <w:r>
              <w:rPr>
                <w:spacing w:val="8"/>
              </w:rPr>
              <w:t>正式登记(农药</w:t>
            </w:r>
            <w:r>
              <w:rPr>
                <w:spacing w:val="5"/>
              </w:rPr>
              <w:t xml:space="preserve"> </w:t>
            </w:r>
            <w:r>
              <w:rPr>
                <w:spacing w:val="1"/>
              </w:rPr>
              <w:t>和肥料登记的子</w:t>
            </w:r>
            <w:r>
              <w:rPr>
                <w:spacing w:val="5"/>
              </w:rPr>
              <w:t xml:space="preserve"> </w:t>
            </w:r>
            <w:r>
              <w:rPr>
                <w:spacing w:val="-5"/>
              </w:rPr>
              <w:t>项</w:t>
            </w:r>
            <w:r>
              <w:rPr>
                <w:spacing w:val="-32"/>
              </w:rPr>
              <w:t xml:space="preserve"> </w:t>
            </w:r>
            <w:r>
              <w:rPr>
                <w:spacing w:val="-5"/>
              </w:rPr>
              <w:t>)</w:t>
            </w:r>
          </w:p>
        </w:tc>
        <w:tc>
          <w:tcPr>
            <w:tcW w:w="809" w:type="dxa"/>
            <w:vAlign w:val="top"/>
          </w:tcPr>
          <w:p>
            <w:pPr>
              <w:pStyle w:val="TableText"/>
              <w:ind w:left="172"/>
              <w:spacing w:before="37" w:line="219" w:lineRule="auto"/>
              <w:rPr/>
            </w:pPr>
            <w:r>
              <w:rPr>
                <w:spacing w:val="-2"/>
              </w:rPr>
              <w:t>农业部</w:t>
            </w:r>
          </w:p>
        </w:tc>
        <w:tc>
          <w:tcPr>
            <w:tcW w:w="679" w:type="dxa"/>
            <w:vAlign w:val="top"/>
          </w:tcPr>
          <w:p>
            <w:pPr>
              <w:pStyle w:val="TableText"/>
              <w:ind w:left="22" w:right="44" w:firstLine="10"/>
              <w:spacing w:before="66" w:line="242" w:lineRule="auto"/>
              <w:jc w:val="both"/>
              <w:rPr/>
            </w:pPr>
            <w:r>
              <w:rPr>
                <w:spacing w:val="-3"/>
              </w:rPr>
              <w:t>具有相应</w:t>
            </w:r>
            <w:r>
              <w:rPr>
                <w:spacing w:val="2"/>
              </w:rPr>
              <w:t xml:space="preserve"> </w:t>
            </w:r>
            <w:r>
              <w:rPr>
                <w:spacing w:val="-1"/>
              </w:rPr>
              <w:t>资质的试</w:t>
            </w:r>
            <w:r>
              <w:rPr/>
              <w:t xml:space="preserve"> </w:t>
            </w:r>
            <w:r>
              <w:rPr>
                <w:spacing w:val="-2"/>
              </w:rPr>
              <w:t>验单位</w:t>
            </w:r>
          </w:p>
        </w:tc>
        <w:tc>
          <w:tcPr>
            <w:tcW w:w="6088" w:type="dxa"/>
            <w:vAlign w:val="top"/>
          </w:tcPr>
          <w:p>
            <w:pPr>
              <w:pStyle w:val="TableText"/>
              <w:ind w:left="14"/>
              <w:spacing w:before="66" w:line="219" w:lineRule="auto"/>
              <w:rPr/>
            </w:pPr>
            <w:r>
              <w:rPr/>
              <w:t>1.待新修订《农药管理条例》公布后予以修改</w:t>
            </w:r>
          </w:p>
        </w:tc>
      </w:tr>
      <w:tr>
        <w:trPr>
          <w:trHeight w:val="1038" w:hRule="atLeast"/>
        </w:trPr>
        <w:tc>
          <w:tcPr>
            <w:tcW w:w="285" w:type="dxa"/>
            <w:vAlign w:val="top"/>
          </w:tcPr>
          <w:p>
            <w:pPr>
              <w:pStyle w:val="TableText"/>
              <w:ind w:left="55"/>
              <w:spacing w:before="118" w:line="184" w:lineRule="auto"/>
              <w:rPr/>
            </w:pPr>
            <w:r>
              <w:rPr>
                <w:spacing w:val="-5"/>
              </w:rPr>
              <w:t>19</w:t>
            </w:r>
          </w:p>
        </w:tc>
        <w:tc>
          <w:tcPr>
            <w:tcW w:w="659" w:type="dxa"/>
            <w:vAlign w:val="top"/>
          </w:tcPr>
          <w:p>
            <w:pPr>
              <w:pStyle w:val="TableText"/>
              <w:ind w:left="10" w:firstLine="9"/>
              <w:spacing w:before="48" w:line="241" w:lineRule="auto"/>
              <w:jc w:val="both"/>
              <w:rPr/>
            </w:pPr>
            <w:r>
              <w:rPr>
                <w:spacing w:val="-12"/>
              </w:rPr>
              <w:t>农药药效</w:t>
            </w:r>
            <w:r>
              <w:rPr/>
              <w:t xml:space="preserve">  </w:t>
            </w:r>
            <w:r>
              <w:rPr>
                <w:spacing w:val="-10"/>
              </w:rPr>
              <w:t>试验、残</w:t>
            </w:r>
            <w:r>
              <w:rPr>
                <w:spacing w:val="1"/>
              </w:rPr>
              <w:t xml:space="preserve">  </w:t>
            </w:r>
            <w:r>
              <w:rPr>
                <w:spacing w:val="1"/>
              </w:rPr>
              <w:t>留试验</w:t>
            </w:r>
            <w:r>
              <w:rPr>
                <w:spacing w:val="-41"/>
              </w:rPr>
              <w:t xml:space="preserve"> </w:t>
            </w:r>
            <w:r>
              <w:rPr>
                <w:spacing w:val="1"/>
              </w:rPr>
              <w:t>、</w:t>
            </w:r>
            <w:r>
              <w:rPr/>
              <w:t xml:space="preserve"> </w:t>
            </w:r>
            <w:r>
              <w:rPr>
                <w:spacing w:val="-10"/>
              </w:rPr>
              <w:t>环境影响</w:t>
            </w:r>
            <w:r>
              <w:rPr>
                <w:spacing w:val="1"/>
              </w:rPr>
              <w:t xml:space="preserve">  </w:t>
            </w:r>
            <w:r>
              <w:rPr>
                <w:spacing w:val="-7"/>
              </w:rPr>
              <w:t>试验</w:t>
            </w:r>
          </w:p>
        </w:tc>
        <w:tc>
          <w:tcPr>
            <w:tcW w:w="1129" w:type="dxa"/>
            <w:vAlign w:val="top"/>
          </w:tcPr>
          <w:p>
            <w:pPr>
              <w:pStyle w:val="TableText"/>
              <w:ind w:left="10" w:right="44" w:firstLine="40"/>
              <w:spacing w:before="50" w:line="258" w:lineRule="auto"/>
              <w:jc w:val="both"/>
              <w:rPr/>
            </w:pPr>
            <w:r>
              <w:rPr>
                <w:spacing w:val="20"/>
              </w:rPr>
              <w:t>(17003)农药</w:t>
            </w:r>
            <w:r>
              <w:rPr/>
              <w:t xml:space="preserve"> </w:t>
            </w:r>
            <w:r>
              <w:rPr>
                <w:spacing w:val="6"/>
              </w:rPr>
              <w:t>变更登记(农药</w:t>
            </w:r>
            <w:r>
              <w:rPr>
                <w:spacing w:val="1"/>
              </w:rPr>
              <w:t xml:space="preserve"> </w:t>
            </w:r>
            <w:r>
              <w:rPr>
                <w:spacing w:val="1"/>
              </w:rPr>
              <w:t>和肥料登记的子</w:t>
            </w:r>
            <w:r>
              <w:rPr>
                <w:spacing w:val="5"/>
              </w:rPr>
              <w:t xml:space="preserve"> </w:t>
            </w:r>
            <w:r>
              <w:rPr>
                <w:spacing w:val="-5"/>
              </w:rPr>
              <w:t>项</w:t>
            </w:r>
            <w:r>
              <w:rPr>
                <w:spacing w:val="-32"/>
              </w:rPr>
              <w:t xml:space="preserve"> </w:t>
            </w:r>
            <w:r>
              <w:rPr>
                <w:spacing w:val="-5"/>
              </w:rPr>
              <w:t>)</w:t>
            </w:r>
          </w:p>
        </w:tc>
        <w:tc>
          <w:tcPr>
            <w:tcW w:w="809" w:type="dxa"/>
            <w:vAlign w:val="top"/>
          </w:tcPr>
          <w:p>
            <w:pPr>
              <w:pStyle w:val="TableText"/>
              <w:ind w:left="172"/>
              <w:spacing w:before="40" w:line="219" w:lineRule="auto"/>
              <w:rPr/>
            </w:pPr>
            <w:r>
              <w:rPr>
                <w:spacing w:val="-2"/>
              </w:rPr>
              <w:t>农业部</w:t>
            </w:r>
          </w:p>
        </w:tc>
        <w:tc>
          <w:tcPr>
            <w:tcW w:w="679" w:type="dxa"/>
            <w:vAlign w:val="top"/>
          </w:tcPr>
          <w:p>
            <w:pPr>
              <w:pStyle w:val="TableText"/>
              <w:ind w:left="22" w:right="44" w:firstLine="10"/>
              <w:spacing w:before="59" w:line="246" w:lineRule="auto"/>
              <w:jc w:val="both"/>
              <w:rPr/>
            </w:pPr>
            <w:r>
              <w:rPr>
                <w:spacing w:val="-3"/>
              </w:rPr>
              <w:t>具有相应</w:t>
            </w:r>
            <w:r>
              <w:rPr>
                <w:spacing w:val="2"/>
              </w:rPr>
              <w:t xml:space="preserve"> </w:t>
            </w:r>
            <w:r>
              <w:rPr>
                <w:spacing w:val="-1"/>
              </w:rPr>
              <w:t>资质的试</w:t>
            </w:r>
            <w:r>
              <w:rPr/>
              <w:t xml:space="preserve"> </w:t>
            </w:r>
            <w:r>
              <w:rPr>
                <w:spacing w:val="-2"/>
              </w:rPr>
              <w:t>验单位</w:t>
            </w:r>
          </w:p>
        </w:tc>
        <w:tc>
          <w:tcPr>
            <w:tcW w:w="6088" w:type="dxa"/>
            <w:vAlign w:val="top"/>
          </w:tcPr>
          <w:p>
            <w:pPr>
              <w:pStyle w:val="TableText"/>
              <w:ind w:left="14"/>
              <w:spacing w:before="59" w:line="219" w:lineRule="auto"/>
              <w:rPr/>
            </w:pPr>
            <w:r>
              <w:rPr/>
              <w:t>1.待新修订《农药管理条例》公布后予以修改</w:t>
            </w:r>
          </w:p>
        </w:tc>
      </w:tr>
      <w:tr>
        <w:trPr>
          <w:trHeight w:val="1467" w:hRule="atLeast"/>
        </w:trPr>
        <w:tc>
          <w:tcPr>
            <w:tcW w:w="285" w:type="dxa"/>
            <w:vAlign w:val="top"/>
          </w:tcPr>
          <w:p>
            <w:pPr>
              <w:pStyle w:val="TableText"/>
              <w:ind w:left="55"/>
              <w:spacing w:before="130" w:line="183" w:lineRule="auto"/>
              <w:rPr/>
            </w:pPr>
            <w:r>
              <w:rPr>
                <w:spacing w:val="-2"/>
              </w:rPr>
              <w:t>20</w:t>
            </w:r>
          </w:p>
        </w:tc>
        <w:tc>
          <w:tcPr>
            <w:tcW w:w="659" w:type="dxa"/>
            <w:vAlign w:val="top"/>
          </w:tcPr>
          <w:p>
            <w:pPr>
              <w:pStyle w:val="TableText"/>
              <w:ind w:left="10" w:firstLine="9"/>
              <w:spacing w:before="71" w:line="243" w:lineRule="auto"/>
              <w:jc w:val="both"/>
              <w:rPr/>
            </w:pPr>
            <w:r>
              <w:rPr>
                <w:spacing w:val="7"/>
              </w:rPr>
              <w:t>新饲料、</w:t>
            </w:r>
            <w:r>
              <w:rPr/>
              <w:t xml:space="preserve"> </w:t>
            </w:r>
            <w:r>
              <w:rPr>
                <w:spacing w:val="-10"/>
              </w:rPr>
              <w:t>新饲料添</w:t>
            </w:r>
            <w:r>
              <w:rPr>
                <w:spacing w:val="1"/>
              </w:rPr>
              <w:t xml:space="preserve">  </w:t>
            </w:r>
            <w:r>
              <w:rPr>
                <w:spacing w:val="-10"/>
              </w:rPr>
              <w:t>加剂有效</w:t>
            </w:r>
            <w:r>
              <w:rPr>
                <w:spacing w:val="1"/>
              </w:rPr>
              <w:t xml:space="preserve">  </w:t>
            </w:r>
            <w:r>
              <w:rPr>
                <w:spacing w:val="-10"/>
              </w:rPr>
              <w:t>性评价试</w:t>
            </w:r>
            <w:r>
              <w:rPr/>
              <w:t xml:space="preserve">  </w:t>
            </w:r>
            <w:r>
              <w:rPr/>
              <w:t>验</w:t>
            </w:r>
          </w:p>
        </w:tc>
        <w:tc>
          <w:tcPr>
            <w:tcW w:w="1129" w:type="dxa"/>
            <w:vAlign w:val="top"/>
          </w:tcPr>
          <w:p>
            <w:pPr>
              <w:pStyle w:val="TableText"/>
              <w:ind w:left="30" w:right="43" w:firstLine="20"/>
              <w:spacing w:before="72" w:line="253" w:lineRule="auto"/>
              <w:jc w:val="both"/>
              <w:rPr/>
            </w:pPr>
            <w:r>
              <w:rPr>
                <w:spacing w:val="20"/>
              </w:rPr>
              <w:t>(17012)新饲</w:t>
            </w:r>
            <w:r>
              <w:rPr>
                <w:spacing w:val="2"/>
              </w:rPr>
              <w:t xml:space="preserve"> </w:t>
            </w:r>
            <w:r>
              <w:rPr>
                <w:spacing w:val="-1"/>
              </w:rPr>
              <w:t>料、新饲料添加</w:t>
            </w:r>
            <w:r>
              <w:rPr/>
              <w:t xml:space="preserve"> </w:t>
            </w:r>
            <w:r>
              <w:rPr/>
              <w:t>剂证书核发</w:t>
            </w:r>
          </w:p>
        </w:tc>
        <w:tc>
          <w:tcPr>
            <w:tcW w:w="809" w:type="dxa"/>
            <w:vAlign w:val="top"/>
          </w:tcPr>
          <w:p>
            <w:pPr>
              <w:pStyle w:val="TableText"/>
              <w:ind w:left="172"/>
              <w:spacing w:before="72" w:line="219" w:lineRule="auto"/>
              <w:rPr/>
            </w:pPr>
            <w:r>
              <w:rPr>
                <w:spacing w:val="-2"/>
              </w:rPr>
              <w:t>农业部</w:t>
            </w:r>
          </w:p>
        </w:tc>
        <w:tc>
          <w:tcPr>
            <w:tcW w:w="679" w:type="dxa"/>
            <w:vAlign w:val="top"/>
          </w:tcPr>
          <w:p>
            <w:pPr>
              <w:pStyle w:val="TableText"/>
              <w:ind w:left="32" w:right="41"/>
              <w:spacing w:before="72" w:line="242" w:lineRule="auto"/>
              <w:jc w:val="both"/>
              <w:rPr/>
            </w:pPr>
            <w:r>
              <w:rPr>
                <w:spacing w:val="-3"/>
              </w:rPr>
              <w:t>具有开展</w:t>
            </w:r>
            <w:r>
              <w:rPr>
                <w:spacing w:val="2"/>
              </w:rPr>
              <w:t xml:space="preserve"> </w:t>
            </w:r>
            <w:r>
              <w:rPr>
                <w:spacing w:val="-2"/>
              </w:rPr>
              <w:t>饲料和饲</w:t>
            </w:r>
            <w:r>
              <w:rPr>
                <w:spacing w:val="1"/>
              </w:rPr>
              <w:t xml:space="preserve"> </w:t>
            </w:r>
            <w:r>
              <w:rPr>
                <w:spacing w:val="-2"/>
              </w:rPr>
              <w:t>料添加剂</w:t>
            </w:r>
            <w:r>
              <w:rPr>
                <w:spacing w:val="1"/>
              </w:rPr>
              <w:t xml:space="preserve"> </w:t>
            </w:r>
            <w:r>
              <w:rPr>
                <w:spacing w:val="-2"/>
              </w:rPr>
              <w:t>有效性或</w:t>
            </w:r>
            <w:r>
              <w:rPr/>
              <w:t xml:space="preserve"> </w:t>
            </w:r>
            <w:r>
              <w:rPr>
                <w:spacing w:val="-3"/>
              </w:rPr>
              <w:t>安全性评</w:t>
            </w:r>
            <w:r>
              <w:rPr>
                <w:spacing w:val="2"/>
              </w:rPr>
              <w:t xml:space="preserve"> </w:t>
            </w:r>
            <w:r>
              <w:rPr>
                <w:spacing w:val="-2"/>
              </w:rPr>
              <w:t>价试验能</w:t>
            </w:r>
            <w:r>
              <w:rPr/>
              <w:t xml:space="preserve"> </w:t>
            </w:r>
            <w:r>
              <w:rPr>
                <w:spacing w:val="-2"/>
              </w:rPr>
              <w:t>力的机构</w:t>
            </w:r>
          </w:p>
        </w:tc>
        <w:tc>
          <w:tcPr>
            <w:tcW w:w="6088" w:type="dxa"/>
            <w:vAlign w:val="top"/>
          </w:tcPr>
          <w:p>
            <w:pPr>
              <w:pStyle w:val="TableText"/>
              <w:ind w:left="34"/>
              <w:spacing w:before="81" w:line="219" w:lineRule="auto"/>
              <w:rPr/>
            </w:pPr>
            <w:r>
              <w:rPr>
                <w:spacing w:val="-2"/>
              </w:rPr>
              <w:t>1. 《饲料和饲料添加剂管理条例》(国务院令第609号)第八条</w:t>
            </w:r>
            <w:r>
              <w:rPr>
                <w:spacing w:val="-3"/>
              </w:rPr>
              <w:t>；研制的新饲料、新饲料添</w:t>
            </w:r>
          </w:p>
          <w:p>
            <w:pPr>
              <w:pStyle w:val="TableText"/>
              <w:ind w:left="14" w:right="69"/>
              <w:spacing w:before="42" w:line="253" w:lineRule="auto"/>
              <w:rPr/>
            </w:pPr>
            <w:r>
              <w:rPr/>
              <w:t>加剂投入生产前，研制者或者生产企业应当向国务院农业行政主管部门提出</w:t>
            </w:r>
            <w:r>
              <w:rPr>
                <w:spacing w:val="-1"/>
              </w:rPr>
              <w:t>审批申请，并提</w:t>
            </w:r>
            <w:r>
              <w:rPr/>
              <w:t xml:space="preserve"> </w:t>
            </w:r>
            <w:r>
              <w:rPr/>
              <w:t>供该新饲料、新饲料添加剂的样品和下列材料：(二)国务院农业行政主管部</w:t>
            </w:r>
            <w:r>
              <w:rPr>
                <w:spacing w:val="-1"/>
              </w:rPr>
              <w:t>门指定的试验机</w:t>
            </w:r>
            <w:r>
              <w:rPr/>
              <w:t xml:space="preserve"> </w:t>
            </w:r>
            <w:r>
              <w:rPr/>
              <w:t>构出具的该新饲料、新饲料添加剂的饲喂效果、残留消解动态以及毒理学安</w:t>
            </w:r>
            <w:r>
              <w:rPr>
                <w:spacing w:val="-1"/>
              </w:rPr>
              <w:t>全性评价报告。</w:t>
            </w:r>
          </w:p>
          <w:p>
            <w:pPr>
              <w:pStyle w:val="TableText"/>
              <w:ind w:left="14" w:right="432" w:firstLine="20"/>
              <w:spacing w:before="33" w:line="238" w:lineRule="auto"/>
              <w:rPr/>
            </w:pPr>
            <w:r>
              <w:rPr>
                <w:spacing w:val="-2"/>
              </w:rPr>
              <w:t>2. 《新饲料和新饲料添加剂管理办法》(农业部令2012年第4号)第七条：申请</w:t>
            </w:r>
            <w:r>
              <w:rPr>
                <w:spacing w:val="-3"/>
              </w:rPr>
              <w:t>资料包括</w:t>
            </w:r>
            <w:r>
              <w:rPr/>
              <w:t xml:space="preserve"> </w:t>
            </w:r>
            <w:r>
              <w:rPr/>
              <w:t>(七)农业部指定的试验机构出具的产品有效性评价试验报告、安全性</w:t>
            </w:r>
            <w:r>
              <w:rPr>
                <w:spacing w:val="-1"/>
              </w:rPr>
              <w:t>评价试验报告。</w:t>
            </w:r>
          </w:p>
        </w:tc>
      </w:tr>
      <w:tr>
        <w:trPr>
          <w:trHeight w:val="1453" w:hRule="atLeast"/>
        </w:trPr>
        <w:tc>
          <w:tcPr>
            <w:tcW w:w="285" w:type="dxa"/>
            <w:vAlign w:val="top"/>
          </w:tcPr>
          <w:p>
            <w:pPr>
              <w:pStyle w:val="TableText"/>
              <w:ind w:left="55"/>
              <w:spacing w:before="102" w:line="184" w:lineRule="auto"/>
              <w:rPr/>
            </w:pPr>
            <w:r>
              <w:rPr>
                <w:spacing w:val="-2"/>
              </w:rPr>
              <w:t>21</w:t>
            </w:r>
          </w:p>
        </w:tc>
        <w:tc>
          <w:tcPr>
            <w:tcW w:w="659" w:type="dxa"/>
            <w:vAlign w:val="top"/>
          </w:tcPr>
          <w:p>
            <w:pPr>
              <w:pStyle w:val="TableText"/>
              <w:ind w:left="10" w:firstLine="9"/>
              <w:spacing w:before="77" w:line="257" w:lineRule="auto"/>
              <w:jc w:val="both"/>
              <w:rPr/>
            </w:pPr>
            <w:r>
              <w:rPr>
                <w:spacing w:val="7"/>
              </w:rPr>
              <w:t>新饲料、</w:t>
            </w:r>
            <w:r>
              <w:rPr/>
              <w:t xml:space="preserve"> </w:t>
            </w:r>
            <w:r>
              <w:rPr>
                <w:spacing w:val="-10"/>
              </w:rPr>
              <w:t>新饲料添</w:t>
            </w:r>
            <w:r>
              <w:rPr>
                <w:spacing w:val="1"/>
              </w:rPr>
              <w:t xml:space="preserve">  </w:t>
            </w:r>
            <w:r>
              <w:rPr>
                <w:spacing w:val="-10"/>
              </w:rPr>
              <w:t>加剂安全</w:t>
            </w:r>
            <w:r>
              <w:rPr>
                <w:spacing w:val="1"/>
              </w:rPr>
              <w:t xml:space="preserve">  </w:t>
            </w:r>
            <w:r>
              <w:rPr>
                <w:spacing w:val="-10"/>
              </w:rPr>
              <w:t>性评价试</w:t>
            </w:r>
            <w:r>
              <w:rPr/>
              <w:t xml:space="preserve">  </w:t>
            </w:r>
            <w:r>
              <w:rPr/>
              <w:t>验</w:t>
            </w:r>
          </w:p>
        </w:tc>
        <w:tc>
          <w:tcPr>
            <w:tcW w:w="1129" w:type="dxa"/>
            <w:vAlign w:val="top"/>
          </w:tcPr>
          <w:p>
            <w:pPr>
              <w:pStyle w:val="TableText"/>
              <w:ind w:left="30" w:right="43" w:firstLine="20"/>
              <w:spacing w:before="65" w:line="257" w:lineRule="auto"/>
              <w:jc w:val="both"/>
              <w:rPr/>
            </w:pPr>
            <w:r>
              <w:rPr>
                <w:spacing w:val="20"/>
              </w:rPr>
              <w:t>(17012)新饲</w:t>
            </w:r>
            <w:r>
              <w:rPr>
                <w:spacing w:val="2"/>
              </w:rPr>
              <w:t xml:space="preserve"> </w:t>
            </w:r>
            <w:r>
              <w:rPr>
                <w:spacing w:val="-1"/>
              </w:rPr>
              <w:t>料、新饲料添加</w:t>
            </w:r>
            <w:r>
              <w:rPr/>
              <w:t xml:space="preserve"> </w:t>
            </w:r>
            <w:r>
              <w:rPr/>
              <w:t>剂证书核发</w:t>
            </w:r>
          </w:p>
        </w:tc>
        <w:tc>
          <w:tcPr>
            <w:tcW w:w="809" w:type="dxa"/>
            <w:vAlign w:val="top"/>
          </w:tcPr>
          <w:p>
            <w:pPr>
              <w:pStyle w:val="TableText"/>
              <w:ind w:left="172"/>
              <w:spacing w:before="55" w:line="219" w:lineRule="auto"/>
              <w:rPr/>
            </w:pPr>
            <w:r>
              <w:rPr>
                <w:spacing w:val="-2"/>
              </w:rPr>
              <w:t>农业部</w:t>
            </w:r>
          </w:p>
        </w:tc>
        <w:tc>
          <w:tcPr>
            <w:tcW w:w="679" w:type="dxa"/>
            <w:vAlign w:val="top"/>
          </w:tcPr>
          <w:p>
            <w:pPr>
              <w:pStyle w:val="TableText"/>
              <w:ind w:left="32" w:right="41"/>
              <w:spacing w:before="77"/>
              <w:jc w:val="both"/>
              <w:rPr/>
            </w:pPr>
            <w:r>
              <w:rPr>
                <w:spacing w:val="-3"/>
              </w:rPr>
              <w:t>具有开展</w:t>
            </w:r>
            <w:r>
              <w:rPr>
                <w:spacing w:val="2"/>
              </w:rPr>
              <w:t xml:space="preserve"> </w:t>
            </w:r>
            <w:r>
              <w:rPr>
                <w:spacing w:val="-2"/>
              </w:rPr>
              <w:t>饲料和饲</w:t>
            </w:r>
            <w:r>
              <w:rPr>
                <w:spacing w:val="1"/>
              </w:rPr>
              <w:t xml:space="preserve"> </w:t>
            </w:r>
            <w:r>
              <w:rPr>
                <w:spacing w:val="-2"/>
              </w:rPr>
              <w:t>料添加剂</w:t>
            </w:r>
            <w:r>
              <w:rPr>
                <w:spacing w:val="1"/>
              </w:rPr>
              <w:t xml:space="preserve"> </w:t>
            </w:r>
            <w:r>
              <w:rPr>
                <w:spacing w:val="-2"/>
              </w:rPr>
              <w:t>有效性或</w:t>
            </w:r>
            <w:r>
              <w:rPr/>
              <w:t xml:space="preserve"> </w:t>
            </w:r>
            <w:r>
              <w:rPr>
                <w:spacing w:val="-3"/>
              </w:rPr>
              <w:t>安全性评</w:t>
            </w:r>
            <w:r>
              <w:rPr>
                <w:spacing w:val="2"/>
              </w:rPr>
              <w:t xml:space="preserve"> </w:t>
            </w:r>
            <w:r>
              <w:rPr>
                <w:spacing w:val="-2"/>
              </w:rPr>
              <w:t>价试验能</w:t>
            </w:r>
            <w:r>
              <w:rPr/>
              <w:t xml:space="preserve"> </w:t>
            </w:r>
            <w:r>
              <w:rPr>
                <w:spacing w:val="-2"/>
              </w:rPr>
              <w:t>力的机构</w:t>
            </w:r>
          </w:p>
        </w:tc>
        <w:tc>
          <w:tcPr>
            <w:tcW w:w="6088" w:type="dxa"/>
            <w:vAlign w:val="top"/>
          </w:tcPr>
          <w:p>
            <w:pPr>
              <w:pStyle w:val="TableText"/>
              <w:ind w:left="43"/>
              <w:spacing w:before="74" w:line="219" w:lineRule="auto"/>
              <w:rPr/>
            </w:pPr>
            <w:r>
              <w:rPr>
                <w:spacing w:val="-2"/>
              </w:rPr>
              <w:t>1. 《饲料和饲料添加剂管理条例》(国务院令第609号)第八条</w:t>
            </w:r>
            <w:r>
              <w:rPr>
                <w:spacing w:val="-3"/>
              </w:rPr>
              <w:t>：研制的新饲料、新饲料添</w:t>
            </w:r>
          </w:p>
          <w:p>
            <w:pPr>
              <w:pStyle w:val="TableText"/>
              <w:ind w:left="14" w:right="59"/>
              <w:spacing w:before="41" w:line="249" w:lineRule="auto"/>
              <w:rPr/>
            </w:pPr>
            <w:r>
              <w:rPr/>
              <w:t>加剂投入生产前，研制者或者生产企业应当向国务院农业行政主管部门提出</w:t>
            </w:r>
            <w:r>
              <w:rPr>
                <w:spacing w:val="-1"/>
              </w:rPr>
              <w:t>审批申请，并提</w:t>
            </w:r>
            <w:r>
              <w:rPr/>
              <w:t xml:space="preserve"> </w:t>
            </w:r>
            <w:r>
              <w:rPr/>
              <w:t>供该新饲料、新饲料添加剂的样品和下列材料：(二)国务院农业行政主管部门指定的试验机</w:t>
            </w:r>
            <w:r>
              <w:rPr>
                <w:spacing w:val="3"/>
              </w:rPr>
              <w:t xml:space="preserve"> </w:t>
            </w:r>
            <w:r>
              <w:rPr/>
              <w:t>构出具的该新饲料、新饲料添加剂的饲喂效果、残留消解动态以及毒</w:t>
            </w:r>
            <w:r>
              <w:rPr>
                <w:spacing w:val="-1"/>
              </w:rPr>
              <w:t>理学安全性评价报告</w:t>
            </w:r>
          </w:p>
          <w:p>
            <w:pPr>
              <w:pStyle w:val="TableText"/>
              <w:ind w:left="14"/>
              <w:spacing w:before="33" w:line="219" w:lineRule="auto"/>
              <w:rPr/>
            </w:pPr>
            <w:r>
              <w:rPr>
                <w:spacing w:val="-2"/>
              </w:rPr>
              <w:t>2. 《新饲料和新饲料添加剂管理办法》(农业部令2012年第4号)第七条：申请资料</w:t>
            </w:r>
            <w:r>
              <w:rPr>
                <w:spacing w:val="-3"/>
              </w:rPr>
              <w:t>包括</w:t>
            </w:r>
          </w:p>
          <w:p>
            <w:pPr>
              <w:pStyle w:val="TableText"/>
              <w:ind w:left="93"/>
              <w:spacing w:before="51" w:line="218" w:lineRule="auto"/>
              <w:rPr/>
            </w:pPr>
            <w:r>
              <w:rPr/>
              <w:t>(七)农业部指定的试验机构出具的产品有效性评价试验报告、安全性</w:t>
            </w:r>
            <w:r>
              <w:rPr>
                <w:spacing w:val="-1"/>
              </w:rPr>
              <w:t>评价试验报告。</w:t>
            </w:r>
          </w:p>
        </w:tc>
      </w:tr>
    </w:tbl>
    <w:p>
      <w:pPr>
        <w:pStyle w:val="BodyText"/>
        <w:rPr/>
      </w:pPr>
      <w:r/>
    </w:p>
    <w:p>
      <w:pPr>
        <w:sectPr>
          <w:pgSz w:w="11910" w:h="8220"/>
          <w:pgMar w:top="400" w:right="1125" w:bottom="400" w:left="821" w:header="0" w:footer="0" w:gutter="0"/>
        </w:sectPr>
        <w:rPr/>
      </w:pPr>
    </w:p>
    <w:p>
      <w:pPr>
        <w:spacing w:before="11"/>
        <w:rPr/>
      </w:pPr>
      <w:r>
        <mc:AlternateContent xmlns:mc="http://schemas.openxmlformats.org/markup-compatibility/2006">
          <mc:Choice Requires="wps">
            <w:drawing>
              <wp:anchor distT="0" distB="0" distL="0" distR="0" simplePos="0" relativeHeight="251945984"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92" name="TextBox 392"/>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4" style="position:absolute;margin-left:37.0402pt;margin-top:48.636pt;mso-position-vertical-relative:page;mso-position-horizontal-relative:page;width:13.6pt;height:12.35pt;z-index:2519459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284</w:t>
                      </w:r>
                    </w:p>
                  </w:txbxContent>
                </v:textbox>
              </v:shape>
            </w:pict>
          </mc:Fallback>
        </mc:AlternateContent>
      </w:r>
      <w:r/>
    </w:p>
    <w:p>
      <w:pPr>
        <w:spacing w:before="11"/>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29"/>
        <w:gridCol w:w="669"/>
        <w:gridCol w:w="6088"/>
      </w:tblGrid>
      <w:tr>
        <w:trPr>
          <w:trHeight w:val="474" w:hRule="atLeast"/>
        </w:trPr>
        <w:tc>
          <w:tcPr>
            <w:tcW w:w="285" w:type="dxa"/>
            <w:vAlign w:val="top"/>
            <w:textDirection w:val="tbRlV"/>
          </w:tcPr>
          <w:p>
            <w:pPr>
              <w:pStyle w:val="TableText"/>
              <w:ind w:left="47"/>
              <w:spacing w:before="70" w:line="217" w:lineRule="auto"/>
              <w:rPr/>
            </w:pPr>
            <w:r>
              <w:rPr>
                <w:spacing w:val="-2"/>
              </w:rPr>
              <w:t>序 号</w:t>
            </w:r>
          </w:p>
        </w:tc>
        <w:tc>
          <w:tcPr>
            <w:tcW w:w="679" w:type="dxa"/>
            <w:vAlign w:val="top"/>
          </w:tcPr>
          <w:p>
            <w:pPr>
              <w:pStyle w:val="TableText"/>
              <w:ind w:left="30" w:right="32"/>
              <w:spacing w:before="80" w:line="236" w:lineRule="auto"/>
              <w:rPr/>
            </w:pPr>
            <w:r>
              <w:rPr>
                <w:spacing w:val="1"/>
              </w:rPr>
              <w:t>中介服务 </w:t>
            </w:r>
            <w:r>
              <w:rPr>
                <w:spacing w:val="-2"/>
              </w:rPr>
              <w:t>事项名称</w:t>
            </w:r>
          </w:p>
        </w:tc>
        <w:tc>
          <w:tcPr>
            <w:tcW w:w="1109" w:type="dxa"/>
            <w:vAlign w:val="top"/>
          </w:tcPr>
          <w:p>
            <w:pPr>
              <w:pStyle w:val="TableText"/>
              <w:ind w:left="239" w:right="35" w:hanging="219"/>
              <w:spacing w:before="82" w:line="235"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797" w:hRule="atLeast"/>
        </w:trPr>
        <w:tc>
          <w:tcPr>
            <w:tcW w:w="285" w:type="dxa"/>
            <w:vAlign w:val="top"/>
          </w:tcPr>
          <w:p>
            <w:pPr>
              <w:pStyle w:val="TableText"/>
              <w:ind w:left="55"/>
              <w:spacing w:before="115" w:line="183" w:lineRule="auto"/>
              <w:rPr/>
            </w:pPr>
            <w:r>
              <w:rPr>
                <w:spacing w:val="-2"/>
              </w:rPr>
              <w:t>22</w:t>
            </w:r>
          </w:p>
        </w:tc>
        <w:tc>
          <w:tcPr>
            <w:tcW w:w="679" w:type="dxa"/>
            <w:vAlign w:val="top"/>
          </w:tcPr>
          <w:p>
            <w:pPr>
              <w:pStyle w:val="TableText"/>
              <w:ind w:left="10" w:right="43" w:firstLine="20"/>
              <w:spacing w:before="79" w:line="257" w:lineRule="auto"/>
              <w:jc w:val="both"/>
              <w:rPr/>
            </w:pPr>
            <w:r>
              <w:rPr>
                <w:spacing w:val="-2"/>
              </w:rPr>
              <w:t>进口饲料</w:t>
            </w:r>
            <w:r>
              <w:rPr>
                <w:spacing w:val="2"/>
              </w:rPr>
              <w:t xml:space="preserve"> </w:t>
            </w:r>
            <w:r>
              <w:rPr>
                <w:spacing w:val="3"/>
              </w:rPr>
              <w:t>和饲料添</w:t>
            </w:r>
            <w:r>
              <w:rPr/>
              <w:t xml:space="preserve"> </w:t>
            </w:r>
            <w:r>
              <w:rPr>
                <w:spacing w:val="3"/>
              </w:rPr>
              <w:t>加剂有效</w:t>
            </w:r>
            <w:r>
              <w:rPr>
                <w:spacing w:val="1"/>
              </w:rPr>
              <w:t xml:space="preserve"> </w:t>
            </w:r>
            <w:r>
              <w:rPr>
                <w:spacing w:val="3"/>
              </w:rPr>
              <w:t>性评价试</w:t>
            </w:r>
            <w:r>
              <w:rPr/>
              <w:t xml:space="preserve"> </w:t>
            </w:r>
            <w:r>
              <w:rPr/>
              <w:t>验</w:t>
            </w:r>
          </w:p>
        </w:tc>
        <w:tc>
          <w:tcPr>
            <w:tcW w:w="1109" w:type="dxa"/>
            <w:vAlign w:val="top"/>
          </w:tcPr>
          <w:p>
            <w:pPr>
              <w:pStyle w:val="TableText"/>
              <w:ind w:left="20" w:right="33" w:firstLine="110"/>
              <w:spacing w:before="79" w:line="248" w:lineRule="auto"/>
              <w:rPr/>
            </w:pPr>
            <w:r>
              <w:rPr>
                <w:spacing w:val="1"/>
              </w:rPr>
              <w:t>(17013)进口</w:t>
            </w:r>
            <w:r>
              <w:rPr>
                <w:spacing w:val="3"/>
              </w:rPr>
              <w:t xml:space="preserve">  </w:t>
            </w:r>
            <w:r>
              <w:rPr>
                <w:spacing w:val="-1"/>
              </w:rPr>
              <w:t>饲料和饲料添加</w:t>
            </w:r>
            <w:r>
              <w:rPr/>
              <w:t xml:space="preserve"> </w:t>
            </w:r>
            <w:r>
              <w:rPr>
                <w:spacing w:val="-2"/>
              </w:rPr>
              <w:t>剂登记</w:t>
            </w:r>
          </w:p>
        </w:tc>
        <w:tc>
          <w:tcPr>
            <w:tcW w:w="829" w:type="dxa"/>
            <w:vAlign w:val="top"/>
          </w:tcPr>
          <w:p>
            <w:pPr>
              <w:pStyle w:val="TableText"/>
              <w:ind w:left="182"/>
              <w:spacing w:before="77" w:line="219" w:lineRule="auto"/>
              <w:rPr/>
            </w:pPr>
            <w:r>
              <w:rPr>
                <w:spacing w:val="-2"/>
              </w:rPr>
              <w:t>农业部</w:t>
            </w:r>
          </w:p>
        </w:tc>
        <w:tc>
          <w:tcPr>
            <w:tcW w:w="669" w:type="dxa"/>
            <w:vAlign w:val="top"/>
          </w:tcPr>
          <w:p>
            <w:pPr>
              <w:pStyle w:val="TableText"/>
              <w:ind w:left="22" w:right="41"/>
              <w:spacing w:before="79" w:line="261" w:lineRule="auto"/>
              <w:jc w:val="both"/>
              <w:rPr/>
            </w:pPr>
            <w:r>
              <w:rPr>
                <w:spacing w:val="-3"/>
              </w:rPr>
              <w:t>具有开展</w:t>
            </w:r>
            <w:r>
              <w:rPr>
                <w:spacing w:val="2"/>
              </w:rPr>
              <w:t xml:space="preserve"> </w:t>
            </w:r>
            <w:r>
              <w:rPr>
                <w:spacing w:val="-2"/>
              </w:rPr>
              <w:t>饲料和饲</w:t>
            </w:r>
            <w:r>
              <w:rPr>
                <w:spacing w:val="1"/>
              </w:rPr>
              <w:t xml:space="preserve"> </w:t>
            </w:r>
            <w:r>
              <w:rPr>
                <w:spacing w:val="-2"/>
              </w:rPr>
              <w:t>料添加剂</w:t>
            </w:r>
            <w:r>
              <w:rPr>
                <w:spacing w:val="1"/>
              </w:rPr>
              <w:t xml:space="preserve"> </w:t>
            </w:r>
            <w:r>
              <w:rPr>
                <w:spacing w:val="-2"/>
              </w:rPr>
              <w:t>有效性或</w:t>
            </w:r>
            <w:r>
              <w:rPr/>
              <w:t xml:space="preserve"> </w:t>
            </w:r>
            <w:r>
              <w:rPr>
                <w:spacing w:val="-3"/>
              </w:rPr>
              <w:t>安全性评</w:t>
            </w:r>
            <w:r>
              <w:rPr>
                <w:spacing w:val="2"/>
              </w:rPr>
              <w:t xml:space="preserve"> </w:t>
            </w:r>
            <w:r>
              <w:rPr>
                <w:spacing w:val="-2"/>
              </w:rPr>
              <w:t>价试验能</w:t>
            </w:r>
            <w:r>
              <w:rPr/>
              <w:t xml:space="preserve"> </w:t>
            </w:r>
            <w:r>
              <w:rPr>
                <w:spacing w:val="-2"/>
              </w:rPr>
              <w:t>力的机构</w:t>
            </w:r>
          </w:p>
        </w:tc>
        <w:tc>
          <w:tcPr>
            <w:tcW w:w="6088" w:type="dxa"/>
            <w:vAlign w:val="top"/>
          </w:tcPr>
          <w:p>
            <w:pPr>
              <w:pStyle w:val="TableText"/>
              <w:ind w:left="24"/>
              <w:spacing w:before="96" w:line="219" w:lineRule="auto"/>
              <w:rPr/>
            </w:pPr>
            <w:r>
              <w:rPr>
                <w:spacing w:val="-2"/>
              </w:rPr>
              <w:t>1. 《饲料和饲料添加剂管理条例》(国务院令第609号)第十二条：向中国出口中国境内尚</w:t>
            </w:r>
          </w:p>
          <w:p>
            <w:pPr>
              <w:pStyle w:val="TableText"/>
              <w:ind w:left="24" w:right="28" w:firstLine="10"/>
              <w:spacing w:before="33" w:line="232" w:lineRule="auto"/>
              <w:rPr/>
            </w:pPr>
            <w:r>
              <w:rPr/>
              <w:t>未使用但出口国已经批准生产和使用的饲料、饲料添加剂的，应当委托中国境内代理机构向</w:t>
            </w:r>
            <w:r>
              <w:rPr>
                <w:spacing w:val="14"/>
              </w:rPr>
              <w:t xml:space="preserve"> </w:t>
            </w:r>
            <w:r>
              <w:rPr>
                <w:spacing w:val="1"/>
              </w:rPr>
              <w:t>国务院农业行政主管部门申请登记，并提供该饲料、饲料添加剂的样品</w:t>
            </w:r>
            <w:r>
              <w:rPr/>
              <w:t>和下列资料：(四)</w:t>
            </w:r>
          </w:p>
          <w:p>
            <w:pPr>
              <w:pStyle w:val="TableText"/>
              <w:ind w:left="34"/>
              <w:spacing w:before="52" w:line="219" w:lineRule="auto"/>
              <w:rPr/>
            </w:pPr>
            <w:r>
              <w:rPr/>
              <w:t>国务院农业行政主管部门指定的试验机构出具的该饲料、饲料添加剂的饲喂效果、残留消</w:t>
            </w:r>
          </w:p>
          <w:p>
            <w:pPr>
              <w:pStyle w:val="TableText"/>
              <w:ind w:left="24" w:right="91" w:firstLine="49"/>
              <w:spacing w:before="41" w:line="245" w:lineRule="auto"/>
              <w:rPr/>
            </w:pPr>
            <w:r>
              <w:rPr>
                <w:spacing w:val="-2"/>
              </w:rPr>
              <w:t>解动态以及毒理学安全性评价报告。2. 《进口饲料和饲料添加剂登记管理办法》</w:t>
            </w:r>
            <w:r>
              <w:rPr>
                <w:spacing w:val="-3"/>
              </w:rPr>
              <w:t>(农业部令</w:t>
            </w:r>
            <w:r>
              <w:rPr/>
              <w:t xml:space="preserve"> </w:t>
            </w:r>
            <w:r>
              <w:rPr/>
              <w:t>2014年第2号)第七条：向中国出口本办法第十三条规定的饲料、饲料</w:t>
            </w:r>
            <w:r>
              <w:rPr>
                <w:spacing w:val="-1"/>
              </w:rPr>
              <w:t>添加剂的，还应提交</w:t>
            </w:r>
          </w:p>
          <w:p>
            <w:pPr>
              <w:pStyle w:val="TableText"/>
              <w:ind w:left="14" w:right="37" w:firstLine="20"/>
              <w:spacing w:before="41" w:line="232" w:lineRule="auto"/>
              <w:rPr/>
            </w:pPr>
            <w:r>
              <w:rPr>
                <w:spacing w:val="-3"/>
              </w:rPr>
              <w:t>以下申请材料：    (二)农业部指定的试验机构出具的产品有效</w:t>
            </w:r>
            <w:r>
              <w:rPr>
                <w:spacing w:val="-4"/>
              </w:rPr>
              <w:t>性评价试验报告、安全性评价</w:t>
            </w:r>
            <w:r>
              <w:rPr/>
              <w:t xml:space="preserve"> </w:t>
            </w:r>
            <w:r>
              <w:rPr>
                <w:spacing w:val="-1"/>
              </w:rPr>
              <w:t>试验报告。</w:t>
            </w:r>
          </w:p>
        </w:tc>
      </w:tr>
      <w:tr>
        <w:trPr>
          <w:trHeight w:val="1787" w:hRule="atLeast"/>
        </w:trPr>
        <w:tc>
          <w:tcPr>
            <w:tcW w:w="285" w:type="dxa"/>
            <w:vAlign w:val="top"/>
          </w:tcPr>
          <w:p>
            <w:pPr>
              <w:pStyle w:val="TableText"/>
              <w:ind w:left="55"/>
              <w:spacing w:before="128" w:line="183" w:lineRule="auto"/>
              <w:rPr/>
            </w:pPr>
            <w:r>
              <w:rPr>
                <w:spacing w:val="-2"/>
              </w:rPr>
              <w:t>23</w:t>
            </w:r>
          </w:p>
        </w:tc>
        <w:tc>
          <w:tcPr>
            <w:tcW w:w="679" w:type="dxa"/>
            <w:vAlign w:val="top"/>
          </w:tcPr>
          <w:p>
            <w:pPr>
              <w:pStyle w:val="TableText"/>
              <w:ind w:left="10" w:right="43" w:firstLine="20"/>
              <w:spacing w:before="62" w:line="257" w:lineRule="auto"/>
              <w:jc w:val="both"/>
              <w:rPr/>
            </w:pPr>
            <w:r>
              <w:rPr>
                <w:spacing w:val="-2"/>
              </w:rPr>
              <w:t>进口饲料</w:t>
            </w:r>
            <w:r>
              <w:rPr>
                <w:spacing w:val="2"/>
              </w:rPr>
              <w:t xml:space="preserve"> </w:t>
            </w:r>
            <w:r>
              <w:rPr>
                <w:spacing w:val="3"/>
              </w:rPr>
              <w:t>和饲料添</w:t>
            </w:r>
            <w:r>
              <w:rPr/>
              <w:t xml:space="preserve"> </w:t>
            </w:r>
            <w:r>
              <w:rPr>
                <w:spacing w:val="3"/>
              </w:rPr>
              <w:t>加剂安全</w:t>
            </w:r>
            <w:r>
              <w:rPr>
                <w:spacing w:val="1"/>
              </w:rPr>
              <w:t xml:space="preserve"> </w:t>
            </w:r>
            <w:r>
              <w:rPr>
                <w:spacing w:val="3"/>
              </w:rPr>
              <w:t>性评价试</w:t>
            </w:r>
            <w:r>
              <w:rPr/>
              <w:t xml:space="preserve"> </w:t>
            </w:r>
            <w:r>
              <w:rPr/>
              <w:t>验</w:t>
            </w:r>
          </w:p>
        </w:tc>
        <w:tc>
          <w:tcPr>
            <w:tcW w:w="1109" w:type="dxa"/>
            <w:vAlign w:val="top"/>
          </w:tcPr>
          <w:p>
            <w:pPr>
              <w:pStyle w:val="TableText"/>
              <w:ind w:left="20" w:right="33" w:firstLine="110"/>
              <w:spacing w:before="82" w:line="244" w:lineRule="auto"/>
              <w:rPr/>
            </w:pPr>
            <w:r>
              <w:rPr>
                <w:spacing w:val="1"/>
              </w:rPr>
              <w:t>(17013)进口</w:t>
            </w:r>
            <w:r>
              <w:rPr>
                <w:spacing w:val="3"/>
              </w:rPr>
              <w:t xml:space="preserve">  </w:t>
            </w:r>
            <w:r>
              <w:rPr>
                <w:spacing w:val="-1"/>
              </w:rPr>
              <w:t>饲料和饲料添加</w:t>
            </w:r>
            <w:r>
              <w:rPr/>
              <w:t xml:space="preserve"> </w:t>
            </w:r>
            <w:r>
              <w:rPr>
                <w:spacing w:val="-2"/>
              </w:rPr>
              <w:t>剂登记</w:t>
            </w:r>
          </w:p>
        </w:tc>
        <w:tc>
          <w:tcPr>
            <w:tcW w:w="829" w:type="dxa"/>
            <w:vAlign w:val="top"/>
          </w:tcPr>
          <w:p>
            <w:pPr>
              <w:pStyle w:val="TableText"/>
              <w:ind w:left="182"/>
              <w:spacing w:before="50" w:line="219" w:lineRule="auto"/>
              <w:rPr/>
            </w:pPr>
            <w:r>
              <w:rPr>
                <w:spacing w:val="-2"/>
              </w:rPr>
              <w:t>农业部</w:t>
            </w:r>
          </w:p>
        </w:tc>
        <w:tc>
          <w:tcPr>
            <w:tcW w:w="669" w:type="dxa"/>
            <w:vAlign w:val="top"/>
          </w:tcPr>
          <w:p>
            <w:pPr>
              <w:pStyle w:val="TableText"/>
              <w:ind w:left="22" w:right="41"/>
              <w:spacing w:before="61" w:line="263" w:lineRule="auto"/>
              <w:jc w:val="both"/>
              <w:rPr/>
            </w:pPr>
            <w:r>
              <w:rPr>
                <w:spacing w:val="-3"/>
              </w:rPr>
              <w:t>具有开展</w:t>
            </w:r>
            <w:r>
              <w:rPr>
                <w:spacing w:val="2"/>
              </w:rPr>
              <w:t xml:space="preserve"> </w:t>
            </w:r>
            <w:r>
              <w:rPr>
                <w:spacing w:val="-2"/>
              </w:rPr>
              <w:t>饲料和饲</w:t>
            </w:r>
            <w:r>
              <w:rPr>
                <w:spacing w:val="1"/>
              </w:rPr>
              <w:t xml:space="preserve"> </w:t>
            </w:r>
            <w:r>
              <w:rPr>
                <w:spacing w:val="-2"/>
              </w:rPr>
              <w:t>料添加剂</w:t>
            </w:r>
            <w:r>
              <w:rPr>
                <w:spacing w:val="1"/>
              </w:rPr>
              <w:t xml:space="preserve"> </w:t>
            </w:r>
            <w:r>
              <w:rPr>
                <w:spacing w:val="-2"/>
              </w:rPr>
              <w:t>有效性或</w:t>
            </w:r>
            <w:r>
              <w:rPr/>
              <w:t xml:space="preserve"> </w:t>
            </w:r>
            <w:r>
              <w:rPr>
                <w:spacing w:val="-3"/>
              </w:rPr>
              <w:t>安全性评</w:t>
            </w:r>
            <w:r>
              <w:rPr>
                <w:spacing w:val="2"/>
              </w:rPr>
              <w:t xml:space="preserve"> </w:t>
            </w:r>
            <w:r>
              <w:rPr>
                <w:spacing w:val="-2"/>
              </w:rPr>
              <w:t>价试验能</w:t>
            </w:r>
            <w:r>
              <w:rPr/>
              <w:t xml:space="preserve"> </w:t>
            </w:r>
            <w:r>
              <w:rPr>
                <w:spacing w:val="-2"/>
              </w:rPr>
              <w:t>力的机构</w:t>
            </w:r>
          </w:p>
        </w:tc>
        <w:tc>
          <w:tcPr>
            <w:tcW w:w="6088" w:type="dxa"/>
            <w:vAlign w:val="top"/>
          </w:tcPr>
          <w:p>
            <w:pPr>
              <w:pStyle w:val="TableText"/>
              <w:ind w:left="24"/>
              <w:spacing w:before="79" w:line="219" w:lineRule="auto"/>
              <w:rPr/>
            </w:pPr>
            <w:r>
              <w:rPr>
                <w:spacing w:val="-2"/>
              </w:rPr>
              <w:t>1. 《饲料和饲料添加剂管理条例》(国务院令第609号)第十二条：向中国出口中国境内尚</w:t>
            </w:r>
          </w:p>
          <w:p>
            <w:pPr>
              <w:pStyle w:val="TableText"/>
              <w:ind w:left="24" w:right="28" w:firstLine="10"/>
              <w:spacing w:before="41" w:line="245" w:lineRule="auto"/>
              <w:rPr/>
            </w:pPr>
            <w:r>
              <w:rPr/>
              <w:t>未使用但出口国已经批准生产和使用的饲料、饲料添加剂的，应当委托中国境内代理机构向</w:t>
            </w:r>
            <w:r>
              <w:rPr>
                <w:spacing w:val="14"/>
              </w:rPr>
              <w:t xml:space="preserve"> </w:t>
            </w:r>
            <w:r>
              <w:rPr>
                <w:spacing w:val="1"/>
              </w:rPr>
              <w:t>国务院农业行政主管部门申请登记，并提供该饲料、饲料添加剂的样品</w:t>
            </w:r>
            <w:r>
              <w:rPr/>
              <w:t>和下列资料：(四)</w:t>
            </w:r>
          </w:p>
          <w:p>
            <w:pPr>
              <w:pStyle w:val="TableText"/>
              <w:ind w:left="73" w:right="91" w:hanging="59"/>
              <w:spacing w:before="22" w:line="238" w:lineRule="auto"/>
              <w:rPr/>
            </w:pPr>
            <w:r>
              <w:rPr/>
              <w:t>国务院农业行政主管部门指定的试验机构出具的该饲料、饲料添加剂的饲</w:t>
            </w:r>
            <w:r>
              <w:rPr>
                <w:spacing w:val="-1"/>
              </w:rPr>
              <w:t>喂效果，残留消  </w:t>
            </w:r>
            <w:r>
              <w:rPr>
                <w:spacing w:val="-2"/>
              </w:rPr>
              <w:t>解动态以及毒理学安全性评价报告。2. 《进口饲料和饲料添加剂登记管理办法》</w:t>
            </w:r>
            <w:r>
              <w:rPr>
                <w:spacing w:val="-3"/>
              </w:rPr>
              <w:t>(农业部令</w:t>
            </w:r>
          </w:p>
          <w:p>
            <w:pPr>
              <w:pStyle w:val="TableText"/>
              <w:ind w:left="14" w:right="121" w:firstLine="99"/>
              <w:spacing w:before="43" w:line="257" w:lineRule="auto"/>
              <w:rPr/>
            </w:pPr>
            <w:r>
              <w:rPr/>
              <w:t>2014年第2号)第七条；向中国出口本办法第十三条规定的饲料、饲料</w:t>
            </w:r>
            <w:r>
              <w:rPr>
                <w:spacing w:val="-1"/>
              </w:rPr>
              <w:t>添加剂的，还应提交</w:t>
            </w:r>
            <w:r>
              <w:rPr/>
              <w:t xml:space="preserve"> </w:t>
            </w:r>
            <w:r>
              <w:rPr/>
              <w:t>以下申请材料；(二)农业部指定的试验机构出具的产品有效性评价试验报告、安全性评价</w:t>
            </w:r>
            <w:r>
              <w:rPr>
                <w:spacing w:val="2"/>
              </w:rPr>
              <w:t xml:space="preserve">  </w:t>
            </w:r>
            <w:r>
              <w:rPr>
                <w:spacing w:val="-1"/>
              </w:rPr>
              <w:t>试验报告。</w:t>
            </w:r>
          </w:p>
        </w:tc>
      </w:tr>
      <w:tr>
        <w:trPr>
          <w:trHeight w:val="2221" w:hRule="atLeast"/>
        </w:trPr>
        <w:tc>
          <w:tcPr>
            <w:tcW w:w="285" w:type="dxa"/>
            <w:vAlign w:val="top"/>
          </w:tcPr>
          <w:p>
            <w:pPr>
              <w:pStyle w:val="TableText"/>
              <w:ind w:left="55"/>
              <w:spacing w:before="131" w:line="183" w:lineRule="auto"/>
              <w:rPr/>
            </w:pPr>
            <w:r>
              <w:rPr>
                <w:spacing w:val="-2"/>
              </w:rPr>
              <w:t>24</w:t>
            </w:r>
          </w:p>
        </w:tc>
        <w:tc>
          <w:tcPr>
            <w:tcW w:w="679" w:type="dxa"/>
            <w:vAlign w:val="top"/>
          </w:tcPr>
          <w:p>
            <w:pPr>
              <w:pStyle w:val="TableText"/>
              <w:ind w:left="10" w:right="13" w:firstLine="20"/>
              <w:spacing w:before="75" w:line="261" w:lineRule="auto"/>
              <w:jc w:val="both"/>
              <w:rPr/>
            </w:pPr>
            <w:r>
              <w:rPr>
                <w:spacing w:val="-2"/>
              </w:rPr>
              <w:t>进口兽药</w:t>
            </w:r>
            <w:r>
              <w:rPr>
                <w:spacing w:val="2"/>
              </w:rPr>
              <w:t xml:space="preserve"> </w:t>
            </w:r>
            <w:r>
              <w:rPr>
                <w:spacing w:val="-9"/>
              </w:rPr>
              <w:t>临</w:t>
            </w:r>
            <w:r>
              <w:rPr>
                <w:spacing w:val="35"/>
                <w:w w:val="101"/>
              </w:rPr>
              <w:t xml:space="preserve"> </w:t>
            </w:r>
            <w:r>
              <w:rPr>
                <w:spacing w:val="-9"/>
              </w:rPr>
              <w:t>床</w:t>
            </w:r>
            <w:r>
              <w:rPr>
                <w:spacing w:val="36"/>
              </w:rPr>
              <w:t xml:space="preserve"> </w:t>
            </w:r>
            <w:r>
              <w:rPr>
                <w:spacing w:val="-9"/>
              </w:rPr>
              <w:t>试</w:t>
            </w:r>
            <w:r>
              <w:rPr/>
              <w:t xml:space="preserve"> </w:t>
            </w:r>
            <w:r>
              <w:rPr>
                <w:spacing w:val="3"/>
              </w:rPr>
              <w:t>验、残留</w:t>
            </w:r>
            <w:r>
              <w:rPr>
                <w:spacing w:val="1"/>
              </w:rPr>
              <w:t xml:space="preserve"> </w:t>
            </w:r>
            <w:r>
              <w:rPr>
                <w:spacing w:val="3"/>
              </w:rPr>
              <w:t>检测方法</w:t>
            </w:r>
            <w:r>
              <w:rPr>
                <w:spacing w:val="1"/>
              </w:rPr>
              <w:t xml:space="preserve"> </w:t>
            </w:r>
            <w:r>
              <w:rPr>
                <w:spacing w:val="3"/>
              </w:rPr>
              <w:t>验证及残</w:t>
            </w:r>
            <w:r>
              <w:rPr>
                <w:spacing w:val="1"/>
              </w:rPr>
              <w:t xml:space="preserve"> </w:t>
            </w:r>
            <w:r>
              <w:rPr>
                <w:spacing w:val="6"/>
              </w:rPr>
              <w:t>留消除试</w:t>
            </w:r>
            <w:r>
              <w:rPr/>
              <w:t xml:space="preserve"> </w:t>
            </w:r>
            <w:r>
              <w:rPr/>
              <w:t>验</w:t>
            </w:r>
          </w:p>
        </w:tc>
        <w:tc>
          <w:tcPr>
            <w:tcW w:w="1109" w:type="dxa"/>
            <w:vAlign w:val="top"/>
          </w:tcPr>
          <w:p>
            <w:pPr>
              <w:pStyle w:val="TableText"/>
              <w:ind w:left="20" w:right="15" w:firstLine="20"/>
              <w:spacing w:before="74" w:line="260" w:lineRule="auto"/>
              <w:rPr/>
            </w:pPr>
            <w:r>
              <w:rPr>
                <w:spacing w:val="21"/>
              </w:rPr>
              <w:t>(17016)进口</w:t>
            </w:r>
            <w:r>
              <w:rPr>
                <w:spacing w:val="7"/>
              </w:rPr>
              <w:t xml:space="preserve"> </w:t>
            </w:r>
            <w:r>
              <w:rPr>
                <w:spacing w:val="3"/>
              </w:rPr>
              <w:t>兽药注册(兽药</w:t>
            </w:r>
            <w:r>
              <w:rPr/>
              <w:t xml:space="preserve">  </w:t>
            </w:r>
            <w:r>
              <w:rPr>
                <w:spacing w:val="12"/>
              </w:rPr>
              <w:t>注册)(向中国</w:t>
            </w:r>
            <w:r>
              <w:rPr/>
              <w:t xml:space="preserve">  </w:t>
            </w:r>
            <w:r>
              <w:rPr>
                <w:spacing w:val="1"/>
              </w:rPr>
              <w:t>出口兽药注册和</w:t>
            </w:r>
            <w:r>
              <w:rPr>
                <w:spacing w:val="4"/>
              </w:rPr>
              <w:t xml:space="preserve"> </w:t>
            </w:r>
            <w:r>
              <w:rPr>
                <w:spacing w:val="-1"/>
              </w:rPr>
              <w:t>兽药进口审批的</w:t>
            </w:r>
            <w:r>
              <w:rPr/>
              <w:t xml:space="preserve"> </w:t>
            </w:r>
            <w:r>
              <w:rPr>
                <w:spacing w:val="9"/>
              </w:rPr>
              <w:t>子项)</w:t>
            </w:r>
          </w:p>
        </w:tc>
        <w:tc>
          <w:tcPr>
            <w:tcW w:w="829" w:type="dxa"/>
            <w:vAlign w:val="top"/>
          </w:tcPr>
          <w:p>
            <w:pPr>
              <w:pStyle w:val="TableText"/>
              <w:ind w:left="182"/>
              <w:spacing w:before="53" w:line="219" w:lineRule="auto"/>
              <w:rPr/>
            </w:pPr>
            <w:r>
              <w:rPr>
                <w:spacing w:val="-2"/>
              </w:rPr>
              <w:t>农业部</w:t>
            </w:r>
          </w:p>
        </w:tc>
        <w:tc>
          <w:tcPr>
            <w:tcW w:w="669" w:type="dxa"/>
            <w:vAlign w:val="top"/>
          </w:tcPr>
          <w:p>
            <w:pPr>
              <w:pStyle w:val="TableText"/>
              <w:ind w:left="12" w:firstLine="9"/>
              <w:spacing w:before="66" w:line="264" w:lineRule="auto"/>
              <w:jc w:val="both"/>
              <w:rPr/>
            </w:pPr>
            <w:r>
              <w:rPr>
                <w:spacing w:val="-3"/>
              </w:rPr>
              <w:t>具有兽药</w:t>
            </w:r>
            <w:r>
              <w:rPr>
                <w:spacing w:val="1"/>
              </w:rPr>
              <w:t xml:space="preserve"> </w:t>
            </w:r>
            <w:r>
              <w:rPr/>
              <w:t>非临床或 </w:t>
            </w:r>
            <w:r>
              <w:rPr>
                <w:spacing w:val="3"/>
              </w:rPr>
              <w:t>临床试验</w:t>
            </w:r>
            <w:r>
              <w:rPr>
                <w:spacing w:val="2"/>
              </w:rPr>
              <w:t xml:space="preserve"> </w:t>
            </w:r>
            <w:r>
              <w:rPr/>
              <w:t>研究质量</w:t>
            </w:r>
            <w:r>
              <w:rPr>
                <w:spacing w:val="2"/>
              </w:rPr>
              <w:t xml:space="preserve"> </w:t>
            </w:r>
            <w:r>
              <w:rPr>
                <w:spacing w:val="-1"/>
              </w:rPr>
              <w:t>管理规范</w:t>
            </w:r>
            <w:r>
              <w:rPr>
                <w:spacing w:val="2"/>
              </w:rPr>
              <w:t xml:space="preserve"> </w:t>
            </w:r>
            <w:r>
              <w:rPr/>
              <w:t>条件的单 </w:t>
            </w:r>
            <w:r>
              <w:rPr>
                <w:spacing w:val="-19"/>
                <w:w w:val="97"/>
              </w:rPr>
              <w:t>位，或者</w:t>
            </w:r>
            <w:r>
              <w:rPr>
                <w:spacing w:val="-9"/>
                <w:w w:val="97"/>
              </w:rPr>
              <w:t>具</w:t>
            </w:r>
            <w:r>
              <w:rPr>
                <w:spacing w:val="2"/>
              </w:rPr>
              <w:t xml:space="preserve"> </w:t>
            </w:r>
            <w:r>
              <w:rPr/>
              <w:t>有兽药残</w:t>
            </w:r>
            <w:r>
              <w:rPr>
                <w:spacing w:val="1"/>
              </w:rPr>
              <w:t xml:space="preserve"> </w:t>
            </w:r>
            <w:r>
              <w:rPr>
                <w:spacing w:val="4"/>
              </w:rPr>
              <w:t>留检测能</w:t>
            </w:r>
            <w:r>
              <w:rPr/>
              <w:t xml:space="preserve"> </w:t>
            </w:r>
            <w:r>
              <w:rPr/>
              <w:t>力的单位</w:t>
            </w:r>
          </w:p>
        </w:tc>
        <w:tc>
          <w:tcPr>
            <w:tcW w:w="6088" w:type="dxa"/>
            <w:vAlign w:val="top"/>
          </w:tcPr>
          <w:p>
            <w:pPr>
              <w:pStyle w:val="TableText"/>
              <w:ind w:left="24"/>
              <w:spacing w:before="82" w:line="219" w:lineRule="auto"/>
              <w:rPr/>
            </w:pPr>
            <w:r>
              <w:rPr>
                <w:spacing w:val="-2"/>
              </w:rPr>
              <w:t>1. 《兽药管理条例》(国务院令第404号)第三十二条：首次向中</w:t>
            </w:r>
            <w:r>
              <w:rPr>
                <w:spacing w:val="-3"/>
              </w:rPr>
              <w:t>国出口的兽药，由出口方</w:t>
            </w:r>
          </w:p>
          <w:p>
            <w:pPr>
              <w:pStyle w:val="TableText"/>
              <w:ind w:left="14"/>
              <w:spacing w:before="42" w:line="219" w:lineRule="auto"/>
              <w:rPr/>
            </w:pPr>
            <w:r>
              <w:rPr/>
              <w:t>驻中国境内的办事机构或者其委托的中国境内代理机构向国务院兽医行</w:t>
            </w:r>
            <w:r>
              <w:rPr>
                <w:spacing w:val="-1"/>
              </w:rPr>
              <w:t>政管理部门申请注</w:t>
            </w:r>
          </w:p>
          <w:p>
            <w:pPr>
              <w:pStyle w:val="TableText"/>
              <w:ind w:left="14" w:right="15" w:firstLine="20"/>
              <w:spacing w:before="31" w:line="261" w:lineRule="auto"/>
              <w:rPr/>
            </w:pPr>
            <w:r>
              <w:rPr>
                <w:spacing w:val="-4"/>
              </w:rPr>
              <w:t>册，并提交下列资料和物品；</w:t>
            </w:r>
            <w:r>
              <w:rPr>
                <w:spacing w:val="26"/>
              </w:rPr>
              <w:t xml:space="preserve">   </w:t>
            </w:r>
            <w:r>
              <w:rPr>
                <w:spacing w:val="-4"/>
              </w:rPr>
              <w:t>(三)兽药的制造方法、生产工艺、质量标准、检测方法、药</w:t>
            </w:r>
            <w:r>
              <w:rPr/>
              <w:t xml:space="preserve"> </w:t>
            </w:r>
            <w:r>
              <w:rPr/>
              <w:t>理和毒理试验结果、临床试验报告、稳定性试验报告及其他相关资料；用于食用动物的兽药</w:t>
            </w:r>
            <w:r>
              <w:rPr>
                <w:spacing w:val="11"/>
              </w:rPr>
              <w:t xml:space="preserve"> </w:t>
            </w:r>
            <w:r>
              <w:rPr>
                <w:spacing w:val="-2"/>
              </w:rPr>
              <w:t>的休药期、最高残留限量标准、残留检测方法及其制定依</w:t>
            </w:r>
            <w:r>
              <w:rPr>
                <w:spacing w:val="-3"/>
              </w:rPr>
              <w:t>据等资料。2. 《兽药注册办法》(农</w:t>
            </w:r>
            <w:r>
              <w:rPr/>
              <w:t xml:space="preserve"> </w:t>
            </w:r>
            <w:r>
              <w:rPr/>
              <w:t>业部令2004年第44号)第十九条：申请进口注册的兽用化学药品，应当在</w:t>
            </w:r>
            <w:r>
              <w:rPr>
                <w:spacing w:val="-1"/>
              </w:rPr>
              <w:t>中华人民共和国</w:t>
            </w:r>
          </w:p>
          <w:p>
            <w:pPr>
              <w:pStyle w:val="TableText"/>
              <w:ind w:left="14" w:right="50" w:firstLine="20"/>
              <w:spacing w:before="32" w:line="245" w:lineRule="auto"/>
              <w:rPr/>
            </w:pPr>
            <w:r>
              <w:rPr/>
              <w:t>境内指定的机构进行相关临床试验和残留检测方法验证；必要时，农业部</w:t>
            </w:r>
            <w:r>
              <w:rPr>
                <w:spacing w:val="-1"/>
              </w:rPr>
              <w:t>可以要求进行残留</w:t>
            </w:r>
            <w:r>
              <w:rPr/>
              <w:t xml:space="preserve"> </w:t>
            </w:r>
            <w:r>
              <w:rPr>
                <w:spacing w:val="-1"/>
              </w:rPr>
              <w:t>消除试验，以确定休药期。</w:t>
            </w:r>
          </w:p>
        </w:tc>
      </w:tr>
    </w:tbl>
    <w:p>
      <w:pPr>
        <w:pStyle w:val="BodyText"/>
        <w:rPr/>
      </w:pPr>
      <w:r/>
    </w:p>
    <w:p>
      <w:pPr>
        <w:sectPr>
          <w:pgSz w:w="11910" w:h="8220"/>
          <w:pgMar w:top="400" w:right="1125" w:bottom="400" w:left="821" w:header="0" w:footer="0" w:gutter="0"/>
        </w:sectPr>
        <w:rPr/>
      </w:pPr>
    </w:p>
    <w:p>
      <w:pPr>
        <w:spacing w:before="213"/>
        <w:rPr/>
      </w:pPr>
      <w:r>
        <mc:AlternateContent xmlns:mc="http://schemas.openxmlformats.org/markup-compatibility/2006">
          <mc:Choice Requires="wps">
            <w:drawing>
              <wp:anchor distT="0" distB="0" distL="0" distR="0" simplePos="0" relativeHeight="251947008"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94" name="TextBox 39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6" style="position:absolute;margin-left:37.0402pt;margin-top:345.135pt;mso-position-vertical-relative:page;mso-position-horizontal-relative:page;width:13.6pt;height:12.35pt;z-index:25194700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285</w:t>
                      </w:r>
                    </w:p>
                  </w:txbxContent>
                </v:textbox>
              </v:shape>
            </w:pict>
          </mc:Fallback>
        </mc:AlternateContent>
      </w: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29"/>
        <w:gridCol w:w="669"/>
        <w:gridCol w:w="6088"/>
      </w:tblGrid>
      <w:tr>
        <w:trPr>
          <w:trHeight w:val="474" w:hRule="atLeast"/>
        </w:trPr>
        <w:tc>
          <w:tcPr>
            <w:tcW w:w="285" w:type="dxa"/>
            <w:vAlign w:val="top"/>
            <w:textDirection w:val="tbRlV"/>
          </w:tcPr>
          <w:p>
            <w:pPr>
              <w:pStyle w:val="TableText"/>
              <w:ind w:left="72"/>
              <w:spacing w:before="75" w:line="210" w:lineRule="auto"/>
              <w:rPr/>
            </w:pPr>
            <w:r>
              <w:rPr>
                <w:spacing w:val="-1"/>
              </w:rPr>
              <w:t>序</w:t>
            </w:r>
            <w:r>
              <w:rPr>
                <w:spacing w:val="-15"/>
              </w:rPr>
              <w:t xml:space="preserve"> </w:t>
            </w:r>
            <w:r>
              <w:rPr>
                <w:spacing w:val="-1"/>
              </w:rPr>
              <w:t>号</w:t>
            </w:r>
          </w:p>
        </w:tc>
        <w:tc>
          <w:tcPr>
            <w:tcW w:w="679" w:type="dxa"/>
            <w:vAlign w:val="top"/>
          </w:tcPr>
          <w:p>
            <w:pPr>
              <w:pStyle w:val="TableText"/>
              <w:ind w:left="30" w:right="32"/>
              <w:spacing w:before="60" w:line="246" w:lineRule="auto"/>
              <w:rPr/>
            </w:pPr>
            <w:r>
              <w:rPr>
                <w:spacing w:val="1"/>
              </w:rPr>
              <w:t>中介服务 </w:t>
            </w:r>
            <w:r>
              <w:rPr>
                <w:spacing w:val="-2"/>
              </w:rPr>
              <w:t>事项名称</w:t>
            </w:r>
          </w:p>
        </w:tc>
        <w:tc>
          <w:tcPr>
            <w:tcW w:w="1109" w:type="dxa"/>
            <w:vAlign w:val="top"/>
          </w:tcPr>
          <w:p>
            <w:pPr>
              <w:pStyle w:val="TableText"/>
              <w:ind w:left="239" w:right="35" w:hanging="219"/>
              <w:spacing w:before="62" w:line="245"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557" w:hRule="atLeast"/>
        </w:trPr>
        <w:tc>
          <w:tcPr>
            <w:tcW w:w="285" w:type="dxa"/>
            <w:vAlign w:val="top"/>
          </w:tcPr>
          <w:p>
            <w:pPr>
              <w:pStyle w:val="TableText"/>
              <w:ind w:left="55"/>
              <w:spacing w:before="95" w:line="183" w:lineRule="auto"/>
              <w:rPr/>
            </w:pPr>
            <w:r>
              <w:rPr>
                <w:spacing w:val="-2"/>
              </w:rPr>
              <w:t>25</w:t>
            </w:r>
          </w:p>
        </w:tc>
        <w:tc>
          <w:tcPr>
            <w:tcW w:w="679" w:type="dxa"/>
            <w:vAlign w:val="top"/>
          </w:tcPr>
          <w:p>
            <w:pPr>
              <w:pStyle w:val="TableText"/>
              <w:ind w:left="30" w:right="23"/>
              <w:spacing w:before="36" w:line="259" w:lineRule="auto"/>
              <w:rPr/>
            </w:pPr>
            <w:r>
              <w:rPr>
                <w:spacing w:val="3"/>
              </w:rPr>
              <w:t>兽药产品</w:t>
            </w:r>
            <w:r>
              <w:rPr>
                <w:spacing w:val="2"/>
              </w:rPr>
              <w:t xml:space="preserve"> </w:t>
            </w:r>
            <w:r>
              <w:rPr>
                <w:spacing w:val="1"/>
              </w:rPr>
              <w:t>比对试验</w:t>
            </w:r>
          </w:p>
        </w:tc>
        <w:tc>
          <w:tcPr>
            <w:tcW w:w="1109" w:type="dxa"/>
            <w:vAlign w:val="top"/>
          </w:tcPr>
          <w:p>
            <w:pPr>
              <w:pStyle w:val="TableText"/>
              <w:ind w:left="20" w:right="11" w:firstLine="110"/>
              <w:spacing w:before="58" w:line="251" w:lineRule="auto"/>
              <w:rPr/>
            </w:pPr>
            <w:r>
              <w:rPr/>
              <w:t>(17018)兽药  </w:t>
            </w:r>
            <w:r>
              <w:rPr>
                <w:spacing w:val="-1"/>
              </w:rPr>
              <w:t>产品批准文号核</w:t>
            </w:r>
            <w:r>
              <w:rPr/>
              <w:t xml:space="preserve"> </w:t>
            </w:r>
            <w:r>
              <w:rPr>
                <w:spacing w:val="2"/>
              </w:rPr>
              <w:t>发及标签、说明</w:t>
            </w:r>
            <w:r>
              <w:rPr>
                <w:spacing w:val="1"/>
              </w:rPr>
              <w:t xml:space="preserve"> </w:t>
            </w:r>
            <w:r>
              <w:rPr>
                <w:spacing w:val="-2"/>
              </w:rPr>
              <w:t>书审批</w:t>
            </w:r>
          </w:p>
        </w:tc>
        <w:tc>
          <w:tcPr>
            <w:tcW w:w="829" w:type="dxa"/>
            <w:vAlign w:val="top"/>
          </w:tcPr>
          <w:p>
            <w:pPr>
              <w:pStyle w:val="TableText"/>
              <w:ind w:left="182"/>
              <w:spacing w:before="57" w:line="219" w:lineRule="auto"/>
              <w:rPr/>
            </w:pPr>
            <w:r>
              <w:rPr>
                <w:spacing w:val="-2"/>
              </w:rPr>
              <w:t>农业部</w:t>
            </w:r>
          </w:p>
        </w:tc>
        <w:tc>
          <w:tcPr>
            <w:tcW w:w="669" w:type="dxa"/>
            <w:vAlign w:val="top"/>
          </w:tcPr>
          <w:p>
            <w:pPr>
              <w:pStyle w:val="TableText"/>
              <w:ind w:left="12" w:right="29" w:firstLine="10"/>
              <w:spacing w:before="56" w:line="262" w:lineRule="auto"/>
              <w:jc w:val="both"/>
              <w:rPr/>
            </w:pPr>
            <w:r>
              <w:rPr>
                <w:spacing w:val="-3"/>
              </w:rPr>
              <w:t>具有兽药</w:t>
            </w:r>
            <w:r>
              <w:rPr>
                <w:spacing w:val="2"/>
              </w:rPr>
              <w:t xml:space="preserve"> </w:t>
            </w:r>
            <w:r>
              <w:rPr/>
              <w:t>非临床或 </w:t>
            </w:r>
            <w:r>
              <w:rPr>
                <w:spacing w:val="4"/>
              </w:rPr>
              <w:t>临床试验</w:t>
            </w:r>
            <w:r>
              <w:rPr/>
              <w:t xml:space="preserve"> </w:t>
            </w:r>
            <w:r>
              <w:rPr>
                <w:spacing w:val="1"/>
              </w:rPr>
              <w:t>研究质量</w:t>
            </w:r>
            <w:r>
              <w:rPr/>
              <w:t xml:space="preserve"> </w:t>
            </w:r>
            <w:r>
              <w:rPr/>
              <w:t>管理规范 </w:t>
            </w:r>
            <w:r>
              <w:rPr/>
              <w:t>条件的单</w:t>
            </w:r>
            <w:r>
              <w:rPr>
                <w:spacing w:val="1"/>
              </w:rPr>
              <w:t xml:space="preserve"> </w:t>
            </w:r>
            <w:r>
              <w:rPr/>
              <w:t>位</w:t>
            </w:r>
          </w:p>
        </w:tc>
        <w:tc>
          <w:tcPr>
            <w:tcW w:w="6088" w:type="dxa"/>
            <w:vAlign w:val="top"/>
          </w:tcPr>
          <w:p>
            <w:pPr>
              <w:pStyle w:val="TableText"/>
              <w:ind w:left="34"/>
              <w:spacing w:before="76" w:line="219" w:lineRule="auto"/>
              <w:rPr/>
            </w:pPr>
            <w:r>
              <w:rPr>
                <w:spacing w:val="-2"/>
              </w:rPr>
              <w:t>1. 《兽药管理条例》(国务院令第404号)第十五条：兽药生产企业生产兽药，应当取得国</w:t>
            </w:r>
          </w:p>
          <w:p>
            <w:pPr>
              <w:pStyle w:val="TableText"/>
              <w:ind w:left="34" w:right="86" w:firstLine="39"/>
              <w:spacing w:before="43" w:line="253" w:lineRule="auto"/>
              <w:rPr/>
            </w:pPr>
            <w:r>
              <w:rPr/>
              <w:t>务院兽医行政管理部门核发的产品批准文号，产品批准文号的有效期为</w:t>
            </w:r>
            <w:r>
              <w:rPr>
                <w:spacing w:val="-1"/>
              </w:rPr>
              <w:t>5年。兽药产品批准</w:t>
            </w:r>
            <w:r>
              <w:rPr/>
              <w:t xml:space="preserve"> </w:t>
            </w:r>
            <w:r>
              <w:rPr>
                <w:spacing w:val="-1"/>
              </w:rPr>
              <w:t>文号的核发办法由国务院兽医行政管理部门制定。2. 《兽药产品批准文号管</w:t>
            </w:r>
            <w:r>
              <w:rPr>
                <w:spacing w:val="-2"/>
              </w:rPr>
              <w:t>理办法》(农业</w:t>
            </w:r>
            <w:r>
              <w:rPr/>
              <w:t xml:space="preserve"> </w:t>
            </w:r>
            <w:r>
              <w:rPr/>
              <w:t>部令2015年第4号)第十条：申请第六条、第九条规定之外的非生物</w:t>
            </w:r>
            <w:r>
              <w:rPr>
                <w:spacing w:val="-1"/>
              </w:rPr>
              <w:t>制品类兽药产品批准</w:t>
            </w:r>
          </w:p>
          <w:p>
            <w:pPr>
              <w:pStyle w:val="TableText"/>
              <w:ind w:left="34" w:right="51"/>
              <w:spacing w:before="33" w:line="246" w:lineRule="auto"/>
              <w:jc w:val="both"/>
              <w:rPr/>
            </w:pPr>
            <w:r>
              <w:rPr/>
              <w:t>文号的，农业部逐步实行比对试验管理。实行比对试验管理的兽药品种</w:t>
            </w:r>
            <w:r>
              <w:rPr>
                <w:spacing w:val="-1"/>
              </w:rPr>
              <w:t>目录及比对试验的要</w:t>
            </w:r>
            <w:r>
              <w:rPr/>
              <w:t xml:space="preserve"> </w:t>
            </w:r>
            <w:r>
              <w:rPr/>
              <w:t>求由农业部制定。开展比对试验的检验机构应当遵守兽药非临床研究质</w:t>
            </w:r>
            <w:r>
              <w:rPr>
                <w:spacing w:val="-1"/>
              </w:rPr>
              <w:t>量管理规范和兽药临</w:t>
            </w:r>
            <w:r>
              <w:rPr/>
              <w:t xml:space="preserve"> </w:t>
            </w:r>
            <w:r>
              <w:rPr>
                <w:spacing w:val="-1"/>
              </w:rPr>
              <w:t>床试验质量管理规范，其名单由农业部公布。</w:t>
            </w:r>
          </w:p>
        </w:tc>
      </w:tr>
      <w:tr>
        <w:trPr>
          <w:trHeight w:val="1967" w:hRule="atLeast"/>
        </w:trPr>
        <w:tc>
          <w:tcPr>
            <w:tcW w:w="285" w:type="dxa"/>
            <w:vAlign w:val="top"/>
          </w:tcPr>
          <w:p>
            <w:pPr>
              <w:pStyle w:val="TableText"/>
              <w:ind w:left="55"/>
              <w:spacing w:before="78" w:line="183" w:lineRule="auto"/>
              <w:rPr/>
            </w:pPr>
            <w:r>
              <w:rPr>
                <w:spacing w:val="-2"/>
              </w:rPr>
              <w:t>26</w:t>
            </w:r>
          </w:p>
        </w:tc>
        <w:tc>
          <w:tcPr>
            <w:tcW w:w="679" w:type="dxa"/>
            <w:vAlign w:val="top"/>
          </w:tcPr>
          <w:p>
            <w:pPr>
              <w:pStyle w:val="TableText"/>
              <w:ind w:left="30" w:right="44"/>
              <w:spacing w:before="51" w:line="253" w:lineRule="auto"/>
              <w:jc w:val="both"/>
              <w:rPr/>
            </w:pPr>
            <w:r>
              <w:rPr>
                <w:spacing w:val="-2"/>
              </w:rPr>
              <w:t>新兽用生</w:t>
            </w:r>
            <w:r>
              <w:rPr/>
              <w:t xml:space="preserve"> </w:t>
            </w:r>
            <w:r>
              <w:rPr>
                <w:spacing w:val="-2"/>
              </w:rPr>
              <w:t>物制品临</w:t>
            </w:r>
            <w:r>
              <w:rPr>
                <w:spacing w:val="1"/>
              </w:rPr>
              <w:t xml:space="preserve"> </w:t>
            </w:r>
            <w:r>
              <w:rPr>
                <w:spacing w:val="-2"/>
              </w:rPr>
              <w:t>床试验</w:t>
            </w:r>
          </w:p>
        </w:tc>
        <w:tc>
          <w:tcPr>
            <w:tcW w:w="1109" w:type="dxa"/>
            <w:vAlign w:val="top"/>
          </w:tcPr>
          <w:p>
            <w:pPr>
              <w:pStyle w:val="TableText"/>
              <w:ind w:left="20" w:right="33" w:firstLine="20"/>
              <w:spacing w:before="48" w:line="261" w:lineRule="auto"/>
              <w:rPr/>
            </w:pPr>
            <w:r>
              <w:rPr>
                <w:spacing w:val="20"/>
              </w:rPr>
              <w:t>(17019)新兽</w:t>
            </w:r>
            <w:r>
              <w:rPr/>
              <w:t xml:space="preserve"> </w:t>
            </w:r>
            <w:r>
              <w:rPr>
                <w:spacing w:val="-2"/>
              </w:rPr>
              <w:t>用生物制品临床</w:t>
            </w:r>
            <w:r>
              <w:rPr>
                <w:spacing w:val="5"/>
              </w:rPr>
              <w:t xml:space="preserve"> </w:t>
            </w:r>
            <w:r>
              <w:rPr>
                <w:spacing w:val="6"/>
              </w:rPr>
              <w:t>试验审批(研制</w:t>
            </w:r>
            <w:r>
              <w:rPr>
                <w:spacing w:val="4"/>
              </w:rPr>
              <w:t xml:space="preserve"> </w:t>
            </w:r>
            <w:r>
              <w:rPr>
                <w:spacing w:val="-1"/>
              </w:rPr>
              <w:t>新兽药使用一类</w:t>
            </w:r>
            <w:r>
              <w:rPr/>
              <w:t xml:space="preserve"> </w:t>
            </w:r>
            <w:r>
              <w:rPr>
                <w:spacing w:val="10"/>
              </w:rPr>
              <w:t>病原微生物审</w:t>
            </w:r>
            <w:r>
              <w:rPr>
                <w:spacing w:val="1"/>
              </w:rPr>
              <w:t xml:space="preserve">  </w:t>
            </w:r>
            <w:r>
              <w:rPr>
                <w:spacing w:val="-1"/>
              </w:rPr>
              <w:t>批、新兽用生物</w:t>
            </w:r>
            <w:r>
              <w:rPr/>
              <w:t xml:space="preserve"> </w:t>
            </w:r>
            <w:r>
              <w:rPr>
                <w:spacing w:val="-1"/>
              </w:rPr>
              <w:t>制品临床试验及</w:t>
            </w:r>
            <w:r>
              <w:rPr/>
              <w:t xml:space="preserve"> </w:t>
            </w:r>
            <w:r>
              <w:rPr>
                <w:spacing w:val="-1"/>
              </w:rPr>
              <w:t>新兽药注册审批</w:t>
            </w:r>
            <w:r>
              <w:rPr/>
              <w:t xml:space="preserve"> </w:t>
            </w:r>
            <w:r>
              <w:rPr>
                <w:spacing w:val="9"/>
              </w:rPr>
              <w:t>的子项)</w:t>
            </w:r>
          </w:p>
        </w:tc>
        <w:tc>
          <w:tcPr>
            <w:tcW w:w="829" w:type="dxa"/>
            <w:vAlign w:val="top"/>
          </w:tcPr>
          <w:p>
            <w:pPr>
              <w:pStyle w:val="TableText"/>
              <w:ind w:left="182"/>
              <w:spacing w:before="30" w:line="219" w:lineRule="auto"/>
              <w:rPr/>
            </w:pPr>
            <w:r>
              <w:rPr>
                <w:spacing w:val="-2"/>
              </w:rPr>
              <w:t>农业部</w:t>
            </w:r>
          </w:p>
        </w:tc>
        <w:tc>
          <w:tcPr>
            <w:tcW w:w="669" w:type="dxa"/>
            <w:vAlign w:val="top"/>
          </w:tcPr>
          <w:p>
            <w:pPr>
              <w:pStyle w:val="TableText"/>
              <w:ind w:left="22" w:right="29"/>
              <w:spacing w:before="32" w:line="266" w:lineRule="auto"/>
              <w:jc w:val="both"/>
              <w:rPr/>
            </w:pPr>
            <w:r>
              <w:rPr>
                <w:spacing w:val="-3"/>
              </w:rPr>
              <w:t>具有兽药</w:t>
            </w:r>
            <w:r>
              <w:rPr>
                <w:spacing w:val="2"/>
              </w:rPr>
              <w:t xml:space="preserve"> </w:t>
            </w:r>
            <w:r>
              <w:rPr>
                <w:spacing w:val="1"/>
              </w:rPr>
              <w:t>临床试验 </w:t>
            </w:r>
            <w:r>
              <w:rPr>
                <w:spacing w:val="-2"/>
              </w:rPr>
              <w:t>研究质量</w:t>
            </w:r>
            <w:r>
              <w:rPr>
                <w:spacing w:val="1"/>
              </w:rPr>
              <w:t xml:space="preserve"> </w:t>
            </w:r>
            <w:r>
              <w:rPr>
                <w:spacing w:val="-3"/>
              </w:rPr>
              <w:t>管理规范</w:t>
            </w:r>
            <w:r>
              <w:rPr>
                <w:spacing w:val="1"/>
              </w:rPr>
              <w:t xml:space="preserve"> </w:t>
            </w:r>
            <w:r>
              <w:rPr>
                <w:spacing w:val="-2"/>
              </w:rPr>
              <w:t>条件的企</w:t>
            </w:r>
            <w:r>
              <w:rPr/>
              <w:t xml:space="preserve"> </w:t>
            </w:r>
            <w:r>
              <w:rPr>
                <w:spacing w:val="-2"/>
              </w:rPr>
              <w:t>事业单位</w:t>
            </w:r>
          </w:p>
        </w:tc>
        <w:tc>
          <w:tcPr>
            <w:tcW w:w="6088" w:type="dxa"/>
            <w:vAlign w:val="top"/>
          </w:tcPr>
          <w:p>
            <w:pPr>
              <w:pStyle w:val="TableText"/>
              <w:ind w:left="108"/>
              <w:spacing w:before="49" w:line="219" w:lineRule="auto"/>
              <w:rPr/>
            </w:pPr>
            <w:r>
              <w:rPr/>
              <w:t>《新兽药研制管理办法》(农业部令2005年第55号，农业部令第</w:t>
            </w:r>
            <w:r>
              <w:rPr>
                <w:spacing w:val="-1"/>
              </w:rPr>
              <w:t>2016年第3号修订)第八条</w:t>
            </w:r>
          </w:p>
          <w:p>
            <w:pPr>
              <w:pStyle w:val="TableText"/>
              <w:ind w:left="113"/>
              <w:spacing w:before="42" w:line="219" w:lineRule="auto"/>
              <w:rPr/>
            </w:pPr>
            <w:r>
              <w:rPr/>
              <w:t>申请人进行临床试验，应当在试验前提出申请，并提交下列资料：(四)委托试验合同书正</w:t>
            </w:r>
          </w:p>
          <w:p>
            <w:pPr>
              <w:pStyle w:val="TableText"/>
              <w:ind w:left="14" w:right="120" w:firstLine="99"/>
              <w:spacing w:before="43" w:line="251" w:lineRule="auto"/>
              <w:rPr/>
            </w:pPr>
            <w:r>
              <w:rPr/>
              <w:t>本一份；(五)试验承担单位资质证明复印件一份。第十二条；兽药临床</w:t>
            </w:r>
            <w:r>
              <w:rPr>
                <w:spacing w:val="-1"/>
              </w:rPr>
              <w:t>试验应当执行《兽</w:t>
            </w:r>
            <w:r>
              <w:rPr/>
              <w:t xml:space="preserve"> </w:t>
            </w:r>
            <w:r>
              <w:rPr>
                <w:spacing w:val="-2"/>
              </w:rPr>
              <w:t>药临床试验质量管理规范》</w:t>
            </w:r>
          </w:p>
        </w:tc>
      </w:tr>
      <w:tr>
        <w:trPr>
          <w:trHeight w:val="2211" w:hRule="atLeast"/>
        </w:trPr>
        <w:tc>
          <w:tcPr>
            <w:tcW w:w="285" w:type="dxa"/>
            <w:vAlign w:val="top"/>
          </w:tcPr>
          <w:p>
            <w:pPr>
              <w:pStyle w:val="TableText"/>
              <w:ind w:left="55"/>
              <w:spacing w:before="131" w:line="183" w:lineRule="auto"/>
              <w:rPr/>
            </w:pPr>
            <w:r>
              <w:rPr>
                <w:spacing w:val="-2"/>
              </w:rPr>
              <w:t>27</w:t>
            </w:r>
          </w:p>
        </w:tc>
        <w:tc>
          <w:tcPr>
            <w:tcW w:w="679" w:type="dxa"/>
            <w:vAlign w:val="top"/>
          </w:tcPr>
          <w:p>
            <w:pPr>
              <w:pStyle w:val="TableText"/>
              <w:ind w:left="30" w:right="33"/>
              <w:spacing w:before="55" w:line="263" w:lineRule="auto"/>
              <w:jc w:val="both"/>
              <w:rPr/>
            </w:pPr>
            <w:r>
              <w:rPr>
                <w:spacing w:val="-2"/>
              </w:rPr>
              <w:t>新兽药安</w:t>
            </w:r>
            <w:r>
              <w:rPr/>
              <w:t xml:space="preserve"> </w:t>
            </w:r>
            <w:r>
              <w:rPr>
                <w:spacing w:val="-7"/>
              </w:rPr>
              <w:t>全</w:t>
            </w:r>
            <w:r>
              <w:rPr>
                <w:spacing w:val="14"/>
              </w:rPr>
              <w:t xml:space="preserve"> </w:t>
            </w:r>
            <w:r>
              <w:rPr>
                <w:spacing w:val="-7"/>
              </w:rPr>
              <w:t>性</w:t>
            </w:r>
            <w:r>
              <w:rPr>
                <w:spacing w:val="11"/>
              </w:rPr>
              <w:t xml:space="preserve"> </w:t>
            </w:r>
            <w:r>
              <w:rPr>
                <w:spacing w:val="-7"/>
              </w:rPr>
              <w:t>评</w:t>
            </w:r>
            <w:r>
              <w:rPr/>
              <w:t xml:space="preserve"> </w:t>
            </w:r>
            <w:r>
              <w:rPr>
                <w:spacing w:val="-2"/>
              </w:rPr>
              <w:t>价、残留</w:t>
            </w:r>
            <w:r>
              <w:rPr/>
              <w:t xml:space="preserve"> </w:t>
            </w:r>
            <w:r>
              <w:rPr>
                <w:spacing w:val="-2"/>
              </w:rPr>
              <w:t>检测方法</w:t>
            </w:r>
            <w:r>
              <w:rPr>
                <w:spacing w:val="1"/>
              </w:rPr>
              <w:t xml:space="preserve"> </w:t>
            </w:r>
            <w:r>
              <w:rPr>
                <w:spacing w:val="-2"/>
              </w:rPr>
              <w:t>验证试验</w:t>
            </w:r>
            <w:r>
              <w:rPr>
                <w:spacing w:val="1"/>
              </w:rPr>
              <w:t xml:space="preserve"> </w:t>
            </w:r>
            <w:r>
              <w:rPr>
                <w:spacing w:val="-2"/>
              </w:rPr>
              <w:t>及残留消</w:t>
            </w:r>
            <w:r>
              <w:rPr>
                <w:spacing w:val="1"/>
              </w:rPr>
              <w:t xml:space="preserve"> </w:t>
            </w:r>
            <w:r>
              <w:rPr>
                <w:spacing w:val="2"/>
              </w:rPr>
              <w:t>除试验</w:t>
            </w:r>
          </w:p>
        </w:tc>
        <w:tc>
          <w:tcPr>
            <w:tcW w:w="1109" w:type="dxa"/>
            <w:vAlign w:val="top"/>
          </w:tcPr>
          <w:p>
            <w:pPr>
              <w:pStyle w:val="TableText"/>
              <w:ind w:left="20" w:right="33" w:firstLine="20"/>
              <w:spacing w:before="72" w:line="263" w:lineRule="auto"/>
              <w:jc w:val="both"/>
              <w:rPr/>
            </w:pPr>
            <w:r>
              <w:rPr>
                <w:spacing w:val="20"/>
              </w:rPr>
              <w:t>(17019)新兽</w:t>
            </w:r>
            <w:r>
              <w:rPr/>
              <w:t xml:space="preserve"> </w:t>
            </w:r>
            <w:r>
              <w:rPr>
                <w:spacing w:val="1"/>
              </w:rPr>
              <w:t>药注册审批(研 </w:t>
            </w:r>
            <w:r>
              <w:rPr>
                <w:spacing w:val="-1"/>
              </w:rPr>
              <w:t>制新兽药使用一</w:t>
            </w:r>
            <w:r>
              <w:rPr/>
              <w:t xml:space="preserve"> </w:t>
            </w:r>
            <w:r>
              <w:rPr>
                <w:spacing w:val="-1"/>
              </w:rPr>
              <w:t>类病原微生物审</w:t>
            </w:r>
            <w:r>
              <w:rPr/>
              <w:t xml:space="preserve"> </w:t>
            </w:r>
            <w:r>
              <w:rPr>
                <w:spacing w:val="-1"/>
              </w:rPr>
              <w:t>批、新兽用生物</w:t>
            </w:r>
            <w:r>
              <w:rPr/>
              <w:t xml:space="preserve"> </w:t>
            </w:r>
            <w:r>
              <w:rPr>
                <w:spacing w:val="-1"/>
              </w:rPr>
              <w:t>制品临床试验及</w:t>
            </w:r>
            <w:r>
              <w:rPr/>
              <w:t xml:space="preserve"> </w:t>
            </w:r>
            <w:r>
              <w:rPr>
                <w:spacing w:val="-1"/>
              </w:rPr>
              <w:t>新兽药注册审批</w:t>
            </w:r>
            <w:r>
              <w:rPr/>
              <w:t xml:space="preserve"> </w:t>
            </w:r>
            <w:r>
              <w:rPr>
                <w:spacing w:val="9"/>
              </w:rPr>
              <w:t>的子项)</w:t>
            </w:r>
          </w:p>
        </w:tc>
        <w:tc>
          <w:tcPr>
            <w:tcW w:w="829" w:type="dxa"/>
            <w:vAlign w:val="top"/>
          </w:tcPr>
          <w:p>
            <w:pPr>
              <w:pStyle w:val="TableText"/>
              <w:ind w:left="182"/>
              <w:spacing w:before="53" w:line="219" w:lineRule="auto"/>
              <w:rPr/>
            </w:pPr>
            <w:r>
              <w:rPr>
                <w:spacing w:val="-2"/>
              </w:rPr>
              <w:t>农业部</w:t>
            </w:r>
          </w:p>
        </w:tc>
        <w:tc>
          <w:tcPr>
            <w:tcW w:w="669" w:type="dxa"/>
            <w:vAlign w:val="top"/>
          </w:tcPr>
          <w:p>
            <w:pPr>
              <w:pStyle w:val="TableText"/>
              <w:ind w:left="22"/>
              <w:spacing w:before="62" w:line="265" w:lineRule="auto"/>
              <w:jc w:val="both"/>
              <w:rPr/>
            </w:pPr>
            <w:r>
              <w:rPr>
                <w:spacing w:val="-3"/>
              </w:rPr>
              <w:t>具有兽药</w:t>
            </w:r>
            <w:r>
              <w:rPr>
                <w:spacing w:val="1"/>
              </w:rPr>
              <w:t xml:space="preserve"> </w:t>
            </w:r>
            <w:r>
              <w:rPr>
                <w:spacing w:val="-3"/>
              </w:rPr>
              <w:t>非临床或</w:t>
            </w:r>
            <w:r>
              <w:rPr>
                <w:spacing w:val="1"/>
              </w:rPr>
              <w:t xml:space="preserve"> </w:t>
            </w:r>
            <w:r>
              <w:rPr>
                <w:spacing w:val="1"/>
              </w:rPr>
              <w:t>临床试验</w:t>
            </w:r>
            <w:r>
              <w:rPr/>
              <w:t xml:space="preserve"> </w:t>
            </w:r>
            <w:r>
              <w:rPr>
                <w:spacing w:val="-2"/>
              </w:rPr>
              <w:t>研究质量</w:t>
            </w:r>
            <w:r>
              <w:rPr/>
              <w:t xml:space="preserve"> </w:t>
            </w:r>
            <w:r>
              <w:rPr>
                <w:spacing w:val="-3"/>
              </w:rPr>
              <w:t>管理规范</w:t>
            </w:r>
            <w:r>
              <w:rPr/>
              <w:t xml:space="preserve"> </w:t>
            </w:r>
            <w:r>
              <w:rPr>
                <w:spacing w:val="-2"/>
              </w:rPr>
              <w:t>条件的单</w:t>
            </w:r>
            <w:r>
              <w:rPr/>
              <w:t xml:space="preserve"> </w:t>
            </w:r>
            <w:r>
              <w:rPr>
                <w:sz w:val="14"/>
                <w:szCs w:val="14"/>
                <w:spacing w:val="-15"/>
              </w:rPr>
              <w:t>位</w:t>
            </w:r>
            <w:r>
              <w:rPr>
                <w:sz w:val="14"/>
                <w:szCs w:val="14"/>
                <w:spacing w:val="-14"/>
              </w:rPr>
              <w:t>，或者</w:t>
            </w:r>
            <w:r>
              <w:rPr>
                <w:sz w:val="14"/>
                <w:szCs w:val="14"/>
                <w:spacing w:val="-8"/>
              </w:rPr>
              <w:t>具</w:t>
            </w:r>
            <w:r>
              <w:rPr>
                <w:sz w:val="14"/>
                <w:szCs w:val="14"/>
              </w:rPr>
              <w:t xml:space="preserve"> </w:t>
            </w:r>
            <w:r>
              <w:rPr>
                <w:spacing w:val="-2"/>
              </w:rPr>
              <w:t>有兽药残</w:t>
            </w:r>
            <w:r>
              <w:rPr/>
              <w:t xml:space="preserve"> </w:t>
            </w:r>
            <w:r>
              <w:rPr>
                <w:spacing w:val="1"/>
              </w:rPr>
              <w:t>留检测能 </w:t>
            </w:r>
            <w:r>
              <w:rPr>
                <w:spacing w:val="-2"/>
              </w:rPr>
              <w:t>力的单位</w:t>
            </w:r>
          </w:p>
        </w:tc>
        <w:tc>
          <w:tcPr>
            <w:tcW w:w="6088" w:type="dxa"/>
            <w:vAlign w:val="top"/>
          </w:tcPr>
          <w:p>
            <w:pPr>
              <w:pStyle w:val="TableText"/>
              <w:spacing w:before="72" w:line="219" w:lineRule="auto"/>
              <w:rPr/>
            </w:pPr>
            <w:r>
              <w:rPr/>
              <w:t>《兽药管理条例》(国务院令第404号)第七条：</w:t>
            </w:r>
            <w:r>
              <w:rPr>
                <w:spacing w:val="-1"/>
              </w:rPr>
              <w:t>研制新兽药，应当具有与研制相适应的场</w:t>
            </w:r>
          </w:p>
          <w:p>
            <w:pPr>
              <w:pStyle w:val="TableText"/>
              <w:ind w:right="8"/>
              <w:spacing w:before="31" w:line="218" w:lineRule="auto"/>
              <w:jc w:val="right"/>
              <w:rPr/>
            </w:pPr>
            <w:r>
              <w:rPr/>
              <w:t>所、仪器设备、专业技术人员、安全管理规范和措施。研制新兽药，应当进行</w:t>
            </w:r>
            <w:r>
              <w:rPr>
                <w:spacing w:val="-1"/>
              </w:rPr>
              <w:t>安全性评价。</w:t>
            </w:r>
          </w:p>
          <w:p>
            <w:pPr>
              <w:pStyle w:val="TableText"/>
              <w:ind w:left="14" w:right="30" w:firstLine="20"/>
              <w:spacing w:before="52" w:line="254" w:lineRule="auto"/>
              <w:rPr/>
            </w:pPr>
            <w:r>
              <w:rPr/>
              <w:t>从事兽药安全性评价的单位，应当经国务院兽医行政管理部门认定，并</w:t>
            </w:r>
            <w:r>
              <w:rPr>
                <w:spacing w:val="-1"/>
              </w:rPr>
              <w:t>遵守兽药非临床研究</w:t>
            </w:r>
            <w:r>
              <w:rPr/>
              <w:t xml:space="preserve"> </w:t>
            </w:r>
            <w:r>
              <w:rPr>
                <w:spacing w:val="1"/>
              </w:rPr>
              <w:t>质量管理规范和兽药临床试验质量管理规范。第九条：研制用于食用动物</w:t>
            </w:r>
            <w:r>
              <w:rPr/>
              <w:t>的新兽药，还应当 </w:t>
            </w:r>
            <w:r>
              <w:rPr/>
              <w:t>按照国务院兽医行政管理部门的规定进行兽药残留试验并提供休药期、</w:t>
            </w:r>
            <w:r>
              <w:rPr>
                <w:spacing w:val="-1"/>
              </w:rPr>
              <w:t>最高残留限量标准</w:t>
            </w:r>
          </w:p>
          <w:p>
            <w:pPr>
              <w:pStyle w:val="TableText"/>
              <w:ind w:left="14"/>
              <w:spacing w:before="42" w:line="219" w:lineRule="auto"/>
              <w:rPr/>
            </w:pPr>
            <w:r>
              <w:rPr>
                <w:spacing w:val="-1"/>
              </w:rPr>
              <w:t>残留检测方法及其制定依据等资料</w:t>
            </w:r>
          </w:p>
        </w:tc>
      </w:tr>
    </w:tbl>
    <w:p>
      <w:pPr>
        <w:pStyle w:val="BodyText"/>
        <w:rPr/>
      </w:pPr>
      <w:r/>
    </w:p>
    <w:p>
      <w:pPr>
        <w:sectPr>
          <w:pgSz w:w="11910" w:h="8220"/>
          <w:pgMar w:top="400" w:right="1125" w:bottom="400" w:left="821" w:header="0" w:footer="0" w:gutter="0"/>
        </w:sectPr>
        <w:rPr/>
      </w:pPr>
    </w:p>
    <w:p>
      <w:pPr>
        <w:spacing w:before="36"/>
        <w:rPr/>
      </w:pPr>
      <w:r>
        <mc:AlternateContent xmlns:mc="http://schemas.openxmlformats.org/markup-compatibility/2006">
          <mc:Choice Requires="wps">
            <w:drawing>
              <wp:anchor distT="0" distB="0" distL="0" distR="0" simplePos="0" relativeHeight="251948032"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396" name="TextBox 396"/>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8" style="position:absolute;margin-left:37.0402pt;margin-top:48.636pt;mso-position-vertical-relative:page;mso-position-horizontal-relative:page;width:13.6pt;height:12.35pt;z-index:25194803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286</w:t>
                      </w:r>
                    </w:p>
                  </w:txbxContent>
                </v:textbox>
              </v:shape>
            </w:pict>
          </mc:Fallback>
        </mc:AlternateContent>
      </w:r>
      <w:r/>
    </w:p>
    <w:p>
      <w:pPr>
        <w:spacing w:before="36"/>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19"/>
        <w:gridCol w:w="819"/>
        <w:gridCol w:w="679"/>
        <w:gridCol w:w="608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19" w:type="dxa"/>
            <w:vAlign w:val="top"/>
          </w:tcPr>
          <w:p>
            <w:pPr>
              <w:pStyle w:val="TableText"/>
              <w:ind w:left="249" w:right="45" w:hanging="229"/>
              <w:spacing w:before="61" w:line="248"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02"/>
              <w:spacing w:before="161" w:line="219" w:lineRule="auto"/>
              <w:rPr/>
            </w:pPr>
            <w:r>
              <w:rPr>
                <w:spacing w:val="4"/>
              </w:rPr>
              <w:t>审批部门</w:t>
            </w:r>
          </w:p>
        </w:tc>
        <w:tc>
          <w:tcPr>
            <w:tcW w:w="679" w:type="dxa"/>
            <w:vAlign w:val="top"/>
          </w:tcPr>
          <w:p>
            <w:pPr>
              <w:pStyle w:val="TableText"/>
              <w:ind w:left="3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5725" w:hRule="atLeast"/>
        </w:trPr>
        <w:tc>
          <w:tcPr>
            <w:tcW w:w="295" w:type="dxa"/>
            <w:vAlign w:val="top"/>
          </w:tcPr>
          <w:p>
            <w:pPr>
              <w:spacing w:line="286" w:lineRule="auto"/>
              <w:rPr>
                <w:rFonts w:ascii="Arial"/>
                <w:sz w:val="21"/>
              </w:rPr>
            </w:pPr>
            <w:r/>
          </w:p>
          <w:p>
            <w:pPr>
              <w:spacing w:line="287" w:lineRule="auto"/>
              <w:rPr>
                <w:rFonts w:ascii="Arial"/>
                <w:sz w:val="21"/>
              </w:rPr>
            </w:pPr>
            <w:r/>
          </w:p>
          <w:p>
            <w:pPr>
              <w:pStyle w:val="TableText"/>
              <w:ind w:left="65"/>
              <w:spacing w:before="49" w:line="183" w:lineRule="auto"/>
              <w:rPr/>
            </w:pPr>
            <w:r>
              <w:rPr>
                <w:spacing w:val="-2"/>
              </w:rPr>
              <w:t>28</w:t>
            </w:r>
          </w:p>
        </w:tc>
        <w:tc>
          <w:tcPr>
            <w:tcW w:w="659" w:type="dxa"/>
            <w:vAlign w:val="top"/>
          </w:tcPr>
          <w:p>
            <w:pPr>
              <w:spacing w:line="262" w:lineRule="auto"/>
              <w:rPr>
                <w:rFonts w:ascii="Arial"/>
                <w:sz w:val="21"/>
              </w:rPr>
            </w:pPr>
            <w:r/>
          </w:p>
          <w:p>
            <w:pPr>
              <w:spacing w:line="263" w:lineRule="auto"/>
              <w:rPr>
                <w:rFonts w:ascii="Arial"/>
                <w:sz w:val="21"/>
              </w:rPr>
            </w:pPr>
            <w:r/>
          </w:p>
          <w:p>
            <w:pPr>
              <w:pStyle w:val="TableText"/>
              <w:ind w:left="20" w:right="35"/>
              <w:spacing w:before="48" w:line="232" w:lineRule="auto"/>
              <w:rPr/>
            </w:pPr>
            <w:r>
              <w:rPr>
                <w:spacing w:val="-2"/>
              </w:rPr>
              <w:t>气胀式救</w:t>
            </w:r>
            <w:r>
              <w:rPr/>
              <w:t xml:space="preserve"> </w:t>
            </w:r>
            <w:r>
              <w:rPr>
                <w:spacing w:val="-2"/>
              </w:rPr>
              <w:t>生筏检修</w:t>
            </w:r>
          </w:p>
        </w:tc>
        <w:tc>
          <w:tcPr>
            <w:tcW w:w="1119" w:type="dxa"/>
            <w:vAlign w:val="top"/>
          </w:tcPr>
          <w:p>
            <w:pPr>
              <w:spacing w:line="263" w:lineRule="auto"/>
              <w:rPr>
                <w:rFonts w:ascii="Arial"/>
                <w:sz w:val="21"/>
              </w:rPr>
            </w:pPr>
            <w:r/>
          </w:p>
          <w:p>
            <w:pPr>
              <w:spacing w:line="263" w:lineRule="auto"/>
              <w:rPr>
                <w:rFonts w:ascii="Arial"/>
                <w:sz w:val="21"/>
              </w:rPr>
            </w:pPr>
            <w:r/>
          </w:p>
          <w:p>
            <w:pPr>
              <w:pStyle w:val="TableText"/>
              <w:ind w:left="20" w:right="44" w:firstLine="30"/>
              <w:spacing w:before="49" w:line="252" w:lineRule="auto"/>
              <w:jc w:val="both"/>
              <w:rPr/>
            </w:pPr>
            <w:r>
              <w:rPr>
                <w:spacing w:val="20"/>
              </w:rPr>
              <w:t>(17038)远洋</w:t>
            </w:r>
            <w:r>
              <w:rPr>
                <w:spacing w:val="1"/>
              </w:rPr>
              <w:t xml:space="preserve"> </w:t>
            </w:r>
            <w:r>
              <w:rPr>
                <w:spacing w:val="-1"/>
              </w:rPr>
              <w:t>渔业船舶检验和</w:t>
            </w:r>
            <w:r>
              <w:rPr/>
              <w:t xml:space="preserve"> </w:t>
            </w:r>
            <w:r>
              <w:rPr>
                <w:spacing w:val="-1"/>
              </w:rPr>
              <w:t>渔业船舶船用产</w:t>
            </w:r>
            <w:r>
              <w:rPr/>
              <w:t xml:space="preserve"> </w:t>
            </w:r>
            <w:r>
              <w:rPr>
                <w:spacing w:val="5"/>
              </w:rPr>
              <w:t>品认可</w:t>
            </w:r>
          </w:p>
        </w:tc>
        <w:tc>
          <w:tcPr>
            <w:tcW w:w="819" w:type="dxa"/>
            <w:vAlign w:val="top"/>
          </w:tcPr>
          <w:p>
            <w:pPr>
              <w:spacing w:line="257" w:lineRule="auto"/>
              <w:rPr>
                <w:rFonts w:ascii="Arial"/>
                <w:sz w:val="21"/>
              </w:rPr>
            </w:pPr>
            <w:r/>
          </w:p>
          <w:p>
            <w:pPr>
              <w:spacing w:line="258" w:lineRule="auto"/>
              <w:rPr>
                <w:rFonts w:ascii="Arial"/>
                <w:sz w:val="21"/>
              </w:rPr>
            </w:pPr>
            <w:r/>
          </w:p>
          <w:p>
            <w:pPr>
              <w:pStyle w:val="TableText"/>
              <w:ind w:left="172"/>
              <w:spacing w:before="49" w:line="219" w:lineRule="auto"/>
              <w:rPr/>
            </w:pPr>
            <w:r>
              <w:rPr>
                <w:spacing w:val="-2"/>
              </w:rPr>
              <w:t>农业部</w:t>
            </w:r>
          </w:p>
        </w:tc>
        <w:tc>
          <w:tcPr>
            <w:tcW w:w="679" w:type="dxa"/>
            <w:vAlign w:val="top"/>
          </w:tcPr>
          <w:p>
            <w:pPr>
              <w:spacing w:line="262" w:lineRule="auto"/>
              <w:rPr>
                <w:rFonts w:ascii="Arial"/>
                <w:sz w:val="21"/>
              </w:rPr>
            </w:pPr>
            <w:r/>
          </w:p>
          <w:p>
            <w:pPr>
              <w:spacing w:line="262" w:lineRule="auto"/>
              <w:rPr>
                <w:rFonts w:ascii="Arial"/>
                <w:sz w:val="21"/>
              </w:rPr>
            </w:pPr>
            <w:r/>
          </w:p>
          <w:p>
            <w:pPr>
              <w:pStyle w:val="TableText"/>
              <w:ind w:left="22" w:right="19" w:firstLine="10"/>
              <w:spacing w:before="49" w:line="255" w:lineRule="auto"/>
              <w:jc w:val="both"/>
              <w:rPr/>
            </w:pPr>
            <w:r>
              <w:rPr>
                <w:spacing w:val="4"/>
              </w:rPr>
              <w:t>具有资质</w:t>
            </w:r>
            <w:r>
              <w:rPr/>
              <w:t xml:space="preserve"> </w:t>
            </w:r>
            <w:r>
              <w:rPr>
                <w:spacing w:val="3"/>
              </w:rPr>
              <w:t>的气胀式</w:t>
            </w:r>
            <w:r>
              <w:rPr>
                <w:spacing w:val="2"/>
              </w:rPr>
              <w:t xml:space="preserve"> </w:t>
            </w:r>
            <w:r>
              <w:rPr/>
              <w:t>救生筏检</w:t>
            </w:r>
            <w:r>
              <w:rPr>
                <w:spacing w:val="1"/>
              </w:rPr>
              <w:t xml:space="preserve"> </w:t>
            </w:r>
            <w:r>
              <w:rPr>
                <w:spacing w:val="-2"/>
              </w:rPr>
              <w:t>修站</w:t>
            </w:r>
          </w:p>
        </w:tc>
        <w:tc>
          <w:tcPr>
            <w:tcW w:w="6088" w:type="dxa"/>
            <w:vAlign w:val="top"/>
          </w:tcPr>
          <w:p>
            <w:pPr>
              <w:spacing w:line="257" w:lineRule="auto"/>
              <w:rPr>
                <w:rFonts w:ascii="Arial"/>
                <w:sz w:val="21"/>
              </w:rPr>
            </w:pPr>
            <w:r/>
          </w:p>
          <w:p>
            <w:pPr>
              <w:spacing w:line="257" w:lineRule="auto"/>
              <w:rPr>
                <w:rFonts w:ascii="Arial"/>
                <w:sz w:val="21"/>
              </w:rPr>
            </w:pPr>
            <w:r/>
          </w:p>
          <w:p>
            <w:pPr>
              <w:pStyle w:val="TableText"/>
              <w:ind w:left="43"/>
              <w:spacing w:before="49" w:line="219" w:lineRule="auto"/>
              <w:rPr/>
            </w:pPr>
            <w:r>
              <w:rPr>
                <w:spacing w:val="-2"/>
              </w:rPr>
              <w:t>1. 《中华人民共和国渔业船舶检验条例》(国务院令第383号)第九</w:t>
            </w:r>
            <w:r>
              <w:rPr>
                <w:spacing w:val="-3"/>
              </w:rPr>
              <w:t>条：制造、改造的渔业</w:t>
            </w:r>
          </w:p>
          <w:p>
            <w:pPr>
              <w:pStyle w:val="TableText"/>
              <w:ind w:left="14" w:firstLine="19"/>
              <w:spacing w:before="58" w:line="267" w:lineRule="auto"/>
              <w:rPr/>
            </w:pPr>
            <w:r>
              <w:rPr/>
              <w:t>船舶的初次检验，应当与渔业船舶的制造、改造同时进行。用于制</w:t>
            </w:r>
            <w:r>
              <w:rPr>
                <w:spacing w:val="-1"/>
              </w:rPr>
              <w:t>造、改造渔业船舶的有关 </w:t>
            </w:r>
            <w:r>
              <w:rPr/>
              <w:t>航行、作业和人身财产安全以及防止污染环境的重要设备、部件和材料，在使用前应当经渔 </w:t>
            </w:r>
            <w:r>
              <w:rPr>
                <w:spacing w:val="1"/>
              </w:rPr>
              <w:t>业船舶检验机构检验，检验合格方可使用。前款规定必须检验的重要设备、部件和材料的目</w:t>
            </w:r>
            <w:r>
              <w:rPr>
                <w:spacing w:val="3"/>
              </w:rPr>
              <w:t xml:space="preserve"> </w:t>
            </w:r>
            <w:r>
              <w:rPr/>
              <w:t>录，由国务院渔业行政主管部门制定。第十四条：运营中的渔业船舶的所有者或者经营者应 </w:t>
            </w:r>
            <w:r>
              <w:rPr>
                <w:spacing w:val="1"/>
              </w:rPr>
              <w:t>当按照国务院渔业行政主管部门规定的时间申报运</w:t>
            </w:r>
            <w:r>
              <w:rPr/>
              <w:t>营检验。渔业船舶检验机构应当按照国务 </w:t>
            </w:r>
            <w:r>
              <w:rPr>
                <w:spacing w:val="1"/>
              </w:rPr>
              <w:t>院渔业行政主管部门的规定，根据渔业船舶运行年限和安全要求对下列项目实施检验：(一</w:t>
            </w:r>
            <w:r>
              <w:rPr/>
              <w:t xml:space="preserve">  </w:t>
            </w:r>
            <w:r>
              <w:rPr>
                <w:spacing w:val="-6"/>
              </w:rPr>
              <w:t>渔业船舶的结构和机电设备；    (二)与渔业船舶安全有关的设备、部件；    (三)与</w:t>
            </w:r>
            <w:r>
              <w:rPr>
                <w:spacing w:val="-7"/>
              </w:rPr>
              <w:t>防止污染</w:t>
            </w:r>
            <w:r>
              <w:rPr/>
              <w:t xml:space="preserve"> </w:t>
            </w:r>
            <w:r>
              <w:rPr>
                <w:spacing w:val="-5"/>
              </w:rPr>
              <w:t>环境有关的设备、部件；    (四)国务院渔业行政主管部门规定的其他检验项目。2. 《渔业船</w:t>
            </w:r>
            <w:r>
              <w:rPr>
                <w:spacing w:val="4"/>
              </w:rPr>
              <w:t xml:space="preserve">  </w:t>
            </w:r>
            <w:r>
              <w:rPr>
                <w:spacing w:val="1"/>
              </w:rPr>
              <w:t>舶法定检验规则(远洋渔船2015)》第二篇3.2.5.1.1确认救生艇筏和救助的配备、布置及有</w:t>
            </w:r>
            <w:r>
              <w:rPr/>
              <w:t xml:space="preserve">  </w:t>
            </w:r>
            <w:r>
              <w:rPr>
                <w:spacing w:val="-4"/>
              </w:rPr>
              <w:t>效性；3.2.5.1.2确认救生艇筏的登乘布置情况，并确认救生艇收放装置有效性；</w:t>
            </w:r>
            <w:r>
              <w:rPr>
                <w:spacing w:val="41"/>
                <w:w w:val="101"/>
              </w:rPr>
              <w:t xml:space="preserve"> </w:t>
            </w:r>
            <w:hyperlink w:history="true" r:id="rId58">
              <w:r>
                <w:rPr>
                  <w:spacing w:val="-4"/>
                </w:rPr>
                <w:t>3</w:t>
              </w:r>
              <w:r>
                <w:rPr>
                  <w:spacing w:val="-5"/>
                </w:rPr>
                <w:t>.2.6.2</w:t>
              </w:r>
            </w:hyperlink>
            <w:r>
              <w:rPr>
                <w:spacing w:val="-5"/>
              </w:rPr>
              <w:t>确认</w:t>
            </w:r>
            <w:r>
              <w:rPr/>
              <w:t xml:space="preserve"> </w:t>
            </w:r>
            <w:r>
              <w:rPr/>
              <w:t>每一救生艇筏，包括其数据以及承载放置和液压锁闭装置，核查气胀式救生筏及其释放装置 </w:t>
            </w:r>
            <w:r>
              <w:rPr>
                <w:spacing w:val="-1"/>
              </w:rPr>
              <w:t>的检修报告及有效性。3. 《国际海上人命安全公约》第三章第20条第8.1、8.2款</w:t>
            </w:r>
            <w:r>
              <w:rPr>
                <w:spacing w:val="-2"/>
              </w:rPr>
              <w:t>；每一气胀</w:t>
            </w:r>
            <w:r>
              <w:rPr/>
              <w:t xml:space="preserve"> </w:t>
            </w:r>
            <w:r>
              <w:rPr/>
              <w:t>式救生筏、每件气胀式救生衣和每一海上撤离系统均应按下列规定</w:t>
            </w:r>
            <w:r>
              <w:rPr>
                <w:spacing w:val="-1"/>
              </w:rPr>
              <w:t>检修；8.1.1间隔期不超过</w:t>
            </w:r>
            <w:r>
              <w:rPr/>
              <w:t xml:space="preserve"> </w:t>
            </w:r>
            <w:r>
              <w:rPr>
                <w:spacing w:val="1"/>
              </w:rPr>
              <w:t>12个月，但在任何情况下都不可行时，主管机关可将此期限展至17个月；8.1.2在经认可的</w:t>
            </w:r>
            <w:r>
              <w:rPr>
                <w:spacing w:val="8"/>
              </w:rPr>
              <w:t xml:space="preserve">  </w:t>
            </w:r>
            <w:r>
              <w:rPr/>
              <w:t>检修站进行检修，该检修站应胜任检修工作，备有适当的检修设施并仅使用受过适当培训的 </w:t>
            </w:r>
            <w:r>
              <w:rPr>
                <w:spacing w:val="-1"/>
              </w:rPr>
              <w:t>人员。4. 《国际渔船安全公约1993年议定书》第七章16(</w:t>
            </w:r>
            <w:r>
              <w:rPr>
                <w:spacing w:val="-2"/>
              </w:rPr>
              <w:t>7)条：气胀式救生筏，气胀式救</w:t>
            </w:r>
          </w:p>
          <w:p>
            <w:pPr>
              <w:pStyle w:val="TableText"/>
              <w:ind w:left="24" w:right="211"/>
              <w:spacing w:before="43" w:line="261" w:lineRule="auto"/>
              <w:rPr/>
            </w:pPr>
            <w:r>
              <w:rPr/>
              <w:t>生衣与充气式救助艇的检修：(ii)应在拥有正规的检修设施，且人员</w:t>
            </w:r>
            <w:r>
              <w:rPr>
                <w:spacing w:val="-1"/>
              </w:rPr>
              <w:t>均系经过适当训练具</w:t>
            </w:r>
            <w:r>
              <w:rPr/>
              <w:t xml:space="preserve"> </w:t>
            </w:r>
            <w:r>
              <w:rPr/>
              <w:t>备检修能力的经认可的检修站进行检修。5.国际海事组织第A.761(18)号决议《关于气胀  </w:t>
            </w:r>
            <w:r>
              <w:rPr>
                <w:spacing w:val="-1"/>
              </w:rPr>
              <w:t>式救生筏检修站的认可条件的建议书》</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49056"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98" name="TextBox 398"/>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0" style="position:absolute;margin-left:37.0402pt;margin-top:345.135pt;mso-position-vertical-relative:page;mso-position-horizontal-relative:page;width:13.6pt;height:12.35pt;z-index:25194905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287</w:t>
                      </w:r>
                    </w:p>
                  </w:txbxContent>
                </v:textbox>
              </v:shape>
            </w:pict>
          </mc:Fallback>
        </mc:AlternateContent>
      </w:r>
      <w:r/>
    </w:p>
    <w:p>
      <w:pPr>
        <w:spacing w:before="4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cPr>
          <w:p>
            <w:pPr>
              <w:pStyle w:val="TableText"/>
              <w:ind w:left="65"/>
              <w:spacing w:before="62" w:line="197" w:lineRule="auto"/>
              <w:rPr/>
            </w:pPr>
            <w:r>
              <w:rPr/>
              <w:t>序</w:t>
            </w:r>
          </w:p>
          <w:p>
            <w:pPr>
              <w:pStyle w:val="TableText"/>
              <w:ind w:left="65"/>
              <w:spacing w:line="220" w:lineRule="auto"/>
              <w:rPr/>
            </w:pPr>
            <w:r>
              <w:rPr/>
              <w:t>号</w:t>
            </w:r>
          </w:p>
        </w:tc>
        <w:tc>
          <w:tcPr>
            <w:tcW w:w="669" w:type="dxa"/>
            <w:vAlign w:val="top"/>
          </w:tcPr>
          <w:p>
            <w:pPr>
              <w:pStyle w:val="TableText"/>
              <w:ind w:left="2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305" w:lineRule="auto"/>
              <w:rPr>
                <w:rFonts w:ascii="Arial"/>
                <w:sz w:val="21"/>
              </w:rPr>
            </w:pPr>
            <w:r/>
          </w:p>
          <w:p>
            <w:pPr>
              <w:pStyle w:val="TableText"/>
              <w:ind w:left="65"/>
              <w:spacing w:before="48" w:line="183" w:lineRule="auto"/>
              <w:rPr/>
            </w:pPr>
            <w:r>
              <w:rPr>
                <w:spacing w:val="-2"/>
              </w:rPr>
              <w:t>29</w:t>
            </w:r>
          </w:p>
        </w:tc>
        <w:tc>
          <w:tcPr>
            <w:tcW w:w="669" w:type="dxa"/>
            <w:vAlign w:val="top"/>
          </w:tcPr>
          <w:p>
            <w:pPr>
              <w:spacing w:line="257" w:lineRule="auto"/>
              <w:rPr>
                <w:rFonts w:ascii="Arial"/>
                <w:sz w:val="21"/>
              </w:rPr>
            </w:pPr>
            <w:r/>
          </w:p>
          <w:p>
            <w:pPr>
              <w:pStyle w:val="TableText"/>
              <w:ind w:left="20"/>
              <w:spacing w:before="49" w:line="221" w:lineRule="auto"/>
              <w:rPr/>
            </w:pPr>
            <w:r>
              <w:rPr>
                <w:spacing w:val="-2"/>
              </w:rPr>
              <w:t>全球海上</w:t>
            </w:r>
          </w:p>
          <w:p>
            <w:pPr>
              <w:pStyle w:val="TableText"/>
              <w:ind w:left="20"/>
              <w:spacing w:before="30" w:line="220" w:lineRule="auto"/>
              <w:rPr/>
            </w:pPr>
            <w:r>
              <w:rPr>
                <w:spacing w:val="-1"/>
              </w:rPr>
              <w:t>遇险和安</w:t>
            </w:r>
          </w:p>
          <w:p>
            <w:pPr>
              <w:pStyle w:val="TableText"/>
              <w:spacing w:before="41" w:line="221" w:lineRule="auto"/>
              <w:rPr/>
            </w:pPr>
            <w:r>
              <w:rPr>
                <w:spacing w:val="-5"/>
              </w:rPr>
              <w:t>全</w:t>
            </w:r>
            <w:r>
              <w:rPr>
                <w:spacing w:val="35"/>
              </w:rPr>
              <w:t xml:space="preserve"> </w:t>
            </w:r>
            <w:r>
              <w:rPr>
                <w:spacing w:val="-5"/>
              </w:rPr>
              <w:t>系</w:t>
            </w:r>
            <w:r>
              <w:rPr>
                <w:spacing w:val="35"/>
                <w:w w:val="101"/>
              </w:rPr>
              <w:t xml:space="preserve"> </w:t>
            </w:r>
            <w:r>
              <w:rPr>
                <w:spacing w:val="-5"/>
              </w:rPr>
              <w:t>统</w:t>
            </w:r>
          </w:p>
          <w:p>
            <w:pPr>
              <w:pStyle w:val="TableText"/>
              <w:ind w:left="99"/>
              <w:spacing w:before="51" w:line="222" w:lineRule="auto"/>
              <w:rPr/>
            </w:pPr>
            <w:r>
              <w:rPr>
                <w:spacing w:val="-6"/>
              </w:rPr>
              <w:t>(GMDSS</w:t>
            </w:r>
          </w:p>
          <w:p>
            <w:pPr>
              <w:pStyle w:val="TableText"/>
              <w:ind w:left="20"/>
              <w:spacing w:before="17" w:line="219" w:lineRule="auto"/>
              <w:rPr/>
            </w:pPr>
            <w:r>
              <w:rPr>
                <w:spacing w:val="3"/>
              </w:rPr>
              <w:t>设备检测</w:t>
            </w:r>
          </w:p>
        </w:tc>
        <w:tc>
          <w:tcPr>
            <w:tcW w:w="1109" w:type="dxa"/>
            <w:vAlign w:val="top"/>
          </w:tcPr>
          <w:p>
            <w:pPr>
              <w:spacing w:line="258" w:lineRule="auto"/>
              <w:rPr>
                <w:rFonts w:ascii="Arial"/>
                <w:sz w:val="21"/>
              </w:rPr>
            </w:pPr>
            <w:r/>
          </w:p>
          <w:p>
            <w:pPr>
              <w:pStyle w:val="TableText"/>
              <w:ind w:left="10" w:right="34" w:firstLine="30"/>
              <w:spacing w:before="49" w:line="255" w:lineRule="auto"/>
              <w:jc w:val="both"/>
              <w:rPr/>
            </w:pPr>
            <w:r>
              <w:rPr>
                <w:spacing w:val="20"/>
              </w:rPr>
              <w:t>(17038)远洋</w:t>
            </w:r>
            <w:r>
              <w:rPr>
                <w:spacing w:val="1"/>
              </w:rPr>
              <w:t xml:space="preserve"> </w:t>
            </w:r>
            <w:r>
              <w:rPr/>
              <w:t>渔业船舶检验和</w:t>
            </w:r>
            <w:r>
              <w:rPr>
                <w:spacing w:val="2"/>
              </w:rPr>
              <w:t xml:space="preserve"> </w:t>
            </w:r>
            <w:r>
              <w:rPr/>
              <w:t>渔业船舶船用产</w:t>
            </w:r>
            <w:r>
              <w:rPr>
                <w:spacing w:val="2"/>
              </w:rPr>
              <w:t xml:space="preserve"> </w:t>
            </w:r>
            <w:r>
              <w:rPr>
                <w:spacing w:val="2"/>
              </w:rPr>
              <w:t>品认可</w:t>
            </w:r>
          </w:p>
        </w:tc>
        <w:tc>
          <w:tcPr>
            <w:tcW w:w="829" w:type="dxa"/>
            <w:vAlign w:val="top"/>
          </w:tcPr>
          <w:p>
            <w:pPr>
              <w:pStyle w:val="TableText"/>
              <w:ind w:left="182"/>
              <w:spacing w:before="287" w:line="219" w:lineRule="auto"/>
              <w:rPr/>
            </w:pPr>
            <w:r>
              <w:rPr>
                <w:spacing w:val="-2"/>
              </w:rPr>
              <w:t>农业部</w:t>
            </w:r>
          </w:p>
        </w:tc>
        <w:tc>
          <w:tcPr>
            <w:tcW w:w="669" w:type="dxa"/>
            <w:vAlign w:val="top"/>
          </w:tcPr>
          <w:p>
            <w:pPr>
              <w:spacing w:line="246" w:lineRule="auto"/>
              <w:rPr>
                <w:rFonts w:ascii="Arial"/>
                <w:sz w:val="21"/>
              </w:rPr>
            </w:pPr>
            <w:r/>
          </w:p>
          <w:p>
            <w:pPr>
              <w:pStyle w:val="TableText"/>
              <w:ind w:left="22" w:right="19"/>
              <w:spacing w:before="49" w:line="258" w:lineRule="auto"/>
              <w:jc w:val="both"/>
              <w:rPr/>
            </w:pPr>
            <w:r>
              <w:rPr>
                <w:spacing w:val="4"/>
              </w:rPr>
              <w:t>具有资质</w:t>
            </w:r>
            <w:r>
              <w:rPr/>
              <w:t xml:space="preserve"> </w:t>
            </w:r>
            <w:r>
              <w:rPr>
                <w:spacing w:val="43"/>
              </w:rPr>
              <w:t>的</w:t>
            </w:r>
            <w:r>
              <w:rPr/>
              <w:t>GMDSS </w:t>
            </w:r>
            <w:r>
              <w:rPr>
                <w:spacing w:val="-3"/>
              </w:rPr>
              <w:t>设备岸上</w:t>
            </w:r>
            <w:r>
              <w:rPr>
                <w:spacing w:val="2"/>
              </w:rPr>
              <w:t xml:space="preserve"> </w:t>
            </w:r>
            <w:r>
              <w:rPr>
                <w:spacing w:val="-2"/>
              </w:rPr>
              <w:t>检修单位</w:t>
            </w:r>
          </w:p>
        </w:tc>
        <w:tc>
          <w:tcPr>
            <w:tcW w:w="6098" w:type="dxa"/>
            <w:vAlign w:val="top"/>
          </w:tcPr>
          <w:p>
            <w:pPr>
              <w:spacing w:line="255" w:lineRule="auto"/>
              <w:rPr>
                <w:rFonts w:ascii="Arial"/>
                <w:sz w:val="21"/>
              </w:rPr>
            </w:pPr>
            <w:r/>
          </w:p>
          <w:p>
            <w:pPr>
              <w:pStyle w:val="TableText"/>
              <w:ind w:left="34"/>
              <w:spacing w:before="49" w:line="219" w:lineRule="auto"/>
              <w:rPr/>
            </w:pPr>
            <w:r>
              <w:rPr>
                <w:spacing w:val="-2"/>
              </w:rPr>
              <w:t>1. 《中华人民共和国渔业船舶检验条例》(国务院令第383号)第九</w:t>
            </w:r>
            <w:r>
              <w:rPr>
                <w:spacing w:val="-3"/>
              </w:rPr>
              <w:t>条：制造、改造的渔业</w:t>
            </w:r>
          </w:p>
          <w:p>
            <w:pPr>
              <w:pStyle w:val="TableText"/>
              <w:ind w:left="14" w:firstLine="29"/>
              <w:spacing w:before="44" w:line="263" w:lineRule="auto"/>
              <w:rPr/>
            </w:pPr>
            <w:r>
              <w:rPr/>
              <w:t>船舶的初次检验，应当与渔业船舶的制造、改造同时进行。用于制</w:t>
            </w:r>
            <w:r>
              <w:rPr>
                <w:spacing w:val="-1"/>
              </w:rPr>
              <w:t>造、改造渔业船舶的有关 </w:t>
            </w:r>
            <w:r>
              <w:rPr/>
              <w:t>航行、作业和人身财产安全以及防止污染环境的重要设备、部件和材料，在使用前应当经淮 </w:t>
            </w:r>
            <w:r>
              <w:rPr>
                <w:spacing w:val="-2"/>
              </w:rPr>
              <w:t>业船舶检验机构检验，检验合格方可使用。前款规定必须检验的重要设备、部件和材料的目录</w:t>
            </w:r>
            <w:r>
              <w:rPr>
                <w:spacing w:val="4"/>
              </w:rPr>
              <w:t xml:space="preserve"> </w:t>
            </w:r>
            <w:r>
              <w:rPr>
                <w:spacing w:val="1"/>
              </w:rPr>
              <w:t>由国务院渔业行政主管部门制定。第十四条：运营中的渔业船舶的所有者或</w:t>
            </w:r>
            <w:r>
              <w:rPr/>
              <w:t>者经营者应当按 </w:t>
            </w:r>
            <w:r>
              <w:rPr/>
              <w:t>照国务院渔业行政主管部门规定的时间申报运营检验。渔业船舶检验机构应当按照国务院渔</w:t>
            </w:r>
            <w:r>
              <w:rPr>
                <w:spacing w:val="7"/>
              </w:rPr>
              <w:t xml:space="preserve">  </w:t>
            </w:r>
            <w:r>
              <w:rPr>
                <w:spacing w:val="-3"/>
              </w:rPr>
              <w:t>业行政主管部门的规定，根据渔业船舶运行年限和安全要求对下列项目实施检验：</w:t>
            </w:r>
            <w:r>
              <w:rPr>
                <w:spacing w:val="22"/>
              </w:rPr>
              <w:t xml:space="preserve">   </w:t>
            </w:r>
            <w:r>
              <w:rPr>
                <w:spacing w:val="-3"/>
              </w:rPr>
              <w:t>(一)淮 </w:t>
            </w:r>
            <w:r>
              <w:rPr>
                <w:spacing w:val="-3"/>
              </w:rPr>
              <w:t>业船舶的结构和机电设备；(二)与渔业船舶安全有关的设备、部件；</w:t>
            </w:r>
            <w:r>
              <w:rPr>
                <w:spacing w:val="22"/>
              </w:rPr>
              <w:t xml:space="preserve">   </w:t>
            </w:r>
            <w:r>
              <w:rPr>
                <w:spacing w:val="-3"/>
              </w:rPr>
              <w:t>(</w:t>
            </w:r>
            <w:r>
              <w:rPr>
                <w:spacing w:val="-4"/>
              </w:rPr>
              <w:t>三)与防止污染环</w:t>
            </w:r>
          </w:p>
          <w:p>
            <w:pPr>
              <w:pStyle w:val="TableText"/>
              <w:ind w:left="24"/>
              <w:spacing w:before="43" w:line="219" w:lineRule="auto"/>
              <w:rPr/>
            </w:pPr>
            <w:r>
              <w:rPr>
                <w:spacing w:val="-2"/>
              </w:rPr>
              <w:t>境有关的设备、部件；(四)国务院渔业行政主管部门规定的其他检验项目。2. 《渔业船舶</w:t>
            </w:r>
          </w:p>
          <w:p>
            <w:pPr>
              <w:pStyle w:val="TableText"/>
              <w:ind w:left="34"/>
              <w:spacing w:before="42" w:line="219" w:lineRule="auto"/>
              <w:rPr/>
            </w:pPr>
            <w:r>
              <w:rPr/>
              <w:t>法定检验规则(远洋渔船2015)》第二篇4.2.8初次检验时，船舶制造、</w:t>
            </w:r>
            <w:r>
              <w:rPr>
                <w:spacing w:val="-1"/>
              </w:rPr>
              <w:t>修造企业质量检查</w:t>
            </w:r>
          </w:p>
          <w:p>
            <w:pPr>
              <w:pStyle w:val="TableText"/>
              <w:ind w:left="4" w:right="16" w:firstLine="39"/>
              <w:spacing w:before="30" w:line="258" w:lineRule="auto"/>
              <w:rPr/>
            </w:pPr>
            <w:r>
              <w:rPr/>
              <w:t>部门或船舶所有人等应对以下项目进行检查、检测、试验，并出具相关</w:t>
            </w:r>
            <w:r>
              <w:rPr>
                <w:spacing w:val="-1"/>
              </w:rPr>
              <w:t>报告，必要时由渔船</w:t>
            </w:r>
            <w:r>
              <w:rPr/>
              <w:t xml:space="preserve"> </w:t>
            </w:r>
            <w:r>
              <w:rPr>
                <w:spacing w:val="-5"/>
              </w:rPr>
              <w:t>建造公司签字确认：</w:t>
            </w:r>
            <w:r>
              <w:rPr>
                <w:spacing w:val="40"/>
                <w:w w:val="101"/>
              </w:rPr>
              <w:t xml:space="preserve"> </w:t>
            </w:r>
            <w:hyperlink w:history="true" r:id="rId59">
              <w:r>
                <w:rPr>
                  <w:spacing w:val="-5"/>
                </w:rPr>
                <w:t>4.2.8.6</w:t>
              </w:r>
            </w:hyperlink>
            <w:r>
              <w:rPr>
                <w:spacing w:val="-5"/>
              </w:rPr>
              <w:t>检查甚高频无线电装置；</w:t>
            </w:r>
            <w:r>
              <w:rPr>
                <w:spacing w:val="40"/>
              </w:rPr>
              <w:t xml:space="preserve"> </w:t>
            </w:r>
            <w:hyperlink w:history="true" r:id="rId60">
              <w:r>
                <w:rPr>
                  <w:spacing w:val="-5"/>
                </w:rPr>
                <w:t>4.2.8.7</w:t>
              </w:r>
            </w:hyperlink>
            <w:r>
              <w:rPr>
                <w:spacing w:val="-5"/>
              </w:rPr>
              <w:t>检查中频/高频无线电装置及无</w:t>
            </w:r>
            <w:r>
              <w:rPr/>
              <w:t xml:space="preserve"> </w:t>
            </w:r>
            <w:r>
              <w:rPr>
                <w:spacing w:val="-2"/>
              </w:rPr>
              <w:t>线电电传设备；</w:t>
            </w:r>
            <w:r>
              <w:rPr>
                <w:spacing w:val="41"/>
              </w:rPr>
              <w:t xml:space="preserve"> </w:t>
            </w:r>
            <w:hyperlink w:history="true" r:id="rId61">
              <w:r>
                <w:rPr>
                  <w:spacing w:val="-2"/>
                </w:rPr>
                <w:t>4.2.8.8</w:t>
              </w:r>
            </w:hyperlink>
            <w:r>
              <w:rPr>
                <w:spacing w:val="-2"/>
              </w:rPr>
              <w:t>检查INMARSAT船舶地球站。3. 《国</w:t>
            </w:r>
            <w:r>
              <w:rPr>
                <w:spacing w:val="-3"/>
              </w:rPr>
              <w:t>际海上人命安全公约》第四章第</w:t>
            </w:r>
          </w:p>
          <w:p>
            <w:pPr>
              <w:pStyle w:val="TableText"/>
              <w:ind w:left="34" w:right="116" w:firstLine="79"/>
              <w:spacing w:before="42" w:line="246" w:lineRule="auto"/>
              <w:rPr/>
            </w:pPr>
            <w:r>
              <w:rPr/>
              <w:t>15条第9.2款：卫星应急无线电示位标应按不超过5年的间隔期在经认可的岸基维护站进行</w:t>
            </w:r>
            <w:r>
              <w:rPr>
                <w:spacing w:val="6"/>
              </w:rPr>
              <w:t xml:space="preserve"> </w:t>
            </w:r>
            <w:r>
              <w:rPr/>
              <w:t>维护。4.国际海事组织“全球海上遇险和安全系统(遇险和安全系统)</w:t>
            </w:r>
            <w:r>
              <w:rPr>
                <w:spacing w:val="-1"/>
              </w:rPr>
              <w:t>A3和A4海区无线电</w:t>
            </w:r>
          </w:p>
          <w:p>
            <w:pPr>
              <w:pStyle w:val="TableText"/>
              <w:ind w:left="34"/>
              <w:spacing w:before="40" w:line="219" w:lineRule="auto"/>
              <w:rPr/>
            </w:pPr>
            <w:r>
              <w:rPr/>
              <w:t>维修指南(第A·702(17)号决议)《全球海上遇险和安全系统A3和A</w:t>
            </w:r>
            <w:r>
              <w:rPr>
                <w:spacing w:val="-1"/>
              </w:rPr>
              <w:t>4海区无线电维修指南</w:t>
            </w:r>
          </w:p>
          <w:p>
            <w:pPr>
              <w:pStyle w:val="TableText"/>
              <w:ind w:left="43" w:hanging="29"/>
              <w:spacing w:before="41" w:line="258" w:lineRule="auto"/>
              <w:rPr/>
            </w:pPr>
            <w:r>
              <w:rPr>
                <w:spacing w:val="-5"/>
              </w:rPr>
              <w:t>规定：</w:t>
            </w:r>
            <w:r>
              <w:rPr>
                <w:spacing w:val="20"/>
              </w:rPr>
              <w:t xml:space="preserve">   </w:t>
            </w:r>
            <w:r>
              <w:rPr>
                <w:spacing w:val="-5"/>
              </w:rPr>
              <w:t>“指定执行海上电子维修保养职责者，或应有《无线</w:t>
            </w:r>
            <w:r>
              <w:rPr>
                <w:spacing w:val="-6"/>
              </w:rPr>
              <w:t>电规则》规定的适当证书，或应</w:t>
            </w:r>
            <w:r>
              <w:rPr>
                <w:spacing w:val="1"/>
              </w:rPr>
              <w:t xml:space="preserve"> </w:t>
            </w:r>
            <w:r>
              <w:rPr/>
              <w:t>有可由主管机关根据本组织关于培训这类人员的建议书，核准的等</w:t>
            </w:r>
            <w:r>
              <w:rPr>
                <w:spacing w:val="-1"/>
              </w:rPr>
              <w:t>效的海上电子设备维修保 </w:t>
            </w:r>
            <w:r>
              <w:rPr>
                <w:spacing w:val="-2"/>
              </w:rPr>
              <w:t>养资格”。5. 《国际渔船安全公约1993年议定书》第九章第十四条：5.主管机关应确保本章 </w:t>
            </w:r>
            <w:r>
              <w:rPr>
                <w:spacing w:val="1"/>
              </w:rPr>
              <w:t>说要求的无线电设备得到维修，以达到本章</w:t>
            </w:r>
            <w:r>
              <w:rPr/>
              <w:t>第4条规定的功能要求并满足这些设备的推荐性  </w:t>
            </w:r>
            <w:r>
              <w:rPr/>
              <w:t>能标准。7.航行在A3和A4海区的船舶，根据本组织的</w:t>
            </w:r>
            <w:r>
              <w:rPr>
                <w:spacing w:val="-1"/>
              </w:rPr>
              <w:t>建议案，应争取配套设备、岸上维</w:t>
            </w:r>
          </w:p>
          <w:p>
            <w:pPr>
              <w:pStyle w:val="TableText"/>
              <w:ind w:left="34" w:right="49" w:firstLine="9"/>
              <w:spacing w:before="53" w:line="245" w:lineRule="auto"/>
              <w:rPr/>
            </w:pPr>
            <w:r>
              <w:rPr/>
              <w:t>修或配备海上电子维修能力等至少两种经主管机关认可的方法保证其可用性</w:t>
            </w:r>
            <w:r>
              <w:rPr>
                <w:spacing w:val="-1"/>
              </w:rPr>
              <w:t>，但主管机关根</w:t>
            </w:r>
            <w:r>
              <w:rPr/>
              <w:t xml:space="preserve"> </w:t>
            </w:r>
            <w:r>
              <w:rPr>
                <w:spacing w:val="-1"/>
              </w:rPr>
              <w:t>据船型和作业方式，可允许只使用一种方法</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0080"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400" name="TextBox 400"/>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2" style="position:absolute;margin-left:37.0402pt;margin-top:49.1374pt;mso-position-vertical-relative:page;mso-position-horizontal-relative:page;width:13.6pt;height:12.35pt;z-index:25195008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288</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464" w:lineRule="auto"/>
              <w:rPr>
                <w:rFonts w:ascii="Arial"/>
                <w:sz w:val="21"/>
              </w:rPr>
            </w:pPr>
            <w:r/>
          </w:p>
          <w:p>
            <w:pPr>
              <w:pStyle w:val="TableText"/>
              <w:ind w:left="65"/>
              <w:spacing w:before="48" w:line="183" w:lineRule="auto"/>
              <w:rPr/>
            </w:pPr>
            <w:r>
              <w:rPr>
                <w:spacing w:val="-3"/>
              </w:rPr>
              <w:t>30</w:t>
            </w:r>
          </w:p>
        </w:tc>
        <w:tc>
          <w:tcPr>
            <w:tcW w:w="679" w:type="dxa"/>
            <w:vAlign w:val="top"/>
          </w:tcPr>
          <w:p>
            <w:pPr>
              <w:spacing w:line="416" w:lineRule="auto"/>
              <w:rPr>
                <w:rFonts w:ascii="Arial"/>
                <w:sz w:val="21"/>
              </w:rPr>
            </w:pPr>
            <w:r/>
          </w:p>
          <w:p>
            <w:pPr>
              <w:pStyle w:val="TableText"/>
              <w:ind w:left="20" w:right="44" w:firstLine="10"/>
              <w:spacing w:before="49" w:line="249" w:lineRule="auto"/>
              <w:jc w:val="both"/>
              <w:rPr/>
            </w:pPr>
            <w:r>
              <w:rPr>
                <w:spacing w:val="-2"/>
              </w:rPr>
              <w:t>远洋渔船</w:t>
            </w:r>
            <w:r>
              <w:rPr>
                <w:spacing w:val="1"/>
              </w:rPr>
              <w:t xml:space="preserve"> </w:t>
            </w:r>
            <w:r>
              <w:rPr/>
              <w:t>消防系统 </w:t>
            </w:r>
            <w:r>
              <w:rPr>
                <w:spacing w:val="-2"/>
              </w:rPr>
              <w:t>检测</w:t>
            </w:r>
          </w:p>
        </w:tc>
        <w:tc>
          <w:tcPr>
            <w:tcW w:w="1099" w:type="dxa"/>
            <w:vAlign w:val="top"/>
          </w:tcPr>
          <w:p>
            <w:pPr>
              <w:spacing w:line="407" w:lineRule="auto"/>
              <w:rPr>
                <w:rFonts w:ascii="Arial"/>
                <w:sz w:val="21"/>
              </w:rPr>
            </w:pPr>
            <w:r/>
          </w:p>
          <w:p>
            <w:pPr>
              <w:pStyle w:val="TableText"/>
              <w:ind w:left="10" w:right="34" w:firstLine="30"/>
              <w:spacing w:before="49" w:line="258" w:lineRule="auto"/>
              <w:jc w:val="both"/>
              <w:rPr/>
            </w:pPr>
            <w:r>
              <w:rPr>
                <w:spacing w:val="20"/>
              </w:rPr>
              <w:t>(17038)远洋</w:t>
            </w:r>
            <w:r>
              <w:rPr>
                <w:spacing w:val="1"/>
              </w:rPr>
              <w:t xml:space="preserve"> </w:t>
            </w:r>
            <w:r>
              <w:rPr>
                <w:spacing w:val="-1"/>
              </w:rPr>
              <w:t>渔业船舶检验和</w:t>
            </w:r>
            <w:r>
              <w:rPr/>
              <w:t xml:space="preserve"> </w:t>
            </w:r>
            <w:r>
              <w:rPr>
                <w:spacing w:val="-1"/>
              </w:rPr>
              <w:t>渔业船舶船用产</w:t>
            </w:r>
            <w:r>
              <w:rPr/>
              <w:t xml:space="preserve"> </w:t>
            </w:r>
            <w:r>
              <w:rPr>
                <w:spacing w:val="5"/>
              </w:rPr>
              <w:t>品认可</w:t>
            </w:r>
          </w:p>
        </w:tc>
        <w:tc>
          <w:tcPr>
            <w:tcW w:w="839" w:type="dxa"/>
            <w:vAlign w:val="top"/>
          </w:tcPr>
          <w:p>
            <w:pPr>
              <w:spacing w:line="405" w:lineRule="auto"/>
              <w:rPr>
                <w:rFonts w:ascii="Arial"/>
                <w:sz w:val="21"/>
              </w:rPr>
            </w:pPr>
            <w:r/>
          </w:p>
          <w:p>
            <w:pPr>
              <w:pStyle w:val="TableText"/>
              <w:ind w:left="182"/>
              <w:spacing w:before="49" w:line="219" w:lineRule="auto"/>
              <w:rPr/>
            </w:pPr>
            <w:r>
              <w:rPr>
                <w:spacing w:val="-2"/>
              </w:rPr>
              <w:t>农业部</w:t>
            </w:r>
          </w:p>
        </w:tc>
        <w:tc>
          <w:tcPr>
            <w:tcW w:w="659" w:type="dxa"/>
            <w:vAlign w:val="top"/>
          </w:tcPr>
          <w:p>
            <w:pPr>
              <w:spacing w:line="425" w:lineRule="auto"/>
              <w:rPr>
                <w:rFonts w:ascii="Arial"/>
                <w:sz w:val="21"/>
              </w:rPr>
            </w:pPr>
            <w:r/>
          </w:p>
          <w:p>
            <w:pPr>
              <w:pStyle w:val="TableText"/>
              <w:ind w:left="12" w:right="13" w:firstLine="10"/>
              <w:spacing w:before="49" w:line="232" w:lineRule="auto"/>
              <w:rPr/>
            </w:pPr>
            <w:r>
              <w:rPr>
                <w:spacing w:val="3"/>
              </w:rPr>
              <w:t>消防检测</w:t>
            </w:r>
            <w:r>
              <w:rPr/>
              <w:t xml:space="preserve"> </w:t>
            </w:r>
            <w:r>
              <w:rPr>
                <w:spacing w:val="-2"/>
              </w:rPr>
              <w:t>机构</w:t>
            </w:r>
          </w:p>
        </w:tc>
        <w:tc>
          <w:tcPr>
            <w:tcW w:w="6098" w:type="dxa"/>
            <w:vAlign w:val="top"/>
          </w:tcPr>
          <w:p>
            <w:pPr>
              <w:spacing w:line="416" w:lineRule="auto"/>
              <w:rPr>
                <w:rFonts w:ascii="Arial"/>
                <w:sz w:val="21"/>
              </w:rPr>
            </w:pPr>
            <w:r/>
          </w:p>
          <w:p>
            <w:pPr>
              <w:pStyle w:val="TableText"/>
              <w:ind w:left="113" w:right="130" w:hanging="89"/>
              <w:spacing w:before="49" w:line="244" w:lineRule="auto"/>
              <w:rPr/>
            </w:pPr>
            <w:r>
              <w:rPr>
                <w:spacing w:val="-2"/>
              </w:rPr>
              <w:t>1. 《中华人民共和国消防法》第三十四条：消防产品质量认证、消防设施检测、消防安全</w:t>
            </w:r>
            <w:r>
              <w:rPr>
                <w:spacing w:val="3"/>
              </w:rPr>
              <w:t xml:space="preserve">  </w:t>
            </w:r>
            <w:r>
              <w:rPr/>
              <w:t>监测等消防技术服务机构和执业人员，应当依法获得相应的资质、资格</w:t>
            </w:r>
            <w:r>
              <w:rPr>
                <w:spacing w:val="-1"/>
              </w:rPr>
              <w:t>；依照法律、行政</w:t>
            </w:r>
          </w:p>
          <w:p>
            <w:pPr>
              <w:pStyle w:val="TableText"/>
              <w:ind w:left="43" w:right="130" w:firstLine="70"/>
              <w:spacing w:before="41" w:line="245" w:lineRule="auto"/>
              <w:rPr/>
            </w:pPr>
            <w:r>
              <w:rPr/>
              <w:t>法规、国家标准、行业标准和执业准则，接受委托提供消防安全技术服</w:t>
            </w:r>
            <w:r>
              <w:rPr>
                <w:spacing w:val="-1"/>
              </w:rPr>
              <w:t>务，并对服务质量</w:t>
            </w:r>
            <w:r>
              <w:rPr/>
              <w:t xml:space="preserve"> </w:t>
            </w:r>
            <w:r>
              <w:rPr>
                <w:spacing w:val="-2"/>
              </w:rPr>
              <w:t>负责。2. 《中华人民共和国渔业船舶检验条例》(国务院令第383号)</w:t>
            </w:r>
            <w:r>
              <w:rPr>
                <w:spacing w:val="-3"/>
              </w:rPr>
              <w:t>第九条：制造、改</w:t>
            </w:r>
          </w:p>
          <w:p>
            <w:pPr>
              <w:pStyle w:val="TableText"/>
              <w:ind w:left="34" w:right="209"/>
              <w:spacing w:before="43" w:line="244" w:lineRule="auto"/>
              <w:rPr/>
            </w:pPr>
            <w:r>
              <w:rPr/>
              <w:t>造的渔业船舶的初次检验，应当与渔业船舶的制造、改造同时进行。用于</w:t>
            </w:r>
            <w:r>
              <w:rPr>
                <w:spacing w:val="-1"/>
              </w:rPr>
              <w:t>制造、改造渔业</w:t>
            </w:r>
            <w:r>
              <w:rPr/>
              <w:t xml:space="preserve"> </w:t>
            </w:r>
            <w:r>
              <w:rPr/>
              <w:t>船舶的有关航行、作业和人身财产安全以及防止污染环境的重要设备、部</w:t>
            </w:r>
            <w:r>
              <w:rPr>
                <w:spacing w:val="-1"/>
              </w:rPr>
              <w:t>件和材料，在使</w:t>
            </w:r>
          </w:p>
          <w:p>
            <w:pPr>
              <w:pStyle w:val="TableText"/>
              <w:ind w:left="113" w:right="48"/>
              <w:spacing w:before="41" w:line="239" w:lineRule="auto"/>
              <w:rPr/>
            </w:pPr>
            <w:r>
              <w:rPr>
                <w:spacing w:val="2"/>
              </w:rPr>
              <w:t>用前应当经渔业船舶检验机构检验，检验合格方可使用。前款规定必须检验的重</w:t>
            </w:r>
            <w:r>
              <w:rPr>
                <w:spacing w:val="1"/>
              </w:rPr>
              <w:t>要设备、</w:t>
            </w:r>
            <w:r>
              <w:rPr/>
              <w:t xml:space="preserve"> </w:t>
            </w:r>
            <w:r>
              <w:rPr/>
              <w:t>部件和材料的目录，由国务院渔业行政主管部门制定。第十四条：运</w:t>
            </w:r>
            <w:r>
              <w:rPr>
                <w:spacing w:val="-1"/>
              </w:rPr>
              <w:t>营中的渔业船舶的所</w:t>
            </w:r>
          </w:p>
          <w:p>
            <w:pPr>
              <w:pStyle w:val="TableText"/>
              <w:ind w:left="34" w:right="130" w:firstLine="79"/>
              <w:spacing w:before="43" w:line="257" w:lineRule="auto"/>
              <w:rPr/>
            </w:pPr>
            <w:r>
              <w:rPr/>
              <w:t>有者或者经营者应当按照国务院渔业行政主管部门规定的时间申报运营</w:t>
            </w:r>
            <w:r>
              <w:rPr>
                <w:spacing w:val="-1"/>
              </w:rPr>
              <w:t>检验。渔业船舶检</w:t>
            </w:r>
            <w:r>
              <w:rPr/>
              <w:t xml:space="preserve"> </w:t>
            </w:r>
            <w:r>
              <w:rPr/>
              <w:t>验机构应当按照国务院渔业行政主管部门的规定，根据渔业船舶运行年限</w:t>
            </w:r>
            <w:r>
              <w:rPr>
                <w:spacing w:val="-1"/>
              </w:rPr>
              <w:t>和安全要求对下</w:t>
            </w:r>
            <w:r>
              <w:rPr/>
              <w:t xml:space="preserve">  </w:t>
            </w:r>
            <w:r>
              <w:rPr>
                <w:spacing w:val="-4"/>
              </w:rPr>
              <w:t>列项目实施检验：</w:t>
            </w:r>
            <w:r>
              <w:rPr>
                <w:spacing w:val="23"/>
              </w:rPr>
              <w:t xml:space="preserve">   </w:t>
            </w:r>
            <w:r>
              <w:rPr>
                <w:spacing w:val="-4"/>
              </w:rPr>
              <w:t>(一)渔业船舶的结构和机电设备；(二)与渔业船舶安全有关的设备</w:t>
            </w:r>
          </w:p>
          <w:p>
            <w:pPr>
              <w:pStyle w:val="TableText"/>
              <w:ind w:left="43" w:right="131" w:firstLine="70"/>
              <w:spacing w:before="44" w:line="244" w:lineRule="auto"/>
              <w:rPr/>
            </w:pPr>
            <w:r>
              <w:rPr>
                <w:spacing w:val="-5"/>
              </w:rPr>
              <w:t>部件；   (三)与防止污染环境有关的设备、部件；    (四)国务院渔业行政主管部</w:t>
            </w:r>
            <w:r>
              <w:rPr>
                <w:spacing w:val="-6"/>
              </w:rPr>
              <w:t>门规定的</w:t>
            </w:r>
            <w:r>
              <w:rPr/>
              <w:t xml:space="preserve"> </w:t>
            </w:r>
            <w:r>
              <w:rPr>
                <w:spacing w:val="-2"/>
              </w:rPr>
              <w:t>其他检验项目。3. 《社会消防技术服务管理规定》(公安部令第129号)第二条：在</w:t>
            </w:r>
            <w:r>
              <w:rPr>
                <w:spacing w:val="-3"/>
              </w:rPr>
              <w:t>中华</w:t>
            </w:r>
          </w:p>
          <w:p>
            <w:pPr>
              <w:pStyle w:val="TableText"/>
              <w:ind w:left="43" w:right="131" w:firstLine="70"/>
              <w:spacing w:before="42" w:line="258" w:lineRule="auto"/>
              <w:rPr/>
            </w:pPr>
            <w:r>
              <w:rPr/>
              <w:t>人民共和国境内从事社会消防技术服务活动、对消防技术服务机构实</w:t>
            </w:r>
            <w:r>
              <w:rPr>
                <w:spacing w:val="-1"/>
              </w:rPr>
              <w:t>施资质许可和监督管</w:t>
            </w:r>
            <w:r>
              <w:rPr/>
              <w:t xml:space="preserve"> </w:t>
            </w:r>
            <w:r>
              <w:rPr>
                <w:spacing w:val="2"/>
              </w:rPr>
              <w:t>理，适用本规定。第四条：国家对消防技术服务机</w:t>
            </w:r>
            <w:r>
              <w:rPr>
                <w:spacing w:val="1"/>
              </w:rPr>
              <w:t>构实行资质许可制度。消防技术服务机</w:t>
            </w:r>
            <w:r>
              <w:rPr/>
              <w:t xml:space="preserve"> </w:t>
            </w:r>
            <w:r>
              <w:rPr>
                <w:spacing w:val="2"/>
              </w:rPr>
              <w:t>构应当取得相应消防技术服务机构资质证书，并在</w:t>
            </w:r>
            <w:r>
              <w:rPr>
                <w:spacing w:val="1"/>
              </w:rPr>
              <w:t>资质证书确定的业务范围内从事消防技</w:t>
            </w:r>
            <w:r>
              <w:rPr/>
              <w:t xml:space="preserve"> </w:t>
            </w:r>
            <w:r>
              <w:rPr>
                <w:spacing w:val="-5"/>
              </w:rPr>
              <w:t>术服务活动。</w:t>
            </w:r>
            <w:r>
              <w:rPr>
                <w:spacing w:val="18"/>
              </w:rPr>
              <w:t xml:space="preserve">   </w:t>
            </w:r>
            <w:r>
              <w:rPr>
                <w:spacing w:val="-5"/>
              </w:rPr>
              <w:t>(主要指消防设备的检测和维修)。4. 《渔业船舶法定检验</w:t>
            </w:r>
            <w:r>
              <w:rPr>
                <w:spacing w:val="-6"/>
              </w:rPr>
              <w:t>规则(远洋渔船</w:t>
            </w:r>
          </w:p>
          <w:p>
            <w:pPr>
              <w:pStyle w:val="TableText"/>
              <w:ind w:left="43"/>
              <w:spacing w:before="42" w:line="219" w:lineRule="auto"/>
              <w:rPr/>
            </w:pPr>
            <w:r>
              <w:rPr/>
              <w:t>2015》)第二篇4.2.5初次检验时，船舶制造、修造企业质量检查部</w:t>
            </w:r>
            <w:r>
              <w:rPr>
                <w:spacing w:val="-1"/>
              </w:rPr>
              <w:t>门或船舶所有人等应</w:t>
            </w:r>
          </w:p>
          <w:p>
            <w:pPr>
              <w:pStyle w:val="TableText"/>
              <w:spacing w:before="41" w:line="218" w:lineRule="auto"/>
              <w:jc w:val="right"/>
              <w:rPr/>
            </w:pPr>
            <w:r>
              <w:rPr>
                <w:spacing w:val="-10"/>
              </w:rPr>
              <w:t>对</w:t>
            </w:r>
            <w:r>
              <w:rPr>
                <w:spacing w:val="-9"/>
              </w:rPr>
              <w:t>以下项目进行检查、检测、试验，并出具相关报告，必要时由</w:t>
            </w:r>
            <w:r>
              <w:rPr>
                <w:spacing w:val="-10"/>
              </w:rPr>
              <w:t>渔船监造公司签字确认：</w:t>
            </w:r>
            <w:r>
              <w:rPr>
                <w:spacing w:val="34"/>
                <w:w w:val="101"/>
              </w:rPr>
              <w:t xml:space="preserve"> </w:t>
            </w:r>
            <w:hyperlink w:history="true" r:id="rId62">
              <w:r>
                <w:rPr>
                  <w:spacing w:val="-10"/>
                </w:rPr>
                <w:t>4.2.5.</w:t>
              </w:r>
              <w:r>
                <w:rPr>
                  <w:spacing w:val="-9"/>
                </w:rPr>
                <w:t>9</w:t>
              </w:r>
            </w:hyperlink>
          </w:p>
          <w:p>
            <w:pPr>
              <w:pStyle w:val="TableText"/>
              <w:ind w:left="113"/>
              <w:spacing w:before="43" w:line="219" w:lineRule="auto"/>
              <w:rPr/>
            </w:pPr>
            <w:r>
              <w:rPr>
                <w:spacing w:val="-3"/>
              </w:rPr>
              <w:t>检查各处所内的防火布置，检查各种开口的关闭装置，并进行操纵功能试验；</w:t>
            </w:r>
            <w:r>
              <w:rPr>
                <w:spacing w:val="47"/>
              </w:rPr>
              <w:t xml:space="preserve"> </w:t>
            </w:r>
            <w:hyperlink w:history="true" r:id="rId63">
              <w:r>
                <w:rPr>
                  <w:spacing w:val="-3"/>
                </w:rPr>
                <w:t>4.2.5.10</w:t>
              </w:r>
            </w:hyperlink>
            <w:r>
              <w:rPr>
                <w:spacing w:val="-3"/>
              </w:rPr>
              <w:t>检</w:t>
            </w:r>
          </w:p>
          <w:p>
            <w:pPr>
              <w:pStyle w:val="TableText"/>
              <w:ind w:left="24" w:right="109" w:firstLine="89"/>
              <w:spacing w:before="22" w:line="258" w:lineRule="auto"/>
              <w:rPr/>
            </w:pPr>
            <w:r>
              <w:rPr>
                <w:spacing w:val="-2"/>
              </w:rPr>
              <w:t>查机器处所的固定式灭火系统的安装，并进行效用试验；</w:t>
            </w:r>
            <w:r>
              <w:rPr>
                <w:spacing w:val="41"/>
              </w:rPr>
              <w:t xml:space="preserve"> </w:t>
            </w:r>
            <w:hyperlink w:history="true" r:id="rId64">
              <w:r>
                <w:rPr>
                  <w:spacing w:val="-2"/>
                </w:rPr>
                <w:t>4</w:t>
              </w:r>
              <w:r>
                <w:rPr>
                  <w:spacing w:val="-3"/>
                </w:rPr>
                <w:t>.2.5.11</w:t>
              </w:r>
            </w:hyperlink>
            <w:r>
              <w:rPr>
                <w:spacing w:val="-3"/>
              </w:rPr>
              <w:t>检查探火和失火报警系</w:t>
            </w:r>
            <w:r>
              <w:rPr/>
              <w:t xml:space="preserve"> </w:t>
            </w:r>
            <w:r>
              <w:rPr>
                <w:spacing w:val="-1"/>
              </w:rPr>
              <w:t>统(如设有)的安装，并进行效用试验</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110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402" name="TextBox 402"/>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4" style="position:absolute;margin-left:37.0402pt;margin-top:344.638pt;mso-position-vertical-relative:page;mso-position-horizontal-relative:page;width:13.6pt;height:12.35pt;z-index:25195110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289</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extDirection w:val="tbRlV"/>
          </w:tcPr>
          <w:p>
            <w:pPr>
              <w:pStyle w:val="TableText"/>
              <w:ind w:left="37"/>
              <w:spacing w:before="9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33"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1" w:line="254"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4423" w:hRule="atLeast"/>
        </w:trPr>
        <w:tc>
          <w:tcPr>
            <w:tcW w:w="295" w:type="dxa"/>
            <w:vAlign w:val="top"/>
          </w:tcPr>
          <w:p>
            <w:pPr>
              <w:pStyle w:val="TableText"/>
              <w:ind w:left="45"/>
              <w:spacing w:before="105" w:line="184" w:lineRule="auto"/>
              <w:rPr/>
            </w:pPr>
            <w:r>
              <w:rPr>
                <w:spacing w:val="-3"/>
              </w:rPr>
              <w:t>31</w:t>
            </w:r>
          </w:p>
        </w:tc>
        <w:tc>
          <w:tcPr>
            <w:tcW w:w="659" w:type="dxa"/>
            <w:vAlign w:val="top"/>
          </w:tcPr>
          <w:p>
            <w:pPr>
              <w:pStyle w:val="TableText"/>
              <w:ind w:left="10" w:right="34" w:firstLine="10"/>
              <w:spacing w:before="65" w:line="265" w:lineRule="auto"/>
              <w:jc w:val="both"/>
              <w:rPr/>
            </w:pPr>
            <w:r>
              <w:rPr>
                <w:spacing w:val="-2"/>
              </w:rPr>
              <w:t>渔船用涉</w:t>
            </w:r>
            <w:r>
              <w:rPr/>
              <w:t xml:space="preserve"> </w:t>
            </w:r>
            <w:r>
              <w:rPr>
                <w:spacing w:val="1"/>
              </w:rPr>
              <w:t>及船舶及</w:t>
            </w:r>
            <w:r>
              <w:rPr/>
              <w:t xml:space="preserve"> </w:t>
            </w:r>
            <w:r>
              <w:rPr/>
              <w:t>人命安全</w:t>
            </w:r>
            <w:r>
              <w:rPr>
                <w:spacing w:val="1"/>
              </w:rPr>
              <w:t xml:space="preserve"> </w:t>
            </w:r>
            <w:r>
              <w:rPr/>
              <w:t>或防止污</w:t>
            </w:r>
            <w:r>
              <w:rPr>
                <w:spacing w:val="1"/>
              </w:rPr>
              <w:t xml:space="preserve"> </w:t>
            </w:r>
            <w:r>
              <w:rPr/>
              <w:t>染环境的 </w:t>
            </w:r>
            <w:r>
              <w:rPr/>
              <w:t>设备及材 </w:t>
            </w:r>
            <w:r>
              <w:rPr>
                <w:spacing w:val="1"/>
              </w:rPr>
              <w:t>料检验检</w:t>
            </w:r>
            <w:r>
              <w:rPr/>
              <w:t xml:space="preserve"> </w:t>
            </w:r>
            <w:r>
              <w:rPr/>
              <w:t>测</w:t>
            </w:r>
          </w:p>
        </w:tc>
        <w:tc>
          <w:tcPr>
            <w:tcW w:w="1109" w:type="dxa"/>
            <w:vAlign w:val="top"/>
          </w:tcPr>
          <w:p>
            <w:pPr>
              <w:pStyle w:val="TableText"/>
              <w:ind w:left="20" w:right="34" w:firstLine="20"/>
              <w:spacing w:before="69" w:line="258" w:lineRule="auto"/>
              <w:jc w:val="both"/>
              <w:rPr/>
            </w:pPr>
            <w:r>
              <w:rPr>
                <w:spacing w:val="20"/>
              </w:rPr>
              <w:t>(17038)远洋</w:t>
            </w:r>
            <w:r>
              <w:rPr>
                <w:spacing w:val="1"/>
              </w:rPr>
              <w:t xml:space="preserve"> </w:t>
            </w:r>
            <w:r>
              <w:rPr>
                <w:spacing w:val="-1"/>
              </w:rPr>
              <w:t>渔业船舶检验和</w:t>
            </w:r>
            <w:r>
              <w:rPr/>
              <w:t xml:space="preserve"> </w:t>
            </w:r>
            <w:r>
              <w:rPr>
                <w:spacing w:val="-1"/>
              </w:rPr>
              <w:t>渔业船舶船用产</w:t>
            </w:r>
            <w:r>
              <w:rPr/>
              <w:t xml:space="preserve"> </w:t>
            </w:r>
            <w:r>
              <w:rPr>
                <w:spacing w:val="5"/>
              </w:rPr>
              <w:t>品认可</w:t>
            </w:r>
          </w:p>
        </w:tc>
        <w:tc>
          <w:tcPr>
            <w:tcW w:w="839" w:type="dxa"/>
            <w:vAlign w:val="top"/>
          </w:tcPr>
          <w:p>
            <w:pPr>
              <w:pStyle w:val="TableText"/>
              <w:ind w:left="182"/>
              <w:spacing w:before="57" w:line="219" w:lineRule="auto"/>
              <w:rPr/>
            </w:pPr>
            <w:r>
              <w:rPr>
                <w:spacing w:val="-2"/>
              </w:rPr>
              <w:t>农业部</w:t>
            </w:r>
          </w:p>
        </w:tc>
        <w:tc>
          <w:tcPr>
            <w:tcW w:w="659" w:type="dxa"/>
            <w:vAlign w:val="top"/>
          </w:tcPr>
          <w:p>
            <w:pPr>
              <w:pStyle w:val="TableText"/>
              <w:ind w:left="12" w:right="34" w:firstLine="10"/>
              <w:spacing w:before="67" w:line="253" w:lineRule="auto"/>
              <w:jc w:val="both"/>
              <w:rPr/>
            </w:pPr>
            <w:r>
              <w:rPr>
                <w:spacing w:val="-3"/>
              </w:rPr>
              <w:t>具有相应</w:t>
            </w:r>
            <w:r>
              <w:rPr>
                <w:spacing w:val="2"/>
              </w:rPr>
              <w:t xml:space="preserve"> </w:t>
            </w:r>
            <w:r>
              <w:rPr>
                <w:spacing w:val="-1"/>
              </w:rPr>
              <w:t>资质的检</w:t>
            </w:r>
            <w:r>
              <w:rPr/>
              <w:t xml:space="preserve"> </w:t>
            </w:r>
            <w:r>
              <w:rPr>
                <w:spacing w:val="-2"/>
              </w:rPr>
              <w:t>测机构</w:t>
            </w:r>
          </w:p>
        </w:tc>
        <w:tc>
          <w:tcPr>
            <w:tcW w:w="6088" w:type="dxa"/>
            <w:vAlign w:val="top"/>
          </w:tcPr>
          <w:p>
            <w:pPr>
              <w:pStyle w:val="TableText"/>
              <w:ind w:left="43"/>
              <w:spacing w:before="76" w:line="219" w:lineRule="auto"/>
              <w:rPr/>
            </w:pPr>
            <w:r>
              <w:rPr/>
              <w:t>1. 《中华人民共和国渔业船舶检验条例》(国务院令第383号)第九条第二款</w:t>
            </w:r>
            <w:r>
              <w:rPr>
                <w:spacing w:val="-1"/>
              </w:rPr>
              <w:t>：用于制造、</w:t>
            </w:r>
          </w:p>
          <w:p>
            <w:pPr>
              <w:pStyle w:val="TableText"/>
              <w:ind w:left="14" w:firstLine="19"/>
              <w:spacing w:before="50" w:line="263" w:lineRule="auto"/>
              <w:rPr/>
            </w:pPr>
            <w:r>
              <w:rPr>
                <w:spacing w:val="-2"/>
              </w:rPr>
              <w:t>改造渔</w:t>
            </w:r>
            <w:r>
              <w:rPr>
                <w:u w:val="single" w:color="auto"/>
                <w:spacing w:val="-2"/>
              </w:rPr>
              <w:t>业</w:t>
            </w:r>
            <w:r>
              <w:rPr>
                <w:spacing w:val="-2"/>
              </w:rPr>
              <w:t>船舶的有关航行、作业和人身财产安全以及防止污染环境的重要设备、部件和材</w:t>
            </w:r>
            <w:r>
              <w:rPr>
                <w:spacing w:val="-3"/>
              </w:rPr>
              <w:t>料  </w:t>
            </w:r>
            <w:r>
              <w:rPr>
                <w:spacing w:val="-2"/>
              </w:rPr>
              <w:t>在使用前应当经渔业船舶检验机构检验，检验合格方可使用。第十六条第二款：用于维修渔  </w:t>
            </w:r>
            <w:r>
              <w:rPr>
                <w:spacing w:val="-2"/>
              </w:rPr>
              <w:t>业船舶的有关航行、作业和人身财产安全以及防止污染环境的重要设备、部件和材料，在使  </w:t>
            </w:r>
            <w:r>
              <w:rPr>
                <w:spacing w:val="-2"/>
              </w:rPr>
              <w:t>用前应当经渔业船舶检验机构检验，检验合格的方可使用。第十七条：营运中的渔业船舶需  </w:t>
            </w:r>
            <w:r>
              <w:rPr>
                <w:spacing w:val="-2"/>
              </w:rPr>
              <w:t>要更换有关航行、作业和人身财产安全以及防止污染环境的重要设备、部件和材料的，该船  </w:t>
            </w:r>
            <w:r>
              <w:rPr>
                <w:spacing w:val="-4"/>
              </w:rPr>
              <w:t>舶的所有者或者经营者应当遵守本条例第十六条第二款的规定。2. 《渔业船舶法定检验规则》</w:t>
            </w:r>
            <w:r>
              <w:rPr>
                <w:spacing w:val="9"/>
              </w:rPr>
              <w:t xml:space="preserve"> </w:t>
            </w:r>
            <w:r>
              <w:rPr>
                <w:spacing w:val="-3"/>
              </w:rPr>
              <w:t>(国渔检(法)〔2000〕37号)第八篇第</w:t>
            </w:r>
            <w:hyperlink w:history="true" r:id="rId65">
              <w:r>
                <w:rPr>
                  <w:spacing w:val="-3"/>
                </w:rPr>
                <w:t>2.2.2.2</w:t>
              </w:r>
            </w:hyperlink>
            <w:r>
              <w:rPr>
                <w:spacing w:val="-3"/>
              </w:rPr>
              <w:t>条，第</w:t>
            </w:r>
            <w:hyperlink w:history="true" r:id="rId66">
              <w:r>
                <w:rPr>
                  <w:spacing w:val="-3"/>
                </w:rPr>
                <w:t>3.2.2.3</w:t>
              </w:r>
            </w:hyperlink>
            <w:r>
              <w:rPr>
                <w:spacing w:val="-3"/>
              </w:rPr>
              <w:t>条。3. 《国际海上人命安全公约》</w:t>
            </w:r>
            <w:r>
              <w:rPr>
                <w:spacing w:val="2"/>
              </w:rPr>
              <w:t xml:space="preserve"> </w:t>
            </w:r>
            <w:r>
              <w:rPr>
                <w:spacing w:val="-2"/>
              </w:rPr>
              <w:t>中A部分第2条定义：主管机关系指船旗国</w:t>
            </w:r>
            <w:r>
              <w:rPr>
                <w:spacing w:val="-3"/>
              </w:rPr>
              <w:t>政府，认可系指经主管机关认可。4. 《国际海上</w:t>
            </w:r>
          </w:p>
          <w:p>
            <w:pPr>
              <w:pStyle w:val="TableText"/>
              <w:ind w:left="34" w:right="50" w:firstLine="79"/>
              <w:spacing w:before="43" w:line="253" w:lineRule="auto"/>
              <w:rPr/>
            </w:pPr>
            <w:r>
              <w:rPr/>
              <w:t>人命安全公约》中第Ⅱ章第26条通则5:所有锅炉、机器的所有部件，</w:t>
            </w:r>
            <w:r>
              <w:rPr>
                <w:spacing w:val="-1"/>
              </w:rPr>
              <w:t>所有蒸汽、液压、气</w:t>
            </w:r>
            <w:r>
              <w:rPr/>
              <w:t xml:space="preserve">  </w:t>
            </w:r>
            <w:r>
              <w:rPr/>
              <w:t>动和其他系统，以及有关的承受内部压力的附件，在首次投入使用前，应</w:t>
            </w:r>
            <w:r>
              <w:rPr>
                <w:spacing w:val="-1"/>
              </w:rPr>
              <w:t>经受包括压力试验</w:t>
            </w:r>
            <w:r>
              <w:rPr/>
              <w:t xml:space="preserve"> </w:t>
            </w:r>
            <w:r>
              <w:rPr/>
              <w:t>在内的相应试验。E部分周期性无人值班机器处所的附加要求第46条通则2</w:t>
            </w:r>
            <w:r>
              <w:rPr>
                <w:spacing w:val="-1"/>
              </w:rPr>
              <w:t>:应采取使主管</w:t>
            </w:r>
          </w:p>
          <w:p>
            <w:pPr>
              <w:pStyle w:val="TableText"/>
              <w:ind w:left="34" w:right="49"/>
              <w:spacing w:before="31" w:line="245" w:lineRule="auto"/>
              <w:rPr/>
            </w:pPr>
            <w:r>
              <w:rPr/>
              <w:t>机关满意的措施，以保证设备可靠运行，并作出满意的定期检查和试验的安</w:t>
            </w:r>
            <w:r>
              <w:rPr>
                <w:spacing w:val="-1"/>
              </w:rPr>
              <w:t>排，以确保持续</w:t>
            </w:r>
            <w:r>
              <w:rPr/>
              <w:t xml:space="preserve"> </w:t>
            </w:r>
            <w:r>
              <w:rPr/>
              <w:t>可靠运行。通则3:每艘船舶应备有使主管机关满意的证明文件，用以证</w:t>
            </w:r>
            <w:r>
              <w:rPr>
                <w:spacing w:val="-1"/>
              </w:rPr>
              <w:t>明它适合于周期性</w:t>
            </w:r>
          </w:p>
          <w:p>
            <w:pPr>
              <w:pStyle w:val="TableText"/>
              <w:ind w:left="34" w:right="51"/>
              <w:spacing w:before="41" w:line="258" w:lineRule="auto"/>
              <w:rPr/>
            </w:pPr>
            <w:r>
              <w:rPr/>
              <w:t>无人值班的情况下运行。第Ⅲ章救生设备和装置：本章所规定的救生设</w:t>
            </w:r>
            <w:r>
              <w:rPr>
                <w:spacing w:val="-1"/>
              </w:rPr>
              <w:t>备和装置应经主管机</w:t>
            </w:r>
            <w:r>
              <w:rPr/>
              <w:t xml:space="preserve"> </w:t>
            </w:r>
            <w:r>
              <w:rPr>
                <w:spacing w:val="1"/>
              </w:rPr>
              <w:t>关认可。按照本组织的建议进行试验，确认其符合本章和规则的要求</w:t>
            </w:r>
            <w:r>
              <w:rPr/>
              <w:t>。第5条生产试验：主 </w:t>
            </w:r>
            <w:r>
              <w:rPr/>
              <w:t>管机关应要求救生设备必经必要的生产试验，以确保救生设备是按</w:t>
            </w:r>
            <w:r>
              <w:rPr>
                <w:spacing w:val="-1"/>
              </w:rPr>
              <w:t>已认可的原型设备的同一</w:t>
            </w:r>
            <w:r>
              <w:rPr/>
              <w:t xml:space="preserve"> </w:t>
            </w:r>
            <w:r>
              <w:rPr/>
              <w:t>标准进行制造。5.MARPOL公约附件1:要求船上具备的证书和文件：国际防止生活污水污</w:t>
            </w:r>
          </w:p>
          <w:p>
            <w:pPr>
              <w:pStyle w:val="TableText"/>
              <w:ind w:left="34"/>
              <w:spacing w:before="52" w:line="219" w:lineRule="auto"/>
              <w:rPr/>
            </w:pPr>
            <w:r>
              <w:rPr/>
              <w:t>染证书(MARPOL公约附则V第5条);国际防止空气污染证书(MARP</w:t>
            </w:r>
            <w:r>
              <w:rPr>
                <w:spacing w:val="-1"/>
              </w:rPr>
              <w:t>OL公约附则VI第6</w:t>
            </w:r>
          </w:p>
          <w:p>
            <w:pPr>
              <w:pStyle w:val="TableText"/>
              <w:ind w:left="43"/>
              <w:spacing w:before="42" w:line="193" w:lineRule="auto"/>
              <w:rPr/>
            </w:pPr>
            <w:r>
              <w:rPr>
                <w:spacing w:val="-1"/>
              </w:rPr>
              <w:t>条);国际防止油污染证书(MARPOL公约附则I第7条</w:t>
            </w:r>
          </w:p>
        </w:tc>
      </w:tr>
      <w:tr>
        <w:trPr>
          <w:trHeight w:val="1352" w:hRule="atLeast"/>
        </w:trPr>
        <w:tc>
          <w:tcPr>
            <w:tcW w:w="295" w:type="dxa"/>
            <w:vAlign w:val="top"/>
          </w:tcPr>
          <w:p>
            <w:pPr>
              <w:pStyle w:val="TableText"/>
              <w:ind w:left="35"/>
              <w:spacing w:before="122" w:line="183" w:lineRule="auto"/>
              <w:rPr/>
            </w:pPr>
            <w:r>
              <w:rPr>
                <w:spacing w:val="-3"/>
              </w:rPr>
              <w:t>32</w:t>
            </w:r>
          </w:p>
        </w:tc>
        <w:tc>
          <w:tcPr>
            <w:tcW w:w="659" w:type="dxa"/>
            <w:vAlign w:val="top"/>
          </w:tcPr>
          <w:p>
            <w:pPr>
              <w:pStyle w:val="TableText"/>
              <w:ind w:left="20" w:right="34"/>
              <w:spacing w:before="72" w:line="256" w:lineRule="auto"/>
              <w:jc w:val="both"/>
              <w:rPr/>
            </w:pPr>
            <w:r>
              <w:rPr>
                <w:spacing w:val="-3"/>
              </w:rPr>
              <w:t>高致病性</w:t>
            </w:r>
            <w:r>
              <w:rPr>
                <w:spacing w:val="1"/>
              </w:rPr>
              <w:t xml:space="preserve"> </w:t>
            </w:r>
            <w:r>
              <w:rPr>
                <w:spacing w:val="-2"/>
              </w:rPr>
              <w:t>病原微生</w:t>
            </w:r>
            <w:r>
              <w:rPr>
                <w:spacing w:val="1"/>
              </w:rPr>
              <w:t xml:space="preserve"> </w:t>
            </w:r>
            <w:r>
              <w:rPr>
                <w:spacing w:val="-2"/>
              </w:rPr>
              <w:t>物实验室</w:t>
            </w:r>
            <w:r>
              <w:rPr>
                <w:spacing w:val="1"/>
              </w:rPr>
              <w:t xml:space="preserve"> </w:t>
            </w:r>
            <w:r>
              <w:rPr>
                <w:spacing w:val="-2"/>
              </w:rPr>
              <w:t>认可</w:t>
            </w:r>
          </w:p>
        </w:tc>
        <w:tc>
          <w:tcPr>
            <w:tcW w:w="1109" w:type="dxa"/>
            <w:vAlign w:val="top"/>
          </w:tcPr>
          <w:p>
            <w:pPr>
              <w:pStyle w:val="TableText"/>
              <w:ind w:left="20" w:right="33" w:firstLine="20"/>
              <w:spacing w:before="73" w:line="255" w:lineRule="auto"/>
              <w:jc w:val="both"/>
              <w:rPr/>
            </w:pPr>
            <w:r>
              <w:rPr>
                <w:spacing w:val="20"/>
              </w:rPr>
              <w:t>(20012)高致</w:t>
            </w:r>
            <w:r>
              <w:rPr/>
              <w:t xml:space="preserve"> </w:t>
            </w:r>
            <w:r>
              <w:rPr>
                <w:spacing w:val="-1"/>
              </w:rPr>
              <w:t>病性病原微生物</w:t>
            </w:r>
            <w:r>
              <w:rPr/>
              <w:t xml:space="preserve"> </w:t>
            </w:r>
            <w:r>
              <w:rPr>
                <w:spacing w:val="-2"/>
              </w:rPr>
              <w:t>实验室实验活动</w:t>
            </w:r>
            <w:r>
              <w:rPr>
                <w:spacing w:val="3"/>
              </w:rPr>
              <w:t xml:space="preserve"> </w:t>
            </w:r>
            <w:r>
              <w:rPr>
                <w:spacing w:val="-1"/>
              </w:rPr>
              <w:t>资格审批</w:t>
            </w:r>
          </w:p>
        </w:tc>
        <w:tc>
          <w:tcPr>
            <w:tcW w:w="839" w:type="dxa"/>
            <w:vAlign w:val="top"/>
          </w:tcPr>
          <w:p>
            <w:pPr>
              <w:pStyle w:val="TableText"/>
              <w:ind w:left="31"/>
              <w:spacing w:before="74" w:line="221" w:lineRule="auto"/>
              <w:rPr/>
            </w:pPr>
            <w:r>
              <w:rPr>
                <w:spacing w:val="-2"/>
              </w:rPr>
              <w:t>卫生计生委</w:t>
            </w:r>
          </w:p>
        </w:tc>
        <w:tc>
          <w:tcPr>
            <w:tcW w:w="659" w:type="dxa"/>
            <w:vAlign w:val="top"/>
          </w:tcPr>
          <w:p>
            <w:pPr>
              <w:pStyle w:val="TableText"/>
              <w:ind w:left="22" w:right="14"/>
              <w:spacing w:before="74" w:line="260" w:lineRule="auto"/>
              <w:jc w:val="both"/>
              <w:rPr/>
            </w:pPr>
            <w:r>
              <w:rPr>
                <w:spacing w:val="1"/>
              </w:rPr>
              <w:t>国务院认</w:t>
            </w:r>
            <w:r>
              <w:rPr>
                <w:spacing w:val="2"/>
              </w:rPr>
              <w:t xml:space="preserve"> </w:t>
            </w:r>
            <w:r>
              <w:rPr>
                <w:spacing w:val="-2"/>
              </w:rPr>
              <w:t>证认可监</w:t>
            </w:r>
            <w:r>
              <w:rPr>
                <w:spacing w:val="1"/>
              </w:rPr>
              <w:t xml:space="preserve"> </w:t>
            </w:r>
            <w:r>
              <w:rPr>
                <w:spacing w:val="-3"/>
              </w:rPr>
              <w:t>督管理部</w:t>
            </w:r>
            <w:r>
              <w:rPr>
                <w:spacing w:val="2"/>
              </w:rPr>
              <w:t xml:space="preserve"> </w:t>
            </w:r>
            <w:r>
              <w:rPr>
                <w:spacing w:val="2"/>
              </w:rPr>
              <w:t>门确定的 </w:t>
            </w:r>
            <w:r>
              <w:rPr>
                <w:spacing w:val="-2"/>
              </w:rPr>
              <w:t>认可机构</w:t>
            </w:r>
          </w:p>
        </w:tc>
        <w:tc>
          <w:tcPr>
            <w:tcW w:w="6088" w:type="dxa"/>
            <w:vAlign w:val="top"/>
          </w:tcPr>
          <w:p>
            <w:pPr>
              <w:pStyle w:val="TableText"/>
              <w:ind w:left="14" w:firstLine="59"/>
              <w:spacing w:before="73" w:line="254" w:lineRule="auto"/>
              <w:rPr/>
            </w:pPr>
            <w:r>
              <w:rPr>
                <w:spacing w:val="-3"/>
              </w:rPr>
              <w:t>1. 《病原微生物实验室生物安全管理条例》(国务院令第424号)第二十条：国务院认证认可  </w:t>
            </w:r>
            <w:r>
              <w:rPr>
                <w:spacing w:val="-2"/>
              </w:rPr>
              <w:t>监督管理部门确定的认可机构应当依照实验室生物安全国家标准以及本条例的有</w:t>
            </w:r>
            <w:r>
              <w:rPr>
                <w:spacing w:val="-3"/>
              </w:rPr>
              <w:t>关规定，对三</w:t>
            </w:r>
            <w:r>
              <w:rPr/>
              <w:t xml:space="preserve"> </w:t>
            </w:r>
            <w:r>
              <w:rPr>
                <w:spacing w:val="-2"/>
              </w:rPr>
              <w:t>四级实验室进行认可。第二十一条：三级、四级实验室从事高致病性病原微生物</w:t>
            </w:r>
            <w:r>
              <w:rPr>
                <w:spacing w:val="-3"/>
              </w:rPr>
              <w:t>实验活动，应</w:t>
            </w:r>
          </w:p>
          <w:p>
            <w:pPr>
              <w:pStyle w:val="TableText"/>
              <w:ind w:left="34" w:right="113" w:firstLine="79"/>
              <w:spacing w:before="41" w:line="251" w:lineRule="auto"/>
              <w:rPr/>
            </w:pPr>
            <w:r>
              <w:rPr>
                <w:spacing w:val="-2"/>
              </w:rPr>
              <w:t>当具备下列条件：(二)通过实验室国家认可。2. 《人间传染的高致病性病原微生物实验室</w:t>
            </w:r>
            <w:r>
              <w:rPr>
                <w:spacing w:val="8"/>
              </w:rPr>
              <w:t xml:space="preserve"> </w:t>
            </w:r>
            <w:r>
              <w:rPr/>
              <w:t>和实验活动生物安全审批管理办法》(卫生部令第50号)第七条：申请</w:t>
            </w:r>
            <w:r>
              <w:rPr>
                <w:spacing w:val="-1"/>
              </w:rPr>
              <w:t>《高致病性病原微</w:t>
            </w:r>
          </w:p>
          <w:p>
            <w:pPr>
              <w:pStyle w:val="TableText"/>
              <w:ind w:left="34"/>
              <w:spacing w:before="40" w:line="197" w:lineRule="auto"/>
              <w:rPr/>
            </w:pPr>
            <w:r>
              <w:rPr>
                <w:spacing w:val="-4"/>
              </w:rPr>
              <w:t>生物实验室资格证书》,应当向省级卫生行政部门提交以下资料：</w:t>
            </w:r>
            <w:r>
              <w:rPr>
                <w:spacing w:val="25"/>
              </w:rPr>
              <w:t xml:space="preserve">   </w:t>
            </w:r>
            <w:r>
              <w:rPr>
                <w:spacing w:val="-4"/>
              </w:rPr>
              <w:t>(三)实验室认可证书</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2128"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404" name="TextBox 404"/>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6" style="position:absolute;margin-left:37.0402pt;margin-top:48.636pt;mso-position-vertical-relative:page;mso-position-horizontal-relative:page;width:13.6pt;height:12.35pt;z-index:25195212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290</w:t>
                      </w:r>
                    </w:p>
                  </w:txbxContent>
                </v:textbox>
              </v:shape>
            </w:pict>
          </mc:Fallback>
        </mc:AlternateContent>
      </w:r>
      <w:r/>
    </w:p>
    <w:p>
      <w:pPr>
        <w:spacing w:before="51"/>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39"/>
        <w:gridCol w:w="659"/>
        <w:gridCol w:w="6088"/>
      </w:tblGrid>
      <w:tr>
        <w:trPr>
          <w:trHeight w:val="474" w:hRule="atLeast"/>
        </w:trPr>
        <w:tc>
          <w:tcPr>
            <w:tcW w:w="28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447" w:hRule="atLeast"/>
        </w:trPr>
        <w:tc>
          <w:tcPr>
            <w:tcW w:w="285" w:type="dxa"/>
            <w:vAlign w:val="top"/>
          </w:tcPr>
          <w:p>
            <w:pPr>
              <w:pStyle w:val="TableText"/>
              <w:ind w:left="55"/>
              <w:spacing w:before="285" w:line="183" w:lineRule="auto"/>
              <w:rPr/>
            </w:pPr>
            <w:r>
              <w:rPr>
                <w:spacing w:val="-3"/>
              </w:rPr>
              <w:t>33</w:t>
            </w:r>
          </w:p>
        </w:tc>
        <w:tc>
          <w:tcPr>
            <w:tcW w:w="679" w:type="dxa"/>
            <w:vAlign w:val="top"/>
          </w:tcPr>
          <w:p>
            <w:pPr>
              <w:pStyle w:val="TableText"/>
              <w:ind w:left="30" w:right="27"/>
              <w:spacing w:before="237" w:line="261" w:lineRule="auto"/>
              <w:jc w:val="both"/>
              <w:rPr/>
            </w:pPr>
            <w:r>
              <w:rPr>
                <w:spacing w:val="1"/>
              </w:rPr>
              <w:t>以募集方</w:t>
            </w:r>
            <w:r>
              <w:rPr/>
              <w:t xml:space="preserve"> </w:t>
            </w:r>
            <w:r>
              <w:rPr>
                <w:spacing w:val="2"/>
              </w:rPr>
              <w:t>式设立的 </w:t>
            </w:r>
            <w:r>
              <w:rPr>
                <w:spacing w:val="-2"/>
              </w:rPr>
              <w:t>股份有限</w:t>
            </w:r>
            <w:r>
              <w:rPr>
                <w:spacing w:val="1"/>
              </w:rPr>
              <w:t xml:space="preserve"> </w:t>
            </w:r>
            <w:r>
              <w:rPr>
                <w:spacing w:val="-3"/>
              </w:rPr>
              <w:t>公司设立</w:t>
            </w:r>
            <w:r>
              <w:rPr/>
              <w:t xml:space="preserve"> </w:t>
            </w:r>
            <w:r>
              <w:rPr>
                <w:spacing w:val="-2"/>
              </w:rPr>
              <w:t>登记验资</w:t>
            </w:r>
          </w:p>
        </w:tc>
        <w:tc>
          <w:tcPr>
            <w:tcW w:w="1109" w:type="dxa"/>
            <w:vAlign w:val="top"/>
          </w:tcPr>
          <w:p>
            <w:pPr>
              <w:pStyle w:val="TableText"/>
              <w:ind w:left="10" w:right="142" w:firstLine="120"/>
              <w:spacing w:before="259" w:line="232" w:lineRule="auto"/>
              <w:rPr/>
            </w:pPr>
            <w:r>
              <w:rPr/>
              <w:t>(25001)企业 </w:t>
            </w:r>
            <w:r>
              <w:rPr>
                <w:spacing w:val="-2"/>
              </w:rPr>
              <w:t>核准登记</w:t>
            </w:r>
          </w:p>
        </w:tc>
        <w:tc>
          <w:tcPr>
            <w:tcW w:w="839" w:type="dxa"/>
            <w:vAlign w:val="top"/>
          </w:tcPr>
          <w:p>
            <w:pPr>
              <w:pStyle w:val="TableText"/>
              <w:ind w:left="112"/>
              <w:spacing w:before="237" w:line="220" w:lineRule="auto"/>
              <w:rPr/>
            </w:pPr>
            <w:r>
              <w:rPr>
                <w:spacing w:val="3"/>
              </w:rPr>
              <w:t>工商总局</w:t>
            </w:r>
          </w:p>
        </w:tc>
        <w:tc>
          <w:tcPr>
            <w:tcW w:w="659" w:type="dxa"/>
            <w:vAlign w:val="top"/>
          </w:tcPr>
          <w:p>
            <w:pPr>
              <w:pStyle w:val="TableText"/>
              <w:ind w:left="22" w:right="31"/>
              <w:spacing w:before="236" w:line="239" w:lineRule="auto"/>
              <w:rPr/>
            </w:pPr>
            <w:r>
              <w:rPr>
                <w:spacing w:val="-2"/>
              </w:rPr>
              <w:t>会计师事</w:t>
            </w:r>
            <w:r>
              <w:rPr>
                <w:spacing w:val="1"/>
              </w:rPr>
              <w:t xml:space="preserve"> </w:t>
            </w:r>
            <w:r>
              <w:rPr>
                <w:spacing w:val="-2"/>
              </w:rPr>
              <w:t>务所</w:t>
            </w:r>
          </w:p>
        </w:tc>
        <w:tc>
          <w:tcPr>
            <w:tcW w:w="6088" w:type="dxa"/>
            <w:vAlign w:val="top"/>
          </w:tcPr>
          <w:p>
            <w:pPr>
              <w:pStyle w:val="TableText"/>
              <w:ind w:left="34"/>
              <w:spacing w:before="246" w:line="219" w:lineRule="auto"/>
              <w:rPr/>
            </w:pPr>
            <w:r>
              <w:rPr>
                <w:spacing w:val="-2"/>
              </w:rPr>
              <w:t>1. 《中华人民共和国公司法》第八十条：股份有限公司采取募集方式设立的，注册资本为在</w:t>
            </w:r>
          </w:p>
          <w:p>
            <w:pPr>
              <w:pStyle w:val="TableText"/>
              <w:ind w:left="73"/>
              <w:spacing w:before="22" w:line="219" w:lineRule="auto"/>
              <w:rPr/>
            </w:pPr>
            <w:r>
              <w:rPr>
                <w:spacing w:val="-2"/>
              </w:rPr>
              <w:t>公司登记机关登记的实收股本总额。2. 《中华人民共和国公司登记管理</w:t>
            </w:r>
            <w:r>
              <w:rPr>
                <w:spacing w:val="-3"/>
              </w:rPr>
              <w:t>条例》(国务院令第</w:t>
            </w:r>
          </w:p>
          <w:p>
            <w:pPr>
              <w:pStyle w:val="TableText"/>
              <w:ind w:left="113"/>
              <w:spacing w:before="42" w:line="219" w:lineRule="auto"/>
              <w:rPr/>
            </w:pPr>
            <w:r>
              <w:rPr/>
              <w:t>156号)第二十一条：以募集方式设立股份有限公司的，还应当提交创立大会的会议记录以</w:t>
            </w:r>
          </w:p>
          <w:p>
            <w:pPr>
              <w:pStyle w:val="TableText"/>
              <w:ind w:left="43"/>
              <w:spacing w:before="52" w:line="219" w:lineRule="auto"/>
              <w:rPr/>
            </w:pPr>
            <w:r>
              <w:rPr/>
              <w:t>及依法设立的验资机构出具的验资证明</w:t>
            </w:r>
          </w:p>
        </w:tc>
      </w:tr>
      <w:tr>
        <w:trPr>
          <w:trHeight w:val="2296" w:hRule="atLeast"/>
        </w:trPr>
        <w:tc>
          <w:tcPr>
            <w:tcW w:w="285" w:type="dxa"/>
            <w:vAlign w:val="top"/>
          </w:tcPr>
          <w:p>
            <w:pPr>
              <w:pStyle w:val="TableText"/>
              <w:ind w:left="55"/>
              <w:spacing w:before="278" w:line="183" w:lineRule="auto"/>
              <w:rPr/>
            </w:pPr>
            <w:r>
              <w:rPr>
                <w:spacing w:val="-3"/>
              </w:rPr>
              <w:t>34</w:t>
            </w:r>
          </w:p>
        </w:tc>
        <w:tc>
          <w:tcPr>
            <w:tcW w:w="679" w:type="dxa"/>
            <w:vAlign w:val="top"/>
          </w:tcPr>
          <w:p>
            <w:pPr>
              <w:pStyle w:val="TableText"/>
              <w:ind w:left="30" w:right="10"/>
              <w:spacing w:before="220" w:line="264" w:lineRule="auto"/>
              <w:jc w:val="both"/>
              <w:rPr/>
            </w:pPr>
            <w:r>
              <w:rPr>
                <w:spacing w:val="-2"/>
              </w:rPr>
              <w:t>金属冶炼</w:t>
            </w:r>
            <w:r>
              <w:rPr/>
              <w:t xml:space="preserve"> </w:t>
            </w:r>
            <w:r>
              <w:rPr>
                <w:spacing w:val="7"/>
              </w:rPr>
              <w:t>建设项目</w:t>
            </w:r>
            <w:r>
              <w:rPr/>
              <w:t xml:space="preserve"> </w:t>
            </w:r>
            <w:r>
              <w:rPr>
                <w:spacing w:val="-3"/>
              </w:rPr>
              <w:t>安全设施</w:t>
            </w:r>
            <w:r>
              <w:rPr>
                <w:spacing w:val="2"/>
              </w:rPr>
              <w:t xml:space="preserve"> </w:t>
            </w:r>
            <w:r>
              <w:rPr>
                <w:spacing w:val="3"/>
              </w:rPr>
              <w:t>设计编制</w:t>
            </w:r>
          </w:p>
        </w:tc>
        <w:tc>
          <w:tcPr>
            <w:tcW w:w="1109" w:type="dxa"/>
            <w:vAlign w:val="top"/>
          </w:tcPr>
          <w:p>
            <w:pPr>
              <w:pStyle w:val="TableText"/>
              <w:ind w:left="20" w:firstLine="105"/>
              <w:spacing w:before="232" w:line="264" w:lineRule="auto"/>
              <w:rPr/>
            </w:pPr>
            <w:r>
              <w:rPr>
                <w:spacing w:val="-3"/>
              </w:rPr>
              <w:t>(29001)矿山</w:t>
            </w:r>
            <w:r>
              <w:rPr>
                <w:spacing w:val="1"/>
              </w:rPr>
              <w:t xml:space="preserve">   </w:t>
            </w:r>
            <w:r>
              <w:rPr>
                <w:spacing w:val="-8"/>
              </w:rPr>
              <w:t>金属冶炼建设项</w:t>
            </w:r>
            <w:r>
              <w:rPr>
                <w:spacing w:val="2"/>
              </w:rPr>
              <w:t xml:space="preserve">  </w:t>
            </w:r>
            <w:r>
              <w:rPr>
                <w:spacing w:val="4"/>
              </w:rPr>
              <w:t>目和用于生产、</w:t>
            </w:r>
            <w:r>
              <w:rPr/>
              <w:t xml:space="preserve"> </w:t>
            </w:r>
            <w:r>
              <w:rPr>
                <w:spacing w:val="-7"/>
              </w:rPr>
              <w:t>储存危险物品的</w:t>
            </w:r>
            <w:r>
              <w:rPr/>
              <w:t xml:space="preserve">  </w:t>
            </w:r>
            <w:r>
              <w:rPr>
                <w:spacing w:val="-8"/>
              </w:rPr>
              <w:t>建设项目的安全</w:t>
            </w:r>
            <w:r>
              <w:rPr>
                <w:spacing w:val="1"/>
              </w:rPr>
              <w:t xml:space="preserve">  </w:t>
            </w:r>
            <w:r>
              <w:rPr>
                <w:spacing w:val="-7"/>
              </w:rPr>
              <w:t>设施设计审查</w:t>
            </w:r>
          </w:p>
        </w:tc>
        <w:tc>
          <w:tcPr>
            <w:tcW w:w="839" w:type="dxa"/>
            <w:vAlign w:val="top"/>
          </w:tcPr>
          <w:p>
            <w:pPr>
              <w:pStyle w:val="TableText"/>
              <w:ind w:left="331" w:right="34" w:hanging="300"/>
              <w:spacing w:before="220" w:line="246" w:lineRule="auto"/>
              <w:rPr/>
            </w:pPr>
            <w:r>
              <w:rPr>
                <w:spacing w:val="2"/>
              </w:rPr>
              <w:t>安全监管总</w:t>
            </w:r>
            <w:r>
              <w:rPr>
                <w:spacing w:val="1"/>
              </w:rPr>
              <w:t xml:space="preserve"> </w:t>
            </w:r>
            <w:r>
              <w:rPr/>
              <w:t>局</w:t>
            </w:r>
          </w:p>
        </w:tc>
        <w:tc>
          <w:tcPr>
            <w:tcW w:w="659" w:type="dxa"/>
            <w:vAlign w:val="top"/>
          </w:tcPr>
          <w:p>
            <w:pPr>
              <w:pStyle w:val="TableText"/>
              <w:ind w:left="12" w:right="32" w:firstLine="10"/>
              <w:spacing w:before="220" w:line="258" w:lineRule="auto"/>
              <w:jc w:val="both"/>
              <w:rPr/>
            </w:pPr>
            <w:r>
              <w:rPr>
                <w:spacing w:val="-3"/>
              </w:rPr>
              <w:t>具有相应</w:t>
            </w:r>
            <w:r>
              <w:rPr>
                <w:spacing w:val="2"/>
              </w:rPr>
              <w:t xml:space="preserve"> </w:t>
            </w:r>
            <w:r>
              <w:rPr/>
              <w:t>专业设计</w:t>
            </w:r>
            <w:r>
              <w:rPr>
                <w:spacing w:val="2"/>
              </w:rPr>
              <w:t xml:space="preserve"> </w:t>
            </w:r>
            <w:r>
              <w:rPr>
                <w:spacing w:val="-1"/>
              </w:rPr>
              <w:t>资质的设</w:t>
            </w:r>
            <w:r>
              <w:rPr/>
              <w:t xml:space="preserve"> </w:t>
            </w:r>
            <w:r>
              <w:rPr>
                <w:spacing w:val="-2"/>
              </w:rPr>
              <w:t>计单位</w:t>
            </w:r>
          </w:p>
        </w:tc>
        <w:tc>
          <w:tcPr>
            <w:tcW w:w="6088" w:type="dxa"/>
            <w:vAlign w:val="top"/>
          </w:tcPr>
          <w:p>
            <w:pPr>
              <w:pStyle w:val="TableText"/>
              <w:ind w:left="24" w:right="4" w:firstLine="89"/>
              <w:spacing w:before="208" w:line="268" w:lineRule="auto"/>
              <w:rPr/>
            </w:pPr>
            <w:r>
              <w:rPr>
                <w:spacing w:val="-2"/>
              </w:rPr>
              <w:t>1. 《中华人民共和国安全生产法》第三十条：矿山、金属冶炼建设项目</w:t>
            </w:r>
            <w:r>
              <w:rPr>
                <w:spacing w:val="-3"/>
              </w:rPr>
              <w:t>和用于生产、储存  </w:t>
            </w:r>
            <w:r>
              <w:rPr/>
              <w:t>装卸危险物品的建设项目的安全设施设计应当按照国家有关规定报经有关部门</w:t>
            </w:r>
            <w:r>
              <w:rPr>
                <w:spacing w:val="-1"/>
              </w:rPr>
              <w:t>审查，审查部 </w:t>
            </w:r>
            <w:r>
              <w:rPr>
                <w:spacing w:val="-6"/>
              </w:rPr>
              <w:t>门及其负责审查的人员对审查结果负责。2. 《建设项目安全设施“三同时”监督管理办法》(国</w:t>
            </w:r>
            <w:r>
              <w:rPr>
                <w:spacing w:val="12"/>
              </w:rPr>
              <w:t xml:space="preserve"> </w:t>
            </w:r>
            <w:r>
              <w:rPr>
                <w:spacing w:val="1"/>
              </w:rPr>
              <w:t>家安全生产监督管理总局令第36号公布，国家安全生产监督管理总局令第77号修正)第十条</w:t>
            </w:r>
            <w:r>
              <w:rPr/>
              <w:t xml:space="preserve">  </w:t>
            </w:r>
            <w:r>
              <w:rPr/>
              <w:t>生产经营单位在建设项目初步设计时，应当委托有相应资质的初步设计单位对</w:t>
            </w:r>
            <w:r>
              <w:rPr>
                <w:spacing w:val="-1"/>
              </w:rPr>
              <w:t>建设项目安全 </w:t>
            </w:r>
            <w:r>
              <w:rPr>
                <w:spacing w:val="1"/>
              </w:rPr>
              <w:t>设施同时进行设计，编制安全设施设计。安全设施设计</w:t>
            </w:r>
            <w:r>
              <w:rPr/>
              <w:t>必须符合有关法律、法规、规章和国 </w:t>
            </w:r>
            <w:r>
              <w:rPr/>
              <w:t>家标准或者行业标准、技术规范的规定，并尽可能采用先进适用的工艺、技术</w:t>
            </w:r>
            <w:r>
              <w:rPr>
                <w:spacing w:val="-1"/>
              </w:rPr>
              <w:t>和可靠的设备 </w:t>
            </w:r>
            <w:r>
              <w:rPr/>
              <w:t>设施。本办法第七条规定的建设项目安全设施设计还应当充分考虑建设项目安</w:t>
            </w:r>
            <w:r>
              <w:rPr>
                <w:spacing w:val="-1"/>
              </w:rPr>
              <w:t>全预评价报告 </w:t>
            </w:r>
            <w:r>
              <w:rPr/>
              <w:t>提出的安全对策措施。安全设施设计单位、设计人应当对其编制的设计文件负责</w:t>
            </w:r>
          </w:p>
        </w:tc>
      </w:tr>
      <w:tr>
        <w:trPr>
          <w:trHeight w:val="1962" w:hRule="atLeast"/>
        </w:trPr>
        <w:tc>
          <w:tcPr>
            <w:tcW w:w="285" w:type="dxa"/>
            <w:vAlign w:val="top"/>
          </w:tcPr>
          <w:p>
            <w:pPr>
              <w:spacing w:line="262" w:lineRule="auto"/>
              <w:rPr>
                <w:rFonts w:ascii="Arial"/>
                <w:sz w:val="21"/>
              </w:rPr>
            </w:pPr>
            <w:r/>
          </w:p>
          <w:p>
            <w:pPr>
              <w:pStyle w:val="TableText"/>
              <w:ind w:left="55"/>
              <w:spacing w:before="49" w:line="183" w:lineRule="auto"/>
              <w:rPr/>
            </w:pPr>
            <w:r>
              <w:rPr>
                <w:spacing w:val="-3"/>
              </w:rPr>
              <w:t>35</w:t>
            </w:r>
          </w:p>
        </w:tc>
        <w:tc>
          <w:tcPr>
            <w:tcW w:w="679" w:type="dxa"/>
            <w:vAlign w:val="top"/>
          </w:tcPr>
          <w:p>
            <w:pPr>
              <w:pStyle w:val="TableText"/>
              <w:ind w:left="10" w:right="29" w:firstLine="20"/>
              <w:spacing w:before="254" w:line="257" w:lineRule="auto"/>
              <w:jc w:val="both"/>
              <w:rPr/>
            </w:pPr>
            <w:r>
              <w:rPr>
                <w:spacing w:val="-3"/>
              </w:rPr>
              <w:t>非煤矿矿</w:t>
            </w:r>
            <w:r>
              <w:rPr>
                <w:spacing w:val="2"/>
              </w:rPr>
              <w:t xml:space="preserve"> </w:t>
            </w:r>
            <w:r>
              <w:rPr>
                <w:spacing w:val="7"/>
              </w:rPr>
              <w:t>山建设项</w:t>
            </w:r>
            <w:r>
              <w:rPr/>
              <w:t xml:space="preserve"> </w:t>
            </w:r>
            <w:r>
              <w:rPr>
                <w:spacing w:val="6"/>
              </w:rPr>
              <w:t>目安全预</w:t>
            </w:r>
            <w:r>
              <w:rPr>
                <w:spacing w:val="1"/>
              </w:rPr>
              <w:t xml:space="preserve"> </w:t>
            </w:r>
            <w:r>
              <w:rPr>
                <w:spacing w:val="-2"/>
              </w:rPr>
              <w:t>评价</w:t>
            </w:r>
          </w:p>
        </w:tc>
        <w:tc>
          <w:tcPr>
            <w:tcW w:w="1109" w:type="dxa"/>
            <w:vAlign w:val="top"/>
          </w:tcPr>
          <w:p>
            <w:pPr>
              <w:pStyle w:val="TableText"/>
              <w:ind w:left="20" w:right="33" w:firstLine="110"/>
              <w:spacing w:before="241" w:line="267" w:lineRule="auto"/>
              <w:rPr/>
            </w:pPr>
            <w:r>
              <w:rPr>
                <w:spacing w:val="1"/>
              </w:rPr>
              <w:t>(29001)矿山</w:t>
            </w:r>
            <w:r>
              <w:rPr>
                <w:spacing w:val="2"/>
              </w:rPr>
              <w:t xml:space="preserve">  </w:t>
            </w:r>
            <w:r>
              <w:rPr>
                <w:spacing w:val="-2"/>
              </w:rPr>
              <w:t>金属冶炼建设项</w:t>
            </w:r>
            <w:r>
              <w:rPr>
                <w:spacing w:val="5"/>
              </w:rPr>
              <w:t xml:space="preserve"> </w:t>
            </w:r>
            <w:r>
              <w:rPr>
                <w:spacing w:val="13"/>
              </w:rPr>
              <w:t>目和用于生产</w:t>
            </w:r>
            <w:r>
              <w:rPr/>
              <w:t xml:space="preserve">  </w:t>
            </w:r>
            <w:r>
              <w:rPr>
                <w:spacing w:val="-1"/>
              </w:rPr>
              <w:t>储存危险物品的</w:t>
            </w:r>
            <w:r>
              <w:rPr/>
              <w:t xml:space="preserve"> </w:t>
            </w:r>
            <w:r>
              <w:rPr>
                <w:spacing w:val="-2"/>
              </w:rPr>
              <w:t>建设项目的安全</w:t>
            </w:r>
            <w:r>
              <w:rPr>
                <w:spacing w:val="5"/>
              </w:rPr>
              <w:t xml:space="preserve"> </w:t>
            </w:r>
            <w:r>
              <w:rPr>
                <w:spacing w:val="-2"/>
              </w:rPr>
              <w:t>设施设计审查</w:t>
            </w:r>
          </w:p>
        </w:tc>
        <w:tc>
          <w:tcPr>
            <w:tcW w:w="839" w:type="dxa"/>
            <w:vAlign w:val="top"/>
          </w:tcPr>
          <w:p>
            <w:pPr>
              <w:pStyle w:val="TableText"/>
              <w:ind w:left="331" w:right="34" w:hanging="300"/>
              <w:spacing w:before="253" w:line="247" w:lineRule="auto"/>
              <w:rPr/>
            </w:pPr>
            <w:r>
              <w:rPr>
                <w:spacing w:val="2"/>
              </w:rPr>
              <w:t>安全监管总</w:t>
            </w:r>
            <w:r>
              <w:rPr>
                <w:spacing w:val="1"/>
              </w:rPr>
              <w:t xml:space="preserve"> </w:t>
            </w:r>
            <w:r>
              <w:rPr/>
              <w:t>局</w:t>
            </w:r>
          </w:p>
        </w:tc>
        <w:tc>
          <w:tcPr>
            <w:tcW w:w="659" w:type="dxa"/>
            <w:vAlign w:val="top"/>
          </w:tcPr>
          <w:p>
            <w:pPr>
              <w:pStyle w:val="TableText"/>
              <w:ind w:left="22" w:right="17"/>
              <w:spacing w:before="244" w:line="253" w:lineRule="auto"/>
              <w:jc w:val="both"/>
              <w:rPr/>
            </w:pPr>
            <w:r>
              <w:rPr>
                <w:spacing w:val="-3"/>
              </w:rPr>
              <w:t>具有相应</w:t>
            </w:r>
            <w:r>
              <w:rPr>
                <w:spacing w:val="2"/>
              </w:rPr>
              <w:t xml:space="preserve"> </w:t>
            </w:r>
            <w:r>
              <w:rPr>
                <w:spacing w:val="2"/>
              </w:rPr>
              <w:t>资质的安</w:t>
            </w:r>
            <w:r>
              <w:rPr/>
              <w:t xml:space="preserve"> </w:t>
            </w:r>
            <w:r>
              <w:rPr>
                <w:spacing w:val="-2"/>
              </w:rPr>
              <w:t>评机构</w:t>
            </w:r>
          </w:p>
        </w:tc>
        <w:tc>
          <w:tcPr>
            <w:tcW w:w="6088" w:type="dxa"/>
            <w:vAlign w:val="top"/>
          </w:tcPr>
          <w:p>
            <w:pPr>
              <w:pStyle w:val="TableText"/>
              <w:ind w:left="14" w:right="4" w:firstLine="20"/>
              <w:spacing w:before="254" w:line="253" w:lineRule="auto"/>
              <w:rPr/>
            </w:pPr>
            <w:r>
              <w:rPr>
                <w:spacing w:val="-2"/>
              </w:rPr>
              <w:t>1. 《中华人民共和国安全生产法》第二十九条：矿山、金属冶炼建设项目和用于生产、储存</w:t>
            </w:r>
            <w:r>
              <w:rPr>
                <w:spacing w:val="7"/>
              </w:rPr>
              <w:t xml:space="preserve"> </w:t>
            </w:r>
            <w:r>
              <w:rPr>
                <w:spacing w:val="-4"/>
              </w:rPr>
              <w:t>装卸危险物品的建设项目，应当按照国家有关规定进行安全评价。2. 《建设项目安全设施“三</w:t>
            </w:r>
            <w:r>
              <w:rPr>
                <w:spacing w:val="5"/>
              </w:rPr>
              <w:t xml:space="preserve"> </w:t>
            </w:r>
            <w:r>
              <w:rPr>
                <w:spacing w:val="1"/>
              </w:rPr>
              <w:t>同时”监督管理办法》(国家安全生产监督管理总局令第36号公布，国</w:t>
            </w:r>
            <w:r>
              <w:rPr/>
              <w:t>家安全生产监督管</w:t>
            </w:r>
          </w:p>
          <w:p>
            <w:pPr>
              <w:pStyle w:val="TableText"/>
              <w:ind w:left="34"/>
              <w:spacing w:before="41" w:line="218" w:lineRule="auto"/>
              <w:rPr/>
            </w:pPr>
            <w:r>
              <w:rPr/>
              <w:t>理总局令第77号修正)第八条：生产经营单位应当委托具有相应资质</w:t>
            </w:r>
            <w:r>
              <w:rPr>
                <w:spacing w:val="-1"/>
              </w:rPr>
              <w:t>的安全评价机构，对</w:t>
            </w:r>
          </w:p>
          <w:p>
            <w:pPr>
              <w:pStyle w:val="TableText"/>
              <w:ind w:left="34" w:right="28"/>
              <w:spacing w:before="63" w:line="253" w:lineRule="auto"/>
              <w:rPr/>
            </w:pPr>
            <w:r>
              <w:rPr/>
              <w:t>其建设项目进行安全预评价，并编制安全预评价报告。建设项目安全预评价报告应当符合国</w:t>
            </w:r>
            <w:r>
              <w:rPr>
                <w:spacing w:val="14"/>
              </w:rPr>
              <w:t xml:space="preserve"> </w:t>
            </w:r>
            <w:r>
              <w:rPr/>
              <w:t>家标准或者行业标准的规定。生产、储存危险化学品的建设项目和化工</w:t>
            </w:r>
            <w:r>
              <w:rPr>
                <w:spacing w:val="-1"/>
              </w:rPr>
              <w:t>建设项目安全预评价</w:t>
            </w:r>
            <w:r>
              <w:rPr/>
              <w:t xml:space="preserve"> </w:t>
            </w:r>
            <w:r>
              <w:rPr/>
              <w:t>报告除符合本条第二款的规定外，还应当符合有关危险化学品建</w:t>
            </w:r>
            <w:r>
              <w:rPr>
                <w:spacing w:val="-1"/>
              </w:rPr>
              <w:t>设项目的规定</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3152" behindDoc="0" locked="0" layoutInCell="0" allowOverlap="1">
                <wp:simplePos x="0" y="0"/>
                <wp:positionH relativeFrom="page">
                  <wp:posOffset>470613</wp:posOffset>
                </wp:positionH>
                <wp:positionV relativeFrom="page">
                  <wp:posOffset>4370332</wp:posOffset>
                </wp:positionV>
                <wp:extent cx="172720" cy="157479"/>
                <wp:effectExtent l="0" t="0" r="0" b="0"/>
                <wp:wrapNone/>
                <wp:docPr id="406" name="TextBox 406"/>
                <wp:cNvGraphicFramePr/>
                <a:graphic>
                  <a:graphicData uri="http://schemas.microsoft.com/office/word/2010/wordprocessingShape">
                    <wps:wsp>
                      <wps:cNvSpPr txBox="1"/>
                      <wps:spPr>
                        <a:xfrm rot="5400000">
                          <a:off x="470613" y="4370332"/>
                          <a:ext cx="17272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291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8" style="position:absolute;margin-left:37.0562pt;margin-top:344.121pt;mso-position-vertical-relative:page;mso-position-horizontal-relative:page;width:13.6pt;height:12.4pt;z-index:25195315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2"/>
                        </w:rPr>
                        <w:t>291</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09"/>
        <w:gridCol w:w="679"/>
        <w:gridCol w:w="6088"/>
      </w:tblGrid>
      <w:tr>
        <w:trPr>
          <w:trHeight w:val="474" w:hRule="atLeast"/>
        </w:trPr>
        <w:tc>
          <w:tcPr>
            <w:tcW w:w="285" w:type="dxa"/>
            <w:vAlign w:val="top"/>
          </w:tcPr>
          <w:p>
            <w:pPr>
              <w:pStyle w:val="TableText"/>
              <w:ind w:left="55"/>
              <w:spacing w:before="62" w:line="209" w:lineRule="auto"/>
              <w:rPr/>
            </w:pPr>
            <w:r>
              <w:rPr/>
              <w:t>序</w:t>
            </w:r>
          </w:p>
          <w:p>
            <w:pPr>
              <w:pStyle w:val="TableText"/>
              <w:ind w:left="55"/>
              <w:spacing w:line="220" w:lineRule="auto"/>
              <w:rPr/>
            </w:pPr>
            <w:r>
              <w:rPr/>
              <w:t>号</w:t>
            </w:r>
          </w:p>
        </w:tc>
        <w:tc>
          <w:tcPr>
            <w:tcW w:w="659" w:type="dxa"/>
            <w:vAlign w:val="top"/>
          </w:tcPr>
          <w:p>
            <w:pPr>
              <w:pStyle w:val="TableText"/>
              <w:ind w:left="20" w:right="22"/>
              <w:spacing w:before="51" w:line="254" w:lineRule="auto"/>
              <w:rPr/>
            </w:pPr>
            <w:r>
              <w:rPr>
                <w:spacing w:val="1"/>
              </w:rPr>
              <w:t>中介服务 </w:t>
            </w:r>
            <w:r>
              <w:rPr>
                <w:spacing w:val="-2"/>
              </w:rPr>
              <w:t>事项名称</w:t>
            </w:r>
          </w:p>
        </w:tc>
        <w:tc>
          <w:tcPr>
            <w:tcW w:w="1129" w:type="dxa"/>
            <w:vAlign w:val="top"/>
          </w:tcPr>
          <w:p>
            <w:pPr>
              <w:pStyle w:val="TableText"/>
              <w:ind w:left="249" w:right="45" w:hanging="219"/>
              <w:spacing w:before="51" w:line="254"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50" w:line="25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947" w:hRule="atLeast"/>
        </w:trPr>
        <w:tc>
          <w:tcPr>
            <w:tcW w:w="285" w:type="dxa"/>
            <w:vAlign w:val="top"/>
          </w:tcPr>
          <w:p>
            <w:pPr>
              <w:pStyle w:val="TableText"/>
              <w:ind w:left="55"/>
              <w:spacing w:before="105" w:line="183" w:lineRule="auto"/>
              <w:rPr/>
            </w:pPr>
            <w:r>
              <w:rPr>
                <w:spacing w:val="-3"/>
              </w:rPr>
              <w:t>36</w:t>
            </w:r>
          </w:p>
        </w:tc>
        <w:tc>
          <w:tcPr>
            <w:tcW w:w="659" w:type="dxa"/>
            <w:vAlign w:val="top"/>
          </w:tcPr>
          <w:p>
            <w:pPr>
              <w:pStyle w:val="TableText"/>
              <w:ind w:left="10" w:right="19" w:firstLine="10"/>
              <w:spacing w:before="48" w:line="258" w:lineRule="auto"/>
              <w:jc w:val="both"/>
              <w:rPr/>
            </w:pPr>
            <w:r>
              <w:rPr>
                <w:spacing w:val="-3"/>
              </w:rPr>
              <w:t>非煤矿矿</w:t>
            </w:r>
            <w:r>
              <w:rPr>
                <w:spacing w:val="2"/>
              </w:rPr>
              <w:t xml:space="preserve"> </w:t>
            </w:r>
            <w:r>
              <w:rPr>
                <w:spacing w:val="4"/>
              </w:rPr>
              <w:t>山建设项</w:t>
            </w:r>
            <w:r>
              <w:rPr>
                <w:spacing w:val="2"/>
              </w:rPr>
              <w:t xml:space="preserve"> </w:t>
            </w:r>
            <w:r>
              <w:rPr>
                <w:spacing w:val="4"/>
              </w:rPr>
              <w:t>目安全设</w:t>
            </w:r>
            <w:r>
              <w:rPr/>
              <w:t xml:space="preserve"> </w:t>
            </w:r>
            <w:r>
              <w:rPr>
                <w:spacing w:val="1"/>
              </w:rPr>
              <w:t>施设计编</w:t>
            </w:r>
            <w:r>
              <w:rPr/>
              <w:t xml:space="preserve"> </w:t>
            </w:r>
            <w:r>
              <w:rPr/>
              <w:t>制</w:t>
            </w:r>
          </w:p>
        </w:tc>
        <w:tc>
          <w:tcPr>
            <w:tcW w:w="1129" w:type="dxa"/>
            <w:vAlign w:val="top"/>
          </w:tcPr>
          <w:p>
            <w:pPr>
              <w:pStyle w:val="TableText"/>
              <w:ind w:left="30" w:firstLine="29"/>
              <w:spacing w:before="58" w:line="260" w:lineRule="auto"/>
              <w:jc w:val="both"/>
              <w:rPr/>
            </w:pPr>
            <w:r>
              <w:rPr>
                <w:spacing w:val="4"/>
              </w:rPr>
              <w:t>(29001)矿山、</w:t>
            </w:r>
            <w:r>
              <w:rPr>
                <w:spacing w:val="6"/>
              </w:rPr>
              <w:t xml:space="preserve"> </w:t>
            </w:r>
            <w:r>
              <w:rPr>
                <w:spacing w:val="-6"/>
              </w:rPr>
              <w:t>金属冶炼建设项</w:t>
            </w:r>
            <w:r>
              <w:rPr/>
              <w:t xml:space="preserve">  </w:t>
            </w:r>
            <w:r>
              <w:rPr>
                <w:spacing w:val="5"/>
              </w:rPr>
              <w:t>目和用于生产、</w:t>
            </w:r>
            <w:r>
              <w:rPr>
                <w:spacing w:val="2"/>
              </w:rPr>
              <w:t xml:space="preserve"> </w:t>
            </w:r>
            <w:r>
              <w:rPr>
                <w:spacing w:val="-6"/>
              </w:rPr>
              <w:t>储存危险物品的</w:t>
            </w:r>
            <w:r>
              <w:rPr/>
              <w:t xml:space="preserve">  </w:t>
            </w:r>
            <w:r>
              <w:rPr>
                <w:spacing w:val="-6"/>
              </w:rPr>
              <w:t>建设项目的安全</w:t>
            </w:r>
            <w:r>
              <w:rPr/>
              <w:t xml:space="preserve">  </w:t>
            </w:r>
            <w:r>
              <w:rPr>
                <w:spacing w:val="-6"/>
              </w:rPr>
              <w:t>设施设计审查</w:t>
            </w:r>
          </w:p>
        </w:tc>
        <w:tc>
          <w:tcPr>
            <w:tcW w:w="809" w:type="dxa"/>
            <w:vAlign w:val="top"/>
          </w:tcPr>
          <w:p>
            <w:pPr>
              <w:pStyle w:val="TableText"/>
              <w:ind w:left="321" w:right="14" w:hanging="300"/>
              <w:spacing w:before="47"/>
              <w:rPr/>
            </w:pPr>
            <w:r>
              <w:rPr>
                <w:spacing w:val="2"/>
              </w:rPr>
              <w:t>安全监管总</w:t>
            </w:r>
            <w:r>
              <w:rPr>
                <w:spacing w:val="1"/>
              </w:rPr>
              <w:t xml:space="preserve"> </w:t>
            </w:r>
            <w:r>
              <w:rPr/>
              <w:t>局</w:t>
            </w:r>
          </w:p>
        </w:tc>
        <w:tc>
          <w:tcPr>
            <w:tcW w:w="679" w:type="dxa"/>
            <w:vAlign w:val="top"/>
          </w:tcPr>
          <w:p>
            <w:pPr>
              <w:pStyle w:val="TableText"/>
              <w:ind w:left="12" w:right="42" w:firstLine="20"/>
              <w:spacing w:before="37" w:line="258" w:lineRule="auto"/>
              <w:jc w:val="both"/>
              <w:rPr/>
            </w:pPr>
            <w:r>
              <w:rPr>
                <w:spacing w:val="-3"/>
              </w:rPr>
              <w:t>具有相应</w:t>
            </w:r>
            <w:r>
              <w:rPr>
                <w:spacing w:val="2"/>
              </w:rPr>
              <w:t xml:space="preserve"> </w:t>
            </w:r>
            <w:r>
              <w:rPr>
                <w:spacing w:val="3"/>
              </w:rPr>
              <w:t>专业设计</w:t>
            </w:r>
            <w:r>
              <w:rPr/>
              <w:t xml:space="preserve"> </w:t>
            </w:r>
            <w:r>
              <w:rPr>
                <w:spacing w:val="1"/>
              </w:rPr>
              <w:t>资质的设</w:t>
            </w:r>
            <w:r>
              <w:rPr>
                <w:spacing w:val="2"/>
              </w:rPr>
              <w:t xml:space="preserve"> </w:t>
            </w:r>
            <w:r>
              <w:rPr>
                <w:spacing w:val="-2"/>
              </w:rPr>
              <w:t>计单位</w:t>
            </w:r>
          </w:p>
        </w:tc>
        <w:tc>
          <w:tcPr>
            <w:tcW w:w="6088" w:type="dxa"/>
            <w:vAlign w:val="top"/>
          </w:tcPr>
          <w:p>
            <w:pPr>
              <w:pStyle w:val="TableText"/>
              <w:ind w:left="24" w:firstLine="89"/>
              <w:spacing w:before="57" w:line="257" w:lineRule="auto"/>
              <w:rPr/>
            </w:pPr>
            <w:r>
              <w:rPr>
                <w:spacing w:val="-3"/>
              </w:rPr>
              <w:t>1. 《中华人民共和国安全生产法》第三十条：矿山、金属冶炼建设项目和用于生产、储存</w:t>
            </w:r>
            <w:r>
              <w:rPr>
                <w:spacing w:val="5"/>
              </w:rPr>
              <w:t xml:space="preserve">   </w:t>
            </w:r>
            <w:r>
              <w:rPr>
                <w:spacing w:val="-1"/>
              </w:rPr>
              <w:t>装卸危险物品的建设项目的安全设施设计应当按照国家有关规定报经有关部门审查，审查部</w:t>
            </w:r>
            <w:r>
              <w:rPr>
                <w:spacing w:val="6"/>
              </w:rPr>
              <w:t xml:space="preserve">  </w:t>
            </w:r>
            <w:r>
              <w:rPr>
                <w:spacing w:val="-6"/>
              </w:rPr>
              <w:t>门及其负责审查的人员对审查结果负责。2. 《建设项目</w:t>
            </w:r>
            <w:r>
              <w:rPr>
                <w:spacing w:val="-7"/>
              </w:rPr>
              <w:t>安全设施“三同时”监督管理办法》(国</w:t>
            </w:r>
            <w:r>
              <w:rPr/>
              <w:t xml:space="preserve"> </w:t>
            </w:r>
            <w:r>
              <w:rPr/>
              <w:t>家安全生产监督管理总局令第36号公布，国</w:t>
            </w:r>
            <w:r>
              <w:rPr>
                <w:spacing w:val="-1"/>
              </w:rPr>
              <w:t>家安全生产监督管理总局令第77号修正)第十条：</w:t>
            </w:r>
            <w:r>
              <w:rPr/>
              <w:t xml:space="preserve"> </w:t>
            </w:r>
            <w:r>
              <w:rPr>
                <w:spacing w:val="-1"/>
              </w:rPr>
              <w:t>生产经营单位在建设项目初步设计时，应当委托有相应资质的初步设计单位对建设项目安全</w:t>
            </w:r>
            <w:r>
              <w:rPr>
                <w:spacing w:val="5"/>
              </w:rPr>
              <w:t xml:space="preserve">  </w:t>
            </w:r>
            <w:r>
              <w:rPr/>
              <w:t>设施同时进行设计，编制安全设施设计。安全设施设计必须符合有关法律、</w:t>
            </w:r>
            <w:r>
              <w:rPr>
                <w:spacing w:val="-1"/>
              </w:rPr>
              <w:t>法规、规章和国</w:t>
            </w:r>
            <w:r>
              <w:rPr/>
              <w:t xml:space="preserve">  </w:t>
            </w:r>
            <w:r>
              <w:rPr>
                <w:spacing w:val="-1"/>
              </w:rPr>
              <w:t>家标准或者行业标准、技术规范的规定，并尽可能采用先进适用的工艺、技术和可靠的设备</w:t>
            </w:r>
            <w:r>
              <w:rPr>
                <w:spacing w:val="5"/>
              </w:rPr>
              <w:t xml:space="preserve">  </w:t>
            </w:r>
            <w:r>
              <w:rPr>
                <w:spacing w:val="-1"/>
              </w:rPr>
              <w:t>设施。本办法第七条规定的建设项目安全设施设计还应当充分考虑建设项目安全预评价报告</w:t>
            </w:r>
            <w:r>
              <w:rPr>
                <w:spacing w:val="5"/>
              </w:rPr>
              <w:t xml:space="preserve">  </w:t>
            </w:r>
            <w:r>
              <w:rPr>
                <w:spacing w:val="-1"/>
              </w:rPr>
              <w:t>提出的安全对策措施。安全设施设计单位、设计人应当对其编制的设计文件负责</w:t>
            </w:r>
          </w:p>
        </w:tc>
      </w:tr>
      <w:tr>
        <w:trPr>
          <w:trHeight w:val="1997" w:hRule="atLeast"/>
        </w:trPr>
        <w:tc>
          <w:tcPr>
            <w:tcW w:w="285" w:type="dxa"/>
            <w:vAlign w:val="top"/>
          </w:tcPr>
          <w:p>
            <w:pPr>
              <w:pStyle w:val="TableText"/>
              <w:ind w:left="55"/>
              <w:spacing w:before="108" w:line="183" w:lineRule="auto"/>
              <w:rPr/>
            </w:pPr>
            <w:r>
              <w:rPr>
                <w:spacing w:val="-3"/>
              </w:rPr>
              <w:t>37</w:t>
            </w:r>
          </w:p>
        </w:tc>
        <w:tc>
          <w:tcPr>
            <w:tcW w:w="659" w:type="dxa"/>
            <w:vAlign w:val="top"/>
          </w:tcPr>
          <w:p>
            <w:pPr>
              <w:pStyle w:val="TableText"/>
              <w:ind w:left="10" w:right="35" w:firstLine="10"/>
              <w:spacing w:before="69" w:line="255" w:lineRule="auto"/>
              <w:jc w:val="both"/>
              <w:rPr/>
            </w:pPr>
            <w:r>
              <w:rPr>
                <w:spacing w:val="-2"/>
              </w:rPr>
              <w:t>煤矿建设</w:t>
            </w:r>
            <w:r>
              <w:rPr/>
              <w:t xml:space="preserve"> </w:t>
            </w:r>
            <w:r>
              <w:rPr/>
              <w:t>项目安全 </w:t>
            </w:r>
            <w:r>
              <w:rPr/>
              <w:t>设施设计 </w:t>
            </w:r>
            <w:r>
              <w:rPr>
                <w:spacing w:val="-2"/>
              </w:rPr>
              <w:t>编制</w:t>
            </w:r>
          </w:p>
        </w:tc>
        <w:tc>
          <w:tcPr>
            <w:tcW w:w="1129" w:type="dxa"/>
            <w:vAlign w:val="top"/>
          </w:tcPr>
          <w:p>
            <w:pPr>
              <w:pStyle w:val="TableText"/>
              <w:ind w:left="30" w:right="3" w:firstLine="30"/>
              <w:spacing w:before="82" w:line="262" w:lineRule="auto"/>
              <w:jc w:val="both"/>
              <w:rPr/>
            </w:pPr>
            <w:r>
              <w:rPr>
                <w:spacing w:val="7"/>
              </w:rPr>
              <w:t>(29001)矿山、</w:t>
            </w:r>
            <w:r>
              <w:rPr>
                <w:spacing w:val="8"/>
              </w:rPr>
              <w:t xml:space="preserve"> </w:t>
            </w:r>
            <w:r>
              <w:rPr>
                <w:spacing w:val="-2"/>
              </w:rPr>
              <w:t>金属冶炼建设项</w:t>
            </w:r>
            <w:r>
              <w:rPr>
                <w:spacing w:val="5"/>
              </w:rPr>
              <w:t xml:space="preserve"> </w:t>
            </w:r>
            <w:r>
              <w:rPr>
                <w:spacing w:val="13"/>
              </w:rPr>
              <w:t>目和用于生产</w:t>
            </w:r>
            <w:r>
              <w:rPr/>
              <w:t xml:space="preserve">  </w:t>
            </w:r>
            <w:r>
              <w:rPr>
                <w:spacing w:val="-1"/>
              </w:rPr>
              <w:t>储存危险物品的</w:t>
            </w:r>
            <w:r>
              <w:rPr/>
              <w:t xml:space="preserve"> </w:t>
            </w:r>
            <w:r>
              <w:rPr>
                <w:spacing w:val="-2"/>
              </w:rPr>
              <w:t>建设项目的安全</w:t>
            </w:r>
            <w:r>
              <w:rPr>
                <w:spacing w:val="5"/>
              </w:rPr>
              <w:t xml:space="preserve"> </w:t>
            </w:r>
            <w:r>
              <w:rPr>
                <w:spacing w:val="-2"/>
              </w:rPr>
              <w:t>设施设计审查</w:t>
            </w:r>
          </w:p>
        </w:tc>
        <w:tc>
          <w:tcPr>
            <w:tcW w:w="809" w:type="dxa"/>
            <w:vAlign w:val="top"/>
          </w:tcPr>
          <w:p>
            <w:pPr>
              <w:pStyle w:val="TableText"/>
              <w:ind w:left="321" w:right="14" w:hanging="300"/>
              <w:spacing w:before="60"/>
              <w:rPr/>
            </w:pPr>
            <w:r>
              <w:rPr>
                <w:spacing w:val="2"/>
              </w:rPr>
              <w:t>安全监管总</w:t>
            </w:r>
            <w:r>
              <w:rPr>
                <w:spacing w:val="1"/>
              </w:rPr>
              <w:t xml:space="preserve"> </w:t>
            </w:r>
            <w:r>
              <w:rPr/>
              <w:t>局</w:t>
            </w:r>
          </w:p>
        </w:tc>
        <w:tc>
          <w:tcPr>
            <w:tcW w:w="679" w:type="dxa"/>
            <w:vAlign w:val="top"/>
          </w:tcPr>
          <w:p>
            <w:pPr>
              <w:pStyle w:val="TableText"/>
              <w:ind w:left="32" w:right="44"/>
              <w:spacing w:before="60" w:line="254" w:lineRule="auto"/>
              <w:jc w:val="both"/>
              <w:rPr/>
            </w:pPr>
            <w:r>
              <w:rPr>
                <w:spacing w:val="-3"/>
              </w:rPr>
              <w:t>具有相应</w:t>
            </w:r>
            <w:r>
              <w:rPr>
                <w:spacing w:val="2"/>
              </w:rPr>
              <w:t xml:space="preserve"> </w:t>
            </w:r>
            <w:r>
              <w:rPr>
                <w:spacing w:val="-4"/>
              </w:rPr>
              <w:t>资质的设</w:t>
            </w:r>
            <w:r>
              <w:rPr>
                <w:spacing w:val="2"/>
              </w:rPr>
              <w:t xml:space="preserve"> </w:t>
            </w:r>
            <w:r>
              <w:rPr>
                <w:spacing w:val="-2"/>
              </w:rPr>
              <w:t>计单位</w:t>
            </w:r>
          </w:p>
        </w:tc>
        <w:tc>
          <w:tcPr>
            <w:tcW w:w="6088" w:type="dxa"/>
            <w:vAlign w:val="top"/>
          </w:tcPr>
          <w:p>
            <w:pPr>
              <w:pStyle w:val="TableText"/>
              <w:ind w:left="34"/>
              <w:spacing w:before="70" w:line="219" w:lineRule="auto"/>
              <w:rPr/>
            </w:pPr>
            <w:r>
              <w:rPr>
                <w:spacing w:val="-2"/>
              </w:rPr>
              <w:t>1. 《中华人民共和国安全生产法》第三十条：矿山、金属冶炼建设项目和用于生产、储存</w:t>
            </w:r>
          </w:p>
          <w:p>
            <w:pPr>
              <w:pStyle w:val="TableText"/>
              <w:ind w:left="24" w:right="4" w:firstLine="10"/>
              <w:spacing w:before="48" w:line="260" w:lineRule="auto"/>
              <w:rPr/>
            </w:pPr>
            <w:r>
              <w:rPr/>
              <w:t>装卸危险物品的建设项目的安全设施设计应当按照国家</w:t>
            </w:r>
            <w:r>
              <w:rPr>
                <w:spacing w:val="-1"/>
              </w:rPr>
              <w:t>有关规定报经有关部门审查，审查部 </w:t>
            </w:r>
            <w:r>
              <w:rPr>
                <w:spacing w:val="-6"/>
              </w:rPr>
              <w:t>门及其负责审查的人员对审查结果负责。2. 《建设项目安全设施“三同时”监督管理办法》(国</w:t>
            </w:r>
            <w:r>
              <w:rPr>
                <w:spacing w:val="12"/>
              </w:rPr>
              <w:t xml:space="preserve"> </w:t>
            </w:r>
            <w:r>
              <w:rPr>
                <w:spacing w:val="1"/>
              </w:rPr>
              <w:t>家安全生产监督管理总局令第36号公布，国家安全生产监督管理总局令第77号修正)第十条</w:t>
            </w:r>
            <w:r>
              <w:rPr/>
              <w:t xml:space="preserve">  </w:t>
            </w:r>
            <w:r>
              <w:rPr/>
              <w:t>生产经营单位在建设项目初步设计时，应当委托有相应资质的初步设计单位对</w:t>
            </w:r>
            <w:r>
              <w:rPr>
                <w:spacing w:val="-1"/>
              </w:rPr>
              <w:t>建设项目安全 </w:t>
            </w:r>
            <w:r>
              <w:rPr>
                <w:spacing w:val="1"/>
              </w:rPr>
              <w:t>设施同时进行设计，编制安全设施设计。安全设施设计</w:t>
            </w:r>
            <w:r>
              <w:rPr/>
              <w:t>必须符合有关法律、法规、规章和国 </w:t>
            </w:r>
            <w:r>
              <w:rPr/>
              <w:t>家标准或者行业标准、技术规范的规定，并尽可能采用先进适用的工艺、技术</w:t>
            </w:r>
            <w:r>
              <w:rPr>
                <w:spacing w:val="-1"/>
              </w:rPr>
              <w:t>和可靠的设备 </w:t>
            </w:r>
            <w:r>
              <w:rPr/>
              <w:t>设施。本办法第七条规定的建设项目安全设施设计还应当充分考虑建设项目安</w:t>
            </w:r>
            <w:r>
              <w:rPr>
                <w:spacing w:val="-1"/>
              </w:rPr>
              <w:t>全预评价报告 </w:t>
            </w:r>
            <w:r>
              <w:rPr/>
              <w:t>提出的安全对策措施。安全设施设计单位、设计人应当对其编</w:t>
            </w:r>
            <w:r>
              <w:rPr>
                <w:spacing w:val="-1"/>
              </w:rPr>
              <w:t>制的设计文件负责</w:t>
            </w:r>
          </w:p>
        </w:tc>
      </w:tr>
      <w:tr>
        <w:trPr>
          <w:trHeight w:val="1742" w:hRule="atLeast"/>
        </w:trPr>
        <w:tc>
          <w:tcPr>
            <w:tcW w:w="285" w:type="dxa"/>
            <w:vAlign w:val="top"/>
          </w:tcPr>
          <w:p>
            <w:pPr>
              <w:pStyle w:val="TableText"/>
              <w:ind w:left="55"/>
              <w:spacing w:before="81" w:line="183" w:lineRule="auto"/>
              <w:rPr/>
            </w:pPr>
            <w:r>
              <w:rPr>
                <w:spacing w:val="-3"/>
              </w:rPr>
              <w:t>38</w:t>
            </w:r>
          </w:p>
        </w:tc>
        <w:tc>
          <w:tcPr>
            <w:tcW w:w="659" w:type="dxa"/>
            <w:vAlign w:val="top"/>
          </w:tcPr>
          <w:p>
            <w:pPr>
              <w:pStyle w:val="TableText"/>
              <w:ind w:left="10" w:firstLine="9"/>
              <w:spacing w:before="35" w:line="261" w:lineRule="auto"/>
              <w:rPr/>
            </w:pPr>
            <w:r>
              <w:rPr>
                <w:spacing w:val="-12"/>
              </w:rPr>
              <w:t>国务院审</w:t>
            </w:r>
            <w:r>
              <w:rPr>
                <w:spacing w:val="1"/>
              </w:rPr>
              <w:t xml:space="preserve">  </w:t>
            </w:r>
            <w:r>
              <w:rPr>
                <w:spacing w:val="-8"/>
              </w:rPr>
              <w:t>批(核准、</w:t>
            </w:r>
            <w:r>
              <w:rPr>
                <w:spacing w:val="2"/>
              </w:rPr>
              <w:t xml:space="preserve"> </w:t>
            </w:r>
            <w:r>
              <w:rPr>
                <w:spacing w:val="-5"/>
              </w:rPr>
              <w:t>备案)或</w:t>
            </w:r>
            <w:r>
              <w:rPr/>
              <w:t xml:space="preserve">   </w:t>
            </w:r>
            <w:r>
              <w:rPr>
                <w:spacing w:val="-14"/>
              </w:rPr>
              <w:t>跨省危险</w:t>
            </w:r>
            <w:r>
              <w:rPr>
                <w:spacing w:val="1"/>
              </w:rPr>
              <w:t xml:space="preserve">  </w:t>
            </w:r>
            <w:r>
              <w:rPr>
                <w:spacing w:val="-14"/>
              </w:rPr>
              <w:t>化学品生</w:t>
            </w:r>
            <w:r>
              <w:rPr>
                <w:spacing w:val="1"/>
              </w:rPr>
              <w:t xml:space="preserve">  </w:t>
            </w:r>
            <w:r>
              <w:rPr>
                <w:spacing w:val="-14"/>
              </w:rPr>
              <w:t>产、储存</w:t>
            </w:r>
            <w:r>
              <w:rPr>
                <w:spacing w:val="1"/>
              </w:rPr>
              <w:t xml:space="preserve">  </w:t>
            </w:r>
            <w:r>
              <w:rPr>
                <w:spacing w:val="-6"/>
              </w:rPr>
              <w:t>建设项目</w:t>
            </w:r>
            <w:r>
              <w:rPr/>
              <w:t xml:space="preserve">  </w:t>
            </w:r>
            <w:r>
              <w:rPr>
                <w:spacing w:val="-11"/>
              </w:rPr>
              <w:t>安全评价</w:t>
            </w:r>
          </w:p>
        </w:tc>
        <w:tc>
          <w:tcPr>
            <w:tcW w:w="1129" w:type="dxa"/>
            <w:vAlign w:val="top"/>
          </w:tcPr>
          <w:p>
            <w:pPr>
              <w:pStyle w:val="TableText"/>
              <w:ind w:left="30" w:firstLine="106"/>
              <w:spacing w:before="44" w:line="264" w:lineRule="auto"/>
              <w:rPr/>
            </w:pPr>
            <w:r>
              <w:rPr>
                <w:spacing w:val="-3"/>
              </w:rPr>
              <w:t>(29005)国务</w:t>
            </w:r>
            <w:r>
              <w:rPr/>
              <w:t xml:space="preserve">   </w:t>
            </w:r>
            <w:r>
              <w:rPr>
                <w:spacing w:val="10"/>
              </w:rPr>
              <w:t>院审批(核准、</w:t>
            </w:r>
            <w:r>
              <w:rPr>
                <w:spacing w:val="5"/>
              </w:rPr>
              <w:t xml:space="preserve"> </w:t>
            </w:r>
            <w:r>
              <w:rPr>
                <w:spacing w:val="1"/>
              </w:rPr>
              <w:t>备案)或跨省危</w:t>
            </w:r>
            <w:r>
              <w:rPr/>
              <w:t xml:space="preserve">  </w:t>
            </w:r>
            <w:r>
              <w:rPr>
                <w:spacing w:val="5"/>
              </w:rPr>
              <w:t>险化学品生产、</w:t>
            </w:r>
            <w:r>
              <w:rPr>
                <w:spacing w:val="2"/>
              </w:rPr>
              <w:t xml:space="preserve"> </w:t>
            </w:r>
            <w:r>
              <w:rPr>
                <w:spacing w:val="-6"/>
              </w:rPr>
              <w:t>储存建设项目安</w:t>
            </w:r>
            <w:r>
              <w:rPr/>
              <w:t xml:space="preserve">  </w:t>
            </w:r>
            <w:r>
              <w:rPr>
                <w:spacing w:val="-4"/>
              </w:rPr>
              <w:t>全条件审查</w:t>
            </w:r>
          </w:p>
        </w:tc>
        <w:tc>
          <w:tcPr>
            <w:tcW w:w="809" w:type="dxa"/>
            <w:vAlign w:val="top"/>
          </w:tcPr>
          <w:p>
            <w:pPr>
              <w:pStyle w:val="TableText"/>
              <w:ind w:left="321" w:right="14" w:hanging="300"/>
              <w:spacing w:before="42" w:line="247" w:lineRule="auto"/>
              <w:rPr/>
            </w:pPr>
            <w:r>
              <w:rPr>
                <w:spacing w:val="2"/>
              </w:rPr>
              <w:t>安全监管总</w:t>
            </w:r>
            <w:r>
              <w:rPr>
                <w:spacing w:val="1"/>
              </w:rPr>
              <w:t xml:space="preserve"> </w:t>
            </w:r>
            <w:r>
              <w:rPr/>
              <w:t>局</w:t>
            </w:r>
          </w:p>
        </w:tc>
        <w:tc>
          <w:tcPr>
            <w:tcW w:w="679" w:type="dxa"/>
            <w:vAlign w:val="top"/>
          </w:tcPr>
          <w:p>
            <w:pPr>
              <w:pStyle w:val="TableText"/>
              <w:ind w:left="22" w:right="27" w:firstLine="10"/>
              <w:spacing w:before="33" w:line="253" w:lineRule="auto"/>
              <w:jc w:val="both"/>
              <w:rPr/>
            </w:pPr>
            <w:r>
              <w:rPr>
                <w:spacing w:val="-3"/>
              </w:rPr>
              <w:t>具有相应</w:t>
            </w:r>
            <w:r>
              <w:rPr>
                <w:spacing w:val="2"/>
              </w:rPr>
              <w:t xml:space="preserve"> </w:t>
            </w:r>
            <w:r>
              <w:rPr>
                <w:spacing w:val="4"/>
              </w:rPr>
              <w:t>资质的安</w:t>
            </w:r>
            <w:r>
              <w:rPr>
                <w:spacing w:val="1"/>
              </w:rPr>
              <w:t xml:space="preserve"> </w:t>
            </w:r>
            <w:r>
              <w:rPr>
                <w:spacing w:val="-2"/>
              </w:rPr>
              <w:t>评机构</w:t>
            </w:r>
          </w:p>
        </w:tc>
        <w:tc>
          <w:tcPr>
            <w:tcW w:w="6088" w:type="dxa"/>
            <w:vAlign w:val="top"/>
          </w:tcPr>
          <w:p>
            <w:pPr>
              <w:pStyle w:val="TableText"/>
              <w:spacing w:before="32" w:line="219" w:lineRule="auto"/>
              <w:rPr/>
            </w:pPr>
            <w:r>
              <w:rPr>
                <w:spacing w:val="-1"/>
              </w:rPr>
              <w:t>《危险化学品安全管理条例》(国务院令第591号)第十二条：新建、改建、扩建生产、储</w:t>
            </w:r>
          </w:p>
          <w:p>
            <w:pPr>
              <w:pStyle w:val="TableText"/>
              <w:ind w:left="34" w:right="49"/>
              <w:spacing w:before="42" w:line="261" w:lineRule="auto"/>
              <w:rPr/>
            </w:pPr>
            <w:r>
              <w:rPr/>
              <w:t>存危险化学品的建设项目，应当由安全生产监督管理部门进行安全条件审查</w:t>
            </w:r>
            <w:r>
              <w:rPr>
                <w:spacing w:val="-1"/>
              </w:rPr>
              <w:t>。建设单位应当</w:t>
            </w:r>
            <w:r>
              <w:rPr/>
              <w:t xml:space="preserve"> </w:t>
            </w:r>
            <w:r>
              <w:rPr/>
              <w:t>对建设项目进行安全条件论证，委托具备国家规定的资质条件的机构对建设</w:t>
            </w:r>
            <w:r>
              <w:rPr>
                <w:spacing w:val="-1"/>
              </w:rPr>
              <w:t>项目进行安全评</w:t>
            </w:r>
            <w:r>
              <w:rPr/>
              <w:t xml:space="preserve"> </w:t>
            </w:r>
            <w:r>
              <w:rPr/>
              <w:t>价，并将安全条件论证和安全评价的情况报告报建设项目所在地设区的市</w:t>
            </w:r>
            <w:r>
              <w:rPr>
                <w:spacing w:val="-1"/>
              </w:rPr>
              <w:t>级以上人民政府安</w:t>
            </w:r>
          </w:p>
          <w:p>
            <w:pPr>
              <w:pStyle w:val="TableText"/>
              <w:ind w:left="24" w:right="49" w:firstLine="89"/>
              <w:spacing w:before="33" w:line="249" w:lineRule="auto"/>
              <w:jc w:val="both"/>
              <w:rPr/>
            </w:pPr>
            <w:r>
              <w:rPr/>
              <w:t>全生产监督管理部门；安全生产监督管理部门应当自收到报告之日起45日</w:t>
            </w:r>
            <w:r>
              <w:rPr>
                <w:spacing w:val="-1"/>
              </w:rPr>
              <w:t>内作出审查决定</w:t>
            </w:r>
            <w:r>
              <w:rPr/>
              <w:t xml:space="preserve">  </w:t>
            </w:r>
            <w:r>
              <w:rPr/>
              <w:t>并书面通知建设单位。具体办法由国务院安全生产监督管理部门制定。新建、改建、扩建储 </w:t>
            </w:r>
            <w:r>
              <w:rPr/>
              <w:t>存、装卸危险化学品的港口建设项目，由港口行政管理部门按照国务院交通运输主管部门的</w:t>
            </w:r>
            <w:r>
              <w:rPr>
                <w:spacing w:val="3"/>
              </w:rPr>
              <w:t xml:space="preserve"> </w:t>
            </w:r>
            <w:r>
              <w:rPr>
                <w:spacing w:val="-1"/>
              </w:rPr>
              <w:t>规定进行安全条件审查。</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4176"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408" name="TextBox 408"/>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0" style="position:absolute;margin-left:37.0402pt;margin-top:49.1374pt;mso-position-vertical-relative:page;mso-position-horizontal-relative:page;width:13.6pt;height:12.35pt;z-index:25195417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292</w:t>
                      </w:r>
                    </w:p>
                  </w:txbxContent>
                </v:textbox>
              </v:shape>
            </w:pict>
          </mc:Fallback>
        </mc:AlternateContent>
      </w:r>
      <w:r/>
    </w:p>
    <w:p>
      <w:pPr>
        <w:spacing w:before="51"/>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39"/>
        <w:gridCol w:w="659"/>
        <w:gridCol w:w="6088"/>
      </w:tblGrid>
      <w:tr>
        <w:trPr>
          <w:trHeight w:val="474" w:hRule="atLeast"/>
        </w:trPr>
        <w:tc>
          <w:tcPr>
            <w:tcW w:w="28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50" w:line="252" w:lineRule="auto"/>
              <w:rPr/>
            </w:pPr>
            <w:r>
              <w:rPr>
                <w:spacing w:val="1"/>
              </w:rPr>
              <w:t>中介服务 </w:t>
            </w:r>
            <w:r>
              <w:rPr>
                <w:spacing w:val="-2"/>
              </w:rPr>
              <w:t>事项名称</w:t>
            </w:r>
          </w:p>
        </w:tc>
        <w:tc>
          <w:tcPr>
            <w:tcW w:w="1109" w:type="dxa"/>
            <w:vAlign w:val="top"/>
          </w:tcPr>
          <w:p>
            <w:pPr>
              <w:pStyle w:val="TableText"/>
              <w:ind w:left="239" w:right="35" w:hanging="219"/>
              <w:spacing w:before="5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5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037" w:hRule="atLeast"/>
        </w:trPr>
        <w:tc>
          <w:tcPr>
            <w:tcW w:w="285" w:type="dxa"/>
            <w:vAlign w:val="top"/>
          </w:tcPr>
          <w:p>
            <w:pPr>
              <w:pStyle w:val="TableText"/>
              <w:ind w:left="55"/>
              <w:spacing w:before="135" w:line="183" w:lineRule="auto"/>
              <w:rPr/>
            </w:pPr>
            <w:r>
              <w:rPr>
                <w:spacing w:val="-3"/>
              </w:rPr>
              <w:t>39</w:t>
            </w:r>
          </w:p>
        </w:tc>
        <w:tc>
          <w:tcPr>
            <w:tcW w:w="679" w:type="dxa"/>
            <w:vAlign w:val="top"/>
          </w:tcPr>
          <w:p>
            <w:pPr>
              <w:pStyle w:val="TableText"/>
              <w:ind w:left="10" w:right="29" w:firstLine="20"/>
              <w:spacing w:before="98" w:line="258" w:lineRule="auto"/>
              <w:jc w:val="both"/>
              <w:rPr/>
            </w:pPr>
            <w:r>
              <w:rPr>
                <w:spacing w:val="-2"/>
              </w:rPr>
              <w:t>危险化学</w:t>
            </w:r>
            <w:r>
              <w:rPr/>
              <w:t xml:space="preserve"> </w:t>
            </w:r>
            <w:r>
              <w:rPr>
                <w:spacing w:val="7"/>
              </w:rPr>
              <w:t>品建设项</w:t>
            </w:r>
            <w:r>
              <w:rPr/>
              <w:t xml:space="preserve"> </w:t>
            </w:r>
            <w:r>
              <w:rPr>
                <w:spacing w:val="6"/>
              </w:rPr>
              <w:t>目安全设</w:t>
            </w:r>
            <w:r>
              <w:rPr>
                <w:spacing w:val="1"/>
              </w:rPr>
              <w:t xml:space="preserve"> </w:t>
            </w:r>
            <w:r>
              <w:rPr>
                <w:spacing w:val="3"/>
              </w:rPr>
              <w:t>施设计编</w:t>
            </w:r>
            <w:r>
              <w:rPr>
                <w:spacing w:val="1"/>
              </w:rPr>
              <w:t xml:space="preserve"> </w:t>
            </w:r>
            <w:r>
              <w:rPr/>
              <w:t>制</w:t>
            </w:r>
          </w:p>
        </w:tc>
        <w:tc>
          <w:tcPr>
            <w:tcW w:w="1109" w:type="dxa"/>
            <w:vAlign w:val="top"/>
          </w:tcPr>
          <w:p>
            <w:pPr>
              <w:pStyle w:val="TableText"/>
              <w:ind w:left="20" w:firstLine="105"/>
              <w:spacing w:before="108" w:line="260" w:lineRule="auto"/>
              <w:rPr/>
            </w:pPr>
            <w:r>
              <w:rPr>
                <w:spacing w:val="-4"/>
              </w:rPr>
              <w:t>(29001)国务</w:t>
            </w:r>
            <w:r>
              <w:rPr/>
              <w:t xml:space="preserve">   </w:t>
            </w:r>
            <w:r>
              <w:rPr>
                <w:spacing w:val="9"/>
              </w:rPr>
              <w:t>院审批(核准、</w:t>
            </w:r>
            <w:r>
              <w:rPr>
                <w:spacing w:val="3"/>
              </w:rPr>
              <w:t xml:space="preserve"> </w:t>
            </w:r>
            <w:r>
              <w:rPr/>
              <w:t>备案)或跨省危  </w:t>
            </w:r>
            <w:r>
              <w:rPr>
                <w:spacing w:val="4"/>
              </w:rPr>
              <w:t>险化学品生产、</w:t>
            </w:r>
            <w:r>
              <w:rPr/>
              <w:t xml:space="preserve"> </w:t>
            </w:r>
            <w:r>
              <w:rPr>
                <w:spacing w:val="-7"/>
              </w:rPr>
              <w:t>储存建设项目安</w:t>
            </w:r>
            <w:r>
              <w:rPr/>
              <w:t xml:space="preserve">  </w:t>
            </w:r>
            <w:r>
              <w:rPr>
                <w:spacing w:val="-7"/>
              </w:rPr>
              <w:t>全设施设计审查</w:t>
            </w:r>
          </w:p>
        </w:tc>
        <w:tc>
          <w:tcPr>
            <w:tcW w:w="839" w:type="dxa"/>
            <w:vAlign w:val="top"/>
          </w:tcPr>
          <w:p>
            <w:pPr>
              <w:pStyle w:val="TableText"/>
              <w:ind w:left="331" w:right="34" w:hanging="300"/>
              <w:spacing w:before="97" w:line="234" w:lineRule="auto"/>
              <w:rPr/>
            </w:pPr>
            <w:r>
              <w:rPr>
                <w:spacing w:val="2"/>
              </w:rPr>
              <w:t>安全监管总</w:t>
            </w:r>
            <w:r>
              <w:rPr>
                <w:spacing w:val="1"/>
              </w:rPr>
              <w:t xml:space="preserve"> </w:t>
            </w:r>
            <w:r>
              <w:rPr/>
              <w:t>局</w:t>
            </w:r>
          </w:p>
        </w:tc>
        <w:tc>
          <w:tcPr>
            <w:tcW w:w="659" w:type="dxa"/>
            <w:vAlign w:val="top"/>
          </w:tcPr>
          <w:p>
            <w:pPr>
              <w:pStyle w:val="TableText"/>
              <w:ind w:left="22" w:right="32"/>
              <w:spacing w:before="97" w:line="249" w:lineRule="auto"/>
              <w:jc w:val="both"/>
              <w:rPr/>
            </w:pPr>
            <w:r>
              <w:rPr>
                <w:spacing w:val="-3"/>
              </w:rPr>
              <w:t>具有相应</w:t>
            </w:r>
            <w:r>
              <w:rPr>
                <w:spacing w:val="2"/>
              </w:rPr>
              <w:t xml:space="preserve"> </w:t>
            </w:r>
            <w:r>
              <w:rPr>
                <w:spacing w:val="-2"/>
              </w:rPr>
              <w:t>专业设计</w:t>
            </w:r>
            <w:r>
              <w:rPr/>
              <w:t xml:space="preserve"> </w:t>
            </w:r>
            <w:r>
              <w:rPr>
                <w:spacing w:val="-4"/>
              </w:rPr>
              <w:t>资质的设</w:t>
            </w:r>
            <w:r>
              <w:rPr>
                <w:spacing w:val="2"/>
              </w:rPr>
              <w:t xml:space="preserve"> </w:t>
            </w:r>
            <w:r>
              <w:rPr>
                <w:spacing w:val="-2"/>
              </w:rPr>
              <w:t>计单位</w:t>
            </w:r>
          </w:p>
        </w:tc>
        <w:tc>
          <w:tcPr>
            <w:tcW w:w="6088" w:type="dxa"/>
            <w:vAlign w:val="top"/>
          </w:tcPr>
          <w:p>
            <w:pPr>
              <w:pStyle w:val="TableText"/>
              <w:ind w:left="34"/>
              <w:spacing w:before="109" w:line="262" w:lineRule="auto"/>
              <w:rPr/>
            </w:pPr>
            <w:r>
              <w:rPr>
                <w:spacing w:val="-1"/>
              </w:rPr>
              <w:t>1. 《中华人民共和国安全生产法》第三十条：矿山、金属治炼建设项目和用于生产、储存、</w:t>
            </w:r>
            <w:r>
              <w:rPr>
                <w:spacing w:val="9"/>
              </w:rPr>
              <w:t xml:space="preserve"> </w:t>
            </w:r>
            <w:r>
              <w:rPr>
                <w:spacing w:val="-1"/>
              </w:rPr>
              <w:t>装卸危险物品的建设项目的安全设施设计应当按照国家有关规定报经有关部门审查，审查部</w:t>
            </w:r>
            <w:r>
              <w:rPr>
                <w:spacing w:val="1"/>
              </w:rPr>
              <w:t xml:space="preserve">  </w:t>
            </w:r>
            <w:r>
              <w:rPr>
                <w:spacing w:val="-7"/>
              </w:rPr>
              <w:t>门及其负责审查的人员对审查结果负责。2. 《建设项目安全设施“三同时”监督管理办法》(国</w:t>
            </w:r>
            <w:r>
              <w:rPr>
                <w:spacing w:val="16"/>
              </w:rPr>
              <w:t xml:space="preserve"> </w:t>
            </w:r>
            <w:r>
              <w:rPr/>
              <w:t>家安全生产监督管理总局令第36号公布，国家安全生产监督管理总局</w:t>
            </w:r>
            <w:r>
              <w:rPr>
                <w:spacing w:val="-1"/>
              </w:rPr>
              <w:t>令第77号修正)第十条  </w:t>
            </w:r>
            <w:r>
              <w:rPr>
                <w:spacing w:val="-1"/>
              </w:rPr>
              <w:t>生产经营单位在建设项目初步设计时，应当委托有相应资质的初步设计单位对建设项目安全</w:t>
            </w:r>
            <w:r>
              <w:rPr/>
              <w:t xml:space="preserve">  </w:t>
            </w:r>
            <w:r>
              <w:rPr/>
              <w:t>设施同时进行设计，编制安全设施设计。安全设施设</w:t>
            </w:r>
            <w:r>
              <w:rPr>
                <w:spacing w:val="-1"/>
              </w:rPr>
              <w:t>计必须符合有关法律、法规、规章和国</w:t>
            </w:r>
            <w:r>
              <w:rPr/>
              <w:t xml:space="preserve">  </w:t>
            </w:r>
            <w:r>
              <w:rPr>
                <w:spacing w:val="-1"/>
              </w:rPr>
              <w:t>家标准或者行业标准、技术规范的规定，并尽可能采用先进适用的工艺、技术和可靠的设备</w:t>
            </w:r>
            <w:r>
              <w:rPr/>
              <w:t xml:space="preserve">  </w:t>
            </w:r>
            <w:r>
              <w:rPr>
                <w:spacing w:val="-1"/>
              </w:rPr>
              <w:t>设施。本办法第七条规定的建设项目安全设施设计还应当充分考虑建设项目安全预评价报告</w:t>
            </w:r>
            <w:r>
              <w:rPr/>
              <w:t xml:space="preserve">  </w:t>
            </w:r>
            <w:r>
              <w:rPr>
                <w:spacing w:val="-1"/>
              </w:rPr>
              <w:t>提出的安全对策措施。安全设施设计单位、设计人应当对其编制的设计文件负责</w:t>
            </w:r>
          </w:p>
        </w:tc>
      </w:tr>
      <w:tr>
        <w:trPr>
          <w:trHeight w:val="2037" w:hRule="atLeast"/>
        </w:trPr>
        <w:tc>
          <w:tcPr>
            <w:tcW w:w="285" w:type="dxa"/>
            <w:vAlign w:val="top"/>
          </w:tcPr>
          <w:p>
            <w:pPr>
              <w:pStyle w:val="TableText"/>
              <w:ind w:left="55"/>
              <w:spacing w:before="148" w:line="183" w:lineRule="auto"/>
              <w:rPr/>
            </w:pPr>
            <w:r>
              <w:rPr>
                <w:spacing w:val="-2"/>
              </w:rPr>
              <w:t>40</w:t>
            </w:r>
          </w:p>
        </w:tc>
        <w:tc>
          <w:tcPr>
            <w:tcW w:w="679" w:type="dxa"/>
            <w:vAlign w:val="top"/>
          </w:tcPr>
          <w:p>
            <w:pPr>
              <w:pStyle w:val="TableText"/>
              <w:ind w:left="10" w:right="44" w:firstLine="20"/>
              <w:spacing w:before="104" w:line="259" w:lineRule="auto"/>
              <w:jc w:val="both"/>
              <w:rPr/>
            </w:pPr>
            <w:r>
              <w:rPr>
                <w:spacing w:val="-2"/>
              </w:rPr>
              <w:t>重要工业</w:t>
            </w:r>
            <w:r>
              <w:rPr/>
              <w:t xml:space="preserve"> </w:t>
            </w:r>
            <w:r>
              <w:rPr>
                <w:spacing w:val="3"/>
              </w:rPr>
              <w:t>产品生产</w:t>
            </w:r>
            <w:r>
              <w:rPr>
                <w:spacing w:val="1"/>
              </w:rPr>
              <w:t xml:space="preserve"> </w:t>
            </w:r>
            <w:r>
              <w:rPr>
                <w:spacing w:val="3"/>
              </w:rPr>
              <w:t>许可证发</w:t>
            </w:r>
            <w:r>
              <w:rPr/>
              <w:t xml:space="preserve"> </w:t>
            </w:r>
            <w:r>
              <w:rPr>
                <w:spacing w:val="3"/>
              </w:rPr>
              <w:t>证产品检</w:t>
            </w:r>
            <w:r>
              <w:rPr>
                <w:spacing w:val="1"/>
              </w:rPr>
              <w:t xml:space="preserve"> </w:t>
            </w:r>
            <w:r>
              <w:rPr/>
              <w:t>验</w:t>
            </w:r>
          </w:p>
        </w:tc>
        <w:tc>
          <w:tcPr>
            <w:tcW w:w="1109" w:type="dxa"/>
            <w:vAlign w:val="top"/>
          </w:tcPr>
          <w:p>
            <w:pPr>
              <w:pStyle w:val="TableText"/>
              <w:ind w:left="20" w:right="35" w:firstLine="20"/>
              <w:spacing w:before="102" w:line="249" w:lineRule="auto"/>
              <w:jc w:val="both"/>
              <w:rPr/>
            </w:pPr>
            <w:r>
              <w:rPr>
                <w:spacing w:val="20"/>
              </w:rPr>
              <w:t>(26011)重要</w:t>
            </w:r>
            <w:r>
              <w:rPr>
                <w:spacing w:val="1"/>
              </w:rPr>
              <w:t xml:space="preserve"> </w:t>
            </w:r>
            <w:r>
              <w:rPr>
                <w:spacing w:val="-2"/>
              </w:rPr>
              <w:t>工业产品生产许</w:t>
            </w:r>
            <w:r>
              <w:rPr>
                <w:spacing w:val="5"/>
              </w:rPr>
              <w:t xml:space="preserve"> </w:t>
            </w:r>
            <w:r>
              <w:rPr>
                <w:spacing w:val="-2"/>
              </w:rPr>
              <w:t>可证核发</w:t>
            </w:r>
          </w:p>
        </w:tc>
        <w:tc>
          <w:tcPr>
            <w:tcW w:w="839" w:type="dxa"/>
            <w:vAlign w:val="top"/>
          </w:tcPr>
          <w:p>
            <w:pPr>
              <w:pStyle w:val="TableText"/>
              <w:ind w:left="112"/>
              <w:spacing w:before="70" w:line="219" w:lineRule="auto"/>
              <w:rPr/>
            </w:pPr>
            <w:r>
              <w:rPr>
                <w:spacing w:val="-2"/>
              </w:rPr>
              <w:t>质检总局</w:t>
            </w:r>
          </w:p>
        </w:tc>
        <w:tc>
          <w:tcPr>
            <w:tcW w:w="659" w:type="dxa"/>
            <w:vAlign w:val="top"/>
          </w:tcPr>
          <w:p>
            <w:pPr>
              <w:pStyle w:val="TableText"/>
              <w:ind w:left="22" w:right="17"/>
              <w:spacing w:before="74" w:line="267" w:lineRule="auto"/>
              <w:jc w:val="both"/>
              <w:rPr/>
            </w:pPr>
            <w:r>
              <w:rPr>
                <w:spacing w:val="-2"/>
              </w:rPr>
              <w:t>重点工业</w:t>
            </w:r>
            <w:r>
              <w:rPr/>
              <w:t xml:space="preserve"> </w:t>
            </w:r>
            <w:r>
              <w:rPr>
                <w:spacing w:val="-11"/>
              </w:rPr>
              <w:t>产</w:t>
            </w:r>
            <w:r>
              <w:rPr>
                <w:spacing w:val="24"/>
              </w:rPr>
              <w:t xml:space="preserve"> </w:t>
            </w:r>
            <w:r>
              <w:rPr>
                <w:spacing w:val="-11"/>
              </w:rPr>
              <w:t>品</w:t>
            </w:r>
            <w:r>
              <w:rPr>
                <w:spacing w:val="14"/>
              </w:rPr>
              <w:t xml:space="preserve"> </w:t>
            </w:r>
            <w:r>
              <w:rPr>
                <w:spacing w:val="-11"/>
              </w:rPr>
              <w:t>发</w:t>
            </w:r>
            <w:r>
              <w:rPr/>
              <w:t xml:space="preserve"> </w:t>
            </w:r>
            <w:r>
              <w:rPr>
                <w:spacing w:val="-2"/>
              </w:rPr>
              <w:t>证检验机</w:t>
            </w:r>
            <w:r>
              <w:rPr>
                <w:spacing w:val="1"/>
              </w:rPr>
              <w:t xml:space="preserve"> </w:t>
            </w:r>
            <w:r>
              <w:rPr>
                <w:spacing w:val="-2"/>
              </w:rPr>
              <w:t>构，主要</w:t>
            </w:r>
            <w:r>
              <w:rPr/>
              <w:t xml:space="preserve"> </w:t>
            </w:r>
            <w:r>
              <w:rPr>
                <w:spacing w:val="-2"/>
              </w:rPr>
              <w:t>分布于各</w:t>
            </w:r>
            <w:r>
              <w:rPr/>
              <w:t xml:space="preserve"> </w:t>
            </w:r>
            <w:r>
              <w:rPr>
                <w:spacing w:val="-7"/>
              </w:rPr>
              <w:t>行</w:t>
            </w:r>
            <w:r>
              <w:rPr>
                <w:spacing w:val="13"/>
              </w:rPr>
              <w:t xml:space="preserve"> </w:t>
            </w:r>
            <w:r>
              <w:rPr>
                <w:spacing w:val="-7"/>
              </w:rPr>
              <w:t>业</w:t>
            </w:r>
            <w:r>
              <w:rPr>
                <w:spacing w:val="15"/>
              </w:rPr>
              <w:t xml:space="preserve"> </w:t>
            </w:r>
            <w:r>
              <w:rPr>
                <w:spacing w:val="-7"/>
              </w:rPr>
              <w:t>协</w:t>
            </w:r>
            <w:r>
              <w:rPr/>
              <w:t xml:space="preserve"> </w:t>
            </w:r>
            <w:r>
              <w:rPr>
                <w:spacing w:val="-2"/>
              </w:rPr>
              <w:t>会、科研</w:t>
            </w:r>
            <w:r>
              <w:rPr>
                <w:spacing w:val="1"/>
              </w:rPr>
              <w:t xml:space="preserve"> </w:t>
            </w:r>
            <w:r>
              <w:rPr>
                <w:spacing w:val="1"/>
              </w:rPr>
              <w:t>院所、企 </w:t>
            </w:r>
            <w:r>
              <w:rPr>
                <w:spacing w:val="-2"/>
              </w:rPr>
              <w:t>事业单位</w:t>
            </w:r>
          </w:p>
        </w:tc>
        <w:tc>
          <w:tcPr>
            <w:tcW w:w="6088" w:type="dxa"/>
            <w:vAlign w:val="top"/>
          </w:tcPr>
          <w:p>
            <w:pPr>
              <w:pStyle w:val="TableText"/>
              <w:ind w:left="34"/>
              <w:spacing w:before="90" w:line="219" w:lineRule="auto"/>
              <w:rPr/>
            </w:pPr>
            <w:r>
              <w:rPr>
                <w:spacing w:val="-2"/>
              </w:rPr>
              <w:t>1. 《工业产品生产许可证管理条例》第十九条；企业经实地核查合格的，应当及时进行产品</w:t>
            </w:r>
          </w:p>
          <w:p>
            <w:pPr>
              <w:pStyle w:val="TableText"/>
              <w:ind w:left="73"/>
              <w:spacing w:before="40" w:line="218" w:lineRule="auto"/>
              <w:rPr/>
            </w:pPr>
            <w:r>
              <w:rPr/>
              <w:t>检验。需要送样检验的，核查人员应当封存样品，并告知企业在7日内将该</w:t>
            </w:r>
            <w:r>
              <w:rPr>
                <w:spacing w:val="-1"/>
              </w:rPr>
              <w:t>样品送达具有相</w:t>
            </w:r>
          </w:p>
          <w:p>
            <w:pPr>
              <w:pStyle w:val="TableText"/>
              <w:ind w:left="34"/>
              <w:spacing w:before="43" w:line="219" w:lineRule="auto"/>
              <w:rPr/>
            </w:pPr>
            <w:r>
              <w:rPr>
                <w:spacing w:val="-1"/>
              </w:rPr>
              <w:t>应资质的检验机构。需要现场检验的，由核查人员通知检验机构进</w:t>
            </w:r>
            <w:r>
              <w:rPr>
                <w:spacing w:val="-2"/>
              </w:rPr>
              <w:t>行现场检验。2.</w:t>
            </w:r>
            <w:r>
              <w:rPr>
                <w:spacing w:val="-16"/>
              </w:rPr>
              <w:t xml:space="preserve"> </w:t>
            </w:r>
            <w:r>
              <w:rPr>
                <w:spacing w:val="-2"/>
              </w:rPr>
              <w:t>《工业产</w:t>
            </w:r>
          </w:p>
          <w:p>
            <w:pPr>
              <w:pStyle w:val="TableText"/>
              <w:ind w:left="224"/>
              <w:spacing w:before="42" w:line="219" w:lineRule="auto"/>
              <w:rPr/>
            </w:pPr>
            <w:r>
              <w:rPr/>
              <w:t>品生产许可证管理条例实施办法》(质检总局令2</w:t>
            </w:r>
            <w:r>
              <w:rPr>
                <w:spacing w:val="-1"/>
              </w:rPr>
              <w:t>014年第156号)第二十一条：审查组应</w:t>
            </w:r>
          </w:p>
          <w:p>
            <w:pPr>
              <w:pStyle w:val="TableText"/>
              <w:ind w:left="113"/>
              <w:spacing w:before="41" w:line="218" w:lineRule="auto"/>
              <w:rPr/>
            </w:pPr>
            <w:r>
              <w:rPr/>
              <w:t>当告知企业所有承担该产品许可证检验任务的检验机构名单及联系方式，由企业自主选择</w:t>
            </w:r>
          </w:p>
        </w:tc>
      </w:tr>
      <w:tr>
        <w:trPr>
          <w:trHeight w:val="1612" w:hRule="atLeast"/>
        </w:trPr>
        <w:tc>
          <w:tcPr>
            <w:tcW w:w="285" w:type="dxa"/>
            <w:vAlign w:val="top"/>
          </w:tcPr>
          <w:p>
            <w:pPr>
              <w:pStyle w:val="TableText"/>
              <w:ind w:left="55"/>
              <w:spacing w:before="151" w:line="184" w:lineRule="auto"/>
              <w:rPr/>
            </w:pPr>
            <w:r>
              <w:rPr>
                <w:spacing w:val="-2"/>
              </w:rPr>
              <w:t>41</w:t>
            </w:r>
          </w:p>
        </w:tc>
        <w:tc>
          <w:tcPr>
            <w:tcW w:w="679" w:type="dxa"/>
            <w:vAlign w:val="top"/>
          </w:tcPr>
          <w:p>
            <w:pPr>
              <w:pStyle w:val="TableText"/>
              <w:ind w:left="20" w:right="27" w:firstLine="10"/>
              <w:spacing w:before="94" w:line="254" w:lineRule="auto"/>
              <w:jc w:val="both"/>
              <w:rPr/>
            </w:pPr>
            <w:r>
              <w:rPr>
                <w:spacing w:val="2"/>
              </w:rPr>
              <w:t>中药保护 </w:t>
            </w:r>
            <w:r>
              <w:rPr>
                <w:spacing w:val="4"/>
              </w:rPr>
              <w:t>品种临床</w:t>
            </w:r>
            <w:r>
              <w:rPr/>
              <w:t xml:space="preserve"> </w:t>
            </w:r>
            <w:r>
              <w:rPr>
                <w:spacing w:val="-2"/>
              </w:rPr>
              <w:t>试验</w:t>
            </w:r>
          </w:p>
        </w:tc>
        <w:tc>
          <w:tcPr>
            <w:tcW w:w="1109" w:type="dxa"/>
            <w:vAlign w:val="top"/>
          </w:tcPr>
          <w:p>
            <w:pPr>
              <w:pStyle w:val="TableText"/>
              <w:ind w:left="10" w:right="34" w:firstLine="30"/>
              <w:spacing w:before="83" w:line="258" w:lineRule="auto"/>
              <w:jc w:val="both"/>
              <w:rPr/>
            </w:pPr>
            <w:r>
              <w:rPr>
                <w:spacing w:val="20"/>
              </w:rPr>
              <w:t>(30006)中药</w:t>
            </w:r>
            <w:r>
              <w:rPr/>
              <w:t xml:space="preserve"> </w:t>
            </w:r>
            <w:r>
              <w:rPr/>
              <w:t>保护品种证书核</w:t>
            </w:r>
            <w:r>
              <w:rPr>
                <w:spacing w:val="2"/>
              </w:rPr>
              <w:t xml:space="preserve"> </w:t>
            </w:r>
            <w:r>
              <w:rPr/>
              <w:t>发</w:t>
            </w:r>
          </w:p>
        </w:tc>
        <w:tc>
          <w:tcPr>
            <w:tcW w:w="839" w:type="dxa"/>
            <w:vAlign w:val="top"/>
          </w:tcPr>
          <w:p>
            <w:pPr>
              <w:pStyle w:val="TableText"/>
              <w:ind w:left="181" w:right="52" w:hanging="150"/>
              <w:spacing w:before="92" w:line="239" w:lineRule="auto"/>
              <w:rPr/>
            </w:pPr>
            <w:r>
              <w:rPr>
                <w:spacing w:val="-2"/>
              </w:rPr>
              <w:t>食品药品监</w:t>
            </w:r>
            <w:r>
              <w:rPr>
                <w:spacing w:val="3"/>
              </w:rPr>
              <w:t xml:space="preserve"> </w:t>
            </w:r>
            <w:r>
              <w:rPr>
                <w:spacing w:val="4"/>
              </w:rPr>
              <w:t>管总局</w:t>
            </w:r>
          </w:p>
        </w:tc>
        <w:tc>
          <w:tcPr>
            <w:tcW w:w="659" w:type="dxa"/>
            <w:vAlign w:val="top"/>
          </w:tcPr>
          <w:p>
            <w:pPr>
              <w:pStyle w:val="TableText"/>
              <w:ind w:left="12" w:right="19" w:firstLine="10"/>
              <w:spacing w:before="93" w:line="258"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34"/>
              <w:spacing w:before="102" w:line="219" w:lineRule="auto"/>
              <w:rPr/>
            </w:pPr>
            <w:r>
              <w:rPr>
                <w:spacing w:val="-2"/>
              </w:rPr>
              <w:t>1. 《中药品种保护条例》(国务院令第106号)第十条；申请中药品种保护的企业，应当按</w:t>
            </w:r>
          </w:p>
          <w:p>
            <w:pPr>
              <w:pStyle w:val="TableText"/>
              <w:ind w:left="34" w:right="63"/>
              <w:spacing w:before="43" w:line="260" w:lineRule="auto"/>
              <w:rPr/>
            </w:pPr>
            <w:r>
              <w:rPr>
                <w:spacing w:val="-2"/>
              </w:rPr>
              <w:t>照国务院卫生行政部门的规定，向国家中药品种保护审评委员会提交完整的资料。2.</w:t>
            </w:r>
            <w:r>
              <w:rPr>
                <w:spacing w:val="-14"/>
              </w:rPr>
              <w:t xml:space="preserve"> </w:t>
            </w:r>
            <w:r>
              <w:rPr>
                <w:spacing w:val="-2"/>
              </w:rPr>
              <w:t>《国家</w:t>
            </w:r>
            <w:r>
              <w:rPr/>
              <w:t xml:space="preserve"> </w:t>
            </w:r>
            <w:r>
              <w:rPr>
                <w:spacing w:val="1"/>
              </w:rPr>
              <w:t>食品药品监督管理局关于印发中药品种保护指导原则的通知》(国食药</w:t>
            </w:r>
            <w:r>
              <w:rPr/>
              <w:t>监注〔2009〕57号)  </w:t>
            </w:r>
            <w:r>
              <w:rPr>
                <w:spacing w:val="1"/>
              </w:rPr>
              <w:t>附件2“中药品种保护申报资料项目”四；批准上市前的研究资料，包括临床、药理毒理和</w:t>
            </w:r>
            <w:r>
              <w:rPr>
                <w:spacing w:val="6"/>
              </w:rPr>
              <w:t xml:space="preserve"> </w:t>
            </w:r>
            <w:r>
              <w:rPr>
                <w:spacing w:val="-1"/>
              </w:rPr>
              <w:t>药学资料，药学资料包括工艺、质量标准资料。3. 《药品注册管理办法</w:t>
            </w:r>
            <w:r>
              <w:rPr>
                <w:spacing w:val="-2"/>
              </w:rPr>
              <w:t>》(国家食品药品监</w:t>
            </w:r>
            <w:r>
              <w:rPr/>
              <w:t xml:space="preserve"> </w:t>
            </w:r>
            <w:r>
              <w:rPr/>
              <w:t>督管理局令第28号)第三十四条：药物临床试验批准后，申请人应</w:t>
            </w:r>
            <w:r>
              <w:rPr>
                <w:spacing w:val="-1"/>
              </w:rPr>
              <w:t>当从具有药物临床试验</w:t>
            </w:r>
          </w:p>
          <w:p>
            <w:pPr>
              <w:pStyle w:val="TableText"/>
              <w:ind w:left="34"/>
              <w:spacing w:before="42" w:line="219" w:lineRule="auto"/>
              <w:rPr/>
            </w:pPr>
            <w:r>
              <w:rPr>
                <w:spacing w:val="-1"/>
              </w:rPr>
              <w:t>资格的机构中选择承担药物临床试验的机构。</w:t>
            </w:r>
          </w:p>
        </w:tc>
      </w:tr>
    </w:tbl>
    <w:p>
      <w:pPr>
        <w:pStyle w:val="BodyText"/>
        <w:rPr/>
      </w:pPr>
      <w:r/>
    </w:p>
    <w:p>
      <w:pPr>
        <w:sectPr>
          <w:pgSz w:w="11910" w:h="8220"/>
          <w:pgMar w:top="400" w:right="112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55200"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410" name="TextBox 410"/>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2" style="position:absolute;margin-left:37.0402pt;margin-top:345.135pt;mso-position-vertical-relative:page;mso-position-horizontal-relative:page;width:13.6pt;height:12.35pt;z-index:25195520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293</w:t>
                      </w:r>
                    </w:p>
                  </w:txbxContent>
                </v:textbox>
              </v:shape>
            </w:pict>
          </mc:Fallback>
        </mc:AlternateContent>
      </w:r>
      <w:r/>
    </w:p>
    <w:p>
      <w:pPr>
        <w:spacing w:before="46"/>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29"/>
        <w:gridCol w:w="669"/>
        <w:gridCol w:w="6088"/>
      </w:tblGrid>
      <w:tr>
        <w:trPr>
          <w:trHeight w:val="474" w:hRule="atLeast"/>
        </w:trPr>
        <w:tc>
          <w:tcPr>
            <w:tcW w:w="285" w:type="dxa"/>
            <w:vAlign w:val="top"/>
          </w:tcPr>
          <w:p>
            <w:pPr>
              <w:pStyle w:val="TableText"/>
              <w:ind w:left="55"/>
              <w:spacing w:before="62" w:line="197" w:lineRule="auto"/>
              <w:rPr/>
            </w:pPr>
            <w:r>
              <w:rPr/>
              <w:t>序</w:t>
            </w:r>
          </w:p>
          <w:p>
            <w:pPr>
              <w:pStyle w:val="TableText"/>
              <w:ind w:left="55"/>
              <w:spacing w:line="220" w:lineRule="auto"/>
              <w:rPr/>
            </w:pPr>
            <w:r>
              <w:rPr/>
              <w:t>号</w:t>
            </w:r>
          </w:p>
        </w:tc>
        <w:tc>
          <w:tcPr>
            <w:tcW w:w="679" w:type="dxa"/>
            <w:vAlign w:val="top"/>
          </w:tcPr>
          <w:p>
            <w:pPr>
              <w:pStyle w:val="TableText"/>
              <w:ind w:left="3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39"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918" w:hRule="atLeast"/>
        </w:trPr>
        <w:tc>
          <w:tcPr>
            <w:tcW w:w="285" w:type="dxa"/>
            <w:vAlign w:val="top"/>
          </w:tcPr>
          <w:p>
            <w:pPr>
              <w:pStyle w:val="TableText"/>
              <w:ind w:left="55"/>
              <w:spacing w:before="135" w:line="183" w:lineRule="auto"/>
              <w:rPr/>
            </w:pPr>
            <w:r>
              <w:rPr>
                <w:spacing w:val="-2"/>
              </w:rPr>
              <w:t>42</w:t>
            </w:r>
          </w:p>
        </w:tc>
        <w:tc>
          <w:tcPr>
            <w:tcW w:w="679" w:type="dxa"/>
            <w:vAlign w:val="top"/>
          </w:tcPr>
          <w:p>
            <w:pPr>
              <w:pStyle w:val="TableText"/>
              <w:ind w:left="30" w:right="23"/>
              <w:spacing w:before="77" w:line="245" w:lineRule="auto"/>
              <w:rPr/>
            </w:pPr>
            <w:r>
              <w:rPr>
                <w:spacing w:val="3"/>
              </w:rPr>
              <w:t>国产药品</w:t>
            </w:r>
            <w:r>
              <w:rPr>
                <w:spacing w:val="2"/>
              </w:rPr>
              <w:t xml:space="preserve"> </w:t>
            </w:r>
            <w:r>
              <w:rPr>
                <w:spacing w:val="1"/>
              </w:rPr>
              <w:t>临床试验</w:t>
            </w:r>
          </w:p>
        </w:tc>
        <w:tc>
          <w:tcPr>
            <w:tcW w:w="1109" w:type="dxa"/>
            <w:vAlign w:val="top"/>
          </w:tcPr>
          <w:p>
            <w:pPr>
              <w:pStyle w:val="TableText"/>
              <w:ind w:left="20" w:right="48" w:firstLine="20"/>
              <w:spacing w:before="76" w:line="246" w:lineRule="auto"/>
              <w:rPr/>
            </w:pPr>
            <w:r>
              <w:rPr>
                <w:spacing w:val="20"/>
              </w:rPr>
              <w:t>(30023)国产</w:t>
            </w:r>
            <w:r>
              <w:rPr>
                <w:spacing w:val="3"/>
              </w:rPr>
              <w:t xml:space="preserve"> </w:t>
            </w:r>
            <w:r>
              <w:rPr>
                <w:spacing w:val="-2"/>
              </w:rPr>
              <w:t>药品注册审批</w:t>
            </w:r>
          </w:p>
        </w:tc>
        <w:tc>
          <w:tcPr>
            <w:tcW w:w="829" w:type="dxa"/>
            <w:vAlign w:val="top"/>
          </w:tcPr>
          <w:p>
            <w:pPr>
              <w:pStyle w:val="TableText"/>
              <w:ind w:left="181" w:right="42" w:hanging="150"/>
              <w:spacing w:before="78" w:line="232" w:lineRule="auto"/>
              <w:rPr/>
            </w:pPr>
            <w:r>
              <w:rPr>
                <w:spacing w:val="-2"/>
              </w:rPr>
              <w:t>食品药品监</w:t>
            </w:r>
            <w:r>
              <w:rPr>
                <w:spacing w:val="3"/>
              </w:rPr>
              <w:t xml:space="preserve"> </w:t>
            </w:r>
            <w:r>
              <w:rPr>
                <w:spacing w:val="4"/>
              </w:rPr>
              <w:t>管总局</w:t>
            </w:r>
          </w:p>
        </w:tc>
        <w:tc>
          <w:tcPr>
            <w:tcW w:w="669" w:type="dxa"/>
            <w:vAlign w:val="top"/>
          </w:tcPr>
          <w:p>
            <w:pPr>
              <w:pStyle w:val="TableText"/>
              <w:ind w:left="12" w:right="29" w:firstLine="10"/>
              <w:spacing w:before="58" w:line="261"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34" w:right="241" w:firstLine="114"/>
              <w:spacing w:before="77" w:line="238" w:lineRule="auto"/>
              <w:rPr/>
            </w:pPr>
            <w:r>
              <w:rPr/>
              <w:t>《药品注册管理办法》(国家食品药品监督管理总局令第2</w:t>
            </w:r>
            <w:r>
              <w:rPr>
                <w:spacing w:val="-1"/>
              </w:rPr>
              <w:t>8号)第三十四条：药物临床试</w:t>
            </w:r>
            <w:r>
              <w:rPr/>
              <w:t xml:space="preserve"> </w:t>
            </w:r>
            <w:r>
              <w:rPr/>
              <w:t>验批准后，申请人应当从具有药物临床试验资格的机构中选择承担药物</w:t>
            </w:r>
            <w:r>
              <w:rPr>
                <w:spacing w:val="-1"/>
              </w:rPr>
              <w:t>临床试验的机构</w:t>
            </w:r>
          </w:p>
        </w:tc>
      </w:tr>
      <w:tr>
        <w:trPr>
          <w:trHeight w:val="1128" w:hRule="atLeast"/>
        </w:trPr>
        <w:tc>
          <w:tcPr>
            <w:tcW w:w="285" w:type="dxa"/>
            <w:vAlign w:val="top"/>
          </w:tcPr>
          <w:p>
            <w:pPr>
              <w:pStyle w:val="TableText"/>
              <w:ind w:left="55"/>
              <w:spacing w:before="117" w:line="183" w:lineRule="auto"/>
              <w:rPr/>
            </w:pPr>
            <w:r>
              <w:rPr>
                <w:spacing w:val="-2"/>
              </w:rPr>
              <w:t>43</w:t>
            </w:r>
          </w:p>
        </w:tc>
        <w:tc>
          <w:tcPr>
            <w:tcW w:w="679" w:type="dxa"/>
            <w:vAlign w:val="top"/>
          </w:tcPr>
          <w:p>
            <w:pPr>
              <w:pStyle w:val="TableText"/>
              <w:ind w:left="30" w:right="32"/>
              <w:spacing w:before="69" w:line="245" w:lineRule="auto"/>
              <w:rPr/>
            </w:pPr>
            <w:r>
              <w:rPr>
                <w:spacing w:val="-2"/>
              </w:rPr>
              <w:t>进口药品</w:t>
            </w:r>
            <w:r>
              <w:rPr>
                <w:spacing w:val="2"/>
              </w:rPr>
              <w:t xml:space="preserve"> </w:t>
            </w:r>
            <w:r>
              <w:rPr>
                <w:spacing w:val="1"/>
              </w:rPr>
              <w:t>临床试验</w:t>
            </w:r>
          </w:p>
        </w:tc>
        <w:tc>
          <w:tcPr>
            <w:tcW w:w="1109" w:type="dxa"/>
            <w:vAlign w:val="top"/>
          </w:tcPr>
          <w:p>
            <w:pPr>
              <w:pStyle w:val="TableText"/>
              <w:ind w:left="10" w:firstLine="111"/>
              <w:spacing w:before="82" w:line="255" w:lineRule="auto"/>
              <w:rPr/>
            </w:pPr>
            <w:r>
              <w:rPr>
                <w:spacing w:val="-5"/>
              </w:rPr>
              <w:t>(30024)进口</w:t>
            </w:r>
            <w:r>
              <w:rPr/>
              <w:t xml:space="preserve">   </w:t>
            </w:r>
            <w:r>
              <w:rPr>
                <w:spacing w:val="-2"/>
              </w:rPr>
              <w:t>药品(包括进口  </w:t>
            </w:r>
            <w:r>
              <w:rPr>
                <w:spacing w:val="-14"/>
              </w:rPr>
              <w:t>药品、进口药材、</w:t>
            </w:r>
            <w:r>
              <w:rPr/>
              <w:t xml:space="preserve"> </w:t>
            </w:r>
            <w:r>
              <w:rPr/>
              <w:t>临时进口药品)</w:t>
            </w:r>
            <w:r>
              <w:rPr>
                <w:spacing w:val="1"/>
              </w:rPr>
              <w:t xml:space="preserve">  </w:t>
            </w:r>
            <w:r>
              <w:rPr>
                <w:spacing w:val="-8"/>
              </w:rPr>
              <w:t>注册审批</w:t>
            </w:r>
          </w:p>
        </w:tc>
        <w:tc>
          <w:tcPr>
            <w:tcW w:w="829" w:type="dxa"/>
            <w:vAlign w:val="top"/>
          </w:tcPr>
          <w:p>
            <w:pPr>
              <w:pStyle w:val="TableText"/>
              <w:ind w:left="181" w:right="42" w:hanging="150"/>
              <w:spacing w:before="59" w:line="245" w:lineRule="auto"/>
              <w:rPr/>
            </w:pPr>
            <w:r>
              <w:rPr>
                <w:spacing w:val="-2"/>
              </w:rPr>
              <w:t>食品药品监</w:t>
            </w:r>
            <w:r>
              <w:rPr>
                <w:spacing w:val="3"/>
              </w:rPr>
              <w:t xml:space="preserve"> </w:t>
            </w:r>
            <w:r>
              <w:rPr>
                <w:spacing w:val="4"/>
              </w:rPr>
              <w:t>管总局</w:t>
            </w:r>
          </w:p>
        </w:tc>
        <w:tc>
          <w:tcPr>
            <w:tcW w:w="669" w:type="dxa"/>
            <w:vAlign w:val="top"/>
          </w:tcPr>
          <w:p>
            <w:pPr>
              <w:pStyle w:val="TableText"/>
              <w:ind w:left="12" w:right="29" w:firstLine="10"/>
              <w:spacing w:before="59" w:line="258"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34" w:right="198" w:firstLine="114"/>
              <w:spacing w:before="78" w:line="245" w:lineRule="auto"/>
              <w:rPr/>
            </w:pPr>
            <w:r>
              <w:rPr>
                <w:spacing w:val="-1"/>
              </w:rPr>
              <w:t>《药品注册管理办法》(国家食品药品监督管理总局令第28号)第三十四条：药物临床试 </w:t>
            </w:r>
            <w:r>
              <w:rPr/>
              <w:t>验批准后，申请人应当从具有药物临床试验资格的机构中选择承担药物临床</w:t>
            </w:r>
            <w:r>
              <w:rPr>
                <w:spacing w:val="-1"/>
              </w:rPr>
              <w:t>试验的机构。</w:t>
            </w:r>
          </w:p>
        </w:tc>
      </w:tr>
      <w:tr>
        <w:trPr>
          <w:trHeight w:val="1348" w:hRule="atLeast"/>
        </w:trPr>
        <w:tc>
          <w:tcPr>
            <w:tcW w:w="285" w:type="dxa"/>
            <w:vAlign w:val="top"/>
          </w:tcPr>
          <w:p>
            <w:pPr>
              <w:pStyle w:val="TableText"/>
              <w:ind w:left="55"/>
              <w:spacing w:before="109" w:line="183" w:lineRule="auto"/>
              <w:rPr/>
            </w:pPr>
            <w:r>
              <w:rPr>
                <w:spacing w:val="-2"/>
              </w:rPr>
              <w:t>44</w:t>
            </w:r>
          </w:p>
        </w:tc>
        <w:tc>
          <w:tcPr>
            <w:tcW w:w="679" w:type="dxa"/>
            <w:vAlign w:val="top"/>
          </w:tcPr>
          <w:p>
            <w:pPr>
              <w:pStyle w:val="TableText"/>
              <w:ind w:left="20" w:right="44" w:firstLine="10"/>
              <w:spacing w:before="60" w:line="254" w:lineRule="auto"/>
              <w:jc w:val="both"/>
              <w:rPr/>
            </w:pPr>
            <w:r>
              <w:rPr>
                <w:spacing w:val="-2"/>
              </w:rPr>
              <w:t>港澳台医</w:t>
            </w:r>
            <w:r>
              <w:rPr>
                <w:spacing w:val="1"/>
              </w:rPr>
              <w:t xml:space="preserve"> </w:t>
            </w:r>
            <w:r>
              <w:rPr/>
              <w:t>药产品临</w:t>
            </w:r>
            <w:r>
              <w:rPr>
                <w:spacing w:val="1"/>
              </w:rPr>
              <w:t xml:space="preserve"> </w:t>
            </w:r>
            <w:r>
              <w:rPr>
                <w:spacing w:val="-2"/>
              </w:rPr>
              <w:t>床试验</w:t>
            </w:r>
          </w:p>
        </w:tc>
        <w:tc>
          <w:tcPr>
            <w:tcW w:w="1109" w:type="dxa"/>
            <w:vAlign w:val="top"/>
          </w:tcPr>
          <w:p>
            <w:pPr>
              <w:pStyle w:val="TableText"/>
              <w:ind w:left="10" w:right="22" w:firstLine="30"/>
              <w:spacing w:before="70" w:line="260" w:lineRule="auto"/>
              <w:jc w:val="both"/>
              <w:rPr/>
            </w:pPr>
            <w:r>
              <w:rPr>
                <w:spacing w:val="20"/>
              </w:rPr>
              <w:t>(30025)港澳</w:t>
            </w:r>
            <w:r>
              <w:rPr>
                <w:spacing w:val="1"/>
              </w:rPr>
              <w:t xml:space="preserve"> </w:t>
            </w:r>
            <w:r>
              <w:rPr>
                <w:spacing w:val="7"/>
              </w:rPr>
              <w:t>台医药产品(包</w:t>
            </w:r>
            <w:r>
              <w:rPr>
                <w:spacing w:val="1"/>
              </w:rPr>
              <w:t xml:space="preserve"> </w:t>
            </w:r>
            <w:r>
              <w:rPr/>
              <w:t>括进口药品、进</w:t>
            </w:r>
            <w:r>
              <w:rPr>
                <w:spacing w:val="3"/>
              </w:rPr>
              <w:t xml:space="preserve"> </w:t>
            </w:r>
            <w:r>
              <w:rPr>
                <w:spacing w:val="2"/>
              </w:rPr>
              <w:t>口药材、临时进</w:t>
            </w:r>
            <w:r>
              <w:rPr/>
              <w:t xml:space="preserve"> </w:t>
            </w:r>
            <w:r>
              <w:rPr>
                <w:spacing w:val="8"/>
              </w:rPr>
              <w:t>口药品)注册审</w:t>
            </w:r>
            <w:r>
              <w:rPr/>
              <w:t xml:space="preserve"> </w:t>
            </w:r>
            <w:r>
              <w:rPr/>
              <w:t>批</w:t>
            </w:r>
          </w:p>
        </w:tc>
        <w:tc>
          <w:tcPr>
            <w:tcW w:w="829" w:type="dxa"/>
            <w:vAlign w:val="top"/>
          </w:tcPr>
          <w:p>
            <w:pPr>
              <w:pStyle w:val="TableText"/>
              <w:ind w:left="181" w:right="42" w:hanging="150"/>
              <w:spacing w:before="70" w:line="239" w:lineRule="auto"/>
              <w:rPr/>
            </w:pPr>
            <w:r>
              <w:rPr>
                <w:spacing w:val="-2"/>
              </w:rPr>
              <w:t>食品药品监</w:t>
            </w:r>
            <w:r>
              <w:rPr>
                <w:spacing w:val="3"/>
              </w:rPr>
              <w:t xml:space="preserve"> </w:t>
            </w:r>
            <w:r>
              <w:rPr>
                <w:spacing w:val="4"/>
              </w:rPr>
              <w:t>管总局</w:t>
            </w:r>
          </w:p>
        </w:tc>
        <w:tc>
          <w:tcPr>
            <w:tcW w:w="669" w:type="dxa"/>
            <w:vAlign w:val="top"/>
          </w:tcPr>
          <w:p>
            <w:pPr>
              <w:pStyle w:val="TableText"/>
              <w:ind w:left="12" w:right="29" w:firstLine="10"/>
              <w:spacing w:before="61" w:line="258"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34" w:right="241" w:firstLine="114"/>
              <w:spacing w:before="70" w:line="245" w:lineRule="auto"/>
              <w:rPr/>
            </w:pPr>
            <w:r>
              <w:rPr/>
              <w:t>《药品注册管理办法》(国家食品药品监督管理总局令第2</w:t>
            </w:r>
            <w:r>
              <w:rPr>
                <w:spacing w:val="-1"/>
              </w:rPr>
              <w:t>8号)第三十四条：药物临床试</w:t>
            </w:r>
            <w:r>
              <w:rPr/>
              <w:t xml:space="preserve"> </w:t>
            </w:r>
            <w:r>
              <w:rPr/>
              <w:t>验批准后，申请人应当从具有药物临床试验资格的机构中选择承担药物</w:t>
            </w:r>
            <w:r>
              <w:rPr>
                <w:spacing w:val="-1"/>
              </w:rPr>
              <w:t>临床试验的机构</w:t>
            </w:r>
          </w:p>
        </w:tc>
      </w:tr>
      <w:tr>
        <w:trPr>
          <w:trHeight w:val="1128" w:hRule="atLeast"/>
        </w:trPr>
        <w:tc>
          <w:tcPr>
            <w:tcW w:w="285" w:type="dxa"/>
            <w:vAlign w:val="top"/>
          </w:tcPr>
          <w:p>
            <w:pPr>
              <w:pStyle w:val="TableText"/>
              <w:ind w:left="55"/>
              <w:spacing w:before="111" w:line="183" w:lineRule="auto"/>
              <w:rPr/>
            </w:pPr>
            <w:r>
              <w:rPr>
                <w:spacing w:val="-2"/>
              </w:rPr>
              <w:t>45</w:t>
            </w:r>
          </w:p>
        </w:tc>
        <w:tc>
          <w:tcPr>
            <w:tcW w:w="679" w:type="dxa"/>
            <w:vAlign w:val="top"/>
          </w:tcPr>
          <w:p>
            <w:pPr>
              <w:pStyle w:val="TableText"/>
              <w:ind w:left="10" w:right="32" w:firstLine="20"/>
              <w:spacing w:before="62" w:line="259" w:lineRule="auto"/>
              <w:jc w:val="both"/>
              <w:rPr/>
            </w:pPr>
            <w:r>
              <w:rPr>
                <w:spacing w:val="1"/>
              </w:rPr>
              <w:t>国产医疗 </w:t>
            </w:r>
            <w:r>
              <w:rPr>
                <w:spacing w:val="3"/>
              </w:rPr>
              <w:t>器械临床</w:t>
            </w:r>
            <w:r>
              <w:rPr>
                <w:spacing w:val="1"/>
              </w:rPr>
              <w:t xml:space="preserve"> </w:t>
            </w:r>
            <w:r>
              <w:rPr>
                <w:spacing w:val="-2"/>
              </w:rPr>
              <w:t>试验</w:t>
            </w:r>
          </w:p>
        </w:tc>
        <w:tc>
          <w:tcPr>
            <w:tcW w:w="1109" w:type="dxa"/>
            <w:vAlign w:val="top"/>
          </w:tcPr>
          <w:p>
            <w:pPr>
              <w:pStyle w:val="TableText"/>
              <w:ind w:left="10" w:right="15" w:firstLine="30"/>
              <w:spacing w:before="82" w:line="247" w:lineRule="auto"/>
              <w:jc w:val="both"/>
              <w:rPr/>
            </w:pPr>
            <w:r>
              <w:rPr>
                <w:spacing w:val="20"/>
              </w:rPr>
              <w:t>(30016)国产</w:t>
            </w:r>
            <w:r>
              <w:rPr>
                <w:spacing w:val="3"/>
              </w:rPr>
              <w:t xml:space="preserve"> </w:t>
            </w:r>
            <w:r>
              <w:rPr>
                <w:spacing w:val="3"/>
              </w:rPr>
              <w:t>医疗器械注册审</w:t>
            </w:r>
            <w:r>
              <w:rPr/>
              <w:t xml:space="preserve"> </w:t>
            </w:r>
            <w:r>
              <w:rPr/>
              <w:t>批</w:t>
            </w:r>
          </w:p>
        </w:tc>
        <w:tc>
          <w:tcPr>
            <w:tcW w:w="829" w:type="dxa"/>
            <w:vAlign w:val="top"/>
          </w:tcPr>
          <w:p>
            <w:pPr>
              <w:pStyle w:val="TableText"/>
              <w:ind w:left="181" w:right="42" w:hanging="150"/>
              <w:spacing w:before="63" w:line="251" w:lineRule="auto"/>
              <w:rPr/>
            </w:pPr>
            <w:r>
              <w:rPr>
                <w:spacing w:val="-2"/>
              </w:rPr>
              <w:t>食品药品监</w:t>
            </w:r>
            <w:r>
              <w:rPr>
                <w:spacing w:val="3"/>
              </w:rPr>
              <w:t xml:space="preserve"> </w:t>
            </w:r>
            <w:r>
              <w:rPr>
                <w:spacing w:val="4"/>
              </w:rPr>
              <w:t>管总局</w:t>
            </w:r>
          </w:p>
        </w:tc>
        <w:tc>
          <w:tcPr>
            <w:tcW w:w="669" w:type="dxa"/>
            <w:vAlign w:val="top"/>
          </w:tcPr>
          <w:p>
            <w:pPr>
              <w:pStyle w:val="TableText"/>
              <w:ind w:left="12" w:right="29" w:firstLine="10"/>
              <w:spacing w:before="64" w:line="261"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108"/>
              <w:spacing w:before="72" w:line="219" w:lineRule="auto"/>
              <w:rPr/>
            </w:pPr>
            <w:r>
              <w:rPr/>
              <w:t>《医疗器械监督管理条例》(国务院令第650号)第十七条：第一类医疗</w:t>
            </w:r>
            <w:r>
              <w:rPr>
                <w:spacing w:val="-1"/>
              </w:rPr>
              <w:t>器械产品备案，不</w:t>
            </w:r>
          </w:p>
          <w:p>
            <w:pPr>
              <w:pStyle w:val="TableText"/>
              <w:ind w:left="14" w:right="37" w:firstLine="20"/>
              <w:spacing w:before="42" w:line="254" w:lineRule="auto"/>
              <w:jc w:val="both"/>
              <w:rPr/>
            </w:pPr>
            <w:r>
              <w:rPr/>
              <w:t>需要进行临床试验。申请第二类、第三类医疗器械产品注册，应当进行临床试验。第十八条</w:t>
            </w:r>
            <w:r>
              <w:rPr>
                <w:spacing w:val="5"/>
              </w:rPr>
              <w:t xml:space="preserve"> </w:t>
            </w:r>
            <w:r>
              <w:rPr/>
              <w:t>开展医疗器械临床试验，应当按照医疗器械临床试验质量管理规范的要求，在有资质的临床</w:t>
            </w:r>
            <w:r>
              <w:rPr>
                <w:spacing w:val="12"/>
              </w:rPr>
              <w:t xml:space="preserve"> </w:t>
            </w:r>
            <w:r>
              <w:rPr/>
              <w:t>试验机构进行，并向临床试验提出者所在地省、自治区、直辖市人民政府食品药品监督管理</w:t>
            </w:r>
            <w:r>
              <w:rPr>
                <w:spacing w:val="13"/>
              </w:rPr>
              <w:t xml:space="preserve"> </w:t>
            </w:r>
            <w:r>
              <w:rPr>
                <w:spacing w:val="-1"/>
              </w:rPr>
              <w:t>部门备案。</w:t>
            </w:r>
          </w:p>
        </w:tc>
      </w:tr>
      <w:tr>
        <w:trPr>
          <w:trHeight w:val="1133" w:hRule="atLeast"/>
        </w:trPr>
        <w:tc>
          <w:tcPr>
            <w:tcW w:w="285" w:type="dxa"/>
            <w:vAlign w:val="top"/>
          </w:tcPr>
          <w:p>
            <w:pPr>
              <w:pStyle w:val="TableText"/>
              <w:ind w:left="55"/>
              <w:spacing w:before="133" w:line="183" w:lineRule="auto"/>
              <w:rPr/>
            </w:pPr>
            <w:r>
              <w:rPr>
                <w:spacing w:val="-2"/>
              </w:rPr>
              <w:t>46</w:t>
            </w:r>
          </w:p>
        </w:tc>
        <w:tc>
          <w:tcPr>
            <w:tcW w:w="679" w:type="dxa"/>
            <w:vAlign w:val="top"/>
          </w:tcPr>
          <w:p>
            <w:pPr>
              <w:pStyle w:val="TableText"/>
              <w:ind w:left="10" w:right="43" w:firstLine="20"/>
              <w:spacing w:before="76" w:line="246" w:lineRule="auto"/>
              <w:jc w:val="both"/>
              <w:rPr/>
            </w:pPr>
            <w:r>
              <w:rPr>
                <w:spacing w:val="-2"/>
              </w:rPr>
              <w:t>进口医疗</w:t>
            </w:r>
            <w:r>
              <w:rPr>
                <w:spacing w:val="2"/>
              </w:rPr>
              <w:t xml:space="preserve"> </w:t>
            </w:r>
            <w:r>
              <w:rPr>
                <w:spacing w:val="3"/>
              </w:rPr>
              <w:t>器械临床</w:t>
            </w:r>
            <w:r>
              <w:rPr>
                <w:spacing w:val="1"/>
              </w:rPr>
              <w:t xml:space="preserve"> </w:t>
            </w:r>
            <w:r>
              <w:rPr>
                <w:spacing w:val="-2"/>
              </w:rPr>
              <w:t>试验</w:t>
            </w:r>
          </w:p>
        </w:tc>
        <w:tc>
          <w:tcPr>
            <w:tcW w:w="1109" w:type="dxa"/>
            <w:vAlign w:val="top"/>
          </w:tcPr>
          <w:p>
            <w:pPr>
              <w:pStyle w:val="TableText"/>
              <w:ind w:left="10" w:right="15" w:firstLine="120"/>
              <w:spacing w:before="77" w:line="254" w:lineRule="auto"/>
              <w:rPr/>
            </w:pPr>
            <w:r>
              <w:rPr>
                <w:spacing w:val="1"/>
              </w:rPr>
              <w:t>(30017)进口</w:t>
            </w:r>
            <w:r>
              <w:rPr>
                <w:spacing w:val="3"/>
              </w:rPr>
              <w:t xml:space="preserve">  </w:t>
            </w:r>
            <w:r>
              <w:rPr>
                <w:spacing w:val="3"/>
              </w:rPr>
              <w:t>医疗器械注册审</w:t>
            </w:r>
            <w:r>
              <w:rPr/>
              <w:t xml:space="preserve"> </w:t>
            </w:r>
            <w:r>
              <w:rPr/>
              <w:t>批</w:t>
            </w:r>
          </w:p>
        </w:tc>
        <w:tc>
          <w:tcPr>
            <w:tcW w:w="829" w:type="dxa"/>
            <w:vAlign w:val="top"/>
          </w:tcPr>
          <w:p>
            <w:pPr>
              <w:pStyle w:val="TableText"/>
              <w:ind w:left="181" w:right="42" w:hanging="150"/>
              <w:spacing w:before="76" w:line="232" w:lineRule="auto"/>
              <w:rPr/>
            </w:pPr>
            <w:r>
              <w:rPr>
                <w:spacing w:val="-2"/>
              </w:rPr>
              <w:t>食品药品监</w:t>
            </w:r>
            <w:r>
              <w:rPr>
                <w:spacing w:val="3"/>
              </w:rPr>
              <w:t xml:space="preserve"> </w:t>
            </w:r>
            <w:r>
              <w:rPr>
                <w:spacing w:val="4"/>
              </w:rPr>
              <w:t>管总局</w:t>
            </w:r>
          </w:p>
        </w:tc>
        <w:tc>
          <w:tcPr>
            <w:tcW w:w="669" w:type="dxa"/>
            <w:vAlign w:val="top"/>
          </w:tcPr>
          <w:p>
            <w:pPr>
              <w:pStyle w:val="TableText"/>
              <w:ind w:left="12" w:right="29" w:firstLine="10"/>
              <w:spacing w:before="75" w:line="258" w:lineRule="auto"/>
              <w:jc w:val="both"/>
              <w:rPr/>
            </w:pPr>
            <w:r>
              <w:rPr>
                <w:spacing w:val="-3"/>
              </w:rPr>
              <w:t>具有药物</w:t>
            </w:r>
            <w:r>
              <w:rPr>
                <w:spacing w:val="2"/>
              </w:rPr>
              <w:t xml:space="preserve"> </w:t>
            </w:r>
            <w:r>
              <w:rPr>
                <w:spacing w:val="4"/>
              </w:rPr>
              <w:t>临床试验</w:t>
            </w:r>
            <w:r>
              <w:rPr/>
              <w:t xml:space="preserve"> </w:t>
            </w:r>
            <w:r>
              <w:rPr>
                <w:spacing w:val="-1"/>
              </w:rPr>
              <w:t>资格的机</w:t>
            </w:r>
            <w:r>
              <w:rPr/>
              <w:t xml:space="preserve"> </w:t>
            </w:r>
            <w:r>
              <w:rPr/>
              <w:t>构</w:t>
            </w:r>
          </w:p>
        </w:tc>
        <w:tc>
          <w:tcPr>
            <w:tcW w:w="6088" w:type="dxa"/>
            <w:vAlign w:val="top"/>
          </w:tcPr>
          <w:p>
            <w:pPr>
              <w:pStyle w:val="TableText"/>
              <w:ind w:left="108"/>
              <w:spacing w:before="84" w:line="219" w:lineRule="auto"/>
              <w:rPr/>
            </w:pPr>
            <w:r>
              <w:rPr/>
              <w:t>《医疗器械监督管理条例》(国务院令第650号)第十七条：第一类医疗</w:t>
            </w:r>
            <w:r>
              <w:rPr>
                <w:spacing w:val="-1"/>
              </w:rPr>
              <w:t>器械产品备案，不</w:t>
            </w:r>
          </w:p>
          <w:p>
            <w:pPr>
              <w:pStyle w:val="TableText"/>
              <w:ind w:left="23" w:hanging="9"/>
              <w:spacing w:before="12" w:line="261" w:lineRule="auto"/>
              <w:rPr/>
            </w:pPr>
            <w:r>
              <w:rPr>
                <w:spacing w:val="-2"/>
              </w:rPr>
              <w:t>需要进行临床试验。申请第二类、第三类医疗器械产品注册，应当进行临床试验</w:t>
            </w:r>
            <w:r>
              <w:rPr>
                <w:spacing w:val="-3"/>
              </w:rPr>
              <w:t>。第十八条：</w:t>
            </w:r>
            <w:r>
              <w:rPr/>
              <w:t xml:space="preserve"> </w:t>
            </w:r>
            <w:r>
              <w:rPr>
                <w:spacing w:val="-2"/>
              </w:rPr>
              <w:t>开展医疗器械临床试验，应当按照医疗器械临床试验质量管理规范的要求，在有资质的临床  </w:t>
            </w:r>
            <w:r>
              <w:rPr>
                <w:spacing w:val="-2"/>
              </w:rPr>
              <w:t>试验机构进行，并向临床试验提出者所在地省、自治区、直辖市人民政府食品药品监督管理  </w:t>
            </w:r>
            <w:r>
              <w:rPr>
                <w:spacing w:val="-3"/>
              </w:rPr>
              <w:t>部门备案。</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56224"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412" name="TextBox 412"/>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4" style="position:absolute;margin-left:37.0402pt;margin-top:48.636pt;mso-position-vertical-relative:page;mso-position-horizontal-relative:page;width:13.6pt;height:12.35pt;z-index:25195622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294</w:t>
                      </w:r>
                    </w:p>
                  </w:txbxContent>
                </v:textbox>
              </v:shape>
            </w:pict>
          </mc:Fallback>
        </mc:AlternateContent>
      </w:r>
      <w:r/>
    </w:p>
    <w:p>
      <w:pPr>
        <w:spacing w:before="51"/>
        <w:rPr/>
      </w:pPr>
      <w:r/>
    </w:p>
    <w:tbl>
      <w:tblPr>
        <w:tblStyle w:val="TableNormal"/>
        <w:tblW w:w="9660"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99"/>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52" w:right="5" w:hanging="40"/>
              <w:spacing w:before="60" w:line="245" w:lineRule="auto"/>
              <w:rPr/>
            </w:pPr>
            <w:r>
              <w:rPr>
                <w:spacing w:val="1"/>
              </w:rPr>
              <w:t>中介服务</w:t>
            </w:r>
            <w:r>
              <w:rPr>
                <w:spacing w:val="2"/>
              </w:rPr>
              <w:t xml:space="preserve"> </w:t>
            </w:r>
            <w:r>
              <w:rPr>
                <w:spacing w:val="-3"/>
              </w:rPr>
              <w:t>实施机构</w:t>
            </w:r>
          </w:p>
        </w:tc>
        <w:tc>
          <w:tcPr>
            <w:tcW w:w="6099"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464" w:lineRule="auto"/>
              <w:rPr>
                <w:rFonts w:ascii="Arial"/>
                <w:sz w:val="21"/>
              </w:rPr>
            </w:pPr>
            <w:r/>
          </w:p>
          <w:p>
            <w:pPr>
              <w:pStyle w:val="TableText"/>
              <w:ind w:left="65"/>
              <w:spacing w:before="48" w:line="183" w:lineRule="auto"/>
              <w:rPr/>
            </w:pPr>
            <w:r>
              <w:rPr>
                <w:spacing w:val="-2"/>
              </w:rPr>
              <w:t>47</w:t>
            </w:r>
          </w:p>
        </w:tc>
        <w:tc>
          <w:tcPr>
            <w:tcW w:w="659" w:type="dxa"/>
            <w:vAlign w:val="top"/>
          </w:tcPr>
          <w:p>
            <w:pPr>
              <w:spacing w:line="415" w:lineRule="auto"/>
              <w:rPr>
                <w:rFonts w:ascii="Arial"/>
                <w:sz w:val="21"/>
              </w:rPr>
            </w:pPr>
            <w:r/>
          </w:p>
          <w:p>
            <w:pPr>
              <w:pStyle w:val="TableText"/>
              <w:ind w:left="20" w:right="35"/>
              <w:spacing w:before="49" w:line="258" w:lineRule="auto"/>
              <w:jc w:val="both"/>
              <w:rPr/>
            </w:pPr>
            <w:r>
              <w:rPr>
                <w:spacing w:val="-3"/>
              </w:rPr>
              <w:t>外资银行</w:t>
            </w:r>
            <w:r>
              <w:rPr>
                <w:spacing w:val="2"/>
              </w:rPr>
              <w:t xml:space="preserve"> </w:t>
            </w:r>
            <w:r>
              <w:rPr>
                <w:spacing w:val="-3"/>
              </w:rPr>
              <w:t>营业性机</w:t>
            </w:r>
            <w:r>
              <w:rPr/>
              <w:t xml:space="preserve"> </w:t>
            </w:r>
            <w:r>
              <w:rPr>
                <w:spacing w:val="-2"/>
              </w:rPr>
              <w:t>构及其分</w:t>
            </w:r>
            <w:r>
              <w:rPr/>
              <w:t xml:space="preserve"> </w:t>
            </w:r>
            <w:r>
              <w:rPr>
                <w:spacing w:val="-2"/>
              </w:rPr>
              <w:t>支机构年</w:t>
            </w:r>
            <w:r>
              <w:rPr/>
              <w:t xml:space="preserve"> </w:t>
            </w:r>
            <w:r>
              <w:rPr>
                <w:spacing w:val="-2"/>
              </w:rPr>
              <w:t>报编制</w:t>
            </w:r>
          </w:p>
        </w:tc>
        <w:tc>
          <w:tcPr>
            <w:tcW w:w="1109" w:type="dxa"/>
            <w:vAlign w:val="top"/>
          </w:tcPr>
          <w:p>
            <w:pPr>
              <w:spacing w:line="425" w:lineRule="auto"/>
              <w:rPr>
                <w:rFonts w:ascii="Arial"/>
                <w:sz w:val="21"/>
              </w:rPr>
            </w:pPr>
            <w:r/>
          </w:p>
          <w:p>
            <w:pPr>
              <w:pStyle w:val="TableText"/>
              <w:ind w:left="20" w:right="33" w:firstLine="20"/>
              <w:spacing w:before="48" w:line="256" w:lineRule="auto"/>
              <w:jc w:val="both"/>
              <w:rPr/>
            </w:pPr>
            <w:r>
              <w:rPr>
                <w:spacing w:val="20"/>
              </w:rPr>
              <w:t>(43003)外资</w:t>
            </w:r>
            <w:r>
              <w:rPr>
                <w:spacing w:val="4"/>
              </w:rPr>
              <w:t xml:space="preserve"> </w:t>
            </w:r>
            <w:r>
              <w:rPr>
                <w:spacing w:val="-1"/>
              </w:rPr>
              <w:t>银行营业性机构</w:t>
            </w:r>
            <w:r>
              <w:rPr/>
              <w:t xml:space="preserve"> </w:t>
            </w:r>
            <w:r>
              <w:rPr>
                <w:spacing w:val="-1"/>
              </w:rPr>
              <w:t>及其分支机构设</w:t>
            </w:r>
            <w:r>
              <w:rPr/>
              <w:t xml:space="preserve"> </w:t>
            </w:r>
            <w:r>
              <w:rPr>
                <w:spacing w:val="-1"/>
              </w:rPr>
              <w:t>立、变更及终止</w:t>
            </w:r>
            <w:r>
              <w:rPr/>
              <w:t xml:space="preserve"> </w:t>
            </w:r>
            <w:r>
              <w:rPr>
                <w:spacing w:val="3"/>
              </w:rPr>
              <w:t>审批</w:t>
            </w:r>
          </w:p>
        </w:tc>
        <w:tc>
          <w:tcPr>
            <w:tcW w:w="839" w:type="dxa"/>
            <w:vAlign w:val="top"/>
          </w:tcPr>
          <w:p>
            <w:pPr>
              <w:spacing w:line="385" w:lineRule="auto"/>
              <w:rPr>
                <w:rFonts w:ascii="Arial"/>
                <w:sz w:val="21"/>
              </w:rPr>
            </w:pPr>
            <w:r/>
          </w:p>
          <w:p>
            <w:pPr>
              <w:pStyle w:val="TableText"/>
              <w:ind w:left="182"/>
              <w:spacing w:before="48" w:line="219" w:lineRule="auto"/>
              <w:rPr/>
            </w:pPr>
            <w:r>
              <w:rPr>
                <w:spacing w:val="-2"/>
              </w:rPr>
              <w:t>银监会</w:t>
            </w:r>
          </w:p>
        </w:tc>
        <w:tc>
          <w:tcPr>
            <w:tcW w:w="659" w:type="dxa"/>
            <w:vAlign w:val="top"/>
          </w:tcPr>
          <w:p>
            <w:pPr>
              <w:spacing w:line="415" w:lineRule="auto"/>
              <w:rPr>
                <w:rFonts w:ascii="Arial"/>
                <w:sz w:val="21"/>
              </w:rPr>
            </w:pPr>
            <w:r/>
          </w:p>
          <w:p>
            <w:pPr>
              <w:pStyle w:val="TableText"/>
              <w:ind w:left="12" w:firstLine="39"/>
              <w:spacing w:before="49" w:line="258" w:lineRule="auto"/>
              <w:jc w:val="both"/>
              <w:rPr/>
            </w:pPr>
            <w:r>
              <w:rPr>
                <w:spacing w:val="-2"/>
              </w:rPr>
              <w:t>申请人所</w:t>
            </w:r>
            <w:r>
              <w:rPr>
                <w:spacing w:val="1"/>
              </w:rPr>
              <w:t xml:space="preserve"> </w:t>
            </w:r>
            <w:r>
              <w:rPr>
                <w:spacing w:val="5"/>
              </w:rPr>
              <w:t>在国家或</w:t>
            </w:r>
            <w:r>
              <w:rPr>
                <w:spacing w:val="2"/>
              </w:rPr>
              <w:t xml:space="preserve"> </w:t>
            </w:r>
            <w:r>
              <w:rPr>
                <w:spacing w:val="5"/>
              </w:rPr>
              <w:t>地区认可</w:t>
            </w:r>
            <w:r>
              <w:rPr>
                <w:spacing w:val="1"/>
              </w:rPr>
              <w:t xml:space="preserve"> </w:t>
            </w:r>
            <w:r>
              <w:rPr>
                <w:spacing w:val="9"/>
              </w:rPr>
              <w:t>的会计师</w:t>
            </w:r>
            <w:r>
              <w:rPr/>
              <w:t xml:space="preserve"> </w:t>
            </w:r>
            <w:r>
              <w:rPr>
                <w:spacing w:val="-4"/>
              </w:rPr>
              <w:t>事务所</w:t>
            </w:r>
          </w:p>
        </w:tc>
        <w:tc>
          <w:tcPr>
            <w:tcW w:w="6099" w:type="dxa"/>
            <w:vAlign w:val="top"/>
          </w:tcPr>
          <w:p>
            <w:pPr>
              <w:spacing w:line="414" w:lineRule="auto"/>
              <w:rPr>
                <w:rFonts w:ascii="Arial"/>
                <w:sz w:val="21"/>
              </w:rPr>
            </w:pPr>
            <w:r/>
          </w:p>
          <w:p>
            <w:pPr>
              <w:pStyle w:val="TableText"/>
              <w:ind w:left="43"/>
              <w:spacing w:before="49" w:line="219" w:lineRule="auto"/>
              <w:rPr/>
            </w:pPr>
            <w:r>
              <w:rPr>
                <w:spacing w:val="-2"/>
              </w:rPr>
              <w:t>1. 《中华人民共和国外资银行管理条例》(国务院令第657号)第十四条：设立外资银行营</w:t>
            </w:r>
          </w:p>
          <w:p>
            <w:pPr>
              <w:pStyle w:val="TableText"/>
              <w:ind w:left="14" w:right="5" w:firstLine="29"/>
              <w:spacing w:before="33" w:line="257" w:lineRule="auto"/>
              <w:rPr/>
            </w:pPr>
            <w:r>
              <w:rPr/>
              <w:t>业性机构，应当先申请筹建，并将下列申请资料报送拟设</w:t>
            </w:r>
            <w:r>
              <w:rPr>
                <w:spacing w:val="-1"/>
              </w:rPr>
              <w:t>机构所在地的银行业监督管理机构 </w:t>
            </w:r>
            <w:r>
              <w:rPr>
                <w:spacing w:val="-3"/>
              </w:rPr>
              <w:t>(七)拟设外商独资银行、中外合资银行的</w:t>
            </w:r>
            <w:r>
              <w:rPr>
                <w:spacing w:val="-4"/>
              </w:rPr>
              <w:t>股东或者拟设分行的外国银行最近3年的年报；2.《中</w:t>
            </w:r>
            <w:r>
              <w:rPr/>
              <w:t xml:space="preserve"> </w:t>
            </w:r>
            <w:r>
              <w:rPr/>
              <w:t>国银监会外资银行行政许可事项实施办法》(银监会令2015年第4号)第七条：本办法所</w:t>
            </w:r>
          </w:p>
          <w:p>
            <w:pPr>
              <w:pStyle w:val="TableText"/>
              <w:ind w:left="34"/>
              <w:spacing w:before="32" w:line="219" w:lineRule="auto"/>
              <w:rPr/>
            </w:pPr>
            <w:r>
              <w:rPr/>
              <w:t>称年报应当经审计，并附申请人所在国家或者地区认可的会计师事务所出</w:t>
            </w:r>
            <w:r>
              <w:rPr>
                <w:spacing w:val="-1"/>
              </w:rPr>
              <w:t>具的审计意见书</w:t>
            </w:r>
          </w:p>
          <w:p>
            <w:pPr>
              <w:pStyle w:val="TableText"/>
              <w:ind w:left="73" w:right="50" w:hanging="30"/>
              <w:spacing w:before="51" w:line="245" w:lineRule="auto"/>
              <w:rPr/>
            </w:pPr>
            <w:r>
              <w:rPr/>
              <w:t>第十七条：申请筹建外商独资银行、中外合资银行，申请人应当向拟设机构</w:t>
            </w:r>
            <w:r>
              <w:rPr>
                <w:spacing w:val="-1"/>
              </w:rPr>
              <w:t>所在地银监局提</w:t>
            </w:r>
            <w:r>
              <w:rPr/>
              <w:t xml:space="preserve"> </w:t>
            </w:r>
            <w:r>
              <w:rPr>
                <w:spacing w:val="-3"/>
              </w:rPr>
              <w:t>交下列申请资料：    (七)拟设机构各股东最近3年年报；第二十五条：申请改</w:t>
            </w:r>
            <w:r>
              <w:rPr>
                <w:spacing w:val="-4"/>
              </w:rPr>
              <w:t>制筹建外商独</w:t>
            </w:r>
          </w:p>
          <w:p>
            <w:pPr>
              <w:pStyle w:val="TableText"/>
              <w:ind w:left="34" w:right="137" w:firstLine="79"/>
              <w:spacing w:before="32" w:line="244" w:lineRule="auto"/>
              <w:rPr/>
            </w:pPr>
            <w:r>
              <w:rPr/>
              <w:t>资银行，申请人应当向拟设机构所在地银监局提交下列改制</w:t>
            </w:r>
            <w:r>
              <w:rPr>
                <w:spacing w:val="-1"/>
              </w:rPr>
              <w:t>筹建申请资料：(七)申请人提</w:t>
            </w:r>
            <w:r>
              <w:rPr/>
              <w:t xml:space="preserve"> </w:t>
            </w:r>
            <w:r>
              <w:rPr/>
              <w:t>出申请前2年在中国境内所有分行经审计的合并财务会计报告；(九)申请人最近3年年报</w:t>
            </w:r>
          </w:p>
          <w:p>
            <w:pPr>
              <w:pStyle w:val="TableText"/>
              <w:ind w:left="43"/>
              <w:spacing w:before="43" w:line="219" w:lineRule="auto"/>
              <w:rPr/>
            </w:pPr>
            <w:r>
              <w:rPr/>
              <w:t>第三十五条申请筹建外国银行分行，申请人应当向拟设机构所在地银监局报</w:t>
            </w:r>
            <w:r>
              <w:rPr>
                <w:spacing w:val="-1"/>
              </w:rPr>
              <w:t>送下列申请资料</w:t>
            </w:r>
          </w:p>
          <w:p>
            <w:pPr>
              <w:pStyle w:val="TableText"/>
              <w:ind w:left="43" w:right="157" w:firstLine="110"/>
              <w:spacing w:before="42" w:line="251" w:lineRule="auto"/>
              <w:rPr/>
            </w:pPr>
            <w:r>
              <w:rPr/>
              <w:t>(五)申请人最近3年年报；第四十三条：申请筹建外商独资银行分行、中外合资银行分行</w:t>
            </w:r>
            <w:r>
              <w:rPr>
                <w:spacing w:val="1"/>
              </w:rPr>
              <w:t xml:space="preserve"> </w:t>
            </w:r>
            <w:r>
              <w:rPr/>
              <w:t>申请人应当向拟设机构所在地银监局报送下列申请资料：(四)申请人年报；第五十二条</w:t>
            </w:r>
          </w:p>
          <w:p>
            <w:pPr>
              <w:pStyle w:val="TableText"/>
              <w:ind w:left="34" w:right="32" w:firstLine="9"/>
              <w:spacing w:before="43" w:line="244" w:lineRule="auto"/>
              <w:rPr/>
            </w:pPr>
            <w:r>
              <w:rPr/>
              <w:t>申请筹建支行，申请人应当向拟设机构所在地银监局或者经授权的银监会派出机构提交下列</w:t>
            </w:r>
            <w:r>
              <w:rPr>
                <w:spacing w:val="11"/>
              </w:rPr>
              <w:t xml:space="preserve"> </w:t>
            </w:r>
            <w:r>
              <w:rPr/>
              <w:t>申请资料(三)申请人最近1年经审计的财务会计报告；香港、澳门地区的银行在广东省内</w:t>
            </w:r>
          </w:p>
          <w:p>
            <w:pPr>
              <w:pStyle w:val="TableText"/>
              <w:ind w:left="43" w:right="38" w:firstLine="30"/>
              <w:spacing w:before="43" w:line="254" w:lineRule="auto"/>
              <w:rPr/>
            </w:pPr>
            <w:r>
              <w:rPr/>
              <w:t>分行或者香港、澳门地区的银行在内地设立的外商独资银行在广东省内</w:t>
            </w:r>
            <w:r>
              <w:rPr>
                <w:spacing w:val="-1"/>
              </w:rPr>
              <w:t>分行最近1年经审计</w:t>
            </w:r>
            <w:r>
              <w:rPr/>
              <w:t xml:space="preserve">  </w:t>
            </w:r>
            <w:r>
              <w:rPr/>
              <w:t>的财务会计报告；第六十条：申请设立外国银行代表处，申请人应当向拟设机构所在地银监</w:t>
            </w:r>
            <w:r>
              <w:rPr>
                <w:spacing w:val="5"/>
              </w:rPr>
              <w:t xml:space="preserve"> </w:t>
            </w:r>
            <w:r>
              <w:rPr>
                <w:spacing w:val="-2"/>
              </w:rPr>
              <w:t>局提交下列申请资料：</w:t>
            </w:r>
            <w:r>
              <w:rPr>
                <w:spacing w:val="22"/>
                <w:w w:val="101"/>
              </w:rPr>
              <w:t xml:space="preserve">   </w:t>
            </w:r>
            <w:r>
              <w:rPr>
                <w:spacing w:val="-2"/>
              </w:rPr>
              <w:t>(六)申请人最近3年年报</w:t>
            </w:r>
            <w:r>
              <w:rPr>
                <w:spacing w:val="-3"/>
              </w:rPr>
              <w:t>；第六十七条：外商独资银行、中外合资</w:t>
            </w:r>
          </w:p>
          <w:p>
            <w:pPr>
              <w:pStyle w:val="TableText"/>
              <w:ind w:left="34" w:right="92" w:firstLine="79"/>
              <w:spacing w:before="31" w:line="251" w:lineRule="auto"/>
              <w:rPr/>
            </w:pPr>
            <w:r>
              <w:rPr>
                <w:spacing w:val="1"/>
              </w:rPr>
              <w:t>银行申请变更股东或者调整股东持股比例，应当向所在地银监局提交下</w:t>
            </w:r>
            <w:r>
              <w:rPr/>
              <w:t>列申请资料：(七) </w:t>
            </w:r>
            <w:r>
              <w:rPr>
                <w:spacing w:val="-3"/>
              </w:rPr>
              <w:t>拟受让方或者承继方的……、最近3年年报、</w:t>
            </w:r>
            <w:r>
              <w:rPr>
                <w:spacing w:val="38"/>
              </w:rPr>
              <w:t xml:space="preserve"> </w:t>
            </w:r>
            <w:r>
              <w:rPr>
                <w:spacing w:val="-3"/>
              </w:rPr>
              <w:t>……;第八十条：外商独资银行股东、中外合</w:t>
            </w:r>
          </w:p>
          <w:p>
            <w:pPr>
              <w:pStyle w:val="TableText"/>
              <w:spacing w:before="22" w:line="219" w:lineRule="auto"/>
              <w:jc w:val="right"/>
              <w:rPr/>
            </w:pPr>
            <w:r>
              <w:rPr>
                <w:spacing w:val="-3"/>
              </w:rPr>
              <w:t>资银行股东、外国银行因合并、分立、重组等原因申请变更其在中国境内机构名称，应当……</w:t>
            </w:r>
          </w:p>
          <w:p>
            <w:pPr>
              <w:pStyle w:val="TableText"/>
              <w:ind w:left="34" w:right="343" w:firstLine="19"/>
              <w:spacing w:before="52" w:line="250" w:lineRule="auto"/>
              <w:rPr/>
            </w:pPr>
            <w:r>
              <w:rPr/>
              <w:t>于30日内将下列申请资料报送银监会；(六)外商独资银行股东、</w:t>
            </w:r>
            <w:r>
              <w:rPr>
                <w:spacing w:val="-1"/>
              </w:rPr>
              <w:t>中外合资银行股东、外</w:t>
            </w:r>
            <w:r>
              <w:rPr/>
              <w:t xml:space="preserve"> </w:t>
            </w:r>
            <w:r>
              <w:rPr/>
              <w:t>国银行的合并财务会计报告</w:t>
            </w:r>
          </w:p>
        </w:tc>
      </w:tr>
    </w:tbl>
    <w:p>
      <w:pPr>
        <w:pStyle w:val="BodyText"/>
        <w:rPr/>
      </w:pPr>
      <w:r/>
    </w:p>
    <w:p>
      <w:pPr>
        <w:sectPr>
          <w:pgSz w:w="11910" w:h="8220"/>
          <w:pgMar w:top="400" w:right="1114" w:bottom="400" w:left="821" w:header="0" w:footer="0" w:gutter="0"/>
        </w:sectPr>
        <w:rPr/>
      </w:pPr>
    </w:p>
    <w:p>
      <w:pPr>
        <w:spacing w:before="173"/>
        <w:rPr/>
      </w:pPr>
      <w:r>
        <mc:AlternateContent xmlns:mc="http://schemas.openxmlformats.org/markup-compatibility/2006">
          <mc:Choice Requires="wps">
            <w:drawing>
              <wp:anchor distT="0" distB="0" distL="0" distR="0" simplePos="0" relativeHeight="251957248"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414" name="TextBox 41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6" style="position:absolute;margin-left:37.0402pt;margin-top:345.135pt;mso-position-vertical-relative:page;mso-position-horizontal-relative:page;width:13.6pt;height:12.35pt;z-index:25195724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295</w:t>
                      </w:r>
                    </w:p>
                  </w:txbxContent>
                </v:textbox>
              </v:shape>
            </w:pict>
          </mc:Fallback>
        </mc:AlternateContent>
      </w: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88"/>
      </w:tblGrid>
      <w:tr>
        <w:trPr>
          <w:trHeight w:val="494" w:hRule="atLeast"/>
        </w:trPr>
        <w:tc>
          <w:tcPr>
            <w:tcW w:w="295" w:type="dxa"/>
            <w:vAlign w:val="top"/>
            <w:textDirection w:val="tbRlV"/>
          </w:tcPr>
          <w:p>
            <w:pPr>
              <w:pStyle w:val="TableText"/>
              <w:ind w:left="57"/>
              <w:spacing w:before="70" w:line="217" w:lineRule="auto"/>
              <w:rPr/>
            </w:pPr>
            <w:r>
              <w:rPr>
                <w:spacing w:val="-2"/>
              </w:rPr>
              <w:t>序 号</w:t>
            </w:r>
          </w:p>
        </w:tc>
        <w:tc>
          <w:tcPr>
            <w:tcW w:w="679" w:type="dxa"/>
            <w:vAlign w:val="top"/>
          </w:tcPr>
          <w:p>
            <w:pPr>
              <w:pStyle w:val="TableText"/>
              <w:ind w:left="30" w:right="32"/>
              <w:spacing w:before="70" w:line="252" w:lineRule="auto"/>
              <w:rPr/>
            </w:pPr>
            <w:r>
              <w:rPr>
                <w:spacing w:val="1"/>
              </w:rPr>
              <w:t>中介服务 </w:t>
            </w:r>
            <w:r>
              <w:rPr>
                <w:spacing w:val="-2"/>
              </w:rPr>
              <w:t>事项名称</w:t>
            </w:r>
          </w:p>
        </w:tc>
        <w:tc>
          <w:tcPr>
            <w:tcW w:w="1099" w:type="dxa"/>
            <w:vAlign w:val="top"/>
          </w:tcPr>
          <w:p>
            <w:pPr>
              <w:pStyle w:val="TableText"/>
              <w:ind w:left="239" w:right="35" w:hanging="229"/>
              <w:spacing w:before="7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71" w:line="219" w:lineRule="auto"/>
              <w:rPr/>
            </w:pPr>
            <w:r>
              <w:rPr>
                <w:spacing w:val="4"/>
              </w:rPr>
              <w:t>审批部门</w:t>
            </w:r>
          </w:p>
        </w:tc>
        <w:tc>
          <w:tcPr>
            <w:tcW w:w="659" w:type="dxa"/>
            <w:vAlign w:val="top"/>
          </w:tcPr>
          <w:p>
            <w:pPr>
              <w:pStyle w:val="TableText"/>
              <w:ind w:left="22" w:right="18"/>
              <w:spacing w:before="8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70" w:line="219" w:lineRule="auto"/>
              <w:rPr/>
            </w:pPr>
            <w:r>
              <w:rPr>
                <w:spacing w:val="-2"/>
              </w:rPr>
              <w:t>设定依据</w:t>
            </w:r>
          </w:p>
        </w:tc>
      </w:tr>
      <w:tr>
        <w:trPr>
          <w:trHeight w:val="2326" w:hRule="atLeast"/>
        </w:trPr>
        <w:tc>
          <w:tcPr>
            <w:tcW w:w="295" w:type="dxa"/>
            <w:vAlign w:val="top"/>
          </w:tcPr>
          <w:p>
            <w:pPr>
              <w:pStyle w:val="TableText"/>
              <w:ind w:left="65"/>
              <w:spacing w:before="165" w:line="183" w:lineRule="auto"/>
              <w:rPr/>
            </w:pPr>
            <w:r>
              <w:rPr>
                <w:spacing w:val="-2"/>
              </w:rPr>
              <w:t>48</w:t>
            </w:r>
          </w:p>
        </w:tc>
        <w:tc>
          <w:tcPr>
            <w:tcW w:w="679" w:type="dxa"/>
            <w:vAlign w:val="top"/>
          </w:tcPr>
          <w:p>
            <w:pPr>
              <w:pStyle w:val="TableText"/>
              <w:ind w:left="30" w:right="43"/>
              <w:spacing w:before="115" w:line="262" w:lineRule="auto"/>
              <w:jc w:val="both"/>
              <w:rPr/>
            </w:pPr>
            <w:r>
              <w:rPr>
                <w:spacing w:val="-3"/>
              </w:rPr>
              <w:t>外资银行</w:t>
            </w:r>
            <w:r>
              <w:rPr>
                <w:spacing w:val="2"/>
              </w:rPr>
              <w:t xml:space="preserve"> </w:t>
            </w:r>
            <w:r>
              <w:rPr>
                <w:spacing w:val="-3"/>
              </w:rPr>
              <w:t>营业性机</w:t>
            </w:r>
            <w:r>
              <w:rPr/>
              <w:t xml:space="preserve"> </w:t>
            </w:r>
            <w:r>
              <w:rPr>
                <w:spacing w:val="-2"/>
              </w:rPr>
              <w:t>构及其分</w:t>
            </w:r>
            <w:r>
              <w:rPr/>
              <w:t xml:space="preserve"> </w:t>
            </w:r>
            <w:r>
              <w:rPr>
                <w:spacing w:val="-2"/>
              </w:rPr>
              <w:t>支机构开</w:t>
            </w:r>
            <w:r>
              <w:rPr/>
              <w:t xml:space="preserve"> </w:t>
            </w:r>
            <w:r>
              <w:rPr>
                <w:spacing w:val="-2"/>
              </w:rPr>
              <w:t>业前审计</w:t>
            </w:r>
            <w:r>
              <w:rPr>
                <w:spacing w:val="1"/>
              </w:rPr>
              <w:t xml:space="preserve"> </w:t>
            </w:r>
            <w:r>
              <w:rPr>
                <w:spacing w:val="-2"/>
              </w:rPr>
              <w:t>报告编制</w:t>
            </w:r>
          </w:p>
        </w:tc>
        <w:tc>
          <w:tcPr>
            <w:tcW w:w="1099" w:type="dxa"/>
            <w:vAlign w:val="top"/>
          </w:tcPr>
          <w:p>
            <w:pPr>
              <w:pStyle w:val="TableText"/>
              <w:ind w:left="10" w:right="33" w:firstLine="30"/>
              <w:spacing w:before="116" w:line="261" w:lineRule="auto"/>
              <w:jc w:val="both"/>
              <w:rPr/>
            </w:pPr>
            <w:r>
              <w:rPr>
                <w:spacing w:val="20"/>
              </w:rPr>
              <w:t>(43003)外资</w:t>
            </w:r>
            <w:r>
              <w:rPr>
                <w:spacing w:val="4"/>
              </w:rPr>
              <w:t xml:space="preserve"> </w:t>
            </w:r>
            <w:r>
              <w:rPr>
                <w:spacing w:val="-1"/>
              </w:rPr>
              <w:t>银行营业性机构</w:t>
            </w:r>
            <w:r>
              <w:rPr/>
              <w:t xml:space="preserve"> </w:t>
            </w:r>
            <w:r>
              <w:rPr>
                <w:spacing w:val="-1"/>
              </w:rPr>
              <w:t>及其分支机构设</w:t>
            </w:r>
            <w:r>
              <w:rPr/>
              <w:t xml:space="preserve"> </w:t>
            </w:r>
            <w:r>
              <w:rPr>
                <w:spacing w:val="-1"/>
              </w:rPr>
              <w:t>立、变更及终止</w:t>
            </w:r>
            <w:r>
              <w:rPr/>
              <w:t xml:space="preserve"> </w:t>
            </w:r>
            <w:r>
              <w:rPr>
                <w:spacing w:val="-4"/>
              </w:rPr>
              <w:t>审批</w:t>
            </w:r>
          </w:p>
        </w:tc>
        <w:tc>
          <w:tcPr>
            <w:tcW w:w="839" w:type="dxa"/>
            <w:vAlign w:val="top"/>
          </w:tcPr>
          <w:p>
            <w:pPr>
              <w:pStyle w:val="TableText"/>
              <w:ind w:left="182"/>
              <w:spacing w:before="116" w:line="219" w:lineRule="auto"/>
              <w:rPr/>
            </w:pPr>
            <w:r>
              <w:rPr>
                <w:spacing w:val="-2"/>
              </w:rPr>
              <w:t>银监会</w:t>
            </w:r>
          </w:p>
        </w:tc>
        <w:tc>
          <w:tcPr>
            <w:tcW w:w="659" w:type="dxa"/>
            <w:vAlign w:val="top"/>
          </w:tcPr>
          <w:p>
            <w:pPr>
              <w:pStyle w:val="TableText"/>
              <w:ind w:left="22" w:right="18"/>
              <w:spacing w:before="136" w:line="255" w:lineRule="auto"/>
              <w:jc w:val="both"/>
              <w:rPr/>
            </w:pPr>
            <w:r>
              <w:rPr>
                <w:spacing w:val="-2"/>
              </w:rPr>
              <w:t>在中国境</w:t>
            </w:r>
            <w:r>
              <w:rPr>
                <w:spacing w:val="1"/>
              </w:rPr>
              <w:t xml:space="preserve"> </w:t>
            </w:r>
            <w:r>
              <w:rPr>
                <w:spacing w:val="1"/>
              </w:rPr>
              <w:t>内依法设</w:t>
            </w:r>
            <w:r>
              <w:rPr>
                <w:spacing w:val="2"/>
              </w:rPr>
              <w:t xml:space="preserve"> </w:t>
            </w:r>
            <w:r>
              <w:rPr>
                <w:spacing w:val="-2"/>
              </w:rPr>
              <w:t>立的会计</w:t>
            </w:r>
            <w:r>
              <w:rPr>
                <w:spacing w:val="1"/>
              </w:rPr>
              <w:t xml:space="preserve"> </w:t>
            </w:r>
            <w:r>
              <w:rPr>
                <w:spacing w:val="-2"/>
              </w:rPr>
              <w:t>师事务所</w:t>
            </w:r>
          </w:p>
        </w:tc>
        <w:tc>
          <w:tcPr>
            <w:tcW w:w="6088" w:type="dxa"/>
            <w:vAlign w:val="top"/>
          </w:tcPr>
          <w:p>
            <w:pPr>
              <w:pStyle w:val="TableText"/>
              <w:ind w:left="24" w:right="38" w:firstLine="14"/>
              <w:spacing w:before="136" w:line="253" w:lineRule="auto"/>
              <w:rPr/>
            </w:pPr>
            <w:r>
              <w:rPr/>
              <w:t>《外资银行行政许可事项实施办法》(银监会令2015年第</w:t>
            </w:r>
            <w:r>
              <w:rPr>
                <w:spacing w:val="-1"/>
              </w:rPr>
              <w:t>4号)第二十条：拟设外商独资银行</w:t>
            </w:r>
            <w:r>
              <w:rPr/>
              <w:t xml:space="preserve">  </w:t>
            </w:r>
            <w:r>
              <w:rPr/>
              <w:t>中外合资银行申请开业，应当将开业验收合格意见书连同下列申请资料报送拟设机构所在地</w:t>
            </w:r>
            <w:r>
              <w:rPr>
                <w:spacing w:val="14"/>
              </w:rPr>
              <w:t xml:space="preserve"> </w:t>
            </w:r>
            <w:r>
              <w:rPr/>
              <w:t>银监局：(四)开业前审计报告和法定验资机构出具的验资证明；第二十</w:t>
            </w:r>
            <w:r>
              <w:rPr>
                <w:spacing w:val="-1"/>
              </w:rPr>
              <w:t>八条：由外国银行</w:t>
            </w:r>
          </w:p>
          <w:p>
            <w:pPr>
              <w:pStyle w:val="TableText"/>
              <w:ind w:left="24" w:right="49" w:firstLine="10"/>
              <w:spacing w:before="22" w:line="262" w:lineRule="auto"/>
              <w:rPr/>
            </w:pPr>
            <w:r>
              <w:rPr/>
              <w:t>在中国境内分行改制的外商独资银行申请开业，应当将开业验收合格意见书</w:t>
            </w:r>
            <w:r>
              <w:rPr>
                <w:spacing w:val="-1"/>
              </w:rPr>
              <w:t>连同下列申请资</w:t>
            </w:r>
            <w:r>
              <w:rPr/>
              <w:t xml:space="preserve"> </w:t>
            </w:r>
            <w:r>
              <w:rPr>
                <w:spacing w:val="-3"/>
              </w:rPr>
              <w:t>料报送拟设机构所在地银监局：</w:t>
            </w:r>
            <w:r>
              <w:rPr>
                <w:spacing w:val="22"/>
              </w:rPr>
              <w:t xml:space="preserve">   </w:t>
            </w:r>
            <w:r>
              <w:rPr>
                <w:spacing w:val="-3"/>
              </w:rPr>
              <w:t>(五)开业前审</w:t>
            </w:r>
            <w:r>
              <w:rPr>
                <w:spacing w:val="-4"/>
              </w:rPr>
              <w:t>计报告和法定验资机构出具的验资证明；第</w:t>
            </w:r>
            <w:r>
              <w:rPr>
                <w:spacing w:val="1"/>
              </w:rPr>
              <w:t xml:space="preserve"> </w:t>
            </w:r>
            <w:r>
              <w:rPr/>
              <w:t>三十八条：拟设外国银行分行申请开业，应当将开业验收合格意见书连同下列申请资料报送</w:t>
            </w:r>
            <w:r>
              <w:rPr>
                <w:spacing w:val="3"/>
              </w:rPr>
              <w:t xml:space="preserve"> </w:t>
            </w:r>
            <w:r>
              <w:rPr>
                <w:spacing w:val="-3"/>
              </w:rPr>
              <w:t>拟设机构所在地银监局：</w:t>
            </w:r>
            <w:r>
              <w:rPr>
                <w:spacing w:val="22"/>
              </w:rPr>
              <w:t xml:space="preserve">   </w:t>
            </w:r>
            <w:r>
              <w:rPr>
                <w:spacing w:val="-3"/>
              </w:rPr>
              <w:t>(四)开业前审计报告</w:t>
            </w:r>
            <w:r>
              <w:rPr>
                <w:spacing w:val="-4"/>
              </w:rPr>
              <w:t>和法定验资机构出具的验资证明；第四十六</w:t>
            </w:r>
            <w:r>
              <w:rPr>
                <w:spacing w:val="1"/>
              </w:rPr>
              <w:t xml:space="preserve"> </w:t>
            </w:r>
            <w:r>
              <w:rPr/>
              <w:t>条拟设外商独资银行分行、中外合资银行分行申请开业，应当将开业验收合格意见书连同下</w:t>
            </w:r>
            <w:r>
              <w:rPr>
                <w:spacing w:val="1"/>
              </w:rPr>
              <w:t xml:space="preserve"> </w:t>
            </w:r>
            <w:r>
              <w:rPr/>
              <w:t>列申请资料报送拟设机构所在地银监局：(四)开业前审计报告和法</w:t>
            </w:r>
            <w:r>
              <w:rPr>
                <w:spacing w:val="-1"/>
              </w:rPr>
              <w:t>定验资机构出具的验资</w:t>
            </w:r>
          </w:p>
          <w:p>
            <w:pPr>
              <w:pStyle w:val="TableText"/>
              <w:ind w:left="14"/>
              <w:spacing w:before="34" w:line="219" w:lineRule="auto"/>
              <w:rPr/>
            </w:pPr>
            <w:r>
              <w:rPr>
                <w:spacing w:val="-2"/>
              </w:rPr>
              <w:t>证明。</w:t>
            </w:r>
          </w:p>
        </w:tc>
      </w:tr>
      <w:tr>
        <w:trPr>
          <w:trHeight w:val="3669" w:hRule="atLeast"/>
        </w:trPr>
        <w:tc>
          <w:tcPr>
            <w:tcW w:w="295" w:type="dxa"/>
            <w:vAlign w:val="top"/>
          </w:tcPr>
          <w:p>
            <w:pPr>
              <w:pStyle w:val="TableText"/>
              <w:ind w:left="65"/>
              <w:spacing w:before="199" w:line="183" w:lineRule="auto"/>
              <w:rPr/>
            </w:pPr>
            <w:r>
              <w:rPr>
                <w:spacing w:val="-2"/>
              </w:rPr>
              <w:t>49</w:t>
            </w:r>
          </w:p>
        </w:tc>
        <w:tc>
          <w:tcPr>
            <w:tcW w:w="679" w:type="dxa"/>
            <w:vAlign w:val="top"/>
          </w:tcPr>
          <w:p>
            <w:pPr>
              <w:pStyle w:val="TableText"/>
              <w:ind w:left="20" w:right="45" w:firstLine="10"/>
              <w:spacing w:before="120" w:line="266" w:lineRule="auto"/>
              <w:jc w:val="both"/>
              <w:rPr/>
            </w:pPr>
            <w:r>
              <w:rPr>
                <w:spacing w:val="-3"/>
              </w:rPr>
              <w:t>外资银行</w:t>
            </w:r>
            <w:r>
              <w:rPr>
                <w:spacing w:val="2"/>
              </w:rPr>
              <w:t xml:space="preserve"> </w:t>
            </w:r>
            <w:r>
              <w:rPr>
                <w:spacing w:val="-1"/>
              </w:rPr>
              <w:t>营业性机</w:t>
            </w:r>
            <w:r>
              <w:rPr>
                <w:spacing w:val="2"/>
              </w:rPr>
              <w:t xml:space="preserve"> </w:t>
            </w:r>
            <w:r>
              <w:rPr/>
              <w:t>构及其分</w:t>
            </w:r>
            <w:r>
              <w:rPr>
                <w:spacing w:val="1"/>
              </w:rPr>
              <w:t xml:space="preserve"> </w:t>
            </w:r>
            <w:r>
              <w:rPr/>
              <w:t>支机构验</w:t>
            </w:r>
            <w:r>
              <w:rPr>
                <w:spacing w:val="2"/>
              </w:rPr>
              <w:t xml:space="preserve"> </w:t>
            </w:r>
            <w:r>
              <w:rPr/>
              <w:t>资</w:t>
            </w:r>
          </w:p>
        </w:tc>
        <w:tc>
          <w:tcPr>
            <w:tcW w:w="1099" w:type="dxa"/>
            <w:vAlign w:val="top"/>
          </w:tcPr>
          <w:p>
            <w:pPr>
              <w:pStyle w:val="TableText"/>
              <w:ind w:left="10" w:right="33" w:firstLine="40"/>
              <w:spacing w:before="120" w:line="261" w:lineRule="auto"/>
              <w:jc w:val="both"/>
              <w:rPr/>
            </w:pPr>
            <w:r>
              <w:rPr>
                <w:spacing w:val="18"/>
              </w:rPr>
              <w:t>(43003)外资</w:t>
            </w:r>
            <w:r>
              <w:rPr>
                <w:spacing w:val="2"/>
              </w:rPr>
              <w:t xml:space="preserve"> </w:t>
            </w:r>
            <w:r>
              <w:rPr>
                <w:spacing w:val="-1"/>
              </w:rPr>
              <w:t>银行营业性机构</w:t>
            </w:r>
            <w:r>
              <w:rPr/>
              <w:t xml:space="preserve"> </w:t>
            </w:r>
            <w:r>
              <w:rPr>
                <w:spacing w:val="-1"/>
              </w:rPr>
              <w:t>及其分支机构设</w:t>
            </w:r>
            <w:r>
              <w:rPr/>
              <w:t xml:space="preserve"> </w:t>
            </w:r>
            <w:r>
              <w:rPr>
                <w:spacing w:val="-1"/>
              </w:rPr>
              <w:t>立、变更及终止</w:t>
            </w:r>
            <w:r>
              <w:rPr/>
              <w:t xml:space="preserve"> </w:t>
            </w:r>
            <w:r>
              <w:rPr>
                <w:spacing w:val="-1"/>
              </w:rPr>
              <w:t>审批</w:t>
            </w:r>
          </w:p>
        </w:tc>
        <w:tc>
          <w:tcPr>
            <w:tcW w:w="839" w:type="dxa"/>
            <w:vAlign w:val="top"/>
          </w:tcPr>
          <w:p>
            <w:pPr>
              <w:pStyle w:val="TableText"/>
              <w:ind w:left="182"/>
              <w:spacing w:before="120" w:line="219" w:lineRule="auto"/>
              <w:rPr/>
            </w:pPr>
            <w:r>
              <w:rPr>
                <w:spacing w:val="-2"/>
              </w:rPr>
              <w:t>银监会</w:t>
            </w:r>
          </w:p>
        </w:tc>
        <w:tc>
          <w:tcPr>
            <w:tcW w:w="659" w:type="dxa"/>
            <w:vAlign w:val="top"/>
          </w:tcPr>
          <w:p>
            <w:pPr>
              <w:pStyle w:val="TableText"/>
              <w:ind w:left="22" w:right="18"/>
              <w:spacing w:before="121" w:line="264" w:lineRule="auto"/>
              <w:jc w:val="both"/>
              <w:rPr/>
            </w:pPr>
            <w:r>
              <w:rPr>
                <w:spacing w:val="-2"/>
              </w:rPr>
              <w:t>在中国境</w:t>
            </w:r>
            <w:r>
              <w:rPr>
                <w:spacing w:val="1"/>
              </w:rPr>
              <w:t xml:space="preserve"> </w:t>
            </w:r>
            <w:r>
              <w:rPr>
                <w:spacing w:val="1"/>
              </w:rPr>
              <w:t>内依法设</w:t>
            </w:r>
            <w:r>
              <w:rPr>
                <w:spacing w:val="2"/>
              </w:rPr>
              <w:t xml:space="preserve"> </w:t>
            </w:r>
            <w:r>
              <w:rPr>
                <w:spacing w:val="-2"/>
              </w:rPr>
              <w:t>立的会计</w:t>
            </w:r>
            <w:r>
              <w:rPr>
                <w:spacing w:val="1"/>
              </w:rPr>
              <w:t xml:space="preserve"> </w:t>
            </w:r>
            <w:r>
              <w:rPr>
                <w:spacing w:val="-2"/>
              </w:rPr>
              <w:t>师事务所</w:t>
            </w:r>
          </w:p>
        </w:tc>
        <w:tc>
          <w:tcPr>
            <w:tcW w:w="6088" w:type="dxa"/>
            <w:vAlign w:val="top"/>
          </w:tcPr>
          <w:p>
            <w:pPr>
              <w:pStyle w:val="TableText"/>
              <w:spacing w:before="140" w:line="219" w:lineRule="auto"/>
              <w:rPr/>
            </w:pPr>
            <w:r>
              <w:rPr/>
              <w:t>《中国银监会外资银行行政许可事项实施办法》(银</w:t>
            </w:r>
            <w:r>
              <w:rPr>
                <w:spacing w:val="-1"/>
              </w:rPr>
              <w:t>监会令2015年第4号)第二十条：抄</w:t>
            </w:r>
          </w:p>
          <w:p>
            <w:pPr>
              <w:pStyle w:val="TableText"/>
              <w:ind w:left="24"/>
              <w:spacing w:before="42" w:line="219" w:lineRule="auto"/>
              <w:rPr/>
            </w:pPr>
            <w:r>
              <w:rPr/>
              <w:t>设外商独资银行、中外合资银行申请开业，应当将开业验收合格意</w:t>
            </w:r>
            <w:r>
              <w:rPr>
                <w:spacing w:val="-1"/>
              </w:rPr>
              <w:t>见书连同下列申请资料</w:t>
            </w:r>
          </w:p>
          <w:p>
            <w:pPr>
              <w:pStyle w:val="TableText"/>
              <w:ind w:left="34" w:right="37" w:firstLine="79"/>
              <w:spacing w:before="43" w:line="263" w:lineRule="auto"/>
              <w:rPr/>
            </w:pPr>
            <w:r>
              <w:rPr>
                <w:spacing w:val="-4"/>
              </w:rPr>
              <w:t>报送拟设机构所在地银监局：</w:t>
            </w:r>
            <w:r>
              <w:rPr>
                <w:spacing w:val="25"/>
              </w:rPr>
              <w:t xml:space="preserve">   </w:t>
            </w:r>
            <w:r>
              <w:rPr>
                <w:spacing w:val="-4"/>
              </w:rPr>
              <w:t>(四)开业前审计报告和法定验资机构出具的验资证明。第</w:t>
            </w:r>
            <w:r>
              <w:rPr/>
              <w:t xml:space="preserve">  </w:t>
            </w:r>
            <w:r>
              <w:rPr/>
              <w:t>二十八条：由外国银行在中国境内分行改制的外商独资银行申请开业</w:t>
            </w:r>
            <w:r>
              <w:rPr>
                <w:spacing w:val="-1"/>
              </w:rPr>
              <w:t>，应当将开业验收合格</w:t>
            </w:r>
            <w:r>
              <w:rPr/>
              <w:t xml:space="preserve"> </w:t>
            </w:r>
            <w:r>
              <w:rPr>
                <w:spacing w:val="-4"/>
              </w:rPr>
              <w:t>意见书连同下列申请资料报送拟设机构所在地银监局：</w:t>
            </w:r>
            <w:r>
              <w:rPr>
                <w:spacing w:val="24"/>
              </w:rPr>
              <w:t xml:space="preserve">   </w:t>
            </w:r>
            <w:r>
              <w:rPr>
                <w:spacing w:val="-4"/>
              </w:rPr>
              <w:t>(五)开业前审计报告和法定验资机</w:t>
            </w:r>
            <w:r>
              <w:rPr>
                <w:spacing w:val="2"/>
              </w:rPr>
              <w:t xml:space="preserve"> </w:t>
            </w:r>
            <w:r>
              <w:rPr/>
              <w:t>构出具的验资证明。第三十八条：拟设外国银行分行申请开业，应当将</w:t>
            </w:r>
            <w:r>
              <w:rPr>
                <w:spacing w:val="-1"/>
              </w:rPr>
              <w:t>开业验收合格意见书</w:t>
            </w:r>
            <w:r>
              <w:rPr/>
              <w:t xml:space="preserve"> </w:t>
            </w:r>
            <w:r>
              <w:rPr>
                <w:spacing w:val="-4"/>
              </w:rPr>
              <w:t>连同下列申请资料报送拟设机构所在地银监局：</w:t>
            </w:r>
            <w:r>
              <w:rPr>
                <w:spacing w:val="25"/>
                <w:w w:val="101"/>
              </w:rPr>
              <w:t xml:space="preserve">   </w:t>
            </w:r>
            <w:r>
              <w:rPr>
                <w:spacing w:val="-4"/>
              </w:rPr>
              <w:t>(四)开业前审计报告和法定验资机构出具</w:t>
            </w:r>
            <w:r>
              <w:rPr/>
              <w:t xml:space="preserve"> </w:t>
            </w:r>
            <w:r>
              <w:rPr/>
              <w:t>的验资证明。第四十六条：拟设外商独资银行分行、中外合资银行分行申请开业，应当将开</w:t>
            </w:r>
            <w:r>
              <w:rPr>
                <w:spacing w:val="5"/>
              </w:rPr>
              <w:t xml:space="preserve"> </w:t>
            </w:r>
            <w:r>
              <w:rPr/>
              <w:t>业验收合格意见书连同下列申请资料报送拟设机构所在地银监局：(四)开</w:t>
            </w:r>
            <w:r>
              <w:rPr>
                <w:spacing w:val="-1"/>
              </w:rPr>
              <w:t>业前审计报告和</w:t>
            </w:r>
          </w:p>
          <w:p>
            <w:pPr>
              <w:pStyle w:val="TableText"/>
              <w:ind w:left="34" w:right="16"/>
              <w:spacing w:before="42" w:line="267" w:lineRule="auto"/>
              <w:rPr/>
            </w:pPr>
            <w:r>
              <w:rPr/>
              <w:t>法定验资机构出具的验资证明。第五十五条：申请筹建支行，申请人应当</w:t>
            </w:r>
            <w:r>
              <w:rPr>
                <w:spacing w:val="-1"/>
              </w:rPr>
              <w:t>向拟设机构所在地</w:t>
            </w:r>
            <w:r>
              <w:rPr/>
              <w:t xml:space="preserve"> </w:t>
            </w:r>
            <w:r>
              <w:rPr>
                <w:spacing w:val="-4"/>
              </w:rPr>
              <w:t>银监局或者经授权的银监会派出机构提交下列申请资料：</w:t>
            </w:r>
            <w:r>
              <w:rPr>
                <w:spacing w:val="25"/>
                <w:w w:val="101"/>
              </w:rPr>
              <w:t xml:space="preserve">   </w:t>
            </w:r>
            <w:r>
              <w:rPr>
                <w:spacing w:val="-4"/>
              </w:rPr>
              <w:t>(三)与业务规模相适应的营运资</w:t>
            </w:r>
            <w:r>
              <w:rPr/>
              <w:t xml:space="preserve"> </w:t>
            </w:r>
            <w:r>
              <w:rPr/>
              <w:t>金已拨付到位，法定验资机构出具的验资证明。第六十五条：外商独资</w:t>
            </w:r>
            <w:r>
              <w:rPr>
                <w:spacing w:val="-1"/>
              </w:rPr>
              <w:t>银行、中外合资银行</w:t>
            </w:r>
            <w:r>
              <w:rPr/>
              <w:t xml:space="preserve"> </w:t>
            </w:r>
            <w:r>
              <w:rPr/>
              <w:t>获准变更注册资本、外国银行分行获准变更营运资金，应当自银监会作</w:t>
            </w:r>
            <w:r>
              <w:rPr>
                <w:spacing w:val="-1"/>
              </w:rPr>
              <w:t>出批准决定之日起30</w:t>
            </w:r>
            <w:r>
              <w:rPr/>
              <w:t xml:space="preserve"> </w:t>
            </w:r>
            <w:r>
              <w:rPr/>
              <w:t>日内，向所在地银监会派出机构报送法定验资机构出具的验资证明。第六十八条：外商独资</w:t>
            </w:r>
            <w:r>
              <w:rPr>
                <w:spacing w:val="10"/>
              </w:rPr>
              <w:t xml:space="preserve"> </w:t>
            </w:r>
            <w:r>
              <w:rPr>
                <w:spacing w:val="1"/>
              </w:rPr>
              <w:t>银行、中外合资银行获准变更股东或者调整股东持股比例，</w:t>
            </w:r>
            <w:r>
              <w:rPr/>
              <w:t>应当自银监会作出批准决定之日 </w:t>
            </w:r>
            <w:r>
              <w:rPr/>
              <w:t>起30日内，向银监会报送法定验资机构出具的验资证明以及相</w:t>
            </w:r>
            <w:r>
              <w:rPr>
                <w:spacing w:val="-1"/>
              </w:rPr>
              <w:t>关交易的证明文件</w:t>
            </w:r>
          </w:p>
        </w:tc>
      </w:tr>
    </w:tbl>
    <w:p>
      <w:pPr>
        <w:pStyle w:val="BodyText"/>
        <w:rPr/>
      </w:pPr>
      <w:r/>
    </w:p>
    <w:p>
      <w:pPr>
        <w:sectPr>
          <w:pgSz w:w="11910" w:h="8220"/>
          <w:pgMar w:top="400" w:right="112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58272" behindDoc="0" locked="0" layoutInCell="0" allowOverlap="1">
                <wp:simplePos x="0" y="0"/>
                <wp:positionH relativeFrom="page">
                  <wp:posOffset>470410</wp:posOffset>
                </wp:positionH>
                <wp:positionV relativeFrom="page">
                  <wp:posOffset>617676</wp:posOffset>
                </wp:positionV>
                <wp:extent cx="172720" cy="156845"/>
                <wp:effectExtent l="0" t="0" r="0" b="0"/>
                <wp:wrapNone/>
                <wp:docPr id="416" name="TextBox 416"/>
                <wp:cNvGraphicFramePr/>
                <a:graphic>
                  <a:graphicData uri="http://schemas.microsoft.com/office/word/2010/wordprocessingShape">
                    <wps:wsp>
                      <wps:cNvSpPr txBox="1"/>
                      <wps:spPr>
                        <a:xfrm rot="5400000">
                          <a:off x="470410" y="617676"/>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8" style="position:absolute;margin-left:37.0402pt;margin-top:48.636pt;mso-position-vertical-relative:page;mso-position-horizontal-relative:page;width:13.6pt;height:12.35pt;z-index:25195827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296</w:t>
                      </w:r>
                    </w:p>
                  </w:txbxContent>
                </v:textbox>
              </v:shape>
            </w:pict>
          </mc:Fallback>
        </mc:AlternateContent>
      </w:r>
      <w:r/>
    </w:p>
    <w:p>
      <w:pPr>
        <w:spacing w:before="46"/>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295" w:hRule="atLeast"/>
        </w:trPr>
        <w:tc>
          <w:tcPr>
            <w:tcW w:w="295" w:type="dxa"/>
            <w:vAlign w:val="top"/>
          </w:tcPr>
          <w:p>
            <w:pPr>
              <w:spacing w:line="305" w:lineRule="auto"/>
              <w:rPr>
                <w:rFonts w:ascii="Arial"/>
                <w:sz w:val="21"/>
              </w:rPr>
            </w:pPr>
            <w:r/>
          </w:p>
          <w:p>
            <w:pPr>
              <w:pStyle w:val="TableText"/>
              <w:ind w:left="65"/>
              <w:spacing w:before="48" w:line="183" w:lineRule="auto"/>
              <w:rPr/>
            </w:pPr>
            <w:r>
              <w:rPr>
                <w:spacing w:val="-3"/>
              </w:rPr>
              <w:t>50</w:t>
            </w:r>
          </w:p>
        </w:tc>
        <w:tc>
          <w:tcPr>
            <w:tcW w:w="659" w:type="dxa"/>
            <w:vAlign w:val="top"/>
          </w:tcPr>
          <w:p>
            <w:pPr>
              <w:spacing w:line="254" w:lineRule="auto"/>
              <w:rPr>
                <w:rFonts w:ascii="Arial"/>
                <w:sz w:val="21"/>
              </w:rPr>
            </w:pPr>
            <w:r/>
          </w:p>
          <w:p>
            <w:pPr>
              <w:pStyle w:val="TableText"/>
              <w:ind w:left="10" w:firstLine="9"/>
              <w:spacing w:before="49" w:line="263" w:lineRule="auto"/>
              <w:jc w:val="both"/>
              <w:rPr/>
            </w:pPr>
            <w:r>
              <w:rPr>
                <w:spacing w:val="-8"/>
              </w:rPr>
              <w:t>出具外资</w:t>
            </w:r>
            <w:r>
              <w:rPr/>
              <w:t xml:space="preserve">  </w:t>
            </w:r>
            <w:r>
              <w:rPr>
                <w:spacing w:val="-10"/>
              </w:rPr>
              <w:t>银行营业</w:t>
            </w:r>
            <w:r>
              <w:rPr>
                <w:spacing w:val="1"/>
              </w:rPr>
              <w:t xml:space="preserve">  </w:t>
            </w:r>
            <w:r>
              <w:rPr>
                <w:spacing w:val="-10"/>
              </w:rPr>
              <w:t>性机构及</w:t>
            </w:r>
            <w:r>
              <w:rPr/>
              <w:t xml:space="preserve">  </w:t>
            </w:r>
            <w:r>
              <w:rPr>
                <w:spacing w:val="-10"/>
              </w:rPr>
              <w:t>其分支机</w:t>
            </w:r>
            <w:r>
              <w:rPr>
                <w:spacing w:val="1"/>
              </w:rPr>
              <w:t xml:space="preserve">  </w:t>
            </w:r>
            <w:r>
              <w:rPr>
                <w:spacing w:val="1"/>
              </w:rPr>
              <w:t>构设立</w:t>
            </w:r>
            <w:r>
              <w:rPr>
                <w:spacing w:val="-42"/>
              </w:rPr>
              <w:t xml:space="preserve"> </w:t>
            </w:r>
            <w:r>
              <w:rPr>
                <w:spacing w:val="1"/>
              </w:rPr>
              <w:t>、</w:t>
            </w:r>
            <w:r>
              <w:rPr/>
              <w:t xml:space="preserve"> </w:t>
            </w:r>
            <w:r>
              <w:rPr>
                <w:spacing w:val="-10"/>
              </w:rPr>
              <w:t>变更及终</w:t>
            </w:r>
            <w:r>
              <w:rPr>
                <w:spacing w:val="1"/>
              </w:rPr>
              <w:t xml:space="preserve">  </w:t>
            </w:r>
            <w:r>
              <w:rPr>
                <w:spacing w:val="-10"/>
              </w:rPr>
              <w:t>止法律意</w:t>
            </w:r>
            <w:r>
              <w:rPr>
                <w:spacing w:val="1"/>
              </w:rPr>
              <w:t xml:space="preserve">  </w:t>
            </w:r>
            <w:r>
              <w:rPr>
                <w:spacing w:val="-7"/>
              </w:rPr>
              <w:t>见书</w:t>
            </w:r>
          </w:p>
        </w:tc>
        <w:tc>
          <w:tcPr>
            <w:tcW w:w="1109" w:type="dxa"/>
            <w:vAlign w:val="top"/>
          </w:tcPr>
          <w:p>
            <w:pPr>
              <w:spacing w:line="266" w:lineRule="auto"/>
              <w:rPr>
                <w:rFonts w:ascii="Arial"/>
                <w:sz w:val="21"/>
              </w:rPr>
            </w:pPr>
            <w:r/>
          </w:p>
          <w:p>
            <w:pPr>
              <w:pStyle w:val="TableText"/>
              <w:ind w:left="20" w:right="33" w:firstLine="110"/>
              <w:spacing w:before="48" w:line="256" w:lineRule="auto"/>
              <w:rPr/>
            </w:pPr>
            <w:r>
              <w:rPr/>
              <w:t>(43003)外资</w:t>
            </w:r>
            <w:r>
              <w:rPr>
                <w:spacing w:val="2"/>
              </w:rPr>
              <w:t xml:space="preserve">  </w:t>
            </w:r>
            <w:r>
              <w:rPr>
                <w:spacing w:val="-1"/>
              </w:rPr>
              <w:t>银行营业性机构</w:t>
            </w:r>
            <w:r>
              <w:rPr/>
              <w:t xml:space="preserve"> </w:t>
            </w:r>
            <w:r>
              <w:rPr>
                <w:spacing w:val="-1"/>
              </w:rPr>
              <w:t>及其分支机构设</w:t>
            </w:r>
            <w:r>
              <w:rPr/>
              <w:t xml:space="preserve"> </w:t>
            </w:r>
            <w:r>
              <w:rPr>
                <w:spacing w:val="-1"/>
              </w:rPr>
              <w:t>立、变更及终止</w:t>
            </w:r>
            <w:r>
              <w:rPr/>
              <w:t xml:space="preserve"> </w:t>
            </w:r>
            <w:r>
              <w:rPr>
                <w:spacing w:val="3"/>
              </w:rPr>
              <w:t>审批</w:t>
            </w:r>
          </w:p>
        </w:tc>
        <w:tc>
          <w:tcPr>
            <w:tcW w:w="839" w:type="dxa"/>
            <w:vAlign w:val="top"/>
          </w:tcPr>
          <w:p>
            <w:pPr>
              <w:spacing w:line="245" w:lineRule="auto"/>
              <w:rPr>
                <w:rFonts w:ascii="Arial"/>
                <w:sz w:val="21"/>
              </w:rPr>
            </w:pPr>
            <w:r/>
          </w:p>
          <w:p>
            <w:pPr>
              <w:pStyle w:val="TableText"/>
              <w:ind w:left="182"/>
              <w:spacing w:before="49" w:line="219" w:lineRule="auto"/>
              <w:rPr/>
            </w:pPr>
            <w:r>
              <w:rPr>
                <w:spacing w:val="-2"/>
              </w:rPr>
              <w:t>银监会</w:t>
            </w:r>
          </w:p>
        </w:tc>
        <w:tc>
          <w:tcPr>
            <w:tcW w:w="659" w:type="dxa"/>
            <w:vAlign w:val="top"/>
          </w:tcPr>
          <w:p>
            <w:pPr>
              <w:spacing w:line="256" w:lineRule="auto"/>
              <w:rPr>
                <w:rFonts w:ascii="Arial"/>
                <w:sz w:val="21"/>
              </w:rPr>
            </w:pPr>
            <w:r/>
          </w:p>
          <w:p>
            <w:pPr>
              <w:pStyle w:val="TableText"/>
              <w:ind w:left="12" w:right="18" w:firstLine="10"/>
              <w:spacing w:before="48" w:line="255" w:lineRule="auto"/>
              <w:jc w:val="both"/>
              <w:rPr/>
            </w:pPr>
            <w:r>
              <w:rPr>
                <w:spacing w:val="-2"/>
              </w:rPr>
              <w:t>在中国境</w:t>
            </w:r>
            <w:r>
              <w:rPr>
                <w:spacing w:val="1"/>
              </w:rPr>
              <w:t xml:space="preserve"> </w:t>
            </w:r>
            <w:r>
              <w:rPr>
                <w:spacing w:val="4"/>
              </w:rPr>
              <w:t>内依法设</w:t>
            </w:r>
            <w:r>
              <w:rPr/>
              <w:t xml:space="preserve"> </w:t>
            </w:r>
            <w:r>
              <w:rPr>
                <w:spacing w:val="1"/>
              </w:rPr>
              <w:t>立的律师</w:t>
            </w:r>
            <w:r>
              <w:rPr/>
              <w:t xml:space="preserve"> </w:t>
            </w:r>
            <w:r>
              <w:rPr>
                <w:spacing w:val="-2"/>
              </w:rPr>
              <w:t>事务所</w:t>
            </w:r>
          </w:p>
        </w:tc>
        <w:tc>
          <w:tcPr>
            <w:tcW w:w="6088" w:type="dxa"/>
            <w:vAlign w:val="top"/>
          </w:tcPr>
          <w:p>
            <w:pPr>
              <w:spacing w:line="265" w:lineRule="auto"/>
              <w:rPr>
                <w:rFonts w:ascii="Arial"/>
                <w:sz w:val="21"/>
              </w:rPr>
            </w:pPr>
            <w:r/>
          </w:p>
          <w:p>
            <w:pPr>
              <w:pStyle w:val="TableText"/>
              <w:spacing w:before="49" w:line="219" w:lineRule="auto"/>
              <w:rPr/>
            </w:pPr>
            <w:r>
              <w:rPr/>
              <w:t>《中国银监会外资银行行政许可事项实施办法》(银监会令2015年第4号)第十七条</w:t>
            </w:r>
            <w:r>
              <w:rPr>
                <w:spacing w:val="-1"/>
              </w:rPr>
              <w:t>：申</w:t>
            </w:r>
          </w:p>
          <w:p>
            <w:pPr>
              <w:pStyle w:val="TableText"/>
              <w:ind w:left="24" w:right="48" w:firstLine="10"/>
              <w:spacing w:before="41" w:line="245" w:lineRule="auto"/>
              <w:rPr/>
            </w:pPr>
            <w:r>
              <w:rPr/>
              <w:t>请筹建外商独资银行、中外合资银行，应当将下列申请资料报送拟设机构所在</w:t>
            </w:r>
            <w:r>
              <w:rPr>
                <w:spacing w:val="-1"/>
              </w:rPr>
              <w:t>地银监局，同</w:t>
            </w:r>
            <w:r>
              <w:rPr/>
              <w:t xml:space="preserve"> </w:t>
            </w:r>
            <w:r>
              <w:rPr/>
              <w:t>时抄送拟设机构所在地银监会派出机构：(十)拟设机构外</w:t>
            </w:r>
            <w:r>
              <w:rPr>
                <w:spacing w:val="-1"/>
              </w:rPr>
              <w:t>方股东所在国家或者地区金融监</w:t>
            </w:r>
          </w:p>
          <w:p>
            <w:pPr>
              <w:pStyle w:val="TableText"/>
              <w:ind w:left="34"/>
              <w:spacing w:before="42" w:line="253" w:lineRule="auto"/>
              <w:rPr/>
            </w:pPr>
            <w:r>
              <w:rPr>
                <w:spacing w:val="-1"/>
              </w:rPr>
              <w:t>管当局核发的营业执照或者经营金融业务许可文件及对其申请的意见书。第二十条：拟设外</w:t>
            </w:r>
            <w:r>
              <w:rPr/>
              <w:t xml:space="preserve">  </w:t>
            </w:r>
            <w:r>
              <w:rPr>
                <w:spacing w:val="-1"/>
              </w:rPr>
              <w:t>商独资银行、中外合资银行申请开业，应当将开业验收合格意见书连同下列申请资料报送拟</w:t>
            </w:r>
            <w:r>
              <w:rPr>
                <w:spacing w:val="1"/>
              </w:rPr>
              <w:t xml:space="preserve">  </w:t>
            </w:r>
            <w:r>
              <w:rPr>
                <w:spacing w:val="-4"/>
              </w:rPr>
              <w:t>设机构所在地银监局：    (七)拟设机构的章程草案以及在中国境内依法设立的律师事务所出</w:t>
            </w:r>
            <w:r>
              <w:rPr>
                <w:spacing w:val="14"/>
              </w:rPr>
              <w:t xml:space="preserve"> </w:t>
            </w:r>
            <w:r>
              <w:rPr>
                <w:spacing w:val="-1"/>
              </w:rPr>
              <w:t>具的对章程草案的法律意见书。第二十八条：由外国银行在中国境内分行改制的外商独资银</w:t>
            </w:r>
            <w:r>
              <w:rPr>
                <w:spacing w:val="1"/>
              </w:rPr>
              <w:t xml:space="preserve">  </w:t>
            </w:r>
            <w:r>
              <w:rPr>
                <w:spacing w:val="-3"/>
              </w:rPr>
              <w:t>行申请开业，应当将开业验收合格意见书连同下列申请资料报送拟设机构所在地银监局：(四)</w:t>
            </w:r>
          </w:p>
          <w:p>
            <w:pPr>
              <w:pStyle w:val="TableText"/>
              <w:ind w:left="34" w:right="23"/>
              <w:spacing w:before="73" w:line="260" w:lineRule="auto"/>
              <w:jc w:val="both"/>
              <w:rPr/>
            </w:pPr>
            <w:r>
              <w:rPr/>
              <w:t>律师事务所出具的关于合同转让法律意见书，对于不具备转让条件的合同，</w:t>
            </w:r>
            <w:r>
              <w:rPr>
                <w:spacing w:val="-1"/>
              </w:rPr>
              <w:t>应当对银行制定</w:t>
            </w:r>
            <w:r>
              <w:rPr/>
              <w:t xml:space="preserve"> </w:t>
            </w:r>
            <w:r>
              <w:rPr>
                <w:spacing w:val="-3"/>
              </w:rPr>
              <w:t>的紧急预案提出法律意见；    (六)拟设外商独资银行的章程草案以及在中</w:t>
            </w:r>
            <w:r>
              <w:rPr>
                <w:spacing w:val="-4"/>
              </w:rPr>
              <w:t>国境内依法设立的</w:t>
            </w:r>
            <w:r>
              <w:rPr/>
              <w:t xml:space="preserve"> </w:t>
            </w:r>
            <w:r>
              <w:rPr>
                <w:spacing w:val="1"/>
              </w:rPr>
              <w:t>律师事务所出具的对章程草案的法律意见书</w:t>
            </w:r>
            <w:r>
              <w:rPr/>
              <w:t>。第七十七条：外商独资银行、中外合资银行申 </w:t>
            </w:r>
            <w:r>
              <w:rPr>
                <w:spacing w:val="-4"/>
              </w:rPr>
              <w:t>请修改章程，应当向所在地银监局提交下列申请资料：</w:t>
            </w:r>
            <w:r>
              <w:rPr>
                <w:spacing w:val="26"/>
              </w:rPr>
              <w:t xml:space="preserve">   </w:t>
            </w:r>
            <w:r>
              <w:rPr>
                <w:spacing w:val="-4"/>
              </w:rPr>
              <w:t>(六)在中国境内依法设立的律师事</w:t>
            </w:r>
            <w:r>
              <w:rPr>
                <w:spacing w:val="1"/>
              </w:rPr>
              <w:t xml:space="preserve"> </w:t>
            </w:r>
            <w:r>
              <w:rPr/>
              <w:t>务所出具的对新章程草案的法律意见书。</w:t>
            </w:r>
          </w:p>
        </w:tc>
      </w:tr>
      <w:tr>
        <w:trPr>
          <w:trHeight w:val="2401" w:hRule="atLeast"/>
        </w:trPr>
        <w:tc>
          <w:tcPr>
            <w:tcW w:w="295" w:type="dxa"/>
            <w:vAlign w:val="top"/>
          </w:tcPr>
          <w:p>
            <w:pPr>
              <w:spacing w:line="279" w:lineRule="auto"/>
              <w:rPr>
                <w:rFonts w:ascii="Arial"/>
                <w:sz w:val="21"/>
              </w:rPr>
            </w:pPr>
            <w:r/>
          </w:p>
          <w:p>
            <w:pPr>
              <w:pStyle w:val="TableText"/>
              <w:ind w:left="65"/>
              <w:spacing w:before="49" w:line="184" w:lineRule="auto"/>
              <w:rPr/>
            </w:pPr>
            <w:r>
              <w:rPr>
                <w:spacing w:val="-3"/>
              </w:rPr>
              <w:t>51</w:t>
            </w:r>
          </w:p>
        </w:tc>
        <w:tc>
          <w:tcPr>
            <w:tcW w:w="659" w:type="dxa"/>
            <w:vAlign w:val="top"/>
          </w:tcPr>
          <w:p>
            <w:pPr>
              <w:spacing w:line="241" w:lineRule="auto"/>
              <w:rPr>
                <w:rFonts w:ascii="Arial"/>
                <w:sz w:val="21"/>
              </w:rPr>
            </w:pPr>
            <w:r/>
          </w:p>
          <w:p>
            <w:pPr>
              <w:pStyle w:val="TableText"/>
              <w:ind w:left="10" w:right="13" w:firstLine="10"/>
              <w:spacing w:before="49" w:line="263" w:lineRule="auto"/>
              <w:jc w:val="both"/>
              <w:rPr/>
            </w:pPr>
            <w:r>
              <w:rPr>
                <w:spacing w:val="-3"/>
              </w:rPr>
              <w:t>外资银行</w:t>
            </w:r>
            <w:r>
              <w:rPr>
                <w:spacing w:val="2"/>
              </w:rPr>
              <w:t xml:space="preserve"> </w:t>
            </w:r>
            <w:r>
              <w:rPr/>
              <w:t>调整业务</w:t>
            </w:r>
            <w:r>
              <w:rPr>
                <w:spacing w:val="1"/>
              </w:rPr>
              <w:t xml:space="preserve"> </w:t>
            </w:r>
            <w:r>
              <w:rPr>
                <w:spacing w:val="5"/>
              </w:rPr>
              <w:t>范围和增</w:t>
            </w:r>
            <w:r>
              <w:rPr>
                <w:spacing w:val="1"/>
              </w:rPr>
              <w:t xml:space="preserve"> </w:t>
            </w:r>
            <w:r>
              <w:rPr>
                <w:spacing w:val="6"/>
              </w:rPr>
              <w:t>加业务品</w:t>
            </w:r>
            <w:r>
              <w:rPr/>
              <w:t xml:space="preserve"> </w:t>
            </w:r>
            <w:r>
              <w:rPr>
                <w:spacing w:val="1"/>
              </w:rPr>
              <w:t>种信用评</w:t>
            </w:r>
            <w:r>
              <w:rPr/>
              <w:t xml:space="preserve"> </w:t>
            </w:r>
            <w:r>
              <w:rPr/>
              <w:t>级</w:t>
            </w:r>
          </w:p>
        </w:tc>
        <w:tc>
          <w:tcPr>
            <w:tcW w:w="1109" w:type="dxa"/>
            <w:vAlign w:val="top"/>
          </w:tcPr>
          <w:p>
            <w:pPr>
              <w:spacing w:line="242" w:lineRule="auto"/>
              <w:rPr>
                <w:rFonts w:ascii="Arial"/>
                <w:sz w:val="21"/>
              </w:rPr>
            </w:pPr>
            <w:r/>
          </w:p>
          <w:p>
            <w:pPr>
              <w:pStyle w:val="TableText"/>
              <w:ind w:left="20" w:right="12" w:firstLine="110"/>
              <w:spacing w:before="49" w:line="258" w:lineRule="auto"/>
              <w:rPr/>
            </w:pPr>
            <w:r>
              <w:rPr/>
              <w:t>(43004)外资  </w:t>
            </w:r>
            <w:r>
              <w:rPr>
                <w:spacing w:val="-1"/>
              </w:rPr>
              <w:t>银行调整业务范</w:t>
            </w:r>
            <w:r>
              <w:rPr/>
              <w:t xml:space="preserve"> </w:t>
            </w:r>
            <w:r>
              <w:rPr>
                <w:spacing w:val="2"/>
              </w:rPr>
              <w:t>围和增加业务品</w:t>
            </w:r>
            <w:r>
              <w:rPr/>
              <w:t xml:space="preserve"> </w:t>
            </w:r>
            <w:r>
              <w:rPr>
                <w:spacing w:val="-2"/>
              </w:rPr>
              <w:t>种审批</w:t>
            </w:r>
          </w:p>
        </w:tc>
        <w:tc>
          <w:tcPr>
            <w:tcW w:w="839" w:type="dxa"/>
            <w:vAlign w:val="top"/>
          </w:tcPr>
          <w:p>
            <w:pPr>
              <w:spacing w:line="241" w:lineRule="auto"/>
              <w:rPr>
                <w:rFonts w:ascii="Arial"/>
                <w:sz w:val="21"/>
              </w:rPr>
            </w:pPr>
            <w:r/>
          </w:p>
          <w:p>
            <w:pPr>
              <w:pStyle w:val="TableText"/>
              <w:ind w:left="182"/>
              <w:spacing w:before="48" w:line="219" w:lineRule="auto"/>
              <w:rPr/>
            </w:pPr>
            <w:r>
              <w:rPr>
                <w:spacing w:val="-2"/>
              </w:rPr>
              <w:t>银监会</w:t>
            </w:r>
          </w:p>
        </w:tc>
        <w:tc>
          <w:tcPr>
            <w:tcW w:w="659" w:type="dxa"/>
            <w:vAlign w:val="top"/>
          </w:tcPr>
          <w:p>
            <w:pPr>
              <w:spacing w:line="242" w:lineRule="auto"/>
              <w:rPr>
                <w:rFonts w:ascii="Arial"/>
                <w:sz w:val="21"/>
              </w:rPr>
            </w:pPr>
            <w:r/>
          </w:p>
          <w:p>
            <w:pPr>
              <w:pStyle w:val="TableText"/>
              <w:ind w:left="12" w:right="31" w:firstLine="10"/>
              <w:spacing w:before="48" w:line="238" w:lineRule="auto"/>
              <w:rPr/>
            </w:pPr>
            <w:r>
              <w:rPr>
                <w:spacing w:val="-2"/>
              </w:rPr>
              <w:t>信用评级</w:t>
            </w:r>
            <w:r>
              <w:rPr>
                <w:spacing w:val="1"/>
              </w:rPr>
              <w:t xml:space="preserve"> </w:t>
            </w:r>
            <w:r>
              <w:rPr>
                <w:spacing w:val="-2"/>
              </w:rPr>
              <w:t>机构</w:t>
            </w:r>
          </w:p>
        </w:tc>
        <w:tc>
          <w:tcPr>
            <w:tcW w:w="6088" w:type="dxa"/>
            <w:vAlign w:val="top"/>
          </w:tcPr>
          <w:p>
            <w:pPr>
              <w:spacing w:line="250" w:lineRule="auto"/>
              <w:rPr>
                <w:rFonts w:ascii="Arial"/>
                <w:sz w:val="21"/>
              </w:rPr>
            </w:pPr>
            <w:r/>
          </w:p>
          <w:p>
            <w:pPr>
              <w:pStyle w:val="TableText"/>
              <w:ind w:left="34"/>
              <w:spacing w:before="49" w:line="219" w:lineRule="auto"/>
              <w:rPr/>
            </w:pPr>
            <w:r>
              <w:rPr>
                <w:spacing w:val="-2"/>
              </w:rPr>
              <w:t>1. 《中国银监会外资银行行政许可事项实施办法》(银监会令2015年第4号)第一百一十匹</w:t>
            </w:r>
          </w:p>
          <w:p>
            <w:pPr>
              <w:pStyle w:val="TableText"/>
              <w:ind w:left="34" w:right="49"/>
              <w:spacing w:before="43" w:line="253" w:lineRule="auto"/>
              <w:rPr/>
            </w:pPr>
            <w:r>
              <w:rPr/>
              <w:t>条外商独资银行、中外合资银行申请发行经银监会许可的债务、资本补</w:t>
            </w:r>
            <w:r>
              <w:rPr>
                <w:spacing w:val="-1"/>
              </w:rPr>
              <w:t>充工具，应当向所在</w:t>
            </w:r>
            <w:r>
              <w:rPr/>
              <w:t xml:space="preserve"> </w:t>
            </w:r>
            <w:r>
              <w:rPr>
                <w:spacing w:val="-4"/>
              </w:rPr>
              <w:t>地银监局提交下列申请资料：</w:t>
            </w:r>
            <w:r>
              <w:rPr>
                <w:spacing w:val="26"/>
              </w:rPr>
              <w:t xml:space="preserve">   </w:t>
            </w:r>
            <w:r>
              <w:rPr>
                <w:spacing w:val="-4"/>
              </w:rPr>
              <w:t>(十)信用评级机构出具的金融债券信用评级报告及有关持续</w:t>
            </w:r>
            <w:r>
              <w:rPr/>
              <w:t xml:space="preserve"> </w:t>
            </w:r>
            <w:r>
              <w:rPr>
                <w:spacing w:val="-2"/>
              </w:rPr>
              <w:t>跟踪评级安排的说明。2. 《金融机构信贷资产证券化监督管理办法》(银监会令2005年第3</w:t>
            </w:r>
          </w:p>
          <w:p>
            <w:pPr>
              <w:pStyle w:val="TableText"/>
              <w:ind w:left="24" w:right="51" w:firstLine="49"/>
              <w:spacing w:before="41" w:line="258" w:lineRule="auto"/>
              <w:rPr/>
            </w:pPr>
            <w:r>
              <w:rPr/>
              <w:t>号)第十三条：银行业金融机构作为发起机构，将信贷资产信托给</w:t>
            </w:r>
            <w:r>
              <w:rPr>
                <w:spacing w:val="-1"/>
              </w:rPr>
              <w:t>受托机构，由受托机构以</w:t>
            </w:r>
            <w:r>
              <w:rPr/>
              <w:t xml:space="preserve"> </w:t>
            </w:r>
            <w:r>
              <w:rPr/>
              <w:t>资产支持证券的形式向投资机构发行受益证券，应当由符合本办法第七条规定条件</w:t>
            </w:r>
            <w:r>
              <w:rPr>
                <w:spacing w:val="-1"/>
              </w:rPr>
              <w:t>的银行业</w:t>
            </w:r>
            <w:r>
              <w:rPr/>
              <w:t xml:space="preserve"> </w:t>
            </w:r>
            <w:r>
              <w:rPr/>
              <w:t>金融机构与获得特定目的信托受托机构资格的金融机构向银监会联合提出申请，并且报送下</w:t>
            </w:r>
            <w:r>
              <w:rPr>
                <w:spacing w:val="1"/>
              </w:rPr>
              <w:t xml:space="preserve"> </w:t>
            </w:r>
            <w:r>
              <w:rPr/>
              <w:t>列文件和资料：(五)执业律师出具的法律意见书草案、注册会计师</w:t>
            </w:r>
            <w:r>
              <w:rPr>
                <w:spacing w:val="-1"/>
              </w:rPr>
              <w:t>出具的会计意见书草案</w:t>
            </w:r>
          </w:p>
          <w:p>
            <w:pPr>
              <w:pStyle w:val="TableText"/>
              <w:ind w:left="34"/>
              <w:spacing w:before="41" w:line="218" w:lineRule="auto"/>
              <w:rPr/>
            </w:pPr>
            <w:r>
              <w:rPr/>
              <w:t>资信评级机构出具的信用评级报告草案及有关持续跟踪评级</w:t>
            </w:r>
            <w:r>
              <w:rPr>
                <w:spacing w:val="-1"/>
              </w:rPr>
              <w:t>安排的说明。</w:t>
            </w:r>
          </w:p>
        </w:tc>
      </w:tr>
    </w:tbl>
    <w:p>
      <w:pPr>
        <w:pStyle w:val="BodyText"/>
        <w:rPr/>
      </w:pPr>
      <w:r/>
    </w:p>
    <w:p>
      <w:pPr>
        <w:sectPr>
          <w:pgSz w:w="11910" w:h="8220"/>
          <w:pgMar w:top="400" w:right="1125" w:bottom="400" w:left="821" w:header="0" w:footer="0" w:gutter="0"/>
        </w:sectPr>
        <w:rPr/>
      </w:pPr>
    </w:p>
    <w:p>
      <w:pPr>
        <w:spacing w:before="6"/>
        <w:rPr/>
      </w:pPr>
      <w:r>
        <mc:AlternateContent xmlns:mc="http://schemas.openxmlformats.org/markup-compatibility/2006">
          <mc:Choice Requires="wps">
            <w:drawing>
              <wp:anchor distT="0" distB="0" distL="0" distR="0" simplePos="0" relativeHeight="251959296"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418" name="TextBox 418"/>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0" style="position:absolute;margin-left:37.0402pt;margin-top:345.135pt;mso-position-vertical-relative:page;mso-position-horizontal-relative:page;width:13.6pt;height:12.35pt;z-index:25195929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297</w:t>
                      </w:r>
                    </w:p>
                  </w:txbxContent>
                </v:textbox>
              </v:shape>
            </w:pict>
          </mc:Fallback>
        </mc:AlternateContent>
      </w:r>
      <w:r/>
    </w:p>
    <w:p>
      <w:pPr>
        <w:spacing w:before="6"/>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29"/>
        <w:gridCol w:w="669"/>
        <w:gridCol w:w="6088"/>
      </w:tblGrid>
      <w:tr>
        <w:trPr>
          <w:trHeight w:val="474" w:hRule="atLeast"/>
        </w:trPr>
        <w:tc>
          <w:tcPr>
            <w:tcW w:w="285" w:type="dxa"/>
            <w:vAlign w:val="top"/>
            <w:textDirection w:val="tbRlV"/>
          </w:tcPr>
          <w:p>
            <w:pPr>
              <w:pStyle w:val="TableText"/>
              <w:ind w:left="47"/>
              <w:spacing w:before="70" w:line="217" w:lineRule="auto"/>
              <w:rPr/>
            </w:pPr>
            <w:r>
              <w:rPr>
                <w:spacing w:val="-2"/>
              </w:rPr>
              <w:t>序 号</w:t>
            </w:r>
          </w:p>
        </w:tc>
        <w:tc>
          <w:tcPr>
            <w:tcW w:w="679" w:type="dxa"/>
            <w:vAlign w:val="top"/>
          </w:tcPr>
          <w:p>
            <w:pPr>
              <w:pStyle w:val="TableText"/>
              <w:ind w:left="30" w:right="32"/>
              <w:spacing w:before="50"/>
              <w:rPr/>
            </w:pPr>
            <w:r>
              <w:rPr>
                <w:spacing w:val="1"/>
              </w:rPr>
              <w:t>中介服务 </w:t>
            </w:r>
            <w:r>
              <w:rPr>
                <w:spacing w:val="-2"/>
              </w:rPr>
              <w:t>事项名称</w:t>
            </w:r>
          </w:p>
        </w:tc>
        <w:tc>
          <w:tcPr>
            <w:tcW w:w="1109" w:type="dxa"/>
            <w:vAlign w:val="top"/>
          </w:tcPr>
          <w:p>
            <w:pPr>
              <w:pStyle w:val="TableText"/>
              <w:ind w:left="239" w:right="35" w:hanging="219"/>
              <w:spacing w:before="62" w:line="245"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51" w:line="254"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346" w:hRule="atLeast"/>
        </w:trPr>
        <w:tc>
          <w:tcPr>
            <w:tcW w:w="285" w:type="dxa"/>
            <w:vAlign w:val="top"/>
          </w:tcPr>
          <w:p>
            <w:pPr>
              <w:pStyle w:val="TableText"/>
              <w:ind w:left="55"/>
              <w:spacing w:before="115" w:line="183" w:lineRule="auto"/>
              <w:rPr/>
            </w:pPr>
            <w:r>
              <w:rPr>
                <w:spacing w:val="-3"/>
              </w:rPr>
              <w:t>52</w:t>
            </w:r>
          </w:p>
        </w:tc>
        <w:tc>
          <w:tcPr>
            <w:tcW w:w="679" w:type="dxa"/>
            <w:vAlign w:val="top"/>
          </w:tcPr>
          <w:p>
            <w:pPr>
              <w:pStyle w:val="TableText"/>
              <w:ind w:left="10" w:right="23" w:firstLine="20"/>
              <w:spacing w:before="68" w:line="250" w:lineRule="auto"/>
              <w:jc w:val="both"/>
              <w:rPr/>
            </w:pPr>
            <w:r>
              <w:rPr>
                <w:spacing w:val="-3"/>
              </w:rPr>
              <w:t>外资银行</w:t>
            </w:r>
            <w:r>
              <w:rPr>
                <w:spacing w:val="2"/>
              </w:rPr>
              <w:t xml:space="preserve"> </w:t>
            </w:r>
            <w:r>
              <w:rPr>
                <w:spacing w:val="3"/>
              </w:rPr>
              <w:t>调整业务</w:t>
            </w:r>
            <w:r>
              <w:rPr/>
              <w:t xml:space="preserve"> </w:t>
            </w:r>
            <w:r>
              <w:rPr>
                <w:spacing w:val="8"/>
              </w:rPr>
              <w:t>范围和增</w:t>
            </w:r>
            <w:r>
              <w:rPr/>
              <w:t xml:space="preserve"> </w:t>
            </w:r>
            <w:r>
              <w:rPr>
                <w:spacing w:val="8"/>
              </w:rPr>
              <w:t>加业务品</w:t>
            </w:r>
            <w:r>
              <w:rPr>
                <w:spacing w:val="2"/>
              </w:rPr>
              <w:t xml:space="preserve"> </w:t>
            </w:r>
            <w:r>
              <w:rPr>
                <w:spacing w:val="3"/>
              </w:rPr>
              <w:t>种系统测</w:t>
            </w:r>
            <w:r>
              <w:rPr>
                <w:spacing w:val="1"/>
              </w:rPr>
              <w:t xml:space="preserve"> </w:t>
            </w:r>
            <w:r>
              <w:rPr/>
              <w:t>试</w:t>
            </w:r>
          </w:p>
        </w:tc>
        <w:tc>
          <w:tcPr>
            <w:tcW w:w="1109" w:type="dxa"/>
            <w:vAlign w:val="top"/>
          </w:tcPr>
          <w:p>
            <w:pPr>
              <w:pStyle w:val="TableText"/>
              <w:ind w:left="20" w:right="12" w:firstLine="20"/>
              <w:spacing w:before="66" w:line="246" w:lineRule="auto"/>
              <w:jc w:val="both"/>
              <w:rPr/>
            </w:pPr>
            <w:r>
              <w:rPr>
                <w:spacing w:val="20"/>
              </w:rPr>
              <w:t>(43004)外资</w:t>
            </w:r>
            <w:r>
              <w:rPr>
                <w:spacing w:val="4"/>
              </w:rPr>
              <w:t xml:space="preserve"> </w:t>
            </w:r>
            <w:r>
              <w:rPr>
                <w:spacing w:val="-1"/>
              </w:rPr>
              <w:t>银行调整业务范</w:t>
            </w:r>
            <w:r>
              <w:rPr/>
              <w:t xml:space="preserve"> </w:t>
            </w:r>
            <w:r>
              <w:rPr>
                <w:spacing w:val="2"/>
              </w:rPr>
              <w:t>围和增加业务品</w:t>
            </w:r>
            <w:r>
              <w:rPr/>
              <w:t xml:space="preserve"> </w:t>
            </w:r>
            <w:r>
              <w:rPr>
                <w:spacing w:val="1"/>
              </w:rPr>
              <w:t>种审批</w:t>
            </w:r>
          </w:p>
        </w:tc>
        <w:tc>
          <w:tcPr>
            <w:tcW w:w="829" w:type="dxa"/>
            <w:vAlign w:val="top"/>
          </w:tcPr>
          <w:p>
            <w:pPr>
              <w:pStyle w:val="TableText"/>
              <w:ind w:left="182"/>
              <w:spacing w:before="56" w:line="219" w:lineRule="auto"/>
              <w:rPr/>
            </w:pPr>
            <w:r>
              <w:rPr>
                <w:spacing w:val="-2"/>
              </w:rPr>
              <w:t>银监会</w:t>
            </w:r>
          </w:p>
        </w:tc>
        <w:tc>
          <w:tcPr>
            <w:tcW w:w="669" w:type="dxa"/>
            <w:vAlign w:val="top"/>
          </w:tcPr>
          <w:p>
            <w:pPr>
              <w:pStyle w:val="TableText"/>
              <w:ind w:left="12" w:right="41" w:firstLine="10"/>
              <w:spacing w:before="66" w:line="234" w:lineRule="auto"/>
              <w:rPr/>
            </w:pPr>
            <w:r>
              <w:rPr>
                <w:spacing w:val="-2"/>
              </w:rPr>
              <w:t>第三方机</w:t>
            </w:r>
            <w:r>
              <w:rPr>
                <w:spacing w:val="1"/>
              </w:rPr>
              <w:t xml:space="preserve"> </w:t>
            </w:r>
            <w:r>
              <w:rPr/>
              <w:t>构</w:t>
            </w:r>
          </w:p>
        </w:tc>
        <w:tc>
          <w:tcPr>
            <w:tcW w:w="6088" w:type="dxa"/>
            <w:vAlign w:val="top"/>
          </w:tcPr>
          <w:p>
            <w:pPr>
              <w:pStyle w:val="TableText"/>
              <w:ind w:left="34"/>
              <w:spacing w:before="76" w:line="219" w:lineRule="auto"/>
              <w:rPr/>
            </w:pPr>
            <w:r>
              <w:rPr>
                <w:spacing w:val="-2"/>
              </w:rPr>
              <w:t>1. 《中国银监会外资银行行政许可事项实施办法》(银监会令2015年第4号)第</w:t>
            </w:r>
            <w:r>
              <w:rPr>
                <w:spacing w:val="-3"/>
              </w:rPr>
              <w:t>一百二十条</w:t>
            </w:r>
          </w:p>
          <w:p>
            <w:pPr>
              <w:pStyle w:val="TableText"/>
              <w:ind w:left="34" w:right="52"/>
              <w:spacing w:before="12" w:line="245" w:lineRule="auto"/>
              <w:rPr/>
            </w:pPr>
            <w:r>
              <w:rPr/>
              <w:t>外资银行营业性机构申请开办衍生产品交易业务，应当向外商独资银</w:t>
            </w:r>
            <w:r>
              <w:rPr>
                <w:spacing w:val="-1"/>
              </w:rPr>
              <w:t>行、中外合资银行或者</w:t>
            </w:r>
            <w:r>
              <w:rPr/>
              <w:t xml:space="preserve"> </w:t>
            </w:r>
            <w:r>
              <w:rPr>
                <w:spacing w:val="-4"/>
              </w:rPr>
              <w:t>外国银行分行(管理行)所在地银监局报送下列申请资料：</w:t>
            </w:r>
            <w:r>
              <w:rPr>
                <w:spacing w:val="25"/>
                <w:w w:val="101"/>
              </w:rPr>
              <w:t xml:space="preserve">   </w:t>
            </w:r>
            <w:r>
              <w:rPr>
                <w:spacing w:val="-4"/>
              </w:rPr>
              <w:t>(七)第三方独立出具的交易场</w:t>
            </w:r>
          </w:p>
          <w:p>
            <w:pPr>
              <w:pStyle w:val="TableText"/>
              <w:ind w:left="24" w:right="49" w:firstLine="10"/>
              <w:spacing w:before="30"/>
              <w:rPr/>
            </w:pPr>
            <w:r>
              <w:rPr/>
              <w:t>所、设备和系统的安全性和稳定性测试报告。第一百二十五条：外商独资银</w:t>
            </w:r>
            <w:r>
              <w:rPr>
                <w:spacing w:val="-1"/>
              </w:rPr>
              <w:t>行、中外合资银</w:t>
            </w:r>
            <w:r>
              <w:rPr/>
              <w:t xml:space="preserve"> </w:t>
            </w:r>
            <w:r>
              <w:rPr/>
              <w:t>行申请开办信用卡业务，应当向所在地银监局提交下列申请资料：(九)信用卡业务系统和</w:t>
            </w:r>
          </w:p>
          <w:p>
            <w:pPr>
              <w:pStyle w:val="TableText"/>
              <w:ind w:left="63" w:right="94" w:firstLine="10"/>
              <w:spacing w:before="40" w:line="227" w:lineRule="auto"/>
              <w:rPr/>
            </w:pPr>
            <w:r>
              <w:rPr>
                <w:spacing w:val="-2"/>
              </w:rPr>
              <w:t>灾备系统测试报告和安全评估报告。2. 《金融机构信贷资产证券化监督管</w:t>
            </w:r>
            <w:r>
              <w:rPr>
                <w:spacing w:val="-3"/>
              </w:rPr>
              <w:t>理办法》(银监会</w:t>
            </w:r>
            <w:r>
              <w:rPr/>
              <w:t xml:space="preserve"> </w:t>
            </w:r>
            <w:r>
              <w:rPr/>
              <w:t>令2005年第3号)第十三条：银行业金融机构作为发起机构，将信贷资产信托</w:t>
            </w:r>
            <w:r>
              <w:rPr>
                <w:spacing w:val="-1"/>
              </w:rPr>
              <w:t>给受托机构，</w:t>
            </w:r>
          </w:p>
          <w:p>
            <w:pPr>
              <w:pStyle w:val="TableText"/>
              <w:ind w:left="24" w:right="34" w:firstLine="10"/>
              <w:spacing w:before="41" w:line="239" w:lineRule="auto"/>
              <w:rPr/>
            </w:pPr>
            <w:r>
              <w:rPr/>
              <w:t>由受托机构以资产支持证券的形式向投资机构发行受益证券，应当由符合本办法第七条规定</w:t>
            </w:r>
            <w:r>
              <w:rPr>
                <w:spacing w:val="8"/>
              </w:rPr>
              <w:t xml:space="preserve"> </w:t>
            </w:r>
            <w:r>
              <w:rPr>
                <w:spacing w:val="1"/>
              </w:rPr>
              <w:t>条件的银行业金融机构与获得特定目的信托</w:t>
            </w:r>
            <w:r>
              <w:rPr/>
              <w:t>受托机构资格的金融机构向银监会联合提出申</w:t>
            </w:r>
          </w:p>
          <w:p>
            <w:pPr>
              <w:pStyle w:val="TableText"/>
              <w:ind w:left="73" w:right="9" w:hanging="39"/>
              <w:spacing w:before="22" w:line="238" w:lineRule="auto"/>
              <w:rPr/>
            </w:pPr>
            <w:r>
              <w:rPr/>
              <w:t>请，并且报送下列文件和资料：(五)执业律师</w:t>
            </w:r>
            <w:r>
              <w:rPr>
                <w:spacing w:val="-1"/>
              </w:rPr>
              <w:t>出具的法律意见书草案、注册会计师出具的   </w:t>
            </w:r>
            <w:r>
              <w:rPr/>
              <w:t>会计意见书草案、资信评级机构出具的信用评级报告草案及有关持续跟踪评</w:t>
            </w:r>
            <w:r>
              <w:rPr>
                <w:spacing w:val="-1"/>
              </w:rPr>
              <w:t>级安排的说明。</w:t>
            </w:r>
          </w:p>
        </w:tc>
      </w:tr>
      <w:tr>
        <w:trPr>
          <w:trHeight w:val="1288" w:hRule="atLeast"/>
        </w:trPr>
        <w:tc>
          <w:tcPr>
            <w:tcW w:w="285" w:type="dxa"/>
            <w:vAlign w:val="top"/>
          </w:tcPr>
          <w:p>
            <w:pPr>
              <w:pStyle w:val="TableText"/>
              <w:ind w:left="55"/>
              <w:spacing w:before="119" w:line="183" w:lineRule="auto"/>
              <w:rPr/>
            </w:pPr>
            <w:r>
              <w:rPr>
                <w:spacing w:val="-3"/>
              </w:rPr>
              <w:t>53</w:t>
            </w:r>
          </w:p>
        </w:tc>
        <w:tc>
          <w:tcPr>
            <w:tcW w:w="679" w:type="dxa"/>
            <w:vAlign w:val="top"/>
          </w:tcPr>
          <w:p>
            <w:pPr>
              <w:pStyle w:val="TableText"/>
              <w:ind w:left="30" w:right="44"/>
              <w:spacing w:before="59" w:line="250" w:lineRule="auto"/>
              <w:jc w:val="both"/>
              <w:rPr/>
            </w:pPr>
            <w:r>
              <w:rPr>
                <w:spacing w:val="-3"/>
              </w:rPr>
              <w:t>外国银行</w:t>
            </w:r>
            <w:r>
              <w:rPr>
                <w:spacing w:val="2"/>
              </w:rPr>
              <w:t xml:space="preserve"> </w:t>
            </w:r>
            <w:r>
              <w:rPr>
                <w:spacing w:val="-2"/>
              </w:rPr>
              <w:t>代表处设</w:t>
            </w:r>
            <w:r>
              <w:rPr>
                <w:spacing w:val="1"/>
              </w:rPr>
              <w:t xml:space="preserve"> </w:t>
            </w:r>
            <w:r>
              <w:rPr>
                <w:spacing w:val="-2"/>
              </w:rPr>
              <w:t>立、变更</w:t>
            </w:r>
            <w:r>
              <w:rPr>
                <w:spacing w:val="1"/>
              </w:rPr>
              <w:t xml:space="preserve"> </w:t>
            </w:r>
            <w:r>
              <w:rPr>
                <w:spacing w:val="-2"/>
              </w:rPr>
              <w:t>及终止审</w:t>
            </w:r>
            <w:r>
              <w:rPr>
                <w:spacing w:val="1"/>
              </w:rPr>
              <w:t xml:space="preserve"> </w:t>
            </w:r>
            <w:r>
              <w:rPr>
                <w:spacing w:val="-2"/>
              </w:rPr>
              <w:t>批所需的</w:t>
            </w:r>
            <w:r>
              <w:rPr>
                <w:spacing w:val="1"/>
              </w:rPr>
              <w:t xml:space="preserve"> </w:t>
            </w:r>
            <w:r>
              <w:rPr>
                <w:spacing w:val="-2"/>
              </w:rPr>
              <w:t>年报编制</w:t>
            </w:r>
          </w:p>
        </w:tc>
        <w:tc>
          <w:tcPr>
            <w:tcW w:w="1109" w:type="dxa"/>
            <w:vAlign w:val="top"/>
          </w:tcPr>
          <w:p>
            <w:pPr>
              <w:pStyle w:val="TableText"/>
              <w:ind w:left="20" w:right="33" w:firstLine="110"/>
              <w:spacing w:before="61" w:line="249" w:lineRule="auto"/>
              <w:rPr/>
            </w:pPr>
            <w:r>
              <w:rPr>
                <w:spacing w:val="1"/>
              </w:rPr>
              <w:t>(43005)外国</w:t>
            </w:r>
            <w:r>
              <w:rPr/>
              <w:t xml:space="preserve">  </w:t>
            </w:r>
            <w:r>
              <w:rPr>
                <w:spacing w:val="10"/>
              </w:rPr>
              <w:t>银行代表处设</w:t>
            </w:r>
            <w:r>
              <w:rPr>
                <w:spacing w:val="1"/>
              </w:rPr>
              <w:t xml:space="preserve">  </w:t>
            </w:r>
            <w:r>
              <w:rPr>
                <w:spacing w:val="-1"/>
              </w:rPr>
              <w:t>立、变更及终止</w:t>
            </w:r>
            <w:r>
              <w:rPr/>
              <w:t xml:space="preserve"> </w:t>
            </w:r>
            <w:r>
              <w:rPr>
                <w:spacing w:val="-1"/>
              </w:rPr>
              <w:t>审批</w:t>
            </w:r>
          </w:p>
        </w:tc>
        <w:tc>
          <w:tcPr>
            <w:tcW w:w="829" w:type="dxa"/>
            <w:vAlign w:val="top"/>
          </w:tcPr>
          <w:p>
            <w:pPr>
              <w:pStyle w:val="TableText"/>
              <w:ind w:left="182"/>
              <w:spacing w:before="40" w:line="219" w:lineRule="auto"/>
              <w:rPr/>
            </w:pPr>
            <w:r>
              <w:rPr>
                <w:spacing w:val="-2"/>
              </w:rPr>
              <w:t>银监会</w:t>
            </w:r>
          </w:p>
        </w:tc>
        <w:tc>
          <w:tcPr>
            <w:tcW w:w="669" w:type="dxa"/>
            <w:vAlign w:val="top"/>
          </w:tcPr>
          <w:p>
            <w:pPr>
              <w:pStyle w:val="TableText"/>
              <w:ind w:left="22" w:right="28"/>
              <w:spacing w:before="59" w:line="246" w:lineRule="auto"/>
              <w:jc w:val="both"/>
              <w:rPr/>
            </w:pPr>
            <w:r>
              <w:rPr>
                <w:spacing w:val="1"/>
              </w:rPr>
              <w:t>申请人所</w:t>
            </w:r>
            <w:r>
              <w:rPr/>
              <w:t xml:space="preserve"> </w:t>
            </w:r>
            <w:r>
              <w:rPr>
                <w:spacing w:val="-2"/>
              </w:rPr>
              <w:t>在国家或</w:t>
            </w:r>
            <w:r>
              <w:rPr>
                <w:spacing w:val="1"/>
              </w:rPr>
              <w:t xml:space="preserve"> </w:t>
            </w:r>
            <w:r>
              <w:rPr>
                <w:spacing w:val="-2"/>
              </w:rPr>
              <w:t>地区认可</w:t>
            </w:r>
            <w:r>
              <w:rPr>
                <w:spacing w:val="1"/>
              </w:rPr>
              <w:t xml:space="preserve"> </w:t>
            </w:r>
            <w:r>
              <w:rPr>
                <w:spacing w:val="1"/>
              </w:rPr>
              <w:t>的会计师</w:t>
            </w:r>
            <w:r>
              <w:rPr>
                <w:spacing w:val="2"/>
              </w:rPr>
              <w:t xml:space="preserve"> </w:t>
            </w:r>
            <w:r>
              <w:rPr>
                <w:spacing w:val="1"/>
              </w:rPr>
              <w:t>事务所</w:t>
            </w:r>
          </w:p>
        </w:tc>
        <w:tc>
          <w:tcPr>
            <w:tcW w:w="6088" w:type="dxa"/>
            <w:vAlign w:val="top"/>
          </w:tcPr>
          <w:p>
            <w:pPr>
              <w:pStyle w:val="TableText"/>
              <w:ind w:left="73" w:right="87" w:firstLine="70"/>
              <w:spacing w:before="49" w:line="239" w:lineRule="auto"/>
              <w:rPr/>
            </w:pPr>
            <w:r>
              <w:rPr>
                <w:spacing w:val="-2"/>
              </w:rPr>
              <w:t>1. 《中华人民共和国外资银行管理条例》(国务院令第657号)第二十条设立外国银行代表</w:t>
            </w:r>
            <w:r>
              <w:rPr>
                <w:spacing w:val="7"/>
              </w:rPr>
              <w:t xml:space="preserve">  </w:t>
            </w:r>
            <w:r>
              <w:rPr/>
              <w:t>处，应当将下列申请资料报送拟设代表处所在地的银行业监督管理机构</w:t>
            </w:r>
            <w:r>
              <w:rPr>
                <w:spacing w:val="-1"/>
              </w:rPr>
              <w:t>：(五)申请人最近3</w:t>
            </w:r>
          </w:p>
          <w:p>
            <w:pPr>
              <w:pStyle w:val="TableText"/>
              <w:ind w:left="34" w:right="51" w:firstLine="109"/>
              <w:spacing w:before="63" w:line="237" w:lineRule="auto"/>
              <w:rPr/>
            </w:pPr>
            <w:r>
              <w:rPr>
                <w:spacing w:val="-2"/>
              </w:rPr>
              <w:t>年的年报。2. 《中国银监会外资银行行政许可事项实施办法》(银监会令2015年第</w:t>
            </w:r>
            <w:r>
              <w:rPr>
                <w:spacing w:val="-3"/>
              </w:rPr>
              <w:t>4号)第  </w:t>
            </w:r>
            <w:r>
              <w:rPr/>
              <w:t>六十条：申请设立外国银行代表处，申请人应当向拟设机构所在地银监</w:t>
            </w:r>
            <w:r>
              <w:rPr>
                <w:spacing w:val="-1"/>
              </w:rPr>
              <w:t>局提交下列申请资料</w:t>
            </w:r>
            <w:r>
              <w:rPr/>
              <w:t xml:space="preserve"> </w:t>
            </w:r>
            <w:r>
              <w:rPr>
                <w:spacing w:val="4"/>
              </w:rPr>
              <w:t>(六)申请人最近3年年报。</w:t>
            </w:r>
          </w:p>
        </w:tc>
      </w:tr>
      <w:tr>
        <w:trPr>
          <w:trHeight w:val="2142" w:hRule="atLeast"/>
        </w:trPr>
        <w:tc>
          <w:tcPr>
            <w:tcW w:w="285" w:type="dxa"/>
            <w:vAlign w:val="top"/>
          </w:tcPr>
          <w:p>
            <w:pPr>
              <w:pStyle w:val="TableText"/>
              <w:ind w:left="55"/>
              <w:spacing w:before="121" w:line="183" w:lineRule="auto"/>
              <w:rPr/>
            </w:pPr>
            <w:r>
              <w:rPr>
                <w:spacing w:val="-3"/>
              </w:rPr>
              <w:t>54</w:t>
            </w:r>
          </w:p>
        </w:tc>
        <w:tc>
          <w:tcPr>
            <w:tcW w:w="679" w:type="dxa"/>
            <w:vAlign w:val="top"/>
          </w:tcPr>
          <w:p>
            <w:pPr>
              <w:pStyle w:val="TableText"/>
              <w:ind w:left="10" w:right="44" w:firstLine="20"/>
              <w:spacing w:before="83" w:line="250" w:lineRule="auto"/>
              <w:jc w:val="both"/>
              <w:rPr/>
            </w:pPr>
            <w:r>
              <w:rPr>
                <w:spacing w:val="-3"/>
              </w:rPr>
              <w:t>外国银行</w:t>
            </w:r>
            <w:r>
              <w:rPr>
                <w:spacing w:val="2"/>
              </w:rPr>
              <w:t xml:space="preserve"> </w:t>
            </w:r>
            <w:r>
              <w:rPr>
                <w:spacing w:val="3"/>
              </w:rPr>
              <w:t>代表处设</w:t>
            </w:r>
            <w:r>
              <w:rPr>
                <w:spacing w:val="1"/>
              </w:rPr>
              <w:t xml:space="preserve"> </w:t>
            </w:r>
            <w:r>
              <w:rPr>
                <w:spacing w:val="3"/>
              </w:rPr>
              <w:t>立、变更</w:t>
            </w:r>
            <w:r>
              <w:rPr>
                <w:spacing w:val="1"/>
              </w:rPr>
              <w:t xml:space="preserve"> </w:t>
            </w:r>
            <w:r>
              <w:rPr>
                <w:spacing w:val="3"/>
              </w:rPr>
              <w:t>及终止公</w:t>
            </w:r>
            <w:r>
              <w:rPr>
                <w:spacing w:val="1"/>
              </w:rPr>
              <w:t xml:space="preserve"> </w:t>
            </w:r>
            <w:r>
              <w:rPr/>
              <w:t>证</w:t>
            </w:r>
          </w:p>
        </w:tc>
        <w:tc>
          <w:tcPr>
            <w:tcW w:w="1109" w:type="dxa"/>
            <w:vAlign w:val="top"/>
          </w:tcPr>
          <w:p>
            <w:pPr>
              <w:pStyle w:val="TableText"/>
              <w:ind w:left="20" w:right="33" w:firstLine="20"/>
              <w:spacing w:before="83" w:line="246" w:lineRule="auto"/>
              <w:rPr/>
            </w:pPr>
            <w:r>
              <w:rPr>
                <w:spacing w:val="21"/>
              </w:rPr>
              <w:t>(43005)外国</w:t>
            </w:r>
            <w:r>
              <w:rPr/>
              <w:t xml:space="preserve"> </w:t>
            </w:r>
            <w:r>
              <w:rPr>
                <w:spacing w:val="10"/>
              </w:rPr>
              <w:t>银行代表处设</w:t>
            </w:r>
            <w:r>
              <w:rPr>
                <w:spacing w:val="1"/>
              </w:rPr>
              <w:t xml:space="preserve">  </w:t>
            </w:r>
            <w:r>
              <w:rPr>
                <w:spacing w:val="-1"/>
              </w:rPr>
              <w:t>立、变更及终止</w:t>
            </w:r>
          </w:p>
          <w:p>
            <w:pPr>
              <w:pStyle w:val="TableText"/>
              <w:ind w:left="10"/>
              <w:spacing w:before="20" w:line="220" w:lineRule="auto"/>
              <w:rPr/>
            </w:pPr>
            <w:r>
              <w:rPr>
                <w:spacing w:val="-4"/>
              </w:rPr>
              <w:t>审批</w:t>
            </w:r>
          </w:p>
        </w:tc>
        <w:tc>
          <w:tcPr>
            <w:tcW w:w="829" w:type="dxa"/>
            <w:vAlign w:val="top"/>
          </w:tcPr>
          <w:p>
            <w:pPr>
              <w:pStyle w:val="TableText"/>
              <w:ind w:left="182"/>
              <w:spacing w:before="62" w:line="219" w:lineRule="auto"/>
              <w:rPr/>
            </w:pPr>
            <w:r>
              <w:rPr>
                <w:spacing w:val="-2"/>
              </w:rPr>
              <w:t>银监会</w:t>
            </w:r>
          </w:p>
        </w:tc>
        <w:tc>
          <w:tcPr>
            <w:tcW w:w="669" w:type="dxa"/>
            <w:vAlign w:val="top"/>
          </w:tcPr>
          <w:p>
            <w:pPr>
              <w:pStyle w:val="TableText"/>
              <w:ind w:left="22" w:right="26"/>
              <w:spacing w:before="83" w:line="244" w:lineRule="auto"/>
              <w:rPr/>
            </w:pPr>
            <w:r>
              <w:rPr>
                <w:spacing w:val="-2"/>
              </w:rPr>
              <w:t>境内、外</w:t>
            </w:r>
            <w:r>
              <w:rPr/>
              <w:t xml:space="preserve"> </w:t>
            </w:r>
            <w:r>
              <w:rPr>
                <w:spacing w:val="2"/>
              </w:rPr>
              <w:t>公证机构</w:t>
            </w:r>
          </w:p>
        </w:tc>
        <w:tc>
          <w:tcPr>
            <w:tcW w:w="6088" w:type="dxa"/>
            <w:vAlign w:val="top"/>
          </w:tcPr>
          <w:p>
            <w:pPr>
              <w:pStyle w:val="TableText"/>
              <w:ind w:left="24" w:right="12" w:hanging="10"/>
              <w:spacing w:before="93" w:line="238" w:lineRule="auto"/>
              <w:rPr/>
            </w:pPr>
            <w:r>
              <w:rPr>
                <w:spacing w:val="-2"/>
              </w:rPr>
              <w:t>1. 《中华人民共和国外资银行管理条例》(国务院令第657号)第二十条</w:t>
            </w:r>
            <w:r>
              <w:rPr>
                <w:spacing w:val="-3"/>
              </w:rPr>
              <w:t>：设立外国银行代表处</w:t>
            </w:r>
            <w:r>
              <w:rPr/>
              <w:t xml:space="preserve"> </w:t>
            </w:r>
            <w:r>
              <w:rPr/>
              <w:t>应当将下列申请资料报送拟设代表处所在地的银行业监督管理机构：(九)</w:t>
            </w:r>
            <w:r>
              <w:rPr>
                <w:spacing w:val="-1"/>
              </w:rPr>
              <w:t>申请人所在国家</w:t>
            </w:r>
          </w:p>
          <w:p>
            <w:pPr>
              <w:pStyle w:val="TableText"/>
              <w:ind w:left="34"/>
              <w:spacing w:before="33" w:line="219" w:lineRule="auto"/>
              <w:rPr/>
            </w:pPr>
            <w:r>
              <w:rPr/>
              <w:t>或者地区金融监管当局核发的营业执照或者经营金融业务许可文件的复</w:t>
            </w:r>
            <w:r>
              <w:rPr>
                <w:spacing w:val="-1"/>
              </w:rPr>
              <w:t>印件及对其申请的意</w:t>
            </w:r>
          </w:p>
          <w:p>
            <w:pPr>
              <w:pStyle w:val="TableText"/>
              <w:ind w:left="24" w:right="38" w:firstLine="89"/>
              <w:spacing w:before="2" w:line="257" w:lineRule="auto"/>
              <w:rPr/>
            </w:pPr>
            <w:r>
              <w:rPr>
                <w:spacing w:val="-2"/>
              </w:rPr>
              <w:t>见书。2. 《中国银监会外资银行行政许可事项实施办法》(银监会令2015年第4号)第八条：</w:t>
            </w:r>
            <w:r>
              <w:rPr>
                <w:spacing w:val="14"/>
              </w:rPr>
              <w:t xml:space="preserve"> </w:t>
            </w:r>
            <w:r>
              <w:rPr/>
              <w:t>本办法要求提交的营业执照复印件、经营金融业务许可文件复印件、授权书、外国银行对其</w:t>
            </w:r>
            <w:r>
              <w:rPr>
                <w:spacing w:val="2"/>
              </w:rPr>
              <w:t xml:space="preserve"> </w:t>
            </w:r>
            <w:r>
              <w:rPr/>
              <w:t>在中国境内分行承担税务和债务责任的保证书，应当经所在国家或者地区</w:t>
            </w:r>
            <w:r>
              <w:rPr>
                <w:spacing w:val="-1"/>
              </w:rPr>
              <w:t>认可的机构公证</w:t>
            </w:r>
          </w:p>
          <w:p>
            <w:pPr>
              <w:pStyle w:val="TableText"/>
              <w:ind w:left="14" w:right="23" w:firstLine="20"/>
              <w:spacing w:before="31"/>
              <w:rPr/>
            </w:pPr>
            <w:r>
              <w:rPr/>
              <w:t>并且经中国驻该国使馆、领馆认证，但中国工商行政管理机关出具</w:t>
            </w:r>
            <w:r>
              <w:rPr>
                <w:spacing w:val="-1"/>
              </w:rPr>
              <w:t>的营业执照复印件无须公</w:t>
            </w:r>
            <w:r>
              <w:rPr/>
              <w:t xml:space="preserve"> </w:t>
            </w:r>
            <w:r>
              <w:rPr>
                <w:spacing w:val="1"/>
              </w:rPr>
              <w:t>证。第六十条：申请设立外国银行代表处，申请人应当向拟设机构所在地银监局提交下列申</w:t>
            </w:r>
            <w:r>
              <w:rPr/>
              <w:t xml:space="preserve"> </w:t>
            </w:r>
            <w:r>
              <w:rPr>
                <w:spacing w:val="-1"/>
              </w:rPr>
              <w:t>请资料：   (八)申请人所在国家或者金融监管当局</w:t>
            </w:r>
            <w:r>
              <w:rPr>
                <w:spacing w:val="-2"/>
              </w:rPr>
              <w:t>核发的营业执照或者经营金融业务许可文</w:t>
            </w:r>
            <w:r>
              <w:rPr/>
              <w:t xml:space="preserve"> </w:t>
            </w:r>
            <w:r>
              <w:rPr>
                <w:spacing w:val="-1"/>
              </w:rPr>
              <w:t>件的复印件及对其申请的意见书，</w:t>
            </w:r>
          </w:p>
        </w:tc>
      </w:tr>
    </w:tbl>
    <w:p>
      <w:pPr>
        <w:pStyle w:val="BodyText"/>
        <w:rPr/>
      </w:pPr>
      <w:r/>
    </w:p>
    <w:p>
      <w:pPr>
        <w:sectPr>
          <w:pgSz w:w="11910" w:h="8220"/>
          <w:pgMar w:top="400" w:right="112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60320" behindDoc="0" locked="0" layoutInCell="0" allowOverlap="1">
                <wp:simplePos x="0" y="0"/>
                <wp:positionH relativeFrom="page">
                  <wp:posOffset>470410</wp:posOffset>
                </wp:positionH>
                <wp:positionV relativeFrom="page">
                  <wp:posOffset>624044</wp:posOffset>
                </wp:positionV>
                <wp:extent cx="172720" cy="156845"/>
                <wp:effectExtent l="0" t="0" r="0" b="0"/>
                <wp:wrapNone/>
                <wp:docPr id="420" name="TextBox 420"/>
                <wp:cNvGraphicFramePr/>
                <a:graphic>
                  <a:graphicData uri="http://schemas.microsoft.com/office/word/2010/wordprocessingShape">
                    <wps:wsp>
                      <wps:cNvSpPr txBox="1"/>
                      <wps:spPr>
                        <a:xfrm rot="5400000">
                          <a:off x="470410" y="62404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2" style="position:absolute;margin-left:37.0402pt;margin-top:49.1374pt;mso-position-vertical-relative:page;mso-position-horizontal-relative:page;width:13.6pt;height:12.35pt;z-index:25196032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298</w:t>
                      </w:r>
                    </w:p>
                  </w:txbxContent>
                </v:textbox>
              </v:shape>
            </w:pict>
          </mc:Fallback>
        </mc:AlternateContent>
      </w:r>
      <w:r/>
    </w:p>
    <w:p>
      <w:pPr>
        <w:spacing w:before="46"/>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36" w:hRule="atLeast"/>
        </w:trPr>
        <w:tc>
          <w:tcPr>
            <w:tcW w:w="295"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65"/>
              <w:spacing w:before="49" w:line="182" w:lineRule="auto"/>
              <w:rPr/>
            </w:pPr>
            <w:r>
              <w:rPr>
                <w:spacing w:val="-3"/>
              </w:rPr>
              <w:t>55</w:t>
            </w:r>
          </w:p>
        </w:tc>
        <w:tc>
          <w:tcPr>
            <w:tcW w:w="659"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0"/>
              <w:spacing w:before="49" w:line="260" w:lineRule="auto"/>
              <w:jc w:val="both"/>
              <w:rPr/>
            </w:pPr>
            <w:r>
              <w:rPr>
                <w:spacing w:val="-12"/>
                <w:w w:val="97"/>
              </w:rPr>
              <w:t>商</w:t>
            </w:r>
            <w:r>
              <w:rPr>
                <w:spacing w:val="16"/>
              </w:rPr>
              <w:t xml:space="preserve"> </w:t>
            </w:r>
            <w:r>
              <w:rPr>
                <w:spacing w:val="-12"/>
                <w:w w:val="97"/>
              </w:rPr>
              <w:t>业</w:t>
            </w:r>
            <w:r>
              <w:rPr>
                <w:spacing w:val="17"/>
              </w:rPr>
              <w:t xml:space="preserve"> </w:t>
            </w:r>
            <w:r>
              <w:rPr>
                <w:spacing w:val="-12"/>
                <w:w w:val="97"/>
              </w:rPr>
              <w:t>银</w:t>
            </w:r>
            <w:r>
              <w:rPr/>
              <w:t xml:space="preserve">  </w:t>
            </w:r>
            <w:r>
              <w:rPr>
                <w:spacing w:val="-10"/>
              </w:rPr>
              <w:t>行、政策</w:t>
            </w:r>
            <w:r>
              <w:rPr/>
              <w:t xml:space="preserve">  </w:t>
            </w:r>
            <w:r>
              <w:rPr>
                <w:spacing w:val="1"/>
              </w:rPr>
              <w:t>性银行</w:t>
            </w:r>
            <w:r>
              <w:rPr>
                <w:spacing w:val="-42"/>
              </w:rPr>
              <w:t xml:space="preserve"> </w:t>
            </w:r>
            <w:r>
              <w:rPr>
                <w:spacing w:val="1"/>
              </w:rPr>
              <w:t>、</w:t>
            </w:r>
            <w:r>
              <w:rPr/>
              <w:t xml:space="preserve"> </w:t>
            </w:r>
            <w:r>
              <w:rPr>
                <w:spacing w:val="-10"/>
              </w:rPr>
              <w:t>金融资产</w:t>
            </w:r>
            <w:r>
              <w:rPr/>
              <w:t xml:space="preserve">  </w:t>
            </w:r>
            <w:r>
              <w:rPr>
                <w:spacing w:val="-4"/>
              </w:rPr>
              <w:t>管理公司 </w:t>
            </w:r>
            <w:r>
              <w:rPr>
                <w:spacing w:val="-10"/>
              </w:rPr>
              <w:t>财务报告</w:t>
            </w:r>
            <w:r>
              <w:rPr>
                <w:spacing w:val="1"/>
              </w:rPr>
              <w:t xml:space="preserve">  </w:t>
            </w:r>
            <w:r>
              <w:rPr>
                <w:spacing w:val="-9"/>
              </w:rPr>
              <w:t>审计</w:t>
            </w:r>
          </w:p>
        </w:tc>
        <w:tc>
          <w:tcPr>
            <w:tcW w:w="1109"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0" w:right="34" w:firstLine="20"/>
              <w:spacing w:before="49" w:line="237" w:lineRule="auto"/>
              <w:jc w:val="both"/>
              <w:rPr/>
            </w:pPr>
            <w:r>
              <w:rPr>
                <w:spacing w:val="20"/>
              </w:rPr>
              <w:t>(43007)商业</w:t>
            </w:r>
            <w:r>
              <w:rPr/>
              <w:t xml:space="preserve"> </w:t>
            </w:r>
            <w:r>
              <w:rPr>
                <w:spacing w:val="-1"/>
              </w:rPr>
              <w:t>银行、政策性银</w:t>
            </w:r>
            <w:r>
              <w:rPr/>
              <w:t xml:space="preserve"> </w:t>
            </w:r>
            <w:r>
              <w:rPr>
                <w:spacing w:val="-2"/>
              </w:rPr>
              <w:t>行、金融资产管</w:t>
            </w:r>
          </w:p>
          <w:p>
            <w:pPr>
              <w:pStyle w:val="TableText"/>
              <w:ind w:left="20" w:right="33"/>
              <w:spacing w:before="82" w:line="252" w:lineRule="auto"/>
              <w:jc w:val="both"/>
              <w:rPr/>
            </w:pPr>
            <w:r>
              <w:rPr>
                <w:spacing w:val="-2"/>
              </w:rPr>
              <w:t>理公司对外从事</w:t>
            </w:r>
            <w:r>
              <w:rPr>
                <w:spacing w:val="5"/>
              </w:rPr>
              <w:t xml:space="preserve"> </w:t>
            </w:r>
            <w:r>
              <w:rPr>
                <w:spacing w:val="-1"/>
              </w:rPr>
              <w:t>股权投资及商业</w:t>
            </w:r>
            <w:r>
              <w:rPr/>
              <w:t xml:space="preserve"> </w:t>
            </w:r>
            <w:r>
              <w:rPr>
                <w:spacing w:val="-1"/>
              </w:rPr>
              <w:t>银行综合化经营</w:t>
            </w:r>
            <w:r>
              <w:rPr/>
              <w:t xml:space="preserve"> </w:t>
            </w:r>
            <w:r>
              <w:rPr>
                <w:spacing w:val="3"/>
              </w:rPr>
              <w:t>审批</w:t>
            </w:r>
          </w:p>
        </w:tc>
        <w:tc>
          <w:tcPr>
            <w:tcW w:w="83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82"/>
              <w:spacing w:before="49" w:line="219" w:lineRule="auto"/>
              <w:rPr/>
            </w:pPr>
            <w:r>
              <w:rPr>
                <w:spacing w:val="-2"/>
              </w:rPr>
              <w:t>银监会</w:t>
            </w:r>
          </w:p>
        </w:tc>
        <w:tc>
          <w:tcPr>
            <w:tcW w:w="65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 w:right="31" w:firstLine="10"/>
              <w:spacing w:before="49" w:line="233" w:lineRule="auto"/>
              <w:rPr/>
            </w:pPr>
            <w:r>
              <w:rPr>
                <w:spacing w:val="-2"/>
              </w:rPr>
              <w:t>会计师事</w:t>
            </w:r>
            <w:r>
              <w:rPr>
                <w:spacing w:val="1"/>
              </w:rPr>
              <w:t xml:space="preserve"> </w:t>
            </w:r>
            <w:r>
              <w:rPr>
                <w:spacing w:val="-2"/>
              </w:rPr>
              <w:t>务所</w:t>
            </w:r>
          </w:p>
        </w:tc>
        <w:tc>
          <w:tcPr>
            <w:tcW w:w="6098"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34" w:firstLine="9"/>
              <w:spacing w:before="49" w:line="258" w:lineRule="auto"/>
              <w:rPr/>
            </w:pPr>
            <w:r>
              <w:rPr>
                <w:spacing w:val="-2"/>
              </w:rPr>
              <w:t>1. 《中国银监会中资商业银行行政许可事项实施办法》(银监会令</w:t>
            </w:r>
            <w:r>
              <w:rPr>
                <w:spacing w:val="-3"/>
              </w:rPr>
              <w:t>2015年第2号)第三十三条：</w:t>
            </w:r>
            <w:r>
              <w:rPr/>
              <w:t xml:space="preserve"> </w:t>
            </w:r>
            <w:r>
              <w:rPr>
                <w:spacing w:val="-3"/>
              </w:rPr>
              <w:t>中资商业银行申请投资设立、参股、收购境内法人金融机构的</w:t>
            </w:r>
            <w:r>
              <w:rPr>
                <w:spacing w:val="-4"/>
              </w:rPr>
              <w:t>，应当符合以下条件：    (八) </w:t>
            </w:r>
            <w:r>
              <w:rPr/>
              <w:t>最近3个会计年度连续盈利。第三十五条：中资商业银行申请投资设立、参股、收购境外</w:t>
            </w:r>
            <w:r>
              <w:rPr>
                <w:spacing w:val="-1"/>
              </w:rPr>
              <w:t>机  </w:t>
            </w:r>
            <w:r>
              <w:rPr>
                <w:spacing w:val="-3"/>
              </w:rPr>
              <w:t>构，申请人应当符合以下条件(六)最近3个会计年度连续盈利。2. 《商业银行投资保险公</w:t>
            </w:r>
          </w:p>
          <w:p>
            <w:pPr>
              <w:pStyle w:val="TableText"/>
              <w:ind w:left="34" w:right="31" w:firstLine="79"/>
              <w:spacing w:before="41" w:line="258" w:lineRule="auto"/>
              <w:rPr/>
            </w:pPr>
            <w:r>
              <w:rPr/>
              <w:t>司股权试点管理办法》(银监发〔2009〕98号)第七条：拟投资保险公司的商业银行，应按</w:t>
            </w:r>
            <w:r>
              <w:rPr>
                <w:spacing w:val="3"/>
              </w:rPr>
              <w:t xml:space="preserve">  </w:t>
            </w:r>
            <w:r>
              <w:rPr>
                <w:spacing w:val="1"/>
              </w:rPr>
              <w:t>照中国银监会相关行政许可的规定向中国银监会</w:t>
            </w:r>
            <w:r>
              <w:rPr/>
              <w:t>提出申请。提出申请时，应提交下列文件和 </w:t>
            </w:r>
            <w:r>
              <w:rPr>
                <w:spacing w:val="-1"/>
              </w:rPr>
              <w:t>资料一式两份：(六)商业银行最近三年经审计的财务会计报告和业务发展情况报告。3.</w:t>
            </w:r>
            <w:r>
              <w:rPr>
                <w:spacing w:val="-25"/>
              </w:rPr>
              <w:t xml:space="preserve"> </w:t>
            </w:r>
            <w:r>
              <w:rPr>
                <w:spacing w:val="-1"/>
              </w:rPr>
              <w:t>《中</w:t>
            </w:r>
            <w:r>
              <w:rPr/>
              <w:t xml:space="preserve"> </w:t>
            </w:r>
            <w:r>
              <w:rPr/>
              <w:t>国银监会非银行金融机构行政许可事项实施办法》(银监会令2015年第5号)第七十七条</w:t>
            </w:r>
          </w:p>
          <w:p>
            <w:pPr>
              <w:pStyle w:val="TableText"/>
              <w:ind w:left="34" w:firstLine="19"/>
              <w:spacing w:before="21" w:line="262" w:lineRule="auto"/>
              <w:rPr/>
            </w:pPr>
            <w:r>
              <w:rPr>
                <w:spacing w:val="-3"/>
              </w:rPr>
              <w:t>金融资产管理公司申请投资设立、参股、收购境内法人金融机构的，应当符合以下条件；(八)</w:t>
            </w:r>
            <w:r>
              <w:rPr>
                <w:spacing w:val="9"/>
              </w:rPr>
              <w:t xml:space="preserve"> </w:t>
            </w:r>
            <w:r>
              <w:rPr/>
              <w:t>最近2个会计年度连续盈利。第七十九条；金融资产管理公司申请投资设立、参股、收购</w:t>
            </w:r>
            <w:r>
              <w:rPr>
                <w:spacing w:val="-1"/>
              </w:rPr>
              <w:t>境  </w:t>
            </w:r>
            <w:r>
              <w:rPr>
                <w:spacing w:val="-2"/>
              </w:rPr>
              <w:t>外法人金融机构的，应当符合以下条件；(六)最近2个会</w:t>
            </w:r>
            <w:r>
              <w:rPr>
                <w:spacing w:val="-3"/>
              </w:rPr>
              <w:t>计年度连续盈利。4. 《中国银监</w:t>
            </w:r>
          </w:p>
          <w:p>
            <w:pPr>
              <w:pStyle w:val="TableText"/>
              <w:spacing w:before="22" w:line="219" w:lineRule="auto"/>
              <w:jc w:val="right"/>
              <w:rPr/>
            </w:pPr>
            <w:r>
              <w:rPr/>
              <w:t>会办公厅关于印发行政许可事项申请材料目录及格式要求的通知》(银监办发〔2015〕118号)</w:t>
            </w:r>
          </w:p>
          <w:p>
            <w:pPr>
              <w:pStyle w:val="TableText"/>
              <w:ind w:left="34"/>
              <w:spacing w:before="52" w:line="219" w:lineRule="auto"/>
              <w:rPr/>
            </w:pPr>
            <w:r>
              <w:rPr/>
              <w:t>附件1:(三)投资设立、参股、收购境内法人金融机构1.11中资商业银行投资设立、参股</w:t>
            </w:r>
          </w:p>
          <w:p>
            <w:pPr>
              <w:pStyle w:val="TableText"/>
              <w:ind w:left="34"/>
              <w:spacing w:before="41" w:line="218" w:lineRule="auto"/>
              <w:rPr/>
            </w:pPr>
            <w:r>
              <w:rPr/>
              <w:t>收购境内法人金融机构申请材料目录：(6)申请人最近3年经</w:t>
            </w:r>
            <w:r>
              <w:rPr>
                <w:spacing w:val="-1"/>
              </w:rPr>
              <w:t>审计的财务报告和业务发展</w:t>
            </w:r>
          </w:p>
          <w:p>
            <w:pPr>
              <w:pStyle w:val="TableText"/>
              <w:ind w:left="24"/>
              <w:spacing w:before="43" w:line="218" w:lineRule="auto"/>
              <w:rPr/>
            </w:pPr>
            <w:r>
              <w:rPr/>
              <w:t>情况报告；(7)被投资设立方(被参股方、被收购方)最近3年经审计的</w:t>
            </w:r>
            <w:r>
              <w:rPr>
                <w:spacing w:val="-1"/>
              </w:rPr>
              <w:t>财务报告和业务发</w:t>
            </w:r>
          </w:p>
          <w:p>
            <w:pPr>
              <w:pStyle w:val="TableText"/>
              <w:ind w:left="34" w:right="96" w:firstLine="39"/>
              <w:spacing w:before="53" w:line="244" w:lineRule="auto"/>
              <w:rPr/>
            </w:pPr>
            <w:r>
              <w:rPr/>
              <w:t>展情况报告。附件5:3.1金融资产管理公司投资设立、参股、收购境内</w:t>
            </w:r>
            <w:r>
              <w:rPr>
                <w:spacing w:val="-1"/>
              </w:rPr>
              <w:t>外金融机构审批申请</w:t>
            </w:r>
            <w:r>
              <w:rPr/>
              <w:t xml:space="preserve"> </w:t>
            </w:r>
            <w:r>
              <w:rPr>
                <w:spacing w:val="-6"/>
              </w:rPr>
              <w:t>材料目录：</w:t>
            </w:r>
            <w:r>
              <w:rPr>
                <w:spacing w:val="17"/>
              </w:rPr>
              <w:t xml:space="preserve">   </w:t>
            </w:r>
            <w:r>
              <w:rPr>
                <w:spacing w:val="-6"/>
              </w:rPr>
              <w:t>(6)最近2年的年度审计报告复印件</w:t>
            </w:r>
          </w:p>
        </w:tc>
      </w:tr>
    </w:tbl>
    <w:p>
      <w:pPr>
        <w:pStyle w:val="BodyText"/>
        <w:rPr/>
      </w:pPr>
      <w:r/>
    </w:p>
    <w:p>
      <w:pPr>
        <w:sectPr>
          <w:pgSz w:w="11910" w:h="8220"/>
          <w:pgMar w:top="400" w:right="1115" w:bottom="400" w:left="821" w:header="0" w:footer="0" w:gutter="0"/>
        </w:sectPr>
        <w:rPr/>
      </w:pPr>
    </w:p>
    <w:p>
      <w:pPr>
        <w:spacing w:before="153"/>
        <w:rPr/>
      </w:pPr>
      <w:r>
        <mc:AlternateContent xmlns:mc="http://schemas.openxmlformats.org/markup-compatibility/2006">
          <mc:Choice Requires="wps">
            <w:drawing>
              <wp:anchor distT="0" distB="0" distL="0" distR="0" simplePos="0" relativeHeight="251961344" behindDoc="0" locked="0" layoutInCell="0" allowOverlap="1">
                <wp:simplePos x="0" y="0"/>
                <wp:positionH relativeFrom="page">
                  <wp:posOffset>470410</wp:posOffset>
                </wp:positionH>
                <wp:positionV relativeFrom="page">
                  <wp:posOffset>4376904</wp:posOffset>
                </wp:positionV>
                <wp:extent cx="172720" cy="156845"/>
                <wp:effectExtent l="0" t="0" r="0" b="0"/>
                <wp:wrapNone/>
                <wp:docPr id="422" name="TextBox 422"/>
                <wp:cNvGraphicFramePr/>
                <a:graphic>
                  <a:graphicData uri="http://schemas.microsoft.com/office/word/2010/wordprocessingShape">
                    <wps:wsp>
                      <wps:cNvSpPr txBox="1"/>
                      <wps:spPr>
                        <a:xfrm rot="5400000">
                          <a:off x="470410" y="4376904"/>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4" style="position:absolute;margin-left:37.0402pt;margin-top:344.638pt;mso-position-vertical-relative:page;mso-position-horizontal-relative:page;width:13.6pt;height:12.35pt;z-index:25196134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299</w:t>
                      </w:r>
                    </w:p>
                  </w:txbxContent>
                </v:textbox>
              </v:shape>
            </w:pict>
          </mc:Fallback>
        </mc:AlternateContent>
      </w: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cPr>
          <w:p>
            <w:pPr>
              <w:pStyle w:val="TableText"/>
              <w:ind w:left="65"/>
              <w:spacing w:before="71" w:line="222" w:lineRule="auto"/>
              <w:rPr/>
            </w:pPr>
            <w:r>
              <w:rPr/>
              <w:t>序</w:t>
            </w:r>
          </w:p>
          <w:p>
            <w:pPr>
              <w:pStyle w:val="TableText"/>
              <w:ind w:left="65"/>
              <w:spacing w:line="220" w:lineRule="auto"/>
              <w:rPr/>
            </w:pPr>
            <w:r>
              <w:rPr/>
              <w:t>号</w:t>
            </w:r>
          </w:p>
        </w:tc>
        <w:tc>
          <w:tcPr>
            <w:tcW w:w="669" w:type="dxa"/>
            <w:vAlign w:val="top"/>
          </w:tcPr>
          <w:p>
            <w:pPr>
              <w:pStyle w:val="TableText"/>
              <w:ind w:left="20" w:right="32"/>
              <w:spacing w:before="60" w:line="246" w:lineRule="auto"/>
              <w:rPr/>
            </w:pPr>
            <w:r>
              <w:rPr>
                <w:spacing w:val="1"/>
              </w:rPr>
              <w:t>中介服务 </w:t>
            </w:r>
            <w:r>
              <w:rPr>
                <w:spacing w:val="-2"/>
              </w:rPr>
              <w:t>事项名称</w:t>
            </w:r>
          </w:p>
        </w:tc>
        <w:tc>
          <w:tcPr>
            <w:tcW w:w="1109" w:type="dxa"/>
            <w:vAlign w:val="top"/>
          </w:tcPr>
          <w:p>
            <w:pPr>
              <w:pStyle w:val="TableText"/>
              <w:ind w:left="239" w:right="35" w:hanging="219"/>
              <w:spacing w:before="72" w:line="239"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6075" w:hRule="atLeast"/>
        </w:trPr>
        <w:tc>
          <w:tcPr>
            <w:tcW w:w="295" w:type="dxa"/>
            <w:vAlign w:val="top"/>
          </w:tcPr>
          <w:p>
            <w:pPr>
              <w:pStyle w:val="TableText"/>
              <w:ind w:left="65"/>
              <w:spacing w:before="85" w:line="183" w:lineRule="auto"/>
              <w:rPr/>
            </w:pPr>
            <w:r>
              <w:rPr>
                <w:spacing w:val="-3"/>
              </w:rPr>
              <w:t>56</w:t>
            </w:r>
          </w:p>
        </w:tc>
        <w:tc>
          <w:tcPr>
            <w:tcW w:w="669" w:type="dxa"/>
            <w:vAlign w:val="top"/>
          </w:tcPr>
          <w:p>
            <w:pPr>
              <w:pStyle w:val="TableText"/>
              <w:ind w:left="20" w:right="31"/>
              <w:spacing w:before="45" w:line="261" w:lineRule="auto"/>
              <w:jc w:val="both"/>
              <w:rPr/>
            </w:pPr>
            <w:r>
              <w:rPr>
                <w:spacing w:val="1"/>
              </w:rPr>
              <w:t>中资银行</w:t>
            </w:r>
            <w:r>
              <w:rPr>
                <w:spacing w:val="2"/>
              </w:rPr>
              <w:t xml:space="preserve"> </w:t>
            </w:r>
            <w:r>
              <w:rPr>
                <w:spacing w:val="-2"/>
              </w:rPr>
              <w:t>业金融机</w:t>
            </w:r>
            <w:r>
              <w:rPr>
                <w:spacing w:val="1"/>
              </w:rPr>
              <w:t xml:space="preserve"> </w:t>
            </w:r>
            <w:r>
              <w:rPr>
                <w:spacing w:val="-2"/>
              </w:rPr>
              <w:t>构及其分</w:t>
            </w:r>
            <w:r>
              <w:rPr/>
              <w:t xml:space="preserve"> </w:t>
            </w:r>
            <w:r>
              <w:rPr>
                <w:spacing w:val="-2"/>
              </w:rPr>
              <w:t>支机构财</w:t>
            </w:r>
            <w:r>
              <w:rPr/>
              <w:t xml:space="preserve"> </w:t>
            </w:r>
            <w:r>
              <w:rPr>
                <w:spacing w:val="-2"/>
              </w:rPr>
              <w:t>务报告审</w:t>
            </w:r>
            <w:r>
              <w:rPr/>
              <w:t xml:space="preserve"> </w:t>
            </w:r>
            <w:r>
              <w:rPr>
                <w:spacing w:val="34"/>
              </w:rPr>
              <w:t>计</w:t>
            </w:r>
          </w:p>
        </w:tc>
        <w:tc>
          <w:tcPr>
            <w:tcW w:w="1109" w:type="dxa"/>
            <w:vAlign w:val="top"/>
          </w:tcPr>
          <w:p>
            <w:pPr>
              <w:pStyle w:val="TableText"/>
              <w:ind w:left="10" w:right="15" w:firstLine="20"/>
              <w:spacing w:before="26" w:line="263" w:lineRule="auto"/>
              <w:jc w:val="both"/>
              <w:rPr/>
            </w:pPr>
            <w:r>
              <w:rPr>
                <w:spacing w:val="22"/>
              </w:rPr>
              <w:t>(43008)中资</w:t>
            </w:r>
            <w:r>
              <w:rPr>
                <w:spacing w:val="7"/>
              </w:rPr>
              <w:t xml:space="preserve"> </w:t>
            </w:r>
            <w:r>
              <w:rPr/>
              <w:t>银行业金融机构</w:t>
            </w:r>
            <w:r>
              <w:rPr>
                <w:spacing w:val="2"/>
              </w:rPr>
              <w:t xml:space="preserve"> </w:t>
            </w:r>
            <w:r>
              <w:rPr/>
              <w:t>及其分支机构设</w:t>
            </w:r>
            <w:r>
              <w:rPr>
                <w:spacing w:val="3"/>
              </w:rPr>
              <w:t xml:space="preserve"> </w:t>
            </w:r>
            <w:r>
              <w:rPr/>
              <w:t>立、变更、终止</w:t>
            </w:r>
            <w:r>
              <w:rPr>
                <w:spacing w:val="3"/>
              </w:rPr>
              <w:t xml:space="preserve"> </w:t>
            </w:r>
            <w:r>
              <w:rPr>
                <w:spacing w:val="3"/>
              </w:rPr>
              <w:t>以及业务范围审</w:t>
            </w:r>
            <w:r>
              <w:rPr/>
              <w:t xml:space="preserve"> </w:t>
            </w:r>
            <w:r>
              <w:rPr/>
              <w:t>批</w:t>
            </w:r>
          </w:p>
        </w:tc>
        <w:tc>
          <w:tcPr>
            <w:tcW w:w="829" w:type="dxa"/>
            <w:vAlign w:val="top"/>
          </w:tcPr>
          <w:p>
            <w:pPr>
              <w:pStyle w:val="TableText"/>
              <w:ind w:left="182"/>
              <w:spacing w:before="36" w:line="219" w:lineRule="auto"/>
              <w:rPr/>
            </w:pPr>
            <w:r>
              <w:rPr>
                <w:spacing w:val="-2"/>
              </w:rPr>
              <w:t>银监会</w:t>
            </w:r>
          </w:p>
        </w:tc>
        <w:tc>
          <w:tcPr>
            <w:tcW w:w="669" w:type="dxa"/>
            <w:vAlign w:val="top"/>
          </w:tcPr>
          <w:p>
            <w:pPr>
              <w:pStyle w:val="TableText"/>
              <w:ind w:left="22" w:right="19"/>
              <w:spacing w:before="28" w:line="249" w:lineRule="auto"/>
              <w:jc w:val="both"/>
              <w:rPr/>
            </w:pPr>
            <w:r>
              <w:rPr>
                <w:spacing w:val="4"/>
              </w:rPr>
              <w:t>具备资质</w:t>
            </w:r>
            <w:r>
              <w:rPr/>
              <w:t xml:space="preserve"> </w:t>
            </w:r>
            <w:r>
              <w:rPr>
                <w:spacing w:val="1"/>
              </w:rPr>
              <w:t>的会计师</w:t>
            </w:r>
            <w:r>
              <w:rPr>
                <w:spacing w:val="2"/>
              </w:rPr>
              <w:t xml:space="preserve"> </w:t>
            </w:r>
            <w:r>
              <w:rPr>
                <w:spacing w:val="-2"/>
              </w:rPr>
              <w:t>事务所</w:t>
            </w:r>
          </w:p>
        </w:tc>
        <w:tc>
          <w:tcPr>
            <w:tcW w:w="6098" w:type="dxa"/>
            <w:vAlign w:val="top"/>
          </w:tcPr>
          <w:p>
            <w:pPr>
              <w:pStyle w:val="TableText"/>
              <w:ind w:left="34" w:right="43" w:firstLine="9"/>
              <w:spacing w:before="37" w:line="249" w:lineRule="auto"/>
              <w:jc w:val="both"/>
              <w:rPr/>
            </w:pPr>
            <w:r>
              <w:rPr>
                <w:spacing w:val="-2"/>
              </w:rPr>
              <w:t>1. 《商业银行法》第二十条：设立商业银行分支机构，申请人应当向国务院银行业监督管理</w:t>
            </w:r>
            <w:r>
              <w:rPr>
                <w:spacing w:val="8"/>
              </w:rPr>
              <w:t xml:space="preserve"> </w:t>
            </w:r>
            <w:r>
              <w:rPr>
                <w:spacing w:val="-1"/>
              </w:rPr>
              <w:t>机构提交下列文件、资料：(六)国务院银行业监督管理机构规定的其他文件、资料。2.</w:t>
            </w:r>
            <w:r>
              <w:rPr>
                <w:spacing w:val="-25"/>
              </w:rPr>
              <w:t xml:space="preserve"> </w:t>
            </w:r>
            <w:r>
              <w:rPr>
                <w:spacing w:val="-1"/>
              </w:rPr>
              <w:t>《中</w:t>
            </w:r>
            <w:r>
              <w:rPr/>
              <w:t xml:space="preserve"> </w:t>
            </w:r>
            <w:r>
              <w:rPr/>
              <w:t>国银监会中资商业银行行政许可事项实施办法》(银监会令2015年第2号)第三十三条</w:t>
            </w:r>
          </w:p>
          <w:p>
            <w:pPr>
              <w:pStyle w:val="TableText"/>
              <w:ind w:left="4" w:right="16" w:firstLine="109"/>
              <w:spacing w:before="31" w:line="239" w:lineRule="auto"/>
              <w:rPr/>
            </w:pPr>
            <w:r>
              <w:rPr>
                <w:spacing w:val="1"/>
              </w:rPr>
              <w:t>中资商业银行申请投资设立、参股、收购境内法人金融机构的，应当符合</w:t>
            </w:r>
            <w:r>
              <w:rPr/>
              <w:t>以下条件：(八)  </w:t>
            </w:r>
            <w:r>
              <w:rPr/>
              <w:t>最近3个会计年度连续盈利。第三十五条：中资商业银行申请投资设立、</w:t>
            </w:r>
            <w:r>
              <w:rPr>
                <w:spacing w:val="-1"/>
              </w:rPr>
              <w:t>参股、收购境外机构</w:t>
            </w:r>
          </w:p>
          <w:p>
            <w:pPr>
              <w:pStyle w:val="TableText"/>
              <w:ind w:left="24" w:right="294"/>
              <w:spacing w:before="21" w:line="245" w:lineRule="auto"/>
              <w:rPr/>
            </w:pPr>
            <w:r>
              <w:rPr>
                <w:spacing w:val="-2"/>
              </w:rPr>
              <w:t>申请人应当符合以下条件：(六)最近3个会计年度连续盈利。3. 《中国银监会农村中小金</w:t>
            </w:r>
            <w:r>
              <w:rPr>
                <w:spacing w:val="2"/>
              </w:rPr>
              <w:t xml:space="preserve"> </w:t>
            </w:r>
            <w:r>
              <w:rPr/>
              <w:t>融机构行政许可事项实施办法》(银监会令2015年第3号)第十</w:t>
            </w:r>
            <w:r>
              <w:rPr>
                <w:spacing w:val="-1"/>
              </w:rPr>
              <w:t>一条：境内非金融机构作</w:t>
            </w:r>
          </w:p>
          <w:p>
            <w:pPr>
              <w:pStyle w:val="TableText"/>
              <w:ind w:left="14" w:right="240" w:firstLine="39"/>
              <w:spacing w:before="23" w:line="251" w:lineRule="auto"/>
              <w:rPr/>
            </w:pPr>
            <w:r>
              <w:rPr/>
              <w:t>为发起人，应符合下列条件：(七)财务状况良好，最近2个会计年度</w:t>
            </w:r>
            <w:r>
              <w:rPr>
                <w:spacing w:val="-1"/>
              </w:rPr>
              <w:t>连续盈利。第十五条</w:t>
            </w:r>
            <w:r>
              <w:rPr/>
              <w:t xml:space="preserve"> </w:t>
            </w:r>
            <w:r>
              <w:rPr/>
              <w:t>境外银行作为发起人或战略投资者，应符合以下条件：(三)最近2个会计年度连续盈</w:t>
            </w:r>
            <w:r>
              <w:rPr>
                <w:spacing w:val="-1"/>
              </w:rPr>
              <w:t>利。</w:t>
            </w:r>
            <w:r>
              <w:rPr/>
              <w:t xml:space="preserve">  </w:t>
            </w:r>
            <w:r>
              <w:rPr>
                <w:spacing w:val="-1"/>
              </w:rPr>
              <w:t>第三十九条：农村小企业作为发起人，应符合以下条件：(四)上</w:t>
            </w:r>
            <w:r>
              <w:rPr>
                <w:spacing w:val="-2"/>
              </w:rPr>
              <w:t>一会计年度盈利。4.</w:t>
            </w:r>
            <w:r>
              <w:rPr>
                <w:spacing w:val="-40"/>
              </w:rPr>
              <w:t xml:space="preserve"> </w:t>
            </w:r>
            <w:r>
              <w:rPr>
                <w:spacing w:val="-2"/>
              </w:rPr>
              <w:t>《信</w:t>
            </w:r>
            <w:r>
              <w:rPr/>
              <w:t xml:space="preserve"> </w:t>
            </w:r>
            <w:r>
              <w:rPr/>
              <w:t>贷资产证券化试点管理办法》(人民银行、银监会公告〔2005〕年第7号)第三十二条规定</w:t>
            </w:r>
          </w:p>
          <w:p>
            <w:pPr>
              <w:pStyle w:val="TableText"/>
              <w:ind w:left="43" w:right="56" w:firstLine="70"/>
              <w:spacing w:before="24" w:line="249" w:lineRule="auto"/>
              <w:jc w:val="both"/>
              <w:rPr/>
            </w:pPr>
            <w:r>
              <w:rPr>
                <w:spacing w:val="1"/>
              </w:rPr>
              <w:t>受托机构在全国银行间债券市场发行资产支持证券应当向中国人民银行提</w:t>
            </w:r>
            <w:r>
              <w:rPr/>
              <w:t>交下列文件(八) </w:t>
            </w:r>
            <w:r>
              <w:rPr>
                <w:spacing w:val="-2"/>
              </w:rPr>
              <w:t>注册会计师出具的会计意见书。5. 《中国银监会办公厅关于印发行政许可事项申</w:t>
            </w:r>
            <w:r>
              <w:rPr>
                <w:spacing w:val="-3"/>
              </w:rPr>
              <w:t>请材料目录</w:t>
            </w:r>
            <w:r>
              <w:rPr/>
              <w:t xml:space="preserve"> </w:t>
            </w:r>
            <w:r>
              <w:rPr/>
              <w:t>及格式要求的通知》(银监办发〔2015〕118号)。附件1中资商业银行行</w:t>
            </w:r>
            <w:r>
              <w:rPr>
                <w:spacing w:val="-1"/>
              </w:rPr>
              <w:t>政许可事项申请</w:t>
            </w:r>
          </w:p>
          <w:p>
            <w:pPr>
              <w:pStyle w:val="TableText"/>
              <w:ind w:left="43" w:right="136" w:firstLine="70"/>
              <w:spacing w:before="31" w:line="239" w:lineRule="auto"/>
              <w:rPr/>
            </w:pPr>
            <w:r>
              <w:rPr>
                <w:spacing w:val="-2"/>
              </w:rPr>
              <w:t>材料目录及格式要求(2015版)6. 《中国银监会办公厅关于印发行政许可事项申请材料目录</w:t>
            </w:r>
            <w:r>
              <w:rPr/>
              <w:t xml:space="preserve"> </w:t>
            </w:r>
            <w:r>
              <w:rPr/>
              <w:t>及格式要求的通知》(银监办发〔2015〕118号)。附件2农村中小金融机</w:t>
            </w:r>
            <w:r>
              <w:rPr>
                <w:spacing w:val="-1"/>
              </w:rPr>
              <w:t>构行政许可事项</w:t>
            </w:r>
          </w:p>
          <w:p>
            <w:pPr>
              <w:pStyle w:val="TableText"/>
              <w:ind w:left="34"/>
              <w:spacing w:before="32" w:line="217" w:lineRule="auto"/>
              <w:rPr/>
            </w:pPr>
            <w:r>
              <w:rPr/>
              <w:t>申请材料目录及格式要求(2015年版)1.1.1农村商业银行法人机构筹建审批(6)第②“企</w:t>
            </w:r>
          </w:p>
          <w:p>
            <w:pPr>
              <w:pStyle w:val="TableText"/>
              <w:ind w:left="34"/>
              <w:spacing w:before="34" w:line="218" w:lineRule="auto"/>
              <w:rPr/>
            </w:pPr>
            <w:r>
              <w:rPr/>
              <w:t>业法人发起人近2年的审计报告”(1.1.2农村商业银行法人机构开业核准、1.</w:t>
            </w:r>
            <w:r>
              <w:rPr>
                <w:spacing w:val="-1"/>
              </w:rPr>
              <w:t>3.1村镇银行</w:t>
            </w:r>
          </w:p>
          <w:p>
            <w:pPr>
              <w:pStyle w:val="TableText"/>
              <w:ind w:left="34" w:right="130" w:firstLine="79"/>
              <w:spacing w:before="14" w:line="252" w:lineRule="auto"/>
              <w:rPr/>
            </w:pPr>
            <w:r>
              <w:rPr/>
              <w:t>法人机构筹建审批、1.3.2村镇银行法人机构开业核准要求同上);1.2.1</w:t>
            </w:r>
            <w:r>
              <w:rPr>
                <w:spacing w:val="-1"/>
              </w:rPr>
              <w:t>农村信用合作联社</w:t>
            </w:r>
            <w:r>
              <w:rPr/>
              <w:t xml:space="preserve"> </w:t>
            </w:r>
            <w:r>
              <w:rPr/>
              <w:t>筹建审批(6)第②“拟持有股份总额5%及以上的企业法人发起人的近2年审</w:t>
            </w:r>
            <w:r>
              <w:rPr>
                <w:spacing w:val="-1"/>
              </w:rPr>
              <w:t>计报告”(1.2.2</w:t>
            </w:r>
            <w:r>
              <w:rPr/>
              <w:t xml:space="preserve">  </w:t>
            </w:r>
            <w:r>
              <w:rPr/>
              <w:t>农村信用合作联社开业核准同上);1.4.2贷款公司开业核准(4)第②“出</w:t>
            </w:r>
            <w:r>
              <w:rPr>
                <w:spacing w:val="-1"/>
              </w:rPr>
              <w:t>资人近2年经审</w:t>
            </w:r>
          </w:p>
          <w:p>
            <w:pPr>
              <w:pStyle w:val="TableText"/>
              <w:ind w:left="43" w:right="274" w:hanging="9"/>
              <w:spacing w:before="34" w:line="241" w:lineRule="auto"/>
              <w:rPr/>
            </w:pPr>
            <w:r>
              <w:rPr/>
              <w:t>计的资产负债表、损益表”;1.5.1农村资金互助社筹建审批(5)第②“拟持</w:t>
            </w:r>
            <w:r>
              <w:rPr>
                <w:spacing w:val="-1"/>
              </w:rPr>
              <w:t>有股份总额5%</w:t>
            </w:r>
            <w:r>
              <w:rPr/>
              <w:t xml:space="preserve"> </w:t>
            </w:r>
            <w:r>
              <w:rPr/>
              <w:t>及以上的企业法人发起人的近1年审计报告”;2.4.1变更持有股本总额5%</w:t>
            </w:r>
            <w:r>
              <w:rPr>
                <w:spacing w:val="-1"/>
              </w:rPr>
              <w:t>及以上的境内非</w:t>
            </w:r>
            <w:r>
              <w:rPr/>
              <w:t xml:space="preserve"> </w:t>
            </w:r>
            <w:r>
              <w:rPr/>
              <w:t>金融机构股东(社员)审批(6)“拟受让方最近2年的审计报告”;2.4.3向境外银行转让</w:t>
            </w:r>
          </w:p>
          <w:p>
            <w:pPr>
              <w:pStyle w:val="TableText"/>
              <w:ind w:left="24" w:right="356" w:firstLine="10"/>
              <w:spacing w:before="43" w:line="241" w:lineRule="auto"/>
              <w:rPr/>
            </w:pPr>
            <w:r>
              <w:rPr/>
              <w:t>股权审批(7)“境外银行最近2年的审计报告”;2.5.3定向募股增加注册</w:t>
            </w:r>
            <w:r>
              <w:rPr>
                <w:spacing w:val="-1"/>
              </w:rPr>
              <w:t>资本的变更注册</w:t>
            </w:r>
            <w:r>
              <w:rPr/>
              <w:t xml:space="preserve"> </w:t>
            </w:r>
            <w:r>
              <w:rPr/>
              <w:t>资本审批(2)第②“入股法人股东近2年审计报告”;2.5.5境内外公开募集股份和上市交</w:t>
            </w:r>
            <w:r>
              <w:rPr>
                <w:spacing w:val="6"/>
              </w:rPr>
              <w:t xml:space="preserve"> </w:t>
            </w:r>
            <w:r>
              <w:rPr/>
              <w:t>易股份(5)“最近3年审计报告”(4.1募集次级定期债务，4.2发行二级</w:t>
            </w:r>
            <w:r>
              <w:rPr>
                <w:spacing w:val="-1"/>
              </w:rPr>
              <w:t>资本债券、混合</w:t>
            </w:r>
            <w:r>
              <w:rPr/>
              <w:t xml:space="preserve">  </w:t>
            </w:r>
            <w:r>
              <w:rPr/>
              <w:t>资本债、金融债，开办离岸银行业务审批要求同上);3.1.1解散审批(5)“经审</w:t>
            </w:r>
            <w:r>
              <w:rPr>
                <w:spacing w:val="-1"/>
              </w:rPr>
              <w:t>计的财务</w:t>
            </w:r>
            <w:r>
              <w:rPr/>
              <w:t xml:space="preserve"> </w:t>
            </w:r>
            <w:r>
              <w:rPr>
                <w:spacing w:val="3"/>
              </w:rPr>
              <w:t>报表”(3.2破产前审批要求同上);3.1.2(2)“经审计的停止经营活动当日财务报表”</w:t>
            </w:r>
          </w:p>
        </w:tc>
      </w:tr>
    </w:tbl>
    <w:p>
      <w:pPr>
        <w:pStyle w:val="BodyText"/>
        <w:rPr/>
      </w:pPr>
      <w:r/>
    </w:p>
    <w:p>
      <w:pPr>
        <w:sectPr>
          <w:pgSz w:w="11910" w:h="8220"/>
          <w:pgMar w:top="400" w:right="1115" w:bottom="400" w:left="821" w:header="0" w:footer="0" w:gutter="0"/>
        </w:sectPr>
        <w:rPr/>
      </w:pPr>
    </w:p>
    <w:p>
      <w:pPr>
        <w:spacing w:before="6"/>
        <w:rPr/>
      </w:pPr>
      <w:r>
        <mc:AlternateContent xmlns:mc="http://schemas.openxmlformats.org/markup-compatibility/2006">
          <mc:Choice Requires="wps">
            <w:drawing>
              <wp:anchor distT="0" distB="0" distL="0" distR="0" simplePos="0" relativeHeight="251962368"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24" name="TextBox 424"/>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6" style="position:absolute;margin-left:37.0722pt;margin-top:48.6039pt;mso-position-vertical-relative:page;mso-position-horizontal-relative:page;width:13.55pt;height:12.35pt;z-index:25196236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300</w:t>
                      </w:r>
                    </w:p>
                  </w:txbxContent>
                </v:textbox>
              </v:shape>
            </w:pict>
          </mc:Fallback>
        </mc:AlternateContent>
      </w:r>
      <w:r/>
    </w:p>
    <w:p>
      <w:pPr>
        <w:spacing w:before="6"/>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88"/>
      </w:tblGrid>
      <w:tr>
        <w:trPr>
          <w:trHeight w:val="474" w:hRule="atLeast"/>
        </w:trPr>
        <w:tc>
          <w:tcPr>
            <w:tcW w:w="295" w:type="dxa"/>
            <w:vAlign w:val="top"/>
            <w:textDirection w:val="tbRlV"/>
          </w:tcPr>
          <w:p>
            <w:pPr>
              <w:pStyle w:val="TableText"/>
              <w:ind w:left="47"/>
              <w:spacing w:before="70" w:line="217" w:lineRule="auto"/>
              <w:rPr/>
            </w:pPr>
            <w:r>
              <w:rPr>
                <w:spacing w:val="-2"/>
              </w:rPr>
              <w:t>序 号</w:t>
            </w:r>
          </w:p>
        </w:tc>
        <w:tc>
          <w:tcPr>
            <w:tcW w:w="679" w:type="dxa"/>
            <w:vAlign w:val="top"/>
          </w:tcPr>
          <w:p>
            <w:pPr>
              <w:pStyle w:val="TableText"/>
              <w:ind w:left="30" w:right="32"/>
              <w:spacing w:before="51" w:line="254" w:lineRule="auto"/>
              <w:rPr/>
            </w:pPr>
            <w:r>
              <w:rPr>
                <w:spacing w:val="1"/>
              </w:rPr>
              <w:t>中介服务 </w:t>
            </w:r>
            <w:r>
              <w:rPr>
                <w:spacing w:val="-2"/>
              </w:rPr>
              <w:t>事项名称</w:t>
            </w:r>
          </w:p>
        </w:tc>
        <w:tc>
          <w:tcPr>
            <w:tcW w:w="1099" w:type="dxa"/>
            <w:vAlign w:val="top"/>
          </w:tcPr>
          <w:p>
            <w:pPr>
              <w:pStyle w:val="TableText"/>
              <w:ind w:left="239" w:right="35" w:hanging="229"/>
              <w:spacing w:before="5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3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344" w:hRule="atLeast"/>
        </w:trPr>
        <w:tc>
          <w:tcPr>
            <w:tcW w:w="295" w:type="dxa"/>
            <w:vAlign w:val="top"/>
          </w:tcPr>
          <w:p>
            <w:pPr>
              <w:pStyle w:val="TableText"/>
              <w:ind w:left="65"/>
              <w:spacing w:before="176" w:line="182" w:lineRule="auto"/>
              <w:rPr/>
            </w:pPr>
            <w:r>
              <w:rPr>
                <w:spacing w:val="-3"/>
              </w:rPr>
              <w:t>57</w:t>
            </w:r>
          </w:p>
        </w:tc>
        <w:tc>
          <w:tcPr>
            <w:tcW w:w="679" w:type="dxa"/>
            <w:vAlign w:val="top"/>
          </w:tcPr>
          <w:p>
            <w:pPr>
              <w:pStyle w:val="TableText"/>
              <w:ind w:left="20" w:right="31" w:firstLine="10"/>
              <w:spacing w:before="126" w:line="261" w:lineRule="auto"/>
              <w:jc w:val="both"/>
              <w:rPr/>
            </w:pPr>
            <w:r>
              <w:rPr>
                <w:spacing w:val="1"/>
              </w:rPr>
              <w:t>中资银行</w:t>
            </w:r>
            <w:r>
              <w:rPr>
                <w:spacing w:val="2"/>
              </w:rPr>
              <w:t xml:space="preserve"> </w:t>
            </w:r>
            <w:r>
              <w:rPr>
                <w:spacing w:val="1"/>
              </w:rPr>
              <w:t>业金融机</w:t>
            </w:r>
            <w:r>
              <w:rPr/>
              <w:t xml:space="preserve"> </w:t>
            </w:r>
            <w:r>
              <w:rPr/>
              <w:t>构及其分</w:t>
            </w:r>
            <w:r>
              <w:rPr>
                <w:spacing w:val="1"/>
              </w:rPr>
              <w:t xml:space="preserve"> </w:t>
            </w:r>
            <w:r>
              <w:rPr/>
              <w:t>支机构信</w:t>
            </w:r>
            <w:r>
              <w:rPr>
                <w:spacing w:val="2"/>
              </w:rPr>
              <w:t xml:space="preserve"> </w:t>
            </w:r>
            <w:r>
              <w:rPr>
                <w:spacing w:val="-2"/>
              </w:rPr>
              <w:t>用评级</w:t>
            </w:r>
          </w:p>
        </w:tc>
        <w:tc>
          <w:tcPr>
            <w:tcW w:w="1099" w:type="dxa"/>
            <w:vAlign w:val="top"/>
          </w:tcPr>
          <w:p>
            <w:pPr>
              <w:pStyle w:val="TableText"/>
              <w:ind w:left="10" w:right="18" w:firstLine="30"/>
              <w:spacing w:before="126" w:line="261" w:lineRule="auto"/>
              <w:jc w:val="both"/>
              <w:rPr/>
            </w:pPr>
            <w:r>
              <w:rPr>
                <w:spacing w:val="20"/>
              </w:rPr>
              <w:t>(43008)中资</w:t>
            </w:r>
            <w:r>
              <w:rPr>
                <w:spacing w:val="4"/>
              </w:rPr>
              <w:t xml:space="preserve"> </w:t>
            </w:r>
            <w:r>
              <w:rPr>
                <w:spacing w:val="-1"/>
              </w:rPr>
              <w:t>银行业金融机构</w:t>
            </w:r>
            <w:r>
              <w:rPr/>
              <w:t xml:space="preserve"> </w:t>
            </w:r>
            <w:r>
              <w:rPr>
                <w:spacing w:val="-1"/>
              </w:rPr>
              <w:t>及其分支机构设</w:t>
            </w:r>
            <w:r>
              <w:rPr/>
              <w:t xml:space="preserve"> </w:t>
            </w:r>
            <w:r>
              <w:rPr>
                <w:spacing w:val="-1"/>
              </w:rPr>
              <w:t>立、变更、终止</w:t>
            </w:r>
            <w:r>
              <w:rPr/>
              <w:t xml:space="preserve"> </w:t>
            </w:r>
            <w:r>
              <w:rPr>
                <w:spacing w:val="1"/>
              </w:rPr>
              <w:t>以及业务范围宙 </w:t>
            </w:r>
            <w:r>
              <w:rPr/>
              <w:t>批</w:t>
            </w:r>
          </w:p>
        </w:tc>
        <w:tc>
          <w:tcPr>
            <w:tcW w:w="839" w:type="dxa"/>
            <w:vAlign w:val="top"/>
          </w:tcPr>
          <w:p>
            <w:pPr>
              <w:pStyle w:val="TableText"/>
              <w:ind w:left="182"/>
              <w:spacing w:before="116" w:line="219" w:lineRule="auto"/>
              <w:rPr/>
            </w:pPr>
            <w:r>
              <w:rPr>
                <w:spacing w:val="-2"/>
              </w:rPr>
              <w:t>银监会</w:t>
            </w:r>
          </w:p>
        </w:tc>
        <w:tc>
          <w:tcPr>
            <w:tcW w:w="659" w:type="dxa"/>
            <w:vAlign w:val="top"/>
          </w:tcPr>
          <w:p>
            <w:pPr>
              <w:pStyle w:val="TableText"/>
              <w:ind w:left="12" w:right="16" w:firstLine="10"/>
              <w:spacing w:before="127" w:line="238" w:lineRule="auto"/>
              <w:rPr/>
            </w:pPr>
            <w:r>
              <w:rPr>
                <w:spacing w:val="2"/>
              </w:rPr>
              <w:t>资信评级</w:t>
            </w:r>
            <w:r>
              <w:rPr/>
              <w:t xml:space="preserve"> </w:t>
            </w:r>
            <w:r>
              <w:rPr>
                <w:spacing w:val="-2"/>
              </w:rPr>
              <w:t>机构</w:t>
            </w:r>
          </w:p>
        </w:tc>
        <w:tc>
          <w:tcPr>
            <w:tcW w:w="6088" w:type="dxa"/>
            <w:vAlign w:val="top"/>
          </w:tcPr>
          <w:p>
            <w:pPr>
              <w:pStyle w:val="TableText"/>
              <w:ind w:left="34"/>
              <w:spacing w:before="126" w:line="219" w:lineRule="auto"/>
              <w:rPr/>
            </w:pPr>
            <w:r>
              <w:rPr>
                <w:spacing w:val="-2"/>
              </w:rPr>
              <w:t>1. 《农村中小金融机构行政许可事项申请材料目录及格式要求》(银监会令2015年第3号)</w:t>
            </w:r>
          </w:p>
          <w:p>
            <w:pPr>
              <w:pStyle w:val="TableText"/>
              <w:ind w:left="34" w:right="49"/>
              <w:spacing w:before="41" w:line="239" w:lineRule="auto"/>
              <w:rPr/>
            </w:pPr>
            <w:r>
              <w:rPr>
                <w:spacing w:val="-4"/>
              </w:rPr>
              <w:t>第十五条：境外银行作为发起人或战略投资者，应符合以下条件：</w:t>
            </w:r>
            <w:r>
              <w:rPr>
                <w:spacing w:val="26"/>
              </w:rPr>
              <w:t xml:space="preserve">   </w:t>
            </w:r>
            <w:r>
              <w:rPr>
                <w:spacing w:val="-4"/>
              </w:rPr>
              <w:t>(二)银监会认可的国际</w:t>
            </w:r>
            <w:r>
              <w:rPr/>
              <w:t xml:space="preserve"> </w:t>
            </w:r>
            <w:r>
              <w:rPr>
                <w:spacing w:val="-2"/>
              </w:rPr>
              <w:t>评级机构最近2年对其长期信用评级为良好。2. 《信贷资产证券化试点管理办法》(人民银行</w:t>
            </w:r>
          </w:p>
          <w:p>
            <w:pPr>
              <w:pStyle w:val="TableText"/>
              <w:ind w:left="43" w:right="120" w:firstLine="70"/>
              <w:spacing w:before="12" w:line="244" w:lineRule="auto"/>
              <w:rPr/>
            </w:pPr>
            <w:r>
              <w:rPr/>
              <w:t>银监会公告〔2005〕年第7号)第三十二条规定：受托机构在全国银行间</w:t>
            </w:r>
            <w:r>
              <w:rPr>
                <w:spacing w:val="-1"/>
              </w:rPr>
              <w:t>债券市场发行资产</w:t>
            </w:r>
            <w:r>
              <w:rPr/>
              <w:t xml:space="preserve"> </w:t>
            </w:r>
            <w:r>
              <w:rPr/>
              <w:t>支持证券应当向中国人民银行提交下列文件(九)资.信评级机构出具的</w:t>
            </w:r>
            <w:r>
              <w:rPr>
                <w:spacing w:val="-1"/>
              </w:rPr>
              <w:t>信用评级报告草案</w:t>
            </w:r>
          </w:p>
          <w:p>
            <w:pPr>
              <w:pStyle w:val="TableText"/>
              <w:ind w:left="34" w:right="56"/>
              <w:spacing w:before="33" w:line="245" w:lineRule="auto"/>
              <w:rPr/>
            </w:pPr>
            <w:r>
              <w:rPr>
                <w:spacing w:val="-2"/>
              </w:rPr>
              <w:t>及有关持续跟踪评级安排的说明。3. 《中国银行业监督管理委员会中资商业银行</w:t>
            </w:r>
            <w:r>
              <w:rPr>
                <w:spacing w:val="-3"/>
              </w:rPr>
              <w:t>行政许可事</w:t>
            </w:r>
            <w:r>
              <w:rPr/>
              <w:t xml:space="preserve"> </w:t>
            </w:r>
            <w:r>
              <w:rPr/>
              <w:t>项申请材料目录及各式要求》(银监发〔2015〕118号)4.2中资商业</w:t>
            </w:r>
            <w:r>
              <w:rPr>
                <w:spacing w:val="-1"/>
              </w:rPr>
              <w:t>银行募集发行债务和资</w:t>
            </w:r>
          </w:p>
          <w:p>
            <w:pPr>
              <w:pStyle w:val="TableText"/>
              <w:ind w:left="34"/>
              <w:spacing w:before="32" w:line="219" w:lineRule="auto"/>
              <w:rPr/>
            </w:pPr>
            <w:r>
              <w:rPr/>
              <w:t>本补充工具审批4.2.1募集发行二级资本工具(次级债)(8)信用评级机</w:t>
            </w:r>
            <w:r>
              <w:rPr>
                <w:spacing w:val="-1"/>
              </w:rPr>
              <w:t>构出具的信用评级</w:t>
            </w:r>
          </w:p>
          <w:p>
            <w:pPr>
              <w:pStyle w:val="TableText"/>
              <w:ind w:left="34" w:right="55"/>
              <w:spacing w:before="21" w:line="233" w:lineRule="auto"/>
              <w:rPr/>
            </w:pPr>
            <w:r>
              <w:rPr>
                <w:spacing w:val="-2"/>
              </w:rPr>
              <w:t>报告及跟踪评级安排说明。4. 《中国银监会办公厅关于印发行政许可事项申请材料</w:t>
            </w:r>
            <w:r>
              <w:rPr>
                <w:spacing w:val="-3"/>
              </w:rPr>
              <w:t>目录及格</w:t>
            </w:r>
            <w:r>
              <w:rPr/>
              <w:t xml:space="preserve"> </w:t>
            </w:r>
            <w:r>
              <w:rPr/>
              <w:t>式要求的通知》(银监办发〔2015〕118号)。附件2农村中小金融</w:t>
            </w:r>
            <w:r>
              <w:rPr>
                <w:spacing w:val="-1"/>
              </w:rPr>
              <w:t>机构行政许可事项申请</w:t>
            </w:r>
          </w:p>
          <w:p>
            <w:pPr>
              <w:pStyle w:val="TableText"/>
              <w:ind w:left="34"/>
              <w:spacing w:before="31" w:line="217" w:lineRule="auto"/>
              <w:rPr/>
            </w:pPr>
            <w:r>
              <w:rPr/>
              <w:t>材料目录及格式要求(2015年版)1.1.1农村商业银行法人机构筹建审批(6</w:t>
            </w:r>
            <w:r>
              <w:rPr>
                <w:spacing w:val="-1"/>
              </w:rPr>
              <w:t>)第⑥中“发起</w:t>
            </w:r>
          </w:p>
          <w:p>
            <w:pPr>
              <w:pStyle w:val="TableText"/>
              <w:ind w:left="34" w:firstLine="79"/>
              <w:spacing w:before="44" w:line="239" w:lineRule="auto"/>
              <w:rPr/>
            </w:pPr>
            <w:r>
              <w:rPr>
                <w:spacing w:val="1"/>
              </w:rPr>
              <w:t>人为境外银行的，应提供银监会认可的国际评级机构对其最近2年的信用评级报告”(1.2.</w:t>
            </w:r>
            <w:r>
              <w:rPr/>
              <w:t xml:space="preserve">  </w:t>
            </w:r>
            <w:r>
              <w:rPr>
                <w:spacing w:val="-7"/>
              </w:rPr>
              <w:t>农村信用合作联社筹建审批、1.3.1村镇银行法人机构筹建审批、1.4.1贷款公司筹建审批、2.4.3</w:t>
            </w:r>
          </w:p>
          <w:p>
            <w:pPr>
              <w:pStyle w:val="TableText"/>
              <w:ind w:left="14" w:right="105" w:firstLine="99"/>
              <w:spacing w:before="31" w:line="232" w:lineRule="auto"/>
              <w:rPr/>
            </w:pPr>
            <w:r>
              <w:rPr/>
              <w:t>向境外银行转让股权审批要求同上);4.2发行二级资本债券、混合资本债、金融债(9)“二</w:t>
            </w:r>
            <w:r>
              <w:rPr>
                <w:spacing w:val="7"/>
              </w:rPr>
              <w:t xml:space="preserve"> </w:t>
            </w:r>
            <w:r>
              <w:rPr>
                <w:spacing w:val="4"/>
              </w:rPr>
              <w:t>级资本债券、混合资本债、金融债信用评级报告及跟踪评级安排的说明”</w:t>
            </w:r>
          </w:p>
        </w:tc>
      </w:tr>
      <w:tr>
        <w:trPr>
          <w:trHeight w:val="2541" w:hRule="atLeast"/>
        </w:trPr>
        <w:tc>
          <w:tcPr>
            <w:tcW w:w="295" w:type="dxa"/>
            <w:vAlign w:val="top"/>
          </w:tcPr>
          <w:p>
            <w:pPr>
              <w:pStyle w:val="TableText"/>
              <w:ind w:left="65"/>
              <w:spacing w:before="181" w:line="183" w:lineRule="auto"/>
              <w:rPr/>
            </w:pPr>
            <w:r>
              <w:rPr>
                <w:spacing w:val="-3"/>
              </w:rPr>
              <w:t>58</w:t>
            </w:r>
          </w:p>
        </w:tc>
        <w:tc>
          <w:tcPr>
            <w:tcW w:w="679" w:type="dxa"/>
            <w:vAlign w:val="top"/>
          </w:tcPr>
          <w:p>
            <w:pPr>
              <w:pStyle w:val="TableText"/>
              <w:ind w:left="10" w:right="31" w:firstLine="20"/>
              <w:spacing w:before="141" w:line="258" w:lineRule="auto"/>
              <w:jc w:val="both"/>
              <w:rPr/>
            </w:pPr>
            <w:r>
              <w:rPr>
                <w:spacing w:val="1"/>
              </w:rPr>
              <w:t>中资银行</w:t>
            </w:r>
            <w:r>
              <w:rPr>
                <w:spacing w:val="2"/>
              </w:rPr>
              <w:t xml:space="preserve"> </w:t>
            </w:r>
            <w:r>
              <w:rPr>
                <w:spacing w:val="3"/>
              </w:rPr>
              <w:t>业金融机</w:t>
            </w:r>
            <w:r>
              <w:rPr>
                <w:spacing w:val="1"/>
              </w:rPr>
              <w:t xml:space="preserve"> </w:t>
            </w:r>
            <w:r>
              <w:rPr>
                <w:spacing w:val="3"/>
              </w:rPr>
              <w:t>构及其分</w:t>
            </w:r>
            <w:r>
              <w:rPr/>
              <w:t xml:space="preserve"> </w:t>
            </w:r>
            <w:r>
              <w:rPr>
                <w:spacing w:val="3"/>
              </w:rPr>
              <w:t>支机构清</w:t>
            </w:r>
            <w:r>
              <w:rPr/>
              <w:t xml:space="preserve"> </w:t>
            </w:r>
            <w:r>
              <w:rPr>
                <w:spacing w:val="3"/>
              </w:rPr>
              <w:t>产核资报</w:t>
            </w:r>
            <w:r>
              <w:rPr>
                <w:spacing w:val="1"/>
              </w:rPr>
              <w:t xml:space="preserve"> </w:t>
            </w:r>
            <w:r>
              <w:rPr>
                <w:spacing w:val="4"/>
              </w:rPr>
              <w:t>告编制</w:t>
            </w:r>
          </w:p>
        </w:tc>
        <w:tc>
          <w:tcPr>
            <w:tcW w:w="1099" w:type="dxa"/>
            <w:vAlign w:val="top"/>
          </w:tcPr>
          <w:p>
            <w:pPr>
              <w:pStyle w:val="TableText"/>
              <w:ind w:left="10" w:right="15" w:firstLine="30"/>
              <w:spacing w:before="151" w:line="257" w:lineRule="auto"/>
              <w:jc w:val="both"/>
              <w:rPr/>
            </w:pPr>
            <w:r>
              <w:rPr>
                <w:spacing w:val="20"/>
              </w:rPr>
              <w:t>(43008)中资</w:t>
            </w:r>
            <w:r>
              <w:rPr>
                <w:spacing w:val="4"/>
              </w:rPr>
              <w:t xml:space="preserve"> </w:t>
            </w:r>
            <w:r>
              <w:rPr>
                <w:spacing w:val="-1"/>
              </w:rPr>
              <w:t>银行业金融机构</w:t>
            </w:r>
            <w:r>
              <w:rPr/>
              <w:t xml:space="preserve"> </w:t>
            </w:r>
            <w:r>
              <w:rPr>
                <w:spacing w:val="-1"/>
              </w:rPr>
              <w:t>及其分支机构设</w:t>
            </w:r>
            <w:r>
              <w:rPr/>
              <w:t xml:space="preserve"> </w:t>
            </w:r>
            <w:r>
              <w:rPr>
                <w:spacing w:val="-1"/>
              </w:rPr>
              <w:t>立、变更、终止</w:t>
            </w:r>
            <w:r>
              <w:rPr/>
              <w:t xml:space="preserve"> </w:t>
            </w:r>
            <w:r>
              <w:rPr>
                <w:spacing w:val="1"/>
              </w:rPr>
              <w:t>以及业务范围审</w:t>
            </w:r>
            <w:r>
              <w:rPr>
                <w:spacing w:val="4"/>
              </w:rPr>
              <w:t xml:space="preserve"> </w:t>
            </w:r>
            <w:r>
              <w:rPr/>
              <w:t>批</w:t>
            </w:r>
          </w:p>
        </w:tc>
        <w:tc>
          <w:tcPr>
            <w:tcW w:w="839" w:type="dxa"/>
            <w:vAlign w:val="top"/>
          </w:tcPr>
          <w:p>
            <w:pPr>
              <w:pStyle w:val="TableText"/>
              <w:ind w:left="182"/>
              <w:spacing w:before="132" w:line="219" w:lineRule="auto"/>
              <w:rPr/>
            </w:pPr>
            <w:r>
              <w:rPr>
                <w:spacing w:val="-2"/>
              </w:rPr>
              <w:t>银监会</w:t>
            </w:r>
          </w:p>
        </w:tc>
        <w:tc>
          <w:tcPr>
            <w:tcW w:w="659" w:type="dxa"/>
            <w:vAlign w:val="top"/>
          </w:tcPr>
          <w:p>
            <w:pPr>
              <w:pStyle w:val="TableText"/>
              <w:ind w:left="12" w:right="9" w:firstLine="10"/>
              <w:spacing w:before="144" w:line="249" w:lineRule="auto"/>
              <w:jc w:val="both"/>
              <w:rPr/>
            </w:pPr>
            <w:r>
              <w:rPr>
                <w:spacing w:val="4"/>
              </w:rPr>
              <w:t>具备资质</w:t>
            </w:r>
            <w:r>
              <w:rPr/>
              <w:t xml:space="preserve"> </w:t>
            </w:r>
            <w:r>
              <w:rPr>
                <w:spacing w:val="4"/>
              </w:rPr>
              <w:t>的会计师</w:t>
            </w:r>
            <w:r>
              <w:rPr/>
              <w:t xml:space="preserve"> </w:t>
            </w:r>
            <w:r>
              <w:rPr>
                <w:spacing w:val="-2"/>
              </w:rPr>
              <w:t>事务所</w:t>
            </w:r>
          </w:p>
        </w:tc>
        <w:tc>
          <w:tcPr>
            <w:tcW w:w="6088" w:type="dxa"/>
            <w:vAlign w:val="top"/>
          </w:tcPr>
          <w:p>
            <w:pPr>
              <w:pStyle w:val="TableText"/>
              <w:ind w:left="43"/>
              <w:spacing w:before="152" w:line="219" w:lineRule="auto"/>
              <w:rPr/>
            </w:pPr>
            <w:r>
              <w:rPr>
                <w:spacing w:val="-2"/>
              </w:rPr>
              <w:t>1. 《中国银监会农村中小金融机构行政许可事项实施办法》(银监会令2</w:t>
            </w:r>
            <w:r>
              <w:rPr>
                <w:spacing w:val="-3"/>
              </w:rPr>
              <w:t>015年第3号)第七</w:t>
            </w:r>
          </w:p>
          <w:p>
            <w:pPr>
              <w:pStyle w:val="TableText"/>
              <w:ind w:left="43" w:right="121" w:firstLine="70"/>
              <w:spacing w:before="32" w:line="238" w:lineRule="auto"/>
              <w:rPr/>
            </w:pPr>
            <w:r>
              <w:rPr/>
              <w:t>条：设立农村商业银行，还应符合其他审慎性条件，至少包括：(八)</w:t>
            </w:r>
            <w:r>
              <w:rPr>
                <w:spacing w:val="-1"/>
              </w:rPr>
              <w:t>主要审慎监管指标符</w:t>
            </w:r>
            <w:r>
              <w:rPr/>
              <w:t xml:space="preserve"> </w:t>
            </w:r>
            <w:r>
              <w:rPr/>
              <w:t>合监管要求；(九)所有者权益大于等于股本(即经过清产核资与整体资</w:t>
            </w:r>
            <w:r>
              <w:rPr>
                <w:spacing w:val="-1"/>
              </w:rPr>
              <w:t>产评估，且考虑置</w:t>
            </w:r>
          </w:p>
          <w:p>
            <w:pPr>
              <w:pStyle w:val="TableText"/>
              <w:ind w:left="34"/>
              <w:spacing w:before="3" w:line="219" w:lineRule="auto"/>
              <w:rPr/>
            </w:pPr>
            <w:r>
              <w:rPr/>
              <w:t>换不良资产及历年亏损挂账等因素，拟组建机构合并计算所有者权益剔除</w:t>
            </w:r>
            <w:r>
              <w:rPr>
                <w:spacing w:val="-1"/>
              </w:rPr>
              <w:t>股本后大于或等于</w:t>
            </w:r>
          </w:p>
          <w:p>
            <w:pPr>
              <w:pStyle w:val="TableText"/>
              <w:ind w:left="53" w:right="126" w:firstLine="60"/>
              <w:spacing w:before="41" w:line="245" w:lineRule="auto"/>
              <w:rPr/>
            </w:pPr>
            <w:r>
              <w:rPr>
                <w:spacing w:val="-2"/>
              </w:rPr>
              <w:t>零)。2. 《中国银监会办公厅关于印发行政许可事项申请材料目录及格式要求的</w:t>
            </w:r>
            <w:r>
              <w:rPr>
                <w:spacing w:val="-3"/>
              </w:rPr>
              <w:t>通知》(银</w:t>
            </w:r>
            <w:r>
              <w:rPr/>
              <w:t xml:space="preserve"> </w:t>
            </w:r>
            <w:r>
              <w:rPr/>
              <w:t>监办发〔2015〕118号)。附件2农村中小金融机构行政许可事项申请材</w:t>
            </w:r>
            <w:r>
              <w:rPr>
                <w:spacing w:val="-1"/>
              </w:rPr>
              <w:t>料目录及格式要求</w:t>
            </w:r>
          </w:p>
          <w:p>
            <w:pPr>
              <w:pStyle w:val="TableText"/>
              <w:ind w:left="73"/>
              <w:spacing w:before="41" w:line="218" w:lineRule="auto"/>
              <w:rPr/>
            </w:pPr>
            <w:r>
              <w:rPr/>
              <w:t>(2015年版)1.1.1农村商业银行法人机构筹建审批“(9)中介机构出具的报告，包括清产</w:t>
            </w:r>
          </w:p>
          <w:p>
            <w:pPr>
              <w:pStyle w:val="TableText"/>
              <w:ind w:left="53" w:right="86" w:firstLine="20"/>
              <w:spacing w:before="32" w:line="220" w:lineRule="auto"/>
              <w:rPr/>
            </w:pPr>
            <w:r>
              <w:rPr/>
              <w:t>核资报告书、资产评估报告书”(1.2.1农村信用合作联社筹建审批、2.5</w:t>
            </w:r>
            <w:r>
              <w:rPr>
                <w:spacing w:val="-1"/>
              </w:rPr>
              <w:t>.3定向募股增加注</w:t>
            </w:r>
            <w:r>
              <w:rPr/>
              <w:t xml:space="preserve"> </w:t>
            </w:r>
            <w:r>
              <w:rPr/>
              <w:t>册资本审批要求同上);2.7存续分立(5)“分立前机构的清产核资报告、</w:t>
            </w:r>
            <w:r>
              <w:rPr>
                <w:spacing w:val="-1"/>
              </w:rPr>
              <w:t>资产评估报告以</w:t>
            </w:r>
          </w:p>
          <w:p>
            <w:pPr>
              <w:pStyle w:val="TableText"/>
              <w:ind w:left="43"/>
              <w:spacing w:before="43" w:line="219" w:lineRule="auto"/>
              <w:rPr/>
            </w:pPr>
            <w:r>
              <w:rPr/>
              <w:t>及分立后机构的资产负债表(预测)”(2.8新设分立要求同上);2.9吸收</w:t>
            </w:r>
            <w:r>
              <w:rPr>
                <w:spacing w:val="-1"/>
              </w:rPr>
              <w:t>合并(5)“吸</w:t>
            </w:r>
          </w:p>
          <w:p>
            <w:pPr>
              <w:pStyle w:val="TableText"/>
              <w:ind w:left="14"/>
              <w:spacing w:before="51" w:line="216" w:lineRule="auto"/>
              <w:rPr/>
            </w:pPr>
            <w:r>
              <w:rPr>
                <w:spacing w:val="1"/>
              </w:rPr>
              <w:t>收合并双方清产核资报告、资产评估报告和吸收合并后机构的资产负债表(预测)”,</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63392" behindDoc="0" locked="0" layoutInCell="0" allowOverlap="1">
                <wp:simplePos x="0" y="0"/>
                <wp:positionH relativeFrom="page">
                  <wp:posOffset>471019</wp:posOffset>
                </wp:positionH>
                <wp:positionV relativeFrom="page">
                  <wp:posOffset>4369926</wp:posOffset>
                </wp:positionV>
                <wp:extent cx="172085" cy="157479"/>
                <wp:effectExtent l="0" t="0" r="0" b="0"/>
                <wp:wrapNone/>
                <wp:docPr id="426" name="TextBox 426"/>
                <wp:cNvGraphicFramePr/>
                <a:graphic>
                  <a:graphicData uri="http://schemas.microsoft.com/office/word/2010/wordprocessingShape">
                    <wps:wsp>
                      <wps:cNvSpPr txBox="1"/>
                      <wps:spPr>
                        <a:xfrm rot="5400000">
                          <a:off x="471019" y="436992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301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8" style="position:absolute;margin-left:37.0882pt;margin-top:344.089pt;mso-position-vertical-relative:page;mso-position-horizontal-relative:page;width:13.55pt;height:12.4pt;z-index:25196339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301</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52"/>
              <w:spacing w:before="75" w:line="210" w:lineRule="auto"/>
              <w:rPr/>
            </w:pPr>
            <w:r>
              <w:rPr>
                <w:spacing w:val="19"/>
              </w:rPr>
              <w:t>序号</w:t>
            </w:r>
          </w:p>
        </w:tc>
        <w:tc>
          <w:tcPr>
            <w:tcW w:w="679" w:type="dxa"/>
            <w:vAlign w:val="top"/>
          </w:tcPr>
          <w:p>
            <w:pPr>
              <w:pStyle w:val="TableText"/>
              <w:ind w:left="30" w:right="32"/>
              <w:spacing w:before="50" w:line="252" w:lineRule="auto"/>
              <w:rPr/>
            </w:pPr>
            <w:r>
              <w:rPr>
                <w:spacing w:val="1"/>
              </w:rPr>
              <w:t>中介服务 </w:t>
            </w:r>
            <w:r>
              <w:rPr>
                <w:spacing w:val="-2"/>
              </w:rPr>
              <w:t>事项名称</w:t>
            </w:r>
          </w:p>
        </w:tc>
        <w:tc>
          <w:tcPr>
            <w:tcW w:w="1099" w:type="dxa"/>
            <w:vAlign w:val="top"/>
          </w:tcPr>
          <w:p>
            <w:pPr>
              <w:pStyle w:val="TableText"/>
              <w:ind w:left="239" w:right="35" w:hanging="229"/>
              <w:spacing w:before="5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51"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296" w:hRule="atLeast"/>
        </w:trPr>
        <w:tc>
          <w:tcPr>
            <w:tcW w:w="295" w:type="dxa"/>
            <w:vAlign w:val="top"/>
          </w:tcPr>
          <w:p>
            <w:pPr>
              <w:pStyle w:val="TableText"/>
              <w:ind w:left="65"/>
              <w:spacing w:before="155" w:line="183" w:lineRule="auto"/>
              <w:rPr/>
            </w:pPr>
            <w:r>
              <w:rPr>
                <w:spacing w:val="-3"/>
              </w:rPr>
              <w:t>59</w:t>
            </w:r>
          </w:p>
        </w:tc>
        <w:tc>
          <w:tcPr>
            <w:tcW w:w="679" w:type="dxa"/>
            <w:vAlign w:val="top"/>
          </w:tcPr>
          <w:p>
            <w:pPr>
              <w:pStyle w:val="TableText"/>
              <w:ind w:left="20" w:right="31" w:firstLine="10"/>
              <w:spacing w:before="107" w:line="255" w:lineRule="auto"/>
              <w:jc w:val="both"/>
              <w:rPr/>
            </w:pPr>
            <w:r>
              <w:rPr>
                <w:spacing w:val="1"/>
              </w:rPr>
              <w:t>中资银行</w:t>
            </w:r>
            <w:r>
              <w:rPr>
                <w:spacing w:val="2"/>
              </w:rPr>
              <w:t xml:space="preserve"> </w:t>
            </w:r>
            <w:r>
              <w:rPr>
                <w:spacing w:val="1"/>
              </w:rPr>
              <w:t>业金融机</w:t>
            </w:r>
            <w:r>
              <w:rPr/>
              <w:t xml:space="preserve"> </w:t>
            </w:r>
            <w:r>
              <w:rPr/>
              <w:t>构及其分</w:t>
            </w:r>
            <w:r>
              <w:rPr>
                <w:spacing w:val="1"/>
              </w:rPr>
              <w:t xml:space="preserve"> </w:t>
            </w:r>
            <w:r>
              <w:rPr/>
              <w:t>支机构资</w:t>
            </w:r>
            <w:r>
              <w:rPr>
                <w:spacing w:val="2"/>
              </w:rPr>
              <w:t xml:space="preserve"> </w:t>
            </w:r>
            <w:r>
              <w:rPr>
                <w:spacing w:val="-2"/>
              </w:rPr>
              <w:t>产评估</w:t>
            </w:r>
          </w:p>
        </w:tc>
        <w:tc>
          <w:tcPr>
            <w:tcW w:w="1099" w:type="dxa"/>
            <w:vAlign w:val="top"/>
          </w:tcPr>
          <w:p>
            <w:pPr>
              <w:pStyle w:val="TableText"/>
              <w:ind w:left="10" w:right="15" w:firstLine="30"/>
              <w:spacing w:before="106" w:line="261" w:lineRule="auto"/>
              <w:jc w:val="both"/>
              <w:rPr/>
            </w:pPr>
            <w:r>
              <w:rPr>
                <w:spacing w:val="20"/>
              </w:rPr>
              <w:t>(43008)中资</w:t>
            </w:r>
            <w:r>
              <w:rPr>
                <w:spacing w:val="4"/>
              </w:rPr>
              <w:t xml:space="preserve"> </w:t>
            </w:r>
            <w:r>
              <w:rPr>
                <w:spacing w:val="-1"/>
              </w:rPr>
              <w:t>银行业金融机构</w:t>
            </w:r>
            <w:r>
              <w:rPr/>
              <w:t xml:space="preserve"> </w:t>
            </w:r>
            <w:r>
              <w:rPr>
                <w:spacing w:val="-1"/>
              </w:rPr>
              <w:t>及其分支机构设</w:t>
            </w:r>
            <w:r>
              <w:rPr/>
              <w:t xml:space="preserve"> </w:t>
            </w:r>
            <w:r>
              <w:rPr>
                <w:spacing w:val="-1"/>
              </w:rPr>
              <w:t>立、变更、终止</w:t>
            </w:r>
            <w:r>
              <w:rPr/>
              <w:t xml:space="preserve"> </w:t>
            </w:r>
            <w:r>
              <w:rPr>
                <w:spacing w:val="1"/>
              </w:rPr>
              <w:t>以及业务范围审</w:t>
            </w:r>
            <w:r>
              <w:rPr>
                <w:spacing w:val="4"/>
              </w:rPr>
              <w:t xml:space="preserve"> </w:t>
            </w:r>
            <w:r>
              <w:rPr/>
              <w:t>批</w:t>
            </w:r>
          </w:p>
        </w:tc>
        <w:tc>
          <w:tcPr>
            <w:tcW w:w="839" w:type="dxa"/>
            <w:vAlign w:val="top"/>
          </w:tcPr>
          <w:p>
            <w:pPr>
              <w:pStyle w:val="TableText"/>
              <w:ind w:left="182"/>
              <w:spacing w:before="96" w:line="219" w:lineRule="auto"/>
              <w:rPr/>
            </w:pPr>
            <w:r>
              <w:rPr>
                <w:spacing w:val="-2"/>
              </w:rPr>
              <w:t>银监会</w:t>
            </w:r>
          </w:p>
        </w:tc>
        <w:tc>
          <w:tcPr>
            <w:tcW w:w="659" w:type="dxa"/>
            <w:vAlign w:val="top"/>
          </w:tcPr>
          <w:p>
            <w:pPr>
              <w:pStyle w:val="TableText"/>
              <w:ind w:left="22" w:right="9"/>
              <w:spacing w:before="98" w:line="248" w:lineRule="auto"/>
              <w:jc w:val="both"/>
              <w:rPr/>
            </w:pPr>
            <w:r>
              <w:rPr>
                <w:spacing w:val="4"/>
              </w:rPr>
              <w:t>具备资质</w:t>
            </w:r>
            <w:r>
              <w:rPr/>
              <w:t xml:space="preserve"> </w:t>
            </w:r>
            <w:r>
              <w:rPr>
                <w:spacing w:val="1"/>
              </w:rPr>
              <w:t>的资产评</w:t>
            </w:r>
            <w:r>
              <w:rPr/>
              <w:t xml:space="preserve"> </w:t>
            </w:r>
            <w:r>
              <w:rPr>
                <w:spacing w:val="-2"/>
              </w:rPr>
              <w:t>估机构</w:t>
            </w:r>
          </w:p>
        </w:tc>
        <w:tc>
          <w:tcPr>
            <w:tcW w:w="6098" w:type="dxa"/>
            <w:vAlign w:val="top"/>
          </w:tcPr>
          <w:p>
            <w:pPr>
              <w:pStyle w:val="TableText"/>
              <w:ind w:left="34" w:right="83" w:firstLine="39"/>
              <w:spacing w:before="106" w:line="245" w:lineRule="auto"/>
              <w:rPr/>
            </w:pPr>
            <w:r>
              <w:rPr>
                <w:spacing w:val="-2"/>
              </w:rPr>
              <w:t>1. 《中国银行业监督管理委员会中资商业银行行政许可事项申请材料目录及各式要求》(银</w:t>
            </w:r>
            <w:r>
              <w:rPr>
                <w:spacing w:val="13"/>
              </w:rPr>
              <w:t xml:space="preserve"> </w:t>
            </w:r>
            <w:r>
              <w:rPr/>
              <w:t>监发〔2015〕118号)附件12.9中资商业银行变更组织形式审批申请材料</w:t>
            </w:r>
            <w:r>
              <w:rPr>
                <w:spacing w:val="-1"/>
              </w:rPr>
              <w:t>目录：(4)中介</w:t>
            </w:r>
          </w:p>
          <w:p>
            <w:pPr>
              <w:pStyle w:val="TableText"/>
              <w:ind w:left="43"/>
              <w:spacing w:before="51" w:line="218" w:lineRule="auto"/>
              <w:rPr/>
            </w:pPr>
            <w:r>
              <w:rPr>
                <w:spacing w:val="-2"/>
              </w:rPr>
              <w:t>机构出具的资产评估报告。2. 《中国银监会办公厅关于印发行政许可事项申请材料目录及格</w:t>
            </w:r>
          </w:p>
          <w:p>
            <w:pPr>
              <w:pStyle w:val="TableText"/>
              <w:ind w:left="34" w:right="336" w:firstLine="9"/>
              <w:spacing w:before="43" w:line="220" w:lineRule="auto"/>
              <w:rPr/>
            </w:pPr>
            <w:r>
              <w:rPr/>
              <w:t>式要求的通知》(银监办发〔2015〕118号)。附件2农村中小金融</w:t>
            </w:r>
            <w:r>
              <w:rPr>
                <w:spacing w:val="-1"/>
              </w:rPr>
              <w:t>机构行政许可事项申请</w:t>
            </w:r>
            <w:r>
              <w:rPr/>
              <w:t xml:space="preserve"> </w:t>
            </w:r>
            <w:r>
              <w:rPr/>
              <w:t>材料目录及格式要求(2015年版)1.1.1农村商业银行法人机构筹建审批“(9)中介机构出</w:t>
            </w:r>
          </w:p>
          <w:p>
            <w:pPr>
              <w:pStyle w:val="TableText"/>
              <w:ind w:left="43" w:firstLine="9"/>
              <w:spacing w:before="61" w:line="232" w:lineRule="auto"/>
              <w:rPr/>
            </w:pPr>
            <w:r>
              <w:rPr>
                <w:spacing w:val="-4"/>
              </w:rPr>
              <w:t>具的报告，包括清产核资报告书、资产评估报告书”(1.2.1农村信用合作联社筹建审批、2</w:t>
            </w:r>
            <w:r>
              <w:rPr>
                <w:spacing w:val="-5"/>
              </w:rPr>
              <w:t>.5.3</w:t>
            </w:r>
            <w:r>
              <w:rPr/>
              <w:t xml:space="preserve"> </w:t>
            </w:r>
            <w:r>
              <w:rPr>
                <w:spacing w:val="2"/>
              </w:rPr>
              <w:t>定向募股增加注册资本审批要求同上);2.7存续分立(5</w:t>
            </w:r>
            <w:r>
              <w:rPr>
                <w:spacing w:val="1"/>
              </w:rPr>
              <w:t>)“分立前机构的清产核资报告、</w:t>
            </w:r>
          </w:p>
          <w:p>
            <w:pPr>
              <w:pStyle w:val="TableText"/>
              <w:ind w:left="43"/>
              <w:spacing w:before="73" w:line="218" w:lineRule="auto"/>
              <w:rPr/>
            </w:pPr>
            <w:r>
              <w:rPr/>
              <w:t>资产评估报告以及分立后机构的资产负债表(预测)”(2.8新</w:t>
            </w:r>
            <w:r>
              <w:rPr>
                <w:spacing w:val="-1"/>
              </w:rPr>
              <w:t>设分立要求同上);2.9吸收</w:t>
            </w:r>
          </w:p>
          <w:p>
            <w:pPr>
              <w:pStyle w:val="TableText"/>
              <w:ind w:left="14" w:right="130" w:firstLine="99"/>
              <w:spacing w:before="42" w:line="235" w:lineRule="auto"/>
              <w:rPr/>
            </w:pPr>
            <w:r>
              <w:rPr/>
              <w:t>合并(5)“吸收合并双方清产核资报告、资产评估报告和吸收合并后机构</w:t>
            </w:r>
            <w:r>
              <w:rPr>
                <w:spacing w:val="-1"/>
              </w:rPr>
              <w:t>的资产负债表(预</w:t>
            </w:r>
            <w:r>
              <w:rPr/>
              <w:t xml:space="preserve"> </w:t>
            </w:r>
            <w:r>
              <w:rPr>
                <w:spacing w:val="-1"/>
              </w:rPr>
              <w:t>测)”。</w:t>
            </w:r>
          </w:p>
        </w:tc>
      </w:tr>
      <w:tr>
        <w:trPr>
          <w:trHeight w:val="3400" w:hRule="atLeast"/>
        </w:trPr>
        <w:tc>
          <w:tcPr>
            <w:tcW w:w="295" w:type="dxa"/>
            <w:vAlign w:val="top"/>
          </w:tcPr>
          <w:p>
            <w:pPr>
              <w:pStyle w:val="TableText"/>
              <w:ind w:left="65"/>
              <w:spacing w:before="149" w:line="183" w:lineRule="auto"/>
              <w:rPr/>
            </w:pPr>
            <w:r>
              <w:rPr>
                <w:spacing w:val="-2"/>
              </w:rPr>
              <w:t>60</w:t>
            </w:r>
          </w:p>
        </w:tc>
        <w:tc>
          <w:tcPr>
            <w:tcW w:w="679" w:type="dxa"/>
            <w:vAlign w:val="top"/>
          </w:tcPr>
          <w:p>
            <w:pPr>
              <w:pStyle w:val="TableText"/>
              <w:ind w:left="20" w:right="31" w:firstLine="10"/>
              <w:spacing w:before="93" w:line="263" w:lineRule="auto"/>
              <w:jc w:val="both"/>
              <w:rPr/>
            </w:pPr>
            <w:r>
              <w:rPr>
                <w:spacing w:val="1"/>
              </w:rPr>
              <w:t>中资银行</w:t>
            </w:r>
            <w:r>
              <w:rPr>
                <w:spacing w:val="2"/>
              </w:rPr>
              <w:t xml:space="preserve"> </w:t>
            </w:r>
            <w:r>
              <w:rPr>
                <w:spacing w:val="1"/>
              </w:rPr>
              <w:t>业金融机</w:t>
            </w:r>
            <w:r>
              <w:rPr/>
              <w:t xml:space="preserve"> </w:t>
            </w:r>
            <w:r>
              <w:rPr/>
              <w:t>构及其分</w:t>
            </w:r>
            <w:r>
              <w:rPr>
                <w:spacing w:val="1"/>
              </w:rPr>
              <w:t xml:space="preserve"> </w:t>
            </w:r>
            <w:r>
              <w:rPr/>
              <w:t>支机构验</w:t>
            </w:r>
            <w:r>
              <w:rPr>
                <w:spacing w:val="2"/>
              </w:rPr>
              <w:t xml:space="preserve"> </w:t>
            </w:r>
            <w:r>
              <w:rPr/>
              <w:t>资</w:t>
            </w:r>
          </w:p>
        </w:tc>
        <w:tc>
          <w:tcPr>
            <w:tcW w:w="1099" w:type="dxa"/>
            <w:vAlign w:val="top"/>
          </w:tcPr>
          <w:p>
            <w:pPr>
              <w:pStyle w:val="TableText"/>
              <w:ind w:left="10" w:right="15" w:firstLine="30"/>
              <w:spacing w:before="100" w:line="263" w:lineRule="auto"/>
              <w:jc w:val="both"/>
              <w:rPr/>
            </w:pPr>
            <w:r>
              <w:rPr>
                <w:spacing w:val="20"/>
              </w:rPr>
              <w:t>(43008)中资</w:t>
            </w:r>
            <w:r>
              <w:rPr>
                <w:spacing w:val="4"/>
              </w:rPr>
              <w:t xml:space="preserve"> </w:t>
            </w:r>
            <w:r>
              <w:rPr>
                <w:spacing w:val="-1"/>
              </w:rPr>
              <w:t>银行业金融机构</w:t>
            </w:r>
            <w:r>
              <w:rPr/>
              <w:t xml:space="preserve"> </w:t>
            </w:r>
            <w:r>
              <w:rPr>
                <w:spacing w:val="-1"/>
              </w:rPr>
              <w:t>及其分支机构设</w:t>
            </w:r>
            <w:r>
              <w:rPr/>
              <w:t xml:space="preserve"> </w:t>
            </w:r>
            <w:r>
              <w:rPr>
                <w:spacing w:val="-1"/>
              </w:rPr>
              <w:t>立、变更、终止</w:t>
            </w:r>
            <w:r>
              <w:rPr/>
              <w:t xml:space="preserve"> </w:t>
            </w:r>
            <w:r>
              <w:rPr>
                <w:spacing w:val="1"/>
              </w:rPr>
              <w:t>以及业务范围审</w:t>
            </w:r>
            <w:r>
              <w:rPr>
                <w:spacing w:val="4"/>
              </w:rPr>
              <w:t xml:space="preserve"> </w:t>
            </w:r>
            <w:r>
              <w:rPr/>
              <w:t>批</w:t>
            </w:r>
          </w:p>
        </w:tc>
        <w:tc>
          <w:tcPr>
            <w:tcW w:w="839" w:type="dxa"/>
            <w:vAlign w:val="top"/>
          </w:tcPr>
          <w:p>
            <w:pPr>
              <w:pStyle w:val="TableText"/>
              <w:ind w:left="182"/>
              <w:spacing w:before="100" w:line="219" w:lineRule="auto"/>
              <w:rPr/>
            </w:pPr>
            <w:r>
              <w:rPr>
                <w:spacing w:val="-2"/>
              </w:rPr>
              <w:t>银监会</w:t>
            </w:r>
          </w:p>
        </w:tc>
        <w:tc>
          <w:tcPr>
            <w:tcW w:w="659" w:type="dxa"/>
            <w:vAlign w:val="top"/>
          </w:tcPr>
          <w:p>
            <w:pPr>
              <w:pStyle w:val="TableText"/>
              <w:ind w:left="12" w:right="32" w:firstLine="10"/>
              <w:spacing w:before="91" w:line="244" w:lineRule="auto"/>
              <w:rPr/>
            </w:pPr>
            <w:r>
              <w:rPr>
                <w:spacing w:val="-2"/>
              </w:rPr>
              <w:t>法定验资</w:t>
            </w:r>
            <w:r>
              <w:rPr/>
              <w:t xml:space="preserve"> </w:t>
            </w:r>
            <w:r>
              <w:rPr>
                <w:spacing w:val="-2"/>
              </w:rPr>
              <w:t>机构</w:t>
            </w:r>
          </w:p>
        </w:tc>
        <w:tc>
          <w:tcPr>
            <w:tcW w:w="6098" w:type="dxa"/>
            <w:vAlign w:val="top"/>
          </w:tcPr>
          <w:p>
            <w:pPr>
              <w:pStyle w:val="TableText"/>
              <w:ind w:left="43" w:right="44"/>
              <w:spacing w:before="121" w:line="258" w:lineRule="auto"/>
              <w:jc w:val="both"/>
              <w:rPr/>
            </w:pPr>
            <w:r>
              <w:rPr>
                <w:spacing w:val="-2"/>
              </w:rPr>
              <w:t>1. 《中华人民共和国公司法》第八十九条：发行股份的股款缴足后，必须经依法设立的验资</w:t>
            </w:r>
            <w:r>
              <w:rPr>
                <w:spacing w:val="7"/>
              </w:rPr>
              <w:t xml:space="preserve"> </w:t>
            </w:r>
            <w:r>
              <w:rPr/>
              <w:t>机构验资并出具证明。发起人应当自股款缴足之日起三十日内主持召开公司</w:t>
            </w:r>
            <w:r>
              <w:rPr>
                <w:spacing w:val="-1"/>
              </w:rPr>
              <w:t>创立大会。创立</w:t>
            </w:r>
            <w:r>
              <w:rPr/>
              <w:t xml:space="preserve"> </w:t>
            </w:r>
            <w:r>
              <w:rPr/>
              <w:t>大会由发起人、认股人组成。发行的股份超过招股说明书规定的截止期</w:t>
            </w:r>
            <w:r>
              <w:rPr>
                <w:spacing w:val="-1"/>
              </w:rPr>
              <w:t>限尚未募足的，或者</w:t>
            </w:r>
            <w:r>
              <w:rPr/>
              <w:t xml:space="preserve"> </w:t>
            </w:r>
            <w:r>
              <w:rPr/>
              <w:t>发行股份的股款缴足后，发起人在三十日内未召开创立大会的，认股</w:t>
            </w:r>
            <w:r>
              <w:rPr>
                <w:spacing w:val="-1"/>
              </w:rPr>
              <w:t>人可以按照所缴股款并</w:t>
            </w:r>
            <w:r>
              <w:rPr/>
              <w:t xml:space="preserve"> </w:t>
            </w:r>
            <w:r>
              <w:rPr>
                <w:spacing w:val="-2"/>
              </w:rPr>
              <w:t>加算银行同期存款利息，要求发起人返还。2. 《中华人民共和国商业银行法》第十二条；设</w:t>
            </w:r>
          </w:p>
          <w:p>
            <w:pPr>
              <w:pStyle w:val="TableText"/>
              <w:ind w:left="34" w:right="44" w:firstLine="79"/>
              <w:spacing w:before="40" w:line="258" w:lineRule="auto"/>
              <w:rPr/>
            </w:pPr>
            <w:r>
              <w:rPr>
                <w:spacing w:val="-4"/>
              </w:rPr>
              <w:t>立商业银行，应当具备下列条件；    (二)有符合本法规定的注册资本最低限额。第十五条</w:t>
            </w:r>
            <w:r>
              <w:rPr>
                <w:spacing w:val="7"/>
              </w:rPr>
              <w:t xml:space="preserve">  </w:t>
            </w:r>
            <w:r>
              <w:rPr/>
              <w:t>设立商业银行的申请经审查符合本法第十四条规定的，申请人应当填写正式申请表，并提交 </w:t>
            </w:r>
            <w:r>
              <w:rPr>
                <w:spacing w:val="-5"/>
              </w:rPr>
              <w:t>下列文件、资料：    (三)法定验资机构出具的验资证明。3. 《中资商业银行行政许可事项申</w:t>
            </w:r>
            <w:r>
              <w:rPr>
                <w:spacing w:val="13"/>
              </w:rPr>
              <w:t xml:space="preserve"> </w:t>
            </w:r>
            <w:r>
              <w:rPr>
                <w:spacing w:val="-3"/>
              </w:rPr>
              <w:t>请材料目录及格式要求》(银监发〔2015〕118号)附件1第1.26项第3款：    “中介机构出</w:t>
            </w:r>
          </w:p>
          <w:p>
            <w:pPr>
              <w:pStyle w:val="TableText"/>
              <w:ind w:left="43" w:right="43"/>
              <w:spacing w:before="41" w:line="245" w:lineRule="auto"/>
              <w:rPr/>
            </w:pPr>
            <w:r>
              <w:rPr>
                <w:spacing w:val="-2"/>
              </w:rPr>
              <w:t>具的验资报告”。4. 《中国银监会办公厅关于印发行政许可事项申请材料目录及格式要求的</w:t>
            </w:r>
            <w:r>
              <w:rPr>
                <w:spacing w:val="8"/>
              </w:rPr>
              <w:t xml:space="preserve"> </w:t>
            </w:r>
            <w:r>
              <w:rPr/>
              <w:t>通知》(银监办发〔2015〕118号)。附件2农村中小金融机构行政许可事</w:t>
            </w:r>
            <w:r>
              <w:rPr>
                <w:spacing w:val="-1"/>
              </w:rPr>
              <w:t>项申请材料目录</w:t>
            </w:r>
          </w:p>
          <w:p>
            <w:pPr>
              <w:pStyle w:val="TableText"/>
              <w:ind w:left="43"/>
              <w:spacing w:before="42" w:line="219" w:lineRule="auto"/>
              <w:rPr/>
            </w:pPr>
            <w:r>
              <w:rPr/>
              <w:t>及格式要求(2015年版)1.1.2农村商业银行法人机构开业核准“(3)法定</w:t>
            </w:r>
            <w:r>
              <w:rPr>
                <w:spacing w:val="-1"/>
              </w:rPr>
              <w:t>验资机构出具的</w:t>
            </w:r>
          </w:p>
          <w:p>
            <w:pPr>
              <w:pStyle w:val="TableText"/>
              <w:ind w:left="4" w:right="15" w:firstLine="39"/>
              <w:spacing w:before="43" w:line="253" w:lineRule="auto"/>
              <w:jc w:val="both"/>
              <w:rPr/>
            </w:pPr>
            <w:r>
              <w:rPr/>
              <w:t>验资证明”(1.2.2农村信用合作联社开业核准、1.3.2村镇银行法人机构开业核准</w:t>
            </w:r>
            <w:r>
              <w:rPr>
                <w:spacing w:val="-1"/>
              </w:rPr>
              <w:t>、1.4.2贷</w:t>
            </w:r>
            <w:r>
              <w:rPr/>
              <w:t xml:space="preserve"> </w:t>
            </w:r>
            <w:r>
              <w:rPr/>
              <w:t>款公司开业核准、1.5.2农村资金互助社开业核准、2.5.2配股增加注册资本审批</w:t>
            </w:r>
            <w:r>
              <w:rPr>
                <w:spacing w:val="-1"/>
              </w:rPr>
              <w:t>、2.5.3定向</w:t>
            </w:r>
            <w:r>
              <w:rPr/>
              <w:t xml:space="preserve"> </w:t>
            </w:r>
            <w:r>
              <w:rPr>
                <w:spacing w:val="1"/>
              </w:rPr>
              <w:t>募股增加注册资本审批、2.5.4减少注册资本审批要求同上)。</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64416" behindDoc="0" locked="0" layoutInCell="0" allowOverlap="1">
                <wp:simplePos x="0" y="0"/>
                <wp:positionH relativeFrom="page">
                  <wp:posOffset>470816</wp:posOffset>
                </wp:positionH>
                <wp:positionV relativeFrom="page">
                  <wp:posOffset>623638</wp:posOffset>
                </wp:positionV>
                <wp:extent cx="172085" cy="156845"/>
                <wp:effectExtent l="0" t="0" r="0" b="0"/>
                <wp:wrapNone/>
                <wp:docPr id="428" name="TextBox 428"/>
                <wp:cNvGraphicFramePr/>
                <a:graphic>
                  <a:graphicData uri="http://schemas.microsoft.com/office/word/2010/wordprocessingShape">
                    <wps:wsp>
                      <wps:cNvSpPr txBox="1"/>
                      <wps:spPr>
                        <a:xfrm rot="5400000">
                          <a:off x="470816" y="623638"/>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0" style="position:absolute;margin-left:37.0722pt;margin-top:49.1054pt;mso-position-vertical-relative:page;mso-position-horizontal-relative:page;width:13.55pt;height:12.35pt;z-index:25196441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302</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2" w:line="245"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344" w:hRule="atLeast"/>
        </w:trPr>
        <w:tc>
          <w:tcPr>
            <w:tcW w:w="295" w:type="dxa"/>
            <w:vAlign w:val="top"/>
          </w:tcPr>
          <w:p>
            <w:pPr>
              <w:pStyle w:val="TableText"/>
              <w:ind w:left="65"/>
              <w:spacing w:before="145" w:line="184" w:lineRule="auto"/>
              <w:rPr/>
            </w:pPr>
            <w:r>
              <w:rPr>
                <w:spacing w:val="-2"/>
              </w:rPr>
              <w:t>61</w:t>
            </w:r>
          </w:p>
        </w:tc>
        <w:tc>
          <w:tcPr>
            <w:tcW w:w="659" w:type="dxa"/>
            <w:vAlign w:val="top"/>
          </w:tcPr>
          <w:p>
            <w:pPr>
              <w:pStyle w:val="TableText"/>
              <w:ind w:left="10" w:firstLine="9"/>
              <w:spacing w:before="96" w:line="260" w:lineRule="auto"/>
              <w:rPr/>
            </w:pPr>
            <w:r>
              <w:rPr>
                <w:spacing w:val="-5"/>
              </w:rPr>
              <w:t>非银行金</w:t>
            </w:r>
            <w:r>
              <w:rPr/>
              <w:t xml:space="preserve"> </w:t>
            </w:r>
            <w:r>
              <w:rPr>
                <w:spacing w:val="-10"/>
              </w:rPr>
              <w:t>融</w:t>
            </w:r>
            <w:r>
              <w:rPr>
                <w:spacing w:val="33"/>
              </w:rPr>
              <w:t xml:space="preserve"> </w:t>
            </w:r>
            <w:r>
              <w:rPr>
                <w:spacing w:val="-10"/>
              </w:rPr>
              <w:t>机</w:t>
            </w:r>
            <w:r>
              <w:rPr>
                <w:spacing w:val="35"/>
              </w:rPr>
              <w:t xml:space="preserve"> </w:t>
            </w:r>
            <w:r>
              <w:rPr>
                <w:spacing w:val="-10"/>
              </w:rPr>
              <w:t>构</w:t>
            </w:r>
            <w:r>
              <w:rPr/>
              <w:t xml:space="preserve"> </w:t>
            </w:r>
            <w:r>
              <w:rPr>
                <w:spacing w:val="10"/>
              </w:rPr>
              <w:t>(分支机</w:t>
            </w:r>
            <w:r>
              <w:rPr/>
              <w:t xml:space="preserve">  </w:t>
            </w:r>
            <w:r>
              <w:rPr>
                <w:spacing w:val="5"/>
              </w:rPr>
              <w:t>构)财务</w:t>
            </w:r>
            <w:r>
              <w:rPr>
                <w:spacing w:val="1"/>
              </w:rPr>
              <w:t xml:space="preserve">  </w:t>
            </w:r>
            <w:r>
              <w:rPr>
                <w:spacing w:val="-1"/>
              </w:rPr>
              <w:t>报告审计</w:t>
            </w:r>
          </w:p>
        </w:tc>
        <w:tc>
          <w:tcPr>
            <w:tcW w:w="1109" w:type="dxa"/>
            <w:vAlign w:val="top"/>
          </w:tcPr>
          <w:p>
            <w:pPr>
              <w:pStyle w:val="TableText"/>
              <w:ind w:left="20" w:firstLine="19"/>
              <w:spacing w:before="98" w:line="260" w:lineRule="auto"/>
              <w:jc w:val="both"/>
              <w:rPr/>
            </w:pPr>
            <w:r>
              <w:rPr>
                <w:spacing w:val="19"/>
              </w:rPr>
              <w:t>(43009)非银</w:t>
            </w:r>
            <w:r>
              <w:rPr>
                <w:spacing w:val="1"/>
              </w:rPr>
              <w:t xml:space="preserve">  </w:t>
            </w:r>
            <w:r>
              <w:rPr>
                <w:spacing w:val="2"/>
              </w:rPr>
              <w:t>行金融机构(分</w:t>
            </w:r>
            <w:r>
              <w:rPr/>
              <w:t xml:space="preserve">  </w:t>
            </w:r>
            <w:r>
              <w:rPr>
                <w:spacing w:val="14"/>
              </w:rPr>
              <w:t>支机构)设立、</w:t>
            </w:r>
            <w:r>
              <w:rPr>
                <w:spacing w:val="4"/>
              </w:rPr>
              <w:t xml:space="preserve"> </w:t>
            </w:r>
            <w:r>
              <w:rPr>
                <w:spacing w:val="-2"/>
              </w:rPr>
              <w:t>变更、终止以及</w:t>
            </w:r>
            <w:r>
              <w:rPr/>
              <w:t xml:space="preserve"> </w:t>
            </w:r>
            <w:r>
              <w:rPr>
                <w:spacing w:val="9"/>
              </w:rPr>
              <w:t>业务范围审批</w:t>
            </w:r>
          </w:p>
        </w:tc>
        <w:tc>
          <w:tcPr>
            <w:tcW w:w="839" w:type="dxa"/>
            <w:vAlign w:val="top"/>
          </w:tcPr>
          <w:p>
            <w:pPr>
              <w:pStyle w:val="TableText"/>
              <w:ind w:left="182"/>
              <w:spacing w:before="86" w:line="219" w:lineRule="auto"/>
              <w:rPr/>
            </w:pPr>
            <w:r>
              <w:rPr>
                <w:spacing w:val="-2"/>
              </w:rPr>
              <w:t>银监会</w:t>
            </w:r>
          </w:p>
        </w:tc>
        <w:tc>
          <w:tcPr>
            <w:tcW w:w="659" w:type="dxa"/>
            <w:vAlign w:val="top"/>
          </w:tcPr>
          <w:p>
            <w:pPr>
              <w:pStyle w:val="TableText"/>
              <w:ind w:left="22" w:right="9"/>
              <w:spacing w:before="97" w:line="241" w:lineRule="auto"/>
              <w:jc w:val="both"/>
              <w:rPr/>
            </w:pPr>
            <w:r>
              <w:rPr>
                <w:spacing w:val="4"/>
              </w:rPr>
              <w:t>具备资质</w:t>
            </w:r>
            <w:r>
              <w:rPr/>
              <w:t xml:space="preserve"> </w:t>
            </w:r>
            <w:r>
              <w:rPr>
                <w:spacing w:val="1"/>
              </w:rPr>
              <w:t>的会计师</w:t>
            </w:r>
            <w:r>
              <w:rPr>
                <w:spacing w:val="2"/>
              </w:rPr>
              <w:t xml:space="preserve"> </w:t>
            </w:r>
            <w:r>
              <w:rPr>
                <w:spacing w:val="1"/>
              </w:rPr>
              <w:t>事务所</w:t>
            </w:r>
          </w:p>
        </w:tc>
        <w:tc>
          <w:tcPr>
            <w:tcW w:w="6088" w:type="dxa"/>
            <w:vAlign w:val="top"/>
          </w:tcPr>
          <w:p>
            <w:pPr>
              <w:pStyle w:val="TableText"/>
              <w:ind w:left="14" w:firstLine="19"/>
              <w:spacing w:before="106" w:line="245" w:lineRule="auto"/>
              <w:rPr/>
            </w:pPr>
            <w:r>
              <w:rPr>
                <w:spacing w:val="-3"/>
              </w:rPr>
              <w:t>1. 《中华人民共和国商业银行法》第二十条：设立商业银行分支机构，申请</w:t>
            </w:r>
            <w:r>
              <w:rPr>
                <w:spacing w:val="-4"/>
              </w:rPr>
              <w:t>人应当向国务院</w:t>
            </w:r>
            <w:r>
              <w:rPr/>
              <w:t xml:space="preserve">  </w:t>
            </w:r>
            <w:r>
              <w:rPr>
                <w:spacing w:val="-2"/>
              </w:rPr>
              <w:t>银行业监督管理机构提交下列文件、资料：(六)国务院银行业监督管理机构规定的其</w:t>
            </w:r>
            <w:r>
              <w:rPr>
                <w:spacing w:val="-3"/>
              </w:rPr>
              <w:t>他文件、</w:t>
            </w:r>
            <w:r>
              <w:rPr/>
              <w:t xml:space="preserve"> </w:t>
            </w:r>
            <w:r>
              <w:rPr>
                <w:spacing w:val="-3"/>
              </w:rPr>
              <w:t>资料。2. 《中国银监会非银行金融机构行政许可事项实施办法》(银监会令2015年第5号)</w:t>
            </w:r>
          </w:p>
          <w:p>
            <w:pPr>
              <w:pStyle w:val="TableText"/>
              <w:ind w:left="34" w:right="58"/>
              <w:spacing w:before="51" w:line="245" w:lineRule="auto"/>
              <w:rPr/>
            </w:pPr>
            <w:r>
              <w:rPr>
                <w:spacing w:val="-2"/>
              </w:rPr>
              <w:t>关于非银行机构筹建、变更、业务范围等事项的要求。3. 《金融机构信贷资</w:t>
            </w:r>
            <w:r>
              <w:rPr>
                <w:spacing w:val="-3"/>
              </w:rPr>
              <w:t>产证券化试点监</w:t>
            </w:r>
            <w:r>
              <w:rPr/>
              <w:t xml:space="preserve"> </w:t>
            </w:r>
            <w:r>
              <w:rPr/>
              <w:t>督管理办法》(中国银行业监督管理委员会令2005年第3号)第十条</w:t>
            </w:r>
            <w:r>
              <w:rPr>
                <w:spacing w:val="-1"/>
              </w:rPr>
              <w:t>：信托投资公司申请特</w:t>
            </w:r>
          </w:p>
          <w:p>
            <w:pPr>
              <w:pStyle w:val="TableText"/>
              <w:ind w:left="34" w:right="53"/>
              <w:spacing w:before="32" w:line="251" w:lineRule="auto"/>
              <w:rPr/>
            </w:pPr>
            <w:r>
              <w:rPr/>
              <w:t>定目的信托受托机构资格，应当向银监会提出申请，并且报送下列文</w:t>
            </w:r>
            <w:r>
              <w:rPr>
                <w:spacing w:val="-1"/>
              </w:rPr>
              <w:t>件和资料：(五)公司最</w:t>
            </w:r>
            <w:r>
              <w:rPr/>
              <w:t xml:space="preserve"> </w:t>
            </w:r>
            <w:r>
              <w:rPr>
                <w:spacing w:val="-2"/>
              </w:rPr>
              <w:t>近3个会计年度经审计的财务报表。4. 《信托公司受托境外理财业务管理暂行办法》(银监</w:t>
            </w:r>
          </w:p>
          <w:p>
            <w:pPr>
              <w:pStyle w:val="TableText"/>
              <w:ind w:left="34" w:right="83" w:firstLine="39"/>
              <w:spacing w:before="40" w:line="252" w:lineRule="auto"/>
              <w:rPr/>
            </w:pPr>
            <w:r>
              <w:rPr/>
              <w:t>发〔2007〕27号)第七条：信托公司向中国银监会申请开办受托境外</w:t>
            </w:r>
            <w:r>
              <w:rPr>
                <w:spacing w:val="-1"/>
              </w:rPr>
              <w:t>理财业务资格，应当提</w:t>
            </w:r>
            <w:r>
              <w:rPr/>
              <w:t xml:space="preserve"> </w:t>
            </w:r>
            <w:r>
              <w:rPr/>
              <w:t>交以下材料：(六)满足本办法第六条条件的有</w:t>
            </w:r>
            <w:r>
              <w:rPr>
                <w:spacing w:val="-1"/>
              </w:rPr>
              <w:t>关证明材料，至少应包括经营外汇业务的证  </w:t>
            </w:r>
            <w:r>
              <w:rPr>
                <w:spacing w:val="-1"/>
              </w:rPr>
              <w:t>明文件及复印件，经审计的最近2年财务报告和报表。5. 《中国银监会办公厅关于印发行政</w:t>
            </w:r>
            <w:r>
              <w:rPr>
                <w:spacing w:val="1"/>
              </w:rPr>
              <w:t xml:space="preserve"> </w:t>
            </w:r>
            <w:r>
              <w:rPr/>
              <w:t>许可事项申请材料目录及格式要求的通知》(银监办发〔2015〕118号)</w:t>
            </w:r>
            <w:r>
              <w:rPr>
                <w:spacing w:val="-1"/>
              </w:rPr>
              <w:t>:关于非银行机构</w:t>
            </w:r>
          </w:p>
          <w:p>
            <w:pPr>
              <w:pStyle w:val="TableText"/>
              <w:ind w:left="34" w:right="60"/>
              <w:spacing w:before="61" w:line="252" w:lineRule="auto"/>
              <w:rPr/>
            </w:pPr>
            <w:r>
              <w:rPr>
                <w:spacing w:val="-2"/>
              </w:rPr>
              <w:t>筹建、变更、业务范围等事项的要求。6. 《中国银监会关于支持信托公</w:t>
            </w:r>
            <w:r>
              <w:rPr>
                <w:spacing w:val="-3"/>
              </w:rPr>
              <w:t>司创新发展有关问题</w:t>
            </w:r>
            <w:r>
              <w:rPr/>
              <w:t xml:space="preserve"> </w:t>
            </w:r>
            <w:r>
              <w:rPr/>
              <w:t>的通知》(银监发〔2009〕25号)第三条：信托公司以固定资产从事股权投资业务，应向中  </w:t>
            </w:r>
            <w:r>
              <w:rPr/>
              <w:t>国银监会或其他派出机构提出申请，并报送下列文件和资料：(三)最近两年经中介机构审  </w:t>
            </w:r>
            <w:r>
              <w:rPr/>
              <w:t>计的财务报告和最近一个月的财务报表。</w:t>
            </w:r>
          </w:p>
        </w:tc>
      </w:tr>
      <w:tr>
        <w:trPr>
          <w:trHeight w:val="1158" w:hRule="atLeast"/>
        </w:trPr>
        <w:tc>
          <w:tcPr>
            <w:tcW w:w="295" w:type="dxa"/>
            <w:vAlign w:val="top"/>
          </w:tcPr>
          <w:p>
            <w:pPr>
              <w:pStyle w:val="TableText"/>
              <w:ind w:left="65"/>
              <w:spacing w:before="151" w:line="183" w:lineRule="auto"/>
              <w:rPr/>
            </w:pPr>
            <w:r>
              <w:rPr>
                <w:spacing w:val="-2"/>
              </w:rPr>
              <w:t>62</w:t>
            </w:r>
          </w:p>
        </w:tc>
        <w:tc>
          <w:tcPr>
            <w:tcW w:w="659" w:type="dxa"/>
            <w:vAlign w:val="top"/>
          </w:tcPr>
          <w:p>
            <w:pPr>
              <w:pStyle w:val="TableText"/>
              <w:ind w:left="10" w:right="9" w:firstLine="10"/>
              <w:spacing w:before="103" w:line="255" w:lineRule="auto"/>
              <w:jc w:val="both"/>
              <w:rPr/>
            </w:pPr>
            <w:r>
              <w:rPr>
                <w:spacing w:val="-3"/>
              </w:rPr>
              <w:t>非银行金</w:t>
            </w:r>
            <w:r>
              <w:rPr>
                <w:spacing w:val="2"/>
              </w:rPr>
              <w:t xml:space="preserve"> </w:t>
            </w:r>
            <w:r>
              <w:rPr>
                <w:spacing w:val="-8"/>
              </w:rPr>
              <w:t>融</w:t>
            </w:r>
            <w:r>
              <w:rPr>
                <w:spacing w:val="25"/>
              </w:rPr>
              <w:t xml:space="preserve"> </w:t>
            </w:r>
            <w:r>
              <w:rPr>
                <w:spacing w:val="-8"/>
              </w:rPr>
              <w:t>机</w:t>
            </w:r>
            <w:r>
              <w:rPr>
                <w:spacing w:val="27"/>
                <w:w w:val="101"/>
              </w:rPr>
              <w:t xml:space="preserve"> </w:t>
            </w:r>
            <w:r>
              <w:rPr>
                <w:spacing w:val="-8"/>
              </w:rPr>
              <w:t>构</w:t>
            </w:r>
            <w:r>
              <w:rPr/>
              <w:t xml:space="preserve"> </w:t>
            </w:r>
            <w:r>
              <w:rPr>
                <w:spacing w:val="12"/>
              </w:rPr>
              <w:t>(分支机</w:t>
            </w:r>
            <w:r>
              <w:rPr>
                <w:spacing w:val="1"/>
              </w:rPr>
              <w:t xml:space="preserve"> </w:t>
            </w:r>
            <w:r>
              <w:rPr>
                <w:spacing w:val="14"/>
              </w:rPr>
              <w:t>构)验资</w:t>
            </w:r>
          </w:p>
        </w:tc>
        <w:tc>
          <w:tcPr>
            <w:tcW w:w="1109" w:type="dxa"/>
            <w:vAlign w:val="top"/>
          </w:tcPr>
          <w:p>
            <w:pPr>
              <w:pStyle w:val="TableText"/>
              <w:ind w:left="20" w:firstLine="19"/>
              <w:spacing w:before="103" w:line="257" w:lineRule="auto"/>
              <w:jc w:val="both"/>
              <w:rPr/>
            </w:pPr>
            <w:r>
              <w:rPr>
                <w:spacing w:val="19"/>
              </w:rPr>
              <w:t>(43009)非银</w:t>
            </w:r>
            <w:r>
              <w:rPr>
                <w:spacing w:val="1"/>
              </w:rPr>
              <w:t xml:space="preserve">  </w:t>
            </w:r>
            <w:r>
              <w:rPr>
                <w:spacing w:val="2"/>
              </w:rPr>
              <w:t>行金融机构(分</w:t>
            </w:r>
            <w:r>
              <w:rPr/>
              <w:t xml:space="preserve">  </w:t>
            </w:r>
            <w:r>
              <w:rPr>
                <w:spacing w:val="14"/>
              </w:rPr>
              <w:t>支机构)设立、</w:t>
            </w:r>
            <w:r>
              <w:rPr>
                <w:spacing w:val="4"/>
              </w:rPr>
              <w:t xml:space="preserve"> </w:t>
            </w:r>
            <w:r>
              <w:rPr>
                <w:spacing w:val="-2"/>
              </w:rPr>
              <w:t>变更、终止以及</w:t>
            </w:r>
            <w:r>
              <w:rPr/>
              <w:t xml:space="preserve"> </w:t>
            </w:r>
            <w:r>
              <w:rPr>
                <w:spacing w:val="9"/>
              </w:rPr>
              <w:t>业务范围审批</w:t>
            </w:r>
          </w:p>
        </w:tc>
        <w:tc>
          <w:tcPr>
            <w:tcW w:w="839" w:type="dxa"/>
            <w:vAlign w:val="top"/>
          </w:tcPr>
          <w:p>
            <w:pPr>
              <w:pStyle w:val="TableText"/>
              <w:ind w:left="182"/>
              <w:spacing w:before="92" w:line="219" w:lineRule="auto"/>
              <w:rPr/>
            </w:pPr>
            <w:r>
              <w:rPr>
                <w:spacing w:val="-2"/>
              </w:rPr>
              <w:t>银监会</w:t>
            </w:r>
          </w:p>
        </w:tc>
        <w:tc>
          <w:tcPr>
            <w:tcW w:w="659" w:type="dxa"/>
            <w:vAlign w:val="top"/>
          </w:tcPr>
          <w:p>
            <w:pPr>
              <w:pStyle w:val="TableText"/>
              <w:ind w:left="12" w:right="32" w:firstLine="10"/>
              <w:spacing w:before="103" w:line="238" w:lineRule="auto"/>
              <w:rPr/>
            </w:pPr>
            <w:r>
              <w:rPr>
                <w:spacing w:val="-2"/>
              </w:rPr>
              <w:t>法定验资</w:t>
            </w:r>
            <w:r>
              <w:rPr/>
              <w:t xml:space="preserve"> </w:t>
            </w:r>
            <w:r>
              <w:rPr>
                <w:spacing w:val="-2"/>
              </w:rPr>
              <w:t>机构</w:t>
            </w:r>
          </w:p>
        </w:tc>
        <w:tc>
          <w:tcPr>
            <w:tcW w:w="6088" w:type="dxa"/>
            <w:vAlign w:val="top"/>
          </w:tcPr>
          <w:p>
            <w:pPr>
              <w:pStyle w:val="TableText"/>
              <w:ind w:left="34" w:right="55" w:firstLine="39"/>
              <w:spacing w:before="102" w:line="245" w:lineRule="auto"/>
              <w:rPr/>
            </w:pPr>
            <w:r>
              <w:rPr>
                <w:spacing w:val="-2"/>
              </w:rPr>
              <w:t>1. 《中华人民共和国公司法(2013年修订》第八十九条：发行股份的股款缴足后，必须经依</w:t>
            </w:r>
            <w:r>
              <w:rPr>
                <w:spacing w:val="7"/>
              </w:rPr>
              <w:t xml:space="preserve"> </w:t>
            </w:r>
            <w:r>
              <w:rPr>
                <w:spacing w:val="-2"/>
              </w:rPr>
              <w:t>法设立的验资机构验资并出具证明。2. 《中国银监会办公厅关于印发行政许可事项</w:t>
            </w:r>
            <w:r>
              <w:rPr>
                <w:spacing w:val="-3"/>
              </w:rPr>
              <w:t>申请材料</w:t>
            </w:r>
          </w:p>
          <w:p>
            <w:pPr>
              <w:pStyle w:val="TableText"/>
              <w:ind w:left="34" w:right="187" w:firstLine="149"/>
              <w:spacing w:before="41" w:line="245" w:lineRule="auto"/>
              <w:rPr/>
            </w:pPr>
            <w:r>
              <w:rPr/>
              <w:t>目录及格式要求的通知》(银监办发〔2015〕118号):关于各类非银行金融机构开业及变</w:t>
            </w:r>
            <w:r>
              <w:rPr>
                <w:spacing w:val="5"/>
              </w:rPr>
              <w:t xml:space="preserve"> </w:t>
            </w:r>
            <w:r>
              <w:rPr>
                <w:spacing w:val="-1"/>
              </w:rPr>
              <w:t>更注册资本等事项的要求。</w:t>
            </w:r>
          </w:p>
        </w:tc>
      </w:tr>
      <w:tr>
        <w:trPr>
          <w:trHeight w:val="1203" w:hRule="atLeast"/>
        </w:trPr>
        <w:tc>
          <w:tcPr>
            <w:tcW w:w="295" w:type="dxa"/>
            <w:vAlign w:val="top"/>
          </w:tcPr>
          <w:p>
            <w:pPr>
              <w:pStyle w:val="TableText"/>
              <w:ind w:left="65"/>
              <w:spacing w:before="163" w:line="183" w:lineRule="auto"/>
              <w:rPr/>
            </w:pPr>
            <w:r>
              <w:rPr>
                <w:spacing w:val="-2"/>
              </w:rPr>
              <w:t>63</w:t>
            </w:r>
          </w:p>
        </w:tc>
        <w:tc>
          <w:tcPr>
            <w:tcW w:w="659" w:type="dxa"/>
            <w:vAlign w:val="top"/>
          </w:tcPr>
          <w:p>
            <w:pPr>
              <w:pStyle w:val="TableText"/>
              <w:ind w:left="10" w:firstLine="9"/>
              <w:spacing w:before="95" w:line="263" w:lineRule="auto"/>
              <w:jc w:val="both"/>
              <w:rPr/>
            </w:pPr>
            <w:r>
              <w:rPr>
                <w:spacing w:val="-5"/>
              </w:rPr>
              <w:t>非银行金</w:t>
            </w:r>
            <w:r>
              <w:rPr/>
              <w:t xml:space="preserve"> </w:t>
            </w:r>
            <w:r>
              <w:rPr>
                <w:spacing w:val="-10"/>
              </w:rPr>
              <w:t>融</w:t>
            </w:r>
            <w:r>
              <w:rPr>
                <w:spacing w:val="33"/>
              </w:rPr>
              <w:t xml:space="preserve"> </w:t>
            </w:r>
            <w:r>
              <w:rPr>
                <w:spacing w:val="-10"/>
              </w:rPr>
              <w:t>机</w:t>
            </w:r>
            <w:r>
              <w:rPr>
                <w:spacing w:val="35"/>
              </w:rPr>
              <w:t xml:space="preserve"> </w:t>
            </w:r>
            <w:r>
              <w:rPr>
                <w:spacing w:val="-10"/>
              </w:rPr>
              <w:t>构</w:t>
            </w:r>
            <w:r>
              <w:rPr/>
              <w:t xml:space="preserve"> </w:t>
            </w:r>
            <w:r>
              <w:rPr>
                <w:spacing w:val="10"/>
              </w:rPr>
              <w:t>(分支机</w:t>
            </w:r>
            <w:r>
              <w:rPr/>
              <w:t xml:space="preserve">  </w:t>
            </w:r>
            <w:r>
              <w:rPr>
                <w:spacing w:val="11"/>
              </w:rPr>
              <w:t>构)信用 </w:t>
            </w:r>
            <w:r>
              <w:rPr>
                <w:spacing w:val="-3"/>
              </w:rPr>
              <w:t>评级</w:t>
            </w:r>
          </w:p>
        </w:tc>
        <w:tc>
          <w:tcPr>
            <w:tcW w:w="1109" w:type="dxa"/>
            <w:vAlign w:val="top"/>
          </w:tcPr>
          <w:p>
            <w:pPr>
              <w:pStyle w:val="TableText"/>
              <w:ind w:left="20" w:firstLine="19"/>
              <w:spacing w:before="104" w:line="263" w:lineRule="auto"/>
              <w:jc w:val="both"/>
              <w:rPr/>
            </w:pPr>
            <w:r>
              <w:rPr>
                <w:spacing w:val="19"/>
              </w:rPr>
              <w:t>(43009)非银</w:t>
            </w:r>
            <w:r>
              <w:rPr>
                <w:spacing w:val="1"/>
              </w:rPr>
              <w:t xml:space="preserve">  </w:t>
            </w:r>
            <w:r>
              <w:rPr>
                <w:spacing w:val="2"/>
              </w:rPr>
              <w:t>行金融机构(分</w:t>
            </w:r>
            <w:r>
              <w:rPr/>
              <w:t xml:space="preserve">  </w:t>
            </w:r>
            <w:r>
              <w:rPr>
                <w:spacing w:val="14"/>
              </w:rPr>
              <w:t>支机构)设立、</w:t>
            </w:r>
            <w:r>
              <w:rPr>
                <w:spacing w:val="4"/>
              </w:rPr>
              <w:t xml:space="preserve"> </w:t>
            </w:r>
            <w:r>
              <w:rPr>
                <w:spacing w:val="-2"/>
              </w:rPr>
              <w:t>变更、终止以及</w:t>
            </w:r>
            <w:r>
              <w:rPr/>
              <w:t xml:space="preserve"> </w:t>
            </w:r>
            <w:r>
              <w:rPr>
                <w:spacing w:val="9"/>
              </w:rPr>
              <w:t>业务范围审批</w:t>
            </w:r>
          </w:p>
        </w:tc>
        <w:tc>
          <w:tcPr>
            <w:tcW w:w="839" w:type="dxa"/>
            <w:vAlign w:val="top"/>
          </w:tcPr>
          <w:p>
            <w:pPr>
              <w:pStyle w:val="TableText"/>
              <w:ind w:left="182"/>
              <w:spacing w:before="94" w:line="219" w:lineRule="auto"/>
              <w:rPr/>
            </w:pPr>
            <w:r>
              <w:rPr>
                <w:spacing w:val="-2"/>
              </w:rPr>
              <w:t>银监会</w:t>
            </w:r>
          </w:p>
        </w:tc>
        <w:tc>
          <w:tcPr>
            <w:tcW w:w="659" w:type="dxa"/>
            <w:vAlign w:val="top"/>
          </w:tcPr>
          <w:p>
            <w:pPr>
              <w:pStyle w:val="TableText"/>
              <w:ind w:left="22" w:right="31"/>
              <w:spacing w:before="93" w:line="262" w:lineRule="auto"/>
              <w:jc w:val="both"/>
              <w:rPr/>
            </w:pPr>
            <w:r>
              <w:rPr>
                <w:spacing w:val="-2"/>
              </w:rPr>
              <w:t>银监会认</w:t>
            </w:r>
            <w:r>
              <w:rPr/>
              <w:t xml:space="preserve"> </w:t>
            </w:r>
            <w:r>
              <w:rPr>
                <w:spacing w:val="-2"/>
              </w:rPr>
              <w:t>可的国际</w:t>
            </w:r>
            <w:r>
              <w:rPr/>
              <w:t xml:space="preserve"> </w:t>
            </w:r>
            <w:r>
              <w:rPr>
                <w:spacing w:val="-2"/>
              </w:rPr>
              <w:t>评级机构</w:t>
            </w:r>
          </w:p>
        </w:tc>
        <w:tc>
          <w:tcPr>
            <w:tcW w:w="6088" w:type="dxa"/>
            <w:vAlign w:val="top"/>
          </w:tcPr>
          <w:p>
            <w:pPr>
              <w:pStyle w:val="TableText"/>
              <w:ind w:left="183"/>
              <w:spacing w:before="114" w:line="219" w:lineRule="auto"/>
              <w:rPr/>
            </w:pPr>
            <w:r>
              <w:rPr>
                <w:spacing w:val="-2"/>
              </w:rPr>
              <w:t>1. 《中国银监会非银行金融机构行政许可事项实施办法》(银监会令2015年第5号);关于</w:t>
            </w:r>
          </w:p>
          <w:p>
            <w:pPr>
              <w:pStyle w:val="TableText"/>
              <w:spacing w:before="22" w:line="219" w:lineRule="auto"/>
              <w:jc w:val="right"/>
              <w:rPr/>
            </w:pPr>
            <w:r>
              <w:rPr>
                <w:spacing w:val="-4"/>
              </w:rPr>
              <w:t>境外金融机构出资筹建或投资入股非银行金融机构的要求。2. 《中国银监会办公厅关于印发行</w:t>
            </w:r>
          </w:p>
          <w:p>
            <w:pPr>
              <w:pStyle w:val="TableText"/>
              <w:ind w:left="113"/>
              <w:spacing w:before="62" w:line="219" w:lineRule="auto"/>
              <w:rPr/>
            </w:pPr>
            <w:r>
              <w:rPr/>
              <w:t>政许可事项申请材料目录及格式要求的通知》(银监办发〔2015〕118号):</w:t>
            </w:r>
            <w:r>
              <w:rPr>
                <w:spacing w:val="-1"/>
              </w:rPr>
              <w:t>关于境外金融机</w:t>
            </w:r>
          </w:p>
          <w:p>
            <w:pPr>
              <w:pStyle w:val="TableText"/>
              <w:ind w:left="14"/>
              <w:spacing w:before="42" w:line="244" w:lineRule="auto"/>
              <w:rPr/>
            </w:pPr>
            <w:r>
              <w:rPr>
                <w:spacing w:val="-5"/>
              </w:rPr>
              <w:t>构出资筹建或投资入股非银行金融机构的要求；</w:t>
            </w:r>
            <w:r>
              <w:rPr>
                <w:spacing w:val="-6"/>
              </w:rPr>
              <w:t>信托公司发行金融债券、次级债券审批要求报</w:t>
            </w:r>
            <w:r>
              <w:rPr/>
              <w:t xml:space="preserve">   </w:t>
            </w:r>
            <w:r>
              <w:rPr/>
              <w:t>送“信用评级机构出具的金融债券/次级债券信用评级报告和有</w:t>
            </w:r>
            <w:r>
              <w:rPr>
                <w:spacing w:val="-1"/>
              </w:rPr>
              <w:t>关持续跟踪评级安排的说明”</w:t>
            </w:r>
          </w:p>
        </w:tc>
      </w:tr>
    </w:tbl>
    <w:p>
      <w:pPr>
        <w:pStyle w:val="BodyText"/>
        <w:rPr/>
      </w:pPr>
      <w:r/>
    </w:p>
    <w:p>
      <w:pPr>
        <w:sectPr>
          <w:pgSz w:w="11910" w:h="8220"/>
          <w:pgMar w:top="400" w:right="1125" w:bottom="400" w:left="821" w:header="0" w:footer="0" w:gutter="0"/>
        </w:sectPr>
        <w:rPr/>
      </w:pPr>
    </w:p>
    <w:p>
      <w:pPr>
        <w:spacing w:before="223"/>
        <w:rPr/>
      </w:pPr>
      <w:r>
        <mc:AlternateContent xmlns:mc="http://schemas.openxmlformats.org/markup-compatibility/2006">
          <mc:Choice Requires="wps">
            <w:drawing>
              <wp:anchor distT="0" distB="0" distL="0" distR="0" simplePos="0" relativeHeight="251965440" behindDoc="0" locked="0" layoutInCell="0" allowOverlap="1">
                <wp:simplePos x="0" y="0"/>
                <wp:positionH relativeFrom="page">
                  <wp:posOffset>463094</wp:posOffset>
                </wp:positionH>
                <wp:positionV relativeFrom="page">
                  <wp:posOffset>4382817</wp:posOffset>
                </wp:positionV>
                <wp:extent cx="191135" cy="175895"/>
                <wp:effectExtent l="0" t="0" r="0" b="0"/>
                <wp:wrapNone/>
                <wp:docPr id="430" name="TextBox 430"/>
                <wp:cNvGraphicFramePr/>
                <a:graphic>
                  <a:graphicData uri="http://schemas.microsoft.com/office/word/2010/wordprocessingShape">
                    <wps:wsp>
                      <wps:cNvSpPr txBox="1"/>
                      <wps:spPr>
                        <a:xfrm rot="5400000">
                          <a:off x="463094" y="4382817"/>
                          <a:ext cx="191135" cy="1758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8" w:line="198" w:lineRule="auto"/>
                              <w:rPr>
                                <w:rFonts w:ascii="STCaiyun" w:hAnsi="STCaiyun" w:eastAsia="STCaiyun" w:cs="STCaiyun"/>
                                <w:sz w:val="16"/>
                                <w:szCs w:val="16"/>
                              </w:rPr>
                            </w:pPr>
                            <w:r>
                              <w:rPr>
                                <w:rFonts w:ascii="STCaiyun" w:hAnsi="STCaiyun" w:eastAsia="STCaiyun" w:cs="STCaiyun"/>
                                <w:sz w:val="16"/>
                                <w:szCs w:val="16"/>
                                <w:spacing w:val="-3"/>
                              </w:rPr>
                              <w:t>303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2" style="position:absolute;margin-left:36.4642pt;margin-top:345.104pt;mso-position-vertical-relative:page;mso-position-horizontal-relative:page;width:15.05pt;height:13.85pt;z-index:251965440;rotation:90;" o:allowincell="f" filled="false" stroked="false" type="#_x0000_t202">
                <v:fill on="false"/>
                <v:stroke on="false"/>
                <v:path/>
                <v:imagedata o:title=""/>
                <o:lock v:ext="edit" aspectratio="false"/>
                <v:textbox inset="0mm,0mm,0mm,0mm">
                  <w:txbxContent>
                    <w:p>
                      <w:pPr>
                        <w:ind w:left="20"/>
                        <w:spacing w:before="78" w:line="198" w:lineRule="auto"/>
                        <w:rPr>
                          <w:rFonts w:ascii="STCaiyun" w:hAnsi="STCaiyun" w:eastAsia="STCaiyun" w:cs="STCaiyun"/>
                          <w:sz w:val="16"/>
                          <w:szCs w:val="16"/>
                        </w:rPr>
                      </w:pPr>
                      <w:r>
                        <w:rPr>
                          <w:rFonts w:ascii="STCaiyun" w:hAnsi="STCaiyun" w:eastAsia="STCaiyun" w:cs="STCaiyun"/>
                          <w:sz w:val="16"/>
                          <w:szCs w:val="16"/>
                          <w:spacing w:val="-3"/>
                        </w:rPr>
                        <w:t>303</w:t>
                      </w:r>
                    </w:p>
                  </w:txbxContent>
                </v:textbox>
              </v:shape>
            </w:pict>
          </mc:Fallback>
        </mc:AlternateContent>
      </w:r>
      <w:r/>
    </w:p>
    <w:tbl>
      <w:tblPr>
        <w:tblStyle w:val="TableNormal"/>
        <w:tblW w:w="9659" w:type="dxa"/>
        <w:tblInd w:w="30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29"/>
        <w:gridCol w:w="669"/>
        <w:gridCol w:w="6088"/>
      </w:tblGrid>
      <w:tr>
        <w:trPr>
          <w:trHeight w:val="474" w:hRule="atLeast"/>
        </w:trPr>
        <w:tc>
          <w:tcPr>
            <w:tcW w:w="285" w:type="dxa"/>
            <w:vAlign w:val="top"/>
            <w:textDirection w:val="tbRlV"/>
          </w:tcPr>
          <w:p>
            <w:pPr>
              <w:pStyle w:val="TableText"/>
              <w:ind w:left="52"/>
              <w:spacing w:before="75" w:line="210" w:lineRule="auto"/>
              <w:rPr/>
            </w:pPr>
            <w:r>
              <w:rPr>
                <w:spacing w:val="-1"/>
              </w:rPr>
              <w:t>序</w:t>
            </w:r>
            <w:r>
              <w:rPr>
                <w:spacing w:val="-14"/>
              </w:rPr>
              <w:t xml:space="preserve"> </w:t>
            </w:r>
            <w:r>
              <w:rPr>
                <w:spacing w:val="-1"/>
              </w:rPr>
              <w:t>号</w:t>
            </w:r>
          </w:p>
        </w:tc>
        <w:tc>
          <w:tcPr>
            <w:tcW w:w="679" w:type="dxa"/>
            <w:vAlign w:val="top"/>
          </w:tcPr>
          <w:p>
            <w:pPr>
              <w:pStyle w:val="TableText"/>
              <w:ind w:left="30" w:right="32"/>
              <w:spacing w:before="50" w:line="246" w:lineRule="auto"/>
              <w:rPr/>
            </w:pPr>
            <w:r>
              <w:rPr>
                <w:spacing w:val="1"/>
              </w:rPr>
              <w:t>中介服务 </w:t>
            </w:r>
            <w:r>
              <w:rPr>
                <w:spacing w:val="-2"/>
              </w:rPr>
              <w:t>事项名称</w:t>
            </w:r>
          </w:p>
        </w:tc>
        <w:tc>
          <w:tcPr>
            <w:tcW w:w="1109" w:type="dxa"/>
            <w:vAlign w:val="top"/>
          </w:tcPr>
          <w:p>
            <w:pPr>
              <w:pStyle w:val="TableText"/>
              <w:ind w:left="239" w:right="35" w:hanging="219"/>
              <w:spacing w:before="52" w:line="239"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5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767" w:hRule="atLeast"/>
        </w:trPr>
        <w:tc>
          <w:tcPr>
            <w:tcW w:w="285" w:type="dxa"/>
            <w:vAlign w:val="top"/>
          </w:tcPr>
          <w:p>
            <w:pPr>
              <w:pStyle w:val="TableText"/>
              <w:ind w:left="55"/>
              <w:spacing w:before="115" w:line="183" w:lineRule="auto"/>
              <w:rPr/>
            </w:pPr>
            <w:r>
              <w:rPr>
                <w:spacing w:val="-2"/>
              </w:rPr>
              <w:t>64</w:t>
            </w:r>
          </w:p>
        </w:tc>
        <w:tc>
          <w:tcPr>
            <w:tcW w:w="679" w:type="dxa"/>
            <w:vAlign w:val="top"/>
          </w:tcPr>
          <w:p>
            <w:pPr>
              <w:pStyle w:val="TableText"/>
              <w:ind w:left="30" w:right="28"/>
              <w:spacing w:before="56" w:line="253" w:lineRule="auto"/>
              <w:jc w:val="both"/>
              <w:rPr/>
            </w:pPr>
            <w:r>
              <w:rPr>
                <w:spacing w:val="1"/>
              </w:rPr>
              <w:t>出具会计 </w:t>
            </w:r>
            <w:r>
              <w:rPr>
                <w:spacing w:val="-3"/>
              </w:rPr>
              <w:t>师事务所</w:t>
            </w:r>
            <w:r>
              <w:rPr>
                <w:spacing w:val="2"/>
              </w:rPr>
              <w:t xml:space="preserve"> </w:t>
            </w:r>
            <w:r>
              <w:rPr>
                <w:spacing w:val="2"/>
              </w:rPr>
              <w:t>审计报告</w:t>
            </w:r>
          </w:p>
        </w:tc>
        <w:tc>
          <w:tcPr>
            <w:tcW w:w="1109" w:type="dxa"/>
            <w:vAlign w:val="top"/>
          </w:tcPr>
          <w:p>
            <w:pPr>
              <w:pStyle w:val="TableText"/>
              <w:ind w:left="20" w:right="33" w:firstLine="20"/>
              <w:spacing w:before="66" w:line="252" w:lineRule="auto"/>
              <w:jc w:val="both"/>
              <w:rPr/>
            </w:pPr>
            <w:r>
              <w:rPr>
                <w:spacing w:val="20"/>
              </w:rPr>
              <w:t>(99001)会计</w:t>
            </w:r>
            <w:r>
              <w:rPr/>
              <w:t xml:space="preserve"> </w:t>
            </w:r>
            <w:r>
              <w:rPr>
                <w:spacing w:val="-2"/>
              </w:rPr>
              <w:t>师事务所从事证</w:t>
            </w:r>
            <w:r>
              <w:rPr>
                <w:spacing w:val="4"/>
              </w:rPr>
              <w:t xml:space="preserve"> </w:t>
            </w:r>
            <w:r>
              <w:rPr>
                <w:spacing w:val="-1"/>
              </w:rPr>
              <w:t>券、期货业务资</w:t>
            </w:r>
            <w:r>
              <w:rPr/>
              <w:t xml:space="preserve"> </w:t>
            </w:r>
            <w:r>
              <w:rPr>
                <w:spacing w:val="-2"/>
              </w:rPr>
              <w:t>格审批</w:t>
            </w:r>
          </w:p>
        </w:tc>
        <w:tc>
          <w:tcPr>
            <w:tcW w:w="829" w:type="dxa"/>
            <w:vAlign w:val="top"/>
          </w:tcPr>
          <w:p>
            <w:pPr>
              <w:pStyle w:val="TableText"/>
              <w:ind w:left="250" w:right="43" w:hanging="219"/>
              <w:spacing w:before="67" w:line="232" w:lineRule="auto"/>
              <w:rPr/>
            </w:pPr>
            <w:r>
              <w:rPr>
                <w:spacing w:val="-2"/>
              </w:rPr>
              <w:t>财政部、证</w:t>
            </w:r>
            <w:r>
              <w:rPr>
                <w:spacing w:val="2"/>
              </w:rPr>
              <w:t xml:space="preserve"> </w:t>
            </w:r>
            <w:r>
              <w:rPr>
                <w:spacing w:val="-2"/>
              </w:rPr>
              <w:t>监会</w:t>
            </w:r>
          </w:p>
        </w:tc>
        <w:tc>
          <w:tcPr>
            <w:tcW w:w="669" w:type="dxa"/>
            <w:vAlign w:val="top"/>
          </w:tcPr>
          <w:p>
            <w:pPr>
              <w:pStyle w:val="TableText"/>
              <w:ind w:left="12" w:right="41" w:firstLine="10"/>
              <w:spacing w:before="47" w:line="245" w:lineRule="auto"/>
              <w:rPr/>
            </w:pPr>
            <w:r>
              <w:rPr>
                <w:spacing w:val="-2"/>
              </w:rPr>
              <w:t>会计师事</w:t>
            </w:r>
            <w:r>
              <w:rPr>
                <w:spacing w:val="1"/>
              </w:rPr>
              <w:t xml:space="preserve"> </w:t>
            </w:r>
            <w:r>
              <w:rPr>
                <w:spacing w:val="-2"/>
              </w:rPr>
              <w:t>务所</w:t>
            </w:r>
          </w:p>
        </w:tc>
        <w:tc>
          <w:tcPr>
            <w:tcW w:w="6088" w:type="dxa"/>
            <w:vAlign w:val="top"/>
          </w:tcPr>
          <w:p>
            <w:pPr>
              <w:pStyle w:val="TableText"/>
              <w:ind w:left="33" w:right="308" w:hanging="25"/>
              <w:spacing w:before="67" w:line="253" w:lineRule="auto"/>
              <w:jc w:val="both"/>
              <w:rPr/>
            </w:pPr>
            <w:r>
              <w:rPr/>
              <w:t>《财政部证监会关于会计师事务所从事证券期货相关业务有</w:t>
            </w:r>
            <w:r>
              <w:rPr>
                <w:spacing w:val="-1"/>
              </w:rPr>
              <w:t>关问题的通知》(2007年4月9</w:t>
            </w:r>
            <w:r>
              <w:rPr/>
              <w:t xml:space="preserve"> </w:t>
            </w:r>
            <w:r>
              <w:rPr>
                <w:spacing w:val="1"/>
              </w:rPr>
              <w:t>日发布，2012年1月21日予以修改)第二条第一</w:t>
            </w:r>
            <w:r>
              <w:rPr/>
              <w:t>款：会计师事务所申请证券资格，应当提 </w:t>
            </w:r>
            <w:r>
              <w:rPr/>
              <w:t>交下列材料(一式2份):  (五)由其他具有证券资格的会计师事务</w:t>
            </w:r>
            <w:r>
              <w:rPr>
                <w:spacing w:val="-1"/>
              </w:rPr>
              <w:t>所出具的上一年度本机</w:t>
            </w:r>
          </w:p>
          <w:p>
            <w:pPr>
              <w:pStyle w:val="TableText"/>
              <w:ind w:left="14" w:firstLine="19"/>
              <w:spacing w:before="40" w:line="253" w:lineRule="auto"/>
              <w:jc w:val="both"/>
              <w:rPr/>
            </w:pPr>
            <w:r>
              <w:rPr/>
              <w:t>构财务报表的审计报告，审计报告后附的会计报表附注中应当</w:t>
            </w:r>
            <w:r>
              <w:rPr>
                <w:spacing w:val="-1"/>
              </w:rPr>
              <w:t>包括对审计业务收入的单项说</w:t>
            </w:r>
            <w:r>
              <w:rPr/>
              <w:t xml:space="preserve">  </w:t>
            </w:r>
            <w:r>
              <w:rPr>
                <w:spacing w:val="1"/>
              </w:rPr>
              <w:t>明。第二条第三款：属于本通知第一条第四款规</w:t>
            </w:r>
            <w:r>
              <w:rPr/>
              <w:t>定情形，且自吸收合并工商变更登记之日起 </w:t>
            </w:r>
            <w:r>
              <w:rPr/>
              <w:t>至提出申请之日止未满一年的，除提交本条第一款规定材料外，</w:t>
            </w:r>
            <w:r>
              <w:rPr>
                <w:spacing w:val="-1"/>
              </w:rPr>
              <w:t>还应当提交下列材料：(十二</w:t>
            </w:r>
            <w:r>
              <w:rPr/>
              <w:t xml:space="preserve"> </w:t>
            </w:r>
            <w:r>
              <w:rPr>
                <w:spacing w:val="1"/>
              </w:rPr>
              <w:t>由其他具有证券资格的会计师事务所出具的发生合</w:t>
            </w:r>
            <w:r>
              <w:rPr/>
              <w:t>并行为上一年度吸收方财务报表的审计报 </w:t>
            </w:r>
            <w:r>
              <w:rPr>
                <w:spacing w:val="1"/>
              </w:rPr>
              <w:t>告，会计报表附注中应当包括对审计业务收入的单项说明。</w:t>
            </w:r>
          </w:p>
        </w:tc>
      </w:tr>
      <w:tr>
        <w:trPr>
          <w:trHeight w:val="1368" w:hRule="atLeast"/>
        </w:trPr>
        <w:tc>
          <w:tcPr>
            <w:tcW w:w="285" w:type="dxa"/>
            <w:vAlign w:val="top"/>
          </w:tcPr>
          <w:p>
            <w:pPr>
              <w:pStyle w:val="TableText"/>
              <w:ind w:left="55"/>
              <w:spacing w:before="138" w:line="183" w:lineRule="auto"/>
              <w:rPr/>
            </w:pPr>
            <w:r>
              <w:rPr>
                <w:spacing w:val="-2"/>
              </w:rPr>
              <w:t>65</w:t>
            </w:r>
          </w:p>
        </w:tc>
        <w:tc>
          <w:tcPr>
            <w:tcW w:w="679" w:type="dxa"/>
            <w:vAlign w:val="top"/>
          </w:tcPr>
          <w:p>
            <w:pPr>
              <w:pStyle w:val="TableText"/>
              <w:ind w:left="30" w:right="28"/>
              <w:spacing w:before="69" w:line="249" w:lineRule="auto"/>
              <w:jc w:val="both"/>
              <w:rPr/>
            </w:pPr>
            <w:r>
              <w:rPr>
                <w:spacing w:val="2"/>
              </w:rPr>
              <w:t>出具资产</w:t>
            </w:r>
            <w:r>
              <w:rPr/>
              <w:t xml:space="preserve"> </w:t>
            </w:r>
            <w:r>
              <w:rPr>
                <w:spacing w:val="-2"/>
              </w:rPr>
              <w:t>评估机构</w:t>
            </w:r>
            <w:r>
              <w:rPr>
                <w:spacing w:val="1"/>
              </w:rPr>
              <w:t xml:space="preserve"> </w:t>
            </w:r>
            <w:r>
              <w:rPr>
                <w:spacing w:val="2"/>
              </w:rPr>
              <w:t>审计报告</w:t>
            </w:r>
          </w:p>
        </w:tc>
        <w:tc>
          <w:tcPr>
            <w:tcW w:w="1109" w:type="dxa"/>
            <w:vAlign w:val="top"/>
          </w:tcPr>
          <w:p>
            <w:pPr>
              <w:pStyle w:val="TableText"/>
              <w:ind w:left="20" w:right="33" w:firstLine="20"/>
              <w:spacing w:before="69" w:line="258" w:lineRule="auto"/>
              <w:jc w:val="both"/>
              <w:rPr/>
            </w:pPr>
            <w:r>
              <w:rPr>
                <w:spacing w:val="20"/>
              </w:rPr>
              <w:t>(99002)资产</w:t>
            </w:r>
            <w:r>
              <w:rPr>
                <w:spacing w:val="3"/>
              </w:rPr>
              <w:t xml:space="preserve"> </w:t>
            </w:r>
            <w:r>
              <w:rPr>
                <w:spacing w:val="-1"/>
              </w:rPr>
              <w:t>评估机构从事证</w:t>
            </w:r>
            <w:r>
              <w:rPr/>
              <w:t xml:space="preserve"> </w:t>
            </w:r>
            <w:r>
              <w:rPr>
                <w:spacing w:val="-1"/>
              </w:rPr>
              <w:t>券业务资格审批</w:t>
            </w:r>
          </w:p>
        </w:tc>
        <w:tc>
          <w:tcPr>
            <w:tcW w:w="829" w:type="dxa"/>
            <w:vAlign w:val="top"/>
          </w:tcPr>
          <w:p>
            <w:pPr>
              <w:pStyle w:val="TableText"/>
              <w:ind w:left="250" w:right="43" w:hanging="219"/>
              <w:spacing w:before="90" w:line="232" w:lineRule="auto"/>
              <w:rPr/>
            </w:pPr>
            <w:r>
              <w:rPr>
                <w:spacing w:val="-2"/>
              </w:rPr>
              <w:t>财政部、证</w:t>
            </w:r>
            <w:r>
              <w:rPr>
                <w:spacing w:val="2"/>
              </w:rPr>
              <w:t xml:space="preserve"> </w:t>
            </w:r>
            <w:r>
              <w:rPr>
                <w:spacing w:val="-2"/>
              </w:rPr>
              <w:t>监会</w:t>
            </w:r>
          </w:p>
        </w:tc>
        <w:tc>
          <w:tcPr>
            <w:tcW w:w="669" w:type="dxa"/>
            <w:vAlign w:val="top"/>
          </w:tcPr>
          <w:p>
            <w:pPr>
              <w:pStyle w:val="TableText"/>
              <w:ind w:left="12" w:right="41" w:firstLine="10"/>
              <w:spacing w:before="69" w:line="239" w:lineRule="auto"/>
              <w:rPr/>
            </w:pPr>
            <w:r>
              <w:rPr>
                <w:spacing w:val="-2"/>
              </w:rPr>
              <w:t>会计师事</w:t>
            </w:r>
            <w:r>
              <w:rPr>
                <w:spacing w:val="1"/>
              </w:rPr>
              <w:t xml:space="preserve"> </w:t>
            </w:r>
            <w:r>
              <w:rPr>
                <w:spacing w:val="-2"/>
              </w:rPr>
              <w:t>务所</w:t>
            </w:r>
          </w:p>
        </w:tc>
        <w:tc>
          <w:tcPr>
            <w:tcW w:w="6088" w:type="dxa"/>
            <w:vAlign w:val="top"/>
          </w:tcPr>
          <w:p>
            <w:pPr>
              <w:pStyle w:val="TableText"/>
              <w:ind w:left="24" w:right="87" w:firstLine="44"/>
              <w:spacing w:before="77" w:line="261" w:lineRule="auto"/>
              <w:rPr/>
            </w:pPr>
            <w:r>
              <w:rPr/>
              <w:t>《财政部证监会关于从事证券期货相关业务的资产评估机构有关管理问题的通知》(财企[</w:t>
            </w:r>
            <w:r>
              <w:rPr>
                <w:spacing w:val="1"/>
              </w:rPr>
              <w:t xml:space="preserve">  </w:t>
            </w:r>
            <w:r>
              <w:rPr/>
              <w:t>2008]81号)第二条：(一)资产评估机构申请证券评估资格，</w:t>
            </w:r>
            <w:r>
              <w:rPr>
                <w:spacing w:val="-1"/>
              </w:rPr>
              <w:t>应当按一式三份提交下列材料  </w:t>
            </w:r>
            <w:r>
              <w:rPr>
                <w:spacing w:val="1"/>
              </w:rPr>
              <w:t>5.由具有证券业务资格的会计师事务所出具的最近3年会计报表的审计报告，审计报告应当</w:t>
            </w:r>
            <w:r>
              <w:rPr/>
              <w:t xml:space="preserve"> </w:t>
            </w:r>
            <w:r>
              <w:rPr/>
              <w:t>披露总收入中的评估收入单项说明。(二)最近3年内发生过合并行为的资</w:t>
            </w:r>
            <w:r>
              <w:rPr>
                <w:spacing w:val="-1"/>
              </w:rPr>
              <w:t>产评估机构，除</w:t>
            </w:r>
          </w:p>
          <w:p>
            <w:pPr>
              <w:pStyle w:val="TableText"/>
              <w:ind w:left="34"/>
              <w:spacing w:before="43" w:line="219" w:lineRule="auto"/>
              <w:rPr/>
            </w:pPr>
            <w:r>
              <w:rPr/>
              <w:t>以上规定材料外，还应当提交下列材料：2.由具有证券业务资格的会计师事务所出具的合并</w:t>
            </w:r>
          </w:p>
          <w:p>
            <w:pPr>
              <w:pStyle w:val="TableText"/>
              <w:ind w:left="113"/>
              <w:spacing w:before="1" w:line="218" w:lineRule="auto"/>
              <w:rPr/>
            </w:pPr>
            <w:r>
              <w:rPr/>
              <w:t>各方最近3年年度会计报表的审计报告，审计报告应当披露总收入中的评估收入单项说明。</w:t>
            </w:r>
          </w:p>
        </w:tc>
      </w:tr>
      <w:tr>
        <w:trPr>
          <w:trHeight w:val="2661" w:hRule="atLeast"/>
        </w:trPr>
        <w:tc>
          <w:tcPr>
            <w:tcW w:w="285" w:type="dxa"/>
            <w:vAlign w:val="top"/>
          </w:tcPr>
          <w:p>
            <w:pPr>
              <w:pStyle w:val="TableText"/>
              <w:ind w:left="55"/>
              <w:spacing w:before="120" w:line="183" w:lineRule="auto"/>
              <w:rPr/>
            </w:pPr>
            <w:r>
              <w:rPr>
                <w:spacing w:val="-2"/>
              </w:rPr>
              <w:t>66</w:t>
            </w:r>
          </w:p>
        </w:tc>
        <w:tc>
          <w:tcPr>
            <w:tcW w:w="679" w:type="dxa"/>
            <w:vAlign w:val="top"/>
          </w:tcPr>
          <w:p>
            <w:pPr>
              <w:pStyle w:val="TableText"/>
              <w:ind w:left="10" w:right="32" w:firstLine="20"/>
              <w:spacing w:before="73" w:line="254" w:lineRule="auto"/>
              <w:jc w:val="both"/>
              <w:rPr/>
            </w:pPr>
            <w:r>
              <w:rPr>
                <w:spacing w:val="1"/>
              </w:rPr>
              <w:t>出具证券 </w:t>
            </w:r>
            <w:r>
              <w:rPr>
                <w:spacing w:val="2"/>
              </w:rPr>
              <w:t>公司设立</w:t>
            </w:r>
            <w:r>
              <w:rPr/>
              <w:t xml:space="preserve"> </w:t>
            </w:r>
            <w:r>
              <w:rPr>
                <w:spacing w:val="3"/>
              </w:rPr>
              <w:t>法律意见</w:t>
            </w:r>
            <w:r>
              <w:rPr/>
              <w:t xml:space="preserve"> </w:t>
            </w:r>
            <w:r>
              <w:rPr/>
              <w:t>书</w:t>
            </w:r>
          </w:p>
        </w:tc>
        <w:tc>
          <w:tcPr>
            <w:tcW w:w="1109" w:type="dxa"/>
            <w:vAlign w:val="top"/>
          </w:tcPr>
          <w:p>
            <w:pPr>
              <w:pStyle w:val="TableText"/>
              <w:ind w:left="20" w:right="51" w:firstLine="20"/>
              <w:spacing w:before="73" w:line="245" w:lineRule="auto"/>
              <w:rPr/>
            </w:pPr>
            <w:r>
              <w:rPr>
                <w:spacing w:val="20"/>
              </w:rPr>
              <w:t>(44002)证券</w:t>
            </w:r>
            <w:r>
              <w:rPr/>
              <w:t xml:space="preserve"> </w:t>
            </w:r>
            <w:r>
              <w:rPr>
                <w:spacing w:val="-2"/>
              </w:rPr>
              <w:t>公司设立审批</w:t>
            </w:r>
          </w:p>
        </w:tc>
        <w:tc>
          <w:tcPr>
            <w:tcW w:w="829" w:type="dxa"/>
            <w:vAlign w:val="top"/>
          </w:tcPr>
          <w:p>
            <w:pPr>
              <w:pStyle w:val="TableText"/>
              <w:ind w:left="182"/>
              <w:spacing w:before="61" w:line="219" w:lineRule="auto"/>
              <w:rPr/>
            </w:pPr>
            <w:r>
              <w:rPr>
                <w:spacing w:val="-2"/>
              </w:rPr>
              <w:t>证监会</w:t>
            </w:r>
          </w:p>
        </w:tc>
        <w:tc>
          <w:tcPr>
            <w:tcW w:w="669" w:type="dxa"/>
            <w:vAlign w:val="top"/>
          </w:tcPr>
          <w:p>
            <w:pPr>
              <w:pStyle w:val="TableText"/>
              <w:ind w:left="12" w:right="41" w:firstLine="10"/>
              <w:spacing w:before="71"/>
              <w:rPr/>
            </w:pPr>
            <w:r>
              <w:rPr>
                <w:spacing w:val="-2"/>
              </w:rPr>
              <w:t>律师事务</w:t>
            </w:r>
            <w:r>
              <w:rPr>
                <w:spacing w:val="1"/>
              </w:rPr>
              <w:t xml:space="preserve"> </w:t>
            </w:r>
            <w:r>
              <w:rPr/>
              <w:t>所</w:t>
            </w:r>
          </w:p>
        </w:tc>
        <w:tc>
          <w:tcPr>
            <w:tcW w:w="6088" w:type="dxa"/>
            <w:vAlign w:val="top"/>
          </w:tcPr>
          <w:p>
            <w:pPr>
              <w:pStyle w:val="TableText"/>
              <w:ind w:left="14" w:firstLine="49"/>
              <w:spacing w:before="57" w:line="266" w:lineRule="auto"/>
              <w:rPr/>
            </w:pPr>
            <w:r>
              <w:rPr>
                <w:spacing w:val="-11"/>
              </w:rPr>
              <w:t>1.《中华人民共和国证券法》第一百二十四条：设立证券公司，应当具备下列条件；    (一)有符</w:t>
            </w:r>
            <w:r>
              <w:rPr>
                <w:spacing w:val="6"/>
              </w:rPr>
              <w:t xml:space="preserve">  </w:t>
            </w:r>
            <w:r>
              <w:rPr>
                <w:spacing w:val="-4"/>
              </w:rPr>
              <w:t>合法律、行政法规规定的公司章程；(二)主要股东具有持续盈利能力，信誉良好，最近三年无</w:t>
            </w:r>
            <w:r>
              <w:rPr>
                <w:spacing w:val="6"/>
              </w:rPr>
              <w:t xml:space="preserve">  </w:t>
            </w:r>
            <w:r>
              <w:rPr>
                <w:spacing w:val="-4"/>
              </w:rPr>
              <w:t>重大违法违规记录，净资产不低于人民币二亿元。2. 《证券公司监督管理条例》(国务院令第</w:t>
            </w:r>
            <w:r>
              <w:rPr>
                <w:spacing w:val="4"/>
              </w:rPr>
              <w:t xml:space="preserve">  </w:t>
            </w:r>
            <w:r>
              <w:rPr>
                <w:spacing w:val="-2"/>
              </w:rPr>
              <w:t>522号)第十条；有下列情形之一的单位或者个人，不得成为持有证券公司5%以上股权的股东、</w:t>
            </w:r>
            <w:r>
              <w:rPr/>
              <w:t xml:space="preserve"> </w:t>
            </w:r>
            <w:r>
              <w:rPr/>
              <w:t>实际控制人；(一)因故意犯罪被判处刑罚，刑</w:t>
            </w:r>
            <w:r>
              <w:rPr>
                <w:spacing w:val="-1"/>
              </w:rPr>
              <w:t>罚执行完毕未逾3年。第九十四条；外商投资</w:t>
            </w:r>
            <w:r>
              <w:rPr/>
              <w:t xml:space="preserve">   </w:t>
            </w:r>
            <w:r>
              <w:rPr>
                <w:spacing w:val="-4"/>
              </w:rPr>
              <w:t>证券公司的业务范围、境外股东的资格条件和出资比例，由国务院证券监督管理机构规定，报</w:t>
            </w:r>
            <w:r>
              <w:rPr>
                <w:spacing w:val="4"/>
              </w:rPr>
              <w:t xml:space="preserve">  </w:t>
            </w:r>
            <w:r>
              <w:rPr>
                <w:spacing w:val="-3"/>
              </w:rPr>
              <w:t>国务院批准。3. 《外资参股证券公司设立规则》(证监会令第86号)第十二条；申请设</w:t>
            </w:r>
            <w:r>
              <w:rPr>
                <w:spacing w:val="-4"/>
              </w:rPr>
              <w:t>立外资  </w:t>
            </w:r>
            <w:r>
              <w:rPr>
                <w:spacing w:val="-7"/>
              </w:rPr>
              <w:t>参股证券公司，应当由全体股东共同指定的代表或者委托的代理人，</w:t>
            </w:r>
            <w:r>
              <w:rPr>
                <w:spacing w:val="-8"/>
              </w:rPr>
              <w:t>向中国证监会提交下列文件</w:t>
            </w:r>
            <w:r>
              <w:rPr/>
              <w:t xml:space="preserve">  </w:t>
            </w:r>
            <w:r>
              <w:rPr>
                <w:spacing w:val="-2"/>
              </w:rPr>
              <w:t>(七)由中国境内律师事务所出具的法律意见书。第十九条：内资证券公司申请变更为外资参  </w:t>
            </w:r>
            <w:r>
              <w:rPr>
                <w:spacing w:val="-5"/>
              </w:rPr>
              <w:t>股证券公司，应当向中国证监会提交下列文件</w:t>
            </w:r>
            <w:r>
              <w:rPr>
                <w:spacing w:val="-6"/>
              </w:rPr>
              <w:t>：(十)由中国境内律师事务所出具的法律意见书。</w:t>
            </w:r>
            <w:r>
              <w:rPr/>
              <w:t xml:space="preserve"> </w:t>
            </w:r>
            <w:r>
              <w:rPr>
                <w:spacing w:val="-3"/>
              </w:rPr>
              <w:t>4. 《证券公司设立子公司试行规定》(证监会公告〔2012〕27号)第六条：证券公司申请设立  </w:t>
            </w:r>
            <w:r>
              <w:rPr>
                <w:spacing w:val="-5"/>
              </w:rPr>
              <w:t>子公司，应当向中国证监会提交下列文件；    (十</w:t>
            </w:r>
            <w:r>
              <w:rPr>
                <w:spacing w:val="-6"/>
              </w:rPr>
              <w:t>)由中国境内律师事务所出具的法律意见书。</w:t>
            </w:r>
          </w:p>
        </w:tc>
      </w:tr>
    </w:tbl>
    <w:p>
      <w:pPr>
        <w:pStyle w:val="BodyText"/>
        <w:rPr/>
      </w:pPr>
      <w:r/>
    </w:p>
    <w:p>
      <w:pPr>
        <w:sectPr>
          <w:pgSz w:w="11910" w:h="8220"/>
          <w:pgMar w:top="400" w:right="1125" w:bottom="400" w:left="820" w:header="0" w:footer="0" w:gutter="0"/>
        </w:sectPr>
        <w:rPr/>
      </w:pPr>
    </w:p>
    <w:p>
      <w:pPr>
        <w:spacing w:before="11"/>
        <w:rPr/>
      </w:pPr>
      <w:r>
        <mc:AlternateContent xmlns:mc="http://schemas.openxmlformats.org/markup-compatibility/2006">
          <mc:Choice Requires="wps">
            <w:drawing>
              <wp:anchor distT="0" distB="0" distL="0" distR="0" simplePos="0" relativeHeight="251966464"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32" name="TextBox 432"/>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4" style="position:absolute;margin-left:37.0722pt;margin-top:48.6039pt;mso-position-vertical-relative:page;mso-position-horizontal-relative:page;width:13.55pt;height:12.35pt;z-index:25196646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304</w:t>
                      </w:r>
                    </w:p>
                  </w:txbxContent>
                </v:textbox>
              </v:shape>
            </w:pict>
          </mc:Fallback>
        </mc:AlternateContent>
      </w:r>
      <w:r/>
    </w:p>
    <w:p>
      <w:pPr>
        <w:spacing w:before="1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669" w:type="dxa"/>
            <w:vAlign w:val="top"/>
          </w:tcPr>
          <w:p>
            <w:pPr>
              <w:pStyle w:val="TableText"/>
              <w:ind w:left="20" w:right="32"/>
              <w:spacing w:before="70" w:line="246" w:lineRule="auto"/>
              <w:rPr/>
            </w:pPr>
            <w:r>
              <w:rPr>
                <w:spacing w:val="1"/>
              </w:rPr>
              <w:t>中介服务 </w:t>
            </w:r>
            <w:r>
              <w:rPr>
                <w:spacing w:val="-2"/>
              </w:rPr>
              <w:t>事项名称</w:t>
            </w:r>
          </w:p>
        </w:tc>
        <w:tc>
          <w:tcPr>
            <w:tcW w:w="1109" w:type="dxa"/>
            <w:vAlign w:val="top"/>
          </w:tcPr>
          <w:p>
            <w:pPr>
              <w:pStyle w:val="TableText"/>
              <w:ind w:left="239" w:right="35" w:hanging="219"/>
              <w:spacing w:before="72" w:line="239"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7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70" w:line="219" w:lineRule="auto"/>
              <w:rPr/>
            </w:pPr>
            <w:r>
              <w:rPr>
                <w:spacing w:val="-2"/>
              </w:rPr>
              <w:t>设定依据</w:t>
            </w:r>
          </w:p>
        </w:tc>
      </w:tr>
      <w:tr>
        <w:trPr>
          <w:trHeight w:val="3823" w:hRule="atLeast"/>
        </w:trPr>
        <w:tc>
          <w:tcPr>
            <w:tcW w:w="295" w:type="dxa"/>
            <w:vAlign w:val="top"/>
          </w:tcPr>
          <w:p>
            <w:pPr>
              <w:spacing w:line="344" w:lineRule="auto"/>
              <w:rPr>
                <w:rFonts w:ascii="Arial"/>
                <w:sz w:val="21"/>
              </w:rPr>
            </w:pPr>
            <w:r/>
          </w:p>
          <w:p>
            <w:pPr>
              <w:pStyle w:val="TableText"/>
              <w:ind w:left="65"/>
              <w:spacing w:before="49" w:line="183" w:lineRule="auto"/>
              <w:rPr/>
            </w:pPr>
            <w:r>
              <w:rPr>
                <w:spacing w:val="-2"/>
              </w:rPr>
              <w:t>67</w:t>
            </w:r>
          </w:p>
        </w:tc>
        <w:tc>
          <w:tcPr>
            <w:tcW w:w="669" w:type="dxa"/>
            <w:vAlign w:val="top"/>
          </w:tcPr>
          <w:p>
            <w:pPr>
              <w:spacing w:line="287" w:lineRule="auto"/>
              <w:rPr>
                <w:rFonts w:ascii="Arial"/>
                <w:sz w:val="21"/>
              </w:rPr>
            </w:pPr>
            <w:r/>
          </w:p>
          <w:p>
            <w:pPr>
              <w:pStyle w:val="TableText"/>
              <w:ind w:left="20" w:right="18"/>
              <w:spacing w:before="49" w:line="245" w:lineRule="auto"/>
              <w:rPr/>
            </w:pPr>
            <w:r>
              <w:rPr>
                <w:spacing w:val="5"/>
              </w:rPr>
              <w:t>证券公司</w:t>
            </w:r>
            <w:r>
              <w:rPr/>
              <w:t xml:space="preserve"> </w:t>
            </w:r>
            <w:r>
              <w:rPr>
                <w:spacing w:val="-2"/>
              </w:rPr>
              <w:t>设立审计</w:t>
            </w:r>
          </w:p>
        </w:tc>
        <w:tc>
          <w:tcPr>
            <w:tcW w:w="1109" w:type="dxa"/>
            <w:vAlign w:val="top"/>
          </w:tcPr>
          <w:p>
            <w:pPr>
              <w:spacing w:line="297" w:lineRule="auto"/>
              <w:rPr>
                <w:rFonts w:ascii="Arial"/>
                <w:sz w:val="21"/>
              </w:rPr>
            </w:pPr>
            <w:r/>
          </w:p>
          <w:p>
            <w:pPr>
              <w:pStyle w:val="TableText"/>
              <w:ind w:left="20" w:right="51" w:firstLine="20"/>
              <w:spacing w:before="49" w:line="239" w:lineRule="auto"/>
              <w:rPr/>
            </w:pPr>
            <w:r>
              <w:rPr>
                <w:spacing w:val="20"/>
              </w:rPr>
              <w:t>(44002)证券</w:t>
            </w:r>
            <w:r>
              <w:rPr/>
              <w:t xml:space="preserve"> </w:t>
            </w:r>
            <w:r>
              <w:rPr>
                <w:spacing w:val="-2"/>
              </w:rPr>
              <w:t>公司设立审批</w:t>
            </w:r>
          </w:p>
        </w:tc>
        <w:tc>
          <w:tcPr>
            <w:tcW w:w="829" w:type="dxa"/>
            <w:vAlign w:val="top"/>
          </w:tcPr>
          <w:p>
            <w:pPr>
              <w:spacing w:line="275" w:lineRule="auto"/>
              <w:rPr>
                <w:rFonts w:ascii="Arial"/>
                <w:sz w:val="21"/>
              </w:rPr>
            </w:pPr>
            <w:r/>
          </w:p>
          <w:p>
            <w:pPr>
              <w:pStyle w:val="TableText"/>
              <w:ind w:left="182"/>
              <w:spacing w:before="49" w:line="219" w:lineRule="auto"/>
              <w:rPr/>
            </w:pPr>
            <w:r>
              <w:rPr>
                <w:spacing w:val="-2"/>
              </w:rPr>
              <w:t>证监会</w:t>
            </w:r>
          </w:p>
        </w:tc>
        <w:tc>
          <w:tcPr>
            <w:tcW w:w="669" w:type="dxa"/>
            <w:vAlign w:val="top"/>
          </w:tcPr>
          <w:p>
            <w:pPr>
              <w:spacing w:line="298" w:lineRule="auto"/>
              <w:rPr>
                <w:rFonts w:ascii="Arial"/>
                <w:sz w:val="21"/>
              </w:rPr>
            </w:pPr>
            <w:r/>
          </w:p>
          <w:p>
            <w:pPr>
              <w:pStyle w:val="TableText"/>
              <w:ind w:left="12" w:right="19"/>
              <w:spacing w:before="49" w:line="262"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98" w:type="dxa"/>
            <w:vAlign w:val="top"/>
          </w:tcPr>
          <w:p>
            <w:pPr>
              <w:spacing w:line="284" w:lineRule="auto"/>
              <w:rPr>
                <w:rFonts w:ascii="Arial"/>
                <w:sz w:val="21"/>
              </w:rPr>
            </w:pPr>
            <w:r/>
          </w:p>
          <w:p>
            <w:pPr>
              <w:pStyle w:val="TableText"/>
              <w:ind w:left="24" w:right="37" w:firstLine="19"/>
              <w:spacing w:before="49" w:line="258" w:lineRule="auto"/>
              <w:rPr/>
            </w:pPr>
            <w:r>
              <w:rPr>
                <w:spacing w:val="-2"/>
              </w:rPr>
              <w:t>1. 《中华人民共和国公司法》第一百六十四条；公司应当在每一会计年度终了时编制财务会</w:t>
            </w:r>
            <w:r>
              <w:rPr>
                <w:spacing w:val="14"/>
              </w:rPr>
              <w:t xml:space="preserve"> </w:t>
            </w:r>
            <w:r>
              <w:rPr>
                <w:spacing w:val="-1"/>
              </w:rPr>
              <w:t>计报告，并依法经会计师事务所审计。2. 《中</w:t>
            </w:r>
            <w:r>
              <w:rPr>
                <w:spacing w:val="-2"/>
              </w:rPr>
              <w:t>华人民共和国证券法》第一百二十四条：设立</w:t>
            </w:r>
            <w:r>
              <w:rPr/>
              <w:t xml:space="preserve"> </w:t>
            </w:r>
            <w:r>
              <w:rPr>
                <w:spacing w:val="-4"/>
              </w:rPr>
              <w:t>证券公司，应当具备下列条件：</w:t>
            </w:r>
            <w:r>
              <w:rPr>
                <w:spacing w:val="26"/>
              </w:rPr>
              <w:t xml:space="preserve">   </w:t>
            </w:r>
            <w:r>
              <w:rPr>
                <w:spacing w:val="-4"/>
              </w:rPr>
              <w:t>(一)有符合法律、行政法规规定的公司章程；(二)主要</w:t>
            </w:r>
          </w:p>
          <w:p>
            <w:pPr>
              <w:pStyle w:val="TableText"/>
              <w:ind w:left="24" w:right="49" w:firstLine="19"/>
              <w:spacing w:before="22" w:line="257" w:lineRule="auto"/>
              <w:rPr/>
            </w:pPr>
            <w:r>
              <w:rPr/>
              <w:t>股东具有持续盈利能力，信誉良好，最近三年无重大违法违规记录，净资产</w:t>
            </w:r>
            <w:r>
              <w:rPr>
                <w:spacing w:val="-1"/>
              </w:rPr>
              <w:t>不低于人民币二</w:t>
            </w:r>
            <w:r>
              <w:rPr/>
              <w:t xml:space="preserve"> </w:t>
            </w:r>
            <w:r>
              <w:rPr>
                <w:spacing w:val="-2"/>
              </w:rPr>
              <w:t>亿元。3. 《证券公司监督管理条例》(国务院令第522号)第十条：有下列情形之一的单位</w:t>
            </w:r>
          </w:p>
          <w:p>
            <w:pPr>
              <w:pStyle w:val="TableText"/>
              <w:ind w:left="43" w:right="131" w:firstLine="70"/>
              <w:spacing w:before="33" w:line="242" w:lineRule="auto"/>
              <w:rPr/>
            </w:pPr>
            <w:r>
              <w:rPr>
                <w:spacing w:val="-4"/>
              </w:rPr>
              <w:t>或者个人，不得成为持有证券公司5%以上股权的股东、实际控制人：</w:t>
            </w:r>
            <w:r>
              <w:rPr>
                <w:spacing w:val="25"/>
              </w:rPr>
              <w:t xml:space="preserve">   </w:t>
            </w:r>
            <w:r>
              <w:rPr>
                <w:spacing w:val="-4"/>
              </w:rPr>
              <w:t>(一)因故意犯罪被</w:t>
            </w:r>
            <w:r>
              <w:rPr>
                <w:spacing w:val="1"/>
              </w:rPr>
              <w:t xml:space="preserve"> </w:t>
            </w:r>
            <w:r>
              <w:rPr>
                <w:spacing w:val="-3"/>
              </w:rPr>
              <w:t>判处刑罚，刑罚执行完毕未逾3年；    (二)净</w:t>
            </w:r>
            <w:r>
              <w:rPr>
                <w:spacing w:val="-4"/>
              </w:rPr>
              <w:t>资产低于实收资本的50%,或者或有负债达到</w:t>
            </w:r>
          </w:p>
          <w:p>
            <w:pPr>
              <w:pStyle w:val="TableText"/>
              <w:ind w:left="24"/>
              <w:spacing w:before="56" w:line="219" w:lineRule="auto"/>
              <w:rPr/>
            </w:pPr>
            <w:r>
              <w:rPr/>
              <w:t>净资产的50%;(三)不能清偿到期债务。第九十四条：外商投资证券</w:t>
            </w:r>
            <w:r>
              <w:rPr>
                <w:spacing w:val="-1"/>
              </w:rPr>
              <w:t>公司的业务范围、境</w:t>
            </w:r>
          </w:p>
          <w:p>
            <w:pPr>
              <w:pStyle w:val="TableText"/>
              <w:ind w:left="34" w:right="64" w:firstLine="9"/>
              <w:spacing w:before="40" w:line="245" w:lineRule="auto"/>
              <w:rPr/>
            </w:pPr>
            <w:r>
              <w:rPr>
                <w:spacing w:val="-2"/>
              </w:rPr>
              <w:t>外股东的资格条件和出资比例，由国务院证券监督管理机构规定，报国务院批准。4.</w:t>
            </w:r>
            <w:r>
              <w:rPr>
                <w:spacing w:val="-14"/>
              </w:rPr>
              <w:t xml:space="preserve"> </w:t>
            </w:r>
            <w:r>
              <w:rPr>
                <w:spacing w:val="-2"/>
              </w:rPr>
              <w:t>《外资</w:t>
            </w:r>
            <w:r>
              <w:rPr/>
              <w:t xml:space="preserve"> </w:t>
            </w:r>
            <w:r>
              <w:rPr/>
              <w:t>参股证券公司设立规则》(证监会令第86号)第十二条：申请设立外资</w:t>
            </w:r>
            <w:r>
              <w:rPr>
                <w:spacing w:val="-1"/>
              </w:rPr>
              <w:t>参股证券公司，应</w:t>
            </w:r>
          </w:p>
          <w:p>
            <w:pPr>
              <w:pStyle w:val="TableText"/>
              <w:ind w:left="34" w:right="23" w:firstLine="9"/>
              <w:spacing w:before="43" w:line="260" w:lineRule="auto"/>
              <w:jc w:val="both"/>
              <w:rPr/>
            </w:pPr>
            <w:r>
              <w:rPr>
                <w:spacing w:val="-3"/>
              </w:rPr>
              <w:t>当由全体股东共同指定的代表或者委托的代理人，向中国证监会提交下</w:t>
            </w:r>
            <w:r>
              <w:rPr>
                <w:spacing w:val="-4"/>
              </w:rPr>
              <w:t>列文件：    (五)申请</w:t>
            </w:r>
            <w:r>
              <w:rPr/>
              <w:t xml:space="preserve"> </w:t>
            </w:r>
            <w:r>
              <w:rPr>
                <w:spacing w:val="1"/>
              </w:rPr>
              <w:t>前3年境内外股东经审计的财务报表。第十九条：内资证券公司申请变更为外资参股证券公 </w:t>
            </w:r>
            <w:r>
              <w:rPr/>
              <w:t>司，应当向中国证监会提交下列文件：(七)申请前3年境外股东经审计的财务报表。5.</w:t>
            </w:r>
            <w:r>
              <w:rPr>
                <w:spacing w:val="-32"/>
              </w:rPr>
              <w:t xml:space="preserve"> </w:t>
            </w:r>
            <w:r>
              <w:rPr/>
              <w:t>《证  </w:t>
            </w:r>
            <w:r>
              <w:rPr>
                <w:spacing w:val="1"/>
              </w:rPr>
              <w:t>券公司设立子公司试行规定》(证监会公告〔2012〕27号)</w:t>
            </w:r>
            <w:r>
              <w:rPr/>
              <w:t>第六条：证券公司申请设立子公司 </w:t>
            </w:r>
            <w:r>
              <w:rPr>
                <w:spacing w:val="-3"/>
              </w:rPr>
              <w:t>应当向中国证监会提交下列文件：    (五)</w:t>
            </w:r>
            <w:r>
              <w:rPr>
                <w:spacing w:val="-4"/>
              </w:rPr>
              <w:t>持有5%以上股权的出资人近3年的审计报告。</w:t>
            </w:r>
          </w:p>
        </w:tc>
      </w:tr>
      <w:tr>
        <w:trPr>
          <w:trHeight w:val="1852" w:hRule="atLeast"/>
        </w:trPr>
        <w:tc>
          <w:tcPr>
            <w:tcW w:w="295" w:type="dxa"/>
            <w:vAlign w:val="top"/>
          </w:tcPr>
          <w:p>
            <w:pPr>
              <w:spacing w:line="361" w:lineRule="auto"/>
              <w:rPr>
                <w:rFonts w:ascii="Arial"/>
                <w:sz w:val="21"/>
              </w:rPr>
            </w:pPr>
            <w:r/>
          </w:p>
          <w:p>
            <w:pPr>
              <w:pStyle w:val="TableText"/>
              <w:ind w:left="65"/>
              <w:spacing w:before="49" w:line="183" w:lineRule="auto"/>
              <w:rPr/>
            </w:pPr>
            <w:r>
              <w:rPr>
                <w:spacing w:val="-2"/>
              </w:rPr>
              <w:t>68</w:t>
            </w:r>
          </w:p>
        </w:tc>
        <w:tc>
          <w:tcPr>
            <w:tcW w:w="669" w:type="dxa"/>
            <w:vAlign w:val="top"/>
          </w:tcPr>
          <w:p>
            <w:pPr>
              <w:spacing w:line="295" w:lineRule="auto"/>
              <w:rPr>
                <w:rFonts w:ascii="Arial"/>
                <w:sz w:val="21"/>
              </w:rPr>
            </w:pPr>
            <w:r/>
          </w:p>
          <w:p>
            <w:pPr>
              <w:pStyle w:val="TableText"/>
              <w:ind w:left="10" w:right="18" w:firstLine="10"/>
              <w:spacing w:before="48" w:line="252" w:lineRule="auto"/>
              <w:jc w:val="both"/>
              <w:rPr/>
            </w:pPr>
            <w:r>
              <w:rPr>
                <w:spacing w:val="5"/>
              </w:rPr>
              <w:t>证券公司</w:t>
            </w:r>
            <w:r>
              <w:rPr/>
              <w:t xml:space="preserve"> </w:t>
            </w:r>
            <w:r>
              <w:rPr/>
              <w:t>设立资产 </w:t>
            </w:r>
            <w:r>
              <w:rPr>
                <w:spacing w:val="-2"/>
              </w:rPr>
              <w:t>评估</w:t>
            </w:r>
          </w:p>
        </w:tc>
        <w:tc>
          <w:tcPr>
            <w:tcW w:w="1109" w:type="dxa"/>
            <w:vAlign w:val="top"/>
          </w:tcPr>
          <w:p>
            <w:pPr>
              <w:spacing w:line="303" w:lineRule="auto"/>
              <w:rPr>
                <w:rFonts w:ascii="Arial"/>
                <w:sz w:val="21"/>
              </w:rPr>
            </w:pPr>
            <w:r/>
          </w:p>
          <w:p>
            <w:pPr>
              <w:pStyle w:val="TableText"/>
              <w:ind w:left="20" w:right="51" w:firstLine="20"/>
              <w:spacing w:before="48" w:line="252" w:lineRule="auto"/>
              <w:rPr/>
            </w:pPr>
            <w:r>
              <w:rPr>
                <w:spacing w:val="20"/>
              </w:rPr>
              <w:t>(44002)证券</w:t>
            </w:r>
            <w:r>
              <w:rPr/>
              <w:t xml:space="preserve"> </w:t>
            </w:r>
            <w:r>
              <w:rPr>
                <w:spacing w:val="-2"/>
              </w:rPr>
              <w:t>公司设立审批</w:t>
            </w:r>
          </w:p>
        </w:tc>
        <w:tc>
          <w:tcPr>
            <w:tcW w:w="829" w:type="dxa"/>
            <w:vAlign w:val="top"/>
          </w:tcPr>
          <w:p>
            <w:pPr>
              <w:spacing w:line="292" w:lineRule="auto"/>
              <w:rPr>
                <w:rFonts w:ascii="Arial"/>
                <w:sz w:val="21"/>
              </w:rPr>
            </w:pPr>
            <w:r/>
          </w:p>
          <w:p>
            <w:pPr>
              <w:pStyle w:val="TableText"/>
              <w:ind w:left="182"/>
              <w:spacing w:before="49" w:line="219" w:lineRule="auto"/>
              <w:rPr/>
            </w:pPr>
            <w:r>
              <w:rPr>
                <w:spacing w:val="-2"/>
              </w:rPr>
              <w:t>证监会</w:t>
            </w:r>
          </w:p>
        </w:tc>
        <w:tc>
          <w:tcPr>
            <w:tcW w:w="669" w:type="dxa"/>
            <w:vAlign w:val="top"/>
          </w:tcPr>
          <w:p>
            <w:pPr>
              <w:spacing w:line="302" w:lineRule="auto"/>
              <w:rPr>
                <w:rFonts w:ascii="Arial"/>
                <w:sz w:val="21"/>
              </w:rPr>
            </w:pPr>
            <w:r/>
          </w:p>
          <w:p>
            <w:pPr>
              <w:pStyle w:val="TableText"/>
              <w:ind w:left="12" w:right="24" w:firstLine="10"/>
              <w:spacing w:before="49" w:line="256" w:lineRule="auto"/>
              <w:jc w:val="both"/>
              <w:rPr/>
            </w:pPr>
            <w:r>
              <w:rPr>
                <w:spacing w:val="-3"/>
              </w:rPr>
              <w:t>具有证券</w:t>
            </w:r>
            <w:r>
              <w:rPr>
                <w:spacing w:val="2"/>
              </w:rPr>
              <w:t xml:space="preserve"> </w:t>
            </w:r>
            <w:r>
              <w:rPr>
                <w:spacing w:val="1"/>
              </w:rPr>
              <w:t>相关业务</w:t>
            </w:r>
            <w:r>
              <w:rPr/>
              <w:t xml:space="preserve"> </w:t>
            </w:r>
            <w:r>
              <w:rPr>
                <w:spacing w:val="5"/>
              </w:rPr>
              <w:t>资格的资</w:t>
            </w:r>
            <w:r>
              <w:rPr/>
              <w:t xml:space="preserve"> </w:t>
            </w:r>
            <w:r>
              <w:rPr>
                <w:spacing w:val="1"/>
              </w:rPr>
              <w:t>产评估机</w:t>
            </w:r>
            <w:r>
              <w:rPr/>
              <w:t xml:space="preserve"> </w:t>
            </w:r>
            <w:r>
              <w:rPr/>
              <w:t>构</w:t>
            </w:r>
          </w:p>
        </w:tc>
        <w:tc>
          <w:tcPr>
            <w:tcW w:w="6098" w:type="dxa"/>
            <w:vAlign w:val="top"/>
          </w:tcPr>
          <w:p>
            <w:pPr>
              <w:spacing w:line="312" w:lineRule="auto"/>
              <w:rPr>
                <w:rFonts w:ascii="Arial"/>
                <w:sz w:val="21"/>
              </w:rPr>
            </w:pPr>
            <w:r/>
          </w:p>
          <w:p>
            <w:pPr>
              <w:pStyle w:val="TableText"/>
              <w:ind w:left="34"/>
              <w:spacing w:before="49" w:line="219" w:lineRule="auto"/>
              <w:rPr/>
            </w:pPr>
            <w:r>
              <w:rPr>
                <w:spacing w:val="-2"/>
              </w:rPr>
              <w:t>1. 《证券公司监督管理条例》(国务院令第522号)第九条；证</w:t>
            </w:r>
            <w:r>
              <w:rPr>
                <w:spacing w:val="-3"/>
              </w:rPr>
              <w:t>券公司股东的出资，应当经</w:t>
            </w:r>
          </w:p>
          <w:p>
            <w:pPr>
              <w:pStyle w:val="TableText"/>
              <w:ind w:left="43"/>
              <w:spacing w:before="41" w:line="241" w:lineRule="auto"/>
              <w:rPr/>
            </w:pPr>
            <w:r>
              <w:rPr/>
              <w:t>具有证券、期货相关业务资格的会计师事务所验资</w:t>
            </w:r>
            <w:r>
              <w:rPr>
                <w:spacing w:val="-1"/>
              </w:rPr>
              <w:t>并出具证明；出资中的非货币财产，应当</w:t>
            </w:r>
            <w:r>
              <w:rPr/>
              <w:t xml:space="preserve">  </w:t>
            </w:r>
            <w:r>
              <w:rPr>
                <w:spacing w:val="-2"/>
              </w:rPr>
              <w:t>经具有证券相关业务资格的资产评估机构评估。2. 《证券公司设立子公司试行</w:t>
            </w:r>
            <w:r>
              <w:rPr>
                <w:spacing w:val="-3"/>
              </w:rPr>
              <w:t>规定》(证监</w:t>
            </w:r>
            <w:r>
              <w:rPr/>
              <w:t xml:space="preserve">   </w:t>
            </w:r>
            <w:r>
              <w:rPr>
                <w:spacing w:val="-1"/>
              </w:rPr>
              <w:t>会公告〔2012〕27号)第六条：证券公司申请设立子公司，应当向中国证监会提交下列文件：</w:t>
            </w:r>
          </w:p>
          <w:p>
            <w:pPr>
              <w:pStyle w:val="TableText"/>
              <w:ind w:left="14" w:right="118" w:firstLine="99"/>
              <w:spacing w:before="63" w:line="238" w:lineRule="auto"/>
              <w:rPr/>
            </w:pPr>
            <w:r>
              <w:rPr/>
              <w:t>(五)出资人名册及其出资额、出资方式和出资比例说明、作为出资的非货币财产的资产评</w:t>
            </w:r>
            <w:r>
              <w:rPr>
                <w:spacing w:val="4"/>
              </w:rPr>
              <w:t xml:space="preserve"> </w:t>
            </w:r>
            <w:r>
              <w:rPr>
                <w:spacing w:val="-1"/>
              </w:rPr>
              <w:t>估报告。</w:t>
            </w:r>
          </w:p>
        </w:tc>
      </w:tr>
    </w:tbl>
    <w:p>
      <w:pPr>
        <w:pStyle w:val="BodyText"/>
        <w:rPr/>
      </w:pPr>
      <w:r/>
    </w:p>
    <w:p>
      <w:pPr>
        <w:sectPr>
          <w:pgSz w:w="11910" w:h="8220"/>
          <w:pgMar w:top="400" w:right="1115" w:bottom="400" w:left="821" w:header="0" w:footer="0" w:gutter="0"/>
        </w:sectPr>
        <w:rPr/>
      </w:pPr>
    </w:p>
    <w:p>
      <w:pPr>
        <w:spacing w:before="223"/>
        <w:rPr/>
      </w:pPr>
      <w:r>
        <mc:AlternateContent xmlns:mc="http://schemas.openxmlformats.org/markup-compatibility/2006">
          <mc:Choice Requires="wps">
            <w:drawing>
              <wp:anchor distT="0" distB="0" distL="0" distR="0" simplePos="0" relativeHeight="251967488"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34" name="TextBox 434"/>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6" style="position:absolute;margin-left:37.0722pt;margin-top:345.103pt;mso-position-vertical-relative:page;mso-position-horizontal-relative:page;width:13.55pt;height:12.35pt;z-index:2519674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305</w:t>
                      </w:r>
                    </w:p>
                  </w:txbxContent>
                </v:textbox>
              </v:shape>
            </w:pict>
          </mc:Fallback>
        </mc:AlternateContent>
      </w: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1129"/>
        <w:gridCol w:w="819"/>
        <w:gridCol w:w="669"/>
        <w:gridCol w:w="6088"/>
      </w:tblGrid>
      <w:tr>
        <w:trPr>
          <w:trHeight w:val="474" w:hRule="atLeast"/>
        </w:trPr>
        <w:tc>
          <w:tcPr>
            <w:tcW w:w="295" w:type="dxa"/>
            <w:vAlign w:val="top"/>
            <w:textDirection w:val="tbRlV"/>
          </w:tcPr>
          <w:p>
            <w:pPr>
              <w:pStyle w:val="TableText"/>
              <w:ind w:left="62"/>
              <w:spacing w:before="75" w:line="210" w:lineRule="auto"/>
              <w:rPr/>
            </w:pPr>
            <w:r>
              <w:rPr>
                <w:spacing w:val="-1"/>
              </w:rPr>
              <w:t>序</w:t>
            </w:r>
            <w:r>
              <w:rPr>
                <w:spacing w:val="-5"/>
              </w:rPr>
              <w:t xml:space="preserve"> </w:t>
            </w:r>
            <w:r>
              <w:rPr>
                <w:spacing w:val="-1"/>
              </w:rPr>
              <w:t>号</w:t>
            </w:r>
          </w:p>
        </w:tc>
        <w:tc>
          <w:tcPr>
            <w:tcW w:w="649" w:type="dxa"/>
            <w:vAlign w:val="top"/>
          </w:tcPr>
          <w:p>
            <w:pPr>
              <w:pStyle w:val="TableText"/>
              <w:ind w:left="10" w:right="22"/>
              <w:spacing w:before="51" w:line="254" w:lineRule="auto"/>
              <w:rPr/>
            </w:pPr>
            <w:r>
              <w:rPr>
                <w:spacing w:val="1"/>
              </w:rPr>
              <w:t>中介服务 </w:t>
            </w:r>
            <w:r>
              <w:rPr>
                <w:spacing w:val="-2"/>
              </w:rPr>
              <w:t>事项名称</w:t>
            </w:r>
          </w:p>
        </w:tc>
        <w:tc>
          <w:tcPr>
            <w:tcW w:w="1129" w:type="dxa"/>
            <w:vAlign w:val="top"/>
          </w:tcPr>
          <w:p>
            <w:pPr>
              <w:pStyle w:val="TableText"/>
              <w:ind w:left="249" w:right="45" w:hanging="219"/>
              <w:spacing w:before="51" w:line="254"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876" w:hRule="atLeast"/>
        </w:trPr>
        <w:tc>
          <w:tcPr>
            <w:tcW w:w="295" w:type="dxa"/>
            <w:vAlign w:val="top"/>
          </w:tcPr>
          <w:p>
            <w:pPr>
              <w:pStyle w:val="TableText"/>
              <w:ind w:left="65"/>
              <w:spacing w:before="125" w:line="183" w:lineRule="auto"/>
              <w:rPr/>
            </w:pPr>
            <w:r>
              <w:rPr>
                <w:spacing w:val="-2"/>
              </w:rPr>
              <w:t>69</w:t>
            </w:r>
          </w:p>
        </w:tc>
        <w:tc>
          <w:tcPr>
            <w:tcW w:w="649" w:type="dxa"/>
            <w:vAlign w:val="top"/>
          </w:tcPr>
          <w:p>
            <w:pPr>
              <w:pStyle w:val="TableText"/>
              <w:ind w:left="10" w:right="8"/>
              <w:spacing w:before="80" w:line="260" w:lineRule="auto"/>
              <w:jc w:val="both"/>
              <w:rPr/>
            </w:pPr>
            <w:r>
              <w:rPr>
                <w:spacing w:val="-3"/>
              </w:rPr>
              <w:t>公募基金</w:t>
            </w:r>
            <w:r>
              <w:rPr/>
              <w:t xml:space="preserve"> </w:t>
            </w:r>
            <w:r>
              <w:rPr>
                <w:spacing w:val="5"/>
              </w:rPr>
              <w:t>管理公司</w:t>
            </w:r>
            <w:r>
              <w:rPr/>
              <w:t xml:space="preserve"> </w:t>
            </w:r>
            <w:r>
              <w:rPr>
                <w:spacing w:val="-3"/>
              </w:rPr>
              <w:t>设立、公</w:t>
            </w:r>
            <w:r>
              <w:rPr>
                <w:spacing w:val="2"/>
              </w:rPr>
              <w:t xml:space="preserve"> </w:t>
            </w:r>
            <w:r>
              <w:rPr>
                <w:spacing w:val="-2"/>
              </w:rPr>
              <w:t>募基金管</w:t>
            </w:r>
            <w:r>
              <w:rPr>
                <w:spacing w:val="1"/>
              </w:rPr>
              <w:t xml:space="preserve"> </w:t>
            </w:r>
            <w:r>
              <w:rPr>
                <w:spacing w:val="-2"/>
              </w:rPr>
              <w:t>理人审计</w:t>
            </w:r>
          </w:p>
        </w:tc>
        <w:tc>
          <w:tcPr>
            <w:tcW w:w="1129" w:type="dxa"/>
            <w:vAlign w:val="top"/>
          </w:tcPr>
          <w:p>
            <w:pPr>
              <w:pStyle w:val="TableText"/>
              <w:ind w:left="30" w:right="43" w:firstLine="20"/>
              <w:spacing w:before="76" w:line="258" w:lineRule="auto"/>
              <w:jc w:val="both"/>
              <w:rPr/>
            </w:pPr>
            <w:r>
              <w:rPr>
                <w:spacing w:val="20"/>
              </w:rPr>
              <w:t>(44009)公募</w:t>
            </w:r>
            <w:r>
              <w:rPr/>
              <w:t xml:space="preserve"> </w:t>
            </w:r>
            <w:r>
              <w:rPr>
                <w:spacing w:val="-1"/>
              </w:rPr>
              <w:t>基金管理公司设</w:t>
            </w:r>
            <w:r>
              <w:rPr/>
              <w:t xml:space="preserve"> </w:t>
            </w:r>
            <w:r>
              <w:rPr>
                <w:spacing w:val="-1"/>
              </w:rPr>
              <w:t>立、公募基金管</w:t>
            </w:r>
            <w:r>
              <w:rPr/>
              <w:t xml:space="preserve"> </w:t>
            </w:r>
            <w:r>
              <w:rPr>
                <w:spacing w:val="-2"/>
              </w:rPr>
              <w:t>理人资格审批</w:t>
            </w:r>
          </w:p>
        </w:tc>
        <w:tc>
          <w:tcPr>
            <w:tcW w:w="819" w:type="dxa"/>
            <w:vAlign w:val="top"/>
          </w:tcPr>
          <w:p>
            <w:pPr>
              <w:pStyle w:val="TableText"/>
              <w:ind w:left="172"/>
              <w:spacing w:before="56" w:line="219" w:lineRule="auto"/>
              <w:rPr/>
            </w:pPr>
            <w:r>
              <w:rPr>
                <w:spacing w:val="-2"/>
              </w:rPr>
              <w:t>证监会</w:t>
            </w:r>
          </w:p>
        </w:tc>
        <w:tc>
          <w:tcPr>
            <w:tcW w:w="669" w:type="dxa"/>
            <w:vAlign w:val="top"/>
          </w:tcPr>
          <w:p>
            <w:pPr>
              <w:pStyle w:val="TableText"/>
              <w:ind w:left="12" w:right="29" w:firstLine="10"/>
              <w:spacing w:before="78" w:line="258" w:lineRule="auto"/>
              <w:jc w:val="both"/>
              <w:rPr/>
            </w:pPr>
            <w:r>
              <w:rPr>
                <w:spacing w:val="-8"/>
              </w:rPr>
              <w:t>具</w:t>
            </w:r>
            <w:r>
              <w:rPr>
                <w:spacing w:val="15"/>
              </w:rPr>
              <w:t xml:space="preserve"> </w:t>
            </w:r>
            <w:r>
              <w:rPr>
                <w:spacing w:val="-8"/>
              </w:rPr>
              <w:t>有</w:t>
            </w:r>
            <w:r>
              <w:rPr>
                <w:spacing w:val="14"/>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14" w:right="37" w:firstLine="20"/>
              <w:spacing w:before="68" w:line="264" w:lineRule="auto"/>
              <w:rPr/>
            </w:pPr>
            <w:r>
              <w:rPr>
                <w:spacing w:val="-2"/>
              </w:rPr>
              <w:t>1. 《中华人民共和国公司法》第一百六十四条：公司应当在每一会计年度终了时编制财务会</w:t>
            </w:r>
            <w:r>
              <w:rPr>
                <w:spacing w:val="14"/>
              </w:rPr>
              <w:t xml:space="preserve"> </w:t>
            </w:r>
            <w:r>
              <w:rPr>
                <w:spacing w:val="-2"/>
              </w:rPr>
              <w:t>计报告，并依法经会计师事务所审计。2. 《中华人民共和国证券投资基金法》第十三条：设</w:t>
            </w:r>
            <w:r>
              <w:rPr>
                <w:spacing w:val="15"/>
              </w:rPr>
              <w:t xml:space="preserve"> </w:t>
            </w:r>
            <w:r>
              <w:rPr/>
              <w:t>立管理公开募集基金的基金管理公司，应当具备下列条件，并经国务院证券监督管理机构批</w:t>
            </w:r>
            <w:r>
              <w:rPr>
                <w:spacing w:val="13"/>
              </w:rPr>
              <w:t xml:space="preserve"> </w:t>
            </w:r>
            <w:r>
              <w:rPr>
                <w:spacing w:val="-1"/>
              </w:rPr>
              <w:t>准：   (三)主要股东应当具有经营金融业务</w:t>
            </w:r>
            <w:r>
              <w:rPr>
                <w:spacing w:val="-2"/>
              </w:rPr>
              <w:t>或者管理金融机构的良好业绩、良好的财务状况</w:t>
            </w:r>
            <w:r>
              <w:rPr/>
              <w:t xml:space="preserve"> </w:t>
            </w:r>
            <w:r>
              <w:rPr>
                <w:spacing w:val="-2"/>
              </w:rPr>
              <w:t>和社会信誉，资产规模达到国务院规定的标准。3. 《国务院关于管理公开募集基金的基金管</w:t>
            </w:r>
            <w:r>
              <w:rPr>
                <w:spacing w:val="13"/>
              </w:rPr>
              <w:t xml:space="preserve"> </w:t>
            </w:r>
            <w:r>
              <w:rPr/>
              <w:t>理公司有关问题的批复》(国函〔2013〕132号)一、(一)主要股东为</w:t>
            </w:r>
            <w:r>
              <w:rPr>
                <w:spacing w:val="-1"/>
              </w:rPr>
              <w:t>法人或者其他组织的</w:t>
            </w:r>
          </w:p>
          <w:p>
            <w:pPr>
              <w:pStyle w:val="TableText"/>
              <w:ind w:left="34"/>
              <w:spacing w:before="41" w:line="219" w:lineRule="auto"/>
              <w:rPr/>
            </w:pPr>
            <w:r>
              <w:rPr/>
              <w:t>净资产不低于2亿元人民币；(二)主要股东为自然人的，个人金融资产</w:t>
            </w:r>
            <w:r>
              <w:rPr>
                <w:spacing w:val="-1"/>
              </w:rPr>
              <w:t>不低于3000万元</w:t>
            </w:r>
          </w:p>
          <w:p>
            <w:pPr>
              <w:pStyle w:val="TableText"/>
              <w:ind w:left="43"/>
              <w:spacing w:before="42" w:line="219" w:lineRule="auto"/>
              <w:rPr/>
            </w:pPr>
            <w:r>
              <w:rPr/>
              <w:t>人民币；二、(一)非主要股东为法人或者其他组织的，净资产不低于5000万元人民币</w:t>
            </w:r>
          </w:p>
          <w:p>
            <w:pPr>
              <w:pStyle w:val="TableText"/>
              <w:ind w:left="14" w:right="3" w:firstLine="99"/>
              <w:spacing w:before="22" w:line="261" w:lineRule="auto"/>
              <w:rPr/>
            </w:pPr>
            <w:r>
              <w:rPr>
                <w:spacing w:val="2"/>
              </w:rPr>
              <w:t>资产质量良好；(二)非主要股东为自然人的，个人金融资产不低于10</w:t>
            </w:r>
            <w:r>
              <w:rPr>
                <w:spacing w:val="1"/>
              </w:rPr>
              <w:t>00万元人民币；三、</w:t>
            </w:r>
            <w:r>
              <w:rPr/>
              <w:t xml:space="preserve"> </w:t>
            </w:r>
            <w:r>
              <w:rPr>
                <w:spacing w:val="-1"/>
              </w:rPr>
              <w:t>(二)境外股东应当具备下列条件：3.净资产不低于2亿元人民币等值可自由</w:t>
            </w:r>
            <w:r>
              <w:rPr>
                <w:spacing w:val="-2"/>
              </w:rPr>
              <w:t>兑换货币。4.</w:t>
            </w:r>
            <w:r>
              <w:rPr>
                <w:spacing w:val="-38"/>
              </w:rPr>
              <w:t xml:space="preserve"> </w:t>
            </w:r>
            <w:r>
              <w:rPr>
                <w:spacing w:val="-2"/>
              </w:rPr>
              <w:t>《资</w:t>
            </w:r>
            <w:r>
              <w:rPr/>
              <w:t xml:space="preserve"> </w:t>
            </w:r>
            <w:r>
              <w:rPr/>
              <w:t>产管理机构开展公募证券投资基金管理业务暂行规定》(证监会公告〔2013〕</w:t>
            </w:r>
            <w:r>
              <w:rPr>
                <w:spacing w:val="-1"/>
              </w:rPr>
              <w:t>10号)第五条</w:t>
            </w:r>
          </w:p>
          <w:p>
            <w:pPr>
              <w:pStyle w:val="TableText"/>
              <w:ind w:left="14" w:right="288"/>
              <w:spacing w:before="44" w:line="227" w:lineRule="auto"/>
              <w:rPr/>
            </w:pPr>
            <w:r>
              <w:rPr/>
              <w:t>申请开展基金管理业务的资产管理机构，应当符合下列条件：(三)最近3年经营状况良好 </w:t>
            </w:r>
            <w:r>
              <w:rPr>
                <w:spacing w:val="-1"/>
              </w:rPr>
              <w:t>财务稳健。</w:t>
            </w:r>
          </w:p>
        </w:tc>
      </w:tr>
      <w:tr>
        <w:trPr>
          <w:trHeight w:val="1797" w:hRule="atLeast"/>
        </w:trPr>
        <w:tc>
          <w:tcPr>
            <w:tcW w:w="295" w:type="dxa"/>
            <w:vAlign w:val="top"/>
          </w:tcPr>
          <w:p>
            <w:pPr>
              <w:pStyle w:val="TableText"/>
              <w:ind w:left="65"/>
              <w:spacing w:before="129" w:line="183" w:lineRule="auto"/>
              <w:rPr/>
            </w:pPr>
            <w:r>
              <w:rPr>
                <w:spacing w:val="-3"/>
              </w:rPr>
              <w:t>70</w:t>
            </w:r>
          </w:p>
        </w:tc>
        <w:tc>
          <w:tcPr>
            <w:tcW w:w="649" w:type="dxa"/>
            <w:vAlign w:val="top"/>
          </w:tcPr>
          <w:p>
            <w:pPr>
              <w:pStyle w:val="TableText"/>
              <w:ind w:left="10" w:right="34"/>
              <w:spacing w:before="79" w:line="259" w:lineRule="auto"/>
              <w:jc w:val="both"/>
              <w:rPr/>
            </w:pPr>
            <w:r>
              <w:rPr>
                <w:spacing w:val="-2"/>
              </w:rPr>
              <w:t>基金托管</w:t>
            </w:r>
            <w:r>
              <w:rPr>
                <w:spacing w:val="1"/>
              </w:rPr>
              <w:t xml:space="preserve"> </w:t>
            </w:r>
            <w:r>
              <w:rPr>
                <w:spacing w:val="-2"/>
              </w:rPr>
              <w:t>人净资产</w:t>
            </w:r>
            <w:r>
              <w:rPr/>
              <w:t xml:space="preserve"> </w:t>
            </w:r>
            <w:r>
              <w:rPr>
                <w:spacing w:val="-2"/>
              </w:rPr>
              <w:t>和资本充</w:t>
            </w:r>
            <w:r>
              <w:rPr/>
              <w:t xml:space="preserve"> </w:t>
            </w:r>
            <w:r>
              <w:rPr>
                <w:spacing w:val="-3"/>
              </w:rPr>
              <w:t>足率专项</w:t>
            </w:r>
            <w:r>
              <w:rPr>
                <w:spacing w:val="2"/>
              </w:rPr>
              <w:t xml:space="preserve"> </w:t>
            </w:r>
            <w:r>
              <w:rPr>
                <w:spacing w:val="-2"/>
              </w:rPr>
              <w:t>验资</w:t>
            </w:r>
          </w:p>
        </w:tc>
        <w:tc>
          <w:tcPr>
            <w:tcW w:w="1129" w:type="dxa"/>
            <w:vAlign w:val="top"/>
          </w:tcPr>
          <w:p>
            <w:pPr>
              <w:pStyle w:val="TableText"/>
              <w:ind w:left="30" w:right="43" w:firstLine="20"/>
              <w:spacing w:before="92" w:line="244" w:lineRule="auto"/>
              <w:rPr/>
            </w:pPr>
            <w:r>
              <w:rPr>
                <w:spacing w:val="20"/>
              </w:rPr>
              <w:t>(44011)基金</w:t>
            </w:r>
            <w:r>
              <w:rPr/>
              <w:t xml:space="preserve"> </w:t>
            </w:r>
            <w:r>
              <w:rPr>
                <w:spacing w:val="-1"/>
              </w:rPr>
              <w:t>托管人资格核准</w:t>
            </w:r>
          </w:p>
        </w:tc>
        <w:tc>
          <w:tcPr>
            <w:tcW w:w="819" w:type="dxa"/>
            <w:vAlign w:val="top"/>
          </w:tcPr>
          <w:p>
            <w:pPr>
              <w:pStyle w:val="TableText"/>
              <w:ind w:left="172"/>
              <w:spacing w:before="70" w:line="219" w:lineRule="auto"/>
              <w:rPr/>
            </w:pPr>
            <w:r>
              <w:rPr>
                <w:spacing w:val="-2"/>
              </w:rPr>
              <w:t>证监会</w:t>
            </w:r>
          </w:p>
        </w:tc>
        <w:tc>
          <w:tcPr>
            <w:tcW w:w="669" w:type="dxa"/>
            <w:vAlign w:val="top"/>
          </w:tcPr>
          <w:p>
            <w:pPr>
              <w:pStyle w:val="TableText"/>
              <w:ind w:left="12" w:right="19"/>
              <w:spacing w:before="82" w:line="260"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24"/>
              <w:spacing w:before="80" w:line="260" w:lineRule="auto"/>
              <w:rPr/>
            </w:pPr>
            <w:r>
              <w:rPr>
                <w:spacing w:val="-7"/>
              </w:rPr>
              <w:t>1. 《中华人民共和国证券投资基金法》第三十三条：担任基金托管人，应当具备</w:t>
            </w:r>
            <w:r>
              <w:rPr>
                <w:spacing w:val="-8"/>
              </w:rPr>
              <w:t>下列条件；(一)</w:t>
            </w:r>
            <w:r>
              <w:rPr/>
              <w:t xml:space="preserve"> </w:t>
            </w:r>
            <w:r>
              <w:rPr>
                <w:spacing w:val="-2"/>
              </w:rPr>
              <w:t>净资产和风险控制指标符合有关规定。2. 《证券投资基金托管业务管理办法》(证监会令第  </w:t>
            </w:r>
            <w:r>
              <w:rPr>
                <w:spacing w:val="1"/>
              </w:rPr>
              <w:t>92号)第十一条：申请人应当向中国证监会报送下列申请材料，同时抄报中国银监会；(二)</w:t>
            </w:r>
            <w:r>
              <w:rPr>
                <w:spacing w:val="3"/>
              </w:rPr>
              <w:t xml:space="preserve">  </w:t>
            </w:r>
            <w:r>
              <w:rPr>
                <w:spacing w:val="-3"/>
              </w:rPr>
              <w:t>具有证券业务资格的会计师事务所出具的净资产和资本充足率专项验资报告。3. 《非银行金</w:t>
            </w:r>
            <w:r>
              <w:rPr>
                <w:spacing w:val="8"/>
              </w:rPr>
              <w:t xml:space="preserve">  </w:t>
            </w:r>
            <w:r>
              <w:rPr>
                <w:spacing w:val="-1"/>
              </w:rPr>
              <w:t>融机构机构开展证券投资基金托管业务暂行规定》(证监会公告〔2013〕15号)第六条：非</w:t>
            </w:r>
          </w:p>
          <w:p>
            <w:pPr>
              <w:pStyle w:val="TableText"/>
              <w:ind w:left="34"/>
              <w:spacing w:before="43" w:line="219" w:lineRule="auto"/>
              <w:rPr/>
            </w:pPr>
            <w:r>
              <w:rPr/>
              <w:t>银行金融机构申请开展基金托管业务，应当向中国证监会报送下列申请材</w:t>
            </w:r>
            <w:r>
              <w:rPr>
                <w:spacing w:val="-1"/>
              </w:rPr>
              <w:t>料：(二)具有证</w:t>
            </w:r>
          </w:p>
          <w:p>
            <w:pPr>
              <w:pStyle w:val="TableText"/>
              <w:ind w:left="24" w:right="49" w:firstLine="10"/>
              <w:spacing w:before="42" w:line="238" w:lineRule="auto"/>
              <w:rPr/>
            </w:pPr>
            <w:r>
              <w:rPr/>
              <w:t>券业务资格的会计师事务所出具的净资产专项验资报告，风险控制指标持续</w:t>
            </w:r>
            <w:r>
              <w:rPr>
                <w:spacing w:val="-1"/>
              </w:rPr>
              <w:t>符合监管部门有</w:t>
            </w:r>
            <w:r>
              <w:rPr/>
              <w:t xml:space="preserve"> </w:t>
            </w:r>
            <w:r>
              <w:rPr>
                <w:spacing w:val="-1"/>
              </w:rPr>
              <w:t>关规定的说明。</w:t>
            </w:r>
          </w:p>
        </w:tc>
      </w:tr>
      <w:tr>
        <w:trPr>
          <w:trHeight w:val="1133" w:hRule="atLeast"/>
        </w:trPr>
        <w:tc>
          <w:tcPr>
            <w:tcW w:w="295" w:type="dxa"/>
            <w:vAlign w:val="top"/>
          </w:tcPr>
          <w:p>
            <w:pPr>
              <w:pStyle w:val="TableText"/>
              <w:ind w:left="65"/>
              <w:spacing w:before="112" w:line="184" w:lineRule="auto"/>
              <w:rPr/>
            </w:pPr>
            <w:r>
              <w:rPr>
                <w:spacing w:val="-3"/>
              </w:rPr>
              <w:t>71</w:t>
            </w:r>
          </w:p>
        </w:tc>
        <w:tc>
          <w:tcPr>
            <w:tcW w:w="649" w:type="dxa"/>
            <w:vAlign w:val="top"/>
          </w:tcPr>
          <w:p>
            <w:pPr>
              <w:pStyle w:val="TableText"/>
              <w:ind w:left="10" w:right="22"/>
              <w:spacing w:before="77" w:line="257" w:lineRule="auto"/>
              <w:jc w:val="both"/>
              <w:rPr/>
            </w:pPr>
            <w:r>
              <w:rPr>
                <w:spacing w:val="1"/>
              </w:rPr>
              <w:t>出具公开 </w:t>
            </w:r>
            <w:r>
              <w:rPr>
                <w:spacing w:val="-2"/>
              </w:rPr>
              <w:t>募集基金</w:t>
            </w:r>
            <w:r>
              <w:rPr>
                <w:spacing w:val="1"/>
              </w:rPr>
              <w:t xml:space="preserve"> </w:t>
            </w:r>
            <w:r>
              <w:rPr>
                <w:spacing w:val="-2"/>
              </w:rPr>
              <w:t>募集申请</w:t>
            </w:r>
            <w:r>
              <w:rPr>
                <w:spacing w:val="1"/>
              </w:rPr>
              <w:t xml:space="preserve"> </w:t>
            </w:r>
            <w:r>
              <w:rPr>
                <w:spacing w:val="-2"/>
              </w:rPr>
              <w:t>法律意见</w:t>
            </w:r>
            <w:r>
              <w:rPr/>
              <w:t xml:space="preserve"> </w:t>
            </w:r>
            <w:r>
              <w:rPr/>
              <w:t>书</w:t>
            </w:r>
          </w:p>
        </w:tc>
        <w:tc>
          <w:tcPr>
            <w:tcW w:w="1129" w:type="dxa"/>
            <w:vAlign w:val="top"/>
          </w:tcPr>
          <w:p>
            <w:pPr>
              <w:pStyle w:val="TableText"/>
              <w:ind w:left="30" w:right="17" w:firstLine="20"/>
              <w:spacing w:before="95" w:line="241" w:lineRule="auto"/>
              <w:jc w:val="both"/>
              <w:rPr/>
            </w:pPr>
            <w:r>
              <w:rPr>
                <w:spacing w:val="20"/>
              </w:rPr>
              <w:t>(44012)公开</w:t>
            </w:r>
            <w:r>
              <w:rPr/>
              <w:t xml:space="preserve"> </w:t>
            </w:r>
            <w:r>
              <w:rPr>
                <w:spacing w:val="2"/>
              </w:rPr>
              <w:t>募集基金募集申</w:t>
            </w:r>
            <w:r>
              <w:rPr>
                <w:spacing w:val="5"/>
              </w:rPr>
              <w:t xml:space="preserve"> </w:t>
            </w:r>
            <w:r>
              <w:rPr>
                <w:spacing w:val="-2"/>
              </w:rPr>
              <w:t>请注册</w:t>
            </w:r>
          </w:p>
        </w:tc>
        <w:tc>
          <w:tcPr>
            <w:tcW w:w="819" w:type="dxa"/>
            <w:vAlign w:val="top"/>
          </w:tcPr>
          <w:p>
            <w:pPr>
              <w:pStyle w:val="TableText"/>
              <w:ind w:left="172"/>
              <w:spacing w:before="73" w:line="219" w:lineRule="auto"/>
              <w:rPr/>
            </w:pPr>
            <w:r>
              <w:rPr>
                <w:spacing w:val="-2"/>
              </w:rPr>
              <w:t>证监会</w:t>
            </w:r>
          </w:p>
        </w:tc>
        <w:tc>
          <w:tcPr>
            <w:tcW w:w="669" w:type="dxa"/>
            <w:vAlign w:val="top"/>
          </w:tcPr>
          <w:p>
            <w:pPr>
              <w:pStyle w:val="TableText"/>
              <w:ind w:left="12" w:right="41" w:firstLine="10"/>
              <w:spacing w:before="63" w:line="246" w:lineRule="auto"/>
              <w:rPr/>
            </w:pPr>
            <w:r>
              <w:rPr>
                <w:spacing w:val="-2"/>
              </w:rPr>
              <w:t>律师事务</w:t>
            </w:r>
            <w:r>
              <w:rPr>
                <w:spacing w:val="1"/>
              </w:rPr>
              <w:t xml:space="preserve"> </w:t>
            </w:r>
            <w:r>
              <w:rPr/>
              <w:t>所</w:t>
            </w:r>
          </w:p>
        </w:tc>
        <w:tc>
          <w:tcPr>
            <w:tcW w:w="6088" w:type="dxa"/>
            <w:vAlign w:val="top"/>
          </w:tcPr>
          <w:p>
            <w:pPr>
              <w:pStyle w:val="TableText"/>
              <w:ind w:left="35" w:right="85" w:hanging="35"/>
              <w:spacing w:before="73" w:line="245" w:lineRule="auto"/>
              <w:rPr/>
            </w:pPr>
            <w:r>
              <w:rPr/>
              <w:t>《中华人民共和国证券投资基金法》第五十一条；注册公开募集基金，</w:t>
            </w:r>
            <w:r>
              <w:rPr>
                <w:spacing w:val="-1"/>
              </w:rPr>
              <w:t>由拟任基金管理人向</w:t>
            </w:r>
            <w:r>
              <w:rPr/>
              <w:t xml:space="preserve"> </w:t>
            </w:r>
            <w:r>
              <w:rPr>
                <w:spacing w:val="-4"/>
              </w:rPr>
              <w:t>国务院证券监督管理机构提交下列文件；    (五)律师事务所出具的法律意见书</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68512" behindDoc="0" locked="0" layoutInCell="0" allowOverlap="1">
                <wp:simplePos x="0" y="0"/>
                <wp:positionH relativeFrom="page">
                  <wp:posOffset>455787</wp:posOffset>
                </wp:positionH>
                <wp:positionV relativeFrom="page">
                  <wp:posOffset>617749</wp:posOffset>
                </wp:positionV>
                <wp:extent cx="180975" cy="165100"/>
                <wp:effectExtent l="0" t="0" r="0" b="0"/>
                <wp:wrapNone/>
                <wp:docPr id="436" name="TextBox 436"/>
                <wp:cNvGraphicFramePr/>
                <a:graphic>
                  <a:graphicData uri="http://schemas.microsoft.com/office/word/2010/wordprocessingShape">
                    <wps:wsp>
                      <wps:cNvSpPr txBox="1"/>
                      <wps:spPr>
                        <a:xfrm rot="5400000">
                          <a:off x="455787" y="617749"/>
                          <a:ext cx="18097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306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8" style="position:absolute;margin-left:35.8887pt;margin-top:48.6417pt;mso-position-vertical-relative:page;mso-position-horizontal-relative:page;width:14.25pt;height:13pt;z-index:251968512;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306</w:t>
                      </w:r>
                    </w:p>
                  </w:txbxContent>
                </v:textbox>
              </v:shape>
            </w:pict>
          </mc:Fallback>
        </mc:AlternateContent>
      </w:r>
      <w:r/>
    </w:p>
    <w:p>
      <w:pPr>
        <w:spacing w:before="51"/>
        <w:rPr/>
      </w:pPr>
      <w:r/>
    </w:p>
    <w:tbl>
      <w:tblPr>
        <w:tblStyle w:val="TableNormal"/>
        <w:tblW w:w="965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39"/>
        <w:gridCol w:w="659"/>
        <w:gridCol w:w="6088"/>
      </w:tblGrid>
      <w:tr>
        <w:trPr>
          <w:trHeight w:val="474" w:hRule="atLeast"/>
        </w:trPr>
        <w:tc>
          <w:tcPr>
            <w:tcW w:w="295" w:type="dxa"/>
            <w:vAlign w:val="top"/>
            <w:textDirection w:val="tbRlV"/>
          </w:tcPr>
          <w:p>
            <w:pPr>
              <w:pStyle w:val="TableText"/>
              <w:ind w:left="47"/>
              <w:spacing w:before="70" w:line="217" w:lineRule="auto"/>
              <w:rPr/>
            </w:pPr>
            <w:r>
              <w:rPr>
                <w:spacing w:val="-2"/>
              </w:rPr>
              <w:t>序 号</w:t>
            </w:r>
          </w:p>
        </w:tc>
        <w:tc>
          <w:tcPr>
            <w:tcW w:w="669" w:type="dxa"/>
            <w:vAlign w:val="top"/>
          </w:tcPr>
          <w:p>
            <w:pPr>
              <w:pStyle w:val="TableText"/>
              <w:ind w:left="20" w:right="32"/>
              <w:spacing w:before="60"/>
              <w:rPr/>
            </w:pPr>
            <w:r>
              <w:rPr>
                <w:spacing w:val="1"/>
              </w:rPr>
              <w:t>中介服务 </w:t>
            </w:r>
            <w:r>
              <w:rPr>
                <w:spacing w:val="-2"/>
              </w:rPr>
              <w:t>事项名称</w:t>
            </w:r>
          </w:p>
        </w:tc>
        <w:tc>
          <w:tcPr>
            <w:tcW w:w="1109" w:type="dxa"/>
            <w:vAlign w:val="top"/>
          </w:tcPr>
          <w:p>
            <w:pPr>
              <w:pStyle w:val="TableText"/>
              <w:ind w:left="239" w:right="35" w:hanging="219"/>
              <w:spacing w:before="71" w:line="233"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065" w:hRule="atLeast"/>
        </w:trPr>
        <w:tc>
          <w:tcPr>
            <w:tcW w:w="295" w:type="dxa"/>
            <w:vAlign w:val="top"/>
          </w:tcPr>
          <w:p>
            <w:pPr>
              <w:pStyle w:val="TableText"/>
              <w:ind w:left="65"/>
              <w:spacing w:before="175" w:line="183" w:lineRule="auto"/>
              <w:rPr/>
            </w:pPr>
            <w:r>
              <w:rPr>
                <w:spacing w:val="-3"/>
              </w:rPr>
              <w:t>72</w:t>
            </w:r>
          </w:p>
        </w:tc>
        <w:tc>
          <w:tcPr>
            <w:tcW w:w="669" w:type="dxa"/>
            <w:vAlign w:val="top"/>
          </w:tcPr>
          <w:p>
            <w:pPr>
              <w:pStyle w:val="TableText"/>
              <w:ind w:left="10" w:firstLine="8"/>
              <w:spacing w:before="135" w:line="265" w:lineRule="auto"/>
              <w:jc w:val="both"/>
              <w:rPr/>
            </w:pPr>
            <w:r>
              <w:rPr>
                <w:spacing w:val="-13"/>
              </w:rPr>
              <w:t>出具期货</w:t>
            </w:r>
            <w:r>
              <w:rPr/>
              <w:t xml:space="preserve">  </w:t>
            </w:r>
            <w:r>
              <w:rPr>
                <w:spacing w:val="-17"/>
                <w:w w:val="95"/>
              </w:rPr>
              <w:t>公</w:t>
            </w:r>
            <w:r>
              <w:rPr>
                <w:spacing w:val="19"/>
              </w:rPr>
              <w:t xml:space="preserve"> </w:t>
            </w:r>
            <w:r>
              <w:rPr>
                <w:spacing w:val="-17"/>
                <w:w w:val="95"/>
              </w:rPr>
              <w:t>司</w:t>
            </w:r>
            <w:r>
              <w:rPr>
                <w:spacing w:val="16"/>
              </w:rPr>
              <w:t xml:space="preserve"> </w:t>
            </w:r>
            <w:r>
              <w:rPr>
                <w:spacing w:val="-17"/>
                <w:w w:val="95"/>
              </w:rPr>
              <w:t>设</w:t>
            </w:r>
            <w:r>
              <w:rPr/>
              <w:t xml:space="preserve">  </w:t>
            </w:r>
            <w:r>
              <w:rPr>
                <w:spacing w:val="-21"/>
              </w:rPr>
              <w:t>立、合并、</w:t>
            </w:r>
            <w:r>
              <w:rPr>
                <w:spacing w:val="2"/>
              </w:rPr>
              <w:t xml:space="preserve"> </w:t>
            </w:r>
            <w:r>
              <w:rPr>
                <w:spacing w:val="-15"/>
              </w:rPr>
              <w:t>分立、停</w:t>
            </w:r>
            <w:r>
              <w:rPr/>
              <w:t xml:space="preserve">  </w:t>
            </w:r>
            <w:r>
              <w:rPr>
                <w:spacing w:val="-15"/>
              </w:rPr>
              <w:t>业、解散</w:t>
            </w:r>
            <w:r>
              <w:rPr>
                <w:spacing w:val="1"/>
              </w:rPr>
              <w:t xml:space="preserve">  </w:t>
            </w:r>
            <w:r>
              <w:rPr>
                <w:spacing w:val="-12"/>
                <w:w w:val="93"/>
              </w:rPr>
              <w:t>或</w:t>
            </w:r>
            <w:r>
              <w:rPr>
                <w:spacing w:val="16"/>
              </w:rPr>
              <w:t xml:space="preserve"> </w:t>
            </w:r>
            <w:r>
              <w:rPr>
                <w:spacing w:val="-12"/>
                <w:w w:val="93"/>
              </w:rPr>
              <w:t>者</w:t>
            </w:r>
            <w:r>
              <w:rPr>
                <w:spacing w:val="13"/>
              </w:rPr>
              <w:t xml:space="preserve"> </w:t>
            </w:r>
            <w:r>
              <w:rPr>
                <w:spacing w:val="-12"/>
                <w:w w:val="93"/>
              </w:rPr>
              <w:t>破</w:t>
            </w:r>
            <w:r>
              <w:rPr/>
              <w:t xml:space="preserve">  </w:t>
            </w:r>
            <w:r>
              <w:rPr>
                <w:spacing w:val="-15"/>
              </w:rPr>
              <w:t>产，变更</w:t>
            </w:r>
            <w:r>
              <w:rPr/>
              <w:t xml:space="preserve">  </w:t>
            </w:r>
            <w:r>
              <w:rPr>
                <w:spacing w:val="-13"/>
                <w:w w:val="96"/>
              </w:rPr>
              <w:t>业</w:t>
            </w:r>
            <w:r>
              <w:rPr>
                <w:spacing w:val="4"/>
              </w:rPr>
              <w:t xml:space="preserve"> </w:t>
            </w:r>
            <w:r>
              <w:rPr>
                <w:spacing w:val="-13"/>
                <w:w w:val="96"/>
              </w:rPr>
              <w:t>务</w:t>
            </w:r>
            <w:r>
              <w:rPr>
                <w:spacing w:val="7"/>
              </w:rPr>
              <w:t xml:space="preserve"> </w:t>
            </w:r>
            <w:r>
              <w:rPr>
                <w:spacing w:val="-13"/>
                <w:w w:val="96"/>
              </w:rPr>
              <w:t>范</w:t>
            </w:r>
            <w:r>
              <w:rPr/>
              <w:t xml:space="preserve">  </w:t>
            </w:r>
            <w:r>
              <w:rPr>
                <w:spacing w:val="-12"/>
              </w:rPr>
              <w:t>围、注册</w:t>
            </w:r>
            <w:r>
              <w:rPr/>
              <w:t xml:space="preserve">  </w:t>
            </w:r>
            <w:r>
              <w:rPr>
                <w:spacing w:val="-13"/>
              </w:rPr>
              <w:t>资本、5%</w:t>
            </w:r>
            <w:r>
              <w:rPr/>
              <w:t xml:space="preserve">  </w:t>
            </w:r>
            <w:r>
              <w:rPr>
                <w:spacing w:val="-12"/>
              </w:rPr>
              <w:t>以上股权</w:t>
            </w:r>
            <w:r>
              <w:rPr/>
              <w:t xml:space="preserve">  </w:t>
            </w:r>
            <w:r>
              <w:rPr>
                <w:spacing w:val="-14"/>
                <w:w w:val="99"/>
              </w:rPr>
              <w:t>法律意见</w:t>
            </w:r>
            <w:r>
              <w:rPr>
                <w:spacing w:val="1"/>
              </w:rPr>
              <w:t xml:space="preserve">  </w:t>
            </w:r>
            <w:r>
              <w:rPr/>
              <w:t>书</w:t>
            </w:r>
          </w:p>
        </w:tc>
        <w:tc>
          <w:tcPr>
            <w:tcW w:w="1109" w:type="dxa"/>
            <w:vAlign w:val="top"/>
          </w:tcPr>
          <w:p>
            <w:pPr>
              <w:pStyle w:val="TableText"/>
              <w:ind w:left="131"/>
              <w:spacing w:before="136" w:line="219" w:lineRule="auto"/>
              <w:rPr/>
            </w:pPr>
            <w:r>
              <w:rPr/>
              <w:t>(44014)期货</w:t>
            </w:r>
          </w:p>
          <w:p>
            <w:pPr>
              <w:pStyle w:val="TableText"/>
              <w:spacing w:before="23" w:line="219" w:lineRule="auto"/>
              <w:jc w:val="right"/>
              <w:rPr/>
            </w:pPr>
            <w:r>
              <w:rPr>
                <w:spacing w:val="-14"/>
              </w:rPr>
              <w:t>公司设立、合并、</w:t>
            </w:r>
          </w:p>
          <w:p>
            <w:pPr>
              <w:pStyle w:val="TableText"/>
              <w:ind w:left="20"/>
              <w:spacing w:before="42" w:line="220" w:lineRule="auto"/>
              <w:rPr/>
            </w:pPr>
            <w:r>
              <w:rPr>
                <w:spacing w:val="-1"/>
              </w:rPr>
              <w:t>分立、停业、解</w:t>
            </w:r>
          </w:p>
          <w:p>
            <w:pPr>
              <w:pStyle w:val="TableText"/>
              <w:ind w:left="20"/>
              <w:spacing w:before="40" w:line="219" w:lineRule="auto"/>
              <w:rPr/>
            </w:pPr>
            <w:r>
              <w:rPr>
                <w:spacing w:val="-1"/>
              </w:rPr>
              <w:t>散或者破产，变</w:t>
            </w:r>
          </w:p>
          <w:p>
            <w:pPr>
              <w:pStyle w:val="TableText"/>
              <w:ind w:left="20"/>
              <w:spacing w:before="42" w:line="219" w:lineRule="auto"/>
              <w:rPr/>
            </w:pPr>
            <w:r>
              <w:rPr>
                <w:spacing w:val="-1"/>
              </w:rPr>
              <w:t>更业务范围、注</w:t>
            </w:r>
          </w:p>
          <w:p>
            <w:pPr>
              <w:pStyle w:val="TableText"/>
              <w:ind w:left="90"/>
              <w:spacing w:before="41" w:line="219" w:lineRule="auto"/>
              <w:rPr/>
            </w:pPr>
            <w:r>
              <w:rPr>
                <w:spacing w:val="-1"/>
              </w:rPr>
              <w:t>册资本、5%以</w:t>
            </w:r>
          </w:p>
          <w:p>
            <w:pPr>
              <w:pStyle w:val="TableText"/>
              <w:ind w:left="90"/>
              <w:spacing w:before="43" w:line="219" w:lineRule="auto"/>
              <w:rPr/>
            </w:pPr>
            <w:r>
              <w:rPr>
                <w:spacing w:val="-1"/>
              </w:rPr>
              <w:t>上股权的审批</w:t>
            </w:r>
          </w:p>
        </w:tc>
        <w:tc>
          <w:tcPr>
            <w:tcW w:w="839" w:type="dxa"/>
            <w:vAlign w:val="top"/>
          </w:tcPr>
          <w:p>
            <w:pPr>
              <w:pStyle w:val="TableText"/>
              <w:ind w:left="182"/>
              <w:spacing w:before="116" w:line="219" w:lineRule="auto"/>
              <w:rPr/>
            </w:pPr>
            <w:r>
              <w:rPr>
                <w:spacing w:val="-2"/>
              </w:rPr>
              <w:t>证监会</w:t>
            </w:r>
          </w:p>
        </w:tc>
        <w:tc>
          <w:tcPr>
            <w:tcW w:w="659" w:type="dxa"/>
            <w:vAlign w:val="top"/>
          </w:tcPr>
          <w:p>
            <w:pPr>
              <w:pStyle w:val="TableText"/>
              <w:ind w:left="12" w:right="31" w:firstLine="10"/>
              <w:spacing w:before="106" w:line="252" w:lineRule="auto"/>
              <w:rPr/>
            </w:pPr>
            <w:r>
              <w:rPr>
                <w:spacing w:val="-2"/>
              </w:rPr>
              <w:t>律师事务</w:t>
            </w:r>
            <w:r>
              <w:rPr>
                <w:spacing w:val="1"/>
              </w:rPr>
              <w:t xml:space="preserve"> </w:t>
            </w:r>
            <w:r>
              <w:rPr/>
              <w:t>所</w:t>
            </w:r>
          </w:p>
        </w:tc>
        <w:tc>
          <w:tcPr>
            <w:tcW w:w="6088" w:type="dxa"/>
            <w:vAlign w:val="top"/>
          </w:tcPr>
          <w:p>
            <w:pPr>
              <w:pStyle w:val="TableText"/>
              <w:ind w:left="34" w:right="23" w:firstLine="39"/>
              <w:spacing w:before="127" w:line="253" w:lineRule="auto"/>
              <w:rPr/>
            </w:pPr>
            <w:r>
              <w:rPr>
                <w:spacing w:val="-2"/>
              </w:rPr>
              <w:t>1. 《期货交易管理条例》(国务院令第489号)第十六条：申请设立期货公司，应当符合《中</w:t>
            </w:r>
            <w:r>
              <w:rPr>
                <w:spacing w:val="3"/>
              </w:rPr>
              <w:t xml:space="preserve">  </w:t>
            </w:r>
            <w:r>
              <w:rPr>
                <w:spacing w:val="-3"/>
              </w:rPr>
              <w:t>华人民共和国公司法》的规定，并具备下列条件：    (三)有符合法律、行政法规规定的公司</w:t>
            </w:r>
            <w:r>
              <w:rPr>
                <w:spacing w:val="1"/>
              </w:rPr>
              <w:t xml:space="preserve"> </w:t>
            </w:r>
            <w:r>
              <w:rPr/>
              <w:t>章程；(四)主要股东以及实际控制人具有持续盈利能力，信誉良好，最近3年无重</w:t>
            </w:r>
            <w:r>
              <w:rPr>
                <w:spacing w:val="-1"/>
              </w:rPr>
              <w:t>大违法</w:t>
            </w:r>
          </w:p>
          <w:p>
            <w:pPr>
              <w:pStyle w:val="TableText"/>
              <w:ind w:left="24"/>
              <w:spacing w:before="42" w:line="219" w:lineRule="auto"/>
              <w:rPr/>
            </w:pPr>
            <w:r>
              <w:rPr>
                <w:spacing w:val="-2"/>
              </w:rPr>
              <w:t>违规记录。2. 《期货公司监督管理办法》(证监会令第110号)第十一条：申请设立期货公</w:t>
            </w:r>
          </w:p>
          <w:p>
            <w:pPr>
              <w:pStyle w:val="TableText"/>
              <w:ind w:left="34"/>
              <w:spacing w:before="42" w:line="219" w:lineRule="auto"/>
              <w:rPr/>
            </w:pPr>
            <w:r>
              <w:rPr/>
              <w:t>司，应当向中国证监会提交下列申请材料：(八)律师事务所</w:t>
            </w:r>
            <w:r>
              <w:rPr>
                <w:spacing w:val="-1"/>
              </w:rPr>
              <w:t>出具的法律意见书。第十九条</w:t>
            </w:r>
          </w:p>
          <w:p>
            <w:pPr>
              <w:pStyle w:val="TableText"/>
              <w:ind w:left="24" w:right="51" w:firstLine="10"/>
              <w:spacing w:before="41" w:line="245" w:lineRule="auto"/>
              <w:rPr/>
            </w:pPr>
            <w:r>
              <w:rPr>
                <w:spacing w:val="-4"/>
              </w:rPr>
              <w:t>期货公司变更股权，有本办法第十七条所列情形的，应当提交下列相关申请材料：</w:t>
            </w:r>
            <w:r>
              <w:rPr>
                <w:spacing w:val="25"/>
              </w:rPr>
              <w:t xml:space="preserve">   </w:t>
            </w:r>
            <w:r>
              <w:rPr>
                <w:spacing w:val="-4"/>
              </w:rPr>
              <w:t>(七)律</w:t>
            </w:r>
            <w:r>
              <w:rPr>
                <w:spacing w:val="1"/>
              </w:rPr>
              <w:t xml:space="preserve"> </w:t>
            </w:r>
            <w:r>
              <w:rPr>
                <w:spacing w:val="-1"/>
              </w:rPr>
              <w:t>师事务所出具的法律意见书</w:t>
            </w:r>
          </w:p>
        </w:tc>
      </w:tr>
      <w:tr>
        <w:trPr>
          <w:trHeight w:val="2610" w:hRule="atLeast"/>
        </w:trPr>
        <w:tc>
          <w:tcPr>
            <w:tcW w:w="295" w:type="dxa"/>
            <w:vAlign w:val="top"/>
          </w:tcPr>
          <w:p>
            <w:pPr>
              <w:pStyle w:val="TableText"/>
              <w:ind w:left="65"/>
              <w:spacing w:before="180" w:line="183" w:lineRule="auto"/>
              <w:rPr/>
            </w:pPr>
            <w:r>
              <w:rPr>
                <w:spacing w:val="-3"/>
              </w:rPr>
              <w:t>73</w:t>
            </w:r>
          </w:p>
        </w:tc>
        <w:tc>
          <w:tcPr>
            <w:tcW w:w="669" w:type="dxa"/>
            <w:vAlign w:val="top"/>
          </w:tcPr>
          <w:p>
            <w:pPr>
              <w:pStyle w:val="TableText"/>
              <w:ind w:left="10" w:firstLine="9"/>
              <w:spacing w:before="121" w:line="264" w:lineRule="auto"/>
              <w:jc w:val="both"/>
              <w:rPr/>
            </w:pPr>
            <w:r>
              <w:rPr>
                <w:spacing w:val="-10"/>
              </w:rPr>
              <w:t>期货公司</w:t>
            </w:r>
            <w:r>
              <w:rPr/>
              <w:t xml:space="preserve">  </w:t>
            </w:r>
            <w:r>
              <w:rPr>
                <w:spacing w:val="-15"/>
              </w:rPr>
              <w:t>设立、合</w:t>
            </w:r>
            <w:r>
              <w:rPr>
                <w:spacing w:val="1"/>
              </w:rPr>
              <w:t xml:space="preserve">  </w:t>
            </w:r>
            <w:r>
              <w:rPr>
                <w:spacing w:val="-21"/>
              </w:rPr>
              <w:t>并、分立、</w:t>
            </w:r>
            <w:r>
              <w:rPr>
                <w:spacing w:val="2"/>
              </w:rPr>
              <w:t xml:space="preserve"> </w:t>
            </w:r>
            <w:r>
              <w:rPr>
                <w:spacing w:val="-14"/>
              </w:rPr>
              <w:t>停业、解</w:t>
            </w:r>
            <w:r>
              <w:rPr/>
              <w:t xml:space="preserve">  </w:t>
            </w:r>
            <w:r>
              <w:rPr>
                <w:spacing w:val="-11"/>
                <w:w w:val="98"/>
              </w:rPr>
              <w:t>散或者破</w:t>
            </w:r>
            <w:r>
              <w:rPr/>
              <w:t xml:space="preserve">  </w:t>
            </w:r>
            <w:r>
              <w:rPr>
                <w:spacing w:val="-14"/>
              </w:rPr>
              <w:t>产，变更</w:t>
            </w:r>
            <w:r>
              <w:rPr/>
              <w:t xml:space="preserve">  </w:t>
            </w:r>
            <w:r>
              <w:rPr>
                <w:spacing w:val="-13"/>
                <w:w w:val="96"/>
              </w:rPr>
              <w:t>业</w:t>
            </w:r>
            <w:r>
              <w:rPr>
                <w:spacing w:val="7"/>
              </w:rPr>
              <w:t xml:space="preserve"> </w:t>
            </w:r>
            <w:r>
              <w:rPr>
                <w:spacing w:val="-13"/>
                <w:w w:val="96"/>
              </w:rPr>
              <w:t>务</w:t>
            </w:r>
            <w:r>
              <w:rPr>
                <w:spacing w:val="7"/>
              </w:rPr>
              <w:t xml:space="preserve"> </w:t>
            </w:r>
            <w:r>
              <w:rPr>
                <w:spacing w:val="-13"/>
                <w:w w:val="96"/>
              </w:rPr>
              <w:t>范</w:t>
            </w:r>
            <w:r>
              <w:rPr/>
              <w:t xml:space="preserve">  </w:t>
            </w:r>
            <w:r>
              <w:rPr>
                <w:spacing w:val="-11"/>
              </w:rPr>
              <w:t>围、注册</w:t>
            </w:r>
            <w:r>
              <w:rPr/>
              <w:t xml:space="preserve">  </w:t>
            </w:r>
            <w:r>
              <w:rPr>
                <w:spacing w:val="-13"/>
              </w:rPr>
              <w:t>资本、5%</w:t>
            </w:r>
            <w:r>
              <w:rPr>
                <w:spacing w:val="1"/>
              </w:rPr>
              <w:t xml:space="preserve">  </w:t>
            </w:r>
            <w:r>
              <w:rPr>
                <w:spacing w:val="-12"/>
              </w:rPr>
              <w:t>以上股权</w:t>
            </w:r>
            <w:r>
              <w:rPr>
                <w:spacing w:val="1"/>
              </w:rPr>
              <w:t xml:space="preserve">  </w:t>
            </w:r>
            <w:r>
              <w:rPr>
                <w:spacing w:val="-9"/>
              </w:rPr>
              <w:t>审计</w:t>
            </w:r>
          </w:p>
        </w:tc>
        <w:tc>
          <w:tcPr>
            <w:tcW w:w="1109" w:type="dxa"/>
            <w:vAlign w:val="top"/>
          </w:tcPr>
          <w:p>
            <w:pPr>
              <w:pStyle w:val="TableText"/>
              <w:ind w:left="20" w:right="33" w:firstLine="20"/>
              <w:spacing w:before="120" w:line="262" w:lineRule="auto"/>
              <w:rPr/>
            </w:pPr>
            <w:r>
              <w:rPr>
                <w:spacing w:val="20"/>
              </w:rPr>
              <w:t>(44014)期货</w:t>
            </w:r>
            <w:r>
              <w:rPr>
                <w:spacing w:val="5"/>
              </w:rPr>
              <w:t xml:space="preserve"> </w:t>
            </w:r>
            <w:r>
              <w:rPr>
                <w:spacing w:val="-2"/>
              </w:rPr>
              <w:t>公司设立、合并</w:t>
            </w:r>
            <w:r>
              <w:rPr>
                <w:spacing w:val="2"/>
              </w:rPr>
              <w:t xml:space="preserve"> </w:t>
            </w:r>
            <w:r>
              <w:rPr>
                <w:spacing w:val="-2"/>
              </w:rPr>
              <w:t>分立、停业、解</w:t>
            </w:r>
            <w:r>
              <w:rPr>
                <w:spacing w:val="5"/>
              </w:rPr>
              <w:t xml:space="preserve"> </w:t>
            </w:r>
            <w:r>
              <w:rPr>
                <w:spacing w:val="-1"/>
              </w:rPr>
              <w:t>散或者破产，变</w:t>
            </w:r>
            <w:r>
              <w:rPr/>
              <w:t xml:space="preserve"> </w:t>
            </w:r>
            <w:r>
              <w:rPr>
                <w:spacing w:val="-2"/>
              </w:rPr>
              <w:t>更业务范围、注</w:t>
            </w:r>
            <w:r>
              <w:rPr>
                <w:spacing w:val="5"/>
              </w:rPr>
              <w:t xml:space="preserve"> </w:t>
            </w:r>
            <w:r>
              <w:rPr>
                <w:spacing w:val="9"/>
              </w:rPr>
              <w:t>册资本、5%以</w:t>
            </w:r>
            <w:r>
              <w:rPr/>
              <w:t xml:space="preserve">  </w:t>
            </w:r>
            <w:r>
              <w:rPr/>
              <w:t>上股权的审批</w:t>
            </w:r>
          </w:p>
        </w:tc>
        <w:tc>
          <w:tcPr>
            <w:tcW w:w="839" w:type="dxa"/>
            <w:vAlign w:val="top"/>
          </w:tcPr>
          <w:p>
            <w:pPr>
              <w:pStyle w:val="TableText"/>
              <w:ind w:left="182"/>
              <w:spacing w:before="101" w:line="219" w:lineRule="auto"/>
              <w:rPr/>
            </w:pPr>
            <w:r>
              <w:rPr>
                <w:spacing w:val="-2"/>
              </w:rPr>
              <w:t>证监会</w:t>
            </w:r>
          </w:p>
        </w:tc>
        <w:tc>
          <w:tcPr>
            <w:tcW w:w="659" w:type="dxa"/>
            <w:vAlign w:val="top"/>
          </w:tcPr>
          <w:p>
            <w:pPr>
              <w:pStyle w:val="TableText"/>
              <w:ind w:left="12" w:right="9"/>
              <w:spacing w:before="123" w:line="260"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34" w:right="37"/>
              <w:spacing w:before="121" w:line="244" w:lineRule="auto"/>
              <w:rPr/>
            </w:pPr>
            <w:r>
              <w:rPr>
                <w:spacing w:val="-2"/>
              </w:rPr>
              <w:t>1. 《中华人民共和国公司法》第一百六十四条：公司应当在每一会计年度终了时编制财务会</w:t>
            </w:r>
            <w:r>
              <w:rPr>
                <w:spacing w:val="14"/>
              </w:rPr>
              <w:t xml:space="preserve"> </w:t>
            </w:r>
            <w:r>
              <w:rPr>
                <w:spacing w:val="-2"/>
              </w:rPr>
              <w:t>计报告，并依法经会计师事务所审计。2. 《期货交易管理条例》(国务院令第48</w:t>
            </w:r>
            <w:r>
              <w:rPr>
                <w:spacing w:val="-3"/>
              </w:rPr>
              <w:t>9号)第</w:t>
            </w:r>
          </w:p>
          <w:p>
            <w:pPr>
              <w:pStyle w:val="TableText"/>
              <w:ind w:left="34"/>
              <w:spacing w:before="33" w:line="219" w:lineRule="auto"/>
              <w:rPr/>
            </w:pPr>
            <w:r>
              <w:rPr/>
              <w:t>十六条；申请设立期货公司，应当符合《中华人民共和国公司法》的规定</w:t>
            </w:r>
            <w:r>
              <w:rPr>
                <w:spacing w:val="-1"/>
              </w:rPr>
              <w:t>，并具备下列条件</w:t>
            </w:r>
          </w:p>
          <w:p>
            <w:pPr>
              <w:pStyle w:val="TableText"/>
              <w:ind w:left="34" w:right="146" w:firstLine="109"/>
              <w:spacing w:before="51" w:line="245" w:lineRule="auto"/>
              <w:rPr/>
            </w:pPr>
            <w:r>
              <w:rPr/>
              <w:t>(四)主要股东以及实际控制人具有持续盈利能力，信誉良好，最近3年无重大违法违规记</w:t>
            </w:r>
            <w:r>
              <w:rPr>
                <w:spacing w:val="11"/>
              </w:rPr>
              <w:t xml:space="preserve"> </w:t>
            </w:r>
            <w:r>
              <w:rPr>
                <w:spacing w:val="-2"/>
              </w:rPr>
              <w:t>录。3. 《期货公司监督管理办法》(证监会令第110号)第十一条：申请设立期货公司，应</w:t>
            </w:r>
          </w:p>
          <w:p>
            <w:pPr>
              <w:pStyle w:val="TableText"/>
              <w:ind w:left="34" w:right="9" w:firstLine="39"/>
              <w:spacing w:before="42" w:line="257" w:lineRule="auto"/>
              <w:rPr/>
            </w:pPr>
            <w:r>
              <w:rPr/>
              <w:t>当向中国证监会提交下列申请材料；(四)发起人名单及其审计报告或者个人</w:t>
            </w:r>
            <w:r>
              <w:rPr>
                <w:spacing w:val="-1"/>
              </w:rPr>
              <w:t>金融资产证明。</w:t>
            </w:r>
            <w:r>
              <w:rPr/>
              <w:t xml:space="preserve"> </w:t>
            </w:r>
            <w:r>
              <w:rPr/>
              <w:t>第十九条：期货公司变更股权，有本办法第十七条所列情形的，应当提交下</w:t>
            </w:r>
            <w:r>
              <w:rPr>
                <w:spacing w:val="-1"/>
              </w:rPr>
              <w:t>列相关申请材料</w:t>
            </w:r>
            <w:r>
              <w:rPr/>
              <w:t xml:space="preserve"> </w:t>
            </w:r>
            <w:r>
              <w:rPr>
                <w:spacing w:val="3"/>
              </w:rPr>
              <w:t>(六)所涉及股东的审计报告或者个人金融资产证明</w:t>
            </w:r>
          </w:p>
        </w:tc>
      </w:tr>
    </w:tbl>
    <w:p>
      <w:pPr>
        <w:pStyle w:val="BodyText"/>
        <w:rPr/>
      </w:pPr>
      <w:r/>
    </w:p>
    <w:p>
      <w:pPr>
        <w:sectPr>
          <w:pgSz w:w="11910" w:h="8220"/>
          <w:pgMar w:top="400" w:right="1125" w:bottom="400" w:left="801" w:header="0" w:footer="0" w:gutter="0"/>
        </w:sectPr>
        <w:rPr/>
      </w:pPr>
    </w:p>
    <w:p>
      <w:pPr>
        <w:spacing w:before="213"/>
        <w:rPr/>
      </w:pPr>
      <w:r>
        <mc:AlternateContent xmlns:mc="http://schemas.openxmlformats.org/markup-compatibility/2006">
          <mc:Choice Requires="wps">
            <w:drawing>
              <wp:anchor distT="0" distB="0" distL="0" distR="0" simplePos="0" relativeHeight="251969536"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38" name="TextBox 438"/>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0" style="position:absolute;margin-left:37.0722pt;margin-top:345.103pt;mso-position-vertical-relative:page;mso-position-horizontal-relative:page;width:13.55pt;height:12.35pt;z-index:2519695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307</w:t>
                      </w:r>
                    </w:p>
                  </w:txbxContent>
                </v:textbox>
              </v:shape>
            </w:pict>
          </mc:Fallback>
        </mc:AlternateContent>
      </w: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1129"/>
        <w:gridCol w:w="819"/>
        <w:gridCol w:w="669"/>
        <w:gridCol w:w="6088"/>
      </w:tblGrid>
      <w:tr>
        <w:trPr>
          <w:trHeight w:val="474" w:hRule="atLeast"/>
        </w:trPr>
        <w:tc>
          <w:tcPr>
            <w:tcW w:w="295" w:type="dxa"/>
            <w:vAlign w:val="top"/>
            <w:textDirection w:val="tbRlV"/>
          </w:tcPr>
          <w:p>
            <w:pPr>
              <w:pStyle w:val="TableText"/>
              <w:ind w:left="62"/>
              <w:spacing w:before="75" w:line="210" w:lineRule="auto"/>
              <w:rPr/>
            </w:pPr>
            <w:r>
              <w:rPr>
                <w:spacing w:val="19"/>
              </w:rPr>
              <w:t>序号</w:t>
            </w:r>
          </w:p>
        </w:tc>
        <w:tc>
          <w:tcPr>
            <w:tcW w:w="649" w:type="dxa"/>
            <w:vAlign w:val="top"/>
          </w:tcPr>
          <w:p>
            <w:pPr>
              <w:pStyle w:val="TableText"/>
              <w:ind w:left="10" w:right="22"/>
              <w:spacing w:before="60" w:line="246" w:lineRule="auto"/>
              <w:rPr/>
            </w:pPr>
            <w:r>
              <w:rPr>
                <w:spacing w:val="1"/>
              </w:rPr>
              <w:t>中介服务 </w:t>
            </w:r>
            <w:r>
              <w:rPr>
                <w:spacing w:val="-2"/>
              </w:rPr>
              <w:t>事项名称</w:t>
            </w:r>
          </w:p>
        </w:tc>
        <w:tc>
          <w:tcPr>
            <w:tcW w:w="1129" w:type="dxa"/>
            <w:vAlign w:val="top"/>
          </w:tcPr>
          <w:p>
            <w:pPr>
              <w:pStyle w:val="TableText"/>
              <w:ind w:left="249" w:right="45" w:hanging="219"/>
              <w:spacing w:before="62" w:line="245"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797" w:hRule="atLeast"/>
        </w:trPr>
        <w:tc>
          <w:tcPr>
            <w:tcW w:w="295" w:type="dxa"/>
            <w:vAlign w:val="top"/>
          </w:tcPr>
          <w:p>
            <w:pPr>
              <w:pStyle w:val="TableText"/>
              <w:ind w:left="65"/>
              <w:spacing w:before="135" w:line="183" w:lineRule="auto"/>
              <w:rPr/>
            </w:pPr>
            <w:r>
              <w:rPr>
                <w:spacing w:val="-3"/>
              </w:rPr>
              <w:t>74</w:t>
            </w:r>
          </w:p>
        </w:tc>
        <w:tc>
          <w:tcPr>
            <w:tcW w:w="649" w:type="dxa"/>
            <w:vAlign w:val="top"/>
          </w:tcPr>
          <w:p>
            <w:pPr>
              <w:pStyle w:val="TableText"/>
              <w:ind w:left="10" w:right="8"/>
              <w:spacing w:before="64" w:line="263" w:lineRule="auto"/>
              <w:jc w:val="both"/>
              <w:rPr/>
            </w:pPr>
            <w:r>
              <w:rPr>
                <w:spacing w:val="2"/>
              </w:rPr>
              <w:t>出具期货 </w:t>
            </w:r>
            <w:r>
              <w:rPr>
                <w:spacing w:val="5"/>
              </w:rPr>
              <w:t>公司境内</w:t>
            </w:r>
            <w:r>
              <w:rPr/>
              <w:t xml:space="preserve"> </w:t>
            </w:r>
            <w:r>
              <w:rPr>
                <w:spacing w:val="-2"/>
              </w:rPr>
              <w:t>及境外期</w:t>
            </w:r>
            <w:r>
              <w:rPr>
                <w:spacing w:val="1"/>
              </w:rPr>
              <w:t xml:space="preserve"> </w:t>
            </w:r>
            <w:r>
              <w:rPr>
                <w:spacing w:val="-3"/>
              </w:rPr>
              <w:t>货经纪业</w:t>
            </w:r>
            <w:r>
              <w:rPr>
                <w:spacing w:val="1"/>
              </w:rPr>
              <w:t xml:space="preserve"> </w:t>
            </w:r>
            <w:r>
              <w:rPr>
                <w:spacing w:val="-2"/>
              </w:rPr>
              <w:t>务、期货</w:t>
            </w:r>
            <w:r>
              <w:rPr/>
              <w:t xml:space="preserve"> </w:t>
            </w:r>
            <w:r>
              <w:rPr>
                <w:spacing w:val="-2"/>
              </w:rPr>
              <w:t>投资咨询</w:t>
            </w:r>
            <w:r>
              <w:rPr/>
              <w:t xml:space="preserve"> </w:t>
            </w:r>
            <w:r>
              <w:rPr>
                <w:spacing w:val="-2"/>
              </w:rPr>
              <w:t>业务法律</w:t>
            </w:r>
            <w:r>
              <w:rPr>
                <w:spacing w:val="1"/>
              </w:rPr>
              <w:t xml:space="preserve"> </w:t>
            </w:r>
            <w:r>
              <w:rPr>
                <w:spacing w:val="-3"/>
              </w:rPr>
              <w:t>意见书</w:t>
            </w:r>
          </w:p>
        </w:tc>
        <w:tc>
          <w:tcPr>
            <w:tcW w:w="1129" w:type="dxa"/>
            <w:vAlign w:val="top"/>
          </w:tcPr>
          <w:p>
            <w:pPr>
              <w:pStyle w:val="TableText"/>
              <w:ind w:left="30" w:firstLine="106"/>
              <w:spacing w:before="64" w:line="261" w:lineRule="auto"/>
              <w:rPr/>
            </w:pPr>
            <w:r>
              <w:rPr>
                <w:spacing w:val="-3"/>
              </w:rPr>
              <w:t>(44015)期货</w:t>
            </w:r>
            <w:r>
              <w:rPr>
                <w:spacing w:val="1"/>
              </w:rPr>
              <w:t xml:space="preserve">   </w:t>
            </w:r>
            <w:r>
              <w:rPr>
                <w:spacing w:val="-7"/>
              </w:rPr>
              <w:t>公司境内及境外</w:t>
            </w:r>
            <w:r>
              <w:rPr>
                <w:spacing w:val="1"/>
              </w:rPr>
              <w:t xml:space="preserve">  </w:t>
            </w:r>
            <w:r>
              <w:rPr>
                <w:spacing w:val="5"/>
              </w:rPr>
              <w:t>期货经纪业务、</w:t>
            </w:r>
            <w:r>
              <w:rPr>
                <w:spacing w:val="2"/>
              </w:rPr>
              <w:t xml:space="preserve"> </w:t>
            </w:r>
            <w:r>
              <w:rPr>
                <w:spacing w:val="-6"/>
              </w:rPr>
              <w:t>期货投资咨询业</w:t>
            </w:r>
            <w:r>
              <w:rPr/>
              <w:t xml:space="preserve">  </w:t>
            </w:r>
            <w:r>
              <w:rPr>
                <w:spacing w:val="-5"/>
              </w:rPr>
              <w:t>务许可</w:t>
            </w:r>
          </w:p>
        </w:tc>
        <w:tc>
          <w:tcPr>
            <w:tcW w:w="819" w:type="dxa"/>
            <w:vAlign w:val="top"/>
          </w:tcPr>
          <w:p>
            <w:pPr>
              <w:pStyle w:val="TableText"/>
              <w:ind w:left="172"/>
              <w:spacing w:before="56" w:line="219" w:lineRule="auto"/>
              <w:rPr/>
            </w:pPr>
            <w:r>
              <w:rPr>
                <w:spacing w:val="-2"/>
              </w:rPr>
              <w:t>证监会</w:t>
            </w:r>
          </w:p>
        </w:tc>
        <w:tc>
          <w:tcPr>
            <w:tcW w:w="669" w:type="dxa"/>
            <w:vAlign w:val="top"/>
          </w:tcPr>
          <w:p>
            <w:pPr>
              <w:pStyle w:val="TableText"/>
              <w:ind w:left="12" w:right="41" w:firstLine="10"/>
              <w:spacing w:before="66"/>
              <w:rPr/>
            </w:pPr>
            <w:r>
              <w:rPr>
                <w:spacing w:val="-2"/>
              </w:rPr>
              <w:t>律师事务</w:t>
            </w:r>
            <w:r>
              <w:rPr>
                <w:spacing w:val="1"/>
              </w:rPr>
              <w:t xml:space="preserve"> </w:t>
            </w:r>
            <w:r>
              <w:rPr/>
              <w:t>所</w:t>
            </w:r>
          </w:p>
        </w:tc>
        <w:tc>
          <w:tcPr>
            <w:tcW w:w="6088" w:type="dxa"/>
            <w:vAlign w:val="top"/>
          </w:tcPr>
          <w:p>
            <w:pPr>
              <w:pStyle w:val="TableText"/>
              <w:ind w:left="34" w:right="51" w:firstLine="79"/>
              <w:spacing w:before="76" w:line="245" w:lineRule="auto"/>
              <w:rPr/>
            </w:pPr>
            <w:r>
              <w:rPr>
                <w:spacing w:val="-2"/>
              </w:rPr>
              <w:t>1. 《期货公司期货投资咨询业务试行办法》(证监会令第70号)第七条：期货公司申请期货</w:t>
            </w:r>
            <w:r>
              <w:rPr>
                <w:spacing w:val="5"/>
              </w:rPr>
              <w:t xml:space="preserve">  </w:t>
            </w:r>
            <w:r>
              <w:rPr>
                <w:spacing w:val="-4"/>
              </w:rPr>
              <w:t>投资咨询业务资格，应当提交下列申请材料：</w:t>
            </w:r>
            <w:r>
              <w:rPr>
                <w:spacing w:val="25"/>
              </w:rPr>
              <w:t xml:space="preserve">   </w:t>
            </w:r>
            <w:r>
              <w:rPr>
                <w:spacing w:val="-4"/>
              </w:rPr>
              <w:t>(九)律师事务所就期货公司是否符合本办法</w:t>
            </w:r>
          </w:p>
          <w:p>
            <w:pPr>
              <w:pStyle w:val="TableText"/>
              <w:ind w:left="113"/>
              <w:spacing w:before="42" w:line="219" w:lineRule="auto"/>
              <w:rPr/>
            </w:pPr>
            <w:r>
              <w:rPr/>
              <w:t>第六条第(三)、(五)项规定的条件，以及股东会决议是否合法出具的法律意</w:t>
            </w:r>
            <w:r>
              <w:rPr>
                <w:spacing w:val="-1"/>
              </w:rPr>
              <w:t>见书。2.</w:t>
            </w:r>
            <w:r>
              <w:rPr>
                <w:spacing w:val="-40"/>
              </w:rPr>
              <w:t xml:space="preserve"> </w:t>
            </w:r>
            <w:r>
              <w:rPr>
                <w:spacing w:val="-1"/>
              </w:rPr>
              <w:t>《期</w:t>
            </w:r>
          </w:p>
          <w:p>
            <w:pPr>
              <w:pStyle w:val="TableText"/>
              <w:ind w:left="24" w:right="142" w:firstLine="119"/>
              <w:spacing w:before="41" w:line="245" w:lineRule="auto"/>
              <w:rPr/>
            </w:pPr>
            <w:r>
              <w:rPr/>
              <w:t>货公司监督管理办法》(证监会令第110号)第十五条：期货公司申请金融期货经纪业务资</w:t>
            </w:r>
            <w:r>
              <w:rPr>
                <w:spacing w:val="15"/>
              </w:rPr>
              <w:t xml:space="preserve"> </w:t>
            </w:r>
            <w:r>
              <w:rPr>
                <w:spacing w:val="-4"/>
              </w:rPr>
              <w:t>格，应当向中国证监会提交下列申请材料：    (八)律师事务所出具的法律意见书</w:t>
            </w:r>
          </w:p>
        </w:tc>
      </w:tr>
      <w:tr>
        <w:trPr>
          <w:trHeight w:val="1787" w:hRule="atLeast"/>
        </w:trPr>
        <w:tc>
          <w:tcPr>
            <w:tcW w:w="295" w:type="dxa"/>
            <w:vAlign w:val="top"/>
          </w:tcPr>
          <w:p>
            <w:pPr>
              <w:pStyle w:val="TableText"/>
              <w:ind w:left="65"/>
              <w:spacing w:before="119" w:line="182" w:lineRule="auto"/>
              <w:rPr/>
            </w:pPr>
            <w:r>
              <w:rPr>
                <w:spacing w:val="-3"/>
              </w:rPr>
              <w:t>75</w:t>
            </w:r>
          </w:p>
        </w:tc>
        <w:tc>
          <w:tcPr>
            <w:tcW w:w="649" w:type="dxa"/>
            <w:vAlign w:val="top"/>
          </w:tcPr>
          <w:p>
            <w:pPr>
              <w:pStyle w:val="TableText"/>
              <w:ind w:left="10"/>
              <w:spacing w:before="59" w:line="262" w:lineRule="auto"/>
              <w:jc w:val="both"/>
              <w:rPr/>
            </w:pPr>
            <w:r>
              <w:rPr>
                <w:spacing w:val="-6"/>
              </w:rPr>
              <w:t>期货公司 </w:t>
            </w:r>
            <w:r>
              <w:rPr>
                <w:spacing w:val="-12"/>
              </w:rPr>
              <w:t>境内及境</w:t>
            </w:r>
            <w:r>
              <w:rPr/>
              <w:t xml:space="preserve">  </w:t>
            </w:r>
            <w:r>
              <w:rPr>
                <w:spacing w:val="-13"/>
              </w:rPr>
              <w:t>外期货经</w:t>
            </w:r>
            <w:r>
              <w:rPr/>
              <w:t xml:space="preserve">  </w:t>
            </w:r>
            <w:r>
              <w:rPr>
                <w:spacing w:val="-1"/>
              </w:rPr>
              <w:t>纪业务</w:t>
            </w:r>
            <w:r>
              <w:rPr>
                <w:spacing w:val="-44"/>
              </w:rPr>
              <w:t xml:space="preserve"> </w:t>
            </w:r>
            <w:r>
              <w:rPr>
                <w:spacing w:val="-1"/>
              </w:rPr>
              <w:t>、</w:t>
            </w:r>
            <w:r>
              <w:rPr/>
              <w:t xml:space="preserve"> </w:t>
            </w:r>
            <w:r>
              <w:rPr>
                <w:spacing w:val="-12"/>
              </w:rPr>
              <w:t>期货投资</w:t>
            </w:r>
            <w:r>
              <w:rPr/>
              <w:t xml:space="preserve">  </w:t>
            </w:r>
            <w:r>
              <w:rPr>
                <w:spacing w:val="-12"/>
                <w:w w:val="99"/>
              </w:rPr>
              <w:t>咨询业务</w:t>
            </w:r>
            <w:r>
              <w:rPr/>
              <w:t xml:space="preserve">  </w:t>
            </w:r>
            <w:r>
              <w:rPr>
                <w:spacing w:val="-9"/>
              </w:rPr>
              <w:t>审计</w:t>
            </w:r>
          </w:p>
        </w:tc>
        <w:tc>
          <w:tcPr>
            <w:tcW w:w="1129" w:type="dxa"/>
            <w:vAlign w:val="top"/>
          </w:tcPr>
          <w:p>
            <w:pPr>
              <w:pStyle w:val="TableText"/>
              <w:ind w:left="30" w:firstLine="106"/>
              <w:spacing w:before="68" w:line="256" w:lineRule="auto"/>
              <w:rPr/>
            </w:pPr>
            <w:r>
              <w:rPr>
                <w:spacing w:val="-3"/>
              </w:rPr>
              <w:t>(44015)期货</w:t>
            </w:r>
            <w:r>
              <w:rPr>
                <w:spacing w:val="1"/>
              </w:rPr>
              <w:t xml:space="preserve">   </w:t>
            </w:r>
            <w:r>
              <w:rPr>
                <w:spacing w:val="-7"/>
              </w:rPr>
              <w:t>公司境内及境外</w:t>
            </w:r>
            <w:r>
              <w:rPr>
                <w:spacing w:val="1"/>
              </w:rPr>
              <w:t xml:space="preserve">  </w:t>
            </w:r>
            <w:r>
              <w:rPr>
                <w:spacing w:val="5"/>
              </w:rPr>
              <w:t>期货经纪业务、</w:t>
            </w:r>
            <w:r>
              <w:rPr>
                <w:spacing w:val="2"/>
              </w:rPr>
              <w:t xml:space="preserve"> </w:t>
            </w:r>
            <w:r>
              <w:rPr>
                <w:spacing w:val="-6"/>
              </w:rPr>
              <w:t>期货投资咨询业</w:t>
            </w:r>
            <w:r>
              <w:rPr/>
              <w:t xml:space="preserve">  </w:t>
            </w:r>
            <w:r>
              <w:rPr>
                <w:spacing w:val="-5"/>
              </w:rPr>
              <w:t>务许可</w:t>
            </w:r>
          </w:p>
        </w:tc>
        <w:tc>
          <w:tcPr>
            <w:tcW w:w="819" w:type="dxa"/>
            <w:vAlign w:val="top"/>
          </w:tcPr>
          <w:p>
            <w:pPr>
              <w:pStyle w:val="TableText"/>
              <w:ind w:left="172"/>
              <w:spacing w:before="39" w:line="219" w:lineRule="auto"/>
              <w:rPr/>
            </w:pPr>
            <w:r>
              <w:rPr>
                <w:spacing w:val="-2"/>
              </w:rPr>
              <w:t>证监会</w:t>
            </w:r>
          </w:p>
        </w:tc>
        <w:tc>
          <w:tcPr>
            <w:tcW w:w="669" w:type="dxa"/>
            <w:vAlign w:val="top"/>
          </w:tcPr>
          <w:p>
            <w:pPr>
              <w:pStyle w:val="TableText"/>
              <w:ind w:left="12" w:right="19"/>
              <w:spacing w:before="61" w:line="260"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34" w:right="37"/>
              <w:spacing w:before="70" w:line="249" w:lineRule="auto"/>
              <w:rPr/>
            </w:pPr>
            <w:r>
              <w:rPr>
                <w:spacing w:val="-2"/>
              </w:rPr>
              <w:t>1. 《中华人民共和国公司法》第一百六十四条；公司应当在每一会计年度终了时编制财务会</w:t>
            </w:r>
            <w:r>
              <w:rPr>
                <w:spacing w:val="14"/>
              </w:rPr>
              <w:t xml:space="preserve"> </w:t>
            </w:r>
            <w:r>
              <w:rPr>
                <w:spacing w:val="-1"/>
              </w:rPr>
              <w:t>计报告，并依法经会计师事务所审计。2. 《期货公司期货投资咨询业务试行办</w:t>
            </w:r>
            <w:r>
              <w:rPr>
                <w:spacing w:val="-2"/>
              </w:rPr>
              <w:t>法》(证监会 </w:t>
            </w:r>
            <w:r>
              <w:rPr>
                <w:spacing w:val="1"/>
              </w:rPr>
              <w:t>令第70号)第七条：期货公司申请期货投资咨询业务资格</w:t>
            </w:r>
            <w:r>
              <w:rPr/>
              <w:t>，应当提交下列申请材料；(八)</w:t>
            </w:r>
          </w:p>
          <w:p>
            <w:pPr>
              <w:pStyle w:val="TableText"/>
              <w:ind w:left="14" w:firstLine="19"/>
              <w:spacing w:before="51" w:line="256" w:lineRule="auto"/>
              <w:rPr/>
            </w:pPr>
            <w:r>
              <w:rPr>
                <w:spacing w:val="-1"/>
              </w:rPr>
              <w:t>经具有证券、期货相关业务资格的会计师事务所审计的前一年度财务报告；申请日在下半年</w:t>
            </w:r>
            <w:r>
              <w:rPr>
                <w:spacing w:val="1"/>
              </w:rPr>
              <w:t xml:space="preserve">  </w:t>
            </w:r>
            <w:r>
              <w:rPr>
                <w:spacing w:val="-2"/>
              </w:rPr>
              <w:t>的，还应当提供经审计的半年度财务报告。3. 《期货公司监督管理办法》(证监会令第110号</w:t>
            </w:r>
            <w:r>
              <w:rPr>
                <w:spacing w:val="2"/>
              </w:rPr>
              <w:t xml:space="preserve">  </w:t>
            </w:r>
            <w:r>
              <w:rPr>
                <w:spacing w:val="-2"/>
              </w:rPr>
              <w:t>第十五条：期货公司申请金融期货经纪业务资格，应当向中国证监会提交下列申请材料</w:t>
            </w:r>
            <w:r>
              <w:rPr>
                <w:spacing w:val="-3"/>
              </w:rPr>
              <w:t>：(七)</w:t>
            </w:r>
            <w:r>
              <w:rPr/>
              <w:t xml:space="preserve"> </w:t>
            </w:r>
            <w:r>
              <w:rPr/>
              <w:t>控股股东经具有证券、期货相关业务资格的会计师事务所</w:t>
            </w:r>
            <w:r>
              <w:rPr>
                <w:spacing w:val="-1"/>
              </w:rPr>
              <w:t>审计的最近一期财务报告或者个人</w:t>
            </w:r>
            <w:r>
              <w:rPr/>
              <w:t xml:space="preserve">  </w:t>
            </w:r>
            <w:r>
              <w:rPr>
                <w:spacing w:val="1"/>
              </w:rPr>
              <w:t>金融资产证明。</w:t>
            </w:r>
          </w:p>
        </w:tc>
      </w:tr>
      <w:tr>
        <w:trPr>
          <w:trHeight w:val="2222" w:hRule="atLeast"/>
        </w:trPr>
        <w:tc>
          <w:tcPr>
            <w:tcW w:w="295" w:type="dxa"/>
            <w:vAlign w:val="top"/>
          </w:tcPr>
          <w:p>
            <w:pPr>
              <w:pStyle w:val="TableText"/>
              <w:ind w:left="65"/>
              <w:spacing w:before="111" w:line="183" w:lineRule="auto"/>
              <w:rPr/>
            </w:pPr>
            <w:r>
              <w:rPr>
                <w:spacing w:val="-3"/>
              </w:rPr>
              <w:t>76</w:t>
            </w:r>
          </w:p>
        </w:tc>
        <w:tc>
          <w:tcPr>
            <w:tcW w:w="649" w:type="dxa"/>
            <w:vAlign w:val="top"/>
          </w:tcPr>
          <w:p>
            <w:pPr>
              <w:pStyle w:val="TableText"/>
              <w:ind w:left="10"/>
              <w:spacing w:before="64" w:line="221" w:lineRule="auto"/>
              <w:rPr/>
            </w:pPr>
            <w:r>
              <w:rPr>
                <w:spacing w:val="5"/>
              </w:rPr>
              <w:t>出具公司</w:t>
            </w:r>
          </w:p>
          <w:p>
            <w:pPr>
              <w:pStyle w:val="TableText"/>
              <w:ind w:left="10"/>
              <w:spacing w:before="40" w:line="220" w:lineRule="auto"/>
              <w:rPr/>
            </w:pPr>
            <w:r>
              <w:rPr>
                <w:spacing w:val="-2"/>
              </w:rPr>
              <w:t>公开发行</w:t>
            </w:r>
          </w:p>
          <w:p>
            <w:pPr>
              <w:pStyle w:val="TableText"/>
              <w:ind w:right="2"/>
              <w:spacing w:before="42" w:line="221" w:lineRule="auto"/>
              <w:jc w:val="right"/>
              <w:rPr/>
            </w:pPr>
            <w:r>
              <w:rPr>
                <w:spacing w:val="-10"/>
              </w:rPr>
              <w:t>(</w:t>
            </w:r>
            <w:r>
              <w:rPr>
                <w:spacing w:val="-31"/>
              </w:rPr>
              <w:t xml:space="preserve"> </w:t>
            </w:r>
            <w:r>
              <w:rPr>
                <w:spacing w:val="-10"/>
              </w:rPr>
              <w:t>A</w:t>
            </w:r>
            <w:r>
              <w:rPr>
                <w:spacing w:val="-27"/>
              </w:rPr>
              <w:t xml:space="preserve"> </w:t>
            </w:r>
            <w:r>
              <w:rPr>
                <w:spacing w:val="-10"/>
              </w:rPr>
              <w:t>股</w:t>
            </w:r>
            <w:r>
              <w:rPr>
                <w:spacing w:val="-32"/>
              </w:rPr>
              <w:t xml:space="preserve"> </w:t>
            </w:r>
            <w:r>
              <w:rPr>
                <w:spacing w:val="-10"/>
              </w:rPr>
              <w:t>、</w:t>
            </w:r>
          </w:p>
          <w:p>
            <w:pPr>
              <w:pStyle w:val="TableText"/>
              <w:spacing w:before="30" w:line="221" w:lineRule="auto"/>
              <w:rPr/>
            </w:pPr>
            <w:r>
              <w:rPr>
                <w:spacing w:val="-4"/>
              </w:rPr>
              <w:t>B</w:t>
            </w:r>
            <w:r>
              <w:rPr>
                <w:spacing w:val="-10"/>
              </w:rPr>
              <w:t xml:space="preserve"> </w:t>
            </w:r>
            <w:r>
              <w:rPr>
                <w:spacing w:val="-4"/>
              </w:rPr>
              <w:t>股</w:t>
            </w:r>
            <w:r>
              <w:rPr>
                <w:spacing w:val="-10"/>
              </w:rPr>
              <w:t xml:space="preserve"> </w:t>
            </w:r>
            <w:r>
              <w:rPr>
                <w:spacing w:val="-4"/>
              </w:rPr>
              <w:t>)</w:t>
            </w:r>
            <w:r>
              <w:rPr>
                <w:spacing w:val="-9"/>
              </w:rPr>
              <w:t xml:space="preserve"> </w:t>
            </w:r>
            <w:r>
              <w:rPr>
                <w:spacing w:val="-4"/>
              </w:rPr>
              <w:t>法</w:t>
            </w:r>
          </w:p>
          <w:p>
            <w:pPr>
              <w:pStyle w:val="TableText"/>
              <w:ind w:left="10"/>
              <w:spacing w:before="48" w:line="219" w:lineRule="auto"/>
              <w:rPr/>
            </w:pPr>
            <w:r>
              <w:rPr>
                <w:spacing w:val="-6"/>
              </w:rPr>
              <w:t>律</w:t>
            </w:r>
            <w:r>
              <w:rPr>
                <w:spacing w:val="17"/>
              </w:rPr>
              <w:t xml:space="preserve"> </w:t>
            </w:r>
            <w:r>
              <w:rPr>
                <w:spacing w:val="-6"/>
              </w:rPr>
              <w:t>意</w:t>
            </w:r>
            <w:r>
              <w:rPr>
                <w:spacing w:val="15"/>
              </w:rPr>
              <w:t xml:space="preserve"> </w:t>
            </w:r>
            <w:r>
              <w:rPr>
                <w:spacing w:val="-6"/>
              </w:rPr>
              <w:t>见</w:t>
            </w:r>
          </w:p>
          <w:p>
            <w:pPr>
              <w:pStyle w:val="TableText"/>
              <w:ind w:left="10"/>
              <w:spacing w:before="21" w:line="219" w:lineRule="auto"/>
              <w:rPr/>
            </w:pPr>
            <w:r>
              <w:rPr>
                <w:spacing w:val="-2"/>
              </w:rPr>
              <w:t>书、律师</w:t>
            </w:r>
          </w:p>
          <w:p>
            <w:pPr>
              <w:pStyle w:val="TableText"/>
              <w:ind w:left="10"/>
              <w:spacing w:before="61" w:line="218" w:lineRule="auto"/>
              <w:rPr/>
            </w:pPr>
            <w:r>
              <w:rPr>
                <w:spacing w:val="-2"/>
              </w:rPr>
              <w:t>工作报告</w:t>
            </w:r>
          </w:p>
        </w:tc>
        <w:tc>
          <w:tcPr>
            <w:tcW w:w="1129" w:type="dxa"/>
            <w:vAlign w:val="top"/>
          </w:tcPr>
          <w:p>
            <w:pPr>
              <w:pStyle w:val="TableText"/>
              <w:ind w:left="40" w:right="75" w:firstLine="100"/>
              <w:spacing w:before="63" w:line="258" w:lineRule="auto"/>
              <w:jc w:val="both"/>
              <w:rPr/>
            </w:pPr>
            <w:r>
              <w:rPr>
                <w:spacing w:val="1"/>
              </w:rPr>
              <w:t>(44028)公司</w:t>
            </w:r>
            <w:r>
              <w:rPr>
                <w:spacing w:val="2"/>
              </w:rPr>
              <w:t xml:space="preserve">  </w:t>
            </w:r>
            <w:r>
              <w:rPr>
                <w:spacing w:val="6"/>
              </w:rPr>
              <w:t>公开发行股票 </w:t>
            </w:r>
            <w:r>
              <w:rPr>
                <w:spacing w:val="-3"/>
              </w:rPr>
              <w:t>(</w:t>
            </w:r>
            <w:r>
              <w:rPr>
                <w:spacing w:val="-35"/>
              </w:rPr>
              <w:t xml:space="preserve"> </w:t>
            </w:r>
            <w:r>
              <w:rPr>
                <w:spacing w:val="-3"/>
              </w:rPr>
              <w:t>A</w:t>
            </w:r>
            <w:r>
              <w:rPr>
                <w:spacing w:val="-30"/>
              </w:rPr>
              <w:t xml:space="preserve"> </w:t>
            </w:r>
            <w:r>
              <w:rPr>
                <w:spacing w:val="-3"/>
              </w:rPr>
              <w:t>股</w:t>
            </w:r>
            <w:r>
              <w:rPr>
                <w:spacing w:val="-20"/>
              </w:rPr>
              <w:t xml:space="preserve"> </w:t>
            </w:r>
            <w:r>
              <w:rPr>
                <w:spacing w:val="-3"/>
              </w:rPr>
              <w:t>、</w:t>
            </w:r>
            <w:r>
              <w:rPr>
                <w:spacing w:val="-33"/>
              </w:rPr>
              <w:t xml:space="preserve"> </w:t>
            </w:r>
            <w:r>
              <w:rPr>
                <w:spacing w:val="-3"/>
              </w:rPr>
              <w:t>B</w:t>
            </w:r>
            <w:r>
              <w:rPr>
                <w:spacing w:val="-30"/>
              </w:rPr>
              <w:t xml:space="preserve"> </w:t>
            </w:r>
            <w:r>
              <w:rPr>
                <w:spacing w:val="-3"/>
              </w:rPr>
              <w:t>股</w:t>
            </w:r>
            <w:r>
              <w:rPr>
                <w:spacing w:val="-30"/>
              </w:rPr>
              <w:t xml:space="preserve"> </w:t>
            </w:r>
            <w:r>
              <w:rPr>
                <w:spacing w:val="-3"/>
              </w:rPr>
              <w:t>)</w:t>
            </w:r>
            <w:r>
              <w:rPr/>
              <w:t xml:space="preserve"> </w:t>
            </w:r>
            <w:r>
              <w:rPr>
                <w:spacing w:val="-2"/>
              </w:rPr>
              <w:t>核准</w:t>
            </w:r>
          </w:p>
        </w:tc>
        <w:tc>
          <w:tcPr>
            <w:tcW w:w="819" w:type="dxa"/>
            <w:vAlign w:val="top"/>
          </w:tcPr>
          <w:p>
            <w:pPr>
              <w:pStyle w:val="TableText"/>
              <w:ind w:left="172"/>
              <w:spacing w:before="52" w:line="219" w:lineRule="auto"/>
              <w:rPr/>
            </w:pPr>
            <w:r>
              <w:rPr>
                <w:spacing w:val="-2"/>
              </w:rPr>
              <w:t>证监会</w:t>
            </w:r>
          </w:p>
        </w:tc>
        <w:tc>
          <w:tcPr>
            <w:tcW w:w="669" w:type="dxa"/>
            <w:vAlign w:val="top"/>
          </w:tcPr>
          <w:p>
            <w:pPr>
              <w:pStyle w:val="TableText"/>
              <w:ind w:left="12" w:right="41" w:firstLine="10"/>
              <w:spacing w:before="63" w:line="233" w:lineRule="auto"/>
              <w:rPr/>
            </w:pPr>
            <w:r>
              <w:rPr>
                <w:spacing w:val="-2"/>
              </w:rPr>
              <w:t>律师事务</w:t>
            </w:r>
            <w:r>
              <w:rPr>
                <w:spacing w:val="1"/>
              </w:rPr>
              <w:t xml:space="preserve"> </w:t>
            </w:r>
            <w:r>
              <w:rPr/>
              <w:t>所</w:t>
            </w:r>
          </w:p>
        </w:tc>
        <w:tc>
          <w:tcPr>
            <w:tcW w:w="6088" w:type="dxa"/>
            <w:vAlign w:val="top"/>
          </w:tcPr>
          <w:p>
            <w:pPr>
              <w:pStyle w:val="TableText"/>
              <w:ind w:left="34"/>
              <w:spacing w:before="52" w:line="219" w:lineRule="auto"/>
              <w:rPr/>
            </w:pPr>
            <w:r>
              <w:rPr>
                <w:spacing w:val="-2"/>
              </w:rPr>
              <w:t>1. 《中华人民共和国证券法》第十九条：发行人依法申请核准发行证券所报送的申请文件的</w:t>
            </w:r>
          </w:p>
          <w:p>
            <w:pPr>
              <w:pStyle w:val="TableText"/>
              <w:ind w:left="14" w:firstLine="99"/>
              <w:spacing w:before="43" w:line="265" w:lineRule="auto"/>
              <w:rPr/>
            </w:pPr>
            <w:r>
              <w:rPr>
                <w:spacing w:val="-4"/>
              </w:rPr>
              <w:t>格式、报送方式，由依法负责核准的机构或者部门规定。2. 《中华人民共和国证券法》第   </w:t>
            </w:r>
            <w:r>
              <w:rPr>
                <w:spacing w:val="-2"/>
              </w:rPr>
              <w:t>一百七十三条；证券服务机构为证券发行、上市、交易等证券业务活动制作、出</w:t>
            </w:r>
            <w:r>
              <w:rPr>
                <w:spacing w:val="-3"/>
              </w:rPr>
              <w:t>具审计报告、</w:t>
            </w:r>
            <w:r>
              <w:rPr/>
              <w:t xml:space="preserve"> </w:t>
            </w:r>
            <w:r>
              <w:rPr>
                <w:spacing w:val="-2"/>
              </w:rPr>
              <w:t>资产评估报告、财务顾问报告、资信评级报告或者法律意见书等文件，应当勤勉尽责，对所  </w:t>
            </w:r>
            <w:r>
              <w:rPr>
                <w:spacing w:val="-3"/>
              </w:rPr>
              <w:t>依据的文件资料内容的真实性、准确性、完整性进行核查和验证。3. 《</w:t>
            </w:r>
            <w:r>
              <w:rPr>
                <w:spacing w:val="-4"/>
              </w:rPr>
              <w:t>律师事务所从事证券  </w:t>
            </w:r>
            <w:r>
              <w:rPr>
                <w:spacing w:val="-1"/>
              </w:rPr>
              <w:t>法律业务管理办法》(证监会令第41号)第六条；律师事务所从事证券法律业务，可以为</w:t>
            </w:r>
          </w:p>
          <w:p>
            <w:pPr>
              <w:pStyle w:val="TableText"/>
              <w:ind w:left="34" w:hanging="20"/>
              <w:spacing w:before="33" w:line="244" w:lineRule="auto"/>
              <w:rPr/>
            </w:pPr>
            <w:r>
              <w:rPr/>
              <w:t>下列事项出具法律意见：(一)首次公开发行股票及上市；(二)上</w:t>
            </w:r>
            <w:r>
              <w:rPr>
                <w:spacing w:val="-1"/>
              </w:rPr>
              <w:t>市公司发行证券并上市：(十</w:t>
            </w:r>
            <w:r>
              <w:rPr/>
              <w:t xml:space="preserve"> </w:t>
            </w:r>
            <w:r>
              <w:rPr>
                <w:spacing w:val="-2"/>
              </w:rPr>
              <w:t>中国证监会规定的其他事项。4. 《首次公开发行股票并上市管理办法》(证监会令第122号</w:t>
            </w:r>
          </w:p>
          <w:p>
            <w:pPr>
              <w:pStyle w:val="TableText"/>
              <w:ind w:left="34" w:right="28"/>
              <w:spacing w:before="41"/>
              <w:rPr/>
            </w:pPr>
            <w:r>
              <w:rPr/>
              <w:t>第三十三条：发行人应当按照中国证监会的有关规定制作申请文件，由保荐人保荐并向中国</w:t>
            </w:r>
            <w:r>
              <w:rPr>
                <w:spacing w:val="14"/>
              </w:rPr>
              <w:t xml:space="preserve"> </w:t>
            </w:r>
            <w:r>
              <w:rPr>
                <w:spacing w:val="-2"/>
              </w:rPr>
              <w:t>证监会申报。5. 《首次公开发行股票并在创业板上市管理办法》(证监会令第123号)</w:t>
            </w:r>
            <w:r>
              <w:rPr>
                <w:spacing w:val="-3"/>
              </w:rPr>
              <w:t>第二</w:t>
            </w:r>
          </w:p>
        </w:tc>
      </w:tr>
    </w:tbl>
    <w:p>
      <w:pPr>
        <w:pStyle w:val="BodyText"/>
        <w:rPr/>
      </w:pPr>
      <w:r/>
    </w:p>
    <w:p>
      <w:pPr>
        <w:sectPr>
          <w:pgSz w:w="11910" w:h="8220"/>
          <w:pgMar w:top="400" w:right="1125" w:bottom="400" w:left="821" w:header="0" w:footer="0" w:gutter="0"/>
        </w:sectPr>
        <w:rPr/>
      </w:pPr>
    </w:p>
    <w:p>
      <w:pPr>
        <w:spacing w:before="16"/>
        <w:rPr/>
      </w:pPr>
      <w:r>
        <mc:AlternateContent xmlns:mc="http://schemas.openxmlformats.org/markup-compatibility/2006">
          <mc:Choice Requires="wps">
            <w:drawing>
              <wp:anchor distT="0" distB="0" distL="0" distR="0" simplePos="0" relativeHeight="251970560"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40" name="TextBox 440"/>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2" style="position:absolute;margin-left:37.0722pt;margin-top:48.6039pt;mso-position-vertical-relative:page;mso-position-horizontal-relative:page;width:13.55pt;height:12.35pt;z-index:25197056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308</w:t>
                      </w:r>
                    </w:p>
                  </w:txbxContent>
                </v:textbox>
              </v:shape>
            </w:pict>
          </mc:Fallback>
        </mc:AlternateContent>
      </w:r>
      <w:r/>
    </w:p>
    <w:p>
      <w:pPr>
        <w:spacing w:before="16"/>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19"/>
        <w:gridCol w:w="819"/>
        <w:gridCol w:w="679"/>
        <w:gridCol w:w="6088"/>
      </w:tblGrid>
      <w:tr>
        <w:trPr>
          <w:trHeight w:val="494" w:hRule="atLeast"/>
        </w:trPr>
        <w:tc>
          <w:tcPr>
            <w:tcW w:w="295" w:type="dxa"/>
            <w:vAlign w:val="top"/>
            <w:textDirection w:val="tbRlV"/>
          </w:tcPr>
          <w:p>
            <w:pPr>
              <w:pStyle w:val="TableText"/>
              <w:ind w:left="47"/>
              <w:spacing w:before="70" w:line="217" w:lineRule="auto"/>
              <w:rPr/>
            </w:pPr>
            <w:r>
              <w:rPr/>
              <w:t>序</w:t>
            </w:r>
            <w:r>
              <w:rPr>
                <w:spacing w:val="16"/>
              </w:rPr>
              <w:t xml:space="preserve"> </w:t>
            </w:r>
            <w:r>
              <w:rPr/>
              <w:t>号</w:t>
            </w:r>
          </w:p>
        </w:tc>
        <w:tc>
          <w:tcPr>
            <w:tcW w:w="659" w:type="dxa"/>
            <w:vAlign w:val="top"/>
          </w:tcPr>
          <w:p>
            <w:pPr>
              <w:pStyle w:val="TableText"/>
              <w:ind w:left="20" w:right="22"/>
              <w:spacing w:before="70"/>
              <w:rPr/>
            </w:pPr>
            <w:r>
              <w:rPr>
                <w:spacing w:val="1"/>
              </w:rPr>
              <w:t>中介服务 </w:t>
            </w:r>
            <w:r>
              <w:rPr>
                <w:spacing w:val="-2"/>
              </w:rPr>
              <w:t>事项名称</w:t>
            </w:r>
          </w:p>
        </w:tc>
        <w:tc>
          <w:tcPr>
            <w:tcW w:w="1119" w:type="dxa"/>
            <w:vAlign w:val="top"/>
          </w:tcPr>
          <w:p>
            <w:pPr>
              <w:pStyle w:val="TableText"/>
              <w:ind w:left="249" w:right="45" w:hanging="229"/>
              <w:spacing w:before="70" w:line="252"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22"/>
              <w:spacing w:before="171" w:line="219" w:lineRule="auto"/>
              <w:rPr/>
            </w:pPr>
            <w:r>
              <w:rPr>
                <w:spacing w:val="4"/>
              </w:rPr>
              <w:t>审批部门</w:t>
            </w:r>
          </w:p>
        </w:tc>
        <w:tc>
          <w:tcPr>
            <w:tcW w:w="679" w:type="dxa"/>
            <w:vAlign w:val="top"/>
          </w:tcPr>
          <w:p>
            <w:pPr>
              <w:pStyle w:val="TableText"/>
              <w:ind w:left="62" w:right="15" w:hanging="20"/>
              <w:spacing w:before="71" w:line="238" w:lineRule="auto"/>
              <w:rPr/>
            </w:pPr>
            <w:r>
              <w:rPr>
                <w:spacing w:val="1"/>
              </w:rPr>
              <w:t>中介服务</w:t>
            </w:r>
            <w:r>
              <w:rPr>
                <w:spacing w:val="2"/>
              </w:rPr>
              <w:t xml:space="preserve"> </w:t>
            </w:r>
            <w:r>
              <w:rPr>
                <w:spacing w:val="-3"/>
              </w:rPr>
              <w:t>实施机构</w:t>
            </w:r>
          </w:p>
        </w:tc>
        <w:tc>
          <w:tcPr>
            <w:tcW w:w="6088" w:type="dxa"/>
            <w:vAlign w:val="top"/>
          </w:tcPr>
          <w:p>
            <w:pPr>
              <w:pStyle w:val="TableText"/>
              <w:ind w:left="2734"/>
              <w:spacing w:before="170" w:line="219" w:lineRule="auto"/>
              <w:rPr/>
            </w:pPr>
            <w:r>
              <w:rPr>
                <w:spacing w:val="-2"/>
              </w:rPr>
              <w:t>设定依据</w:t>
            </w:r>
          </w:p>
        </w:tc>
      </w:tr>
      <w:tr>
        <w:trPr>
          <w:trHeight w:val="5705" w:hRule="atLeast"/>
        </w:trPr>
        <w:tc>
          <w:tcPr>
            <w:tcW w:w="295" w:type="dxa"/>
            <w:vAlign w:val="top"/>
          </w:tcPr>
          <w:p>
            <w:pPr>
              <w:pStyle w:val="TableText"/>
              <w:ind w:left="65"/>
              <w:spacing w:before="75" w:line="183" w:lineRule="auto"/>
              <w:rPr/>
            </w:pPr>
            <w:r>
              <w:rPr>
                <w:spacing w:val="-3"/>
              </w:rPr>
              <w:t>76</w:t>
            </w:r>
          </w:p>
        </w:tc>
        <w:tc>
          <w:tcPr>
            <w:tcW w:w="659" w:type="dxa"/>
            <w:vAlign w:val="top"/>
          </w:tcPr>
          <w:p>
            <w:pPr>
              <w:rPr>
                <w:rFonts w:ascii="Arial"/>
                <w:sz w:val="21"/>
              </w:rPr>
            </w:pPr>
            <w:r/>
          </w:p>
        </w:tc>
        <w:tc>
          <w:tcPr>
            <w:tcW w:w="1119" w:type="dxa"/>
            <w:vAlign w:val="top"/>
          </w:tcPr>
          <w:p>
            <w:pPr>
              <w:rPr>
                <w:rFonts w:ascii="Arial"/>
                <w:sz w:val="21"/>
              </w:rPr>
            </w:pPr>
            <w:r/>
          </w:p>
        </w:tc>
        <w:tc>
          <w:tcPr>
            <w:tcW w:w="819" w:type="dxa"/>
            <w:vAlign w:val="top"/>
          </w:tcPr>
          <w:p>
            <w:pPr>
              <w:rPr>
                <w:rFonts w:ascii="Arial"/>
                <w:sz w:val="21"/>
              </w:rPr>
            </w:pPr>
            <w:r/>
          </w:p>
        </w:tc>
        <w:tc>
          <w:tcPr>
            <w:tcW w:w="679" w:type="dxa"/>
            <w:vAlign w:val="top"/>
          </w:tcPr>
          <w:p>
            <w:pPr>
              <w:rPr>
                <w:rFonts w:ascii="Arial"/>
                <w:sz w:val="21"/>
              </w:rPr>
            </w:pPr>
            <w:r/>
          </w:p>
        </w:tc>
        <w:tc>
          <w:tcPr>
            <w:tcW w:w="6088" w:type="dxa"/>
            <w:vAlign w:val="top"/>
          </w:tcPr>
          <w:p>
            <w:pPr>
              <w:pStyle w:val="TableText"/>
              <w:ind w:left="33" w:right="50"/>
              <w:spacing w:before="26" w:line="251" w:lineRule="auto"/>
              <w:rPr/>
            </w:pPr>
            <w:r>
              <w:rPr/>
              <w:t>十三条：发行人应当按照中国证监会有关规定制作申请文件，由保荐人保</w:t>
            </w:r>
            <w:r>
              <w:rPr>
                <w:spacing w:val="-1"/>
              </w:rPr>
              <w:t>荐并向中国证监会</w:t>
            </w:r>
            <w:r>
              <w:rPr/>
              <w:t xml:space="preserve"> </w:t>
            </w:r>
            <w:r>
              <w:rPr>
                <w:spacing w:val="-2"/>
              </w:rPr>
              <w:t>申报。6. 《上市公司证券发行管理办法》(证监会令第57号)第四十五条第二款：保荐人应</w:t>
            </w:r>
          </w:p>
          <w:p>
            <w:pPr>
              <w:pStyle w:val="TableText"/>
              <w:ind w:left="24" w:right="43" w:firstLine="9"/>
              <w:spacing w:before="41" w:line="245" w:lineRule="auto"/>
              <w:rPr/>
            </w:pPr>
            <w:r>
              <w:rPr>
                <w:spacing w:val="-2"/>
              </w:rPr>
              <w:t>当按照中国证监会的有关规定编制和报送发行申请文件。7. 《创业板上市公司证券发行管理</w:t>
            </w:r>
            <w:r>
              <w:rPr>
                <w:spacing w:val="8"/>
              </w:rPr>
              <w:t xml:space="preserve"> </w:t>
            </w:r>
            <w:r>
              <w:rPr/>
              <w:t>暂行办法》(证监会令第100号)第三十五条第二款：保荐人或</w:t>
            </w:r>
            <w:r>
              <w:rPr>
                <w:spacing w:val="-1"/>
              </w:rPr>
              <w:t>者上市公司应当按照中国证</w:t>
            </w:r>
          </w:p>
          <w:p>
            <w:pPr>
              <w:pStyle w:val="TableText"/>
              <w:ind w:left="24"/>
              <w:spacing w:before="42" w:line="219" w:lineRule="auto"/>
              <w:rPr/>
            </w:pPr>
            <w:r>
              <w:rPr>
                <w:spacing w:val="-2"/>
              </w:rPr>
              <w:t>监会的有关规定编制和报送发行申请文件。8. 《优先股试点管理办法》(证监会令第97号)</w:t>
            </w:r>
          </w:p>
          <w:p>
            <w:pPr>
              <w:pStyle w:val="TableText"/>
              <w:ind w:left="24" w:right="49" w:firstLine="9"/>
              <w:spacing w:before="41" w:line="258" w:lineRule="auto"/>
              <w:rPr/>
            </w:pPr>
            <w:r>
              <w:rPr/>
              <w:t>第五十条：公司应按照中国证监会有关信息披露规则编制募集优先股说明书</w:t>
            </w:r>
            <w:r>
              <w:rPr>
                <w:spacing w:val="-1"/>
              </w:rPr>
              <w:t>或其他信息披露</w:t>
            </w:r>
            <w:r>
              <w:rPr/>
              <w:t xml:space="preserve"> </w:t>
            </w:r>
            <w:r>
              <w:rPr/>
              <w:t>文件，依法履行信息披露义务。非上市公众公司非公开发行优先股的信息披露程序和要求参</w:t>
            </w:r>
            <w:r>
              <w:rPr>
                <w:spacing w:val="1"/>
              </w:rPr>
              <w:t xml:space="preserve"> </w:t>
            </w:r>
            <w:r>
              <w:rPr>
                <w:spacing w:val="-2"/>
              </w:rPr>
              <w:t>照《非上市公众公司监督管理办法》及有关监管指引的规定。9. 《非上市公众公司监督管理</w:t>
            </w:r>
            <w:r>
              <w:rPr>
                <w:spacing w:val="2"/>
              </w:rPr>
              <w:t xml:space="preserve"> </w:t>
            </w:r>
            <w:r>
              <w:rPr/>
              <w:t>办法》(证监会令第96号)第三十二条：股票向特定对象转让导致股</w:t>
            </w:r>
            <w:r>
              <w:rPr>
                <w:spacing w:val="-1"/>
              </w:rPr>
              <w:t>东累计超过200人的</w:t>
            </w:r>
          </w:p>
          <w:p>
            <w:pPr>
              <w:pStyle w:val="TableText"/>
              <w:ind w:left="33" w:right="37" w:firstLine="40"/>
              <w:spacing w:before="44" w:line="255" w:lineRule="auto"/>
              <w:rPr/>
            </w:pPr>
            <w:r>
              <w:rPr/>
              <w:t>股份有限公司，应当自上述行为发生之日起3个月内，按照</w:t>
            </w:r>
            <w:r>
              <w:rPr>
                <w:spacing w:val="-1"/>
              </w:rPr>
              <w:t>中国证监会有关规定制作申请文 </w:t>
            </w:r>
            <w:r>
              <w:rPr/>
              <w:t>件，申请文件应当包括但不限于；定向转让说明书、律师事务所出具的法律</w:t>
            </w:r>
            <w:r>
              <w:rPr>
                <w:spacing w:val="-1"/>
              </w:rPr>
              <w:t>意见书、会计师</w:t>
            </w:r>
            <w:r>
              <w:rPr/>
              <w:t xml:space="preserve"> </w:t>
            </w:r>
            <w:r>
              <w:rPr/>
              <w:t>事务所出具的审计报告。股份有限公司持申请文件向中国证监会申请核准。</w:t>
            </w:r>
            <w:r>
              <w:rPr>
                <w:spacing w:val="-1"/>
              </w:rPr>
              <w:t>在提交申请文件</w:t>
            </w:r>
            <w:r>
              <w:rPr/>
              <w:t xml:space="preserve"> </w:t>
            </w:r>
            <w:r>
              <w:rPr>
                <w:spacing w:val="1"/>
              </w:rPr>
              <w:t>前，股份有限公司应当将相关情况通知所有股东。第三十四条：股东人数超过200人的公司</w:t>
            </w:r>
            <w:r>
              <w:rPr>
                <w:spacing w:val="13"/>
              </w:rPr>
              <w:t xml:space="preserve"> </w:t>
            </w:r>
            <w:r>
              <w:rPr/>
              <w:t>申请其股票公开转让，应当按照中国证监会有关规定制作公开转让的申请文件，申请文件应</w:t>
            </w:r>
          </w:p>
          <w:p>
            <w:pPr>
              <w:pStyle w:val="TableText"/>
              <w:ind w:left="24" w:right="36" w:firstLine="9"/>
              <w:spacing w:before="41" w:line="262" w:lineRule="auto"/>
              <w:rPr/>
            </w:pPr>
            <w:r>
              <w:rPr/>
              <w:t>当包括但不限于：公开转让说明书、律师事务所出具的法律意见书、具有证券期货相关业务</w:t>
            </w:r>
            <w:r>
              <w:rPr>
                <w:spacing w:val="6"/>
              </w:rPr>
              <w:t xml:space="preserve"> </w:t>
            </w:r>
            <w:r>
              <w:rPr/>
              <w:t>资格的会计师事务所出具的审计报告、证券公司出具的推荐文件。公司持申请文件</w:t>
            </w:r>
            <w:r>
              <w:rPr>
                <w:spacing w:val="-1"/>
              </w:rPr>
              <w:t>向中国证</w:t>
            </w:r>
            <w:r>
              <w:rPr/>
              <w:t xml:space="preserve"> </w:t>
            </w:r>
            <w:r>
              <w:rPr/>
              <w:t>监会申请核准。第四十二条：公司应当按照中国证监会有关规定制作定</w:t>
            </w:r>
            <w:r>
              <w:rPr>
                <w:spacing w:val="-1"/>
              </w:rPr>
              <w:t>向发行的申请文件</w:t>
            </w:r>
          </w:p>
          <w:p>
            <w:pPr>
              <w:pStyle w:val="TableText"/>
              <w:ind w:left="33" w:right="23"/>
              <w:spacing w:before="42" w:line="260" w:lineRule="auto"/>
              <w:rPr/>
            </w:pPr>
            <w:r>
              <w:rPr/>
              <w:t>申请文件应当包括但不限于：定向发行说明书、律师事务所出具的法律意见书、具有证券其</w:t>
            </w:r>
            <w:r>
              <w:rPr>
                <w:spacing w:val="5"/>
              </w:rPr>
              <w:t xml:space="preserve"> </w:t>
            </w:r>
            <w:r>
              <w:rPr/>
              <w:t>货相关业务资格的会计师事务所出具的审计报告、证券公司出具的</w:t>
            </w:r>
            <w:r>
              <w:rPr>
                <w:spacing w:val="-1"/>
              </w:rPr>
              <w:t>推荐文件。公司持申请文</w:t>
            </w:r>
            <w:r>
              <w:rPr/>
              <w:t xml:space="preserve"> </w:t>
            </w:r>
            <w:r>
              <w:rPr>
                <w:spacing w:val="-1"/>
              </w:rPr>
              <w:t>件向中国证监会申请核准。10. 《非上市公众公司重大资产重组管理办法》(证</w:t>
            </w:r>
            <w:r>
              <w:rPr>
                <w:spacing w:val="-2"/>
              </w:rPr>
              <w:t>监会令第103</w:t>
            </w:r>
            <w:r>
              <w:rPr/>
              <w:t xml:space="preserve">  </w:t>
            </w:r>
            <w:r>
              <w:rPr>
                <w:spacing w:val="1"/>
              </w:rPr>
              <w:t>号)第六条；公众公司实施重大资产重组，应当聘请独立财务顾问</w:t>
            </w:r>
            <w:r>
              <w:rPr/>
              <w:t>、律师事务所以及具有证  </w:t>
            </w:r>
            <w:r>
              <w:rPr>
                <w:spacing w:val="1"/>
              </w:rPr>
              <w:t>券、期货相关业务资格的会计师事务所等证</w:t>
            </w:r>
            <w:r>
              <w:rPr/>
              <w:t>券服务机构出具相关意见。第十九条；公众公司 </w:t>
            </w:r>
            <w:r>
              <w:rPr/>
              <w:t>向特定对象发行股份购买资产后股东累计超过200人的重大资产重组，经股东大会决议后</w:t>
            </w:r>
          </w:p>
          <w:p>
            <w:pPr>
              <w:pStyle w:val="TableText"/>
              <w:ind w:left="43" w:right="1" w:hanging="29"/>
              <w:spacing w:before="52" w:line="227" w:lineRule="auto"/>
              <w:rPr/>
            </w:pPr>
            <w:r>
              <w:rPr>
                <w:spacing w:val="-2"/>
              </w:rPr>
              <w:t>应当按照中国证监会的有关规定编制申请文件并申请核准。11. 《公开发行证券的公司</w:t>
            </w:r>
            <w:r>
              <w:rPr>
                <w:spacing w:val="-3"/>
              </w:rPr>
              <w:t>信息披</w:t>
            </w:r>
            <w:r>
              <w:rPr/>
              <w:t xml:space="preserve"> </w:t>
            </w:r>
            <w:r>
              <w:rPr>
                <w:spacing w:val="1"/>
              </w:rPr>
              <w:t>露内容与格式准则第9号-首次公开发行股票并上市申请文</w:t>
            </w:r>
            <w:r>
              <w:rPr/>
              <w:t>件》(证监发行字〔2006〕6号)</w:t>
            </w:r>
          </w:p>
          <w:p>
            <w:pPr>
              <w:pStyle w:val="TableText"/>
              <w:ind w:left="73"/>
              <w:spacing w:before="72" w:line="195" w:lineRule="auto"/>
              <w:rPr/>
            </w:pPr>
            <w:r>
              <w:rPr/>
              <w:t>附录：首次公开发行股票并上市申请文件目录第五</w:t>
            </w:r>
            <w:r>
              <w:rPr>
                <w:spacing w:val="-1"/>
              </w:rPr>
              <w:t>章发行人律师关于本次发行的文件5-1法</w:t>
            </w:r>
          </w:p>
        </w:tc>
      </w:tr>
    </w:tbl>
    <w:p>
      <w:pPr>
        <w:pStyle w:val="BodyText"/>
        <w:rPr/>
      </w:pPr>
      <w:r/>
    </w:p>
    <w:p>
      <w:pPr>
        <w:sectPr>
          <w:pgSz w:w="11910" w:h="8220"/>
          <w:pgMar w:top="400" w:right="1115" w:bottom="400" w:left="821" w:header="0" w:footer="0" w:gutter="0"/>
        </w:sectPr>
        <w:rPr/>
      </w:pPr>
    </w:p>
    <w:p>
      <w:pPr>
        <w:spacing w:before="83"/>
        <w:rPr/>
      </w:pPr>
      <w:r>
        <mc:AlternateContent xmlns:mc="http://schemas.openxmlformats.org/markup-compatibility/2006">
          <mc:Choice Requires="wps">
            <w:drawing>
              <wp:anchor distT="0" distB="0" distL="0" distR="0" simplePos="0" relativeHeight="251971584" behindDoc="0" locked="0" layoutInCell="0" allowOverlap="1">
                <wp:simplePos x="0" y="0"/>
                <wp:positionH relativeFrom="page">
                  <wp:posOffset>470816</wp:posOffset>
                </wp:positionH>
                <wp:positionV relativeFrom="page">
                  <wp:posOffset>4376497</wp:posOffset>
                </wp:positionV>
                <wp:extent cx="172085" cy="156845"/>
                <wp:effectExtent l="0" t="0" r="0" b="0"/>
                <wp:wrapNone/>
                <wp:docPr id="442" name="TextBox 442"/>
                <wp:cNvGraphicFramePr/>
                <a:graphic>
                  <a:graphicData uri="http://schemas.microsoft.com/office/word/2010/wordprocessingShape">
                    <wps:wsp>
                      <wps:cNvSpPr txBox="1"/>
                      <wps:spPr>
                        <a:xfrm rot="5400000">
                          <a:off x="470816" y="4376497"/>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4" style="position:absolute;margin-left:37.0722pt;margin-top:344.606pt;mso-position-vertical-relative:page;mso-position-horizontal-relative:page;width:13.55pt;height:12.35pt;z-index:2519715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309</w:t>
                      </w:r>
                    </w:p>
                  </w:txbxContent>
                </v:textbox>
              </v:shape>
            </w:pict>
          </mc:Fallback>
        </mc:AlternateContent>
      </w: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19"/>
        <w:gridCol w:w="669"/>
        <w:gridCol w:w="6088"/>
      </w:tblGrid>
      <w:tr>
        <w:trPr>
          <w:trHeight w:val="474" w:hRule="atLeast"/>
        </w:trPr>
        <w:tc>
          <w:tcPr>
            <w:tcW w:w="285" w:type="dxa"/>
            <w:vAlign w:val="top"/>
          </w:tcPr>
          <w:p>
            <w:pPr>
              <w:pStyle w:val="TableText"/>
              <w:ind w:left="55"/>
              <w:spacing w:before="62" w:line="197" w:lineRule="auto"/>
              <w:rPr/>
            </w:pPr>
            <w:r>
              <w:rPr/>
              <w:t>序</w:t>
            </w:r>
          </w:p>
          <w:p>
            <w:pPr>
              <w:pStyle w:val="TableText"/>
              <w:ind w:left="55"/>
              <w:spacing w:line="220" w:lineRule="auto"/>
              <w:rPr/>
            </w:pPr>
            <w:r>
              <w:rPr/>
              <w:t>号</w:t>
            </w:r>
          </w:p>
        </w:tc>
        <w:tc>
          <w:tcPr>
            <w:tcW w:w="659" w:type="dxa"/>
            <w:vAlign w:val="top"/>
          </w:tcPr>
          <w:p>
            <w:pPr>
              <w:pStyle w:val="TableText"/>
              <w:ind w:left="20" w:right="22"/>
              <w:spacing w:before="70" w:line="242" w:lineRule="auto"/>
              <w:rPr/>
            </w:pPr>
            <w:r>
              <w:rPr>
                <w:spacing w:val="1"/>
              </w:rPr>
              <w:t>中介服务 </w:t>
            </w:r>
            <w:r>
              <w:rPr>
                <w:spacing w:val="-2"/>
              </w:rPr>
              <w:t>事项名称</w:t>
            </w:r>
          </w:p>
        </w:tc>
        <w:tc>
          <w:tcPr>
            <w:tcW w:w="1129" w:type="dxa"/>
            <w:vAlign w:val="top"/>
          </w:tcPr>
          <w:p>
            <w:pPr>
              <w:pStyle w:val="TableText"/>
              <w:ind w:left="249" w:right="45" w:hanging="219"/>
              <w:spacing w:before="72" w:line="241"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9" w:line="239"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934" w:hRule="atLeast"/>
        </w:trPr>
        <w:tc>
          <w:tcPr>
            <w:tcW w:w="285" w:type="dxa"/>
            <w:vAlign w:val="top"/>
          </w:tcPr>
          <w:p>
            <w:pPr>
              <w:pStyle w:val="TableText"/>
              <w:ind w:left="55"/>
              <w:spacing w:before="95" w:line="183" w:lineRule="auto"/>
              <w:rPr/>
            </w:pPr>
            <w:r>
              <w:rPr>
                <w:spacing w:val="-3"/>
              </w:rPr>
              <w:t>76</w:t>
            </w:r>
          </w:p>
        </w:tc>
        <w:tc>
          <w:tcPr>
            <w:tcW w:w="659" w:type="dxa"/>
            <w:vAlign w:val="top"/>
          </w:tcPr>
          <w:p>
            <w:pPr>
              <w:rPr>
                <w:rFonts w:ascii="Arial"/>
                <w:sz w:val="21"/>
              </w:rPr>
            </w:pPr>
            <w:r/>
          </w:p>
        </w:tc>
        <w:tc>
          <w:tcPr>
            <w:tcW w:w="1129" w:type="dxa"/>
            <w:vAlign w:val="top"/>
          </w:tcPr>
          <w:p>
            <w:pPr>
              <w:rPr>
                <w:rFonts w:ascii="Arial"/>
                <w:sz w:val="21"/>
              </w:rPr>
            </w:pPr>
            <w:r/>
          </w:p>
        </w:tc>
        <w:tc>
          <w:tcPr>
            <w:tcW w:w="819" w:type="dxa"/>
            <w:vAlign w:val="top"/>
          </w:tcPr>
          <w:p>
            <w:pPr>
              <w:rPr>
                <w:rFonts w:ascii="Arial"/>
                <w:sz w:val="21"/>
              </w:rPr>
            </w:pPr>
            <w:r/>
          </w:p>
        </w:tc>
        <w:tc>
          <w:tcPr>
            <w:tcW w:w="669" w:type="dxa"/>
            <w:vAlign w:val="top"/>
          </w:tcPr>
          <w:p>
            <w:pPr>
              <w:rPr>
                <w:rFonts w:ascii="Arial"/>
                <w:sz w:val="21"/>
              </w:rPr>
            </w:pPr>
            <w:r/>
          </w:p>
        </w:tc>
        <w:tc>
          <w:tcPr>
            <w:tcW w:w="6088" w:type="dxa"/>
            <w:vAlign w:val="top"/>
          </w:tcPr>
          <w:p>
            <w:pPr>
              <w:pStyle w:val="TableText"/>
              <w:ind w:left="73"/>
              <w:spacing w:before="35" w:line="218" w:lineRule="auto"/>
              <w:rPr/>
            </w:pPr>
            <w:r>
              <w:rPr>
                <w:spacing w:val="-2"/>
              </w:rPr>
              <w:t>律意见书，5-2律师工作报告。12. 《公开发行证券的公司信息披露内容与格式准则第10号-</w:t>
            </w:r>
          </w:p>
          <w:p>
            <w:pPr>
              <w:pStyle w:val="TableText"/>
              <w:ind w:left="24" w:right="276" w:firstLine="10"/>
              <w:spacing w:before="62" w:line="260" w:lineRule="auto"/>
              <w:rPr/>
            </w:pPr>
            <w:r>
              <w:rPr/>
              <w:t>上市公司公开发行证券申请文件》(证监发行字〔2006〕1号)附录：</w:t>
            </w:r>
            <w:r>
              <w:rPr>
                <w:spacing w:val="-1"/>
              </w:rPr>
              <w:t>第四章发行人律师关</w:t>
            </w:r>
            <w:r>
              <w:rPr/>
              <w:t xml:space="preserve"> </w:t>
            </w:r>
            <w:r>
              <w:rPr>
                <w:spacing w:val="-2"/>
              </w:rPr>
              <w:t>于本次证券发行的文件4-1法律意见书4-2律师工作报告。13. 《公开发行证券的公司信息</w:t>
            </w:r>
            <w:r>
              <w:rPr>
                <w:spacing w:val="2"/>
              </w:rPr>
              <w:t xml:space="preserve"> </w:t>
            </w:r>
            <w:r>
              <w:rPr/>
              <w:t>披露内容与格式准则第29号-首次公开发行股票并在创业板上市申请文件》(证监会公告</w:t>
            </w:r>
            <w:r>
              <w:rPr>
                <w:spacing w:val="1"/>
              </w:rPr>
              <w:t xml:space="preserve">  </w:t>
            </w:r>
            <w:r>
              <w:rPr>
                <w:spacing w:val="2"/>
              </w:rPr>
              <w:t>(2014〕29号)附件1:第三章保荐人和证券服务机构文件3-</w:t>
            </w:r>
            <w:r>
              <w:rPr>
                <w:spacing w:val="1"/>
              </w:rPr>
              <w:t>3发行人律师关于本次发行的</w:t>
            </w:r>
            <w:r>
              <w:rPr/>
              <w:t xml:space="preserve">  </w:t>
            </w:r>
            <w:r>
              <w:rPr>
                <w:spacing w:val="-2"/>
              </w:rPr>
              <w:t>文件3-3-1法律意见书3-3-2律师工作报告。14. 《公开发行证券的公司信息披露内容与格</w:t>
            </w:r>
            <w:r>
              <w:rPr>
                <w:spacing w:val="12"/>
              </w:rPr>
              <w:t xml:space="preserve"> </w:t>
            </w:r>
            <w:r>
              <w:rPr/>
              <w:t>式准则第37号-创业板上市公司发行证券申请文件》(证监会公告〔2014〕32号)附件1</w:t>
            </w:r>
          </w:p>
          <w:p>
            <w:pPr>
              <w:pStyle w:val="TableText"/>
              <w:ind w:left="24" w:right="291"/>
              <w:spacing w:before="43" w:line="244" w:lineRule="auto"/>
              <w:rPr/>
            </w:pPr>
            <w:r>
              <w:rPr>
                <w:spacing w:val="-1"/>
              </w:rPr>
              <w:t>第四章发行人律师关于本次证券发行的文件4</w:t>
            </w:r>
            <w:r>
              <w:rPr>
                <w:spacing w:val="-2"/>
              </w:rPr>
              <w:t>-1法律意见书4-2律师工作报告。15.</w:t>
            </w:r>
            <w:r>
              <w:rPr>
                <w:spacing w:val="-23"/>
              </w:rPr>
              <w:t xml:space="preserve"> </w:t>
            </w:r>
            <w:r>
              <w:rPr>
                <w:spacing w:val="-2"/>
              </w:rPr>
              <w:t>《非上</w:t>
            </w:r>
            <w:r>
              <w:rPr/>
              <w:t xml:space="preserve"> </w:t>
            </w:r>
            <w:r>
              <w:rPr/>
              <w:t>市公众公司监管指引第2号-申请文件》(证监会公告〔2013〕2号):(七)</w:t>
            </w:r>
            <w:r>
              <w:rPr>
                <w:spacing w:val="-1"/>
              </w:rPr>
              <w:t>法律意见书。</w:t>
            </w:r>
          </w:p>
          <w:p>
            <w:pPr>
              <w:pStyle w:val="TableText"/>
              <w:ind w:left="34" w:right="96" w:firstLine="39"/>
              <w:spacing w:before="53" w:line="244" w:lineRule="auto"/>
              <w:rPr/>
            </w:pPr>
            <w:r>
              <w:rPr>
                <w:spacing w:val="-2"/>
              </w:rPr>
              <w:t>16. 《非上市公众公司监管指引第4号一股东人数超过200人的未上市股份有限公</w:t>
            </w:r>
            <w:r>
              <w:rPr>
                <w:spacing w:val="-3"/>
              </w:rPr>
              <w:t>司申请行政</w:t>
            </w:r>
            <w:r>
              <w:rPr/>
              <w:t xml:space="preserve"> </w:t>
            </w:r>
            <w:r>
              <w:rPr/>
              <w:t>许可有关问题的审核指引》(证监会公告〔2013〕54号):律师事务所出</w:t>
            </w:r>
            <w:r>
              <w:rPr>
                <w:spacing w:val="-1"/>
              </w:rPr>
              <w:t>具的专项法律意见</w:t>
            </w:r>
          </w:p>
          <w:p>
            <w:pPr>
              <w:pStyle w:val="TableText"/>
              <w:ind w:left="34" w:right="4" w:hanging="20"/>
              <w:spacing w:before="43" w:line="244" w:lineRule="auto"/>
              <w:rPr/>
            </w:pPr>
            <w:r>
              <w:rPr>
                <w:spacing w:val="-2"/>
              </w:rPr>
              <w:t>书，或者在提交行政许可的法律意见书中出具专项法律意见。17. 《非上市公众</w:t>
            </w:r>
            <w:r>
              <w:rPr>
                <w:spacing w:val="-3"/>
              </w:rPr>
              <w:t>公司信息披露</w:t>
            </w:r>
            <w:r>
              <w:rPr/>
              <w:t xml:space="preserve"> </w:t>
            </w:r>
            <w:r>
              <w:rPr/>
              <w:t>内容与格式准则第2号一公开转让股票申请文件》(证监会公告〔2013〕51号):3-2申请</w:t>
            </w:r>
          </w:p>
          <w:p>
            <w:pPr>
              <w:pStyle w:val="TableText"/>
              <w:ind w:left="34"/>
              <w:spacing w:before="24" w:line="219" w:lineRule="auto"/>
              <w:rPr/>
            </w:pPr>
            <w:r>
              <w:rPr>
                <w:spacing w:val="-2"/>
              </w:rPr>
              <w:t>人律师关于公开转让的法律意见书。18. 《非上市公众公司信息披露内容与格式准则第4号—</w:t>
            </w:r>
          </w:p>
          <w:p>
            <w:pPr>
              <w:pStyle w:val="TableText"/>
              <w:ind w:left="34" w:right="313" w:hanging="10"/>
              <w:spacing w:before="61" w:line="232" w:lineRule="auto"/>
              <w:rPr/>
            </w:pPr>
            <w:r>
              <w:rPr>
                <w:spacing w:val="-2"/>
              </w:rPr>
              <w:t>定向发行申请文件》(证监会公告〔2013〕53号):3-2法律意见书。19. 《非上市</w:t>
            </w:r>
            <w:r>
              <w:rPr>
                <w:spacing w:val="-3"/>
              </w:rPr>
              <w:t>公众公</w:t>
            </w:r>
            <w:r>
              <w:rPr/>
              <w:t xml:space="preserve">   </w:t>
            </w:r>
            <w:r>
              <w:rPr>
                <w:spacing w:val="1"/>
              </w:rPr>
              <w:t>司信息披露内容与格式准则第6号—重大资产重组报告书》(证监</w:t>
            </w:r>
            <w:r>
              <w:rPr/>
              <w:t>会公告〔2014〕35号):</w:t>
            </w:r>
          </w:p>
          <w:p>
            <w:pPr>
              <w:pStyle w:val="TableText"/>
              <w:ind w:left="14" w:right="63" w:firstLine="59"/>
              <w:spacing w:before="44" w:line="226" w:lineRule="auto"/>
              <w:rPr/>
            </w:pPr>
            <w:r>
              <w:rPr>
                <w:spacing w:val="-1"/>
              </w:rPr>
              <w:t>2-2法律意见书。20. 《非上市公众公司信息披露内容</w:t>
            </w:r>
            <w:r>
              <w:rPr>
                <w:spacing w:val="-2"/>
              </w:rPr>
              <w:t>与格式准则第8号—定向发行优先股申</w:t>
            </w:r>
            <w:r>
              <w:rPr/>
              <w:t xml:space="preserve"> </w:t>
            </w:r>
            <w:r>
              <w:rPr/>
              <w:t>请文件》(证监会公告〔2014〕45号):3-2法律</w:t>
            </w:r>
            <w:r>
              <w:rPr>
                <w:spacing w:val="-1"/>
              </w:rPr>
              <w:t>意见书。</w:t>
            </w:r>
          </w:p>
        </w:tc>
      </w:tr>
      <w:tr>
        <w:trPr>
          <w:trHeight w:val="1962" w:hRule="atLeast"/>
        </w:trPr>
        <w:tc>
          <w:tcPr>
            <w:tcW w:w="285" w:type="dxa"/>
            <w:vAlign w:val="top"/>
          </w:tcPr>
          <w:p>
            <w:pPr>
              <w:pStyle w:val="TableText"/>
              <w:ind w:left="55"/>
              <w:spacing w:before="102" w:line="182" w:lineRule="auto"/>
              <w:rPr/>
            </w:pPr>
            <w:r>
              <w:rPr>
                <w:spacing w:val="-3"/>
              </w:rPr>
              <w:t>77</w:t>
            </w:r>
          </w:p>
        </w:tc>
        <w:tc>
          <w:tcPr>
            <w:tcW w:w="659" w:type="dxa"/>
            <w:vAlign w:val="top"/>
          </w:tcPr>
          <w:p>
            <w:pPr>
              <w:pStyle w:val="TableText"/>
              <w:ind w:left="20" w:right="34"/>
              <w:spacing w:before="53" w:line="255" w:lineRule="auto"/>
              <w:jc w:val="both"/>
              <w:rPr/>
            </w:pPr>
            <w:r>
              <w:rPr>
                <w:spacing w:val="-3"/>
              </w:rPr>
              <w:t>公司公开</w:t>
            </w:r>
            <w:r>
              <w:rPr/>
              <w:t xml:space="preserve"> </w:t>
            </w:r>
            <w:r>
              <w:rPr>
                <w:spacing w:val="-3"/>
              </w:rPr>
              <w:t>发行股票</w:t>
            </w:r>
            <w:r>
              <w:rPr>
                <w:spacing w:val="2"/>
              </w:rPr>
              <w:t xml:space="preserve"> </w:t>
            </w:r>
            <w:r>
              <w:rPr>
                <w:spacing w:val="2"/>
              </w:rPr>
              <w:t>(</w:t>
            </w:r>
            <w:r>
              <w:rPr>
                <w:spacing w:val="-31"/>
              </w:rPr>
              <w:t xml:space="preserve"> </w:t>
            </w:r>
            <w:r>
              <w:rPr>
                <w:spacing w:val="2"/>
              </w:rPr>
              <w:t>A</w:t>
            </w:r>
            <w:r>
              <w:rPr>
                <w:spacing w:val="-26"/>
              </w:rPr>
              <w:t xml:space="preserve"> </w:t>
            </w:r>
            <w:r>
              <w:rPr>
                <w:spacing w:val="2"/>
              </w:rPr>
              <w:t>股</w:t>
            </w:r>
            <w:r>
              <w:rPr>
                <w:spacing w:val="-33"/>
              </w:rPr>
              <w:t xml:space="preserve"> </w:t>
            </w:r>
            <w:r>
              <w:rPr>
                <w:spacing w:val="2"/>
              </w:rPr>
              <w:t>、</w:t>
            </w:r>
          </w:p>
          <w:p>
            <w:pPr>
              <w:pStyle w:val="TableText"/>
              <w:ind w:left="10" w:right="6"/>
              <w:spacing w:before="38" w:line="246" w:lineRule="auto"/>
              <w:rPr/>
            </w:pPr>
            <w:r>
              <w:rPr>
                <w:spacing w:val="-6"/>
              </w:rPr>
              <w:t>B 股</w:t>
            </w:r>
            <w:r>
              <w:rPr>
                <w:spacing w:val="-7"/>
              </w:rPr>
              <w:t xml:space="preserve"> </w:t>
            </w:r>
            <w:r>
              <w:rPr>
                <w:spacing w:val="-6"/>
              </w:rPr>
              <w:t>) 审</w:t>
            </w:r>
            <w:r>
              <w:rPr/>
              <w:t xml:space="preserve"> </w:t>
            </w:r>
            <w:r>
              <w:rPr/>
              <w:t>计</w:t>
            </w:r>
          </w:p>
        </w:tc>
        <w:tc>
          <w:tcPr>
            <w:tcW w:w="1129" w:type="dxa"/>
            <w:vAlign w:val="top"/>
          </w:tcPr>
          <w:p>
            <w:pPr>
              <w:pStyle w:val="TableText"/>
              <w:ind w:left="30" w:right="65" w:firstLine="110"/>
              <w:spacing w:before="53" w:line="258" w:lineRule="auto"/>
              <w:jc w:val="both"/>
              <w:rPr/>
            </w:pPr>
            <w:r>
              <w:rPr>
                <w:spacing w:val="1"/>
              </w:rPr>
              <w:t>(44028)公司</w:t>
            </w:r>
            <w:r>
              <w:rPr>
                <w:spacing w:val="2"/>
              </w:rPr>
              <w:t xml:space="preserve">  </w:t>
            </w:r>
            <w:r>
              <w:rPr>
                <w:spacing w:val="9"/>
              </w:rPr>
              <w:t>公开发行股票</w:t>
            </w:r>
            <w:r>
              <w:rPr>
                <w:spacing w:val="2"/>
              </w:rPr>
              <w:t xml:space="preserve">  </w:t>
            </w:r>
            <w:r>
              <w:rPr>
                <w:spacing w:val="-3"/>
              </w:rPr>
              <w:t>(</w:t>
            </w:r>
            <w:r>
              <w:rPr>
                <w:spacing w:val="-32"/>
              </w:rPr>
              <w:t xml:space="preserve"> </w:t>
            </w:r>
            <w:r>
              <w:rPr>
                <w:spacing w:val="-3"/>
              </w:rPr>
              <w:t>A</w:t>
            </w:r>
            <w:r>
              <w:rPr>
                <w:spacing w:val="-27"/>
              </w:rPr>
              <w:t xml:space="preserve"> </w:t>
            </w:r>
            <w:r>
              <w:rPr>
                <w:spacing w:val="-3"/>
              </w:rPr>
              <w:t>股</w:t>
            </w:r>
            <w:r>
              <w:rPr>
                <w:spacing w:val="-16"/>
              </w:rPr>
              <w:t xml:space="preserve"> </w:t>
            </w:r>
            <w:r>
              <w:rPr>
                <w:spacing w:val="-3"/>
              </w:rPr>
              <w:t>、</w:t>
            </w:r>
            <w:r>
              <w:rPr>
                <w:spacing w:val="-30"/>
              </w:rPr>
              <w:t xml:space="preserve"> </w:t>
            </w:r>
            <w:r>
              <w:rPr>
                <w:spacing w:val="-3"/>
              </w:rPr>
              <w:t>B</w:t>
            </w:r>
            <w:r>
              <w:rPr>
                <w:spacing w:val="-27"/>
              </w:rPr>
              <w:t xml:space="preserve"> </w:t>
            </w:r>
            <w:r>
              <w:rPr>
                <w:spacing w:val="-3"/>
              </w:rPr>
              <w:t>股</w:t>
            </w:r>
            <w:r>
              <w:rPr>
                <w:spacing w:val="-26"/>
              </w:rPr>
              <w:t xml:space="preserve"> </w:t>
            </w:r>
            <w:r>
              <w:rPr>
                <w:spacing w:val="-3"/>
              </w:rPr>
              <w:t>)</w:t>
            </w:r>
            <w:r>
              <w:rPr/>
              <w:t xml:space="preserve"> </w:t>
            </w:r>
            <w:r>
              <w:rPr>
                <w:spacing w:val="-2"/>
              </w:rPr>
              <w:t>核准</w:t>
            </w:r>
          </w:p>
        </w:tc>
        <w:tc>
          <w:tcPr>
            <w:tcW w:w="819" w:type="dxa"/>
            <w:vAlign w:val="top"/>
          </w:tcPr>
          <w:p>
            <w:pPr>
              <w:pStyle w:val="TableText"/>
              <w:ind w:left="172"/>
              <w:spacing w:before="42" w:line="219" w:lineRule="auto"/>
              <w:rPr/>
            </w:pPr>
            <w:r>
              <w:rPr>
                <w:spacing w:val="-2"/>
              </w:rPr>
              <w:t>证监会</w:t>
            </w:r>
          </w:p>
        </w:tc>
        <w:tc>
          <w:tcPr>
            <w:tcW w:w="669" w:type="dxa"/>
            <w:vAlign w:val="top"/>
          </w:tcPr>
          <w:p>
            <w:pPr>
              <w:pStyle w:val="TableText"/>
              <w:ind w:left="22" w:right="19" w:hanging="10"/>
              <w:spacing w:before="55" w:line="262"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2"/>
              </w:rPr>
              <w:t>券、期货</w:t>
            </w:r>
            <w:r>
              <w:rPr>
                <w:spacing w:val="1"/>
              </w:rPr>
              <w:t xml:space="preserve"> </w:t>
            </w:r>
            <w:r>
              <w:rPr>
                <w:spacing w:val="-2"/>
              </w:rPr>
              <w:t>相关业务</w:t>
            </w:r>
            <w:r>
              <w:rPr>
                <w:spacing w:val="1"/>
              </w:rPr>
              <w:t xml:space="preserve"> </w:t>
            </w:r>
            <w:r>
              <w:rPr>
                <w:spacing w:val="-4"/>
              </w:rPr>
              <w:t>资格的会</w:t>
            </w:r>
            <w:r>
              <w:rPr>
                <w:spacing w:val="2"/>
              </w:rPr>
              <w:t xml:space="preserve"> </w:t>
            </w:r>
            <w:r>
              <w:rPr>
                <w:spacing w:val="-2"/>
              </w:rPr>
              <w:t>计师事务</w:t>
            </w:r>
            <w:r>
              <w:rPr>
                <w:spacing w:val="1"/>
              </w:rPr>
              <w:t xml:space="preserve"> </w:t>
            </w:r>
            <w:r>
              <w:rPr/>
              <w:t>所</w:t>
            </w:r>
          </w:p>
        </w:tc>
        <w:tc>
          <w:tcPr>
            <w:tcW w:w="6088" w:type="dxa"/>
            <w:vAlign w:val="top"/>
          </w:tcPr>
          <w:p>
            <w:pPr>
              <w:pStyle w:val="TableText"/>
              <w:ind w:left="14" w:right="43" w:firstLine="20"/>
              <w:spacing w:before="42" w:line="257" w:lineRule="auto"/>
              <w:rPr/>
            </w:pPr>
            <w:r>
              <w:rPr>
                <w:spacing w:val="-2"/>
              </w:rPr>
              <w:t>1. 《中华人民共和国证券法》第十九条：发行人依法申请核准发行证券所报送的申请文件的</w:t>
            </w:r>
            <w:r>
              <w:rPr>
                <w:spacing w:val="8"/>
              </w:rPr>
              <w:t xml:space="preserve"> </w:t>
            </w:r>
            <w:r>
              <w:rPr>
                <w:spacing w:val="-2"/>
              </w:rPr>
              <w:t>格式、报送方式，由依法负责核准的机构或者部门规定。2. 《中华人民共和国证券</w:t>
            </w:r>
            <w:r>
              <w:rPr>
                <w:spacing w:val="-3"/>
              </w:rPr>
              <w:t>法》第</w:t>
            </w:r>
          </w:p>
          <w:p>
            <w:pPr>
              <w:pStyle w:val="TableText"/>
              <w:ind w:left="34" w:right="52"/>
              <w:spacing w:before="40" w:line="249" w:lineRule="auto"/>
              <w:rPr/>
            </w:pPr>
            <w:r>
              <w:rPr/>
              <w:t>一百七十三条：证券服务机构为证券发行、上市、交易等证券业务活</w:t>
            </w:r>
            <w:r>
              <w:rPr>
                <w:spacing w:val="-1"/>
              </w:rPr>
              <w:t>动制作、出具审计报告</w:t>
            </w:r>
            <w:r>
              <w:rPr/>
              <w:t xml:space="preserve"> </w:t>
            </w:r>
            <w:r>
              <w:rPr/>
              <w:t>资产评估报告、财务顾问报告、资信评级报告或者法律意见</w:t>
            </w:r>
            <w:r>
              <w:rPr>
                <w:spacing w:val="-1"/>
              </w:rPr>
              <w:t>书等文件，应当勤勉尽责，对所</w:t>
            </w:r>
            <w:r>
              <w:rPr/>
              <w:t xml:space="preserve"> </w:t>
            </w:r>
            <w:r>
              <w:rPr>
                <w:spacing w:val="-2"/>
              </w:rPr>
              <w:t>依据的文件资料内容的真实性、准确性、完整性进行核查和验证。3. 《首次公</w:t>
            </w:r>
            <w:r>
              <w:rPr>
                <w:spacing w:val="-3"/>
              </w:rPr>
              <w:t>开发行股票并</w:t>
            </w:r>
            <w:r>
              <w:rPr/>
              <w:t xml:space="preserve"> </w:t>
            </w:r>
            <w:r>
              <w:rPr>
                <w:spacing w:val="1"/>
              </w:rPr>
              <w:t>上市管理办法》(证监会令第122号)第二十</w:t>
            </w:r>
            <w:r>
              <w:rPr/>
              <w:t>三条：发行人会计基础工作规范，财务报表的</w:t>
            </w:r>
          </w:p>
          <w:p>
            <w:pPr>
              <w:pStyle w:val="TableText"/>
              <w:ind w:left="14" w:right="51" w:firstLine="20"/>
              <w:spacing w:before="62" w:line="238" w:lineRule="auto"/>
              <w:rPr/>
            </w:pPr>
            <w:r>
              <w:rPr/>
              <w:t>编制符合企业会计准则和相关会计制度的规定，在所有重大方面公允地</w:t>
            </w:r>
            <w:r>
              <w:rPr>
                <w:spacing w:val="-1"/>
              </w:rPr>
              <w:t>反映了发行人的财务</w:t>
            </w:r>
            <w:r>
              <w:rPr/>
              <w:t xml:space="preserve"> </w:t>
            </w:r>
            <w:r>
              <w:rPr/>
              <w:t>状况、经营成果和现金流量，并由注册会计师出具了无保留意见的审计报</w:t>
            </w:r>
            <w:r>
              <w:rPr>
                <w:spacing w:val="-1"/>
              </w:rPr>
              <w:t>告。第三十三条</w:t>
            </w:r>
          </w:p>
          <w:p>
            <w:pPr>
              <w:pStyle w:val="TableText"/>
              <w:ind w:left="24"/>
              <w:spacing w:before="43" w:line="184" w:lineRule="auto"/>
              <w:rPr/>
            </w:pPr>
            <w:r>
              <w:rPr/>
              <w:t>发行人应当按照中国证监会的有关规定制作申请文件，由保荐人保</w:t>
            </w:r>
            <w:r>
              <w:rPr>
                <w:spacing w:val="-1"/>
              </w:rPr>
              <w:t>荐并向中国证监会申报</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72608" behindDoc="0" locked="0" layoutInCell="0" allowOverlap="1">
                <wp:simplePos x="0" y="0"/>
                <wp:positionH relativeFrom="page">
                  <wp:posOffset>471020</wp:posOffset>
                </wp:positionH>
                <wp:positionV relativeFrom="page">
                  <wp:posOffset>617066</wp:posOffset>
                </wp:positionV>
                <wp:extent cx="172085" cy="157479"/>
                <wp:effectExtent l="0" t="0" r="0" b="0"/>
                <wp:wrapNone/>
                <wp:docPr id="444" name="TextBox 444"/>
                <wp:cNvGraphicFramePr/>
                <a:graphic>
                  <a:graphicData uri="http://schemas.microsoft.com/office/word/2010/wordprocessingShape">
                    <wps:wsp>
                      <wps:cNvSpPr txBox="1"/>
                      <wps:spPr>
                        <a:xfrm rot="5400000">
                          <a:off x="471020" y="61706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6" style="position:absolute;margin-left:37.0882pt;margin-top:48.5879pt;mso-position-vertical-relative:page;mso-position-horizontal-relative:page;width:13.55pt;height:12.4pt;z-index:25197260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310</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8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2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rPr>
                <w:rFonts w:ascii="Arial"/>
                <w:sz w:val="21"/>
              </w:rPr>
            </w:pPr>
            <w:r/>
          </w:p>
        </w:tc>
        <w:tc>
          <w:tcPr>
            <w:tcW w:w="679" w:type="dxa"/>
            <w:vAlign w:val="top"/>
          </w:tcPr>
          <w:p>
            <w:pPr>
              <w:rPr>
                <w:rFonts w:ascii="Arial"/>
                <w:sz w:val="21"/>
              </w:rPr>
            </w:pPr>
            <w:r/>
          </w:p>
        </w:tc>
        <w:tc>
          <w:tcPr>
            <w:tcW w:w="1099" w:type="dxa"/>
            <w:vAlign w:val="top"/>
          </w:tcPr>
          <w:p>
            <w:pPr>
              <w:rPr>
                <w:rFonts w:ascii="Arial"/>
                <w:sz w:val="21"/>
              </w:rPr>
            </w:pPr>
            <w:r/>
          </w:p>
        </w:tc>
        <w:tc>
          <w:tcPr>
            <w:tcW w:w="839" w:type="dxa"/>
            <w:vAlign w:val="top"/>
          </w:tcPr>
          <w:p>
            <w:pPr>
              <w:rPr>
                <w:rFonts w:ascii="Arial"/>
                <w:sz w:val="21"/>
              </w:rPr>
            </w:pPr>
            <w:r/>
          </w:p>
        </w:tc>
        <w:tc>
          <w:tcPr>
            <w:tcW w:w="659" w:type="dxa"/>
            <w:vAlign w:val="top"/>
          </w:tcPr>
          <w:p>
            <w:pPr>
              <w:rPr>
                <w:rFonts w:ascii="Arial"/>
                <w:sz w:val="21"/>
              </w:rPr>
            </w:pPr>
            <w:r/>
          </w:p>
        </w:tc>
        <w:tc>
          <w:tcPr>
            <w:tcW w:w="6098" w:type="dxa"/>
            <w:vAlign w:val="top"/>
          </w:tcPr>
          <w:p>
            <w:pPr>
              <w:pStyle w:val="TableText"/>
              <w:ind w:left="14"/>
              <w:spacing w:before="26" w:line="219" w:lineRule="auto"/>
              <w:rPr/>
            </w:pPr>
            <w:r>
              <w:rPr>
                <w:spacing w:val="-2"/>
              </w:rPr>
              <w:t>4. 《首次公开发行股票并在创业板上市管理办法》(证监会令第123号)第十七条：发行人</w:t>
            </w:r>
          </w:p>
          <w:p>
            <w:pPr>
              <w:pStyle w:val="TableText"/>
              <w:ind w:left="43" w:right="25" w:firstLine="70"/>
              <w:spacing w:before="61" w:line="249" w:lineRule="auto"/>
              <w:rPr/>
            </w:pPr>
            <w:r>
              <w:rPr/>
              <w:t>会计基础工作规范，财务报表的编制和披露符合企业会计准则和相关信息</w:t>
            </w:r>
            <w:r>
              <w:rPr>
                <w:spacing w:val="-1"/>
              </w:rPr>
              <w:t>披露规则的规定</w:t>
            </w:r>
            <w:r>
              <w:rPr/>
              <w:t xml:space="preserve">  </w:t>
            </w:r>
            <w:r>
              <w:rPr/>
              <w:t>在所有重大方面公允地反映了发行人的财务状况、经营成果和现金流量，并由注册会计师出</w:t>
            </w:r>
            <w:r>
              <w:rPr>
                <w:spacing w:val="17"/>
              </w:rPr>
              <w:t xml:space="preserve"> </w:t>
            </w:r>
            <w:r>
              <w:rPr/>
              <w:t>具无保留意见的审计报告。第二十三条：发行人应当按照中国证监会</w:t>
            </w:r>
            <w:r>
              <w:rPr>
                <w:spacing w:val="-1"/>
              </w:rPr>
              <w:t>有关规定制作申请文件</w:t>
            </w:r>
          </w:p>
          <w:p>
            <w:pPr>
              <w:pStyle w:val="TableText"/>
              <w:ind w:left="14" w:right="4" w:firstLine="99"/>
              <w:spacing w:before="53" w:line="245" w:lineRule="auto"/>
              <w:rPr/>
            </w:pPr>
            <w:r>
              <w:rPr>
                <w:spacing w:val="-2"/>
              </w:rPr>
              <w:t>由保荐人保荐并向中国证监会申报。5. 《上市公司证券发行管理办法》(证监会令第57号)  </w:t>
            </w:r>
            <w:r>
              <w:rPr>
                <w:spacing w:val="-3"/>
              </w:rPr>
              <w:t>第四十五条第二款：保荐人应该按照中国证监会的有关规定编制和报送发行申请文件。6.</w:t>
            </w:r>
            <w:r>
              <w:rPr>
                <w:spacing w:val="-31"/>
              </w:rPr>
              <w:t xml:space="preserve"> </w:t>
            </w:r>
            <w:r>
              <w:rPr>
                <w:spacing w:val="-3"/>
              </w:rPr>
              <w:t>《创</w:t>
            </w:r>
            <w:r>
              <w:rPr/>
              <w:t xml:space="preserve"> </w:t>
            </w:r>
            <w:r>
              <w:rPr>
                <w:spacing w:val="1"/>
              </w:rPr>
              <w:t>业板上市公司证券发行管理暂行办法》(证监会令第100号)第三十五条第二款：保荐人或</w:t>
            </w:r>
          </w:p>
          <w:p>
            <w:pPr>
              <w:pStyle w:val="TableText"/>
              <w:ind w:left="43" w:right="56"/>
              <w:spacing w:before="51" w:line="245" w:lineRule="auto"/>
              <w:rPr/>
            </w:pPr>
            <w:r>
              <w:rPr>
                <w:spacing w:val="-2"/>
              </w:rPr>
              <w:t>者上市公司应当按照中国证监会的有关规定编制和报送发行申请文件。7. 《优先</w:t>
            </w:r>
            <w:r>
              <w:rPr>
                <w:spacing w:val="-3"/>
              </w:rPr>
              <w:t>股试点管理</w:t>
            </w:r>
            <w:r>
              <w:rPr/>
              <w:t xml:space="preserve"> </w:t>
            </w:r>
            <w:r>
              <w:rPr/>
              <w:t>办法》(证监会令第97号)第五十条；公司应按照中国证监会有关</w:t>
            </w:r>
            <w:r>
              <w:rPr>
                <w:spacing w:val="-1"/>
              </w:rPr>
              <w:t>信息披露规则编制募集</w:t>
            </w:r>
          </w:p>
          <w:p>
            <w:pPr>
              <w:pStyle w:val="TableText"/>
              <w:ind w:left="43" w:right="8"/>
              <w:spacing w:before="42" w:line="262" w:lineRule="auto"/>
              <w:rPr/>
            </w:pPr>
            <w:r>
              <w:rPr/>
              <w:t>优先股说明书或其他信息披露文件，依法履行信息披露义务。非上市公众公</w:t>
            </w:r>
            <w:r>
              <w:rPr>
                <w:spacing w:val="-1"/>
              </w:rPr>
              <w:t>司非公开发行优</w:t>
            </w:r>
            <w:r>
              <w:rPr/>
              <w:t xml:space="preserve"> </w:t>
            </w:r>
            <w:r>
              <w:rPr>
                <w:spacing w:val="1"/>
              </w:rPr>
              <w:t>先股的信息披露程序和要求参照《非上市公众公司监督管理办法》及有关监管</w:t>
            </w:r>
            <w:r>
              <w:rPr/>
              <w:t>指引的规定。 </w:t>
            </w:r>
            <w:r>
              <w:rPr/>
              <w:t>8. 《非上市公众公司监督管理办法》(证监会令第</w:t>
            </w:r>
            <w:r>
              <w:rPr>
                <w:spacing w:val="-1"/>
              </w:rPr>
              <w:t>96号)第三十二条；股票向特定对象转让  </w:t>
            </w:r>
            <w:r>
              <w:rPr>
                <w:spacing w:val="2"/>
              </w:rPr>
              <w:t>导致股东累计超过200人的股份有限公司，应当自上述行为发生之日起3个月内，按照中国</w:t>
            </w:r>
            <w:r>
              <w:rPr>
                <w:spacing w:val="1"/>
              </w:rPr>
              <w:t xml:space="preserve">  </w:t>
            </w:r>
            <w:r>
              <w:rPr/>
              <w:t>证监会有关规定制作申请文件，申请文件应当包括但不限于：定向转让说明</w:t>
            </w:r>
            <w:r>
              <w:rPr>
                <w:spacing w:val="-1"/>
              </w:rPr>
              <w:t>书、律师事务所</w:t>
            </w:r>
            <w:r>
              <w:rPr/>
              <w:t xml:space="preserve"> </w:t>
            </w:r>
            <w:r>
              <w:rPr/>
              <w:t>出具的法律意见书、会计师事务所出具的审计报告。股份有限公司持申请文件向中国证监会</w:t>
            </w:r>
          </w:p>
          <w:p>
            <w:pPr>
              <w:pStyle w:val="TableText"/>
              <w:ind w:left="14" w:firstLine="99"/>
              <w:spacing w:before="45" w:line="264" w:lineRule="auto"/>
              <w:rPr/>
            </w:pPr>
            <w:r>
              <w:rPr/>
              <w:t>申请核准。在提交申请文件前，股份有限公司应当将相关情况通知所有股东。</w:t>
            </w:r>
            <w:r>
              <w:rPr>
                <w:spacing w:val="-1"/>
              </w:rPr>
              <w:t>第三十四条  </w:t>
            </w:r>
            <w:r>
              <w:rPr>
                <w:spacing w:val="1"/>
              </w:rPr>
              <w:t>股东人数超过200人的公司申请其股票公开转让，应当按照中国证监会有关规定制作公开转</w:t>
            </w:r>
            <w:r>
              <w:rPr>
                <w:spacing w:val="3"/>
              </w:rPr>
              <w:t xml:space="preserve">  </w:t>
            </w:r>
            <w:r>
              <w:rPr>
                <w:spacing w:val="-2"/>
              </w:rPr>
              <w:t>让的申请文件，申请文件应当包括但不限于；公开转让说明书、律师事务所出具的法律意见书</w:t>
            </w:r>
            <w:r>
              <w:rPr>
                <w:spacing w:val="4"/>
              </w:rPr>
              <w:t xml:space="preserve"> </w:t>
            </w:r>
            <w:r>
              <w:rPr/>
              <w:t>具有证券期货相关业务资格的会计师事务所出具的审计报告、证券公司出具的推荐文件。公</w:t>
            </w:r>
            <w:r>
              <w:rPr>
                <w:spacing w:val="7"/>
              </w:rPr>
              <w:t xml:space="preserve">  </w:t>
            </w:r>
            <w:r>
              <w:rPr>
                <w:spacing w:val="1"/>
              </w:rPr>
              <w:t>司持申请文件向中国证监会申请核准。第四十二条：公司应当按照中国证监</w:t>
            </w:r>
            <w:r>
              <w:rPr/>
              <w:t>会有关规定制作 </w:t>
            </w:r>
            <w:r>
              <w:rPr/>
              <w:t>定向发行的申请文件，申请文件应当包括但不限于；定向发行说明书、律师事务所出具的法</w:t>
            </w:r>
            <w:r>
              <w:rPr>
                <w:spacing w:val="6"/>
              </w:rPr>
              <w:t xml:space="preserve">  </w:t>
            </w:r>
            <w:r>
              <w:rPr/>
              <w:t>律意见书、具有证券期货相关业务资格的会计师事务所出具的审计报告、证券公司出具的推</w:t>
            </w:r>
            <w:r>
              <w:rPr>
                <w:spacing w:val="8"/>
              </w:rPr>
              <w:t xml:space="preserve">  </w:t>
            </w:r>
            <w:r>
              <w:rPr>
                <w:spacing w:val="-4"/>
              </w:rPr>
              <w:t>荐文件。公司持申请文件向中国证监会申请核准。9. 《非上市公众公司重大资产重组管理办法</w:t>
            </w:r>
          </w:p>
          <w:p>
            <w:pPr>
              <w:pStyle w:val="TableText"/>
              <w:ind w:left="43" w:right="49" w:firstLine="110"/>
              <w:spacing w:before="32" w:line="258" w:lineRule="auto"/>
              <w:rPr/>
            </w:pPr>
            <w:r>
              <w:rPr/>
              <w:t>(证监会令第103号)第六条：公众公司实施</w:t>
            </w:r>
            <w:r>
              <w:rPr>
                <w:spacing w:val="-1"/>
              </w:rPr>
              <w:t>重大资产重组，应当聘请独立财务顾问、律师  </w:t>
            </w:r>
            <w:r>
              <w:rPr/>
              <w:t>事务所以及具有证券、期货相关业务资格的会计师事务所等证券服务机构出</w:t>
            </w:r>
            <w:r>
              <w:rPr>
                <w:spacing w:val="-1"/>
              </w:rPr>
              <w:t>具相关意见。第</w:t>
            </w:r>
            <w:r>
              <w:rPr/>
              <w:t xml:space="preserve"> </w:t>
            </w:r>
            <w:r>
              <w:rPr>
                <w:spacing w:val="1"/>
              </w:rPr>
              <w:t>十九条：公众公司向特定对象发行股份购买资产后</w:t>
            </w:r>
            <w:r>
              <w:rPr/>
              <w:t>股东累计超过200人的重大资产重组，经</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73632" behindDoc="0" locked="0" layoutInCell="0" allowOverlap="1">
                <wp:simplePos x="0" y="0"/>
                <wp:positionH relativeFrom="page">
                  <wp:posOffset>464377</wp:posOffset>
                </wp:positionH>
                <wp:positionV relativeFrom="page">
                  <wp:posOffset>4376342</wp:posOffset>
                </wp:positionV>
                <wp:extent cx="217170" cy="214629"/>
                <wp:effectExtent l="0" t="0" r="0" b="0"/>
                <wp:wrapNone/>
                <wp:docPr id="446" name="TextBox 446"/>
                <wp:cNvGraphicFramePr/>
                <a:graphic>
                  <a:graphicData uri="http://schemas.microsoft.com/office/word/2010/wordprocessingShape">
                    <wps:wsp>
                      <wps:cNvSpPr txBox="1"/>
                      <wps:spPr>
                        <a:xfrm rot="5400000">
                          <a:off x="464377" y="4376342"/>
                          <a:ext cx="217170" cy="2146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88" w:line="184" w:lineRule="auto"/>
                              <w:rPr>
                                <w:rFonts w:ascii="SimSun" w:hAnsi="SimSun" w:eastAsia="SimSun" w:cs="SimSun"/>
                                <w:sz w:val="23"/>
                                <w:szCs w:val="23"/>
                              </w:rPr>
                            </w:pPr>
                            <w:r>
                              <w:rPr>
                                <w:rFonts w:ascii="SimSun" w:hAnsi="SimSun" w:eastAsia="SimSun" w:cs="SimSun"/>
                                <w:sz w:val="23"/>
                                <w:szCs w:val="23"/>
                                <w:spacing w:val="-10"/>
                              </w:rPr>
                              <w:t>311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8" style="position:absolute;margin-left:36.5652pt;margin-top:344.594pt;mso-position-vertical-relative:page;mso-position-horizontal-relative:page;width:17.1pt;height:16.9pt;z-index:251973632;rotation:90;" o:allowincell="f" filled="false" stroked="false" type="#_x0000_t202">
                <v:fill on="false"/>
                <v:stroke on="false"/>
                <v:path/>
                <v:imagedata o:title=""/>
                <o:lock v:ext="edit" aspectratio="false"/>
                <v:textbox inset="0mm,0mm,0mm,0mm">
                  <w:txbxContent>
                    <w:p>
                      <w:pPr>
                        <w:ind w:left="20"/>
                        <w:spacing w:before="88" w:line="184" w:lineRule="auto"/>
                        <w:rPr>
                          <w:rFonts w:ascii="SimSun" w:hAnsi="SimSun" w:eastAsia="SimSun" w:cs="SimSun"/>
                          <w:sz w:val="23"/>
                          <w:szCs w:val="23"/>
                        </w:rPr>
                      </w:pPr>
                      <w:r>
                        <w:rPr>
                          <w:rFonts w:ascii="SimSun" w:hAnsi="SimSun" w:eastAsia="SimSun" w:cs="SimSun"/>
                          <w:sz w:val="23"/>
                          <w:szCs w:val="23"/>
                          <w:spacing w:val="-10"/>
                        </w:rPr>
                        <w:t>311</w:t>
                      </w:r>
                    </w:p>
                  </w:txbxContent>
                </v:textbox>
              </v:shape>
            </w:pict>
          </mc:Fallback>
        </mc:AlternateContent>
      </w:r>
      <w:r/>
    </w:p>
    <w:p>
      <w:pPr>
        <w:spacing w:before="51"/>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19"/>
        <w:gridCol w:w="819"/>
        <w:gridCol w:w="679"/>
        <w:gridCol w:w="6088"/>
      </w:tblGrid>
      <w:tr>
        <w:trPr>
          <w:trHeight w:val="474" w:hRule="atLeast"/>
        </w:trPr>
        <w:tc>
          <w:tcPr>
            <w:tcW w:w="295" w:type="dxa"/>
            <w:vAlign w:val="top"/>
            <w:textDirection w:val="tbRlV"/>
          </w:tcPr>
          <w:p>
            <w:pPr>
              <w:pStyle w:val="TableText"/>
              <w:ind w:left="37"/>
              <w:spacing w:before="90" w:line="217" w:lineRule="auto"/>
              <w:rPr/>
            </w:pPr>
            <w:r>
              <w:rPr/>
              <w:t>序</w:t>
            </w:r>
            <w:r>
              <w:rPr>
                <w:spacing w:val="16"/>
              </w:rPr>
              <w:t xml:space="preserve"> </w:t>
            </w:r>
            <w:r>
              <w:rPr/>
              <w:t>号</w:t>
            </w:r>
          </w:p>
        </w:tc>
        <w:tc>
          <w:tcPr>
            <w:tcW w:w="659" w:type="dxa"/>
            <w:vAlign w:val="top"/>
          </w:tcPr>
          <w:p>
            <w:pPr>
              <w:pStyle w:val="TableText"/>
              <w:ind w:left="20" w:right="22"/>
              <w:spacing w:before="51" w:line="254" w:lineRule="auto"/>
              <w:rPr/>
            </w:pPr>
            <w:r>
              <w:rPr>
                <w:spacing w:val="1"/>
              </w:rPr>
              <w:t>中介服务 </w:t>
            </w:r>
            <w:r>
              <w:rPr>
                <w:spacing w:val="-2"/>
              </w:rPr>
              <w:t>事项名称</w:t>
            </w:r>
          </w:p>
        </w:tc>
        <w:tc>
          <w:tcPr>
            <w:tcW w:w="1119" w:type="dxa"/>
            <w:vAlign w:val="top"/>
          </w:tcPr>
          <w:p>
            <w:pPr>
              <w:pStyle w:val="TableText"/>
              <w:ind w:left="249" w:right="45" w:hanging="229"/>
              <w:spacing w:before="51" w:line="254"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22"/>
              <w:spacing w:before="161" w:line="219" w:lineRule="auto"/>
              <w:rPr/>
            </w:pPr>
            <w:r>
              <w:rPr>
                <w:spacing w:val="4"/>
              </w:rPr>
              <w:t>审批部门</w:t>
            </w:r>
          </w:p>
        </w:tc>
        <w:tc>
          <w:tcPr>
            <w:tcW w:w="679" w:type="dxa"/>
            <w:vAlign w:val="top"/>
          </w:tcPr>
          <w:p>
            <w:pPr>
              <w:pStyle w:val="TableText"/>
              <w:ind w:left="32" w:right="28"/>
              <w:spacing w:before="51" w:line="254"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5706" w:hRule="atLeast"/>
        </w:trPr>
        <w:tc>
          <w:tcPr>
            <w:tcW w:w="295" w:type="dxa"/>
            <w:vAlign w:val="top"/>
          </w:tcPr>
          <w:p>
            <w:pPr>
              <w:rPr>
                <w:rFonts w:ascii="Arial"/>
                <w:sz w:val="21"/>
              </w:rPr>
            </w:pPr>
            <w:r/>
          </w:p>
        </w:tc>
        <w:tc>
          <w:tcPr>
            <w:tcW w:w="659" w:type="dxa"/>
            <w:vAlign w:val="top"/>
          </w:tcPr>
          <w:p>
            <w:pPr>
              <w:rPr>
                <w:rFonts w:ascii="Arial"/>
                <w:sz w:val="21"/>
              </w:rPr>
            </w:pPr>
            <w:r/>
          </w:p>
        </w:tc>
        <w:tc>
          <w:tcPr>
            <w:tcW w:w="1119" w:type="dxa"/>
            <w:vAlign w:val="top"/>
          </w:tcPr>
          <w:p>
            <w:pPr>
              <w:rPr>
                <w:rFonts w:ascii="Arial"/>
                <w:sz w:val="21"/>
              </w:rPr>
            </w:pPr>
            <w:r/>
          </w:p>
        </w:tc>
        <w:tc>
          <w:tcPr>
            <w:tcW w:w="819" w:type="dxa"/>
            <w:vAlign w:val="top"/>
          </w:tcPr>
          <w:p>
            <w:pPr>
              <w:rPr>
                <w:rFonts w:ascii="Arial"/>
                <w:sz w:val="21"/>
              </w:rPr>
            </w:pPr>
            <w:r/>
          </w:p>
        </w:tc>
        <w:tc>
          <w:tcPr>
            <w:tcW w:w="679" w:type="dxa"/>
            <w:vAlign w:val="top"/>
          </w:tcPr>
          <w:p>
            <w:pPr>
              <w:rPr>
                <w:rFonts w:ascii="Arial"/>
                <w:sz w:val="21"/>
              </w:rPr>
            </w:pPr>
            <w:r/>
          </w:p>
        </w:tc>
        <w:tc>
          <w:tcPr>
            <w:tcW w:w="6088" w:type="dxa"/>
            <w:vAlign w:val="top"/>
          </w:tcPr>
          <w:p>
            <w:pPr>
              <w:pStyle w:val="TableText"/>
              <w:ind w:left="33" w:right="91" w:firstLine="40"/>
              <w:spacing w:before="126" w:line="239" w:lineRule="auto"/>
              <w:rPr/>
            </w:pPr>
            <w:r>
              <w:rPr>
                <w:spacing w:val="-2"/>
              </w:rPr>
              <w:t>股东大会决议后，应当按照中国证监会的有关规定编制申请文件并申请核准。10.</w:t>
            </w:r>
            <w:r>
              <w:rPr>
                <w:spacing w:val="-3"/>
              </w:rPr>
              <w:t xml:space="preserve"> 《公开发</w:t>
            </w:r>
            <w:r>
              <w:rPr/>
              <w:t xml:space="preserve"> </w:t>
            </w:r>
            <w:r>
              <w:rPr/>
              <w:t>行证券的公司信息披露内容与格式准则第9号—首次公开发行股票并</w:t>
            </w:r>
            <w:r>
              <w:rPr>
                <w:spacing w:val="-1"/>
              </w:rPr>
              <w:t>上市申请文件》(证监</w:t>
            </w:r>
          </w:p>
          <w:p>
            <w:pPr>
              <w:pStyle w:val="TableText"/>
              <w:ind w:left="113"/>
              <w:spacing w:before="31" w:line="219" w:lineRule="auto"/>
              <w:rPr/>
            </w:pPr>
            <w:r>
              <w:rPr/>
              <w:t>发行字〔2006〕6号)附录：首次公开发行股票并上市申请文件目录</w:t>
            </w:r>
            <w:r>
              <w:rPr>
                <w:spacing w:val="-1"/>
              </w:rPr>
              <w:t>第四章会计师关于本次</w:t>
            </w:r>
          </w:p>
          <w:p>
            <w:pPr>
              <w:pStyle w:val="TableText"/>
              <w:ind w:left="33" w:right="113" w:firstLine="80"/>
              <w:spacing w:before="30" w:line="264" w:lineRule="auto"/>
              <w:rPr/>
            </w:pPr>
            <w:r>
              <w:rPr>
                <w:spacing w:val="-2"/>
              </w:rPr>
              <w:t>发行的文件4-1财务报告及审计报告。11. 《公开发行证券的公司信息披露内容与格式准则</w:t>
            </w:r>
            <w:r>
              <w:rPr>
                <w:spacing w:val="10"/>
              </w:rPr>
              <w:t xml:space="preserve"> </w:t>
            </w:r>
            <w:r>
              <w:rPr/>
              <w:t>第10号—上市公司公开发行证券申请文件》(证监发行字〔2006〕1号)附</w:t>
            </w:r>
            <w:r>
              <w:rPr>
                <w:spacing w:val="-1"/>
              </w:rPr>
              <w:t>录：第六章其他</w:t>
            </w:r>
          </w:p>
          <w:p>
            <w:pPr>
              <w:pStyle w:val="TableText"/>
              <w:ind w:left="33" w:right="205"/>
              <w:spacing w:before="42" w:line="253" w:lineRule="auto"/>
              <w:rPr/>
            </w:pPr>
            <w:r>
              <w:rPr>
                <w:spacing w:val="-2"/>
              </w:rPr>
              <w:t>文件6-1发行人最近三年的财务报告和审计报告及最近一期的财务报告。12. 《公</w:t>
            </w:r>
            <w:r>
              <w:rPr>
                <w:spacing w:val="-3"/>
              </w:rPr>
              <w:t>开发行证</w:t>
            </w:r>
            <w:r>
              <w:rPr/>
              <w:t xml:space="preserve"> </w:t>
            </w:r>
            <w:r>
              <w:rPr/>
              <w:t>券的公司信息披露内容与格式准则第29号—首次公开发行股</w:t>
            </w:r>
            <w:r>
              <w:rPr>
                <w:spacing w:val="-1"/>
              </w:rPr>
              <w:t>票并在创业板上市申请文件》</w:t>
            </w:r>
            <w:r>
              <w:rPr/>
              <w:t xml:space="preserve"> </w:t>
            </w:r>
            <w:r>
              <w:rPr>
                <w:spacing w:val="1"/>
              </w:rPr>
              <w:t>(证监会公告〔2014〕29号)附件1:第三章保荐人和证券服务机构文件3-2注册会计师</w:t>
            </w:r>
          </w:p>
          <w:p>
            <w:pPr>
              <w:pStyle w:val="TableText"/>
              <w:ind w:left="33" w:right="209"/>
              <w:spacing w:before="41" w:line="258" w:lineRule="auto"/>
              <w:rPr/>
            </w:pPr>
            <w:r>
              <w:rPr>
                <w:spacing w:val="-2"/>
              </w:rPr>
              <w:t>关于本次发行的文件3-2-1财务报告及审计报告。13. 《公开发行证券的公司信息</w:t>
            </w:r>
            <w:r>
              <w:rPr>
                <w:spacing w:val="-3"/>
              </w:rPr>
              <w:t>披露内容</w:t>
            </w:r>
            <w:r>
              <w:rPr/>
              <w:t xml:space="preserve"> </w:t>
            </w:r>
            <w:r>
              <w:rPr/>
              <w:t>与格式准则第37号—创业板上市公司发行证券申请文件》(证监会公告〔2014〕32号)附   </w:t>
            </w:r>
            <w:r>
              <w:rPr/>
              <w:t>件1:第六章其他文件6-1发行人最近三年的财务报告和审计报告及最近一期的财务报告。 </w:t>
            </w:r>
            <w:r>
              <w:rPr>
                <w:spacing w:val="-1"/>
              </w:rPr>
              <w:t>14. 《非上市公众公司监管指引第2号—</w:t>
            </w:r>
            <w:r>
              <w:rPr>
                <w:spacing w:val="-2"/>
              </w:rPr>
              <w:t>申请文件》(证监会公告〔2013〕2号):(六)财</w:t>
            </w:r>
          </w:p>
          <w:p>
            <w:pPr>
              <w:pStyle w:val="TableText"/>
              <w:ind w:left="33" w:right="51"/>
              <w:spacing w:before="43" w:line="244" w:lineRule="auto"/>
              <w:rPr/>
            </w:pPr>
            <w:r>
              <w:rPr>
                <w:spacing w:val="-2"/>
              </w:rPr>
              <w:t>务报表及审计报告。15. 《非上市公众公司信息披露内容与格式准则第2号——公开转让股票</w:t>
            </w:r>
            <w:r>
              <w:rPr>
                <w:spacing w:val="2"/>
              </w:rPr>
              <w:t xml:space="preserve"> </w:t>
            </w:r>
            <w:r>
              <w:rPr/>
              <w:t>申请文件》(证监会公告〔2013〕51号):3-1财务报表及审计报告(申请人最近两年原始</w:t>
            </w:r>
          </w:p>
          <w:p>
            <w:pPr>
              <w:pStyle w:val="TableText"/>
              <w:ind w:left="113" w:right="50" w:hanging="80"/>
              <w:spacing w:before="25" w:line="245" w:lineRule="auto"/>
              <w:rPr/>
            </w:pPr>
            <w:r>
              <w:rPr/>
              <w:t>财务报表与申报财务报表存在差异的，需要提供差异比较表及注册会计师</w:t>
            </w:r>
            <w:r>
              <w:rPr>
                <w:spacing w:val="-1"/>
              </w:rPr>
              <w:t>对差异情况出具的</w:t>
            </w:r>
            <w:r>
              <w:rPr/>
              <w:t xml:space="preserve"> </w:t>
            </w:r>
            <w:r>
              <w:rPr>
                <w:spacing w:val="-2"/>
              </w:rPr>
              <w:t>意见)。16. 《非上市公众公司信息披露内容与格式准则第4号——定向发行申请文件》(证</w:t>
            </w:r>
          </w:p>
          <w:p>
            <w:pPr>
              <w:pStyle w:val="TableText"/>
              <w:ind w:left="43"/>
              <w:spacing w:before="40" w:line="218" w:lineRule="auto"/>
              <w:rPr/>
            </w:pPr>
            <w:r>
              <w:rPr/>
              <w:t>监会公告〔2013〕53号):3-1申请人最近2年及1期的财务报告及其审计</w:t>
            </w:r>
            <w:r>
              <w:rPr>
                <w:spacing w:val="-1"/>
              </w:rPr>
              <w:t>报告，3-3本次</w:t>
            </w:r>
          </w:p>
          <w:p>
            <w:pPr>
              <w:pStyle w:val="TableText"/>
              <w:ind w:left="24"/>
              <w:spacing w:before="52" w:line="216" w:lineRule="auto"/>
              <w:rPr/>
            </w:pPr>
            <w:r>
              <w:rPr>
                <w:spacing w:val="1"/>
              </w:rPr>
              <w:t>定向发行收购资产相关的最近1年及1期的财务报告及其审计报告、资产评估报告(如有</w:t>
            </w:r>
            <w:r>
              <w:rPr/>
              <w:t>),</w:t>
            </w:r>
          </w:p>
          <w:p>
            <w:pPr>
              <w:pStyle w:val="TableText"/>
              <w:ind w:right="73" w:firstLine="133"/>
              <w:spacing w:before="46" w:line="256" w:lineRule="auto"/>
              <w:rPr/>
            </w:pPr>
            <w:r>
              <w:rPr>
                <w:spacing w:val="-3"/>
              </w:rPr>
              <w:t>17. 《非上市公众公司信息披露内容与格式准则第6号—重大资产重组报告书》(证监会</w:t>
            </w:r>
            <w:r>
              <w:rPr>
                <w:spacing w:val="-4"/>
              </w:rPr>
              <w:t>公告</w:t>
            </w:r>
            <w:r>
              <w:rPr/>
              <w:t xml:space="preserve"> </w:t>
            </w:r>
            <w:r>
              <w:rPr>
                <w:spacing w:val="1"/>
              </w:rPr>
              <w:t>〔2014〕35号):3-1本次重大资产重组涉</w:t>
            </w:r>
            <w:r>
              <w:rPr/>
              <w:t>及的拟购买、出售资产的财务报告和审计报告(确  </w:t>
            </w:r>
            <w:r>
              <w:rPr>
                <w:spacing w:val="1"/>
              </w:rPr>
              <w:t>实无法提供的，应当说明原因及其相关资产的财务状况和经营成果),3-3交易对方最近1</w:t>
            </w:r>
          </w:p>
          <w:p>
            <w:pPr>
              <w:pStyle w:val="TableText"/>
              <w:ind w:left="24" w:right="314"/>
              <w:spacing w:before="43" w:line="250" w:lineRule="auto"/>
              <w:rPr/>
            </w:pPr>
            <w:r>
              <w:rPr>
                <w:spacing w:val="-2"/>
              </w:rPr>
              <w:t>年的财务报告和审计报告(如有),3-4拟购买资产盈利预测报告(如有)。18. 《</w:t>
            </w:r>
            <w:r>
              <w:rPr>
                <w:spacing w:val="-3"/>
              </w:rPr>
              <w:t>非上市公</w:t>
            </w:r>
            <w:r>
              <w:rPr/>
              <w:t xml:space="preserve">  </w:t>
            </w:r>
            <w:r>
              <w:rPr>
                <w:spacing w:val="1"/>
              </w:rPr>
              <w:t>众公司信息披露内容与格式准则第8号一定向发行优先股申请文件》(证监会公告[2</w:t>
            </w:r>
            <w:r>
              <w:rPr/>
              <w:t>014] </w:t>
            </w:r>
            <w:r>
              <w:rPr/>
              <w:t>45号):3-1申请人最近2年及1期的财务报告及审计报告，3-3本次定向</w:t>
            </w:r>
            <w:r>
              <w:rPr>
                <w:spacing w:val="-1"/>
              </w:rPr>
              <w:t>发行优先股收赔</w:t>
            </w:r>
          </w:p>
          <w:p>
            <w:pPr>
              <w:pStyle w:val="TableText"/>
              <w:ind w:left="24"/>
              <w:spacing w:before="53" w:line="218" w:lineRule="auto"/>
              <w:rPr/>
            </w:pPr>
            <w:r>
              <w:rPr>
                <w:spacing w:val="1"/>
              </w:rPr>
              <w:t>资产相关的最近1年及1期的财务报告及其审计报告、资产评估报告或</w:t>
            </w:r>
            <w:r>
              <w:rPr/>
              <w:t>资产估值报告(如有)</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74656" behindDoc="0" locked="0" layoutInCell="0" allowOverlap="1">
                <wp:simplePos x="0" y="0"/>
                <wp:positionH relativeFrom="page">
                  <wp:posOffset>471020</wp:posOffset>
                </wp:positionH>
                <wp:positionV relativeFrom="page">
                  <wp:posOffset>623434</wp:posOffset>
                </wp:positionV>
                <wp:extent cx="172085" cy="157479"/>
                <wp:effectExtent l="0" t="0" r="0" b="0"/>
                <wp:wrapNone/>
                <wp:docPr id="448" name="TextBox 448"/>
                <wp:cNvGraphicFramePr/>
                <a:graphic>
                  <a:graphicData uri="http://schemas.microsoft.com/office/word/2010/wordprocessingShape">
                    <wps:wsp>
                      <wps:cNvSpPr txBox="1"/>
                      <wps:spPr>
                        <a:xfrm rot="5400000">
                          <a:off x="471020" y="623434"/>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0" style="position:absolute;margin-left:37.0882pt;margin-top:49.0893pt;mso-position-vertical-relative:page;mso-position-horizontal-relative:page;width:13.55pt;height:12.4pt;z-index:25197465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312</w:t>
                      </w:r>
                    </w:p>
                  </w:txbxContent>
                </v:textbox>
              </v:shape>
            </w:pict>
          </mc:Fallback>
        </mc:AlternateContent>
      </w:r>
      <w:r/>
    </w:p>
    <w:p>
      <w:pPr>
        <w:spacing w:before="51"/>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109"/>
        <w:gridCol w:w="809"/>
        <w:gridCol w:w="679"/>
        <w:gridCol w:w="6088"/>
      </w:tblGrid>
      <w:tr>
        <w:trPr>
          <w:trHeight w:val="454" w:hRule="atLeast"/>
        </w:trPr>
        <w:tc>
          <w:tcPr>
            <w:tcW w:w="295" w:type="dxa"/>
            <w:vAlign w:val="top"/>
            <w:textDirection w:val="tbRlV"/>
          </w:tcPr>
          <w:p>
            <w:pPr>
              <w:pStyle w:val="TableText"/>
              <w:ind w:left="27"/>
              <w:spacing w:before="70" w:line="217" w:lineRule="auto"/>
              <w:rPr/>
            </w:pPr>
            <w:r>
              <w:rPr/>
              <w:t>序</w:t>
            </w:r>
            <w:r>
              <w:rPr>
                <w:spacing w:val="16"/>
              </w:rPr>
              <w:t xml:space="preserve"> </w:t>
            </w:r>
            <w:r>
              <w:rPr/>
              <w:t>号</w:t>
            </w:r>
          </w:p>
        </w:tc>
        <w:tc>
          <w:tcPr>
            <w:tcW w:w="679" w:type="dxa"/>
            <w:vAlign w:val="top"/>
          </w:tcPr>
          <w:p>
            <w:pPr>
              <w:pStyle w:val="TableText"/>
              <w:ind w:left="30" w:right="32"/>
              <w:spacing w:before="60" w:line="236" w:lineRule="auto"/>
              <w:rPr/>
            </w:pPr>
            <w:r>
              <w:rPr>
                <w:spacing w:val="1"/>
              </w:rPr>
              <w:t>中介服务 </w:t>
            </w:r>
            <w:r>
              <w:rPr>
                <w:spacing w:val="-2"/>
              </w:rPr>
              <w:t>事项名称</w:t>
            </w:r>
          </w:p>
        </w:tc>
        <w:tc>
          <w:tcPr>
            <w:tcW w:w="1109" w:type="dxa"/>
            <w:vAlign w:val="top"/>
          </w:tcPr>
          <w:p>
            <w:pPr>
              <w:pStyle w:val="TableText"/>
              <w:ind w:left="239" w:right="35" w:hanging="219"/>
              <w:spacing w:before="61" w:line="233"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51" w:line="219" w:lineRule="auto"/>
              <w:rPr/>
            </w:pPr>
            <w:r>
              <w:rPr>
                <w:spacing w:val="4"/>
              </w:rPr>
              <w:t>审批部门</w:t>
            </w:r>
          </w:p>
        </w:tc>
        <w:tc>
          <w:tcPr>
            <w:tcW w:w="679" w:type="dxa"/>
            <w:vAlign w:val="top"/>
          </w:tcPr>
          <w:p>
            <w:pPr>
              <w:pStyle w:val="TableText"/>
              <w:ind w:left="32" w:right="28"/>
              <w:spacing w:before="4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50" w:line="219" w:lineRule="auto"/>
              <w:rPr/>
            </w:pPr>
            <w:r>
              <w:rPr>
                <w:spacing w:val="-2"/>
              </w:rPr>
              <w:t>设定依据</w:t>
            </w:r>
          </w:p>
        </w:tc>
      </w:tr>
      <w:tr>
        <w:trPr>
          <w:trHeight w:val="3554" w:hRule="atLeast"/>
        </w:trPr>
        <w:tc>
          <w:tcPr>
            <w:tcW w:w="295" w:type="dxa"/>
            <w:vAlign w:val="top"/>
          </w:tcPr>
          <w:p>
            <w:pPr>
              <w:pStyle w:val="TableText"/>
              <w:ind w:left="65"/>
              <w:spacing w:before="115" w:line="183" w:lineRule="auto"/>
              <w:rPr/>
            </w:pPr>
            <w:r>
              <w:rPr>
                <w:spacing w:val="-3"/>
              </w:rPr>
              <w:t>78</w:t>
            </w:r>
          </w:p>
        </w:tc>
        <w:tc>
          <w:tcPr>
            <w:tcW w:w="679" w:type="dxa"/>
            <w:vAlign w:val="top"/>
          </w:tcPr>
          <w:p>
            <w:pPr>
              <w:pStyle w:val="TableText"/>
              <w:ind w:left="30" w:right="47"/>
              <w:spacing w:before="77" w:line="257" w:lineRule="auto"/>
              <w:rPr/>
            </w:pPr>
            <w:r>
              <w:rPr>
                <w:spacing w:val="-3"/>
              </w:rPr>
              <w:t>公司公开</w:t>
            </w:r>
            <w:r>
              <w:rPr/>
              <w:t xml:space="preserve"> </w:t>
            </w:r>
            <w:r>
              <w:rPr>
                <w:spacing w:val="-3"/>
              </w:rPr>
              <w:t>发行股票</w:t>
            </w:r>
          </w:p>
          <w:p>
            <w:pPr>
              <w:pStyle w:val="TableText"/>
              <w:ind w:left="10" w:right="12" w:firstLine="89"/>
              <w:spacing w:before="42" w:line="246" w:lineRule="auto"/>
              <w:rPr/>
            </w:pPr>
            <w:r>
              <w:rPr>
                <w:spacing w:val="-12"/>
              </w:rPr>
              <w:t>(</w:t>
            </w:r>
            <w:r>
              <w:rPr>
                <w:spacing w:val="-30"/>
              </w:rPr>
              <w:t xml:space="preserve"> </w:t>
            </w:r>
            <w:r>
              <w:rPr>
                <w:spacing w:val="-12"/>
              </w:rPr>
              <w:t>A</w:t>
            </w:r>
            <w:r>
              <w:rPr>
                <w:spacing w:val="-26"/>
              </w:rPr>
              <w:t xml:space="preserve"> </w:t>
            </w:r>
            <w:r>
              <w:rPr>
                <w:spacing w:val="-12"/>
              </w:rPr>
              <w:t>股</w:t>
            </w:r>
            <w:r>
              <w:rPr>
                <w:spacing w:val="-16"/>
              </w:rPr>
              <w:t xml:space="preserve"> </w:t>
            </w:r>
            <w:r>
              <w:rPr>
                <w:spacing w:val="-12"/>
              </w:rPr>
              <w:t>、</w:t>
            </w:r>
            <w:r>
              <w:rPr/>
              <w:t xml:space="preserve"> </w:t>
            </w:r>
            <w:r>
              <w:rPr>
                <w:spacing w:val="-5"/>
              </w:rPr>
              <w:t>B 股 ) 验</w:t>
            </w:r>
            <w:r>
              <w:rPr>
                <w:spacing w:val="5"/>
              </w:rPr>
              <w:t xml:space="preserve"> </w:t>
            </w:r>
            <w:r>
              <w:rPr/>
              <w:t>资</w:t>
            </w:r>
          </w:p>
        </w:tc>
        <w:tc>
          <w:tcPr>
            <w:tcW w:w="1109" w:type="dxa"/>
            <w:vAlign w:val="top"/>
          </w:tcPr>
          <w:p>
            <w:pPr>
              <w:pStyle w:val="TableText"/>
              <w:ind w:left="131"/>
              <w:spacing w:before="79" w:line="221" w:lineRule="auto"/>
              <w:rPr/>
            </w:pPr>
            <w:r>
              <w:rPr>
                <w:spacing w:val="1"/>
              </w:rPr>
              <w:t>(44028)公司</w:t>
            </w:r>
          </w:p>
          <w:p>
            <w:pPr>
              <w:pStyle w:val="TableText"/>
              <w:ind w:left="10" w:right="65" w:firstLine="80"/>
              <w:spacing w:before="38" w:line="254" w:lineRule="auto"/>
              <w:rPr/>
            </w:pPr>
            <w:r>
              <w:rPr>
                <w:spacing w:val="-2"/>
              </w:rPr>
              <w:t>公开发行股票 </w:t>
            </w:r>
            <w:r>
              <w:rPr>
                <w:spacing w:val="-1"/>
              </w:rPr>
              <w:t>(</w:t>
            </w:r>
            <w:r>
              <w:rPr>
                <w:spacing w:val="-29"/>
              </w:rPr>
              <w:t xml:space="preserve"> </w:t>
            </w:r>
            <w:r>
              <w:rPr>
                <w:spacing w:val="-1"/>
              </w:rPr>
              <w:t>A</w:t>
            </w:r>
            <w:r>
              <w:rPr>
                <w:spacing w:val="-30"/>
              </w:rPr>
              <w:t xml:space="preserve"> </w:t>
            </w:r>
            <w:r>
              <w:rPr>
                <w:spacing w:val="-1"/>
              </w:rPr>
              <w:t>股</w:t>
            </w:r>
            <w:r>
              <w:rPr>
                <w:spacing w:val="-20"/>
              </w:rPr>
              <w:t xml:space="preserve"> </w:t>
            </w:r>
            <w:r>
              <w:rPr>
                <w:spacing w:val="-1"/>
              </w:rPr>
              <w:t>、</w:t>
            </w:r>
            <w:r>
              <w:rPr>
                <w:spacing w:val="-33"/>
              </w:rPr>
              <w:t xml:space="preserve"> </w:t>
            </w:r>
            <w:r>
              <w:rPr>
                <w:spacing w:val="-1"/>
              </w:rPr>
              <w:t>B</w:t>
            </w:r>
            <w:r>
              <w:rPr>
                <w:spacing w:val="-30"/>
              </w:rPr>
              <w:t xml:space="preserve"> </w:t>
            </w:r>
            <w:r>
              <w:rPr>
                <w:spacing w:val="-1"/>
              </w:rPr>
              <w:t>股</w:t>
            </w:r>
            <w:r>
              <w:rPr>
                <w:spacing w:val="-30"/>
              </w:rPr>
              <w:t xml:space="preserve"> </w:t>
            </w:r>
            <w:r>
              <w:rPr>
                <w:spacing w:val="-1"/>
              </w:rPr>
              <w:t>)</w:t>
            </w:r>
            <w:r>
              <w:rPr/>
              <w:t xml:space="preserve"> </w:t>
            </w:r>
            <w:r>
              <w:rPr>
                <w:spacing w:val="-2"/>
              </w:rPr>
              <w:t>核准</w:t>
            </w:r>
          </w:p>
        </w:tc>
        <w:tc>
          <w:tcPr>
            <w:tcW w:w="809" w:type="dxa"/>
            <w:vAlign w:val="top"/>
          </w:tcPr>
          <w:p>
            <w:pPr>
              <w:pStyle w:val="TableText"/>
              <w:ind w:left="172"/>
              <w:spacing w:before="76" w:line="219" w:lineRule="auto"/>
              <w:rPr/>
            </w:pPr>
            <w:r>
              <w:rPr>
                <w:spacing w:val="-2"/>
              </w:rPr>
              <w:t>证监会</w:t>
            </w:r>
          </w:p>
        </w:tc>
        <w:tc>
          <w:tcPr>
            <w:tcW w:w="679" w:type="dxa"/>
            <w:vAlign w:val="top"/>
          </w:tcPr>
          <w:p>
            <w:pPr>
              <w:pStyle w:val="TableText"/>
              <w:ind w:left="12" w:right="19" w:firstLine="10"/>
              <w:spacing w:before="79" w:line="262"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3"/>
              </w:rPr>
              <w:t>券、期货</w:t>
            </w:r>
            <w:r>
              <w:rPr>
                <w:spacing w:val="1"/>
              </w:rPr>
              <w:t xml:space="preserve"> </w:t>
            </w:r>
            <w:r>
              <w:rPr>
                <w:spacing w:val="3"/>
              </w:rPr>
              <w:t>相关业务</w:t>
            </w:r>
            <w:r>
              <w:rPr>
                <w:spacing w:val="1"/>
              </w:rPr>
              <w:t xml:space="preserve"> </w:t>
            </w:r>
            <w:r>
              <w:rPr>
                <w:spacing w:val="1"/>
              </w:rPr>
              <w:t>资格的会</w:t>
            </w:r>
            <w:r>
              <w:rPr>
                <w:spacing w:val="2"/>
              </w:rPr>
              <w:t xml:space="preserve"> </w:t>
            </w:r>
            <w:r>
              <w:rPr>
                <w:spacing w:val="3"/>
              </w:rPr>
              <w:t>计师事务</w:t>
            </w:r>
            <w:r>
              <w:rPr>
                <w:spacing w:val="1"/>
              </w:rPr>
              <w:t xml:space="preserve"> </w:t>
            </w:r>
            <w:r>
              <w:rPr/>
              <w:t>所</w:t>
            </w:r>
          </w:p>
        </w:tc>
        <w:tc>
          <w:tcPr>
            <w:tcW w:w="6088" w:type="dxa"/>
            <w:vAlign w:val="top"/>
          </w:tcPr>
          <w:p>
            <w:pPr>
              <w:pStyle w:val="TableText"/>
              <w:ind w:left="14" w:firstLine="39"/>
              <w:spacing w:before="78" w:line="263" w:lineRule="auto"/>
              <w:jc w:val="both"/>
              <w:rPr/>
            </w:pPr>
            <w:r>
              <w:rPr>
                <w:spacing w:val="-7"/>
              </w:rPr>
              <w:t>1.《中华人民共和国证券法》第十九条：发行人依法申请核准发行证券</w:t>
            </w:r>
            <w:r>
              <w:rPr>
                <w:spacing w:val="-8"/>
              </w:rPr>
              <w:t>所报送的申请文件的格式</w:t>
            </w:r>
            <w:r>
              <w:rPr/>
              <w:t xml:space="preserve"> </w:t>
            </w:r>
            <w:r>
              <w:rPr>
                <w:spacing w:val="-4"/>
              </w:rPr>
              <w:t>报送方式，由依法负责核准的机构或者部门规定。2.</w:t>
            </w:r>
            <w:r>
              <w:rPr>
                <w:spacing w:val="-5"/>
              </w:rPr>
              <w:t xml:space="preserve"> 《中华人民共和国证券法》第一百七十三</w:t>
            </w:r>
            <w:r>
              <w:rPr/>
              <w:t xml:space="preserve"> </w:t>
            </w:r>
            <w:r>
              <w:rPr/>
              <w:t>条：证券服务机构为证券发行、上市、交易等证</w:t>
            </w:r>
            <w:r>
              <w:rPr>
                <w:spacing w:val="-1"/>
              </w:rPr>
              <w:t>券业务活动制作、出具审计报告、资产评估</w:t>
            </w:r>
            <w:r>
              <w:rPr/>
              <w:t xml:space="preserve">  </w:t>
            </w:r>
            <w:r>
              <w:rPr/>
              <w:t>报告、财务顾问报告、资信评级报告或者法律意见书等</w:t>
            </w:r>
            <w:r>
              <w:rPr>
                <w:spacing w:val="-1"/>
              </w:rPr>
              <w:t>文件，应当勤勉尽责，对所依据的文</w:t>
            </w:r>
            <w:r>
              <w:rPr/>
              <w:t xml:space="preserve">  </w:t>
            </w:r>
            <w:r>
              <w:rPr>
                <w:spacing w:val="-5"/>
              </w:rPr>
              <w:t>件资料内容的真实性、准确性、完整性进行核查和验证。3. 《首次公开发行股票并上市管理办</w:t>
            </w:r>
            <w:r>
              <w:rPr>
                <w:spacing w:val="18"/>
              </w:rPr>
              <w:t xml:space="preserve"> </w:t>
            </w:r>
            <w:r>
              <w:rPr/>
              <w:t>法》(证监会令第122号)第三十三条：发行人应当按照中国证监</w:t>
            </w:r>
            <w:r>
              <w:rPr>
                <w:spacing w:val="-1"/>
              </w:rPr>
              <w:t>会的有关规定制作申请文件，</w:t>
            </w:r>
            <w:r>
              <w:rPr/>
              <w:t xml:space="preserve"> </w:t>
            </w:r>
            <w:r>
              <w:rPr>
                <w:spacing w:val="-3"/>
              </w:rPr>
              <w:t>由保荐人保荐并向中国证监会申报。4. 《首次公开发行股票并在创业板上市管理办法</w:t>
            </w:r>
            <w:r>
              <w:rPr>
                <w:spacing w:val="-4"/>
              </w:rPr>
              <w:t>》(证监</w:t>
            </w:r>
          </w:p>
          <w:p>
            <w:pPr>
              <w:pStyle w:val="TableText"/>
              <w:ind w:left="14" w:firstLine="99"/>
              <w:spacing w:before="42" w:line="264" w:lineRule="auto"/>
              <w:rPr/>
            </w:pPr>
            <w:r>
              <w:rPr/>
              <w:t>会令第123号)第二十三条：发行人应当按照中国证监会</w:t>
            </w:r>
            <w:r>
              <w:rPr>
                <w:spacing w:val="-1"/>
              </w:rPr>
              <w:t>有关规定制作申请文件，由保荐人  </w:t>
            </w:r>
            <w:r>
              <w:rPr>
                <w:spacing w:val="-2"/>
              </w:rPr>
              <w:t>保荐并向中国证监会申报。5. 《公开发行证券的公司信息披露内容与格式准则第9号—首</w:t>
            </w:r>
            <w:r>
              <w:rPr>
                <w:spacing w:val="-3"/>
              </w:rPr>
              <w:t>次公</w:t>
            </w:r>
            <w:r>
              <w:rPr/>
              <w:t xml:space="preserve"> </w:t>
            </w:r>
            <w:r>
              <w:rPr>
                <w:spacing w:val="2"/>
              </w:rPr>
              <w:t>开发行股票并上市申请文件》(证监发行字〔2006〕6</w:t>
            </w:r>
            <w:r>
              <w:rPr>
                <w:spacing w:val="1"/>
              </w:rPr>
              <w:t>号)附录；首次公开发行股票并上市申</w:t>
            </w:r>
            <w:r>
              <w:rPr/>
              <w:t xml:space="preserve">  </w:t>
            </w:r>
            <w:r>
              <w:rPr>
                <w:spacing w:val="1"/>
              </w:rPr>
              <w:t>请文件目录：第四章会计师关于本次发行的文件、第八章与财务会计相关的其他文件8-5发</w:t>
            </w:r>
            <w:r>
              <w:rPr>
                <w:spacing w:val="4"/>
              </w:rPr>
              <w:t xml:space="preserve">  </w:t>
            </w:r>
            <w:r>
              <w:rPr>
                <w:spacing w:val="-2"/>
              </w:rPr>
              <w:t>行人的历次验资报告。6. 《公开发行证券的公司信息披露内容与格式准则第10号——</w:t>
            </w:r>
            <w:r>
              <w:rPr>
                <w:u w:val="single" w:color="auto"/>
                <w:spacing w:val="-2"/>
              </w:rPr>
              <w:t>上</w:t>
            </w:r>
            <w:r>
              <w:rPr>
                <w:spacing w:val="-2"/>
              </w:rPr>
              <w:t>市公</w:t>
            </w:r>
            <w:r>
              <w:rPr>
                <w:spacing w:val="7"/>
              </w:rPr>
              <w:t xml:space="preserve">  </w:t>
            </w:r>
            <w:r>
              <w:rPr>
                <w:spacing w:val="1"/>
              </w:rPr>
              <w:t>司公开发行证券申请文件》(证监发行字〔2006〕1号)附录：上市公司公开发行证券申请文</w:t>
            </w:r>
            <w:r>
              <w:rPr/>
              <w:t xml:space="preserve">  </w:t>
            </w:r>
            <w:r>
              <w:rPr>
                <w:spacing w:val="-1"/>
              </w:rPr>
              <w:t>件目录。7. 《公开发行证券的公司信息披</w:t>
            </w:r>
            <w:r>
              <w:rPr>
                <w:spacing w:val="-2"/>
              </w:rPr>
              <w:t>露内容与格式准则第29号—首次公开发行股票并在 </w:t>
            </w:r>
            <w:r>
              <w:rPr/>
              <w:t>创业板上市申请文件》(证监会公告〔2014〕29号)附件1:3-2注册会计师关于本次发</w:t>
            </w:r>
            <w:r>
              <w:rPr>
                <w:spacing w:val="-1"/>
              </w:rPr>
              <w:t>行的</w:t>
            </w:r>
          </w:p>
          <w:p>
            <w:pPr>
              <w:pStyle w:val="TableText"/>
              <w:ind w:left="43"/>
              <w:spacing w:before="42" w:line="207" w:lineRule="auto"/>
              <w:rPr/>
            </w:pPr>
            <w:r>
              <w:rPr/>
              <w:t>文件，第五章与财务会计资料相关的其他文件5-5发</w:t>
            </w:r>
            <w:r>
              <w:rPr>
                <w:spacing w:val="-1"/>
              </w:rPr>
              <w:t>行人的历次验资报告</w:t>
            </w:r>
          </w:p>
        </w:tc>
      </w:tr>
      <w:tr>
        <w:trPr>
          <w:trHeight w:val="2231" w:hRule="atLeast"/>
        </w:trPr>
        <w:tc>
          <w:tcPr>
            <w:tcW w:w="295" w:type="dxa"/>
            <w:vAlign w:val="top"/>
          </w:tcPr>
          <w:p>
            <w:pPr>
              <w:pStyle w:val="TableText"/>
              <w:ind w:left="65"/>
              <w:spacing w:before="131" w:line="183" w:lineRule="auto"/>
              <w:rPr/>
            </w:pPr>
            <w:r>
              <w:rPr>
                <w:spacing w:val="-3"/>
              </w:rPr>
              <w:t>79</w:t>
            </w:r>
          </w:p>
        </w:tc>
        <w:tc>
          <w:tcPr>
            <w:tcW w:w="679" w:type="dxa"/>
            <w:vAlign w:val="top"/>
          </w:tcPr>
          <w:p>
            <w:pPr>
              <w:pStyle w:val="TableText"/>
              <w:ind w:left="30" w:right="44"/>
              <w:spacing w:before="73" w:line="255" w:lineRule="auto"/>
              <w:jc w:val="both"/>
              <w:rPr/>
            </w:pPr>
            <w:r>
              <w:rPr>
                <w:spacing w:val="-3"/>
              </w:rPr>
              <w:t>公司公开</w:t>
            </w:r>
            <w:r>
              <w:rPr/>
              <w:t xml:space="preserve"> </w:t>
            </w:r>
            <w:r>
              <w:rPr>
                <w:spacing w:val="-3"/>
              </w:rPr>
              <w:t>发行股票</w:t>
            </w:r>
            <w:r>
              <w:rPr>
                <w:spacing w:val="2"/>
              </w:rPr>
              <w:t xml:space="preserve"> </w:t>
            </w:r>
            <w:r>
              <w:rPr>
                <w:spacing w:val="2"/>
              </w:rPr>
              <w:t>(</w:t>
            </w:r>
            <w:r>
              <w:rPr>
                <w:spacing w:val="-31"/>
              </w:rPr>
              <w:t xml:space="preserve"> </w:t>
            </w:r>
            <w:r>
              <w:rPr>
                <w:spacing w:val="2"/>
              </w:rPr>
              <w:t>A</w:t>
            </w:r>
            <w:r>
              <w:rPr>
                <w:spacing w:val="-26"/>
              </w:rPr>
              <w:t xml:space="preserve"> </w:t>
            </w:r>
            <w:r>
              <w:rPr>
                <w:spacing w:val="2"/>
              </w:rPr>
              <w:t>股</w:t>
            </w:r>
            <w:r>
              <w:rPr>
                <w:spacing w:val="-33"/>
              </w:rPr>
              <w:t xml:space="preserve"> </w:t>
            </w:r>
            <w:r>
              <w:rPr>
                <w:spacing w:val="2"/>
              </w:rPr>
              <w:t>、</w:t>
            </w:r>
          </w:p>
          <w:p>
            <w:pPr>
              <w:pStyle w:val="TableText"/>
              <w:ind w:left="20" w:right="17"/>
              <w:spacing w:before="38" w:line="231" w:lineRule="auto"/>
              <w:rPr/>
            </w:pPr>
            <w:r>
              <w:rPr>
                <w:spacing w:val="-6"/>
              </w:rPr>
              <w:t>B</w:t>
            </w:r>
            <w:r>
              <w:rPr>
                <w:spacing w:val="-8"/>
              </w:rPr>
              <w:t xml:space="preserve"> </w:t>
            </w:r>
            <w:r>
              <w:rPr>
                <w:spacing w:val="-6"/>
              </w:rPr>
              <w:t>股</w:t>
            </w:r>
            <w:r>
              <w:rPr>
                <w:spacing w:val="-7"/>
              </w:rPr>
              <w:t xml:space="preserve"> </w:t>
            </w:r>
            <w:r>
              <w:rPr>
                <w:spacing w:val="-6"/>
              </w:rPr>
              <w:t>) 资</w:t>
            </w:r>
            <w:r>
              <w:rPr/>
              <w:t xml:space="preserve"> </w:t>
            </w:r>
            <w:r>
              <w:rPr>
                <w:spacing w:val="-2"/>
              </w:rPr>
              <w:t>产评估</w:t>
            </w:r>
          </w:p>
        </w:tc>
        <w:tc>
          <w:tcPr>
            <w:tcW w:w="1109" w:type="dxa"/>
            <w:vAlign w:val="top"/>
          </w:tcPr>
          <w:p>
            <w:pPr>
              <w:pStyle w:val="TableText"/>
              <w:ind w:left="20" w:right="65" w:firstLine="110"/>
              <w:spacing w:before="73" w:line="258" w:lineRule="auto"/>
              <w:jc w:val="both"/>
              <w:rPr/>
            </w:pPr>
            <w:r>
              <w:rPr>
                <w:spacing w:val="1"/>
              </w:rPr>
              <w:t>(44028)公司</w:t>
            </w:r>
            <w:r>
              <w:rPr>
                <w:spacing w:val="2"/>
              </w:rPr>
              <w:t xml:space="preserve">  </w:t>
            </w:r>
            <w:r>
              <w:rPr>
                <w:spacing w:val="8"/>
              </w:rPr>
              <w:t>公开发行股票 </w:t>
            </w:r>
            <w:r>
              <w:rPr>
                <w:spacing w:val="-2"/>
              </w:rPr>
              <w:t>(</w:t>
            </w:r>
            <w:r>
              <w:rPr>
                <w:spacing w:val="-32"/>
              </w:rPr>
              <w:t xml:space="preserve"> </w:t>
            </w:r>
            <w:r>
              <w:rPr>
                <w:spacing w:val="-2"/>
              </w:rPr>
              <w:t>A</w:t>
            </w:r>
            <w:r>
              <w:rPr>
                <w:spacing w:val="-30"/>
              </w:rPr>
              <w:t xml:space="preserve"> </w:t>
            </w:r>
            <w:r>
              <w:rPr>
                <w:spacing w:val="-2"/>
              </w:rPr>
              <w:t>股</w:t>
            </w:r>
            <w:r>
              <w:rPr>
                <w:spacing w:val="-20"/>
              </w:rPr>
              <w:t xml:space="preserve"> </w:t>
            </w:r>
            <w:r>
              <w:rPr>
                <w:spacing w:val="-2"/>
              </w:rPr>
              <w:t>、</w:t>
            </w:r>
            <w:r>
              <w:rPr>
                <w:spacing w:val="-33"/>
              </w:rPr>
              <w:t xml:space="preserve"> </w:t>
            </w:r>
            <w:r>
              <w:rPr>
                <w:spacing w:val="-2"/>
              </w:rPr>
              <w:t>B</w:t>
            </w:r>
            <w:r>
              <w:rPr>
                <w:spacing w:val="-30"/>
              </w:rPr>
              <w:t xml:space="preserve"> </w:t>
            </w:r>
            <w:r>
              <w:rPr>
                <w:spacing w:val="-2"/>
              </w:rPr>
              <w:t>股</w:t>
            </w:r>
            <w:r>
              <w:rPr>
                <w:spacing w:val="-30"/>
              </w:rPr>
              <w:t xml:space="preserve"> </w:t>
            </w:r>
            <w:r>
              <w:rPr>
                <w:spacing w:val="-2"/>
              </w:rPr>
              <w:t>)</w:t>
            </w:r>
            <w:r>
              <w:rPr/>
              <w:t xml:space="preserve"> </w:t>
            </w:r>
            <w:r>
              <w:rPr>
                <w:spacing w:val="-2"/>
              </w:rPr>
              <w:t>核准</w:t>
            </w:r>
          </w:p>
        </w:tc>
        <w:tc>
          <w:tcPr>
            <w:tcW w:w="809" w:type="dxa"/>
            <w:vAlign w:val="top"/>
          </w:tcPr>
          <w:p>
            <w:pPr>
              <w:pStyle w:val="TableText"/>
              <w:ind w:left="172"/>
              <w:spacing w:before="52" w:line="219" w:lineRule="auto"/>
              <w:rPr/>
            </w:pPr>
            <w:r>
              <w:rPr>
                <w:spacing w:val="-2"/>
              </w:rPr>
              <w:t>证监会</w:t>
            </w:r>
          </w:p>
        </w:tc>
        <w:tc>
          <w:tcPr>
            <w:tcW w:w="679" w:type="dxa"/>
            <w:vAlign w:val="top"/>
          </w:tcPr>
          <w:p>
            <w:pPr>
              <w:pStyle w:val="TableText"/>
              <w:ind w:left="12" w:right="24" w:firstLine="20"/>
              <w:spacing w:before="74" w:line="258" w:lineRule="auto"/>
              <w:jc w:val="both"/>
              <w:rPr/>
            </w:pPr>
            <w:r>
              <w:rPr>
                <w:spacing w:val="-3"/>
              </w:rPr>
              <w:t>具有证券</w:t>
            </w:r>
            <w:r>
              <w:rPr>
                <w:spacing w:val="2"/>
              </w:rPr>
              <w:t xml:space="preserve"> </w:t>
            </w:r>
            <w:r>
              <w:rPr>
                <w:spacing w:val="3"/>
              </w:rPr>
              <w:t>相关业务</w:t>
            </w:r>
            <w:r>
              <w:rPr>
                <w:spacing w:val="1"/>
              </w:rPr>
              <w:t xml:space="preserve"> </w:t>
            </w:r>
            <w:r>
              <w:rPr>
                <w:spacing w:val="7"/>
              </w:rPr>
              <w:t>资格的资</w:t>
            </w:r>
            <w:r>
              <w:rPr>
                <w:spacing w:val="2"/>
              </w:rPr>
              <w:t xml:space="preserve"> </w:t>
            </w:r>
            <w:r>
              <w:rPr>
                <w:spacing w:val="3"/>
              </w:rPr>
              <w:t>产评估机</w:t>
            </w:r>
            <w:r>
              <w:rPr>
                <w:spacing w:val="1"/>
              </w:rPr>
              <w:t xml:space="preserve"> </w:t>
            </w:r>
            <w:r>
              <w:rPr/>
              <w:t>构</w:t>
            </w:r>
          </w:p>
        </w:tc>
        <w:tc>
          <w:tcPr>
            <w:tcW w:w="6088" w:type="dxa"/>
            <w:vAlign w:val="top"/>
          </w:tcPr>
          <w:p>
            <w:pPr>
              <w:pStyle w:val="TableText"/>
              <w:ind w:left="34"/>
              <w:spacing w:before="62" w:line="219" w:lineRule="auto"/>
              <w:rPr/>
            </w:pPr>
            <w:r>
              <w:rPr>
                <w:spacing w:val="-2"/>
              </w:rPr>
              <w:t>1. 《中华人民共和国证券法》第十九条：发行人依法申请核准发行证券所报送的申请文件的</w:t>
            </w:r>
          </w:p>
          <w:p>
            <w:pPr>
              <w:pStyle w:val="TableText"/>
              <w:ind w:left="34" w:right="52" w:firstLine="79"/>
              <w:spacing w:before="41" w:line="263" w:lineRule="auto"/>
              <w:rPr/>
            </w:pPr>
            <w:r>
              <w:rPr>
                <w:spacing w:val="-2"/>
              </w:rPr>
              <w:t>格式、报送方式，由依法负责核准的机构或者部门规定。2. 《中华</w:t>
            </w:r>
            <w:r>
              <w:rPr>
                <w:spacing w:val="-3"/>
              </w:rPr>
              <w:t>人民共和国证券法》第</w:t>
            </w:r>
            <w:r>
              <w:rPr/>
              <w:t xml:space="preserve">  </w:t>
            </w:r>
            <w:r>
              <w:rPr/>
              <w:t>一百七十三条；证券服务机构为证券发行、上市、交易等证券业务活</w:t>
            </w:r>
            <w:r>
              <w:rPr>
                <w:spacing w:val="-1"/>
              </w:rPr>
              <w:t>动制作、出具审计报告</w:t>
            </w:r>
            <w:r>
              <w:rPr/>
              <w:t xml:space="preserve"> </w:t>
            </w:r>
            <w:r>
              <w:rPr/>
              <w:t>资产评估报告、财务顾问报告、资信评级报告或者法律意见</w:t>
            </w:r>
            <w:r>
              <w:rPr>
                <w:spacing w:val="-1"/>
              </w:rPr>
              <w:t>书等文件，应当勤勉尽责，对所</w:t>
            </w:r>
            <w:r>
              <w:rPr/>
              <w:t xml:space="preserve"> </w:t>
            </w:r>
            <w:r>
              <w:rPr>
                <w:spacing w:val="-2"/>
              </w:rPr>
              <w:t>依据的文件资料内容的真实性、准确性、完整性进行核查和验证。3. 《首次公</w:t>
            </w:r>
            <w:r>
              <w:rPr>
                <w:spacing w:val="-3"/>
              </w:rPr>
              <w:t>开发行股票并</w:t>
            </w:r>
            <w:r>
              <w:rPr/>
              <w:t xml:space="preserve"> </w:t>
            </w:r>
            <w:r>
              <w:rPr/>
              <w:t>上市管理办法》(证监会令第122号)第三十三条：发行人应当按照中国证监会的有关规定</w:t>
            </w:r>
          </w:p>
          <w:p>
            <w:pPr>
              <w:pStyle w:val="TableText"/>
              <w:ind w:left="24" w:right="59" w:firstLine="10"/>
              <w:spacing w:before="41" w:line="245" w:lineRule="auto"/>
              <w:rPr/>
            </w:pPr>
            <w:r>
              <w:rPr>
                <w:spacing w:val="-2"/>
              </w:rPr>
              <w:t>制作申请文件，由保荐人保荐并向中国证监会申报。4. 《首次公开发行股</w:t>
            </w:r>
            <w:r>
              <w:rPr>
                <w:spacing w:val="-3"/>
              </w:rPr>
              <w:t>票并在创业板上市</w:t>
            </w:r>
            <w:r>
              <w:rPr/>
              <w:t xml:space="preserve"> </w:t>
            </w:r>
            <w:r>
              <w:rPr/>
              <w:t>管理办法》(证监会令第123号)第二十三条：发行人应当按照中国证监会有关规定制作申</w:t>
            </w:r>
          </w:p>
          <w:p>
            <w:pPr>
              <w:pStyle w:val="TableText"/>
              <w:ind w:left="34" w:right="90" w:firstLine="39"/>
              <w:spacing w:before="52" w:line="233" w:lineRule="auto"/>
              <w:rPr/>
            </w:pPr>
            <w:r>
              <w:rPr>
                <w:spacing w:val="-2"/>
              </w:rPr>
              <w:t>请文件，由保荐人保荐并向中国证监会申报。5. 《上市公司证券发行管理办法》(</w:t>
            </w:r>
            <w:r>
              <w:rPr>
                <w:spacing w:val="-3"/>
              </w:rPr>
              <w:t>证监会令</w:t>
            </w:r>
            <w:r>
              <w:rPr/>
              <w:t xml:space="preserve"> </w:t>
            </w:r>
            <w:r>
              <w:rPr/>
              <w:t>第57号)第四十一条第二款；保荐人按照中国证监会的有关规定编制和报送发行申请文</w:t>
            </w:r>
            <w:r>
              <w:rPr>
                <w:spacing w:val="-1"/>
              </w:rPr>
              <w:t>件。</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75680" behindDoc="0" locked="0" layoutInCell="0" allowOverlap="1">
                <wp:simplePos x="0" y="0"/>
                <wp:positionH relativeFrom="page">
                  <wp:posOffset>471019</wp:posOffset>
                </wp:positionH>
                <wp:positionV relativeFrom="page">
                  <wp:posOffset>4382610</wp:posOffset>
                </wp:positionV>
                <wp:extent cx="172085" cy="157479"/>
                <wp:effectExtent l="0" t="0" r="0" b="0"/>
                <wp:wrapNone/>
                <wp:docPr id="450" name="TextBox 450"/>
                <wp:cNvGraphicFramePr/>
                <a:graphic>
                  <a:graphicData uri="http://schemas.microsoft.com/office/word/2010/wordprocessingShape">
                    <wps:wsp>
                      <wps:cNvSpPr txBox="1"/>
                      <wps:spPr>
                        <a:xfrm rot="5400000">
                          <a:off x="471019" y="4382610"/>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2" style="position:absolute;margin-left:37.0882pt;margin-top:345.087pt;mso-position-vertical-relative:page;mso-position-horizontal-relative:page;width:13.55pt;height:12.4pt;z-index:25197568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313</w:t>
                      </w:r>
                    </w:p>
                  </w:txbxContent>
                </v:textbox>
              </v:shape>
            </w:pict>
          </mc:Fallback>
        </mc:AlternateContent>
      </w:r>
      <w:r/>
    </w:p>
    <w:p>
      <w:pPr>
        <w:spacing w:before="51"/>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19"/>
        <w:gridCol w:w="819"/>
        <w:gridCol w:w="679"/>
        <w:gridCol w:w="6088"/>
      </w:tblGrid>
      <w:tr>
        <w:trPr>
          <w:trHeight w:val="474" w:hRule="atLeast"/>
        </w:trPr>
        <w:tc>
          <w:tcPr>
            <w:tcW w:w="295" w:type="dxa"/>
            <w:vAlign w:val="top"/>
            <w:textDirection w:val="tbRlV"/>
          </w:tcPr>
          <w:p>
            <w:pPr>
              <w:pStyle w:val="TableText"/>
              <w:ind w:left="37"/>
              <w:spacing w:before="9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19" w:type="dxa"/>
            <w:vAlign w:val="top"/>
          </w:tcPr>
          <w:p>
            <w:pPr>
              <w:pStyle w:val="TableText"/>
              <w:ind w:left="249" w:right="45" w:hanging="229"/>
              <w:spacing w:before="61" w:line="248" w:lineRule="auto"/>
              <w:rPr/>
            </w:pPr>
            <w:r>
              <w:rPr>
                <w:spacing w:val="-2"/>
              </w:rPr>
              <w:t>涉及的审批事项</w:t>
            </w:r>
            <w:r>
              <w:rPr>
                <w:spacing w:val="5"/>
              </w:rPr>
              <w:t xml:space="preserve"> </w:t>
            </w:r>
            <w:r>
              <w:rPr>
                <w:spacing w:val="-2"/>
              </w:rPr>
              <w:t>项目名称</w:t>
            </w:r>
          </w:p>
        </w:tc>
        <w:tc>
          <w:tcPr>
            <w:tcW w:w="819" w:type="dxa"/>
            <w:vAlign w:val="top"/>
          </w:tcPr>
          <w:p>
            <w:pPr>
              <w:pStyle w:val="TableText"/>
              <w:ind w:left="122"/>
              <w:spacing w:before="161" w:line="219" w:lineRule="auto"/>
              <w:rPr/>
            </w:pPr>
            <w:r>
              <w:rPr>
                <w:spacing w:val="4"/>
              </w:rPr>
              <w:t>审批部门</w:t>
            </w:r>
          </w:p>
        </w:tc>
        <w:tc>
          <w:tcPr>
            <w:tcW w:w="679" w:type="dxa"/>
            <w:vAlign w:val="top"/>
          </w:tcPr>
          <w:p>
            <w:pPr>
              <w:pStyle w:val="TableText"/>
              <w:ind w:left="3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5685" w:hRule="atLeast"/>
        </w:trPr>
        <w:tc>
          <w:tcPr>
            <w:tcW w:w="295" w:type="dxa"/>
            <w:vAlign w:val="top"/>
          </w:tcPr>
          <w:p>
            <w:pPr>
              <w:rPr>
                <w:rFonts w:ascii="Arial"/>
                <w:sz w:val="21"/>
              </w:rPr>
            </w:pPr>
            <w:r/>
          </w:p>
        </w:tc>
        <w:tc>
          <w:tcPr>
            <w:tcW w:w="659" w:type="dxa"/>
            <w:vAlign w:val="top"/>
          </w:tcPr>
          <w:p>
            <w:pPr>
              <w:rPr>
                <w:rFonts w:ascii="Arial"/>
                <w:sz w:val="21"/>
              </w:rPr>
            </w:pPr>
            <w:r/>
          </w:p>
        </w:tc>
        <w:tc>
          <w:tcPr>
            <w:tcW w:w="1119" w:type="dxa"/>
            <w:vAlign w:val="top"/>
          </w:tcPr>
          <w:p>
            <w:pPr>
              <w:rPr>
                <w:rFonts w:ascii="Arial"/>
                <w:sz w:val="21"/>
              </w:rPr>
            </w:pPr>
            <w:r/>
          </w:p>
        </w:tc>
        <w:tc>
          <w:tcPr>
            <w:tcW w:w="819" w:type="dxa"/>
            <w:vAlign w:val="top"/>
          </w:tcPr>
          <w:p>
            <w:pPr>
              <w:rPr>
                <w:rFonts w:ascii="Arial"/>
                <w:sz w:val="21"/>
              </w:rPr>
            </w:pPr>
            <w:r/>
          </w:p>
        </w:tc>
        <w:tc>
          <w:tcPr>
            <w:tcW w:w="679" w:type="dxa"/>
            <w:vAlign w:val="top"/>
          </w:tcPr>
          <w:p>
            <w:pPr>
              <w:rPr>
                <w:rFonts w:ascii="Arial"/>
                <w:sz w:val="21"/>
              </w:rPr>
            </w:pPr>
            <w:r/>
          </w:p>
        </w:tc>
        <w:tc>
          <w:tcPr>
            <w:tcW w:w="6088" w:type="dxa"/>
            <w:vAlign w:val="top"/>
          </w:tcPr>
          <w:p>
            <w:pPr>
              <w:pStyle w:val="TableText"/>
              <w:ind w:left="24" w:right="32" w:firstLine="49"/>
              <w:spacing w:before="26" w:line="264" w:lineRule="auto"/>
              <w:rPr/>
            </w:pPr>
            <w:r>
              <w:rPr/>
              <w:t>第五十三条：证券发行议案经董事会表决通过后，应当在2个工作日内</w:t>
            </w:r>
            <w:r>
              <w:rPr>
                <w:spacing w:val="-1"/>
              </w:rPr>
              <w:t>报告证券交易所，公 </w:t>
            </w:r>
            <w:r>
              <w:rPr>
                <w:spacing w:val="1"/>
              </w:rPr>
              <w:t>告召开股东大会的通知。使用募集资金收购资</w:t>
            </w:r>
            <w:r>
              <w:rPr/>
              <w:t>产或者股权的，应当在公告召开股东大会通知 </w:t>
            </w:r>
            <w:r>
              <w:rPr/>
              <w:t>的同时，披露该资产或者股权的基本情况、交易价格、定价依据以及是否与公司股东或者其</w:t>
            </w:r>
            <w:r>
              <w:rPr>
                <w:spacing w:val="15"/>
              </w:rPr>
              <w:t xml:space="preserve"> </w:t>
            </w:r>
            <w:r>
              <w:rPr>
                <w:spacing w:val="-2"/>
              </w:rPr>
              <w:t>他关联人存在利害关系。6. 《创业板上市公司证券发行管理办法》(证监会令第100</w:t>
            </w:r>
            <w:r>
              <w:rPr>
                <w:spacing w:val="-3"/>
              </w:rPr>
              <w:t>号)第</w:t>
            </w:r>
          </w:p>
          <w:p>
            <w:pPr>
              <w:pStyle w:val="TableText"/>
              <w:ind w:left="33" w:right="28"/>
              <w:spacing w:before="44" w:line="255" w:lineRule="auto"/>
              <w:rPr/>
            </w:pPr>
            <w:r>
              <w:rPr/>
              <w:t>三十五条第二款：保荐人或者上市公司应当按照中国证监会的有关规定编制</w:t>
            </w:r>
            <w:r>
              <w:rPr>
                <w:spacing w:val="-1"/>
              </w:rPr>
              <w:t>和报送发行申请</w:t>
            </w:r>
            <w:r>
              <w:rPr/>
              <w:t xml:space="preserve"> </w:t>
            </w:r>
            <w:r>
              <w:rPr/>
              <w:t>文件。第四十四条：证券发行议案经董事会表决通过后，应当在二个工作日内报告证券交易</w:t>
            </w:r>
            <w:r>
              <w:rPr>
                <w:spacing w:val="14"/>
              </w:rPr>
              <w:t xml:space="preserve"> </w:t>
            </w:r>
            <w:r>
              <w:rPr/>
              <w:t>所，公告召开股东大会的通知。使用募集资金收购资产或者股权的，应当在</w:t>
            </w:r>
            <w:r>
              <w:rPr>
                <w:spacing w:val="-1"/>
              </w:rPr>
              <w:t>公告召开股东大</w:t>
            </w:r>
            <w:r>
              <w:rPr/>
              <w:t xml:space="preserve"> </w:t>
            </w:r>
            <w:r>
              <w:rPr/>
              <w:t>会通知的同时，披露该资产或者股权的基本情况、交易价格、定价依据以及</w:t>
            </w:r>
            <w:r>
              <w:rPr>
                <w:spacing w:val="-1"/>
              </w:rPr>
              <w:t>是否与公司股东</w:t>
            </w:r>
            <w:r>
              <w:rPr/>
              <w:t xml:space="preserve"> </w:t>
            </w:r>
            <w:r>
              <w:rPr>
                <w:spacing w:val="-2"/>
              </w:rPr>
              <w:t>或者其他关联人存在利害关系。7. 《优先股试点管理办法》(证监会令第97号)第</w:t>
            </w:r>
            <w:r>
              <w:rPr>
                <w:spacing w:val="-3"/>
              </w:rPr>
              <w:t>五十条</w:t>
            </w:r>
          </w:p>
          <w:p>
            <w:pPr>
              <w:pStyle w:val="TableText"/>
              <w:ind w:left="33" w:right="43"/>
              <w:spacing w:before="51" w:line="258" w:lineRule="auto"/>
              <w:rPr/>
            </w:pPr>
            <w:r>
              <w:rPr/>
              <w:t>公司应按照中国证监会有关信息披露规则编制募集优先股说明书</w:t>
            </w:r>
            <w:r>
              <w:rPr>
                <w:spacing w:val="-1"/>
              </w:rPr>
              <w:t>或其他信息披露文件，依法</w:t>
            </w:r>
            <w:r>
              <w:rPr/>
              <w:t xml:space="preserve"> </w:t>
            </w:r>
            <w:r>
              <w:rPr/>
              <w:t>履行信息披露义务。非上市公众公司非公开发行优先股的信息披露程</w:t>
            </w:r>
            <w:r>
              <w:rPr>
                <w:spacing w:val="-1"/>
              </w:rPr>
              <w:t>序和要求参照《非上市</w:t>
            </w:r>
            <w:r>
              <w:rPr/>
              <w:t xml:space="preserve"> </w:t>
            </w:r>
            <w:r>
              <w:rPr>
                <w:spacing w:val="-2"/>
              </w:rPr>
              <w:t>公众公司监督管理办法》及有关监管指引的规定。8. 《公开发行证券的公司信息披露内容与</w:t>
            </w:r>
            <w:r>
              <w:rPr>
                <w:spacing w:val="8"/>
              </w:rPr>
              <w:t xml:space="preserve"> </w:t>
            </w:r>
            <w:r>
              <w:rPr/>
              <w:t>格式准则第9号—首次公开发行股票并上市申请文件》(证监发行字〔200</w:t>
            </w:r>
            <w:r>
              <w:rPr>
                <w:spacing w:val="-1"/>
              </w:rPr>
              <w:t>6〕6号)附录</w:t>
            </w:r>
          </w:p>
          <w:p>
            <w:pPr>
              <w:pStyle w:val="TableText"/>
              <w:ind w:left="33" w:right="87" w:firstLine="40"/>
              <w:spacing w:before="43" w:line="253" w:lineRule="auto"/>
              <w:rPr/>
            </w:pPr>
            <w:r>
              <w:rPr/>
              <w:t>首次公开发行股票并上市申请文件目录第八章与财务会计相关的其他文</w:t>
            </w:r>
            <w:r>
              <w:rPr>
                <w:spacing w:val="-1"/>
              </w:rPr>
              <w:t>件8-4发行人设立时</w:t>
            </w:r>
            <w:r>
              <w:rPr/>
              <w:t xml:space="preserve"> </w:t>
            </w:r>
            <w:r>
              <w:rPr>
                <w:spacing w:val="-2"/>
              </w:rPr>
              <w:t>和最近三年及一期的资产评估报告(含土地评估报告)。9. 《公开发</w:t>
            </w:r>
            <w:r>
              <w:rPr>
                <w:spacing w:val="-3"/>
              </w:rPr>
              <w:t>行证券的公司信息披露  </w:t>
            </w:r>
            <w:r>
              <w:rPr/>
              <w:t>内容与格式准则第10号—上市公司公开发行证券申请文件》(证监发行字〔2006〕1号)附</w:t>
            </w:r>
          </w:p>
          <w:p>
            <w:pPr>
              <w:pStyle w:val="TableText"/>
              <w:ind w:left="33"/>
              <w:spacing w:before="51" w:line="218" w:lineRule="auto"/>
              <w:rPr/>
            </w:pPr>
            <w:r>
              <w:rPr/>
              <w:t>录：第五章5-2发行人拟收购资产(包括权益)有关的财务报告、审计报</w:t>
            </w:r>
            <w:r>
              <w:rPr>
                <w:spacing w:val="-1"/>
              </w:rPr>
              <w:t>告、资产评估报告</w:t>
            </w:r>
          </w:p>
          <w:p>
            <w:pPr>
              <w:pStyle w:val="TableText"/>
              <w:ind w:left="43" w:right="96" w:firstLine="30"/>
              <w:spacing w:before="4" w:line="262" w:lineRule="auto"/>
              <w:rPr/>
            </w:pPr>
            <w:r>
              <w:rPr>
                <w:spacing w:val="-2"/>
              </w:rPr>
              <w:t>10. 《公开发行证券的公司信息披露内容与格式准则第29号—首次公开发行</w:t>
            </w:r>
            <w:r>
              <w:rPr>
                <w:spacing w:val="-3"/>
              </w:rPr>
              <w:t>股票并在创业板</w:t>
            </w:r>
            <w:r>
              <w:rPr/>
              <w:t xml:space="preserve"> </w:t>
            </w:r>
            <w:r>
              <w:rPr/>
              <w:t>上市申请文件》(证监会公告〔2014〕29号)附件1;第五章与财务会计</w:t>
            </w:r>
            <w:r>
              <w:rPr>
                <w:spacing w:val="-1"/>
              </w:rPr>
              <w:t>资料相关的其他文</w:t>
            </w:r>
          </w:p>
          <w:p>
            <w:pPr>
              <w:pStyle w:val="TableText"/>
              <w:ind w:left="33"/>
              <w:spacing w:before="42" w:line="218" w:lineRule="auto"/>
              <w:rPr/>
            </w:pPr>
            <w:r>
              <w:rPr>
                <w:spacing w:val="-1"/>
              </w:rPr>
              <w:t>件5-4发行人设立时和最近三年及一期的资</w:t>
            </w:r>
            <w:r>
              <w:rPr>
                <w:spacing w:val="-2"/>
              </w:rPr>
              <w:t>产评估报告(含土地评估报告)。11. 《公开发</w:t>
            </w:r>
          </w:p>
          <w:p>
            <w:pPr>
              <w:pStyle w:val="TableText"/>
              <w:ind w:left="33"/>
              <w:spacing w:before="34" w:line="219" w:lineRule="auto"/>
              <w:rPr/>
            </w:pPr>
            <w:r>
              <w:rPr/>
              <w:t>行证券的公司信息披露内容和格式准则第37号—创业板上市公司发</w:t>
            </w:r>
            <w:r>
              <w:rPr>
                <w:spacing w:val="-1"/>
              </w:rPr>
              <w:t>行证券电请文件》(证</w:t>
            </w:r>
          </w:p>
          <w:p>
            <w:pPr>
              <w:pStyle w:val="TableText"/>
              <w:ind w:left="24"/>
              <w:spacing w:before="51" w:line="218" w:lineRule="auto"/>
              <w:rPr/>
            </w:pPr>
            <w:r>
              <w:rPr>
                <w:spacing w:val="2"/>
              </w:rPr>
              <w:t>监会公告(2014〕32号)附录第五章5-2发行</w:t>
            </w:r>
            <w:r>
              <w:rPr>
                <w:spacing w:val="1"/>
              </w:rPr>
              <w:t>人拟收购资产(包括权益)有关的财务报告、</w:t>
            </w:r>
          </w:p>
          <w:p>
            <w:pPr>
              <w:pStyle w:val="TableText"/>
              <w:ind w:left="33" w:right="49" w:firstLine="40"/>
              <w:spacing w:before="33" w:line="249" w:lineRule="auto"/>
              <w:rPr/>
            </w:pPr>
            <w:r>
              <w:rPr>
                <w:spacing w:val="-2"/>
              </w:rPr>
              <w:t>审计报告、资产评估报告。12. 《非上市公众公司监督管理办法》(证</w:t>
            </w:r>
            <w:r>
              <w:rPr>
                <w:spacing w:val="-3"/>
              </w:rPr>
              <w:t>监会令第96号)第六条 </w:t>
            </w:r>
            <w:r>
              <w:rPr/>
              <w:t>为公司出具专项文件的证券公司、律师事务所、会计师事务所及其他证</w:t>
            </w:r>
            <w:r>
              <w:rPr>
                <w:spacing w:val="-1"/>
              </w:rPr>
              <w:t>券服务机构，应当勤</w:t>
            </w:r>
            <w:r>
              <w:rPr/>
              <w:t xml:space="preserve"> </w:t>
            </w:r>
            <w:r>
              <w:rPr/>
              <w:t>勉尽责、诚实守信，认真履行审慎核查义务，按照依法制定的业务规则、</w:t>
            </w:r>
            <w:r>
              <w:rPr>
                <w:spacing w:val="-1"/>
              </w:rPr>
              <w:t>行业职业规范和职</w:t>
            </w:r>
            <w:r>
              <w:rPr/>
              <w:t xml:space="preserve"> </w:t>
            </w:r>
            <w:r>
              <w:rPr/>
              <w:t>业道德准则发表专业意见，保证所出具文件的真实性、准确性和完整性，并</w:t>
            </w:r>
            <w:r>
              <w:rPr>
                <w:spacing w:val="-1"/>
              </w:rPr>
              <w:t>接受中国证监会</w:t>
            </w:r>
          </w:p>
        </w:tc>
      </w:tr>
    </w:tbl>
    <w:p>
      <w:pPr>
        <w:pStyle w:val="BodyText"/>
        <w:rPr/>
      </w:pPr>
      <w:r/>
    </w:p>
    <w:p>
      <w:pPr>
        <w:sectPr>
          <w:pgSz w:w="11910" w:h="8220"/>
          <w:pgMar w:top="400" w:right="1115" w:bottom="400" w:left="821" w:header="0" w:footer="0" w:gutter="0"/>
        </w:sectPr>
        <w:rPr/>
      </w:pPr>
    </w:p>
    <w:p>
      <w:pPr>
        <w:spacing w:before="16"/>
        <w:rPr/>
      </w:pPr>
      <w:r>
        <mc:AlternateContent xmlns:mc="http://schemas.openxmlformats.org/markup-compatibility/2006">
          <mc:Choice Requires="wps">
            <w:drawing>
              <wp:anchor distT="0" distB="0" distL="0" distR="0" simplePos="0" relativeHeight="251976704" behindDoc="0" locked="0" layoutInCell="0" allowOverlap="1">
                <wp:simplePos x="0" y="0"/>
                <wp:positionH relativeFrom="page">
                  <wp:posOffset>471020</wp:posOffset>
                </wp:positionH>
                <wp:positionV relativeFrom="page">
                  <wp:posOffset>617066</wp:posOffset>
                </wp:positionV>
                <wp:extent cx="172085" cy="157479"/>
                <wp:effectExtent l="0" t="0" r="0" b="0"/>
                <wp:wrapNone/>
                <wp:docPr id="452" name="TextBox 452"/>
                <wp:cNvGraphicFramePr/>
                <a:graphic>
                  <a:graphicData uri="http://schemas.microsoft.com/office/word/2010/wordprocessingShape">
                    <wps:wsp>
                      <wps:cNvSpPr txBox="1"/>
                      <wps:spPr>
                        <a:xfrm rot="5400000">
                          <a:off x="471020" y="61706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4" style="position:absolute;margin-left:37.0882pt;margin-top:48.5879pt;mso-position-vertical-relative:page;mso-position-horizontal-relative:page;width:13.55pt;height:12.4pt;z-index:25197670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314</w:t>
                      </w:r>
                    </w:p>
                  </w:txbxContent>
                </v:textbox>
              </v:shape>
            </w:pict>
          </mc:Fallback>
        </mc:AlternateContent>
      </w:r>
      <w:r/>
    </w:p>
    <w:p>
      <w:pPr>
        <w:spacing w:before="1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2" w:line="239"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9" w:line="239"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3264" w:hRule="atLeast"/>
        </w:trPr>
        <w:tc>
          <w:tcPr>
            <w:tcW w:w="295" w:type="dxa"/>
            <w:vAlign w:val="top"/>
          </w:tcPr>
          <w:p>
            <w:pPr>
              <w:rPr>
                <w:rFonts w:ascii="Arial"/>
                <w:sz w:val="21"/>
              </w:rPr>
            </w:pPr>
            <w:r/>
          </w:p>
        </w:tc>
        <w:tc>
          <w:tcPr>
            <w:tcW w:w="679" w:type="dxa"/>
            <w:vAlign w:val="top"/>
          </w:tcPr>
          <w:p>
            <w:pPr>
              <w:rPr>
                <w:rFonts w:ascii="Arial"/>
                <w:sz w:val="21"/>
              </w:rPr>
            </w:pPr>
            <w:r/>
          </w:p>
        </w:tc>
        <w:tc>
          <w:tcPr>
            <w:tcW w:w="1099" w:type="dxa"/>
            <w:vAlign w:val="top"/>
          </w:tcPr>
          <w:p>
            <w:pPr>
              <w:rPr>
                <w:rFonts w:ascii="Arial"/>
                <w:sz w:val="21"/>
              </w:rPr>
            </w:pPr>
            <w:r/>
          </w:p>
        </w:tc>
        <w:tc>
          <w:tcPr>
            <w:tcW w:w="839" w:type="dxa"/>
            <w:vAlign w:val="top"/>
          </w:tcPr>
          <w:p>
            <w:pPr>
              <w:rPr>
                <w:rFonts w:ascii="Arial"/>
                <w:sz w:val="21"/>
              </w:rPr>
            </w:pPr>
            <w:r/>
          </w:p>
        </w:tc>
        <w:tc>
          <w:tcPr>
            <w:tcW w:w="659" w:type="dxa"/>
            <w:vAlign w:val="top"/>
          </w:tcPr>
          <w:p>
            <w:pPr>
              <w:rPr>
                <w:rFonts w:ascii="Arial"/>
                <w:sz w:val="21"/>
              </w:rPr>
            </w:pPr>
            <w:r/>
          </w:p>
        </w:tc>
        <w:tc>
          <w:tcPr>
            <w:tcW w:w="6098" w:type="dxa"/>
            <w:vAlign w:val="top"/>
          </w:tcPr>
          <w:p>
            <w:pPr>
              <w:pStyle w:val="TableText"/>
              <w:ind w:left="4" w:firstLine="39"/>
              <w:spacing w:before="13" w:line="266" w:lineRule="auto"/>
              <w:rPr/>
            </w:pPr>
            <w:r>
              <w:rPr/>
              <w:t>的监管。第十五条：公众公司实施并购重组行为，应当按照法律、行政法规、中国证监会的</w:t>
            </w:r>
            <w:r>
              <w:rPr>
                <w:spacing w:val="1"/>
              </w:rPr>
              <w:t xml:space="preserve"> </w:t>
            </w:r>
            <w:r>
              <w:rPr>
                <w:spacing w:val="2"/>
              </w:rPr>
              <w:t>规定和公司章程，履行相应的决策程序并聘请证券公司和</w:t>
            </w:r>
            <w:r>
              <w:rPr>
                <w:spacing w:val="1"/>
              </w:rPr>
              <w:t>相关证券服务机构出具专业意见。</w:t>
            </w:r>
            <w:r>
              <w:rPr/>
              <w:t xml:space="preserve"> </w:t>
            </w:r>
            <w:r>
              <w:rPr>
                <w:spacing w:val="-1"/>
              </w:rPr>
              <w:t>13. 《非上市公众公司重大资产重组管理办法》(证监会令第103号)第六条公众公司实施重</w:t>
            </w:r>
            <w:r>
              <w:rPr>
                <w:spacing w:val="-2"/>
              </w:rPr>
              <w:t>大 </w:t>
            </w:r>
            <w:r>
              <w:rPr>
                <w:spacing w:val="-2"/>
              </w:rPr>
              <w:t>资产重组，应当聘请独立财务顾问、律师事务所以及具有证券、期货相关业务资格的会计师事</w:t>
            </w:r>
            <w:r>
              <w:rPr>
                <w:spacing w:val="8"/>
              </w:rPr>
              <w:t xml:space="preserve"> </w:t>
            </w:r>
            <w:r>
              <w:rPr>
                <w:spacing w:val="-2"/>
              </w:rPr>
              <w:t>务所等证券服务机构出具相关意见。第十九条：公众公司向特定对象发行股份购买资产后股东</w:t>
            </w:r>
            <w:r>
              <w:rPr>
                <w:spacing w:val="14"/>
              </w:rPr>
              <w:t xml:space="preserve"> </w:t>
            </w:r>
            <w:r>
              <w:rPr/>
              <w:t>累计超过200人的重大资产重组，经股东大会决议后，应当按照中国证监会的有关规定编制申</w:t>
            </w:r>
            <w:r>
              <w:rPr>
                <w:spacing w:val="5"/>
              </w:rPr>
              <w:t xml:space="preserve"> </w:t>
            </w:r>
            <w:r>
              <w:rPr>
                <w:spacing w:val="-3"/>
              </w:rPr>
              <w:t>请文件并申请核准。14. 《非上市公众公司信息披露内容</w:t>
            </w:r>
            <w:r>
              <w:rPr>
                <w:spacing w:val="-4"/>
              </w:rPr>
              <w:t>与格式准则第2号一公开转让股票申请</w:t>
            </w:r>
            <w:r>
              <w:rPr/>
              <w:t xml:space="preserve"> </w:t>
            </w:r>
            <w:r>
              <w:rPr>
                <w:spacing w:val="1"/>
              </w:rPr>
              <w:t>文件》(证监会公告〔2013〕51号):3-3申请</w:t>
            </w:r>
            <w:r>
              <w:rPr/>
              <w:t>人设立时和最近2年及1期的资产评估报告。</w:t>
            </w:r>
          </w:p>
          <w:p>
            <w:pPr>
              <w:pStyle w:val="TableText"/>
              <w:ind w:left="43" w:right="114" w:firstLine="70"/>
              <w:spacing w:before="53" w:line="238" w:lineRule="auto"/>
              <w:rPr/>
            </w:pPr>
            <w:r>
              <w:rPr>
                <w:spacing w:val="-1"/>
              </w:rPr>
              <w:t>15. 《非上市公众公司信息披露内容与格式准则</w:t>
            </w:r>
            <w:r>
              <w:rPr>
                <w:spacing w:val="-2"/>
              </w:rPr>
              <w:t>第4号—定向发行申请》(证监会公告[2013</w:t>
            </w:r>
            <w:r>
              <w:rPr/>
              <w:t xml:space="preserve"> </w:t>
            </w:r>
            <w:r>
              <w:rPr/>
              <w:t>53号):3-3本次定向发行收购资产相关的最近1年及1期的财务报告</w:t>
            </w:r>
            <w:r>
              <w:rPr>
                <w:spacing w:val="-1"/>
              </w:rPr>
              <w:t>及其审计报告，资产评</w:t>
            </w:r>
          </w:p>
          <w:p>
            <w:pPr>
              <w:pStyle w:val="TableText"/>
              <w:ind w:left="43" w:right="49"/>
              <w:spacing w:before="43" w:line="253" w:lineRule="auto"/>
              <w:rPr/>
            </w:pPr>
            <w:r>
              <w:rPr>
                <w:spacing w:val="-2"/>
              </w:rPr>
              <w:t>估报告(如有)。16. 《非上市公众公司信息披露内容与格式准则第6号—重大资产重组报告书</w:t>
            </w:r>
            <w:r>
              <w:rPr>
                <w:spacing w:val="6"/>
              </w:rPr>
              <w:t xml:space="preserve"> </w:t>
            </w:r>
            <w:r>
              <w:rPr>
                <w:spacing w:val="2"/>
              </w:rPr>
              <w:t>(证监会公告〔2014〕35号):3-2本次重大资产重组涉及的拟</w:t>
            </w:r>
            <w:r>
              <w:rPr>
                <w:spacing w:val="1"/>
              </w:rPr>
              <w:t>购买、出售资产的评估报告及</w:t>
            </w:r>
            <w:r>
              <w:rPr/>
              <w:t xml:space="preserve">  </w:t>
            </w:r>
            <w:r>
              <w:rPr>
                <w:spacing w:val="-2"/>
              </w:rPr>
              <w:t>评估说明，资产估值报告(如有)。17. 《非上市公众公司信息披露内容与格式准则第8号—定</w:t>
            </w:r>
            <w:r>
              <w:rPr>
                <w:spacing w:val="6"/>
              </w:rPr>
              <w:t xml:space="preserve"> </w:t>
            </w:r>
            <w:r>
              <w:rPr>
                <w:spacing w:val="2"/>
              </w:rPr>
              <w:t>向发行优先股申请文件》(证监会公告〔2014〕45号):3-3本次定向发</w:t>
            </w:r>
            <w:r>
              <w:rPr>
                <w:spacing w:val="1"/>
              </w:rPr>
              <w:t>行优先股收购资产相</w:t>
            </w:r>
            <w:r>
              <w:rPr/>
              <w:t xml:space="preserve">  </w:t>
            </w:r>
            <w:r>
              <w:rPr>
                <w:spacing w:val="1"/>
              </w:rPr>
              <w:t>关的最近1年及1期的财务报告及其审计报告，资产评估报告或资产估值</w:t>
            </w:r>
            <w:r>
              <w:rPr/>
              <w:t>报告(如有)</w:t>
            </w:r>
          </w:p>
        </w:tc>
      </w:tr>
      <w:tr>
        <w:trPr>
          <w:trHeight w:val="2621" w:hRule="atLeast"/>
        </w:trPr>
        <w:tc>
          <w:tcPr>
            <w:tcW w:w="295" w:type="dxa"/>
            <w:vAlign w:val="top"/>
          </w:tcPr>
          <w:p>
            <w:pPr>
              <w:pStyle w:val="TableText"/>
              <w:ind w:left="65"/>
              <w:spacing w:before="101" w:line="183" w:lineRule="auto"/>
              <w:rPr/>
            </w:pPr>
            <w:r>
              <w:rPr>
                <w:spacing w:val="-2"/>
              </w:rPr>
              <w:t>80</w:t>
            </w:r>
          </w:p>
        </w:tc>
        <w:tc>
          <w:tcPr>
            <w:tcW w:w="679" w:type="dxa"/>
            <w:vAlign w:val="top"/>
          </w:tcPr>
          <w:p>
            <w:pPr>
              <w:pStyle w:val="TableText"/>
              <w:ind w:left="30" w:right="31"/>
              <w:spacing w:before="32" w:line="262" w:lineRule="auto"/>
              <w:rPr/>
            </w:pPr>
            <w:r>
              <w:rPr>
                <w:spacing w:val="-3"/>
              </w:rPr>
              <w:t>公司公开</w:t>
            </w:r>
            <w:r>
              <w:rPr/>
              <w:t xml:space="preserve"> </w:t>
            </w:r>
            <w:r>
              <w:rPr>
                <w:spacing w:val="-3"/>
              </w:rPr>
              <w:t>发行股票</w:t>
            </w:r>
            <w:r>
              <w:rPr>
                <w:spacing w:val="2"/>
              </w:rPr>
              <w:t xml:space="preserve"> </w:t>
            </w:r>
            <w:r>
              <w:rPr>
                <w:spacing w:val="5"/>
              </w:rPr>
              <w:t>(</w:t>
            </w:r>
            <w:r>
              <w:rPr>
                <w:spacing w:val="-31"/>
              </w:rPr>
              <w:t xml:space="preserve"> </w:t>
            </w:r>
            <w:r>
              <w:rPr>
                <w:spacing w:val="5"/>
              </w:rPr>
              <w:t>A</w:t>
            </w:r>
            <w:r>
              <w:rPr>
                <w:spacing w:val="-26"/>
              </w:rPr>
              <w:t xml:space="preserve"> </w:t>
            </w:r>
            <w:r>
              <w:rPr>
                <w:spacing w:val="5"/>
              </w:rPr>
              <w:t>股</w:t>
            </w:r>
            <w:r>
              <w:rPr>
                <w:spacing w:val="-32"/>
              </w:rPr>
              <w:t xml:space="preserve"> </w:t>
            </w:r>
            <w:r>
              <w:rPr>
                <w:spacing w:val="5"/>
              </w:rPr>
              <w:t>、</w:t>
            </w:r>
            <w:r>
              <w:rPr/>
              <w:t xml:space="preserve"> </w:t>
            </w:r>
            <w:r>
              <w:rPr>
                <w:spacing w:val="-6"/>
              </w:rPr>
              <w:t>B</w:t>
            </w:r>
            <w:r>
              <w:rPr>
                <w:spacing w:val="-17"/>
              </w:rPr>
              <w:t xml:space="preserve"> </w:t>
            </w:r>
            <w:r>
              <w:rPr>
                <w:spacing w:val="-6"/>
              </w:rPr>
              <w:t>股</w:t>
            </w:r>
            <w:r>
              <w:rPr>
                <w:spacing w:val="-15"/>
              </w:rPr>
              <w:t xml:space="preserve"> </w:t>
            </w:r>
            <w:r>
              <w:rPr>
                <w:spacing w:val="-6"/>
              </w:rPr>
              <w:t>)</w:t>
            </w:r>
            <w:r>
              <w:rPr>
                <w:spacing w:val="-14"/>
              </w:rPr>
              <w:t xml:space="preserve"> </w:t>
            </w:r>
            <w:r>
              <w:rPr>
                <w:spacing w:val="-6"/>
              </w:rPr>
              <w:t>发</w:t>
            </w:r>
            <w:r>
              <w:rPr/>
              <w:t xml:space="preserve"> </w:t>
            </w:r>
            <w:r>
              <w:rPr>
                <w:spacing w:val="-8"/>
              </w:rPr>
              <w:t>行</w:t>
            </w:r>
            <w:r>
              <w:rPr>
                <w:spacing w:val="16"/>
              </w:rPr>
              <w:t xml:space="preserve"> </w:t>
            </w:r>
            <w:r>
              <w:rPr>
                <w:spacing w:val="-8"/>
              </w:rPr>
              <w:t>保</w:t>
            </w:r>
            <w:r>
              <w:rPr>
                <w:spacing w:val="14"/>
              </w:rPr>
              <w:t xml:space="preserve"> </w:t>
            </w:r>
            <w:r>
              <w:rPr>
                <w:spacing w:val="-8"/>
              </w:rPr>
              <w:t>荐</w:t>
            </w:r>
            <w:r>
              <w:rPr/>
              <w:t xml:space="preserve"> </w:t>
            </w:r>
            <w:r>
              <w:rPr>
                <w:spacing w:val="25"/>
              </w:rPr>
              <w:t>(推荐)</w:t>
            </w:r>
          </w:p>
        </w:tc>
        <w:tc>
          <w:tcPr>
            <w:tcW w:w="1099" w:type="dxa"/>
            <w:vAlign w:val="top"/>
          </w:tcPr>
          <w:p>
            <w:pPr>
              <w:pStyle w:val="TableText"/>
              <w:ind w:left="20" w:right="55" w:firstLine="100"/>
              <w:spacing w:before="33" w:line="258" w:lineRule="auto"/>
              <w:jc w:val="both"/>
              <w:rPr/>
            </w:pPr>
            <w:r>
              <w:rPr>
                <w:spacing w:val="2"/>
              </w:rPr>
              <w:t>(44028)公司</w:t>
            </w:r>
            <w:r>
              <w:rPr>
                <w:spacing w:val="3"/>
              </w:rPr>
              <w:t xml:space="preserve">  </w:t>
            </w:r>
            <w:r>
              <w:rPr>
                <w:spacing w:val="8"/>
              </w:rPr>
              <w:t>公开发行股票 </w:t>
            </w:r>
            <w:r>
              <w:rPr>
                <w:spacing w:val="-2"/>
              </w:rPr>
              <w:t>(</w:t>
            </w:r>
            <w:r>
              <w:rPr>
                <w:spacing w:val="-32"/>
              </w:rPr>
              <w:t xml:space="preserve"> </w:t>
            </w:r>
            <w:r>
              <w:rPr>
                <w:spacing w:val="-2"/>
              </w:rPr>
              <w:t>A</w:t>
            </w:r>
            <w:r>
              <w:rPr>
                <w:spacing w:val="-30"/>
              </w:rPr>
              <w:t xml:space="preserve"> </w:t>
            </w:r>
            <w:r>
              <w:rPr>
                <w:spacing w:val="-2"/>
              </w:rPr>
              <w:t>股</w:t>
            </w:r>
            <w:r>
              <w:rPr>
                <w:spacing w:val="-20"/>
              </w:rPr>
              <w:t xml:space="preserve"> </w:t>
            </w:r>
            <w:r>
              <w:rPr>
                <w:spacing w:val="-2"/>
              </w:rPr>
              <w:t>、</w:t>
            </w:r>
            <w:r>
              <w:rPr>
                <w:spacing w:val="-33"/>
              </w:rPr>
              <w:t xml:space="preserve"> </w:t>
            </w:r>
            <w:r>
              <w:rPr>
                <w:spacing w:val="-2"/>
              </w:rPr>
              <w:t>B</w:t>
            </w:r>
            <w:r>
              <w:rPr>
                <w:spacing w:val="-30"/>
              </w:rPr>
              <w:t xml:space="preserve"> </w:t>
            </w:r>
            <w:r>
              <w:rPr>
                <w:spacing w:val="-2"/>
              </w:rPr>
              <w:t>股</w:t>
            </w:r>
            <w:r>
              <w:rPr>
                <w:spacing w:val="-30"/>
              </w:rPr>
              <w:t xml:space="preserve"> </w:t>
            </w:r>
            <w:r>
              <w:rPr>
                <w:spacing w:val="-2"/>
              </w:rPr>
              <w:t>)</w:t>
            </w:r>
            <w:r>
              <w:rPr/>
              <w:t xml:space="preserve"> </w:t>
            </w:r>
            <w:r>
              <w:rPr>
                <w:spacing w:val="-2"/>
              </w:rPr>
              <w:t>核准</w:t>
            </w:r>
          </w:p>
        </w:tc>
        <w:tc>
          <w:tcPr>
            <w:tcW w:w="839" w:type="dxa"/>
            <w:vAlign w:val="top"/>
          </w:tcPr>
          <w:p>
            <w:pPr>
              <w:pStyle w:val="TableText"/>
              <w:ind w:left="182"/>
              <w:spacing w:before="22" w:line="219" w:lineRule="auto"/>
              <w:rPr/>
            </w:pPr>
            <w:r>
              <w:rPr>
                <w:spacing w:val="-2"/>
              </w:rPr>
              <w:t>证监会</w:t>
            </w:r>
          </w:p>
        </w:tc>
        <w:tc>
          <w:tcPr>
            <w:tcW w:w="659" w:type="dxa"/>
            <w:vAlign w:val="top"/>
          </w:tcPr>
          <w:p>
            <w:pPr>
              <w:pStyle w:val="TableText"/>
              <w:ind w:left="22"/>
              <w:spacing w:before="33" w:line="220" w:lineRule="auto"/>
              <w:rPr/>
            </w:pPr>
            <w:r>
              <w:rPr>
                <w:spacing w:val="5"/>
              </w:rPr>
              <w:t>证券公司</w:t>
            </w:r>
          </w:p>
        </w:tc>
        <w:tc>
          <w:tcPr>
            <w:tcW w:w="6098" w:type="dxa"/>
            <w:vAlign w:val="top"/>
          </w:tcPr>
          <w:p>
            <w:pPr>
              <w:pStyle w:val="TableText"/>
              <w:ind w:left="14"/>
              <w:spacing w:before="53" w:line="260" w:lineRule="auto"/>
              <w:rPr/>
            </w:pPr>
            <w:r>
              <w:rPr>
                <w:spacing w:val="-4"/>
              </w:rPr>
              <w:t>1. 《中华人民共和国证券法》第十一条：发行人申请公开发行股票、可转换为股票的公司债券</w:t>
            </w:r>
            <w:r>
              <w:rPr>
                <w:spacing w:val="18"/>
              </w:rPr>
              <w:t xml:space="preserve"> </w:t>
            </w:r>
            <w:r>
              <w:rPr>
                <w:spacing w:val="-2"/>
              </w:rPr>
              <w:t>依法采取承销方式的，或者公开发行法律、行政法规规定实行保荐制度的其他证券的，应当聘</w:t>
            </w:r>
            <w:r>
              <w:rPr>
                <w:spacing w:val="2"/>
              </w:rPr>
              <w:t xml:space="preserve"> </w:t>
            </w:r>
            <w:r>
              <w:rPr>
                <w:spacing w:val="-2"/>
              </w:rPr>
              <w:t>请具有保荐资格的机构担任保荐人。第十九条：发行人依法申请核准发行证券所报送的申请文</w:t>
            </w:r>
            <w:r>
              <w:rPr>
                <w:spacing w:val="4"/>
              </w:rPr>
              <w:t xml:space="preserve"> </w:t>
            </w:r>
            <w:r>
              <w:rPr>
                <w:spacing w:val="-4"/>
              </w:rPr>
              <w:t>件的格式、报送方式，由依法负责核准的机构或者部门规定。2. 《证券发行上市保荐业务管理</w:t>
            </w:r>
            <w:r>
              <w:rPr>
                <w:spacing w:val="11"/>
              </w:rPr>
              <w:t xml:space="preserve"> </w:t>
            </w:r>
            <w:r>
              <w:rPr/>
              <w:t>办法》(证监会令第63号)第二条：发行人应当就下列事项聘请具有保荐机构资格的证券公</w:t>
            </w:r>
          </w:p>
          <w:p>
            <w:pPr>
              <w:pStyle w:val="TableText"/>
              <w:ind w:left="4" w:firstLine="9"/>
              <w:spacing w:before="10" w:line="262" w:lineRule="auto"/>
              <w:rPr/>
            </w:pPr>
            <w:r>
              <w:rPr>
                <w:spacing w:val="-2"/>
              </w:rPr>
              <w:t>司履行保荐职责：(一)首次公开发行股票并上市；(二)上市公司发行新股、可转换公司债券；</w:t>
            </w:r>
            <w:r>
              <w:rPr>
                <w:spacing w:val="9"/>
              </w:rPr>
              <w:t xml:space="preserve"> </w:t>
            </w:r>
            <w:r>
              <w:rPr>
                <w:spacing w:val="-2"/>
              </w:rPr>
              <w:t>(三)中国证券监督管理委员会认定的其他情形。第三十一条：保荐机构推荐发行人发行证券，</w:t>
            </w:r>
            <w:r>
              <w:rPr>
                <w:spacing w:val="7"/>
              </w:rPr>
              <w:t xml:space="preserve"> </w:t>
            </w:r>
            <w:r>
              <w:rPr>
                <w:spacing w:val="-1"/>
              </w:rPr>
              <w:t>应当向中国证监会提交发行保荐书、保荐代表人专项授权书以及中国证监会要求的</w:t>
            </w:r>
            <w:r>
              <w:rPr>
                <w:spacing w:val="-2"/>
              </w:rPr>
              <w:t>其他与保  </w:t>
            </w:r>
            <w:r>
              <w:rPr>
                <w:spacing w:val="-3"/>
              </w:rPr>
              <w:t>荐业务有关的文件。3. 《首次公开发行股票并上市管理办法》(证监会令第122号)第三十三   </w:t>
            </w:r>
            <w:r>
              <w:rPr>
                <w:spacing w:val="-5"/>
              </w:rPr>
              <w:t>条：发行人应当按照中国证监会的有关规定制作申请文件，由保荐人保荐并向</w:t>
            </w:r>
            <w:r>
              <w:rPr>
                <w:spacing w:val="-6"/>
              </w:rPr>
              <w:t>中国证监会申报。</w:t>
            </w:r>
            <w:r>
              <w:rPr/>
              <w:t xml:space="preserve"> </w:t>
            </w:r>
            <w:r>
              <w:rPr>
                <w:spacing w:val="-3"/>
              </w:rPr>
              <w:t>4. 《首次公开发行股票并在创业板上市管理办法》(证监会令第123号)第二十三条：发行人   </w:t>
            </w:r>
            <w:r>
              <w:rPr>
                <w:spacing w:val="-1"/>
              </w:rPr>
              <w:t>应当按照中国证监会有关规定制作申请文件，由保荐人保荐并向中国证监会申</w:t>
            </w:r>
            <w:r>
              <w:rPr>
                <w:spacing w:val="-2"/>
              </w:rPr>
              <w:t>报。</w:t>
            </w:r>
          </w:p>
        </w:tc>
      </w:tr>
    </w:tbl>
    <w:p>
      <w:pPr>
        <w:pStyle w:val="BodyText"/>
        <w:rPr/>
      </w:pPr>
      <w:r/>
    </w:p>
    <w:p>
      <w:pPr>
        <w:sectPr>
          <w:pgSz w:w="11910" w:h="8220"/>
          <w:pgMar w:top="400" w:right="1115" w:bottom="400" w:left="821" w:header="0" w:footer="0" w:gutter="0"/>
        </w:sectPr>
        <w:rPr/>
      </w:pPr>
    </w:p>
    <w:p>
      <w:pPr>
        <w:spacing w:before="173"/>
        <w:rPr/>
      </w:pPr>
      <w:r>
        <mc:AlternateContent xmlns:mc="http://schemas.openxmlformats.org/markup-compatibility/2006">
          <mc:Choice Requires="wps">
            <w:drawing>
              <wp:anchor distT="0" distB="0" distL="0" distR="0" simplePos="0" relativeHeight="251977728" behindDoc="0" locked="0" layoutInCell="0" allowOverlap="1">
                <wp:simplePos x="0" y="0"/>
                <wp:positionH relativeFrom="page">
                  <wp:posOffset>471019</wp:posOffset>
                </wp:positionH>
                <wp:positionV relativeFrom="page">
                  <wp:posOffset>4382610</wp:posOffset>
                </wp:positionV>
                <wp:extent cx="172085" cy="157479"/>
                <wp:effectExtent l="0" t="0" r="0" b="0"/>
                <wp:wrapNone/>
                <wp:docPr id="454" name="TextBox 454"/>
                <wp:cNvGraphicFramePr/>
                <a:graphic>
                  <a:graphicData uri="http://schemas.microsoft.com/office/word/2010/wordprocessingShape">
                    <wps:wsp>
                      <wps:cNvSpPr txBox="1"/>
                      <wps:spPr>
                        <a:xfrm rot="5400000">
                          <a:off x="471019" y="4382610"/>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6" style="position:absolute;margin-left:37.0882pt;margin-top:345.087pt;mso-position-vertical-relative:page;mso-position-horizontal-relative:page;width:13.55pt;height:12.4pt;z-index:25197772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315</w:t>
                      </w:r>
                    </w:p>
                  </w:txbxContent>
                </v:textbox>
              </v:shape>
            </w:pict>
          </mc:Fallback>
        </mc:AlternateContent>
      </w: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88"/>
      </w:tblGrid>
      <w:tr>
        <w:trPr>
          <w:trHeight w:val="474" w:hRule="atLeast"/>
        </w:trPr>
        <w:tc>
          <w:tcPr>
            <w:tcW w:w="295" w:type="dxa"/>
            <w:vAlign w:val="top"/>
          </w:tcPr>
          <w:p>
            <w:pPr>
              <w:pStyle w:val="TableText"/>
              <w:ind w:left="65"/>
              <w:spacing w:before="62" w:line="209" w:lineRule="auto"/>
              <w:rPr/>
            </w:pPr>
            <w:r>
              <w:rPr/>
              <w:t>序</w:t>
            </w:r>
          </w:p>
          <w:p>
            <w:pPr>
              <w:pStyle w:val="TableText"/>
              <w:ind w:left="65"/>
              <w:spacing w:line="220" w:lineRule="auto"/>
              <w:rPr/>
            </w:pP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925" w:hRule="atLeast"/>
        </w:trPr>
        <w:tc>
          <w:tcPr>
            <w:tcW w:w="295" w:type="dxa"/>
            <w:vAlign w:val="top"/>
          </w:tcPr>
          <w:p>
            <w:pPr>
              <w:pStyle w:val="TableText"/>
              <w:ind w:left="65"/>
              <w:spacing w:before="85" w:line="184" w:lineRule="auto"/>
              <w:rPr/>
            </w:pPr>
            <w:r>
              <w:rPr>
                <w:spacing w:val="-2"/>
              </w:rPr>
              <w:t>81</w:t>
            </w:r>
          </w:p>
        </w:tc>
        <w:tc>
          <w:tcPr>
            <w:tcW w:w="679" w:type="dxa"/>
            <w:vAlign w:val="top"/>
          </w:tcPr>
          <w:p>
            <w:pPr>
              <w:pStyle w:val="TableText"/>
              <w:ind w:left="30" w:right="30"/>
              <w:spacing w:before="49" w:line="262" w:lineRule="auto"/>
              <w:jc w:val="both"/>
              <w:rPr/>
            </w:pPr>
            <w:r>
              <w:rPr>
                <w:spacing w:val="2"/>
              </w:rPr>
              <w:t>出具上市</w:t>
            </w:r>
            <w:r>
              <w:rPr/>
              <w:t xml:space="preserve"> </w:t>
            </w:r>
            <w:r>
              <w:rPr>
                <w:spacing w:val="-3"/>
              </w:rPr>
              <w:t>公司发行</w:t>
            </w:r>
            <w:r>
              <w:rPr/>
              <w:t xml:space="preserve"> </w:t>
            </w:r>
            <w:r>
              <w:rPr>
                <w:spacing w:val="-2"/>
              </w:rPr>
              <w:t>可转换为</w:t>
            </w:r>
            <w:r>
              <w:rPr/>
              <w:t xml:space="preserve"> </w:t>
            </w:r>
            <w:r>
              <w:rPr>
                <w:spacing w:val="-2"/>
              </w:rPr>
              <w:t>股票的公</w:t>
            </w:r>
            <w:r>
              <w:rPr>
                <w:spacing w:val="1"/>
              </w:rPr>
              <w:t xml:space="preserve"> </w:t>
            </w:r>
            <w:r>
              <w:rPr>
                <w:spacing w:val="-3"/>
              </w:rPr>
              <w:t>司债券法</w:t>
            </w:r>
            <w:r>
              <w:rPr/>
              <w:t xml:space="preserve"> </w:t>
            </w:r>
            <w:r>
              <w:rPr>
                <w:spacing w:val="-9"/>
              </w:rPr>
              <w:t>律</w:t>
            </w:r>
            <w:r>
              <w:rPr>
                <w:spacing w:val="18"/>
              </w:rPr>
              <w:t xml:space="preserve"> </w:t>
            </w:r>
            <w:r>
              <w:rPr>
                <w:spacing w:val="-9"/>
              </w:rPr>
              <w:t>意</w:t>
            </w:r>
            <w:r>
              <w:rPr>
                <w:spacing w:val="15"/>
              </w:rPr>
              <w:t xml:space="preserve"> </w:t>
            </w:r>
            <w:r>
              <w:rPr>
                <w:spacing w:val="-9"/>
              </w:rPr>
              <w:t>见</w:t>
            </w:r>
            <w:r>
              <w:rPr/>
              <w:t xml:space="preserve"> </w:t>
            </w:r>
            <w:r>
              <w:rPr>
                <w:spacing w:val="-3"/>
              </w:rPr>
              <w:t>书、律师</w:t>
            </w:r>
            <w:r>
              <w:rPr>
                <w:spacing w:val="2"/>
              </w:rPr>
              <w:t xml:space="preserve"> </w:t>
            </w:r>
            <w:r>
              <w:rPr>
                <w:spacing w:val="-2"/>
              </w:rPr>
              <w:t>工作报告</w:t>
            </w:r>
          </w:p>
        </w:tc>
        <w:tc>
          <w:tcPr>
            <w:tcW w:w="1099" w:type="dxa"/>
            <w:vAlign w:val="top"/>
          </w:tcPr>
          <w:p>
            <w:pPr>
              <w:pStyle w:val="TableText"/>
              <w:ind w:left="10" w:right="35" w:firstLine="110"/>
              <w:spacing w:before="37" w:line="258" w:lineRule="auto"/>
              <w:rPr/>
            </w:pPr>
            <w:r>
              <w:rPr>
                <w:spacing w:val="1"/>
              </w:rPr>
              <w:t>(44030)上市  </w:t>
            </w:r>
            <w:r>
              <w:rPr>
                <w:spacing w:val="-2"/>
              </w:rPr>
              <w:t>公司发行可转换</w:t>
            </w:r>
            <w:r>
              <w:rPr>
                <w:spacing w:val="2"/>
              </w:rPr>
              <w:t xml:space="preserve"> </w:t>
            </w:r>
            <w:r>
              <w:rPr>
                <w:spacing w:val="-2"/>
              </w:rPr>
              <w:t>为股票的公司债</w:t>
            </w:r>
            <w:r>
              <w:rPr>
                <w:spacing w:val="5"/>
              </w:rPr>
              <w:t xml:space="preserve"> </w:t>
            </w:r>
            <w:r>
              <w:rPr>
                <w:spacing w:val="1"/>
              </w:rPr>
              <w:t>核准</w:t>
            </w:r>
          </w:p>
        </w:tc>
        <w:tc>
          <w:tcPr>
            <w:tcW w:w="839" w:type="dxa"/>
            <w:vAlign w:val="top"/>
          </w:tcPr>
          <w:p>
            <w:pPr>
              <w:pStyle w:val="TableText"/>
              <w:ind w:left="182"/>
              <w:spacing w:before="36" w:line="219" w:lineRule="auto"/>
              <w:rPr/>
            </w:pPr>
            <w:r>
              <w:rPr>
                <w:spacing w:val="-2"/>
              </w:rPr>
              <w:t>证监会</w:t>
            </w:r>
          </w:p>
        </w:tc>
        <w:tc>
          <w:tcPr>
            <w:tcW w:w="659" w:type="dxa"/>
            <w:vAlign w:val="top"/>
          </w:tcPr>
          <w:p>
            <w:pPr>
              <w:pStyle w:val="TableText"/>
              <w:ind w:left="12" w:right="31" w:firstLine="10"/>
              <w:spacing w:before="36" w:line="246" w:lineRule="auto"/>
              <w:rPr/>
            </w:pPr>
            <w:r>
              <w:rPr>
                <w:spacing w:val="-2"/>
              </w:rPr>
              <w:t>律师事务</w:t>
            </w:r>
            <w:r>
              <w:rPr>
                <w:spacing w:val="1"/>
              </w:rPr>
              <w:t xml:space="preserve"> </w:t>
            </w:r>
            <w:r>
              <w:rPr/>
              <w:t>所</w:t>
            </w:r>
          </w:p>
        </w:tc>
        <w:tc>
          <w:tcPr>
            <w:tcW w:w="6088" w:type="dxa"/>
            <w:vAlign w:val="top"/>
          </w:tcPr>
          <w:p>
            <w:pPr>
              <w:pStyle w:val="TableText"/>
              <w:ind w:left="73" w:right="15" w:hanging="39"/>
              <w:spacing w:before="36" w:line="245" w:lineRule="auto"/>
              <w:rPr/>
            </w:pPr>
            <w:r>
              <w:rPr>
                <w:spacing w:val="-2"/>
              </w:rPr>
              <w:t>1. 《中华人民共和国证券法》第十九条：发行人依法申请核准发行证券所报送的申请文件的</w:t>
            </w:r>
            <w:r>
              <w:rPr>
                <w:spacing w:val="8"/>
              </w:rPr>
              <w:t xml:space="preserve"> </w:t>
            </w:r>
            <w:r>
              <w:rPr>
                <w:spacing w:val="-2"/>
              </w:rPr>
              <w:t>格式、报送方式，由依法负责核准的机构或者部门规定。2. 《上市公司证券发行管</w:t>
            </w:r>
            <w:r>
              <w:rPr>
                <w:spacing w:val="-3"/>
              </w:rPr>
              <w:t>理办法》</w:t>
            </w:r>
            <w:r>
              <w:rPr/>
              <w:t xml:space="preserve"> </w:t>
            </w:r>
            <w:r>
              <w:rPr>
                <w:spacing w:val="1"/>
              </w:rPr>
              <w:t>(证监会令第57号)第五十九条第二款；公开募</w:t>
            </w:r>
            <w:r>
              <w:rPr/>
              <w:t>集证券说明书所引用的法律意见书，应当</w:t>
            </w:r>
          </w:p>
          <w:p>
            <w:pPr>
              <w:pStyle w:val="TableText"/>
              <w:ind w:left="73" w:right="15" w:hanging="39"/>
              <w:spacing w:before="23" w:line="253" w:lineRule="auto"/>
              <w:rPr/>
            </w:pPr>
            <w:r>
              <w:rPr/>
              <w:t>由律师事务所出具，并由至少两名经办律师签署。第四十五条第二款：保荐人应当按照中国</w:t>
            </w:r>
            <w:r>
              <w:rPr>
                <w:spacing w:val="13"/>
              </w:rPr>
              <w:t xml:space="preserve"> </w:t>
            </w:r>
            <w:r>
              <w:rPr>
                <w:spacing w:val="-2"/>
              </w:rPr>
              <w:t>证监会的有关规定编制和报送发行申请文件。3. 《创业板上市公司证券发行管理暂</w:t>
            </w:r>
            <w:r>
              <w:rPr>
                <w:spacing w:val="-3"/>
              </w:rPr>
              <w:t>行办法》</w:t>
            </w:r>
            <w:r>
              <w:rPr/>
              <w:t xml:space="preserve"> </w:t>
            </w:r>
            <w:r>
              <w:rPr/>
              <w:t>(证监会令第100号)第三十五条第二款：保荐人或者上市公司应当按照中国证监会的有关</w:t>
            </w:r>
          </w:p>
          <w:p>
            <w:pPr>
              <w:pStyle w:val="TableText"/>
              <w:ind w:left="43" w:right="95" w:firstLine="30"/>
              <w:spacing w:before="41" w:line="221" w:lineRule="auto"/>
              <w:rPr/>
            </w:pPr>
            <w:r>
              <w:rPr>
                <w:spacing w:val="-2"/>
              </w:rPr>
              <w:t>规定编制和报送发行申请文件。4. 《律师事务所从事证券法律业务管理</w:t>
            </w:r>
            <w:r>
              <w:rPr>
                <w:spacing w:val="-3"/>
              </w:rPr>
              <w:t>办法》(证监会令第</w:t>
            </w:r>
            <w:r>
              <w:rPr/>
              <w:t xml:space="preserve"> </w:t>
            </w:r>
            <w:r>
              <w:rPr/>
              <w:t>41号)第六条：律师事务所从事证券法律业务，可以为下列事项出具法律意</w:t>
            </w:r>
            <w:r>
              <w:rPr>
                <w:spacing w:val="-1"/>
              </w:rPr>
              <w:t>见：(二)上市</w:t>
            </w:r>
          </w:p>
          <w:p>
            <w:pPr>
              <w:pStyle w:val="TableText"/>
              <w:ind w:left="24" w:right="230" w:hanging="10"/>
              <w:spacing w:before="32" w:line="251" w:lineRule="auto"/>
              <w:rPr/>
            </w:pPr>
            <w:r>
              <w:rPr>
                <w:spacing w:val="-2"/>
              </w:rPr>
              <w:t>公司发行证券并上市；(十)中国证监会规定的其他事项。5. 《公开发</w:t>
            </w:r>
            <w:r>
              <w:rPr>
                <w:spacing w:val="-3"/>
              </w:rPr>
              <w:t>行证券的公司信息披</w:t>
            </w:r>
            <w:r>
              <w:rPr/>
              <w:t xml:space="preserve"> </w:t>
            </w:r>
            <w:r>
              <w:rPr>
                <w:spacing w:val="1"/>
              </w:rPr>
              <w:t>露内容与格式准则第10号—上市公司公开发行证券申请文</w:t>
            </w:r>
            <w:r>
              <w:rPr/>
              <w:t>件》(证监发行字〔2006〕1号)</w:t>
            </w:r>
          </w:p>
          <w:p>
            <w:pPr>
              <w:pStyle w:val="TableText"/>
              <w:ind w:left="43" w:right="85" w:hanging="19"/>
              <w:spacing w:before="42" w:line="232" w:lineRule="auto"/>
              <w:rPr/>
            </w:pPr>
            <w:r>
              <w:rPr/>
              <w:t>附录：上市公司公开发行证券申请文件目录第四章发行人律师关于</w:t>
            </w:r>
            <w:r>
              <w:rPr>
                <w:spacing w:val="-1"/>
              </w:rPr>
              <w:t>本次证券发行的文件4-  </w:t>
            </w:r>
            <w:r>
              <w:rPr>
                <w:spacing w:val="-1"/>
              </w:rPr>
              <w:t>法律意见书4-2律师工作报告。6. 《公开发行证券的公司信息披露内容与</w:t>
            </w:r>
            <w:r>
              <w:rPr>
                <w:spacing w:val="-2"/>
              </w:rPr>
              <w:t>格式准则第37号一</w:t>
            </w:r>
            <w:r>
              <w:rPr/>
              <w:t xml:space="preserve"> </w:t>
            </w:r>
            <w:r>
              <w:rPr/>
              <w:t>创业板上市公司发行证券申请文件》(证监会公告〔2014〕32号)附件1:</w:t>
            </w:r>
            <w:r>
              <w:rPr>
                <w:spacing w:val="-1"/>
              </w:rPr>
              <w:t>第四章发行人律</w:t>
            </w:r>
          </w:p>
          <w:p>
            <w:pPr>
              <w:pStyle w:val="TableText"/>
              <w:ind w:left="53"/>
              <w:spacing w:before="33" w:line="196" w:lineRule="auto"/>
              <w:rPr/>
            </w:pPr>
            <w:r>
              <w:rPr/>
              <w:t>师关于本次证券发行的文件4-1法律意见书4-2律师</w:t>
            </w:r>
            <w:r>
              <w:rPr>
                <w:spacing w:val="-1"/>
              </w:rPr>
              <w:t>工作报告。</w:t>
            </w:r>
          </w:p>
        </w:tc>
      </w:tr>
      <w:tr>
        <w:trPr>
          <w:trHeight w:val="3130" w:hRule="atLeast"/>
        </w:trPr>
        <w:tc>
          <w:tcPr>
            <w:tcW w:w="295" w:type="dxa"/>
            <w:vAlign w:val="top"/>
          </w:tcPr>
          <w:p>
            <w:pPr>
              <w:pStyle w:val="TableText"/>
              <w:ind w:left="65"/>
              <w:spacing w:before="90" w:line="183" w:lineRule="auto"/>
              <w:rPr/>
            </w:pPr>
            <w:r>
              <w:rPr>
                <w:spacing w:val="-2"/>
              </w:rPr>
              <w:t>82</w:t>
            </w:r>
          </w:p>
        </w:tc>
        <w:tc>
          <w:tcPr>
            <w:tcW w:w="679" w:type="dxa"/>
            <w:vAlign w:val="top"/>
          </w:tcPr>
          <w:p>
            <w:pPr>
              <w:pStyle w:val="TableText"/>
              <w:ind w:left="20" w:right="18" w:firstLine="10"/>
              <w:spacing w:before="41" w:line="256" w:lineRule="auto"/>
              <w:jc w:val="both"/>
              <w:rPr/>
            </w:pPr>
            <w:r>
              <w:rPr>
                <w:spacing w:val="5"/>
              </w:rPr>
              <w:t>上市公司</w:t>
            </w:r>
            <w:r>
              <w:rPr/>
              <w:t xml:space="preserve"> </w:t>
            </w:r>
            <w:r>
              <w:rPr/>
              <w:t>发行可转 </w:t>
            </w:r>
            <w:r>
              <w:rPr/>
              <w:t>换为股票</w:t>
            </w:r>
            <w:r>
              <w:rPr>
                <w:spacing w:val="1"/>
              </w:rPr>
              <w:t xml:space="preserve"> </w:t>
            </w:r>
            <w:r>
              <w:rPr>
                <w:spacing w:val="4"/>
              </w:rPr>
              <w:t>的公司债</w:t>
            </w:r>
            <w:r>
              <w:rPr>
                <w:spacing w:val="1"/>
              </w:rPr>
              <w:t xml:space="preserve"> </w:t>
            </w:r>
            <w:r>
              <w:rPr>
                <w:spacing w:val="-2"/>
              </w:rPr>
              <w:t>券审计</w:t>
            </w:r>
          </w:p>
        </w:tc>
        <w:tc>
          <w:tcPr>
            <w:tcW w:w="1099" w:type="dxa"/>
            <w:vAlign w:val="top"/>
          </w:tcPr>
          <w:p>
            <w:pPr>
              <w:pStyle w:val="TableText"/>
              <w:ind w:left="10" w:right="35" w:firstLine="110"/>
              <w:spacing w:before="62" w:line="252" w:lineRule="auto"/>
              <w:rPr/>
            </w:pPr>
            <w:r>
              <w:rPr>
                <w:spacing w:val="1"/>
              </w:rPr>
              <w:t>(44030)上市  </w:t>
            </w:r>
            <w:r>
              <w:rPr>
                <w:spacing w:val="-2"/>
              </w:rPr>
              <w:t>公司发行可转换</w:t>
            </w:r>
            <w:r>
              <w:rPr>
                <w:spacing w:val="2"/>
              </w:rPr>
              <w:t xml:space="preserve"> </w:t>
            </w:r>
            <w:r>
              <w:rPr>
                <w:spacing w:val="-2"/>
              </w:rPr>
              <w:t>为股票的公司债</w:t>
            </w:r>
            <w:r>
              <w:rPr>
                <w:spacing w:val="5"/>
              </w:rPr>
              <w:t xml:space="preserve"> </w:t>
            </w:r>
            <w:r>
              <w:rPr>
                <w:spacing w:val="1"/>
              </w:rPr>
              <w:t>核准</w:t>
            </w:r>
          </w:p>
        </w:tc>
        <w:tc>
          <w:tcPr>
            <w:tcW w:w="839" w:type="dxa"/>
            <w:vAlign w:val="top"/>
          </w:tcPr>
          <w:p>
            <w:pPr>
              <w:pStyle w:val="TableText"/>
              <w:ind w:left="182"/>
              <w:spacing w:before="31" w:line="219" w:lineRule="auto"/>
              <w:rPr/>
            </w:pPr>
            <w:r>
              <w:rPr>
                <w:spacing w:val="-2"/>
              </w:rPr>
              <w:t>证监会</w:t>
            </w:r>
          </w:p>
        </w:tc>
        <w:tc>
          <w:tcPr>
            <w:tcW w:w="659" w:type="dxa"/>
            <w:vAlign w:val="top"/>
          </w:tcPr>
          <w:p>
            <w:pPr>
              <w:pStyle w:val="TableText"/>
              <w:ind w:left="12" w:right="19" w:firstLine="10"/>
              <w:spacing w:before="44" w:line="262" w:lineRule="auto"/>
              <w:jc w:val="both"/>
              <w:rPr/>
            </w:pPr>
            <w:r>
              <w:rPr>
                <w:spacing w:val="-8"/>
              </w:rPr>
              <w:t>具</w:t>
            </w:r>
            <w:r>
              <w:rPr>
                <w:spacing w:val="15"/>
              </w:rPr>
              <w:t xml:space="preserve"> </w:t>
            </w:r>
            <w:r>
              <w:rPr>
                <w:spacing w:val="-8"/>
              </w:rPr>
              <w:t>有</w:t>
            </w:r>
            <w:r>
              <w:rPr>
                <w:spacing w:val="14"/>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34" w:right="43"/>
              <w:spacing w:before="51" w:line="226" w:lineRule="auto"/>
              <w:rPr/>
            </w:pPr>
            <w:r>
              <w:rPr>
                <w:spacing w:val="-2"/>
              </w:rPr>
              <w:t>1. 《中华人民共和国证券法》第十九条：发行人依法申请核准发行证券所报送的申请文件的</w:t>
            </w:r>
            <w:r>
              <w:rPr>
                <w:spacing w:val="8"/>
              </w:rPr>
              <w:t xml:space="preserve"> </w:t>
            </w:r>
            <w:r>
              <w:rPr>
                <w:spacing w:val="-2"/>
              </w:rPr>
              <w:t>格式、报送方式，由依法负责核准的机构或者部门规定。2. 《中华人民共和国证券</w:t>
            </w:r>
            <w:r>
              <w:rPr>
                <w:spacing w:val="-3"/>
              </w:rPr>
              <w:t>法》第</w:t>
            </w:r>
          </w:p>
          <w:p>
            <w:pPr>
              <w:pStyle w:val="TableText"/>
              <w:ind w:left="34" w:firstLine="9"/>
              <w:spacing w:before="30" w:line="250" w:lineRule="auto"/>
              <w:rPr/>
            </w:pPr>
            <w:r>
              <w:rPr>
                <w:spacing w:val="-3"/>
              </w:rPr>
              <w:t>一百七十三条；证券服务机构为证券发行、上市、交易等证券业务活动制作、出具审计报告、</w:t>
            </w:r>
            <w:r>
              <w:rPr>
                <w:spacing w:val="6"/>
              </w:rPr>
              <w:t xml:space="preserve"> </w:t>
            </w:r>
            <w:r>
              <w:rPr>
                <w:spacing w:val="-2"/>
              </w:rPr>
              <w:t>资产评估报告、财务顾问报告、资信评级报告或者</w:t>
            </w:r>
            <w:r>
              <w:rPr>
                <w:spacing w:val="-3"/>
              </w:rPr>
              <w:t>法律意见书等文件，应当勤勉尽责，对所</w:t>
            </w:r>
            <w:r>
              <w:rPr/>
              <w:t xml:space="preserve">   </w:t>
            </w:r>
            <w:r>
              <w:rPr>
                <w:spacing w:val="-4"/>
              </w:rPr>
              <w:t>依据的文件资料内容的真实性、准确性、完整性进行核查和验证。3. 《上市公司证券发行管</w:t>
            </w:r>
          </w:p>
          <w:p>
            <w:pPr>
              <w:pStyle w:val="TableText"/>
              <w:ind w:left="34"/>
              <w:spacing w:before="42" w:line="219" w:lineRule="auto"/>
              <w:rPr/>
            </w:pPr>
            <w:r>
              <w:rPr>
                <w:spacing w:val="-3"/>
              </w:rPr>
              <w:t>理办法》(证监会令第57号)第八条：上市</w:t>
            </w:r>
            <w:r>
              <w:rPr>
                <w:spacing w:val="-4"/>
              </w:rPr>
              <w:t>公司财务状况良好，符合下列规定：</w:t>
            </w:r>
            <w:r>
              <w:rPr>
                <w:spacing w:val="22"/>
              </w:rPr>
              <w:t xml:space="preserve">   </w:t>
            </w:r>
            <w:r>
              <w:rPr>
                <w:spacing w:val="-4"/>
              </w:rPr>
              <w:t>(二)最</w:t>
            </w:r>
          </w:p>
          <w:p>
            <w:pPr>
              <w:pStyle w:val="TableText"/>
              <w:ind w:left="14" w:firstLine="19"/>
              <w:spacing w:before="10" w:line="250" w:lineRule="auto"/>
              <w:rPr/>
            </w:pPr>
            <w:r>
              <w:rPr>
                <w:spacing w:val="-1"/>
              </w:rPr>
              <w:t>近3年及一期财务报表未被注册会计师出具保留意见、否定意见或无法表示意见的审计报告。</w:t>
            </w:r>
            <w:r>
              <w:rPr>
                <w:spacing w:val="9"/>
              </w:rPr>
              <w:t xml:space="preserve"> </w:t>
            </w:r>
            <w:r>
              <w:rPr>
                <w:spacing w:val="-4"/>
              </w:rPr>
              <w:t>第四十五条第二款；保荐人应当按照中国证监会的有关规定编制和报送发行申请文件。4.</w:t>
            </w:r>
            <w:r>
              <w:rPr>
                <w:spacing w:val="-30"/>
              </w:rPr>
              <w:t xml:space="preserve"> </w:t>
            </w:r>
            <w:r>
              <w:rPr>
                <w:spacing w:val="-4"/>
              </w:rPr>
              <w:t>《创</w:t>
            </w:r>
            <w:r>
              <w:rPr/>
              <w:t xml:space="preserve"> </w:t>
            </w:r>
            <w:r>
              <w:rPr/>
              <w:t>业板上市公司证券发行管理暂行办法》(证监会令第10</w:t>
            </w:r>
            <w:r>
              <w:rPr>
                <w:spacing w:val="-1"/>
              </w:rPr>
              <w:t>0号)第三十五条第二款：保荐人或</w:t>
            </w:r>
          </w:p>
          <w:p>
            <w:pPr>
              <w:pStyle w:val="TableText"/>
              <w:ind w:left="34"/>
              <w:spacing w:before="42" w:line="219" w:lineRule="auto"/>
              <w:rPr/>
            </w:pPr>
            <w:r>
              <w:rPr>
                <w:spacing w:val="-2"/>
              </w:rPr>
              <w:t>者上市公司应当按照中国证监会的有关规定编制和报送发行申请文件。5. 《公开发行证券的</w:t>
            </w:r>
          </w:p>
          <w:p>
            <w:pPr>
              <w:pStyle w:val="TableText"/>
              <w:ind w:left="53"/>
              <w:spacing w:before="13" w:line="219" w:lineRule="auto"/>
              <w:rPr/>
            </w:pPr>
            <w:r>
              <w:rPr/>
              <w:t>公司信息披露内容与格式准则第10号—上市公司公开发行证券申请文件》(证监发行字[</w:t>
            </w:r>
          </w:p>
          <w:p>
            <w:pPr>
              <w:pStyle w:val="TableText"/>
              <w:ind w:left="34"/>
              <w:spacing w:before="51" w:line="219" w:lineRule="auto"/>
              <w:rPr/>
            </w:pPr>
            <w:r>
              <w:rPr/>
              <w:t>2006]1号)附录：上市公司公开发行证券申请文件目录第六章其他文件</w:t>
            </w:r>
            <w:r>
              <w:rPr>
                <w:spacing w:val="-1"/>
              </w:rPr>
              <w:t>6-1发行人最近三</w:t>
            </w:r>
          </w:p>
          <w:p>
            <w:pPr>
              <w:pStyle w:val="TableText"/>
              <w:ind w:left="34" w:right="62"/>
              <w:spacing w:before="22" w:line="238" w:lineRule="auto"/>
              <w:rPr/>
            </w:pPr>
            <w:r>
              <w:rPr>
                <w:spacing w:val="-2"/>
              </w:rPr>
              <w:t>年的财务报告和审计报告及最近一期的财务报告。6. 《公开发行证</w:t>
            </w:r>
            <w:r>
              <w:rPr>
                <w:spacing w:val="-3"/>
              </w:rPr>
              <w:t>券的公司信息披露内容与</w:t>
            </w:r>
            <w:r>
              <w:rPr/>
              <w:t xml:space="preserve"> </w:t>
            </w:r>
            <w:r>
              <w:rPr/>
              <w:t>格式准则第37号—创业板上市公司发行证券申请文件》(证监会公告〔2014〕</w:t>
            </w:r>
            <w:r>
              <w:rPr>
                <w:spacing w:val="-1"/>
              </w:rPr>
              <w:t>32号)附件1</w:t>
            </w:r>
          </w:p>
          <w:p>
            <w:pPr>
              <w:pStyle w:val="TableText"/>
              <w:ind w:left="34"/>
              <w:spacing w:before="13" w:line="196" w:lineRule="auto"/>
              <w:rPr/>
            </w:pPr>
            <w:r>
              <w:rPr/>
              <w:t>第六章其他文件6-1发行人最近三年的财务报告和审计报告及最近</w:t>
            </w:r>
            <w:r>
              <w:rPr>
                <w:spacing w:val="-1"/>
              </w:rPr>
              <w:t>一期的财务报告</w:t>
            </w:r>
          </w:p>
        </w:tc>
      </w:tr>
    </w:tbl>
    <w:p>
      <w:pPr>
        <w:pStyle w:val="BodyText"/>
        <w:rPr/>
      </w:pPr>
      <w:r/>
    </w:p>
    <w:p>
      <w:pPr>
        <w:sectPr>
          <w:pgSz w:w="11910" w:h="8220"/>
          <w:pgMar w:top="400" w:right="1125" w:bottom="400" w:left="821" w:header="0" w:footer="0" w:gutter="0"/>
        </w:sectPr>
        <w:rPr/>
      </w:pPr>
    </w:p>
    <w:p>
      <w:pPr>
        <w:spacing w:before="11"/>
        <w:rPr/>
      </w:pPr>
      <w:r>
        <mc:AlternateContent xmlns:mc="http://schemas.openxmlformats.org/markup-compatibility/2006">
          <mc:Choice Requires="wps">
            <w:drawing>
              <wp:anchor distT="0" distB="0" distL="0" distR="0" simplePos="0" relativeHeight="251978752" behindDoc="0" locked="0" layoutInCell="0" allowOverlap="1">
                <wp:simplePos x="0" y="0"/>
                <wp:positionH relativeFrom="page">
                  <wp:posOffset>471020</wp:posOffset>
                </wp:positionH>
                <wp:positionV relativeFrom="page">
                  <wp:posOffset>617066</wp:posOffset>
                </wp:positionV>
                <wp:extent cx="172085" cy="157479"/>
                <wp:effectExtent l="0" t="0" r="0" b="0"/>
                <wp:wrapNone/>
                <wp:docPr id="456" name="TextBox 456"/>
                <wp:cNvGraphicFramePr/>
                <a:graphic>
                  <a:graphicData uri="http://schemas.microsoft.com/office/word/2010/wordprocessingShape">
                    <wps:wsp>
                      <wps:cNvSpPr txBox="1"/>
                      <wps:spPr>
                        <a:xfrm rot="5400000">
                          <a:off x="471020" y="61706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8" style="position:absolute;margin-left:37.0882pt;margin-top:48.5879pt;mso-position-vertical-relative:page;mso-position-horizontal-relative:page;width:13.55pt;height:12.4pt;z-index:25197875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316</w:t>
                      </w:r>
                    </w:p>
                  </w:txbxContent>
                </v:textbox>
              </v:shape>
            </w:pict>
          </mc:Fallback>
        </mc:AlternateContent>
      </w:r>
      <w:r/>
    </w:p>
    <w:p>
      <w:pPr>
        <w:spacing w:before="1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47"/>
              <w:spacing w:before="70" w:line="217" w:lineRule="auto"/>
              <w:rPr/>
            </w:pPr>
            <w:r>
              <w:rPr>
                <w:spacing w:val="-2"/>
              </w:rPr>
              <w:t>序 号</w:t>
            </w:r>
          </w:p>
        </w:tc>
        <w:tc>
          <w:tcPr>
            <w:tcW w:w="679" w:type="dxa"/>
            <w:vAlign w:val="top"/>
          </w:tcPr>
          <w:p>
            <w:pPr>
              <w:pStyle w:val="TableText"/>
              <w:ind w:left="30" w:right="32"/>
              <w:spacing w:before="50" w:line="246" w:lineRule="auto"/>
              <w:rPr/>
            </w:pPr>
            <w:r>
              <w:rPr>
                <w:spacing w:val="1"/>
              </w:rPr>
              <w:t>中介服务 </w:t>
            </w:r>
            <w:r>
              <w:rPr>
                <w:spacing w:val="-2"/>
              </w:rPr>
              <w:t>事项名称</w:t>
            </w:r>
          </w:p>
        </w:tc>
        <w:tc>
          <w:tcPr>
            <w:tcW w:w="1099" w:type="dxa"/>
            <w:vAlign w:val="top"/>
          </w:tcPr>
          <w:p>
            <w:pPr>
              <w:pStyle w:val="TableText"/>
              <w:ind w:left="239" w:right="35" w:hanging="229"/>
              <w:spacing w:before="50" w:line="252"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1" w:line="23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291" w:lineRule="auto"/>
              <w:rPr>
                <w:rFonts w:ascii="Arial"/>
                <w:sz w:val="21"/>
              </w:rPr>
            </w:pPr>
            <w:r/>
          </w:p>
          <w:p>
            <w:pPr>
              <w:spacing w:line="292" w:lineRule="auto"/>
              <w:rPr>
                <w:rFonts w:ascii="Arial"/>
                <w:sz w:val="21"/>
              </w:rPr>
            </w:pPr>
            <w:r/>
          </w:p>
          <w:p>
            <w:pPr>
              <w:pStyle w:val="TableText"/>
              <w:ind w:left="65"/>
              <w:spacing w:before="49" w:line="183" w:lineRule="auto"/>
              <w:rPr/>
            </w:pPr>
            <w:r>
              <w:rPr>
                <w:spacing w:val="-2"/>
              </w:rPr>
              <w:t>83</w:t>
            </w:r>
          </w:p>
        </w:tc>
        <w:tc>
          <w:tcPr>
            <w:tcW w:w="679" w:type="dxa"/>
            <w:vAlign w:val="top"/>
          </w:tcPr>
          <w:p>
            <w:pPr>
              <w:spacing w:line="252" w:lineRule="auto"/>
              <w:rPr>
                <w:rFonts w:ascii="Arial"/>
                <w:sz w:val="21"/>
              </w:rPr>
            </w:pPr>
            <w:r/>
          </w:p>
          <w:p>
            <w:pPr>
              <w:spacing w:line="252" w:lineRule="auto"/>
              <w:rPr>
                <w:rFonts w:ascii="Arial"/>
                <w:sz w:val="21"/>
              </w:rPr>
            </w:pPr>
            <w:r/>
          </w:p>
          <w:p>
            <w:pPr>
              <w:pStyle w:val="TableText"/>
              <w:ind w:left="20" w:right="18" w:firstLine="10"/>
              <w:spacing w:before="48" w:line="264" w:lineRule="auto"/>
              <w:jc w:val="both"/>
              <w:rPr/>
            </w:pPr>
            <w:r>
              <w:rPr>
                <w:spacing w:val="5"/>
              </w:rPr>
              <w:t>上市公司</w:t>
            </w:r>
            <w:r>
              <w:rPr/>
              <w:t xml:space="preserve"> </w:t>
            </w:r>
            <w:r>
              <w:rPr/>
              <w:t>发行可转 </w:t>
            </w:r>
            <w:r>
              <w:rPr/>
              <w:t>换为股票</w:t>
            </w:r>
            <w:r>
              <w:rPr>
                <w:spacing w:val="1"/>
              </w:rPr>
              <w:t xml:space="preserve"> </w:t>
            </w:r>
            <w:r>
              <w:rPr>
                <w:spacing w:val="4"/>
              </w:rPr>
              <w:t>的公司债</w:t>
            </w:r>
            <w:r>
              <w:rPr>
                <w:spacing w:val="1"/>
              </w:rPr>
              <w:t xml:space="preserve"> </w:t>
            </w:r>
            <w:r>
              <w:rPr>
                <w:spacing w:val="1"/>
              </w:rPr>
              <w:t>券资产评</w:t>
            </w:r>
            <w:r>
              <w:rPr/>
              <w:t xml:space="preserve"> </w:t>
            </w:r>
            <w:r>
              <w:rPr/>
              <w:t>估</w:t>
            </w:r>
          </w:p>
        </w:tc>
        <w:tc>
          <w:tcPr>
            <w:tcW w:w="1099" w:type="dxa"/>
            <w:vAlign w:val="top"/>
          </w:tcPr>
          <w:p>
            <w:pPr>
              <w:spacing w:line="258" w:lineRule="auto"/>
              <w:rPr>
                <w:rFonts w:ascii="Arial"/>
                <w:sz w:val="21"/>
              </w:rPr>
            </w:pPr>
            <w:r/>
          </w:p>
          <w:p>
            <w:pPr>
              <w:spacing w:line="258" w:lineRule="auto"/>
              <w:rPr>
                <w:rFonts w:ascii="Arial"/>
                <w:sz w:val="21"/>
              </w:rPr>
            </w:pPr>
            <w:r/>
          </w:p>
          <w:p>
            <w:pPr>
              <w:pStyle w:val="TableText"/>
              <w:ind w:left="10" w:right="35" w:firstLine="30"/>
              <w:spacing w:before="48" w:line="261" w:lineRule="auto"/>
              <w:jc w:val="both"/>
              <w:rPr/>
            </w:pPr>
            <w:r>
              <w:rPr>
                <w:spacing w:val="20"/>
              </w:rPr>
              <w:t>(44030)上市</w:t>
            </w:r>
            <w:r>
              <w:rPr>
                <w:spacing w:val="2"/>
              </w:rPr>
              <w:t xml:space="preserve"> </w:t>
            </w:r>
            <w:r>
              <w:rPr>
                <w:spacing w:val="-2"/>
              </w:rPr>
              <w:t>公司发行可转换</w:t>
            </w:r>
            <w:r>
              <w:rPr>
                <w:spacing w:val="2"/>
              </w:rPr>
              <w:t xml:space="preserve"> </w:t>
            </w:r>
            <w:r>
              <w:rPr>
                <w:spacing w:val="-2"/>
              </w:rPr>
              <w:t>为股票的公司债</w:t>
            </w:r>
            <w:r>
              <w:rPr>
                <w:spacing w:val="5"/>
              </w:rPr>
              <w:t xml:space="preserve"> </w:t>
            </w:r>
            <w:r>
              <w:rPr>
                <w:spacing w:val="1"/>
              </w:rPr>
              <w:t>核准</w:t>
            </w:r>
          </w:p>
        </w:tc>
        <w:tc>
          <w:tcPr>
            <w:tcW w:w="839" w:type="dxa"/>
            <w:vAlign w:val="top"/>
          </w:tcPr>
          <w:p>
            <w:pPr>
              <w:spacing w:line="257" w:lineRule="auto"/>
              <w:rPr>
                <w:rFonts w:ascii="Arial"/>
                <w:sz w:val="21"/>
              </w:rPr>
            </w:pPr>
            <w:r/>
          </w:p>
          <w:p>
            <w:pPr>
              <w:spacing w:line="257" w:lineRule="auto"/>
              <w:rPr>
                <w:rFonts w:ascii="Arial"/>
                <w:sz w:val="21"/>
              </w:rPr>
            </w:pPr>
            <w:r/>
          </w:p>
          <w:p>
            <w:pPr>
              <w:pStyle w:val="TableText"/>
              <w:ind w:left="182"/>
              <w:spacing w:before="49" w:line="219" w:lineRule="auto"/>
              <w:rPr/>
            </w:pPr>
            <w:r>
              <w:rPr>
                <w:spacing w:val="-2"/>
              </w:rPr>
              <w:t>证监会</w:t>
            </w:r>
          </w:p>
        </w:tc>
        <w:tc>
          <w:tcPr>
            <w:tcW w:w="659" w:type="dxa"/>
            <w:vAlign w:val="top"/>
          </w:tcPr>
          <w:p>
            <w:pPr>
              <w:spacing w:line="251" w:lineRule="auto"/>
              <w:rPr>
                <w:rFonts w:ascii="Arial"/>
                <w:sz w:val="21"/>
              </w:rPr>
            </w:pPr>
            <w:r/>
          </w:p>
          <w:p>
            <w:pPr>
              <w:spacing w:line="252" w:lineRule="auto"/>
              <w:rPr>
                <w:rFonts w:ascii="Arial"/>
                <w:sz w:val="21"/>
              </w:rPr>
            </w:pPr>
            <w:r/>
          </w:p>
          <w:p>
            <w:pPr>
              <w:pStyle w:val="TableText"/>
              <w:ind w:left="12" w:right="14" w:firstLine="10"/>
              <w:spacing w:before="49" w:line="266" w:lineRule="auto"/>
              <w:jc w:val="both"/>
              <w:rPr/>
            </w:pPr>
            <w:r>
              <w:rPr>
                <w:spacing w:val="-3"/>
              </w:rPr>
              <w:t>具有证券</w:t>
            </w:r>
            <w:r>
              <w:rPr>
                <w:spacing w:val="2"/>
              </w:rPr>
              <w:t xml:space="preserve"> </w:t>
            </w:r>
            <w:r>
              <w:rPr>
                <w:spacing w:val="1"/>
              </w:rPr>
              <w:t>相关业务</w:t>
            </w:r>
            <w:r>
              <w:rPr/>
              <w:t xml:space="preserve"> </w:t>
            </w:r>
            <w:r>
              <w:rPr>
                <w:spacing w:val="5"/>
              </w:rPr>
              <w:t>资格的资</w:t>
            </w:r>
            <w:r>
              <w:rPr/>
              <w:t xml:space="preserve"> </w:t>
            </w:r>
            <w:r>
              <w:rPr>
                <w:spacing w:val="1"/>
              </w:rPr>
              <w:t>产评估机</w:t>
            </w:r>
            <w:r>
              <w:rPr/>
              <w:t xml:space="preserve"> </w:t>
            </w:r>
            <w:r>
              <w:rPr/>
              <w:t>构</w:t>
            </w:r>
          </w:p>
        </w:tc>
        <w:tc>
          <w:tcPr>
            <w:tcW w:w="6098" w:type="dxa"/>
            <w:vAlign w:val="top"/>
          </w:tcPr>
          <w:p>
            <w:pPr>
              <w:spacing w:line="262" w:lineRule="auto"/>
              <w:rPr>
                <w:rFonts w:ascii="Arial"/>
                <w:sz w:val="21"/>
              </w:rPr>
            </w:pPr>
            <w:r/>
          </w:p>
          <w:p>
            <w:pPr>
              <w:spacing w:line="262" w:lineRule="auto"/>
              <w:rPr>
                <w:rFonts w:ascii="Arial"/>
                <w:sz w:val="21"/>
              </w:rPr>
            </w:pPr>
            <w:r/>
          </w:p>
          <w:p>
            <w:pPr>
              <w:pStyle w:val="TableText"/>
              <w:ind w:left="43"/>
              <w:spacing w:before="48" w:line="219" w:lineRule="auto"/>
              <w:rPr/>
            </w:pPr>
            <w:r>
              <w:rPr>
                <w:spacing w:val="-2"/>
              </w:rPr>
              <w:t>1. 《中华人民共和国证券法》第十九条：发行人依法申请核准发行证券所报送的申请文件的</w:t>
            </w:r>
          </w:p>
          <w:p>
            <w:pPr>
              <w:pStyle w:val="TableText"/>
              <w:ind w:left="113"/>
              <w:spacing w:before="22" w:line="219" w:lineRule="auto"/>
              <w:rPr/>
            </w:pPr>
            <w:r>
              <w:rPr>
                <w:spacing w:val="-2"/>
              </w:rPr>
              <w:t>格式、报送方式，由依法负责核准的机构或者部门规定。2. 《中华人民共和国证券</w:t>
            </w:r>
            <w:r>
              <w:rPr>
                <w:spacing w:val="-3"/>
              </w:rPr>
              <w:t>法》第</w:t>
            </w:r>
          </w:p>
          <w:p>
            <w:pPr>
              <w:pStyle w:val="TableText"/>
              <w:ind w:left="43" w:hanging="29"/>
              <w:spacing w:before="51" w:line="261" w:lineRule="auto"/>
              <w:rPr/>
            </w:pPr>
            <w:r>
              <w:rPr>
                <w:spacing w:val="-2"/>
              </w:rPr>
              <w:t>一百七十三条：证券服务机构为证券发行、上市、交易等证券业务活动制作、出具审计报告、</w:t>
            </w:r>
            <w:r>
              <w:rPr>
                <w:spacing w:val="4"/>
              </w:rPr>
              <w:t xml:space="preserve"> </w:t>
            </w:r>
            <w:r>
              <w:rPr>
                <w:spacing w:val="-2"/>
              </w:rPr>
              <w:t>资产评估报告、财务顾问报告、资信评级报告或者法律意见书等文件，应当勤勉尽责，对</w:t>
            </w:r>
            <w:r>
              <w:rPr>
                <w:spacing w:val="-3"/>
              </w:rPr>
              <w:t>所  </w:t>
            </w:r>
            <w:r>
              <w:rPr>
                <w:spacing w:val="-4"/>
              </w:rPr>
              <w:t>依据的文件资料内容的真实性、准确性、完整性进行核查和验证。3. 《上市公司证券发行管</w:t>
            </w:r>
            <w:r>
              <w:rPr>
                <w:spacing w:val="3"/>
              </w:rPr>
              <w:t xml:space="preserve">  </w:t>
            </w:r>
            <w:r>
              <w:rPr>
                <w:spacing w:val="-2"/>
              </w:rPr>
              <w:t>理办法》(证监会令第57号)第五十三条第二款：使用募集资金收购资产或者股权的，应</w:t>
            </w:r>
          </w:p>
          <w:p>
            <w:pPr>
              <w:pStyle w:val="TableText"/>
              <w:ind w:left="43" w:right="4"/>
              <w:spacing w:before="40" w:line="261" w:lineRule="auto"/>
              <w:rPr/>
            </w:pPr>
            <w:r>
              <w:rPr/>
              <w:t>当在公告召开股东大会通知的同时，披露该资产或者股权的基本情况、交易价格、定价依据</w:t>
            </w:r>
            <w:r>
              <w:rPr>
                <w:spacing w:val="7"/>
              </w:rPr>
              <w:t xml:space="preserve"> </w:t>
            </w:r>
            <w:r>
              <w:rPr/>
              <w:t>以及是否与公司股东或其他关联人存在利害关系。第四十五条第二款；保荐人应当按照中国</w:t>
            </w:r>
            <w:r>
              <w:rPr>
                <w:spacing w:val="14"/>
              </w:rPr>
              <w:t xml:space="preserve"> </w:t>
            </w:r>
            <w:r>
              <w:rPr>
                <w:spacing w:val="-6"/>
              </w:rPr>
              <w:t>证监会的有关规定编制和报送发行申请文件。4. 《创业板上市公司证券发行管理暂行办法》(证</w:t>
            </w:r>
            <w:r>
              <w:rPr>
                <w:spacing w:val="3"/>
              </w:rPr>
              <w:t xml:space="preserve"> </w:t>
            </w:r>
            <w:r>
              <w:rPr>
                <w:spacing w:val="1"/>
              </w:rPr>
              <w:t>监会令第100号)第三十五条第二款：保荐人或者上市公司应当按照中国证监会的有关规定  </w:t>
            </w:r>
            <w:r>
              <w:rPr>
                <w:spacing w:val="-2"/>
              </w:rPr>
              <w:t>编制和报送发行申请文件。5. 《公开发行证券的公司信息披露内容与格式准则第10号—上市</w:t>
            </w:r>
          </w:p>
          <w:p>
            <w:pPr>
              <w:pStyle w:val="TableText"/>
              <w:ind w:left="34"/>
              <w:spacing w:before="41" w:line="219" w:lineRule="auto"/>
              <w:rPr/>
            </w:pPr>
            <w:r>
              <w:rPr/>
              <w:t>公司公开发行证券申请文件》(证监发行字〔2006〕1号)附录：上市公司公开发行证券申</w:t>
            </w:r>
          </w:p>
          <w:p>
            <w:pPr>
              <w:pStyle w:val="TableText"/>
              <w:ind w:left="34" w:right="51" w:firstLine="39"/>
              <w:spacing w:before="22" w:line="253" w:lineRule="auto"/>
              <w:rPr/>
            </w:pPr>
            <w:r>
              <w:rPr>
                <w:spacing w:val="1"/>
              </w:rPr>
              <w:t>请文件目录第五章关于本次证券发行募集资金运用的文件5-2发行人拟收购资产</w:t>
            </w:r>
            <w:r>
              <w:rPr/>
              <w:t>(包括权益) </w:t>
            </w:r>
            <w:r>
              <w:rPr>
                <w:spacing w:val="-2"/>
              </w:rPr>
              <w:t>有关的财务报告、审计报告、资产评估报告。6. 《公开发行证券的公司信息披露内容与格式</w:t>
            </w:r>
            <w:r>
              <w:rPr>
                <w:spacing w:val="5"/>
              </w:rPr>
              <w:t xml:space="preserve"> </w:t>
            </w:r>
            <w:r>
              <w:rPr>
                <w:spacing w:val="1"/>
              </w:rPr>
              <w:t>准则第37号—创业板上市公司发行证券申请文件》(证监会公告</w:t>
            </w:r>
            <w:r>
              <w:rPr/>
              <w:t>〔2014〕32号)附件1:</w:t>
            </w:r>
          </w:p>
          <w:p>
            <w:pPr>
              <w:pStyle w:val="TableText"/>
              <w:ind w:left="43" w:right="94" w:firstLine="30"/>
              <w:spacing w:before="54" w:line="244" w:lineRule="auto"/>
              <w:rPr/>
            </w:pPr>
            <w:r>
              <w:rPr/>
              <w:t>创业板上市公司发行证券申请目录第五章关于本次证券发行募集资金运用的文</w:t>
            </w:r>
            <w:r>
              <w:rPr>
                <w:spacing w:val="-1"/>
              </w:rPr>
              <w:t>件5-2发行人</w:t>
            </w:r>
            <w:r>
              <w:rPr/>
              <w:t xml:space="preserve"> </w:t>
            </w:r>
            <w:r>
              <w:rPr/>
              <w:t>拟收购资产(包括权益)有关的财务报告、审计报告</w:t>
            </w:r>
            <w:r>
              <w:rPr>
                <w:spacing w:val="-1"/>
              </w:rPr>
              <w:t>、资产评估报告</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79776" behindDoc="0" locked="0" layoutInCell="0" allowOverlap="1">
                <wp:simplePos x="0" y="0"/>
                <wp:positionH relativeFrom="page">
                  <wp:posOffset>471019</wp:posOffset>
                </wp:positionH>
                <wp:positionV relativeFrom="page">
                  <wp:posOffset>4382610</wp:posOffset>
                </wp:positionV>
                <wp:extent cx="172085" cy="157479"/>
                <wp:effectExtent l="0" t="0" r="0" b="0"/>
                <wp:wrapNone/>
                <wp:docPr id="458" name="TextBox 458"/>
                <wp:cNvGraphicFramePr/>
                <a:graphic>
                  <a:graphicData uri="http://schemas.microsoft.com/office/word/2010/wordprocessingShape">
                    <wps:wsp>
                      <wps:cNvSpPr txBox="1"/>
                      <wps:spPr>
                        <a:xfrm rot="5400000">
                          <a:off x="471019" y="4382610"/>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10" style="position:absolute;margin-left:37.0882pt;margin-top:345.087pt;mso-position-vertical-relative:page;mso-position-horizontal-relative:page;width:13.55pt;height:12.4pt;z-index:251979776;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317</w:t>
                      </w:r>
                    </w:p>
                  </w:txbxContent>
                </v:textbox>
              </v:shape>
            </w:pict>
          </mc:Fallback>
        </mc:AlternateContent>
      </w:r>
      <w:r/>
    </w:p>
    <w:p>
      <w:pPr>
        <w:spacing w:before="4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69" w:type="dxa"/>
            <w:vAlign w:val="top"/>
          </w:tcPr>
          <w:p>
            <w:pPr>
              <w:pStyle w:val="TableText"/>
              <w:ind w:left="2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65"/>
              <w:spacing w:before="49" w:line="183" w:lineRule="auto"/>
              <w:rPr/>
            </w:pPr>
            <w:r>
              <w:rPr>
                <w:spacing w:val="-2"/>
              </w:rPr>
              <w:t>84</w:t>
            </w:r>
          </w:p>
        </w:tc>
        <w:tc>
          <w:tcPr>
            <w:tcW w:w="66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0" w:right="18" w:firstLine="10"/>
              <w:spacing w:before="49" w:line="259" w:lineRule="auto"/>
              <w:jc w:val="both"/>
              <w:rPr/>
            </w:pPr>
            <w:r>
              <w:rPr>
                <w:spacing w:val="5"/>
              </w:rPr>
              <w:t>上市公司</w:t>
            </w:r>
            <w:r>
              <w:rPr/>
              <w:t xml:space="preserve"> </w:t>
            </w:r>
            <w:r>
              <w:rPr/>
              <w:t>发行可转 </w:t>
            </w:r>
            <w:r>
              <w:rPr/>
              <w:t>换为股票</w:t>
            </w:r>
            <w:r>
              <w:rPr>
                <w:spacing w:val="1"/>
              </w:rPr>
              <w:t xml:space="preserve"> </w:t>
            </w:r>
            <w:r>
              <w:rPr>
                <w:spacing w:val="4"/>
              </w:rPr>
              <w:t>的公司债</w:t>
            </w:r>
            <w:r>
              <w:rPr>
                <w:spacing w:val="1"/>
              </w:rPr>
              <w:t xml:space="preserve"> </w:t>
            </w:r>
            <w:r>
              <w:rPr>
                <w:spacing w:val="1"/>
              </w:rPr>
              <w:t>券资信评</w:t>
            </w:r>
            <w:r>
              <w:rPr/>
              <w:t xml:space="preserve"> </w:t>
            </w:r>
            <w:r>
              <w:rPr/>
              <w:t>级</w:t>
            </w:r>
          </w:p>
        </w:tc>
        <w:tc>
          <w:tcPr>
            <w:tcW w:w="1109"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0" w:right="35" w:firstLine="20"/>
              <w:spacing w:before="49" w:line="252" w:lineRule="auto"/>
              <w:jc w:val="both"/>
              <w:rPr/>
            </w:pPr>
            <w:r>
              <w:rPr>
                <w:spacing w:val="20"/>
              </w:rPr>
              <w:t>(44030)上市</w:t>
            </w:r>
            <w:r>
              <w:rPr>
                <w:spacing w:val="2"/>
              </w:rPr>
              <w:t xml:space="preserve"> </w:t>
            </w:r>
            <w:r>
              <w:rPr>
                <w:spacing w:val="-2"/>
              </w:rPr>
              <w:t>公司发行可转换</w:t>
            </w:r>
            <w:r>
              <w:rPr>
                <w:spacing w:val="2"/>
              </w:rPr>
              <w:t xml:space="preserve"> </w:t>
            </w:r>
            <w:r>
              <w:rPr>
                <w:spacing w:val="-2"/>
              </w:rPr>
              <w:t>为股票的公司债</w:t>
            </w:r>
            <w:r>
              <w:rPr>
                <w:spacing w:val="5"/>
              </w:rPr>
              <w:t xml:space="preserve"> </w:t>
            </w:r>
            <w:r>
              <w:rPr>
                <w:spacing w:val="1"/>
              </w:rPr>
              <w:t>核准</w:t>
            </w:r>
          </w:p>
        </w:tc>
        <w:tc>
          <w:tcPr>
            <w:tcW w:w="82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82"/>
              <w:spacing w:before="49" w:line="219" w:lineRule="auto"/>
              <w:rPr/>
            </w:pPr>
            <w:r>
              <w:rPr>
                <w:spacing w:val="-2"/>
              </w:rPr>
              <w:t>证监会</w:t>
            </w:r>
          </w:p>
        </w:tc>
        <w:tc>
          <w:tcPr>
            <w:tcW w:w="66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 w:right="24" w:firstLine="10"/>
              <w:spacing w:before="49" w:line="256" w:lineRule="auto"/>
              <w:jc w:val="both"/>
              <w:rPr/>
            </w:pPr>
            <w:r>
              <w:rPr>
                <w:spacing w:val="-3"/>
              </w:rPr>
              <w:t>具有证券</w:t>
            </w:r>
            <w:r>
              <w:rPr>
                <w:spacing w:val="2"/>
              </w:rPr>
              <w:t xml:space="preserve"> </w:t>
            </w:r>
            <w:r>
              <w:rPr>
                <w:spacing w:val="1"/>
              </w:rPr>
              <w:t>相关业务</w:t>
            </w:r>
            <w:r>
              <w:rPr/>
              <w:t xml:space="preserve"> </w:t>
            </w:r>
            <w:r>
              <w:rPr>
                <w:spacing w:val="5"/>
              </w:rPr>
              <w:t>资格的资</w:t>
            </w:r>
            <w:r>
              <w:rPr/>
              <w:t xml:space="preserve"> </w:t>
            </w:r>
            <w:r>
              <w:rPr>
                <w:spacing w:val="1"/>
              </w:rPr>
              <w:t>信评级机</w:t>
            </w:r>
            <w:r>
              <w:rPr/>
              <w:t xml:space="preserve"> </w:t>
            </w:r>
            <w:r>
              <w:rPr/>
              <w:t>构</w:t>
            </w:r>
          </w:p>
        </w:tc>
        <w:tc>
          <w:tcPr>
            <w:tcW w:w="6098"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4" w:right="43" w:firstLine="19"/>
              <w:spacing w:before="49" w:line="251" w:lineRule="auto"/>
              <w:rPr/>
            </w:pPr>
            <w:r>
              <w:rPr>
                <w:spacing w:val="-2"/>
              </w:rPr>
              <w:t>1. 《中华人民共和国证券法》第十九条：发行人依法申请核准发行证券所报送的申请文件的</w:t>
            </w:r>
            <w:r>
              <w:rPr>
                <w:spacing w:val="8"/>
              </w:rPr>
              <w:t xml:space="preserve"> </w:t>
            </w:r>
            <w:r>
              <w:rPr>
                <w:spacing w:val="-2"/>
              </w:rPr>
              <w:t>格式、报送方式，由依法负责核准的机构或者部门规定。2. 《中华人民共和国证券</w:t>
            </w:r>
            <w:r>
              <w:rPr>
                <w:spacing w:val="-3"/>
              </w:rPr>
              <w:t>法》第</w:t>
            </w:r>
          </w:p>
          <w:p>
            <w:pPr>
              <w:pStyle w:val="TableText"/>
              <w:ind w:left="34" w:right="52" w:firstLine="9"/>
              <w:spacing w:before="41" w:line="258" w:lineRule="auto"/>
              <w:rPr/>
            </w:pPr>
            <w:r>
              <w:rPr/>
              <w:t>一百七十三条：证券服务机构为证券发行、上市、交易等证券业务活</w:t>
            </w:r>
            <w:r>
              <w:rPr>
                <w:spacing w:val="-1"/>
              </w:rPr>
              <w:t>动制作、出具审计报告</w:t>
            </w:r>
            <w:r>
              <w:rPr/>
              <w:t xml:space="preserve"> </w:t>
            </w:r>
            <w:r>
              <w:rPr/>
              <w:t>资产评估报告、财务顾问报告、资信评级报告或者法律意见书等文件，应当勤勉尽</w:t>
            </w:r>
            <w:r>
              <w:rPr>
                <w:spacing w:val="-1"/>
              </w:rPr>
              <w:t>责，对所</w:t>
            </w:r>
            <w:r>
              <w:rPr/>
              <w:t xml:space="preserve"> </w:t>
            </w:r>
            <w:r>
              <w:rPr>
                <w:spacing w:val="-2"/>
              </w:rPr>
              <w:t>依据的文件资料内容的真实性、准确性、完整性进行核查和验证。3. 《上市公司证券发行管</w:t>
            </w:r>
            <w:r>
              <w:rPr>
                <w:spacing w:val="2"/>
              </w:rPr>
              <w:t xml:space="preserve"> </w:t>
            </w:r>
            <w:r>
              <w:rPr/>
              <w:t>理办法》(证监会令第57号)第十七条：公开发行可转换公司债券，</w:t>
            </w:r>
            <w:r>
              <w:rPr>
                <w:spacing w:val="-1"/>
              </w:rPr>
              <w:t>应当委托具有资格的</w:t>
            </w:r>
          </w:p>
          <w:p>
            <w:pPr>
              <w:pStyle w:val="TableText"/>
              <w:ind w:left="43" w:right="23"/>
              <w:spacing w:before="41" w:line="249" w:lineRule="auto"/>
              <w:rPr/>
            </w:pPr>
            <w:r>
              <w:rPr/>
              <w:t>资信评级机构进行信用评级和跟踪评级。第四十五条第二款：保荐人应当按照中国证监会的</w:t>
            </w:r>
            <w:r>
              <w:rPr>
                <w:spacing w:val="10"/>
              </w:rPr>
              <w:t xml:space="preserve"> </w:t>
            </w:r>
            <w:r>
              <w:rPr>
                <w:spacing w:val="-1"/>
              </w:rPr>
              <w:t>有关规定编制和报送发行申请文件。4. 《创业板上市</w:t>
            </w:r>
            <w:r>
              <w:rPr>
                <w:spacing w:val="-2"/>
              </w:rPr>
              <w:t>公司证券发行管理暂行办法》(证监会</w:t>
            </w:r>
            <w:r>
              <w:rPr/>
              <w:t xml:space="preserve">  </w:t>
            </w:r>
            <w:r>
              <w:rPr>
                <w:spacing w:val="1"/>
              </w:rPr>
              <w:t>令第100号)第三十五条第二款；保荐人或者上市公司应当按照中国证监会的有关规定</w:t>
            </w:r>
            <w:r>
              <w:rPr/>
              <w:t>编制  </w:t>
            </w:r>
            <w:r>
              <w:rPr>
                <w:spacing w:val="-1"/>
              </w:rPr>
              <w:t>和报送发行申请文件。5. 《公开发行证券的公司信息披露内容与</w:t>
            </w:r>
            <w:r>
              <w:rPr>
                <w:spacing w:val="-2"/>
              </w:rPr>
              <w:t>格式准则第10号—上市公司</w:t>
            </w:r>
          </w:p>
          <w:p>
            <w:pPr>
              <w:pStyle w:val="TableText"/>
              <w:ind w:left="34" w:right="209"/>
              <w:spacing w:before="60" w:line="262" w:lineRule="auto"/>
              <w:rPr/>
            </w:pPr>
            <w:r>
              <w:rPr/>
              <w:t>公开发行证券申请文件》(证监发行字〔2006〕1号)附录；上</w:t>
            </w:r>
            <w:r>
              <w:rPr>
                <w:spacing w:val="-1"/>
              </w:rPr>
              <w:t>市公司公开发行证券申请文</w:t>
            </w:r>
            <w:r>
              <w:rPr/>
              <w:t xml:space="preserve">  </w:t>
            </w:r>
            <w:r>
              <w:rPr/>
              <w:t>件目录第六章其他文件6-10资信评级机构为本次发行可转换公司债券或分</w:t>
            </w:r>
            <w:r>
              <w:rPr>
                <w:spacing w:val="-1"/>
              </w:rPr>
              <w:t>离交易的可转换</w:t>
            </w:r>
            <w:r>
              <w:rPr/>
              <w:t xml:space="preserve"> </w:t>
            </w:r>
            <w:r>
              <w:rPr/>
              <w:t>公司债券出具的资信评级报告。6.公开发行证券的公司信息披露</w:t>
            </w:r>
            <w:r>
              <w:rPr>
                <w:spacing w:val="-1"/>
              </w:rPr>
              <w:t>内容与格式准则第37号一</w:t>
            </w:r>
            <w:r>
              <w:rPr/>
              <w:t xml:space="preserve"> </w:t>
            </w:r>
            <w:r>
              <w:rPr/>
              <w:t>创业板上市公司发行证券申请文件》(证监会公告〔2014〕32号)附件1:创业板上市公司  </w:t>
            </w:r>
            <w:r>
              <w:rPr/>
              <w:t>发行证券申请目录第六章其他文件6-10资信评级机构为本次发行可</w:t>
            </w:r>
            <w:r>
              <w:rPr>
                <w:spacing w:val="-1"/>
              </w:rPr>
              <w:t>转换公司债券出具的资</w:t>
            </w:r>
            <w:r>
              <w:rPr/>
              <w:t xml:space="preserve"> </w:t>
            </w:r>
            <w:r>
              <w:rPr>
                <w:spacing w:val="-1"/>
              </w:rPr>
              <w:t>信评级报告。</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0800" behindDoc="0" locked="0" layoutInCell="0" allowOverlap="1">
                <wp:simplePos x="0" y="0"/>
                <wp:positionH relativeFrom="page">
                  <wp:posOffset>471020</wp:posOffset>
                </wp:positionH>
                <wp:positionV relativeFrom="page">
                  <wp:posOffset>623434</wp:posOffset>
                </wp:positionV>
                <wp:extent cx="172085" cy="157479"/>
                <wp:effectExtent l="0" t="0" r="0" b="0"/>
                <wp:wrapNone/>
                <wp:docPr id="460" name="TextBox 460"/>
                <wp:cNvGraphicFramePr/>
                <a:graphic>
                  <a:graphicData uri="http://schemas.microsoft.com/office/word/2010/wordprocessingShape">
                    <wps:wsp>
                      <wps:cNvSpPr txBox="1"/>
                      <wps:spPr>
                        <a:xfrm rot="5400000">
                          <a:off x="471020" y="623434"/>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12" style="position:absolute;margin-left:37.0882pt;margin-top:49.0893pt;mso-position-vertical-relative:page;mso-position-horizontal-relative:page;width:13.55pt;height:12.4pt;z-index:25198080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318</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345" w:lineRule="auto"/>
              <w:rPr>
                <w:rFonts w:ascii="Arial"/>
                <w:sz w:val="21"/>
              </w:rPr>
            </w:pPr>
            <w:r/>
          </w:p>
          <w:p>
            <w:pPr>
              <w:pStyle w:val="TableText"/>
              <w:ind w:left="65"/>
              <w:spacing w:before="48" w:line="183" w:lineRule="auto"/>
              <w:rPr/>
            </w:pPr>
            <w:r>
              <w:rPr>
                <w:spacing w:val="-2"/>
              </w:rPr>
              <w:t>85</w:t>
            </w:r>
          </w:p>
        </w:tc>
        <w:tc>
          <w:tcPr>
            <w:tcW w:w="679" w:type="dxa"/>
            <w:vAlign w:val="top"/>
          </w:tcPr>
          <w:p>
            <w:pPr>
              <w:spacing w:line="296" w:lineRule="auto"/>
              <w:rPr>
                <w:rFonts w:ascii="Arial"/>
                <w:sz w:val="21"/>
              </w:rPr>
            </w:pPr>
            <w:r/>
          </w:p>
          <w:p>
            <w:pPr>
              <w:pStyle w:val="TableText"/>
              <w:ind w:left="20" w:right="18" w:firstLine="10"/>
              <w:spacing w:before="48" w:line="260" w:lineRule="auto"/>
              <w:jc w:val="both"/>
              <w:rPr/>
            </w:pPr>
            <w:r>
              <w:rPr>
                <w:spacing w:val="5"/>
              </w:rPr>
              <w:t>上市公司</w:t>
            </w:r>
            <w:r>
              <w:rPr/>
              <w:t xml:space="preserve"> </w:t>
            </w:r>
            <w:r>
              <w:rPr/>
              <w:t>发行可转 </w:t>
            </w:r>
            <w:r>
              <w:rPr/>
              <w:t>换为股票</w:t>
            </w:r>
            <w:r>
              <w:rPr>
                <w:spacing w:val="1"/>
              </w:rPr>
              <w:t xml:space="preserve"> </w:t>
            </w:r>
            <w:r>
              <w:rPr>
                <w:spacing w:val="4"/>
              </w:rPr>
              <w:t>的公司债</w:t>
            </w:r>
            <w:r>
              <w:rPr>
                <w:spacing w:val="1"/>
              </w:rPr>
              <w:t xml:space="preserve"> </w:t>
            </w:r>
            <w:r>
              <w:rPr>
                <w:spacing w:val="1"/>
              </w:rPr>
              <w:t>券发行保</w:t>
            </w:r>
            <w:r>
              <w:rPr/>
              <w:t xml:space="preserve"> </w:t>
            </w:r>
            <w:r>
              <w:rPr/>
              <w:t>荐</w:t>
            </w:r>
          </w:p>
        </w:tc>
        <w:tc>
          <w:tcPr>
            <w:tcW w:w="1099" w:type="dxa"/>
            <w:vAlign w:val="top"/>
          </w:tcPr>
          <w:p>
            <w:pPr>
              <w:spacing w:line="297" w:lineRule="auto"/>
              <w:rPr>
                <w:rFonts w:ascii="Arial"/>
                <w:sz w:val="21"/>
              </w:rPr>
            </w:pPr>
            <w:r/>
          </w:p>
          <w:p>
            <w:pPr>
              <w:pStyle w:val="TableText"/>
              <w:ind w:left="10" w:right="35" w:firstLine="30"/>
              <w:spacing w:before="49" w:line="261" w:lineRule="auto"/>
              <w:jc w:val="both"/>
              <w:rPr/>
            </w:pPr>
            <w:r>
              <w:rPr>
                <w:spacing w:val="20"/>
              </w:rPr>
              <w:t>(44030)上市</w:t>
            </w:r>
            <w:r>
              <w:rPr>
                <w:spacing w:val="2"/>
              </w:rPr>
              <w:t xml:space="preserve"> </w:t>
            </w:r>
            <w:r>
              <w:rPr>
                <w:spacing w:val="-2"/>
              </w:rPr>
              <w:t>公司发行可转换</w:t>
            </w:r>
            <w:r>
              <w:rPr>
                <w:spacing w:val="2"/>
              </w:rPr>
              <w:t xml:space="preserve"> </w:t>
            </w:r>
            <w:r>
              <w:rPr>
                <w:spacing w:val="-2"/>
              </w:rPr>
              <w:t>为股票的公司债</w:t>
            </w:r>
            <w:r>
              <w:rPr>
                <w:spacing w:val="5"/>
              </w:rPr>
              <w:t xml:space="preserve"> </w:t>
            </w:r>
            <w:r>
              <w:rPr>
                <w:spacing w:val="1"/>
              </w:rPr>
              <w:t>券核准</w:t>
            </w:r>
          </w:p>
        </w:tc>
        <w:tc>
          <w:tcPr>
            <w:tcW w:w="839" w:type="dxa"/>
            <w:vAlign w:val="top"/>
          </w:tcPr>
          <w:p>
            <w:pPr>
              <w:spacing w:line="295" w:lineRule="auto"/>
              <w:rPr>
                <w:rFonts w:ascii="Arial"/>
                <w:sz w:val="21"/>
              </w:rPr>
            </w:pPr>
            <w:r/>
          </w:p>
          <w:p>
            <w:pPr>
              <w:pStyle w:val="TableText"/>
              <w:ind w:left="182"/>
              <w:spacing w:before="49" w:line="219" w:lineRule="auto"/>
              <w:rPr/>
            </w:pPr>
            <w:r>
              <w:rPr>
                <w:spacing w:val="-2"/>
              </w:rPr>
              <w:t>证监会</w:t>
            </w:r>
          </w:p>
        </w:tc>
        <w:tc>
          <w:tcPr>
            <w:tcW w:w="659" w:type="dxa"/>
            <w:vAlign w:val="top"/>
          </w:tcPr>
          <w:p>
            <w:pPr>
              <w:spacing w:line="297" w:lineRule="auto"/>
              <w:rPr>
                <w:rFonts w:ascii="Arial"/>
                <w:sz w:val="21"/>
              </w:rPr>
            </w:pPr>
            <w:r/>
          </w:p>
          <w:p>
            <w:pPr>
              <w:pStyle w:val="TableText"/>
              <w:ind w:left="22"/>
              <w:spacing w:before="48" w:line="220" w:lineRule="auto"/>
              <w:rPr/>
            </w:pPr>
            <w:r>
              <w:rPr>
                <w:spacing w:val="5"/>
              </w:rPr>
              <w:t>证券公司</w:t>
            </w:r>
          </w:p>
        </w:tc>
        <w:tc>
          <w:tcPr>
            <w:tcW w:w="6098" w:type="dxa"/>
            <w:vAlign w:val="top"/>
          </w:tcPr>
          <w:p>
            <w:pPr>
              <w:spacing w:line="286" w:lineRule="auto"/>
              <w:rPr>
                <w:rFonts w:ascii="Arial"/>
                <w:sz w:val="21"/>
              </w:rPr>
            </w:pPr>
            <w:r/>
          </w:p>
          <w:p>
            <w:pPr>
              <w:pStyle w:val="TableText"/>
              <w:ind w:left="43" w:right="35"/>
              <w:spacing w:before="49" w:line="265" w:lineRule="auto"/>
              <w:rPr/>
            </w:pPr>
            <w:r>
              <w:rPr>
                <w:spacing w:val="-2"/>
              </w:rPr>
              <w:t>1. 《中华人民共和国证券法》第十一条：发行人申请公开发行股票、可转换为股票的公司债</w:t>
            </w:r>
            <w:r>
              <w:rPr>
                <w:spacing w:val="16"/>
              </w:rPr>
              <w:t xml:space="preserve"> </w:t>
            </w:r>
            <w:r>
              <w:rPr>
                <w:spacing w:val="2"/>
              </w:rPr>
              <w:t>券，依法采取承销方式的，或者公开发行法律、行政法</w:t>
            </w:r>
            <w:r>
              <w:rPr>
                <w:spacing w:val="1"/>
              </w:rPr>
              <w:t>规规定实行保荐制度的其他证券的</w:t>
            </w:r>
            <w:r>
              <w:rPr/>
              <w:t xml:space="preserve">  </w:t>
            </w:r>
            <w:r>
              <w:rPr/>
              <w:t>应当聘请具有保荐资格的机构担任保荐人。第十四条：公司公开发行新股，</w:t>
            </w:r>
            <w:r>
              <w:rPr>
                <w:spacing w:val="-1"/>
              </w:rPr>
              <w:t>应当向国务院证</w:t>
            </w:r>
            <w:r>
              <w:rPr/>
              <w:t xml:space="preserve"> </w:t>
            </w:r>
            <w:r>
              <w:rPr>
                <w:spacing w:val="-3"/>
              </w:rPr>
              <w:t>券监督管理机构报送募股申请和下列文件：</w:t>
            </w:r>
            <w:r>
              <w:rPr>
                <w:spacing w:val="50"/>
                <w:w w:val="101"/>
              </w:rPr>
              <w:t xml:space="preserve"> </w:t>
            </w:r>
            <w:r>
              <w:rPr>
                <w:spacing w:val="-3"/>
              </w:rPr>
              <w:t>……依照本法规定聘</w:t>
            </w:r>
            <w:r>
              <w:rPr>
                <w:spacing w:val="-4"/>
              </w:rPr>
              <w:t>请保荐人的，还应当报送保</w:t>
            </w:r>
            <w:r>
              <w:rPr/>
              <w:t xml:space="preserve"> </w:t>
            </w:r>
            <w:r>
              <w:rPr>
                <w:spacing w:val="-2"/>
              </w:rPr>
              <w:t>荐人出具的发行保荐书。2. 《中华人民共和国证券法》第十九条：发行人依</w:t>
            </w:r>
            <w:r>
              <w:rPr>
                <w:spacing w:val="-3"/>
              </w:rPr>
              <w:t>法申请核准发行</w:t>
            </w:r>
            <w:r>
              <w:rPr/>
              <w:t xml:space="preserve"> </w:t>
            </w:r>
            <w:r>
              <w:rPr>
                <w:spacing w:val="-2"/>
              </w:rPr>
              <w:t>证券所报送的申请文件的格式、报送方式，由依法负责核准的机构或者部门规定。3.</w:t>
            </w:r>
            <w:r>
              <w:rPr>
                <w:spacing w:val="-9"/>
              </w:rPr>
              <w:t xml:space="preserve"> </w:t>
            </w:r>
            <w:r>
              <w:rPr>
                <w:spacing w:val="-2"/>
              </w:rPr>
              <w:t>《上市</w:t>
            </w:r>
            <w:r>
              <w:rPr/>
              <w:t xml:space="preserve"> </w:t>
            </w:r>
            <w:r>
              <w:rPr/>
              <w:t>公司证券发行管理办法》(证监会令第57号)第四十五条；上</w:t>
            </w:r>
            <w:r>
              <w:rPr>
                <w:spacing w:val="-1"/>
              </w:rPr>
              <w:t>市公司申请公开发行证券或</w:t>
            </w:r>
          </w:p>
          <w:p>
            <w:pPr>
              <w:pStyle w:val="TableText"/>
              <w:ind w:left="43" w:right="49"/>
              <w:spacing w:before="52" w:line="258" w:lineRule="auto"/>
              <w:rPr/>
            </w:pPr>
            <w:r>
              <w:rPr/>
              <w:t>者非公开发行新股，应当由保荐人保荐，并向中国证监会申报。保荐人</w:t>
            </w:r>
            <w:r>
              <w:rPr>
                <w:spacing w:val="-1"/>
              </w:rPr>
              <w:t>应当按照中国证监会</w:t>
            </w:r>
            <w:r>
              <w:rPr/>
              <w:t xml:space="preserve"> </w:t>
            </w:r>
            <w:r>
              <w:rPr>
                <w:spacing w:val="-1"/>
              </w:rPr>
              <w:t>的有关规定编制和报送发行申请文件。4. 《创业板上市公司证券发行管理暂行办法》(证监</w:t>
            </w:r>
            <w:r>
              <w:rPr>
                <w:spacing w:val="1"/>
              </w:rPr>
              <w:t xml:space="preserve"> </w:t>
            </w:r>
            <w:r>
              <w:rPr>
                <w:spacing w:val="2"/>
              </w:rPr>
              <w:t>会令第100号)第三十五条：上市公司申请发行</w:t>
            </w:r>
            <w:r>
              <w:rPr>
                <w:spacing w:val="1"/>
              </w:rPr>
              <w:t>证券，应当由保荐人保荐，但是根据本办法</w:t>
            </w:r>
            <w:r>
              <w:rPr/>
              <w:t xml:space="preserve">  </w:t>
            </w:r>
            <w:r>
              <w:rPr/>
              <w:t>第三十七条规定适用简易程序且根据本办法第四十条规定采取自行销售的除</w:t>
            </w:r>
            <w:r>
              <w:rPr>
                <w:spacing w:val="-1"/>
              </w:rPr>
              <w:t>外。保荐人或者</w:t>
            </w:r>
            <w:r>
              <w:rPr/>
              <w:t xml:space="preserve"> </w:t>
            </w:r>
            <w:r>
              <w:rPr>
                <w:spacing w:val="-2"/>
              </w:rPr>
              <w:t>上市公司应当按照中国证监会的有关规定编制和报送发行申请文件。5. 《证</w:t>
            </w:r>
            <w:r>
              <w:rPr>
                <w:spacing w:val="-3"/>
              </w:rPr>
              <w:t>券发行上市保荐</w:t>
            </w:r>
            <w:r>
              <w:rPr/>
              <w:t xml:space="preserve"> </w:t>
            </w:r>
            <w:r>
              <w:rPr>
                <w:spacing w:val="1"/>
              </w:rPr>
              <w:t>业务管理办法》(证监会令第63号)第三十一条；保荐机构推荐发行人发行</w:t>
            </w:r>
            <w:r>
              <w:rPr/>
              <w:t>证券，应当向</w:t>
            </w:r>
          </w:p>
          <w:p>
            <w:pPr>
              <w:pStyle w:val="TableText"/>
              <w:ind w:left="43" w:right="36"/>
              <w:spacing w:before="53" w:line="253" w:lineRule="auto"/>
              <w:rPr/>
            </w:pPr>
            <w:r>
              <w:rPr/>
              <w:t>中国证监会提交发行保荐书、保荐代表人专项授权书以及中国证监会要求的其他与保荐业务</w:t>
            </w:r>
            <w:r>
              <w:rPr>
                <w:spacing w:val="6"/>
              </w:rPr>
              <w:t xml:space="preserve"> </w:t>
            </w:r>
            <w:r>
              <w:rPr/>
              <w:t>有关的文件。6. 《公开发行证券的公司信息披露内容与格式准</w:t>
            </w:r>
            <w:r>
              <w:rPr>
                <w:spacing w:val="-1"/>
              </w:rPr>
              <w:t>则第10号—上市公司公开发</w:t>
            </w:r>
            <w:r>
              <w:rPr/>
              <w:t xml:space="preserve">  </w:t>
            </w:r>
            <w:r>
              <w:rPr/>
              <w:t>行证券申请文件》(证监发行字〔2006〕1号)附录：上市公司公开</w:t>
            </w:r>
            <w:r>
              <w:rPr>
                <w:spacing w:val="-1"/>
              </w:rPr>
              <w:t>发行证券申请文件目录</w:t>
            </w:r>
          </w:p>
          <w:p>
            <w:pPr>
              <w:pStyle w:val="TableText"/>
              <w:ind w:left="43"/>
              <w:spacing w:before="41" w:line="218" w:lineRule="auto"/>
              <w:rPr/>
            </w:pPr>
            <w:r>
              <w:rPr/>
              <w:t>第三章保荐机构关于本次证券发行的文件3-1证券发行保荐书3-2保荐机构尽职</w:t>
            </w:r>
            <w:r>
              <w:rPr>
                <w:spacing w:val="-1"/>
              </w:rPr>
              <w:t>调查报告。</w:t>
            </w:r>
          </w:p>
          <w:p>
            <w:pPr>
              <w:pStyle w:val="TableText"/>
              <w:ind w:left="4"/>
              <w:spacing w:before="42" w:line="218" w:lineRule="auto"/>
              <w:rPr/>
            </w:pPr>
            <w:r>
              <w:rPr>
                <w:spacing w:val="-2"/>
              </w:rPr>
              <w:t>7. 《发行证券的公司信息披露内容与格式准则第27号—发行保荐书和发行保荐工作报告》(证</w:t>
            </w:r>
          </w:p>
          <w:p>
            <w:pPr>
              <w:pStyle w:val="TableText"/>
              <w:ind w:left="43" w:right="51" w:firstLine="70"/>
              <w:spacing w:before="54" w:line="254" w:lineRule="auto"/>
              <w:rPr/>
            </w:pPr>
            <w:r>
              <w:rPr/>
              <w:t>监会公告〔2009〕4号)第二条：申请首次公开发行股票并上市的股份有</w:t>
            </w:r>
            <w:r>
              <w:rPr>
                <w:spacing w:val="-1"/>
              </w:rPr>
              <w:t>限公司、发行新股</w:t>
            </w:r>
            <w:r>
              <w:rPr/>
              <w:t xml:space="preserve">  </w:t>
            </w:r>
            <w:r>
              <w:rPr/>
              <w:t>或可转换公司债券的上市公司所聘请的保荐机构应当按照本准则的要求</w:t>
            </w:r>
            <w:r>
              <w:rPr>
                <w:spacing w:val="-1"/>
              </w:rPr>
              <w:t>出具发行保荐书和发</w:t>
            </w:r>
            <w:r>
              <w:rPr/>
              <w:t xml:space="preserve"> </w:t>
            </w:r>
            <w:r>
              <w:rPr>
                <w:spacing w:val="-2"/>
              </w:rPr>
              <w:t>行保荐工作报告。8. 《公开发行证券的公司信息披露内容与格式准则第37号—创业板上市公</w:t>
            </w:r>
            <w:r>
              <w:rPr>
                <w:spacing w:val="1"/>
              </w:rPr>
              <w:t xml:space="preserve"> </w:t>
            </w:r>
            <w:r>
              <w:rPr/>
              <w:t>司发行证券申请文件》(证监会公告〔2014〕32号)附件1:第三章保荐机构关于本</w:t>
            </w:r>
            <w:r>
              <w:rPr>
                <w:spacing w:val="-1"/>
              </w:rPr>
              <w:t>次证券</w:t>
            </w:r>
          </w:p>
          <w:p>
            <w:pPr>
              <w:pStyle w:val="TableText"/>
              <w:ind w:left="34"/>
              <w:spacing w:before="53" w:line="218" w:lineRule="auto"/>
              <w:rPr/>
            </w:pPr>
            <w:r>
              <w:rPr/>
              <w:t>发行的文件3-1证券发行保荐书3-2发行保荐</w:t>
            </w:r>
            <w:r>
              <w:rPr>
                <w:spacing w:val="-1"/>
              </w:rPr>
              <w:t>工作报告。</w:t>
            </w:r>
          </w:p>
        </w:tc>
      </w:tr>
    </w:tbl>
    <w:p>
      <w:pPr>
        <w:pStyle w:val="BodyText"/>
        <w:rPr/>
      </w:pPr>
      <w:r/>
    </w:p>
    <w:p>
      <w:pPr>
        <w:sectPr>
          <w:pgSz w:w="11910" w:h="8220"/>
          <w:pgMar w:top="400" w:right="1115" w:bottom="400" w:left="821" w:header="0" w:footer="0" w:gutter="0"/>
        </w:sectPr>
        <w:rPr/>
      </w:pPr>
    </w:p>
    <w:p>
      <w:pPr>
        <w:spacing w:before="233"/>
        <w:rPr/>
      </w:pPr>
      <w:r>
        <mc:AlternateContent xmlns:mc="http://schemas.openxmlformats.org/markup-compatibility/2006">
          <mc:Choice Requires="wps">
            <w:drawing>
              <wp:anchor distT="0" distB="0" distL="0" distR="0" simplePos="0" relativeHeight="251981824" behindDoc="0" locked="0" layoutInCell="0" allowOverlap="1">
                <wp:simplePos x="0" y="0"/>
                <wp:positionH relativeFrom="page">
                  <wp:posOffset>471019</wp:posOffset>
                </wp:positionH>
                <wp:positionV relativeFrom="page">
                  <wp:posOffset>4376294</wp:posOffset>
                </wp:positionV>
                <wp:extent cx="172085" cy="157479"/>
                <wp:effectExtent l="0" t="0" r="0" b="0"/>
                <wp:wrapNone/>
                <wp:docPr id="462" name="TextBox 462"/>
                <wp:cNvGraphicFramePr/>
                <a:graphic>
                  <a:graphicData uri="http://schemas.microsoft.com/office/word/2010/wordprocessingShape">
                    <wps:wsp>
                      <wps:cNvSpPr txBox="1"/>
                      <wps:spPr>
                        <a:xfrm rot="5400000">
                          <a:off x="471019" y="4376294"/>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14" style="position:absolute;margin-left:37.0882pt;margin-top:344.59pt;mso-position-vertical-relative:page;mso-position-horizontal-relative:page;width:13.55pt;height:12.4pt;z-index:251981824;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319</w:t>
                      </w:r>
                    </w:p>
                  </w:txbxContent>
                </v:textbox>
              </v:shape>
            </w:pict>
          </mc:Fallback>
        </mc:AlternateContent>
      </w: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cPr>
          <w:p>
            <w:pPr>
              <w:pStyle w:val="TableText"/>
              <w:ind w:left="65"/>
              <w:spacing w:before="62" w:line="197" w:lineRule="auto"/>
              <w:rPr/>
            </w:pPr>
            <w:r>
              <w:rPr/>
              <w:t>序</w:t>
            </w:r>
          </w:p>
          <w:p>
            <w:pPr>
              <w:pStyle w:val="TableText"/>
              <w:ind w:left="65"/>
              <w:spacing w:line="220" w:lineRule="auto"/>
              <w:rPr/>
            </w:pPr>
            <w:r>
              <w:rPr/>
              <w:t>号</w:t>
            </w:r>
          </w:p>
        </w:tc>
        <w:tc>
          <w:tcPr>
            <w:tcW w:w="669" w:type="dxa"/>
            <w:vAlign w:val="top"/>
          </w:tcPr>
          <w:p>
            <w:pPr>
              <w:pStyle w:val="TableText"/>
              <w:ind w:left="2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356" w:hRule="atLeast"/>
        </w:trPr>
        <w:tc>
          <w:tcPr>
            <w:tcW w:w="295" w:type="dxa"/>
            <w:vAlign w:val="top"/>
          </w:tcPr>
          <w:p>
            <w:pPr>
              <w:pStyle w:val="TableText"/>
              <w:ind w:left="65"/>
              <w:spacing w:before="125" w:line="183" w:lineRule="auto"/>
              <w:rPr/>
            </w:pPr>
            <w:r>
              <w:rPr>
                <w:spacing w:val="-2"/>
              </w:rPr>
              <w:t>86</w:t>
            </w:r>
          </w:p>
        </w:tc>
        <w:tc>
          <w:tcPr>
            <w:tcW w:w="669" w:type="dxa"/>
            <w:vAlign w:val="top"/>
          </w:tcPr>
          <w:p>
            <w:pPr>
              <w:pStyle w:val="TableText"/>
              <w:ind w:left="10" w:right="18" w:firstLine="10"/>
              <w:spacing w:before="78" w:line="257" w:lineRule="auto"/>
              <w:jc w:val="both"/>
              <w:rPr/>
            </w:pPr>
            <w:r>
              <w:rPr>
                <w:spacing w:val="5"/>
              </w:rPr>
              <w:t>出具公司</w:t>
            </w:r>
            <w:r>
              <w:rPr/>
              <w:t xml:space="preserve"> </w:t>
            </w:r>
            <w:r>
              <w:rPr/>
              <w:t>债券发行</w:t>
            </w:r>
            <w:r>
              <w:rPr>
                <w:spacing w:val="2"/>
              </w:rPr>
              <w:t xml:space="preserve"> </w:t>
            </w:r>
            <w:r>
              <w:rPr/>
              <w:t>法律意见</w:t>
            </w:r>
            <w:r>
              <w:rPr>
                <w:spacing w:val="2"/>
              </w:rPr>
              <w:t xml:space="preserve"> </w:t>
            </w:r>
            <w:r>
              <w:rPr/>
              <w:t>书</w:t>
            </w:r>
          </w:p>
        </w:tc>
        <w:tc>
          <w:tcPr>
            <w:tcW w:w="1109" w:type="dxa"/>
            <w:vAlign w:val="top"/>
          </w:tcPr>
          <w:p>
            <w:pPr>
              <w:pStyle w:val="TableText"/>
              <w:ind w:left="20" w:right="127" w:firstLine="110"/>
              <w:spacing w:before="78" w:line="244" w:lineRule="auto"/>
              <w:rPr/>
            </w:pPr>
            <w:r>
              <w:rPr>
                <w:spacing w:val="1"/>
              </w:rPr>
              <w:t>(44031)公司</w:t>
            </w:r>
            <w:r>
              <w:rPr>
                <w:spacing w:val="5"/>
              </w:rPr>
              <w:t xml:space="preserve"> </w:t>
            </w:r>
            <w:r>
              <w:rPr>
                <w:spacing w:val="-1"/>
              </w:rPr>
              <w:t>债券发行核准</w:t>
            </w:r>
          </w:p>
        </w:tc>
        <w:tc>
          <w:tcPr>
            <w:tcW w:w="829" w:type="dxa"/>
            <w:vAlign w:val="top"/>
          </w:tcPr>
          <w:p>
            <w:pPr>
              <w:pStyle w:val="TableText"/>
              <w:ind w:left="182"/>
              <w:spacing w:before="66" w:line="219" w:lineRule="auto"/>
              <w:rPr/>
            </w:pPr>
            <w:r>
              <w:rPr>
                <w:spacing w:val="-2"/>
              </w:rPr>
              <w:t>证监会</w:t>
            </w:r>
          </w:p>
        </w:tc>
        <w:tc>
          <w:tcPr>
            <w:tcW w:w="669" w:type="dxa"/>
            <w:vAlign w:val="top"/>
          </w:tcPr>
          <w:p>
            <w:pPr>
              <w:pStyle w:val="TableText"/>
              <w:ind w:left="12" w:right="41" w:firstLine="10"/>
              <w:spacing w:before="66" w:line="246" w:lineRule="auto"/>
              <w:rPr/>
            </w:pPr>
            <w:r>
              <w:rPr>
                <w:spacing w:val="-2"/>
              </w:rPr>
              <w:t>律师事务</w:t>
            </w:r>
            <w:r>
              <w:rPr>
                <w:spacing w:val="1"/>
              </w:rPr>
              <w:t xml:space="preserve"> </w:t>
            </w:r>
            <w:r>
              <w:rPr/>
              <w:t>所</w:t>
            </w:r>
          </w:p>
        </w:tc>
        <w:tc>
          <w:tcPr>
            <w:tcW w:w="6098" w:type="dxa"/>
            <w:vAlign w:val="top"/>
          </w:tcPr>
          <w:p>
            <w:pPr>
              <w:pStyle w:val="TableText"/>
              <w:ind w:left="34" w:right="44" w:firstLine="9"/>
              <w:spacing w:before="77" w:line="249" w:lineRule="auto"/>
              <w:rPr/>
            </w:pPr>
            <w:r>
              <w:rPr>
                <w:spacing w:val="-2"/>
              </w:rPr>
              <w:t>1. 《中华人民共和国证券法》第十七条：申请公开发行公司债券，应当向国务院授权的部门</w:t>
            </w:r>
            <w:r>
              <w:rPr>
                <w:spacing w:val="7"/>
              </w:rPr>
              <w:t xml:space="preserve"> </w:t>
            </w:r>
            <w:r>
              <w:rPr>
                <w:spacing w:val="-3"/>
              </w:rPr>
              <w:t>或者国务院证券监督管理机构报送下列文件</w:t>
            </w:r>
            <w:r>
              <w:rPr>
                <w:spacing w:val="-4"/>
              </w:rPr>
              <w:t>：</w:t>
            </w:r>
            <w:r>
              <w:rPr>
                <w:spacing w:val="22"/>
              </w:rPr>
              <w:t xml:space="preserve">   </w:t>
            </w:r>
            <w:r>
              <w:rPr>
                <w:spacing w:val="-4"/>
              </w:rPr>
              <w:t>(五)国务院授权的部门或者国务院证券监督</w:t>
            </w:r>
            <w:r>
              <w:rPr>
                <w:spacing w:val="1"/>
              </w:rPr>
              <w:t xml:space="preserve"> </w:t>
            </w:r>
            <w:r>
              <w:rPr>
                <w:spacing w:val="-2"/>
              </w:rPr>
              <w:t>管理机构规定的其他文件。2. 《公司债券发行与交易管理办法》(证监会令第113号</w:t>
            </w:r>
            <w:r>
              <w:rPr>
                <w:spacing w:val="-3"/>
              </w:rPr>
              <w:t>)第六</w:t>
            </w:r>
          </w:p>
          <w:p>
            <w:pPr>
              <w:pStyle w:val="TableText"/>
              <w:ind w:left="4" w:firstLine="39"/>
              <w:spacing w:before="23" w:line="252" w:lineRule="auto"/>
              <w:rPr/>
            </w:pPr>
            <w:r>
              <w:rPr>
                <w:spacing w:val="-1"/>
              </w:rPr>
              <w:t>条：债券募集说明书及其他信息披露文件所引用的审计报告、资产评估报告、评级报告，应</w:t>
            </w:r>
            <w:r>
              <w:rPr/>
              <w:t xml:space="preserve">  </w:t>
            </w:r>
            <w:r>
              <w:rPr>
                <w:spacing w:val="1"/>
              </w:rPr>
              <w:t>当由具有从事证券服务业务资格的机构出具。债券募集说</w:t>
            </w:r>
            <w:r>
              <w:rPr/>
              <w:t>明书所引用的法律意见书，应当由  </w:t>
            </w:r>
            <w:r>
              <w:rPr/>
              <w:t>律师事务所出具，并由两名执业律师和所在律师事务所负责人签署。第二十条：发行人应当</w:t>
            </w:r>
            <w:r>
              <w:rPr>
                <w:spacing w:val="1"/>
              </w:rPr>
              <w:t xml:space="preserve">  </w:t>
            </w:r>
            <w:r>
              <w:rPr>
                <w:spacing w:val="1"/>
              </w:rPr>
              <w:t>按照中国证监会信息披露内容与格式的有关规定编制和报送公开发行公司债券的申请文件。</w:t>
            </w:r>
            <w:r>
              <w:rPr>
                <w:spacing w:val="3"/>
              </w:rPr>
              <w:t xml:space="preserve"> </w:t>
            </w:r>
            <w:r>
              <w:rPr/>
              <w:t>第三十九条：公开发行公司债券的，发行人和主承销商应当聘请律师事务所对发行过程、配</w:t>
            </w:r>
            <w:r>
              <w:rPr>
                <w:spacing w:val="1"/>
              </w:rPr>
              <w:t xml:space="preserve">  </w:t>
            </w:r>
            <w:r>
              <w:rPr>
                <w:spacing w:val="1"/>
              </w:rPr>
              <w:t>售行为、参与认购的投资者资质条件、资金划拨等事项进行见证，并出具专项法律意见书。</w:t>
            </w:r>
            <w:r>
              <w:rPr>
                <w:spacing w:val="3"/>
              </w:rPr>
              <w:t xml:space="preserve"> </w:t>
            </w:r>
            <w:r>
              <w:rPr>
                <w:spacing w:val="-3"/>
              </w:rPr>
              <w:t>3. 《公开发行证券的公司信息披露内容与格式准则第24号—公开发行公司债券申请文件》(证 </w:t>
            </w:r>
            <w:r>
              <w:rPr/>
              <w:t>监会公告〔2015〕3号)公开发行公司债券申请文件目录：3-2发行人律师出具的法律意见书。</w:t>
            </w:r>
          </w:p>
        </w:tc>
      </w:tr>
      <w:tr>
        <w:trPr>
          <w:trHeight w:val="3609" w:hRule="atLeast"/>
        </w:trPr>
        <w:tc>
          <w:tcPr>
            <w:tcW w:w="295" w:type="dxa"/>
            <w:vAlign w:val="top"/>
          </w:tcPr>
          <w:p>
            <w:pPr>
              <w:pStyle w:val="TableText"/>
              <w:ind w:left="65"/>
              <w:spacing w:before="129" w:line="183" w:lineRule="auto"/>
              <w:rPr/>
            </w:pPr>
            <w:r>
              <w:rPr>
                <w:spacing w:val="-2"/>
              </w:rPr>
              <w:t>87</w:t>
            </w:r>
          </w:p>
        </w:tc>
        <w:tc>
          <w:tcPr>
            <w:tcW w:w="669" w:type="dxa"/>
            <w:vAlign w:val="top"/>
          </w:tcPr>
          <w:p>
            <w:pPr>
              <w:pStyle w:val="TableText"/>
              <w:ind w:left="20" w:right="47"/>
              <w:spacing w:before="60" w:line="252" w:lineRule="auto"/>
              <w:rPr/>
            </w:pPr>
            <w:r>
              <w:rPr>
                <w:spacing w:val="-3"/>
              </w:rPr>
              <w:t>公司债券</w:t>
            </w:r>
            <w:r>
              <w:rPr/>
              <w:t xml:space="preserve"> </w:t>
            </w:r>
            <w:r>
              <w:rPr>
                <w:spacing w:val="-3"/>
              </w:rPr>
              <w:t>发行审计</w:t>
            </w:r>
          </w:p>
        </w:tc>
        <w:tc>
          <w:tcPr>
            <w:tcW w:w="1109" w:type="dxa"/>
            <w:vAlign w:val="top"/>
          </w:tcPr>
          <w:p>
            <w:pPr>
              <w:pStyle w:val="TableText"/>
              <w:ind w:left="20" w:right="127" w:firstLine="110"/>
              <w:spacing w:before="72" w:line="250" w:lineRule="auto"/>
              <w:rPr/>
            </w:pPr>
            <w:r>
              <w:rPr>
                <w:spacing w:val="1"/>
              </w:rPr>
              <w:t>(44031)公司</w:t>
            </w:r>
            <w:r>
              <w:rPr>
                <w:spacing w:val="5"/>
              </w:rPr>
              <w:t xml:space="preserve"> </w:t>
            </w:r>
            <w:r>
              <w:rPr>
                <w:spacing w:val="-1"/>
              </w:rPr>
              <w:t>债券发行核准</w:t>
            </w:r>
          </w:p>
        </w:tc>
        <w:tc>
          <w:tcPr>
            <w:tcW w:w="829" w:type="dxa"/>
            <w:vAlign w:val="top"/>
          </w:tcPr>
          <w:p>
            <w:pPr>
              <w:pStyle w:val="TableText"/>
              <w:ind w:left="182"/>
              <w:spacing w:before="50" w:line="219" w:lineRule="auto"/>
              <w:rPr/>
            </w:pPr>
            <w:r>
              <w:rPr>
                <w:spacing w:val="-2"/>
              </w:rPr>
              <w:t>证监会</w:t>
            </w:r>
          </w:p>
        </w:tc>
        <w:tc>
          <w:tcPr>
            <w:tcW w:w="669" w:type="dxa"/>
            <w:vAlign w:val="top"/>
          </w:tcPr>
          <w:p>
            <w:pPr>
              <w:pStyle w:val="TableText"/>
              <w:ind w:left="12" w:right="41" w:firstLine="50"/>
              <w:spacing w:before="63" w:line="266" w:lineRule="auto"/>
              <w:jc w:val="both"/>
              <w:rPr/>
            </w:pPr>
            <w:r>
              <w:rPr>
                <w:spacing w:val="-3"/>
              </w:rPr>
              <w:t>具.有证</w:t>
            </w:r>
            <w:r>
              <w:rPr>
                <w:spacing w:val="2"/>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98" w:type="dxa"/>
            <w:vAlign w:val="top"/>
          </w:tcPr>
          <w:p>
            <w:pPr>
              <w:pStyle w:val="TableText"/>
              <w:ind w:left="43" w:right="37"/>
              <w:spacing w:before="60" w:line="254" w:lineRule="auto"/>
              <w:jc w:val="both"/>
              <w:rPr/>
            </w:pPr>
            <w:r>
              <w:rPr>
                <w:spacing w:val="-2"/>
              </w:rPr>
              <w:t>1. 《中华人民共和国公司法》第一百六十四条：公司应当在每一会计年度终了编制财务会计</w:t>
            </w:r>
            <w:r>
              <w:rPr>
                <w:spacing w:val="14"/>
              </w:rPr>
              <w:t xml:space="preserve"> </w:t>
            </w:r>
            <w:r>
              <w:rPr/>
              <w:t>报告，并依法经会计师事务所审计。财务会计报告应当依照法律、行政法规和</w:t>
            </w:r>
            <w:r>
              <w:rPr>
                <w:spacing w:val="-1"/>
              </w:rPr>
              <w:t>国务院财政部</w:t>
            </w:r>
            <w:r>
              <w:rPr/>
              <w:t xml:space="preserve"> </w:t>
            </w:r>
            <w:r>
              <w:rPr>
                <w:spacing w:val="-2"/>
              </w:rPr>
              <w:t>门的规定制作。2. 《中华人民共和国证券法》第十七条：申请公开发行公司债券，应当向国</w:t>
            </w:r>
          </w:p>
          <w:p>
            <w:pPr>
              <w:pStyle w:val="TableText"/>
              <w:ind w:left="34" w:right="83" w:firstLine="79"/>
              <w:spacing w:before="40" w:line="245" w:lineRule="auto"/>
              <w:rPr/>
            </w:pPr>
            <w:r>
              <w:rPr/>
              <w:t>务院授权的部门或者国务院证券监督管理机构报送下列文</w:t>
            </w:r>
            <w:r>
              <w:rPr>
                <w:spacing w:val="-1"/>
              </w:rPr>
              <w:t>件：(五)国务院授权的部门或者 </w:t>
            </w:r>
            <w:r>
              <w:rPr>
                <w:spacing w:val="-1"/>
              </w:rPr>
              <w:t>国务院证券监督管理机构规定的其他文件。3. 《公司债券发行与交易管理办法》(证监会令</w:t>
            </w:r>
            <w:r>
              <w:rPr>
                <w:spacing w:val="11"/>
              </w:rPr>
              <w:t xml:space="preserve"> </w:t>
            </w:r>
            <w:r>
              <w:rPr/>
              <w:t>第113号)第六条：债券募集说明书及其他信息披露文件所引用的审计报告</w:t>
            </w:r>
            <w:r>
              <w:rPr>
                <w:spacing w:val="-1"/>
              </w:rPr>
              <w:t>、资产评估报告</w:t>
            </w:r>
          </w:p>
          <w:p>
            <w:pPr>
              <w:pStyle w:val="TableText"/>
              <w:ind w:left="34" w:right="37" w:firstLine="9"/>
              <w:spacing w:before="24" w:line="250" w:lineRule="auto"/>
              <w:rPr/>
            </w:pPr>
            <w:r>
              <w:rPr/>
              <w:t>评级报告，应当由具有从事证券服务业务资格的机构出具。债券募集说明书</w:t>
            </w:r>
            <w:r>
              <w:rPr>
                <w:spacing w:val="-1"/>
              </w:rPr>
              <w:t>所引用的法律意</w:t>
            </w:r>
            <w:r>
              <w:rPr/>
              <w:t xml:space="preserve"> </w:t>
            </w:r>
            <w:r>
              <w:rPr/>
              <w:t>见书，应当由律师事务所出具，并由两名执业律师和所在律师事务所负责人签署。第二十条 </w:t>
            </w:r>
            <w:r>
              <w:rPr/>
              <w:t>发行人应当按照中国证监会信息披露内容与格式的有关规定编制和报送公开发行公司债券的 </w:t>
            </w:r>
            <w:r>
              <w:rPr>
                <w:spacing w:val="-1"/>
              </w:rPr>
              <w:t>申请文件。4. 《公开发行证券的公司信息披露内容与格</w:t>
            </w:r>
            <w:r>
              <w:rPr>
                <w:spacing w:val="-2"/>
              </w:rPr>
              <w:t>式准则第23号—公开发行公司债券募</w:t>
            </w:r>
            <w:r>
              <w:rPr/>
              <w:t xml:space="preserve"> </w:t>
            </w:r>
            <w:r>
              <w:rPr/>
              <w:t>集说明书》(证监会公告〔2015〕2号)第四十七条：如未作特别说明，本</w:t>
            </w:r>
            <w:r>
              <w:rPr>
                <w:spacing w:val="-1"/>
              </w:rPr>
              <w:t>节信息中近三年</w:t>
            </w:r>
          </w:p>
          <w:p>
            <w:pPr>
              <w:pStyle w:val="TableText"/>
              <w:ind w:left="43" w:right="37"/>
              <w:spacing w:before="42" w:line="246" w:lineRule="auto"/>
              <w:rPr/>
            </w:pPr>
            <w:r>
              <w:rPr/>
              <w:t>的财务会计信息应按《企业会计准则》的规定编制，并应摘自经有证券期货相关业务资格会</w:t>
            </w:r>
            <w:r>
              <w:rPr>
                <w:spacing w:val="5"/>
              </w:rPr>
              <w:t xml:space="preserve"> </w:t>
            </w:r>
            <w:r>
              <w:rPr>
                <w:spacing w:val="-2"/>
              </w:rPr>
              <w:t>计师事务所审计的财务报告。5. 《公开发行证券的公司信息披露内容与格式准则第24号—公</w:t>
            </w:r>
            <w:r>
              <w:rPr>
                <w:spacing w:val="4"/>
              </w:rPr>
              <w:t xml:space="preserve"> </w:t>
            </w:r>
            <w:r>
              <w:rPr>
                <w:spacing w:val="1"/>
              </w:rPr>
              <w:t>开发行公司债券申请文件》(证监会公告〔201</w:t>
            </w:r>
            <w:r>
              <w:rPr/>
              <w:t>5〕3号)公开发行公司债券申请文件目录：4-  </w:t>
            </w:r>
            <w:r>
              <w:rPr>
                <w:spacing w:val="1"/>
              </w:rPr>
              <w:t>发行人最近三年的财务报告和审计报告及最近一期的财务报告或会计报表(截至此次申请时</w:t>
            </w:r>
            <w:r>
              <w:rPr>
                <w:spacing w:val="2"/>
              </w:rPr>
              <w:t xml:space="preserve"> </w:t>
            </w:r>
            <w:r>
              <w:rPr/>
              <w:t>最近三年内发生重大资产重组的发行人，同时应当提供重组前一年的备</w:t>
            </w:r>
            <w:r>
              <w:rPr>
                <w:spacing w:val="-1"/>
              </w:rPr>
              <w:t>考财务报告及审计或</w:t>
            </w:r>
            <w:r>
              <w:rPr/>
              <w:t xml:space="preserve"> </w:t>
            </w:r>
            <w:r>
              <w:rPr/>
              <w:t>审阅报告和重组进入公司的资产的财务报告、资产评估报告和/或</w:t>
            </w:r>
            <w:r>
              <w:rPr>
                <w:spacing w:val="-1"/>
              </w:rPr>
              <w:t>审计报告)。</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2848"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64" name="TextBox 464"/>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16" style="position:absolute;margin-left:37.0722pt;margin-top:48.6039pt;mso-position-vertical-relative:page;mso-position-horizontal-relative:page;width:13.55pt;height:12.35pt;z-index:25198284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320</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69" w:type="dxa"/>
            <w:vAlign w:val="top"/>
          </w:tcPr>
          <w:p>
            <w:pPr>
              <w:pStyle w:val="TableText"/>
              <w:ind w:left="2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3405" w:hRule="atLeast"/>
        </w:trPr>
        <w:tc>
          <w:tcPr>
            <w:tcW w:w="295" w:type="dxa"/>
            <w:vAlign w:val="top"/>
          </w:tcPr>
          <w:p>
            <w:pPr>
              <w:spacing w:line="286" w:lineRule="auto"/>
              <w:rPr>
                <w:rFonts w:ascii="Arial"/>
                <w:sz w:val="21"/>
              </w:rPr>
            </w:pPr>
            <w:r/>
          </w:p>
          <w:p>
            <w:pPr>
              <w:spacing w:line="287" w:lineRule="auto"/>
              <w:rPr>
                <w:rFonts w:ascii="Arial"/>
                <w:sz w:val="21"/>
              </w:rPr>
            </w:pPr>
            <w:r/>
          </w:p>
          <w:p>
            <w:pPr>
              <w:pStyle w:val="TableText"/>
              <w:ind w:left="65"/>
              <w:spacing w:before="49" w:line="183" w:lineRule="auto"/>
              <w:rPr/>
            </w:pPr>
            <w:r>
              <w:rPr>
                <w:spacing w:val="-2"/>
              </w:rPr>
              <w:t>88</w:t>
            </w:r>
          </w:p>
        </w:tc>
        <w:tc>
          <w:tcPr>
            <w:tcW w:w="669" w:type="dxa"/>
            <w:vAlign w:val="top"/>
          </w:tcPr>
          <w:p>
            <w:pPr>
              <w:spacing w:line="262" w:lineRule="auto"/>
              <w:rPr>
                <w:rFonts w:ascii="Arial"/>
                <w:sz w:val="21"/>
              </w:rPr>
            </w:pPr>
            <w:r/>
          </w:p>
          <w:p>
            <w:pPr>
              <w:spacing w:line="263" w:lineRule="auto"/>
              <w:rPr>
                <w:rFonts w:ascii="Arial"/>
                <w:sz w:val="21"/>
              </w:rPr>
            </w:pPr>
            <w:r/>
          </w:p>
          <w:p>
            <w:pPr>
              <w:pStyle w:val="TableText"/>
              <w:ind w:left="10" w:right="47" w:firstLine="10"/>
              <w:spacing w:before="49" w:line="254" w:lineRule="auto"/>
              <w:jc w:val="both"/>
              <w:rPr/>
            </w:pPr>
            <w:r>
              <w:rPr>
                <w:spacing w:val="-3"/>
              </w:rPr>
              <w:t>公司债券</w:t>
            </w:r>
            <w:r>
              <w:rPr/>
              <w:t xml:space="preserve"> </w:t>
            </w:r>
            <w:r>
              <w:rPr/>
              <w:t>发行资信 </w:t>
            </w:r>
            <w:r>
              <w:rPr>
                <w:spacing w:val="-2"/>
              </w:rPr>
              <w:t>评级</w:t>
            </w:r>
          </w:p>
        </w:tc>
        <w:tc>
          <w:tcPr>
            <w:tcW w:w="1109" w:type="dxa"/>
            <w:vAlign w:val="top"/>
          </w:tcPr>
          <w:p>
            <w:pPr>
              <w:spacing w:line="263" w:lineRule="auto"/>
              <w:rPr>
                <w:rFonts w:ascii="Arial"/>
                <w:sz w:val="21"/>
              </w:rPr>
            </w:pPr>
            <w:r/>
          </w:p>
          <w:p>
            <w:pPr>
              <w:spacing w:line="263" w:lineRule="auto"/>
              <w:rPr>
                <w:rFonts w:ascii="Arial"/>
                <w:sz w:val="21"/>
              </w:rPr>
            </w:pPr>
            <w:r/>
          </w:p>
          <w:p>
            <w:pPr>
              <w:pStyle w:val="TableText"/>
              <w:ind w:left="10" w:right="127" w:firstLine="120"/>
              <w:spacing w:before="49" w:line="244" w:lineRule="auto"/>
              <w:rPr/>
            </w:pPr>
            <w:r>
              <w:rPr>
                <w:spacing w:val="1"/>
              </w:rPr>
              <w:t>(44031)公司</w:t>
            </w:r>
            <w:r>
              <w:rPr>
                <w:spacing w:val="5"/>
              </w:rPr>
              <w:t xml:space="preserve"> </w:t>
            </w:r>
            <w:r>
              <w:rPr>
                <w:spacing w:val="-1"/>
              </w:rPr>
              <w:t>债券发行核准</w:t>
            </w:r>
          </w:p>
        </w:tc>
        <w:tc>
          <w:tcPr>
            <w:tcW w:w="829" w:type="dxa"/>
            <w:vAlign w:val="top"/>
          </w:tcPr>
          <w:p>
            <w:pPr>
              <w:spacing w:line="262" w:lineRule="auto"/>
              <w:rPr>
                <w:rFonts w:ascii="Arial"/>
                <w:sz w:val="21"/>
              </w:rPr>
            </w:pPr>
            <w:r/>
          </w:p>
          <w:p>
            <w:pPr>
              <w:spacing w:line="262" w:lineRule="auto"/>
              <w:rPr>
                <w:rFonts w:ascii="Arial"/>
                <w:sz w:val="21"/>
              </w:rPr>
            </w:pPr>
            <w:r/>
          </w:p>
          <w:p>
            <w:pPr>
              <w:pStyle w:val="TableText"/>
              <w:ind w:left="182"/>
              <w:spacing w:before="48" w:line="219" w:lineRule="auto"/>
              <w:rPr/>
            </w:pPr>
            <w:r>
              <w:rPr>
                <w:spacing w:val="-2"/>
              </w:rPr>
              <w:t>证监会</w:t>
            </w:r>
          </w:p>
        </w:tc>
        <w:tc>
          <w:tcPr>
            <w:tcW w:w="669" w:type="dxa"/>
            <w:vAlign w:val="top"/>
          </w:tcPr>
          <w:p>
            <w:pPr>
              <w:spacing w:line="262" w:lineRule="auto"/>
              <w:rPr>
                <w:rFonts w:ascii="Arial"/>
                <w:sz w:val="21"/>
              </w:rPr>
            </w:pPr>
            <w:r/>
          </w:p>
          <w:p>
            <w:pPr>
              <w:spacing w:line="262" w:lineRule="auto"/>
              <w:rPr>
                <w:rFonts w:ascii="Arial"/>
                <w:sz w:val="21"/>
              </w:rPr>
            </w:pPr>
            <w:r/>
          </w:p>
          <w:p>
            <w:pPr>
              <w:pStyle w:val="TableText"/>
              <w:ind w:left="12" w:right="24" w:firstLine="10"/>
              <w:spacing w:before="48" w:line="261" w:lineRule="auto"/>
              <w:jc w:val="both"/>
              <w:rPr/>
            </w:pPr>
            <w:r>
              <w:rPr>
                <w:spacing w:val="-3"/>
              </w:rPr>
              <w:t>具有证券</w:t>
            </w:r>
            <w:r>
              <w:rPr>
                <w:spacing w:val="2"/>
              </w:rPr>
              <w:t xml:space="preserve"> </w:t>
            </w:r>
            <w:r>
              <w:rPr>
                <w:spacing w:val="1"/>
              </w:rPr>
              <w:t>相关业务</w:t>
            </w:r>
            <w:r>
              <w:rPr/>
              <w:t xml:space="preserve"> </w:t>
            </w:r>
            <w:r>
              <w:rPr>
                <w:spacing w:val="5"/>
              </w:rPr>
              <w:t>资格的资</w:t>
            </w:r>
            <w:r>
              <w:rPr/>
              <w:t xml:space="preserve"> </w:t>
            </w:r>
            <w:r>
              <w:rPr>
                <w:spacing w:val="1"/>
              </w:rPr>
              <w:t>信评级机</w:t>
            </w:r>
            <w:r>
              <w:rPr/>
              <w:t xml:space="preserve"> </w:t>
            </w:r>
            <w:r>
              <w:rPr/>
              <w:t>构</w:t>
            </w:r>
          </w:p>
        </w:tc>
        <w:tc>
          <w:tcPr>
            <w:tcW w:w="6098" w:type="dxa"/>
            <w:vAlign w:val="top"/>
          </w:tcPr>
          <w:p>
            <w:pPr>
              <w:spacing w:line="262" w:lineRule="auto"/>
              <w:rPr>
                <w:rFonts w:ascii="Arial"/>
                <w:sz w:val="21"/>
              </w:rPr>
            </w:pPr>
            <w:r/>
          </w:p>
          <w:p>
            <w:pPr>
              <w:spacing w:line="263" w:lineRule="auto"/>
              <w:rPr>
                <w:rFonts w:ascii="Arial"/>
                <w:sz w:val="21"/>
              </w:rPr>
            </w:pPr>
            <w:r/>
          </w:p>
          <w:p>
            <w:pPr>
              <w:pStyle w:val="TableText"/>
              <w:ind w:left="24" w:right="44" w:firstLine="19"/>
              <w:spacing w:before="49" w:line="244" w:lineRule="auto"/>
              <w:rPr/>
            </w:pPr>
            <w:r>
              <w:rPr>
                <w:spacing w:val="-2"/>
              </w:rPr>
              <w:t>1. 《中华人民共和国证券法》第十七条：申请公开发行公司债券，应当向国务院授权的部门</w:t>
            </w:r>
            <w:r>
              <w:rPr>
                <w:spacing w:val="7"/>
              </w:rPr>
              <w:t xml:space="preserve"> </w:t>
            </w:r>
            <w:r>
              <w:rPr/>
              <w:t>或者国务院证券监督管理机构报送下列文件：(五)国务院授权的部门</w:t>
            </w:r>
            <w:r>
              <w:rPr>
                <w:spacing w:val="-1"/>
              </w:rPr>
              <w:t>或者国务院证券监督</w:t>
            </w:r>
          </w:p>
          <w:p>
            <w:pPr>
              <w:pStyle w:val="TableText"/>
              <w:ind w:left="43" w:right="49" w:firstLine="30"/>
              <w:spacing w:before="49" w:line="263" w:lineRule="auto"/>
              <w:rPr/>
            </w:pPr>
            <w:r>
              <w:rPr>
                <w:spacing w:val="-2"/>
              </w:rPr>
              <w:t>管理机构规定的其他文件。2. 《公司债券发行与交易管理办法》(证监会令第113号)第六条</w:t>
            </w:r>
            <w:r>
              <w:rPr>
                <w:spacing w:val="17"/>
              </w:rPr>
              <w:t xml:space="preserve"> </w:t>
            </w:r>
            <w:r>
              <w:rPr/>
              <w:t>债券募集说明书及其他信息披露文件所引用的审计报告、资产评估报告、</w:t>
            </w:r>
            <w:r>
              <w:rPr>
                <w:spacing w:val="-1"/>
              </w:rPr>
              <w:t>评级报告，应当庄</w:t>
            </w:r>
            <w:r>
              <w:rPr/>
              <w:t xml:space="preserve"> </w:t>
            </w:r>
            <w:r>
              <w:rPr/>
              <w:t>具有从事证券服务业务资格的机构出具。债券募集说明书所引用的法</w:t>
            </w:r>
            <w:r>
              <w:rPr>
                <w:spacing w:val="-1"/>
              </w:rPr>
              <w:t>律意见书，应当由律师</w:t>
            </w:r>
            <w:r>
              <w:rPr/>
              <w:t xml:space="preserve"> </w:t>
            </w:r>
            <w:r>
              <w:rPr/>
              <w:t>事务所出具，并由两名执业律师和所在律师事务所负责人签署。第十九条：</w:t>
            </w:r>
            <w:r>
              <w:rPr>
                <w:spacing w:val="-1"/>
              </w:rPr>
              <w:t>公开发行公司债</w:t>
            </w:r>
            <w:r>
              <w:rPr/>
              <w:t xml:space="preserve"> </w:t>
            </w:r>
            <w:r>
              <w:rPr/>
              <w:t>券，应当委托具有从事证券服务业务资格的资信评级机构进行信用评级。第</w:t>
            </w:r>
            <w:r>
              <w:rPr>
                <w:spacing w:val="-1"/>
              </w:rPr>
              <w:t>二十条：发行人</w:t>
            </w:r>
            <w:r>
              <w:rPr/>
              <w:t xml:space="preserve"> </w:t>
            </w:r>
            <w:r>
              <w:rPr/>
              <w:t>应当按照中国证监会信息披露内容与格式的有关规定编制和报送公开发行公</w:t>
            </w:r>
            <w:r>
              <w:rPr>
                <w:spacing w:val="-1"/>
              </w:rPr>
              <w:t>司债券的申请文</w:t>
            </w:r>
            <w:r>
              <w:rPr/>
              <w:t xml:space="preserve"> </w:t>
            </w:r>
            <w:r>
              <w:rPr>
                <w:spacing w:val="-2"/>
              </w:rPr>
              <w:t>件。3. 《公开发行证券的公司信息披露内容与格式准则第24号一公开发行公司债券申请文件</w:t>
            </w:r>
            <w:r>
              <w:rPr>
                <w:spacing w:val="4"/>
              </w:rPr>
              <w:t xml:space="preserve"> </w:t>
            </w:r>
            <w:r>
              <w:rPr>
                <w:spacing w:val="1"/>
              </w:rPr>
              <w:t>(证监会公告〔2015〕3号)公开发行公司债券申请文件目录：4-6资信评级机构为本次发</w:t>
            </w:r>
          </w:p>
          <w:p>
            <w:pPr>
              <w:pStyle w:val="TableText"/>
              <w:ind w:left="14"/>
              <w:spacing w:before="42" w:line="218" w:lineRule="auto"/>
              <w:rPr/>
            </w:pPr>
            <w:r>
              <w:rPr>
                <w:spacing w:val="-1"/>
              </w:rPr>
              <w:t>行公司债券出具的资信评级报告</w:t>
            </w:r>
          </w:p>
        </w:tc>
      </w:tr>
      <w:tr>
        <w:trPr>
          <w:trHeight w:val="2321" w:hRule="atLeast"/>
        </w:trPr>
        <w:tc>
          <w:tcPr>
            <w:tcW w:w="295" w:type="dxa"/>
            <w:vAlign w:val="top"/>
          </w:tcPr>
          <w:p>
            <w:pPr>
              <w:spacing w:line="294" w:lineRule="auto"/>
              <w:rPr>
                <w:rFonts w:ascii="Arial"/>
                <w:sz w:val="21"/>
              </w:rPr>
            </w:pPr>
            <w:r/>
          </w:p>
          <w:p>
            <w:pPr>
              <w:spacing w:line="294" w:lineRule="auto"/>
              <w:rPr>
                <w:rFonts w:ascii="Arial"/>
                <w:sz w:val="21"/>
              </w:rPr>
            </w:pPr>
            <w:r/>
          </w:p>
          <w:p>
            <w:pPr>
              <w:pStyle w:val="TableText"/>
              <w:ind w:left="65"/>
              <w:spacing w:before="49" w:line="183" w:lineRule="auto"/>
              <w:rPr/>
            </w:pPr>
            <w:r>
              <w:rPr>
                <w:spacing w:val="-2"/>
              </w:rPr>
              <w:t>89</w:t>
            </w:r>
          </w:p>
        </w:tc>
        <w:tc>
          <w:tcPr>
            <w:tcW w:w="669" w:type="dxa"/>
            <w:vAlign w:val="top"/>
          </w:tcPr>
          <w:p>
            <w:pPr>
              <w:spacing w:line="265" w:lineRule="auto"/>
              <w:rPr>
                <w:rFonts w:ascii="Arial"/>
                <w:sz w:val="21"/>
              </w:rPr>
            </w:pPr>
            <w:r/>
          </w:p>
          <w:p>
            <w:pPr>
              <w:spacing w:line="265" w:lineRule="auto"/>
              <w:rPr>
                <w:rFonts w:ascii="Arial"/>
                <w:sz w:val="21"/>
              </w:rPr>
            </w:pPr>
            <w:r/>
          </w:p>
          <w:p>
            <w:pPr>
              <w:pStyle w:val="TableText"/>
              <w:ind w:left="20" w:right="45"/>
              <w:spacing w:before="49" w:line="254" w:lineRule="auto"/>
              <w:jc w:val="both"/>
              <w:rPr/>
            </w:pPr>
            <w:r>
              <w:rPr>
                <w:spacing w:val="-3"/>
              </w:rPr>
              <w:t>公司债券</w:t>
            </w:r>
            <w:r>
              <w:rPr/>
              <w:t xml:space="preserve"> </w:t>
            </w:r>
            <w:r>
              <w:rPr>
                <w:spacing w:val="-3"/>
              </w:rPr>
              <w:t>发行主承</w:t>
            </w:r>
            <w:r>
              <w:rPr>
                <w:spacing w:val="2"/>
              </w:rPr>
              <w:t xml:space="preserve"> </w:t>
            </w:r>
            <w:r>
              <w:rPr>
                <w:spacing w:val="-2"/>
              </w:rPr>
              <w:t>销商核查</w:t>
            </w:r>
          </w:p>
        </w:tc>
        <w:tc>
          <w:tcPr>
            <w:tcW w:w="1109" w:type="dxa"/>
            <w:vAlign w:val="top"/>
          </w:tcPr>
          <w:p>
            <w:pPr>
              <w:spacing w:line="275" w:lineRule="auto"/>
              <w:rPr>
                <w:rFonts w:ascii="Arial"/>
                <w:sz w:val="21"/>
              </w:rPr>
            </w:pPr>
            <w:r/>
          </w:p>
          <w:p>
            <w:pPr>
              <w:spacing w:line="276" w:lineRule="auto"/>
              <w:rPr>
                <w:rFonts w:ascii="Arial"/>
                <w:sz w:val="21"/>
              </w:rPr>
            </w:pPr>
            <w:r/>
          </w:p>
          <w:p>
            <w:pPr>
              <w:pStyle w:val="TableText"/>
              <w:ind w:left="20" w:right="127" w:firstLine="110"/>
              <w:spacing w:before="49" w:line="244" w:lineRule="auto"/>
              <w:rPr/>
            </w:pPr>
            <w:r>
              <w:rPr>
                <w:spacing w:val="1"/>
              </w:rPr>
              <w:t>(44031)公司</w:t>
            </w:r>
            <w:r>
              <w:rPr>
                <w:spacing w:val="5"/>
              </w:rPr>
              <w:t xml:space="preserve"> </w:t>
            </w:r>
            <w:r>
              <w:rPr>
                <w:spacing w:val="-1"/>
              </w:rPr>
              <w:t>债券发行核准</w:t>
            </w:r>
          </w:p>
        </w:tc>
        <w:tc>
          <w:tcPr>
            <w:tcW w:w="829" w:type="dxa"/>
            <w:vAlign w:val="top"/>
          </w:tcPr>
          <w:p>
            <w:pPr>
              <w:spacing w:line="254" w:lineRule="auto"/>
              <w:rPr>
                <w:rFonts w:ascii="Arial"/>
                <w:sz w:val="21"/>
              </w:rPr>
            </w:pPr>
            <w:r/>
          </w:p>
          <w:p>
            <w:pPr>
              <w:spacing w:line="255" w:lineRule="auto"/>
              <w:rPr>
                <w:rFonts w:ascii="Arial"/>
                <w:sz w:val="21"/>
              </w:rPr>
            </w:pPr>
            <w:r/>
          </w:p>
          <w:p>
            <w:pPr>
              <w:pStyle w:val="TableText"/>
              <w:ind w:left="182"/>
              <w:spacing w:before="49" w:line="219" w:lineRule="auto"/>
              <w:rPr/>
            </w:pPr>
            <w:r>
              <w:rPr>
                <w:spacing w:val="-2"/>
              </w:rPr>
              <w:t>证监会</w:t>
            </w:r>
          </w:p>
        </w:tc>
        <w:tc>
          <w:tcPr>
            <w:tcW w:w="669" w:type="dxa"/>
            <w:vAlign w:val="top"/>
          </w:tcPr>
          <w:p>
            <w:pPr>
              <w:spacing w:line="275" w:lineRule="auto"/>
              <w:rPr>
                <w:rFonts w:ascii="Arial"/>
                <w:sz w:val="21"/>
              </w:rPr>
            </w:pPr>
            <w:r/>
          </w:p>
          <w:p>
            <w:pPr>
              <w:spacing w:line="275" w:lineRule="auto"/>
              <w:rPr>
                <w:rFonts w:ascii="Arial"/>
                <w:sz w:val="21"/>
              </w:rPr>
            </w:pPr>
            <w:r/>
          </w:p>
          <w:p>
            <w:pPr>
              <w:pStyle w:val="TableText"/>
              <w:ind w:left="22"/>
              <w:spacing w:before="49" w:line="220" w:lineRule="auto"/>
              <w:rPr/>
            </w:pPr>
            <w:r>
              <w:rPr>
                <w:spacing w:val="5"/>
              </w:rPr>
              <w:t>证券公司</w:t>
            </w:r>
          </w:p>
        </w:tc>
        <w:tc>
          <w:tcPr>
            <w:tcW w:w="6098" w:type="dxa"/>
            <w:vAlign w:val="top"/>
          </w:tcPr>
          <w:p>
            <w:pPr>
              <w:spacing w:line="274" w:lineRule="auto"/>
              <w:rPr>
                <w:rFonts w:ascii="Arial"/>
                <w:sz w:val="21"/>
              </w:rPr>
            </w:pPr>
            <w:r/>
          </w:p>
          <w:p>
            <w:pPr>
              <w:spacing w:line="275" w:lineRule="auto"/>
              <w:rPr>
                <w:rFonts w:ascii="Arial"/>
                <w:sz w:val="21"/>
              </w:rPr>
            </w:pPr>
            <w:r/>
          </w:p>
          <w:p>
            <w:pPr>
              <w:pStyle w:val="TableText"/>
              <w:ind w:left="14" w:firstLine="29"/>
              <w:spacing w:before="49" w:line="258" w:lineRule="auto"/>
              <w:jc w:val="both"/>
              <w:rPr/>
            </w:pPr>
            <w:r>
              <w:rPr>
                <w:spacing w:val="-2"/>
              </w:rPr>
              <w:t>1. 《中华人民共和国证券法》第十七条：申请公开发行公司债券，应当向国务院授权的部门 </w:t>
            </w:r>
            <w:r>
              <w:rPr>
                <w:spacing w:val="-3"/>
              </w:rPr>
              <w:t>或者国务院证券监督管理机构报送下列文件：</w:t>
            </w:r>
            <w:r>
              <w:rPr>
                <w:spacing w:val="22"/>
              </w:rPr>
              <w:t xml:space="preserve">   </w:t>
            </w:r>
            <w:r>
              <w:rPr>
                <w:spacing w:val="-3"/>
              </w:rPr>
              <w:t>(五)国务院授权的部门或者国务</w:t>
            </w:r>
            <w:r>
              <w:rPr>
                <w:spacing w:val="-4"/>
              </w:rPr>
              <w:t>院证券监督</w:t>
            </w:r>
            <w:r>
              <w:rPr/>
              <w:t xml:space="preserve">  </w:t>
            </w:r>
            <w:r>
              <w:rPr/>
              <w:t>管理机构规定的其他文件。第三十一条：证券公司承销证券，应当对公开发行募集文件的真</w:t>
            </w:r>
            <w:r>
              <w:rPr>
                <w:spacing w:val="7"/>
              </w:rPr>
              <w:t xml:space="preserve">  </w:t>
            </w:r>
            <w:r>
              <w:rPr>
                <w:spacing w:val="-3"/>
              </w:rPr>
              <w:t>实性、准确性、完整性进行核查。2. 《公开发行</w:t>
            </w:r>
            <w:r>
              <w:rPr>
                <w:spacing w:val="-4"/>
              </w:rPr>
              <w:t>证券的公司信息披露内容与格式准则第24号一</w:t>
            </w:r>
          </w:p>
          <w:p>
            <w:pPr>
              <w:pStyle w:val="TableText"/>
              <w:ind w:left="24" w:right="289" w:firstLine="10"/>
              <w:spacing w:before="40" w:line="246" w:lineRule="auto"/>
              <w:rPr/>
            </w:pPr>
            <w:r>
              <w:rPr/>
              <w:t>公开发行公司债券申请文件》(证监会公告〔2015〕3号)公开</w:t>
            </w:r>
            <w:r>
              <w:rPr>
                <w:spacing w:val="-1"/>
              </w:rPr>
              <w:t>发行公司债券申请文件目录</w:t>
            </w:r>
            <w:r>
              <w:rPr/>
              <w:t xml:space="preserve"> </w:t>
            </w:r>
            <w:r>
              <w:rPr>
                <w:spacing w:val="-1"/>
              </w:rPr>
              <w:t>3-1主承销商核查意见。</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3872" behindDoc="0" locked="0" layoutInCell="0" allowOverlap="1">
                <wp:simplePos x="0" y="0"/>
                <wp:positionH relativeFrom="page">
                  <wp:posOffset>471019</wp:posOffset>
                </wp:positionH>
                <wp:positionV relativeFrom="page">
                  <wp:posOffset>4382610</wp:posOffset>
                </wp:positionV>
                <wp:extent cx="172085" cy="157479"/>
                <wp:effectExtent l="0" t="0" r="0" b="0"/>
                <wp:wrapNone/>
                <wp:docPr id="466" name="TextBox 466"/>
                <wp:cNvGraphicFramePr/>
                <a:graphic>
                  <a:graphicData uri="http://schemas.microsoft.com/office/word/2010/wordprocessingShape">
                    <wps:wsp>
                      <wps:cNvSpPr txBox="1"/>
                      <wps:spPr>
                        <a:xfrm rot="5400000">
                          <a:off x="471019" y="4382610"/>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321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18" style="position:absolute;margin-left:37.0882pt;margin-top:345.087pt;mso-position-vertical-relative:page;mso-position-horizontal-relative:page;width:13.55pt;height:12.4pt;z-index:25198387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321</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109"/>
        <w:gridCol w:w="809"/>
        <w:gridCol w:w="689"/>
        <w:gridCol w:w="6088"/>
      </w:tblGrid>
      <w:tr>
        <w:trPr>
          <w:trHeight w:val="454" w:hRule="atLeast"/>
        </w:trPr>
        <w:tc>
          <w:tcPr>
            <w:tcW w:w="295" w:type="dxa"/>
            <w:vAlign w:val="top"/>
          </w:tcPr>
          <w:p>
            <w:pPr>
              <w:pStyle w:val="TableText"/>
              <w:ind w:left="65"/>
              <w:spacing w:before="42" w:line="197" w:lineRule="auto"/>
              <w:rPr/>
            </w:pPr>
            <w:r>
              <w:rPr/>
              <w:t>序</w:t>
            </w:r>
          </w:p>
          <w:p>
            <w:pPr>
              <w:pStyle w:val="TableText"/>
              <w:ind w:left="65"/>
              <w:spacing w:line="220" w:lineRule="auto"/>
              <w:rPr/>
            </w:pPr>
            <w:r>
              <w:rPr/>
              <w:t>号</w:t>
            </w:r>
          </w:p>
        </w:tc>
        <w:tc>
          <w:tcPr>
            <w:tcW w:w="679" w:type="dxa"/>
            <w:vAlign w:val="top"/>
          </w:tcPr>
          <w:p>
            <w:pPr>
              <w:pStyle w:val="TableText"/>
              <w:ind w:left="30" w:right="32"/>
              <w:spacing w:before="60" w:line="236" w:lineRule="auto"/>
              <w:rPr/>
            </w:pPr>
            <w:r>
              <w:rPr>
                <w:spacing w:val="1"/>
              </w:rPr>
              <w:t>中介服务 </w:t>
            </w:r>
            <w:r>
              <w:rPr>
                <w:spacing w:val="-2"/>
              </w:rPr>
              <w:t>事项名称</w:t>
            </w:r>
          </w:p>
        </w:tc>
        <w:tc>
          <w:tcPr>
            <w:tcW w:w="1109" w:type="dxa"/>
            <w:vAlign w:val="top"/>
          </w:tcPr>
          <w:p>
            <w:pPr>
              <w:pStyle w:val="TableText"/>
              <w:ind w:left="239" w:right="35" w:hanging="219"/>
              <w:spacing w:before="62" w:line="235"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51" w:line="219" w:lineRule="auto"/>
              <w:rPr/>
            </w:pPr>
            <w:r>
              <w:rPr>
                <w:spacing w:val="4"/>
              </w:rPr>
              <w:t>审批部门</w:t>
            </w:r>
          </w:p>
        </w:tc>
        <w:tc>
          <w:tcPr>
            <w:tcW w:w="689" w:type="dxa"/>
            <w:vAlign w:val="top"/>
          </w:tcPr>
          <w:p>
            <w:pPr>
              <w:pStyle w:val="TableText"/>
              <w:ind w:left="32" w:right="38"/>
              <w:spacing w:before="60" w:line="236"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50" w:line="219" w:lineRule="auto"/>
              <w:rPr/>
            </w:pPr>
            <w:r>
              <w:rPr>
                <w:spacing w:val="-2"/>
              </w:rPr>
              <w:t>设定依据</w:t>
            </w:r>
          </w:p>
        </w:tc>
      </w:tr>
      <w:tr>
        <w:trPr>
          <w:trHeight w:val="5735" w:hRule="atLeast"/>
        </w:trPr>
        <w:tc>
          <w:tcPr>
            <w:tcW w:w="295" w:type="dxa"/>
            <w:vAlign w:val="top"/>
          </w:tcPr>
          <w:p>
            <w:pPr>
              <w:spacing w:line="271" w:lineRule="auto"/>
              <w:rPr>
                <w:rFonts w:ascii="Arial"/>
                <w:sz w:val="21"/>
              </w:rPr>
            </w:pPr>
            <w:r/>
          </w:p>
          <w:p>
            <w:pPr>
              <w:spacing w:line="272" w:lineRule="auto"/>
              <w:rPr>
                <w:rFonts w:ascii="Arial"/>
                <w:sz w:val="21"/>
              </w:rPr>
            </w:pPr>
            <w:r/>
          </w:p>
          <w:p>
            <w:pPr>
              <w:pStyle w:val="TableText"/>
              <w:ind w:left="65"/>
              <w:spacing w:before="49" w:line="183" w:lineRule="auto"/>
              <w:rPr/>
            </w:pPr>
            <w:r>
              <w:rPr>
                <w:spacing w:val="-2"/>
              </w:rPr>
              <w:t>90</w:t>
            </w:r>
          </w:p>
        </w:tc>
        <w:tc>
          <w:tcPr>
            <w:tcW w:w="679" w:type="dxa"/>
            <w:vAlign w:val="top"/>
          </w:tcPr>
          <w:p>
            <w:pPr>
              <w:spacing w:line="477" w:lineRule="auto"/>
              <w:rPr>
                <w:rFonts w:ascii="Arial"/>
                <w:sz w:val="21"/>
              </w:rPr>
            </w:pPr>
            <w:r/>
          </w:p>
          <w:p>
            <w:pPr>
              <w:pStyle w:val="TableText"/>
              <w:ind w:left="20" w:firstLine="9"/>
              <w:spacing w:before="49" w:line="268" w:lineRule="auto"/>
              <w:jc w:val="both"/>
              <w:rPr/>
            </w:pPr>
            <w:r>
              <w:rPr>
                <w:spacing w:val="-4"/>
              </w:rPr>
              <w:t>证券公司 </w:t>
            </w:r>
            <w:r>
              <w:rPr>
                <w:spacing w:val="-7"/>
              </w:rPr>
              <w:t>变更业务</w:t>
            </w:r>
            <w:r>
              <w:rPr/>
              <w:t xml:space="preserve">  </w:t>
            </w:r>
            <w:r>
              <w:rPr>
                <w:spacing w:val="-3"/>
              </w:rPr>
              <w:t>范围、增</w:t>
            </w:r>
            <w:r>
              <w:rPr/>
              <w:t xml:space="preserve">  </w:t>
            </w:r>
            <w:r>
              <w:rPr>
                <w:spacing w:val="-7"/>
              </w:rPr>
              <w:t>加注册资</w:t>
            </w:r>
            <w:r>
              <w:rPr/>
              <w:t xml:space="preserve">  </w:t>
            </w:r>
            <w:r>
              <w:rPr>
                <w:spacing w:val="-8"/>
              </w:rPr>
              <w:t>本且股权</w:t>
            </w:r>
            <w:r>
              <w:rPr>
                <w:spacing w:val="1"/>
              </w:rPr>
              <w:t xml:space="preserve">  </w:t>
            </w:r>
            <w:r>
              <w:rPr>
                <w:spacing w:val="-8"/>
              </w:rPr>
              <w:t>结构发生</w:t>
            </w:r>
            <w:r>
              <w:rPr/>
              <w:t xml:space="preserve">  </w:t>
            </w:r>
            <w:r>
              <w:rPr>
                <w:spacing w:val="-12"/>
                <w:w w:val="98"/>
              </w:rPr>
              <w:t>重</w:t>
            </w:r>
            <w:r>
              <w:rPr>
                <w:spacing w:val="22"/>
              </w:rPr>
              <w:t xml:space="preserve"> </w:t>
            </w:r>
            <w:r>
              <w:rPr>
                <w:spacing w:val="-12"/>
                <w:w w:val="98"/>
              </w:rPr>
              <w:t>大</w:t>
            </w:r>
            <w:r>
              <w:rPr>
                <w:spacing w:val="21"/>
              </w:rPr>
              <w:t xml:space="preserve"> </w:t>
            </w:r>
            <w:r>
              <w:rPr>
                <w:spacing w:val="-12"/>
                <w:w w:val="98"/>
              </w:rPr>
              <w:t>调</w:t>
            </w:r>
            <w:r>
              <w:rPr/>
              <w:t xml:space="preserve"> </w:t>
            </w:r>
            <w:r>
              <w:rPr>
                <w:spacing w:val="-8"/>
              </w:rPr>
              <w:t>整、减少</w:t>
            </w:r>
            <w:r>
              <w:rPr>
                <w:spacing w:val="1"/>
              </w:rPr>
              <w:t xml:space="preserve">  </w:t>
            </w:r>
            <w:r>
              <w:rPr>
                <w:spacing w:val="-13"/>
              </w:rPr>
              <w:t>注</w:t>
            </w:r>
            <w:r>
              <w:rPr>
                <w:spacing w:val="10"/>
              </w:rPr>
              <w:t xml:space="preserve"> </w:t>
            </w:r>
            <w:r>
              <w:rPr>
                <w:spacing w:val="-13"/>
              </w:rPr>
              <w:t>册</w:t>
            </w:r>
            <w:r>
              <w:rPr>
                <w:spacing w:val="16"/>
              </w:rPr>
              <w:t xml:space="preserve"> </w:t>
            </w:r>
            <w:r>
              <w:rPr>
                <w:spacing w:val="-13"/>
              </w:rPr>
              <w:t>资</w:t>
            </w:r>
            <w:r>
              <w:rPr/>
              <w:t xml:space="preserve">  </w:t>
            </w:r>
            <w:r>
              <w:rPr>
                <w:spacing w:val="-8"/>
              </w:rPr>
              <w:t>本、变更</w:t>
            </w:r>
            <w:r>
              <w:rPr>
                <w:spacing w:val="1"/>
              </w:rPr>
              <w:t xml:space="preserve">  </w:t>
            </w:r>
            <w:r>
              <w:rPr>
                <w:spacing w:val="-11"/>
                <w:w w:val="99"/>
              </w:rPr>
              <w:t>持</w:t>
            </w:r>
            <w:r>
              <w:rPr>
                <w:spacing w:val="-12"/>
              </w:rPr>
              <w:t xml:space="preserve"> </w:t>
            </w:r>
            <w:r>
              <w:rPr>
                <w:spacing w:val="-11"/>
                <w:w w:val="99"/>
              </w:rPr>
              <w:t>有</w:t>
            </w:r>
            <w:r>
              <w:rPr>
                <w:spacing w:val="-9"/>
              </w:rPr>
              <w:t xml:space="preserve"> </w:t>
            </w:r>
            <w:r>
              <w:rPr>
                <w:spacing w:val="-11"/>
                <w:w w:val="99"/>
              </w:rPr>
              <w:t>5</w:t>
            </w:r>
            <w:r>
              <w:rPr>
                <w:spacing w:val="-16"/>
              </w:rPr>
              <w:t xml:space="preserve"> </w:t>
            </w:r>
            <w:r>
              <w:rPr>
                <w:spacing w:val="-11"/>
                <w:w w:val="99"/>
              </w:rPr>
              <w:t>%</w:t>
            </w:r>
            <w:r>
              <w:rPr/>
              <w:t xml:space="preserve">  </w:t>
            </w:r>
            <w:r>
              <w:rPr>
                <w:spacing w:val="-5"/>
              </w:rPr>
              <w:t>以上股权</w:t>
            </w:r>
            <w:r>
              <w:rPr>
                <w:spacing w:val="1"/>
              </w:rPr>
              <w:t xml:space="preserve">  </w:t>
            </w:r>
            <w:r>
              <w:rPr>
                <w:spacing w:val="3"/>
              </w:rPr>
              <w:t>的股东</w:t>
            </w:r>
            <w:r>
              <w:rPr>
                <w:spacing w:val="-40"/>
              </w:rPr>
              <w:t xml:space="preserve"> </w:t>
            </w:r>
            <w:r>
              <w:rPr>
                <w:spacing w:val="3"/>
              </w:rPr>
              <w:t>、</w:t>
            </w:r>
            <w:r>
              <w:rPr/>
              <w:t xml:space="preserve"> </w:t>
            </w:r>
            <w:r>
              <w:rPr>
                <w:spacing w:val="-3"/>
              </w:rPr>
              <w:t>实际控制</w:t>
            </w:r>
            <w:r>
              <w:rPr/>
              <w:t xml:space="preserve">  </w:t>
            </w:r>
            <w:r>
              <w:rPr>
                <w:spacing w:val="-8"/>
              </w:rPr>
              <w:t>人、变更</w:t>
            </w:r>
            <w:r>
              <w:rPr>
                <w:spacing w:val="1"/>
              </w:rPr>
              <w:t xml:space="preserve">  </w:t>
            </w:r>
            <w:r>
              <w:rPr>
                <w:spacing w:val="-8"/>
              </w:rPr>
              <w:t>公司章程</w:t>
            </w:r>
            <w:r>
              <w:rPr/>
              <w:t xml:space="preserve">  </w:t>
            </w:r>
            <w:r>
              <w:rPr>
                <w:spacing w:val="-8"/>
              </w:rPr>
              <w:t>重要条款</w:t>
            </w:r>
            <w:r>
              <w:rPr>
                <w:spacing w:val="1"/>
              </w:rPr>
              <w:t xml:space="preserve">  </w:t>
            </w:r>
            <w:r>
              <w:rPr>
                <w:spacing w:val="12"/>
              </w:rPr>
              <w:t>及合并、</w:t>
            </w:r>
            <w:r>
              <w:rPr/>
              <w:t xml:space="preserve"> </w:t>
            </w:r>
            <w:r>
              <w:rPr>
                <w:spacing w:val="-6"/>
              </w:rPr>
              <w:t>分立审计</w:t>
            </w:r>
          </w:p>
        </w:tc>
        <w:tc>
          <w:tcPr>
            <w:tcW w:w="1109" w:type="dxa"/>
            <w:vAlign w:val="top"/>
          </w:tcPr>
          <w:p>
            <w:pPr>
              <w:spacing w:line="477" w:lineRule="auto"/>
              <w:rPr>
                <w:rFonts w:ascii="Arial"/>
                <w:sz w:val="21"/>
              </w:rPr>
            </w:pPr>
            <w:r/>
          </w:p>
          <w:p>
            <w:pPr>
              <w:pStyle w:val="TableText"/>
              <w:ind w:left="20" w:right="16" w:firstLine="20"/>
              <w:spacing w:before="49" w:line="264" w:lineRule="auto"/>
              <w:rPr/>
            </w:pPr>
            <w:r>
              <w:rPr>
                <w:spacing w:val="20"/>
              </w:rPr>
              <w:t>(44034)证券</w:t>
            </w:r>
            <w:r>
              <w:rPr/>
              <w:t xml:space="preserve"> </w:t>
            </w:r>
            <w:r>
              <w:rPr>
                <w:spacing w:val="-2"/>
              </w:rPr>
              <w:t>公司变更业务范</w:t>
            </w:r>
            <w:r>
              <w:rPr>
                <w:spacing w:val="2"/>
              </w:rPr>
              <w:t xml:space="preserve"> </w:t>
            </w:r>
            <w:r>
              <w:rPr>
                <w:spacing w:val="1"/>
              </w:rPr>
              <w:t>围、增加注册资</w:t>
            </w:r>
            <w:r>
              <w:rPr>
                <w:spacing w:val="3"/>
              </w:rPr>
              <w:t xml:space="preserve"> </w:t>
            </w:r>
            <w:r>
              <w:rPr>
                <w:spacing w:val="-1"/>
              </w:rPr>
              <w:t>本且股权结构发</w:t>
            </w:r>
            <w:r>
              <w:rPr/>
              <w:t xml:space="preserve"> </w:t>
            </w:r>
            <w:r>
              <w:rPr>
                <w:spacing w:val="-2"/>
              </w:rPr>
              <w:t>生重大调整、减</w:t>
            </w:r>
            <w:r>
              <w:rPr>
                <w:spacing w:val="5"/>
              </w:rPr>
              <w:t xml:space="preserve"> </w:t>
            </w:r>
            <w:r>
              <w:rPr>
                <w:spacing w:val="-1"/>
              </w:rPr>
              <w:t>少注册资本、变</w:t>
            </w:r>
            <w:r>
              <w:rPr/>
              <w:t xml:space="preserve"> </w:t>
            </w:r>
            <w:r>
              <w:rPr>
                <w:spacing w:val="8"/>
              </w:rPr>
              <w:t>更持有5%以上</w:t>
            </w:r>
            <w:r>
              <w:rPr>
                <w:spacing w:val="2"/>
              </w:rPr>
              <w:t xml:space="preserve">  </w:t>
            </w:r>
            <w:r>
              <w:rPr>
                <w:spacing w:val="-1"/>
              </w:rPr>
              <w:t>股权的股东、实</w:t>
            </w:r>
            <w:r>
              <w:rPr/>
              <w:t xml:space="preserve"> </w:t>
            </w:r>
            <w:r>
              <w:rPr>
                <w:spacing w:val="1"/>
              </w:rPr>
              <w:t>际控制人、变更</w:t>
            </w:r>
            <w:r>
              <w:rPr/>
              <w:t xml:space="preserve"> </w:t>
            </w:r>
            <w:r>
              <w:rPr>
                <w:spacing w:val="-2"/>
              </w:rPr>
              <w:t>公司章程重要条</w:t>
            </w:r>
          </w:p>
          <w:p>
            <w:pPr>
              <w:pStyle w:val="TableText"/>
              <w:ind w:left="10" w:right="34" w:firstLine="10"/>
              <w:spacing w:before="73" w:line="233" w:lineRule="auto"/>
              <w:rPr/>
            </w:pPr>
            <w:r>
              <w:rPr>
                <w:spacing w:val="-1"/>
              </w:rPr>
              <w:t>款及合并、分立</w:t>
            </w:r>
            <w:r>
              <w:rPr/>
              <w:t xml:space="preserve"> </w:t>
            </w:r>
            <w:r>
              <w:rPr>
                <w:spacing w:val="-4"/>
              </w:rPr>
              <w:t>审批</w:t>
            </w:r>
          </w:p>
        </w:tc>
        <w:tc>
          <w:tcPr>
            <w:tcW w:w="809" w:type="dxa"/>
            <w:vAlign w:val="top"/>
          </w:tcPr>
          <w:p>
            <w:pPr>
              <w:spacing w:line="464" w:lineRule="auto"/>
              <w:rPr>
                <w:rFonts w:ascii="Arial"/>
                <w:sz w:val="21"/>
              </w:rPr>
            </w:pPr>
            <w:r/>
          </w:p>
          <w:p>
            <w:pPr>
              <w:pStyle w:val="TableText"/>
              <w:ind w:left="172"/>
              <w:spacing w:before="49" w:line="219" w:lineRule="auto"/>
              <w:rPr/>
            </w:pPr>
            <w:r>
              <w:rPr>
                <w:spacing w:val="-2"/>
              </w:rPr>
              <w:t>证监会</w:t>
            </w:r>
          </w:p>
        </w:tc>
        <w:tc>
          <w:tcPr>
            <w:tcW w:w="689" w:type="dxa"/>
            <w:vAlign w:val="top"/>
          </w:tcPr>
          <w:p>
            <w:pPr>
              <w:spacing w:line="243" w:lineRule="auto"/>
              <w:rPr>
                <w:rFonts w:ascii="Arial"/>
                <w:sz w:val="21"/>
              </w:rPr>
            </w:pPr>
            <w:r/>
          </w:p>
          <w:p>
            <w:pPr>
              <w:spacing w:line="243" w:lineRule="auto"/>
              <w:rPr>
                <w:rFonts w:ascii="Arial"/>
                <w:sz w:val="21"/>
              </w:rPr>
            </w:pPr>
            <w:r/>
          </w:p>
          <w:p>
            <w:pPr>
              <w:pStyle w:val="TableText"/>
              <w:ind w:left="12" w:right="39" w:firstLine="20"/>
              <w:spacing w:before="49" w:line="258" w:lineRule="auto"/>
              <w:jc w:val="both"/>
              <w:rPr/>
            </w:pPr>
            <w:r>
              <w:rPr>
                <w:spacing w:val="-8"/>
              </w:rPr>
              <w:t>具</w:t>
            </w:r>
            <w:r>
              <w:rPr>
                <w:spacing w:val="15"/>
              </w:rPr>
              <w:t xml:space="preserve"> </w:t>
            </w:r>
            <w:r>
              <w:rPr>
                <w:spacing w:val="-8"/>
              </w:rPr>
              <w:t>有</w:t>
            </w:r>
            <w:r>
              <w:rPr>
                <w:spacing w:val="14"/>
              </w:rPr>
              <w:t xml:space="preserve"> </w:t>
            </w:r>
            <w:r>
              <w:rPr>
                <w:spacing w:val="-8"/>
              </w:rPr>
              <w:t>证</w:t>
            </w:r>
            <w:r>
              <w:rPr/>
              <w:t xml:space="preserve"> </w:t>
            </w:r>
            <w:r>
              <w:rPr>
                <w:spacing w:val="3"/>
              </w:rPr>
              <w:t>券、期货</w:t>
            </w:r>
            <w:r>
              <w:rPr>
                <w:spacing w:val="1"/>
              </w:rPr>
              <w:t xml:space="preserve"> </w:t>
            </w:r>
            <w:r>
              <w:rPr>
                <w:spacing w:val="3"/>
              </w:rPr>
              <w:t>相关业务</w:t>
            </w:r>
            <w:r>
              <w:rPr>
                <w:spacing w:val="1"/>
              </w:rPr>
              <w:t xml:space="preserve"> </w:t>
            </w:r>
            <w:r>
              <w:rPr>
                <w:spacing w:val="1"/>
              </w:rPr>
              <w:t>资格的会</w:t>
            </w:r>
            <w:r>
              <w:rPr>
                <w:spacing w:val="2"/>
              </w:rPr>
              <w:t xml:space="preserve"> </w:t>
            </w:r>
            <w:r>
              <w:rPr>
                <w:spacing w:val="3"/>
              </w:rPr>
              <w:t>计师事务</w:t>
            </w:r>
            <w:r>
              <w:rPr>
                <w:spacing w:val="1"/>
              </w:rPr>
              <w:t xml:space="preserve"> </w:t>
            </w:r>
            <w:r>
              <w:rPr/>
              <w:t>所</w:t>
            </w:r>
          </w:p>
        </w:tc>
        <w:tc>
          <w:tcPr>
            <w:tcW w:w="6088" w:type="dxa"/>
            <w:vAlign w:val="top"/>
          </w:tcPr>
          <w:p>
            <w:pPr>
              <w:spacing w:line="242" w:lineRule="auto"/>
              <w:rPr>
                <w:rFonts w:ascii="Arial"/>
                <w:sz w:val="21"/>
              </w:rPr>
            </w:pPr>
            <w:r/>
          </w:p>
          <w:p>
            <w:pPr>
              <w:spacing w:line="242" w:lineRule="auto"/>
              <w:rPr>
                <w:rFonts w:ascii="Arial"/>
                <w:sz w:val="21"/>
              </w:rPr>
            </w:pPr>
            <w:r/>
          </w:p>
          <w:p>
            <w:pPr>
              <w:pStyle w:val="TableText"/>
              <w:ind w:left="33" w:right="37"/>
              <w:spacing w:before="49" w:line="244" w:lineRule="auto"/>
              <w:rPr/>
            </w:pPr>
            <w:r>
              <w:rPr>
                <w:spacing w:val="-2"/>
              </w:rPr>
              <w:t>1. 《中华人民共和国公司法》第一百六十四条：公司应当在每一会计年度终了时编制财务会</w:t>
            </w:r>
            <w:r>
              <w:rPr>
                <w:spacing w:val="14"/>
              </w:rPr>
              <w:t xml:space="preserve"> </w:t>
            </w:r>
            <w:r>
              <w:rPr>
                <w:spacing w:val="-2"/>
              </w:rPr>
              <w:t>计报告，并依法经会计师事务所审计。2. 《中华人民共和国证券法》第一百二十四条：设立</w:t>
            </w:r>
          </w:p>
          <w:p>
            <w:pPr>
              <w:pStyle w:val="TableText"/>
              <w:ind w:left="33" w:right="119" w:firstLine="80"/>
              <w:spacing w:before="23" w:line="251" w:lineRule="auto"/>
              <w:rPr/>
            </w:pPr>
            <w:r>
              <w:rPr/>
              <w:t>证券公司，应当具备下列条件；(二)主要股东具有持续盈利能力，信誉良</w:t>
            </w:r>
            <w:r>
              <w:rPr>
                <w:spacing w:val="-1"/>
              </w:rPr>
              <w:t>好，最近三年无</w:t>
            </w:r>
            <w:r>
              <w:rPr/>
              <w:t xml:space="preserve"> </w:t>
            </w:r>
            <w:r>
              <w:rPr>
                <w:spacing w:val="-2"/>
              </w:rPr>
              <w:t>重大违法违规记录，净资产不低于人民币二亿元。3. 《证券投资基金法》第一百五十二条</w:t>
            </w:r>
          </w:p>
          <w:p>
            <w:pPr>
              <w:pStyle w:val="TableText"/>
              <w:ind w:left="14" w:right="49" w:firstLine="19"/>
              <w:spacing w:before="43" w:line="249" w:lineRule="auto"/>
              <w:rPr/>
            </w:pPr>
            <w:r>
              <w:rPr/>
              <w:t>在中华人民共和国境内募集投资境外证券的基金，以及合格境外投资者在境</w:t>
            </w:r>
            <w:r>
              <w:rPr>
                <w:spacing w:val="-1"/>
              </w:rPr>
              <w:t>内进行证券投资</w:t>
            </w:r>
            <w:r>
              <w:rPr/>
              <w:t xml:space="preserve"> </w:t>
            </w:r>
            <w:r>
              <w:rPr/>
              <w:t>应当经国务院证券监督管理机构批准，具体办法由国务院证券监督管理机构会同国务院有关</w:t>
            </w:r>
            <w:r>
              <w:rPr>
                <w:spacing w:val="13"/>
              </w:rPr>
              <w:t xml:space="preserve"> </w:t>
            </w:r>
            <w:r>
              <w:rPr>
                <w:spacing w:val="-2"/>
              </w:rPr>
              <w:t>部门规定，报国务院批准。4. 《证券公司监督管理条例》(国务院令第522号)第十条</w:t>
            </w:r>
            <w:r>
              <w:rPr>
                <w:spacing w:val="-3"/>
              </w:rPr>
              <w:t>：有</w:t>
            </w:r>
          </w:p>
          <w:p>
            <w:pPr>
              <w:pStyle w:val="TableText"/>
              <w:ind w:left="83" w:right="344" w:hanging="40"/>
              <w:spacing w:before="62" w:line="236" w:lineRule="auto"/>
              <w:rPr/>
            </w:pPr>
            <w:r>
              <w:rPr/>
              <w:t>下列情形之一的单位或者个人，不得成为持有证券公司5%以</w:t>
            </w:r>
            <w:r>
              <w:rPr>
                <w:spacing w:val="-1"/>
              </w:rPr>
              <w:t>上股权的股东、实际控制人</w:t>
            </w:r>
            <w:r>
              <w:rPr/>
              <w:t xml:space="preserve"> </w:t>
            </w:r>
            <w:r>
              <w:rPr/>
              <w:t>(二)净资产低于实收资本的50%,或者或有负债达到净资产的50%;(三)不能清偿到期</w:t>
            </w:r>
          </w:p>
          <w:p>
            <w:pPr>
              <w:pStyle w:val="TableText"/>
              <w:ind w:left="33" w:right="49"/>
              <w:spacing w:before="54" w:line="254" w:lineRule="auto"/>
              <w:jc w:val="both"/>
              <w:rPr/>
            </w:pPr>
            <w:r>
              <w:rPr/>
              <w:t>债务。第六十四条：证券公司年度报告中的财务会计报告、风险控制指标</w:t>
            </w:r>
            <w:r>
              <w:rPr>
                <w:spacing w:val="-1"/>
              </w:rPr>
              <w:t>报告以及国务院证</w:t>
            </w:r>
            <w:r>
              <w:rPr/>
              <w:t xml:space="preserve"> </w:t>
            </w:r>
            <w:r>
              <w:rPr/>
              <w:t>券监督管理机构规定的其他专项报告，应当经具有证券、期货相关业务资格</w:t>
            </w:r>
            <w:r>
              <w:rPr>
                <w:spacing w:val="-1"/>
              </w:rPr>
              <w:t>的会计师事务所</w:t>
            </w:r>
            <w:r>
              <w:rPr/>
              <w:t xml:space="preserve"> </w:t>
            </w:r>
            <w:r>
              <w:rPr>
                <w:spacing w:val="-2"/>
              </w:rPr>
              <w:t>审计。5. 《合格境内机构投资者境外证券投资管理试行办法》(证监</w:t>
            </w:r>
            <w:r>
              <w:rPr>
                <w:spacing w:val="-3"/>
              </w:rPr>
              <w:t>会令第46号)第五条</w:t>
            </w:r>
          </w:p>
          <w:p>
            <w:pPr>
              <w:pStyle w:val="TableText"/>
              <w:ind w:left="53" w:right="34" w:hanging="20"/>
              <w:spacing w:before="22" w:line="245" w:lineRule="auto"/>
              <w:rPr/>
            </w:pPr>
            <w:r>
              <w:rPr>
                <w:spacing w:val="-3"/>
              </w:rPr>
              <w:t>申请境内机构投资者资格，应当具备下列条件；    (一)申请人的财务</w:t>
            </w:r>
            <w:r>
              <w:rPr>
                <w:spacing w:val="-4"/>
              </w:rPr>
              <w:t>稳健，资信良好，资产</w:t>
            </w:r>
            <w:r>
              <w:rPr/>
              <w:t xml:space="preserve"> </w:t>
            </w:r>
            <w:r>
              <w:rPr/>
              <w:t>管理规模、经营年限等符合中国证监会的规定。第六条；第五条第(一)项所指的条</w:t>
            </w:r>
            <w:r>
              <w:rPr>
                <w:spacing w:val="-1"/>
              </w:rPr>
              <w:t>件是：</w:t>
            </w:r>
          </w:p>
          <w:p>
            <w:pPr>
              <w:pStyle w:val="TableText"/>
              <w:ind w:left="33" w:right="141" w:firstLine="110"/>
              <w:spacing w:before="42" w:line="257" w:lineRule="auto"/>
              <w:rPr/>
            </w:pPr>
            <w:r>
              <w:rPr/>
              <w:t>(二)证券公司；各项风险控制指标符合规定标准；净资本不低于8亿元人民币；净资本与</w:t>
            </w:r>
            <w:r>
              <w:rPr>
                <w:spacing w:val="16"/>
              </w:rPr>
              <w:t xml:space="preserve"> </w:t>
            </w:r>
            <w:r>
              <w:rPr/>
              <w:t>净资产比例不低于70%;经营集合资产管理计划(以下简称集合计划)</w:t>
            </w:r>
            <w:r>
              <w:rPr>
                <w:spacing w:val="-1"/>
              </w:rPr>
              <w:t>业务达1年以上；在</w:t>
            </w:r>
          </w:p>
          <w:p>
            <w:pPr>
              <w:pStyle w:val="TableText"/>
              <w:ind w:left="43" w:right="121" w:firstLine="70"/>
              <w:spacing w:before="22" w:line="245" w:lineRule="auto"/>
              <w:rPr/>
            </w:pPr>
            <w:r>
              <w:rPr/>
              <w:t>最近一个季度末资产管理规模不少于20亿元人民币或等值外汇资产。</w:t>
            </w:r>
            <w:r>
              <w:rPr>
                <w:spacing w:val="-1"/>
              </w:rPr>
              <w:t>第八条；申请境内机</w:t>
            </w:r>
            <w:r>
              <w:rPr/>
              <w:t xml:space="preserve"> </w:t>
            </w:r>
            <w:r>
              <w:rPr>
                <w:spacing w:val="-2"/>
              </w:rPr>
              <w:t>构投资者资格的，应当向中国证监会报送下列文件(一份正本、 一份副本);  (二)符合本</w:t>
            </w:r>
          </w:p>
          <w:p>
            <w:pPr>
              <w:pStyle w:val="TableText"/>
              <w:ind w:left="113" w:right="38" w:hanging="40"/>
              <w:spacing w:before="53" w:line="249" w:lineRule="auto"/>
              <w:rPr/>
            </w:pPr>
            <w:r>
              <w:rPr>
                <w:spacing w:val="-2"/>
              </w:rPr>
              <w:t>办法第五条规定的证明文件。6. 《关于实施&lt;合格境内机构投资者境</w:t>
            </w:r>
            <w:r>
              <w:rPr>
                <w:spacing w:val="-3"/>
              </w:rPr>
              <w:t>外证券投资管理试行办</w:t>
            </w:r>
            <w:r>
              <w:rPr/>
              <w:t xml:space="preserve">  </w:t>
            </w:r>
            <w:r>
              <w:rPr/>
              <w:t>法&gt;有关问题的通知》(证监发〔2007〕81号)一、符合试行办法第八条规定的证明文件为： </w:t>
            </w:r>
            <w:r>
              <w:rPr/>
              <w:t>(一)境内注册会计师出具的最近一个季度末资产管理规</w:t>
            </w:r>
            <w:r>
              <w:rPr>
                <w:spacing w:val="-1"/>
              </w:rPr>
              <w:t>模等证明文件。</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4896"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68" name="TextBox 468"/>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0" style="position:absolute;margin-left:37.0722pt;margin-top:48.6039pt;mso-position-vertical-relative:page;mso-position-horizontal-relative:page;width:13.55pt;height:12.35pt;z-index:25198489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322</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64" w:hRule="atLeast"/>
        </w:trPr>
        <w:tc>
          <w:tcPr>
            <w:tcW w:w="295" w:type="dxa"/>
            <w:vAlign w:val="top"/>
            <w:textDirection w:val="tbRlV"/>
          </w:tcPr>
          <w:p>
            <w:pPr>
              <w:pStyle w:val="TableText"/>
              <w:ind w:left="37"/>
              <w:spacing w:before="70" w:line="217" w:lineRule="auto"/>
              <w:rPr/>
            </w:pPr>
            <w:r>
              <w:rPr>
                <w:spacing w:val="-2"/>
              </w:rPr>
              <w:t>序 号</w:t>
            </w:r>
          </w:p>
        </w:tc>
        <w:tc>
          <w:tcPr>
            <w:tcW w:w="659" w:type="dxa"/>
            <w:vAlign w:val="top"/>
          </w:tcPr>
          <w:p>
            <w:pPr>
              <w:pStyle w:val="TableText"/>
              <w:ind w:left="20" w:right="22"/>
              <w:spacing w:before="60" w:line="242" w:lineRule="auto"/>
              <w:rPr/>
            </w:pPr>
            <w:r>
              <w:rPr>
                <w:spacing w:val="1"/>
              </w:rPr>
              <w:t>中介服务 </w:t>
            </w:r>
            <w:r>
              <w:rPr>
                <w:spacing w:val="-2"/>
              </w:rPr>
              <w:t>事项名称</w:t>
            </w:r>
          </w:p>
        </w:tc>
        <w:tc>
          <w:tcPr>
            <w:tcW w:w="1109" w:type="dxa"/>
            <w:vAlign w:val="top"/>
          </w:tcPr>
          <w:p>
            <w:pPr>
              <w:pStyle w:val="TableText"/>
              <w:ind w:left="239" w:right="35" w:hanging="219"/>
              <w:spacing w:before="62" w:line="241"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0" w:line="242"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674" w:hRule="atLeast"/>
        </w:trPr>
        <w:tc>
          <w:tcPr>
            <w:tcW w:w="295" w:type="dxa"/>
            <w:vAlign w:val="top"/>
          </w:tcPr>
          <w:p>
            <w:pPr>
              <w:pStyle w:val="TableText"/>
              <w:ind w:left="65"/>
              <w:spacing w:before="125" w:line="184" w:lineRule="auto"/>
              <w:rPr/>
            </w:pPr>
            <w:r>
              <w:rPr>
                <w:spacing w:val="-2"/>
              </w:rPr>
              <w:t>91</w:t>
            </w:r>
          </w:p>
        </w:tc>
        <w:tc>
          <w:tcPr>
            <w:tcW w:w="659" w:type="dxa"/>
            <w:vAlign w:val="top"/>
          </w:tcPr>
          <w:p>
            <w:pPr>
              <w:pStyle w:val="TableText"/>
              <w:ind w:left="10" w:firstLine="9"/>
              <w:spacing w:before="61" w:line="221" w:lineRule="auto"/>
              <w:jc w:val="both"/>
              <w:rPr/>
            </w:pPr>
            <w:r>
              <w:rPr>
                <w:spacing w:val="-6"/>
              </w:rPr>
              <w:t>证券公司 </w:t>
            </w:r>
            <w:r>
              <w:rPr>
                <w:spacing w:val="-10"/>
              </w:rPr>
              <w:t>变更业务</w:t>
            </w:r>
            <w:r>
              <w:rPr>
                <w:spacing w:val="1"/>
              </w:rPr>
              <w:t xml:space="preserve">  </w:t>
            </w:r>
            <w:r>
              <w:rPr>
                <w:spacing w:val="-5"/>
              </w:rPr>
              <w:t>范围、增</w:t>
            </w:r>
            <w:r>
              <w:rPr/>
              <w:t xml:space="preserve">  </w:t>
            </w:r>
            <w:r>
              <w:rPr>
                <w:spacing w:val="-10"/>
              </w:rPr>
              <w:t>加注册资</w:t>
            </w:r>
            <w:r>
              <w:rPr>
                <w:spacing w:val="1"/>
              </w:rPr>
              <w:t xml:space="preserve">  </w:t>
            </w:r>
            <w:r>
              <w:rPr>
                <w:spacing w:val="-10"/>
              </w:rPr>
              <w:t>本且股权</w:t>
            </w:r>
            <w:r>
              <w:rPr>
                <w:spacing w:val="1"/>
              </w:rPr>
              <w:t xml:space="preserve">  </w:t>
            </w:r>
            <w:r>
              <w:rPr>
                <w:spacing w:val="-10"/>
              </w:rPr>
              <w:t>结构发生</w:t>
            </w:r>
            <w:r>
              <w:rPr/>
              <w:t xml:space="preserve">  </w:t>
            </w:r>
            <w:r>
              <w:rPr>
                <w:spacing w:val="-12"/>
                <w:w w:val="96"/>
              </w:rPr>
              <w:t>重</w:t>
            </w:r>
            <w:r>
              <w:rPr>
                <w:spacing w:val="32"/>
              </w:rPr>
              <w:t xml:space="preserve"> </w:t>
            </w:r>
            <w:r>
              <w:rPr>
                <w:spacing w:val="-12"/>
                <w:w w:val="96"/>
              </w:rPr>
              <w:t>大</w:t>
            </w:r>
            <w:r>
              <w:rPr>
                <w:spacing w:val="29"/>
              </w:rPr>
              <w:t xml:space="preserve"> </w:t>
            </w:r>
            <w:r>
              <w:rPr>
                <w:spacing w:val="-12"/>
                <w:w w:val="96"/>
              </w:rPr>
              <w:t>调</w:t>
            </w:r>
            <w:r>
              <w:rPr/>
              <w:t xml:space="preserve"> </w:t>
            </w:r>
            <w:r>
              <w:rPr>
                <w:spacing w:val="-10"/>
              </w:rPr>
              <w:t>整、减少</w:t>
            </w:r>
            <w:r>
              <w:rPr>
                <w:spacing w:val="1"/>
              </w:rPr>
              <w:t xml:space="preserve">  </w:t>
            </w:r>
            <w:r>
              <w:rPr>
                <w:spacing w:val="-15"/>
              </w:rPr>
              <w:t>注</w:t>
            </w:r>
            <w:r>
              <w:rPr>
                <w:spacing w:val="9"/>
              </w:rPr>
              <w:t xml:space="preserve"> </w:t>
            </w:r>
            <w:r>
              <w:rPr>
                <w:spacing w:val="-15"/>
              </w:rPr>
              <w:t>册</w:t>
            </w:r>
            <w:r>
              <w:rPr>
                <w:spacing w:val="14"/>
              </w:rPr>
              <w:t xml:space="preserve"> </w:t>
            </w:r>
            <w:r>
              <w:rPr>
                <w:spacing w:val="-15"/>
              </w:rPr>
              <w:t>资</w:t>
            </w:r>
            <w:r>
              <w:rPr/>
              <w:t xml:space="preserve">  </w:t>
            </w:r>
            <w:r>
              <w:rPr>
                <w:spacing w:val="-10"/>
              </w:rPr>
              <w:t>本、变更</w:t>
            </w:r>
            <w:r>
              <w:rPr>
                <w:spacing w:val="1"/>
              </w:rPr>
              <w:t xml:space="preserve">  </w:t>
            </w:r>
            <w:r>
              <w:rPr>
                <w:spacing w:val="-11"/>
              </w:rPr>
              <w:t>持</w:t>
            </w:r>
            <w:r>
              <w:rPr>
                <w:spacing w:val="-19"/>
              </w:rPr>
              <w:t xml:space="preserve"> </w:t>
            </w:r>
            <w:r>
              <w:rPr>
                <w:spacing w:val="-11"/>
              </w:rPr>
              <w:t>有</w:t>
            </w:r>
            <w:r>
              <w:rPr>
                <w:spacing w:val="-17"/>
              </w:rPr>
              <w:t xml:space="preserve"> </w:t>
            </w:r>
            <w:r>
              <w:rPr>
                <w:spacing w:val="-11"/>
              </w:rPr>
              <w:t>5</w:t>
            </w:r>
            <w:r>
              <w:rPr>
                <w:spacing w:val="-24"/>
              </w:rPr>
              <w:t xml:space="preserve"> </w:t>
            </w:r>
            <w:r>
              <w:rPr>
                <w:spacing w:val="-11"/>
              </w:rPr>
              <w:t>%</w:t>
            </w:r>
            <w:r>
              <w:rPr/>
              <w:t xml:space="preserve">  </w:t>
            </w:r>
            <w:r>
              <w:rPr>
                <w:spacing w:val="-7"/>
              </w:rPr>
              <w:t>以上股权</w:t>
            </w:r>
            <w:r>
              <w:rPr/>
              <w:t xml:space="preserve">  </w:t>
            </w:r>
            <w:r>
              <w:rPr>
                <w:spacing w:val="1"/>
              </w:rPr>
              <w:t>的股东</w:t>
            </w:r>
            <w:r>
              <w:rPr>
                <w:spacing w:val="-41"/>
              </w:rPr>
              <w:t xml:space="preserve"> </w:t>
            </w:r>
            <w:r>
              <w:rPr>
                <w:spacing w:val="1"/>
              </w:rPr>
              <w:t>、</w:t>
            </w:r>
            <w:r>
              <w:rPr/>
              <w:t xml:space="preserve"> </w:t>
            </w:r>
            <w:r>
              <w:rPr>
                <w:spacing w:val="-5"/>
              </w:rPr>
              <w:t>实际控制</w:t>
            </w:r>
            <w:r>
              <w:rPr/>
              <w:t xml:space="preserve">  </w:t>
            </w:r>
            <w:r>
              <w:rPr>
                <w:spacing w:val="-10"/>
              </w:rPr>
              <w:t>人、变更</w:t>
            </w:r>
            <w:r>
              <w:rPr/>
              <w:t xml:space="preserve">  </w:t>
            </w:r>
            <w:r>
              <w:rPr>
                <w:spacing w:val="-11"/>
              </w:rPr>
              <w:t>公司章程</w:t>
            </w:r>
            <w:r>
              <w:rPr>
                <w:spacing w:val="1"/>
              </w:rPr>
              <w:t xml:space="preserve">  </w:t>
            </w:r>
            <w:r>
              <w:rPr>
                <w:spacing w:val="-10"/>
              </w:rPr>
              <w:t>重要条款</w:t>
            </w:r>
            <w:r>
              <w:rPr>
                <w:spacing w:val="1"/>
              </w:rPr>
              <w:t xml:space="preserve">  </w:t>
            </w:r>
            <w:r>
              <w:rPr>
                <w:spacing w:val="9"/>
              </w:rPr>
              <w:t>及合并、</w:t>
            </w:r>
            <w:r>
              <w:rPr>
                <w:spacing w:val="1"/>
              </w:rPr>
              <w:t xml:space="preserve"> </w:t>
            </w:r>
            <w:r>
              <w:rPr>
                <w:spacing w:val="-10"/>
              </w:rPr>
              <w:t>分立资产</w:t>
            </w:r>
            <w:r>
              <w:rPr/>
              <w:t xml:space="preserve">  </w:t>
            </w:r>
            <w:r>
              <w:rPr>
                <w:spacing w:val="-7"/>
              </w:rPr>
              <w:t>评估</w:t>
            </w:r>
          </w:p>
        </w:tc>
        <w:tc>
          <w:tcPr>
            <w:tcW w:w="1109" w:type="dxa"/>
            <w:vAlign w:val="top"/>
          </w:tcPr>
          <w:p>
            <w:pPr>
              <w:pStyle w:val="TableText"/>
              <w:ind w:left="20" w:right="16" w:firstLine="20"/>
              <w:spacing w:before="72" w:line="264" w:lineRule="auto"/>
              <w:rPr/>
            </w:pPr>
            <w:r>
              <w:rPr>
                <w:spacing w:val="20"/>
              </w:rPr>
              <w:t>(44034)证券</w:t>
            </w:r>
            <w:r>
              <w:rPr/>
              <w:t xml:space="preserve"> </w:t>
            </w:r>
            <w:r>
              <w:rPr>
                <w:spacing w:val="-2"/>
              </w:rPr>
              <w:t>公司变更业务范</w:t>
            </w:r>
            <w:r>
              <w:rPr>
                <w:spacing w:val="2"/>
              </w:rPr>
              <w:t xml:space="preserve"> </w:t>
            </w:r>
            <w:r>
              <w:rPr>
                <w:spacing w:val="1"/>
              </w:rPr>
              <w:t>围、增加注册资</w:t>
            </w:r>
            <w:r>
              <w:rPr>
                <w:spacing w:val="3"/>
              </w:rPr>
              <w:t xml:space="preserve"> </w:t>
            </w:r>
            <w:r>
              <w:rPr>
                <w:spacing w:val="-1"/>
              </w:rPr>
              <w:t>本且股权结构发</w:t>
            </w:r>
            <w:r>
              <w:rPr/>
              <w:t xml:space="preserve"> </w:t>
            </w:r>
            <w:r>
              <w:rPr>
                <w:spacing w:val="-2"/>
              </w:rPr>
              <w:t>生重大调整、减</w:t>
            </w:r>
            <w:r>
              <w:rPr>
                <w:spacing w:val="5"/>
              </w:rPr>
              <w:t xml:space="preserve"> </w:t>
            </w:r>
            <w:r>
              <w:rPr>
                <w:spacing w:val="-1"/>
              </w:rPr>
              <w:t>少注册资本、变</w:t>
            </w:r>
            <w:r>
              <w:rPr/>
              <w:t xml:space="preserve"> </w:t>
            </w:r>
            <w:r>
              <w:rPr>
                <w:spacing w:val="8"/>
              </w:rPr>
              <w:t>更持有5%以上</w:t>
            </w:r>
            <w:r>
              <w:rPr>
                <w:spacing w:val="2"/>
              </w:rPr>
              <w:t xml:space="preserve">  </w:t>
            </w:r>
            <w:r>
              <w:rPr>
                <w:spacing w:val="-1"/>
              </w:rPr>
              <w:t>股权的股东、实</w:t>
            </w:r>
            <w:r>
              <w:rPr/>
              <w:t xml:space="preserve"> </w:t>
            </w:r>
            <w:r>
              <w:rPr>
                <w:spacing w:val="1"/>
              </w:rPr>
              <w:t>际控制人、变更</w:t>
            </w:r>
            <w:r>
              <w:rPr/>
              <w:t xml:space="preserve"> </w:t>
            </w:r>
            <w:r>
              <w:rPr>
                <w:spacing w:val="-2"/>
              </w:rPr>
              <w:t>公司章程重要条</w:t>
            </w:r>
            <w:r>
              <w:rPr>
                <w:spacing w:val="2"/>
              </w:rPr>
              <w:t xml:space="preserve"> </w:t>
            </w:r>
            <w:r>
              <w:rPr>
                <w:spacing w:val="-1"/>
              </w:rPr>
              <w:t>款及合并、分立</w:t>
            </w:r>
            <w:r>
              <w:rPr/>
              <w:t xml:space="preserve"> </w:t>
            </w:r>
            <w:r>
              <w:rPr>
                <w:spacing w:val="-4"/>
              </w:rPr>
              <w:t>审批</w:t>
            </w:r>
          </w:p>
        </w:tc>
        <w:tc>
          <w:tcPr>
            <w:tcW w:w="839" w:type="dxa"/>
            <w:vAlign w:val="top"/>
          </w:tcPr>
          <w:p>
            <w:pPr>
              <w:pStyle w:val="TableText"/>
              <w:ind w:left="182"/>
              <w:spacing w:before="46" w:line="219" w:lineRule="auto"/>
              <w:rPr/>
            </w:pPr>
            <w:r>
              <w:rPr>
                <w:spacing w:val="-2"/>
              </w:rPr>
              <w:t>证监会</w:t>
            </w:r>
          </w:p>
        </w:tc>
        <w:tc>
          <w:tcPr>
            <w:tcW w:w="659" w:type="dxa"/>
            <w:vAlign w:val="top"/>
          </w:tcPr>
          <w:p>
            <w:pPr>
              <w:pStyle w:val="TableText"/>
              <w:ind w:left="12" w:right="14" w:firstLine="10"/>
              <w:spacing w:before="66" w:line="261" w:lineRule="auto"/>
              <w:jc w:val="both"/>
              <w:rPr/>
            </w:pPr>
            <w:r>
              <w:rPr>
                <w:spacing w:val="-3"/>
              </w:rPr>
              <w:t>具有证券</w:t>
            </w:r>
            <w:r>
              <w:rPr>
                <w:spacing w:val="2"/>
              </w:rPr>
              <w:t xml:space="preserve"> </w:t>
            </w:r>
            <w:r>
              <w:rPr>
                <w:spacing w:val="1"/>
              </w:rPr>
              <w:t>相关业务</w:t>
            </w:r>
            <w:r>
              <w:rPr/>
              <w:t xml:space="preserve"> </w:t>
            </w:r>
            <w:r>
              <w:rPr>
                <w:spacing w:val="5"/>
              </w:rPr>
              <w:t>资格的资</w:t>
            </w:r>
            <w:r>
              <w:rPr/>
              <w:t xml:space="preserve"> </w:t>
            </w:r>
            <w:r>
              <w:rPr>
                <w:spacing w:val="1"/>
              </w:rPr>
              <w:t>产评估机</w:t>
            </w:r>
            <w:r>
              <w:rPr/>
              <w:t xml:space="preserve"> </w:t>
            </w:r>
            <w:r>
              <w:rPr/>
              <w:t>构</w:t>
            </w:r>
          </w:p>
        </w:tc>
        <w:tc>
          <w:tcPr>
            <w:tcW w:w="6088" w:type="dxa"/>
            <w:vAlign w:val="top"/>
          </w:tcPr>
          <w:p>
            <w:pPr>
              <w:pStyle w:val="TableText"/>
              <w:ind w:left="108"/>
              <w:spacing w:before="76" w:line="219" w:lineRule="auto"/>
              <w:rPr/>
            </w:pPr>
            <w:r>
              <w:rPr/>
              <w:t>《证券公司监督管理条例》(国务院令第522号)第九</w:t>
            </w:r>
            <w:r>
              <w:rPr>
                <w:spacing w:val="-1"/>
              </w:rPr>
              <w:t>条：证券公司股东的出资，应当经具</w:t>
            </w:r>
          </w:p>
          <w:p>
            <w:pPr>
              <w:pStyle w:val="TableText"/>
              <w:ind w:left="34" w:right="23"/>
              <w:spacing w:before="32" w:line="253" w:lineRule="auto"/>
              <w:rPr/>
            </w:pPr>
            <w:r>
              <w:rPr/>
              <w:t>有证券、期货相关业务资格的会计师事务所验资并出具证明；出资中的非</w:t>
            </w:r>
            <w:r>
              <w:rPr>
                <w:spacing w:val="-1"/>
              </w:rPr>
              <w:t>货币财产，应当经</w:t>
            </w:r>
            <w:r>
              <w:rPr/>
              <w:t xml:space="preserve"> </w:t>
            </w:r>
            <w:r>
              <w:rPr>
                <w:spacing w:val="1"/>
              </w:rPr>
              <w:t>具有证券相关业务资格的资产评估机构评估</w:t>
            </w:r>
            <w:r>
              <w:rPr/>
              <w:t>。第十五条：证券公司合并、分立的，涉及客户 </w:t>
            </w:r>
            <w:r>
              <w:rPr/>
              <w:t>权益的重大资产转让应当经具有证券相关业务资格的资</w:t>
            </w:r>
            <w:r>
              <w:rPr>
                <w:spacing w:val="-1"/>
              </w:rPr>
              <w:t>产评估机构评估</w:t>
            </w:r>
          </w:p>
        </w:tc>
      </w:tr>
      <w:tr>
        <w:trPr>
          <w:trHeight w:val="1118" w:hRule="atLeast"/>
        </w:trPr>
        <w:tc>
          <w:tcPr>
            <w:tcW w:w="295" w:type="dxa"/>
            <w:vAlign w:val="top"/>
          </w:tcPr>
          <w:p>
            <w:pPr>
              <w:pStyle w:val="TableText"/>
              <w:ind w:left="65"/>
              <w:spacing w:before="121" w:line="183" w:lineRule="auto"/>
              <w:rPr/>
            </w:pPr>
            <w:r>
              <w:rPr>
                <w:spacing w:val="-2"/>
              </w:rPr>
              <w:t>92</w:t>
            </w:r>
          </w:p>
        </w:tc>
        <w:tc>
          <w:tcPr>
            <w:tcW w:w="659" w:type="dxa"/>
            <w:vAlign w:val="top"/>
          </w:tcPr>
          <w:p>
            <w:pPr>
              <w:pStyle w:val="TableText"/>
              <w:ind w:left="10" w:right="34" w:firstLine="10"/>
              <w:spacing w:before="63" w:line="257" w:lineRule="auto"/>
              <w:jc w:val="both"/>
              <w:rPr/>
            </w:pPr>
            <w:r>
              <w:rPr>
                <w:spacing w:val="-2"/>
              </w:rPr>
              <w:t>境外证券</w:t>
            </w:r>
            <w:r>
              <w:rPr/>
              <w:t xml:space="preserve"> </w:t>
            </w:r>
            <w:r>
              <w:rPr/>
              <w:t>经营机构</w:t>
            </w:r>
            <w:r>
              <w:rPr>
                <w:spacing w:val="1"/>
              </w:rPr>
              <w:t xml:space="preserve"> </w:t>
            </w:r>
            <w:r>
              <w:rPr>
                <w:spacing w:val="1"/>
              </w:rPr>
              <w:t>在境内经</w:t>
            </w:r>
            <w:r>
              <w:rPr/>
              <w:t xml:space="preserve"> </w:t>
            </w:r>
            <w:r>
              <w:rPr>
                <w:spacing w:val="-1"/>
              </w:rPr>
              <w:t>营证券业</w:t>
            </w:r>
            <w:r>
              <w:rPr>
                <w:spacing w:val="2"/>
              </w:rPr>
              <w:t xml:space="preserve"> </w:t>
            </w:r>
            <w:r>
              <w:rPr>
                <w:spacing w:val="-2"/>
              </w:rPr>
              <w:t>务审计</w:t>
            </w:r>
          </w:p>
        </w:tc>
        <w:tc>
          <w:tcPr>
            <w:tcW w:w="1109" w:type="dxa"/>
            <w:vAlign w:val="top"/>
          </w:tcPr>
          <w:p>
            <w:pPr>
              <w:pStyle w:val="TableText"/>
              <w:ind w:left="20" w:right="33" w:firstLine="20"/>
              <w:spacing w:before="62" w:line="252" w:lineRule="auto"/>
              <w:jc w:val="both"/>
              <w:rPr/>
            </w:pPr>
            <w:r>
              <w:rPr>
                <w:spacing w:val="20"/>
              </w:rPr>
              <w:t>(44036)境外</w:t>
            </w:r>
            <w:r>
              <w:rPr>
                <w:spacing w:val="3"/>
              </w:rPr>
              <w:t xml:space="preserve"> </w:t>
            </w:r>
            <w:r>
              <w:rPr>
                <w:spacing w:val="-1"/>
              </w:rPr>
              <w:t>证券经营机构在</w:t>
            </w:r>
            <w:r>
              <w:rPr/>
              <w:t xml:space="preserve"> </w:t>
            </w:r>
            <w:r>
              <w:rPr>
                <w:spacing w:val="-1"/>
              </w:rPr>
              <w:t>境内经营证券业</w:t>
            </w:r>
            <w:r>
              <w:rPr/>
              <w:t xml:space="preserve"> </w:t>
            </w:r>
            <w:r>
              <w:rPr>
                <w:spacing w:val="-2"/>
              </w:rPr>
              <w:t>务审批</w:t>
            </w:r>
          </w:p>
        </w:tc>
        <w:tc>
          <w:tcPr>
            <w:tcW w:w="839" w:type="dxa"/>
            <w:vAlign w:val="top"/>
          </w:tcPr>
          <w:p>
            <w:pPr>
              <w:pStyle w:val="TableText"/>
              <w:ind w:left="182"/>
              <w:spacing w:before="42" w:line="219" w:lineRule="auto"/>
              <w:rPr/>
            </w:pPr>
            <w:r>
              <w:rPr>
                <w:spacing w:val="-2"/>
              </w:rPr>
              <w:t>证监会</w:t>
            </w:r>
          </w:p>
        </w:tc>
        <w:tc>
          <w:tcPr>
            <w:tcW w:w="659" w:type="dxa"/>
            <w:vAlign w:val="top"/>
          </w:tcPr>
          <w:p>
            <w:pPr>
              <w:pStyle w:val="TableText"/>
              <w:ind w:left="12" w:right="31" w:firstLine="10"/>
              <w:spacing w:before="62" w:line="239" w:lineRule="auto"/>
              <w:rPr/>
            </w:pPr>
            <w:r>
              <w:rPr>
                <w:spacing w:val="-2"/>
              </w:rPr>
              <w:t>会计师事</w:t>
            </w:r>
            <w:r>
              <w:rPr>
                <w:spacing w:val="1"/>
              </w:rPr>
              <w:t xml:space="preserve"> </w:t>
            </w:r>
            <w:r>
              <w:rPr>
                <w:spacing w:val="-2"/>
              </w:rPr>
              <w:t>务所</w:t>
            </w:r>
          </w:p>
        </w:tc>
        <w:tc>
          <w:tcPr>
            <w:tcW w:w="6088" w:type="dxa"/>
            <w:vAlign w:val="top"/>
          </w:tcPr>
          <w:p>
            <w:pPr>
              <w:pStyle w:val="TableText"/>
              <w:ind w:left="14"/>
              <w:spacing w:before="51" w:line="260" w:lineRule="auto"/>
              <w:jc w:val="both"/>
              <w:rPr/>
            </w:pPr>
            <w:r>
              <w:rPr>
                <w:spacing w:val="-2"/>
              </w:rPr>
              <w:t>1. 《证券公司监督管理条例》(国务院令第522号)第九十</w:t>
            </w:r>
            <w:r>
              <w:rPr>
                <w:spacing w:val="-3"/>
              </w:rPr>
              <w:t>五条：境外证券经营机构在境内经营</w:t>
            </w:r>
            <w:r>
              <w:rPr/>
              <w:t xml:space="preserve"> </w:t>
            </w:r>
            <w:r>
              <w:rPr>
                <w:spacing w:val="-2"/>
              </w:rPr>
              <w:t>证券业务或者设立代表机构，应当经国务院证券监督管理机构批准。具体办法由</w:t>
            </w:r>
            <w:r>
              <w:rPr>
                <w:spacing w:val="-3"/>
              </w:rPr>
              <w:t>国务院证券监</w:t>
            </w:r>
            <w:r>
              <w:rPr/>
              <w:t xml:space="preserve"> </w:t>
            </w:r>
            <w:r>
              <w:rPr>
                <w:spacing w:val="-7"/>
              </w:rPr>
              <w:t>督管理机构制定，报国务院批准。2. 《境内及境外证券经营机构从事外</w:t>
            </w:r>
            <w:r>
              <w:rPr>
                <w:spacing w:val="-8"/>
              </w:rPr>
              <w:t>资股业务资格管理暂行规</w:t>
            </w:r>
            <w:r>
              <w:rPr/>
              <w:t xml:space="preserve"> </w:t>
            </w:r>
            <w:r>
              <w:rPr/>
              <w:t>定》(证监〔1996〕5号)第十二条：境外证券经营机构申请取得</w:t>
            </w:r>
            <w:r>
              <w:rPr>
                <w:spacing w:val="-1"/>
              </w:rPr>
              <w:t>资格证书，应当向证监会报送</w:t>
            </w:r>
            <w:r>
              <w:rPr/>
              <w:t xml:space="preserve"> </w:t>
            </w:r>
            <w:r>
              <w:rPr>
                <w:spacing w:val="1"/>
              </w:rPr>
              <w:t>下列文件：(五)注册会计师提供的资本证明文件；(六)</w:t>
            </w:r>
            <w:r>
              <w:rPr/>
              <w:t>经注册会计审计的前二年的财务报告</w:t>
            </w:r>
          </w:p>
        </w:tc>
      </w:tr>
      <w:tr>
        <w:trPr>
          <w:trHeight w:val="934" w:hRule="atLeast"/>
        </w:trPr>
        <w:tc>
          <w:tcPr>
            <w:tcW w:w="295" w:type="dxa"/>
            <w:vAlign w:val="top"/>
          </w:tcPr>
          <w:p>
            <w:pPr>
              <w:pStyle w:val="TableText"/>
              <w:ind w:left="65"/>
              <w:spacing w:before="83" w:line="183" w:lineRule="auto"/>
              <w:rPr/>
            </w:pPr>
            <w:r>
              <w:rPr>
                <w:spacing w:val="-2"/>
              </w:rPr>
              <w:t>93</w:t>
            </w:r>
          </w:p>
        </w:tc>
        <w:tc>
          <w:tcPr>
            <w:tcW w:w="659" w:type="dxa"/>
            <w:vAlign w:val="top"/>
          </w:tcPr>
          <w:p>
            <w:pPr>
              <w:pStyle w:val="TableText"/>
              <w:ind w:left="10" w:right="11" w:firstLine="10"/>
              <w:spacing w:before="46" w:line="216" w:lineRule="auto"/>
              <w:jc w:val="both"/>
              <w:rPr/>
            </w:pPr>
            <w:r>
              <w:rPr>
                <w:spacing w:val="-2"/>
              </w:rPr>
              <w:t>投资咨询</w:t>
            </w:r>
            <w:r>
              <w:rPr/>
              <w:t xml:space="preserve"> </w:t>
            </w:r>
            <w:r>
              <w:rPr>
                <w:spacing w:val="6"/>
              </w:rPr>
              <w:t>财务顾问</w:t>
            </w:r>
            <w:r>
              <w:rPr>
                <w:spacing w:val="2"/>
              </w:rPr>
              <w:t xml:space="preserve"> </w:t>
            </w:r>
            <w:r>
              <w:rPr>
                <w:spacing w:val="1"/>
              </w:rPr>
              <w:t>机构从事</w:t>
            </w:r>
            <w:r>
              <w:rPr/>
              <w:t xml:space="preserve"> </w:t>
            </w:r>
            <w:r>
              <w:rPr>
                <w:spacing w:val="1"/>
              </w:rPr>
              <w:t>证券服务</w:t>
            </w:r>
            <w:r>
              <w:rPr/>
              <w:t xml:space="preserve"> </w:t>
            </w:r>
            <w:r>
              <w:rPr>
                <w:spacing w:val="-2"/>
              </w:rPr>
              <w:t>业验资</w:t>
            </w:r>
          </w:p>
        </w:tc>
        <w:tc>
          <w:tcPr>
            <w:tcW w:w="1109" w:type="dxa"/>
            <w:vAlign w:val="top"/>
          </w:tcPr>
          <w:p>
            <w:pPr>
              <w:pStyle w:val="TableText"/>
              <w:ind w:left="10" w:right="10" w:firstLine="120"/>
              <w:spacing w:before="46" w:line="216" w:lineRule="auto"/>
              <w:rPr/>
            </w:pPr>
            <w:r>
              <w:rPr/>
              <w:t>(44037)投资  </w:t>
            </w:r>
            <w:r>
              <w:rPr>
                <w:spacing w:val="3"/>
              </w:rPr>
              <w:t>咨询、财务顾问</w:t>
            </w:r>
            <w:r>
              <w:rPr>
                <w:spacing w:val="5"/>
              </w:rPr>
              <w:t xml:space="preserve"> </w:t>
            </w:r>
            <w:r>
              <w:rPr>
                <w:spacing w:val="-1"/>
              </w:rPr>
              <w:t>资信评级机构从</w:t>
            </w:r>
            <w:r>
              <w:rPr>
                <w:spacing w:val="3"/>
              </w:rPr>
              <w:t xml:space="preserve"> </w:t>
            </w:r>
            <w:r>
              <w:rPr/>
              <w:t>事证券服务业审</w:t>
            </w:r>
            <w:r>
              <w:rPr>
                <w:spacing w:val="3"/>
              </w:rPr>
              <w:t xml:space="preserve"> </w:t>
            </w:r>
            <w:r>
              <w:rPr/>
              <w:t>批</w:t>
            </w:r>
          </w:p>
        </w:tc>
        <w:tc>
          <w:tcPr>
            <w:tcW w:w="839" w:type="dxa"/>
            <w:vAlign w:val="top"/>
          </w:tcPr>
          <w:p>
            <w:pPr>
              <w:pStyle w:val="TableText"/>
              <w:ind w:left="182"/>
              <w:spacing w:before="34" w:line="219" w:lineRule="auto"/>
              <w:rPr/>
            </w:pPr>
            <w:r>
              <w:rPr>
                <w:spacing w:val="-2"/>
              </w:rPr>
              <w:t>证监会</w:t>
            </w:r>
          </w:p>
        </w:tc>
        <w:tc>
          <w:tcPr>
            <w:tcW w:w="659" w:type="dxa"/>
            <w:vAlign w:val="top"/>
          </w:tcPr>
          <w:p>
            <w:pPr>
              <w:pStyle w:val="TableText"/>
              <w:ind w:left="12"/>
              <w:spacing w:before="46" w:line="216" w:lineRule="auto"/>
              <w:jc w:val="both"/>
              <w:rPr/>
            </w:pPr>
            <w:r>
              <w:rPr>
                <w:spacing w:val="-16"/>
                <w:w w:val="95"/>
              </w:rPr>
              <w:t>具有证券，</w:t>
            </w:r>
            <w:r>
              <w:rPr>
                <w:spacing w:val="2"/>
              </w:rPr>
              <w:t xml:space="preserve"> </w:t>
            </w:r>
            <w:r>
              <w:rPr>
                <w:spacing w:val="-15"/>
              </w:rPr>
              <w:t>期货相关</w:t>
            </w:r>
            <w:r>
              <w:rPr/>
              <w:t xml:space="preserve">  </w:t>
            </w:r>
            <w:r>
              <w:rPr>
                <w:spacing w:val="-15"/>
              </w:rPr>
              <w:t>业务资格</w:t>
            </w:r>
            <w:r>
              <w:rPr>
                <w:spacing w:val="1"/>
              </w:rPr>
              <w:t xml:space="preserve">  </w:t>
            </w:r>
            <w:r>
              <w:rPr>
                <w:spacing w:val="-12"/>
              </w:rPr>
              <w:t>的会计师</w:t>
            </w:r>
            <w:r>
              <w:rPr>
                <w:spacing w:val="1"/>
              </w:rPr>
              <w:t xml:space="preserve">  </w:t>
            </w:r>
            <w:r>
              <w:rPr>
                <w:spacing w:val="-12"/>
              </w:rPr>
              <w:t>事务所</w:t>
            </w:r>
          </w:p>
        </w:tc>
        <w:tc>
          <w:tcPr>
            <w:tcW w:w="6088" w:type="dxa"/>
            <w:vAlign w:val="top"/>
          </w:tcPr>
          <w:p>
            <w:pPr>
              <w:pStyle w:val="TableText"/>
              <w:ind w:left="63" w:right="171" w:firstLine="5"/>
              <w:spacing w:before="34" w:line="250" w:lineRule="auto"/>
              <w:rPr/>
            </w:pPr>
            <w:r>
              <w:rPr/>
              <w:t>《证券、期货投资咨询管理暂行办法》(证委发〔1997〕96</w:t>
            </w:r>
            <w:r>
              <w:rPr>
                <w:spacing w:val="-1"/>
              </w:rPr>
              <w:t>号)第九条：申请证券、期货投</w:t>
            </w:r>
            <w:r>
              <w:rPr/>
              <w:t xml:space="preserve"> </w:t>
            </w:r>
            <w:r>
              <w:rPr>
                <w:spacing w:val="-4"/>
              </w:rPr>
              <w:t>资咨询从业资格的机构，应当提交下列文件：    (七)由注册会计师提供的验资报告。</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5920"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70" name="TextBox 470"/>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2" style="position:absolute;margin-left:37.0722pt;margin-top:345.103pt;mso-position-vertical-relative:page;mso-position-horizontal-relative:page;width:13.55pt;height:12.35pt;z-index:25198592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323</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2" w:line="245"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1" w:line="254"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138" w:hRule="atLeast"/>
        </w:trPr>
        <w:tc>
          <w:tcPr>
            <w:tcW w:w="295" w:type="dxa"/>
            <w:vAlign w:val="top"/>
          </w:tcPr>
          <w:p>
            <w:pPr>
              <w:pStyle w:val="TableText"/>
              <w:ind w:left="65"/>
              <w:spacing w:before="95" w:line="183" w:lineRule="auto"/>
              <w:rPr/>
            </w:pPr>
            <w:r>
              <w:rPr>
                <w:spacing w:val="-2"/>
              </w:rPr>
              <w:t>94</w:t>
            </w:r>
          </w:p>
        </w:tc>
        <w:tc>
          <w:tcPr>
            <w:tcW w:w="659" w:type="dxa"/>
            <w:vAlign w:val="top"/>
          </w:tcPr>
          <w:p>
            <w:pPr>
              <w:pStyle w:val="TableText"/>
              <w:ind w:left="20" w:right="19"/>
              <w:spacing w:before="67" w:line="255" w:lineRule="auto"/>
              <w:jc w:val="both"/>
              <w:rPr/>
            </w:pPr>
            <w:r>
              <w:rPr>
                <w:spacing w:val="2"/>
              </w:rPr>
              <w:t>资信评级</w:t>
            </w:r>
            <w:r>
              <w:rPr/>
              <w:t xml:space="preserve"> </w:t>
            </w:r>
            <w:r>
              <w:rPr>
                <w:spacing w:val="-2"/>
              </w:rPr>
              <w:t>机构从事</w:t>
            </w:r>
            <w:r>
              <w:rPr>
                <w:spacing w:val="1"/>
              </w:rPr>
              <w:t xml:space="preserve"> </w:t>
            </w:r>
            <w:r>
              <w:rPr>
                <w:spacing w:val="-2"/>
              </w:rPr>
              <w:t>证券服务</w:t>
            </w:r>
            <w:r>
              <w:rPr>
                <w:spacing w:val="1"/>
              </w:rPr>
              <w:t xml:space="preserve"> </w:t>
            </w:r>
            <w:r>
              <w:rPr>
                <w:spacing w:val="-2"/>
              </w:rPr>
              <w:t>业审计</w:t>
            </w:r>
          </w:p>
        </w:tc>
        <w:tc>
          <w:tcPr>
            <w:tcW w:w="1109" w:type="dxa"/>
            <w:vAlign w:val="top"/>
          </w:tcPr>
          <w:p>
            <w:pPr>
              <w:pStyle w:val="TableText"/>
              <w:ind w:left="10" w:right="10" w:firstLine="30"/>
              <w:spacing w:before="67" w:line="261" w:lineRule="auto"/>
              <w:jc w:val="both"/>
              <w:rPr/>
            </w:pPr>
            <w:r>
              <w:rPr>
                <w:spacing w:val="20"/>
              </w:rPr>
              <w:t>(44037)投资</w:t>
            </w:r>
            <w:r>
              <w:rPr>
                <w:spacing w:val="4"/>
              </w:rPr>
              <w:t xml:space="preserve"> </w:t>
            </w:r>
            <w:r>
              <w:rPr>
                <w:spacing w:val="3"/>
              </w:rPr>
              <w:t>咨询、财务顾问</w:t>
            </w:r>
            <w:r>
              <w:rPr>
                <w:spacing w:val="5"/>
              </w:rPr>
              <w:t xml:space="preserve"> </w:t>
            </w:r>
            <w:r>
              <w:rPr>
                <w:spacing w:val="-1"/>
              </w:rPr>
              <w:t>资信评级机构从</w:t>
            </w:r>
            <w:r>
              <w:rPr>
                <w:spacing w:val="3"/>
              </w:rPr>
              <w:t xml:space="preserve"> </w:t>
            </w:r>
            <w:r>
              <w:rPr/>
              <w:t>事证券服务业审</w:t>
            </w:r>
            <w:r>
              <w:rPr>
                <w:spacing w:val="3"/>
              </w:rPr>
              <w:t xml:space="preserve"> </w:t>
            </w:r>
            <w:r>
              <w:rPr/>
              <w:t>批</w:t>
            </w:r>
          </w:p>
        </w:tc>
        <w:tc>
          <w:tcPr>
            <w:tcW w:w="839" w:type="dxa"/>
            <w:vAlign w:val="top"/>
          </w:tcPr>
          <w:p>
            <w:pPr>
              <w:pStyle w:val="TableText"/>
              <w:ind w:left="182"/>
              <w:spacing w:before="66" w:line="219" w:lineRule="auto"/>
              <w:rPr/>
            </w:pPr>
            <w:r>
              <w:rPr>
                <w:spacing w:val="-2"/>
              </w:rPr>
              <w:t>证监会</w:t>
            </w:r>
          </w:p>
        </w:tc>
        <w:tc>
          <w:tcPr>
            <w:tcW w:w="659" w:type="dxa"/>
            <w:vAlign w:val="top"/>
          </w:tcPr>
          <w:p>
            <w:pPr>
              <w:pStyle w:val="TableText"/>
              <w:ind w:left="12" w:right="18" w:firstLine="10"/>
              <w:spacing w:before="68" w:line="260" w:lineRule="auto"/>
              <w:jc w:val="both"/>
              <w:rPr/>
            </w:pPr>
            <w:r>
              <w:rPr>
                <w:spacing w:val="-3"/>
              </w:rPr>
              <w:t>具有证券</w:t>
            </w:r>
            <w:r>
              <w:rPr>
                <w:spacing w:val="2"/>
              </w:rPr>
              <w:t xml:space="preserve"> </w:t>
            </w:r>
            <w:r>
              <w:rPr/>
              <w:t>期货相关</w:t>
            </w:r>
            <w:r>
              <w:rPr>
                <w:spacing w:val="1"/>
              </w:rPr>
              <w:t xml:space="preserve"> </w:t>
            </w:r>
            <w:r>
              <w:rPr>
                <w:spacing w:val="1"/>
              </w:rPr>
              <w:t>业务资格</w:t>
            </w:r>
            <w:r>
              <w:rPr/>
              <w:t xml:space="preserve"> </w:t>
            </w:r>
            <w:r>
              <w:rPr>
                <w:spacing w:val="4"/>
              </w:rPr>
              <w:t>的会计师</w:t>
            </w:r>
            <w:r>
              <w:rPr/>
              <w:t xml:space="preserve"> </w:t>
            </w:r>
            <w:r>
              <w:rPr>
                <w:spacing w:val="-2"/>
              </w:rPr>
              <w:t>事务所</w:t>
            </w:r>
          </w:p>
        </w:tc>
        <w:tc>
          <w:tcPr>
            <w:tcW w:w="6088" w:type="dxa"/>
            <w:vAlign w:val="top"/>
          </w:tcPr>
          <w:p>
            <w:pPr>
              <w:pStyle w:val="TableText"/>
              <w:ind w:left="33" w:hanging="19"/>
              <w:spacing w:before="76" w:line="250" w:lineRule="auto"/>
              <w:rPr/>
            </w:pPr>
            <w:r>
              <w:rPr>
                <w:spacing w:val="-4"/>
              </w:rPr>
              <w:t>1. 《中华人民共和国证券法》第一百六十九条：投资咨询机构、财务顾问机构、资信评级机构</w:t>
            </w:r>
            <w:r>
              <w:rPr>
                <w:spacing w:val="9"/>
              </w:rPr>
              <w:t xml:space="preserve"> </w:t>
            </w:r>
            <w:r>
              <w:rPr/>
              <w:t>资产评估机构、会计师事务所从事证券服务业务</w:t>
            </w:r>
            <w:r>
              <w:rPr>
                <w:spacing w:val="-1"/>
              </w:rPr>
              <w:t>的审批管理办法，由国务院证券监督管理机</w:t>
            </w:r>
          </w:p>
          <w:p>
            <w:pPr>
              <w:pStyle w:val="TableText"/>
              <w:ind w:left="34" w:right="53" w:firstLine="79"/>
              <w:spacing w:before="42" w:line="247" w:lineRule="auto"/>
              <w:rPr/>
            </w:pPr>
            <w:r>
              <w:rPr>
                <w:spacing w:val="-2"/>
              </w:rPr>
              <w:t>构和有关主管部门制定。2. 《证券市场资信评级业务管理暂行办法》(证监</w:t>
            </w:r>
            <w:r>
              <w:rPr>
                <w:spacing w:val="-3"/>
              </w:rPr>
              <w:t>会令第50号)第</w:t>
            </w:r>
            <w:r>
              <w:rPr/>
              <w:t xml:space="preserve">  </w:t>
            </w:r>
            <w:r>
              <w:rPr>
                <w:spacing w:val="-4"/>
              </w:rPr>
              <w:t>九条：申请证券评级业务许可的资信评级机构，应当向中国证监会提交下列材料：</w:t>
            </w:r>
            <w:r>
              <w:rPr>
                <w:spacing w:val="24"/>
                <w:w w:val="101"/>
              </w:rPr>
              <w:t xml:space="preserve">   </w:t>
            </w:r>
            <w:r>
              <w:rPr>
                <w:spacing w:val="-4"/>
              </w:rPr>
              <w:t>(五)经</w:t>
            </w:r>
            <w:r>
              <w:rPr/>
              <w:t xml:space="preserve"> </w:t>
            </w:r>
            <w:r>
              <w:rPr/>
              <w:t>具有证券、期货相关业务资格的会计师事务所审计的财务报告</w:t>
            </w:r>
          </w:p>
        </w:tc>
      </w:tr>
      <w:tr>
        <w:trPr>
          <w:trHeight w:val="4637" w:hRule="atLeast"/>
        </w:trPr>
        <w:tc>
          <w:tcPr>
            <w:tcW w:w="295" w:type="dxa"/>
            <w:vAlign w:val="top"/>
          </w:tcPr>
          <w:p>
            <w:pPr>
              <w:pStyle w:val="TableText"/>
              <w:ind w:left="65"/>
              <w:spacing w:before="107" w:line="183" w:lineRule="auto"/>
              <w:rPr/>
            </w:pPr>
            <w:r>
              <w:rPr>
                <w:spacing w:val="-2"/>
              </w:rPr>
              <w:t>95</w:t>
            </w:r>
          </w:p>
        </w:tc>
        <w:tc>
          <w:tcPr>
            <w:tcW w:w="659" w:type="dxa"/>
            <w:vAlign w:val="top"/>
          </w:tcPr>
          <w:p>
            <w:pPr>
              <w:pStyle w:val="TableText"/>
              <w:ind w:left="20" w:right="8"/>
              <w:spacing w:before="59" w:line="258" w:lineRule="auto"/>
              <w:jc w:val="both"/>
              <w:rPr/>
            </w:pPr>
            <w:r>
              <w:rPr>
                <w:spacing w:val="-3"/>
              </w:rPr>
              <w:t>公募基金</w:t>
            </w:r>
            <w:r>
              <w:rPr/>
              <w:t xml:space="preserve"> </w:t>
            </w:r>
            <w:r>
              <w:rPr>
                <w:spacing w:val="5"/>
              </w:rPr>
              <w:t>管理公司</w:t>
            </w:r>
            <w:r>
              <w:rPr/>
              <w:t xml:space="preserve"> </w:t>
            </w:r>
            <w:r>
              <w:rPr>
                <w:spacing w:val="-2"/>
              </w:rPr>
              <w:t>变更重大</w:t>
            </w:r>
            <w:r>
              <w:rPr>
                <w:spacing w:val="1"/>
              </w:rPr>
              <w:t xml:space="preserve"> </w:t>
            </w:r>
            <w:r>
              <w:rPr>
                <w:spacing w:val="-2"/>
              </w:rPr>
              <w:t>事项审计</w:t>
            </w:r>
          </w:p>
        </w:tc>
        <w:tc>
          <w:tcPr>
            <w:tcW w:w="1109" w:type="dxa"/>
            <w:vAlign w:val="top"/>
          </w:tcPr>
          <w:p>
            <w:pPr>
              <w:pStyle w:val="TableText"/>
              <w:ind w:left="20" w:right="33" w:firstLine="20"/>
              <w:spacing w:before="49" w:line="262" w:lineRule="auto"/>
              <w:jc w:val="both"/>
              <w:rPr/>
            </w:pPr>
            <w:r>
              <w:rPr>
                <w:spacing w:val="20"/>
              </w:rPr>
              <w:t>(44041)公幕</w:t>
            </w:r>
            <w:r>
              <w:rPr/>
              <w:t xml:space="preserve"> </w:t>
            </w:r>
            <w:r>
              <w:rPr>
                <w:spacing w:val="-1"/>
              </w:rPr>
              <w:t>基金管理公司变</w:t>
            </w:r>
            <w:r>
              <w:rPr/>
              <w:t xml:space="preserve"> </w:t>
            </w:r>
            <w:r>
              <w:rPr>
                <w:spacing w:val="-1"/>
              </w:rPr>
              <w:t>更重大事项审批</w:t>
            </w:r>
          </w:p>
        </w:tc>
        <w:tc>
          <w:tcPr>
            <w:tcW w:w="839" w:type="dxa"/>
            <w:vAlign w:val="top"/>
          </w:tcPr>
          <w:p>
            <w:pPr>
              <w:pStyle w:val="TableText"/>
              <w:ind w:left="182"/>
              <w:spacing w:before="48" w:line="219" w:lineRule="auto"/>
              <w:rPr/>
            </w:pPr>
            <w:r>
              <w:rPr>
                <w:spacing w:val="-2"/>
              </w:rPr>
              <w:t>证监会</w:t>
            </w:r>
          </w:p>
        </w:tc>
        <w:tc>
          <w:tcPr>
            <w:tcW w:w="659" w:type="dxa"/>
            <w:vAlign w:val="top"/>
          </w:tcPr>
          <w:p>
            <w:pPr>
              <w:pStyle w:val="TableText"/>
              <w:ind w:left="12" w:right="9"/>
              <w:spacing w:before="60" w:line="260" w:lineRule="auto"/>
              <w:jc w:val="both"/>
              <w:rPr/>
            </w:pPr>
            <w:r>
              <w:rPr>
                <w:spacing w:val="-8"/>
              </w:rPr>
              <w:t>具</w:t>
            </w:r>
            <w:r>
              <w:rPr>
                <w:spacing w:val="25"/>
                <w:w w:val="101"/>
              </w:rPr>
              <w:t xml:space="preserve"> </w:t>
            </w:r>
            <w:r>
              <w:rPr>
                <w:spacing w:val="-8"/>
              </w:rPr>
              <w:t>有</w:t>
            </w:r>
            <w:r>
              <w:rPr>
                <w:spacing w:val="23"/>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88" w:type="dxa"/>
            <w:vAlign w:val="top"/>
          </w:tcPr>
          <w:p>
            <w:pPr>
              <w:pStyle w:val="TableText"/>
              <w:ind w:left="14" w:firstLine="29"/>
              <w:spacing w:before="57" w:line="263" w:lineRule="auto"/>
              <w:rPr/>
            </w:pPr>
            <w:r>
              <w:rPr>
                <w:spacing w:val="-3"/>
              </w:rPr>
              <w:t>1.《中华人民共和国公司法》第一百六十四条：公司应当在每一会计年度终了时编制财务会计</w:t>
            </w:r>
            <w:r>
              <w:rPr>
                <w:spacing w:val="8"/>
              </w:rPr>
              <w:t xml:space="preserve"> </w:t>
            </w:r>
            <w:r>
              <w:rPr>
                <w:spacing w:val="-4"/>
              </w:rPr>
              <w:t>报告，并依法经会计师事务所审计。2. 《中华人民共和国证券投资基金法》第十三条：设立管</w:t>
            </w:r>
            <w:r>
              <w:rPr>
                <w:spacing w:val="2"/>
              </w:rPr>
              <w:t xml:space="preserve"> </w:t>
            </w:r>
            <w:r>
              <w:rPr/>
              <w:t>理公开募集基金的基金管理公司，应当具备下列条件，并经国务</w:t>
            </w:r>
            <w:r>
              <w:rPr>
                <w:spacing w:val="-1"/>
              </w:rPr>
              <w:t>院证券监督管理机构批准(三</w:t>
            </w:r>
            <w:r>
              <w:rPr/>
              <w:t xml:space="preserve"> </w:t>
            </w:r>
            <w:r>
              <w:rPr/>
              <w:t>主要股东应当具有经营金融业务或者管理金融机构的良好业绩、良好的财务状况和社会信誉 </w:t>
            </w:r>
            <w:r>
              <w:rPr/>
              <w:t>资产规模达到国务院规定的标准。第一百五十二条：在中华人民共和国境内募集投资境外证</w:t>
            </w:r>
            <w:r>
              <w:rPr>
                <w:spacing w:val="1"/>
              </w:rPr>
              <w:t xml:space="preserve">  </w:t>
            </w:r>
            <w:r>
              <w:rPr/>
              <w:t>券的基金，以及合格境外投资者在境内进行证券投资，应当经国务院证券监督管理机构批准 </w:t>
            </w:r>
            <w:r>
              <w:rPr>
                <w:spacing w:val="-4"/>
              </w:rPr>
              <w:t>具体办法由国务院证券监督管理机构会同国务院有关部门规定，报国务院批准。3. 《国务院关</w:t>
            </w:r>
            <w:r>
              <w:rPr>
                <w:spacing w:val="2"/>
              </w:rPr>
              <w:t xml:space="preserve"> </w:t>
            </w:r>
            <w:r>
              <w:rPr>
                <w:spacing w:val="1"/>
              </w:rPr>
              <w:t>于管理公开募集基金的基金管理公司有关问题的批复》(国函〔2013〕132号</w:t>
            </w:r>
            <w:r>
              <w:rPr/>
              <w:t>)一、(一)主</w:t>
            </w:r>
          </w:p>
          <w:p>
            <w:pPr>
              <w:pStyle w:val="TableText"/>
              <w:ind w:left="73"/>
              <w:spacing w:before="51" w:line="219" w:lineRule="auto"/>
              <w:rPr/>
            </w:pPr>
            <w:r>
              <w:rPr/>
              <w:t>要股东为法人或者其他组织的，净资产不低于2亿元人民币；(二)主要股</w:t>
            </w:r>
            <w:r>
              <w:rPr>
                <w:spacing w:val="-1"/>
              </w:rPr>
              <w:t>东为自然人的，个</w:t>
            </w:r>
          </w:p>
          <w:p>
            <w:pPr>
              <w:pStyle w:val="TableText"/>
              <w:ind w:left="34" w:right="52" w:firstLine="79"/>
              <w:spacing w:before="31" w:line="258" w:lineRule="auto"/>
              <w:rPr/>
            </w:pPr>
            <w:r>
              <w:rPr/>
              <w:t>人金融资产不低于3000万元人民币；二、(一)非主要股东为法人或者</w:t>
            </w:r>
            <w:r>
              <w:rPr>
                <w:spacing w:val="-1"/>
              </w:rPr>
              <w:t>其他组织的，净资产</w:t>
            </w:r>
            <w:r>
              <w:rPr/>
              <w:t xml:space="preserve">  </w:t>
            </w:r>
            <w:r>
              <w:rPr>
                <w:spacing w:val="-3"/>
              </w:rPr>
              <w:t>不低于5000万元人民币，资产质量良好；    </w:t>
            </w:r>
            <w:r>
              <w:rPr>
                <w:spacing w:val="-4"/>
              </w:rPr>
              <w:t>(二)非主要股东为自然人的，个人金融资产不低</w:t>
            </w:r>
            <w:r>
              <w:rPr/>
              <w:t xml:space="preserve"> </w:t>
            </w:r>
            <w:r>
              <w:rPr>
                <w:spacing w:val="1"/>
              </w:rPr>
              <w:t>于1000万元人民币；三、(二)境外股东应当具备下列条件：3.净</w:t>
            </w:r>
            <w:r>
              <w:rPr/>
              <w:t>资产不低于2亿元人民币</w:t>
            </w:r>
          </w:p>
          <w:p>
            <w:pPr>
              <w:pStyle w:val="TableText"/>
              <w:ind w:left="34" w:right="4" w:firstLine="19"/>
              <w:spacing w:before="31" w:line="261" w:lineRule="auto"/>
              <w:rPr/>
            </w:pPr>
            <w:r>
              <w:rPr>
                <w:spacing w:val="-6"/>
              </w:rPr>
              <w:t>等值可自由兑换货币。4. 《合格境内机构投资者境外证券投资管理试行办</w:t>
            </w:r>
            <w:r>
              <w:rPr>
                <w:spacing w:val="-7"/>
              </w:rPr>
              <w:t>法》(证监会令第46号</w:t>
            </w:r>
            <w:r>
              <w:rPr/>
              <w:t xml:space="preserve"> </w:t>
            </w:r>
            <w:r>
              <w:rPr/>
              <w:t>第五条：申请境内机构投资者资格，应当具备下列条件；</w:t>
            </w:r>
            <w:r>
              <w:rPr>
                <w:spacing w:val="-1"/>
              </w:rPr>
              <w:t>(一)申请人的财务稳健，资信良好 </w:t>
            </w:r>
            <w:r>
              <w:rPr/>
              <w:t>资产管理规模、经营年限等符合中国证监会的规定。第六</w:t>
            </w:r>
            <w:r>
              <w:rPr>
                <w:spacing w:val="-1"/>
              </w:rPr>
              <w:t>条；第五条第(一)项所指的条件是 </w:t>
            </w:r>
            <w:r>
              <w:rPr>
                <w:spacing w:val="1"/>
              </w:rPr>
              <w:t>(一)基金管理公司：净资产不少于2亿元人民币；经营证券投资基金(以下简称基金)管</w:t>
            </w:r>
          </w:p>
          <w:p>
            <w:pPr>
              <w:pStyle w:val="TableText"/>
              <w:ind w:left="14" w:firstLine="59"/>
              <w:spacing w:before="30" w:line="261" w:lineRule="auto"/>
              <w:rPr/>
            </w:pPr>
            <w:r>
              <w:rPr>
                <w:spacing w:val="-1"/>
              </w:rPr>
              <w:t>理业务达2年以上：在最近一个季度末资产管理规模不少于200亿元人民币或等值外汇资产。</w:t>
            </w:r>
            <w:r>
              <w:rPr>
                <w:spacing w:val="8"/>
              </w:rPr>
              <w:t xml:space="preserve"> </w:t>
            </w:r>
            <w:r>
              <w:rPr>
                <w:spacing w:val="-4"/>
              </w:rPr>
              <w:t>第八条：申请境内机构投资者资格的，应当向中国证监会报送下列文件(一份正本、 一份副本)</w:t>
            </w:r>
            <w:r>
              <w:rPr>
                <w:spacing w:val="9"/>
              </w:rPr>
              <w:t xml:space="preserve"> </w:t>
            </w:r>
            <w:r>
              <w:rPr>
                <w:spacing w:val="-1"/>
              </w:rPr>
              <w:t>(二)符合本办法第五条规定的证明文件。5. </w:t>
            </w:r>
            <w:r>
              <w:rPr>
                <w:spacing w:val="-2"/>
              </w:rPr>
              <w:t>《关于实施&lt;合格境内机构投资者境外证券投资  </w:t>
            </w:r>
            <w:r>
              <w:rPr/>
              <w:t>管理试行办法&gt;有关问题的通知》(证监发〔2007〕81号)一、符合试行办法第八条规定的证  </w:t>
            </w:r>
            <w:r>
              <w:rPr>
                <w:spacing w:val="-2"/>
              </w:rPr>
              <w:t>明文件为：   (一)境内注册会计师出具的最近一</w:t>
            </w:r>
            <w:r>
              <w:rPr>
                <w:spacing w:val="-3"/>
              </w:rPr>
              <w:t>个季度末资产管理规模等证明文件。</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6944"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72" name="TextBox 472"/>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4" style="position:absolute;margin-left:37.0722pt;margin-top:48.6039pt;mso-position-vertical-relative:page;mso-position-horizontal-relative:page;width:13.55pt;height:12.35pt;z-index:25198694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324</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69" w:type="dxa"/>
            <w:vAlign w:val="top"/>
          </w:tcPr>
          <w:p>
            <w:pPr>
              <w:pStyle w:val="TableText"/>
              <w:ind w:left="20" w:right="32"/>
              <w:spacing w:before="51" w:line="254" w:lineRule="auto"/>
              <w:rPr/>
            </w:pPr>
            <w:r>
              <w:rPr>
                <w:spacing w:val="1"/>
              </w:rPr>
              <w:t>中介服务 </w:t>
            </w:r>
            <w:r>
              <w:rPr>
                <w:spacing w:val="-2"/>
              </w:rPr>
              <w:t>事项名称</w:t>
            </w:r>
          </w:p>
        </w:tc>
        <w:tc>
          <w:tcPr>
            <w:tcW w:w="1109" w:type="dxa"/>
            <w:vAlign w:val="top"/>
          </w:tcPr>
          <w:p>
            <w:pPr>
              <w:pStyle w:val="TableText"/>
              <w:ind w:left="239" w:right="35" w:hanging="219"/>
              <w:spacing w:before="51" w:line="254"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50" w:line="251"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076" w:hRule="atLeast"/>
        </w:trPr>
        <w:tc>
          <w:tcPr>
            <w:tcW w:w="295" w:type="dxa"/>
            <w:vAlign w:val="top"/>
          </w:tcPr>
          <w:p>
            <w:pPr>
              <w:spacing w:line="295" w:lineRule="auto"/>
              <w:rPr>
                <w:rFonts w:ascii="Arial"/>
                <w:sz w:val="21"/>
              </w:rPr>
            </w:pPr>
            <w:r/>
          </w:p>
          <w:p>
            <w:pPr>
              <w:pStyle w:val="TableText"/>
              <w:ind w:left="65"/>
              <w:spacing w:before="49" w:line="183" w:lineRule="auto"/>
              <w:rPr/>
            </w:pPr>
            <w:r>
              <w:rPr>
                <w:spacing w:val="-2"/>
              </w:rPr>
              <w:t>96</w:t>
            </w:r>
          </w:p>
        </w:tc>
        <w:tc>
          <w:tcPr>
            <w:tcW w:w="669" w:type="dxa"/>
            <w:vAlign w:val="top"/>
          </w:tcPr>
          <w:p>
            <w:pPr>
              <w:spacing w:line="246" w:lineRule="auto"/>
              <w:rPr>
                <w:rFonts w:ascii="Arial"/>
                <w:sz w:val="21"/>
              </w:rPr>
            </w:pPr>
            <w:r/>
          </w:p>
          <w:p>
            <w:pPr>
              <w:pStyle w:val="TableText"/>
              <w:ind w:left="20" w:right="44"/>
              <w:spacing w:before="49" w:line="246" w:lineRule="auto"/>
              <w:jc w:val="both"/>
              <w:rPr/>
            </w:pPr>
            <w:r>
              <w:rPr>
                <w:spacing w:val="-2"/>
              </w:rPr>
              <w:t>基金服务</w:t>
            </w:r>
            <w:r>
              <w:rPr>
                <w:spacing w:val="1"/>
              </w:rPr>
              <w:t xml:space="preserve"> </w:t>
            </w:r>
            <w:r>
              <w:rPr>
                <w:spacing w:val="-2"/>
              </w:rPr>
              <w:t>机构注册</w:t>
            </w:r>
            <w:r>
              <w:rPr>
                <w:spacing w:val="1"/>
              </w:rPr>
              <w:t xml:space="preserve"> </w:t>
            </w:r>
            <w:r>
              <w:rPr>
                <w:spacing w:val="-4"/>
              </w:rPr>
              <w:t>审计</w:t>
            </w:r>
          </w:p>
        </w:tc>
        <w:tc>
          <w:tcPr>
            <w:tcW w:w="1109" w:type="dxa"/>
            <w:vAlign w:val="top"/>
          </w:tcPr>
          <w:p>
            <w:pPr>
              <w:pStyle w:val="TableText"/>
              <w:ind w:left="90" w:right="51" w:hanging="50"/>
              <w:spacing w:before="289" w:line="249" w:lineRule="auto"/>
              <w:rPr/>
            </w:pPr>
            <w:r>
              <w:rPr>
                <w:spacing w:val="20"/>
              </w:rPr>
              <w:t>(44042)基金</w:t>
            </w:r>
            <w:r>
              <w:rPr/>
              <w:t xml:space="preserve"> </w:t>
            </w:r>
            <w:r>
              <w:rPr>
                <w:spacing w:val="-1"/>
              </w:rPr>
              <w:t>服务机构注册</w:t>
            </w:r>
          </w:p>
        </w:tc>
        <w:tc>
          <w:tcPr>
            <w:tcW w:w="829" w:type="dxa"/>
            <w:vAlign w:val="top"/>
          </w:tcPr>
          <w:p>
            <w:pPr>
              <w:pStyle w:val="TableText"/>
              <w:ind w:left="182"/>
              <w:spacing w:before="276" w:line="219" w:lineRule="auto"/>
              <w:rPr/>
            </w:pPr>
            <w:r>
              <w:rPr>
                <w:spacing w:val="-2"/>
              </w:rPr>
              <w:t>证监会</w:t>
            </w:r>
          </w:p>
        </w:tc>
        <w:tc>
          <w:tcPr>
            <w:tcW w:w="669" w:type="dxa"/>
            <w:vAlign w:val="top"/>
          </w:tcPr>
          <w:p>
            <w:pPr>
              <w:spacing w:line="248" w:lineRule="auto"/>
              <w:rPr>
                <w:rFonts w:ascii="Arial"/>
                <w:sz w:val="21"/>
              </w:rPr>
            </w:pPr>
            <w:r/>
          </w:p>
          <w:p>
            <w:pPr>
              <w:pStyle w:val="TableText"/>
              <w:ind w:left="12" w:right="29" w:firstLine="10"/>
              <w:spacing w:before="49" w:line="258" w:lineRule="auto"/>
              <w:jc w:val="both"/>
              <w:rPr/>
            </w:pPr>
            <w:r>
              <w:rPr>
                <w:spacing w:val="-8"/>
              </w:rPr>
              <w:t>具</w:t>
            </w:r>
            <w:r>
              <w:rPr>
                <w:spacing w:val="15"/>
              </w:rPr>
              <w:t xml:space="preserve"> </w:t>
            </w:r>
            <w:r>
              <w:rPr>
                <w:spacing w:val="-8"/>
              </w:rPr>
              <w:t>有</w:t>
            </w:r>
            <w:r>
              <w:rPr>
                <w:spacing w:val="14"/>
              </w:rPr>
              <w:t xml:space="preserve"> </w:t>
            </w:r>
            <w:r>
              <w:rPr>
                <w:spacing w:val="-8"/>
              </w:rPr>
              <w:t>证</w:t>
            </w:r>
            <w:r>
              <w:rPr/>
              <w:t xml:space="preserve"> </w:t>
            </w:r>
            <w:r>
              <w:rPr>
                <w:spacing w:val="1"/>
              </w:rPr>
              <w:t>券、期货</w:t>
            </w:r>
            <w:r>
              <w:rPr/>
              <w:t xml:space="preserve"> </w:t>
            </w:r>
            <w:r>
              <w:rPr>
                <w:spacing w:val="1"/>
              </w:rPr>
              <w:t>相关业务</w:t>
            </w:r>
            <w:r>
              <w:rPr/>
              <w:t xml:space="preserve"> </w:t>
            </w:r>
            <w:r>
              <w:rPr>
                <w:spacing w:val="-1"/>
              </w:rPr>
              <w:t>资格的会</w:t>
            </w:r>
            <w:r>
              <w:rPr/>
              <w:t xml:space="preserve"> </w:t>
            </w:r>
            <w:r>
              <w:rPr>
                <w:spacing w:val="1"/>
              </w:rPr>
              <w:t>计师事务</w:t>
            </w:r>
            <w:r>
              <w:rPr/>
              <w:t xml:space="preserve"> </w:t>
            </w:r>
            <w:r>
              <w:rPr/>
              <w:t>所</w:t>
            </w:r>
          </w:p>
        </w:tc>
        <w:tc>
          <w:tcPr>
            <w:tcW w:w="6098" w:type="dxa"/>
            <w:vAlign w:val="top"/>
          </w:tcPr>
          <w:p>
            <w:pPr>
              <w:pStyle w:val="TableText"/>
              <w:ind w:left="24" w:right="37" w:firstLine="19"/>
              <w:spacing w:before="286" w:line="250" w:lineRule="auto"/>
              <w:rPr/>
            </w:pPr>
            <w:r>
              <w:rPr>
                <w:spacing w:val="-2"/>
              </w:rPr>
              <w:t>1. 《中华人民共和国公司法》第一百六十四条；公司应当在每一会计年度终了时编制财务会</w:t>
            </w:r>
            <w:r>
              <w:rPr>
                <w:spacing w:val="14"/>
              </w:rPr>
              <w:t xml:space="preserve"> </w:t>
            </w:r>
            <w:r>
              <w:rPr>
                <w:spacing w:val="-2"/>
              </w:rPr>
              <w:t>计报告，并依法经会计师事务所审计。2. 《中华人民共和国证券投资基金法》第九</w:t>
            </w:r>
            <w:r>
              <w:rPr>
                <w:spacing w:val="-3"/>
              </w:rPr>
              <w:t>十七条</w:t>
            </w:r>
          </w:p>
          <w:p>
            <w:pPr>
              <w:pStyle w:val="TableText"/>
              <w:ind w:left="14" w:right="4" w:firstLine="29"/>
              <w:spacing w:before="42" w:line="254" w:lineRule="auto"/>
              <w:rPr/>
            </w:pPr>
            <w:r>
              <w:rPr/>
              <w:t>从事公开募集基金的销售、销售支付、份额登记、估值、</w:t>
            </w:r>
            <w:r>
              <w:rPr>
                <w:spacing w:val="-1"/>
              </w:rPr>
              <w:t>投资顾问、评价、信息技术系统服 </w:t>
            </w:r>
            <w:r>
              <w:rPr>
                <w:spacing w:val="-3"/>
              </w:rPr>
              <w:t>务等基金服务业务的机构，应当按照国务院证券监督管理机构的规定进行注册或备案。3.</w:t>
            </w:r>
            <w:r>
              <w:rPr>
                <w:spacing w:val="-31"/>
              </w:rPr>
              <w:t xml:space="preserve"> </w:t>
            </w:r>
            <w:r>
              <w:rPr>
                <w:spacing w:val="-3"/>
              </w:rPr>
              <w:t>《证</w:t>
            </w:r>
            <w:r>
              <w:rPr/>
              <w:t xml:space="preserve"> </w:t>
            </w:r>
            <w:r>
              <w:rPr>
                <w:spacing w:val="2"/>
              </w:rPr>
              <w:t>券投资基金销售管理办法》(证监会令第84号)第九条：商业银行、证券公司、期货公司、</w:t>
            </w:r>
          </w:p>
          <w:p>
            <w:pPr>
              <w:pStyle w:val="TableText"/>
              <w:ind w:left="34" w:right="50" w:firstLine="9"/>
              <w:spacing w:before="42" w:line="239" w:lineRule="auto"/>
              <w:rPr/>
            </w:pPr>
            <w:r>
              <w:rPr/>
              <w:t>保险机构、证券投资咨询机构、独立基金销售机构以及中国证监会认定的</w:t>
            </w:r>
            <w:r>
              <w:rPr>
                <w:spacing w:val="-1"/>
              </w:rPr>
              <w:t>其他机构申请注册</w:t>
            </w:r>
            <w:r>
              <w:rPr/>
              <w:t xml:space="preserve"> </w:t>
            </w:r>
            <w:r>
              <w:rPr>
                <w:spacing w:val="-4"/>
              </w:rPr>
              <w:t>基金销售业务资格，应当具备下列条件：    (二)财务状况良好，运作规</w:t>
            </w:r>
            <w:r>
              <w:rPr>
                <w:spacing w:val="-5"/>
              </w:rPr>
              <w:t>范稳定</w:t>
            </w:r>
          </w:p>
        </w:tc>
      </w:tr>
      <w:tr>
        <w:trPr>
          <w:trHeight w:val="3609" w:hRule="atLeast"/>
        </w:trPr>
        <w:tc>
          <w:tcPr>
            <w:tcW w:w="295" w:type="dxa"/>
            <w:vAlign w:val="top"/>
          </w:tcPr>
          <w:p>
            <w:pPr>
              <w:spacing w:line="299" w:lineRule="auto"/>
              <w:rPr>
                <w:rFonts w:ascii="Arial"/>
                <w:sz w:val="21"/>
              </w:rPr>
            </w:pPr>
            <w:r/>
          </w:p>
          <w:p>
            <w:pPr>
              <w:pStyle w:val="TableText"/>
              <w:ind w:left="65"/>
              <w:spacing w:before="49" w:line="183" w:lineRule="auto"/>
              <w:rPr/>
            </w:pPr>
            <w:r>
              <w:rPr>
                <w:spacing w:val="-2"/>
              </w:rPr>
              <w:t>97</w:t>
            </w:r>
          </w:p>
        </w:tc>
        <w:tc>
          <w:tcPr>
            <w:tcW w:w="669" w:type="dxa"/>
            <w:vAlign w:val="top"/>
          </w:tcPr>
          <w:p>
            <w:pPr>
              <w:pStyle w:val="TableText"/>
              <w:ind w:left="10" w:right="26" w:firstLine="10"/>
              <w:spacing w:before="289" w:line="247" w:lineRule="auto"/>
              <w:jc w:val="both"/>
              <w:rPr/>
            </w:pPr>
            <w:r>
              <w:rPr>
                <w:spacing w:val="-2"/>
              </w:rPr>
              <w:t>境外机构</w:t>
            </w:r>
            <w:r>
              <w:rPr/>
              <w:t xml:space="preserve"> </w:t>
            </w:r>
            <w:r>
              <w:rPr>
                <w:spacing w:val="5"/>
              </w:rPr>
              <w:t>投资者审</w:t>
            </w:r>
            <w:r>
              <w:rPr>
                <w:spacing w:val="1"/>
              </w:rPr>
              <w:t xml:space="preserve"> </w:t>
            </w:r>
            <w:r>
              <w:rPr/>
              <w:t>计</w:t>
            </w:r>
          </w:p>
        </w:tc>
        <w:tc>
          <w:tcPr>
            <w:tcW w:w="1109" w:type="dxa"/>
            <w:vAlign w:val="top"/>
          </w:tcPr>
          <w:p>
            <w:pPr>
              <w:rPr>
                <w:rFonts w:ascii="Arial"/>
                <w:sz w:val="21"/>
              </w:rPr>
            </w:pPr>
            <w:r/>
          </w:p>
          <w:p>
            <w:pPr>
              <w:pStyle w:val="TableText"/>
              <w:ind w:left="20" w:right="33" w:firstLine="20"/>
              <w:spacing w:before="49" w:line="246" w:lineRule="auto"/>
              <w:jc w:val="both"/>
              <w:rPr/>
            </w:pPr>
            <w:r>
              <w:rPr>
                <w:spacing w:val="20"/>
              </w:rPr>
              <w:t>(44043)境外</w:t>
            </w:r>
            <w:r>
              <w:rPr>
                <w:spacing w:val="3"/>
              </w:rPr>
              <w:t xml:space="preserve"> </w:t>
            </w:r>
            <w:r>
              <w:rPr>
                <w:spacing w:val="-1"/>
              </w:rPr>
              <w:t>机构投资者资格</w:t>
            </w:r>
            <w:r>
              <w:rPr/>
              <w:t xml:space="preserve"> </w:t>
            </w:r>
            <w:r>
              <w:rPr>
                <w:spacing w:val="-1"/>
              </w:rPr>
              <w:t>审批</w:t>
            </w:r>
          </w:p>
        </w:tc>
        <w:tc>
          <w:tcPr>
            <w:tcW w:w="829" w:type="dxa"/>
            <w:vAlign w:val="top"/>
          </w:tcPr>
          <w:p>
            <w:pPr>
              <w:pStyle w:val="TableText"/>
              <w:ind w:left="182"/>
              <w:spacing w:before="270" w:line="219" w:lineRule="auto"/>
              <w:rPr/>
            </w:pPr>
            <w:r>
              <w:rPr>
                <w:spacing w:val="-2"/>
              </w:rPr>
              <w:t>证监会</w:t>
            </w:r>
          </w:p>
        </w:tc>
        <w:tc>
          <w:tcPr>
            <w:tcW w:w="669" w:type="dxa"/>
            <w:vAlign w:val="top"/>
          </w:tcPr>
          <w:p>
            <w:pPr>
              <w:rPr>
                <w:rFonts w:ascii="Arial"/>
                <w:sz w:val="21"/>
              </w:rPr>
            </w:pPr>
            <w:r/>
          </w:p>
          <w:p>
            <w:pPr>
              <w:pStyle w:val="TableText"/>
              <w:ind w:left="12" w:right="41" w:firstLine="10"/>
              <w:spacing w:before="49" w:line="239" w:lineRule="auto"/>
              <w:rPr/>
            </w:pPr>
            <w:r>
              <w:rPr>
                <w:spacing w:val="-2"/>
              </w:rPr>
              <w:t>会计师事</w:t>
            </w:r>
            <w:r>
              <w:rPr>
                <w:spacing w:val="1"/>
              </w:rPr>
              <w:t xml:space="preserve"> </w:t>
            </w:r>
            <w:r>
              <w:rPr>
                <w:spacing w:val="-2"/>
              </w:rPr>
              <w:t>务所</w:t>
            </w:r>
          </w:p>
        </w:tc>
        <w:tc>
          <w:tcPr>
            <w:tcW w:w="6098" w:type="dxa"/>
            <w:vAlign w:val="top"/>
          </w:tcPr>
          <w:p>
            <w:pPr>
              <w:pStyle w:val="TableText"/>
              <w:ind w:left="14" w:right="4" w:firstLine="29"/>
              <w:spacing w:before="279" w:line="263" w:lineRule="auto"/>
              <w:jc w:val="both"/>
              <w:rPr/>
            </w:pPr>
            <w:r>
              <w:rPr>
                <w:spacing w:val="-2"/>
              </w:rPr>
              <w:t>1. 《中华人民共和国证券投资基金法》第一百五十二条：在中华人民共和国境内募集投资境</w:t>
            </w:r>
            <w:r>
              <w:rPr>
                <w:spacing w:val="14"/>
              </w:rPr>
              <w:t xml:space="preserve"> </w:t>
            </w:r>
            <w:r>
              <w:rPr/>
              <w:t>外证券的基金，以及合格境外投资者在境内进行证券投资，应当经国务院证券监督管理机核 </w:t>
            </w:r>
            <w:r>
              <w:rPr>
                <w:spacing w:val="-3"/>
              </w:rPr>
              <w:t>批准，具体办法由国务院证券监督管理机构会同国务院有关部门规定，报国务院批准。2.</w:t>
            </w:r>
            <w:r>
              <w:rPr>
                <w:spacing w:val="-31"/>
              </w:rPr>
              <w:t xml:space="preserve"> </w:t>
            </w:r>
            <w:r>
              <w:rPr>
                <w:spacing w:val="-3"/>
              </w:rPr>
              <w:t>《合</w:t>
            </w:r>
            <w:r>
              <w:rPr/>
              <w:t xml:space="preserve"> </w:t>
            </w:r>
            <w:r>
              <w:rPr>
                <w:spacing w:val="2"/>
              </w:rPr>
              <w:t>格境外机构投资者境内证券投资管理办法》(中国证监会、中国人民银行和国家外汇</w:t>
            </w:r>
            <w:r>
              <w:rPr>
                <w:spacing w:val="1"/>
              </w:rPr>
              <w:t>管理局</w:t>
            </w:r>
            <w:r>
              <w:rPr/>
              <w:t xml:space="preserve">  </w:t>
            </w:r>
            <w:r>
              <w:rPr/>
              <w:t>令第36号)第六条：申请合格投资者资格，应当具备下列条件：(一)申请人的财务稳健</w:t>
            </w:r>
          </w:p>
          <w:p>
            <w:pPr>
              <w:pStyle w:val="TableText"/>
              <w:ind w:left="34" w:right="62" w:firstLine="9"/>
              <w:spacing w:before="41" w:line="245" w:lineRule="auto"/>
              <w:rPr/>
            </w:pPr>
            <w:r>
              <w:rPr>
                <w:spacing w:val="-2"/>
              </w:rPr>
              <w:t>资信良好，达到中国证监会规定的资产规模等条件；3. 《人民币合</w:t>
            </w:r>
            <w:r>
              <w:rPr>
                <w:spacing w:val="-3"/>
              </w:rPr>
              <w:t>格境外机构投资者境内证</w:t>
            </w:r>
            <w:r>
              <w:rPr/>
              <w:t xml:space="preserve"> </w:t>
            </w:r>
            <w:r>
              <w:rPr/>
              <w:t>券投资试点办法》(证监会令第90号)第五条：申请人民币合格投资者资</w:t>
            </w:r>
            <w:r>
              <w:rPr>
                <w:spacing w:val="-1"/>
              </w:rPr>
              <w:t>格，应当具备下</w:t>
            </w:r>
          </w:p>
          <w:p>
            <w:pPr>
              <w:pStyle w:val="TableText"/>
              <w:ind w:left="53" w:right="61" w:hanging="10"/>
              <w:spacing w:before="42" w:line="244" w:lineRule="auto"/>
              <w:rPr/>
            </w:pPr>
            <w:r>
              <w:rPr>
                <w:spacing w:val="-4"/>
              </w:rPr>
              <w:t>列条件：   (一)财务稳健，资信良好；4. 《关于实施〈合格境外机构投资者境内证券投资管</w:t>
            </w:r>
            <w:r>
              <w:rPr>
                <w:spacing w:val="11"/>
              </w:rPr>
              <w:t xml:space="preserve"> </w:t>
            </w:r>
            <w:r>
              <w:rPr/>
              <w:t>理办法〉有关问题的规定》(证监会公告〔2012〕17号)第二条：申</w:t>
            </w:r>
            <w:r>
              <w:rPr>
                <w:spacing w:val="-1"/>
              </w:rPr>
              <w:t>请合格投资者资格的</w:t>
            </w:r>
          </w:p>
          <w:p>
            <w:pPr>
              <w:pStyle w:val="TableText"/>
              <w:ind w:left="43"/>
              <w:spacing w:before="63" w:line="219" w:lineRule="auto"/>
              <w:rPr/>
            </w:pPr>
            <w:r>
              <w:rPr/>
              <w:t>应当通过中国证监会网站以电子方式提交以下申请材料，并向中国证监会提</w:t>
            </w:r>
            <w:r>
              <w:rPr>
                <w:spacing w:val="-1"/>
              </w:rPr>
              <w:t>交一份内容相同</w:t>
            </w:r>
          </w:p>
          <w:p>
            <w:pPr>
              <w:pStyle w:val="TableText"/>
              <w:ind w:left="14"/>
              <w:spacing w:before="12" w:line="219" w:lineRule="auto"/>
              <w:rPr/>
            </w:pPr>
            <w:r>
              <w:rPr>
                <w:spacing w:val="-2"/>
              </w:rPr>
              <w:t>的书面申请文件：(九)最近1年经审计的财务报表。5. 《关于实施〈人民币合格境外机构</w:t>
            </w:r>
          </w:p>
          <w:p>
            <w:pPr>
              <w:pStyle w:val="TableText"/>
              <w:ind w:left="113" w:right="91"/>
              <w:spacing w:before="52" w:line="251" w:lineRule="auto"/>
              <w:rPr/>
            </w:pPr>
            <w:r>
              <w:rPr/>
              <w:t>投资者境内证券投资试点办法〉的规定》(证监会公告〔2013〕14号)第二条：申请人民币</w:t>
            </w:r>
            <w:r>
              <w:rPr>
                <w:spacing w:val="17"/>
              </w:rPr>
              <w:t xml:space="preserve"> </w:t>
            </w:r>
            <w:r>
              <w:rPr>
                <w:spacing w:val="1"/>
              </w:rPr>
              <w:t>合格投资者资格，应当通过境内托管人向中国证券监督管理委员会(以</w:t>
            </w:r>
            <w:r>
              <w:rPr/>
              <w:t>下简称中国证监会)</w:t>
            </w:r>
          </w:p>
          <w:p>
            <w:pPr>
              <w:pStyle w:val="TableText"/>
              <w:ind w:left="34"/>
              <w:spacing w:before="33" w:line="219" w:lineRule="auto"/>
              <w:rPr/>
            </w:pPr>
            <w:r>
              <w:rPr>
                <w:spacing w:val="-5"/>
              </w:rPr>
              <w:t>报送下列申请文件：    (七)最近1年经审计的财</w:t>
            </w:r>
            <w:r>
              <w:rPr>
                <w:spacing w:val="-6"/>
              </w:rPr>
              <w:t>务报表。</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1987968"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74" name="TextBox 474"/>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YouYuan" w:hAnsi="YouYuan" w:eastAsia="YouYuan" w:cs="YouYuan"/>
                                <w:sz w:val="16"/>
                                <w:szCs w:val="16"/>
                              </w:rPr>
                            </w:pPr>
                            <w:r>
                              <w:rPr>
                                <w:rFonts w:ascii="YouYuan" w:hAnsi="YouYuan" w:eastAsia="YouYuan" w:cs="YouYuan"/>
                                <w:sz w:val="16"/>
                                <w:szCs w:val="16"/>
                                <w:spacing w:val="-3"/>
                              </w:rPr>
                              <w:t>325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6" style="position:absolute;margin-left:37.0722pt;margin-top:345.103pt;mso-position-vertical-relative:page;mso-position-horizontal-relative:page;width:13.55pt;height:12.35pt;z-index:251987968;rotation:90;" o:allowincell="f" filled="false" stroked="false" type="#_x0000_t202">
                <v:fill on="false"/>
                <v:stroke on="false"/>
                <v:path/>
                <v:imagedata o:title=""/>
                <o:lock v:ext="edit" aspectratio="false"/>
                <v:textbox inset="0mm,0mm,0mm,0mm">
                  <w:txbxContent>
                    <w:p>
                      <w:pPr>
                        <w:ind w:left="20"/>
                        <w:spacing w:before="67" w:line="183" w:lineRule="auto"/>
                        <w:rPr>
                          <w:rFonts w:ascii="YouYuan" w:hAnsi="YouYuan" w:eastAsia="YouYuan" w:cs="YouYuan"/>
                          <w:sz w:val="16"/>
                          <w:szCs w:val="16"/>
                        </w:rPr>
                      </w:pPr>
                      <w:r>
                        <w:rPr>
                          <w:rFonts w:ascii="YouYuan" w:hAnsi="YouYuan" w:eastAsia="YouYuan" w:cs="YouYuan"/>
                          <w:sz w:val="16"/>
                          <w:szCs w:val="16"/>
                          <w:spacing w:val="-3"/>
                        </w:rPr>
                        <w:t>325</w:t>
                      </w:r>
                    </w:p>
                  </w:txbxContent>
                </v:textbox>
              </v:shape>
            </w:pict>
          </mc:Fallback>
        </mc:AlternateContent>
      </w:r>
      <w:r/>
    </w:p>
    <w:p>
      <w:pPr>
        <w:spacing w:before="46"/>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1109"/>
        <w:gridCol w:w="839"/>
        <w:gridCol w:w="659"/>
        <w:gridCol w:w="6088"/>
      </w:tblGrid>
      <w:tr>
        <w:trPr>
          <w:trHeight w:val="474" w:hRule="atLeast"/>
        </w:trPr>
        <w:tc>
          <w:tcPr>
            <w:tcW w:w="285" w:type="dxa"/>
            <w:vAlign w:val="top"/>
          </w:tcPr>
          <w:p>
            <w:pPr>
              <w:pStyle w:val="TableText"/>
              <w:ind w:left="55"/>
              <w:spacing w:before="62" w:line="197" w:lineRule="auto"/>
              <w:rPr/>
            </w:pPr>
            <w:r>
              <w:rPr/>
              <w:t>序</w:t>
            </w:r>
          </w:p>
          <w:p>
            <w:pPr>
              <w:pStyle w:val="TableText"/>
              <w:ind w:left="55"/>
              <w:spacing w:line="220" w:lineRule="auto"/>
              <w:rPr/>
            </w:pPr>
            <w:r>
              <w:rPr/>
              <w:t>号</w:t>
            </w:r>
          </w:p>
        </w:tc>
        <w:tc>
          <w:tcPr>
            <w:tcW w:w="679" w:type="dxa"/>
            <w:vAlign w:val="top"/>
          </w:tcPr>
          <w:p>
            <w:pPr>
              <w:pStyle w:val="TableText"/>
              <w:ind w:left="30" w:right="3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39"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1657" w:hRule="atLeast"/>
        </w:trPr>
        <w:tc>
          <w:tcPr>
            <w:tcW w:w="285" w:type="dxa"/>
            <w:vAlign w:val="top"/>
          </w:tcPr>
          <w:p>
            <w:pPr>
              <w:pStyle w:val="TableText"/>
              <w:ind w:left="55"/>
              <w:spacing w:before="125" w:line="183" w:lineRule="auto"/>
              <w:rPr/>
            </w:pPr>
            <w:r>
              <w:rPr>
                <w:spacing w:val="-2"/>
              </w:rPr>
              <w:t>98</w:t>
            </w:r>
          </w:p>
        </w:tc>
        <w:tc>
          <w:tcPr>
            <w:tcW w:w="679" w:type="dxa"/>
            <w:vAlign w:val="top"/>
          </w:tcPr>
          <w:p>
            <w:pPr>
              <w:pStyle w:val="TableText"/>
              <w:ind w:left="20" w:right="18" w:firstLine="10"/>
              <w:spacing w:before="74"/>
              <w:jc w:val="both"/>
              <w:rPr/>
            </w:pPr>
            <w:r>
              <w:rPr>
                <w:spacing w:val="1"/>
              </w:rPr>
              <w:t>出具股份 </w:t>
            </w:r>
            <w:r>
              <w:rPr>
                <w:spacing w:val="7"/>
              </w:rPr>
              <w:t>有限公司</w:t>
            </w:r>
            <w:r>
              <w:rPr>
                <w:spacing w:val="1"/>
              </w:rPr>
              <w:t xml:space="preserve"> </w:t>
            </w:r>
            <w:r>
              <w:rPr/>
              <w:t>境外公开</w:t>
            </w:r>
            <w:r>
              <w:rPr>
                <w:spacing w:val="2"/>
              </w:rPr>
              <w:t xml:space="preserve"> </w:t>
            </w:r>
            <w:r>
              <w:rPr>
                <w:spacing w:val="1"/>
              </w:rPr>
              <w:t>募集股份</w:t>
            </w:r>
            <w:r>
              <w:rPr/>
              <w:t xml:space="preserve"> </w:t>
            </w:r>
            <w:r>
              <w:rPr>
                <w:spacing w:val="-5"/>
              </w:rPr>
              <w:t>及</w:t>
            </w:r>
            <w:r>
              <w:rPr>
                <w:spacing w:val="15"/>
              </w:rPr>
              <w:t xml:space="preserve"> </w:t>
            </w:r>
            <w:r>
              <w:rPr>
                <w:spacing w:val="-5"/>
              </w:rPr>
              <w:t>上</w:t>
            </w:r>
            <w:r>
              <w:rPr>
                <w:spacing w:val="17"/>
              </w:rPr>
              <w:t xml:space="preserve"> </w:t>
            </w:r>
            <w:r>
              <w:rPr>
                <w:spacing w:val="-5"/>
              </w:rPr>
              <w:t>市</w:t>
            </w:r>
            <w:r>
              <w:rPr/>
              <w:t xml:space="preserve"> </w:t>
            </w:r>
            <w:r>
              <w:rPr>
                <w:spacing w:val="14"/>
              </w:rPr>
              <w:t>(包括增</w:t>
            </w:r>
            <w:r>
              <w:rPr/>
              <w:t xml:space="preserve"> </w:t>
            </w:r>
            <w:r>
              <w:rPr>
                <w:spacing w:val="7"/>
              </w:rPr>
              <w:t>发)法律</w:t>
            </w:r>
            <w:r>
              <w:rPr>
                <w:spacing w:val="1"/>
              </w:rPr>
              <w:t xml:space="preserve">  </w:t>
            </w:r>
            <w:r>
              <w:rPr>
                <w:spacing w:val="-3"/>
              </w:rPr>
              <w:t>意见书</w:t>
            </w:r>
          </w:p>
        </w:tc>
        <w:tc>
          <w:tcPr>
            <w:tcW w:w="1109" w:type="dxa"/>
            <w:vAlign w:val="top"/>
          </w:tcPr>
          <w:p>
            <w:pPr>
              <w:pStyle w:val="TableText"/>
              <w:ind w:left="20" w:right="34" w:firstLine="20"/>
              <w:spacing w:before="76" w:line="252" w:lineRule="auto"/>
              <w:jc w:val="both"/>
              <w:rPr/>
            </w:pPr>
            <w:r>
              <w:rPr>
                <w:spacing w:val="20"/>
              </w:rPr>
              <w:t>(44045)股份</w:t>
            </w:r>
            <w:r>
              <w:rPr/>
              <w:t xml:space="preserve"> </w:t>
            </w:r>
            <w:r>
              <w:rPr>
                <w:spacing w:val="-1"/>
              </w:rPr>
              <w:t>有限公司境外公</w:t>
            </w:r>
            <w:r>
              <w:rPr/>
              <w:t xml:space="preserve"> </w:t>
            </w:r>
            <w:r>
              <w:rPr>
                <w:spacing w:val="-1"/>
              </w:rPr>
              <w:t>开募集股份及上</w:t>
            </w:r>
            <w:r>
              <w:rPr/>
              <w:t xml:space="preserve"> </w:t>
            </w:r>
            <w:r>
              <w:rPr>
                <w:spacing w:val="14"/>
              </w:rPr>
              <w:t>市(包括增发)</w:t>
            </w:r>
          </w:p>
          <w:p>
            <w:pPr>
              <w:pStyle w:val="TableText"/>
              <w:ind w:left="10"/>
              <w:spacing w:before="42" w:line="220" w:lineRule="auto"/>
              <w:rPr/>
            </w:pPr>
            <w:r>
              <w:rPr>
                <w:spacing w:val="-4"/>
              </w:rPr>
              <w:t>审批</w:t>
            </w:r>
          </w:p>
        </w:tc>
        <w:tc>
          <w:tcPr>
            <w:tcW w:w="839" w:type="dxa"/>
            <w:vAlign w:val="top"/>
          </w:tcPr>
          <w:p>
            <w:pPr>
              <w:pStyle w:val="TableText"/>
              <w:ind w:left="182"/>
              <w:spacing w:before="56" w:line="219" w:lineRule="auto"/>
              <w:rPr/>
            </w:pPr>
            <w:r>
              <w:rPr>
                <w:spacing w:val="-2"/>
              </w:rPr>
              <w:t>证监会</w:t>
            </w:r>
          </w:p>
        </w:tc>
        <w:tc>
          <w:tcPr>
            <w:tcW w:w="659" w:type="dxa"/>
            <w:vAlign w:val="top"/>
          </w:tcPr>
          <w:p>
            <w:pPr>
              <w:pStyle w:val="TableText"/>
              <w:ind w:left="12" w:right="31" w:firstLine="10"/>
              <w:spacing w:before="77" w:line="233" w:lineRule="auto"/>
              <w:rPr/>
            </w:pPr>
            <w:r>
              <w:rPr>
                <w:spacing w:val="-2"/>
              </w:rPr>
              <w:t>律师事务</w:t>
            </w:r>
            <w:r>
              <w:rPr>
                <w:spacing w:val="1"/>
              </w:rPr>
              <w:t xml:space="preserve"> </w:t>
            </w:r>
            <w:r>
              <w:rPr/>
              <w:t>所</w:t>
            </w:r>
          </w:p>
        </w:tc>
        <w:tc>
          <w:tcPr>
            <w:tcW w:w="6088" w:type="dxa"/>
            <w:vAlign w:val="top"/>
          </w:tcPr>
          <w:p>
            <w:pPr>
              <w:pStyle w:val="TableText"/>
              <w:ind w:left="34" w:right="25" w:firstLine="39"/>
              <w:spacing w:before="77" w:line="253" w:lineRule="auto"/>
              <w:rPr/>
            </w:pPr>
            <w:r>
              <w:rPr>
                <w:spacing w:val="-2"/>
              </w:rPr>
              <w:t>1. 《国务院关于股份有限公司境外募集股份及上市的特别规定》(国</w:t>
            </w:r>
            <w:r>
              <w:rPr>
                <w:spacing w:val="-3"/>
              </w:rPr>
              <w:t>务院令第160号)第五条</w:t>
            </w:r>
            <w:r>
              <w:rPr/>
              <w:t xml:space="preserve">  </w:t>
            </w:r>
            <w:r>
              <w:rPr/>
              <w:t>股份有限公司向境外投资人募集股份并在境外上市，应当按照国务院证券委员会的要求提出</w:t>
            </w:r>
            <w:r>
              <w:rPr>
                <w:spacing w:val="17"/>
              </w:rPr>
              <w:t xml:space="preserve"> </w:t>
            </w:r>
            <w:r>
              <w:rPr>
                <w:spacing w:val="-2"/>
              </w:rPr>
              <w:t>书面申请并附有关材料，报经国务院证券委员会批准。2. 《关于股份有限公司境外发</w:t>
            </w:r>
            <w:r>
              <w:rPr>
                <w:spacing w:val="-3"/>
              </w:rPr>
              <w:t>行股票</w:t>
            </w:r>
          </w:p>
          <w:p>
            <w:pPr>
              <w:pStyle w:val="TableText"/>
              <w:ind w:left="83" w:right="120" w:firstLine="30"/>
              <w:spacing w:before="31" w:line="239" w:lineRule="auto"/>
              <w:rPr/>
            </w:pPr>
            <w:r>
              <w:rPr/>
              <w:t>和上市申报文件及审核程序的监管指引》(证监会公告〔2012〕45号)第</w:t>
            </w:r>
            <w:r>
              <w:rPr>
                <w:spacing w:val="-1"/>
              </w:rPr>
              <w:t>一部分：申报文件</w:t>
            </w:r>
            <w:r>
              <w:rPr/>
              <w:t xml:space="preserve"> </w:t>
            </w:r>
            <w:r>
              <w:rPr>
                <w:spacing w:val="-1"/>
              </w:rPr>
              <w:t>(十)法律意见书。</w:t>
            </w:r>
          </w:p>
        </w:tc>
      </w:tr>
      <w:tr>
        <w:trPr>
          <w:trHeight w:val="2017" w:hRule="atLeast"/>
        </w:trPr>
        <w:tc>
          <w:tcPr>
            <w:tcW w:w="285" w:type="dxa"/>
            <w:vAlign w:val="top"/>
          </w:tcPr>
          <w:p>
            <w:pPr>
              <w:pStyle w:val="TableText"/>
              <w:ind w:left="55"/>
              <w:spacing w:before="118" w:line="183" w:lineRule="auto"/>
              <w:rPr/>
            </w:pPr>
            <w:r>
              <w:rPr>
                <w:spacing w:val="-2"/>
              </w:rPr>
              <w:t>99</w:t>
            </w:r>
          </w:p>
        </w:tc>
        <w:tc>
          <w:tcPr>
            <w:tcW w:w="679" w:type="dxa"/>
            <w:vAlign w:val="top"/>
          </w:tcPr>
          <w:p>
            <w:pPr>
              <w:pStyle w:val="TableText"/>
              <w:ind w:left="20" w:right="20" w:firstLine="10"/>
              <w:spacing w:before="79" w:line="256" w:lineRule="auto"/>
              <w:jc w:val="both"/>
              <w:rPr/>
            </w:pPr>
            <w:r>
              <w:rPr>
                <w:spacing w:val="2"/>
              </w:rPr>
              <w:t>出具上市</w:t>
            </w:r>
            <w:r>
              <w:rPr/>
              <w:t xml:space="preserve"> </w:t>
            </w:r>
            <w:r>
              <w:rPr>
                <w:spacing w:val="-1"/>
              </w:rPr>
              <w:t>公司重大</w:t>
            </w:r>
            <w:r>
              <w:rPr>
                <w:spacing w:val="2"/>
              </w:rPr>
              <w:t xml:space="preserve"> </w:t>
            </w:r>
            <w:r>
              <w:rPr>
                <w:spacing w:val="7"/>
              </w:rPr>
              <w:t>购买、出</w:t>
            </w:r>
            <w:r>
              <w:rPr/>
              <w:t xml:space="preserve"> </w:t>
            </w:r>
            <w:r>
              <w:rPr>
                <w:spacing w:val="1"/>
              </w:rPr>
              <w:t>售、置换</w:t>
            </w:r>
            <w:r>
              <w:rPr/>
              <w:t xml:space="preserve"> </w:t>
            </w:r>
            <w:r>
              <w:rPr>
                <w:spacing w:val="-1"/>
              </w:rPr>
              <w:t>资产法律</w:t>
            </w:r>
            <w:r>
              <w:rPr/>
              <w:t xml:space="preserve"> </w:t>
            </w:r>
            <w:r>
              <w:rPr>
                <w:spacing w:val="-3"/>
              </w:rPr>
              <w:t>意见书</w:t>
            </w:r>
          </w:p>
        </w:tc>
        <w:tc>
          <w:tcPr>
            <w:tcW w:w="1109" w:type="dxa"/>
            <w:vAlign w:val="top"/>
          </w:tcPr>
          <w:p>
            <w:pPr>
              <w:pStyle w:val="TableText"/>
              <w:ind w:left="20" w:firstLine="19"/>
              <w:spacing w:before="59" w:line="263" w:lineRule="auto"/>
              <w:jc w:val="both"/>
              <w:rPr/>
            </w:pPr>
            <w:r>
              <w:rPr>
                <w:spacing w:val="15"/>
              </w:rPr>
              <w:t>(44004)上市</w:t>
            </w:r>
            <w:r>
              <w:rPr>
                <w:spacing w:val="2"/>
              </w:rPr>
              <w:t xml:space="preserve">  </w:t>
            </w:r>
            <w:r>
              <w:rPr>
                <w:spacing w:val="4"/>
              </w:rPr>
              <w:t>公司重大购买、</w:t>
            </w:r>
            <w:r>
              <w:rPr/>
              <w:t xml:space="preserve"> </w:t>
            </w:r>
            <w:r>
              <w:rPr>
                <w:spacing w:val="-5"/>
              </w:rPr>
              <w:t>出售、置换资产</w:t>
            </w:r>
            <w:r>
              <w:rPr/>
              <w:t xml:space="preserve">  </w:t>
            </w:r>
            <w:r>
              <w:rPr>
                <w:spacing w:val="-3"/>
              </w:rPr>
              <w:t>行为(构成借壳  </w:t>
            </w:r>
            <w:r>
              <w:rPr>
                <w:spacing w:val="-6"/>
              </w:rPr>
              <w:t>上市的)审批</w:t>
            </w:r>
          </w:p>
        </w:tc>
        <w:tc>
          <w:tcPr>
            <w:tcW w:w="839" w:type="dxa"/>
            <w:vAlign w:val="top"/>
          </w:tcPr>
          <w:p>
            <w:pPr>
              <w:pStyle w:val="TableText"/>
              <w:ind w:left="182"/>
              <w:spacing w:before="49" w:line="219" w:lineRule="auto"/>
              <w:rPr/>
            </w:pPr>
            <w:r>
              <w:rPr>
                <w:spacing w:val="-2"/>
              </w:rPr>
              <w:t>证监会</w:t>
            </w:r>
          </w:p>
        </w:tc>
        <w:tc>
          <w:tcPr>
            <w:tcW w:w="659" w:type="dxa"/>
            <w:vAlign w:val="top"/>
          </w:tcPr>
          <w:p>
            <w:pPr>
              <w:pStyle w:val="TableText"/>
              <w:ind w:left="12" w:right="31" w:firstLine="10"/>
              <w:spacing w:before="60" w:line="233" w:lineRule="auto"/>
              <w:rPr/>
            </w:pPr>
            <w:r>
              <w:rPr>
                <w:spacing w:val="-2"/>
              </w:rPr>
              <w:t>律师事务</w:t>
            </w:r>
            <w:r>
              <w:rPr>
                <w:spacing w:val="1"/>
              </w:rPr>
              <w:t xml:space="preserve"> </w:t>
            </w:r>
            <w:r>
              <w:rPr/>
              <w:t>所</w:t>
            </w:r>
          </w:p>
        </w:tc>
        <w:tc>
          <w:tcPr>
            <w:tcW w:w="6088" w:type="dxa"/>
            <w:vAlign w:val="top"/>
          </w:tcPr>
          <w:p>
            <w:pPr>
              <w:pStyle w:val="TableText"/>
              <w:ind w:left="34" w:right="27"/>
              <w:spacing w:before="76" w:line="264"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w:t>
            </w:r>
            <w:r>
              <w:rPr>
                <w:spacing w:val="-1"/>
              </w:rPr>
              <w:t>证券服务机构为</w:t>
            </w:r>
            <w:r>
              <w:rPr/>
              <w:t xml:space="preserve"> </w:t>
            </w:r>
            <w:r>
              <w:rPr/>
              <w:t>证券的发行、上市、交易等证券业务活动制作、出具审计报告、资产评估报</w:t>
            </w:r>
            <w:r>
              <w:rPr>
                <w:spacing w:val="-1"/>
              </w:rPr>
              <w:t>告、财务顾问报</w:t>
            </w:r>
            <w:r>
              <w:rPr/>
              <w:t xml:space="preserve"> </w:t>
            </w:r>
            <w:r>
              <w:rPr/>
              <w:t>告、资信评级报告或者法律意见书等文件，应当勤勉尽责，对所制</w:t>
            </w:r>
            <w:r>
              <w:rPr>
                <w:spacing w:val="-1"/>
              </w:rPr>
              <w:t>作、出具的文件内容的真</w:t>
            </w:r>
            <w:r>
              <w:rPr/>
              <w:t xml:space="preserve"> </w:t>
            </w:r>
            <w:r>
              <w:rPr/>
              <w:t>实性、准确性、完整性进行核查和验证。其制作、出具的文件有虚</w:t>
            </w:r>
            <w:r>
              <w:rPr>
                <w:spacing w:val="-1"/>
              </w:rPr>
              <w:t>假记载、误导性陈述或者</w:t>
            </w:r>
            <w:r>
              <w:rPr/>
              <w:t xml:space="preserve"> </w:t>
            </w:r>
            <w:r>
              <w:rPr/>
              <w:t>重大遗漏，给他人造成损失的，应当与发行人、上市公司承担连带赔偿责任，但是能够证明</w:t>
            </w:r>
            <w:r>
              <w:rPr>
                <w:spacing w:val="15"/>
              </w:rPr>
              <w:t xml:space="preserve"> </w:t>
            </w:r>
            <w:r>
              <w:rPr>
                <w:spacing w:val="-1"/>
              </w:rPr>
              <w:t>自己没有过错的除外。2. 《上市公司重大资产重组管理办法》(证监会令第109号)第十七条</w:t>
            </w:r>
            <w:r>
              <w:rPr>
                <w:spacing w:val="1"/>
              </w:rPr>
              <w:t xml:space="preserve">  </w:t>
            </w:r>
            <w:r>
              <w:rPr/>
              <w:t>上市公司应当聘请独立财务顾问、律师事务所以及具有相关证券业务资</w:t>
            </w:r>
            <w:r>
              <w:rPr>
                <w:spacing w:val="-1"/>
              </w:rPr>
              <w:t>格的会计师事务所等</w:t>
            </w:r>
            <w:r>
              <w:rPr/>
              <w:t xml:space="preserve"> </w:t>
            </w:r>
            <w:r>
              <w:rPr>
                <w:spacing w:val="-1"/>
              </w:rPr>
              <w:t>证券服务机构就重大资产重组出具意见</w:t>
            </w:r>
          </w:p>
        </w:tc>
      </w:tr>
      <w:tr>
        <w:trPr>
          <w:trHeight w:val="2001" w:hRule="atLeast"/>
        </w:trPr>
        <w:tc>
          <w:tcPr>
            <w:tcW w:w="285" w:type="dxa"/>
            <w:vAlign w:val="top"/>
          </w:tcPr>
          <w:p>
            <w:pPr>
              <w:pStyle w:val="TableText"/>
              <w:ind w:left="15"/>
              <w:spacing w:before="111" w:line="184" w:lineRule="auto"/>
              <w:rPr/>
            </w:pPr>
            <w:r>
              <w:rPr>
                <w:spacing w:val="-4"/>
              </w:rPr>
              <w:t>100</w:t>
            </w:r>
          </w:p>
        </w:tc>
        <w:tc>
          <w:tcPr>
            <w:tcW w:w="679" w:type="dxa"/>
            <w:vAlign w:val="top"/>
          </w:tcPr>
          <w:p>
            <w:pPr>
              <w:pStyle w:val="TableText"/>
              <w:ind w:left="20" w:right="20" w:firstLine="10"/>
              <w:spacing w:before="61" w:line="260" w:lineRule="auto"/>
              <w:jc w:val="both"/>
              <w:rPr/>
            </w:pPr>
            <w:r>
              <w:rPr>
                <w:spacing w:val="2"/>
              </w:rPr>
              <w:t>出具上市</w:t>
            </w:r>
            <w:r>
              <w:rPr/>
              <w:t xml:space="preserve"> </w:t>
            </w:r>
            <w:r>
              <w:rPr>
                <w:spacing w:val="-1"/>
              </w:rPr>
              <w:t>公司重大</w:t>
            </w:r>
            <w:r>
              <w:rPr>
                <w:spacing w:val="2"/>
              </w:rPr>
              <w:t xml:space="preserve"> </w:t>
            </w:r>
            <w:r>
              <w:rPr>
                <w:spacing w:val="7"/>
              </w:rPr>
              <w:t>购买、出</w:t>
            </w:r>
            <w:r>
              <w:rPr/>
              <w:t xml:space="preserve"> </w:t>
            </w:r>
            <w:r>
              <w:rPr>
                <w:spacing w:val="1"/>
              </w:rPr>
              <w:t>售、置换</w:t>
            </w:r>
            <w:r>
              <w:rPr/>
              <w:t xml:space="preserve"> </w:t>
            </w:r>
            <w:r>
              <w:rPr>
                <w:spacing w:val="-1"/>
              </w:rPr>
              <w:t>资产审计</w:t>
            </w:r>
            <w:r>
              <w:rPr/>
              <w:t xml:space="preserve"> </w:t>
            </w:r>
            <w:r>
              <w:rPr>
                <w:spacing w:val="-2"/>
              </w:rPr>
              <w:t>报告</w:t>
            </w:r>
          </w:p>
        </w:tc>
        <w:tc>
          <w:tcPr>
            <w:tcW w:w="1109" w:type="dxa"/>
            <w:vAlign w:val="top"/>
          </w:tcPr>
          <w:p>
            <w:pPr>
              <w:pStyle w:val="TableText"/>
              <w:ind w:left="20" w:firstLine="19"/>
              <w:spacing w:before="73" w:line="258" w:lineRule="auto"/>
              <w:jc w:val="both"/>
              <w:rPr/>
            </w:pPr>
            <w:r>
              <w:rPr>
                <w:spacing w:val="15"/>
              </w:rPr>
              <w:t>(44004)上市</w:t>
            </w:r>
            <w:r>
              <w:rPr>
                <w:spacing w:val="2"/>
              </w:rPr>
              <w:t xml:space="preserve">  </w:t>
            </w:r>
            <w:r>
              <w:rPr>
                <w:spacing w:val="4"/>
              </w:rPr>
              <w:t>公司重大购买、</w:t>
            </w:r>
            <w:r>
              <w:rPr/>
              <w:t xml:space="preserve"> </w:t>
            </w:r>
            <w:r>
              <w:rPr>
                <w:spacing w:val="-5"/>
              </w:rPr>
              <w:t>出售、置换资产</w:t>
            </w:r>
            <w:r>
              <w:rPr/>
              <w:t xml:space="preserve">  </w:t>
            </w:r>
            <w:r>
              <w:rPr>
                <w:spacing w:val="-3"/>
              </w:rPr>
              <w:t>行为(构成借壳  </w:t>
            </w:r>
            <w:r>
              <w:rPr>
                <w:spacing w:val="-6"/>
              </w:rPr>
              <w:t>上市的)审批</w:t>
            </w:r>
          </w:p>
        </w:tc>
        <w:tc>
          <w:tcPr>
            <w:tcW w:w="839" w:type="dxa"/>
            <w:vAlign w:val="top"/>
          </w:tcPr>
          <w:p>
            <w:pPr>
              <w:pStyle w:val="TableText"/>
              <w:ind w:left="182"/>
              <w:spacing w:before="62" w:line="219" w:lineRule="auto"/>
              <w:rPr/>
            </w:pPr>
            <w:r>
              <w:rPr>
                <w:spacing w:val="-2"/>
              </w:rPr>
              <w:t>证监会</w:t>
            </w:r>
          </w:p>
        </w:tc>
        <w:tc>
          <w:tcPr>
            <w:tcW w:w="659" w:type="dxa"/>
            <w:vAlign w:val="top"/>
          </w:tcPr>
          <w:p>
            <w:pPr>
              <w:pStyle w:val="TableText"/>
              <w:ind w:left="12" w:right="31" w:firstLine="10"/>
              <w:spacing w:before="62" w:line="239" w:lineRule="auto"/>
              <w:rPr/>
            </w:pPr>
            <w:r>
              <w:rPr>
                <w:spacing w:val="-2"/>
              </w:rPr>
              <w:t>会计师事</w:t>
            </w:r>
            <w:r>
              <w:rPr>
                <w:spacing w:val="1"/>
              </w:rPr>
              <w:t xml:space="preserve"> </w:t>
            </w:r>
            <w:r>
              <w:rPr>
                <w:spacing w:val="-2"/>
              </w:rPr>
              <w:t>务所</w:t>
            </w:r>
          </w:p>
        </w:tc>
        <w:tc>
          <w:tcPr>
            <w:tcW w:w="6088" w:type="dxa"/>
            <w:vAlign w:val="top"/>
          </w:tcPr>
          <w:p>
            <w:pPr>
              <w:pStyle w:val="TableText"/>
              <w:ind w:left="24" w:firstLine="9"/>
              <w:spacing w:before="75" w:line="262" w:lineRule="auto"/>
              <w:jc w:val="both"/>
              <w:rPr/>
            </w:pPr>
            <w:r>
              <w:rPr>
                <w:spacing w:val="-2"/>
              </w:rPr>
              <w:t>1. 《中华人民共和国证券法》第十九条</w:t>
            </w:r>
            <w:r>
              <w:rPr>
                <w:spacing w:val="-3"/>
              </w:rPr>
              <w:t>：发行人依法申请核准发行证券所报送的申请文件的</w:t>
            </w:r>
            <w:r>
              <w:rPr/>
              <w:t xml:space="preserve">  </w:t>
            </w:r>
            <w:r>
              <w:rPr>
                <w:spacing w:val="-1"/>
              </w:rPr>
              <w:t>格式、报送方式，由依法负责核准的机构或者部门规定。第一百七十三条：证券服务机构为</w:t>
            </w:r>
            <w:r>
              <w:rPr>
                <w:spacing w:val="6"/>
              </w:rPr>
              <w:t xml:space="preserve">  </w:t>
            </w:r>
            <w:r>
              <w:rPr>
                <w:spacing w:val="-1"/>
              </w:rPr>
              <w:t>证券的发行、上市、交易等证券业务活动制作、出具审计报告、资产评估报告、财务顾问报</w:t>
            </w:r>
            <w:r>
              <w:rPr>
                <w:spacing w:val="6"/>
              </w:rPr>
              <w:t xml:space="preserve">  </w:t>
            </w:r>
            <w:r>
              <w:rPr>
                <w:spacing w:val="-1"/>
              </w:rPr>
              <w:t>告、资信评级报告或者法律意见书等文件，应当勤勉尽责，对所制作、出具的文件内容的真</w:t>
            </w:r>
            <w:r>
              <w:rPr>
                <w:spacing w:val="4"/>
              </w:rPr>
              <w:t xml:space="preserve">  </w:t>
            </w:r>
            <w:r>
              <w:rPr>
                <w:spacing w:val="-1"/>
              </w:rPr>
              <w:t>实性、准确性、完整性进行核查和验证。其制作、出具的文件有虚假记载、误导性陈述或者</w:t>
            </w:r>
            <w:r>
              <w:rPr>
                <w:spacing w:val="4"/>
              </w:rPr>
              <w:t xml:space="preserve">  </w:t>
            </w:r>
            <w:r>
              <w:rPr/>
              <w:t>重大遗漏，给他人造成损失的，应当与发行人、上市公司承担连带赔偿责任，</w:t>
            </w:r>
            <w:r>
              <w:rPr>
                <w:spacing w:val="-1"/>
              </w:rPr>
              <w:t>但是能够证明</w:t>
            </w:r>
            <w:r>
              <w:rPr/>
              <w:t xml:space="preserve">  </w:t>
            </w:r>
            <w:r>
              <w:rPr>
                <w:spacing w:val="-2"/>
              </w:rPr>
              <w:t>自己没有过错的除外。2. 《上市公司重大资产重组管理办法》(证监会令第10</w:t>
            </w:r>
            <w:r>
              <w:rPr>
                <w:spacing w:val="-3"/>
              </w:rPr>
              <w:t>9号)第十七条：</w:t>
            </w:r>
            <w:r>
              <w:rPr/>
              <w:t xml:space="preserve"> </w:t>
            </w:r>
            <w:r>
              <w:rPr>
                <w:spacing w:val="-1"/>
              </w:rPr>
              <w:t>上市公司应当聘请独立财务顾问、律师事务所以及具有相关证券业务资格的会计师事务所等</w:t>
            </w:r>
            <w:r>
              <w:rPr>
                <w:spacing w:val="5"/>
              </w:rPr>
              <w:t xml:space="preserve">  </w:t>
            </w:r>
            <w:r>
              <w:rPr>
                <w:spacing w:val="-1"/>
              </w:rPr>
              <w:t>证券服务机构就重大资产重组出具意见。</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88992" behindDoc="0" locked="0" layoutInCell="0" allowOverlap="1">
                <wp:simplePos x="0" y="0"/>
                <wp:positionH relativeFrom="page">
                  <wp:posOffset>459815</wp:posOffset>
                </wp:positionH>
                <wp:positionV relativeFrom="page">
                  <wp:posOffset>618229</wp:posOffset>
                </wp:positionV>
                <wp:extent cx="190500" cy="173354"/>
                <wp:effectExtent l="0" t="0" r="0" b="0"/>
                <wp:wrapNone/>
                <wp:docPr id="476" name="TextBox 476"/>
                <wp:cNvGraphicFramePr/>
                <a:graphic>
                  <a:graphicData uri="http://schemas.microsoft.com/office/word/2010/wordprocessingShape">
                    <wps:wsp>
                      <wps:cNvSpPr txBox="1"/>
                      <wps:spPr>
                        <a:xfrm rot="5400000">
                          <a:off x="459815" y="618229"/>
                          <a:ext cx="190500"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3" w:line="183" w:lineRule="auto"/>
                              <w:rPr>
                                <w:rFonts w:ascii="SimSun" w:hAnsi="SimSun" w:eastAsia="SimSun" w:cs="SimSun"/>
                                <w:sz w:val="18"/>
                                <w:szCs w:val="18"/>
                              </w:rPr>
                            </w:pPr>
                            <w:r>
                              <w:rPr>
                                <w:rFonts w:ascii="SimSun" w:hAnsi="SimSun" w:eastAsia="SimSun" w:cs="SimSun"/>
                                <w:sz w:val="18"/>
                                <w:szCs w:val="18"/>
                                <w:spacing w:val="-3"/>
                              </w:rPr>
                              <w:t>326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8" style="position:absolute;margin-left:36.206pt;margin-top:48.6795pt;mso-position-vertical-relative:page;mso-position-horizontal-relative:page;width:15pt;height:13.65pt;z-index:251988992;rotation:90;" o:allowincell="f" filled="false" stroked="false" type="#_x0000_t202">
                <v:fill on="false"/>
                <v:stroke on="false"/>
                <v:path/>
                <v:imagedata o:title=""/>
                <o:lock v:ext="edit" aspectratio="false"/>
                <v:textbox inset="0mm,0mm,0mm,0mm">
                  <w:txbxContent>
                    <w:p>
                      <w:pPr>
                        <w:ind w:left="20"/>
                        <w:spacing w:before="73" w:line="183" w:lineRule="auto"/>
                        <w:rPr>
                          <w:rFonts w:ascii="SimSun" w:hAnsi="SimSun" w:eastAsia="SimSun" w:cs="SimSun"/>
                          <w:sz w:val="18"/>
                          <w:szCs w:val="18"/>
                        </w:rPr>
                      </w:pPr>
                      <w:r>
                        <w:rPr>
                          <w:rFonts w:ascii="SimSun" w:hAnsi="SimSun" w:eastAsia="SimSun" w:cs="SimSun"/>
                          <w:sz w:val="18"/>
                          <w:szCs w:val="18"/>
                          <w:spacing w:val="-3"/>
                        </w:rPr>
                        <w:t>326</w:t>
                      </w:r>
                    </w:p>
                  </w:txbxContent>
                </v:textbox>
              </v:shape>
            </w:pict>
          </mc:Fallback>
        </mc:AlternateContent>
      </w:r>
      <w:r/>
    </w:p>
    <w:p>
      <w:pPr>
        <w:spacing w:before="51"/>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54" w:hRule="atLeast"/>
        </w:trPr>
        <w:tc>
          <w:tcPr>
            <w:tcW w:w="295" w:type="dxa"/>
            <w:vAlign w:val="top"/>
            <w:textDirection w:val="tbRlV"/>
          </w:tcPr>
          <w:p>
            <w:pPr>
              <w:pStyle w:val="TableText"/>
              <w:ind w:left="27"/>
              <w:spacing w:before="70" w:line="217" w:lineRule="auto"/>
              <w:rPr/>
            </w:pPr>
            <w:r>
              <w:rPr/>
              <w:t>序</w:t>
            </w:r>
            <w:r>
              <w:rPr>
                <w:spacing w:val="16"/>
              </w:rPr>
              <w:t xml:space="preserve"> </w:t>
            </w:r>
            <w:r>
              <w:rPr/>
              <w:t>号</w:t>
            </w:r>
          </w:p>
        </w:tc>
        <w:tc>
          <w:tcPr>
            <w:tcW w:w="659" w:type="dxa"/>
            <w:vAlign w:val="top"/>
          </w:tcPr>
          <w:p>
            <w:pPr>
              <w:pStyle w:val="TableText"/>
              <w:ind w:left="20" w:right="22"/>
              <w:spacing w:before="60" w:line="236" w:lineRule="auto"/>
              <w:rPr/>
            </w:pPr>
            <w:r>
              <w:rPr>
                <w:spacing w:val="1"/>
              </w:rPr>
              <w:t>中介服务 </w:t>
            </w:r>
            <w:r>
              <w:rPr>
                <w:spacing w:val="-2"/>
              </w:rPr>
              <w:t>事项名称</w:t>
            </w:r>
          </w:p>
        </w:tc>
        <w:tc>
          <w:tcPr>
            <w:tcW w:w="1109" w:type="dxa"/>
            <w:vAlign w:val="top"/>
          </w:tcPr>
          <w:p>
            <w:pPr>
              <w:pStyle w:val="TableText"/>
              <w:ind w:left="239" w:right="35" w:hanging="219"/>
              <w:spacing w:before="61" w:line="233"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51" w:line="219" w:lineRule="auto"/>
              <w:rPr/>
            </w:pPr>
            <w:r>
              <w:rPr>
                <w:spacing w:val="4"/>
              </w:rPr>
              <w:t>审批部门</w:t>
            </w:r>
          </w:p>
        </w:tc>
        <w:tc>
          <w:tcPr>
            <w:tcW w:w="659" w:type="dxa"/>
            <w:vAlign w:val="top"/>
          </w:tcPr>
          <w:p>
            <w:pPr>
              <w:pStyle w:val="TableText"/>
              <w:ind w:left="22" w:right="18"/>
              <w:spacing w:before="4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50" w:line="219" w:lineRule="auto"/>
              <w:rPr/>
            </w:pPr>
            <w:r>
              <w:rPr>
                <w:spacing w:val="-2"/>
              </w:rPr>
              <w:t>设定依据</w:t>
            </w:r>
          </w:p>
        </w:tc>
      </w:tr>
      <w:tr>
        <w:trPr>
          <w:trHeight w:val="1647" w:hRule="atLeast"/>
        </w:trPr>
        <w:tc>
          <w:tcPr>
            <w:tcW w:w="295" w:type="dxa"/>
            <w:vAlign w:val="top"/>
          </w:tcPr>
          <w:p>
            <w:pPr>
              <w:pStyle w:val="TableText"/>
              <w:ind w:left="25"/>
              <w:spacing w:before="145" w:line="184" w:lineRule="auto"/>
              <w:rPr/>
            </w:pPr>
            <w:r>
              <w:rPr>
                <w:spacing w:val="-4"/>
              </w:rPr>
              <w:t>101</w:t>
            </w:r>
          </w:p>
        </w:tc>
        <w:tc>
          <w:tcPr>
            <w:tcW w:w="659" w:type="dxa"/>
            <w:vAlign w:val="top"/>
          </w:tcPr>
          <w:p>
            <w:pPr>
              <w:pStyle w:val="TableText"/>
              <w:ind w:left="10" w:right="10" w:firstLine="10"/>
              <w:spacing w:before="118" w:line="261" w:lineRule="auto"/>
              <w:jc w:val="both"/>
              <w:rPr/>
            </w:pPr>
            <w:r>
              <w:rPr>
                <w:spacing w:val="2"/>
              </w:rPr>
              <w:t>出具上市</w:t>
            </w:r>
            <w:r>
              <w:rPr/>
              <w:t xml:space="preserve"> </w:t>
            </w:r>
            <w:r>
              <w:rPr>
                <w:spacing w:val="-1"/>
              </w:rPr>
              <w:t>公司重大</w:t>
            </w:r>
            <w:r>
              <w:rPr>
                <w:spacing w:val="2"/>
              </w:rPr>
              <w:t xml:space="preserve"> </w:t>
            </w:r>
            <w:r>
              <w:rPr>
                <w:spacing w:val="7"/>
              </w:rPr>
              <w:t>购买、出</w:t>
            </w:r>
            <w:r>
              <w:rPr/>
              <w:t xml:space="preserve"> </w:t>
            </w:r>
            <w:r>
              <w:rPr>
                <w:spacing w:val="1"/>
              </w:rPr>
              <w:t>售、置换</w:t>
            </w:r>
            <w:r>
              <w:rPr/>
              <w:t xml:space="preserve"> </w:t>
            </w:r>
            <w:r>
              <w:rPr>
                <w:spacing w:val="-1"/>
              </w:rPr>
              <w:t>资产独立</w:t>
            </w:r>
            <w:r>
              <w:rPr/>
              <w:t xml:space="preserve"> </w:t>
            </w:r>
            <w:r>
              <w:rPr>
                <w:spacing w:val="6"/>
              </w:rPr>
              <w:t>财务顾问</w:t>
            </w:r>
            <w:r>
              <w:rPr>
                <w:spacing w:val="2"/>
              </w:rPr>
              <w:t xml:space="preserve"> </w:t>
            </w:r>
            <w:r>
              <w:rPr>
                <w:spacing w:val="-2"/>
              </w:rPr>
              <w:t>报告</w:t>
            </w:r>
          </w:p>
        </w:tc>
        <w:tc>
          <w:tcPr>
            <w:tcW w:w="1109" w:type="dxa"/>
            <w:vAlign w:val="top"/>
          </w:tcPr>
          <w:p>
            <w:pPr>
              <w:pStyle w:val="TableText"/>
              <w:ind w:left="20" w:firstLine="105"/>
              <w:spacing w:before="115" w:line="256" w:lineRule="auto"/>
              <w:rPr/>
            </w:pPr>
            <w:r>
              <w:rPr>
                <w:spacing w:val="-4"/>
              </w:rPr>
              <w:t>(44004)上市</w:t>
            </w:r>
            <w:r>
              <w:rPr>
                <w:spacing w:val="1"/>
              </w:rPr>
              <w:t xml:space="preserve">   </w:t>
            </w:r>
            <w:r>
              <w:rPr>
                <w:spacing w:val="4"/>
              </w:rPr>
              <w:t>公司重大购买、</w:t>
            </w:r>
            <w:r>
              <w:rPr/>
              <w:t xml:space="preserve"> </w:t>
            </w:r>
            <w:r>
              <w:rPr>
                <w:spacing w:val="-5"/>
              </w:rPr>
              <w:t>出售、置换资产</w:t>
            </w:r>
            <w:r>
              <w:rPr/>
              <w:t xml:space="preserve">  </w:t>
            </w:r>
            <w:r>
              <w:rPr>
                <w:spacing w:val="-3"/>
              </w:rPr>
              <w:t>行为(构成借壳  </w:t>
            </w:r>
            <w:r>
              <w:rPr>
                <w:spacing w:val="-4"/>
              </w:rPr>
              <w:t>上市的)审批</w:t>
            </w:r>
          </w:p>
        </w:tc>
        <w:tc>
          <w:tcPr>
            <w:tcW w:w="839" w:type="dxa"/>
            <w:vAlign w:val="top"/>
          </w:tcPr>
          <w:p>
            <w:pPr>
              <w:pStyle w:val="TableText"/>
              <w:ind w:left="182"/>
              <w:spacing w:before="96" w:line="219" w:lineRule="auto"/>
              <w:rPr/>
            </w:pPr>
            <w:r>
              <w:rPr>
                <w:spacing w:val="-2"/>
              </w:rPr>
              <w:t>证监会</w:t>
            </w:r>
          </w:p>
        </w:tc>
        <w:tc>
          <w:tcPr>
            <w:tcW w:w="659" w:type="dxa"/>
            <w:vAlign w:val="top"/>
          </w:tcPr>
          <w:p>
            <w:pPr>
              <w:pStyle w:val="TableText"/>
              <w:ind w:left="22"/>
              <w:spacing w:before="107" w:line="220" w:lineRule="auto"/>
              <w:rPr/>
            </w:pPr>
            <w:r>
              <w:rPr>
                <w:spacing w:val="5"/>
              </w:rPr>
              <w:t>证券公司</w:t>
            </w:r>
          </w:p>
        </w:tc>
        <w:tc>
          <w:tcPr>
            <w:tcW w:w="6088" w:type="dxa"/>
            <w:vAlign w:val="top"/>
          </w:tcPr>
          <w:p>
            <w:pPr>
              <w:pStyle w:val="TableText"/>
              <w:ind w:left="34"/>
              <w:spacing w:before="116" w:line="219" w:lineRule="auto"/>
              <w:rPr/>
            </w:pPr>
            <w:r>
              <w:rPr>
                <w:spacing w:val="-2"/>
              </w:rPr>
              <w:t>1. 《中华人民共和国证券法》第十九条：发行人依法申请核准发行证券所报送的申请文件的</w:t>
            </w:r>
          </w:p>
          <w:p>
            <w:pPr>
              <w:pStyle w:val="TableText"/>
              <w:ind w:left="34"/>
              <w:spacing w:before="42" w:line="219" w:lineRule="auto"/>
              <w:rPr/>
            </w:pPr>
            <w:r>
              <w:rPr/>
              <w:t>格式、报送方式，由依法负责核准的机构或者部门规定。第一百七十三条：</w:t>
            </w:r>
            <w:r>
              <w:rPr>
                <w:spacing w:val="-1"/>
              </w:rPr>
              <w:t>证券服务机构为</w:t>
            </w:r>
          </w:p>
          <w:p>
            <w:pPr>
              <w:pStyle w:val="TableText"/>
              <w:ind w:left="34"/>
              <w:spacing w:before="41" w:line="218" w:lineRule="auto"/>
              <w:rPr/>
            </w:pPr>
            <w:r>
              <w:rPr/>
              <w:t>证券发行、上市、交易等证券业务活动制作、出具审计报告、资产评估报告</w:t>
            </w:r>
            <w:r>
              <w:rPr>
                <w:spacing w:val="-1"/>
              </w:rPr>
              <w:t>、财务顾问报告</w:t>
            </w:r>
          </w:p>
          <w:p>
            <w:pPr>
              <w:pStyle w:val="TableText"/>
              <w:ind w:left="113"/>
              <w:spacing w:before="32" w:line="218" w:lineRule="auto"/>
              <w:rPr/>
            </w:pPr>
            <w:r>
              <w:rPr/>
              <w:t>资信评级报告或者法律意见书等文件，应当勤勉尽责，对所</w:t>
            </w:r>
            <w:r>
              <w:rPr>
                <w:spacing w:val="-1"/>
              </w:rPr>
              <w:t>依据的文件资料内容的真实性</w:t>
            </w:r>
          </w:p>
          <w:p>
            <w:pPr>
              <w:pStyle w:val="TableText"/>
              <w:ind w:left="34" w:right="49"/>
              <w:spacing w:before="54" w:line="253" w:lineRule="auto"/>
              <w:jc w:val="both"/>
              <w:rPr/>
            </w:pPr>
            <w:r>
              <w:rPr>
                <w:spacing w:val="-2"/>
              </w:rPr>
              <w:t>准确性、完整性进行核查和验证。2. 《上市公司重大资产重组管理办法》(证监会令</w:t>
            </w:r>
            <w:r>
              <w:rPr>
                <w:spacing w:val="-3"/>
              </w:rPr>
              <w:t>第109号</w:t>
            </w:r>
            <w:r>
              <w:rPr/>
              <w:t xml:space="preserve"> </w:t>
            </w:r>
            <w:r>
              <w:rPr/>
              <w:t>第十七条：上市公司应当聘请独立财务顾问、律师事务所以及具有相关证券</w:t>
            </w:r>
            <w:r>
              <w:rPr>
                <w:spacing w:val="-1"/>
              </w:rPr>
              <w:t>业务资格的会计</w:t>
            </w:r>
            <w:r>
              <w:rPr/>
              <w:t xml:space="preserve"> </w:t>
            </w:r>
            <w:r>
              <w:rPr>
                <w:spacing w:val="-1"/>
              </w:rPr>
              <w:t>师事务所等证券服务机构就重大资产重组出具意见。</w:t>
            </w:r>
          </w:p>
        </w:tc>
      </w:tr>
      <w:tr>
        <w:trPr>
          <w:trHeight w:val="2046" w:hRule="atLeast"/>
        </w:trPr>
        <w:tc>
          <w:tcPr>
            <w:tcW w:w="295" w:type="dxa"/>
            <w:vAlign w:val="top"/>
          </w:tcPr>
          <w:p>
            <w:pPr>
              <w:pStyle w:val="TableText"/>
              <w:ind w:left="25"/>
              <w:spacing w:before="138" w:line="184" w:lineRule="auto"/>
              <w:rPr/>
            </w:pPr>
            <w:r>
              <w:rPr>
                <w:spacing w:val="-4"/>
              </w:rPr>
              <w:t>102</w:t>
            </w:r>
          </w:p>
        </w:tc>
        <w:tc>
          <w:tcPr>
            <w:tcW w:w="659" w:type="dxa"/>
            <w:vAlign w:val="top"/>
          </w:tcPr>
          <w:p>
            <w:pPr>
              <w:pStyle w:val="TableText"/>
              <w:ind w:left="20" w:right="20"/>
              <w:spacing w:before="90" w:line="260" w:lineRule="auto"/>
              <w:jc w:val="both"/>
              <w:rPr/>
            </w:pPr>
            <w:r>
              <w:rPr>
                <w:spacing w:val="2"/>
              </w:rPr>
              <w:t>出具上市</w:t>
            </w:r>
            <w:r>
              <w:rPr/>
              <w:t xml:space="preserve"> </w:t>
            </w:r>
            <w:r>
              <w:rPr>
                <w:spacing w:val="-3"/>
              </w:rPr>
              <w:t>公司发行</w:t>
            </w:r>
            <w:r>
              <w:rPr/>
              <w:t xml:space="preserve"> </w:t>
            </w:r>
            <w:r>
              <w:rPr>
                <w:spacing w:val="-2"/>
              </w:rPr>
              <w:t>股份购买</w:t>
            </w:r>
            <w:r>
              <w:rPr>
                <w:spacing w:val="1"/>
              </w:rPr>
              <w:t xml:space="preserve"> </w:t>
            </w:r>
            <w:r>
              <w:rPr>
                <w:spacing w:val="-4"/>
              </w:rPr>
              <w:t>资产法律</w:t>
            </w:r>
            <w:r>
              <w:rPr>
                <w:spacing w:val="2"/>
              </w:rPr>
              <w:t xml:space="preserve"> </w:t>
            </w:r>
            <w:r>
              <w:rPr>
                <w:spacing w:val="-3"/>
              </w:rPr>
              <w:t>意见书</w:t>
            </w:r>
          </w:p>
        </w:tc>
        <w:tc>
          <w:tcPr>
            <w:tcW w:w="1109" w:type="dxa"/>
            <w:vAlign w:val="top"/>
          </w:tcPr>
          <w:p>
            <w:pPr>
              <w:pStyle w:val="TableText"/>
              <w:ind w:left="20" w:right="38" w:firstLine="110"/>
              <w:spacing w:before="100" w:line="245" w:lineRule="auto"/>
              <w:rPr/>
            </w:pPr>
            <w:r>
              <w:rPr/>
              <w:t>(44006)上市</w:t>
            </w:r>
            <w:r>
              <w:rPr>
                <w:spacing w:val="1"/>
              </w:rPr>
              <w:t xml:space="preserve">  </w:t>
            </w:r>
            <w:r>
              <w:rPr>
                <w:spacing w:val="-2"/>
              </w:rPr>
              <w:t>公司发行股份购</w:t>
            </w:r>
            <w:r>
              <w:rPr>
                <w:spacing w:val="2"/>
              </w:rPr>
              <w:t xml:space="preserve"> </w:t>
            </w:r>
            <w:r>
              <w:rPr>
                <w:spacing w:val="1"/>
              </w:rPr>
              <w:t>买资产核准</w:t>
            </w:r>
          </w:p>
        </w:tc>
        <w:tc>
          <w:tcPr>
            <w:tcW w:w="839" w:type="dxa"/>
            <w:vAlign w:val="top"/>
          </w:tcPr>
          <w:p>
            <w:pPr>
              <w:pStyle w:val="TableText"/>
              <w:ind w:left="182"/>
              <w:spacing w:before="79" w:line="219" w:lineRule="auto"/>
              <w:rPr/>
            </w:pPr>
            <w:r>
              <w:rPr>
                <w:spacing w:val="-2"/>
              </w:rPr>
              <w:t>证监会</w:t>
            </w:r>
          </w:p>
        </w:tc>
        <w:tc>
          <w:tcPr>
            <w:tcW w:w="659" w:type="dxa"/>
            <w:vAlign w:val="top"/>
          </w:tcPr>
          <w:p>
            <w:pPr>
              <w:pStyle w:val="TableText"/>
              <w:ind w:left="12" w:right="31" w:firstLine="10"/>
              <w:spacing w:before="79" w:line="252" w:lineRule="auto"/>
              <w:rPr/>
            </w:pPr>
            <w:r>
              <w:rPr>
                <w:spacing w:val="-2"/>
              </w:rPr>
              <w:t>律师事务</w:t>
            </w:r>
            <w:r>
              <w:rPr>
                <w:spacing w:val="1"/>
              </w:rPr>
              <w:t xml:space="preserve"> </w:t>
            </w:r>
            <w:r>
              <w:rPr/>
              <w:t>所</w:t>
            </w:r>
          </w:p>
        </w:tc>
        <w:tc>
          <w:tcPr>
            <w:tcW w:w="6088" w:type="dxa"/>
            <w:vAlign w:val="top"/>
          </w:tcPr>
          <w:p>
            <w:pPr>
              <w:pStyle w:val="TableText"/>
              <w:ind w:left="24" w:right="27" w:firstLine="10"/>
              <w:spacing w:before="98" w:line="265"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格式、报送方式，由依法负责核准的机构或者部门规定。第一百七十三条：证券服务机构为</w:t>
            </w:r>
            <w:r>
              <w:rPr>
                <w:spacing w:val="3"/>
              </w:rPr>
              <w:t xml:space="preserve"> </w:t>
            </w:r>
            <w:r>
              <w:rPr/>
              <w:t>证券的发行、上市、交易等证券业务活动制作、出具审计报告、资产评估报告、财务顾问报</w:t>
            </w:r>
            <w:r>
              <w:rPr>
                <w:spacing w:val="3"/>
              </w:rPr>
              <w:t xml:space="preserve"> </w:t>
            </w:r>
            <w:r>
              <w:rPr/>
              <w:t>告、资信评级报告或者法律意见书等文件，应当勤勉尽责，对所制作、出具的文件内容的真 </w:t>
            </w:r>
            <w:r>
              <w:rPr/>
              <w:t>实性、准确性、完整性进行核查和验证。其制作、出具的文件有虚假记载、误导性陈述或者 </w:t>
            </w:r>
            <w:r>
              <w:rPr>
                <w:spacing w:val="1"/>
              </w:rPr>
              <w:t>重大遗漏，给他人造成损失的，应当与发行人、上市公司</w:t>
            </w:r>
            <w:r>
              <w:rPr/>
              <w:t>承担连带赔偿责任，但是能够证明 </w:t>
            </w:r>
            <w:r>
              <w:rPr>
                <w:spacing w:val="-1"/>
              </w:rPr>
              <w:t>自己没有过错的除外。2. 《上市公司重大资产重组管理办法》(证监会令第109号)第十七条</w:t>
            </w:r>
            <w:r>
              <w:rPr>
                <w:spacing w:val="6"/>
              </w:rPr>
              <w:t xml:space="preserve">  </w:t>
            </w:r>
            <w:r>
              <w:rPr/>
              <w:t>上市公司应当聘请独立财务顾问、律师事务所以及具有相关证券业务资格的会计师事务所等</w:t>
            </w:r>
            <w:r>
              <w:rPr>
                <w:spacing w:val="1"/>
              </w:rPr>
              <w:t xml:space="preserve"> </w:t>
            </w:r>
            <w:r>
              <w:rPr>
                <w:spacing w:val="-1"/>
              </w:rPr>
              <w:t>证券服务机构就重大资产重组出具意见。</w:t>
            </w:r>
          </w:p>
        </w:tc>
      </w:tr>
      <w:tr>
        <w:trPr>
          <w:trHeight w:val="2082" w:hRule="atLeast"/>
        </w:trPr>
        <w:tc>
          <w:tcPr>
            <w:tcW w:w="295" w:type="dxa"/>
            <w:vAlign w:val="top"/>
          </w:tcPr>
          <w:p>
            <w:pPr>
              <w:pStyle w:val="TableText"/>
              <w:ind w:left="25"/>
              <w:spacing w:before="152" w:line="184" w:lineRule="auto"/>
              <w:rPr/>
            </w:pPr>
            <w:r>
              <w:rPr>
                <w:spacing w:val="-4"/>
              </w:rPr>
              <w:t>103</w:t>
            </w:r>
          </w:p>
        </w:tc>
        <w:tc>
          <w:tcPr>
            <w:tcW w:w="659" w:type="dxa"/>
            <w:vAlign w:val="top"/>
          </w:tcPr>
          <w:p>
            <w:pPr>
              <w:pStyle w:val="TableText"/>
              <w:ind w:left="10" w:right="20" w:firstLine="10"/>
              <w:spacing w:before="113" w:line="260" w:lineRule="auto"/>
              <w:jc w:val="both"/>
              <w:rPr/>
            </w:pPr>
            <w:r>
              <w:rPr>
                <w:spacing w:val="2"/>
              </w:rPr>
              <w:t>出具上市</w:t>
            </w:r>
            <w:r>
              <w:rPr/>
              <w:t xml:space="preserve"> </w:t>
            </w:r>
            <w:r>
              <w:rPr>
                <w:spacing w:val="-1"/>
              </w:rPr>
              <w:t>公司发行</w:t>
            </w:r>
            <w:r>
              <w:rPr>
                <w:spacing w:val="2"/>
              </w:rPr>
              <w:t xml:space="preserve"> </w:t>
            </w:r>
            <w:r>
              <w:rPr>
                <w:spacing w:val="1"/>
              </w:rPr>
              <w:t>股份购买</w:t>
            </w:r>
            <w:r>
              <w:rPr/>
              <w:t xml:space="preserve"> </w:t>
            </w:r>
            <w:r>
              <w:rPr>
                <w:spacing w:val="-1"/>
              </w:rPr>
              <w:t>资产审计</w:t>
            </w:r>
            <w:r>
              <w:rPr/>
              <w:t xml:space="preserve"> </w:t>
            </w:r>
            <w:r>
              <w:rPr>
                <w:spacing w:val="-2"/>
              </w:rPr>
              <w:t>报告</w:t>
            </w:r>
          </w:p>
        </w:tc>
        <w:tc>
          <w:tcPr>
            <w:tcW w:w="1109" w:type="dxa"/>
            <w:vAlign w:val="top"/>
          </w:tcPr>
          <w:p>
            <w:pPr>
              <w:pStyle w:val="TableText"/>
              <w:ind w:left="20" w:right="38" w:firstLine="30"/>
              <w:spacing w:before="103" w:line="258" w:lineRule="auto"/>
              <w:jc w:val="both"/>
              <w:rPr/>
            </w:pPr>
            <w:r>
              <w:rPr>
                <w:spacing w:val="-1"/>
              </w:rPr>
              <w:t>(44006)</w:t>
            </w:r>
            <w:r>
              <w:rPr>
                <w:spacing w:val="10"/>
              </w:rPr>
              <w:t xml:space="preserve">  </w:t>
            </w:r>
            <w:r>
              <w:rPr>
                <w:spacing w:val="-1"/>
              </w:rPr>
              <w:t>上市</w:t>
            </w:r>
            <w:r>
              <w:rPr>
                <w:spacing w:val="1"/>
              </w:rPr>
              <w:t xml:space="preserve"> </w:t>
            </w:r>
            <w:r>
              <w:rPr>
                <w:spacing w:val="-2"/>
              </w:rPr>
              <w:t>公司发行股份购</w:t>
            </w:r>
            <w:r>
              <w:rPr>
                <w:spacing w:val="2"/>
              </w:rPr>
              <w:t xml:space="preserve"> </w:t>
            </w:r>
            <w:r>
              <w:rPr>
                <w:spacing w:val="1"/>
              </w:rPr>
              <w:t>买资产核准</w:t>
            </w:r>
          </w:p>
        </w:tc>
        <w:tc>
          <w:tcPr>
            <w:tcW w:w="839" w:type="dxa"/>
            <w:vAlign w:val="top"/>
          </w:tcPr>
          <w:p>
            <w:pPr>
              <w:pStyle w:val="TableText"/>
              <w:ind w:left="182"/>
              <w:spacing w:before="103" w:line="219" w:lineRule="auto"/>
              <w:rPr/>
            </w:pPr>
            <w:r>
              <w:rPr>
                <w:spacing w:val="-2"/>
              </w:rPr>
              <w:t>证监会</w:t>
            </w:r>
          </w:p>
        </w:tc>
        <w:tc>
          <w:tcPr>
            <w:tcW w:w="659" w:type="dxa"/>
            <w:vAlign w:val="top"/>
          </w:tcPr>
          <w:p>
            <w:pPr>
              <w:pStyle w:val="TableText"/>
              <w:ind w:left="12" w:right="31" w:firstLine="10"/>
              <w:spacing w:before="104" w:line="245" w:lineRule="auto"/>
              <w:rPr/>
            </w:pPr>
            <w:r>
              <w:rPr>
                <w:spacing w:val="-2"/>
              </w:rPr>
              <w:t>会计师事</w:t>
            </w:r>
            <w:r>
              <w:rPr>
                <w:spacing w:val="1"/>
              </w:rPr>
              <w:t xml:space="preserve"> </w:t>
            </w:r>
            <w:r>
              <w:rPr>
                <w:spacing w:val="-2"/>
              </w:rPr>
              <w:t>务所</w:t>
            </w:r>
          </w:p>
        </w:tc>
        <w:tc>
          <w:tcPr>
            <w:tcW w:w="6088" w:type="dxa"/>
            <w:vAlign w:val="top"/>
          </w:tcPr>
          <w:p>
            <w:pPr>
              <w:pStyle w:val="TableText"/>
              <w:ind w:left="24" w:right="27" w:firstLine="10"/>
              <w:spacing w:before="120" w:line="264"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格式、报送方式，由依法负责核准的机构或者部门规定。第一百七十三条：证券服务机构为</w:t>
            </w:r>
            <w:r>
              <w:rPr>
                <w:spacing w:val="3"/>
              </w:rPr>
              <w:t xml:space="preserve"> </w:t>
            </w:r>
            <w:r>
              <w:rPr>
                <w:spacing w:val="1"/>
              </w:rPr>
              <w:t>证券的发行 上市、交易等证券业务活动制作、出具审计报告、资产评估报告、财务顾问报  </w:t>
            </w:r>
            <w:r>
              <w:rPr/>
              <w:t>告、资信评级报告或者法律意见书等文件，应当勤勉尽责，对所制作、出具的文件内容的真 </w:t>
            </w:r>
            <w:r>
              <w:rPr/>
              <w:t>实性、准确性、完整性进行核查和验证。其制作、出具的文件有虚假记载、误导性陈述或者 </w:t>
            </w:r>
            <w:r>
              <w:rPr>
                <w:spacing w:val="1"/>
              </w:rPr>
              <w:t>重大遗漏，给他人造成损失的，应当与发行人、上市公司</w:t>
            </w:r>
            <w:r>
              <w:rPr/>
              <w:t>承担连带赔偿责任，但是能够证明 </w:t>
            </w:r>
            <w:r>
              <w:rPr>
                <w:spacing w:val="-1"/>
              </w:rPr>
              <w:t>自己没有过错的除外。2. 《上市公司重大资产重组管理办法》(证监会令第109号)第十七条</w:t>
            </w:r>
            <w:r>
              <w:rPr>
                <w:spacing w:val="6"/>
              </w:rPr>
              <w:t xml:space="preserve">  </w:t>
            </w:r>
            <w:r>
              <w:rPr/>
              <w:t>上市公司应当聘请独立财务顾问、律师事务所以及具有相关证券业务资格的会计师事务所等</w:t>
            </w:r>
            <w:r>
              <w:rPr>
                <w:spacing w:val="1"/>
              </w:rPr>
              <w:t xml:space="preserve"> </w:t>
            </w:r>
            <w:r>
              <w:rPr>
                <w:spacing w:val="-1"/>
              </w:rPr>
              <w:t>证券服务机构就重大资产重组出具意见。</w:t>
            </w:r>
          </w:p>
        </w:tc>
      </w:tr>
    </w:tbl>
    <w:p>
      <w:pPr>
        <w:pStyle w:val="BodyText"/>
        <w:rPr/>
      </w:pPr>
      <w:r/>
    </w:p>
    <w:p>
      <w:pPr>
        <w:sectPr>
          <w:pgSz w:w="11910" w:h="8220"/>
          <w:pgMar w:top="400" w:right="1125" w:bottom="400" w:left="811" w:header="0" w:footer="0" w:gutter="0"/>
        </w:sectPr>
        <w:rPr/>
      </w:pPr>
    </w:p>
    <w:p>
      <w:pPr>
        <w:spacing w:before="51"/>
        <w:rPr/>
      </w:pPr>
      <w:r>
        <mc:AlternateContent xmlns:mc="http://schemas.openxmlformats.org/markup-compatibility/2006">
          <mc:Choice Requires="wps">
            <w:drawing>
              <wp:anchor distT="0" distB="0" distL="0" distR="0" simplePos="0" relativeHeight="251990016" behindDoc="0" locked="0" layoutInCell="0" allowOverlap="1">
                <wp:simplePos x="0" y="0"/>
                <wp:positionH relativeFrom="page">
                  <wp:posOffset>470816</wp:posOffset>
                </wp:positionH>
                <wp:positionV relativeFrom="page">
                  <wp:posOffset>4376497</wp:posOffset>
                </wp:positionV>
                <wp:extent cx="172085" cy="156845"/>
                <wp:effectExtent l="0" t="0" r="0" b="0"/>
                <wp:wrapNone/>
                <wp:docPr id="478" name="TextBox 478"/>
                <wp:cNvGraphicFramePr/>
                <a:graphic>
                  <a:graphicData uri="http://schemas.microsoft.com/office/word/2010/wordprocessingShape">
                    <wps:wsp>
                      <wps:cNvSpPr txBox="1"/>
                      <wps:spPr>
                        <a:xfrm rot="5400000">
                          <a:off x="470816" y="4376497"/>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30" style="position:absolute;margin-left:37.0722pt;margin-top:344.606pt;mso-position-vertical-relative:page;mso-position-horizontal-relative:page;width:13.55pt;height:12.35pt;z-index:25199001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327</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cPr>
          <w:p>
            <w:pPr>
              <w:pStyle w:val="TableText"/>
              <w:ind w:left="65"/>
              <w:spacing w:before="52" w:line="197" w:lineRule="auto"/>
              <w:rPr/>
            </w:pPr>
            <w:r>
              <w:rPr/>
              <w:t>序</w:t>
            </w:r>
          </w:p>
          <w:p>
            <w:pPr>
              <w:pStyle w:val="TableText"/>
              <w:ind w:left="65"/>
              <w:spacing w:line="220" w:lineRule="auto"/>
              <w:rPr/>
            </w:pPr>
            <w:r>
              <w:rPr/>
              <w:t>号</w:t>
            </w:r>
          </w:p>
        </w:tc>
        <w:tc>
          <w:tcPr>
            <w:tcW w:w="669" w:type="dxa"/>
            <w:vAlign w:val="top"/>
          </w:tcPr>
          <w:p>
            <w:pPr>
              <w:pStyle w:val="TableText"/>
              <w:ind w:left="2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815" w:hRule="atLeast"/>
        </w:trPr>
        <w:tc>
          <w:tcPr>
            <w:tcW w:w="295" w:type="dxa"/>
            <w:vAlign w:val="top"/>
          </w:tcPr>
          <w:p>
            <w:pPr>
              <w:spacing w:line="473" w:lineRule="auto"/>
              <w:rPr>
                <w:rFonts w:ascii="Arial"/>
                <w:sz w:val="21"/>
              </w:rPr>
            </w:pPr>
            <w:r/>
          </w:p>
          <w:p>
            <w:pPr>
              <w:pStyle w:val="TableText"/>
              <w:ind w:right="6"/>
              <w:spacing w:before="49" w:line="184" w:lineRule="auto"/>
              <w:jc w:val="right"/>
              <w:rPr/>
            </w:pPr>
            <w:r>
              <w:rPr>
                <w:spacing w:val="-4"/>
              </w:rPr>
              <w:t>104</w:t>
            </w:r>
          </w:p>
        </w:tc>
        <w:tc>
          <w:tcPr>
            <w:tcW w:w="669" w:type="dxa"/>
            <w:vAlign w:val="top"/>
          </w:tcPr>
          <w:p>
            <w:pPr>
              <w:spacing w:line="403" w:lineRule="auto"/>
              <w:rPr>
                <w:rFonts w:ascii="Arial"/>
                <w:sz w:val="21"/>
              </w:rPr>
            </w:pPr>
            <w:r/>
          </w:p>
          <w:p>
            <w:pPr>
              <w:pStyle w:val="TableText"/>
              <w:ind w:left="20" w:right="21"/>
              <w:spacing w:before="49" w:line="258" w:lineRule="auto"/>
              <w:jc w:val="both"/>
              <w:rPr/>
            </w:pPr>
            <w:r>
              <w:rPr>
                <w:spacing w:val="2"/>
              </w:rPr>
              <w:t>出具上市</w:t>
            </w:r>
            <w:r>
              <w:rPr/>
              <w:t xml:space="preserve"> </w:t>
            </w:r>
            <w:r>
              <w:rPr>
                <w:spacing w:val="-3"/>
              </w:rPr>
              <w:t>公司发行</w:t>
            </w:r>
            <w:r>
              <w:rPr/>
              <w:t xml:space="preserve"> </w:t>
            </w:r>
            <w:r>
              <w:rPr>
                <w:spacing w:val="-2"/>
              </w:rPr>
              <w:t>股份购买</w:t>
            </w:r>
            <w:r>
              <w:rPr>
                <w:spacing w:val="1"/>
              </w:rPr>
              <w:t xml:space="preserve"> </w:t>
            </w:r>
            <w:r>
              <w:rPr>
                <w:spacing w:val="-4"/>
              </w:rPr>
              <w:t>资产独立</w:t>
            </w:r>
            <w:r>
              <w:rPr>
                <w:spacing w:val="2"/>
              </w:rPr>
              <w:t xml:space="preserve"> </w:t>
            </w:r>
            <w:r>
              <w:rPr>
                <w:spacing w:val="4"/>
              </w:rPr>
              <w:t>财务顾问</w:t>
            </w:r>
            <w:r>
              <w:rPr/>
              <w:t xml:space="preserve"> </w:t>
            </w:r>
            <w:r>
              <w:rPr>
                <w:spacing w:val="-2"/>
              </w:rPr>
              <w:t>报告</w:t>
            </w:r>
          </w:p>
        </w:tc>
        <w:tc>
          <w:tcPr>
            <w:tcW w:w="1109" w:type="dxa"/>
            <w:vAlign w:val="top"/>
          </w:tcPr>
          <w:p>
            <w:pPr>
              <w:spacing w:line="414" w:lineRule="auto"/>
              <w:rPr>
                <w:rFonts w:ascii="Arial"/>
                <w:sz w:val="21"/>
              </w:rPr>
            </w:pPr>
            <w:r/>
          </w:p>
          <w:p>
            <w:pPr>
              <w:pStyle w:val="TableText"/>
              <w:ind w:left="20" w:right="38" w:firstLine="20"/>
              <w:spacing w:before="49" w:line="254" w:lineRule="auto"/>
              <w:jc w:val="both"/>
              <w:rPr/>
            </w:pPr>
            <w:r>
              <w:rPr>
                <w:spacing w:val="20"/>
              </w:rPr>
              <w:t>(44006)上市</w:t>
            </w:r>
            <w:r>
              <w:rPr>
                <w:spacing w:val="2"/>
              </w:rPr>
              <w:t xml:space="preserve"> </w:t>
            </w:r>
            <w:r>
              <w:rPr>
                <w:spacing w:val="-2"/>
              </w:rPr>
              <w:t>公司发行股份购</w:t>
            </w:r>
            <w:r>
              <w:rPr>
                <w:spacing w:val="2"/>
              </w:rPr>
              <w:t xml:space="preserve"> </w:t>
            </w:r>
            <w:r>
              <w:rPr>
                <w:spacing w:val="-1"/>
              </w:rPr>
              <w:t>买资产核准</w:t>
            </w:r>
          </w:p>
        </w:tc>
        <w:tc>
          <w:tcPr>
            <w:tcW w:w="829" w:type="dxa"/>
            <w:vAlign w:val="top"/>
          </w:tcPr>
          <w:p>
            <w:pPr>
              <w:spacing w:line="385" w:lineRule="auto"/>
              <w:rPr>
                <w:rFonts w:ascii="Arial"/>
                <w:sz w:val="21"/>
              </w:rPr>
            </w:pPr>
            <w:r/>
          </w:p>
          <w:p>
            <w:pPr>
              <w:pStyle w:val="TableText"/>
              <w:ind w:left="182"/>
              <w:spacing w:before="48" w:line="219" w:lineRule="auto"/>
              <w:rPr/>
            </w:pPr>
            <w:r>
              <w:rPr>
                <w:spacing w:val="-2"/>
              </w:rPr>
              <w:t>证监会</w:t>
            </w:r>
          </w:p>
        </w:tc>
        <w:tc>
          <w:tcPr>
            <w:tcW w:w="669" w:type="dxa"/>
            <w:vAlign w:val="top"/>
          </w:tcPr>
          <w:p>
            <w:pPr>
              <w:spacing w:line="416" w:lineRule="auto"/>
              <w:rPr>
                <w:rFonts w:ascii="Arial"/>
                <w:sz w:val="21"/>
              </w:rPr>
            </w:pPr>
            <w:r/>
          </w:p>
          <w:p>
            <w:pPr>
              <w:pStyle w:val="TableText"/>
              <w:ind w:left="22"/>
              <w:spacing w:before="49" w:line="220" w:lineRule="auto"/>
              <w:rPr/>
            </w:pPr>
            <w:r>
              <w:rPr>
                <w:spacing w:val="5"/>
              </w:rPr>
              <w:t>证券公司</w:t>
            </w:r>
          </w:p>
        </w:tc>
        <w:tc>
          <w:tcPr>
            <w:tcW w:w="6098" w:type="dxa"/>
            <w:vAlign w:val="top"/>
          </w:tcPr>
          <w:p>
            <w:pPr>
              <w:spacing w:line="415" w:lineRule="auto"/>
              <w:rPr>
                <w:rFonts w:ascii="Arial"/>
                <w:sz w:val="21"/>
              </w:rPr>
            </w:pPr>
            <w:r/>
          </w:p>
          <w:p>
            <w:pPr>
              <w:pStyle w:val="TableText"/>
              <w:ind w:left="14" w:firstLine="29"/>
              <w:spacing w:before="48" w:line="265" w:lineRule="auto"/>
              <w:jc w:val="both"/>
              <w:rPr/>
            </w:pPr>
            <w:r>
              <w:rPr>
                <w:spacing w:val="-2"/>
              </w:rPr>
              <w:t>1. 《中华人民共和国证券法》第十九条</w:t>
            </w:r>
            <w:r>
              <w:rPr>
                <w:spacing w:val="-3"/>
              </w:rPr>
              <w:t>：发行人依法申请核准发行证券所报送的申请文件的</w:t>
            </w:r>
            <w:r>
              <w:rPr/>
              <w:t xml:space="preserve">  </w:t>
            </w:r>
            <w:r>
              <w:rPr/>
              <w:t>格式、报送方式，由依法负责核准的机构或者部门规定。第一百七十三条</w:t>
            </w:r>
            <w:r>
              <w:rPr>
                <w:spacing w:val="-1"/>
              </w:rPr>
              <w:t>：证券服务机构为</w:t>
            </w:r>
            <w:r>
              <w:rPr/>
              <w:t xml:space="preserve">  </w:t>
            </w:r>
            <w:r>
              <w:rPr/>
              <w:t>证券的发行、上市、交易等证券业务活动制作、出具审计报告、资产评估</w:t>
            </w:r>
            <w:r>
              <w:rPr>
                <w:spacing w:val="-1"/>
              </w:rPr>
              <w:t>报告、财务顾问报</w:t>
            </w:r>
            <w:r>
              <w:rPr/>
              <w:t xml:space="preserve">  </w:t>
            </w:r>
            <w:r>
              <w:rPr/>
              <w:t>告、资信评级报告或者法律意见书等文件，应当勤勉尽责，对所</w:t>
            </w:r>
            <w:r>
              <w:rPr>
                <w:spacing w:val="-1"/>
              </w:rPr>
              <w:t>制作、出具的文件内容的真</w:t>
            </w:r>
            <w:r>
              <w:rPr/>
              <w:t xml:space="preserve">  </w:t>
            </w:r>
            <w:r>
              <w:rPr/>
              <w:t>实性、准确性、完整性进行核查和验证。其制作、出具的文件有</w:t>
            </w:r>
            <w:r>
              <w:rPr>
                <w:spacing w:val="-1"/>
              </w:rPr>
              <w:t>虚假记载、误导性陈述或者</w:t>
            </w:r>
            <w:r>
              <w:rPr/>
              <w:t xml:space="preserve">  </w:t>
            </w:r>
            <w:r>
              <w:rPr/>
              <w:t>重大遗漏，给他人造成损失的，应当与发行人、上市公司承担连带赔偿责任，但是能够证明</w:t>
            </w:r>
            <w:r>
              <w:rPr>
                <w:spacing w:val="7"/>
              </w:rPr>
              <w:t xml:space="preserve">  </w:t>
            </w:r>
            <w:r>
              <w:rPr>
                <w:spacing w:val="-2"/>
              </w:rPr>
              <w:t>自己没有过错的除外。2. 《上市公司重大资产重组管理办法》(证监会令第109号)第十七条：</w:t>
            </w:r>
            <w:r>
              <w:rPr>
                <w:spacing w:val="12"/>
              </w:rPr>
              <w:t xml:space="preserve"> </w:t>
            </w:r>
            <w:r>
              <w:rPr/>
              <w:t>上市公司应当聘请独立财务顾问、律师事务所以及具有相关证券业务</w:t>
            </w:r>
            <w:r>
              <w:rPr>
                <w:spacing w:val="-1"/>
              </w:rPr>
              <w:t>资格的会计师事务所等</w:t>
            </w:r>
            <w:r>
              <w:rPr/>
              <w:t xml:space="preserve">  </w:t>
            </w:r>
            <w:r>
              <w:rPr>
                <w:spacing w:val="-2"/>
              </w:rPr>
              <w:t>证券服务机构就重大资产重组出具意见</w:t>
            </w:r>
          </w:p>
        </w:tc>
      </w:tr>
      <w:tr>
        <w:trPr>
          <w:trHeight w:val="2840" w:hRule="atLeast"/>
        </w:trPr>
        <w:tc>
          <w:tcPr>
            <w:tcW w:w="295" w:type="dxa"/>
            <w:vAlign w:val="top"/>
          </w:tcPr>
          <w:p>
            <w:pPr>
              <w:spacing w:line="478" w:lineRule="auto"/>
              <w:rPr>
                <w:rFonts w:ascii="Arial"/>
                <w:sz w:val="21"/>
              </w:rPr>
            </w:pPr>
            <w:r/>
          </w:p>
          <w:p>
            <w:pPr>
              <w:pStyle w:val="TableText"/>
              <w:ind w:left="25"/>
              <w:spacing w:before="49" w:line="184" w:lineRule="auto"/>
              <w:rPr/>
            </w:pPr>
            <w:r>
              <w:rPr>
                <w:spacing w:val="-4"/>
              </w:rPr>
              <w:t>105</w:t>
            </w:r>
          </w:p>
        </w:tc>
        <w:tc>
          <w:tcPr>
            <w:tcW w:w="669" w:type="dxa"/>
            <w:vAlign w:val="top"/>
          </w:tcPr>
          <w:p>
            <w:pPr>
              <w:spacing w:line="419" w:lineRule="auto"/>
              <w:rPr>
                <w:rFonts w:ascii="Arial"/>
                <w:sz w:val="21"/>
              </w:rPr>
            </w:pPr>
            <w:r/>
          </w:p>
          <w:p>
            <w:pPr>
              <w:pStyle w:val="TableText"/>
              <w:ind w:left="10" w:right="30" w:firstLine="10"/>
              <w:spacing w:before="49" w:line="258" w:lineRule="auto"/>
              <w:jc w:val="both"/>
              <w:rPr/>
            </w:pPr>
            <w:r>
              <w:rPr>
                <w:spacing w:val="2"/>
              </w:rPr>
              <w:t>出具上市</w:t>
            </w:r>
            <w:r>
              <w:rPr/>
              <w:t xml:space="preserve"> </w:t>
            </w:r>
            <w:r>
              <w:rPr>
                <w:spacing w:val="-7"/>
              </w:rPr>
              <w:t>公</w:t>
            </w:r>
            <w:r>
              <w:rPr>
                <w:spacing w:val="21"/>
              </w:rPr>
              <w:t xml:space="preserve"> </w:t>
            </w:r>
            <w:r>
              <w:rPr>
                <w:spacing w:val="-7"/>
              </w:rPr>
              <w:t>司</w:t>
            </w:r>
            <w:r>
              <w:rPr>
                <w:spacing w:val="15"/>
              </w:rPr>
              <w:t xml:space="preserve"> </w:t>
            </w:r>
            <w:r>
              <w:rPr>
                <w:spacing w:val="-7"/>
              </w:rPr>
              <w:t>合</w:t>
            </w:r>
            <w:r>
              <w:rPr/>
              <w:t xml:space="preserve"> </w:t>
            </w:r>
            <w:r>
              <w:rPr/>
              <w:t>并、分立 </w:t>
            </w:r>
            <w:r>
              <w:rPr/>
              <w:t>法律意见</w:t>
            </w:r>
            <w:r>
              <w:rPr>
                <w:spacing w:val="2"/>
              </w:rPr>
              <w:t xml:space="preserve"> </w:t>
            </w:r>
            <w:r>
              <w:rPr/>
              <w:t>书</w:t>
            </w:r>
          </w:p>
        </w:tc>
        <w:tc>
          <w:tcPr>
            <w:tcW w:w="1109" w:type="dxa"/>
            <w:vAlign w:val="top"/>
          </w:tcPr>
          <w:p>
            <w:pPr>
              <w:spacing w:line="420" w:lineRule="auto"/>
              <w:rPr>
                <w:rFonts w:ascii="Arial"/>
                <w:sz w:val="21"/>
              </w:rPr>
            </w:pPr>
            <w:r/>
          </w:p>
          <w:p>
            <w:pPr>
              <w:pStyle w:val="TableText"/>
              <w:ind w:left="20" w:right="38" w:firstLine="110"/>
              <w:spacing w:before="49" w:line="250" w:lineRule="auto"/>
              <w:rPr/>
            </w:pPr>
            <w:r>
              <w:rPr/>
              <w:t>(44007)上市</w:t>
            </w:r>
            <w:r>
              <w:rPr>
                <w:spacing w:val="1"/>
              </w:rPr>
              <w:t xml:space="preserve">  </w:t>
            </w:r>
            <w:r>
              <w:rPr>
                <w:spacing w:val="-2"/>
              </w:rPr>
              <w:t>公司合并、分立</w:t>
            </w:r>
            <w:r>
              <w:rPr>
                <w:spacing w:val="2"/>
              </w:rPr>
              <w:t xml:space="preserve"> </w:t>
            </w:r>
            <w:r>
              <w:rPr>
                <w:spacing w:val="1"/>
              </w:rPr>
              <w:t>核准</w:t>
            </w:r>
          </w:p>
        </w:tc>
        <w:tc>
          <w:tcPr>
            <w:tcW w:w="829" w:type="dxa"/>
            <w:vAlign w:val="top"/>
          </w:tcPr>
          <w:p>
            <w:pPr>
              <w:spacing w:line="419" w:lineRule="auto"/>
              <w:rPr>
                <w:rFonts w:ascii="Arial"/>
                <w:sz w:val="21"/>
              </w:rPr>
            </w:pPr>
            <w:r/>
          </w:p>
          <w:p>
            <w:pPr>
              <w:pStyle w:val="TableText"/>
              <w:ind w:left="182"/>
              <w:spacing w:before="49" w:line="219" w:lineRule="auto"/>
              <w:rPr/>
            </w:pPr>
            <w:r>
              <w:rPr>
                <w:spacing w:val="-2"/>
              </w:rPr>
              <w:t>证监会</w:t>
            </w:r>
          </w:p>
        </w:tc>
        <w:tc>
          <w:tcPr>
            <w:tcW w:w="669" w:type="dxa"/>
            <w:vAlign w:val="top"/>
          </w:tcPr>
          <w:p>
            <w:pPr>
              <w:spacing w:line="421" w:lineRule="auto"/>
              <w:rPr>
                <w:rFonts w:ascii="Arial"/>
                <w:sz w:val="21"/>
              </w:rPr>
            </w:pPr>
            <w:r/>
          </w:p>
          <w:p>
            <w:pPr>
              <w:pStyle w:val="TableText"/>
              <w:ind w:left="12" w:right="41" w:firstLine="10"/>
              <w:spacing w:before="49" w:line="233" w:lineRule="auto"/>
              <w:rPr/>
            </w:pPr>
            <w:r>
              <w:rPr>
                <w:spacing w:val="-2"/>
              </w:rPr>
              <w:t>律师事务</w:t>
            </w:r>
            <w:r>
              <w:rPr>
                <w:spacing w:val="1"/>
              </w:rPr>
              <w:t xml:space="preserve"> </w:t>
            </w:r>
            <w:r>
              <w:rPr/>
              <w:t>所</w:t>
            </w:r>
          </w:p>
        </w:tc>
        <w:tc>
          <w:tcPr>
            <w:tcW w:w="6098" w:type="dxa"/>
            <w:vAlign w:val="top"/>
          </w:tcPr>
          <w:p>
            <w:pPr>
              <w:spacing w:line="437" w:lineRule="auto"/>
              <w:rPr>
                <w:rFonts w:ascii="Arial"/>
                <w:sz w:val="21"/>
              </w:rPr>
            </w:pPr>
            <w:r/>
          </w:p>
          <w:p>
            <w:pPr>
              <w:pStyle w:val="TableText"/>
              <w:ind w:left="34" w:right="27" w:firstLine="9"/>
              <w:spacing w:before="48" w:line="264"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格式、报送方式，由依法负责核准的机构或者部门规定。第一百七十三条；证券服务机构为</w:t>
            </w:r>
            <w:r>
              <w:rPr>
                <w:spacing w:val="3"/>
              </w:rPr>
              <w:t xml:space="preserve"> </w:t>
            </w:r>
            <w:r>
              <w:rPr/>
              <w:t>证券的发行、上市、交易等证券业务活动制作、出具审计报告、资产评估报告、财务顾问报</w:t>
            </w:r>
            <w:r>
              <w:rPr>
                <w:spacing w:val="3"/>
              </w:rPr>
              <w:t xml:space="preserve"> </w:t>
            </w:r>
            <w:r>
              <w:rPr/>
              <w:t>告、资信评级报告或者法律意见书等文件，应当勤勉尽责，对所制作、出具的文件内容的真 </w:t>
            </w:r>
            <w:r>
              <w:rPr/>
              <w:t>实性、准确性、完整性进行核查和验证。其制作、出具的文件有虚假记载、误导性陈述或者 </w:t>
            </w:r>
            <w:r>
              <w:rPr>
                <w:spacing w:val="1"/>
              </w:rPr>
              <w:t>重大遗漏，给他人造成损失的，应当与发行人、上市公司</w:t>
            </w:r>
            <w:r>
              <w:rPr/>
              <w:t>承担连带赔偿责任，但是能够证明 </w:t>
            </w:r>
            <w:r>
              <w:rPr>
                <w:spacing w:val="-1"/>
              </w:rPr>
              <w:t>自己没有过错的除外。2. 《上市公司重大资产重组管理办法》(证监会令第109号)第十七条</w:t>
            </w:r>
            <w:r>
              <w:rPr>
                <w:spacing w:val="6"/>
              </w:rPr>
              <w:t xml:space="preserve">  </w:t>
            </w:r>
            <w:r>
              <w:rPr/>
              <w:t>上市公司应当聘请独立财务顾问、律师事务所以及具有相关证券业务资格的会计师事务所等</w:t>
            </w:r>
            <w:r>
              <w:rPr>
                <w:spacing w:val="1"/>
              </w:rPr>
              <w:t xml:space="preserve"> </w:t>
            </w:r>
            <w:r>
              <w:rPr>
                <w:spacing w:val="-1"/>
              </w:rPr>
              <w:t>证券服务机构就重大资产重组出具意见</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1040" behindDoc="0" locked="0" layoutInCell="0" allowOverlap="1">
                <wp:simplePos x="0" y="0"/>
                <wp:positionH relativeFrom="page">
                  <wp:posOffset>470816</wp:posOffset>
                </wp:positionH>
                <wp:positionV relativeFrom="page">
                  <wp:posOffset>623638</wp:posOffset>
                </wp:positionV>
                <wp:extent cx="172085" cy="156845"/>
                <wp:effectExtent l="0" t="0" r="0" b="0"/>
                <wp:wrapNone/>
                <wp:docPr id="480" name="TextBox 480"/>
                <wp:cNvGraphicFramePr/>
                <a:graphic>
                  <a:graphicData uri="http://schemas.microsoft.com/office/word/2010/wordprocessingShape">
                    <wps:wsp>
                      <wps:cNvSpPr txBox="1"/>
                      <wps:spPr>
                        <a:xfrm rot="5400000">
                          <a:off x="470816" y="623638"/>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32" style="position:absolute;margin-left:37.0722pt;margin-top:49.1054pt;mso-position-vertical-relative:page;mso-position-horizontal-relative:page;width:13.55pt;height:12.35pt;z-index:25199104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328</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51" w:line="254" w:lineRule="auto"/>
              <w:rPr/>
            </w:pPr>
            <w:r>
              <w:rPr>
                <w:spacing w:val="1"/>
              </w:rPr>
              <w:t>中介服务 </w:t>
            </w:r>
            <w:r>
              <w:rPr>
                <w:spacing w:val="-2"/>
              </w:rPr>
              <w:t>事项名称</w:t>
            </w:r>
          </w:p>
        </w:tc>
        <w:tc>
          <w:tcPr>
            <w:tcW w:w="1099" w:type="dxa"/>
            <w:vAlign w:val="top"/>
          </w:tcPr>
          <w:p>
            <w:pPr>
              <w:pStyle w:val="TableText"/>
              <w:ind w:left="239" w:right="35" w:hanging="229"/>
              <w:spacing w:before="51" w:line="254"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51"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845" w:hRule="atLeast"/>
        </w:trPr>
        <w:tc>
          <w:tcPr>
            <w:tcW w:w="295" w:type="dxa"/>
            <w:vAlign w:val="top"/>
          </w:tcPr>
          <w:p>
            <w:pPr>
              <w:spacing w:line="463" w:lineRule="auto"/>
              <w:rPr>
                <w:rFonts w:ascii="Arial"/>
                <w:sz w:val="21"/>
              </w:rPr>
            </w:pPr>
            <w:r/>
          </w:p>
          <w:p>
            <w:pPr>
              <w:pStyle w:val="TableText"/>
              <w:ind w:left="25"/>
              <w:spacing w:before="49" w:line="184" w:lineRule="auto"/>
              <w:rPr/>
            </w:pPr>
            <w:r>
              <w:rPr>
                <w:spacing w:val="-4"/>
              </w:rPr>
              <w:t>106</w:t>
            </w:r>
          </w:p>
        </w:tc>
        <w:tc>
          <w:tcPr>
            <w:tcW w:w="679" w:type="dxa"/>
            <w:vAlign w:val="top"/>
          </w:tcPr>
          <w:p>
            <w:pPr>
              <w:spacing w:line="416" w:lineRule="auto"/>
              <w:rPr>
                <w:rFonts w:ascii="Arial"/>
                <w:sz w:val="21"/>
              </w:rPr>
            </w:pPr>
            <w:r/>
          </w:p>
          <w:p>
            <w:pPr>
              <w:pStyle w:val="TableText"/>
              <w:ind w:left="30" w:right="28"/>
              <w:spacing w:before="49" w:line="257" w:lineRule="auto"/>
              <w:jc w:val="both"/>
              <w:rPr/>
            </w:pPr>
            <w:r>
              <w:rPr>
                <w:spacing w:val="2"/>
              </w:rPr>
              <w:t>出具上市</w:t>
            </w:r>
            <w:r>
              <w:rPr/>
              <w:t xml:space="preserve"> </w:t>
            </w:r>
            <w:r>
              <w:rPr>
                <w:spacing w:val="-10"/>
              </w:rPr>
              <w:t>公</w:t>
            </w:r>
            <w:r>
              <w:rPr>
                <w:spacing w:val="20"/>
              </w:rPr>
              <w:t xml:space="preserve"> </w:t>
            </w:r>
            <w:r>
              <w:rPr>
                <w:spacing w:val="-10"/>
              </w:rPr>
              <w:t>司</w:t>
            </w:r>
            <w:r>
              <w:rPr>
                <w:spacing w:val="15"/>
              </w:rPr>
              <w:t xml:space="preserve"> </w:t>
            </w:r>
            <w:r>
              <w:rPr>
                <w:spacing w:val="-10"/>
              </w:rPr>
              <w:t>合</w:t>
            </w:r>
            <w:r>
              <w:rPr/>
              <w:t xml:space="preserve"> </w:t>
            </w:r>
            <w:r>
              <w:rPr>
                <w:spacing w:val="-3"/>
              </w:rPr>
              <w:t>并、分立</w:t>
            </w:r>
            <w:r>
              <w:rPr>
                <w:spacing w:val="1"/>
              </w:rPr>
              <w:t xml:space="preserve"> </w:t>
            </w:r>
            <w:r>
              <w:rPr>
                <w:spacing w:val="2"/>
              </w:rPr>
              <w:t>审计报告</w:t>
            </w:r>
          </w:p>
        </w:tc>
        <w:tc>
          <w:tcPr>
            <w:tcW w:w="1099" w:type="dxa"/>
            <w:vAlign w:val="top"/>
          </w:tcPr>
          <w:p>
            <w:pPr>
              <w:spacing w:line="415" w:lineRule="auto"/>
              <w:rPr>
                <w:rFonts w:ascii="Arial"/>
                <w:sz w:val="21"/>
              </w:rPr>
            </w:pPr>
            <w:r/>
          </w:p>
          <w:p>
            <w:pPr>
              <w:pStyle w:val="TableText"/>
              <w:ind w:left="10" w:right="38" w:firstLine="30"/>
              <w:spacing w:before="49" w:line="250" w:lineRule="auto"/>
              <w:jc w:val="both"/>
              <w:rPr/>
            </w:pPr>
            <w:r>
              <w:rPr>
                <w:spacing w:val="20"/>
              </w:rPr>
              <w:t>(44007)上市</w:t>
            </w:r>
            <w:r>
              <w:rPr>
                <w:spacing w:val="2"/>
              </w:rPr>
              <w:t xml:space="preserve"> </w:t>
            </w:r>
            <w:r>
              <w:rPr>
                <w:spacing w:val="-2"/>
              </w:rPr>
              <w:t>公司合并、分立</w:t>
            </w:r>
            <w:r>
              <w:rPr>
                <w:spacing w:val="2"/>
              </w:rPr>
              <w:t xml:space="preserve"> </w:t>
            </w:r>
            <w:r>
              <w:rPr>
                <w:spacing w:val="1"/>
              </w:rPr>
              <w:t>核准</w:t>
            </w:r>
          </w:p>
        </w:tc>
        <w:tc>
          <w:tcPr>
            <w:tcW w:w="839" w:type="dxa"/>
            <w:vAlign w:val="top"/>
          </w:tcPr>
          <w:p>
            <w:pPr>
              <w:spacing w:line="385" w:lineRule="auto"/>
              <w:rPr>
                <w:rFonts w:ascii="Arial"/>
                <w:sz w:val="21"/>
              </w:rPr>
            </w:pPr>
            <w:r/>
          </w:p>
          <w:p>
            <w:pPr>
              <w:pStyle w:val="TableText"/>
              <w:ind w:left="182"/>
              <w:spacing w:before="48" w:line="219" w:lineRule="auto"/>
              <w:rPr/>
            </w:pPr>
            <w:r>
              <w:rPr>
                <w:spacing w:val="-2"/>
              </w:rPr>
              <w:t>证监会</w:t>
            </w:r>
          </w:p>
        </w:tc>
        <w:tc>
          <w:tcPr>
            <w:tcW w:w="659" w:type="dxa"/>
            <w:vAlign w:val="top"/>
          </w:tcPr>
          <w:p>
            <w:pPr>
              <w:spacing w:line="415" w:lineRule="auto"/>
              <w:rPr>
                <w:rFonts w:ascii="Arial"/>
                <w:sz w:val="21"/>
              </w:rPr>
            </w:pPr>
            <w:r/>
          </w:p>
          <w:p>
            <w:pPr>
              <w:pStyle w:val="TableText"/>
              <w:ind w:left="12" w:right="31" w:firstLine="10"/>
              <w:spacing w:before="49" w:line="239" w:lineRule="auto"/>
              <w:rPr/>
            </w:pPr>
            <w:r>
              <w:rPr>
                <w:spacing w:val="-2"/>
              </w:rPr>
              <w:t>会计师事</w:t>
            </w:r>
            <w:r>
              <w:rPr>
                <w:spacing w:val="1"/>
              </w:rPr>
              <w:t xml:space="preserve"> </w:t>
            </w:r>
            <w:r>
              <w:rPr>
                <w:spacing w:val="-2"/>
              </w:rPr>
              <w:t>务所</w:t>
            </w:r>
          </w:p>
        </w:tc>
        <w:tc>
          <w:tcPr>
            <w:tcW w:w="6098" w:type="dxa"/>
            <w:vAlign w:val="top"/>
          </w:tcPr>
          <w:p>
            <w:pPr>
              <w:spacing w:line="405" w:lineRule="auto"/>
              <w:rPr>
                <w:rFonts w:ascii="Arial"/>
                <w:sz w:val="21"/>
              </w:rPr>
            </w:pPr>
            <w:r/>
          </w:p>
          <w:p>
            <w:pPr>
              <w:pStyle w:val="TableText"/>
              <w:ind w:left="24" w:right="27" w:firstLine="19"/>
              <w:spacing w:before="48" w:line="265"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格式、报送方式，由依法负责核准的机构或者部门规定。第一百七十三条：证券服务机构为</w:t>
            </w:r>
            <w:r>
              <w:rPr>
                <w:spacing w:val="13"/>
              </w:rPr>
              <w:t xml:space="preserve"> </w:t>
            </w:r>
            <w:r>
              <w:rPr/>
              <w:t>证券的发行、上市、交易等证券业务活动制作、出具审计报告、资产评估报告、财务顾问报</w:t>
            </w:r>
            <w:r>
              <w:rPr>
                <w:spacing w:val="13"/>
              </w:rPr>
              <w:t xml:space="preserve"> </w:t>
            </w:r>
            <w:r>
              <w:rPr/>
              <w:t>告、资信评级报告或者法律意见书等文件，应当勤勉尽责，对所制作、出具的文件内容的真</w:t>
            </w:r>
            <w:r>
              <w:rPr>
                <w:spacing w:val="9"/>
              </w:rPr>
              <w:t xml:space="preserve"> </w:t>
            </w:r>
            <w:r>
              <w:rPr/>
              <w:t>实性、准确性、完整性进行核查和验证。其制作、出具的文件有虚假记载、误导性陈述或者</w:t>
            </w:r>
            <w:r>
              <w:rPr>
                <w:spacing w:val="9"/>
              </w:rPr>
              <w:t xml:space="preserve"> </w:t>
            </w:r>
            <w:r>
              <w:rPr>
                <w:spacing w:val="1"/>
              </w:rPr>
              <w:t>重大遗漏，给他人造成损失的，应当与发行人、上市公司承担连带赔偿责任，但</w:t>
            </w:r>
            <w:r>
              <w:rPr/>
              <w:t>是能够证明 </w:t>
            </w:r>
            <w:r>
              <w:rPr/>
              <w:t>自己没有过错的除外。2. 《上市公司重大资产重</w:t>
            </w:r>
            <w:r>
              <w:rPr>
                <w:spacing w:val="-1"/>
              </w:rPr>
              <w:t>组管理办法》(证监会令第109号)第十七条</w:t>
            </w:r>
            <w:r>
              <w:rPr/>
              <w:t xml:space="preserve">  </w:t>
            </w:r>
            <w:r>
              <w:rPr/>
              <w:t>上市公司应当聘请独立财务顾问、律师事务所以及具有相关证券业务资格的会计师事务所等</w:t>
            </w:r>
            <w:r>
              <w:rPr>
                <w:spacing w:val="11"/>
              </w:rPr>
              <w:t xml:space="preserve"> </w:t>
            </w:r>
            <w:r>
              <w:rPr>
                <w:spacing w:val="-1"/>
              </w:rPr>
              <w:t>证券服务机构就重大资产重组出具意见</w:t>
            </w:r>
          </w:p>
        </w:tc>
      </w:tr>
      <w:tr>
        <w:trPr>
          <w:trHeight w:val="2851" w:hRule="atLeast"/>
        </w:trPr>
        <w:tc>
          <w:tcPr>
            <w:tcW w:w="295" w:type="dxa"/>
            <w:vAlign w:val="top"/>
          </w:tcPr>
          <w:p>
            <w:pPr>
              <w:spacing w:line="468" w:lineRule="auto"/>
              <w:rPr>
                <w:rFonts w:ascii="Arial"/>
                <w:sz w:val="21"/>
              </w:rPr>
            </w:pPr>
            <w:r/>
          </w:p>
          <w:p>
            <w:pPr>
              <w:pStyle w:val="TableText"/>
              <w:ind w:left="25"/>
              <w:spacing w:before="49" w:line="184" w:lineRule="auto"/>
              <w:rPr/>
            </w:pPr>
            <w:r>
              <w:rPr>
                <w:spacing w:val="-4"/>
              </w:rPr>
              <w:t>107</w:t>
            </w:r>
          </w:p>
        </w:tc>
        <w:tc>
          <w:tcPr>
            <w:tcW w:w="679" w:type="dxa"/>
            <w:vAlign w:val="top"/>
          </w:tcPr>
          <w:p>
            <w:pPr>
              <w:spacing w:line="422" w:lineRule="auto"/>
              <w:rPr>
                <w:rFonts w:ascii="Arial"/>
                <w:sz w:val="21"/>
              </w:rPr>
            </w:pPr>
            <w:r/>
          </w:p>
          <w:p>
            <w:pPr>
              <w:pStyle w:val="TableText"/>
              <w:ind w:left="10" w:right="12" w:firstLine="20"/>
              <w:spacing w:before="49" w:line="257" w:lineRule="auto"/>
              <w:jc w:val="both"/>
              <w:rPr/>
            </w:pPr>
            <w:r>
              <w:rPr>
                <w:spacing w:val="2"/>
              </w:rPr>
              <w:t>出具上市</w:t>
            </w:r>
            <w:r>
              <w:rPr/>
              <w:t xml:space="preserve"> </w:t>
            </w:r>
            <w:r>
              <w:rPr>
                <w:spacing w:val="-10"/>
              </w:rPr>
              <w:t>公</w:t>
            </w:r>
            <w:r>
              <w:rPr>
                <w:spacing w:val="40"/>
              </w:rPr>
              <w:t xml:space="preserve"> </w:t>
            </w:r>
            <w:r>
              <w:rPr>
                <w:spacing w:val="-10"/>
              </w:rPr>
              <w:t>司</w:t>
            </w:r>
            <w:r>
              <w:rPr>
                <w:spacing w:val="35"/>
              </w:rPr>
              <w:t xml:space="preserve"> </w:t>
            </w:r>
            <w:r>
              <w:rPr>
                <w:spacing w:val="-10"/>
              </w:rPr>
              <w:t>合</w:t>
            </w:r>
            <w:r>
              <w:rPr/>
              <w:t xml:space="preserve"> </w:t>
            </w:r>
            <w:r>
              <w:rPr>
                <w:spacing w:val="2"/>
              </w:rPr>
              <w:t>并、分立</w:t>
            </w:r>
            <w:r>
              <w:rPr>
                <w:spacing w:val="1"/>
              </w:rPr>
              <w:t xml:space="preserve"> </w:t>
            </w:r>
            <w:r>
              <w:rPr>
                <w:spacing w:val="3"/>
              </w:rPr>
              <w:t>独立财务</w:t>
            </w:r>
            <w:r>
              <w:rPr>
                <w:spacing w:val="1"/>
              </w:rPr>
              <w:t xml:space="preserve"> </w:t>
            </w:r>
            <w:r>
              <w:rPr>
                <w:spacing w:val="3"/>
              </w:rPr>
              <w:t>顾问报告</w:t>
            </w:r>
          </w:p>
        </w:tc>
        <w:tc>
          <w:tcPr>
            <w:tcW w:w="1099" w:type="dxa"/>
            <w:vAlign w:val="top"/>
          </w:tcPr>
          <w:p>
            <w:pPr>
              <w:spacing w:line="420" w:lineRule="auto"/>
              <w:rPr>
                <w:rFonts w:ascii="Arial"/>
                <w:sz w:val="21"/>
              </w:rPr>
            </w:pPr>
            <w:r/>
          </w:p>
          <w:p>
            <w:pPr>
              <w:pStyle w:val="TableText"/>
              <w:ind w:left="10" w:right="38" w:firstLine="110"/>
              <w:spacing w:before="49" w:line="250" w:lineRule="auto"/>
              <w:rPr/>
            </w:pPr>
            <w:r>
              <w:rPr>
                <w:spacing w:val="1"/>
              </w:rPr>
              <w:t>(44007)上市  </w:t>
            </w:r>
            <w:r>
              <w:rPr>
                <w:spacing w:val="-2"/>
              </w:rPr>
              <w:t>公司合并、分立</w:t>
            </w:r>
            <w:r>
              <w:rPr>
                <w:spacing w:val="2"/>
              </w:rPr>
              <w:t xml:space="preserve"> </w:t>
            </w:r>
            <w:r>
              <w:rPr>
                <w:spacing w:val="1"/>
              </w:rPr>
              <w:t>核准</w:t>
            </w:r>
          </w:p>
        </w:tc>
        <w:tc>
          <w:tcPr>
            <w:tcW w:w="839" w:type="dxa"/>
            <w:vAlign w:val="top"/>
          </w:tcPr>
          <w:p>
            <w:pPr>
              <w:spacing w:line="409" w:lineRule="auto"/>
              <w:rPr>
                <w:rFonts w:ascii="Arial"/>
                <w:sz w:val="21"/>
              </w:rPr>
            </w:pPr>
            <w:r/>
          </w:p>
          <w:p>
            <w:pPr>
              <w:pStyle w:val="TableText"/>
              <w:ind w:left="182"/>
              <w:spacing w:before="49" w:line="219" w:lineRule="auto"/>
              <w:rPr/>
            </w:pPr>
            <w:r>
              <w:rPr>
                <w:spacing w:val="-2"/>
              </w:rPr>
              <w:t>证监会</w:t>
            </w:r>
          </w:p>
        </w:tc>
        <w:tc>
          <w:tcPr>
            <w:tcW w:w="659" w:type="dxa"/>
            <w:vAlign w:val="top"/>
          </w:tcPr>
          <w:p>
            <w:pPr>
              <w:spacing w:line="421" w:lineRule="auto"/>
              <w:rPr>
                <w:rFonts w:ascii="Arial"/>
                <w:sz w:val="21"/>
              </w:rPr>
            </w:pPr>
            <w:r/>
          </w:p>
          <w:p>
            <w:pPr>
              <w:pStyle w:val="TableText"/>
              <w:ind w:left="22"/>
              <w:spacing w:before="49" w:line="220" w:lineRule="auto"/>
              <w:rPr/>
            </w:pPr>
            <w:r>
              <w:rPr>
                <w:spacing w:val="5"/>
              </w:rPr>
              <w:t>证券公司</w:t>
            </w:r>
          </w:p>
        </w:tc>
        <w:tc>
          <w:tcPr>
            <w:tcW w:w="6098" w:type="dxa"/>
            <w:vAlign w:val="top"/>
          </w:tcPr>
          <w:p>
            <w:pPr>
              <w:spacing w:line="417" w:lineRule="auto"/>
              <w:rPr>
                <w:rFonts w:ascii="Arial"/>
                <w:sz w:val="21"/>
              </w:rPr>
            </w:pPr>
            <w:r/>
          </w:p>
          <w:p>
            <w:pPr>
              <w:pStyle w:val="TableText"/>
              <w:ind w:left="24" w:right="27" w:firstLine="19"/>
              <w:spacing w:before="49" w:line="264"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格式、报送方式，由依法负责核准的机构或者部门规定。第一百七十三条：证券服务机构为</w:t>
            </w:r>
            <w:r>
              <w:rPr>
                <w:spacing w:val="13"/>
              </w:rPr>
              <w:t xml:space="preserve"> </w:t>
            </w:r>
            <w:r>
              <w:rPr/>
              <w:t>证券的发行、上市、交易等证券业务活动制作、出具审计报告、资产评估报告、财务顾问报</w:t>
            </w:r>
            <w:r>
              <w:rPr>
                <w:spacing w:val="13"/>
              </w:rPr>
              <w:t xml:space="preserve"> </w:t>
            </w:r>
            <w:r>
              <w:rPr/>
              <w:t>告、资信评级报告或者法律意见书等文件，应当勤勉尽责，对所制作、出具的文件内容的真</w:t>
            </w:r>
            <w:r>
              <w:rPr>
                <w:spacing w:val="9"/>
              </w:rPr>
              <w:t xml:space="preserve"> </w:t>
            </w:r>
            <w:r>
              <w:rPr/>
              <w:t>实性、准确性、完整性进行核查和验证。其制作、出具的文件有虚假记载、误导性陈述或者</w:t>
            </w:r>
            <w:r>
              <w:rPr>
                <w:spacing w:val="9"/>
              </w:rPr>
              <w:t xml:space="preserve"> </w:t>
            </w:r>
            <w:r>
              <w:rPr>
                <w:spacing w:val="1"/>
              </w:rPr>
              <w:t>重大遗漏，给他人造成损失的，应当与发行人、上市公司承担连带赔偿责任，但</w:t>
            </w:r>
            <w:r>
              <w:rPr/>
              <w:t>是能够证明 </w:t>
            </w:r>
            <w:r>
              <w:rPr/>
              <w:t>自己没有过错的除外。2. 《上市公司重大资产重</w:t>
            </w:r>
            <w:r>
              <w:rPr>
                <w:spacing w:val="-1"/>
              </w:rPr>
              <w:t>组管理办法》(证监会令第109号)第十七条</w:t>
            </w:r>
            <w:r>
              <w:rPr/>
              <w:t xml:space="preserve">  </w:t>
            </w:r>
            <w:r>
              <w:rPr/>
              <w:t>上市公司应当聘请独立财务顾问、律师事务所以及具有相关证券业务资格的会计师事务所等</w:t>
            </w:r>
            <w:r>
              <w:rPr>
                <w:spacing w:val="11"/>
              </w:rPr>
              <w:t xml:space="preserve"> </w:t>
            </w:r>
            <w:r>
              <w:rPr>
                <w:spacing w:val="-1"/>
              </w:rPr>
              <w:t>证券服务机构就重大资产重组出具意见。</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2064" behindDoc="0" locked="0" layoutInCell="0" allowOverlap="1">
                <wp:simplePos x="0" y="0"/>
                <wp:positionH relativeFrom="page">
                  <wp:posOffset>470816</wp:posOffset>
                </wp:positionH>
                <wp:positionV relativeFrom="page">
                  <wp:posOffset>4376497</wp:posOffset>
                </wp:positionV>
                <wp:extent cx="172085" cy="156845"/>
                <wp:effectExtent l="0" t="0" r="0" b="0"/>
                <wp:wrapNone/>
                <wp:docPr id="482" name="TextBox 482"/>
                <wp:cNvGraphicFramePr/>
                <a:graphic>
                  <a:graphicData uri="http://schemas.microsoft.com/office/word/2010/wordprocessingShape">
                    <wps:wsp>
                      <wps:cNvSpPr txBox="1"/>
                      <wps:spPr>
                        <a:xfrm rot="5400000">
                          <a:off x="470816" y="4376497"/>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34" style="position:absolute;margin-left:37.0722pt;margin-top:344.606pt;mso-position-vertical-relative:page;mso-position-horizontal-relative:page;width:13.55pt;height:12.35pt;z-index:25199206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329</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extDirection w:val="tbRlV"/>
          </w:tcPr>
          <w:p>
            <w:pPr>
              <w:pStyle w:val="TableText"/>
              <w:ind w:left="52"/>
              <w:spacing w:before="75" w:line="210" w:lineRule="auto"/>
              <w:rPr/>
            </w:pPr>
            <w:r>
              <w:rPr>
                <w:spacing w:val="-1"/>
              </w:rPr>
              <w:t>序</w:t>
            </w:r>
            <w:r>
              <w:rPr>
                <w:spacing w:val="-25"/>
              </w:rPr>
              <w:t xml:space="preserve"> </w:t>
            </w:r>
            <w:r>
              <w:rPr>
                <w:spacing w:val="-1"/>
              </w:rPr>
              <w:t>号</w:t>
            </w:r>
          </w:p>
        </w:tc>
        <w:tc>
          <w:tcPr>
            <w:tcW w:w="669" w:type="dxa"/>
            <w:vAlign w:val="top"/>
          </w:tcPr>
          <w:p>
            <w:pPr>
              <w:pStyle w:val="TableText"/>
              <w:ind w:left="2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506" w:hRule="atLeast"/>
        </w:trPr>
        <w:tc>
          <w:tcPr>
            <w:tcW w:w="295" w:type="dxa"/>
            <w:vAlign w:val="top"/>
          </w:tcPr>
          <w:p>
            <w:pPr>
              <w:pStyle w:val="TableText"/>
              <w:ind w:left="25"/>
              <w:spacing w:before="235" w:line="184" w:lineRule="auto"/>
              <w:rPr/>
            </w:pPr>
            <w:r>
              <w:rPr>
                <w:spacing w:val="-4"/>
              </w:rPr>
              <w:t>108</w:t>
            </w:r>
          </w:p>
        </w:tc>
        <w:tc>
          <w:tcPr>
            <w:tcW w:w="669" w:type="dxa"/>
            <w:vAlign w:val="top"/>
          </w:tcPr>
          <w:p>
            <w:pPr>
              <w:pStyle w:val="TableText"/>
              <w:ind w:left="20" w:right="30"/>
              <w:spacing w:before="188" w:line="255" w:lineRule="auto"/>
              <w:jc w:val="both"/>
              <w:rPr/>
            </w:pPr>
            <w:r>
              <w:rPr>
                <w:spacing w:val="2"/>
              </w:rPr>
              <w:t>出具上市</w:t>
            </w:r>
            <w:r>
              <w:rPr/>
              <w:t xml:space="preserve"> </w:t>
            </w:r>
            <w:r>
              <w:rPr>
                <w:spacing w:val="-3"/>
              </w:rPr>
              <w:t>公司非公</w:t>
            </w:r>
            <w:r>
              <w:rPr/>
              <w:t xml:space="preserve"> </w:t>
            </w:r>
            <w:r>
              <w:rPr>
                <w:spacing w:val="-2"/>
              </w:rPr>
              <w:t>开发行新</w:t>
            </w:r>
            <w:r>
              <w:rPr/>
              <w:t xml:space="preserve"> </w:t>
            </w:r>
            <w:r>
              <w:rPr>
                <w:spacing w:val="-2"/>
              </w:rPr>
              <w:t>股法律意</w:t>
            </w:r>
            <w:r>
              <w:rPr>
                <w:spacing w:val="1"/>
              </w:rPr>
              <w:t xml:space="preserve"> </w:t>
            </w:r>
            <w:r>
              <w:rPr>
                <w:spacing w:val="-3"/>
              </w:rPr>
              <w:t>见书</w:t>
            </w:r>
          </w:p>
        </w:tc>
        <w:tc>
          <w:tcPr>
            <w:tcW w:w="1109" w:type="dxa"/>
            <w:vAlign w:val="top"/>
          </w:tcPr>
          <w:p>
            <w:pPr>
              <w:pStyle w:val="TableText"/>
              <w:ind w:left="20" w:right="38" w:firstLine="20"/>
              <w:spacing w:before="187" w:line="254" w:lineRule="auto"/>
              <w:jc w:val="both"/>
              <w:rPr/>
            </w:pPr>
            <w:r>
              <w:rPr>
                <w:spacing w:val="20"/>
              </w:rPr>
              <w:t>(44029)上市</w:t>
            </w:r>
            <w:r>
              <w:rPr>
                <w:spacing w:val="2"/>
              </w:rPr>
              <w:t xml:space="preserve"> </w:t>
            </w:r>
            <w:r>
              <w:rPr>
                <w:spacing w:val="-2"/>
              </w:rPr>
              <w:t>公司非公开发行</w:t>
            </w:r>
            <w:r>
              <w:rPr>
                <w:spacing w:val="2"/>
              </w:rPr>
              <w:t xml:space="preserve"> </w:t>
            </w:r>
            <w:r>
              <w:rPr>
                <w:spacing w:val="-2"/>
              </w:rPr>
              <w:t>新股核准</w:t>
            </w:r>
          </w:p>
        </w:tc>
        <w:tc>
          <w:tcPr>
            <w:tcW w:w="829" w:type="dxa"/>
            <w:vAlign w:val="top"/>
          </w:tcPr>
          <w:p>
            <w:pPr>
              <w:pStyle w:val="TableText"/>
              <w:ind w:left="182"/>
              <w:spacing w:before="166" w:line="219" w:lineRule="auto"/>
              <w:rPr/>
            </w:pPr>
            <w:r>
              <w:rPr>
                <w:spacing w:val="-2"/>
              </w:rPr>
              <w:t>证监会</w:t>
            </w:r>
          </w:p>
        </w:tc>
        <w:tc>
          <w:tcPr>
            <w:tcW w:w="669" w:type="dxa"/>
            <w:vAlign w:val="top"/>
          </w:tcPr>
          <w:p>
            <w:pPr>
              <w:pStyle w:val="TableText"/>
              <w:ind w:left="12" w:right="41" w:firstLine="10"/>
              <w:spacing w:before="186" w:line="234" w:lineRule="auto"/>
              <w:rPr/>
            </w:pPr>
            <w:r>
              <w:rPr>
                <w:spacing w:val="-2"/>
              </w:rPr>
              <w:t>律师事务</w:t>
            </w:r>
            <w:r>
              <w:rPr>
                <w:spacing w:val="1"/>
              </w:rPr>
              <w:t xml:space="preserve"> </w:t>
            </w:r>
            <w:r>
              <w:rPr/>
              <w:t>所</w:t>
            </w:r>
          </w:p>
        </w:tc>
        <w:tc>
          <w:tcPr>
            <w:tcW w:w="6098" w:type="dxa"/>
            <w:vAlign w:val="top"/>
          </w:tcPr>
          <w:p>
            <w:pPr>
              <w:pStyle w:val="TableText"/>
              <w:ind w:left="43" w:right="8"/>
              <w:spacing w:before="184" w:line="260" w:lineRule="auto"/>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w:t>
            </w:r>
            <w:r>
              <w:rPr>
                <w:spacing w:val="-1"/>
              </w:rPr>
              <w:t>证券服务机构为</w:t>
            </w:r>
            <w:r>
              <w:rPr/>
              <w:t xml:space="preserve"> </w:t>
            </w:r>
            <w:r>
              <w:rPr/>
              <w:t>证券发行、上市、交易等证券业务活动制作、出具审计报告、资产评估报告</w:t>
            </w:r>
            <w:r>
              <w:rPr>
                <w:spacing w:val="-1"/>
              </w:rPr>
              <w:t>、财务顾问报告</w:t>
            </w:r>
            <w:r>
              <w:rPr/>
              <w:t xml:space="preserve"> </w:t>
            </w:r>
            <w:r>
              <w:rPr>
                <w:spacing w:val="1"/>
              </w:rPr>
              <w:t>资信评级报告或者法律意见书等文件，应当勤勉尽责，对所依据的文件资料内容的真实性  </w:t>
            </w:r>
            <w:r>
              <w:rPr/>
              <w:t>准确性、完整性进行核查和验证。其制作、出具的文件有虚假记载、误</w:t>
            </w:r>
            <w:r>
              <w:rPr>
                <w:spacing w:val="-1"/>
              </w:rPr>
              <w:t>导性陈述或者重大遗</w:t>
            </w:r>
            <w:r>
              <w:rPr/>
              <w:t xml:space="preserve"> </w:t>
            </w:r>
            <w:r>
              <w:rPr/>
              <w:t>漏，给他人造成损失的，应当与发行人、上市公司承担连带赔偿责任，但是</w:t>
            </w:r>
            <w:r>
              <w:rPr>
                <w:spacing w:val="-1"/>
              </w:rPr>
              <w:t>能够证明自己没</w:t>
            </w:r>
            <w:r>
              <w:rPr/>
              <w:t xml:space="preserve"> </w:t>
            </w:r>
            <w:r>
              <w:rPr/>
              <w:t>有过错的除外。2. 《上市公司证券发行管理办法》</w:t>
            </w:r>
            <w:r>
              <w:rPr>
                <w:spacing w:val="-1"/>
              </w:rPr>
              <w:t>(证监会令第30号)第五十九条；公开募  </w:t>
            </w:r>
            <w:r>
              <w:rPr>
                <w:spacing w:val="1"/>
              </w:rPr>
              <w:t>集证券说明书所引用的法律意见书，应当由律师事务所出具，并由至少两名经</w:t>
            </w:r>
            <w:r>
              <w:rPr/>
              <w:t>办律师签署。</w:t>
            </w:r>
          </w:p>
          <w:p>
            <w:pPr>
              <w:pStyle w:val="TableText"/>
              <w:ind w:left="24" w:right="360" w:firstLine="19"/>
              <w:spacing w:before="41" w:line="258" w:lineRule="auto"/>
              <w:rPr/>
            </w:pPr>
            <w:r>
              <w:rPr>
                <w:spacing w:val="-2"/>
              </w:rPr>
              <w:t>3. 《上市公司非公开发行股票实施细则》(证监会令第73号)附件1;上市</w:t>
            </w:r>
            <w:r>
              <w:rPr>
                <w:spacing w:val="-3"/>
              </w:rPr>
              <w:t>公司非公开发行</w:t>
            </w:r>
            <w:r>
              <w:rPr/>
              <w:t xml:space="preserve"> </w:t>
            </w:r>
            <w:r>
              <w:rPr>
                <w:spacing w:val="-1"/>
              </w:rPr>
              <w:t>股票申请文件目录</w:t>
            </w:r>
          </w:p>
        </w:tc>
      </w:tr>
      <w:tr>
        <w:trPr>
          <w:trHeight w:val="3169" w:hRule="atLeast"/>
        </w:trPr>
        <w:tc>
          <w:tcPr>
            <w:tcW w:w="295" w:type="dxa"/>
            <w:vAlign w:val="top"/>
          </w:tcPr>
          <w:p>
            <w:pPr>
              <w:pStyle w:val="TableText"/>
              <w:ind w:left="25"/>
              <w:spacing w:before="239" w:line="184" w:lineRule="auto"/>
              <w:rPr/>
            </w:pPr>
            <w:r>
              <w:rPr>
                <w:spacing w:val="-4"/>
              </w:rPr>
              <w:t>109</w:t>
            </w:r>
          </w:p>
        </w:tc>
        <w:tc>
          <w:tcPr>
            <w:tcW w:w="669" w:type="dxa"/>
            <w:vAlign w:val="top"/>
          </w:tcPr>
          <w:p>
            <w:pPr>
              <w:pStyle w:val="TableText"/>
              <w:ind w:left="10" w:right="18" w:firstLine="10"/>
              <w:spacing w:before="182" w:line="252" w:lineRule="auto"/>
              <w:jc w:val="both"/>
              <w:rPr/>
            </w:pPr>
            <w:r>
              <w:rPr>
                <w:spacing w:val="5"/>
              </w:rPr>
              <w:t>上市公司</w:t>
            </w:r>
            <w:r>
              <w:rPr/>
              <w:t xml:space="preserve"> </w:t>
            </w:r>
            <w:r>
              <w:rPr/>
              <w:t>非公开发 </w:t>
            </w:r>
            <w:r>
              <w:rPr>
                <w:spacing w:val="5"/>
              </w:rPr>
              <w:t>行新股审</w:t>
            </w:r>
            <w:r>
              <w:rPr>
                <w:spacing w:val="1"/>
              </w:rPr>
              <w:t xml:space="preserve"> </w:t>
            </w:r>
            <w:r>
              <w:rPr/>
              <w:t>计</w:t>
            </w:r>
          </w:p>
        </w:tc>
        <w:tc>
          <w:tcPr>
            <w:tcW w:w="1109" w:type="dxa"/>
            <w:vAlign w:val="top"/>
          </w:tcPr>
          <w:p>
            <w:pPr>
              <w:pStyle w:val="TableText"/>
              <w:ind w:left="10" w:right="38" w:firstLine="30"/>
              <w:spacing w:before="181" w:line="254" w:lineRule="auto"/>
              <w:jc w:val="both"/>
              <w:rPr/>
            </w:pPr>
            <w:r>
              <w:rPr>
                <w:spacing w:val="20"/>
              </w:rPr>
              <w:t>(44029)上市</w:t>
            </w:r>
            <w:r>
              <w:rPr>
                <w:spacing w:val="2"/>
              </w:rPr>
              <w:t xml:space="preserve"> </w:t>
            </w:r>
            <w:r>
              <w:rPr>
                <w:spacing w:val="-1"/>
              </w:rPr>
              <w:t>公司非公开发行</w:t>
            </w:r>
            <w:r>
              <w:rPr>
                <w:spacing w:val="5"/>
              </w:rPr>
              <w:t xml:space="preserve"> </w:t>
            </w:r>
            <w:r>
              <w:rPr>
                <w:spacing w:val="-2"/>
              </w:rPr>
              <w:t>新股核准</w:t>
            </w:r>
          </w:p>
        </w:tc>
        <w:tc>
          <w:tcPr>
            <w:tcW w:w="829" w:type="dxa"/>
            <w:vAlign w:val="top"/>
          </w:tcPr>
          <w:p>
            <w:pPr>
              <w:pStyle w:val="TableText"/>
              <w:ind w:left="182"/>
              <w:spacing w:before="160" w:line="219" w:lineRule="auto"/>
              <w:rPr/>
            </w:pPr>
            <w:r>
              <w:rPr>
                <w:spacing w:val="-2"/>
              </w:rPr>
              <w:t>证监会</w:t>
            </w:r>
          </w:p>
        </w:tc>
        <w:tc>
          <w:tcPr>
            <w:tcW w:w="669" w:type="dxa"/>
            <w:vAlign w:val="top"/>
          </w:tcPr>
          <w:p>
            <w:pPr>
              <w:pStyle w:val="TableText"/>
              <w:ind w:left="12" w:right="41" w:firstLine="10"/>
              <w:spacing w:before="180" w:line="239" w:lineRule="auto"/>
              <w:rPr/>
            </w:pPr>
            <w:r>
              <w:rPr>
                <w:spacing w:val="-2"/>
              </w:rPr>
              <w:t>会计师事</w:t>
            </w:r>
            <w:r>
              <w:rPr>
                <w:spacing w:val="1"/>
              </w:rPr>
              <w:t xml:space="preserve"> </w:t>
            </w:r>
            <w:r>
              <w:rPr>
                <w:spacing w:val="-2"/>
              </w:rPr>
              <w:t>务所</w:t>
            </w:r>
          </w:p>
        </w:tc>
        <w:tc>
          <w:tcPr>
            <w:tcW w:w="6098" w:type="dxa"/>
            <w:vAlign w:val="top"/>
          </w:tcPr>
          <w:p>
            <w:pPr>
              <w:pStyle w:val="TableText"/>
              <w:ind w:left="43" w:right="43"/>
              <w:spacing w:before="180" w:line="257" w:lineRule="auto"/>
              <w:jc w:val="both"/>
              <w:rPr/>
            </w:pPr>
            <w:r>
              <w:rPr>
                <w:spacing w:val="-2"/>
              </w:rPr>
              <w:t>1. 《中华人民共和国证券法》第十九条：发行人依法申请核准发行证券所报送的申请文件的</w:t>
            </w:r>
            <w:r>
              <w:rPr>
                <w:spacing w:val="8"/>
              </w:rPr>
              <w:t xml:space="preserve"> </w:t>
            </w:r>
            <w:r>
              <w:rPr/>
              <w:t>格式、报送方式，由依法负责核准的机构或者部门规定。第一百七十三条：</w:t>
            </w:r>
            <w:r>
              <w:rPr>
                <w:spacing w:val="-1"/>
              </w:rPr>
              <w:t>证券服务机构为</w:t>
            </w:r>
            <w:r>
              <w:rPr/>
              <w:t xml:space="preserve"> </w:t>
            </w:r>
            <w:r>
              <w:rPr/>
              <w:t>证券发行、上市、交易等证券业务活动制作、出具审计报告、资产评估报告</w:t>
            </w:r>
            <w:r>
              <w:rPr>
                <w:spacing w:val="-1"/>
              </w:rPr>
              <w:t>、财务顾问报告</w:t>
            </w:r>
          </w:p>
          <w:p>
            <w:pPr>
              <w:pStyle w:val="TableText"/>
              <w:ind w:left="113"/>
              <w:spacing w:before="42" w:line="218" w:lineRule="auto"/>
              <w:rPr/>
            </w:pPr>
            <w:r>
              <w:rPr/>
              <w:t>资信评级报告或者法律意见书等文件，应当勤勉尽责，对所</w:t>
            </w:r>
            <w:r>
              <w:rPr>
                <w:spacing w:val="-1"/>
              </w:rPr>
              <w:t>依据的文件资料内容的真实性</w:t>
            </w:r>
          </w:p>
          <w:p>
            <w:pPr>
              <w:pStyle w:val="TableText"/>
              <w:ind w:left="33" w:hanging="19"/>
              <w:spacing w:before="44" w:line="249" w:lineRule="auto"/>
              <w:rPr/>
            </w:pPr>
            <w:r>
              <w:rPr>
                <w:spacing w:val="-2"/>
              </w:rPr>
              <w:t>准确性、完整性进行核查和验证。其制作、出具的文件有虚假记载、误导性陈述或者重大遗漏</w:t>
            </w:r>
            <w:r>
              <w:rPr>
                <w:spacing w:val="4"/>
              </w:rPr>
              <w:t xml:space="preserve"> </w:t>
            </w:r>
            <w:r>
              <w:rPr/>
              <w:t>给他人造成损失的，应当与发行人、上市公司承担连带赔偿责任，但是能够证明自己</w:t>
            </w:r>
            <w:r>
              <w:rPr>
                <w:spacing w:val="-1"/>
              </w:rPr>
              <w:t>没有过</w:t>
            </w:r>
            <w:r>
              <w:rPr/>
              <w:t xml:space="preserve">  </w:t>
            </w:r>
            <w:r>
              <w:rPr>
                <w:spacing w:val="-2"/>
              </w:rPr>
              <w:t>错的除外。2. 《上市公司证券发行管理办法》(证监会令第30号)第八条：最近3年及一期</w:t>
            </w:r>
          </w:p>
          <w:p>
            <w:pPr>
              <w:pStyle w:val="TableText"/>
              <w:ind w:left="43" w:right="50"/>
              <w:spacing w:before="32" w:line="267" w:lineRule="auto"/>
              <w:rPr/>
            </w:pPr>
            <w:r>
              <w:rPr/>
              <w:t>财务报表未被注册会计师出具保留意见、否定意见或无法表示意见的审计</w:t>
            </w:r>
            <w:r>
              <w:rPr>
                <w:spacing w:val="-1"/>
              </w:rPr>
              <w:t>报告。第三十九条</w:t>
            </w:r>
            <w:r>
              <w:rPr/>
              <w:t xml:space="preserve"> </w:t>
            </w:r>
            <w:r>
              <w:rPr/>
              <w:t>最近一年及一期财务报表被注册会计师出具保留意见、否定意见或无法</w:t>
            </w:r>
            <w:r>
              <w:rPr>
                <w:spacing w:val="-1"/>
              </w:rPr>
              <w:t>表示意见的审计报告</w:t>
            </w:r>
            <w:r>
              <w:rPr/>
              <w:t xml:space="preserve"> </w:t>
            </w:r>
            <w:r>
              <w:rPr>
                <w:spacing w:val="-2"/>
              </w:rPr>
              <w:t>3. 《公开发行证券的公司信息披露内容与格式准则第10号——上市公司公开发行证券申请文</w:t>
            </w:r>
            <w:r>
              <w:rPr>
                <w:spacing w:val="1"/>
              </w:rPr>
              <w:t xml:space="preserve"> </w:t>
            </w:r>
            <w:r>
              <w:rPr>
                <w:spacing w:val="-2"/>
              </w:rPr>
              <w:t>件》附录：上市公司公开发行证券申请文件目录。4. 《公开发行证券的公司信息</w:t>
            </w:r>
            <w:r>
              <w:rPr>
                <w:spacing w:val="-3"/>
              </w:rPr>
              <w:t>披露内容与</w:t>
            </w:r>
          </w:p>
          <w:p>
            <w:pPr>
              <w:pStyle w:val="TableText"/>
              <w:ind w:left="14" w:right="129" w:firstLine="99"/>
              <w:spacing w:before="21" w:line="248" w:lineRule="auto"/>
              <w:rPr/>
            </w:pPr>
            <w:r>
              <w:rPr/>
              <w:t>格式准则第24号——上市公司公开发行证券申请文件》附录；公开发行公</w:t>
            </w:r>
            <w:r>
              <w:rPr>
                <w:spacing w:val="-1"/>
              </w:rPr>
              <w:t>司证券申请文件</w:t>
            </w:r>
            <w:r>
              <w:rPr/>
              <w:t xml:space="preserve"> </w:t>
            </w:r>
            <w:r>
              <w:rPr>
                <w:spacing w:val="-2"/>
              </w:rPr>
              <w:t>目录。</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3088"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84" name="TextBox 484"/>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36" style="position:absolute;margin-left:37.0722pt;margin-top:48.6039pt;mso-position-vertical-relative:page;mso-position-horizontal-relative:page;width:13.55pt;height:12.35pt;z-index:2519930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330</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09"/>
        <w:gridCol w:w="679"/>
        <w:gridCol w:w="6088"/>
      </w:tblGrid>
      <w:tr>
        <w:trPr>
          <w:trHeight w:val="474" w:hRule="atLeast"/>
        </w:trPr>
        <w:tc>
          <w:tcPr>
            <w:tcW w:w="28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50" w:line="252" w:lineRule="auto"/>
              <w:rPr/>
            </w:pPr>
            <w:r>
              <w:rPr>
                <w:spacing w:val="1"/>
              </w:rPr>
              <w:t>中介服务 </w:t>
            </w:r>
            <w:r>
              <w:rPr>
                <w:spacing w:val="-2"/>
              </w:rPr>
              <w:t>事项名称</w:t>
            </w:r>
          </w:p>
        </w:tc>
        <w:tc>
          <w:tcPr>
            <w:tcW w:w="1129" w:type="dxa"/>
            <w:vAlign w:val="top"/>
          </w:tcPr>
          <w:p>
            <w:pPr>
              <w:pStyle w:val="TableText"/>
              <w:ind w:left="249" w:right="45" w:hanging="219"/>
              <w:spacing w:before="50" w:line="252"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50" w:line="25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266" w:hRule="atLeast"/>
        </w:trPr>
        <w:tc>
          <w:tcPr>
            <w:tcW w:w="285" w:type="dxa"/>
            <w:vAlign w:val="top"/>
          </w:tcPr>
          <w:p>
            <w:pPr>
              <w:pStyle w:val="TableText"/>
              <w:ind w:left="15"/>
              <w:spacing w:before="125" w:line="184" w:lineRule="auto"/>
              <w:rPr/>
            </w:pPr>
            <w:r>
              <w:rPr>
                <w:spacing w:val="-4"/>
              </w:rPr>
              <w:t>110</w:t>
            </w:r>
          </w:p>
        </w:tc>
        <w:tc>
          <w:tcPr>
            <w:tcW w:w="659" w:type="dxa"/>
            <w:vAlign w:val="top"/>
          </w:tcPr>
          <w:p>
            <w:pPr>
              <w:pStyle w:val="TableText"/>
              <w:ind w:left="10" w:right="8" w:firstLine="10"/>
              <w:spacing w:before="67" w:line="254" w:lineRule="auto"/>
              <w:jc w:val="both"/>
              <w:rPr/>
            </w:pPr>
            <w:r>
              <w:rPr>
                <w:spacing w:val="5"/>
              </w:rPr>
              <w:t>上市公司</w:t>
            </w:r>
            <w:r>
              <w:rPr/>
              <w:t xml:space="preserve"> </w:t>
            </w:r>
            <w:r>
              <w:rPr/>
              <w:t>非公开发 </w:t>
            </w:r>
            <w:r>
              <w:rPr/>
              <w:t>行新股资 </w:t>
            </w:r>
            <w:r>
              <w:rPr>
                <w:spacing w:val="-2"/>
              </w:rPr>
              <w:t>产评估</w:t>
            </w:r>
          </w:p>
        </w:tc>
        <w:tc>
          <w:tcPr>
            <w:tcW w:w="1129" w:type="dxa"/>
            <w:vAlign w:val="top"/>
          </w:tcPr>
          <w:p>
            <w:pPr>
              <w:pStyle w:val="TableText"/>
              <w:ind w:left="20" w:right="48" w:firstLine="30"/>
              <w:spacing w:before="67" w:line="254" w:lineRule="auto"/>
              <w:jc w:val="both"/>
              <w:rPr/>
            </w:pPr>
            <w:r>
              <w:rPr>
                <w:spacing w:val="20"/>
              </w:rPr>
              <w:t>(44029)上市</w:t>
            </w:r>
            <w:r>
              <w:rPr>
                <w:spacing w:val="2"/>
              </w:rPr>
              <w:t xml:space="preserve"> </w:t>
            </w:r>
            <w:r>
              <w:rPr>
                <w:spacing w:val="-1"/>
              </w:rPr>
              <w:t>公司非公开发行</w:t>
            </w:r>
            <w:r>
              <w:rPr>
                <w:spacing w:val="5"/>
              </w:rPr>
              <w:t xml:space="preserve"> </w:t>
            </w:r>
            <w:r>
              <w:rPr>
                <w:spacing w:val="-2"/>
              </w:rPr>
              <w:t>新股核准</w:t>
            </w:r>
          </w:p>
        </w:tc>
        <w:tc>
          <w:tcPr>
            <w:tcW w:w="809" w:type="dxa"/>
            <w:vAlign w:val="top"/>
          </w:tcPr>
          <w:p>
            <w:pPr>
              <w:pStyle w:val="TableText"/>
              <w:ind w:left="172"/>
              <w:spacing w:before="56" w:line="219" w:lineRule="auto"/>
              <w:rPr/>
            </w:pPr>
            <w:r>
              <w:rPr>
                <w:spacing w:val="-2"/>
              </w:rPr>
              <w:t>证监会</w:t>
            </w:r>
          </w:p>
        </w:tc>
        <w:tc>
          <w:tcPr>
            <w:tcW w:w="679" w:type="dxa"/>
            <w:vAlign w:val="top"/>
          </w:tcPr>
          <w:p>
            <w:pPr>
              <w:pStyle w:val="TableText"/>
              <w:ind w:left="12" w:right="48" w:firstLine="20"/>
              <w:spacing w:before="65" w:line="239" w:lineRule="auto"/>
              <w:rPr/>
            </w:pPr>
            <w:r>
              <w:rPr>
                <w:spacing w:val="-4"/>
              </w:rPr>
              <w:t>资产评估</w:t>
            </w:r>
            <w:r>
              <w:rPr>
                <w:spacing w:val="2"/>
              </w:rPr>
              <w:t xml:space="preserve"> </w:t>
            </w:r>
            <w:r>
              <w:rPr>
                <w:spacing w:val="-2"/>
              </w:rPr>
              <w:t>机构</w:t>
            </w:r>
          </w:p>
        </w:tc>
        <w:tc>
          <w:tcPr>
            <w:tcW w:w="6088" w:type="dxa"/>
            <w:vAlign w:val="top"/>
          </w:tcPr>
          <w:p>
            <w:pPr>
              <w:pStyle w:val="TableText"/>
              <w:ind w:left="24" w:firstLine="9"/>
              <w:spacing w:before="59" w:line="266" w:lineRule="auto"/>
              <w:rPr/>
            </w:pPr>
            <w:r>
              <w:rPr>
                <w:spacing w:val="-2"/>
              </w:rPr>
              <w:t>1. 《中华人民共和国证券法》第十九条</w:t>
            </w:r>
            <w:r>
              <w:rPr>
                <w:spacing w:val="-3"/>
              </w:rPr>
              <w:t>：发行人依法申请核准发行证券所报送的申请文件的</w:t>
            </w:r>
            <w:r>
              <w:rPr/>
              <w:t xml:space="preserve">  </w:t>
            </w:r>
            <w:r>
              <w:rPr>
                <w:spacing w:val="-1"/>
              </w:rPr>
              <w:t>格式、报送方式，由依法负责核准的机构或者部门规定。第一百七十三条：证券服务机构为</w:t>
            </w:r>
            <w:r>
              <w:rPr>
                <w:spacing w:val="6"/>
              </w:rPr>
              <w:t xml:space="preserve">  </w:t>
            </w:r>
            <w:r>
              <w:rPr>
                <w:spacing w:val="-1"/>
              </w:rPr>
              <w:t>证券发行、上市、交易等证券业务活动制作、出具审计报告、资产评估报告、财务顾问报告</w:t>
            </w:r>
            <w:r>
              <w:rPr>
                <w:spacing w:val="6"/>
              </w:rPr>
              <w:t xml:space="preserve">  </w:t>
            </w:r>
            <w:r>
              <w:rPr>
                <w:spacing w:val="1"/>
              </w:rPr>
              <w:t>资信评级报告或者法律意见书等文件，应当勤勉尽责，对所依据的文件资料内容的真实性、</w:t>
            </w:r>
            <w:r>
              <w:rPr>
                <w:spacing w:val="12"/>
              </w:rPr>
              <w:t xml:space="preserve"> </w:t>
            </w:r>
            <w:r>
              <w:rPr>
                <w:spacing w:val="-1"/>
              </w:rPr>
              <w:t>准确性、完整性进行核查和验证。其制作、出具的文件有虚假记载、误导性陈述或者重大遗</w:t>
            </w:r>
            <w:r>
              <w:rPr>
                <w:spacing w:val="5"/>
              </w:rPr>
              <w:t xml:space="preserve">  </w:t>
            </w:r>
            <w:r>
              <w:rPr>
                <w:spacing w:val="-1"/>
              </w:rPr>
              <w:t>漏，给他人造成损失的，应当与发行人、上市公司承担连带赔偿责任，但是能够证明自己没</w:t>
            </w:r>
            <w:r>
              <w:rPr>
                <w:spacing w:val="6"/>
              </w:rPr>
              <w:t xml:space="preserve">  </w:t>
            </w:r>
            <w:r>
              <w:rPr>
                <w:spacing w:val="-2"/>
              </w:rPr>
              <w:t>有过错的除外。2. 《公开发行证券的公司信息披露内</w:t>
            </w:r>
            <w:r>
              <w:rPr>
                <w:spacing w:val="-3"/>
              </w:rPr>
              <w:t>容与格式准则第10号——上市公司公开</w:t>
            </w:r>
            <w:r>
              <w:rPr/>
              <w:t xml:space="preserve">  </w:t>
            </w:r>
            <w:r>
              <w:rPr>
                <w:spacing w:val="-2"/>
              </w:rPr>
              <w:t>发行证券申请文件》附录：上市公司公开发行证券申请文件目录。</w:t>
            </w:r>
            <w:r>
              <w:rPr>
                <w:spacing w:val="-3"/>
              </w:rPr>
              <w:t>3. 《公开发行证券的公司</w:t>
            </w:r>
            <w:r>
              <w:rPr/>
              <w:t xml:space="preserve">  </w:t>
            </w:r>
            <w:r>
              <w:rPr>
                <w:spacing w:val="-1"/>
              </w:rPr>
              <w:t>信息披露内容与格式准则第24号——上市公司公开发行证券申请文件》附录：公开发行公</w:t>
            </w:r>
          </w:p>
          <w:p>
            <w:pPr>
              <w:pStyle w:val="TableText"/>
              <w:ind w:left="24"/>
              <w:spacing w:before="43" w:line="219" w:lineRule="auto"/>
              <w:rPr/>
            </w:pPr>
            <w:r>
              <w:rPr>
                <w:spacing w:val="-2"/>
              </w:rPr>
              <w:t>司证券申请文件目录</w:t>
            </w:r>
          </w:p>
        </w:tc>
      </w:tr>
      <w:tr>
        <w:trPr>
          <w:trHeight w:val="1807" w:hRule="atLeast"/>
        </w:trPr>
        <w:tc>
          <w:tcPr>
            <w:tcW w:w="285" w:type="dxa"/>
            <w:vAlign w:val="top"/>
          </w:tcPr>
          <w:p>
            <w:pPr>
              <w:pStyle w:val="TableText"/>
              <w:ind w:left="15"/>
              <w:spacing w:before="118" w:line="184" w:lineRule="auto"/>
              <w:rPr/>
            </w:pPr>
            <w:r>
              <w:rPr>
                <w:spacing w:val="-4"/>
              </w:rPr>
              <w:t>111</w:t>
            </w:r>
          </w:p>
        </w:tc>
        <w:tc>
          <w:tcPr>
            <w:tcW w:w="659" w:type="dxa"/>
            <w:vAlign w:val="top"/>
          </w:tcPr>
          <w:p>
            <w:pPr>
              <w:pStyle w:val="TableText"/>
              <w:ind w:left="20" w:right="8"/>
              <w:spacing w:before="62" w:line="251" w:lineRule="auto"/>
              <w:jc w:val="both"/>
              <w:rPr/>
            </w:pPr>
            <w:r>
              <w:rPr>
                <w:spacing w:val="5"/>
              </w:rPr>
              <w:t>上市公司</w:t>
            </w:r>
            <w:r>
              <w:rPr/>
              <w:t xml:space="preserve"> </w:t>
            </w:r>
            <w:r>
              <w:rPr>
                <w:spacing w:val="-3"/>
              </w:rPr>
              <w:t>非公开发</w:t>
            </w:r>
            <w:r>
              <w:rPr>
                <w:spacing w:val="2"/>
              </w:rPr>
              <w:t xml:space="preserve"> </w:t>
            </w:r>
            <w:r>
              <w:rPr>
                <w:spacing w:val="-3"/>
              </w:rPr>
              <w:t>行新股发</w:t>
            </w:r>
            <w:r>
              <w:rPr>
                <w:spacing w:val="2"/>
              </w:rPr>
              <w:t xml:space="preserve"> </w:t>
            </w:r>
            <w:r>
              <w:rPr>
                <w:spacing w:val="-2"/>
              </w:rPr>
              <w:t>行保荐</w:t>
            </w:r>
          </w:p>
        </w:tc>
        <w:tc>
          <w:tcPr>
            <w:tcW w:w="1129" w:type="dxa"/>
            <w:vAlign w:val="top"/>
          </w:tcPr>
          <w:p>
            <w:pPr>
              <w:pStyle w:val="TableText"/>
              <w:ind w:left="30" w:right="48" w:firstLine="20"/>
              <w:spacing w:before="71" w:line="250" w:lineRule="auto"/>
              <w:jc w:val="both"/>
              <w:rPr/>
            </w:pPr>
            <w:r>
              <w:rPr>
                <w:spacing w:val="20"/>
              </w:rPr>
              <w:t>(44029)上市</w:t>
            </w:r>
            <w:r>
              <w:rPr>
                <w:spacing w:val="2"/>
              </w:rPr>
              <w:t xml:space="preserve"> </w:t>
            </w:r>
            <w:r>
              <w:rPr>
                <w:spacing w:val="-2"/>
              </w:rPr>
              <w:t>公司非公开发行</w:t>
            </w:r>
            <w:r>
              <w:rPr>
                <w:spacing w:val="2"/>
              </w:rPr>
              <w:t xml:space="preserve"> </w:t>
            </w:r>
            <w:r>
              <w:rPr>
                <w:spacing w:val="-2"/>
              </w:rPr>
              <w:t>新股核准</w:t>
            </w:r>
          </w:p>
        </w:tc>
        <w:tc>
          <w:tcPr>
            <w:tcW w:w="809" w:type="dxa"/>
            <w:vAlign w:val="top"/>
          </w:tcPr>
          <w:p>
            <w:pPr>
              <w:pStyle w:val="TableText"/>
              <w:ind w:left="172"/>
              <w:spacing w:before="50" w:line="219" w:lineRule="auto"/>
              <w:rPr/>
            </w:pPr>
            <w:r>
              <w:rPr>
                <w:spacing w:val="-2"/>
              </w:rPr>
              <w:t>证监会</w:t>
            </w:r>
          </w:p>
        </w:tc>
        <w:tc>
          <w:tcPr>
            <w:tcW w:w="679" w:type="dxa"/>
            <w:vAlign w:val="top"/>
          </w:tcPr>
          <w:p>
            <w:pPr>
              <w:pStyle w:val="TableText"/>
              <w:ind w:left="32"/>
              <w:spacing w:before="51" w:line="220" w:lineRule="auto"/>
              <w:rPr/>
            </w:pPr>
            <w:r>
              <w:rPr>
                <w:spacing w:val="5"/>
              </w:rPr>
              <w:t>证券公司</w:t>
            </w:r>
          </w:p>
        </w:tc>
        <w:tc>
          <w:tcPr>
            <w:tcW w:w="6088" w:type="dxa"/>
            <w:vAlign w:val="top"/>
          </w:tcPr>
          <w:p>
            <w:pPr>
              <w:pStyle w:val="TableText"/>
              <w:ind w:left="34"/>
              <w:spacing w:before="71" w:line="260" w:lineRule="auto"/>
              <w:jc w:val="both"/>
              <w:rPr/>
            </w:pPr>
            <w:r>
              <w:rPr>
                <w:spacing w:val="-2"/>
              </w:rPr>
              <w:t>1. 《中华人民共和国证券法》第十九条</w:t>
            </w:r>
            <w:r>
              <w:rPr>
                <w:spacing w:val="-3"/>
              </w:rPr>
              <w:t>：发行人依法申请核准发行证券所报送的申请文件的</w:t>
            </w:r>
            <w:r>
              <w:rPr/>
              <w:t xml:space="preserve">  </w:t>
            </w:r>
            <w:r>
              <w:rPr>
                <w:spacing w:val="-1"/>
              </w:rPr>
              <w:t>格式、报送方式，由依法负责核准的机构或者部门规定。第一百七十三条：证券服务机构为</w:t>
            </w:r>
            <w:r>
              <w:rPr>
                <w:spacing w:val="1"/>
              </w:rPr>
              <w:t xml:space="preserve">  </w:t>
            </w:r>
            <w:r>
              <w:rPr>
                <w:spacing w:val="-1"/>
              </w:rPr>
              <w:t>证券发行、上市、交易等证券业务活动制作、出具审计报告、资产评估报告、财务顾问报告</w:t>
            </w:r>
            <w:r>
              <w:rPr>
                <w:spacing w:val="1"/>
              </w:rPr>
              <w:t xml:space="preserve">  </w:t>
            </w:r>
            <w:r>
              <w:rPr>
                <w:spacing w:val="1"/>
              </w:rPr>
              <w:t>资信评级报告或者法律意见书等文件，应当勤勉尽责，对所依据的文件资料内容的真实性、</w:t>
            </w:r>
            <w:r>
              <w:rPr>
                <w:spacing w:val="2"/>
              </w:rPr>
              <w:t xml:space="preserve"> </w:t>
            </w:r>
            <w:r>
              <w:rPr>
                <w:spacing w:val="-1"/>
              </w:rPr>
              <w:t>准确性、完整性进行核查和验证。其制作、出具的文件有虚假记载、误导性陈述或者重大遗</w:t>
            </w:r>
            <w:r>
              <w:rPr/>
              <w:t xml:space="preserve">  </w:t>
            </w:r>
            <w:r>
              <w:rPr>
                <w:spacing w:val="-1"/>
              </w:rPr>
              <w:t>漏，给他人造成损失的，应当与发行人、上市公司承担连带赔偿责任，但是能够证明自己没</w:t>
            </w:r>
          </w:p>
          <w:p>
            <w:pPr>
              <w:pStyle w:val="TableText"/>
              <w:ind w:left="34" w:right="369" w:hanging="10"/>
              <w:spacing w:before="41" w:line="233" w:lineRule="auto"/>
              <w:rPr/>
            </w:pPr>
            <w:r>
              <w:rPr>
                <w:spacing w:val="-2"/>
              </w:rPr>
              <w:t>有过错的除外。2. 《上市公司非公开发行股票实施细则》(证监会令第73号)</w:t>
            </w:r>
            <w:r>
              <w:rPr>
                <w:spacing w:val="-3"/>
              </w:rPr>
              <w:t>附件1;上市</w:t>
            </w:r>
            <w:r>
              <w:rPr/>
              <w:t xml:space="preserve"> </w:t>
            </w:r>
            <w:r>
              <w:rPr>
                <w:spacing w:val="-1"/>
              </w:rPr>
              <w:t>公司非公开发行股票申请文件目录。</w:t>
            </w:r>
          </w:p>
        </w:tc>
      </w:tr>
      <w:tr>
        <w:trPr>
          <w:trHeight w:val="1613" w:hRule="atLeast"/>
        </w:trPr>
        <w:tc>
          <w:tcPr>
            <w:tcW w:w="285" w:type="dxa"/>
            <w:vAlign w:val="top"/>
          </w:tcPr>
          <w:p>
            <w:pPr>
              <w:pStyle w:val="TableText"/>
              <w:ind w:left="15"/>
              <w:spacing w:before="101" w:line="184" w:lineRule="auto"/>
              <w:rPr/>
            </w:pPr>
            <w:r>
              <w:rPr>
                <w:spacing w:val="-4"/>
              </w:rPr>
              <w:t>112</w:t>
            </w:r>
          </w:p>
        </w:tc>
        <w:tc>
          <w:tcPr>
            <w:tcW w:w="659" w:type="dxa"/>
            <w:vAlign w:val="top"/>
          </w:tcPr>
          <w:p>
            <w:pPr>
              <w:pStyle w:val="TableText"/>
              <w:ind w:left="10" w:right="15" w:firstLine="10"/>
              <w:spacing w:before="65" w:line="257" w:lineRule="auto"/>
              <w:jc w:val="both"/>
              <w:rPr/>
            </w:pPr>
            <w:r>
              <w:rPr>
                <w:spacing w:val="3"/>
              </w:rPr>
              <w:t>出具要约</w:t>
            </w:r>
            <w:r>
              <w:rPr/>
              <w:t xml:space="preserve"> </w:t>
            </w:r>
            <w:r>
              <w:rPr>
                <w:spacing w:val="-1"/>
              </w:rPr>
              <w:t>收购义务</w:t>
            </w:r>
            <w:r>
              <w:rPr>
                <w:spacing w:val="1"/>
              </w:rPr>
              <w:t xml:space="preserve"> </w:t>
            </w:r>
            <w:r>
              <w:rPr>
                <w:spacing w:val="1"/>
              </w:rPr>
              <w:t>豁免法律</w:t>
            </w:r>
            <w:r>
              <w:rPr/>
              <w:t xml:space="preserve"> </w:t>
            </w:r>
            <w:r>
              <w:rPr>
                <w:spacing w:val="-3"/>
              </w:rPr>
              <w:t>意见书</w:t>
            </w:r>
          </w:p>
        </w:tc>
        <w:tc>
          <w:tcPr>
            <w:tcW w:w="1129" w:type="dxa"/>
            <w:vAlign w:val="top"/>
          </w:tcPr>
          <w:p>
            <w:pPr>
              <w:pStyle w:val="TableText"/>
              <w:ind w:left="30" w:right="49" w:firstLine="20"/>
              <w:spacing w:before="65" w:line="250" w:lineRule="auto"/>
              <w:jc w:val="both"/>
              <w:rPr/>
            </w:pPr>
            <w:r>
              <w:rPr>
                <w:spacing w:val="20"/>
              </w:rPr>
              <w:t>(44008)要约</w:t>
            </w:r>
            <w:r>
              <w:rPr>
                <w:spacing w:val="7"/>
              </w:rPr>
              <w:t xml:space="preserve"> </w:t>
            </w:r>
            <w:r>
              <w:rPr>
                <w:spacing w:val="-2"/>
              </w:rPr>
              <w:t>收购义务豁免核</w:t>
            </w:r>
            <w:r>
              <w:rPr>
                <w:spacing w:val="1"/>
              </w:rPr>
              <w:t xml:space="preserve"> </w:t>
            </w:r>
            <w:r>
              <w:rPr/>
              <w:t>准</w:t>
            </w:r>
          </w:p>
        </w:tc>
        <w:tc>
          <w:tcPr>
            <w:tcW w:w="809" w:type="dxa"/>
            <w:vAlign w:val="top"/>
          </w:tcPr>
          <w:p>
            <w:pPr>
              <w:pStyle w:val="TableText"/>
              <w:ind w:left="172"/>
              <w:spacing w:before="53" w:line="219" w:lineRule="auto"/>
              <w:rPr/>
            </w:pPr>
            <w:r>
              <w:rPr>
                <w:spacing w:val="-2"/>
              </w:rPr>
              <w:t>证监会</w:t>
            </w:r>
          </w:p>
        </w:tc>
        <w:tc>
          <w:tcPr>
            <w:tcW w:w="679" w:type="dxa"/>
            <w:vAlign w:val="top"/>
          </w:tcPr>
          <w:p>
            <w:pPr>
              <w:pStyle w:val="TableText"/>
              <w:ind w:left="12" w:right="41" w:firstLine="20"/>
              <w:spacing w:before="53" w:line="246" w:lineRule="auto"/>
              <w:rPr/>
            </w:pPr>
            <w:r>
              <w:rPr>
                <w:spacing w:val="-2"/>
              </w:rPr>
              <w:t>律师事务</w:t>
            </w:r>
            <w:r>
              <w:rPr>
                <w:spacing w:val="1"/>
              </w:rPr>
              <w:t xml:space="preserve"> </w:t>
            </w:r>
            <w:r>
              <w:rPr/>
              <w:t>所</w:t>
            </w:r>
          </w:p>
        </w:tc>
        <w:tc>
          <w:tcPr>
            <w:tcW w:w="6088" w:type="dxa"/>
            <w:vAlign w:val="top"/>
          </w:tcPr>
          <w:p>
            <w:pPr>
              <w:pStyle w:val="TableText"/>
              <w:ind w:left="14" w:right="4" w:firstLine="20"/>
              <w:spacing w:before="54" w:line="268" w:lineRule="auto"/>
              <w:jc w:val="both"/>
              <w:rPr/>
            </w:pPr>
            <w:r>
              <w:rPr>
                <w:spacing w:val="-2"/>
              </w:rPr>
              <w:t>1. 《中华人民共和国证券法》第一百七十三条：证券服务机构为证券的发行、上市、交易等</w:t>
            </w:r>
            <w:r>
              <w:rPr>
                <w:spacing w:val="15"/>
              </w:rPr>
              <w:t xml:space="preserve"> </w:t>
            </w:r>
            <w:r>
              <w:rPr/>
              <w:t>证券业务活动制作、出具审计报告、资产评估报告、财务顾问报告、资信评级报告或者法律 </w:t>
            </w:r>
            <w:r>
              <w:rPr/>
              <w:t>意见书等文件，应当勤勉尽责，对所制作、出具的文件内容的真实性、准确性、完整性进行 </w:t>
            </w:r>
            <w:r>
              <w:rPr/>
              <w:t>核查和验证。其制作、出具的文件有虚假记载、误导性陈述或者重大遗漏，给他人造成损失 </w:t>
            </w:r>
            <w:r>
              <w:rPr>
                <w:spacing w:val="-3"/>
              </w:rPr>
              <w:t>的，应当与发行人、上市公司承担连带赔偿责任，但是能够证明自己没有过错的除外。2.</w:t>
            </w:r>
            <w:r>
              <w:rPr>
                <w:spacing w:val="-40"/>
              </w:rPr>
              <w:t xml:space="preserve"> </w:t>
            </w:r>
            <w:r>
              <w:rPr>
                <w:spacing w:val="-3"/>
              </w:rPr>
              <w:t>《上</w:t>
            </w:r>
            <w:r>
              <w:rPr/>
              <w:t xml:space="preserve"> </w:t>
            </w:r>
            <w:r>
              <w:rPr/>
              <w:t>市公司收购管理办法》(证监会令第35号)第六十四条：收购人提出豁免申请的，应当聘</w:t>
            </w:r>
          </w:p>
          <w:p>
            <w:pPr>
              <w:pStyle w:val="TableText"/>
              <w:ind w:left="24"/>
              <w:spacing w:before="32" w:line="219" w:lineRule="auto"/>
              <w:rPr/>
            </w:pPr>
            <w:r>
              <w:rPr>
                <w:spacing w:val="-1"/>
              </w:rPr>
              <w:t>请律师事务所等专业机构出具专业意见</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4112" behindDoc="0" locked="0" layoutInCell="0" allowOverlap="1">
                <wp:simplePos x="0" y="0"/>
                <wp:positionH relativeFrom="page">
                  <wp:posOffset>471019</wp:posOffset>
                </wp:positionH>
                <wp:positionV relativeFrom="page">
                  <wp:posOffset>4382610</wp:posOffset>
                </wp:positionV>
                <wp:extent cx="172085" cy="157479"/>
                <wp:effectExtent l="0" t="0" r="0" b="0"/>
                <wp:wrapNone/>
                <wp:docPr id="486" name="TextBox 486"/>
                <wp:cNvGraphicFramePr/>
                <a:graphic>
                  <a:graphicData uri="http://schemas.microsoft.com/office/word/2010/wordprocessingShape">
                    <wps:wsp>
                      <wps:cNvSpPr txBox="1"/>
                      <wps:spPr>
                        <a:xfrm rot="5400000">
                          <a:off x="471019" y="4382610"/>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331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38" style="position:absolute;margin-left:37.0882pt;margin-top:345.087pt;mso-position-vertical-relative:page;mso-position-horizontal-relative:page;width:13.55pt;height:12.4pt;z-index:25199411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331</w:t>
                      </w:r>
                    </w:p>
                  </w:txbxContent>
                </v:textbox>
              </v:shape>
            </w:pict>
          </mc:Fallback>
        </mc:AlternateContent>
      </w:r>
      <w:r/>
    </w:p>
    <w:p>
      <w:pPr>
        <w:spacing w:before="51"/>
        <w:rPr/>
      </w:pPr>
      <w:r/>
    </w:p>
    <w:tbl>
      <w:tblPr>
        <w:tblStyle w:val="TableNormal"/>
        <w:tblW w:w="965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39"/>
        <w:gridCol w:w="649"/>
        <w:gridCol w:w="6098"/>
      </w:tblGrid>
      <w:tr>
        <w:trPr>
          <w:trHeight w:val="474" w:hRule="atLeast"/>
        </w:trPr>
        <w:tc>
          <w:tcPr>
            <w:tcW w:w="295" w:type="dxa"/>
            <w:vAlign w:val="top"/>
          </w:tcPr>
          <w:p>
            <w:pPr>
              <w:pStyle w:val="TableText"/>
              <w:ind w:left="65"/>
              <w:spacing w:before="62" w:line="209" w:lineRule="auto"/>
              <w:rPr/>
            </w:pPr>
            <w:r>
              <w:rPr/>
              <w:t>序</w:t>
            </w:r>
          </w:p>
          <w:p>
            <w:pPr>
              <w:pStyle w:val="TableText"/>
              <w:ind w:left="65"/>
              <w:spacing w:line="220" w:lineRule="auto"/>
              <w:rPr/>
            </w:pPr>
            <w:r>
              <w:rPr/>
              <w:t>号</w:t>
            </w:r>
          </w:p>
        </w:tc>
        <w:tc>
          <w:tcPr>
            <w:tcW w:w="669" w:type="dxa"/>
            <w:vAlign w:val="top"/>
          </w:tcPr>
          <w:p>
            <w:pPr>
              <w:pStyle w:val="TableText"/>
              <w:ind w:left="2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39"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49" w:type="dxa"/>
            <w:vAlign w:val="top"/>
          </w:tcPr>
          <w:p>
            <w:pPr>
              <w:pStyle w:val="TableText"/>
              <w:ind w:left="1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918" w:hRule="atLeast"/>
        </w:trPr>
        <w:tc>
          <w:tcPr>
            <w:tcW w:w="295" w:type="dxa"/>
            <w:vAlign w:val="top"/>
          </w:tcPr>
          <w:p>
            <w:pPr>
              <w:spacing w:line="264" w:lineRule="auto"/>
              <w:rPr>
                <w:rFonts w:ascii="Arial"/>
                <w:sz w:val="21"/>
              </w:rPr>
            </w:pPr>
            <w:r/>
          </w:p>
          <w:p>
            <w:pPr>
              <w:pStyle w:val="TableText"/>
              <w:ind w:left="25"/>
              <w:spacing w:before="49" w:line="184" w:lineRule="auto"/>
              <w:rPr/>
            </w:pPr>
            <w:r>
              <w:rPr>
                <w:spacing w:val="-4"/>
              </w:rPr>
              <w:t>113</w:t>
            </w:r>
          </w:p>
        </w:tc>
        <w:tc>
          <w:tcPr>
            <w:tcW w:w="669" w:type="dxa"/>
            <w:vAlign w:val="top"/>
          </w:tcPr>
          <w:p>
            <w:pPr>
              <w:pStyle w:val="TableText"/>
              <w:ind w:left="20" w:right="47"/>
              <w:spacing w:before="276" w:line="246" w:lineRule="auto"/>
              <w:rPr/>
            </w:pPr>
            <w:r>
              <w:rPr>
                <w:spacing w:val="-3"/>
              </w:rPr>
              <w:t>公司债券</w:t>
            </w:r>
            <w:r>
              <w:rPr/>
              <w:t xml:space="preserve"> </w:t>
            </w:r>
            <w:r>
              <w:rPr>
                <w:spacing w:val="-3"/>
              </w:rPr>
              <w:t>发行验资</w:t>
            </w:r>
          </w:p>
        </w:tc>
        <w:tc>
          <w:tcPr>
            <w:tcW w:w="1109" w:type="dxa"/>
            <w:vAlign w:val="top"/>
          </w:tcPr>
          <w:p>
            <w:pPr>
              <w:pStyle w:val="TableText"/>
              <w:ind w:left="20" w:right="127" w:firstLine="110"/>
              <w:spacing w:before="288" w:line="238" w:lineRule="auto"/>
              <w:rPr/>
            </w:pPr>
            <w:r>
              <w:rPr>
                <w:spacing w:val="1"/>
              </w:rPr>
              <w:t>(44031)公司</w:t>
            </w:r>
            <w:r>
              <w:rPr>
                <w:spacing w:val="5"/>
              </w:rPr>
              <w:t xml:space="preserve"> </w:t>
            </w:r>
            <w:r>
              <w:rPr>
                <w:spacing w:val="-1"/>
              </w:rPr>
              <w:t>债券发行核准</w:t>
            </w:r>
          </w:p>
        </w:tc>
        <w:tc>
          <w:tcPr>
            <w:tcW w:w="839" w:type="dxa"/>
            <w:vAlign w:val="top"/>
          </w:tcPr>
          <w:p>
            <w:pPr>
              <w:pStyle w:val="TableText"/>
              <w:ind w:left="182"/>
              <w:spacing w:before="276" w:line="219" w:lineRule="auto"/>
              <w:rPr/>
            </w:pPr>
            <w:r>
              <w:rPr>
                <w:spacing w:val="-2"/>
              </w:rPr>
              <w:t>证监会</w:t>
            </w:r>
          </w:p>
        </w:tc>
        <w:tc>
          <w:tcPr>
            <w:tcW w:w="649" w:type="dxa"/>
            <w:vAlign w:val="top"/>
          </w:tcPr>
          <w:p>
            <w:pPr>
              <w:pStyle w:val="TableText"/>
              <w:ind w:left="12" w:right="31"/>
              <w:spacing w:before="276" w:line="239" w:lineRule="auto"/>
              <w:rPr/>
            </w:pPr>
            <w:r>
              <w:rPr>
                <w:spacing w:val="-2"/>
              </w:rPr>
              <w:t>会计师事</w:t>
            </w:r>
            <w:r>
              <w:rPr>
                <w:spacing w:val="1"/>
              </w:rPr>
              <w:t xml:space="preserve"> </w:t>
            </w:r>
            <w:r>
              <w:rPr>
                <w:spacing w:val="-2"/>
              </w:rPr>
              <w:t>务所</w:t>
            </w:r>
          </w:p>
        </w:tc>
        <w:tc>
          <w:tcPr>
            <w:tcW w:w="6098" w:type="dxa"/>
            <w:vAlign w:val="top"/>
          </w:tcPr>
          <w:p>
            <w:pPr>
              <w:pStyle w:val="TableText"/>
              <w:ind w:left="54" w:right="102" w:hanging="54"/>
              <w:spacing w:before="286" w:line="250" w:lineRule="auto"/>
              <w:rPr/>
            </w:pPr>
            <w:r>
              <w:rPr/>
              <w:t>《中华人民共和国证券法》第十七条：申请公开发行公</w:t>
            </w:r>
            <w:r>
              <w:rPr>
                <w:spacing w:val="-1"/>
              </w:rPr>
              <w:t>司债券，应当向国务院授权的部门或</w:t>
            </w:r>
            <w:r>
              <w:rPr/>
              <w:t xml:space="preserve"> </w:t>
            </w:r>
            <w:r>
              <w:rPr>
                <w:spacing w:val="-4"/>
              </w:rPr>
              <w:t>者国务院证券监督管理机构报送下列文件：    (四)资产</w:t>
            </w:r>
            <w:r>
              <w:rPr>
                <w:spacing w:val="-5"/>
              </w:rPr>
              <w:t>评估报告和验资报告</w:t>
            </w:r>
          </w:p>
        </w:tc>
      </w:tr>
      <w:tr>
        <w:trPr>
          <w:trHeight w:val="4797" w:hRule="atLeast"/>
        </w:trPr>
        <w:tc>
          <w:tcPr>
            <w:tcW w:w="295"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25"/>
              <w:spacing w:before="49" w:line="184" w:lineRule="auto"/>
              <w:rPr/>
            </w:pPr>
            <w:r>
              <w:rPr>
                <w:spacing w:val="-4"/>
              </w:rPr>
              <w:t>114</w:t>
            </w:r>
          </w:p>
        </w:tc>
        <w:tc>
          <w:tcPr>
            <w:tcW w:w="669"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0" w:right="47"/>
              <w:spacing w:before="49" w:line="253" w:lineRule="auto"/>
              <w:jc w:val="both"/>
              <w:rPr/>
            </w:pPr>
            <w:r>
              <w:rPr>
                <w:spacing w:val="-3"/>
              </w:rPr>
              <w:t>公司债券</w:t>
            </w:r>
            <w:r>
              <w:rPr/>
              <w:t xml:space="preserve"> </w:t>
            </w:r>
            <w:r>
              <w:rPr>
                <w:spacing w:val="-3"/>
              </w:rPr>
              <w:t>发行资产</w:t>
            </w:r>
            <w:r>
              <w:rPr>
                <w:spacing w:val="2"/>
              </w:rPr>
              <w:t xml:space="preserve"> </w:t>
            </w:r>
            <w:r>
              <w:rPr>
                <w:spacing w:val="-2"/>
              </w:rPr>
              <w:t>评估</w:t>
            </w:r>
          </w:p>
        </w:tc>
        <w:tc>
          <w:tcPr>
            <w:tcW w:w="110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30" w:right="127" w:firstLine="100"/>
              <w:spacing w:before="49" w:line="244" w:lineRule="auto"/>
              <w:rPr/>
            </w:pPr>
            <w:r>
              <w:rPr>
                <w:spacing w:val="1"/>
              </w:rPr>
              <w:t>(44031)公司</w:t>
            </w:r>
            <w:r>
              <w:rPr>
                <w:spacing w:val="5"/>
              </w:rPr>
              <w:t xml:space="preserve"> </w:t>
            </w:r>
            <w:r>
              <w:rPr>
                <w:spacing w:val="-1"/>
              </w:rPr>
              <w:t>债券发行核准</w:t>
            </w:r>
          </w:p>
        </w:tc>
        <w:tc>
          <w:tcPr>
            <w:tcW w:w="839"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82"/>
              <w:spacing w:before="49" w:line="219" w:lineRule="auto"/>
              <w:rPr/>
            </w:pPr>
            <w:r>
              <w:rPr>
                <w:spacing w:val="-2"/>
              </w:rPr>
              <w:t>证监会</w:t>
            </w:r>
          </w:p>
        </w:tc>
        <w:tc>
          <w:tcPr>
            <w:tcW w:w="649"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2" w:right="38"/>
              <w:spacing w:before="49" w:line="239" w:lineRule="auto"/>
              <w:rPr/>
            </w:pPr>
            <w:r>
              <w:rPr>
                <w:spacing w:val="-4"/>
              </w:rPr>
              <w:t>资产评估</w:t>
            </w:r>
            <w:r>
              <w:rPr>
                <w:spacing w:val="2"/>
              </w:rPr>
              <w:t xml:space="preserve"> </w:t>
            </w:r>
            <w:r>
              <w:rPr>
                <w:spacing w:val="-2"/>
              </w:rPr>
              <w:t>机构</w:t>
            </w:r>
          </w:p>
        </w:tc>
        <w:tc>
          <w:tcPr>
            <w:tcW w:w="6098"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4" w:right="44"/>
              <w:spacing w:before="48" w:line="253" w:lineRule="auto"/>
              <w:rPr/>
            </w:pPr>
            <w:r>
              <w:rPr>
                <w:spacing w:val="-2"/>
              </w:rPr>
              <w:t>1. 《中华人民共和国证券法》第十七条：申请公开发行公司债券，应当向国务院授权的部门</w:t>
            </w:r>
            <w:r>
              <w:rPr>
                <w:spacing w:val="7"/>
              </w:rPr>
              <w:t xml:space="preserve"> </w:t>
            </w:r>
            <w:r>
              <w:rPr/>
              <w:t>或者国务院证券监督管理机构报送下列文件：</w:t>
            </w:r>
            <w:r>
              <w:rPr>
                <w:spacing w:val="-1"/>
              </w:rPr>
              <w:t>(四)资产评估报告和验资报告。2. 《公司债</w:t>
            </w:r>
            <w:r>
              <w:rPr/>
              <w:t xml:space="preserve">  </w:t>
            </w:r>
            <w:r>
              <w:rPr/>
              <w:t>券发行与交易管理办法》(证监会令第113号)第六条：债券募集说明书及</w:t>
            </w:r>
            <w:r>
              <w:rPr>
                <w:spacing w:val="-1"/>
              </w:rPr>
              <w:t>其他信息披露文</w:t>
            </w:r>
          </w:p>
          <w:p>
            <w:pPr>
              <w:pStyle w:val="TableText"/>
              <w:ind w:left="44" w:right="31"/>
              <w:spacing w:before="40" w:line="266" w:lineRule="auto"/>
              <w:rPr/>
            </w:pPr>
            <w:r>
              <w:rPr/>
              <w:t>件所引用的审计报告、资产评估报告、评级报告，应当由具有从事证券服务</w:t>
            </w:r>
            <w:r>
              <w:rPr>
                <w:spacing w:val="-1"/>
              </w:rPr>
              <w:t>业务资格的机构</w:t>
            </w:r>
            <w:r>
              <w:rPr/>
              <w:t xml:space="preserve"> </w:t>
            </w:r>
            <w:r>
              <w:rPr/>
              <w:t>出具。债券募集说明书所引用的法律意见书，应当由律师事务所出具，并由两名执业律师和</w:t>
            </w:r>
            <w:r>
              <w:rPr>
                <w:spacing w:val="11"/>
              </w:rPr>
              <w:t xml:space="preserve"> </w:t>
            </w:r>
            <w:r>
              <w:rPr/>
              <w:t>所在律师事务所负责人签署。第二十条：发行人应当按照中国证监会信息披</w:t>
            </w:r>
            <w:r>
              <w:rPr>
                <w:spacing w:val="-1"/>
              </w:rPr>
              <w:t>露内容与格式的</w:t>
            </w:r>
            <w:r>
              <w:rPr/>
              <w:t xml:space="preserve"> </w:t>
            </w:r>
            <w:r>
              <w:rPr>
                <w:spacing w:val="-2"/>
              </w:rPr>
              <w:t>有关规定编制和报送公开发行公司债券的申请文件。3. 《公开发行证券的公</w:t>
            </w:r>
            <w:r>
              <w:rPr>
                <w:spacing w:val="-3"/>
              </w:rPr>
              <w:t>司信息披露内容</w:t>
            </w:r>
            <w:r>
              <w:rPr/>
              <w:t xml:space="preserve"> </w:t>
            </w:r>
            <w:r>
              <w:rPr/>
              <w:t>与格式准则第24号--公开发行公司债券申请文件》公开发行公司债券申请文件目录：4-</w:t>
            </w:r>
          </w:p>
          <w:p>
            <w:pPr>
              <w:pStyle w:val="TableText"/>
              <w:ind w:left="44" w:right="51" w:firstLine="29"/>
              <w:spacing w:before="41" w:line="244" w:lineRule="auto"/>
              <w:rPr/>
            </w:pPr>
            <w:r>
              <w:rPr/>
              <w:t>发行人最近三年的财务报告和审计报告及最近一期的财务报告或会计报表(截至此次申请时</w:t>
            </w:r>
            <w:r>
              <w:rPr>
                <w:spacing w:val="12"/>
              </w:rPr>
              <w:t xml:space="preserve"> </w:t>
            </w:r>
            <w:r>
              <w:rPr/>
              <w:t>最近三年内发生重大资产重组的发行人，同时应当提供重组前一年的备</w:t>
            </w:r>
            <w:r>
              <w:rPr>
                <w:spacing w:val="-1"/>
              </w:rPr>
              <w:t>考财务报告以及审计</w:t>
            </w:r>
          </w:p>
          <w:p>
            <w:pPr>
              <w:pStyle w:val="TableText"/>
              <w:ind w:left="34" w:right="267" w:firstLine="10"/>
              <w:spacing w:before="43" w:line="253" w:lineRule="auto"/>
              <w:rPr/>
            </w:pPr>
            <w:r>
              <w:rPr/>
              <w:t>或审阅报告和重组进入公司的资产的财务报告、资产评估报告和/或审计</w:t>
            </w:r>
            <w:r>
              <w:rPr>
                <w:spacing w:val="-1"/>
              </w:rPr>
              <w:t>报告);4-7本次</w:t>
            </w:r>
            <w:r>
              <w:rPr/>
              <w:t xml:space="preserve">  </w:t>
            </w:r>
            <w:r>
              <w:rPr/>
              <w:t>发行公司债券的担保合同、担保函、担保人就提供担保获得的授权文件(如有);担保财产</w:t>
            </w:r>
            <w:r>
              <w:rPr>
                <w:spacing w:val="10"/>
              </w:rPr>
              <w:t xml:space="preserve"> </w:t>
            </w:r>
            <w:r>
              <w:rPr>
                <w:spacing w:val="1"/>
              </w:rPr>
              <w:t>的资产评估文件(如为抵押或质押担保)</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5136" behindDoc="0" locked="0" layoutInCell="0" allowOverlap="1">
                <wp:simplePos x="0" y="0"/>
                <wp:positionH relativeFrom="page">
                  <wp:posOffset>470816</wp:posOffset>
                </wp:positionH>
                <wp:positionV relativeFrom="page">
                  <wp:posOffset>623638</wp:posOffset>
                </wp:positionV>
                <wp:extent cx="172085" cy="156845"/>
                <wp:effectExtent l="0" t="0" r="0" b="0"/>
                <wp:wrapNone/>
                <wp:docPr id="488" name="TextBox 488"/>
                <wp:cNvGraphicFramePr/>
                <a:graphic>
                  <a:graphicData uri="http://schemas.microsoft.com/office/word/2010/wordprocessingShape">
                    <wps:wsp>
                      <wps:cNvSpPr txBox="1"/>
                      <wps:spPr>
                        <a:xfrm rot="5400000">
                          <a:off x="470816" y="623638"/>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0" style="position:absolute;margin-left:37.0722pt;margin-top:49.1054pt;mso-position-vertical-relative:page;mso-position-horizontal-relative:page;width:13.55pt;height:12.35pt;z-index:25199513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332</w:t>
                      </w:r>
                    </w:p>
                  </w:txbxContent>
                </v:textbox>
              </v:shape>
            </w:pict>
          </mc:Fallback>
        </mc:AlternateContent>
      </w:r>
      <w:r/>
    </w:p>
    <w:p>
      <w:pPr>
        <w:spacing w:before="51"/>
        <w:rPr/>
      </w:pPr>
      <w:r/>
    </w:p>
    <w:tbl>
      <w:tblPr>
        <w:tblStyle w:val="TableNormal"/>
        <w:tblW w:w="965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281" w:lineRule="auto"/>
              <w:rPr>
                <w:rFonts w:ascii="Arial"/>
                <w:sz w:val="21"/>
              </w:rPr>
            </w:pPr>
            <w:r/>
          </w:p>
          <w:p>
            <w:pPr>
              <w:spacing w:line="281" w:lineRule="auto"/>
              <w:rPr>
                <w:rFonts w:ascii="Arial"/>
                <w:sz w:val="21"/>
              </w:rPr>
            </w:pPr>
            <w:r/>
          </w:p>
          <w:p>
            <w:pPr>
              <w:pStyle w:val="TableText"/>
              <w:ind w:left="25"/>
              <w:spacing w:before="49" w:line="184" w:lineRule="auto"/>
              <w:rPr/>
            </w:pPr>
            <w:r>
              <w:rPr>
                <w:spacing w:val="-4"/>
              </w:rPr>
              <w:t>115</w:t>
            </w:r>
          </w:p>
        </w:tc>
        <w:tc>
          <w:tcPr>
            <w:tcW w:w="659" w:type="dxa"/>
            <w:vAlign w:val="top"/>
          </w:tcPr>
          <w:p>
            <w:pPr>
              <w:spacing w:line="261" w:lineRule="auto"/>
              <w:rPr>
                <w:rFonts w:ascii="Arial"/>
                <w:sz w:val="21"/>
              </w:rPr>
            </w:pPr>
            <w:r/>
          </w:p>
          <w:p>
            <w:pPr>
              <w:spacing w:line="262" w:lineRule="auto"/>
              <w:rPr>
                <w:rFonts w:ascii="Arial"/>
                <w:sz w:val="21"/>
              </w:rPr>
            </w:pPr>
            <w:r/>
          </w:p>
          <w:p>
            <w:pPr>
              <w:pStyle w:val="TableText"/>
              <w:ind w:left="10" w:firstLine="9"/>
              <w:spacing w:before="48" w:line="265" w:lineRule="auto"/>
              <w:jc w:val="both"/>
              <w:rPr/>
            </w:pPr>
            <w:r>
              <w:rPr>
                <w:spacing w:val="3"/>
              </w:rPr>
              <w:t>保险公司</w:t>
            </w:r>
            <w:r>
              <w:rPr>
                <w:spacing w:val="1"/>
              </w:rPr>
              <w:t xml:space="preserve"> </w:t>
            </w:r>
            <w:r>
              <w:rPr>
                <w:spacing w:val="-1"/>
              </w:rPr>
              <w:t>及其分支</w:t>
            </w:r>
            <w:r>
              <w:rPr>
                <w:spacing w:val="2"/>
              </w:rPr>
              <w:t xml:space="preserve"> </w:t>
            </w:r>
            <w:r>
              <w:rPr>
                <w:spacing w:val="-9"/>
              </w:rPr>
              <w:t>机</w:t>
            </w:r>
            <w:r>
              <w:rPr>
                <w:spacing w:val="23"/>
              </w:rPr>
              <w:t xml:space="preserve"> </w:t>
            </w:r>
            <w:r>
              <w:rPr>
                <w:spacing w:val="-9"/>
              </w:rPr>
              <w:t>构</w:t>
            </w:r>
            <w:r>
              <w:rPr>
                <w:spacing w:val="24"/>
              </w:rPr>
              <w:t xml:space="preserve"> </w:t>
            </w:r>
            <w:r>
              <w:rPr>
                <w:spacing w:val="-9"/>
              </w:rPr>
              <w:t>设</w:t>
            </w:r>
            <w:r>
              <w:rPr/>
              <w:t xml:space="preserve"> </w:t>
            </w:r>
            <w:r>
              <w:rPr>
                <w:spacing w:val="-1"/>
              </w:rPr>
              <w:t>立、保险</w:t>
            </w:r>
            <w:r>
              <w:rPr>
                <w:spacing w:val="1"/>
              </w:rPr>
              <w:t xml:space="preserve"> </w:t>
            </w:r>
            <w:r>
              <w:rPr>
                <w:spacing w:val="-2"/>
              </w:rPr>
              <w:t>公司终止</w:t>
            </w:r>
            <w:r>
              <w:rPr/>
              <w:t xml:space="preserve"> </w:t>
            </w:r>
            <w:r>
              <w:rPr>
                <w:spacing w:val="-8"/>
              </w:rPr>
              <w:t>(</w:t>
            </w:r>
            <w:r>
              <w:rPr>
                <w:spacing w:val="-24"/>
              </w:rPr>
              <w:t xml:space="preserve"> </w:t>
            </w:r>
            <w:r>
              <w:rPr>
                <w:spacing w:val="-8"/>
              </w:rPr>
              <w:t>解</w:t>
            </w:r>
            <w:r>
              <w:rPr>
                <w:spacing w:val="-26"/>
              </w:rPr>
              <w:t xml:space="preserve"> </w:t>
            </w:r>
            <w:r>
              <w:rPr>
                <w:spacing w:val="-8"/>
              </w:rPr>
              <w:t>散</w:t>
            </w:r>
            <w:r>
              <w:rPr>
                <w:spacing w:val="-31"/>
              </w:rPr>
              <w:t xml:space="preserve"> </w:t>
            </w:r>
            <w:r>
              <w:rPr>
                <w:spacing w:val="-8"/>
              </w:rPr>
              <w:t>、</w:t>
            </w:r>
            <w:r>
              <w:rPr/>
              <w:t xml:space="preserve"> </w:t>
            </w:r>
            <w:r>
              <w:rPr>
                <w:spacing w:val="11"/>
              </w:rPr>
              <w:t>破产)审 </w:t>
            </w:r>
            <w:r>
              <w:rPr>
                <w:spacing w:val="12"/>
              </w:rPr>
              <w:t>计(验资</w:t>
            </w:r>
          </w:p>
        </w:tc>
        <w:tc>
          <w:tcPr>
            <w:tcW w:w="1109" w:type="dxa"/>
            <w:vAlign w:val="top"/>
          </w:tcPr>
          <w:p>
            <w:pPr>
              <w:spacing w:line="263" w:lineRule="auto"/>
              <w:rPr>
                <w:rFonts w:ascii="Arial"/>
                <w:sz w:val="21"/>
              </w:rPr>
            </w:pPr>
            <w:r/>
          </w:p>
          <w:p>
            <w:pPr>
              <w:spacing w:line="263" w:lineRule="auto"/>
              <w:rPr>
                <w:rFonts w:ascii="Arial"/>
                <w:sz w:val="21"/>
              </w:rPr>
            </w:pPr>
            <w:r/>
          </w:p>
          <w:p>
            <w:pPr>
              <w:pStyle w:val="TableText"/>
              <w:ind w:left="20" w:firstLine="19"/>
              <w:spacing w:before="49" w:line="265" w:lineRule="auto"/>
              <w:jc w:val="both"/>
              <w:rPr/>
            </w:pPr>
            <w:r>
              <w:rPr>
                <w:spacing w:val="19"/>
              </w:rPr>
              <w:t>(45001)保险</w:t>
            </w:r>
            <w:r>
              <w:rPr>
                <w:spacing w:val="1"/>
              </w:rPr>
              <w:t xml:space="preserve">  </w:t>
            </w:r>
            <w:r>
              <w:rPr>
                <w:spacing w:val="-4"/>
              </w:rPr>
              <w:t>公司及其分支机 </w:t>
            </w:r>
            <w:r>
              <w:rPr>
                <w:spacing w:val="-3"/>
              </w:rPr>
              <w:t>构设立、保险公</w:t>
            </w:r>
            <w:r>
              <w:rPr>
                <w:spacing w:val="5"/>
              </w:rPr>
              <w:t xml:space="preserve"> </w:t>
            </w:r>
            <w:r>
              <w:rPr>
                <w:spacing w:val="14"/>
              </w:rPr>
              <w:t>司终止(解散、</w:t>
            </w:r>
            <w:r>
              <w:rPr>
                <w:spacing w:val="4"/>
              </w:rPr>
              <w:t xml:space="preserve"> </w:t>
            </w:r>
            <w:r>
              <w:rPr>
                <w:spacing w:val="2"/>
              </w:rPr>
              <w:t>破产)审批</w:t>
            </w:r>
          </w:p>
        </w:tc>
        <w:tc>
          <w:tcPr>
            <w:tcW w:w="839" w:type="dxa"/>
            <w:vAlign w:val="top"/>
          </w:tcPr>
          <w:p>
            <w:pPr>
              <w:spacing w:line="252" w:lineRule="auto"/>
              <w:rPr>
                <w:rFonts w:ascii="Arial"/>
                <w:sz w:val="21"/>
              </w:rPr>
            </w:pPr>
            <w:r/>
          </w:p>
          <w:p>
            <w:pPr>
              <w:spacing w:line="252" w:lineRule="auto"/>
              <w:rPr>
                <w:rFonts w:ascii="Arial"/>
                <w:sz w:val="21"/>
              </w:rPr>
            </w:pPr>
            <w:r/>
          </w:p>
          <w:p>
            <w:pPr>
              <w:pStyle w:val="TableText"/>
              <w:ind w:left="182"/>
              <w:spacing w:before="49" w:line="219" w:lineRule="auto"/>
              <w:rPr/>
            </w:pPr>
            <w:r>
              <w:rPr>
                <w:spacing w:val="-2"/>
              </w:rPr>
              <w:t>保监会</w:t>
            </w:r>
          </w:p>
        </w:tc>
        <w:tc>
          <w:tcPr>
            <w:tcW w:w="659" w:type="dxa"/>
            <w:vAlign w:val="top"/>
          </w:tcPr>
          <w:p>
            <w:pPr>
              <w:spacing w:line="262" w:lineRule="auto"/>
              <w:rPr>
                <w:rFonts w:ascii="Arial"/>
                <w:sz w:val="21"/>
              </w:rPr>
            </w:pPr>
            <w:r/>
          </w:p>
          <w:p>
            <w:pPr>
              <w:spacing w:line="262" w:lineRule="auto"/>
              <w:rPr>
                <w:rFonts w:ascii="Arial"/>
                <w:sz w:val="21"/>
              </w:rPr>
            </w:pPr>
            <w:r/>
          </w:p>
          <w:p>
            <w:pPr>
              <w:pStyle w:val="TableText"/>
              <w:ind w:left="12" w:right="31" w:firstLine="10"/>
              <w:spacing w:before="49" w:line="233" w:lineRule="auto"/>
              <w:rPr/>
            </w:pPr>
            <w:r>
              <w:rPr>
                <w:spacing w:val="-2"/>
              </w:rPr>
              <w:t>会计师事</w:t>
            </w:r>
            <w:r>
              <w:rPr>
                <w:spacing w:val="1"/>
              </w:rPr>
              <w:t xml:space="preserve"> </w:t>
            </w:r>
            <w:r>
              <w:rPr>
                <w:spacing w:val="-2"/>
              </w:rPr>
              <w:t>务所</w:t>
            </w:r>
          </w:p>
        </w:tc>
        <w:tc>
          <w:tcPr>
            <w:tcW w:w="6098" w:type="dxa"/>
            <w:vAlign w:val="top"/>
          </w:tcPr>
          <w:p>
            <w:pPr>
              <w:spacing w:line="262" w:lineRule="auto"/>
              <w:rPr>
                <w:rFonts w:ascii="Arial"/>
                <w:sz w:val="21"/>
              </w:rPr>
            </w:pPr>
            <w:r/>
          </w:p>
          <w:p>
            <w:pPr>
              <w:spacing w:line="262" w:lineRule="auto"/>
              <w:rPr>
                <w:rFonts w:ascii="Arial"/>
                <w:sz w:val="21"/>
              </w:rPr>
            </w:pPr>
            <w:r/>
          </w:p>
          <w:p>
            <w:pPr>
              <w:pStyle w:val="TableText"/>
              <w:spacing w:before="48" w:line="219" w:lineRule="auto"/>
              <w:jc w:val="right"/>
              <w:rPr/>
            </w:pPr>
            <w:r>
              <w:rPr>
                <w:spacing w:val="-3"/>
              </w:rPr>
              <w:t>1. 《中华人民共和国保险法》第六十七</w:t>
            </w:r>
            <w:r>
              <w:rPr>
                <w:spacing w:val="-4"/>
              </w:rPr>
              <w:t>条：设立保险公司应当经国务院保险监督管理机构批准</w:t>
            </w:r>
          </w:p>
          <w:p>
            <w:pPr>
              <w:pStyle w:val="TableText"/>
              <w:ind w:left="43"/>
              <w:spacing w:before="32" w:line="219" w:lineRule="auto"/>
              <w:rPr/>
            </w:pPr>
            <w:r>
              <w:rPr/>
              <w:t>第七十条：申请设立保险公司，应当向国务院保险监督管理机构提出书面申</w:t>
            </w:r>
            <w:r>
              <w:rPr>
                <w:spacing w:val="-1"/>
              </w:rPr>
              <w:t>请，并提交下列</w:t>
            </w:r>
          </w:p>
          <w:p>
            <w:pPr>
              <w:pStyle w:val="TableText"/>
              <w:ind w:left="113"/>
              <w:spacing w:before="52" w:line="219" w:lineRule="auto"/>
              <w:rPr/>
            </w:pPr>
            <w:r>
              <w:rPr/>
              <w:t>材料：(四)投资人的营业执照或者其他背景资料，经会计师事务所审计的</w:t>
            </w:r>
            <w:r>
              <w:rPr>
                <w:spacing w:val="-1"/>
              </w:rPr>
              <w:t>一年度财务会计</w:t>
            </w:r>
          </w:p>
          <w:p>
            <w:pPr>
              <w:pStyle w:val="TableText"/>
              <w:ind w:left="43"/>
              <w:spacing w:before="41" w:line="218" w:lineRule="auto"/>
              <w:rPr/>
            </w:pPr>
            <w:r>
              <w:rPr/>
              <w:t>报告。第七十四条：保险公司在中华人民共和国境内设立分支机构，应当经保</w:t>
            </w:r>
            <w:r>
              <w:rPr>
                <w:spacing w:val="-1"/>
              </w:rPr>
              <w:t>险监督管理机</w:t>
            </w:r>
          </w:p>
          <w:p>
            <w:pPr>
              <w:pStyle w:val="TableText"/>
              <w:ind w:left="43"/>
              <w:spacing w:before="33" w:line="219" w:lineRule="auto"/>
              <w:rPr/>
            </w:pPr>
            <w:r>
              <w:rPr>
                <w:spacing w:val="-2"/>
              </w:rPr>
              <w:t>构批准。保险公司分支机构不具有法人资格，其民事责任由保险公司承担。2. 《保险公司管</w:t>
            </w:r>
          </w:p>
          <w:p>
            <w:pPr>
              <w:pStyle w:val="TableText"/>
              <w:ind w:left="43"/>
              <w:spacing w:before="62" w:line="219" w:lineRule="auto"/>
              <w:rPr/>
            </w:pPr>
            <w:r>
              <w:rPr/>
              <w:t>理规定》(保监会令2009年第1号)第十三条：申请人提出开业申请</w:t>
            </w:r>
            <w:r>
              <w:rPr>
                <w:spacing w:val="-1"/>
              </w:rPr>
              <w:t>，应当提交下列材料</w:t>
            </w:r>
          </w:p>
          <w:p>
            <w:pPr>
              <w:pStyle w:val="TableText"/>
              <w:ind w:left="43" w:right="27"/>
              <w:spacing w:before="32" w:line="245" w:lineRule="auto"/>
              <w:rPr/>
            </w:pPr>
            <w:r>
              <w:rPr/>
              <w:t>一式三份；(四)股东名称及所持股份或者出资者比例，资信良好的验资机构出具的验资证明</w:t>
            </w:r>
            <w:r>
              <w:rPr>
                <w:spacing w:val="15"/>
              </w:rPr>
              <w:t xml:space="preserve"> </w:t>
            </w:r>
            <w:r>
              <w:rPr/>
              <w:t>资本金入账原始凭证复印件。第十九条：设立分支机构，申</w:t>
            </w:r>
            <w:r>
              <w:rPr>
                <w:spacing w:val="-1"/>
              </w:rPr>
              <w:t>请人应当提交下列材料一式三份</w:t>
            </w:r>
          </w:p>
          <w:p>
            <w:pPr>
              <w:pStyle w:val="TableText"/>
              <w:ind w:left="43" w:right="34" w:firstLine="110"/>
              <w:spacing w:before="31" w:line="258" w:lineRule="auto"/>
              <w:rPr/>
            </w:pPr>
            <w:r>
              <w:rPr/>
              <w:t>(二)申请前连续2个季度的偿还能力报告和上一年度经审计的偿付能力报告。3</w:t>
            </w:r>
            <w:r>
              <w:rPr>
                <w:spacing w:val="-1"/>
              </w:rPr>
              <w:t>,《中华人  </w:t>
            </w:r>
            <w:r>
              <w:rPr/>
              <w:t>民共和国外资保险公司管理条例》第九条：设立外资保险公司，申请人应当向中国保监会提</w:t>
            </w:r>
            <w:r>
              <w:rPr>
                <w:spacing w:val="5"/>
              </w:rPr>
              <w:t xml:space="preserve"> </w:t>
            </w:r>
            <w:r>
              <w:rPr>
                <w:spacing w:val="-3"/>
              </w:rPr>
              <w:t>出书面申请，并提交下列资料：    (二)外国申请人所在国家或者地区</w:t>
            </w:r>
            <w:r>
              <w:rPr>
                <w:spacing w:val="-4"/>
              </w:rPr>
              <w:t>有关主管当局核发的营</w:t>
            </w:r>
          </w:p>
          <w:p>
            <w:pPr>
              <w:pStyle w:val="TableText"/>
              <w:ind w:left="34" w:right="49" w:firstLine="79"/>
              <w:spacing w:before="43" w:line="260" w:lineRule="auto"/>
              <w:rPr/>
            </w:pPr>
            <w:r>
              <w:rPr/>
              <w:t>业执照(副本)、对其符合偿付能力标准的证明及对其申请的意见书。第十</w:t>
            </w:r>
            <w:r>
              <w:rPr>
                <w:spacing w:val="-1"/>
              </w:rPr>
              <w:t>一条；申请人应</w:t>
            </w:r>
            <w:r>
              <w:rPr/>
              <w:t xml:space="preserve">  </w:t>
            </w:r>
            <w:r>
              <w:rPr>
                <w:spacing w:val="1"/>
              </w:rPr>
              <w:t>当自接到正式申请表之日起1年内完成筹建工作；在规定的期限内未完成筹建工作，有正当</w:t>
            </w:r>
            <w:r>
              <w:rPr>
                <w:spacing w:val="17"/>
              </w:rPr>
              <w:t xml:space="preserve"> </w:t>
            </w:r>
            <w:r>
              <w:rPr>
                <w:spacing w:val="1"/>
              </w:rPr>
              <w:t>理由的，经中国保监会批准，可以延长3个月。在延</w:t>
            </w:r>
            <w:r>
              <w:rPr/>
              <w:t>长期内仍未完成筹建工作的，中国保监 </w:t>
            </w:r>
            <w:r>
              <w:rPr/>
              <w:t>会作出的受理决定自动失效。筹建工作完成后，申请人应当将填写好的申请表连同下列文件</w:t>
            </w:r>
            <w:r>
              <w:rPr>
                <w:spacing w:val="3"/>
              </w:rPr>
              <w:t xml:space="preserve"> </w:t>
            </w:r>
            <w:r>
              <w:rPr>
                <w:spacing w:val="-2"/>
              </w:rPr>
              <w:t>报中国保监会审批：(四)法定验资机构出具的验资证明。4. 《中华人民共和国外资保险公</w:t>
            </w:r>
          </w:p>
          <w:p>
            <w:pPr>
              <w:pStyle w:val="TableText"/>
              <w:ind w:left="34" w:firstLine="39"/>
              <w:spacing w:before="32" w:line="263" w:lineRule="auto"/>
              <w:rPr/>
            </w:pPr>
            <w:r>
              <w:rPr/>
              <w:t>司管理条例实施细则》(保监会令2004年第4号)第十五条：《条例》第九条第三项所称年报</w:t>
            </w:r>
            <w:r>
              <w:rPr>
                <w:spacing w:val="3"/>
              </w:rPr>
              <w:t xml:space="preserve">  </w:t>
            </w:r>
            <w:r>
              <w:rPr>
                <w:spacing w:val="1"/>
              </w:rPr>
              <w:t>应当包括申请人在申请日的前3个会计年度的资产负债表、利润表和现金流量表。前款所列</w:t>
            </w:r>
            <w:r>
              <w:rPr>
                <w:spacing w:val="6"/>
              </w:rPr>
              <w:t xml:space="preserve">  </w:t>
            </w:r>
            <w:r>
              <w:rPr/>
              <w:t>报表应当附由申请人所在国家或者地区认可的会计师事务所或者审计师事务所出具的审</w:t>
            </w:r>
            <w:r>
              <w:rPr>
                <w:spacing w:val="-1"/>
              </w:rPr>
              <w:t>计意 </w:t>
            </w:r>
            <w:r>
              <w:rPr>
                <w:spacing w:val="-6"/>
              </w:rPr>
              <w:t>见书。第二十一条：</w:t>
            </w:r>
            <w:r>
              <w:rPr>
                <w:spacing w:val="22"/>
              </w:rPr>
              <w:t xml:space="preserve">   </w:t>
            </w:r>
            <w:r>
              <w:rPr>
                <w:spacing w:val="-6"/>
              </w:rPr>
              <w:t>《条例》第十一条第四项所称法定验资机构，是指符合中国保监会要求</w:t>
            </w:r>
            <w:r>
              <w:rPr>
                <w:spacing w:val="1"/>
              </w:rPr>
              <w:t xml:space="preserve"> </w:t>
            </w:r>
            <w:r>
              <w:rPr>
                <w:spacing w:val="-1"/>
              </w:rPr>
              <w:t>的会计师事务所。</w:t>
            </w:r>
          </w:p>
        </w:tc>
      </w:tr>
    </w:tbl>
    <w:p>
      <w:pPr>
        <w:pStyle w:val="BodyText"/>
        <w:rPr/>
      </w:pPr>
      <w:r/>
    </w:p>
    <w:p>
      <w:pPr>
        <w:sectPr>
          <w:pgSz w:w="11910" w:h="8220"/>
          <w:pgMar w:top="400" w:right="1115" w:bottom="400" w:left="821" w:header="0" w:footer="0" w:gutter="0"/>
        </w:sectPr>
        <w:rPr/>
      </w:pPr>
    </w:p>
    <w:p>
      <w:pPr>
        <w:spacing w:before="153"/>
        <w:rPr/>
      </w:pPr>
      <w:r>
        <mc:AlternateContent xmlns:mc="http://schemas.openxmlformats.org/markup-compatibility/2006">
          <mc:Choice Requires="wps">
            <w:drawing>
              <wp:anchor distT="0" distB="0" distL="0" distR="0" simplePos="0" relativeHeight="251996160"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90" name="TextBox 490"/>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2" style="position:absolute;margin-left:37.0722pt;margin-top:345.103pt;mso-position-vertical-relative:page;mso-position-horizontal-relative:page;width:13.55pt;height:12.35pt;z-index:25199616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333</w:t>
                      </w:r>
                    </w:p>
                  </w:txbxContent>
                </v:textbox>
              </v:shape>
            </w:pict>
          </mc:Fallback>
        </mc:AlternateContent>
      </w: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69"/>
        <w:gridCol w:w="6098"/>
      </w:tblGrid>
      <w:tr>
        <w:trPr>
          <w:trHeight w:val="474" w:hRule="atLeast"/>
        </w:trPr>
        <w:tc>
          <w:tcPr>
            <w:tcW w:w="295" w:type="dxa"/>
            <w:vAlign w:val="top"/>
          </w:tcPr>
          <w:p>
            <w:pPr>
              <w:pStyle w:val="TableText"/>
              <w:ind w:left="65"/>
              <w:spacing w:before="62" w:line="197" w:lineRule="auto"/>
              <w:rPr/>
            </w:pPr>
            <w:r>
              <w:rPr/>
              <w:t>序</w:t>
            </w:r>
          </w:p>
          <w:p>
            <w:pPr>
              <w:pStyle w:val="TableText"/>
              <w:ind w:left="65"/>
              <w:spacing w:line="220" w:lineRule="auto"/>
              <w:rPr/>
            </w:pPr>
            <w:r>
              <w:rPr/>
              <w:t>号</w:t>
            </w:r>
          </w:p>
        </w:tc>
        <w:tc>
          <w:tcPr>
            <w:tcW w:w="669" w:type="dxa"/>
            <w:vAlign w:val="top"/>
          </w:tcPr>
          <w:p>
            <w:pPr>
              <w:pStyle w:val="TableText"/>
              <w:ind w:left="20" w:right="32"/>
              <w:spacing w:before="61" w:line="248" w:lineRule="auto"/>
              <w:rPr/>
            </w:pPr>
            <w:r>
              <w:rPr>
                <w:spacing w:val="1"/>
              </w:rPr>
              <w:t>中介服务 </w:t>
            </w:r>
            <w:r>
              <w:rPr>
                <w:spacing w:val="-2"/>
              </w:rPr>
              <w:t>事项名称</w:t>
            </w:r>
          </w:p>
        </w:tc>
        <w:tc>
          <w:tcPr>
            <w:tcW w:w="1109" w:type="dxa"/>
            <w:vAlign w:val="top"/>
          </w:tcPr>
          <w:p>
            <w:pPr>
              <w:pStyle w:val="TableText"/>
              <w:ind w:left="239" w:right="35" w:hanging="219"/>
              <w:spacing w:before="72" w:line="239"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69" w:type="dxa"/>
            <w:vAlign w:val="top"/>
          </w:tcPr>
          <w:p>
            <w:pPr>
              <w:pStyle w:val="TableText"/>
              <w:ind w:left="22" w:right="28"/>
              <w:spacing w:before="6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6066" w:hRule="atLeast"/>
        </w:trPr>
        <w:tc>
          <w:tcPr>
            <w:tcW w:w="295" w:type="dxa"/>
            <w:vAlign w:val="top"/>
          </w:tcPr>
          <w:p>
            <w:pPr>
              <w:pStyle w:val="TableText"/>
              <w:ind w:left="25"/>
              <w:spacing w:before="85" w:line="184" w:lineRule="auto"/>
              <w:rPr/>
            </w:pPr>
            <w:r>
              <w:rPr>
                <w:spacing w:val="-4"/>
              </w:rPr>
              <w:t>116</w:t>
            </w:r>
          </w:p>
        </w:tc>
        <w:tc>
          <w:tcPr>
            <w:tcW w:w="669" w:type="dxa"/>
            <w:vAlign w:val="top"/>
          </w:tcPr>
          <w:p>
            <w:pPr>
              <w:pStyle w:val="TableText"/>
              <w:ind w:left="20"/>
              <w:spacing w:before="47" w:line="219" w:lineRule="auto"/>
              <w:rPr/>
            </w:pPr>
            <w:r>
              <w:rPr>
                <w:spacing w:val="-2"/>
              </w:rPr>
              <w:t>保险资产</w:t>
            </w:r>
          </w:p>
          <w:p>
            <w:pPr>
              <w:pStyle w:val="TableText"/>
              <w:ind w:left="20"/>
              <w:spacing w:before="42" w:line="219" w:lineRule="auto"/>
              <w:rPr/>
            </w:pPr>
            <w:r>
              <w:rPr>
                <w:spacing w:val="5"/>
              </w:rPr>
              <w:t>管理公司</w:t>
            </w:r>
          </w:p>
          <w:p>
            <w:pPr>
              <w:pStyle w:val="TableText"/>
              <w:ind w:left="20"/>
              <w:spacing w:before="42" w:line="220" w:lineRule="auto"/>
              <w:rPr/>
            </w:pPr>
            <w:r>
              <w:rPr>
                <w:spacing w:val="-2"/>
              </w:rPr>
              <w:t>设立审计</w:t>
            </w:r>
          </w:p>
          <w:p>
            <w:pPr>
              <w:pStyle w:val="TableText"/>
              <w:ind w:left="99"/>
              <w:spacing w:before="41" w:line="221" w:lineRule="auto"/>
              <w:rPr/>
            </w:pPr>
            <w:r>
              <w:rPr>
                <w:spacing w:val="8"/>
              </w:rPr>
              <w:t>(验资)</w:t>
            </w:r>
          </w:p>
        </w:tc>
        <w:tc>
          <w:tcPr>
            <w:tcW w:w="1109" w:type="dxa"/>
            <w:vAlign w:val="top"/>
          </w:tcPr>
          <w:p>
            <w:pPr>
              <w:pStyle w:val="TableText"/>
              <w:ind w:left="20" w:firstLine="19"/>
              <w:spacing w:before="29" w:line="266" w:lineRule="auto"/>
              <w:jc w:val="both"/>
              <w:rPr/>
            </w:pPr>
            <w:r>
              <w:rPr>
                <w:spacing w:val="19"/>
              </w:rPr>
              <w:t>(45003)保险</w:t>
            </w:r>
            <w:r>
              <w:rPr>
                <w:spacing w:val="1"/>
              </w:rPr>
              <w:t xml:space="preserve">  </w:t>
            </w:r>
            <w:r>
              <w:rPr/>
              <w:t>资产管理公司及 </w:t>
            </w:r>
            <w:r>
              <w:rPr>
                <w:spacing w:val="-2"/>
              </w:rPr>
              <w:t>其分支机构设立</w:t>
            </w:r>
            <w:r>
              <w:rPr/>
              <w:t xml:space="preserve"> </w:t>
            </w:r>
            <w:r>
              <w:rPr>
                <w:spacing w:val="14"/>
              </w:rPr>
              <w:t>和终止(解散、</w:t>
            </w:r>
            <w:r>
              <w:rPr>
                <w:spacing w:val="4"/>
              </w:rPr>
              <w:t xml:space="preserve"> </w:t>
            </w:r>
            <w:r>
              <w:rPr>
                <w:spacing w:val="-2"/>
              </w:rPr>
              <w:t>破产和分支机构</w:t>
            </w:r>
            <w:r>
              <w:rPr>
                <w:spacing w:val="1"/>
              </w:rPr>
              <w:t xml:space="preserve"> </w:t>
            </w:r>
            <w:r>
              <w:rPr/>
              <w:t>撤销)审批</w:t>
            </w:r>
          </w:p>
        </w:tc>
        <w:tc>
          <w:tcPr>
            <w:tcW w:w="829" w:type="dxa"/>
            <w:vAlign w:val="top"/>
          </w:tcPr>
          <w:p>
            <w:pPr>
              <w:pStyle w:val="TableText"/>
              <w:ind w:left="182"/>
              <w:spacing w:before="36" w:line="219" w:lineRule="auto"/>
              <w:rPr/>
            </w:pPr>
            <w:r>
              <w:rPr>
                <w:spacing w:val="-2"/>
              </w:rPr>
              <w:t>保监会</w:t>
            </w:r>
          </w:p>
        </w:tc>
        <w:tc>
          <w:tcPr>
            <w:tcW w:w="669" w:type="dxa"/>
            <w:vAlign w:val="top"/>
          </w:tcPr>
          <w:p>
            <w:pPr>
              <w:pStyle w:val="TableText"/>
              <w:ind w:left="12" w:right="41" w:firstLine="10"/>
              <w:spacing w:before="27" w:line="251" w:lineRule="auto"/>
              <w:rPr/>
            </w:pPr>
            <w:r>
              <w:rPr>
                <w:spacing w:val="-2"/>
              </w:rPr>
              <w:t>会计师事</w:t>
            </w:r>
            <w:r>
              <w:rPr>
                <w:spacing w:val="1"/>
              </w:rPr>
              <w:t xml:space="preserve"> </w:t>
            </w:r>
            <w:r>
              <w:rPr>
                <w:spacing w:val="-2"/>
              </w:rPr>
              <w:t>务所</w:t>
            </w:r>
          </w:p>
        </w:tc>
        <w:tc>
          <w:tcPr>
            <w:tcW w:w="6098" w:type="dxa"/>
            <w:vAlign w:val="top"/>
          </w:tcPr>
          <w:p>
            <w:pPr>
              <w:pStyle w:val="TableText"/>
              <w:ind w:left="4" w:firstLine="39"/>
              <w:spacing w:before="35" w:line="252" w:lineRule="auto"/>
              <w:jc w:val="both"/>
              <w:rPr/>
            </w:pPr>
            <w:r>
              <w:rPr>
                <w:spacing w:val="-3"/>
              </w:rPr>
              <w:t>1. 《中华人民共和国保险法》第一百零七条：经国务院保险监督管理机构会同国务</w:t>
            </w:r>
            <w:r>
              <w:rPr>
                <w:spacing w:val="-4"/>
              </w:rPr>
              <w:t>院证券监</w:t>
            </w:r>
            <w:r>
              <w:rPr/>
              <w:t xml:space="preserve">  </w:t>
            </w:r>
            <w:r>
              <w:rPr>
                <w:spacing w:val="-3"/>
              </w:rPr>
              <w:t>督管理机构批准，保险公司可以设立保险资产管理公司。保险资产管理公司从事证券投资活动</w:t>
            </w:r>
            <w:r>
              <w:rPr>
                <w:spacing w:val="2"/>
              </w:rPr>
              <w:t xml:space="preserve"> </w:t>
            </w:r>
            <w:r>
              <w:rPr>
                <w:spacing w:val="-3"/>
              </w:rPr>
              <w:t>应当遵守《中华人民共和国证券法》等法律、行政法规的规定。保险资产管理公司的</w:t>
            </w:r>
            <w:r>
              <w:rPr>
                <w:spacing w:val="-4"/>
              </w:rPr>
              <w:t>管理办法</w:t>
            </w:r>
            <w:r>
              <w:rPr/>
              <w:t xml:space="preserve">  </w:t>
            </w:r>
            <w:r>
              <w:rPr>
                <w:spacing w:val="-3"/>
              </w:rPr>
              <w:t>由国务院保险监督管理机构会同国务院有关部门制定。2. 《保</w:t>
            </w:r>
            <w:r>
              <w:rPr>
                <w:spacing w:val="-4"/>
              </w:rPr>
              <w:t>险资产管理公司管理暂行规定》</w:t>
            </w:r>
          </w:p>
          <w:p>
            <w:pPr>
              <w:pStyle w:val="TableText"/>
              <w:ind w:left="153"/>
              <w:spacing w:before="22" w:line="219" w:lineRule="auto"/>
              <w:rPr/>
            </w:pPr>
            <w:r>
              <w:rPr/>
              <w:t>(保监会令2004年第2号)第十一条：设立保险资产管理公司，申请人应当向中国保监会提</w:t>
            </w:r>
          </w:p>
          <w:p>
            <w:pPr>
              <w:pStyle w:val="TableText"/>
              <w:ind w:left="34" w:right="36" w:firstLine="9"/>
              <w:spacing w:before="42" w:line="241" w:lineRule="auto"/>
              <w:rPr/>
            </w:pPr>
            <w:r>
              <w:rPr>
                <w:spacing w:val="-3"/>
              </w:rPr>
              <w:t>出书面申请，并提交下列材料：    (三)股东的基本资料，包括股</w:t>
            </w:r>
            <w:r>
              <w:rPr>
                <w:spacing w:val="-4"/>
              </w:rPr>
              <w:t>东的姓名或者名称、法定代</w:t>
            </w:r>
            <w:r>
              <w:rPr/>
              <w:t xml:space="preserve"> </w:t>
            </w:r>
            <w:r>
              <w:rPr>
                <w:spacing w:val="1"/>
              </w:rPr>
              <w:t>表人、组织形式、注册资本、经营范围、资格证明文件以及经会计师事务所</w:t>
            </w:r>
            <w:r>
              <w:rPr/>
              <w:t>审计的最近1年  </w:t>
            </w:r>
            <w:r>
              <w:rPr/>
              <w:t>资产负债表和损益表。(四)符合本办法第八条规定条件的股</w:t>
            </w:r>
            <w:r>
              <w:rPr>
                <w:spacing w:val="-1"/>
              </w:rPr>
              <w:t>东的证明材料以及会计师事务</w:t>
            </w:r>
          </w:p>
          <w:p>
            <w:pPr>
              <w:pStyle w:val="TableText"/>
              <w:ind w:left="14"/>
              <w:spacing w:before="23" w:line="219" w:lineRule="auto"/>
              <w:rPr/>
            </w:pPr>
            <w:r>
              <w:rPr/>
              <w:t>所审计的最近3年的资产负债表和损益表。第十四条：筹建工作完成后，申</w:t>
            </w:r>
            <w:r>
              <w:rPr>
                <w:spacing w:val="-1"/>
              </w:rPr>
              <w:t>请人应当向中国</w:t>
            </w:r>
          </w:p>
          <w:p>
            <w:pPr>
              <w:pStyle w:val="TableText"/>
              <w:ind w:left="34"/>
              <w:spacing w:before="51" w:line="219" w:lineRule="auto"/>
              <w:rPr/>
            </w:pPr>
            <w:r>
              <w:rPr/>
              <w:t>保监会提出开业申请，并提交下列材料：(二)法定验资机构出具的验资</w:t>
            </w:r>
            <w:r>
              <w:rPr>
                <w:spacing w:val="-1"/>
              </w:rPr>
              <w:t>证明，资本金入账</w:t>
            </w:r>
          </w:p>
          <w:p>
            <w:pPr>
              <w:pStyle w:val="TableText"/>
              <w:ind w:left="34"/>
              <w:spacing w:before="32" w:line="219" w:lineRule="auto"/>
              <w:rPr/>
            </w:pPr>
            <w:r>
              <w:rPr>
                <w:spacing w:val="-2"/>
              </w:rPr>
              <w:t>凭证复印件；3. 《保险公司股权管理办法》(保监会令2014年第4号)第十三条：境内企业</w:t>
            </w:r>
          </w:p>
          <w:p>
            <w:pPr>
              <w:pStyle w:val="TableText"/>
              <w:ind w:left="34"/>
              <w:spacing w:before="23" w:line="219" w:lineRule="auto"/>
              <w:rPr/>
            </w:pPr>
            <w:r>
              <w:rPr>
                <w:spacing w:val="1"/>
              </w:rPr>
              <w:t>法人向保险公司投资入股，应当符合以下条件；(一)财务状况良好稳</w:t>
            </w:r>
            <w:r>
              <w:rPr/>
              <w:t>定，且有盈利；(二)</w:t>
            </w:r>
          </w:p>
          <w:p>
            <w:pPr>
              <w:pStyle w:val="TableText"/>
              <w:ind w:left="34"/>
              <w:spacing w:before="42" w:line="219" w:lineRule="auto"/>
              <w:rPr/>
            </w:pPr>
            <w:r>
              <w:rPr>
                <w:spacing w:val="-3"/>
              </w:rPr>
              <w:t>具有良好的诚信记录和纳税记录；(三)最近三</w:t>
            </w:r>
            <w:r>
              <w:rPr>
                <w:spacing w:val="-4"/>
              </w:rPr>
              <w:t>年内无重大违法违规记录；    (四)投资人为</w:t>
            </w:r>
          </w:p>
          <w:p>
            <w:pPr>
              <w:pStyle w:val="TableText"/>
              <w:ind w:left="14" w:firstLine="29"/>
              <w:spacing w:before="11" w:line="251" w:lineRule="auto"/>
              <w:rPr/>
            </w:pPr>
            <w:r>
              <w:rPr>
                <w:spacing w:val="-3"/>
              </w:rPr>
              <w:t>金融机构的，应当符合相应金融监管机构的审慎监管指标要求；    (五)法律、行</w:t>
            </w:r>
            <w:r>
              <w:rPr>
                <w:spacing w:val="-4"/>
              </w:rPr>
              <w:t>政法规及中</w:t>
            </w:r>
            <w:r>
              <w:rPr/>
              <w:t xml:space="preserve"> </w:t>
            </w:r>
            <w:r>
              <w:rPr>
                <w:spacing w:val="-2"/>
              </w:rPr>
              <w:t>国保监会规定的其他条件。第十四条：境外金融机构向保险公司投资入股，应当符合以下条件</w:t>
            </w:r>
          </w:p>
          <w:p>
            <w:pPr>
              <w:pStyle w:val="TableText"/>
              <w:ind w:left="83" w:right="115" w:firstLine="30"/>
              <w:spacing w:before="31" w:line="239" w:lineRule="auto"/>
              <w:rPr/>
            </w:pPr>
            <w:r>
              <w:rPr>
                <w:spacing w:val="-3"/>
              </w:rPr>
              <w:t>(一)财务状况良好稳定，最近三个会计年度连续盈利；    (二)最</w:t>
            </w:r>
            <w:r>
              <w:rPr>
                <w:spacing w:val="-4"/>
              </w:rPr>
              <w:t>近一年年末总资产不少于</w:t>
            </w:r>
            <w:r>
              <w:rPr/>
              <w:t xml:space="preserve"> </w:t>
            </w:r>
            <w:r>
              <w:rPr>
                <w:spacing w:val="-2"/>
              </w:rPr>
              <w:t>20亿美元；   (三)国际评级机构最近三年对其长期信用评级为A级以上；(四)最近三年</w:t>
            </w:r>
          </w:p>
          <w:p>
            <w:pPr>
              <w:pStyle w:val="TableText"/>
              <w:ind w:left="43" w:right="48" w:firstLine="70"/>
              <w:spacing w:before="33" w:line="232" w:lineRule="auto"/>
              <w:rPr/>
            </w:pPr>
            <w:r>
              <w:rPr>
                <w:spacing w:val="2"/>
              </w:rPr>
              <w:t>内无重大违法违规记录；(五)符合所在地金融监管机构的审慎监管指标要</w:t>
            </w:r>
            <w:r>
              <w:rPr>
                <w:spacing w:val="1"/>
              </w:rPr>
              <w:t>求；(六)法律、</w:t>
            </w:r>
            <w:r>
              <w:rPr/>
              <w:t xml:space="preserve"> </w:t>
            </w:r>
            <w:r>
              <w:rPr/>
              <w:t>行政法规及中国保监会规定的其他条件。第十五条：持有保险公司股</w:t>
            </w:r>
            <w:r>
              <w:rPr>
                <w:spacing w:val="-1"/>
              </w:rPr>
              <w:t>权15%以上，或者不</w:t>
            </w:r>
          </w:p>
          <w:p>
            <w:pPr>
              <w:pStyle w:val="TableText"/>
              <w:ind w:left="43"/>
              <w:spacing w:before="33" w:line="219" w:lineRule="auto"/>
              <w:rPr/>
            </w:pPr>
            <w:r>
              <w:rPr>
                <w:spacing w:val="-4"/>
              </w:rPr>
              <w:t>足15%但直接或者间接控制该保险公司的主要股东，还应当符合以下条件；    (一)具有持</w:t>
            </w:r>
          </w:p>
          <w:p>
            <w:pPr>
              <w:pStyle w:val="TableText"/>
              <w:ind w:left="43" w:right="51"/>
              <w:spacing w:before="42" w:line="232" w:lineRule="auto"/>
              <w:rPr/>
            </w:pPr>
            <w:r>
              <w:rPr>
                <w:spacing w:val="-4"/>
              </w:rPr>
              <w:t>续出资能力，最近三个会计年度连续盈利；    (二)具有较强的资金实力，净资产不低于人民</w:t>
            </w:r>
            <w:r>
              <w:rPr>
                <w:spacing w:val="17"/>
              </w:rPr>
              <w:t xml:space="preserve"> </w:t>
            </w:r>
            <w:r>
              <w:rPr>
                <w:spacing w:val="-1"/>
              </w:rPr>
              <w:t>币2亿元；   (三)信誉良好，在本行业内处于</w:t>
            </w:r>
            <w:r>
              <w:rPr>
                <w:spacing w:val="-2"/>
              </w:rPr>
              <w:t>领先地位。第二十八条：申请设立保险公司</w:t>
            </w:r>
          </w:p>
          <w:p>
            <w:pPr>
              <w:pStyle w:val="TableText"/>
              <w:ind w:left="34" w:right="28" w:firstLine="79"/>
              <w:spacing w:before="24" w:line="255" w:lineRule="auto"/>
              <w:rPr/>
            </w:pPr>
            <w:r>
              <w:rPr/>
              <w:t>应当向中国保监会提出书面申请，并提交投资人的以下材料：(二)投资人</w:t>
            </w:r>
            <w:r>
              <w:rPr>
                <w:spacing w:val="-1"/>
              </w:rPr>
              <w:t>经会计师事务所</w:t>
            </w:r>
            <w:r>
              <w:rPr/>
              <w:t xml:space="preserve">  </w:t>
            </w:r>
            <w:r>
              <w:rPr/>
              <w:t>审计的上一年度财务会计报告，投资人为境外金融机构或者主要股东的，应当提交经会计师</w:t>
            </w:r>
            <w:r>
              <w:rPr>
                <w:spacing w:val="16"/>
              </w:rPr>
              <w:t xml:space="preserve"> </w:t>
            </w:r>
            <w:r>
              <w:rPr>
                <w:spacing w:val="1"/>
              </w:rPr>
              <w:t>事务所审计的最近三年的财务会计报告。第二十九条：</w:t>
            </w:r>
            <w:r>
              <w:rPr/>
              <w:t>保险公司变更注册资本，应当向中国 </w:t>
            </w:r>
            <w:r>
              <w:rPr/>
              <w:t>保监会提出书面申请，并提交以下材料：(四)验资报告和股东出资或者减资证明。第三十条</w:t>
            </w:r>
            <w:r>
              <w:rPr>
                <w:spacing w:val="2"/>
              </w:rPr>
              <w:t xml:space="preserve"> </w:t>
            </w:r>
            <w:r>
              <w:rPr/>
              <w:t>股东转让保险公司的股权，受让方出资或者持股比例达到保险公司注册资本</w:t>
            </w:r>
            <w:r>
              <w:rPr>
                <w:spacing w:val="-1"/>
              </w:rPr>
              <w:t>5%以上的，保</w:t>
            </w:r>
          </w:p>
          <w:p>
            <w:pPr>
              <w:pStyle w:val="TableText"/>
              <w:ind w:left="4" w:firstLine="39"/>
              <w:spacing w:before="32" w:line="209" w:lineRule="auto"/>
              <w:rPr/>
            </w:pPr>
            <w:r>
              <w:rPr>
                <w:spacing w:val="-1"/>
              </w:rPr>
              <w:t>险公司应当向中国保监会提出书面申请，并提交股权转让协议</w:t>
            </w:r>
            <w:r>
              <w:rPr>
                <w:spacing w:val="-2"/>
              </w:rPr>
              <w:t>，但通过证券交易所购买上市</w:t>
            </w:r>
            <w:r>
              <w:rPr/>
              <w:t xml:space="preserve">  </w:t>
            </w:r>
            <w:r>
              <w:rPr>
                <w:spacing w:val="-2"/>
              </w:rPr>
              <w:t>保险公司股票的除外。受让方为新增股东的，还应当提交本办法第二十八条规定的有关材料。</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7184"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92" name="TextBox 492"/>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4" style="position:absolute;margin-left:37.0722pt;margin-top:48.6039pt;mso-position-vertical-relative:page;mso-position-horizontal-relative:page;width:13.55pt;height:12.35pt;z-index:25199718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334</w:t>
                      </w:r>
                    </w:p>
                  </w:txbxContent>
                </v:textbox>
              </v:shape>
            </w:pict>
          </mc:Fallback>
        </mc:AlternateContent>
      </w:r>
      <w:r/>
    </w:p>
    <w:p>
      <w:pPr>
        <w:spacing w:before="51"/>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61" w:line="248" w:lineRule="auto"/>
              <w:rPr/>
            </w:pPr>
            <w:r>
              <w:rPr>
                <w:spacing w:val="1"/>
              </w:rPr>
              <w:t>中介服务 </w:t>
            </w:r>
            <w:r>
              <w:rPr>
                <w:spacing w:val="-2"/>
              </w:rPr>
              <w:t>事项名称</w:t>
            </w:r>
          </w:p>
        </w:tc>
        <w:tc>
          <w:tcPr>
            <w:tcW w:w="1099" w:type="dxa"/>
            <w:vAlign w:val="top"/>
          </w:tcPr>
          <w:p>
            <w:pPr>
              <w:pStyle w:val="TableText"/>
              <w:ind w:left="239" w:right="35" w:hanging="229"/>
              <w:spacing w:before="61" w:line="248"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61" w:line="248"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25" w:hRule="atLeast"/>
        </w:trPr>
        <w:tc>
          <w:tcPr>
            <w:tcW w:w="295" w:type="dxa"/>
            <w:vAlign w:val="top"/>
          </w:tcPr>
          <w:p>
            <w:pPr>
              <w:spacing w:line="284" w:lineRule="auto"/>
              <w:rPr>
                <w:rFonts w:ascii="Arial"/>
                <w:sz w:val="21"/>
              </w:rPr>
            </w:pPr>
            <w:r/>
          </w:p>
          <w:p>
            <w:pPr>
              <w:pStyle w:val="TableText"/>
              <w:ind w:left="25"/>
              <w:spacing w:before="49" w:line="184" w:lineRule="auto"/>
              <w:rPr/>
            </w:pPr>
            <w:r>
              <w:rPr>
                <w:spacing w:val="-4"/>
              </w:rPr>
              <w:t>117</w:t>
            </w:r>
          </w:p>
        </w:tc>
        <w:tc>
          <w:tcPr>
            <w:tcW w:w="679" w:type="dxa"/>
            <w:vAlign w:val="top"/>
          </w:tcPr>
          <w:p>
            <w:pPr>
              <w:spacing w:line="246" w:lineRule="auto"/>
              <w:rPr>
                <w:rFonts w:ascii="Arial"/>
                <w:sz w:val="21"/>
              </w:rPr>
            </w:pPr>
            <w:r/>
          </w:p>
          <w:p>
            <w:pPr>
              <w:pStyle w:val="TableText"/>
              <w:ind w:left="30" w:right="18"/>
              <w:spacing w:before="49" w:line="254" w:lineRule="auto"/>
              <w:jc w:val="both"/>
              <w:rPr/>
            </w:pPr>
            <w:r>
              <w:rPr>
                <w:spacing w:val="5"/>
              </w:rPr>
              <w:t>保险公司</w:t>
            </w:r>
            <w:r>
              <w:rPr/>
              <w:t xml:space="preserve"> </w:t>
            </w:r>
            <w:r>
              <w:rPr>
                <w:spacing w:val="-2"/>
              </w:rPr>
              <w:t>重大事项</w:t>
            </w:r>
            <w:r>
              <w:rPr/>
              <w:t xml:space="preserve"> </w:t>
            </w:r>
            <w:r>
              <w:rPr>
                <w:spacing w:val="-2"/>
              </w:rPr>
              <w:t>变更审计</w:t>
            </w:r>
          </w:p>
        </w:tc>
        <w:tc>
          <w:tcPr>
            <w:tcW w:w="1099" w:type="dxa"/>
            <w:vAlign w:val="top"/>
          </w:tcPr>
          <w:p>
            <w:pPr>
              <w:spacing w:line="246" w:lineRule="auto"/>
              <w:rPr>
                <w:rFonts w:ascii="Arial"/>
                <w:sz w:val="21"/>
              </w:rPr>
            </w:pPr>
            <w:r/>
          </w:p>
          <w:p>
            <w:pPr>
              <w:pStyle w:val="TableText"/>
              <w:ind w:left="10" w:right="38" w:firstLine="110"/>
              <w:spacing w:before="49" w:line="246" w:lineRule="auto"/>
              <w:rPr/>
            </w:pPr>
            <w:r>
              <w:rPr>
                <w:spacing w:val="1"/>
              </w:rPr>
              <w:t>(45007)保险</w:t>
            </w:r>
            <w:r>
              <w:rPr/>
              <w:t xml:space="preserve">  </w:t>
            </w:r>
            <w:r>
              <w:rPr>
                <w:spacing w:val="-2"/>
              </w:rPr>
              <w:t>公司重大事项变</w:t>
            </w:r>
            <w:r>
              <w:rPr>
                <w:spacing w:val="2"/>
              </w:rPr>
              <w:t xml:space="preserve"> </w:t>
            </w:r>
            <w:r>
              <w:rPr>
                <w:spacing w:val="-2"/>
              </w:rPr>
              <w:t>更审批</w:t>
            </w:r>
          </w:p>
        </w:tc>
        <w:tc>
          <w:tcPr>
            <w:tcW w:w="839" w:type="dxa"/>
            <w:vAlign w:val="top"/>
          </w:tcPr>
          <w:p>
            <w:pPr>
              <w:pStyle w:val="TableText"/>
              <w:ind w:left="182"/>
              <w:spacing w:before="276" w:line="219" w:lineRule="auto"/>
              <w:rPr/>
            </w:pPr>
            <w:r>
              <w:rPr>
                <w:spacing w:val="-2"/>
              </w:rPr>
              <w:t>保监会</w:t>
            </w:r>
          </w:p>
        </w:tc>
        <w:tc>
          <w:tcPr>
            <w:tcW w:w="659" w:type="dxa"/>
            <w:vAlign w:val="top"/>
          </w:tcPr>
          <w:p>
            <w:pPr>
              <w:pStyle w:val="TableText"/>
              <w:ind w:left="12" w:right="31" w:firstLine="10"/>
              <w:spacing w:before="277" w:line="245" w:lineRule="auto"/>
              <w:rPr/>
            </w:pPr>
            <w:r>
              <w:rPr>
                <w:spacing w:val="-2"/>
              </w:rPr>
              <w:t>会计师事</w:t>
            </w:r>
            <w:r>
              <w:rPr>
                <w:spacing w:val="1"/>
              </w:rPr>
              <w:t xml:space="preserve"> </w:t>
            </w:r>
            <w:r>
              <w:rPr>
                <w:spacing w:val="-2"/>
              </w:rPr>
              <w:t>务所</w:t>
            </w:r>
          </w:p>
        </w:tc>
        <w:tc>
          <w:tcPr>
            <w:tcW w:w="6098" w:type="dxa"/>
            <w:vAlign w:val="top"/>
          </w:tcPr>
          <w:p>
            <w:pPr>
              <w:pStyle w:val="TableText"/>
              <w:ind w:left="34" w:right="35" w:firstLine="9"/>
              <w:spacing w:before="286" w:line="251" w:lineRule="auto"/>
              <w:rPr/>
            </w:pPr>
            <w:r>
              <w:rPr>
                <w:spacing w:val="-2"/>
              </w:rPr>
              <w:t>1. 《中华人民共和国保险法》第八十四条：保险公司有下列情形之一的，应当经保险监督管</w:t>
            </w:r>
            <w:r>
              <w:rPr>
                <w:spacing w:val="16"/>
              </w:rPr>
              <w:t xml:space="preserve"> </w:t>
            </w:r>
            <w:r>
              <w:rPr>
                <w:spacing w:val="-6"/>
              </w:rPr>
              <w:t>理机构批准：(一)变更名称；    (二)变更注册资本； </w:t>
            </w:r>
            <w:r>
              <w:rPr>
                <w:spacing w:val="-7"/>
              </w:rPr>
              <w:t xml:space="preserve">   (三)变更公司或者分支机构的营业</w:t>
            </w:r>
          </w:p>
          <w:p>
            <w:pPr>
              <w:pStyle w:val="TableText"/>
              <w:ind w:left="43"/>
              <w:spacing w:before="42" w:line="219" w:lineRule="auto"/>
              <w:rPr/>
            </w:pPr>
            <w:r>
              <w:rPr>
                <w:spacing w:val="-3"/>
              </w:rPr>
              <w:t>场所；(四)撤销分支机构；    (五)公</w:t>
            </w:r>
            <w:r>
              <w:rPr>
                <w:spacing w:val="-4"/>
              </w:rPr>
              <w:t>司分立或者合并；(六)修改公司章程；(七)变更</w:t>
            </w:r>
          </w:p>
          <w:p>
            <w:pPr>
              <w:pStyle w:val="TableText"/>
              <w:ind w:left="43" w:right="37"/>
              <w:spacing w:before="43" w:line="249" w:lineRule="auto"/>
              <w:rPr/>
            </w:pPr>
            <w:r>
              <w:rPr/>
              <w:t>出资额占有限责任公司资本总额百分之五以上的股东，或者变更持有股份有限公司股份百分</w:t>
            </w:r>
            <w:r>
              <w:rPr>
                <w:spacing w:val="5"/>
              </w:rPr>
              <w:t xml:space="preserve"> </w:t>
            </w:r>
            <w:r>
              <w:rPr/>
              <w:t>之五以上的股东；(八)国务院保险监督管理机构规</w:t>
            </w:r>
            <w:r>
              <w:rPr>
                <w:spacing w:val="-1"/>
              </w:rPr>
              <w:t>定的其他情形。2. 《保险公司股权管理</w:t>
            </w:r>
            <w:r>
              <w:rPr/>
              <w:t xml:space="preserve">  </w:t>
            </w:r>
            <w:r>
              <w:rPr/>
              <w:t>办法》(保监会令2014年第4号)第十三条：境内企业法人向保险</w:t>
            </w:r>
            <w:r>
              <w:rPr>
                <w:spacing w:val="-1"/>
              </w:rPr>
              <w:t>公司投资入股，应当符</w:t>
            </w:r>
          </w:p>
          <w:p>
            <w:pPr>
              <w:pStyle w:val="TableText"/>
              <w:ind w:left="43" w:right="28" w:firstLine="70"/>
              <w:spacing w:before="41" w:line="261" w:lineRule="auto"/>
              <w:rPr/>
            </w:pPr>
            <w:r>
              <w:rPr>
                <w:spacing w:val="2"/>
              </w:rPr>
              <w:t>合以下条件：(一)财务状况良好稳定，且有盈利；(二)具有良好的诚信</w:t>
            </w:r>
            <w:r>
              <w:rPr>
                <w:spacing w:val="1"/>
              </w:rPr>
              <w:t>记录和纳税记录；</w:t>
            </w:r>
            <w:r>
              <w:rPr/>
              <w:t xml:space="preserve"> </w:t>
            </w:r>
            <w:r>
              <w:rPr>
                <w:spacing w:val="-2"/>
              </w:rPr>
              <w:t>(三)最近三年内无重大违法违规记录；</w:t>
            </w:r>
            <w:r>
              <w:rPr>
                <w:spacing w:val="26"/>
                <w:w w:val="101"/>
              </w:rPr>
              <w:t xml:space="preserve">   </w:t>
            </w:r>
            <w:r>
              <w:rPr>
                <w:spacing w:val="-2"/>
              </w:rPr>
              <w:t>(四)投资人为金融机构的，应当符合相应金融监</w:t>
            </w:r>
            <w:r>
              <w:rPr/>
              <w:t xml:space="preserve">  </w:t>
            </w:r>
            <w:r>
              <w:rPr>
                <w:spacing w:val="-3"/>
              </w:rPr>
              <w:t>管机构的审慎监管指标要求；    (五)法律、行政法规及中国保监会规定的其他条件</w:t>
            </w:r>
            <w:r>
              <w:rPr>
                <w:spacing w:val="-4"/>
              </w:rPr>
              <w:t>。第十四</w:t>
            </w:r>
            <w:r>
              <w:rPr/>
              <w:t xml:space="preserve"> </w:t>
            </w:r>
            <w:r>
              <w:rPr>
                <w:spacing w:val="2"/>
              </w:rPr>
              <w:t>条：境外金融机构向保险公司投资入股，应当符</w:t>
            </w:r>
            <w:r>
              <w:rPr>
                <w:spacing w:val="1"/>
              </w:rPr>
              <w:t>合以下条件：(一)财务状况良好稳定，最</w:t>
            </w:r>
          </w:p>
          <w:p>
            <w:pPr>
              <w:pStyle w:val="TableText"/>
              <w:ind w:left="43" w:right="129" w:firstLine="70"/>
              <w:spacing w:before="41" w:line="245" w:lineRule="auto"/>
              <w:rPr/>
            </w:pPr>
            <w:r>
              <w:rPr>
                <w:spacing w:val="-6"/>
              </w:rPr>
              <w:t>近三个会计年度连续盈利；    (二)最近一年年末总资产不</w:t>
            </w:r>
            <w:r>
              <w:rPr>
                <w:spacing w:val="-7"/>
              </w:rPr>
              <w:t>少于20亿美元；    (三)国际评级</w:t>
            </w:r>
            <w:r>
              <w:rPr/>
              <w:t xml:space="preserve"> </w:t>
            </w:r>
            <w:r>
              <w:rPr/>
              <w:t>机构最近三年对其长期信用评级为A级以上；(四)最近三年内无重大违法</w:t>
            </w:r>
            <w:r>
              <w:rPr>
                <w:spacing w:val="-1"/>
              </w:rPr>
              <w:t>违规记录；(五</w:t>
            </w:r>
          </w:p>
          <w:p>
            <w:pPr>
              <w:pStyle w:val="TableText"/>
              <w:ind w:left="43" w:right="51"/>
              <w:spacing w:before="42" w:line="245" w:lineRule="auto"/>
              <w:rPr/>
            </w:pPr>
            <w:r>
              <w:rPr>
                <w:spacing w:val="-4"/>
              </w:rPr>
              <w:t>符合所在地金融监管机构的审慎监管指标要求；    (六)法律、行政法规及中国保监会规定的</w:t>
            </w:r>
            <w:r>
              <w:rPr>
                <w:spacing w:val="17"/>
              </w:rPr>
              <w:t xml:space="preserve"> </w:t>
            </w:r>
            <w:r>
              <w:rPr/>
              <w:t>其他条件。第十五条：持有保险公司股权15%以上，或者不足15%但直</w:t>
            </w:r>
            <w:r>
              <w:rPr>
                <w:spacing w:val="-1"/>
              </w:rPr>
              <w:t>接或者间接控制该</w:t>
            </w:r>
          </w:p>
          <w:p>
            <w:pPr>
              <w:pStyle w:val="TableText"/>
              <w:ind w:left="43" w:right="50"/>
              <w:spacing w:before="41" w:line="245" w:lineRule="auto"/>
              <w:rPr/>
            </w:pPr>
            <w:r>
              <w:rPr>
                <w:spacing w:val="-4"/>
              </w:rPr>
              <w:t>保险公司的主要股东，还应当符合以下条件：</w:t>
            </w:r>
            <w:r>
              <w:rPr>
                <w:spacing w:val="25"/>
                <w:w w:val="101"/>
              </w:rPr>
              <w:t xml:space="preserve">   </w:t>
            </w:r>
            <w:r>
              <w:rPr>
                <w:spacing w:val="-4"/>
              </w:rPr>
              <w:t>(一)具有持续出资能力，最近三个会计年度</w:t>
            </w:r>
            <w:r>
              <w:rPr/>
              <w:t xml:space="preserve"> </w:t>
            </w:r>
            <w:r>
              <w:rPr>
                <w:spacing w:val="-3"/>
              </w:rPr>
              <w:t>连续盈利；(二)具有较强的资金实力，净资产不</w:t>
            </w:r>
            <w:r>
              <w:rPr>
                <w:spacing w:val="-4"/>
              </w:rPr>
              <w:t>低于人民币2亿元；    (三)信誉良好，在</w:t>
            </w:r>
          </w:p>
          <w:p>
            <w:pPr>
              <w:pStyle w:val="TableText"/>
              <w:ind w:left="43" w:right="48"/>
              <w:spacing w:before="43" w:line="251" w:lineRule="auto"/>
              <w:rPr/>
            </w:pPr>
            <w:r>
              <w:rPr/>
              <w:t>本行业内处于领先地位。第二十八条：申请设立保险公司，应当向中国保</w:t>
            </w:r>
            <w:r>
              <w:rPr>
                <w:spacing w:val="-1"/>
              </w:rPr>
              <w:t>监会提出书面申请</w:t>
            </w:r>
            <w:r>
              <w:rPr/>
              <w:t xml:space="preserve"> </w:t>
            </w:r>
            <w:r>
              <w:rPr>
                <w:spacing w:val="-4"/>
              </w:rPr>
              <w:t>并提交投资人的以下材料：</w:t>
            </w:r>
            <w:r>
              <w:rPr>
                <w:spacing w:val="24"/>
                <w:w w:val="101"/>
              </w:rPr>
              <w:t xml:space="preserve">   </w:t>
            </w:r>
            <w:r>
              <w:rPr>
                <w:spacing w:val="-4"/>
              </w:rPr>
              <w:t>(二)投资人经会计师事务所审计的上一年度财务会计报告，投</w:t>
            </w:r>
            <w:r>
              <w:rPr/>
              <w:t xml:space="preserve"> </w:t>
            </w:r>
            <w:r>
              <w:rPr/>
              <w:t>资人为境外金融机构或者主要股东的，应当提交经会计师事</w:t>
            </w:r>
            <w:r>
              <w:rPr>
                <w:spacing w:val="-1"/>
              </w:rPr>
              <w:t>务所审计的最近三年的财务会计</w:t>
            </w:r>
            <w:r>
              <w:rPr/>
              <w:t xml:space="preserve"> </w:t>
            </w:r>
            <w:r>
              <w:rPr/>
              <w:t>报告。第二十九条：保险公司变更注册资本，应当向中国保监会提出书面申请</w:t>
            </w:r>
            <w:r>
              <w:rPr>
                <w:spacing w:val="-1"/>
              </w:rPr>
              <w:t>，并提交以下</w:t>
            </w:r>
          </w:p>
          <w:p>
            <w:pPr>
              <w:pStyle w:val="TableText"/>
              <w:ind w:left="34" w:right="52" w:firstLine="79"/>
              <w:spacing w:before="53" w:line="261" w:lineRule="auto"/>
              <w:rPr/>
            </w:pPr>
            <w:r>
              <w:rPr/>
              <w:t>材料：(四)验资报告和股东出资或者减资证明。第三十条：股东转让保险</w:t>
            </w:r>
            <w:r>
              <w:rPr>
                <w:spacing w:val="-1"/>
              </w:rPr>
              <w:t>公司的股权，受</w:t>
            </w:r>
            <w:r>
              <w:rPr/>
              <w:t xml:space="preserve">  </w:t>
            </w:r>
            <w:r>
              <w:rPr/>
              <w:t>让方出资或者持股比例达到保险公司注册资本5%以上的，保险公司应当向中国保监会提出</w:t>
            </w:r>
            <w:r>
              <w:rPr>
                <w:spacing w:val="5"/>
              </w:rPr>
              <w:t xml:space="preserve">   </w:t>
            </w:r>
            <w:r>
              <w:rPr/>
              <w:t>书面申请，并提交股权转让协议，但通过证券交易所购买上市保险公司股票的除外。受让方 </w:t>
            </w:r>
            <w:r>
              <w:rPr/>
              <w:t>为新增股东的，还应当提交本办法第二十八条规定的有关材料</w:t>
            </w:r>
          </w:p>
        </w:tc>
      </w:tr>
    </w:tbl>
    <w:p>
      <w:pPr>
        <w:pStyle w:val="BodyText"/>
        <w:rPr/>
      </w:pPr>
      <w:r/>
    </w:p>
    <w:p>
      <w:pPr>
        <w:sectPr>
          <w:pgSz w:w="11910" w:h="8220"/>
          <w:pgMar w:top="400" w:right="111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1998208"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94" name="TextBox 494"/>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6" style="position:absolute;margin-left:37.0722pt;margin-top:345.103pt;mso-position-vertical-relative:page;mso-position-horizontal-relative:page;width:13.55pt;height:12.35pt;z-index:25199820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335</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1129"/>
        <w:gridCol w:w="809"/>
        <w:gridCol w:w="679"/>
        <w:gridCol w:w="6088"/>
      </w:tblGrid>
      <w:tr>
        <w:trPr>
          <w:trHeight w:val="474" w:hRule="atLeast"/>
        </w:trPr>
        <w:tc>
          <w:tcPr>
            <w:tcW w:w="285" w:type="dxa"/>
            <w:vAlign w:val="top"/>
            <w:textDirection w:val="tbRlV"/>
          </w:tcPr>
          <w:p>
            <w:pPr>
              <w:pStyle w:val="TableText"/>
              <w:ind w:left="52"/>
              <w:spacing w:before="75" w:line="210" w:lineRule="auto"/>
              <w:rPr/>
            </w:pPr>
            <w:r>
              <w:rPr>
                <w:spacing w:val="-1"/>
              </w:rPr>
              <w:t>序</w:t>
            </w:r>
            <w:r>
              <w:rPr>
                <w:spacing w:val="-25"/>
              </w:rPr>
              <w:t xml:space="preserve"> </w:t>
            </w:r>
            <w:r>
              <w:rPr>
                <w:spacing w:val="-1"/>
              </w:rPr>
              <w:t>号</w:t>
            </w:r>
          </w:p>
        </w:tc>
        <w:tc>
          <w:tcPr>
            <w:tcW w:w="659" w:type="dxa"/>
            <w:vAlign w:val="top"/>
          </w:tcPr>
          <w:p>
            <w:pPr>
              <w:pStyle w:val="TableText"/>
              <w:ind w:left="20" w:right="22"/>
              <w:spacing w:before="61" w:line="248" w:lineRule="auto"/>
              <w:rPr/>
            </w:pPr>
            <w:r>
              <w:rPr>
                <w:spacing w:val="1"/>
              </w:rPr>
              <w:t>中介服务 </w:t>
            </w:r>
            <w:r>
              <w:rPr>
                <w:spacing w:val="-2"/>
              </w:rPr>
              <w:t>事项名称</w:t>
            </w:r>
          </w:p>
        </w:tc>
        <w:tc>
          <w:tcPr>
            <w:tcW w:w="1129" w:type="dxa"/>
            <w:vAlign w:val="top"/>
          </w:tcPr>
          <w:p>
            <w:pPr>
              <w:pStyle w:val="TableText"/>
              <w:ind w:left="249" w:right="45" w:hanging="219"/>
              <w:spacing w:before="61" w:line="248" w:lineRule="auto"/>
              <w:rPr/>
            </w:pPr>
            <w:r>
              <w:rPr>
                <w:spacing w:val="-2"/>
              </w:rPr>
              <w:t>涉及的审批事项</w:t>
            </w:r>
            <w:r>
              <w:rPr>
                <w:spacing w:val="5"/>
              </w:rPr>
              <w:t xml:space="preserve"> </w:t>
            </w:r>
            <w:r>
              <w:rPr>
                <w:spacing w:val="-2"/>
              </w:rPr>
              <w:t>项目名称</w:t>
            </w:r>
          </w:p>
        </w:tc>
        <w:tc>
          <w:tcPr>
            <w:tcW w:w="809" w:type="dxa"/>
            <w:vAlign w:val="top"/>
          </w:tcPr>
          <w:p>
            <w:pPr>
              <w:pStyle w:val="TableText"/>
              <w:ind w:left="92"/>
              <w:spacing w:before="161" w:line="219" w:lineRule="auto"/>
              <w:rPr/>
            </w:pPr>
            <w:r>
              <w:rPr>
                <w:spacing w:val="4"/>
              </w:rPr>
              <w:t>审批部门</w:t>
            </w:r>
          </w:p>
        </w:tc>
        <w:tc>
          <w:tcPr>
            <w:tcW w:w="679" w:type="dxa"/>
            <w:vAlign w:val="top"/>
          </w:tcPr>
          <w:p>
            <w:pPr>
              <w:pStyle w:val="TableText"/>
              <w:ind w:left="32" w:right="28"/>
              <w:spacing w:before="61" w:line="248"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466" w:hRule="atLeast"/>
        </w:trPr>
        <w:tc>
          <w:tcPr>
            <w:tcW w:w="285" w:type="dxa"/>
            <w:vAlign w:val="top"/>
          </w:tcPr>
          <w:p>
            <w:pPr>
              <w:pStyle w:val="TableText"/>
              <w:ind w:left="15"/>
              <w:spacing w:before="225" w:line="184" w:lineRule="auto"/>
              <w:rPr/>
            </w:pPr>
            <w:r>
              <w:rPr>
                <w:spacing w:val="-4"/>
              </w:rPr>
              <w:t>118</w:t>
            </w:r>
          </w:p>
        </w:tc>
        <w:tc>
          <w:tcPr>
            <w:tcW w:w="659" w:type="dxa"/>
            <w:vAlign w:val="top"/>
          </w:tcPr>
          <w:p>
            <w:pPr>
              <w:pStyle w:val="TableText"/>
              <w:ind w:left="20" w:right="8"/>
              <w:spacing w:before="177" w:line="258" w:lineRule="auto"/>
              <w:jc w:val="both"/>
              <w:rPr/>
            </w:pPr>
            <w:r>
              <w:rPr>
                <w:spacing w:val="-2"/>
              </w:rPr>
              <w:t>保险资产</w:t>
            </w:r>
            <w:r>
              <w:rPr/>
              <w:t xml:space="preserve"> </w:t>
            </w:r>
            <w:r>
              <w:rPr>
                <w:spacing w:val="5"/>
              </w:rPr>
              <w:t>管理公司</w:t>
            </w:r>
            <w:r>
              <w:rPr/>
              <w:t xml:space="preserve"> </w:t>
            </w:r>
            <w:r>
              <w:rPr>
                <w:spacing w:val="-2"/>
              </w:rPr>
              <w:t>重大事项</w:t>
            </w:r>
            <w:r>
              <w:rPr/>
              <w:t xml:space="preserve"> </w:t>
            </w:r>
            <w:r>
              <w:rPr>
                <w:spacing w:val="-2"/>
              </w:rPr>
              <w:t>变更审计</w:t>
            </w:r>
          </w:p>
        </w:tc>
        <w:tc>
          <w:tcPr>
            <w:tcW w:w="1129" w:type="dxa"/>
            <w:vAlign w:val="top"/>
          </w:tcPr>
          <w:p>
            <w:pPr>
              <w:pStyle w:val="TableText"/>
              <w:ind w:left="30" w:right="45" w:firstLine="110"/>
              <w:spacing w:before="187" w:line="250" w:lineRule="auto"/>
              <w:rPr/>
            </w:pPr>
            <w:r>
              <w:rPr/>
              <w:t>(45008)保险  </w:t>
            </w:r>
            <w:r>
              <w:rPr>
                <w:spacing w:val="-2"/>
              </w:rPr>
              <w:t>资产管理公司重</w:t>
            </w:r>
            <w:r>
              <w:rPr/>
              <w:t xml:space="preserve"> </w:t>
            </w:r>
            <w:r>
              <w:rPr>
                <w:spacing w:val="-2"/>
              </w:rPr>
              <w:t>大事项变更审批</w:t>
            </w:r>
          </w:p>
        </w:tc>
        <w:tc>
          <w:tcPr>
            <w:tcW w:w="809" w:type="dxa"/>
            <w:vAlign w:val="top"/>
          </w:tcPr>
          <w:p>
            <w:pPr>
              <w:pStyle w:val="TableText"/>
              <w:ind w:left="172"/>
              <w:spacing w:before="166" w:line="219" w:lineRule="auto"/>
              <w:rPr/>
            </w:pPr>
            <w:r>
              <w:rPr>
                <w:spacing w:val="-2"/>
              </w:rPr>
              <w:t>保监会</w:t>
            </w:r>
          </w:p>
        </w:tc>
        <w:tc>
          <w:tcPr>
            <w:tcW w:w="679" w:type="dxa"/>
            <w:vAlign w:val="top"/>
          </w:tcPr>
          <w:p>
            <w:pPr>
              <w:pStyle w:val="TableText"/>
              <w:ind w:left="22" w:right="41" w:firstLine="10"/>
              <w:spacing w:before="186" w:line="233" w:lineRule="auto"/>
              <w:rPr/>
            </w:pPr>
            <w:r>
              <w:rPr>
                <w:spacing w:val="-2"/>
              </w:rPr>
              <w:t>会计师事</w:t>
            </w:r>
            <w:r>
              <w:rPr>
                <w:spacing w:val="1"/>
              </w:rPr>
              <w:t xml:space="preserve"> </w:t>
            </w:r>
            <w:r>
              <w:rPr>
                <w:spacing w:val="-2"/>
              </w:rPr>
              <w:t>务所</w:t>
            </w:r>
          </w:p>
        </w:tc>
        <w:tc>
          <w:tcPr>
            <w:tcW w:w="6088" w:type="dxa"/>
            <w:vAlign w:val="top"/>
          </w:tcPr>
          <w:p>
            <w:pPr>
              <w:pStyle w:val="TableText"/>
              <w:ind w:left="14" w:right="37" w:firstLine="20"/>
              <w:spacing w:before="187" w:line="260" w:lineRule="auto"/>
              <w:jc w:val="both"/>
              <w:rPr/>
            </w:pPr>
            <w:r>
              <w:rPr>
                <w:spacing w:val="-2"/>
              </w:rPr>
              <w:t>1. 《中华人民共和国保险法》第一百零七条：经国务院保险监督管理机构会同国务院证券监</w:t>
            </w:r>
            <w:r>
              <w:rPr>
                <w:spacing w:val="14"/>
              </w:rPr>
              <w:t xml:space="preserve"> </w:t>
            </w:r>
            <w:r>
              <w:rPr/>
              <w:t>督管理机构批准，保险公司可以设立保险资产管理公司。保险资产管理公司从事证券投资活</w:t>
            </w:r>
            <w:r>
              <w:rPr>
                <w:spacing w:val="10"/>
              </w:rPr>
              <w:t xml:space="preserve"> </w:t>
            </w:r>
            <w:r>
              <w:rPr/>
              <w:t>动，应当遵守《中华人民共和国证券法》等法律、行政法规的规定。保险资产管理公司的管</w:t>
            </w:r>
            <w:r>
              <w:rPr>
                <w:spacing w:val="12"/>
              </w:rPr>
              <w:t xml:space="preserve"> </w:t>
            </w:r>
            <w:r>
              <w:rPr>
                <w:spacing w:val="-2"/>
              </w:rPr>
              <w:t>理办法，由国务院保险监督管理机构会同国务院有关部门制定。2. 《保险资产管理公司管理</w:t>
            </w:r>
            <w:r>
              <w:rPr>
                <w:spacing w:val="15"/>
              </w:rPr>
              <w:t xml:space="preserve"> </w:t>
            </w:r>
            <w:r>
              <w:rPr/>
              <w:t>暂行规定》(中国保险监督管理委员会令2004年第2号)第</w:t>
            </w:r>
            <w:r>
              <w:rPr>
                <w:spacing w:val="-1"/>
              </w:rPr>
              <w:t>二条：中国保险监督管理委</w:t>
            </w:r>
          </w:p>
          <w:p>
            <w:pPr>
              <w:pStyle w:val="TableText"/>
              <w:ind w:left="14" w:right="51" w:firstLine="99"/>
              <w:spacing w:before="21" w:line="258" w:lineRule="auto"/>
              <w:rPr/>
            </w:pPr>
            <w:r>
              <w:rPr/>
              <w:t>员会(以下简称“中国保监会”)根据国务院授权，对保险资产管理公司实施监督管理。第 </w:t>
            </w:r>
            <w:r>
              <w:rPr/>
              <w:t>六条：设立保险资产管理公司，应当经中国保监会会同有关部门批准。第二十四条；保险资</w:t>
            </w:r>
            <w:r>
              <w:rPr>
                <w:spacing w:val="11"/>
              </w:rPr>
              <w:t xml:space="preserve"> </w:t>
            </w:r>
            <w:r>
              <w:rPr/>
              <w:t>产管理公司有下列情形之一的应当报中国保监会批准；(一)变更公司章程；(二)变更出</w:t>
            </w:r>
          </w:p>
          <w:p>
            <w:pPr>
              <w:pStyle w:val="TableText"/>
              <w:ind w:left="24"/>
              <w:spacing w:before="42" w:line="219" w:lineRule="auto"/>
              <w:rPr/>
            </w:pPr>
            <w:r>
              <w:rPr/>
              <w:t>资人或者持有公司股份10%以上的股东；(三)调整业务范围</w:t>
            </w:r>
            <w:r>
              <w:rPr>
                <w:spacing w:val="-1"/>
              </w:rPr>
              <w:t>；(四)撤销分支机构；(五</w:t>
            </w:r>
          </w:p>
          <w:p>
            <w:pPr>
              <w:pStyle w:val="TableText"/>
              <w:ind w:left="24"/>
              <w:spacing w:before="43" w:line="219" w:lineRule="auto"/>
              <w:rPr/>
            </w:pPr>
            <w:r>
              <w:rPr>
                <w:spacing w:val="-6"/>
              </w:rPr>
              <w:t>变更营业场所；    (六)更换高级管理人员</w:t>
            </w:r>
          </w:p>
        </w:tc>
      </w:tr>
      <w:tr>
        <w:trPr>
          <w:trHeight w:val="2046" w:hRule="atLeast"/>
        </w:trPr>
        <w:tc>
          <w:tcPr>
            <w:tcW w:w="285" w:type="dxa"/>
            <w:vAlign w:val="top"/>
          </w:tcPr>
          <w:p>
            <w:pPr>
              <w:pStyle w:val="TableText"/>
              <w:ind w:left="15"/>
              <w:spacing w:before="239" w:line="184" w:lineRule="auto"/>
              <w:rPr/>
            </w:pPr>
            <w:r>
              <w:rPr>
                <w:spacing w:val="-4"/>
              </w:rPr>
              <w:t>119</w:t>
            </w:r>
          </w:p>
        </w:tc>
        <w:tc>
          <w:tcPr>
            <w:tcW w:w="659" w:type="dxa"/>
            <w:vAlign w:val="top"/>
          </w:tcPr>
          <w:p>
            <w:pPr>
              <w:pStyle w:val="TableText"/>
              <w:ind w:left="10" w:right="8" w:firstLine="10"/>
              <w:spacing w:before="192" w:line="255" w:lineRule="auto"/>
              <w:jc w:val="both"/>
              <w:rPr/>
            </w:pPr>
            <w:r>
              <w:rPr>
                <w:spacing w:val="5"/>
              </w:rPr>
              <w:t>保险公司</w:t>
            </w:r>
            <w:r>
              <w:rPr/>
              <w:t xml:space="preserve"> </w:t>
            </w:r>
            <w:r>
              <w:rPr/>
              <w:t>次级定期 </w:t>
            </w:r>
            <w:r>
              <w:rPr/>
              <w:t>债发行审</w:t>
            </w:r>
            <w:r>
              <w:rPr>
                <w:spacing w:val="2"/>
              </w:rPr>
              <w:t xml:space="preserve"> </w:t>
            </w:r>
            <w:r>
              <w:rPr/>
              <w:t>计</w:t>
            </w:r>
          </w:p>
        </w:tc>
        <w:tc>
          <w:tcPr>
            <w:tcW w:w="1129" w:type="dxa"/>
            <w:vAlign w:val="top"/>
          </w:tcPr>
          <w:p>
            <w:pPr>
              <w:pStyle w:val="TableText"/>
              <w:ind w:left="30" w:right="48" w:firstLine="110"/>
              <w:spacing w:before="191" w:line="254" w:lineRule="auto"/>
              <w:rPr/>
            </w:pPr>
            <w:r>
              <w:rPr/>
              <w:t>(45016)保险  </w:t>
            </w:r>
            <w:r>
              <w:rPr>
                <w:spacing w:val="-2"/>
              </w:rPr>
              <w:t>公司次级定期债</w:t>
            </w:r>
            <w:r>
              <w:rPr>
                <w:spacing w:val="2"/>
              </w:rPr>
              <w:t xml:space="preserve"> </w:t>
            </w:r>
            <w:r>
              <w:rPr>
                <w:spacing w:val="-2"/>
              </w:rPr>
              <w:t>发行审批</w:t>
            </w:r>
          </w:p>
        </w:tc>
        <w:tc>
          <w:tcPr>
            <w:tcW w:w="809" w:type="dxa"/>
            <w:vAlign w:val="top"/>
          </w:tcPr>
          <w:p>
            <w:pPr>
              <w:pStyle w:val="TableText"/>
              <w:ind w:left="172"/>
              <w:spacing w:before="180" w:line="219" w:lineRule="auto"/>
              <w:rPr/>
            </w:pPr>
            <w:r>
              <w:rPr>
                <w:spacing w:val="-2"/>
              </w:rPr>
              <w:t>保监会</w:t>
            </w:r>
          </w:p>
        </w:tc>
        <w:tc>
          <w:tcPr>
            <w:tcW w:w="679" w:type="dxa"/>
            <w:vAlign w:val="top"/>
          </w:tcPr>
          <w:p>
            <w:pPr>
              <w:pStyle w:val="TableText"/>
              <w:ind w:left="22" w:right="41" w:firstLine="10"/>
              <w:spacing w:before="190" w:line="239" w:lineRule="auto"/>
              <w:rPr/>
            </w:pPr>
            <w:r>
              <w:rPr>
                <w:spacing w:val="-2"/>
              </w:rPr>
              <w:t>会计师事</w:t>
            </w:r>
            <w:r>
              <w:rPr>
                <w:spacing w:val="1"/>
              </w:rPr>
              <w:t xml:space="preserve"> </w:t>
            </w:r>
            <w:r>
              <w:rPr>
                <w:spacing w:val="-2"/>
              </w:rPr>
              <w:t>务所</w:t>
            </w:r>
          </w:p>
        </w:tc>
        <w:tc>
          <w:tcPr>
            <w:tcW w:w="6088" w:type="dxa"/>
            <w:vAlign w:val="top"/>
          </w:tcPr>
          <w:p>
            <w:pPr>
              <w:pStyle w:val="TableText"/>
              <w:ind w:left="34"/>
              <w:spacing w:before="190" w:line="219" w:lineRule="auto"/>
              <w:rPr/>
            </w:pPr>
            <w:r>
              <w:rPr>
                <w:spacing w:val="-2"/>
              </w:rPr>
              <w:t>1. 《国务院对确需保留的行政审批项目设定行政许可的决定》(国务院令第412号):(408</w:t>
            </w:r>
          </w:p>
          <w:p>
            <w:pPr>
              <w:pStyle w:val="TableText"/>
              <w:ind w:left="14" w:right="95" w:firstLine="59"/>
              <w:spacing w:before="41" w:line="245" w:lineRule="auto"/>
              <w:rPr/>
            </w:pPr>
            <w:r>
              <w:rPr>
                <w:spacing w:val="-2"/>
              </w:rPr>
              <w:t>保险公司次级定期债发行审批。2. 《保险公司次级定期债务管理办法》(保监会令2</w:t>
            </w:r>
            <w:r>
              <w:rPr>
                <w:spacing w:val="-3"/>
              </w:rPr>
              <w:t>011年第</w:t>
            </w:r>
            <w:r>
              <w:rPr/>
              <w:t xml:space="preserve"> </w:t>
            </w:r>
            <w:r>
              <w:rPr/>
              <w:t>2号)第十四条：保险公司申请募集次级债，应当向中国保监会报送下</w:t>
            </w:r>
            <w:r>
              <w:rPr>
                <w:spacing w:val="-1"/>
              </w:rPr>
              <w:t>列文件：(一)次级</w:t>
            </w:r>
          </w:p>
          <w:p>
            <w:pPr>
              <w:pStyle w:val="TableText"/>
              <w:ind w:left="34"/>
              <w:spacing w:before="41" w:line="218" w:lineRule="auto"/>
              <w:rPr/>
            </w:pPr>
            <w:r>
              <w:rPr/>
              <w:t>债募集申请报告；(二)股东(大)会有关本次次级债募集的专项决议；</w:t>
            </w:r>
            <w:r>
              <w:rPr>
                <w:spacing w:val="-1"/>
              </w:rPr>
              <w:t>(三)可行性研究</w:t>
            </w:r>
          </w:p>
          <w:p>
            <w:pPr>
              <w:pStyle w:val="TableText"/>
              <w:ind w:left="34"/>
              <w:spacing w:before="62" w:line="218" w:lineRule="auto"/>
              <w:rPr/>
            </w:pPr>
            <w:r>
              <w:rPr>
                <w:spacing w:val="-5"/>
              </w:rPr>
              <w:t>报告；(四)招募说明书；    (五)次级</w:t>
            </w:r>
            <w:r>
              <w:rPr>
                <w:spacing w:val="-6"/>
              </w:rPr>
              <w:t>债的协议(合同)文本；    (六)法律意见书；(七)</w:t>
            </w:r>
          </w:p>
          <w:p>
            <w:pPr>
              <w:pStyle w:val="TableText"/>
              <w:ind w:left="34" w:right="31"/>
              <w:spacing w:before="34" w:line="250" w:lineRule="auto"/>
              <w:rPr/>
            </w:pPr>
            <w:r>
              <w:rPr/>
              <w:t>公司最近三年经审计的年度财务报告和偿付能力报告以及最近季度末的财务报告和偿付能力</w:t>
            </w:r>
            <w:r>
              <w:rPr>
                <w:spacing w:val="11"/>
              </w:rPr>
              <w:t xml:space="preserve"> </w:t>
            </w:r>
            <w:r>
              <w:rPr>
                <w:spacing w:val="-4"/>
              </w:rPr>
              <w:t>报告；(八)已募集但尚未偿付的次级债总额及募集资金运用情况；</w:t>
            </w:r>
            <w:r>
              <w:rPr>
                <w:spacing w:val="27"/>
              </w:rPr>
              <w:t xml:space="preserve">   </w:t>
            </w:r>
            <w:r>
              <w:rPr>
                <w:spacing w:val="-4"/>
              </w:rPr>
              <w:t>(九)募集人制定的次</w:t>
            </w:r>
          </w:p>
          <w:p>
            <w:pPr>
              <w:pStyle w:val="TableText"/>
              <w:ind w:left="14"/>
              <w:spacing w:before="34" w:line="219" w:lineRule="auto"/>
              <w:rPr/>
            </w:pPr>
            <w:r>
              <w:rPr>
                <w:spacing w:val="-5"/>
              </w:rPr>
              <w:t>级债管理方案；    (十)与次级债募集相关的其他重要合同</w:t>
            </w:r>
          </w:p>
        </w:tc>
      </w:tr>
      <w:tr>
        <w:trPr>
          <w:trHeight w:val="1183" w:hRule="atLeast"/>
        </w:trPr>
        <w:tc>
          <w:tcPr>
            <w:tcW w:w="285" w:type="dxa"/>
            <w:vAlign w:val="top"/>
          </w:tcPr>
          <w:p>
            <w:pPr>
              <w:pStyle w:val="TableText"/>
              <w:ind w:left="15"/>
              <w:spacing w:before="253" w:line="184" w:lineRule="auto"/>
              <w:rPr/>
            </w:pPr>
            <w:r>
              <w:rPr>
                <w:spacing w:val="-4"/>
              </w:rPr>
              <w:t>120</w:t>
            </w:r>
          </w:p>
        </w:tc>
        <w:tc>
          <w:tcPr>
            <w:tcW w:w="659" w:type="dxa"/>
            <w:vAlign w:val="top"/>
          </w:tcPr>
          <w:p>
            <w:pPr>
              <w:pStyle w:val="TableText"/>
              <w:ind w:left="20" w:right="18"/>
              <w:spacing w:before="196" w:line="261" w:lineRule="auto"/>
              <w:jc w:val="both"/>
              <w:rPr/>
            </w:pPr>
            <w:r>
              <w:rPr>
                <w:spacing w:val="1"/>
              </w:rPr>
              <w:t>国防科技 </w:t>
            </w:r>
            <w:r>
              <w:rPr>
                <w:spacing w:val="-2"/>
              </w:rPr>
              <w:t>工业固定</w:t>
            </w:r>
            <w:r>
              <w:rPr/>
              <w:t xml:space="preserve"> </w:t>
            </w:r>
            <w:r>
              <w:rPr>
                <w:spacing w:val="2"/>
              </w:rPr>
              <w:t>资产投资</w:t>
            </w:r>
            <w:r>
              <w:rPr>
                <w:spacing w:val="1"/>
              </w:rPr>
              <w:t xml:space="preserve"> </w:t>
            </w:r>
            <w:r>
              <w:rPr>
                <w:spacing w:val="-2"/>
              </w:rPr>
              <w:t>项目监理</w:t>
            </w:r>
          </w:p>
        </w:tc>
        <w:tc>
          <w:tcPr>
            <w:tcW w:w="1129" w:type="dxa"/>
            <w:vAlign w:val="top"/>
          </w:tcPr>
          <w:p>
            <w:pPr>
              <w:pStyle w:val="TableText"/>
              <w:ind w:left="30" w:right="43" w:firstLine="20"/>
              <w:spacing w:before="216" w:line="249" w:lineRule="auto"/>
              <w:jc w:val="both"/>
              <w:rPr/>
            </w:pPr>
            <w:r>
              <w:rPr>
                <w:spacing w:val="20"/>
              </w:rPr>
              <w:t>(48016)国防</w:t>
            </w:r>
            <w:r>
              <w:rPr>
                <w:spacing w:val="2"/>
              </w:rPr>
              <w:t xml:space="preserve"> </w:t>
            </w:r>
            <w:r>
              <w:rPr>
                <w:spacing w:val="-1"/>
              </w:rPr>
              <w:t>科技工业固定资</w:t>
            </w:r>
            <w:r>
              <w:rPr/>
              <w:t xml:space="preserve"> </w:t>
            </w:r>
            <w:r>
              <w:rPr>
                <w:spacing w:val="-1"/>
              </w:rPr>
              <w:t>产投资项目审批</w:t>
            </w:r>
          </w:p>
        </w:tc>
        <w:tc>
          <w:tcPr>
            <w:tcW w:w="809" w:type="dxa"/>
            <w:vAlign w:val="top"/>
          </w:tcPr>
          <w:p>
            <w:pPr>
              <w:pStyle w:val="TableText"/>
              <w:ind w:left="21"/>
              <w:spacing w:before="194" w:line="219" w:lineRule="auto"/>
              <w:rPr/>
            </w:pPr>
            <w:r>
              <w:rPr>
                <w:spacing w:val="2"/>
              </w:rPr>
              <w:t>国防科工局</w:t>
            </w:r>
          </w:p>
        </w:tc>
        <w:tc>
          <w:tcPr>
            <w:tcW w:w="679" w:type="dxa"/>
            <w:vAlign w:val="top"/>
          </w:tcPr>
          <w:p>
            <w:pPr>
              <w:pStyle w:val="TableText"/>
              <w:ind w:left="32" w:right="44"/>
              <w:spacing w:before="194" w:line="246" w:lineRule="auto"/>
              <w:jc w:val="both"/>
              <w:rPr/>
            </w:pPr>
            <w:r>
              <w:rPr>
                <w:spacing w:val="-3"/>
              </w:rPr>
              <w:t>具有相应</w:t>
            </w:r>
            <w:r>
              <w:rPr>
                <w:spacing w:val="2"/>
              </w:rPr>
              <w:t xml:space="preserve"> </w:t>
            </w:r>
            <w:r>
              <w:rPr>
                <w:spacing w:val="-4"/>
              </w:rPr>
              <w:t>资质的监</w:t>
            </w:r>
            <w:r>
              <w:rPr>
                <w:spacing w:val="2"/>
              </w:rPr>
              <w:t xml:space="preserve"> </w:t>
            </w:r>
            <w:r>
              <w:rPr>
                <w:spacing w:val="-2"/>
              </w:rPr>
              <w:t>理单位</w:t>
            </w:r>
          </w:p>
        </w:tc>
        <w:tc>
          <w:tcPr>
            <w:tcW w:w="6088" w:type="dxa"/>
            <w:vAlign w:val="top"/>
          </w:tcPr>
          <w:p>
            <w:pPr>
              <w:pStyle w:val="TableText"/>
              <w:ind w:left="108"/>
              <w:spacing w:before="214" w:line="219" w:lineRule="auto"/>
              <w:rPr/>
            </w:pPr>
            <w:r>
              <w:rPr/>
              <w:t>《国防科技工业政府固定资产投资项目管理办法》(科工计〔</w:t>
            </w:r>
            <w:r>
              <w:rPr>
                <w:spacing w:val="-1"/>
              </w:rPr>
              <w:t>2016〕737号)第五条，军工</w:t>
            </w:r>
          </w:p>
          <w:p>
            <w:pPr>
              <w:pStyle w:val="TableText"/>
              <w:ind w:left="34" w:right="51"/>
              <w:spacing w:before="11" w:line="258" w:lineRule="auto"/>
              <w:jc w:val="both"/>
              <w:rPr/>
            </w:pPr>
            <w:r>
              <w:rPr/>
              <w:t>投资项目管理实行全过程责任，即项目法人、项目组织管理、项目审批</w:t>
            </w:r>
            <w:r>
              <w:rPr>
                <w:spacing w:val="-1"/>
              </w:rPr>
              <w:t>、项目评估、项目设</w:t>
            </w:r>
            <w:r>
              <w:rPr/>
              <w:t xml:space="preserve"> </w:t>
            </w:r>
            <w:r>
              <w:rPr/>
              <w:t>计、项目招投标、项目施工、项目工程监理和项目竣</w:t>
            </w:r>
            <w:r>
              <w:rPr>
                <w:spacing w:val="-1"/>
              </w:rPr>
              <w:t>工验收等责任制</w:t>
            </w:r>
          </w:p>
        </w:tc>
      </w:tr>
    </w:tbl>
    <w:p>
      <w:pPr>
        <w:pStyle w:val="BodyText"/>
        <w:rPr/>
      </w:pPr>
      <w:r/>
    </w:p>
    <w:p>
      <w:pPr>
        <w:sectPr>
          <w:pgSz w:w="11910" w:h="8220"/>
          <w:pgMar w:top="400" w:right="1125" w:bottom="400" w:left="821" w:header="0" w:footer="0" w:gutter="0"/>
        </w:sectPr>
        <w:rPr/>
      </w:pPr>
    </w:p>
    <w:p>
      <w:pPr>
        <w:spacing w:before="123"/>
        <w:rPr/>
      </w:pPr>
      <w:r>
        <mc:AlternateContent xmlns:mc="http://schemas.openxmlformats.org/markup-compatibility/2006">
          <mc:Choice Requires="wps">
            <w:drawing>
              <wp:anchor distT="0" distB="0" distL="0" distR="0" simplePos="0" relativeHeight="251999232"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496" name="TextBox 496"/>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bookmarkStart w:name="bookmark13" w:id="13"/>
                            <w:bookmarkEnd w:id="13"/>
                            <w:r>
                              <w:rPr>
                                <w:rFonts w:ascii="SimSun" w:hAnsi="SimSun" w:eastAsia="SimSun" w:cs="SimSun"/>
                                <w:sz w:val="16"/>
                                <w:szCs w:val="16"/>
                                <w:spacing w:val="-3"/>
                              </w:rPr>
                              <w:t>336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8" style="position:absolute;margin-left:37.0722pt;margin-top:48.6039pt;mso-position-vertical-relative:page;mso-position-horizontal-relative:page;width:13.55pt;height:12.35pt;z-index:25199923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bookmarkStart w:name="bookmark13" w:id="14"/>
                      <w:bookmarkEnd w:id="14"/>
                      <w:r>
                        <w:rPr>
                          <w:rFonts w:ascii="SimSun" w:hAnsi="SimSun" w:eastAsia="SimSun" w:cs="SimSun"/>
                          <w:sz w:val="16"/>
                          <w:szCs w:val="16"/>
                          <w:spacing w:val="-3"/>
                        </w:rPr>
                        <w:t>336</w:t>
                      </w:r>
                    </w:p>
                  </w:txbxContent>
                </v:textbox>
              </v:shape>
            </w:pict>
          </mc:Fallback>
        </mc:AlternateContent>
      </w: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cPr>
          <w:p>
            <w:pPr>
              <w:pStyle w:val="TableText"/>
              <w:ind w:left="65"/>
              <w:spacing w:before="42" w:line="209" w:lineRule="auto"/>
              <w:rPr/>
            </w:pPr>
            <w:r>
              <w:rPr/>
              <w:t>序</w:t>
            </w:r>
          </w:p>
          <w:p>
            <w:pPr>
              <w:pStyle w:val="TableText"/>
              <w:ind w:left="65"/>
              <w:spacing w:line="220" w:lineRule="auto"/>
              <w:rPr/>
            </w:pPr>
            <w:r>
              <w:rPr/>
              <w:t>号</w:t>
            </w:r>
          </w:p>
        </w:tc>
        <w:tc>
          <w:tcPr>
            <w:tcW w:w="679" w:type="dxa"/>
            <w:vAlign w:val="top"/>
          </w:tcPr>
          <w:p>
            <w:pPr>
              <w:pStyle w:val="TableText"/>
              <w:ind w:left="30" w:right="32"/>
              <w:spacing w:before="41" w:line="258" w:lineRule="auto"/>
              <w:rPr/>
            </w:pPr>
            <w:r>
              <w:rPr>
                <w:spacing w:val="1"/>
              </w:rPr>
              <w:t>中介服务 </w:t>
            </w:r>
            <w:r>
              <w:rPr>
                <w:spacing w:val="-2"/>
              </w:rPr>
              <w:t>事项名称</w:t>
            </w:r>
          </w:p>
        </w:tc>
        <w:tc>
          <w:tcPr>
            <w:tcW w:w="1099" w:type="dxa"/>
            <w:vAlign w:val="top"/>
          </w:tcPr>
          <w:p>
            <w:pPr>
              <w:pStyle w:val="TableText"/>
              <w:ind w:left="239" w:right="35" w:hanging="229"/>
              <w:spacing w:before="52" w:line="245"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45"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2556" w:hRule="atLeast"/>
        </w:trPr>
        <w:tc>
          <w:tcPr>
            <w:tcW w:w="295" w:type="dxa"/>
            <w:vAlign w:val="top"/>
          </w:tcPr>
          <w:p>
            <w:pPr>
              <w:pStyle w:val="TableText"/>
              <w:ind w:left="25"/>
              <w:spacing w:before="115" w:line="184" w:lineRule="auto"/>
              <w:rPr/>
            </w:pPr>
            <w:r>
              <w:rPr>
                <w:spacing w:val="-4"/>
              </w:rPr>
              <w:t>121</w:t>
            </w:r>
          </w:p>
        </w:tc>
        <w:tc>
          <w:tcPr>
            <w:tcW w:w="679" w:type="dxa"/>
            <w:vAlign w:val="top"/>
          </w:tcPr>
          <w:p>
            <w:pPr>
              <w:pStyle w:val="TableText"/>
              <w:ind w:left="20" w:right="27" w:firstLine="10"/>
              <w:spacing w:before="55" w:line="262" w:lineRule="auto"/>
              <w:jc w:val="both"/>
              <w:rPr/>
            </w:pPr>
            <w:r>
              <w:rPr>
                <w:spacing w:val="1"/>
              </w:rPr>
              <w:t>国防科技 </w:t>
            </w:r>
            <w:r>
              <w:rPr/>
              <w:t>工业火工</w:t>
            </w:r>
            <w:r>
              <w:rPr>
                <w:spacing w:val="1"/>
              </w:rPr>
              <w:t xml:space="preserve"> </w:t>
            </w:r>
            <w:r>
              <w:rPr>
                <w:spacing w:val="5"/>
              </w:rPr>
              <w:t>品固定资</w:t>
            </w:r>
            <w:r>
              <w:rPr/>
              <w:t xml:space="preserve"> </w:t>
            </w:r>
            <w:r>
              <w:rPr>
                <w:spacing w:val="1"/>
              </w:rPr>
              <w:t>产投资项</w:t>
            </w:r>
            <w:r>
              <w:rPr/>
              <w:t xml:space="preserve"> </w:t>
            </w:r>
            <w:r>
              <w:rPr>
                <w:spacing w:val="3"/>
              </w:rPr>
              <w:t>目安全评</w:t>
            </w:r>
            <w:r>
              <w:rPr>
                <w:spacing w:val="2"/>
              </w:rPr>
              <w:t xml:space="preserve"> </w:t>
            </w:r>
            <w:r>
              <w:rPr/>
              <w:t>价</w:t>
            </w:r>
          </w:p>
        </w:tc>
        <w:tc>
          <w:tcPr>
            <w:tcW w:w="1099" w:type="dxa"/>
            <w:vAlign w:val="top"/>
          </w:tcPr>
          <w:p>
            <w:pPr>
              <w:pStyle w:val="TableText"/>
              <w:ind w:left="10" w:right="33" w:firstLine="30"/>
              <w:spacing w:before="68" w:line="249" w:lineRule="auto"/>
              <w:jc w:val="both"/>
              <w:rPr/>
            </w:pPr>
            <w:r>
              <w:rPr>
                <w:spacing w:val="20"/>
              </w:rPr>
              <w:t>(48016)国防</w:t>
            </w:r>
            <w:r>
              <w:rPr>
                <w:spacing w:val="2"/>
              </w:rPr>
              <w:t xml:space="preserve"> </w:t>
            </w:r>
            <w:r>
              <w:rPr>
                <w:spacing w:val="-1"/>
              </w:rPr>
              <w:t>科技工业固定资</w:t>
            </w:r>
            <w:r>
              <w:rPr/>
              <w:t xml:space="preserve"> </w:t>
            </w:r>
            <w:r>
              <w:rPr>
                <w:spacing w:val="-1"/>
              </w:rPr>
              <w:t>产投资项目审批</w:t>
            </w:r>
          </w:p>
        </w:tc>
        <w:tc>
          <w:tcPr>
            <w:tcW w:w="839" w:type="dxa"/>
            <w:vAlign w:val="top"/>
          </w:tcPr>
          <w:p>
            <w:pPr>
              <w:pStyle w:val="TableText"/>
              <w:ind w:left="31"/>
              <w:spacing w:before="56" w:line="219" w:lineRule="auto"/>
              <w:rPr/>
            </w:pPr>
            <w:r>
              <w:rPr>
                <w:spacing w:val="2"/>
              </w:rPr>
              <w:t>国防科工局</w:t>
            </w:r>
          </w:p>
        </w:tc>
        <w:tc>
          <w:tcPr>
            <w:tcW w:w="659" w:type="dxa"/>
            <w:vAlign w:val="top"/>
          </w:tcPr>
          <w:p>
            <w:pPr>
              <w:pStyle w:val="TableText"/>
              <w:ind w:left="22" w:right="31"/>
              <w:spacing w:before="57" w:line="251" w:lineRule="auto"/>
              <w:jc w:val="both"/>
              <w:rPr/>
            </w:pPr>
            <w:r>
              <w:rPr>
                <w:spacing w:val="-3"/>
              </w:rPr>
              <w:t>军工武器</w:t>
            </w:r>
            <w:r>
              <w:rPr>
                <w:spacing w:val="2"/>
              </w:rPr>
              <w:t xml:space="preserve"> </w:t>
            </w:r>
            <w:r>
              <w:rPr>
                <w:spacing w:val="-3"/>
              </w:rPr>
              <w:t>弹药制造</w:t>
            </w:r>
            <w:r>
              <w:rPr>
                <w:spacing w:val="2"/>
              </w:rPr>
              <w:t xml:space="preserve"> </w:t>
            </w:r>
            <w:r>
              <w:rPr>
                <w:spacing w:val="-2"/>
              </w:rPr>
              <w:t>业安全评</w:t>
            </w:r>
            <w:r>
              <w:rPr>
                <w:spacing w:val="1"/>
              </w:rPr>
              <w:t xml:space="preserve"> </w:t>
            </w:r>
            <w:r>
              <w:rPr>
                <w:spacing w:val="-2"/>
              </w:rPr>
              <w:t>价机构</w:t>
            </w:r>
          </w:p>
        </w:tc>
        <w:tc>
          <w:tcPr>
            <w:tcW w:w="6098" w:type="dxa"/>
            <w:vAlign w:val="top"/>
          </w:tcPr>
          <w:p>
            <w:pPr>
              <w:pStyle w:val="TableText"/>
              <w:ind w:left="14" w:right="4" w:firstLine="29"/>
              <w:spacing w:before="46" w:line="250" w:lineRule="auto"/>
              <w:rPr/>
            </w:pPr>
            <w:r>
              <w:rPr>
                <w:spacing w:val="-2"/>
              </w:rPr>
              <w:t>1. 《中华人民共和国安全生产法》第二十九条：矿山、金属冶炼建设项目和用于生产、储存</w:t>
            </w:r>
            <w:r>
              <w:rPr>
                <w:spacing w:val="7"/>
              </w:rPr>
              <w:t xml:space="preserve"> </w:t>
            </w:r>
            <w:r>
              <w:rPr>
                <w:spacing w:val="-4"/>
              </w:rPr>
              <w:t>装卸危险物品的建设项目，应当按照国家有关规定进行安全评价。2. 《建设项目安全设施“三</w:t>
            </w:r>
          </w:p>
          <w:p>
            <w:pPr>
              <w:pStyle w:val="TableText"/>
              <w:ind w:left="34"/>
              <w:spacing w:before="33" w:line="219" w:lineRule="auto"/>
              <w:rPr/>
            </w:pPr>
            <w:r>
              <w:rPr/>
              <w:t>同时”监督管理暂行办法》(国家安全监管总局令第36号公布，国家安全监管总局第77号</w:t>
            </w:r>
          </w:p>
          <w:p>
            <w:pPr>
              <w:pStyle w:val="TableText"/>
              <w:ind w:left="34" w:right="95" w:firstLine="39"/>
              <w:spacing w:before="32" w:line="238" w:lineRule="auto"/>
              <w:rPr/>
            </w:pPr>
            <w:r>
              <w:rPr/>
              <w:t>令修正)第七条：下列建设项目在进行可行性研究时，生产经营单位应当</w:t>
            </w:r>
            <w:r>
              <w:rPr>
                <w:spacing w:val="-1"/>
              </w:rPr>
              <w:t>按照国家规定进行</w:t>
            </w:r>
            <w:r>
              <w:rPr/>
              <w:t xml:space="preserve"> </w:t>
            </w:r>
            <w:r>
              <w:rPr>
                <w:spacing w:val="-3"/>
              </w:rPr>
              <w:t>安全预评价：    (二)生产、储存危险化学品(包括使用长期管道输送危险化</w:t>
            </w:r>
            <w:r>
              <w:rPr>
                <w:spacing w:val="-4"/>
              </w:rPr>
              <w:t>学品，下同)的</w:t>
            </w:r>
          </w:p>
          <w:p>
            <w:pPr>
              <w:pStyle w:val="TableText"/>
              <w:ind w:left="34"/>
              <w:spacing w:before="34" w:line="219" w:lineRule="auto"/>
              <w:rPr/>
            </w:pPr>
            <w:r>
              <w:rPr/>
              <w:t>建设项目；(五)使用化学品从事安全生产并且使用量达到规定的化工</w:t>
            </w:r>
            <w:r>
              <w:rPr>
                <w:spacing w:val="-1"/>
              </w:rPr>
              <w:t>建设项目。第十四条</w:t>
            </w:r>
          </w:p>
          <w:p>
            <w:pPr>
              <w:pStyle w:val="TableText"/>
              <w:ind w:left="24" w:right="51" w:firstLine="19"/>
              <w:spacing w:before="30" w:line="245" w:lineRule="auto"/>
              <w:rPr/>
            </w:pPr>
            <w:r>
              <w:rPr>
                <w:spacing w:val="-4"/>
              </w:rPr>
              <w:t>建设项目安全设施设计有下列情形之一的，不予批准，并不得开工建设；    (三)安全预评价</w:t>
            </w:r>
            <w:r>
              <w:rPr>
                <w:spacing w:val="17"/>
              </w:rPr>
              <w:t xml:space="preserve"> </w:t>
            </w:r>
            <w:r>
              <w:rPr>
                <w:spacing w:val="-2"/>
              </w:rPr>
              <w:t>报告由取得相应资质的安全评价机构编制。3. 《国防科技工业政府固定资产投资项目管理办</w:t>
            </w:r>
            <w:r>
              <w:rPr>
                <w:spacing w:val="14"/>
              </w:rPr>
              <w:t xml:space="preserve"> </w:t>
            </w:r>
            <w:r>
              <w:rPr/>
              <w:t>法》(科工计〔2016〕737号)第十条：项目可行性研究报告的编制、申</w:t>
            </w:r>
            <w:r>
              <w:rPr>
                <w:spacing w:val="-1"/>
              </w:rPr>
              <w:t>报和审批；可行性</w:t>
            </w:r>
          </w:p>
          <w:p>
            <w:pPr>
              <w:pStyle w:val="TableText"/>
              <w:ind w:left="34" w:right="49" w:firstLine="9"/>
              <w:spacing w:before="33" w:line="242" w:lineRule="auto"/>
              <w:rPr/>
            </w:pPr>
            <w:r>
              <w:rPr/>
              <w:t>研究报告的编制格式、内容和深度应符合《国防科技工业固定资产投资可行</w:t>
            </w:r>
            <w:r>
              <w:rPr>
                <w:spacing w:val="-1"/>
              </w:rPr>
              <w:t>性研究报告编制</w:t>
            </w:r>
            <w:r>
              <w:rPr/>
              <w:t xml:space="preserve"> </w:t>
            </w:r>
            <w:r>
              <w:rPr/>
              <w:t>规定》的要求，并按照有关要求附规划选址、用地预审、环境影响评价、安全评价、职业卫</w:t>
            </w:r>
            <w:r>
              <w:rPr>
                <w:spacing w:val="2"/>
              </w:rPr>
              <w:t xml:space="preserve"> </w:t>
            </w:r>
            <w:r>
              <w:rPr>
                <w:spacing w:val="-1"/>
              </w:rPr>
              <w:t>生评价、周边环境安全保密评价等许可、审查或备案意见</w:t>
            </w:r>
          </w:p>
        </w:tc>
      </w:tr>
      <w:tr>
        <w:trPr>
          <w:trHeight w:val="3610" w:hRule="atLeast"/>
        </w:trPr>
        <w:tc>
          <w:tcPr>
            <w:tcW w:w="295" w:type="dxa"/>
            <w:vAlign w:val="top"/>
          </w:tcPr>
          <w:p>
            <w:pPr>
              <w:pStyle w:val="TableText"/>
              <w:ind w:left="25"/>
              <w:spacing w:before="99" w:line="184" w:lineRule="auto"/>
              <w:rPr/>
            </w:pPr>
            <w:r>
              <w:rPr>
                <w:spacing w:val="-4"/>
              </w:rPr>
              <w:t>122</w:t>
            </w:r>
          </w:p>
        </w:tc>
        <w:tc>
          <w:tcPr>
            <w:tcW w:w="679" w:type="dxa"/>
            <w:vAlign w:val="top"/>
          </w:tcPr>
          <w:p>
            <w:pPr>
              <w:pStyle w:val="TableText"/>
              <w:ind w:left="10" w:right="21" w:firstLine="20"/>
              <w:spacing w:before="61" w:line="263" w:lineRule="auto"/>
              <w:jc w:val="both"/>
              <w:rPr/>
            </w:pPr>
            <w:r>
              <w:rPr>
                <w:spacing w:val="-2"/>
              </w:rPr>
              <w:t>海底电缆</w:t>
            </w:r>
            <w:r>
              <w:rPr>
                <w:spacing w:val="1"/>
              </w:rPr>
              <w:t xml:space="preserve"> </w:t>
            </w:r>
            <w:r>
              <w:rPr>
                <w:spacing w:val="9"/>
              </w:rPr>
              <w:t>管道路由</w:t>
            </w:r>
            <w:r>
              <w:rPr/>
              <w:t xml:space="preserve"> </w:t>
            </w:r>
            <w:r>
              <w:rPr>
                <w:spacing w:val="3"/>
              </w:rPr>
              <w:t>调查、勘</w:t>
            </w:r>
            <w:r>
              <w:rPr/>
              <w:t xml:space="preserve"> </w:t>
            </w:r>
            <w:r>
              <w:rPr>
                <w:spacing w:val="3"/>
              </w:rPr>
              <w:t>测报告编</w:t>
            </w:r>
            <w:r>
              <w:rPr/>
              <w:t xml:space="preserve"> </w:t>
            </w:r>
            <w:r>
              <w:rPr/>
              <w:t>制</w:t>
            </w:r>
          </w:p>
        </w:tc>
        <w:tc>
          <w:tcPr>
            <w:tcW w:w="1099" w:type="dxa"/>
            <w:vAlign w:val="top"/>
          </w:tcPr>
          <w:p>
            <w:pPr>
              <w:pStyle w:val="TableText"/>
              <w:ind w:left="10" w:right="19" w:firstLine="30"/>
              <w:spacing w:before="72" w:line="264" w:lineRule="auto"/>
              <w:jc w:val="both"/>
              <w:rPr/>
            </w:pPr>
            <w:r>
              <w:rPr>
                <w:spacing w:val="20"/>
              </w:rPr>
              <w:t>(51002)海底</w:t>
            </w:r>
            <w:r>
              <w:rPr>
                <w:spacing w:val="2"/>
              </w:rPr>
              <w:t xml:space="preserve"> </w:t>
            </w:r>
            <w:r>
              <w:rPr/>
              <w:t>电缆管道铺设路</w:t>
            </w:r>
            <w:r>
              <w:rPr>
                <w:spacing w:val="4"/>
              </w:rPr>
              <w:t xml:space="preserve"> </w:t>
            </w:r>
            <w:r>
              <w:rPr>
                <w:spacing w:val="1"/>
              </w:rPr>
              <w:t>由调查勘测、铺</w:t>
            </w:r>
            <w:r>
              <w:rPr/>
              <w:t xml:space="preserve"> </w:t>
            </w:r>
            <w:r>
              <w:rPr/>
              <w:t>设施工审批</w:t>
            </w:r>
          </w:p>
        </w:tc>
        <w:tc>
          <w:tcPr>
            <w:tcW w:w="839" w:type="dxa"/>
            <w:vAlign w:val="top"/>
          </w:tcPr>
          <w:p>
            <w:pPr>
              <w:pStyle w:val="TableText"/>
              <w:ind w:left="182"/>
              <w:spacing w:before="51" w:line="220" w:lineRule="auto"/>
              <w:rPr/>
            </w:pPr>
            <w:r>
              <w:rPr>
                <w:spacing w:val="-2"/>
              </w:rPr>
              <w:t>海洋局</w:t>
            </w:r>
          </w:p>
        </w:tc>
        <w:tc>
          <w:tcPr>
            <w:tcW w:w="659" w:type="dxa"/>
            <w:vAlign w:val="top"/>
          </w:tcPr>
          <w:p>
            <w:pPr>
              <w:pStyle w:val="TableText"/>
              <w:ind w:left="12" w:right="33" w:firstLine="10"/>
              <w:spacing w:before="50" w:line="265" w:lineRule="auto"/>
              <w:jc w:val="both"/>
              <w:rPr/>
            </w:pPr>
            <w:r>
              <w:rPr>
                <w:spacing w:val="-3"/>
              </w:rPr>
              <w:t>具有海洋</w:t>
            </w:r>
            <w:r>
              <w:rPr>
                <w:spacing w:val="2"/>
              </w:rPr>
              <w:t xml:space="preserve"> </w:t>
            </w:r>
            <w:r>
              <w:rPr/>
              <w:t>工程勘察</w:t>
            </w:r>
            <w:r>
              <w:rPr>
                <w:spacing w:val="1"/>
              </w:rPr>
              <w:t xml:space="preserve"> </w:t>
            </w:r>
            <w:r>
              <w:rPr>
                <w:spacing w:val="-1"/>
              </w:rPr>
              <w:t>资质的单</w:t>
            </w:r>
            <w:r>
              <w:rPr/>
              <w:t xml:space="preserve"> </w:t>
            </w:r>
            <w:r>
              <w:rPr/>
              <w:t>位</w:t>
            </w:r>
          </w:p>
        </w:tc>
        <w:tc>
          <w:tcPr>
            <w:tcW w:w="6098" w:type="dxa"/>
            <w:vAlign w:val="top"/>
          </w:tcPr>
          <w:p>
            <w:pPr>
              <w:pStyle w:val="TableText"/>
              <w:ind w:left="43"/>
              <w:spacing w:before="70" w:line="219" w:lineRule="auto"/>
              <w:rPr/>
            </w:pPr>
            <w:r>
              <w:rPr>
                <w:spacing w:val="-2"/>
              </w:rPr>
              <w:t>1. 《铺设海底电缆管道管理规定实施办法》(国家海洋局令第3号)第五条：海底电缆、管</w:t>
            </w:r>
          </w:p>
          <w:p>
            <w:pPr>
              <w:pStyle w:val="TableText"/>
              <w:ind w:left="8" w:firstLine="34"/>
              <w:spacing w:before="23" w:line="256" w:lineRule="auto"/>
              <w:tabs>
                <w:tab w:val="left" w:pos="91"/>
              </w:tabs>
              <w:rPr/>
            </w:pPr>
            <w:r>
              <w:rPr>
                <w:spacing w:val="-2"/>
              </w:rPr>
              <w:t>道的路由调查、勘测，所有者应依照《规定》第五条，将《路由调查、勘测申请书》一式</w:t>
            </w:r>
            <w:r>
              <w:rPr>
                <w:spacing w:val="-3"/>
              </w:rPr>
              <w:t>五  </w:t>
            </w:r>
            <w:r>
              <w:rPr/>
              <w:t>份按本办法第四条报相应的审批机关审批。</w:t>
            </w:r>
            <w:r>
              <w:rPr>
                <w:spacing w:val="-1"/>
              </w:rPr>
              <w:t>外国的公司、企业和其他经济组织或个人在中国</w:t>
            </w:r>
            <w:r>
              <w:rPr/>
              <w:t xml:space="preserve">  </w:t>
            </w:r>
            <w:r>
              <w:rPr>
                <w:spacing w:val="-1"/>
              </w:rPr>
              <w:t>大陆架上进行上述活动的，所有者应在实施作业六十天前，将《规定》第</w:t>
            </w:r>
            <w:r>
              <w:rPr>
                <w:spacing w:val="-2"/>
              </w:rPr>
              <w:t>五条要求提供的资  </w:t>
            </w:r>
            <w:r>
              <w:rPr>
                <w:spacing w:val="-1"/>
              </w:rPr>
              <w:t>料一式五份按本办法第四条报相应的审批机关，其确定的调查、勘测路由</w:t>
            </w:r>
            <w:r>
              <w:rPr>
                <w:spacing w:val="-2"/>
              </w:rPr>
              <w:t>需经主管机关同意  </w:t>
            </w:r>
            <w:r>
              <w:rPr>
                <w:spacing w:val="-5"/>
              </w:rPr>
              <w:t>《路由调查、勘测申请书》应附具以下资料：</w:t>
            </w:r>
            <w:r>
              <w:rPr>
                <w:spacing w:val="58"/>
              </w:rPr>
              <w:t xml:space="preserve"> </w:t>
            </w:r>
            <w:r>
              <w:rPr>
                <w:spacing w:val="-5"/>
              </w:rPr>
              <w:t>一、调查、勘测路由选择依据的详细说明；二、</w:t>
            </w:r>
            <w:r>
              <w:rPr/>
              <w:t xml:space="preserve"> </w:t>
            </w:r>
            <w:r>
              <w:rPr>
                <w:spacing w:val="-1"/>
              </w:rPr>
              <w:t>调查、勘测单位的基本情况；三、《铺设海底管道工程对海洋资源和环境</w:t>
            </w:r>
            <w:r>
              <w:rPr>
                <w:spacing w:val="-2"/>
              </w:rPr>
              <w:t>影响报告书》的编  </w:t>
            </w:r>
            <w:r>
              <w:rPr/>
              <w:t>写大纲和评价单位的基本情况；四、《污水排海工程可行性研究报告》;五、其他有关说明</w:t>
            </w:r>
            <w:r>
              <w:rPr>
                <w:spacing w:val="5"/>
              </w:rPr>
              <w:t xml:space="preserve">   </w:t>
            </w:r>
            <w:r>
              <w:rPr>
                <w:spacing w:val="-2"/>
              </w:rPr>
              <w:t>资料。2. 《铺设海底电缆管道管理规定实施办法》(国家海洋局令第3号)第六条：海底电缆</w:t>
            </w:r>
            <w:r>
              <w:rPr>
                <w:spacing w:val="3"/>
              </w:rPr>
              <w:t xml:space="preserve">   </w:t>
            </w:r>
            <w:r>
              <w:rPr>
                <w:spacing w:val="-1"/>
              </w:rPr>
              <w:t>管道的铺设施工，所有者应依照《规定》第六条，将所确定的路由及《路</w:t>
            </w:r>
            <w:r>
              <w:rPr>
                <w:spacing w:val="-2"/>
              </w:rPr>
              <w:t>由、勘测报告》等  </w:t>
            </w:r>
            <w:r>
              <w:rPr>
                <w:spacing w:val="-1"/>
              </w:rPr>
              <w:t>有关资料一式五份，按本办法第四条报相应的审批机关审批。审批机关审</w:t>
            </w:r>
            <w:r>
              <w:rPr>
                <w:spacing w:val="-2"/>
              </w:rPr>
              <w:t>批后发给铺设施工  </w:t>
            </w:r>
            <w:r>
              <w:rPr>
                <w:spacing w:val="-1"/>
              </w:rPr>
              <w:t>许可证。外国的公司、企业和其他经济组织或个人在中国大陆架上进行上</w:t>
            </w:r>
            <w:r>
              <w:rPr>
                <w:spacing w:val="-2"/>
              </w:rPr>
              <w:t>述活动的，所有者  </w:t>
            </w:r>
            <w:r>
              <w:rPr>
                <w:spacing w:val="-1"/>
              </w:rPr>
              <w:t>应在实施作业六十天前，将《规定》第六条要求提供的资料一式五份按本</w:t>
            </w:r>
            <w:r>
              <w:rPr>
                <w:spacing w:val="-2"/>
              </w:rPr>
              <w:t>办法第四条报相应  </w:t>
            </w:r>
            <w:r>
              <w:rPr>
                <w:spacing w:val="-2"/>
              </w:rPr>
              <w:t>的审批机关，其确定的路由需经主管机关同意。3. 《建设工程勘察设计管理条例》(国务院</w:t>
            </w:r>
            <w:r>
              <w:rPr>
                <w:spacing w:val="3"/>
              </w:rPr>
              <w:t xml:space="preserve">   </w:t>
            </w:r>
            <w:r>
              <w:rPr>
                <w:spacing w:val="1"/>
              </w:rPr>
              <w:t>令第662号)第七条：国家对从事建设工程勘察、</w:t>
            </w:r>
            <w:r>
              <w:rPr/>
              <w:t>设计活动的单位，实行资质管理制度。具   </w:t>
            </w:r>
            <w:r>
              <w:rPr>
                <w:spacing w:val="-3"/>
              </w:rPr>
              <w:t>体办法由国务院建设行政主管部门商国务院有关部门制定。4. 《海洋工程勘察资质分级标准  </w:t>
            </w:r>
            <w:r>
              <w:rPr/>
              <w:tab/>
            </w:r>
            <w:r>
              <w:rPr>
                <w:spacing w:val="-2"/>
              </w:rPr>
              <w:t>(建设〔2001〕217号)的有关勘察资质分级的规定。</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2000256"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498" name="TextBox 498"/>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50" style="position:absolute;margin-left:37.0722pt;margin-top:345.103pt;mso-position-vertical-relative:page;mso-position-horizontal-relative:page;width:13.55pt;height:12.35pt;z-index:25200025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337</w:t>
                      </w:r>
                    </w:p>
                  </w:txbxContent>
                </v:textbox>
              </v:shape>
            </w:pict>
          </mc:Fallback>
        </mc:AlternateContent>
      </w:r>
      <w:r/>
    </w:p>
    <w:p>
      <w:pPr>
        <w:spacing w:before="4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70" w:line="242" w:lineRule="auto"/>
              <w:rPr/>
            </w:pPr>
            <w:r>
              <w:rPr>
                <w:spacing w:val="1"/>
              </w:rPr>
              <w:t>中介服务 </w:t>
            </w:r>
            <w:r>
              <w:rPr>
                <w:spacing w:val="-2"/>
              </w:rPr>
              <w:t>事项名称</w:t>
            </w:r>
          </w:p>
        </w:tc>
        <w:tc>
          <w:tcPr>
            <w:tcW w:w="1099" w:type="dxa"/>
            <w:vAlign w:val="top"/>
          </w:tcPr>
          <w:p>
            <w:pPr>
              <w:pStyle w:val="TableText"/>
              <w:ind w:left="239" w:right="35" w:hanging="229"/>
              <w:spacing w:before="72" w:line="241"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36" w:hRule="atLeast"/>
        </w:trPr>
        <w:tc>
          <w:tcPr>
            <w:tcW w:w="295"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5"/>
              <w:spacing w:before="48" w:line="184" w:lineRule="auto"/>
              <w:rPr/>
            </w:pPr>
            <w:r>
              <w:rPr>
                <w:spacing w:val="-4"/>
              </w:rPr>
              <w:t>123</w:t>
            </w:r>
          </w:p>
        </w:tc>
        <w:tc>
          <w:tcPr>
            <w:tcW w:w="67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0" w:right="21" w:firstLine="10"/>
              <w:spacing w:before="49" w:line="256" w:lineRule="auto"/>
              <w:jc w:val="both"/>
              <w:rPr/>
            </w:pPr>
            <w:r>
              <w:rPr>
                <w:spacing w:val="-3"/>
              </w:rPr>
              <w:t>军用海底</w:t>
            </w:r>
            <w:r>
              <w:rPr>
                <w:spacing w:val="2"/>
              </w:rPr>
              <w:t xml:space="preserve"> </w:t>
            </w:r>
            <w:r>
              <w:rPr>
                <w:spacing w:val="6"/>
              </w:rPr>
              <w:t>电缆路由</w:t>
            </w:r>
            <w:r>
              <w:rPr>
                <w:spacing w:val="2"/>
              </w:rPr>
              <w:t xml:space="preserve"> </w:t>
            </w:r>
            <w:r>
              <w:rPr/>
              <w:t>调查、勘</w:t>
            </w:r>
            <w:r>
              <w:rPr>
                <w:spacing w:val="1"/>
              </w:rPr>
              <w:t xml:space="preserve"> </w:t>
            </w:r>
            <w:r>
              <w:rPr/>
              <w:t>测报告编</w:t>
            </w:r>
            <w:r>
              <w:rPr>
                <w:spacing w:val="2"/>
              </w:rPr>
              <w:t xml:space="preserve"> </w:t>
            </w:r>
            <w:r>
              <w:rPr/>
              <w:t>制</w:t>
            </w:r>
          </w:p>
        </w:tc>
        <w:tc>
          <w:tcPr>
            <w:tcW w:w="109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0" w:right="10" w:firstLine="30"/>
              <w:spacing w:before="48" w:line="261" w:lineRule="auto"/>
              <w:jc w:val="both"/>
              <w:rPr/>
            </w:pPr>
            <w:r>
              <w:rPr>
                <w:spacing w:val="21"/>
              </w:rPr>
              <w:t>(51002)军用</w:t>
            </w:r>
            <w:r>
              <w:rPr>
                <w:spacing w:val="3"/>
              </w:rPr>
              <w:t xml:space="preserve"> </w:t>
            </w:r>
            <w:r>
              <w:rPr>
                <w:spacing w:val="-1"/>
              </w:rPr>
              <w:t>海底电缆铺设施</w:t>
            </w:r>
            <w:r>
              <w:rPr/>
              <w:t xml:space="preserve"> </w:t>
            </w:r>
            <w:r>
              <w:rPr>
                <w:spacing w:val="4"/>
              </w:rPr>
              <w:t>工审批(海底电</w:t>
            </w:r>
            <w:r>
              <w:rPr>
                <w:spacing w:val="1"/>
              </w:rPr>
              <w:t xml:space="preserve">  </w:t>
            </w:r>
            <w:r>
              <w:rPr>
                <w:spacing w:val="2"/>
              </w:rPr>
              <w:t>缆管道铺设路由 </w:t>
            </w:r>
            <w:r>
              <w:rPr>
                <w:spacing w:val="-1"/>
              </w:rPr>
              <w:t>调查勘测、铺设</w:t>
            </w:r>
          </w:p>
          <w:p>
            <w:pPr>
              <w:pStyle w:val="TableText"/>
              <w:ind w:left="10" w:right="103" w:firstLine="80"/>
              <w:spacing w:before="32" w:line="239" w:lineRule="auto"/>
              <w:rPr/>
            </w:pPr>
            <w:r>
              <w:rPr>
                <w:spacing w:val="-1"/>
              </w:rPr>
              <w:t>施工审批的子</w:t>
            </w:r>
            <w:r>
              <w:rPr/>
              <w:t xml:space="preserve"> </w:t>
            </w:r>
            <w:r>
              <w:rPr>
                <w:spacing w:val="-5"/>
              </w:rPr>
              <w:t>项</w:t>
            </w:r>
            <w:r>
              <w:rPr>
                <w:spacing w:val="-32"/>
              </w:rPr>
              <w:t xml:space="preserve"> </w:t>
            </w:r>
            <w:r>
              <w:rPr>
                <w:spacing w:val="-5"/>
              </w:rPr>
              <w:t>)</w:t>
            </w:r>
          </w:p>
        </w:tc>
        <w:tc>
          <w:tcPr>
            <w:tcW w:w="83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82"/>
              <w:spacing w:before="49" w:line="220" w:lineRule="auto"/>
              <w:rPr/>
            </w:pPr>
            <w:r>
              <w:rPr>
                <w:spacing w:val="-2"/>
              </w:rPr>
              <w:t>海洋局</w:t>
            </w:r>
          </w:p>
        </w:tc>
        <w:tc>
          <w:tcPr>
            <w:tcW w:w="659"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2" w:right="31"/>
              <w:spacing w:before="49" w:line="258" w:lineRule="auto"/>
              <w:jc w:val="both"/>
              <w:rPr/>
            </w:pPr>
            <w:r>
              <w:rPr>
                <w:spacing w:val="-2"/>
              </w:rPr>
              <w:t>有海洋工</w:t>
            </w:r>
            <w:r>
              <w:rPr/>
              <w:t xml:space="preserve"> </w:t>
            </w:r>
            <w:r>
              <w:rPr>
                <w:spacing w:val="-2"/>
              </w:rPr>
              <w:t>程勘察资</w:t>
            </w:r>
            <w:r>
              <w:rPr>
                <w:spacing w:val="1"/>
              </w:rPr>
              <w:t xml:space="preserve"> </w:t>
            </w:r>
            <w:r>
              <w:rPr>
                <w:spacing w:val="-2"/>
              </w:rPr>
              <w:t>质的单位</w:t>
            </w:r>
          </w:p>
        </w:tc>
        <w:tc>
          <w:tcPr>
            <w:tcW w:w="6098"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4" w:right="221" w:firstLine="29"/>
              <w:spacing w:before="49" w:line="256" w:lineRule="auto"/>
              <w:rPr/>
            </w:pPr>
            <w:r>
              <w:rPr>
                <w:spacing w:val="-2"/>
              </w:rPr>
              <w:t>1. 《中国人民解放军铺设海底电缆管道管理规定实施办法》(</w:t>
            </w:r>
            <w:r>
              <w:rPr>
                <w:spacing w:val="-3"/>
              </w:rPr>
              <w:t>参通字第291号)第六条：新</w:t>
            </w:r>
            <w:r>
              <w:rPr/>
              <w:t xml:space="preserve">  </w:t>
            </w:r>
            <w:r>
              <w:rPr/>
              <w:t>建军用海底电缆经业务主管部门审批同意后，在路由调查、勘测实施前</w:t>
            </w:r>
            <w:r>
              <w:rPr>
                <w:spacing w:val="-1"/>
              </w:rPr>
              <w:t>60天，向国家海洋</w:t>
            </w:r>
            <w:r>
              <w:rPr/>
              <w:t xml:space="preserve"> </w:t>
            </w:r>
            <w:r>
              <w:rPr/>
              <w:t>局海区分局提出书面申请(一式5份),由海区分局商相关的沿海省、</w:t>
            </w:r>
            <w:r>
              <w:rPr>
                <w:spacing w:val="-1"/>
              </w:rPr>
              <w:t>自治区、直辖市海洋</w:t>
            </w:r>
          </w:p>
          <w:p>
            <w:pPr>
              <w:pStyle w:val="TableText"/>
              <w:ind w:left="24" w:right="213" w:firstLine="10"/>
              <w:spacing w:before="35" w:line="254" w:lineRule="auto"/>
              <w:rPr/>
            </w:pPr>
            <w:r>
              <w:rPr/>
              <w:t>管理机构审批。战时急需新建的线路，其施工与申请可同时进行</w:t>
            </w:r>
            <w:r>
              <w:rPr>
                <w:spacing w:val="-1"/>
              </w:rPr>
              <w:t>。申请书应包括以下内容</w:t>
            </w:r>
            <w:r>
              <w:rPr/>
              <w:t xml:space="preserve"> </w:t>
            </w:r>
            <w:r>
              <w:rPr>
                <w:spacing w:val="-2"/>
              </w:rPr>
              <w:t>(一)建设依据；</w:t>
            </w:r>
            <w:r>
              <w:rPr>
                <w:spacing w:val="23"/>
              </w:rPr>
              <w:t xml:space="preserve">   </w:t>
            </w:r>
            <w:r>
              <w:rPr>
                <w:spacing w:val="-2"/>
              </w:rPr>
              <w:t>(二)军用海底电缆管理单位的名称、住所；(三)路由调查、勘测的地</w:t>
            </w:r>
            <w:r>
              <w:rPr/>
              <w:t xml:space="preserve">  </w:t>
            </w:r>
            <w:r>
              <w:rPr/>
              <w:t>理区域、内容、时间和船舶名称；(四)路由调查、勘测单位的名称</w:t>
            </w:r>
            <w:r>
              <w:rPr>
                <w:spacing w:val="-1"/>
              </w:rPr>
              <w:t>、住所及主要负责人</w:t>
            </w:r>
          </w:p>
          <w:p>
            <w:pPr>
              <w:pStyle w:val="TableText"/>
              <w:ind w:left="43" w:right="44" w:firstLine="70"/>
              <w:spacing w:before="41" w:line="245" w:lineRule="auto"/>
              <w:rPr/>
            </w:pPr>
            <w:r>
              <w:rPr/>
              <w:t>(五)调查、勘测路由选择的依据及说明。第七条：军用海底电缆的路由调查、勘测应符合</w:t>
            </w:r>
            <w:r>
              <w:rPr>
                <w:spacing w:val="2"/>
              </w:rPr>
              <w:t xml:space="preserve">  </w:t>
            </w:r>
            <w:r>
              <w:rPr>
                <w:spacing w:val="-2"/>
              </w:rPr>
              <w:t>国家海洋局颁发的《海底电缆管道路由调查、勘测简明规则》的要求。2. 《铺设海底电缆管</w:t>
            </w:r>
            <w:r>
              <w:rPr>
                <w:spacing w:val="8"/>
              </w:rPr>
              <w:t xml:space="preserve"> </w:t>
            </w:r>
            <w:r>
              <w:rPr/>
              <w:t>道管理规定实施办法》(国家海洋局令第3号)第六条；海底电缆、管道的铺设施工，所有</w:t>
            </w:r>
          </w:p>
          <w:p>
            <w:pPr>
              <w:pStyle w:val="TableText"/>
              <w:ind w:left="34" w:firstLine="9"/>
              <w:spacing w:before="41" w:line="263" w:lineRule="auto"/>
              <w:rPr/>
            </w:pPr>
            <w:r>
              <w:rPr>
                <w:spacing w:val="-1"/>
              </w:rPr>
              <w:t>者应依照《规定》第六条，将所确定的路由及《路由、勘测报告》等有关资料一式五份，按</w:t>
            </w:r>
            <w:r>
              <w:rPr/>
              <w:t xml:space="preserve">  </w:t>
            </w:r>
            <w:r>
              <w:rPr>
                <w:spacing w:val="1"/>
              </w:rPr>
              <w:t>本办法第四条报相应的审批机关审批。审批机关审批后发给铺设施工许可证。外国的公司、</w:t>
            </w:r>
            <w:r>
              <w:rPr>
                <w:spacing w:val="12"/>
              </w:rPr>
              <w:t xml:space="preserve"> </w:t>
            </w:r>
            <w:r>
              <w:rPr>
                <w:spacing w:val="-1"/>
              </w:rPr>
              <w:t>企业和其他经济组织或个人在中国大陆架上进行上述活动的，所有者应在实施作业六十天前</w:t>
            </w:r>
            <w:r>
              <w:rPr>
                <w:spacing w:val="5"/>
              </w:rPr>
              <w:t xml:space="preserve">  </w:t>
            </w:r>
            <w:r>
              <w:rPr>
                <w:spacing w:val="-1"/>
              </w:rPr>
              <w:t>将《规定》第六条要求提供的资料一式五份按本办法第四条报相应的审批机关，其确定的路</w:t>
            </w:r>
            <w:r>
              <w:rPr>
                <w:spacing w:val="6"/>
              </w:rPr>
              <w:t xml:space="preserve">  </w:t>
            </w:r>
            <w:r>
              <w:rPr>
                <w:spacing w:val="-2"/>
              </w:rPr>
              <w:t>由需经主管机关同意。3. 《建设工程勘察设计</w:t>
            </w:r>
            <w:r>
              <w:rPr>
                <w:spacing w:val="-3"/>
              </w:rPr>
              <w:t>管理条例》(国务院令第662号)第七条：国</w:t>
            </w:r>
          </w:p>
          <w:p>
            <w:pPr>
              <w:pStyle w:val="TableText"/>
              <w:ind w:left="34" w:right="51" w:firstLine="9"/>
              <w:spacing w:before="52" w:line="254" w:lineRule="auto"/>
              <w:rPr/>
            </w:pPr>
            <w:r>
              <w:rPr/>
              <w:t>家对从事建设工程勘察、设计活动的单位，实行资质管理制度。具体办</w:t>
            </w:r>
            <w:r>
              <w:rPr>
                <w:spacing w:val="-1"/>
              </w:rPr>
              <w:t>法由国务院建设行政</w:t>
            </w:r>
            <w:r>
              <w:rPr/>
              <w:t xml:space="preserve"> </w:t>
            </w:r>
            <w:r>
              <w:rPr>
                <w:spacing w:val="-1"/>
              </w:rPr>
              <w:t>主管部门商国务院有关部门制定。4. 《海洋工程勘察资质分级标准》(建设〔2001〕217号)</w:t>
            </w:r>
            <w:r>
              <w:rPr>
                <w:spacing w:val="14"/>
              </w:rPr>
              <w:t xml:space="preserve"> </w:t>
            </w:r>
            <w:r>
              <w:rPr>
                <w:spacing w:val="-1"/>
              </w:rPr>
              <w:t>的有关勘察资质分级的规定。</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2001280" behindDoc="0" locked="0" layoutInCell="0" allowOverlap="1">
                <wp:simplePos x="0" y="0"/>
                <wp:positionH relativeFrom="page">
                  <wp:posOffset>470816</wp:posOffset>
                </wp:positionH>
                <wp:positionV relativeFrom="page">
                  <wp:posOffset>623638</wp:posOffset>
                </wp:positionV>
                <wp:extent cx="172085" cy="156845"/>
                <wp:effectExtent l="0" t="0" r="0" b="0"/>
                <wp:wrapNone/>
                <wp:docPr id="500" name="TextBox 500"/>
                <wp:cNvGraphicFramePr/>
                <a:graphic>
                  <a:graphicData uri="http://schemas.microsoft.com/office/word/2010/wordprocessingShape">
                    <wps:wsp>
                      <wps:cNvSpPr txBox="1"/>
                      <wps:spPr>
                        <a:xfrm rot="5400000">
                          <a:off x="470816" y="623638"/>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52" style="position:absolute;margin-left:37.0722pt;margin-top:49.1054pt;mso-position-vertical-relative:page;mso-position-horizontal-relative:page;width:13.55pt;height:12.35pt;z-index:25200128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338</w:t>
                      </w:r>
                    </w:p>
                  </w:txbxContent>
                </v:textbox>
              </v:shape>
            </w:pict>
          </mc:Fallback>
        </mc:AlternateContent>
      </w:r>
      <w:r/>
    </w:p>
    <w:p>
      <w:pPr>
        <w:spacing w:before="4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79"/>
        <w:gridCol w:w="1099"/>
        <w:gridCol w:w="839"/>
        <w:gridCol w:w="659"/>
        <w:gridCol w:w="6098"/>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79" w:type="dxa"/>
            <w:vAlign w:val="top"/>
          </w:tcPr>
          <w:p>
            <w:pPr>
              <w:pStyle w:val="TableText"/>
              <w:ind w:left="30" w:right="32"/>
              <w:spacing w:before="70" w:line="242" w:lineRule="auto"/>
              <w:rPr/>
            </w:pPr>
            <w:r>
              <w:rPr>
                <w:spacing w:val="1"/>
              </w:rPr>
              <w:t>中介服务 </w:t>
            </w:r>
            <w:r>
              <w:rPr>
                <w:spacing w:val="-2"/>
              </w:rPr>
              <w:t>事项名称</w:t>
            </w:r>
          </w:p>
        </w:tc>
        <w:tc>
          <w:tcPr>
            <w:tcW w:w="1099" w:type="dxa"/>
            <w:vAlign w:val="top"/>
          </w:tcPr>
          <w:p>
            <w:pPr>
              <w:pStyle w:val="TableText"/>
              <w:ind w:left="239" w:right="35" w:hanging="229"/>
              <w:spacing w:before="72" w:line="241"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70" w:line="242" w:lineRule="auto"/>
              <w:rPr/>
            </w:pPr>
            <w:r>
              <w:rPr>
                <w:spacing w:val="1"/>
              </w:rPr>
              <w:t>中介服务</w:t>
            </w:r>
            <w:r>
              <w:rPr>
                <w:spacing w:val="2"/>
              </w:rPr>
              <w:t xml:space="preserve"> </w:t>
            </w:r>
            <w:r>
              <w:rPr>
                <w:spacing w:val="-2"/>
              </w:rPr>
              <w:t>实施机构</w:t>
            </w:r>
          </w:p>
        </w:tc>
        <w:tc>
          <w:tcPr>
            <w:tcW w:w="6098" w:type="dxa"/>
            <w:vAlign w:val="top"/>
          </w:tcPr>
          <w:p>
            <w:pPr>
              <w:pStyle w:val="TableText"/>
              <w:ind w:left="2744"/>
              <w:spacing w:before="160" w:line="219" w:lineRule="auto"/>
              <w:rPr/>
            </w:pPr>
            <w:r>
              <w:rPr>
                <w:spacing w:val="-2"/>
              </w:rPr>
              <w:t>设定依据</w:t>
            </w:r>
          </w:p>
        </w:tc>
      </w:tr>
      <w:tr>
        <w:trPr>
          <w:trHeight w:val="5736" w:hRule="atLeast"/>
        </w:trPr>
        <w:tc>
          <w:tcPr>
            <w:tcW w:w="295"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5"/>
              <w:spacing w:before="49" w:line="184" w:lineRule="auto"/>
              <w:rPr/>
            </w:pPr>
            <w:r>
              <w:rPr>
                <w:spacing w:val="-4"/>
              </w:rPr>
              <w:t>124</w:t>
            </w:r>
          </w:p>
        </w:tc>
        <w:tc>
          <w:tcPr>
            <w:tcW w:w="67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0" w:right="10" w:firstLine="20"/>
              <w:spacing w:before="49" w:line="256" w:lineRule="auto"/>
              <w:jc w:val="both"/>
              <w:rPr/>
            </w:pPr>
            <w:r>
              <w:rPr>
                <w:spacing w:val="-2"/>
              </w:rPr>
              <w:t>海洋工程</w:t>
            </w:r>
            <w:r>
              <w:rPr>
                <w:spacing w:val="1"/>
              </w:rPr>
              <w:t xml:space="preserve"> </w:t>
            </w:r>
            <w:r>
              <w:rPr>
                <w:spacing w:val="12"/>
              </w:rPr>
              <w:t>建设项目</w:t>
            </w:r>
            <w:r>
              <w:rPr/>
              <w:t xml:space="preserve"> </w:t>
            </w:r>
            <w:r>
              <w:rPr>
                <w:spacing w:val="3"/>
              </w:rPr>
              <w:t>环境影响</w:t>
            </w:r>
            <w:r>
              <w:rPr>
                <w:spacing w:val="1"/>
              </w:rPr>
              <w:t xml:space="preserve"> </w:t>
            </w:r>
            <w:r>
              <w:rPr>
                <w:spacing w:val="3"/>
              </w:rPr>
              <w:t>报告书编</w:t>
            </w:r>
            <w:r>
              <w:rPr>
                <w:spacing w:val="2"/>
              </w:rPr>
              <w:t xml:space="preserve"> </w:t>
            </w:r>
            <w:r>
              <w:rPr/>
              <w:t>制</w:t>
            </w:r>
          </w:p>
        </w:tc>
        <w:tc>
          <w:tcPr>
            <w:tcW w:w="1099"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0" w:right="34" w:firstLine="30"/>
              <w:spacing w:before="48" w:line="255" w:lineRule="auto"/>
              <w:jc w:val="both"/>
              <w:rPr/>
            </w:pPr>
            <w:r>
              <w:rPr>
                <w:spacing w:val="20"/>
              </w:rPr>
              <w:t>(51010)海洋</w:t>
            </w:r>
            <w:r>
              <w:rPr>
                <w:spacing w:val="1"/>
              </w:rPr>
              <w:t xml:space="preserve"> </w:t>
            </w:r>
            <w:r>
              <w:rPr>
                <w:spacing w:val="-2"/>
              </w:rPr>
              <w:t>工程建设项目环</w:t>
            </w:r>
            <w:r>
              <w:rPr>
                <w:spacing w:val="5"/>
              </w:rPr>
              <w:t xml:space="preserve"> </w:t>
            </w:r>
            <w:r>
              <w:rPr>
                <w:spacing w:val="-1"/>
              </w:rPr>
              <w:t>境影响报告书核</w:t>
            </w:r>
            <w:r>
              <w:rPr/>
              <w:t xml:space="preserve"> </w:t>
            </w:r>
            <w:r>
              <w:rPr>
                <w:spacing w:val="2"/>
              </w:rPr>
              <w:t>准</w:t>
            </w:r>
          </w:p>
        </w:tc>
        <w:tc>
          <w:tcPr>
            <w:tcW w:w="83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82"/>
              <w:spacing w:before="49" w:line="220" w:lineRule="auto"/>
              <w:rPr/>
            </w:pPr>
            <w:r>
              <w:rPr>
                <w:spacing w:val="-2"/>
              </w:rPr>
              <w:t>海洋局</w:t>
            </w:r>
          </w:p>
        </w:tc>
        <w:tc>
          <w:tcPr>
            <w:tcW w:w="659"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2" w:right="32" w:firstLine="10"/>
              <w:spacing w:before="49" w:line="251" w:lineRule="auto"/>
              <w:jc w:val="both"/>
              <w:rPr/>
            </w:pPr>
            <w:r>
              <w:rPr>
                <w:spacing w:val="-3"/>
              </w:rPr>
              <w:t>具有相应</w:t>
            </w:r>
            <w:r>
              <w:rPr>
                <w:spacing w:val="2"/>
              </w:rPr>
              <w:t xml:space="preserve"> </w:t>
            </w:r>
            <w:r>
              <w:rPr>
                <w:spacing w:val="-1"/>
              </w:rPr>
              <w:t>资质的环</w:t>
            </w:r>
            <w:r>
              <w:rPr/>
              <w:t xml:space="preserve"> </w:t>
            </w:r>
            <w:r>
              <w:rPr/>
              <w:t>境影响评</w:t>
            </w:r>
            <w:r>
              <w:rPr>
                <w:spacing w:val="2"/>
              </w:rPr>
              <w:t xml:space="preserve"> </w:t>
            </w:r>
            <w:r>
              <w:rPr>
                <w:spacing w:val="-2"/>
              </w:rPr>
              <w:t>价机构</w:t>
            </w:r>
          </w:p>
        </w:tc>
        <w:tc>
          <w:tcPr>
            <w:tcW w:w="6098"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4" w:right="31" w:firstLine="19"/>
              <w:spacing w:before="49" w:line="262" w:lineRule="auto"/>
              <w:jc w:val="both"/>
              <w:rPr/>
            </w:pPr>
            <w:r>
              <w:rPr>
                <w:spacing w:val="-2"/>
              </w:rPr>
              <w:t>1. 《中华人民共和国海洋环境保护法》第四十七条：海洋工程建设项目必须符合全国海洋主</w:t>
            </w:r>
            <w:r>
              <w:rPr>
                <w:spacing w:val="8"/>
              </w:rPr>
              <w:t xml:space="preserve"> </w:t>
            </w:r>
            <w:r>
              <w:rPr/>
              <w:t>题功能区规划、海洋功能区划、海洋环境保护规划和国家有关环境保护标准。海洋工程建设</w:t>
            </w:r>
            <w:r>
              <w:rPr>
                <w:spacing w:val="13"/>
              </w:rPr>
              <w:t xml:space="preserve"> </w:t>
            </w:r>
            <w:r>
              <w:rPr>
                <w:spacing w:val="1"/>
              </w:rPr>
              <w:t>项目单位应对海洋环境进行科学调查，编制海洋环境影响报告书(表),并在建设项目开工前 </w:t>
            </w:r>
            <w:r>
              <w:rPr>
                <w:spacing w:val="-2"/>
              </w:rPr>
              <w:t>报海洋行政主管部门审查批准。2. 《中华人民共和国环境影响评价法》第十九条：接受委托</w:t>
            </w:r>
            <w:r>
              <w:rPr>
                <w:spacing w:val="17"/>
              </w:rPr>
              <w:t xml:space="preserve"> </w:t>
            </w:r>
            <w:r>
              <w:rPr>
                <w:spacing w:val="1"/>
              </w:rPr>
              <w:t>为建设项目环境影响评价提供技术服务的机构，应当经国务院环境保护</w:t>
            </w:r>
            <w:r>
              <w:rPr/>
              <w:t>行政主管部门考核审 </w:t>
            </w:r>
            <w:r>
              <w:rPr/>
              <w:t>查合格后，颁发资质证书，按照资质证书规定的等级和评价范围，从</w:t>
            </w:r>
            <w:r>
              <w:rPr>
                <w:spacing w:val="-1"/>
              </w:rPr>
              <w:t>事环境影响评价服务</w:t>
            </w:r>
          </w:p>
          <w:p>
            <w:pPr>
              <w:pStyle w:val="TableText"/>
              <w:ind w:left="34" w:right="44" w:firstLine="79"/>
              <w:spacing w:before="32" w:line="258" w:lineRule="auto"/>
              <w:rPr/>
            </w:pPr>
            <w:r>
              <w:rPr/>
              <w:t>并对评价结论负责。为建设项目环境影响评价提供技术服务的机</w:t>
            </w:r>
            <w:r>
              <w:rPr>
                <w:spacing w:val="-1"/>
              </w:rPr>
              <w:t>构的资质条件和管理办法</w:t>
            </w:r>
            <w:r>
              <w:rPr/>
              <w:t xml:space="preserve">  </w:t>
            </w:r>
            <w:r>
              <w:rPr>
                <w:spacing w:val="-2"/>
              </w:rPr>
              <w:t>由国务院环境保护行政主管部门制定。3. 《防治海洋工程建设项目污染损害海洋环境管理条</w:t>
            </w:r>
            <w:r>
              <w:rPr>
                <w:spacing w:val="17"/>
              </w:rPr>
              <w:t xml:space="preserve"> </w:t>
            </w:r>
            <w:r>
              <w:rPr/>
              <w:t>例》(国务院令第475号)第十条：新建、改建、扩建海洋工程的建设单位</w:t>
            </w:r>
            <w:r>
              <w:rPr>
                <w:spacing w:val="-1"/>
              </w:rPr>
              <w:t>，应当委托具有</w:t>
            </w:r>
          </w:p>
          <w:p>
            <w:pPr>
              <w:pStyle w:val="TableText"/>
              <w:ind w:left="43" w:right="4" w:hanging="29"/>
              <w:spacing w:before="41" w:line="245" w:lineRule="auto"/>
              <w:rPr/>
            </w:pPr>
            <w:r>
              <w:rPr>
                <w:spacing w:val="-3"/>
              </w:rPr>
              <w:t>相应环境影响评价资质的单位编制环境影响报告书，报有核准权的海洋主管部门核准。4.</w:t>
            </w:r>
            <w:r>
              <w:rPr>
                <w:spacing w:val="-31"/>
              </w:rPr>
              <w:t xml:space="preserve"> </w:t>
            </w:r>
            <w:r>
              <w:rPr>
                <w:spacing w:val="-3"/>
              </w:rPr>
              <w:t>《建</w:t>
            </w:r>
            <w:r>
              <w:rPr/>
              <w:t xml:space="preserve"> </w:t>
            </w:r>
            <w:r>
              <w:rPr/>
              <w:t>设项目环境环境保护管理条例》(国务院令第253号)第十三条；国</w:t>
            </w:r>
            <w:r>
              <w:rPr>
                <w:spacing w:val="-1"/>
              </w:rPr>
              <w:t>家对从事建设项目环境</w:t>
            </w:r>
          </w:p>
          <w:p>
            <w:pPr>
              <w:pStyle w:val="TableText"/>
              <w:ind w:left="24" w:right="37" w:firstLine="19"/>
              <w:spacing w:before="34" w:line="264" w:lineRule="auto"/>
              <w:rPr/>
            </w:pPr>
            <w:r>
              <w:rPr/>
              <w:t>影响评价工作的单位实行资格审查制度。从事建设项目环境影响评价工作的</w:t>
            </w:r>
            <w:r>
              <w:rPr>
                <w:spacing w:val="-1"/>
              </w:rPr>
              <w:t>单位，必须取得</w:t>
            </w:r>
            <w:r>
              <w:rPr/>
              <w:t xml:space="preserve"> </w:t>
            </w:r>
            <w:r>
              <w:rPr>
                <w:spacing w:val="1"/>
              </w:rPr>
              <w:t>国务院环境保护行政主管部门颁发的资格证书，按照资格</w:t>
            </w:r>
            <w:r>
              <w:rPr/>
              <w:t>证书规定的等级和范围，从事建设 </w:t>
            </w:r>
            <w:r>
              <w:rPr/>
              <w:t>项目环境影响评价工作，并对评价结论负责。国务院环境保护行政主管部门对已经颁发资格</w:t>
            </w:r>
            <w:r>
              <w:rPr>
                <w:spacing w:val="10"/>
              </w:rPr>
              <w:t xml:space="preserve"> </w:t>
            </w:r>
            <w:r>
              <w:rPr/>
              <w:t>证书的从事建设项目环境影响评价工作的单位名单，应当定期予以公布。具体办法由国务院</w:t>
            </w:r>
            <w:r>
              <w:rPr>
                <w:spacing w:val="13"/>
              </w:rPr>
              <w:t xml:space="preserve"> </w:t>
            </w:r>
            <w:r>
              <w:rPr/>
              <w:t>环境保护行政主管部门制定。从事建设项目环境影响评价工作的单位，必须严格执行国家规</w:t>
            </w:r>
            <w:r>
              <w:rPr>
                <w:spacing w:val="13"/>
              </w:rPr>
              <w:t xml:space="preserve"> </w:t>
            </w:r>
            <w:r>
              <w:rPr>
                <w:spacing w:val="-2"/>
              </w:rPr>
              <w:t>定的收费标准</w:t>
            </w:r>
          </w:p>
        </w:tc>
      </w:tr>
    </w:tbl>
    <w:p>
      <w:pPr>
        <w:pStyle w:val="BodyText"/>
        <w:rPr/>
      </w:pPr>
      <w:r/>
    </w:p>
    <w:p>
      <w:pPr>
        <w:sectPr>
          <w:pgSz w:w="11910" w:h="8220"/>
          <w:pgMar w:top="400" w:right="111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2002304" behindDoc="0" locked="0" layoutInCell="0" allowOverlap="1">
                <wp:simplePos x="0" y="0"/>
                <wp:positionH relativeFrom="page">
                  <wp:posOffset>470816</wp:posOffset>
                </wp:positionH>
                <wp:positionV relativeFrom="page">
                  <wp:posOffset>4376497</wp:posOffset>
                </wp:positionV>
                <wp:extent cx="172085" cy="156845"/>
                <wp:effectExtent l="0" t="0" r="0" b="0"/>
                <wp:wrapNone/>
                <wp:docPr id="502" name="TextBox 502"/>
                <wp:cNvGraphicFramePr/>
                <a:graphic>
                  <a:graphicData uri="http://schemas.microsoft.com/office/word/2010/wordprocessingShape">
                    <wps:wsp>
                      <wps:cNvSpPr txBox="1"/>
                      <wps:spPr>
                        <a:xfrm rot="5400000">
                          <a:off x="470816" y="4376497"/>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54" style="position:absolute;margin-left:37.0722pt;margin-top:344.606pt;mso-position-vertical-relative:page;mso-position-horizontal-relative:page;width:13.55pt;height:12.35pt;z-index:25200230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339</w:t>
                      </w:r>
                    </w:p>
                  </w:txbxContent>
                </v:textbox>
              </v:shape>
            </w:pict>
          </mc:Fallback>
        </mc:AlternateContent>
      </w:r>
      <w:r/>
    </w:p>
    <w:p>
      <w:pPr>
        <w:spacing w:before="46"/>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74" w:hRule="atLeast"/>
        </w:trPr>
        <w:tc>
          <w:tcPr>
            <w:tcW w:w="295" w:type="dxa"/>
            <w:vAlign w:val="top"/>
          </w:tcPr>
          <w:p>
            <w:pPr>
              <w:pStyle w:val="TableText"/>
              <w:ind w:left="65"/>
              <w:spacing w:before="72" w:line="209" w:lineRule="auto"/>
              <w:rPr/>
            </w:pPr>
            <w:r>
              <w:rPr/>
              <w:t>序</w:t>
            </w:r>
          </w:p>
          <w:p>
            <w:pPr>
              <w:pStyle w:val="TableText"/>
              <w:ind w:left="65"/>
              <w:spacing w:line="220" w:lineRule="auto"/>
              <w:rPr/>
            </w:pPr>
            <w:r>
              <w:rPr/>
              <w:t>号</w:t>
            </w:r>
          </w:p>
        </w:tc>
        <w:tc>
          <w:tcPr>
            <w:tcW w:w="659" w:type="dxa"/>
            <w:vAlign w:val="top"/>
          </w:tcPr>
          <w:p>
            <w:pPr>
              <w:pStyle w:val="TableText"/>
              <w:ind w:left="20" w:right="22"/>
              <w:spacing w:before="70" w:line="242" w:lineRule="auto"/>
              <w:rPr/>
            </w:pPr>
            <w:r>
              <w:rPr>
                <w:spacing w:val="1"/>
              </w:rPr>
              <w:t>中介服务 </w:t>
            </w:r>
            <w:r>
              <w:rPr>
                <w:spacing w:val="-2"/>
              </w:rPr>
              <w:t>事项名称</w:t>
            </w:r>
          </w:p>
        </w:tc>
        <w:tc>
          <w:tcPr>
            <w:tcW w:w="1109" w:type="dxa"/>
            <w:vAlign w:val="top"/>
          </w:tcPr>
          <w:p>
            <w:pPr>
              <w:pStyle w:val="TableText"/>
              <w:ind w:left="239" w:right="35" w:hanging="219"/>
              <w:spacing w:before="72" w:line="241"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39" w:line="261"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3814" w:hRule="atLeast"/>
        </w:trPr>
        <w:tc>
          <w:tcPr>
            <w:tcW w:w="295" w:type="dxa"/>
            <w:vAlign w:val="top"/>
          </w:tcPr>
          <w:p>
            <w:pPr>
              <w:pStyle w:val="TableText"/>
              <w:ind w:left="25"/>
              <w:spacing w:before="125" w:line="184" w:lineRule="auto"/>
              <w:rPr/>
            </w:pPr>
            <w:r>
              <w:rPr>
                <w:spacing w:val="-4"/>
              </w:rPr>
              <w:t>125</w:t>
            </w:r>
          </w:p>
        </w:tc>
        <w:tc>
          <w:tcPr>
            <w:tcW w:w="659" w:type="dxa"/>
            <w:vAlign w:val="top"/>
          </w:tcPr>
          <w:p>
            <w:pPr>
              <w:pStyle w:val="TableText"/>
              <w:ind w:left="20"/>
              <w:spacing w:before="74" w:line="261" w:lineRule="auto"/>
              <w:jc w:val="both"/>
              <w:rPr/>
            </w:pPr>
            <w:r>
              <w:rPr>
                <w:spacing w:val="-12"/>
              </w:rPr>
              <w:t>铁路机车</w:t>
            </w:r>
            <w:r>
              <w:rPr/>
              <w:t xml:space="preserve">  </w:t>
            </w:r>
            <w:r>
              <w:rPr>
                <w:spacing w:val="-12"/>
              </w:rPr>
              <w:t>车辆型式</w:t>
            </w:r>
            <w:r>
              <w:rPr/>
              <w:t xml:space="preserve">  </w:t>
            </w:r>
            <w:r>
              <w:rPr>
                <w:spacing w:val="-12"/>
              </w:rPr>
              <w:t>试验、运</w:t>
            </w:r>
            <w:r>
              <w:rPr/>
              <w:t xml:space="preserve">  </w:t>
            </w:r>
            <w:r>
              <w:rPr>
                <w:spacing w:val="-1"/>
              </w:rPr>
              <w:t>用考核</w:t>
            </w:r>
            <w:r>
              <w:rPr>
                <w:spacing w:val="-44"/>
              </w:rPr>
              <w:t xml:space="preserve"> </w:t>
            </w:r>
            <w:r>
              <w:rPr>
                <w:spacing w:val="-1"/>
              </w:rPr>
              <w:t>、</w:t>
            </w:r>
            <w:r>
              <w:rPr/>
              <w:t xml:space="preserve"> </w:t>
            </w:r>
            <w:r>
              <w:rPr>
                <w:spacing w:val="-9"/>
              </w:rPr>
              <w:t>解体检查</w:t>
            </w:r>
          </w:p>
        </w:tc>
        <w:tc>
          <w:tcPr>
            <w:tcW w:w="1109" w:type="dxa"/>
            <w:vAlign w:val="top"/>
          </w:tcPr>
          <w:p>
            <w:pPr>
              <w:pStyle w:val="TableText"/>
              <w:ind w:left="20" w:firstLine="19"/>
              <w:spacing w:before="77" w:line="252" w:lineRule="auto"/>
              <w:jc w:val="both"/>
              <w:rPr/>
            </w:pPr>
            <w:r>
              <w:rPr>
                <w:spacing w:val="15"/>
              </w:rPr>
              <w:t>(53004)铁路</w:t>
            </w:r>
            <w:r>
              <w:rPr>
                <w:spacing w:val="1"/>
              </w:rPr>
              <w:t xml:space="preserve">  </w:t>
            </w:r>
            <w:r>
              <w:rPr>
                <w:spacing w:val="4"/>
              </w:rPr>
              <w:t>机车车辆设计、</w:t>
            </w:r>
            <w:r>
              <w:rPr/>
              <w:t xml:space="preserve"> </w:t>
            </w:r>
            <w:r>
              <w:rPr>
                <w:spacing w:val="-8"/>
              </w:rPr>
              <w:t>制造、维修或进</w:t>
            </w:r>
            <w:r>
              <w:rPr>
                <w:spacing w:val="2"/>
              </w:rPr>
              <w:t xml:space="preserve">  </w:t>
            </w:r>
            <w:r>
              <w:rPr>
                <w:spacing w:val="2"/>
              </w:rPr>
              <w:t>口许可</w:t>
            </w:r>
          </w:p>
        </w:tc>
        <w:tc>
          <w:tcPr>
            <w:tcW w:w="839" w:type="dxa"/>
            <w:vAlign w:val="top"/>
          </w:tcPr>
          <w:p>
            <w:pPr>
              <w:pStyle w:val="TableText"/>
              <w:ind w:left="182"/>
              <w:spacing w:before="57" w:line="219" w:lineRule="auto"/>
              <w:rPr/>
            </w:pPr>
            <w:r>
              <w:rPr>
                <w:spacing w:val="-2"/>
              </w:rPr>
              <w:t>铁路局</w:t>
            </w:r>
          </w:p>
        </w:tc>
        <w:tc>
          <w:tcPr>
            <w:tcW w:w="659" w:type="dxa"/>
            <w:vAlign w:val="top"/>
          </w:tcPr>
          <w:p>
            <w:pPr>
              <w:pStyle w:val="TableText"/>
              <w:ind w:left="22" w:right="14"/>
              <w:spacing w:before="78" w:line="255" w:lineRule="auto"/>
              <w:jc w:val="both"/>
              <w:rPr/>
            </w:pPr>
            <w:r>
              <w:rPr>
                <w:spacing w:val="1"/>
              </w:rPr>
              <w:t>国务院认</w:t>
            </w:r>
            <w:r>
              <w:rPr>
                <w:spacing w:val="2"/>
              </w:rPr>
              <w:t xml:space="preserve"> </w:t>
            </w:r>
            <w:r>
              <w:rPr>
                <w:spacing w:val="-2"/>
              </w:rPr>
              <w:t>证认可监</w:t>
            </w:r>
            <w:r>
              <w:rPr>
                <w:spacing w:val="1"/>
              </w:rPr>
              <w:t xml:space="preserve"> </w:t>
            </w:r>
            <w:r>
              <w:rPr>
                <w:spacing w:val="-3"/>
              </w:rPr>
              <w:t>督管理部</w:t>
            </w:r>
            <w:r>
              <w:rPr>
                <w:spacing w:val="2"/>
              </w:rPr>
              <w:t xml:space="preserve"> </w:t>
            </w:r>
            <w:r>
              <w:rPr>
                <w:spacing w:val="2"/>
              </w:rPr>
              <w:t>门确定的 </w:t>
            </w:r>
            <w:r>
              <w:rPr>
                <w:spacing w:val="-2"/>
              </w:rPr>
              <w:t>认可机构</w:t>
            </w:r>
          </w:p>
        </w:tc>
        <w:tc>
          <w:tcPr>
            <w:tcW w:w="6088" w:type="dxa"/>
            <w:vAlign w:val="top"/>
          </w:tcPr>
          <w:p>
            <w:pPr>
              <w:pStyle w:val="TableText"/>
              <w:ind w:left="34"/>
              <w:spacing w:before="76" w:line="219" w:lineRule="auto"/>
              <w:rPr/>
            </w:pPr>
            <w:r>
              <w:rPr>
                <w:spacing w:val="-2"/>
              </w:rPr>
              <w:t>1. 《铁路安全管理条例》(国务院令第639号)第二十一条：设计、制造、</w:t>
            </w:r>
            <w:r>
              <w:rPr>
                <w:spacing w:val="-3"/>
              </w:rPr>
              <w:t>维修或者进口新</w:t>
            </w:r>
          </w:p>
          <w:p>
            <w:pPr>
              <w:pStyle w:val="TableText"/>
              <w:ind w:left="34"/>
              <w:spacing w:before="32" w:line="219" w:lineRule="auto"/>
              <w:rPr/>
            </w:pPr>
            <w:r>
              <w:rPr>
                <w:spacing w:val="1"/>
              </w:rPr>
              <w:t>型铁路机车车辆，应当符合国家标准、行业</w:t>
            </w:r>
            <w:r>
              <w:rPr/>
              <w:t>标准，并分别向国务院铁路行业监督管理部门申</w:t>
            </w:r>
          </w:p>
          <w:p>
            <w:pPr>
              <w:pStyle w:val="TableText"/>
              <w:ind w:left="53" w:right="48" w:hanging="19"/>
              <w:spacing w:before="33"/>
              <w:rPr/>
            </w:pPr>
            <w:r>
              <w:rPr/>
              <w:t>请领取型号合格证、制造许可证、维修许可证或者进口许可证，具体办法由国</w:t>
            </w:r>
            <w:r>
              <w:rPr>
                <w:spacing w:val="-1"/>
              </w:rPr>
              <w:t>务院铁路行业</w:t>
            </w:r>
            <w:r>
              <w:rPr/>
              <w:t xml:space="preserve"> </w:t>
            </w:r>
            <w:r>
              <w:rPr>
                <w:spacing w:val="-2"/>
              </w:rPr>
              <w:t>监督管理部门制定。2. 《铁路机车车辆设计制造维修进口许可办法》(交通运输部令2013年 </w:t>
            </w:r>
            <w:r>
              <w:rPr>
                <w:spacing w:val="-4"/>
              </w:rPr>
              <w:t>第13号)第十条：申请领取型号合格证应当提交下列材料：</w:t>
            </w:r>
            <w:r>
              <w:rPr>
                <w:spacing w:val="26"/>
                <w:w w:val="101"/>
              </w:rPr>
              <w:t xml:space="preserve">   </w:t>
            </w:r>
            <w:r>
              <w:rPr>
                <w:spacing w:val="-4"/>
              </w:rPr>
              <w:t>(五)设计技术总结报告(包</w:t>
            </w:r>
          </w:p>
          <w:p>
            <w:pPr>
              <w:pStyle w:val="TableText"/>
              <w:ind w:left="34" w:right="49"/>
              <w:spacing w:before="45" w:line="250" w:lineRule="auto"/>
              <w:rPr/>
            </w:pPr>
            <w:r>
              <w:rPr/>
              <w:t>括产品基本特性说明，样车技术条件、设计方案的审查意见，设计总图及图</w:t>
            </w:r>
            <w:r>
              <w:rPr>
                <w:spacing w:val="-1"/>
              </w:rPr>
              <w:t>样目录，整车技</w:t>
            </w:r>
            <w:r>
              <w:rPr/>
              <w:t xml:space="preserve"> </w:t>
            </w:r>
            <w:r>
              <w:rPr/>
              <w:t>术条件，所依据的主要技术标准和技术规范目录，试制工艺报告，产品</w:t>
            </w:r>
            <w:r>
              <w:rPr>
                <w:spacing w:val="-1"/>
              </w:rPr>
              <w:t>试制及检验基本能力</w:t>
            </w:r>
            <w:r>
              <w:rPr/>
              <w:t xml:space="preserve"> </w:t>
            </w:r>
            <w:r>
              <w:rPr>
                <w:spacing w:val="1"/>
              </w:rPr>
              <w:t>配备，型式试验项目及试验报告，样车运用考核和解体检查项目及报告等)。第十一条：申</w:t>
            </w:r>
            <w:r>
              <w:rPr>
                <w:spacing w:val="14"/>
              </w:rPr>
              <w:t xml:space="preserve"> </w:t>
            </w:r>
            <w:r>
              <w:rPr>
                <w:spacing w:val="-3"/>
              </w:rPr>
              <w:t>请领取制造许可证应当提交下列材料：</w:t>
            </w:r>
            <w:r>
              <w:rPr>
                <w:spacing w:val="26"/>
              </w:rPr>
              <w:t xml:space="preserve">   </w:t>
            </w:r>
            <w:r>
              <w:rPr>
                <w:spacing w:val="-3"/>
              </w:rPr>
              <w:t>(七)制造技术总结报告(包括产品外形照片，所依</w:t>
            </w:r>
            <w:r>
              <w:rPr>
                <w:spacing w:val="1"/>
              </w:rPr>
              <w:t xml:space="preserve"> </w:t>
            </w:r>
            <w:r>
              <w:rPr/>
              <w:t>据的主要技术标准技术规范目录，产品制造及检验基本能力配备，型式试</w:t>
            </w:r>
            <w:r>
              <w:rPr>
                <w:spacing w:val="-1"/>
              </w:rPr>
              <w:t>验项目及试验报</w:t>
            </w:r>
          </w:p>
          <w:p>
            <w:pPr>
              <w:pStyle w:val="TableText"/>
              <w:ind w:left="34" w:right="39" w:firstLine="79"/>
              <w:spacing w:before="31" w:line="232" w:lineRule="auto"/>
              <w:rPr/>
            </w:pPr>
            <w:r>
              <w:rPr/>
              <w:t>告，制造能力分析，资金对制造规模的保证能力，申请企业对制造样车技术评价结论等</w:t>
            </w:r>
            <w:r>
              <w:rPr>
                <w:spacing w:val="-1"/>
              </w:rPr>
              <w:t>)。</w:t>
            </w:r>
            <w:r>
              <w:rPr/>
              <w:t xml:space="preserve"> </w:t>
            </w:r>
            <w:r>
              <w:rPr/>
              <w:t>第十二条：条申请领取维修许可证应当提交下列材料：(七)维修技术总结</w:t>
            </w:r>
            <w:r>
              <w:rPr>
                <w:spacing w:val="-1"/>
              </w:rPr>
              <w:t>报告(包括产品</w:t>
            </w:r>
          </w:p>
          <w:p>
            <w:pPr>
              <w:pStyle w:val="TableText"/>
              <w:ind w:left="34" w:right="49"/>
              <w:spacing w:before="33" w:line="238" w:lineRule="auto"/>
              <w:rPr/>
            </w:pPr>
            <w:r>
              <w:rPr/>
              <w:t>外形照片，主要技术标准和技术规范目录，产品维修及检验基本能力</w:t>
            </w:r>
            <w:r>
              <w:rPr>
                <w:spacing w:val="-1"/>
              </w:rPr>
              <w:t>配备，例行试验项目及</w:t>
            </w:r>
            <w:r>
              <w:rPr/>
              <w:t xml:space="preserve"> </w:t>
            </w:r>
            <w:r>
              <w:rPr/>
              <w:t>试验报告，维修能力分析，资金对维修规模的保证能力，维修样车产权单位</w:t>
            </w:r>
            <w:r>
              <w:rPr>
                <w:spacing w:val="-1"/>
              </w:rPr>
              <w:t>或其上级主管部</w:t>
            </w:r>
          </w:p>
          <w:p>
            <w:pPr>
              <w:pStyle w:val="TableText"/>
              <w:ind w:left="24" w:right="37" w:firstLine="89"/>
              <w:spacing w:before="32" w:line="246" w:lineRule="auto"/>
              <w:rPr/>
            </w:pPr>
            <w:r>
              <w:rPr/>
              <w:t>门对维修样车技术评价结论等)。第十三条：申请领取进口许可证应当提交下列材料：(八</w:t>
            </w:r>
            <w:r>
              <w:rPr>
                <w:spacing w:val="2"/>
              </w:rPr>
              <w:t xml:space="preserve">  </w:t>
            </w:r>
            <w:r>
              <w:rPr>
                <w:spacing w:val="1"/>
              </w:rPr>
              <w:t>进口技术总结报告(包括产品基本特性说明，样车技术条件、设计方案的审查</w:t>
            </w:r>
            <w:r>
              <w:rPr/>
              <w:t>意见，设计总 </w:t>
            </w:r>
            <w:r>
              <w:rPr/>
              <w:t>图及图样目录，整车技术条件，所依据的主要技术标准和技术规范目录，产品试制及检验基</w:t>
            </w:r>
            <w:r>
              <w:rPr>
                <w:spacing w:val="14"/>
              </w:rPr>
              <w:t xml:space="preserve"> </w:t>
            </w:r>
            <w:r>
              <w:rPr>
                <w:spacing w:val="1"/>
              </w:rPr>
              <w:t>本能力配备，型式试验项目及试验报告等方面)</w:t>
            </w:r>
          </w:p>
        </w:tc>
      </w:tr>
      <w:tr>
        <w:trPr>
          <w:trHeight w:val="1892" w:hRule="atLeast"/>
        </w:trPr>
        <w:tc>
          <w:tcPr>
            <w:tcW w:w="295" w:type="dxa"/>
            <w:vAlign w:val="top"/>
          </w:tcPr>
          <w:p>
            <w:pPr>
              <w:pStyle w:val="TableText"/>
              <w:ind w:left="25"/>
              <w:spacing w:before="121" w:line="184" w:lineRule="auto"/>
              <w:rPr/>
            </w:pPr>
            <w:r>
              <w:rPr>
                <w:spacing w:val="-4"/>
              </w:rPr>
              <w:t>126</w:t>
            </w:r>
          </w:p>
        </w:tc>
        <w:tc>
          <w:tcPr>
            <w:tcW w:w="659" w:type="dxa"/>
            <w:vAlign w:val="top"/>
          </w:tcPr>
          <w:p>
            <w:pPr>
              <w:pStyle w:val="TableText"/>
              <w:ind w:left="10" w:right="13" w:firstLine="10"/>
              <w:spacing w:before="86" w:line="219" w:lineRule="auto"/>
              <w:jc w:val="both"/>
              <w:rPr/>
            </w:pPr>
            <w:r>
              <w:rPr>
                <w:spacing w:val="-2"/>
              </w:rPr>
              <w:t>跨境从事</w:t>
            </w:r>
            <w:r>
              <w:rPr>
                <w:spacing w:val="1"/>
              </w:rPr>
              <w:t xml:space="preserve"> </w:t>
            </w:r>
            <w:r>
              <w:rPr>
                <w:spacing w:val="-3"/>
              </w:rPr>
              <w:t>有</w:t>
            </w:r>
            <w:r>
              <w:rPr>
                <w:spacing w:val="12"/>
              </w:rPr>
              <w:t xml:space="preserve"> </w:t>
            </w:r>
            <w:r>
              <w:rPr>
                <w:spacing w:val="-3"/>
              </w:rPr>
              <w:t>价</w:t>
            </w:r>
            <w:r>
              <w:rPr>
                <w:spacing w:val="12"/>
              </w:rPr>
              <w:t xml:space="preserve"> </w:t>
            </w:r>
            <w:r>
              <w:rPr>
                <w:spacing w:val="-3"/>
              </w:rPr>
              <w:t>证</w:t>
            </w:r>
            <w:r>
              <w:rPr/>
              <w:t xml:space="preserve"> </w:t>
            </w:r>
            <w:r>
              <w:rPr>
                <w:spacing w:val="1"/>
              </w:rPr>
              <w:t>券、衍生</w:t>
            </w:r>
            <w:r>
              <w:rPr/>
              <w:t xml:space="preserve"> </w:t>
            </w:r>
            <w:r>
              <w:rPr>
                <w:spacing w:val="-8"/>
              </w:rPr>
              <w:t>产</w:t>
            </w:r>
            <w:r>
              <w:rPr>
                <w:spacing w:val="25"/>
              </w:rPr>
              <w:t xml:space="preserve"> </w:t>
            </w:r>
            <w:r>
              <w:rPr>
                <w:spacing w:val="-8"/>
              </w:rPr>
              <w:t>品</w:t>
            </w:r>
            <w:r>
              <w:rPr>
                <w:spacing w:val="14"/>
              </w:rPr>
              <w:t xml:space="preserve"> </w:t>
            </w:r>
            <w:r>
              <w:rPr>
                <w:spacing w:val="-8"/>
              </w:rPr>
              <w:t>发</w:t>
            </w:r>
            <w:r>
              <w:rPr/>
              <w:t xml:space="preserve"> </w:t>
            </w:r>
            <w:r>
              <w:rPr>
                <w:spacing w:val="6"/>
              </w:rPr>
              <w:t>行、交易</w:t>
            </w:r>
            <w:r>
              <w:rPr/>
              <w:t xml:space="preserve"> </w:t>
            </w:r>
            <w:r>
              <w:rPr/>
              <w:t>外汇委托 </w:t>
            </w:r>
            <w:r>
              <w:rPr>
                <w:spacing w:val="1"/>
              </w:rPr>
              <w:t>授权书和</w:t>
            </w:r>
            <w:r>
              <w:rPr/>
              <w:t xml:space="preserve"> </w:t>
            </w:r>
            <w:r>
              <w:rPr>
                <w:spacing w:val="4"/>
              </w:rPr>
              <w:t>申请文件</w:t>
            </w:r>
            <w:r>
              <w:rPr/>
              <w:t xml:space="preserve"> </w:t>
            </w:r>
            <w:r>
              <w:rPr>
                <w:spacing w:val="4"/>
              </w:rPr>
              <w:t>中文译本</w:t>
            </w:r>
            <w:r>
              <w:rPr/>
              <w:t xml:space="preserve"> </w:t>
            </w:r>
            <w:r>
              <w:rPr>
                <w:spacing w:val="-3"/>
              </w:rPr>
              <w:t>公证</w:t>
            </w:r>
          </w:p>
        </w:tc>
        <w:tc>
          <w:tcPr>
            <w:tcW w:w="1109" w:type="dxa"/>
            <w:vAlign w:val="top"/>
          </w:tcPr>
          <w:p>
            <w:pPr>
              <w:pStyle w:val="TableText"/>
              <w:ind w:left="20" w:firstLine="19"/>
              <w:spacing w:before="93" w:line="255" w:lineRule="auto"/>
              <w:jc w:val="both"/>
              <w:rPr/>
            </w:pPr>
            <w:r>
              <w:rPr>
                <w:spacing w:val="15"/>
              </w:rPr>
              <w:t>(57004)跨境</w:t>
            </w:r>
            <w:r>
              <w:rPr>
                <w:spacing w:val="1"/>
              </w:rPr>
              <w:t xml:space="preserve">  </w:t>
            </w:r>
            <w:r>
              <w:rPr>
                <w:spacing w:val="4"/>
              </w:rPr>
              <w:t>从事有价证券、</w:t>
            </w:r>
            <w:r>
              <w:rPr/>
              <w:t xml:space="preserve"> </w:t>
            </w:r>
            <w:r>
              <w:rPr>
                <w:spacing w:val="4"/>
              </w:rPr>
              <w:t>衍生产品发行、</w:t>
            </w:r>
            <w:r>
              <w:rPr/>
              <w:t xml:space="preserve"> </w:t>
            </w:r>
            <w:r>
              <w:rPr>
                <w:spacing w:val="3"/>
              </w:rPr>
              <w:t>交易外汇登记</w:t>
            </w:r>
          </w:p>
        </w:tc>
        <w:tc>
          <w:tcPr>
            <w:tcW w:w="839" w:type="dxa"/>
            <w:vAlign w:val="top"/>
          </w:tcPr>
          <w:p>
            <w:pPr>
              <w:pStyle w:val="TableText"/>
              <w:ind w:left="182"/>
              <w:spacing w:before="73" w:line="220" w:lineRule="auto"/>
              <w:rPr/>
            </w:pPr>
            <w:r>
              <w:rPr>
                <w:spacing w:val="4"/>
              </w:rPr>
              <w:t>外汇局</w:t>
            </w:r>
          </w:p>
        </w:tc>
        <w:tc>
          <w:tcPr>
            <w:tcW w:w="659" w:type="dxa"/>
            <w:vAlign w:val="top"/>
          </w:tcPr>
          <w:p>
            <w:pPr>
              <w:pStyle w:val="TableText"/>
              <w:ind w:left="22"/>
              <w:spacing w:before="72" w:line="219" w:lineRule="auto"/>
              <w:rPr/>
            </w:pPr>
            <w:r>
              <w:rPr>
                <w:spacing w:val="2"/>
              </w:rPr>
              <w:t>公证机构</w:t>
            </w:r>
          </w:p>
        </w:tc>
        <w:tc>
          <w:tcPr>
            <w:tcW w:w="6088" w:type="dxa"/>
            <w:vAlign w:val="top"/>
          </w:tcPr>
          <w:p>
            <w:pPr>
              <w:pStyle w:val="TableText"/>
              <w:ind w:left="8"/>
              <w:spacing w:before="72" w:line="219" w:lineRule="auto"/>
              <w:rPr/>
            </w:pPr>
            <w:r>
              <w:rPr/>
              <w:t>《中华人民共和国外汇管理条例》(国务院令第532号</w:t>
            </w:r>
            <w:r>
              <w:rPr>
                <w:spacing w:val="-1"/>
              </w:rPr>
              <w:t>)第十六条：境外机构、境外个人在</w:t>
            </w:r>
          </w:p>
          <w:p>
            <w:pPr>
              <w:pStyle w:val="TableText"/>
              <w:ind w:left="14" w:right="37" w:firstLine="20"/>
              <w:spacing w:before="50" w:line="263" w:lineRule="auto"/>
              <w:rPr/>
            </w:pPr>
            <w:r>
              <w:rPr/>
              <w:t>境内直接投资，经有关主管部门批准后，应当到外汇管理机关办理登记。</w:t>
            </w:r>
            <w:r>
              <w:rPr>
                <w:spacing w:val="-1"/>
              </w:rPr>
              <w:t>境外机构、境外个</w:t>
            </w:r>
            <w:r>
              <w:rPr/>
              <w:t xml:space="preserve"> </w:t>
            </w:r>
            <w:r>
              <w:rPr/>
              <w:t>人在境内从事有价证券或者衍生产品发行、交易，应当遵守国家关于市场准入的规定，并按</w:t>
            </w:r>
            <w:r>
              <w:rPr>
                <w:spacing w:val="11"/>
              </w:rPr>
              <w:t xml:space="preserve"> </w:t>
            </w:r>
            <w:r>
              <w:rPr/>
              <w:t>照国务院外汇管理部门的规定办理登记。第十七条：境内机构、境内个人向境外直接投资或</w:t>
            </w:r>
            <w:r>
              <w:rPr>
                <w:spacing w:val="8"/>
              </w:rPr>
              <w:t xml:space="preserve"> </w:t>
            </w:r>
            <w:r>
              <w:rPr/>
              <w:t>者从事境外有价证券、衍生产品发行、交易，应当按照国务院外汇管理部门的规定办理登记</w:t>
            </w:r>
            <w:r>
              <w:rPr>
                <w:spacing w:val="11"/>
              </w:rPr>
              <w:t xml:space="preserve"> </w:t>
            </w:r>
            <w:r>
              <w:rPr>
                <w:spacing w:val="1"/>
              </w:rPr>
              <w:t>国家规定需要事先经有关主管部门批准或者备案的，应</w:t>
            </w:r>
            <w:r>
              <w:rPr/>
              <w:t>当在外汇登记前办理批准或者备案手 </w:t>
            </w:r>
            <w:r>
              <w:rPr>
                <w:spacing w:val="-2"/>
              </w:rPr>
              <w:t>续。</w:t>
            </w:r>
          </w:p>
        </w:tc>
      </w:tr>
    </w:tbl>
    <w:p>
      <w:pPr>
        <w:pStyle w:val="BodyText"/>
        <w:rPr/>
      </w:pPr>
      <w:r/>
    </w:p>
    <w:p>
      <w:pPr>
        <w:sectPr>
          <w:pgSz w:w="11910" w:h="8220"/>
          <w:pgMar w:top="400" w:right="112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03328"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504" name="TextBox 504"/>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56" style="position:absolute;margin-left:37.0722pt;margin-top:48.6039pt;mso-position-vertical-relative:page;mso-position-horizontal-relative:page;width:13.55pt;height:12.35pt;z-index:25200332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340</w:t>
                      </w:r>
                    </w:p>
                  </w:txbxContent>
                </v:textbox>
              </v:shape>
            </w:pict>
          </mc:Fallback>
        </mc:AlternateContent>
      </w:r>
      <w:r/>
    </w:p>
    <w:p>
      <w:pPr>
        <w:spacing w:before="51"/>
        <w:rPr/>
      </w:pPr>
      <w:r/>
    </w:p>
    <w:tbl>
      <w:tblPr>
        <w:tblStyle w:val="TableNormal"/>
        <w:tblW w:w="964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59"/>
        <w:gridCol w:w="1109"/>
        <w:gridCol w:w="839"/>
        <w:gridCol w:w="659"/>
        <w:gridCol w:w="6088"/>
      </w:tblGrid>
      <w:tr>
        <w:trPr>
          <w:trHeight w:val="464" w:hRule="atLeast"/>
        </w:trPr>
        <w:tc>
          <w:tcPr>
            <w:tcW w:w="295" w:type="dxa"/>
            <w:vAlign w:val="top"/>
            <w:textDirection w:val="tbRlV"/>
          </w:tcPr>
          <w:p>
            <w:pPr>
              <w:pStyle w:val="TableText"/>
              <w:ind w:left="52"/>
              <w:spacing w:before="75" w:line="210" w:lineRule="auto"/>
              <w:rPr/>
            </w:pPr>
            <w:r>
              <w:rPr>
                <w:spacing w:val="-1"/>
              </w:rPr>
              <w:t>序</w:t>
            </w:r>
            <w:r>
              <w:rPr>
                <w:spacing w:val="-14"/>
              </w:rPr>
              <w:t xml:space="preserve"> </w:t>
            </w:r>
            <w:r>
              <w:rPr>
                <w:spacing w:val="-1"/>
              </w:rPr>
              <w:t>号</w:t>
            </w:r>
          </w:p>
        </w:tc>
        <w:tc>
          <w:tcPr>
            <w:tcW w:w="659" w:type="dxa"/>
            <w:vAlign w:val="top"/>
          </w:tcPr>
          <w:p>
            <w:pPr>
              <w:pStyle w:val="TableText"/>
              <w:ind w:left="20" w:right="22"/>
              <w:spacing w:before="40" w:line="246" w:lineRule="auto"/>
              <w:rPr/>
            </w:pPr>
            <w:r>
              <w:rPr>
                <w:spacing w:val="1"/>
              </w:rPr>
              <w:t>中介服务 </w:t>
            </w:r>
            <w:r>
              <w:rPr>
                <w:spacing w:val="-2"/>
              </w:rPr>
              <w:t>事项名称</w:t>
            </w:r>
          </w:p>
        </w:tc>
        <w:tc>
          <w:tcPr>
            <w:tcW w:w="1109" w:type="dxa"/>
            <w:vAlign w:val="top"/>
          </w:tcPr>
          <w:p>
            <w:pPr>
              <w:pStyle w:val="TableText"/>
              <w:ind w:left="239" w:right="35" w:hanging="219"/>
              <w:spacing w:before="42" w:line="245" w:lineRule="auto"/>
              <w:rPr/>
            </w:pPr>
            <w:r>
              <w:rPr>
                <w:spacing w:val="-2"/>
              </w:rPr>
              <w:t>涉及的审批事项</w:t>
            </w:r>
            <w:r>
              <w:rPr>
                <w:spacing w:val="5"/>
              </w:rPr>
              <w:t xml:space="preserve"> </w:t>
            </w:r>
            <w:r>
              <w:rPr>
                <w:spacing w:val="-2"/>
              </w:rPr>
              <w:t>项目名称</w:t>
            </w:r>
          </w:p>
        </w:tc>
        <w:tc>
          <w:tcPr>
            <w:tcW w:w="839" w:type="dxa"/>
            <w:vAlign w:val="top"/>
          </w:tcPr>
          <w:p>
            <w:pPr>
              <w:pStyle w:val="TableText"/>
              <w:ind w:left="112"/>
              <w:spacing w:before="161" w:line="219" w:lineRule="auto"/>
              <w:rPr/>
            </w:pPr>
            <w:r>
              <w:rPr>
                <w:spacing w:val="4"/>
              </w:rPr>
              <w:t>审批部门</w:t>
            </w:r>
          </w:p>
        </w:tc>
        <w:tc>
          <w:tcPr>
            <w:tcW w:w="659" w:type="dxa"/>
            <w:vAlign w:val="top"/>
          </w:tcPr>
          <w:p>
            <w:pPr>
              <w:pStyle w:val="TableText"/>
              <w:ind w:left="22" w:right="18"/>
              <w:spacing w:before="50" w:line="245" w:lineRule="auto"/>
              <w:rPr/>
            </w:pPr>
            <w:r>
              <w:rPr>
                <w:spacing w:val="1"/>
              </w:rPr>
              <w:t>中介服务</w:t>
            </w:r>
            <w:r>
              <w:rPr>
                <w:spacing w:val="2"/>
              </w:rPr>
              <w:t xml:space="preserve"> </w:t>
            </w:r>
            <w:r>
              <w:rPr>
                <w:spacing w:val="-2"/>
              </w:rPr>
              <w:t>实施机构</w:t>
            </w:r>
          </w:p>
        </w:tc>
        <w:tc>
          <w:tcPr>
            <w:tcW w:w="6088" w:type="dxa"/>
            <w:vAlign w:val="top"/>
          </w:tcPr>
          <w:p>
            <w:pPr>
              <w:pStyle w:val="TableText"/>
              <w:ind w:left="2734"/>
              <w:spacing w:before="160" w:line="219" w:lineRule="auto"/>
              <w:rPr/>
            </w:pPr>
            <w:r>
              <w:rPr>
                <w:spacing w:val="-2"/>
              </w:rPr>
              <w:t>设定依据</w:t>
            </w:r>
          </w:p>
        </w:tc>
      </w:tr>
      <w:tr>
        <w:trPr>
          <w:trHeight w:val="2017" w:hRule="atLeast"/>
        </w:trPr>
        <w:tc>
          <w:tcPr>
            <w:tcW w:w="295" w:type="dxa"/>
            <w:vAlign w:val="top"/>
          </w:tcPr>
          <w:p>
            <w:pPr>
              <w:pStyle w:val="TableText"/>
              <w:ind w:left="25"/>
              <w:spacing w:before="95" w:line="184" w:lineRule="auto"/>
              <w:rPr/>
            </w:pPr>
            <w:r>
              <w:rPr>
                <w:spacing w:val="-4"/>
              </w:rPr>
              <w:t>127</w:t>
            </w:r>
          </w:p>
        </w:tc>
        <w:tc>
          <w:tcPr>
            <w:tcW w:w="659" w:type="dxa"/>
            <w:vAlign w:val="top"/>
          </w:tcPr>
          <w:p>
            <w:pPr>
              <w:pStyle w:val="TableText"/>
              <w:ind w:left="20" w:right="17" w:firstLine="30"/>
              <w:spacing w:before="29" w:line="243" w:lineRule="auto"/>
              <w:jc w:val="both"/>
              <w:rPr/>
            </w:pPr>
            <w:r>
              <w:rPr>
                <w:spacing w:val="-1"/>
              </w:rPr>
              <w:t>A股上市</w:t>
            </w:r>
            <w:r>
              <w:rPr/>
              <w:t xml:space="preserve">  </w:t>
            </w:r>
            <w:r>
              <w:rPr>
                <w:spacing w:val="2"/>
              </w:rPr>
              <w:t>公司外资</w:t>
            </w:r>
            <w:r>
              <w:rPr>
                <w:spacing w:val="1"/>
              </w:rPr>
              <w:t xml:space="preserve"> </w:t>
            </w:r>
            <w:r>
              <w:rPr>
                <w:spacing w:val="-2"/>
              </w:rPr>
              <w:t>股东减持</w:t>
            </w:r>
            <w:r>
              <w:rPr>
                <w:spacing w:val="1"/>
              </w:rPr>
              <w:t xml:space="preserve"> </w:t>
            </w:r>
            <w:r>
              <w:rPr>
                <w:spacing w:val="-2"/>
              </w:rPr>
              <w:t>股份所得</w:t>
            </w:r>
            <w:r>
              <w:rPr>
                <w:spacing w:val="1"/>
              </w:rPr>
              <w:t xml:space="preserve"> </w:t>
            </w:r>
            <w:r>
              <w:rPr>
                <w:spacing w:val="-4"/>
              </w:rPr>
              <w:t>资金购汇</w:t>
            </w:r>
            <w:r>
              <w:rPr>
                <w:spacing w:val="2"/>
              </w:rPr>
              <w:t xml:space="preserve"> </w:t>
            </w:r>
            <w:r>
              <w:rPr>
                <w:spacing w:val="-2"/>
              </w:rPr>
              <w:t>汇出境外</w:t>
            </w:r>
            <w:r>
              <w:rPr>
                <w:spacing w:val="1"/>
              </w:rPr>
              <w:t xml:space="preserve"> </w:t>
            </w:r>
            <w:r>
              <w:rPr>
                <w:spacing w:val="-2"/>
              </w:rPr>
              <w:t>委托授权</w:t>
            </w:r>
            <w:r>
              <w:rPr>
                <w:spacing w:val="1"/>
              </w:rPr>
              <w:t xml:space="preserve"> </w:t>
            </w:r>
            <w:r>
              <w:rPr>
                <w:spacing w:val="-3"/>
              </w:rPr>
              <w:t>书和申请</w:t>
            </w:r>
            <w:r>
              <w:rPr>
                <w:spacing w:val="2"/>
              </w:rPr>
              <w:t xml:space="preserve"> </w:t>
            </w:r>
            <w:r>
              <w:rPr>
                <w:spacing w:val="-2"/>
              </w:rPr>
              <w:t>文件中文</w:t>
            </w:r>
            <w:r>
              <w:rPr/>
              <w:t xml:space="preserve"> </w:t>
            </w:r>
            <w:r>
              <w:rPr>
                <w:spacing w:val="-2"/>
              </w:rPr>
              <w:t>译本公证</w:t>
            </w:r>
          </w:p>
        </w:tc>
        <w:tc>
          <w:tcPr>
            <w:tcW w:w="1109" w:type="dxa"/>
            <w:vAlign w:val="top"/>
          </w:tcPr>
          <w:p>
            <w:pPr>
              <w:pStyle w:val="TableText"/>
              <w:ind w:left="10" w:right="20" w:firstLine="30"/>
              <w:spacing w:before="27" w:line="258" w:lineRule="auto"/>
              <w:jc w:val="both"/>
              <w:rPr/>
            </w:pPr>
            <w:r>
              <w:rPr>
                <w:spacing w:val="20"/>
              </w:rPr>
              <w:t>(57011)资本</w:t>
            </w:r>
            <w:r>
              <w:rPr/>
              <w:t xml:space="preserve"> </w:t>
            </w:r>
            <w:r>
              <w:rPr/>
              <w:t>项目外汇资金汇 </w:t>
            </w:r>
            <w:r>
              <w:rPr>
                <w:spacing w:val="2"/>
              </w:rPr>
              <w:t>出境外的购付汇 </w:t>
            </w:r>
            <w:r>
              <w:rPr>
                <w:spacing w:val="-2"/>
              </w:rPr>
              <w:t>核准</w:t>
            </w:r>
          </w:p>
        </w:tc>
        <w:tc>
          <w:tcPr>
            <w:tcW w:w="839" w:type="dxa"/>
            <w:vAlign w:val="top"/>
          </w:tcPr>
          <w:p>
            <w:pPr>
              <w:pStyle w:val="TableText"/>
              <w:ind w:left="182"/>
              <w:spacing w:before="27" w:line="220" w:lineRule="auto"/>
              <w:rPr/>
            </w:pPr>
            <w:r>
              <w:rPr>
                <w:spacing w:val="4"/>
              </w:rPr>
              <w:t>外汇局</w:t>
            </w:r>
          </w:p>
        </w:tc>
        <w:tc>
          <w:tcPr>
            <w:tcW w:w="659" w:type="dxa"/>
            <w:vAlign w:val="top"/>
          </w:tcPr>
          <w:p>
            <w:pPr>
              <w:pStyle w:val="TableText"/>
              <w:ind w:left="22"/>
              <w:spacing w:before="36" w:line="219" w:lineRule="auto"/>
              <w:rPr/>
            </w:pPr>
            <w:r>
              <w:rPr>
                <w:spacing w:val="2"/>
              </w:rPr>
              <w:t>公证机构</w:t>
            </w:r>
          </w:p>
        </w:tc>
        <w:tc>
          <w:tcPr>
            <w:tcW w:w="6088" w:type="dxa"/>
            <w:vAlign w:val="top"/>
          </w:tcPr>
          <w:p>
            <w:pPr>
              <w:pStyle w:val="TableText"/>
              <w:ind w:left="53"/>
              <w:spacing w:before="26" w:line="219" w:lineRule="auto"/>
              <w:rPr/>
            </w:pPr>
            <w:r>
              <w:rPr>
                <w:spacing w:val="-2"/>
              </w:rPr>
              <w:t>1. 《中华人民共和国外汇管理条例》(国务院令第532号)第二十二条：资本项目外汇支出</w:t>
            </w:r>
          </w:p>
          <w:p>
            <w:pPr>
              <w:pStyle w:val="TableText"/>
              <w:ind w:left="24" w:right="35" w:firstLine="10"/>
              <w:spacing w:before="52" w:line="261" w:lineRule="auto"/>
              <w:rPr/>
            </w:pPr>
            <w:r>
              <w:rPr/>
              <w:t>应当按照国务院外汇管理部门关于付汇与购汇的管理规定，凭有效单证以自</w:t>
            </w:r>
            <w:r>
              <w:rPr>
                <w:spacing w:val="-1"/>
              </w:rPr>
              <w:t>有外汇支付或者</w:t>
            </w:r>
            <w:r>
              <w:rPr/>
              <w:t xml:space="preserve"> </w:t>
            </w:r>
            <w:r>
              <w:rPr/>
              <w:t>向经营结汇、售汇业务的金融机构购汇支付。国家规定应当经外汇管理机关批准的，应当在</w:t>
            </w:r>
            <w:r>
              <w:rPr>
                <w:spacing w:val="17"/>
              </w:rPr>
              <w:t xml:space="preserve"> </w:t>
            </w:r>
            <w:r>
              <w:rPr>
                <w:spacing w:val="-1"/>
              </w:rPr>
              <w:t>外汇支付前办理批准手续。2. 《中华人民银行关于A股上市公司外资股东减持股份及分红所</w:t>
            </w:r>
            <w:r>
              <w:rPr/>
              <w:t xml:space="preserve">  </w:t>
            </w:r>
            <w:r>
              <w:rPr/>
              <w:t>涉账户开立与外汇管理有关问题的通知(银办发〔2009〕178号)第六条</w:t>
            </w:r>
            <w:r>
              <w:rPr>
                <w:spacing w:val="-1"/>
              </w:rPr>
              <w:t>：外资股东减持A</w:t>
            </w:r>
          </w:p>
          <w:p>
            <w:pPr>
              <w:pStyle w:val="TableText"/>
              <w:ind w:left="34" w:right="9"/>
              <w:spacing w:before="40" w:line="255" w:lineRule="auto"/>
              <w:jc w:val="both"/>
              <w:rPr/>
            </w:pPr>
            <w:r>
              <w:rPr/>
              <w:t>股所得资金购汇汇出境外的，可持以下材料向上市公司注册地国家外汇管理</w:t>
            </w:r>
            <w:r>
              <w:rPr>
                <w:spacing w:val="-1"/>
              </w:rPr>
              <w:t>局分支局、外汇</w:t>
            </w:r>
            <w:r>
              <w:rPr/>
              <w:t xml:space="preserve"> </w:t>
            </w:r>
            <w:r>
              <w:rPr>
                <w:spacing w:val="1"/>
              </w:rPr>
              <w:t>管理部(以下简称上市公司注册地外汇局)申请核准；(四)办理人的身份</w:t>
            </w:r>
            <w:r>
              <w:rPr/>
              <w:t>证明文件及复印件， </w:t>
            </w:r>
            <w:r>
              <w:rPr/>
              <w:t>委托办理的须提供经公证的有关委托授权书。上述文件以中文译本为准。以</w:t>
            </w:r>
            <w:r>
              <w:rPr>
                <w:spacing w:val="-1"/>
              </w:rPr>
              <w:t>外文形式提供的</w:t>
            </w:r>
            <w:r>
              <w:rPr/>
              <w:t xml:space="preserve"> </w:t>
            </w:r>
            <w:r>
              <w:rPr>
                <w:spacing w:val="1"/>
              </w:rPr>
              <w:t>应提供经公证后的中文译本。</w:t>
            </w:r>
          </w:p>
        </w:tc>
      </w:tr>
      <w:tr>
        <w:trPr>
          <w:trHeight w:val="1997" w:hRule="atLeast"/>
        </w:trPr>
        <w:tc>
          <w:tcPr>
            <w:tcW w:w="295" w:type="dxa"/>
            <w:vAlign w:val="top"/>
          </w:tcPr>
          <w:p>
            <w:pPr>
              <w:pStyle w:val="TableText"/>
              <w:ind w:left="25"/>
              <w:spacing w:before="98" w:line="184" w:lineRule="auto"/>
              <w:rPr/>
            </w:pPr>
            <w:r>
              <w:rPr>
                <w:spacing w:val="-4"/>
              </w:rPr>
              <w:t>128</w:t>
            </w:r>
          </w:p>
        </w:tc>
        <w:tc>
          <w:tcPr>
            <w:tcW w:w="659" w:type="dxa"/>
            <w:vAlign w:val="top"/>
          </w:tcPr>
          <w:p>
            <w:pPr>
              <w:pStyle w:val="TableText"/>
              <w:ind w:left="10" w:right="8" w:firstLine="10"/>
              <w:spacing w:before="41" w:line="243" w:lineRule="auto"/>
              <w:jc w:val="both"/>
              <w:rPr/>
            </w:pPr>
            <w:r>
              <w:rPr>
                <w:spacing w:val="3"/>
              </w:rPr>
              <w:t>企业集团</w:t>
            </w:r>
            <w:r>
              <w:rPr/>
              <w:t xml:space="preserve"> </w:t>
            </w:r>
            <w:r>
              <w:rPr>
                <w:spacing w:val="7"/>
              </w:rPr>
              <w:t>财务公司</w:t>
            </w:r>
            <w:r>
              <w:rPr>
                <w:spacing w:val="1"/>
              </w:rPr>
              <w:t xml:space="preserve"> </w:t>
            </w:r>
            <w:r>
              <w:rPr>
                <w:spacing w:val="4"/>
              </w:rPr>
              <w:t>申请及期</w:t>
            </w:r>
            <w:r>
              <w:rPr>
                <w:spacing w:val="2"/>
              </w:rPr>
              <w:t xml:space="preserve"> </w:t>
            </w:r>
            <w:r>
              <w:rPr/>
              <w:t>结售汇业 </w:t>
            </w:r>
            <w:r>
              <w:rPr/>
              <w:t>务资格所</w:t>
            </w:r>
            <w:r>
              <w:rPr>
                <w:spacing w:val="1"/>
              </w:rPr>
              <w:t xml:space="preserve"> </w:t>
            </w:r>
            <w:r>
              <w:rPr/>
              <w:t>涉验资报</w:t>
            </w:r>
            <w:r>
              <w:rPr>
                <w:spacing w:val="1"/>
              </w:rPr>
              <w:t xml:space="preserve"> </w:t>
            </w:r>
            <w:r>
              <w:rPr>
                <w:spacing w:val="5"/>
              </w:rPr>
              <w:t>告及经审</w:t>
            </w:r>
            <w:r>
              <w:rPr>
                <w:spacing w:val="1"/>
              </w:rPr>
              <w:t xml:space="preserve"> </w:t>
            </w:r>
            <w:r>
              <w:rPr>
                <w:spacing w:val="1"/>
              </w:rPr>
              <w:t>计的财务</w:t>
            </w:r>
            <w:r>
              <w:rPr/>
              <w:t xml:space="preserve"> </w:t>
            </w:r>
            <w:r>
              <w:rPr>
                <w:spacing w:val="-2"/>
              </w:rPr>
              <w:t>报表</w:t>
            </w:r>
          </w:p>
        </w:tc>
        <w:tc>
          <w:tcPr>
            <w:tcW w:w="1109" w:type="dxa"/>
            <w:vAlign w:val="top"/>
          </w:tcPr>
          <w:p>
            <w:pPr>
              <w:pStyle w:val="TableText"/>
              <w:ind w:left="20" w:firstLine="105"/>
              <w:spacing w:before="30" w:line="263" w:lineRule="auto"/>
              <w:rPr/>
            </w:pPr>
            <w:r>
              <w:rPr>
                <w:spacing w:val="-4"/>
              </w:rPr>
              <w:t>(57014)保险</w:t>
            </w:r>
            <w:r>
              <w:rPr/>
              <w:t xml:space="preserve">   </w:t>
            </w:r>
            <w:r>
              <w:rPr>
                <w:spacing w:val="-8"/>
              </w:rPr>
              <w:t>证券公司等非银</w:t>
            </w:r>
            <w:r>
              <w:rPr>
                <w:spacing w:val="2"/>
              </w:rPr>
              <w:t xml:space="preserve">  </w:t>
            </w:r>
            <w:r>
              <w:rPr>
                <w:spacing w:val="-8"/>
              </w:rPr>
              <w:t>行金融机构外汇</w:t>
            </w:r>
            <w:r>
              <w:rPr>
                <w:spacing w:val="1"/>
              </w:rPr>
              <w:t xml:space="preserve">  </w:t>
            </w:r>
            <w:r>
              <w:rPr>
                <w:spacing w:val="4"/>
              </w:rPr>
              <w:t>业务市场准入、</w:t>
            </w:r>
            <w:r>
              <w:rPr/>
              <w:t xml:space="preserve"> </w:t>
            </w:r>
            <w:r>
              <w:rPr>
                <w:spacing w:val="-6"/>
              </w:rPr>
              <w:t>退出审批</w:t>
            </w:r>
          </w:p>
        </w:tc>
        <w:tc>
          <w:tcPr>
            <w:tcW w:w="839" w:type="dxa"/>
            <w:vAlign w:val="top"/>
          </w:tcPr>
          <w:p>
            <w:pPr>
              <w:pStyle w:val="TableText"/>
              <w:ind w:left="182"/>
              <w:spacing w:before="30" w:line="220" w:lineRule="auto"/>
              <w:rPr/>
            </w:pPr>
            <w:r>
              <w:rPr>
                <w:spacing w:val="4"/>
              </w:rPr>
              <w:t>外汇局</w:t>
            </w:r>
          </w:p>
        </w:tc>
        <w:tc>
          <w:tcPr>
            <w:tcW w:w="659" w:type="dxa"/>
            <w:vAlign w:val="top"/>
          </w:tcPr>
          <w:p>
            <w:pPr>
              <w:pStyle w:val="TableText"/>
              <w:ind w:left="12" w:right="31" w:firstLine="10"/>
              <w:spacing w:before="30" w:line="245" w:lineRule="auto"/>
              <w:rPr/>
            </w:pPr>
            <w:r>
              <w:rPr>
                <w:spacing w:val="-2"/>
              </w:rPr>
              <w:t>会计师事</w:t>
            </w:r>
            <w:r>
              <w:rPr>
                <w:spacing w:val="1"/>
              </w:rPr>
              <w:t xml:space="preserve"> </w:t>
            </w:r>
            <w:r>
              <w:rPr>
                <w:spacing w:val="-2"/>
              </w:rPr>
              <w:t>务所</w:t>
            </w:r>
          </w:p>
        </w:tc>
        <w:tc>
          <w:tcPr>
            <w:tcW w:w="6088" w:type="dxa"/>
            <w:vAlign w:val="top"/>
          </w:tcPr>
          <w:p>
            <w:pPr>
              <w:pStyle w:val="TableText"/>
              <w:ind w:left="14"/>
              <w:spacing w:before="29" w:line="219" w:lineRule="auto"/>
              <w:rPr/>
            </w:pPr>
            <w:r>
              <w:rPr>
                <w:spacing w:val="-2"/>
              </w:rPr>
              <w:t>1. 《中华人民共和国外汇管理条例》(国务院令第532号)第二</w:t>
            </w:r>
            <w:r>
              <w:rPr>
                <w:spacing w:val="-3"/>
              </w:rPr>
              <w:t>十四条：金融机构经营或者</w:t>
            </w:r>
          </w:p>
          <w:p>
            <w:pPr>
              <w:pStyle w:val="TableText"/>
              <w:ind w:left="34" w:right="52"/>
              <w:spacing w:before="51" w:line="254" w:lineRule="auto"/>
              <w:rPr/>
            </w:pPr>
            <w:r>
              <w:rPr/>
              <w:t>终止经营结汇、售汇业务，应当经外汇管理机关批准；经营或者终止</w:t>
            </w:r>
            <w:r>
              <w:rPr>
                <w:spacing w:val="-1"/>
              </w:rPr>
              <w:t>其他外汇业务，应当按</w:t>
            </w:r>
            <w:r>
              <w:rPr/>
              <w:t xml:space="preserve"> </w:t>
            </w:r>
            <w:r>
              <w:rPr/>
              <w:t>照职责分工经外汇管理机关或者金融业监督管理机构批准。2.国</w:t>
            </w:r>
            <w:r>
              <w:rPr>
                <w:spacing w:val="-1"/>
              </w:rPr>
              <w:t>家外汇管理局关于发布《境</w:t>
            </w:r>
            <w:r>
              <w:rPr/>
              <w:t xml:space="preserve"> </w:t>
            </w:r>
            <w:r>
              <w:rPr/>
              <w:t>内企业内部成员外汇资金集中运营管理规定》的通知(汇发〔2009〕49号)第二十二条：境</w:t>
            </w:r>
          </w:p>
          <w:p>
            <w:pPr>
              <w:pStyle w:val="TableText"/>
              <w:ind w:left="34"/>
              <w:spacing w:before="40" w:line="219" w:lineRule="auto"/>
              <w:rPr/>
            </w:pPr>
            <w:r>
              <w:rPr/>
              <w:t>内企业通过财务公司开展即期结售汇业务，应由财务公司向所在地外汇分局提交以下材料</w:t>
            </w:r>
          </w:p>
          <w:p>
            <w:pPr>
              <w:pStyle w:val="TableText"/>
              <w:ind w:left="34" w:right="48" w:firstLine="79"/>
              <w:spacing w:before="61" w:line="255" w:lineRule="auto"/>
              <w:jc w:val="both"/>
              <w:rPr/>
            </w:pPr>
            <w:r>
              <w:rPr/>
              <w:t>(二)财务公司《金融许可证》及业务范围的批复文件；财务公司资本金或营运资金的验资 </w:t>
            </w:r>
            <w:r>
              <w:rPr>
                <w:spacing w:val="-4"/>
              </w:rPr>
              <w:t>报告；所有参与成员的参与确认文件；</w:t>
            </w:r>
            <w:r>
              <w:rPr>
                <w:spacing w:val="26"/>
              </w:rPr>
              <w:t xml:space="preserve">   </w:t>
            </w:r>
            <w:r>
              <w:rPr>
                <w:spacing w:val="-4"/>
              </w:rPr>
              <w:t>(三)结售汇业务内部管理规章制度；国际收支申报</w:t>
            </w:r>
            <w:r>
              <w:rPr>
                <w:spacing w:val="1"/>
              </w:rPr>
              <w:t xml:space="preserve"> </w:t>
            </w:r>
            <w:r>
              <w:rPr/>
              <w:t>业务内部管理规章制度；结售汇汇价接收、发送管理系统级查询报送相关数</w:t>
            </w:r>
            <w:r>
              <w:rPr>
                <w:spacing w:val="-1"/>
              </w:rPr>
              <w:t>据的设备等情况</w:t>
            </w:r>
            <w:r>
              <w:rPr/>
              <w:t xml:space="preserve"> </w:t>
            </w:r>
            <w:r>
              <w:rPr/>
              <w:t>从事结售汇业务的高管人员的名单履历；财务公司和所有参与成员最近</w:t>
            </w:r>
            <w:r>
              <w:rPr>
                <w:spacing w:val="-1"/>
              </w:rPr>
              <w:t>两年审计的财务报表</w:t>
            </w:r>
          </w:p>
        </w:tc>
      </w:tr>
      <w:tr>
        <w:trPr>
          <w:trHeight w:val="1822" w:hRule="atLeast"/>
        </w:trPr>
        <w:tc>
          <w:tcPr>
            <w:tcW w:w="295" w:type="dxa"/>
            <w:vAlign w:val="top"/>
          </w:tcPr>
          <w:p>
            <w:pPr>
              <w:pStyle w:val="TableText"/>
              <w:ind w:left="25"/>
              <w:spacing w:before="81" w:line="184" w:lineRule="auto"/>
              <w:rPr/>
            </w:pPr>
            <w:r>
              <w:rPr>
                <w:spacing w:val="-4"/>
              </w:rPr>
              <w:t>129</w:t>
            </w:r>
          </w:p>
        </w:tc>
        <w:tc>
          <w:tcPr>
            <w:tcW w:w="659" w:type="dxa"/>
            <w:vAlign w:val="top"/>
          </w:tcPr>
          <w:p>
            <w:pPr>
              <w:pStyle w:val="TableText"/>
              <w:ind w:left="10" w:firstLine="8"/>
              <w:spacing w:before="35"/>
              <w:jc w:val="both"/>
              <w:rPr/>
            </w:pPr>
            <w:r>
              <w:rPr>
                <w:spacing w:val="-12"/>
                <w:w w:val="95"/>
              </w:rPr>
              <w:t>合格境外</w:t>
            </w:r>
            <w:r>
              <w:rPr/>
              <w:t xml:space="preserve">  </w:t>
            </w:r>
            <w:r>
              <w:rPr>
                <w:spacing w:val="-14"/>
                <w:w w:val="98"/>
              </w:rPr>
              <w:t>机构投资</w:t>
            </w:r>
            <w:r>
              <w:rPr/>
              <w:t xml:space="preserve">  </w:t>
            </w:r>
            <w:r>
              <w:rPr>
                <w:spacing w:val="-14"/>
                <w:w w:val="98"/>
              </w:rPr>
              <w:t>者投资额</w:t>
            </w:r>
            <w:r>
              <w:rPr/>
              <w:t xml:space="preserve">  </w:t>
            </w:r>
            <w:r>
              <w:rPr>
                <w:spacing w:val="-20"/>
                <w:w w:val="98"/>
              </w:rPr>
              <w:t>度、账户、</w:t>
            </w:r>
            <w:r>
              <w:rPr>
                <w:spacing w:val="2"/>
              </w:rPr>
              <w:t xml:space="preserve"> </w:t>
            </w:r>
            <w:r>
              <w:rPr>
                <w:spacing w:val="-12"/>
              </w:rPr>
              <w:t>资金汇出</w:t>
            </w:r>
            <w:r>
              <w:rPr>
                <w:spacing w:val="1"/>
              </w:rPr>
              <w:t xml:space="preserve">  </w:t>
            </w:r>
            <w:r>
              <w:rPr>
                <w:spacing w:val="-16"/>
                <w:w w:val="99"/>
              </w:rPr>
              <w:t>入审批与</w:t>
            </w:r>
            <w:r>
              <w:rPr>
                <w:spacing w:val="1"/>
              </w:rPr>
              <w:t xml:space="preserve">  </w:t>
            </w:r>
            <w:r>
              <w:rPr>
                <w:spacing w:val="-12"/>
                <w:w w:val="96"/>
              </w:rPr>
              <w:t>外汇登记</w:t>
            </w:r>
            <w:r>
              <w:rPr>
                <w:spacing w:val="1"/>
              </w:rPr>
              <w:t xml:space="preserve">  </w:t>
            </w:r>
            <w:r>
              <w:rPr>
                <w:spacing w:val="-10"/>
                <w:w w:val="95"/>
              </w:rPr>
              <w:t>授权委托</w:t>
            </w:r>
            <w:r>
              <w:rPr>
                <w:spacing w:val="1"/>
              </w:rPr>
              <w:t xml:space="preserve">  </w:t>
            </w:r>
            <w:r>
              <w:rPr>
                <w:spacing w:val="-12"/>
              </w:rPr>
              <w:t>书公证</w:t>
            </w:r>
          </w:p>
        </w:tc>
        <w:tc>
          <w:tcPr>
            <w:tcW w:w="1109" w:type="dxa"/>
            <w:vAlign w:val="top"/>
          </w:tcPr>
          <w:p>
            <w:pPr>
              <w:pStyle w:val="TableText"/>
              <w:ind w:left="10" w:right="7" w:firstLine="120"/>
              <w:spacing w:before="34" w:line="260" w:lineRule="auto"/>
              <w:rPr/>
            </w:pPr>
            <w:r>
              <w:rPr/>
              <w:t>(57018)合格   </w:t>
            </w:r>
            <w:r>
              <w:rPr/>
              <w:t>境外机构投资者</w:t>
            </w:r>
            <w:r>
              <w:rPr>
                <w:spacing w:val="2"/>
              </w:rPr>
              <w:t xml:space="preserve"> </w:t>
            </w:r>
            <w:r>
              <w:rPr>
                <w:spacing w:val="4"/>
              </w:rPr>
              <w:t>投资额度、账户</w:t>
            </w:r>
            <w:r>
              <w:rPr>
                <w:spacing w:val="1"/>
              </w:rPr>
              <w:t xml:space="preserve"> </w:t>
            </w:r>
            <w:r>
              <w:rPr>
                <w:spacing w:val="-1"/>
              </w:rPr>
              <w:t>资金汇出入审批</w:t>
            </w:r>
            <w:r>
              <w:rPr>
                <w:spacing w:val="3"/>
              </w:rPr>
              <w:t xml:space="preserve"> </w:t>
            </w:r>
            <w:r>
              <w:rPr/>
              <w:t>与外汇登记证核 </w:t>
            </w:r>
            <w:r>
              <w:rPr/>
              <w:t>发</w:t>
            </w:r>
          </w:p>
        </w:tc>
        <w:tc>
          <w:tcPr>
            <w:tcW w:w="839" w:type="dxa"/>
            <w:vAlign w:val="top"/>
          </w:tcPr>
          <w:p>
            <w:pPr>
              <w:pStyle w:val="TableText"/>
              <w:ind w:left="182"/>
              <w:spacing w:before="33" w:line="220" w:lineRule="auto"/>
              <w:rPr/>
            </w:pPr>
            <w:r>
              <w:rPr>
                <w:spacing w:val="4"/>
              </w:rPr>
              <w:t>外汇局</w:t>
            </w:r>
          </w:p>
        </w:tc>
        <w:tc>
          <w:tcPr>
            <w:tcW w:w="659" w:type="dxa"/>
            <w:vAlign w:val="top"/>
          </w:tcPr>
          <w:p>
            <w:pPr>
              <w:pStyle w:val="TableText"/>
              <w:ind w:left="22"/>
              <w:spacing w:before="42" w:line="219" w:lineRule="auto"/>
              <w:rPr/>
            </w:pPr>
            <w:r>
              <w:rPr>
                <w:spacing w:val="2"/>
              </w:rPr>
              <w:t>公证机构</w:t>
            </w:r>
          </w:p>
        </w:tc>
        <w:tc>
          <w:tcPr>
            <w:tcW w:w="6088" w:type="dxa"/>
            <w:vAlign w:val="top"/>
          </w:tcPr>
          <w:p>
            <w:pPr>
              <w:pStyle w:val="TableText"/>
              <w:ind w:left="34"/>
              <w:spacing w:before="32" w:line="219" w:lineRule="auto"/>
              <w:rPr/>
            </w:pPr>
            <w:r>
              <w:rPr>
                <w:spacing w:val="-2"/>
              </w:rPr>
              <w:t>1. 《中华人民共和国外汇管理条例》(国务院令第532号)第十</w:t>
            </w:r>
            <w:r>
              <w:rPr>
                <w:spacing w:val="-3"/>
              </w:rPr>
              <w:t>六条：境外机构、境外个人</w:t>
            </w:r>
          </w:p>
          <w:p>
            <w:pPr>
              <w:pStyle w:val="TableText"/>
              <w:ind w:left="34" w:right="49"/>
              <w:spacing w:before="53" w:line="253" w:lineRule="auto"/>
              <w:rPr/>
            </w:pPr>
            <w:r>
              <w:rPr/>
              <w:t>在境内直接投资，经有关主管部门批准后，应当到外汇管理机关办理登记。</w:t>
            </w:r>
            <w:r>
              <w:rPr>
                <w:spacing w:val="-1"/>
              </w:rPr>
              <w:t>境外机构、境外</w:t>
            </w:r>
            <w:r>
              <w:rPr/>
              <w:t xml:space="preserve"> </w:t>
            </w:r>
            <w:r>
              <w:rPr/>
              <w:t>个人在境内从事有价证券或者衍生产品发行、交易，应当遵守国家关于市场</w:t>
            </w:r>
            <w:r>
              <w:rPr>
                <w:spacing w:val="-1"/>
              </w:rPr>
              <w:t>准入的规定，并</w:t>
            </w:r>
            <w:r>
              <w:rPr/>
              <w:t xml:space="preserve"> </w:t>
            </w:r>
            <w:r>
              <w:rPr>
                <w:spacing w:val="-2"/>
              </w:rPr>
              <w:t>按照国务院外汇管理部门的规定办理登记。2. 《人民币合格境外机构投资者境内证券投资试</w:t>
            </w:r>
          </w:p>
          <w:p>
            <w:pPr>
              <w:pStyle w:val="TableText"/>
              <w:ind w:left="43" w:right="80" w:firstLine="70"/>
              <w:spacing w:before="32" w:line="251" w:lineRule="auto"/>
              <w:rPr/>
            </w:pPr>
            <w:r>
              <w:rPr>
                <w:spacing w:val="1"/>
              </w:rPr>
              <w:t>点办法》(中国证券监督管理委员会、中国人民银行、国家外汇局令第9</w:t>
            </w:r>
            <w:r>
              <w:rPr/>
              <w:t>0号)第七条第(三) </w:t>
            </w:r>
            <w:r>
              <w:rPr>
                <w:spacing w:val="-1"/>
              </w:rPr>
              <w:t>款：经公证的对境外托管人的授权委托书，</w:t>
            </w:r>
          </w:p>
        </w:tc>
      </w:tr>
    </w:tbl>
    <w:p>
      <w:pPr>
        <w:pStyle w:val="BodyText"/>
        <w:rPr/>
      </w:pPr>
      <w:r/>
    </w:p>
    <w:p>
      <w:pPr>
        <w:sectPr>
          <w:pgSz w:w="11910" w:h="8220"/>
          <w:pgMar w:top="400" w:right="1125" w:bottom="400" w:left="821" w:header="0" w:footer="0" w:gutter="0"/>
        </w:sectPr>
        <w:rPr/>
      </w:pPr>
    </w:p>
    <w:p>
      <w:pPr>
        <w:spacing w:before="46"/>
        <w:rPr/>
      </w:pPr>
      <w:r/>
    </w:p>
    <w:p>
      <w:pPr>
        <w:spacing w:before="46"/>
        <w:rPr/>
      </w:pPr>
      <w:r/>
    </w:p>
    <w:tbl>
      <w:tblPr>
        <w:tblStyle w:val="TableNormal"/>
        <w:tblW w:w="966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1109"/>
        <w:gridCol w:w="829"/>
        <w:gridCol w:w="659"/>
        <w:gridCol w:w="6108"/>
      </w:tblGrid>
      <w:tr>
        <w:trPr>
          <w:trHeight w:val="473" w:hRule="atLeast"/>
        </w:trPr>
        <w:tc>
          <w:tcPr>
            <w:tcW w:w="295" w:type="dxa"/>
            <w:vAlign w:val="top"/>
            <w:textDirection w:val="tbRlV"/>
          </w:tcPr>
          <w:p>
            <w:pPr>
              <w:pStyle w:val="TableText"/>
              <w:ind w:left="62"/>
              <w:spacing w:before="75" w:line="210" w:lineRule="auto"/>
              <w:rPr/>
            </w:pPr>
            <w:r>
              <w:rPr>
                <w:spacing w:val="-1"/>
              </w:rPr>
              <w:t>序</w:t>
            </w:r>
            <w:r>
              <w:rPr>
                <w:spacing w:val="-25"/>
              </w:rPr>
              <w:t xml:space="preserve"> </w:t>
            </w:r>
            <w:r>
              <w:rPr>
                <w:spacing w:val="-1"/>
              </w:rPr>
              <w:t>号</w:t>
            </w:r>
          </w:p>
        </w:tc>
        <w:tc>
          <w:tcPr>
            <w:tcW w:w="669" w:type="dxa"/>
            <w:vAlign w:val="top"/>
          </w:tcPr>
          <w:p>
            <w:pPr>
              <w:pStyle w:val="TableText"/>
              <w:ind w:left="20" w:right="32"/>
              <w:spacing w:before="59" w:line="248" w:lineRule="auto"/>
              <w:rPr/>
            </w:pPr>
            <w:r>
              <w:rPr>
                <w:spacing w:val="1"/>
              </w:rPr>
              <w:t>中介服务 </w:t>
            </w:r>
            <w:r>
              <w:rPr>
                <w:spacing w:val="-2"/>
              </w:rPr>
              <w:t>事项名称</w:t>
            </w:r>
          </w:p>
        </w:tc>
        <w:tc>
          <w:tcPr>
            <w:tcW w:w="1109" w:type="dxa"/>
            <w:vAlign w:val="top"/>
          </w:tcPr>
          <w:p>
            <w:pPr>
              <w:pStyle w:val="TableText"/>
              <w:ind w:left="239" w:right="35" w:hanging="219"/>
              <w:spacing w:before="61" w:line="247" w:lineRule="auto"/>
              <w:rPr/>
            </w:pPr>
            <w:r>
              <w:rPr>
                <w:spacing w:val="-2"/>
              </w:rPr>
              <w:t>涉及的审批事项</w:t>
            </w:r>
            <w:r>
              <w:rPr>
                <w:spacing w:val="5"/>
              </w:rPr>
              <w:t xml:space="preserve"> </w:t>
            </w:r>
            <w:r>
              <w:rPr>
                <w:spacing w:val="-2"/>
              </w:rPr>
              <w:t>项目名称</w:t>
            </w:r>
          </w:p>
        </w:tc>
        <w:tc>
          <w:tcPr>
            <w:tcW w:w="829" w:type="dxa"/>
            <w:vAlign w:val="top"/>
          </w:tcPr>
          <w:p>
            <w:pPr>
              <w:pStyle w:val="TableText"/>
              <w:ind w:left="102"/>
              <w:spacing w:before="161" w:line="219" w:lineRule="auto"/>
              <w:rPr/>
            </w:pPr>
            <w:r>
              <w:rPr>
                <w:spacing w:val="4"/>
              </w:rPr>
              <w:t>审批部门</w:t>
            </w:r>
          </w:p>
        </w:tc>
        <w:tc>
          <w:tcPr>
            <w:tcW w:w="659" w:type="dxa"/>
            <w:vAlign w:val="top"/>
          </w:tcPr>
          <w:p>
            <w:pPr>
              <w:pStyle w:val="TableText"/>
              <w:ind w:left="22" w:right="18"/>
              <w:spacing w:before="60" w:line="245" w:lineRule="auto"/>
              <w:rPr/>
            </w:pPr>
            <w:r>
              <w:rPr>
                <w:spacing w:val="1"/>
              </w:rPr>
              <w:t>中介服务</w:t>
            </w:r>
            <w:r>
              <w:rPr>
                <w:spacing w:val="2"/>
              </w:rPr>
              <w:t xml:space="preserve"> </w:t>
            </w:r>
            <w:r>
              <w:rPr>
                <w:spacing w:val="-2"/>
              </w:rPr>
              <w:t>实施机构</w:t>
            </w:r>
          </w:p>
        </w:tc>
        <w:tc>
          <w:tcPr>
            <w:tcW w:w="6108" w:type="dxa"/>
            <w:vAlign w:val="top"/>
          </w:tcPr>
          <w:p>
            <w:pPr>
              <w:pStyle w:val="TableText"/>
              <w:ind w:left="2744"/>
              <w:spacing w:before="160" w:line="219" w:lineRule="auto"/>
              <w:rPr/>
            </w:pPr>
            <w:r>
              <w:rPr>
                <w:spacing w:val="-2"/>
              </w:rPr>
              <w:t>设定依据</w:t>
            </w:r>
          </w:p>
        </w:tc>
      </w:tr>
      <w:tr>
        <w:trPr>
          <w:trHeight w:val="2016" w:hRule="atLeast"/>
        </w:trPr>
        <w:tc>
          <w:tcPr>
            <w:tcW w:w="295" w:type="dxa"/>
            <w:vAlign w:val="top"/>
          </w:tcPr>
          <w:p>
            <w:pPr>
              <w:pStyle w:val="TableText"/>
              <w:ind w:left="25"/>
              <w:spacing w:before="176" w:line="184" w:lineRule="auto"/>
              <w:rPr/>
            </w:pPr>
            <w:r>
              <w:rPr>
                <w:spacing w:val="-4"/>
              </w:rPr>
              <w:t>130</w:t>
            </w:r>
          </w:p>
        </w:tc>
        <w:tc>
          <w:tcPr>
            <w:tcW w:w="669" w:type="dxa"/>
            <w:vAlign w:val="top"/>
          </w:tcPr>
          <w:p>
            <w:pPr>
              <w:pStyle w:val="TableText"/>
              <w:ind w:left="10" w:firstLine="8"/>
              <w:spacing w:before="127" w:line="263" w:lineRule="auto"/>
              <w:jc w:val="both"/>
              <w:rPr/>
            </w:pPr>
            <w:r>
              <w:rPr>
                <w:spacing w:val="-12"/>
                <w:w w:val="96"/>
              </w:rPr>
              <w:t>合格境外</w:t>
            </w:r>
            <w:r>
              <w:rPr>
                <w:spacing w:val="1"/>
              </w:rPr>
              <w:t xml:space="preserve">  </w:t>
            </w:r>
            <w:r>
              <w:rPr>
                <w:spacing w:val="-15"/>
              </w:rPr>
              <w:t>机构投资</w:t>
            </w:r>
            <w:r>
              <w:rPr/>
              <w:t xml:space="preserve">  </w:t>
            </w:r>
            <w:r>
              <w:rPr>
                <w:spacing w:val="-15"/>
              </w:rPr>
              <w:t>者投资额</w:t>
            </w:r>
            <w:r>
              <w:rPr/>
              <w:t xml:space="preserve">  </w:t>
            </w:r>
            <w:r>
              <w:rPr>
                <w:spacing w:val="-21"/>
              </w:rPr>
              <w:t>度、账户、</w:t>
            </w:r>
            <w:r>
              <w:rPr>
                <w:spacing w:val="2"/>
              </w:rPr>
              <w:t xml:space="preserve"> </w:t>
            </w:r>
            <w:r>
              <w:rPr>
                <w:spacing w:val="-10"/>
              </w:rPr>
              <w:t>资金汇出</w:t>
            </w:r>
            <w:r>
              <w:rPr>
                <w:spacing w:val="1"/>
              </w:rPr>
              <w:t xml:space="preserve">  </w:t>
            </w:r>
            <w:r>
              <w:rPr>
                <w:spacing w:val="-15"/>
              </w:rPr>
              <w:t>入审批与</w:t>
            </w:r>
            <w:r>
              <w:rPr/>
              <w:t xml:space="preserve">  </w:t>
            </w:r>
            <w:r>
              <w:rPr>
                <w:spacing w:val="-12"/>
                <w:w w:val="97"/>
              </w:rPr>
              <w:t>外汇登记</w:t>
            </w:r>
            <w:r>
              <w:rPr>
                <w:spacing w:val="2"/>
              </w:rPr>
              <w:t xml:space="preserve">  </w:t>
            </w:r>
            <w:r>
              <w:rPr>
                <w:spacing w:val="-11"/>
              </w:rPr>
              <w:t>审计</w:t>
            </w:r>
          </w:p>
        </w:tc>
        <w:tc>
          <w:tcPr>
            <w:tcW w:w="1109" w:type="dxa"/>
            <w:vAlign w:val="top"/>
          </w:tcPr>
          <w:p>
            <w:pPr>
              <w:pStyle w:val="TableText"/>
              <w:ind w:left="131"/>
              <w:spacing w:before="138" w:line="219" w:lineRule="auto"/>
              <w:rPr/>
            </w:pPr>
            <w:r>
              <w:rPr/>
              <w:t>(57018)合格</w:t>
            </w:r>
          </w:p>
          <w:p>
            <w:pPr>
              <w:pStyle w:val="TableText"/>
              <w:ind w:left="10" w:firstLine="9"/>
              <w:spacing w:before="30" w:line="261" w:lineRule="auto"/>
              <w:rPr/>
            </w:pPr>
            <w:r>
              <w:rPr>
                <w:spacing w:val="-12"/>
              </w:rPr>
              <w:t>境外机构投资者</w:t>
            </w:r>
            <w:r>
              <w:rPr>
                <w:spacing w:val="1"/>
              </w:rPr>
              <w:t xml:space="preserve">  </w:t>
            </w:r>
            <w:r>
              <w:rPr>
                <w:spacing w:val="-14"/>
              </w:rPr>
              <w:t>投资额度、账户、</w:t>
            </w:r>
            <w:r>
              <w:rPr/>
              <w:t xml:space="preserve"> </w:t>
            </w:r>
            <w:r>
              <w:rPr>
                <w:spacing w:val="-11"/>
              </w:rPr>
              <w:t>资金汇出入审批  </w:t>
            </w:r>
            <w:r>
              <w:rPr>
                <w:spacing w:val="-11"/>
              </w:rPr>
              <w:t>与外汇登记证核</w:t>
            </w:r>
            <w:r>
              <w:rPr>
                <w:spacing w:val="1"/>
              </w:rPr>
              <w:t xml:space="preserve">  </w:t>
            </w:r>
            <w:r>
              <w:rPr/>
              <w:t>发</w:t>
            </w:r>
          </w:p>
        </w:tc>
        <w:tc>
          <w:tcPr>
            <w:tcW w:w="829" w:type="dxa"/>
            <w:vAlign w:val="top"/>
          </w:tcPr>
          <w:p>
            <w:pPr>
              <w:pStyle w:val="TableText"/>
              <w:ind w:left="182"/>
              <w:spacing w:before="118" w:line="220" w:lineRule="auto"/>
              <w:rPr/>
            </w:pPr>
            <w:r>
              <w:rPr>
                <w:spacing w:val="4"/>
              </w:rPr>
              <w:t>外汇局</w:t>
            </w:r>
          </w:p>
        </w:tc>
        <w:tc>
          <w:tcPr>
            <w:tcW w:w="659" w:type="dxa"/>
            <w:vAlign w:val="top"/>
          </w:tcPr>
          <w:p>
            <w:pPr>
              <w:pStyle w:val="TableText"/>
              <w:ind w:left="12" w:right="31" w:firstLine="10"/>
              <w:spacing w:before="127" w:line="239" w:lineRule="auto"/>
              <w:rPr/>
            </w:pPr>
            <w:r>
              <w:rPr>
                <w:spacing w:val="-2"/>
              </w:rPr>
              <w:t>会计师事</w:t>
            </w:r>
            <w:r>
              <w:rPr>
                <w:spacing w:val="1"/>
              </w:rPr>
              <w:t xml:space="preserve"> </w:t>
            </w:r>
            <w:r>
              <w:rPr>
                <w:spacing w:val="-2"/>
              </w:rPr>
              <w:t>务所</w:t>
            </w:r>
          </w:p>
        </w:tc>
        <w:tc>
          <w:tcPr>
            <w:tcW w:w="6108" w:type="dxa"/>
            <w:vAlign w:val="top"/>
          </w:tcPr>
          <w:p>
            <w:pPr>
              <w:pStyle w:val="TableText"/>
              <w:ind w:left="53"/>
              <w:spacing w:before="137" w:line="219" w:lineRule="auto"/>
              <w:rPr/>
            </w:pPr>
            <w:r>
              <w:rPr>
                <w:spacing w:val="-2"/>
              </w:rPr>
              <w:t>1. 《中华人民共和国外汇管理条例》(国务院令第532号)第十</w:t>
            </w:r>
            <w:r>
              <w:rPr>
                <w:spacing w:val="-3"/>
              </w:rPr>
              <w:t>六条：境外机构、境外个人</w:t>
            </w:r>
          </w:p>
          <w:p>
            <w:pPr>
              <w:pStyle w:val="TableText"/>
              <w:ind w:left="44" w:right="59"/>
              <w:spacing w:before="41" w:line="245" w:lineRule="auto"/>
              <w:rPr/>
            </w:pPr>
            <w:r>
              <w:rPr/>
              <w:t>在境内直接投资，经有关主管部门批准后，应当到外汇管理机关办理登记。</w:t>
            </w:r>
            <w:r>
              <w:rPr>
                <w:spacing w:val="-1"/>
              </w:rPr>
              <w:t>境外机构、境外</w:t>
            </w:r>
            <w:r>
              <w:rPr/>
              <w:t xml:space="preserve"> </w:t>
            </w:r>
            <w:r>
              <w:rPr/>
              <w:t>个人在境内从事有价证券或者衍生产品发行、交易，应当遵守国家关于市场</w:t>
            </w:r>
            <w:r>
              <w:rPr>
                <w:spacing w:val="-1"/>
              </w:rPr>
              <w:t>准入的规定，并</w:t>
            </w:r>
            <w:r>
              <w:rPr/>
              <w:t xml:space="preserve"> </w:t>
            </w:r>
            <w:r>
              <w:rPr>
                <w:spacing w:val="1"/>
              </w:rPr>
              <w:t>按照国务院外汇管理部门的规定办理登记。2.国家外汇局</w:t>
            </w:r>
            <w:r>
              <w:rPr/>
              <w:t>公告2016年第1号第七条第(二)</w:t>
            </w:r>
          </w:p>
          <w:p>
            <w:pPr>
              <w:pStyle w:val="TableText"/>
              <w:ind w:left="34" w:right="360" w:firstLine="10"/>
              <w:spacing w:before="63" w:line="238" w:lineRule="auto"/>
              <w:rPr/>
            </w:pPr>
            <w:r>
              <w:rPr/>
              <w:t>款、第八条第(二)款：经审计的合格投资者近三年/上年度资产负债表</w:t>
            </w:r>
            <w:r>
              <w:rPr>
                <w:spacing w:val="-1"/>
              </w:rPr>
              <w:t>(或管理的证券资</w:t>
            </w:r>
            <w:r>
              <w:rPr/>
              <w:t xml:space="preserve"> </w:t>
            </w:r>
            <w:r>
              <w:rPr/>
              <w:t>产规模的审计报告等)。</w:t>
            </w:r>
          </w:p>
        </w:tc>
      </w:tr>
    </w:tbl>
    <w:p>
      <w:pPr>
        <w:pStyle w:val="BodyText"/>
        <w:rPr/>
      </w:pPr>
      <w:r/>
    </w:p>
    <w:p>
      <w:pPr>
        <w:sectPr>
          <w:footerReference w:type="default" r:id="rId67"/>
          <w:pgSz w:w="11910" w:h="8220"/>
          <w:pgMar w:top="400" w:right="1115" w:bottom="1329" w:left="821" w:header="0" w:footer="1099" w:gutter="0"/>
        </w:sectPr>
        <w:rPr/>
      </w:pPr>
    </w:p>
    <w:p>
      <w:pPr>
        <w:pStyle w:val="BodyText"/>
        <w:spacing w:line="246" w:lineRule="auto"/>
        <w:rPr/>
      </w:pPr>
      <w:r/>
    </w:p>
    <w:p>
      <w:pPr>
        <w:pStyle w:val="BodyText"/>
        <w:spacing w:line="247" w:lineRule="auto"/>
        <w:rPr/>
      </w:pPr>
      <w:r/>
    </w:p>
    <w:p>
      <w:pPr>
        <w:spacing w:before="78" w:line="223" w:lineRule="auto"/>
        <w:rPr>
          <w:rFonts w:ascii="SimHei" w:hAnsi="SimHei" w:eastAsia="SimHei" w:cs="SimHei"/>
          <w:sz w:val="24"/>
          <w:szCs w:val="24"/>
        </w:rPr>
      </w:pPr>
      <w:r>
        <w:rPr>
          <w:rFonts w:ascii="SimSun" w:hAnsi="SimSun" w:eastAsia="SimSun" w:cs="SimSun"/>
          <w:sz w:val="16"/>
          <w:szCs w:val="16"/>
          <w:spacing w:val="4"/>
          <w:position w:val="6"/>
        </w:rPr>
        <w:t>342                          </w:t>
      </w:r>
      <w:r>
        <w:rPr>
          <w:rFonts w:ascii="SimHei" w:hAnsi="SimHei" w:eastAsia="SimHei" w:cs="SimHei"/>
          <w:sz w:val="24"/>
          <w:szCs w:val="24"/>
          <w:b/>
          <w:bCs/>
          <w:spacing w:val="4"/>
        </w:rPr>
        <w:t>附录六：国务院部门涉企保证金目录清</w:t>
      </w:r>
      <w:r>
        <w:rPr>
          <w:rFonts w:ascii="SimHei" w:hAnsi="SimHei" w:eastAsia="SimHei" w:cs="SimHei"/>
          <w:sz w:val="24"/>
          <w:szCs w:val="24"/>
          <w:b/>
          <w:bCs/>
          <w:spacing w:val="3"/>
        </w:rPr>
        <w:t>单(2023版)</w:t>
      </w:r>
    </w:p>
    <w:p>
      <w:pPr>
        <w:spacing w:line="240" w:lineRule="exact"/>
        <w:rPr/>
      </w:pPr>
      <w:r/>
    </w:p>
    <w:tbl>
      <w:tblPr>
        <w:tblStyle w:val="TableNormal"/>
        <w:tblW w:w="963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749"/>
        <w:gridCol w:w="1409"/>
        <w:gridCol w:w="1628"/>
        <w:gridCol w:w="1648"/>
        <w:gridCol w:w="1628"/>
        <w:gridCol w:w="1633"/>
      </w:tblGrid>
      <w:tr>
        <w:trPr>
          <w:trHeight w:val="494" w:hRule="atLeast"/>
        </w:trPr>
        <w:tc>
          <w:tcPr>
            <w:tcW w:w="285" w:type="dxa"/>
            <w:vAlign w:val="top"/>
            <w:textDirection w:val="tbRlV"/>
          </w:tcPr>
          <w:p>
            <w:pPr>
              <w:pStyle w:val="TableText"/>
              <w:ind w:left="57"/>
              <w:spacing w:before="70" w:line="217" w:lineRule="auto"/>
              <w:rPr/>
            </w:pPr>
            <w:r>
              <w:rPr>
                <w:spacing w:val="-2"/>
              </w:rPr>
              <w:t>序 号</w:t>
            </w:r>
          </w:p>
        </w:tc>
        <w:tc>
          <w:tcPr>
            <w:tcW w:w="659" w:type="dxa"/>
            <w:vAlign w:val="top"/>
          </w:tcPr>
          <w:p>
            <w:pPr>
              <w:pStyle w:val="TableText"/>
              <w:ind w:left="10"/>
              <w:spacing w:before="171" w:line="220" w:lineRule="auto"/>
              <w:rPr/>
            </w:pPr>
            <w:r>
              <w:rPr>
                <w:spacing w:val="-2"/>
              </w:rPr>
              <w:t>项目名称</w:t>
            </w:r>
          </w:p>
        </w:tc>
        <w:tc>
          <w:tcPr>
            <w:tcW w:w="749" w:type="dxa"/>
            <w:vAlign w:val="top"/>
          </w:tcPr>
          <w:p>
            <w:pPr>
              <w:pStyle w:val="TableText"/>
              <w:ind w:left="60"/>
              <w:spacing w:before="171" w:line="220" w:lineRule="auto"/>
              <w:rPr/>
            </w:pPr>
            <w:r>
              <w:rPr>
                <w:spacing w:val="-2"/>
              </w:rPr>
              <w:t>设立单位</w:t>
            </w:r>
          </w:p>
        </w:tc>
        <w:tc>
          <w:tcPr>
            <w:tcW w:w="1409" w:type="dxa"/>
            <w:vAlign w:val="top"/>
          </w:tcPr>
          <w:p>
            <w:pPr>
              <w:pStyle w:val="TableText"/>
              <w:ind w:left="401"/>
              <w:spacing w:before="170" w:line="219" w:lineRule="auto"/>
              <w:rPr/>
            </w:pPr>
            <w:r>
              <w:rPr>
                <w:spacing w:val="-2"/>
              </w:rPr>
              <w:t>设立依据</w:t>
            </w:r>
          </w:p>
        </w:tc>
        <w:tc>
          <w:tcPr>
            <w:tcW w:w="1628" w:type="dxa"/>
            <w:vAlign w:val="top"/>
          </w:tcPr>
          <w:p>
            <w:pPr>
              <w:pStyle w:val="TableText"/>
              <w:ind w:left="502"/>
              <w:spacing w:before="171" w:line="219" w:lineRule="auto"/>
              <w:rPr/>
            </w:pPr>
            <w:r>
              <w:rPr>
                <w:spacing w:val="-2"/>
              </w:rPr>
              <w:t>征收标准</w:t>
            </w:r>
          </w:p>
        </w:tc>
        <w:tc>
          <w:tcPr>
            <w:tcW w:w="1648" w:type="dxa"/>
            <w:vAlign w:val="top"/>
          </w:tcPr>
          <w:p>
            <w:pPr>
              <w:pStyle w:val="TableText"/>
              <w:ind w:left="514"/>
              <w:spacing w:before="171" w:line="219" w:lineRule="auto"/>
              <w:rPr/>
            </w:pPr>
            <w:r>
              <w:rPr>
                <w:spacing w:val="-2"/>
              </w:rPr>
              <w:t>征收方式</w:t>
            </w:r>
          </w:p>
        </w:tc>
        <w:tc>
          <w:tcPr>
            <w:tcW w:w="1628" w:type="dxa"/>
            <w:vAlign w:val="top"/>
          </w:tcPr>
          <w:p>
            <w:pPr>
              <w:pStyle w:val="TableText"/>
              <w:ind w:left="506"/>
              <w:spacing w:before="171" w:line="219" w:lineRule="auto"/>
              <w:rPr/>
            </w:pPr>
            <w:r>
              <w:rPr>
                <w:spacing w:val="-2"/>
              </w:rPr>
              <w:t>征收程序</w:t>
            </w:r>
          </w:p>
        </w:tc>
        <w:tc>
          <w:tcPr>
            <w:tcW w:w="1633" w:type="dxa"/>
            <w:vAlign w:val="top"/>
          </w:tcPr>
          <w:p>
            <w:pPr>
              <w:pStyle w:val="TableText"/>
              <w:ind w:left="508"/>
              <w:spacing w:before="173" w:line="221" w:lineRule="auto"/>
              <w:rPr/>
            </w:pPr>
            <w:r>
              <w:rPr>
                <w:spacing w:val="3"/>
              </w:rPr>
              <w:t>返还时间</w:t>
            </w:r>
          </w:p>
        </w:tc>
      </w:tr>
      <w:tr>
        <w:trPr>
          <w:trHeight w:val="2994" w:hRule="atLeast"/>
        </w:trPr>
        <w:tc>
          <w:tcPr>
            <w:tcW w:w="285" w:type="dxa"/>
            <w:vAlign w:val="top"/>
          </w:tcPr>
          <w:p>
            <w:pPr>
              <w:pStyle w:val="TableText"/>
              <w:ind w:left="114"/>
              <w:spacing w:before="228" w:line="184" w:lineRule="auto"/>
              <w:rPr>
                <w:sz w:val="6"/>
                <w:szCs w:val="6"/>
              </w:rPr>
            </w:pPr>
            <w:r>
              <w:rPr>
                <w:sz w:val="6"/>
                <w:szCs w:val="6"/>
              </w:rPr>
              <w:t>1</w:t>
            </w:r>
          </w:p>
        </w:tc>
        <w:tc>
          <w:tcPr>
            <w:tcW w:w="659" w:type="dxa"/>
            <w:vAlign w:val="top"/>
          </w:tcPr>
          <w:p>
            <w:pPr>
              <w:pStyle w:val="TableText"/>
              <w:ind w:left="10" w:right="46"/>
              <w:spacing w:before="198" w:line="251" w:lineRule="auto"/>
              <w:rPr/>
            </w:pPr>
            <w:r>
              <w:rPr>
                <w:spacing w:val="-2"/>
              </w:rPr>
              <w:t>投标保证</w:t>
            </w:r>
            <w:r>
              <w:rPr/>
              <w:t xml:space="preserve"> </w:t>
            </w:r>
            <w:r>
              <w:rPr/>
              <w:t>金</w:t>
            </w:r>
          </w:p>
        </w:tc>
        <w:tc>
          <w:tcPr>
            <w:tcW w:w="749" w:type="dxa"/>
            <w:vAlign w:val="top"/>
          </w:tcPr>
          <w:p>
            <w:pPr>
              <w:pStyle w:val="TableText"/>
              <w:ind w:left="140" w:right="69" w:hanging="80"/>
              <w:spacing w:before="208" w:line="232" w:lineRule="auto"/>
              <w:rPr/>
            </w:pPr>
            <w:r>
              <w:rPr>
                <w:spacing w:val="2"/>
              </w:rPr>
              <w:t>国家发展</w:t>
            </w:r>
            <w:r>
              <w:rPr/>
              <w:t xml:space="preserve"> </w:t>
            </w:r>
            <w:r>
              <w:rPr>
                <w:spacing w:val="-3"/>
              </w:rPr>
              <w:t>改革委</w:t>
            </w:r>
          </w:p>
        </w:tc>
        <w:tc>
          <w:tcPr>
            <w:tcW w:w="1409" w:type="dxa"/>
            <w:vAlign w:val="top"/>
          </w:tcPr>
          <w:p>
            <w:pPr>
              <w:pStyle w:val="TableText"/>
              <w:ind w:left="20" w:right="50" w:hanging="4"/>
              <w:spacing w:before="206" w:line="246" w:lineRule="auto"/>
              <w:rPr/>
            </w:pPr>
            <w:r>
              <w:rPr>
                <w:spacing w:val="-3"/>
              </w:rPr>
              <w:t>《中华人民共和国招</w:t>
            </w:r>
            <w:r>
              <w:rPr>
                <w:spacing w:val="7"/>
              </w:rPr>
              <w:t xml:space="preserve"> </w:t>
            </w:r>
            <w:r>
              <w:rPr>
                <w:spacing w:val="-2"/>
              </w:rPr>
              <w:t>标投标法</w:t>
            </w:r>
          </w:p>
          <w:p>
            <w:pPr>
              <w:pStyle w:val="TableText"/>
              <w:ind w:left="20" w:right="39" w:hanging="4"/>
              <w:spacing w:before="40" w:line="245" w:lineRule="auto"/>
              <w:rPr/>
            </w:pPr>
            <w:r>
              <w:rPr>
                <w:spacing w:val="-3"/>
              </w:rPr>
              <w:t>《中华人民共和国招</w:t>
            </w:r>
            <w:r>
              <w:rPr>
                <w:spacing w:val="7"/>
              </w:rPr>
              <w:t xml:space="preserve"> </w:t>
            </w:r>
            <w:r>
              <w:rPr>
                <w:spacing w:val="-2"/>
              </w:rPr>
              <w:t>标投标法实施条例》</w:t>
            </w:r>
          </w:p>
        </w:tc>
        <w:tc>
          <w:tcPr>
            <w:tcW w:w="1628" w:type="dxa"/>
            <w:vAlign w:val="top"/>
          </w:tcPr>
          <w:p>
            <w:pPr>
              <w:pStyle w:val="TableText"/>
              <w:ind w:left="32" w:right="52" w:firstLine="20"/>
              <w:spacing w:before="216" w:line="244" w:lineRule="auto"/>
              <w:rPr/>
            </w:pPr>
            <w:r>
              <w:rPr>
                <w:spacing w:val="1"/>
              </w:rPr>
              <w:t>投标保证金不得超过招 </w:t>
            </w:r>
            <w:r>
              <w:rPr>
                <w:spacing w:val="-1"/>
              </w:rPr>
              <w:t>标项目估算价的2%</w:t>
            </w:r>
          </w:p>
        </w:tc>
        <w:tc>
          <w:tcPr>
            <w:tcW w:w="1648" w:type="dxa"/>
            <w:vAlign w:val="top"/>
          </w:tcPr>
          <w:p>
            <w:pPr>
              <w:pStyle w:val="TableText"/>
              <w:ind w:left="24" w:right="57" w:firstLine="40"/>
              <w:spacing w:before="216" w:line="258" w:lineRule="auto"/>
              <w:rPr/>
            </w:pPr>
            <w:r>
              <w:rPr>
                <w:spacing w:val="-1"/>
              </w:rPr>
              <w:t>鼓励招标人接受担保机</w:t>
            </w:r>
            <w:r>
              <w:rPr>
                <w:spacing w:val="1"/>
              </w:rPr>
              <w:t xml:space="preserve"> </w:t>
            </w:r>
            <w:r>
              <w:rPr>
                <w:spacing w:val="3"/>
              </w:rPr>
              <w:t>构的保函、保险机构的</w:t>
            </w:r>
            <w:r>
              <w:rPr>
                <w:spacing w:val="1"/>
              </w:rPr>
              <w:t xml:space="preserve"> </w:t>
            </w:r>
            <w:r>
              <w:rPr>
                <w:spacing w:val="5"/>
              </w:rPr>
              <w:t>保单等其他非现金交易</w:t>
            </w:r>
            <w:r>
              <w:rPr>
                <w:spacing w:val="4"/>
              </w:rPr>
              <w:t xml:space="preserve"> </w:t>
            </w:r>
            <w:r>
              <w:rPr>
                <w:spacing w:val="-1"/>
              </w:rPr>
              <w:t>担保方式缴纳保证金。</w:t>
            </w:r>
          </w:p>
          <w:p>
            <w:pPr>
              <w:pStyle w:val="TableText"/>
              <w:ind w:left="24" w:right="79" w:firstLine="40"/>
              <w:spacing w:before="22" w:line="261" w:lineRule="auto"/>
              <w:rPr/>
            </w:pPr>
            <w:r>
              <w:rPr>
                <w:spacing w:val="-1"/>
              </w:rPr>
              <w:t>依法必须招标项目的招</w:t>
            </w:r>
            <w:r>
              <w:rPr>
                <w:spacing w:val="1"/>
              </w:rPr>
              <w:t xml:space="preserve"> </w:t>
            </w:r>
            <w:r>
              <w:rPr>
                <w:spacing w:val="3"/>
              </w:rPr>
              <w:t>标人不得强制要求投标</w:t>
            </w:r>
            <w:r>
              <w:rPr>
                <w:spacing w:val="2"/>
              </w:rPr>
              <w:t xml:space="preserve"> </w:t>
            </w:r>
            <w:r>
              <w:rPr>
                <w:spacing w:val="3"/>
              </w:rPr>
              <w:t>人、中标人缴纳现金保</w:t>
            </w:r>
            <w:r>
              <w:rPr>
                <w:spacing w:val="1"/>
              </w:rPr>
              <w:t xml:space="preserve"> </w:t>
            </w:r>
            <w:r>
              <w:rPr>
                <w:spacing w:val="-2"/>
              </w:rPr>
              <w:t>证金</w:t>
            </w:r>
          </w:p>
        </w:tc>
        <w:tc>
          <w:tcPr>
            <w:tcW w:w="1628" w:type="dxa"/>
            <w:vAlign w:val="top"/>
          </w:tcPr>
          <w:p>
            <w:pPr>
              <w:pStyle w:val="TableText"/>
              <w:ind w:left="16" w:right="66" w:firstLine="40"/>
              <w:spacing w:before="216" w:line="233" w:lineRule="auto"/>
              <w:rPr/>
            </w:pPr>
            <w:r>
              <w:rPr>
                <w:spacing w:val="-1"/>
              </w:rPr>
              <w:t>根据招标文件具体要求</w:t>
            </w:r>
            <w:r>
              <w:rPr>
                <w:spacing w:val="3"/>
              </w:rPr>
              <w:t xml:space="preserve"> </w:t>
            </w:r>
            <w:r>
              <w:rPr>
                <w:spacing w:val="-2"/>
              </w:rPr>
              <w:t>执行</w:t>
            </w:r>
          </w:p>
        </w:tc>
        <w:tc>
          <w:tcPr>
            <w:tcW w:w="1633" w:type="dxa"/>
            <w:vAlign w:val="top"/>
          </w:tcPr>
          <w:p>
            <w:pPr>
              <w:pStyle w:val="TableText"/>
              <w:ind w:left="58" w:right="38"/>
              <w:spacing w:before="207" w:line="266" w:lineRule="auto"/>
              <w:jc w:val="both"/>
              <w:rPr/>
            </w:pPr>
            <w:r>
              <w:rPr>
                <w:spacing w:val="-1"/>
              </w:rPr>
              <w:t>招标人最迟应当在书面</w:t>
            </w:r>
            <w:r>
              <w:rPr>
                <w:spacing w:val="2"/>
              </w:rPr>
              <w:t xml:space="preserve"> </w:t>
            </w:r>
            <w:r>
              <w:rPr>
                <w:spacing w:val="3"/>
              </w:rPr>
              <w:t>合同签订后5日内向中</w:t>
            </w:r>
            <w:r>
              <w:rPr>
                <w:spacing w:val="1"/>
              </w:rPr>
              <w:t xml:space="preserve">  </w:t>
            </w:r>
            <w:r>
              <w:rPr>
                <w:spacing w:val="-1"/>
              </w:rPr>
              <w:t>标人和未中标的投标人</w:t>
            </w:r>
            <w:r>
              <w:rPr>
                <w:spacing w:val="2"/>
              </w:rPr>
              <w:t xml:space="preserve"> </w:t>
            </w:r>
            <w:r>
              <w:rPr>
                <w:spacing w:val="-1"/>
              </w:rPr>
              <w:t>退还投标保证金及银行</w:t>
            </w:r>
            <w:r>
              <w:rPr>
                <w:spacing w:val="2"/>
              </w:rPr>
              <w:t xml:space="preserve"> </w:t>
            </w:r>
            <w:r>
              <w:rPr/>
              <w:t>同期存款利息，或投标</w:t>
            </w:r>
            <w:r>
              <w:rPr>
                <w:spacing w:val="4"/>
              </w:rPr>
              <w:t xml:space="preserve"> </w:t>
            </w:r>
            <w:r>
              <w:rPr>
                <w:spacing w:val="-1"/>
              </w:rPr>
              <w:t>人在投标截止时间前书</w:t>
            </w:r>
            <w:r>
              <w:rPr>
                <w:spacing w:val="1"/>
              </w:rPr>
              <w:t xml:space="preserve"> </w:t>
            </w:r>
            <w:r>
              <w:rPr>
                <w:spacing w:val="-1"/>
              </w:rPr>
              <w:t>面通知招标人撤回投标</w:t>
            </w:r>
            <w:r>
              <w:rPr>
                <w:spacing w:val="2"/>
              </w:rPr>
              <w:t xml:space="preserve"> </w:t>
            </w:r>
            <w:r>
              <w:rPr>
                <w:spacing w:val="2"/>
              </w:rPr>
              <w:t>文件的，招标人应当自</w:t>
            </w:r>
            <w:r>
              <w:rPr>
                <w:spacing w:val="4"/>
              </w:rPr>
              <w:t xml:space="preserve"> </w:t>
            </w:r>
            <w:r>
              <w:rPr>
                <w:spacing w:val="-2"/>
              </w:rPr>
              <w:t>收到投标人书面撤回通</w:t>
            </w:r>
            <w:r>
              <w:rPr>
                <w:spacing w:val="7"/>
              </w:rPr>
              <w:t xml:space="preserve"> </w:t>
            </w:r>
            <w:r>
              <w:rPr>
                <w:spacing w:val="3"/>
              </w:rPr>
              <w:t>知之日起5日内退还投</w:t>
            </w:r>
            <w:r>
              <w:rPr/>
              <w:t xml:space="preserve">  </w:t>
            </w:r>
            <w:r>
              <w:rPr>
                <w:spacing w:val="-1"/>
              </w:rPr>
              <w:t>标保证金及银行同期存</w:t>
            </w:r>
          </w:p>
          <w:p>
            <w:pPr>
              <w:pStyle w:val="TableText"/>
              <w:ind w:left="18"/>
              <w:spacing w:before="22" w:line="221" w:lineRule="auto"/>
              <w:rPr/>
            </w:pPr>
            <w:r>
              <w:rPr>
                <w:spacing w:val="-2"/>
              </w:rPr>
              <w:t>款利息</w:t>
            </w:r>
          </w:p>
        </w:tc>
      </w:tr>
      <w:tr>
        <w:trPr>
          <w:trHeight w:val="2121" w:hRule="atLeast"/>
        </w:trPr>
        <w:tc>
          <w:tcPr>
            <w:tcW w:w="285" w:type="dxa"/>
            <w:vAlign w:val="top"/>
          </w:tcPr>
          <w:p>
            <w:pPr>
              <w:pStyle w:val="TableText"/>
              <w:ind w:left="94"/>
              <w:spacing w:before="271" w:line="183" w:lineRule="auto"/>
              <w:rPr/>
            </w:pPr>
            <w:r>
              <w:rPr/>
              <w:t>2</w:t>
            </w:r>
          </w:p>
        </w:tc>
        <w:tc>
          <w:tcPr>
            <w:tcW w:w="659" w:type="dxa"/>
            <w:vAlign w:val="top"/>
          </w:tcPr>
          <w:p>
            <w:pPr>
              <w:pStyle w:val="TableText"/>
              <w:ind w:left="10" w:right="47"/>
              <w:spacing w:before="223" w:line="245" w:lineRule="auto"/>
              <w:rPr/>
            </w:pPr>
            <w:r>
              <w:rPr>
                <w:spacing w:val="-3"/>
              </w:rPr>
              <w:t>履约保证</w:t>
            </w:r>
            <w:r>
              <w:rPr>
                <w:spacing w:val="2"/>
              </w:rPr>
              <w:t xml:space="preserve"> </w:t>
            </w:r>
            <w:r>
              <w:rPr/>
              <w:t>金</w:t>
            </w:r>
          </w:p>
        </w:tc>
        <w:tc>
          <w:tcPr>
            <w:tcW w:w="749" w:type="dxa"/>
            <w:vAlign w:val="top"/>
          </w:tcPr>
          <w:p>
            <w:pPr>
              <w:pStyle w:val="TableText"/>
              <w:ind w:left="140" w:right="69" w:hanging="80"/>
              <w:spacing w:before="212" w:line="239" w:lineRule="auto"/>
              <w:rPr/>
            </w:pPr>
            <w:r>
              <w:rPr>
                <w:spacing w:val="2"/>
              </w:rPr>
              <w:t>国家发展</w:t>
            </w:r>
            <w:r>
              <w:rPr/>
              <w:t xml:space="preserve"> </w:t>
            </w:r>
            <w:r>
              <w:rPr>
                <w:spacing w:val="-3"/>
              </w:rPr>
              <w:t>改革委</w:t>
            </w:r>
          </w:p>
        </w:tc>
        <w:tc>
          <w:tcPr>
            <w:tcW w:w="1409" w:type="dxa"/>
            <w:vAlign w:val="top"/>
          </w:tcPr>
          <w:p>
            <w:pPr>
              <w:pStyle w:val="TableText"/>
              <w:ind w:left="11" w:right="60" w:hanging="5"/>
              <w:spacing w:before="222"/>
              <w:rPr/>
            </w:pPr>
            <w:r>
              <w:rPr>
                <w:spacing w:val="-3"/>
              </w:rPr>
              <w:t>《中华人民共和国招</w:t>
            </w:r>
            <w:r>
              <w:rPr>
                <w:spacing w:val="7"/>
              </w:rPr>
              <w:t xml:space="preserve"> </w:t>
            </w:r>
            <w:r>
              <w:rPr>
                <w:spacing w:val="-2"/>
              </w:rPr>
              <w:t>标投标法</w:t>
            </w:r>
          </w:p>
          <w:p>
            <w:pPr>
              <w:pStyle w:val="TableText"/>
              <w:ind w:left="30" w:right="29" w:hanging="24"/>
              <w:spacing w:before="50" w:line="245" w:lineRule="auto"/>
              <w:rPr/>
            </w:pPr>
            <w:r>
              <w:rPr>
                <w:spacing w:val="-3"/>
              </w:rPr>
              <w:t>《中华人民共和国招</w:t>
            </w:r>
            <w:r>
              <w:rPr>
                <w:spacing w:val="7"/>
              </w:rPr>
              <w:t xml:space="preserve"> </w:t>
            </w:r>
            <w:r>
              <w:rPr>
                <w:spacing w:val="-2"/>
              </w:rPr>
              <w:t>标投标法实施条例》</w:t>
            </w:r>
          </w:p>
        </w:tc>
        <w:tc>
          <w:tcPr>
            <w:tcW w:w="1628" w:type="dxa"/>
            <w:vAlign w:val="top"/>
          </w:tcPr>
          <w:p>
            <w:pPr>
              <w:pStyle w:val="TableText"/>
              <w:ind w:left="32" w:right="48" w:firstLine="20"/>
              <w:spacing w:before="232" w:line="239" w:lineRule="auto"/>
              <w:rPr/>
            </w:pPr>
            <w:r>
              <w:rPr>
                <w:spacing w:val="1"/>
              </w:rPr>
              <w:t>履约保证金不得超过中</w:t>
            </w:r>
            <w:r>
              <w:rPr>
                <w:spacing w:val="5"/>
              </w:rPr>
              <w:t xml:space="preserve"> </w:t>
            </w:r>
            <w:r>
              <w:rPr>
                <w:spacing w:val="-1"/>
              </w:rPr>
              <w:t>标合同金额的10%</w:t>
            </w:r>
          </w:p>
        </w:tc>
        <w:tc>
          <w:tcPr>
            <w:tcW w:w="1648" w:type="dxa"/>
            <w:vAlign w:val="top"/>
          </w:tcPr>
          <w:p>
            <w:pPr>
              <w:pStyle w:val="TableText"/>
              <w:ind w:left="64" w:right="37"/>
              <w:spacing w:before="232" w:line="252" w:lineRule="auto"/>
              <w:jc w:val="both"/>
              <w:rPr/>
            </w:pPr>
            <w:r>
              <w:rPr>
                <w:spacing w:val="-2"/>
              </w:rPr>
              <w:t>鼓励招标人接受担保机 </w:t>
            </w:r>
            <w:r>
              <w:rPr>
                <w:spacing w:val="-2"/>
              </w:rPr>
              <w:t>构的保函、保险机构的 </w:t>
            </w:r>
            <w:r>
              <w:rPr>
                <w:spacing w:val="1"/>
              </w:rPr>
              <w:t>保单等其他非现金交易</w:t>
            </w:r>
            <w:r>
              <w:rPr>
                <w:spacing w:val="4"/>
              </w:rPr>
              <w:t xml:space="preserve"> </w:t>
            </w:r>
            <w:r>
              <w:rPr>
                <w:spacing w:val="3"/>
              </w:rPr>
              <w:t>担保方式缴纳保证金。</w:t>
            </w:r>
          </w:p>
          <w:p>
            <w:pPr>
              <w:pStyle w:val="TableText"/>
              <w:ind w:left="24" w:right="79" w:firstLine="40"/>
              <w:spacing w:before="51" w:line="255" w:lineRule="auto"/>
              <w:jc w:val="both"/>
              <w:rPr/>
            </w:pPr>
            <w:r>
              <w:rPr>
                <w:spacing w:val="-1"/>
              </w:rPr>
              <w:t>依法必须招标项目的招</w:t>
            </w:r>
            <w:r>
              <w:rPr>
                <w:spacing w:val="1"/>
              </w:rPr>
              <w:t xml:space="preserve"> </w:t>
            </w:r>
            <w:r>
              <w:rPr>
                <w:spacing w:val="3"/>
              </w:rPr>
              <w:t>标人不得强制要求投标</w:t>
            </w:r>
            <w:r>
              <w:rPr>
                <w:spacing w:val="2"/>
              </w:rPr>
              <w:t xml:space="preserve"> </w:t>
            </w:r>
            <w:r>
              <w:rPr>
                <w:spacing w:val="3"/>
              </w:rPr>
              <w:t>人、中标人缴纳现金保</w:t>
            </w:r>
            <w:r>
              <w:rPr>
                <w:spacing w:val="1"/>
              </w:rPr>
              <w:t xml:space="preserve"> </w:t>
            </w:r>
            <w:r>
              <w:rPr>
                <w:spacing w:val="-2"/>
              </w:rPr>
              <w:t>证金</w:t>
            </w:r>
          </w:p>
        </w:tc>
        <w:tc>
          <w:tcPr>
            <w:tcW w:w="1628" w:type="dxa"/>
            <w:vAlign w:val="top"/>
          </w:tcPr>
          <w:p>
            <w:pPr>
              <w:pStyle w:val="TableText"/>
              <w:ind w:left="16" w:right="66" w:firstLine="40"/>
              <w:spacing w:before="232" w:line="239" w:lineRule="auto"/>
              <w:rPr/>
            </w:pPr>
            <w:r>
              <w:rPr>
                <w:spacing w:val="-1"/>
              </w:rPr>
              <w:t>根据招标文件具体要求</w:t>
            </w:r>
            <w:r>
              <w:rPr>
                <w:spacing w:val="3"/>
              </w:rPr>
              <w:t xml:space="preserve"> </w:t>
            </w:r>
            <w:r>
              <w:rPr>
                <w:spacing w:val="-2"/>
              </w:rPr>
              <w:t>执行</w:t>
            </w:r>
          </w:p>
        </w:tc>
        <w:tc>
          <w:tcPr>
            <w:tcW w:w="1633" w:type="dxa"/>
            <w:vAlign w:val="top"/>
          </w:tcPr>
          <w:p>
            <w:pPr>
              <w:pStyle w:val="TableText"/>
              <w:ind w:left="28" w:right="54" w:firstLine="30"/>
              <w:spacing w:before="212" w:line="258" w:lineRule="auto"/>
              <w:jc w:val="both"/>
              <w:rPr/>
            </w:pPr>
            <w:r>
              <w:rPr>
                <w:spacing w:val="-1"/>
              </w:rPr>
              <w:t>根据中标合同约定，待</w:t>
            </w:r>
            <w:r>
              <w:rPr>
                <w:spacing w:val="3"/>
              </w:rPr>
              <w:t xml:space="preserve"> </w:t>
            </w:r>
            <w:r>
              <w:rPr>
                <w:spacing w:val="3"/>
              </w:rPr>
              <w:t>中标人履行完合同约定</w:t>
            </w:r>
            <w:r>
              <w:rPr>
                <w:spacing w:val="8"/>
              </w:rPr>
              <w:t xml:space="preserve"> </w:t>
            </w:r>
            <w:r>
              <w:rPr>
                <w:spacing w:val="-1"/>
              </w:rPr>
              <w:t>权利义务事项后退还</w:t>
            </w:r>
          </w:p>
        </w:tc>
      </w:tr>
    </w:tbl>
    <w:p>
      <w:pPr>
        <w:pStyle w:val="BodyText"/>
        <w:rPr/>
      </w:pPr>
      <w:r/>
    </w:p>
    <w:p>
      <w:pPr>
        <w:sectPr>
          <w:footerReference w:type="default" r:id="rId2"/>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06400"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508" name="TextBox 508"/>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0" style="position:absolute;margin-left:37.0722pt;margin-top:345.103pt;mso-position-vertical-relative:page;mso-position-horizontal-relative:page;width:13.55pt;height:12.35pt;z-index:25200640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343</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749"/>
        <w:gridCol w:w="1409"/>
        <w:gridCol w:w="1628"/>
        <w:gridCol w:w="1648"/>
        <w:gridCol w:w="1628"/>
        <w:gridCol w:w="1623"/>
      </w:tblGrid>
      <w:tr>
        <w:trPr>
          <w:trHeight w:val="474" w:hRule="atLeast"/>
        </w:trPr>
        <w:tc>
          <w:tcPr>
            <w:tcW w:w="285" w:type="dxa"/>
            <w:vAlign w:val="top"/>
            <w:textDirection w:val="tbRlV"/>
          </w:tcPr>
          <w:p>
            <w:pPr>
              <w:pStyle w:val="TableText"/>
              <w:ind w:left="27"/>
              <w:spacing w:before="70" w:line="217" w:lineRule="auto"/>
              <w:rPr/>
            </w:pPr>
            <w:r>
              <w:rPr/>
              <w:t>序</w:t>
            </w:r>
            <w:r>
              <w:rPr>
                <w:spacing w:val="36"/>
                <w:w w:val="101"/>
              </w:rPr>
              <w:t xml:space="preserve"> </w:t>
            </w:r>
            <w:r>
              <w:rPr/>
              <w:t>号</w:t>
            </w:r>
          </w:p>
        </w:tc>
        <w:tc>
          <w:tcPr>
            <w:tcW w:w="659" w:type="dxa"/>
            <w:vAlign w:val="top"/>
          </w:tcPr>
          <w:p>
            <w:pPr>
              <w:pStyle w:val="TableText"/>
              <w:ind w:left="2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421"/>
              <w:spacing w:before="160" w:line="219" w:lineRule="auto"/>
              <w:rPr/>
            </w:pPr>
            <w:r>
              <w:rPr>
                <w:spacing w:val="-2"/>
              </w:rPr>
              <w:t>设立依据</w:t>
            </w:r>
          </w:p>
        </w:tc>
        <w:tc>
          <w:tcPr>
            <w:tcW w:w="1628" w:type="dxa"/>
            <w:vAlign w:val="top"/>
          </w:tcPr>
          <w:p>
            <w:pPr>
              <w:pStyle w:val="TableText"/>
              <w:ind w:left="53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23" w:type="dxa"/>
            <w:vAlign w:val="top"/>
          </w:tcPr>
          <w:p>
            <w:pPr>
              <w:pStyle w:val="TableText"/>
              <w:ind w:left="508"/>
              <w:spacing w:before="163" w:line="221" w:lineRule="auto"/>
              <w:rPr/>
            </w:pPr>
            <w:r>
              <w:rPr>
                <w:spacing w:val="3"/>
              </w:rPr>
              <w:t>返还时间</w:t>
            </w:r>
          </w:p>
        </w:tc>
      </w:tr>
      <w:tr>
        <w:trPr>
          <w:trHeight w:val="3324" w:hRule="atLeast"/>
        </w:trPr>
        <w:tc>
          <w:tcPr>
            <w:tcW w:w="285" w:type="dxa"/>
            <w:vAlign w:val="top"/>
          </w:tcPr>
          <w:p>
            <w:pPr>
              <w:pStyle w:val="TableText"/>
              <w:ind w:left="94"/>
              <w:spacing w:before="265" w:line="183" w:lineRule="auto"/>
              <w:rPr/>
            </w:pPr>
            <w:r>
              <w:rPr/>
              <w:t>3</w:t>
            </w:r>
          </w:p>
        </w:tc>
        <w:tc>
          <w:tcPr>
            <w:tcW w:w="659" w:type="dxa"/>
            <w:vAlign w:val="top"/>
          </w:tcPr>
          <w:p>
            <w:pPr>
              <w:pStyle w:val="TableText"/>
              <w:ind w:left="10" w:firstLine="8"/>
              <w:spacing w:before="203" w:line="265" w:lineRule="auto"/>
              <w:rPr/>
            </w:pPr>
            <w:r>
              <w:rPr>
                <w:spacing w:val="-9"/>
                <w:w w:val="93"/>
              </w:rPr>
              <w:t>政府采购</w:t>
            </w:r>
            <w:r>
              <w:rPr>
                <w:spacing w:val="1"/>
              </w:rPr>
              <w:t xml:space="preserve">  </w:t>
            </w:r>
            <w:r>
              <w:rPr>
                <w:spacing w:val="-4"/>
              </w:rPr>
              <w:t>投标(竞</w:t>
            </w:r>
            <w:r>
              <w:rPr/>
              <w:t xml:space="preserve">  </w:t>
            </w:r>
            <w:r>
              <w:rPr>
                <w:spacing w:val="-10"/>
                <w:w w:val="92"/>
              </w:rPr>
              <w:t>争</w:t>
            </w:r>
            <w:r>
              <w:rPr>
                <w:spacing w:val="7"/>
              </w:rPr>
              <w:t xml:space="preserve"> </w:t>
            </w:r>
            <w:r>
              <w:rPr>
                <w:spacing w:val="-10"/>
                <w:w w:val="92"/>
              </w:rPr>
              <w:t>性</w:t>
            </w:r>
            <w:r>
              <w:rPr>
                <w:spacing w:val="2"/>
              </w:rPr>
              <w:t xml:space="preserve"> </w:t>
            </w:r>
            <w:r>
              <w:rPr>
                <w:spacing w:val="-10"/>
                <w:w w:val="92"/>
              </w:rPr>
              <w:t>谈</w:t>
            </w:r>
            <w:r>
              <w:rPr/>
              <w:t xml:space="preserve">  </w:t>
            </w:r>
            <w:r>
              <w:rPr>
                <w:spacing w:val="-19"/>
                <w:w w:val="97"/>
              </w:rPr>
              <w:t>判、询价、</w:t>
            </w:r>
            <w:r>
              <w:rPr>
                <w:spacing w:val="5"/>
              </w:rPr>
              <w:t xml:space="preserve"> </w:t>
            </w:r>
            <w:r>
              <w:rPr>
                <w:spacing w:val="-11"/>
                <w:w w:val="96"/>
              </w:rPr>
              <w:t>竞争性磋</w:t>
            </w:r>
            <w:r>
              <w:rPr/>
              <w:t xml:space="preserve">  </w:t>
            </w:r>
            <w:r>
              <w:rPr>
                <w:spacing w:val="-18"/>
              </w:rPr>
              <w:t>商、框架</w:t>
            </w:r>
            <w:r>
              <w:rPr>
                <w:spacing w:val="1"/>
              </w:rPr>
              <w:t xml:space="preserve">  </w:t>
            </w:r>
            <w:r>
              <w:rPr>
                <w:spacing w:val="-8"/>
              </w:rPr>
              <w:t>协议)保</w:t>
            </w:r>
            <w:r>
              <w:rPr/>
              <w:t xml:space="preserve">   </w:t>
            </w:r>
            <w:r>
              <w:rPr>
                <w:spacing w:val="-10"/>
              </w:rPr>
              <w:t>证金</w:t>
            </w:r>
          </w:p>
        </w:tc>
        <w:tc>
          <w:tcPr>
            <w:tcW w:w="749" w:type="dxa"/>
            <w:vAlign w:val="top"/>
          </w:tcPr>
          <w:p>
            <w:pPr>
              <w:pStyle w:val="TableText"/>
              <w:ind w:left="141"/>
              <w:spacing w:before="207" w:line="219" w:lineRule="auto"/>
              <w:rPr/>
            </w:pPr>
            <w:r>
              <w:rPr>
                <w:spacing w:val="-2"/>
              </w:rPr>
              <w:t>财政部</w:t>
            </w:r>
          </w:p>
        </w:tc>
        <w:tc>
          <w:tcPr>
            <w:tcW w:w="1409" w:type="dxa"/>
            <w:vAlign w:val="top"/>
          </w:tcPr>
          <w:p>
            <w:pPr>
              <w:pStyle w:val="TableText"/>
              <w:ind w:left="12" w:right="22" w:firstLine="14"/>
              <w:spacing w:before="216" w:line="255" w:lineRule="auto"/>
              <w:jc w:val="both"/>
              <w:rPr/>
            </w:pPr>
            <w:r>
              <w:rPr>
                <w:spacing w:val="-2"/>
              </w:rPr>
              <w:t>《中华人民共和国政</w:t>
            </w:r>
            <w:r>
              <w:rPr>
                <w:spacing w:val="4"/>
              </w:rPr>
              <w:t xml:space="preserve"> </w:t>
            </w:r>
            <w:r>
              <w:rPr>
                <w:spacing w:val="1"/>
              </w:rPr>
              <w:t>府采购法》、《中华</w:t>
            </w:r>
            <w:r>
              <w:rPr>
                <w:spacing w:val="4"/>
              </w:rPr>
              <w:t xml:space="preserve"> </w:t>
            </w:r>
            <w:r>
              <w:rPr>
                <w:spacing w:val="1"/>
              </w:rPr>
              <w:t>人民共和国政府采购</w:t>
            </w:r>
            <w:r>
              <w:rPr>
                <w:spacing w:val="2"/>
              </w:rPr>
              <w:t xml:space="preserve"> </w:t>
            </w:r>
            <w:r>
              <w:rPr>
                <w:spacing w:val="-2"/>
              </w:rPr>
              <w:t>法实施条例》</w:t>
            </w:r>
          </w:p>
        </w:tc>
        <w:tc>
          <w:tcPr>
            <w:tcW w:w="1628" w:type="dxa"/>
            <w:vAlign w:val="top"/>
          </w:tcPr>
          <w:p>
            <w:pPr>
              <w:pStyle w:val="TableText"/>
              <w:ind w:left="122" w:firstLine="69"/>
              <w:spacing w:before="215" w:line="252" w:lineRule="auto"/>
              <w:jc w:val="both"/>
              <w:rPr/>
            </w:pPr>
            <w:r>
              <w:rPr>
                <w:spacing w:val="-2"/>
              </w:rPr>
              <w:t>政府采购投标(竞争性</w:t>
            </w:r>
            <w:r>
              <w:rPr>
                <w:spacing w:val="3"/>
              </w:rPr>
              <w:t xml:space="preserve"> </w:t>
            </w:r>
            <w:r>
              <w:rPr>
                <w:spacing w:val="-2"/>
              </w:rPr>
              <w:t>谈判、询价、竞争性磋</w:t>
            </w:r>
            <w:r>
              <w:rPr>
                <w:spacing w:val="2"/>
              </w:rPr>
              <w:t xml:space="preserve"> </w:t>
            </w:r>
            <w:r>
              <w:rPr>
                <w:spacing w:val="7"/>
              </w:rPr>
              <w:t>商、框架协议)保证金</w:t>
            </w:r>
            <w:r>
              <w:rPr/>
              <w:t xml:space="preserve"> </w:t>
            </w:r>
            <w:r>
              <w:rPr>
                <w:spacing w:val="-2"/>
              </w:rPr>
              <w:t>不得超过采购项目预算</w:t>
            </w:r>
          </w:p>
          <w:p>
            <w:pPr>
              <w:pStyle w:val="TableText"/>
              <w:ind w:left="12"/>
              <w:spacing w:before="53" w:line="219" w:lineRule="auto"/>
              <w:rPr/>
            </w:pPr>
            <w:r>
              <w:rPr>
                <w:spacing w:val="-2"/>
              </w:rPr>
              <w:t>金额的2%</w:t>
            </w:r>
          </w:p>
        </w:tc>
        <w:tc>
          <w:tcPr>
            <w:tcW w:w="1648" w:type="dxa"/>
            <w:vAlign w:val="top"/>
          </w:tcPr>
          <w:p>
            <w:pPr>
              <w:pStyle w:val="TableText"/>
              <w:ind w:left="64"/>
              <w:spacing w:before="216" w:line="219" w:lineRule="auto"/>
              <w:rPr/>
            </w:pPr>
            <w:r>
              <w:rPr>
                <w:spacing w:val="-1"/>
              </w:rPr>
              <w:t>采购人、采购代理机构</w:t>
            </w:r>
          </w:p>
          <w:p>
            <w:pPr>
              <w:pStyle w:val="TableText"/>
              <w:ind w:left="64"/>
              <w:spacing w:before="22" w:line="219" w:lineRule="auto"/>
              <w:rPr/>
            </w:pPr>
            <w:r>
              <w:rPr>
                <w:spacing w:val="-1"/>
              </w:rPr>
              <w:t>应当允许供应商自主选</w:t>
            </w:r>
          </w:p>
          <w:p>
            <w:pPr>
              <w:pStyle w:val="TableText"/>
              <w:spacing w:before="62" w:line="219" w:lineRule="auto"/>
              <w:jc w:val="right"/>
              <w:rPr/>
            </w:pPr>
            <w:r>
              <w:rPr>
                <w:spacing w:val="-3"/>
              </w:rPr>
              <w:t>择以支票、汇票、本票、</w:t>
            </w:r>
          </w:p>
          <w:p>
            <w:pPr>
              <w:pStyle w:val="TableText"/>
              <w:ind w:left="145"/>
              <w:spacing w:before="33" w:line="219" w:lineRule="auto"/>
              <w:rPr/>
            </w:pPr>
            <w:r>
              <w:rPr>
                <w:spacing w:val="-1"/>
              </w:rPr>
              <w:t>保函(保险)等非现金</w:t>
            </w:r>
          </w:p>
          <w:p>
            <w:pPr>
              <w:pStyle w:val="TableText"/>
              <w:ind w:left="64"/>
              <w:spacing w:before="52" w:line="219" w:lineRule="auto"/>
              <w:rPr/>
            </w:pPr>
            <w:r>
              <w:rPr>
                <w:spacing w:val="-1"/>
              </w:rPr>
              <w:t>形式缴纳或提交保证金</w:t>
            </w:r>
          </w:p>
        </w:tc>
        <w:tc>
          <w:tcPr>
            <w:tcW w:w="1628" w:type="dxa"/>
            <w:vAlign w:val="top"/>
          </w:tcPr>
          <w:p>
            <w:pPr>
              <w:pStyle w:val="TableText"/>
              <w:ind w:left="56" w:right="25"/>
              <w:spacing w:before="217" w:line="262" w:lineRule="auto"/>
              <w:jc w:val="both"/>
              <w:rPr/>
            </w:pPr>
            <w:r>
              <w:rPr>
                <w:spacing w:val="-1"/>
              </w:rPr>
              <w:t>供应商在提交投标文件</w:t>
            </w:r>
            <w:r>
              <w:rPr>
                <w:spacing w:val="3"/>
              </w:rPr>
              <w:t xml:space="preserve"> </w:t>
            </w:r>
            <w:r>
              <w:rPr>
                <w:spacing w:val="11"/>
              </w:rPr>
              <w:t>(竞争谈判响应文件、</w:t>
            </w:r>
            <w:r>
              <w:rPr/>
              <w:t xml:space="preserve"> </w:t>
            </w:r>
            <w:r>
              <w:rPr>
                <w:spacing w:val="-1"/>
              </w:rPr>
              <w:t>询价响应文件、竞争磋</w:t>
            </w:r>
            <w:r>
              <w:rPr>
                <w:spacing w:val="3"/>
              </w:rPr>
              <w:t xml:space="preserve"> </w:t>
            </w:r>
            <w:r>
              <w:rPr>
                <w:spacing w:val="-2"/>
              </w:rPr>
              <w:t>商响应文件、框架协议 </w:t>
            </w:r>
            <w:r>
              <w:rPr>
                <w:spacing w:val="2"/>
              </w:rPr>
              <w:t>响应文件)时按照采购  </w:t>
            </w:r>
            <w:r>
              <w:rPr>
                <w:spacing w:val="-1"/>
              </w:rPr>
              <w:t>文件约定一并提交</w:t>
            </w:r>
          </w:p>
        </w:tc>
        <w:tc>
          <w:tcPr>
            <w:tcW w:w="1623" w:type="dxa"/>
            <w:vAlign w:val="top"/>
          </w:tcPr>
          <w:p>
            <w:pPr>
              <w:pStyle w:val="TableText"/>
              <w:ind w:left="58" w:right="61" w:hanging="20"/>
              <w:spacing w:before="228" w:line="249" w:lineRule="auto"/>
              <w:rPr/>
            </w:pPr>
            <w:r>
              <w:rPr>
                <w:spacing w:val="2"/>
              </w:rPr>
              <w:t>自中标(成交、入围)  </w:t>
            </w:r>
            <w:r>
              <w:rPr>
                <w:spacing w:val="1"/>
              </w:rPr>
              <w:t>通知书发出之日起5个 </w:t>
            </w:r>
            <w:r>
              <w:rPr>
                <w:spacing w:val="-1"/>
              </w:rPr>
              <w:t>工作日内，退还未中标</w:t>
            </w:r>
          </w:p>
          <w:p>
            <w:pPr>
              <w:pStyle w:val="TableText"/>
              <w:ind w:left="38" w:right="46" w:firstLine="90"/>
              <w:spacing w:before="30" w:line="254" w:lineRule="auto"/>
              <w:rPr/>
            </w:pPr>
            <w:r>
              <w:rPr/>
              <w:t>(成交、入围)供应商</w:t>
            </w:r>
            <w:r>
              <w:rPr>
                <w:spacing w:val="4"/>
              </w:rPr>
              <w:t xml:space="preserve">  </w:t>
            </w:r>
            <w:r>
              <w:rPr>
                <w:spacing w:val="2"/>
              </w:rPr>
              <w:t>的保证金；自政府采购</w:t>
            </w:r>
            <w:r>
              <w:rPr>
                <w:spacing w:val="6"/>
              </w:rPr>
              <w:t xml:space="preserve"> </w:t>
            </w:r>
            <w:r>
              <w:rPr>
                <w:spacing w:val="-1"/>
              </w:rPr>
              <w:t>合同(框架协议)签订</w:t>
            </w:r>
          </w:p>
          <w:p>
            <w:pPr>
              <w:pStyle w:val="TableText"/>
              <w:ind w:left="28"/>
              <w:spacing w:before="32" w:line="219" w:lineRule="auto"/>
              <w:rPr/>
            </w:pPr>
            <w:r>
              <w:rPr>
                <w:spacing w:val="-1"/>
              </w:rPr>
              <w:t>之日起5个工作日内，</w:t>
            </w:r>
          </w:p>
          <w:p>
            <w:pPr>
              <w:pStyle w:val="TableText"/>
              <w:ind w:left="28" w:right="21" w:firstLine="30"/>
              <w:spacing w:before="52" w:line="238" w:lineRule="auto"/>
              <w:rPr/>
            </w:pPr>
            <w:r>
              <w:rPr>
                <w:spacing w:val="2"/>
              </w:rPr>
              <w:t>退还中标(成交、入围)</w:t>
            </w:r>
            <w:r>
              <w:rPr>
                <w:spacing w:val="9"/>
              </w:rPr>
              <w:t xml:space="preserve"> </w:t>
            </w:r>
            <w:r>
              <w:rPr>
                <w:spacing w:val="-1"/>
              </w:rPr>
              <w:t>供应商的保证金</w:t>
            </w:r>
          </w:p>
        </w:tc>
      </w:tr>
      <w:tr>
        <w:trPr>
          <w:trHeight w:val="2391" w:hRule="atLeast"/>
        </w:trPr>
        <w:tc>
          <w:tcPr>
            <w:tcW w:w="285" w:type="dxa"/>
            <w:vAlign w:val="top"/>
          </w:tcPr>
          <w:p>
            <w:pPr>
              <w:pStyle w:val="TableText"/>
              <w:ind w:left="94"/>
              <w:spacing w:before="261" w:line="183" w:lineRule="auto"/>
              <w:rPr/>
            </w:pPr>
            <w:r>
              <w:rPr/>
              <w:t>4</w:t>
            </w:r>
          </w:p>
        </w:tc>
        <w:tc>
          <w:tcPr>
            <w:tcW w:w="659" w:type="dxa"/>
            <w:vAlign w:val="top"/>
          </w:tcPr>
          <w:p>
            <w:pPr>
              <w:pStyle w:val="TableText"/>
              <w:ind w:left="10" w:right="34" w:firstLine="10"/>
              <w:spacing w:before="212" w:line="254" w:lineRule="auto"/>
              <w:jc w:val="both"/>
              <w:rPr/>
            </w:pPr>
            <w:r>
              <w:rPr>
                <w:spacing w:val="-2"/>
              </w:rPr>
              <w:t>政府采购</w:t>
            </w:r>
            <w:r>
              <w:rPr>
                <w:spacing w:val="1"/>
              </w:rPr>
              <w:t xml:space="preserve"> </w:t>
            </w:r>
            <w:r>
              <w:rPr/>
              <w:t>履约保证 </w:t>
            </w:r>
            <w:r>
              <w:rPr/>
              <w:t>金</w:t>
            </w:r>
          </w:p>
        </w:tc>
        <w:tc>
          <w:tcPr>
            <w:tcW w:w="749" w:type="dxa"/>
            <w:vAlign w:val="top"/>
          </w:tcPr>
          <w:p>
            <w:pPr>
              <w:pStyle w:val="TableText"/>
              <w:ind w:left="141"/>
              <w:spacing w:before="213" w:line="219" w:lineRule="auto"/>
              <w:rPr/>
            </w:pPr>
            <w:r>
              <w:rPr>
                <w:spacing w:val="-2"/>
              </w:rPr>
              <w:t>财政部</w:t>
            </w:r>
          </w:p>
        </w:tc>
        <w:tc>
          <w:tcPr>
            <w:tcW w:w="1409" w:type="dxa"/>
            <w:vAlign w:val="top"/>
          </w:tcPr>
          <w:p>
            <w:pPr>
              <w:pStyle w:val="TableText"/>
              <w:ind w:left="20" w:right="38" w:hanging="4"/>
              <w:spacing w:before="223" w:line="238" w:lineRule="auto"/>
              <w:rPr/>
            </w:pPr>
            <w:r>
              <w:rPr>
                <w:spacing w:val="-2"/>
              </w:rPr>
              <w:t>《中华人民共和国政</w:t>
            </w:r>
            <w:r>
              <w:rPr>
                <w:spacing w:val="4"/>
              </w:rPr>
              <w:t xml:space="preserve"> </w:t>
            </w:r>
            <w:r>
              <w:rPr>
                <w:spacing w:val="-2"/>
              </w:rPr>
              <w:t>府采购法实施条例》</w:t>
            </w:r>
          </w:p>
        </w:tc>
        <w:tc>
          <w:tcPr>
            <w:tcW w:w="1628" w:type="dxa"/>
            <w:vAlign w:val="top"/>
          </w:tcPr>
          <w:p>
            <w:pPr>
              <w:pStyle w:val="TableText"/>
              <w:ind w:left="12" w:right="3" w:firstLine="110"/>
              <w:spacing w:before="223" w:line="244" w:lineRule="auto"/>
              <w:rPr/>
            </w:pPr>
            <w:r>
              <w:rPr>
                <w:spacing w:val="-1"/>
              </w:rPr>
              <w:t>履约保证金不得超过政</w:t>
            </w:r>
            <w:r>
              <w:rPr/>
              <w:t xml:space="preserve"> </w:t>
            </w:r>
            <w:r>
              <w:rPr>
                <w:spacing w:val="-1"/>
              </w:rPr>
              <w:t>府采购合同金额的10%</w:t>
            </w:r>
          </w:p>
        </w:tc>
        <w:tc>
          <w:tcPr>
            <w:tcW w:w="1648" w:type="dxa"/>
            <w:vAlign w:val="top"/>
          </w:tcPr>
          <w:p>
            <w:pPr>
              <w:pStyle w:val="TableText"/>
              <w:ind w:left="64"/>
              <w:spacing w:before="222" w:line="219" w:lineRule="auto"/>
              <w:rPr/>
            </w:pPr>
            <w:r>
              <w:rPr>
                <w:spacing w:val="-1"/>
              </w:rPr>
              <w:t>采购人、采购代理机构</w:t>
            </w:r>
          </w:p>
          <w:p>
            <w:pPr>
              <w:pStyle w:val="TableText"/>
              <w:ind w:left="64"/>
              <w:spacing w:before="42" w:line="219" w:lineRule="auto"/>
              <w:rPr/>
            </w:pPr>
            <w:r>
              <w:rPr>
                <w:spacing w:val="-1"/>
              </w:rPr>
              <w:t>应当允许供应商自主选</w:t>
            </w:r>
          </w:p>
          <w:p>
            <w:pPr>
              <w:pStyle w:val="TableText"/>
              <w:spacing w:before="42" w:line="219" w:lineRule="auto"/>
              <w:jc w:val="right"/>
              <w:rPr/>
            </w:pPr>
            <w:r>
              <w:rPr>
                <w:spacing w:val="-3"/>
              </w:rPr>
              <w:t>择以支票、汇票、本票、</w:t>
            </w:r>
          </w:p>
          <w:p>
            <w:pPr>
              <w:pStyle w:val="TableText"/>
              <w:ind w:left="145"/>
              <w:spacing w:before="33" w:line="219" w:lineRule="auto"/>
              <w:rPr/>
            </w:pPr>
            <w:r>
              <w:rPr>
                <w:spacing w:val="-1"/>
              </w:rPr>
              <w:t>保函(保险)等非现金</w:t>
            </w:r>
          </w:p>
          <w:p>
            <w:pPr>
              <w:pStyle w:val="TableText"/>
              <w:ind w:left="64"/>
              <w:spacing w:before="32" w:line="219" w:lineRule="auto"/>
              <w:rPr/>
            </w:pPr>
            <w:r>
              <w:rPr>
                <w:spacing w:val="-1"/>
              </w:rPr>
              <w:t>形式缴纳或提交保证金</w:t>
            </w:r>
          </w:p>
        </w:tc>
        <w:tc>
          <w:tcPr>
            <w:tcW w:w="1628" w:type="dxa"/>
            <w:vAlign w:val="top"/>
          </w:tcPr>
          <w:p>
            <w:pPr>
              <w:pStyle w:val="TableText"/>
              <w:ind w:left="16" w:right="47" w:firstLine="120"/>
              <w:spacing w:before="222" w:line="250" w:lineRule="auto"/>
              <w:jc w:val="both"/>
              <w:rPr/>
            </w:pPr>
            <w:r>
              <w:rPr/>
              <w:t>由中标(成交)供应商</w:t>
            </w:r>
            <w:r>
              <w:rPr>
                <w:spacing w:val="4"/>
              </w:rPr>
              <w:t xml:space="preserve">  </w:t>
            </w:r>
            <w:r>
              <w:rPr>
                <w:spacing w:val="5"/>
              </w:rPr>
              <w:t>与采购人签订采购合同</w:t>
            </w:r>
            <w:r>
              <w:rPr>
                <w:spacing w:val="2"/>
              </w:rPr>
              <w:t xml:space="preserve"> </w:t>
            </w:r>
            <w:r>
              <w:rPr>
                <w:spacing w:val="-3"/>
              </w:rPr>
              <w:t>时提交</w:t>
            </w:r>
          </w:p>
        </w:tc>
        <w:tc>
          <w:tcPr>
            <w:tcW w:w="1623" w:type="dxa"/>
            <w:vAlign w:val="top"/>
          </w:tcPr>
          <w:p>
            <w:pPr>
              <w:pStyle w:val="TableText"/>
              <w:ind w:left="28" w:right="40" w:firstLine="30"/>
              <w:spacing w:before="223" w:line="252" w:lineRule="auto"/>
              <w:jc w:val="both"/>
              <w:rPr/>
            </w:pPr>
            <w:r>
              <w:rPr>
                <w:spacing w:val="1"/>
              </w:rPr>
              <w:t>由采购人根据采购合同</w:t>
            </w:r>
            <w:r>
              <w:rPr>
                <w:spacing w:val="2"/>
              </w:rPr>
              <w:t xml:space="preserve"> </w:t>
            </w:r>
            <w:r>
              <w:rPr>
                <w:spacing w:val="2"/>
              </w:rPr>
              <w:t>约定，待供应商履行完</w:t>
            </w:r>
            <w:r>
              <w:rPr/>
              <w:t xml:space="preserve"> </w:t>
            </w:r>
            <w:r>
              <w:rPr>
                <w:spacing w:val="2"/>
              </w:rPr>
              <w:t>合同约定权利义务事项 </w:t>
            </w:r>
            <w:r>
              <w:rPr>
                <w:spacing w:val="-2"/>
              </w:rPr>
              <w:t>后退还</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07424"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510" name="TextBox 510"/>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2" style="position:absolute;margin-left:37.0722pt;margin-top:48.6039pt;mso-position-vertical-relative:page;mso-position-horizontal-relative:page;width:13.55pt;height:12.35pt;z-index:25200742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344</w:t>
                      </w:r>
                    </w:p>
                  </w:txbxContent>
                </v:textbox>
              </v:shape>
            </w:pict>
          </mc:Fallback>
        </mc:AlternateContent>
      </w:r>
      <w:r/>
    </w:p>
    <w:p>
      <w:pPr>
        <w:spacing w:before="51"/>
        <w:rPr/>
      </w:pPr>
      <w:r/>
    </w:p>
    <w:tbl>
      <w:tblPr>
        <w:tblStyle w:val="TableNormal"/>
        <w:tblW w:w="963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739"/>
        <w:gridCol w:w="1419"/>
        <w:gridCol w:w="1628"/>
        <w:gridCol w:w="1648"/>
        <w:gridCol w:w="1628"/>
        <w:gridCol w:w="1633"/>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49" w:type="dxa"/>
            <w:vAlign w:val="top"/>
          </w:tcPr>
          <w:p>
            <w:pPr>
              <w:pStyle w:val="TableText"/>
              <w:ind w:left="1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19" w:type="dxa"/>
            <w:vAlign w:val="top"/>
          </w:tcPr>
          <w:p>
            <w:pPr>
              <w:pStyle w:val="TableText"/>
              <w:ind w:left="40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25" w:hRule="atLeast"/>
        </w:trPr>
        <w:tc>
          <w:tcPr>
            <w:tcW w:w="295" w:type="dxa"/>
            <w:vAlign w:val="top"/>
          </w:tcPr>
          <w:p>
            <w:pPr>
              <w:spacing w:line="296" w:lineRule="auto"/>
              <w:rPr>
                <w:rFonts w:ascii="Arial"/>
                <w:sz w:val="21"/>
              </w:rPr>
            </w:pPr>
            <w:r/>
          </w:p>
          <w:p>
            <w:pPr>
              <w:pStyle w:val="TableText"/>
              <w:ind w:left="94"/>
              <w:spacing w:before="48" w:line="182" w:lineRule="auto"/>
              <w:rPr/>
            </w:pPr>
            <w:r>
              <w:rPr/>
              <w:t>5</w:t>
            </w:r>
          </w:p>
        </w:tc>
        <w:tc>
          <w:tcPr>
            <w:tcW w:w="649" w:type="dxa"/>
            <w:vAlign w:val="top"/>
          </w:tcPr>
          <w:p>
            <w:pPr>
              <w:spacing w:line="247" w:lineRule="auto"/>
              <w:rPr>
                <w:rFonts w:ascii="Arial"/>
                <w:sz w:val="21"/>
              </w:rPr>
            </w:pPr>
            <w:r/>
          </w:p>
          <w:p>
            <w:pPr>
              <w:pStyle w:val="TableText"/>
              <w:ind w:left="10" w:right="36"/>
              <w:spacing w:before="48" w:line="239" w:lineRule="auto"/>
              <w:rPr/>
            </w:pPr>
            <w:r>
              <w:rPr>
                <w:spacing w:val="-2"/>
              </w:rPr>
              <w:t>工资保证</w:t>
            </w:r>
            <w:r>
              <w:rPr/>
              <w:t xml:space="preserve"> </w:t>
            </w:r>
            <w:r>
              <w:rPr/>
              <w:t>金</w:t>
            </w:r>
          </w:p>
        </w:tc>
        <w:tc>
          <w:tcPr>
            <w:tcW w:w="739" w:type="dxa"/>
            <w:vAlign w:val="top"/>
          </w:tcPr>
          <w:p>
            <w:pPr>
              <w:spacing w:line="247" w:lineRule="auto"/>
              <w:rPr>
                <w:rFonts w:ascii="Arial"/>
                <w:sz w:val="21"/>
              </w:rPr>
            </w:pPr>
            <w:r/>
          </w:p>
          <w:p>
            <w:pPr>
              <w:pStyle w:val="TableText"/>
              <w:ind w:left="60"/>
              <w:spacing w:before="48" w:line="219" w:lineRule="auto"/>
              <w:rPr/>
            </w:pPr>
            <w:r>
              <w:rPr>
                <w:spacing w:val="-2"/>
              </w:rPr>
              <w:t>人力资源</w:t>
            </w:r>
          </w:p>
          <w:p>
            <w:pPr>
              <w:pStyle w:val="TableText"/>
              <w:ind w:left="60"/>
              <w:spacing w:before="40" w:line="219" w:lineRule="auto"/>
              <w:rPr/>
            </w:pPr>
            <w:r>
              <w:rPr>
                <w:spacing w:val="-2"/>
              </w:rPr>
              <w:t>社会保障</w:t>
            </w:r>
          </w:p>
          <w:p>
            <w:pPr>
              <w:pStyle w:val="TableText"/>
              <w:ind w:left="280"/>
              <w:spacing w:before="23" w:line="219" w:lineRule="auto"/>
              <w:rPr/>
            </w:pPr>
            <w:r>
              <w:rPr/>
              <w:t>部</w:t>
            </w:r>
          </w:p>
        </w:tc>
        <w:tc>
          <w:tcPr>
            <w:tcW w:w="1419" w:type="dxa"/>
            <w:vAlign w:val="top"/>
          </w:tcPr>
          <w:p>
            <w:pPr>
              <w:pStyle w:val="TableText"/>
              <w:spacing w:before="287" w:line="219" w:lineRule="auto"/>
              <w:rPr/>
            </w:pPr>
            <w:r>
              <w:rPr>
                <w:spacing w:val="-3"/>
              </w:rPr>
              <w:t>《国务院关于解决农</w:t>
            </w:r>
          </w:p>
          <w:p>
            <w:pPr>
              <w:pStyle w:val="TableText"/>
              <w:ind w:left="12" w:right="1" w:firstLine="89"/>
              <w:spacing w:before="50" w:line="247" w:lineRule="auto"/>
              <w:jc w:val="both"/>
              <w:rPr/>
            </w:pPr>
            <w:r>
              <w:rPr>
                <w:spacing w:val="1"/>
              </w:rPr>
              <w:t>民工问题的若干意</w:t>
            </w:r>
            <w:r>
              <w:rPr/>
              <w:t xml:space="preserve">  </w:t>
            </w:r>
            <w:r>
              <w:rPr>
                <w:spacing w:val="10"/>
              </w:rPr>
              <w:t>见》(国发〔2006〕</w:t>
            </w:r>
            <w:r>
              <w:rPr>
                <w:spacing w:val="9"/>
              </w:rPr>
              <w:t xml:space="preserve"> </w:t>
            </w:r>
            <w:r>
              <w:rPr>
                <w:spacing w:val="10"/>
              </w:rPr>
              <w:t>5号)</w:t>
            </w:r>
          </w:p>
          <w:p>
            <w:pPr>
              <w:pStyle w:val="TableText"/>
              <w:ind w:left="34" w:right="84" w:hanging="34"/>
              <w:spacing w:before="59" w:line="245" w:lineRule="auto"/>
              <w:rPr/>
            </w:pPr>
            <w:r>
              <w:rPr>
                <w:spacing w:val="-3"/>
              </w:rPr>
              <w:t>《国务院办公厅转发</w:t>
            </w:r>
            <w:r>
              <w:rPr/>
              <w:t xml:space="preserve"> </w:t>
            </w:r>
            <w:r>
              <w:rPr>
                <w:spacing w:val="-2"/>
              </w:rPr>
              <w:t>解决企业工资拖欠</w:t>
            </w:r>
          </w:p>
          <w:p>
            <w:pPr>
              <w:pStyle w:val="TableText"/>
              <w:ind w:left="22" w:right="45"/>
              <w:spacing w:before="40" w:line="259" w:lineRule="auto"/>
              <w:rPr/>
            </w:pPr>
            <w:r>
              <w:rPr/>
              <w:t>问题部际联席会议</w:t>
            </w:r>
            <w:r>
              <w:rPr>
                <w:spacing w:val="2"/>
              </w:rPr>
              <w:t xml:space="preserve">   </w:t>
            </w:r>
            <w:r>
              <w:rPr>
                <w:spacing w:val="-1"/>
              </w:rPr>
              <w:t>关于推进企业解决工</w:t>
            </w:r>
            <w:r>
              <w:rPr/>
              <w:t xml:space="preserve"> </w:t>
            </w:r>
            <w:r>
              <w:rPr>
                <w:spacing w:val="-2"/>
              </w:rPr>
              <w:t>资拖欠问题若干意见</w:t>
            </w:r>
            <w:r>
              <w:rPr>
                <w:spacing w:val="4"/>
              </w:rPr>
              <w:t xml:space="preserve"> </w:t>
            </w:r>
            <w:r>
              <w:rPr>
                <w:spacing w:val="3"/>
              </w:rPr>
              <w:t>的通知》(国办发〔</w:t>
            </w:r>
            <w:r>
              <w:rPr>
                <w:spacing w:val="6"/>
              </w:rPr>
              <w:t xml:space="preserve"> </w:t>
            </w:r>
            <w:r>
              <w:rPr>
                <w:spacing w:val="3"/>
              </w:rPr>
              <w:t>2006〕91号)</w:t>
            </w:r>
          </w:p>
          <w:p>
            <w:pPr>
              <w:pStyle w:val="TableText"/>
              <w:spacing w:before="49" w:line="219" w:lineRule="auto"/>
              <w:rPr/>
            </w:pPr>
            <w:r>
              <w:rPr>
                <w:spacing w:val="-3"/>
              </w:rPr>
              <w:t>《国务院办公厅关于</w:t>
            </w:r>
          </w:p>
          <w:p>
            <w:pPr>
              <w:pStyle w:val="TableText"/>
              <w:ind w:left="22"/>
              <w:spacing w:before="42" w:line="220" w:lineRule="auto"/>
              <w:rPr/>
            </w:pPr>
            <w:r>
              <w:rPr>
                <w:spacing w:val="-1"/>
              </w:rPr>
              <w:t>全面治理拖欠农民工</w:t>
            </w:r>
          </w:p>
          <w:p>
            <w:pPr>
              <w:pStyle w:val="TableText"/>
              <w:ind w:left="22"/>
              <w:spacing w:before="41" w:line="219" w:lineRule="auto"/>
              <w:rPr/>
            </w:pPr>
            <w:r>
              <w:rPr>
                <w:spacing w:val="1"/>
              </w:rPr>
              <w:t>工资问题的意见》国</w:t>
            </w:r>
          </w:p>
          <w:p>
            <w:pPr>
              <w:pStyle w:val="TableText"/>
              <w:ind w:left="101"/>
              <w:spacing w:before="42" w:line="219" w:lineRule="auto"/>
              <w:rPr/>
            </w:pPr>
            <w:r>
              <w:rPr>
                <w:spacing w:val="2"/>
              </w:rPr>
              <w:t>办发〔2016〕1号)</w:t>
            </w:r>
          </w:p>
          <w:p>
            <w:pPr>
              <w:pStyle w:val="TableText"/>
              <w:ind w:left="34" w:right="21" w:hanging="34"/>
              <w:spacing w:before="22" w:line="261" w:lineRule="auto"/>
              <w:rPr/>
            </w:pPr>
            <w:r>
              <w:rPr>
                <w:spacing w:val="-4"/>
              </w:rPr>
              <w:t>《国务院办公厅关于</w:t>
            </w:r>
            <w:r>
              <w:rPr>
                <w:spacing w:val="3"/>
              </w:rPr>
              <w:t xml:space="preserve">  </w:t>
            </w:r>
            <w:r>
              <w:rPr>
                <w:spacing w:val="-3"/>
              </w:rPr>
              <w:t>清理规范工程建设领</w:t>
            </w:r>
            <w:r>
              <w:rPr>
                <w:spacing w:val="7"/>
              </w:rPr>
              <w:t xml:space="preserve"> </w:t>
            </w:r>
            <w:r>
              <w:rPr/>
              <w:t>域保证金的通知》国</w:t>
            </w:r>
            <w:r>
              <w:rPr>
                <w:spacing w:val="1"/>
              </w:rPr>
              <w:t xml:space="preserve"> </w:t>
            </w:r>
            <w:r>
              <w:rPr>
                <w:spacing w:val="2"/>
              </w:rPr>
              <w:t>办〔2016〕49号)</w:t>
            </w:r>
          </w:p>
          <w:p>
            <w:pPr>
              <w:pStyle w:val="TableText"/>
              <w:ind w:left="24" w:right="77" w:hanging="24"/>
              <w:spacing w:before="50" w:line="254" w:lineRule="auto"/>
              <w:rPr/>
            </w:pPr>
            <w:r>
              <w:rPr>
                <w:spacing w:val="-4"/>
              </w:rPr>
              <w:t>《保障农民工工资支</w:t>
            </w:r>
            <w:r>
              <w:rPr>
                <w:spacing w:val="7"/>
              </w:rPr>
              <w:t xml:space="preserve"> </w:t>
            </w:r>
            <w:r>
              <w:rPr>
                <w:spacing w:val="3"/>
              </w:rPr>
              <w:t>付条例》(国务院令 </w:t>
            </w:r>
            <w:r>
              <w:rPr>
                <w:spacing w:val="-7"/>
              </w:rPr>
              <w:t>第</w:t>
            </w:r>
            <w:r>
              <w:rPr>
                <w:spacing w:val="-22"/>
              </w:rPr>
              <w:t xml:space="preserve"> </w:t>
            </w:r>
            <w:r>
              <w:rPr>
                <w:spacing w:val="-7"/>
              </w:rPr>
              <w:t>7</w:t>
            </w:r>
            <w:r>
              <w:rPr>
                <w:spacing w:val="-25"/>
              </w:rPr>
              <w:t xml:space="preserve"> </w:t>
            </w:r>
            <w:r>
              <w:rPr>
                <w:spacing w:val="-7"/>
              </w:rPr>
              <w:t>2</w:t>
            </w:r>
            <w:r>
              <w:rPr>
                <w:spacing w:val="-28"/>
              </w:rPr>
              <w:t xml:space="preserve"> </w:t>
            </w:r>
            <w:r>
              <w:rPr>
                <w:spacing w:val="-7"/>
              </w:rPr>
              <w:t>4</w:t>
            </w:r>
            <w:r>
              <w:rPr>
                <w:spacing w:val="-23"/>
              </w:rPr>
              <w:t xml:space="preserve"> </w:t>
            </w:r>
            <w:r>
              <w:rPr>
                <w:spacing w:val="-7"/>
              </w:rPr>
              <w:t>号</w:t>
            </w:r>
          </w:p>
        </w:tc>
        <w:tc>
          <w:tcPr>
            <w:tcW w:w="1628" w:type="dxa"/>
            <w:vAlign w:val="top"/>
          </w:tcPr>
          <w:p>
            <w:pPr>
              <w:spacing w:line="259" w:lineRule="auto"/>
              <w:rPr>
                <w:rFonts w:ascii="Arial"/>
                <w:sz w:val="21"/>
              </w:rPr>
            </w:pPr>
            <w:r/>
          </w:p>
          <w:p>
            <w:pPr>
              <w:pStyle w:val="TableText"/>
              <w:ind w:left="12" w:firstLine="38"/>
              <w:spacing w:before="49" w:line="264" w:lineRule="auto"/>
              <w:jc w:val="both"/>
              <w:rPr/>
            </w:pPr>
            <w:r>
              <w:rPr>
                <w:spacing w:val="-6"/>
              </w:rPr>
              <w:t>工资保证金按工程施工  </w:t>
            </w:r>
            <w:r>
              <w:rPr>
                <w:spacing w:val="2"/>
              </w:rPr>
              <w:t>合同额(或年度合同额】</w:t>
            </w:r>
            <w:r>
              <w:rPr>
                <w:spacing w:val="7"/>
              </w:rPr>
              <w:t xml:space="preserve"> </w:t>
            </w:r>
            <w:r>
              <w:rPr/>
              <w:t>的一定比例存储，原则</w:t>
            </w:r>
            <w:r>
              <w:rPr>
                <w:spacing w:val="2"/>
              </w:rPr>
              <w:t xml:space="preserve">  </w:t>
            </w:r>
            <w:r>
              <w:rPr>
                <w:spacing w:val="25"/>
              </w:rPr>
              <w:t>上不低于1%,不超过</w:t>
            </w:r>
            <w:r>
              <w:rPr>
                <w:spacing w:val="1"/>
              </w:rPr>
              <w:t xml:space="preserve">  </w:t>
            </w:r>
            <w:r>
              <w:rPr>
                <w:spacing w:val="-2"/>
              </w:rPr>
              <w:t>3%。具体存储比例及浮  </w:t>
            </w:r>
            <w:r>
              <w:rPr>
                <w:spacing w:val="-3"/>
              </w:rPr>
              <w:t>动办法由省级人力资源  </w:t>
            </w:r>
            <w:r>
              <w:rPr/>
              <w:t>社会保障行政部门商同</w:t>
            </w:r>
            <w:r>
              <w:rPr>
                <w:spacing w:val="2"/>
              </w:rPr>
              <w:t xml:space="preserve">  </w:t>
            </w:r>
            <w:r>
              <w:rPr>
                <w:spacing w:val="-3"/>
              </w:rPr>
              <w:t>级行业工程建设主管部  </w:t>
            </w:r>
            <w:r>
              <w:rPr>
                <w:spacing w:val="-1"/>
              </w:rPr>
              <w:t>门研究确定。工资保证</w:t>
            </w:r>
            <w:r>
              <w:rPr>
                <w:spacing w:val="4"/>
              </w:rPr>
              <w:t xml:space="preserve">  </w:t>
            </w:r>
            <w:r>
              <w:rPr>
                <w:spacing w:val="-3"/>
              </w:rPr>
              <w:t>金存储比例应根据本行  </w:t>
            </w:r>
            <w:r>
              <w:rPr>
                <w:spacing w:val="-3"/>
              </w:rPr>
              <w:t>政区保障农民工工资支  </w:t>
            </w:r>
            <w:r>
              <w:rPr>
                <w:spacing w:val="-3"/>
              </w:rPr>
              <w:t>付实际情况实行定期动  </w:t>
            </w:r>
            <w:r>
              <w:rPr>
                <w:spacing w:val="13"/>
              </w:rPr>
              <w:t>态调整</w:t>
            </w:r>
            <w:r>
              <w:rPr>
                <w:spacing w:val="-36"/>
              </w:rPr>
              <w:t xml:space="preserve"> </w:t>
            </w:r>
            <w:r>
              <w:rPr>
                <w:spacing w:val="13"/>
              </w:rPr>
              <w:t>；</w:t>
            </w:r>
          </w:p>
          <w:p>
            <w:pPr>
              <w:pStyle w:val="TableText"/>
              <w:ind w:left="52" w:right="29"/>
              <w:spacing w:before="56" w:line="262" w:lineRule="auto"/>
              <w:jc w:val="both"/>
              <w:rPr/>
            </w:pPr>
            <w:r>
              <w:rPr>
                <w:spacing w:val="-1"/>
              </w:rPr>
              <w:t>在工资保证金管理地区</w:t>
            </w:r>
            <w:r>
              <w:rPr>
                <w:spacing w:val="3"/>
              </w:rPr>
              <w:t xml:space="preserve"> </w:t>
            </w:r>
            <w:r>
              <w:rPr>
                <w:spacing w:val="3"/>
              </w:rPr>
              <w:t>承建工程连续2年未发</w:t>
            </w:r>
            <w:r>
              <w:rPr>
                <w:spacing w:val="1"/>
              </w:rPr>
              <w:t xml:space="preserve">  </w:t>
            </w:r>
            <w:r>
              <w:rPr>
                <w:spacing w:val="-2"/>
              </w:rPr>
              <w:t>生工资拖欠的，其新增 </w:t>
            </w:r>
            <w:r>
              <w:rPr>
                <w:spacing w:val="3"/>
              </w:rPr>
              <w:t>工程应降低存储比例，</w:t>
            </w:r>
            <w:r>
              <w:rPr>
                <w:spacing w:val="4"/>
              </w:rPr>
              <w:t xml:space="preserve"> </w:t>
            </w:r>
            <w:r>
              <w:rPr>
                <w:spacing w:val="3"/>
              </w:rPr>
              <w:t>降幅不低于50%;连续3  </w:t>
            </w:r>
            <w:r>
              <w:rPr>
                <w:spacing w:val="-1"/>
              </w:rPr>
              <w:t>年未发生工资拖欠且按</w:t>
            </w:r>
            <w:r>
              <w:rPr>
                <w:spacing w:val="2"/>
              </w:rPr>
              <w:t xml:space="preserve"> </w:t>
            </w:r>
            <w:r>
              <w:rPr>
                <w:spacing w:val="-1"/>
              </w:rPr>
              <w:t>要求落实用工实名制管</w:t>
            </w:r>
          </w:p>
          <w:p>
            <w:pPr>
              <w:pStyle w:val="TableText"/>
              <w:ind w:left="52" w:right="71"/>
              <w:spacing w:before="72" w:line="245" w:lineRule="auto"/>
              <w:jc w:val="both"/>
              <w:rPr/>
            </w:pPr>
            <w:r>
              <w:rPr>
                <w:spacing w:val="-1"/>
              </w:rPr>
              <w:t>理和农民工工资专用账</w:t>
            </w:r>
            <w:r>
              <w:rPr>
                <w:spacing w:val="1"/>
              </w:rPr>
              <w:t xml:space="preserve"> </w:t>
            </w:r>
            <w:r>
              <w:rPr>
                <w:spacing w:val="-1"/>
              </w:rPr>
              <w:t>户制度的，其新增工程</w:t>
            </w:r>
            <w:r>
              <w:rPr>
                <w:spacing w:val="2"/>
              </w:rPr>
              <w:t xml:space="preserve"> </w:t>
            </w:r>
            <w:r>
              <w:rPr>
                <w:spacing w:val="-1"/>
              </w:rPr>
              <w:t>可免于存储工资保证金</w:t>
            </w:r>
          </w:p>
        </w:tc>
        <w:tc>
          <w:tcPr>
            <w:tcW w:w="1648" w:type="dxa"/>
            <w:vAlign w:val="top"/>
          </w:tcPr>
          <w:p>
            <w:pPr>
              <w:spacing w:line="246" w:lineRule="auto"/>
              <w:rPr>
                <w:rFonts w:ascii="Arial"/>
                <w:sz w:val="21"/>
              </w:rPr>
            </w:pPr>
            <w:r/>
          </w:p>
          <w:p>
            <w:pPr>
              <w:pStyle w:val="TableText"/>
              <w:ind w:left="44" w:right="78" w:firstLine="20"/>
              <w:spacing w:before="49" w:line="245" w:lineRule="auto"/>
              <w:rPr/>
            </w:pPr>
            <w:r>
              <w:rPr>
                <w:spacing w:val="-1"/>
              </w:rPr>
              <w:t>施工总承包单位可选择</w:t>
            </w:r>
            <w:r>
              <w:rPr>
                <w:spacing w:val="3"/>
              </w:rPr>
              <w:t xml:space="preserve"> </w:t>
            </w:r>
            <w:r>
              <w:rPr>
                <w:spacing w:val="1"/>
              </w:rPr>
              <w:t>以银行保函(保险)替</w:t>
            </w:r>
          </w:p>
          <w:p>
            <w:pPr>
              <w:pStyle w:val="TableText"/>
              <w:ind w:left="14"/>
              <w:spacing w:before="42" w:line="219" w:lineRule="auto"/>
              <w:rPr/>
            </w:pPr>
            <w:r>
              <w:rPr/>
              <w:t>[代现金存储工资保证</w:t>
            </w:r>
          </w:p>
          <w:p>
            <w:pPr>
              <w:pStyle w:val="TableText"/>
              <w:ind w:left="24" w:right="52" w:firstLine="40"/>
              <w:spacing w:before="41" w:line="246" w:lineRule="auto"/>
              <w:rPr/>
            </w:pPr>
            <w:r>
              <w:rPr>
                <w:spacing w:val="2"/>
              </w:rPr>
              <w:t>金。采用工程担保公司</w:t>
            </w:r>
            <w:r>
              <w:rPr/>
              <w:t xml:space="preserve"> </w:t>
            </w:r>
            <w:r>
              <w:rPr>
                <w:spacing w:val="-1"/>
              </w:rPr>
              <w:t>保函(保险)或工程保</w:t>
            </w:r>
          </w:p>
          <w:p>
            <w:pPr>
              <w:pStyle w:val="TableText"/>
              <w:ind w:left="64" w:right="57"/>
              <w:spacing w:before="39"/>
              <w:rPr/>
            </w:pPr>
            <w:r>
              <w:rPr>
                <w:spacing w:val="-1"/>
              </w:rPr>
              <w:t>证保险方式代替工资保</w:t>
            </w:r>
            <w:r>
              <w:rPr>
                <w:spacing w:val="3"/>
              </w:rPr>
              <w:t xml:space="preserve"> </w:t>
            </w:r>
            <w:r>
              <w:rPr>
                <w:spacing w:val="1"/>
              </w:rPr>
              <w:t>证金的，参照银行保函</w:t>
            </w:r>
          </w:p>
          <w:p>
            <w:pPr>
              <w:pStyle w:val="TableText"/>
              <w:ind w:left="24" w:right="136" w:firstLine="120"/>
              <w:spacing w:before="49" w:line="234" w:lineRule="auto"/>
              <w:rPr/>
            </w:pPr>
            <w:r>
              <w:rPr/>
              <w:t>(保险)的相关规定执</w:t>
            </w:r>
            <w:r>
              <w:rPr>
                <w:spacing w:val="5"/>
              </w:rPr>
              <w:t xml:space="preserve"> </w:t>
            </w:r>
            <w:r>
              <w:rPr/>
              <w:t>行</w:t>
            </w:r>
          </w:p>
        </w:tc>
        <w:tc>
          <w:tcPr>
            <w:tcW w:w="1628" w:type="dxa"/>
            <w:vAlign w:val="top"/>
          </w:tcPr>
          <w:p>
            <w:pPr>
              <w:spacing w:line="246" w:lineRule="auto"/>
              <w:rPr>
                <w:rFonts w:ascii="Arial"/>
                <w:sz w:val="21"/>
              </w:rPr>
            </w:pPr>
            <w:r/>
          </w:p>
          <w:p>
            <w:pPr>
              <w:pStyle w:val="TableText"/>
              <w:ind w:left="36" w:right="35" w:firstLine="20"/>
              <w:spacing w:before="49" w:line="245" w:lineRule="auto"/>
              <w:rPr/>
            </w:pPr>
            <w:r>
              <w:rPr>
                <w:spacing w:val="2"/>
              </w:rPr>
              <w:t>施工总承包单位应当自</w:t>
            </w:r>
            <w:r>
              <w:rPr>
                <w:spacing w:val="4"/>
              </w:rPr>
              <w:t xml:space="preserve"> </w:t>
            </w:r>
            <w:r>
              <w:rPr>
                <w:spacing w:val="-1"/>
              </w:rPr>
              <w:t>工程取得施工许可证</w:t>
            </w:r>
          </w:p>
          <w:p>
            <w:pPr>
              <w:pStyle w:val="TableText"/>
              <w:ind w:left="16" w:right="54" w:firstLine="40"/>
              <w:spacing w:before="42" w:line="261" w:lineRule="auto"/>
              <w:rPr/>
            </w:pPr>
            <w:r>
              <w:rPr>
                <w:spacing w:val="2"/>
              </w:rPr>
              <w:t>(开工报告批复)之日  </w:t>
            </w:r>
            <w:r>
              <w:rPr>
                <w:spacing w:val="-1"/>
              </w:rPr>
              <w:t>起20个工作日内(依法  </w:t>
            </w:r>
            <w:r>
              <w:rPr>
                <w:spacing w:val="3"/>
              </w:rPr>
              <w:t>不需要办理施工许可证</w:t>
            </w:r>
            <w:r>
              <w:rPr/>
              <w:t xml:space="preserve"> </w:t>
            </w:r>
            <w:r>
              <w:rPr>
                <w:spacing w:val="3"/>
              </w:rPr>
              <w:t>或批准开工报告的工程</w:t>
            </w:r>
            <w:r>
              <w:rPr>
                <w:spacing w:val="1"/>
              </w:rPr>
              <w:t xml:space="preserve"> </w:t>
            </w:r>
            <w:r>
              <w:rPr>
                <w:spacing w:val="4"/>
              </w:rPr>
              <w:t>自签订施工合同之日起</w:t>
            </w:r>
            <w:r>
              <w:rPr>
                <w:spacing w:val="5"/>
              </w:rPr>
              <w:t xml:space="preserve"> </w:t>
            </w:r>
            <w:r>
              <w:rPr>
                <w:spacing w:val="-1"/>
              </w:rPr>
              <w:t>20个工作日之内),持</w:t>
            </w:r>
          </w:p>
          <w:p>
            <w:pPr>
              <w:pStyle w:val="TableText"/>
              <w:ind w:left="16" w:right="68" w:firstLine="40"/>
              <w:spacing w:before="47" w:line="258" w:lineRule="auto"/>
              <w:rPr/>
            </w:pPr>
            <w:r>
              <w:rPr>
                <w:spacing w:val="-2"/>
              </w:rPr>
              <w:t>营业执照副本、与建设</w:t>
            </w:r>
            <w:r>
              <w:rPr>
                <w:spacing w:val="8"/>
              </w:rPr>
              <w:t xml:space="preserve"> </w:t>
            </w:r>
            <w:r>
              <w:rPr>
                <w:spacing w:val="3"/>
              </w:rPr>
              <w:t>单位签订的施工合同在</w:t>
            </w:r>
            <w:r>
              <w:rPr>
                <w:spacing w:val="1"/>
              </w:rPr>
              <w:t xml:space="preserve"> </w:t>
            </w:r>
            <w:r>
              <w:rPr>
                <w:spacing w:val="3"/>
              </w:rPr>
              <w:t>经办银行开立工资保证</w:t>
            </w:r>
            <w:r>
              <w:rPr>
                <w:spacing w:val="1"/>
              </w:rPr>
              <w:t xml:space="preserve"> </w:t>
            </w:r>
            <w:r>
              <w:rPr>
                <w:spacing w:val="3"/>
              </w:rPr>
              <w:t>金专门账户存储工资保</w:t>
            </w:r>
            <w:r>
              <w:rPr>
                <w:spacing w:val="1"/>
              </w:rPr>
              <w:t xml:space="preserve"> </w:t>
            </w:r>
            <w:r>
              <w:rPr>
                <w:spacing w:val="-2"/>
              </w:rPr>
              <w:t>证金</w:t>
            </w:r>
          </w:p>
        </w:tc>
        <w:tc>
          <w:tcPr>
            <w:tcW w:w="1633" w:type="dxa"/>
            <w:vAlign w:val="top"/>
          </w:tcPr>
          <w:p>
            <w:pPr>
              <w:spacing w:line="247" w:lineRule="auto"/>
              <w:rPr>
                <w:rFonts w:ascii="Arial"/>
                <w:sz w:val="21"/>
              </w:rPr>
            </w:pPr>
            <w:r/>
          </w:p>
          <w:p>
            <w:pPr>
              <w:pStyle w:val="TableText"/>
              <w:ind w:left="58"/>
              <w:spacing w:before="49" w:line="220" w:lineRule="auto"/>
              <w:rPr/>
            </w:pPr>
            <w:r>
              <w:rPr>
                <w:spacing w:val="-1"/>
              </w:rPr>
              <w:t>工资保证金对应的工程</w:t>
            </w:r>
          </w:p>
          <w:p>
            <w:pPr>
              <w:pStyle w:val="TableText"/>
              <w:ind w:left="58"/>
              <w:spacing w:before="50" w:line="219" w:lineRule="auto"/>
              <w:rPr/>
            </w:pPr>
            <w:r>
              <w:rPr>
                <w:spacing w:val="-1"/>
              </w:rPr>
              <w:t>完工，施工总承包单位</w:t>
            </w:r>
          </w:p>
          <w:p>
            <w:pPr>
              <w:pStyle w:val="TableText"/>
              <w:ind w:left="58"/>
              <w:spacing w:before="40" w:line="219" w:lineRule="auto"/>
              <w:rPr/>
            </w:pPr>
            <w:r>
              <w:rPr>
                <w:spacing w:val="-1"/>
              </w:rPr>
              <w:t>作出书面承诺该工程不</w:t>
            </w:r>
          </w:p>
          <w:p>
            <w:pPr>
              <w:pStyle w:val="TableText"/>
              <w:ind w:left="58"/>
              <w:spacing w:before="33" w:line="219" w:lineRule="auto"/>
              <w:rPr/>
            </w:pPr>
            <w:r>
              <w:rPr>
                <w:spacing w:val="-1"/>
              </w:rPr>
              <w:t>存在未解决的拖欠农民</w:t>
            </w:r>
          </w:p>
          <w:p>
            <w:pPr>
              <w:pStyle w:val="TableText"/>
              <w:ind w:left="58"/>
              <w:spacing w:before="42" w:line="219" w:lineRule="auto"/>
              <w:rPr/>
            </w:pPr>
            <w:r>
              <w:rPr>
                <w:spacing w:val="-1"/>
              </w:rPr>
              <w:t>工工资问题，并在施工</w:t>
            </w:r>
          </w:p>
          <w:p>
            <w:pPr>
              <w:pStyle w:val="TableText"/>
              <w:ind w:left="58"/>
              <w:spacing w:before="40" w:line="218" w:lineRule="auto"/>
              <w:rPr/>
            </w:pPr>
            <w:r>
              <w:rPr>
                <w:spacing w:val="-1"/>
              </w:rPr>
              <w:t>现场维权信息告示牌及</w:t>
            </w:r>
          </w:p>
          <w:p>
            <w:pPr>
              <w:pStyle w:val="TableText"/>
              <w:ind w:left="58"/>
              <w:spacing w:before="34" w:line="219" w:lineRule="auto"/>
              <w:rPr/>
            </w:pPr>
            <w:r>
              <w:rPr>
                <w:spacing w:val="-1"/>
              </w:rPr>
              <w:t>属地人力资源社会保障</w:t>
            </w:r>
          </w:p>
          <w:p>
            <w:pPr>
              <w:pStyle w:val="TableText"/>
              <w:ind w:left="58"/>
              <w:spacing w:before="43" w:line="219" w:lineRule="auto"/>
              <w:rPr/>
            </w:pPr>
            <w:r>
              <w:rPr>
                <w:spacing w:val="-1"/>
              </w:rPr>
              <w:t>行政部门门户网站公示</w:t>
            </w:r>
          </w:p>
          <w:p>
            <w:pPr>
              <w:pStyle w:val="TableText"/>
              <w:ind w:left="58"/>
              <w:spacing w:before="52" w:line="219" w:lineRule="auto"/>
              <w:rPr/>
            </w:pPr>
            <w:r>
              <w:rPr>
                <w:spacing w:val="-1"/>
              </w:rPr>
              <w:t>30日后，可以申请返还</w:t>
            </w:r>
          </w:p>
          <w:p>
            <w:pPr>
              <w:pStyle w:val="TableText"/>
              <w:ind w:left="58"/>
              <w:spacing w:before="32" w:line="220" w:lineRule="auto"/>
              <w:rPr/>
            </w:pPr>
            <w:r>
              <w:rPr>
                <w:spacing w:val="1"/>
              </w:rPr>
              <w:t>工资保证金或银行保函</w:t>
            </w:r>
          </w:p>
          <w:p>
            <w:pPr>
              <w:pStyle w:val="TableText"/>
              <w:ind w:left="139"/>
              <w:spacing w:before="50" w:line="219" w:lineRule="auto"/>
              <w:rPr/>
            </w:pPr>
            <w:r>
              <w:rPr/>
              <w:t>(保险)正本。属地人</w:t>
            </w:r>
          </w:p>
          <w:p>
            <w:pPr>
              <w:pStyle w:val="TableText"/>
              <w:ind w:left="28" w:right="54" w:firstLine="30"/>
              <w:spacing w:before="42" w:line="254" w:lineRule="auto"/>
              <w:rPr/>
            </w:pPr>
            <w:r>
              <w:rPr>
                <w:spacing w:val="-1"/>
              </w:rPr>
              <w:t>力资源社会保障行政部</w:t>
            </w:r>
            <w:r>
              <w:rPr/>
              <w:t xml:space="preserve"> </w:t>
            </w:r>
            <w:r>
              <w:rPr>
                <w:spacing w:val="3"/>
              </w:rPr>
              <w:t>门应建立工资保证金定</w:t>
            </w:r>
            <w:r>
              <w:rPr>
                <w:spacing w:val="8"/>
              </w:rPr>
              <w:t xml:space="preserve"> </w:t>
            </w:r>
            <w:r>
              <w:rPr>
                <w:spacing w:val="3"/>
              </w:rPr>
              <w:t>期(至少每半年一次)</w:t>
            </w:r>
          </w:p>
          <w:p>
            <w:pPr>
              <w:pStyle w:val="TableText"/>
              <w:ind w:left="38" w:right="43" w:firstLine="20"/>
              <w:spacing w:before="39" w:line="263" w:lineRule="auto"/>
              <w:rPr/>
            </w:pPr>
            <w:r>
              <w:rPr>
                <w:spacing w:val="-1"/>
              </w:rPr>
              <w:t>清查机制，对经核实工</w:t>
            </w:r>
            <w:r>
              <w:rPr>
                <w:spacing w:val="3"/>
              </w:rPr>
              <w:t xml:space="preserve"> </w:t>
            </w:r>
            <w:r>
              <w:rPr>
                <w:spacing w:val="1"/>
              </w:rPr>
              <w:t>程完工且不存在拖欠农</w:t>
            </w:r>
            <w:r>
              <w:rPr>
                <w:spacing w:val="3"/>
              </w:rPr>
              <w:t xml:space="preserve"> </w:t>
            </w:r>
            <w:r>
              <w:rPr>
                <w:spacing w:val="3"/>
              </w:rPr>
              <w:t>民工工资问题，施工总</w:t>
            </w:r>
            <w:r>
              <w:rPr>
                <w:spacing w:val="1"/>
              </w:rPr>
              <w:t xml:space="preserve"> </w:t>
            </w:r>
            <w:r>
              <w:rPr>
                <w:spacing w:val="4"/>
              </w:rPr>
              <w:t>承包单位在一定期限内</w:t>
            </w:r>
            <w:r>
              <w:rPr/>
              <w:t xml:space="preserve"> </w:t>
            </w:r>
            <w:r>
              <w:rPr>
                <w:spacing w:val="1"/>
              </w:rPr>
              <w:t>末提交返还申请的，应</w:t>
            </w:r>
            <w:r>
              <w:rPr>
                <w:spacing w:val="3"/>
              </w:rPr>
              <w:t xml:space="preserve"> </w:t>
            </w:r>
            <w:r>
              <w:rPr>
                <w:spacing w:val="-1"/>
              </w:rPr>
              <w:t>主动启动返还程序</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08448"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512" name="TextBox 512"/>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4" style="position:absolute;margin-left:37.0722pt;margin-top:345.103pt;mso-position-vertical-relative:page;mso-position-horizontal-relative:page;width:13.55pt;height:12.35pt;z-index:25200844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345</w:t>
                      </w:r>
                    </w:p>
                  </w:txbxContent>
                </v:textbox>
              </v:shape>
            </w:pict>
          </mc:Fallback>
        </mc:AlternateContent>
      </w:r>
      <w:r/>
    </w:p>
    <w:p>
      <w:pPr>
        <w:spacing w:before="51"/>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749"/>
        <w:gridCol w:w="1409"/>
        <w:gridCol w:w="1628"/>
        <w:gridCol w:w="1648"/>
        <w:gridCol w:w="1628"/>
        <w:gridCol w:w="1623"/>
      </w:tblGrid>
      <w:tr>
        <w:trPr>
          <w:trHeight w:val="474" w:hRule="atLeast"/>
        </w:trPr>
        <w:tc>
          <w:tcPr>
            <w:tcW w:w="28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39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23" w:type="dxa"/>
            <w:vAlign w:val="top"/>
          </w:tcPr>
          <w:p>
            <w:pPr>
              <w:pStyle w:val="TableText"/>
              <w:ind w:left="508"/>
              <w:spacing w:before="163" w:line="221" w:lineRule="auto"/>
              <w:rPr/>
            </w:pPr>
            <w:r>
              <w:rPr>
                <w:spacing w:val="3"/>
              </w:rPr>
              <w:t>返还时间</w:t>
            </w:r>
          </w:p>
        </w:tc>
      </w:tr>
      <w:tr>
        <w:trPr>
          <w:trHeight w:val="2746" w:hRule="atLeast"/>
        </w:trPr>
        <w:tc>
          <w:tcPr>
            <w:tcW w:w="285" w:type="dxa"/>
            <w:vAlign w:val="top"/>
          </w:tcPr>
          <w:p>
            <w:pPr>
              <w:pStyle w:val="TableText"/>
              <w:ind w:left="94"/>
              <w:spacing w:before="145" w:line="183" w:lineRule="auto"/>
              <w:rPr/>
            </w:pPr>
            <w:r>
              <w:rPr/>
              <w:t>6</w:t>
            </w:r>
          </w:p>
        </w:tc>
        <w:tc>
          <w:tcPr>
            <w:tcW w:w="659" w:type="dxa"/>
            <w:vAlign w:val="top"/>
          </w:tcPr>
          <w:p>
            <w:pPr>
              <w:pStyle w:val="TableText"/>
              <w:ind w:left="20" w:right="46" w:hanging="10"/>
              <w:spacing w:before="97" w:line="239" w:lineRule="auto"/>
              <w:rPr/>
            </w:pPr>
            <w:r>
              <w:rPr>
                <w:spacing w:val="-2"/>
              </w:rPr>
              <w:t>工程质量</w:t>
            </w:r>
            <w:r>
              <w:rPr/>
              <w:t xml:space="preserve"> </w:t>
            </w:r>
            <w:r>
              <w:rPr>
                <w:spacing w:val="-2"/>
              </w:rPr>
              <w:t>保证金</w:t>
            </w:r>
          </w:p>
        </w:tc>
        <w:tc>
          <w:tcPr>
            <w:tcW w:w="749" w:type="dxa"/>
            <w:vAlign w:val="top"/>
          </w:tcPr>
          <w:p>
            <w:pPr>
              <w:pStyle w:val="TableText"/>
              <w:ind w:left="140" w:right="57" w:hanging="80"/>
              <w:spacing w:before="96" w:line="254" w:lineRule="auto"/>
              <w:rPr/>
            </w:pPr>
            <w:r>
              <w:rPr>
                <w:spacing w:val="5"/>
              </w:rPr>
              <w:t>住房城乡</w:t>
            </w:r>
            <w:r>
              <w:rPr/>
              <w:t xml:space="preserve"> </w:t>
            </w:r>
            <w:r>
              <w:rPr>
                <w:spacing w:val="-3"/>
              </w:rPr>
              <w:t>建设部</w:t>
            </w:r>
            <w:r>
              <w:rPr/>
              <w:t xml:space="preserve">  </w:t>
            </w:r>
            <w:r>
              <w:rPr>
                <w:spacing w:val="-2"/>
              </w:rPr>
              <w:t>财政部</w:t>
            </w:r>
          </w:p>
        </w:tc>
        <w:tc>
          <w:tcPr>
            <w:tcW w:w="1409" w:type="dxa"/>
            <w:vAlign w:val="top"/>
          </w:tcPr>
          <w:p>
            <w:pPr>
              <w:pStyle w:val="TableText"/>
              <w:ind w:left="44" w:right="27" w:hanging="44"/>
              <w:spacing w:before="97" w:line="264" w:lineRule="auto"/>
              <w:jc w:val="both"/>
              <w:rPr/>
            </w:pPr>
            <w:r>
              <w:rPr>
                <w:spacing w:val="-2"/>
              </w:rPr>
              <w:t>《国务院办公厅关于</w:t>
            </w:r>
            <w:r>
              <w:rPr/>
              <w:t xml:space="preserve"> </w:t>
            </w:r>
            <w:r>
              <w:rPr>
                <w:spacing w:val="-4"/>
              </w:rPr>
              <w:t>清理规范工程建设领</w:t>
            </w:r>
            <w:r>
              <w:rPr>
                <w:spacing w:val="6"/>
              </w:rPr>
              <w:t xml:space="preserve"> </w:t>
            </w:r>
            <w:r>
              <w:rPr>
                <w:spacing w:val="3"/>
              </w:rPr>
              <w:t>域保证金的通知X国</w:t>
            </w:r>
            <w:r>
              <w:rPr/>
              <w:t xml:space="preserve"> </w:t>
            </w:r>
            <w:r>
              <w:rPr>
                <w:spacing w:val="3"/>
              </w:rPr>
              <w:t>办发〔2016〕49号)</w:t>
            </w:r>
            <w:r>
              <w:rPr>
                <w:spacing w:val="8"/>
              </w:rPr>
              <w:t xml:space="preserve"> </w:t>
            </w:r>
            <w:r>
              <w:rPr>
                <w:spacing w:val="-4"/>
              </w:rPr>
              <w:t>住房城乡建设部、财</w:t>
            </w:r>
            <w:r>
              <w:rPr>
                <w:spacing w:val="7"/>
              </w:rPr>
              <w:t xml:space="preserve"> </w:t>
            </w:r>
            <w:r>
              <w:rPr>
                <w:spacing w:val="-4"/>
              </w:rPr>
              <w:t>政部《关于印发建设</w:t>
            </w:r>
            <w:r>
              <w:rPr>
                <w:spacing w:val="7"/>
              </w:rPr>
              <w:t xml:space="preserve"> </w:t>
            </w:r>
            <w:r>
              <w:rPr>
                <w:spacing w:val="-4"/>
              </w:rPr>
              <w:t>工程质量保证金管理</w:t>
            </w:r>
            <w:r>
              <w:rPr>
                <w:spacing w:val="5"/>
              </w:rPr>
              <w:t xml:space="preserve"> </w:t>
            </w:r>
            <w:r>
              <w:rPr>
                <w:spacing w:val="-3"/>
              </w:rPr>
              <w:t>办法的通知》建质〔</w:t>
            </w:r>
            <w:r>
              <w:rPr>
                <w:spacing w:val="3"/>
              </w:rPr>
              <w:t xml:space="preserve"> </w:t>
            </w:r>
            <w:r>
              <w:rPr>
                <w:spacing w:val="-2"/>
              </w:rPr>
              <w:t>2017〕138号</w:t>
            </w:r>
          </w:p>
        </w:tc>
        <w:tc>
          <w:tcPr>
            <w:tcW w:w="1628" w:type="dxa"/>
            <w:vAlign w:val="top"/>
          </w:tcPr>
          <w:p>
            <w:pPr>
              <w:pStyle w:val="TableText"/>
              <w:ind w:left="32" w:right="70" w:firstLine="20"/>
              <w:spacing w:before="106" w:line="255" w:lineRule="auto"/>
              <w:jc w:val="both"/>
              <w:rPr/>
            </w:pPr>
            <w:r>
              <w:rPr>
                <w:spacing w:val="-1"/>
              </w:rPr>
              <w:t>保证金预留比例由发承</w:t>
            </w:r>
            <w:r>
              <w:rPr>
                <w:spacing w:val="2"/>
              </w:rPr>
              <w:t xml:space="preserve"> </w:t>
            </w:r>
            <w:r>
              <w:rPr>
                <w:spacing w:val="1"/>
              </w:rPr>
              <w:t>包双方自行约定，但不</w:t>
            </w:r>
            <w:r>
              <w:rPr>
                <w:spacing w:val="3"/>
              </w:rPr>
              <w:t xml:space="preserve"> </w:t>
            </w:r>
            <w:r>
              <w:rPr>
                <w:spacing w:val="1"/>
              </w:rPr>
              <w:t>得高于工程价款结算总</w:t>
            </w:r>
            <w:r>
              <w:rPr>
                <w:spacing w:val="2"/>
              </w:rPr>
              <w:t xml:space="preserve"> </w:t>
            </w:r>
            <w:r>
              <w:rPr>
                <w:spacing w:val="-2"/>
              </w:rPr>
              <w:t>额的3%</w:t>
            </w:r>
          </w:p>
        </w:tc>
        <w:tc>
          <w:tcPr>
            <w:tcW w:w="1648" w:type="dxa"/>
            <w:vAlign w:val="top"/>
          </w:tcPr>
          <w:p>
            <w:pPr>
              <w:pStyle w:val="TableText"/>
              <w:ind w:left="144" w:right="78" w:hanging="80"/>
              <w:spacing w:before="107" w:line="245" w:lineRule="auto"/>
              <w:rPr/>
            </w:pPr>
            <w:r>
              <w:rPr>
                <w:spacing w:val="-1"/>
              </w:rPr>
              <w:t>承包人可以使用银行保</w:t>
            </w:r>
            <w:r>
              <w:rPr>
                <w:spacing w:val="3"/>
              </w:rPr>
              <w:t xml:space="preserve"> </w:t>
            </w:r>
            <w:r>
              <w:rPr/>
              <w:t>函(保险)替代现金保</w:t>
            </w:r>
          </w:p>
          <w:p>
            <w:pPr>
              <w:pStyle w:val="TableText"/>
              <w:ind w:left="24"/>
              <w:spacing w:before="47" w:line="226" w:lineRule="auto"/>
              <w:rPr/>
            </w:pPr>
            <w:r>
              <w:rPr>
                <w:spacing w:val="-2"/>
              </w:rPr>
              <w:t>证金</w:t>
            </w:r>
          </w:p>
        </w:tc>
        <w:tc>
          <w:tcPr>
            <w:tcW w:w="1628" w:type="dxa"/>
            <w:vAlign w:val="top"/>
          </w:tcPr>
          <w:p>
            <w:pPr>
              <w:pStyle w:val="TableText"/>
              <w:ind w:left="16" w:right="69" w:firstLine="40"/>
              <w:spacing w:before="106" w:line="239" w:lineRule="auto"/>
              <w:rPr/>
            </w:pPr>
            <w:r>
              <w:rPr>
                <w:spacing w:val="-1"/>
              </w:rPr>
              <w:t>发包人与承包人在建设</w:t>
            </w:r>
            <w:r>
              <w:rPr/>
              <w:t xml:space="preserve"> </w:t>
            </w:r>
            <w:r>
              <w:rPr>
                <w:spacing w:val="-1"/>
              </w:rPr>
              <w:t>工程承包合同中约定，</w:t>
            </w:r>
          </w:p>
          <w:p>
            <w:pPr>
              <w:pStyle w:val="TableText"/>
              <w:ind w:left="36"/>
              <w:spacing w:before="42" w:line="219" w:lineRule="auto"/>
              <w:rPr/>
            </w:pPr>
            <w:r>
              <w:rPr>
                <w:spacing w:val="-1"/>
              </w:rPr>
              <w:t>从应付的工程款中预</w:t>
            </w:r>
          </w:p>
          <w:p>
            <w:pPr>
              <w:pStyle w:val="TableText"/>
              <w:ind w:left="36" w:right="54" w:firstLine="60"/>
              <w:spacing w:before="39" w:line="262" w:lineRule="auto"/>
              <w:rPr/>
            </w:pPr>
            <w:r>
              <w:rPr>
                <w:spacing w:val="-2"/>
              </w:rPr>
              <w:t>留，可以银行保函(保</w:t>
            </w:r>
            <w:r>
              <w:rPr>
                <w:spacing w:val="1"/>
              </w:rPr>
              <w:t xml:space="preserve">  </w:t>
            </w:r>
            <w:r>
              <w:rPr>
                <w:spacing w:val="4"/>
              </w:rPr>
              <w:t>险)方式替代工程质量 </w:t>
            </w:r>
            <w:r>
              <w:rPr>
                <w:spacing w:val="1"/>
              </w:rPr>
              <w:t>保证金，采用工程质量</w:t>
            </w:r>
            <w:r>
              <w:rPr>
                <w:spacing w:val="2"/>
              </w:rPr>
              <w:t xml:space="preserve"> </w:t>
            </w:r>
            <w:r>
              <w:rPr>
                <w:spacing w:val="1"/>
              </w:rPr>
              <w:t>担保、工程质量保险等</w:t>
            </w:r>
            <w:r>
              <w:rPr>
                <w:spacing w:val="2"/>
              </w:rPr>
              <w:t xml:space="preserve"> </w:t>
            </w:r>
            <w:r>
              <w:rPr>
                <w:spacing w:val="1"/>
              </w:rPr>
              <w:t>其他保证方式的不得预</w:t>
            </w:r>
            <w:r>
              <w:rPr>
                <w:spacing w:val="2"/>
              </w:rPr>
              <w:t xml:space="preserve"> </w:t>
            </w:r>
            <w:r>
              <w:rPr>
                <w:spacing w:val="2"/>
              </w:rPr>
              <w:t>留工程质量保证金。承</w:t>
            </w:r>
            <w:r>
              <w:rPr>
                <w:spacing w:val="5"/>
              </w:rPr>
              <w:t xml:space="preserve"> </w:t>
            </w:r>
            <w:r>
              <w:rPr>
                <w:spacing w:val="-1"/>
              </w:rPr>
              <w:t>包人缴纳履约保证金</w:t>
            </w:r>
          </w:p>
          <w:p>
            <w:pPr>
              <w:pStyle w:val="TableText"/>
              <w:ind w:left="36" w:right="54" w:firstLine="20"/>
              <w:spacing w:before="52" w:line="233" w:lineRule="auto"/>
              <w:rPr/>
            </w:pPr>
            <w:r>
              <w:rPr/>
              <w:t>的，发包人不得同时预</w:t>
            </w:r>
            <w:r>
              <w:rPr>
                <w:spacing w:val="5"/>
              </w:rPr>
              <w:t xml:space="preserve"> </w:t>
            </w:r>
            <w:r>
              <w:rPr/>
              <w:t>留工程质量保证金</w:t>
            </w:r>
          </w:p>
        </w:tc>
        <w:tc>
          <w:tcPr>
            <w:tcW w:w="1623" w:type="dxa"/>
            <w:vAlign w:val="top"/>
          </w:tcPr>
          <w:p>
            <w:pPr>
              <w:pStyle w:val="TableText"/>
              <w:ind w:left="28" w:right="33" w:firstLine="30"/>
              <w:spacing w:before="108" w:line="263" w:lineRule="auto"/>
              <w:jc w:val="both"/>
              <w:rPr/>
            </w:pPr>
            <w:r>
              <w:rPr>
                <w:spacing w:val="-1"/>
              </w:rPr>
              <w:t>缺陷责任期结束后，承</w:t>
            </w:r>
            <w:r>
              <w:rPr>
                <w:spacing w:val="3"/>
              </w:rPr>
              <w:t xml:space="preserve"> </w:t>
            </w:r>
            <w:r>
              <w:rPr>
                <w:spacing w:val="2"/>
              </w:rPr>
              <w:t>包人可向发包人提出返</w:t>
            </w:r>
            <w:r>
              <w:rPr>
                <w:spacing w:val="3"/>
              </w:rPr>
              <w:t xml:space="preserve"> </w:t>
            </w:r>
            <w:r>
              <w:rPr>
                <w:spacing w:val="2"/>
              </w:rPr>
              <w:t>还保证金申请。发包人</w:t>
            </w:r>
            <w:r>
              <w:rPr>
                <w:spacing w:val="3"/>
              </w:rPr>
              <w:t xml:space="preserve"> </w:t>
            </w:r>
            <w:r>
              <w:rPr>
                <w:spacing w:val="2"/>
              </w:rPr>
              <w:t>在接到承包人返还保证</w:t>
            </w:r>
            <w:r>
              <w:rPr>
                <w:spacing w:val="3"/>
              </w:rPr>
              <w:t xml:space="preserve"> </w:t>
            </w:r>
            <w:r>
              <w:rPr>
                <w:spacing w:val="4"/>
              </w:rPr>
              <w:t>金申请后，应于14天内</w:t>
            </w:r>
            <w:r>
              <w:rPr>
                <w:spacing w:val="5"/>
              </w:rPr>
              <w:t xml:space="preserve"> </w:t>
            </w:r>
            <w:r>
              <w:rPr>
                <w:spacing w:val="2"/>
              </w:rPr>
              <w:t>会同承包人按照合同约</w:t>
            </w:r>
            <w:r>
              <w:rPr>
                <w:spacing w:val="3"/>
              </w:rPr>
              <w:t xml:space="preserve"> </w:t>
            </w:r>
            <w:r>
              <w:rPr>
                <w:spacing w:val="4"/>
              </w:rPr>
              <w:t>定的内容进行核实。如</w:t>
            </w:r>
            <w:r>
              <w:rPr/>
              <w:t xml:space="preserve"> </w:t>
            </w:r>
            <w:r>
              <w:rPr>
                <w:spacing w:val="2"/>
              </w:rPr>
              <w:t>无异议，发包人应当按</w:t>
            </w:r>
            <w:r>
              <w:rPr>
                <w:spacing w:val="1"/>
              </w:rPr>
              <w:t xml:space="preserve"> </w:t>
            </w:r>
            <w:r>
              <w:rPr>
                <w:spacing w:val="1"/>
              </w:rPr>
              <w:t>照约定将保证金返还给</w:t>
            </w:r>
            <w:r>
              <w:rPr>
                <w:spacing w:val="8"/>
              </w:rPr>
              <w:t xml:space="preserve"> </w:t>
            </w:r>
            <w:r>
              <w:rPr>
                <w:spacing w:val="-2"/>
              </w:rPr>
              <w:t>承包人</w:t>
            </w:r>
          </w:p>
        </w:tc>
      </w:tr>
      <w:tr>
        <w:trPr>
          <w:trHeight w:val="2980" w:hRule="atLeast"/>
        </w:trPr>
        <w:tc>
          <w:tcPr>
            <w:tcW w:w="285" w:type="dxa"/>
            <w:vAlign w:val="top"/>
          </w:tcPr>
          <w:p>
            <w:pPr>
              <w:pStyle w:val="TableText"/>
              <w:ind w:left="94"/>
              <w:spacing w:before="140" w:line="182" w:lineRule="auto"/>
              <w:rPr/>
            </w:pPr>
            <w:r>
              <w:rPr/>
              <w:t>7</w:t>
            </w:r>
          </w:p>
        </w:tc>
        <w:tc>
          <w:tcPr>
            <w:tcW w:w="659" w:type="dxa"/>
            <w:vAlign w:val="top"/>
          </w:tcPr>
          <w:p>
            <w:pPr>
              <w:pStyle w:val="TableText"/>
              <w:ind w:left="20" w:right="44" w:hanging="10"/>
              <w:spacing w:before="82" w:line="258" w:lineRule="auto"/>
              <w:rPr/>
            </w:pPr>
            <w:r>
              <w:rPr>
                <w:spacing w:val="-2"/>
              </w:rPr>
              <w:t>海员外派</w:t>
            </w:r>
            <w:r>
              <w:rPr>
                <w:spacing w:val="1"/>
              </w:rPr>
              <w:t xml:space="preserve"> </w:t>
            </w:r>
            <w:r>
              <w:rPr>
                <w:spacing w:val="-2"/>
              </w:rPr>
              <w:t>备用金</w:t>
            </w:r>
          </w:p>
        </w:tc>
        <w:tc>
          <w:tcPr>
            <w:tcW w:w="749" w:type="dxa"/>
            <w:vAlign w:val="top"/>
          </w:tcPr>
          <w:p>
            <w:pPr>
              <w:pStyle w:val="TableText"/>
              <w:ind w:left="289" w:right="86" w:hanging="229"/>
              <w:spacing w:before="91" w:line="251" w:lineRule="auto"/>
              <w:rPr/>
            </w:pPr>
            <w:r>
              <w:rPr>
                <w:spacing w:val="-3"/>
              </w:rPr>
              <w:t>交通运输</w:t>
            </w:r>
            <w:r>
              <w:rPr>
                <w:spacing w:val="2"/>
              </w:rPr>
              <w:t xml:space="preserve"> </w:t>
            </w:r>
            <w:r>
              <w:rPr/>
              <w:t>部</w:t>
            </w:r>
          </w:p>
        </w:tc>
        <w:tc>
          <w:tcPr>
            <w:tcW w:w="1409" w:type="dxa"/>
            <w:vAlign w:val="top"/>
          </w:tcPr>
          <w:p>
            <w:pPr>
              <w:pStyle w:val="TableText"/>
              <w:ind w:left="44" w:right="83" w:hanging="44"/>
              <w:spacing w:before="101" w:line="245" w:lineRule="auto"/>
              <w:rPr/>
            </w:pPr>
            <w:r>
              <w:rPr>
                <w:spacing w:val="-4"/>
              </w:rPr>
              <w:t>《对外劳务合作管理</w:t>
            </w:r>
            <w:r>
              <w:rPr/>
              <w:t xml:space="preserve"> </w:t>
            </w:r>
            <w:r>
              <w:rPr>
                <w:spacing w:val="-5"/>
              </w:rPr>
              <w:t>条例》</w:t>
            </w:r>
          </w:p>
          <w:p>
            <w:pPr>
              <w:pStyle w:val="TableText"/>
              <w:ind w:left="44" w:right="84" w:hanging="44"/>
              <w:spacing w:before="41" w:line="245" w:lineRule="auto"/>
              <w:rPr/>
            </w:pPr>
            <w:r>
              <w:rPr>
                <w:spacing w:val="-4"/>
              </w:rPr>
              <w:t>《中华人民共和国海</w:t>
            </w:r>
            <w:r>
              <w:rPr/>
              <w:t xml:space="preserve"> </w:t>
            </w:r>
            <w:r>
              <w:rPr>
                <w:spacing w:val="-5"/>
              </w:rPr>
              <w:t>员外派管理规定》</w:t>
            </w:r>
          </w:p>
        </w:tc>
        <w:tc>
          <w:tcPr>
            <w:tcW w:w="1628" w:type="dxa"/>
            <w:vAlign w:val="top"/>
          </w:tcPr>
          <w:p>
            <w:pPr>
              <w:pStyle w:val="TableText"/>
              <w:ind w:left="32" w:right="70" w:firstLine="20"/>
              <w:spacing w:before="101" w:line="244" w:lineRule="auto"/>
              <w:rPr/>
            </w:pPr>
            <w:r>
              <w:rPr>
                <w:spacing w:val="-1"/>
              </w:rPr>
              <w:t>海员外派备用金缴存不</w:t>
            </w:r>
            <w:r>
              <w:rPr>
                <w:spacing w:val="3"/>
              </w:rPr>
              <w:t xml:space="preserve"> </w:t>
            </w:r>
            <w:r>
              <w:rPr/>
              <w:t>低于人民币300万元。</w:t>
            </w:r>
          </w:p>
          <w:p>
            <w:pPr>
              <w:pStyle w:val="TableText"/>
              <w:ind w:left="32" w:right="49" w:firstLine="20"/>
              <w:spacing w:before="44" w:line="260" w:lineRule="auto"/>
              <w:rPr/>
            </w:pPr>
            <w:r>
              <w:rPr>
                <w:spacing w:val="-1"/>
              </w:rPr>
              <w:t>海员外派备用金实行专</w:t>
            </w:r>
            <w:r>
              <w:rPr>
                <w:spacing w:val="3"/>
              </w:rPr>
              <w:t xml:space="preserve"> </w:t>
            </w:r>
            <w:r>
              <w:rPr>
                <w:spacing w:val="1"/>
              </w:rPr>
              <w:t>户存储，专款专用。备</w:t>
            </w:r>
            <w:r>
              <w:rPr>
                <w:spacing w:val="2"/>
              </w:rPr>
              <w:t xml:space="preserve"> </w:t>
            </w:r>
            <w:r>
              <w:rPr>
                <w:spacing w:val="3"/>
              </w:rPr>
              <w:t>用金的使用应当遵守国</w:t>
            </w:r>
            <w:r>
              <w:rPr>
                <w:spacing w:val="4"/>
              </w:rPr>
              <w:t xml:space="preserve"> </w:t>
            </w:r>
            <w:r>
              <w:rPr>
                <w:spacing w:val="1"/>
              </w:rPr>
              <w:t>家关于对外劳务合作备 </w:t>
            </w:r>
            <w:r>
              <w:rPr>
                <w:spacing w:val="-1"/>
              </w:rPr>
              <w:t>用金管理制度</w:t>
            </w:r>
          </w:p>
        </w:tc>
        <w:tc>
          <w:tcPr>
            <w:tcW w:w="1648" w:type="dxa"/>
            <w:vAlign w:val="top"/>
          </w:tcPr>
          <w:p>
            <w:pPr>
              <w:pStyle w:val="TableText"/>
              <w:ind w:left="44" w:right="80" w:firstLine="20"/>
              <w:spacing w:before="101" w:line="245" w:lineRule="auto"/>
              <w:rPr/>
            </w:pPr>
            <w:r>
              <w:rPr>
                <w:spacing w:val="-1"/>
              </w:rPr>
              <w:t>可以现金或等额银行保</w:t>
            </w:r>
            <w:r>
              <w:rPr>
                <w:spacing w:val="1"/>
              </w:rPr>
              <w:t xml:space="preserve"> </w:t>
            </w:r>
            <w:r>
              <w:rPr/>
              <w:t>函(保险)形式缴存</w:t>
            </w:r>
          </w:p>
        </w:tc>
        <w:tc>
          <w:tcPr>
            <w:tcW w:w="1628" w:type="dxa"/>
            <w:vAlign w:val="top"/>
          </w:tcPr>
          <w:p>
            <w:pPr>
              <w:pStyle w:val="TableText"/>
              <w:ind w:left="26" w:right="66" w:firstLine="30"/>
              <w:spacing w:before="101" w:line="260" w:lineRule="auto"/>
              <w:jc w:val="both"/>
              <w:rPr/>
            </w:pPr>
            <w:r>
              <w:rPr>
                <w:spacing w:val="-1"/>
              </w:rPr>
              <w:t>海员外派机构应当自获</w:t>
            </w:r>
            <w:r>
              <w:rPr>
                <w:spacing w:val="3"/>
              </w:rPr>
              <w:t xml:space="preserve"> </w:t>
            </w:r>
            <w:r>
              <w:rPr>
                <w:spacing w:val="2"/>
              </w:rPr>
              <w:t>得海员外派机构资质证 </w:t>
            </w:r>
            <w:r>
              <w:rPr>
                <w:spacing w:val="8"/>
              </w:rPr>
              <w:t>书之日起5个工作日内</w:t>
            </w:r>
            <w:r>
              <w:rPr>
                <w:spacing w:val="4"/>
              </w:rPr>
              <w:t xml:space="preserve"> </w:t>
            </w:r>
            <w:r>
              <w:rPr>
                <w:spacing w:val="2"/>
              </w:rPr>
              <w:t>在负责审批的直属海事</w:t>
            </w:r>
            <w:r>
              <w:rPr>
                <w:spacing w:val="3"/>
              </w:rPr>
              <w:t xml:space="preserve"> </w:t>
            </w:r>
            <w:r>
              <w:rPr>
                <w:spacing w:val="2"/>
              </w:rPr>
              <w:t>管理机构认可的银行缴</w:t>
            </w:r>
            <w:r>
              <w:rPr/>
              <w:t xml:space="preserve"> </w:t>
            </w:r>
            <w:r>
              <w:rPr>
                <w:spacing w:val="-1"/>
              </w:rPr>
              <w:t>存海员外派备用金</w:t>
            </w:r>
          </w:p>
        </w:tc>
        <w:tc>
          <w:tcPr>
            <w:tcW w:w="1623" w:type="dxa"/>
            <w:vAlign w:val="top"/>
          </w:tcPr>
          <w:p>
            <w:pPr>
              <w:pStyle w:val="TableText"/>
              <w:ind w:left="38" w:right="45" w:firstLine="20"/>
              <w:spacing w:before="99" w:line="262" w:lineRule="auto"/>
              <w:rPr/>
            </w:pPr>
            <w:r>
              <w:rPr>
                <w:spacing w:val="-1"/>
              </w:rPr>
              <w:t>海员外派机构停止开展</w:t>
            </w:r>
            <w:r>
              <w:rPr>
                <w:spacing w:val="3"/>
              </w:rPr>
              <w:t xml:space="preserve"> </w:t>
            </w:r>
            <w:r>
              <w:rPr>
                <w:spacing w:val="1"/>
              </w:rPr>
              <w:t>海员外派业务的，应当</w:t>
            </w:r>
            <w:r>
              <w:rPr>
                <w:spacing w:val="3"/>
              </w:rPr>
              <w:t xml:space="preserve"> </w:t>
            </w:r>
            <w:r>
              <w:rPr>
                <w:spacing w:val="1"/>
              </w:rPr>
              <w:t>对其派出的尚在船工作</w:t>
            </w:r>
            <w:r>
              <w:rPr>
                <w:spacing w:val="3"/>
              </w:rPr>
              <w:t xml:space="preserve"> </w:t>
            </w:r>
            <w:r>
              <w:rPr>
                <w:spacing w:val="2"/>
              </w:rPr>
              <w:t>的外派海员做出妥善安</w:t>
            </w:r>
            <w:r>
              <w:rPr>
                <w:spacing w:val="7"/>
              </w:rPr>
              <w:t xml:space="preserve"> </w:t>
            </w:r>
            <w:r>
              <w:rPr>
                <w:spacing w:val="1"/>
              </w:rPr>
              <w:t>排，并将安排方案连同</w:t>
            </w:r>
            <w:r>
              <w:rPr>
                <w:spacing w:val="3"/>
              </w:rPr>
              <w:t xml:space="preserve"> </w:t>
            </w:r>
            <w:r>
              <w:rPr>
                <w:spacing w:val="1"/>
              </w:rPr>
              <w:t>两年内有效的备用金缴</w:t>
            </w:r>
            <w:r>
              <w:rPr>
                <w:spacing w:val="2"/>
              </w:rPr>
              <w:t xml:space="preserve"> </w:t>
            </w:r>
            <w:r>
              <w:rPr>
                <w:spacing w:val="3"/>
              </w:rPr>
              <w:t>存凭证或保函(保险)</w:t>
            </w:r>
          </w:p>
          <w:p>
            <w:pPr>
              <w:pStyle w:val="TableText"/>
              <w:ind w:left="38"/>
              <w:spacing w:before="40" w:line="219" w:lineRule="auto"/>
              <w:rPr/>
            </w:pPr>
            <w:r>
              <w:rPr>
                <w:spacing w:val="-1"/>
              </w:rPr>
              <w:t>直属海事管理机构备</w:t>
            </w:r>
          </w:p>
          <w:p>
            <w:pPr>
              <w:pStyle w:val="TableText"/>
              <w:ind w:left="18" w:right="59" w:firstLine="40"/>
              <w:spacing w:before="40" w:line="264" w:lineRule="auto"/>
              <w:rPr/>
            </w:pPr>
            <w:r>
              <w:rPr>
                <w:spacing w:val="-1"/>
              </w:rPr>
              <w:t>案。海员外派机构自备</w:t>
            </w:r>
            <w:r>
              <w:rPr>
                <w:spacing w:val="1"/>
              </w:rPr>
              <w:t xml:space="preserve"> </w:t>
            </w:r>
            <w:r>
              <w:rPr>
                <w:spacing w:val="3"/>
              </w:rPr>
              <w:t>案之日起两年内未发生</w:t>
            </w:r>
            <w:r>
              <w:rPr>
                <w:spacing w:val="1"/>
              </w:rPr>
              <w:t xml:space="preserve"> </w:t>
            </w:r>
            <w:r>
              <w:rPr>
                <w:spacing w:val="3"/>
              </w:rPr>
              <w:t>针对其的劳务纠纷投诉 </w:t>
            </w:r>
            <w:r>
              <w:rPr>
                <w:spacing w:val="3"/>
              </w:rPr>
              <w:t>或诉讼的，可退还缴存</w:t>
            </w:r>
            <w:r>
              <w:rPr>
                <w:spacing w:val="1"/>
              </w:rPr>
              <w:t xml:space="preserve"> </w:t>
            </w:r>
            <w:r>
              <w:rPr>
                <w:spacing w:val="1"/>
              </w:rPr>
              <w:t>的备用金</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09472" behindDoc="0" locked="0" layoutInCell="0" allowOverlap="1">
                <wp:simplePos x="0" y="0"/>
                <wp:positionH relativeFrom="page">
                  <wp:posOffset>470816</wp:posOffset>
                </wp:positionH>
                <wp:positionV relativeFrom="page">
                  <wp:posOffset>617269</wp:posOffset>
                </wp:positionV>
                <wp:extent cx="172085" cy="156845"/>
                <wp:effectExtent l="0" t="0" r="0" b="0"/>
                <wp:wrapNone/>
                <wp:docPr id="514" name="TextBox 514"/>
                <wp:cNvGraphicFramePr/>
                <a:graphic>
                  <a:graphicData uri="http://schemas.microsoft.com/office/word/2010/wordprocessingShape">
                    <wps:wsp>
                      <wps:cNvSpPr txBox="1"/>
                      <wps:spPr>
                        <a:xfrm rot="5400000">
                          <a:off x="470816" y="61726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6" style="position:absolute;margin-left:37.0722pt;margin-top:48.6039pt;mso-position-vertical-relative:page;mso-position-horizontal-relative:page;width:13.55pt;height:12.35pt;z-index:252009472;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346</w:t>
                      </w:r>
                    </w:p>
                  </w:txbxContent>
                </v:textbox>
              </v:shape>
            </w:pict>
          </mc:Fallback>
        </mc:AlternateContent>
      </w:r>
      <w:r/>
    </w:p>
    <w:p>
      <w:pPr>
        <w:spacing w:before="51"/>
        <w:rPr/>
      </w:pPr>
      <w:r/>
    </w:p>
    <w:tbl>
      <w:tblPr>
        <w:tblStyle w:val="TableNormal"/>
        <w:tblW w:w="963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749"/>
        <w:gridCol w:w="1409"/>
        <w:gridCol w:w="1628"/>
        <w:gridCol w:w="1648"/>
        <w:gridCol w:w="1628"/>
        <w:gridCol w:w="1633"/>
      </w:tblGrid>
      <w:tr>
        <w:trPr>
          <w:trHeight w:val="474" w:hRule="atLeast"/>
        </w:trPr>
        <w:tc>
          <w:tcPr>
            <w:tcW w:w="295" w:type="dxa"/>
            <w:vAlign w:val="top"/>
            <w:textDirection w:val="tbRlV"/>
          </w:tcPr>
          <w:p>
            <w:pPr>
              <w:pStyle w:val="TableText"/>
              <w:ind w:left="37"/>
              <w:spacing w:before="70" w:line="217" w:lineRule="auto"/>
              <w:rPr/>
            </w:pPr>
            <w:r>
              <w:rPr/>
              <w:t>序</w:t>
            </w:r>
            <w:r>
              <w:rPr>
                <w:spacing w:val="16"/>
              </w:rPr>
              <w:t xml:space="preserve"> </w:t>
            </w:r>
            <w:r>
              <w:rPr/>
              <w:t>号</w:t>
            </w:r>
          </w:p>
        </w:tc>
        <w:tc>
          <w:tcPr>
            <w:tcW w:w="649" w:type="dxa"/>
            <w:vAlign w:val="top"/>
          </w:tcPr>
          <w:p>
            <w:pPr>
              <w:pStyle w:val="TableText"/>
              <w:ind w:left="1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42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25" w:hRule="atLeast"/>
        </w:trPr>
        <w:tc>
          <w:tcPr>
            <w:tcW w:w="295" w:type="dxa"/>
            <w:vAlign w:val="top"/>
          </w:tcPr>
          <w:p>
            <w:pPr>
              <w:spacing w:line="295" w:lineRule="auto"/>
              <w:rPr>
                <w:rFonts w:ascii="Arial"/>
                <w:sz w:val="21"/>
              </w:rPr>
            </w:pPr>
            <w:r/>
          </w:p>
          <w:p>
            <w:pPr>
              <w:pStyle w:val="TableText"/>
              <w:ind w:left="94"/>
              <w:spacing w:before="49" w:line="183" w:lineRule="auto"/>
              <w:rPr/>
            </w:pPr>
            <w:r>
              <w:rPr/>
              <w:t>8</w:t>
            </w:r>
          </w:p>
        </w:tc>
        <w:tc>
          <w:tcPr>
            <w:tcW w:w="649" w:type="dxa"/>
            <w:vAlign w:val="top"/>
          </w:tcPr>
          <w:p>
            <w:pPr>
              <w:pStyle w:val="TableText"/>
              <w:ind w:left="10" w:right="34"/>
              <w:spacing w:before="288" w:line="245" w:lineRule="auto"/>
              <w:rPr/>
            </w:pPr>
            <w:r>
              <w:rPr>
                <w:spacing w:val="-2"/>
              </w:rPr>
              <w:t>海事处理</w:t>
            </w:r>
            <w:r>
              <w:rPr>
                <w:spacing w:val="1"/>
              </w:rPr>
              <w:t xml:space="preserve"> </w:t>
            </w:r>
            <w:r>
              <w:rPr>
                <w:spacing w:val="-2"/>
              </w:rPr>
              <w:t>担保金</w:t>
            </w:r>
          </w:p>
        </w:tc>
        <w:tc>
          <w:tcPr>
            <w:tcW w:w="749" w:type="dxa"/>
            <w:vAlign w:val="top"/>
          </w:tcPr>
          <w:p>
            <w:pPr>
              <w:spacing w:line="246" w:lineRule="auto"/>
              <w:rPr>
                <w:rFonts w:ascii="Arial"/>
                <w:sz w:val="21"/>
              </w:rPr>
            </w:pPr>
            <w:r/>
          </w:p>
          <w:p>
            <w:pPr>
              <w:pStyle w:val="TableText"/>
              <w:ind w:left="289" w:right="86" w:hanging="229"/>
              <w:spacing w:before="49" w:line="233" w:lineRule="auto"/>
              <w:rPr/>
            </w:pPr>
            <w:r>
              <w:rPr>
                <w:spacing w:val="-3"/>
              </w:rPr>
              <w:t>交通运输</w:t>
            </w:r>
            <w:r>
              <w:rPr>
                <w:spacing w:val="2"/>
              </w:rPr>
              <w:t xml:space="preserve"> </w:t>
            </w:r>
            <w:r>
              <w:rPr/>
              <w:t>部</w:t>
            </w:r>
          </w:p>
        </w:tc>
        <w:tc>
          <w:tcPr>
            <w:tcW w:w="1409" w:type="dxa"/>
            <w:vAlign w:val="top"/>
          </w:tcPr>
          <w:p>
            <w:pPr>
              <w:spacing w:line="247" w:lineRule="auto"/>
              <w:rPr>
                <w:rFonts w:ascii="Arial"/>
                <w:sz w:val="21"/>
              </w:rPr>
            </w:pPr>
            <w:r/>
          </w:p>
          <w:p>
            <w:pPr>
              <w:pStyle w:val="TableText"/>
              <w:ind w:left="60" w:right="34" w:hanging="34"/>
              <w:spacing w:before="49"/>
              <w:rPr/>
            </w:pPr>
            <w:r>
              <w:rPr>
                <w:spacing w:val="-2"/>
              </w:rPr>
              <w:t>《中华人民共和国海</w:t>
            </w:r>
            <w:r>
              <w:rPr>
                <w:spacing w:val="4"/>
              </w:rPr>
              <w:t xml:space="preserve"> </w:t>
            </w:r>
            <w:r>
              <w:rPr>
                <w:spacing w:val="-1"/>
              </w:rPr>
              <w:t>上交通安全法</w:t>
            </w:r>
          </w:p>
          <w:p>
            <w:pPr>
              <w:pStyle w:val="TableText"/>
              <w:ind w:left="20" w:right="46" w:hanging="4"/>
              <w:spacing w:before="49" w:line="245" w:lineRule="auto"/>
              <w:rPr/>
            </w:pPr>
            <w:r>
              <w:rPr>
                <w:spacing w:val="-2"/>
              </w:rPr>
              <w:t>《防治船舶污染海洋</w:t>
            </w:r>
            <w:r>
              <w:rPr>
                <w:spacing w:val="2"/>
              </w:rPr>
              <w:t xml:space="preserve"> </w:t>
            </w:r>
            <w:r>
              <w:rPr>
                <w:spacing w:val="-2"/>
              </w:rPr>
              <w:t>环境管理条例》</w:t>
            </w:r>
          </w:p>
        </w:tc>
        <w:tc>
          <w:tcPr>
            <w:tcW w:w="1628" w:type="dxa"/>
            <w:vAlign w:val="top"/>
          </w:tcPr>
          <w:p>
            <w:pPr>
              <w:spacing w:line="246" w:lineRule="auto"/>
              <w:rPr>
                <w:rFonts w:ascii="Arial"/>
                <w:sz w:val="21"/>
              </w:rPr>
            </w:pPr>
            <w:r/>
          </w:p>
          <w:p>
            <w:pPr>
              <w:pStyle w:val="TableText"/>
              <w:ind w:left="32" w:firstLine="19"/>
              <w:spacing w:before="49" w:line="254" w:lineRule="auto"/>
              <w:rPr/>
            </w:pPr>
            <w:r>
              <w:rPr>
                <w:spacing w:val="-2"/>
              </w:rPr>
              <w:t>海上交通事故分为特别</w:t>
            </w:r>
            <w:r>
              <w:rPr>
                <w:spacing w:val="2"/>
              </w:rPr>
              <w:t xml:space="preserve">  </w:t>
            </w:r>
            <w:r>
              <w:rPr>
                <w:spacing w:val="8"/>
              </w:rPr>
              <w:t>重大事故、重大事故、</w:t>
            </w:r>
            <w:r>
              <w:rPr>
                <w:spacing w:val="4"/>
              </w:rPr>
              <w:t xml:space="preserve"> </w:t>
            </w:r>
            <w:r>
              <w:rPr>
                <w:spacing w:val="-2"/>
              </w:rPr>
              <w:t>较大事故和一般事故</w:t>
            </w:r>
          </w:p>
          <w:p>
            <w:pPr>
              <w:pStyle w:val="TableText"/>
              <w:ind w:left="42" w:right="71" w:firstLine="10"/>
              <w:spacing w:before="40" w:line="246" w:lineRule="auto"/>
              <w:rPr/>
            </w:pPr>
            <w:r>
              <w:rPr>
                <w:spacing w:val="-1"/>
              </w:rPr>
              <w:t>担保金征收标准根据事</w:t>
            </w:r>
            <w:r>
              <w:rPr>
                <w:spacing w:val="2"/>
              </w:rPr>
              <w:t xml:space="preserve"> </w:t>
            </w:r>
            <w:r>
              <w:rPr>
                <w:spacing w:val="12"/>
              </w:rPr>
              <w:t>故情况确定；</w:t>
            </w:r>
          </w:p>
          <w:p>
            <w:pPr>
              <w:pStyle w:val="TableText"/>
              <w:ind w:left="32" w:right="70" w:firstLine="20"/>
              <w:spacing w:before="40" w:line="245" w:lineRule="auto"/>
              <w:rPr/>
            </w:pPr>
            <w:r>
              <w:rPr>
                <w:spacing w:val="-1"/>
              </w:rPr>
              <w:t>船舶污染事故级别分为</w:t>
            </w:r>
            <w:r>
              <w:rPr>
                <w:spacing w:val="3"/>
              </w:rPr>
              <w:t xml:space="preserve"> </w:t>
            </w:r>
            <w:r>
              <w:rPr>
                <w:spacing w:val="-1"/>
              </w:rPr>
              <w:t>特别重大船舶污染事</w:t>
            </w:r>
          </w:p>
          <w:p>
            <w:pPr>
              <w:pStyle w:val="TableText"/>
              <w:ind w:left="31" w:hanging="19"/>
              <w:spacing w:before="40" w:line="261" w:lineRule="auto"/>
              <w:rPr/>
            </w:pPr>
            <w:r>
              <w:rPr>
                <w:spacing w:val="-5"/>
              </w:rPr>
              <w:t>故、重大船舶污染事故、</w:t>
            </w:r>
            <w:r>
              <w:rPr>
                <w:spacing w:val="9"/>
              </w:rPr>
              <w:t xml:space="preserve"> </w:t>
            </w:r>
            <w:r>
              <w:rPr>
                <w:spacing w:val="-5"/>
              </w:rPr>
              <w:t>较大船舶污染事故和一</w:t>
            </w:r>
            <w:r>
              <w:rPr/>
              <w:t xml:space="preserve">   </w:t>
            </w:r>
            <w:r>
              <w:rPr>
                <w:spacing w:val="-5"/>
              </w:rPr>
              <w:t>般船舶污染事故，担保</w:t>
            </w:r>
            <w:r>
              <w:rPr/>
              <w:t xml:space="preserve">   </w:t>
            </w:r>
            <w:r>
              <w:rPr>
                <w:spacing w:val="-6"/>
              </w:rPr>
              <w:t>金征收标准根据船舶污</w:t>
            </w:r>
            <w:r>
              <w:rPr>
                <w:spacing w:val="2"/>
              </w:rPr>
              <w:t xml:space="preserve">   </w:t>
            </w:r>
            <w:r>
              <w:rPr>
                <w:spacing w:val="-7"/>
              </w:rPr>
              <w:t>染损害情况确定</w:t>
            </w:r>
          </w:p>
        </w:tc>
        <w:tc>
          <w:tcPr>
            <w:tcW w:w="1648" w:type="dxa"/>
            <w:vAlign w:val="top"/>
          </w:tcPr>
          <w:p>
            <w:pPr>
              <w:spacing w:line="246" w:lineRule="auto"/>
              <w:rPr>
                <w:rFonts w:ascii="Arial"/>
                <w:sz w:val="21"/>
              </w:rPr>
            </w:pPr>
            <w:r/>
          </w:p>
          <w:p>
            <w:pPr>
              <w:pStyle w:val="TableText"/>
              <w:ind w:left="44" w:right="80" w:firstLine="20"/>
              <w:spacing w:before="49" w:line="245" w:lineRule="auto"/>
              <w:rPr/>
            </w:pPr>
            <w:r>
              <w:rPr>
                <w:spacing w:val="-1"/>
              </w:rPr>
              <w:t>可以现金或等额银行保</w:t>
            </w:r>
            <w:r>
              <w:rPr>
                <w:spacing w:val="1"/>
              </w:rPr>
              <w:t xml:space="preserve"> </w:t>
            </w:r>
            <w:r>
              <w:rPr/>
              <w:t>函(保险)形式缴存</w:t>
            </w:r>
          </w:p>
        </w:tc>
        <w:tc>
          <w:tcPr>
            <w:tcW w:w="1628" w:type="dxa"/>
            <w:vAlign w:val="top"/>
          </w:tcPr>
          <w:p>
            <w:pPr>
              <w:spacing w:line="246" w:lineRule="auto"/>
              <w:rPr>
                <w:rFonts w:ascii="Arial"/>
                <w:sz w:val="21"/>
              </w:rPr>
            </w:pPr>
            <w:r/>
          </w:p>
          <w:p>
            <w:pPr>
              <w:pStyle w:val="TableText"/>
              <w:ind w:left="16" w:firstLine="38"/>
              <w:spacing w:before="49" w:line="254" w:lineRule="auto"/>
              <w:rPr/>
            </w:pPr>
            <w:r>
              <w:rPr>
                <w:spacing w:val="-6"/>
              </w:rPr>
              <w:t>船舶、海上设施发生海  </w:t>
            </w:r>
            <w:r>
              <w:rPr>
                <w:spacing w:val="-5"/>
              </w:rPr>
              <w:t>上交通事故、污染事故，</w:t>
            </w:r>
            <w:r>
              <w:rPr>
                <w:spacing w:val="5"/>
              </w:rPr>
              <w:t xml:space="preserve"> </w:t>
            </w:r>
            <w:r>
              <w:rPr>
                <w:spacing w:val="-6"/>
              </w:rPr>
              <w:t>未结清国家规定的税</w:t>
            </w:r>
          </w:p>
          <w:p>
            <w:pPr>
              <w:pStyle w:val="TableText"/>
              <w:ind w:left="26" w:right="54" w:firstLine="30"/>
              <w:spacing w:before="38" w:line="261" w:lineRule="auto"/>
              <w:rPr/>
            </w:pPr>
            <w:r>
              <w:rPr/>
              <w:t>费、滞纳金且未提供担</w:t>
            </w:r>
            <w:r>
              <w:rPr>
                <w:spacing w:val="5"/>
              </w:rPr>
              <w:t xml:space="preserve"> </w:t>
            </w:r>
            <w:r>
              <w:rPr>
                <w:spacing w:val="2"/>
              </w:rPr>
              <w:t>保或者未履行其他法定 </w:t>
            </w:r>
            <w:r>
              <w:rPr>
                <w:spacing w:val="2"/>
              </w:rPr>
              <w:t>义务的，海事管理机构</w:t>
            </w:r>
            <w:r>
              <w:rPr>
                <w:spacing w:val="1"/>
              </w:rPr>
              <w:t xml:space="preserve"> </w:t>
            </w:r>
            <w:r>
              <w:rPr>
                <w:spacing w:val="2"/>
              </w:rPr>
              <w:t>应当责令改正，并可以</w:t>
            </w:r>
            <w:r>
              <w:rPr>
                <w:spacing w:val="3"/>
              </w:rPr>
              <w:t xml:space="preserve"> </w:t>
            </w:r>
            <w:r>
              <w:rPr>
                <w:spacing w:val="-1"/>
              </w:rPr>
              <w:t>禁止其离港</w:t>
            </w:r>
          </w:p>
          <w:p>
            <w:pPr>
              <w:pStyle w:val="TableText"/>
              <w:ind w:left="16" w:firstLine="38"/>
              <w:spacing w:before="41" w:line="258" w:lineRule="auto"/>
              <w:rPr/>
            </w:pPr>
            <w:r>
              <w:rPr>
                <w:spacing w:val="-8"/>
              </w:rPr>
              <w:t>发生船舶污染事故，海</w:t>
            </w:r>
            <w:r>
              <w:rPr>
                <w:spacing w:val="1"/>
              </w:rPr>
              <w:t xml:space="preserve">   </w:t>
            </w:r>
            <w:r>
              <w:rPr>
                <w:spacing w:val="-4"/>
              </w:rPr>
              <w:t>事管理机构可以采取清</w:t>
            </w:r>
            <w:r>
              <w:rPr>
                <w:spacing w:val="1"/>
              </w:rPr>
              <w:t xml:space="preserve">   </w:t>
            </w:r>
            <w:r>
              <w:rPr>
                <w:spacing w:val="-5"/>
              </w:rPr>
              <w:t>除、打捞、拖航、引航、</w:t>
            </w:r>
            <w:r>
              <w:rPr>
                <w:spacing w:val="5"/>
              </w:rPr>
              <w:t xml:space="preserve"> </w:t>
            </w:r>
            <w:r>
              <w:rPr>
                <w:spacing w:val="-7"/>
              </w:rPr>
              <w:t>过驳等必要措施减轻</w:t>
            </w:r>
          </w:p>
          <w:p>
            <w:pPr>
              <w:pStyle w:val="TableText"/>
              <w:ind w:left="16" w:firstLine="38"/>
              <w:spacing w:before="44" w:line="263" w:lineRule="auto"/>
              <w:rPr/>
            </w:pPr>
            <w:r>
              <w:rPr>
                <w:spacing w:val="-4"/>
              </w:rPr>
              <w:t>污染损害。相关费用由</w:t>
            </w:r>
            <w:r>
              <w:rPr>
                <w:spacing w:val="3"/>
              </w:rPr>
              <w:t xml:space="preserve">  </w:t>
            </w:r>
            <w:r>
              <w:rPr>
                <w:spacing w:val="-3"/>
              </w:rPr>
              <w:t>造成海洋环境污染的船  </w:t>
            </w:r>
            <w:r>
              <w:rPr>
                <w:spacing w:val="-5"/>
              </w:rPr>
              <w:t>舶、有关作业单位承担。</w:t>
            </w:r>
            <w:r>
              <w:rPr>
                <w:spacing w:val="5"/>
              </w:rPr>
              <w:t xml:space="preserve"> </w:t>
            </w:r>
            <w:r>
              <w:rPr>
                <w:spacing w:val="-3"/>
              </w:rPr>
              <w:t>需要承担上述费用的船  </w:t>
            </w:r>
            <w:r>
              <w:rPr>
                <w:spacing w:val="-3"/>
              </w:rPr>
              <w:t>舶，应当在开航前缴清  </w:t>
            </w:r>
            <w:r>
              <w:rPr>
                <w:spacing w:val="-3"/>
              </w:rPr>
              <w:t>相关费用或者提供相应  </w:t>
            </w:r>
            <w:r>
              <w:rPr>
                <w:spacing w:val="-1"/>
              </w:rPr>
              <w:t>的财务担保</w:t>
            </w:r>
          </w:p>
        </w:tc>
        <w:tc>
          <w:tcPr>
            <w:tcW w:w="1633" w:type="dxa"/>
            <w:vAlign w:val="top"/>
          </w:tcPr>
          <w:p>
            <w:pPr>
              <w:spacing w:line="247" w:lineRule="auto"/>
              <w:rPr>
                <w:rFonts w:ascii="Arial"/>
                <w:sz w:val="21"/>
              </w:rPr>
            </w:pPr>
            <w:r/>
          </w:p>
          <w:p>
            <w:pPr>
              <w:pStyle w:val="TableText"/>
              <w:ind w:left="28"/>
              <w:spacing w:before="48" w:line="219" w:lineRule="auto"/>
              <w:rPr/>
            </w:pPr>
            <w:r>
              <w:rPr>
                <w:spacing w:val="-1"/>
              </w:rPr>
              <w:t>事故处理完毕后返还</w:t>
            </w:r>
          </w:p>
        </w:tc>
      </w:tr>
    </w:tbl>
    <w:p>
      <w:pPr>
        <w:pStyle w:val="BodyText"/>
        <w:rPr/>
      </w:pPr>
      <w:r/>
    </w:p>
    <w:p>
      <w:pPr>
        <w:sectPr>
          <w:pgSz w:w="11910" w:h="8220"/>
          <w:pgMar w:top="400" w:right="1135"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2010496" behindDoc="0" locked="0" layoutInCell="0" allowOverlap="1">
                <wp:simplePos x="0" y="0"/>
                <wp:positionH relativeFrom="page">
                  <wp:posOffset>470816</wp:posOffset>
                </wp:positionH>
                <wp:positionV relativeFrom="page">
                  <wp:posOffset>4370129</wp:posOffset>
                </wp:positionV>
                <wp:extent cx="172085" cy="156845"/>
                <wp:effectExtent l="0" t="0" r="0" b="0"/>
                <wp:wrapNone/>
                <wp:docPr id="516" name="TextBox 516"/>
                <wp:cNvGraphicFramePr/>
                <a:graphic>
                  <a:graphicData uri="http://schemas.microsoft.com/office/word/2010/wordprocessingShape">
                    <wps:wsp>
                      <wps:cNvSpPr txBox="1"/>
                      <wps:spPr>
                        <a:xfrm rot="5400000">
                          <a:off x="470816" y="4370129"/>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8" style="position:absolute;margin-left:37.0722pt;margin-top:344.105pt;mso-position-vertical-relative:page;mso-position-horizontal-relative:page;width:13.55pt;height:12.35pt;z-index:25201049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347</w:t>
                      </w:r>
                    </w:p>
                  </w:txbxContent>
                </v:textbox>
              </v:shape>
            </w:pict>
          </mc:Fallback>
        </mc:AlternateContent>
      </w:r>
      <w:r/>
    </w:p>
    <w:p>
      <w:pPr>
        <w:spacing w:before="46"/>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739"/>
        <w:gridCol w:w="1419"/>
        <w:gridCol w:w="1618"/>
        <w:gridCol w:w="1628"/>
        <w:gridCol w:w="1648"/>
        <w:gridCol w:w="1633"/>
      </w:tblGrid>
      <w:tr>
        <w:trPr>
          <w:trHeight w:val="474" w:hRule="atLeast"/>
        </w:trPr>
        <w:tc>
          <w:tcPr>
            <w:tcW w:w="295" w:type="dxa"/>
            <w:vAlign w:val="top"/>
            <w:textDirection w:val="tbRlV"/>
          </w:tcPr>
          <w:p>
            <w:pPr>
              <w:pStyle w:val="TableText"/>
              <w:ind w:left="27"/>
              <w:spacing w:before="70" w:line="217" w:lineRule="auto"/>
              <w:rPr/>
            </w:pPr>
            <w:r>
              <w:rPr/>
              <w:t>序</w:t>
            </w:r>
            <w:r>
              <w:rPr>
                <w:spacing w:val="36"/>
                <w:w w:val="101"/>
              </w:rPr>
              <w:t xml:space="preserve"> </w:t>
            </w:r>
            <w:r>
              <w:rPr/>
              <w:t>号</w:t>
            </w:r>
          </w:p>
        </w:tc>
        <w:tc>
          <w:tcPr>
            <w:tcW w:w="669" w:type="dxa"/>
            <w:vAlign w:val="top"/>
          </w:tcPr>
          <w:p>
            <w:pPr>
              <w:pStyle w:val="TableText"/>
              <w:ind w:left="2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19" w:type="dxa"/>
            <w:vAlign w:val="top"/>
          </w:tcPr>
          <w:p>
            <w:pPr>
              <w:pStyle w:val="TableText"/>
              <w:ind w:left="411"/>
              <w:spacing w:before="160" w:line="219" w:lineRule="auto"/>
              <w:rPr/>
            </w:pPr>
            <w:r>
              <w:rPr>
                <w:spacing w:val="-2"/>
              </w:rPr>
              <w:t>设立依据</w:t>
            </w:r>
          </w:p>
        </w:tc>
        <w:tc>
          <w:tcPr>
            <w:tcW w:w="1618" w:type="dxa"/>
            <w:vAlign w:val="top"/>
          </w:tcPr>
          <w:p>
            <w:pPr>
              <w:pStyle w:val="TableText"/>
              <w:ind w:left="502"/>
              <w:spacing w:before="161" w:line="219" w:lineRule="auto"/>
              <w:rPr/>
            </w:pPr>
            <w:r>
              <w:rPr>
                <w:spacing w:val="-2"/>
              </w:rPr>
              <w:t>征收标准</w:t>
            </w:r>
          </w:p>
        </w:tc>
        <w:tc>
          <w:tcPr>
            <w:tcW w:w="1628" w:type="dxa"/>
            <w:vAlign w:val="top"/>
          </w:tcPr>
          <w:p>
            <w:pPr>
              <w:pStyle w:val="TableText"/>
              <w:ind w:left="524"/>
              <w:spacing w:before="161" w:line="219" w:lineRule="auto"/>
              <w:rPr/>
            </w:pPr>
            <w:r>
              <w:rPr>
                <w:spacing w:val="-2"/>
              </w:rPr>
              <w:t>征收方式</w:t>
            </w:r>
          </w:p>
        </w:tc>
        <w:tc>
          <w:tcPr>
            <w:tcW w:w="1648" w:type="dxa"/>
            <w:vAlign w:val="top"/>
          </w:tcPr>
          <w:p>
            <w:pPr>
              <w:pStyle w:val="TableText"/>
              <w:ind w:left="51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36" w:hRule="atLeast"/>
        </w:trPr>
        <w:tc>
          <w:tcPr>
            <w:tcW w:w="295" w:type="dxa"/>
            <w:vAlign w:val="top"/>
          </w:tcPr>
          <w:p>
            <w:pPr>
              <w:spacing w:line="291" w:lineRule="auto"/>
              <w:rPr>
                <w:rFonts w:ascii="Arial"/>
                <w:sz w:val="21"/>
              </w:rPr>
            </w:pPr>
            <w:r/>
          </w:p>
          <w:p>
            <w:pPr>
              <w:spacing w:line="292" w:lineRule="auto"/>
              <w:rPr>
                <w:rFonts w:ascii="Arial"/>
                <w:sz w:val="21"/>
              </w:rPr>
            </w:pPr>
            <w:r/>
          </w:p>
          <w:p>
            <w:pPr>
              <w:pStyle w:val="TableText"/>
              <w:ind w:left="94"/>
              <w:spacing w:before="49" w:line="183" w:lineRule="auto"/>
              <w:rPr/>
            </w:pPr>
            <w:r>
              <w:rPr/>
              <w:t>9</w:t>
            </w:r>
          </w:p>
        </w:tc>
        <w:tc>
          <w:tcPr>
            <w:tcW w:w="669" w:type="dxa"/>
            <w:vAlign w:val="top"/>
          </w:tcPr>
          <w:p>
            <w:pPr>
              <w:spacing w:line="267" w:lineRule="auto"/>
              <w:rPr>
                <w:rFonts w:ascii="Arial"/>
                <w:sz w:val="21"/>
              </w:rPr>
            </w:pPr>
            <w:r/>
          </w:p>
          <w:p>
            <w:pPr>
              <w:spacing w:line="268" w:lineRule="auto"/>
              <w:rPr>
                <w:rFonts w:ascii="Arial"/>
                <w:sz w:val="21"/>
              </w:rPr>
            </w:pPr>
            <w:r/>
          </w:p>
          <w:p>
            <w:pPr>
              <w:pStyle w:val="TableText"/>
              <w:ind w:left="20" w:right="46"/>
              <w:spacing w:before="49" w:line="239" w:lineRule="auto"/>
              <w:rPr/>
            </w:pPr>
            <w:r>
              <w:rPr>
                <w:spacing w:val="-2"/>
              </w:rPr>
              <w:t>直销企业</w:t>
            </w:r>
            <w:r>
              <w:rPr/>
              <w:t xml:space="preserve"> </w:t>
            </w:r>
            <w:r>
              <w:rPr>
                <w:spacing w:val="-2"/>
              </w:rPr>
              <w:t>保证金</w:t>
            </w:r>
          </w:p>
        </w:tc>
        <w:tc>
          <w:tcPr>
            <w:tcW w:w="739" w:type="dxa"/>
            <w:vAlign w:val="top"/>
          </w:tcPr>
          <w:p>
            <w:pPr>
              <w:spacing w:line="262" w:lineRule="auto"/>
              <w:rPr>
                <w:rFonts w:ascii="Arial"/>
                <w:sz w:val="21"/>
              </w:rPr>
            </w:pPr>
            <w:r/>
          </w:p>
          <w:p>
            <w:pPr>
              <w:spacing w:line="263" w:lineRule="auto"/>
              <w:rPr>
                <w:rFonts w:ascii="Arial"/>
                <w:sz w:val="21"/>
              </w:rPr>
            </w:pPr>
            <w:r/>
          </w:p>
          <w:p>
            <w:pPr>
              <w:pStyle w:val="TableText"/>
              <w:ind w:left="131"/>
              <w:spacing w:before="49" w:line="219" w:lineRule="auto"/>
              <w:rPr/>
            </w:pPr>
            <w:r>
              <w:rPr>
                <w:spacing w:val="-2"/>
              </w:rPr>
              <w:t>商务部</w:t>
            </w:r>
          </w:p>
          <w:p>
            <w:pPr>
              <w:pStyle w:val="TableText"/>
              <w:ind w:left="60"/>
              <w:spacing w:before="52" w:line="219" w:lineRule="auto"/>
              <w:rPr/>
            </w:pPr>
            <w:r>
              <w:rPr>
                <w:spacing w:val="-2"/>
              </w:rPr>
              <w:t>市场监管</w:t>
            </w:r>
          </w:p>
          <w:p>
            <w:pPr>
              <w:pStyle w:val="TableText"/>
              <w:ind w:left="211"/>
              <w:spacing w:before="32" w:line="221" w:lineRule="auto"/>
              <w:rPr/>
            </w:pPr>
            <w:r>
              <w:rPr>
                <w:spacing w:val="6"/>
              </w:rPr>
              <w:t>总局</w:t>
            </w:r>
          </w:p>
        </w:tc>
        <w:tc>
          <w:tcPr>
            <w:tcW w:w="1419" w:type="dxa"/>
            <w:vAlign w:val="top"/>
          </w:tcPr>
          <w:p>
            <w:pPr>
              <w:spacing w:line="262" w:lineRule="auto"/>
              <w:rPr>
                <w:rFonts w:ascii="Arial"/>
                <w:sz w:val="21"/>
              </w:rPr>
            </w:pPr>
            <w:r/>
          </w:p>
          <w:p>
            <w:pPr>
              <w:spacing w:line="263" w:lineRule="auto"/>
              <w:rPr>
                <w:rFonts w:ascii="Arial"/>
                <w:sz w:val="21"/>
              </w:rPr>
            </w:pPr>
            <w:r/>
          </w:p>
          <w:p>
            <w:pPr>
              <w:pStyle w:val="TableText"/>
              <w:ind w:left="16"/>
              <w:spacing w:before="49" w:line="219" w:lineRule="auto"/>
              <w:rPr/>
            </w:pPr>
            <w:r>
              <w:rPr>
                <w:spacing w:val="-2"/>
              </w:rPr>
              <w:t>《直销管理条例》</w:t>
            </w:r>
          </w:p>
          <w:p>
            <w:pPr>
              <w:pStyle w:val="TableText"/>
              <w:ind w:left="34" w:right="37" w:hanging="34"/>
              <w:spacing w:before="50" w:line="254" w:lineRule="auto"/>
              <w:rPr/>
            </w:pPr>
            <w:r>
              <w:rPr>
                <w:spacing w:val="-2"/>
              </w:rPr>
              <w:t>《直销企业保证金存</w:t>
            </w:r>
            <w:r>
              <w:rPr>
                <w:spacing w:val="1"/>
              </w:rPr>
              <w:t xml:space="preserve"> </w:t>
            </w:r>
            <w:r>
              <w:rPr>
                <w:spacing w:val="-2"/>
              </w:rPr>
              <w:t>缴、使用管理办法》</w:t>
            </w:r>
            <w:r>
              <w:rPr>
                <w:spacing w:val="3"/>
              </w:rPr>
              <w:t xml:space="preserve"> </w:t>
            </w:r>
            <w:r>
              <w:rPr>
                <w:spacing w:val="6"/>
              </w:rPr>
              <w:t>(商务部、工商行政</w:t>
            </w:r>
          </w:p>
          <w:p>
            <w:pPr>
              <w:pStyle w:val="TableText"/>
              <w:ind w:left="21" w:right="206" w:hanging="9"/>
              <w:spacing w:before="41" w:line="239" w:lineRule="auto"/>
              <w:rPr/>
            </w:pPr>
            <w:r>
              <w:rPr>
                <w:spacing w:val="-1"/>
              </w:rPr>
              <w:t>管理总局令2005年</w:t>
            </w:r>
            <w:r>
              <w:rPr/>
              <w:t xml:space="preserve"> </w:t>
            </w:r>
            <w:r>
              <w:rPr>
                <w:spacing w:val="5"/>
              </w:rPr>
              <w:t>第22号)</w:t>
            </w:r>
          </w:p>
        </w:tc>
        <w:tc>
          <w:tcPr>
            <w:tcW w:w="1618" w:type="dxa"/>
            <w:vAlign w:val="top"/>
          </w:tcPr>
          <w:p>
            <w:pPr>
              <w:spacing w:line="265" w:lineRule="auto"/>
              <w:rPr>
                <w:rFonts w:ascii="Arial"/>
                <w:sz w:val="21"/>
              </w:rPr>
            </w:pPr>
            <w:r/>
          </w:p>
          <w:p>
            <w:pPr>
              <w:spacing w:line="265" w:lineRule="auto"/>
              <w:rPr>
                <w:rFonts w:ascii="Arial"/>
                <w:sz w:val="21"/>
              </w:rPr>
            </w:pPr>
            <w:r/>
          </w:p>
          <w:p>
            <w:pPr>
              <w:pStyle w:val="TableText"/>
              <w:ind w:left="12" w:firstLine="38"/>
              <w:spacing w:before="49" w:line="266" w:lineRule="auto"/>
              <w:rPr/>
            </w:pPr>
            <w:r>
              <w:rPr>
                <w:spacing w:val="-6"/>
              </w:rPr>
              <w:t>保证金的数额在直销企</w:t>
            </w:r>
            <w:r>
              <w:rPr>
                <w:spacing w:val="3"/>
              </w:rPr>
              <w:t xml:space="preserve">  </w:t>
            </w:r>
            <w:r>
              <w:rPr>
                <w:spacing w:val="-1"/>
              </w:rPr>
              <w:t>业设立时为人民币2000</w:t>
            </w:r>
            <w:r>
              <w:rPr/>
              <w:t xml:space="preserve">  </w:t>
            </w:r>
            <w:r>
              <w:rPr>
                <w:spacing w:val="-5"/>
              </w:rPr>
              <w:t>万元；直销企业运营后，</w:t>
            </w:r>
            <w:r>
              <w:rPr/>
              <w:t xml:space="preserve"> </w:t>
            </w:r>
            <w:r>
              <w:rPr>
                <w:spacing w:val="-2"/>
              </w:rPr>
              <w:t>保证金应当按月进行调</w:t>
            </w:r>
            <w:r>
              <w:rPr>
                <w:spacing w:val="3"/>
              </w:rPr>
              <w:t xml:space="preserve">  </w:t>
            </w:r>
            <w:r>
              <w:rPr>
                <w:spacing w:val="-2"/>
              </w:rPr>
              <w:t>整，其数额应当保持在</w:t>
            </w:r>
            <w:r>
              <w:rPr>
                <w:spacing w:val="3"/>
              </w:rPr>
              <w:t xml:space="preserve">  </w:t>
            </w:r>
            <w:r>
              <w:rPr>
                <w:spacing w:val="-2"/>
              </w:rPr>
              <w:t>直销企业上一个月直销</w:t>
            </w:r>
            <w:r>
              <w:rPr>
                <w:spacing w:val="2"/>
              </w:rPr>
              <w:t xml:space="preserve">  </w:t>
            </w:r>
            <w:r>
              <w:rPr>
                <w:spacing w:val="1"/>
              </w:rPr>
              <w:t>产品销售收入15%的水</w:t>
            </w:r>
            <w:r>
              <w:rPr>
                <w:spacing w:val="2"/>
              </w:rPr>
              <w:t xml:space="preserve">   </w:t>
            </w:r>
            <w:r>
              <w:rPr>
                <w:spacing w:val="-2"/>
              </w:rPr>
              <w:t>平，但最高不超过人民</w:t>
            </w:r>
            <w:r>
              <w:rPr>
                <w:spacing w:val="3"/>
              </w:rPr>
              <w:t xml:space="preserve">  </w:t>
            </w:r>
            <w:r>
              <w:rPr>
                <w:spacing w:val="3"/>
              </w:rPr>
              <w:t>币1亿元，最低不少于  </w:t>
            </w:r>
            <w:r>
              <w:rPr>
                <w:spacing w:val="-2"/>
              </w:rPr>
              <w:t>人民币2000万元</w:t>
            </w:r>
          </w:p>
        </w:tc>
        <w:tc>
          <w:tcPr>
            <w:tcW w:w="1628" w:type="dxa"/>
            <w:vAlign w:val="top"/>
          </w:tcPr>
          <w:p>
            <w:pPr>
              <w:spacing w:line="267" w:lineRule="auto"/>
              <w:rPr>
                <w:rFonts w:ascii="Arial"/>
                <w:sz w:val="21"/>
              </w:rPr>
            </w:pPr>
            <w:r/>
          </w:p>
          <w:p>
            <w:pPr>
              <w:spacing w:line="268" w:lineRule="auto"/>
              <w:rPr>
                <w:rFonts w:ascii="Arial"/>
                <w:sz w:val="21"/>
              </w:rPr>
            </w:pPr>
            <w:r/>
          </w:p>
          <w:p>
            <w:pPr>
              <w:pStyle w:val="TableText"/>
              <w:ind w:left="24"/>
              <w:spacing w:before="48" w:line="219" w:lineRule="auto"/>
              <w:rPr/>
            </w:pPr>
            <w:r>
              <w:rPr>
                <w:spacing w:val="-2"/>
              </w:rPr>
              <w:t>现金缴存</w:t>
            </w:r>
          </w:p>
        </w:tc>
        <w:tc>
          <w:tcPr>
            <w:tcW w:w="1648" w:type="dxa"/>
            <w:vAlign w:val="top"/>
          </w:tcPr>
          <w:p>
            <w:pPr>
              <w:spacing w:line="269" w:lineRule="auto"/>
              <w:rPr>
                <w:rFonts w:ascii="Arial"/>
                <w:sz w:val="21"/>
              </w:rPr>
            </w:pPr>
            <w:r/>
          </w:p>
          <w:p>
            <w:pPr>
              <w:spacing w:line="270" w:lineRule="auto"/>
              <w:rPr>
                <w:rFonts w:ascii="Arial"/>
                <w:sz w:val="21"/>
              </w:rPr>
            </w:pPr>
            <w:r/>
          </w:p>
          <w:p>
            <w:pPr>
              <w:pStyle w:val="TableText"/>
              <w:ind w:left="66" w:right="35"/>
              <w:spacing w:before="48" w:line="268" w:lineRule="auto"/>
              <w:rPr/>
            </w:pPr>
            <w:r>
              <w:rPr>
                <w:spacing w:val="-2"/>
              </w:rPr>
              <w:t>企业申请直销前应在商 </w:t>
            </w:r>
            <w:r>
              <w:rPr>
                <w:spacing w:val="-2"/>
              </w:rPr>
              <w:t>务部和市场监管总局共 </w:t>
            </w:r>
            <w:r>
              <w:rPr/>
              <w:t>同指定的银行开设保证</w:t>
            </w:r>
            <w:r>
              <w:rPr>
                <w:spacing w:val="5"/>
              </w:rPr>
              <w:t xml:space="preserve"> </w:t>
            </w:r>
            <w:r>
              <w:rPr>
                <w:spacing w:val="-2"/>
              </w:rPr>
              <w:t>金专门账户，缴纳2000 </w:t>
            </w:r>
            <w:r>
              <w:rPr>
                <w:spacing w:val="-2"/>
              </w:rPr>
              <w:t>万元人民币保证金并提 </w:t>
            </w:r>
            <w:r>
              <w:rPr>
                <w:spacing w:val="-2"/>
              </w:rPr>
              <w:t>交凭证。直销企业开始 </w:t>
            </w:r>
            <w:r>
              <w:rPr>
                <w:spacing w:val="3"/>
              </w:rPr>
              <w:t>从事直销经营活动3个</w:t>
            </w:r>
            <w:r>
              <w:rPr/>
              <w:t xml:space="preserve">  </w:t>
            </w:r>
            <w:r>
              <w:rPr>
                <w:spacing w:val="3"/>
              </w:rPr>
              <w:t>月后，保证金金额按月</w:t>
            </w:r>
            <w:r>
              <w:rPr/>
              <w:t xml:space="preserve"> </w:t>
            </w:r>
            <w:r>
              <w:rPr>
                <w:spacing w:val="-1"/>
              </w:rPr>
              <w:t>进行调整。如需调增保</w:t>
            </w:r>
            <w:r>
              <w:rPr>
                <w:spacing w:val="4"/>
              </w:rPr>
              <w:t xml:space="preserve"> </w:t>
            </w:r>
            <w:r>
              <w:rPr>
                <w:spacing w:val="-1"/>
              </w:rPr>
              <w:t>证金金额的，直销企业</w:t>
            </w:r>
            <w:r>
              <w:rPr>
                <w:spacing w:val="3"/>
              </w:rPr>
              <w:t xml:space="preserve"> </w:t>
            </w:r>
            <w:r>
              <w:rPr>
                <w:spacing w:val="-1"/>
              </w:rPr>
              <w:t>应当在向指定银行递交</w:t>
            </w:r>
            <w:r>
              <w:rPr>
                <w:spacing w:val="3"/>
              </w:rPr>
              <w:t xml:space="preserve"> </w:t>
            </w:r>
            <w:r>
              <w:rPr>
                <w:spacing w:val="3"/>
              </w:rPr>
              <w:t>月销售额证明文件后5</w:t>
            </w:r>
            <w:r>
              <w:rPr/>
              <w:t xml:space="preserve">  </w:t>
            </w:r>
            <w:r>
              <w:rPr/>
              <w:t>日内将款项划转到其指</w:t>
            </w:r>
            <w:r>
              <w:rPr>
                <w:spacing w:val="8"/>
              </w:rPr>
              <w:t xml:space="preserve"> </w:t>
            </w:r>
            <w:r>
              <w:rPr>
                <w:spacing w:val="1"/>
              </w:rPr>
              <w:t>定银行保证金账户；如</w:t>
            </w:r>
            <w:r>
              <w:rPr/>
              <w:t xml:space="preserve"> </w:t>
            </w:r>
            <w:r>
              <w:rPr>
                <w:spacing w:val="3"/>
              </w:rPr>
              <w:t>需调减保证金金额的，</w:t>
            </w:r>
            <w:r>
              <w:rPr>
                <w:spacing w:val="4"/>
              </w:rPr>
              <w:t xml:space="preserve"> </w:t>
            </w:r>
            <w:r>
              <w:rPr>
                <w:spacing w:val="-1"/>
              </w:rPr>
              <w:t>按企业与指定银行签订</w:t>
            </w:r>
          </w:p>
          <w:p>
            <w:pPr>
              <w:pStyle w:val="TableText"/>
              <w:ind w:left="26"/>
              <w:spacing w:before="32" w:line="219" w:lineRule="auto"/>
              <w:rPr/>
            </w:pPr>
            <w:r>
              <w:rPr>
                <w:spacing w:val="1"/>
              </w:rPr>
              <w:t>的协议办理</w:t>
            </w:r>
          </w:p>
        </w:tc>
        <w:tc>
          <w:tcPr>
            <w:tcW w:w="1633" w:type="dxa"/>
            <w:vAlign w:val="top"/>
          </w:tcPr>
          <w:p>
            <w:pPr>
              <w:spacing w:line="279" w:lineRule="auto"/>
              <w:rPr>
                <w:rFonts w:ascii="Arial"/>
                <w:sz w:val="21"/>
              </w:rPr>
            </w:pPr>
            <w:r/>
          </w:p>
          <w:p>
            <w:pPr>
              <w:spacing w:line="279" w:lineRule="auto"/>
              <w:rPr>
                <w:rFonts w:ascii="Arial"/>
                <w:sz w:val="21"/>
              </w:rPr>
            </w:pPr>
            <w:r/>
          </w:p>
          <w:p>
            <w:pPr>
              <w:pStyle w:val="TableText"/>
              <w:ind w:left="18" w:right="69" w:firstLine="40"/>
              <w:spacing w:before="49" w:line="262" w:lineRule="auto"/>
              <w:jc w:val="both"/>
              <w:rPr/>
            </w:pPr>
            <w:r>
              <w:rPr>
                <w:spacing w:val="-1"/>
              </w:rPr>
              <w:t>直销企业不再从事直销</w:t>
            </w:r>
            <w:r>
              <w:rPr>
                <w:spacing w:val="1"/>
              </w:rPr>
              <w:t xml:space="preserve"> </w:t>
            </w:r>
            <w:r>
              <w:rPr>
                <w:spacing w:val="3"/>
              </w:rPr>
              <w:t>活动的，凭商务部和市</w:t>
            </w:r>
            <w:r>
              <w:rPr/>
              <w:t xml:space="preserve"> </w:t>
            </w:r>
            <w:r>
              <w:rPr>
                <w:spacing w:val="3"/>
              </w:rPr>
              <w:t>场监管总局出具的书面 </w:t>
            </w:r>
            <w:r>
              <w:rPr>
                <w:spacing w:val="3"/>
              </w:rPr>
              <w:t>凭证，可以向指定银行</w:t>
            </w:r>
            <w:r>
              <w:rPr/>
              <w:t xml:space="preserve"> </w:t>
            </w:r>
            <w:r>
              <w:rPr>
                <w:spacing w:val="3"/>
              </w:rPr>
              <w:t>取回保证金。企业申请</w:t>
            </w:r>
            <w:r>
              <w:rPr>
                <w:spacing w:val="1"/>
              </w:rPr>
              <w:t xml:space="preserve"> </w:t>
            </w:r>
            <w:r>
              <w:rPr>
                <w:spacing w:val="3"/>
              </w:rPr>
              <w:t>直销未获批准的，凭商</w:t>
            </w:r>
            <w:r>
              <w:rPr>
                <w:spacing w:val="1"/>
              </w:rPr>
              <w:t xml:space="preserve"> </w:t>
            </w:r>
            <w:r>
              <w:rPr>
                <w:spacing w:val="3"/>
              </w:rPr>
              <w:t>务部出具的书面凭证到</w:t>
            </w:r>
            <w:r>
              <w:rPr>
                <w:spacing w:val="1"/>
              </w:rPr>
              <w:t xml:space="preserve"> </w:t>
            </w:r>
            <w:r>
              <w:rPr>
                <w:spacing w:val="3"/>
              </w:rPr>
              <w:t>指定银行办理保证金退</w:t>
            </w:r>
            <w:r>
              <w:rPr>
                <w:spacing w:val="1"/>
              </w:rPr>
              <w:t xml:space="preserve"> </w:t>
            </w:r>
            <w:r>
              <w:rPr>
                <w:spacing w:val="2"/>
              </w:rPr>
              <w:t>回手续</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11520" behindDoc="0" locked="0" layoutInCell="0" allowOverlap="1">
                <wp:simplePos x="0" y="0"/>
                <wp:positionH relativeFrom="page">
                  <wp:posOffset>470816</wp:posOffset>
                </wp:positionH>
                <wp:positionV relativeFrom="page">
                  <wp:posOffset>623638</wp:posOffset>
                </wp:positionV>
                <wp:extent cx="172085" cy="156845"/>
                <wp:effectExtent l="0" t="0" r="0" b="0"/>
                <wp:wrapNone/>
                <wp:docPr id="518" name="TextBox 518"/>
                <wp:cNvGraphicFramePr/>
                <a:graphic>
                  <a:graphicData uri="http://schemas.microsoft.com/office/word/2010/wordprocessingShape">
                    <wps:wsp>
                      <wps:cNvSpPr txBox="1"/>
                      <wps:spPr>
                        <a:xfrm rot="5400000">
                          <a:off x="470816" y="623638"/>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70" style="position:absolute;margin-left:37.0722pt;margin-top:49.1054pt;mso-position-vertical-relative:page;mso-position-horizontal-relative:page;width:13.55pt;height:12.35pt;z-index:25201152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348</w:t>
                      </w:r>
                    </w:p>
                  </w:txbxContent>
                </v:textbox>
              </v:shape>
            </w:pict>
          </mc:Fallback>
        </mc:AlternateContent>
      </w:r>
      <w:r/>
    </w:p>
    <w:p>
      <w:pPr>
        <w:spacing w:before="51"/>
        <w:rPr/>
      </w:pPr>
      <w:r/>
    </w:p>
    <w:tbl>
      <w:tblPr>
        <w:tblStyle w:val="TableNormal"/>
        <w:tblW w:w="9642"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739"/>
        <w:gridCol w:w="1409"/>
        <w:gridCol w:w="1618"/>
        <w:gridCol w:w="1648"/>
        <w:gridCol w:w="1638"/>
        <w:gridCol w:w="1626"/>
      </w:tblGrid>
      <w:tr>
        <w:trPr>
          <w:trHeight w:val="464" w:hRule="atLeast"/>
        </w:trPr>
        <w:tc>
          <w:tcPr>
            <w:tcW w:w="285" w:type="dxa"/>
            <w:vAlign w:val="top"/>
            <w:textDirection w:val="tbRlV"/>
          </w:tcPr>
          <w:p>
            <w:pPr>
              <w:pStyle w:val="TableText"/>
              <w:ind w:left="27"/>
              <w:spacing w:before="70" w:line="217" w:lineRule="auto"/>
              <w:rPr/>
            </w:pPr>
            <w:r>
              <w:rPr/>
              <w:t>序</w:t>
            </w:r>
            <w:r>
              <w:rPr>
                <w:spacing w:val="16"/>
              </w:rPr>
              <w:t xml:space="preserve"> </w:t>
            </w:r>
            <w:r>
              <w:rPr/>
              <w:t>号</w:t>
            </w:r>
          </w:p>
        </w:tc>
        <w:tc>
          <w:tcPr>
            <w:tcW w:w="679" w:type="dxa"/>
            <w:vAlign w:val="top"/>
          </w:tcPr>
          <w:p>
            <w:pPr>
              <w:pStyle w:val="TableText"/>
              <w:ind w:left="3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09" w:type="dxa"/>
            <w:vAlign w:val="top"/>
          </w:tcPr>
          <w:p>
            <w:pPr>
              <w:pStyle w:val="TableText"/>
              <w:ind w:left="391"/>
              <w:spacing w:before="160" w:line="219" w:lineRule="auto"/>
              <w:rPr/>
            </w:pPr>
            <w:r>
              <w:rPr>
                <w:spacing w:val="-2"/>
              </w:rPr>
              <w:t>设立依据</w:t>
            </w:r>
          </w:p>
        </w:tc>
        <w:tc>
          <w:tcPr>
            <w:tcW w:w="1618" w:type="dxa"/>
            <w:vAlign w:val="top"/>
          </w:tcPr>
          <w:p>
            <w:pPr>
              <w:pStyle w:val="TableText"/>
              <w:ind w:left="50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38" w:type="dxa"/>
            <w:vAlign w:val="top"/>
          </w:tcPr>
          <w:p>
            <w:pPr>
              <w:pStyle w:val="TableText"/>
              <w:ind w:left="516"/>
              <w:spacing w:before="161" w:line="219" w:lineRule="auto"/>
              <w:rPr/>
            </w:pPr>
            <w:r>
              <w:rPr>
                <w:spacing w:val="-2"/>
              </w:rPr>
              <w:t>征收程序</w:t>
            </w:r>
          </w:p>
        </w:tc>
        <w:tc>
          <w:tcPr>
            <w:tcW w:w="1626" w:type="dxa"/>
            <w:vAlign w:val="top"/>
          </w:tcPr>
          <w:p>
            <w:pPr>
              <w:pStyle w:val="TableText"/>
              <w:ind w:left="508"/>
              <w:spacing w:before="163" w:line="221" w:lineRule="auto"/>
              <w:rPr/>
            </w:pPr>
            <w:r>
              <w:rPr>
                <w:spacing w:val="3"/>
              </w:rPr>
              <w:t>返还时间</w:t>
            </w:r>
          </w:p>
        </w:tc>
      </w:tr>
      <w:tr>
        <w:trPr>
          <w:trHeight w:val="2975" w:hRule="atLeast"/>
        </w:trPr>
        <w:tc>
          <w:tcPr>
            <w:tcW w:w="285" w:type="dxa"/>
            <w:vAlign w:val="top"/>
          </w:tcPr>
          <w:p>
            <w:pPr>
              <w:pStyle w:val="TableText"/>
              <w:ind w:left="55"/>
              <w:spacing w:before="155" w:line="184" w:lineRule="auto"/>
              <w:rPr/>
            </w:pPr>
            <w:r>
              <w:rPr>
                <w:spacing w:val="-5"/>
              </w:rPr>
              <w:t>10</w:t>
            </w:r>
          </w:p>
        </w:tc>
        <w:tc>
          <w:tcPr>
            <w:tcW w:w="679" w:type="dxa"/>
            <w:vAlign w:val="top"/>
          </w:tcPr>
          <w:p>
            <w:pPr>
              <w:pStyle w:val="TableText"/>
              <w:ind w:left="10" w:right="20" w:firstLine="20"/>
              <w:spacing w:before="107" w:line="258" w:lineRule="auto"/>
              <w:jc w:val="both"/>
              <w:rPr/>
            </w:pPr>
            <w:r>
              <w:rPr>
                <w:spacing w:val="-2"/>
              </w:rPr>
              <w:t>对外劳务</w:t>
            </w:r>
            <w:r>
              <w:rPr>
                <w:spacing w:val="1"/>
              </w:rPr>
              <w:t xml:space="preserve"> </w:t>
            </w:r>
            <w:r>
              <w:rPr>
                <w:spacing w:val="3"/>
              </w:rPr>
              <w:t>合作风险</w:t>
            </w:r>
            <w:r>
              <w:rPr/>
              <w:t xml:space="preserve"> </w:t>
            </w:r>
            <w:r>
              <w:rPr>
                <w:spacing w:val="9"/>
              </w:rPr>
              <w:t>处置备用</w:t>
            </w:r>
            <w:r>
              <w:rPr>
                <w:spacing w:val="1"/>
              </w:rPr>
              <w:t xml:space="preserve"> </w:t>
            </w:r>
            <w:r>
              <w:rPr/>
              <w:t>金</w:t>
            </w:r>
          </w:p>
        </w:tc>
        <w:tc>
          <w:tcPr>
            <w:tcW w:w="739" w:type="dxa"/>
            <w:vAlign w:val="top"/>
          </w:tcPr>
          <w:p>
            <w:pPr>
              <w:pStyle w:val="TableText"/>
              <w:ind w:left="131"/>
              <w:spacing w:before="107" w:line="219" w:lineRule="auto"/>
              <w:rPr/>
            </w:pPr>
            <w:r>
              <w:rPr>
                <w:spacing w:val="-2"/>
              </w:rPr>
              <w:t>商务部</w:t>
            </w:r>
          </w:p>
        </w:tc>
        <w:tc>
          <w:tcPr>
            <w:tcW w:w="1409" w:type="dxa"/>
            <w:vAlign w:val="top"/>
          </w:tcPr>
          <w:p>
            <w:pPr>
              <w:pStyle w:val="TableText"/>
              <w:ind w:left="34" w:right="83" w:hanging="34"/>
              <w:spacing w:before="106" w:line="239" w:lineRule="auto"/>
              <w:rPr/>
            </w:pPr>
            <w:r>
              <w:rPr>
                <w:spacing w:val="-4"/>
              </w:rPr>
              <w:t>《对外劳务合作管理</w:t>
            </w:r>
            <w:r>
              <w:rPr/>
              <w:t xml:space="preserve"> </w:t>
            </w:r>
            <w:r>
              <w:rPr>
                <w:spacing w:val="-5"/>
              </w:rPr>
              <w:t>条例》</w:t>
            </w:r>
          </w:p>
          <w:p>
            <w:pPr>
              <w:pStyle w:val="TableText"/>
              <w:ind w:left="34" w:hanging="34"/>
              <w:spacing w:before="50" w:line="258" w:lineRule="auto"/>
              <w:rPr/>
            </w:pPr>
            <w:r>
              <w:rPr>
                <w:spacing w:val="-5"/>
              </w:rPr>
              <w:t>《对外劳务合作风险</w:t>
            </w:r>
            <w:r>
              <w:rPr>
                <w:spacing w:val="1"/>
              </w:rPr>
              <w:t xml:space="preserve">  </w:t>
            </w:r>
            <w:r>
              <w:rPr>
                <w:spacing w:val="-5"/>
              </w:rPr>
              <w:t>处置备用金管理办法 </w:t>
            </w:r>
            <w:r>
              <w:rPr>
                <w:spacing w:val="8"/>
              </w:rPr>
              <w:t>(试行)》(商务部、 </w:t>
            </w:r>
            <w:r>
              <w:rPr>
                <w:spacing w:val="-3"/>
              </w:rPr>
              <w:t>财政部令2014年第</w:t>
            </w:r>
          </w:p>
          <w:p>
            <w:pPr>
              <w:pStyle w:val="TableText"/>
              <w:ind w:left="12"/>
              <w:spacing w:before="23" w:line="221" w:lineRule="auto"/>
              <w:rPr/>
            </w:pPr>
            <w:r>
              <w:rPr>
                <w:spacing w:val="10"/>
              </w:rPr>
              <w:t>2号)</w:t>
            </w:r>
          </w:p>
        </w:tc>
        <w:tc>
          <w:tcPr>
            <w:tcW w:w="1618" w:type="dxa"/>
            <w:vAlign w:val="top"/>
          </w:tcPr>
          <w:p>
            <w:pPr>
              <w:pStyle w:val="TableText"/>
              <w:ind w:left="12" w:right="60" w:firstLine="40"/>
              <w:spacing w:before="116" w:line="245" w:lineRule="auto"/>
              <w:jc w:val="both"/>
              <w:rPr/>
            </w:pPr>
            <w:r>
              <w:rPr>
                <w:spacing w:val="-1"/>
              </w:rPr>
              <w:t>对外劳务合作风险处置</w:t>
            </w:r>
            <w:r>
              <w:rPr>
                <w:spacing w:val="3"/>
              </w:rPr>
              <w:t xml:space="preserve"> </w:t>
            </w:r>
            <w:r>
              <w:rPr>
                <w:spacing w:val="3"/>
              </w:rPr>
              <w:t>备用金缴存标准为人民</w:t>
            </w:r>
            <w:r>
              <w:rPr>
                <w:spacing w:val="1"/>
              </w:rPr>
              <w:t xml:space="preserve"> </w:t>
            </w:r>
            <w:r>
              <w:rPr/>
              <w:t>币300万元</w:t>
            </w:r>
          </w:p>
        </w:tc>
        <w:tc>
          <w:tcPr>
            <w:tcW w:w="1648" w:type="dxa"/>
            <w:vAlign w:val="top"/>
          </w:tcPr>
          <w:p>
            <w:pPr>
              <w:pStyle w:val="TableText"/>
              <w:ind w:left="44" w:right="80" w:firstLine="20"/>
              <w:spacing w:before="116" w:line="239" w:lineRule="auto"/>
              <w:rPr/>
            </w:pPr>
            <w:r>
              <w:rPr>
                <w:spacing w:val="-1"/>
              </w:rPr>
              <w:t>可以现金或等额银行保</w:t>
            </w:r>
            <w:r>
              <w:rPr>
                <w:spacing w:val="1"/>
              </w:rPr>
              <w:t xml:space="preserve"> </w:t>
            </w:r>
            <w:r>
              <w:rPr>
                <w:spacing w:val="1"/>
              </w:rPr>
              <w:t>函形式缴存</w:t>
            </w:r>
          </w:p>
        </w:tc>
        <w:tc>
          <w:tcPr>
            <w:tcW w:w="1638" w:type="dxa"/>
            <w:vAlign w:val="top"/>
          </w:tcPr>
          <w:p>
            <w:pPr>
              <w:pStyle w:val="TableText"/>
              <w:ind w:left="26" w:right="54" w:firstLine="40"/>
              <w:spacing w:before="116" w:line="258" w:lineRule="auto"/>
              <w:rPr/>
            </w:pPr>
            <w:r>
              <w:rPr>
                <w:spacing w:val="-1"/>
              </w:rPr>
              <w:t>对外劳务合作企业应当</w:t>
            </w:r>
            <w:r>
              <w:rPr>
                <w:spacing w:val="3"/>
              </w:rPr>
              <w:t xml:space="preserve"> </w:t>
            </w:r>
            <w:r>
              <w:rPr>
                <w:spacing w:val="4"/>
              </w:rPr>
              <w:t>自获得对外劳务合作经</w:t>
            </w:r>
            <w:r>
              <w:rPr>
                <w:spacing w:val="5"/>
              </w:rPr>
              <w:t xml:space="preserve"> </w:t>
            </w:r>
            <w:r>
              <w:rPr>
                <w:spacing w:val="2"/>
              </w:rPr>
              <w:t>营资格并在工商行政管</w:t>
            </w:r>
            <w:r>
              <w:rPr>
                <w:spacing w:val="8"/>
              </w:rPr>
              <w:t xml:space="preserve"> </w:t>
            </w:r>
            <w:r>
              <w:rPr>
                <w:spacing w:val="-1"/>
              </w:rPr>
              <w:t>理部门登记之日起5个</w:t>
            </w:r>
          </w:p>
          <w:p>
            <w:pPr>
              <w:pStyle w:val="TableText"/>
              <w:ind w:left="26" w:right="42" w:firstLine="40"/>
              <w:spacing w:before="32" w:line="262" w:lineRule="auto"/>
              <w:rPr/>
            </w:pPr>
            <w:r>
              <w:rPr>
                <w:spacing w:val="-1"/>
              </w:rPr>
              <w:t>工作日内，在负责审批</w:t>
            </w:r>
            <w:r>
              <w:rPr>
                <w:spacing w:val="1"/>
              </w:rPr>
              <w:t xml:space="preserve"> </w:t>
            </w:r>
            <w:r>
              <w:rPr>
                <w:spacing w:val="5"/>
              </w:rPr>
              <w:t>的商务主管部门指定的</w:t>
            </w:r>
            <w:r>
              <w:rPr/>
              <w:t xml:space="preserve"> </w:t>
            </w:r>
            <w:r>
              <w:rPr>
                <w:spacing w:val="3"/>
              </w:rPr>
              <w:t>银行缴存对外劳务合作</w:t>
            </w:r>
            <w:r>
              <w:rPr>
                <w:spacing w:val="2"/>
              </w:rPr>
              <w:t xml:space="preserve"> </w:t>
            </w:r>
            <w:r>
              <w:rPr>
                <w:spacing w:val="5"/>
              </w:rPr>
              <w:t>风险处置备用金。备用</w:t>
            </w:r>
            <w:r>
              <w:rPr>
                <w:spacing w:val="7"/>
              </w:rPr>
              <w:t xml:space="preserve"> </w:t>
            </w:r>
            <w:r>
              <w:rPr>
                <w:spacing w:val="3"/>
              </w:rPr>
              <w:t>金可以用现金或等额银</w:t>
            </w:r>
            <w:r>
              <w:rPr>
                <w:spacing w:val="1"/>
              </w:rPr>
              <w:t xml:space="preserve"> </w:t>
            </w:r>
            <w:r>
              <w:rPr>
                <w:spacing w:val="-2"/>
              </w:rPr>
              <w:t>行保函形式缴存</w:t>
            </w:r>
          </w:p>
        </w:tc>
        <w:tc>
          <w:tcPr>
            <w:tcW w:w="1626" w:type="dxa"/>
            <w:vAlign w:val="top"/>
          </w:tcPr>
          <w:p>
            <w:pPr>
              <w:pStyle w:val="TableText"/>
              <w:ind w:left="18" w:firstLine="39"/>
              <w:spacing w:before="115" w:line="266" w:lineRule="auto"/>
              <w:rPr/>
            </w:pPr>
            <w:r>
              <w:rPr>
                <w:spacing w:val="-2"/>
              </w:rPr>
              <w:t>对外劳务合作企业停止</w:t>
            </w:r>
            <w:r>
              <w:rPr>
                <w:spacing w:val="1"/>
              </w:rPr>
              <w:t xml:space="preserve">  </w:t>
            </w:r>
            <w:r>
              <w:rPr>
                <w:spacing w:val="-6"/>
              </w:rPr>
              <w:t>开展对外劳务合作的，应</w:t>
            </w:r>
            <w:r>
              <w:rPr/>
              <w:t xml:space="preserve"> </w:t>
            </w:r>
            <w:r>
              <w:rPr>
                <w:spacing w:val="3"/>
              </w:rPr>
              <w:t>当对其派出的尚在国外  </w:t>
            </w:r>
            <w:r>
              <w:rPr>
                <w:spacing w:val="2"/>
              </w:rPr>
              <w:t>工作的劳务人员作出妥</w:t>
            </w:r>
            <w:r>
              <w:rPr/>
              <w:t xml:space="preserve">  </w:t>
            </w:r>
            <w:r>
              <w:rPr>
                <w:spacing w:val="-6"/>
              </w:rPr>
              <w:t>善安排，并将安排方案连</w:t>
            </w:r>
            <w:r>
              <w:rPr/>
              <w:t xml:space="preserve"> </w:t>
            </w:r>
            <w:r>
              <w:rPr>
                <w:spacing w:val="3"/>
              </w:rPr>
              <w:t>同两年内有效的备用金</w:t>
            </w:r>
            <w:r>
              <w:rPr>
                <w:spacing w:val="2"/>
              </w:rPr>
              <w:t xml:space="preserve">  </w:t>
            </w:r>
            <w:r>
              <w:rPr>
                <w:spacing w:val="2"/>
              </w:rPr>
              <w:t>缴存凭证或者保函报商  </w:t>
            </w:r>
            <w:r>
              <w:rPr>
                <w:spacing w:val="-6"/>
              </w:rPr>
              <w:t>务主管部门备案。对外劳</w:t>
            </w:r>
            <w:r>
              <w:rPr>
                <w:spacing w:val="2"/>
              </w:rPr>
              <w:t xml:space="preserve"> </w:t>
            </w:r>
            <w:r>
              <w:rPr>
                <w:spacing w:val="5"/>
              </w:rPr>
              <w:t>务合作企业自备案之日 </w:t>
            </w:r>
            <w:r>
              <w:rPr>
                <w:spacing w:val="2"/>
              </w:rPr>
              <w:t>起两年内未发生针对其</w:t>
            </w:r>
            <w:r>
              <w:rPr>
                <w:spacing w:val="1"/>
              </w:rPr>
              <w:t xml:space="preserve">  </w:t>
            </w:r>
            <w:r>
              <w:rPr>
                <w:spacing w:val="3"/>
              </w:rPr>
              <w:t>的劳务纠纷投诉或者诉</w:t>
            </w:r>
            <w:r>
              <w:rPr>
                <w:spacing w:val="2"/>
              </w:rPr>
              <w:t xml:space="preserve">  </w:t>
            </w:r>
            <w:r>
              <w:rPr>
                <w:spacing w:val="-5"/>
              </w:rPr>
              <w:t>讼的，可退还缴存的备用</w:t>
            </w:r>
            <w:r>
              <w:rPr>
                <w:spacing w:val="1"/>
              </w:rPr>
              <w:t xml:space="preserve"> </w:t>
            </w:r>
            <w:r>
              <w:rPr>
                <w:spacing w:val="1"/>
              </w:rPr>
              <w:t>金或允许其撤销保函</w:t>
            </w:r>
          </w:p>
        </w:tc>
      </w:tr>
      <w:tr>
        <w:trPr>
          <w:trHeight w:val="2901" w:hRule="atLeast"/>
        </w:trPr>
        <w:tc>
          <w:tcPr>
            <w:tcW w:w="285" w:type="dxa"/>
            <w:vAlign w:val="top"/>
          </w:tcPr>
          <w:p>
            <w:pPr>
              <w:pStyle w:val="TableText"/>
              <w:ind w:left="55"/>
              <w:spacing w:before="140" w:line="184" w:lineRule="auto"/>
              <w:rPr/>
            </w:pPr>
            <w:r>
              <w:rPr>
                <w:spacing w:val="-5"/>
              </w:rPr>
              <w:t>11</w:t>
            </w:r>
          </w:p>
        </w:tc>
        <w:tc>
          <w:tcPr>
            <w:tcW w:w="679" w:type="dxa"/>
            <w:vAlign w:val="top"/>
          </w:tcPr>
          <w:p>
            <w:pPr>
              <w:pStyle w:val="TableText"/>
              <w:ind w:left="30" w:right="44"/>
              <w:spacing w:before="83" w:line="250" w:lineRule="auto"/>
              <w:jc w:val="both"/>
              <w:rPr/>
            </w:pPr>
            <w:r>
              <w:rPr>
                <w:spacing w:val="-2"/>
              </w:rPr>
              <w:t>对外承包</w:t>
            </w:r>
            <w:r>
              <w:rPr>
                <w:spacing w:val="1"/>
              </w:rPr>
              <w:t xml:space="preserve"> </w:t>
            </w:r>
            <w:r>
              <w:rPr>
                <w:spacing w:val="-2"/>
              </w:rPr>
              <w:t>工程单位</w:t>
            </w:r>
            <w:r>
              <w:rPr/>
              <w:t xml:space="preserve"> </w:t>
            </w:r>
            <w:r>
              <w:rPr>
                <w:spacing w:val="-2"/>
              </w:rPr>
              <w:t>备用金</w:t>
            </w:r>
          </w:p>
        </w:tc>
        <w:tc>
          <w:tcPr>
            <w:tcW w:w="739" w:type="dxa"/>
            <w:vAlign w:val="top"/>
          </w:tcPr>
          <w:p>
            <w:pPr>
              <w:pStyle w:val="TableText"/>
              <w:ind w:left="131"/>
              <w:spacing w:before="72" w:line="219" w:lineRule="auto"/>
              <w:rPr/>
            </w:pPr>
            <w:r>
              <w:rPr>
                <w:spacing w:val="-2"/>
              </w:rPr>
              <w:t>商务部</w:t>
            </w:r>
          </w:p>
        </w:tc>
        <w:tc>
          <w:tcPr>
            <w:tcW w:w="1409" w:type="dxa"/>
            <w:vAlign w:val="top"/>
          </w:tcPr>
          <w:p>
            <w:pPr>
              <w:pStyle w:val="TableText"/>
              <w:ind w:left="34" w:right="83" w:hanging="34"/>
              <w:spacing w:before="91" w:line="233" w:lineRule="auto"/>
              <w:rPr/>
            </w:pPr>
            <w:r>
              <w:rPr>
                <w:spacing w:val="-4"/>
              </w:rPr>
              <w:t>《对外承包工程管理</w:t>
            </w:r>
            <w:r>
              <w:rPr/>
              <w:t xml:space="preserve"> </w:t>
            </w:r>
            <w:r>
              <w:rPr>
                <w:spacing w:val="-5"/>
              </w:rPr>
              <w:t>条例》</w:t>
            </w:r>
          </w:p>
          <w:p>
            <w:pPr>
              <w:pStyle w:val="TableText"/>
              <w:ind w:left="44" w:right="35" w:hanging="44"/>
              <w:spacing w:before="51" w:line="245" w:lineRule="auto"/>
              <w:rPr/>
            </w:pPr>
            <w:r>
              <w:rPr>
                <w:spacing w:val="-5"/>
              </w:rPr>
              <w:t>《对外劳务合作风险 </w:t>
            </w:r>
            <w:r>
              <w:rPr>
                <w:spacing w:val="-4"/>
              </w:rPr>
              <w:t>处置备用金管理办法</w:t>
            </w:r>
          </w:p>
          <w:p>
            <w:pPr>
              <w:pStyle w:val="TableText"/>
              <w:ind w:left="12" w:right="138" w:firstLine="119"/>
              <w:spacing w:before="32" w:line="246" w:lineRule="auto"/>
              <w:jc w:val="both"/>
              <w:rPr/>
            </w:pPr>
            <w:r>
              <w:rPr/>
              <w:t>(试行)》(商务部</w:t>
            </w:r>
            <w:r>
              <w:rPr>
                <w:spacing w:val="2"/>
              </w:rPr>
              <w:t xml:space="preserve"> </w:t>
            </w:r>
            <w:r>
              <w:rPr>
                <w:spacing w:val="-1"/>
              </w:rPr>
              <w:t>财政部令2014年第</w:t>
            </w:r>
            <w:r>
              <w:rPr>
                <w:spacing w:val="2"/>
              </w:rPr>
              <w:t xml:space="preserve"> </w:t>
            </w:r>
            <w:r>
              <w:rPr>
                <w:spacing w:val="10"/>
              </w:rPr>
              <w:t>2号)</w:t>
            </w:r>
          </w:p>
        </w:tc>
        <w:tc>
          <w:tcPr>
            <w:tcW w:w="1618" w:type="dxa"/>
            <w:vAlign w:val="top"/>
          </w:tcPr>
          <w:p>
            <w:pPr>
              <w:pStyle w:val="TableText"/>
              <w:ind w:left="122" w:right="36" w:hanging="70"/>
              <w:spacing w:before="102" w:line="244" w:lineRule="auto"/>
              <w:rPr/>
            </w:pPr>
            <w:r>
              <w:rPr>
                <w:spacing w:val="1"/>
              </w:rPr>
              <w:t>对外承包工程单位备用</w:t>
            </w:r>
            <w:r>
              <w:rPr>
                <w:spacing w:val="7"/>
              </w:rPr>
              <w:t xml:space="preserve"> </w:t>
            </w:r>
            <w:r>
              <w:rPr>
                <w:spacing w:val="2"/>
              </w:rPr>
              <w:t>金缴存标准为人民币</w:t>
            </w:r>
          </w:p>
          <w:p>
            <w:pPr>
              <w:pStyle w:val="TableText"/>
              <w:ind w:left="12"/>
              <w:spacing w:before="23" w:line="220" w:lineRule="auto"/>
              <w:rPr/>
            </w:pPr>
            <w:r>
              <w:rPr>
                <w:spacing w:val="-2"/>
              </w:rPr>
              <w:t>300万元</w:t>
            </w:r>
          </w:p>
        </w:tc>
        <w:tc>
          <w:tcPr>
            <w:tcW w:w="1648" w:type="dxa"/>
            <w:vAlign w:val="top"/>
          </w:tcPr>
          <w:p>
            <w:pPr>
              <w:pStyle w:val="TableText"/>
              <w:ind w:left="34" w:right="80" w:firstLine="30"/>
              <w:spacing w:before="91" w:line="239" w:lineRule="auto"/>
              <w:rPr/>
            </w:pPr>
            <w:r>
              <w:rPr>
                <w:spacing w:val="-1"/>
              </w:rPr>
              <w:t>可以现金或等额银行保</w:t>
            </w:r>
            <w:r>
              <w:rPr>
                <w:spacing w:val="1"/>
              </w:rPr>
              <w:t xml:space="preserve"> </w:t>
            </w:r>
            <w:r>
              <w:rPr>
                <w:spacing w:val="1"/>
              </w:rPr>
              <w:t>函形式缴存</w:t>
            </w:r>
          </w:p>
        </w:tc>
        <w:tc>
          <w:tcPr>
            <w:tcW w:w="1638" w:type="dxa"/>
            <w:vAlign w:val="top"/>
          </w:tcPr>
          <w:p>
            <w:pPr>
              <w:pStyle w:val="TableText"/>
              <w:ind w:left="26" w:right="47" w:firstLine="40"/>
              <w:spacing w:before="92" w:line="260" w:lineRule="auto"/>
              <w:jc w:val="both"/>
              <w:rPr/>
            </w:pPr>
            <w:r>
              <w:rPr>
                <w:spacing w:val="-1"/>
              </w:rPr>
              <w:t>对外承包工程的单位应</w:t>
            </w:r>
            <w:r>
              <w:rPr>
                <w:spacing w:val="3"/>
              </w:rPr>
              <w:t xml:space="preserve"> </w:t>
            </w:r>
            <w:r>
              <w:rPr>
                <w:spacing w:val="4"/>
              </w:rPr>
              <w:t>当自收到中标文件或签</w:t>
            </w:r>
            <w:r>
              <w:rPr>
                <w:spacing w:val="5"/>
              </w:rPr>
              <w:t xml:space="preserve"> </w:t>
            </w:r>
            <w:r>
              <w:rPr>
                <w:spacing w:val="3"/>
              </w:rPr>
              <w:t>署项目商务合同后15个</w:t>
            </w:r>
            <w:r>
              <w:rPr/>
              <w:t xml:space="preserve"> </w:t>
            </w:r>
            <w:r>
              <w:rPr>
                <w:spacing w:val="5"/>
              </w:rPr>
              <w:t>工作日内，在注册地省</w:t>
            </w:r>
            <w:r>
              <w:rPr>
                <w:spacing w:val="2"/>
              </w:rPr>
              <w:t xml:space="preserve"> </w:t>
            </w:r>
            <w:r>
              <w:rPr>
                <w:spacing w:val="3"/>
              </w:rPr>
              <w:t>级商务主管部门指定的</w:t>
            </w:r>
            <w:r>
              <w:rPr/>
              <w:t xml:space="preserve"> </w:t>
            </w:r>
            <w:r>
              <w:rPr>
                <w:spacing w:val="-1"/>
              </w:rPr>
              <w:t>银行缴存备用金</w:t>
            </w:r>
          </w:p>
        </w:tc>
        <w:tc>
          <w:tcPr>
            <w:tcW w:w="1626" w:type="dxa"/>
            <w:vAlign w:val="top"/>
          </w:tcPr>
          <w:p>
            <w:pPr>
              <w:pStyle w:val="TableText"/>
              <w:ind w:left="18" w:firstLine="40"/>
              <w:spacing w:before="91" w:line="264" w:lineRule="auto"/>
              <w:jc w:val="both"/>
              <w:rPr/>
            </w:pPr>
            <w:r>
              <w:rPr>
                <w:spacing w:val="-1"/>
              </w:rPr>
              <w:t>对外承包工程企业停止</w:t>
            </w:r>
            <w:r>
              <w:rPr>
                <w:spacing w:val="1"/>
              </w:rPr>
              <w:t xml:space="preserve">  </w:t>
            </w:r>
            <w:r>
              <w:rPr>
                <w:spacing w:val="-5"/>
              </w:rPr>
              <w:t>开展对外承包工程的，应</w:t>
            </w:r>
            <w:r>
              <w:rPr/>
              <w:t xml:space="preserve"> </w:t>
            </w:r>
            <w:r>
              <w:rPr>
                <w:spacing w:val="3"/>
              </w:rPr>
              <w:t>当对其派出的尚在国外 </w:t>
            </w:r>
            <w:r>
              <w:rPr>
                <w:spacing w:val="3"/>
              </w:rPr>
              <w:t>工作的劳务人员作出妥</w:t>
            </w:r>
            <w:r>
              <w:rPr/>
              <w:t xml:space="preserve">  </w:t>
            </w:r>
            <w:r>
              <w:rPr>
                <w:spacing w:val="-5"/>
              </w:rPr>
              <w:t>善安排，并将安排方案连</w:t>
            </w:r>
            <w:r>
              <w:rPr/>
              <w:t xml:space="preserve"> </w:t>
            </w:r>
            <w:r>
              <w:rPr>
                <w:spacing w:val="3"/>
              </w:rPr>
              <w:t>同两年内有效的备用金 </w:t>
            </w:r>
            <w:r>
              <w:rPr>
                <w:spacing w:val="3"/>
              </w:rPr>
              <w:t>缴存凭证或者保函报商</w:t>
            </w:r>
            <w:r>
              <w:rPr>
                <w:spacing w:val="2"/>
              </w:rPr>
              <w:t xml:space="preserve">  </w:t>
            </w:r>
            <w:r>
              <w:rPr>
                <w:spacing w:val="-5"/>
              </w:rPr>
              <w:t>务主管部门备案。对外承</w:t>
            </w:r>
            <w:r>
              <w:rPr/>
              <w:t xml:space="preserve"> </w:t>
            </w:r>
            <w:r>
              <w:rPr>
                <w:spacing w:val="6"/>
              </w:rPr>
              <w:t>包工程企业自备案之日</w:t>
            </w:r>
            <w:r>
              <w:rPr>
                <w:spacing w:val="5"/>
              </w:rPr>
              <w:t xml:space="preserve"> </w:t>
            </w:r>
            <w:r>
              <w:rPr>
                <w:spacing w:val="3"/>
              </w:rPr>
              <w:t>起两年内未发生针对其</w:t>
            </w:r>
            <w:r>
              <w:rPr>
                <w:spacing w:val="1"/>
              </w:rPr>
              <w:t xml:space="preserve">  </w:t>
            </w:r>
            <w:r>
              <w:rPr>
                <w:spacing w:val="3"/>
              </w:rPr>
              <w:t>的劳务纠纷投诉或者诉 </w:t>
            </w:r>
            <w:r>
              <w:rPr>
                <w:spacing w:val="3"/>
              </w:rPr>
              <w:t>讼的，可退还缴存的备</w:t>
            </w:r>
            <w:r>
              <w:rPr>
                <w:spacing w:val="1"/>
              </w:rPr>
              <w:t xml:space="preserve">  </w:t>
            </w:r>
            <w:r>
              <w:rPr>
                <w:spacing w:val="5"/>
              </w:rPr>
              <w:t>用金或允许其撤销保函</w:t>
            </w:r>
          </w:p>
        </w:tc>
      </w:tr>
    </w:tbl>
    <w:p>
      <w:pPr>
        <w:pStyle w:val="BodyText"/>
        <w:rPr/>
      </w:pPr>
      <w:r/>
    </w:p>
    <w:p>
      <w:pPr>
        <w:sectPr>
          <w:pgSz w:w="11910" w:h="8220"/>
          <w:pgMar w:top="400" w:right="1142" w:bottom="400" w:left="821" w:header="0" w:footer="0" w:gutter="0"/>
        </w:sectPr>
        <w:rPr/>
      </w:pPr>
    </w:p>
    <w:p>
      <w:pPr>
        <w:spacing w:before="46"/>
        <w:rPr/>
      </w:pPr>
      <w:r>
        <mc:AlternateContent xmlns:mc="http://schemas.openxmlformats.org/markup-compatibility/2006">
          <mc:Choice Requires="wps">
            <w:drawing>
              <wp:anchor distT="0" distB="0" distL="0" distR="0" simplePos="0" relativeHeight="252012544" behindDoc="0" locked="0" layoutInCell="0" allowOverlap="1">
                <wp:simplePos x="0" y="0"/>
                <wp:positionH relativeFrom="page">
                  <wp:posOffset>470816</wp:posOffset>
                </wp:positionH>
                <wp:positionV relativeFrom="page">
                  <wp:posOffset>4376497</wp:posOffset>
                </wp:positionV>
                <wp:extent cx="172085" cy="156845"/>
                <wp:effectExtent l="0" t="0" r="0" b="0"/>
                <wp:wrapNone/>
                <wp:docPr id="520" name="TextBox 520"/>
                <wp:cNvGraphicFramePr/>
                <a:graphic>
                  <a:graphicData uri="http://schemas.microsoft.com/office/word/2010/wordprocessingShape">
                    <wps:wsp>
                      <wps:cNvSpPr txBox="1"/>
                      <wps:spPr>
                        <a:xfrm rot="5400000">
                          <a:off x="470816" y="4376497"/>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72" style="position:absolute;margin-left:37.0722pt;margin-top:344.606pt;mso-position-vertical-relative:page;mso-position-horizontal-relative:page;width:13.55pt;height:12.35pt;z-index:252012544;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349</w:t>
                      </w:r>
                    </w:p>
                  </w:txbxContent>
                </v:textbox>
              </v:shape>
            </w:pict>
          </mc:Fallback>
        </mc:AlternateContent>
      </w:r>
      <w:r/>
    </w:p>
    <w:p>
      <w:pPr>
        <w:spacing w:before="46"/>
        <w:rPr/>
      </w:pPr>
      <w:r/>
    </w:p>
    <w:tbl>
      <w:tblPr>
        <w:tblStyle w:val="TableNormal"/>
        <w:tblW w:w="9629" w:type="dxa"/>
        <w:tblInd w:w="30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59"/>
        <w:gridCol w:w="749"/>
        <w:gridCol w:w="1409"/>
        <w:gridCol w:w="1628"/>
        <w:gridCol w:w="1648"/>
        <w:gridCol w:w="1628"/>
        <w:gridCol w:w="1623"/>
      </w:tblGrid>
      <w:tr>
        <w:trPr>
          <w:trHeight w:val="474" w:hRule="atLeast"/>
        </w:trPr>
        <w:tc>
          <w:tcPr>
            <w:tcW w:w="285" w:type="dxa"/>
            <w:vAlign w:val="top"/>
            <w:textDirection w:val="tbRlV"/>
          </w:tcPr>
          <w:p>
            <w:pPr>
              <w:pStyle w:val="TableText"/>
              <w:ind w:left="37"/>
              <w:spacing w:before="70" w:line="217" w:lineRule="auto"/>
              <w:rPr/>
            </w:pPr>
            <w:r>
              <w:rPr/>
              <w:t>序</w:t>
            </w:r>
            <w:r>
              <w:rPr>
                <w:spacing w:val="16"/>
              </w:rPr>
              <w:t xml:space="preserve"> </w:t>
            </w:r>
            <w:r>
              <w:rPr/>
              <w:t>号</w:t>
            </w:r>
          </w:p>
        </w:tc>
        <w:tc>
          <w:tcPr>
            <w:tcW w:w="659" w:type="dxa"/>
            <w:vAlign w:val="top"/>
          </w:tcPr>
          <w:p>
            <w:pPr>
              <w:pStyle w:val="TableText"/>
              <w:ind w:left="2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39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48" w:type="dxa"/>
            <w:vAlign w:val="top"/>
          </w:tcPr>
          <w:p>
            <w:pPr>
              <w:pStyle w:val="TableText"/>
              <w:ind w:left="53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23" w:type="dxa"/>
            <w:vAlign w:val="top"/>
          </w:tcPr>
          <w:p>
            <w:pPr>
              <w:pStyle w:val="TableText"/>
              <w:ind w:left="508"/>
              <w:spacing w:before="163" w:line="221" w:lineRule="auto"/>
              <w:rPr/>
            </w:pPr>
            <w:r>
              <w:rPr>
                <w:spacing w:val="3"/>
              </w:rPr>
              <w:t>返还时间</w:t>
            </w:r>
          </w:p>
        </w:tc>
      </w:tr>
      <w:tr>
        <w:trPr>
          <w:trHeight w:val="1447" w:hRule="atLeast"/>
        </w:trPr>
        <w:tc>
          <w:tcPr>
            <w:tcW w:w="285" w:type="dxa"/>
            <w:vAlign w:val="top"/>
          </w:tcPr>
          <w:p>
            <w:pPr>
              <w:pStyle w:val="TableText"/>
              <w:ind w:left="55"/>
              <w:spacing w:before="155" w:line="184" w:lineRule="auto"/>
              <w:rPr/>
            </w:pPr>
            <w:r>
              <w:rPr>
                <w:spacing w:val="-5"/>
              </w:rPr>
              <w:t>12</w:t>
            </w:r>
          </w:p>
        </w:tc>
        <w:tc>
          <w:tcPr>
            <w:tcW w:w="659" w:type="dxa"/>
            <w:vAlign w:val="top"/>
          </w:tcPr>
          <w:p>
            <w:pPr>
              <w:pStyle w:val="TableText"/>
              <w:ind w:left="10" w:right="22" w:firstLine="10"/>
              <w:spacing w:before="105" w:line="261" w:lineRule="auto"/>
              <w:jc w:val="both"/>
              <w:rPr/>
            </w:pPr>
            <w:r>
              <w:rPr>
                <w:spacing w:val="1"/>
              </w:rPr>
              <w:t>中央储备 </w:t>
            </w:r>
            <w:r>
              <w:rPr>
                <w:spacing w:val="4"/>
              </w:rPr>
              <w:t>肉收储投</w:t>
            </w:r>
            <w:r>
              <w:rPr/>
              <w:t xml:space="preserve"> </w:t>
            </w:r>
            <w:r>
              <w:rPr>
                <w:spacing w:val="1"/>
              </w:rPr>
              <w:t>放交易投</w:t>
            </w:r>
            <w:r>
              <w:rPr/>
              <w:t xml:space="preserve"> </w:t>
            </w:r>
            <w:r>
              <w:rPr/>
              <w:t>标履约保</w:t>
            </w:r>
            <w:r>
              <w:rPr>
                <w:spacing w:val="2"/>
              </w:rPr>
              <w:t xml:space="preserve"> </w:t>
            </w:r>
            <w:r>
              <w:rPr>
                <w:spacing w:val="-2"/>
              </w:rPr>
              <w:t>证金</w:t>
            </w:r>
          </w:p>
        </w:tc>
        <w:tc>
          <w:tcPr>
            <w:tcW w:w="749" w:type="dxa"/>
            <w:vAlign w:val="top"/>
          </w:tcPr>
          <w:p>
            <w:pPr>
              <w:pStyle w:val="TableText"/>
              <w:ind w:left="141"/>
              <w:spacing w:before="87" w:line="219" w:lineRule="auto"/>
              <w:rPr/>
            </w:pPr>
            <w:r>
              <w:rPr>
                <w:spacing w:val="-2"/>
              </w:rPr>
              <w:t>商务部</w:t>
            </w:r>
          </w:p>
        </w:tc>
        <w:tc>
          <w:tcPr>
            <w:tcW w:w="1409" w:type="dxa"/>
            <w:vAlign w:val="top"/>
          </w:tcPr>
          <w:p>
            <w:pPr>
              <w:pStyle w:val="TableText"/>
              <w:ind w:left="73" w:right="9" w:hanging="73"/>
              <w:spacing w:before="107" w:line="245" w:lineRule="auto"/>
              <w:rPr/>
            </w:pPr>
            <w:r>
              <w:rPr>
                <w:spacing w:val="-2"/>
              </w:rPr>
              <w:t>《中华人民共和国招</w:t>
            </w:r>
            <w:r>
              <w:rPr/>
              <w:t xml:space="preserve">  </w:t>
            </w:r>
            <w:r>
              <w:rPr>
                <w:spacing w:val="-4"/>
              </w:rPr>
              <w:t>标投标法实施条例》</w:t>
            </w:r>
          </w:p>
        </w:tc>
        <w:tc>
          <w:tcPr>
            <w:tcW w:w="1628" w:type="dxa"/>
            <w:vAlign w:val="top"/>
          </w:tcPr>
          <w:p>
            <w:pPr>
              <w:pStyle w:val="TableText"/>
              <w:ind w:left="52" w:right="58"/>
              <w:spacing w:before="114" w:line="254" w:lineRule="auto"/>
              <w:jc w:val="both"/>
              <w:rPr/>
            </w:pPr>
            <w:r>
              <w:rPr/>
              <w:t>目前中央储备冻肉竞价</w:t>
            </w:r>
            <w:r>
              <w:rPr>
                <w:spacing w:val="5"/>
              </w:rPr>
              <w:t xml:space="preserve"> </w:t>
            </w:r>
            <w:r>
              <w:rPr>
                <w:spacing w:val="-1"/>
              </w:rPr>
              <w:t>交易保证金按照1000元</w:t>
            </w:r>
            <w:r>
              <w:rPr>
                <w:spacing w:val="2"/>
              </w:rPr>
              <w:t xml:space="preserve"> </w:t>
            </w:r>
            <w:r>
              <w:rPr>
                <w:spacing w:val="2"/>
              </w:rPr>
              <w:t>/吨执行，且符合履约 </w:t>
            </w:r>
            <w:r>
              <w:rPr>
                <w:spacing w:val="-1"/>
              </w:rPr>
              <w:t>保证金不超过合同金额</w:t>
            </w:r>
            <w:r>
              <w:rPr>
                <w:spacing w:val="2"/>
              </w:rPr>
              <w:t xml:space="preserve"> </w:t>
            </w:r>
            <w:r>
              <w:rPr>
                <w:spacing w:val="2"/>
              </w:rPr>
              <w:t>10%的规定</w:t>
            </w:r>
          </w:p>
        </w:tc>
        <w:tc>
          <w:tcPr>
            <w:tcW w:w="1648" w:type="dxa"/>
            <w:vAlign w:val="top"/>
          </w:tcPr>
          <w:p>
            <w:pPr>
              <w:pStyle w:val="TableText"/>
              <w:ind w:left="24"/>
              <w:spacing w:before="107" w:line="219" w:lineRule="auto"/>
              <w:rPr/>
            </w:pPr>
            <w:r>
              <w:rPr>
                <w:spacing w:val="-2"/>
              </w:rPr>
              <w:t>现金缴存</w:t>
            </w:r>
          </w:p>
        </w:tc>
        <w:tc>
          <w:tcPr>
            <w:tcW w:w="1628" w:type="dxa"/>
            <w:vAlign w:val="top"/>
          </w:tcPr>
          <w:p>
            <w:pPr>
              <w:pStyle w:val="TableText"/>
              <w:ind w:left="26" w:right="67" w:firstLine="30"/>
              <w:spacing w:before="116" w:line="252" w:lineRule="auto"/>
              <w:jc w:val="both"/>
              <w:rPr/>
            </w:pPr>
            <w:r>
              <w:rPr>
                <w:spacing w:val="-1"/>
              </w:rPr>
              <w:t>参加交易的企业需按照</w:t>
            </w:r>
            <w:r>
              <w:rPr>
                <w:spacing w:val="1"/>
              </w:rPr>
              <w:t xml:space="preserve"> </w:t>
            </w:r>
            <w:r>
              <w:rPr>
                <w:spacing w:val="2"/>
              </w:rPr>
              <w:t>规定将保证金汇至北京 </w:t>
            </w:r>
            <w:r>
              <w:rPr>
                <w:spacing w:val="2"/>
              </w:rPr>
              <w:t>华商储备商品交易所有 </w:t>
            </w:r>
            <w:r>
              <w:rPr>
                <w:spacing w:val="2"/>
              </w:rPr>
              <w:t>限责任公司账户</w:t>
            </w:r>
          </w:p>
        </w:tc>
        <w:tc>
          <w:tcPr>
            <w:tcW w:w="1623" w:type="dxa"/>
            <w:vAlign w:val="top"/>
          </w:tcPr>
          <w:p>
            <w:pPr>
              <w:pStyle w:val="TableText"/>
              <w:ind w:left="18" w:right="59" w:firstLine="40"/>
              <w:spacing w:before="114" w:line="257" w:lineRule="auto"/>
              <w:jc w:val="both"/>
              <w:rPr/>
            </w:pPr>
            <w:r>
              <w:rPr>
                <w:spacing w:val="-1"/>
              </w:rPr>
              <w:t>未成交企业在交易结束</w:t>
            </w:r>
            <w:r>
              <w:rPr/>
              <w:t xml:space="preserve"> </w:t>
            </w:r>
            <w:r>
              <w:rPr>
                <w:spacing w:val="3"/>
              </w:rPr>
              <w:t>后退还保证金，成交企</w:t>
            </w:r>
            <w:r>
              <w:rPr>
                <w:spacing w:val="1"/>
              </w:rPr>
              <w:t xml:space="preserve"> </w:t>
            </w:r>
            <w:r>
              <w:rPr>
                <w:spacing w:val="3"/>
              </w:rPr>
              <w:t>业在合同执行完毕后退 </w:t>
            </w:r>
            <w:r>
              <w:rPr>
                <w:spacing w:val="3"/>
              </w:rPr>
              <w:t>还保证金。如企业违约 </w:t>
            </w:r>
            <w:r>
              <w:rPr>
                <w:spacing w:val="3"/>
              </w:rPr>
              <w:t>相关保证金上交中央财 </w:t>
            </w:r>
            <w:r>
              <w:rPr/>
              <w:t>政</w:t>
            </w:r>
          </w:p>
        </w:tc>
      </w:tr>
      <w:tr>
        <w:trPr>
          <w:trHeight w:val="1418" w:hRule="atLeast"/>
        </w:trPr>
        <w:tc>
          <w:tcPr>
            <w:tcW w:w="285" w:type="dxa"/>
            <w:vAlign w:val="top"/>
          </w:tcPr>
          <w:p>
            <w:pPr>
              <w:pStyle w:val="TableText"/>
              <w:ind w:left="55"/>
              <w:spacing w:before="148" w:line="184" w:lineRule="auto"/>
              <w:rPr/>
            </w:pPr>
            <w:r>
              <w:rPr>
                <w:spacing w:val="-5"/>
              </w:rPr>
              <w:t>13</w:t>
            </w:r>
          </w:p>
        </w:tc>
        <w:tc>
          <w:tcPr>
            <w:tcW w:w="659" w:type="dxa"/>
            <w:vAlign w:val="top"/>
          </w:tcPr>
          <w:p>
            <w:pPr>
              <w:pStyle w:val="TableText"/>
              <w:ind w:left="20" w:right="22"/>
              <w:spacing w:before="100" w:line="255" w:lineRule="auto"/>
              <w:jc w:val="both"/>
              <w:rPr/>
            </w:pPr>
            <w:r>
              <w:rPr>
                <w:spacing w:val="1"/>
              </w:rPr>
              <w:t>中央储备 </w:t>
            </w:r>
            <w:r>
              <w:rPr>
                <w:spacing w:val="-2"/>
              </w:rPr>
              <w:t>糖竞价加</w:t>
            </w:r>
            <w:r>
              <w:rPr>
                <w:spacing w:val="1"/>
              </w:rPr>
              <w:t xml:space="preserve"> </w:t>
            </w:r>
            <w:r>
              <w:rPr>
                <w:spacing w:val="-2"/>
              </w:rPr>
              <w:t>工投标履</w:t>
            </w:r>
            <w:r>
              <w:rPr/>
              <w:t xml:space="preserve"> </w:t>
            </w:r>
            <w:r>
              <w:rPr>
                <w:spacing w:val="-2"/>
              </w:rPr>
              <w:t>约保证金</w:t>
            </w:r>
          </w:p>
        </w:tc>
        <w:tc>
          <w:tcPr>
            <w:tcW w:w="749" w:type="dxa"/>
            <w:vAlign w:val="top"/>
          </w:tcPr>
          <w:p>
            <w:pPr>
              <w:pStyle w:val="TableText"/>
              <w:ind w:left="60" w:right="70"/>
              <w:spacing w:before="99"/>
              <w:rPr/>
            </w:pPr>
            <w:r>
              <w:rPr>
                <w:spacing w:val="1"/>
              </w:rPr>
              <w:t>国家粮食</w:t>
            </w:r>
            <w:r>
              <w:rPr>
                <w:spacing w:val="2"/>
              </w:rPr>
              <w:t xml:space="preserve"> </w:t>
            </w:r>
            <w:r>
              <w:rPr>
                <w:spacing w:val="-2"/>
              </w:rPr>
              <w:t>和储备局</w:t>
            </w:r>
          </w:p>
        </w:tc>
        <w:tc>
          <w:tcPr>
            <w:tcW w:w="1409" w:type="dxa"/>
            <w:vAlign w:val="top"/>
          </w:tcPr>
          <w:p>
            <w:pPr>
              <w:pStyle w:val="TableText"/>
              <w:ind w:left="73" w:right="9" w:hanging="73"/>
              <w:spacing w:before="100" w:line="245" w:lineRule="auto"/>
              <w:rPr/>
            </w:pPr>
            <w:r>
              <w:rPr>
                <w:spacing w:val="-2"/>
              </w:rPr>
              <w:t>《中华人民共和国招</w:t>
            </w:r>
            <w:r>
              <w:rPr/>
              <w:t xml:space="preserve">  </w:t>
            </w:r>
            <w:r>
              <w:rPr>
                <w:spacing w:val="-4"/>
              </w:rPr>
              <w:t>标投标法实施条例》</w:t>
            </w:r>
          </w:p>
        </w:tc>
        <w:tc>
          <w:tcPr>
            <w:tcW w:w="1628" w:type="dxa"/>
            <w:vAlign w:val="top"/>
          </w:tcPr>
          <w:p>
            <w:pPr>
              <w:pStyle w:val="TableText"/>
              <w:ind w:left="52" w:right="70" w:firstLine="40"/>
              <w:spacing w:before="100" w:line="255" w:lineRule="auto"/>
              <w:jc w:val="both"/>
              <w:rPr/>
            </w:pPr>
            <w:r>
              <w:rPr/>
              <w:t>目前保证金按照30元/ </w:t>
            </w:r>
            <w:r>
              <w:rPr>
                <w:spacing w:val="-2"/>
              </w:rPr>
              <w:t>吨执行，且符合履约保</w:t>
            </w:r>
            <w:r>
              <w:rPr>
                <w:spacing w:val="6"/>
              </w:rPr>
              <w:t xml:space="preserve"> </w:t>
            </w:r>
            <w:r>
              <w:rPr>
                <w:spacing w:val="-1"/>
              </w:rPr>
              <w:t>证金不超过合同金额的</w:t>
            </w:r>
            <w:r>
              <w:rPr>
                <w:spacing w:val="3"/>
              </w:rPr>
              <w:t xml:space="preserve"> </w:t>
            </w:r>
            <w:r>
              <w:rPr/>
              <w:t>10%的规定</w:t>
            </w:r>
          </w:p>
        </w:tc>
        <w:tc>
          <w:tcPr>
            <w:tcW w:w="1648" w:type="dxa"/>
            <w:vAlign w:val="top"/>
          </w:tcPr>
          <w:p>
            <w:pPr>
              <w:pStyle w:val="TableText"/>
              <w:ind w:left="24" w:right="175" w:firstLine="20"/>
              <w:spacing w:before="100" w:line="245" w:lineRule="auto"/>
              <w:rPr/>
            </w:pPr>
            <w:r>
              <w:rPr>
                <w:spacing w:val="-1"/>
              </w:rPr>
              <w:t>可以现金或保函(保险</w:t>
            </w:r>
            <w:r>
              <w:rPr>
                <w:spacing w:val="1"/>
              </w:rPr>
              <w:t xml:space="preserve"> </w:t>
            </w:r>
            <w:r>
              <w:rPr>
                <w:spacing w:val="-2"/>
              </w:rPr>
              <w:t>形式缴存</w:t>
            </w:r>
          </w:p>
        </w:tc>
        <w:tc>
          <w:tcPr>
            <w:tcW w:w="1628" w:type="dxa"/>
            <w:vAlign w:val="top"/>
          </w:tcPr>
          <w:p>
            <w:pPr>
              <w:pStyle w:val="TableText"/>
              <w:ind w:left="56" w:right="40"/>
              <w:spacing w:before="98" w:line="250" w:lineRule="auto"/>
              <w:jc w:val="both"/>
              <w:rPr/>
            </w:pPr>
            <w:r>
              <w:rPr>
                <w:spacing w:val="-1"/>
              </w:rPr>
              <w:t>参加交易的企业需按照</w:t>
            </w:r>
            <w:r>
              <w:rPr>
                <w:spacing w:val="1"/>
              </w:rPr>
              <w:t xml:space="preserve"> </w:t>
            </w:r>
            <w:r>
              <w:rPr>
                <w:spacing w:val="-1"/>
              </w:rPr>
              <w:t>规定将保证金汇至华商</w:t>
            </w:r>
            <w:r>
              <w:rPr>
                <w:spacing w:val="2"/>
              </w:rPr>
              <w:t xml:space="preserve"> </w:t>
            </w:r>
            <w:r>
              <w:rPr>
                <w:spacing w:val="2"/>
              </w:rPr>
              <w:t>储备商品管理中心账户</w:t>
            </w:r>
          </w:p>
        </w:tc>
        <w:tc>
          <w:tcPr>
            <w:tcW w:w="1623" w:type="dxa"/>
            <w:vAlign w:val="top"/>
          </w:tcPr>
          <w:p>
            <w:pPr>
              <w:pStyle w:val="TableText"/>
              <w:ind w:left="28" w:right="59" w:firstLine="30"/>
              <w:spacing w:before="101" w:line="260" w:lineRule="auto"/>
              <w:jc w:val="both"/>
              <w:rPr/>
            </w:pPr>
            <w:r>
              <w:rPr>
                <w:spacing w:val="-1"/>
              </w:rPr>
              <w:t>未中标加工企业在开标</w:t>
            </w:r>
            <w:r>
              <w:rPr/>
              <w:t xml:space="preserve"> </w:t>
            </w:r>
            <w:r>
              <w:rPr>
                <w:spacing w:val="2"/>
              </w:rPr>
              <w:t>后退还保证金，中标加</w:t>
            </w:r>
            <w:r>
              <w:rPr>
                <w:spacing w:val="1"/>
              </w:rPr>
              <w:t xml:space="preserve"> </w:t>
            </w:r>
            <w:r>
              <w:rPr>
                <w:spacing w:val="2"/>
              </w:rPr>
              <w:t>工企业在合同执行完毕</w:t>
            </w:r>
            <w:r>
              <w:rPr>
                <w:spacing w:val="1"/>
              </w:rPr>
              <w:t xml:space="preserve"> </w:t>
            </w:r>
            <w:r>
              <w:rPr>
                <w:spacing w:val="2"/>
              </w:rPr>
              <w:t>后退还保证金。如企业</w:t>
            </w:r>
            <w:r>
              <w:rPr>
                <w:spacing w:val="1"/>
              </w:rPr>
              <w:t xml:space="preserve"> </w:t>
            </w:r>
            <w:r>
              <w:rPr>
                <w:spacing w:val="2"/>
              </w:rPr>
              <w:t>违约，相关保证金上交</w:t>
            </w:r>
            <w:r>
              <w:rPr>
                <w:spacing w:val="3"/>
              </w:rPr>
              <w:t xml:space="preserve"> </w:t>
            </w:r>
            <w:r>
              <w:rPr>
                <w:spacing w:val="1"/>
              </w:rPr>
              <w:t>中央财政</w:t>
            </w:r>
          </w:p>
        </w:tc>
      </w:tr>
      <w:tr>
        <w:trPr>
          <w:trHeight w:val="1238" w:hRule="atLeast"/>
        </w:trPr>
        <w:tc>
          <w:tcPr>
            <w:tcW w:w="285" w:type="dxa"/>
            <w:vAlign w:val="top"/>
          </w:tcPr>
          <w:p>
            <w:pPr>
              <w:pStyle w:val="TableText"/>
              <w:ind w:left="55"/>
              <w:spacing w:before="170" w:line="184" w:lineRule="auto"/>
              <w:rPr/>
            </w:pPr>
            <w:r>
              <w:rPr>
                <w:spacing w:val="-5"/>
              </w:rPr>
              <w:t>14</w:t>
            </w:r>
          </w:p>
        </w:tc>
        <w:tc>
          <w:tcPr>
            <w:tcW w:w="659" w:type="dxa"/>
            <w:vAlign w:val="top"/>
          </w:tcPr>
          <w:p>
            <w:pPr>
              <w:pStyle w:val="TableText"/>
              <w:ind w:left="10" w:right="22" w:firstLine="10"/>
              <w:spacing w:before="104" w:line="265" w:lineRule="auto"/>
              <w:jc w:val="both"/>
              <w:rPr/>
            </w:pPr>
            <w:r>
              <w:rPr>
                <w:spacing w:val="1"/>
              </w:rPr>
              <w:t>中央储备 </w:t>
            </w:r>
            <w:r>
              <w:rPr>
                <w:spacing w:val="1"/>
              </w:rPr>
              <w:t>糖收储投</w:t>
            </w:r>
            <w:r>
              <w:rPr/>
              <w:t xml:space="preserve"> </w:t>
            </w:r>
            <w:r>
              <w:rPr>
                <w:spacing w:val="1"/>
              </w:rPr>
              <w:t>放交易投</w:t>
            </w:r>
            <w:r>
              <w:rPr/>
              <w:t xml:space="preserve"> </w:t>
            </w:r>
            <w:r>
              <w:rPr/>
              <w:t>标履约保</w:t>
            </w:r>
            <w:r>
              <w:rPr>
                <w:spacing w:val="2"/>
              </w:rPr>
              <w:t xml:space="preserve"> </w:t>
            </w:r>
            <w:r>
              <w:rPr>
                <w:spacing w:val="-2"/>
              </w:rPr>
              <w:t>证金</w:t>
            </w:r>
          </w:p>
        </w:tc>
        <w:tc>
          <w:tcPr>
            <w:tcW w:w="749" w:type="dxa"/>
            <w:vAlign w:val="top"/>
          </w:tcPr>
          <w:p>
            <w:pPr>
              <w:pStyle w:val="TableText"/>
              <w:ind w:left="60" w:right="70"/>
              <w:spacing w:before="101" w:line="246" w:lineRule="auto"/>
              <w:rPr/>
            </w:pPr>
            <w:r>
              <w:rPr>
                <w:spacing w:val="1"/>
              </w:rPr>
              <w:t>国家粮食</w:t>
            </w:r>
            <w:r>
              <w:rPr>
                <w:spacing w:val="2"/>
              </w:rPr>
              <w:t xml:space="preserve"> </w:t>
            </w:r>
            <w:r>
              <w:rPr>
                <w:spacing w:val="-2"/>
              </w:rPr>
              <w:t>和储备局</w:t>
            </w:r>
          </w:p>
        </w:tc>
        <w:tc>
          <w:tcPr>
            <w:tcW w:w="1409" w:type="dxa"/>
            <w:vAlign w:val="top"/>
          </w:tcPr>
          <w:p>
            <w:pPr>
              <w:pStyle w:val="TableText"/>
              <w:ind w:left="73" w:right="9" w:hanging="73"/>
              <w:spacing w:before="122" w:line="245" w:lineRule="auto"/>
              <w:rPr/>
            </w:pPr>
            <w:r>
              <w:rPr>
                <w:spacing w:val="-2"/>
              </w:rPr>
              <w:t>《中华人民共和国招</w:t>
            </w:r>
            <w:r>
              <w:rPr/>
              <w:t xml:space="preserve">  </w:t>
            </w:r>
            <w:r>
              <w:rPr>
                <w:spacing w:val="-4"/>
              </w:rPr>
              <w:t>标投标法实施条例》</w:t>
            </w:r>
          </w:p>
        </w:tc>
        <w:tc>
          <w:tcPr>
            <w:tcW w:w="1628" w:type="dxa"/>
            <w:vAlign w:val="top"/>
          </w:tcPr>
          <w:p>
            <w:pPr>
              <w:pStyle w:val="TableText"/>
              <w:ind w:left="52" w:right="59"/>
              <w:spacing w:before="121" w:line="233" w:lineRule="auto"/>
              <w:rPr/>
            </w:pPr>
            <w:r>
              <w:rPr/>
              <w:t>目前储备糖竟价交易保</w:t>
            </w:r>
            <w:r>
              <w:rPr>
                <w:spacing w:val="4"/>
              </w:rPr>
              <w:t xml:space="preserve"> </w:t>
            </w:r>
            <w:r>
              <w:rPr>
                <w:spacing w:val="-1"/>
              </w:rPr>
              <w:t>证金按照500元/吨执</w:t>
            </w:r>
          </w:p>
          <w:p>
            <w:pPr>
              <w:pStyle w:val="TableText"/>
              <w:ind w:left="22" w:right="73" w:firstLine="30"/>
              <w:spacing w:before="61" w:line="250" w:lineRule="auto"/>
              <w:rPr/>
            </w:pPr>
            <w:r>
              <w:rPr>
                <w:spacing w:val="-1"/>
              </w:rPr>
              <w:t>行，且符合履约保证金</w:t>
            </w:r>
            <w:r>
              <w:rPr/>
              <w:t xml:space="preserve"> </w:t>
            </w:r>
            <w:r>
              <w:rPr>
                <w:spacing w:val="5"/>
              </w:rPr>
              <w:t>不超过合同金额10%的 </w:t>
            </w:r>
            <w:r>
              <w:rPr>
                <w:spacing w:val="-2"/>
              </w:rPr>
              <w:t>规定</w:t>
            </w:r>
          </w:p>
        </w:tc>
        <w:tc>
          <w:tcPr>
            <w:tcW w:w="1648" w:type="dxa"/>
            <w:vAlign w:val="top"/>
          </w:tcPr>
          <w:p>
            <w:pPr>
              <w:pStyle w:val="TableText"/>
              <w:ind w:left="24" w:right="80"/>
              <w:spacing w:before="123" w:line="232" w:lineRule="auto"/>
              <w:rPr/>
            </w:pPr>
            <w:r>
              <w:rPr>
                <w:spacing w:val="2"/>
              </w:rPr>
              <w:t>可以现金或保函(保险)</w:t>
            </w:r>
            <w:r>
              <w:rPr>
                <w:spacing w:val="9"/>
              </w:rPr>
              <w:t xml:space="preserve"> </w:t>
            </w:r>
            <w:r>
              <w:rPr>
                <w:spacing w:val="-2"/>
              </w:rPr>
              <w:t>形式缴存</w:t>
            </w:r>
          </w:p>
        </w:tc>
        <w:tc>
          <w:tcPr>
            <w:tcW w:w="1628" w:type="dxa"/>
            <w:vAlign w:val="top"/>
          </w:tcPr>
          <w:p>
            <w:pPr>
              <w:pStyle w:val="TableText"/>
              <w:ind w:left="26" w:right="67" w:firstLine="30"/>
              <w:spacing w:before="121" w:line="255" w:lineRule="auto"/>
              <w:jc w:val="both"/>
              <w:rPr/>
            </w:pPr>
            <w:r>
              <w:rPr>
                <w:spacing w:val="-1"/>
              </w:rPr>
              <w:t>参加交易的企业需按照</w:t>
            </w:r>
            <w:r>
              <w:rPr>
                <w:spacing w:val="1"/>
              </w:rPr>
              <w:t xml:space="preserve"> </w:t>
            </w:r>
            <w:r>
              <w:rPr>
                <w:spacing w:val="2"/>
              </w:rPr>
              <w:t>规定将保证金汇至北京 </w:t>
            </w:r>
            <w:r>
              <w:rPr>
                <w:spacing w:val="2"/>
              </w:rPr>
              <w:t>华商储备商品交易所有 </w:t>
            </w:r>
            <w:r>
              <w:rPr>
                <w:spacing w:val="2"/>
              </w:rPr>
              <w:t>限责任公司账户</w:t>
            </w:r>
          </w:p>
        </w:tc>
        <w:tc>
          <w:tcPr>
            <w:tcW w:w="1623" w:type="dxa"/>
            <w:vAlign w:val="top"/>
          </w:tcPr>
          <w:p>
            <w:pPr>
              <w:pStyle w:val="TableText"/>
              <w:ind w:left="18" w:firstLine="39"/>
              <w:spacing w:before="121" w:line="261" w:lineRule="auto"/>
              <w:jc w:val="both"/>
              <w:rPr/>
            </w:pPr>
            <w:r>
              <w:rPr>
                <w:spacing w:val="-2"/>
              </w:rPr>
              <w:t>未成交企业在交易结束</w:t>
            </w:r>
            <w:r>
              <w:rPr>
                <w:spacing w:val="4"/>
              </w:rPr>
              <w:t xml:space="preserve">  </w:t>
            </w:r>
            <w:r>
              <w:rPr>
                <w:spacing w:val="-6"/>
              </w:rPr>
              <w:t>后退还保证金，成交企业</w:t>
            </w:r>
            <w:r>
              <w:rPr>
                <w:spacing w:val="7"/>
              </w:rPr>
              <w:t xml:space="preserve"> </w:t>
            </w:r>
            <w:r>
              <w:rPr>
                <w:spacing w:val="-6"/>
              </w:rPr>
              <w:t>在合同执行完毕后退还保</w:t>
            </w:r>
            <w:r>
              <w:rPr>
                <w:spacing w:val="7"/>
              </w:rPr>
              <w:t xml:space="preserve"> </w:t>
            </w:r>
            <w:r>
              <w:rPr>
                <w:spacing w:val="-6"/>
              </w:rPr>
              <w:t>证金。如企业违约，相关</w:t>
            </w:r>
            <w:r>
              <w:rPr>
                <w:spacing w:val="9"/>
              </w:rPr>
              <w:t xml:space="preserve"> </w:t>
            </w:r>
            <w:r>
              <w:rPr/>
              <w:t>保证金上交中央财政</w:t>
            </w:r>
          </w:p>
        </w:tc>
      </w:tr>
      <w:tr>
        <w:trPr>
          <w:trHeight w:val="1652" w:hRule="atLeast"/>
        </w:trPr>
        <w:tc>
          <w:tcPr>
            <w:tcW w:w="285" w:type="dxa"/>
            <w:vAlign w:val="top"/>
          </w:tcPr>
          <w:p>
            <w:pPr>
              <w:pStyle w:val="TableText"/>
              <w:ind w:left="55"/>
              <w:spacing w:before="152" w:line="184" w:lineRule="auto"/>
              <w:rPr/>
            </w:pPr>
            <w:r>
              <w:rPr>
                <w:spacing w:val="-5"/>
              </w:rPr>
              <w:t>15</w:t>
            </w:r>
          </w:p>
        </w:tc>
        <w:tc>
          <w:tcPr>
            <w:tcW w:w="659" w:type="dxa"/>
            <w:vAlign w:val="top"/>
          </w:tcPr>
          <w:p>
            <w:pPr>
              <w:pStyle w:val="TableText"/>
              <w:ind w:left="10" w:firstLine="10"/>
              <w:spacing w:before="84" w:line="266" w:lineRule="auto"/>
              <w:jc w:val="both"/>
              <w:rPr/>
            </w:pPr>
            <w:r>
              <w:rPr>
                <w:spacing w:val="7"/>
              </w:rPr>
              <w:t>援外项目</w:t>
            </w:r>
            <w:r>
              <w:rPr/>
              <w:t xml:space="preserve"> </w:t>
            </w:r>
            <w:r>
              <w:rPr/>
              <w:t>投标保证</w:t>
            </w:r>
            <w:r>
              <w:rPr>
                <w:spacing w:val="1"/>
              </w:rPr>
              <w:t xml:space="preserve"> </w:t>
            </w:r>
            <w:r>
              <w:rPr/>
              <w:t>金</w:t>
            </w:r>
          </w:p>
        </w:tc>
        <w:tc>
          <w:tcPr>
            <w:tcW w:w="749" w:type="dxa"/>
            <w:vAlign w:val="top"/>
          </w:tcPr>
          <w:p>
            <w:pPr>
              <w:pStyle w:val="TableText"/>
              <w:ind w:left="141"/>
              <w:spacing w:before="94" w:line="219" w:lineRule="auto"/>
              <w:rPr/>
            </w:pPr>
            <w:r>
              <w:rPr>
                <w:spacing w:val="-2"/>
              </w:rPr>
              <w:t>商务部</w:t>
            </w:r>
          </w:p>
        </w:tc>
        <w:tc>
          <w:tcPr>
            <w:tcW w:w="1409" w:type="dxa"/>
            <w:vAlign w:val="top"/>
          </w:tcPr>
          <w:p>
            <w:pPr>
              <w:pStyle w:val="TableText"/>
              <w:ind w:right="8"/>
              <w:spacing w:before="84" w:line="264" w:lineRule="auto"/>
              <w:jc w:val="both"/>
              <w:rPr/>
            </w:pPr>
            <w:r>
              <w:rPr>
                <w:spacing w:val="-4"/>
              </w:rPr>
              <w:t>《中华人民共和国政</w:t>
            </w:r>
            <w:r>
              <w:rPr/>
              <w:t xml:space="preserve">  </w:t>
            </w:r>
            <w:r>
              <w:rPr>
                <w:spacing w:val="4"/>
              </w:rPr>
              <w:t>府采购法实施条例》</w:t>
            </w:r>
            <w:r>
              <w:rPr>
                <w:spacing w:val="3"/>
              </w:rPr>
              <w:t xml:space="preserve"> </w:t>
            </w:r>
            <w:r>
              <w:rPr>
                <w:spacing w:val="-2"/>
              </w:rPr>
              <w:t>《中华人民共和国招</w:t>
            </w:r>
            <w:r>
              <w:rPr/>
              <w:t xml:space="preserve">  </w:t>
            </w:r>
            <w:r>
              <w:rPr>
                <w:spacing w:val="4"/>
              </w:rPr>
              <w:t>标投标法实施条例》</w:t>
            </w:r>
          </w:p>
        </w:tc>
        <w:tc>
          <w:tcPr>
            <w:tcW w:w="1628" w:type="dxa"/>
            <w:vAlign w:val="top"/>
          </w:tcPr>
          <w:p>
            <w:pPr>
              <w:pStyle w:val="TableText"/>
              <w:ind w:left="22" w:right="70" w:firstLine="30"/>
              <w:spacing w:before="104" w:line="247" w:lineRule="auto"/>
              <w:jc w:val="both"/>
              <w:rPr/>
            </w:pPr>
            <w:r>
              <w:rPr>
                <w:spacing w:val="-1"/>
              </w:rPr>
              <w:t>投标保证金保函金额为</w:t>
            </w:r>
            <w:r>
              <w:rPr>
                <w:spacing w:val="1"/>
              </w:rPr>
              <w:t xml:space="preserve"> </w:t>
            </w:r>
            <w:r>
              <w:rPr>
                <w:spacing w:val="2"/>
              </w:rPr>
              <w:t>援外采购项目预算金额</w:t>
            </w:r>
            <w:r>
              <w:rPr>
                <w:spacing w:val="3"/>
              </w:rPr>
              <w:t xml:space="preserve"> </w:t>
            </w:r>
            <w:r>
              <w:rPr>
                <w:spacing w:val="-9"/>
              </w:rPr>
              <w:t>的</w:t>
            </w:r>
            <w:r>
              <w:rPr>
                <w:spacing w:val="-17"/>
              </w:rPr>
              <w:t xml:space="preserve"> </w:t>
            </w:r>
            <w:r>
              <w:rPr>
                <w:spacing w:val="-9"/>
              </w:rPr>
              <w:t>2</w:t>
            </w:r>
            <w:r>
              <w:rPr>
                <w:spacing w:val="-22"/>
              </w:rPr>
              <w:t xml:space="preserve"> </w:t>
            </w:r>
            <w:r>
              <w:rPr>
                <w:spacing w:val="-9"/>
              </w:rPr>
              <w:t>%</w:t>
            </w:r>
          </w:p>
        </w:tc>
        <w:tc>
          <w:tcPr>
            <w:tcW w:w="1648" w:type="dxa"/>
            <w:vAlign w:val="top"/>
          </w:tcPr>
          <w:p>
            <w:pPr>
              <w:pStyle w:val="TableText"/>
              <w:ind w:left="24" w:right="130" w:hanging="10"/>
              <w:spacing w:before="103" w:line="233" w:lineRule="auto"/>
              <w:rPr/>
            </w:pPr>
            <w:r>
              <w:rPr>
                <w:spacing w:val="-1"/>
              </w:rPr>
              <w:t>可以现金或等额银行保</w:t>
            </w:r>
            <w:r>
              <w:rPr>
                <w:spacing w:val="1"/>
              </w:rPr>
              <w:t xml:space="preserve"> </w:t>
            </w:r>
            <w:r>
              <w:rPr>
                <w:spacing w:val="1"/>
              </w:rPr>
              <w:t>函形式缴存</w:t>
            </w:r>
          </w:p>
        </w:tc>
        <w:tc>
          <w:tcPr>
            <w:tcW w:w="1628" w:type="dxa"/>
            <w:vAlign w:val="top"/>
          </w:tcPr>
          <w:p>
            <w:pPr>
              <w:pStyle w:val="TableText"/>
              <w:ind w:left="26" w:right="51" w:firstLine="30"/>
              <w:spacing w:before="104" w:line="258" w:lineRule="auto"/>
              <w:jc w:val="both"/>
              <w:rPr/>
            </w:pPr>
            <w:r>
              <w:rPr>
                <w:spacing w:val="-1"/>
              </w:rPr>
              <w:t>参与援外项目采购投标</w:t>
            </w:r>
            <w:r>
              <w:rPr>
                <w:spacing w:val="1"/>
              </w:rPr>
              <w:t xml:space="preserve"> </w:t>
            </w:r>
            <w:r>
              <w:rPr>
                <w:spacing w:val="3"/>
              </w:rPr>
              <w:t>的企业按采购文件规定</w:t>
            </w:r>
            <w:r>
              <w:rPr>
                <w:spacing w:val="8"/>
              </w:rPr>
              <w:t xml:space="preserve"> </w:t>
            </w:r>
            <w:r>
              <w:rPr>
                <w:spacing w:val="3"/>
              </w:rPr>
              <w:t>随响应文件一并提交投</w:t>
            </w:r>
            <w:r>
              <w:rPr>
                <w:spacing w:val="5"/>
              </w:rPr>
              <w:t xml:space="preserve"> </w:t>
            </w:r>
            <w:r>
              <w:rPr>
                <w:spacing w:val="2"/>
              </w:rPr>
              <w:t>标保证金保函</w:t>
            </w:r>
          </w:p>
        </w:tc>
        <w:tc>
          <w:tcPr>
            <w:tcW w:w="1623" w:type="dxa"/>
            <w:vAlign w:val="top"/>
          </w:tcPr>
          <w:p>
            <w:pPr>
              <w:pStyle w:val="TableText"/>
              <w:ind w:left="18" w:right="60" w:firstLine="40"/>
              <w:spacing w:before="106" w:line="263" w:lineRule="auto"/>
              <w:rPr/>
            </w:pPr>
            <w:r>
              <w:rPr>
                <w:spacing w:val="-1"/>
              </w:rPr>
              <w:t>未中标、未成交企业的</w:t>
            </w:r>
            <w:r>
              <w:rPr/>
              <w:t xml:space="preserve"> </w:t>
            </w:r>
            <w:r>
              <w:rPr>
                <w:spacing w:val="3"/>
              </w:rPr>
              <w:t>保证金保函在中标、成</w:t>
            </w:r>
            <w:r>
              <w:rPr>
                <w:spacing w:val="2"/>
              </w:rPr>
              <w:t xml:space="preserve"> </w:t>
            </w:r>
            <w:r>
              <w:rPr>
                <w:spacing w:val="-2"/>
              </w:rPr>
              <w:t>交通知书发出后5个工  </w:t>
            </w:r>
            <w:r>
              <w:rPr>
                <w:spacing w:val="3"/>
              </w:rPr>
              <w:t>作日内退还。中标、成</w:t>
            </w:r>
            <w:r>
              <w:rPr>
                <w:spacing w:val="2"/>
              </w:rPr>
              <w:t xml:space="preserve"> </w:t>
            </w:r>
            <w:r>
              <w:rPr>
                <w:spacing w:val="3"/>
              </w:rPr>
              <w:t>交企业的保证金保函在</w:t>
            </w:r>
            <w:r>
              <w:rPr/>
              <w:t xml:space="preserve"> </w:t>
            </w:r>
            <w:r>
              <w:rPr>
                <w:spacing w:val="-1"/>
              </w:rPr>
              <w:t>援外项目合同签订后5</w:t>
            </w:r>
            <w:r>
              <w:rPr>
                <w:spacing w:val="1"/>
              </w:rPr>
              <w:t xml:space="preserve">  </w:t>
            </w:r>
            <w:r>
              <w:rPr>
                <w:spacing w:val="2"/>
              </w:rPr>
              <w:t>个工作日内退还</w:t>
            </w:r>
          </w:p>
        </w:tc>
      </w:tr>
    </w:tbl>
    <w:p>
      <w:pPr>
        <w:pStyle w:val="BodyText"/>
        <w:rPr/>
      </w:pPr>
      <w:r/>
    </w:p>
    <w:p>
      <w:pPr>
        <w:sectPr>
          <w:pgSz w:w="11910" w:h="8220"/>
          <w:pgMar w:top="400" w:right="114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13568" behindDoc="0" locked="0" layoutInCell="0" allowOverlap="1">
                <wp:simplePos x="0" y="0"/>
                <wp:positionH relativeFrom="page">
                  <wp:posOffset>455787</wp:posOffset>
                </wp:positionH>
                <wp:positionV relativeFrom="page">
                  <wp:posOffset>617749</wp:posOffset>
                </wp:positionV>
                <wp:extent cx="180975" cy="165100"/>
                <wp:effectExtent l="0" t="0" r="0" b="0"/>
                <wp:wrapNone/>
                <wp:docPr id="522" name="TextBox 522"/>
                <wp:cNvGraphicFramePr/>
                <a:graphic>
                  <a:graphicData uri="http://schemas.microsoft.com/office/word/2010/wordprocessingShape">
                    <wps:wsp>
                      <wps:cNvSpPr txBox="1"/>
                      <wps:spPr>
                        <a:xfrm rot="5400000">
                          <a:off x="455787" y="617749"/>
                          <a:ext cx="18097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bookmarkStart w:name="bookmark14" w:id="15"/>
                            <w:bookmarkEnd w:id="15"/>
                            <w:r>
                              <w:rPr>
                                <w:rFonts w:ascii="SimSun" w:hAnsi="SimSun" w:eastAsia="SimSun" w:cs="SimSun"/>
                                <w:sz w:val="17"/>
                                <w:szCs w:val="17"/>
                                <w:spacing w:val="-3"/>
                              </w:rPr>
                              <w:t>350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74" style="position:absolute;margin-left:35.8887pt;margin-top:48.6417pt;mso-position-vertical-relative:page;mso-position-horizontal-relative:page;width:14.25pt;height:13pt;z-index:252013568;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bookmarkStart w:name="bookmark14" w:id="16"/>
                      <w:bookmarkEnd w:id="16"/>
                      <w:r>
                        <w:rPr>
                          <w:rFonts w:ascii="SimSun" w:hAnsi="SimSun" w:eastAsia="SimSun" w:cs="SimSun"/>
                          <w:sz w:val="17"/>
                          <w:szCs w:val="17"/>
                          <w:spacing w:val="-3"/>
                        </w:rPr>
                        <w:t>350</w:t>
                      </w:r>
                    </w:p>
                  </w:txbxContent>
                </v:textbox>
              </v:shape>
            </w:pict>
          </mc:Fallback>
        </mc:AlternateContent>
      </w:r>
      <w:r/>
    </w:p>
    <w:p>
      <w:pPr>
        <w:spacing w:before="51"/>
        <w:rPr/>
      </w:pPr>
      <w:r/>
    </w:p>
    <w:tbl>
      <w:tblPr>
        <w:tblStyle w:val="TableNormal"/>
        <w:tblW w:w="9649" w:type="dxa"/>
        <w:tblInd w:w="31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739"/>
        <w:gridCol w:w="1409"/>
        <w:gridCol w:w="1628"/>
        <w:gridCol w:w="1628"/>
        <w:gridCol w:w="1648"/>
        <w:gridCol w:w="1633"/>
      </w:tblGrid>
      <w:tr>
        <w:trPr>
          <w:trHeight w:val="474" w:hRule="atLeast"/>
        </w:trPr>
        <w:tc>
          <w:tcPr>
            <w:tcW w:w="285" w:type="dxa"/>
            <w:vAlign w:val="top"/>
            <w:textDirection w:val="tbRlV"/>
          </w:tcPr>
          <w:p>
            <w:pPr>
              <w:pStyle w:val="TableText"/>
              <w:ind w:left="27"/>
              <w:spacing w:before="70" w:line="217" w:lineRule="auto"/>
              <w:rPr/>
            </w:pPr>
            <w:r>
              <w:rPr/>
              <w:t>序</w:t>
            </w:r>
            <w:r>
              <w:rPr>
                <w:spacing w:val="36"/>
                <w:w w:val="101"/>
              </w:rPr>
              <w:t xml:space="preserve"> </w:t>
            </w:r>
            <w:r>
              <w:rPr/>
              <w:t>号</w:t>
            </w:r>
          </w:p>
        </w:tc>
        <w:tc>
          <w:tcPr>
            <w:tcW w:w="679" w:type="dxa"/>
            <w:vAlign w:val="top"/>
          </w:tcPr>
          <w:p>
            <w:pPr>
              <w:pStyle w:val="TableText"/>
              <w:ind w:left="3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09" w:type="dxa"/>
            <w:vAlign w:val="top"/>
          </w:tcPr>
          <w:p>
            <w:pPr>
              <w:pStyle w:val="TableText"/>
              <w:ind w:left="39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28" w:type="dxa"/>
            <w:vAlign w:val="top"/>
          </w:tcPr>
          <w:p>
            <w:pPr>
              <w:pStyle w:val="TableText"/>
              <w:ind w:left="504"/>
              <w:spacing w:before="161" w:line="219" w:lineRule="auto"/>
              <w:rPr/>
            </w:pPr>
            <w:r>
              <w:rPr>
                <w:spacing w:val="-2"/>
              </w:rPr>
              <w:t>征收方式</w:t>
            </w:r>
          </w:p>
        </w:tc>
        <w:tc>
          <w:tcPr>
            <w:tcW w:w="1648" w:type="dxa"/>
            <w:vAlign w:val="top"/>
          </w:tcPr>
          <w:p>
            <w:pPr>
              <w:pStyle w:val="TableText"/>
              <w:ind w:left="51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1018" w:hRule="atLeast"/>
        </w:trPr>
        <w:tc>
          <w:tcPr>
            <w:tcW w:w="285" w:type="dxa"/>
            <w:vAlign w:val="top"/>
          </w:tcPr>
          <w:p>
            <w:pPr>
              <w:pStyle w:val="TableText"/>
              <w:ind w:left="55"/>
              <w:spacing w:before="115" w:line="184" w:lineRule="auto"/>
              <w:rPr/>
            </w:pPr>
            <w:r>
              <w:rPr>
                <w:spacing w:val="-5"/>
              </w:rPr>
              <w:t>16</w:t>
            </w:r>
          </w:p>
        </w:tc>
        <w:tc>
          <w:tcPr>
            <w:tcW w:w="679" w:type="dxa"/>
            <w:vAlign w:val="top"/>
          </w:tcPr>
          <w:p>
            <w:pPr>
              <w:pStyle w:val="TableText"/>
              <w:ind w:left="10" w:right="10" w:firstLine="20"/>
              <w:spacing w:before="66" w:line="254" w:lineRule="auto"/>
              <w:jc w:val="both"/>
              <w:rPr/>
            </w:pPr>
            <w:r>
              <w:rPr>
                <w:spacing w:val="7"/>
              </w:rPr>
              <w:t>援外项目</w:t>
            </w:r>
            <w:r>
              <w:rPr/>
              <w:t xml:space="preserve"> </w:t>
            </w:r>
            <w:r>
              <w:rPr>
                <w:spacing w:val="2"/>
              </w:rPr>
              <w:t>履约保证 </w:t>
            </w:r>
            <w:r>
              <w:rPr/>
              <w:t>金</w:t>
            </w:r>
          </w:p>
        </w:tc>
        <w:tc>
          <w:tcPr>
            <w:tcW w:w="739" w:type="dxa"/>
            <w:vAlign w:val="top"/>
          </w:tcPr>
          <w:p>
            <w:pPr>
              <w:pStyle w:val="TableText"/>
              <w:ind w:left="131"/>
              <w:spacing w:before="67" w:line="219" w:lineRule="auto"/>
              <w:rPr/>
            </w:pPr>
            <w:r>
              <w:rPr>
                <w:spacing w:val="-2"/>
              </w:rPr>
              <w:t>商务部</w:t>
            </w:r>
          </w:p>
        </w:tc>
        <w:tc>
          <w:tcPr>
            <w:tcW w:w="1409" w:type="dxa"/>
            <w:vAlign w:val="top"/>
          </w:tcPr>
          <w:p>
            <w:pPr>
              <w:pStyle w:val="TableText"/>
              <w:ind w:right="8"/>
              <w:spacing w:before="66" w:line="258" w:lineRule="auto"/>
              <w:jc w:val="both"/>
              <w:rPr/>
            </w:pPr>
            <w:r>
              <w:rPr>
                <w:spacing w:val="-4"/>
              </w:rPr>
              <w:t>《中华人民共和国政</w:t>
            </w:r>
            <w:r>
              <w:rPr/>
              <w:t xml:space="preserve">  </w:t>
            </w:r>
            <w:r>
              <w:rPr>
                <w:spacing w:val="4"/>
              </w:rPr>
              <w:t>府采购法实施条例》</w:t>
            </w:r>
            <w:r>
              <w:rPr>
                <w:spacing w:val="3"/>
              </w:rPr>
              <w:t xml:space="preserve"> </w:t>
            </w:r>
            <w:r>
              <w:rPr>
                <w:spacing w:val="-2"/>
              </w:rPr>
              <w:t>《中华人民共和国招</w:t>
            </w:r>
            <w:r>
              <w:rPr/>
              <w:t xml:space="preserve">  </w:t>
            </w:r>
            <w:r>
              <w:rPr>
                <w:spacing w:val="4"/>
              </w:rPr>
              <w:t>标投标法实施条例》</w:t>
            </w:r>
          </w:p>
        </w:tc>
        <w:tc>
          <w:tcPr>
            <w:tcW w:w="1628" w:type="dxa"/>
            <w:vAlign w:val="top"/>
          </w:tcPr>
          <w:p>
            <w:pPr>
              <w:pStyle w:val="TableText"/>
              <w:ind w:left="12" w:right="71" w:firstLine="40"/>
              <w:spacing w:before="56" w:line="258" w:lineRule="auto"/>
              <w:jc w:val="both"/>
              <w:rPr/>
            </w:pPr>
            <w:r>
              <w:rPr>
                <w:spacing w:val="-1"/>
              </w:rPr>
              <w:t>履约保证金保函金额不</w:t>
            </w:r>
            <w:r>
              <w:rPr/>
              <w:t xml:space="preserve"> </w:t>
            </w:r>
            <w:r>
              <w:rPr>
                <w:spacing w:val="3"/>
              </w:rPr>
              <w:t>得超过援外项目采购合</w:t>
            </w:r>
            <w:r>
              <w:rPr>
                <w:spacing w:val="2"/>
              </w:rPr>
              <w:t xml:space="preserve"> </w:t>
            </w:r>
            <w:r>
              <w:rPr>
                <w:spacing w:val="-3"/>
              </w:rPr>
              <w:t>同金额的10%</w:t>
            </w:r>
          </w:p>
        </w:tc>
        <w:tc>
          <w:tcPr>
            <w:tcW w:w="1628" w:type="dxa"/>
            <w:vAlign w:val="top"/>
          </w:tcPr>
          <w:p>
            <w:pPr>
              <w:pStyle w:val="TableText"/>
              <w:ind w:left="34" w:right="70" w:firstLine="20"/>
              <w:spacing w:before="76" w:line="239" w:lineRule="auto"/>
              <w:rPr/>
            </w:pPr>
            <w:r>
              <w:rPr>
                <w:spacing w:val="-1"/>
              </w:rPr>
              <w:t>可以现金或等额银行保</w:t>
            </w:r>
            <w:r>
              <w:rPr>
                <w:spacing w:val="1"/>
              </w:rPr>
              <w:t xml:space="preserve"> </w:t>
            </w:r>
            <w:r>
              <w:rPr>
                <w:spacing w:val="1"/>
              </w:rPr>
              <w:t>函形式缴存</w:t>
            </w:r>
          </w:p>
        </w:tc>
        <w:tc>
          <w:tcPr>
            <w:tcW w:w="1648" w:type="dxa"/>
            <w:vAlign w:val="top"/>
          </w:tcPr>
          <w:p>
            <w:pPr>
              <w:pStyle w:val="TableText"/>
              <w:ind w:left="46" w:right="76" w:firstLine="20"/>
              <w:spacing w:before="57" w:line="254" w:lineRule="auto"/>
              <w:jc w:val="both"/>
              <w:rPr/>
            </w:pPr>
            <w:r>
              <w:rPr>
                <w:spacing w:val="-1"/>
              </w:rPr>
              <w:t>援外项目实施企业需在</w:t>
            </w:r>
            <w:r>
              <w:rPr>
                <w:spacing w:val="3"/>
              </w:rPr>
              <w:t xml:space="preserve"> </w:t>
            </w:r>
            <w:r>
              <w:rPr>
                <w:spacing w:val="1"/>
              </w:rPr>
              <w:t>签订内部实施合同前提</w:t>
            </w:r>
            <w:r>
              <w:rPr>
                <w:spacing w:val="3"/>
              </w:rPr>
              <w:t xml:space="preserve"> </w:t>
            </w:r>
            <w:r>
              <w:rPr>
                <w:spacing w:val="1"/>
              </w:rPr>
              <w:t>交履约保证金保函</w:t>
            </w:r>
          </w:p>
        </w:tc>
        <w:tc>
          <w:tcPr>
            <w:tcW w:w="1633" w:type="dxa"/>
            <w:vAlign w:val="top"/>
          </w:tcPr>
          <w:p>
            <w:pPr>
              <w:pStyle w:val="TableText"/>
              <w:ind w:left="38" w:right="47" w:firstLine="20"/>
              <w:spacing w:before="57" w:line="258" w:lineRule="auto"/>
              <w:jc w:val="both"/>
              <w:rPr/>
            </w:pPr>
            <w:r>
              <w:rPr>
                <w:spacing w:val="-1"/>
              </w:rPr>
              <w:t>援外项目实施企业在项</w:t>
            </w:r>
            <w:r>
              <w:rPr>
                <w:spacing w:val="3"/>
              </w:rPr>
              <w:t xml:space="preserve"> </w:t>
            </w:r>
            <w:r>
              <w:rPr>
                <w:spacing w:val="2"/>
              </w:rPr>
              <w:t>目实施合同履行完毕或</w:t>
            </w:r>
            <w:r>
              <w:rPr>
                <w:spacing w:val="6"/>
              </w:rPr>
              <w:t xml:space="preserve"> </w:t>
            </w:r>
            <w:r>
              <w:rPr>
                <w:spacing w:val="3"/>
              </w:rPr>
              <w:t>质量保证期到期后取回</w:t>
            </w:r>
            <w:r>
              <w:rPr>
                <w:spacing w:val="5"/>
              </w:rPr>
              <w:t xml:space="preserve"> </w:t>
            </w:r>
            <w:r>
              <w:rPr>
                <w:spacing w:val="2"/>
              </w:rPr>
              <w:t>履约保证金保函</w:t>
            </w:r>
          </w:p>
        </w:tc>
      </w:tr>
      <w:tr>
        <w:trPr>
          <w:trHeight w:val="4697" w:hRule="atLeast"/>
        </w:trPr>
        <w:tc>
          <w:tcPr>
            <w:tcW w:w="285" w:type="dxa"/>
            <w:vAlign w:val="top"/>
          </w:tcPr>
          <w:p>
            <w:pPr>
              <w:pStyle w:val="TableText"/>
              <w:ind w:left="55"/>
              <w:spacing w:before="127" w:line="184" w:lineRule="auto"/>
              <w:rPr/>
            </w:pPr>
            <w:r>
              <w:rPr>
                <w:spacing w:val="-5"/>
              </w:rPr>
              <w:t>17</w:t>
            </w:r>
          </w:p>
        </w:tc>
        <w:tc>
          <w:tcPr>
            <w:tcW w:w="679" w:type="dxa"/>
            <w:vAlign w:val="top"/>
          </w:tcPr>
          <w:p>
            <w:pPr>
              <w:pStyle w:val="TableText"/>
              <w:ind w:left="30" w:right="44"/>
              <w:spacing w:before="79" w:line="245" w:lineRule="auto"/>
              <w:rPr/>
            </w:pPr>
            <w:r>
              <w:rPr>
                <w:spacing w:val="-2"/>
              </w:rPr>
              <w:t>海关风险</w:t>
            </w:r>
            <w:r>
              <w:rPr>
                <w:spacing w:val="1"/>
              </w:rPr>
              <w:t xml:space="preserve"> </w:t>
            </w:r>
            <w:r>
              <w:rPr>
                <w:spacing w:val="-2"/>
              </w:rPr>
              <w:t>类保证金</w:t>
            </w:r>
          </w:p>
        </w:tc>
        <w:tc>
          <w:tcPr>
            <w:tcW w:w="739" w:type="dxa"/>
            <w:vAlign w:val="top"/>
          </w:tcPr>
          <w:p>
            <w:pPr>
              <w:pStyle w:val="TableText"/>
              <w:ind w:left="60"/>
              <w:spacing w:before="69" w:line="220" w:lineRule="auto"/>
              <w:rPr/>
            </w:pPr>
            <w:r>
              <w:rPr>
                <w:spacing w:val="-1"/>
              </w:rPr>
              <w:t>海关总署</w:t>
            </w:r>
          </w:p>
        </w:tc>
        <w:tc>
          <w:tcPr>
            <w:tcW w:w="1409" w:type="dxa"/>
            <w:vAlign w:val="top"/>
          </w:tcPr>
          <w:p>
            <w:pPr>
              <w:pStyle w:val="TableText"/>
              <w:ind w:left="44" w:right="84" w:hanging="44"/>
              <w:spacing w:before="89" w:line="233" w:lineRule="auto"/>
              <w:rPr/>
            </w:pPr>
            <w:r>
              <w:rPr>
                <w:spacing w:val="-4"/>
              </w:rPr>
              <w:t>《中华人民共和国海</w:t>
            </w:r>
            <w:r>
              <w:rPr/>
              <w:t xml:space="preserve"> </w:t>
            </w:r>
            <w:r>
              <w:rPr>
                <w:spacing w:val="-5"/>
              </w:rPr>
              <w:t>关法》</w:t>
            </w:r>
          </w:p>
          <w:p>
            <w:pPr>
              <w:pStyle w:val="TableText"/>
              <w:ind w:left="44" w:right="84" w:hanging="44"/>
              <w:spacing w:before="50" w:line="239" w:lineRule="auto"/>
              <w:rPr/>
            </w:pPr>
            <w:r>
              <w:rPr>
                <w:spacing w:val="-4"/>
              </w:rPr>
              <w:t>《中华人民共和国海</w:t>
            </w:r>
            <w:r>
              <w:rPr/>
              <w:t xml:space="preserve"> </w:t>
            </w:r>
            <w:r>
              <w:rPr>
                <w:spacing w:val="-4"/>
              </w:rPr>
              <w:t>关事务担保条例》</w:t>
            </w:r>
          </w:p>
          <w:p>
            <w:pPr>
              <w:pStyle w:val="TableText"/>
              <w:ind w:left="44" w:right="35" w:hanging="44"/>
              <w:spacing w:before="63" w:line="251" w:lineRule="auto"/>
              <w:rPr/>
            </w:pPr>
            <w:r>
              <w:rPr>
                <w:spacing w:val="-5"/>
              </w:rPr>
              <w:t>《中华人民共和国海 </w:t>
            </w:r>
            <w:r>
              <w:rPr>
                <w:spacing w:val="-4"/>
              </w:rPr>
              <w:t>关征收进口货物滞报</w:t>
            </w:r>
            <w:r>
              <w:rPr>
                <w:spacing w:val="4"/>
              </w:rPr>
              <w:t xml:space="preserve"> </w:t>
            </w:r>
            <w:r>
              <w:rPr>
                <w:spacing w:val="2"/>
              </w:rPr>
              <w:t>金办法》(海关总署 </w:t>
            </w:r>
            <w:r>
              <w:rPr>
                <w:spacing w:val="21"/>
              </w:rPr>
              <w:t>令第128号</w:t>
            </w:r>
          </w:p>
          <w:p>
            <w:pPr>
              <w:pStyle w:val="TableText"/>
              <w:ind w:left="34" w:right="35" w:hanging="34"/>
              <w:spacing w:before="61" w:line="252" w:lineRule="auto"/>
              <w:jc w:val="both"/>
              <w:rPr/>
            </w:pPr>
            <w:r>
              <w:rPr>
                <w:spacing w:val="-5"/>
              </w:rPr>
              <w:t>《中华人民共和国海 </w:t>
            </w:r>
            <w:r>
              <w:rPr>
                <w:spacing w:val="-3"/>
              </w:rPr>
              <w:t>关加工贸易单耗管理</w:t>
            </w:r>
            <w:r>
              <w:rPr>
                <w:spacing w:val="5"/>
              </w:rPr>
              <w:t xml:space="preserve"> </w:t>
            </w:r>
            <w:r>
              <w:rPr>
                <w:spacing w:val="3"/>
              </w:rPr>
              <w:t>办法》(海关总署令</w:t>
            </w:r>
            <w:r>
              <w:rPr>
                <w:spacing w:val="1"/>
              </w:rPr>
              <w:t xml:space="preserve"> </w:t>
            </w:r>
            <w:r>
              <w:rPr>
                <w:spacing w:val="3"/>
              </w:rPr>
              <w:t>第155号)</w:t>
            </w:r>
          </w:p>
          <w:p>
            <w:pPr>
              <w:pStyle w:val="TableText"/>
              <w:ind w:left="44" w:right="6" w:hanging="44"/>
              <w:spacing w:before="50" w:line="255" w:lineRule="auto"/>
              <w:rPr/>
            </w:pPr>
            <w:r>
              <w:rPr>
                <w:spacing w:val="-4"/>
              </w:rPr>
              <w:t>《中华人民共和国海</w:t>
            </w:r>
            <w:r>
              <w:rPr/>
              <w:t xml:space="preserve">  </w:t>
            </w:r>
            <w:r>
              <w:rPr>
                <w:spacing w:val="-1"/>
              </w:rPr>
              <w:t>关进出口货物集中申</w:t>
            </w:r>
            <w:r>
              <w:rPr>
                <w:spacing w:val="6"/>
              </w:rPr>
              <w:t xml:space="preserve"> </w:t>
            </w:r>
            <w:r>
              <w:rPr/>
              <w:t>报管理办法》(海关</w:t>
            </w:r>
            <w:r>
              <w:rPr>
                <w:spacing w:val="1"/>
              </w:rPr>
              <w:t xml:space="preserve">  </w:t>
            </w:r>
            <w:r>
              <w:rPr>
                <w:spacing w:val="1"/>
              </w:rPr>
              <w:t>总署令第169号)</w:t>
            </w:r>
          </w:p>
          <w:p>
            <w:pPr>
              <w:pStyle w:val="TableText"/>
              <w:ind w:left="34" w:right="35" w:hanging="34"/>
              <w:spacing w:before="53" w:line="258" w:lineRule="auto"/>
              <w:rPr/>
            </w:pPr>
            <w:r>
              <w:rPr>
                <w:spacing w:val="-5"/>
              </w:rPr>
              <w:t>《中华人民共和国海 </w:t>
            </w:r>
            <w:r>
              <w:rPr>
                <w:spacing w:val="-3"/>
              </w:rPr>
              <w:t>关加工贸易货物监管</w:t>
            </w:r>
            <w:r>
              <w:rPr>
                <w:spacing w:val="5"/>
              </w:rPr>
              <w:t xml:space="preserve"> </w:t>
            </w:r>
            <w:r>
              <w:rPr>
                <w:spacing w:val="3"/>
              </w:rPr>
              <w:t>办法》(海关总署令</w:t>
            </w:r>
            <w:r>
              <w:rPr>
                <w:spacing w:val="1"/>
              </w:rPr>
              <w:t xml:space="preserve"> </w:t>
            </w:r>
            <w:r>
              <w:rPr>
                <w:spacing w:val="3"/>
              </w:rPr>
              <w:t>第219号)</w:t>
            </w:r>
          </w:p>
        </w:tc>
        <w:tc>
          <w:tcPr>
            <w:tcW w:w="1628" w:type="dxa"/>
            <w:vAlign w:val="top"/>
          </w:tcPr>
          <w:p>
            <w:pPr>
              <w:pStyle w:val="TableText"/>
              <w:ind w:left="12" w:right="58" w:firstLine="40"/>
              <w:spacing w:before="88" w:line="264" w:lineRule="auto"/>
              <w:rPr/>
            </w:pPr>
            <w:r>
              <w:rPr>
                <w:spacing w:val="-1"/>
              </w:rPr>
              <w:t>风险类保证金是风险担</w:t>
            </w:r>
            <w:r>
              <w:rPr>
                <w:spacing w:val="2"/>
              </w:rPr>
              <w:t xml:space="preserve"> </w:t>
            </w:r>
            <w:r>
              <w:rPr>
                <w:spacing w:val="3"/>
              </w:rPr>
              <w:t>保的一种，包括滞报金</w:t>
            </w:r>
            <w:r>
              <w:rPr>
                <w:spacing w:val="2"/>
              </w:rPr>
              <w:t xml:space="preserve"> </w:t>
            </w:r>
            <w:r>
              <w:rPr>
                <w:spacing w:val="3"/>
              </w:rPr>
              <w:t>保证金和保税货物保证</w:t>
            </w:r>
            <w:r>
              <w:rPr>
                <w:spacing w:val="2"/>
              </w:rPr>
              <w:t xml:space="preserve"> </w:t>
            </w:r>
            <w:r>
              <w:rPr>
                <w:spacing w:val="3"/>
              </w:rPr>
              <w:t>金等类型。当事人提供</w:t>
            </w:r>
            <w:r>
              <w:rPr>
                <w:spacing w:val="1"/>
              </w:rPr>
              <w:t xml:space="preserve"> </w:t>
            </w:r>
            <w:r>
              <w:rPr>
                <w:spacing w:val="4"/>
              </w:rPr>
              <w:t>的担保应当与其需要履</w:t>
            </w:r>
            <w:r>
              <w:rPr>
                <w:spacing w:val="5"/>
              </w:rPr>
              <w:t xml:space="preserve"> </w:t>
            </w:r>
            <w:r>
              <w:rPr>
                <w:spacing w:val="3"/>
              </w:rPr>
              <w:t>行的法律义务相当，除</w:t>
            </w:r>
            <w:r>
              <w:rPr/>
              <w:t xml:space="preserve"> </w:t>
            </w:r>
            <w:r>
              <w:rPr>
                <w:spacing w:val="-1"/>
              </w:rPr>
              <w:t>《中华人民共和国海关</w:t>
            </w:r>
            <w:r>
              <w:rPr/>
              <w:t xml:space="preserve"> </w:t>
            </w:r>
            <w:r>
              <w:rPr>
                <w:spacing w:val="3"/>
              </w:rPr>
              <w:t>事务担保条例》第七条 </w:t>
            </w:r>
            <w:r>
              <w:rPr>
                <w:spacing w:val="-1"/>
              </w:rPr>
              <w:t>第二款规定的情形外， </w:t>
            </w:r>
            <w:r>
              <w:rPr>
                <w:spacing w:val="3"/>
              </w:rPr>
              <w:t>担保金额按照下列标准</w:t>
            </w:r>
            <w:r>
              <w:rPr>
                <w:spacing w:val="2"/>
              </w:rPr>
              <w:t xml:space="preserve"> </w:t>
            </w:r>
            <w:r>
              <w:rPr>
                <w:spacing w:val="-2"/>
              </w:rPr>
              <w:t>确定：</w:t>
            </w:r>
          </w:p>
          <w:p>
            <w:pPr>
              <w:pStyle w:val="TableText"/>
              <w:ind w:left="12" w:right="59" w:firstLine="40"/>
              <w:spacing w:before="50" w:line="255" w:lineRule="auto"/>
              <w:rPr/>
            </w:pPr>
            <w:r>
              <w:rPr/>
              <w:t>1.为提前放行货物提供</w:t>
            </w:r>
            <w:r>
              <w:rPr>
                <w:spacing w:val="4"/>
              </w:rPr>
              <w:t xml:space="preserve"> </w:t>
            </w:r>
            <w:r>
              <w:rPr>
                <w:spacing w:val="4"/>
              </w:rPr>
              <w:t>的担保，担保金额不得 </w:t>
            </w:r>
            <w:r>
              <w:rPr>
                <w:spacing w:val="3"/>
              </w:rPr>
              <w:t>超过可能承担的最高税 </w:t>
            </w:r>
            <w:r>
              <w:rPr>
                <w:spacing w:val="17"/>
              </w:rPr>
              <w:t>款总额</w:t>
            </w:r>
            <w:r>
              <w:rPr>
                <w:spacing w:val="-34"/>
              </w:rPr>
              <w:t xml:space="preserve"> </w:t>
            </w:r>
            <w:r>
              <w:rPr>
                <w:spacing w:val="17"/>
              </w:rPr>
              <w:t>；</w:t>
            </w:r>
          </w:p>
          <w:p>
            <w:pPr>
              <w:pStyle w:val="TableText"/>
              <w:ind w:left="22" w:right="52" w:firstLine="30"/>
              <w:spacing w:before="61" w:line="258" w:lineRule="auto"/>
              <w:rPr/>
            </w:pPr>
            <w:r>
              <w:rPr>
                <w:spacing w:val="-1"/>
              </w:rPr>
              <w:t>2.为办理特定海关业务</w:t>
            </w:r>
            <w:r>
              <w:rPr>
                <w:spacing w:val="2"/>
              </w:rPr>
              <w:t xml:space="preserve"> </w:t>
            </w:r>
            <w:r>
              <w:rPr>
                <w:spacing w:val="2"/>
              </w:rPr>
              <w:t>提供的担保，担保金额 </w:t>
            </w:r>
            <w:r>
              <w:rPr>
                <w:spacing w:val="2"/>
              </w:rPr>
              <w:t>不得超过可能承担的最</w:t>
            </w:r>
            <w:r>
              <w:rPr/>
              <w:t xml:space="preserve"> </w:t>
            </w:r>
            <w:r>
              <w:rPr>
                <w:spacing w:val="4"/>
              </w:rPr>
              <w:t>高税款总额或者海关总</w:t>
            </w:r>
            <w:r>
              <w:rPr>
                <w:spacing w:val="1"/>
              </w:rPr>
              <w:t xml:space="preserve"> </w:t>
            </w:r>
            <w:r>
              <w:rPr>
                <w:spacing w:val="10"/>
              </w:rPr>
              <w:t>署规定的金额；</w:t>
            </w:r>
          </w:p>
          <w:p>
            <w:pPr>
              <w:pStyle w:val="TableText"/>
              <w:ind w:left="52"/>
              <w:spacing w:before="42" w:line="219" w:lineRule="auto"/>
              <w:rPr/>
            </w:pPr>
            <w:r>
              <w:rPr>
                <w:spacing w:val="-1"/>
              </w:rPr>
              <w:t>3.因有明显的转移、藏</w:t>
            </w:r>
          </w:p>
        </w:tc>
        <w:tc>
          <w:tcPr>
            <w:tcW w:w="1628" w:type="dxa"/>
            <w:vAlign w:val="top"/>
          </w:tcPr>
          <w:p>
            <w:pPr>
              <w:pStyle w:val="TableText"/>
              <w:ind w:left="134" w:right="47" w:hanging="80"/>
              <w:spacing w:before="90" w:line="219" w:lineRule="auto"/>
              <w:rPr/>
            </w:pPr>
            <w:r>
              <w:rPr>
                <w:spacing w:val="1"/>
              </w:rPr>
              <w:t>可自主选择现金、保函</w:t>
            </w:r>
            <w:r>
              <w:rPr>
                <w:spacing w:val="4"/>
              </w:rPr>
              <w:t xml:space="preserve"> </w:t>
            </w:r>
            <w:r>
              <w:rPr/>
              <w:t>(保险)形式提供担保</w:t>
            </w:r>
          </w:p>
        </w:tc>
        <w:tc>
          <w:tcPr>
            <w:tcW w:w="1648" w:type="dxa"/>
            <w:vAlign w:val="top"/>
          </w:tcPr>
          <w:p>
            <w:pPr>
              <w:pStyle w:val="TableText"/>
              <w:ind w:left="46" w:right="56" w:firstLine="20"/>
              <w:spacing w:before="89" w:line="244" w:lineRule="auto"/>
              <w:rPr/>
            </w:pPr>
            <w:r>
              <w:rPr>
                <w:spacing w:val="1"/>
              </w:rPr>
              <w:t>办理担保，当事人应当</w:t>
            </w:r>
            <w:r>
              <w:rPr>
                <w:spacing w:val="3"/>
              </w:rPr>
              <w:t xml:space="preserve"> </w:t>
            </w:r>
            <w:r>
              <w:rPr>
                <w:spacing w:val="-1"/>
              </w:rPr>
              <w:t>提交书面申请以及真</w:t>
            </w:r>
          </w:p>
          <w:p>
            <w:pPr>
              <w:pStyle w:val="TableText"/>
              <w:spacing w:before="23" w:line="219" w:lineRule="auto"/>
              <w:jc w:val="right"/>
              <w:rPr/>
            </w:pPr>
            <w:r>
              <w:rPr>
                <w:spacing w:val="-3"/>
              </w:rPr>
              <w:t>实、合法、有效的财产、</w:t>
            </w:r>
          </w:p>
          <w:p>
            <w:pPr>
              <w:pStyle w:val="TableText"/>
              <w:ind w:left="46" w:right="59" w:firstLine="20"/>
              <w:spacing w:before="48" w:line="266" w:lineRule="auto"/>
              <w:jc w:val="both"/>
              <w:rPr/>
            </w:pPr>
            <w:r>
              <w:rPr>
                <w:spacing w:val="-1"/>
              </w:rPr>
              <w:t>权利凭证和身份或者资</w:t>
            </w:r>
            <w:r>
              <w:rPr>
                <w:spacing w:val="3"/>
              </w:rPr>
              <w:t xml:space="preserve"> </w:t>
            </w:r>
            <w:r>
              <w:rPr>
                <w:spacing w:val="1"/>
              </w:rPr>
              <w:t>格证明等材料。海关应</w:t>
            </w:r>
            <w:r>
              <w:rPr>
                <w:spacing w:val="3"/>
              </w:rPr>
              <w:t xml:space="preserve"> </w:t>
            </w:r>
            <w:r>
              <w:rPr>
                <w:spacing w:val="3"/>
              </w:rPr>
              <w:t>当自收到当事人提交的</w:t>
            </w:r>
            <w:r>
              <w:rPr/>
              <w:t xml:space="preserve"> </w:t>
            </w:r>
            <w:r>
              <w:rPr>
                <w:spacing w:val="8"/>
              </w:rPr>
              <w:t>材料之日起5个工作日</w:t>
            </w:r>
            <w:r>
              <w:rPr>
                <w:spacing w:val="1"/>
              </w:rPr>
              <w:t xml:space="preserve"> </w:t>
            </w:r>
            <w:r>
              <w:rPr>
                <w:spacing w:val="2"/>
              </w:rPr>
              <w:t>内对相关财产、权利等</w:t>
            </w:r>
            <w:r>
              <w:rPr>
                <w:spacing w:val="6"/>
              </w:rPr>
              <w:t xml:space="preserve"> </w:t>
            </w:r>
            <w:r>
              <w:rPr>
                <w:spacing w:val="1"/>
              </w:rPr>
              <w:t>进行审核，并决定是否</w:t>
            </w:r>
            <w:r>
              <w:rPr>
                <w:spacing w:val="4"/>
              </w:rPr>
              <w:t xml:space="preserve"> </w:t>
            </w:r>
            <w:r>
              <w:rPr>
                <w:spacing w:val="1"/>
              </w:rPr>
              <w:t>接受担保。当事人申请</w:t>
            </w:r>
            <w:r>
              <w:rPr>
                <w:spacing w:val="3"/>
              </w:rPr>
              <w:t xml:space="preserve"> </w:t>
            </w:r>
            <w:r>
              <w:rPr>
                <w:spacing w:val="1"/>
              </w:rPr>
              <w:t>办理总担保的，海关应</w:t>
            </w:r>
            <w:r>
              <w:rPr/>
              <w:t xml:space="preserve"> </w:t>
            </w:r>
            <w:r>
              <w:rPr>
                <w:spacing w:val="2"/>
              </w:rPr>
              <w:t>当在10个工作日内审核</w:t>
            </w:r>
            <w:r>
              <w:rPr>
                <w:spacing w:val="5"/>
              </w:rPr>
              <w:t xml:space="preserve"> </w:t>
            </w:r>
            <w:r>
              <w:rPr>
                <w:spacing w:val="-1"/>
              </w:rPr>
              <w:t>并决定是否接受担保</w:t>
            </w:r>
          </w:p>
        </w:tc>
        <w:tc>
          <w:tcPr>
            <w:tcW w:w="1633" w:type="dxa"/>
            <w:vAlign w:val="top"/>
          </w:tcPr>
          <w:p>
            <w:pPr>
              <w:pStyle w:val="TableText"/>
              <w:ind w:left="28" w:right="70" w:firstLine="30"/>
              <w:spacing w:before="70" w:line="261" w:lineRule="auto"/>
              <w:jc w:val="both"/>
              <w:rPr/>
            </w:pPr>
            <w:r>
              <w:rPr>
                <w:spacing w:val="-1"/>
              </w:rPr>
              <w:t>有下列情形之一的，海</w:t>
            </w:r>
            <w:r>
              <w:rPr>
                <w:spacing w:val="2"/>
              </w:rPr>
              <w:t xml:space="preserve"> </w:t>
            </w:r>
            <w:r>
              <w:rPr>
                <w:spacing w:val="2"/>
              </w:rPr>
              <w:t>关应当书面通知当事人</w:t>
            </w:r>
            <w:r>
              <w:rPr/>
              <w:t xml:space="preserve"> </w:t>
            </w:r>
            <w:r>
              <w:rPr>
                <w:spacing w:val="2"/>
              </w:rPr>
              <w:t>办理担保财产、权利退</w:t>
            </w:r>
            <w:r>
              <w:rPr/>
              <w:t xml:space="preserve"> </w:t>
            </w:r>
            <w:r>
              <w:rPr>
                <w:spacing w:val="-2"/>
              </w:rPr>
              <w:t>还手续</w:t>
            </w:r>
          </w:p>
          <w:p>
            <w:pPr>
              <w:pStyle w:val="TableText"/>
              <w:ind w:left="18" w:right="56" w:firstLine="40"/>
              <w:spacing w:before="30" w:line="251" w:lineRule="auto"/>
              <w:rPr/>
            </w:pPr>
            <w:r>
              <w:rPr/>
              <w:t>1.当事人已经履行有关</w:t>
            </w:r>
            <w:r>
              <w:rPr>
                <w:spacing w:val="6"/>
              </w:rPr>
              <w:t xml:space="preserve"> </w:t>
            </w:r>
            <w:r>
              <w:rPr>
                <w:spacing w:val="-2"/>
              </w:rPr>
              <w:t>法律义务的</w:t>
            </w:r>
          </w:p>
          <w:p>
            <w:pPr>
              <w:pStyle w:val="TableText"/>
              <w:ind w:left="18" w:right="71" w:firstLine="40"/>
              <w:spacing w:before="32" w:line="251" w:lineRule="auto"/>
              <w:rPr/>
            </w:pPr>
            <w:r>
              <w:rPr>
                <w:spacing w:val="-1"/>
              </w:rPr>
              <w:t>2.当事人不再从事特定</w:t>
            </w:r>
            <w:r>
              <w:rPr>
                <w:spacing w:val="2"/>
              </w:rPr>
              <w:t xml:space="preserve"> </w:t>
            </w:r>
            <w:r>
              <w:rPr>
                <w:spacing w:val="-1"/>
              </w:rPr>
              <w:t>海关业务的</w:t>
            </w:r>
          </w:p>
          <w:p>
            <w:pPr>
              <w:pStyle w:val="TableText"/>
              <w:ind w:left="28" w:right="72" w:firstLine="30"/>
              <w:spacing w:before="42" w:line="245" w:lineRule="auto"/>
              <w:jc w:val="both"/>
              <w:rPr/>
            </w:pPr>
            <w:r>
              <w:rPr>
                <w:spacing w:val="-1"/>
              </w:rPr>
              <w:t>3.担保财产、权利被海</w:t>
            </w:r>
            <w:r>
              <w:rPr>
                <w:spacing w:val="1"/>
              </w:rPr>
              <w:t xml:space="preserve"> </w:t>
            </w:r>
            <w:r>
              <w:rPr>
                <w:spacing w:val="2"/>
              </w:rPr>
              <w:t>关采取抵缴措施后仍有</w:t>
            </w:r>
            <w:r>
              <w:rPr/>
              <w:t xml:space="preserve"> </w:t>
            </w:r>
            <w:r>
              <w:rPr>
                <w:spacing w:val="-2"/>
              </w:rPr>
              <w:t>剩余的</w:t>
            </w:r>
          </w:p>
          <w:p>
            <w:pPr>
              <w:pStyle w:val="TableText"/>
              <w:spacing w:before="62" w:line="220" w:lineRule="auto"/>
              <w:jc w:val="right"/>
              <w:rPr/>
            </w:pPr>
            <w:r>
              <w:rPr>
                <w:spacing w:val="-4"/>
              </w:rPr>
              <w:t>4.其他需要退还的情形。</w:t>
            </w:r>
          </w:p>
        </w:tc>
      </w:tr>
    </w:tbl>
    <w:p>
      <w:pPr>
        <w:pStyle w:val="BodyText"/>
        <w:rPr/>
      </w:pPr>
      <w:r/>
    </w:p>
    <w:p>
      <w:pPr>
        <w:sectPr>
          <w:pgSz w:w="11910" w:h="8220"/>
          <w:pgMar w:top="400" w:right="113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2014592" behindDoc="0" locked="0" layoutInCell="0" allowOverlap="1">
                <wp:simplePos x="0" y="0"/>
                <wp:positionH relativeFrom="page">
                  <wp:posOffset>471019</wp:posOffset>
                </wp:positionH>
                <wp:positionV relativeFrom="page">
                  <wp:posOffset>4369926</wp:posOffset>
                </wp:positionV>
                <wp:extent cx="172085" cy="157479"/>
                <wp:effectExtent l="0" t="0" r="0" b="0"/>
                <wp:wrapNone/>
                <wp:docPr id="524" name="TextBox 524"/>
                <wp:cNvGraphicFramePr/>
                <a:graphic>
                  <a:graphicData uri="http://schemas.microsoft.com/office/word/2010/wordprocessingShape">
                    <wps:wsp>
                      <wps:cNvSpPr txBox="1"/>
                      <wps:spPr>
                        <a:xfrm rot="5400000">
                          <a:off x="471019" y="436992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351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76" style="position:absolute;margin-left:37.0882pt;margin-top:344.089pt;mso-position-vertical-relative:page;mso-position-horizontal-relative:page;width:13.55pt;height:12.4pt;z-index:25201459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351</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739"/>
        <w:gridCol w:w="1419"/>
        <w:gridCol w:w="1618"/>
        <w:gridCol w:w="1628"/>
        <w:gridCol w:w="1648"/>
        <w:gridCol w:w="1633"/>
      </w:tblGrid>
      <w:tr>
        <w:trPr>
          <w:trHeight w:val="474" w:hRule="atLeast"/>
        </w:trPr>
        <w:tc>
          <w:tcPr>
            <w:tcW w:w="295" w:type="dxa"/>
            <w:vAlign w:val="top"/>
            <w:textDirection w:val="tbRlV"/>
          </w:tcPr>
          <w:p>
            <w:pPr>
              <w:pStyle w:val="TableText"/>
              <w:ind w:left="27"/>
              <w:spacing w:before="100" w:line="217" w:lineRule="auto"/>
              <w:rPr/>
            </w:pPr>
            <w:r>
              <w:rPr/>
              <w:t>序</w:t>
            </w:r>
            <w:r>
              <w:rPr>
                <w:spacing w:val="36"/>
                <w:w w:val="101"/>
              </w:rPr>
              <w:t xml:space="preserve"> </w:t>
            </w:r>
            <w:r>
              <w:rPr/>
              <w:t>号</w:t>
            </w:r>
          </w:p>
        </w:tc>
        <w:tc>
          <w:tcPr>
            <w:tcW w:w="669" w:type="dxa"/>
            <w:vAlign w:val="top"/>
          </w:tcPr>
          <w:p>
            <w:pPr>
              <w:pStyle w:val="TableText"/>
              <w:ind w:left="20"/>
              <w:spacing w:before="161" w:line="220" w:lineRule="auto"/>
              <w:rPr/>
            </w:pPr>
            <w:r>
              <w:rPr>
                <w:spacing w:val="-2"/>
              </w:rPr>
              <w:t>项目名称</w:t>
            </w:r>
          </w:p>
        </w:tc>
        <w:tc>
          <w:tcPr>
            <w:tcW w:w="739" w:type="dxa"/>
            <w:vAlign w:val="top"/>
          </w:tcPr>
          <w:p>
            <w:pPr>
              <w:pStyle w:val="TableText"/>
              <w:ind w:left="80"/>
              <w:spacing w:before="161" w:line="220" w:lineRule="auto"/>
              <w:rPr/>
            </w:pPr>
            <w:r>
              <w:rPr>
                <w:spacing w:val="-2"/>
              </w:rPr>
              <w:t>设立单位</w:t>
            </w:r>
          </w:p>
        </w:tc>
        <w:tc>
          <w:tcPr>
            <w:tcW w:w="1419" w:type="dxa"/>
            <w:vAlign w:val="top"/>
          </w:tcPr>
          <w:p>
            <w:pPr>
              <w:pStyle w:val="TableText"/>
              <w:ind w:left="411"/>
              <w:spacing w:before="160" w:line="219" w:lineRule="auto"/>
              <w:rPr/>
            </w:pPr>
            <w:r>
              <w:rPr>
                <w:spacing w:val="-2"/>
              </w:rPr>
              <w:t>设立依据</w:t>
            </w:r>
          </w:p>
        </w:tc>
        <w:tc>
          <w:tcPr>
            <w:tcW w:w="1618" w:type="dxa"/>
            <w:vAlign w:val="top"/>
          </w:tcPr>
          <w:p>
            <w:pPr>
              <w:pStyle w:val="TableText"/>
              <w:ind w:left="502"/>
              <w:spacing w:before="161" w:line="219" w:lineRule="auto"/>
              <w:rPr/>
            </w:pPr>
            <w:r>
              <w:rPr>
                <w:spacing w:val="-2"/>
              </w:rPr>
              <w:t>征收标准</w:t>
            </w:r>
          </w:p>
        </w:tc>
        <w:tc>
          <w:tcPr>
            <w:tcW w:w="1628" w:type="dxa"/>
            <w:vAlign w:val="top"/>
          </w:tcPr>
          <w:p>
            <w:pPr>
              <w:pStyle w:val="TableText"/>
              <w:ind w:left="524"/>
              <w:spacing w:before="161" w:line="219" w:lineRule="auto"/>
              <w:rPr/>
            </w:pPr>
            <w:r>
              <w:rPr>
                <w:spacing w:val="-2"/>
              </w:rPr>
              <w:t>征收方式</w:t>
            </w:r>
          </w:p>
        </w:tc>
        <w:tc>
          <w:tcPr>
            <w:tcW w:w="1648" w:type="dxa"/>
            <w:vAlign w:val="top"/>
          </w:tcPr>
          <w:p>
            <w:pPr>
              <w:pStyle w:val="TableText"/>
              <w:ind w:left="53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25" w:hRule="atLeast"/>
        </w:trPr>
        <w:tc>
          <w:tcPr>
            <w:tcW w:w="295" w:type="dxa"/>
            <w:vAlign w:val="top"/>
          </w:tcPr>
          <w:p>
            <w:pPr>
              <w:rPr>
                <w:rFonts w:ascii="Arial"/>
                <w:sz w:val="21"/>
              </w:rPr>
            </w:pPr>
            <w:r/>
          </w:p>
        </w:tc>
        <w:tc>
          <w:tcPr>
            <w:tcW w:w="669" w:type="dxa"/>
            <w:vAlign w:val="top"/>
          </w:tcPr>
          <w:p>
            <w:pPr>
              <w:rPr>
                <w:rFonts w:ascii="Arial"/>
                <w:sz w:val="21"/>
              </w:rPr>
            </w:pPr>
            <w:r/>
          </w:p>
        </w:tc>
        <w:tc>
          <w:tcPr>
            <w:tcW w:w="739" w:type="dxa"/>
            <w:vAlign w:val="top"/>
          </w:tcPr>
          <w:p>
            <w:pPr>
              <w:rPr>
                <w:rFonts w:ascii="Arial"/>
                <w:sz w:val="21"/>
              </w:rPr>
            </w:pPr>
            <w:r/>
          </w:p>
        </w:tc>
        <w:tc>
          <w:tcPr>
            <w:tcW w:w="1419" w:type="dxa"/>
            <w:vAlign w:val="top"/>
          </w:tcPr>
          <w:p>
            <w:pPr>
              <w:rPr>
                <w:rFonts w:ascii="Arial"/>
                <w:sz w:val="21"/>
              </w:rPr>
            </w:pPr>
            <w:r/>
          </w:p>
        </w:tc>
        <w:tc>
          <w:tcPr>
            <w:tcW w:w="1618" w:type="dxa"/>
            <w:vAlign w:val="top"/>
          </w:tcPr>
          <w:p>
            <w:pPr>
              <w:spacing w:line="256" w:lineRule="auto"/>
              <w:rPr>
                <w:rFonts w:ascii="Arial"/>
                <w:sz w:val="21"/>
              </w:rPr>
            </w:pPr>
            <w:r/>
          </w:p>
          <w:p>
            <w:pPr>
              <w:spacing w:line="256" w:lineRule="auto"/>
              <w:rPr>
                <w:rFonts w:ascii="Arial"/>
                <w:sz w:val="21"/>
              </w:rPr>
            </w:pPr>
            <w:r/>
          </w:p>
          <w:p>
            <w:pPr>
              <w:pStyle w:val="TableText"/>
              <w:ind w:left="12" w:right="42" w:firstLine="40"/>
              <w:spacing w:before="49" w:line="261" w:lineRule="auto"/>
              <w:jc w:val="both"/>
              <w:rPr/>
            </w:pPr>
            <w:r>
              <w:rPr>
                <w:spacing w:val="-2"/>
              </w:rPr>
              <w:t>匿应税货物以及其他财</w:t>
            </w:r>
            <w:r>
              <w:rPr>
                <w:spacing w:val="7"/>
              </w:rPr>
              <w:t xml:space="preserve"> </w:t>
            </w:r>
            <w:r>
              <w:rPr>
                <w:spacing w:val="3"/>
              </w:rPr>
              <w:t>产迹象被责令提供的担 </w:t>
            </w:r>
            <w:r>
              <w:rPr>
                <w:spacing w:val="3"/>
              </w:rPr>
              <w:t>保，担保金额不得超过</w:t>
            </w:r>
            <w:r>
              <w:rPr>
                <w:spacing w:val="2"/>
              </w:rPr>
              <w:t xml:space="preserve"> </w:t>
            </w:r>
            <w:r>
              <w:rPr>
                <w:spacing w:val="5"/>
              </w:rPr>
              <w:t>可能承担的最高税款总</w:t>
            </w:r>
            <w:r>
              <w:rPr>
                <w:spacing w:val="1"/>
              </w:rPr>
              <w:t xml:space="preserve"> </w:t>
            </w:r>
            <w:r>
              <w:rPr>
                <w:spacing w:val="-3"/>
              </w:rPr>
              <w:t>额</w:t>
            </w:r>
            <w:r>
              <w:rPr>
                <w:spacing w:val="40"/>
                <w:w w:val="101"/>
              </w:rPr>
              <w:t xml:space="preserve"> </w:t>
            </w:r>
            <w:r>
              <w:rPr>
                <w:spacing w:val="-3"/>
              </w:rPr>
              <w:t>；</w:t>
            </w:r>
          </w:p>
          <w:p>
            <w:pPr>
              <w:pStyle w:val="TableText"/>
              <w:ind w:left="12" w:firstLine="38"/>
              <w:spacing w:before="50" w:line="262" w:lineRule="auto"/>
              <w:jc w:val="both"/>
              <w:rPr/>
            </w:pPr>
            <w:r>
              <w:rPr>
                <w:spacing w:val="2"/>
              </w:rPr>
              <w:t>4.为有关货物、物品、</w:t>
            </w:r>
            <w:r>
              <w:rPr>
                <w:spacing w:val="6"/>
              </w:rPr>
              <w:t xml:space="preserve"> </w:t>
            </w:r>
            <w:r>
              <w:rPr>
                <w:spacing w:val="-2"/>
              </w:rPr>
              <w:t>运输工具免予或者解除</w:t>
            </w:r>
            <w:r>
              <w:rPr>
                <w:spacing w:val="3"/>
              </w:rPr>
              <w:t xml:space="preserve">  </w:t>
            </w:r>
            <w:r>
              <w:rPr>
                <w:spacing w:val="-5"/>
              </w:rPr>
              <w:t>扣留、封存提供的担保，</w:t>
            </w:r>
            <w:r>
              <w:rPr/>
              <w:t xml:space="preserve"> </w:t>
            </w:r>
            <w:r>
              <w:rPr>
                <w:spacing w:val="-2"/>
              </w:rPr>
              <w:t>担保金额不得超过该货</w:t>
            </w:r>
            <w:r>
              <w:rPr>
                <w:spacing w:val="3"/>
              </w:rPr>
              <w:t xml:space="preserve">  </w:t>
            </w:r>
            <w:r>
              <w:rPr>
                <w:spacing w:val="-2"/>
              </w:rPr>
              <w:t>物、物品、运输工具的</w:t>
            </w:r>
            <w:r>
              <w:rPr>
                <w:spacing w:val="3"/>
              </w:rPr>
              <w:t xml:space="preserve">  </w:t>
            </w:r>
            <w:r>
              <w:rPr>
                <w:spacing w:val="10"/>
              </w:rPr>
              <w:t>等值价款；</w:t>
            </w:r>
          </w:p>
          <w:p>
            <w:pPr>
              <w:pStyle w:val="TableText"/>
              <w:ind w:left="22" w:right="63" w:firstLine="30"/>
              <w:spacing w:before="34" w:line="244" w:lineRule="auto"/>
              <w:rPr/>
            </w:pPr>
            <w:r>
              <w:rPr>
                <w:spacing w:val="-1"/>
              </w:rPr>
              <w:t>5.为罚款、违法所得或</w:t>
            </w:r>
            <w:r>
              <w:rPr>
                <w:spacing w:val="1"/>
              </w:rPr>
              <w:t xml:space="preserve"> </w:t>
            </w:r>
            <w:r>
              <w:rPr>
                <w:spacing w:val="-1"/>
              </w:rPr>
              <w:t>者依法应当追缴的货</w:t>
            </w:r>
          </w:p>
          <w:p>
            <w:pPr>
              <w:pStyle w:val="TableText"/>
              <w:ind w:left="22" w:right="49" w:firstLine="30"/>
              <w:spacing w:before="62" w:line="255" w:lineRule="auto"/>
              <w:rPr/>
            </w:pPr>
            <w:r>
              <w:rPr>
                <w:spacing w:val="-1"/>
              </w:rPr>
              <w:t>物、物品、走私运输工</w:t>
            </w:r>
            <w:r>
              <w:rPr>
                <w:spacing w:val="3"/>
              </w:rPr>
              <w:t xml:space="preserve"> </w:t>
            </w:r>
            <w:r>
              <w:rPr>
                <w:spacing w:val="2"/>
              </w:rPr>
              <w:t>具的等值价款未缴清前</w:t>
            </w:r>
            <w:r>
              <w:rPr/>
              <w:t xml:space="preserve"> </w:t>
            </w:r>
            <w:r>
              <w:rPr>
                <w:spacing w:val="3"/>
              </w:rPr>
              <w:t>出境提供的担保，担保</w:t>
            </w:r>
            <w:r>
              <w:rPr>
                <w:spacing w:val="4"/>
              </w:rPr>
              <w:t xml:space="preserve"> </w:t>
            </w:r>
            <w:r>
              <w:rPr>
                <w:spacing w:val="-1"/>
              </w:rPr>
              <w:t>金额应当相当于罚款</w:t>
            </w:r>
          </w:p>
          <w:p>
            <w:pPr>
              <w:pStyle w:val="TableText"/>
              <w:ind w:left="12" w:firstLine="38"/>
              <w:spacing w:before="53" w:line="246" w:lineRule="auto"/>
              <w:rPr/>
            </w:pPr>
            <w:r>
              <w:rPr>
                <w:spacing w:val="-7"/>
              </w:rPr>
              <w:t>违法所得数额或者依法</w:t>
            </w:r>
            <w:r>
              <w:rPr/>
              <w:t xml:space="preserve">  </w:t>
            </w:r>
            <w:r>
              <w:rPr>
                <w:spacing w:val="-5"/>
              </w:rPr>
              <w:t>应当追缴的货物、物品、</w:t>
            </w:r>
            <w:r>
              <w:rPr/>
              <w:t xml:space="preserve"> </w:t>
            </w:r>
            <w:r>
              <w:rPr>
                <w:spacing w:val="-4"/>
              </w:rPr>
              <w:t>走私运输工具的等值价</w:t>
            </w:r>
            <w:r>
              <w:rPr>
                <w:spacing w:val="3"/>
              </w:rPr>
              <w:t xml:space="preserve">  </w:t>
            </w:r>
            <w:r>
              <w:rPr/>
              <w:t>款</w:t>
            </w:r>
          </w:p>
        </w:tc>
        <w:tc>
          <w:tcPr>
            <w:tcW w:w="1628" w:type="dxa"/>
            <w:vAlign w:val="top"/>
          </w:tcPr>
          <w:p>
            <w:pPr>
              <w:rPr>
                <w:rFonts w:ascii="Arial"/>
                <w:sz w:val="21"/>
              </w:rPr>
            </w:pPr>
            <w:r/>
          </w:p>
        </w:tc>
        <w:tc>
          <w:tcPr>
            <w:tcW w:w="1648" w:type="dxa"/>
            <w:vAlign w:val="top"/>
          </w:tcPr>
          <w:p>
            <w:pPr>
              <w:rPr>
                <w:rFonts w:ascii="Arial"/>
                <w:sz w:val="21"/>
              </w:rPr>
            </w:pPr>
            <w:r/>
          </w:p>
        </w:tc>
        <w:tc>
          <w:tcPr>
            <w:tcW w:w="1633" w:type="dxa"/>
            <w:vAlign w:val="top"/>
          </w:tcPr>
          <w:p>
            <w:pPr>
              <w:rPr>
                <w:rFonts w:ascii="Arial"/>
                <w:sz w:val="21"/>
              </w:rPr>
            </w:pPr>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15616" behindDoc="0" locked="0" layoutInCell="0" allowOverlap="1">
                <wp:simplePos x="0" y="0"/>
                <wp:positionH relativeFrom="page">
                  <wp:posOffset>455787</wp:posOffset>
                </wp:positionH>
                <wp:positionV relativeFrom="page">
                  <wp:posOffset>611381</wp:posOffset>
                </wp:positionV>
                <wp:extent cx="180975" cy="165100"/>
                <wp:effectExtent l="0" t="0" r="0" b="0"/>
                <wp:wrapNone/>
                <wp:docPr id="526" name="TextBox 526"/>
                <wp:cNvGraphicFramePr/>
                <a:graphic>
                  <a:graphicData uri="http://schemas.microsoft.com/office/word/2010/wordprocessingShape">
                    <wps:wsp>
                      <wps:cNvSpPr txBox="1"/>
                      <wps:spPr>
                        <a:xfrm rot="5400000">
                          <a:off x="455787" y="611381"/>
                          <a:ext cx="18097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352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78" style="position:absolute;margin-left:35.8887pt;margin-top:48.1403pt;mso-position-vertical-relative:page;mso-position-horizontal-relative:page;width:14.25pt;height:13pt;z-index:252015616;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352</w:t>
                      </w:r>
                    </w:p>
                  </w:txbxContent>
                </v:textbox>
              </v:shape>
            </w:pict>
          </mc:Fallback>
        </mc:AlternateContent>
      </w:r>
      <w:r/>
    </w:p>
    <w:p>
      <w:pPr>
        <w:spacing w:before="51"/>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749"/>
        <w:gridCol w:w="1409"/>
        <w:gridCol w:w="1628"/>
        <w:gridCol w:w="1648"/>
        <w:gridCol w:w="1628"/>
        <w:gridCol w:w="1633"/>
      </w:tblGrid>
      <w:tr>
        <w:trPr>
          <w:trHeight w:val="474" w:hRule="atLeast"/>
        </w:trPr>
        <w:tc>
          <w:tcPr>
            <w:tcW w:w="295" w:type="dxa"/>
            <w:vAlign w:val="top"/>
            <w:textDirection w:val="tbRlV"/>
          </w:tcPr>
          <w:p>
            <w:pPr>
              <w:pStyle w:val="TableText"/>
              <w:ind w:left="27"/>
              <w:spacing w:before="70" w:line="217" w:lineRule="auto"/>
              <w:rPr/>
            </w:pPr>
            <w:r>
              <w:rPr/>
              <w:t>序</w:t>
            </w:r>
            <w:r>
              <w:rPr>
                <w:spacing w:val="36"/>
                <w:w w:val="101"/>
              </w:rPr>
              <w:t xml:space="preserve"> </w:t>
            </w:r>
            <w:r>
              <w:rPr/>
              <w:t>号</w:t>
            </w:r>
          </w:p>
        </w:tc>
        <w:tc>
          <w:tcPr>
            <w:tcW w:w="649" w:type="dxa"/>
            <w:vAlign w:val="top"/>
          </w:tcPr>
          <w:p>
            <w:pPr>
              <w:pStyle w:val="TableText"/>
              <w:ind w:left="1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421"/>
              <w:spacing w:before="160" w:line="219" w:lineRule="auto"/>
              <w:rPr/>
            </w:pPr>
            <w:r>
              <w:rPr>
                <w:spacing w:val="-2"/>
              </w:rPr>
              <w:t>设立依据</w:t>
            </w:r>
          </w:p>
        </w:tc>
        <w:tc>
          <w:tcPr>
            <w:tcW w:w="1628" w:type="dxa"/>
            <w:vAlign w:val="top"/>
          </w:tcPr>
          <w:p>
            <w:pPr>
              <w:pStyle w:val="TableText"/>
              <w:ind w:left="55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25" w:hRule="atLeast"/>
        </w:trPr>
        <w:tc>
          <w:tcPr>
            <w:tcW w:w="295" w:type="dxa"/>
            <w:vAlign w:val="top"/>
          </w:tcPr>
          <w:p>
            <w:pPr>
              <w:spacing w:line="341" w:lineRule="auto"/>
              <w:rPr>
                <w:rFonts w:ascii="Arial"/>
                <w:sz w:val="21"/>
              </w:rPr>
            </w:pPr>
            <w:r/>
          </w:p>
          <w:p>
            <w:pPr>
              <w:spacing w:line="341" w:lineRule="auto"/>
              <w:rPr>
                <w:rFonts w:ascii="Arial"/>
                <w:sz w:val="21"/>
              </w:rPr>
            </w:pPr>
            <w:r/>
          </w:p>
          <w:p>
            <w:pPr>
              <w:pStyle w:val="TableText"/>
              <w:ind w:left="65"/>
              <w:spacing w:before="48" w:line="184" w:lineRule="auto"/>
              <w:rPr/>
            </w:pPr>
            <w:r>
              <w:rPr>
                <w:spacing w:val="-5"/>
              </w:rPr>
              <w:t>18</w:t>
            </w:r>
          </w:p>
        </w:tc>
        <w:tc>
          <w:tcPr>
            <w:tcW w:w="649" w:type="dxa"/>
            <w:vAlign w:val="top"/>
          </w:tcPr>
          <w:p>
            <w:pPr>
              <w:spacing w:line="317" w:lineRule="auto"/>
              <w:rPr>
                <w:rFonts w:ascii="Arial"/>
                <w:sz w:val="21"/>
              </w:rPr>
            </w:pPr>
            <w:r/>
          </w:p>
          <w:p>
            <w:pPr>
              <w:spacing w:line="317" w:lineRule="auto"/>
              <w:rPr>
                <w:rFonts w:ascii="Arial"/>
                <w:sz w:val="21"/>
              </w:rPr>
            </w:pPr>
            <w:r/>
          </w:p>
          <w:p>
            <w:pPr>
              <w:pStyle w:val="TableText"/>
              <w:ind w:left="10" w:right="34"/>
              <w:spacing w:before="49" w:line="251" w:lineRule="auto"/>
              <w:rPr/>
            </w:pPr>
            <w:r>
              <w:rPr>
                <w:spacing w:val="-2"/>
              </w:rPr>
              <w:t>海关税款</w:t>
            </w:r>
            <w:r>
              <w:rPr>
                <w:spacing w:val="1"/>
              </w:rPr>
              <w:t xml:space="preserve"> </w:t>
            </w:r>
            <w:r>
              <w:rPr>
                <w:spacing w:val="-2"/>
              </w:rPr>
              <w:t>类保证金</w:t>
            </w:r>
          </w:p>
        </w:tc>
        <w:tc>
          <w:tcPr>
            <w:tcW w:w="749" w:type="dxa"/>
            <w:vAlign w:val="top"/>
          </w:tcPr>
          <w:p>
            <w:pPr>
              <w:spacing w:line="317" w:lineRule="auto"/>
              <w:rPr>
                <w:rFonts w:ascii="Arial"/>
                <w:sz w:val="21"/>
              </w:rPr>
            </w:pPr>
            <w:r/>
          </w:p>
          <w:p>
            <w:pPr>
              <w:spacing w:line="317" w:lineRule="auto"/>
              <w:rPr>
                <w:rFonts w:ascii="Arial"/>
                <w:sz w:val="21"/>
              </w:rPr>
            </w:pPr>
            <w:r/>
          </w:p>
          <w:p>
            <w:pPr>
              <w:pStyle w:val="TableText"/>
              <w:ind w:left="60"/>
              <w:spacing w:before="49" w:line="220" w:lineRule="auto"/>
              <w:rPr/>
            </w:pPr>
            <w:r>
              <w:rPr>
                <w:spacing w:val="-1"/>
              </w:rPr>
              <w:t>海关总署</w:t>
            </w:r>
          </w:p>
        </w:tc>
        <w:tc>
          <w:tcPr>
            <w:tcW w:w="1409" w:type="dxa"/>
            <w:vAlign w:val="top"/>
          </w:tcPr>
          <w:p>
            <w:pPr>
              <w:spacing w:line="322" w:lineRule="auto"/>
              <w:rPr>
                <w:rFonts w:ascii="Arial"/>
                <w:sz w:val="21"/>
              </w:rPr>
            </w:pPr>
            <w:r/>
          </w:p>
          <w:p>
            <w:pPr>
              <w:spacing w:line="323" w:lineRule="auto"/>
              <w:rPr>
                <w:rFonts w:ascii="Arial"/>
                <w:sz w:val="21"/>
              </w:rPr>
            </w:pPr>
            <w:r/>
          </w:p>
          <w:p>
            <w:pPr>
              <w:pStyle w:val="TableText"/>
              <w:ind w:left="20" w:right="44" w:hanging="4"/>
              <w:spacing w:before="48" w:line="233" w:lineRule="auto"/>
              <w:rPr/>
            </w:pPr>
            <w:r>
              <w:rPr>
                <w:spacing w:val="-2"/>
              </w:rPr>
              <w:t>《中华人民共和国海</w:t>
            </w:r>
            <w:r>
              <w:rPr>
                <w:spacing w:val="4"/>
              </w:rPr>
              <w:t xml:space="preserve"> </w:t>
            </w:r>
            <w:r>
              <w:rPr>
                <w:spacing w:val="-4"/>
              </w:rPr>
              <w:t>关法》</w:t>
            </w:r>
          </w:p>
          <w:p>
            <w:pPr>
              <w:pStyle w:val="TableText"/>
              <w:ind w:left="40" w:right="34" w:hanging="14"/>
              <w:spacing w:before="60" w:line="239" w:lineRule="auto"/>
              <w:rPr/>
            </w:pPr>
            <w:r>
              <w:rPr>
                <w:spacing w:val="-2"/>
              </w:rPr>
              <w:t>《中华人民共和国进</w:t>
            </w:r>
            <w:r>
              <w:rPr>
                <w:spacing w:val="4"/>
              </w:rPr>
              <w:t xml:space="preserve"> </w:t>
            </w:r>
            <w:r>
              <w:rPr>
                <w:spacing w:val="-4"/>
              </w:rPr>
              <w:t>出口关税条例》</w:t>
            </w:r>
          </w:p>
          <w:p>
            <w:pPr>
              <w:pStyle w:val="TableText"/>
              <w:ind w:left="20" w:right="44" w:hanging="4"/>
              <w:spacing w:before="61" w:line="239" w:lineRule="auto"/>
              <w:rPr/>
            </w:pPr>
            <w:r>
              <w:rPr>
                <w:spacing w:val="-2"/>
              </w:rPr>
              <w:t>《中华人民共和国海</w:t>
            </w:r>
            <w:r>
              <w:rPr>
                <w:spacing w:val="4"/>
              </w:rPr>
              <w:t xml:space="preserve"> </w:t>
            </w:r>
            <w:r>
              <w:rPr>
                <w:spacing w:val="-2"/>
              </w:rPr>
              <w:t>关事务担保条例》</w:t>
            </w:r>
          </w:p>
          <w:p>
            <w:pPr>
              <w:pStyle w:val="TableText"/>
              <w:ind w:left="21" w:right="33" w:firstLine="5"/>
              <w:spacing w:before="41" w:line="239" w:lineRule="auto"/>
              <w:rPr/>
            </w:pPr>
            <w:r>
              <w:rPr>
                <w:spacing w:val="-2"/>
              </w:rPr>
              <w:t>《中华人民共和国船</w:t>
            </w:r>
            <w:r>
              <w:rPr>
                <w:spacing w:val="5"/>
              </w:rPr>
              <w:t xml:space="preserve"> </w:t>
            </w:r>
            <w:r>
              <w:rPr>
                <w:spacing w:val="-2"/>
              </w:rPr>
              <w:t>舶吨税暂行条例》</w:t>
            </w:r>
          </w:p>
          <w:p>
            <w:pPr>
              <w:pStyle w:val="TableText"/>
              <w:ind w:left="20" w:right="43" w:hanging="4"/>
              <w:spacing w:before="52" w:line="239" w:lineRule="auto"/>
              <w:rPr/>
            </w:pPr>
            <w:r>
              <w:rPr>
                <w:spacing w:val="-2"/>
              </w:rPr>
              <w:t>《中华人民共和国反</w:t>
            </w:r>
            <w:r>
              <w:rPr>
                <w:spacing w:val="5"/>
              </w:rPr>
              <w:t xml:space="preserve"> </w:t>
            </w:r>
            <w:r>
              <w:rPr>
                <w:spacing w:val="-2"/>
              </w:rPr>
              <w:t>倾销条例》</w:t>
            </w:r>
          </w:p>
          <w:p>
            <w:pPr>
              <w:pStyle w:val="TableText"/>
              <w:ind w:left="20" w:right="53" w:hanging="14"/>
              <w:spacing w:before="51" w:line="239" w:lineRule="auto"/>
              <w:rPr/>
            </w:pPr>
            <w:r>
              <w:rPr>
                <w:spacing w:val="-2"/>
              </w:rPr>
              <w:t>《中华人民共和国反</w:t>
            </w:r>
            <w:r>
              <w:rPr>
                <w:spacing w:val="5"/>
              </w:rPr>
              <w:t xml:space="preserve"> </w:t>
            </w:r>
            <w:r>
              <w:rPr>
                <w:spacing w:val="-2"/>
              </w:rPr>
              <w:t>补贴条例》</w:t>
            </w:r>
          </w:p>
          <w:p>
            <w:pPr>
              <w:pStyle w:val="TableText"/>
              <w:ind w:left="20" w:right="35" w:hanging="4"/>
              <w:spacing w:before="53" w:line="251" w:lineRule="auto"/>
              <w:rPr/>
            </w:pPr>
            <w:r>
              <w:rPr>
                <w:spacing w:val="-2"/>
              </w:rPr>
              <w:t>《中华人民共和国海</w:t>
            </w:r>
            <w:r>
              <w:rPr>
                <w:spacing w:val="4"/>
              </w:rPr>
              <w:t xml:space="preserve"> </w:t>
            </w:r>
            <w:r>
              <w:rPr>
                <w:spacing w:val="-1"/>
              </w:rPr>
              <w:t>关进出口货物征税管</w:t>
            </w:r>
            <w:r>
              <w:rPr/>
              <w:t xml:space="preserve"> </w:t>
            </w:r>
            <w:r>
              <w:rPr>
                <w:spacing w:val="-1"/>
              </w:rPr>
              <w:t>理办法》(海关总署</w:t>
            </w:r>
            <w:r>
              <w:rPr/>
              <w:t xml:space="preserve">  </w:t>
            </w:r>
            <w:r>
              <w:rPr>
                <w:spacing w:val="7"/>
              </w:rPr>
              <w:t>令第124号)</w:t>
            </w:r>
          </w:p>
          <w:p>
            <w:pPr>
              <w:pStyle w:val="TableText"/>
              <w:ind w:left="21" w:right="15" w:firstLine="5"/>
              <w:spacing w:before="52" w:line="258" w:lineRule="auto"/>
              <w:rPr/>
            </w:pPr>
            <w:r>
              <w:rPr>
                <w:spacing w:val="-2"/>
              </w:rPr>
              <w:t>《中华人民共和国海</w:t>
            </w:r>
            <w:r>
              <w:rPr>
                <w:spacing w:val="4"/>
              </w:rPr>
              <w:t xml:space="preserve"> </w:t>
            </w:r>
            <w:r>
              <w:rPr>
                <w:spacing w:val="1"/>
              </w:rPr>
              <w:t>关进出口货物减免税 </w:t>
            </w:r>
            <w:r>
              <w:rPr/>
              <w:t>管理办法》(海关总  </w:t>
            </w:r>
            <w:r>
              <w:rPr>
                <w:spacing w:val="-1"/>
              </w:rPr>
              <w:t>署令第245号</w:t>
            </w:r>
          </w:p>
        </w:tc>
        <w:tc>
          <w:tcPr>
            <w:tcW w:w="1628" w:type="dxa"/>
            <w:vAlign w:val="top"/>
          </w:tcPr>
          <w:p>
            <w:pPr>
              <w:spacing w:line="321" w:lineRule="auto"/>
              <w:rPr>
                <w:rFonts w:ascii="Arial"/>
                <w:sz w:val="21"/>
              </w:rPr>
            </w:pPr>
            <w:r/>
          </w:p>
          <w:p>
            <w:pPr>
              <w:spacing w:line="321" w:lineRule="auto"/>
              <w:rPr>
                <w:rFonts w:ascii="Arial"/>
                <w:sz w:val="21"/>
              </w:rPr>
            </w:pPr>
            <w:r/>
          </w:p>
          <w:p>
            <w:pPr>
              <w:pStyle w:val="TableText"/>
              <w:ind w:left="12" w:right="52" w:firstLine="40"/>
              <w:spacing w:before="48" w:line="264" w:lineRule="auto"/>
              <w:jc w:val="both"/>
              <w:rPr/>
            </w:pPr>
            <w:r>
              <w:rPr>
                <w:spacing w:val="-1"/>
              </w:rPr>
              <w:t>税款类保证金是海关税</w:t>
            </w:r>
            <w:r>
              <w:rPr>
                <w:spacing w:val="3"/>
              </w:rPr>
              <w:t xml:space="preserve"> </w:t>
            </w:r>
            <w:r>
              <w:rPr>
                <w:spacing w:val="-1"/>
              </w:rPr>
              <w:t>款担保的一种，包括征</w:t>
            </w:r>
            <w:r>
              <w:rPr>
                <w:spacing w:val="1"/>
              </w:rPr>
              <w:t xml:space="preserve">  </w:t>
            </w:r>
            <w:r>
              <w:rPr>
                <w:spacing w:val="1"/>
              </w:rPr>
              <w:t>管、审价、反倾销反补</w:t>
            </w:r>
            <w:r>
              <w:rPr/>
              <w:t xml:space="preserve"> </w:t>
            </w:r>
            <w:r>
              <w:rPr>
                <w:spacing w:val="3"/>
              </w:rPr>
              <w:t>贴、归类、原产地、减</w:t>
            </w:r>
            <w:r>
              <w:rPr/>
              <w:t xml:space="preserve"> </w:t>
            </w:r>
            <w:r>
              <w:rPr>
                <w:spacing w:val="1"/>
              </w:rPr>
              <w:t>免税货物税款担保等类</w:t>
            </w:r>
            <w:r>
              <w:rPr/>
              <w:t xml:space="preserve"> </w:t>
            </w:r>
            <w:r>
              <w:rPr>
                <w:spacing w:val="5"/>
              </w:rPr>
              <w:t>型，担保金额按照下列</w:t>
            </w:r>
            <w:r>
              <w:rPr>
                <w:spacing w:val="1"/>
              </w:rPr>
              <w:t xml:space="preserve"> </w:t>
            </w:r>
            <w:r>
              <w:rPr>
                <w:spacing w:val="3"/>
              </w:rPr>
              <w:t>标准确定</w:t>
            </w:r>
          </w:p>
          <w:p>
            <w:pPr>
              <w:pStyle w:val="TableText"/>
              <w:ind w:left="12" w:right="49" w:firstLine="50"/>
              <w:spacing w:before="40" w:line="255" w:lineRule="auto"/>
              <w:jc w:val="both"/>
              <w:rPr/>
            </w:pPr>
            <w:r>
              <w:rPr/>
              <w:t>1.为提前放行货物提供</w:t>
            </w:r>
            <w:r>
              <w:rPr>
                <w:spacing w:val="4"/>
              </w:rPr>
              <w:t xml:space="preserve"> </w:t>
            </w:r>
            <w:r>
              <w:rPr>
                <w:spacing w:val="2"/>
              </w:rPr>
              <w:t>的担保，担保金额不得</w:t>
            </w:r>
            <w:r>
              <w:rPr>
                <w:spacing w:val="4"/>
              </w:rPr>
              <w:t xml:space="preserve"> </w:t>
            </w:r>
            <w:r>
              <w:rPr>
                <w:spacing w:val="1"/>
              </w:rPr>
              <w:t>超过可能承担的最高税</w:t>
            </w:r>
            <w:r>
              <w:rPr>
                <w:spacing w:val="3"/>
              </w:rPr>
              <w:t xml:space="preserve"> </w:t>
            </w:r>
            <w:r>
              <w:rPr>
                <w:spacing w:val="17"/>
              </w:rPr>
              <w:t>款总额</w:t>
            </w:r>
            <w:r>
              <w:rPr>
                <w:spacing w:val="-34"/>
              </w:rPr>
              <w:t xml:space="preserve"> </w:t>
            </w:r>
            <w:r>
              <w:rPr>
                <w:spacing w:val="17"/>
              </w:rPr>
              <w:t>；</w:t>
            </w:r>
          </w:p>
          <w:p>
            <w:pPr>
              <w:pStyle w:val="TableText"/>
              <w:ind w:left="12" w:right="68" w:firstLine="20"/>
              <w:spacing w:before="52" w:line="260" w:lineRule="auto"/>
              <w:rPr/>
            </w:pPr>
            <w:r>
              <w:rPr>
                <w:spacing w:val="-1"/>
              </w:rPr>
              <w:t>2.临时反倾销担保金额</w:t>
            </w:r>
            <w:r>
              <w:rPr>
                <w:spacing w:val="2"/>
              </w:rPr>
              <w:t xml:space="preserve"> </w:t>
            </w:r>
            <w:r>
              <w:rPr>
                <w:spacing w:val="1"/>
              </w:rPr>
              <w:t>应当不超过商务部初裁</w:t>
            </w:r>
            <w:r>
              <w:rPr>
                <w:spacing w:val="3"/>
              </w:rPr>
              <w:t xml:space="preserve"> </w:t>
            </w:r>
            <w:r>
              <w:rPr>
                <w:spacing w:val="1"/>
              </w:rPr>
              <w:t>决定确定的倾销幅度。</w:t>
            </w:r>
            <w:r>
              <w:rPr>
                <w:spacing w:val="4"/>
              </w:rPr>
              <w:t xml:space="preserve"> </w:t>
            </w:r>
            <w:r>
              <w:rPr>
                <w:spacing w:val="1"/>
              </w:rPr>
              <w:t>临时反补贴担保金额由</w:t>
            </w:r>
            <w:r>
              <w:rPr>
                <w:spacing w:val="6"/>
              </w:rPr>
              <w:t xml:space="preserve"> </w:t>
            </w:r>
            <w:r>
              <w:rPr>
                <w:spacing w:val="3"/>
              </w:rPr>
              <w:t>国务院关税税则委员会</w:t>
            </w:r>
            <w:r>
              <w:rPr>
                <w:spacing w:val="5"/>
              </w:rPr>
              <w:t xml:space="preserve"> </w:t>
            </w:r>
            <w:r>
              <w:rPr>
                <w:spacing w:val="9"/>
              </w:rPr>
              <w:t>决定</w:t>
            </w:r>
          </w:p>
        </w:tc>
        <w:tc>
          <w:tcPr>
            <w:tcW w:w="1648" w:type="dxa"/>
            <w:vAlign w:val="top"/>
          </w:tcPr>
          <w:p>
            <w:pPr>
              <w:spacing w:line="322" w:lineRule="auto"/>
              <w:rPr>
                <w:rFonts w:ascii="Arial"/>
                <w:sz w:val="21"/>
              </w:rPr>
            </w:pPr>
            <w:r/>
          </w:p>
          <w:p>
            <w:pPr>
              <w:spacing w:line="322" w:lineRule="auto"/>
              <w:rPr>
                <w:rFonts w:ascii="Arial"/>
                <w:sz w:val="21"/>
              </w:rPr>
            </w:pPr>
            <w:r/>
          </w:p>
          <w:p>
            <w:pPr>
              <w:pStyle w:val="TableText"/>
              <w:ind w:left="24" w:right="61" w:firstLine="40"/>
              <w:spacing w:before="49" w:line="245" w:lineRule="auto"/>
              <w:rPr/>
            </w:pPr>
            <w:r>
              <w:rPr>
                <w:spacing w:val="1"/>
              </w:rPr>
              <w:t>除涉及临时反倾销、临</w:t>
            </w:r>
            <w:r>
              <w:rPr/>
              <w:t xml:space="preserve"> </w:t>
            </w:r>
            <w:r>
              <w:rPr>
                <w:spacing w:val="-2"/>
              </w:rPr>
              <w:t>时反补贴措施以外(按</w:t>
            </w:r>
          </w:p>
          <w:p>
            <w:pPr>
              <w:pStyle w:val="TableText"/>
              <w:ind w:left="24" w:right="83" w:firstLine="40"/>
              <w:spacing w:before="40" w:line="245" w:lineRule="auto"/>
              <w:rPr/>
            </w:pPr>
            <w:r>
              <w:rPr>
                <w:spacing w:val="-2"/>
              </w:rPr>
              <w:t>照商务部公告要求，企</w:t>
            </w:r>
            <w:r>
              <w:rPr>
                <w:spacing w:val="8"/>
              </w:rPr>
              <w:t xml:space="preserve"> </w:t>
            </w:r>
            <w:r>
              <w:rPr>
                <w:spacing w:val="-1"/>
              </w:rPr>
              <w:t>业应向海关提供保证</w:t>
            </w:r>
          </w:p>
          <w:p>
            <w:pPr>
              <w:pStyle w:val="TableText"/>
              <w:ind w:left="34" w:right="250" w:firstLine="10"/>
              <w:spacing w:before="40" w:line="254" w:lineRule="auto"/>
              <w:rPr/>
            </w:pPr>
            <w:r>
              <w:rPr>
                <w:spacing w:val="-1"/>
              </w:rPr>
              <w:t>金),企业可自主选择</w:t>
            </w:r>
            <w:r>
              <w:rPr>
                <w:spacing w:val="1"/>
              </w:rPr>
              <w:t xml:space="preserve"> </w:t>
            </w:r>
            <w:r>
              <w:rPr>
                <w:spacing w:val="-1"/>
              </w:rPr>
              <w:t>现金、保函(保险)等</w:t>
            </w:r>
            <w:r>
              <w:rPr>
                <w:spacing w:val="1"/>
              </w:rPr>
              <w:t xml:space="preserve"> </w:t>
            </w:r>
            <w:r>
              <w:rPr>
                <w:spacing w:val="-1"/>
              </w:rPr>
              <w:t>方式提供担保</w:t>
            </w:r>
          </w:p>
        </w:tc>
        <w:tc>
          <w:tcPr>
            <w:tcW w:w="1628" w:type="dxa"/>
            <w:vAlign w:val="top"/>
          </w:tcPr>
          <w:p>
            <w:pPr>
              <w:spacing w:line="322" w:lineRule="auto"/>
              <w:rPr>
                <w:rFonts w:ascii="Arial"/>
                <w:sz w:val="21"/>
              </w:rPr>
            </w:pPr>
            <w:r/>
          </w:p>
          <w:p>
            <w:pPr>
              <w:spacing w:line="322" w:lineRule="auto"/>
              <w:rPr>
                <w:rFonts w:ascii="Arial"/>
                <w:sz w:val="21"/>
              </w:rPr>
            </w:pPr>
            <w:r/>
          </w:p>
          <w:p>
            <w:pPr>
              <w:pStyle w:val="TableText"/>
              <w:ind w:left="16" w:right="47" w:firstLine="40"/>
              <w:spacing w:before="49" w:line="244" w:lineRule="auto"/>
              <w:rPr/>
            </w:pPr>
            <w:r>
              <w:rPr>
                <w:spacing w:val="1"/>
              </w:rPr>
              <w:t>办理担保，当事人应当</w:t>
            </w:r>
            <w:r>
              <w:rPr>
                <w:spacing w:val="3"/>
              </w:rPr>
              <w:t xml:space="preserve"> </w:t>
            </w:r>
            <w:r>
              <w:rPr>
                <w:spacing w:val="-1"/>
              </w:rPr>
              <w:t>提交书面申请以及真</w:t>
            </w:r>
          </w:p>
          <w:p>
            <w:pPr>
              <w:pStyle w:val="TableText"/>
              <w:ind w:left="16"/>
              <w:spacing w:before="43" w:line="260" w:lineRule="auto"/>
              <w:rPr/>
            </w:pPr>
            <w:r>
              <w:rPr>
                <w:spacing w:val="-5"/>
              </w:rPr>
              <w:t>实、合法、有效的财产、</w:t>
            </w:r>
            <w:r>
              <w:rPr>
                <w:spacing w:val="5"/>
              </w:rPr>
              <w:t xml:space="preserve"> </w:t>
            </w:r>
            <w:r>
              <w:rPr>
                <w:spacing w:val="-4"/>
              </w:rPr>
              <w:t>权利凭证和身份或者资</w:t>
            </w:r>
            <w:r>
              <w:rPr>
                <w:spacing w:val="1"/>
              </w:rPr>
              <w:t xml:space="preserve">   </w:t>
            </w:r>
            <w:r>
              <w:rPr>
                <w:spacing w:val="-4"/>
              </w:rPr>
              <w:t>格证明等材料。海关应</w:t>
            </w:r>
            <w:r>
              <w:rPr>
                <w:spacing w:val="1"/>
              </w:rPr>
              <w:t xml:space="preserve">   </w:t>
            </w:r>
            <w:r>
              <w:rPr>
                <w:spacing w:val="-3"/>
              </w:rPr>
              <w:t>当自收到当事人提交的  </w:t>
            </w:r>
            <w:r>
              <w:rPr>
                <w:spacing w:val="-4"/>
              </w:rPr>
              <w:t>材料之日起5个工作日</w:t>
            </w:r>
          </w:p>
          <w:p>
            <w:pPr>
              <w:pStyle w:val="TableText"/>
              <w:ind w:left="26" w:right="52" w:firstLine="30"/>
              <w:spacing w:before="43" w:line="262" w:lineRule="auto"/>
              <w:rPr/>
            </w:pPr>
            <w:r>
              <w:rPr/>
              <w:t>内对相关财产、权利等</w:t>
            </w:r>
            <w:r>
              <w:rPr>
                <w:spacing w:val="5"/>
              </w:rPr>
              <w:t xml:space="preserve"> </w:t>
            </w:r>
            <w:r>
              <w:rPr>
                <w:spacing w:val="2"/>
              </w:rPr>
              <w:t>进行审核，并决定是否</w:t>
            </w:r>
            <w:r>
              <w:rPr>
                <w:spacing w:val="4"/>
              </w:rPr>
              <w:t xml:space="preserve"> </w:t>
            </w:r>
            <w:r>
              <w:rPr>
                <w:spacing w:val="2"/>
              </w:rPr>
              <w:t>接受担保。当事人申请</w:t>
            </w:r>
            <w:r>
              <w:rPr>
                <w:spacing w:val="3"/>
              </w:rPr>
              <w:t xml:space="preserve"> </w:t>
            </w:r>
            <w:r>
              <w:rPr>
                <w:spacing w:val="2"/>
              </w:rPr>
              <w:t>办理总担保的，海关应</w:t>
            </w:r>
            <w:r>
              <w:rPr/>
              <w:t xml:space="preserve"> </w:t>
            </w:r>
            <w:r>
              <w:rPr>
                <w:spacing w:val="3"/>
              </w:rPr>
              <w:t>当在10个工作日内审核</w:t>
            </w:r>
            <w:r>
              <w:rPr>
                <w:spacing w:val="4"/>
              </w:rPr>
              <w:t xml:space="preserve"> </w:t>
            </w:r>
            <w:r>
              <w:rPr>
                <w:spacing w:val="-1"/>
              </w:rPr>
              <w:t>并决定是否接受担保</w:t>
            </w:r>
          </w:p>
        </w:tc>
        <w:tc>
          <w:tcPr>
            <w:tcW w:w="1633" w:type="dxa"/>
            <w:vAlign w:val="top"/>
          </w:tcPr>
          <w:p>
            <w:pPr>
              <w:spacing w:line="322" w:lineRule="auto"/>
              <w:rPr>
                <w:rFonts w:ascii="Arial"/>
                <w:sz w:val="21"/>
              </w:rPr>
            </w:pPr>
            <w:r/>
          </w:p>
          <w:p>
            <w:pPr>
              <w:spacing w:line="323" w:lineRule="auto"/>
              <w:rPr>
                <w:rFonts w:ascii="Arial"/>
                <w:sz w:val="21"/>
              </w:rPr>
            </w:pPr>
            <w:r/>
          </w:p>
          <w:p>
            <w:pPr>
              <w:pStyle w:val="TableText"/>
              <w:ind w:left="28" w:right="70" w:firstLine="30"/>
              <w:spacing w:before="48" w:line="258" w:lineRule="auto"/>
              <w:jc w:val="both"/>
              <w:rPr/>
            </w:pPr>
            <w:r>
              <w:rPr>
                <w:spacing w:val="-1"/>
              </w:rPr>
              <w:t>有下列情形之一的，海</w:t>
            </w:r>
            <w:r>
              <w:rPr>
                <w:spacing w:val="2"/>
              </w:rPr>
              <w:t xml:space="preserve"> </w:t>
            </w:r>
            <w:r>
              <w:rPr>
                <w:spacing w:val="2"/>
              </w:rPr>
              <w:t>关应当书面通知当事人</w:t>
            </w:r>
            <w:r>
              <w:rPr/>
              <w:t xml:space="preserve"> </w:t>
            </w:r>
            <w:r>
              <w:rPr>
                <w:spacing w:val="2"/>
              </w:rPr>
              <w:t>办理担保财产、权利退</w:t>
            </w:r>
            <w:r>
              <w:rPr/>
              <w:t xml:space="preserve"> </w:t>
            </w:r>
            <w:r>
              <w:rPr>
                <w:spacing w:val="-2"/>
              </w:rPr>
              <w:t>还手续</w:t>
            </w:r>
          </w:p>
          <w:p>
            <w:pPr>
              <w:pStyle w:val="TableText"/>
              <w:ind w:left="18" w:right="56" w:firstLine="40"/>
              <w:spacing w:before="40" w:line="245" w:lineRule="auto"/>
              <w:rPr/>
            </w:pPr>
            <w:r>
              <w:rPr/>
              <w:t>1.当事人已经履行有关</w:t>
            </w:r>
            <w:r>
              <w:rPr>
                <w:spacing w:val="6"/>
              </w:rPr>
              <w:t xml:space="preserve"> </w:t>
            </w:r>
            <w:r>
              <w:rPr>
                <w:spacing w:val="-2"/>
              </w:rPr>
              <w:t>法律义务的</w:t>
            </w:r>
          </w:p>
          <w:p>
            <w:pPr>
              <w:pStyle w:val="TableText"/>
              <w:ind w:left="18" w:right="71" w:firstLine="40"/>
              <w:spacing w:before="41" w:line="245" w:lineRule="auto"/>
              <w:rPr/>
            </w:pPr>
            <w:r>
              <w:rPr>
                <w:spacing w:val="-1"/>
              </w:rPr>
              <w:t>2.当事人不再从事特定</w:t>
            </w:r>
            <w:r>
              <w:rPr>
                <w:spacing w:val="2"/>
              </w:rPr>
              <w:t xml:space="preserve"> </w:t>
            </w:r>
            <w:r>
              <w:rPr>
                <w:spacing w:val="-1"/>
              </w:rPr>
              <w:t>海关业务的</w:t>
            </w:r>
          </w:p>
          <w:p>
            <w:pPr>
              <w:pStyle w:val="TableText"/>
              <w:ind w:left="38" w:right="72" w:firstLine="20"/>
              <w:spacing w:before="43" w:line="245" w:lineRule="auto"/>
              <w:jc w:val="both"/>
              <w:rPr/>
            </w:pPr>
            <w:r>
              <w:rPr>
                <w:spacing w:val="-1"/>
              </w:rPr>
              <w:t>3.担保财产、权利被海</w:t>
            </w:r>
            <w:r>
              <w:rPr>
                <w:spacing w:val="1"/>
              </w:rPr>
              <w:t xml:space="preserve"> </w:t>
            </w:r>
            <w:r>
              <w:rPr>
                <w:spacing w:val="1"/>
              </w:rPr>
              <w:t>关采取抵缴措施后仍有</w:t>
            </w:r>
            <w:r>
              <w:rPr/>
              <w:t xml:space="preserve"> </w:t>
            </w:r>
            <w:r>
              <w:rPr>
                <w:spacing w:val="17"/>
              </w:rPr>
              <w:t>剩余的</w:t>
            </w:r>
            <w:r>
              <w:rPr>
                <w:spacing w:val="-34"/>
              </w:rPr>
              <w:t xml:space="preserve"> </w:t>
            </w:r>
            <w:r>
              <w:rPr>
                <w:spacing w:val="17"/>
              </w:rPr>
              <w:t>；</w:t>
            </w:r>
          </w:p>
          <w:p>
            <w:pPr>
              <w:pStyle w:val="TableText"/>
              <w:spacing w:before="62" w:line="220" w:lineRule="auto"/>
              <w:jc w:val="right"/>
              <w:rPr/>
            </w:pPr>
            <w:r>
              <w:rPr>
                <w:spacing w:val="-4"/>
              </w:rPr>
              <w:t>4.其他需要退还的情形。</w:t>
            </w:r>
          </w:p>
          <w:p>
            <w:pPr>
              <w:pStyle w:val="TableText"/>
              <w:ind w:left="58"/>
              <w:spacing w:before="41" w:line="220" w:lineRule="auto"/>
              <w:rPr/>
            </w:pPr>
            <w:r>
              <w:rPr>
                <w:spacing w:val="-1"/>
              </w:rPr>
              <w:t>在海关批准的担保期限</w:t>
            </w:r>
          </w:p>
          <w:p>
            <w:pPr>
              <w:pStyle w:val="TableText"/>
              <w:ind w:left="58"/>
              <w:spacing w:before="41" w:line="219" w:lineRule="auto"/>
              <w:rPr/>
            </w:pPr>
            <w:r>
              <w:rPr/>
              <w:t>内，纳税义务人未履行</w:t>
            </w:r>
          </w:p>
          <w:p>
            <w:pPr>
              <w:pStyle w:val="TableText"/>
              <w:ind w:left="58"/>
              <w:spacing w:before="32" w:line="219" w:lineRule="auto"/>
              <w:rPr/>
            </w:pPr>
            <w:r>
              <w:rPr>
                <w:spacing w:val="-1"/>
              </w:rPr>
              <w:t>纳税义务，对收取税款</w:t>
            </w:r>
          </w:p>
          <w:p>
            <w:pPr>
              <w:pStyle w:val="TableText"/>
              <w:ind w:left="58"/>
              <w:spacing w:before="43" w:line="220" w:lineRule="auto"/>
              <w:rPr/>
            </w:pPr>
            <w:r>
              <w:rPr>
                <w:spacing w:val="2"/>
              </w:rPr>
              <w:t>保证金的，海关应当自</w:t>
            </w:r>
          </w:p>
          <w:p>
            <w:pPr>
              <w:pStyle w:val="TableText"/>
              <w:ind w:left="98"/>
              <w:spacing w:before="41" w:line="219" w:lineRule="auto"/>
              <w:rPr/>
            </w:pPr>
            <w:r>
              <w:rPr>
                <w:spacing w:val="-1"/>
              </w:rPr>
              <w:t>担保期限届满之日起5</w:t>
            </w:r>
          </w:p>
          <w:p>
            <w:pPr>
              <w:pStyle w:val="TableText"/>
              <w:ind w:left="18" w:right="69" w:firstLine="40"/>
              <w:spacing w:before="41" w:line="252" w:lineRule="auto"/>
              <w:rPr/>
            </w:pPr>
            <w:r>
              <w:rPr>
                <w:spacing w:val="-1"/>
              </w:rPr>
              <w:t>个工作日内完成保证金</w:t>
            </w:r>
            <w:r>
              <w:rPr>
                <w:spacing w:val="3"/>
              </w:rPr>
              <w:t xml:space="preserve"> </w:t>
            </w:r>
            <w:r>
              <w:rPr>
                <w:spacing w:val="-1"/>
              </w:rPr>
              <w:t>转为税款的相关手续</w:t>
            </w:r>
          </w:p>
        </w:tc>
      </w:tr>
    </w:tbl>
    <w:p>
      <w:pPr>
        <w:pStyle w:val="BodyText"/>
        <w:rPr/>
      </w:pPr>
      <w:r/>
    </w:p>
    <w:p>
      <w:pPr>
        <w:sectPr>
          <w:pgSz w:w="11910" w:h="8220"/>
          <w:pgMar w:top="400" w:right="1135" w:bottom="400" w:left="801" w:header="0" w:footer="0" w:gutter="0"/>
        </w:sectPr>
        <w:rPr/>
      </w:pPr>
    </w:p>
    <w:p>
      <w:pPr>
        <w:spacing w:before="51"/>
        <w:rPr/>
      </w:pPr>
      <w:r>
        <mc:AlternateContent xmlns:mc="http://schemas.openxmlformats.org/markup-compatibility/2006">
          <mc:Choice Requires="wps">
            <w:drawing>
              <wp:anchor distT="0" distB="0" distL="0" distR="0" simplePos="0" relativeHeight="252016640"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528" name="TextBox 528"/>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353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0" style="position:absolute;margin-left:37.0722pt;margin-top:345.103pt;mso-position-vertical-relative:page;mso-position-horizontal-relative:page;width:13.55pt;height:12.35pt;z-index:252016640;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353</w:t>
                      </w:r>
                    </w:p>
                  </w:txbxContent>
                </v:textbox>
              </v:shape>
            </w:pict>
          </mc:Fallback>
        </mc:AlternateContent>
      </w:r>
      <w:r/>
    </w:p>
    <w:p>
      <w:pPr>
        <w:spacing w:before="51"/>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69"/>
        <w:gridCol w:w="739"/>
        <w:gridCol w:w="1419"/>
        <w:gridCol w:w="1618"/>
        <w:gridCol w:w="1628"/>
        <w:gridCol w:w="1648"/>
        <w:gridCol w:w="1633"/>
      </w:tblGrid>
      <w:tr>
        <w:trPr>
          <w:trHeight w:val="474" w:hRule="atLeast"/>
        </w:trPr>
        <w:tc>
          <w:tcPr>
            <w:tcW w:w="295" w:type="dxa"/>
            <w:vAlign w:val="top"/>
            <w:textDirection w:val="tbRlV"/>
          </w:tcPr>
          <w:p>
            <w:pPr>
              <w:pStyle w:val="TableText"/>
              <w:ind w:left="47"/>
              <w:spacing w:before="70" w:line="217" w:lineRule="auto"/>
              <w:rPr/>
            </w:pPr>
            <w:r>
              <w:rPr>
                <w:spacing w:val="-2"/>
              </w:rPr>
              <w:t>序 号</w:t>
            </w:r>
          </w:p>
        </w:tc>
        <w:tc>
          <w:tcPr>
            <w:tcW w:w="669" w:type="dxa"/>
            <w:vAlign w:val="top"/>
          </w:tcPr>
          <w:p>
            <w:pPr>
              <w:pStyle w:val="TableText"/>
              <w:ind w:left="2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19" w:type="dxa"/>
            <w:vAlign w:val="top"/>
          </w:tcPr>
          <w:p>
            <w:pPr>
              <w:pStyle w:val="TableText"/>
              <w:ind w:left="401"/>
              <w:spacing w:before="160" w:line="219" w:lineRule="auto"/>
              <w:rPr/>
            </w:pPr>
            <w:r>
              <w:rPr>
                <w:spacing w:val="-2"/>
              </w:rPr>
              <w:t>设立依据</w:t>
            </w:r>
          </w:p>
        </w:tc>
        <w:tc>
          <w:tcPr>
            <w:tcW w:w="1618" w:type="dxa"/>
            <w:vAlign w:val="top"/>
          </w:tcPr>
          <w:p>
            <w:pPr>
              <w:pStyle w:val="TableText"/>
              <w:ind w:left="502"/>
              <w:spacing w:before="161" w:line="219" w:lineRule="auto"/>
              <w:rPr/>
            </w:pPr>
            <w:r>
              <w:rPr>
                <w:spacing w:val="-2"/>
              </w:rPr>
              <w:t>征收标准</w:t>
            </w:r>
          </w:p>
        </w:tc>
        <w:tc>
          <w:tcPr>
            <w:tcW w:w="1628" w:type="dxa"/>
            <w:vAlign w:val="top"/>
          </w:tcPr>
          <w:p>
            <w:pPr>
              <w:pStyle w:val="TableText"/>
              <w:ind w:left="504"/>
              <w:spacing w:before="161" w:line="219" w:lineRule="auto"/>
              <w:rPr/>
            </w:pPr>
            <w:r>
              <w:rPr>
                <w:spacing w:val="-2"/>
              </w:rPr>
              <w:t>征收方式</w:t>
            </w:r>
          </w:p>
        </w:tc>
        <w:tc>
          <w:tcPr>
            <w:tcW w:w="1648" w:type="dxa"/>
            <w:vAlign w:val="top"/>
          </w:tcPr>
          <w:p>
            <w:pPr>
              <w:pStyle w:val="TableText"/>
              <w:ind w:left="51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825" w:hRule="atLeast"/>
        </w:trPr>
        <w:tc>
          <w:tcPr>
            <w:tcW w:w="295" w:type="dxa"/>
            <w:vAlign w:val="top"/>
          </w:tcPr>
          <w:p>
            <w:pPr>
              <w:pStyle w:val="TableText"/>
              <w:ind w:left="65"/>
              <w:spacing w:before="115" w:line="184" w:lineRule="auto"/>
              <w:rPr/>
            </w:pPr>
            <w:r>
              <w:rPr>
                <w:spacing w:val="-5"/>
              </w:rPr>
              <w:t>19</w:t>
            </w:r>
          </w:p>
        </w:tc>
        <w:tc>
          <w:tcPr>
            <w:tcW w:w="669" w:type="dxa"/>
            <w:vAlign w:val="top"/>
          </w:tcPr>
          <w:p>
            <w:pPr>
              <w:pStyle w:val="TableText"/>
              <w:ind w:left="20" w:right="44"/>
              <w:spacing w:before="66" w:line="233" w:lineRule="auto"/>
              <w:rPr/>
            </w:pPr>
            <w:r>
              <w:rPr>
                <w:spacing w:val="-2"/>
              </w:rPr>
              <w:t>海关案件</w:t>
            </w:r>
            <w:r>
              <w:rPr>
                <w:spacing w:val="1"/>
              </w:rPr>
              <w:t xml:space="preserve"> </w:t>
            </w:r>
            <w:r>
              <w:rPr>
                <w:spacing w:val="-2"/>
              </w:rPr>
              <w:t>类保证金</w:t>
            </w:r>
          </w:p>
        </w:tc>
        <w:tc>
          <w:tcPr>
            <w:tcW w:w="739" w:type="dxa"/>
            <w:vAlign w:val="top"/>
          </w:tcPr>
          <w:p>
            <w:pPr>
              <w:pStyle w:val="TableText"/>
              <w:ind w:left="60"/>
              <w:spacing w:before="67" w:line="220" w:lineRule="auto"/>
              <w:rPr/>
            </w:pPr>
            <w:r>
              <w:rPr>
                <w:spacing w:val="-1"/>
              </w:rPr>
              <w:t>海关总署</w:t>
            </w:r>
          </w:p>
        </w:tc>
        <w:tc>
          <w:tcPr>
            <w:tcW w:w="1419" w:type="dxa"/>
            <w:vAlign w:val="top"/>
          </w:tcPr>
          <w:p>
            <w:pPr>
              <w:pStyle w:val="TableText"/>
              <w:ind w:left="34" w:right="84" w:hanging="34"/>
              <w:spacing w:before="76" w:line="239" w:lineRule="auto"/>
              <w:rPr/>
            </w:pPr>
            <w:r>
              <w:rPr>
                <w:spacing w:val="-3"/>
              </w:rPr>
              <w:t>《中华人民共和国海</w:t>
            </w:r>
            <w:r>
              <w:rPr/>
              <w:t xml:space="preserve"> </w:t>
            </w:r>
            <w:r>
              <w:rPr>
                <w:spacing w:val="-3"/>
              </w:rPr>
              <w:t>关事务担保条例》</w:t>
            </w:r>
          </w:p>
          <w:p>
            <w:pPr>
              <w:pStyle w:val="TableText"/>
              <w:ind w:left="24" w:right="90" w:hanging="24"/>
              <w:spacing w:before="40" w:line="251" w:lineRule="auto"/>
              <w:rPr/>
            </w:pPr>
            <w:r>
              <w:rPr>
                <w:spacing w:val="-4"/>
              </w:rPr>
              <w:t>《中华人民共和国知</w:t>
            </w:r>
            <w:r>
              <w:rPr>
                <w:spacing w:val="3"/>
              </w:rPr>
              <w:t xml:space="preserve"> </w:t>
            </w:r>
            <w:r>
              <w:rPr>
                <w:spacing w:val="-3"/>
              </w:rPr>
              <w:t>识产权海关保护条</w:t>
            </w:r>
            <w:r>
              <w:rPr>
                <w:spacing w:val="2"/>
              </w:rPr>
              <w:t xml:space="preserve">  </w:t>
            </w:r>
            <w:r>
              <w:rPr>
                <w:spacing w:val="-4"/>
              </w:rPr>
              <w:t>例》</w:t>
            </w:r>
          </w:p>
          <w:p>
            <w:pPr>
              <w:pStyle w:val="TableText"/>
              <w:ind w:left="24" w:right="84" w:hanging="24"/>
              <w:spacing w:before="50" w:line="250" w:lineRule="auto"/>
              <w:rPr/>
            </w:pPr>
            <w:r>
              <w:rPr>
                <w:spacing w:val="-3"/>
              </w:rPr>
              <w:t>《中华人民共和国海</w:t>
            </w:r>
            <w:r>
              <w:rPr/>
              <w:t xml:space="preserve"> </w:t>
            </w:r>
            <w:r>
              <w:rPr>
                <w:spacing w:val="-4"/>
              </w:rPr>
              <w:t>关行政处罚实施条  </w:t>
            </w:r>
            <w:r>
              <w:rPr>
                <w:spacing w:val="-4"/>
              </w:rPr>
              <w:t>例》</w:t>
            </w:r>
          </w:p>
          <w:p>
            <w:pPr>
              <w:pStyle w:val="TableText"/>
              <w:ind w:left="34" w:right="18" w:hanging="34"/>
              <w:spacing w:before="47" w:line="261" w:lineRule="auto"/>
              <w:jc w:val="both"/>
              <w:rPr/>
            </w:pPr>
            <w:r>
              <w:rPr>
                <w:spacing w:val="-3"/>
              </w:rPr>
              <w:t>《中华人民共和国海</w:t>
            </w:r>
            <w:r>
              <w:rPr/>
              <w:t xml:space="preserve">  </w:t>
            </w:r>
            <w:r>
              <w:rPr>
                <w:spacing w:val="2"/>
              </w:rPr>
              <w:t>关关于&lt;中华人民共</w:t>
            </w:r>
            <w:r>
              <w:rPr/>
              <w:t xml:space="preserve">  </w:t>
            </w:r>
            <w:r>
              <w:rPr>
                <w:spacing w:val="-3"/>
              </w:rPr>
              <w:t>和国知识产权海关保</w:t>
            </w:r>
            <w:r>
              <w:rPr>
                <w:spacing w:val="7"/>
              </w:rPr>
              <w:t xml:space="preserve"> </w:t>
            </w:r>
            <w:r>
              <w:rPr>
                <w:spacing w:val="-11"/>
              </w:rPr>
              <w:t>护</w:t>
            </w:r>
            <w:r>
              <w:rPr>
                <w:spacing w:val="-27"/>
              </w:rPr>
              <w:t xml:space="preserve"> </w:t>
            </w:r>
            <w:r>
              <w:rPr>
                <w:spacing w:val="-11"/>
              </w:rPr>
              <w:t>条</w:t>
            </w:r>
            <w:r>
              <w:rPr>
                <w:spacing w:val="-34"/>
              </w:rPr>
              <w:t xml:space="preserve"> </w:t>
            </w:r>
            <w:r>
              <w:rPr>
                <w:spacing w:val="-11"/>
              </w:rPr>
              <w:t>例</w:t>
            </w:r>
            <w:r>
              <w:rPr>
                <w:spacing w:val="-29"/>
              </w:rPr>
              <w:t xml:space="preserve"> </w:t>
            </w:r>
            <w:r>
              <w:rPr>
                <w:spacing w:val="-11"/>
              </w:rPr>
              <w:t>&gt;</w:t>
            </w:r>
            <w:r>
              <w:rPr>
                <w:spacing w:val="-22"/>
              </w:rPr>
              <w:t xml:space="preserve"> </w:t>
            </w:r>
            <w:r>
              <w:rPr>
                <w:spacing w:val="-11"/>
              </w:rPr>
              <w:t>的</w:t>
            </w:r>
            <w:r>
              <w:rPr>
                <w:spacing w:val="-30"/>
              </w:rPr>
              <w:t xml:space="preserve"> </w:t>
            </w:r>
            <w:r>
              <w:rPr>
                <w:spacing w:val="-11"/>
              </w:rPr>
              <w:t>实</w:t>
            </w:r>
            <w:r>
              <w:rPr>
                <w:spacing w:val="-35"/>
              </w:rPr>
              <w:t xml:space="preserve"> </w:t>
            </w:r>
            <w:r>
              <w:rPr>
                <w:spacing w:val="-11"/>
              </w:rPr>
              <w:t>施</w:t>
            </w:r>
            <w:r>
              <w:rPr>
                <w:spacing w:val="-30"/>
              </w:rPr>
              <w:t xml:space="preserve"> </w:t>
            </w:r>
            <w:r>
              <w:rPr>
                <w:spacing w:val="-11"/>
              </w:rPr>
              <w:t>办</w:t>
            </w:r>
            <w:r>
              <w:rPr/>
              <w:t xml:space="preserve"> </w:t>
            </w:r>
            <w:r>
              <w:rPr>
                <w:spacing w:val="2"/>
              </w:rPr>
              <w:t>法》(海关总署令第</w:t>
            </w:r>
            <w:r>
              <w:rPr>
                <w:spacing w:val="1"/>
              </w:rPr>
              <w:t xml:space="preserve">  </w:t>
            </w:r>
            <w:r>
              <w:rPr>
                <w:spacing w:val="9"/>
              </w:rPr>
              <w:t>183号)</w:t>
            </w:r>
          </w:p>
          <w:p>
            <w:pPr>
              <w:pStyle w:val="TableText"/>
              <w:ind w:left="34" w:right="43" w:hanging="34"/>
              <w:spacing w:before="48" w:line="263" w:lineRule="auto"/>
              <w:jc w:val="both"/>
              <w:rPr/>
            </w:pPr>
            <w:r>
              <w:rPr>
                <w:spacing w:val="-3"/>
              </w:rPr>
              <w:t>《中华人民共和国海</w:t>
            </w:r>
            <w:r>
              <w:rPr/>
              <w:t xml:space="preserve"> </w:t>
            </w:r>
            <w:r>
              <w:rPr>
                <w:spacing w:val="-3"/>
              </w:rPr>
              <w:t>关法》《中华人民共</w:t>
            </w:r>
            <w:r>
              <w:rPr>
                <w:spacing w:val="5"/>
              </w:rPr>
              <w:t xml:space="preserve"> </w:t>
            </w:r>
            <w:r>
              <w:rPr>
                <w:spacing w:val="-3"/>
              </w:rPr>
              <w:t>和国海关办理行政处</w:t>
            </w:r>
            <w:r>
              <w:rPr>
                <w:spacing w:val="6"/>
              </w:rPr>
              <w:t xml:space="preserve"> </w:t>
            </w:r>
            <w:r>
              <w:rPr>
                <w:spacing w:val="-3"/>
              </w:rPr>
              <w:t>罚案件程序规定》海</w:t>
            </w:r>
            <w:r>
              <w:rPr>
                <w:spacing w:val="1"/>
              </w:rPr>
              <w:t xml:space="preserve"> </w:t>
            </w:r>
            <w:r>
              <w:rPr>
                <w:spacing w:val="2"/>
              </w:rPr>
              <w:t>关总署令第250号)</w:t>
            </w:r>
          </w:p>
        </w:tc>
        <w:tc>
          <w:tcPr>
            <w:tcW w:w="1618" w:type="dxa"/>
            <w:vAlign w:val="top"/>
          </w:tcPr>
          <w:p>
            <w:pPr>
              <w:pStyle w:val="TableText"/>
              <w:ind w:left="22" w:firstLine="29"/>
              <w:spacing w:before="76" w:line="215" w:lineRule="auto"/>
              <w:rPr/>
            </w:pPr>
            <w:r>
              <w:rPr>
                <w:spacing w:val="-3"/>
              </w:rPr>
              <w:t>案件类保证金包括知识</w:t>
            </w:r>
            <w:r>
              <w:rPr>
                <w:spacing w:val="1"/>
              </w:rPr>
              <w:t xml:space="preserve">  </w:t>
            </w:r>
            <w:r>
              <w:rPr>
                <w:spacing w:val="8"/>
              </w:rPr>
              <w:t>产权海关保护保证金、</w:t>
            </w:r>
            <w:r>
              <w:rPr>
                <w:spacing w:val="4"/>
              </w:rPr>
              <w:t xml:space="preserve"> </w:t>
            </w:r>
            <w:r>
              <w:rPr/>
              <w:t>知识产权反担保担保金  </w:t>
            </w:r>
            <w:r>
              <w:rPr>
                <w:spacing w:val="-3"/>
              </w:rPr>
              <w:t>和其他案件类保证金</w:t>
            </w:r>
          </w:p>
          <w:p>
            <w:pPr>
              <w:pStyle w:val="TableText"/>
              <w:ind w:left="22"/>
              <w:spacing w:before="12" w:line="219" w:lineRule="auto"/>
              <w:rPr/>
            </w:pPr>
            <w:r>
              <w:rPr>
                <w:spacing w:val="-1"/>
              </w:rPr>
              <w:t>征收标准为：</w:t>
            </w:r>
          </w:p>
          <w:p>
            <w:pPr>
              <w:pStyle w:val="TableText"/>
              <w:ind w:left="12" w:right="43" w:firstLine="40"/>
              <w:spacing w:before="3" w:line="216" w:lineRule="auto"/>
              <w:jc w:val="both"/>
              <w:rPr/>
            </w:pPr>
            <w:r>
              <w:rPr>
                <w:spacing w:val="1"/>
              </w:rPr>
              <w:t>1.按照依申请保护的知</w:t>
            </w:r>
            <w:r>
              <w:rPr/>
              <w:t xml:space="preserve"> </w:t>
            </w:r>
            <w:r>
              <w:rPr>
                <w:spacing w:val="3"/>
              </w:rPr>
              <w:t>识产权海关保护保证金</w:t>
            </w:r>
            <w:r>
              <w:rPr>
                <w:spacing w:val="1"/>
              </w:rPr>
              <w:t xml:space="preserve"> </w:t>
            </w:r>
            <w:r>
              <w:rPr>
                <w:spacing w:val="3"/>
              </w:rPr>
              <w:t>和知识产权反担保担保</w:t>
            </w:r>
            <w:r>
              <w:rPr>
                <w:spacing w:val="2"/>
              </w:rPr>
              <w:t xml:space="preserve"> </w:t>
            </w:r>
            <w:r>
              <w:rPr>
                <w:spacing w:val="3"/>
              </w:rPr>
              <w:t>金收取标准为与被扣货</w:t>
            </w:r>
            <w:r>
              <w:rPr>
                <w:spacing w:val="1"/>
              </w:rPr>
              <w:t xml:space="preserve"> </w:t>
            </w:r>
            <w:r>
              <w:rPr>
                <w:spacing w:val="17"/>
              </w:rPr>
              <w:t>物等值</w:t>
            </w:r>
            <w:r>
              <w:rPr>
                <w:spacing w:val="-34"/>
              </w:rPr>
              <w:t xml:space="preserve"> </w:t>
            </w:r>
            <w:r>
              <w:rPr>
                <w:spacing w:val="17"/>
              </w:rPr>
              <w:t>；</w:t>
            </w:r>
          </w:p>
          <w:p>
            <w:pPr>
              <w:pStyle w:val="TableText"/>
              <w:ind w:left="12" w:right="48" w:firstLine="40"/>
              <w:spacing w:before="5" w:line="222" w:lineRule="auto"/>
              <w:rPr/>
            </w:pPr>
            <w:r>
              <w:rPr>
                <w:spacing w:val="-1"/>
              </w:rPr>
              <w:t>2.按照主动依职权保护</w:t>
            </w:r>
            <w:r>
              <w:rPr>
                <w:spacing w:val="2"/>
              </w:rPr>
              <w:t xml:space="preserve"> </w:t>
            </w:r>
            <w:r>
              <w:rPr>
                <w:spacing w:val="4"/>
              </w:rPr>
              <w:t>的知识产权海关保护保 </w:t>
            </w:r>
            <w:r>
              <w:rPr>
                <w:spacing w:val="3"/>
              </w:rPr>
              <w:t>证金收取标准为：货物 </w:t>
            </w:r>
            <w:r>
              <w:rPr>
                <w:spacing w:val="6"/>
              </w:rPr>
              <w:t>价值不足人民币2万元 </w:t>
            </w:r>
            <w:r>
              <w:rPr>
                <w:spacing w:val="4"/>
              </w:rPr>
              <w:t>的，提供相当于货物价</w:t>
            </w:r>
            <w:r>
              <w:rPr>
                <w:spacing w:val="5"/>
              </w:rPr>
              <w:t xml:space="preserve"> </w:t>
            </w:r>
            <w:r>
              <w:rPr>
                <w:spacing w:val="3"/>
              </w:rPr>
              <w:t>值的担保；货物价值为 </w:t>
            </w:r>
            <w:r>
              <w:rPr>
                <w:spacing w:val="5"/>
              </w:rPr>
              <w:t>人民市2万元至20万元</w:t>
            </w:r>
            <w:r>
              <w:rPr>
                <w:spacing w:val="3"/>
              </w:rPr>
              <w:t xml:space="preserve">  </w:t>
            </w:r>
            <w:r>
              <w:rPr>
                <w:spacing w:val="4"/>
              </w:rPr>
              <w:t>的，提供相当于货物价</w:t>
            </w:r>
            <w:r>
              <w:rPr>
                <w:spacing w:val="5"/>
              </w:rPr>
              <w:t xml:space="preserve"> </w:t>
            </w:r>
            <w:r>
              <w:rPr>
                <w:spacing w:val="5"/>
              </w:rPr>
              <w:t>值50%的担保，但担保 </w:t>
            </w:r>
            <w:r>
              <w:rPr>
                <w:spacing w:val="8"/>
              </w:rPr>
              <w:t>金额不得少于人民币2</w:t>
            </w:r>
            <w:r>
              <w:rPr>
                <w:spacing w:val="3"/>
              </w:rPr>
              <w:t xml:space="preserve"> </w:t>
            </w:r>
            <w:r>
              <w:rPr>
                <w:spacing w:val="3"/>
              </w:rPr>
              <w:t>万元；货物价值超过人</w:t>
            </w:r>
            <w:r>
              <w:rPr/>
              <w:t xml:space="preserve"> </w:t>
            </w:r>
            <w:r>
              <w:rPr>
                <w:spacing w:val="4"/>
              </w:rPr>
              <w:t>民币20万元的，提供人</w:t>
            </w:r>
            <w:r>
              <w:rPr>
                <w:spacing w:val="1"/>
              </w:rPr>
              <w:t xml:space="preserve"> </w:t>
            </w:r>
            <w:r>
              <w:rPr>
                <w:spacing w:val="7"/>
              </w:rPr>
              <w:t>民币10万元的担保；</w:t>
            </w:r>
          </w:p>
          <w:p>
            <w:pPr>
              <w:pStyle w:val="TableText"/>
              <w:ind w:left="12" w:firstLine="39"/>
              <w:spacing w:before="1" w:line="223" w:lineRule="auto"/>
              <w:rPr/>
            </w:pPr>
            <w:r>
              <w:rPr>
                <w:spacing w:val="-1"/>
              </w:rPr>
              <w:t>3.其他案件类需要提供</w:t>
            </w:r>
            <w:r>
              <w:rPr/>
              <w:t xml:space="preserve">  </w:t>
            </w:r>
            <w:r>
              <w:rPr>
                <w:spacing w:val="2"/>
              </w:rPr>
              <w:t>原则上不低于海关总署</w:t>
            </w:r>
            <w:r>
              <w:rPr>
                <w:spacing w:val="3"/>
              </w:rPr>
              <w:t xml:space="preserve">  </w:t>
            </w:r>
            <w:r>
              <w:rPr>
                <w:spacing w:val="3"/>
              </w:rPr>
              <w:t>规定的一般情节可能科</w:t>
            </w:r>
            <w:r>
              <w:rPr/>
              <w:t xml:space="preserve">  </w:t>
            </w:r>
            <w:r>
              <w:rPr>
                <w:spacing w:val="-5"/>
              </w:rPr>
              <w:t>处处罚金额的保证金或者</w:t>
            </w:r>
            <w:r>
              <w:rPr/>
              <w:t xml:space="preserve"> </w:t>
            </w:r>
            <w:r>
              <w:rPr>
                <w:spacing w:val="-5"/>
              </w:rPr>
              <w:t>其他担保，且应当在海关</w:t>
            </w:r>
            <w:r>
              <w:rPr/>
              <w:t xml:space="preserve"> </w:t>
            </w:r>
            <w:r>
              <w:rPr/>
              <w:t>作出处理决定前缴纳</w:t>
            </w:r>
          </w:p>
          <w:p>
            <w:pPr>
              <w:pStyle w:val="TableText"/>
              <w:ind w:left="12"/>
              <w:spacing w:before="3" w:line="216" w:lineRule="auto"/>
              <w:rPr/>
            </w:pPr>
            <w:r>
              <w:rPr>
                <w:spacing w:val="-6"/>
              </w:rPr>
              <w:t>4.经海关总署核准总担保</w:t>
            </w:r>
            <w:r>
              <w:rPr>
                <w:spacing w:val="9"/>
              </w:rPr>
              <w:t xml:space="preserve"> </w:t>
            </w:r>
            <w:r>
              <w:rPr>
                <w:spacing w:val="-5"/>
              </w:rPr>
              <w:t>的，对于商标权保护的货</w:t>
            </w:r>
            <w:r>
              <w:rPr/>
              <w:t xml:space="preserve"> </w:t>
            </w:r>
            <w:r>
              <w:rPr>
                <w:spacing w:val="-1"/>
              </w:rPr>
              <w:t>物无需另行提交担保</w:t>
            </w:r>
          </w:p>
        </w:tc>
        <w:tc>
          <w:tcPr>
            <w:tcW w:w="1628" w:type="dxa"/>
            <w:vAlign w:val="top"/>
          </w:tcPr>
          <w:p>
            <w:pPr>
              <w:pStyle w:val="TableText"/>
              <w:ind w:left="34" w:firstLine="19"/>
              <w:spacing w:before="77" w:line="249" w:lineRule="auto"/>
              <w:rPr/>
            </w:pPr>
            <w:r>
              <w:rPr>
                <w:spacing w:val="-3"/>
              </w:rPr>
              <w:t>知识产权海关保护保证</w:t>
            </w:r>
            <w:r>
              <w:rPr>
                <w:spacing w:val="4"/>
              </w:rPr>
              <w:t xml:space="preserve">  </w:t>
            </w:r>
            <w:r>
              <w:rPr>
                <w:spacing w:val="8"/>
              </w:rPr>
              <w:t>金：可自主选择现金、</w:t>
            </w:r>
            <w:r>
              <w:rPr>
                <w:spacing w:val="2"/>
              </w:rPr>
              <w:t xml:space="preserve"> </w:t>
            </w:r>
            <w:r>
              <w:rPr>
                <w:spacing w:val="-2"/>
              </w:rPr>
              <w:t>保函等方式提供担保</w:t>
            </w:r>
          </w:p>
          <w:p>
            <w:pPr>
              <w:pStyle w:val="TableText"/>
              <w:ind w:left="34"/>
              <w:spacing w:before="53" w:line="219" w:lineRule="auto"/>
              <w:rPr/>
            </w:pPr>
            <w:r>
              <w:rPr>
                <w:spacing w:val="-1"/>
              </w:rPr>
              <w:t>知识产权反担保担保</w:t>
            </w:r>
          </w:p>
          <w:p>
            <w:pPr>
              <w:pStyle w:val="TableText"/>
              <w:ind w:left="33" w:hanging="19"/>
              <w:spacing w:before="41" w:line="233" w:lineRule="auto"/>
              <w:rPr/>
            </w:pPr>
            <w:r>
              <w:rPr>
                <w:spacing w:val="-5"/>
              </w:rPr>
              <w:t>金：现金形式提供担保。</w:t>
            </w:r>
            <w:r>
              <w:rPr>
                <w:spacing w:val="7"/>
              </w:rPr>
              <w:t xml:space="preserve"> </w:t>
            </w:r>
            <w:r>
              <w:rPr>
                <w:spacing w:val="-5"/>
              </w:rPr>
              <w:t>行政处罚案件类保证</w:t>
            </w:r>
          </w:p>
          <w:p>
            <w:pPr>
              <w:pStyle w:val="TableText"/>
              <w:ind w:left="34" w:firstLine="19"/>
              <w:spacing w:before="51" w:line="245" w:lineRule="auto"/>
              <w:rPr/>
            </w:pPr>
            <w:r>
              <w:rPr>
                <w:spacing w:val="6"/>
              </w:rPr>
              <w:t>金：可自主选择现金、</w:t>
            </w:r>
            <w:r>
              <w:rPr>
                <w:spacing w:val="2"/>
              </w:rPr>
              <w:t xml:space="preserve"> </w:t>
            </w:r>
            <w:r>
              <w:rPr>
                <w:spacing w:val="-2"/>
              </w:rPr>
              <w:t>保函(保险)等方式提</w:t>
            </w:r>
          </w:p>
          <w:p>
            <w:pPr>
              <w:pStyle w:val="TableText"/>
              <w:ind w:left="14"/>
              <w:spacing w:before="31" w:line="219" w:lineRule="auto"/>
              <w:rPr/>
            </w:pPr>
            <w:r>
              <w:rPr>
                <w:spacing w:val="-2"/>
              </w:rPr>
              <w:t>供担保</w:t>
            </w:r>
          </w:p>
        </w:tc>
        <w:tc>
          <w:tcPr>
            <w:tcW w:w="1648" w:type="dxa"/>
            <w:vAlign w:val="top"/>
          </w:tcPr>
          <w:p>
            <w:pPr>
              <w:pStyle w:val="TableText"/>
              <w:ind w:left="36" w:right="52" w:firstLine="30"/>
              <w:spacing w:before="76" w:line="258" w:lineRule="auto"/>
              <w:jc w:val="both"/>
              <w:rPr/>
            </w:pPr>
            <w:r>
              <w:rPr>
                <w:spacing w:val="-1"/>
              </w:rPr>
              <w:t>海关告知当事人提交保</w:t>
            </w:r>
            <w:r>
              <w:rPr>
                <w:spacing w:val="3"/>
              </w:rPr>
              <w:t xml:space="preserve"> </w:t>
            </w:r>
            <w:r>
              <w:rPr>
                <w:spacing w:val="2"/>
              </w:rPr>
              <w:t>证金的金额。当事人交</w:t>
            </w:r>
            <w:r>
              <w:rPr>
                <w:spacing w:val="3"/>
              </w:rPr>
              <w:t xml:space="preserve"> </w:t>
            </w:r>
            <w:r>
              <w:rPr>
                <w:spacing w:val="4"/>
              </w:rPr>
              <w:t>纳保证金后，由海关出</w:t>
            </w:r>
            <w:r>
              <w:rPr>
                <w:spacing w:val="7"/>
              </w:rPr>
              <w:t xml:space="preserve"> </w:t>
            </w:r>
            <w:r>
              <w:rPr>
                <w:spacing w:val="-2"/>
              </w:rPr>
              <w:t>具保证金收据</w:t>
            </w:r>
          </w:p>
        </w:tc>
        <w:tc>
          <w:tcPr>
            <w:tcW w:w="1633" w:type="dxa"/>
            <w:vAlign w:val="top"/>
          </w:tcPr>
          <w:p>
            <w:pPr>
              <w:pStyle w:val="TableText"/>
              <w:ind w:left="18" w:right="58" w:firstLine="40"/>
              <w:spacing w:before="75" w:line="256" w:lineRule="auto"/>
              <w:jc w:val="both"/>
              <w:rPr/>
            </w:pPr>
            <w:r>
              <w:rPr/>
              <w:t>1.知识产权海关保护保</w:t>
            </w:r>
            <w:r>
              <w:rPr>
                <w:spacing w:val="4"/>
              </w:rPr>
              <w:t xml:space="preserve"> </w:t>
            </w:r>
            <w:r>
              <w:rPr>
                <w:spacing w:val="3"/>
              </w:rPr>
              <w:t>证金自权利人结清货物 </w:t>
            </w:r>
            <w:r>
              <w:rPr>
                <w:spacing w:val="3"/>
              </w:rPr>
              <w:t>处置等有关费用后由海</w:t>
            </w:r>
            <w:r>
              <w:rPr/>
              <w:t xml:space="preserve"> </w:t>
            </w:r>
            <w:r>
              <w:rPr>
                <w:spacing w:val="3"/>
              </w:rPr>
              <w:t>关返还，或根据法院要</w:t>
            </w:r>
            <w:r>
              <w:rPr/>
              <w:t xml:space="preserve"> </w:t>
            </w:r>
            <w:r>
              <w:rPr>
                <w:spacing w:val="-1"/>
              </w:rPr>
              <w:t>求执行。</w:t>
            </w:r>
          </w:p>
          <w:p>
            <w:pPr>
              <w:pStyle w:val="TableText"/>
              <w:ind w:left="38" w:right="69" w:firstLine="20"/>
              <w:spacing w:before="63" w:line="258" w:lineRule="auto"/>
              <w:jc w:val="both"/>
              <w:rPr/>
            </w:pPr>
            <w:r>
              <w:rPr>
                <w:spacing w:val="-1"/>
              </w:rPr>
              <w:t>2.知识产权反担保担保</w:t>
            </w:r>
            <w:r>
              <w:rPr>
                <w:spacing w:val="2"/>
              </w:rPr>
              <w:t xml:space="preserve"> </w:t>
            </w:r>
            <w:r>
              <w:rPr>
                <w:spacing w:val="1"/>
              </w:rPr>
              <w:t>金自海关放行被扣留货 </w:t>
            </w:r>
            <w:r>
              <w:rPr>
                <w:spacing w:val="1"/>
              </w:rPr>
              <w:t>物之日起30个工作日返</w:t>
            </w:r>
            <w:r>
              <w:rPr>
                <w:spacing w:val="2"/>
              </w:rPr>
              <w:t xml:space="preserve"> </w:t>
            </w:r>
            <w:r>
              <w:rPr>
                <w:spacing w:val="1"/>
              </w:rPr>
              <w:t>还，或根据法院要求执</w:t>
            </w:r>
            <w:r>
              <w:rPr>
                <w:spacing w:val="3"/>
              </w:rPr>
              <w:t xml:space="preserve"> </w:t>
            </w:r>
            <w:r>
              <w:rPr>
                <w:spacing w:val="-2"/>
              </w:rPr>
              <w:t>行。</w:t>
            </w:r>
          </w:p>
          <w:p>
            <w:pPr>
              <w:pStyle w:val="TableText"/>
              <w:ind w:left="38" w:right="58" w:firstLine="20"/>
              <w:spacing w:before="39" w:line="254" w:lineRule="auto"/>
              <w:jc w:val="both"/>
              <w:rPr/>
            </w:pPr>
            <w:r>
              <w:rPr>
                <w:spacing w:val="-1"/>
              </w:rPr>
              <w:t>3.其他案件类保证金在</w:t>
            </w:r>
            <w:r>
              <w:rPr>
                <w:spacing w:val="1"/>
              </w:rPr>
              <w:t xml:space="preserve"> </w:t>
            </w:r>
            <w:r>
              <w:rPr>
                <w:spacing w:val="2"/>
              </w:rPr>
              <w:t>当事人履行完有关法律</w:t>
            </w:r>
            <w:r>
              <w:rPr>
                <w:spacing w:val="4"/>
              </w:rPr>
              <w:t xml:space="preserve"> </w:t>
            </w:r>
            <w:r>
              <w:rPr>
                <w:spacing w:val="-2"/>
              </w:rPr>
              <w:t>义务后返还</w:t>
            </w:r>
          </w:p>
        </w:tc>
      </w:tr>
    </w:tbl>
    <w:p>
      <w:pPr>
        <w:pStyle w:val="BodyText"/>
        <w:rPr/>
      </w:pPr>
      <w:r/>
    </w:p>
    <w:p>
      <w:pPr>
        <w:sectPr>
          <w:pgSz w:w="11910" w:h="8220"/>
          <w:pgMar w:top="400" w:right="1135" w:bottom="400" w:left="821" w:header="0" w:footer="0" w:gutter="0"/>
        </w:sectPr>
        <w:rPr/>
      </w:pPr>
    </w:p>
    <w:p>
      <w:pPr>
        <w:spacing w:before="51"/>
        <w:rPr/>
      </w:pPr>
      <w:r>
        <mc:AlternateContent xmlns:mc="http://schemas.openxmlformats.org/markup-compatibility/2006">
          <mc:Choice Requires="wps">
            <w:drawing>
              <wp:anchor distT="0" distB="0" distL="0" distR="0" simplePos="0" relativeHeight="252017664" behindDoc="0" locked="0" layoutInCell="0" allowOverlap="1">
                <wp:simplePos x="0" y="0"/>
                <wp:positionH relativeFrom="page">
                  <wp:posOffset>455787</wp:posOffset>
                </wp:positionH>
                <wp:positionV relativeFrom="page">
                  <wp:posOffset>617749</wp:posOffset>
                </wp:positionV>
                <wp:extent cx="180975" cy="165100"/>
                <wp:effectExtent l="0" t="0" r="0" b="0"/>
                <wp:wrapNone/>
                <wp:docPr id="530" name="TextBox 530"/>
                <wp:cNvGraphicFramePr/>
                <a:graphic>
                  <a:graphicData uri="http://schemas.microsoft.com/office/word/2010/wordprocessingShape">
                    <wps:wsp>
                      <wps:cNvSpPr txBox="1"/>
                      <wps:spPr>
                        <a:xfrm rot="5400000">
                          <a:off x="455787" y="617749"/>
                          <a:ext cx="180975" cy="1651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354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2" style="position:absolute;margin-left:35.8887pt;margin-top:48.6417pt;mso-position-vertical-relative:page;mso-position-horizontal-relative:page;width:14.25pt;height:13pt;z-index:252017664;rotation:90;" o:allowincell="f" filled="false" stroked="false" type="#_x0000_t202">
                <v:fill on="false"/>
                <v:stroke on="false"/>
                <v:path/>
                <v:imagedata o:title=""/>
                <o:lock v:ext="edit" aspectratio="false"/>
                <v:textbox inset="0mm,0mm,0mm,0mm">
                  <w:txbxContent>
                    <w:p>
                      <w:pPr>
                        <w:ind w:left="20"/>
                        <w:spacing w:before="70" w:line="183" w:lineRule="auto"/>
                        <w:rPr>
                          <w:rFonts w:ascii="SimSun" w:hAnsi="SimSun" w:eastAsia="SimSun" w:cs="SimSun"/>
                          <w:sz w:val="17"/>
                          <w:szCs w:val="17"/>
                        </w:rPr>
                      </w:pPr>
                      <w:r>
                        <w:rPr>
                          <w:rFonts w:ascii="SimSun" w:hAnsi="SimSun" w:eastAsia="SimSun" w:cs="SimSun"/>
                          <w:sz w:val="17"/>
                          <w:szCs w:val="17"/>
                          <w:spacing w:val="-3"/>
                        </w:rPr>
                        <w:t>354</w:t>
                      </w:r>
                    </w:p>
                  </w:txbxContent>
                </v:textbox>
              </v:shape>
            </w:pict>
          </mc:Fallback>
        </mc:AlternateContent>
      </w:r>
      <w:r/>
    </w:p>
    <w:p>
      <w:pPr>
        <w:spacing w:before="51"/>
        <w:rPr/>
      </w:pPr>
      <w:r/>
    </w:p>
    <w:tbl>
      <w:tblPr>
        <w:tblStyle w:val="TableNormal"/>
        <w:tblW w:w="9639" w:type="dxa"/>
        <w:tblInd w:w="3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
        <w:gridCol w:w="649"/>
        <w:gridCol w:w="749"/>
        <w:gridCol w:w="1409"/>
        <w:gridCol w:w="1628"/>
        <w:gridCol w:w="1648"/>
        <w:gridCol w:w="1628"/>
        <w:gridCol w:w="1633"/>
      </w:tblGrid>
      <w:tr>
        <w:trPr>
          <w:trHeight w:val="474" w:hRule="atLeast"/>
        </w:trPr>
        <w:tc>
          <w:tcPr>
            <w:tcW w:w="295" w:type="dxa"/>
            <w:vAlign w:val="top"/>
            <w:textDirection w:val="tbRlV"/>
          </w:tcPr>
          <w:p>
            <w:pPr>
              <w:pStyle w:val="TableText"/>
              <w:ind w:left="27"/>
              <w:spacing w:before="110" w:line="217" w:lineRule="auto"/>
              <w:rPr/>
            </w:pPr>
            <w:r>
              <w:rPr/>
              <w:t>序</w:t>
            </w:r>
            <w:r>
              <w:rPr>
                <w:spacing w:val="36"/>
                <w:w w:val="101"/>
              </w:rPr>
              <w:t xml:space="preserve"> </w:t>
            </w:r>
            <w:r>
              <w:rPr/>
              <w:t>号</w:t>
            </w:r>
          </w:p>
        </w:tc>
        <w:tc>
          <w:tcPr>
            <w:tcW w:w="649" w:type="dxa"/>
            <w:vAlign w:val="top"/>
          </w:tcPr>
          <w:p>
            <w:pPr>
              <w:pStyle w:val="TableText"/>
              <w:ind w:left="10"/>
              <w:spacing w:before="161" w:line="220" w:lineRule="auto"/>
              <w:rPr/>
            </w:pPr>
            <w:r>
              <w:rPr>
                <w:spacing w:val="-2"/>
              </w:rPr>
              <w:t>项目名称</w:t>
            </w:r>
          </w:p>
        </w:tc>
        <w:tc>
          <w:tcPr>
            <w:tcW w:w="749" w:type="dxa"/>
            <w:vAlign w:val="top"/>
          </w:tcPr>
          <w:p>
            <w:pPr>
              <w:pStyle w:val="TableText"/>
              <w:ind w:left="60"/>
              <w:spacing w:before="161" w:line="220" w:lineRule="auto"/>
              <w:rPr/>
            </w:pPr>
            <w:r>
              <w:rPr>
                <w:spacing w:val="-2"/>
              </w:rPr>
              <w:t>设立单位</w:t>
            </w:r>
          </w:p>
        </w:tc>
        <w:tc>
          <w:tcPr>
            <w:tcW w:w="1409" w:type="dxa"/>
            <w:vAlign w:val="top"/>
          </w:tcPr>
          <w:p>
            <w:pPr>
              <w:pStyle w:val="TableText"/>
              <w:ind w:left="42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48" w:type="dxa"/>
            <w:vAlign w:val="top"/>
          </w:tcPr>
          <w:p>
            <w:pPr>
              <w:pStyle w:val="TableText"/>
              <w:ind w:left="514"/>
              <w:spacing w:before="161" w:line="219" w:lineRule="auto"/>
              <w:rPr/>
            </w:pPr>
            <w:r>
              <w:rPr>
                <w:spacing w:val="-2"/>
              </w:rPr>
              <w:t>征收方式</w:t>
            </w:r>
          </w:p>
        </w:tc>
        <w:tc>
          <w:tcPr>
            <w:tcW w:w="1628" w:type="dxa"/>
            <w:vAlign w:val="top"/>
          </w:tcPr>
          <w:p>
            <w:pPr>
              <w:pStyle w:val="TableText"/>
              <w:ind w:left="50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5725" w:hRule="atLeast"/>
        </w:trPr>
        <w:tc>
          <w:tcPr>
            <w:tcW w:w="295" w:type="dxa"/>
            <w:vAlign w:val="top"/>
          </w:tcPr>
          <w:p>
            <w:pPr>
              <w:spacing w:line="281" w:lineRule="auto"/>
              <w:rPr>
                <w:rFonts w:ascii="Arial"/>
                <w:sz w:val="21"/>
              </w:rPr>
            </w:pPr>
            <w:r/>
          </w:p>
          <w:p>
            <w:pPr>
              <w:spacing w:line="282" w:lineRule="auto"/>
              <w:rPr>
                <w:rFonts w:ascii="Arial"/>
                <w:sz w:val="21"/>
              </w:rPr>
            </w:pPr>
            <w:r/>
          </w:p>
          <w:p>
            <w:pPr>
              <w:pStyle w:val="TableText"/>
              <w:ind w:left="25"/>
              <w:spacing w:before="49" w:line="183" w:lineRule="auto"/>
              <w:rPr/>
            </w:pPr>
            <w:r>
              <w:rPr>
                <w:spacing w:val="-2"/>
              </w:rPr>
              <w:t>20</w:t>
            </w:r>
          </w:p>
        </w:tc>
        <w:tc>
          <w:tcPr>
            <w:tcW w:w="649" w:type="dxa"/>
            <w:vAlign w:val="top"/>
          </w:tcPr>
          <w:p>
            <w:pPr>
              <w:spacing w:line="262" w:lineRule="auto"/>
              <w:rPr>
                <w:rFonts w:ascii="Arial"/>
                <w:sz w:val="21"/>
              </w:rPr>
            </w:pPr>
            <w:r/>
          </w:p>
          <w:p>
            <w:pPr>
              <w:spacing w:line="262" w:lineRule="auto"/>
              <w:rPr>
                <w:rFonts w:ascii="Arial"/>
                <w:sz w:val="21"/>
              </w:rPr>
            </w:pPr>
            <w:r/>
          </w:p>
          <w:p>
            <w:pPr>
              <w:pStyle w:val="TableText"/>
              <w:ind w:left="10" w:right="34"/>
              <w:spacing w:before="49" w:line="250" w:lineRule="auto"/>
              <w:jc w:val="both"/>
              <w:rPr/>
            </w:pPr>
            <w:r>
              <w:rPr>
                <w:spacing w:val="-2"/>
              </w:rPr>
              <w:t>旅游服务</w:t>
            </w:r>
            <w:r>
              <w:rPr>
                <w:spacing w:val="1"/>
              </w:rPr>
              <w:t xml:space="preserve"> </w:t>
            </w:r>
            <w:r>
              <w:rPr>
                <w:spacing w:val="-2"/>
              </w:rPr>
              <w:t>质量保证</w:t>
            </w:r>
            <w:r>
              <w:rPr/>
              <w:t xml:space="preserve"> </w:t>
            </w:r>
            <w:r>
              <w:rPr/>
              <w:t>金</w:t>
            </w:r>
          </w:p>
        </w:tc>
        <w:tc>
          <w:tcPr>
            <w:tcW w:w="749" w:type="dxa"/>
            <w:vAlign w:val="top"/>
          </w:tcPr>
          <w:p>
            <w:pPr>
              <w:spacing w:line="263" w:lineRule="auto"/>
              <w:rPr>
                <w:rFonts w:ascii="Arial"/>
                <w:sz w:val="21"/>
              </w:rPr>
            </w:pPr>
            <w:r/>
          </w:p>
          <w:p>
            <w:pPr>
              <w:spacing w:line="263" w:lineRule="auto"/>
              <w:rPr>
                <w:rFonts w:ascii="Arial"/>
                <w:sz w:val="21"/>
              </w:rPr>
            </w:pPr>
            <w:r/>
          </w:p>
          <w:p>
            <w:pPr>
              <w:pStyle w:val="TableText"/>
              <w:ind w:left="210" w:right="85" w:hanging="150"/>
              <w:spacing w:before="49" w:line="238" w:lineRule="auto"/>
              <w:rPr/>
            </w:pPr>
            <w:r>
              <w:rPr>
                <w:spacing w:val="-2"/>
              </w:rPr>
              <w:t>文化和旅</w:t>
            </w:r>
            <w:r>
              <w:rPr/>
              <w:t xml:space="preserve"> </w:t>
            </w:r>
            <w:r>
              <w:rPr>
                <w:spacing w:val="-2"/>
              </w:rPr>
              <w:t>游部</w:t>
            </w:r>
          </w:p>
        </w:tc>
        <w:tc>
          <w:tcPr>
            <w:tcW w:w="1409" w:type="dxa"/>
            <w:vAlign w:val="top"/>
          </w:tcPr>
          <w:p>
            <w:pPr>
              <w:spacing w:line="262" w:lineRule="auto"/>
              <w:rPr>
                <w:rFonts w:ascii="Arial"/>
                <w:sz w:val="21"/>
              </w:rPr>
            </w:pPr>
            <w:r/>
          </w:p>
          <w:p>
            <w:pPr>
              <w:spacing w:line="262" w:lineRule="auto"/>
              <w:rPr>
                <w:rFonts w:ascii="Arial"/>
                <w:sz w:val="21"/>
              </w:rPr>
            </w:pPr>
            <w:r/>
          </w:p>
          <w:p>
            <w:pPr>
              <w:pStyle w:val="TableText"/>
              <w:ind w:left="91" w:right="44" w:hanging="75"/>
              <w:spacing w:before="49" w:line="246" w:lineRule="auto"/>
              <w:rPr/>
            </w:pPr>
            <w:r>
              <w:rPr>
                <w:spacing w:val="-2"/>
              </w:rPr>
              <w:t>《中华人民共和国旅</w:t>
            </w:r>
            <w:r>
              <w:rPr>
                <w:spacing w:val="4"/>
              </w:rPr>
              <w:t xml:space="preserve"> </w:t>
            </w:r>
            <w:r>
              <w:rPr>
                <w:spacing w:val="-3"/>
              </w:rPr>
              <w:t>游法》</w:t>
            </w:r>
          </w:p>
          <w:p>
            <w:pPr>
              <w:pStyle w:val="TableText"/>
              <w:ind w:left="16"/>
              <w:spacing w:before="40" w:line="219" w:lineRule="auto"/>
              <w:rPr/>
            </w:pPr>
            <w:r>
              <w:rPr>
                <w:spacing w:val="-2"/>
              </w:rPr>
              <w:t>《旅行社条例》</w:t>
            </w:r>
          </w:p>
        </w:tc>
        <w:tc>
          <w:tcPr>
            <w:tcW w:w="1628" w:type="dxa"/>
            <w:vAlign w:val="top"/>
          </w:tcPr>
          <w:p>
            <w:pPr>
              <w:spacing w:line="272" w:lineRule="auto"/>
              <w:rPr>
                <w:rFonts w:ascii="Arial"/>
                <w:sz w:val="21"/>
              </w:rPr>
            </w:pPr>
            <w:r/>
          </w:p>
          <w:p>
            <w:pPr>
              <w:spacing w:line="273" w:lineRule="auto"/>
              <w:rPr>
                <w:rFonts w:ascii="Arial"/>
                <w:sz w:val="21"/>
              </w:rPr>
            </w:pPr>
            <w:r/>
          </w:p>
          <w:p>
            <w:pPr>
              <w:pStyle w:val="TableText"/>
              <w:ind w:left="32" w:firstLine="19"/>
              <w:spacing w:before="49" w:line="258" w:lineRule="auto"/>
              <w:rPr/>
            </w:pPr>
            <w:r>
              <w:rPr>
                <w:spacing w:val="-2"/>
              </w:rPr>
              <w:t>经营国内旅游业务和入</w:t>
            </w:r>
            <w:r>
              <w:rPr>
                <w:spacing w:val="1"/>
              </w:rPr>
              <w:t xml:space="preserve">  </w:t>
            </w:r>
            <w:r>
              <w:rPr>
                <w:spacing w:val="4"/>
              </w:rPr>
              <w:t>境旅游业务的旅行社， </w:t>
            </w:r>
            <w:r>
              <w:rPr/>
              <w:t>应当存入旅游服务质量</w:t>
            </w:r>
            <w:r>
              <w:rPr>
                <w:spacing w:val="1"/>
              </w:rPr>
              <w:t xml:space="preserve">  </w:t>
            </w:r>
            <w:r>
              <w:rPr>
                <w:spacing w:val="7"/>
              </w:rPr>
              <w:t>保证金人民币20万元； </w:t>
            </w:r>
            <w:r>
              <w:rPr/>
              <w:t>经营出境旅游业务的旅</w:t>
            </w:r>
            <w:r>
              <w:rPr>
                <w:spacing w:val="1"/>
              </w:rPr>
              <w:t xml:space="preserve">  </w:t>
            </w:r>
            <w:r>
              <w:rPr>
                <w:spacing w:val="-2"/>
              </w:rPr>
              <w:t>行社，应当增存旅游</w:t>
            </w:r>
          </w:p>
          <w:p>
            <w:pPr>
              <w:pStyle w:val="TableText"/>
              <w:ind w:left="32" w:right="29" w:firstLine="20"/>
              <w:spacing w:before="41" w:line="268" w:lineRule="auto"/>
              <w:rPr/>
            </w:pPr>
            <w:r>
              <w:rPr>
                <w:spacing w:val="1"/>
              </w:rPr>
              <w:t>服务质量保证金人民币</w:t>
            </w:r>
            <w:r>
              <w:rPr>
                <w:spacing w:val="7"/>
              </w:rPr>
              <w:t xml:space="preserve"> </w:t>
            </w:r>
            <w:r>
              <w:rPr>
                <w:spacing w:val="3"/>
              </w:rPr>
              <w:t>120万元。旅行社每设</w:t>
            </w:r>
            <w:r>
              <w:rPr>
                <w:spacing w:val="4"/>
              </w:rPr>
              <w:t xml:space="preserve">  </w:t>
            </w:r>
            <w:r>
              <w:rPr>
                <w:spacing w:val="1"/>
              </w:rPr>
              <w:t>立一个经营国内旅游业</w:t>
            </w:r>
            <w:r>
              <w:rPr>
                <w:spacing w:val="3"/>
              </w:rPr>
              <w:t xml:space="preserve"> </w:t>
            </w:r>
            <w:r>
              <w:rPr>
                <w:spacing w:val="1"/>
              </w:rPr>
              <w:t>务和入境旅游业务的分 </w:t>
            </w:r>
            <w:r>
              <w:rPr>
                <w:spacing w:val="1"/>
              </w:rPr>
              <w:t>社，应当向其保证金账 </w:t>
            </w:r>
            <w:r>
              <w:rPr>
                <w:spacing w:val="13"/>
              </w:rPr>
              <w:t>户增存人民币5万元；</w:t>
            </w:r>
            <w:r>
              <w:rPr/>
              <w:t xml:space="preserve"> </w:t>
            </w:r>
            <w:r>
              <w:rPr>
                <w:spacing w:val="1"/>
              </w:rPr>
              <w:t>每设立一个经营出镜旅</w:t>
            </w:r>
            <w:r>
              <w:rPr>
                <w:spacing w:val="3"/>
              </w:rPr>
              <w:t xml:space="preserve"> </w:t>
            </w:r>
            <w:r>
              <w:rPr>
                <w:spacing w:val="3"/>
              </w:rPr>
              <w:t>游业务的分社，应当向</w:t>
            </w:r>
            <w:r>
              <w:rPr>
                <w:spacing w:val="4"/>
              </w:rPr>
              <w:t xml:space="preserve"> </w:t>
            </w:r>
            <w:r>
              <w:rPr>
                <w:spacing w:val="1"/>
              </w:rPr>
              <w:t>其保证金账户增存人民</w:t>
            </w:r>
            <w:r>
              <w:rPr>
                <w:spacing w:val="2"/>
              </w:rPr>
              <w:t xml:space="preserve"> </w:t>
            </w:r>
            <w:r>
              <w:rPr>
                <w:spacing w:val="1"/>
              </w:rPr>
              <w:t>币30万元</w:t>
            </w:r>
          </w:p>
        </w:tc>
        <w:tc>
          <w:tcPr>
            <w:tcW w:w="1648" w:type="dxa"/>
            <w:vAlign w:val="top"/>
          </w:tcPr>
          <w:p>
            <w:pPr>
              <w:spacing w:line="257" w:lineRule="auto"/>
              <w:rPr>
                <w:rFonts w:ascii="Arial"/>
                <w:sz w:val="21"/>
              </w:rPr>
            </w:pPr>
            <w:r/>
          </w:p>
          <w:p>
            <w:pPr>
              <w:spacing w:line="258" w:lineRule="auto"/>
              <w:rPr>
                <w:rFonts w:ascii="Arial"/>
                <w:sz w:val="21"/>
              </w:rPr>
            </w:pPr>
            <w:r/>
          </w:p>
          <w:p>
            <w:pPr>
              <w:pStyle w:val="TableText"/>
              <w:ind w:left="24" w:right="80" w:firstLine="40"/>
              <w:spacing w:before="49"/>
              <w:rPr/>
            </w:pPr>
            <w:r>
              <w:rPr>
                <w:spacing w:val="-1"/>
              </w:rPr>
              <w:t>现金或银行担保形式交</w:t>
            </w:r>
            <w:r>
              <w:rPr>
                <w:spacing w:val="1"/>
              </w:rPr>
              <w:t xml:space="preserve"> </w:t>
            </w:r>
            <w:r>
              <w:rPr/>
              <w:t>纳</w:t>
            </w:r>
          </w:p>
        </w:tc>
        <w:tc>
          <w:tcPr>
            <w:tcW w:w="1628" w:type="dxa"/>
            <w:vAlign w:val="top"/>
          </w:tcPr>
          <w:p>
            <w:pPr>
              <w:spacing w:line="274" w:lineRule="auto"/>
              <w:rPr>
                <w:rFonts w:ascii="Arial"/>
                <w:sz w:val="21"/>
              </w:rPr>
            </w:pPr>
            <w:r/>
          </w:p>
          <w:p>
            <w:pPr>
              <w:spacing w:line="275" w:lineRule="auto"/>
              <w:rPr>
                <w:rFonts w:ascii="Arial"/>
                <w:sz w:val="21"/>
              </w:rPr>
            </w:pPr>
            <w:r/>
          </w:p>
          <w:p>
            <w:pPr>
              <w:pStyle w:val="TableText"/>
              <w:ind w:left="26" w:right="34" w:firstLine="30"/>
              <w:spacing w:before="48" w:line="264" w:lineRule="auto"/>
              <w:jc w:val="both"/>
              <w:rPr/>
            </w:pPr>
            <w:r>
              <w:rPr>
                <w:spacing w:val="-1"/>
              </w:rPr>
              <w:t>旅行社应当自取得旅行</w:t>
            </w:r>
            <w:r>
              <w:rPr>
                <w:spacing w:val="3"/>
              </w:rPr>
              <w:t xml:space="preserve"> </w:t>
            </w:r>
            <w:r>
              <w:rPr>
                <w:spacing w:val="5"/>
              </w:rPr>
              <w:t>社业务经营许可证之日 </w:t>
            </w:r>
            <w:r>
              <w:rPr>
                <w:spacing w:val="6"/>
              </w:rPr>
              <w:t>起3个工作日内，在国</w:t>
            </w:r>
            <w:r>
              <w:rPr>
                <w:spacing w:val="1"/>
              </w:rPr>
              <w:t xml:space="preserve">  </w:t>
            </w:r>
            <w:r>
              <w:rPr>
                <w:spacing w:val="4"/>
              </w:rPr>
              <w:t>务院旅游行政主管部门</w:t>
            </w:r>
            <w:r>
              <w:rPr>
                <w:spacing w:val="5"/>
              </w:rPr>
              <w:t xml:space="preserve"> </w:t>
            </w:r>
            <w:r>
              <w:rPr>
                <w:spacing w:val="2"/>
              </w:rPr>
              <w:t>指定的银行开设专门的</w:t>
            </w:r>
            <w:r>
              <w:rPr>
                <w:spacing w:val="1"/>
              </w:rPr>
              <w:t xml:space="preserve"> </w:t>
            </w:r>
            <w:r>
              <w:rPr>
                <w:spacing w:val="2"/>
              </w:rPr>
              <w:t>旅游服务质量保证金账</w:t>
            </w:r>
            <w:r>
              <w:rPr>
                <w:spacing w:val="3"/>
              </w:rPr>
              <w:t xml:space="preserve"> </w:t>
            </w:r>
            <w:r>
              <w:rPr>
                <w:spacing w:val="2"/>
              </w:rPr>
              <w:t>户，存入旅游服务质量 </w:t>
            </w:r>
            <w:r>
              <w:rPr>
                <w:spacing w:val="2"/>
              </w:rPr>
              <w:t>保证金，或者向做出许 </w:t>
            </w:r>
            <w:r>
              <w:rPr>
                <w:spacing w:val="4"/>
              </w:rPr>
              <w:t>可的旅游行政管理部门</w:t>
            </w:r>
            <w:r>
              <w:rPr>
                <w:spacing w:val="5"/>
              </w:rPr>
              <w:t xml:space="preserve"> </w:t>
            </w:r>
            <w:r>
              <w:rPr>
                <w:spacing w:val="2"/>
              </w:rPr>
              <w:t>提交依法取得的担保额 </w:t>
            </w:r>
            <w:r>
              <w:rPr>
                <w:spacing w:val="2"/>
              </w:rPr>
              <w:t>度不低于相应保证金数</w:t>
            </w:r>
            <w:r>
              <w:rPr>
                <w:spacing w:val="3"/>
              </w:rPr>
              <w:t xml:space="preserve"> </w:t>
            </w:r>
            <w:r>
              <w:rPr>
                <w:spacing w:val="-1"/>
              </w:rPr>
              <w:t>额的银行担保</w:t>
            </w:r>
          </w:p>
        </w:tc>
        <w:tc>
          <w:tcPr>
            <w:tcW w:w="1633" w:type="dxa"/>
            <w:vAlign w:val="top"/>
          </w:tcPr>
          <w:p>
            <w:pPr>
              <w:spacing w:line="267" w:lineRule="auto"/>
              <w:rPr>
                <w:rFonts w:ascii="Arial"/>
                <w:sz w:val="21"/>
              </w:rPr>
            </w:pPr>
            <w:r/>
          </w:p>
          <w:p>
            <w:pPr>
              <w:spacing w:line="267" w:lineRule="auto"/>
              <w:rPr>
                <w:rFonts w:ascii="Arial"/>
                <w:sz w:val="21"/>
              </w:rPr>
            </w:pPr>
            <w:r/>
          </w:p>
          <w:p>
            <w:pPr>
              <w:pStyle w:val="TableText"/>
              <w:ind w:left="18" w:right="58" w:firstLine="40"/>
              <w:spacing w:before="48" w:line="258" w:lineRule="auto"/>
              <w:rPr/>
            </w:pPr>
            <w:r>
              <w:rPr>
                <w:spacing w:val="-1"/>
              </w:rPr>
              <w:t>旅行社自交纳或者补足</w:t>
            </w:r>
            <w:r>
              <w:rPr>
                <w:spacing w:val="3"/>
              </w:rPr>
              <w:t xml:space="preserve"> </w:t>
            </w:r>
            <w:r>
              <w:rPr>
                <w:spacing w:val="3"/>
              </w:rPr>
              <w:t>旅游服务质量保证金之 </w:t>
            </w:r>
            <w:r>
              <w:rPr>
                <w:spacing w:val="4"/>
              </w:rPr>
              <w:t>日起三年内未因侵害旅 </w:t>
            </w:r>
            <w:r>
              <w:rPr>
                <w:spacing w:val="3"/>
              </w:rPr>
              <w:t>游者合法权益受到行政 </w:t>
            </w:r>
            <w:r>
              <w:rPr>
                <w:spacing w:val="-1"/>
              </w:rPr>
              <w:t>机关罚款以上处罚的</w:t>
            </w:r>
          </w:p>
          <w:p>
            <w:pPr>
              <w:pStyle w:val="TableText"/>
              <w:ind w:left="18" w:right="68" w:firstLine="40"/>
              <w:spacing w:before="43" w:line="260" w:lineRule="auto"/>
              <w:rPr/>
            </w:pPr>
            <w:r>
              <w:rPr>
                <w:spacing w:val="-1"/>
              </w:rPr>
              <w:t>旅游行政管理部门应当</w:t>
            </w:r>
            <w:r>
              <w:rPr>
                <w:spacing w:val="3"/>
              </w:rPr>
              <w:t xml:space="preserve"> </w:t>
            </w:r>
            <w:r>
              <w:rPr>
                <w:spacing w:val="3"/>
              </w:rPr>
              <w:t>将保证金的交存数额降</w:t>
            </w:r>
            <w:r>
              <w:rPr>
                <w:spacing w:val="4"/>
              </w:rPr>
              <w:t xml:space="preserve"> </w:t>
            </w:r>
            <w:r>
              <w:rPr>
                <w:spacing w:val="-1"/>
              </w:rPr>
              <w:t>低50%,并向社会公告。</w:t>
            </w:r>
            <w:r>
              <w:rPr>
                <w:spacing w:val="5"/>
              </w:rPr>
              <w:t xml:space="preserve"> </w:t>
            </w:r>
            <w:r>
              <w:rPr>
                <w:spacing w:val="3"/>
              </w:rPr>
              <w:t>旅行社可凭省、自治区 </w:t>
            </w:r>
            <w:r>
              <w:rPr>
                <w:spacing w:val="1"/>
              </w:rPr>
              <w:t>直辖市旅游行政管理</w:t>
            </w:r>
          </w:p>
          <w:p>
            <w:pPr>
              <w:pStyle w:val="TableText"/>
              <w:ind w:left="58" w:right="69"/>
              <w:spacing w:before="41" w:line="261" w:lineRule="auto"/>
              <w:rPr/>
            </w:pPr>
            <w:r>
              <w:rPr>
                <w:spacing w:val="-1"/>
              </w:rPr>
              <w:t>部门出具的凭证减少其</w:t>
            </w:r>
            <w:r>
              <w:rPr>
                <w:spacing w:val="1"/>
              </w:rPr>
              <w:t xml:space="preserve"> </w:t>
            </w:r>
            <w:r>
              <w:rPr>
                <w:spacing w:val="-1"/>
              </w:rPr>
              <w:t>保证金。旅行社不再从</w:t>
            </w:r>
            <w:r>
              <w:rPr>
                <w:spacing w:val="2"/>
              </w:rPr>
              <w:t xml:space="preserve"> </w:t>
            </w:r>
            <w:r>
              <w:rPr>
                <w:spacing w:val="-1"/>
              </w:rPr>
              <w:t>事旅游业务的，凭旅游</w:t>
            </w:r>
            <w:r>
              <w:rPr>
                <w:spacing w:val="3"/>
              </w:rPr>
              <w:t xml:space="preserve"> </w:t>
            </w:r>
            <w:r>
              <w:rPr>
                <w:spacing w:val="-1"/>
              </w:rPr>
              <w:t>行政管理部门出具的凭</w:t>
            </w:r>
            <w:r>
              <w:rPr/>
              <w:t xml:space="preserve"> </w:t>
            </w:r>
            <w:r>
              <w:rPr>
                <w:spacing w:val="-1"/>
              </w:rPr>
              <w:t>证，向银行取回保证金</w:t>
            </w:r>
          </w:p>
        </w:tc>
      </w:tr>
    </w:tbl>
    <w:p>
      <w:pPr>
        <w:pStyle w:val="BodyText"/>
        <w:rPr/>
      </w:pPr>
      <w:r/>
    </w:p>
    <w:p>
      <w:pPr>
        <w:sectPr>
          <w:pgSz w:w="11910" w:h="8220"/>
          <w:pgMar w:top="400" w:right="1135" w:bottom="400" w:left="801" w:header="0" w:footer="0" w:gutter="0"/>
        </w:sectPr>
        <w:rPr/>
      </w:pPr>
    </w:p>
    <w:p>
      <w:pPr>
        <w:spacing w:before="46"/>
        <w:rPr/>
      </w:pPr>
      <w:r>
        <mc:AlternateContent xmlns:mc="http://schemas.openxmlformats.org/markup-compatibility/2006">
          <mc:Choice Requires="wps">
            <w:drawing>
              <wp:anchor distT="0" distB="0" distL="0" distR="0" simplePos="0" relativeHeight="252018688" behindDoc="0" locked="0" layoutInCell="0" allowOverlap="1">
                <wp:simplePos x="0" y="0"/>
                <wp:positionH relativeFrom="page">
                  <wp:posOffset>470816</wp:posOffset>
                </wp:positionH>
                <wp:positionV relativeFrom="page">
                  <wp:posOffset>4382813</wp:posOffset>
                </wp:positionV>
                <wp:extent cx="172085" cy="156845"/>
                <wp:effectExtent l="0" t="0" r="0" b="0"/>
                <wp:wrapNone/>
                <wp:docPr id="532" name="TextBox 532"/>
                <wp:cNvGraphicFramePr/>
                <a:graphic>
                  <a:graphicData uri="http://schemas.microsoft.com/office/word/2010/wordprocessingShape">
                    <wps:wsp>
                      <wps:cNvSpPr txBox="1"/>
                      <wps:spPr>
                        <a:xfrm rot="5400000">
                          <a:off x="470816" y="4382813"/>
                          <a:ext cx="172085"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355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4" style="position:absolute;margin-left:37.0722pt;margin-top:345.103pt;mso-position-vertical-relative:page;mso-position-horizontal-relative:page;width:13.55pt;height:12.35pt;z-index:252018688;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3"/>
                        </w:rPr>
                        <w:t>355</w:t>
                      </w:r>
                    </w:p>
                  </w:txbxContent>
                </v:textbox>
              </v:shape>
            </w:pict>
          </mc:Fallback>
        </mc:AlternateContent>
      </w:r>
      <w:r/>
    </w:p>
    <w:p>
      <w:pPr>
        <w:spacing w:before="46"/>
        <w:rPr/>
      </w:pPr>
      <w:r/>
    </w:p>
    <w:tbl>
      <w:tblPr>
        <w:tblStyle w:val="TableNormal"/>
        <w:tblW w:w="9649" w:type="dxa"/>
        <w:tblInd w:w="29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679"/>
        <w:gridCol w:w="739"/>
        <w:gridCol w:w="1409"/>
        <w:gridCol w:w="1628"/>
        <w:gridCol w:w="1628"/>
        <w:gridCol w:w="1648"/>
        <w:gridCol w:w="1633"/>
      </w:tblGrid>
      <w:tr>
        <w:trPr>
          <w:trHeight w:val="474" w:hRule="atLeast"/>
        </w:trPr>
        <w:tc>
          <w:tcPr>
            <w:tcW w:w="285" w:type="dxa"/>
            <w:vAlign w:val="top"/>
            <w:textDirection w:val="tbRlV"/>
          </w:tcPr>
          <w:p>
            <w:pPr>
              <w:pStyle w:val="TableText"/>
              <w:ind w:left="27"/>
              <w:spacing w:before="70" w:line="217" w:lineRule="auto"/>
              <w:rPr/>
            </w:pPr>
            <w:r>
              <w:rPr/>
              <w:t>序</w:t>
            </w:r>
            <w:r>
              <w:rPr>
                <w:spacing w:val="36"/>
                <w:w w:val="101"/>
              </w:rPr>
              <w:t xml:space="preserve"> </w:t>
            </w:r>
            <w:r>
              <w:rPr/>
              <w:t>号</w:t>
            </w:r>
          </w:p>
        </w:tc>
        <w:tc>
          <w:tcPr>
            <w:tcW w:w="679" w:type="dxa"/>
            <w:vAlign w:val="top"/>
          </w:tcPr>
          <w:p>
            <w:pPr>
              <w:pStyle w:val="TableText"/>
              <w:ind w:left="30"/>
              <w:spacing w:before="161" w:line="220" w:lineRule="auto"/>
              <w:rPr/>
            </w:pPr>
            <w:r>
              <w:rPr>
                <w:spacing w:val="-2"/>
              </w:rPr>
              <w:t>项目名称</w:t>
            </w:r>
          </w:p>
        </w:tc>
        <w:tc>
          <w:tcPr>
            <w:tcW w:w="739" w:type="dxa"/>
            <w:vAlign w:val="top"/>
          </w:tcPr>
          <w:p>
            <w:pPr>
              <w:pStyle w:val="TableText"/>
              <w:ind w:left="60"/>
              <w:spacing w:before="161" w:line="220" w:lineRule="auto"/>
              <w:rPr/>
            </w:pPr>
            <w:r>
              <w:rPr>
                <w:spacing w:val="-2"/>
              </w:rPr>
              <w:t>设立单位</w:t>
            </w:r>
          </w:p>
        </w:tc>
        <w:tc>
          <w:tcPr>
            <w:tcW w:w="1409" w:type="dxa"/>
            <w:vAlign w:val="top"/>
          </w:tcPr>
          <w:p>
            <w:pPr>
              <w:pStyle w:val="TableText"/>
              <w:ind w:left="391"/>
              <w:spacing w:before="160" w:line="219" w:lineRule="auto"/>
              <w:rPr/>
            </w:pPr>
            <w:r>
              <w:rPr>
                <w:spacing w:val="-2"/>
              </w:rPr>
              <w:t>设立依据</w:t>
            </w:r>
          </w:p>
        </w:tc>
        <w:tc>
          <w:tcPr>
            <w:tcW w:w="1628" w:type="dxa"/>
            <w:vAlign w:val="top"/>
          </w:tcPr>
          <w:p>
            <w:pPr>
              <w:pStyle w:val="TableText"/>
              <w:ind w:left="502"/>
              <w:spacing w:before="161" w:line="219" w:lineRule="auto"/>
              <w:rPr/>
            </w:pPr>
            <w:r>
              <w:rPr>
                <w:spacing w:val="-2"/>
              </w:rPr>
              <w:t>征收标准</w:t>
            </w:r>
          </w:p>
        </w:tc>
        <w:tc>
          <w:tcPr>
            <w:tcW w:w="1628" w:type="dxa"/>
            <w:vAlign w:val="top"/>
          </w:tcPr>
          <w:p>
            <w:pPr>
              <w:pStyle w:val="TableText"/>
              <w:ind w:left="524"/>
              <w:spacing w:before="161" w:line="219" w:lineRule="auto"/>
              <w:rPr/>
            </w:pPr>
            <w:r>
              <w:rPr>
                <w:spacing w:val="-2"/>
              </w:rPr>
              <w:t>征收方式</w:t>
            </w:r>
          </w:p>
        </w:tc>
        <w:tc>
          <w:tcPr>
            <w:tcW w:w="1648" w:type="dxa"/>
            <w:vAlign w:val="top"/>
          </w:tcPr>
          <w:p>
            <w:pPr>
              <w:pStyle w:val="TableText"/>
              <w:ind w:left="516"/>
              <w:spacing w:before="161" w:line="219" w:lineRule="auto"/>
              <w:rPr/>
            </w:pPr>
            <w:r>
              <w:rPr>
                <w:spacing w:val="-2"/>
              </w:rPr>
              <w:t>征收程序</w:t>
            </w:r>
          </w:p>
        </w:tc>
        <w:tc>
          <w:tcPr>
            <w:tcW w:w="1633" w:type="dxa"/>
            <w:vAlign w:val="top"/>
          </w:tcPr>
          <w:p>
            <w:pPr>
              <w:pStyle w:val="TableText"/>
              <w:ind w:left="508"/>
              <w:spacing w:before="163" w:line="221" w:lineRule="auto"/>
              <w:rPr/>
            </w:pPr>
            <w:r>
              <w:rPr>
                <w:spacing w:val="3"/>
              </w:rPr>
              <w:t>返还时间</w:t>
            </w:r>
          </w:p>
        </w:tc>
      </w:tr>
      <w:tr>
        <w:trPr>
          <w:trHeight w:val="1796" w:hRule="atLeast"/>
        </w:trPr>
        <w:tc>
          <w:tcPr>
            <w:tcW w:w="285" w:type="dxa"/>
            <w:vAlign w:val="top"/>
          </w:tcPr>
          <w:p>
            <w:pPr>
              <w:pStyle w:val="TableText"/>
              <w:ind w:left="55"/>
              <w:spacing w:before="235" w:line="184" w:lineRule="auto"/>
              <w:rPr/>
            </w:pPr>
            <w:r>
              <w:rPr>
                <w:spacing w:val="-2"/>
              </w:rPr>
              <w:t>21</w:t>
            </w:r>
          </w:p>
        </w:tc>
        <w:tc>
          <w:tcPr>
            <w:tcW w:w="679" w:type="dxa"/>
            <w:vAlign w:val="top"/>
          </w:tcPr>
          <w:p>
            <w:pPr>
              <w:pStyle w:val="TableText"/>
              <w:ind w:left="10" w:right="18" w:firstLine="20"/>
              <w:spacing w:before="177" w:line="262" w:lineRule="auto"/>
              <w:jc w:val="both"/>
              <w:rPr/>
            </w:pPr>
            <w:r>
              <w:rPr>
                <w:spacing w:val="5"/>
              </w:rPr>
              <w:t>保险公司</w:t>
            </w:r>
            <w:r>
              <w:rPr/>
              <w:t xml:space="preserve"> </w:t>
            </w:r>
            <w:r>
              <w:rPr>
                <w:spacing w:val="1"/>
              </w:rPr>
              <w:t>资本保证</w:t>
            </w:r>
            <w:r>
              <w:rPr>
                <w:spacing w:val="2"/>
              </w:rPr>
              <w:t xml:space="preserve"> </w:t>
            </w:r>
            <w:r>
              <w:rPr/>
              <w:t>金</w:t>
            </w:r>
          </w:p>
        </w:tc>
        <w:tc>
          <w:tcPr>
            <w:tcW w:w="739" w:type="dxa"/>
            <w:vAlign w:val="top"/>
          </w:tcPr>
          <w:p>
            <w:pPr>
              <w:pStyle w:val="TableText"/>
              <w:ind w:left="210" w:right="75" w:hanging="150"/>
              <w:spacing w:before="176" w:line="247" w:lineRule="auto"/>
              <w:rPr/>
            </w:pPr>
            <w:r>
              <w:rPr>
                <w:spacing w:val="-2"/>
              </w:rPr>
              <w:t>金融监管</w:t>
            </w:r>
            <w:r>
              <w:rPr/>
              <w:t xml:space="preserve"> </w:t>
            </w:r>
            <w:r>
              <w:rPr>
                <w:spacing w:val="6"/>
              </w:rPr>
              <w:t>总局</w:t>
            </w:r>
          </w:p>
        </w:tc>
        <w:tc>
          <w:tcPr>
            <w:tcW w:w="1409" w:type="dxa"/>
            <w:vAlign w:val="top"/>
          </w:tcPr>
          <w:p>
            <w:pPr>
              <w:pStyle w:val="TableText"/>
              <w:ind w:left="44" w:right="83" w:hanging="44"/>
              <w:spacing w:before="176"/>
              <w:rPr/>
            </w:pPr>
            <w:r>
              <w:rPr>
                <w:spacing w:val="-4"/>
              </w:rPr>
              <w:t>《中华人民共和国保</w:t>
            </w:r>
            <w:r>
              <w:rPr/>
              <w:t xml:space="preserve"> </w:t>
            </w:r>
            <w:r>
              <w:rPr>
                <w:spacing w:val="-6"/>
              </w:rPr>
              <w:t>险法》</w:t>
            </w:r>
          </w:p>
          <w:p>
            <w:pPr>
              <w:pStyle w:val="TableText"/>
              <w:ind w:left="44" w:right="25" w:hanging="44"/>
              <w:spacing w:before="71" w:line="258" w:lineRule="auto"/>
              <w:rPr/>
            </w:pPr>
            <w:r>
              <w:rPr>
                <w:spacing w:val="-2"/>
              </w:rPr>
              <w:t>《中国保监会关于印</w:t>
            </w:r>
            <w:r>
              <w:rPr/>
              <w:t xml:space="preserve"> </w:t>
            </w:r>
            <w:r>
              <w:rPr>
                <w:spacing w:val="-1"/>
              </w:rPr>
              <w:t>发&lt;保险公司资本保 </w:t>
            </w:r>
            <w:r>
              <w:rPr>
                <w:spacing w:val="25"/>
              </w:rPr>
              <w:t>证金管理办法&gt;的</w:t>
            </w:r>
            <w:r>
              <w:rPr>
                <w:spacing w:val="3"/>
              </w:rPr>
              <w:t xml:space="preserve"> </w:t>
            </w:r>
            <w:r>
              <w:rPr>
                <w:spacing w:val="-3"/>
              </w:rPr>
              <w:t>通知》(保监发〔</w:t>
            </w:r>
          </w:p>
          <w:p>
            <w:pPr>
              <w:pStyle w:val="TableText"/>
              <w:ind w:left="12"/>
              <w:spacing w:before="41" w:line="221" w:lineRule="auto"/>
              <w:rPr/>
            </w:pPr>
            <w:r>
              <w:rPr>
                <w:spacing w:val="3"/>
              </w:rPr>
              <w:t>2015〕37号)</w:t>
            </w:r>
          </w:p>
        </w:tc>
        <w:tc>
          <w:tcPr>
            <w:tcW w:w="1628" w:type="dxa"/>
            <w:vAlign w:val="top"/>
          </w:tcPr>
          <w:p>
            <w:pPr>
              <w:pStyle w:val="TableText"/>
              <w:ind w:left="52"/>
              <w:spacing w:before="177" w:line="219" w:lineRule="auto"/>
              <w:rPr/>
            </w:pPr>
            <w:r>
              <w:rPr>
                <w:spacing w:val="-1"/>
              </w:rPr>
              <w:t>保险公司按照其注册资</w:t>
            </w:r>
          </w:p>
          <w:p>
            <w:pPr>
              <w:pStyle w:val="TableText"/>
              <w:ind w:left="12" w:right="106" w:firstLine="80"/>
              <w:spacing w:before="41" w:line="227" w:lineRule="auto"/>
              <w:rPr/>
            </w:pPr>
            <w:r>
              <w:rPr>
                <w:spacing w:val="-1"/>
              </w:rPr>
              <w:t>本总额的20%提取保证</w:t>
            </w:r>
            <w:r>
              <w:rPr>
                <w:spacing w:val="3"/>
              </w:rPr>
              <w:t xml:space="preserve"> </w:t>
            </w:r>
            <w:r>
              <w:rPr/>
              <w:t>金</w:t>
            </w:r>
          </w:p>
        </w:tc>
        <w:tc>
          <w:tcPr>
            <w:tcW w:w="1628" w:type="dxa"/>
            <w:vAlign w:val="top"/>
          </w:tcPr>
          <w:p>
            <w:pPr>
              <w:pStyle w:val="TableText"/>
              <w:ind w:left="24"/>
              <w:spacing w:before="177" w:line="219" w:lineRule="auto"/>
              <w:rPr/>
            </w:pPr>
            <w:r>
              <w:rPr>
                <w:spacing w:val="-1"/>
              </w:rPr>
              <w:t>现金形式缴存</w:t>
            </w:r>
          </w:p>
        </w:tc>
        <w:tc>
          <w:tcPr>
            <w:tcW w:w="1648" w:type="dxa"/>
            <w:vAlign w:val="top"/>
          </w:tcPr>
          <w:p>
            <w:pPr>
              <w:pStyle w:val="TableText"/>
              <w:ind w:left="36" w:right="77" w:firstLine="30"/>
              <w:spacing w:before="185" w:line="261" w:lineRule="auto"/>
              <w:rPr/>
            </w:pPr>
            <w:r>
              <w:rPr>
                <w:spacing w:val="-1"/>
              </w:rPr>
              <w:t>保险公司应在金融监管</w:t>
            </w:r>
            <w:r>
              <w:rPr>
                <w:spacing w:val="2"/>
              </w:rPr>
              <w:t xml:space="preserve"> </w:t>
            </w:r>
            <w:r>
              <w:rPr>
                <w:spacing w:val="1"/>
              </w:rPr>
              <w:t>总局批准开业后30个工</w:t>
            </w:r>
            <w:r>
              <w:rPr>
                <w:spacing w:val="8"/>
              </w:rPr>
              <w:t xml:space="preserve"> </w:t>
            </w:r>
            <w:r>
              <w:rPr>
                <w:spacing w:val="2"/>
              </w:rPr>
              <w:t>作日或批准增加注册资 </w:t>
            </w:r>
            <w:r>
              <w:rPr>
                <w:spacing w:val="-1"/>
              </w:rPr>
              <w:t>本(营运资本)后30个</w:t>
            </w:r>
          </w:p>
          <w:p>
            <w:pPr>
              <w:pStyle w:val="TableText"/>
              <w:ind w:left="66" w:right="78"/>
              <w:spacing w:before="41" w:line="254" w:lineRule="auto"/>
              <w:rPr/>
            </w:pPr>
            <w:r>
              <w:rPr>
                <w:spacing w:val="-1"/>
              </w:rPr>
              <w:t>工作日内，将资本保证</w:t>
            </w:r>
            <w:r>
              <w:rPr>
                <w:spacing w:val="1"/>
              </w:rPr>
              <w:t xml:space="preserve"> </w:t>
            </w:r>
            <w:r>
              <w:rPr>
                <w:spacing w:val="-1"/>
              </w:rPr>
              <w:t>金按时足额存入符合金</w:t>
            </w:r>
            <w:r>
              <w:rPr>
                <w:spacing w:val="1"/>
              </w:rPr>
              <w:t xml:space="preserve"> </w:t>
            </w:r>
            <w:r>
              <w:rPr>
                <w:spacing w:val="-1"/>
              </w:rPr>
              <w:t>融监管总局规定的银行</w:t>
            </w:r>
          </w:p>
        </w:tc>
        <w:tc>
          <w:tcPr>
            <w:tcW w:w="1633" w:type="dxa"/>
            <w:vAlign w:val="top"/>
          </w:tcPr>
          <w:p>
            <w:pPr>
              <w:pStyle w:val="TableText"/>
              <w:ind w:left="58"/>
              <w:spacing w:before="187" w:line="219" w:lineRule="auto"/>
              <w:rPr/>
            </w:pPr>
            <w:r>
              <w:rPr>
                <w:spacing w:val="-1"/>
              </w:rPr>
              <w:t>保险公司在清算时用来</w:t>
            </w:r>
          </w:p>
          <w:p>
            <w:pPr>
              <w:pStyle w:val="TableText"/>
              <w:ind w:left="58"/>
              <w:spacing w:before="51" w:line="219" w:lineRule="auto"/>
              <w:rPr/>
            </w:pPr>
            <w:r>
              <w:rPr>
                <w:spacing w:val="-1"/>
              </w:rPr>
              <w:t>偿还债务，或注册资本</w:t>
            </w:r>
          </w:p>
          <w:p>
            <w:pPr>
              <w:pStyle w:val="TableText"/>
              <w:ind w:left="139"/>
              <w:spacing w:before="43" w:line="220" w:lineRule="auto"/>
              <w:rPr/>
            </w:pPr>
            <w:r>
              <w:rPr/>
              <w:t>(营运资金)减少时可</w:t>
            </w:r>
          </w:p>
          <w:p>
            <w:pPr>
              <w:pStyle w:val="TableText"/>
              <w:ind w:left="28"/>
              <w:spacing w:before="39" w:line="219" w:lineRule="auto"/>
              <w:rPr/>
            </w:pPr>
            <w:r>
              <w:rPr>
                <w:spacing w:val="-1"/>
              </w:rPr>
              <w:t>动用资本保证金</w:t>
            </w:r>
          </w:p>
        </w:tc>
      </w:tr>
      <w:tr>
        <w:trPr>
          <w:trHeight w:val="2680" w:hRule="atLeast"/>
        </w:trPr>
        <w:tc>
          <w:tcPr>
            <w:tcW w:w="285" w:type="dxa"/>
            <w:vAlign w:val="top"/>
          </w:tcPr>
          <w:p>
            <w:pPr>
              <w:pStyle w:val="TableText"/>
              <w:ind w:left="55"/>
              <w:spacing w:before="249" w:line="183" w:lineRule="auto"/>
              <w:rPr/>
            </w:pPr>
            <w:r>
              <w:rPr>
                <w:spacing w:val="-2"/>
              </w:rPr>
              <w:t>22</w:t>
            </w:r>
          </w:p>
        </w:tc>
        <w:tc>
          <w:tcPr>
            <w:tcW w:w="679" w:type="dxa"/>
            <w:vAlign w:val="top"/>
          </w:tcPr>
          <w:p>
            <w:pPr>
              <w:pStyle w:val="TableText"/>
              <w:ind w:left="20" w:right="32" w:firstLine="10"/>
              <w:spacing w:before="191" w:line="258" w:lineRule="auto"/>
              <w:jc w:val="both"/>
              <w:rPr/>
            </w:pPr>
            <w:r>
              <w:rPr>
                <w:spacing w:val="-2"/>
              </w:rPr>
              <w:t>保险代理</w:t>
            </w:r>
            <w:r>
              <w:rPr/>
              <w:t xml:space="preserve"> </w:t>
            </w:r>
            <w:r>
              <w:rPr>
                <w:spacing w:val="1"/>
              </w:rPr>
              <w:t>机构和保</w:t>
            </w:r>
            <w:r>
              <w:rPr/>
              <w:t xml:space="preserve"> </w:t>
            </w:r>
            <w:r>
              <w:rPr>
                <w:spacing w:val="4"/>
              </w:rPr>
              <w:t>险经纪人</w:t>
            </w:r>
            <w:r>
              <w:rPr/>
              <w:t xml:space="preserve"> </w:t>
            </w:r>
            <w:r>
              <w:rPr>
                <w:spacing w:val="-2"/>
              </w:rPr>
              <w:t>保证金</w:t>
            </w:r>
          </w:p>
        </w:tc>
        <w:tc>
          <w:tcPr>
            <w:tcW w:w="739" w:type="dxa"/>
            <w:vAlign w:val="top"/>
          </w:tcPr>
          <w:p>
            <w:pPr>
              <w:pStyle w:val="TableText"/>
              <w:ind w:left="210" w:right="75" w:hanging="150"/>
              <w:spacing w:before="170" w:line="253" w:lineRule="auto"/>
              <w:rPr/>
            </w:pPr>
            <w:r>
              <w:rPr>
                <w:spacing w:val="-2"/>
              </w:rPr>
              <w:t>金融监管</w:t>
            </w:r>
            <w:r>
              <w:rPr/>
              <w:t xml:space="preserve"> </w:t>
            </w:r>
            <w:r>
              <w:rPr>
                <w:spacing w:val="6"/>
              </w:rPr>
              <w:t>总局</w:t>
            </w:r>
          </w:p>
        </w:tc>
        <w:tc>
          <w:tcPr>
            <w:tcW w:w="1409" w:type="dxa"/>
            <w:vAlign w:val="top"/>
          </w:tcPr>
          <w:p>
            <w:pPr>
              <w:pStyle w:val="TableText"/>
              <w:ind w:left="73" w:right="60" w:hanging="73"/>
              <w:spacing w:before="210" w:line="245" w:lineRule="auto"/>
              <w:jc w:val="both"/>
              <w:rPr/>
            </w:pPr>
            <w:r>
              <w:rPr>
                <w:spacing w:val="-4"/>
              </w:rPr>
              <w:t>《保险代理人监管规</w:t>
            </w:r>
            <w:r>
              <w:rPr/>
              <w:t xml:space="preserve"> </w:t>
            </w:r>
            <w:r>
              <w:rPr>
                <w:spacing w:val="-2"/>
              </w:rPr>
              <w:t>定》(中国银行保险</w:t>
            </w:r>
            <w:r>
              <w:rPr>
                <w:spacing w:val="6"/>
              </w:rPr>
              <w:t xml:space="preserve"> </w:t>
            </w:r>
            <w:r>
              <w:rPr>
                <w:spacing w:val="1"/>
              </w:rPr>
              <w:t>监督管理委员会令</w:t>
            </w:r>
          </w:p>
          <w:p>
            <w:pPr>
              <w:pStyle w:val="TableText"/>
              <w:ind w:left="12"/>
              <w:spacing w:before="43" w:line="219" w:lineRule="auto"/>
              <w:rPr/>
            </w:pPr>
            <w:r>
              <w:rPr>
                <w:spacing w:val="-1"/>
              </w:rPr>
              <w:t>2020年第11号</w:t>
            </w:r>
          </w:p>
          <w:p>
            <w:pPr>
              <w:pStyle w:val="TableText"/>
              <w:ind w:left="34" w:right="58" w:hanging="34"/>
              <w:spacing w:before="42" w:line="253" w:lineRule="auto"/>
              <w:rPr/>
            </w:pPr>
            <w:r>
              <w:rPr>
                <w:spacing w:val="-4"/>
              </w:rPr>
              <w:t>《保险经纪人监管规</w:t>
            </w:r>
            <w:r>
              <w:rPr/>
              <w:t xml:space="preserve"> </w:t>
            </w:r>
            <w:r>
              <w:rPr>
                <w:spacing w:val="3"/>
              </w:rPr>
              <w:t>定》(中国保险监督 </w:t>
            </w:r>
            <w:r>
              <w:rPr>
                <w:spacing w:val="-3"/>
              </w:rPr>
              <w:t>管理委员会令2018</w:t>
            </w:r>
          </w:p>
          <w:p>
            <w:pPr>
              <w:pStyle w:val="TableText"/>
              <w:ind w:left="12"/>
              <w:spacing w:before="43" w:line="219" w:lineRule="auto"/>
              <w:rPr/>
            </w:pPr>
            <w:r>
              <w:rPr>
                <w:spacing w:val="-2"/>
              </w:rPr>
              <w:t>年第3号</w:t>
            </w:r>
          </w:p>
        </w:tc>
        <w:tc>
          <w:tcPr>
            <w:tcW w:w="1628" w:type="dxa"/>
            <w:vAlign w:val="top"/>
          </w:tcPr>
          <w:p>
            <w:pPr>
              <w:pStyle w:val="TableText"/>
              <w:ind w:left="22" w:right="71" w:firstLine="30"/>
              <w:spacing w:before="210" w:line="254" w:lineRule="auto"/>
              <w:jc w:val="both"/>
              <w:rPr/>
            </w:pPr>
            <w:r>
              <w:rPr>
                <w:spacing w:val="-1"/>
              </w:rPr>
              <w:t>按保险专业代理机构和</w:t>
            </w:r>
            <w:r>
              <w:rPr>
                <w:spacing w:val="1"/>
              </w:rPr>
              <w:t xml:space="preserve"> </w:t>
            </w:r>
            <w:r>
              <w:rPr>
                <w:spacing w:val="2"/>
              </w:rPr>
              <w:t>保险经纪人注册资本的 </w:t>
            </w:r>
            <w:r>
              <w:rPr>
                <w:spacing w:val="-2"/>
              </w:rPr>
              <w:t>5%缴存保证金</w:t>
            </w:r>
          </w:p>
        </w:tc>
        <w:tc>
          <w:tcPr>
            <w:tcW w:w="1628" w:type="dxa"/>
            <w:vAlign w:val="top"/>
          </w:tcPr>
          <w:p>
            <w:pPr>
              <w:pStyle w:val="TableText"/>
              <w:ind w:left="24"/>
              <w:spacing w:before="211" w:line="219" w:lineRule="auto"/>
              <w:rPr/>
            </w:pPr>
            <w:r>
              <w:rPr>
                <w:spacing w:val="-1"/>
              </w:rPr>
              <w:t>现金形式缴存</w:t>
            </w:r>
          </w:p>
        </w:tc>
        <w:tc>
          <w:tcPr>
            <w:tcW w:w="1648" w:type="dxa"/>
            <w:vAlign w:val="top"/>
          </w:tcPr>
          <w:p>
            <w:pPr>
              <w:pStyle w:val="TableText"/>
              <w:ind w:left="66" w:right="35"/>
              <w:spacing w:before="193" w:line="262" w:lineRule="auto"/>
              <w:jc w:val="both"/>
              <w:rPr/>
            </w:pPr>
            <w:r>
              <w:rPr>
                <w:spacing w:val="-1"/>
              </w:rPr>
              <w:t>保险专业代理机构、保</w:t>
            </w:r>
            <w:r>
              <w:rPr>
                <w:spacing w:val="2"/>
              </w:rPr>
              <w:t xml:space="preserve"> </w:t>
            </w:r>
            <w:r>
              <w:rPr/>
              <w:t>险经纪人应当自取得许</w:t>
            </w:r>
            <w:r>
              <w:rPr>
                <w:spacing w:val="4"/>
              </w:rPr>
              <w:t xml:space="preserve"> </w:t>
            </w:r>
            <w:r>
              <w:rPr>
                <w:spacing w:val="1"/>
              </w:rPr>
              <w:t>可证之日起20日内，以 </w:t>
            </w:r>
            <w:r>
              <w:rPr>
                <w:spacing w:val="-1"/>
              </w:rPr>
              <w:t>银行存款形式专户存储</w:t>
            </w:r>
            <w:r>
              <w:rPr>
                <w:spacing w:val="2"/>
              </w:rPr>
              <w:t xml:space="preserve"> </w:t>
            </w:r>
            <w:r>
              <w:rPr>
                <w:spacing w:val="-2"/>
              </w:rPr>
              <w:t>到商业银行或以保监会 </w:t>
            </w:r>
            <w:r>
              <w:rPr>
                <w:spacing w:val="3"/>
              </w:rPr>
              <w:t>认可的其他形式缴存，</w:t>
            </w:r>
            <w:r>
              <w:rPr>
                <w:spacing w:val="4"/>
              </w:rPr>
              <w:t xml:space="preserve"> </w:t>
            </w:r>
            <w:r>
              <w:rPr>
                <w:spacing w:val="-2"/>
              </w:rPr>
              <w:t>并自缴存保证金之日起 </w:t>
            </w:r>
            <w:r>
              <w:rPr/>
              <w:t>10日内，将保证金协议</w:t>
            </w:r>
            <w:r>
              <w:rPr>
                <w:spacing w:val="6"/>
              </w:rPr>
              <w:t xml:space="preserve"> </w:t>
            </w:r>
            <w:r>
              <w:rPr>
                <w:spacing w:val="-1"/>
              </w:rPr>
              <w:t>存款复印件、保证金入</w:t>
            </w:r>
          </w:p>
          <w:p>
            <w:pPr>
              <w:pStyle w:val="TableText"/>
              <w:ind w:left="46" w:right="79" w:firstLine="20"/>
              <w:spacing w:before="81" w:line="233" w:lineRule="auto"/>
              <w:rPr/>
            </w:pPr>
            <w:r>
              <w:rPr>
                <w:spacing w:val="-1"/>
              </w:rPr>
              <w:t>账原始凭证复印件报送</w:t>
            </w:r>
            <w:r>
              <w:rPr/>
              <w:t xml:space="preserve"> </w:t>
            </w:r>
            <w:r>
              <w:rPr>
                <w:spacing w:val="2"/>
              </w:rPr>
              <w:t>金融监管总局</w:t>
            </w:r>
          </w:p>
        </w:tc>
        <w:tc>
          <w:tcPr>
            <w:tcW w:w="1633" w:type="dxa"/>
            <w:vAlign w:val="top"/>
          </w:tcPr>
          <w:p>
            <w:pPr>
              <w:pStyle w:val="TableText"/>
              <w:ind w:left="58" w:right="50"/>
              <w:spacing w:before="189" w:line="265" w:lineRule="auto"/>
              <w:jc w:val="both"/>
              <w:rPr/>
            </w:pPr>
            <w:r>
              <w:rPr>
                <w:spacing w:val="-1"/>
              </w:rPr>
              <w:t>保险专业代理机构、保</w:t>
            </w:r>
            <w:r>
              <w:rPr>
                <w:spacing w:val="2"/>
              </w:rPr>
              <w:t xml:space="preserve"> </w:t>
            </w:r>
            <w:r>
              <w:rPr/>
              <w:t>险经纪人在注册资本减</w:t>
            </w:r>
            <w:r>
              <w:rPr>
                <w:spacing w:val="6"/>
              </w:rPr>
              <w:t xml:space="preserve"> </w:t>
            </w:r>
            <w:r>
              <w:rPr>
                <w:spacing w:val="-1"/>
              </w:rPr>
              <w:t>少、许可证被注销、投</w:t>
            </w:r>
            <w:r>
              <w:rPr>
                <w:spacing w:val="2"/>
              </w:rPr>
              <w:t xml:space="preserve"> </w:t>
            </w:r>
            <w:r>
              <w:rPr>
                <w:spacing w:val="-1"/>
              </w:rPr>
              <w:t>保符合条件的职业责任</w:t>
            </w:r>
            <w:r>
              <w:rPr>
                <w:spacing w:val="2"/>
              </w:rPr>
              <w:t xml:space="preserve"> </w:t>
            </w:r>
            <w:r>
              <w:rPr>
                <w:spacing w:val="1"/>
              </w:rPr>
              <w:t>险以及有金融监管总局</w:t>
            </w:r>
            <w:r>
              <w:rPr>
                <w:spacing w:val="2"/>
              </w:rPr>
              <w:t xml:space="preserve"> </w:t>
            </w:r>
            <w:r>
              <w:rPr>
                <w:spacing w:val="-1"/>
              </w:rPr>
              <w:t>规定的其他情形时可以</w:t>
            </w:r>
            <w:r>
              <w:rPr>
                <w:spacing w:val="2"/>
              </w:rPr>
              <w:t xml:space="preserve"> </w:t>
            </w:r>
            <w:r>
              <w:rPr>
                <w:spacing w:val="-1"/>
              </w:rPr>
              <w:t>动用保证金，并应自动</w:t>
            </w:r>
            <w:r>
              <w:rPr>
                <w:spacing w:val="2"/>
              </w:rPr>
              <w:t xml:space="preserve"> </w:t>
            </w:r>
            <w:r>
              <w:rPr>
                <w:spacing w:val="5"/>
              </w:rPr>
              <w:t>用保证金之日起5日内</w:t>
            </w:r>
            <w:r>
              <w:rPr>
                <w:spacing w:val="4"/>
              </w:rPr>
              <w:t xml:space="preserve"> </w:t>
            </w:r>
            <w:r>
              <w:rPr>
                <w:spacing w:val="1"/>
              </w:rPr>
              <w:t>书面报告金融监管总局</w:t>
            </w:r>
          </w:p>
        </w:tc>
      </w:tr>
    </w:tbl>
    <w:p>
      <w:pPr>
        <w:pStyle w:val="BodyText"/>
        <w:rPr/>
      </w:pPr>
      <w:r/>
    </w:p>
    <w:p>
      <w:pPr>
        <w:sectPr>
          <w:pgSz w:w="11910" w:h="8220"/>
          <w:pgMar w:top="400" w:right="1135" w:bottom="400" w:left="821" w:header="0" w:footer="0" w:gutter="0"/>
        </w:sectPr>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ind w:left="1223"/>
        <w:spacing w:before="69" w:line="222" w:lineRule="auto"/>
        <w:rPr>
          <w:rFonts w:ascii="SimHei" w:hAnsi="SimHei" w:eastAsia="SimHei" w:cs="SimHei"/>
          <w:sz w:val="21"/>
          <w:szCs w:val="21"/>
        </w:rPr>
      </w:pPr>
      <w:r>
        <w:rPr>
          <w:rFonts w:ascii="SimHei" w:hAnsi="SimHei" w:eastAsia="SimHei" w:cs="SimHei"/>
          <w:sz w:val="21"/>
          <w:szCs w:val="21"/>
          <w:b/>
          <w:bCs/>
          <w:spacing w:val="24"/>
        </w:rPr>
        <w:t>附录七：保障中小企业款项支付条例</w:t>
      </w:r>
    </w:p>
    <w:p>
      <w:pPr>
        <w:ind w:left="2099"/>
        <w:spacing w:before="29" w:line="225" w:lineRule="auto"/>
        <w:rPr>
          <w:rFonts w:ascii="KaiTi" w:hAnsi="KaiTi" w:eastAsia="KaiTi" w:cs="KaiTi"/>
          <w:sz w:val="21"/>
          <w:szCs w:val="21"/>
        </w:rPr>
      </w:pPr>
      <w:r>
        <w:rPr>
          <w:rFonts w:ascii="KaiTi" w:hAnsi="KaiTi" w:eastAsia="KaiTi" w:cs="KaiTi"/>
          <w:sz w:val="21"/>
          <w:szCs w:val="21"/>
          <w:spacing w:val="-4"/>
        </w:rPr>
        <w:t>(2020年9月1日起施行)</w:t>
      </w:r>
    </w:p>
    <w:p>
      <w:pPr>
        <w:pStyle w:val="BodyText"/>
        <w:spacing w:line="336" w:lineRule="auto"/>
        <w:rPr/>
      </w:pPr>
      <w:r/>
    </w:p>
    <w:p>
      <w:pPr>
        <w:ind w:right="76" w:firstLine="429"/>
        <w:spacing w:before="68" w:line="266" w:lineRule="auto"/>
        <w:rPr>
          <w:rFonts w:ascii="SimSun" w:hAnsi="SimSun" w:eastAsia="SimSun" w:cs="SimSun"/>
          <w:sz w:val="21"/>
          <w:szCs w:val="21"/>
        </w:rPr>
      </w:pPr>
      <w:r>
        <w:rPr>
          <w:rFonts w:ascii="SimSun" w:hAnsi="SimSun" w:eastAsia="SimSun" w:cs="SimSun"/>
          <w:sz w:val="21"/>
          <w:szCs w:val="21"/>
          <w:spacing w:val="4"/>
        </w:rPr>
        <w:t>第一条</w:t>
      </w:r>
      <w:r>
        <w:rPr>
          <w:rFonts w:ascii="SimSun" w:hAnsi="SimSun" w:eastAsia="SimSun" w:cs="SimSun"/>
          <w:sz w:val="21"/>
          <w:szCs w:val="21"/>
          <w:spacing w:val="119"/>
        </w:rPr>
        <w:t xml:space="preserve"> </w:t>
      </w:r>
      <w:r>
        <w:rPr>
          <w:rFonts w:ascii="SimSun" w:hAnsi="SimSun" w:eastAsia="SimSun" w:cs="SimSun"/>
          <w:sz w:val="21"/>
          <w:szCs w:val="21"/>
          <w:spacing w:val="4"/>
        </w:rPr>
        <w:t>为了促进机关、事业单位和大型企业及时支付中小企</w:t>
      </w:r>
      <w:r>
        <w:rPr>
          <w:rFonts w:ascii="SimSun" w:hAnsi="SimSun" w:eastAsia="SimSun" w:cs="SimSun"/>
          <w:sz w:val="21"/>
          <w:szCs w:val="21"/>
        </w:rPr>
        <w:t xml:space="preserve"> </w:t>
      </w:r>
      <w:r>
        <w:rPr>
          <w:rFonts w:ascii="SimSun" w:hAnsi="SimSun" w:eastAsia="SimSun" w:cs="SimSun"/>
          <w:sz w:val="21"/>
          <w:szCs w:val="21"/>
          <w:spacing w:val="4"/>
        </w:rPr>
        <w:t>业款项，维护中小企业合法权益，优化营商环境，根</w:t>
      </w:r>
      <w:r>
        <w:rPr>
          <w:rFonts w:ascii="SimSun" w:hAnsi="SimSun" w:eastAsia="SimSun" w:cs="SimSun"/>
          <w:sz w:val="21"/>
          <w:szCs w:val="21"/>
          <w:spacing w:val="3"/>
        </w:rPr>
        <w:t>据《中华人民</w:t>
      </w:r>
      <w:r>
        <w:rPr>
          <w:rFonts w:ascii="SimSun" w:hAnsi="SimSun" w:eastAsia="SimSun" w:cs="SimSun"/>
          <w:sz w:val="21"/>
          <w:szCs w:val="21"/>
        </w:rPr>
        <w:t xml:space="preserve"> </w:t>
      </w:r>
      <w:r>
        <w:rPr>
          <w:rFonts w:ascii="SimSun" w:hAnsi="SimSun" w:eastAsia="SimSun" w:cs="SimSun"/>
          <w:sz w:val="21"/>
          <w:szCs w:val="21"/>
          <w:spacing w:val="-2"/>
        </w:rPr>
        <w:t>共和国中小企业促进法》等法律，制定本条例。</w:t>
      </w:r>
    </w:p>
    <w:p>
      <w:pPr>
        <w:ind w:right="73" w:firstLine="429"/>
        <w:spacing w:before="60" w:line="259" w:lineRule="auto"/>
        <w:rPr>
          <w:rFonts w:ascii="SimSun" w:hAnsi="SimSun" w:eastAsia="SimSun" w:cs="SimSun"/>
          <w:sz w:val="21"/>
          <w:szCs w:val="21"/>
        </w:rPr>
      </w:pPr>
      <w:r>
        <w:rPr>
          <w:rFonts w:ascii="SimSun" w:hAnsi="SimSun" w:eastAsia="SimSun" w:cs="SimSun"/>
          <w:sz w:val="21"/>
          <w:szCs w:val="21"/>
          <w:spacing w:val="4"/>
        </w:rPr>
        <w:t>第二条</w:t>
      </w:r>
      <w:r>
        <w:rPr>
          <w:rFonts w:ascii="SimSun" w:hAnsi="SimSun" w:eastAsia="SimSun" w:cs="SimSun"/>
          <w:sz w:val="21"/>
          <w:szCs w:val="21"/>
          <w:spacing w:val="121"/>
        </w:rPr>
        <w:t xml:space="preserve"> </w:t>
      </w:r>
      <w:r>
        <w:rPr>
          <w:rFonts w:ascii="SimSun" w:hAnsi="SimSun" w:eastAsia="SimSun" w:cs="SimSun"/>
          <w:sz w:val="21"/>
          <w:szCs w:val="21"/>
          <w:spacing w:val="4"/>
        </w:rPr>
        <w:t>机关、事业单位和大型企业采购货物、工程、服务支</w:t>
      </w:r>
      <w:r>
        <w:rPr>
          <w:rFonts w:ascii="SimSun" w:hAnsi="SimSun" w:eastAsia="SimSun" w:cs="SimSun"/>
          <w:sz w:val="21"/>
          <w:szCs w:val="21"/>
        </w:rPr>
        <w:t xml:space="preserve"> </w:t>
      </w:r>
      <w:r>
        <w:rPr>
          <w:rFonts w:ascii="SimSun" w:hAnsi="SimSun" w:eastAsia="SimSun" w:cs="SimSun"/>
          <w:sz w:val="21"/>
          <w:szCs w:val="21"/>
          <w:spacing w:val="-3"/>
        </w:rPr>
        <w:t>付中小企业款项，应当遵守本条例。</w:t>
      </w:r>
    </w:p>
    <w:p>
      <w:pPr>
        <w:ind w:right="68" w:firstLine="429"/>
        <w:spacing w:before="60" w:line="261" w:lineRule="auto"/>
        <w:rPr>
          <w:rFonts w:ascii="SimSun" w:hAnsi="SimSun" w:eastAsia="SimSun" w:cs="SimSun"/>
          <w:sz w:val="21"/>
          <w:szCs w:val="21"/>
        </w:rPr>
      </w:pPr>
      <w:r>
        <w:rPr>
          <w:rFonts w:ascii="SimSun" w:hAnsi="SimSun" w:eastAsia="SimSun" w:cs="SimSun"/>
          <w:sz w:val="21"/>
          <w:szCs w:val="21"/>
          <w:spacing w:val="8"/>
        </w:rPr>
        <w:t>第三条 本条例所称中小企业，是指在中华人民共和国境内依</w:t>
      </w:r>
      <w:r>
        <w:rPr>
          <w:rFonts w:ascii="SimSun" w:hAnsi="SimSun" w:eastAsia="SimSun" w:cs="SimSun"/>
          <w:sz w:val="21"/>
          <w:szCs w:val="21"/>
          <w:spacing w:val="10"/>
        </w:rPr>
        <w:t xml:space="preserve"> </w:t>
      </w:r>
      <w:r>
        <w:rPr>
          <w:rFonts w:ascii="SimSun" w:hAnsi="SimSun" w:eastAsia="SimSun" w:cs="SimSun"/>
          <w:sz w:val="21"/>
          <w:szCs w:val="21"/>
          <w:spacing w:val="5"/>
        </w:rPr>
        <w:t>法设立，依据国务院批准的中小企业划分标准</w:t>
      </w:r>
      <w:r>
        <w:rPr>
          <w:rFonts w:ascii="SimSun" w:hAnsi="SimSun" w:eastAsia="SimSun" w:cs="SimSun"/>
          <w:sz w:val="21"/>
          <w:szCs w:val="21"/>
          <w:spacing w:val="4"/>
        </w:rPr>
        <w:t>确定的中型企业、小</w:t>
      </w:r>
      <w:r>
        <w:rPr>
          <w:rFonts w:ascii="SimSun" w:hAnsi="SimSun" w:eastAsia="SimSun" w:cs="SimSun"/>
          <w:sz w:val="21"/>
          <w:szCs w:val="21"/>
        </w:rPr>
        <w:t xml:space="preserve"> </w:t>
      </w:r>
      <w:r>
        <w:rPr>
          <w:rFonts w:ascii="SimSun" w:hAnsi="SimSun" w:eastAsia="SimSun" w:cs="SimSun"/>
          <w:sz w:val="21"/>
          <w:szCs w:val="21"/>
          <w:spacing w:val="-2"/>
        </w:rPr>
        <w:t>型企业和微型企业；所称大型企业，是指中小企业以外的企业。</w:t>
      </w:r>
    </w:p>
    <w:p>
      <w:pPr>
        <w:ind w:right="87" w:firstLine="429"/>
        <w:spacing w:before="91" w:line="261" w:lineRule="auto"/>
        <w:rPr>
          <w:rFonts w:ascii="SimSun" w:hAnsi="SimSun" w:eastAsia="SimSun" w:cs="SimSun"/>
          <w:sz w:val="21"/>
          <w:szCs w:val="21"/>
        </w:rPr>
      </w:pPr>
      <w:r>
        <w:rPr>
          <w:rFonts w:ascii="SimSun" w:hAnsi="SimSun" w:eastAsia="SimSun" w:cs="SimSun"/>
          <w:sz w:val="21"/>
          <w:szCs w:val="21"/>
          <w:spacing w:val="4"/>
        </w:rPr>
        <w:t>中小企业、大型企业依合同订立时的企业规模类型确定。</w:t>
      </w:r>
      <w:r>
        <w:rPr>
          <w:rFonts w:ascii="SimSun" w:hAnsi="SimSun" w:eastAsia="SimSun" w:cs="SimSun"/>
          <w:sz w:val="21"/>
          <w:szCs w:val="21"/>
          <w:spacing w:val="3"/>
        </w:rPr>
        <w:t>中小</w:t>
      </w:r>
      <w:r>
        <w:rPr>
          <w:rFonts w:ascii="SimSun" w:hAnsi="SimSun" w:eastAsia="SimSun" w:cs="SimSun"/>
          <w:sz w:val="21"/>
          <w:szCs w:val="21"/>
        </w:rPr>
        <w:t xml:space="preserve"> </w:t>
      </w:r>
      <w:r>
        <w:rPr>
          <w:rFonts w:ascii="SimSun" w:hAnsi="SimSun" w:eastAsia="SimSun" w:cs="SimSun"/>
          <w:sz w:val="21"/>
          <w:szCs w:val="21"/>
          <w:spacing w:val="4"/>
        </w:rPr>
        <w:t>企业与机关、事业单位、大型企业订立合同时，应当主动告知其属</w:t>
      </w:r>
      <w:r>
        <w:rPr>
          <w:rFonts w:ascii="SimSun" w:hAnsi="SimSun" w:eastAsia="SimSun" w:cs="SimSun"/>
          <w:sz w:val="21"/>
          <w:szCs w:val="21"/>
        </w:rPr>
        <w:t xml:space="preserve"> </w:t>
      </w:r>
      <w:r>
        <w:rPr>
          <w:rFonts w:ascii="SimSun" w:hAnsi="SimSun" w:eastAsia="SimSun" w:cs="SimSun"/>
          <w:sz w:val="21"/>
          <w:szCs w:val="21"/>
          <w:spacing w:val="-6"/>
        </w:rPr>
        <w:t>于中小企业。</w:t>
      </w:r>
    </w:p>
    <w:p>
      <w:pPr>
        <w:ind w:firstLine="429"/>
        <w:spacing w:before="88" w:line="266" w:lineRule="auto"/>
        <w:rPr>
          <w:rFonts w:ascii="SimSun" w:hAnsi="SimSun" w:eastAsia="SimSun" w:cs="SimSun"/>
          <w:sz w:val="21"/>
          <w:szCs w:val="21"/>
        </w:rPr>
      </w:pPr>
      <w:r>
        <w:rPr>
          <w:rFonts w:ascii="SimSun" w:hAnsi="SimSun" w:eastAsia="SimSun" w:cs="SimSun"/>
          <w:sz w:val="21"/>
          <w:szCs w:val="21"/>
        </w:rPr>
        <w:t>第四条</w:t>
      </w:r>
      <w:r>
        <w:rPr>
          <w:rFonts w:ascii="SimSun" w:hAnsi="SimSun" w:eastAsia="SimSun" w:cs="SimSun"/>
          <w:sz w:val="21"/>
          <w:szCs w:val="21"/>
          <w:spacing w:val="94"/>
        </w:rPr>
        <w:t xml:space="preserve"> </w:t>
      </w:r>
      <w:r>
        <w:rPr>
          <w:rFonts w:ascii="SimSun" w:hAnsi="SimSun" w:eastAsia="SimSun" w:cs="SimSun"/>
          <w:sz w:val="21"/>
          <w:szCs w:val="21"/>
        </w:rPr>
        <w:t>国务院负责中小企业促进工作综合管理的部</w:t>
      </w:r>
      <w:r>
        <w:rPr>
          <w:rFonts w:ascii="SimSun" w:hAnsi="SimSun" w:eastAsia="SimSun" w:cs="SimSun"/>
          <w:sz w:val="21"/>
          <w:szCs w:val="21"/>
          <w:spacing w:val="-1"/>
        </w:rPr>
        <w:t>门对机关、</w:t>
      </w:r>
      <w:r>
        <w:rPr>
          <w:rFonts w:ascii="SimSun" w:hAnsi="SimSun" w:eastAsia="SimSun" w:cs="SimSun"/>
          <w:sz w:val="21"/>
          <w:szCs w:val="21"/>
        </w:rPr>
        <w:t xml:space="preserve"> </w:t>
      </w:r>
      <w:r>
        <w:rPr>
          <w:rFonts w:ascii="SimSun" w:hAnsi="SimSun" w:eastAsia="SimSun" w:cs="SimSun"/>
          <w:sz w:val="21"/>
          <w:szCs w:val="21"/>
          <w:spacing w:val="4"/>
        </w:rPr>
        <w:t>事业单位和大型企业及时支付中小企业款项工</w:t>
      </w:r>
      <w:r>
        <w:rPr>
          <w:rFonts w:ascii="SimSun" w:hAnsi="SimSun" w:eastAsia="SimSun" w:cs="SimSun"/>
          <w:sz w:val="21"/>
          <w:szCs w:val="21"/>
          <w:spacing w:val="3"/>
        </w:rPr>
        <w:t>作进行宏观指导、综</w:t>
      </w:r>
      <w:r>
        <w:rPr>
          <w:rFonts w:ascii="SimSun" w:hAnsi="SimSun" w:eastAsia="SimSun" w:cs="SimSun"/>
          <w:sz w:val="21"/>
          <w:szCs w:val="21"/>
        </w:rPr>
        <w:t xml:space="preserve">  </w:t>
      </w:r>
      <w:r>
        <w:rPr>
          <w:rFonts w:ascii="SimSun" w:hAnsi="SimSun" w:eastAsia="SimSun" w:cs="SimSun"/>
          <w:sz w:val="21"/>
          <w:szCs w:val="21"/>
          <w:spacing w:val="4"/>
        </w:rPr>
        <w:t>合协调、监督检查；国务院有关部门在各自职责</w:t>
      </w:r>
      <w:r>
        <w:rPr>
          <w:rFonts w:ascii="SimSun" w:hAnsi="SimSun" w:eastAsia="SimSun" w:cs="SimSun"/>
          <w:sz w:val="21"/>
          <w:szCs w:val="21"/>
          <w:spacing w:val="3"/>
        </w:rPr>
        <w:t>范围内，负责相关</w:t>
      </w:r>
      <w:r>
        <w:rPr>
          <w:rFonts w:ascii="SimSun" w:hAnsi="SimSun" w:eastAsia="SimSun" w:cs="SimSun"/>
          <w:sz w:val="21"/>
          <w:szCs w:val="21"/>
        </w:rPr>
        <w:t xml:space="preserve">  </w:t>
      </w:r>
      <w:r>
        <w:rPr>
          <w:rFonts w:ascii="SimSun" w:hAnsi="SimSun" w:eastAsia="SimSun" w:cs="SimSun"/>
          <w:sz w:val="21"/>
          <w:szCs w:val="21"/>
          <w:spacing w:val="-7"/>
        </w:rPr>
        <w:t>管理工作。</w:t>
      </w:r>
    </w:p>
    <w:p>
      <w:pPr>
        <w:ind w:right="95" w:firstLine="429"/>
        <w:spacing w:before="89" w:line="251" w:lineRule="auto"/>
        <w:rPr>
          <w:rFonts w:ascii="SimSun" w:hAnsi="SimSun" w:eastAsia="SimSun" w:cs="SimSun"/>
          <w:sz w:val="21"/>
          <w:szCs w:val="21"/>
        </w:rPr>
      </w:pPr>
      <w:r>
        <w:rPr>
          <w:rFonts w:ascii="SimSun" w:hAnsi="SimSun" w:eastAsia="SimSun" w:cs="SimSun"/>
          <w:sz w:val="21"/>
          <w:szCs w:val="21"/>
          <w:spacing w:val="3"/>
        </w:rPr>
        <w:t>县级以上地方人民政府负责本行政区域内机关、事业单位和大</w:t>
      </w:r>
      <w:r>
        <w:rPr>
          <w:rFonts w:ascii="SimSun" w:hAnsi="SimSun" w:eastAsia="SimSun" w:cs="SimSun"/>
          <w:sz w:val="21"/>
          <w:szCs w:val="21"/>
          <w:spacing w:val="17"/>
        </w:rPr>
        <w:t xml:space="preserve"> </w:t>
      </w:r>
      <w:r>
        <w:rPr>
          <w:rFonts w:ascii="SimSun" w:hAnsi="SimSun" w:eastAsia="SimSun" w:cs="SimSun"/>
          <w:sz w:val="21"/>
          <w:szCs w:val="21"/>
          <w:spacing w:val="-3"/>
        </w:rPr>
        <w:t>型企业及时支付中小企业款项的管理工作。</w:t>
      </w:r>
    </w:p>
    <w:p>
      <w:pPr>
        <w:ind w:right="89" w:firstLine="429"/>
        <w:spacing w:before="80" w:line="266" w:lineRule="auto"/>
        <w:rPr>
          <w:rFonts w:ascii="SimSun" w:hAnsi="SimSun" w:eastAsia="SimSun" w:cs="SimSun"/>
          <w:sz w:val="21"/>
          <w:szCs w:val="21"/>
        </w:rPr>
      </w:pPr>
      <w:r>
        <w:rPr>
          <w:rFonts w:ascii="SimSun" w:hAnsi="SimSun" w:eastAsia="SimSun" w:cs="SimSun"/>
          <w:sz w:val="21"/>
          <w:szCs w:val="21"/>
          <w:spacing w:val="4"/>
        </w:rPr>
        <w:t>第五条</w:t>
      </w:r>
      <w:r>
        <w:rPr>
          <w:rFonts w:ascii="SimSun" w:hAnsi="SimSun" w:eastAsia="SimSun" w:cs="SimSun"/>
          <w:sz w:val="21"/>
          <w:szCs w:val="21"/>
          <w:spacing w:val="100"/>
        </w:rPr>
        <w:t xml:space="preserve"> </w:t>
      </w:r>
      <w:r>
        <w:rPr>
          <w:rFonts w:ascii="SimSun" w:hAnsi="SimSun" w:eastAsia="SimSun" w:cs="SimSun"/>
          <w:sz w:val="21"/>
          <w:szCs w:val="21"/>
          <w:spacing w:val="4"/>
        </w:rPr>
        <w:t>有关行业协会商会应当按照法律法规和组织章程，完</w:t>
      </w:r>
      <w:r>
        <w:rPr>
          <w:rFonts w:ascii="SimSun" w:hAnsi="SimSun" w:eastAsia="SimSun" w:cs="SimSun"/>
          <w:sz w:val="21"/>
          <w:szCs w:val="21"/>
        </w:rPr>
        <w:t xml:space="preserve"> </w:t>
      </w:r>
      <w:r>
        <w:rPr>
          <w:rFonts w:ascii="SimSun" w:hAnsi="SimSun" w:eastAsia="SimSun" w:cs="SimSun"/>
          <w:sz w:val="21"/>
          <w:szCs w:val="21"/>
          <w:spacing w:val="3"/>
        </w:rPr>
        <w:t>善行业自律，禁止本行业大型企业利用优势地位拒绝或者迟延支付</w:t>
      </w:r>
      <w:r>
        <w:rPr>
          <w:rFonts w:ascii="SimSun" w:hAnsi="SimSun" w:eastAsia="SimSun" w:cs="SimSun"/>
          <w:sz w:val="21"/>
          <w:szCs w:val="21"/>
        </w:rPr>
        <w:t xml:space="preserve"> </w:t>
      </w:r>
      <w:r>
        <w:rPr>
          <w:rFonts w:ascii="SimSun" w:hAnsi="SimSun" w:eastAsia="SimSun" w:cs="SimSun"/>
          <w:sz w:val="21"/>
          <w:szCs w:val="21"/>
          <w:spacing w:val="4"/>
        </w:rPr>
        <w:t>中小企业款项，规范引导其履行及时支付中小企业款项义务，</w:t>
      </w:r>
      <w:r>
        <w:rPr>
          <w:rFonts w:ascii="SimSun" w:hAnsi="SimSun" w:eastAsia="SimSun" w:cs="SimSun"/>
          <w:sz w:val="21"/>
          <w:szCs w:val="21"/>
          <w:spacing w:val="3"/>
        </w:rPr>
        <w:t>保护</w:t>
      </w:r>
      <w:r>
        <w:rPr>
          <w:rFonts w:ascii="SimSun" w:hAnsi="SimSun" w:eastAsia="SimSun" w:cs="SimSun"/>
          <w:sz w:val="21"/>
          <w:szCs w:val="21"/>
        </w:rPr>
        <w:t xml:space="preserve"> </w:t>
      </w:r>
      <w:r>
        <w:rPr>
          <w:rFonts w:ascii="SimSun" w:hAnsi="SimSun" w:eastAsia="SimSun" w:cs="SimSun"/>
          <w:sz w:val="21"/>
          <w:szCs w:val="21"/>
          <w:spacing w:val="-6"/>
        </w:rPr>
        <w:t>中小企业合法权益。</w:t>
      </w:r>
    </w:p>
    <w:p>
      <w:pPr>
        <w:ind w:right="73" w:firstLine="429"/>
        <w:spacing w:before="91" w:line="266" w:lineRule="auto"/>
        <w:rPr>
          <w:rFonts w:ascii="SimSun" w:hAnsi="SimSun" w:eastAsia="SimSun" w:cs="SimSun"/>
          <w:sz w:val="21"/>
          <w:szCs w:val="21"/>
        </w:rPr>
      </w:pPr>
      <w:r>
        <w:rPr>
          <w:rFonts w:ascii="SimSun" w:hAnsi="SimSun" w:eastAsia="SimSun" w:cs="SimSun"/>
          <w:sz w:val="21"/>
          <w:szCs w:val="21"/>
          <w:spacing w:val="4"/>
        </w:rPr>
        <w:t>第六条</w:t>
      </w:r>
      <w:r>
        <w:rPr>
          <w:rFonts w:ascii="SimSun" w:hAnsi="SimSun" w:eastAsia="SimSun" w:cs="SimSun"/>
          <w:sz w:val="21"/>
          <w:szCs w:val="21"/>
          <w:spacing w:val="121"/>
        </w:rPr>
        <w:t xml:space="preserve"> </w:t>
      </w:r>
      <w:r>
        <w:rPr>
          <w:rFonts w:ascii="SimSun" w:hAnsi="SimSun" w:eastAsia="SimSun" w:cs="SimSun"/>
          <w:sz w:val="21"/>
          <w:szCs w:val="21"/>
          <w:spacing w:val="4"/>
        </w:rPr>
        <w:t>机关、事业单位和大型企业不得要求中小企业接受不</w:t>
      </w:r>
      <w:r>
        <w:rPr>
          <w:rFonts w:ascii="SimSun" w:hAnsi="SimSun" w:eastAsia="SimSun" w:cs="SimSun"/>
          <w:sz w:val="21"/>
          <w:szCs w:val="21"/>
        </w:rPr>
        <w:t xml:space="preserve"> </w:t>
      </w:r>
      <w:r>
        <w:rPr>
          <w:rFonts w:ascii="SimSun" w:hAnsi="SimSun" w:eastAsia="SimSun" w:cs="SimSun"/>
          <w:sz w:val="21"/>
          <w:szCs w:val="21"/>
          <w:spacing w:val="4"/>
        </w:rPr>
        <w:t>合理的付款期限、方式、条件和违约责任等交易</w:t>
      </w:r>
      <w:r>
        <w:rPr>
          <w:rFonts w:ascii="SimSun" w:hAnsi="SimSun" w:eastAsia="SimSun" w:cs="SimSun"/>
          <w:sz w:val="21"/>
          <w:szCs w:val="21"/>
          <w:spacing w:val="3"/>
        </w:rPr>
        <w:t>条件，不得违约拖</w:t>
      </w:r>
      <w:r>
        <w:rPr>
          <w:rFonts w:ascii="SimSun" w:hAnsi="SimSun" w:eastAsia="SimSun" w:cs="SimSun"/>
          <w:sz w:val="21"/>
          <w:szCs w:val="21"/>
        </w:rPr>
        <w:t xml:space="preserve"> </w:t>
      </w:r>
      <w:r>
        <w:rPr>
          <w:rFonts w:ascii="SimSun" w:hAnsi="SimSun" w:eastAsia="SimSun" w:cs="SimSun"/>
          <w:sz w:val="21"/>
          <w:szCs w:val="21"/>
          <w:spacing w:val="-3"/>
        </w:rPr>
        <w:t>欠中小企业的货物、工程、服务款项。</w:t>
      </w:r>
    </w:p>
    <w:p>
      <w:pPr>
        <w:ind w:right="88" w:firstLine="429"/>
        <w:spacing w:before="60" w:line="259" w:lineRule="auto"/>
        <w:rPr>
          <w:rFonts w:ascii="SimSun" w:hAnsi="SimSun" w:eastAsia="SimSun" w:cs="SimSun"/>
          <w:sz w:val="21"/>
          <w:szCs w:val="21"/>
        </w:rPr>
      </w:pPr>
      <w:r>
        <w:rPr>
          <w:rFonts w:ascii="SimSun" w:hAnsi="SimSun" w:eastAsia="SimSun" w:cs="SimSun"/>
          <w:sz w:val="21"/>
          <w:szCs w:val="21"/>
          <w:spacing w:val="4"/>
        </w:rPr>
        <w:t>中小企业应当依法经营，诚实守信，按照合同约定提供</w:t>
      </w:r>
      <w:r>
        <w:rPr>
          <w:rFonts w:ascii="SimSun" w:hAnsi="SimSun" w:eastAsia="SimSun" w:cs="SimSun"/>
          <w:sz w:val="21"/>
          <w:szCs w:val="21"/>
          <w:spacing w:val="3"/>
        </w:rPr>
        <w:t>合格的</w:t>
      </w:r>
      <w:r>
        <w:rPr>
          <w:rFonts w:ascii="SimSun" w:hAnsi="SimSun" w:eastAsia="SimSun" w:cs="SimSun"/>
          <w:sz w:val="21"/>
          <w:szCs w:val="21"/>
        </w:rPr>
        <w:t xml:space="preserve"> </w:t>
      </w:r>
      <w:r>
        <w:rPr>
          <w:rFonts w:ascii="SimSun" w:hAnsi="SimSun" w:eastAsia="SimSun" w:cs="SimSun"/>
          <w:sz w:val="21"/>
          <w:szCs w:val="21"/>
          <w:spacing w:val="-5"/>
        </w:rPr>
        <w:t>货物、工程和服务。</w:t>
      </w:r>
    </w:p>
    <w:p>
      <w:pPr>
        <w:spacing w:line="259" w:lineRule="auto"/>
        <w:sectPr>
          <w:footerReference w:type="default" r:id="rId68"/>
          <w:pgSz w:w="8220" w:h="11910"/>
          <w:pgMar w:top="400" w:right="934" w:bottom="945" w:left="990" w:header="0" w:footer="796" w:gutter="0"/>
        </w:sectPr>
        <w:rPr>
          <w:rFonts w:ascii="SimSun" w:hAnsi="SimSun" w:eastAsia="SimSun" w:cs="SimSun"/>
          <w:sz w:val="21"/>
          <w:szCs w:val="21"/>
        </w:rPr>
      </w:pPr>
    </w:p>
    <w:p>
      <w:pPr>
        <w:pStyle w:val="BodyText"/>
        <w:spacing w:line="321" w:lineRule="auto"/>
        <w:rPr/>
      </w:pPr>
      <w:r/>
    </w:p>
    <w:p>
      <w:pPr>
        <w:pStyle w:val="BodyText"/>
        <w:spacing w:line="321" w:lineRule="auto"/>
        <w:rPr/>
      </w:pPr>
      <w:r/>
    </w:p>
    <w:p>
      <w:pPr>
        <w:ind w:right="119" w:firstLine="429"/>
        <w:spacing w:before="71" w:line="252" w:lineRule="auto"/>
        <w:rPr>
          <w:rFonts w:ascii="SimSun" w:hAnsi="SimSun" w:eastAsia="SimSun" w:cs="SimSun"/>
          <w:sz w:val="22"/>
          <w:szCs w:val="22"/>
        </w:rPr>
      </w:pPr>
      <w:r>
        <w:rPr>
          <w:rFonts w:ascii="SimSun" w:hAnsi="SimSun" w:eastAsia="SimSun" w:cs="SimSun"/>
          <w:sz w:val="22"/>
          <w:szCs w:val="22"/>
          <w:spacing w:val="-7"/>
        </w:rPr>
        <w:t>第七条</w:t>
      </w:r>
      <w:r>
        <w:rPr>
          <w:rFonts w:ascii="SimSun" w:hAnsi="SimSun" w:eastAsia="SimSun" w:cs="SimSun"/>
          <w:sz w:val="22"/>
          <w:szCs w:val="22"/>
          <w:spacing w:val="101"/>
        </w:rPr>
        <w:t xml:space="preserve"> </w:t>
      </w:r>
      <w:r>
        <w:rPr>
          <w:rFonts w:ascii="SimSun" w:hAnsi="SimSun" w:eastAsia="SimSun" w:cs="SimSun"/>
          <w:sz w:val="22"/>
          <w:szCs w:val="22"/>
          <w:spacing w:val="-7"/>
        </w:rPr>
        <w:t>机关、事业单位使用财政资金从中小企业采购货物、</w:t>
      </w:r>
      <w:r>
        <w:rPr>
          <w:rFonts w:ascii="SimSun" w:hAnsi="SimSun" w:eastAsia="SimSun" w:cs="SimSun"/>
          <w:sz w:val="22"/>
          <w:szCs w:val="22"/>
        </w:rPr>
        <w:t xml:space="preserve"> </w:t>
      </w:r>
      <w:r>
        <w:rPr>
          <w:rFonts w:ascii="SimSun" w:hAnsi="SimSun" w:eastAsia="SimSun" w:cs="SimSun"/>
          <w:sz w:val="22"/>
          <w:szCs w:val="22"/>
          <w:spacing w:val="-7"/>
        </w:rPr>
        <w:t>工程、服务，应当严格按照批准的预算执行，不得无预算、超预算</w:t>
      </w:r>
      <w:r>
        <w:rPr>
          <w:rFonts w:ascii="SimSun" w:hAnsi="SimSun" w:eastAsia="SimSun" w:cs="SimSun"/>
          <w:sz w:val="22"/>
          <w:szCs w:val="22"/>
          <w:spacing w:val="2"/>
        </w:rPr>
        <w:t xml:space="preserve"> </w:t>
      </w:r>
      <w:r>
        <w:rPr>
          <w:rFonts w:ascii="SimSun" w:hAnsi="SimSun" w:eastAsia="SimSun" w:cs="SimSun"/>
          <w:sz w:val="22"/>
          <w:szCs w:val="22"/>
          <w:spacing w:val="-12"/>
        </w:rPr>
        <w:t>开展采购。</w:t>
      </w:r>
    </w:p>
    <w:p>
      <w:pPr>
        <w:ind w:right="119" w:firstLine="429"/>
        <w:spacing w:before="68" w:line="253" w:lineRule="auto"/>
        <w:rPr>
          <w:rFonts w:ascii="SimSun" w:hAnsi="SimSun" w:eastAsia="SimSun" w:cs="SimSun"/>
          <w:sz w:val="22"/>
          <w:szCs w:val="22"/>
        </w:rPr>
      </w:pPr>
      <w:r>
        <w:rPr>
          <w:rFonts w:ascii="SimSun" w:hAnsi="SimSun" w:eastAsia="SimSun" w:cs="SimSun"/>
          <w:sz w:val="22"/>
          <w:szCs w:val="22"/>
          <w:spacing w:val="-7"/>
        </w:rPr>
        <w:t>政府投资项目所需资金应当按照国家有关规定确保落实</w:t>
      </w:r>
      <w:r>
        <w:rPr>
          <w:rFonts w:ascii="SimSun" w:hAnsi="SimSun" w:eastAsia="SimSun" w:cs="SimSun"/>
          <w:sz w:val="22"/>
          <w:szCs w:val="22"/>
          <w:spacing w:val="-8"/>
        </w:rPr>
        <w:t>到位，</w:t>
      </w:r>
      <w:r>
        <w:rPr>
          <w:rFonts w:ascii="SimSun" w:hAnsi="SimSun" w:eastAsia="SimSun" w:cs="SimSun"/>
          <w:sz w:val="22"/>
          <w:szCs w:val="22"/>
        </w:rPr>
        <w:t xml:space="preserve"> </w:t>
      </w:r>
      <w:r>
        <w:rPr>
          <w:rFonts w:ascii="SimSun" w:hAnsi="SimSun" w:eastAsia="SimSun" w:cs="SimSun"/>
          <w:sz w:val="22"/>
          <w:szCs w:val="22"/>
          <w:spacing w:val="-14"/>
        </w:rPr>
        <w:t>不得由施工单位垫资建设。</w:t>
      </w:r>
    </w:p>
    <w:p>
      <w:pPr>
        <w:ind w:right="90" w:firstLine="429"/>
        <w:spacing w:before="47" w:line="258" w:lineRule="auto"/>
        <w:rPr>
          <w:rFonts w:ascii="SimSun" w:hAnsi="SimSun" w:eastAsia="SimSun" w:cs="SimSun"/>
          <w:sz w:val="22"/>
          <w:szCs w:val="22"/>
        </w:rPr>
      </w:pPr>
      <w:r>
        <w:rPr>
          <w:rFonts w:ascii="SimSun" w:hAnsi="SimSun" w:eastAsia="SimSun" w:cs="SimSun"/>
          <w:sz w:val="22"/>
          <w:szCs w:val="22"/>
          <w:spacing w:val="-7"/>
        </w:rPr>
        <w:t>第八条</w:t>
      </w:r>
      <w:r>
        <w:rPr>
          <w:rFonts w:ascii="SimSun" w:hAnsi="SimSun" w:eastAsia="SimSun" w:cs="SimSun"/>
          <w:sz w:val="22"/>
          <w:szCs w:val="22"/>
          <w:spacing w:val="101"/>
        </w:rPr>
        <w:t xml:space="preserve"> </w:t>
      </w:r>
      <w:r>
        <w:rPr>
          <w:rFonts w:ascii="SimSun" w:hAnsi="SimSun" w:eastAsia="SimSun" w:cs="SimSun"/>
          <w:sz w:val="22"/>
          <w:szCs w:val="22"/>
          <w:spacing w:val="-7"/>
        </w:rPr>
        <w:t>机关、事业单位从中小企业采购货物、工程、服务，</w:t>
      </w:r>
      <w:r>
        <w:rPr>
          <w:rFonts w:ascii="SimSun" w:hAnsi="SimSun" w:eastAsia="SimSun" w:cs="SimSun"/>
          <w:sz w:val="22"/>
          <w:szCs w:val="22"/>
        </w:rPr>
        <w:t xml:space="preserve"> </w:t>
      </w:r>
      <w:r>
        <w:rPr>
          <w:rFonts w:ascii="SimSun" w:hAnsi="SimSun" w:eastAsia="SimSun" w:cs="SimSun"/>
          <w:sz w:val="22"/>
          <w:szCs w:val="22"/>
          <w:spacing w:val="-6"/>
        </w:rPr>
        <w:t>应当自货物、工程、服务交付之日起30日内支付款项；合同另有约</w:t>
      </w:r>
      <w:r>
        <w:rPr>
          <w:rFonts w:ascii="SimSun" w:hAnsi="SimSun" w:eastAsia="SimSun" w:cs="SimSun"/>
          <w:sz w:val="22"/>
          <w:szCs w:val="22"/>
          <w:spacing w:val="8"/>
        </w:rPr>
        <w:t xml:space="preserve"> </w:t>
      </w:r>
      <w:r>
        <w:rPr>
          <w:rFonts w:ascii="SimSun" w:hAnsi="SimSun" w:eastAsia="SimSun" w:cs="SimSun"/>
          <w:sz w:val="22"/>
          <w:szCs w:val="22"/>
          <w:spacing w:val="-7"/>
        </w:rPr>
        <w:t>定的，付款期限最长不得超过60日。</w:t>
      </w:r>
    </w:p>
    <w:p>
      <w:pPr>
        <w:ind w:firstLine="429"/>
        <w:spacing w:before="57" w:line="252" w:lineRule="auto"/>
        <w:rPr>
          <w:rFonts w:ascii="SimSun" w:hAnsi="SimSun" w:eastAsia="SimSun" w:cs="SimSun"/>
          <w:sz w:val="22"/>
          <w:szCs w:val="22"/>
        </w:rPr>
      </w:pPr>
      <w:r>
        <w:rPr>
          <w:rFonts w:ascii="SimSun" w:hAnsi="SimSun" w:eastAsia="SimSun" w:cs="SimSun"/>
          <w:sz w:val="22"/>
          <w:szCs w:val="22"/>
          <w:spacing w:val="-18"/>
        </w:rPr>
        <w:t>大型企业从中小企业采购货物、工程、服务，应当按照行业规范、</w:t>
      </w:r>
      <w:r>
        <w:rPr>
          <w:rFonts w:ascii="SimSun" w:hAnsi="SimSun" w:eastAsia="SimSun" w:cs="SimSun"/>
          <w:sz w:val="22"/>
          <w:szCs w:val="22"/>
          <w:spacing w:val="10"/>
        </w:rPr>
        <w:t xml:space="preserve"> </w:t>
      </w:r>
      <w:r>
        <w:rPr>
          <w:rFonts w:ascii="SimSun" w:hAnsi="SimSun" w:eastAsia="SimSun" w:cs="SimSun"/>
          <w:sz w:val="22"/>
          <w:szCs w:val="22"/>
          <w:spacing w:val="-13"/>
        </w:rPr>
        <w:t>交易习惯合理约定付款期限并及时支付款项。</w:t>
      </w:r>
    </w:p>
    <w:p>
      <w:pPr>
        <w:ind w:right="75" w:firstLine="429"/>
        <w:spacing w:before="50" w:line="244" w:lineRule="auto"/>
        <w:rPr>
          <w:rFonts w:ascii="SimSun" w:hAnsi="SimSun" w:eastAsia="SimSun" w:cs="SimSun"/>
          <w:sz w:val="22"/>
          <w:szCs w:val="22"/>
        </w:rPr>
      </w:pPr>
      <w:r>
        <w:rPr>
          <w:rFonts w:ascii="SimSun" w:hAnsi="SimSun" w:eastAsia="SimSun" w:cs="SimSun"/>
          <w:sz w:val="22"/>
          <w:szCs w:val="22"/>
          <w:spacing w:val="-6"/>
        </w:rPr>
        <w:t>合同约定采取履行进度结算、定期结算等结算方式的，付款期</w:t>
      </w:r>
      <w:r>
        <w:rPr>
          <w:rFonts w:ascii="SimSun" w:hAnsi="SimSun" w:eastAsia="SimSun" w:cs="SimSun"/>
          <w:sz w:val="22"/>
          <w:szCs w:val="22"/>
          <w:spacing w:val="15"/>
        </w:rPr>
        <w:t xml:space="preserve"> </w:t>
      </w:r>
      <w:r>
        <w:rPr>
          <w:rFonts w:ascii="SimSun" w:hAnsi="SimSun" w:eastAsia="SimSun" w:cs="SimSun"/>
          <w:sz w:val="22"/>
          <w:szCs w:val="22"/>
          <w:spacing w:val="-12"/>
        </w:rPr>
        <w:t>限应当自双方确认结算金额之日起算。</w:t>
      </w:r>
    </w:p>
    <w:p>
      <w:pPr>
        <w:ind w:right="99" w:firstLine="429"/>
        <w:spacing w:before="68" w:line="258" w:lineRule="auto"/>
        <w:rPr>
          <w:rFonts w:ascii="SimSun" w:hAnsi="SimSun" w:eastAsia="SimSun" w:cs="SimSun"/>
          <w:sz w:val="22"/>
          <w:szCs w:val="22"/>
        </w:rPr>
      </w:pPr>
      <w:r>
        <w:rPr>
          <w:rFonts w:ascii="SimSun" w:hAnsi="SimSun" w:eastAsia="SimSun" w:cs="SimSun"/>
          <w:sz w:val="22"/>
          <w:szCs w:val="22"/>
          <w:spacing w:val="-6"/>
        </w:rPr>
        <w:t>第九条</w:t>
      </w:r>
      <w:r>
        <w:rPr>
          <w:rFonts w:ascii="SimSun" w:hAnsi="SimSun" w:eastAsia="SimSun" w:cs="SimSun"/>
          <w:sz w:val="22"/>
          <w:szCs w:val="22"/>
          <w:spacing w:val="95"/>
        </w:rPr>
        <w:t xml:space="preserve"> </w:t>
      </w:r>
      <w:r>
        <w:rPr>
          <w:rFonts w:ascii="SimSun" w:hAnsi="SimSun" w:eastAsia="SimSun" w:cs="SimSun"/>
          <w:sz w:val="22"/>
          <w:szCs w:val="22"/>
          <w:spacing w:val="-6"/>
        </w:rPr>
        <w:t>机关、事业单位和大型企业与中小企业约定以货物、</w:t>
      </w:r>
      <w:r>
        <w:rPr>
          <w:rFonts w:ascii="SimSun" w:hAnsi="SimSun" w:eastAsia="SimSun" w:cs="SimSun"/>
          <w:sz w:val="22"/>
          <w:szCs w:val="22"/>
        </w:rPr>
        <w:t xml:space="preserve"> </w:t>
      </w:r>
      <w:r>
        <w:rPr>
          <w:rFonts w:ascii="SimSun" w:hAnsi="SimSun" w:eastAsia="SimSun" w:cs="SimSun"/>
          <w:sz w:val="22"/>
          <w:szCs w:val="22"/>
          <w:spacing w:val="-6"/>
        </w:rPr>
        <w:t>工程、服务交付后经检验或者验收合格作为支付</w:t>
      </w:r>
      <w:r>
        <w:rPr>
          <w:rFonts w:ascii="SimSun" w:hAnsi="SimSun" w:eastAsia="SimSun" w:cs="SimSun"/>
          <w:sz w:val="22"/>
          <w:szCs w:val="22"/>
          <w:spacing w:val="-7"/>
        </w:rPr>
        <w:t>中小企业款项条件</w:t>
      </w:r>
      <w:r>
        <w:rPr>
          <w:rFonts w:ascii="SimSun" w:hAnsi="SimSun" w:eastAsia="SimSun" w:cs="SimSun"/>
          <w:sz w:val="22"/>
          <w:szCs w:val="22"/>
        </w:rPr>
        <w:t xml:space="preserve"> </w:t>
      </w:r>
      <w:r>
        <w:rPr>
          <w:rFonts w:ascii="SimSun" w:hAnsi="SimSun" w:eastAsia="SimSun" w:cs="SimSun"/>
          <w:sz w:val="22"/>
          <w:szCs w:val="22"/>
          <w:spacing w:val="-13"/>
        </w:rPr>
        <w:t>的，付款期限应当自检验或者验收合格之日起算。</w:t>
      </w:r>
    </w:p>
    <w:p>
      <w:pPr>
        <w:ind w:right="97" w:firstLine="429"/>
        <w:spacing w:before="60" w:line="256" w:lineRule="auto"/>
        <w:rPr>
          <w:rFonts w:ascii="SimSun" w:hAnsi="SimSun" w:eastAsia="SimSun" w:cs="SimSun"/>
          <w:sz w:val="22"/>
          <w:szCs w:val="22"/>
        </w:rPr>
      </w:pPr>
      <w:r>
        <w:rPr>
          <w:rFonts w:ascii="SimSun" w:hAnsi="SimSun" w:eastAsia="SimSun" w:cs="SimSun"/>
          <w:sz w:val="22"/>
          <w:szCs w:val="22"/>
          <w:spacing w:val="-7"/>
        </w:rPr>
        <w:t>合同双方应当在合同中约定明确、合理的检验或者验收期</w:t>
      </w:r>
      <w:r>
        <w:rPr>
          <w:rFonts w:ascii="SimSun" w:hAnsi="SimSun" w:eastAsia="SimSun" w:cs="SimSun"/>
          <w:sz w:val="22"/>
          <w:szCs w:val="22"/>
          <w:spacing w:val="-8"/>
        </w:rPr>
        <w:t>限，</w:t>
      </w:r>
      <w:r>
        <w:rPr>
          <w:rFonts w:ascii="SimSun" w:hAnsi="SimSun" w:eastAsia="SimSun" w:cs="SimSun"/>
          <w:sz w:val="22"/>
          <w:szCs w:val="22"/>
        </w:rPr>
        <w:t xml:space="preserve"> </w:t>
      </w:r>
      <w:r>
        <w:rPr>
          <w:rFonts w:ascii="SimSun" w:hAnsi="SimSun" w:eastAsia="SimSun" w:cs="SimSun"/>
          <w:sz w:val="22"/>
          <w:szCs w:val="22"/>
          <w:spacing w:val="-6"/>
        </w:rPr>
        <w:t>并在该期限内完成检验或者验收。机关、事业单位和大</w:t>
      </w:r>
      <w:r>
        <w:rPr>
          <w:rFonts w:ascii="SimSun" w:hAnsi="SimSun" w:eastAsia="SimSun" w:cs="SimSun"/>
          <w:sz w:val="22"/>
          <w:szCs w:val="22"/>
          <w:spacing w:val="-7"/>
        </w:rPr>
        <w:t>型企业拖延</w:t>
      </w:r>
      <w:r>
        <w:rPr>
          <w:rFonts w:ascii="SimSun" w:hAnsi="SimSun" w:eastAsia="SimSun" w:cs="SimSun"/>
          <w:sz w:val="22"/>
          <w:szCs w:val="22"/>
        </w:rPr>
        <w:t xml:space="preserve"> </w:t>
      </w:r>
      <w:r>
        <w:rPr>
          <w:rFonts w:ascii="SimSun" w:hAnsi="SimSun" w:eastAsia="SimSun" w:cs="SimSun"/>
          <w:sz w:val="22"/>
          <w:szCs w:val="22"/>
          <w:spacing w:val="-6"/>
        </w:rPr>
        <w:t>检验或者验收的，付款期限自约定的检验或者验</w:t>
      </w:r>
      <w:r>
        <w:rPr>
          <w:rFonts w:ascii="SimSun" w:hAnsi="SimSun" w:eastAsia="SimSun" w:cs="SimSun"/>
          <w:sz w:val="22"/>
          <w:szCs w:val="22"/>
          <w:spacing w:val="-7"/>
        </w:rPr>
        <w:t>收期限届满之日起</w:t>
      </w:r>
      <w:r>
        <w:rPr>
          <w:rFonts w:ascii="SimSun" w:hAnsi="SimSun" w:eastAsia="SimSun" w:cs="SimSun"/>
          <w:sz w:val="22"/>
          <w:szCs w:val="22"/>
        </w:rPr>
        <w:t xml:space="preserve"> </w:t>
      </w:r>
      <w:r>
        <w:rPr>
          <w:rFonts w:ascii="SimSun" w:hAnsi="SimSun" w:eastAsia="SimSun" w:cs="SimSun"/>
          <w:sz w:val="22"/>
          <w:szCs w:val="22"/>
          <w:spacing w:val="-6"/>
        </w:rPr>
        <w:t>算。</w:t>
      </w:r>
    </w:p>
    <w:p>
      <w:pPr>
        <w:ind w:right="98" w:firstLine="429"/>
        <w:spacing w:before="80" w:line="256" w:lineRule="auto"/>
        <w:rPr>
          <w:rFonts w:ascii="SimSun" w:hAnsi="SimSun" w:eastAsia="SimSun" w:cs="SimSun"/>
          <w:sz w:val="22"/>
          <w:szCs w:val="22"/>
        </w:rPr>
      </w:pPr>
      <w:r>
        <w:rPr>
          <w:rFonts w:ascii="SimSun" w:hAnsi="SimSun" w:eastAsia="SimSun" w:cs="SimSun"/>
          <w:sz w:val="22"/>
          <w:szCs w:val="22"/>
          <w:spacing w:val="-6"/>
        </w:rPr>
        <w:t>第十条</w:t>
      </w:r>
      <w:r>
        <w:rPr>
          <w:rFonts w:ascii="SimSun" w:hAnsi="SimSun" w:eastAsia="SimSun" w:cs="SimSun"/>
          <w:sz w:val="22"/>
          <w:szCs w:val="22"/>
          <w:spacing w:val="101"/>
        </w:rPr>
        <w:t xml:space="preserve"> </w:t>
      </w:r>
      <w:r>
        <w:rPr>
          <w:rFonts w:ascii="SimSun" w:hAnsi="SimSun" w:eastAsia="SimSun" w:cs="SimSun"/>
          <w:sz w:val="22"/>
          <w:szCs w:val="22"/>
          <w:spacing w:val="-6"/>
        </w:rPr>
        <w:t>机关、事业单位和大型企业使用商业汇票</w:t>
      </w:r>
      <w:r>
        <w:rPr>
          <w:rFonts w:ascii="SimSun" w:hAnsi="SimSun" w:eastAsia="SimSun" w:cs="SimSun"/>
          <w:sz w:val="22"/>
          <w:szCs w:val="22"/>
          <w:spacing w:val="-7"/>
        </w:rPr>
        <w:t>等非现金支</w:t>
      </w:r>
      <w:r>
        <w:rPr>
          <w:rFonts w:ascii="SimSun" w:hAnsi="SimSun" w:eastAsia="SimSun" w:cs="SimSun"/>
          <w:sz w:val="22"/>
          <w:szCs w:val="22"/>
        </w:rPr>
        <w:t xml:space="preserve"> </w:t>
      </w:r>
      <w:r>
        <w:rPr>
          <w:rFonts w:ascii="SimSun" w:hAnsi="SimSun" w:eastAsia="SimSun" w:cs="SimSun"/>
          <w:sz w:val="22"/>
          <w:szCs w:val="22"/>
          <w:spacing w:val="-7"/>
        </w:rPr>
        <w:t>付方式支付中小企业款项的，应当在合同中作出明确、合理约定，</w:t>
      </w:r>
      <w:r>
        <w:rPr>
          <w:rFonts w:ascii="SimSun" w:hAnsi="SimSun" w:eastAsia="SimSun" w:cs="SimSun"/>
          <w:sz w:val="22"/>
          <w:szCs w:val="22"/>
          <w:spacing w:val="1"/>
        </w:rPr>
        <w:t xml:space="preserve"> </w:t>
      </w:r>
      <w:r>
        <w:rPr>
          <w:rFonts w:ascii="SimSun" w:hAnsi="SimSun" w:eastAsia="SimSun" w:cs="SimSun"/>
          <w:sz w:val="22"/>
          <w:szCs w:val="22"/>
          <w:spacing w:val="-6"/>
        </w:rPr>
        <w:t>不得强制中小企业接受商业汇票等非现金支</w:t>
      </w:r>
      <w:r>
        <w:rPr>
          <w:rFonts w:ascii="SimSun" w:hAnsi="SimSun" w:eastAsia="SimSun" w:cs="SimSun"/>
          <w:sz w:val="22"/>
          <w:szCs w:val="22"/>
          <w:spacing w:val="-7"/>
        </w:rPr>
        <w:t>付方式，不得利用商业</w:t>
      </w:r>
      <w:r>
        <w:rPr>
          <w:rFonts w:ascii="SimSun" w:hAnsi="SimSun" w:eastAsia="SimSun" w:cs="SimSun"/>
          <w:sz w:val="22"/>
          <w:szCs w:val="22"/>
        </w:rPr>
        <w:t xml:space="preserve"> </w:t>
      </w:r>
      <w:r>
        <w:rPr>
          <w:rFonts w:ascii="SimSun" w:hAnsi="SimSun" w:eastAsia="SimSun" w:cs="SimSun"/>
          <w:sz w:val="22"/>
          <w:szCs w:val="22"/>
          <w:spacing w:val="-13"/>
        </w:rPr>
        <w:t>汇票等非现金支付方式变相延长付款期限。</w:t>
      </w:r>
    </w:p>
    <w:p>
      <w:pPr>
        <w:ind w:right="91" w:firstLine="429"/>
        <w:spacing w:before="77" w:line="258" w:lineRule="auto"/>
        <w:rPr>
          <w:rFonts w:ascii="SimSun" w:hAnsi="SimSun" w:eastAsia="SimSun" w:cs="SimSun"/>
          <w:sz w:val="22"/>
          <w:szCs w:val="22"/>
        </w:rPr>
      </w:pPr>
      <w:r>
        <w:rPr>
          <w:rFonts w:ascii="SimSun" w:hAnsi="SimSun" w:eastAsia="SimSun" w:cs="SimSun"/>
          <w:sz w:val="22"/>
          <w:szCs w:val="22"/>
          <w:spacing w:val="-6"/>
        </w:rPr>
        <w:t>第十一条</w:t>
      </w:r>
      <w:r>
        <w:rPr>
          <w:rFonts w:ascii="SimSun" w:hAnsi="SimSun" w:eastAsia="SimSun" w:cs="SimSun"/>
          <w:sz w:val="22"/>
          <w:szCs w:val="22"/>
          <w:spacing w:val="103"/>
        </w:rPr>
        <w:t xml:space="preserve"> </w:t>
      </w:r>
      <w:r>
        <w:rPr>
          <w:rFonts w:ascii="SimSun" w:hAnsi="SimSun" w:eastAsia="SimSun" w:cs="SimSun"/>
          <w:sz w:val="22"/>
          <w:szCs w:val="22"/>
          <w:spacing w:val="-6"/>
        </w:rPr>
        <w:t>机关、事业单位和国有大型企业不得强制要求以审</w:t>
      </w:r>
      <w:r>
        <w:rPr>
          <w:rFonts w:ascii="SimSun" w:hAnsi="SimSun" w:eastAsia="SimSun" w:cs="SimSun"/>
          <w:sz w:val="22"/>
          <w:szCs w:val="22"/>
        </w:rPr>
        <w:t xml:space="preserve"> </w:t>
      </w:r>
      <w:r>
        <w:rPr>
          <w:rFonts w:ascii="SimSun" w:hAnsi="SimSun" w:eastAsia="SimSun" w:cs="SimSun"/>
          <w:sz w:val="22"/>
          <w:szCs w:val="22"/>
          <w:spacing w:val="-6"/>
        </w:rPr>
        <w:t>计机关的审计结果作为结算依据，但合同另有约</w:t>
      </w:r>
      <w:r>
        <w:rPr>
          <w:rFonts w:ascii="SimSun" w:hAnsi="SimSun" w:eastAsia="SimSun" w:cs="SimSun"/>
          <w:sz w:val="22"/>
          <w:szCs w:val="22"/>
          <w:spacing w:val="-7"/>
        </w:rPr>
        <w:t>定或者法律、行政</w:t>
      </w:r>
      <w:r>
        <w:rPr>
          <w:rFonts w:ascii="SimSun" w:hAnsi="SimSun" w:eastAsia="SimSun" w:cs="SimSun"/>
          <w:sz w:val="22"/>
          <w:szCs w:val="22"/>
        </w:rPr>
        <w:t xml:space="preserve"> </w:t>
      </w:r>
      <w:r>
        <w:rPr>
          <w:rFonts w:ascii="SimSun" w:hAnsi="SimSun" w:eastAsia="SimSun" w:cs="SimSun"/>
          <w:sz w:val="22"/>
          <w:szCs w:val="22"/>
          <w:spacing w:val="-13"/>
        </w:rPr>
        <w:t>法规另有规定的除外。</w:t>
      </w:r>
    </w:p>
    <w:p>
      <w:pPr>
        <w:ind w:right="81" w:firstLine="429"/>
        <w:spacing w:before="49" w:line="252" w:lineRule="auto"/>
        <w:rPr>
          <w:rFonts w:ascii="SimSun" w:hAnsi="SimSun" w:eastAsia="SimSun" w:cs="SimSun"/>
          <w:sz w:val="22"/>
          <w:szCs w:val="22"/>
        </w:rPr>
      </w:pPr>
      <w:r>
        <w:rPr>
          <w:rFonts w:ascii="SimSun" w:hAnsi="SimSun" w:eastAsia="SimSun" w:cs="SimSun"/>
          <w:sz w:val="22"/>
          <w:szCs w:val="22"/>
          <w:spacing w:val="-6"/>
        </w:rPr>
        <w:t>第十二条  除依法设立的投标保证金、履约保证金、工程质量</w:t>
      </w:r>
      <w:r>
        <w:rPr>
          <w:rFonts w:ascii="SimSun" w:hAnsi="SimSun" w:eastAsia="SimSun" w:cs="SimSun"/>
          <w:sz w:val="22"/>
          <w:szCs w:val="22"/>
          <w:spacing w:val="15"/>
        </w:rPr>
        <w:t xml:space="preserve"> </w:t>
      </w:r>
      <w:r>
        <w:rPr>
          <w:rFonts w:ascii="SimSun" w:hAnsi="SimSun" w:eastAsia="SimSun" w:cs="SimSun"/>
          <w:sz w:val="22"/>
          <w:szCs w:val="22"/>
          <w:spacing w:val="-7"/>
        </w:rPr>
        <w:t>保证金、农民工工资保证金外，工程建设中不得收取其他保证金。</w:t>
      </w:r>
      <w:r>
        <w:rPr>
          <w:rFonts w:ascii="SimSun" w:hAnsi="SimSun" w:eastAsia="SimSun" w:cs="SimSun"/>
          <w:sz w:val="22"/>
          <w:szCs w:val="22"/>
          <w:spacing w:val="1"/>
        </w:rPr>
        <w:t xml:space="preserve"> </w:t>
      </w:r>
      <w:r>
        <w:rPr>
          <w:rFonts w:ascii="SimSun" w:hAnsi="SimSun" w:eastAsia="SimSun" w:cs="SimSun"/>
          <w:sz w:val="22"/>
          <w:szCs w:val="22"/>
          <w:spacing w:val="-12"/>
        </w:rPr>
        <w:t>保证金的收取比例应当符合国家有关规定。</w:t>
      </w:r>
    </w:p>
    <w:p>
      <w:pPr>
        <w:ind w:left="429"/>
        <w:spacing w:before="88" w:line="219" w:lineRule="auto"/>
        <w:rPr>
          <w:rFonts w:ascii="SimSun" w:hAnsi="SimSun" w:eastAsia="SimSun" w:cs="SimSun"/>
          <w:sz w:val="22"/>
          <w:szCs w:val="22"/>
        </w:rPr>
      </w:pPr>
      <w:r>
        <w:rPr>
          <w:rFonts w:ascii="SimSun" w:hAnsi="SimSun" w:eastAsia="SimSun" w:cs="SimSun"/>
          <w:sz w:val="22"/>
          <w:szCs w:val="22"/>
          <w:spacing w:val="-6"/>
        </w:rPr>
        <w:t>机关、事业单位和大型企业不得将保证金限定为现金。中小企</w:t>
      </w:r>
    </w:p>
    <w:p>
      <w:pPr>
        <w:spacing w:line="219" w:lineRule="auto"/>
        <w:sectPr>
          <w:footerReference w:type="default" r:id="rId69"/>
          <w:pgSz w:w="8220" w:h="11910"/>
          <w:pgMar w:top="400" w:right="940" w:bottom="942" w:left="979" w:header="0" w:footer="783" w:gutter="0"/>
        </w:sectPr>
        <w:rPr>
          <w:rFonts w:ascii="SimSun" w:hAnsi="SimSun" w:eastAsia="SimSun" w:cs="SimSun"/>
          <w:sz w:val="22"/>
          <w:szCs w:val="22"/>
        </w:rPr>
      </w:pPr>
    </w:p>
    <w:p>
      <w:pPr>
        <w:pStyle w:val="BodyText"/>
        <w:spacing w:line="321" w:lineRule="auto"/>
        <w:rPr/>
      </w:pPr>
      <w:r/>
    </w:p>
    <w:p>
      <w:pPr>
        <w:pStyle w:val="BodyText"/>
        <w:spacing w:line="321" w:lineRule="auto"/>
        <w:rPr/>
      </w:pPr>
      <w:r/>
    </w:p>
    <w:p>
      <w:pPr>
        <w:spacing w:before="71" w:line="219" w:lineRule="auto"/>
        <w:jc w:val="right"/>
        <w:rPr>
          <w:rFonts w:ascii="SimSun" w:hAnsi="SimSun" w:eastAsia="SimSun" w:cs="SimSun"/>
          <w:sz w:val="22"/>
          <w:szCs w:val="22"/>
        </w:rPr>
      </w:pPr>
      <w:r>
        <w:rPr>
          <w:rFonts w:ascii="SimSun" w:hAnsi="SimSun" w:eastAsia="SimSun" w:cs="SimSun"/>
          <w:sz w:val="22"/>
          <w:szCs w:val="22"/>
          <w:spacing w:val="-17"/>
        </w:rPr>
        <w:t>业以金融机构保函提供保证的，机关、事业单位和大型企业应当接受。</w:t>
      </w:r>
    </w:p>
    <w:p>
      <w:pPr>
        <w:ind w:right="89" w:firstLine="429"/>
        <w:spacing w:before="70" w:line="248" w:lineRule="auto"/>
        <w:rPr>
          <w:rFonts w:ascii="SimSun" w:hAnsi="SimSun" w:eastAsia="SimSun" w:cs="SimSun"/>
          <w:sz w:val="22"/>
          <w:szCs w:val="22"/>
        </w:rPr>
      </w:pPr>
      <w:r>
        <w:rPr>
          <w:rFonts w:ascii="SimSun" w:hAnsi="SimSun" w:eastAsia="SimSun" w:cs="SimSun"/>
          <w:sz w:val="22"/>
          <w:szCs w:val="22"/>
          <w:spacing w:val="-6"/>
        </w:rPr>
        <w:t>机关、事业单位和大型企业应当按照合同约定，在保证期限届</w:t>
      </w:r>
      <w:r>
        <w:rPr>
          <w:rFonts w:ascii="SimSun" w:hAnsi="SimSun" w:eastAsia="SimSun" w:cs="SimSun"/>
          <w:sz w:val="22"/>
          <w:szCs w:val="22"/>
          <w:spacing w:val="11"/>
        </w:rPr>
        <w:t xml:space="preserve"> </w:t>
      </w:r>
      <w:r>
        <w:rPr>
          <w:rFonts w:ascii="SimSun" w:hAnsi="SimSun" w:eastAsia="SimSun" w:cs="SimSun"/>
          <w:sz w:val="22"/>
          <w:szCs w:val="22"/>
          <w:spacing w:val="-12"/>
        </w:rPr>
        <w:t>满后及时与中小企业对收取的保证金进行核实和结算。</w:t>
      </w:r>
    </w:p>
    <w:p>
      <w:pPr>
        <w:ind w:right="99" w:firstLine="429"/>
        <w:spacing w:before="70" w:line="250" w:lineRule="auto"/>
        <w:rPr>
          <w:rFonts w:ascii="SimSun" w:hAnsi="SimSun" w:eastAsia="SimSun" w:cs="SimSun"/>
          <w:sz w:val="22"/>
          <w:szCs w:val="22"/>
        </w:rPr>
      </w:pPr>
      <w:r>
        <w:rPr>
          <w:rFonts w:ascii="SimSun" w:hAnsi="SimSun" w:eastAsia="SimSun" w:cs="SimSun"/>
          <w:sz w:val="22"/>
          <w:szCs w:val="22"/>
          <w:spacing w:val="-6"/>
        </w:rPr>
        <w:t>第十三条</w:t>
      </w:r>
      <w:r>
        <w:rPr>
          <w:rFonts w:ascii="SimSun" w:hAnsi="SimSun" w:eastAsia="SimSun" w:cs="SimSun"/>
          <w:sz w:val="22"/>
          <w:szCs w:val="22"/>
          <w:spacing w:val="105"/>
        </w:rPr>
        <w:t xml:space="preserve"> </w:t>
      </w:r>
      <w:r>
        <w:rPr>
          <w:rFonts w:ascii="SimSun" w:hAnsi="SimSun" w:eastAsia="SimSun" w:cs="SimSun"/>
          <w:sz w:val="22"/>
          <w:szCs w:val="22"/>
          <w:spacing w:val="-6"/>
        </w:rPr>
        <w:t>机关、事业单位和大型企业不得以法定代表人或者</w:t>
      </w:r>
      <w:r>
        <w:rPr>
          <w:rFonts w:ascii="SimSun" w:hAnsi="SimSun" w:eastAsia="SimSun" w:cs="SimSun"/>
          <w:sz w:val="22"/>
          <w:szCs w:val="22"/>
        </w:rPr>
        <w:t xml:space="preserve"> </w:t>
      </w:r>
      <w:r>
        <w:rPr>
          <w:rFonts w:ascii="SimSun" w:hAnsi="SimSun" w:eastAsia="SimSun" w:cs="SimSun"/>
          <w:sz w:val="22"/>
          <w:szCs w:val="22"/>
          <w:spacing w:val="-6"/>
        </w:rPr>
        <w:t>主要负责人变更，履行内部付款流程，或者在合同未作约定的情况</w:t>
      </w:r>
      <w:r>
        <w:rPr>
          <w:rFonts w:ascii="SimSun" w:hAnsi="SimSun" w:eastAsia="SimSun" w:cs="SimSun"/>
          <w:sz w:val="22"/>
          <w:szCs w:val="22"/>
          <w:spacing w:val="2"/>
        </w:rPr>
        <w:t xml:space="preserve"> </w:t>
      </w:r>
      <w:r>
        <w:rPr>
          <w:rFonts w:ascii="SimSun" w:hAnsi="SimSun" w:eastAsia="SimSun" w:cs="SimSun"/>
          <w:sz w:val="22"/>
          <w:szCs w:val="22"/>
          <w:spacing w:val="-6"/>
        </w:rPr>
        <w:t>下以等待竣工验收批复、决算审计等为由，</w:t>
      </w:r>
      <w:r>
        <w:rPr>
          <w:rFonts w:ascii="SimSun" w:hAnsi="SimSun" w:eastAsia="SimSun" w:cs="SimSun"/>
          <w:sz w:val="22"/>
          <w:szCs w:val="22"/>
          <w:spacing w:val="-7"/>
        </w:rPr>
        <w:t>拒绝或者迟延支付中小</w:t>
      </w:r>
      <w:r>
        <w:rPr>
          <w:rFonts w:ascii="SimSun" w:hAnsi="SimSun" w:eastAsia="SimSun" w:cs="SimSun"/>
          <w:sz w:val="22"/>
          <w:szCs w:val="22"/>
        </w:rPr>
        <w:t xml:space="preserve"> </w:t>
      </w:r>
      <w:r>
        <w:rPr>
          <w:rFonts w:ascii="SimSun" w:hAnsi="SimSun" w:eastAsia="SimSun" w:cs="SimSun"/>
          <w:sz w:val="22"/>
          <w:szCs w:val="22"/>
          <w:spacing w:val="-8"/>
        </w:rPr>
        <w:t>企业款项。</w:t>
      </w:r>
    </w:p>
    <w:p>
      <w:pPr>
        <w:ind w:right="98" w:firstLine="429"/>
        <w:spacing w:before="87" w:line="252" w:lineRule="auto"/>
        <w:rPr>
          <w:rFonts w:ascii="SimSun" w:hAnsi="SimSun" w:eastAsia="SimSun" w:cs="SimSun"/>
          <w:sz w:val="22"/>
          <w:szCs w:val="22"/>
        </w:rPr>
      </w:pPr>
      <w:r>
        <w:rPr>
          <w:rFonts w:ascii="SimSun" w:hAnsi="SimSun" w:eastAsia="SimSun" w:cs="SimSun"/>
          <w:sz w:val="22"/>
          <w:szCs w:val="22"/>
          <w:spacing w:val="-6"/>
        </w:rPr>
        <w:t>第十四条  中小企业以应收账款担保融资的，机关、事业单位</w:t>
      </w:r>
      <w:r>
        <w:rPr>
          <w:rFonts w:ascii="SimSun" w:hAnsi="SimSun" w:eastAsia="SimSun" w:cs="SimSun"/>
          <w:sz w:val="22"/>
          <w:szCs w:val="22"/>
          <w:spacing w:val="5"/>
        </w:rPr>
        <w:t xml:space="preserve"> </w:t>
      </w:r>
      <w:r>
        <w:rPr>
          <w:rFonts w:ascii="SimSun" w:hAnsi="SimSun" w:eastAsia="SimSun" w:cs="SimSun"/>
          <w:sz w:val="22"/>
          <w:szCs w:val="22"/>
          <w:spacing w:val="-6"/>
        </w:rPr>
        <w:t>和大型企业应当自中小企业提出确权请求之日起30日内确认债权债</w:t>
      </w:r>
      <w:r>
        <w:rPr>
          <w:rFonts w:ascii="SimSun" w:hAnsi="SimSun" w:eastAsia="SimSun" w:cs="SimSun"/>
          <w:sz w:val="22"/>
          <w:szCs w:val="22"/>
          <w:spacing w:val="10"/>
        </w:rPr>
        <w:t xml:space="preserve"> </w:t>
      </w:r>
      <w:r>
        <w:rPr>
          <w:rFonts w:ascii="SimSun" w:hAnsi="SimSun" w:eastAsia="SimSun" w:cs="SimSun"/>
          <w:sz w:val="22"/>
          <w:szCs w:val="22"/>
          <w:spacing w:val="-13"/>
        </w:rPr>
        <w:t>务关系，支持中小企业融资。</w:t>
      </w:r>
    </w:p>
    <w:p>
      <w:pPr>
        <w:ind w:right="96" w:firstLine="429"/>
        <w:spacing w:before="76" w:line="263" w:lineRule="auto"/>
        <w:rPr>
          <w:rFonts w:ascii="SimSun" w:hAnsi="SimSun" w:eastAsia="SimSun" w:cs="SimSun"/>
          <w:sz w:val="22"/>
          <w:szCs w:val="22"/>
        </w:rPr>
      </w:pPr>
      <w:r>
        <w:rPr>
          <w:rFonts w:ascii="SimSun" w:hAnsi="SimSun" w:eastAsia="SimSun" w:cs="SimSun"/>
          <w:sz w:val="22"/>
          <w:szCs w:val="22"/>
          <w:spacing w:val="-6"/>
        </w:rPr>
        <w:t>第十五条</w:t>
      </w:r>
      <w:r>
        <w:rPr>
          <w:rFonts w:ascii="SimSun" w:hAnsi="SimSun" w:eastAsia="SimSun" w:cs="SimSun"/>
          <w:sz w:val="22"/>
          <w:szCs w:val="22"/>
          <w:spacing w:val="108"/>
        </w:rPr>
        <w:t xml:space="preserve"> </w:t>
      </w:r>
      <w:r>
        <w:rPr>
          <w:rFonts w:ascii="SimSun" w:hAnsi="SimSun" w:eastAsia="SimSun" w:cs="SimSun"/>
          <w:sz w:val="22"/>
          <w:szCs w:val="22"/>
          <w:spacing w:val="-6"/>
        </w:rPr>
        <w:t>机关、事业单位和大型企业迟延支付中小企业款项</w:t>
      </w:r>
      <w:r>
        <w:rPr>
          <w:rFonts w:ascii="SimSun" w:hAnsi="SimSun" w:eastAsia="SimSun" w:cs="SimSun"/>
          <w:sz w:val="22"/>
          <w:szCs w:val="22"/>
        </w:rPr>
        <w:t xml:space="preserve"> </w:t>
      </w:r>
      <w:r>
        <w:rPr>
          <w:rFonts w:ascii="SimSun" w:hAnsi="SimSun" w:eastAsia="SimSun" w:cs="SimSun"/>
          <w:sz w:val="22"/>
          <w:szCs w:val="22"/>
          <w:spacing w:val="-7"/>
        </w:rPr>
        <w:t>的，应当支付逾期利息。双方对逾期利息的利率有约定的，约定利</w:t>
      </w:r>
      <w:r>
        <w:rPr>
          <w:rFonts w:ascii="SimSun" w:hAnsi="SimSun" w:eastAsia="SimSun" w:cs="SimSun"/>
          <w:sz w:val="22"/>
          <w:szCs w:val="22"/>
          <w:spacing w:val="17"/>
        </w:rPr>
        <w:t xml:space="preserve"> </w:t>
      </w:r>
      <w:r>
        <w:rPr>
          <w:rFonts w:ascii="SimSun" w:hAnsi="SimSun" w:eastAsia="SimSun" w:cs="SimSun"/>
          <w:sz w:val="22"/>
          <w:szCs w:val="22"/>
          <w:spacing w:val="-3"/>
        </w:rPr>
        <w:t>率不得低于合同订立时1年期贷款市场报价利率；未作约定的，按</w:t>
      </w:r>
      <w:r>
        <w:rPr>
          <w:rFonts w:ascii="SimSun" w:hAnsi="SimSun" w:eastAsia="SimSun" w:cs="SimSun"/>
          <w:sz w:val="22"/>
          <w:szCs w:val="22"/>
          <w:spacing w:val="7"/>
        </w:rPr>
        <w:t xml:space="preserve"> </w:t>
      </w:r>
      <w:r>
        <w:rPr>
          <w:rFonts w:ascii="SimSun" w:hAnsi="SimSun" w:eastAsia="SimSun" w:cs="SimSun"/>
          <w:sz w:val="22"/>
          <w:szCs w:val="22"/>
          <w:spacing w:val="-12"/>
        </w:rPr>
        <w:t>照每日利率万分之五支付逾期利息。</w:t>
      </w:r>
    </w:p>
    <w:p>
      <w:pPr>
        <w:ind w:right="97" w:firstLine="429"/>
        <w:spacing w:before="49" w:line="252" w:lineRule="auto"/>
        <w:rPr>
          <w:rFonts w:ascii="SimSun" w:hAnsi="SimSun" w:eastAsia="SimSun" w:cs="SimSun"/>
          <w:sz w:val="22"/>
          <w:szCs w:val="22"/>
        </w:rPr>
      </w:pPr>
      <w:r>
        <w:rPr>
          <w:rFonts w:ascii="SimSun" w:hAnsi="SimSun" w:eastAsia="SimSun" w:cs="SimSun"/>
          <w:sz w:val="22"/>
          <w:szCs w:val="22"/>
          <w:spacing w:val="-1"/>
        </w:rPr>
        <w:t>第十六条</w:t>
      </w:r>
      <w:r>
        <w:rPr>
          <w:rFonts w:ascii="SimSun" w:hAnsi="SimSun" w:eastAsia="SimSun" w:cs="SimSun"/>
          <w:sz w:val="22"/>
          <w:szCs w:val="22"/>
          <w:spacing w:val="88"/>
        </w:rPr>
        <w:t xml:space="preserve"> </w:t>
      </w:r>
      <w:r>
        <w:rPr>
          <w:rFonts w:ascii="SimSun" w:hAnsi="SimSun" w:eastAsia="SimSun" w:cs="SimSun"/>
          <w:sz w:val="22"/>
          <w:szCs w:val="22"/>
          <w:spacing w:val="-1"/>
        </w:rPr>
        <w:t>机关、事业单位应当于每年3月31日前将上一年度</w:t>
      </w:r>
      <w:r>
        <w:rPr>
          <w:rFonts w:ascii="SimSun" w:hAnsi="SimSun" w:eastAsia="SimSun" w:cs="SimSun"/>
          <w:sz w:val="22"/>
          <w:szCs w:val="22"/>
        </w:rPr>
        <w:t xml:space="preserve"> </w:t>
      </w:r>
      <w:r>
        <w:rPr>
          <w:rFonts w:ascii="SimSun" w:hAnsi="SimSun" w:eastAsia="SimSun" w:cs="SimSun"/>
          <w:sz w:val="22"/>
          <w:szCs w:val="22"/>
          <w:spacing w:val="-6"/>
        </w:rPr>
        <w:t>逾期尚未支付中小企业款项的合同数量、金额等信息通过网站、报</w:t>
      </w:r>
      <w:r>
        <w:rPr>
          <w:rFonts w:ascii="SimSun" w:hAnsi="SimSun" w:eastAsia="SimSun" w:cs="SimSun"/>
          <w:sz w:val="22"/>
          <w:szCs w:val="22"/>
          <w:spacing w:val="3"/>
        </w:rPr>
        <w:t xml:space="preserve"> </w:t>
      </w:r>
      <w:r>
        <w:rPr>
          <w:rFonts w:ascii="SimSun" w:hAnsi="SimSun" w:eastAsia="SimSun" w:cs="SimSun"/>
          <w:sz w:val="22"/>
          <w:szCs w:val="22"/>
          <w:spacing w:val="-12"/>
        </w:rPr>
        <w:t>刊等便于公众知晓的方式公开。</w:t>
      </w:r>
    </w:p>
    <w:p>
      <w:pPr>
        <w:ind w:right="101" w:firstLine="429"/>
        <w:spacing w:before="77" w:line="243" w:lineRule="auto"/>
        <w:rPr>
          <w:rFonts w:ascii="SimSun" w:hAnsi="SimSun" w:eastAsia="SimSun" w:cs="SimSun"/>
          <w:sz w:val="22"/>
          <w:szCs w:val="22"/>
        </w:rPr>
      </w:pPr>
      <w:r>
        <w:rPr>
          <w:rFonts w:ascii="SimSun" w:hAnsi="SimSun" w:eastAsia="SimSun" w:cs="SimSun"/>
          <w:sz w:val="22"/>
          <w:szCs w:val="22"/>
          <w:spacing w:val="-6"/>
        </w:rPr>
        <w:t>大型企业应当将逾期尚未支付中小企业款项的合同数量、金额</w:t>
      </w:r>
      <w:r>
        <w:rPr>
          <w:rFonts w:ascii="SimSun" w:hAnsi="SimSun" w:eastAsia="SimSun" w:cs="SimSun"/>
          <w:sz w:val="22"/>
          <w:szCs w:val="22"/>
        </w:rPr>
        <w:t xml:space="preserve"> </w:t>
      </w:r>
      <w:r>
        <w:rPr>
          <w:rFonts w:ascii="SimSun" w:hAnsi="SimSun" w:eastAsia="SimSun" w:cs="SimSun"/>
          <w:sz w:val="22"/>
          <w:szCs w:val="22"/>
          <w:spacing w:val="-14"/>
        </w:rPr>
        <w:t>等信息纳入企业年度报告，通过企业信用信息公示系统向社会公示。</w:t>
      </w:r>
    </w:p>
    <w:p>
      <w:pPr>
        <w:ind w:right="100" w:firstLine="429"/>
        <w:spacing w:before="71" w:line="258" w:lineRule="auto"/>
        <w:rPr>
          <w:rFonts w:ascii="SimSun" w:hAnsi="SimSun" w:eastAsia="SimSun" w:cs="SimSun"/>
          <w:sz w:val="22"/>
          <w:szCs w:val="22"/>
        </w:rPr>
      </w:pPr>
      <w:r>
        <w:rPr>
          <w:rFonts w:ascii="SimSun" w:hAnsi="SimSun" w:eastAsia="SimSun" w:cs="SimSun"/>
          <w:sz w:val="22"/>
          <w:szCs w:val="22"/>
          <w:spacing w:val="-6"/>
        </w:rPr>
        <w:t>第十七条</w:t>
      </w:r>
      <w:r>
        <w:rPr>
          <w:rFonts w:ascii="SimSun" w:hAnsi="SimSun" w:eastAsia="SimSun" w:cs="SimSun"/>
          <w:sz w:val="22"/>
          <w:szCs w:val="22"/>
          <w:spacing w:val="102"/>
        </w:rPr>
        <w:t xml:space="preserve"> </w:t>
      </w:r>
      <w:r>
        <w:rPr>
          <w:rFonts w:ascii="SimSun" w:hAnsi="SimSun" w:eastAsia="SimSun" w:cs="SimSun"/>
          <w:sz w:val="22"/>
          <w:szCs w:val="22"/>
          <w:spacing w:val="-6"/>
        </w:rPr>
        <w:t>省级以上人民政府负责中小企业促进工作综合管理</w:t>
      </w:r>
      <w:r>
        <w:rPr>
          <w:rFonts w:ascii="SimSun" w:hAnsi="SimSun" w:eastAsia="SimSun" w:cs="SimSun"/>
          <w:sz w:val="22"/>
          <w:szCs w:val="22"/>
        </w:rPr>
        <w:t xml:space="preserve"> </w:t>
      </w:r>
      <w:r>
        <w:rPr>
          <w:rFonts w:ascii="SimSun" w:hAnsi="SimSun" w:eastAsia="SimSun" w:cs="SimSun"/>
          <w:sz w:val="22"/>
          <w:szCs w:val="22"/>
          <w:spacing w:val="-6"/>
        </w:rPr>
        <w:t>的部门应当建立便利畅通的渠道，受理对机关、事业单位和大型企</w:t>
      </w:r>
      <w:r>
        <w:rPr>
          <w:rFonts w:ascii="SimSun" w:hAnsi="SimSun" w:eastAsia="SimSun" w:cs="SimSun"/>
          <w:sz w:val="22"/>
          <w:szCs w:val="22"/>
          <w:spacing w:val="2"/>
        </w:rPr>
        <w:t xml:space="preserve"> </w:t>
      </w:r>
      <w:r>
        <w:rPr>
          <w:rFonts w:ascii="SimSun" w:hAnsi="SimSun" w:eastAsia="SimSun" w:cs="SimSun"/>
          <w:sz w:val="22"/>
          <w:szCs w:val="22"/>
          <w:spacing w:val="-13"/>
        </w:rPr>
        <w:t>业拒绝或者迟延支付中小企业款项的投诉。</w:t>
      </w:r>
    </w:p>
    <w:p>
      <w:pPr>
        <w:ind w:firstLine="429"/>
        <w:spacing w:before="70" w:line="256" w:lineRule="auto"/>
        <w:rPr>
          <w:rFonts w:ascii="SimSun" w:hAnsi="SimSun" w:eastAsia="SimSun" w:cs="SimSun"/>
          <w:sz w:val="22"/>
          <w:szCs w:val="22"/>
        </w:rPr>
      </w:pPr>
      <w:r>
        <w:rPr>
          <w:rFonts w:ascii="SimSun" w:hAnsi="SimSun" w:eastAsia="SimSun" w:cs="SimSun"/>
          <w:sz w:val="22"/>
          <w:szCs w:val="22"/>
          <w:spacing w:val="-10"/>
        </w:rPr>
        <w:t>受理投诉部门应当按照“属地管理、分级负责，谁主管谁负</w:t>
      </w:r>
      <w:r>
        <w:rPr>
          <w:rFonts w:ascii="SimSun" w:hAnsi="SimSun" w:eastAsia="SimSun" w:cs="SimSun"/>
          <w:sz w:val="22"/>
          <w:szCs w:val="22"/>
          <w:spacing w:val="-11"/>
        </w:rPr>
        <w:t>责”</w:t>
      </w:r>
      <w:r>
        <w:rPr>
          <w:rFonts w:ascii="SimSun" w:hAnsi="SimSun" w:eastAsia="SimSun" w:cs="SimSun"/>
          <w:sz w:val="22"/>
          <w:szCs w:val="22"/>
        </w:rPr>
        <w:t xml:space="preserve"> </w:t>
      </w:r>
      <w:r>
        <w:rPr>
          <w:rFonts w:ascii="SimSun" w:hAnsi="SimSun" w:eastAsia="SimSun" w:cs="SimSun"/>
          <w:sz w:val="22"/>
          <w:szCs w:val="22"/>
          <w:spacing w:val="-14"/>
        </w:rPr>
        <w:t>的原则，及时将投诉转交有关部门、地方人</w:t>
      </w:r>
      <w:r>
        <w:rPr>
          <w:rFonts w:ascii="SimSun" w:hAnsi="SimSun" w:eastAsia="SimSun" w:cs="SimSun"/>
          <w:sz w:val="22"/>
          <w:szCs w:val="22"/>
          <w:spacing w:val="-15"/>
        </w:rPr>
        <w:t>民政府处理，有关部门、</w:t>
      </w:r>
      <w:r>
        <w:rPr>
          <w:rFonts w:ascii="SimSun" w:hAnsi="SimSun" w:eastAsia="SimSun" w:cs="SimSun"/>
          <w:sz w:val="22"/>
          <w:szCs w:val="22"/>
        </w:rPr>
        <w:t xml:space="preserve">  </w:t>
      </w:r>
      <w:r>
        <w:rPr>
          <w:rFonts w:ascii="SimSun" w:hAnsi="SimSun" w:eastAsia="SimSun" w:cs="SimSun"/>
          <w:sz w:val="22"/>
          <w:szCs w:val="22"/>
          <w:spacing w:val="-6"/>
        </w:rPr>
        <w:t>地方人民政府应当依法及时处理，并将处理结果告知投诉人，同时</w:t>
      </w:r>
      <w:r>
        <w:rPr>
          <w:rFonts w:ascii="SimSun" w:hAnsi="SimSun" w:eastAsia="SimSun" w:cs="SimSun"/>
          <w:sz w:val="22"/>
          <w:szCs w:val="22"/>
          <w:spacing w:val="2"/>
        </w:rPr>
        <w:t xml:space="preserve">  </w:t>
      </w:r>
      <w:r>
        <w:rPr>
          <w:rFonts w:ascii="SimSun" w:hAnsi="SimSun" w:eastAsia="SimSun" w:cs="SimSun"/>
          <w:sz w:val="22"/>
          <w:szCs w:val="22"/>
          <w:spacing w:val="-14"/>
        </w:rPr>
        <w:t>反馈受理投诉部门。</w:t>
      </w:r>
    </w:p>
    <w:p>
      <w:pPr>
        <w:ind w:right="87" w:firstLine="429"/>
        <w:spacing w:before="59" w:line="262" w:lineRule="auto"/>
        <w:rPr>
          <w:rFonts w:ascii="SimSun" w:hAnsi="SimSun" w:eastAsia="SimSun" w:cs="SimSun"/>
          <w:sz w:val="22"/>
          <w:szCs w:val="22"/>
        </w:rPr>
      </w:pPr>
      <w:r>
        <w:rPr>
          <w:rFonts w:ascii="SimSun" w:hAnsi="SimSun" w:eastAsia="SimSun" w:cs="SimSun"/>
          <w:sz w:val="22"/>
          <w:szCs w:val="22"/>
          <w:spacing w:val="-15"/>
        </w:rPr>
        <w:t>机关、事业单位和大型企业不履行及时支付中小企业款项义务，</w:t>
      </w:r>
      <w:r>
        <w:rPr>
          <w:rFonts w:ascii="SimSun" w:hAnsi="SimSun" w:eastAsia="SimSun" w:cs="SimSun"/>
          <w:sz w:val="22"/>
          <w:szCs w:val="22"/>
        </w:rPr>
        <w:t xml:space="preserve"> </w:t>
      </w:r>
      <w:r>
        <w:rPr>
          <w:rFonts w:ascii="SimSun" w:hAnsi="SimSun" w:eastAsia="SimSun" w:cs="SimSun"/>
          <w:sz w:val="22"/>
          <w:szCs w:val="22"/>
          <w:spacing w:val="-6"/>
        </w:rPr>
        <w:t>情节严重的，受理投诉部门可以依法依规将其失信信息纳入全国信</w:t>
      </w:r>
      <w:r>
        <w:rPr>
          <w:rFonts w:ascii="SimSun" w:hAnsi="SimSun" w:eastAsia="SimSun" w:cs="SimSun"/>
          <w:sz w:val="22"/>
          <w:szCs w:val="22"/>
          <w:spacing w:val="8"/>
        </w:rPr>
        <w:t xml:space="preserve"> </w:t>
      </w:r>
      <w:r>
        <w:rPr>
          <w:rFonts w:ascii="SimSun" w:hAnsi="SimSun" w:eastAsia="SimSun" w:cs="SimSun"/>
          <w:sz w:val="22"/>
          <w:szCs w:val="22"/>
          <w:spacing w:val="-6"/>
        </w:rPr>
        <w:t>用信息共享平台，并将相关涉企信息通过企业信用信息公示系统向</w:t>
      </w:r>
      <w:r>
        <w:rPr>
          <w:rFonts w:ascii="SimSun" w:hAnsi="SimSun" w:eastAsia="SimSun" w:cs="SimSun"/>
          <w:sz w:val="22"/>
          <w:szCs w:val="22"/>
          <w:spacing w:val="15"/>
        </w:rPr>
        <w:t xml:space="preserve"> </w:t>
      </w:r>
      <w:r>
        <w:rPr>
          <w:rFonts w:ascii="SimSun" w:hAnsi="SimSun" w:eastAsia="SimSun" w:cs="SimSun"/>
          <w:sz w:val="22"/>
          <w:szCs w:val="22"/>
          <w:spacing w:val="-12"/>
        </w:rPr>
        <w:t>社会公示，依法实施失信惩戒。</w:t>
      </w:r>
    </w:p>
    <w:p>
      <w:pPr>
        <w:spacing w:line="262" w:lineRule="auto"/>
        <w:sectPr>
          <w:footerReference w:type="default" r:id="rId70"/>
          <w:pgSz w:w="8220" w:h="11910"/>
          <w:pgMar w:top="400" w:right="930" w:bottom="942" w:left="979" w:header="0" w:footer="783" w:gutter="0"/>
        </w:sectPr>
        <w:rPr>
          <w:rFonts w:ascii="SimSun" w:hAnsi="SimSun" w:eastAsia="SimSun" w:cs="SimSun"/>
          <w:sz w:val="22"/>
          <w:szCs w:val="22"/>
        </w:rPr>
      </w:pPr>
    </w:p>
    <w:p>
      <w:pPr>
        <w:pStyle w:val="BodyText"/>
        <w:spacing w:line="327" w:lineRule="auto"/>
        <w:rPr/>
      </w:pPr>
      <w:r/>
    </w:p>
    <w:p>
      <w:pPr>
        <w:pStyle w:val="BodyText"/>
        <w:spacing w:line="327" w:lineRule="auto"/>
        <w:rPr/>
      </w:pPr>
      <w:r/>
    </w:p>
    <w:p>
      <w:pPr>
        <w:ind w:right="16" w:firstLine="429"/>
        <w:spacing w:before="68" w:line="251" w:lineRule="auto"/>
        <w:rPr>
          <w:rFonts w:ascii="SimSun" w:hAnsi="SimSun" w:eastAsia="SimSun" w:cs="SimSun"/>
          <w:sz w:val="21"/>
          <w:szCs w:val="21"/>
        </w:rPr>
      </w:pPr>
      <w:r>
        <w:rPr>
          <w:rFonts w:ascii="SimSun" w:hAnsi="SimSun" w:eastAsia="SimSun" w:cs="SimSun"/>
          <w:sz w:val="21"/>
          <w:szCs w:val="21"/>
          <w:spacing w:val="4"/>
        </w:rPr>
        <w:t>第十八条</w:t>
      </w:r>
      <w:r>
        <w:rPr>
          <w:rFonts w:ascii="SimSun" w:hAnsi="SimSun" w:eastAsia="SimSun" w:cs="SimSun"/>
          <w:sz w:val="21"/>
          <w:szCs w:val="21"/>
          <w:spacing w:val="118"/>
        </w:rPr>
        <w:t xml:space="preserve"> </w:t>
      </w:r>
      <w:r>
        <w:rPr>
          <w:rFonts w:ascii="SimSun" w:hAnsi="SimSun" w:eastAsia="SimSun" w:cs="SimSun"/>
          <w:sz w:val="21"/>
          <w:szCs w:val="21"/>
          <w:spacing w:val="4"/>
        </w:rPr>
        <w:t>被投诉的机关、事业单位和大型企业及其工作人员</w:t>
      </w:r>
      <w:r>
        <w:rPr>
          <w:rFonts w:ascii="SimSun" w:hAnsi="SimSun" w:eastAsia="SimSun" w:cs="SimSun"/>
          <w:sz w:val="21"/>
          <w:szCs w:val="21"/>
        </w:rPr>
        <w:t xml:space="preserve"> </w:t>
      </w:r>
      <w:r>
        <w:rPr>
          <w:rFonts w:ascii="SimSun" w:hAnsi="SimSun" w:eastAsia="SimSun" w:cs="SimSun"/>
          <w:sz w:val="21"/>
          <w:szCs w:val="21"/>
          <w:spacing w:val="-4"/>
        </w:rPr>
        <w:t>不得以任何形式对投诉人进行恐吓、打击报复。</w:t>
      </w:r>
    </w:p>
    <w:p>
      <w:pPr>
        <w:ind w:right="15" w:firstLine="429"/>
        <w:spacing w:before="80" w:line="267" w:lineRule="auto"/>
        <w:rPr>
          <w:rFonts w:ascii="SimSun" w:hAnsi="SimSun" w:eastAsia="SimSun" w:cs="SimSun"/>
          <w:sz w:val="21"/>
          <w:szCs w:val="21"/>
        </w:rPr>
      </w:pPr>
      <w:r>
        <w:rPr>
          <w:rFonts w:ascii="SimSun" w:hAnsi="SimSun" w:eastAsia="SimSun" w:cs="SimSun"/>
          <w:sz w:val="21"/>
          <w:szCs w:val="21"/>
          <w:spacing w:val="4"/>
        </w:rPr>
        <w:t>第十九条</w:t>
      </w:r>
      <w:r>
        <w:rPr>
          <w:rFonts w:ascii="SimSun" w:hAnsi="SimSun" w:eastAsia="SimSun" w:cs="SimSun"/>
          <w:sz w:val="21"/>
          <w:szCs w:val="21"/>
          <w:spacing w:val="119"/>
        </w:rPr>
        <w:t xml:space="preserve"> </w:t>
      </w:r>
      <w:r>
        <w:rPr>
          <w:rFonts w:ascii="SimSun" w:hAnsi="SimSun" w:eastAsia="SimSun" w:cs="SimSun"/>
          <w:sz w:val="21"/>
          <w:szCs w:val="21"/>
          <w:spacing w:val="4"/>
        </w:rPr>
        <w:t>对拒绝或者迟延支付中小企业款项的机关、事业单</w:t>
      </w:r>
      <w:r>
        <w:rPr>
          <w:rFonts w:ascii="SimSun" w:hAnsi="SimSun" w:eastAsia="SimSun" w:cs="SimSun"/>
          <w:sz w:val="21"/>
          <w:szCs w:val="21"/>
        </w:rPr>
        <w:t xml:space="preserve"> </w:t>
      </w:r>
      <w:r>
        <w:rPr>
          <w:rFonts w:ascii="SimSun" w:hAnsi="SimSun" w:eastAsia="SimSun" w:cs="SimSun"/>
          <w:sz w:val="21"/>
          <w:szCs w:val="21"/>
          <w:spacing w:val="4"/>
        </w:rPr>
        <w:t>位，应当在公务消费、办公用房、经费安排等方面采取必要的限制</w:t>
      </w:r>
      <w:r>
        <w:rPr>
          <w:rFonts w:ascii="SimSun" w:hAnsi="SimSun" w:eastAsia="SimSun" w:cs="SimSun"/>
          <w:sz w:val="21"/>
          <w:szCs w:val="21"/>
        </w:rPr>
        <w:t xml:space="preserve"> </w:t>
      </w:r>
      <w:r>
        <w:rPr>
          <w:rFonts w:ascii="SimSun" w:hAnsi="SimSun" w:eastAsia="SimSun" w:cs="SimSun"/>
          <w:sz w:val="21"/>
          <w:szCs w:val="21"/>
          <w:spacing w:val="-9"/>
        </w:rPr>
        <w:t>措施。</w:t>
      </w:r>
    </w:p>
    <w:p>
      <w:pPr>
        <w:ind w:right="33" w:firstLine="429"/>
        <w:spacing w:before="59" w:line="259" w:lineRule="auto"/>
        <w:rPr>
          <w:rFonts w:ascii="SimSun" w:hAnsi="SimSun" w:eastAsia="SimSun" w:cs="SimSun"/>
          <w:sz w:val="21"/>
          <w:szCs w:val="21"/>
        </w:rPr>
      </w:pPr>
      <w:r>
        <w:rPr>
          <w:rFonts w:ascii="SimSun" w:hAnsi="SimSun" w:eastAsia="SimSun" w:cs="SimSun"/>
          <w:sz w:val="21"/>
          <w:szCs w:val="21"/>
          <w:spacing w:val="3"/>
        </w:rPr>
        <w:t>第二十条  审计机关依法对机关、事业单位和国有大型企业支</w:t>
      </w:r>
      <w:r>
        <w:rPr>
          <w:rFonts w:ascii="SimSun" w:hAnsi="SimSun" w:eastAsia="SimSun" w:cs="SimSun"/>
          <w:sz w:val="21"/>
          <w:szCs w:val="21"/>
          <w:spacing w:val="16"/>
        </w:rPr>
        <w:t xml:space="preserve"> </w:t>
      </w:r>
      <w:r>
        <w:rPr>
          <w:rFonts w:ascii="SimSun" w:hAnsi="SimSun" w:eastAsia="SimSun" w:cs="SimSun"/>
          <w:sz w:val="21"/>
          <w:szCs w:val="21"/>
          <w:spacing w:val="-3"/>
        </w:rPr>
        <w:t>付中小企业款项情况实施审计监督。</w:t>
      </w:r>
    </w:p>
    <w:p>
      <w:pPr>
        <w:ind w:right="22" w:firstLine="429"/>
        <w:spacing w:before="69" w:line="255" w:lineRule="auto"/>
        <w:rPr>
          <w:rFonts w:ascii="SimSun" w:hAnsi="SimSun" w:eastAsia="SimSun" w:cs="SimSun"/>
          <w:sz w:val="21"/>
          <w:szCs w:val="21"/>
        </w:rPr>
      </w:pPr>
      <w:r>
        <w:rPr>
          <w:rFonts w:ascii="SimSun" w:hAnsi="SimSun" w:eastAsia="SimSun" w:cs="SimSun"/>
          <w:sz w:val="21"/>
          <w:szCs w:val="21"/>
          <w:spacing w:val="4"/>
        </w:rPr>
        <w:t>第二十一条  省级以上人民政府建立督查制度，对及时支付中</w:t>
      </w:r>
      <w:r>
        <w:rPr>
          <w:rFonts w:ascii="SimSun" w:hAnsi="SimSun" w:eastAsia="SimSun" w:cs="SimSun"/>
          <w:sz w:val="21"/>
          <w:szCs w:val="21"/>
        </w:rPr>
        <w:t xml:space="preserve"> </w:t>
      </w:r>
      <w:r>
        <w:rPr>
          <w:rFonts w:ascii="SimSun" w:hAnsi="SimSun" w:eastAsia="SimSun" w:cs="SimSun"/>
          <w:sz w:val="21"/>
          <w:szCs w:val="21"/>
          <w:spacing w:val="-3"/>
        </w:rPr>
        <w:t>小企业款项工作进行监督检查。</w:t>
      </w:r>
    </w:p>
    <w:p>
      <w:pPr>
        <w:ind w:right="15" w:firstLine="429"/>
        <w:spacing w:before="60" w:line="267" w:lineRule="auto"/>
        <w:rPr>
          <w:rFonts w:ascii="SimSun" w:hAnsi="SimSun" w:eastAsia="SimSun" w:cs="SimSun"/>
          <w:sz w:val="21"/>
          <w:szCs w:val="21"/>
        </w:rPr>
      </w:pPr>
      <w:r>
        <w:rPr>
          <w:rFonts w:ascii="SimSun" w:hAnsi="SimSun" w:eastAsia="SimSun" w:cs="SimSun"/>
          <w:sz w:val="21"/>
          <w:szCs w:val="21"/>
          <w:spacing w:val="4"/>
        </w:rPr>
        <w:t>第二十二条  国家依法开展中小企业发展环境评估和营商环境</w:t>
      </w:r>
      <w:r>
        <w:rPr>
          <w:rFonts w:ascii="SimSun" w:hAnsi="SimSun" w:eastAsia="SimSun" w:cs="SimSun"/>
          <w:sz w:val="21"/>
          <w:szCs w:val="21"/>
          <w:spacing w:val="6"/>
        </w:rPr>
        <w:t xml:space="preserve"> </w:t>
      </w:r>
      <w:r>
        <w:rPr>
          <w:rFonts w:ascii="SimSun" w:hAnsi="SimSun" w:eastAsia="SimSun" w:cs="SimSun"/>
          <w:sz w:val="21"/>
          <w:szCs w:val="21"/>
          <w:spacing w:val="4"/>
        </w:rPr>
        <w:t>评价时，应当将及时支付中小企业款项工作情况纳入评估和评价内</w:t>
      </w:r>
      <w:r>
        <w:rPr>
          <w:rFonts w:ascii="SimSun" w:hAnsi="SimSun" w:eastAsia="SimSun" w:cs="SimSun"/>
          <w:sz w:val="21"/>
          <w:szCs w:val="21"/>
          <w:spacing w:val="11"/>
        </w:rPr>
        <w:t xml:space="preserve"> </w:t>
      </w:r>
      <w:r>
        <w:rPr>
          <w:rFonts w:ascii="SimSun" w:hAnsi="SimSun" w:eastAsia="SimSun" w:cs="SimSun"/>
          <w:sz w:val="21"/>
          <w:szCs w:val="21"/>
          <w:spacing w:val="-4"/>
        </w:rPr>
        <w:t>容。</w:t>
      </w:r>
    </w:p>
    <w:p>
      <w:pPr>
        <w:ind w:right="12" w:firstLine="429"/>
        <w:spacing w:before="70" w:line="260" w:lineRule="auto"/>
        <w:rPr>
          <w:rFonts w:ascii="SimSun" w:hAnsi="SimSun" w:eastAsia="SimSun" w:cs="SimSun"/>
          <w:sz w:val="21"/>
          <w:szCs w:val="21"/>
        </w:rPr>
      </w:pPr>
      <w:r>
        <w:rPr>
          <w:rFonts w:ascii="SimSun" w:hAnsi="SimSun" w:eastAsia="SimSun" w:cs="SimSun"/>
          <w:sz w:val="21"/>
          <w:szCs w:val="21"/>
          <w:spacing w:val="4"/>
        </w:rPr>
        <w:t>第二十三条  国务院负责中小企业促进工作综合管理的部门依</w:t>
      </w:r>
      <w:r>
        <w:rPr>
          <w:rFonts w:ascii="SimSun" w:hAnsi="SimSun" w:eastAsia="SimSun" w:cs="SimSun"/>
          <w:sz w:val="21"/>
          <w:szCs w:val="21"/>
          <w:spacing w:val="9"/>
        </w:rPr>
        <w:t xml:space="preserve"> </w:t>
      </w:r>
      <w:r>
        <w:rPr>
          <w:rFonts w:ascii="SimSun" w:hAnsi="SimSun" w:eastAsia="SimSun" w:cs="SimSun"/>
          <w:sz w:val="21"/>
          <w:szCs w:val="21"/>
          <w:spacing w:val="3"/>
        </w:rPr>
        <w:t>据国务院批准的中小企业划分标准，建立企业规模类型测</w:t>
      </w:r>
      <w:r>
        <w:rPr>
          <w:rFonts w:ascii="SimSun" w:hAnsi="SimSun" w:eastAsia="SimSun" w:cs="SimSun"/>
          <w:sz w:val="21"/>
          <w:szCs w:val="21"/>
          <w:spacing w:val="2"/>
        </w:rPr>
        <w:t>试平台，</w:t>
      </w:r>
      <w:r>
        <w:rPr>
          <w:rFonts w:ascii="SimSun" w:hAnsi="SimSun" w:eastAsia="SimSun" w:cs="SimSun"/>
          <w:sz w:val="21"/>
          <w:szCs w:val="21"/>
        </w:rPr>
        <w:t xml:space="preserve"> </w:t>
      </w:r>
      <w:r>
        <w:rPr>
          <w:rFonts w:ascii="SimSun" w:hAnsi="SimSun" w:eastAsia="SimSun" w:cs="SimSun"/>
          <w:sz w:val="21"/>
          <w:szCs w:val="21"/>
          <w:spacing w:val="-3"/>
        </w:rPr>
        <w:t>提供中小企业规模类型自测服务。</w:t>
      </w:r>
    </w:p>
    <w:p>
      <w:pPr>
        <w:ind w:right="33" w:firstLine="429"/>
        <w:spacing w:before="80" w:line="267" w:lineRule="auto"/>
        <w:rPr>
          <w:rFonts w:ascii="SimSun" w:hAnsi="SimSun" w:eastAsia="SimSun" w:cs="SimSun"/>
          <w:sz w:val="21"/>
          <w:szCs w:val="21"/>
        </w:rPr>
      </w:pPr>
      <w:r>
        <w:rPr>
          <w:rFonts w:ascii="SimSun" w:hAnsi="SimSun" w:eastAsia="SimSun" w:cs="SimSun"/>
          <w:sz w:val="21"/>
          <w:szCs w:val="21"/>
          <w:spacing w:val="3"/>
        </w:rPr>
        <w:t>对中小企业规模类型有争议的，可以向主张为中小企业一方所</w:t>
      </w:r>
      <w:r>
        <w:rPr>
          <w:rFonts w:ascii="SimSun" w:hAnsi="SimSun" w:eastAsia="SimSun" w:cs="SimSun"/>
          <w:sz w:val="21"/>
          <w:szCs w:val="21"/>
          <w:spacing w:val="15"/>
        </w:rPr>
        <w:t xml:space="preserve"> </w:t>
      </w:r>
      <w:r>
        <w:rPr>
          <w:rFonts w:ascii="SimSun" w:hAnsi="SimSun" w:eastAsia="SimSun" w:cs="SimSun"/>
          <w:sz w:val="21"/>
          <w:szCs w:val="21"/>
          <w:spacing w:val="4"/>
        </w:rPr>
        <w:t>在地的县级以上地方人民政府负责中小企业促进工作</w:t>
      </w:r>
      <w:r>
        <w:rPr>
          <w:rFonts w:ascii="SimSun" w:hAnsi="SimSun" w:eastAsia="SimSun" w:cs="SimSun"/>
          <w:sz w:val="21"/>
          <w:szCs w:val="21"/>
          <w:spacing w:val="3"/>
        </w:rPr>
        <w:t>综合管理的部</w:t>
      </w:r>
      <w:r>
        <w:rPr>
          <w:rFonts w:ascii="SimSun" w:hAnsi="SimSun" w:eastAsia="SimSun" w:cs="SimSun"/>
          <w:sz w:val="21"/>
          <w:szCs w:val="21"/>
        </w:rPr>
        <w:t xml:space="preserve"> </w:t>
      </w:r>
      <w:r>
        <w:rPr>
          <w:rFonts w:ascii="SimSun" w:hAnsi="SimSun" w:eastAsia="SimSun" w:cs="SimSun"/>
          <w:sz w:val="21"/>
          <w:szCs w:val="21"/>
          <w:spacing w:val="-5"/>
        </w:rPr>
        <w:t>门申请认定。</w:t>
      </w:r>
    </w:p>
    <w:p>
      <w:pPr>
        <w:ind w:right="14" w:firstLine="429"/>
        <w:spacing w:before="70" w:line="259" w:lineRule="auto"/>
        <w:rPr>
          <w:rFonts w:ascii="SimSun" w:hAnsi="SimSun" w:eastAsia="SimSun" w:cs="SimSun"/>
          <w:sz w:val="21"/>
          <w:szCs w:val="21"/>
        </w:rPr>
      </w:pPr>
      <w:r>
        <w:rPr>
          <w:rFonts w:ascii="SimSun" w:hAnsi="SimSun" w:eastAsia="SimSun" w:cs="SimSun"/>
          <w:sz w:val="21"/>
          <w:szCs w:val="21"/>
          <w:spacing w:val="4"/>
        </w:rPr>
        <w:t>第二十四条  国家鼓励法律服务机构为与机关、事业单位和大</w:t>
      </w:r>
      <w:r>
        <w:rPr>
          <w:rFonts w:ascii="SimSun" w:hAnsi="SimSun" w:eastAsia="SimSun" w:cs="SimSun"/>
          <w:sz w:val="21"/>
          <w:szCs w:val="21"/>
          <w:spacing w:val="7"/>
        </w:rPr>
        <w:t xml:space="preserve"> </w:t>
      </w:r>
      <w:r>
        <w:rPr>
          <w:rFonts w:ascii="SimSun" w:hAnsi="SimSun" w:eastAsia="SimSun" w:cs="SimSun"/>
          <w:sz w:val="21"/>
          <w:szCs w:val="21"/>
          <w:spacing w:val="-4"/>
        </w:rPr>
        <w:t>型企业存在支付纠纷的中小企业提供法律服务。</w:t>
      </w:r>
    </w:p>
    <w:p>
      <w:pPr>
        <w:ind w:right="32" w:firstLine="429"/>
        <w:spacing w:before="60" w:line="261" w:lineRule="auto"/>
        <w:rPr>
          <w:rFonts w:ascii="SimSun" w:hAnsi="SimSun" w:eastAsia="SimSun" w:cs="SimSun"/>
          <w:sz w:val="21"/>
          <w:szCs w:val="21"/>
        </w:rPr>
      </w:pPr>
      <w:r>
        <w:rPr>
          <w:rFonts w:ascii="SimSun" w:hAnsi="SimSun" w:eastAsia="SimSun" w:cs="SimSun"/>
          <w:sz w:val="21"/>
          <w:szCs w:val="21"/>
          <w:spacing w:val="3"/>
        </w:rPr>
        <w:t>新闻媒体应当开展对及时支付中小企业款项相关法律法规政策</w:t>
      </w:r>
      <w:r>
        <w:rPr>
          <w:rFonts w:ascii="SimSun" w:hAnsi="SimSun" w:eastAsia="SimSun" w:cs="SimSun"/>
          <w:sz w:val="21"/>
          <w:szCs w:val="21"/>
          <w:spacing w:val="17"/>
        </w:rPr>
        <w:t xml:space="preserve"> </w:t>
      </w:r>
      <w:r>
        <w:rPr>
          <w:rFonts w:ascii="SimSun" w:hAnsi="SimSun" w:eastAsia="SimSun" w:cs="SimSun"/>
          <w:sz w:val="21"/>
          <w:szCs w:val="21"/>
          <w:spacing w:val="4"/>
        </w:rPr>
        <w:t>的公益宣传，依法加强对机关、事业单位和大型企业拒</w:t>
      </w:r>
      <w:r>
        <w:rPr>
          <w:rFonts w:ascii="SimSun" w:hAnsi="SimSun" w:eastAsia="SimSun" w:cs="SimSun"/>
          <w:sz w:val="21"/>
          <w:szCs w:val="21"/>
          <w:spacing w:val="3"/>
        </w:rPr>
        <w:t>绝或者迟延</w:t>
      </w:r>
      <w:r>
        <w:rPr>
          <w:rFonts w:ascii="SimSun" w:hAnsi="SimSun" w:eastAsia="SimSun" w:cs="SimSun"/>
          <w:sz w:val="21"/>
          <w:szCs w:val="21"/>
        </w:rPr>
        <w:t xml:space="preserve"> </w:t>
      </w:r>
      <w:r>
        <w:rPr>
          <w:rFonts w:ascii="SimSun" w:hAnsi="SimSun" w:eastAsia="SimSun" w:cs="SimSun"/>
          <w:sz w:val="21"/>
          <w:szCs w:val="21"/>
          <w:spacing w:val="-5"/>
        </w:rPr>
        <w:t>支付中小企业款项行为的舆论监督。</w:t>
      </w:r>
    </w:p>
    <w:p>
      <w:pPr>
        <w:ind w:right="33" w:firstLine="429"/>
        <w:spacing w:before="91" w:line="266" w:lineRule="auto"/>
        <w:rPr>
          <w:rFonts w:ascii="SimSun" w:hAnsi="SimSun" w:eastAsia="SimSun" w:cs="SimSun"/>
          <w:sz w:val="21"/>
          <w:szCs w:val="21"/>
        </w:rPr>
      </w:pPr>
      <w:r>
        <w:rPr>
          <w:rFonts w:ascii="SimSun" w:hAnsi="SimSun" w:eastAsia="SimSun" w:cs="SimSun"/>
          <w:sz w:val="21"/>
          <w:szCs w:val="21"/>
          <w:spacing w:val="-1"/>
        </w:rPr>
        <w:t>第二十五条 机关、事业单位违反本条例，有下列情形</w:t>
      </w:r>
      <w:r>
        <w:rPr>
          <w:rFonts w:ascii="SimSun" w:hAnsi="SimSun" w:eastAsia="SimSun" w:cs="SimSun"/>
          <w:sz w:val="21"/>
          <w:szCs w:val="21"/>
          <w:spacing w:val="-2"/>
        </w:rPr>
        <w:t>之一的，</w:t>
      </w:r>
      <w:r>
        <w:rPr>
          <w:rFonts w:ascii="SimSun" w:hAnsi="SimSun" w:eastAsia="SimSun" w:cs="SimSun"/>
          <w:sz w:val="21"/>
          <w:szCs w:val="21"/>
        </w:rPr>
        <w:t xml:space="preserve"> </w:t>
      </w:r>
      <w:r>
        <w:rPr>
          <w:rFonts w:ascii="SimSun" w:hAnsi="SimSun" w:eastAsia="SimSun" w:cs="SimSun"/>
          <w:sz w:val="21"/>
          <w:szCs w:val="21"/>
          <w:spacing w:val="4"/>
        </w:rPr>
        <w:t>由其上级机关、主管部门责令改正；拒不改正的，对</w:t>
      </w:r>
      <w:r>
        <w:rPr>
          <w:rFonts w:ascii="SimSun" w:hAnsi="SimSun" w:eastAsia="SimSun" w:cs="SimSun"/>
          <w:sz w:val="21"/>
          <w:szCs w:val="21"/>
          <w:spacing w:val="3"/>
        </w:rPr>
        <w:t>直接负责的主</w:t>
      </w:r>
      <w:r>
        <w:rPr>
          <w:rFonts w:ascii="SimSun" w:hAnsi="SimSun" w:eastAsia="SimSun" w:cs="SimSun"/>
          <w:sz w:val="21"/>
          <w:szCs w:val="21"/>
        </w:rPr>
        <w:t xml:space="preserve"> </w:t>
      </w:r>
      <w:r>
        <w:rPr>
          <w:rFonts w:ascii="SimSun" w:hAnsi="SimSun" w:eastAsia="SimSun" w:cs="SimSun"/>
          <w:sz w:val="21"/>
          <w:szCs w:val="21"/>
          <w:spacing w:val="-4"/>
        </w:rPr>
        <w:t>管人员和其他直接责任人员依法给予处分：</w:t>
      </w:r>
    </w:p>
    <w:p>
      <w:pPr>
        <w:spacing w:before="61" w:line="219" w:lineRule="auto"/>
        <w:jc w:val="right"/>
        <w:rPr>
          <w:rFonts w:ascii="SimSun" w:hAnsi="SimSun" w:eastAsia="SimSun" w:cs="SimSun"/>
          <w:sz w:val="21"/>
          <w:szCs w:val="21"/>
        </w:rPr>
      </w:pPr>
      <w:r>
        <w:rPr>
          <w:rFonts w:ascii="SimSun" w:hAnsi="SimSun" w:eastAsia="SimSun" w:cs="SimSun"/>
          <w:sz w:val="21"/>
          <w:szCs w:val="21"/>
          <w:spacing w:val="1"/>
        </w:rPr>
        <w:t>(一)未在规定的期限内支付中小企业货物、工程、服务款项；</w:t>
      </w:r>
    </w:p>
    <w:p>
      <w:pPr>
        <w:ind w:left="519"/>
        <w:spacing w:before="93" w:line="219" w:lineRule="auto"/>
        <w:rPr>
          <w:rFonts w:ascii="SimSun" w:hAnsi="SimSun" w:eastAsia="SimSun" w:cs="SimSun"/>
          <w:sz w:val="21"/>
          <w:szCs w:val="21"/>
        </w:rPr>
      </w:pPr>
      <w:r>
        <w:rPr>
          <w:rFonts w:ascii="SimSun" w:hAnsi="SimSun" w:eastAsia="SimSun" w:cs="SimSun"/>
          <w:sz w:val="21"/>
          <w:szCs w:val="21"/>
          <w:spacing w:val="6"/>
        </w:rPr>
        <w:t>(二)拖延检验、验收；</w:t>
      </w:r>
    </w:p>
    <w:p>
      <w:pPr>
        <w:ind w:right="29" w:firstLine="519"/>
        <w:spacing w:before="69" w:line="255" w:lineRule="auto"/>
        <w:rPr>
          <w:rFonts w:ascii="SimSun" w:hAnsi="SimSun" w:eastAsia="SimSun" w:cs="SimSun"/>
          <w:sz w:val="21"/>
          <w:szCs w:val="21"/>
        </w:rPr>
      </w:pPr>
      <w:r>
        <w:rPr>
          <w:rFonts w:ascii="SimSun" w:hAnsi="SimSun" w:eastAsia="SimSun" w:cs="SimSun"/>
          <w:sz w:val="21"/>
          <w:szCs w:val="21"/>
          <w:spacing w:val="8"/>
        </w:rPr>
        <w:t>(三)强制中小企业接受商业汇票等非现金支付方式，或者利 </w:t>
      </w:r>
      <w:r>
        <w:rPr>
          <w:rFonts w:ascii="SimSun" w:hAnsi="SimSun" w:eastAsia="SimSun" w:cs="SimSun"/>
          <w:sz w:val="21"/>
          <w:szCs w:val="21"/>
          <w:spacing w:val="-3"/>
        </w:rPr>
        <w:t>用商业汇票等非现金支付方式变相延长付款期限；</w:t>
      </w:r>
    </w:p>
    <w:p>
      <w:pPr>
        <w:spacing w:line="255" w:lineRule="auto"/>
        <w:sectPr>
          <w:footerReference w:type="default" r:id="rId71"/>
          <w:pgSz w:w="8220" w:h="11910"/>
          <w:pgMar w:top="400" w:right="1004" w:bottom="942" w:left="979" w:header="0" w:footer="783" w:gutter="0"/>
        </w:sectPr>
        <w:rPr>
          <w:rFonts w:ascii="SimSun" w:hAnsi="SimSun" w:eastAsia="SimSun" w:cs="SimSun"/>
          <w:sz w:val="21"/>
          <w:szCs w:val="21"/>
        </w:rPr>
      </w:pPr>
    </w:p>
    <w:p>
      <w:pPr>
        <w:pStyle w:val="BodyText"/>
        <w:spacing w:line="320" w:lineRule="auto"/>
        <w:rPr/>
      </w:pPr>
      <w:r/>
    </w:p>
    <w:p>
      <w:pPr>
        <w:pStyle w:val="BodyText"/>
        <w:spacing w:line="321" w:lineRule="auto"/>
        <w:rPr/>
      </w:pPr>
      <w:r/>
    </w:p>
    <w:p>
      <w:pPr>
        <w:ind w:right="117" w:firstLine="519"/>
        <w:spacing w:before="72" w:line="244" w:lineRule="auto"/>
        <w:rPr>
          <w:rFonts w:ascii="SimSun" w:hAnsi="SimSun" w:eastAsia="SimSun" w:cs="SimSun"/>
          <w:sz w:val="22"/>
          <w:szCs w:val="22"/>
        </w:rPr>
      </w:pPr>
      <w:r>
        <w:rPr>
          <w:rFonts w:ascii="SimSun" w:hAnsi="SimSun" w:eastAsia="SimSun" w:cs="SimSun"/>
          <w:sz w:val="22"/>
          <w:szCs w:val="22"/>
          <w:spacing w:val="-2"/>
        </w:rPr>
        <w:t>(四)没有法律、行政法规依据或者合同约定，要求以审计机</w:t>
      </w:r>
      <w:r>
        <w:rPr>
          <w:rFonts w:ascii="SimSun" w:hAnsi="SimSun" w:eastAsia="SimSun" w:cs="SimSun"/>
          <w:sz w:val="22"/>
          <w:szCs w:val="22"/>
          <w:spacing w:val="5"/>
        </w:rPr>
        <w:t xml:space="preserve"> </w:t>
      </w:r>
      <w:r>
        <w:rPr>
          <w:rFonts w:ascii="SimSun" w:hAnsi="SimSun" w:eastAsia="SimSun" w:cs="SimSun"/>
          <w:sz w:val="22"/>
          <w:szCs w:val="22"/>
          <w:spacing w:val="-13"/>
        </w:rPr>
        <w:t>关的审计结果作为结算依据；</w:t>
      </w:r>
    </w:p>
    <w:p>
      <w:pPr>
        <w:ind w:right="19" w:firstLine="519"/>
        <w:spacing w:before="70" w:line="244" w:lineRule="auto"/>
        <w:rPr>
          <w:rFonts w:ascii="SimSun" w:hAnsi="SimSun" w:eastAsia="SimSun" w:cs="SimSun"/>
          <w:sz w:val="22"/>
          <w:szCs w:val="22"/>
        </w:rPr>
      </w:pPr>
      <w:r>
        <w:rPr>
          <w:rFonts w:ascii="SimSun" w:hAnsi="SimSun" w:eastAsia="SimSun" w:cs="SimSun"/>
          <w:sz w:val="22"/>
          <w:szCs w:val="22"/>
          <w:spacing w:val="-14"/>
        </w:rPr>
        <w:t>(五)违法收取保证金，拒绝接受中小企业提供的金融机构保函，</w:t>
      </w:r>
      <w:r>
        <w:rPr>
          <w:rFonts w:ascii="SimSun" w:hAnsi="SimSun" w:eastAsia="SimSun" w:cs="SimSun"/>
          <w:sz w:val="22"/>
          <w:szCs w:val="22"/>
          <w:spacing w:val="15"/>
        </w:rPr>
        <w:t xml:space="preserve"> </w:t>
      </w:r>
      <w:r>
        <w:rPr>
          <w:rFonts w:ascii="SimSun" w:hAnsi="SimSun" w:eastAsia="SimSun" w:cs="SimSun"/>
          <w:sz w:val="22"/>
          <w:szCs w:val="22"/>
          <w:spacing w:val="-12"/>
        </w:rPr>
        <w:t>或者不及时与中小企业对保证金进行核实、结算；</w:t>
      </w:r>
    </w:p>
    <w:p>
      <w:pPr>
        <w:ind w:right="99" w:firstLine="519"/>
        <w:spacing w:before="67" w:line="258" w:lineRule="auto"/>
        <w:rPr>
          <w:rFonts w:ascii="SimSun" w:hAnsi="SimSun" w:eastAsia="SimSun" w:cs="SimSun"/>
          <w:sz w:val="22"/>
          <w:szCs w:val="22"/>
        </w:rPr>
      </w:pPr>
      <w:r>
        <w:rPr>
          <w:rFonts w:ascii="SimSun" w:hAnsi="SimSun" w:eastAsia="SimSun" w:cs="SimSun"/>
          <w:sz w:val="22"/>
          <w:szCs w:val="22"/>
          <w:spacing w:val="-10"/>
        </w:rPr>
        <w:t>(六)以法定代表人或者主要负责人变更，履行内部付款流程，</w:t>
      </w:r>
      <w:r>
        <w:rPr>
          <w:rFonts w:ascii="SimSun" w:hAnsi="SimSun" w:eastAsia="SimSun" w:cs="SimSun"/>
          <w:sz w:val="22"/>
          <w:szCs w:val="22"/>
          <w:spacing w:val="9"/>
        </w:rPr>
        <w:t xml:space="preserve"> </w:t>
      </w:r>
      <w:r>
        <w:rPr>
          <w:rFonts w:ascii="SimSun" w:hAnsi="SimSun" w:eastAsia="SimSun" w:cs="SimSun"/>
          <w:sz w:val="22"/>
          <w:szCs w:val="22"/>
          <w:spacing w:val="-6"/>
        </w:rPr>
        <w:t>或者在合同未作约定的情况下以等待竣工验收批复、决算审计等为</w:t>
      </w:r>
      <w:r>
        <w:rPr>
          <w:rFonts w:ascii="SimSun" w:hAnsi="SimSun" w:eastAsia="SimSun" w:cs="SimSun"/>
          <w:sz w:val="22"/>
          <w:szCs w:val="22"/>
          <w:spacing w:val="3"/>
        </w:rPr>
        <w:t xml:space="preserve"> </w:t>
      </w:r>
      <w:r>
        <w:rPr>
          <w:rFonts w:ascii="SimSun" w:hAnsi="SimSun" w:eastAsia="SimSun" w:cs="SimSun"/>
          <w:sz w:val="22"/>
          <w:szCs w:val="22"/>
          <w:spacing w:val="-14"/>
        </w:rPr>
        <w:t>由，拒绝或者迟延支付中小企业款项；</w:t>
      </w:r>
    </w:p>
    <w:p>
      <w:pPr>
        <w:ind w:left="519"/>
        <w:spacing w:before="59" w:line="219" w:lineRule="auto"/>
        <w:rPr>
          <w:rFonts w:ascii="SimSun" w:hAnsi="SimSun" w:eastAsia="SimSun" w:cs="SimSun"/>
          <w:sz w:val="22"/>
          <w:szCs w:val="22"/>
        </w:rPr>
      </w:pPr>
      <w:r>
        <w:rPr>
          <w:rFonts w:ascii="SimSun" w:hAnsi="SimSun" w:eastAsia="SimSun" w:cs="SimSun"/>
          <w:sz w:val="22"/>
          <w:szCs w:val="22"/>
          <w:spacing w:val="-7"/>
        </w:rPr>
        <w:t>(七)未按照规定公开逾期尚未支付中小企业款项信息；</w:t>
      </w:r>
    </w:p>
    <w:p>
      <w:pPr>
        <w:ind w:left="519"/>
        <w:spacing w:before="58" w:line="219" w:lineRule="auto"/>
        <w:rPr>
          <w:rFonts w:ascii="SimSun" w:hAnsi="SimSun" w:eastAsia="SimSun" w:cs="SimSun"/>
          <w:sz w:val="22"/>
          <w:szCs w:val="22"/>
        </w:rPr>
      </w:pPr>
      <w:r>
        <w:rPr>
          <w:rFonts w:ascii="SimSun" w:hAnsi="SimSun" w:eastAsia="SimSun" w:cs="SimSun"/>
          <w:sz w:val="22"/>
          <w:szCs w:val="22"/>
          <w:spacing w:val="-5"/>
        </w:rPr>
        <w:t>(八)对投诉人进行恐吓、打击报复。</w:t>
      </w:r>
    </w:p>
    <w:p>
      <w:pPr>
        <w:ind w:right="90" w:firstLine="440"/>
        <w:spacing w:before="57" w:line="252" w:lineRule="auto"/>
        <w:rPr>
          <w:rFonts w:ascii="SimSun" w:hAnsi="SimSun" w:eastAsia="SimSun" w:cs="SimSun"/>
          <w:sz w:val="22"/>
          <w:szCs w:val="22"/>
        </w:rPr>
      </w:pPr>
      <w:r>
        <w:rPr>
          <w:rFonts w:ascii="SimSun" w:hAnsi="SimSun" w:eastAsia="SimSun" w:cs="SimSun"/>
          <w:sz w:val="22"/>
          <w:szCs w:val="22"/>
          <w:spacing w:val="-6"/>
        </w:rPr>
        <w:t>第二十六条</w:t>
      </w:r>
      <w:r>
        <w:rPr>
          <w:rFonts w:ascii="SimSun" w:hAnsi="SimSun" w:eastAsia="SimSun" w:cs="SimSun"/>
          <w:sz w:val="22"/>
          <w:szCs w:val="22"/>
          <w:spacing w:val="105"/>
        </w:rPr>
        <w:t xml:space="preserve"> </w:t>
      </w:r>
      <w:r>
        <w:rPr>
          <w:rFonts w:ascii="SimSun" w:hAnsi="SimSun" w:eastAsia="SimSun" w:cs="SimSun"/>
          <w:sz w:val="22"/>
          <w:szCs w:val="22"/>
          <w:spacing w:val="-6"/>
        </w:rPr>
        <w:t>机关、事业单位有下列情形之一的，依照法律、</w:t>
      </w:r>
      <w:r>
        <w:rPr>
          <w:rFonts w:ascii="SimSun" w:hAnsi="SimSun" w:eastAsia="SimSun" w:cs="SimSun"/>
          <w:sz w:val="22"/>
          <w:szCs w:val="22"/>
        </w:rPr>
        <w:t xml:space="preserve"> </w:t>
      </w:r>
      <w:r>
        <w:rPr>
          <w:rFonts w:ascii="SimSun" w:hAnsi="SimSun" w:eastAsia="SimSun" w:cs="SimSun"/>
          <w:sz w:val="22"/>
          <w:szCs w:val="22"/>
          <w:spacing w:val="-13"/>
        </w:rPr>
        <w:t>行政法规和国家有关规定追究责任：</w:t>
      </w:r>
    </w:p>
    <w:p>
      <w:pPr>
        <w:ind w:right="117" w:firstLine="519"/>
        <w:spacing w:before="60" w:line="244" w:lineRule="auto"/>
        <w:rPr>
          <w:rFonts w:ascii="SimSun" w:hAnsi="SimSun" w:eastAsia="SimSun" w:cs="SimSun"/>
          <w:sz w:val="22"/>
          <w:szCs w:val="22"/>
        </w:rPr>
      </w:pPr>
      <w:r>
        <w:rPr>
          <w:rFonts w:ascii="SimSun" w:hAnsi="SimSun" w:eastAsia="SimSun" w:cs="SimSun"/>
          <w:sz w:val="22"/>
          <w:szCs w:val="22"/>
          <w:spacing w:val="-2"/>
        </w:rPr>
        <w:t>(一)使用财政资金从中小企业采购货物、工程、服务，未按</w:t>
      </w:r>
      <w:r>
        <w:rPr>
          <w:rFonts w:ascii="SimSun" w:hAnsi="SimSun" w:eastAsia="SimSun" w:cs="SimSun"/>
          <w:sz w:val="22"/>
          <w:szCs w:val="22"/>
          <w:spacing w:val="5"/>
        </w:rPr>
        <w:t xml:space="preserve"> </w:t>
      </w:r>
      <w:r>
        <w:rPr>
          <w:rFonts w:ascii="SimSun" w:hAnsi="SimSun" w:eastAsia="SimSun" w:cs="SimSun"/>
          <w:sz w:val="22"/>
          <w:szCs w:val="22"/>
          <w:spacing w:val="-14"/>
        </w:rPr>
        <w:t>照批准的预算执行；</w:t>
      </w:r>
    </w:p>
    <w:p>
      <w:pPr>
        <w:ind w:left="519"/>
        <w:spacing w:before="58" w:line="219" w:lineRule="auto"/>
        <w:rPr>
          <w:rFonts w:ascii="SimSun" w:hAnsi="SimSun" w:eastAsia="SimSun" w:cs="SimSun"/>
          <w:sz w:val="22"/>
          <w:szCs w:val="22"/>
        </w:rPr>
      </w:pPr>
      <w:r>
        <w:rPr>
          <w:rFonts w:ascii="SimSun" w:hAnsi="SimSun" w:eastAsia="SimSun" w:cs="SimSun"/>
          <w:sz w:val="22"/>
          <w:szCs w:val="22"/>
          <w:spacing w:val="-6"/>
        </w:rPr>
        <w:t>(二)要求施工单位对政府投资项目垫资建设。</w:t>
      </w:r>
    </w:p>
    <w:p>
      <w:pPr>
        <w:ind w:right="98" w:firstLine="440"/>
        <w:spacing w:before="69" w:line="252" w:lineRule="auto"/>
        <w:rPr>
          <w:rFonts w:ascii="SimSun" w:hAnsi="SimSun" w:eastAsia="SimSun" w:cs="SimSun"/>
          <w:sz w:val="22"/>
          <w:szCs w:val="22"/>
        </w:rPr>
      </w:pPr>
      <w:r>
        <w:rPr>
          <w:rFonts w:ascii="SimSun" w:hAnsi="SimSun" w:eastAsia="SimSun" w:cs="SimSun"/>
          <w:sz w:val="22"/>
          <w:szCs w:val="22"/>
          <w:spacing w:val="-6"/>
        </w:rPr>
        <w:t>第二十七条</w:t>
      </w:r>
      <w:r>
        <w:rPr>
          <w:rFonts w:ascii="SimSun" w:hAnsi="SimSun" w:eastAsia="SimSun" w:cs="SimSun"/>
          <w:sz w:val="22"/>
          <w:szCs w:val="22"/>
          <w:spacing w:val="95"/>
        </w:rPr>
        <w:t xml:space="preserve"> </w:t>
      </w:r>
      <w:r>
        <w:rPr>
          <w:rFonts w:ascii="SimSun" w:hAnsi="SimSun" w:eastAsia="SimSun" w:cs="SimSun"/>
          <w:sz w:val="22"/>
          <w:szCs w:val="22"/>
          <w:spacing w:val="-6"/>
        </w:rPr>
        <w:t>大型企业违反本条例，未按照规定在企业年度报</w:t>
      </w:r>
      <w:r>
        <w:rPr>
          <w:rFonts w:ascii="SimSun" w:hAnsi="SimSun" w:eastAsia="SimSun" w:cs="SimSun"/>
          <w:sz w:val="22"/>
          <w:szCs w:val="22"/>
        </w:rPr>
        <w:t xml:space="preserve"> </w:t>
      </w:r>
      <w:r>
        <w:rPr>
          <w:rFonts w:ascii="SimSun" w:hAnsi="SimSun" w:eastAsia="SimSun" w:cs="SimSun"/>
          <w:sz w:val="22"/>
          <w:szCs w:val="22"/>
          <w:spacing w:val="-6"/>
        </w:rPr>
        <w:t>告中公示逾期尚未支付中小企业款项信息或者隐瞒真实情况、弄虚</w:t>
      </w:r>
      <w:r>
        <w:rPr>
          <w:rFonts w:ascii="SimSun" w:hAnsi="SimSun" w:eastAsia="SimSun" w:cs="SimSun"/>
          <w:sz w:val="22"/>
          <w:szCs w:val="22"/>
          <w:spacing w:val="4"/>
        </w:rPr>
        <w:t xml:space="preserve"> </w:t>
      </w:r>
      <w:r>
        <w:rPr>
          <w:rFonts w:ascii="SimSun" w:hAnsi="SimSun" w:eastAsia="SimSun" w:cs="SimSun"/>
          <w:sz w:val="22"/>
          <w:szCs w:val="22"/>
          <w:spacing w:val="-13"/>
        </w:rPr>
        <w:t>作假的，由市场监督管理部门依法处理。</w:t>
      </w:r>
    </w:p>
    <w:p>
      <w:pPr>
        <w:ind w:right="90" w:firstLine="440"/>
        <w:spacing w:before="78" w:line="257" w:lineRule="auto"/>
        <w:rPr>
          <w:rFonts w:ascii="SimSun" w:hAnsi="SimSun" w:eastAsia="SimSun" w:cs="SimSun"/>
          <w:sz w:val="22"/>
          <w:szCs w:val="22"/>
        </w:rPr>
      </w:pPr>
      <w:r>
        <w:rPr>
          <w:rFonts w:ascii="SimSun" w:hAnsi="SimSun" w:eastAsia="SimSun" w:cs="SimSun"/>
          <w:sz w:val="22"/>
          <w:szCs w:val="22"/>
          <w:spacing w:val="-6"/>
        </w:rPr>
        <w:t>国有大型企业没有合同约定或者法律、行政法规依据，要求以</w:t>
      </w:r>
      <w:r>
        <w:rPr>
          <w:rFonts w:ascii="SimSun" w:hAnsi="SimSun" w:eastAsia="SimSun" w:cs="SimSun"/>
          <w:sz w:val="22"/>
          <w:szCs w:val="22"/>
        </w:rPr>
        <w:t xml:space="preserve"> </w:t>
      </w:r>
      <w:r>
        <w:rPr>
          <w:rFonts w:ascii="SimSun" w:hAnsi="SimSun" w:eastAsia="SimSun" w:cs="SimSun"/>
          <w:sz w:val="22"/>
          <w:szCs w:val="22"/>
          <w:spacing w:val="-6"/>
        </w:rPr>
        <w:t>审计机关的审计结果作为结算依据的，由其主管部门责令改正；拒</w:t>
      </w:r>
      <w:r>
        <w:rPr>
          <w:rFonts w:ascii="SimSun" w:hAnsi="SimSun" w:eastAsia="SimSun" w:cs="SimSun"/>
          <w:sz w:val="22"/>
          <w:szCs w:val="22"/>
          <w:spacing w:val="6"/>
        </w:rPr>
        <w:t xml:space="preserve"> </w:t>
      </w:r>
      <w:r>
        <w:rPr>
          <w:rFonts w:ascii="SimSun" w:hAnsi="SimSun" w:eastAsia="SimSun" w:cs="SimSun"/>
          <w:sz w:val="22"/>
          <w:szCs w:val="22"/>
          <w:spacing w:val="-7"/>
        </w:rPr>
        <w:t>不改正的，对直接负责的主管人员和其他直接责任人员依法给予处</w:t>
      </w:r>
      <w:r>
        <w:rPr>
          <w:rFonts w:ascii="SimSun" w:hAnsi="SimSun" w:eastAsia="SimSun" w:cs="SimSun"/>
          <w:sz w:val="22"/>
          <w:szCs w:val="22"/>
          <w:spacing w:val="11"/>
        </w:rPr>
        <w:t xml:space="preserve"> </w:t>
      </w:r>
      <w:r>
        <w:rPr>
          <w:rFonts w:ascii="SimSun" w:hAnsi="SimSun" w:eastAsia="SimSun" w:cs="SimSun"/>
          <w:sz w:val="22"/>
          <w:szCs w:val="22"/>
          <w:spacing w:val="-11"/>
        </w:rPr>
        <w:t>分。</w:t>
      </w:r>
    </w:p>
    <w:p>
      <w:pPr>
        <w:ind w:firstLine="440"/>
        <w:spacing w:before="76" w:line="258" w:lineRule="auto"/>
        <w:rPr>
          <w:rFonts w:ascii="SimSun" w:hAnsi="SimSun" w:eastAsia="SimSun" w:cs="SimSun"/>
          <w:sz w:val="22"/>
          <w:szCs w:val="22"/>
        </w:rPr>
      </w:pPr>
      <w:r>
        <w:rPr>
          <w:rFonts w:ascii="SimSun" w:hAnsi="SimSun" w:eastAsia="SimSun" w:cs="SimSun"/>
          <w:sz w:val="22"/>
          <w:szCs w:val="22"/>
          <w:spacing w:val="-10"/>
        </w:rPr>
        <w:t>第二十八条</w:t>
      </w:r>
      <w:r>
        <w:rPr>
          <w:rFonts w:ascii="SimSun" w:hAnsi="SimSun" w:eastAsia="SimSun" w:cs="SimSun"/>
          <w:sz w:val="22"/>
          <w:szCs w:val="22"/>
          <w:spacing w:val="92"/>
        </w:rPr>
        <w:t xml:space="preserve"> </w:t>
      </w:r>
      <w:r>
        <w:rPr>
          <w:rFonts w:ascii="SimSun" w:hAnsi="SimSun" w:eastAsia="SimSun" w:cs="SimSun"/>
          <w:sz w:val="22"/>
          <w:szCs w:val="22"/>
          <w:spacing w:val="-10"/>
        </w:rPr>
        <w:t>部分或者全部使用财政资金的团体组织采购</w:t>
      </w:r>
      <w:r>
        <w:rPr>
          <w:rFonts w:ascii="SimSun" w:hAnsi="SimSun" w:eastAsia="SimSun" w:cs="SimSun"/>
          <w:sz w:val="22"/>
          <w:szCs w:val="22"/>
          <w:spacing w:val="-11"/>
        </w:rPr>
        <w:t>货物、</w:t>
      </w:r>
      <w:r>
        <w:rPr>
          <w:rFonts w:ascii="SimSun" w:hAnsi="SimSun" w:eastAsia="SimSun" w:cs="SimSun"/>
          <w:sz w:val="22"/>
          <w:szCs w:val="22"/>
        </w:rPr>
        <w:t xml:space="preserve"> </w:t>
      </w:r>
      <w:r>
        <w:rPr>
          <w:rFonts w:ascii="SimSun" w:hAnsi="SimSun" w:eastAsia="SimSun" w:cs="SimSun"/>
          <w:sz w:val="22"/>
          <w:szCs w:val="22"/>
          <w:spacing w:val="-7"/>
        </w:rPr>
        <w:t>工程、服务支付中小企业款项，参照本条例对机关、事业单位的有</w:t>
      </w:r>
      <w:r>
        <w:rPr>
          <w:rFonts w:ascii="SimSun" w:hAnsi="SimSun" w:eastAsia="SimSun" w:cs="SimSun"/>
          <w:sz w:val="22"/>
          <w:szCs w:val="22"/>
          <w:spacing w:val="6"/>
        </w:rPr>
        <w:t xml:space="preserve">  </w:t>
      </w:r>
      <w:r>
        <w:rPr>
          <w:rFonts w:ascii="SimSun" w:hAnsi="SimSun" w:eastAsia="SimSun" w:cs="SimSun"/>
          <w:sz w:val="22"/>
          <w:szCs w:val="22"/>
          <w:spacing w:val="-12"/>
        </w:rPr>
        <w:t>关规定执行。</w:t>
      </w:r>
    </w:p>
    <w:p>
      <w:pPr>
        <w:ind w:right="99" w:firstLine="440"/>
        <w:spacing w:before="47" w:line="253" w:lineRule="auto"/>
        <w:rPr>
          <w:rFonts w:ascii="SimSun" w:hAnsi="SimSun" w:eastAsia="SimSun" w:cs="SimSun"/>
          <w:sz w:val="22"/>
          <w:szCs w:val="22"/>
        </w:rPr>
      </w:pPr>
      <w:r>
        <w:rPr>
          <w:rFonts w:ascii="SimSun" w:hAnsi="SimSun" w:eastAsia="SimSun" w:cs="SimSun"/>
          <w:sz w:val="22"/>
          <w:szCs w:val="22"/>
          <w:spacing w:val="-7"/>
        </w:rPr>
        <w:t>军队采购货物、工程、服务支付中小企业款项，按照军队的有</w:t>
      </w:r>
      <w:r>
        <w:rPr>
          <w:rFonts w:ascii="SimSun" w:hAnsi="SimSun" w:eastAsia="SimSun" w:cs="SimSun"/>
          <w:sz w:val="22"/>
          <w:szCs w:val="22"/>
          <w:spacing w:val="18"/>
        </w:rPr>
        <w:t xml:space="preserve"> </w:t>
      </w:r>
      <w:r>
        <w:rPr>
          <w:rFonts w:ascii="SimSun" w:hAnsi="SimSun" w:eastAsia="SimSun" w:cs="SimSun"/>
          <w:sz w:val="22"/>
          <w:szCs w:val="22"/>
          <w:spacing w:val="-12"/>
        </w:rPr>
        <w:t>关规定执行。</w:t>
      </w:r>
    </w:p>
    <w:p>
      <w:pPr>
        <w:ind w:left="440"/>
        <w:spacing w:before="48" w:line="219" w:lineRule="auto"/>
        <w:rPr>
          <w:rFonts w:ascii="SimSun" w:hAnsi="SimSun" w:eastAsia="SimSun" w:cs="SimSun"/>
          <w:sz w:val="22"/>
          <w:szCs w:val="22"/>
        </w:rPr>
      </w:pPr>
      <w:r>
        <w:rPr>
          <w:rFonts w:ascii="SimSun" w:hAnsi="SimSun" w:eastAsia="SimSun" w:cs="SimSun"/>
          <w:sz w:val="22"/>
          <w:szCs w:val="22"/>
          <w:spacing w:val="4"/>
        </w:rPr>
        <w:t>第二十九条</w:t>
      </w:r>
      <w:r>
        <w:rPr>
          <w:rFonts w:ascii="SimSun" w:hAnsi="SimSun" w:eastAsia="SimSun" w:cs="SimSun"/>
          <w:sz w:val="22"/>
          <w:szCs w:val="22"/>
          <w:spacing w:val="35"/>
        </w:rPr>
        <w:t xml:space="preserve"> </w:t>
      </w:r>
      <w:r>
        <w:rPr>
          <w:rFonts w:ascii="SimSun" w:hAnsi="SimSun" w:eastAsia="SimSun" w:cs="SimSun"/>
          <w:sz w:val="22"/>
          <w:szCs w:val="22"/>
          <w:spacing w:val="4"/>
        </w:rPr>
        <w:t>本条例自2020年9月1</w:t>
      </w:r>
      <w:r>
        <w:rPr>
          <w:rFonts w:ascii="SimSun" w:hAnsi="SimSun" w:eastAsia="SimSun" w:cs="SimSun"/>
          <w:sz w:val="22"/>
          <w:szCs w:val="22"/>
          <w:spacing w:val="-42"/>
        </w:rPr>
        <w:t xml:space="preserve"> </w:t>
      </w:r>
      <w:r>
        <w:rPr>
          <w:rFonts w:ascii="SimSun" w:hAnsi="SimSun" w:eastAsia="SimSun" w:cs="SimSun"/>
          <w:sz w:val="22"/>
          <w:szCs w:val="22"/>
          <w:spacing w:val="4"/>
        </w:rPr>
        <w:t>日起施行。</w:t>
      </w:r>
    </w:p>
    <w:sectPr>
      <w:footerReference w:type="default" r:id="rId72"/>
      <w:pgSz w:w="8220" w:h="11910"/>
      <w:pgMar w:top="400" w:right="929" w:bottom="942" w:left="979" w:header="0" w:footer="78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line="172" w:lineRule="auto"/>
      <w:rPr>
        <w:rFonts w:ascii="SimSun" w:hAnsi="SimSun" w:eastAsia="SimSun" w:cs="SimSun"/>
        <w:sz w:val="16"/>
        <w:szCs w:val="16"/>
      </w:rPr>
    </w:pPr>
    <w:r>
      <w:rPr>
        <w:rFonts w:ascii="SimSun" w:hAnsi="SimSun" w:eastAsia="SimSun" w:cs="SimSun"/>
        <w:sz w:val="16"/>
        <w:szCs w:val="16"/>
        <w:b/>
        <w:bCs/>
        <w:spacing w:val="-6"/>
      </w:rPr>
      <w:t>154</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9"/>
      <w:spacing w:line="172" w:lineRule="auto"/>
      <w:rPr>
        <w:rFonts w:ascii="SimSun" w:hAnsi="SimSun" w:eastAsia="SimSun" w:cs="SimSun"/>
        <w:sz w:val="16"/>
        <w:szCs w:val="16"/>
      </w:rPr>
    </w:pPr>
    <w:r>
      <w:rPr>
        <w:rFonts w:ascii="SimSun" w:hAnsi="SimSun" w:eastAsia="SimSun" w:cs="SimSun"/>
        <w:sz w:val="16"/>
        <w:szCs w:val="16"/>
        <w:spacing w:val="-5"/>
      </w:rPr>
      <w:t>155</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2" w:lineRule="auto"/>
      <w:rPr>
        <w:rFonts w:ascii="SimSun" w:hAnsi="SimSun" w:eastAsia="SimSun" w:cs="SimSun"/>
        <w:sz w:val="16"/>
        <w:szCs w:val="16"/>
      </w:rPr>
    </w:pPr>
    <w:r>
      <w:rPr>
        <w:rFonts w:ascii="SimSun" w:hAnsi="SimSun" w:eastAsia="SimSun" w:cs="SimSun"/>
        <w:sz w:val="16"/>
        <w:szCs w:val="16"/>
        <w:spacing w:val="-5"/>
      </w:rPr>
      <w:t>156</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9"/>
      <w:spacing w:line="172" w:lineRule="auto"/>
      <w:rPr>
        <w:rFonts w:ascii="SimSun" w:hAnsi="SimSun" w:eastAsia="SimSun" w:cs="SimSun"/>
        <w:sz w:val="16"/>
        <w:szCs w:val="16"/>
      </w:rPr>
    </w:pPr>
    <w:r>
      <w:rPr>
        <w:rFonts w:ascii="SimSun" w:hAnsi="SimSun" w:eastAsia="SimSun" w:cs="SimSun"/>
        <w:sz w:val="16"/>
        <w:szCs w:val="16"/>
        <w:spacing w:val="-5"/>
      </w:rPr>
      <w:t>157</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line="171" w:lineRule="auto"/>
      <w:rPr>
        <w:rFonts w:ascii="SimSun" w:hAnsi="SimSun" w:eastAsia="SimSun" w:cs="SimSun"/>
        <w:sz w:val="15"/>
        <w:szCs w:val="15"/>
      </w:rPr>
    </w:pPr>
    <w:r>
      <w:rPr>
        <w:rFonts w:ascii="SimSun" w:hAnsi="SimSun" w:eastAsia="SimSun" w:cs="SimSun"/>
        <w:sz w:val="15"/>
        <w:szCs w:val="15"/>
        <w:spacing w:val="-4"/>
      </w:rPr>
      <w:t>158</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84"/>
      <w:spacing w:line="172" w:lineRule="auto"/>
      <w:rPr>
        <w:rFonts w:ascii="SimSun" w:hAnsi="SimSun" w:eastAsia="SimSun" w:cs="SimSun"/>
        <w:sz w:val="16"/>
        <w:szCs w:val="16"/>
      </w:rPr>
    </w:pPr>
    <w:r>
      <w:rPr>
        <w:rFonts w:ascii="SimSun" w:hAnsi="SimSun" w:eastAsia="SimSun" w:cs="SimSun"/>
        <w:sz w:val="16"/>
        <w:szCs w:val="16"/>
        <w:spacing w:val="-5"/>
      </w:rPr>
      <w:t>159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72" w:lineRule="auto"/>
      <w:rPr>
        <w:rFonts w:ascii="SimSun" w:hAnsi="SimSun" w:eastAsia="SimSun" w:cs="SimSun"/>
        <w:sz w:val="16"/>
        <w:szCs w:val="16"/>
      </w:rPr>
    </w:pPr>
    <w:r>
      <w:rPr>
        <w:rFonts w:ascii="SimSun" w:hAnsi="SimSun" w:eastAsia="SimSun" w:cs="SimSun"/>
        <w:sz w:val="16"/>
        <w:szCs w:val="16"/>
        <w:spacing w:val="-5"/>
      </w:rPr>
      <w:t>160</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221" w:lineRule="exact"/>
      <w:rPr>
        <w:sz w:val="19"/>
      </w:rPr>
    </w:pPr>
    <w:r>
      <mc:AlternateContent xmlns:mc="http://schemas.openxmlformats.org/markup-compatibility/2006">
        <mc:Choice Requires="wps">
          <w:drawing>
            <wp:anchor distT="0" distB="0" distL="0" distR="0" simplePos="0" relativeHeight="251795456" behindDoc="0" locked="0" layoutInCell="0" allowOverlap="1">
              <wp:simplePos x="0" y="0"/>
              <wp:positionH relativeFrom="page">
                <wp:posOffset>470410</wp:posOffset>
              </wp:positionH>
              <wp:positionV relativeFrom="page">
                <wp:posOffset>4383219</wp:posOffset>
              </wp:positionV>
              <wp:extent cx="172720" cy="156845"/>
              <wp:effectExtent l="0" t="0" r="0" b="0"/>
              <wp:wrapNone/>
              <wp:docPr id="364" name="TextBox 364"/>
              <wp:cNvGraphicFramePr/>
              <a:graphic>
                <a:graphicData uri="http://schemas.microsoft.com/office/word/2010/wordprocessingShape">
                  <wps:wsp>
                    <wps:cNvSpPr txBox="1"/>
                    <wps:spPr>
                      <a:xfrm rot="5400000">
                        <a:off x="470410" y="4383219"/>
                        <a:ext cx="172720" cy="1568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263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6" style="position:absolute;margin-left:37.0402pt;margin-top:345.135pt;mso-position-vertical-relative:page;mso-position-horizontal-relative:page;width:13.6pt;height:12.35pt;z-index:251795456;rotation:90;" o:allowincell="f" filled="false" stroked="false" type="#_x0000_t202">
              <v:fill on="false"/>
              <v:stroke on="false"/>
              <v:path/>
              <v:imagedata o:title=""/>
              <o:lock v:ext="edit" aspectratio="false"/>
              <v:textbox inset="0mm,0mm,0mm,0mm">
                <w:txbxContent>
                  <w:p>
                    <w:pPr>
                      <w:ind w:left="20"/>
                      <w:spacing w:before="67" w:line="183" w:lineRule="auto"/>
                      <w:rPr>
                        <w:rFonts w:ascii="SimSun" w:hAnsi="SimSun" w:eastAsia="SimSun" w:cs="SimSun"/>
                        <w:sz w:val="16"/>
                        <w:szCs w:val="16"/>
                      </w:rPr>
                    </w:pPr>
                    <w:r>
                      <w:rPr>
                        <w:rFonts w:ascii="SimSun" w:hAnsi="SimSun" w:eastAsia="SimSun" w:cs="SimSun"/>
                        <w:sz w:val="16"/>
                        <w:szCs w:val="16"/>
                        <w:spacing w:val="-2"/>
                      </w:rPr>
                      <w:t>263</w:t>
                    </w:r>
                  </w:p>
                </w:txbxContent>
              </v:textbox>
            </v:shape>
          </w:pict>
        </mc:Fallback>
      </mc:AlternateContent>
    </w: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
      <w:spacing w:line="171" w:lineRule="auto"/>
      <w:rPr>
        <w:rFonts w:ascii="SimSun" w:hAnsi="SimSun" w:eastAsia="SimSun" w:cs="SimSun"/>
        <w:sz w:val="16"/>
        <w:szCs w:val="16"/>
      </w:rPr>
    </w:pPr>
    <w:r>
      <w:rPr>
        <w:rFonts w:ascii="SimSun" w:hAnsi="SimSun" w:eastAsia="SimSun" w:cs="SimSun"/>
        <w:sz w:val="16"/>
        <w:szCs w:val="16"/>
        <w:spacing w:val="-2"/>
      </w:rPr>
      <w:t>264</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4"/>
      <w:spacing w:line="171" w:lineRule="auto"/>
      <w:rPr>
        <w:rFonts w:ascii="SimSun" w:hAnsi="SimSun" w:eastAsia="SimSun" w:cs="SimSun"/>
        <w:sz w:val="16"/>
        <w:szCs w:val="16"/>
      </w:rPr>
    </w:pPr>
    <w:r>
      <w:rPr>
        <w:rFonts w:ascii="SimSun" w:hAnsi="SimSun" w:eastAsia="SimSun" w:cs="SimSun"/>
        <w:sz w:val="16"/>
        <w:szCs w:val="16"/>
        <w:spacing w:val="-2"/>
      </w:rPr>
      <w:t>265</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2" w:lineRule="auto"/>
      <w:jc w:val="right"/>
      <w:rPr>
        <w:rFonts w:ascii="SimSun" w:hAnsi="SimSun" w:eastAsia="SimSun" w:cs="SimSun"/>
        <w:sz w:val="16"/>
        <w:szCs w:val="16"/>
      </w:rPr>
    </w:pPr>
    <w:r>
      <w:rPr>
        <w:rFonts w:ascii="SimSun" w:hAnsi="SimSun" w:eastAsia="SimSun" w:cs="SimSun"/>
        <w:sz w:val="16"/>
        <w:szCs w:val="16"/>
        <w:b/>
        <w:bCs/>
        <w:spacing w:val="-6"/>
      </w:rPr>
      <w:t>61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rPr>
        <w:rFonts w:ascii="SimSun" w:hAnsi="SimSun" w:eastAsia="SimSun" w:cs="SimSun"/>
        <w:sz w:val="16"/>
        <w:szCs w:val="16"/>
      </w:rPr>
    </w:pPr>
    <w:r>
      <w:rPr>
        <w:rFonts w:ascii="SimSun" w:hAnsi="SimSun" w:eastAsia="SimSun" w:cs="SimSun"/>
        <w:sz w:val="16"/>
        <w:szCs w:val="16"/>
        <w:b/>
        <w:bCs/>
        <w:spacing w:val="-4"/>
      </w:rPr>
      <w:t>266</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4"/>
      <w:spacing w:line="171" w:lineRule="auto"/>
      <w:rPr>
        <w:rFonts w:ascii="SimSun" w:hAnsi="SimSun" w:eastAsia="SimSun" w:cs="SimSun"/>
        <w:sz w:val="16"/>
        <w:szCs w:val="16"/>
      </w:rPr>
    </w:pPr>
    <w:r>
      <w:rPr>
        <w:rFonts w:ascii="SimSun" w:hAnsi="SimSun" w:eastAsia="SimSun" w:cs="SimSun"/>
        <w:sz w:val="16"/>
        <w:szCs w:val="16"/>
        <w:spacing w:val="-2"/>
      </w:rPr>
      <w:t>267</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rPr>
        <w:rFonts w:ascii="SimSun" w:hAnsi="SimSun" w:eastAsia="SimSun" w:cs="SimSun"/>
        <w:sz w:val="16"/>
        <w:szCs w:val="16"/>
      </w:rPr>
    </w:pPr>
    <w:r>
      <w:rPr>
        <w:rFonts w:ascii="SimSun" w:hAnsi="SimSun" w:eastAsia="SimSun" w:cs="SimSun"/>
        <w:sz w:val="16"/>
        <w:szCs w:val="16"/>
        <w:spacing w:val="-2"/>
      </w:rPr>
      <w:t>268</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15"/>
      <w:spacing w:line="171" w:lineRule="auto"/>
      <w:rPr>
        <w:rFonts w:ascii="SimSun" w:hAnsi="SimSun" w:eastAsia="SimSun" w:cs="SimSun"/>
        <w:sz w:val="16"/>
        <w:szCs w:val="16"/>
      </w:rPr>
    </w:pPr>
    <w:r>
      <w:rPr>
        <w:rFonts w:ascii="SimSun" w:hAnsi="SimSun" w:eastAsia="SimSun" w:cs="SimSun"/>
        <w:sz w:val="16"/>
        <w:szCs w:val="16"/>
        <w:spacing w:val="-2"/>
      </w:rPr>
      <w:t>269</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rPr>
        <w:rFonts w:ascii="SimSun" w:hAnsi="SimSun" w:eastAsia="SimSun" w:cs="SimSun"/>
        <w:sz w:val="16"/>
        <w:szCs w:val="16"/>
      </w:rPr>
    </w:pPr>
    <w:r>
      <w:rPr>
        <w:rFonts w:ascii="SimSun" w:hAnsi="SimSun" w:eastAsia="SimSun" w:cs="SimSun"/>
        <w:sz w:val="16"/>
        <w:szCs w:val="16"/>
        <w:spacing w:val="-2"/>
      </w:rPr>
      <w:t>270</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220" w:lineRule="exact"/>
      <w:rPr>
        <w:sz w:val="19"/>
      </w:rPr>
    </w:pPr>
    <w:r>
      <mc:AlternateContent xmlns:mc="http://schemas.openxmlformats.org/markup-compatibility/2006">
        <mc:Choice Requires="wps">
          <w:drawing>
            <wp:anchor distT="0" distB="0" distL="0" distR="0" simplePos="0" relativeHeight="251875328" behindDoc="0" locked="0" layoutInCell="0" allowOverlap="1">
              <wp:simplePos x="0" y="0"/>
              <wp:positionH relativeFrom="page">
                <wp:posOffset>471019</wp:posOffset>
              </wp:positionH>
              <wp:positionV relativeFrom="page">
                <wp:posOffset>4369926</wp:posOffset>
              </wp:positionV>
              <wp:extent cx="172085" cy="157479"/>
              <wp:effectExtent l="0" t="0" r="0" b="0"/>
              <wp:wrapNone/>
              <wp:docPr id="506" name="TextBox 506"/>
              <wp:cNvGraphicFramePr/>
              <a:graphic>
                <a:graphicData uri="http://schemas.microsoft.com/office/word/2010/wordprocessingShape">
                  <wps:wsp>
                    <wps:cNvSpPr txBox="1"/>
                    <wps:spPr>
                      <a:xfrm rot="5400000">
                        <a:off x="471019" y="4369926"/>
                        <a:ext cx="172085"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341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58" style="position:absolute;margin-left:37.0882pt;margin-top:344.089pt;mso-position-vertical-relative:page;mso-position-horizontal-relative:page;width:13.55pt;height:12.4pt;z-index:251875328;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3"/>
                      </w:rPr>
                      <w:t>341</w:t>
                    </w:r>
                  </w:p>
                </w:txbxContent>
              </v:textbox>
            </v:shape>
          </w:pict>
        </mc:Fallback>
      </mc:AlternateContent>
    </w: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0" w:lineRule="auto"/>
      <w:rPr>
        <w:rFonts w:ascii="SimSun" w:hAnsi="SimSun" w:eastAsia="SimSun" w:cs="SimSun"/>
        <w:sz w:val="15"/>
        <w:szCs w:val="15"/>
      </w:rPr>
    </w:pPr>
    <w:r>
      <w:rPr>
        <w:rFonts w:ascii="SimSun" w:hAnsi="SimSun" w:eastAsia="SimSun" w:cs="SimSun"/>
        <w:sz w:val="15"/>
        <w:szCs w:val="15"/>
        <w:spacing w:val="-2"/>
      </w:rPr>
      <w:t>356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0"/>
      <w:spacing w:line="171" w:lineRule="auto"/>
      <w:rPr>
        <w:rFonts w:ascii="SimSun" w:hAnsi="SimSun" w:eastAsia="SimSun" w:cs="SimSun"/>
        <w:sz w:val="16"/>
        <w:szCs w:val="16"/>
      </w:rPr>
    </w:pPr>
    <w:r>
      <w:rPr>
        <w:rFonts w:ascii="SimSun" w:hAnsi="SimSun" w:eastAsia="SimSun" w:cs="SimSun"/>
        <w:sz w:val="16"/>
        <w:szCs w:val="16"/>
        <w:spacing w:val="-3"/>
      </w:rPr>
      <w:t>357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rPr>
        <w:rFonts w:ascii="SimSun" w:hAnsi="SimSun" w:eastAsia="SimSun" w:cs="SimSun"/>
        <w:sz w:val="16"/>
        <w:szCs w:val="16"/>
      </w:rPr>
    </w:pPr>
    <w:r>
      <w:rPr>
        <w:rFonts w:ascii="SimSun" w:hAnsi="SimSun" w:eastAsia="SimSun" w:cs="SimSun"/>
        <w:sz w:val="16"/>
        <w:szCs w:val="16"/>
        <w:spacing w:val="-3"/>
      </w:rPr>
      <w:t>358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0"/>
      <w:spacing w:line="171" w:lineRule="auto"/>
      <w:rPr>
        <w:rFonts w:ascii="SimSun" w:hAnsi="SimSun" w:eastAsia="SimSun" w:cs="SimSun"/>
        <w:sz w:val="16"/>
        <w:szCs w:val="16"/>
      </w:rPr>
    </w:pPr>
    <w:r>
      <w:rPr>
        <w:rFonts w:ascii="SimSun" w:hAnsi="SimSun" w:eastAsia="SimSun" w:cs="SimSun"/>
        <w:sz w:val="16"/>
        <w:szCs w:val="16"/>
        <w:spacing w:val="-3"/>
      </w:rPr>
      <w:t>359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jc w:val="right"/>
      <w:rPr>
        <w:rFonts w:ascii="SimSun" w:hAnsi="SimSun" w:eastAsia="SimSun" w:cs="SimSun"/>
        <w:sz w:val="16"/>
        <w:szCs w:val="16"/>
      </w:rPr>
    </w:pPr>
    <w:r>
      <w:rPr>
        <w:rFonts w:ascii="SimSun" w:hAnsi="SimSun" w:eastAsia="SimSun" w:cs="SimSun"/>
        <w:sz w:val="16"/>
        <w:szCs w:val="16"/>
        <w:b/>
        <w:bCs/>
        <w:spacing w:val="-6"/>
      </w:rPr>
      <w:t>95</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1" w:lineRule="auto"/>
      <w:rPr>
        <w:rFonts w:ascii="SimSun" w:hAnsi="SimSun" w:eastAsia="SimSun" w:cs="SimSun"/>
        <w:sz w:val="16"/>
        <w:szCs w:val="16"/>
      </w:rPr>
    </w:pPr>
    <w:r>
      <w:rPr>
        <w:rFonts w:ascii="SimSun" w:hAnsi="SimSun" w:eastAsia="SimSun" w:cs="SimSun"/>
        <w:sz w:val="16"/>
        <w:szCs w:val="16"/>
        <w:spacing w:val="-3"/>
      </w:rPr>
      <w:t>360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2" w:lineRule="auto"/>
      <w:jc w:val="right"/>
      <w:rPr>
        <w:rFonts w:ascii="SimSun" w:hAnsi="SimSun" w:eastAsia="SimSun" w:cs="SimSun"/>
        <w:sz w:val="16"/>
        <w:szCs w:val="16"/>
      </w:rPr>
    </w:pPr>
    <w:r>
      <w:rPr>
        <w:rFonts w:ascii="SimSun" w:hAnsi="SimSun" w:eastAsia="SimSun" w:cs="SimSun"/>
        <w:sz w:val="16"/>
        <w:szCs w:val="16"/>
        <w:b/>
        <w:bCs/>
        <w:spacing w:val="-8"/>
      </w:rPr>
      <w:t>105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211" w:lineRule="exact"/>
      <w:rPr>
        <w:sz w:val="18"/>
      </w:rPr>
    </w:pPr>
    <w:r>
      <mc:AlternateContent xmlns:mc="http://schemas.openxmlformats.org/markup-compatibility/2006">
        <mc:Choice Requires="wps">
          <w:drawing>
            <wp:anchor distT="0" distB="0" distL="0" distR="0" simplePos="0" relativeHeight="251658240"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22" name="TextBox 122"/>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4" style="position:absolute;margin-left:37.3042pt;margin-top:345.373pt;mso-position-vertical-relative:page;mso-position-horizontal-relative:page;width:13.1pt;height:12.4pt;z-index:251658240;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129</w:t>
                    </w:r>
                  </w:p>
                </w:txbxContent>
              </v:textbox>
            </v:shape>
          </w:pict>
        </mc:Fallback>
      </mc:AlternateContent>
    </w: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2" w:lineRule="auto"/>
      <w:jc w:val="right"/>
      <w:rPr>
        <w:rFonts w:ascii="SimSun" w:hAnsi="SimSun" w:eastAsia="SimSun" w:cs="SimSun"/>
        <w:sz w:val="16"/>
        <w:szCs w:val="16"/>
      </w:rPr>
    </w:pPr>
    <w:r>
      <w:rPr>
        <w:rFonts w:ascii="SimSun" w:hAnsi="SimSun" w:eastAsia="SimSun" w:cs="SimSun"/>
        <w:sz w:val="16"/>
        <w:szCs w:val="16"/>
        <w:b/>
        <w:bCs/>
        <w:spacing w:val="-8"/>
      </w:rPr>
      <w:t>141</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211" w:lineRule="exact"/>
      <w:rPr>
        <w:sz w:val="18"/>
      </w:rPr>
    </w:pPr>
    <w:r>
      <mc:AlternateContent xmlns:mc="http://schemas.openxmlformats.org/markup-compatibility/2006">
        <mc:Choice Requires="wps">
          <w:drawing>
            <wp:anchor distT="0" distB="0" distL="0" distR="0" simplePos="0" relativeHeight="251676672" behindDoc="0" locked="0" layoutInCell="0" allowOverlap="1">
              <wp:simplePos x="0" y="0"/>
              <wp:positionH relativeFrom="page">
                <wp:posOffset>473762</wp:posOffset>
              </wp:positionH>
              <wp:positionV relativeFrom="page">
                <wp:posOffset>4386234</wp:posOffset>
              </wp:positionV>
              <wp:extent cx="166370" cy="157479"/>
              <wp:effectExtent l="0" t="0" r="0" b="0"/>
              <wp:wrapNone/>
              <wp:docPr id="154" name="TextBox 154"/>
              <wp:cNvGraphicFramePr/>
              <a:graphic>
                <a:graphicData uri="http://schemas.microsoft.com/office/word/2010/wordprocessingShape">
                  <wps:wsp>
                    <wps:cNvSpPr txBox="1"/>
                    <wps:spPr>
                      <a:xfrm rot="5400000">
                        <a:off x="473762" y="4386234"/>
                        <a:ext cx="1663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6" style="position:absolute;margin-left:37.3042pt;margin-top:345.373pt;mso-position-vertical-relative:page;mso-position-horizontal-relative:page;width:13.1pt;height:12.4pt;z-index:251676672;rotation:90;" o:allowincell="f" filled="false" stroked="false" type="#_x0000_t202">
              <v:fill on="false"/>
              <v:stroke on="false"/>
              <v:path/>
              <v:imagedata o:title=""/>
              <o:lock v:ext="edit" aspectratio="false"/>
              <v:textbox inset="0mm,0mm,0mm,0mm">
                <w:txbxContent>
                  <w:p>
                    <w:pPr>
                      <w:ind w:left="20"/>
                      <w:spacing w:before="67" w:line="184" w:lineRule="auto"/>
                      <w:rPr>
                        <w:rFonts w:ascii="SimSun" w:hAnsi="SimSun" w:eastAsia="SimSun" w:cs="SimSun"/>
                        <w:sz w:val="16"/>
                        <w:szCs w:val="16"/>
                      </w:rPr>
                    </w:pPr>
                    <w:r>
                      <w:rPr>
                        <w:rFonts w:ascii="SimSun" w:hAnsi="SimSun" w:eastAsia="SimSun" w:cs="SimSun"/>
                        <w:sz w:val="16"/>
                        <w:szCs w:val="16"/>
                        <w:spacing w:val="-5"/>
                      </w:rPr>
                      <w:t>147</w:t>
                    </w:r>
                  </w:p>
                </w:txbxContent>
              </v:textbox>
            </v:shape>
          </w:pict>
        </mc:Fallback>
      </mc:AlternateContent>
    </w: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2" w:lineRule="auto"/>
      <w:jc w:val="right"/>
      <w:rPr>
        <w:rFonts w:ascii="SimSun" w:hAnsi="SimSun" w:eastAsia="SimSun" w:cs="SimSun"/>
        <w:sz w:val="16"/>
        <w:szCs w:val="16"/>
      </w:rPr>
    </w:pPr>
    <w:r>
      <w:rPr>
        <w:rFonts w:ascii="SimSun" w:hAnsi="SimSun" w:eastAsia="SimSun" w:cs="SimSun"/>
        <w:sz w:val="16"/>
        <w:szCs w:val="16"/>
        <w:b/>
        <w:bCs/>
        <w:spacing w:val="-8"/>
      </w:rPr>
      <w:t>149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0"/>
      <w:spacing w:line="172" w:lineRule="auto"/>
      <w:rPr>
        <w:rFonts w:ascii="SimSun" w:hAnsi="SimSun" w:eastAsia="SimSun" w:cs="SimSun"/>
        <w:sz w:val="16"/>
        <w:szCs w:val="16"/>
      </w:rPr>
    </w:pPr>
    <w:r>
      <w:rPr>
        <w:rFonts w:ascii="SimSun" w:hAnsi="SimSun" w:eastAsia="SimSun" w:cs="SimSun"/>
        <w:sz w:val="16"/>
        <w:szCs w:val="16"/>
        <w:spacing w:val="-5"/>
      </w:rPr>
      <w:t>153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5"/>
      <w:szCs w:val="15"/>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5" Type="http://schemas.openxmlformats.org/officeDocument/2006/relationships/fontTable" Target="fontTable.xml"/><Relationship Id="rId74" Type="http://schemas.openxmlformats.org/officeDocument/2006/relationships/styles" Target="styles.xml"/><Relationship Id="rId73" Type="http://schemas.openxmlformats.org/officeDocument/2006/relationships/settings" Target="settings.xml"/><Relationship Id="rId72" Type="http://schemas.openxmlformats.org/officeDocument/2006/relationships/footer" Target="footer30.xml"/><Relationship Id="rId71" Type="http://schemas.openxmlformats.org/officeDocument/2006/relationships/footer" Target="footer29.xml"/><Relationship Id="rId70" Type="http://schemas.openxmlformats.org/officeDocument/2006/relationships/footer" Target="footer28.xml"/><Relationship Id="rId7" Type="http://schemas.openxmlformats.org/officeDocument/2006/relationships/image" Target="media/image5.jpeg"/><Relationship Id="rId69" Type="http://schemas.openxmlformats.org/officeDocument/2006/relationships/footer" Target="footer27.xml"/><Relationship Id="rId68" Type="http://schemas.openxmlformats.org/officeDocument/2006/relationships/footer" Target="footer26.xml"/><Relationship Id="rId67" Type="http://schemas.openxmlformats.org/officeDocument/2006/relationships/footer" Target="footer25.xml"/><Relationship Id="rId66" Type="http://schemas.openxmlformats.org/officeDocument/2006/relationships/hyperlink" Target="3.2.2.3" TargetMode="External"/><Relationship Id="rId65" Type="http://schemas.openxmlformats.org/officeDocument/2006/relationships/hyperlink" Target="2.2.2.2" TargetMode="External"/><Relationship Id="rId64" Type="http://schemas.openxmlformats.org/officeDocument/2006/relationships/hyperlink" Target="4.2.5.11" TargetMode="External"/><Relationship Id="rId63" Type="http://schemas.openxmlformats.org/officeDocument/2006/relationships/hyperlink" Target="4.2.5.10" TargetMode="External"/><Relationship Id="rId62" Type="http://schemas.openxmlformats.org/officeDocument/2006/relationships/hyperlink" Target="4.2.5.9" TargetMode="External"/><Relationship Id="rId61" Type="http://schemas.openxmlformats.org/officeDocument/2006/relationships/hyperlink" Target="4.2.8.8" TargetMode="External"/><Relationship Id="rId60" Type="http://schemas.openxmlformats.org/officeDocument/2006/relationships/hyperlink" Target="4.2.8.7" TargetMode="External"/><Relationship Id="rId6" Type="http://schemas.openxmlformats.org/officeDocument/2006/relationships/image" Target="media/image4.jpeg"/><Relationship Id="rId59" Type="http://schemas.openxmlformats.org/officeDocument/2006/relationships/hyperlink" Target="4.2.8.6" TargetMode="External"/><Relationship Id="rId58" Type="http://schemas.openxmlformats.org/officeDocument/2006/relationships/hyperlink" Target="3.2.6.2" TargetMode="External"/><Relationship Id="rId57" Type="http://schemas.openxmlformats.org/officeDocument/2006/relationships/footer" Target="footer24.xml"/><Relationship Id="rId56" Type="http://schemas.openxmlformats.org/officeDocument/2006/relationships/footer" Target="footer23.xml"/><Relationship Id="rId55" Type="http://schemas.openxmlformats.org/officeDocument/2006/relationships/footer" Target="footer22.xml"/><Relationship Id="rId54" Type="http://schemas.openxmlformats.org/officeDocument/2006/relationships/footer" Target="footer21.xml"/><Relationship Id="rId53" Type="http://schemas.openxmlformats.org/officeDocument/2006/relationships/footer" Target="footer20.xml"/><Relationship Id="rId52" Type="http://schemas.openxmlformats.org/officeDocument/2006/relationships/footer" Target="footer19.xml"/><Relationship Id="rId51" Type="http://schemas.openxmlformats.org/officeDocument/2006/relationships/footer" Target="footer18.xml"/><Relationship Id="rId50" Type="http://schemas.openxmlformats.org/officeDocument/2006/relationships/footer" Target="footer17.xml"/><Relationship Id="rId5" Type="http://schemas.openxmlformats.org/officeDocument/2006/relationships/image" Target="media/image3.jpeg"/><Relationship Id="rId49" Type="http://schemas.openxmlformats.org/officeDocument/2006/relationships/footer" Target="footer16.xml"/><Relationship Id="rId48" Type="http://schemas.openxmlformats.org/officeDocument/2006/relationships/footer" Target="footer15.xml"/><Relationship Id="rId47" Type="http://schemas.openxmlformats.org/officeDocument/2006/relationships/footer" Target="footer14.xml"/><Relationship Id="rId46" Type="http://schemas.openxmlformats.org/officeDocument/2006/relationships/footer" Target="footer13.xml"/><Relationship Id="rId45" Type="http://schemas.openxmlformats.org/officeDocument/2006/relationships/footer" Target="footer12.xml"/><Relationship Id="rId44" Type="http://schemas.openxmlformats.org/officeDocument/2006/relationships/footer" Target="footer11.xml"/><Relationship Id="rId43" Type="http://schemas.openxmlformats.org/officeDocument/2006/relationships/footer" Target="footer10.xml"/><Relationship Id="rId42" Type="http://schemas.openxmlformats.org/officeDocument/2006/relationships/footer" Target="footer9.xml"/><Relationship Id="rId41" Type="http://schemas.openxmlformats.org/officeDocument/2006/relationships/footer" Target="footer8.xml"/><Relationship Id="rId40" Type="http://schemas.openxmlformats.org/officeDocument/2006/relationships/footer" Target="footer7.xml"/><Relationship Id="rId4" Type="http://schemas.openxmlformats.org/officeDocument/2006/relationships/image" Target="media/image2.jpeg"/><Relationship Id="rId39" Type="http://schemas.openxmlformats.org/officeDocument/2006/relationships/footer" Target="footer6.xml"/><Relationship Id="rId38" Type="http://schemas.openxmlformats.org/officeDocument/2006/relationships/footer" Target="footer5.xml"/><Relationship Id="rId37" Type="http://schemas.openxmlformats.org/officeDocument/2006/relationships/footer" Target="footer4.xml"/><Relationship Id="rId36" Type="http://schemas.openxmlformats.org/officeDocument/2006/relationships/image" Target="media/image32.jpeg"/><Relationship Id="rId35" Type="http://schemas.openxmlformats.org/officeDocument/2006/relationships/footer" Target="footer3.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image" Target="media/image1.jpeg"/><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footer" Target="footer2.xml"/><Relationship Id="rId20" Type="http://schemas.openxmlformats.org/officeDocument/2006/relationships/image" Target="media/image18.jpeg"/><Relationship Id="rId2" Type="http://schemas.openxmlformats.org/officeDocument/2006/relationships/footer" Target="footer1.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2023-12-05T18:15:25Z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2023-12-05T18:16:15</vt:filetime>
  </property>
  <property fmtid="{D5CDD505-2E9C-101B-9397-08002B2CF9AE}" pid="4" name="UsrData">
    <vt:lpwstr>656ef7fd83b9c4001fe849dfwl</vt:lpwstr>
  </property>
</Properties>
</file>